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62350D" w14:paraId="1ED73F75" w14:textId="77777777" w:rsidTr="00CA1AEA">
        <w:trPr>
          <w:cantSplit/>
          <w:trHeight w:hRule="exact" w:val="851"/>
        </w:trPr>
        <w:tc>
          <w:tcPr>
            <w:tcW w:w="1276" w:type="dxa"/>
            <w:tcBorders>
              <w:bottom w:val="single" w:sz="4" w:space="0" w:color="auto"/>
            </w:tcBorders>
            <w:vAlign w:val="bottom"/>
          </w:tcPr>
          <w:p w14:paraId="5B68DB62" w14:textId="3EB39A15" w:rsidR="00165C15" w:rsidRPr="0062350D" w:rsidRDefault="00165C15" w:rsidP="00CA1AEA">
            <w:pPr>
              <w:spacing w:after="80"/>
            </w:pPr>
          </w:p>
        </w:tc>
        <w:tc>
          <w:tcPr>
            <w:tcW w:w="2268" w:type="dxa"/>
            <w:tcBorders>
              <w:bottom w:val="single" w:sz="4" w:space="0" w:color="auto"/>
            </w:tcBorders>
            <w:vAlign w:val="bottom"/>
          </w:tcPr>
          <w:p w14:paraId="60B53343" w14:textId="3BF6CB23" w:rsidR="00165C15" w:rsidRPr="0062350D" w:rsidRDefault="00165C15" w:rsidP="00CA1AEA">
            <w:pPr>
              <w:spacing w:after="80" w:line="300" w:lineRule="exact"/>
              <w:rPr>
                <w:b/>
                <w:sz w:val="24"/>
                <w:szCs w:val="24"/>
              </w:rPr>
            </w:pPr>
            <w:r w:rsidRPr="0062350D">
              <w:rPr>
                <w:sz w:val="28"/>
                <w:szCs w:val="28"/>
              </w:rPr>
              <w:t>United</w:t>
            </w:r>
            <w:r w:rsidR="0062350D">
              <w:rPr>
                <w:sz w:val="28"/>
                <w:szCs w:val="28"/>
              </w:rPr>
              <w:t xml:space="preserve"> </w:t>
            </w:r>
            <w:r w:rsidRPr="0062350D">
              <w:rPr>
                <w:sz w:val="28"/>
                <w:szCs w:val="28"/>
              </w:rPr>
              <w:t>Nations</w:t>
            </w:r>
          </w:p>
        </w:tc>
        <w:tc>
          <w:tcPr>
            <w:tcW w:w="6095" w:type="dxa"/>
            <w:gridSpan w:val="2"/>
            <w:tcBorders>
              <w:bottom w:val="single" w:sz="4" w:space="0" w:color="auto"/>
            </w:tcBorders>
            <w:vAlign w:val="bottom"/>
          </w:tcPr>
          <w:p w14:paraId="227C8A6D" w14:textId="77777777" w:rsidR="00165C15" w:rsidRPr="0062350D" w:rsidRDefault="007F12C3" w:rsidP="007F12C3">
            <w:pPr>
              <w:suppressAutoHyphens w:val="0"/>
              <w:spacing w:after="20"/>
              <w:jc w:val="right"/>
            </w:pPr>
            <w:r w:rsidRPr="0062350D">
              <w:rPr>
                <w:sz w:val="40"/>
              </w:rPr>
              <w:t>CCPR</w:t>
            </w:r>
            <w:r w:rsidRPr="0062350D">
              <w:t>/C/132/D/2365/2014</w:t>
            </w:r>
          </w:p>
        </w:tc>
      </w:tr>
      <w:tr w:rsidR="00165C15" w:rsidRPr="0062350D" w14:paraId="0B4FB818" w14:textId="77777777" w:rsidTr="00CA1AEA">
        <w:trPr>
          <w:cantSplit/>
          <w:trHeight w:hRule="exact" w:val="2835"/>
        </w:trPr>
        <w:tc>
          <w:tcPr>
            <w:tcW w:w="1276" w:type="dxa"/>
            <w:tcBorders>
              <w:top w:val="single" w:sz="4" w:space="0" w:color="auto"/>
              <w:bottom w:val="single" w:sz="12" w:space="0" w:color="auto"/>
            </w:tcBorders>
          </w:tcPr>
          <w:p w14:paraId="42AA2666" w14:textId="77777777" w:rsidR="00165C15" w:rsidRPr="0062350D" w:rsidRDefault="00165C15" w:rsidP="00CA1AEA">
            <w:pPr>
              <w:spacing w:before="120"/>
            </w:pPr>
            <w:r w:rsidRPr="0062350D">
              <w:rPr>
                <w:noProof/>
                <w:lang w:eastAsia="en-GB"/>
              </w:rPr>
              <w:drawing>
                <wp:inline distT="0" distB="0" distL="0" distR="0" wp14:anchorId="727FA3C5" wp14:editId="25BABE1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8FE80E" w14:textId="78AB6A5B" w:rsidR="00165C15" w:rsidRPr="0062350D" w:rsidRDefault="00165C15" w:rsidP="00CA1AEA">
            <w:pPr>
              <w:spacing w:before="120" w:line="380" w:lineRule="exact"/>
              <w:rPr>
                <w:sz w:val="34"/>
              </w:rPr>
            </w:pPr>
            <w:r w:rsidRPr="0062350D">
              <w:rPr>
                <w:b/>
                <w:sz w:val="34"/>
                <w:szCs w:val="40"/>
              </w:rPr>
              <w:t>International</w:t>
            </w:r>
            <w:r w:rsidR="0062350D">
              <w:rPr>
                <w:b/>
                <w:sz w:val="34"/>
                <w:szCs w:val="40"/>
              </w:rPr>
              <w:t xml:space="preserve"> </w:t>
            </w:r>
            <w:r w:rsidRPr="0062350D">
              <w:rPr>
                <w:b/>
                <w:sz w:val="34"/>
                <w:szCs w:val="40"/>
              </w:rPr>
              <w:t>Covenant</w:t>
            </w:r>
            <w:r w:rsidR="0062350D">
              <w:rPr>
                <w:b/>
                <w:sz w:val="34"/>
                <w:szCs w:val="40"/>
              </w:rPr>
              <w:t xml:space="preserve"> </w:t>
            </w:r>
            <w:r w:rsidRPr="0062350D">
              <w:rPr>
                <w:b/>
                <w:sz w:val="34"/>
                <w:szCs w:val="40"/>
              </w:rPr>
              <w:t>on</w:t>
            </w:r>
            <w:r w:rsidRPr="0062350D">
              <w:rPr>
                <w:b/>
                <w:sz w:val="34"/>
                <w:szCs w:val="40"/>
              </w:rPr>
              <w:br/>
              <w:t>Civil</w:t>
            </w:r>
            <w:r w:rsidR="0062350D">
              <w:rPr>
                <w:b/>
                <w:sz w:val="34"/>
                <w:szCs w:val="40"/>
              </w:rPr>
              <w:t xml:space="preserve"> </w:t>
            </w:r>
            <w:r w:rsidRPr="0062350D">
              <w:rPr>
                <w:b/>
                <w:sz w:val="34"/>
                <w:szCs w:val="40"/>
              </w:rPr>
              <w:t>and</w:t>
            </w:r>
            <w:r w:rsidR="0062350D">
              <w:rPr>
                <w:b/>
                <w:sz w:val="34"/>
                <w:szCs w:val="40"/>
              </w:rPr>
              <w:t xml:space="preserve"> </w:t>
            </w:r>
            <w:r w:rsidRPr="0062350D">
              <w:rPr>
                <w:b/>
                <w:sz w:val="34"/>
                <w:szCs w:val="40"/>
              </w:rPr>
              <w:t>Political</w:t>
            </w:r>
            <w:r w:rsidR="0062350D">
              <w:rPr>
                <w:b/>
                <w:sz w:val="34"/>
                <w:szCs w:val="40"/>
              </w:rPr>
              <w:t xml:space="preserve"> </w:t>
            </w:r>
            <w:r w:rsidRPr="0062350D">
              <w:rPr>
                <w:b/>
                <w:sz w:val="34"/>
                <w:szCs w:val="40"/>
              </w:rPr>
              <w:t>Rights</w:t>
            </w:r>
          </w:p>
        </w:tc>
        <w:tc>
          <w:tcPr>
            <w:tcW w:w="2835" w:type="dxa"/>
            <w:tcBorders>
              <w:top w:val="single" w:sz="4" w:space="0" w:color="auto"/>
              <w:bottom w:val="single" w:sz="12" w:space="0" w:color="auto"/>
            </w:tcBorders>
          </w:tcPr>
          <w:p w14:paraId="6FC6221F" w14:textId="47250BD0" w:rsidR="00165C15" w:rsidRPr="0062350D" w:rsidRDefault="007F12C3" w:rsidP="007F12C3">
            <w:pPr>
              <w:suppressAutoHyphens w:val="0"/>
              <w:spacing w:before="240"/>
            </w:pPr>
            <w:r w:rsidRPr="0062350D">
              <w:t>Distr.:</w:t>
            </w:r>
            <w:r w:rsidR="0062350D">
              <w:t xml:space="preserve"> </w:t>
            </w:r>
            <w:r w:rsidRPr="0062350D">
              <w:t>General</w:t>
            </w:r>
          </w:p>
          <w:p w14:paraId="1F17F294" w14:textId="28E155E9" w:rsidR="007F12C3" w:rsidRPr="0062350D" w:rsidRDefault="007F12C3" w:rsidP="007F12C3">
            <w:pPr>
              <w:suppressAutoHyphens w:val="0"/>
            </w:pPr>
            <w:r w:rsidRPr="0062350D">
              <w:t>1</w:t>
            </w:r>
            <w:r w:rsidR="002C0237">
              <w:t>4</w:t>
            </w:r>
            <w:r w:rsidR="0062350D">
              <w:t xml:space="preserve"> </w:t>
            </w:r>
            <w:r w:rsidRPr="0062350D">
              <w:t>January</w:t>
            </w:r>
            <w:r w:rsidR="0062350D">
              <w:t xml:space="preserve"> </w:t>
            </w:r>
            <w:r w:rsidRPr="0062350D">
              <w:t>2022</w:t>
            </w:r>
          </w:p>
          <w:p w14:paraId="74C1E038" w14:textId="77777777" w:rsidR="007F12C3" w:rsidRPr="0062350D" w:rsidRDefault="007F12C3" w:rsidP="007F12C3">
            <w:pPr>
              <w:suppressAutoHyphens w:val="0"/>
            </w:pPr>
          </w:p>
          <w:p w14:paraId="4CC3B6FC" w14:textId="71780C87" w:rsidR="007F12C3" w:rsidRPr="0062350D" w:rsidRDefault="007F12C3" w:rsidP="007F12C3">
            <w:pPr>
              <w:suppressAutoHyphens w:val="0"/>
            </w:pPr>
            <w:r w:rsidRPr="0062350D">
              <w:t>Original:</w:t>
            </w:r>
            <w:r w:rsidR="0062350D">
              <w:t xml:space="preserve"> </w:t>
            </w:r>
            <w:r w:rsidRPr="0062350D">
              <w:t>English</w:t>
            </w:r>
          </w:p>
        </w:tc>
      </w:tr>
    </w:tbl>
    <w:p w14:paraId="52721D18" w14:textId="398A69B7" w:rsidR="007F12C3" w:rsidRPr="0062350D" w:rsidRDefault="007F12C3" w:rsidP="007F12C3">
      <w:pPr>
        <w:spacing w:before="120"/>
        <w:rPr>
          <w:b/>
          <w:bCs/>
          <w:sz w:val="24"/>
        </w:rPr>
      </w:pPr>
      <w:r w:rsidRPr="0062350D">
        <w:rPr>
          <w:b/>
          <w:bCs/>
          <w:sz w:val="24"/>
        </w:rPr>
        <w:t>Human</w:t>
      </w:r>
      <w:r w:rsidR="0062350D">
        <w:rPr>
          <w:b/>
          <w:bCs/>
          <w:sz w:val="24"/>
        </w:rPr>
        <w:t xml:space="preserve"> </w:t>
      </w:r>
      <w:r w:rsidRPr="0062350D">
        <w:rPr>
          <w:b/>
          <w:bCs/>
          <w:sz w:val="24"/>
        </w:rPr>
        <w:t>Rights</w:t>
      </w:r>
      <w:r w:rsidR="0062350D">
        <w:rPr>
          <w:b/>
          <w:bCs/>
          <w:sz w:val="24"/>
        </w:rPr>
        <w:t xml:space="preserve"> </w:t>
      </w:r>
      <w:r w:rsidRPr="0062350D">
        <w:rPr>
          <w:b/>
          <w:bCs/>
          <w:sz w:val="24"/>
        </w:rPr>
        <w:t>Committee</w:t>
      </w:r>
    </w:p>
    <w:p w14:paraId="7FE104EB" w14:textId="10CA3D68" w:rsidR="007F12C3" w:rsidRPr="0062350D" w:rsidRDefault="007F12C3" w:rsidP="007F12C3">
      <w:pPr>
        <w:pStyle w:val="HChG"/>
        <w:rPr>
          <w:b w:val="0"/>
          <w:bCs/>
        </w:rPr>
      </w:pPr>
      <w:r w:rsidRPr="0062350D">
        <w:tab/>
      </w:r>
      <w:r w:rsidRPr="0062350D">
        <w:tab/>
        <w:t>Views</w:t>
      </w:r>
      <w:r w:rsidR="0062350D">
        <w:t xml:space="preserve"> </w:t>
      </w:r>
      <w:r w:rsidRPr="0062350D">
        <w:t>adopted</w:t>
      </w:r>
      <w:r w:rsidR="0062350D">
        <w:t xml:space="preserve"> </w:t>
      </w:r>
      <w:r w:rsidRPr="0062350D">
        <w:t>by</w:t>
      </w:r>
      <w:r w:rsidR="0062350D">
        <w:t xml:space="preserve"> </w:t>
      </w:r>
      <w:r w:rsidRPr="0062350D">
        <w:t>the</w:t>
      </w:r>
      <w:r w:rsidR="0062350D">
        <w:t xml:space="preserve"> </w:t>
      </w:r>
      <w:r w:rsidRPr="0062350D">
        <w:t>Committee</w:t>
      </w:r>
      <w:r w:rsidR="0062350D">
        <w:t xml:space="preserve"> </w:t>
      </w:r>
      <w:r w:rsidRPr="0062350D">
        <w:t>under</w:t>
      </w:r>
      <w:r w:rsidR="0062350D">
        <w:t xml:space="preserve"> </w:t>
      </w:r>
      <w:r w:rsidRPr="0062350D">
        <w:t>article</w:t>
      </w:r>
      <w:r w:rsidR="0062350D">
        <w:t xml:space="preserve"> </w:t>
      </w:r>
      <w:r w:rsidRPr="0062350D">
        <w:t>5</w:t>
      </w:r>
      <w:r w:rsidR="0062350D">
        <w:t xml:space="preserve"> </w:t>
      </w:r>
      <w:r w:rsidRPr="0062350D">
        <w:t>(4)</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r w:rsidR="0062350D">
        <w:t xml:space="preserve"> </w:t>
      </w:r>
      <w:r w:rsidRPr="0062350D">
        <w:t>concerning</w:t>
      </w:r>
      <w:r w:rsidR="0062350D">
        <w:t xml:space="preserve"> </w:t>
      </w:r>
      <w:r w:rsidRPr="0062350D">
        <w:t>communication</w:t>
      </w:r>
      <w:r w:rsidR="0062350D">
        <w:t xml:space="preserve"> </w:t>
      </w:r>
      <w:r w:rsidRPr="0062350D">
        <w:t>No.</w:t>
      </w:r>
      <w:r w:rsidR="0062350D">
        <w:t> </w:t>
      </w:r>
      <w:r w:rsidRPr="0062350D">
        <w:t>2365/2014</w:t>
      </w:r>
      <w:r w:rsidR="002024DE" w:rsidRPr="0062350D">
        <w:rPr>
          <w:rStyle w:val="FootnoteReference"/>
          <w:b w:val="0"/>
          <w:bCs/>
          <w:sz w:val="20"/>
          <w:vertAlign w:val="baseline"/>
        </w:rPr>
        <w:footnoteReference w:customMarkFollows="1" w:id="1"/>
        <w:t>*</w:t>
      </w:r>
      <w:r w:rsidRPr="0062350D">
        <w:rPr>
          <w:b w:val="0"/>
          <w:bCs/>
          <w:position w:val="8"/>
          <w:sz w:val="20"/>
        </w:rPr>
        <w:t>,</w:t>
      </w:r>
      <w:r w:rsidR="0062350D">
        <w:rPr>
          <w:b w:val="0"/>
          <w:bCs/>
          <w:sz w:val="20"/>
          <w:vertAlign w:val="superscript"/>
        </w:rPr>
        <w:t xml:space="preserve"> </w:t>
      </w:r>
      <w:r w:rsidR="002024DE" w:rsidRPr="0062350D">
        <w:rPr>
          <w:rStyle w:val="FootnoteReference"/>
          <w:b w:val="0"/>
          <w:bCs/>
          <w:sz w:val="20"/>
          <w:vertAlign w:val="baseline"/>
        </w:rPr>
        <w:footnoteReference w:customMarkFollows="1" w:id="2"/>
        <w:t>**</w:t>
      </w:r>
    </w:p>
    <w:p w14:paraId="270F3C8C" w14:textId="4094FFE3" w:rsidR="007F12C3" w:rsidRPr="0062350D" w:rsidRDefault="007F12C3" w:rsidP="001A0F21">
      <w:pPr>
        <w:pStyle w:val="SingleTxtG"/>
        <w:tabs>
          <w:tab w:val="clear" w:pos="1701"/>
          <w:tab w:val="clear" w:pos="2268"/>
        </w:tabs>
        <w:ind w:left="4536" w:hanging="3402"/>
      </w:pPr>
      <w:r w:rsidRPr="0062350D">
        <w:rPr>
          <w:i/>
        </w:rPr>
        <w:t>Communication</w:t>
      </w:r>
      <w:r w:rsidR="0062350D">
        <w:rPr>
          <w:i/>
        </w:rPr>
        <w:t xml:space="preserve"> </w:t>
      </w:r>
      <w:r w:rsidRPr="0062350D">
        <w:rPr>
          <w:i/>
        </w:rPr>
        <w:t>submitted</w:t>
      </w:r>
      <w:r w:rsidR="0062350D">
        <w:rPr>
          <w:i/>
        </w:rPr>
        <w:t xml:space="preserve"> </w:t>
      </w:r>
      <w:r w:rsidRPr="0062350D">
        <w:rPr>
          <w:i/>
        </w:rPr>
        <w:t>by:</w:t>
      </w:r>
      <w:r w:rsidRPr="0062350D">
        <w:rPr>
          <w:i/>
        </w:rPr>
        <w:tab/>
      </w:r>
      <w:r w:rsidRPr="0062350D">
        <w:t>A.K.</w:t>
      </w:r>
      <w:r w:rsidR="0062350D">
        <w:t xml:space="preserve"> </w:t>
      </w:r>
      <w:r w:rsidRPr="0062350D">
        <w:t>et</w:t>
      </w:r>
      <w:r w:rsidR="0062350D">
        <w:t xml:space="preserve"> </w:t>
      </w:r>
      <w:r w:rsidRPr="0062350D">
        <w:t>al.</w:t>
      </w:r>
      <w:r w:rsidR="0062350D">
        <w:t xml:space="preserve"> </w:t>
      </w:r>
      <w:r w:rsidRPr="0062350D">
        <w:t>(represented</w:t>
      </w:r>
      <w:r w:rsidR="0062350D">
        <w:t xml:space="preserve"> </w:t>
      </w:r>
      <w:r w:rsidRPr="0062350D">
        <w:t>by</w:t>
      </w:r>
      <w:r w:rsidR="0062350D">
        <w:t xml:space="preserve"> </w:t>
      </w:r>
      <w:r w:rsidRPr="0062350D">
        <w:t>counsel,</w:t>
      </w:r>
      <w:r w:rsidR="0062350D">
        <w:t xml:space="preserve"> </w:t>
      </w:r>
      <w:r w:rsidRPr="0062350D">
        <w:t>Katherine</w:t>
      </w:r>
      <w:r w:rsidR="0062350D">
        <w:t xml:space="preserve"> </w:t>
      </w:r>
      <w:r w:rsidRPr="0062350D">
        <w:t>Wrigley,</w:t>
      </w:r>
      <w:r w:rsidR="0062350D">
        <w:t xml:space="preserve"> </w:t>
      </w:r>
      <w:r w:rsidRPr="0062350D">
        <w:t>of</w:t>
      </w:r>
      <w:r w:rsidR="0062350D">
        <w:t xml:space="preserve"> </w:t>
      </w:r>
      <w:r w:rsidRPr="0062350D">
        <w:t>the</w:t>
      </w:r>
      <w:r w:rsidR="0062350D">
        <w:t xml:space="preserve"> </w:t>
      </w:r>
      <w:r w:rsidRPr="0062350D">
        <w:t>Refugee</w:t>
      </w:r>
      <w:r w:rsidR="0062350D">
        <w:t xml:space="preserve"> </w:t>
      </w:r>
      <w:r w:rsidRPr="0062350D">
        <w:t>Advice</w:t>
      </w:r>
      <w:r w:rsidR="0062350D">
        <w:t xml:space="preserve"> </w:t>
      </w:r>
      <w:r w:rsidRPr="0062350D">
        <w:t>and</w:t>
      </w:r>
      <w:r w:rsidR="0062350D">
        <w:t xml:space="preserve"> </w:t>
      </w:r>
      <w:r w:rsidRPr="0062350D">
        <w:t>Casework</w:t>
      </w:r>
      <w:r w:rsidR="0062350D">
        <w:t xml:space="preserve"> </w:t>
      </w:r>
      <w:r w:rsidRPr="0062350D">
        <w:t>Service)</w:t>
      </w:r>
    </w:p>
    <w:p w14:paraId="0E9299F5" w14:textId="4A7CA3B7" w:rsidR="007F12C3" w:rsidRPr="0062350D" w:rsidRDefault="007F12C3" w:rsidP="001A0F21">
      <w:pPr>
        <w:pStyle w:val="SingleTxtG"/>
        <w:tabs>
          <w:tab w:val="clear" w:pos="1701"/>
          <w:tab w:val="clear" w:pos="2268"/>
        </w:tabs>
        <w:ind w:left="4536" w:hanging="3402"/>
        <w:rPr>
          <w:iCs/>
        </w:rPr>
      </w:pPr>
      <w:r w:rsidRPr="0062350D">
        <w:rPr>
          <w:i/>
        </w:rPr>
        <w:t>Alleged</w:t>
      </w:r>
      <w:r w:rsidR="0062350D">
        <w:rPr>
          <w:i/>
        </w:rPr>
        <w:t xml:space="preserve"> </w:t>
      </w:r>
      <w:r w:rsidRPr="0062350D">
        <w:rPr>
          <w:i/>
        </w:rPr>
        <w:t>victims:</w:t>
      </w:r>
      <w:r w:rsidRPr="0062350D">
        <w:rPr>
          <w:i/>
        </w:rPr>
        <w:tab/>
      </w:r>
      <w:r w:rsidRPr="0062350D">
        <w:t>The</w:t>
      </w:r>
      <w:r w:rsidR="0062350D">
        <w:t xml:space="preserve"> </w:t>
      </w:r>
      <w:r w:rsidRPr="0062350D">
        <w:t>authors</w:t>
      </w:r>
    </w:p>
    <w:p w14:paraId="29291057" w14:textId="0ED335AA" w:rsidR="007F12C3" w:rsidRPr="0062350D" w:rsidRDefault="007F12C3" w:rsidP="001A0F21">
      <w:pPr>
        <w:pStyle w:val="SingleTxtG"/>
        <w:tabs>
          <w:tab w:val="clear" w:pos="1701"/>
          <w:tab w:val="clear" w:pos="2268"/>
        </w:tabs>
        <w:ind w:left="4536" w:hanging="3402"/>
      </w:pPr>
      <w:r w:rsidRPr="0062350D">
        <w:rPr>
          <w:i/>
        </w:rPr>
        <w:t>State</w:t>
      </w:r>
      <w:r w:rsidR="0062350D">
        <w:rPr>
          <w:i/>
        </w:rPr>
        <w:t xml:space="preserve"> </w:t>
      </w:r>
      <w:r w:rsidRPr="0062350D">
        <w:rPr>
          <w:i/>
        </w:rPr>
        <w:t>party:</w:t>
      </w:r>
      <w:r w:rsidRPr="0062350D">
        <w:rPr>
          <w:i/>
        </w:rPr>
        <w:tab/>
      </w:r>
      <w:r w:rsidRPr="0062350D">
        <w:t>Australia</w:t>
      </w:r>
    </w:p>
    <w:p w14:paraId="2764A642" w14:textId="6EBD040C" w:rsidR="007F12C3" w:rsidRPr="0062350D" w:rsidRDefault="007F12C3" w:rsidP="001A0F21">
      <w:pPr>
        <w:pStyle w:val="SingleTxtG"/>
        <w:tabs>
          <w:tab w:val="clear" w:pos="1701"/>
          <w:tab w:val="clear" w:pos="2268"/>
        </w:tabs>
        <w:ind w:left="4536" w:hanging="3402"/>
      </w:pPr>
      <w:r w:rsidRPr="0062350D">
        <w:rPr>
          <w:i/>
        </w:rPr>
        <w:t>Date</w:t>
      </w:r>
      <w:r w:rsidR="0062350D">
        <w:rPr>
          <w:i/>
        </w:rPr>
        <w:t xml:space="preserve"> </w:t>
      </w:r>
      <w:r w:rsidRPr="0062350D">
        <w:rPr>
          <w:i/>
        </w:rPr>
        <w:t>of</w:t>
      </w:r>
      <w:r w:rsidR="0062350D">
        <w:rPr>
          <w:i/>
        </w:rPr>
        <w:t xml:space="preserve"> </w:t>
      </w:r>
      <w:r w:rsidRPr="0062350D">
        <w:rPr>
          <w:i/>
        </w:rPr>
        <w:t>communication:</w:t>
      </w:r>
      <w:r w:rsidRPr="0062350D">
        <w:rPr>
          <w:i/>
        </w:rPr>
        <w:tab/>
      </w:r>
      <w:r w:rsidRPr="0062350D">
        <w:t>13</w:t>
      </w:r>
      <w:r w:rsidR="0062350D">
        <w:t xml:space="preserve"> </w:t>
      </w:r>
      <w:r w:rsidRPr="0062350D">
        <w:t>March</w:t>
      </w:r>
      <w:r w:rsidR="0062350D">
        <w:t xml:space="preserve"> </w:t>
      </w:r>
      <w:r w:rsidRPr="0062350D">
        <w:t>2014</w:t>
      </w:r>
      <w:r w:rsidR="0062350D">
        <w:t xml:space="preserve"> </w:t>
      </w:r>
      <w:r w:rsidRPr="0062350D">
        <w:t>(initial</w:t>
      </w:r>
      <w:r w:rsidR="0062350D">
        <w:t xml:space="preserve"> </w:t>
      </w:r>
      <w:r w:rsidRPr="0062350D">
        <w:t>submission)</w:t>
      </w:r>
    </w:p>
    <w:p w14:paraId="5B4B04D9" w14:textId="11FECA06" w:rsidR="007F12C3" w:rsidRPr="0062350D" w:rsidRDefault="007F12C3" w:rsidP="001A0F21">
      <w:pPr>
        <w:pStyle w:val="SingleTxtG"/>
        <w:tabs>
          <w:tab w:val="clear" w:pos="1701"/>
          <w:tab w:val="clear" w:pos="2268"/>
        </w:tabs>
        <w:ind w:left="4536" w:hanging="3402"/>
      </w:pPr>
      <w:r w:rsidRPr="0062350D">
        <w:rPr>
          <w:i/>
        </w:rPr>
        <w:t>Document</w:t>
      </w:r>
      <w:r w:rsidR="0062350D">
        <w:rPr>
          <w:i/>
        </w:rPr>
        <w:t xml:space="preserve"> </w:t>
      </w:r>
      <w:r w:rsidRPr="0062350D">
        <w:rPr>
          <w:i/>
        </w:rPr>
        <w:t>references:</w:t>
      </w:r>
      <w:r w:rsidRPr="0062350D">
        <w:rPr>
          <w:i/>
        </w:rPr>
        <w:tab/>
      </w:r>
      <w:r w:rsidRPr="0062350D">
        <w:t>Decision</w:t>
      </w:r>
      <w:r w:rsidR="0062350D">
        <w:t xml:space="preserve"> </w:t>
      </w:r>
      <w:r w:rsidRPr="0062350D">
        <w:t>taken</w:t>
      </w:r>
      <w:r w:rsidR="0062350D">
        <w:t xml:space="preserve"> </w:t>
      </w:r>
      <w:r w:rsidRPr="0062350D">
        <w:t>pursuant</w:t>
      </w:r>
      <w:r w:rsidR="0062350D">
        <w:t xml:space="preserve"> </w:t>
      </w:r>
      <w:r w:rsidRPr="0062350D">
        <w:t>to</w:t>
      </w:r>
      <w:r w:rsidR="0062350D">
        <w:t xml:space="preserve"> </w:t>
      </w:r>
      <w:r w:rsidRPr="0062350D">
        <w:t>rule</w:t>
      </w:r>
      <w:r w:rsidR="0062350D">
        <w:t xml:space="preserve"> </w:t>
      </w:r>
      <w:r w:rsidRPr="0062350D">
        <w:t>92</w:t>
      </w:r>
      <w:r w:rsidR="0062350D">
        <w:t xml:space="preserve"> </w:t>
      </w:r>
      <w:r w:rsidRPr="0062350D">
        <w:t>of</w:t>
      </w:r>
      <w:r w:rsidR="0062350D">
        <w:t xml:space="preserve"> </w:t>
      </w:r>
      <w:r w:rsidRPr="0062350D">
        <w:t>the</w:t>
      </w:r>
      <w:r w:rsidR="0062350D">
        <w:t xml:space="preserve"> </w:t>
      </w:r>
      <w:r w:rsidRPr="0062350D">
        <w:t>Committee</w:t>
      </w:r>
      <w:r w:rsidR="0062350D" w:rsidRPr="0062350D">
        <w:t>’</w:t>
      </w:r>
      <w:r w:rsidRPr="0062350D">
        <w:t>s</w:t>
      </w:r>
      <w:r w:rsidR="0062350D">
        <w:t xml:space="preserve"> </w:t>
      </w:r>
      <w:r w:rsidRPr="0062350D">
        <w:t>rules</w:t>
      </w:r>
      <w:r w:rsidR="0062350D">
        <w:t xml:space="preserve"> </w:t>
      </w:r>
      <w:r w:rsidRPr="0062350D">
        <w:t>of</w:t>
      </w:r>
      <w:r w:rsidR="0062350D">
        <w:t xml:space="preserve"> </w:t>
      </w:r>
      <w:r w:rsidRPr="0062350D">
        <w:t>procedure,</w:t>
      </w:r>
      <w:r w:rsidR="0062350D">
        <w:t xml:space="preserve"> </w:t>
      </w:r>
      <w:r w:rsidRPr="0062350D">
        <w:t>transmitted</w:t>
      </w:r>
      <w:r w:rsidR="0062350D">
        <w:t xml:space="preserve"> </w:t>
      </w:r>
      <w:r w:rsidRPr="0062350D">
        <w:t>to</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on</w:t>
      </w:r>
      <w:r w:rsidR="0062350D">
        <w:t xml:space="preserve"> </w:t>
      </w:r>
      <w:r w:rsidRPr="0062350D">
        <w:t>21</w:t>
      </w:r>
      <w:r w:rsidR="0062350D">
        <w:t xml:space="preserve"> </w:t>
      </w:r>
      <w:r w:rsidRPr="0062350D">
        <w:t>March</w:t>
      </w:r>
      <w:r w:rsidR="0062350D">
        <w:t xml:space="preserve"> </w:t>
      </w:r>
      <w:r w:rsidRPr="0062350D">
        <w:t>2014</w:t>
      </w:r>
      <w:r w:rsidR="0062350D">
        <w:t xml:space="preserve"> </w:t>
      </w:r>
      <w:r w:rsidRPr="0062350D">
        <w:t>(not</w:t>
      </w:r>
      <w:r w:rsidR="0062350D">
        <w:t xml:space="preserve"> </w:t>
      </w:r>
      <w:r w:rsidRPr="0062350D">
        <w:t>issued</w:t>
      </w:r>
      <w:r w:rsidR="0062350D">
        <w:t xml:space="preserve"> </w:t>
      </w:r>
      <w:r w:rsidRPr="0062350D">
        <w:t>in</w:t>
      </w:r>
      <w:r w:rsidR="0062350D">
        <w:t xml:space="preserve"> </w:t>
      </w:r>
      <w:r w:rsidRPr="0062350D">
        <w:t>document</w:t>
      </w:r>
      <w:r w:rsidR="0062350D">
        <w:t xml:space="preserve"> </w:t>
      </w:r>
      <w:r w:rsidRPr="0062350D">
        <w:t>form)</w:t>
      </w:r>
    </w:p>
    <w:p w14:paraId="6805CE9F" w14:textId="51C5F2EC" w:rsidR="007F12C3" w:rsidRPr="0062350D" w:rsidRDefault="007F12C3" w:rsidP="001A0F21">
      <w:pPr>
        <w:pStyle w:val="SingleTxtG"/>
        <w:tabs>
          <w:tab w:val="clear" w:pos="1701"/>
          <w:tab w:val="clear" w:pos="2268"/>
        </w:tabs>
        <w:ind w:left="4536" w:hanging="3402"/>
      </w:pPr>
      <w:r w:rsidRPr="0062350D">
        <w:rPr>
          <w:i/>
        </w:rPr>
        <w:t>Date</w:t>
      </w:r>
      <w:r w:rsidR="0062350D">
        <w:rPr>
          <w:i/>
        </w:rPr>
        <w:t xml:space="preserve"> </w:t>
      </w:r>
      <w:r w:rsidRPr="0062350D">
        <w:rPr>
          <w:i/>
        </w:rPr>
        <w:t>of</w:t>
      </w:r>
      <w:r w:rsidR="0062350D">
        <w:rPr>
          <w:i/>
        </w:rPr>
        <w:t xml:space="preserve"> </w:t>
      </w:r>
      <w:r w:rsidRPr="0062350D">
        <w:rPr>
          <w:i/>
        </w:rPr>
        <w:t>adoption</w:t>
      </w:r>
      <w:r w:rsidR="0062350D">
        <w:rPr>
          <w:i/>
        </w:rPr>
        <w:t xml:space="preserve"> </w:t>
      </w:r>
      <w:r w:rsidRPr="0062350D">
        <w:rPr>
          <w:i/>
        </w:rPr>
        <w:t>of</w:t>
      </w:r>
      <w:r w:rsidR="0062350D">
        <w:rPr>
          <w:i/>
        </w:rPr>
        <w:t xml:space="preserve"> </w:t>
      </w:r>
      <w:r w:rsidRPr="0062350D">
        <w:rPr>
          <w:i/>
        </w:rPr>
        <w:t>Views:</w:t>
      </w:r>
      <w:r w:rsidRPr="0062350D">
        <w:rPr>
          <w:i/>
        </w:rPr>
        <w:tab/>
      </w:r>
      <w:r w:rsidRPr="0062350D">
        <w:t>8</w:t>
      </w:r>
      <w:r w:rsidR="0062350D">
        <w:t xml:space="preserve"> </w:t>
      </w:r>
      <w:r w:rsidRPr="0062350D">
        <w:t>July</w:t>
      </w:r>
      <w:r w:rsidR="0062350D">
        <w:t xml:space="preserve"> </w:t>
      </w:r>
      <w:r w:rsidRPr="0062350D">
        <w:t>2021</w:t>
      </w:r>
    </w:p>
    <w:p w14:paraId="41D4A924" w14:textId="6D46A2F1" w:rsidR="007F12C3" w:rsidRPr="0062350D" w:rsidRDefault="007F12C3" w:rsidP="001A0F21">
      <w:pPr>
        <w:pStyle w:val="SingleTxtG"/>
        <w:tabs>
          <w:tab w:val="clear" w:pos="1701"/>
          <w:tab w:val="clear" w:pos="2268"/>
        </w:tabs>
        <w:ind w:left="4536" w:hanging="3402"/>
      </w:pPr>
      <w:r w:rsidRPr="0062350D">
        <w:rPr>
          <w:i/>
          <w:iCs/>
        </w:rPr>
        <w:t>Subject</w:t>
      </w:r>
      <w:r w:rsidR="0062350D">
        <w:rPr>
          <w:i/>
          <w:iCs/>
        </w:rPr>
        <w:t xml:space="preserve"> </w:t>
      </w:r>
      <w:r w:rsidRPr="0062350D">
        <w:rPr>
          <w:i/>
          <w:iCs/>
        </w:rPr>
        <w:t>matter:</w:t>
      </w:r>
      <w:r w:rsidRPr="0062350D">
        <w:rPr>
          <w:i/>
        </w:rPr>
        <w:tab/>
      </w:r>
      <w:r w:rsidRPr="0062350D">
        <w:t>Detention</w:t>
      </w:r>
      <w:r w:rsidR="0062350D">
        <w:t xml:space="preserve"> </w:t>
      </w:r>
      <w:r w:rsidRPr="0062350D">
        <w:t>of</w:t>
      </w:r>
      <w:r w:rsidR="0062350D">
        <w:t xml:space="preserve"> </w:t>
      </w:r>
      <w:r w:rsidRPr="0062350D">
        <w:t>minors</w:t>
      </w:r>
      <w:r w:rsidR="0062350D">
        <w:t xml:space="preserve"> </w:t>
      </w:r>
      <w:r w:rsidRPr="0062350D">
        <w:t>in</w:t>
      </w:r>
      <w:r w:rsidR="0062350D">
        <w:t xml:space="preserve"> </w:t>
      </w:r>
      <w:r w:rsidRPr="0062350D">
        <w:t>immigration</w:t>
      </w:r>
      <w:r w:rsidR="0062350D">
        <w:t xml:space="preserve"> </w:t>
      </w:r>
      <w:r w:rsidRPr="0062350D">
        <w:t>facilities</w:t>
      </w:r>
    </w:p>
    <w:p w14:paraId="16699BD4" w14:textId="2ED7BD7A" w:rsidR="007F12C3" w:rsidRPr="0062350D" w:rsidRDefault="007F12C3" w:rsidP="001A0F21">
      <w:pPr>
        <w:pStyle w:val="SingleTxtG"/>
        <w:tabs>
          <w:tab w:val="clear" w:pos="1701"/>
          <w:tab w:val="clear" w:pos="2268"/>
        </w:tabs>
        <w:ind w:left="4536" w:hanging="3402"/>
      </w:pPr>
      <w:r w:rsidRPr="0062350D">
        <w:rPr>
          <w:i/>
          <w:iCs/>
        </w:rPr>
        <w:t>Procedural</w:t>
      </w:r>
      <w:r w:rsidR="0062350D">
        <w:rPr>
          <w:i/>
          <w:iCs/>
        </w:rPr>
        <w:t xml:space="preserve"> </w:t>
      </w:r>
      <w:r w:rsidRPr="0062350D">
        <w:rPr>
          <w:i/>
          <w:iCs/>
        </w:rPr>
        <w:t>issues</w:t>
      </w:r>
      <w:r w:rsidRPr="0062350D">
        <w:rPr>
          <w:i/>
        </w:rPr>
        <w:t>:</w:t>
      </w:r>
      <w:r w:rsidRPr="0062350D">
        <w:rPr>
          <w:i/>
          <w:iCs/>
        </w:rPr>
        <w:tab/>
      </w:r>
      <w:r w:rsidRPr="0062350D">
        <w:t>Lack</w:t>
      </w:r>
      <w:r w:rsidR="0062350D">
        <w:t xml:space="preserve"> </w:t>
      </w:r>
      <w:r w:rsidRPr="0062350D">
        <w:t>of</w:t>
      </w:r>
      <w:r w:rsidR="0062350D">
        <w:t xml:space="preserve"> </w:t>
      </w:r>
      <w:r w:rsidRPr="0062350D">
        <w:t>substantiation</w:t>
      </w:r>
    </w:p>
    <w:p w14:paraId="6C8BCE02" w14:textId="24C2EDE8" w:rsidR="007F12C3" w:rsidRPr="0062350D" w:rsidRDefault="007F12C3" w:rsidP="001A0F21">
      <w:pPr>
        <w:pStyle w:val="SingleTxtG"/>
        <w:tabs>
          <w:tab w:val="clear" w:pos="1701"/>
          <w:tab w:val="clear" w:pos="2268"/>
        </w:tabs>
        <w:ind w:left="4536" w:hanging="3402"/>
      </w:pPr>
      <w:r w:rsidRPr="0062350D">
        <w:rPr>
          <w:i/>
          <w:iCs/>
        </w:rPr>
        <w:t>Substantive</w:t>
      </w:r>
      <w:r w:rsidR="0062350D">
        <w:rPr>
          <w:i/>
          <w:iCs/>
        </w:rPr>
        <w:t xml:space="preserve"> </w:t>
      </w:r>
      <w:r w:rsidRPr="0062350D">
        <w:rPr>
          <w:i/>
          <w:iCs/>
        </w:rPr>
        <w:t>issues:</w:t>
      </w:r>
      <w:r w:rsidRPr="0062350D">
        <w:rPr>
          <w:i/>
          <w:iCs/>
        </w:rPr>
        <w:tab/>
      </w:r>
      <w:r w:rsidRPr="0062350D">
        <w:rPr>
          <w:iCs/>
        </w:rPr>
        <w:t>C</w:t>
      </w:r>
      <w:r w:rsidRPr="0062350D">
        <w:t>ruel,</w:t>
      </w:r>
      <w:r w:rsidR="0062350D">
        <w:t xml:space="preserve"> </w:t>
      </w:r>
      <w:r w:rsidRPr="0062350D">
        <w:t>inhuman</w:t>
      </w:r>
      <w:r w:rsidR="0062350D">
        <w:t xml:space="preserve"> </w:t>
      </w:r>
      <w:r w:rsidRPr="0062350D">
        <w:t>or</w:t>
      </w:r>
      <w:r w:rsidR="0062350D">
        <w:t xml:space="preserve"> </w:t>
      </w:r>
      <w:r w:rsidRPr="0062350D">
        <w:t>degrading</w:t>
      </w:r>
      <w:r w:rsidR="0062350D">
        <w:t xml:space="preserve"> </w:t>
      </w:r>
      <w:r w:rsidRPr="0062350D">
        <w:t>treatment</w:t>
      </w:r>
      <w:r w:rsidR="0062350D">
        <w:t xml:space="preserve"> </w:t>
      </w:r>
      <w:r w:rsidRPr="0062350D">
        <w:t>or</w:t>
      </w:r>
      <w:r w:rsidR="0062350D">
        <w:t xml:space="preserve"> </w:t>
      </w:r>
      <w:r w:rsidRPr="0062350D">
        <w:t>punishment;</w:t>
      </w:r>
      <w:r w:rsidR="0062350D">
        <w:t xml:space="preserve"> </w:t>
      </w:r>
      <w:r w:rsidRPr="0062350D">
        <w:t>liberty</w:t>
      </w:r>
      <w:r w:rsidR="0062350D">
        <w:t xml:space="preserve"> </w:t>
      </w:r>
      <w:r w:rsidRPr="0062350D">
        <w:t>and</w:t>
      </w:r>
      <w:r w:rsidR="0062350D">
        <w:t xml:space="preserve"> </w:t>
      </w:r>
      <w:r w:rsidRPr="0062350D">
        <w:t>security</w:t>
      </w:r>
      <w:r w:rsidR="0062350D">
        <w:t xml:space="preserve"> </w:t>
      </w:r>
      <w:r w:rsidRPr="0062350D">
        <w:t>of</w:t>
      </w:r>
      <w:r w:rsidR="0062350D">
        <w:t xml:space="preserve"> </w:t>
      </w:r>
      <w:r w:rsidRPr="0062350D">
        <w:t>person;</w:t>
      </w:r>
      <w:r w:rsidR="0062350D">
        <w:t xml:space="preserve"> </w:t>
      </w:r>
      <w:r w:rsidRPr="0062350D">
        <w:t>human</w:t>
      </w:r>
      <w:r w:rsidR="0062350D">
        <w:t xml:space="preserve"> </w:t>
      </w:r>
      <w:r w:rsidRPr="0062350D">
        <w:t>dignity;</w:t>
      </w:r>
      <w:r w:rsidR="0062350D">
        <w:t xml:space="preserve"> </w:t>
      </w:r>
      <w:r w:rsidRPr="0062350D">
        <w:t>children</w:t>
      </w:r>
      <w:r w:rsidR="0062350D" w:rsidRPr="0062350D">
        <w:t>’</w:t>
      </w:r>
      <w:r w:rsidRPr="0062350D">
        <w:t>s</w:t>
      </w:r>
      <w:r w:rsidR="0062350D">
        <w:t xml:space="preserve"> </w:t>
      </w:r>
      <w:r w:rsidRPr="0062350D">
        <w:t>rights;</w:t>
      </w:r>
      <w:r w:rsidR="0062350D">
        <w:t xml:space="preserve"> </w:t>
      </w:r>
      <w:r w:rsidRPr="0062350D">
        <w:t>right</w:t>
      </w:r>
      <w:r w:rsidR="0062350D">
        <w:t xml:space="preserve"> </w:t>
      </w:r>
      <w:r w:rsidRPr="0062350D">
        <w:t>to</w:t>
      </w:r>
      <w:r w:rsidR="0062350D">
        <w:t xml:space="preserve"> </w:t>
      </w:r>
      <w:r w:rsidRPr="0062350D">
        <w:t>an</w:t>
      </w:r>
      <w:r w:rsidR="0062350D">
        <w:t xml:space="preserve"> </w:t>
      </w:r>
      <w:r w:rsidRPr="0062350D">
        <w:t>effective</w:t>
      </w:r>
      <w:r w:rsidR="0062350D">
        <w:t xml:space="preserve"> </w:t>
      </w:r>
      <w:r w:rsidRPr="0062350D">
        <w:t>remedy</w:t>
      </w:r>
    </w:p>
    <w:p w14:paraId="4A6B1332" w14:textId="56F44BED" w:rsidR="007F12C3" w:rsidRPr="0062350D" w:rsidRDefault="007F12C3" w:rsidP="001A0F21">
      <w:pPr>
        <w:pStyle w:val="SingleTxtG"/>
        <w:tabs>
          <w:tab w:val="clear" w:pos="1701"/>
          <w:tab w:val="clear" w:pos="2268"/>
        </w:tabs>
        <w:ind w:left="4536" w:hanging="3402"/>
      </w:pPr>
      <w:r w:rsidRPr="0062350D">
        <w:rPr>
          <w:i/>
          <w:iCs/>
        </w:rPr>
        <w:t>Articles</w:t>
      </w:r>
      <w:r w:rsidR="0062350D">
        <w:rPr>
          <w:i/>
          <w:iCs/>
        </w:rPr>
        <w:t xml:space="preserve"> </w:t>
      </w:r>
      <w:r w:rsidRPr="0062350D">
        <w:rPr>
          <w:i/>
          <w:iCs/>
        </w:rPr>
        <w:t>of</w:t>
      </w:r>
      <w:r w:rsidR="0062350D">
        <w:rPr>
          <w:i/>
          <w:iCs/>
        </w:rPr>
        <w:t xml:space="preserve"> </w:t>
      </w:r>
      <w:r w:rsidRPr="0062350D">
        <w:rPr>
          <w:i/>
          <w:iCs/>
        </w:rPr>
        <w:t>the</w:t>
      </w:r>
      <w:r w:rsidR="0062350D">
        <w:rPr>
          <w:i/>
          <w:iCs/>
        </w:rPr>
        <w:t xml:space="preserve"> </w:t>
      </w:r>
      <w:r w:rsidRPr="0062350D">
        <w:rPr>
          <w:i/>
          <w:iCs/>
        </w:rPr>
        <w:t>Covenant</w:t>
      </w:r>
      <w:r w:rsidRPr="0062350D">
        <w:rPr>
          <w:i/>
        </w:rPr>
        <w:t>:</w:t>
      </w:r>
      <w:r w:rsidRPr="0062350D">
        <w:rPr>
          <w:i/>
          <w:iCs/>
        </w:rPr>
        <w:tab/>
      </w:r>
      <w:r w:rsidRPr="0062350D">
        <w:t>2</w:t>
      </w:r>
      <w:r w:rsidR="0062350D">
        <w:t xml:space="preserve"> </w:t>
      </w:r>
      <w:r w:rsidRPr="0062350D">
        <w:t>(3),</w:t>
      </w:r>
      <w:r w:rsidR="0062350D">
        <w:t xml:space="preserve"> </w:t>
      </w:r>
      <w:r w:rsidRPr="0062350D">
        <w:t>7,</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10,</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p>
    <w:p w14:paraId="08CC315F" w14:textId="7524923E" w:rsidR="007F12C3" w:rsidRPr="0062350D" w:rsidRDefault="007F12C3" w:rsidP="003D283D">
      <w:pPr>
        <w:pStyle w:val="SingleTxtG"/>
        <w:tabs>
          <w:tab w:val="clear" w:pos="1701"/>
          <w:tab w:val="clear" w:pos="2268"/>
        </w:tabs>
        <w:spacing w:after="240"/>
        <w:ind w:left="4536" w:hanging="3402"/>
      </w:pPr>
      <w:r w:rsidRPr="0062350D">
        <w:rPr>
          <w:i/>
          <w:iCs/>
        </w:rPr>
        <w:t>Articles</w:t>
      </w:r>
      <w:r w:rsidR="0062350D">
        <w:rPr>
          <w:i/>
          <w:iCs/>
        </w:rPr>
        <w:t xml:space="preserve"> </w:t>
      </w:r>
      <w:r w:rsidRPr="0062350D">
        <w:rPr>
          <w:i/>
          <w:iCs/>
        </w:rPr>
        <w:t>of</w:t>
      </w:r>
      <w:r w:rsidR="0062350D">
        <w:rPr>
          <w:i/>
          <w:iCs/>
        </w:rPr>
        <w:t xml:space="preserve"> </w:t>
      </w:r>
      <w:r w:rsidRPr="0062350D">
        <w:rPr>
          <w:i/>
          <w:iCs/>
        </w:rPr>
        <w:t>the</w:t>
      </w:r>
      <w:r w:rsidR="0062350D">
        <w:rPr>
          <w:i/>
          <w:iCs/>
        </w:rPr>
        <w:t xml:space="preserve"> </w:t>
      </w:r>
      <w:r w:rsidRPr="0062350D">
        <w:rPr>
          <w:i/>
          <w:iCs/>
        </w:rPr>
        <w:t>Optional</w:t>
      </w:r>
      <w:r w:rsidR="0062350D">
        <w:rPr>
          <w:i/>
          <w:iCs/>
        </w:rPr>
        <w:t xml:space="preserve"> </w:t>
      </w:r>
      <w:r w:rsidRPr="0062350D">
        <w:rPr>
          <w:i/>
          <w:iCs/>
        </w:rPr>
        <w:t>Protocol:</w:t>
      </w:r>
      <w:r w:rsidRPr="0062350D">
        <w:rPr>
          <w:i/>
          <w:iCs/>
        </w:rPr>
        <w:tab/>
      </w:r>
      <w:r w:rsidRPr="0062350D">
        <w:t>2</w:t>
      </w:r>
      <w:r w:rsidR="0062350D">
        <w:t xml:space="preserve"> </w:t>
      </w:r>
      <w:r w:rsidRPr="0062350D">
        <w:t>and</w:t>
      </w:r>
      <w:r w:rsidR="0062350D">
        <w:t xml:space="preserve"> </w:t>
      </w:r>
      <w:r w:rsidRPr="0062350D">
        <w:t>3</w:t>
      </w:r>
    </w:p>
    <w:p w14:paraId="2965798F" w14:textId="716079DB" w:rsidR="007F12C3" w:rsidRPr="0062350D" w:rsidRDefault="007F12C3" w:rsidP="005D6A3F">
      <w:pPr>
        <w:pStyle w:val="SingleTxtG"/>
        <w:rPr>
          <w:rFonts w:eastAsia="MS Mincho"/>
        </w:rPr>
      </w:pPr>
      <w:r w:rsidRPr="0062350D">
        <w:rPr>
          <w:rFonts w:eastAsia="MS Mincho"/>
        </w:rPr>
        <w:t>1.1</w:t>
      </w:r>
      <w:r w:rsidRPr="0062350D">
        <w:rPr>
          <w:rFonts w:eastAsia="MS Mincho"/>
        </w:rPr>
        <w:tab/>
        <w:t>The</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communication</w:t>
      </w:r>
      <w:r w:rsidR="0062350D">
        <w:rPr>
          <w:rFonts w:eastAsia="MS Mincho"/>
        </w:rPr>
        <w:t xml:space="preserve"> </w:t>
      </w:r>
      <w:r w:rsidRPr="0062350D">
        <w:rPr>
          <w:rFonts w:eastAsia="MS Mincho"/>
        </w:rPr>
        <w:t>are</w:t>
      </w:r>
      <w:r w:rsidR="0062350D">
        <w:rPr>
          <w:rFonts w:eastAsia="MS Mincho"/>
        </w:rPr>
        <w:t xml:space="preserve"> </w:t>
      </w:r>
      <w:r w:rsidRPr="0062350D">
        <w:rPr>
          <w:rFonts w:eastAsia="MS Mincho"/>
        </w:rPr>
        <w:t>A.K.,</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1998,</w:t>
      </w:r>
      <w:r w:rsidR="0062350D">
        <w:rPr>
          <w:rFonts w:eastAsia="MS Mincho"/>
        </w:rPr>
        <w:t xml:space="preserve"> </w:t>
      </w:r>
      <w:r w:rsidRPr="0062350D">
        <w:rPr>
          <w:rFonts w:eastAsia="MS Mincho"/>
        </w:rPr>
        <w:t>A.R.,</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11</w:t>
      </w:r>
      <w:r w:rsidR="0062350D">
        <w:rPr>
          <w:rFonts w:eastAsia="MS Mincho"/>
        </w:rPr>
        <w:t xml:space="preserve"> </w:t>
      </w:r>
      <w:r w:rsidRPr="0062350D">
        <w:rPr>
          <w:rFonts w:eastAsia="MS Mincho"/>
        </w:rPr>
        <w:t>February</w:t>
      </w:r>
      <w:r w:rsidR="0062350D">
        <w:rPr>
          <w:rFonts w:eastAsia="MS Mincho"/>
        </w:rPr>
        <w:t xml:space="preserve"> </w:t>
      </w:r>
      <w:r w:rsidRPr="0062350D">
        <w:rPr>
          <w:rFonts w:eastAsia="MS Mincho"/>
        </w:rPr>
        <w:t>1997,</w:t>
      </w:r>
      <w:r w:rsidR="0062350D">
        <w:rPr>
          <w:rFonts w:eastAsia="MS Mincho"/>
        </w:rPr>
        <w:t xml:space="preserve"> </w:t>
      </w:r>
      <w:r w:rsidRPr="0062350D">
        <w:rPr>
          <w:rFonts w:eastAsia="MS Mincho"/>
        </w:rPr>
        <w:t>G.Z.,</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1998,</w:t>
      </w:r>
      <w:r w:rsidR="0062350D">
        <w:rPr>
          <w:rFonts w:eastAsia="MS Mincho"/>
        </w:rPr>
        <w:t xml:space="preserve"> </w:t>
      </w:r>
      <w:r w:rsidRPr="0062350D">
        <w:rPr>
          <w:rFonts w:eastAsia="MS Mincho"/>
        </w:rPr>
        <w:t>B.A.A.,</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1998,</w:t>
      </w:r>
      <w:r w:rsidR="0062350D">
        <w:rPr>
          <w:rFonts w:eastAsia="MS Mincho"/>
        </w:rPr>
        <w:t xml:space="preserve"> </w:t>
      </w:r>
      <w:r w:rsidRPr="0062350D">
        <w:rPr>
          <w:rFonts w:eastAsia="MS Mincho"/>
        </w:rPr>
        <w:t>E.E.,</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1997,</w:t>
      </w:r>
      <w:r w:rsidR="0062350D">
        <w:rPr>
          <w:rFonts w:eastAsia="MS Mincho"/>
        </w:rPr>
        <w:t xml:space="preserve"> </w:t>
      </w:r>
      <w:r w:rsidRPr="0062350D">
        <w:rPr>
          <w:rFonts w:eastAsia="MS Mincho"/>
        </w:rPr>
        <w:t>H.M.,</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1996,</w:t>
      </w:r>
      <w:r w:rsidR="0062350D">
        <w:rPr>
          <w:rFonts w:eastAsia="MS Mincho"/>
        </w:rPr>
        <w:t xml:space="preserve"> </w:t>
      </w:r>
      <w:r w:rsidRPr="0062350D">
        <w:rPr>
          <w:rFonts w:eastAsia="MS Mincho"/>
        </w:rPr>
        <w:t>S.H.,</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1997</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K.M.,</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25</w:t>
      </w:r>
      <w:r w:rsidR="0062350D">
        <w:rPr>
          <w:rFonts w:eastAsia="MS Mincho"/>
        </w:rPr>
        <w:t xml:space="preserve"> </w:t>
      </w:r>
      <w:r w:rsidRPr="0062350D">
        <w:rPr>
          <w:rFonts w:eastAsia="MS Mincho"/>
        </w:rPr>
        <w:t>April</w:t>
      </w:r>
      <w:r w:rsidR="0062350D">
        <w:rPr>
          <w:rFonts w:eastAsia="MS Mincho"/>
        </w:rPr>
        <w:t xml:space="preserve"> </w:t>
      </w:r>
      <w:r w:rsidRPr="0062350D">
        <w:rPr>
          <w:rFonts w:eastAsia="MS Mincho"/>
        </w:rPr>
        <w:t>1999,</w:t>
      </w:r>
      <w:r w:rsidR="0062350D">
        <w:rPr>
          <w:rFonts w:eastAsia="MS Mincho"/>
        </w:rPr>
        <w:t xml:space="preserve"> </w:t>
      </w:r>
      <w:r w:rsidRPr="0062350D">
        <w:rPr>
          <w:rFonts w:eastAsia="MS Mincho"/>
        </w:rPr>
        <w:t>all</w:t>
      </w:r>
      <w:r w:rsidR="0062350D">
        <w:rPr>
          <w:rFonts w:eastAsia="MS Mincho"/>
        </w:rPr>
        <w:t xml:space="preserve"> </w:t>
      </w:r>
      <w:r w:rsidRPr="0062350D">
        <w:rPr>
          <w:rFonts w:eastAsia="MS Mincho"/>
        </w:rPr>
        <w:t>nationals</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Afghanistan,</w:t>
      </w:r>
      <w:r w:rsidR="0062350D">
        <w:rPr>
          <w:rFonts w:eastAsia="MS Mincho"/>
        </w:rPr>
        <w:t xml:space="preserve"> </w:t>
      </w:r>
      <w:r w:rsidRPr="0062350D">
        <w:rPr>
          <w:rFonts w:eastAsia="MS Mincho"/>
        </w:rPr>
        <w:t>A.Z.,</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12</w:t>
      </w:r>
      <w:r w:rsidR="0062350D">
        <w:rPr>
          <w:rFonts w:eastAsia="MS Mincho"/>
        </w:rPr>
        <w:t xml:space="preserve"> </w:t>
      </w:r>
      <w:r w:rsidRPr="0062350D">
        <w:rPr>
          <w:rFonts w:eastAsia="MS Mincho"/>
        </w:rPr>
        <w:t>February</w:t>
      </w:r>
      <w:r w:rsidR="0062350D">
        <w:rPr>
          <w:rFonts w:eastAsia="MS Mincho"/>
        </w:rPr>
        <w:t xml:space="preserve"> </w:t>
      </w:r>
      <w:r w:rsidRPr="0062350D">
        <w:rPr>
          <w:rFonts w:eastAsia="MS Mincho"/>
        </w:rPr>
        <w:t>1997,</w:t>
      </w:r>
      <w:r w:rsidR="0062350D">
        <w:rPr>
          <w:rFonts w:eastAsia="MS Mincho"/>
        </w:rPr>
        <w:t xml:space="preserve"> </w:t>
      </w:r>
      <w:r w:rsidRPr="0062350D">
        <w:rPr>
          <w:rFonts w:eastAsia="MS Mincho"/>
        </w:rPr>
        <w:t>S.M.,</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w:t>
      </w:r>
      <w:r w:rsidR="0062350D">
        <w:rPr>
          <w:rFonts w:eastAsia="MS Mincho"/>
        </w:rPr>
        <w:t xml:space="preserve"> </w:t>
      </w:r>
      <w:r w:rsidRPr="0062350D">
        <w:rPr>
          <w:rFonts w:eastAsia="MS Mincho"/>
        </w:rPr>
        <w:t>June</w:t>
      </w:r>
      <w:r w:rsidR="0062350D">
        <w:rPr>
          <w:rFonts w:eastAsia="MS Mincho"/>
        </w:rPr>
        <w:t xml:space="preserve"> </w:t>
      </w:r>
      <w:r w:rsidRPr="0062350D">
        <w:rPr>
          <w:rFonts w:eastAsia="MS Mincho"/>
        </w:rPr>
        <w:t>1996,</w:t>
      </w:r>
      <w:r w:rsidR="0062350D">
        <w:rPr>
          <w:rFonts w:eastAsia="MS Mincho"/>
        </w:rPr>
        <w:t xml:space="preserve"> </w:t>
      </w:r>
      <w:r w:rsidRPr="0062350D">
        <w:rPr>
          <w:rFonts w:eastAsia="MS Mincho"/>
        </w:rPr>
        <w:t>H.I.,</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1994</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A.M.,</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w:t>
      </w:r>
      <w:r w:rsidR="0062350D">
        <w:rPr>
          <w:rFonts w:eastAsia="MS Mincho"/>
        </w:rPr>
        <w:t xml:space="preserve"> </w:t>
      </w:r>
      <w:r w:rsidRPr="0062350D">
        <w:rPr>
          <w:rFonts w:eastAsia="MS Mincho"/>
        </w:rPr>
        <w:t>January</w:t>
      </w:r>
      <w:r w:rsidR="0062350D">
        <w:rPr>
          <w:rFonts w:eastAsia="MS Mincho"/>
        </w:rPr>
        <w:t xml:space="preserve"> </w:t>
      </w:r>
      <w:r w:rsidRPr="0062350D">
        <w:rPr>
          <w:rFonts w:eastAsia="MS Mincho"/>
        </w:rPr>
        <w:t>1998,</w:t>
      </w:r>
      <w:r w:rsidR="0062350D">
        <w:rPr>
          <w:rFonts w:eastAsia="MS Mincho"/>
        </w:rPr>
        <w:t xml:space="preserve"> </w:t>
      </w:r>
      <w:r w:rsidRPr="0062350D">
        <w:rPr>
          <w:rFonts w:eastAsia="MS Mincho"/>
        </w:rPr>
        <w:t>all</w:t>
      </w:r>
      <w:r w:rsidR="0062350D">
        <w:rPr>
          <w:rFonts w:eastAsia="MS Mincho"/>
        </w:rPr>
        <w:t xml:space="preserve"> </w:t>
      </w:r>
      <w:r w:rsidRPr="0062350D">
        <w:rPr>
          <w:rFonts w:eastAsia="MS Mincho"/>
        </w:rPr>
        <w:t>nationals</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Pakistan,</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D.D.,</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15</w:t>
      </w:r>
      <w:r w:rsidR="0062350D">
        <w:rPr>
          <w:rFonts w:eastAsia="MS Mincho"/>
        </w:rPr>
        <w:t xml:space="preserve"> </w:t>
      </w:r>
      <w:r w:rsidRPr="0062350D">
        <w:rPr>
          <w:rFonts w:eastAsia="MS Mincho"/>
        </w:rPr>
        <w:t>February</w:t>
      </w:r>
      <w:r w:rsidR="0062350D">
        <w:rPr>
          <w:rFonts w:eastAsia="MS Mincho"/>
        </w:rPr>
        <w:t xml:space="preserve"> </w:t>
      </w:r>
      <w:r w:rsidRPr="0062350D">
        <w:rPr>
          <w:rFonts w:eastAsia="MS Mincho"/>
        </w:rPr>
        <w:t>1997,</w:t>
      </w:r>
      <w:r w:rsidR="0062350D">
        <w:rPr>
          <w:rFonts w:eastAsia="MS Mincho"/>
        </w:rPr>
        <w:t xml:space="preserve"> </w:t>
      </w:r>
      <w:r w:rsidRPr="0062350D">
        <w:rPr>
          <w:rFonts w:eastAsia="MS Mincho"/>
        </w:rPr>
        <w:t>a</w:t>
      </w:r>
      <w:r w:rsidR="0062350D">
        <w:rPr>
          <w:rFonts w:eastAsia="MS Mincho"/>
        </w:rPr>
        <w:t xml:space="preserve"> </w:t>
      </w:r>
      <w:r w:rsidRPr="0062350D">
        <w:rPr>
          <w:rFonts w:eastAsia="MS Mincho"/>
        </w:rPr>
        <w:t>national</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Iraq.</w:t>
      </w:r>
      <w:r w:rsidR="0062350D">
        <w:rPr>
          <w:rFonts w:eastAsia="MS Mincho"/>
        </w:rPr>
        <w:t xml:space="preserve"> </w:t>
      </w:r>
      <w:r w:rsidRPr="0062350D">
        <w:rPr>
          <w:rFonts w:eastAsia="MS Mincho"/>
        </w:rPr>
        <w:t>In</w:t>
      </w:r>
      <w:r w:rsidR="0062350D">
        <w:rPr>
          <w:rFonts w:eastAsia="MS Mincho"/>
        </w:rPr>
        <w:t xml:space="preserve"> </w:t>
      </w:r>
      <w:r w:rsidRPr="0062350D">
        <w:rPr>
          <w:rFonts w:eastAsia="MS Mincho"/>
        </w:rPr>
        <w:t>2013,</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arrived</w:t>
      </w:r>
      <w:r w:rsidR="0062350D">
        <w:rPr>
          <w:rFonts w:eastAsia="MS Mincho"/>
        </w:rPr>
        <w:t xml:space="preserve"> </w:t>
      </w:r>
      <w:r w:rsidRPr="0062350D">
        <w:rPr>
          <w:rFonts w:eastAsia="MS Mincho"/>
        </w:rPr>
        <w:t>as</w:t>
      </w:r>
      <w:r w:rsidR="0062350D">
        <w:rPr>
          <w:rFonts w:eastAsia="MS Mincho"/>
        </w:rPr>
        <w:t xml:space="preserve"> </w:t>
      </w:r>
      <w:r w:rsidRPr="0062350D">
        <w:rPr>
          <w:rFonts w:eastAsia="MS Mincho"/>
        </w:rPr>
        <w:t>unaccompanied</w:t>
      </w:r>
      <w:r w:rsidR="0062350D">
        <w:rPr>
          <w:rFonts w:eastAsia="MS Mincho"/>
        </w:rPr>
        <w:t xml:space="preserve"> </w:t>
      </w:r>
      <w:r w:rsidRPr="0062350D">
        <w:rPr>
          <w:rFonts w:eastAsia="MS Mincho"/>
        </w:rPr>
        <w:t>minors</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Australia</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were</w:t>
      </w:r>
      <w:r w:rsidR="0062350D">
        <w:rPr>
          <w:rFonts w:eastAsia="MS Mincho"/>
        </w:rPr>
        <w:t xml:space="preserve"> </w:t>
      </w:r>
      <w:r w:rsidRPr="0062350D">
        <w:rPr>
          <w:rFonts w:eastAsia="MS Mincho"/>
        </w:rPr>
        <w:t>placed</w:t>
      </w:r>
      <w:r w:rsidR="0062350D">
        <w:rPr>
          <w:rFonts w:eastAsia="MS Mincho"/>
        </w:rPr>
        <w:t xml:space="preserve"> </w:t>
      </w:r>
      <w:r w:rsidRPr="0062350D">
        <w:rPr>
          <w:rFonts w:eastAsia="MS Mincho"/>
        </w:rPr>
        <w:t>in</w:t>
      </w:r>
      <w:r w:rsidR="0062350D">
        <w:rPr>
          <w:rFonts w:eastAsia="MS Mincho"/>
        </w:rPr>
        <w:t xml:space="preserve"> </w:t>
      </w:r>
      <w:r w:rsidRPr="0062350D">
        <w:rPr>
          <w:rFonts w:eastAsia="MS Mincho"/>
        </w:rPr>
        <w:t>a</w:t>
      </w:r>
      <w:r w:rsidR="0062350D">
        <w:rPr>
          <w:rFonts w:eastAsia="MS Mincho"/>
        </w:rPr>
        <w:t xml:space="preserve"> </w:t>
      </w:r>
      <w:r w:rsidRPr="0062350D">
        <w:rPr>
          <w:rFonts w:eastAsia="MS Mincho"/>
        </w:rPr>
        <w:t>detention</w:t>
      </w:r>
      <w:r w:rsidR="0062350D">
        <w:rPr>
          <w:rFonts w:eastAsia="MS Mincho"/>
        </w:rPr>
        <w:t xml:space="preserve"> </w:t>
      </w:r>
      <w:r w:rsidRPr="0062350D">
        <w:rPr>
          <w:rFonts w:eastAsia="MS Mincho"/>
        </w:rPr>
        <w:t>centre.</w:t>
      </w:r>
      <w:r w:rsidR="0062350D">
        <w:rPr>
          <w:rFonts w:eastAsia="MS Mincho"/>
        </w:rPr>
        <w:t xml:space="preserve"> </w:t>
      </w:r>
      <w:r w:rsidRPr="0062350D">
        <w:rPr>
          <w:rFonts w:eastAsia="MS Mincho"/>
        </w:rPr>
        <w:t>Initially,</w:t>
      </w:r>
      <w:r w:rsidR="0062350D">
        <w:rPr>
          <w:rFonts w:eastAsia="MS Mincho"/>
        </w:rPr>
        <w:t xml:space="preserve"> </w:t>
      </w:r>
      <w:r w:rsidRPr="0062350D">
        <w:rPr>
          <w:rFonts w:eastAsia="MS Mincho"/>
        </w:rPr>
        <w:t>they</w:t>
      </w:r>
      <w:r w:rsidR="0062350D">
        <w:rPr>
          <w:rFonts w:eastAsia="MS Mincho"/>
        </w:rPr>
        <w:t xml:space="preserve"> </w:t>
      </w:r>
      <w:r w:rsidRPr="0062350D">
        <w:rPr>
          <w:rFonts w:eastAsia="MS Mincho"/>
        </w:rPr>
        <w:t>claimed</w:t>
      </w:r>
      <w:r w:rsidR="0062350D">
        <w:rPr>
          <w:rFonts w:eastAsia="MS Mincho"/>
        </w:rPr>
        <w:t xml:space="preserve"> </w:t>
      </w:r>
      <w:r w:rsidRPr="0062350D">
        <w:rPr>
          <w:rFonts w:eastAsia="MS Mincho"/>
        </w:rPr>
        <w:t>that</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State</w:t>
      </w:r>
      <w:r w:rsidR="0062350D">
        <w:rPr>
          <w:rFonts w:eastAsia="MS Mincho"/>
        </w:rPr>
        <w:t xml:space="preserve"> </w:t>
      </w:r>
      <w:r w:rsidRPr="0062350D">
        <w:rPr>
          <w:rFonts w:eastAsia="MS Mincho"/>
        </w:rPr>
        <w:t>party</w:t>
      </w:r>
      <w:r w:rsidR="0062350D">
        <w:rPr>
          <w:rFonts w:eastAsia="MS Mincho"/>
        </w:rPr>
        <w:t xml:space="preserve"> </w:t>
      </w:r>
      <w:r w:rsidRPr="0062350D">
        <w:rPr>
          <w:rFonts w:eastAsia="MS Mincho"/>
        </w:rPr>
        <w:t>would</w:t>
      </w:r>
      <w:r w:rsidR="0062350D">
        <w:rPr>
          <w:rFonts w:eastAsia="MS Mincho"/>
        </w:rPr>
        <w:t xml:space="preserve"> </w:t>
      </w:r>
      <w:r w:rsidRPr="0062350D">
        <w:rPr>
          <w:rFonts w:eastAsia="MS Mincho"/>
        </w:rPr>
        <w:t>violate</w:t>
      </w:r>
      <w:r w:rsidR="0062350D">
        <w:rPr>
          <w:rFonts w:eastAsia="MS Mincho"/>
        </w:rPr>
        <w:t xml:space="preserve"> </w:t>
      </w:r>
      <w:r w:rsidRPr="0062350D">
        <w:rPr>
          <w:rFonts w:eastAsia="MS Mincho"/>
        </w:rPr>
        <w:t>their</w:t>
      </w:r>
      <w:r w:rsidR="0062350D">
        <w:rPr>
          <w:rFonts w:eastAsia="MS Mincho"/>
        </w:rPr>
        <w:t xml:space="preserve"> </w:t>
      </w:r>
      <w:r w:rsidRPr="0062350D">
        <w:rPr>
          <w:rFonts w:eastAsia="MS Mincho"/>
        </w:rPr>
        <w:t>rights</w:t>
      </w:r>
      <w:r w:rsidR="0062350D">
        <w:rPr>
          <w:rFonts w:eastAsia="MS Mincho"/>
        </w:rPr>
        <w:t xml:space="preserve"> </w:t>
      </w:r>
      <w:r w:rsidRPr="0062350D">
        <w:rPr>
          <w:rFonts w:eastAsia="MS Mincho"/>
        </w:rPr>
        <w:t>under</w:t>
      </w:r>
      <w:r w:rsidR="0062350D">
        <w:rPr>
          <w:rFonts w:eastAsia="MS Mincho"/>
        </w:rPr>
        <w:t xml:space="preserve"> </w:t>
      </w:r>
      <w:r w:rsidRPr="0062350D">
        <w:rPr>
          <w:rFonts w:eastAsia="MS Mincho"/>
        </w:rPr>
        <w:t>article</w:t>
      </w:r>
      <w:r w:rsidR="0062350D">
        <w:rPr>
          <w:rFonts w:eastAsia="MS Mincho"/>
        </w:rPr>
        <w:t xml:space="preserve"> </w:t>
      </w:r>
      <w:r w:rsidRPr="0062350D">
        <w:rPr>
          <w:rFonts w:eastAsia="MS Mincho"/>
        </w:rPr>
        <w:t>24</w:t>
      </w:r>
      <w:r w:rsidR="0062350D">
        <w:rPr>
          <w:rFonts w:eastAsia="MS Mincho"/>
        </w:rPr>
        <w:t xml:space="preserve"> </w:t>
      </w:r>
      <w:r w:rsidRPr="0062350D">
        <w:rPr>
          <w:rFonts w:eastAsia="MS Mincho"/>
        </w:rPr>
        <w:t>(1)</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Covenant</w:t>
      </w:r>
      <w:r w:rsidR="0062350D">
        <w:rPr>
          <w:rFonts w:eastAsia="MS Mincho"/>
        </w:rPr>
        <w:t xml:space="preserve"> </w:t>
      </w:r>
      <w:r w:rsidRPr="0062350D">
        <w:rPr>
          <w:rFonts w:eastAsia="MS Mincho"/>
        </w:rPr>
        <w:t>in</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event</w:t>
      </w:r>
      <w:r w:rsidR="0062350D">
        <w:rPr>
          <w:rFonts w:eastAsia="MS Mincho"/>
        </w:rPr>
        <w:t xml:space="preserve"> </w:t>
      </w:r>
      <w:r w:rsidRPr="0062350D">
        <w:rPr>
          <w:rFonts w:eastAsia="MS Mincho"/>
        </w:rPr>
        <w:t>that</w:t>
      </w:r>
      <w:r w:rsidR="0062350D">
        <w:rPr>
          <w:rFonts w:eastAsia="MS Mincho"/>
        </w:rPr>
        <w:t xml:space="preserve"> </w:t>
      </w:r>
      <w:r w:rsidRPr="0062350D">
        <w:rPr>
          <w:rFonts w:eastAsia="MS Mincho"/>
        </w:rPr>
        <w:t>they</w:t>
      </w:r>
      <w:r w:rsidR="0062350D">
        <w:rPr>
          <w:rFonts w:eastAsia="MS Mincho"/>
        </w:rPr>
        <w:t xml:space="preserve"> </w:t>
      </w:r>
      <w:r w:rsidRPr="0062350D">
        <w:rPr>
          <w:rFonts w:eastAsia="MS Mincho"/>
        </w:rPr>
        <w:t>were</w:t>
      </w:r>
      <w:r w:rsidR="0062350D">
        <w:rPr>
          <w:rFonts w:eastAsia="MS Mincho"/>
        </w:rPr>
        <w:t xml:space="preserve"> </w:t>
      </w:r>
      <w:r w:rsidRPr="0062350D">
        <w:rPr>
          <w:rFonts w:eastAsia="MS Mincho"/>
        </w:rPr>
        <w:t>transferred</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Nauru</w:t>
      </w:r>
      <w:r w:rsidR="0062350D">
        <w:rPr>
          <w:rFonts w:eastAsia="MS Mincho"/>
        </w:rPr>
        <w:t xml:space="preserve"> </w:t>
      </w:r>
      <w:r w:rsidRPr="0062350D">
        <w:rPr>
          <w:rFonts w:eastAsia="MS Mincho"/>
        </w:rPr>
        <w:lastRenderedPageBreak/>
        <w:t>regional</w:t>
      </w:r>
      <w:r w:rsidR="0062350D">
        <w:rPr>
          <w:rFonts w:eastAsia="MS Mincho"/>
        </w:rPr>
        <w:t xml:space="preserve"> </w:t>
      </w:r>
      <w:r w:rsidRPr="0062350D">
        <w:rPr>
          <w:rFonts w:eastAsia="MS Mincho"/>
        </w:rPr>
        <w:t>processing</w:t>
      </w:r>
      <w:r w:rsidR="0062350D">
        <w:rPr>
          <w:rFonts w:eastAsia="MS Mincho"/>
        </w:rPr>
        <w:t xml:space="preserve"> </w:t>
      </w:r>
      <w:r w:rsidRPr="0062350D">
        <w:rPr>
          <w:rFonts w:eastAsia="MS Mincho"/>
        </w:rPr>
        <w:t>centre.</w:t>
      </w:r>
      <w:r w:rsidR="0062350D">
        <w:rPr>
          <w:rFonts w:eastAsia="MS Mincho"/>
        </w:rPr>
        <w:t xml:space="preserve"> </w:t>
      </w:r>
      <w:r w:rsidRPr="0062350D">
        <w:rPr>
          <w:rFonts w:eastAsia="MS Mincho"/>
        </w:rPr>
        <w:t>In</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subsequent</w:t>
      </w:r>
      <w:r w:rsidR="0062350D">
        <w:rPr>
          <w:rFonts w:eastAsia="MS Mincho"/>
        </w:rPr>
        <w:t xml:space="preserve"> </w:t>
      </w:r>
      <w:r w:rsidRPr="0062350D">
        <w:rPr>
          <w:rFonts w:eastAsia="MS Mincho"/>
        </w:rPr>
        <w:t>submission</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24</w:t>
      </w:r>
      <w:r w:rsidR="0062350D">
        <w:rPr>
          <w:rFonts w:eastAsia="MS Mincho"/>
        </w:rPr>
        <w:t xml:space="preserve"> </w:t>
      </w:r>
      <w:r w:rsidRPr="0062350D">
        <w:rPr>
          <w:rFonts w:eastAsia="MS Mincho"/>
        </w:rPr>
        <w:t>March</w:t>
      </w:r>
      <w:r w:rsidR="0062350D">
        <w:rPr>
          <w:rFonts w:eastAsia="MS Mincho"/>
        </w:rPr>
        <w:t xml:space="preserve"> </w:t>
      </w:r>
      <w:r w:rsidRPr="0062350D">
        <w:rPr>
          <w:rFonts w:eastAsia="MS Mincho"/>
        </w:rPr>
        <w:t>2014,</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Committee</w:t>
      </w:r>
      <w:r w:rsidR="0062350D">
        <w:rPr>
          <w:rFonts w:eastAsia="MS Mincho"/>
        </w:rPr>
        <w:t xml:space="preserve"> </w:t>
      </w:r>
      <w:r w:rsidRPr="0062350D">
        <w:rPr>
          <w:rFonts w:eastAsia="MS Mincho"/>
        </w:rPr>
        <w:t>was</w:t>
      </w:r>
      <w:r w:rsidR="0062350D">
        <w:rPr>
          <w:rFonts w:eastAsia="MS Mincho"/>
        </w:rPr>
        <w:t xml:space="preserve"> </w:t>
      </w:r>
      <w:r w:rsidRPr="0062350D">
        <w:rPr>
          <w:rFonts w:eastAsia="MS Mincho"/>
        </w:rPr>
        <w:t>informed</w:t>
      </w:r>
      <w:r w:rsidR="0062350D">
        <w:rPr>
          <w:rFonts w:eastAsia="MS Mincho"/>
        </w:rPr>
        <w:t xml:space="preserve"> </w:t>
      </w:r>
      <w:r w:rsidRPr="0062350D">
        <w:rPr>
          <w:rFonts w:eastAsia="MS Mincho"/>
        </w:rPr>
        <w:t>that</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also</w:t>
      </w:r>
      <w:r w:rsidR="0062350D">
        <w:rPr>
          <w:rFonts w:eastAsia="MS Mincho"/>
        </w:rPr>
        <w:t xml:space="preserve"> </w:t>
      </w:r>
      <w:r w:rsidRPr="0062350D">
        <w:rPr>
          <w:rFonts w:eastAsia="MS Mincho"/>
        </w:rPr>
        <w:t>claimed</w:t>
      </w:r>
      <w:r w:rsidR="0062350D">
        <w:rPr>
          <w:rFonts w:eastAsia="MS Mincho"/>
        </w:rPr>
        <w:t xml:space="preserve"> </w:t>
      </w:r>
      <w:r w:rsidRPr="0062350D">
        <w:rPr>
          <w:rFonts w:eastAsia="MS Mincho"/>
        </w:rPr>
        <w:t>violations</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articles</w:t>
      </w:r>
      <w:r w:rsidR="0062350D">
        <w:rPr>
          <w:rFonts w:eastAsia="MS Mincho"/>
        </w:rPr>
        <w:t xml:space="preserve"> </w:t>
      </w:r>
      <w:r w:rsidRPr="0062350D">
        <w:rPr>
          <w:rFonts w:eastAsia="MS Mincho"/>
        </w:rPr>
        <w:t>2</w:t>
      </w:r>
      <w:r w:rsidR="0062350D">
        <w:rPr>
          <w:rFonts w:eastAsia="MS Mincho"/>
        </w:rPr>
        <w:t xml:space="preserve"> </w:t>
      </w:r>
      <w:r w:rsidRPr="0062350D">
        <w:rPr>
          <w:rFonts w:eastAsia="MS Mincho"/>
        </w:rPr>
        <w:t>(3),</w:t>
      </w:r>
      <w:r w:rsidR="0062350D">
        <w:rPr>
          <w:rFonts w:eastAsia="MS Mincho"/>
        </w:rPr>
        <w:t xml:space="preserve"> </w:t>
      </w:r>
      <w:r w:rsidRPr="0062350D">
        <w:rPr>
          <w:rFonts w:eastAsia="MS Mincho"/>
        </w:rPr>
        <w:t>7,</w:t>
      </w:r>
      <w:r w:rsidR="0062350D">
        <w:rPr>
          <w:rFonts w:eastAsia="MS Mincho"/>
        </w:rPr>
        <w:t xml:space="preserve"> </w:t>
      </w:r>
      <w:r w:rsidRPr="0062350D">
        <w:rPr>
          <w:rFonts w:eastAsia="MS Mincho"/>
        </w:rPr>
        <w:t>9</w:t>
      </w:r>
      <w:r w:rsidR="0062350D">
        <w:rPr>
          <w:rFonts w:eastAsia="MS Mincho"/>
        </w:rPr>
        <w:t xml:space="preserve"> </w:t>
      </w:r>
      <w:r w:rsidRPr="0062350D">
        <w:rPr>
          <w:rFonts w:eastAsia="MS Mincho"/>
        </w:rPr>
        <w:t>(1)</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(4),</w:t>
      </w:r>
      <w:r w:rsidR="0062350D">
        <w:rPr>
          <w:rFonts w:eastAsia="MS Mincho"/>
        </w:rPr>
        <w:t xml:space="preserve"> </w:t>
      </w:r>
      <w:r w:rsidRPr="0062350D">
        <w:rPr>
          <w:rFonts w:eastAsia="MS Mincho"/>
        </w:rPr>
        <w:t>10,</w:t>
      </w:r>
      <w:r w:rsidR="0062350D">
        <w:rPr>
          <w:rFonts w:eastAsia="MS Mincho"/>
        </w:rPr>
        <w:t xml:space="preserve"> </w:t>
      </w:r>
      <w:r w:rsidRPr="0062350D">
        <w:rPr>
          <w:rFonts w:eastAsia="MS Mincho"/>
        </w:rPr>
        <w:t>17</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23</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Covenant.</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10</w:t>
      </w:r>
      <w:r w:rsidR="0062350D">
        <w:rPr>
          <w:rFonts w:eastAsia="MS Mincho"/>
        </w:rPr>
        <w:t xml:space="preserve"> </w:t>
      </w:r>
      <w:r w:rsidRPr="0062350D">
        <w:rPr>
          <w:rFonts w:eastAsia="MS Mincho"/>
        </w:rPr>
        <w:t>September</w:t>
      </w:r>
      <w:r w:rsidR="0062350D">
        <w:rPr>
          <w:rFonts w:eastAsia="MS Mincho"/>
        </w:rPr>
        <w:t xml:space="preserve"> </w:t>
      </w:r>
      <w:r w:rsidRPr="0062350D">
        <w:rPr>
          <w:rFonts w:eastAsia="MS Mincho"/>
        </w:rPr>
        <w:t>2015</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submitted</w:t>
      </w:r>
      <w:r w:rsidR="0062350D">
        <w:rPr>
          <w:rFonts w:eastAsia="MS Mincho"/>
        </w:rPr>
        <w:t xml:space="preserve"> </w:t>
      </w:r>
      <w:r w:rsidRPr="0062350D">
        <w:rPr>
          <w:rFonts w:eastAsia="MS Mincho"/>
        </w:rPr>
        <w:t>additional</w:t>
      </w:r>
      <w:r w:rsidR="0062350D">
        <w:rPr>
          <w:rFonts w:eastAsia="MS Mincho"/>
        </w:rPr>
        <w:t xml:space="preserve"> </w:t>
      </w:r>
      <w:r w:rsidRPr="0062350D">
        <w:rPr>
          <w:rFonts w:eastAsia="MS Mincho"/>
        </w:rPr>
        <w:t>claims</w:t>
      </w:r>
      <w:r w:rsidR="0062350D">
        <w:rPr>
          <w:rFonts w:eastAsia="MS Mincho"/>
        </w:rPr>
        <w:t xml:space="preserve"> </w:t>
      </w:r>
      <w:r w:rsidRPr="0062350D">
        <w:rPr>
          <w:rFonts w:eastAsia="MS Mincho"/>
        </w:rPr>
        <w:t>about</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conditions</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their</w:t>
      </w:r>
      <w:r w:rsidR="0062350D">
        <w:rPr>
          <w:rFonts w:eastAsia="MS Mincho"/>
        </w:rPr>
        <w:t xml:space="preserve"> </w:t>
      </w:r>
      <w:r w:rsidRPr="0062350D">
        <w:rPr>
          <w:rFonts w:eastAsia="MS Mincho"/>
        </w:rPr>
        <w:t>detention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mainland</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Australia</w:t>
      </w:r>
      <w:r w:rsidR="0062350D">
        <w:rPr>
          <w:rFonts w:eastAsia="MS Mincho"/>
        </w:rPr>
        <w:t xml:space="preserve"> </w:t>
      </w:r>
      <w:r w:rsidRPr="0062350D">
        <w:rPr>
          <w:rFonts w:eastAsia="MS Mincho"/>
        </w:rPr>
        <w:t>under</w:t>
      </w:r>
      <w:r w:rsidR="0062350D">
        <w:rPr>
          <w:rFonts w:eastAsia="MS Mincho"/>
        </w:rPr>
        <w:t xml:space="preserve"> </w:t>
      </w:r>
      <w:r w:rsidRPr="0062350D">
        <w:rPr>
          <w:rFonts w:eastAsia="MS Mincho"/>
        </w:rPr>
        <w:t>articles</w:t>
      </w:r>
      <w:r w:rsidR="0062350D">
        <w:rPr>
          <w:rFonts w:eastAsia="MS Mincho"/>
        </w:rPr>
        <w:t xml:space="preserve"> </w:t>
      </w:r>
      <w:r w:rsidRPr="0062350D">
        <w:rPr>
          <w:rFonts w:eastAsia="MS Mincho"/>
        </w:rPr>
        <w:t>17,</w:t>
      </w:r>
      <w:r w:rsidR="0062350D">
        <w:rPr>
          <w:rFonts w:eastAsia="MS Mincho"/>
        </w:rPr>
        <w:t xml:space="preserve"> </w:t>
      </w:r>
      <w:r w:rsidRPr="0062350D">
        <w:rPr>
          <w:rFonts w:eastAsia="MS Mincho"/>
        </w:rPr>
        <w:t>23</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24</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Covenant.</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Optional</w:t>
      </w:r>
      <w:r w:rsidR="0062350D">
        <w:rPr>
          <w:rFonts w:eastAsia="MS Mincho"/>
        </w:rPr>
        <w:t xml:space="preserve"> </w:t>
      </w:r>
      <w:r w:rsidRPr="0062350D">
        <w:rPr>
          <w:rFonts w:eastAsia="MS Mincho"/>
        </w:rPr>
        <w:t>Protocol</w:t>
      </w:r>
      <w:r w:rsidR="0062350D">
        <w:rPr>
          <w:rFonts w:eastAsia="MS Mincho"/>
        </w:rPr>
        <w:t xml:space="preserve"> </w:t>
      </w:r>
      <w:r w:rsidRPr="0062350D">
        <w:rPr>
          <w:rFonts w:eastAsia="MS Mincho"/>
        </w:rPr>
        <w:t>entered</w:t>
      </w:r>
      <w:r w:rsidR="0062350D">
        <w:rPr>
          <w:rFonts w:eastAsia="MS Mincho"/>
        </w:rPr>
        <w:t xml:space="preserve"> </w:t>
      </w:r>
      <w:r w:rsidRPr="0062350D">
        <w:rPr>
          <w:rFonts w:eastAsia="MS Mincho"/>
        </w:rPr>
        <w:t>into</w:t>
      </w:r>
      <w:r w:rsidR="0062350D">
        <w:rPr>
          <w:rFonts w:eastAsia="MS Mincho"/>
        </w:rPr>
        <w:t xml:space="preserve"> </w:t>
      </w:r>
      <w:r w:rsidRPr="0062350D">
        <w:rPr>
          <w:rFonts w:eastAsia="MS Mincho"/>
        </w:rPr>
        <w:t>force</w:t>
      </w:r>
      <w:r w:rsidR="0062350D">
        <w:rPr>
          <w:rFonts w:eastAsia="MS Mincho"/>
        </w:rPr>
        <w:t xml:space="preserve"> </w:t>
      </w:r>
      <w:r w:rsidRPr="0062350D">
        <w:rPr>
          <w:rFonts w:eastAsia="MS Mincho"/>
        </w:rPr>
        <w:t>for</w:t>
      </w:r>
      <w:r w:rsidR="0062350D">
        <w:rPr>
          <w:rFonts w:eastAsia="MS Mincho"/>
        </w:rPr>
        <w:t xml:space="preserve"> </w:t>
      </w:r>
      <w:r w:rsidRPr="0062350D">
        <w:rPr>
          <w:rFonts w:eastAsia="MS Mincho"/>
        </w:rPr>
        <w:t>Australia</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25</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1991.</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are</w:t>
      </w:r>
      <w:r w:rsidR="0062350D">
        <w:rPr>
          <w:rFonts w:eastAsia="MS Mincho"/>
        </w:rPr>
        <w:t xml:space="preserve"> </w:t>
      </w:r>
      <w:r w:rsidRPr="0062350D">
        <w:rPr>
          <w:rFonts w:eastAsia="MS Mincho"/>
        </w:rPr>
        <w:t>represented</w:t>
      </w:r>
      <w:r w:rsidR="0062350D">
        <w:rPr>
          <w:rFonts w:eastAsia="MS Mincho"/>
        </w:rPr>
        <w:t xml:space="preserve"> </w:t>
      </w:r>
      <w:r w:rsidRPr="0062350D">
        <w:rPr>
          <w:rFonts w:eastAsia="MS Mincho"/>
        </w:rPr>
        <w:t>by</w:t>
      </w:r>
      <w:r w:rsidR="0062350D">
        <w:rPr>
          <w:rFonts w:eastAsia="MS Mincho"/>
        </w:rPr>
        <w:t xml:space="preserve"> </w:t>
      </w:r>
      <w:r w:rsidRPr="0062350D">
        <w:rPr>
          <w:rFonts w:eastAsia="MS Mincho"/>
        </w:rPr>
        <w:t>counsel,</w:t>
      </w:r>
      <w:r w:rsidR="0062350D">
        <w:rPr>
          <w:rFonts w:eastAsia="MS Mincho"/>
        </w:rPr>
        <w:t xml:space="preserve"> </w:t>
      </w:r>
      <w:r w:rsidRPr="0062350D">
        <w:rPr>
          <w:rFonts w:eastAsia="MS Mincho"/>
        </w:rPr>
        <w:t>Katherine</w:t>
      </w:r>
      <w:r w:rsidR="0062350D">
        <w:rPr>
          <w:rFonts w:eastAsia="MS Mincho"/>
        </w:rPr>
        <w:t xml:space="preserve"> </w:t>
      </w:r>
      <w:r w:rsidRPr="0062350D">
        <w:rPr>
          <w:rFonts w:eastAsia="MS Mincho"/>
        </w:rPr>
        <w:t>Wrigley,</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Refugee</w:t>
      </w:r>
      <w:r w:rsidR="0062350D">
        <w:rPr>
          <w:rFonts w:eastAsia="MS Mincho"/>
        </w:rPr>
        <w:t xml:space="preserve"> </w:t>
      </w:r>
      <w:r w:rsidRPr="0062350D">
        <w:rPr>
          <w:rFonts w:eastAsia="MS Mincho"/>
        </w:rPr>
        <w:t>Advice</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Casework</w:t>
      </w:r>
      <w:r w:rsidR="0062350D">
        <w:rPr>
          <w:rFonts w:eastAsia="MS Mincho"/>
        </w:rPr>
        <w:t xml:space="preserve"> </w:t>
      </w:r>
      <w:r w:rsidRPr="0062350D">
        <w:rPr>
          <w:rFonts w:eastAsia="MS Mincho"/>
        </w:rPr>
        <w:t>Service.</w:t>
      </w:r>
    </w:p>
    <w:p w14:paraId="0B1967C7" w14:textId="2792DB6A" w:rsidR="0062350D" w:rsidRPr="0062350D" w:rsidRDefault="007F12C3" w:rsidP="005D6A3F">
      <w:pPr>
        <w:pStyle w:val="SingleTxtG"/>
        <w:rPr>
          <w:rFonts w:eastAsia="MS Mincho"/>
        </w:rPr>
      </w:pPr>
      <w:r w:rsidRPr="0062350D">
        <w:rPr>
          <w:rFonts w:eastAsia="MS Mincho"/>
        </w:rPr>
        <w:t>1.2</w:t>
      </w:r>
      <w:r w:rsidRPr="0062350D">
        <w:rPr>
          <w:rFonts w:eastAsia="MS Mincho"/>
        </w:rPr>
        <w:tab/>
        <w:t>When</w:t>
      </w:r>
      <w:r w:rsidR="0062350D">
        <w:rPr>
          <w:rFonts w:eastAsia="MS Mincho"/>
        </w:rPr>
        <w:t xml:space="preserve"> </w:t>
      </w:r>
      <w:r w:rsidRPr="0062350D">
        <w:rPr>
          <w:rFonts w:eastAsia="MS Mincho"/>
        </w:rPr>
        <w:t>submitting</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communication,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13</w:t>
      </w:r>
      <w:r w:rsidR="0062350D">
        <w:rPr>
          <w:rFonts w:eastAsia="MS Mincho"/>
        </w:rPr>
        <w:t xml:space="preserve"> </w:t>
      </w:r>
      <w:r w:rsidRPr="0062350D">
        <w:rPr>
          <w:rFonts w:eastAsia="MS Mincho"/>
        </w:rPr>
        <w:t>March</w:t>
      </w:r>
      <w:r w:rsidR="0062350D">
        <w:rPr>
          <w:rFonts w:eastAsia="MS Mincho"/>
        </w:rPr>
        <w:t xml:space="preserve"> </w:t>
      </w:r>
      <w:r w:rsidRPr="0062350D">
        <w:rPr>
          <w:rFonts w:eastAsia="MS Mincho"/>
        </w:rPr>
        <w:t>2014,</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requested</w:t>
      </w:r>
      <w:r w:rsidR="0062350D">
        <w:rPr>
          <w:rFonts w:eastAsia="MS Mincho"/>
        </w:rPr>
        <w:t xml:space="preserve"> </w:t>
      </w:r>
      <w:r w:rsidRPr="0062350D">
        <w:rPr>
          <w:rFonts w:eastAsia="MS Mincho"/>
        </w:rPr>
        <w:t>that,</w:t>
      </w:r>
      <w:r w:rsidR="0062350D">
        <w:rPr>
          <w:rFonts w:eastAsia="MS Mincho"/>
        </w:rPr>
        <w:t xml:space="preserve"> </w:t>
      </w:r>
      <w:r w:rsidRPr="0062350D">
        <w:rPr>
          <w:rFonts w:eastAsia="MS Mincho"/>
        </w:rPr>
        <w:t>pursuant</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rule</w:t>
      </w:r>
      <w:r w:rsidR="0062350D">
        <w:rPr>
          <w:rFonts w:eastAsia="MS Mincho"/>
        </w:rPr>
        <w:t xml:space="preserve"> </w:t>
      </w:r>
      <w:r w:rsidRPr="0062350D">
        <w:rPr>
          <w:rFonts w:eastAsia="MS Mincho"/>
        </w:rPr>
        <w:t>94</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its</w:t>
      </w:r>
      <w:r w:rsidR="0062350D">
        <w:rPr>
          <w:rFonts w:eastAsia="MS Mincho"/>
        </w:rPr>
        <w:t xml:space="preserve"> </w:t>
      </w:r>
      <w:r w:rsidRPr="0062350D">
        <w:rPr>
          <w:rFonts w:eastAsia="MS Mincho"/>
        </w:rPr>
        <w:t>rules</w:t>
      </w:r>
      <w:r w:rsidR="0062350D">
        <w:rPr>
          <w:rFonts w:eastAsia="MS Mincho"/>
        </w:rPr>
        <w:t xml:space="preserve"> </w:t>
      </w:r>
      <w:r w:rsidRPr="0062350D">
        <w:rPr>
          <w:rFonts w:eastAsia="MS Mincho"/>
        </w:rPr>
        <w:t>of</w:t>
      </w:r>
      <w:r w:rsidR="0062350D">
        <w:rPr>
          <w:rFonts w:eastAsia="MS Mincho"/>
        </w:rPr>
        <w:t xml:space="preserve"> </w:t>
      </w:r>
      <w:r w:rsidRPr="0062350D">
        <w:rPr>
          <w:rFonts w:eastAsia="MS Mincho"/>
        </w:rPr>
        <w:t>procedure,</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Committee</w:t>
      </w:r>
      <w:r w:rsidR="0062350D">
        <w:rPr>
          <w:rFonts w:eastAsia="MS Mincho"/>
        </w:rPr>
        <w:t xml:space="preserve"> </w:t>
      </w:r>
      <w:r w:rsidRPr="0062350D">
        <w:rPr>
          <w:rFonts w:eastAsia="MS Mincho"/>
        </w:rPr>
        <w:t>request</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State</w:t>
      </w:r>
      <w:r w:rsidR="0062350D">
        <w:rPr>
          <w:rFonts w:eastAsia="MS Mincho"/>
        </w:rPr>
        <w:t xml:space="preserve"> </w:t>
      </w:r>
      <w:r w:rsidRPr="0062350D">
        <w:rPr>
          <w:rFonts w:eastAsia="MS Mincho"/>
        </w:rPr>
        <w:t>party</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refrain</w:t>
      </w:r>
      <w:r w:rsidR="0062350D">
        <w:rPr>
          <w:rFonts w:eastAsia="MS Mincho"/>
        </w:rPr>
        <w:t xml:space="preserve"> </w:t>
      </w:r>
      <w:r w:rsidRPr="0062350D">
        <w:rPr>
          <w:rFonts w:eastAsia="MS Mincho"/>
        </w:rPr>
        <w:t>from</w:t>
      </w:r>
      <w:r w:rsidR="0062350D">
        <w:rPr>
          <w:rFonts w:eastAsia="MS Mincho"/>
        </w:rPr>
        <w:t xml:space="preserve"> </w:t>
      </w:r>
      <w:r w:rsidRPr="0062350D">
        <w:rPr>
          <w:rFonts w:eastAsia="MS Mincho"/>
        </w:rPr>
        <w:t>deporting</w:t>
      </w:r>
      <w:r w:rsidR="0062350D">
        <w:rPr>
          <w:rFonts w:eastAsia="MS Mincho"/>
        </w:rPr>
        <w:t xml:space="preserve"> </w:t>
      </w:r>
      <w:r w:rsidRPr="0062350D">
        <w:rPr>
          <w:rFonts w:eastAsia="MS Mincho"/>
        </w:rPr>
        <w:t>or</w:t>
      </w:r>
      <w:r w:rsidR="0062350D">
        <w:rPr>
          <w:rFonts w:eastAsia="MS Mincho"/>
        </w:rPr>
        <w:t xml:space="preserve"> </w:t>
      </w:r>
      <w:r w:rsidRPr="0062350D">
        <w:rPr>
          <w:rFonts w:eastAsia="MS Mincho"/>
        </w:rPr>
        <w:t>transferring</w:t>
      </w:r>
      <w:r w:rsidR="0062350D">
        <w:rPr>
          <w:rFonts w:eastAsia="MS Mincho"/>
        </w:rPr>
        <w:t xml:space="preserve"> </w:t>
      </w:r>
      <w:r w:rsidRPr="0062350D">
        <w:rPr>
          <w:rFonts w:eastAsia="MS Mincho"/>
        </w:rPr>
        <w:t>them</w:t>
      </w:r>
      <w:r w:rsidR="0062350D">
        <w:rPr>
          <w:rFonts w:eastAsia="MS Mincho"/>
        </w:rPr>
        <w:t xml:space="preserve"> </w:t>
      </w:r>
      <w:r w:rsidRPr="0062350D">
        <w:rPr>
          <w:rFonts w:eastAsia="MS Mincho"/>
        </w:rPr>
        <w:t>from</w:t>
      </w:r>
      <w:r w:rsidR="0062350D">
        <w:rPr>
          <w:rFonts w:eastAsia="MS Mincho"/>
        </w:rPr>
        <w:t xml:space="preserve"> </w:t>
      </w:r>
      <w:r w:rsidRPr="0062350D">
        <w:rPr>
          <w:rFonts w:eastAsia="MS Mincho"/>
        </w:rPr>
        <w:t>Australia</w:t>
      </w:r>
      <w:r w:rsidR="0062350D">
        <w:rPr>
          <w:rFonts w:eastAsia="MS Mincho"/>
        </w:rPr>
        <w:t xml:space="preserve"> </w:t>
      </w:r>
      <w:r w:rsidRPr="0062350D">
        <w:rPr>
          <w:rFonts w:eastAsia="MS Mincho"/>
        </w:rPr>
        <w:t>while</w:t>
      </w:r>
      <w:r w:rsidR="0062350D">
        <w:rPr>
          <w:rFonts w:eastAsia="MS Mincho"/>
        </w:rPr>
        <w:t xml:space="preserve"> </w:t>
      </w:r>
      <w:r w:rsidRPr="0062350D">
        <w:rPr>
          <w:rFonts w:eastAsia="MS Mincho"/>
        </w:rPr>
        <w:t>their</w:t>
      </w:r>
      <w:r w:rsidR="0062350D">
        <w:rPr>
          <w:rFonts w:eastAsia="MS Mincho"/>
        </w:rPr>
        <w:t xml:space="preserve"> </w:t>
      </w:r>
      <w:r w:rsidRPr="0062350D">
        <w:rPr>
          <w:rFonts w:eastAsia="MS Mincho"/>
        </w:rPr>
        <w:t>case</w:t>
      </w:r>
      <w:r w:rsidR="0062350D">
        <w:rPr>
          <w:rFonts w:eastAsia="MS Mincho"/>
        </w:rPr>
        <w:t xml:space="preserve"> </w:t>
      </w:r>
      <w:r w:rsidRPr="0062350D">
        <w:rPr>
          <w:rFonts w:eastAsia="MS Mincho"/>
        </w:rPr>
        <w:t>was</w:t>
      </w:r>
      <w:r w:rsidR="0062350D">
        <w:rPr>
          <w:rFonts w:eastAsia="MS Mincho"/>
        </w:rPr>
        <w:t xml:space="preserve"> </w:t>
      </w:r>
      <w:r w:rsidRPr="0062350D">
        <w:rPr>
          <w:rFonts w:eastAsia="MS Mincho"/>
        </w:rPr>
        <w:t>being</w:t>
      </w:r>
      <w:r w:rsidR="0062350D">
        <w:rPr>
          <w:rFonts w:eastAsia="MS Mincho"/>
        </w:rPr>
        <w:t xml:space="preserve"> </w:t>
      </w:r>
      <w:r w:rsidRPr="0062350D">
        <w:rPr>
          <w:rFonts w:eastAsia="MS Mincho"/>
        </w:rPr>
        <w:t>considered</w:t>
      </w:r>
      <w:r w:rsidR="0062350D">
        <w:rPr>
          <w:rFonts w:eastAsia="MS Mincho"/>
        </w:rPr>
        <w:t xml:space="preserve"> </w:t>
      </w:r>
      <w:r w:rsidRPr="0062350D">
        <w:rPr>
          <w:rFonts w:eastAsia="MS Mincho"/>
        </w:rPr>
        <w:t>by</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Committee.</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21</w:t>
      </w:r>
      <w:r w:rsidR="0062350D">
        <w:rPr>
          <w:rFonts w:eastAsia="MS Mincho"/>
        </w:rPr>
        <w:t xml:space="preserve"> </w:t>
      </w:r>
      <w:r w:rsidRPr="0062350D">
        <w:rPr>
          <w:rFonts w:eastAsia="MS Mincho"/>
        </w:rPr>
        <w:t>March</w:t>
      </w:r>
      <w:r w:rsidR="0062350D">
        <w:rPr>
          <w:rFonts w:eastAsia="MS Mincho"/>
        </w:rPr>
        <w:t xml:space="preserve"> </w:t>
      </w:r>
      <w:r w:rsidRPr="0062350D">
        <w:rPr>
          <w:rFonts w:eastAsia="MS Mincho"/>
        </w:rPr>
        <w:t>2014,</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Committee,</w:t>
      </w:r>
      <w:r w:rsidR="0062350D">
        <w:rPr>
          <w:rFonts w:eastAsia="MS Mincho"/>
        </w:rPr>
        <w:t xml:space="preserve"> </w:t>
      </w:r>
      <w:r w:rsidRPr="0062350D">
        <w:rPr>
          <w:rFonts w:eastAsia="MS Mincho"/>
        </w:rPr>
        <w:t>acting</w:t>
      </w:r>
      <w:r w:rsidR="0062350D">
        <w:rPr>
          <w:rFonts w:eastAsia="MS Mincho"/>
        </w:rPr>
        <w:t xml:space="preserve"> </w:t>
      </w:r>
      <w:r w:rsidRPr="0062350D">
        <w:rPr>
          <w:rFonts w:eastAsia="MS Mincho"/>
        </w:rPr>
        <w:t>through</w:t>
      </w:r>
      <w:r w:rsidR="0062350D">
        <w:rPr>
          <w:rFonts w:eastAsia="MS Mincho"/>
        </w:rPr>
        <w:t xml:space="preserve"> </w:t>
      </w:r>
      <w:r w:rsidRPr="0062350D">
        <w:rPr>
          <w:rFonts w:eastAsia="MS Mincho"/>
        </w:rPr>
        <w:t>its</w:t>
      </w:r>
      <w:r w:rsidR="0062350D">
        <w:rPr>
          <w:rFonts w:eastAsia="MS Mincho"/>
        </w:rPr>
        <w:t xml:space="preserve"> </w:t>
      </w:r>
      <w:r w:rsidRPr="0062350D">
        <w:rPr>
          <w:rFonts w:eastAsia="MS Mincho"/>
        </w:rPr>
        <w:t>Special</w:t>
      </w:r>
      <w:r w:rsidR="0062350D">
        <w:rPr>
          <w:rFonts w:eastAsia="MS Mincho"/>
        </w:rPr>
        <w:t xml:space="preserve"> </w:t>
      </w:r>
      <w:r w:rsidRPr="0062350D">
        <w:rPr>
          <w:rFonts w:eastAsia="MS Mincho"/>
        </w:rPr>
        <w:t>Rapporteur</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new</w:t>
      </w:r>
      <w:r w:rsidR="0062350D">
        <w:rPr>
          <w:rFonts w:eastAsia="MS Mincho"/>
        </w:rPr>
        <w:t xml:space="preserve"> </w:t>
      </w:r>
      <w:r w:rsidRPr="0062350D">
        <w:rPr>
          <w:rFonts w:eastAsia="MS Mincho"/>
        </w:rPr>
        <w:t>communications</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interim</w:t>
      </w:r>
      <w:r w:rsidR="0062350D">
        <w:rPr>
          <w:rFonts w:eastAsia="MS Mincho"/>
        </w:rPr>
        <w:t xml:space="preserve"> </w:t>
      </w:r>
      <w:r w:rsidRPr="0062350D">
        <w:rPr>
          <w:rFonts w:eastAsia="MS Mincho"/>
        </w:rPr>
        <w:t>measures,</w:t>
      </w:r>
      <w:r w:rsidR="0062350D">
        <w:rPr>
          <w:rFonts w:eastAsia="MS Mincho"/>
        </w:rPr>
        <w:t xml:space="preserve"> </w:t>
      </w:r>
      <w:r w:rsidRPr="0062350D">
        <w:rPr>
          <w:rFonts w:eastAsia="MS Mincho"/>
        </w:rPr>
        <w:t>decided</w:t>
      </w:r>
      <w:r w:rsidR="0062350D">
        <w:rPr>
          <w:rFonts w:eastAsia="MS Mincho"/>
        </w:rPr>
        <w:t xml:space="preserve"> </w:t>
      </w:r>
      <w:r w:rsidRPr="0062350D">
        <w:rPr>
          <w:rFonts w:eastAsia="MS Mincho"/>
        </w:rPr>
        <w:t>not</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accede</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request.</w:t>
      </w:r>
    </w:p>
    <w:p w14:paraId="3EB4085B" w14:textId="6F37E596" w:rsidR="007F12C3" w:rsidRPr="0062350D" w:rsidRDefault="007F12C3" w:rsidP="005D6A3F">
      <w:pPr>
        <w:pStyle w:val="SingleTxtG"/>
        <w:rPr>
          <w:rFonts w:eastAsia="MS Mincho"/>
        </w:rPr>
      </w:pPr>
      <w:r w:rsidRPr="0062350D">
        <w:rPr>
          <w:rFonts w:eastAsia="MS Mincho"/>
        </w:rPr>
        <w:t>1.3</w:t>
      </w:r>
      <w:r w:rsidRPr="0062350D">
        <w:rPr>
          <w:rFonts w:eastAsia="MS Mincho"/>
        </w:rPr>
        <w:tab/>
        <w:t>On</w:t>
      </w:r>
      <w:r w:rsidR="0062350D">
        <w:rPr>
          <w:rFonts w:eastAsia="MS Mincho"/>
        </w:rPr>
        <w:t xml:space="preserve"> </w:t>
      </w:r>
      <w:r w:rsidRPr="0062350D">
        <w:rPr>
          <w:rFonts w:eastAsia="MS Mincho"/>
        </w:rPr>
        <w:t>10</w:t>
      </w:r>
      <w:r w:rsidR="0062350D">
        <w:rPr>
          <w:rFonts w:eastAsia="MS Mincho"/>
        </w:rPr>
        <w:t xml:space="preserve"> </w:t>
      </w:r>
      <w:r w:rsidRPr="0062350D">
        <w:rPr>
          <w:rFonts w:eastAsia="MS Mincho"/>
        </w:rPr>
        <w:t>September</w:t>
      </w:r>
      <w:r w:rsidR="0062350D">
        <w:rPr>
          <w:rFonts w:eastAsia="MS Mincho"/>
        </w:rPr>
        <w:t xml:space="preserve"> </w:t>
      </w:r>
      <w:r w:rsidRPr="0062350D">
        <w:rPr>
          <w:rFonts w:eastAsia="MS Mincho"/>
        </w:rPr>
        <w:t>2015,</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counsel</w:t>
      </w:r>
      <w:r w:rsidR="0062350D">
        <w:rPr>
          <w:rFonts w:eastAsia="MS Mincho"/>
        </w:rPr>
        <w:t xml:space="preserve"> </w:t>
      </w:r>
      <w:r w:rsidRPr="0062350D">
        <w:rPr>
          <w:rFonts w:eastAsia="MS Mincho"/>
        </w:rPr>
        <w:t>informed</w:t>
      </w:r>
      <w:r w:rsidR="0062350D">
        <w:rPr>
          <w:rFonts w:eastAsia="MS Mincho"/>
        </w:rPr>
        <w:t xml:space="preserve"> </w:t>
      </w:r>
      <w:r w:rsidRPr="0062350D">
        <w:rPr>
          <w:rFonts w:eastAsia="MS Mincho"/>
        </w:rPr>
        <w:t>the</w:t>
      </w:r>
      <w:r w:rsidR="0062350D">
        <w:rPr>
          <w:rFonts w:eastAsia="MS Mincho"/>
        </w:rPr>
        <w:t xml:space="preserve"> </w:t>
      </w:r>
      <w:r w:rsidRPr="0062350D">
        <w:rPr>
          <w:rFonts w:eastAsia="MS Mincho"/>
        </w:rPr>
        <w:t>Committee</w:t>
      </w:r>
      <w:r w:rsidR="0062350D">
        <w:rPr>
          <w:rFonts w:eastAsia="MS Mincho"/>
        </w:rPr>
        <w:t xml:space="preserve"> </w:t>
      </w:r>
      <w:r w:rsidRPr="0062350D">
        <w:rPr>
          <w:rFonts w:eastAsia="MS Mincho"/>
        </w:rPr>
        <w:t>that</w:t>
      </w:r>
      <w:r w:rsidR="0062350D">
        <w:rPr>
          <w:rFonts w:eastAsia="MS Mincho"/>
        </w:rPr>
        <w:t xml:space="preserve"> </w:t>
      </w:r>
      <w:r w:rsidRPr="0062350D">
        <w:rPr>
          <w:rFonts w:eastAsia="MS Mincho"/>
        </w:rPr>
        <w:t>two</w:t>
      </w:r>
      <w:r w:rsidR="0062350D">
        <w:rPr>
          <w:rFonts w:eastAsia="MS Mincho"/>
        </w:rPr>
        <w:t xml:space="preserve"> </w:t>
      </w:r>
      <w:r w:rsidRPr="0062350D">
        <w:rPr>
          <w:rFonts w:eastAsia="MS Mincho"/>
        </w:rPr>
        <w:t>authors,</w:t>
      </w:r>
      <w:r w:rsidR="0062350D">
        <w:rPr>
          <w:rFonts w:eastAsia="MS Mincho"/>
        </w:rPr>
        <w:t xml:space="preserve"> </w:t>
      </w:r>
      <w:r w:rsidRPr="0062350D">
        <w:rPr>
          <w:rFonts w:eastAsia="MS Mincho"/>
        </w:rPr>
        <w:t>S.H.,</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31</w:t>
      </w:r>
      <w:r w:rsidR="0062350D">
        <w:rPr>
          <w:rFonts w:eastAsia="MS Mincho"/>
        </w:rPr>
        <w:t xml:space="preserve"> </w:t>
      </w:r>
      <w:r w:rsidRPr="0062350D">
        <w:rPr>
          <w:rFonts w:eastAsia="MS Mincho"/>
        </w:rPr>
        <w:t>December</w:t>
      </w:r>
      <w:r w:rsidR="0062350D">
        <w:rPr>
          <w:rFonts w:eastAsia="MS Mincho"/>
        </w:rPr>
        <w:t xml:space="preserve"> </w:t>
      </w:r>
      <w:r w:rsidRPr="0062350D">
        <w:rPr>
          <w:rFonts w:eastAsia="MS Mincho"/>
        </w:rPr>
        <w:t>1997,</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K.M.,</w:t>
      </w:r>
      <w:r w:rsidR="0062350D">
        <w:rPr>
          <w:rFonts w:eastAsia="MS Mincho"/>
        </w:rPr>
        <w:t xml:space="preserve"> </w:t>
      </w:r>
      <w:r w:rsidRPr="0062350D">
        <w:rPr>
          <w:rFonts w:eastAsia="MS Mincho"/>
        </w:rPr>
        <w:t>born</w:t>
      </w:r>
      <w:r w:rsidR="0062350D">
        <w:rPr>
          <w:rFonts w:eastAsia="MS Mincho"/>
        </w:rPr>
        <w:t xml:space="preserve"> </w:t>
      </w:r>
      <w:r w:rsidRPr="0062350D">
        <w:rPr>
          <w:rFonts w:eastAsia="MS Mincho"/>
        </w:rPr>
        <w:t>on</w:t>
      </w:r>
      <w:r w:rsidR="0062350D">
        <w:rPr>
          <w:rFonts w:eastAsia="MS Mincho"/>
        </w:rPr>
        <w:t xml:space="preserve"> </w:t>
      </w:r>
      <w:r w:rsidRPr="0062350D">
        <w:rPr>
          <w:rFonts w:eastAsia="MS Mincho"/>
        </w:rPr>
        <w:t>25</w:t>
      </w:r>
      <w:r w:rsidR="0062350D">
        <w:rPr>
          <w:rFonts w:eastAsia="MS Mincho"/>
        </w:rPr>
        <w:t xml:space="preserve"> </w:t>
      </w:r>
      <w:r w:rsidRPr="0062350D">
        <w:rPr>
          <w:rFonts w:eastAsia="MS Mincho"/>
        </w:rPr>
        <w:t>April</w:t>
      </w:r>
      <w:r w:rsidR="0062350D">
        <w:rPr>
          <w:rFonts w:eastAsia="MS Mincho"/>
        </w:rPr>
        <w:t xml:space="preserve"> </w:t>
      </w:r>
      <w:r w:rsidRPr="0062350D">
        <w:rPr>
          <w:rFonts w:eastAsia="MS Mincho"/>
        </w:rPr>
        <w:t>1999,</w:t>
      </w:r>
      <w:r w:rsidR="0062350D">
        <w:rPr>
          <w:rFonts w:eastAsia="MS Mincho"/>
        </w:rPr>
        <w:t xml:space="preserve"> </w:t>
      </w:r>
      <w:r w:rsidRPr="0062350D">
        <w:rPr>
          <w:rFonts w:eastAsia="MS Mincho"/>
        </w:rPr>
        <w:t>decided</w:t>
      </w:r>
      <w:r w:rsidR="0062350D">
        <w:rPr>
          <w:rFonts w:eastAsia="MS Mincho"/>
        </w:rPr>
        <w:t xml:space="preserve"> </w:t>
      </w:r>
      <w:r w:rsidRPr="0062350D">
        <w:rPr>
          <w:rFonts w:eastAsia="MS Mincho"/>
        </w:rPr>
        <w:t>to</w:t>
      </w:r>
      <w:r w:rsidR="0062350D">
        <w:rPr>
          <w:rFonts w:eastAsia="MS Mincho"/>
        </w:rPr>
        <w:t xml:space="preserve"> </w:t>
      </w:r>
      <w:r w:rsidRPr="0062350D">
        <w:rPr>
          <w:rFonts w:eastAsia="MS Mincho"/>
        </w:rPr>
        <w:t>withdraw</w:t>
      </w:r>
      <w:r w:rsidR="0062350D">
        <w:rPr>
          <w:rFonts w:eastAsia="MS Mincho"/>
        </w:rPr>
        <w:t xml:space="preserve"> </w:t>
      </w:r>
      <w:r w:rsidRPr="0062350D">
        <w:rPr>
          <w:rFonts w:eastAsia="MS Mincho"/>
        </w:rPr>
        <w:t>their</w:t>
      </w:r>
      <w:r w:rsidR="0062350D">
        <w:rPr>
          <w:rFonts w:eastAsia="MS Mincho"/>
        </w:rPr>
        <w:t xml:space="preserve"> </w:t>
      </w:r>
      <w:r w:rsidRPr="0062350D">
        <w:rPr>
          <w:rFonts w:eastAsia="MS Mincho"/>
        </w:rPr>
        <w:t>complaints.</w:t>
      </w:r>
    </w:p>
    <w:p w14:paraId="1BB173F6" w14:textId="28C50F55" w:rsidR="007F12C3" w:rsidRPr="0062350D" w:rsidRDefault="007F12C3" w:rsidP="0062350D">
      <w:pPr>
        <w:pStyle w:val="H23G"/>
      </w:pPr>
      <w:r w:rsidRPr="0062350D">
        <w:tab/>
      </w:r>
      <w:r w:rsidR="0062350D" w:rsidRPr="0062350D">
        <w:tab/>
      </w:r>
      <w:r w:rsidR="0062350D" w:rsidRPr="0062350D">
        <w:tab/>
      </w:r>
      <w:r w:rsidRPr="0062350D">
        <w:t>Factual</w:t>
      </w:r>
      <w:r w:rsidR="0062350D">
        <w:t xml:space="preserve"> </w:t>
      </w:r>
      <w:r w:rsidRPr="0062350D">
        <w:t>background</w:t>
      </w:r>
    </w:p>
    <w:p w14:paraId="18327FF1" w14:textId="67119B46" w:rsidR="0062350D" w:rsidRPr="0062350D" w:rsidRDefault="007F12C3" w:rsidP="005D6A3F">
      <w:pPr>
        <w:pStyle w:val="SingleTxtG"/>
      </w:pPr>
      <w:r w:rsidRPr="0062350D">
        <w:t>2.1</w:t>
      </w:r>
      <w:r w:rsidRPr="0062350D">
        <w:tab/>
        <w:t>Between</w:t>
      </w:r>
      <w:r w:rsidR="0062350D">
        <w:t xml:space="preserve"> </w:t>
      </w:r>
      <w:r w:rsidRPr="0062350D">
        <w:t>July</w:t>
      </w:r>
      <w:r w:rsidR="0062350D">
        <w:t xml:space="preserve"> </w:t>
      </w:r>
      <w:r w:rsidRPr="0062350D">
        <w:t>and</w:t>
      </w:r>
      <w:r w:rsidR="0062350D">
        <w:t xml:space="preserve"> </w:t>
      </w:r>
      <w:r w:rsidRPr="0062350D">
        <w:t>November</w:t>
      </w:r>
      <w:r w:rsidR="0062350D">
        <w:t xml:space="preserve"> </w:t>
      </w:r>
      <w:r w:rsidRPr="0062350D">
        <w:t>2013,</w:t>
      </w:r>
      <w:r w:rsidR="0062350D">
        <w:t xml:space="preserve"> </w:t>
      </w:r>
      <w:r w:rsidRPr="0062350D">
        <w:t>the</w:t>
      </w:r>
      <w:r w:rsidR="0062350D">
        <w:t xml:space="preserve"> </w:t>
      </w:r>
      <w:r w:rsidRPr="0062350D">
        <w:t>authors</w:t>
      </w:r>
      <w:r w:rsidR="0062350D">
        <w:t xml:space="preserve"> </w:t>
      </w:r>
      <w:r w:rsidRPr="0062350D">
        <w:t>arrived</w:t>
      </w:r>
      <w:r w:rsidR="0062350D">
        <w:t xml:space="preserve"> </w:t>
      </w:r>
      <w:r w:rsidRPr="0062350D">
        <w:t>in</w:t>
      </w:r>
      <w:r w:rsidR="0062350D">
        <w:t xml:space="preserve"> </w:t>
      </w:r>
      <w:r w:rsidRPr="0062350D">
        <w:t>Australia</w:t>
      </w:r>
      <w:r w:rsidR="0062350D">
        <w:t xml:space="preserve"> </w:t>
      </w:r>
      <w:r w:rsidRPr="0062350D">
        <w:t>as</w:t>
      </w:r>
      <w:r w:rsidR="0062350D">
        <w:t xml:space="preserve"> </w:t>
      </w:r>
      <w:r w:rsidRPr="0062350D">
        <w:t>unaccompanied</w:t>
      </w:r>
      <w:r w:rsidR="0062350D">
        <w:t xml:space="preserve"> </w:t>
      </w:r>
      <w:r w:rsidRPr="0062350D">
        <w:t>minors.</w:t>
      </w:r>
      <w:r w:rsidR="0062350D">
        <w:t xml:space="preserve"> </w:t>
      </w:r>
      <w:r w:rsidRPr="0062350D">
        <w:t>They</w:t>
      </w:r>
      <w:r w:rsidR="0062350D">
        <w:t xml:space="preserve"> </w:t>
      </w:r>
      <w:r w:rsidRPr="0062350D">
        <w:t>were</w:t>
      </w:r>
      <w:r w:rsidR="0062350D">
        <w:t xml:space="preserve"> </w:t>
      </w:r>
      <w:r w:rsidRPr="0062350D">
        <w:t>placed</w:t>
      </w:r>
      <w:r w:rsidR="0062350D">
        <w:t xml:space="preserve"> </w:t>
      </w:r>
      <w:r w:rsidRPr="0062350D">
        <w:t>in</w:t>
      </w:r>
      <w:r w:rsidR="0062350D">
        <w:t xml:space="preserve"> </w:t>
      </w:r>
      <w:r w:rsidRPr="0062350D">
        <w:t>a</w:t>
      </w:r>
      <w:r w:rsidR="0062350D">
        <w:t xml:space="preserve"> </w:t>
      </w:r>
      <w:r w:rsidRPr="0062350D">
        <w:t>detention</w:t>
      </w:r>
      <w:r w:rsidR="0062350D">
        <w:t xml:space="preserve"> </w:t>
      </w:r>
      <w:r w:rsidRPr="0062350D">
        <w:t>centre</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Australia,</w:t>
      </w:r>
      <w:r w:rsidR="0062350D">
        <w:t xml:space="preserve"> </w:t>
      </w:r>
      <w:r w:rsidRPr="0062350D">
        <w:t>for</w:t>
      </w:r>
      <w:r w:rsidR="0062350D">
        <w:t xml:space="preserve"> </w:t>
      </w:r>
      <w:r w:rsidRPr="0062350D">
        <w:t>illegal</w:t>
      </w:r>
      <w:r w:rsidR="0062350D">
        <w:t xml:space="preserve"> </w:t>
      </w:r>
      <w:r w:rsidRPr="0062350D">
        <w:t>migrants</w:t>
      </w:r>
      <w:r w:rsidR="0062350D">
        <w:t xml:space="preserve"> </w:t>
      </w:r>
      <w:r w:rsidRPr="0062350D">
        <w:t>and</w:t>
      </w:r>
      <w:r w:rsidR="0062350D">
        <w:t xml:space="preserve"> </w:t>
      </w:r>
      <w:r w:rsidRPr="0062350D">
        <w:t>asylum</w:t>
      </w:r>
      <w:r w:rsidR="0062350D">
        <w:t xml:space="preserve"> </w:t>
      </w:r>
      <w:r w:rsidRPr="0062350D">
        <w:t>seekers,</w:t>
      </w:r>
      <w:r w:rsidR="0062350D">
        <w:t xml:space="preserve"> </w:t>
      </w:r>
      <w:r w:rsidRPr="0062350D">
        <w:t>pursuant</w:t>
      </w:r>
      <w:r w:rsidR="0062350D">
        <w:t xml:space="preserve"> </w:t>
      </w:r>
      <w:r w:rsidRPr="0062350D">
        <w:t>to</w:t>
      </w:r>
      <w:r w:rsidR="0062350D">
        <w:t xml:space="preserve"> </w:t>
      </w:r>
      <w:r w:rsidRPr="0062350D">
        <w:t>section</w:t>
      </w:r>
      <w:r w:rsidR="0062350D">
        <w:t xml:space="preserve"> </w:t>
      </w:r>
      <w:r w:rsidRPr="0062350D">
        <w:t>189</w:t>
      </w:r>
      <w:r w:rsidR="0062350D">
        <w:t xml:space="preserve"> </w:t>
      </w:r>
      <w:r w:rsidRPr="0062350D">
        <w:t>(3)</w:t>
      </w:r>
      <w:r w:rsidR="0062350D">
        <w:t xml:space="preserve"> </w:t>
      </w:r>
      <w:r w:rsidRPr="0062350D">
        <w:t>of</w:t>
      </w:r>
      <w:r w:rsidR="0062350D">
        <w:t xml:space="preserve"> </w:t>
      </w:r>
      <w:r w:rsidRPr="0062350D">
        <w:t>the</w:t>
      </w:r>
      <w:r w:rsidR="0062350D">
        <w:t xml:space="preserve"> </w:t>
      </w:r>
      <w:r w:rsidRPr="0062350D">
        <w:t>Migration</w:t>
      </w:r>
      <w:r w:rsidR="0062350D">
        <w:t xml:space="preserve"> </w:t>
      </w:r>
      <w:r w:rsidRPr="0062350D">
        <w:t>Act.</w:t>
      </w:r>
      <w:r w:rsidR="0062350D">
        <w:t xml:space="preserve"> </w:t>
      </w:r>
      <w:r w:rsidRPr="0062350D">
        <w:t>The</w:t>
      </w:r>
      <w:r w:rsidR="0062350D">
        <w:t xml:space="preserve"> </w:t>
      </w:r>
      <w:r w:rsidRPr="0062350D">
        <w:t>parents</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either</w:t>
      </w:r>
      <w:r w:rsidR="0062350D">
        <w:t xml:space="preserve"> </w:t>
      </w:r>
      <w:r w:rsidRPr="0062350D">
        <w:t>remained</w:t>
      </w:r>
      <w:r w:rsidR="0062350D">
        <w:t xml:space="preserve"> </w:t>
      </w:r>
      <w:r w:rsidRPr="0062350D">
        <w:t>in</w:t>
      </w:r>
      <w:r w:rsidR="0062350D">
        <w:t xml:space="preserve"> </w:t>
      </w:r>
      <w:r w:rsidRPr="0062350D">
        <w:t>their</w:t>
      </w:r>
      <w:r w:rsidR="0062350D">
        <w:t xml:space="preserve"> </w:t>
      </w:r>
      <w:r w:rsidRPr="0062350D">
        <w:t>home</w:t>
      </w:r>
      <w:r w:rsidR="0062350D">
        <w:t xml:space="preserve"> </w:t>
      </w:r>
      <w:r w:rsidRPr="0062350D">
        <w:t>countries</w:t>
      </w:r>
      <w:r w:rsidR="0062350D">
        <w:t xml:space="preserve"> </w:t>
      </w:r>
      <w:r w:rsidRPr="0062350D">
        <w:t>or</w:t>
      </w:r>
      <w:r w:rsidR="0062350D">
        <w:t xml:space="preserve"> </w:t>
      </w:r>
      <w:r w:rsidRPr="0062350D">
        <w:t>were</w:t>
      </w:r>
      <w:r w:rsidR="0062350D">
        <w:t xml:space="preserve"> </w:t>
      </w:r>
      <w:r w:rsidRPr="0062350D">
        <w:t>deceased.</w:t>
      </w:r>
    </w:p>
    <w:p w14:paraId="462100B8" w14:textId="61E86EF7" w:rsidR="0062350D" w:rsidRPr="0062350D" w:rsidRDefault="007F12C3" w:rsidP="005D6A3F">
      <w:pPr>
        <w:pStyle w:val="SingleTxtG"/>
      </w:pPr>
      <w:r w:rsidRPr="0062350D">
        <w:t>2.2</w:t>
      </w:r>
      <w:r w:rsidRPr="0062350D">
        <w:tab/>
        <w:t>Following</w:t>
      </w:r>
      <w:r w:rsidR="0062350D">
        <w:t xml:space="preserve"> </w:t>
      </w:r>
      <w:r w:rsidRPr="0062350D">
        <w:t>their</w:t>
      </w:r>
      <w:r w:rsidR="0062350D">
        <w:t xml:space="preserve"> </w:t>
      </w:r>
      <w:r w:rsidRPr="0062350D">
        <w:t>arrival</w:t>
      </w:r>
      <w:r w:rsidR="0062350D">
        <w:t xml:space="preserve"> </w:t>
      </w:r>
      <w:r w:rsidRPr="0062350D">
        <w:t>and</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the</w:t>
      </w:r>
      <w:r w:rsidR="0062350D">
        <w:t xml:space="preserve"> </w:t>
      </w:r>
      <w:r w:rsidRPr="0062350D">
        <w:t>Australian</w:t>
      </w:r>
      <w:r w:rsidR="0062350D">
        <w:t xml:space="preserve"> </w:t>
      </w:r>
      <w:r w:rsidRPr="0062350D">
        <w:t>Migration</w:t>
      </w:r>
      <w:r w:rsidR="0062350D">
        <w:t xml:space="preserve"> </w:t>
      </w:r>
      <w:r w:rsidRPr="0062350D">
        <w:t>Act,</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at</w:t>
      </w:r>
      <w:r w:rsidR="0062350D">
        <w:t xml:space="preserve"> </w:t>
      </w:r>
      <w:r w:rsidRPr="0062350D">
        <w:t>risk</w:t>
      </w:r>
      <w:r w:rsidR="0062350D">
        <w:t xml:space="preserve"> </w:t>
      </w:r>
      <w:r w:rsidRPr="0062350D">
        <w:t>of</w:t>
      </w:r>
      <w:r w:rsidR="0062350D">
        <w:t xml:space="preserve"> </w:t>
      </w:r>
      <w:r w:rsidRPr="0062350D">
        <w:t>being</w:t>
      </w:r>
      <w:r w:rsidR="0062350D">
        <w:t xml:space="preserve"> </w:t>
      </w:r>
      <w:r w:rsidRPr="0062350D">
        <w:t>transferred</w:t>
      </w:r>
      <w:r w:rsidR="0062350D">
        <w:t xml:space="preserve"> </w:t>
      </w:r>
      <w:r w:rsidRPr="0062350D">
        <w:t>to</w:t>
      </w:r>
      <w:r w:rsidR="0062350D">
        <w:t xml:space="preserve"> </w:t>
      </w:r>
      <w:r w:rsidRPr="0062350D">
        <w:t>Nauru</w:t>
      </w:r>
      <w:r w:rsidR="0062350D">
        <w:t xml:space="preserve"> </w:t>
      </w:r>
      <w:r w:rsidRPr="0062350D">
        <w:t>for</w:t>
      </w:r>
      <w:r w:rsidR="0062350D">
        <w:t xml:space="preserve"> </w:t>
      </w:r>
      <w:r w:rsidRPr="0062350D">
        <w:t>further</w:t>
      </w:r>
      <w:r w:rsidR="0062350D">
        <w:t xml:space="preserve"> </w:t>
      </w:r>
      <w:r w:rsidRPr="0062350D">
        <w:t>processing.</w:t>
      </w:r>
      <w:r w:rsidR="0062350D">
        <w:t xml:space="preserve"> </w:t>
      </w:r>
      <w:r w:rsidRPr="0062350D">
        <w:t>The</w:t>
      </w:r>
      <w:r w:rsidR="0062350D">
        <w:t xml:space="preserve"> </w:t>
      </w:r>
      <w:r w:rsidRPr="0062350D">
        <w:t>State</w:t>
      </w:r>
      <w:r w:rsidR="0062350D">
        <w:t xml:space="preserve"> </w:t>
      </w:r>
      <w:r w:rsidRPr="0062350D">
        <w:t>party</w:t>
      </w:r>
      <w:r w:rsidR="0062350D" w:rsidRPr="0062350D">
        <w:t>’</w:t>
      </w:r>
      <w:r w:rsidRPr="0062350D">
        <w:t>s</w:t>
      </w:r>
      <w:r w:rsidR="0062350D">
        <w:t xml:space="preserve"> </w:t>
      </w:r>
      <w:r w:rsidRPr="0062350D">
        <w:t>policy</w:t>
      </w:r>
      <w:r w:rsidR="0062350D">
        <w:t xml:space="preserve"> </w:t>
      </w:r>
      <w:r w:rsidRPr="0062350D">
        <w:t>at</w:t>
      </w:r>
      <w:r w:rsidR="0062350D">
        <w:t xml:space="preserve"> </w:t>
      </w:r>
      <w:r w:rsidRPr="0062350D">
        <w:t>the</w:t>
      </w:r>
      <w:r w:rsidR="0062350D">
        <w:t xml:space="preserve"> </w:t>
      </w:r>
      <w:r w:rsidRPr="0062350D">
        <w:t>time</w:t>
      </w:r>
      <w:r w:rsidR="0062350D">
        <w:t xml:space="preserve"> </w:t>
      </w:r>
      <w:r w:rsidRPr="0062350D">
        <w:t>was</w:t>
      </w:r>
      <w:r w:rsidR="0062350D">
        <w:t xml:space="preserve"> </w:t>
      </w:r>
      <w:r w:rsidRPr="0062350D">
        <w:t>to</w:t>
      </w:r>
      <w:r w:rsidR="0062350D">
        <w:t xml:space="preserve"> </w:t>
      </w:r>
      <w:r w:rsidRPr="0062350D">
        <w:t>detain</w:t>
      </w:r>
      <w:r w:rsidR="0062350D">
        <w:t xml:space="preserve"> </w:t>
      </w:r>
      <w:r w:rsidRPr="0062350D">
        <w:t>and</w:t>
      </w:r>
      <w:r w:rsidR="0062350D">
        <w:t xml:space="preserve"> </w:t>
      </w:r>
      <w:r w:rsidRPr="0062350D">
        <w:t>subsequently</w:t>
      </w:r>
      <w:r w:rsidR="0062350D">
        <w:t xml:space="preserve"> </w:t>
      </w:r>
      <w:r w:rsidRPr="0062350D">
        <w:t>transfer</w:t>
      </w:r>
      <w:r w:rsidR="0062350D">
        <w:t xml:space="preserve"> </w:t>
      </w:r>
      <w:r w:rsidRPr="0062350D">
        <w:t>all</w:t>
      </w:r>
      <w:r w:rsidR="0062350D">
        <w:t xml:space="preserve"> </w:t>
      </w:r>
      <w:r w:rsidRPr="0062350D">
        <w:t>individuals</w:t>
      </w:r>
      <w:r w:rsidR="0062350D">
        <w:t xml:space="preserve"> </w:t>
      </w:r>
      <w:r w:rsidRPr="0062350D">
        <w:t>who</w:t>
      </w:r>
      <w:r w:rsidR="0062350D">
        <w:t xml:space="preserve"> </w:t>
      </w:r>
      <w:r w:rsidRPr="0062350D">
        <w:t>had</w:t>
      </w:r>
      <w:r w:rsidR="0062350D">
        <w:t xml:space="preserve"> </w:t>
      </w:r>
      <w:r w:rsidRPr="0062350D">
        <w:t>arrived</w:t>
      </w:r>
      <w:r w:rsidR="0062350D">
        <w:t xml:space="preserve"> </w:t>
      </w:r>
      <w:r w:rsidRPr="0062350D">
        <w:t>as</w:t>
      </w:r>
      <w:r w:rsidR="0062350D">
        <w:t xml:space="preserve"> </w:t>
      </w:r>
      <w:r w:rsidRPr="0062350D">
        <w:t>irregular</w:t>
      </w:r>
      <w:r w:rsidR="0062350D">
        <w:t xml:space="preserve"> </w:t>
      </w:r>
      <w:r w:rsidRPr="0062350D">
        <w:t>maritime</w:t>
      </w:r>
      <w:r w:rsidR="0062350D">
        <w:t xml:space="preserve"> </w:t>
      </w:r>
      <w:r w:rsidRPr="0062350D">
        <w:t>arrivals</w:t>
      </w:r>
      <w:r w:rsidR="0062350D">
        <w:t xml:space="preserve"> </w:t>
      </w:r>
      <w:r w:rsidRPr="0062350D">
        <w:t>to</w:t>
      </w:r>
      <w:r w:rsidR="0062350D">
        <w:t xml:space="preserve"> </w:t>
      </w:r>
      <w:r w:rsidRPr="0062350D">
        <w:t>a</w:t>
      </w:r>
      <w:r w:rsidR="0062350D">
        <w:t xml:space="preserve"> </w:t>
      </w:r>
      <w:r w:rsidRPr="0062350D">
        <w:t>regional</w:t>
      </w:r>
      <w:r w:rsidR="0062350D">
        <w:t xml:space="preserve"> </w:t>
      </w:r>
      <w:r w:rsidRPr="0062350D">
        <w:t>processing</w:t>
      </w:r>
      <w:r w:rsidR="0062350D">
        <w:t xml:space="preserve"> </w:t>
      </w:r>
      <w:r w:rsidRPr="0062350D">
        <w:t>country,</w:t>
      </w:r>
      <w:r w:rsidR="0062350D">
        <w:t xml:space="preserve"> </w:t>
      </w:r>
      <w:r w:rsidRPr="0062350D">
        <w:t>subject</w:t>
      </w:r>
      <w:r w:rsidR="0062350D">
        <w:t xml:space="preserve"> </w:t>
      </w:r>
      <w:r w:rsidRPr="0062350D">
        <w:t>to</w:t>
      </w:r>
      <w:r w:rsidR="0062350D">
        <w:t xml:space="preserve"> </w:t>
      </w:r>
      <w:r w:rsidRPr="0062350D">
        <w:t>the</w:t>
      </w:r>
      <w:r w:rsidR="0062350D">
        <w:t xml:space="preserve"> </w:t>
      </w:r>
      <w:r w:rsidRPr="0062350D">
        <w:t>availability</w:t>
      </w:r>
      <w:r w:rsidR="0062350D">
        <w:t xml:space="preserve"> </w:t>
      </w:r>
      <w:r w:rsidRPr="0062350D">
        <w:t>of</w:t>
      </w:r>
      <w:r w:rsidR="0062350D">
        <w:t xml:space="preserve"> </w:t>
      </w:r>
      <w:r w:rsidRPr="0062350D">
        <w:t>vacant</w:t>
      </w:r>
      <w:r w:rsidR="0062350D">
        <w:t xml:space="preserve"> </w:t>
      </w:r>
      <w:r w:rsidRPr="0062350D">
        <w:t>accommodation</w:t>
      </w:r>
      <w:r w:rsidR="0062350D">
        <w:t xml:space="preserve"> </w:t>
      </w:r>
      <w:r w:rsidRPr="0062350D">
        <w:t>and</w:t>
      </w:r>
      <w:r w:rsidR="0062350D">
        <w:t xml:space="preserve"> </w:t>
      </w:r>
      <w:r w:rsidRPr="0062350D">
        <w:t>facilities</w:t>
      </w:r>
      <w:r w:rsidR="0062350D">
        <w:t xml:space="preserve"> </w:t>
      </w:r>
      <w:r w:rsidRPr="0062350D">
        <w:t>suitable</w:t>
      </w:r>
      <w:r w:rsidR="0062350D">
        <w:t xml:space="preserve"> </w:t>
      </w:r>
      <w:r w:rsidRPr="0062350D">
        <w:t>for</w:t>
      </w:r>
      <w:r w:rsidR="0062350D">
        <w:t xml:space="preserve"> </w:t>
      </w:r>
      <w:r w:rsidRPr="0062350D">
        <w:t>the</w:t>
      </w:r>
      <w:r w:rsidR="0062350D">
        <w:t xml:space="preserve"> </w:t>
      </w:r>
      <w:r w:rsidRPr="0062350D">
        <w:t>needs</w:t>
      </w:r>
      <w:r w:rsidR="0062350D">
        <w:t xml:space="preserve"> </w:t>
      </w:r>
      <w:r w:rsidRPr="0062350D">
        <w:t>of</w:t>
      </w:r>
      <w:r w:rsidR="0062350D">
        <w:t xml:space="preserve"> </w:t>
      </w:r>
      <w:r w:rsidRPr="0062350D">
        <w:t>transferred</w:t>
      </w:r>
      <w:r w:rsidR="0062350D">
        <w:t xml:space="preserve"> </w:t>
      </w:r>
      <w:r w:rsidRPr="0062350D">
        <w:t>individuals.</w:t>
      </w:r>
      <w:r w:rsidR="0062350D">
        <w:t xml:space="preserve"> </w:t>
      </w:r>
      <w:r w:rsidRPr="0062350D">
        <w:t>In</w:t>
      </w:r>
      <w:r w:rsidR="0062350D">
        <w:t xml:space="preserve"> </w:t>
      </w:r>
      <w:r w:rsidRPr="0062350D">
        <w:t>March</w:t>
      </w:r>
      <w:r w:rsidR="0062350D">
        <w:t xml:space="preserve"> </w:t>
      </w:r>
      <w:r w:rsidRPr="0062350D">
        <w:t>2014,</w:t>
      </w:r>
      <w:r w:rsidR="0062350D">
        <w:t xml:space="preserve"> </w:t>
      </w:r>
      <w:r w:rsidRPr="0062350D">
        <w:t>the</w:t>
      </w:r>
      <w:r w:rsidR="0062350D">
        <w:t xml:space="preserve"> </w:t>
      </w:r>
      <w:r w:rsidRPr="0062350D">
        <w:t>authors</w:t>
      </w:r>
      <w:r w:rsidR="0062350D" w:rsidRPr="0062350D">
        <w:t>’</w:t>
      </w:r>
      <w:r w:rsidR="0062350D">
        <w:t xml:space="preserve"> </w:t>
      </w:r>
      <w:r w:rsidRPr="0062350D">
        <w:t>counsel</w:t>
      </w:r>
      <w:r w:rsidR="0062350D">
        <w:t xml:space="preserve"> </w:t>
      </w:r>
      <w:r w:rsidRPr="0062350D">
        <w:t>sent</w:t>
      </w:r>
      <w:r w:rsidR="0062350D">
        <w:t xml:space="preserve"> </w:t>
      </w:r>
      <w:r w:rsidRPr="0062350D">
        <w:t>letters</w:t>
      </w:r>
      <w:r w:rsidR="0062350D">
        <w:t xml:space="preserve"> </w:t>
      </w:r>
      <w:r w:rsidRPr="0062350D">
        <w:t>to</w:t>
      </w:r>
      <w:r w:rsidR="0062350D">
        <w:t xml:space="preserve"> </w:t>
      </w:r>
      <w:r w:rsidRPr="0062350D">
        <w:t>the</w:t>
      </w:r>
      <w:r w:rsidR="0062350D">
        <w:t xml:space="preserve"> </w:t>
      </w:r>
      <w:r w:rsidRPr="0062350D">
        <w:t>Australian</w:t>
      </w:r>
      <w:r w:rsidR="0062350D">
        <w:t xml:space="preserve"> </w:t>
      </w:r>
      <w:r w:rsidRPr="0062350D">
        <w:t>Department</w:t>
      </w:r>
      <w:r w:rsidR="0062350D">
        <w:t xml:space="preserve"> </w:t>
      </w:r>
      <w:r w:rsidRPr="0062350D">
        <w:t>of</w:t>
      </w:r>
      <w:r w:rsidR="0062350D">
        <w:t xml:space="preserve"> </w:t>
      </w:r>
      <w:r w:rsidRPr="0062350D">
        <w:t>Immigration</w:t>
      </w:r>
      <w:r w:rsidR="0062350D">
        <w:t xml:space="preserve"> </w:t>
      </w:r>
      <w:r w:rsidRPr="0062350D">
        <w:t>and</w:t>
      </w:r>
      <w:r w:rsidR="0062350D">
        <w:t xml:space="preserve"> </w:t>
      </w:r>
      <w:r w:rsidRPr="0062350D">
        <w:t>Border</w:t>
      </w:r>
      <w:r w:rsidR="0062350D">
        <w:t xml:space="preserve"> </w:t>
      </w:r>
      <w:r w:rsidRPr="0062350D">
        <w:t>Protection</w:t>
      </w:r>
      <w:r w:rsidR="0062350D">
        <w:t xml:space="preserve"> </w:t>
      </w:r>
      <w:r w:rsidRPr="0062350D">
        <w:t>and</w:t>
      </w:r>
      <w:r w:rsidR="0062350D">
        <w:t xml:space="preserve"> </w:t>
      </w:r>
      <w:r w:rsidRPr="0062350D">
        <w:t>to</w:t>
      </w:r>
      <w:r w:rsidR="0062350D">
        <w:t xml:space="preserve"> </w:t>
      </w:r>
      <w:r w:rsidRPr="0062350D">
        <w:t>the</w:t>
      </w:r>
      <w:r w:rsidR="0062350D">
        <w:t xml:space="preserve"> </w:t>
      </w:r>
      <w:r w:rsidRPr="0062350D">
        <w:t>Minister</w:t>
      </w:r>
      <w:r w:rsidR="0062350D">
        <w:t xml:space="preserve"> </w:t>
      </w:r>
      <w:r w:rsidRPr="0062350D">
        <w:t>for</w:t>
      </w:r>
      <w:r w:rsidR="0062350D">
        <w:t xml:space="preserve"> </w:t>
      </w:r>
      <w:r w:rsidRPr="0062350D">
        <w:t>Immigration</w:t>
      </w:r>
      <w:r w:rsidR="0062350D">
        <w:t xml:space="preserve"> </w:t>
      </w:r>
      <w:r w:rsidRPr="0062350D">
        <w:t>and</w:t>
      </w:r>
      <w:r w:rsidR="0062350D">
        <w:t xml:space="preserve"> </w:t>
      </w:r>
      <w:r w:rsidRPr="0062350D">
        <w:t>Border</w:t>
      </w:r>
      <w:r w:rsidR="0062350D">
        <w:t xml:space="preserve"> </w:t>
      </w:r>
      <w:r w:rsidRPr="0062350D">
        <w:t>Protection,</w:t>
      </w:r>
      <w:r w:rsidR="0062350D">
        <w:t xml:space="preserve"> </w:t>
      </w:r>
      <w:r w:rsidRPr="0062350D">
        <w:t>requesting</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be</w:t>
      </w:r>
      <w:r w:rsidR="0062350D">
        <w:t xml:space="preserve"> </w:t>
      </w:r>
      <w:r w:rsidRPr="0062350D">
        <w:t>exempted</w:t>
      </w:r>
      <w:r w:rsidR="0062350D">
        <w:t xml:space="preserve"> </w:t>
      </w:r>
      <w:r w:rsidRPr="0062350D">
        <w:t>from</w:t>
      </w:r>
      <w:r w:rsidR="0062350D">
        <w:t xml:space="preserve"> </w:t>
      </w:r>
      <w:r w:rsidRPr="0062350D">
        <w:t>transfer</w:t>
      </w:r>
      <w:r w:rsidR="0062350D">
        <w:t xml:space="preserve"> </w:t>
      </w:r>
      <w:r w:rsidRPr="0062350D">
        <w:t>to</w:t>
      </w:r>
      <w:r w:rsidR="0062350D">
        <w:t xml:space="preserve"> </w:t>
      </w:r>
      <w:r w:rsidRPr="0062350D">
        <w:t>Nauru</w:t>
      </w:r>
      <w:r w:rsidR="0062350D">
        <w:t xml:space="preserve"> </w:t>
      </w:r>
      <w:r w:rsidRPr="0062350D">
        <w:t>on</w:t>
      </w:r>
      <w:r w:rsidR="0062350D">
        <w:t xml:space="preserve"> </w:t>
      </w:r>
      <w:r w:rsidRPr="0062350D">
        <w:t>the</w:t>
      </w:r>
      <w:r w:rsidR="0062350D">
        <w:t xml:space="preserve"> </w:t>
      </w:r>
      <w:r w:rsidRPr="0062350D">
        <w:t>ground</w:t>
      </w:r>
      <w:r w:rsidR="0062350D">
        <w:t xml:space="preserve"> </w:t>
      </w:r>
      <w:r w:rsidRPr="0062350D">
        <w:t>of</w:t>
      </w:r>
      <w:r w:rsidR="0062350D">
        <w:t xml:space="preserve"> </w:t>
      </w:r>
      <w:r w:rsidRPr="0062350D">
        <w:t>their</w:t>
      </w:r>
      <w:r w:rsidR="0062350D">
        <w:t xml:space="preserve"> </w:t>
      </w:r>
      <w:r w:rsidRPr="0062350D">
        <w:t>status</w:t>
      </w:r>
      <w:r w:rsidR="0062350D">
        <w:t xml:space="preserve"> </w:t>
      </w:r>
      <w:r w:rsidRPr="0062350D">
        <w:t>of</w:t>
      </w:r>
      <w:r w:rsidR="0062350D">
        <w:t xml:space="preserve"> </w:t>
      </w:r>
      <w:r w:rsidRPr="0062350D">
        <w:t>unaccompanied</w:t>
      </w:r>
      <w:r w:rsidR="0062350D">
        <w:t xml:space="preserve"> </w:t>
      </w:r>
      <w:r w:rsidRPr="0062350D">
        <w:t>minors.</w:t>
      </w:r>
      <w:r w:rsidR="0062350D">
        <w:t xml:space="preserve"> </w:t>
      </w:r>
      <w:r w:rsidRPr="0062350D">
        <w:t>Counsel</w:t>
      </w:r>
      <w:r w:rsidR="0062350D">
        <w:t xml:space="preserve"> </w:t>
      </w:r>
      <w:r w:rsidRPr="0062350D">
        <w:t>also</w:t>
      </w:r>
      <w:r w:rsidR="0062350D">
        <w:t xml:space="preserve"> </w:t>
      </w:r>
      <w:r w:rsidRPr="0062350D">
        <w:t>wrote</w:t>
      </w:r>
      <w:r w:rsidR="0062350D">
        <w:t xml:space="preserve"> </w:t>
      </w:r>
      <w:r w:rsidRPr="0062350D">
        <w:t>to</w:t>
      </w:r>
      <w:r w:rsidR="0062350D">
        <w:t xml:space="preserve"> </w:t>
      </w:r>
      <w:r w:rsidRPr="0062350D">
        <w:t>the</w:t>
      </w:r>
      <w:r w:rsidR="0062350D">
        <w:t xml:space="preserve"> </w:t>
      </w:r>
      <w:r w:rsidRPr="0062350D">
        <w:t>case</w:t>
      </w:r>
      <w:r w:rsidR="0062350D">
        <w:t xml:space="preserve"> </w:t>
      </w:r>
      <w:r w:rsidRPr="0062350D">
        <w:t>management</w:t>
      </w:r>
      <w:r w:rsidR="0062350D">
        <w:t xml:space="preserve"> </w:t>
      </w:r>
      <w:r w:rsidRPr="0062350D">
        <w:t>authorities</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requesting</w:t>
      </w:r>
      <w:r w:rsidR="0062350D">
        <w:t xml:space="preserve"> </w:t>
      </w:r>
      <w:r w:rsidRPr="0062350D">
        <w:t>assurance</w:t>
      </w:r>
      <w:r w:rsidR="0062350D">
        <w:t xml:space="preserve"> </w:t>
      </w:r>
      <w:r w:rsidRPr="0062350D">
        <w:t>that</w:t>
      </w:r>
      <w:r w:rsidR="0062350D">
        <w:t xml:space="preserve"> </w:t>
      </w:r>
      <w:r w:rsidRPr="0062350D">
        <w:t>some</w:t>
      </w:r>
      <w:r w:rsidR="0062350D">
        <w:t xml:space="preserve"> </w:t>
      </w:r>
      <w:r w:rsidRPr="0062350D">
        <w:t>of</w:t>
      </w:r>
      <w:r w:rsidR="0062350D">
        <w:t xml:space="preserve"> </w:t>
      </w:r>
      <w:r w:rsidRPr="0062350D">
        <w:t>the</w:t>
      </w:r>
      <w:r w:rsidR="0062350D">
        <w:t xml:space="preserve"> </w:t>
      </w:r>
      <w:r w:rsidRPr="0062350D">
        <w:t>minors</w:t>
      </w:r>
      <w:r w:rsidR="0062350D">
        <w:t xml:space="preserve"> </w:t>
      </w:r>
      <w:r w:rsidRPr="0062350D">
        <w:t>would</w:t>
      </w:r>
      <w:r w:rsidR="0062350D">
        <w:t xml:space="preserve"> </w:t>
      </w:r>
      <w:r w:rsidRPr="0062350D">
        <w:t>not</w:t>
      </w:r>
      <w:r w:rsidR="0062350D">
        <w:t xml:space="preserve"> </w:t>
      </w:r>
      <w:r w:rsidRPr="0062350D">
        <w:t>be</w:t>
      </w:r>
      <w:r w:rsidR="0062350D">
        <w:t xml:space="preserve"> </w:t>
      </w:r>
      <w:r w:rsidRPr="0062350D">
        <w:t>transferred.</w:t>
      </w:r>
      <w:r w:rsidR="0062350D">
        <w:t xml:space="preserve"> </w:t>
      </w:r>
      <w:r w:rsidRPr="0062350D">
        <w:t>The</w:t>
      </w:r>
      <w:r w:rsidR="0062350D">
        <w:t xml:space="preserve"> </w:t>
      </w:r>
      <w:r w:rsidRPr="0062350D">
        <w:t>authors</w:t>
      </w:r>
      <w:r w:rsidR="0062350D">
        <w:t xml:space="preserve"> </w:t>
      </w:r>
      <w:r w:rsidRPr="0062350D">
        <w:t>did</w:t>
      </w:r>
      <w:r w:rsidR="0062350D">
        <w:t xml:space="preserve"> </w:t>
      </w:r>
      <w:r w:rsidRPr="0062350D">
        <w:t>not</w:t>
      </w:r>
      <w:r w:rsidR="0062350D">
        <w:t xml:space="preserve"> </w:t>
      </w:r>
      <w:r w:rsidRPr="0062350D">
        <w:t>receive</w:t>
      </w:r>
      <w:r w:rsidR="0062350D">
        <w:t xml:space="preserve"> </w:t>
      </w:r>
      <w:r w:rsidRPr="0062350D">
        <w:t>a</w:t>
      </w:r>
      <w:r w:rsidR="0062350D">
        <w:t xml:space="preserve"> </w:t>
      </w:r>
      <w:r w:rsidRPr="0062350D">
        <w:t>reply</w:t>
      </w:r>
      <w:r w:rsidR="0062350D">
        <w:t xml:space="preserve"> </w:t>
      </w:r>
      <w:r w:rsidRPr="0062350D">
        <w:t>to</w:t>
      </w:r>
      <w:r w:rsidR="0062350D">
        <w:t xml:space="preserve"> </w:t>
      </w:r>
      <w:r w:rsidRPr="0062350D">
        <w:t>any</w:t>
      </w:r>
      <w:r w:rsidR="0062350D">
        <w:t xml:space="preserve"> </w:t>
      </w:r>
      <w:r w:rsidRPr="0062350D">
        <w:t>of</w:t>
      </w:r>
      <w:r w:rsidR="0062350D">
        <w:t xml:space="preserve"> </w:t>
      </w:r>
      <w:r w:rsidRPr="0062350D">
        <w:t>the</w:t>
      </w:r>
      <w:r w:rsidR="0062350D">
        <w:t xml:space="preserve"> </w:t>
      </w:r>
      <w:r w:rsidRPr="0062350D">
        <w:t>above</w:t>
      </w:r>
      <w:r w:rsidR="0062350D">
        <w:t xml:space="preserve"> </w:t>
      </w:r>
      <w:r w:rsidRPr="0062350D">
        <w:t>letters.</w:t>
      </w:r>
      <w:r w:rsidR="0062350D">
        <w:t xml:space="preserve"> </w:t>
      </w:r>
      <w:r w:rsidRPr="0062350D">
        <w:t>They</w:t>
      </w:r>
      <w:r w:rsidR="0062350D">
        <w:t xml:space="preserve"> </w:t>
      </w:r>
      <w:r w:rsidRPr="0062350D">
        <w:t>did</w:t>
      </w:r>
      <w:r w:rsidR="0062350D">
        <w:t xml:space="preserve"> </w:t>
      </w:r>
      <w:r w:rsidRPr="0062350D">
        <w:t>not</w:t>
      </w:r>
      <w:r w:rsidR="0062350D">
        <w:t xml:space="preserve"> </w:t>
      </w:r>
      <w:r w:rsidRPr="0062350D">
        <w:t>seek</w:t>
      </w:r>
      <w:r w:rsidR="0062350D">
        <w:t xml:space="preserve"> </w:t>
      </w:r>
      <w:r w:rsidRPr="0062350D">
        <w:t>judicial</w:t>
      </w:r>
      <w:r w:rsidR="0062350D">
        <w:t xml:space="preserve"> </w:t>
      </w:r>
      <w:r w:rsidRPr="0062350D">
        <w:t>review</w:t>
      </w:r>
      <w:r w:rsidR="0062350D">
        <w:t xml:space="preserve"> </w:t>
      </w:r>
      <w:r w:rsidRPr="0062350D">
        <w:t>of</w:t>
      </w:r>
      <w:r w:rsidR="0062350D">
        <w:t xml:space="preserve"> </w:t>
      </w:r>
      <w:r w:rsidRPr="0062350D">
        <w:t>the</w:t>
      </w:r>
      <w:r w:rsidR="0062350D">
        <w:t xml:space="preserve"> </w:t>
      </w:r>
      <w:r w:rsidRPr="0062350D">
        <w:t>situation,</w:t>
      </w:r>
      <w:r w:rsidR="0062350D">
        <w:t xml:space="preserve"> </w:t>
      </w:r>
      <w:r w:rsidRPr="0062350D">
        <w:t>as</w:t>
      </w:r>
      <w:r w:rsidR="0062350D">
        <w:t xml:space="preserve"> </w:t>
      </w:r>
      <w:r w:rsidRPr="0062350D">
        <w:t>they</w:t>
      </w:r>
      <w:r w:rsidR="0062350D">
        <w:t xml:space="preserve"> </w:t>
      </w:r>
      <w:r w:rsidRPr="0062350D">
        <w:t>believed</w:t>
      </w:r>
      <w:r w:rsidR="0062350D">
        <w:t xml:space="preserve"> </w:t>
      </w:r>
      <w:r w:rsidRPr="0062350D">
        <w:t>that</w:t>
      </w:r>
      <w:r w:rsidR="0062350D">
        <w:t xml:space="preserve"> </w:t>
      </w:r>
      <w:r w:rsidRPr="0062350D">
        <w:t>there</w:t>
      </w:r>
      <w:r w:rsidR="0062350D">
        <w:t xml:space="preserve"> </w:t>
      </w:r>
      <w:r w:rsidRPr="0062350D">
        <w:t>was</w:t>
      </w:r>
      <w:r w:rsidR="0062350D">
        <w:t xml:space="preserve"> </w:t>
      </w:r>
      <w:r w:rsidRPr="0062350D">
        <w:t>no</w:t>
      </w:r>
      <w:r w:rsidR="0062350D">
        <w:t xml:space="preserve"> </w:t>
      </w:r>
      <w:r w:rsidRPr="0062350D">
        <w:t>effective</w:t>
      </w:r>
      <w:r w:rsidR="0062350D">
        <w:t xml:space="preserve"> </w:t>
      </w:r>
      <w:r w:rsidRPr="0062350D">
        <w:t>judicial</w:t>
      </w:r>
      <w:r w:rsidR="0062350D">
        <w:t xml:space="preserve"> </w:t>
      </w:r>
      <w:r w:rsidRPr="0062350D">
        <w:t>remedy</w:t>
      </w:r>
      <w:r w:rsidR="0062350D">
        <w:t xml:space="preserve"> </w:t>
      </w:r>
      <w:r w:rsidRPr="0062350D">
        <w:t>available</w:t>
      </w:r>
      <w:r w:rsidR="0062350D">
        <w:t xml:space="preserve"> </w:t>
      </w:r>
      <w:r w:rsidRPr="0062350D">
        <w:t>to</w:t>
      </w:r>
      <w:r w:rsidR="0062350D">
        <w:t xml:space="preserve"> </w:t>
      </w:r>
      <w:r w:rsidRPr="0062350D">
        <w:t>them</w:t>
      </w:r>
      <w:r w:rsidR="0062350D">
        <w:t xml:space="preserve"> </w:t>
      </w:r>
      <w:r w:rsidRPr="0062350D">
        <w:t>to</w:t>
      </w:r>
      <w:r w:rsidR="0062350D">
        <w:t xml:space="preserve"> </w:t>
      </w:r>
      <w:r w:rsidRPr="0062350D">
        <w:t>prevent</w:t>
      </w:r>
      <w:r w:rsidR="0062350D">
        <w:t xml:space="preserve"> </w:t>
      </w:r>
      <w:r w:rsidRPr="0062350D">
        <w:t>the</w:t>
      </w:r>
      <w:r w:rsidR="0062350D">
        <w:t xml:space="preserve"> </w:t>
      </w:r>
      <w:r w:rsidRPr="0062350D">
        <w:t>transfer.</w:t>
      </w:r>
      <w:r w:rsidR="0062350D">
        <w:t xml:space="preserve"> </w:t>
      </w:r>
      <w:r w:rsidRPr="0062350D">
        <w:t>Subsequently,</w:t>
      </w:r>
      <w:r w:rsidR="0062350D">
        <w:t xml:space="preserve"> </w:t>
      </w:r>
      <w:r w:rsidRPr="0062350D">
        <w:t>the</w:t>
      </w:r>
      <w:r w:rsidR="0062350D">
        <w:t xml:space="preserve"> </w:t>
      </w:r>
      <w:r w:rsidRPr="0062350D">
        <w:t>authors</w:t>
      </w:r>
      <w:r w:rsidR="0062350D" w:rsidRPr="0062350D">
        <w:t>’</w:t>
      </w:r>
      <w:r w:rsidR="0062350D">
        <w:t xml:space="preserve"> </w:t>
      </w:r>
      <w:r w:rsidRPr="0062350D">
        <w:t>counsel</w:t>
      </w:r>
      <w:r w:rsidR="0062350D">
        <w:t xml:space="preserve"> </w:t>
      </w:r>
      <w:r w:rsidRPr="0062350D">
        <w:t>noted</w:t>
      </w:r>
      <w:r w:rsidR="0062350D">
        <w:t xml:space="preserve"> </w:t>
      </w:r>
      <w:r w:rsidRPr="0062350D">
        <w:t>that</w:t>
      </w:r>
      <w:r w:rsidR="0062350D">
        <w:t xml:space="preserve"> </w:t>
      </w:r>
      <w:r w:rsidRPr="0062350D">
        <w:t>she</w:t>
      </w:r>
      <w:r w:rsidR="0062350D">
        <w:t xml:space="preserve"> </w:t>
      </w:r>
      <w:r w:rsidRPr="0062350D">
        <w:t>was</w:t>
      </w:r>
      <w:r w:rsidR="0062350D">
        <w:t xml:space="preserve"> </w:t>
      </w:r>
      <w:r w:rsidRPr="0062350D">
        <w:t>unaware</w:t>
      </w:r>
      <w:r w:rsidR="0062350D">
        <w:t xml:space="preserve"> </w:t>
      </w:r>
      <w:r w:rsidRPr="0062350D">
        <w:t>as</w:t>
      </w:r>
      <w:r w:rsidR="0062350D">
        <w:t xml:space="preserve"> </w:t>
      </w:r>
      <w:r w:rsidRPr="0062350D">
        <w:t>to</w:t>
      </w:r>
      <w:r w:rsidR="0062350D">
        <w:t xml:space="preserve"> </w:t>
      </w:r>
      <w:r w:rsidRPr="0062350D">
        <w:t>whether</w:t>
      </w:r>
      <w:r w:rsidR="0062350D">
        <w:t xml:space="preserve"> </w:t>
      </w:r>
      <w:r w:rsidRPr="0062350D">
        <w:t>there</w:t>
      </w:r>
      <w:r w:rsidR="0062350D">
        <w:t xml:space="preserve"> </w:t>
      </w:r>
      <w:r w:rsidRPr="0062350D">
        <w:t>had</w:t>
      </w:r>
      <w:r w:rsidR="0062350D">
        <w:t xml:space="preserve"> </w:t>
      </w:r>
      <w:r w:rsidRPr="0062350D">
        <w:t>been</w:t>
      </w:r>
      <w:r w:rsidR="0062350D">
        <w:t xml:space="preserve"> </w:t>
      </w:r>
      <w:r w:rsidRPr="0062350D">
        <w:t>any</w:t>
      </w:r>
      <w:r w:rsidR="0062350D">
        <w:t xml:space="preserve"> </w:t>
      </w:r>
      <w:r w:rsidRPr="0062350D">
        <w:t>remedies</w:t>
      </w:r>
      <w:r w:rsidR="0062350D">
        <w:t xml:space="preserve"> </w:t>
      </w:r>
      <w:r w:rsidRPr="0062350D">
        <w:t>capable</w:t>
      </w:r>
      <w:r w:rsidR="0062350D">
        <w:t xml:space="preserve"> </w:t>
      </w:r>
      <w:r w:rsidRPr="0062350D">
        <w:t>of</w:t>
      </w:r>
      <w:r w:rsidR="0062350D">
        <w:t xml:space="preserve"> </w:t>
      </w:r>
      <w:r w:rsidRPr="0062350D">
        <w:t>preventing</w:t>
      </w:r>
      <w:r w:rsidR="0062350D">
        <w:t xml:space="preserve"> </w:t>
      </w:r>
      <w:r w:rsidRPr="0062350D">
        <w:t>the</w:t>
      </w:r>
      <w:r w:rsidR="0062350D">
        <w:t xml:space="preserve"> </w:t>
      </w:r>
      <w:r w:rsidRPr="0062350D">
        <w:t>transfer.</w:t>
      </w:r>
    </w:p>
    <w:p w14:paraId="66BB9C40" w14:textId="22AC2F3B" w:rsidR="0062350D" w:rsidRPr="0062350D" w:rsidRDefault="007F12C3" w:rsidP="005D6A3F">
      <w:pPr>
        <w:pStyle w:val="SingleTxtG"/>
      </w:pPr>
      <w:r w:rsidRPr="0062350D">
        <w:t>2.3</w:t>
      </w:r>
      <w:r w:rsidRPr="0062350D">
        <w:tab/>
        <w:t>In</w:t>
      </w:r>
      <w:r w:rsidR="0062350D">
        <w:t xml:space="preserve"> </w:t>
      </w:r>
      <w:r w:rsidRPr="0062350D">
        <w:t>September</w:t>
      </w:r>
      <w:r w:rsidR="0062350D">
        <w:t xml:space="preserve"> </w:t>
      </w:r>
      <w:r w:rsidRPr="0062350D">
        <w:t>and</w:t>
      </w:r>
      <w:r w:rsidR="0062350D">
        <w:t xml:space="preserve"> </w:t>
      </w:r>
      <w:r w:rsidRPr="0062350D">
        <w:t>December</w:t>
      </w:r>
      <w:r w:rsidR="0062350D">
        <w:t xml:space="preserve"> </w:t>
      </w:r>
      <w:r w:rsidRPr="0062350D">
        <w:t>2014,</w:t>
      </w:r>
      <w:r w:rsidR="0062350D">
        <w:t xml:space="preserve"> </w:t>
      </w:r>
      <w:r w:rsidRPr="0062350D">
        <w:t>the</w:t>
      </w:r>
      <w:r w:rsidR="0062350D">
        <w:t xml:space="preserve"> </w:t>
      </w:r>
      <w:r w:rsidRPr="0062350D">
        <w:t>Minister</w:t>
      </w:r>
      <w:r w:rsidR="0062350D">
        <w:t xml:space="preserve"> </w:t>
      </w:r>
      <w:r w:rsidRPr="0062350D">
        <w:t>for</w:t>
      </w:r>
      <w:r w:rsidR="0062350D">
        <w:t xml:space="preserve"> </w:t>
      </w:r>
      <w:r w:rsidRPr="0062350D">
        <w:t>Immigration</w:t>
      </w:r>
      <w:r w:rsidR="0062350D">
        <w:t xml:space="preserve"> </w:t>
      </w:r>
      <w:r w:rsidRPr="0062350D">
        <w:t>and</w:t>
      </w:r>
      <w:r w:rsidR="0062350D">
        <w:t xml:space="preserve"> </w:t>
      </w:r>
      <w:r w:rsidRPr="0062350D">
        <w:t>Border</w:t>
      </w:r>
      <w:r w:rsidR="0062350D">
        <w:t xml:space="preserve"> </w:t>
      </w:r>
      <w:r w:rsidRPr="0062350D">
        <w:t>Protection</w:t>
      </w:r>
      <w:r w:rsidR="0062350D">
        <w:t xml:space="preserve"> </w:t>
      </w:r>
      <w:r w:rsidRPr="0062350D">
        <w:t>announced</w:t>
      </w:r>
      <w:r w:rsidR="0062350D">
        <w:t xml:space="preserve"> </w:t>
      </w:r>
      <w:r w:rsidRPr="0062350D">
        <w:t>that</w:t>
      </w:r>
      <w:r w:rsidR="0062350D">
        <w:t xml:space="preserve"> </w:t>
      </w:r>
      <w:r w:rsidRPr="0062350D">
        <w:t>all</w:t>
      </w:r>
      <w:r w:rsidR="0062350D">
        <w:t xml:space="preserve"> </w:t>
      </w:r>
      <w:r w:rsidRPr="0062350D">
        <w:t>unauthorized</w:t>
      </w:r>
      <w:r w:rsidR="0062350D">
        <w:t xml:space="preserve"> </w:t>
      </w:r>
      <w:r w:rsidRPr="0062350D">
        <w:t>maritime</w:t>
      </w:r>
      <w:r w:rsidR="0062350D">
        <w:t xml:space="preserve"> </w:t>
      </w:r>
      <w:r w:rsidRPr="0062350D">
        <w:t>migrants</w:t>
      </w:r>
      <w:r w:rsidR="0062350D">
        <w:t xml:space="preserve"> </w:t>
      </w:r>
      <w:r w:rsidRPr="0062350D">
        <w:t>who</w:t>
      </w:r>
      <w:r w:rsidR="0062350D">
        <w:t xml:space="preserve"> </w:t>
      </w:r>
      <w:r w:rsidRPr="0062350D">
        <w:t>had</w:t>
      </w:r>
      <w:r w:rsidR="0062350D">
        <w:t xml:space="preserve"> </w:t>
      </w:r>
      <w:r w:rsidRPr="0062350D">
        <w:t>arrived</w:t>
      </w:r>
      <w:r w:rsidR="0062350D">
        <w:t xml:space="preserve"> </w:t>
      </w:r>
      <w:r w:rsidRPr="0062350D">
        <w:t>in</w:t>
      </w:r>
      <w:r w:rsidR="0062350D">
        <w:t xml:space="preserve"> </w:t>
      </w:r>
      <w:r w:rsidRPr="0062350D">
        <w:t>Australia</w:t>
      </w:r>
      <w:r w:rsidR="0062350D">
        <w:t xml:space="preserve"> </w:t>
      </w:r>
      <w:r w:rsidRPr="0062350D">
        <w:t>between</w:t>
      </w:r>
      <w:r w:rsidR="0062350D">
        <w:t xml:space="preserve"> </w:t>
      </w:r>
      <w:r w:rsidRPr="0062350D">
        <w:t>19</w:t>
      </w:r>
      <w:r w:rsidR="0062350D">
        <w:t xml:space="preserve"> </w:t>
      </w:r>
      <w:r w:rsidRPr="0062350D">
        <w:t>July</w:t>
      </w:r>
      <w:r w:rsidR="0062350D">
        <w:t xml:space="preserve"> </w:t>
      </w:r>
      <w:r w:rsidRPr="0062350D">
        <w:t>and</w:t>
      </w:r>
      <w:r w:rsidR="0062350D">
        <w:t xml:space="preserve"> </w:t>
      </w:r>
      <w:r w:rsidRPr="0062350D">
        <w:t>31</w:t>
      </w:r>
      <w:r w:rsidR="0062350D">
        <w:t xml:space="preserve"> </w:t>
      </w:r>
      <w:r w:rsidRPr="0062350D">
        <w:t>December</w:t>
      </w:r>
      <w:r w:rsidR="0062350D">
        <w:t xml:space="preserve"> </w:t>
      </w:r>
      <w:r w:rsidRPr="0062350D">
        <w:t>2013</w:t>
      </w:r>
      <w:r w:rsidR="0062350D">
        <w:t xml:space="preserve"> </w:t>
      </w:r>
      <w:r w:rsidRPr="0062350D">
        <w:t>and</w:t>
      </w:r>
      <w:r w:rsidR="0062350D">
        <w:t xml:space="preserve"> </w:t>
      </w:r>
      <w:r w:rsidRPr="0062350D">
        <w:t>had</w:t>
      </w:r>
      <w:r w:rsidR="0062350D">
        <w:t xml:space="preserve"> </w:t>
      </w:r>
      <w:r w:rsidRPr="0062350D">
        <w:t>not</w:t>
      </w:r>
      <w:r w:rsidR="0062350D">
        <w:t xml:space="preserve"> </w:t>
      </w:r>
      <w:r w:rsidRPr="0062350D">
        <w:t>yet</w:t>
      </w:r>
      <w:r w:rsidR="0062350D">
        <w:t xml:space="preserve"> </w:t>
      </w:r>
      <w:r w:rsidRPr="0062350D">
        <w:t>been</w:t>
      </w:r>
      <w:r w:rsidR="0062350D">
        <w:t xml:space="preserve"> </w:t>
      </w:r>
      <w:r w:rsidRPr="0062350D">
        <w:t>transferred</w:t>
      </w:r>
      <w:r w:rsidR="0062350D">
        <w:t xml:space="preserve"> </w:t>
      </w:r>
      <w:r w:rsidRPr="0062350D">
        <w:t>to</w:t>
      </w:r>
      <w:r w:rsidR="0062350D">
        <w:t xml:space="preserve"> </w:t>
      </w:r>
      <w:r w:rsidRPr="0062350D">
        <w:t>a</w:t>
      </w:r>
      <w:r w:rsidR="0062350D">
        <w:t xml:space="preserve"> </w:t>
      </w:r>
      <w:r w:rsidRPr="0062350D">
        <w:t>regional</w:t>
      </w:r>
      <w:r w:rsidR="0062350D">
        <w:t xml:space="preserve"> </w:t>
      </w:r>
      <w:r w:rsidRPr="0062350D">
        <w:t>processing</w:t>
      </w:r>
      <w:r w:rsidR="0062350D">
        <w:t xml:space="preserve"> </w:t>
      </w:r>
      <w:r w:rsidRPr="0062350D">
        <w:t>country</w:t>
      </w:r>
      <w:r w:rsidR="0062350D">
        <w:t xml:space="preserve"> </w:t>
      </w:r>
      <w:r w:rsidRPr="0062350D">
        <w:t>would</w:t>
      </w:r>
      <w:r w:rsidR="0062350D">
        <w:t xml:space="preserve"> </w:t>
      </w:r>
      <w:r w:rsidRPr="0062350D">
        <w:t>not</w:t>
      </w:r>
      <w:r w:rsidR="0062350D">
        <w:t xml:space="preserve"> </w:t>
      </w:r>
      <w:r w:rsidRPr="0062350D">
        <w:t>be</w:t>
      </w:r>
      <w:r w:rsidR="0062350D">
        <w:t xml:space="preserve"> </w:t>
      </w:r>
      <w:r w:rsidRPr="0062350D">
        <w:t>transferred</w:t>
      </w:r>
      <w:r w:rsidR="0062350D">
        <w:t xml:space="preserve"> </w:t>
      </w:r>
      <w:r w:rsidRPr="0062350D">
        <w:t>to</w:t>
      </w:r>
      <w:r w:rsidR="0062350D">
        <w:t xml:space="preserve"> </w:t>
      </w:r>
      <w:r w:rsidRPr="0062350D">
        <w:t>offshore</w:t>
      </w:r>
      <w:r w:rsidR="0062350D">
        <w:t xml:space="preserve"> </w:t>
      </w:r>
      <w:r w:rsidRPr="0062350D">
        <w:t>processing</w:t>
      </w:r>
      <w:r w:rsidR="0062350D">
        <w:t xml:space="preserve"> </w:t>
      </w:r>
      <w:r w:rsidRPr="0062350D">
        <w:t>centres.</w:t>
      </w:r>
      <w:r w:rsidR="0062350D">
        <w:t xml:space="preserve"> </w:t>
      </w:r>
      <w:r w:rsidRPr="0062350D">
        <w:t>In</w:t>
      </w:r>
      <w:r w:rsidR="0062350D">
        <w:t xml:space="preserve"> </w:t>
      </w:r>
      <w:r w:rsidRPr="0062350D">
        <w:t>December</w:t>
      </w:r>
      <w:r w:rsidR="0062350D">
        <w:t xml:space="preserve"> </w:t>
      </w:r>
      <w:r w:rsidRPr="0062350D">
        <w:t>2014,</w:t>
      </w:r>
      <w:r w:rsidR="0062350D">
        <w:t xml:space="preserve"> </w:t>
      </w:r>
      <w:r w:rsidRPr="0062350D">
        <w:t>all</w:t>
      </w:r>
      <w:r w:rsidR="0062350D">
        <w:t xml:space="preserve"> </w:t>
      </w:r>
      <w:r w:rsidRPr="0062350D">
        <w:t>minors,</w:t>
      </w:r>
      <w:r w:rsidR="0062350D">
        <w:t xml:space="preserve"> </w:t>
      </w:r>
      <w:r w:rsidRPr="0062350D">
        <w:t>including</w:t>
      </w:r>
      <w:r w:rsidR="0062350D">
        <w:t xml:space="preserve"> </w:t>
      </w:r>
      <w:r w:rsidRPr="0062350D">
        <w:t>six</w:t>
      </w:r>
      <w:r w:rsidR="0062350D">
        <w:t xml:space="preserve"> </w:t>
      </w:r>
      <w:r w:rsidRPr="0062350D">
        <w:t>of</w:t>
      </w:r>
      <w:r w:rsidR="0062350D">
        <w:t xml:space="preserve"> </w:t>
      </w:r>
      <w:r w:rsidRPr="0062350D">
        <w:t>the</w:t>
      </w:r>
      <w:r w:rsidR="0062350D">
        <w:t xml:space="preserve"> </w:t>
      </w:r>
      <w:r w:rsidRPr="0062350D">
        <w:t>authors,</w:t>
      </w:r>
      <w:r w:rsidRPr="0062350D">
        <w:rPr>
          <w:rStyle w:val="FootnoteReference"/>
        </w:rPr>
        <w:footnoteReference w:id="3"/>
      </w:r>
      <w:r w:rsidR="0062350D">
        <w:t xml:space="preserve"> </w:t>
      </w:r>
      <w:r w:rsidRPr="0062350D">
        <w:t>were</w:t>
      </w:r>
      <w:r w:rsidR="0062350D">
        <w:t xml:space="preserve"> </w:t>
      </w:r>
      <w:r w:rsidRPr="0062350D">
        <w:t>moved</w:t>
      </w:r>
      <w:r w:rsidR="0062350D">
        <w:t xml:space="preserve"> </w:t>
      </w:r>
      <w:r w:rsidRPr="0062350D">
        <w:t>from</w:t>
      </w:r>
      <w:r w:rsidR="0062350D">
        <w:t xml:space="preserve"> </w:t>
      </w:r>
      <w:r w:rsidRPr="0062350D">
        <w:t>Christmas</w:t>
      </w:r>
      <w:r w:rsidR="0062350D">
        <w:t xml:space="preserve"> </w:t>
      </w:r>
      <w:r w:rsidRPr="0062350D">
        <w:t>Island</w:t>
      </w:r>
      <w:r w:rsidR="0062350D">
        <w:t xml:space="preserve"> </w:t>
      </w:r>
      <w:r w:rsidRPr="0062350D">
        <w:t>to</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They</w:t>
      </w:r>
      <w:r w:rsidR="0062350D">
        <w:t xml:space="preserve"> </w:t>
      </w:r>
      <w:r w:rsidRPr="0062350D">
        <w:t>were</w:t>
      </w:r>
      <w:r w:rsidR="0062350D">
        <w:t xml:space="preserve"> </w:t>
      </w:r>
      <w:r w:rsidRPr="0062350D">
        <w:t>all</w:t>
      </w:r>
      <w:r w:rsidR="0062350D">
        <w:t xml:space="preserve"> </w:t>
      </w:r>
      <w:r w:rsidRPr="0062350D">
        <w:t>placed</w:t>
      </w:r>
      <w:r w:rsidR="0062350D">
        <w:t xml:space="preserve"> </w:t>
      </w:r>
      <w:r w:rsidRPr="0062350D">
        <w:t>in</w:t>
      </w:r>
      <w:r w:rsidR="0062350D">
        <w:t xml:space="preserve"> </w:t>
      </w:r>
      <w:r w:rsidRPr="0062350D">
        <w:t>group</w:t>
      </w:r>
      <w:r w:rsidR="0062350D">
        <w:t xml:space="preserve"> </w:t>
      </w:r>
      <w:r w:rsidRPr="0062350D">
        <w:t>housing</w:t>
      </w:r>
      <w:r w:rsidR="0062350D">
        <w:t xml:space="preserve"> </w:t>
      </w:r>
      <w:r w:rsidRPr="0062350D">
        <w:t>arrangements.</w:t>
      </w:r>
      <w:r w:rsidR="0062350D">
        <w:t xml:space="preserve"> </w:t>
      </w:r>
      <w:r w:rsidRPr="0062350D">
        <w:t>The</w:t>
      </w:r>
      <w:r w:rsidR="0062350D">
        <w:t xml:space="preserve"> </w:t>
      </w:r>
      <w:r w:rsidRPr="0062350D">
        <w:t>remaining</w:t>
      </w:r>
      <w:r w:rsidR="0062350D">
        <w:t xml:space="preserve"> </w:t>
      </w:r>
      <w:r w:rsidRPr="0062350D">
        <w:t>authors</w:t>
      </w:r>
      <w:r w:rsidR="0062350D">
        <w:t xml:space="preserve"> </w:t>
      </w:r>
      <w:r w:rsidRPr="0062350D">
        <w:t>were</w:t>
      </w:r>
      <w:r w:rsidR="0062350D">
        <w:t xml:space="preserve"> </w:t>
      </w:r>
      <w:r w:rsidRPr="0062350D">
        <w:t>also</w:t>
      </w:r>
      <w:r w:rsidR="0062350D">
        <w:t xml:space="preserve"> </w:t>
      </w:r>
      <w:r w:rsidRPr="0062350D">
        <w:t>relocated</w:t>
      </w:r>
      <w:r w:rsidR="0062350D">
        <w:t xml:space="preserve"> </w:t>
      </w:r>
      <w:r w:rsidRPr="0062350D">
        <w:t>to</w:t>
      </w:r>
      <w:r w:rsidR="0062350D">
        <w:t xml:space="preserve"> </w:t>
      </w:r>
      <w:r w:rsidRPr="0062350D">
        <w:t>the</w:t>
      </w:r>
      <w:r w:rsidR="0062350D">
        <w:t xml:space="preserve"> </w:t>
      </w:r>
      <w:r w:rsidRPr="0062350D">
        <w:t>mainland</w:t>
      </w:r>
      <w:r w:rsidR="0062350D">
        <w:t xml:space="preserve"> </w:t>
      </w:r>
      <w:r w:rsidRPr="0062350D">
        <w:t>between</w:t>
      </w:r>
      <w:r w:rsidR="0062350D">
        <w:t xml:space="preserve"> </w:t>
      </w:r>
      <w:r w:rsidRPr="0062350D">
        <w:t>December</w:t>
      </w:r>
      <w:r w:rsidR="0062350D">
        <w:t xml:space="preserve"> </w:t>
      </w:r>
      <w:r w:rsidRPr="0062350D">
        <w:t>2014</w:t>
      </w:r>
      <w:r w:rsidR="0062350D">
        <w:t xml:space="preserve"> </w:t>
      </w:r>
      <w:r w:rsidRPr="0062350D">
        <w:t>and</w:t>
      </w:r>
      <w:r w:rsidR="0062350D">
        <w:t xml:space="preserve"> </w:t>
      </w:r>
      <w:r w:rsidRPr="0062350D">
        <w:t>February</w:t>
      </w:r>
      <w:r w:rsidR="0062350D">
        <w:t xml:space="preserve"> </w:t>
      </w:r>
      <w:r w:rsidRPr="0062350D">
        <w:t>2015.</w:t>
      </w:r>
    </w:p>
    <w:p w14:paraId="5B67941F" w14:textId="118E7C5F" w:rsidR="0062350D" w:rsidRPr="0062350D" w:rsidRDefault="007F12C3" w:rsidP="005D6A3F">
      <w:pPr>
        <w:pStyle w:val="SingleTxtG"/>
      </w:pPr>
      <w:r w:rsidRPr="0062350D">
        <w:t>2.4</w:t>
      </w:r>
      <w:r w:rsidRPr="0062350D">
        <w:tab/>
        <w:t>A.K.</w:t>
      </w:r>
      <w:r w:rsidR="0062350D">
        <w:t xml:space="preserve"> </w:t>
      </w:r>
      <w:r w:rsidRPr="0062350D">
        <w:t>arrived</w:t>
      </w:r>
      <w:r w:rsidR="0062350D">
        <w:t xml:space="preserve"> </w:t>
      </w:r>
      <w:r w:rsidRPr="0062350D">
        <w:t>in</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August</w:t>
      </w:r>
      <w:r w:rsidR="0062350D">
        <w:t xml:space="preserve"> </w:t>
      </w:r>
      <w:r w:rsidRPr="0062350D">
        <w:t>2013</w:t>
      </w:r>
      <w:r w:rsidR="0062350D">
        <w:t xml:space="preserve"> </w:t>
      </w:r>
      <w:r w:rsidRPr="0062350D">
        <w:t>and</w:t>
      </w:r>
      <w:r w:rsidR="0062350D">
        <w:t xml:space="preserve"> </w:t>
      </w:r>
      <w:r w:rsidRPr="0062350D">
        <w:t>spent</w:t>
      </w:r>
      <w:r w:rsidR="0062350D">
        <w:t xml:space="preserve"> </w:t>
      </w:r>
      <w:r w:rsidRPr="0062350D">
        <w:t>approximately</w:t>
      </w:r>
      <w:r w:rsidR="0062350D">
        <w:t xml:space="preserve"> </w:t>
      </w:r>
      <w:r w:rsidRPr="0062350D">
        <w:t>15</w:t>
      </w:r>
      <w:r w:rsidR="0062350D">
        <w:t xml:space="preserve"> </w:t>
      </w:r>
      <w:r w:rsidRPr="0062350D">
        <w:t>months</w:t>
      </w:r>
      <w:r w:rsidR="0062350D">
        <w:t xml:space="preserve"> </w:t>
      </w:r>
      <w:r w:rsidRPr="0062350D">
        <w:t>in</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there.</w:t>
      </w:r>
      <w:r w:rsidR="0062350D">
        <w:t xml:space="preserve"> </w:t>
      </w:r>
      <w:r w:rsidRPr="0062350D">
        <w:t>He</w:t>
      </w:r>
      <w:r w:rsidR="0062350D">
        <w:t xml:space="preserve"> </w:t>
      </w:r>
      <w:r w:rsidRPr="0062350D">
        <w:t>was</w:t>
      </w:r>
      <w:r w:rsidR="0062350D">
        <w:t xml:space="preserve"> </w:t>
      </w:r>
      <w:r w:rsidRPr="0062350D">
        <w:t>relocated</w:t>
      </w:r>
      <w:r w:rsidR="0062350D">
        <w:t xml:space="preserve"> </w:t>
      </w:r>
      <w:r w:rsidRPr="0062350D">
        <w:t>to</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in</w:t>
      </w:r>
      <w:r w:rsidR="0062350D">
        <w:t xml:space="preserve"> </w:t>
      </w:r>
      <w:r w:rsidRPr="0062350D">
        <w:t>Geelong,</w:t>
      </w:r>
      <w:r w:rsidR="0062350D">
        <w:t xml:space="preserve"> </w:t>
      </w:r>
      <w:r w:rsidRPr="0062350D">
        <w:t>Victoria.</w:t>
      </w:r>
      <w:r w:rsidR="0062350D">
        <w:t xml:space="preserve"> </w:t>
      </w:r>
      <w:r w:rsidRPr="0062350D">
        <w:t>In</w:t>
      </w:r>
      <w:r w:rsidR="0062350D">
        <w:t xml:space="preserve"> </w:t>
      </w:r>
      <w:r w:rsidRPr="0062350D">
        <w:t>May</w:t>
      </w:r>
      <w:r w:rsidR="0062350D">
        <w:t xml:space="preserve"> </w:t>
      </w:r>
      <w:r w:rsidRPr="0062350D">
        <w:t>2016,</w:t>
      </w:r>
      <w:r w:rsidR="0062350D">
        <w:t xml:space="preserve"> </w:t>
      </w:r>
      <w:r w:rsidRPr="0062350D">
        <w:t>he</w:t>
      </w:r>
      <w:r w:rsidR="0062350D">
        <w:t xml:space="preserve"> </w:t>
      </w:r>
      <w:r w:rsidRPr="0062350D">
        <w:t>was</w:t>
      </w:r>
      <w:r w:rsidR="0062350D">
        <w:t xml:space="preserve"> </w:t>
      </w:r>
      <w:r w:rsidRPr="0062350D">
        <w:t>in</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in</w:t>
      </w:r>
      <w:r w:rsidR="0062350D">
        <w:t xml:space="preserve"> </w:t>
      </w:r>
      <w:r w:rsidRPr="0062350D">
        <w:t>Queensland.</w:t>
      </w:r>
      <w:r w:rsidR="0062350D">
        <w:t xml:space="preserve"> </w:t>
      </w:r>
      <w:r w:rsidRPr="0062350D">
        <w:t>At</w:t>
      </w:r>
      <w:r w:rsidR="0062350D">
        <w:t xml:space="preserve"> </w:t>
      </w:r>
      <w:r w:rsidRPr="0062350D">
        <w:t>a</w:t>
      </w:r>
      <w:r w:rsidR="0062350D">
        <w:t xml:space="preserve"> </w:t>
      </w:r>
      <w:r w:rsidRPr="0062350D">
        <w:t>later</w:t>
      </w:r>
      <w:r w:rsidR="0062350D">
        <w:t xml:space="preserve"> </w:t>
      </w:r>
      <w:r w:rsidRPr="0062350D">
        <w:t>date,</w:t>
      </w:r>
      <w:r w:rsidR="0062350D">
        <w:t xml:space="preserve"> </w:t>
      </w:r>
      <w:r w:rsidRPr="0062350D">
        <w:t>A.K.</w:t>
      </w:r>
      <w:r w:rsidR="0062350D">
        <w:t xml:space="preserve"> </w:t>
      </w:r>
      <w:r w:rsidRPr="0062350D">
        <w:t>was</w:t>
      </w:r>
      <w:r w:rsidR="0062350D">
        <w:t xml:space="preserve"> </w:t>
      </w:r>
      <w:r w:rsidRPr="0062350D">
        <w:t>granted</w:t>
      </w:r>
      <w:r w:rsidR="0062350D">
        <w:t xml:space="preserve"> </w:t>
      </w:r>
      <w:r w:rsidRPr="0062350D">
        <w:t>a</w:t>
      </w:r>
      <w:r w:rsidR="0062350D">
        <w:t xml:space="preserve"> </w:t>
      </w:r>
      <w:r w:rsidRPr="0062350D">
        <w:t>Bridging</w:t>
      </w:r>
      <w:r w:rsidR="0062350D">
        <w:t xml:space="preserve"> </w:t>
      </w:r>
      <w:r w:rsidRPr="0062350D">
        <w:t>visa.</w:t>
      </w:r>
      <w:r w:rsidR="0062350D">
        <w:t xml:space="preserve"> </w:t>
      </w:r>
      <w:r w:rsidRPr="0062350D">
        <w:t>He</w:t>
      </w:r>
      <w:r w:rsidR="0062350D">
        <w:t xml:space="preserve"> </w:t>
      </w:r>
      <w:r w:rsidRPr="0062350D">
        <w:t>filed</w:t>
      </w:r>
      <w:r w:rsidR="0062350D">
        <w:t xml:space="preserve"> </w:t>
      </w:r>
      <w:r w:rsidRPr="0062350D">
        <w:t>an</w:t>
      </w:r>
      <w:r w:rsidR="0062350D">
        <w:t xml:space="preserve"> </w:t>
      </w:r>
      <w:r w:rsidRPr="0062350D">
        <w:t>application</w:t>
      </w:r>
      <w:r w:rsidR="0062350D">
        <w:t xml:space="preserve"> </w:t>
      </w:r>
      <w:r w:rsidRPr="0062350D">
        <w:t>for</w:t>
      </w:r>
      <w:r w:rsidR="0062350D">
        <w:t xml:space="preserve"> </w:t>
      </w:r>
      <w:r w:rsidRPr="0062350D">
        <w:t>a</w:t>
      </w:r>
      <w:r w:rsidR="0062350D">
        <w:t xml:space="preserve"> </w:t>
      </w:r>
      <w:r w:rsidRPr="0062350D">
        <w:t>protection</w:t>
      </w:r>
      <w:r w:rsidR="0062350D">
        <w:t xml:space="preserve"> </w:t>
      </w:r>
      <w:r w:rsidRPr="0062350D">
        <w:t>visa,</w:t>
      </w:r>
      <w:r w:rsidR="0062350D">
        <w:t xml:space="preserve"> </w:t>
      </w:r>
      <w:r w:rsidRPr="0062350D">
        <w:t>but</w:t>
      </w:r>
      <w:r w:rsidR="0062350D">
        <w:t xml:space="preserve"> </w:t>
      </w:r>
      <w:r w:rsidRPr="0062350D">
        <w:t>it</w:t>
      </w:r>
      <w:r w:rsidR="0062350D">
        <w:t xml:space="preserve"> </w:t>
      </w:r>
      <w:r w:rsidRPr="0062350D">
        <w:t>was</w:t>
      </w:r>
      <w:r w:rsidR="0062350D">
        <w:t xml:space="preserve"> </w:t>
      </w:r>
      <w:r w:rsidRPr="0062350D">
        <w:t>refused.</w:t>
      </w:r>
      <w:r w:rsidR="0062350D">
        <w:t xml:space="preserve"> </w:t>
      </w:r>
      <w:r w:rsidRPr="0062350D">
        <w:t>A.K.</w:t>
      </w:r>
      <w:r w:rsidR="0062350D">
        <w:t xml:space="preserve"> </w:t>
      </w:r>
      <w:r w:rsidRPr="0062350D">
        <w:t>challenged</w:t>
      </w:r>
      <w:r w:rsidR="0062350D">
        <w:t xml:space="preserve"> </w:t>
      </w:r>
      <w:r w:rsidRPr="0062350D">
        <w:t>the</w:t>
      </w:r>
      <w:r w:rsidR="0062350D">
        <w:t xml:space="preserve"> </w:t>
      </w:r>
      <w:r w:rsidRPr="0062350D">
        <w:t>refusal</w:t>
      </w:r>
      <w:r w:rsidR="0062350D">
        <w:t xml:space="preserve"> </w:t>
      </w:r>
      <w:r w:rsidRPr="0062350D">
        <w:t>in</w:t>
      </w:r>
      <w:r w:rsidR="0062350D">
        <w:t xml:space="preserve"> </w:t>
      </w:r>
      <w:r w:rsidRPr="0062350D">
        <w:t>courts.</w:t>
      </w:r>
      <w:r w:rsidR="0062350D">
        <w:t xml:space="preserve"> </w:t>
      </w:r>
      <w:r w:rsidRPr="0062350D">
        <w:t>As</w:t>
      </w:r>
      <w:r w:rsidR="0062350D">
        <w:t xml:space="preserve"> </w:t>
      </w:r>
      <w:r w:rsidRPr="0062350D">
        <w:t>of</w:t>
      </w:r>
      <w:r w:rsidR="0062350D">
        <w:t xml:space="preserve"> </w:t>
      </w:r>
      <w:r w:rsidRPr="0062350D">
        <w:t>July</w:t>
      </w:r>
      <w:r w:rsidR="0062350D">
        <w:t xml:space="preserve"> </w:t>
      </w:r>
      <w:r w:rsidRPr="0062350D">
        <w:t>2019,</w:t>
      </w:r>
      <w:r w:rsidR="0062350D">
        <w:t xml:space="preserve"> </w:t>
      </w:r>
      <w:r w:rsidRPr="0062350D">
        <w:t>the</w:t>
      </w:r>
      <w:r w:rsidR="0062350D">
        <w:t xml:space="preserve"> </w:t>
      </w:r>
      <w:r w:rsidRPr="0062350D">
        <w:t>proceedings</w:t>
      </w:r>
      <w:r w:rsidR="0062350D">
        <w:t xml:space="preserve"> </w:t>
      </w:r>
      <w:r w:rsidRPr="0062350D">
        <w:t>on</w:t>
      </w:r>
      <w:r w:rsidR="0062350D">
        <w:t xml:space="preserve"> </w:t>
      </w:r>
      <w:r w:rsidRPr="0062350D">
        <w:t>his</w:t>
      </w:r>
      <w:r w:rsidR="0062350D">
        <w:t xml:space="preserve"> </w:t>
      </w:r>
      <w:r w:rsidRPr="0062350D">
        <w:t>case</w:t>
      </w:r>
      <w:r w:rsidR="0062350D">
        <w:t xml:space="preserve"> </w:t>
      </w:r>
      <w:r w:rsidRPr="0062350D">
        <w:t>were</w:t>
      </w:r>
      <w:r w:rsidR="0062350D">
        <w:t xml:space="preserve"> </w:t>
      </w:r>
      <w:r w:rsidRPr="0062350D">
        <w:t>still</w:t>
      </w:r>
      <w:r w:rsidR="0062350D">
        <w:t xml:space="preserve"> </w:t>
      </w:r>
      <w:r w:rsidRPr="0062350D">
        <w:t>pending.</w:t>
      </w:r>
    </w:p>
    <w:p w14:paraId="36049E44" w14:textId="447E031D" w:rsidR="0062350D" w:rsidRPr="0062350D" w:rsidRDefault="007F12C3" w:rsidP="005D6A3F">
      <w:pPr>
        <w:pStyle w:val="SingleTxtG"/>
      </w:pPr>
      <w:r w:rsidRPr="0062350D">
        <w:t>2.5</w:t>
      </w:r>
      <w:r w:rsidRPr="0062350D">
        <w:tab/>
        <w:t>A.Z.</w:t>
      </w:r>
      <w:r w:rsidR="0062350D">
        <w:t xml:space="preserve"> </w:t>
      </w:r>
      <w:r w:rsidRPr="0062350D">
        <w:t>arrived</w:t>
      </w:r>
      <w:r w:rsidR="0062350D">
        <w:t xml:space="preserve"> </w:t>
      </w:r>
      <w:r w:rsidRPr="0062350D">
        <w:t>in</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August</w:t>
      </w:r>
      <w:r w:rsidR="0062350D">
        <w:t xml:space="preserve"> </w:t>
      </w:r>
      <w:r w:rsidRPr="0062350D">
        <w:t>2013</w:t>
      </w:r>
      <w:r w:rsidR="0062350D">
        <w:t xml:space="preserve"> </w:t>
      </w:r>
      <w:r w:rsidRPr="0062350D">
        <w:t>and</w:t>
      </w:r>
      <w:r w:rsidR="0062350D">
        <w:t xml:space="preserve"> </w:t>
      </w:r>
      <w:r w:rsidRPr="0062350D">
        <w:t>spent</w:t>
      </w:r>
      <w:r w:rsidR="0062350D">
        <w:t xml:space="preserve"> </w:t>
      </w:r>
      <w:r w:rsidRPr="0062350D">
        <w:t>approximately</w:t>
      </w:r>
      <w:r w:rsidR="0062350D">
        <w:t xml:space="preserve"> </w:t>
      </w:r>
      <w:r w:rsidRPr="0062350D">
        <w:t>16</w:t>
      </w:r>
      <w:r w:rsidR="0062350D">
        <w:t xml:space="preserve"> </w:t>
      </w:r>
      <w:r w:rsidRPr="0062350D">
        <w:t>months</w:t>
      </w:r>
      <w:r w:rsidR="0062350D">
        <w:t xml:space="preserve"> </w:t>
      </w:r>
      <w:r w:rsidRPr="0062350D">
        <w:t>in</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there.</w:t>
      </w:r>
      <w:r w:rsidR="0062350D">
        <w:t xml:space="preserve"> </w:t>
      </w:r>
      <w:r w:rsidRPr="0062350D">
        <w:t>He</w:t>
      </w:r>
      <w:r w:rsidR="0062350D">
        <w:t xml:space="preserve"> </w:t>
      </w:r>
      <w:r w:rsidRPr="0062350D">
        <w:t>was</w:t>
      </w:r>
      <w:r w:rsidR="0062350D">
        <w:t xml:space="preserve"> </w:t>
      </w:r>
      <w:r w:rsidRPr="0062350D">
        <w:t>relocated</w:t>
      </w:r>
      <w:r w:rsidR="0062350D">
        <w:t xml:space="preserve"> </w:t>
      </w:r>
      <w:r w:rsidRPr="0062350D">
        <w:t>to</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in</w:t>
      </w:r>
      <w:r w:rsidR="0062350D">
        <w:t xml:space="preserve"> </w:t>
      </w:r>
      <w:r w:rsidRPr="0062350D">
        <w:t>Geelong,</w:t>
      </w:r>
      <w:r w:rsidR="0062350D">
        <w:t xml:space="preserve"> </w:t>
      </w:r>
      <w:r w:rsidRPr="0062350D">
        <w:t>Victoria.</w:t>
      </w:r>
      <w:r w:rsidR="0062350D">
        <w:t xml:space="preserve"> </w:t>
      </w:r>
      <w:r w:rsidRPr="0062350D">
        <w:t>He</w:t>
      </w:r>
      <w:r w:rsidR="0062350D">
        <w:t xml:space="preserve"> </w:t>
      </w:r>
      <w:r w:rsidRPr="0062350D">
        <w:t>was</w:t>
      </w:r>
      <w:r w:rsidR="0062350D">
        <w:t xml:space="preserve"> </w:t>
      </w:r>
      <w:r w:rsidRPr="0062350D">
        <w:t>released</w:t>
      </w:r>
      <w:r w:rsidR="0062350D">
        <w:t xml:space="preserve"> </w:t>
      </w:r>
      <w:r w:rsidRPr="0062350D">
        <w:t>on</w:t>
      </w:r>
      <w:r w:rsidR="0062350D">
        <w:t xml:space="preserve"> </w:t>
      </w:r>
      <w:r w:rsidRPr="0062350D">
        <w:t>an</w:t>
      </w:r>
      <w:r w:rsidR="0062350D">
        <w:t xml:space="preserve"> </w:t>
      </w:r>
      <w:r w:rsidRPr="0062350D">
        <w:t>unspecified</w:t>
      </w:r>
      <w:r w:rsidR="0062350D">
        <w:t xml:space="preserve"> </w:t>
      </w:r>
      <w:r w:rsidRPr="0062350D">
        <w:t>date</w:t>
      </w:r>
      <w:r w:rsidR="0062350D">
        <w:t xml:space="preserve"> </w:t>
      </w:r>
      <w:r w:rsidRPr="0062350D">
        <w:t>upon</w:t>
      </w:r>
      <w:r w:rsidR="0062350D">
        <w:t xml:space="preserve"> </w:t>
      </w:r>
      <w:r w:rsidRPr="0062350D">
        <w:t>receipt</w:t>
      </w:r>
      <w:r w:rsidR="0062350D">
        <w:t xml:space="preserve"> </w:t>
      </w:r>
      <w:r w:rsidRPr="0062350D">
        <w:t>of</w:t>
      </w:r>
      <w:r w:rsidR="0062350D">
        <w:t xml:space="preserve"> </w:t>
      </w:r>
      <w:r w:rsidRPr="0062350D">
        <w:t>a</w:t>
      </w:r>
      <w:r w:rsidR="0062350D">
        <w:t xml:space="preserve"> </w:t>
      </w:r>
      <w:r w:rsidRPr="0062350D">
        <w:t>Bridging</w:t>
      </w:r>
      <w:r w:rsidR="0062350D">
        <w:t xml:space="preserve"> </w:t>
      </w:r>
      <w:r w:rsidRPr="0062350D">
        <w:t>Visa.</w:t>
      </w:r>
      <w:r w:rsidR="0062350D">
        <w:t xml:space="preserve"> </w:t>
      </w:r>
      <w:r w:rsidRPr="0062350D">
        <w:t>A.Z.</w:t>
      </w:r>
      <w:r w:rsidR="0062350D">
        <w:t xml:space="preserve"> </w:t>
      </w:r>
      <w:r w:rsidRPr="0062350D">
        <w:t>was</w:t>
      </w:r>
      <w:r w:rsidR="0062350D">
        <w:t xml:space="preserve"> </w:t>
      </w:r>
      <w:r w:rsidRPr="0062350D">
        <w:t>living</w:t>
      </w:r>
      <w:r w:rsidR="0062350D">
        <w:t xml:space="preserve"> </w:t>
      </w:r>
      <w:r w:rsidRPr="0062350D">
        <w:t>in</w:t>
      </w:r>
      <w:r w:rsidR="0062350D">
        <w:t xml:space="preserve"> </w:t>
      </w:r>
      <w:r w:rsidRPr="0062350D">
        <w:t>Victoria</w:t>
      </w:r>
      <w:r w:rsidR="0062350D">
        <w:t xml:space="preserve"> </w:t>
      </w:r>
      <w:r w:rsidRPr="0062350D">
        <w:t>and</w:t>
      </w:r>
      <w:r w:rsidR="0062350D">
        <w:t xml:space="preserve"> </w:t>
      </w:r>
      <w:r w:rsidRPr="0062350D">
        <w:t>was</w:t>
      </w:r>
      <w:r w:rsidR="0062350D">
        <w:t xml:space="preserve"> </w:t>
      </w:r>
      <w:r w:rsidRPr="0062350D">
        <w:t>granted</w:t>
      </w:r>
      <w:r w:rsidR="0062350D">
        <w:t xml:space="preserve"> </w:t>
      </w:r>
      <w:r w:rsidRPr="0062350D">
        <w:t>a</w:t>
      </w:r>
      <w:r w:rsidR="0062350D">
        <w:t xml:space="preserve"> </w:t>
      </w:r>
      <w:r w:rsidRPr="0062350D">
        <w:t>Safe</w:t>
      </w:r>
      <w:r w:rsidR="0062350D">
        <w:t xml:space="preserve"> </w:t>
      </w:r>
      <w:r w:rsidRPr="0062350D">
        <w:t>Haven</w:t>
      </w:r>
      <w:r w:rsidR="0062350D">
        <w:t xml:space="preserve"> </w:t>
      </w:r>
      <w:r w:rsidRPr="0062350D">
        <w:t>Enterprise</w:t>
      </w:r>
      <w:r w:rsidR="0062350D">
        <w:t xml:space="preserve"> </w:t>
      </w:r>
      <w:r w:rsidRPr="0062350D">
        <w:t>visa</w:t>
      </w:r>
      <w:r w:rsidR="0062350D">
        <w:t xml:space="preserve"> </w:t>
      </w:r>
      <w:r w:rsidRPr="0062350D">
        <w:t>on</w:t>
      </w:r>
      <w:r w:rsidR="0062350D">
        <w:t xml:space="preserve"> </w:t>
      </w:r>
      <w:r w:rsidRPr="0062350D">
        <w:t>17</w:t>
      </w:r>
      <w:r w:rsidR="0062350D">
        <w:t xml:space="preserve"> </w:t>
      </w:r>
      <w:r w:rsidRPr="0062350D">
        <w:t>March</w:t>
      </w:r>
      <w:r w:rsidR="0062350D">
        <w:t xml:space="preserve"> </w:t>
      </w:r>
      <w:r w:rsidRPr="0062350D">
        <w:t>2017.</w:t>
      </w:r>
    </w:p>
    <w:p w14:paraId="175D7E22" w14:textId="2BD95D45" w:rsidR="007F12C3" w:rsidRPr="0062350D" w:rsidRDefault="007F12C3" w:rsidP="005D6A3F">
      <w:pPr>
        <w:pStyle w:val="SingleTxtG"/>
      </w:pPr>
      <w:r w:rsidRPr="0062350D">
        <w:lastRenderedPageBreak/>
        <w:t>2.6</w:t>
      </w:r>
      <w:r w:rsidRPr="0062350D">
        <w:tab/>
        <w:t>E.E.</w:t>
      </w:r>
      <w:r w:rsidR="0062350D">
        <w:t xml:space="preserve"> </w:t>
      </w:r>
      <w:r w:rsidRPr="0062350D">
        <w:t>arrived</w:t>
      </w:r>
      <w:r w:rsidR="0062350D">
        <w:t xml:space="preserve"> </w:t>
      </w:r>
      <w:r w:rsidRPr="0062350D">
        <w:t>in</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November</w:t>
      </w:r>
      <w:r w:rsidR="0062350D">
        <w:t xml:space="preserve"> </w:t>
      </w:r>
      <w:r w:rsidRPr="0062350D">
        <w:t>2013.</w:t>
      </w:r>
      <w:r w:rsidR="0062350D">
        <w:t xml:space="preserve"> </w:t>
      </w:r>
      <w:r w:rsidRPr="0062350D">
        <w:t>He</w:t>
      </w:r>
      <w:r w:rsidR="0062350D">
        <w:t xml:space="preserve"> </w:t>
      </w:r>
      <w:r w:rsidRPr="0062350D">
        <w:t>had</w:t>
      </w:r>
      <w:r w:rsidR="0062350D">
        <w:t xml:space="preserve"> </w:t>
      </w:r>
      <w:r w:rsidRPr="0062350D">
        <w:t>previously</w:t>
      </w:r>
      <w:r w:rsidR="0062350D">
        <w:t xml:space="preserve"> </w:t>
      </w:r>
      <w:r w:rsidRPr="0062350D">
        <w:t>been</w:t>
      </w:r>
      <w:r w:rsidR="0062350D">
        <w:t xml:space="preserve"> </w:t>
      </w:r>
      <w:r w:rsidRPr="0062350D">
        <w:t>transferred</w:t>
      </w:r>
      <w:r w:rsidR="0062350D">
        <w:t xml:space="preserve"> </w:t>
      </w:r>
      <w:r w:rsidRPr="0062350D">
        <w:t>to</w:t>
      </w:r>
      <w:r w:rsidR="0062350D">
        <w:t xml:space="preserve"> </w:t>
      </w:r>
      <w:r w:rsidRPr="0062350D">
        <w:t>a</w:t>
      </w:r>
      <w:r w:rsidR="0062350D">
        <w:t xml:space="preserve"> </w:t>
      </w:r>
      <w:r w:rsidRPr="0062350D">
        <w:t>regional</w:t>
      </w:r>
      <w:r w:rsidR="0062350D">
        <w:t xml:space="preserve"> </w:t>
      </w:r>
      <w:r w:rsidRPr="0062350D">
        <w:t>processing</w:t>
      </w:r>
      <w:r w:rsidR="0062350D">
        <w:t xml:space="preserve"> </w:t>
      </w:r>
      <w:r w:rsidRPr="0062350D">
        <w:t>centre</w:t>
      </w:r>
      <w:r w:rsidR="0062350D">
        <w:t xml:space="preserve"> </w:t>
      </w:r>
      <w:r w:rsidRPr="0062350D">
        <w:t>and</w:t>
      </w:r>
      <w:r w:rsidR="0062350D">
        <w:t xml:space="preserve"> </w:t>
      </w:r>
      <w:r w:rsidRPr="0062350D">
        <w:t>subsequently</w:t>
      </w:r>
      <w:r w:rsidR="0062350D">
        <w:t xml:space="preserve"> </w:t>
      </w:r>
      <w:r w:rsidRPr="0062350D">
        <w:t>returned</w:t>
      </w:r>
      <w:r w:rsidR="0062350D">
        <w:t xml:space="preserve"> </w:t>
      </w:r>
      <w:r w:rsidRPr="0062350D">
        <w:t>to</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in</w:t>
      </w:r>
      <w:r w:rsidR="0062350D">
        <w:t xml:space="preserve"> </w:t>
      </w:r>
      <w:r w:rsidRPr="0062350D">
        <w:t>February</w:t>
      </w:r>
      <w:r w:rsidR="0062350D">
        <w:t xml:space="preserve"> </w:t>
      </w:r>
      <w:r w:rsidRPr="0062350D">
        <w:t>2014.</w:t>
      </w:r>
      <w:r w:rsidR="0062350D">
        <w:t xml:space="preserve"> </w:t>
      </w:r>
      <w:r w:rsidRPr="0062350D">
        <w:t>In</w:t>
      </w:r>
      <w:r w:rsidR="0062350D">
        <w:t xml:space="preserve"> </w:t>
      </w:r>
      <w:r w:rsidRPr="0062350D">
        <w:t>total,</w:t>
      </w:r>
      <w:r w:rsidR="0062350D">
        <w:t xml:space="preserve"> </w:t>
      </w:r>
      <w:r w:rsidRPr="0062350D">
        <w:t>he</w:t>
      </w:r>
      <w:r w:rsidR="0062350D">
        <w:t xml:space="preserve"> </w:t>
      </w:r>
      <w:r w:rsidRPr="0062350D">
        <w:t>spent</w:t>
      </w:r>
      <w:r w:rsidR="0062350D">
        <w:t xml:space="preserve"> </w:t>
      </w:r>
      <w:r w:rsidRPr="0062350D">
        <w:t>approximately</w:t>
      </w:r>
      <w:r w:rsidR="0062350D">
        <w:t xml:space="preserve"> </w:t>
      </w:r>
      <w:r w:rsidRPr="0062350D">
        <w:t>14</w:t>
      </w:r>
      <w:r w:rsidR="0062350D">
        <w:t xml:space="preserve"> </w:t>
      </w:r>
      <w:r w:rsidRPr="0062350D">
        <w:t>months</w:t>
      </w:r>
      <w:r w:rsidR="0062350D">
        <w:t xml:space="preserve"> </w:t>
      </w:r>
      <w:r w:rsidRPr="0062350D">
        <w:t>in</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He</w:t>
      </w:r>
      <w:r w:rsidR="0062350D">
        <w:t xml:space="preserve"> </w:t>
      </w:r>
      <w:r w:rsidRPr="0062350D">
        <w:t>was</w:t>
      </w:r>
      <w:r w:rsidR="0062350D">
        <w:t xml:space="preserve"> </w:t>
      </w:r>
      <w:r w:rsidRPr="0062350D">
        <w:t>then</w:t>
      </w:r>
      <w:r w:rsidR="0062350D">
        <w:t xml:space="preserve"> </w:t>
      </w:r>
      <w:r w:rsidRPr="0062350D">
        <w:t>relocated</w:t>
      </w:r>
      <w:r w:rsidR="0062350D">
        <w:t xml:space="preserve"> </w:t>
      </w:r>
      <w:r w:rsidRPr="0062350D">
        <w:t>to</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in</w:t>
      </w:r>
      <w:r w:rsidR="0062350D">
        <w:t xml:space="preserve"> </w:t>
      </w:r>
      <w:r w:rsidRPr="0062350D">
        <w:t>Geelong,</w:t>
      </w:r>
      <w:r w:rsidR="0062350D">
        <w:t xml:space="preserve"> </w:t>
      </w:r>
      <w:r w:rsidRPr="0062350D">
        <w:t>Victoria.</w:t>
      </w:r>
      <w:r w:rsidR="0062350D">
        <w:t xml:space="preserve"> </w:t>
      </w:r>
      <w:r w:rsidRPr="0062350D">
        <w:t>E.E.</w:t>
      </w:r>
      <w:r w:rsidR="0062350D">
        <w:t xml:space="preserve"> </w:t>
      </w:r>
      <w:r w:rsidRPr="0062350D">
        <w:t>was</w:t>
      </w:r>
      <w:r w:rsidR="0062350D">
        <w:t xml:space="preserve"> </w:t>
      </w:r>
      <w:r w:rsidRPr="0062350D">
        <w:t>released</w:t>
      </w:r>
      <w:r w:rsidR="0062350D">
        <w:t xml:space="preserve"> </w:t>
      </w:r>
      <w:r w:rsidRPr="0062350D">
        <w:t>on</w:t>
      </w:r>
      <w:r w:rsidR="0062350D">
        <w:t xml:space="preserve"> </w:t>
      </w:r>
      <w:r w:rsidRPr="0062350D">
        <w:t>an</w:t>
      </w:r>
      <w:r w:rsidR="0062350D">
        <w:t xml:space="preserve"> </w:t>
      </w:r>
      <w:r w:rsidRPr="0062350D">
        <w:t>unspecified</w:t>
      </w:r>
      <w:r w:rsidR="0062350D">
        <w:t xml:space="preserve"> </w:t>
      </w:r>
      <w:r w:rsidRPr="0062350D">
        <w:t>date</w:t>
      </w:r>
      <w:r w:rsidR="0062350D">
        <w:t xml:space="preserve"> </w:t>
      </w:r>
      <w:r w:rsidRPr="0062350D">
        <w:t>upon</w:t>
      </w:r>
      <w:r w:rsidR="0062350D">
        <w:t xml:space="preserve"> </w:t>
      </w:r>
      <w:r w:rsidRPr="0062350D">
        <w:t>receipt</w:t>
      </w:r>
      <w:r w:rsidR="0062350D">
        <w:t xml:space="preserve"> </w:t>
      </w:r>
      <w:r w:rsidRPr="0062350D">
        <w:t>of</w:t>
      </w:r>
      <w:r w:rsidR="0062350D">
        <w:t xml:space="preserve"> </w:t>
      </w:r>
      <w:r w:rsidRPr="0062350D">
        <w:t>a</w:t>
      </w:r>
      <w:r w:rsidR="0062350D">
        <w:t xml:space="preserve"> </w:t>
      </w:r>
      <w:r w:rsidRPr="0062350D">
        <w:t>Bridging</w:t>
      </w:r>
      <w:r w:rsidR="0062350D">
        <w:t xml:space="preserve"> </w:t>
      </w:r>
      <w:r w:rsidRPr="0062350D">
        <w:t>visa.</w:t>
      </w:r>
      <w:r w:rsidR="0062350D">
        <w:t xml:space="preserve"> </w:t>
      </w:r>
      <w:r w:rsidRPr="0062350D">
        <w:t>He</w:t>
      </w:r>
      <w:r w:rsidR="0062350D">
        <w:t xml:space="preserve"> </w:t>
      </w:r>
      <w:r w:rsidRPr="0062350D">
        <w:t>was</w:t>
      </w:r>
      <w:r w:rsidR="0062350D">
        <w:t xml:space="preserve"> </w:t>
      </w:r>
      <w:r w:rsidRPr="0062350D">
        <w:t>living</w:t>
      </w:r>
      <w:r w:rsidR="0062350D">
        <w:t xml:space="preserve"> </w:t>
      </w:r>
      <w:r w:rsidRPr="0062350D">
        <w:t>in</w:t>
      </w:r>
      <w:r w:rsidR="0062350D">
        <w:t xml:space="preserve"> </w:t>
      </w:r>
      <w:r w:rsidRPr="0062350D">
        <w:t>Victoria</w:t>
      </w:r>
      <w:r w:rsidR="0062350D">
        <w:t xml:space="preserve"> </w:t>
      </w:r>
      <w:r w:rsidRPr="0062350D">
        <w:t>and</w:t>
      </w:r>
      <w:r w:rsidR="0062350D">
        <w:t xml:space="preserve"> </w:t>
      </w:r>
      <w:r w:rsidRPr="0062350D">
        <w:t>was</w:t>
      </w:r>
      <w:r w:rsidR="0062350D">
        <w:t xml:space="preserve"> </w:t>
      </w:r>
      <w:r w:rsidRPr="0062350D">
        <w:t>granted</w:t>
      </w:r>
      <w:r w:rsidR="0062350D">
        <w:t xml:space="preserve"> </w:t>
      </w:r>
      <w:r w:rsidRPr="0062350D">
        <w:t>a</w:t>
      </w:r>
      <w:r w:rsidR="0062350D">
        <w:t xml:space="preserve"> </w:t>
      </w:r>
      <w:r w:rsidRPr="0062350D">
        <w:t>Safe</w:t>
      </w:r>
      <w:r w:rsidR="0062350D">
        <w:t xml:space="preserve"> </w:t>
      </w:r>
      <w:r w:rsidRPr="0062350D">
        <w:t>Haven</w:t>
      </w:r>
      <w:r w:rsidR="0062350D">
        <w:t xml:space="preserve"> </w:t>
      </w:r>
      <w:r w:rsidRPr="0062350D">
        <w:t>Enterprise</w:t>
      </w:r>
      <w:r w:rsidR="0062350D">
        <w:t xml:space="preserve"> </w:t>
      </w:r>
      <w:r w:rsidRPr="0062350D">
        <w:t>visa</w:t>
      </w:r>
      <w:r w:rsidR="0062350D">
        <w:t xml:space="preserve"> </w:t>
      </w:r>
      <w:r w:rsidRPr="0062350D">
        <w:t>on</w:t>
      </w:r>
      <w:r w:rsidR="0062350D">
        <w:t xml:space="preserve"> </w:t>
      </w:r>
      <w:r w:rsidRPr="0062350D">
        <w:t>2</w:t>
      </w:r>
      <w:r w:rsidR="0062350D">
        <w:t xml:space="preserve"> </w:t>
      </w:r>
      <w:r w:rsidRPr="0062350D">
        <w:t>January</w:t>
      </w:r>
      <w:r w:rsidR="0062350D">
        <w:t xml:space="preserve"> </w:t>
      </w:r>
      <w:r w:rsidRPr="0062350D">
        <w:t>2018.</w:t>
      </w:r>
    </w:p>
    <w:p w14:paraId="13A6C622" w14:textId="6BE77D6D" w:rsidR="0062350D" w:rsidRPr="0062350D" w:rsidRDefault="007F12C3" w:rsidP="005D6A3F">
      <w:pPr>
        <w:pStyle w:val="SingleTxtG"/>
      </w:pPr>
      <w:r w:rsidRPr="0062350D">
        <w:t>2.7</w:t>
      </w:r>
      <w:r w:rsidRPr="0062350D">
        <w:tab/>
        <w:t>A.R.</w:t>
      </w:r>
      <w:r w:rsidR="0062350D">
        <w:t xml:space="preserve"> </w:t>
      </w:r>
      <w:r w:rsidRPr="0062350D">
        <w:t>arrived</w:t>
      </w:r>
      <w:r w:rsidR="0062350D">
        <w:t xml:space="preserve"> </w:t>
      </w:r>
      <w:r w:rsidRPr="0062350D">
        <w:t>in</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August</w:t>
      </w:r>
      <w:r w:rsidR="0062350D">
        <w:t xml:space="preserve"> </w:t>
      </w:r>
      <w:r w:rsidRPr="0062350D">
        <w:t>2013</w:t>
      </w:r>
      <w:r w:rsidR="0062350D">
        <w:t xml:space="preserve"> </w:t>
      </w:r>
      <w:r w:rsidRPr="0062350D">
        <w:t>and</w:t>
      </w:r>
      <w:r w:rsidR="0062350D">
        <w:t xml:space="preserve"> </w:t>
      </w:r>
      <w:r w:rsidRPr="0062350D">
        <w:t>spent</w:t>
      </w:r>
      <w:r w:rsidR="0062350D">
        <w:t xml:space="preserve"> </w:t>
      </w:r>
      <w:r w:rsidRPr="0062350D">
        <w:t>approximately</w:t>
      </w:r>
      <w:r w:rsidR="0062350D">
        <w:t xml:space="preserve"> </w:t>
      </w:r>
      <w:r w:rsidRPr="0062350D">
        <w:t>15</w:t>
      </w:r>
      <w:r w:rsidR="0062350D">
        <w:t xml:space="preserve"> </w:t>
      </w:r>
      <w:r w:rsidRPr="0062350D">
        <w:t>months</w:t>
      </w:r>
      <w:r w:rsidR="0062350D">
        <w:t xml:space="preserve"> </w:t>
      </w:r>
      <w:r w:rsidRPr="0062350D">
        <w:t>in</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there.</w:t>
      </w:r>
      <w:r w:rsidR="0062350D">
        <w:t xml:space="preserve"> </w:t>
      </w:r>
      <w:r w:rsidRPr="0062350D">
        <w:t>On</w:t>
      </w:r>
      <w:r w:rsidR="0062350D">
        <w:t xml:space="preserve"> </w:t>
      </w:r>
      <w:r w:rsidRPr="0062350D">
        <w:t>an</w:t>
      </w:r>
      <w:r w:rsidR="0062350D">
        <w:t xml:space="preserve"> </w:t>
      </w:r>
      <w:r w:rsidRPr="0062350D">
        <w:t>unspecified</w:t>
      </w:r>
      <w:r w:rsidR="0062350D">
        <w:t xml:space="preserve"> </w:t>
      </w:r>
      <w:r w:rsidRPr="0062350D">
        <w:t>date,</w:t>
      </w:r>
      <w:r w:rsidR="0062350D">
        <w:t xml:space="preserve"> </w:t>
      </w:r>
      <w:r w:rsidRPr="0062350D">
        <w:t>he</w:t>
      </w:r>
      <w:r w:rsidR="0062350D">
        <w:t xml:space="preserve"> </w:t>
      </w:r>
      <w:r w:rsidRPr="0062350D">
        <w:t>was</w:t>
      </w:r>
      <w:r w:rsidR="0062350D">
        <w:t xml:space="preserve"> </w:t>
      </w:r>
      <w:r w:rsidRPr="0062350D">
        <w:t>relocated</w:t>
      </w:r>
      <w:r w:rsidR="0062350D">
        <w:t xml:space="preserve"> </w:t>
      </w:r>
      <w:r w:rsidRPr="0062350D">
        <w:t>to</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in</w:t>
      </w:r>
      <w:r w:rsidR="0062350D">
        <w:t xml:space="preserve"> </w:t>
      </w:r>
      <w:r w:rsidRPr="0062350D">
        <w:t>Geelong,</w:t>
      </w:r>
      <w:r w:rsidR="0062350D">
        <w:t xml:space="preserve"> </w:t>
      </w:r>
      <w:r w:rsidRPr="0062350D">
        <w:t>Victoria.</w:t>
      </w:r>
      <w:r w:rsidR="0062350D">
        <w:t xml:space="preserve"> </w:t>
      </w:r>
      <w:r w:rsidRPr="0062350D">
        <w:t>In</w:t>
      </w:r>
      <w:r w:rsidR="0062350D">
        <w:t xml:space="preserve"> </w:t>
      </w:r>
      <w:r w:rsidRPr="0062350D">
        <w:t>June</w:t>
      </w:r>
      <w:r w:rsidR="0062350D">
        <w:t xml:space="preserve"> </w:t>
      </w:r>
      <w:r w:rsidRPr="0062350D">
        <w:t>2015,</w:t>
      </w:r>
      <w:r w:rsidR="0062350D">
        <w:t xml:space="preserve"> </w:t>
      </w:r>
      <w:r w:rsidRPr="0062350D">
        <w:t>he</w:t>
      </w:r>
      <w:r w:rsidR="0062350D">
        <w:t xml:space="preserve"> </w:t>
      </w:r>
      <w:r w:rsidRPr="0062350D">
        <w:t>was</w:t>
      </w:r>
      <w:r w:rsidR="0062350D">
        <w:t xml:space="preserve"> </w:t>
      </w:r>
      <w:r w:rsidRPr="0062350D">
        <w:t>transferred</w:t>
      </w:r>
      <w:r w:rsidR="0062350D">
        <w:t xml:space="preserve"> </w:t>
      </w:r>
      <w:r w:rsidRPr="0062350D">
        <w:t>to</w:t>
      </w:r>
      <w:r w:rsidR="0062350D">
        <w:t xml:space="preserve"> </w:t>
      </w:r>
      <w:r w:rsidRPr="0062350D">
        <w:t>the</w:t>
      </w:r>
      <w:r w:rsidR="0062350D">
        <w:t xml:space="preserve"> </w:t>
      </w:r>
      <w:r w:rsidRPr="0062350D">
        <w:t>Maribyrnong</w:t>
      </w:r>
      <w:r w:rsidR="0062350D">
        <w:t xml:space="preserve"> </w:t>
      </w:r>
      <w:r w:rsidRPr="0062350D">
        <w:t>Immigration</w:t>
      </w:r>
      <w:r w:rsidR="0062350D">
        <w:t xml:space="preserve"> </w:t>
      </w:r>
      <w:r w:rsidRPr="0062350D">
        <w:t>Detention</w:t>
      </w:r>
      <w:r w:rsidR="0062350D">
        <w:t xml:space="preserve"> </w:t>
      </w:r>
      <w:r w:rsidRPr="0062350D">
        <w:t>Centre</w:t>
      </w:r>
      <w:r w:rsidR="0062350D">
        <w:t xml:space="preserve"> </w:t>
      </w:r>
      <w:r w:rsidRPr="0062350D">
        <w:t>because</w:t>
      </w:r>
      <w:r w:rsidR="0062350D">
        <w:t xml:space="preserve"> </w:t>
      </w:r>
      <w:r w:rsidRPr="0062350D">
        <w:t>of</w:t>
      </w:r>
      <w:r w:rsidR="0062350D">
        <w:t xml:space="preserve"> </w:t>
      </w:r>
      <w:r w:rsidRPr="0062350D">
        <w:t>behavioural</w:t>
      </w:r>
      <w:r w:rsidR="0062350D">
        <w:t xml:space="preserve"> </w:t>
      </w:r>
      <w:r w:rsidRPr="0062350D">
        <w:t>issues.</w:t>
      </w:r>
      <w:r w:rsidR="0062350D">
        <w:t xml:space="preserve"> </w:t>
      </w:r>
      <w:r w:rsidRPr="0062350D">
        <w:t>A.R.</w:t>
      </w:r>
      <w:r w:rsidR="0062350D">
        <w:t xml:space="preserve"> </w:t>
      </w:r>
      <w:r w:rsidRPr="0062350D">
        <w:t>voluntarily</w:t>
      </w:r>
      <w:r w:rsidR="0062350D">
        <w:t xml:space="preserve"> </w:t>
      </w:r>
      <w:r w:rsidRPr="0062350D">
        <w:t>returned</w:t>
      </w:r>
      <w:r w:rsidR="0062350D">
        <w:t xml:space="preserve"> </w:t>
      </w:r>
      <w:r w:rsidRPr="0062350D">
        <w:t>to</w:t>
      </w:r>
      <w:r w:rsidR="0062350D">
        <w:t xml:space="preserve"> </w:t>
      </w:r>
      <w:r w:rsidRPr="0062350D">
        <w:t>Afghanistan</w:t>
      </w:r>
      <w:r w:rsidR="0062350D">
        <w:t xml:space="preserve"> </w:t>
      </w:r>
      <w:r w:rsidRPr="0062350D">
        <w:t>on</w:t>
      </w:r>
      <w:r w:rsidR="0062350D">
        <w:t xml:space="preserve"> </w:t>
      </w:r>
      <w:r w:rsidRPr="0062350D">
        <w:t>19</w:t>
      </w:r>
      <w:r w:rsidR="0062350D">
        <w:t xml:space="preserve"> </w:t>
      </w:r>
      <w:r w:rsidRPr="0062350D">
        <w:t>September</w:t>
      </w:r>
      <w:r w:rsidR="0062350D">
        <w:t xml:space="preserve"> </w:t>
      </w:r>
      <w:r w:rsidRPr="0062350D">
        <w:t>2016.</w:t>
      </w:r>
    </w:p>
    <w:p w14:paraId="7918B6CF" w14:textId="296C44A5" w:rsidR="007F12C3" w:rsidRPr="0062350D" w:rsidRDefault="007F12C3" w:rsidP="005D6A3F">
      <w:pPr>
        <w:pStyle w:val="SingleTxtG"/>
      </w:pPr>
      <w:r w:rsidRPr="0062350D">
        <w:t>2.8</w:t>
      </w:r>
      <w:r w:rsidRPr="0062350D">
        <w:tab/>
        <w:t>D.D.</w:t>
      </w:r>
      <w:r w:rsidR="0062350D">
        <w:t xml:space="preserve"> </w:t>
      </w:r>
      <w:r w:rsidRPr="0062350D">
        <w:t>arrived</w:t>
      </w:r>
      <w:r w:rsidR="0062350D">
        <w:t xml:space="preserve"> </w:t>
      </w:r>
      <w:r w:rsidRPr="0062350D">
        <w:t>in</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September</w:t>
      </w:r>
      <w:r w:rsidR="0062350D">
        <w:t xml:space="preserve"> </w:t>
      </w:r>
      <w:r w:rsidRPr="0062350D">
        <w:t>2013</w:t>
      </w:r>
      <w:r w:rsidR="0062350D">
        <w:t xml:space="preserve"> </w:t>
      </w:r>
      <w:r w:rsidRPr="0062350D">
        <w:t>and</w:t>
      </w:r>
      <w:r w:rsidR="0062350D">
        <w:t xml:space="preserve"> </w:t>
      </w:r>
      <w:r w:rsidRPr="0062350D">
        <w:t>spent</w:t>
      </w:r>
      <w:r w:rsidR="0062350D">
        <w:t xml:space="preserve"> </w:t>
      </w:r>
      <w:r w:rsidRPr="0062350D">
        <w:t>approximately</w:t>
      </w:r>
      <w:r w:rsidR="0062350D">
        <w:t xml:space="preserve"> </w:t>
      </w:r>
      <w:r w:rsidRPr="0062350D">
        <w:t>15</w:t>
      </w:r>
      <w:r w:rsidR="0062350D">
        <w:t xml:space="preserve"> </w:t>
      </w:r>
      <w:r w:rsidRPr="0062350D">
        <w:t>months</w:t>
      </w:r>
      <w:r w:rsidR="0062350D">
        <w:t xml:space="preserve"> </w:t>
      </w:r>
      <w:r w:rsidRPr="0062350D">
        <w:t>in</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there.</w:t>
      </w:r>
      <w:r w:rsidR="0062350D">
        <w:t xml:space="preserve"> </w:t>
      </w:r>
      <w:r w:rsidRPr="0062350D">
        <w:t>On</w:t>
      </w:r>
      <w:r w:rsidR="0062350D">
        <w:t xml:space="preserve"> </w:t>
      </w:r>
      <w:r w:rsidRPr="0062350D">
        <w:t>an</w:t>
      </w:r>
      <w:r w:rsidR="0062350D">
        <w:t xml:space="preserve"> </w:t>
      </w:r>
      <w:r w:rsidRPr="0062350D">
        <w:t>unspecified</w:t>
      </w:r>
      <w:r w:rsidR="0062350D">
        <w:t xml:space="preserve"> </w:t>
      </w:r>
      <w:r w:rsidRPr="0062350D">
        <w:t>date,</w:t>
      </w:r>
      <w:r w:rsidR="0062350D">
        <w:t xml:space="preserve"> </w:t>
      </w:r>
      <w:r w:rsidRPr="0062350D">
        <w:t>he</w:t>
      </w:r>
      <w:r w:rsidR="0062350D">
        <w:t xml:space="preserve"> </w:t>
      </w:r>
      <w:r w:rsidRPr="0062350D">
        <w:t>was</w:t>
      </w:r>
      <w:r w:rsidR="0062350D">
        <w:t xml:space="preserve"> </w:t>
      </w:r>
      <w:r w:rsidRPr="0062350D">
        <w:t>relocated</w:t>
      </w:r>
      <w:r w:rsidR="0062350D">
        <w:t xml:space="preserve"> </w:t>
      </w:r>
      <w:r w:rsidRPr="0062350D">
        <w:t>to</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in</w:t>
      </w:r>
      <w:r w:rsidR="0062350D">
        <w:t xml:space="preserve"> </w:t>
      </w:r>
      <w:r w:rsidRPr="0062350D">
        <w:t>Brisbane,</w:t>
      </w:r>
      <w:r w:rsidR="0062350D">
        <w:t xml:space="preserve"> </w:t>
      </w:r>
      <w:r w:rsidRPr="0062350D">
        <w:t>Queensland.</w:t>
      </w:r>
      <w:r w:rsidR="0062350D">
        <w:t xml:space="preserve"> </w:t>
      </w:r>
      <w:r w:rsidRPr="0062350D">
        <w:t>When</w:t>
      </w:r>
      <w:r w:rsidR="0062350D">
        <w:t xml:space="preserve"> </w:t>
      </w:r>
      <w:r w:rsidRPr="0062350D">
        <w:t>he</w:t>
      </w:r>
      <w:r w:rsidR="0062350D">
        <w:t xml:space="preserve"> </w:t>
      </w:r>
      <w:r w:rsidRPr="0062350D">
        <w:t>turned</w:t>
      </w:r>
      <w:r w:rsidR="0062350D">
        <w:t xml:space="preserve"> </w:t>
      </w:r>
      <w:r w:rsidRPr="0062350D">
        <w:t>18,</w:t>
      </w:r>
      <w:r w:rsidR="0062350D">
        <w:t xml:space="preserve"> </w:t>
      </w:r>
      <w:r w:rsidRPr="0062350D">
        <w:t>three</w:t>
      </w:r>
      <w:r w:rsidR="0062350D">
        <w:t xml:space="preserve"> </w:t>
      </w:r>
      <w:r w:rsidRPr="0062350D">
        <w:t>months</w:t>
      </w:r>
      <w:r w:rsidR="0062350D">
        <w:t xml:space="preserve"> </w:t>
      </w:r>
      <w:r w:rsidRPr="0062350D">
        <w:t>after</w:t>
      </w:r>
      <w:r w:rsidR="0062350D">
        <w:t xml:space="preserve"> </w:t>
      </w:r>
      <w:r w:rsidRPr="0062350D">
        <w:t>his</w:t>
      </w:r>
      <w:r w:rsidR="0062350D">
        <w:t xml:space="preserve"> </w:t>
      </w:r>
      <w:r w:rsidRPr="0062350D">
        <w:t>relocation,</w:t>
      </w:r>
      <w:r w:rsidR="0062350D">
        <w:t xml:space="preserve"> </w:t>
      </w:r>
      <w:r w:rsidRPr="0062350D">
        <w:t>D.D.</w:t>
      </w:r>
      <w:r w:rsidR="0062350D">
        <w:t xml:space="preserve"> </w:t>
      </w:r>
      <w:r w:rsidRPr="0062350D">
        <w:t>received</w:t>
      </w:r>
      <w:r w:rsidR="0062350D">
        <w:t xml:space="preserve"> </w:t>
      </w:r>
      <w:r w:rsidRPr="0062350D">
        <w:t>a</w:t>
      </w:r>
      <w:r w:rsidR="0062350D">
        <w:t xml:space="preserve"> </w:t>
      </w:r>
      <w:r w:rsidRPr="0062350D">
        <w:t>Bridging</w:t>
      </w:r>
      <w:r w:rsidR="0062350D">
        <w:t xml:space="preserve"> </w:t>
      </w:r>
      <w:r w:rsidRPr="0062350D">
        <w:t>visa</w:t>
      </w:r>
      <w:r w:rsidR="0062350D">
        <w:t xml:space="preserve"> </w:t>
      </w:r>
      <w:r w:rsidRPr="0062350D">
        <w:t>and</w:t>
      </w:r>
      <w:r w:rsidR="0062350D">
        <w:t xml:space="preserve"> </w:t>
      </w:r>
      <w:r w:rsidRPr="0062350D">
        <w:t>was</w:t>
      </w:r>
      <w:r w:rsidR="0062350D">
        <w:t xml:space="preserve"> </w:t>
      </w:r>
      <w:r w:rsidRPr="0062350D">
        <w:t>released</w:t>
      </w:r>
      <w:r w:rsidR="0062350D">
        <w:t xml:space="preserve"> </w:t>
      </w:r>
      <w:r w:rsidRPr="0062350D">
        <w:t>from</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He</w:t>
      </w:r>
      <w:r w:rsidR="0062350D">
        <w:t xml:space="preserve"> </w:t>
      </w:r>
      <w:r w:rsidRPr="0062350D">
        <w:t>was</w:t>
      </w:r>
      <w:r w:rsidR="0062350D">
        <w:t xml:space="preserve"> </w:t>
      </w:r>
      <w:r w:rsidRPr="0062350D">
        <w:t>living</w:t>
      </w:r>
      <w:r w:rsidR="0062350D">
        <w:t xml:space="preserve"> </w:t>
      </w:r>
      <w:r w:rsidRPr="0062350D">
        <w:t>in</w:t>
      </w:r>
      <w:r w:rsidR="0062350D">
        <w:t xml:space="preserve"> </w:t>
      </w:r>
      <w:r w:rsidRPr="0062350D">
        <w:t>Sydney,</w:t>
      </w:r>
      <w:r w:rsidR="0062350D">
        <w:t xml:space="preserve"> </w:t>
      </w:r>
      <w:r w:rsidRPr="0062350D">
        <w:t>New</w:t>
      </w:r>
      <w:r w:rsidR="0062350D">
        <w:t xml:space="preserve"> </w:t>
      </w:r>
      <w:r w:rsidRPr="0062350D">
        <w:t>South</w:t>
      </w:r>
      <w:r w:rsidR="0062350D">
        <w:t xml:space="preserve"> </w:t>
      </w:r>
      <w:r w:rsidRPr="0062350D">
        <w:t>Wales.</w:t>
      </w:r>
      <w:r w:rsidR="0062350D">
        <w:t xml:space="preserve"> </w:t>
      </w:r>
      <w:r w:rsidRPr="0062350D">
        <w:t>In</w:t>
      </w:r>
      <w:r w:rsidR="0062350D">
        <w:t xml:space="preserve"> </w:t>
      </w:r>
      <w:r w:rsidRPr="0062350D">
        <w:t>July</w:t>
      </w:r>
      <w:r w:rsidR="0062350D">
        <w:t xml:space="preserve"> </w:t>
      </w:r>
      <w:r w:rsidRPr="0062350D">
        <w:t>2019,</w:t>
      </w:r>
      <w:r w:rsidR="0062350D">
        <w:t xml:space="preserve"> </w:t>
      </w:r>
      <w:r w:rsidRPr="0062350D">
        <w:t>the</w:t>
      </w:r>
      <w:r w:rsidR="0062350D">
        <w:t xml:space="preserve"> </w:t>
      </w:r>
      <w:r w:rsidRPr="0062350D">
        <w:t>request</w:t>
      </w:r>
      <w:r w:rsidR="0062350D">
        <w:t xml:space="preserve"> </w:t>
      </w:r>
      <w:r w:rsidRPr="0062350D">
        <w:t>of</w:t>
      </w:r>
      <w:r w:rsidR="0062350D">
        <w:t xml:space="preserve"> </w:t>
      </w:r>
      <w:r w:rsidRPr="0062350D">
        <w:t>D.D.</w:t>
      </w:r>
      <w:r w:rsidR="0062350D">
        <w:t xml:space="preserve"> </w:t>
      </w:r>
      <w:r w:rsidRPr="0062350D">
        <w:t>for</w:t>
      </w:r>
      <w:r w:rsidR="0062350D">
        <w:t xml:space="preserve"> </w:t>
      </w:r>
      <w:r w:rsidRPr="0062350D">
        <w:t>a</w:t>
      </w:r>
      <w:r w:rsidR="0062350D">
        <w:t xml:space="preserve"> </w:t>
      </w:r>
      <w:r w:rsidRPr="0062350D">
        <w:t>Safe</w:t>
      </w:r>
      <w:r w:rsidR="0062350D">
        <w:t xml:space="preserve"> </w:t>
      </w:r>
      <w:r w:rsidRPr="0062350D">
        <w:t>Haven</w:t>
      </w:r>
      <w:r w:rsidR="0062350D">
        <w:t xml:space="preserve"> </w:t>
      </w:r>
      <w:r w:rsidRPr="0062350D">
        <w:t>Enterprise</w:t>
      </w:r>
      <w:r w:rsidR="0062350D">
        <w:t xml:space="preserve"> </w:t>
      </w:r>
      <w:r w:rsidRPr="0062350D">
        <w:t>visa</w:t>
      </w:r>
      <w:r w:rsidR="0062350D">
        <w:t xml:space="preserve"> </w:t>
      </w:r>
      <w:r w:rsidRPr="0062350D">
        <w:t>was</w:t>
      </w:r>
      <w:r w:rsidR="0062350D">
        <w:t xml:space="preserve"> </w:t>
      </w:r>
      <w:r w:rsidRPr="0062350D">
        <w:t>still</w:t>
      </w:r>
      <w:r w:rsidR="0062350D">
        <w:t xml:space="preserve"> </w:t>
      </w:r>
      <w:r w:rsidRPr="0062350D">
        <w:t>pending</w:t>
      </w:r>
    </w:p>
    <w:p w14:paraId="442A1876" w14:textId="2271BB23" w:rsidR="007F12C3" w:rsidRPr="007268A2" w:rsidRDefault="007F12C3" w:rsidP="007268A2">
      <w:pPr>
        <w:pStyle w:val="SingleTxtG"/>
      </w:pPr>
      <w:r w:rsidRPr="007268A2">
        <w:t>2.9</w:t>
      </w:r>
      <w:r w:rsidRPr="007268A2">
        <w:tab/>
        <w:t>S.M.</w:t>
      </w:r>
      <w:r w:rsidR="0062350D" w:rsidRPr="007268A2">
        <w:t xml:space="preserve"> </w:t>
      </w:r>
      <w:r w:rsidRPr="007268A2">
        <w:t>arrived</w:t>
      </w:r>
      <w:r w:rsidR="0062350D" w:rsidRPr="007268A2">
        <w:t xml:space="preserve"> </w:t>
      </w:r>
      <w:r w:rsidRPr="007268A2">
        <w:t>in</w:t>
      </w:r>
      <w:r w:rsidR="0062350D" w:rsidRPr="007268A2">
        <w:t xml:space="preserve"> </w:t>
      </w:r>
      <w:r w:rsidRPr="007268A2">
        <w:t>Christmas</w:t>
      </w:r>
      <w:r w:rsidR="0062350D" w:rsidRPr="007268A2">
        <w:t xml:space="preserve"> </w:t>
      </w:r>
      <w:r w:rsidRPr="007268A2">
        <w:t>Island</w:t>
      </w:r>
      <w:r w:rsidR="0062350D" w:rsidRPr="007268A2">
        <w:t xml:space="preserve"> </w:t>
      </w:r>
      <w:r w:rsidRPr="007268A2">
        <w:t>in</w:t>
      </w:r>
      <w:r w:rsidR="0062350D" w:rsidRPr="007268A2">
        <w:t xml:space="preserve"> </w:t>
      </w:r>
      <w:r w:rsidRPr="007268A2">
        <w:t>August</w:t>
      </w:r>
      <w:r w:rsidR="0062350D" w:rsidRPr="007268A2">
        <w:t xml:space="preserve"> </w:t>
      </w:r>
      <w:r w:rsidRPr="007268A2">
        <w:t>2013</w:t>
      </w:r>
      <w:r w:rsidR="0062350D" w:rsidRPr="007268A2">
        <w:t xml:space="preserve"> </w:t>
      </w:r>
      <w:r w:rsidRPr="007268A2">
        <w:t>and</w:t>
      </w:r>
      <w:r w:rsidR="0062350D" w:rsidRPr="007268A2">
        <w:t xml:space="preserve"> </w:t>
      </w:r>
      <w:r w:rsidRPr="007268A2">
        <w:t>spent</w:t>
      </w:r>
      <w:r w:rsidR="0062350D" w:rsidRPr="007268A2">
        <w:t xml:space="preserve"> </w:t>
      </w:r>
      <w:r w:rsidRPr="007268A2">
        <w:t>approximately</w:t>
      </w:r>
      <w:r w:rsidR="0062350D" w:rsidRPr="007268A2">
        <w:t xml:space="preserve"> </w:t>
      </w:r>
      <w:r w:rsidRPr="007268A2">
        <w:t>16</w:t>
      </w:r>
      <w:r w:rsidR="0062350D" w:rsidRPr="007268A2">
        <w:t xml:space="preserve"> </w:t>
      </w:r>
      <w:r w:rsidRPr="007268A2">
        <w:t>months</w:t>
      </w:r>
      <w:r w:rsidR="0062350D" w:rsidRPr="007268A2">
        <w:t xml:space="preserve"> </w:t>
      </w:r>
      <w:r w:rsidRPr="007268A2">
        <w:t>in</w:t>
      </w:r>
      <w:r w:rsidR="0062350D" w:rsidRPr="007268A2">
        <w:t xml:space="preserve"> </w:t>
      </w:r>
      <w:r w:rsidRPr="007268A2">
        <w:t>the</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there.</w:t>
      </w:r>
      <w:r w:rsidR="0062350D" w:rsidRPr="007268A2">
        <w:t xml:space="preserve"> </w:t>
      </w:r>
      <w:r w:rsidRPr="007268A2">
        <w:t>In</w:t>
      </w:r>
      <w:r w:rsidR="0062350D" w:rsidRPr="007268A2">
        <w:t xml:space="preserve"> </w:t>
      </w:r>
      <w:r w:rsidRPr="007268A2">
        <w:t>December</w:t>
      </w:r>
      <w:r w:rsidR="0062350D" w:rsidRPr="007268A2">
        <w:t xml:space="preserve"> </w:t>
      </w:r>
      <w:r w:rsidRPr="007268A2">
        <w:t>2014,</w:t>
      </w:r>
      <w:r w:rsidR="0062350D" w:rsidRPr="007268A2">
        <w:t xml:space="preserve"> </w:t>
      </w:r>
      <w:r w:rsidRPr="007268A2">
        <w:t>S.M.</w:t>
      </w:r>
      <w:r w:rsidR="0062350D" w:rsidRPr="007268A2">
        <w:t xml:space="preserve"> </w:t>
      </w:r>
      <w:r w:rsidRPr="007268A2">
        <w:t>received</w:t>
      </w:r>
      <w:r w:rsidR="0062350D" w:rsidRPr="007268A2">
        <w:t xml:space="preserve"> </w:t>
      </w:r>
      <w:r w:rsidRPr="007268A2">
        <w:t>a</w:t>
      </w:r>
      <w:r w:rsidR="0062350D" w:rsidRPr="007268A2">
        <w:t xml:space="preserve"> </w:t>
      </w:r>
      <w:r w:rsidRPr="007268A2">
        <w:t>Bridging</w:t>
      </w:r>
      <w:r w:rsidR="0062350D" w:rsidRPr="007268A2">
        <w:t xml:space="preserve"> </w:t>
      </w:r>
      <w:r w:rsidRPr="007268A2">
        <w:t>visa</w:t>
      </w:r>
      <w:r w:rsidR="0062350D" w:rsidRPr="007268A2">
        <w:t xml:space="preserve"> </w:t>
      </w:r>
      <w:r w:rsidRPr="007268A2">
        <w:t>and</w:t>
      </w:r>
      <w:r w:rsidR="0062350D" w:rsidRPr="007268A2">
        <w:t xml:space="preserve"> </w:t>
      </w:r>
      <w:r w:rsidRPr="007268A2">
        <w:t>was</w:t>
      </w:r>
      <w:r w:rsidR="0062350D" w:rsidRPr="007268A2">
        <w:t xml:space="preserve"> </w:t>
      </w:r>
      <w:r w:rsidRPr="007268A2">
        <w:t>released.</w:t>
      </w:r>
      <w:r w:rsidR="0062350D" w:rsidRPr="007268A2">
        <w:t xml:space="preserve"> </w:t>
      </w:r>
      <w:r w:rsidRPr="007268A2">
        <w:t>He</w:t>
      </w:r>
      <w:r w:rsidR="0062350D" w:rsidRPr="007268A2">
        <w:t xml:space="preserve"> </w:t>
      </w:r>
      <w:r w:rsidRPr="007268A2">
        <w:t>was</w:t>
      </w:r>
      <w:r w:rsidR="0062350D" w:rsidRPr="007268A2">
        <w:t xml:space="preserve"> </w:t>
      </w:r>
      <w:r w:rsidRPr="007268A2">
        <w:t>living</w:t>
      </w:r>
      <w:r w:rsidR="0062350D" w:rsidRPr="007268A2">
        <w:t xml:space="preserve"> </w:t>
      </w:r>
      <w:r w:rsidRPr="007268A2">
        <w:t>in</w:t>
      </w:r>
      <w:r w:rsidR="0062350D" w:rsidRPr="007268A2">
        <w:t xml:space="preserve"> </w:t>
      </w:r>
      <w:r w:rsidRPr="007268A2">
        <w:t>Melbourne,</w:t>
      </w:r>
      <w:r w:rsidR="0062350D" w:rsidRPr="007268A2">
        <w:t xml:space="preserve"> </w:t>
      </w:r>
      <w:r w:rsidRPr="007268A2">
        <w:t>Victoria,</w:t>
      </w:r>
      <w:r w:rsidR="0062350D" w:rsidRPr="007268A2">
        <w:t xml:space="preserve"> </w:t>
      </w:r>
      <w:r w:rsidRPr="007268A2">
        <w:t>and</w:t>
      </w:r>
      <w:r w:rsidR="0062350D" w:rsidRPr="007268A2">
        <w:t xml:space="preserve"> </w:t>
      </w:r>
      <w:r w:rsidRPr="007268A2">
        <w:t>was</w:t>
      </w:r>
      <w:r w:rsidR="0062350D" w:rsidRPr="007268A2">
        <w:t xml:space="preserve"> </w:t>
      </w:r>
      <w:r w:rsidRPr="007268A2">
        <w:t>granted</w:t>
      </w:r>
      <w:r w:rsidR="0062350D" w:rsidRPr="007268A2">
        <w:t xml:space="preserve"> </w:t>
      </w:r>
      <w:r w:rsidRPr="007268A2">
        <w:t>a</w:t>
      </w:r>
      <w:r w:rsidR="0062350D" w:rsidRPr="007268A2">
        <w:t xml:space="preserve"> </w:t>
      </w:r>
      <w:r w:rsidRPr="007268A2">
        <w:t>Safe</w:t>
      </w:r>
      <w:r w:rsidR="0062350D" w:rsidRPr="007268A2">
        <w:t xml:space="preserve"> </w:t>
      </w:r>
      <w:r w:rsidRPr="007268A2">
        <w:t>Haven</w:t>
      </w:r>
      <w:r w:rsidR="0062350D" w:rsidRPr="007268A2">
        <w:t xml:space="preserve"> </w:t>
      </w:r>
      <w:r w:rsidRPr="007268A2">
        <w:t>Enterprise</w:t>
      </w:r>
      <w:r w:rsidR="0062350D" w:rsidRPr="007268A2">
        <w:t xml:space="preserve"> </w:t>
      </w:r>
      <w:r w:rsidRPr="007268A2">
        <w:t>visa</w:t>
      </w:r>
      <w:r w:rsidR="0062350D" w:rsidRPr="007268A2">
        <w:t xml:space="preserve"> </w:t>
      </w:r>
      <w:r w:rsidRPr="007268A2">
        <w:t>on</w:t>
      </w:r>
      <w:r w:rsidR="0062350D" w:rsidRPr="007268A2">
        <w:t xml:space="preserve"> </w:t>
      </w:r>
      <w:r w:rsidRPr="007268A2">
        <w:t>5</w:t>
      </w:r>
      <w:r w:rsidR="0062350D" w:rsidRPr="007268A2">
        <w:t xml:space="preserve"> </w:t>
      </w:r>
      <w:r w:rsidRPr="007268A2">
        <w:t>July</w:t>
      </w:r>
      <w:r w:rsidR="0062350D" w:rsidRPr="007268A2">
        <w:t xml:space="preserve"> </w:t>
      </w:r>
      <w:r w:rsidRPr="007268A2">
        <w:t>2018.</w:t>
      </w:r>
    </w:p>
    <w:p w14:paraId="60BBDF75" w14:textId="082AD10D" w:rsidR="0062350D" w:rsidRPr="007268A2" w:rsidRDefault="007F12C3" w:rsidP="007268A2">
      <w:pPr>
        <w:pStyle w:val="SingleTxtG"/>
      </w:pPr>
      <w:r w:rsidRPr="007268A2">
        <w:t>2.10</w:t>
      </w:r>
      <w:r w:rsidRPr="007268A2">
        <w:tab/>
        <w:t>G.Z.</w:t>
      </w:r>
      <w:r w:rsidR="0062350D" w:rsidRPr="007268A2">
        <w:t xml:space="preserve"> </w:t>
      </w:r>
      <w:r w:rsidRPr="007268A2">
        <w:t>arrived</w:t>
      </w:r>
      <w:r w:rsidR="0062350D" w:rsidRPr="007268A2">
        <w:t xml:space="preserve"> </w:t>
      </w:r>
      <w:r w:rsidRPr="007268A2">
        <w:t>in</w:t>
      </w:r>
      <w:r w:rsidR="0062350D" w:rsidRPr="007268A2">
        <w:t xml:space="preserve"> </w:t>
      </w:r>
      <w:r w:rsidRPr="007268A2">
        <w:t>Christmas</w:t>
      </w:r>
      <w:r w:rsidR="0062350D" w:rsidRPr="007268A2">
        <w:t xml:space="preserve"> </w:t>
      </w:r>
      <w:r w:rsidRPr="007268A2">
        <w:t>Island</w:t>
      </w:r>
      <w:r w:rsidR="0062350D" w:rsidRPr="007268A2">
        <w:t xml:space="preserve"> </w:t>
      </w:r>
      <w:r w:rsidRPr="007268A2">
        <w:t>in</w:t>
      </w:r>
      <w:r w:rsidR="0062350D" w:rsidRPr="007268A2">
        <w:t xml:space="preserve"> </w:t>
      </w:r>
      <w:r w:rsidRPr="007268A2">
        <w:t>August</w:t>
      </w:r>
      <w:r w:rsidR="0062350D" w:rsidRPr="007268A2">
        <w:t xml:space="preserve"> </w:t>
      </w:r>
      <w:r w:rsidRPr="007268A2">
        <w:t>2013.</w:t>
      </w:r>
      <w:r w:rsidR="0062350D" w:rsidRPr="007268A2">
        <w:t xml:space="preserve"> </w:t>
      </w:r>
      <w:r w:rsidRPr="007268A2">
        <w:t>He</w:t>
      </w:r>
      <w:r w:rsidR="0062350D" w:rsidRPr="007268A2">
        <w:t xml:space="preserve"> </w:t>
      </w:r>
      <w:r w:rsidRPr="007268A2">
        <w:t>had</w:t>
      </w:r>
      <w:r w:rsidR="0062350D" w:rsidRPr="007268A2">
        <w:t xml:space="preserve"> </w:t>
      </w:r>
      <w:r w:rsidRPr="007268A2">
        <w:t>previously</w:t>
      </w:r>
      <w:r w:rsidR="0062350D" w:rsidRPr="007268A2">
        <w:t xml:space="preserve"> </w:t>
      </w:r>
      <w:r w:rsidRPr="007268A2">
        <w:t>been</w:t>
      </w:r>
      <w:r w:rsidR="0062350D" w:rsidRPr="007268A2">
        <w:t xml:space="preserve"> </w:t>
      </w:r>
      <w:r w:rsidRPr="007268A2">
        <w:t>transferred</w:t>
      </w:r>
      <w:r w:rsidR="0062350D" w:rsidRPr="007268A2">
        <w:t xml:space="preserve"> </w:t>
      </w:r>
      <w:r w:rsidRPr="007268A2">
        <w:t>to</w:t>
      </w:r>
      <w:r w:rsidR="0062350D" w:rsidRPr="007268A2">
        <w:t xml:space="preserve"> </w:t>
      </w:r>
      <w:r w:rsidRPr="007268A2">
        <w:t>a</w:t>
      </w:r>
      <w:r w:rsidR="0062350D" w:rsidRPr="007268A2">
        <w:t xml:space="preserve"> </w:t>
      </w:r>
      <w:r w:rsidRPr="007268A2">
        <w:t>regional</w:t>
      </w:r>
      <w:r w:rsidR="0062350D" w:rsidRPr="007268A2">
        <w:t xml:space="preserve"> </w:t>
      </w:r>
      <w:r w:rsidRPr="007268A2">
        <w:t>processing</w:t>
      </w:r>
      <w:r w:rsidR="0062350D" w:rsidRPr="007268A2">
        <w:t xml:space="preserve"> </w:t>
      </w:r>
      <w:r w:rsidRPr="007268A2">
        <w:t>centre.</w:t>
      </w:r>
      <w:r w:rsidR="0062350D" w:rsidRPr="007268A2">
        <w:t xml:space="preserve"> </w:t>
      </w:r>
      <w:r w:rsidRPr="007268A2">
        <w:t>He</w:t>
      </w:r>
      <w:r w:rsidR="0062350D" w:rsidRPr="007268A2">
        <w:t xml:space="preserve"> </w:t>
      </w:r>
      <w:r w:rsidRPr="007268A2">
        <w:t>was</w:t>
      </w:r>
      <w:r w:rsidR="0062350D" w:rsidRPr="007268A2">
        <w:t xml:space="preserve"> </w:t>
      </w:r>
      <w:r w:rsidRPr="007268A2">
        <w:t>subsequently</w:t>
      </w:r>
      <w:r w:rsidR="0062350D" w:rsidRPr="007268A2">
        <w:t xml:space="preserve"> </w:t>
      </w:r>
      <w:r w:rsidRPr="007268A2">
        <w:t>returned</w:t>
      </w:r>
      <w:r w:rsidR="0062350D" w:rsidRPr="007268A2">
        <w:t xml:space="preserve"> </w:t>
      </w:r>
      <w:r w:rsidRPr="007268A2">
        <w:t>to</w:t>
      </w:r>
      <w:r w:rsidR="0062350D" w:rsidRPr="007268A2">
        <w:t xml:space="preserve"> </w:t>
      </w:r>
      <w:r w:rsidRPr="007268A2">
        <w:t>the</w:t>
      </w:r>
      <w:r w:rsidR="0062350D" w:rsidRPr="007268A2">
        <w:t xml:space="preserve"> </w:t>
      </w:r>
      <w:r w:rsidRPr="007268A2">
        <w:t>Australian</w:t>
      </w:r>
      <w:r w:rsidR="0062350D" w:rsidRPr="007268A2">
        <w:t xml:space="preserve"> </w:t>
      </w:r>
      <w:r w:rsidRPr="007268A2">
        <w:t>mainland</w:t>
      </w:r>
      <w:r w:rsidR="0062350D" w:rsidRPr="007268A2">
        <w:t xml:space="preserve"> </w:t>
      </w:r>
      <w:r w:rsidRPr="007268A2">
        <w:t>in</w:t>
      </w:r>
      <w:r w:rsidR="0062350D" w:rsidRPr="007268A2">
        <w:t xml:space="preserve"> </w:t>
      </w:r>
      <w:r w:rsidRPr="007268A2">
        <w:t>December</w:t>
      </w:r>
      <w:r w:rsidR="0062350D" w:rsidRPr="007268A2">
        <w:t xml:space="preserve"> </w:t>
      </w:r>
      <w:r w:rsidRPr="007268A2">
        <w:t>2013.</w:t>
      </w:r>
      <w:r w:rsidR="0062350D" w:rsidRPr="007268A2">
        <w:t xml:space="preserve"> </w:t>
      </w:r>
      <w:r w:rsidRPr="007268A2">
        <w:t>In</w:t>
      </w:r>
      <w:r w:rsidR="0062350D" w:rsidRPr="007268A2">
        <w:t xml:space="preserve"> </w:t>
      </w:r>
      <w:r w:rsidRPr="007268A2">
        <w:t>total,</w:t>
      </w:r>
      <w:r w:rsidR="0062350D" w:rsidRPr="007268A2">
        <w:t xml:space="preserve"> </w:t>
      </w:r>
      <w:r w:rsidRPr="007268A2">
        <w:t>he</w:t>
      </w:r>
      <w:r w:rsidR="0062350D" w:rsidRPr="007268A2">
        <w:t xml:space="preserve"> </w:t>
      </w:r>
      <w:r w:rsidRPr="007268A2">
        <w:t>spent</w:t>
      </w:r>
      <w:r w:rsidR="0062350D" w:rsidRPr="007268A2">
        <w:t xml:space="preserve"> </w:t>
      </w:r>
      <w:r w:rsidRPr="007268A2">
        <w:t>approximately</w:t>
      </w:r>
      <w:r w:rsidR="0062350D" w:rsidRPr="007268A2">
        <w:t xml:space="preserve"> </w:t>
      </w:r>
      <w:r w:rsidRPr="007268A2">
        <w:t>15</w:t>
      </w:r>
      <w:r w:rsidR="0062350D" w:rsidRPr="007268A2">
        <w:t xml:space="preserve"> </w:t>
      </w:r>
      <w:r w:rsidRPr="007268A2">
        <w:t>months</w:t>
      </w:r>
      <w:r w:rsidR="0062350D" w:rsidRPr="007268A2">
        <w:t xml:space="preserve"> </w:t>
      </w:r>
      <w:r w:rsidRPr="007268A2">
        <w:t>in</w:t>
      </w:r>
      <w:r w:rsidR="0062350D" w:rsidRPr="007268A2">
        <w:t xml:space="preserve"> </w:t>
      </w:r>
      <w:r w:rsidRPr="007268A2">
        <w:t>the</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on</w:t>
      </w:r>
      <w:r w:rsidR="0062350D" w:rsidRPr="007268A2">
        <w:t xml:space="preserve"> </w:t>
      </w:r>
      <w:r w:rsidRPr="007268A2">
        <w:t>Christmas</w:t>
      </w:r>
      <w:r w:rsidR="0062350D" w:rsidRPr="007268A2">
        <w:t xml:space="preserve"> </w:t>
      </w:r>
      <w:r w:rsidRPr="007268A2">
        <w:t>Island.</w:t>
      </w:r>
      <w:r w:rsidR="0062350D" w:rsidRPr="007268A2">
        <w:t xml:space="preserve"> </w:t>
      </w:r>
      <w:r w:rsidRPr="007268A2">
        <w:t>In</w:t>
      </w:r>
      <w:r w:rsidR="0062350D" w:rsidRPr="007268A2">
        <w:t xml:space="preserve"> </w:t>
      </w:r>
      <w:r w:rsidRPr="007268A2">
        <w:t>January</w:t>
      </w:r>
      <w:r w:rsidR="0062350D" w:rsidRPr="007268A2">
        <w:t xml:space="preserve"> </w:t>
      </w:r>
      <w:r w:rsidRPr="007268A2">
        <w:t>2015</w:t>
      </w:r>
      <w:r w:rsidR="0062350D" w:rsidRPr="007268A2">
        <w:t xml:space="preserve"> </w:t>
      </w:r>
      <w:r w:rsidRPr="007268A2">
        <w:t>he</w:t>
      </w:r>
      <w:r w:rsidR="0062350D" w:rsidRPr="007268A2">
        <w:t xml:space="preserve"> </w:t>
      </w:r>
      <w:r w:rsidRPr="007268A2">
        <w:t>received</w:t>
      </w:r>
      <w:r w:rsidR="0062350D" w:rsidRPr="007268A2">
        <w:t xml:space="preserve"> </w:t>
      </w:r>
      <w:r w:rsidRPr="007268A2">
        <w:t>a</w:t>
      </w:r>
      <w:r w:rsidR="0062350D" w:rsidRPr="007268A2">
        <w:t xml:space="preserve"> </w:t>
      </w:r>
      <w:r w:rsidRPr="007268A2">
        <w:t>Bridging</w:t>
      </w:r>
      <w:r w:rsidR="0062350D" w:rsidRPr="007268A2">
        <w:t xml:space="preserve"> </w:t>
      </w:r>
      <w:r w:rsidRPr="007268A2">
        <w:t>visa</w:t>
      </w:r>
      <w:r w:rsidR="0062350D" w:rsidRPr="007268A2">
        <w:t xml:space="preserve"> </w:t>
      </w:r>
      <w:r w:rsidRPr="007268A2">
        <w:t>and</w:t>
      </w:r>
      <w:r w:rsidR="0062350D" w:rsidRPr="007268A2">
        <w:t xml:space="preserve"> </w:t>
      </w:r>
      <w:r w:rsidRPr="007268A2">
        <w:t>was</w:t>
      </w:r>
      <w:r w:rsidR="0062350D" w:rsidRPr="007268A2">
        <w:t xml:space="preserve"> </w:t>
      </w:r>
      <w:r w:rsidRPr="007268A2">
        <w:t>released.</w:t>
      </w:r>
      <w:r w:rsidR="0062350D" w:rsidRPr="007268A2">
        <w:t xml:space="preserve"> </w:t>
      </w:r>
      <w:r w:rsidRPr="007268A2">
        <w:t>G.Z.</w:t>
      </w:r>
      <w:r w:rsidR="0062350D" w:rsidRPr="007268A2">
        <w:t xml:space="preserve"> </w:t>
      </w:r>
      <w:r w:rsidRPr="007268A2">
        <w:t>lived</w:t>
      </w:r>
      <w:r w:rsidR="0062350D" w:rsidRPr="007268A2">
        <w:t xml:space="preserve"> </w:t>
      </w:r>
      <w:r w:rsidRPr="007268A2">
        <w:t>in</w:t>
      </w:r>
      <w:r w:rsidR="0062350D" w:rsidRPr="007268A2">
        <w:t xml:space="preserve"> </w:t>
      </w:r>
      <w:r w:rsidRPr="007268A2">
        <w:t>Adelaide,</w:t>
      </w:r>
      <w:r w:rsidR="0062350D" w:rsidRPr="007268A2">
        <w:t xml:space="preserve"> </w:t>
      </w:r>
      <w:r w:rsidRPr="007268A2">
        <w:t>South</w:t>
      </w:r>
      <w:r w:rsidR="0062350D" w:rsidRPr="007268A2">
        <w:t xml:space="preserve"> </w:t>
      </w:r>
      <w:r w:rsidRPr="007268A2">
        <w:t>Australia.</w:t>
      </w:r>
      <w:r w:rsidR="0062350D" w:rsidRPr="007268A2">
        <w:t xml:space="preserve"> </w:t>
      </w:r>
      <w:r w:rsidRPr="007268A2">
        <w:t>His</w:t>
      </w:r>
      <w:r w:rsidR="0062350D" w:rsidRPr="007268A2">
        <w:t xml:space="preserve"> </w:t>
      </w:r>
      <w:r w:rsidRPr="007268A2">
        <w:t>application</w:t>
      </w:r>
      <w:r w:rsidR="0062350D" w:rsidRPr="007268A2">
        <w:t xml:space="preserve"> </w:t>
      </w:r>
      <w:r w:rsidRPr="007268A2">
        <w:t>for</w:t>
      </w:r>
      <w:r w:rsidR="0062350D" w:rsidRPr="007268A2">
        <w:t xml:space="preserve"> </w:t>
      </w:r>
      <w:r w:rsidRPr="007268A2">
        <w:t>a</w:t>
      </w:r>
      <w:r w:rsidR="0062350D" w:rsidRPr="007268A2">
        <w:t xml:space="preserve"> </w:t>
      </w:r>
      <w:r w:rsidRPr="007268A2">
        <w:t>Safe</w:t>
      </w:r>
      <w:r w:rsidR="0062350D" w:rsidRPr="007268A2">
        <w:t xml:space="preserve"> </w:t>
      </w:r>
      <w:r w:rsidRPr="007268A2">
        <w:t>Haven</w:t>
      </w:r>
      <w:r w:rsidR="0062350D" w:rsidRPr="007268A2">
        <w:t xml:space="preserve"> </w:t>
      </w:r>
      <w:r w:rsidRPr="007268A2">
        <w:t>Enterprise</w:t>
      </w:r>
      <w:r w:rsidR="0062350D" w:rsidRPr="007268A2">
        <w:t xml:space="preserve"> </w:t>
      </w:r>
      <w:r w:rsidRPr="007268A2">
        <w:t>visa</w:t>
      </w:r>
      <w:r w:rsidR="0062350D" w:rsidRPr="007268A2">
        <w:t xml:space="preserve"> </w:t>
      </w:r>
      <w:r w:rsidRPr="007268A2">
        <w:t>was</w:t>
      </w:r>
      <w:r w:rsidR="0062350D" w:rsidRPr="007268A2">
        <w:t xml:space="preserve"> </w:t>
      </w:r>
      <w:r w:rsidRPr="007268A2">
        <w:t>refused.</w:t>
      </w:r>
      <w:r w:rsidR="0062350D" w:rsidRPr="007268A2">
        <w:t xml:space="preserve"> </w:t>
      </w:r>
      <w:r w:rsidRPr="007268A2">
        <w:t>In</w:t>
      </w:r>
      <w:r w:rsidR="0062350D" w:rsidRPr="007268A2">
        <w:t xml:space="preserve"> </w:t>
      </w:r>
      <w:r w:rsidRPr="007268A2">
        <w:t>July</w:t>
      </w:r>
      <w:r w:rsidR="0062350D" w:rsidRPr="007268A2">
        <w:t xml:space="preserve"> </w:t>
      </w:r>
      <w:r w:rsidRPr="007268A2">
        <w:t>2019,</w:t>
      </w:r>
      <w:r w:rsidR="0062350D" w:rsidRPr="007268A2">
        <w:t xml:space="preserve"> </w:t>
      </w:r>
      <w:r w:rsidRPr="007268A2">
        <w:t>his</w:t>
      </w:r>
      <w:r w:rsidR="0062350D" w:rsidRPr="007268A2">
        <w:t xml:space="preserve"> </w:t>
      </w:r>
      <w:r w:rsidRPr="007268A2">
        <w:t>legal</w:t>
      </w:r>
      <w:r w:rsidR="0062350D" w:rsidRPr="007268A2">
        <w:t xml:space="preserve"> </w:t>
      </w:r>
      <w:r w:rsidRPr="007268A2">
        <w:t>status</w:t>
      </w:r>
      <w:r w:rsidR="0062350D" w:rsidRPr="007268A2">
        <w:t xml:space="preserve"> </w:t>
      </w:r>
      <w:r w:rsidRPr="007268A2">
        <w:t>was</w:t>
      </w:r>
      <w:r w:rsidR="0062350D" w:rsidRPr="007268A2">
        <w:t xml:space="preserve"> </w:t>
      </w:r>
      <w:r w:rsidRPr="007268A2">
        <w:t>under</w:t>
      </w:r>
      <w:r w:rsidR="0062350D" w:rsidRPr="007268A2">
        <w:t xml:space="preserve"> </w:t>
      </w:r>
      <w:r w:rsidRPr="007268A2">
        <w:t>review</w:t>
      </w:r>
      <w:r w:rsidR="0062350D" w:rsidRPr="007268A2">
        <w:t xml:space="preserve"> </w:t>
      </w:r>
      <w:r w:rsidRPr="007268A2">
        <w:t>by</w:t>
      </w:r>
      <w:r w:rsidR="0062350D" w:rsidRPr="007268A2">
        <w:t xml:space="preserve"> </w:t>
      </w:r>
      <w:r w:rsidRPr="007268A2">
        <w:t>the</w:t>
      </w:r>
      <w:r w:rsidR="0062350D" w:rsidRPr="007268A2">
        <w:t xml:space="preserve"> </w:t>
      </w:r>
      <w:r w:rsidRPr="007268A2">
        <w:t>Immigration</w:t>
      </w:r>
      <w:r w:rsidR="0062350D" w:rsidRPr="007268A2">
        <w:t xml:space="preserve"> </w:t>
      </w:r>
      <w:r w:rsidRPr="007268A2">
        <w:t>Assessment</w:t>
      </w:r>
      <w:r w:rsidR="0062350D" w:rsidRPr="007268A2">
        <w:t xml:space="preserve"> </w:t>
      </w:r>
      <w:r w:rsidRPr="007268A2">
        <w:t>Authority.</w:t>
      </w:r>
    </w:p>
    <w:p w14:paraId="0144AFBA" w14:textId="3297FEFA" w:rsidR="0062350D" w:rsidRPr="007268A2" w:rsidRDefault="007F12C3" w:rsidP="007268A2">
      <w:pPr>
        <w:pStyle w:val="SingleTxtG"/>
      </w:pPr>
      <w:r w:rsidRPr="007268A2">
        <w:t>2.11</w:t>
      </w:r>
      <w:r w:rsidRPr="007268A2">
        <w:tab/>
        <w:t>B.A.A.</w:t>
      </w:r>
      <w:r w:rsidR="0062350D" w:rsidRPr="007268A2">
        <w:t xml:space="preserve"> </w:t>
      </w:r>
      <w:r w:rsidRPr="007268A2">
        <w:t>arrived</w:t>
      </w:r>
      <w:r w:rsidR="0062350D" w:rsidRPr="007268A2">
        <w:t xml:space="preserve"> </w:t>
      </w:r>
      <w:r w:rsidRPr="007268A2">
        <w:t>in</w:t>
      </w:r>
      <w:r w:rsidR="0062350D" w:rsidRPr="007268A2">
        <w:t xml:space="preserve"> </w:t>
      </w:r>
      <w:r w:rsidRPr="007268A2">
        <w:t>Christmas</w:t>
      </w:r>
      <w:r w:rsidR="0062350D" w:rsidRPr="007268A2">
        <w:t xml:space="preserve"> </w:t>
      </w:r>
      <w:r w:rsidRPr="007268A2">
        <w:t>Island</w:t>
      </w:r>
      <w:r w:rsidR="0062350D" w:rsidRPr="007268A2">
        <w:t xml:space="preserve"> </w:t>
      </w:r>
      <w:r w:rsidRPr="007268A2">
        <w:t>in</w:t>
      </w:r>
      <w:r w:rsidR="0062350D" w:rsidRPr="007268A2">
        <w:t xml:space="preserve"> </w:t>
      </w:r>
      <w:r w:rsidRPr="007268A2">
        <w:t>October</w:t>
      </w:r>
      <w:r w:rsidR="0062350D" w:rsidRPr="007268A2">
        <w:t xml:space="preserve"> </w:t>
      </w:r>
      <w:r w:rsidRPr="007268A2">
        <w:t>2013</w:t>
      </w:r>
      <w:r w:rsidR="0062350D" w:rsidRPr="007268A2">
        <w:t xml:space="preserve"> </w:t>
      </w:r>
      <w:r w:rsidRPr="007268A2">
        <w:t>and</w:t>
      </w:r>
      <w:r w:rsidR="0062350D" w:rsidRPr="007268A2">
        <w:t xml:space="preserve"> </w:t>
      </w:r>
      <w:r w:rsidRPr="007268A2">
        <w:t>spent</w:t>
      </w:r>
      <w:r w:rsidR="0062350D" w:rsidRPr="007268A2">
        <w:t xml:space="preserve"> </w:t>
      </w:r>
      <w:r w:rsidRPr="007268A2">
        <w:t>approximately</w:t>
      </w:r>
      <w:r w:rsidR="0062350D" w:rsidRPr="007268A2">
        <w:t xml:space="preserve"> </w:t>
      </w:r>
      <w:r w:rsidRPr="007268A2">
        <w:t>13</w:t>
      </w:r>
      <w:r w:rsidR="0062350D" w:rsidRPr="007268A2">
        <w:t xml:space="preserve"> </w:t>
      </w:r>
      <w:r w:rsidRPr="007268A2">
        <w:t>months</w:t>
      </w:r>
      <w:r w:rsidR="0062350D" w:rsidRPr="007268A2">
        <w:t xml:space="preserve"> </w:t>
      </w:r>
      <w:r w:rsidRPr="007268A2">
        <w:t>in</w:t>
      </w:r>
      <w:r w:rsidR="0062350D" w:rsidRPr="007268A2">
        <w:t xml:space="preserve"> </w:t>
      </w:r>
      <w:r w:rsidRPr="007268A2">
        <w:t>the</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there.</w:t>
      </w:r>
      <w:r w:rsidR="0062350D" w:rsidRPr="007268A2">
        <w:t xml:space="preserve"> </w:t>
      </w:r>
      <w:r w:rsidRPr="007268A2">
        <w:t>He</w:t>
      </w:r>
      <w:r w:rsidR="0062350D" w:rsidRPr="007268A2">
        <w:t xml:space="preserve"> </w:t>
      </w:r>
      <w:r w:rsidRPr="007268A2">
        <w:t>was</w:t>
      </w:r>
      <w:r w:rsidR="0062350D" w:rsidRPr="007268A2">
        <w:t xml:space="preserve"> </w:t>
      </w:r>
      <w:r w:rsidRPr="007268A2">
        <w:t>relocated</w:t>
      </w:r>
      <w:r w:rsidR="0062350D" w:rsidRPr="007268A2">
        <w:t xml:space="preserve"> </w:t>
      </w:r>
      <w:r w:rsidRPr="007268A2">
        <w:t>to</w:t>
      </w:r>
      <w:r w:rsidR="0062350D" w:rsidRPr="007268A2">
        <w:t xml:space="preserve"> </w:t>
      </w:r>
      <w:r w:rsidRPr="007268A2">
        <w:t>a</w:t>
      </w:r>
      <w:r w:rsidR="0062350D" w:rsidRPr="007268A2">
        <w:t xml:space="preserve"> </w:t>
      </w:r>
      <w:r w:rsidRPr="007268A2">
        <w:t>community</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in</w:t>
      </w:r>
      <w:r w:rsidR="0062350D" w:rsidRPr="007268A2">
        <w:t xml:space="preserve"> </w:t>
      </w:r>
      <w:r w:rsidRPr="007268A2">
        <w:t>Sydney,</w:t>
      </w:r>
      <w:r w:rsidR="0062350D" w:rsidRPr="007268A2">
        <w:t xml:space="preserve"> </w:t>
      </w:r>
      <w:r w:rsidRPr="007268A2">
        <w:t>New</w:t>
      </w:r>
      <w:r w:rsidR="0062350D" w:rsidRPr="007268A2">
        <w:t xml:space="preserve"> </w:t>
      </w:r>
      <w:r w:rsidRPr="007268A2">
        <w:t>South</w:t>
      </w:r>
      <w:r w:rsidR="0062350D" w:rsidRPr="007268A2">
        <w:t xml:space="preserve"> </w:t>
      </w:r>
      <w:r w:rsidRPr="007268A2">
        <w:t>Wales.</w:t>
      </w:r>
      <w:r w:rsidR="0062350D" w:rsidRPr="007268A2">
        <w:t xml:space="preserve"> </w:t>
      </w:r>
      <w:r w:rsidRPr="007268A2">
        <w:t>On</w:t>
      </w:r>
      <w:r w:rsidR="0062350D" w:rsidRPr="007268A2">
        <w:t xml:space="preserve"> </w:t>
      </w:r>
      <w:r w:rsidRPr="007268A2">
        <w:t>28</w:t>
      </w:r>
      <w:r w:rsidR="0062350D" w:rsidRPr="007268A2">
        <w:t xml:space="preserve"> </w:t>
      </w:r>
      <w:r w:rsidRPr="007268A2">
        <w:t>October</w:t>
      </w:r>
      <w:r w:rsidR="0062350D" w:rsidRPr="007268A2">
        <w:t xml:space="preserve"> </w:t>
      </w:r>
      <w:r w:rsidRPr="007268A2">
        <w:t>2016,</w:t>
      </w:r>
      <w:r w:rsidR="0062350D" w:rsidRPr="007268A2">
        <w:t xml:space="preserve"> </w:t>
      </w:r>
      <w:r w:rsidRPr="007268A2">
        <w:t>the</w:t>
      </w:r>
      <w:r w:rsidR="0062350D" w:rsidRPr="007268A2">
        <w:t xml:space="preserve"> </w:t>
      </w:r>
      <w:r w:rsidRPr="007268A2">
        <w:t>request</w:t>
      </w:r>
      <w:r w:rsidR="0062350D" w:rsidRPr="007268A2">
        <w:t xml:space="preserve"> </w:t>
      </w:r>
      <w:r w:rsidRPr="007268A2">
        <w:t>of</w:t>
      </w:r>
      <w:r w:rsidR="0062350D" w:rsidRPr="007268A2">
        <w:t xml:space="preserve"> </w:t>
      </w:r>
      <w:r w:rsidRPr="007268A2">
        <w:t>B.A.A.</w:t>
      </w:r>
      <w:r w:rsidR="0062350D" w:rsidRPr="007268A2">
        <w:t xml:space="preserve"> </w:t>
      </w:r>
      <w:r w:rsidRPr="007268A2">
        <w:t>for</w:t>
      </w:r>
      <w:r w:rsidR="0062350D" w:rsidRPr="007268A2">
        <w:t xml:space="preserve"> </w:t>
      </w:r>
      <w:r w:rsidRPr="007268A2">
        <w:t>a</w:t>
      </w:r>
      <w:r w:rsidR="0062350D" w:rsidRPr="007268A2">
        <w:t xml:space="preserve"> </w:t>
      </w:r>
      <w:r w:rsidRPr="007268A2">
        <w:t>Safe</w:t>
      </w:r>
      <w:r w:rsidR="0062350D" w:rsidRPr="007268A2">
        <w:t xml:space="preserve"> </w:t>
      </w:r>
      <w:r w:rsidRPr="007268A2">
        <w:t>Haven</w:t>
      </w:r>
      <w:r w:rsidR="0062350D" w:rsidRPr="007268A2">
        <w:t xml:space="preserve"> </w:t>
      </w:r>
      <w:r w:rsidRPr="007268A2">
        <w:t>Enterprise</w:t>
      </w:r>
      <w:r w:rsidR="0062350D" w:rsidRPr="007268A2">
        <w:t xml:space="preserve"> </w:t>
      </w:r>
      <w:r w:rsidRPr="007268A2">
        <w:t>visa</w:t>
      </w:r>
      <w:r w:rsidR="0062350D" w:rsidRPr="007268A2">
        <w:t xml:space="preserve"> </w:t>
      </w:r>
      <w:r w:rsidRPr="007268A2">
        <w:t>was</w:t>
      </w:r>
      <w:r w:rsidR="0062350D" w:rsidRPr="007268A2">
        <w:t xml:space="preserve"> </w:t>
      </w:r>
      <w:r w:rsidRPr="007268A2">
        <w:t>granted.</w:t>
      </w:r>
      <w:r w:rsidR="0062350D" w:rsidRPr="007268A2">
        <w:t xml:space="preserve"> </w:t>
      </w:r>
      <w:r w:rsidRPr="007268A2">
        <w:t>The</w:t>
      </w:r>
      <w:r w:rsidR="0062350D" w:rsidRPr="007268A2">
        <w:t xml:space="preserve"> </w:t>
      </w:r>
      <w:r w:rsidRPr="007268A2">
        <w:t>author</w:t>
      </w:r>
      <w:r w:rsidR="0062350D" w:rsidRPr="007268A2">
        <w:t xml:space="preserve"> </w:t>
      </w:r>
      <w:r w:rsidRPr="007268A2">
        <w:t>has</w:t>
      </w:r>
      <w:r w:rsidR="0062350D" w:rsidRPr="007268A2">
        <w:t xml:space="preserve"> </w:t>
      </w:r>
      <w:r w:rsidRPr="007268A2">
        <w:t>a</w:t>
      </w:r>
      <w:r w:rsidR="0062350D" w:rsidRPr="007268A2">
        <w:t xml:space="preserve"> </w:t>
      </w:r>
      <w:r w:rsidRPr="007268A2">
        <w:t>brother</w:t>
      </w:r>
      <w:r w:rsidR="0062350D" w:rsidRPr="007268A2">
        <w:t xml:space="preserve"> </w:t>
      </w:r>
      <w:r w:rsidRPr="007268A2">
        <w:t>in</w:t>
      </w:r>
      <w:r w:rsidR="0062350D" w:rsidRPr="007268A2">
        <w:t xml:space="preserve"> </w:t>
      </w:r>
      <w:r w:rsidRPr="007268A2">
        <w:t>Australia,</w:t>
      </w:r>
      <w:r w:rsidR="0062350D" w:rsidRPr="007268A2">
        <w:t xml:space="preserve"> </w:t>
      </w:r>
      <w:r w:rsidRPr="007268A2">
        <w:t>who</w:t>
      </w:r>
      <w:r w:rsidR="0062350D" w:rsidRPr="007268A2">
        <w:t xml:space="preserve"> </w:t>
      </w:r>
      <w:r w:rsidRPr="007268A2">
        <w:t>was</w:t>
      </w:r>
      <w:r w:rsidR="0062350D" w:rsidRPr="007268A2">
        <w:t xml:space="preserve"> </w:t>
      </w:r>
      <w:r w:rsidRPr="007268A2">
        <w:t>in</w:t>
      </w:r>
      <w:r w:rsidR="0062350D" w:rsidRPr="007268A2">
        <w:t xml:space="preserve"> </w:t>
      </w:r>
      <w:r w:rsidRPr="007268A2">
        <w:t>a</w:t>
      </w:r>
      <w:r w:rsidR="0062350D" w:rsidRPr="007268A2">
        <w:t xml:space="preserve"> </w:t>
      </w:r>
      <w:r w:rsidRPr="007268A2">
        <w:t>community</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on</w:t>
      </w:r>
      <w:r w:rsidR="0062350D" w:rsidRPr="007268A2">
        <w:t xml:space="preserve"> </w:t>
      </w:r>
      <w:r w:rsidRPr="007268A2">
        <w:t>the</w:t>
      </w:r>
      <w:r w:rsidR="0062350D" w:rsidRPr="007268A2">
        <w:t xml:space="preserve"> </w:t>
      </w:r>
      <w:r w:rsidRPr="007268A2">
        <w:t>Australian</w:t>
      </w:r>
      <w:r w:rsidR="0062350D" w:rsidRPr="007268A2">
        <w:t xml:space="preserve"> </w:t>
      </w:r>
      <w:r w:rsidRPr="007268A2">
        <w:t>mainland</w:t>
      </w:r>
      <w:r w:rsidR="0062350D" w:rsidRPr="007268A2">
        <w:t xml:space="preserve"> </w:t>
      </w:r>
      <w:r w:rsidRPr="007268A2">
        <w:t>when</w:t>
      </w:r>
      <w:r w:rsidR="0062350D" w:rsidRPr="007268A2">
        <w:t xml:space="preserve"> </w:t>
      </w:r>
      <w:r w:rsidRPr="007268A2">
        <w:t>B.A.A.</w:t>
      </w:r>
      <w:r w:rsidR="0062350D" w:rsidRPr="007268A2">
        <w:t xml:space="preserve"> </w:t>
      </w:r>
      <w:r w:rsidRPr="007268A2">
        <w:t>arrived.</w:t>
      </w:r>
      <w:r w:rsidR="0062350D" w:rsidRPr="007268A2">
        <w:t xml:space="preserve"> </w:t>
      </w:r>
      <w:r w:rsidRPr="007268A2">
        <w:t>At</w:t>
      </w:r>
      <w:r w:rsidR="0062350D" w:rsidRPr="007268A2">
        <w:t xml:space="preserve"> </w:t>
      </w:r>
      <w:r w:rsidRPr="007268A2">
        <w:t>some</w:t>
      </w:r>
      <w:r w:rsidR="0062350D" w:rsidRPr="007268A2">
        <w:t xml:space="preserve"> </w:t>
      </w:r>
      <w:r w:rsidRPr="007268A2">
        <w:t>point</w:t>
      </w:r>
      <w:r w:rsidR="0062350D" w:rsidRPr="007268A2">
        <w:t xml:space="preserve"> </w:t>
      </w:r>
      <w:r w:rsidRPr="007268A2">
        <w:t>after</w:t>
      </w:r>
      <w:r w:rsidR="0062350D" w:rsidRPr="007268A2">
        <w:t xml:space="preserve"> </w:t>
      </w:r>
      <w:r w:rsidRPr="007268A2">
        <w:t>his</w:t>
      </w:r>
      <w:r w:rsidR="0062350D" w:rsidRPr="007268A2">
        <w:t xml:space="preserve"> </w:t>
      </w:r>
      <w:r w:rsidRPr="007268A2">
        <w:t>arrival,</w:t>
      </w:r>
      <w:r w:rsidR="0062350D" w:rsidRPr="007268A2">
        <w:t xml:space="preserve"> </w:t>
      </w:r>
      <w:r w:rsidRPr="007268A2">
        <w:t>B.A.A.</w:t>
      </w:r>
      <w:r w:rsidR="0062350D" w:rsidRPr="007268A2">
        <w:t xml:space="preserve"> </w:t>
      </w:r>
      <w:r w:rsidRPr="007268A2">
        <w:t>requested</w:t>
      </w:r>
      <w:r w:rsidR="0062350D" w:rsidRPr="007268A2">
        <w:t xml:space="preserve"> </w:t>
      </w:r>
      <w:r w:rsidRPr="007268A2">
        <w:t>to</w:t>
      </w:r>
      <w:r w:rsidR="0062350D" w:rsidRPr="007268A2">
        <w:t xml:space="preserve"> </w:t>
      </w:r>
      <w:r w:rsidRPr="007268A2">
        <w:t>be</w:t>
      </w:r>
      <w:r w:rsidR="0062350D" w:rsidRPr="007268A2">
        <w:t xml:space="preserve"> </w:t>
      </w:r>
      <w:r w:rsidRPr="007268A2">
        <w:t>taken</w:t>
      </w:r>
      <w:r w:rsidR="0062350D" w:rsidRPr="007268A2">
        <w:t xml:space="preserve"> </w:t>
      </w:r>
      <w:r w:rsidRPr="007268A2">
        <w:t>care</w:t>
      </w:r>
      <w:r w:rsidR="0062350D" w:rsidRPr="007268A2">
        <w:t xml:space="preserve"> </w:t>
      </w:r>
      <w:r w:rsidRPr="007268A2">
        <w:t>of</w:t>
      </w:r>
      <w:r w:rsidR="0062350D" w:rsidRPr="007268A2">
        <w:t xml:space="preserve"> </w:t>
      </w:r>
      <w:r w:rsidRPr="007268A2">
        <w:t>by</w:t>
      </w:r>
      <w:r w:rsidR="0062350D" w:rsidRPr="007268A2">
        <w:t xml:space="preserve"> </w:t>
      </w:r>
      <w:r w:rsidRPr="007268A2">
        <w:t>his</w:t>
      </w:r>
      <w:r w:rsidR="0062350D" w:rsidRPr="007268A2">
        <w:t xml:space="preserve"> </w:t>
      </w:r>
      <w:r w:rsidRPr="007268A2">
        <w:t>brother,</w:t>
      </w:r>
      <w:r w:rsidR="0062350D" w:rsidRPr="007268A2">
        <w:t xml:space="preserve"> </w:t>
      </w:r>
      <w:r w:rsidRPr="007268A2">
        <w:t>however,</w:t>
      </w:r>
      <w:r w:rsidR="0062350D" w:rsidRPr="007268A2">
        <w:t xml:space="preserve"> </w:t>
      </w:r>
      <w:r w:rsidRPr="007268A2">
        <w:t>as</w:t>
      </w:r>
      <w:r w:rsidR="0062350D" w:rsidRPr="007268A2">
        <w:t xml:space="preserve"> </w:t>
      </w:r>
      <w:r w:rsidRPr="007268A2">
        <w:t>the</w:t>
      </w:r>
      <w:r w:rsidR="0062350D" w:rsidRPr="007268A2">
        <w:t xml:space="preserve"> </w:t>
      </w:r>
      <w:r w:rsidRPr="007268A2">
        <w:t>latter</w:t>
      </w:r>
      <w:r w:rsidR="0062350D" w:rsidRPr="007268A2">
        <w:t xml:space="preserve"> </w:t>
      </w:r>
      <w:r w:rsidRPr="007268A2">
        <w:t>was</w:t>
      </w:r>
      <w:r w:rsidR="0062350D" w:rsidRPr="007268A2">
        <w:t xml:space="preserve"> </w:t>
      </w:r>
      <w:r w:rsidRPr="007268A2">
        <w:t>a</w:t>
      </w:r>
      <w:r w:rsidR="0062350D" w:rsidRPr="007268A2">
        <w:t xml:space="preserve"> </w:t>
      </w:r>
      <w:r w:rsidRPr="007268A2">
        <w:t>minor</w:t>
      </w:r>
      <w:r w:rsidR="0062350D" w:rsidRPr="007268A2">
        <w:t xml:space="preserve"> </w:t>
      </w:r>
      <w:r w:rsidRPr="007268A2">
        <w:t>at</w:t>
      </w:r>
      <w:r w:rsidR="0062350D" w:rsidRPr="007268A2">
        <w:t xml:space="preserve"> </w:t>
      </w:r>
      <w:r w:rsidRPr="007268A2">
        <w:t>the</w:t>
      </w:r>
      <w:r w:rsidR="0062350D" w:rsidRPr="007268A2">
        <w:t xml:space="preserve"> </w:t>
      </w:r>
      <w:r w:rsidRPr="007268A2">
        <w:t>time,</w:t>
      </w:r>
      <w:r w:rsidR="0062350D" w:rsidRPr="007268A2">
        <w:t xml:space="preserve"> </w:t>
      </w:r>
      <w:r w:rsidRPr="007268A2">
        <w:t>this</w:t>
      </w:r>
      <w:r w:rsidR="0062350D" w:rsidRPr="007268A2">
        <w:t xml:space="preserve"> </w:t>
      </w:r>
      <w:r w:rsidRPr="007268A2">
        <w:t>request</w:t>
      </w:r>
      <w:r w:rsidR="0062350D" w:rsidRPr="007268A2">
        <w:t xml:space="preserve"> </w:t>
      </w:r>
      <w:r w:rsidRPr="007268A2">
        <w:t>was</w:t>
      </w:r>
      <w:r w:rsidR="0062350D" w:rsidRPr="007268A2">
        <w:t xml:space="preserve"> </w:t>
      </w:r>
      <w:r w:rsidRPr="007268A2">
        <w:t>denied.</w:t>
      </w:r>
    </w:p>
    <w:p w14:paraId="45735860" w14:textId="77F20A33" w:rsidR="0062350D" w:rsidRPr="007268A2" w:rsidRDefault="007F12C3" w:rsidP="007268A2">
      <w:pPr>
        <w:pStyle w:val="SingleTxtG"/>
      </w:pPr>
      <w:r w:rsidRPr="007268A2">
        <w:t>2.12</w:t>
      </w:r>
      <w:r w:rsidRPr="007268A2">
        <w:tab/>
        <w:t>H.M.</w:t>
      </w:r>
      <w:r w:rsidR="0062350D" w:rsidRPr="007268A2">
        <w:t xml:space="preserve"> </w:t>
      </w:r>
      <w:r w:rsidRPr="007268A2">
        <w:t>and</w:t>
      </w:r>
      <w:r w:rsidR="0062350D" w:rsidRPr="007268A2">
        <w:t xml:space="preserve"> </w:t>
      </w:r>
      <w:r w:rsidRPr="007268A2">
        <w:t>H.I.</w:t>
      </w:r>
      <w:r w:rsidR="0062350D" w:rsidRPr="007268A2">
        <w:t xml:space="preserve"> </w:t>
      </w:r>
      <w:r w:rsidRPr="007268A2">
        <w:t>arrived</w:t>
      </w:r>
      <w:r w:rsidR="0062350D" w:rsidRPr="007268A2">
        <w:t xml:space="preserve"> </w:t>
      </w:r>
      <w:r w:rsidRPr="007268A2">
        <w:t>in</w:t>
      </w:r>
      <w:r w:rsidR="0062350D" w:rsidRPr="007268A2">
        <w:t xml:space="preserve"> </w:t>
      </w:r>
      <w:r w:rsidRPr="007268A2">
        <w:t>Christmas</w:t>
      </w:r>
      <w:r w:rsidR="0062350D" w:rsidRPr="007268A2">
        <w:t xml:space="preserve"> </w:t>
      </w:r>
      <w:r w:rsidRPr="007268A2">
        <w:t>Island</w:t>
      </w:r>
      <w:r w:rsidR="0062350D" w:rsidRPr="007268A2">
        <w:t xml:space="preserve"> </w:t>
      </w:r>
      <w:r w:rsidRPr="007268A2">
        <w:t>in</w:t>
      </w:r>
      <w:r w:rsidR="0062350D" w:rsidRPr="007268A2">
        <w:t xml:space="preserve"> </w:t>
      </w:r>
      <w:r w:rsidRPr="007268A2">
        <w:t>July</w:t>
      </w:r>
      <w:r w:rsidR="0062350D" w:rsidRPr="007268A2">
        <w:t xml:space="preserve"> </w:t>
      </w:r>
      <w:r w:rsidRPr="007268A2">
        <w:t>2013</w:t>
      </w:r>
      <w:r w:rsidR="0062350D" w:rsidRPr="007268A2">
        <w:t xml:space="preserve"> </w:t>
      </w:r>
      <w:r w:rsidRPr="007268A2">
        <w:t>and</w:t>
      </w:r>
      <w:r w:rsidR="0062350D" w:rsidRPr="007268A2">
        <w:t xml:space="preserve"> </w:t>
      </w:r>
      <w:r w:rsidRPr="007268A2">
        <w:t>spent</w:t>
      </w:r>
      <w:r w:rsidR="0062350D" w:rsidRPr="007268A2">
        <w:t xml:space="preserve"> </w:t>
      </w:r>
      <w:r w:rsidRPr="007268A2">
        <w:t>approximately</w:t>
      </w:r>
      <w:r w:rsidR="0062350D" w:rsidRPr="007268A2">
        <w:t xml:space="preserve"> </w:t>
      </w:r>
      <w:r w:rsidRPr="007268A2">
        <w:t>17</w:t>
      </w:r>
      <w:r w:rsidR="0062350D" w:rsidRPr="007268A2">
        <w:t xml:space="preserve"> </w:t>
      </w:r>
      <w:r w:rsidRPr="007268A2">
        <w:t>and</w:t>
      </w:r>
      <w:r w:rsidR="0062350D" w:rsidRPr="007268A2">
        <w:t xml:space="preserve"> </w:t>
      </w:r>
      <w:r w:rsidRPr="007268A2">
        <w:t>18</w:t>
      </w:r>
      <w:r w:rsidR="0062350D" w:rsidRPr="007268A2">
        <w:t xml:space="preserve"> </w:t>
      </w:r>
      <w:r w:rsidRPr="007268A2">
        <w:t>months,</w:t>
      </w:r>
      <w:r w:rsidR="0062350D" w:rsidRPr="007268A2">
        <w:t xml:space="preserve"> </w:t>
      </w:r>
      <w:r w:rsidRPr="007268A2">
        <w:t>respectively,</w:t>
      </w:r>
      <w:r w:rsidR="0062350D" w:rsidRPr="007268A2">
        <w:t xml:space="preserve"> </w:t>
      </w:r>
      <w:r w:rsidRPr="007268A2">
        <w:t>in</w:t>
      </w:r>
      <w:r w:rsidR="0062350D" w:rsidRPr="007268A2">
        <w:t xml:space="preserve"> </w:t>
      </w:r>
      <w:r w:rsidRPr="007268A2">
        <w:t>the</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there.</w:t>
      </w:r>
      <w:r w:rsidR="0062350D" w:rsidRPr="007268A2">
        <w:t xml:space="preserve"> </w:t>
      </w:r>
      <w:r w:rsidRPr="007268A2">
        <w:t>In</w:t>
      </w:r>
      <w:r w:rsidR="0062350D" w:rsidRPr="007268A2">
        <w:t xml:space="preserve"> </w:t>
      </w:r>
      <w:r w:rsidRPr="007268A2">
        <w:t>January</w:t>
      </w:r>
      <w:r w:rsidR="0062350D" w:rsidRPr="007268A2">
        <w:t xml:space="preserve"> </w:t>
      </w:r>
      <w:r w:rsidRPr="007268A2">
        <w:t>2015</w:t>
      </w:r>
      <w:r w:rsidR="0062350D" w:rsidRPr="007268A2">
        <w:t xml:space="preserve"> </w:t>
      </w:r>
      <w:r w:rsidRPr="007268A2">
        <w:t>they</w:t>
      </w:r>
      <w:r w:rsidR="0062350D" w:rsidRPr="007268A2">
        <w:t xml:space="preserve"> </w:t>
      </w:r>
      <w:r w:rsidRPr="007268A2">
        <w:t>received</w:t>
      </w:r>
      <w:r w:rsidR="0062350D" w:rsidRPr="007268A2">
        <w:t xml:space="preserve"> </w:t>
      </w:r>
      <w:r w:rsidRPr="007268A2">
        <w:t>a</w:t>
      </w:r>
      <w:r w:rsidR="0062350D" w:rsidRPr="007268A2">
        <w:t xml:space="preserve"> </w:t>
      </w:r>
      <w:r w:rsidRPr="007268A2">
        <w:t>Bridging</w:t>
      </w:r>
      <w:r w:rsidR="0062350D" w:rsidRPr="007268A2">
        <w:t xml:space="preserve"> </w:t>
      </w:r>
      <w:r w:rsidRPr="007268A2">
        <w:t>visa</w:t>
      </w:r>
      <w:r w:rsidR="0062350D" w:rsidRPr="007268A2">
        <w:t xml:space="preserve"> </w:t>
      </w:r>
      <w:r w:rsidRPr="007268A2">
        <w:t>and</w:t>
      </w:r>
      <w:r w:rsidR="0062350D" w:rsidRPr="007268A2">
        <w:t xml:space="preserve"> </w:t>
      </w:r>
      <w:r w:rsidRPr="007268A2">
        <w:t>were</w:t>
      </w:r>
      <w:r w:rsidR="0062350D" w:rsidRPr="007268A2">
        <w:t xml:space="preserve"> </w:t>
      </w:r>
      <w:r w:rsidRPr="007268A2">
        <w:t>released.</w:t>
      </w:r>
      <w:r w:rsidR="0062350D" w:rsidRPr="007268A2">
        <w:t xml:space="preserve"> </w:t>
      </w:r>
      <w:r w:rsidRPr="007268A2">
        <w:t>They</w:t>
      </w:r>
      <w:r w:rsidR="0062350D" w:rsidRPr="007268A2">
        <w:t xml:space="preserve"> </w:t>
      </w:r>
      <w:r w:rsidRPr="007268A2">
        <w:t>were</w:t>
      </w:r>
      <w:r w:rsidR="0062350D" w:rsidRPr="007268A2">
        <w:t xml:space="preserve"> </w:t>
      </w:r>
      <w:r w:rsidRPr="007268A2">
        <w:t>living</w:t>
      </w:r>
      <w:r w:rsidR="0062350D" w:rsidRPr="007268A2">
        <w:t xml:space="preserve"> </w:t>
      </w:r>
      <w:r w:rsidRPr="007268A2">
        <w:t>in</w:t>
      </w:r>
      <w:r w:rsidR="0062350D" w:rsidRPr="007268A2">
        <w:t xml:space="preserve"> </w:t>
      </w:r>
      <w:r w:rsidRPr="007268A2">
        <w:t>Melbourne,</w:t>
      </w:r>
      <w:r w:rsidR="0062350D" w:rsidRPr="007268A2">
        <w:t xml:space="preserve"> </w:t>
      </w:r>
      <w:r w:rsidRPr="007268A2">
        <w:t>Victoria.</w:t>
      </w:r>
      <w:r w:rsidR="0062350D" w:rsidRPr="007268A2">
        <w:t xml:space="preserve"> </w:t>
      </w:r>
      <w:r w:rsidRPr="007268A2">
        <w:t>On</w:t>
      </w:r>
      <w:r w:rsidR="0062350D" w:rsidRPr="007268A2">
        <w:t xml:space="preserve"> </w:t>
      </w:r>
      <w:r w:rsidRPr="007268A2">
        <w:t>6</w:t>
      </w:r>
      <w:r w:rsidR="0062350D" w:rsidRPr="007268A2">
        <w:t xml:space="preserve"> </w:t>
      </w:r>
      <w:r w:rsidRPr="007268A2">
        <w:t>August</w:t>
      </w:r>
      <w:r w:rsidR="0062350D" w:rsidRPr="007268A2">
        <w:t xml:space="preserve"> </w:t>
      </w:r>
      <w:r w:rsidRPr="007268A2">
        <w:t>2018,</w:t>
      </w:r>
      <w:r w:rsidR="0062350D" w:rsidRPr="007268A2">
        <w:t xml:space="preserve"> </w:t>
      </w:r>
      <w:r w:rsidRPr="007268A2">
        <w:t>H.I.</w:t>
      </w:r>
      <w:r w:rsidR="0062350D" w:rsidRPr="007268A2">
        <w:t xml:space="preserve"> </w:t>
      </w:r>
      <w:r w:rsidRPr="007268A2">
        <w:t>was</w:t>
      </w:r>
      <w:r w:rsidR="0062350D" w:rsidRPr="007268A2">
        <w:t xml:space="preserve"> </w:t>
      </w:r>
      <w:r w:rsidRPr="007268A2">
        <w:t>granted</w:t>
      </w:r>
      <w:r w:rsidR="0062350D" w:rsidRPr="007268A2">
        <w:t xml:space="preserve"> </w:t>
      </w:r>
      <w:r w:rsidRPr="007268A2">
        <w:t>a</w:t>
      </w:r>
      <w:r w:rsidR="0062350D" w:rsidRPr="007268A2">
        <w:t xml:space="preserve"> </w:t>
      </w:r>
      <w:r w:rsidRPr="007268A2">
        <w:t>Safe</w:t>
      </w:r>
      <w:r w:rsidR="0062350D" w:rsidRPr="007268A2">
        <w:t xml:space="preserve"> </w:t>
      </w:r>
      <w:r w:rsidRPr="007268A2">
        <w:t>Haven</w:t>
      </w:r>
      <w:r w:rsidR="0062350D" w:rsidRPr="007268A2">
        <w:t xml:space="preserve"> </w:t>
      </w:r>
      <w:r w:rsidRPr="007268A2">
        <w:t>Enterprise</w:t>
      </w:r>
      <w:r w:rsidR="0062350D" w:rsidRPr="007268A2">
        <w:t xml:space="preserve"> </w:t>
      </w:r>
      <w:r w:rsidRPr="007268A2">
        <w:t>visa.</w:t>
      </w:r>
      <w:r w:rsidR="0062350D" w:rsidRPr="007268A2">
        <w:t xml:space="preserve"> </w:t>
      </w:r>
      <w:r w:rsidRPr="007268A2">
        <w:t>The</w:t>
      </w:r>
      <w:r w:rsidR="0062350D" w:rsidRPr="007268A2">
        <w:t xml:space="preserve"> </w:t>
      </w:r>
      <w:r w:rsidRPr="007268A2">
        <w:t>request</w:t>
      </w:r>
      <w:r w:rsidR="0062350D" w:rsidRPr="007268A2">
        <w:t xml:space="preserve"> </w:t>
      </w:r>
      <w:r w:rsidRPr="007268A2">
        <w:t>of</w:t>
      </w:r>
      <w:r w:rsidR="0062350D" w:rsidRPr="007268A2">
        <w:t xml:space="preserve"> </w:t>
      </w:r>
      <w:r w:rsidRPr="007268A2">
        <w:t>H.M.</w:t>
      </w:r>
      <w:r w:rsidR="0062350D" w:rsidRPr="007268A2">
        <w:t xml:space="preserve"> </w:t>
      </w:r>
      <w:r w:rsidRPr="007268A2">
        <w:t>for</w:t>
      </w:r>
      <w:r w:rsidR="0062350D" w:rsidRPr="007268A2">
        <w:t xml:space="preserve"> </w:t>
      </w:r>
      <w:r w:rsidRPr="007268A2">
        <w:t>a</w:t>
      </w:r>
      <w:r w:rsidR="0062350D" w:rsidRPr="007268A2">
        <w:t xml:space="preserve"> </w:t>
      </w:r>
      <w:r w:rsidRPr="007268A2">
        <w:t>Safe</w:t>
      </w:r>
      <w:r w:rsidR="0062350D" w:rsidRPr="007268A2">
        <w:t xml:space="preserve"> </w:t>
      </w:r>
      <w:r w:rsidRPr="007268A2">
        <w:t>Haven</w:t>
      </w:r>
      <w:r w:rsidR="0062350D" w:rsidRPr="007268A2">
        <w:t xml:space="preserve"> </w:t>
      </w:r>
      <w:r w:rsidRPr="007268A2">
        <w:t>Enterprise</w:t>
      </w:r>
      <w:r w:rsidR="0062350D" w:rsidRPr="007268A2">
        <w:t xml:space="preserve"> </w:t>
      </w:r>
      <w:r w:rsidRPr="007268A2">
        <w:t>visa</w:t>
      </w:r>
      <w:r w:rsidR="0062350D" w:rsidRPr="007268A2">
        <w:t xml:space="preserve"> </w:t>
      </w:r>
      <w:r w:rsidRPr="007268A2">
        <w:t>was</w:t>
      </w:r>
      <w:r w:rsidR="0062350D" w:rsidRPr="007268A2">
        <w:t xml:space="preserve"> </w:t>
      </w:r>
      <w:r w:rsidRPr="007268A2">
        <w:t>granted</w:t>
      </w:r>
      <w:r w:rsidR="0062350D" w:rsidRPr="007268A2">
        <w:t xml:space="preserve"> </w:t>
      </w:r>
      <w:r w:rsidRPr="007268A2">
        <w:t>on</w:t>
      </w:r>
      <w:r w:rsidR="0062350D" w:rsidRPr="007268A2">
        <w:t xml:space="preserve"> </w:t>
      </w:r>
      <w:r w:rsidRPr="007268A2">
        <w:t>21</w:t>
      </w:r>
      <w:r w:rsidR="0062350D" w:rsidRPr="007268A2">
        <w:t xml:space="preserve"> </w:t>
      </w:r>
      <w:r w:rsidRPr="007268A2">
        <w:t>June</w:t>
      </w:r>
      <w:r w:rsidR="0062350D" w:rsidRPr="007268A2">
        <w:t xml:space="preserve"> </w:t>
      </w:r>
      <w:r w:rsidRPr="007268A2">
        <w:t>2019.</w:t>
      </w:r>
    </w:p>
    <w:p w14:paraId="3EEB2331" w14:textId="1F13DE45" w:rsidR="007F12C3" w:rsidRPr="007268A2" w:rsidRDefault="007F12C3" w:rsidP="007268A2">
      <w:pPr>
        <w:pStyle w:val="SingleTxtG"/>
      </w:pPr>
      <w:r w:rsidRPr="007268A2">
        <w:t>2.13</w:t>
      </w:r>
      <w:r w:rsidRPr="007268A2">
        <w:tab/>
        <w:t>A.M.</w:t>
      </w:r>
      <w:r w:rsidR="0062350D" w:rsidRPr="007268A2">
        <w:t xml:space="preserve"> </w:t>
      </w:r>
      <w:r w:rsidRPr="007268A2">
        <w:t>arrived</w:t>
      </w:r>
      <w:r w:rsidR="0062350D" w:rsidRPr="007268A2">
        <w:t xml:space="preserve"> </w:t>
      </w:r>
      <w:r w:rsidRPr="007268A2">
        <w:t>in</w:t>
      </w:r>
      <w:r w:rsidR="0062350D" w:rsidRPr="007268A2">
        <w:t xml:space="preserve"> </w:t>
      </w:r>
      <w:r w:rsidRPr="007268A2">
        <w:t>Christmas</w:t>
      </w:r>
      <w:r w:rsidR="0062350D" w:rsidRPr="007268A2">
        <w:t xml:space="preserve"> </w:t>
      </w:r>
      <w:r w:rsidRPr="007268A2">
        <w:t>Island</w:t>
      </w:r>
      <w:r w:rsidR="0062350D" w:rsidRPr="007268A2">
        <w:t xml:space="preserve"> </w:t>
      </w:r>
      <w:r w:rsidRPr="007268A2">
        <w:t>in</w:t>
      </w:r>
      <w:r w:rsidR="0062350D" w:rsidRPr="007268A2">
        <w:t xml:space="preserve"> </w:t>
      </w:r>
      <w:r w:rsidRPr="007268A2">
        <w:t>August</w:t>
      </w:r>
      <w:r w:rsidR="0062350D" w:rsidRPr="007268A2">
        <w:t xml:space="preserve"> </w:t>
      </w:r>
      <w:r w:rsidRPr="007268A2">
        <w:t>2013</w:t>
      </w:r>
      <w:r w:rsidR="0062350D" w:rsidRPr="007268A2">
        <w:t xml:space="preserve"> </w:t>
      </w:r>
      <w:r w:rsidRPr="007268A2">
        <w:t>and</w:t>
      </w:r>
      <w:r w:rsidR="0062350D" w:rsidRPr="007268A2">
        <w:t xml:space="preserve"> </w:t>
      </w:r>
      <w:r w:rsidRPr="007268A2">
        <w:t>spent</w:t>
      </w:r>
      <w:r w:rsidR="0062350D" w:rsidRPr="007268A2">
        <w:t xml:space="preserve"> </w:t>
      </w:r>
      <w:r w:rsidRPr="007268A2">
        <w:t>approximately</w:t>
      </w:r>
      <w:r w:rsidR="0062350D" w:rsidRPr="007268A2">
        <w:t xml:space="preserve"> </w:t>
      </w:r>
      <w:r w:rsidRPr="007268A2">
        <w:t>15</w:t>
      </w:r>
      <w:r w:rsidR="0062350D" w:rsidRPr="007268A2">
        <w:t xml:space="preserve"> </w:t>
      </w:r>
      <w:r w:rsidRPr="007268A2">
        <w:t>months</w:t>
      </w:r>
      <w:r w:rsidR="0062350D" w:rsidRPr="007268A2">
        <w:t xml:space="preserve"> </w:t>
      </w:r>
      <w:r w:rsidRPr="007268A2">
        <w:t>in</w:t>
      </w:r>
      <w:r w:rsidR="0062350D" w:rsidRPr="007268A2">
        <w:t xml:space="preserve"> </w:t>
      </w:r>
      <w:r w:rsidRPr="007268A2">
        <w:t>the</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there.</w:t>
      </w:r>
      <w:r w:rsidR="0062350D" w:rsidRPr="007268A2">
        <w:t xml:space="preserve"> </w:t>
      </w:r>
      <w:r w:rsidRPr="007268A2">
        <w:t>He</w:t>
      </w:r>
      <w:r w:rsidR="0062350D" w:rsidRPr="007268A2">
        <w:t xml:space="preserve"> </w:t>
      </w:r>
      <w:r w:rsidRPr="007268A2">
        <w:t>was</w:t>
      </w:r>
      <w:r w:rsidR="0062350D" w:rsidRPr="007268A2">
        <w:t xml:space="preserve"> </w:t>
      </w:r>
      <w:r w:rsidRPr="007268A2">
        <w:t>relocated</w:t>
      </w:r>
      <w:r w:rsidR="0062350D" w:rsidRPr="007268A2">
        <w:t xml:space="preserve"> </w:t>
      </w:r>
      <w:r w:rsidRPr="007268A2">
        <w:t>to</w:t>
      </w:r>
      <w:r w:rsidR="0062350D" w:rsidRPr="007268A2">
        <w:t xml:space="preserve"> </w:t>
      </w:r>
      <w:r w:rsidRPr="007268A2">
        <w:t>a</w:t>
      </w:r>
      <w:r w:rsidR="0062350D" w:rsidRPr="007268A2">
        <w:t xml:space="preserve"> </w:t>
      </w:r>
      <w:r w:rsidRPr="007268A2">
        <w:t>community</w:t>
      </w:r>
      <w:r w:rsidR="0062350D" w:rsidRPr="007268A2">
        <w:t xml:space="preserve"> </w:t>
      </w:r>
      <w:r w:rsidRPr="007268A2">
        <w:t>detention</w:t>
      </w:r>
      <w:r w:rsidR="0062350D" w:rsidRPr="007268A2">
        <w:t xml:space="preserve"> </w:t>
      </w:r>
      <w:r w:rsidRPr="007268A2">
        <w:t>centre</w:t>
      </w:r>
      <w:r w:rsidR="0062350D" w:rsidRPr="007268A2">
        <w:t xml:space="preserve"> </w:t>
      </w:r>
      <w:r w:rsidRPr="007268A2">
        <w:t>in</w:t>
      </w:r>
      <w:r w:rsidR="0062350D" w:rsidRPr="007268A2">
        <w:t xml:space="preserve"> </w:t>
      </w:r>
      <w:r w:rsidRPr="007268A2">
        <w:t>Geelong,</w:t>
      </w:r>
      <w:r w:rsidR="0062350D" w:rsidRPr="007268A2">
        <w:t xml:space="preserve"> </w:t>
      </w:r>
      <w:r w:rsidRPr="007268A2">
        <w:t>Victoria.</w:t>
      </w:r>
      <w:r w:rsidR="0062350D" w:rsidRPr="007268A2">
        <w:t xml:space="preserve"> </w:t>
      </w:r>
      <w:r w:rsidRPr="007268A2">
        <w:t>On</w:t>
      </w:r>
      <w:r w:rsidR="0062350D" w:rsidRPr="007268A2">
        <w:t xml:space="preserve"> </w:t>
      </w:r>
      <w:r w:rsidRPr="007268A2">
        <w:t>10</w:t>
      </w:r>
      <w:r w:rsidR="0062350D" w:rsidRPr="007268A2">
        <w:t xml:space="preserve"> </w:t>
      </w:r>
      <w:r w:rsidRPr="007268A2">
        <w:t>March</w:t>
      </w:r>
      <w:r w:rsidR="0062350D" w:rsidRPr="007268A2">
        <w:t xml:space="preserve"> </w:t>
      </w:r>
      <w:r w:rsidRPr="007268A2">
        <w:t>2017,</w:t>
      </w:r>
      <w:r w:rsidR="0062350D" w:rsidRPr="007268A2">
        <w:t xml:space="preserve"> </w:t>
      </w:r>
      <w:r w:rsidRPr="007268A2">
        <w:t>A.M.</w:t>
      </w:r>
      <w:r w:rsidR="0062350D" w:rsidRPr="007268A2">
        <w:t xml:space="preserve"> </w:t>
      </w:r>
      <w:r w:rsidRPr="007268A2">
        <w:t>was</w:t>
      </w:r>
      <w:r w:rsidR="0062350D" w:rsidRPr="007268A2">
        <w:t xml:space="preserve"> </w:t>
      </w:r>
      <w:r w:rsidRPr="007268A2">
        <w:t>granted</w:t>
      </w:r>
      <w:r w:rsidR="0062350D" w:rsidRPr="007268A2">
        <w:t xml:space="preserve"> </w:t>
      </w:r>
      <w:r w:rsidRPr="007268A2">
        <w:t>a</w:t>
      </w:r>
      <w:r w:rsidR="0062350D" w:rsidRPr="007268A2">
        <w:t xml:space="preserve"> </w:t>
      </w:r>
      <w:r w:rsidRPr="007268A2">
        <w:t>Safe</w:t>
      </w:r>
      <w:r w:rsidR="0062350D" w:rsidRPr="007268A2">
        <w:t xml:space="preserve"> </w:t>
      </w:r>
      <w:r w:rsidRPr="007268A2">
        <w:t>Haven</w:t>
      </w:r>
      <w:r w:rsidR="0062350D" w:rsidRPr="007268A2">
        <w:t xml:space="preserve"> </w:t>
      </w:r>
      <w:r w:rsidRPr="007268A2">
        <w:t>Enterprise</w:t>
      </w:r>
      <w:r w:rsidR="0062350D" w:rsidRPr="007268A2">
        <w:t xml:space="preserve"> </w:t>
      </w:r>
      <w:r w:rsidRPr="007268A2">
        <w:t>visa.</w:t>
      </w:r>
    </w:p>
    <w:p w14:paraId="5640C4DE" w14:textId="77777777" w:rsidR="0062350D" w:rsidRPr="0062350D" w:rsidRDefault="007F12C3" w:rsidP="0062350D">
      <w:pPr>
        <w:pStyle w:val="H23G"/>
      </w:pPr>
      <w:r w:rsidRPr="0062350D">
        <w:tab/>
      </w:r>
      <w:r w:rsidRPr="0062350D">
        <w:tab/>
        <w:t>Complaint</w:t>
      </w:r>
    </w:p>
    <w:p w14:paraId="1A4C86CA" w14:textId="7A92CEEC" w:rsidR="0062350D" w:rsidRPr="0062350D" w:rsidRDefault="007F12C3" w:rsidP="005D6A3F">
      <w:pPr>
        <w:pStyle w:val="SingleTxtG"/>
      </w:pPr>
      <w:r w:rsidRPr="0062350D">
        <w:t>3.1</w:t>
      </w:r>
      <w:r w:rsidRPr="0062350D">
        <w:tab/>
        <w:t>At</w:t>
      </w:r>
      <w:r w:rsidR="0062350D">
        <w:t xml:space="preserve"> </w:t>
      </w:r>
      <w:r w:rsidRPr="0062350D">
        <w:t>the</w:t>
      </w:r>
      <w:r w:rsidR="0062350D">
        <w:t xml:space="preserve"> </w:t>
      </w:r>
      <w:r w:rsidRPr="0062350D">
        <w:t>time</w:t>
      </w:r>
      <w:r w:rsidR="0062350D">
        <w:t xml:space="preserve"> </w:t>
      </w:r>
      <w:r w:rsidRPr="0062350D">
        <w:t>of</w:t>
      </w:r>
      <w:r w:rsidR="0062350D">
        <w:t xml:space="preserve"> </w:t>
      </w:r>
      <w:r w:rsidRPr="0062350D">
        <w:t>the</w:t>
      </w:r>
      <w:r w:rsidR="0062350D">
        <w:t xml:space="preserve"> </w:t>
      </w:r>
      <w:r w:rsidRPr="0062350D">
        <w:t>initial</w:t>
      </w:r>
      <w:r w:rsidR="0062350D">
        <w:t xml:space="preserve"> </w:t>
      </w:r>
      <w:r w:rsidRPr="0062350D">
        <w:t>submission,</w:t>
      </w:r>
      <w:r w:rsidR="0062350D">
        <w:t xml:space="preserve"> </w:t>
      </w:r>
      <w:r w:rsidRPr="0062350D">
        <w:t>the</w:t>
      </w:r>
      <w:r w:rsidR="0062350D">
        <w:t xml:space="preserve"> </w:t>
      </w:r>
      <w:r w:rsidRPr="0062350D">
        <w:t>authors</w:t>
      </w:r>
      <w:r w:rsidR="0062350D">
        <w:t xml:space="preserve"> </w:t>
      </w:r>
      <w:r w:rsidRPr="0062350D">
        <w:t>claimed</w:t>
      </w:r>
      <w:r w:rsidR="0062350D">
        <w:t xml:space="preserve"> </w:t>
      </w:r>
      <w:r w:rsidRPr="0062350D">
        <w:t>that</w:t>
      </w:r>
      <w:r w:rsidR="0062350D">
        <w:t xml:space="preserve"> </w:t>
      </w:r>
      <w:r w:rsidRPr="0062350D">
        <w:t>by</w:t>
      </w:r>
      <w:r w:rsidR="0062350D">
        <w:t xml:space="preserve"> </w:t>
      </w:r>
      <w:r w:rsidRPr="0062350D">
        <w:t>transferring</w:t>
      </w:r>
      <w:r w:rsidR="0062350D">
        <w:t xml:space="preserve"> </w:t>
      </w:r>
      <w:r w:rsidRPr="0062350D">
        <w:t>them</w:t>
      </w:r>
      <w:r w:rsidR="0062350D">
        <w:t xml:space="preserve"> </w:t>
      </w:r>
      <w:r w:rsidRPr="0062350D">
        <w:t>to</w:t>
      </w:r>
      <w:r w:rsidR="0062350D">
        <w:t xml:space="preserve"> </w:t>
      </w:r>
      <w:r w:rsidRPr="0062350D">
        <w:t>Nauru</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would</w:t>
      </w:r>
      <w:r w:rsidR="0062350D">
        <w:t xml:space="preserve"> </w:t>
      </w:r>
      <w:r w:rsidRPr="0062350D">
        <w:t>be</w:t>
      </w:r>
      <w:r w:rsidR="0062350D">
        <w:t xml:space="preserve"> </w:t>
      </w:r>
      <w:r w:rsidRPr="0062350D">
        <w:t>in</w:t>
      </w:r>
      <w:r w:rsidR="0062350D">
        <w:t xml:space="preserve"> </w:t>
      </w:r>
      <w:r w:rsidRPr="0062350D">
        <w:t>violation</w:t>
      </w:r>
      <w:r w:rsidR="0062350D">
        <w:t xml:space="preserve"> </w:t>
      </w:r>
      <w:r w:rsidRPr="0062350D">
        <w:t>of</w:t>
      </w:r>
      <w:r w:rsidR="0062350D">
        <w:t xml:space="preserve"> </w:t>
      </w:r>
      <w:r w:rsidRPr="0062350D">
        <w:t>its</w:t>
      </w:r>
      <w:r w:rsidR="0062350D">
        <w:t xml:space="preserve"> </w:t>
      </w:r>
      <w:r w:rsidRPr="0062350D">
        <w:t>non-refoulement</w:t>
      </w:r>
      <w:r w:rsidR="0062350D">
        <w:t xml:space="preserve"> </w:t>
      </w:r>
      <w:r w:rsidRPr="0062350D">
        <w:t>obligations</w:t>
      </w:r>
      <w:r w:rsidR="0062350D">
        <w:t xml:space="preserve"> </w:t>
      </w:r>
      <w:r w:rsidRPr="0062350D">
        <w:t>under</w:t>
      </w:r>
      <w:r w:rsidR="0062350D">
        <w:t xml:space="preserve"> </w:t>
      </w:r>
      <w:r w:rsidRPr="0062350D">
        <w:t>article</w:t>
      </w:r>
      <w:r w:rsidR="0062350D">
        <w:t xml:space="preserve"> </w:t>
      </w:r>
      <w:r w:rsidRPr="0062350D">
        <w:t>7</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authors</w:t>
      </w:r>
      <w:r w:rsidR="0062350D">
        <w:t xml:space="preserve"> </w:t>
      </w:r>
      <w:r w:rsidRPr="0062350D">
        <w:t>argue</w:t>
      </w:r>
      <w:r w:rsidR="0062350D">
        <w:t xml:space="preserve"> </w:t>
      </w:r>
      <w:r w:rsidRPr="0062350D">
        <w:t>that</w:t>
      </w:r>
      <w:r w:rsidR="0062350D">
        <w:t xml:space="preserve"> </w:t>
      </w:r>
      <w:r w:rsidRPr="0062350D">
        <w:t>conditions</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in</w:t>
      </w:r>
      <w:r w:rsidR="0062350D">
        <w:t xml:space="preserve"> </w:t>
      </w:r>
      <w:r w:rsidRPr="0062350D">
        <w:t>Nauru</w:t>
      </w:r>
      <w:r w:rsidR="0062350D">
        <w:t xml:space="preserve"> </w:t>
      </w:r>
      <w:r w:rsidRPr="0062350D">
        <w:t>would</w:t>
      </w:r>
      <w:r w:rsidR="0062350D">
        <w:t xml:space="preserve"> </w:t>
      </w:r>
      <w:r w:rsidRPr="0062350D">
        <w:t>have</w:t>
      </w:r>
      <w:r w:rsidR="0062350D">
        <w:t xml:space="preserve"> </w:t>
      </w:r>
      <w:r w:rsidRPr="0062350D">
        <w:t>been</w:t>
      </w:r>
      <w:r w:rsidR="0062350D">
        <w:t xml:space="preserve"> </w:t>
      </w:r>
      <w:r w:rsidRPr="0062350D">
        <w:t>inadequate</w:t>
      </w:r>
      <w:r w:rsidR="0062350D">
        <w:t xml:space="preserve"> </w:t>
      </w:r>
      <w:r w:rsidRPr="0062350D">
        <w:t>and</w:t>
      </w:r>
      <w:r w:rsidR="0062350D">
        <w:t xml:space="preserve"> </w:t>
      </w:r>
      <w:r w:rsidRPr="0062350D">
        <w:t>contrary</w:t>
      </w:r>
      <w:r w:rsidR="0062350D">
        <w:t xml:space="preserve"> </w:t>
      </w:r>
      <w:r w:rsidRPr="0062350D">
        <w:t>to</w:t>
      </w:r>
      <w:r w:rsidR="0062350D">
        <w:t xml:space="preserve"> </w:t>
      </w:r>
      <w:r w:rsidRPr="0062350D">
        <w:t>requirements</w:t>
      </w:r>
      <w:r w:rsidR="0062350D">
        <w:t xml:space="preserve"> </w:t>
      </w:r>
      <w:r w:rsidRPr="0062350D">
        <w:t>of</w:t>
      </w:r>
      <w:r w:rsidR="0062350D">
        <w:t xml:space="preserve"> </w:t>
      </w:r>
      <w:r w:rsidRPr="0062350D">
        <w:t>articles</w:t>
      </w:r>
      <w:r w:rsidR="0062350D">
        <w:t xml:space="preserve"> </w:t>
      </w:r>
      <w:r w:rsidRPr="0062350D">
        <w:t>7,</w:t>
      </w:r>
      <w:r w:rsidR="0062350D">
        <w:t xml:space="preserve"> </w:t>
      </w:r>
      <w:r w:rsidRPr="0062350D">
        <w:t>10,</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claim</w:t>
      </w:r>
      <w:r w:rsidR="0062350D">
        <w:t xml:space="preserve"> </w:t>
      </w:r>
      <w:r w:rsidRPr="0062350D">
        <w:t>that</w:t>
      </w:r>
      <w:r w:rsidR="0062350D">
        <w:t xml:space="preserve"> </w:t>
      </w:r>
      <w:r w:rsidRPr="0062350D">
        <w:t>in</w:t>
      </w:r>
      <w:r w:rsidR="0062350D">
        <w:t xml:space="preserve"> </w:t>
      </w:r>
      <w:r w:rsidRPr="0062350D">
        <w:t>Nauru</w:t>
      </w:r>
      <w:r w:rsidR="0062350D">
        <w:t xml:space="preserve"> </w:t>
      </w:r>
      <w:r w:rsidRPr="0062350D">
        <w:t>they</w:t>
      </w:r>
      <w:r w:rsidR="0062350D">
        <w:t xml:space="preserve"> </w:t>
      </w:r>
      <w:r w:rsidRPr="0062350D">
        <w:t>would</w:t>
      </w:r>
      <w:r w:rsidR="0062350D">
        <w:t xml:space="preserve"> </w:t>
      </w:r>
      <w:r w:rsidRPr="0062350D">
        <w:t>have</w:t>
      </w:r>
      <w:r w:rsidR="0062350D">
        <w:t xml:space="preserve"> </w:t>
      </w:r>
      <w:r w:rsidRPr="0062350D">
        <w:t>been</w:t>
      </w:r>
      <w:r w:rsidR="0062350D">
        <w:t xml:space="preserve"> </w:t>
      </w:r>
      <w:r w:rsidRPr="0062350D">
        <w:t>arbitrarily</w:t>
      </w:r>
      <w:r w:rsidR="0062350D">
        <w:t xml:space="preserve"> </w:t>
      </w:r>
      <w:r w:rsidRPr="0062350D">
        <w:t>detained</w:t>
      </w:r>
      <w:r w:rsidR="0062350D">
        <w:t xml:space="preserve"> </w:t>
      </w:r>
      <w:r w:rsidRPr="0062350D">
        <w:t>and</w:t>
      </w:r>
      <w:r w:rsidR="0062350D">
        <w:t xml:space="preserve"> </w:t>
      </w:r>
      <w:r w:rsidRPr="0062350D">
        <w:t>deprived</w:t>
      </w:r>
      <w:r w:rsidR="0062350D">
        <w:t xml:space="preserve"> </w:t>
      </w:r>
      <w:r w:rsidRPr="0062350D">
        <w:t>of</w:t>
      </w:r>
      <w:r w:rsidR="0062350D">
        <w:t xml:space="preserve"> </w:t>
      </w:r>
      <w:r w:rsidRPr="0062350D">
        <w:t>necessary</w:t>
      </w:r>
      <w:r w:rsidR="0062350D">
        <w:t xml:space="preserve"> </w:t>
      </w:r>
      <w:r w:rsidRPr="0062350D">
        <w:t>educational,</w:t>
      </w:r>
      <w:r w:rsidR="0062350D">
        <w:t xml:space="preserve"> </w:t>
      </w:r>
      <w:r w:rsidRPr="0062350D">
        <w:t>medical</w:t>
      </w:r>
      <w:r w:rsidR="0062350D">
        <w:t xml:space="preserve"> </w:t>
      </w:r>
      <w:r w:rsidRPr="0062350D">
        <w:t>and</w:t>
      </w:r>
      <w:r w:rsidR="0062350D">
        <w:t xml:space="preserve"> </w:t>
      </w:r>
      <w:r w:rsidRPr="0062350D">
        <w:t>social</w:t>
      </w:r>
      <w:r w:rsidR="0062350D">
        <w:t xml:space="preserve"> </w:t>
      </w:r>
      <w:r w:rsidRPr="0062350D">
        <w:t>facilities.</w:t>
      </w:r>
      <w:r w:rsidR="0062350D">
        <w:t xml:space="preserve"> </w:t>
      </w:r>
      <w:r w:rsidRPr="0062350D">
        <w:t>The</w:t>
      </w:r>
      <w:r w:rsidR="0062350D">
        <w:t xml:space="preserve"> </w:t>
      </w:r>
      <w:r w:rsidRPr="0062350D">
        <w:t>authors</w:t>
      </w:r>
      <w:r w:rsidR="0062350D">
        <w:t xml:space="preserve"> </w:t>
      </w:r>
      <w:r w:rsidRPr="0062350D">
        <w:t>submit</w:t>
      </w:r>
      <w:r w:rsidR="0062350D">
        <w:t xml:space="preserve"> </w:t>
      </w:r>
      <w:r w:rsidRPr="0062350D">
        <w:t>that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bears</w:t>
      </w:r>
      <w:r w:rsidR="0062350D">
        <w:t xml:space="preserve"> </w:t>
      </w:r>
      <w:r w:rsidRPr="0062350D">
        <w:t>responsibility</w:t>
      </w:r>
      <w:r w:rsidR="0062350D">
        <w:t xml:space="preserve"> </w:t>
      </w:r>
      <w:r w:rsidRPr="0062350D">
        <w:t>for</w:t>
      </w:r>
      <w:r w:rsidR="0062350D">
        <w:t xml:space="preserve"> </w:t>
      </w:r>
      <w:r w:rsidRPr="0062350D">
        <w:t>these</w:t>
      </w:r>
      <w:r w:rsidR="0062350D">
        <w:t xml:space="preserve"> </w:t>
      </w:r>
      <w:r w:rsidRPr="0062350D">
        <w:t>potential</w:t>
      </w:r>
      <w:r w:rsidR="0062350D">
        <w:t xml:space="preserve"> </w:t>
      </w:r>
      <w:r w:rsidRPr="0062350D">
        <w:t>violations</w:t>
      </w:r>
      <w:r w:rsidR="0062350D">
        <w:t xml:space="preserve"> </w:t>
      </w:r>
      <w:r w:rsidRPr="0062350D">
        <w:t>in</w:t>
      </w:r>
      <w:r w:rsidR="0062350D">
        <w:t xml:space="preserve"> </w:t>
      </w:r>
      <w:r w:rsidRPr="0062350D">
        <w:t>case</w:t>
      </w:r>
      <w:r w:rsidR="0062350D">
        <w:t xml:space="preserve"> </w:t>
      </w:r>
      <w:r w:rsidRPr="0062350D">
        <w:t>of</w:t>
      </w:r>
      <w:r w:rsidR="0062350D">
        <w:t xml:space="preserve"> </w:t>
      </w:r>
      <w:r w:rsidRPr="0062350D">
        <w:t>their</w:t>
      </w:r>
      <w:r w:rsidR="0062350D">
        <w:t xml:space="preserve"> </w:t>
      </w:r>
      <w:r w:rsidRPr="0062350D">
        <w:t>transfer.</w:t>
      </w:r>
    </w:p>
    <w:p w14:paraId="7C37F996" w14:textId="654F0208" w:rsidR="0062350D" w:rsidRPr="0062350D" w:rsidRDefault="007F12C3" w:rsidP="005D6A3F">
      <w:pPr>
        <w:pStyle w:val="SingleTxtG"/>
      </w:pPr>
      <w:r w:rsidRPr="0062350D">
        <w:t>3.2</w:t>
      </w:r>
      <w:r w:rsidRPr="0062350D">
        <w:tab/>
        <w:t>The</w:t>
      </w:r>
      <w:r w:rsidR="0062350D">
        <w:t xml:space="preserve"> </w:t>
      </w:r>
      <w:r w:rsidRPr="0062350D">
        <w:t>authors</w:t>
      </w:r>
      <w:r w:rsidR="0062350D">
        <w:t xml:space="preserve"> </w:t>
      </w:r>
      <w:r w:rsidRPr="0062350D">
        <w:t>also</w:t>
      </w:r>
      <w:r w:rsidR="0062350D">
        <w:t xml:space="preserve"> </w:t>
      </w:r>
      <w:r w:rsidRPr="0062350D">
        <w:t>claim</w:t>
      </w:r>
      <w:r w:rsidR="0062350D">
        <w:t xml:space="preserve"> </w:t>
      </w:r>
      <w:r w:rsidRPr="0062350D">
        <w:t>that</w:t>
      </w:r>
      <w:r w:rsidR="0062350D">
        <w:t xml:space="preserve"> </w:t>
      </w:r>
      <w:r w:rsidRPr="0062350D">
        <w:t>they</w:t>
      </w:r>
      <w:r w:rsidR="0062350D">
        <w:t xml:space="preserve"> </w:t>
      </w:r>
      <w:r w:rsidRPr="0062350D">
        <w:t>were</w:t>
      </w:r>
      <w:r w:rsidR="0062350D">
        <w:t xml:space="preserve"> </w:t>
      </w:r>
      <w:r w:rsidRPr="0062350D">
        <w:t>arbitrarily</w:t>
      </w:r>
      <w:r w:rsidR="0062350D">
        <w:t xml:space="preserve"> </w:t>
      </w:r>
      <w:r w:rsidRPr="0062350D">
        <w:t>detained</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for</w:t>
      </w:r>
      <w:r w:rsidR="0062350D">
        <w:t xml:space="preserve"> </w:t>
      </w:r>
      <w:r w:rsidRPr="0062350D">
        <w:t>an</w:t>
      </w:r>
      <w:r w:rsidR="0062350D">
        <w:t xml:space="preserve"> </w:t>
      </w:r>
      <w:r w:rsidRPr="0062350D">
        <w:t>excessive</w:t>
      </w:r>
      <w:r w:rsidR="0062350D">
        <w:t xml:space="preserve"> </w:t>
      </w:r>
      <w:r w:rsidRPr="0062350D">
        <w:t>period</w:t>
      </w:r>
      <w:r w:rsidR="0062350D">
        <w:t xml:space="preserve"> </w:t>
      </w:r>
      <w:r w:rsidRPr="0062350D">
        <w:t>of</w:t>
      </w:r>
      <w:r w:rsidR="0062350D">
        <w:t xml:space="preserve"> </w:t>
      </w:r>
      <w:r w:rsidRPr="0062350D">
        <w:t>time,</w:t>
      </w:r>
      <w:r w:rsidR="0062350D">
        <w:t xml:space="preserve"> </w:t>
      </w:r>
      <w:r w:rsidRPr="0062350D">
        <w:t>contrary</w:t>
      </w:r>
      <w:r w:rsidR="0062350D">
        <w:t xml:space="preserve"> </w:t>
      </w:r>
      <w:r w:rsidRPr="0062350D">
        <w:t>to</w:t>
      </w:r>
      <w:r w:rsidR="0062350D">
        <w:t xml:space="preserve"> </w:t>
      </w:r>
      <w:r w:rsidRPr="0062350D">
        <w:t>requirements</w:t>
      </w:r>
      <w:r w:rsidR="0062350D">
        <w:t xml:space="preserve"> </w:t>
      </w:r>
      <w:r w:rsidRPr="0062350D">
        <w:t>of</w:t>
      </w:r>
      <w:r w:rsidR="0062350D">
        <w:t xml:space="preserve"> </w:t>
      </w:r>
      <w:r w:rsidRPr="0062350D">
        <w:t>article</w:t>
      </w:r>
      <w:r w:rsidR="0062350D">
        <w:t xml:space="preserve"> </w:t>
      </w:r>
      <w:r w:rsidRPr="0062350D">
        <w:t>9</w:t>
      </w:r>
      <w:r w:rsidR="0062350D">
        <w:t xml:space="preserve"> </w:t>
      </w:r>
      <w:r w:rsidRPr="0062350D">
        <w:t>(1)</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recall</w:t>
      </w:r>
      <w:r w:rsidR="0062350D">
        <w:t xml:space="preserve"> </w:t>
      </w:r>
      <w:r w:rsidRPr="0062350D">
        <w:t>the</w:t>
      </w:r>
      <w:r w:rsidR="0062350D">
        <w:t xml:space="preserve"> </w:t>
      </w:r>
      <w:r w:rsidRPr="0062350D">
        <w:t>Committee</w:t>
      </w:r>
      <w:r w:rsidR="0062350D" w:rsidRPr="0062350D">
        <w:t>’</w:t>
      </w:r>
      <w:r w:rsidRPr="0062350D">
        <w:t>s</w:t>
      </w:r>
      <w:r w:rsidR="0062350D">
        <w:t xml:space="preserve"> </w:t>
      </w:r>
      <w:r w:rsidRPr="0062350D">
        <w:t>jurisprudence</w:t>
      </w:r>
      <w:r w:rsidR="0062350D">
        <w:t xml:space="preserve"> </w:t>
      </w:r>
      <w:r w:rsidRPr="0062350D">
        <w:t>and</w:t>
      </w:r>
      <w:r w:rsidR="0062350D">
        <w:t xml:space="preserve"> </w:t>
      </w:r>
      <w:r w:rsidRPr="0062350D">
        <w:t>argue</w:t>
      </w:r>
      <w:r w:rsidR="0062350D">
        <w:t xml:space="preserve"> </w:t>
      </w:r>
      <w:r w:rsidRPr="0062350D">
        <w:t>that</w:t>
      </w:r>
      <w:r w:rsidR="0062350D">
        <w:t xml:space="preserve"> </w:t>
      </w:r>
      <w:r w:rsidRPr="0062350D">
        <w:t>their</w:t>
      </w:r>
      <w:r w:rsidR="0062350D">
        <w:t xml:space="preserve"> </w:t>
      </w:r>
      <w:r w:rsidRPr="0062350D">
        <w:t>detention</w:t>
      </w:r>
      <w:r w:rsidR="0062350D">
        <w:t xml:space="preserve"> </w:t>
      </w:r>
      <w:r w:rsidRPr="0062350D">
        <w:t>was</w:t>
      </w:r>
      <w:r w:rsidR="0062350D">
        <w:t xml:space="preserve"> </w:t>
      </w:r>
      <w:r w:rsidRPr="0062350D">
        <w:t>neither</w:t>
      </w:r>
      <w:r w:rsidR="0062350D">
        <w:t xml:space="preserve"> </w:t>
      </w:r>
      <w:r w:rsidRPr="0062350D">
        <w:t>necessary</w:t>
      </w:r>
      <w:r w:rsidR="0062350D">
        <w:t xml:space="preserve"> </w:t>
      </w:r>
      <w:r w:rsidRPr="0062350D">
        <w:t>nor</w:t>
      </w:r>
      <w:r w:rsidR="0062350D">
        <w:t xml:space="preserve"> </w:t>
      </w:r>
      <w:r w:rsidRPr="0062350D">
        <w:lastRenderedPageBreak/>
        <w:t>proportionate.</w:t>
      </w:r>
      <w:r w:rsidR="0062350D">
        <w:t xml:space="preserve"> </w:t>
      </w:r>
      <w:r w:rsidRPr="0062350D">
        <w:t>Furthermore,</w:t>
      </w:r>
      <w:r w:rsidR="0062350D">
        <w:t xml:space="preserve"> </w:t>
      </w:r>
      <w:r w:rsidRPr="0062350D">
        <w:t>the</w:t>
      </w:r>
      <w:r w:rsidR="0062350D">
        <w:t xml:space="preserve"> </w:t>
      </w:r>
      <w:r w:rsidRPr="0062350D">
        <w:t>authors</w:t>
      </w:r>
      <w:r w:rsidR="0062350D">
        <w:t xml:space="preserve"> </w:t>
      </w:r>
      <w:r w:rsidRPr="0062350D">
        <w:t>claim</w:t>
      </w:r>
      <w:r w:rsidR="0062350D">
        <w:t xml:space="preserve"> </w:t>
      </w:r>
      <w:r w:rsidRPr="0062350D">
        <w:t>that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was</w:t>
      </w:r>
      <w:r w:rsidR="0062350D">
        <w:t xml:space="preserve"> </w:t>
      </w:r>
      <w:r w:rsidRPr="0062350D">
        <w:t>in</w:t>
      </w:r>
      <w:r w:rsidR="0062350D">
        <w:t xml:space="preserve"> </w:t>
      </w:r>
      <w:r w:rsidRPr="0062350D">
        <w:t>violation</w:t>
      </w:r>
      <w:r w:rsidR="0062350D">
        <w:t xml:space="preserve"> </w:t>
      </w:r>
      <w:r w:rsidRPr="0062350D">
        <w:t>of</w:t>
      </w:r>
      <w:r w:rsidR="0062350D">
        <w:t xml:space="preserve"> </w:t>
      </w:r>
      <w:r w:rsidRPr="0062350D">
        <w:t>article</w:t>
      </w:r>
      <w:r w:rsidR="0062350D">
        <w:t xml:space="preserve"> </w:t>
      </w:r>
      <w:r w:rsidRPr="0062350D">
        <w:t>9</w:t>
      </w:r>
      <w:r w:rsidR="0062350D">
        <w:t xml:space="preserve"> </w:t>
      </w:r>
      <w:r w:rsidRPr="0062350D">
        <w:t>(4),</w:t>
      </w:r>
      <w:r w:rsidR="0062350D">
        <w:t xml:space="preserve"> </w:t>
      </w:r>
      <w:r w:rsidRPr="0062350D">
        <w:t>as</w:t>
      </w:r>
      <w:r w:rsidR="0062350D">
        <w:t xml:space="preserve"> </w:t>
      </w:r>
      <w:r w:rsidRPr="0062350D">
        <w:t>they</w:t>
      </w:r>
      <w:r w:rsidR="0062350D">
        <w:t xml:space="preserve"> </w:t>
      </w:r>
      <w:r w:rsidRPr="0062350D">
        <w:t>did</w:t>
      </w:r>
      <w:r w:rsidR="0062350D">
        <w:t xml:space="preserve"> </w:t>
      </w:r>
      <w:r w:rsidRPr="0062350D">
        <w:t>not</w:t>
      </w:r>
      <w:r w:rsidR="0062350D">
        <w:t xml:space="preserve"> </w:t>
      </w:r>
      <w:r w:rsidRPr="0062350D">
        <w:t>have</w:t>
      </w:r>
      <w:r w:rsidR="0062350D">
        <w:t xml:space="preserve"> </w:t>
      </w:r>
      <w:r w:rsidRPr="0062350D">
        <w:t>an</w:t>
      </w:r>
      <w:r w:rsidR="0062350D">
        <w:t xml:space="preserve"> </w:t>
      </w:r>
      <w:r w:rsidRPr="0062350D">
        <w:t>avenue</w:t>
      </w:r>
      <w:r w:rsidR="0062350D">
        <w:t xml:space="preserve"> </w:t>
      </w:r>
      <w:r w:rsidRPr="0062350D">
        <w:t>to</w:t>
      </w:r>
      <w:r w:rsidR="0062350D">
        <w:t xml:space="preserve"> </w:t>
      </w:r>
      <w:r w:rsidRPr="0062350D">
        <w:t>challenge</w:t>
      </w:r>
      <w:r w:rsidR="0062350D">
        <w:t xml:space="preserve"> </w:t>
      </w:r>
      <w:r w:rsidRPr="0062350D">
        <w:t>their</w:t>
      </w:r>
      <w:r w:rsidR="0062350D">
        <w:t xml:space="preserve"> </w:t>
      </w:r>
      <w:r w:rsidRPr="0062350D">
        <w:t>detention</w:t>
      </w:r>
      <w:r w:rsidR="00FE14E2">
        <w:t>.</w:t>
      </w:r>
    </w:p>
    <w:p w14:paraId="0EEE6604" w14:textId="0198FD8B" w:rsidR="007F12C3" w:rsidRPr="0062350D" w:rsidRDefault="007F12C3" w:rsidP="005D6A3F">
      <w:pPr>
        <w:pStyle w:val="SingleTxtG"/>
      </w:pPr>
      <w:r w:rsidRPr="0062350D">
        <w:t>3.3</w:t>
      </w:r>
      <w:r w:rsidRPr="0062350D">
        <w:tab/>
        <w:t>The</w:t>
      </w:r>
      <w:r w:rsidR="0062350D">
        <w:t xml:space="preserve"> </w:t>
      </w:r>
      <w:r w:rsidRPr="0062350D">
        <w:t>authors</w:t>
      </w:r>
      <w:r w:rsidR="0062350D">
        <w:t xml:space="preserve"> </w:t>
      </w:r>
      <w:r w:rsidRPr="0062350D">
        <w:t>argue</w:t>
      </w:r>
      <w:r w:rsidR="0062350D">
        <w:t xml:space="preserve"> </w:t>
      </w:r>
      <w:r w:rsidRPr="0062350D">
        <w:t>that</w:t>
      </w:r>
      <w:r w:rsidR="0062350D">
        <w:t xml:space="preserve"> </w:t>
      </w:r>
      <w:r w:rsidRPr="0062350D">
        <w:t>facilities</w:t>
      </w:r>
      <w:r w:rsidR="0062350D">
        <w:t xml:space="preserve"> </w:t>
      </w:r>
      <w:r w:rsidRPr="0062350D">
        <w:t>and</w:t>
      </w:r>
      <w:r w:rsidR="0062350D">
        <w:t xml:space="preserve"> </w:t>
      </w:r>
      <w:r w:rsidRPr="0062350D">
        <w:t>services</w:t>
      </w:r>
      <w:r w:rsidR="0062350D">
        <w:t xml:space="preserve"> </w:t>
      </w:r>
      <w:r w:rsidRPr="0062350D">
        <w:t>available</w:t>
      </w:r>
      <w:r w:rsidR="0062350D">
        <w:t xml:space="preserve"> </w:t>
      </w:r>
      <w:r w:rsidRPr="0062350D">
        <w:t>to</w:t>
      </w:r>
      <w:r w:rsidR="0062350D">
        <w:t xml:space="preserve"> </w:t>
      </w:r>
      <w:r w:rsidRPr="0062350D">
        <w:t>them</w:t>
      </w:r>
      <w:r w:rsidR="0062350D">
        <w:t xml:space="preserve"> </w:t>
      </w:r>
      <w:r w:rsidRPr="0062350D">
        <w:t>while</w:t>
      </w:r>
      <w:r w:rsidR="0062350D">
        <w:t xml:space="preserve"> </w:t>
      </w:r>
      <w:r w:rsidRPr="0062350D">
        <w:t>in</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were</w:t>
      </w:r>
      <w:r w:rsidR="0062350D">
        <w:t xml:space="preserve"> </w:t>
      </w:r>
      <w:r w:rsidRPr="0062350D">
        <w:t>inadequate</w:t>
      </w:r>
      <w:r w:rsidR="0062350D">
        <w:t xml:space="preserve"> </w:t>
      </w:r>
      <w:r w:rsidRPr="0062350D">
        <w:t>and</w:t>
      </w:r>
      <w:r w:rsidR="0062350D">
        <w:t xml:space="preserve"> </w:t>
      </w:r>
      <w:r w:rsidRPr="0062350D">
        <w:t>contrary</w:t>
      </w:r>
      <w:r w:rsidR="0062350D">
        <w:t xml:space="preserve"> </w:t>
      </w:r>
      <w:r w:rsidRPr="0062350D">
        <w:t>to</w:t>
      </w:r>
      <w:r w:rsidR="0062350D">
        <w:t xml:space="preserve"> </w:t>
      </w:r>
      <w:r w:rsidRPr="0062350D">
        <w:t>requirements</w:t>
      </w:r>
      <w:r w:rsidR="0062350D">
        <w:t xml:space="preserve"> </w:t>
      </w:r>
      <w:r w:rsidRPr="0062350D">
        <w:t>of</w:t>
      </w:r>
      <w:r w:rsidR="0062350D">
        <w:t xml:space="preserve"> </w:t>
      </w:r>
      <w:r w:rsidRPr="0062350D">
        <w:t>articles</w:t>
      </w:r>
      <w:r w:rsidR="0062350D">
        <w:t xml:space="preserve"> </w:t>
      </w:r>
      <w:r w:rsidRPr="0062350D">
        <w:t>7,</w:t>
      </w:r>
      <w:r w:rsidR="0062350D">
        <w:t xml:space="preserve"> </w:t>
      </w:r>
      <w:r w:rsidRPr="0062350D">
        <w:t>10,</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submit</w:t>
      </w:r>
      <w:r w:rsidR="0062350D">
        <w:t xml:space="preserve"> </w:t>
      </w:r>
      <w:r w:rsidRPr="0062350D">
        <w:t>that</w:t>
      </w:r>
      <w:r w:rsidR="0062350D">
        <w:t xml:space="preserve"> </w:t>
      </w:r>
      <w:r w:rsidRPr="0062350D">
        <w:t>national</w:t>
      </w:r>
      <w:r w:rsidR="0062350D">
        <w:t xml:space="preserve"> </w:t>
      </w:r>
      <w:r w:rsidRPr="0062350D">
        <w:t>authorities</w:t>
      </w:r>
      <w:r w:rsidR="0062350D">
        <w:t xml:space="preserve"> </w:t>
      </w:r>
      <w:r w:rsidRPr="0062350D">
        <w:t>did</w:t>
      </w:r>
      <w:r w:rsidR="0062350D">
        <w:t xml:space="preserve"> </w:t>
      </w:r>
      <w:r w:rsidRPr="0062350D">
        <w:t>not</w:t>
      </w:r>
      <w:r w:rsidR="0062350D">
        <w:t xml:space="preserve"> </w:t>
      </w:r>
      <w:r w:rsidRPr="0062350D">
        <w:t>provide</w:t>
      </w:r>
      <w:r w:rsidR="0062350D">
        <w:t xml:space="preserve"> </w:t>
      </w:r>
      <w:r w:rsidRPr="0062350D">
        <w:t>them</w:t>
      </w:r>
      <w:r w:rsidR="0062350D">
        <w:t xml:space="preserve"> </w:t>
      </w:r>
      <w:r w:rsidRPr="0062350D">
        <w:t>with</w:t>
      </w:r>
      <w:r w:rsidR="0062350D">
        <w:t xml:space="preserve"> </w:t>
      </w:r>
      <w:r w:rsidRPr="0062350D">
        <w:t>all</w:t>
      </w:r>
      <w:r w:rsidR="0062350D">
        <w:t xml:space="preserve"> </w:t>
      </w:r>
      <w:r w:rsidRPr="0062350D">
        <w:t>necessary</w:t>
      </w:r>
      <w:r w:rsidR="0062350D">
        <w:t xml:space="preserve"> </w:t>
      </w:r>
      <w:r w:rsidRPr="0062350D">
        <w:t>facilities</w:t>
      </w:r>
      <w:r w:rsidR="0062350D">
        <w:t xml:space="preserve"> </w:t>
      </w:r>
      <w:r w:rsidRPr="0062350D">
        <w:t>and</w:t>
      </w:r>
      <w:r w:rsidR="0062350D">
        <w:t xml:space="preserve"> </w:t>
      </w:r>
      <w:r w:rsidRPr="0062350D">
        <w:t>support.</w:t>
      </w:r>
      <w:r w:rsidR="0062350D">
        <w:t xml:space="preserve"> </w:t>
      </w:r>
      <w:r w:rsidRPr="0062350D">
        <w:t>Specifically,</w:t>
      </w:r>
      <w:r w:rsidR="0062350D">
        <w:t xml:space="preserve"> </w:t>
      </w:r>
      <w:r w:rsidRPr="0062350D">
        <w:t>they</w:t>
      </w:r>
      <w:r w:rsidR="0062350D">
        <w:t xml:space="preserve"> </w:t>
      </w:r>
      <w:r w:rsidRPr="0062350D">
        <w:t>argue</w:t>
      </w:r>
      <w:r w:rsidR="0062350D">
        <w:t xml:space="preserve"> </w:t>
      </w:r>
      <w:r w:rsidRPr="0062350D">
        <w:t>that</w:t>
      </w:r>
      <w:r w:rsidR="0062350D">
        <w:t xml:space="preserve"> </w:t>
      </w:r>
      <w:r w:rsidRPr="0062350D">
        <w:t>they</w:t>
      </w:r>
      <w:r w:rsidR="0062350D">
        <w:t xml:space="preserve"> </w:t>
      </w:r>
      <w:r w:rsidRPr="0062350D">
        <w:t>did</w:t>
      </w:r>
      <w:r w:rsidR="0062350D">
        <w:t xml:space="preserve"> </w:t>
      </w:r>
      <w:r w:rsidRPr="0062350D">
        <w:t>not</w:t>
      </w:r>
      <w:r w:rsidR="0062350D">
        <w:t xml:space="preserve"> </w:t>
      </w:r>
      <w:r w:rsidRPr="0062350D">
        <w:t>have</w:t>
      </w:r>
      <w:r w:rsidR="0062350D">
        <w:t xml:space="preserve"> </w:t>
      </w:r>
      <w:r w:rsidRPr="0062350D">
        <w:t>proper</w:t>
      </w:r>
      <w:r w:rsidR="0062350D">
        <w:t xml:space="preserve"> </w:t>
      </w:r>
      <w:r w:rsidRPr="0062350D">
        <w:t>access</w:t>
      </w:r>
      <w:r w:rsidR="0062350D">
        <w:t xml:space="preserve"> </w:t>
      </w:r>
      <w:r w:rsidRPr="0062350D">
        <w:t>to</w:t>
      </w:r>
      <w:r w:rsidR="0062350D">
        <w:t xml:space="preserve"> </w:t>
      </w:r>
      <w:r w:rsidRPr="0062350D">
        <w:t>physical</w:t>
      </w:r>
      <w:r w:rsidR="0062350D">
        <w:t xml:space="preserve"> </w:t>
      </w:r>
      <w:r w:rsidRPr="0062350D">
        <w:t>and</w:t>
      </w:r>
      <w:r w:rsidR="0062350D">
        <w:t xml:space="preserve"> </w:t>
      </w:r>
      <w:r w:rsidRPr="0062350D">
        <w:t>mental</w:t>
      </w:r>
      <w:r w:rsidR="0062350D">
        <w:t xml:space="preserve"> </w:t>
      </w:r>
      <w:r w:rsidRPr="0062350D">
        <w:t>health</w:t>
      </w:r>
      <w:r w:rsidR="0062350D">
        <w:t xml:space="preserve"> </w:t>
      </w:r>
      <w:r w:rsidRPr="0062350D">
        <w:t>facilities.</w:t>
      </w:r>
    </w:p>
    <w:p w14:paraId="5D500D03" w14:textId="42E73AD9" w:rsidR="0062350D" w:rsidRPr="0062350D" w:rsidRDefault="007F12C3" w:rsidP="005D6A3F">
      <w:pPr>
        <w:pStyle w:val="SingleTxtG"/>
      </w:pPr>
      <w:r w:rsidRPr="0062350D">
        <w:t>3.4</w:t>
      </w:r>
      <w:r w:rsidRPr="0062350D">
        <w:tab/>
        <w:t>The</w:t>
      </w:r>
      <w:r w:rsidR="0062350D">
        <w:t xml:space="preserve"> </w:t>
      </w:r>
      <w:r w:rsidRPr="0062350D">
        <w:t>authors</w:t>
      </w:r>
      <w:r w:rsidR="0062350D">
        <w:t xml:space="preserve"> </w:t>
      </w:r>
      <w:r w:rsidRPr="0062350D">
        <w:t>submit</w:t>
      </w:r>
      <w:r w:rsidR="0062350D">
        <w:t xml:space="preserve"> </w:t>
      </w:r>
      <w:r w:rsidRPr="0062350D">
        <w:t>that</w:t>
      </w:r>
      <w:r w:rsidR="0062350D">
        <w:t xml:space="preserve"> </w:t>
      </w:r>
      <w:r w:rsidRPr="0062350D">
        <w:t>conditions</w:t>
      </w:r>
      <w:r w:rsidR="0062350D">
        <w:t xml:space="preserve"> </w:t>
      </w:r>
      <w:r w:rsidRPr="0062350D">
        <w:t>of</w:t>
      </w:r>
      <w:r w:rsidR="0062350D">
        <w:t xml:space="preserve"> </w:t>
      </w:r>
      <w:r w:rsidRPr="0062350D">
        <w:t>community</w:t>
      </w:r>
      <w:r w:rsidR="0062350D">
        <w:t xml:space="preserve"> </w:t>
      </w:r>
      <w:r w:rsidRPr="0062350D">
        <w:t>detention</w:t>
      </w:r>
      <w:r w:rsidR="0062350D">
        <w:t xml:space="preserve"> </w:t>
      </w:r>
      <w:r w:rsidRPr="0062350D">
        <w:t>on</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were</w:t>
      </w:r>
      <w:r w:rsidR="0062350D">
        <w:t xml:space="preserve"> </w:t>
      </w:r>
      <w:r w:rsidRPr="0062350D">
        <w:t>in</w:t>
      </w:r>
      <w:r w:rsidR="0062350D">
        <w:t xml:space="preserve"> </w:t>
      </w:r>
      <w:r w:rsidRPr="0062350D">
        <w:t>breach</w:t>
      </w:r>
      <w:r w:rsidR="0062350D">
        <w:t xml:space="preserve"> </w:t>
      </w:r>
      <w:r w:rsidRPr="0062350D">
        <w:t>of</w:t>
      </w:r>
      <w:r w:rsidR="0062350D">
        <w:t xml:space="preserve"> </w:t>
      </w:r>
      <w:r w:rsidRPr="0062350D">
        <w:t>articles</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argue</w:t>
      </w:r>
      <w:r w:rsidR="0062350D">
        <w:t xml:space="preserve"> </w:t>
      </w:r>
      <w:r w:rsidRPr="0062350D">
        <w:t>that</w:t>
      </w:r>
      <w:r w:rsidR="0062350D">
        <w:t xml:space="preserve"> </w:t>
      </w:r>
      <w:r w:rsidRPr="0062350D">
        <w:t>some</w:t>
      </w:r>
      <w:r w:rsidR="0062350D">
        <w:t xml:space="preserve"> </w:t>
      </w:r>
      <w:r w:rsidRPr="0062350D">
        <w:t>of</w:t>
      </w:r>
      <w:r w:rsidR="0062350D">
        <w:t xml:space="preserve"> </w:t>
      </w:r>
      <w:r w:rsidRPr="0062350D">
        <w:t>them</w:t>
      </w:r>
      <w:r w:rsidR="0062350D">
        <w:t xml:space="preserve"> </w:t>
      </w:r>
      <w:r w:rsidRPr="0062350D">
        <w:t>were</w:t>
      </w:r>
      <w:r w:rsidR="0062350D">
        <w:t xml:space="preserve"> </w:t>
      </w:r>
      <w:r w:rsidRPr="0062350D">
        <w:t>separated</w:t>
      </w:r>
      <w:r w:rsidR="0062350D">
        <w:t xml:space="preserve"> </w:t>
      </w:r>
      <w:r w:rsidRPr="0062350D">
        <w:t>from</w:t>
      </w:r>
      <w:r w:rsidR="0062350D">
        <w:t xml:space="preserve"> </w:t>
      </w:r>
      <w:r w:rsidRPr="0062350D">
        <w:t>other</w:t>
      </w:r>
      <w:r w:rsidR="0062350D">
        <w:t xml:space="preserve"> </w:t>
      </w:r>
      <w:r w:rsidRPr="0062350D">
        <w:t>members</w:t>
      </w:r>
      <w:r w:rsidR="0062350D">
        <w:t xml:space="preserve"> </w:t>
      </w:r>
      <w:r w:rsidRPr="0062350D">
        <w:t>of</w:t>
      </w:r>
      <w:r w:rsidR="0062350D">
        <w:t xml:space="preserve"> </w:t>
      </w:r>
      <w:r w:rsidRPr="0062350D">
        <w:t>their</w:t>
      </w:r>
      <w:r w:rsidR="0062350D">
        <w:t xml:space="preserve"> </w:t>
      </w:r>
      <w:r w:rsidRPr="0062350D">
        <w:t>families</w:t>
      </w:r>
      <w:r w:rsidR="0062350D">
        <w:t xml:space="preserve"> </w:t>
      </w:r>
      <w:r w:rsidRPr="0062350D">
        <w:t>in</w:t>
      </w:r>
      <w:r w:rsidR="0062350D">
        <w:t xml:space="preserve"> </w:t>
      </w:r>
      <w:r w:rsidRPr="0062350D">
        <w:t>Australia.</w:t>
      </w:r>
      <w:r w:rsidR="0062350D">
        <w:t xml:space="preserve"> </w:t>
      </w:r>
      <w:r w:rsidRPr="0062350D">
        <w:t>They</w:t>
      </w:r>
      <w:r w:rsidR="0062350D">
        <w:t xml:space="preserve"> </w:t>
      </w:r>
      <w:r w:rsidRPr="0062350D">
        <w:t>further</w:t>
      </w:r>
      <w:r w:rsidR="0062350D">
        <w:t xml:space="preserve"> </w:t>
      </w:r>
      <w:r w:rsidRPr="0062350D">
        <w:t>specify,</w:t>
      </w:r>
      <w:r w:rsidR="0062350D">
        <w:t xml:space="preserve"> </w:t>
      </w:r>
      <w:r w:rsidRPr="0062350D">
        <w:t>that</w:t>
      </w:r>
      <w:r w:rsidR="0062350D">
        <w:t xml:space="preserve"> </w:t>
      </w:r>
      <w:r w:rsidRPr="0062350D">
        <w:t>B.A.A.</w:t>
      </w:r>
      <w:r w:rsidR="0062350D">
        <w:t xml:space="preserve"> </w:t>
      </w:r>
      <w:r w:rsidRPr="0062350D">
        <w:t>was</w:t>
      </w:r>
      <w:r w:rsidR="0062350D">
        <w:t xml:space="preserve"> </w:t>
      </w:r>
      <w:r w:rsidRPr="0062350D">
        <w:t>not</w:t>
      </w:r>
      <w:r w:rsidR="0062350D">
        <w:t xml:space="preserve"> </w:t>
      </w:r>
      <w:r w:rsidRPr="0062350D">
        <w:t>allowed</w:t>
      </w:r>
      <w:r w:rsidR="0062350D">
        <w:t xml:space="preserve"> </w:t>
      </w:r>
      <w:r w:rsidRPr="0062350D">
        <w:t>to</w:t>
      </w:r>
      <w:r w:rsidR="0062350D">
        <w:t xml:space="preserve"> </w:t>
      </w:r>
      <w:r w:rsidRPr="0062350D">
        <w:t>reside</w:t>
      </w:r>
      <w:r w:rsidR="0062350D">
        <w:t xml:space="preserve"> </w:t>
      </w:r>
      <w:r w:rsidRPr="0062350D">
        <w:t>with</w:t>
      </w:r>
      <w:r w:rsidR="0062350D">
        <w:t xml:space="preserve"> </w:t>
      </w:r>
      <w:r w:rsidRPr="0062350D">
        <w:t>his</w:t>
      </w:r>
      <w:r w:rsidR="0062350D">
        <w:t xml:space="preserve"> </w:t>
      </w:r>
      <w:r w:rsidRPr="0062350D">
        <w:t>brother,</w:t>
      </w:r>
      <w:r w:rsidR="0062350D">
        <w:t xml:space="preserve"> </w:t>
      </w:r>
      <w:r w:rsidRPr="0062350D">
        <w:t>who</w:t>
      </w:r>
      <w:r w:rsidR="0062350D">
        <w:t xml:space="preserve"> </w:t>
      </w:r>
      <w:r w:rsidRPr="0062350D">
        <w:t>had</w:t>
      </w:r>
      <w:r w:rsidR="0062350D">
        <w:t xml:space="preserve"> </w:t>
      </w:r>
      <w:r w:rsidRPr="0062350D">
        <w:t>arrived</w:t>
      </w:r>
      <w:r w:rsidR="0062350D">
        <w:t xml:space="preserve"> </w:t>
      </w:r>
      <w:r w:rsidRPr="0062350D">
        <w:t>in</w:t>
      </w:r>
      <w:r w:rsidR="0062350D">
        <w:t xml:space="preserve"> </w:t>
      </w:r>
      <w:r w:rsidRPr="0062350D">
        <w:t>Australia</w:t>
      </w:r>
      <w:r w:rsidR="0062350D">
        <w:t xml:space="preserve"> </w:t>
      </w:r>
      <w:r w:rsidRPr="0062350D">
        <w:t>12</w:t>
      </w:r>
      <w:r w:rsidR="0062350D">
        <w:t xml:space="preserve"> </w:t>
      </w:r>
      <w:r w:rsidRPr="0062350D">
        <w:t>months</w:t>
      </w:r>
      <w:r w:rsidR="0062350D">
        <w:t xml:space="preserve"> </w:t>
      </w:r>
      <w:r w:rsidRPr="0062350D">
        <w:t>earlier</w:t>
      </w:r>
      <w:r w:rsidR="0062350D">
        <w:t xml:space="preserve"> </w:t>
      </w:r>
      <w:r w:rsidRPr="0062350D">
        <w:t>and</w:t>
      </w:r>
      <w:r w:rsidR="0062350D">
        <w:t xml:space="preserve"> </w:t>
      </w:r>
      <w:r w:rsidRPr="0062350D">
        <w:t>was</w:t>
      </w:r>
      <w:r w:rsidR="0062350D">
        <w:t xml:space="preserve"> </w:t>
      </w:r>
      <w:r w:rsidRPr="0062350D">
        <w:t>detained</w:t>
      </w:r>
      <w:r w:rsidR="0062350D">
        <w:t xml:space="preserve"> </w:t>
      </w:r>
      <w:r w:rsidRPr="0062350D">
        <w:t>in</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on</w:t>
      </w:r>
      <w:r w:rsidR="0062350D">
        <w:t xml:space="preserve"> </w:t>
      </w:r>
      <w:r w:rsidRPr="0062350D">
        <w:t>the</w:t>
      </w:r>
      <w:r w:rsidR="0062350D">
        <w:t xml:space="preserve"> </w:t>
      </w:r>
      <w:r w:rsidRPr="0062350D">
        <w:t>mainland.</w:t>
      </w:r>
      <w:r w:rsidR="0062350D">
        <w:t xml:space="preserve"> </w:t>
      </w:r>
      <w:r w:rsidRPr="0062350D">
        <w:t>They</w:t>
      </w:r>
      <w:r w:rsidR="0062350D">
        <w:t xml:space="preserve"> </w:t>
      </w:r>
      <w:r w:rsidRPr="0062350D">
        <w:t>further</w:t>
      </w:r>
      <w:r w:rsidR="0062350D">
        <w:t xml:space="preserve"> </w:t>
      </w:r>
      <w:r w:rsidRPr="0062350D">
        <w:t>claim</w:t>
      </w:r>
      <w:r w:rsidR="0062350D">
        <w:t xml:space="preserve"> </w:t>
      </w:r>
      <w:r w:rsidRPr="0062350D">
        <w:t>that</w:t>
      </w:r>
      <w:r w:rsidR="0062350D">
        <w:t xml:space="preserve"> </w:t>
      </w:r>
      <w:r w:rsidRPr="0062350D">
        <w:t>the</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did</w:t>
      </w:r>
      <w:r w:rsidR="0062350D">
        <w:t xml:space="preserve"> </w:t>
      </w:r>
      <w:r w:rsidRPr="0062350D">
        <w:t>not</w:t>
      </w:r>
      <w:r w:rsidR="0062350D">
        <w:t xml:space="preserve"> </w:t>
      </w:r>
      <w:r w:rsidRPr="0062350D">
        <w:t>provide</w:t>
      </w:r>
      <w:r w:rsidR="0062350D">
        <w:t xml:space="preserve"> </w:t>
      </w:r>
      <w:r w:rsidRPr="0062350D">
        <w:t>adequate</w:t>
      </w:r>
      <w:r w:rsidR="0062350D">
        <w:t xml:space="preserve"> </w:t>
      </w:r>
      <w:r w:rsidRPr="0062350D">
        <w:t>facilities</w:t>
      </w:r>
      <w:r w:rsidR="0062350D">
        <w:t xml:space="preserve"> </w:t>
      </w:r>
      <w:r w:rsidRPr="0062350D">
        <w:t>required</w:t>
      </w:r>
      <w:r w:rsidR="0062350D">
        <w:t xml:space="preserve"> </w:t>
      </w:r>
      <w:r w:rsidRPr="0062350D">
        <w:t>by</w:t>
      </w:r>
      <w:r w:rsidR="0062350D">
        <w:t xml:space="preserve"> </w:t>
      </w:r>
      <w:r w:rsidRPr="0062350D">
        <w:t>the</w:t>
      </w:r>
      <w:r w:rsidR="0062350D">
        <w:t xml:space="preserve"> </w:t>
      </w:r>
      <w:r w:rsidRPr="0062350D">
        <w:t>authors.</w:t>
      </w:r>
    </w:p>
    <w:p w14:paraId="3B565ED1" w14:textId="639F7DCC" w:rsidR="007F12C3" w:rsidRPr="0062350D" w:rsidRDefault="007F12C3" w:rsidP="005D6A3F">
      <w:pPr>
        <w:pStyle w:val="SingleTxtG"/>
      </w:pPr>
      <w:r w:rsidRPr="0062350D">
        <w:t>3.5</w:t>
      </w:r>
      <w:r w:rsidRPr="0062350D">
        <w:tab/>
        <w:t>The</w:t>
      </w:r>
      <w:r w:rsidR="0062350D">
        <w:t xml:space="preserve"> </w:t>
      </w:r>
      <w:r w:rsidRPr="0062350D">
        <w:t>authors</w:t>
      </w:r>
      <w:r w:rsidR="0062350D">
        <w:t xml:space="preserve"> </w:t>
      </w:r>
      <w:r w:rsidRPr="0062350D">
        <w:t>refer</w:t>
      </w:r>
      <w:r w:rsidR="0062350D">
        <w:t xml:space="preserve"> </w:t>
      </w:r>
      <w:r w:rsidRPr="0062350D">
        <w:t>to</w:t>
      </w:r>
      <w:r w:rsidR="0062350D">
        <w:t xml:space="preserve"> </w:t>
      </w:r>
      <w:r w:rsidRPr="0062350D">
        <w:t>article</w:t>
      </w:r>
      <w:r w:rsidR="0062350D">
        <w:t xml:space="preserve"> </w:t>
      </w:r>
      <w:r w:rsidRPr="0062350D">
        <w:t>2</w:t>
      </w:r>
      <w:r w:rsidR="0062350D">
        <w:t xml:space="preserve"> </w:t>
      </w:r>
      <w:r w:rsidRPr="0062350D">
        <w:t>(3)</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without</w:t>
      </w:r>
      <w:r w:rsidR="0062350D">
        <w:t xml:space="preserve"> </w:t>
      </w:r>
      <w:r w:rsidRPr="0062350D">
        <w:t>making</w:t>
      </w:r>
      <w:r w:rsidR="0062350D">
        <w:t xml:space="preserve"> </w:t>
      </w:r>
      <w:r w:rsidRPr="0062350D">
        <w:t>any</w:t>
      </w:r>
      <w:r w:rsidR="0062350D">
        <w:t xml:space="preserve"> </w:t>
      </w:r>
      <w:r w:rsidRPr="0062350D">
        <w:t>specific</w:t>
      </w:r>
      <w:r w:rsidR="0062350D">
        <w:t xml:space="preserve"> </w:t>
      </w:r>
      <w:r w:rsidRPr="0062350D">
        <w:t>claim.</w:t>
      </w:r>
      <w:r w:rsidR="0062350D">
        <w:t xml:space="preserve"> </w:t>
      </w:r>
      <w:r w:rsidRPr="0062350D">
        <w:t>As</w:t>
      </w:r>
      <w:r w:rsidR="0062350D">
        <w:t xml:space="preserve"> </w:t>
      </w:r>
      <w:r w:rsidRPr="0062350D">
        <w:t>remedies,</w:t>
      </w:r>
      <w:r w:rsidR="0062350D">
        <w:t xml:space="preserve"> </w:t>
      </w:r>
      <w:r w:rsidRPr="0062350D">
        <w:t>they</w:t>
      </w:r>
      <w:r w:rsidR="0062350D">
        <w:t xml:space="preserve"> </w:t>
      </w:r>
      <w:r w:rsidRPr="0062350D">
        <w:t>request</w:t>
      </w:r>
      <w:r w:rsidR="0062350D">
        <w:t xml:space="preserve"> </w:t>
      </w:r>
      <w:r w:rsidRPr="0062350D">
        <w:t>that</w:t>
      </w:r>
      <w:r w:rsidR="0062350D">
        <w:t xml:space="preserve"> </w:t>
      </w:r>
      <w:r w:rsidRPr="0062350D">
        <w:t>he</w:t>
      </w:r>
      <w:r w:rsidR="0062350D">
        <w:t xml:space="preserve"> </w:t>
      </w:r>
      <w:r w:rsidRPr="0062350D">
        <w:t>State</w:t>
      </w:r>
      <w:r w:rsidR="0062350D">
        <w:t xml:space="preserve"> </w:t>
      </w:r>
      <w:r w:rsidRPr="0062350D">
        <w:t>party</w:t>
      </w:r>
      <w:r w:rsidR="0062350D">
        <w:t xml:space="preserve"> </w:t>
      </w:r>
      <w:r w:rsidRPr="0062350D">
        <w:t>acknowledge</w:t>
      </w:r>
      <w:r w:rsidR="0062350D">
        <w:t xml:space="preserve"> </w:t>
      </w:r>
      <w:r w:rsidRPr="0062350D">
        <w:t>the</w:t>
      </w:r>
      <w:r w:rsidR="0062350D">
        <w:t xml:space="preserve"> </w:t>
      </w:r>
      <w:r w:rsidRPr="0062350D">
        <w:t>violations</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apologize</w:t>
      </w:r>
      <w:r w:rsidR="0062350D">
        <w:t xml:space="preserve"> </w:t>
      </w:r>
      <w:r w:rsidRPr="0062350D">
        <w:t>to</w:t>
      </w:r>
      <w:r w:rsidR="0062350D">
        <w:t xml:space="preserve"> </w:t>
      </w:r>
      <w:r w:rsidRPr="0062350D">
        <w:t>them</w:t>
      </w:r>
      <w:r w:rsidR="0062350D">
        <w:t xml:space="preserve"> </w:t>
      </w:r>
      <w:r w:rsidRPr="0062350D">
        <w:t>and</w:t>
      </w:r>
      <w:r w:rsidR="0062350D">
        <w:t xml:space="preserve"> </w:t>
      </w:r>
      <w:r w:rsidRPr="0062350D">
        <w:t>provide</w:t>
      </w:r>
      <w:r w:rsidR="0062350D">
        <w:t xml:space="preserve"> </w:t>
      </w:r>
      <w:r w:rsidRPr="0062350D">
        <w:t>them</w:t>
      </w:r>
      <w:r w:rsidR="0062350D">
        <w:t xml:space="preserve"> </w:t>
      </w:r>
      <w:r w:rsidRPr="0062350D">
        <w:t>with</w:t>
      </w:r>
      <w:r w:rsidR="0062350D">
        <w:t xml:space="preserve"> </w:t>
      </w:r>
      <w:r w:rsidRPr="0062350D">
        <w:t>adequate</w:t>
      </w:r>
      <w:r w:rsidR="0062350D">
        <w:t xml:space="preserve"> </w:t>
      </w:r>
      <w:r w:rsidRPr="0062350D">
        <w:t>compensation</w:t>
      </w:r>
      <w:r w:rsidR="0062350D">
        <w:t xml:space="preserve"> </w:t>
      </w:r>
      <w:r w:rsidRPr="0062350D">
        <w:t>and</w:t>
      </w:r>
      <w:r w:rsidR="0062350D">
        <w:t xml:space="preserve"> </w:t>
      </w:r>
      <w:r w:rsidRPr="0062350D">
        <w:t>reparation.</w:t>
      </w:r>
    </w:p>
    <w:p w14:paraId="7B804BEB" w14:textId="13F15019" w:rsidR="007F12C3" w:rsidRPr="0062350D" w:rsidRDefault="0062350D" w:rsidP="0062350D">
      <w:pPr>
        <w:pStyle w:val="H23G"/>
      </w:pPr>
      <w:r w:rsidRPr="0062350D">
        <w:tab/>
      </w:r>
      <w:r w:rsidRPr="0062350D">
        <w:tab/>
      </w:r>
      <w:r w:rsidR="007F12C3" w:rsidRPr="0062350D">
        <w:t>State</w:t>
      </w:r>
      <w:r>
        <w:t xml:space="preserve"> </w:t>
      </w:r>
      <w:r w:rsidR="007F12C3" w:rsidRPr="0062350D">
        <w:t>party</w:t>
      </w:r>
      <w:r w:rsidRPr="0062350D">
        <w:t>’</w:t>
      </w:r>
      <w:r w:rsidR="007F12C3" w:rsidRPr="0062350D">
        <w:t>s</w:t>
      </w:r>
      <w:r>
        <w:t xml:space="preserve"> </w:t>
      </w:r>
      <w:r w:rsidR="007F12C3" w:rsidRPr="0062350D">
        <w:t>observations</w:t>
      </w:r>
      <w:r>
        <w:t xml:space="preserve"> </w:t>
      </w:r>
      <w:r w:rsidR="007F12C3" w:rsidRPr="0062350D">
        <w:t>on</w:t>
      </w:r>
      <w:r>
        <w:t xml:space="preserve"> </w:t>
      </w:r>
      <w:r w:rsidR="007F12C3" w:rsidRPr="0062350D">
        <w:t>admissibility</w:t>
      </w:r>
      <w:r>
        <w:t xml:space="preserve"> </w:t>
      </w:r>
      <w:r w:rsidR="007F12C3" w:rsidRPr="0062350D">
        <w:t>and</w:t>
      </w:r>
      <w:r>
        <w:t xml:space="preserve"> </w:t>
      </w:r>
      <w:r w:rsidR="007F12C3" w:rsidRPr="0062350D">
        <w:t>the</w:t>
      </w:r>
      <w:r>
        <w:t xml:space="preserve"> </w:t>
      </w:r>
      <w:r w:rsidR="007F12C3" w:rsidRPr="0062350D">
        <w:t>merits</w:t>
      </w:r>
    </w:p>
    <w:p w14:paraId="03ED67F7" w14:textId="57CF77E0" w:rsidR="007F12C3" w:rsidRPr="0062350D" w:rsidRDefault="007F12C3" w:rsidP="005D6A3F">
      <w:pPr>
        <w:pStyle w:val="SingleTxtG"/>
      </w:pPr>
      <w:r w:rsidRPr="0062350D">
        <w:t>4.1</w:t>
      </w:r>
      <w:r w:rsidRPr="0062350D">
        <w:tab/>
        <w:t>In</w:t>
      </w:r>
      <w:r w:rsidR="0062350D">
        <w:t xml:space="preserve"> </w:t>
      </w:r>
      <w:r w:rsidRPr="0062350D">
        <w:t>a</w:t>
      </w:r>
      <w:r w:rsidR="0062350D">
        <w:t xml:space="preserve"> </w:t>
      </w:r>
      <w:r w:rsidRPr="0062350D">
        <w:t>note</w:t>
      </w:r>
      <w:r w:rsidR="0062350D">
        <w:t xml:space="preserve"> </w:t>
      </w:r>
      <w:r w:rsidRPr="0062350D">
        <w:t>verbale</w:t>
      </w:r>
      <w:r w:rsidR="0062350D">
        <w:t xml:space="preserve"> </w:t>
      </w:r>
      <w:r w:rsidRPr="0062350D">
        <w:t>dated</w:t>
      </w:r>
      <w:r w:rsidR="0062350D">
        <w:t xml:space="preserve"> </w:t>
      </w:r>
      <w:r w:rsidRPr="0062350D">
        <w:t>22</w:t>
      </w:r>
      <w:r w:rsidR="0062350D">
        <w:t xml:space="preserve"> </w:t>
      </w:r>
      <w:r w:rsidRPr="0062350D">
        <w:t>June</w:t>
      </w:r>
      <w:r w:rsidR="0062350D">
        <w:t xml:space="preserve"> </w:t>
      </w:r>
      <w:r w:rsidRPr="0062350D">
        <w:t>2016,</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submitted</w:t>
      </w:r>
      <w:r w:rsidR="0062350D">
        <w:t xml:space="preserve"> </w:t>
      </w:r>
      <w:r w:rsidRPr="0062350D">
        <w:t>its</w:t>
      </w:r>
      <w:r w:rsidR="0062350D">
        <w:t xml:space="preserve"> </w:t>
      </w:r>
      <w:r w:rsidRPr="0062350D">
        <w:t>observations</w:t>
      </w:r>
      <w:r w:rsidR="0062350D">
        <w:t xml:space="preserve"> </w:t>
      </w:r>
      <w:r w:rsidRPr="0062350D">
        <w:t>on</w:t>
      </w:r>
      <w:r w:rsidR="0062350D">
        <w:t xml:space="preserve"> </w:t>
      </w:r>
      <w:r w:rsidRPr="0062350D">
        <w:t>the</w:t>
      </w:r>
      <w:r w:rsidR="0062350D">
        <w:t xml:space="preserve"> </w:t>
      </w:r>
      <w:r w:rsidRPr="0062350D">
        <w:t>admissibility</w:t>
      </w:r>
      <w:r w:rsidR="0062350D">
        <w:t xml:space="preserve"> </w:t>
      </w:r>
      <w:r w:rsidRPr="0062350D">
        <w:t>and</w:t>
      </w:r>
      <w:r w:rsidR="0062350D">
        <w:t xml:space="preserve"> </w:t>
      </w:r>
      <w:r w:rsidRPr="0062350D">
        <w:t>the</w:t>
      </w:r>
      <w:r w:rsidR="0062350D">
        <w:t xml:space="preserve"> </w:t>
      </w:r>
      <w:r w:rsidRPr="0062350D">
        <w:t>merits</w:t>
      </w:r>
      <w:r w:rsidR="0062350D">
        <w:t xml:space="preserve"> </w:t>
      </w:r>
      <w:r w:rsidRPr="0062350D">
        <w:t>of</w:t>
      </w:r>
      <w:r w:rsidR="0062350D">
        <w:t xml:space="preserve"> </w:t>
      </w:r>
      <w:r w:rsidRPr="0062350D">
        <w:t>the</w:t>
      </w:r>
      <w:r w:rsidR="0062350D">
        <w:t xml:space="preserve"> </w:t>
      </w:r>
      <w:r w:rsidRPr="0062350D">
        <w:t>present</w:t>
      </w:r>
      <w:r w:rsidR="0062350D">
        <w:t xml:space="preserve"> </w:t>
      </w:r>
      <w:r w:rsidRPr="0062350D">
        <w:t>communication.</w:t>
      </w:r>
    </w:p>
    <w:p w14:paraId="45BA304B" w14:textId="19E95D48" w:rsidR="007F12C3" w:rsidRPr="0062350D" w:rsidRDefault="007F12C3" w:rsidP="005D6A3F">
      <w:pPr>
        <w:pStyle w:val="SingleTxtG"/>
      </w:pPr>
      <w:r w:rsidRPr="0062350D">
        <w:t>4.2</w:t>
      </w:r>
      <w:r w:rsidRPr="0062350D">
        <w:tab/>
        <w:t>The</w:t>
      </w:r>
      <w:r w:rsidR="0062350D">
        <w:t xml:space="preserve"> </w:t>
      </w:r>
      <w:r w:rsidRPr="0062350D">
        <w:t>State</w:t>
      </w:r>
      <w:r w:rsidR="0062350D">
        <w:t xml:space="preserve"> </w:t>
      </w:r>
      <w:r w:rsidRPr="0062350D">
        <w:t>party</w:t>
      </w:r>
      <w:r w:rsidR="0062350D">
        <w:t xml:space="preserve"> </w:t>
      </w:r>
      <w:r w:rsidRPr="0062350D">
        <w:t>recalls</w:t>
      </w:r>
      <w:r w:rsidR="0062350D">
        <w:t xml:space="preserve"> </w:t>
      </w:r>
      <w:r w:rsidRPr="0062350D">
        <w:t>the</w:t>
      </w:r>
      <w:r w:rsidR="0062350D">
        <w:t xml:space="preserve"> </w:t>
      </w:r>
      <w:r w:rsidRPr="0062350D">
        <w:t>facts</w:t>
      </w:r>
      <w:r w:rsidR="0062350D">
        <w:t xml:space="preserve"> </w:t>
      </w:r>
      <w:r w:rsidRPr="0062350D">
        <w:t>of</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on</w:t>
      </w:r>
      <w:r w:rsidR="0062350D">
        <w:t xml:space="preserve"> </w:t>
      </w:r>
      <w:r w:rsidRPr="0062350D">
        <w:t>which</w:t>
      </w:r>
      <w:r w:rsidR="0062350D">
        <w:t xml:space="preserve"> </w:t>
      </w:r>
      <w:r w:rsidRPr="0062350D">
        <w:t>the</w:t>
      </w:r>
      <w:r w:rsidR="0062350D">
        <w:t xml:space="preserve"> </w:t>
      </w:r>
      <w:r w:rsidRPr="0062350D">
        <w:t>present</w:t>
      </w:r>
      <w:r w:rsidR="0062350D">
        <w:t xml:space="preserve"> </w:t>
      </w:r>
      <w:r w:rsidRPr="0062350D">
        <w:t>communication</w:t>
      </w:r>
      <w:r w:rsidR="0062350D">
        <w:t xml:space="preserve"> </w:t>
      </w:r>
      <w:r w:rsidRPr="0062350D">
        <w:t>is</w:t>
      </w:r>
      <w:r w:rsidR="0062350D">
        <w:t xml:space="preserve"> </w:t>
      </w:r>
      <w:r w:rsidRPr="0062350D">
        <w:t>based</w:t>
      </w:r>
      <w:r w:rsidR="0062350D">
        <w:t xml:space="preserve"> </w:t>
      </w:r>
      <w:r w:rsidRPr="0062350D">
        <w:t>and</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communication</w:t>
      </w:r>
      <w:r w:rsidR="0062350D">
        <w:t xml:space="preserve"> </w:t>
      </w:r>
      <w:r w:rsidRPr="0062350D">
        <w:t>should</w:t>
      </w:r>
      <w:r w:rsidR="0062350D">
        <w:t xml:space="preserve"> </w:t>
      </w:r>
      <w:r w:rsidRPr="0062350D">
        <w:t>be</w:t>
      </w:r>
      <w:r w:rsidR="0062350D">
        <w:t xml:space="preserve"> </w:t>
      </w:r>
      <w:r w:rsidRPr="0062350D">
        <w:t>declared</w:t>
      </w:r>
      <w:r w:rsidR="0062350D">
        <w:t xml:space="preserve"> </w:t>
      </w:r>
      <w:r w:rsidRPr="0062350D">
        <w:t>inadmissible.</w:t>
      </w:r>
      <w:r w:rsidR="0062350D">
        <w:t xml:space="preserve"> </w:t>
      </w:r>
      <w:r w:rsidRPr="0062350D">
        <w:t>Should</w:t>
      </w:r>
      <w:r w:rsidR="0062350D">
        <w:t xml:space="preserve"> </w:t>
      </w:r>
      <w:r w:rsidRPr="0062350D">
        <w:t>the</w:t>
      </w:r>
      <w:r w:rsidR="0062350D">
        <w:t xml:space="preserve"> </w:t>
      </w:r>
      <w:r w:rsidRPr="0062350D">
        <w:t>Committee</w:t>
      </w:r>
      <w:r w:rsidR="0062350D">
        <w:t xml:space="preserve"> </w:t>
      </w:r>
      <w:r w:rsidRPr="0062350D">
        <w:t>declare</w:t>
      </w:r>
      <w:r w:rsidR="0062350D">
        <w:t xml:space="preserve"> </w:t>
      </w:r>
      <w:r w:rsidRPr="0062350D">
        <w:t>the</w:t>
      </w:r>
      <w:r w:rsidR="0062350D">
        <w:t xml:space="preserve"> </w:t>
      </w:r>
      <w:r w:rsidRPr="0062350D">
        <w:t>communication</w:t>
      </w:r>
      <w:r w:rsidR="0062350D">
        <w:t xml:space="preserve"> </w:t>
      </w:r>
      <w:r w:rsidRPr="0062350D">
        <w:t>admissible,</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are</w:t>
      </w:r>
      <w:r w:rsidR="0062350D">
        <w:t xml:space="preserve"> </w:t>
      </w:r>
      <w:r w:rsidRPr="0062350D">
        <w:t>without</w:t>
      </w:r>
      <w:r w:rsidR="0062350D">
        <w:t xml:space="preserve"> </w:t>
      </w:r>
      <w:r w:rsidRPr="0062350D">
        <w:t>merit.</w:t>
      </w:r>
    </w:p>
    <w:p w14:paraId="7BBA0ADC" w14:textId="72F419E4" w:rsidR="0062350D" w:rsidRPr="0062350D" w:rsidRDefault="007F12C3" w:rsidP="005D6A3F">
      <w:pPr>
        <w:pStyle w:val="SingleTxtG"/>
      </w:pPr>
      <w:r w:rsidRPr="0062350D">
        <w:t>4.3</w:t>
      </w:r>
      <w:r w:rsidRPr="0062350D">
        <w:tab/>
        <w:t>The</w:t>
      </w:r>
      <w:r w:rsidR="0062350D">
        <w:t xml:space="preserve"> </w:t>
      </w:r>
      <w:r w:rsidRPr="0062350D">
        <w:t>State</w:t>
      </w:r>
      <w:r w:rsidR="0062350D">
        <w:t xml:space="preserve"> </w:t>
      </w:r>
      <w:r w:rsidRPr="0062350D">
        <w:t>party</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under</w:t>
      </w:r>
      <w:r w:rsidR="0062350D">
        <w:t xml:space="preserve"> </w:t>
      </w:r>
      <w:r w:rsidRPr="0062350D">
        <w:t>articles</w:t>
      </w:r>
      <w:r w:rsidR="0062350D">
        <w:t xml:space="preserve"> </w:t>
      </w:r>
      <w:r w:rsidRPr="0062350D">
        <w:t>2</w:t>
      </w:r>
      <w:r w:rsidR="0062350D">
        <w:t xml:space="preserve"> </w:t>
      </w:r>
      <w:r w:rsidRPr="0062350D">
        <w:t>(3),</w:t>
      </w:r>
      <w:r w:rsidR="0062350D">
        <w:rPr>
          <w:rFonts w:eastAsia="MS Mincho"/>
        </w:rPr>
        <w:t xml:space="preserve"> </w:t>
      </w:r>
      <w:r w:rsidRPr="0062350D">
        <w:rPr>
          <w:rFonts w:eastAsia="MS Mincho"/>
        </w:rPr>
        <w:t>7,</w:t>
      </w:r>
      <w:r w:rsidR="0062350D">
        <w:rPr>
          <w:rFonts w:eastAsia="MS Mincho"/>
        </w:rPr>
        <w:t xml:space="preserve"> </w:t>
      </w:r>
      <w:r w:rsidRPr="0062350D">
        <w:rPr>
          <w:rFonts w:eastAsia="MS Mincho"/>
        </w:rPr>
        <w:t>9,</w:t>
      </w:r>
      <w:r w:rsidR="0062350D">
        <w:rPr>
          <w:rFonts w:eastAsia="MS Mincho"/>
        </w:rPr>
        <w:t xml:space="preserve"> </w:t>
      </w:r>
      <w:r w:rsidRPr="0062350D">
        <w:rPr>
          <w:rFonts w:eastAsia="MS Mincho"/>
        </w:rPr>
        <w:t>10,</w:t>
      </w:r>
      <w:r w:rsidR="0062350D">
        <w:rPr>
          <w:rFonts w:eastAsia="MS Mincho"/>
        </w:rPr>
        <w:t xml:space="preserve"> </w:t>
      </w:r>
      <w:r w:rsidRPr="0062350D">
        <w:rPr>
          <w:rFonts w:eastAsia="MS Mincho"/>
        </w:rPr>
        <w:t>17,</w:t>
      </w:r>
      <w:r w:rsidR="0062350D">
        <w:rPr>
          <w:rFonts w:eastAsia="MS Mincho"/>
        </w:rPr>
        <w:t xml:space="preserve"> </w:t>
      </w:r>
      <w:r w:rsidRPr="0062350D">
        <w:rPr>
          <w:rFonts w:eastAsia="MS Mincho"/>
        </w:rPr>
        <w:t>23</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24</w:t>
      </w:r>
      <w:r w:rsidR="0062350D">
        <w:t xml:space="preserve"> </w:t>
      </w:r>
      <w:r w:rsidRPr="0062350D">
        <w:t>regarding</w:t>
      </w:r>
      <w:r w:rsidR="0062350D">
        <w:t xml:space="preserve"> </w:t>
      </w:r>
      <w:r w:rsidRPr="0062350D">
        <w:t>their</w:t>
      </w:r>
      <w:r w:rsidR="0062350D">
        <w:t xml:space="preserve"> </w:t>
      </w:r>
      <w:r w:rsidRPr="0062350D">
        <w:t>potential</w:t>
      </w:r>
      <w:r w:rsidR="0062350D">
        <w:t xml:space="preserve"> </w:t>
      </w:r>
      <w:r w:rsidRPr="0062350D">
        <w:t>transfer</w:t>
      </w:r>
      <w:r w:rsidR="0062350D">
        <w:t xml:space="preserve"> </w:t>
      </w:r>
      <w:r w:rsidRPr="0062350D">
        <w:t>from</w:t>
      </w:r>
      <w:r w:rsidR="0062350D">
        <w:t xml:space="preserve"> </w:t>
      </w:r>
      <w:r w:rsidRPr="0062350D">
        <w:t>Christmas</w:t>
      </w:r>
      <w:r w:rsidR="0062350D">
        <w:t xml:space="preserve"> </w:t>
      </w:r>
      <w:r w:rsidRPr="0062350D">
        <w:t>Island</w:t>
      </w:r>
      <w:r w:rsidR="0062350D">
        <w:t xml:space="preserve"> </w:t>
      </w:r>
      <w:r w:rsidRPr="0062350D">
        <w:t>to</w:t>
      </w:r>
      <w:r w:rsidR="0062350D">
        <w:t xml:space="preserve"> </w:t>
      </w:r>
      <w:r w:rsidRPr="0062350D">
        <w:t>Nauru</w:t>
      </w:r>
      <w:r w:rsidR="0062350D">
        <w:t xml:space="preserve"> </w:t>
      </w:r>
      <w:r w:rsidRPr="0062350D">
        <w:t>are</w:t>
      </w:r>
      <w:r w:rsidR="0062350D">
        <w:t xml:space="preserve"> </w:t>
      </w:r>
      <w:r w:rsidRPr="0062350D">
        <w:t>either</w:t>
      </w:r>
      <w:r w:rsidR="0062350D">
        <w:t xml:space="preserve"> </w:t>
      </w:r>
      <w:r w:rsidRPr="0062350D">
        <w:t>inadmissible</w:t>
      </w:r>
      <w:r w:rsidR="0062350D">
        <w:t xml:space="preserve"> </w:t>
      </w:r>
      <w:r w:rsidRPr="0062350D">
        <w:rPr>
          <w:i/>
        </w:rPr>
        <w:t>ratione</w:t>
      </w:r>
      <w:r w:rsidR="0062350D">
        <w:rPr>
          <w:i/>
        </w:rPr>
        <w:t xml:space="preserve"> </w:t>
      </w:r>
      <w:r w:rsidRPr="0062350D">
        <w:rPr>
          <w:i/>
        </w:rPr>
        <w:t>materiae</w:t>
      </w:r>
      <w:r w:rsidR="0062350D">
        <w:t xml:space="preserve"> </w:t>
      </w:r>
      <w:r w:rsidRPr="0062350D">
        <w:t>or</w:t>
      </w:r>
      <w:r w:rsidR="0062350D">
        <w:t xml:space="preserve"> </w:t>
      </w:r>
      <w:r w:rsidRPr="0062350D">
        <w:t>not</w:t>
      </w:r>
      <w:r w:rsidR="0062350D">
        <w:t xml:space="preserve"> </w:t>
      </w:r>
      <w:r w:rsidRPr="0062350D">
        <w:t>properly</w:t>
      </w:r>
      <w:r w:rsidR="0062350D">
        <w:t xml:space="preserve"> </w:t>
      </w:r>
      <w:r w:rsidRPr="0062350D">
        <w:t>substantiated.</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indicates</w:t>
      </w:r>
      <w:r w:rsidR="0062350D">
        <w:t xml:space="preserve"> </w:t>
      </w:r>
      <w:r w:rsidRPr="0062350D">
        <w:t>that</w:t>
      </w:r>
      <w:r w:rsidR="0062350D">
        <w:t xml:space="preserve"> </w:t>
      </w:r>
      <w:r w:rsidRPr="0062350D">
        <w:t>claims</w:t>
      </w:r>
      <w:r w:rsidR="0062350D">
        <w:t xml:space="preserve"> </w:t>
      </w:r>
      <w:r w:rsidRPr="0062350D">
        <w:t>regarding</w:t>
      </w:r>
      <w:r w:rsidR="0062350D">
        <w:t xml:space="preserve"> </w:t>
      </w:r>
      <w:r w:rsidRPr="0062350D">
        <w:t>conditions</w:t>
      </w:r>
      <w:r w:rsidR="0062350D">
        <w:t xml:space="preserve"> </w:t>
      </w:r>
      <w:r w:rsidRPr="0062350D">
        <w:t>of</w:t>
      </w:r>
      <w:r w:rsidR="0062350D">
        <w:t xml:space="preserve"> </w:t>
      </w:r>
      <w:r w:rsidRPr="0062350D">
        <w:t>living</w:t>
      </w:r>
      <w:r w:rsidR="0062350D">
        <w:t xml:space="preserve"> </w:t>
      </w:r>
      <w:r w:rsidRPr="0062350D">
        <w:t>in</w:t>
      </w:r>
      <w:r w:rsidR="0062350D">
        <w:t xml:space="preserve"> </w:t>
      </w:r>
      <w:r w:rsidRPr="0062350D">
        <w:t>Nauru</w:t>
      </w:r>
      <w:r w:rsidR="0062350D">
        <w:t xml:space="preserve"> </w:t>
      </w:r>
      <w:r w:rsidRPr="0062350D">
        <w:t>are</w:t>
      </w:r>
      <w:r w:rsidR="0062350D">
        <w:t xml:space="preserve"> </w:t>
      </w:r>
      <w:r w:rsidRPr="0062350D">
        <w:t>matters</w:t>
      </w:r>
      <w:r w:rsidR="0062350D">
        <w:t xml:space="preserve"> </w:t>
      </w:r>
      <w:r w:rsidRPr="0062350D">
        <w:t>for</w:t>
      </w:r>
      <w:r w:rsidR="0062350D">
        <w:t xml:space="preserve"> </w:t>
      </w:r>
      <w:r w:rsidRPr="0062350D">
        <w:t>the</w:t>
      </w:r>
      <w:r w:rsidR="0062350D">
        <w:t xml:space="preserve"> </w:t>
      </w:r>
      <w:r w:rsidRPr="0062350D">
        <w:t>sovereign</w:t>
      </w:r>
      <w:r w:rsidR="0062350D">
        <w:t xml:space="preserve"> </w:t>
      </w:r>
      <w:r w:rsidRPr="0062350D">
        <w:t>Government</w:t>
      </w:r>
      <w:r w:rsidR="0062350D">
        <w:t xml:space="preserve"> </w:t>
      </w:r>
      <w:r w:rsidRPr="0062350D">
        <w:t>of</w:t>
      </w:r>
      <w:r w:rsidR="0062350D">
        <w:t xml:space="preserve"> </w:t>
      </w:r>
      <w:r w:rsidRPr="0062350D">
        <w:t>this</w:t>
      </w:r>
      <w:r w:rsidR="0062350D">
        <w:t xml:space="preserve"> </w:t>
      </w:r>
      <w:r w:rsidRPr="0062350D">
        <w:t>State.</w:t>
      </w:r>
      <w:r w:rsidR="0062350D">
        <w:t xml:space="preserve"> </w:t>
      </w:r>
      <w:r w:rsidRPr="0062350D">
        <w:t>Furthermore,</w:t>
      </w:r>
      <w:r w:rsidR="0062350D">
        <w:t xml:space="preserve"> </w:t>
      </w:r>
      <w:r w:rsidRPr="0062350D">
        <w:t>there</w:t>
      </w:r>
      <w:r w:rsidR="0062350D">
        <w:t xml:space="preserve"> </w:t>
      </w:r>
      <w:r w:rsidRPr="0062350D">
        <w:t>was</w:t>
      </w:r>
      <w:r w:rsidR="0062350D">
        <w:t xml:space="preserve"> </w:t>
      </w:r>
      <w:r w:rsidRPr="0062350D">
        <w:t>no</w:t>
      </w:r>
      <w:r w:rsidR="0062350D">
        <w:t xml:space="preserve"> </w:t>
      </w:r>
      <w:r w:rsidRPr="0062350D">
        <w:t>intention</w:t>
      </w:r>
      <w:r w:rsidR="0062350D">
        <w:t xml:space="preserve"> </w:t>
      </w:r>
      <w:r w:rsidRPr="0062350D">
        <w:t>to</w:t>
      </w:r>
      <w:r w:rsidR="0062350D">
        <w:t xml:space="preserve"> </w:t>
      </w:r>
      <w:r w:rsidRPr="0062350D">
        <w:t>transfer</w:t>
      </w:r>
      <w:r w:rsidR="0062350D">
        <w:t xml:space="preserve"> </w:t>
      </w:r>
      <w:r w:rsidRPr="0062350D">
        <w:t>the</w:t>
      </w:r>
      <w:r w:rsidR="0062350D">
        <w:t xml:space="preserve"> </w:t>
      </w:r>
      <w:r w:rsidRPr="0062350D">
        <w:t>authors</w:t>
      </w:r>
      <w:r w:rsidR="0062350D">
        <w:t xml:space="preserve"> </w:t>
      </w:r>
      <w:r w:rsidRPr="0062350D">
        <w:t>to</w:t>
      </w:r>
      <w:r w:rsidR="0062350D">
        <w:t xml:space="preserve"> </w:t>
      </w:r>
      <w:r w:rsidRPr="0062350D">
        <w:t>Nauru.</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argues</w:t>
      </w:r>
      <w:r w:rsidR="0062350D">
        <w:t xml:space="preserve"> </w:t>
      </w:r>
      <w:r w:rsidRPr="0062350D">
        <w:t>that,</w:t>
      </w:r>
      <w:r w:rsidR="0062350D">
        <w:t xml:space="preserve"> </w:t>
      </w:r>
      <w:r w:rsidRPr="0062350D">
        <w:t>even</w:t>
      </w:r>
      <w:r w:rsidR="0062350D">
        <w:t xml:space="preserve"> </w:t>
      </w:r>
      <w:r w:rsidRPr="0062350D">
        <w:t>if</w:t>
      </w:r>
      <w:r w:rsidR="0062350D">
        <w:t xml:space="preserve"> </w:t>
      </w:r>
      <w:r w:rsidRPr="0062350D">
        <w:t>there</w:t>
      </w:r>
      <w:r w:rsidR="0062350D">
        <w:t xml:space="preserve"> </w:t>
      </w:r>
      <w:r w:rsidRPr="0062350D">
        <w:t>was</w:t>
      </w:r>
      <w:r w:rsidR="0062350D">
        <w:t xml:space="preserve"> </w:t>
      </w:r>
      <w:r w:rsidRPr="0062350D">
        <w:t>a</w:t>
      </w:r>
      <w:r w:rsidR="0062350D">
        <w:t xml:space="preserve"> </w:t>
      </w:r>
      <w:r w:rsidRPr="0062350D">
        <w:t>decision</w:t>
      </w:r>
      <w:r w:rsidR="0062350D">
        <w:t xml:space="preserve"> </w:t>
      </w:r>
      <w:r w:rsidRPr="0062350D">
        <w:t>to</w:t>
      </w:r>
      <w:r w:rsidR="0062350D">
        <w:t xml:space="preserve"> </w:t>
      </w:r>
      <w:r w:rsidRPr="0062350D">
        <w:t>transfer</w:t>
      </w:r>
      <w:r w:rsidR="0062350D">
        <w:t xml:space="preserve"> </w:t>
      </w:r>
      <w:r w:rsidRPr="0062350D">
        <w:t>the</w:t>
      </w:r>
      <w:r w:rsidR="0062350D">
        <w:t xml:space="preserve"> </w:t>
      </w:r>
      <w:r w:rsidRPr="0062350D">
        <w:t>authors,</w:t>
      </w:r>
      <w:r w:rsidR="0062350D">
        <w:t xml:space="preserve"> </w:t>
      </w:r>
      <w:r w:rsidRPr="0062350D">
        <w:t>the</w:t>
      </w:r>
      <w:r w:rsidR="0062350D">
        <w:t xml:space="preserve"> </w:t>
      </w:r>
      <w:r w:rsidRPr="0062350D">
        <w:t>obligations</w:t>
      </w:r>
      <w:r w:rsidR="0062350D">
        <w:t xml:space="preserve"> </w:t>
      </w:r>
      <w:r w:rsidRPr="0062350D">
        <w:t>of</w:t>
      </w:r>
      <w:r w:rsidR="0062350D">
        <w:t xml:space="preserve"> </w:t>
      </w:r>
      <w:r w:rsidRPr="0062350D">
        <w:t>non-refoulement</w:t>
      </w:r>
      <w:r w:rsidR="0062350D">
        <w:t xml:space="preserve"> </w:t>
      </w:r>
      <w:r w:rsidRPr="0062350D">
        <w:t>under</w:t>
      </w:r>
      <w:r w:rsidR="0062350D">
        <w:t xml:space="preserve"> </w:t>
      </w:r>
      <w:r w:rsidRPr="0062350D">
        <w:t>articles</w:t>
      </w:r>
      <w:r w:rsidR="0062350D">
        <w:t xml:space="preserve"> </w:t>
      </w:r>
      <w:r w:rsidRPr="0062350D">
        <w:t>6</w:t>
      </w:r>
      <w:r w:rsidR="0062350D">
        <w:t xml:space="preserve"> </w:t>
      </w:r>
      <w:r w:rsidRPr="0062350D">
        <w:t>and</w:t>
      </w:r>
      <w:r w:rsidR="0062350D">
        <w:t xml:space="preserve"> </w:t>
      </w:r>
      <w:r w:rsidRPr="0062350D">
        <w:t>7</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would</w:t>
      </w:r>
      <w:r w:rsidR="0062350D">
        <w:t xml:space="preserve"> </w:t>
      </w:r>
      <w:r w:rsidRPr="0062350D">
        <w:t>not</w:t>
      </w:r>
      <w:r w:rsidR="0062350D">
        <w:t xml:space="preserve"> </w:t>
      </w:r>
      <w:r w:rsidRPr="0062350D">
        <w:t>be</w:t>
      </w:r>
      <w:r w:rsidR="0062350D">
        <w:t xml:space="preserve"> </w:t>
      </w:r>
      <w:r w:rsidRPr="0062350D">
        <w:t>triggered</w:t>
      </w:r>
      <w:r w:rsidR="0062350D">
        <w:t xml:space="preserve"> </w:t>
      </w:r>
      <w:r w:rsidRPr="0062350D">
        <w:t>as</w:t>
      </w:r>
      <w:r w:rsidR="0062350D">
        <w:t xml:space="preserve"> </w:t>
      </w:r>
      <w:r w:rsidRPr="0062350D">
        <w:t>there</w:t>
      </w:r>
      <w:r w:rsidR="0062350D">
        <w:t xml:space="preserve"> </w:t>
      </w:r>
      <w:r w:rsidRPr="0062350D">
        <w:t>is</w:t>
      </w:r>
      <w:r w:rsidR="0062350D">
        <w:t xml:space="preserve"> </w:t>
      </w:r>
      <w:r w:rsidRPr="0062350D">
        <w:t>no</w:t>
      </w:r>
      <w:r w:rsidR="0062350D">
        <w:t xml:space="preserve"> </w:t>
      </w:r>
      <w:r w:rsidRPr="0062350D">
        <w:t>real</w:t>
      </w:r>
      <w:r w:rsidR="0062350D">
        <w:t xml:space="preserve"> </w:t>
      </w:r>
      <w:r w:rsidRPr="0062350D">
        <w:t>risk</w:t>
      </w:r>
      <w:r w:rsidR="0062350D">
        <w:t xml:space="preserve"> </w:t>
      </w:r>
      <w:r w:rsidRPr="0062350D">
        <w:t>of</w:t>
      </w:r>
      <w:r w:rsidR="0062350D">
        <w:t xml:space="preserve"> </w:t>
      </w:r>
      <w:r w:rsidRPr="0062350D">
        <w:t>irreparable</w:t>
      </w:r>
      <w:r w:rsidR="0062350D">
        <w:t xml:space="preserve"> </w:t>
      </w:r>
      <w:r w:rsidRPr="0062350D">
        <w:t>harm.</w:t>
      </w:r>
      <w:r w:rsidR="0062350D">
        <w:t xml:space="preserve"> </w:t>
      </w:r>
      <w:r w:rsidRPr="0062350D">
        <w:t>The</w:t>
      </w:r>
      <w:r w:rsidR="0062350D">
        <w:t xml:space="preserve"> </w:t>
      </w:r>
      <w:r w:rsidRPr="0062350D">
        <w:t>authors</w:t>
      </w:r>
      <w:r w:rsidR="0062350D">
        <w:t xml:space="preserve"> </w:t>
      </w:r>
      <w:r w:rsidRPr="0062350D">
        <w:t>did</w:t>
      </w:r>
      <w:r w:rsidR="0062350D">
        <w:t xml:space="preserve"> </w:t>
      </w:r>
      <w:r w:rsidRPr="0062350D">
        <w:t>not</w:t>
      </w:r>
      <w:r w:rsidR="0062350D">
        <w:t xml:space="preserve"> </w:t>
      </w:r>
      <w:r w:rsidRPr="0062350D">
        <w:t>provide</w:t>
      </w:r>
      <w:r w:rsidR="0062350D">
        <w:t xml:space="preserve"> </w:t>
      </w:r>
      <w:r w:rsidRPr="0062350D">
        <w:t>sufficient</w:t>
      </w:r>
      <w:r w:rsidR="0062350D">
        <w:t xml:space="preserve"> </w:t>
      </w:r>
      <w:r w:rsidRPr="0062350D">
        <w:t>details</w:t>
      </w:r>
      <w:r w:rsidR="0062350D">
        <w:t xml:space="preserve"> </w:t>
      </w:r>
      <w:r w:rsidRPr="0062350D">
        <w:t>to</w:t>
      </w:r>
      <w:r w:rsidR="0062350D">
        <w:t xml:space="preserve"> </w:t>
      </w:r>
      <w:r w:rsidRPr="0062350D">
        <w:t>substantiate</w:t>
      </w:r>
      <w:r w:rsidR="0062350D">
        <w:t xml:space="preserve"> </w:t>
      </w:r>
      <w:r w:rsidRPr="0062350D">
        <w:t>possible</w:t>
      </w:r>
      <w:r w:rsidR="0062350D">
        <w:t xml:space="preserve"> </w:t>
      </w:r>
      <w:r w:rsidRPr="0062350D">
        <w:t>personal</w:t>
      </w:r>
      <w:r w:rsidR="0062350D">
        <w:t xml:space="preserve"> </w:t>
      </w:r>
      <w:r w:rsidRPr="0062350D">
        <w:t>risks</w:t>
      </w:r>
      <w:r w:rsidR="0062350D">
        <w:t xml:space="preserve"> </w:t>
      </w:r>
      <w:r w:rsidRPr="0062350D">
        <w:t>they</w:t>
      </w:r>
      <w:r w:rsidR="0062350D">
        <w:t xml:space="preserve"> </w:t>
      </w:r>
      <w:r w:rsidRPr="0062350D">
        <w:t>would</w:t>
      </w:r>
      <w:r w:rsidR="0062350D">
        <w:t xml:space="preserve"> </w:t>
      </w:r>
      <w:r w:rsidRPr="0062350D">
        <w:t>face</w:t>
      </w:r>
      <w:r w:rsidR="0062350D">
        <w:t xml:space="preserve"> </w:t>
      </w:r>
      <w:r w:rsidRPr="0062350D">
        <w:t>in</w:t>
      </w:r>
      <w:r w:rsidR="0062350D">
        <w:t xml:space="preserve"> </w:t>
      </w:r>
      <w:r w:rsidRPr="0062350D">
        <w:t>Nauru.</w:t>
      </w:r>
      <w:r w:rsidR="0062350D">
        <w:t xml:space="preserve"> </w:t>
      </w:r>
      <w:r w:rsidRPr="0062350D">
        <w:t>They</w:t>
      </w:r>
      <w:r w:rsidR="0062350D">
        <w:t xml:space="preserve"> </w:t>
      </w:r>
      <w:r w:rsidRPr="0062350D">
        <w:t>made</w:t>
      </w:r>
      <w:r w:rsidR="0062350D">
        <w:t xml:space="preserve"> </w:t>
      </w:r>
      <w:r w:rsidRPr="0062350D">
        <w:t>general</w:t>
      </w:r>
      <w:r w:rsidR="0062350D">
        <w:t xml:space="preserve"> </w:t>
      </w:r>
      <w:r w:rsidRPr="0062350D">
        <w:t>and</w:t>
      </w:r>
      <w:r w:rsidR="0062350D">
        <w:t xml:space="preserve"> </w:t>
      </w:r>
      <w:r w:rsidRPr="0062350D">
        <w:t>vague</w:t>
      </w:r>
      <w:r w:rsidR="0062350D">
        <w:t xml:space="preserve"> </w:t>
      </w:r>
      <w:r w:rsidRPr="0062350D">
        <w:t>claims,</w:t>
      </w:r>
      <w:r w:rsidR="0062350D">
        <w:t xml:space="preserve"> </w:t>
      </w:r>
      <w:r w:rsidRPr="0062350D">
        <w:t>without</w:t>
      </w:r>
      <w:r w:rsidR="0062350D">
        <w:t xml:space="preserve"> </w:t>
      </w:r>
      <w:r w:rsidRPr="0062350D">
        <w:t>referring</w:t>
      </w:r>
      <w:r w:rsidR="0062350D">
        <w:t xml:space="preserve"> </w:t>
      </w:r>
      <w:r w:rsidRPr="0062350D">
        <w:t>to</w:t>
      </w:r>
      <w:r w:rsidR="0062350D">
        <w:t xml:space="preserve"> </w:t>
      </w:r>
      <w:r w:rsidRPr="0062350D">
        <w:t>individual</w:t>
      </w:r>
      <w:r w:rsidR="0062350D">
        <w:t xml:space="preserve"> </w:t>
      </w:r>
      <w:r w:rsidRPr="0062350D">
        <w:t>circumstances</w:t>
      </w:r>
      <w:r w:rsidR="0062350D">
        <w:t xml:space="preserve"> </w:t>
      </w:r>
      <w:r w:rsidRPr="0062350D">
        <w:t>with</w:t>
      </w:r>
      <w:r w:rsidR="0062350D">
        <w:t xml:space="preserve"> </w:t>
      </w:r>
      <w:r w:rsidRPr="0062350D">
        <w:t>respect</w:t>
      </w:r>
      <w:r w:rsidR="0062350D">
        <w:t xml:space="preserve"> </w:t>
      </w:r>
      <w:r w:rsidRPr="0062350D">
        <w:t>to</w:t>
      </w:r>
      <w:r w:rsidR="0062350D">
        <w:t xml:space="preserve"> </w:t>
      </w:r>
      <w:r w:rsidRPr="0062350D">
        <w:t>each</w:t>
      </w:r>
      <w:r w:rsidR="0062350D">
        <w:t xml:space="preserve"> </w:t>
      </w:r>
      <w:r w:rsidRPr="0062350D">
        <w:t>author.</w:t>
      </w:r>
    </w:p>
    <w:p w14:paraId="3F484F22" w14:textId="0D32A811" w:rsidR="0062350D" w:rsidRPr="0062350D" w:rsidRDefault="007F12C3" w:rsidP="005D6A3F">
      <w:pPr>
        <w:pStyle w:val="SingleTxtG"/>
      </w:pPr>
      <w:r w:rsidRPr="0062350D">
        <w:t>4.4</w:t>
      </w:r>
      <w:r w:rsidRPr="0062350D">
        <w:tab/>
        <w:t>The</w:t>
      </w:r>
      <w:r w:rsidR="0062350D">
        <w:t xml:space="preserve"> </w:t>
      </w:r>
      <w:r w:rsidRPr="0062350D">
        <w:t>State</w:t>
      </w:r>
      <w:r w:rsidR="0062350D">
        <w:t xml:space="preserve"> </w:t>
      </w:r>
      <w:r w:rsidRPr="0062350D">
        <w:t>party</w:t>
      </w:r>
      <w:r w:rsidR="0062350D">
        <w:t xml:space="preserve"> </w:t>
      </w:r>
      <w:r w:rsidRPr="0062350D">
        <w:t>further</w:t>
      </w:r>
      <w:r w:rsidR="0062350D">
        <w:t xml:space="preserve"> </w:t>
      </w:r>
      <w:r w:rsidRPr="0062350D">
        <w:t>argues</w:t>
      </w:r>
      <w:r w:rsidR="0062350D">
        <w:t xml:space="preserve"> </w:t>
      </w:r>
      <w:r w:rsidRPr="0062350D">
        <w:t>that</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under</w:t>
      </w:r>
      <w:r w:rsidR="0062350D">
        <w:t xml:space="preserve"> </w:t>
      </w:r>
      <w:r w:rsidRPr="0062350D">
        <w:t>2</w:t>
      </w:r>
      <w:r w:rsidR="0062350D">
        <w:t xml:space="preserve"> </w:t>
      </w:r>
      <w:r w:rsidRPr="0062350D">
        <w:t>(3),</w:t>
      </w:r>
      <w:r w:rsidR="0062350D">
        <w:rPr>
          <w:rFonts w:eastAsia="MS Mincho"/>
        </w:rPr>
        <w:t xml:space="preserve"> </w:t>
      </w:r>
      <w:r w:rsidRPr="0062350D">
        <w:rPr>
          <w:rFonts w:eastAsia="MS Mincho"/>
        </w:rPr>
        <w:t>7,</w:t>
      </w:r>
      <w:r w:rsidR="0062350D">
        <w:rPr>
          <w:rFonts w:eastAsia="MS Mincho"/>
        </w:rPr>
        <w:t xml:space="preserve"> </w:t>
      </w:r>
      <w:r w:rsidRPr="0062350D">
        <w:rPr>
          <w:rFonts w:eastAsia="MS Mincho"/>
        </w:rPr>
        <w:t>9,</w:t>
      </w:r>
      <w:r w:rsidR="0062350D">
        <w:rPr>
          <w:rFonts w:eastAsia="MS Mincho"/>
        </w:rPr>
        <w:t xml:space="preserve"> </w:t>
      </w:r>
      <w:r w:rsidRPr="0062350D">
        <w:rPr>
          <w:rFonts w:eastAsia="MS Mincho"/>
        </w:rPr>
        <w:t>10,</w:t>
      </w:r>
      <w:r w:rsidR="0062350D">
        <w:rPr>
          <w:rFonts w:eastAsia="MS Mincho"/>
        </w:rPr>
        <w:t xml:space="preserve"> </w:t>
      </w:r>
      <w:r w:rsidRPr="0062350D">
        <w:rPr>
          <w:rFonts w:eastAsia="MS Mincho"/>
        </w:rPr>
        <w:t>17,</w:t>
      </w:r>
      <w:r w:rsidR="0062350D">
        <w:rPr>
          <w:rFonts w:eastAsia="MS Mincho"/>
        </w:rPr>
        <w:t xml:space="preserve"> </w:t>
      </w:r>
      <w:r w:rsidRPr="0062350D">
        <w:rPr>
          <w:rFonts w:eastAsia="MS Mincho"/>
        </w:rPr>
        <w:t>23</w:t>
      </w:r>
      <w:r w:rsidR="0062350D">
        <w:rPr>
          <w:rFonts w:eastAsia="MS Mincho"/>
        </w:rPr>
        <w:t xml:space="preserve"> </w:t>
      </w:r>
      <w:r w:rsidRPr="0062350D">
        <w:rPr>
          <w:rFonts w:eastAsia="MS Mincho"/>
        </w:rPr>
        <w:t>and</w:t>
      </w:r>
      <w:r w:rsidR="0062350D">
        <w:rPr>
          <w:rFonts w:eastAsia="MS Mincho"/>
        </w:rPr>
        <w:t xml:space="preserve"> </w:t>
      </w:r>
      <w:r w:rsidRPr="0062350D">
        <w:rPr>
          <w:rFonts w:eastAsia="MS Mincho"/>
        </w:rPr>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concerning</w:t>
      </w:r>
      <w:r w:rsidR="0062350D">
        <w:t xml:space="preserve"> </w:t>
      </w:r>
      <w:r w:rsidRPr="0062350D">
        <w:t>their</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are</w:t>
      </w:r>
      <w:r w:rsidR="0062350D">
        <w:t xml:space="preserve"> </w:t>
      </w:r>
      <w:r w:rsidRPr="0062350D">
        <w:t>insufficiently</w:t>
      </w:r>
      <w:r w:rsidR="0062350D">
        <w:t xml:space="preserve"> </w:t>
      </w:r>
      <w:r w:rsidRPr="0062350D">
        <w:t>substantiated.</w:t>
      </w:r>
    </w:p>
    <w:p w14:paraId="1BB85055" w14:textId="5226E360" w:rsidR="0062350D" w:rsidRPr="0062350D" w:rsidRDefault="007F12C3" w:rsidP="005D6A3F">
      <w:pPr>
        <w:pStyle w:val="SingleTxtG"/>
      </w:pPr>
      <w:r w:rsidRPr="0062350D">
        <w:t>4.5</w:t>
      </w:r>
      <w:r w:rsidRPr="0062350D">
        <w:tab/>
        <w:t>With</w:t>
      </w:r>
      <w:r w:rsidR="0062350D">
        <w:t xml:space="preserve"> </w:t>
      </w:r>
      <w:r w:rsidRPr="0062350D">
        <w:t>respect</w:t>
      </w:r>
      <w:r w:rsidR="0062350D">
        <w:t xml:space="preserve"> </w:t>
      </w:r>
      <w:r w:rsidRPr="0062350D">
        <w:t>to</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7</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did</w:t>
      </w:r>
      <w:r w:rsidR="0062350D">
        <w:t xml:space="preserve"> </w:t>
      </w:r>
      <w:r w:rsidRPr="0062350D">
        <w:t>not</w:t>
      </w:r>
      <w:r w:rsidR="0062350D">
        <w:t xml:space="preserve"> </w:t>
      </w:r>
      <w:r w:rsidRPr="0062350D">
        <w:t>provide</w:t>
      </w:r>
      <w:r w:rsidR="0062350D">
        <w:t xml:space="preserve"> </w:t>
      </w:r>
      <w:r w:rsidRPr="0062350D">
        <w:t>any</w:t>
      </w:r>
      <w:r w:rsidR="0062350D">
        <w:t xml:space="preserve"> </w:t>
      </w:r>
      <w:r w:rsidRPr="0062350D">
        <w:t>evidence</w:t>
      </w:r>
      <w:r w:rsidR="0062350D">
        <w:t xml:space="preserve"> </w:t>
      </w:r>
      <w:r w:rsidRPr="0062350D">
        <w:t>to</w:t>
      </w:r>
      <w:r w:rsidR="0062350D">
        <w:t xml:space="preserve"> </w:t>
      </w:r>
      <w:r w:rsidRPr="0062350D">
        <w:t>support</w:t>
      </w:r>
      <w:r w:rsidR="0062350D">
        <w:t xml:space="preserve"> </w:t>
      </w:r>
      <w:r w:rsidRPr="0062350D">
        <w:t>their</w:t>
      </w:r>
      <w:r w:rsidR="0062350D">
        <w:t xml:space="preserve"> </w:t>
      </w:r>
      <w:r w:rsidRPr="0062350D">
        <w:t>claim</w:t>
      </w:r>
      <w:r w:rsidR="0062350D">
        <w:t xml:space="preserve"> </w:t>
      </w:r>
      <w:r w:rsidRPr="0062350D">
        <w:t>that</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were</w:t>
      </w:r>
      <w:r w:rsidR="0062350D">
        <w:t xml:space="preserve"> </w:t>
      </w:r>
      <w:r w:rsidRPr="0062350D">
        <w:t>inadequate.</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also</w:t>
      </w:r>
      <w:r w:rsidR="0062350D">
        <w:t xml:space="preserve"> </w:t>
      </w:r>
      <w:r w:rsidRPr="0062350D">
        <w:t>notes</w:t>
      </w:r>
      <w:r w:rsidR="0062350D">
        <w:t xml:space="preserve"> </w:t>
      </w:r>
      <w:r w:rsidRPr="0062350D">
        <w:t>that</w:t>
      </w:r>
      <w:r w:rsidR="0062350D">
        <w:t xml:space="preserve"> </w:t>
      </w:r>
      <w:r w:rsidRPr="0062350D">
        <w:t>between</w:t>
      </w:r>
      <w:r w:rsidR="0062350D">
        <w:t xml:space="preserve"> </w:t>
      </w:r>
      <w:r w:rsidRPr="0062350D">
        <w:t>2009</w:t>
      </w:r>
      <w:r w:rsidR="0062350D">
        <w:t xml:space="preserve"> </w:t>
      </w:r>
      <w:r w:rsidRPr="0062350D">
        <w:t>and</w:t>
      </w:r>
      <w:r w:rsidR="0062350D">
        <w:t xml:space="preserve"> </w:t>
      </w:r>
      <w:r w:rsidRPr="0062350D">
        <w:t>2014</w:t>
      </w:r>
      <w:r w:rsidR="0062350D">
        <w:t xml:space="preserve"> </w:t>
      </w:r>
      <w:r w:rsidRPr="0062350D">
        <w:t>individual</w:t>
      </w:r>
      <w:r w:rsidR="0062350D">
        <w:t xml:space="preserve"> </w:t>
      </w:r>
      <w:r w:rsidRPr="0062350D">
        <w:t>welfare</w:t>
      </w:r>
      <w:r w:rsidR="0062350D">
        <w:t xml:space="preserve"> </w:t>
      </w:r>
      <w:r w:rsidRPr="0062350D">
        <w:t>assistance</w:t>
      </w:r>
      <w:r w:rsidR="0062350D">
        <w:t xml:space="preserve"> </w:t>
      </w:r>
      <w:r w:rsidRPr="0062350D">
        <w:t>to</w:t>
      </w:r>
      <w:r w:rsidR="0062350D">
        <w:t xml:space="preserve"> </w:t>
      </w:r>
      <w:r w:rsidRPr="0062350D">
        <w:t>unaccompanied</w:t>
      </w:r>
      <w:r w:rsidR="0062350D">
        <w:t xml:space="preserve"> </w:t>
      </w:r>
      <w:r w:rsidRPr="0062350D">
        <w:t>minors</w:t>
      </w:r>
      <w:r w:rsidR="0062350D">
        <w:t xml:space="preserve"> </w:t>
      </w:r>
      <w:r w:rsidRPr="0062350D">
        <w:t>in</w:t>
      </w:r>
      <w:r w:rsidR="0062350D">
        <w:t xml:space="preserve"> </w:t>
      </w:r>
      <w:r w:rsidRPr="0062350D">
        <w:t>immigration</w:t>
      </w:r>
      <w:r w:rsidR="0062350D">
        <w:t xml:space="preserve"> </w:t>
      </w:r>
      <w:r w:rsidRPr="0062350D">
        <w:t>detention</w:t>
      </w:r>
      <w:r w:rsidR="0062350D">
        <w:t xml:space="preserve"> </w:t>
      </w:r>
      <w:r w:rsidRPr="0062350D">
        <w:t>was</w:t>
      </w:r>
      <w:r w:rsidR="0062350D">
        <w:t xml:space="preserve"> </w:t>
      </w:r>
      <w:r w:rsidRPr="0062350D">
        <w:t>provided</w:t>
      </w:r>
      <w:r w:rsidR="0062350D">
        <w:t xml:space="preserve"> </w:t>
      </w:r>
      <w:r w:rsidRPr="0062350D">
        <w:t>by</w:t>
      </w:r>
      <w:r w:rsidR="0062350D">
        <w:t xml:space="preserve"> </w:t>
      </w:r>
      <w:r w:rsidRPr="0062350D">
        <w:t>private</w:t>
      </w:r>
      <w:r w:rsidR="0062350D">
        <w:t xml:space="preserve"> </w:t>
      </w:r>
      <w:r w:rsidRPr="0062350D">
        <w:t>contractors.</w:t>
      </w:r>
      <w:r w:rsidR="0062350D">
        <w:t xml:space="preserve"> </w:t>
      </w:r>
      <w:r w:rsidRPr="0062350D">
        <w:t>They</w:t>
      </w:r>
      <w:r w:rsidR="0062350D">
        <w:t xml:space="preserve"> </w:t>
      </w:r>
      <w:r w:rsidRPr="0062350D">
        <w:t>supplied</w:t>
      </w:r>
      <w:r w:rsidR="0062350D">
        <w:t xml:space="preserve"> </w:t>
      </w:r>
      <w:r w:rsidRPr="0062350D">
        <w:t>appropriate</w:t>
      </w:r>
      <w:r w:rsidR="0062350D">
        <w:t xml:space="preserve"> </w:t>
      </w:r>
      <w:r w:rsidRPr="0062350D">
        <w:t>food</w:t>
      </w:r>
      <w:r w:rsidR="0062350D">
        <w:t xml:space="preserve"> </w:t>
      </w:r>
      <w:r w:rsidRPr="0062350D">
        <w:t>and</w:t>
      </w:r>
      <w:r w:rsidR="0062350D">
        <w:t xml:space="preserve"> </w:t>
      </w:r>
      <w:r w:rsidRPr="0062350D">
        <w:t>clothing</w:t>
      </w:r>
      <w:r w:rsidR="0062350D">
        <w:t xml:space="preserve"> </w:t>
      </w:r>
      <w:r w:rsidRPr="0062350D">
        <w:t>and</w:t>
      </w:r>
      <w:r w:rsidR="0062350D">
        <w:t xml:space="preserve"> </w:t>
      </w:r>
      <w:r w:rsidRPr="0062350D">
        <w:t>organized</w:t>
      </w:r>
      <w:r w:rsidR="0062350D">
        <w:t xml:space="preserve"> </w:t>
      </w:r>
      <w:r w:rsidRPr="0062350D">
        <w:t>programmes</w:t>
      </w:r>
      <w:r w:rsidR="0062350D">
        <w:t xml:space="preserve"> </w:t>
      </w:r>
      <w:r w:rsidRPr="0062350D">
        <w:t>and</w:t>
      </w:r>
      <w:r w:rsidR="0062350D">
        <w:t xml:space="preserve"> </w:t>
      </w:r>
      <w:r w:rsidRPr="0062350D">
        <w:t>activities.</w:t>
      </w:r>
      <w:r w:rsidR="0062350D">
        <w:t xml:space="preserve"> </w:t>
      </w:r>
      <w:r w:rsidRPr="0062350D">
        <w:t>They</w:t>
      </w:r>
      <w:r w:rsidR="0062350D">
        <w:t xml:space="preserve"> </w:t>
      </w:r>
      <w:r w:rsidRPr="0062350D">
        <w:t>also</w:t>
      </w:r>
      <w:r w:rsidR="0062350D">
        <w:t xml:space="preserve"> </w:t>
      </w:r>
      <w:r w:rsidRPr="0062350D">
        <w:t>assigned</w:t>
      </w:r>
      <w:r w:rsidR="0062350D">
        <w:t xml:space="preserve"> </w:t>
      </w:r>
      <w:r w:rsidRPr="0062350D">
        <w:t>an</w:t>
      </w:r>
      <w:r w:rsidR="0062350D">
        <w:t xml:space="preserve"> </w:t>
      </w:r>
      <w:r w:rsidRPr="0062350D">
        <w:t>individual</w:t>
      </w:r>
      <w:r w:rsidR="0062350D">
        <w:t xml:space="preserve"> </w:t>
      </w:r>
      <w:r w:rsidRPr="0062350D">
        <w:t>officer</w:t>
      </w:r>
      <w:r w:rsidR="0062350D">
        <w:t xml:space="preserve"> </w:t>
      </w:r>
      <w:r w:rsidRPr="0062350D">
        <w:t>to</w:t>
      </w:r>
      <w:r w:rsidR="0062350D">
        <w:t xml:space="preserve"> </w:t>
      </w:r>
      <w:r w:rsidRPr="0062350D">
        <w:t>each</w:t>
      </w:r>
      <w:r w:rsidR="0062350D">
        <w:t xml:space="preserve"> </w:t>
      </w:r>
      <w:r w:rsidRPr="0062350D">
        <w:t>unaccompanied</w:t>
      </w:r>
      <w:r w:rsidR="0062350D">
        <w:t xml:space="preserve"> </w:t>
      </w:r>
      <w:r w:rsidRPr="0062350D">
        <w:t>minor;</w:t>
      </w:r>
      <w:r w:rsidR="0062350D">
        <w:t xml:space="preserve"> </w:t>
      </w:r>
      <w:r w:rsidRPr="0062350D">
        <w:t>the</w:t>
      </w:r>
      <w:r w:rsidR="0062350D">
        <w:t xml:space="preserve"> </w:t>
      </w:r>
      <w:r w:rsidRPr="0062350D">
        <w:t>officers</w:t>
      </w:r>
      <w:r w:rsidR="0062350D">
        <w:t xml:space="preserve"> </w:t>
      </w:r>
      <w:r w:rsidRPr="0062350D">
        <w:t>met</w:t>
      </w:r>
      <w:r w:rsidR="0062350D">
        <w:t xml:space="preserve"> </w:t>
      </w:r>
      <w:r w:rsidRPr="0062350D">
        <w:t>with</w:t>
      </w:r>
      <w:r w:rsidR="0062350D">
        <w:t xml:space="preserve"> </w:t>
      </w:r>
      <w:r w:rsidRPr="0062350D">
        <w:t>their</w:t>
      </w:r>
      <w:r w:rsidR="0062350D">
        <w:t xml:space="preserve"> </w:t>
      </w:r>
      <w:r w:rsidRPr="0062350D">
        <w:t>wards</w:t>
      </w:r>
      <w:r w:rsidR="0062350D">
        <w:t xml:space="preserve"> </w:t>
      </w:r>
      <w:r w:rsidRPr="0062350D">
        <w:t>regularly</w:t>
      </w:r>
      <w:r w:rsidR="0062350D">
        <w:t xml:space="preserve"> </w:t>
      </w:r>
      <w:r w:rsidRPr="0062350D">
        <w:t>and</w:t>
      </w:r>
      <w:r w:rsidR="0062350D">
        <w:t xml:space="preserve"> </w:t>
      </w:r>
      <w:r w:rsidRPr="0062350D">
        <w:t>provided</w:t>
      </w:r>
      <w:r w:rsidR="0062350D">
        <w:t xml:space="preserve"> </w:t>
      </w:r>
      <w:r w:rsidRPr="0062350D">
        <w:t>individual</w:t>
      </w:r>
      <w:r w:rsidR="0062350D">
        <w:t xml:space="preserve"> </w:t>
      </w:r>
      <w:r w:rsidRPr="0062350D">
        <w:t>help.</w:t>
      </w:r>
      <w:r w:rsidR="0062350D">
        <w:t xml:space="preserve"> </w:t>
      </w:r>
      <w:r w:rsidRPr="0062350D">
        <w:t>All</w:t>
      </w:r>
      <w:r w:rsidR="0062350D">
        <w:t xml:space="preserve"> </w:t>
      </w:r>
      <w:r w:rsidRPr="0062350D">
        <w:t>programmes</w:t>
      </w:r>
      <w:r w:rsidR="0062350D">
        <w:t xml:space="preserve"> </w:t>
      </w:r>
      <w:r w:rsidRPr="0062350D">
        <w:t>and</w:t>
      </w:r>
      <w:r w:rsidR="0062350D">
        <w:t xml:space="preserve"> </w:t>
      </w:r>
      <w:r w:rsidRPr="0062350D">
        <w:t>trainings</w:t>
      </w:r>
      <w:r w:rsidR="0062350D">
        <w:t xml:space="preserve"> </w:t>
      </w:r>
      <w:r w:rsidRPr="0062350D">
        <w:t>were</w:t>
      </w:r>
      <w:r w:rsidR="0062350D">
        <w:t xml:space="preserve"> </w:t>
      </w:r>
      <w:r w:rsidRPr="0062350D">
        <w:t>tailored</w:t>
      </w:r>
      <w:r w:rsidR="0062350D">
        <w:t xml:space="preserve"> </w:t>
      </w:r>
      <w:r w:rsidRPr="0062350D">
        <w:t>to</w:t>
      </w:r>
      <w:r w:rsidR="0062350D">
        <w:t xml:space="preserve"> </w:t>
      </w:r>
      <w:r w:rsidRPr="0062350D">
        <w:t>the</w:t>
      </w:r>
      <w:r w:rsidR="0062350D">
        <w:t xml:space="preserve"> </w:t>
      </w:r>
      <w:r w:rsidRPr="0062350D">
        <w:t>individual</w:t>
      </w:r>
      <w:r w:rsidR="0062350D" w:rsidRPr="0062350D">
        <w:t>’</w:t>
      </w:r>
      <w:r w:rsidRPr="0062350D">
        <w:t>s</w:t>
      </w:r>
      <w:r w:rsidR="0062350D">
        <w:t xml:space="preserve"> </w:t>
      </w:r>
      <w:r w:rsidRPr="0062350D">
        <w:t>age,</w:t>
      </w:r>
      <w:r w:rsidR="0062350D">
        <w:t xml:space="preserve"> </w:t>
      </w:r>
      <w:r w:rsidRPr="0062350D">
        <w:t>gender,</w:t>
      </w:r>
      <w:r w:rsidR="0062350D">
        <w:t xml:space="preserve"> </w:t>
      </w:r>
      <w:r w:rsidRPr="0062350D">
        <w:t>religious</w:t>
      </w:r>
      <w:r w:rsidR="0062350D">
        <w:t xml:space="preserve"> </w:t>
      </w:r>
      <w:r w:rsidRPr="0062350D">
        <w:t>background</w:t>
      </w:r>
      <w:r w:rsidR="0062350D">
        <w:t xml:space="preserve"> </w:t>
      </w:r>
      <w:r w:rsidRPr="0062350D">
        <w:t>and</w:t>
      </w:r>
      <w:r w:rsidR="0062350D">
        <w:t xml:space="preserve"> </w:t>
      </w:r>
      <w:r w:rsidRPr="0062350D">
        <w:t>needs.</w:t>
      </w:r>
      <w:r w:rsidR="0062350D">
        <w:t xml:space="preserve"> </w:t>
      </w:r>
      <w:r w:rsidRPr="0062350D">
        <w:t>National</w:t>
      </w:r>
      <w:r w:rsidR="0062350D">
        <w:t xml:space="preserve"> </w:t>
      </w:r>
      <w:r w:rsidRPr="0062350D">
        <w:t>authorities</w:t>
      </w:r>
      <w:r w:rsidR="0062350D">
        <w:t xml:space="preserve"> </w:t>
      </w:r>
      <w:r w:rsidRPr="0062350D">
        <w:t>carefully</w:t>
      </w:r>
      <w:r w:rsidR="0062350D">
        <w:t xml:space="preserve"> </w:t>
      </w:r>
      <w:r w:rsidRPr="0062350D">
        <w:t>monitored</w:t>
      </w:r>
      <w:r w:rsidR="0062350D">
        <w:t xml:space="preserve"> </w:t>
      </w:r>
      <w:r w:rsidRPr="0062350D">
        <w:t>quality</w:t>
      </w:r>
      <w:r w:rsidR="0062350D">
        <w:t xml:space="preserve"> </w:t>
      </w:r>
      <w:r w:rsidRPr="0062350D">
        <w:t>of</w:t>
      </w:r>
      <w:r w:rsidR="0062350D">
        <w:t xml:space="preserve"> </w:t>
      </w:r>
      <w:r w:rsidRPr="0062350D">
        <w:t>the</w:t>
      </w:r>
      <w:r w:rsidR="0062350D">
        <w:t xml:space="preserve"> </w:t>
      </w:r>
      <w:r w:rsidRPr="0062350D">
        <w:t>services</w:t>
      </w:r>
      <w:r w:rsidR="0062350D">
        <w:t xml:space="preserve"> </w:t>
      </w:r>
      <w:r w:rsidRPr="0062350D">
        <w:t>provided</w:t>
      </w:r>
      <w:r w:rsidR="0062350D">
        <w:t xml:space="preserve"> </w:t>
      </w:r>
      <w:r w:rsidRPr="0062350D">
        <w:t>by</w:t>
      </w:r>
      <w:r w:rsidR="0062350D">
        <w:t xml:space="preserve"> </w:t>
      </w:r>
      <w:r w:rsidRPr="0062350D">
        <w:t>the</w:t>
      </w:r>
      <w:r w:rsidR="0062350D">
        <w:t xml:space="preserve"> </w:t>
      </w:r>
      <w:r w:rsidRPr="0062350D">
        <w:t>private</w:t>
      </w:r>
      <w:r w:rsidR="0062350D">
        <w:t xml:space="preserve"> </w:t>
      </w:r>
      <w:r w:rsidRPr="0062350D">
        <w:t>companies.</w:t>
      </w:r>
    </w:p>
    <w:p w14:paraId="4190CB4A" w14:textId="0F1C5114" w:rsidR="0062350D" w:rsidRPr="0062350D" w:rsidRDefault="007F12C3" w:rsidP="005D6A3F">
      <w:pPr>
        <w:pStyle w:val="SingleTxtG"/>
      </w:pPr>
      <w:r w:rsidRPr="0062350D">
        <w:t>4.6</w:t>
      </w:r>
      <w:r w:rsidRPr="0062350D">
        <w:tab/>
        <w:t>The</w:t>
      </w:r>
      <w:r w:rsidR="0062350D">
        <w:t xml:space="preserve"> </w:t>
      </w:r>
      <w:r w:rsidRPr="0062350D">
        <w:t>State</w:t>
      </w:r>
      <w:r w:rsidR="0062350D">
        <w:t xml:space="preserve"> </w:t>
      </w:r>
      <w:r w:rsidRPr="0062350D">
        <w:t>party</w:t>
      </w:r>
      <w:r w:rsidR="0062350D">
        <w:t xml:space="preserve"> </w:t>
      </w:r>
      <w:r w:rsidRPr="0062350D">
        <w:t>further</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made</w:t>
      </w:r>
      <w:r w:rsidR="0062350D">
        <w:t xml:space="preserve"> </w:t>
      </w:r>
      <w:r w:rsidRPr="0062350D">
        <w:t>only</w:t>
      </w:r>
      <w:r w:rsidR="0062350D">
        <w:t xml:space="preserve"> </w:t>
      </w:r>
      <w:r w:rsidRPr="0062350D">
        <w:t>general</w:t>
      </w:r>
      <w:r w:rsidR="0062350D">
        <w:t xml:space="preserve"> </w:t>
      </w:r>
      <w:r w:rsidRPr="0062350D">
        <w:t>allegations</w:t>
      </w:r>
      <w:r w:rsidR="0062350D">
        <w:t xml:space="preserve"> </w:t>
      </w:r>
      <w:r w:rsidRPr="0062350D">
        <w:t>under</w:t>
      </w:r>
      <w:r w:rsidR="0062350D">
        <w:t xml:space="preserve"> </w:t>
      </w:r>
      <w:r w:rsidRPr="0062350D">
        <w:t>article</w:t>
      </w:r>
      <w:r w:rsidR="0062350D">
        <w:t xml:space="preserve"> </w:t>
      </w:r>
      <w:r w:rsidRPr="0062350D">
        <w:t>10</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about</w:t>
      </w:r>
      <w:r w:rsidR="0062350D">
        <w:t xml:space="preserve"> </w:t>
      </w:r>
      <w:r w:rsidRPr="0062350D">
        <w:t>their</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without</w:t>
      </w:r>
      <w:r w:rsidR="0062350D">
        <w:t xml:space="preserve"> </w:t>
      </w:r>
      <w:r w:rsidRPr="0062350D">
        <w:t>providing</w:t>
      </w:r>
      <w:r w:rsidR="0062350D">
        <w:t xml:space="preserve"> </w:t>
      </w:r>
      <w:r w:rsidRPr="0062350D">
        <w:t>any</w:t>
      </w:r>
      <w:r w:rsidR="0062350D">
        <w:t xml:space="preserve"> </w:t>
      </w:r>
      <w:r w:rsidRPr="0062350D">
        <w:t>evidence</w:t>
      </w:r>
      <w:r w:rsidR="0062350D">
        <w:t xml:space="preserve"> </w:t>
      </w:r>
      <w:r w:rsidRPr="0062350D">
        <w:t>or</w:t>
      </w:r>
      <w:r w:rsidR="0062350D">
        <w:t xml:space="preserve"> </w:t>
      </w:r>
      <w:r w:rsidRPr="0062350D">
        <w:t>supporting</w:t>
      </w:r>
      <w:r w:rsidR="0062350D">
        <w:t xml:space="preserve"> </w:t>
      </w:r>
      <w:r w:rsidRPr="0062350D">
        <w:t>information.</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contends</w:t>
      </w:r>
      <w:r w:rsidR="0062350D">
        <w:t xml:space="preserve"> </w:t>
      </w:r>
      <w:r w:rsidRPr="0062350D">
        <w:t>that</w:t>
      </w:r>
      <w:r w:rsidR="0062350D">
        <w:t xml:space="preserve"> </w:t>
      </w:r>
      <w:r w:rsidRPr="0062350D">
        <w:t>all</w:t>
      </w:r>
      <w:r w:rsidR="0062350D">
        <w:t xml:space="preserve"> </w:t>
      </w:r>
      <w:r w:rsidRPr="0062350D">
        <w:t>individuals</w:t>
      </w:r>
      <w:r w:rsidR="0062350D">
        <w:t xml:space="preserve"> </w:t>
      </w:r>
      <w:r w:rsidRPr="0062350D">
        <w:t>detained</w:t>
      </w:r>
      <w:r w:rsidR="0062350D">
        <w:t xml:space="preserve"> </w:t>
      </w:r>
      <w:r w:rsidRPr="0062350D">
        <w:t>in</w:t>
      </w:r>
      <w:r w:rsidR="0062350D">
        <w:t xml:space="preserve"> </w:t>
      </w:r>
      <w:r w:rsidRPr="0062350D">
        <w:t>immigration</w:t>
      </w:r>
      <w:r w:rsidR="0062350D">
        <w:t xml:space="preserve"> </w:t>
      </w:r>
      <w:r w:rsidRPr="0062350D">
        <w:t>facilities</w:t>
      </w:r>
      <w:r w:rsidR="0062350D">
        <w:t xml:space="preserve"> </w:t>
      </w:r>
      <w:r w:rsidRPr="0062350D">
        <w:t>are</w:t>
      </w:r>
      <w:r w:rsidR="0062350D">
        <w:t xml:space="preserve"> </w:t>
      </w:r>
      <w:r w:rsidRPr="0062350D">
        <w:t>treated</w:t>
      </w:r>
      <w:r w:rsidR="0062350D">
        <w:t xml:space="preserve"> </w:t>
      </w:r>
      <w:r w:rsidRPr="0062350D">
        <w:t>with</w:t>
      </w:r>
      <w:r w:rsidR="0062350D">
        <w:t xml:space="preserve"> </w:t>
      </w:r>
      <w:r w:rsidRPr="0062350D">
        <w:t>respect</w:t>
      </w:r>
      <w:r w:rsidR="0062350D">
        <w:t xml:space="preserve"> </w:t>
      </w:r>
      <w:r w:rsidRPr="0062350D">
        <w:t>and</w:t>
      </w:r>
      <w:r w:rsidR="0062350D">
        <w:t xml:space="preserve"> </w:t>
      </w:r>
      <w:r w:rsidRPr="0062350D">
        <w:t>that</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are</w:t>
      </w:r>
      <w:r w:rsidR="0062350D">
        <w:t xml:space="preserve"> </w:t>
      </w:r>
      <w:r w:rsidRPr="0062350D">
        <w:t>appropriate.</w:t>
      </w:r>
      <w:r w:rsidR="0062350D">
        <w:t xml:space="preserve"> </w:t>
      </w:r>
      <w:r w:rsidRPr="0062350D">
        <w:t>Several</w:t>
      </w:r>
      <w:r w:rsidR="0062350D">
        <w:t xml:space="preserve"> </w:t>
      </w:r>
      <w:r w:rsidRPr="0062350D">
        <w:t>private</w:t>
      </w:r>
      <w:r w:rsidR="0062350D">
        <w:t xml:space="preserve"> </w:t>
      </w:r>
      <w:r w:rsidRPr="0062350D">
        <w:t>contractors</w:t>
      </w:r>
      <w:r w:rsidR="0062350D">
        <w:t xml:space="preserve"> </w:t>
      </w:r>
      <w:r w:rsidRPr="0062350D">
        <w:t>ensure</w:t>
      </w:r>
      <w:r w:rsidR="0062350D">
        <w:t xml:space="preserve"> </w:t>
      </w:r>
      <w:r w:rsidRPr="0062350D">
        <w:t>the</w:t>
      </w:r>
      <w:r w:rsidR="0062350D">
        <w:t xml:space="preserve"> </w:t>
      </w:r>
      <w:r w:rsidRPr="0062350D">
        <w:t>well-being</w:t>
      </w:r>
      <w:r w:rsidR="0062350D">
        <w:t xml:space="preserve"> </w:t>
      </w:r>
      <w:r w:rsidRPr="0062350D">
        <w:t>of</w:t>
      </w:r>
      <w:r w:rsidR="0062350D">
        <w:t xml:space="preserve"> </w:t>
      </w:r>
      <w:r w:rsidRPr="0062350D">
        <w:t>individuals</w:t>
      </w:r>
      <w:r w:rsidR="0062350D">
        <w:t xml:space="preserve"> </w:t>
      </w:r>
      <w:r w:rsidRPr="0062350D">
        <w:t>in</w:t>
      </w:r>
      <w:r w:rsidR="0062350D">
        <w:t xml:space="preserve"> </w:t>
      </w:r>
      <w:r w:rsidRPr="0062350D">
        <w:t>detention.</w:t>
      </w:r>
      <w:r w:rsidR="0062350D">
        <w:t xml:space="preserve"> </w:t>
      </w:r>
      <w:r w:rsidRPr="0062350D">
        <w:t>They</w:t>
      </w:r>
      <w:r w:rsidR="0062350D">
        <w:t xml:space="preserve"> </w:t>
      </w:r>
      <w:r w:rsidRPr="0062350D">
        <w:t>provide</w:t>
      </w:r>
      <w:r w:rsidR="0062350D">
        <w:t xml:space="preserve"> </w:t>
      </w:r>
      <w:r w:rsidRPr="0062350D">
        <w:t>communication</w:t>
      </w:r>
      <w:r w:rsidR="0062350D">
        <w:t xml:space="preserve"> </w:t>
      </w:r>
      <w:r w:rsidRPr="0062350D">
        <w:t>services</w:t>
      </w:r>
      <w:r w:rsidR="0062350D">
        <w:t xml:space="preserve"> </w:t>
      </w:r>
      <w:r w:rsidRPr="0062350D">
        <w:t>(e.g.,</w:t>
      </w:r>
      <w:r w:rsidR="0062350D">
        <w:t xml:space="preserve"> </w:t>
      </w:r>
      <w:r w:rsidRPr="0062350D">
        <w:t>access</w:t>
      </w:r>
      <w:r w:rsidR="0062350D">
        <w:t xml:space="preserve"> </w:t>
      </w:r>
      <w:r w:rsidRPr="0062350D">
        <w:t>to</w:t>
      </w:r>
      <w:r w:rsidR="0062350D">
        <w:t xml:space="preserve"> </w:t>
      </w:r>
      <w:r w:rsidRPr="0062350D">
        <w:t>computers,</w:t>
      </w:r>
      <w:r w:rsidR="0062350D">
        <w:t xml:space="preserve"> </w:t>
      </w:r>
      <w:r w:rsidRPr="0062350D">
        <w:t>the</w:t>
      </w:r>
      <w:r w:rsidR="0062350D">
        <w:t xml:space="preserve"> </w:t>
      </w:r>
      <w:r w:rsidRPr="0062350D">
        <w:t>Internet,</w:t>
      </w:r>
      <w:r w:rsidR="0062350D">
        <w:t xml:space="preserve"> </w:t>
      </w:r>
      <w:r w:rsidRPr="0062350D">
        <w:t>television</w:t>
      </w:r>
      <w:r w:rsidR="0062350D">
        <w:t xml:space="preserve"> </w:t>
      </w:r>
      <w:r w:rsidRPr="0062350D">
        <w:t>and</w:t>
      </w:r>
      <w:r w:rsidR="0062350D">
        <w:t xml:space="preserve"> </w:t>
      </w:r>
      <w:r w:rsidRPr="0062350D">
        <w:t>libraries),</w:t>
      </w:r>
      <w:r w:rsidR="0062350D">
        <w:t xml:space="preserve"> </w:t>
      </w:r>
      <w:r w:rsidRPr="0062350D">
        <w:t>educational</w:t>
      </w:r>
      <w:r w:rsidR="0062350D">
        <w:t xml:space="preserve"> </w:t>
      </w:r>
      <w:r w:rsidRPr="0062350D">
        <w:t>programmes</w:t>
      </w:r>
      <w:r w:rsidR="0062350D">
        <w:t xml:space="preserve"> </w:t>
      </w:r>
      <w:r w:rsidRPr="0062350D">
        <w:t>(including</w:t>
      </w:r>
      <w:r w:rsidR="0062350D">
        <w:t xml:space="preserve"> </w:t>
      </w:r>
      <w:r w:rsidRPr="0062350D">
        <w:t>primary</w:t>
      </w:r>
      <w:r w:rsidR="0062350D">
        <w:t xml:space="preserve"> </w:t>
      </w:r>
      <w:r w:rsidRPr="0062350D">
        <w:t>and</w:t>
      </w:r>
      <w:r w:rsidR="0062350D">
        <w:t xml:space="preserve"> </w:t>
      </w:r>
      <w:r w:rsidRPr="0062350D">
        <w:t>secondary</w:t>
      </w:r>
      <w:r w:rsidR="0062350D">
        <w:t xml:space="preserve"> </w:t>
      </w:r>
      <w:r w:rsidRPr="0062350D">
        <w:lastRenderedPageBreak/>
        <w:t>education),</w:t>
      </w:r>
      <w:r w:rsidR="0062350D">
        <w:t xml:space="preserve"> </w:t>
      </w:r>
      <w:r w:rsidRPr="0062350D">
        <w:t>mental</w:t>
      </w:r>
      <w:r w:rsidR="0062350D">
        <w:t xml:space="preserve"> </w:t>
      </w:r>
      <w:r w:rsidRPr="0062350D">
        <w:t>health</w:t>
      </w:r>
      <w:r w:rsidR="0062350D">
        <w:t xml:space="preserve"> </w:t>
      </w:r>
      <w:r w:rsidRPr="0062350D">
        <w:t>enhancement</w:t>
      </w:r>
      <w:r w:rsidR="0062350D">
        <w:t xml:space="preserve"> </w:t>
      </w:r>
      <w:r w:rsidRPr="0062350D">
        <w:t>activities,</w:t>
      </w:r>
      <w:r w:rsidR="0062350D">
        <w:t xml:space="preserve"> </w:t>
      </w:r>
      <w:r w:rsidRPr="0062350D">
        <w:t>access</w:t>
      </w:r>
      <w:r w:rsidR="0062350D">
        <w:t xml:space="preserve"> </w:t>
      </w:r>
      <w:r w:rsidRPr="0062350D">
        <w:t>to</w:t>
      </w:r>
      <w:r w:rsidR="0062350D">
        <w:t xml:space="preserve"> </w:t>
      </w:r>
      <w:r w:rsidRPr="0062350D">
        <w:t>religious</w:t>
      </w:r>
      <w:r w:rsidR="0062350D">
        <w:t xml:space="preserve"> </w:t>
      </w:r>
      <w:r w:rsidRPr="0062350D">
        <w:t>practice,</w:t>
      </w:r>
      <w:r w:rsidR="0062350D">
        <w:t xml:space="preserve"> </w:t>
      </w:r>
      <w:r w:rsidRPr="0062350D">
        <w:t>legal</w:t>
      </w:r>
      <w:r w:rsidR="0062350D">
        <w:t xml:space="preserve"> </w:t>
      </w:r>
      <w:r w:rsidRPr="0062350D">
        <w:t>advice,</w:t>
      </w:r>
      <w:r w:rsidR="0062350D">
        <w:t xml:space="preserve"> </w:t>
      </w:r>
      <w:r w:rsidRPr="0062350D">
        <w:t>health</w:t>
      </w:r>
      <w:r w:rsidR="0062350D">
        <w:t xml:space="preserve"> </w:t>
      </w:r>
      <w:r w:rsidRPr="0062350D">
        <w:t>care</w:t>
      </w:r>
      <w:r w:rsidR="0062350D">
        <w:t xml:space="preserve"> </w:t>
      </w:r>
      <w:r w:rsidRPr="0062350D">
        <w:t>and</w:t>
      </w:r>
      <w:r w:rsidR="0062350D">
        <w:t xml:space="preserve"> </w:t>
      </w:r>
      <w:r w:rsidRPr="0062350D">
        <w:t>other</w:t>
      </w:r>
      <w:r w:rsidR="0062350D">
        <w:t xml:space="preserve"> </w:t>
      </w:r>
      <w:r w:rsidRPr="0062350D">
        <w:t>services.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emphasizes</w:t>
      </w:r>
      <w:r w:rsidR="0062350D">
        <w:t xml:space="preserve"> </w:t>
      </w:r>
      <w:r w:rsidRPr="0062350D">
        <w:t>that</w:t>
      </w:r>
      <w:r w:rsidR="0062350D">
        <w:t xml:space="preserve"> </w:t>
      </w:r>
      <w:r w:rsidRPr="0062350D">
        <w:t>all</w:t>
      </w:r>
      <w:r w:rsidR="0062350D">
        <w:t xml:space="preserve"> </w:t>
      </w:r>
      <w:r w:rsidRPr="0062350D">
        <w:t>individuals</w:t>
      </w:r>
      <w:r w:rsidR="0062350D">
        <w:t xml:space="preserve"> </w:t>
      </w:r>
      <w:r w:rsidRPr="0062350D">
        <w:t>in</w:t>
      </w:r>
      <w:r w:rsidR="0062350D">
        <w:t xml:space="preserve"> </w:t>
      </w:r>
      <w:r w:rsidRPr="0062350D">
        <w:t>detention,</w:t>
      </w:r>
      <w:r w:rsidR="0062350D">
        <w:t xml:space="preserve"> </w:t>
      </w:r>
      <w:r w:rsidRPr="0062350D">
        <w:t>and</w:t>
      </w:r>
      <w:r w:rsidR="0062350D">
        <w:t xml:space="preserve"> </w:t>
      </w:r>
      <w:r w:rsidRPr="0062350D">
        <w:t>specifically</w:t>
      </w:r>
      <w:r w:rsidR="0062350D">
        <w:t xml:space="preserve"> </w:t>
      </w:r>
      <w:r w:rsidRPr="0062350D">
        <w:t>minors,</w:t>
      </w:r>
      <w:r w:rsidR="0062350D">
        <w:t xml:space="preserve"> </w:t>
      </w:r>
      <w:r w:rsidRPr="0062350D">
        <w:t>are</w:t>
      </w:r>
      <w:r w:rsidR="0062350D">
        <w:t xml:space="preserve"> </w:t>
      </w:r>
      <w:r w:rsidRPr="0062350D">
        <w:t>provided</w:t>
      </w:r>
      <w:r w:rsidR="0062350D">
        <w:t xml:space="preserve"> </w:t>
      </w:r>
      <w:r w:rsidRPr="0062350D">
        <w:t>with</w:t>
      </w:r>
      <w:r w:rsidR="0062350D">
        <w:t xml:space="preserve"> </w:t>
      </w:r>
      <w:r w:rsidRPr="0062350D">
        <w:t>access</w:t>
      </w:r>
      <w:r w:rsidR="0062350D">
        <w:t xml:space="preserve"> </w:t>
      </w:r>
      <w:r w:rsidRPr="0062350D">
        <w:t>to</w:t>
      </w:r>
      <w:r w:rsidR="0062350D">
        <w:t xml:space="preserve"> </w:t>
      </w:r>
      <w:r w:rsidRPr="0062350D">
        <w:t>qualified</w:t>
      </w:r>
      <w:r w:rsidR="0062350D">
        <w:t xml:space="preserve"> </w:t>
      </w:r>
      <w:r w:rsidRPr="0062350D">
        <w:t>mental</w:t>
      </w:r>
      <w:r w:rsidR="0062350D">
        <w:t xml:space="preserve"> </w:t>
      </w:r>
      <w:r w:rsidRPr="0062350D">
        <w:t>health</w:t>
      </w:r>
      <w:r w:rsidR="0062350D">
        <w:t xml:space="preserve"> </w:t>
      </w:r>
      <w:r w:rsidRPr="0062350D">
        <w:t>professionals</w:t>
      </w:r>
      <w:r w:rsidR="0062350D">
        <w:t xml:space="preserve"> </w:t>
      </w:r>
      <w:r w:rsidRPr="0062350D">
        <w:t>to</w:t>
      </w:r>
      <w:r w:rsidR="0062350D">
        <w:t xml:space="preserve"> </w:t>
      </w:r>
      <w:r w:rsidRPr="0062350D">
        <w:t>monitor</w:t>
      </w:r>
      <w:r w:rsidR="0062350D">
        <w:t xml:space="preserve"> </w:t>
      </w:r>
      <w:r w:rsidRPr="0062350D">
        <w:t>and</w:t>
      </w:r>
      <w:r w:rsidR="0062350D">
        <w:t xml:space="preserve"> </w:t>
      </w:r>
      <w:r w:rsidRPr="0062350D">
        <w:t>avoid</w:t>
      </w:r>
      <w:r w:rsidR="0062350D">
        <w:t xml:space="preserve"> </w:t>
      </w:r>
      <w:r w:rsidRPr="0062350D">
        <w:t>any</w:t>
      </w:r>
      <w:r w:rsidR="0062350D">
        <w:t xml:space="preserve"> </w:t>
      </w:r>
      <w:r w:rsidRPr="0062350D">
        <w:t>deterioration</w:t>
      </w:r>
      <w:r w:rsidR="0062350D">
        <w:t xml:space="preserve"> </w:t>
      </w:r>
      <w:r w:rsidRPr="0062350D">
        <w:t>of</w:t>
      </w:r>
      <w:r w:rsidR="0062350D">
        <w:t xml:space="preserve"> </w:t>
      </w:r>
      <w:r w:rsidRPr="0062350D">
        <w:t>their</w:t>
      </w:r>
      <w:r w:rsidR="0062350D">
        <w:t xml:space="preserve"> </w:t>
      </w:r>
      <w:r w:rsidRPr="0062350D">
        <w:t>mental</w:t>
      </w:r>
      <w:r w:rsidR="0062350D">
        <w:t xml:space="preserve"> </w:t>
      </w:r>
      <w:r w:rsidRPr="0062350D">
        <w:t>state.</w:t>
      </w:r>
      <w:r w:rsidR="0062350D">
        <w:t xml:space="preserve"> </w:t>
      </w:r>
      <w:r w:rsidRPr="0062350D">
        <w:t>All</w:t>
      </w:r>
      <w:r w:rsidR="0062350D">
        <w:t xml:space="preserve"> </w:t>
      </w:r>
      <w:r w:rsidRPr="0062350D">
        <w:t>individuals</w:t>
      </w:r>
      <w:r w:rsidR="0062350D">
        <w:t xml:space="preserve"> </w:t>
      </w:r>
      <w:r w:rsidRPr="0062350D">
        <w:t>entering</w:t>
      </w:r>
      <w:r w:rsidR="0062350D">
        <w:t xml:space="preserve"> </w:t>
      </w:r>
      <w:r w:rsidRPr="0062350D">
        <w:t>immigration</w:t>
      </w:r>
      <w:r w:rsidR="0062350D">
        <w:t xml:space="preserve"> </w:t>
      </w:r>
      <w:r w:rsidRPr="0062350D">
        <w:t>detention</w:t>
      </w:r>
      <w:r w:rsidR="0062350D">
        <w:t xml:space="preserve"> </w:t>
      </w:r>
      <w:r w:rsidRPr="0062350D">
        <w:t>are</w:t>
      </w:r>
      <w:r w:rsidR="0062350D">
        <w:t xml:space="preserve"> </w:t>
      </w:r>
      <w:r w:rsidRPr="0062350D">
        <w:t>subject</w:t>
      </w:r>
      <w:r w:rsidR="0062350D">
        <w:t xml:space="preserve"> </w:t>
      </w:r>
      <w:r w:rsidRPr="0062350D">
        <w:t>to</w:t>
      </w:r>
      <w:r w:rsidR="0062350D">
        <w:t xml:space="preserve"> </w:t>
      </w:r>
      <w:r w:rsidRPr="0062350D">
        <w:t>mental</w:t>
      </w:r>
      <w:r w:rsidR="0062350D">
        <w:t xml:space="preserve"> </w:t>
      </w:r>
      <w:r w:rsidRPr="0062350D">
        <w:t>health</w:t>
      </w:r>
      <w:r w:rsidR="0062350D">
        <w:t xml:space="preserve"> </w:t>
      </w:r>
      <w:r w:rsidRPr="0062350D">
        <w:t>screening</w:t>
      </w:r>
      <w:r w:rsidR="0062350D">
        <w:t xml:space="preserve"> </w:t>
      </w:r>
      <w:r w:rsidRPr="0062350D">
        <w:t>within</w:t>
      </w:r>
      <w:r w:rsidR="0062350D">
        <w:t xml:space="preserve"> </w:t>
      </w:r>
      <w:r w:rsidRPr="0062350D">
        <w:t>72</w:t>
      </w:r>
      <w:r w:rsidR="0062350D">
        <w:t xml:space="preserve"> </w:t>
      </w:r>
      <w:r w:rsidRPr="0062350D">
        <w:t>hours</w:t>
      </w:r>
      <w:r w:rsidR="0062350D">
        <w:t xml:space="preserve"> </w:t>
      </w:r>
      <w:r w:rsidRPr="0062350D">
        <w:t>of</w:t>
      </w:r>
      <w:r w:rsidR="0062350D">
        <w:t xml:space="preserve"> </w:t>
      </w:r>
      <w:r w:rsidRPr="0062350D">
        <w:t>their</w:t>
      </w:r>
      <w:r w:rsidR="0062350D">
        <w:t xml:space="preserve"> </w:t>
      </w:r>
      <w:r w:rsidRPr="0062350D">
        <w:t>arrival.</w:t>
      </w:r>
      <w:r w:rsidR="0062350D">
        <w:t xml:space="preserve"> </w:t>
      </w:r>
      <w:r w:rsidRPr="0062350D">
        <w:t>Subsequent</w:t>
      </w:r>
      <w:r w:rsidR="0062350D">
        <w:t xml:space="preserve"> </w:t>
      </w:r>
      <w:r w:rsidRPr="0062350D">
        <w:t>medical</w:t>
      </w:r>
      <w:r w:rsidR="0062350D">
        <w:t xml:space="preserve"> </w:t>
      </w:r>
      <w:r w:rsidRPr="0062350D">
        <w:t>evaluations</w:t>
      </w:r>
      <w:r w:rsidR="0062350D">
        <w:t xml:space="preserve"> </w:t>
      </w:r>
      <w:r w:rsidRPr="0062350D">
        <w:t>take</w:t>
      </w:r>
      <w:r w:rsidR="0062350D">
        <w:t xml:space="preserve"> </w:t>
      </w:r>
      <w:r w:rsidRPr="0062350D">
        <w:t>place</w:t>
      </w:r>
      <w:r w:rsidR="0062350D">
        <w:t xml:space="preserve"> </w:t>
      </w:r>
      <w:r w:rsidRPr="0062350D">
        <w:t>after</w:t>
      </w:r>
      <w:r w:rsidR="0062350D">
        <w:t xml:space="preserve"> </w:t>
      </w:r>
      <w:r w:rsidRPr="0062350D">
        <w:t>6,</w:t>
      </w:r>
      <w:r w:rsidR="0062350D">
        <w:t xml:space="preserve"> </w:t>
      </w:r>
      <w:r w:rsidRPr="0062350D">
        <w:t>12</w:t>
      </w:r>
      <w:r w:rsidR="0062350D">
        <w:t xml:space="preserve"> </w:t>
      </w:r>
      <w:r w:rsidRPr="0062350D">
        <w:t>and</w:t>
      </w:r>
      <w:r w:rsidR="0062350D">
        <w:t xml:space="preserve"> </w:t>
      </w:r>
      <w:r w:rsidRPr="0062350D">
        <w:t>18</w:t>
      </w:r>
      <w:r w:rsidR="0062350D">
        <w:t xml:space="preserve"> </w:t>
      </w:r>
      <w:r w:rsidRPr="0062350D">
        <w:t>months,</w:t>
      </w:r>
      <w:r w:rsidR="0062350D">
        <w:t xml:space="preserve"> </w:t>
      </w:r>
      <w:r w:rsidRPr="0062350D">
        <w:t>and</w:t>
      </w:r>
      <w:r w:rsidR="0062350D">
        <w:t xml:space="preserve"> </w:t>
      </w:r>
      <w:r w:rsidRPr="0062350D">
        <w:t>regularly</w:t>
      </w:r>
      <w:r w:rsidR="0062350D">
        <w:t xml:space="preserve"> </w:t>
      </w:r>
      <w:r w:rsidRPr="0062350D">
        <w:t>thereafter.</w:t>
      </w:r>
      <w:r w:rsidR="0062350D">
        <w:t xml:space="preserve"> </w:t>
      </w:r>
      <w:r w:rsidRPr="0062350D">
        <w:t>Special</w:t>
      </w:r>
      <w:r w:rsidR="0062350D">
        <w:t xml:space="preserve"> </w:t>
      </w:r>
      <w:r w:rsidRPr="0062350D">
        <w:t>programmes</w:t>
      </w:r>
      <w:r w:rsidR="0062350D">
        <w:t xml:space="preserve"> </w:t>
      </w:r>
      <w:r w:rsidRPr="0062350D">
        <w:t>are</w:t>
      </w:r>
      <w:r w:rsidR="0062350D">
        <w:t xml:space="preserve"> </w:t>
      </w:r>
      <w:r w:rsidRPr="0062350D">
        <w:t>introduced</w:t>
      </w:r>
      <w:r w:rsidR="0062350D">
        <w:t xml:space="preserve"> </w:t>
      </w:r>
      <w:r w:rsidRPr="0062350D">
        <w:t>for</w:t>
      </w:r>
      <w:r w:rsidR="0062350D">
        <w:t xml:space="preserve"> </w:t>
      </w:r>
      <w:r w:rsidRPr="0062350D">
        <w:t>vulnerable</w:t>
      </w:r>
      <w:r w:rsidR="0062350D">
        <w:t xml:space="preserve"> </w:t>
      </w:r>
      <w:r w:rsidRPr="0062350D">
        <w:t>individuals</w:t>
      </w:r>
      <w:r w:rsidR="0062350D">
        <w:t xml:space="preserve"> </w:t>
      </w:r>
      <w:r w:rsidRPr="0062350D">
        <w:t>(e.g.,</w:t>
      </w:r>
      <w:r w:rsidR="0062350D">
        <w:t xml:space="preserve"> </w:t>
      </w:r>
      <w:r w:rsidRPr="0062350D">
        <w:t>victims</w:t>
      </w:r>
      <w:r w:rsidR="0062350D">
        <w:t xml:space="preserve"> </w:t>
      </w:r>
      <w:r w:rsidRPr="0062350D">
        <w:t>of</w:t>
      </w:r>
      <w:r w:rsidR="0062350D">
        <w:t xml:space="preserve"> </w:t>
      </w:r>
      <w:r w:rsidRPr="0062350D">
        <w:t>torture).</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further</w:t>
      </w:r>
      <w:r w:rsidR="0062350D">
        <w:t xml:space="preserve"> </w:t>
      </w:r>
      <w:r w:rsidRPr="0062350D">
        <w:t>notes</w:t>
      </w:r>
      <w:r w:rsidR="0062350D">
        <w:t xml:space="preserve"> </w:t>
      </w:r>
      <w:r w:rsidRPr="0062350D">
        <w:t>that</w:t>
      </w:r>
      <w:r w:rsidR="0062350D">
        <w:t xml:space="preserve"> </w:t>
      </w:r>
      <w:r w:rsidRPr="0062350D">
        <w:t>while</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housed</w:t>
      </w:r>
      <w:r w:rsidR="0062350D">
        <w:t xml:space="preserve"> </w:t>
      </w:r>
      <w:r w:rsidRPr="0062350D">
        <w:t>in</w:t>
      </w:r>
      <w:r w:rsidR="0062350D">
        <w:t xml:space="preserve"> </w:t>
      </w:r>
      <w:r w:rsidRPr="0062350D">
        <w:t>alternative</w:t>
      </w:r>
      <w:r w:rsidR="0062350D">
        <w:t xml:space="preserve"> </w:t>
      </w:r>
      <w:r w:rsidRPr="0062350D">
        <w:t>places</w:t>
      </w:r>
      <w:r w:rsidR="0062350D">
        <w:t xml:space="preserve"> </w:t>
      </w:r>
      <w:r w:rsidRPr="0062350D">
        <w:t>of</w:t>
      </w:r>
      <w:r w:rsidR="0062350D">
        <w:t xml:space="preserve"> </w:t>
      </w:r>
      <w:r w:rsidRPr="0062350D">
        <w:t>detention,</w:t>
      </w:r>
      <w:r w:rsidR="0062350D">
        <w:t xml:space="preserve"> </w:t>
      </w:r>
      <w:r w:rsidRPr="0062350D">
        <w:t>so-called</w:t>
      </w:r>
      <w:r w:rsidR="0062350D">
        <w:t xml:space="preserve"> </w:t>
      </w:r>
      <w:r w:rsidRPr="0062350D">
        <w:t>construction</w:t>
      </w:r>
      <w:r w:rsidR="0062350D">
        <w:t xml:space="preserve"> </w:t>
      </w:r>
      <w:r w:rsidRPr="0062350D">
        <w:t>camps.</w:t>
      </w:r>
      <w:r w:rsidR="0062350D">
        <w:t xml:space="preserve"> </w:t>
      </w:r>
      <w:r w:rsidRPr="0062350D">
        <w:t>These</w:t>
      </w:r>
      <w:r w:rsidR="0062350D">
        <w:t xml:space="preserve"> </w:t>
      </w:r>
      <w:r w:rsidRPr="0062350D">
        <w:t>camps</w:t>
      </w:r>
      <w:r w:rsidR="0062350D">
        <w:t xml:space="preserve"> </w:t>
      </w:r>
      <w:r w:rsidRPr="0062350D">
        <w:t>are</w:t>
      </w:r>
      <w:r w:rsidR="0062350D">
        <w:t xml:space="preserve"> </w:t>
      </w:r>
      <w:r w:rsidRPr="0062350D">
        <w:t>used</w:t>
      </w:r>
      <w:r w:rsidR="0062350D">
        <w:t xml:space="preserve"> </w:t>
      </w:r>
      <w:r w:rsidRPr="0062350D">
        <w:t>to</w:t>
      </w:r>
      <w:r w:rsidR="0062350D">
        <w:t xml:space="preserve"> </w:t>
      </w:r>
      <w:r w:rsidRPr="0062350D">
        <w:t>meet</w:t>
      </w:r>
      <w:r w:rsidR="0062350D">
        <w:t xml:space="preserve"> </w:t>
      </w:r>
      <w:r w:rsidRPr="0062350D">
        <w:t>the</w:t>
      </w:r>
      <w:r w:rsidR="0062350D">
        <w:t xml:space="preserve"> </w:t>
      </w:r>
      <w:r w:rsidRPr="0062350D">
        <w:t>specific</w:t>
      </w:r>
      <w:r w:rsidR="0062350D">
        <w:t xml:space="preserve"> </w:t>
      </w:r>
      <w:r w:rsidRPr="0062350D">
        <w:t>needs</w:t>
      </w:r>
      <w:r w:rsidR="0062350D">
        <w:t xml:space="preserve"> </w:t>
      </w:r>
      <w:r w:rsidRPr="0062350D">
        <w:t>of</w:t>
      </w:r>
      <w:r w:rsidR="0062350D">
        <w:t xml:space="preserve"> </w:t>
      </w:r>
      <w:r w:rsidRPr="0062350D">
        <w:t>individuals</w:t>
      </w:r>
      <w:r w:rsidR="0062350D">
        <w:t xml:space="preserve"> </w:t>
      </w:r>
      <w:r w:rsidRPr="0062350D">
        <w:t>that</w:t>
      </w:r>
      <w:r w:rsidR="0062350D">
        <w:t xml:space="preserve"> </w:t>
      </w:r>
      <w:r w:rsidRPr="0062350D">
        <w:t>cannot</w:t>
      </w:r>
      <w:r w:rsidR="0062350D">
        <w:t xml:space="preserve"> </w:t>
      </w:r>
      <w:r w:rsidRPr="0062350D">
        <w:t>be</w:t>
      </w:r>
      <w:r w:rsidR="0062350D">
        <w:t xml:space="preserve"> </w:t>
      </w:r>
      <w:r w:rsidRPr="0062350D">
        <w:t>fulfilled</w:t>
      </w:r>
      <w:r w:rsidR="0062350D">
        <w:t xml:space="preserve"> </w:t>
      </w:r>
      <w:r w:rsidRPr="0062350D">
        <w:t>in</w:t>
      </w:r>
      <w:r w:rsidR="0062350D">
        <w:t xml:space="preserve"> </w:t>
      </w:r>
      <w:r w:rsidRPr="0062350D">
        <w:t>regular</w:t>
      </w:r>
      <w:r w:rsidR="0062350D">
        <w:t xml:space="preserve"> </w:t>
      </w:r>
      <w:r w:rsidRPr="0062350D">
        <w:t>immigration</w:t>
      </w:r>
      <w:r w:rsidR="0062350D">
        <w:t xml:space="preserve"> </w:t>
      </w:r>
      <w:r w:rsidRPr="0062350D">
        <w:t>detention</w:t>
      </w:r>
      <w:r w:rsidR="0062350D">
        <w:t xml:space="preserve"> </w:t>
      </w:r>
      <w:r w:rsidRPr="0062350D">
        <w:t>centres</w:t>
      </w:r>
      <w:r w:rsidR="0062350D">
        <w:t xml:space="preserve"> </w:t>
      </w:r>
      <w:r w:rsidRPr="0062350D">
        <w:t>or</w:t>
      </w:r>
      <w:r w:rsidR="0062350D">
        <w:t xml:space="preserve"> </w:t>
      </w:r>
      <w:r w:rsidRPr="0062350D">
        <w:t>in</w:t>
      </w:r>
      <w:r w:rsidR="0062350D">
        <w:t xml:space="preserve"> </w:t>
      </w:r>
      <w:r w:rsidRPr="0062350D">
        <w:t>community</w:t>
      </w:r>
      <w:r w:rsidR="0062350D">
        <w:t xml:space="preserve"> </w:t>
      </w:r>
      <w:r w:rsidRPr="0062350D">
        <w:t>detention.</w:t>
      </w:r>
      <w:r w:rsidR="0062350D">
        <w:t xml:space="preserve"> </w:t>
      </w:r>
      <w:r w:rsidRPr="0062350D">
        <w:t>They</w:t>
      </w:r>
      <w:r w:rsidR="0062350D">
        <w:t xml:space="preserve"> </w:t>
      </w:r>
      <w:r w:rsidRPr="0062350D">
        <w:t>include</w:t>
      </w:r>
      <w:r w:rsidR="0062350D">
        <w:t xml:space="preserve"> </w:t>
      </w:r>
      <w:r w:rsidRPr="0062350D">
        <w:t>facility-based</w:t>
      </w:r>
      <w:r w:rsidR="0062350D">
        <w:t xml:space="preserve"> </w:t>
      </w:r>
      <w:r w:rsidRPr="0062350D">
        <w:t>forms</w:t>
      </w:r>
      <w:r w:rsidR="0062350D">
        <w:t xml:space="preserve"> </w:t>
      </w:r>
      <w:r w:rsidRPr="0062350D">
        <w:t>of</w:t>
      </w:r>
      <w:r w:rsidR="0062350D">
        <w:t xml:space="preserve"> </w:t>
      </w:r>
      <w:r w:rsidRPr="0062350D">
        <w:t>detention</w:t>
      </w:r>
      <w:r w:rsidR="0062350D">
        <w:t xml:space="preserve"> </w:t>
      </w:r>
      <w:r w:rsidRPr="0062350D">
        <w:t>(e.g.,</w:t>
      </w:r>
      <w:r w:rsidR="0062350D">
        <w:t xml:space="preserve"> </w:t>
      </w:r>
      <w:r w:rsidRPr="0062350D">
        <w:t>immigration</w:t>
      </w:r>
      <w:r w:rsidR="0062350D">
        <w:t xml:space="preserve"> </w:t>
      </w:r>
      <w:r w:rsidRPr="0062350D">
        <w:t>residential</w:t>
      </w:r>
      <w:r w:rsidR="0062350D">
        <w:t xml:space="preserve"> </w:t>
      </w:r>
      <w:r w:rsidRPr="0062350D">
        <w:t>housing)</w:t>
      </w:r>
      <w:r w:rsidR="0062350D">
        <w:t xml:space="preserve"> </w:t>
      </w:r>
      <w:r w:rsidRPr="0062350D">
        <w:t>and</w:t>
      </w:r>
      <w:r w:rsidR="0062350D">
        <w:t xml:space="preserve"> </w:t>
      </w:r>
      <w:r w:rsidRPr="0062350D">
        <w:t>specifically</w:t>
      </w:r>
      <w:r w:rsidR="0062350D">
        <w:t xml:space="preserve"> </w:t>
      </w:r>
      <w:r w:rsidRPr="0062350D">
        <w:t>designated</w:t>
      </w:r>
      <w:r w:rsidR="0062350D">
        <w:t xml:space="preserve"> </w:t>
      </w:r>
      <w:r w:rsidRPr="0062350D">
        <w:t>places</w:t>
      </w:r>
      <w:r w:rsidR="0062350D">
        <w:t xml:space="preserve"> </w:t>
      </w:r>
      <w:r w:rsidRPr="0062350D">
        <w:t>in</w:t>
      </w:r>
      <w:r w:rsidR="0062350D">
        <w:t xml:space="preserve"> </w:t>
      </w:r>
      <w:r w:rsidRPr="0062350D">
        <w:t>the</w:t>
      </w:r>
      <w:r w:rsidR="0062350D">
        <w:t xml:space="preserve"> </w:t>
      </w:r>
      <w:r w:rsidRPr="0062350D">
        <w:t>broader</w:t>
      </w:r>
      <w:r w:rsidR="0062350D">
        <w:t xml:space="preserve"> </w:t>
      </w:r>
      <w:r w:rsidRPr="0062350D">
        <w:t>community.</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further</w:t>
      </w:r>
      <w:r w:rsidR="0062350D">
        <w:t xml:space="preserve"> </w:t>
      </w:r>
      <w:r w:rsidRPr="0062350D">
        <w:t>notes</w:t>
      </w:r>
      <w:r w:rsidR="0062350D">
        <w:t xml:space="preserve"> </w:t>
      </w:r>
      <w:r w:rsidRPr="0062350D">
        <w:t>that</w:t>
      </w:r>
      <w:r w:rsidR="0062350D">
        <w:t xml:space="preserve"> </w:t>
      </w:r>
      <w:r w:rsidRPr="0062350D">
        <w:t>immigration</w:t>
      </w:r>
      <w:r w:rsidR="0062350D">
        <w:t xml:space="preserve"> </w:t>
      </w:r>
      <w:r w:rsidRPr="0062350D">
        <w:t>detention</w:t>
      </w:r>
      <w:r w:rsidR="0062350D">
        <w:t xml:space="preserve"> </w:t>
      </w:r>
      <w:r w:rsidRPr="0062350D">
        <w:t>is</w:t>
      </w:r>
      <w:r w:rsidR="0062350D">
        <w:t xml:space="preserve"> </w:t>
      </w:r>
      <w:r w:rsidRPr="0062350D">
        <w:t>subject</w:t>
      </w:r>
      <w:r w:rsidR="0062350D">
        <w:t xml:space="preserve"> </w:t>
      </w:r>
      <w:r w:rsidRPr="0062350D">
        <w:t>to</w:t>
      </w:r>
      <w:r w:rsidR="0062350D">
        <w:t xml:space="preserve"> </w:t>
      </w:r>
      <w:r w:rsidRPr="0062350D">
        <w:t>regular</w:t>
      </w:r>
      <w:r w:rsidR="0062350D">
        <w:t xml:space="preserve"> </w:t>
      </w:r>
      <w:r w:rsidRPr="0062350D">
        <w:t>review</w:t>
      </w:r>
      <w:r w:rsidR="0062350D">
        <w:t xml:space="preserve"> </w:t>
      </w:r>
      <w:r w:rsidRPr="0062350D">
        <w:t>to</w:t>
      </w:r>
      <w:r w:rsidR="0062350D">
        <w:t xml:space="preserve"> </w:t>
      </w:r>
      <w:r w:rsidRPr="0062350D">
        <w:t>ensure</w:t>
      </w:r>
      <w:r w:rsidR="0062350D">
        <w:t xml:space="preserve"> </w:t>
      </w:r>
      <w:r w:rsidRPr="0062350D">
        <w:t>that</w:t>
      </w:r>
      <w:r w:rsidR="0062350D">
        <w:t xml:space="preserve"> </w:t>
      </w:r>
      <w:r w:rsidRPr="0062350D">
        <w:t>detention</w:t>
      </w:r>
      <w:r w:rsidR="0062350D">
        <w:t xml:space="preserve"> </w:t>
      </w:r>
      <w:r w:rsidRPr="0062350D">
        <w:t>arrangements</w:t>
      </w:r>
      <w:r w:rsidR="0062350D">
        <w:t xml:space="preserve"> </w:t>
      </w:r>
      <w:r w:rsidRPr="0062350D">
        <w:t>remain</w:t>
      </w:r>
      <w:r w:rsidR="0062350D">
        <w:t xml:space="preserve"> </w:t>
      </w:r>
      <w:r w:rsidRPr="0062350D">
        <w:t>appropriate.</w:t>
      </w:r>
      <w:r w:rsidR="0062350D">
        <w:t xml:space="preserve"> </w:t>
      </w:r>
      <w:r w:rsidRPr="0062350D">
        <w:t>In</w:t>
      </w:r>
      <w:r w:rsidR="0062350D">
        <w:t xml:space="preserve"> </w:t>
      </w:r>
      <w:r w:rsidRPr="0062350D">
        <w:t>the</w:t>
      </w:r>
      <w:r w:rsidR="0062350D">
        <w:t xml:space="preserve"> </w:t>
      </w:r>
      <w:r w:rsidRPr="0062350D">
        <w:t>light</w:t>
      </w:r>
      <w:r w:rsidR="0062350D">
        <w:t xml:space="preserve"> </w:t>
      </w:r>
      <w:r w:rsidRPr="0062350D">
        <w:t>of</w:t>
      </w:r>
      <w:r w:rsidR="0062350D">
        <w:t xml:space="preserve"> </w:t>
      </w:r>
      <w:r w:rsidRPr="0062350D">
        <w:t>the</w:t>
      </w:r>
      <w:r w:rsidR="0062350D">
        <w:t xml:space="preserve"> </w:t>
      </w:r>
      <w:r w:rsidRPr="0062350D">
        <w:t>abovementioned</w:t>
      </w:r>
      <w:r w:rsidR="0062350D">
        <w:t xml:space="preserve"> </w:t>
      </w:r>
      <w:r w:rsidRPr="0062350D">
        <w:t>factors,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concludes</w:t>
      </w:r>
      <w:r w:rsidR="0062350D">
        <w:t xml:space="preserve"> </w:t>
      </w:r>
      <w:r w:rsidRPr="0062350D">
        <w:t>that</w:t>
      </w:r>
      <w:r w:rsidR="0062350D">
        <w:t xml:space="preserve"> </w:t>
      </w:r>
      <w:r w:rsidRPr="0062350D">
        <w:t>the</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adequate</w:t>
      </w:r>
      <w:r w:rsidR="0062350D">
        <w:t xml:space="preserve"> </w:t>
      </w:r>
      <w:r w:rsidRPr="0062350D">
        <w:t>and</w:t>
      </w:r>
      <w:r w:rsidR="0062350D">
        <w:t xml:space="preserve"> </w:t>
      </w:r>
      <w:r w:rsidRPr="0062350D">
        <w:t>in</w:t>
      </w:r>
      <w:r w:rsidR="0062350D">
        <w:t xml:space="preserve"> </w:t>
      </w:r>
      <w:r w:rsidRPr="0062350D">
        <w:t>compliance</w:t>
      </w:r>
      <w:r w:rsidR="0062350D">
        <w:t xml:space="preserve"> </w:t>
      </w:r>
      <w:r w:rsidRPr="0062350D">
        <w:t>with</w:t>
      </w:r>
      <w:r w:rsidR="0062350D">
        <w:t xml:space="preserve"> </w:t>
      </w:r>
      <w:r w:rsidRPr="0062350D">
        <w:t>requirements</w:t>
      </w:r>
      <w:r w:rsidR="0062350D">
        <w:t xml:space="preserve"> </w:t>
      </w:r>
      <w:r w:rsidRPr="0062350D">
        <w:t>of</w:t>
      </w:r>
      <w:r w:rsidR="0062350D">
        <w:t xml:space="preserve"> </w:t>
      </w:r>
      <w:r w:rsidRPr="0062350D">
        <w:t>article</w:t>
      </w:r>
      <w:r w:rsidR="0062350D">
        <w:t xml:space="preserve"> </w:t>
      </w:r>
      <w:r w:rsidRPr="0062350D">
        <w:t>10</w:t>
      </w:r>
      <w:r w:rsidR="0062350D">
        <w:t xml:space="preserve"> </w:t>
      </w:r>
      <w:r w:rsidRPr="0062350D">
        <w:t>of</w:t>
      </w:r>
      <w:r w:rsidR="0062350D">
        <w:t xml:space="preserve"> </w:t>
      </w:r>
      <w:r w:rsidRPr="0062350D">
        <w:t>the</w:t>
      </w:r>
      <w:r w:rsidR="0062350D">
        <w:t xml:space="preserve"> </w:t>
      </w:r>
      <w:r w:rsidRPr="0062350D">
        <w:t>Covenant.</w:t>
      </w:r>
    </w:p>
    <w:p w14:paraId="56E0B42E" w14:textId="0FA74D26" w:rsidR="0062350D" w:rsidRPr="0062350D" w:rsidRDefault="007F12C3" w:rsidP="005D6A3F">
      <w:pPr>
        <w:pStyle w:val="SingleTxtG"/>
      </w:pPr>
      <w:r w:rsidRPr="0062350D">
        <w:t>4.7</w:t>
      </w:r>
      <w:r w:rsidRPr="0062350D">
        <w:tab/>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failed</w:t>
      </w:r>
      <w:r w:rsidR="0062350D">
        <w:t xml:space="preserve"> </w:t>
      </w:r>
      <w:r w:rsidRPr="0062350D">
        <w:t>to</w:t>
      </w:r>
      <w:r w:rsidR="0062350D">
        <w:t xml:space="preserve"> </w:t>
      </w:r>
      <w:r w:rsidRPr="0062350D">
        <w:t>substantiate</w:t>
      </w:r>
      <w:r w:rsidR="0062350D">
        <w:t xml:space="preserve"> </w:t>
      </w:r>
      <w:r w:rsidRPr="0062350D">
        <w:t>their</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9</w:t>
      </w:r>
      <w:r w:rsidR="0062350D">
        <w:t xml:space="preserve"> </w:t>
      </w:r>
      <w:r w:rsidRPr="0062350D">
        <w:t>(1)</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did</w:t>
      </w:r>
      <w:r w:rsidR="0062350D">
        <w:t xml:space="preserve"> </w:t>
      </w:r>
      <w:r w:rsidRPr="0062350D">
        <w:t>not</w:t>
      </w:r>
      <w:r w:rsidR="0062350D">
        <w:t xml:space="preserve"> </w:t>
      </w:r>
      <w:r w:rsidRPr="0062350D">
        <w:t>submit</w:t>
      </w:r>
      <w:r w:rsidR="0062350D">
        <w:t xml:space="preserve"> </w:t>
      </w:r>
      <w:r w:rsidRPr="0062350D">
        <w:t>sufficient</w:t>
      </w:r>
      <w:r w:rsidR="0062350D">
        <w:t xml:space="preserve"> </w:t>
      </w:r>
      <w:r w:rsidRPr="0062350D">
        <w:t>evidence</w:t>
      </w:r>
      <w:r w:rsidR="0062350D">
        <w:t xml:space="preserve"> </w:t>
      </w:r>
      <w:r w:rsidRPr="0062350D">
        <w:t>to</w:t>
      </w:r>
      <w:r w:rsidR="0062350D">
        <w:t xml:space="preserve"> </w:t>
      </w:r>
      <w:r w:rsidRPr="0062350D">
        <w:t>show</w:t>
      </w:r>
      <w:r w:rsidR="0062350D">
        <w:t xml:space="preserve"> </w:t>
      </w:r>
      <w:r w:rsidRPr="0062350D">
        <w:t>that</w:t>
      </w:r>
      <w:r w:rsidR="0062350D">
        <w:t xml:space="preserve"> </w:t>
      </w:r>
      <w:r w:rsidRPr="0062350D">
        <w:t>their</w:t>
      </w:r>
      <w:r w:rsidR="0062350D">
        <w:t xml:space="preserve"> </w:t>
      </w:r>
      <w:r w:rsidRPr="0062350D">
        <w:t>detention</w:t>
      </w:r>
      <w:r w:rsidR="0062350D">
        <w:t xml:space="preserve"> </w:t>
      </w:r>
      <w:r w:rsidRPr="0062350D">
        <w:t>was</w:t>
      </w:r>
      <w:r w:rsidR="0062350D">
        <w:t xml:space="preserve"> </w:t>
      </w:r>
      <w:r w:rsidRPr="0062350D">
        <w:t>in</w:t>
      </w:r>
      <w:r w:rsidR="0062350D">
        <w:t xml:space="preserve"> </w:t>
      </w:r>
      <w:r w:rsidRPr="0062350D">
        <w:t>violation</w:t>
      </w:r>
      <w:r w:rsidR="0062350D">
        <w:t xml:space="preserve"> </w:t>
      </w:r>
      <w:r w:rsidRPr="0062350D">
        <w:t>of</w:t>
      </w:r>
      <w:r w:rsidR="0062350D">
        <w:t xml:space="preserve"> </w:t>
      </w:r>
      <w:r w:rsidRPr="0062350D">
        <w:t>domestic</w:t>
      </w:r>
      <w:r w:rsidR="0062350D">
        <w:t xml:space="preserve"> </w:t>
      </w:r>
      <w:r w:rsidRPr="0062350D">
        <w:t>law</w:t>
      </w:r>
      <w:r w:rsidR="0062350D">
        <w:t xml:space="preserve"> </w:t>
      </w:r>
      <w:r w:rsidRPr="0062350D">
        <w:t>or</w:t>
      </w:r>
      <w:r w:rsidR="0062350D">
        <w:t xml:space="preserve"> </w:t>
      </w:r>
      <w:r w:rsidRPr="0062350D">
        <w:t>otherwise</w:t>
      </w:r>
      <w:r w:rsidR="0062350D">
        <w:t xml:space="preserve"> </w:t>
      </w:r>
      <w:r w:rsidRPr="0062350D">
        <w:t>arbitrary.</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all</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detained</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procedure</w:t>
      </w:r>
      <w:r w:rsidR="0062350D">
        <w:t xml:space="preserve"> </w:t>
      </w:r>
      <w:r w:rsidRPr="0062350D">
        <w:t>provided</w:t>
      </w:r>
      <w:r w:rsidR="0062350D">
        <w:t xml:space="preserve"> </w:t>
      </w:r>
      <w:r w:rsidRPr="0062350D">
        <w:t>by</w:t>
      </w:r>
      <w:r w:rsidR="0062350D">
        <w:t xml:space="preserve"> </w:t>
      </w:r>
      <w:r w:rsidRPr="0062350D">
        <w:t>the</w:t>
      </w:r>
      <w:r w:rsidR="0062350D">
        <w:t xml:space="preserve"> </w:t>
      </w:r>
      <w:r w:rsidRPr="0062350D">
        <w:t>Migration</w:t>
      </w:r>
      <w:r w:rsidR="0062350D">
        <w:t xml:space="preserve"> </w:t>
      </w:r>
      <w:r w:rsidRPr="0062350D">
        <w:t>Act.</w:t>
      </w:r>
      <w:r w:rsidR="0062350D">
        <w:t xml:space="preserve"> </w:t>
      </w:r>
      <w:r w:rsidRPr="0062350D">
        <w:t>Their</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was</w:t>
      </w:r>
      <w:r w:rsidR="0062350D">
        <w:t xml:space="preserve"> </w:t>
      </w:r>
      <w:r w:rsidRPr="0062350D">
        <w:t>as</w:t>
      </w:r>
      <w:r w:rsidR="0062350D">
        <w:t xml:space="preserve"> </w:t>
      </w:r>
      <w:r w:rsidRPr="0062350D">
        <w:t>short</w:t>
      </w:r>
      <w:r w:rsidR="0062350D">
        <w:t xml:space="preserve"> </w:t>
      </w:r>
      <w:r w:rsidRPr="0062350D">
        <w:t>as</w:t>
      </w:r>
      <w:r w:rsidR="0062350D">
        <w:t xml:space="preserve"> </w:t>
      </w:r>
      <w:r w:rsidRPr="0062350D">
        <w:t>possible.</w:t>
      </w:r>
      <w:r w:rsidR="0062350D">
        <w:t xml:space="preserve"> </w:t>
      </w:r>
      <w:r w:rsidRPr="0062350D">
        <w:t>Alternatives</w:t>
      </w:r>
      <w:r w:rsidR="0062350D">
        <w:t xml:space="preserve"> </w:t>
      </w:r>
      <w:r w:rsidRPr="0062350D">
        <w:t>measures,</w:t>
      </w:r>
      <w:r w:rsidR="0062350D">
        <w:t xml:space="preserve"> </w:t>
      </w:r>
      <w:r w:rsidRPr="0062350D">
        <w:t>length</w:t>
      </w:r>
      <w:r w:rsidR="0062350D">
        <w:t xml:space="preserve"> </w:t>
      </w:r>
      <w:r w:rsidRPr="0062350D">
        <w:t>and</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were</w:t>
      </w:r>
      <w:r w:rsidR="0062350D">
        <w:t xml:space="preserve"> </w:t>
      </w:r>
      <w:r w:rsidRPr="0062350D">
        <w:t>subject</w:t>
      </w:r>
      <w:r w:rsidR="0062350D">
        <w:t xml:space="preserve"> </w:t>
      </w:r>
      <w:r w:rsidRPr="0062350D">
        <w:t>to</w:t>
      </w:r>
      <w:r w:rsidR="0062350D">
        <w:t xml:space="preserve"> </w:t>
      </w:r>
      <w:r w:rsidRPr="0062350D">
        <w:t>regular</w:t>
      </w:r>
      <w:r w:rsidR="0062350D">
        <w:t xml:space="preserve"> </w:t>
      </w:r>
      <w:r w:rsidRPr="0062350D">
        <w:t>administrative</w:t>
      </w:r>
      <w:r w:rsidR="0062350D">
        <w:t xml:space="preserve"> </w:t>
      </w:r>
      <w:r w:rsidRPr="0062350D">
        <w:t>review.</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review</w:t>
      </w:r>
      <w:r w:rsidR="0062350D">
        <w:t xml:space="preserve"> </w:t>
      </w:r>
      <w:r w:rsidRPr="0062350D">
        <w:t>of</w:t>
      </w:r>
      <w:r w:rsidR="0062350D">
        <w:t xml:space="preserve"> </w:t>
      </w:r>
      <w:r w:rsidRPr="0062350D">
        <w:t>immigration</w:t>
      </w:r>
      <w:r w:rsidR="0062350D">
        <w:t xml:space="preserve"> </w:t>
      </w:r>
      <w:r w:rsidRPr="0062350D">
        <w:t>detention</w:t>
      </w:r>
      <w:r w:rsidR="0062350D">
        <w:t xml:space="preserve"> </w:t>
      </w:r>
      <w:r w:rsidRPr="0062350D">
        <w:t>(including</w:t>
      </w:r>
      <w:r w:rsidR="0062350D">
        <w:t xml:space="preserve"> </w:t>
      </w:r>
      <w:r w:rsidRPr="0062350D">
        <w:t>the</w:t>
      </w:r>
      <w:r w:rsidR="0062350D">
        <w:t xml:space="preserve"> </w:t>
      </w:r>
      <w:r w:rsidRPr="0062350D">
        <w:t>review</w:t>
      </w:r>
      <w:r w:rsidR="0062350D">
        <w:t xml:space="preserve"> </w:t>
      </w:r>
      <w:r w:rsidRPr="0062350D">
        <w:t>of</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is</w:t>
      </w:r>
      <w:r w:rsidR="0062350D">
        <w:t xml:space="preserve"> </w:t>
      </w:r>
      <w:r w:rsidRPr="0062350D">
        <w:t>conducted</w:t>
      </w:r>
      <w:r w:rsidR="0062350D">
        <w:t xml:space="preserve"> </w:t>
      </w:r>
      <w:r w:rsidRPr="0062350D">
        <w:t>by</w:t>
      </w:r>
      <w:r w:rsidR="0062350D">
        <w:t xml:space="preserve"> </w:t>
      </w:r>
      <w:r w:rsidRPr="0062350D">
        <w:t>case</w:t>
      </w:r>
      <w:r w:rsidR="0062350D">
        <w:t xml:space="preserve"> </w:t>
      </w:r>
      <w:r w:rsidRPr="0062350D">
        <w:t>managers</w:t>
      </w:r>
      <w:r w:rsidR="0062350D">
        <w:t xml:space="preserve"> </w:t>
      </w:r>
      <w:r w:rsidRPr="0062350D">
        <w:t>from</w:t>
      </w:r>
      <w:r w:rsidR="0062350D">
        <w:t xml:space="preserve"> </w:t>
      </w:r>
      <w:r w:rsidRPr="0062350D">
        <w:t>the</w:t>
      </w:r>
      <w:r w:rsidR="0062350D">
        <w:t xml:space="preserve"> </w:t>
      </w:r>
      <w:r w:rsidRPr="0062350D">
        <w:t>Department</w:t>
      </w:r>
      <w:r w:rsidR="0062350D">
        <w:t xml:space="preserve"> </w:t>
      </w:r>
      <w:r w:rsidRPr="0062350D">
        <w:t>of</w:t>
      </w:r>
      <w:r w:rsidR="0062350D">
        <w:t xml:space="preserve"> </w:t>
      </w:r>
      <w:r w:rsidRPr="0062350D">
        <w:t>Immigration</w:t>
      </w:r>
      <w:r w:rsidR="0062350D">
        <w:t xml:space="preserve"> </w:t>
      </w:r>
      <w:r w:rsidRPr="0062350D">
        <w:t>and</w:t>
      </w:r>
      <w:r w:rsidR="0062350D">
        <w:t xml:space="preserve"> </w:t>
      </w:r>
      <w:r w:rsidRPr="0062350D">
        <w:t>Border</w:t>
      </w:r>
      <w:r w:rsidR="0062350D">
        <w:t xml:space="preserve"> </w:t>
      </w:r>
      <w:r w:rsidRPr="0062350D">
        <w:t>Protection</w:t>
      </w:r>
      <w:r w:rsidR="0062350D">
        <w:t xml:space="preserve"> </w:t>
      </w:r>
      <w:r w:rsidRPr="0062350D">
        <w:t>and</w:t>
      </w:r>
      <w:r w:rsidR="0062350D">
        <w:t xml:space="preserve"> </w:t>
      </w:r>
      <w:r w:rsidRPr="0062350D">
        <w:t>by</w:t>
      </w:r>
      <w:r w:rsidR="0062350D">
        <w:t xml:space="preserve"> </w:t>
      </w:r>
      <w:r w:rsidRPr="0062350D">
        <w:t>the</w:t>
      </w:r>
      <w:r w:rsidR="0062350D">
        <w:t xml:space="preserve"> </w:t>
      </w:r>
      <w:r w:rsidRPr="0062350D">
        <w:t>Commonwealth</w:t>
      </w:r>
      <w:r w:rsidR="0062350D">
        <w:t xml:space="preserve"> </w:t>
      </w:r>
      <w:r w:rsidRPr="0062350D">
        <w:t>Ombudsman.</w:t>
      </w:r>
      <w:r w:rsidR="0062350D">
        <w:t xml:space="preserve"> </w:t>
      </w:r>
      <w:r w:rsidRPr="0062350D">
        <w:t>The</w:t>
      </w:r>
      <w:r w:rsidR="0062350D">
        <w:t xml:space="preserve"> </w:t>
      </w:r>
      <w:r w:rsidRPr="0062350D">
        <w:t>latter</w:t>
      </w:r>
      <w:r w:rsidR="0062350D">
        <w:t xml:space="preserve"> </w:t>
      </w:r>
      <w:r w:rsidRPr="0062350D">
        <w:t>has</w:t>
      </w:r>
      <w:r w:rsidR="0062350D">
        <w:t xml:space="preserve"> </w:t>
      </w:r>
      <w:r w:rsidRPr="0062350D">
        <w:t>an</w:t>
      </w:r>
      <w:r w:rsidR="0062350D">
        <w:t xml:space="preserve"> </w:t>
      </w:r>
      <w:r w:rsidRPr="0062350D">
        <w:t>obligation</w:t>
      </w:r>
      <w:r w:rsidR="0062350D">
        <w:t xml:space="preserve"> </w:t>
      </w:r>
      <w:r w:rsidRPr="0062350D">
        <w:t>to</w:t>
      </w:r>
      <w:r w:rsidR="0062350D">
        <w:t xml:space="preserve"> </w:t>
      </w:r>
      <w:r w:rsidRPr="0062350D">
        <w:t>investigate</w:t>
      </w:r>
      <w:r w:rsidR="0062350D">
        <w:t xml:space="preserve"> </w:t>
      </w:r>
      <w:r w:rsidRPr="0062350D">
        <w:t>a</w:t>
      </w:r>
      <w:r w:rsidR="0062350D">
        <w:t xml:space="preserve"> </w:t>
      </w:r>
      <w:r w:rsidRPr="0062350D">
        <w:t>person</w:t>
      </w:r>
      <w:r w:rsidR="0062350D" w:rsidRPr="0062350D">
        <w:t>’</w:t>
      </w:r>
      <w:r w:rsidRPr="0062350D">
        <w:t>s</w:t>
      </w:r>
      <w:r w:rsidR="0062350D">
        <w:t xml:space="preserve"> </w:t>
      </w:r>
      <w:r w:rsidRPr="0062350D">
        <w:t>case,</w:t>
      </w:r>
      <w:r w:rsidR="0062350D">
        <w:t xml:space="preserve"> </w:t>
      </w:r>
      <w:r w:rsidRPr="0062350D">
        <w:t>after</w:t>
      </w:r>
      <w:r w:rsidR="0062350D">
        <w:t xml:space="preserve"> </w:t>
      </w:r>
      <w:r w:rsidRPr="0062350D">
        <w:t>he</w:t>
      </w:r>
      <w:r w:rsidR="0062350D">
        <w:t xml:space="preserve"> </w:t>
      </w:r>
      <w:r w:rsidRPr="0062350D">
        <w:t>or</w:t>
      </w:r>
      <w:r w:rsidR="0062350D">
        <w:t xml:space="preserve"> </w:t>
      </w:r>
      <w:r w:rsidRPr="0062350D">
        <w:t>she</w:t>
      </w:r>
      <w:r w:rsidR="0062350D">
        <w:t xml:space="preserve"> </w:t>
      </w:r>
      <w:r w:rsidRPr="0062350D">
        <w:t>has</w:t>
      </w:r>
      <w:r w:rsidR="0062350D">
        <w:t xml:space="preserve"> </w:t>
      </w:r>
      <w:r w:rsidRPr="0062350D">
        <w:t>spent</w:t>
      </w:r>
      <w:r w:rsidR="0062350D">
        <w:t xml:space="preserve"> </w:t>
      </w:r>
      <w:r w:rsidRPr="0062350D">
        <w:t>two</w:t>
      </w:r>
      <w:r w:rsidR="0062350D">
        <w:t xml:space="preserve"> </w:t>
      </w:r>
      <w:r w:rsidRPr="0062350D">
        <w:t>years</w:t>
      </w:r>
      <w:r w:rsidR="0062350D">
        <w:t xml:space="preserve"> </w:t>
      </w:r>
      <w:r w:rsidRPr="0062350D">
        <w:t>in</w:t>
      </w:r>
      <w:r w:rsidR="0062350D">
        <w:t xml:space="preserve"> </w:t>
      </w:r>
      <w:r w:rsidRPr="0062350D">
        <w:t>immigration</w:t>
      </w:r>
      <w:r w:rsidR="0062350D">
        <w:t xml:space="preserve"> </w:t>
      </w:r>
      <w:r w:rsidRPr="0062350D">
        <w:t>detention.</w:t>
      </w:r>
      <w:r w:rsidR="0062350D">
        <w:t xml:space="preserve"> </w:t>
      </w:r>
      <w:r w:rsidRPr="0062350D">
        <w:t>The</w:t>
      </w:r>
      <w:r w:rsidR="0062350D">
        <w:t xml:space="preserve"> </w:t>
      </w:r>
      <w:r w:rsidRPr="0062350D">
        <w:t>case</w:t>
      </w:r>
      <w:r w:rsidR="0062350D">
        <w:t xml:space="preserve"> </w:t>
      </w:r>
      <w:r w:rsidRPr="0062350D">
        <w:t>managers</w:t>
      </w:r>
      <w:r w:rsidR="0062350D">
        <w:t xml:space="preserve"> </w:t>
      </w:r>
      <w:r w:rsidRPr="0062350D">
        <w:t>from</w:t>
      </w:r>
      <w:r w:rsidR="0062350D">
        <w:t xml:space="preserve"> </w:t>
      </w:r>
      <w:r w:rsidRPr="0062350D">
        <w:t>the</w:t>
      </w:r>
      <w:r w:rsidR="0062350D">
        <w:t xml:space="preserve"> </w:t>
      </w:r>
      <w:r w:rsidRPr="0062350D">
        <w:t>Department</w:t>
      </w:r>
      <w:r w:rsidR="0062350D">
        <w:t xml:space="preserve"> </w:t>
      </w:r>
      <w:r w:rsidRPr="0062350D">
        <w:t>perform</w:t>
      </w:r>
      <w:r w:rsidR="0062350D">
        <w:t xml:space="preserve"> </w:t>
      </w:r>
      <w:r w:rsidRPr="0062350D">
        <w:t>monthly</w:t>
      </w:r>
      <w:r w:rsidR="0062350D">
        <w:t xml:space="preserve"> </w:t>
      </w:r>
      <w:r w:rsidRPr="0062350D">
        <w:t>reviews</w:t>
      </w:r>
      <w:r w:rsidR="0062350D">
        <w:t xml:space="preserve"> </w:t>
      </w:r>
      <w:r w:rsidRPr="0062350D">
        <w:t>of</w:t>
      </w:r>
      <w:r w:rsidR="0062350D">
        <w:t xml:space="preserve"> </w:t>
      </w:r>
      <w:r w:rsidRPr="0062350D">
        <w:t>individual</w:t>
      </w:r>
      <w:r w:rsidR="0062350D">
        <w:t xml:space="preserve"> </w:t>
      </w:r>
      <w:r w:rsidRPr="0062350D">
        <w:t>detention</w:t>
      </w:r>
      <w:r w:rsidR="0062350D">
        <w:t xml:space="preserve"> </w:t>
      </w:r>
      <w:r w:rsidRPr="0062350D">
        <w:t>placements,</w:t>
      </w:r>
      <w:r w:rsidR="0062350D">
        <w:t xml:space="preserve"> </w:t>
      </w:r>
      <w:r w:rsidRPr="0062350D">
        <w:t>including</w:t>
      </w:r>
      <w:r w:rsidR="0062350D">
        <w:t xml:space="preserve"> </w:t>
      </w:r>
      <w:r w:rsidRPr="0062350D">
        <w:t>the</w:t>
      </w:r>
      <w:r w:rsidR="0062350D">
        <w:t xml:space="preserve"> </w:t>
      </w:r>
      <w:r w:rsidRPr="0062350D">
        <w:t>lawfulness</w:t>
      </w:r>
      <w:r w:rsidR="0062350D">
        <w:t xml:space="preserve"> </w:t>
      </w:r>
      <w:r w:rsidRPr="0062350D">
        <w:t>of</w:t>
      </w:r>
      <w:r w:rsidR="0062350D">
        <w:t xml:space="preserve"> </w:t>
      </w:r>
      <w:r w:rsidRPr="0062350D">
        <w:t>such</w:t>
      </w:r>
      <w:r w:rsidR="0062350D">
        <w:t xml:space="preserve"> </w:t>
      </w:r>
      <w:r w:rsidRPr="0062350D">
        <w:t>detention.</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individual</w:t>
      </w:r>
      <w:r w:rsidR="0062350D">
        <w:t xml:space="preserve"> </w:t>
      </w:r>
      <w:r w:rsidRPr="0062350D">
        <w:t>cases</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handled</w:t>
      </w:r>
      <w:r w:rsidR="0062350D">
        <w:t xml:space="preserve"> </w:t>
      </w:r>
      <w:r w:rsidRPr="0062350D">
        <w:t>by</w:t>
      </w:r>
      <w:r w:rsidR="0062350D">
        <w:t xml:space="preserve"> </w:t>
      </w:r>
      <w:r w:rsidRPr="0062350D">
        <w:t>officers</w:t>
      </w:r>
      <w:r w:rsidR="0062350D">
        <w:t xml:space="preserve"> </w:t>
      </w:r>
      <w:r w:rsidRPr="0062350D">
        <w:t>from</w:t>
      </w:r>
      <w:r w:rsidR="0062350D">
        <w:t xml:space="preserve"> </w:t>
      </w:r>
      <w:r w:rsidRPr="0062350D">
        <w:t>the</w:t>
      </w:r>
      <w:r w:rsidR="0062350D">
        <w:t xml:space="preserve"> </w:t>
      </w:r>
      <w:r w:rsidRPr="0062350D">
        <w:t>Department</w:t>
      </w:r>
      <w:r w:rsidR="0062350D">
        <w:t xml:space="preserve"> </w:t>
      </w:r>
      <w:r w:rsidRPr="0062350D">
        <w:t>in</w:t>
      </w:r>
      <w:r w:rsidR="0062350D">
        <w:t xml:space="preserve"> </w:t>
      </w:r>
      <w:r w:rsidRPr="0062350D">
        <w:t>full</w:t>
      </w:r>
      <w:r w:rsidR="0062350D">
        <w:t xml:space="preserve"> </w:t>
      </w:r>
      <w:r w:rsidRPr="0062350D">
        <w:t>accordance</w:t>
      </w:r>
      <w:r w:rsidR="0062350D">
        <w:t xml:space="preserve"> </w:t>
      </w:r>
      <w:r w:rsidRPr="0062350D">
        <w:t>with</w:t>
      </w:r>
      <w:r w:rsidR="0062350D">
        <w:t xml:space="preserve"> </w:t>
      </w:r>
      <w:r w:rsidRPr="0062350D">
        <w:t>national</w:t>
      </w:r>
      <w:r w:rsidR="0062350D">
        <w:t xml:space="preserve"> </w:t>
      </w:r>
      <w:r w:rsidRPr="0062350D">
        <w:t>law</w:t>
      </w:r>
      <w:r w:rsidR="0062350D">
        <w:t xml:space="preserve"> </w:t>
      </w:r>
      <w:r w:rsidRPr="0062350D">
        <w:t>and</w:t>
      </w:r>
      <w:r w:rsidR="0062350D">
        <w:t xml:space="preserve"> </w:t>
      </w:r>
      <w:r w:rsidRPr="0062350D">
        <w:t>in</w:t>
      </w:r>
      <w:r w:rsidR="0062350D">
        <w:t xml:space="preserve"> </w:t>
      </w:r>
      <w:r w:rsidRPr="0062350D">
        <w:t>the</w:t>
      </w:r>
      <w:r w:rsidR="0062350D">
        <w:t xml:space="preserve"> </w:t>
      </w:r>
      <w:r w:rsidRPr="0062350D">
        <w:t>shortest</w:t>
      </w:r>
      <w:r w:rsidR="0062350D">
        <w:t xml:space="preserve"> </w:t>
      </w:r>
      <w:r w:rsidRPr="0062350D">
        <w:t>time</w:t>
      </w:r>
      <w:r w:rsidR="0062350D">
        <w:t xml:space="preserve"> </w:t>
      </w:r>
      <w:r w:rsidRPr="0062350D">
        <w:t>possible.</w:t>
      </w:r>
    </w:p>
    <w:p w14:paraId="1B918C76" w14:textId="6E83B8CF" w:rsidR="007F12C3" w:rsidRPr="0062350D" w:rsidRDefault="007F12C3" w:rsidP="005D6A3F">
      <w:pPr>
        <w:pStyle w:val="SingleTxtG"/>
      </w:pPr>
      <w:r w:rsidRPr="0062350D">
        <w:t>4.8</w:t>
      </w:r>
      <w:r w:rsidRPr="0062350D">
        <w:tab/>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9</w:t>
      </w:r>
      <w:r w:rsidR="0062350D">
        <w:t xml:space="preserve"> </w:t>
      </w:r>
      <w:r w:rsidRPr="0062350D">
        <w:t>(4)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are</w:t>
      </w:r>
      <w:r w:rsidR="0062350D">
        <w:t xml:space="preserve"> </w:t>
      </w:r>
      <w:r w:rsidRPr="0062350D">
        <w:t>unsubstantiated</w:t>
      </w:r>
      <w:r w:rsidR="0062350D">
        <w:t xml:space="preserve"> </w:t>
      </w:r>
      <w:r w:rsidRPr="0062350D">
        <w:t>and,</w:t>
      </w:r>
      <w:r w:rsidR="0062350D">
        <w:t xml:space="preserve"> </w:t>
      </w:r>
      <w:r w:rsidRPr="0062350D">
        <w:t>therefore,</w:t>
      </w:r>
      <w:r w:rsidR="0062350D">
        <w:t xml:space="preserve"> </w:t>
      </w:r>
      <w:r w:rsidRPr="0062350D">
        <w:t>inadmissible.</w:t>
      </w:r>
      <w:r w:rsidR="0062350D">
        <w:t xml:space="preserve"> </w:t>
      </w:r>
      <w:r w:rsidRPr="0062350D">
        <w:t>Referring</w:t>
      </w:r>
      <w:r w:rsidR="0062350D">
        <w:t xml:space="preserve"> </w:t>
      </w:r>
      <w:r w:rsidRPr="0062350D">
        <w:t>to</w:t>
      </w:r>
      <w:r w:rsidR="0062350D">
        <w:t xml:space="preserve"> </w:t>
      </w:r>
      <w:r w:rsidRPr="0062350D">
        <w:t>the</w:t>
      </w:r>
      <w:r w:rsidR="0062350D">
        <w:t xml:space="preserve"> </w:t>
      </w:r>
      <w:r w:rsidRPr="00A65435">
        <w:rPr>
          <w:i/>
        </w:rPr>
        <w:t>travaux</w:t>
      </w:r>
      <w:r w:rsidR="0062350D" w:rsidRPr="00A65435">
        <w:rPr>
          <w:i/>
        </w:rPr>
        <w:t xml:space="preserve"> </w:t>
      </w:r>
      <w:r w:rsidRPr="00A65435">
        <w:rPr>
          <w:i/>
        </w:rPr>
        <w:t>préparatoires</w:t>
      </w:r>
      <w:r w:rsidR="0062350D">
        <w:t xml:space="preserve"> </w:t>
      </w:r>
      <w:r w:rsidRPr="0062350D">
        <w:t>to</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0062350D" w:rsidRPr="0062350D">
        <w:t>“</w:t>
      </w:r>
      <w:r w:rsidRPr="0062350D">
        <w:t>lawfulness</w:t>
      </w:r>
      <w:r w:rsidR="0062350D">
        <w:t xml:space="preserve"> </w:t>
      </w:r>
      <w:r w:rsidRPr="0062350D">
        <w:t>of</w:t>
      </w:r>
      <w:r w:rsidR="0062350D">
        <w:t xml:space="preserve"> </w:t>
      </w:r>
      <w:r w:rsidRPr="0062350D">
        <w:t>detention</w:t>
      </w:r>
      <w:r w:rsidR="0062350D" w:rsidRPr="0062350D">
        <w:t>”</w:t>
      </w:r>
      <w:r w:rsidR="0062350D">
        <w:t xml:space="preserve"> </w:t>
      </w:r>
      <w:r w:rsidRPr="0062350D">
        <w:t>implies</w:t>
      </w:r>
      <w:r w:rsidR="0062350D">
        <w:t xml:space="preserve"> </w:t>
      </w:r>
      <w:r w:rsidRPr="0062350D">
        <w:t>compliance</w:t>
      </w:r>
      <w:r w:rsidR="0062350D">
        <w:t xml:space="preserve"> </w:t>
      </w:r>
      <w:r w:rsidRPr="0062350D">
        <w:t>with</w:t>
      </w:r>
      <w:r w:rsidR="0062350D">
        <w:t xml:space="preserve"> </w:t>
      </w:r>
      <w:r w:rsidRPr="0062350D">
        <w:t>national</w:t>
      </w:r>
      <w:r w:rsidR="0062350D">
        <w:t xml:space="preserve"> </w:t>
      </w:r>
      <w:r w:rsidRPr="0062350D">
        <w:t>law</w:t>
      </w:r>
      <w:r w:rsidR="0062350D">
        <w:t xml:space="preserve"> </w:t>
      </w:r>
      <w:r w:rsidRPr="0062350D">
        <w:t>of</w:t>
      </w:r>
      <w:r w:rsidR="0062350D">
        <w:t xml:space="preserve"> </w:t>
      </w:r>
      <w:r w:rsidRPr="0062350D">
        <w:t>a</w:t>
      </w:r>
      <w:r w:rsidR="0062350D">
        <w:t xml:space="preserve"> </w:t>
      </w:r>
      <w:r w:rsidRPr="0062350D">
        <w:t>State.</w:t>
      </w:r>
      <w:r w:rsidR="0062350D">
        <w:t xml:space="preserve"> </w:t>
      </w:r>
      <w:r w:rsidRPr="0062350D">
        <w:t>Broader</w:t>
      </w:r>
      <w:r w:rsidR="0062350D">
        <w:t xml:space="preserve"> </w:t>
      </w:r>
      <w:r w:rsidRPr="0062350D">
        <w:t>interpretation,</w:t>
      </w:r>
      <w:r w:rsidR="0062350D">
        <w:t xml:space="preserve"> </w:t>
      </w:r>
      <w:r w:rsidRPr="0062350D">
        <w:t>which</w:t>
      </w:r>
      <w:r w:rsidR="0062350D">
        <w:t xml:space="preserve"> </w:t>
      </w:r>
      <w:r w:rsidRPr="0062350D">
        <w:t>includes</w:t>
      </w:r>
      <w:r w:rsidR="0062350D">
        <w:t xml:space="preserve"> </w:t>
      </w:r>
      <w:r w:rsidRPr="0062350D">
        <w:t>compliance</w:t>
      </w:r>
      <w:r w:rsidR="0062350D">
        <w:t xml:space="preserve"> </w:t>
      </w:r>
      <w:r w:rsidRPr="0062350D">
        <w:t>with</w:t>
      </w:r>
      <w:r w:rsidR="0062350D">
        <w:t xml:space="preserve"> </w:t>
      </w:r>
      <w:r w:rsidRPr="0062350D">
        <w:t>international</w:t>
      </w:r>
      <w:r w:rsidR="0062350D">
        <w:t xml:space="preserve"> </w:t>
      </w:r>
      <w:r w:rsidRPr="0062350D">
        <w:t>law</w:t>
      </w:r>
      <w:r w:rsidR="0062350D">
        <w:t xml:space="preserve"> </w:t>
      </w:r>
      <w:r w:rsidRPr="0062350D">
        <w:t>standards,</w:t>
      </w:r>
      <w:r w:rsidR="0062350D">
        <w:t xml:space="preserve"> </w:t>
      </w:r>
      <w:r w:rsidRPr="0062350D">
        <w:t>would</w:t>
      </w:r>
      <w:r w:rsidR="0062350D">
        <w:t xml:space="preserve"> </w:t>
      </w:r>
      <w:r w:rsidRPr="0062350D">
        <w:t>have</w:t>
      </w:r>
      <w:r w:rsidR="0062350D">
        <w:t xml:space="preserve"> </w:t>
      </w:r>
      <w:r w:rsidRPr="0062350D">
        <w:t>undoubtedly</w:t>
      </w:r>
      <w:r w:rsidR="0062350D">
        <w:t xml:space="preserve"> </w:t>
      </w:r>
      <w:r w:rsidRPr="0062350D">
        <w:t>been</w:t>
      </w:r>
      <w:r w:rsidR="0062350D">
        <w:t xml:space="preserve"> </w:t>
      </w:r>
      <w:r w:rsidRPr="0062350D">
        <w:t>reflected</w:t>
      </w:r>
      <w:r w:rsidR="0062350D">
        <w:t xml:space="preserve"> </w:t>
      </w:r>
      <w:r w:rsidRPr="0062350D">
        <w:t>by</w:t>
      </w:r>
      <w:r w:rsidR="0062350D">
        <w:t xml:space="preserve"> </w:t>
      </w:r>
      <w:r w:rsidRPr="0062350D">
        <w:t>the</w:t>
      </w:r>
      <w:r w:rsidR="0062350D">
        <w:t xml:space="preserve"> </w:t>
      </w:r>
      <w:r w:rsidRPr="0062350D">
        <w:t>drafters.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had</w:t>
      </w:r>
      <w:r w:rsidR="0062350D">
        <w:t xml:space="preserve"> </w:t>
      </w:r>
      <w:r w:rsidRPr="0062350D">
        <w:t>access</w:t>
      </w:r>
      <w:r w:rsidR="0062350D">
        <w:t xml:space="preserve"> </w:t>
      </w:r>
      <w:r w:rsidRPr="0062350D">
        <w:t>to</w:t>
      </w:r>
      <w:r w:rsidR="0062350D">
        <w:t xml:space="preserve"> </w:t>
      </w:r>
      <w:r w:rsidRPr="0062350D">
        <w:t>the</w:t>
      </w:r>
      <w:r w:rsidR="0062350D">
        <w:t xml:space="preserve"> </w:t>
      </w:r>
      <w:r w:rsidRPr="0062350D">
        <w:t>judicial</w:t>
      </w:r>
      <w:r w:rsidR="0062350D">
        <w:t xml:space="preserve"> </w:t>
      </w:r>
      <w:r w:rsidRPr="0062350D">
        <w:t>review</w:t>
      </w:r>
      <w:r w:rsidR="0062350D">
        <w:t xml:space="preserve"> </w:t>
      </w:r>
      <w:r w:rsidRPr="0062350D">
        <w:t>of</w:t>
      </w:r>
      <w:r w:rsidR="0062350D">
        <w:t xml:space="preserve"> </w:t>
      </w:r>
      <w:r w:rsidRPr="0062350D">
        <w:t>the</w:t>
      </w:r>
      <w:r w:rsidR="0062350D">
        <w:t xml:space="preserve"> </w:t>
      </w:r>
      <w:r w:rsidRPr="0062350D">
        <w:t>legality</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section</w:t>
      </w:r>
      <w:r w:rsidR="0062350D">
        <w:t xml:space="preserve"> </w:t>
      </w:r>
      <w:r w:rsidRPr="0062350D">
        <w:t>256</w:t>
      </w:r>
      <w:r w:rsidR="0062350D">
        <w:t xml:space="preserve"> </w:t>
      </w:r>
      <w:r w:rsidRPr="0062350D">
        <w:t>of</w:t>
      </w:r>
      <w:r w:rsidR="0062350D">
        <w:t xml:space="preserve"> </w:t>
      </w:r>
      <w:r w:rsidRPr="0062350D">
        <w:t>the</w:t>
      </w:r>
      <w:r w:rsidR="0062350D">
        <w:t xml:space="preserve"> </w:t>
      </w:r>
      <w:r w:rsidRPr="0062350D">
        <w:t>Migration</w:t>
      </w:r>
      <w:r w:rsidR="0062350D">
        <w:t xml:space="preserve"> </w:t>
      </w:r>
      <w:r w:rsidRPr="0062350D">
        <w:t>Act</w:t>
      </w:r>
      <w:r w:rsidR="0062350D">
        <w:t xml:space="preserve"> </w:t>
      </w:r>
      <w:r w:rsidRPr="0062350D">
        <w:t>and</w:t>
      </w:r>
      <w:r w:rsidR="0062350D">
        <w:t xml:space="preserve"> </w:t>
      </w:r>
      <w:r w:rsidRPr="0062350D">
        <w:t>section</w:t>
      </w:r>
      <w:r w:rsidR="0062350D">
        <w:t xml:space="preserve"> </w:t>
      </w:r>
      <w:r w:rsidRPr="0062350D">
        <w:t>75</w:t>
      </w:r>
      <w:r w:rsidR="0062350D">
        <w:t xml:space="preserve"> </w:t>
      </w:r>
      <w:r w:rsidRPr="0062350D">
        <w:t>(iii)</w:t>
      </w:r>
      <w:r w:rsidR="0062350D">
        <w:t xml:space="preserve"> </w:t>
      </w:r>
      <w:r w:rsidRPr="0062350D">
        <w:t>of</w:t>
      </w:r>
      <w:r w:rsidR="0062350D">
        <w:t xml:space="preserve"> </w:t>
      </w:r>
      <w:r w:rsidRPr="0062350D">
        <w:t>the</w:t>
      </w:r>
      <w:r w:rsidR="0062350D">
        <w:t xml:space="preserve"> </w:t>
      </w:r>
      <w:r w:rsidRPr="0062350D">
        <w:t>Australian</w:t>
      </w:r>
      <w:r w:rsidR="0062350D">
        <w:t xml:space="preserve"> </w:t>
      </w:r>
      <w:r w:rsidRPr="0062350D">
        <w:t>Constitution.</w:t>
      </w:r>
    </w:p>
    <w:p w14:paraId="4671914B" w14:textId="4C623197" w:rsidR="0062350D" w:rsidRPr="0062350D" w:rsidRDefault="007F12C3" w:rsidP="005D6A3F">
      <w:pPr>
        <w:pStyle w:val="SingleTxtG"/>
      </w:pPr>
      <w:r w:rsidRPr="0062350D">
        <w:t>4.9</w:t>
      </w:r>
      <w:r w:rsidRPr="0062350D">
        <w:tab/>
        <w:t>The</w:t>
      </w:r>
      <w:r w:rsidR="0062350D">
        <w:t xml:space="preserve"> </w:t>
      </w:r>
      <w:r w:rsidRPr="0062350D">
        <w:t>State</w:t>
      </w:r>
      <w:r w:rsidR="0062350D">
        <w:t xml:space="preserve"> </w:t>
      </w:r>
      <w:r w:rsidRPr="0062350D">
        <w:t>party</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did</w:t>
      </w:r>
      <w:r w:rsidR="0062350D">
        <w:t xml:space="preserve"> </w:t>
      </w:r>
      <w:r w:rsidRPr="0062350D">
        <w:t>not</w:t>
      </w:r>
      <w:r w:rsidR="0062350D">
        <w:t xml:space="preserve"> </w:t>
      </w:r>
      <w:r w:rsidRPr="0062350D">
        <w:t>provide</w:t>
      </w:r>
      <w:r w:rsidR="0062350D">
        <w:t xml:space="preserve"> </w:t>
      </w:r>
      <w:r w:rsidRPr="0062350D">
        <w:t>any</w:t>
      </w:r>
      <w:r w:rsidR="0062350D">
        <w:t xml:space="preserve"> </w:t>
      </w:r>
      <w:r w:rsidRPr="0062350D">
        <w:t>specific</w:t>
      </w:r>
      <w:r w:rsidR="0062350D">
        <w:t xml:space="preserve"> </w:t>
      </w:r>
      <w:r w:rsidRPr="0062350D">
        <w:t>information</w:t>
      </w:r>
      <w:r w:rsidR="0062350D">
        <w:t xml:space="preserve"> </w:t>
      </w:r>
      <w:r w:rsidRPr="0062350D">
        <w:t>to</w:t>
      </w:r>
      <w:r w:rsidR="0062350D">
        <w:t xml:space="preserve"> </w:t>
      </w:r>
      <w:r w:rsidRPr="0062350D">
        <w:t>substantiate</w:t>
      </w:r>
      <w:r w:rsidR="0062350D">
        <w:t xml:space="preserve"> </w:t>
      </w:r>
      <w:r w:rsidRPr="0062350D">
        <w:t>their</w:t>
      </w:r>
      <w:r w:rsidR="0062350D">
        <w:t xml:space="preserve"> </w:t>
      </w:r>
      <w:r w:rsidRPr="0062350D">
        <w:t>claims</w:t>
      </w:r>
      <w:r w:rsidR="0062350D">
        <w:t xml:space="preserve"> </w:t>
      </w:r>
      <w:r w:rsidRPr="0062350D">
        <w:t>under</w:t>
      </w:r>
      <w:r w:rsidR="0062350D">
        <w:t xml:space="preserve"> </w:t>
      </w:r>
      <w:r w:rsidRPr="0062350D">
        <w:t>articles</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about</w:t>
      </w:r>
      <w:r w:rsidR="0062350D">
        <w:t xml:space="preserve"> </w:t>
      </w:r>
      <w:r w:rsidRPr="0062350D">
        <w:t>inadequate</w:t>
      </w:r>
      <w:r w:rsidR="0062350D">
        <w:t xml:space="preserve"> </w:t>
      </w:r>
      <w:r w:rsidRPr="0062350D">
        <w:t>conditions</w:t>
      </w:r>
      <w:r w:rsidR="0062350D">
        <w:t xml:space="preserve"> </w:t>
      </w:r>
      <w:r w:rsidRPr="0062350D">
        <w:t>on</w:t>
      </w:r>
      <w:r w:rsidR="0062350D">
        <w:t xml:space="preserve"> </w:t>
      </w:r>
      <w:r w:rsidRPr="0062350D">
        <w:t>the</w:t>
      </w:r>
      <w:r w:rsidR="0062350D">
        <w:t xml:space="preserve"> </w:t>
      </w:r>
      <w:r w:rsidRPr="0062350D">
        <w:t>mainland.</w:t>
      </w:r>
      <w:r w:rsidR="0062350D">
        <w:t xml:space="preserve"> </w:t>
      </w:r>
      <w:r w:rsidRPr="0062350D">
        <w:t>Furthermore,</w:t>
      </w:r>
      <w:r w:rsidR="0062350D">
        <w:t xml:space="preserve"> </w:t>
      </w:r>
      <w:r w:rsidRPr="0062350D">
        <w:t>as</w:t>
      </w:r>
      <w:r w:rsidR="0062350D">
        <w:t xml:space="preserve"> </w:t>
      </w:r>
      <w:r w:rsidRPr="0062350D">
        <w:t>indicated</w:t>
      </w:r>
      <w:r w:rsidR="0062350D">
        <w:t xml:space="preserve"> </w:t>
      </w:r>
      <w:r w:rsidRPr="0062350D">
        <w:t>above,</w:t>
      </w:r>
      <w:r w:rsidR="0062350D">
        <w:t xml:space="preserve"> </w:t>
      </w:r>
      <w:r w:rsidRPr="0062350D">
        <w:t>all</w:t>
      </w:r>
      <w:r w:rsidR="0062350D">
        <w:t xml:space="preserve"> </w:t>
      </w:r>
      <w:r w:rsidRPr="0062350D">
        <w:t>possible</w:t>
      </w:r>
      <w:r w:rsidR="0062350D">
        <w:t xml:space="preserve"> </w:t>
      </w:r>
      <w:r w:rsidRPr="0062350D">
        <w:t>measures</w:t>
      </w:r>
      <w:r w:rsidR="0062350D">
        <w:t xml:space="preserve"> </w:t>
      </w:r>
      <w:r w:rsidRPr="0062350D">
        <w:t>of</w:t>
      </w:r>
      <w:r w:rsidR="0062350D">
        <w:t xml:space="preserve"> </w:t>
      </w:r>
      <w:r w:rsidRPr="0062350D">
        <w:t>protection</w:t>
      </w:r>
      <w:r w:rsidR="0062350D">
        <w:t xml:space="preserve"> </w:t>
      </w:r>
      <w:r w:rsidRPr="0062350D">
        <w:t>were</w:t>
      </w:r>
      <w:r w:rsidR="0062350D">
        <w:t xml:space="preserve"> </w:t>
      </w:r>
      <w:r w:rsidRPr="0062350D">
        <w:t>provided</w:t>
      </w:r>
      <w:r w:rsidR="0062350D">
        <w:t xml:space="preserve"> </w:t>
      </w:r>
      <w:r w:rsidRPr="0062350D">
        <w:t>to</w:t>
      </w:r>
      <w:r w:rsidR="0062350D">
        <w:t xml:space="preserve"> </w:t>
      </w:r>
      <w:r w:rsidRPr="0062350D">
        <w:t>the</w:t>
      </w:r>
      <w:r w:rsidR="0062350D">
        <w:t xml:space="preserve"> </w:t>
      </w:r>
      <w:r w:rsidRPr="0062350D">
        <w:t>authors</w:t>
      </w:r>
      <w:r w:rsidR="0062350D">
        <w:t xml:space="preserve"> </w:t>
      </w:r>
      <w:r w:rsidRPr="0062350D">
        <w:t>in</w:t>
      </w:r>
      <w:r w:rsidR="0062350D">
        <w:t xml:space="preserve"> </w:t>
      </w:r>
      <w:r w:rsidRPr="0062350D">
        <w:t>compliance</w:t>
      </w:r>
      <w:r w:rsidR="0062350D">
        <w:t xml:space="preserve"> </w:t>
      </w:r>
      <w:r w:rsidRPr="0062350D">
        <w:t>with</w:t>
      </w:r>
      <w:r w:rsidR="0062350D">
        <w:t xml:space="preserve"> </w:t>
      </w:r>
      <w:r w:rsidRPr="0062350D">
        <w:t>requirements</w:t>
      </w:r>
      <w:r w:rsidR="0062350D">
        <w:t xml:space="preserve"> </w:t>
      </w:r>
      <w:r w:rsidRPr="0062350D">
        <w:t>of</w:t>
      </w:r>
      <w:r w:rsidR="0062350D">
        <w:t xml:space="preserve"> </w:t>
      </w:r>
      <w:r w:rsidRPr="0062350D">
        <w:t>the</w:t>
      </w:r>
      <w:r w:rsidR="0062350D">
        <w:t xml:space="preserve"> </w:t>
      </w:r>
      <w:r w:rsidRPr="0062350D">
        <w:t>Covenant.</w:t>
      </w:r>
    </w:p>
    <w:p w14:paraId="5A616975" w14:textId="60703359" w:rsidR="0062350D" w:rsidRPr="0062350D" w:rsidRDefault="007F12C3" w:rsidP="005D6A3F">
      <w:pPr>
        <w:pStyle w:val="SingleTxtG"/>
      </w:pPr>
      <w:r w:rsidRPr="0062350D">
        <w:t>4.10</w:t>
      </w:r>
      <w:r w:rsidRPr="0062350D">
        <w:tab/>
        <w:t>The</w:t>
      </w:r>
      <w:r w:rsidR="0062350D">
        <w:t xml:space="preserve"> </w:t>
      </w:r>
      <w:r w:rsidRPr="0062350D">
        <w:t>State</w:t>
      </w:r>
      <w:r w:rsidR="0062350D">
        <w:t xml:space="preserve"> </w:t>
      </w:r>
      <w:r w:rsidRPr="0062350D">
        <w:t>party</w:t>
      </w:r>
      <w:r w:rsidR="0062350D">
        <w:t xml:space="preserve"> </w:t>
      </w:r>
      <w:r w:rsidRPr="0062350D">
        <w:t>further</w:t>
      </w:r>
      <w:r w:rsidR="0062350D">
        <w:t xml:space="preserve"> </w:t>
      </w:r>
      <w:r w:rsidRPr="0062350D">
        <w:t>refers</w:t>
      </w:r>
      <w:r w:rsidR="0062350D">
        <w:t xml:space="preserve"> </w:t>
      </w:r>
      <w:r w:rsidRPr="0062350D">
        <w:t>to</w:t>
      </w:r>
      <w:r w:rsidR="0062350D">
        <w:t xml:space="preserve"> </w:t>
      </w:r>
      <w:r w:rsidRPr="0062350D">
        <w:t>the</w:t>
      </w:r>
      <w:r w:rsidR="0062350D">
        <w:t xml:space="preserve"> </w:t>
      </w:r>
      <w:r w:rsidRPr="0062350D">
        <w:t>situation</w:t>
      </w:r>
      <w:r w:rsidR="0062350D">
        <w:t xml:space="preserve"> </w:t>
      </w:r>
      <w:r w:rsidRPr="0062350D">
        <w:t>of</w:t>
      </w:r>
      <w:r w:rsidR="0062350D">
        <w:t xml:space="preserve"> </w:t>
      </w:r>
      <w:r w:rsidRPr="0062350D">
        <w:t>B.A.A.,</w:t>
      </w:r>
      <w:r w:rsidR="0062350D">
        <w:t xml:space="preserve"> </w:t>
      </w:r>
      <w:r w:rsidRPr="0062350D">
        <w:t>who,</w:t>
      </w:r>
      <w:r w:rsidR="0062350D">
        <w:t xml:space="preserve"> </w:t>
      </w:r>
      <w:r w:rsidRPr="0062350D">
        <w:t>as</w:t>
      </w:r>
      <w:r w:rsidR="0062350D">
        <w:t xml:space="preserve"> </w:t>
      </w:r>
      <w:r w:rsidRPr="0062350D">
        <w:t>claimed</w:t>
      </w:r>
      <w:r w:rsidR="0062350D">
        <w:t xml:space="preserve"> </w:t>
      </w:r>
      <w:r w:rsidRPr="0062350D">
        <w:t>by</w:t>
      </w:r>
      <w:r w:rsidR="0062350D">
        <w:t xml:space="preserve"> </w:t>
      </w:r>
      <w:r w:rsidRPr="0062350D">
        <w:t>counsel,</w:t>
      </w:r>
      <w:r w:rsidR="0062350D">
        <w:t xml:space="preserve"> </w:t>
      </w:r>
      <w:r w:rsidRPr="0062350D">
        <w:t>was</w:t>
      </w:r>
      <w:r w:rsidR="0062350D">
        <w:t xml:space="preserve"> </w:t>
      </w:r>
      <w:r w:rsidRPr="0062350D">
        <w:t>separated</w:t>
      </w:r>
      <w:r w:rsidR="0062350D">
        <w:t xml:space="preserve"> </w:t>
      </w:r>
      <w:r w:rsidRPr="0062350D">
        <w:t>from</w:t>
      </w:r>
      <w:r w:rsidR="0062350D">
        <w:t xml:space="preserve"> </w:t>
      </w:r>
      <w:r w:rsidRPr="0062350D">
        <w:t>his</w:t>
      </w:r>
      <w:r w:rsidR="0062350D">
        <w:t xml:space="preserve"> </w:t>
      </w:r>
      <w:r w:rsidRPr="0062350D">
        <w:t>brother,</w:t>
      </w:r>
      <w:r w:rsidR="0062350D">
        <w:t xml:space="preserve"> </w:t>
      </w:r>
      <w:r w:rsidRPr="0062350D">
        <w:t>who</w:t>
      </w:r>
      <w:r w:rsidR="0062350D">
        <w:t xml:space="preserve"> </w:t>
      </w:r>
      <w:r w:rsidRPr="0062350D">
        <w:t>had</w:t>
      </w:r>
      <w:r w:rsidR="0062350D">
        <w:t xml:space="preserve"> </w:t>
      </w:r>
      <w:r w:rsidRPr="0062350D">
        <w:t>arrived</w:t>
      </w:r>
      <w:r w:rsidR="0062350D">
        <w:t xml:space="preserve"> </w:t>
      </w:r>
      <w:r w:rsidRPr="0062350D">
        <w:t>in</w:t>
      </w:r>
      <w:r w:rsidR="0062350D">
        <w:t xml:space="preserve"> </w:t>
      </w:r>
      <w:r w:rsidRPr="0062350D">
        <w:t>Australia</w:t>
      </w:r>
      <w:r w:rsidR="0062350D">
        <w:t xml:space="preserve"> </w:t>
      </w:r>
      <w:r w:rsidRPr="0062350D">
        <w:t>12</w:t>
      </w:r>
      <w:r w:rsidR="0062350D">
        <w:t xml:space="preserve"> </w:t>
      </w:r>
      <w:r w:rsidRPr="0062350D">
        <w:t>months</w:t>
      </w:r>
      <w:r w:rsidR="0062350D">
        <w:t xml:space="preserve"> </w:t>
      </w:r>
      <w:r w:rsidRPr="0062350D">
        <w:t>earlier,</w:t>
      </w:r>
      <w:r w:rsidR="0062350D">
        <w:t xml:space="preserve"> </w:t>
      </w:r>
      <w:r w:rsidRPr="0062350D">
        <w:t>in</w:t>
      </w:r>
      <w:r w:rsidR="0062350D">
        <w:t xml:space="preserve"> </w:t>
      </w:r>
      <w:r w:rsidRPr="0062350D">
        <w:t>violation</w:t>
      </w:r>
      <w:r w:rsidR="0062350D">
        <w:t xml:space="preserve"> </w:t>
      </w:r>
      <w:r w:rsidRPr="0062350D">
        <w:t>of</w:t>
      </w:r>
      <w:r w:rsidR="0062350D">
        <w:t xml:space="preserve"> </w:t>
      </w:r>
      <w:r w:rsidRPr="0062350D">
        <w:t>articles</w:t>
      </w:r>
      <w:r w:rsidR="0062350D">
        <w:t xml:space="preserve"> </w:t>
      </w:r>
      <w:r w:rsidRPr="0062350D">
        <w:t>17</w:t>
      </w:r>
      <w:r w:rsidR="0062350D">
        <w:t xml:space="preserve"> </w:t>
      </w:r>
      <w:r w:rsidRPr="0062350D">
        <w:t>and</w:t>
      </w:r>
      <w:r w:rsidR="0062350D">
        <w:t xml:space="preserve"> </w:t>
      </w:r>
      <w:r w:rsidRPr="0062350D">
        <w:t>23</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recalls</w:t>
      </w:r>
      <w:r w:rsidR="0062350D">
        <w:t xml:space="preserve"> </w:t>
      </w:r>
      <w:r w:rsidRPr="0062350D">
        <w:t>that</w:t>
      </w:r>
      <w:r w:rsidR="0062350D">
        <w:t xml:space="preserve"> </w:t>
      </w:r>
      <w:r w:rsidRPr="0062350D">
        <w:t>B.A.A.</w:t>
      </w:r>
      <w:r w:rsidR="0062350D">
        <w:t xml:space="preserve"> </w:t>
      </w:r>
      <w:r w:rsidRPr="0062350D">
        <w:t>was</w:t>
      </w:r>
      <w:r w:rsidR="0062350D">
        <w:t xml:space="preserve"> </w:t>
      </w:r>
      <w:r w:rsidRPr="0062350D">
        <w:t>transferred</w:t>
      </w:r>
      <w:r w:rsidR="0062350D">
        <w:t xml:space="preserve"> </w:t>
      </w:r>
      <w:r w:rsidRPr="0062350D">
        <w:t>from</w:t>
      </w:r>
      <w:r w:rsidR="0062350D">
        <w:t xml:space="preserve"> </w:t>
      </w:r>
      <w:r w:rsidRPr="0062350D">
        <w:t>Christmas</w:t>
      </w:r>
      <w:r w:rsidR="0062350D">
        <w:t xml:space="preserve"> </w:t>
      </w:r>
      <w:r w:rsidRPr="0062350D">
        <w:t>Island</w:t>
      </w:r>
      <w:r w:rsidR="0062350D">
        <w:t xml:space="preserve"> </w:t>
      </w:r>
      <w:r w:rsidRPr="0062350D">
        <w:t>in</w:t>
      </w:r>
      <w:r w:rsidR="0062350D">
        <w:t xml:space="preserve"> </w:t>
      </w:r>
      <w:r w:rsidRPr="0062350D">
        <w:t>December</w:t>
      </w:r>
      <w:r w:rsidR="0062350D">
        <w:t xml:space="preserve"> </w:t>
      </w:r>
      <w:r w:rsidRPr="0062350D">
        <w:t>2014.</w:t>
      </w:r>
      <w:r w:rsidR="0062350D">
        <w:t xml:space="preserve"> </w:t>
      </w:r>
      <w:r w:rsidRPr="0062350D">
        <w:t>Initially</w:t>
      </w:r>
      <w:r w:rsidR="0062350D">
        <w:t xml:space="preserve"> </w:t>
      </w:r>
      <w:r w:rsidRPr="0062350D">
        <w:t>he</w:t>
      </w:r>
      <w:r w:rsidR="0062350D">
        <w:t xml:space="preserve"> </w:t>
      </w:r>
      <w:r w:rsidRPr="0062350D">
        <w:t>was</w:t>
      </w:r>
      <w:r w:rsidR="0062350D">
        <w:t xml:space="preserve"> </w:t>
      </w:r>
      <w:r w:rsidRPr="0062350D">
        <w:t>placed</w:t>
      </w:r>
      <w:r w:rsidR="0062350D">
        <w:t xml:space="preserve"> </w:t>
      </w:r>
      <w:r w:rsidRPr="0062350D">
        <w:t>in</w:t>
      </w:r>
      <w:r w:rsidR="0062350D">
        <w:t xml:space="preserve"> </w:t>
      </w:r>
      <w:r w:rsidRPr="0062350D">
        <w:t>an</w:t>
      </w:r>
      <w:r w:rsidR="0062350D">
        <w:t xml:space="preserve"> </w:t>
      </w:r>
      <w:r w:rsidRPr="0062350D">
        <w:t>alternative</w:t>
      </w:r>
      <w:r w:rsidR="0062350D">
        <w:t xml:space="preserve"> </w:t>
      </w:r>
      <w:r w:rsidRPr="0062350D">
        <w:t>place</w:t>
      </w:r>
      <w:r w:rsidR="0062350D">
        <w:t xml:space="preserve"> </w:t>
      </w:r>
      <w:r w:rsidRPr="0062350D">
        <w:t>of</w:t>
      </w:r>
      <w:r w:rsidR="0062350D">
        <w:t xml:space="preserve"> </w:t>
      </w:r>
      <w:r w:rsidRPr="0062350D">
        <w:t>detention</w:t>
      </w:r>
      <w:r w:rsidR="0062350D">
        <w:t xml:space="preserve"> </w:t>
      </w:r>
      <w:r w:rsidRPr="0062350D">
        <w:t>for</w:t>
      </w:r>
      <w:r w:rsidR="0062350D">
        <w:t xml:space="preserve"> </w:t>
      </w:r>
      <w:r w:rsidRPr="0062350D">
        <w:t>eight</w:t>
      </w:r>
      <w:r w:rsidR="0062350D">
        <w:t xml:space="preserve"> </w:t>
      </w:r>
      <w:r w:rsidRPr="0062350D">
        <w:t>days.</w:t>
      </w:r>
      <w:r w:rsidR="0062350D">
        <w:t xml:space="preserve"> </w:t>
      </w:r>
      <w:r w:rsidRPr="0062350D">
        <w:t>After</w:t>
      </w:r>
      <w:r w:rsidR="0062350D">
        <w:t xml:space="preserve"> </w:t>
      </w:r>
      <w:r w:rsidRPr="0062350D">
        <w:t>that,</w:t>
      </w:r>
      <w:r w:rsidR="0062350D">
        <w:t xml:space="preserve"> </w:t>
      </w:r>
      <w:r w:rsidRPr="0062350D">
        <w:t>the</w:t>
      </w:r>
      <w:r w:rsidR="0062350D">
        <w:t xml:space="preserve"> </w:t>
      </w:r>
      <w:r w:rsidRPr="0062350D">
        <w:t>author</w:t>
      </w:r>
      <w:r w:rsidR="0062350D">
        <w:t xml:space="preserve"> </w:t>
      </w:r>
      <w:r w:rsidRPr="0062350D">
        <w:t>was</w:t>
      </w:r>
      <w:r w:rsidR="0062350D">
        <w:t xml:space="preserve"> </w:t>
      </w:r>
      <w:r w:rsidRPr="0062350D">
        <w:t>moved</w:t>
      </w:r>
      <w:r w:rsidR="0062350D">
        <w:t xml:space="preserve"> </w:t>
      </w:r>
      <w:r w:rsidRPr="0062350D">
        <w:t>and</w:t>
      </w:r>
      <w:r w:rsidR="0062350D">
        <w:t xml:space="preserve"> </w:t>
      </w:r>
      <w:r w:rsidRPr="0062350D">
        <w:t>reunited</w:t>
      </w:r>
      <w:r w:rsidR="0062350D">
        <w:t xml:space="preserve"> </w:t>
      </w:r>
      <w:r w:rsidRPr="0062350D">
        <w:t>with</w:t>
      </w:r>
      <w:r w:rsidR="0062350D">
        <w:t xml:space="preserve"> </w:t>
      </w:r>
      <w:r w:rsidRPr="0062350D">
        <w:t>his</w:t>
      </w:r>
      <w:r w:rsidR="0062350D">
        <w:t xml:space="preserve"> </w:t>
      </w:r>
      <w:r w:rsidRPr="0062350D">
        <w:t>brother</w:t>
      </w:r>
      <w:r w:rsidR="0062350D">
        <w:t xml:space="preserve"> </w:t>
      </w:r>
      <w:r w:rsidRPr="0062350D">
        <w:t>in</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When</w:t>
      </w:r>
      <w:r w:rsidR="0062350D">
        <w:t xml:space="preserve"> </w:t>
      </w:r>
      <w:r w:rsidRPr="0062350D">
        <w:t>the</w:t>
      </w:r>
      <w:r w:rsidR="0062350D">
        <w:t xml:space="preserve"> </w:t>
      </w:r>
      <w:r w:rsidRPr="0062350D">
        <w:t>author</w:t>
      </w:r>
      <w:r w:rsidR="0062350D" w:rsidRPr="0062350D">
        <w:t>’</w:t>
      </w:r>
      <w:r w:rsidRPr="0062350D">
        <w:t>s</w:t>
      </w:r>
      <w:r w:rsidR="0062350D">
        <w:t xml:space="preserve"> </w:t>
      </w:r>
      <w:r w:rsidRPr="0062350D">
        <w:t>brother</w:t>
      </w:r>
      <w:r w:rsidR="0062350D">
        <w:t xml:space="preserve"> </w:t>
      </w:r>
      <w:r w:rsidRPr="0062350D">
        <w:t>turned</w:t>
      </w:r>
      <w:r w:rsidR="0062350D">
        <w:t xml:space="preserve"> </w:t>
      </w:r>
      <w:r w:rsidRPr="0062350D">
        <w:t>18</w:t>
      </w:r>
      <w:r w:rsidR="0062350D">
        <w:t xml:space="preserve"> </w:t>
      </w:r>
      <w:r w:rsidRPr="0062350D">
        <w:t>and</w:t>
      </w:r>
      <w:r w:rsidR="0062350D">
        <w:t xml:space="preserve"> </w:t>
      </w:r>
      <w:r w:rsidRPr="0062350D">
        <w:t>was</w:t>
      </w:r>
      <w:r w:rsidR="0062350D">
        <w:t xml:space="preserve"> </w:t>
      </w:r>
      <w:r w:rsidRPr="0062350D">
        <w:t>granted</w:t>
      </w:r>
      <w:r w:rsidR="0062350D">
        <w:t xml:space="preserve"> </w:t>
      </w:r>
      <w:r w:rsidRPr="0062350D">
        <w:t>a</w:t>
      </w:r>
      <w:r w:rsidR="0062350D">
        <w:t xml:space="preserve"> </w:t>
      </w:r>
      <w:r w:rsidRPr="0062350D">
        <w:t>Bridging</w:t>
      </w:r>
      <w:r w:rsidR="0062350D">
        <w:t xml:space="preserve"> </w:t>
      </w:r>
      <w:r w:rsidRPr="0062350D">
        <w:t>visa,</w:t>
      </w:r>
      <w:r w:rsidR="0062350D">
        <w:t xml:space="preserve"> </w:t>
      </w:r>
      <w:r w:rsidRPr="0062350D">
        <w:t>he</w:t>
      </w:r>
      <w:r w:rsidR="0062350D">
        <w:t xml:space="preserve"> </w:t>
      </w:r>
      <w:r w:rsidRPr="0062350D">
        <w:t>was</w:t>
      </w:r>
      <w:r w:rsidR="0062350D">
        <w:t xml:space="preserve"> </w:t>
      </w:r>
      <w:r w:rsidRPr="0062350D">
        <w:t>released</w:t>
      </w:r>
      <w:r w:rsidR="0062350D">
        <w:t xml:space="preserve"> </w:t>
      </w:r>
      <w:r w:rsidRPr="0062350D">
        <w:t>from</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B.A.A.</w:t>
      </w:r>
      <w:r w:rsidR="0062350D" w:rsidRPr="0062350D">
        <w:t>’</w:t>
      </w:r>
      <w:r w:rsidRPr="0062350D">
        <w:t>s</w:t>
      </w:r>
      <w:r w:rsidR="0062350D">
        <w:t xml:space="preserve"> </w:t>
      </w:r>
      <w:r w:rsidRPr="0062350D">
        <w:t>brother</w:t>
      </w:r>
      <w:r w:rsidR="0062350D">
        <w:t xml:space="preserve"> </w:t>
      </w:r>
      <w:r w:rsidRPr="0062350D">
        <w:t>lives</w:t>
      </w:r>
      <w:r w:rsidR="0062350D">
        <w:t xml:space="preserve"> </w:t>
      </w:r>
      <w:r w:rsidRPr="0062350D">
        <w:t>close</w:t>
      </w:r>
      <w:r w:rsidR="0062350D">
        <w:t xml:space="preserve"> </w:t>
      </w:r>
      <w:r w:rsidRPr="0062350D">
        <w:t>to</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They</w:t>
      </w:r>
      <w:r w:rsidR="0062350D">
        <w:t xml:space="preserve"> </w:t>
      </w:r>
      <w:r w:rsidRPr="0062350D">
        <w:t>have</w:t>
      </w:r>
      <w:r w:rsidR="0062350D">
        <w:t xml:space="preserve"> </w:t>
      </w:r>
      <w:r w:rsidRPr="0062350D">
        <w:t>regular</w:t>
      </w:r>
      <w:r w:rsidR="0062350D">
        <w:t xml:space="preserve"> </w:t>
      </w:r>
      <w:r w:rsidRPr="0062350D">
        <w:t>phone</w:t>
      </w:r>
      <w:r w:rsidR="0062350D">
        <w:t xml:space="preserve"> </w:t>
      </w:r>
      <w:r w:rsidRPr="0062350D">
        <w:t>contact</w:t>
      </w:r>
      <w:r w:rsidR="0062350D">
        <w:t xml:space="preserve"> </w:t>
      </w:r>
      <w:r w:rsidRPr="0062350D">
        <w:t>and</w:t>
      </w:r>
      <w:r w:rsidR="0062350D">
        <w:t xml:space="preserve"> </w:t>
      </w:r>
      <w:r w:rsidRPr="0062350D">
        <w:t>short-term</w:t>
      </w:r>
      <w:r w:rsidR="0062350D">
        <w:t xml:space="preserve"> </w:t>
      </w:r>
      <w:r w:rsidRPr="0062350D">
        <w:t>visits.</w:t>
      </w:r>
      <w:r w:rsidR="0062350D">
        <w:t xml:space="preserve"> </w:t>
      </w:r>
      <w:r w:rsidRPr="0062350D">
        <w:t>On</w:t>
      </w:r>
      <w:r w:rsidR="0062350D">
        <w:t xml:space="preserve"> </w:t>
      </w:r>
      <w:r w:rsidRPr="0062350D">
        <w:t>several</w:t>
      </w:r>
      <w:r w:rsidR="0062350D">
        <w:t xml:space="preserve"> </w:t>
      </w:r>
      <w:r w:rsidRPr="0062350D">
        <w:t>occasions</w:t>
      </w:r>
      <w:r w:rsidR="0062350D">
        <w:t xml:space="preserve"> </w:t>
      </w:r>
      <w:r w:rsidRPr="0062350D">
        <w:t>the</w:t>
      </w:r>
      <w:r w:rsidR="0062350D">
        <w:t xml:space="preserve"> </w:t>
      </w:r>
      <w:r w:rsidRPr="0062350D">
        <w:t>author</w:t>
      </w:r>
      <w:r w:rsidR="0062350D">
        <w:t xml:space="preserve"> </w:t>
      </w:r>
      <w:r w:rsidRPr="0062350D">
        <w:t>was</w:t>
      </w:r>
      <w:r w:rsidR="0062350D">
        <w:t xml:space="preserve"> </w:t>
      </w:r>
      <w:r w:rsidRPr="0062350D">
        <w:t>allowed</w:t>
      </w:r>
      <w:r w:rsidR="0062350D">
        <w:t xml:space="preserve"> </w:t>
      </w:r>
      <w:r w:rsidRPr="0062350D">
        <w:t>to</w:t>
      </w:r>
      <w:r w:rsidR="0062350D">
        <w:t xml:space="preserve"> </w:t>
      </w:r>
      <w:r w:rsidRPr="0062350D">
        <w:t>stay</w:t>
      </w:r>
      <w:r w:rsidR="0062350D">
        <w:t xml:space="preserve"> </w:t>
      </w:r>
      <w:r w:rsidRPr="0062350D">
        <w:t>with</w:t>
      </w:r>
      <w:r w:rsidR="0062350D">
        <w:t xml:space="preserve"> </w:t>
      </w:r>
      <w:r w:rsidRPr="0062350D">
        <w:t>his</w:t>
      </w:r>
      <w:r w:rsidR="0062350D">
        <w:t xml:space="preserve"> </w:t>
      </w:r>
      <w:r w:rsidRPr="0062350D">
        <w:t>brother</w:t>
      </w:r>
      <w:r w:rsidR="0062350D">
        <w:t xml:space="preserve"> </w:t>
      </w:r>
      <w:r w:rsidRPr="0062350D">
        <w:t>for</w:t>
      </w:r>
      <w:r w:rsidR="0062350D">
        <w:t xml:space="preserve"> </w:t>
      </w:r>
      <w:r w:rsidRPr="0062350D">
        <w:t>short</w:t>
      </w:r>
      <w:r w:rsidR="0062350D">
        <w:t xml:space="preserve"> </w:t>
      </w:r>
      <w:r w:rsidRPr="0062350D">
        <w:t>periods</w:t>
      </w:r>
      <w:r w:rsidR="0062350D">
        <w:t xml:space="preserve"> </w:t>
      </w:r>
      <w:r w:rsidRPr="0062350D">
        <w:t>of</w:t>
      </w:r>
      <w:r w:rsidR="0062350D">
        <w:t xml:space="preserve"> </w:t>
      </w:r>
      <w:r w:rsidRPr="0062350D">
        <w:t>time.</w:t>
      </w:r>
      <w:r w:rsidR="0062350D">
        <w:t xml:space="preserve"> </w:t>
      </w:r>
      <w:r w:rsidRPr="0062350D">
        <w:t>By</w:t>
      </w:r>
      <w:r w:rsidR="0062350D">
        <w:t xml:space="preserve"> </w:t>
      </w:r>
      <w:r w:rsidRPr="0062350D">
        <w:t>law,</w:t>
      </w:r>
      <w:r w:rsidR="0062350D">
        <w:t xml:space="preserve"> </w:t>
      </w:r>
      <w:r w:rsidRPr="0062350D">
        <w:t>in</w:t>
      </w:r>
      <w:r w:rsidR="0062350D">
        <w:t xml:space="preserve"> </w:t>
      </w:r>
      <w:r w:rsidRPr="0062350D">
        <w:t>order</w:t>
      </w:r>
      <w:r w:rsidR="0062350D">
        <w:t xml:space="preserve"> </w:t>
      </w:r>
      <w:r w:rsidRPr="0062350D">
        <w:t>to</w:t>
      </w:r>
      <w:r w:rsidR="0062350D">
        <w:t xml:space="preserve"> </w:t>
      </w:r>
      <w:r w:rsidRPr="0062350D">
        <w:t>assume</w:t>
      </w:r>
      <w:r w:rsidR="0062350D">
        <w:t xml:space="preserve"> </w:t>
      </w:r>
      <w:r w:rsidRPr="0062350D">
        <w:t>custodianship</w:t>
      </w:r>
      <w:r w:rsidR="0062350D">
        <w:t xml:space="preserve"> </w:t>
      </w:r>
      <w:r w:rsidRPr="0062350D">
        <w:t>from</w:t>
      </w:r>
      <w:r w:rsidR="0062350D">
        <w:t xml:space="preserve"> </w:t>
      </w:r>
      <w:r w:rsidRPr="0062350D">
        <w:t>social</w:t>
      </w:r>
      <w:r w:rsidR="0062350D">
        <w:t xml:space="preserve"> </w:t>
      </w:r>
      <w:r w:rsidRPr="0062350D">
        <w:t>services,</w:t>
      </w:r>
      <w:r w:rsidR="0062350D">
        <w:t xml:space="preserve"> </w:t>
      </w:r>
      <w:r w:rsidRPr="0062350D">
        <w:t>the</w:t>
      </w:r>
      <w:r w:rsidR="0062350D">
        <w:t xml:space="preserve"> </w:t>
      </w:r>
      <w:r w:rsidRPr="0062350D">
        <w:t>author</w:t>
      </w:r>
      <w:r w:rsidR="0062350D" w:rsidRPr="0062350D">
        <w:t>’</w:t>
      </w:r>
      <w:r w:rsidRPr="0062350D">
        <w:t>s</w:t>
      </w:r>
      <w:r w:rsidR="0062350D">
        <w:t xml:space="preserve"> </w:t>
      </w:r>
      <w:r w:rsidRPr="0062350D">
        <w:t>brother</w:t>
      </w:r>
      <w:r w:rsidR="0062350D">
        <w:t xml:space="preserve"> </w:t>
      </w:r>
      <w:r w:rsidRPr="0062350D">
        <w:t>must</w:t>
      </w:r>
      <w:r w:rsidR="0062350D">
        <w:t xml:space="preserve"> </w:t>
      </w:r>
      <w:r w:rsidRPr="0062350D">
        <w:t>be</w:t>
      </w:r>
      <w:r w:rsidR="0062350D">
        <w:t xml:space="preserve"> </w:t>
      </w:r>
      <w:r w:rsidRPr="0062350D">
        <w:t>21</w:t>
      </w:r>
      <w:r w:rsidR="0062350D">
        <w:t xml:space="preserve"> </w:t>
      </w:r>
      <w:r w:rsidRPr="0062350D">
        <w:t>years</w:t>
      </w:r>
      <w:r w:rsidR="0062350D">
        <w:t xml:space="preserve"> </w:t>
      </w:r>
      <w:r w:rsidRPr="0062350D">
        <w:t>of</w:t>
      </w:r>
      <w:r w:rsidR="0062350D">
        <w:t xml:space="preserve"> </w:t>
      </w:r>
      <w:r w:rsidRPr="0062350D">
        <w:t>age.</w:t>
      </w:r>
      <w:r w:rsidR="0062350D">
        <w:t xml:space="preserve"> </w:t>
      </w:r>
      <w:r w:rsidRPr="0062350D">
        <w:t>Consequently,</w:t>
      </w:r>
      <w:r w:rsidR="0062350D">
        <w:t xml:space="preserve"> </w:t>
      </w:r>
      <w:r w:rsidRPr="0062350D">
        <w:t>there</w:t>
      </w:r>
      <w:r w:rsidR="0062350D">
        <w:t xml:space="preserve"> </w:t>
      </w:r>
      <w:r w:rsidRPr="0062350D">
        <w:t>was</w:t>
      </w:r>
      <w:r w:rsidR="0062350D">
        <w:t xml:space="preserve"> </w:t>
      </w:r>
      <w:r w:rsidRPr="0062350D">
        <w:t>no</w:t>
      </w:r>
      <w:r w:rsidR="0062350D">
        <w:t xml:space="preserve"> </w:t>
      </w:r>
      <w:r w:rsidRPr="0062350D">
        <w:t>violation</w:t>
      </w:r>
      <w:r w:rsidR="0062350D">
        <w:t xml:space="preserve"> </w:t>
      </w:r>
      <w:r w:rsidRPr="0062350D">
        <w:t>of</w:t>
      </w:r>
      <w:r w:rsidR="0062350D">
        <w:t xml:space="preserve"> </w:t>
      </w:r>
      <w:r w:rsidRPr="0062350D">
        <w:t>B.A.A.</w:t>
      </w:r>
      <w:r w:rsidR="0062350D" w:rsidRPr="0062350D">
        <w:t>’</w:t>
      </w:r>
      <w:r w:rsidRPr="0062350D">
        <w:t>s</w:t>
      </w:r>
      <w:r w:rsidR="0062350D">
        <w:t xml:space="preserve"> </w:t>
      </w:r>
      <w:r w:rsidRPr="0062350D">
        <w:t>rights</w:t>
      </w:r>
      <w:r w:rsidR="0062350D">
        <w:t xml:space="preserve"> </w:t>
      </w:r>
      <w:r w:rsidRPr="0062350D">
        <w:t>under</w:t>
      </w:r>
      <w:r w:rsidR="0062350D">
        <w:t xml:space="preserve"> </w:t>
      </w:r>
      <w:r w:rsidRPr="0062350D">
        <w:t>articles</w:t>
      </w:r>
      <w:r w:rsidR="0062350D">
        <w:t xml:space="preserve"> </w:t>
      </w:r>
      <w:r w:rsidRPr="0062350D">
        <w:t>17</w:t>
      </w:r>
      <w:r w:rsidR="0062350D">
        <w:t xml:space="preserve"> </w:t>
      </w:r>
      <w:r w:rsidRPr="0062350D">
        <w:t>and</w:t>
      </w:r>
      <w:r w:rsidR="0062350D">
        <w:t xml:space="preserve"> </w:t>
      </w:r>
      <w:r w:rsidRPr="0062350D">
        <w:t>23</w:t>
      </w:r>
      <w:r w:rsidR="0062350D">
        <w:t xml:space="preserve"> </w:t>
      </w:r>
      <w:r w:rsidRPr="0062350D">
        <w:t>of</w:t>
      </w:r>
      <w:r w:rsidR="0062350D">
        <w:t xml:space="preserve"> </w:t>
      </w:r>
      <w:r w:rsidRPr="0062350D">
        <w:t>the</w:t>
      </w:r>
      <w:r w:rsidR="0062350D">
        <w:t xml:space="preserve"> </w:t>
      </w:r>
      <w:r w:rsidRPr="0062350D">
        <w:t>Covenant.</w:t>
      </w:r>
    </w:p>
    <w:p w14:paraId="34059AB9" w14:textId="30243599" w:rsidR="0062350D" w:rsidRPr="0062350D" w:rsidRDefault="007F12C3" w:rsidP="005D6A3F">
      <w:pPr>
        <w:pStyle w:val="SingleTxtG"/>
      </w:pPr>
      <w:r w:rsidRPr="0062350D">
        <w:t>4.11</w:t>
      </w:r>
      <w:r w:rsidRPr="0062350D">
        <w:tab/>
        <w:t>The</w:t>
      </w:r>
      <w:r w:rsidR="0062350D">
        <w:t xml:space="preserve"> </w:t>
      </w:r>
      <w:r w:rsidRPr="0062350D">
        <w:t>State</w:t>
      </w:r>
      <w:r w:rsidR="0062350D">
        <w:t xml:space="preserve"> </w:t>
      </w:r>
      <w:r w:rsidRPr="0062350D">
        <w:t>party,</w:t>
      </w:r>
      <w:r w:rsidR="0062350D">
        <w:t xml:space="preserve"> </w:t>
      </w:r>
      <w:r w:rsidRPr="0062350D">
        <w:t>referring</w:t>
      </w:r>
      <w:r w:rsidR="0062350D">
        <w:t xml:space="preserve"> </w:t>
      </w:r>
      <w:r w:rsidRPr="0062350D">
        <w:t>to</w:t>
      </w:r>
      <w:r w:rsidR="0062350D">
        <w:t xml:space="preserve"> </w:t>
      </w:r>
      <w:r w:rsidRPr="0062350D">
        <w:t>the</w:t>
      </w:r>
      <w:r w:rsidR="0062350D">
        <w:t xml:space="preserve"> </w:t>
      </w:r>
      <w:r w:rsidRPr="0062350D">
        <w:t>author</w:t>
      </w:r>
      <w:r w:rsidR="0062350D" w:rsidRPr="0062350D">
        <w:t>’</w:t>
      </w:r>
      <w:r w:rsidRPr="0062350D">
        <w:t>s</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recalls</w:t>
      </w:r>
      <w:r w:rsidR="0062350D">
        <w:t xml:space="preserve"> </w:t>
      </w:r>
      <w:r w:rsidRPr="0062350D">
        <w:t>relevant</w:t>
      </w:r>
      <w:r w:rsidR="0062350D">
        <w:t xml:space="preserve"> </w:t>
      </w:r>
      <w:r w:rsidRPr="0062350D">
        <w:t>provisions</w:t>
      </w:r>
      <w:r w:rsidR="0062350D">
        <w:t xml:space="preserve"> </w:t>
      </w:r>
      <w:r w:rsidRPr="0062350D">
        <w:t>of</w:t>
      </w:r>
      <w:r w:rsidR="0062350D">
        <w:t xml:space="preserve"> </w:t>
      </w:r>
      <w:r w:rsidRPr="0062350D">
        <w:t>domestic</w:t>
      </w:r>
      <w:r w:rsidR="0062350D">
        <w:t xml:space="preserve"> </w:t>
      </w:r>
      <w:r w:rsidRPr="0062350D">
        <w:t>law</w:t>
      </w:r>
      <w:r w:rsidR="0062350D">
        <w:t xml:space="preserve"> </w:t>
      </w:r>
      <w:r w:rsidRPr="0062350D">
        <w:t>and</w:t>
      </w:r>
      <w:r w:rsidR="0062350D">
        <w:t xml:space="preserve"> </w:t>
      </w:r>
      <w:r w:rsidRPr="0062350D">
        <w:t>submits</w:t>
      </w:r>
      <w:r w:rsidR="0062350D">
        <w:t xml:space="preserve"> </w:t>
      </w:r>
      <w:r w:rsidRPr="0062350D">
        <w:t>that</w:t>
      </w:r>
      <w:r w:rsidR="0062350D">
        <w:t xml:space="preserve"> </w:t>
      </w:r>
      <w:r w:rsidRPr="0062350D">
        <w:t>all</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had</w:t>
      </w:r>
      <w:r w:rsidR="0062350D">
        <w:t xml:space="preserve"> </w:t>
      </w:r>
      <w:r w:rsidRPr="0062350D">
        <w:t>access</w:t>
      </w:r>
      <w:r w:rsidR="0062350D">
        <w:t xml:space="preserve"> </w:t>
      </w:r>
      <w:r w:rsidRPr="0062350D">
        <w:t>to</w:t>
      </w:r>
      <w:r w:rsidR="0062350D">
        <w:t xml:space="preserve"> </w:t>
      </w:r>
      <w:r w:rsidRPr="0062350D">
        <w:t>comprehensive</w:t>
      </w:r>
      <w:r w:rsidR="0062350D">
        <w:t xml:space="preserve"> </w:t>
      </w:r>
      <w:r w:rsidRPr="0062350D">
        <w:t>social</w:t>
      </w:r>
      <w:r w:rsidR="0062350D">
        <w:t xml:space="preserve"> </w:t>
      </w:r>
      <w:r w:rsidRPr="0062350D">
        <w:t>aid</w:t>
      </w:r>
      <w:r w:rsidR="0062350D">
        <w:t xml:space="preserve"> </w:t>
      </w:r>
      <w:r w:rsidRPr="0062350D">
        <w:t>while</w:t>
      </w:r>
      <w:r w:rsidR="0062350D">
        <w:t xml:space="preserve"> </w:t>
      </w:r>
      <w:r w:rsidRPr="0062350D">
        <w:t>in</w:t>
      </w:r>
      <w:r w:rsidR="0062350D">
        <w:t xml:space="preserve"> </w:t>
      </w:r>
      <w:r w:rsidRPr="0062350D">
        <w:t>detention</w:t>
      </w:r>
      <w:r w:rsidR="0062350D">
        <w:t xml:space="preserve"> </w:t>
      </w:r>
      <w:r w:rsidRPr="0062350D">
        <w:t>or</w:t>
      </w:r>
      <w:r w:rsidR="0062350D">
        <w:t xml:space="preserve"> </w:t>
      </w:r>
      <w:r w:rsidRPr="0062350D">
        <w:t>when</w:t>
      </w:r>
      <w:r w:rsidR="0062350D">
        <w:t xml:space="preserve"> </w:t>
      </w:r>
      <w:r w:rsidRPr="0062350D">
        <w:t>released</w:t>
      </w:r>
      <w:r w:rsidR="0062350D">
        <w:t xml:space="preserve"> </w:t>
      </w:r>
      <w:r w:rsidRPr="0062350D">
        <w:t>on</w:t>
      </w:r>
      <w:r w:rsidR="0062350D">
        <w:t xml:space="preserve"> </w:t>
      </w:r>
      <w:r w:rsidRPr="0062350D">
        <w:t>Bridging</w:t>
      </w:r>
      <w:r w:rsidR="0062350D">
        <w:t xml:space="preserve"> </w:t>
      </w:r>
      <w:r w:rsidRPr="0062350D">
        <w:t>visas.</w:t>
      </w:r>
      <w:r w:rsidR="0062350D">
        <w:t xml:space="preserve"> </w:t>
      </w:r>
      <w:r w:rsidRPr="0062350D">
        <w:t>Several</w:t>
      </w:r>
      <w:r w:rsidR="0062350D">
        <w:t xml:space="preserve"> </w:t>
      </w:r>
      <w:r w:rsidRPr="0062350D">
        <w:t>non-</w:t>
      </w:r>
      <w:r w:rsidRPr="0062350D">
        <w:lastRenderedPageBreak/>
        <w:t>governmental</w:t>
      </w:r>
      <w:r w:rsidR="0062350D">
        <w:t xml:space="preserve"> </w:t>
      </w:r>
      <w:r w:rsidRPr="0062350D">
        <w:t>organizations</w:t>
      </w:r>
      <w:r w:rsidR="0062350D">
        <w:t xml:space="preserve"> </w:t>
      </w:r>
      <w:r w:rsidRPr="0062350D">
        <w:t>are</w:t>
      </w:r>
      <w:r w:rsidR="0062350D">
        <w:t xml:space="preserve"> </w:t>
      </w:r>
      <w:r w:rsidRPr="0062350D">
        <w:t>contracted</w:t>
      </w:r>
      <w:r w:rsidR="0062350D">
        <w:t xml:space="preserve"> </w:t>
      </w:r>
      <w:r w:rsidRPr="0062350D">
        <w:t>to</w:t>
      </w:r>
      <w:r w:rsidR="0062350D">
        <w:t xml:space="preserve"> </w:t>
      </w:r>
      <w:r w:rsidRPr="0062350D">
        <w:t>provide</w:t>
      </w:r>
      <w:r w:rsidR="0062350D">
        <w:t xml:space="preserve"> </w:t>
      </w:r>
      <w:r w:rsidRPr="0062350D">
        <w:t>help</w:t>
      </w:r>
      <w:r w:rsidR="0062350D">
        <w:t xml:space="preserve"> </w:t>
      </w:r>
      <w:r w:rsidRPr="0062350D">
        <w:t>and</w:t>
      </w:r>
      <w:r w:rsidR="0062350D">
        <w:t xml:space="preserve"> </w:t>
      </w:r>
      <w:r w:rsidRPr="0062350D">
        <w:t>assistance</w:t>
      </w:r>
      <w:r w:rsidR="0062350D">
        <w:t xml:space="preserve"> </w:t>
      </w:r>
      <w:r w:rsidRPr="0062350D">
        <w:t>to</w:t>
      </w:r>
      <w:r w:rsidR="0062350D">
        <w:t xml:space="preserve"> </w:t>
      </w:r>
      <w:r w:rsidRPr="0062350D">
        <w:t>migrants.</w:t>
      </w:r>
      <w:r w:rsidR="0062350D">
        <w:t xml:space="preserve"> </w:t>
      </w:r>
      <w:r w:rsidRPr="0062350D">
        <w:t>Unaccompanied</w:t>
      </w:r>
      <w:r w:rsidR="0062350D">
        <w:t xml:space="preserve"> </w:t>
      </w:r>
      <w:r w:rsidRPr="0062350D">
        <w:t>minors</w:t>
      </w:r>
      <w:r w:rsidR="0062350D">
        <w:t xml:space="preserve"> </w:t>
      </w:r>
      <w:r w:rsidRPr="0062350D">
        <w:t>are</w:t>
      </w:r>
      <w:r w:rsidR="0062350D">
        <w:t xml:space="preserve"> </w:t>
      </w:r>
      <w:r w:rsidRPr="0062350D">
        <w:t>assigned</w:t>
      </w:r>
      <w:r w:rsidR="0062350D">
        <w:t xml:space="preserve"> </w:t>
      </w:r>
      <w:r w:rsidRPr="0062350D">
        <w:t>to</w:t>
      </w:r>
      <w:r w:rsidR="0062350D">
        <w:t xml:space="preserve"> </w:t>
      </w:r>
      <w:r w:rsidRPr="0062350D">
        <w:t>a</w:t>
      </w:r>
      <w:r w:rsidR="0062350D">
        <w:t xml:space="preserve"> </w:t>
      </w:r>
      <w:r w:rsidRPr="0062350D">
        <w:t>custodian.</w:t>
      </w:r>
      <w:r w:rsidR="0062350D">
        <w:t xml:space="preserve"> </w:t>
      </w:r>
      <w:r w:rsidRPr="0062350D">
        <w:t>As</w:t>
      </w:r>
      <w:r w:rsidR="0062350D">
        <w:t xml:space="preserve"> </w:t>
      </w:r>
      <w:r w:rsidRPr="0062350D">
        <w:t>specified</w:t>
      </w:r>
      <w:r w:rsidR="0062350D">
        <w:t xml:space="preserve"> </w:t>
      </w:r>
      <w:r w:rsidRPr="0062350D">
        <w:t>above,</w:t>
      </w:r>
      <w:r w:rsidR="0062350D">
        <w:t xml:space="preserve"> </w:t>
      </w:r>
      <w:r w:rsidRPr="0062350D">
        <w:t>individuals</w:t>
      </w:r>
      <w:r w:rsidR="0062350D">
        <w:t xml:space="preserve"> </w:t>
      </w:r>
      <w:r w:rsidRPr="0062350D">
        <w:t>in</w:t>
      </w:r>
      <w:r w:rsidR="0062350D">
        <w:t xml:space="preserve"> </w:t>
      </w:r>
      <w:r w:rsidRPr="0062350D">
        <w:t>detention</w:t>
      </w:r>
      <w:r w:rsidR="0062350D">
        <w:t xml:space="preserve"> </w:t>
      </w:r>
      <w:r w:rsidRPr="0062350D">
        <w:t>centres</w:t>
      </w:r>
      <w:r w:rsidR="0062350D">
        <w:t xml:space="preserve"> </w:t>
      </w:r>
      <w:r w:rsidRPr="0062350D">
        <w:t>have</w:t>
      </w:r>
      <w:r w:rsidR="0062350D">
        <w:t xml:space="preserve"> </w:t>
      </w:r>
      <w:r w:rsidRPr="0062350D">
        <w:t>access</w:t>
      </w:r>
      <w:r w:rsidR="0062350D">
        <w:t xml:space="preserve"> </w:t>
      </w:r>
      <w:r w:rsidRPr="0062350D">
        <w:t>to</w:t>
      </w:r>
      <w:r w:rsidR="0062350D">
        <w:t xml:space="preserve"> </w:t>
      </w:r>
      <w:r w:rsidRPr="0062350D">
        <w:t>a</w:t>
      </w:r>
      <w:r w:rsidR="0062350D">
        <w:t xml:space="preserve"> </w:t>
      </w:r>
      <w:r w:rsidRPr="0062350D">
        <w:t>wide</w:t>
      </w:r>
      <w:r w:rsidR="0062350D">
        <w:t xml:space="preserve"> </w:t>
      </w:r>
      <w:r w:rsidRPr="0062350D">
        <w:t>range</w:t>
      </w:r>
      <w:r w:rsidR="0062350D">
        <w:t xml:space="preserve"> </w:t>
      </w:r>
      <w:r w:rsidRPr="0062350D">
        <w:t>of</w:t>
      </w:r>
      <w:r w:rsidR="0062350D">
        <w:t xml:space="preserve"> </w:t>
      </w:r>
      <w:r w:rsidRPr="0062350D">
        <w:t>services.</w:t>
      </w:r>
      <w:r w:rsidR="0062350D">
        <w:t xml:space="preserve"> </w:t>
      </w:r>
      <w:r w:rsidRPr="0062350D">
        <w:t>Individuals</w:t>
      </w:r>
      <w:r w:rsidR="0062350D">
        <w:t xml:space="preserve"> </w:t>
      </w:r>
      <w:r w:rsidRPr="0062350D">
        <w:t>released</w:t>
      </w:r>
      <w:r w:rsidR="0062350D">
        <w:t xml:space="preserve"> </w:t>
      </w:r>
      <w:r w:rsidRPr="0062350D">
        <w:t>on</w:t>
      </w:r>
      <w:r w:rsidR="0062350D">
        <w:t xml:space="preserve"> </w:t>
      </w:r>
      <w:r w:rsidRPr="0062350D">
        <w:t>Bridging</w:t>
      </w:r>
      <w:r w:rsidR="0062350D">
        <w:t xml:space="preserve"> </w:t>
      </w:r>
      <w:r w:rsidRPr="0062350D">
        <w:t>visas</w:t>
      </w:r>
      <w:r w:rsidR="0062350D">
        <w:t xml:space="preserve"> </w:t>
      </w:r>
      <w:r w:rsidRPr="0062350D">
        <w:t>receive</w:t>
      </w:r>
      <w:r w:rsidR="0062350D">
        <w:t xml:space="preserve"> </w:t>
      </w:r>
      <w:r w:rsidRPr="0062350D">
        <w:t>income</w:t>
      </w:r>
      <w:r w:rsidR="0062350D">
        <w:t xml:space="preserve"> </w:t>
      </w:r>
      <w:r w:rsidRPr="0062350D">
        <w:t>and</w:t>
      </w:r>
      <w:r w:rsidR="0062350D">
        <w:t xml:space="preserve"> </w:t>
      </w:r>
      <w:r w:rsidRPr="0062350D">
        <w:t>rent</w:t>
      </w:r>
      <w:r w:rsidR="0062350D">
        <w:t xml:space="preserve"> </w:t>
      </w:r>
      <w:r w:rsidRPr="0062350D">
        <w:t>support,</w:t>
      </w:r>
      <w:r w:rsidR="0062350D">
        <w:t xml:space="preserve"> </w:t>
      </w:r>
      <w:r w:rsidRPr="0062350D">
        <w:t>accommodation</w:t>
      </w:r>
      <w:r w:rsidR="0062350D">
        <w:t xml:space="preserve"> </w:t>
      </w:r>
      <w:r w:rsidRPr="0062350D">
        <w:t>assistance,</w:t>
      </w:r>
      <w:r w:rsidR="0062350D">
        <w:t xml:space="preserve"> </w:t>
      </w:r>
      <w:r w:rsidRPr="0062350D">
        <w:t>orientation,</w:t>
      </w:r>
      <w:r w:rsidR="0062350D">
        <w:t xml:space="preserve"> </w:t>
      </w:r>
      <w:r w:rsidRPr="0062350D">
        <w:t>training</w:t>
      </w:r>
      <w:r w:rsidR="0062350D">
        <w:t xml:space="preserve"> </w:t>
      </w:r>
      <w:r w:rsidRPr="0062350D">
        <w:t>and</w:t>
      </w:r>
      <w:r w:rsidR="0062350D">
        <w:t xml:space="preserve"> </w:t>
      </w:r>
      <w:r w:rsidRPr="0062350D">
        <w:t>practical</w:t>
      </w:r>
      <w:r w:rsidR="0062350D">
        <w:t xml:space="preserve"> </w:t>
      </w:r>
      <w:r w:rsidRPr="0062350D">
        <w:t>information</w:t>
      </w:r>
      <w:r w:rsidR="0062350D">
        <w:t xml:space="preserve"> </w:t>
      </w:r>
      <w:r w:rsidRPr="0062350D">
        <w:t>as</w:t>
      </w:r>
      <w:r w:rsidR="0062350D">
        <w:t xml:space="preserve"> </w:t>
      </w:r>
      <w:r w:rsidRPr="0062350D">
        <w:t>well</w:t>
      </w:r>
      <w:r w:rsidR="0062350D">
        <w:t xml:space="preserve"> </w:t>
      </w:r>
      <w:r w:rsidRPr="0062350D">
        <w:t>as</w:t>
      </w:r>
      <w:r w:rsidR="0062350D">
        <w:t xml:space="preserve"> </w:t>
      </w:r>
      <w:r w:rsidRPr="0062350D">
        <w:t>health</w:t>
      </w:r>
      <w:r w:rsidR="0062350D">
        <w:t xml:space="preserve"> </w:t>
      </w:r>
      <w:r w:rsidRPr="0062350D">
        <w:t>services.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also</w:t>
      </w:r>
      <w:r w:rsidR="0062350D">
        <w:t xml:space="preserve"> </w:t>
      </w:r>
      <w:r w:rsidRPr="0062350D">
        <w:t>notes</w:t>
      </w:r>
      <w:r w:rsidR="0062350D">
        <w:t xml:space="preserve"> </w:t>
      </w:r>
      <w:r w:rsidRPr="0062350D">
        <w:t>that</w:t>
      </w:r>
      <w:r w:rsidR="0062350D">
        <w:t xml:space="preserve"> </w:t>
      </w:r>
      <w:r w:rsidRPr="0062350D">
        <w:t>A.R.</w:t>
      </w:r>
      <w:r w:rsidR="0062350D">
        <w:t xml:space="preserve"> </w:t>
      </w:r>
      <w:r w:rsidRPr="0062350D">
        <w:t>was</w:t>
      </w:r>
      <w:r w:rsidR="0062350D">
        <w:t xml:space="preserve"> </w:t>
      </w:r>
      <w:r w:rsidRPr="0062350D">
        <w:t>transferred</w:t>
      </w:r>
      <w:r w:rsidR="0062350D">
        <w:t xml:space="preserve"> </w:t>
      </w:r>
      <w:r w:rsidRPr="0062350D">
        <w:t>to</w:t>
      </w:r>
      <w:r w:rsidR="0062350D">
        <w:t xml:space="preserve"> </w:t>
      </w:r>
      <w:r w:rsidRPr="0062350D">
        <w:t>the</w:t>
      </w:r>
      <w:r w:rsidR="0062350D">
        <w:t xml:space="preserve"> </w:t>
      </w:r>
      <w:r w:rsidRPr="0062350D">
        <w:t>Maribyrnong</w:t>
      </w:r>
      <w:r w:rsidR="0062350D">
        <w:t xml:space="preserve"> </w:t>
      </w:r>
      <w:r w:rsidRPr="0062350D">
        <w:t>Immigration</w:t>
      </w:r>
      <w:r w:rsidR="0062350D">
        <w:t xml:space="preserve"> </w:t>
      </w:r>
      <w:r w:rsidRPr="0062350D">
        <w:t>Detention</w:t>
      </w:r>
      <w:r w:rsidR="0062350D">
        <w:t xml:space="preserve"> </w:t>
      </w:r>
      <w:r w:rsidRPr="0062350D">
        <w:t>Centre</w:t>
      </w:r>
      <w:r w:rsidR="0062350D">
        <w:t xml:space="preserve"> </w:t>
      </w:r>
      <w:r w:rsidRPr="0062350D">
        <w:t>from</w:t>
      </w:r>
      <w:r w:rsidR="0062350D">
        <w:t xml:space="preserve"> </w:t>
      </w:r>
      <w:r w:rsidRPr="0062350D">
        <w:t>a</w:t>
      </w:r>
      <w:r w:rsidR="0062350D">
        <w:t xml:space="preserve"> </w:t>
      </w:r>
      <w:r w:rsidRPr="0062350D">
        <w:t>community</w:t>
      </w:r>
      <w:r w:rsidR="0062350D">
        <w:t xml:space="preserve"> </w:t>
      </w:r>
      <w:r w:rsidRPr="0062350D">
        <w:t>detention</w:t>
      </w:r>
      <w:r w:rsidR="0062350D">
        <w:t xml:space="preserve"> </w:t>
      </w:r>
      <w:r w:rsidRPr="0062350D">
        <w:t>centre</w:t>
      </w:r>
      <w:r w:rsidR="0062350D">
        <w:t xml:space="preserve"> </w:t>
      </w:r>
      <w:r w:rsidRPr="0062350D">
        <w:t>as</w:t>
      </w:r>
      <w:r w:rsidR="0062350D">
        <w:t xml:space="preserve"> </w:t>
      </w:r>
      <w:r w:rsidRPr="0062350D">
        <w:t>a</w:t>
      </w:r>
      <w:r w:rsidR="0062350D">
        <w:t xml:space="preserve"> </w:t>
      </w:r>
      <w:r w:rsidRPr="0062350D">
        <w:t>result</w:t>
      </w:r>
      <w:r w:rsidR="0062350D">
        <w:t xml:space="preserve"> </w:t>
      </w:r>
      <w:r w:rsidRPr="0062350D">
        <w:t>of</w:t>
      </w:r>
      <w:r w:rsidR="0062350D">
        <w:t xml:space="preserve"> </w:t>
      </w:r>
      <w:r w:rsidRPr="0062350D">
        <w:t>behavioural</w:t>
      </w:r>
      <w:r w:rsidR="0062350D">
        <w:t xml:space="preserve"> </w:t>
      </w:r>
      <w:r w:rsidRPr="0062350D">
        <w:t>and</w:t>
      </w:r>
      <w:r w:rsidR="0062350D">
        <w:t xml:space="preserve"> </w:t>
      </w:r>
      <w:r w:rsidRPr="0062350D">
        <w:t>criminal</w:t>
      </w:r>
      <w:r w:rsidR="0062350D">
        <w:t xml:space="preserve"> </w:t>
      </w:r>
      <w:r w:rsidRPr="0062350D">
        <w:t>problems.</w:t>
      </w:r>
      <w:r w:rsidR="0062350D">
        <w:t xml:space="preserve"> </w:t>
      </w:r>
      <w:r w:rsidRPr="0062350D">
        <w:t>His</w:t>
      </w:r>
      <w:r w:rsidR="0062350D">
        <w:t xml:space="preserve"> </w:t>
      </w:r>
      <w:r w:rsidRPr="0062350D">
        <w:t>placement</w:t>
      </w:r>
      <w:r w:rsidR="0062350D">
        <w:t xml:space="preserve"> </w:t>
      </w:r>
      <w:r w:rsidRPr="0062350D">
        <w:t>in</w:t>
      </w:r>
      <w:r w:rsidR="0062350D">
        <w:t xml:space="preserve"> </w:t>
      </w:r>
      <w:r w:rsidRPr="0062350D">
        <w:t>the</w:t>
      </w:r>
      <w:r w:rsidR="0062350D">
        <w:t xml:space="preserve"> </w:t>
      </w:r>
      <w:r w:rsidRPr="0062350D">
        <w:t>detention</w:t>
      </w:r>
      <w:r w:rsidR="0062350D">
        <w:t xml:space="preserve"> </w:t>
      </w:r>
      <w:r w:rsidRPr="0062350D">
        <w:t>centre</w:t>
      </w:r>
      <w:r w:rsidR="0062350D">
        <w:t xml:space="preserve"> </w:t>
      </w:r>
      <w:r w:rsidRPr="0062350D">
        <w:t>is</w:t>
      </w:r>
      <w:r w:rsidR="0062350D">
        <w:t xml:space="preserve"> </w:t>
      </w:r>
      <w:r w:rsidRPr="0062350D">
        <w:t>regularly</w:t>
      </w:r>
      <w:r w:rsidR="0062350D">
        <w:t xml:space="preserve"> </w:t>
      </w:r>
      <w:r w:rsidRPr="0062350D">
        <w:t>reviewed.</w:t>
      </w:r>
      <w:r w:rsidR="0062350D">
        <w:t xml:space="preserve"> </w:t>
      </w:r>
      <w:r w:rsidRPr="0062350D">
        <w:t>At</w:t>
      </w:r>
      <w:r w:rsidR="0062350D">
        <w:t xml:space="preserve"> </w:t>
      </w:r>
      <w:r w:rsidRPr="0062350D">
        <w:t>the</w:t>
      </w:r>
      <w:r w:rsidR="0062350D">
        <w:t xml:space="preserve"> </w:t>
      </w:r>
      <w:r w:rsidRPr="0062350D">
        <w:t>time</w:t>
      </w:r>
      <w:r w:rsidR="0062350D">
        <w:t xml:space="preserve"> </w:t>
      </w:r>
      <w:r w:rsidRPr="0062350D">
        <w:t>of</w:t>
      </w:r>
      <w:r w:rsidR="0062350D">
        <w:t xml:space="preserve"> </w:t>
      </w:r>
      <w:r w:rsidRPr="0062350D">
        <w:t>his</w:t>
      </w:r>
      <w:r w:rsidR="0062350D">
        <w:t xml:space="preserve"> </w:t>
      </w:r>
      <w:r w:rsidRPr="0062350D">
        <w:t>transfer,</w:t>
      </w:r>
      <w:r w:rsidR="0062350D">
        <w:t xml:space="preserve"> </w:t>
      </w:r>
      <w:r w:rsidRPr="0062350D">
        <w:t>the</w:t>
      </w:r>
      <w:r w:rsidR="0062350D">
        <w:t xml:space="preserve"> </w:t>
      </w:r>
      <w:r w:rsidRPr="0062350D">
        <w:t>author</w:t>
      </w:r>
      <w:r w:rsidR="0062350D">
        <w:t xml:space="preserve"> </w:t>
      </w:r>
      <w:r w:rsidRPr="0062350D">
        <w:t>was</w:t>
      </w:r>
      <w:r w:rsidR="0062350D">
        <w:t xml:space="preserve"> </w:t>
      </w:r>
      <w:r w:rsidRPr="0062350D">
        <w:t>considered</w:t>
      </w:r>
      <w:r w:rsidR="0062350D">
        <w:t xml:space="preserve"> </w:t>
      </w:r>
      <w:r w:rsidRPr="0062350D">
        <w:t>to</w:t>
      </w:r>
      <w:r w:rsidR="0062350D">
        <w:t xml:space="preserve"> </w:t>
      </w:r>
      <w:r w:rsidRPr="0062350D">
        <w:t>be</w:t>
      </w:r>
      <w:r w:rsidR="0062350D">
        <w:t xml:space="preserve"> </w:t>
      </w:r>
      <w:r w:rsidRPr="0062350D">
        <w:t>an</w:t>
      </w:r>
      <w:r w:rsidR="0062350D">
        <w:t xml:space="preserve"> </w:t>
      </w:r>
      <w:r w:rsidRPr="0062350D">
        <w:t>adult.</w:t>
      </w:r>
    </w:p>
    <w:p w14:paraId="23ED4EEF" w14:textId="28CDD680" w:rsidR="007F12C3" w:rsidRPr="0062350D" w:rsidRDefault="007F12C3" w:rsidP="005D6A3F">
      <w:pPr>
        <w:pStyle w:val="SingleTxtG"/>
      </w:pPr>
      <w:r w:rsidRPr="0062350D">
        <w:t>4.12</w:t>
      </w:r>
      <w:r w:rsidRPr="0062350D">
        <w:tab/>
        <w:t>With</w:t>
      </w:r>
      <w:r w:rsidR="0062350D">
        <w:t xml:space="preserve"> </w:t>
      </w:r>
      <w:r w:rsidRPr="0062350D">
        <w:t>respect</w:t>
      </w:r>
      <w:r w:rsidR="0062350D">
        <w:t xml:space="preserve"> </w:t>
      </w:r>
      <w:r w:rsidRPr="0062350D">
        <w:t>to</w:t>
      </w:r>
      <w:r w:rsidR="0062350D">
        <w:t xml:space="preserve"> </w:t>
      </w:r>
      <w:r w:rsidRPr="0062350D">
        <w:t>the</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2,</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reiterates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failed</w:t>
      </w:r>
      <w:r w:rsidR="0062350D">
        <w:t xml:space="preserve"> </w:t>
      </w:r>
      <w:r w:rsidRPr="0062350D">
        <w:t>to</w:t>
      </w:r>
      <w:r w:rsidR="0062350D">
        <w:t xml:space="preserve"> </w:t>
      </w:r>
      <w:r w:rsidRPr="0062350D">
        <w:t>substantiate</w:t>
      </w:r>
      <w:r w:rsidR="0062350D">
        <w:t xml:space="preserve"> </w:t>
      </w:r>
      <w:r w:rsidRPr="0062350D">
        <w:t>allegations</w:t>
      </w:r>
      <w:r w:rsidR="0062350D">
        <w:t xml:space="preserve"> </w:t>
      </w:r>
      <w:r w:rsidRPr="0062350D">
        <w:t>of</w:t>
      </w:r>
      <w:r w:rsidR="0062350D">
        <w:t xml:space="preserve"> </w:t>
      </w:r>
      <w:r w:rsidRPr="0062350D">
        <w:t>breaches</w:t>
      </w:r>
      <w:r w:rsidR="0062350D">
        <w:t xml:space="preserve"> </w:t>
      </w:r>
      <w:r w:rsidRPr="0062350D">
        <w:t>of</w:t>
      </w:r>
      <w:r w:rsidR="0062350D">
        <w:t xml:space="preserve"> </w:t>
      </w:r>
      <w:r w:rsidRPr="0062350D">
        <w:t>any</w:t>
      </w:r>
      <w:r w:rsidR="0062350D">
        <w:t xml:space="preserve"> </w:t>
      </w:r>
      <w:r w:rsidRPr="0062350D">
        <w:t>other</w:t>
      </w:r>
      <w:r w:rsidR="0062350D">
        <w:t xml:space="preserve"> </w:t>
      </w:r>
      <w:r w:rsidRPr="0062350D">
        <w:t>substantive</w:t>
      </w:r>
      <w:r w:rsidR="0062350D">
        <w:t xml:space="preserve"> </w:t>
      </w:r>
      <w:r w:rsidRPr="0062350D">
        <w:t>provisions</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further</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initial</w:t>
      </w:r>
      <w:r w:rsidR="0062350D">
        <w:t xml:space="preserve"> </w:t>
      </w:r>
      <w:r w:rsidRPr="0062350D">
        <w:t>remedy</w:t>
      </w:r>
      <w:r w:rsidR="0062350D">
        <w:t xml:space="preserve"> </w:t>
      </w:r>
      <w:r w:rsidRPr="0062350D">
        <w:t>sought</w:t>
      </w:r>
      <w:r w:rsidR="0062350D">
        <w:t xml:space="preserve"> </w:t>
      </w:r>
      <w:r w:rsidRPr="0062350D">
        <w:t>by</w:t>
      </w:r>
      <w:r w:rsidR="0062350D">
        <w:t xml:space="preserve"> </w:t>
      </w:r>
      <w:r w:rsidRPr="0062350D">
        <w:t>the</w:t>
      </w:r>
      <w:r w:rsidR="0062350D">
        <w:t xml:space="preserve"> </w:t>
      </w:r>
      <w:r w:rsidRPr="0062350D">
        <w:t>authors,</w:t>
      </w:r>
      <w:r w:rsidR="0062350D">
        <w:t xml:space="preserve"> </w:t>
      </w:r>
      <w:r w:rsidRPr="0062350D">
        <w:t>that</w:t>
      </w:r>
      <w:r w:rsidR="0062350D">
        <w:t xml:space="preserve"> </w:t>
      </w:r>
      <w:r w:rsidRPr="0062350D">
        <w:t>is,</w:t>
      </w:r>
      <w:r w:rsidR="0062350D">
        <w:t xml:space="preserve"> </w:t>
      </w:r>
      <w:r w:rsidRPr="0062350D">
        <w:t>prohibition</w:t>
      </w:r>
      <w:r w:rsidR="0062350D">
        <w:t xml:space="preserve"> </w:t>
      </w:r>
      <w:r w:rsidRPr="0062350D">
        <w:t>of</w:t>
      </w:r>
      <w:r w:rsidR="0062350D">
        <w:t xml:space="preserve"> </w:t>
      </w:r>
      <w:r w:rsidRPr="0062350D">
        <w:t>their</w:t>
      </w:r>
      <w:r w:rsidR="0062350D">
        <w:t xml:space="preserve"> </w:t>
      </w:r>
      <w:r w:rsidRPr="0062350D">
        <w:t>transfer</w:t>
      </w:r>
      <w:r w:rsidR="0062350D">
        <w:t xml:space="preserve"> </w:t>
      </w:r>
      <w:r w:rsidRPr="0062350D">
        <w:t>to</w:t>
      </w:r>
      <w:r w:rsidR="0062350D">
        <w:t xml:space="preserve"> </w:t>
      </w:r>
      <w:r w:rsidRPr="0062350D">
        <w:t>Nauru,</w:t>
      </w:r>
      <w:r w:rsidR="0062350D">
        <w:t xml:space="preserve"> </w:t>
      </w:r>
      <w:r w:rsidRPr="0062350D">
        <w:t>has</w:t>
      </w:r>
      <w:r w:rsidR="0062350D">
        <w:t xml:space="preserve"> </w:t>
      </w:r>
      <w:r w:rsidRPr="0062350D">
        <w:t>already</w:t>
      </w:r>
      <w:r w:rsidR="0062350D">
        <w:t xml:space="preserve"> </w:t>
      </w:r>
      <w:r w:rsidRPr="0062350D">
        <w:t>occurred</w:t>
      </w:r>
      <w:r w:rsidR="0062350D">
        <w:t xml:space="preserve"> </w:t>
      </w:r>
      <w:r w:rsidRPr="0062350D">
        <w:t>through</w:t>
      </w:r>
      <w:r w:rsidR="0062350D">
        <w:t xml:space="preserve"> </w:t>
      </w:r>
      <w:r w:rsidRPr="0062350D">
        <w:t>a</w:t>
      </w:r>
      <w:r w:rsidR="0062350D">
        <w:t xml:space="preserve"> </w:t>
      </w:r>
      <w:r w:rsidRPr="0062350D">
        <w:t>change</w:t>
      </w:r>
      <w:r w:rsidR="0062350D">
        <w:t xml:space="preserve"> </w:t>
      </w:r>
      <w:r w:rsidRPr="0062350D">
        <w:t>in</w:t>
      </w:r>
      <w:r w:rsidR="0062350D">
        <w:t xml:space="preserve"> </w:t>
      </w:r>
      <w:r w:rsidRPr="0062350D">
        <w:t>national</w:t>
      </w:r>
      <w:r w:rsidR="0062350D">
        <w:t xml:space="preserve"> </w:t>
      </w:r>
      <w:r w:rsidRPr="0062350D">
        <w:t>policy.</w:t>
      </w:r>
      <w:r w:rsidR="0062350D">
        <w:t xml:space="preserve"> </w:t>
      </w:r>
      <w:r w:rsidRPr="0062350D">
        <w:t>All</w:t>
      </w:r>
      <w:r w:rsidR="0062350D">
        <w:t xml:space="preserve"> </w:t>
      </w:r>
      <w:r w:rsidRPr="0062350D">
        <w:t>authors</w:t>
      </w:r>
      <w:r w:rsidR="0062350D">
        <w:t xml:space="preserve"> </w:t>
      </w:r>
      <w:r w:rsidRPr="0062350D">
        <w:t>are</w:t>
      </w:r>
      <w:r w:rsidR="0062350D">
        <w:t xml:space="preserve"> </w:t>
      </w:r>
      <w:r w:rsidRPr="0062350D">
        <w:t>invited</w:t>
      </w:r>
      <w:r w:rsidR="0062350D">
        <w:t xml:space="preserve"> </w:t>
      </w:r>
      <w:r w:rsidRPr="0062350D">
        <w:t>to</w:t>
      </w:r>
      <w:r w:rsidR="0062350D">
        <w:t xml:space="preserve"> </w:t>
      </w:r>
      <w:r w:rsidRPr="0062350D">
        <w:t>apply</w:t>
      </w:r>
      <w:r w:rsidR="0062350D">
        <w:t xml:space="preserve"> </w:t>
      </w:r>
      <w:r w:rsidRPr="0062350D">
        <w:t>for</w:t>
      </w:r>
      <w:r w:rsidR="0062350D">
        <w:t xml:space="preserve"> </w:t>
      </w:r>
      <w:r w:rsidRPr="0062350D">
        <w:t>temporary</w:t>
      </w:r>
      <w:r w:rsidR="0062350D">
        <w:t xml:space="preserve"> </w:t>
      </w:r>
      <w:r w:rsidRPr="0062350D">
        <w:t>protection</w:t>
      </w:r>
      <w:r w:rsidR="0062350D">
        <w:t xml:space="preserve"> </w:t>
      </w:r>
      <w:r w:rsidRPr="0062350D">
        <w:t>or</w:t>
      </w:r>
      <w:r w:rsidR="0062350D">
        <w:t xml:space="preserve"> </w:t>
      </w:r>
      <w:r w:rsidRPr="0062350D">
        <w:t>for</w:t>
      </w:r>
      <w:r w:rsidR="0062350D">
        <w:t xml:space="preserve"> </w:t>
      </w:r>
      <w:r w:rsidRPr="0062350D">
        <w:t>Safe</w:t>
      </w:r>
      <w:r w:rsidR="0062350D">
        <w:t xml:space="preserve"> </w:t>
      </w:r>
      <w:r w:rsidRPr="0062350D">
        <w:t>Haven</w:t>
      </w:r>
      <w:r w:rsidR="0062350D">
        <w:t xml:space="preserve"> </w:t>
      </w:r>
      <w:r w:rsidRPr="0062350D">
        <w:t>Enterprise</w:t>
      </w:r>
      <w:r w:rsidR="0062350D">
        <w:t xml:space="preserve"> </w:t>
      </w:r>
      <w:r w:rsidRPr="0062350D">
        <w:t>visas</w:t>
      </w:r>
      <w:r w:rsidR="0062350D">
        <w:t xml:space="preserve"> </w:t>
      </w:r>
      <w:r w:rsidRPr="0062350D">
        <w:t>in</w:t>
      </w:r>
      <w:r w:rsidR="0062350D">
        <w:t xml:space="preserve"> </w:t>
      </w:r>
      <w:r w:rsidRPr="0062350D">
        <w:t>Australia.</w:t>
      </w:r>
    </w:p>
    <w:p w14:paraId="61F9F32D" w14:textId="7ECD3668" w:rsidR="007F12C3" w:rsidRPr="0062350D" w:rsidRDefault="007F12C3" w:rsidP="0062350D">
      <w:pPr>
        <w:pStyle w:val="H23G"/>
      </w:pPr>
      <w:r w:rsidRPr="0062350D">
        <w:tab/>
      </w:r>
      <w:r w:rsidRPr="0062350D">
        <w:tab/>
        <w:t>Authors</w:t>
      </w:r>
      <w:r w:rsidR="0062350D" w:rsidRPr="0062350D">
        <w:t>’</w:t>
      </w:r>
      <w:r w:rsidR="0062350D">
        <w:t xml:space="preserve"> </w:t>
      </w:r>
      <w:r w:rsidRPr="0062350D">
        <w:t>comments</w:t>
      </w:r>
      <w:r w:rsidR="0062350D">
        <w:t xml:space="preserve"> </w:t>
      </w:r>
      <w:r w:rsidRPr="0062350D">
        <w:t>on</w:t>
      </w:r>
      <w:r w:rsidR="0062350D">
        <w:t xml:space="preserve"> </w:t>
      </w:r>
      <w:r w:rsidRPr="0062350D">
        <w:t>the</w:t>
      </w:r>
      <w:r w:rsidR="0062350D">
        <w:t xml:space="preserve"> </w:t>
      </w:r>
      <w:r w:rsidRPr="0062350D">
        <w:t>State</w:t>
      </w:r>
      <w:r w:rsidR="0062350D">
        <w:t xml:space="preserve"> </w:t>
      </w:r>
      <w:r w:rsidRPr="0062350D">
        <w:t>party</w:t>
      </w:r>
      <w:r w:rsidR="0062350D" w:rsidRPr="0062350D">
        <w:t>’</w:t>
      </w:r>
      <w:r w:rsidRPr="0062350D">
        <w:t>s</w:t>
      </w:r>
      <w:r w:rsidR="0062350D">
        <w:t xml:space="preserve"> </w:t>
      </w:r>
      <w:r w:rsidRPr="0062350D">
        <w:t>observations</w:t>
      </w:r>
      <w:r w:rsidR="0062350D">
        <w:t xml:space="preserve"> </w:t>
      </w:r>
      <w:r w:rsidRPr="0062350D">
        <w:t>on</w:t>
      </w:r>
      <w:r w:rsidR="0062350D">
        <w:t xml:space="preserve"> </w:t>
      </w:r>
      <w:r w:rsidRPr="0062350D">
        <w:t>admissibility</w:t>
      </w:r>
      <w:r w:rsidR="0062350D">
        <w:t xml:space="preserve"> </w:t>
      </w:r>
      <w:r w:rsidRPr="0062350D">
        <w:t>and</w:t>
      </w:r>
      <w:r w:rsidR="0062350D">
        <w:t xml:space="preserve"> </w:t>
      </w:r>
      <w:r w:rsidRPr="0062350D">
        <w:t>the</w:t>
      </w:r>
      <w:r w:rsidR="0062350D">
        <w:t xml:space="preserve"> </w:t>
      </w:r>
      <w:r w:rsidRPr="0062350D">
        <w:t>merits</w:t>
      </w:r>
    </w:p>
    <w:p w14:paraId="4CF2E2B5" w14:textId="26082501" w:rsidR="007F12C3" w:rsidRPr="00FD0FFF" w:rsidRDefault="007F12C3" w:rsidP="00FD0FFF">
      <w:pPr>
        <w:pStyle w:val="SingleTxtG"/>
      </w:pPr>
      <w:r w:rsidRPr="00FD0FFF">
        <w:t>5.1</w:t>
      </w:r>
      <w:r w:rsidRPr="00FD0FFF">
        <w:tab/>
        <w:t>The</w:t>
      </w:r>
      <w:r w:rsidR="0062350D" w:rsidRPr="00FD0FFF">
        <w:t xml:space="preserve"> </w:t>
      </w:r>
      <w:r w:rsidRPr="00FD0FFF">
        <w:t>authors</w:t>
      </w:r>
      <w:r w:rsidR="0062350D" w:rsidRPr="00FD0FFF">
        <w:t xml:space="preserve"> </w:t>
      </w:r>
      <w:r w:rsidRPr="00FD0FFF">
        <w:t>provided</w:t>
      </w:r>
      <w:r w:rsidR="0062350D" w:rsidRPr="00FD0FFF">
        <w:t xml:space="preserve"> </w:t>
      </w:r>
      <w:r w:rsidRPr="00FD0FFF">
        <w:t>their</w:t>
      </w:r>
      <w:r w:rsidR="0062350D" w:rsidRPr="00FD0FFF">
        <w:t xml:space="preserve"> </w:t>
      </w:r>
      <w:r w:rsidRPr="00FD0FFF">
        <w:t>comments</w:t>
      </w:r>
      <w:r w:rsidR="0062350D" w:rsidRPr="00FD0FFF">
        <w:t xml:space="preserve"> </w:t>
      </w:r>
      <w:r w:rsidRPr="00FD0FFF">
        <w:t>on</w:t>
      </w:r>
      <w:r w:rsidR="0062350D" w:rsidRPr="00FD0FFF">
        <w:t xml:space="preserve"> </w:t>
      </w:r>
      <w:r w:rsidRPr="00FD0FFF">
        <w:t>25</w:t>
      </w:r>
      <w:r w:rsidR="0062350D" w:rsidRPr="00FD0FFF">
        <w:t xml:space="preserve"> </w:t>
      </w:r>
      <w:r w:rsidRPr="00FD0FFF">
        <w:t>October</w:t>
      </w:r>
      <w:r w:rsidR="0062350D" w:rsidRPr="00FD0FFF">
        <w:t xml:space="preserve"> </w:t>
      </w:r>
      <w:r w:rsidRPr="00FD0FFF">
        <w:t>2016.</w:t>
      </w:r>
    </w:p>
    <w:p w14:paraId="5CF88E96" w14:textId="0494486E" w:rsidR="0062350D" w:rsidRPr="00FD0FFF" w:rsidRDefault="007F12C3" w:rsidP="00FD0FFF">
      <w:pPr>
        <w:pStyle w:val="SingleTxtG"/>
      </w:pPr>
      <w:r w:rsidRPr="00FD0FFF">
        <w:t>5.2</w:t>
      </w:r>
      <w:r w:rsidRPr="00FD0FFF">
        <w:tab/>
        <w:t>The</w:t>
      </w:r>
      <w:r w:rsidR="0062350D" w:rsidRPr="00FD0FFF">
        <w:t xml:space="preserve"> </w:t>
      </w:r>
      <w:r w:rsidRPr="00FD0FFF">
        <w:t>authors</w:t>
      </w:r>
      <w:r w:rsidR="0062350D" w:rsidRPr="00FD0FFF">
        <w:t xml:space="preserve"> </w:t>
      </w:r>
      <w:r w:rsidRPr="00FD0FFF">
        <w:t>argue</w:t>
      </w:r>
      <w:r w:rsidR="0062350D" w:rsidRPr="00FD0FFF">
        <w:t xml:space="preserve"> </w:t>
      </w:r>
      <w:r w:rsidRPr="00FD0FFF">
        <w:t>that</w:t>
      </w:r>
      <w:r w:rsidR="0062350D" w:rsidRPr="00FD0FFF">
        <w:t xml:space="preserve"> </w:t>
      </w:r>
      <w:r w:rsidRPr="00FD0FFF">
        <w:t>their</w:t>
      </w:r>
      <w:r w:rsidR="0062350D" w:rsidRPr="00FD0FFF">
        <w:t xml:space="preserve"> </w:t>
      </w:r>
      <w:r w:rsidRPr="00FD0FFF">
        <w:t>claims</w:t>
      </w:r>
      <w:r w:rsidR="0062350D" w:rsidRPr="00FD0FFF">
        <w:t xml:space="preserve"> </w:t>
      </w:r>
      <w:r w:rsidRPr="00FD0FFF">
        <w:t>about</w:t>
      </w:r>
      <w:r w:rsidR="0062350D" w:rsidRPr="00FD0FFF">
        <w:t xml:space="preserve"> </w:t>
      </w:r>
      <w:r w:rsidRPr="00FD0FFF">
        <w:t>conditions</w:t>
      </w:r>
      <w:r w:rsidR="0062350D" w:rsidRPr="00FD0FFF">
        <w:t xml:space="preserve"> </w:t>
      </w:r>
      <w:r w:rsidRPr="00FD0FFF">
        <w:t>of</w:t>
      </w:r>
      <w:r w:rsidR="0062350D" w:rsidRPr="00FD0FFF">
        <w:t xml:space="preserve"> </w:t>
      </w:r>
      <w:r w:rsidRPr="00FD0FFF">
        <w:t>detention</w:t>
      </w:r>
      <w:r w:rsidR="0062350D" w:rsidRPr="00FD0FFF">
        <w:t xml:space="preserve"> </w:t>
      </w:r>
      <w:r w:rsidRPr="00FD0FFF">
        <w:t>on</w:t>
      </w:r>
      <w:r w:rsidR="0062350D" w:rsidRPr="00FD0FFF">
        <w:t xml:space="preserve"> </w:t>
      </w:r>
      <w:r w:rsidRPr="00FD0FFF">
        <w:t>Christmas</w:t>
      </w:r>
      <w:r w:rsidR="0062350D" w:rsidRPr="00FD0FFF">
        <w:t xml:space="preserve"> </w:t>
      </w:r>
      <w:r w:rsidRPr="00FD0FFF">
        <w:t>Island</w:t>
      </w:r>
      <w:r w:rsidR="0062350D" w:rsidRPr="00FD0FFF">
        <w:t xml:space="preserve"> </w:t>
      </w:r>
      <w:r w:rsidRPr="00FD0FFF">
        <w:t>and</w:t>
      </w:r>
      <w:r w:rsidR="0062350D" w:rsidRPr="00FD0FFF">
        <w:t xml:space="preserve"> </w:t>
      </w:r>
      <w:r w:rsidRPr="00FD0FFF">
        <w:t>on</w:t>
      </w:r>
      <w:r w:rsidR="0062350D" w:rsidRPr="00FD0FFF">
        <w:t xml:space="preserve"> </w:t>
      </w:r>
      <w:r w:rsidRPr="00FD0FFF">
        <w:t>the</w:t>
      </w:r>
      <w:r w:rsidR="0062350D" w:rsidRPr="00FD0FFF">
        <w:t xml:space="preserve"> </w:t>
      </w:r>
      <w:r w:rsidRPr="00FD0FFF">
        <w:t>mainland,</w:t>
      </w:r>
      <w:r w:rsidR="0062350D" w:rsidRPr="00FD0FFF">
        <w:t xml:space="preserve"> </w:t>
      </w:r>
      <w:r w:rsidRPr="00FD0FFF">
        <w:t>as</w:t>
      </w:r>
      <w:r w:rsidR="0062350D" w:rsidRPr="00FD0FFF">
        <w:t xml:space="preserve"> </w:t>
      </w:r>
      <w:r w:rsidRPr="00FD0FFF">
        <w:t>well</w:t>
      </w:r>
      <w:r w:rsidR="0062350D" w:rsidRPr="00FD0FFF">
        <w:t xml:space="preserve"> </w:t>
      </w:r>
      <w:r w:rsidRPr="00FD0FFF">
        <w:t>as</w:t>
      </w:r>
      <w:r w:rsidR="0062350D" w:rsidRPr="00FD0FFF">
        <w:t xml:space="preserve"> </w:t>
      </w:r>
      <w:r w:rsidRPr="00FD0FFF">
        <w:t>their</w:t>
      </w:r>
      <w:r w:rsidR="0062350D" w:rsidRPr="00FD0FFF">
        <w:t xml:space="preserve"> </w:t>
      </w:r>
      <w:r w:rsidRPr="00FD0FFF">
        <w:t>claims</w:t>
      </w:r>
      <w:r w:rsidR="0062350D" w:rsidRPr="00FD0FFF">
        <w:t xml:space="preserve"> </w:t>
      </w:r>
      <w:r w:rsidRPr="00FD0FFF">
        <w:t>about</w:t>
      </w:r>
      <w:r w:rsidR="0062350D" w:rsidRPr="00FD0FFF">
        <w:t xml:space="preserve"> </w:t>
      </w:r>
      <w:r w:rsidRPr="00FD0FFF">
        <w:t>State</w:t>
      </w:r>
      <w:r w:rsidR="0062350D" w:rsidRPr="00FD0FFF">
        <w:t xml:space="preserve"> </w:t>
      </w:r>
      <w:r w:rsidRPr="00FD0FFF">
        <w:t>party</w:t>
      </w:r>
      <w:r w:rsidR="0062350D" w:rsidRPr="00FD0FFF">
        <w:t>’</w:t>
      </w:r>
      <w:r w:rsidRPr="00FD0FFF">
        <w:t>s</w:t>
      </w:r>
      <w:r w:rsidR="0062350D" w:rsidRPr="00FD0FFF">
        <w:t xml:space="preserve"> </w:t>
      </w:r>
      <w:r w:rsidRPr="00FD0FFF">
        <w:t>non-refoulement</w:t>
      </w:r>
      <w:r w:rsidR="0062350D" w:rsidRPr="00FD0FFF">
        <w:t xml:space="preserve"> </w:t>
      </w:r>
      <w:r w:rsidRPr="00FD0FFF">
        <w:t>obligations,</w:t>
      </w:r>
      <w:r w:rsidR="0062350D" w:rsidRPr="00FD0FFF">
        <w:t xml:space="preserve"> </w:t>
      </w:r>
      <w:r w:rsidRPr="00FD0FFF">
        <w:t>are</w:t>
      </w:r>
      <w:r w:rsidR="0062350D" w:rsidRPr="00FD0FFF">
        <w:t xml:space="preserve"> </w:t>
      </w:r>
      <w:r w:rsidRPr="00FD0FFF">
        <w:t>sufficiently</w:t>
      </w:r>
      <w:r w:rsidR="0062350D" w:rsidRPr="00FD0FFF">
        <w:t xml:space="preserve"> </w:t>
      </w:r>
      <w:r w:rsidRPr="00FD0FFF">
        <w:t>substantial</w:t>
      </w:r>
      <w:r w:rsidR="0062350D" w:rsidRPr="00FD0FFF">
        <w:t xml:space="preserve"> </w:t>
      </w:r>
      <w:r w:rsidRPr="00FD0FFF">
        <w:t>and</w:t>
      </w:r>
      <w:r w:rsidR="0062350D" w:rsidRPr="00FD0FFF">
        <w:t xml:space="preserve"> </w:t>
      </w:r>
      <w:r w:rsidRPr="00FD0FFF">
        <w:t>supported</w:t>
      </w:r>
      <w:r w:rsidR="0062350D" w:rsidRPr="00FD0FFF">
        <w:t xml:space="preserve"> </w:t>
      </w:r>
      <w:r w:rsidRPr="00FD0FFF">
        <w:t>by</w:t>
      </w:r>
      <w:r w:rsidR="0062350D" w:rsidRPr="00FD0FFF">
        <w:t xml:space="preserve"> </w:t>
      </w:r>
      <w:r w:rsidRPr="00FD0FFF">
        <w:t>evidence.</w:t>
      </w:r>
      <w:r w:rsidR="0062350D" w:rsidRPr="00FD0FFF">
        <w:t xml:space="preserve"> </w:t>
      </w:r>
      <w:r w:rsidRPr="00FD0FFF">
        <w:t>They</w:t>
      </w:r>
      <w:r w:rsidR="0062350D" w:rsidRPr="00FD0FFF">
        <w:t xml:space="preserve"> </w:t>
      </w:r>
      <w:r w:rsidRPr="00FD0FFF">
        <w:t>further</w:t>
      </w:r>
      <w:r w:rsidR="0062350D" w:rsidRPr="00FD0FFF">
        <w:t xml:space="preserve"> </w:t>
      </w:r>
      <w:r w:rsidRPr="00FD0FFF">
        <w:t>recall</w:t>
      </w:r>
      <w:r w:rsidR="0062350D" w:rsidRPr="00FD0FFF">
        <w:t xml:space="preserve"> </w:t>
      </w:r>
      <w:r w:rsidRPr="00FD0FFF">
        <w:t>national</w:t>
      </w:r>
      <w:r w:rsidR="0062350D" w:rsidRPr="00FD0FFF">
        <w:t xml:space="preserve"> </w:t>
      </w:r>
      <w:r w:rsidRPr="00FD0FFF">
        <w:t>legislative</w:t>
      </w:r>
      <w:r w:rsidR="0062350D" w:rsidRPr="00FD0FFF">
        <w:t xml:space="preserve"> </w:t>
      </w:r>
      <w:r w:rsidRPr="00FD0FFF">
        <w:t>provisions</w:t>
      </w:r>
      <w:r w:rsidR="0062350D" w:rsidRPr="00FD0FFF">
        <w:t xml:space="preserve"> </w:t>
      </w:r>
      <w:r w:rsidRPr="00FD0FFF">
        <w:t>relevant</w:t>
      </w:r>
      <w:r w:rsidR="0062350D" w:rsidRPr="00FD0FFF">
        <w:t xml:space="preserve"> </w:t>
      </w:r>
      <w:r w:rsidRPr="00FD0FFF">
        <w:t>to</w:t>
      </w:r>
      <w:r w:rsidR="0062350D" w:rsidRPr="00FD0FFF">
        <w:t xml:space="preserve"> </w:t>
      </w:r>
      <w:r w:rsidRPr="00FD0FFF">
        <w:t>the</w:t>
      </w:r>
      <w:r w:rsidR="0062350D" w:rsidRPr="00FD0FFF">
        <w:t xml:space="preserve"> </w:t>
      </w:r>
      <w:r w:rsidRPr="00FD0FFF">
        <w:t>case.</w:t>
      </w:r>
      <w:r w:rsidR="0062350D" w:rsidRPr="00FD0FFF">
        <w:t xml:space="preserve"> </w:t>
      </w:r>
      <w:r w:rsidRPr="00FD0FFF">
        <w:t>The</w:t>
      </w:r>
      <w:r w:rsidR="0062350D" w:rsidRPr="00FD0FFF">
        <w:t xml:space="preserve"> </w:t>
      </w:r>
      <w:r w:rsidRPr="00FD0FFF">
        <w:t>authors</w:t>
      </w:r>
      <w:r w:rsidR="0062350D" w:rsidRPr="00FD0FFF">
        <w:t xml:space="preserve"> </w:t>
      </w:r>
      <w:r w:rsidRPr="00FD0FFF">
        <w:t>submit</w:t>
      </w:r>
      <w:r w:rsidR="0062350D" w:rsidRPr="00FD0FFF">
        <w:t xml:space="preserve"> </w:t>
      </w:r>
      <w:r w:rsidRPr="00FD0FFF">
        <w:t>that</w:t>
      </w:r>
      <w:r w:rsidR="0062350D" w:rsidRPr="00FD0FFF">
        <w:t xml:space="preserve"> </w:t>
      </w:r>
      <w:r w:rsidRPr="00FD0FFF">
        <w:t>the</w:t>
      </w:r>
      <w:r w:rsidR="0062350D" w:rsidRPr="00FD0FFF">
        <w:t xml:space="preserve"> </w:t>
      </w:r>
      <w:r w:rsidRPr="00FD0FFF">
        <w:t>risk</w:t>
      </w:r>
      <w:r w:rsidR="0062350D" w:rsidRPr="00FD0FFF">
        <w:t xml:space="preserve"> </w:t>
      </w:r>
      <w:r w:rsidRPr="00FD0FFF">
        <w:t>of</w:t>
      </w:r>
      <w:r w:rsidR="0062350D" w:rsidRPr="00FD0FFF">
        <w:t xml:space="preserve"> </w:t>
      </w:r>
      <w:r w:rsidRPr="00FD0FFF">
        <w:t>being</w:t>
      </w:r>
      <w:r w:rsidR="0062350D" w:rsidRPr="00FD0FFF">
        <w:t xml:space="preserve"> </w:t>
      </w:r>
      <w:r w:rsidRPr="00FD0FFF">
        <w:t>transferred</w:t>
      </w:r>
      <w:r w:rsidR="0062350D" w:rsidRPr="00FD0FFF">
        <w:t xml:space="preserve"> </w:t>
      </w:r>
      <w:r w:rsidRPr="00FD0FFF">
        <w:t>to</w:t>
      </w:r>
      <w:r w:rsidR="0062350D" w:rsidRPr="00FD0FFF">
        <w:t xml:space="preserve"> </w:t>
      </w:r>
      <w:r w:rsidRPr="00FD0FFF">
        <w:t>a</w:t>
      </w:r>
      <w:r w:rsidR="0062350D" w:rsidRPr="00FD0FFF">
        <w:t xml:space="preserve"> </w:t>
      </w:r>
      <w:r w:rsidRPr="00FD0FFF">
        <w:t>place</w:t>
      </w:r>
      <w:r w:rsidR="0062350D" w:rsidRPr="00FD0FFF">
        <w:t xml:space="preserve"> </w:t>
      </w:r>
      <w:r w:rsidRPr="00FD0FFF">
        <w:t>where</w:t>
      </w:r>
      <w:r w:rsidR="0062350D" w:rsidRPr="00FD0FFF">
        <w:t xml:space="preserve"> </w:t>
      </w:r>
      <w:r w:rsidRPr="00FD0FFF">
        <w:t>their</w:t>
      </w:r>
      <w:r w:rsidR="0062350D" w:rsidRPr="00FD0FFF">
        <w:t xml:space="preserve"> </w:t>
      </w:r>
      <w:r w:rsidRPr="00FD0FFF">
        <w:t>human</w:t>
      </w:r>
      <w:r w:rsidR="0062350D" w:rsidRPr="00FD0FFF">
        <w:t xml:space="preserve"> </w:t>
      </w:r>
      <w:r w:rsidRPr="00FD0FFF">
        <w:t>rights</w:t>
      </w:r>
      <w:r w:rsidR="0062350D" w:rsidRPr="00FD0FFF">
        <w:t xml:space="preserve"> </w:t>
      </w:r>
      <w:r w:rsidRPr="00FD0FFF">
        <w:t>may</w:t>
      </w:r>
      <w:r w:rsidR="0062350D" w:rsidRPr="00FD0FFF">
        <w:t xml:space="preserve"> </w:t>
      </w:r>
      <w:r w:rsidRPr="00FD0FFF">
        <w:t>be</w:t>
      </w:r>
      <w:r w:rsidR="0062350D" w:rsidRPr="00FD0FFF">
        <w:t xml:space="preserve"> </w:t>
      </w:r>
      <w:r w:rsidRPr="00FD0FFF">
        <w:t>violated</w:t>
      </w:r>
      <w:r w:rsidR="0062350D" w:rsidRPr="00FD0FFF">
        <w:t xml:space="preserve"> </w:t>
      </w:r>
      <w:r w:rsidRPr="00FD0FFF">
        <w:t>existed</w:t>
      </w:r>
      <w:r w:rsidR="0062350D" w:rsidRPr="00FD0FFF">
        <w:t xml:space="preserve"> </w:t>
      </w:r>
      <w:r w:rsidRPr="00FD0FFF">
        <w:t>and</w:t>
      </w:r>
      <w:r w:rsidR="0062350D" w:rsidRPr="00FD0FFF">
        <w:t xml:space="preserve"> </w:t>
      </w:r>
      <w:r w:rsidRPr="00FD0FFF">
        <w:t>is</w:t>
      </w:r>
      <w:r w:rsidR="0062350D" w:rsidRPr="00FD0FFF">
        <w:t xml:space="preserve"> </w:t>
      </w:r>
      <w:r w:rsidRPr="00FD0FFF">
        <w:t>still</w:t>
      </w:r>
      <w:r w:rsidR="0062350D" w:rsidRPr="00FD0FFF">
        <w:t xml:space="preserve"> </w:t>
      </w:r>
      <w:r w:rsidRPr="00FD0FFF">
        <w:t>present.</w:t>
      </w:r>
    </w:p>
    <w:p w14:paraId="2889C35C" w14:textId="25DD79F0" w:rsidR="0062350D" w:rsidRPr="003B36EA" w:rsidRDefault="007F12C3" w:rsidP="003B36EA">
      <w:pPr>
        <w:pStyle w:val="SingleTxtG"/>
      </w:pPr>
      <w:r w:rsidRPr="003B36EA">
        <w:t>5.3</w:t>
      </w:r>
      <w:r w:rsidRPr="003B36EA">
        <w:tab/>
        <w:t>The</w:t>
      </w:r>
      <w:r w:rsidR="0062350D" w:rsidRPr="003B36EA">
        <w:t xml:space="preserve"> </w:t>
      </w:r>
      <w:r w:rsidRPr="003B36EA">
        <w:t>authors</w:t>
      </w:r>
      <w:r w:rsidR="0062350D" w:rsidRPr="003B36EA">
        <w:t xml:space="preserve"> </w:t>
      </w:r>
      <w:r w:rsidRPr="003B36EA">
        <w:t>argue</w:t>
      </w:r>
      <w:r w:rsidR="0062350D" w:rsidRPr="003B36EA">
        <w:t xml:space="preserve"> </w:t>
      </w:r>
      <w:r w:rsidRPr="003B36EA">
        <w:t>that</w:t>
      </w:r>
      <w:r w:rsidR="0062350D" w:rsidRPr="003B36EA">
        <w:t xml:space="preserve"> </w:t>
      </w:r>
      <w:r w:rsidRPr="003B36EA">
        <w:t>article</w:t>
      </w:r>
      <w:r w:rsidR="0062350D" w:rsidRPr="003B36EA">
        <w:t xml:space="preserve"> </w:t>
      </w:r>
      <w:r w:rsidRPr="003B36EA">
        <w:t>7</w:t>
      </w:r>
      <w:r w:rsidR="0062350D" w:rsidRPr="003B36EA">
        <w:t xml:space="preserve"> </w:t>
      </w:r>
      <w:r w:rsidRPr="003B36EA">
        <w:t>of</w:t>
      </w:r>
      <w:r w:rsidR="0062350D" w:rsidRPr="003B36EA">
        <w:t xml:space="preserve"> </w:t>
      </w:r>
      <w:r w:rsidRPr="003B36EA">
        <w:t>the</w:t>
      </w:r>
      <w:r w:rsidR="0062350D" w:rsidRPr="003B36EA">
        <w:t xml:space="preserve"> </w:t>
      </w:r>
      <w:r w:rsidRPr="003B36EA">
        <w:t>Covenant</w:t>
      </w:r>
      <w:r w:rsidR="0062350D" w:rsidRPr="003B36EA">
        <w:t xml:space="preserve"> </w:t>
      </w:r>
      <w:r w:rsidRPr="003B36EA">
        <w:t>precludes</w:t>
      </w:r>
      <w:r w:rsidR="0062350D" w:rsidRPr="003B36EA">
        <w:t xml:space="preserve"> </w:t>
      </w:r>
      <w:r w:rsidRPr="003B36EA">
        <w:t>Australia</w:t>
      </w:r>
      <w:r w:rsidR="0062350D" w:rsidRPr="003B36EA">
        <w:t xml:space="preserve"> </w:t>
      </w:r>
      <w:r w:rsidRPr="003B36EA">
        <w:t>from</w:t>
      </w:r>
      <w:r w:rsidR="0062350D" w:rsidRPr="003B36EA">
        <w:t xml:space="preserve"> </w:t>
      </w:r>
      <w:r w:rsidRPr="003B36EA">
        <w:t>transferring</w:t>
      </w:r>
      <w:r w:rsidR="0062350D" w:rsidRPr="003B36EA">
        <w:t xml:space="preserve"> </w:t>
      </w:r>
      <w:r w:rsidRPr="003B36EA">
        <w:t>them</w:t>
      </w:r>
      <w:r w:rsidR="0062350D" w:rsidRPr="003B36EA">
        <w:t xml:space="preserve"> </w:t>
      </w:r>
      <w:r w:rsidRPr="003B36EA">
        <w:t>to</w:t>
      </w:r>
      <w:r w:rsidR="0062350D" w:rsidRPr="003B36EA">
        <w:t xml:space="preserve"> </w:t>
      </w:r>
      <w:r w:rsidRPr="003B36EA">
        <w:t>Nauru</w:t>
      </w:r>
      <w:r w:rsidR="0062350D" w:rsidRPr="003B36EA">
        <w:t xml:space="preserve"> </w:t>
      </w:r>
      <w:r w:rsidRPr="003B36EA">
        <w:t>where</w:t>
      </w:r>
      <w:r w:rsidR="0062350D" w:rsidRPr="003B36EA">
        <w:t xml:space="preserve"> </w:t>
      </w:r>
      <w:r w:rsidRPr="003B36EA">
        <w:t>conditions</w:t>
      </w:r>
      <w:r w:rsidR="0062350D" w:rsidRPr="003B36EA">
        <w:t xml:space="preserve"> </w:t>
      </w:r>
      <w:r w:rsidRPr="003B36EA">
        <w:t>of</w:t>
      </w:r>
      <w:r w:rsidR="0062350D" w:rsidRPr="003B36EA">
        <w:t xml:space="preserve"> </w:t>
      </w:r>
      <w:r w:rsidRPr="003B36EA">
        <w:t>detention</w:t>
      </w:r>
      <w:r w:rsidR="0062350D" w:rsidRPr="003B36EA">
        <w:t xml:space="preserve"> </w:t>
      </w:r>
      <w:r w:rsidRPr="003B36EA">
        <w:t>are</w:t>
      </w:r>
      <w:r w:rsidR="0062350D" w:rsidRPr="003B36EA">
        <w:t xml:space="preserve"> </w:t>
      </w:r>
      <w:r w:rsidRPr="003B36EA">
        <w:t>well</w:t>
      </w:r>
      <w:r w:rsidR="0062350D" w:rsidRPr="003B36EA">
        <w:t xml:space="preserve"> </w:t>
      </w:r>
      <w:r w:rsidRPr="003B36EA">
        <w:t>documented.</w:t>
      </w:r>
      <w:r w:rsidR="0062350D" w:rsidRPr="003B36EA">
        <w:t xml:space="preserve"> </w:t>
      </w:r>
      <w:r w:rsidRPr="003B36EA">
        <w:t>There</w:t>
      </w:r>
      <w:r w:rsidR="0062350D" w:rsidRPr="003B36EA">
        <w:t xml:space="preserve"> </w:t>
      </w:r>
      <w:r w:rsidRPr="003B36EA">
        <w:t>are</w:t>
      </w:r>
      <w:r w:rsidR="0062350D" w:rsidRPr="003B36EA">
        <w:t xml:space="preserve"> </w:t>
      </w:r>
      <w:r w:rsidRPr="003B36EA">
        <w:t>no</w:t>
      </w:r>
      <w:r w:rsidR="0062350D" w:rsidRPr="003B36EA">
        <w:t xml:space="preserve"> </w:t>
      </w:r>
      <w:r w:rsidRPr="003B36EA">
        <w:t>sufficient</w:t>
      </w:r>
      <w:r w:rsidR="0062350D" w:rsidRPr="003B36EA">
        <w:t xml:space="preserve"> </w:t>
      </w:r>
      <w:r w:rsidRPr="003B36EA">
        <w:t>resources</w:t>
      </w:r>
      <w:r w:rsidR="0062350D" w:rsidRPr="003B36EA">
        <w:t xml:space="preserve"> </w:t>
      </w:r>
      <w:r w:rsidRPr="003B36EA">
        <w:t>and</w:t>
      </w:r>
      <w:r w:rsidR="0062350D" w:rsidRPr="003B36EA">
        <w:t xml:space="preserve"> </w:t>
      </w:r>
      <w:r w:rsidRPr="003B36EA">
        <w:t>facilities</w:t>
      </w:r>
      <w:r w:rsidR="0062350D" w:rsidRPr="003B36EA">
        <w:t xml:space="preserve"> </w:t>
      </w:r>
      <w:r w:rsidRPr="003B36EA">
        <w:t>to</w:t>
      </w:r>
      <w:r w:rsidR="0062350D" w:rsidRPr="003B36EA">
        <w:t xml:space="preserve"> </w:t>
      </w:r>
      <w:r w:rsidRPr="003B36EA">
        <w:t>provide</w:t>
      </w:r>
      <w:r w:rsidR="0062350D" w:rsidRPr="003B36EA">
        <w:t xml:space="preserve"> </w:t>
      </w:r>
      <w:r w:rsidRPr="003B36EA">
        <w:t>protection</w:t>
      </w:r>
      <w:r w:rsidR="0062350D" w:rsidRPr="003B36EA">
        <w:t xml:space="preserve"> </w:t>
      </w:r>
      <w:r w:rsidRPr="003B36EA">
        <w:t>and</w:t>
      </w:r>
      <w:r w:rsidR="0062350D" w:rsidRPr="003B36EA">
        <w:t xml:space="preserve"> </w:t>
      </w:r>
      <w:r w:rsidRPr="003B36EA">
        <w:t>assistance</w:t>
      </w:r>
      <w:r w:rsidR="0062350D" w:rsidRPr="003B36EA">
        <w:t xml:space="preserve"> </w:t>
      </w:r>
      <w:r w:rsidRPr="003B36EA">
        <w:t>to</w:t>
      </w:r>
      <w:r w:rsidR="0062350D" w:rsidRPr="003B36EA">
        <w:t xml:space="preserve"> </w:t>
      </w:r>
      <w:r w:rsidRPr="003B36EA">
        <w:t>minors</w:t>
      </w:r>
      <w:r w:rsidR="0062350D" w:rsidRPr="003B36EA">
        <w:t xml:space="preserve"> </w:t>
      </w:r>
      <w:r w:rsidRPr="003B36EA">
        <w:t>and</w:t>
      </w:r>
      <w:r w:rsidR="0062350D" w:rsidRPr="003B36EA">
        <w:t xml:space="preserve"> </w:t>
      </w:r>
      <w:r w:rsidRPr="003B36EA">
        <w:t>to</w:t>
      </w:r>
      <w:r w:rsidR="0062350D" w:rsidRPr="003B36EA">
        <w:t xml:space="preserve"> </w:t>
      </w:r>
      <w:r w:rsidRPr="003B36EA">
        <w:t>meet</w:t>
      </w:r>
      <w:r w:rsidR="0062350D" w:rsidRPr="003B36EA">
        <w:t xml:space="preserve"> </w:t>
      </w:r>
      <w:r w:rsidRPr="003B36EA">
        <w:t>their</w:t>
      </w:r>
      <w:r w:rsidR="0062350D" w:rsidRPr="003B36EA">
        <w:t xml:space="preserve"> </w:t>
      </w:r>
      <w:r w:rsidRPr="003B36EA">
        <w:t>needs.</w:t>
      </w:r>
      <w:r w:rsidR="0062350D" w:rsidRPr="003B36EA">
        <w:t xml:space="preserve"> </w:t>
      </w:r>
      <w:r w:rsidRPr="003B36EA">
        <w:t>The</w:t>
      </w:r>
      <w:r w:rsidR="0062350D" w:rsidRPr="003B36EA">
        <w:t xml:space="preserve"> </w:t>
      </w:r>
      <w:r w:rsidRPr="003B36EA">
        <w:t>authors</w:t>
      </w:r>
      <w:r w:rsidR="0062350D" w:rsidRPr="003B36EA">
        <w:t xml:space="preserve"> </w:t>
      </w:r>
      <w:r w:rsidRPr="003B36EA">
        <w:t>refer</w:t>
      </w:r>
      <w:r w:rsidR="0062350D" w:rsidRPr="003B36EA">
        <w:t xml:space="preserve"> </w:t>
      </w:r>
      <w:r w:rsidRPr="003B36EA">
        <w:t>to</w:t>
      </w:r>
      <w:r w:rsidR="0062350D" w:rsidRPr="003B36EA">
        <w:t xml:space="preserve"> </w:t>
      </w:r>
      <w:r w:rsidRPr="003B36EA">
        <w:t>the</w:t>
      </w:r>
      <w:r w:rsidR="0062350D" w:rsidRPr="003B36EA">
        <w:t xml:space="preserve"> </w:t>
      </w:r>
      <w:r w:rsidRPr="003B36EA">
        <w:t>conclusions</w:t>
      </w:r>
      <w:r w:rsidR="0062350D" w:rsidRPr="003B36EA">
        <w:t xml:space="preserve"> </w:t>
      </w:r>
      <w:r w:rsidRPr="003B36EA">
        <w:t>of</w:t>
      </w:r>
      <w:r w:rsidR="0062350D" w:rsidRPr="003B36EA">
        <w:t xml:space="preserve"> </w:t>
      </w:r>
      <w:r w:rsidRPr="003B36EA">
        <w:t>the</w:t>
      </w:r>
      <w:r w:rsidR="0062350D" w:rsidRPr="003B36EA">
        <w:t xml:space="preserve"> </w:t>
      </w:r>
      <w:r w:rsidRPr="003B36EA">
        <w:t>monitoring</w:t>
      </w:r>
      <w:r w:rsidR="0062350D" w:rsidRPr="003B36EA">
        <w:t xml:space="preserve"> </w:t>
      </w:r>
      <w:r w:rsidRPr="003B36EA">
        <w:t>visit</w:t>
      </w:r>
      <w:r w:rsidR="0062350D" w:rsidRPr="003B36EA">
        <w:t xml:space="preserve"> </w:t>
      </w:r>
      <w:r w:rsidRPr="003B36EA">
        <w:t>of</w:t>
      </w:r>
      <w:r w:rsidR="0062350D" w:rsidRPr="003B36EA">
        <w:t xml:space="preserve"> </w:t>
      </w:r>
      <w:r w:rsidRPr="003B36EA">
        <w:t>the</w:t>
      </w:r>
      <w:r w:rsidR="0062350D" w:rsidRPr="003B36EA">
        <w:t xml:space="preserve"> </w:t>
      </w:r>
      <w:r w:rsidRPr="003B36EA">
        <w:t>Office</w:t>
      </w:r>
      <w:r w:rsidR="0062350D" w:rsidRPr="003B36EA">
        <w:t xml:space="preserve"> </w:t>
      </w:r>
      <w:r w:rsidRPr="003B36EA">
        <w:t>of</w:t>
      </w:r>
      <w:r w:rsidR="0062350D" w:rsidRPr="003B36EA">
        <w:t xml:space="preserve"> </w:t>
      </w:r>
      <w:r w:rsidRPr="003B36EA">
        <w:t>the</w:t>
      </w:r>
      <w:r w:rsidR="0062350D" w:rsidRPr="003B36EA">
        <w:t xml:space="preserve"> </w:t>
      </w:r>
      <w:r w:rsidRPr="003B36EA">
        <w:t>United</w:t>
      </w:r>
      <w:r w:rsidR="0062350D" w:rsidRPr="003B36EA">
        <w:t xml:space="preserve"> </w:t>
      </w:r>
      <w:r w:rsidRPr="003B36EA">
        <w:t>Nations</w:t>
      </w:r>
      <w:r w:rsidR="0062350D" w:rsidRPr="003B36EA">
        <w:t xml:space="preserve"> </w:t>
      </w:r>
      <w:r w:rsidRPr="003B36EA">
        <w:t>High</w:t>
      </w:r>
      <w:r w:rsidR="0062350D" w:rsidRPr="003B36EA">
        <w:t xml:space="preserve"> </w:t>
      </w:r>
      <w:r w:rsidRPr="003B36EA">
        <w:t>Commissioner</w:t>
      </w:r>
      <w:r w:rsidR="0062350D" w:rsidRPr="003B36EA">
        <w:t xml:space="preserve"> </w:t>
      </w:r>
      <w:r w:rsidRPr="003B36EA">
        <w:t>for</w:t>
      </w:r>
      <w:r w:rsidR="0062350D" w:rsidRPr="003B36EA">
        <w:t xml:space="preserve"> </w:t>
      </w:r>
      <w:r w:rsidRPr="003B36EA">
        <w:t>Refugees</w:t>
      </w:r>
      <w:r w:rsidR="0062350D" w:rsidRPr="003B36EA">
        <w:t xml:space="preserve"> </w:t>
      </w:r>
      <w:r w:rsidRPr="003B36EA">
        <w:t>to</w:t>
      </w:r>
      <w:r w:rsidR="0062350D" w:rsidRPr="003B36EA">
        <w:t xml:space="preserve"> </w:t>
      </w:r>
      <w:r w:rsidRPr="003B36EA">
        <w:t>Nauru,</w:t>
      </w:r>
      <w:r w:rsidRPr="00192B22">
        <w:rPr>
          <w:rStyle w:val="FootnoteReference"/>
        </w:rPr>
        <w:footnoteReference w:id="4"/>
      </w:r>
      <w:r w:rsidR="0062350D" w:rsidRPr="00192B22">
        <w:rPr>
          <w:rStyle w:val="FootnoteReference"/>
        </w:rPr>
        <w:t xml:space="preserve"> </w:t>
      </w:r>
      <w:r w:rsidRPr="003B36EA">
        <w:t>which</w:t>
      </w:r>
      <w:r w:rsidR="0062350D" w:rsidRPr="003B36EA">
        <w:t xml:space="preserve"> </w:t>
      </w:r>
      <w:r w:rsidRPr="003B36EA">
        <w:t>highlighted</w:t>
      </w:r>
      <w:r w:rsidR="0062350D" w:rsidRPr="003B36EA">
        <w:t xml:space="preserve"> </w:t>
      </w:r>
      <w:r w:rsidRPr="003B36EA">
        <w:t>the</w:t>
      </w:r>
      <w:r w:rsidR="0062350D" w:rsidRPr="003B36EA">
        <w:t xml:space="preserve"> </w:t>
      </w:r>
      <w:r w:rsidRPr="003B36EA">
        <w:t>harshness</w:t>
      </w:r>
      <w:r w:rsidR="0062350D" w:rsidRPr="003B36EA">
        <w:t xml:space="preserve"> </w:t>
      </w:r>
      <w:r w:rsidRPr="003B36EA">
        <w:t>of</w:t>
      </w:r>
      <w:r w:rsidR="0062350D" w:rsidRPr="003B36EA">
        <w:t xml:space="preserve"> </w:t>
      </w:r>
      <w:r w:rsidRPr="003B36EA">
        <w:t>conditions</w:t>
      </w:r>
      <w:r w:rsidR="0062350D" w:rsidRPr="003B36EA">
        <w:t xml:space="preserve"> </w:t>
      </w:r>
      <w:r w:rsidRPr="003B36EA">
        <w:t>for</w:t>
      </w:r>
      <w:r w:rsidR="0062350D" w:rsidRPr="003B36EA">
        <w:t xml:space="preserve"> </w:t>
      </w:r>
      <w:r w:rsidRPr="003B36EA">
        <w:t>child</w:t>
      </w:r>
      <w:r w:rsidR="0062350D" w:rsidRPr="003B36EA">
        <w:t xml:space="preserve"> </w:t>
      </w:r>
      <w:r w:rsidRPr="003B36EA">
        <w:t>asylum</w:t>
      </w:r>
      <w:r w:rsidR="0062350D" w:rsidRPr="003B36EA">
        <w:t xml:space="preserve"> </w:t>
      </w:r>
      <w:r w:rsidRPr="003B36EA">
        <w:t>seekers.</w:t>
      </w:r>
      <w:r w:rsidR="0062350D" w:rsidRPr="003B36EA">
        <w:t xml:space="preserve"> </w:t>
      </w:r>
      <w:r w:rsidRPr="003B36EA">
        <w:t>The</w:t>
      </w:r>
      <w:r w:rsidR="0062350D" w:rsidRPr="003B36EA">
        <w:t xml:space="preserve"> </w:t>
      </w:r>
      <w:r w:rsidRPr="003B36EA">
        <w:t>risk</w:t>
      </w:r>
      <w:r w:rsidR="0062350D" w:rsidRPr="003B36EA">
        <w:t xml:space="preserve"> </w:t>
      </w:r>
      <w:r w:rsidRPr="003B36EA">
        <w:t>of</w:t>
      </w:r>
      <w:r w:rsidR="0062350D" w:rsidRPr="003B36EA">
        <w:t xml:space="preserve"> </w:t>
      </w:r>
      <w:r w:rsidRPr="003B36EA">
        <w:t>transfer</w:t>
      </w:r>
      <w:r w:rsidR="0062350D" w:rsidRPr="003B36EA">
        <w:t xml:space="preserve"> </w:t>
      </w:r>
      <w:r w:rsidRPr="003B36EA">
        <w:t>has</w:t>
      </w:r>
      <w:r w:rsidR="0062350D" w:rsidRPr="003B36EA">
        <w:t xml:space="preserve"> </w:t>
      </w:r>
      <w:r w:rsidRPr="003B36EA">
        <w:t>drastic</w:t>
      </w:r>
      <w:r w:rsidR="0062350D" w:rsidRPr="003B36EA">
        <w:t xml:space="preserve"> </w:t>
      </w:r>
      <w:r w:rsidRPr="003B36EA">
        <w:t>effects</w:t>
      </w:r>
      <w:r w:rsidR="0062350D" w:rsidRPr="003B36EA">
        <w:t xml:space="preserve"> </w:t>
      </w:r>
      <w:r w:rsidRPr="003B36EA">
        <w:t>on</w:t>
      </w:r>
      <w:r w:rsidR="0062350D" w:rsidRPr="003B36EA">
        <w:t xml:space="preserve"> </w:t>
      </w:r>
      <w:r w:rsidRPr="003B36EA">
        <w:t>their</w:t>
      </w:r>
      <w:r w:rsidR="0062350D" w:rsidRPr="003B36EA">
        <w:t xml:space="preserve"> </w:t>
      </w:r>
      <w:r w:rsidRPr="003B36EA">
        <w:t>mental</w:t>
      </w:r>
      <w:r w:rsidR="0062350D" w:rsidRPr="003B36EA">
        <w:t xml:space="preserve"> </w:t>
      </w:r>
      <w:r w:rsidRPr="003B36EA">
        <w:t>health.</w:t>
      </w:r>
      <w:r w:rsidR="0062350D" w:rsidRPr="003B36EA">
        <w:t xml:space="preserve"> </w:t>
      </w:r>
      <w:r w:rsidRPr="003B36EA">
        <w:t>They</w:t>
      </w:r>
      <w:r w:rsidR="0062350D" w:rsidRPr="003B36EA">
        <w:t xml:space="preserve"> </w:t>
      </w:r>
      <w:r w:rsidRPr="003B36EA">
        <w:t>all</w:t>
      </w:r>
      <w:r w:rsidR="0062350D" w:rsidRPr="003B36EA">
        <w:t xml:space="preserve"> </w:t>
      </w:r>
      <w:r w:rsidRPr="003B36EA">
        <w:t>suffer</w:t>
      </w:r>
      <w:r w:rsidR="0062350D" w:rsidRPr="003B36EA">
        <w:t xml:space="preserve"> </w:t>
      </w:r>
      <w:r w:rsidRPr="003B36EA">
        <w:t>mental</w:t>
      </w:r>
      <w:r w:rsidR="0062350D" w:rsidRPr="003B36EA">
        <w:t xml:space="preserve"> </w:t>
      </w:r>
      <w:r w:rsidRPr="003B36EA">
        <w:t>anguish,</w:t>
      </w:r>
      <w:r w:rsidR="0062350D" w:rsidRPr="003B36EA">
        <w:t xml:space="preserve"> </w:t>
      </w:r>
      <w:r w:rsidRPr="003B36EA">
        <w:t>with</w:t>
      </w:r>
      <w:r w:rsidR="0062350D" w:rsidRPr="003B36EA">
        <w:t xml:space="preserve"> </w:t>
      </w:r>
      <w:r w:rsidRPr="003B36EA">
        <w:t>some</w:t>
      </w:r>
      <w:r w:rsidR="0062350D" w:rsidRPr="003B36EA">
        <w:t xml:space="preserve"> </w:t>
      </w:r>
      <w:r w:rsidRPr="003B36EA">
        <w:t>becoming</w:t>
      </w:r>
      <w:r w:rsidR="0062350D" w:rsidRPr="003B36EA">
        <w:t xml:space="preserve"> </w:t>
      </w:r>
      <w:r w:rsidRPr="003B36EA">
        <w:t>suicidal.</w:t>
      </w:r>
    </w:p>
    <w:p w14:paraId="6E452BF1" w14:textId="76515944" w:rsidR="0062350D" w:rsidRPr="003B36EA" w:rsidRDefault="007F12C3" w:rsidP="003B36EA">
      <w:pPr>
        <w:pStyle w:val="SingleTxtG"/>
      </w:pPr>
      <w:r w:rsidRPr="003B36EA">
        <w:t>5.4</w:t>
      </w:r>
      <w:r w:rsidRPr="003B36EA">
        <w:tab/>
        <w:t>The</w:t>
      </w:r>
      <w:r w:rsidR="0062350D" w:rsidRPr="003B36EA">
        <w:t xml:space="preserve"> </w:t>
      </w:r>
      <w:r w:rsidRPr="003B36EA">
        <w:t>authors</w:t>
      </w:r>
      <w:r w:rsidR="0062350D" w:rsidRPr="003B36EA">
        <w:t xml:space="preserve"> </w:t>
      </w:r>
      <w:r w:rsidRPr="003B36EA">
        <w:t>note</w:t>
      </w:r>
      <w:r w:rsidR="0062350D" w:rsidRPr="003B36EA">
        <w:t xml:space="preserve"> </w:t>
      </w:r>
      <w:r w:rsidRPr="003B36EA">
        <w:t>that</w:t>
      </w:r>
      <w:r w:rsidR="0062350D" w:rsidRPr="003B36EA">
        <w:t xml:space="preserve"> </w:t>
      </w:r>
      <w:r w:rsidRPr="003B36EA">
        <w:t>their</w:t>
      </w:r>
      <w:r w:rsidR="0062350D" w:rsidRPr="003B36EA">
        <w:t xml:space="preserve"> </w:t>
      </w:r>
      <w:r w:rsidRPr="003B36EA">
        <w:t>prolonged</w:t>
      </w:r>
      <w:r w:rsidR="0062350D" w:rsidRPr="003B36EA">
        <w:t xml:space="preserve"> </w:t>
      </w:r>
      <w:r w:rsidRPr="003B36EA">
        <w:t>detention</w:t>
      </w:r>
      <w:r w:rsidR="0062350D" w:rsidRPr="003B36EA">
        <w:t xml:space="preserve"> </w:t>
      </w:r>
      <w:r w:rsidRPr="003B36EA">
        <w:t>on</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caused</w:t>
      </w:r>
      <w:r w:rsidR="0062350D" w:rsidRPr="003B36EA">
        <w:t xml:space="preserve"> </w:t>
      </w:r>
      <w:r w:rsidRPr="003B36EA">
        <w:t>them</w:t>
      </w:r>
      <w:r w:rsidR="0062350D" w:rsidRPr="003B36EA">
        <w:t xml:space="preserve"> </w:t>
      </w:r>
      <w:r w:rsidRPr="003B36EA">
        <w:t>severe</w:t>
      </w:r>
      <w:r w:rsidR="0062350D" w:rsidRPr="003B36EA">
        <w:t xml:space="preserve"> </w:t>
      </w:r>
      <w:r w:rsidRPr="003B36EA">
        <w:t>mental</w:t>
      </w:r>
      <w:r w:rsidR="0062350D" w:rsidRPr="003B36EA">
        <w:t xml:space="preserve"> </w:t>
      </w:r>
      <w:r w:rsidRPr="003B36EA">
        <w:t>suffering.</w:t>
      </w:r>
      <w:r w:rsidR="0062350D" w:rsidRPr="003B36EA">
        <w:t xml:space="preserve"> </w:t>
      </w:r>
      <w:r w:rsidRPr="003B36EA">
        <w:t>Their</w:t>
      </w:r>
      <w:r w:rsidR="0062350D" w:rsidRPr="003B36EA">
        <w:t xml:space="preserve"> </w:t>
      </w:r>
      <w:r w:rsidRPr="003B36EA">
        <w:t>detention</w:t>
      </w:r>
      <w:r w:rsidR="0062350D" w:rsidRPr="003B36EA">
        <w:t xml:space="preserve"> </w:t>
      </w:r>
      <w:r w:rsidRPr="003B36EA">
        <w:t>involved</w:t>
      </w:r>
      <w:r w:rsidR="0062350D" w:rsidRPr="003B36EA">
        <w:t xml:space="preserve"> </w:t>
      </w:r>
      <w:r w:rsidRPr="003B36EA">
        <w:t>humiliation</w:t>
      </w:r>
      <w:r w:rsidR="0062350D" w:rsidRPr="003B36EA">
        <w:t xml:space="preserve"> </w:t>
      </w:r>
      <w:r w:rsidRPr="003B36EA">
        <w:t>and</w:t>
      </w:r>
      <w:r w:rsidR="0062350D" w:rsidRPr="003B36EA">
        <w:t xml:space="preserve"> </w:t>
      </w:r>
      <w:r w:rsidRPr="003B36EA">
        <w:t>debasement.</w:t>
      </w:r>
      <w:r w:rsidR="0062350D" w:rsidRPr="003B36EA">
        <w:t xml:space="preserve"> </w:t>
      </w:r>
      <w:r w:rsidRPr="003B36EA">
        <w:t>The</w:t>
      </w:r>
      <w:r w:rsidR="0062350D" w:rsidRPr="003B36EA">
        <w:t xml:space="preserve"> </w:t>
      </w:r>
      <w:r w:rsidRPr="003B36EA">
        <w:t>State</w:t>
      </w:r>
      <w:r w:rsidR="0062350D" w:rsidRPr="003B36EA">
        <w:t xml:space="preserve"> </w:t>
      </w:r>
      <w:r w:rsidRPr="003B36EA">
        <w:t>party</w:t>
      </w:r>
      <w:r w:rsidR="0062350D" w:rsidRPr="003B36EA">
        <w:t>’</w:t>
      </w:r>
      <w:r w:rsidRPr="003B36EA">
        <w:t>s</w:t>
      </w:r>
      <w:r w:rsidR="0062350D" w:rsidRPr="003B36EA">
        <w:t xml:space="preserve"> </w:t>
      </w:r>
      <w:r w:rsidRPr="003B36EA">
        <w:t>submission</w:t>
      </w:r>
      <w:r w:rsidR="0062350D" w:rsidRPr="003B36EA">
        <w:t xml:space="preserve"> </w:t>
      </w:r>
      <w:r w:rsidRPr="003B36EA">
        <w:t>on</w:t>
      </w:r>
      <w:r w:rsidR="0062350D" w:rsidRPr="003B36EA">
        <w:t xml:space="preserve"> </w:t>
      </w:r>
      <w:r w:rsidRPr="003B36EA">
        <w:t>conditions</w:t>
      </w:r>
      <w:r w:rsidR="0062350D" w:rsidRPr="003B36EA">
        <w:t xml:space="preserve"> </w:t>
      </w:r>
      <w:r w:rsidRPr="003B36EA">
        <w:t>of</w:t>
      </w:r>
      <w:r w:rsidR="0062350D" w:rsidRPr="003B36EA">
        <w:t xml:space="preserve"> </w:t>
      </w:r>
      <w:r w:rsidRPr="003B36EA">
        <w:t>detention</w:t>
      </w:r>
      <w:r w:rsidR="0062350D" w:rsidRPr="003B36EA">
        <w:t xml:space="preserve"> </w:t>
      </w:r>
      <w:r w:rsidRPr="003B36EA">
        <w:t>on</w:t>
      </w:r>
      <w:r w:rsidR="0062350D" w:rsidRPr="003B36EA">
        <w:t xml:space="preserve"> </w:t>
      </w:r>
      <w:r w:rsidRPr="003B36EA">
        <w:t>the</w:t>
      </w:r>
      <w:r w:rsidR="0062350D" w:rsidRPr="003B36EA">
        <w:t xml:space="preserve"> </w:t>
      </w:r>
      <w:r w:rsidRPr="003B36EA">
        <w:t>island</w:t>
      </w:r>
      <w:r w:rsidR="0062350D" w:rsidRPr="003B36EA">
        <w:t xml:space="preserve"> </w:t>
      </w:r>
      <w:r w:rsidRPr="003B36EA">
        <w:t>are</w:t>
      </w:r>
      <w:r w:rsidR="0062350D" w:rsidRPr="003B36EA">
        <w:t xml:space="preserve"> </w:t>
      </w:r>
      <w:r w:rsidRPr="003B36EA">
        <w:t>general</w:t>
      </w:r>
      <w:r w:rsidR="0062350D" w:rsidRPr="003B36EA">
        <w:t xml:space="preserve"> </w:t>
      </w:r>
      <w:r w:rsidRPr="003B36EA">
        <w:t>and</w:t>
      </w:r>
      <w:r w:rsidR="0062350D" w:rsidRPr="003B36EA">
        <w:t xml:space="preserve"> </w:t>
      </w:r>
      <w:r w:rsidRPr="003B36EA">
        <w:t>do</w:t>
      </w:r>
      <w:r w:rsidR="0062350D" w:rsidRPr="003B36EA">
        <w:t xml:space="preserve"> </w:t>
      </w:r>
      <w:r w:rsidRPr="003B36EA">
        <w:t>not</w:t>
      </w:r>
      <w:r w:rsidR="0062350D" w:rsidRPr="003B36EA">
        <w:t xml:space="preserve"> </w:t>
      </w:r>
      <w:r w:rsidRPr="003B36EA">
        <w:t>indicate</w:t>
      </w:r>
      <w:r w:rsidR="0062350D" w:rsidRPr="003B36EA">
        <w:t xml:space="preserve"> </w:t>
      </w:r>
      <w:r w:rsidRPr="003B36EA">
        <w:t>specific</w:t>
      </w:r>
      <w:r w:rsidR="0062350D" w:rsidRPr="003B36EA">
        <w:t xml:space="preserve"> </w:t>
      </w:r>
      <w:r w:rsidRPr="003B36EA">
        <w:t>arrangements</w:t>
      </w:r>
      <w:r w:rsidR="0062350D" w:rsidRPr="003B36EA">
        <w:t xml:space="preserve"> </w:t>
      </w:r>
      <w:r w:rsidRPr="003B36EA">
        <w:t>implemented</w:t>
      </w:r>
      <w:r w:rsidR="0062350D" w:rsidRPr="003B36EA">
        <w:t xml:space="preserve"> </w:t>
      </w:r>
      <w:r w:rsidRPr="003B36EA">
        <w:t>for</w:t>
      </w:r>
      <w:r w:rsidR="0062350D" w:rsidRPr="003B36EA">
        <w:t xml:space="preserve"> </w:t>
      </w:r>
      <w:r w:rsidRPr="003B36EA">
        <w:t>the</w:t>
      </w:r>
      <w:r w:rsidR="0062350D" w:rsidRPr="003B36EA">
        <w:t xml:space="preserve"> </w:t>
      </w:r>
      <w:r w:rsidRPr="003B36EA">
        <w:t>authors.</w:t>
      </w:r>
      <w:r w:rsidR="0062350D" w:rsidRPr="003B36EA">
        <w:t xml:space="preserve"> </w:t>
      </w:r>
      <w:r w:rsidRPr="003B36EA">
        <w:t>Cultural,</w:t>
      </w:r>
      <w:r w:rsidR="0062350D" w:rsidRPr="003B36EA">
        <w:t xml:space="preserve"> </w:t>
      </w:r>
      <w:r w:rsidRPr="003B36EA">
        <w:t>education</w:t>
      </w:r>
      <w:r w:rsidR="0062350D" w:rsidRPr="003B36EA">
        <w:t xml:space="preserve"> </w:t>
      </w:r>
      <w:r w:rsidRPr="003B36EA">
        <w:t>and</w:t>
      </w:r>
      <w:r w:rsidR="0062350D" w:rsidRPr="003B36EA">
        <w:t xml:space="preserve"> </w:t>
      </w:r>
      <w:r w:rsidRPr="003B36EA">
        <w:t>recreational</w:t>
      </w:r>
      <w:r w:rsidR="0062350D" w:rsidRPr="003B36EA">
        <w:t xml:space="preserve"> </w:t>
      </w:r>
      <w:r w:rsidRPr="003B36EA">
        <w:t>programmes</w:t>
      </w:r>
      <w:r w:rsidR="0062350D" w:rsidRPr="003B36EA">
        <w:t xml:space="preserve"> </w:t>
      </w:r>
      <w:r w:rsidRPr="003B36EA">
        <w:t>are</w:t>
      </w:r>
      <w:r w:rsidR="0062350D" w:rsidRPr="003B36EA">
        <w:t xml:space="preserve"> </w:t>
      </w:r>
      <w:r w:rsidRPr="003B36EA">
        <w:t>insufficient</w:t>
      </w:r>
      <w:r w:rsidR="0062350D" w:rsidRPr="003B36EA">
        <w:t xml:space="preserve"> </w:t>
      </w:r>
      <w:r w:rsidRPr="003B36EA">
        <w:t>to</w:t>
      </w:r>
      <w:r w:rsidR="0062350D" w:rsidRPr="003B36EA">
        <w:t xml:space="preserve"> </w:t>
      </w:r>
      <w:r w:rsidRPr="003B36EA">
        <w:t>mitigate</w:t>
      </w:r>
      <w:r w:rsidR="0062350D" w:rsidRPr="003B36EA">
        <w:t xml:space="preserve"> </w:t>
      </w:r>
      <w:r w:rsidRPr="003B36EA">
        <w:t>effects</w:t>
      </w:r>
      <w:r w:rsidR="0062350D" w:rsidRPr="003B36EA">
        <w:t xml:space="preserve"> </w:t>
      </w:r>
      <w:r w:rsidRPr="003B36EA">
        <w:t>of</w:t>
      </w:r>
      <w:r w:rsidR="0062350D" w:rsidRPr="003B36EA">
        <w:t xml:space="preserve"> </w:t>
      </w:r>
      <w:r w:rsidRPr="003B36EA">
        <w:t>poor</w:t>
      </w:r>
      <w:r w:rsidR="0062350D" w:rsidRPr="003B36EA">
        <w:t xml:space="preserve"> </w:t>
      </w:r>
      <w:r w:rsidRPr="003B36EA">
        <w:t>conditions</w:t>
      </w:r>
      <w:r w:rsidR="0062350D" w:rsidRPr="003B36EA">
        <w:t xml:space="preserve"> </w:t>
      </w:r>
      <w:r w:rsidRPr="003B36EA">
        <w:t>of</w:t>
      </w:r>
      <w:r w:rsidR="0062350D" w:rsidRPr="003B36EA">
        <w:t xml:space="preserve"> </w:t>
      </w:r>
      <w:r w:rsidRPr="003B36EA">
        <w:t>detention.</w:t>
      </w:r>
    </w:p>
    <w:p w14:paraId="7C29FA39" w14:textId="53FCA1E6" w:rsidR="0062350D" w:rsidRPr="003B36EA" w:rsidRDefault="007F12C3" w:rsidP="003B36EA">
      <w:pPr>
        <w:pStyle w:val="SingleTxtG"/>
      </w:pPr>
      <w:r w:rsidRPr="003B36EA">
        <w:t>5.5</w:t>
      </w:r>
      <w:r w:rsidRPr="003B36EA">
        <w:tab/>
        <w:t>The</w:t>
      </w:r>
      <w:r w:rsidR="0062350D" w:rsidRPr="003B36EA">
        <w:t xml:space="preserve"> </w:t>
      </w:r>
      <w:r w:rsidRPr="003B36EA">
        <w:t>authors</w:t>
      </w:r>
      <w:r w:rsidR="0062350D" w:rsidRPr="003B36EA">
        <w:t xml:space="preserve"> </w:t>
      </w:r>
      <w:r w:rsidRPr="003B36EA">
        <w:t>further</w:t>
      </w:r>
      <w:r w:rsidR="0062350D" w:rsidRPr="003B36EA">
        <w:t xml:space="preserve"> </w:t>
      </w:r>
      <w:r w:rsidRPr="003B36EA">
        <w:t>argue</w:t>
      </w:r>
      <w:r w:rsidR="0062350D" w:rsidRPr="003B36EA">
        <w:t xml:space="preserve"> </w:t>
      </w:r>
      <w:r w:rsidRPr="003B36EA">
        <w:t>that</w:t>
      </w:r>
      <w:r w:rsidR="0062350D" w:rsidRPr="003B36EA">
        <w:t xml:space="preserve"> </w:t>
      </w:r>
      <w:r w:rsidRPr="003B36EA">
        <w:t>their</w:t>
      </w:r>
      <w:r w:rsidR="0062350D" w:rsidRPr="003B36EA">
        <w:t xml:space="preserve"> </w:t>
      </w:r>
      <w:r w:rsidRPr="003B36EA">
        <w:t>extended</w:t>
      </w:r>
      <w:r w:rsidR="0062350D" w:rsidRPr="003B36EA">
        <w:t xml:space="preserve"> </w:t>
      </w:r>
      <w:r w:rsidRPr="003B36EA">
        <w:t>detention</w:t>
      </w:r>
      <w:r w:rsidR="0062350D" w:rsidRPr="003B36EA">
        <w:t xml:space="preserve"> </w:t>
      </w:r>
      <w:r w:rsidRPr="003B36EA">
        <w:t>on</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was</w:t>
      </w:r>
      <w:r w:rsidR="0062350D" w:rsidRPr="003B36EA">
        <w:t xml:space="preserve"> </w:t>
      </w:r>
      <w:r w:rsidRPr="003B36EA">
        <w:t>in</w:t>
      </w:r>
      <w:r w:rsidR="0062350D" w:rsidRPr="003B36EA">
        <w:t xml:space="preserve"> </w:t>
      </w:r>
      <w:r w:rsidRPr="003B36EA">
        <w:t>violation</w:t>
      </w:r>
      <w:r w:rsidR="0062350D" w:rsidRPr="003B36EA">
        <w:t xml:space="preserve"> </w:t>
      </w:r>
      <w:r w:rsidRPr="003B36EA">
        <w:t>of</w:t>
      </w:r>
      <w:r w:rsidR="0062350D" w:rsidRPr="003B36EA">
        <w:t xml:space="preserve"> </w:t>
      </w:r>
      <w:r w:rsidRPr="003B36EA">
        <w:t>article</w:t>
      </w:r>
      <w:r w:rsidR="0062350D" w:rsidRPr="003B36EA">
        <w:t xml:space="preserve"> </w:t>
      </w:r>
      <w:r w:rsidRPr="003B36EA">
        <w:t>10</w:t>
      </w:r>
      <w:r w:rsidR="0062350D" w:rsidRPr="003B36EA">
        <w:t xml:space="preserve"> </w:t>
      </w:r>
      <w:r w:rsidRPr="003B36EA">
        <w:t>of</w:t>
      </w:r>
      <w:r w:rsidR="0062350D" w:rsidRPr="003B36EA">
        <w:t xml:space="preserve"> </w:t>
      </w:r>
      <w:r w:rsidRPr="003B36EA">
        <w:t>the</w:t>
      </w:r>
      <w:r w:rsidR="0062350D" w:rsidRPr="003B36EA">
        <w:t xml:space="preserve"> </w:t>
      </w:r>
      <w:r w:rsidRPr="003B36EA">
        <w:t>Covenant.</w:t>
      </w:r>
      <w:r w:rsidR="0062350D" w:rsidRPr="003B36EA">
        <w:t xml:space="preserve"> </w:t>
      </w:r>
      <w:r w:rsidRPr="003B36EA">
        <w:t>They</w:t>
      </w:r>
      <w:r w:rsidR="0062350D" w:rsidRPr="003B36EA">
        <w:t xml:space="preserve"> </w:t>
      </w:r>
      <w:r w:rsidRPr="003B36EA">
        <w:t>note</w:t>
      </w:r>
      <w:r w:rsidR="0062350D" w:rsidRPr="003B36EA">
        <w:t xml:space="preserve"> </w:t>
      </w:r>
      <w:r w:rsidRPr="003B36EA">
        <w:t>that</w:t>
      </w:r>
      <w:r w:rsidR="0062350D" w:rsidRPr="003B36EA">
        <w:t xml:space="preserve"> </w:t>
      </w:r>
      <w:r w:rsidRPr="003B36EA">
        <w:t>unaccompanied</w:t>
      </w:r>
      <w:r w:rsidR="0062350D" w:rsidRPr="003B36EA">
        <w:t xml:space="preserve"> </w:t>
      </w:r>
      <w:r w:rsidRPr="003B36EA">
        <w:t>minors</w:t>
      </w:r>
      <w:r w:rsidR="0062350D" w:rsidRPr="003B36EA">
        <w:t xml:space="preserve"> </w:t>
      </w:r>
      <w:r w:rsidRPr="003B36EA">
        <w:t>are</w:t>
      </w:r>
      <w:r w:rsidR="0062350D" w:rsidRPr="003B36EA">
        <w:t xml:space="preserve"> </w:t>
      </w:r>
      <w:r w:rsidRPr="003B36EA">
        <w:t>extremely</w:t>
      </w:r>
      <w:r w:rsidR="0062350D" w:rsidRPr="003B36EA">
        <w:t xml:space="preserve"> </w:t>
      </w:r>
      <w:r w:rsidRPr="003B36EA">
        <w:t>vulnerable</w:t>
      </w:r>
      <w:r w:rsidR="0062350D" w:rsidRPr="003B36EA">
        <w:t xml:space="preserve"> </w:t>
      </w:r>
      <w:r w:rsidRPr="003B36EA">
        <w:t>and</w:t>
      </w:r>
      <w:r w:rsidR="0062350D" w:rsidRPr="003B36EA">
        <w:t xml:space="preserve"> </w:t>
      </w:r>
      <w:r w:rsidRPr="003B36EA">
        <w:t>require</w:t>
      </w:r>
      <w:r w:rsidR="0062350D" w:rsidRPr="003B36EA">
        <w:t xml:space="preserve"> </w:t>
      </w:r>
      <w:r w:rsidRPr="003B36EA">
        <w:t>special</w:t>
      </w:r>
      <w:r w:rsidR="0062350D" w:rsidRPr="003B36EA">
        <w:t xml:space="preserve"> </w:t>
      </w:r>
      <w:r w:rsidRPr="003B36EA">
        <w:t>treatment</w:t>
      </w:r>
      <w:r w:rsidR="0062350D" w:rsidRPr="003B36EA">
        <w:t xml:space="preserve"> </w:t>
      </w:r>
      <w:r w:rsidRPr="003B36EA">
        <w:t>from</w:t>
      </w:r>
      <w:r w:rsidR="0062350D" w:rsidRPr="003B36EA">
        <w:t xml:space="preserve"> </w:t>
      </w:r>
      <w:r w:rsidRPr="003B36EA">
        <w:t>national</w:t>
      </w:r>
      <w:r w:rsidR="0062350D" w:rsidRPr="003B36EA">
        <w:t xml:space="preserve"> </w:t>
      </w:r>
      <w:r w:rsidRPr="003B36EA">
        <w:t>authorities.</w:t>
      </w:r>
      <w:r w:rsidR="0062350D" w:rsidRPr="003B36EA">
        <w:t xml:space="preserve"> </w:t>
      </w:r>
      <w:r w:rsidRPr="003B36EA">
        <w:t>Migrants</w:t>
      </w:r>
      <w:r w:rsidR="0062350D" w:rsidRPr="003B36EA">
        <w:t xml:space="preserve"> </w:t>
      </w:r>
      <w:r w:rsidRPr="003B36EA">
        <w:t>frequently</w:t>
      </w:r>
      <w:r w:rsidR="0062350D" w:rsidRPr="003B36EA">
        <w:t xml:space="preserve"> </w:t>
      </w:r>
      <w:r w:rsidRPr="003B36EA">
        <w:t>come</w:t>
      </w:r>
      <w:r w:rsidR="0062350D" w:rsidRPr="003B36EA">
        <w:t xml:space="preserve"> </w:t>
      </w:r>
      <w:r w:rsidRPr="003B36EA">
        <w:t>from</w:t>
      </w:r>
      <w:r w:rsidR="0062350D" w:rsidRPr="003B36EA">
        <w:t xml:space="preserve"> </w:t>
      </w:r>
      <w:r w:rsidRPr="003B36EA">
        <w:t>dangerous</w:t>
      </w:r>
      <w:r w:rsidR="0062350D" w:rsidRPr="003B36EA">
        <w:t xml:space="preserve"> </w:t>
      </w:r>
      <w:r w:rsidRPr="003B36EA">
        <w:t>environments</w:t>
      </w:r>
      <w:r w:rsidR="0062350D" w:rsidRPr="003B36EA">
        <w:t xml:space="preserve"> </w:t>
      </w:r>
      <w:r w:rsidRPr="003B36EA">
        <w:t>and</w:t>
      </w:r>
      <w:r w:rsidR="0062350D" w:rsidRPr="003B36EA">
        <w:t xml:space="preserve"> </w:t>
      </w:r>
      <w:r w:rsidRPr="003B36EA">
        <w:t>often</w:t>
      </w:r>
      <w:r w:rsidR="0062350D" w:rsidRPr="003B36EA">
        <w:t xml:space="preserve"> </w:t>
      </w:r>
      <w:r w:rsidRPr="003B36EA">
        <w:t>suffer</w:t>
      </w:r>
      <w:r w:rsidR="0062350D" w:rsidRPr="003B36EA">
        <w:t xml:space="preserve"> </w:t>
      </w:r>
      <w:r w:rsidRPr="003B36EA">
        <w:t>from</w:t>
      </w:r>
      <w:r w:rsidR="0062350D" w:rsidRPr="003B36EA">
        <w:t xml:space="preserve"> </w:t>
      </w:r>
      <w:r w:rsidRPr="003B36EA">
        <w:t>mental</w:t>
      </w:r>
      <w:r w:rsidR="0062350D" w:rsidRPr="003B36EA">
        <w:t xml:space="preserve"> </w:t>
      </w:r>
      <w:r w:rsidRPr="003B36EA">
        <w:t>health</w:t>
      </w:r>
      <w:r w:rsidR="0062350D" w:rsidRPr="003B36EA">
        <w:t xml:space="preserve"> </w:t>
      </w:r>
      <w:r w:rsidRPr="003B36EA">
        <w:t>problems.</w:t>
      </w:r>
      <w:r w:rsidR="0062350D" w:rsidRPr="003B36EA">
        <w:t xml:space="preserve"> </w:t>
      </w:r>
      <w:r w:rsidRPr="003B36EA">
        <w:t>The</w:t>
      </w:r>
      <w:r w:rsidR="0062350D" w:rsidRPr="003B36EA">
        <w:t xml:space="preserve"> </w:t>
      </w:r>
      <w:r w:rsidRPr="003B36EA">
        <w:t>authors</w:t>
      </w:r>
      <w:r w:rsidR="0062350D" w:rsidRPr="003B36EA">
        <w:t xml:space="preserve"> </w:t>
      </w:r>
      <w:r w:rsidRPr="003B36EA">
        <w:t>recall</w:t>
      </w:r>
      <w:r w:rsidR="0062350D" w:rsidRPr="003B36EA">
        <w:t xml:space="preserve"> </w:t>
      </w:r>
      <w:r w:rsidRPr="003B36EA">
        <w:t>that</w:t>
      </w:r>
      <w:r w:rsidR="0062350D" w:rsidRPr="003B36EA">
        <w:t xml:space="preserve"> </w:t>
      </w:r>
      <w:r w:rsidRPr="003B36EA">
        <w:t>they</w:t>
      </w:r>
      <w:r w:rsidR="0062350D" w:rsidRPr="003B36EA">
        <w:t xml:space="preserve"> </w:t>
      </w:r>
      <w:r w:rsidRPr="003B36EA">
        <w:t>did</w:t>
      </w:r>
      <w:r w:rsidR="0062350D" w:rsidRPr="003B36EA">
        <w:t xml:space="preserve"> </w:t>
      </w:r>
      <w:r w:rsidRPr="003B36EA">
        <w:t>not</w:t>
      </w:r>
      <w:r w:rsidR="0062350D" w:rsidRPr="003B36EA">
        <w:t xml:space="preserve"> </w:t>
      </w:r>
      <w:r w:rsidRPr="003B36EA">
        <w:t>have</w:t>
      </w:r>
      <w:r w:rsidR="0062350D" w:rsidRPr="003B36EA">
        <w:t xml:space="preserve"> </w:t>
      </w:r>
      <w:r w:rsidRPr="003B36EA">
        <w:t>access</w:t>
      </w:r>
      <w:r w:rsidR="0062350D" w:rsidRPr="003B36EA">
        <w:t xml:space="preserve"> </w:t>
      </w:r>
      <w:r w:rsidRPr="003B36EA">
        <w:t>to</w:t>
      </w:r>
      <w:r w:rsidR="0062350D" w:rsidRPr="003B36EA">
        <w:t xml:space="preserve"> </w:t>
      </w:r>
      <w:r w:rsidRPr="003B36EA">
        <w:t>adequate</w:t>
      </w:r>
      <w:r w:rsidR="0062350D" w:rsidRPr="003B36EA">
        <w:t xml:space="preserve"> </w:t>
      </w:r>
      <w:r w:rsidRPr="003B36EA">
        <w:t>medical</w:t>
      </w:r>
      <w:r w:rsidR="0062350D" w:rsidRPr="003B36EA">
        <w:t xml:space="preserve"> </w:t>
      </w:r>
      <w:r w:rsidRPr="003B36EA">
        <w:t>and</w:t>
      </w:r>
      <w:r w:rsidR="0062350D" w:rsidRPr="003B36EA">
        <w:t xml:space="preserve"> </w:t>
      </w:r>
      <w:r w:rsidRPr="003B36EA">
        <w:t>hygienic</w:t>
      </w:r>
      <w:r w:rsidR="0062350D" w:rsidRPr="003B36EA">
        <w:t xml:space="preserve"> </w:t>
      </w:r>
      <w:r w:rsidRPr="003B36EA">
        <w:t>facilities</w:t>
      </w:r>
      <w:r w:rsidR="0062350D" w:rsidRPr="003B36EA">
        <w:t xml:space="preserve"> </w:t>
      </w:r>
      <w:r w:rsidRPr="003B36EA">
        <w:t>and</w:t>
      </w:r>
      <w:r w:rsidR="0062350D" w:rsidRPr="003B36EA">
        <w:t xml:space="preserve"> </w:t>
      </w:r>
      <w:r w:rsidRPr="003B36EA">
        <w:t>lacked</w:t>
      </w:r>
      <w:r w:rsidR="0062350D" w:rsidRPr="003B36EA">
        <w:t xml:space="preserve"> </w:t>
      </w:r>
      <w:r w:rsidRPr="003B36EA">
        <w:t>appropriate</w:t>
      </w:r>
      <w:r w:rsidR="0062350D" w:rsidRPr="003B36EA">
        <w:t xml:space="preserve"> </w:t>
      </w:r>
      <w:r w:rsidRPr="003B36EA">
        <w:t>clothing.</w:t>
      </w:r>
      <w:r w:rsidR="0062350D" w:rsidRPr="003B36EA">
        <w:t xml:space="preserve"> </w:t>
      </w:r>
      <w:r w:rsidRPr="003B36EA">
        <w:t>The</w:t>
      </w:r>
      <w:r w:rsidR="0062350D" w:rsidRPr="003B36EA">
        <w:t xml:space="preserve"> </w:t>
      </w:r>
      <w:r w:rsidRPr="003B36EA">
        <w:t>State</w:t>
      </w:r>
      <w:r w:rsidR="0062350D" w:rsidRPr="003B36EA">
        <w:t xml:space="preserve"> </w:t>
      </w:r>
      <w:r w:rsidRPr="003B36EA">
        <w:t>party</w:t>
      </w:r>
      <w:r w:rsidR="0062350D" w:rsidRPr="003B36EA">
        <w:t xml:space="preserve"> </w:t>
      </w:r>
      <w:r w:rsidRPr="003B36EA">
        <w:t>did</w:t>
      </w:r>
      <w:r w:rsidR="0062350D" w:rsidRPr="003B36EA">
        <w:t xml:space="preserve"> </w:t>
      </w:r>
      <w:r w:rsidRPr="003B36EA">
        <w:t>not</w:t>
      </w:r>
      <w:r w:rsidR="0062350D" w:rsidRPr="003B36EA">
        <w:t xml:space="preserve"> </w:t>
      </w:r>
      <w:r w:rsidRPr="003B36EA">
        <w:t>explain</w:t>
      </w:r>
      <w:r w:rsidR="0062350D" w:rsidRPr="003B36EA">
        <w:t xml:space="preserve"> </w:t>
      </w:r>
      <w:r w:rsidRPr="003B36EA">
        <w:t>how</w:t>
      </w:r>
      <w:r w:rsidR="0062350D" w:rsidRPr="003B36EA">
        <w:t xml:space="preserve"> </w:t>
      </w:r>
      <w:r w:rsidRPr="003B36EA">
        <w:t>the</w:t>
      </w:r>
      <w:r w:rsidR="0062350D" w:rsidRPr="003B36EA">
        <w:t xml:space="preserve"> </w:t>
      </w:r>
      <w:r w:rsidRPr="003B36EA">
        <w:t>authors</w:t>
      </w:r>
      <w:r w:rsidR="0062350D" w:rsidRPr="003B36EA">
        <w:t xml:space="preserve"> </w:t>
      </w:r>
      <w:r w:rsidRPr="003B36EA">
        <w:t>personally</w:t>
      </w:r>
      <w:r w:rsidR="0062350D" w:rsidRPr="003B36EA">
        <w:t xml:space="preserve"> </w:t>
      </w:r>
      <w:r w:rsidRPr="003B36EA">
        <w:t>benefited</w:t>
      </w:r>
      <w:r w:rsidR="0062350D" w:rsidRPr="003B36EA">
        <w:t xml:space="preserve"> </w:t>
      </w:r>
      <w:r w:rsidRPr="003B36EA">
        <w:t>from</w:t>
      </w:r>
      <w:r w:rsidR="0062350D" w:rsidRPr="003B36EA">
        <w:t xml:space="preserve"> </w:t>
      </w:r>
      <w:r w:rsidRPr="003B36EA">
        <w:t>the</w:t>
      </w:r>
      <w:r w:rsidR="0062350D" w:rsidRPr="003B36EA">
        <w:t xml:space="preserve"> </w:t>
      </w:r>
      <w:r w:rsidRPr="003B36EA">
        <w:t>programmes</w:t>
      </w:r>
      <w:r w:rsidR="0062350D" w:rsidRPr="003B36EA">
        <w:t xml:space="preserve"> </w:t>
      </w:r>
      <w:r w:rsidRPr="003B36EA">
        <w:t>and</w:t>
      </w:r>
      <w:r w:rsidR="0062350D" w:rsidRPr="003B36EA">
        <w:t xml:space="preserve"> </w:t>
      </w:r>
      <w:r w:rsidRPr="003B36EA">
        <w:t>services</w:t>
      </w:r>
      <w:r w:rsidR="0062350D" w:rsidRPr="003B36EA">
        <w:t xml:space="preserve"> </w:t>
      </w:r>
      <w:r w:rsidRPr="003B36EA">
        <w:t>available</w:t>
      </w:r>
      <w:r w:rsidR="0062350D" w:rsidRPr="003B36EA">
        <w:t xml:space="preserve"> </w:t>
      </w:r>
      <w:r w:rsidRPr="003B36EA">
        <w:t>on</w:t>
      </w:r>
      <w:r w:rsidR="0062350D" w:rsidRPr="003B36EA">
        <w:t xml:space="preserve"> </w:t>
      </w:r>
      <w:r w:rsidRPr="003B36EA">
        <w:t>Christmas</w:t>
      </w:r>
      <w:r w:rsidR="0062350D" w:rsidRPr="003B36EA">
        <w:t xml:space="preserve"> </w:t>
      </w:r>
      <w:r w:rsidRPr="003B36EA">
        <w:t>Island.</w:t>
      </w:r>
    </w:p>
    <w:p w14:paraId="2705D160" w14:textId="3FE4A81A" w:rsidR="0062350D" w:rsidRPr="0062350D" w:rsidRDefault="007F12C3" w:rsidP="005D6A3F">
      <w:pPr>
        <w:pStyle w:val="SingleTxtG"/>
      </w:pPr>
      <w:r w:rsidRPr="0062350D">
        <w:t>5.6</w:t>
      </w:r>
      <w:r w:rsidRPr="0062350D">
        <w:tab/>
        <w:t>The</w:t>
      </w:r>
      <w:r w:rsidR="0062350D">
        <w:t xml:space="preserve"> </w:t>
      </w:r>
      <w:r w:rsidRPr="0062350D">
        <w:t>authors</w:t>
      </w:r>
      <w:r w:rsidR="0062350D">
        <w:t xml:space="preserve"> </w:t>
      </w:r>
      <w:r w:rsidRPr="0062350D">
        <w:t>argue</w:t>
      </w:r>
      <w:r w:rsidR="0062350D">
        <w:t xml:space="preserve"> </w:t>
      </w:r>
      <w:r w:rsidRPr="0062350D">
        <w:t>that</w:t>
      </w:r>
      <w:r w:rsidR="0062350D">
        <w:t xml:space="preserve"> </w:t>
      </w:r>
      <w:r w:rsidRPr="0062350D">
        <w:t>their</w:t>
      </w:r>
      <w:r w:rsidR="0062350D">
        <w:t xml:space="preserve"> </w:t>
      </w:r>
      <w:r w:rsidRPr="0062350D">
        <w:t>detention</w:t>
      </w:r>
      <w:r w:rsidR="0062350D">
        <w:t xml:space="preserve"> </w:t>
      </w:r>
      <w:r w:rsidRPr="0062350D">
        <w:t>was</w:t>
      </w:r>
      <w:r w:rsidR="0062350D">
        <w:t xml:space="preserve"> </w:t>
      </w:r>
      <w:r w:rsidRPr="0062350D">
        <w:t>arbitrary,</w:t>
      </w:r>
      <w:r w:rsidR="0062350D">
        <w:t xml:space="preserve"> </w:t>
      </w:r>
      <w:r w:rsidRPr="0062350D">
        <w:t>in</w:t>
      </w:r>
      <w:r w:rsidR="0062350D">
        <w:t xml:space="preserve"> </w:t>
      </w:r>
      <w:r w:rsidRPr="0062350D">
        <w:t>violation</w:t>
      </w:r>
      <w:r w:rsidR="0062350D">
        <w:t xml:space="preserve"> </w:t>
      </w:r>
      <w:r w:rsidRPr="0062350D">
        <w:t>of</w:t>
      </w:r>
      <w:r w:rsidR="0062350D">
        <w:t xml:space="preserve"> </w:t>
      </w:r>
      <w:r w:rsidRPr="0062350D">
        <w:t>article</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note</w:t>
      </w:r>
      <w:r w:rsidR="0062350D">
        <w:t xml:space="preserve"> </w:t>
      </w:r>
      <w:r w:rsidRPr="0062350D">
        <w:t>that</w:t>
      </w:r>
      <w:r w:rsidR="0062350D">
        <w:t xml:space="preserve"> </w:t>
      </w:r>
      <w:r w:rsidRPr="0062350D">
        <w:t>there</w:t>
      </w:r>
      <w:r w:rsidR="0062350D">
        <w:t xml:space="preserve"> </w:t>
      </w:r>
      <w:r w:rsidRPr="0062350D">
        <w:t>were</w:t>
      </w:r>
      <w:r w:rsidR="0062350D">
        <w:t xml:space="preserve"> </w:t>
      </w:r>
      <w:r w:rsidRPr="0062350D">
        <w:t>less</w:t>
      </w:r>
      <w:r w:rsidR="0062350D">
        <w:t xml:space="preserve"> </w:t>
      </w:r>
      <w:r w:rsidRPr="0062350D">
        <w:t>restrictive</w:t>
      </w:r>
      <w:r w:rsidR="0062350D">
        <w:t xml:space="preserve"> </w:t>
      </w:r>
      <w:r w:rsidRPr="0062350D">
        <w:t>means</w:t>
      </w:r>
      <w:r w:rsidR="0062350D">
        <w:t xml:space="preserve"> </w:t>
      </w:r>
      <w:r w:rsidRPr="0062350D">
        <w:t>to</w:t>
      </w:r>
      <w:r w:rsidR="0062350D">
        <w:t xml:space="preserve"> </w:t>
      </w:r>
      <w:r w:rsidRPr="0062350D">
        <w:t>achieve</w:t>
      </w:r>
      <w:r w:rsidR="0062350D">
        <w:t xml:space="preserve"> </w:t>
      </w:r>
      <w:r w:rsidRPr="0062350D">
        <w:t>compliance</w:t>
      </w:r>
      <w:r w:rsidR="0062350D">
        <w:t xml:space="preserve"> </w:t>
      </w:r>
      <w:r w:rsidRPr="0062350D">
        <w:t>with</w:t>
      </w:r>
      <w:r w:rsidR="0062350D">
        <w:t xml:space="preserve"> </w:t>
      </w:r>
      <w:r w:rsidRPr="0062350D">
        <w:t>national</w:t>
      </w:r>
      <w:r w:rsidR="0062350D">
        <w:t xml:space="preserve"> </w:t>
      </w:r>
      <w:r w:rsidRPr="0062350D">
        <w:t>immigration</w:t>
      </w:r>
      <w:r w:rsidR="0062350D">
        <w:t xml:space="preserve"> </w:t>
      </w:r>
      <w:r w:rsidRPr="0062350D">
        <w:t>laws,</w:t>
      </w:r>
      <w:r w:rsidR="0062350D">
        <w:t xml:space="preserve"> </w:t>
      </w:r>
      <w:r w:rsidRPr="0062350D">
        <w:t>rather</w:t>
      </w:r>
      <w:r w:rsidR="0062350D">
        <w:t xml:space="preserve"> </w:t>
      </w:r>
      <w:r w:rsidRPr="0062350D">
        <w:t>than</w:t>
      </w:r>
      <w:r w:rsidR="0062350D">
        <w:t xml:space="preserve"> </w:t>
      </w:r>
      <w:r w:rsidRPr="0062350D">
        <w:t>detaining</w:t>
      </w:r>
      <w:r w:rsidR="0062350D">
        <w:t xml:space="preserve"> </w:t>
      </w:r>
      <w:r w:rsidRPr="0062350D">
        <w:t>the</w:t>
      </w:r>
      <w:r w:rsidR="0062350D">
        <w:t xml:space="preserve"> </w:t>
      </w:r>
      <w:r w:rsidRPr="0062350D">
        <w:t>authors</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for</w:t>
      </w:r>
      <w:r w:rsidR="0062350D">
        <w:t xml:space="preserve"> </w:t>
      </w:r>
      <w:r w:rsidRPr="0062350D">
        <w:t>such</w:t>
      </w:r>
      <w:r w:rsidR="0062350D">
        <w:t xml:space="preserve"> </w:t>
      </w:r>
      <w:r w:rsidRPr="0062350D">
        <w:t>a</w:t>
      </w:r>
      <w:r w:rsidR="0062350D">
        <w:t xml:space="preserve"> </w:t>
      </w:r>
      <w:r w:rsidRPr="0062350D">
        <w:t>long</w:t>
      </w:r>
      <w:r w:rsidR="0062350D">
        <w:t xml:space="preserve"> </w:t>
      </w:r>
      <w:r w:rsidRPr="0062350D">
        <w:t>period</w:t>
      </w:r>
      <w:r w:rsidR="0062350D">
        <w:t xml:space="preserve"> </w:t>
      </w:r>
      <w:r w:rsidRPr="0062350D">
        <w:t>of</w:t>
      </w:r>
      <w:r w:rsidR="0062350D">
        <w:t xml:space="preserve"> </w:t>
      </w:r>
      <w:r w:rsidRPr="0062350D">
        <w:t>time.</w:t>
      </w:r>
      <w:r w:rsidR="0062350D">
        <w:t xml:space="preserve"> </w:t>
      </w:r>
      <w:r w:rsidRPr="0062350D">
        <w:t>While</w:t>
      </w:r>
      <w:r w:rsidR="0062350D">
        <w:t xml:space="preserve"> </w:t>
      </w:r>
      <w:r w:rsidRPr="0062350D">
        <w:t>their</w:t>
      </w:r>
      <w:r w:rsidR="0062350D">
        <w:t xml:space="preserve"> </w:t>
      </w:r>
      <w:r w:rsidRPr="0062350D">
        <w:t>detention</w:t>
      </w:r>
      <w:r w:rsidR="0062350D">
        <w:t xml:space="preserve"> </w:t>
      </w:r>
      <w:r w:rsidRPr="0062350D">
        <w:t>could</w:t>
      </w:r>
      <w:r w:rsidR="0062350D">
        <w:t xml:space="preserve"> </w:t>
      </w:r>
      <w:r w:rsidRPr="0062350D">
        <w:t>have</w:t>
      </w:r>
      <w:r w:rsidR="0062350D">
        <w:t xml:space="preserve"> </w:t>
      </w:r>
      <w:r w:rsidRPr="0062350D">
        <w:t>been</w:t>
      </w:r>
      <w:r w:rsidR="0062350D">
        <w:t xml:space="preserve"> </w:t>
      </w:r>
      <w:r w:rsidRPr="0062350D">
        <w:t>in</w:t>
      </w:r>
      <w:r w:rsidR="0062350D">
        <w:t xml:space="preserve"> </w:t>
      </w:r>
      <w:r w:rsidRPr="0062350D">
        <w:t>compliance</w:t>
      </w:r>
      <w:r w:rsidR="0062350D">
        <w:t xml:space="preserve"> </w:t>
      </w:r>
      <w:r w:rsidRPr="0062350D">
        <w:t>with</w:t>
      </w:r>
      <w:r w:rsidR="0062350D">
        <w:t xml:space="preserve"> </w:t>
      </w:r>
      <w:r w:rsidRPr="0062350D">
        <w:t>national</w:t>
      </w:r>
      <w:r w:rsidR="0062350D">
        <w:t xml:space="preserve"> </w:t>
      </w:r>
      <w:r w:rsidRPr="0062350D">
        <w:t>law,</w:t>
      </w:r>
      <w:r w:rsidR="0062350D">
        <w:t xml:space="preserve"> </w:t>
      </w:r>
      <w:r w:rsidRPr="0062350D">
        <w:t>it</w:t>
      </w:r>
      <w:r w:rsidR="0062350D">
        <w:t xml:space="preserve"> </w:t>
      </w:r>
      <w:r w:rsidRPr="0062350D">
        <w:t>was</w:t>
      </w:r>
      <w:r w:rsidR="0062350D">
        <w:t xml:space="preserve"> </w:t>
      </w:r>
      <w:r w:rsidRPr="0062350D">
        <w:t>not</w:t>
      </w:r>
      <w:r w:rsidR="0062350D">
        <w:t xml:space="preserve"> </w:t>
      </w:r>
      <w:r w:rsidRPr="0062350D">
        <w:t>necessary</w:t>
      </w:r>
      <w:r w:rsidR="0062350D">
        <w:t xml:space="preserve"> </w:t>
      </w:r>
      <w:r w:rsidRPr="0062350D">
        <w:t>or</w:t>
      </w:r>
      <w:r w:rsidR="0062350D">
        <w:t xml:space="preserve"> </w:t>
      </w:r>
      <w:r w:rsidRPr="0062350D">
        <w:t>proportionate.</w:t>
      </w:r>
      <w:r w:rsidR="0062350D">
        <w:t xml:space="preserve"> </w:t>
      </w:r>
      <w:r w:rsidRPr="0062350D">
        <w:t>The</w:t>
      </w:r>
      <w:r w:rsidR="0062350D">
        <w:t xml:space="preserve"> </w:t>
      </w:r>
      <w:r w:rsidRPr="0062350D">
        <w:t>authors</w:t>
      </w:r>
      <w:r w:rsidR="0062350D">
        <w:t xml:space="preserve"> </w:t>
      </w:r>
      <w:r w:rsidRPr="0062350D">
        <w:t>argue</w:t>
      </w:r>
      <w:r w:rsidR="0062350D">
        <w:t xml:space="preserve"> </w:t>
      </w:r>
      <w:r w:rsidRPr="0062350D">
        <w:t>that</w:t>
      </w:r>
      <w:r w:rsidR="0062350D">
        <w:t xml:space="preserve"> </w:t>
      </w:r>
      <w:r w:rsidRPr="0062350D">
        <w:t>any</w:t>
      </w:r>
      <w:r w:rsidR="0062350D">
        <w:t xml:space="preserve"> </w:t>
      </w:r>
      <w:r w:rsidRPr="0062350D">
        <w:t>detention</w:t>
      </w:r>
      <w:r w:rsidR="0062350D">
        <w:t xml:space="preserve"> </w:t>
      </w:r>
      <w:r w:rsidRPr="0062350D">
        <w:t>in</w:t>
      </w:r>
      <w:r w:rsidR="0062350D">
        <w:t xml:space="preserve"> </w:t>
      </w:r>
      <w:r w:rsidRPr="0062350D">
        <w:t>excess</w:t>
      </w:r>
      <w:r w:rsidR="0062350D">
        <w:t xml:space="preserve"> </w:t>
      </w:r>
      <w:r w:rsidRPr="0062350D">
        <w:t>of</w:t>
      </w:r>
      <w:r w:rsidR="0062350D">
        <w:t xml:space="preserve"> </w:t>
      </w:r>
      <w:r w:rsidRPr="0062350D">
        <w:t>six</w:t>
      </w:r>
      <w:r w:rsidR="0062350D">
        <w:t xml:space="preserve"> </w:t>
      </w:r>
      <w:r w:rsidRPr="0062350D">
        <w:t>months</w:t>
      </w:r>
      <w:r w:rsidR="0062350D">
        <w:t xml:space="preserve"> </w:t>
      </w:r>
      <w:r w:rsidRPr="0062350D">
        <w:t>is</w:t>
      </w:r>
      <w:r w:rsidR="0062350D">
        <w:t xml:space="preserve"> </w:t>
      </w:r>
      <w:r w:rsidRPr="0062350D">
        <w:t>prima</w:t>
      </w:r>
      <w:r w:rsidR="0062350D">
        <w:t xml:space="preserve"> </w:t>
      </w:r>
      <w:r w:rsidRPr="0062350D">
        <w:t>facie</w:t>
      </w:r>
      <w:r w:rsidR="0062350D">
        <w:t xml:space="preserve"> </w:t>
      </w:r>
      <w:r w:rsidRPr="0062350D">
        <w:t>arbitrary.</w:t>
      </w:r>
      <w:r w:rsidR="0062350D">
        <w:t xml:space="preserve"> </w:t>
      </w:r>
      <w:r w:rsidRPr="0062350D">
        <w:t>By</w:t>
      </w:r>
      <w:r w:rsidR="0062350D">
        <w:t xml:space="preserve"> </w:t>
      </w:r>
      <w:r w:rsidRPr="0062350D">
        <w:t>April</w:t>
      </w:r>
      <w:r w:rsidR="0062350D">
        <w:t xml:space="preserve"> </w:t>
      </w:r>
      <w:r w:rsidRPr="0062350D">
        <w:t>2014,</w:t>
      </w:r>
      <w:r w:rsidR="0062350D">
        <w:t xml:space="preserve"> </w:t>
      </w:r>
      <w:r w:rsidRPr="0062350D">
        <w:t>the</w:t>
      </w:r>
      <w:r w:rsidR="0062350D">
        <w:t xml:space="preserve"> </w:t>
      </w:r>
      <w:r w:rsidRPr="0062350D">
        <w:t>authors</w:t>
      </w:r>
      <w:r w:rsidR="0062350D">
        <w:t xml:space="preserve"> </w:t>
      </w:r>
      <w:r w:rsidRPr="0062350D">
        <w:t>had</w:t>
      </w:r>
      <w:r w:rsidR="0062350D">
        <w:t xml:space="preserve"> </w:t>
      </w:r>
      <w:r w:rsidRPr="0062350D">
        <w:t>been</w:t>
      </w:r>
      <w:r w:rsidR="0062350D">
        <w:t xml:space="preserve"> </w:t>
      </w:r>
      <w:r w:rsidRPr="0062350D">
        <w:t>detained</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for</w:t>
      </w:r>
      <w:r w:rsidR="0062350D">
        <w:t xml:space="preserve"> </w:t>
      </w:r>
      <w:r w:rsidRPr="0062350D">
        <w:t>five</w:t>
      </w:r>
      <w:r w:rsidR="0062350D">
        <w:t xml:space="preserve"> </w:t>
      </w:r>
      <w:r w:rsidRPr="0062350D">
        <w:t>to</w:t>
      </w:r>
      <w:r w:rsidR="0062350D">
        <w:t xml:space="preserve"> </w:t>
      </w:r>
      <w:r w:rsidRPr="0062350D">
        <w:t>eight</w:t>
      </w:r>
      <w:r w:rsidR="0062350D">
        <w:t xml:space="preserve"> </w:t>
      </w:r>
      <w:r w:rsidRPr="0062350D">
        <w:t>months,</w:t>
      </w:r>
      <w:r w:rsidR="0062350D">
        <w:t xml:space="preserve"> </w:t>
      </w:r>
      <w:r w:rsidRPr="0062350D">
        <w:t>an</w:t>
      </w:r>
      <w:r w:rsidR="0062350D">
        <w:t xml:space="preserve"> </w:t>
      </w:r>
      <w:r w:rsidRPr="0062350D">
        <w:t>extended</w:t>
      </w:r>
      <w:r w:rsidR="0062350D">
        <w:t xml:space="preserve"> </w:t>
      </w:r>
      <w:r w:rsidRPr="0062350D">
        <w:t>period</w:t>
      </w:r>
      <w:r w:rsidR="0062350D">
        <w:t xml:space="preserve"> </w:t>
      </w:r>
      <w:r w:rsidRPr="0062350D">
        <w:t>of</w:t>
      </w:r>
      <w:r w:rsidR="0062350D">
        <w:t xml:space="preserve"> </w:t>
      </w:r>
      <w:r w:rsidRPr="0062350D">
        <w:t>detention</w:t>
      </w:r>
      <w:r w:rsidR="0062350D">
        <w:t xml:space="preserve"> </w:t>
      </w:r>
      <w:r w:rsidRPr="0062350D">
        <w:t>that</w:t>
      </w:r>
      <w:r w:rsidR="0062350D">
        <w:t xml:space="preserve"> </w:t>
      </w:r>
      <w:r w:rsidRPr="0062350D">
        <w:t>was</w:t>
      </w:r>
      <w:r w:rsidR="0062350D">
        <w:t xml:space="preserve"> </w:t>
      </w:r>
      <w:r w:rsidRPr="0062350D">
        <w:t>not</w:t>
      </w:r>
      <w:r w:rsidR="0062350D">
        <w:t xml:space="preserve"> </w:t>
      </w:r>
      <w:r w:rsidRPr="0062350D">
        <w:t>duly</w:t>
      </w:r>
      <w:r w:rsidR="0062350D">
        <w:t xml:space="preserve"> </w:t>
      </w:r>
      <w:r w:rsidRPr="0062350D">
        <w:t>assessed.</w:t>
      </w:r>
      <w:r w:rsidR="0062350D">
        <w:t xml:space="preserve"> </w:t>
      </w:r>
      <w:r w:rsidRPr="0062350D">
        <w:t>The</w:t>
      </w:r>
      <w:r w:rsidR="0062350D">
        <w:t xml:space="preserve"> </w:t>
      </w:r>
      <w:r w:rsidRPr="0062350D">
        <w:t>authors</w:t>
      </w:r>
      <w:r w:rsidR="0062350D">
        <w:t xml:space="preserve"> </w:t>
      </w:r>
      <w:r w:rsidRPr="0062350D">
        <w:t>note</w:t>
      </w:r>
      <w:r w:rsidR="0062350D">
        <w:t xml:space="preserve"> </w:t>
      </w:r>
      <w:r w:rsidRPr="0062350D">
        <w:t>that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does</w:t>
      </w:r>
      <w:r w:rsidR="0062350D">
        <w:t xml:space="preserve"> </w:t>
      </w:r>
      <w:r w:rsidRPr="0062350D">
        <w:t>not</w:t>
      </w:r>
      <w:r w:rsidR="0062350D">
        <w:t xml:space="preserve"> </w:t>
      </w:r>
      <w:r w:rsidRPr="0062350D">
        <w:t>demonstrate</w:t>
      </w:r>
      <w:r w:rsidR="0062350D">
        <w:t xml:space="preserve"> </w:t>
      </w:r>
      <w:r w:rsidRPr="0062350D">
        <w:t>individual</w:t>
      </w:r>
      <w:r w:rsidR="0062350D">
        <w:t xml:space="preserve"> </w:t>
      </w:r>
      <w:r w:rsidRPr="0062350D">
        <w:t>grounds</w:t>
      </w:r>
      <w:r w:rsidR="0062350D">
        <w:t xml:space="preserve"> </w:t>
      </w:r>
      <w:r w:rsidRPr="0062350D">
        <w:t>for</w:t>
      </w:r>
      <w:r w:rsidR="0062350D">
        <w:t xml:space="preserve"> </w:t>
      </w:r>
      <w:r w:rsidRPr="0062350D">
        <w:t>their</w:t>
      </w:r>
      <w:r w:rsidR="0062350D">
        <w:t xml:space="preserve"> </w:t>
      </w:r>
      <w:r w:rsidRPr="0062350D">
        <w:t>detention.</w:t>
      </w:r>
      <w:r w:rsidR="0062350D">
        <w:t xml:space="preserve"> </w:t>
      </w:r>
      <w:r w:rsidRPr="0062350D">
        <w:t>Furthermore,</w:t>
      </w:r>
      <w:r w:rsidR="0062350D">
        <w:t xml:space="preserve"> </w:t>
      </w:r>
      <w:r w:rsidRPr="0062350D">
        <w:t>the</w:t>
      </w:r>
      <w:r w:rsidR="0062350D">
        <w:t xml:space="preserve"> </w:t>
      </w:r>
      <w:r w:rsidRPr="0062350D">
        <w:t>authors</w:t>
      </w:r>
      <w:r w:rsidR="0062350D">
        <w:t xml:space="preserve"> </w:t>
      </w:r>
      <w:r w:rsidRPr="0062350D">
        <w:t>lacked</w:t>
      </w:r>
      <w:r w:rsidR="0062350D">
        <w:t xml:space="preserve"> </w:t>
      </w:r>
      <w:r w:rsidRPr="0062350D">
        <w:t>a</w:t>
      </w:r>
      <w:r w:rsidR="0062350D">
        <w:t xml:space="preserve"> </w:t>
      </w:r>
      <w:r w:rsidRPr="0062350D">
        <w:t>proper</w:t>
      </w:r>
      <w:r w:rsidR="0062350D">
        <w:t xml:space="preserve"> </w:t>
      </w:r>
      <w:r w:rsidRPr="0062350D">
        <w:t>avenue</w:t>
      </w:r>
      <w:r w:rsidR="0062350D">
        <w:t xml:space="preserve"> </w:t>
      </w:r>
      <w:r w:rsidRPr="0062350D">
        <w:t>for</w:t>
      </w:r>
      <w:r w:rsidR="0062350D">
        <w:t xml:space="preserve"> </w:t>
      </w:r>
      <w:r w:rsidRPr="0062350D">
        <w:t>the</w:t>
      </w:r>
      <w:r w:rsidR="0062350D">
        <w:t xml:space="preserve"> </w:t>
      </w:r>
      <w:r w:rsidRPr="0062350D">
        <w:t>review</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unable</w:t>
      </w:r>
      <w:r w:rsidR="0062350D">
        <w:t xml:space="preserve"> </w:t>
      </w:r>
      <w:r w:rsidRPr="0062350D">
        <w:t>to</w:t>
      </w:r>
      <w:r w:rsidR="0062350D">
        <w:t xml:space="preserve"> </w:t>
      </w:r>
      <w:r w:rsidRPr="0062350D">
        <w:t>challenge</w:t>
      </w:r>
      <w:r w:rsidR="0062350D">
        <w:t xml:space="preserve"> </w:t>
      </w:r>
      <w:r w:rsidRPr="0062350D">
        <w:t>the</w:t>
      </w:r>
      <w:r w:rsidR="0062350D">
        <w:t xml:space="preserve"> </w:t>
      </w:r>
      <w:r w:rsidRPr="0062350D">
        <w:t>lawfulness</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before</w:t>
      </w:r>
      <w:r w:rsidR="0062350D">
        <w:t xml:space="preserve"> </w:t>
      </w:r>
      <w:r w:rsidRPr="0062350D">
        <w:t>Australian</w:t>
      </w:r>
      <w:r w:rsidR="0062350D">
        <w:t xml:space="preserve"> </w:t>
      </w:r>
      <w:r w:rsidRPr="0062350D">
        <w:t>courts.</w:t>
      </w:r>
      <w:r w:rsidR="0062350D">
        <w:t xml:space="preserve"> </w:t>
      </w:r>
      <w:r w:rsidRPr="0062350D">
        <w:t>Even</w:t>
      </w:r>
      <w:r w:rsidR="0062350D">
        <w:t xml:space="preserve"> </w:t>
      </w:r>
      <w:r w:rsidRPr="0062350D">
        <w:t>if</w:t>
      </w:r>
      <w:r w:rsidR="0062350D">
        <w:t xml:space="preserve"> </w:t>
      </w:r>
      <w:r w:rsidRPr="0062350D">
        <w:t>they</w:t>
      </w:r>
      <w:r w:rsidR="0062350D">
        <w:t xml:space="preserve"> </w:t>
      </w:r>
      <w:r w:rsidRPr="0062350D">
        <w:t>had</w:t>
      </w:r>
      <w:r w:rsidR="0062350D">
        <w:t xml:space="preserve"> </w:t>
      </w:r>
      <w:r w:rsidRPr="0062350D">
        <w:t>had</w:t>
      </w:r>
      <w:r w:rsidR="0062350D">
        <w:t xml:space="preserve"> </w:t>
      </w:r>
      <w:r w:rsidRPr="0062350D">
        <w:t>access</w:t>
      </w:r>
      <w:r w:rsidR="0062350D">
        <w:t xml:space="preserve"> </w:t>
      </w:r>
      <w:r w:rsidRPr="0062350D">
        <w:t>to</w:t>
      </w:r>
      <w:r w:rsidR="0062350D">
        <w:t xml:space="preserve"> </w:t>
      </w:r>
      <w:r w:rsidRPr="0062350D">
        <w:t>a</w:t>
      </w:r>
      <w:r w:rsidR="0062350D">
        <w:t xml:space="preserve"> </w:t>
      </w:r>
      <w:r w:rsidRPr="0062350D">
        <w:t>judicial</w:t>
      </w:r>
      <w:r w:rsidR="0062350D">
        <w:t xml:space="preserve"> </w:t>
      </w:r>
      <w:r w:rsidRPr="0062350D">
        <w:t>review,</w:t>
      </w:r>
      <w:r w:rsidR="0062350D">
        <w:t xml:space="preserve"> </w:t>
      </w:r>
      <w:r w:rsidRPr="0062350D">
        <w:t>it</w:t>
      </w:r>
      <w:r w:rsidR="0062350D">
        <w:t xml:space="preserve"> </w:t>
      </w:r>
      <w:r w:rsidRPr="0062350D">
        <w:t>would</w:t>
      </w:r>
      <w:r w:rsidR="0062350D">
        <w:t xml:space="preserve"> </w:t>
      </w:r>
      <w:r w:rsidRPr="0062350D">
        <w:t>have</w:t>
      </w:r>
      <w:r w:rsidR="0062350D">
        <w:t xml:space="preserve"> </w:t>
      </w:r>
      <w:r w:rsidRPr="0062350D">
        <w:t>been</w:t>
      </w:r>
      <w:r w:rsidR="0062350D">
        <w:t xml:space="preserve"> </w:t>
      </w:r>
      <w:r w:rsidRPr="0062350D">
        <w:lastRenderedPageBreak/>
        <w:t>ineffective</w:t>
      </w:r>
      <w:r w:rsidR="0062350D">
        <w:t xml:space="preserve"> </w:t>
      </w:r>
      <w:r w:rsidRPr="0062350D">
        <w:t>as</w:t>
      </w:r>
      <w:r w:rsidR="0062350D">
        <w:t xml:space="preserve"> </w:t>
      </w:r>
      <w:r w:rsidRPr="0062350D">
        <w:t>it</w:t>
      </w:r>
      <w:r w:rsidR="0062350D">
        <w:t xml:space="preserve"> </w:t>
      </w:r>
      <w:r w:rsidRPr="0062350D">
        <w:t>would</w:t>
      </w:r>
      <w:r w:rsidR="0062350D">
        <w:t xml:space="preserve"> </w:t>
      </w:r>
      <w:r w:rsidRPr="0062350D">
        <w:t>not</w:t>
      </w:r>
      <w:r w:rsidR="0062350D">
        <w:t xml:space="preserve"> </w:t>
      </w:r>
      <w:r w:rsidRPr="0062350D">
        <w:t>have</w:t>
      </w:r>
      <w:r w:rsidR="0062350D">
        <w:t xml:space="preserve"> </w:t>
      </w:r>
      <w:r w:rsidRPr="0062350D">
        <w:t>been</w:t>
      </w:r>
      <w:r w:rsidR="0062350D">
        <w:t xml:space="preserve"> </w:t>
      </w:r>
      <w:r w:rsidRPr="0062350D">
        <w:t>possible</w:t>
      </w:r>
      <w:r w:rsidR="0062350D">
        <w:t xml:space="preserve"> </w:t>
      </w:r>
      <w:r w:rsidRPr="0062350D">
        <w:t>to</w:t>
      </w:r>
      <w:r w:rsidR="0062350D">
        <w:t xml:space="preserve"> </w:t>
      </w:r>
      <w:r w:rsidRPr="0062350D">
        <w:t>order</w:t>
      </w:r>
      <w:r w:rsidR="0062350D">
        <w:t xml:space="preserve"> </w:t>
      </w:r>
      <w:r w:rsidRPr="0062350D">
        <w:t>their</w:t>
      </w:r>
      <w:r w:rsidR="0062350D">
        <w:t xml:space="preserve"> </w:t>
      </w:r>
      <w:r w:rsidRPr="0062350D">
        <w:t>release</w:t>
      </w:r>
      <w:r w:rsidR="0062350D">
        <w:t xml:space="preserve"> </w:t>
      </w:r>
      <w:r w:rsidRPr="0062350D">
        <w:t>on</w:t>
      </w:r>
      <w:r w:rsidR="0062350D">
        <w:t xml:space="preserve"> </w:t>
      </w:r>
      <w:r w:rsidRPr="0062350D">
        <w:t>the</w:t>
      </w:r>
      <w:r w:rsidR="0062350D">
        <w:t xml:space="preserve"> </w:t>
      </w:r>
      <w:r w:rsidRPr="0062350D">
        <w:t>grounds</w:t>
      </w:r>
      <w:r w:rsidR="0062350D">
        <w:t xml:space="preserve"> </w:t>
      </w:r>
      <w:r w:rsidRPr="0062350D">
        <w:t>of</w:t>
      </w:r>
      <w:r w:rsidR="0062350D">
        <w:t xml:space="preserve"> </w:t>
      </w:r>
      <w:r w:rsidRPr="0062350D">
        <w:t>a</w:t>
      </w:r>
      <w:r w:rsidR="0062350D">
        <w:t xml:space="preserve"> </w:t>
      </w:r>
      <w:r w:rsidRPr="0062350D">
        <w:t>violation</w:t>
      </w:r>
      <w:r w:rsidR="0062350D">
        <w:t xml:space="preserve"> </w:t>
      </w:r>
      <w:r w:rsidRPr="0062350D">
        <w:t>of</w:t>
      </w:r>
      <w:r w:rsidR="0062350D">
        <w:t xml:space="preserve"> </w:t>
      </w:r>
      <w:r w:rsidRPr="0062350D">
        <w:t>provisions</w:t>
      </w:r>
      <w:r w:rsidR="0062350D">
        <w:t xml:space="preserve"> </w:t>
      </w:r>
      <w:r w:rsidRPr="0062350D">
        <w:t>of</w:t>
      </w:r>
      <w:r w:rsidR="0062350D">
        <w:t xml:space="preserve"> </w:t>
      </w:r>
      <w:r w:rsidRPr="0062350D">
        <w:t>the</w:t>
      </w:r>
      <w:r w:rsidR="0062350D">
        <w:t xml:space="preserve"> </w:t>
      </w:r>
      <w:r w:rsidRPr="0062350D">
        <w:t>Covenant.</w:t>
      </w:r>
    </w:p>
    <w:p w14:paraId="51A11B31" w14:textId="7D369C3C" w:rsidR="007F12C3" w:rsidRPr="0062350D" w:rsidRDefault="007F12C3" w:rsidP="005D6A3F">
      <w:pPr>
        <w:pStyle w:val="SingleTxtG"/>
      </w:pPr>
      <w:r w:rsidRPr="0062350D">
        <w:t>5.7</w:t>
      </w:r>
      <w:r w:rsidRPr="0062350D">
        <w:tab/>
        <w:t>The</w:t>
      </w:r>
      <w:r w:rsidR="0062350D">
        <w:t xml:space="preserve"> </w:t>
      </w:r>
      <w:r w:rsidRPr="0062350D">
        <w:t>authors</w:t>
      </w:r>
      <w:r w:rsidR="0062350D">
        <w:t xml:space="preserve"> </w:t>
      </w:r>
      <w:r w:rsidRPr="0062350D">
        <w:t>reiterate</w:t>
      </w:r>
      <w:r w:rsidR="0062350D">
        <w:t xml:space="preserve"> </w:t>
      </w:r>
      <w:r w:rsidRPr="0062350D">
        <w:t>their</w:t>
      </w:r>
      <w:r w:rsidR="0062350D">
        <w:t xml:space="preserve"> </w:t>
      </w:r>
      <w:r w:rsidRPr="0062350D">
        <w:t>claims</w:t>
      </w:r>
      <w:r w:rsidR="0062350D">
        <w:t xml:space="preserve"> </w:t>
      </w:r>
      <w:r w:rsidRPr="0062350D">
        <w:t>under</w:t>
      </w:r>
      <w:r w:rsidR="0062350D">
        <w:t xml:space="preserve"> </w:t>
      </w:r>
      <w:r w:rsidRPr="0062350D">
        <w:t>articles</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They</w:t>
      </w:r>
      <w:r w:rsidR="0062350D">
        <w:t xml:space="preserve"> </w:t>
      </w:r>
      <w:r w:rsidRPr="0062350D">
        <w:t>indicate</w:t>
      </w:r>
      <w:r w:rsidR="0062350D">
        <w:t xml:space="preserve"> </w:t>
      </w:r>
      <w:r w:rsidRPr="0062350D">
        <w:t>that</w:t>
      </w:r>
      <w:r w:rsidR="0062350D">
        <w:t xml:space="preserve"> </w:t>
      </w:r>
      <w:r w:rsidRPr="0062350D">
        <w:t>some</w:t>
      </w:r>
      <w:r w:rsidR="0062350D">
        <w:t xml:space="preserve"> </w:t>
      </w:r>
      <w:r w:rsidRPr="0062350D">
        <w:t>of</w:t>
      </w:r>
      <w:r w:rsidR="0062350D">
        <w:t xml:space="preserve"> </w:t>
      </w:r>
      <w:r w:rsidRPr="0062350D">
        <w:t>them</w:t>
      </w:r>
      <w:r w:rsidR="0062350D">
        <w:t xml:space="preserve"> </w:t>
      </w:r>
      <w:r w:rsidRPr="0062350D">
        <w:t>had</w:t>
      </w:r>
      <w:r w:rsidR="0062350D">
        <w:t xml:space="preserve"> </w:t>
      </w:r>
      <w:r w:rsidRPr="0062350D">
        <w:t>family</w:t>
      </w:r>
      <w:r w:rsidR="0062350D">
        <w:t xml:space="preserve"> </w:t>
      </w:r>
      <w:r w:rsidRPr="0062350D">
        <w:t>members</w:t>
      </w:r>
      <w:r w:rsidR="0062350D">
        <w:t xml:space="preserve"> </w:t>
      </w:r>
      <w:r w:rsidRPr="0062350D">
        <w:t>living</w:t>
      </w:r>
      <w:r w:rsidR="0062350D">
        <w:t xml:space="preserve"> </w:t>
      </w:r>
      <w:r w:rsidRPr="0062350D">
        <w:t>in</w:t>
      </w:r>
      <w:r w:rsidR="0062350D">
        <w:t xml:space="preserve"> </w:t>
      </w:r>
      <w:r w:rsidRPr="0062350D">
        <w:t>different</w:t>
      </w:r>
      <w:r w:rsidR="0062350D">
        <w:t xml:space="preserve"> </w:t>
      </w:r>
      <w:r w:rsidRPr="0062350D">
        <w:t>parts</w:t>
      </w:r>
      <w:r w:rsidR="0062350D">
        <w:t xml:space="preserve"> </w:t>
      </w:r>
      <w:r w:rsidRPr="0062350D">
        <w:t>of</w:t>
      </w:r>
      <w:r w:rsidR="0062350D">
        <w:t xml:space="preserve"> </w:t>
      </w:r>
      <w:r w:rsidRPr="0062350D">
        <w:t>Australia.</w:t>
      </w:r>
      <w:r w:rsidR="0062350D">
        <w:t xml:space="preserve"> </w:t>
      </w:r>
      <w:r w:rsidRPr="0062350D">
        <w:t>Contrary</w:t>
      </w:r>
      <w:r w:rsidR="0062350D">
        <w:t xml:space="preserve"> </w:t>
      </w:r>
      <w:r w:rsidRPr="0062350D">
        <w:t>to</w:t>
      </w:r>
      <w:r w:rsidR="0062350D">
        <w:t xml:space="preserve"> </w:t>
      </w:r>
      <w:r w:rsidRPr="0062350D">
        <w:t>the</w:t>
      </w:r>
      <w:r w:rsidR="0062350D">
        <w:t xml:space="preserve"> </w:t>
      </w:r>
      <w:r w:rsidRPr="0062350D">
        <w:t>requirements</w:t>
      </w:r>
      <w:r w:rsidR="0062350D">
        <w:t xml:space="preserve"> </w:t>
      </w:r>
      <w:r w:rsidRPr="0062350D">
        <w:t>of</w:t>
      </w:r>
      <w:r w:rsidR="0062350D">
        <w:t xml:space="preserve"> </w:t>
      </w:r>
      <w:r w:rsidRPr="0062350D">
        <w:t>article</w:t>
      </w:r>
      <w:r w:rsidR="0062350D">
        <w:t xml:space="preserve"> </w:t>
      </w:r>
      <w:r w:rsidRPr="0062350D">
        <w:t>17</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authors</w:t>
      </w:r>
      <w:r w:rsidR="0062350D">
        <w:t xml:space="preserve"> </w:t>
      </w:r>
      <w:r w:rsidRPr="0062350D">
        <w:t>were</w:t>
      </w:r>
      <w:r w:rsidR="0062350D">
        <w:t xml:space="preserve"> </w:t>
      </w:r>
      <w:r w:rsidRPr="0062350D">
        <w:t>separated</w:t>
      </w:r>
      <w:r w:rsidR="0062350D">
        <w:t xml:space="preserve"> </w:t>
      </w:r>
      <w:r w:rsidRPr="0062350D">
        <w:t>from</w:t>
      </w:r>
      <w:r w:rsidR="0062350D">
        <w:t xml:space="preserve"> </w:t>
      </w:r>
      <w:r w:rsidRPr="0062350D">
        <w:t>their</w:t>
      </w:r>
      <w:r w:rsidR="0062350D">
        <w:t xml:space="preserve"> </w:t>
      </w:r>
      <w:r w:rsidRPr="0062350D">
        <w:t>families.</w:t>
      </w:r>
      <w:r w:rsidR="0062350D">
        <w:t xml:space="preserve"> </w:t>
      </w:r>
      <w:r w:rsidRPr="0062350D">
        <w:t>Furthermore,</w:t>
      </w:r>
      <w:r w:rsidR="0062350D">
        <w:t xml:space="preserve"> </w:t>
      </w:r>
      <w:r w:rsidRPr="0062350D">
        <w:t>the</w:t>
      </w:r>
      <w:r w:rsidR="0062350D">
        <w:t xml:space="preserve"> </w:t>
      </w:r>
      <w:r w:rsidRPr="0062350D">
        <w:t>separation</w:t>
      </w:r>
      <w:r w:rsidR="0062350D">
        <w:t xml:space="preserve"> </w:t>
      </w:r>
      <w:r w:rsidRPr="0062350D">
        <w:t>of</w:t>
      </w:r>
      <w:r w:rsidR="0062350D">
        <w:t xml:space="preserve"> </w:t>
      </w:r>
      <w:r w:rsidRPr="0062350D">
        <w:t>B.A.A.</w:t>
      </w:r>
      <w:r w:rsidR="0062350D">
        <w:t xml:space="preserve"> </w:t>
      </w:r>
      <w:r w:rsidRPr="0062350D">
        <w:t>from</w:t>
      </w:r>
      <w:r w:rsidR="0062350D">
        <w:t xml:space="preserve"> </w:t>
      </w:r>
      <w:r w:rsidRPr="0062350D">
        <w:t>his</w:t>
      </w:r>
      <w:r w:rsidR="0062350D">
        <w:t xml:space="preserve"> </w:t>
      </w:r>
      <w:r w:rsidRPr="0062350D">
        <w:t>brother</w:t>
      </w:r>
      <w:r w:rsidR="0062350D">
        <w:t xml:space="preserve"> </w:t>
      </w:r>
      <w:r w:rsidRPr="0062350D">
        <w:t>was</w:t>
      </w:r>
      <w:r w:rsidR="0062350D">
        <w:t xml:space="preserve"> </w:t>
      </w:r>
      <w:r w:rsidRPr="0062350D">
        <w:t>arbitrary.</w:t>
      </w:r>
      <w:r w:rsidR="0062350D">
        <w:t xml:space="preserve"> </w:t>
      </w:r>
      <w:r w:rsidRPr="0062350D">
        <w:t>Phone</w:t>
      </w:r>
      <w:r w:rsidR="0062350D">
        <w:t xml:space="preserve"> </w:t>
      </w:r>
      <w:r w:rsidRPr="0062350D">
        <w:t>calls</w:t>
      </w:r>
      <w:r w:rsidR="0062350D">
        <w:t xml:space="preserve"> </w:t>
      </w:r>
      <w:r w:rsidRPr="0062350D">
        <w:t>and</w:t>
      </w:r>
      <w:r w:rsidR="0062350D">
        <w:t xml:space="preserve"> </w:t>
      </w:r>
      <w:r w:rsidRPr="0062350D">
        <w:t>short-term</w:t>
      </w:r>
      <w:r w:rsidR="0062350D">
        <w:t xml:space="preserve"> </w:t>
      </w:r>
      <w:r w:rsidRPr="0062350D">
        <w:t>visits</w:t>
      </w:r>
      <w:r w:rsidR="0062350D">
        <w:t xml:space="preserve"> </w:t>
      </w:r>
      <w:r w:rsidRPr="0062350D">
        <w:t>were</w:t>
      </w:r>
      <w:r w:rsidR="0062350D">
        <w:t xml:space="preserve"> </w:t>
      </w:r>
      <w:r w:rsidRPr="0062350D">
        <w:t>insufficient</w:t>
      </w:r>
      <w:r w:rsidR="0062350D">
        <w:t xml:space="preserve"> </w:t>
      </w:r>
      <w:r w:rsidRPr="0062350D">
        <w:t>to</w:t>
      </w:r>
      <w:r w:rsidR="0062350D">
        <w:t xml:space="preserve"> </w:t>
      </w:r>
      <w:r w:rsidRPr="0062350D">
        <w:t>comply</w:t>
      </w:r>
      <w:r w:rsidR="0062350D">
        <w:t xml:space="preserve"> </w:t>
      </w:r>
      <w:r w:rsidRPr="0062350D">
        <w:t>with</w:t>
      </w:r>
      <w:r w:rsidR="0062350D">
        <w:t xml:space="preserve"> </w:t>
      </w:r>
      <w:r w:rsidRPr="0062350D">
        <w:t>international</w:t>
      </w:r>
      <w:r w:rsidR="0062350D">
        <w:t xml:space="preserve"> </w:t>
      </w:r>
      <w:r w:rsidRPr="0062350D">
        <w:t>standards.</w:t>
      </w:r>
      <w:r w:rsidR="0062350D">
        <w:t xml:space="preserve"> </w:t>
      </w:r>
      <w:r w:rsidRPr="0062350D">
        <w:t>Moreover,</w:t>
      </w:r>
      <w:r w:rsidR="0062350D">
        <w:t xml:space="preserve"> </w:t>
      </w:r>
      <w:r w:rsidRPr="0062350D">
        <w:t>the</w:t>
      </w:r>
      <w:r w:rsidR="0062350D">
        <w:t xml:space="preserve"> </w:t>
      </w:r>
      <w:r w:rsidRPr="0062350D">
        <w:t>return</w:t>
      </w:r>
      <w:r w:rsidR="0062350D">
        <w:t xml:space="preserve"> </w:t>
      </w:r>
      <w:r w:rsidRPr="0062350D">
        <w:t>of</w:t>
      </w:r>
      <w:r w:rsidR="0062350D">
        <w:t xml:space="preserve"> </w:t>
      </w:r>
      <w:r w:rsidRPr="0062350D">
        <w:t>A.R.</w:t>
      </w:r>
      <w:r w:rsidR="0062350D">
        <w:t xml:space="preserve"> </w:t>
      </w:r>
      <w:r w:rsidRPr="0062350D">
        <w:t>to</w:t>
      </w:r>
      <w:r w:rsidR="0062350D">
        <w:t xml:space="preserve"> </w:t>
      </w:r>
      <w:r w:rsidRPr="0062350D">
        <w:t>a</w:t>
      </w:r>
      <w:r w:rsidR="0062350D">
        <w:t xml:space="preserve"> </w:t>
      </w:r>
      <w:r w:rsidRPr="0062350D">
        <w:t>detention</w:t>
      </w:r>
      <w:r w:rsidR="0062350D">
        <w:t xml:space="preserve"> </w:t>
      </w:r>
      <w:r w:rsidRPr="0062350D">
        <w:t>centre</w:t>
      </w:r>
      <w:r w:rsidR="0062350D">
        <w:t xml:space="preserve"> </w:t>
      </w:r>
      <w:r w:rsidRPr="0062350D">
        <w:t>was</w:t>
      </w:r>
      <w:r w:rsidR="0062350D">
        <w:t xml:space="preserve"> </w:t>
      </w:r>
      <w:r w:rsidRPr="0062350D">
        <w:t>inappropriate</w:t>
      </w:r>
      <w:r w:rsidR="0062350D">
        <w:t xml:space="preserve"> </w:t>
      </w:r>
      <w:r w:rsidRPr="0062350D">
        <w:t>given</w:t>
      </w:r>
      <w:r w:rsidR="0062350D">
        <w:t xml:space="preserve"> </w:t>
      </w:r>
      <w:r w:rsidRPr="0062350D">
        <w:t>the</w:t>
      </w:r>
      <w:r w:rsidR="0062350D">
        <w:t xml:space="preserve"> </w:t>
      </w:r>
      <w:r w:rsidRPr="0062350D">
        <w:t>need</w:t>
      </w:r>
      <w:r w:rsidR="0062350D">
        <w:t xml:space="preserve"> </w:t>
      </w:r>
      <w:r w:rsidRPr="0062350D">
        <w:t>to</w:t>
      </w:r>
      <w:r w:rsidR="0062350D">
        <w:t xml:space="preserve"> </w:t>
      </w:r>
      <w:r w:rsidRPr="0062350D">
        <w:t>address</w:t>
      </w:r>
      <w:r w:rsidR="0062350D">
        <w:t xml:space="preserve"> </w:t>
      </w:r>
      <w:r w:rsidRPr="0062350D">
        <w:t>his</w:t>
      </w:r>
      <w:r w:rsidR="0062350D">
        <w:t xml:space="preserve"> </w:t>
      </w:r>
      <w:r w:rsidRPr="0062350D">
        <w:t>mental</w:t>
      </w:r>
      <w:r w:rsidR="0062350D">
        <w:t xml:space="preserve"> </w:t>
      </w:r>
      <w:r w:rsidRPr="0062350D">
        <w:t>problems</w:t>
      </w:r>
      <w:r w:rsidR="0062350D">
        <w:t xml:space="preserve"> </w:t>
      </w:r>
      <w:r w:rsidRPr="0062350D">
        <w:t>and</w:t>
      </w:r>
      <w:r w:rsidR="0062350D">
        <w:t xml:space="preserve"> </w:t>
      </w:r>
      <w:r w:rsidRPr="0062350D">
        <w:t>needs.</w:t>
      </w:r>
      <w:r w:rsidR="0062350D">
        <w:t xml:space="preserve"> </w:t>
      </w:r>
      <w:r w:rsidRPr="0062350D">
        <w:t>The</w:t>
      </w:r>
      <w:r w:rsidR="0062350D">
        <w:t xml:space="preserve"> </w:t>
      </w:r>
      <w:r w:rsidRPr="0062350D">
        <w:t>authors</w:t>
      </w:r>
      <w:r w:rsidR="0062350D">
        <w:t xml:space="preserve"> </w:t>
      </w:r>
      <w:r w:rsidRPr="0062350D">
        <w:t>reiterate</w:t>
      </w:r>
      <w:r w:rsidR="0062350D">
        <w:t xml:space="preserve"> </w:t>
      </w:r>
      <w:r w:rsidRPr="0062350D">
        <w:t>that</w:t>
      </w:r>
      <w:r w:rsidR="0062350D">
        <w:t xml:space="preserve"> </w:t>
      </w:r>
      <w:r w:rsidRPr="0062350D">
        <w:t>alleged</w:t>
      </w:r>
      <w:r w:rsidR="0062350D">
        <w:t xml:space="preserve"> </w:t>
      </w:r>
      <w:r w:rsidRPr="0062350D">
        <w:t>violations</w:t>
      </w:r>
      <w:r w:rsidR="0062350D">
        <w:t xml:space="preserve"> </w:t>
      </w:r>
      <w:r w:rsidRPr="0062350D">
        <w:t>of</w:t>
      </w:r>
      <w:r w:rsidR="0062350D">
        <w:t xml:space="preserve"> </w:t>
      </w:r>
      <w:r w:rsidRPr="0062350D">
        <w:t>substantive</w:t>
      </w:r>
      <w:r w:rsidR="0062350D">
        <w:t xml:space="preserve"> </w:t>
      </w:r>
      <w:r w:rsidRPr="0062350D">
        <w:t>provisions</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are</w:t>
      </w:r>
      <w:r w:rsidR="0062350D">
        <w:t xml:space="preserve"> </w:t>
      </w:r>
      <w:r w:rsidRPr="0062350D">
        <w:t>sufficiently</w:t>
      </w:r>
      <w:r w:rsidR="0062350D">
        <w:t xml:space="preserve"> </w:t>
      </w:r>
      <w:r w:rsidRPr="0062350D">
        <w:t>substantiated.</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violated</w:t>
      </w:r>
      <w:r w:rsidR="0062350D">
        <w:t xml:space="preserve"> </w:t>
      </w:r>
      <w:r w:rsidRPr="0062350D">
        <w:t>article</w:t>
      </w:r>
      <w:r w:rsidR="0062350D">
        <w:t xml:space="preserve"> </w:t>
      </w:r>
      <w:r w:rsidRPr="0062350D">
        <w:t>2</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authors</w:t>
      </w:r>
      <w:r w:rsidR="0062350D">
        <w:t xml:space="preserve"> </w:t>
      </w:r>
      <w:r w:rsidRPr="0062350D">
        <w:t>are</w:t>
      </w:r>
      <w:r w:rsidR="0062350D">
        <w:t xml:space="preserve"> </w:t>
      </w:r>
      <w:r w:rsidRPr="0062350D">
        <w:t>still</w:t>
      </w:r>
      <w:r w:rsidR="0062350D">
        <w:t xml:space="preserve"> </w:t>
      </w:r>
      <w:r w:rsidRPr="0062350D">
        <w:t>vulnerable</w:t>
      </w:r>
      <w:r w:rsidR="0062350D">
        <w:t xml:space="preserve"> </w:t>
      </w:r>
      <w:r w:rsidRPr="0062350D">
        <w:t>and</w:t>
      </w:r>
      <w:r w:rsidR="0062350D">
        <w:t xml:space="preserve"> </w:t>
      </w:r>
      <w:r w:rsidRPr="0062350D">
        <w:t>require</w:t>
      </w:r>
      <w:r w:rsidR="0062350D">
        <w:t xml:space="preserve"> </w:t>
      </w:r>
      <w:r w:rsidRPr="0062350D">
        <w:t>protection</w:t>
      </w:r>
      <w:r w:rsidR="0062350D">
        <w:t xml:space="preserve"> </w:t>
      </w:r>
      <w:r w:rsidRPr="0062350D">
        <w:t>from</w:t>
      </w:r>
      <w:r w:rsidR="0062350D">
        <w:t xml:space="preserve"> </w:t>
      </w:r>
      <w:r w:rsidRPr="0062350D">
        <w:t>possible</w:t>
      </w:r>
      <w:r w:rsidR="0062350D">
        <w:t xml:space="preserve"> </w:t>
      </w:r>
      <w:r w:rsidRPr="0062350D">
        <w:t>transfer</w:t>
      </w:r>
      <w:r w:rsidR="0062350D">
        <w:t xml:space="preserve"> </w:t>
      </w:r>
      <w:r w:rsidRPr="0062350D">
        <w:t>to</w:t>
      </w:r>
      <w:r w:rsidR="0062350D">
        <w:t xml:space="preserve"> </w:t>
      </w:r>
      <w:r w:rsidRPr="0062350D">
        <w:t>a</w:t>
      </w:r>
      <w:r w:rsidR="0062350D">
        <w:t xml:space="preserve"> </w:t>
      </w:r>
      <w:r w:rsidRPr="0062350D">
        <w:t>regional</w:t>
      </w:r>
      <w:r w:rsidR="0062350D">
        <w:t xml:space="preserve"> </w:t>
      </w:r>
      <w:r w:rsidRPr="0062350D">
        <w:t>processing</w:t>
      </w:r>
      <w:r w:rsidR="0062350D">
        <w:t xml:space="preserve"> </w:t>
      </w:r>
      <w:r w:rsidRPr="0062350D">
        <w:t>centre.</w:t>
      </w:r>
    </w:p>
    <w:p w14:paraId="575E2201" w14:textId="57351684" w:rsidR="0062350D" w:rsidRPr="0062350D" w:rsidRDefault="007F12C3" w:rsidP="005D6A3F">
      <w:pPr>
        <w:pStyle w:val="SingleTxtG"/>
      </w:pPr>
      <w:r w:rsidRPr="0062350D">
        <w:t>5.8</w:t>
      </w:r>
      <w:r w:rsidRPr="0062350D">
        <w:tab/>
        <w:t>Finally,</w:t>
      </w:r>
      <w:r w:rsidR="0062350D">
        <w:t xml:space="preserve"> </w:t>
      </w:r>
      <w:r w:rsidRPr="0062350D">
        <w:t>the</w:t>
      </w:r>
      <w:r w:rsidR="0062350D">
        <w:t xml:space="preserve"> </w:t>
      </w:r>
      <w:r w:rsidRPr="0062350D">
        <w:t>authors</w:t>
      </w:r>
      <w:r w:rsidR="0062350D">
        <w:t xml:space="preserve"> </w:t>
      </w:r>
      <w:r w:rsidRPr="0062350D">
        <w:t>provided</w:t>
      </w:r>
      <w:r w:rsidR="0062350D">
        <w:t xml:space="preserve"> </w:t>
      </w:r>
      <w:r w:rsidRPr="0062350D">
        <w:t>medical</w:t>
      </w:r>
      <w:r w:rsidR="0062350D">
        <w:t xml:space="preserve"> </w:t>
      </w:r>
      <w:r w:rsidRPr="0062350D">
        <w:t>documents,</w:t>
      </w:r>
      <w:r w:rsidR="0062350D">
        <w:t xml:space="preserve"> </w:t>
      </w:r>
      <w:r w:rsidRPr="0062350D">
        <w:t>personal</w:t>
      </w:r>
      <w:r w:rsidR="0062350D">
        <w:t xml:space="preserve"> </w:t>
      </w:r>
      <w:r w:rsidRPr="0062350D">
        <w:t>statements</w:t>
      </w:r>
      <w:r w:rsidR="0062350D">
        <w:t xml:space="preserve"> </w:t>
      </w:r>
      <w:r w:rsidRPr="0062350D">
        <w:t>and</w:t>
      </w:r>
      <w:r w:rsidR="0062350D">
        <w:t xml:space="preserve"> </w:t>
      </w:r>
      <w:r w:rsidRPr="0062350D">
        <w:t>other</w:t>
      </w:r>
      <w:r w:rsidR="0062350D">
        <w:t xml:space="preserve"> </w:t>
      </w:r>
      <w:r w:rsidRPr="0062350D">
        <w:t>information.</w:t>
      </w:r>
    </w:p>
    <w:p w14:paraId="1FD7D21D" w14:textId="5ACBFE9F" w:rsidR="007F12C3" w:rsidRPr="0062350D" w:rsidRDefault="0062350D" w:rsidP="0062350D">
      <w:pPr>
        <w:pStyle w:val="H23G"/>
      </w:pPr>
      <w:r w:rsidRPr="0062350D">
        <w:tab/>
      </w:r>
      <w:r w:rsidRPr="0062350D">
        <w:tab/>
      </w:r>
      <w:r w:rsidR="007F12C3" w:rsidRPr="0062350D">
        <w:t>State</w:t>
      </w:r>
      <w:r>
        <w:t xml:space="preserve"> </w:t>
      </w:r>
      <w:r w:rsidR="007F12C3" w:rsidRPr="0062350D">
        <w:t>party</w:t>
      </w:r>
      <w:r w:rsidRPr="0062350D">
        <w:t>’</w:t>
      </w:r>
      <w:r w:rsidR="007F12C3" w:rsidRPr="0062350D">
        <w:t>s</w:t>
      </w:r>
      <w:r>
        <w:t xml:space="preserve"> </w:t>
      </w:r>
      <w:r w:rsidR="007F12C3" w:rsidRPr="0062350D">
        <w:t>additional</w:t>
      </w:r>
      <w:r>
        <w:t xml:space="preserve"> </w:t>
      </w:r>
      <w:r w:rsidR="007F12C3" w:rsidRPr="0062350D">
        <w:t>comments</w:t>
      </w:r>
    </w:p>
    <w:p w14:paraId="53EFC1A1" w14:textId="72169F37" w:rsidR="0062350D" w:rsidRPr="0062350D" w:rsidRDefault="007F12C3" w:rsidP="00380E99">
      <w:pPr>
        <w:pStyle w:val="SingleTxtG"/>
      </w:pPr>
      <w:r w:rsidRPr="0062350D">
        <w:t>6.1</w:t>
      </w:r>
      <w:r w:rsidRPr="0062350D">
        <w:tab/>
        <w:t>In</w:t>
      </w:r>
      <w:r w:rsidR="0062350D">
        <w:t xml:space="preserve"> </w:t>
      </w:r>
      <w:r w:rsidRPr="0062350D">
        <w:t>a</w:t>
      </w:r>
      <w:r w:rsidR="0062350D">
        <w:t xml:space="preserve"> </w:t>
      </w:r>
      <w:r w:rsidRPr="0062350D">
        <w:t>note</w:t>
      </w:r>
      <w:r w:rsidR="0062350D">
        <w:t xml:space="preserve"> </w:t>
      </w:r>
      <w:r w:rsidRPr="0062350D">
        <w:t>verbale</w:t>
      </w:r>
      <w:r w:rsidR="0062350D">
        <w:t xml:space="preserve"> </w:t>
      </w:r>
      <w:r w:rsidRPr="0062350D">
        <w:t>dated</w:t>
      </w:r>
      <w:r w:rsidR="0062350D">
        <w:t xml:space="preserve"> </w:t>
      </w:r>
      <w:r w:rsidRPr="0062350D">
        <w:t>31</w:t>
      </w:r>
      <w:r w:rsidR="0062350D">
        <w:t xml:space="preserve"> </w:t>
      </w:r>
      <w:r w:rsidRPr="0062350D">
        <w:t>July</w:t>
      </w:r>
      <w:r w:rsidR="0062350D">
        <w:t xml:space="preserve"> </w:t>
      </w:r>
      <w:r w:rsidRPr="0062350D">
        <w:t>2019,</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submitted</w:t>
      </w:r>
      <w:r w:rsidR="0062350D">
        <w:t xml:space="preserve"> </w:t>
      </w:r>
      <w:r w:rsidRPr="0062350D">
        <w:t>additional</w:t>
      </w:r>
      <w:r w:rsidR="0062350D">
        <w:t xml:space="preserve"> </w:t>
      </w:r>
      <w:r w:rsidRPr="0062350D">
        <w:t>information</w:t>
      </w:r>
      <w:r w:rsidR="0062350D">
        <w:t xml:space="preserve"> </w:t>
      </w:r>
      <w:r w:rsidRPr="0062350D">
        <w:t>to</w:t>
      </w:r>
      <w:r w:rsidR="0062350D">
        <w:t xml:space="preserve"> </w:t>
      </w:r>
      <w:r w:rsidRPr="0062350D">
        <w:t>the</w:t>
      </w:r>
      <w:r w:rsidR="0062350D">
        <w:t xml:space="preserve"> </w:t>
      </w:r>
      <w:r w:rsidRPr="0062350D">
        <w:t>Committee.</w:t>
      </w:r>
      <w:r w:rsidR="0062350D">
        <w:t xml:space="preserve"> </w:t>
      </w:r>
      <w:r w:rsidRPr="0062350D">
        <w:t>It</w:t>
      </w:r>
      <w:r w:rsidR="0062350D">
        <w:t xml:space="preserve"> </w:t>
      </w:r>
      <w:r w:rsidRPr="0062350D">
        <w:t>submits</w:t>
      </w:r>
      <w:r w:rsidR="0062350D">
        <w:t xml:space="preserve"> </w:t>
      </w:r>
      <w:r w:rsidRPr="0062350D">
        <w:t>that</w:t>
      </w:r>
      <w:r w:rsidR="0062350D">
        <w:t xml:space="preserve"> </w:t>
      </w:r>
      <w:r w:rsidRPr="0062350D">
        <w:t>the</w:t>
      </w:r>
      <w:r w:rsidR="0062350D">
        <w:t xml:space="preserve"> </w:t>
      </w:r>
      <w:r w:rsidRPr="0062350D">
        <w:t>comments</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of</w:t>
      </w:r>
      <w:r w:rsidR="0062350D">
        <w:t xml:space="preserve"> </w:t>
      </w:r>
      <w:r w:rsidRPr="0062350D">
        <w:rPr>
          <w:spacing w:val="4"/>
          <w:w w:val="103"/>
          <w:kern w:val="14"/>
        </w:rPr>
        <w:t>25</w:t>
      </w:r>
      <w:r w:rsidR="0062350D">
        <w:rPr>
          <w:spacing w:val="4"/>
          <w:w w:val="103"/>
          <w:kern w:val="14"/>
        </w:rPr>
        <w:t xml:space="preserve"> </w:t>
      </w:r>
      <w:r w:rsidRPr="0062350D">
        <w:rPr>
          <w:spacing w:val="4"/>
          <w:w w:val="103"/>
          <w:kern w:val="14"/>
        </w:rPr>
        <w:t>October</w:t>
      </w:r>
      <w:r w:rsidR="0062350D">
        <w:rPr>
          <w:spacing w:val="4"/>
          <w:w w:val="103"/>
          <w:kern w:val="14"/>
        </w:rPr>
        <w:t xml:space="preserve"> </w:t>
      </w:r>
      <w:r w:rsidRPr="0062350D">
        <w:rPr>
          <w:spacing w:val="4"/>
          <w:w w:val="103"/>
          <w:kern w:val="14"/>
        </w:rPr>
        <w:t>2016</w:t>
      </w:r>
      <w:r w:rsidR="0062350D">
        <w:rPr>
          <w:spacing w:val="4"/>
          <w:w w:val="103"/>
          <w:kern w:val="14"/>
        </w:rPr>
        <w:t xml:space="preserve"> </w:t>
      </w:r>
      <w:r w:rsidRPr="0062350D">
        <w:t>have</w:t>
      </w:r>
      <w:r w:rsidR="0062350D">
        <w:t xml:space="preserve"> </w:t>
      </w:r>
      <w:r w:rsidRPr="0062350D">
        <w:t>not</w:t>
      </w:r>
      <w:r w:rsidR="0062350D">
        <w:t xml:space="preserve"> </w:t>
      </w:r>
      <w:r w:rsidRPr="0062350D">
        <w:t>provided</w:t>
      </w:r>
      <w:r w:rsidR="0062350D">
        <w:t xml:space="preserve"> </w:t>
      </w:r>
      <w:r w:rsidRPr="0062350D">
        <w:t>information</w:t>
      </w:r>
      <w:r w:rsidR="0062350D">
        <w:t xml:space="preserve"> </w:t>
      </w:r>
      <w:r w:rsidRPr="0062350D">
        <w:t>to</w:t>
      </w:r>
      <w:r w:rsidR="0062350D">
        <w:t xml:space="preserve"> </w:t>
      </w:r>
      <w:r w:rsidRPr="0062350D">
        <w:t>substantiate</w:t>
      </w:r>
      <w:r w:rsidR="0062350D">
        <w:t xml:space="preserve"> </w:t>
      </w:r>
      <w:r w:rsidRPr="0062350D">
        <w:t>their</w:t>
      </w:r>
      <w:r w:rsidR="0062350D">
        <w:t xml:space="preserve"> </w:t>
      </w:r>
      <w:r w:rsidRPr="0062350D">
        <w:t>claims.</w:t>
      </w:r>
      <w:r w:rsidR="0062350D">
        <w:t xml:space="preserve"> </w:t>
      </w:r>
      <w:r w:rsidRPr="0062350D">
        <w:t>The</w:t>
      </w:r>
      <w:r w:rsidR="0062350D">
        <w:t xml:space="preserve"> </w:t>
      </w:r>
      <w:r w:rsidRPr="0062350D">
        <w:t>authors</w:t>
      </w:r>
      <w:r w:rsidR="0062350D">
        <w:t xml:space="preserve"> </w:t>
      </w:r>
      <w:r w:rsidRPr="0062350D">
        <w:t>rely</w:t>
      </w:r>
      <w:r w:rsidR="0062350D">
        <w:t xml:space="preserve"> </w:t>
      </w:r>
      <w:r w:rsidRPr="0062350D">
        <w:t>on</w:t>
      </w:r>
      <w:r w:rsidR="0062350D">
        <w:t xml:space="preserve"> </w:t>
      </w:r>
      <w:r w:rsidRPr="0062350D">
        <w:t>vague</w:t>
      </w:r>
      <w:r w:rsidR="0062350D">
        <w:t xml:space="preserve"> </w:t>
      </w:r>
      <w:r w:rsidRPr="0062350D">
        <w:t>and</w:t>
      </w:r>
      <w:r w:rsidR="0062350D">
        <w:t xml:space="preserve"> </w:t>
      </w:r>
      <w:r w:rsidRPr="0062350D">
        <w:t>generalized</w:t>
      </w:r>
      <w:r w:rsidR="0062350D">
        <w:t xml:space="preserve"> </w:t>
      </w:r>
      <w:r w:rsidRPr="0062350D">
        <w:t>assertions,</w:t>
      </w:r>
      <w:r w:rsidR="0062350D">
        <w:t xml:space="preserve"> </w:t>
      </w:r>
      <w:r w:rsidRPr="0062350D">
        <w:t>without</w:t>
      </w:r>
      <w:r w:rsidR="0062350D">
        <w:t xml:space="preserve"> </w:t>
      </w:r>
      <w:r w:rsidRPr="0062350D">
        <w:t>any</w:t>
      </w:r>
      <w:r w:rsidR="0062350D">
        <w:t xml:space="preserve"> </w:t>
      </w:r>
      <w:r w:rsidRPr="0062350D">
        <w:t>reference</w:t>
      </w:r>
      <w:r w:rsidR="0062350D">
        <w:t xml:space="preserve"> </w:t>
      </w:r>
      <w:r w:rsidRPr="0062350D">
        <w:t>to</w:t>
      </w:r>
      <w:r w:rsidR="0062350D">
        <w:t xml:space="preserve"> </w:t>
      </w:r>
      <w:r w:rsidRPr="0062350D">
        <w:t>specific</w:t>
      </w:r>
      <w:r w:rsidR="0062350D">
        <w:t xml:space="preserve"> </w:t>
      </w:r>
      <w:r w:rsidRPr="0062350D">
        <w:t>facts</w:t>
      </w:r>
      <w:r w:rsidR="0062350D">
        <w:t xml:space="preserve"> </w:t>
      </w:r>
      <w:r w:rsidRPr="0062350D">
        <w:t>and</w:t>
      </w:r>
      <w:r w:rsidR="0062350D">
        <w:t xml:space="preserve"> </w:t>
      </w:r>
      <w:r w:rsidRPr="0062350D">
        <w:t>circumstances.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therefore</w:t>
      </w:r>
      <w:r w:rsidR="0062350D">
        <w:t xml:space="preserve"> </w:t>
      </w:r>
      <w:r w:rsidRPr="0062350D">
        <w:t>reiterates</w:t>
      </w:r>
      <w:r w:rsidR="0062350D">
        <w:t xml:space="preserve"> </w:t>
      </w:r>
      <w:r w:rsidRPr="0062350D">
        <w:t>the</w:t>
      </w:r>
      <w:r w:rsidR="0062350D">
        <w:t xml:space="preserve"> </w:t>
      </w:r>
      <w:r w:rsidRPr="0062350D">
        <w:t>general</w:t>
      </w:r>
      <w:r w:rsidR="0062350D">
        <w:t xml:space="preserve"> </w:t>
      </w:r>
      <w:r w:rsidRPr="0062350D">
        <w:t>positions</w:t>
      </w:r>
      <w:r w:rsidR="0062350D">
        <w:t xml:space="preserve"> </w:t>
      </w:r>
      <w:r w:rsidRPr="0062350D">
        <w:t>expressed</w:t>
      </w:r>
      <w:r w:rsidR="0062350D">
        <w:t xml:space="preserve"> </w:t>
      </w:r>
      <w:r w:rsidRPr="0062350D">
        <w:t>in</w:t>
      </w:r>
      <w:r w:rsidR="0062350D">
        <w:t xml:space="preserve"> </w:t>
      </w:r>
      <w:r w:rsidRPr="0062350D">
        <w:t>its</w:t>
      </w:r>
      <w:r w:rsidR="0062350D">
        <w:t xml:space="preserve"> </w:t>
      </w:r>
      <w:r w:rsidRPr="0062350D">
        <w:t>observations</w:t>
      </w:r>
      <w:r w:rsidR="0062350D">
        <w:t xml:space="preserve"> </w:t>
      </w:r>
      <w:r w:rsidRPr="0062350D">
        <w:t>of</w:t>
      </w:r>
      <w:r w:rsidR="0062350D">
        <w:t xml:space="preserve"> </w:t>
      </w:r>
      <w:r w:rsidRPr="0062350D">
        <w:t>22</w:t>
      </w:r>
      <w:r w:rsidR="0062350D">
        <w:t xml:space="preserve"> </w:t>
      </w:r>
      <w:r w:rsidRPr="0062350D">
        <w:t>June</w:t>
      </w:r>
      <w:r w:rsidR="0062350D">
        <w:t xml:space="preserve"> </w:t>
      </w:r>
      <w:r w:rsidRPr="0062350D">
        <w:t>2016.</w:t>
      </w:r>
      <w:r w:rsidR="0062350D">
        <w:t xml:space="preserve"> </w:t>
      </w:r>
      <w:r w:rsidRPr="0062350D">
        <w:t>Furthermore,</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provided</w:t>
      </w:r>
      <w:r w:rsidR="0062350D">
        <w:t xml:space="preserve"> </w:t>
      </w:r>
      <w:r w:rsidRPr="0062350D">
        <w:t>an</w:t>
      </w:r>
      <w:r w:rsidR="0062350D">
        <w:t xml:space="preserve"> </w:t>
      </w:r>
      <w:r w:rsidRPr="0062350D">
        <w:t>update</w:t>
      </w:r>
      <w:r w:rsidR="0062350D">
        <w:t xml:space="preserve"> </w:t>
      </w:r>
      <w:r w:rsidRPr="0062350D">
        <w:t>on</w:t>
      </w:r>
      <w:r w:rsidR="0062350D">
        <w:t xml:space="preserve"> </w:t>
      </w:r>
      <w:r w:rsidRPr="0062350D">
        <w:t>the</w:t>
      </w:r>
      <w:r w:rsidR="0062350D">
        <w:t xml:space="preserve"> </w:t>
      </w:r>
      <w:r w:rsidRPr="0062350D">
        <w:t>authors</w:t>
      </w:r>
      <w:r w:rsidR="0062350D" w:rsidRPr="0062350D">
        <w:t>’</w:t>
      </w:r>
      <w:r w:rsidR="0062350D">
        <w:t xml:space="preserve"> </w:t>
      </w:r>
      <w:r w:rsidRPr="0062350D">
        <w:t>legal</w:t>
      </w:r>
      <w:r w:rsidR="0062350D">
        <w:t xml:space="preserve"> </w:t>
      </w:r>
      <w:r w:rsidRPr="0062350D">
        <w:t>status.</w:t>
      </w:r>
      <w:r w:rsidR="0062350D">
        <w:t xml:space="preserve"> </w:t>
      </w:r>
      <w:r w:rsidRPr="0062350D">
        <w:t>This</w:t>
      </w:r>
      <w:r w:rsidR="0062350D">
        <w:t xml:space="preserve"> </w:t>
      </w:r>
      <w:r w:rsidRPr="0062350D">
        <w:t>information</w:t>
      </w:r>
      <w:r w:rsidR="0062350D">
        <w:t xml:space="preserve"> </w:t>
      </w:r>
      <w:r w:rsidRPr="0062350D">
        <w:t>has</w:t>
      </w:r>
      <w:r w:rsidR="0062350D">
        <w:t xml:space="preserve"> </w:t>
      </w:r>
      <w:r w:rsidRPr="0062350D">
        <w:t>been</w:t>
      </w:r>
      <w:r w:rsidR="0062350D">
        <w:t xml:space="preserve"> </w:t>
      </w:r>
      <w:r w:rsidRPr="0062350D">
        <w:t>included</w:t>
      </w:r>
      <w:r w:rsidR="0062350D">
        <w:t xml:space="preserve"> </w:t>
      </w:r>
      <w:r w:rsidRPr="0062350D">
        <w:t>as</w:t>
      </w:r>
      <w:r w:rsidR="0062350D">
        <w:t xml:space="preserve"> </w:t>
      </w:r>
      <w:r w:rsidRPr="0062350D">
        <w:t>part</w:t>
      </w:r>
      <w:r w:rsidR="0062350D">
        <w:t xml:space="preserve"> </w:t>
      </w:r>
      <w:r w:rsidRPr="0062350D">
        <w:t>of</w:t>
      </w:r>
      <w:r w:rsidR="0062350D">
        <w:t xml:space="preserve"> </w:t>
      </w:r>
      <w:r w:rsidRPr="0062350D">
        <w:t>the</w:t>
      </w:r>
      <w:r w:rsidR="0062350D">
        <w:t xml:space="preserve"> </w:t>
      </w:r>
      <w:r w:rsidRPr="0062350D">
        <w:t>factual</w:t>
      </w:r>
      <w:r w:rsidR="0062350D">
        <w:t xml:space="preserve"> </w:t>
      </w:r>
      <w:r w:rsidRPr="0062350D">
        <w:t>background</w:t>
      </w:r>
      <w:r w:rsidR="0062350D">
        <w:t xml:space="preserve"> </w:t>
      </w:r>
      <w:r w:rsidRPr="0062350D">
        <w:t>information</w:t>
      </w:r>
      <w:r w:rsidR="0062350D">
        <w:t xml:space="preserve"> </w:t>
      </w:r>
      <w:r w:rsidRPr="0062350D">
        <w:t>of</w:t>
      </w:r>
      <w:r w:rsidR="0062350D">
        <w:t xml:space="preserve"> </w:t>
      </w:r>
      <w:r w:rsidRPr="0062350D">
        <w:t>the</w:t>
      </w:r>
      <w:r w:rsidR="0062350D">
        <w:t xml:space="preserve"> </w:t>
      </w:r>
      <w:r w:rsidRPr="0062350D">
        <w:t>present</w:t>
      </w:r>
      <w:r w:rsidR="0062350D">
        <w:t xml:space="preserve"> </w:t>
      </w:r>
      <w:r w:rsidRPr="0062350D">
        <w:t>Views.</w:t>
      </w:r>
    </w:p>
    <w:p w14:paraId="7D08BCCF" w14:textId="63485939" w:rsidR="007F12C3" w:rsidRPr="0062350D" w:rsidRDefault="007F12C3" w:rsidP="00380E99">
      <w:pPr>
        <w:pStyle w:val="SingleTxtG"/>
      </w:pPr>
      <w:r w:rsidRPr="0062350D">
        <w:t>6.2</w:t>
      </w:r>
      <w:r w:rsidRPr="0062350D">
        <w:tab/>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six</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been</w:t>
      </w:r>
      <w:r w:rsidR="0062350D">
        <w:t xml:space="preserve"> </w:t>
      </w:r>
      <w:r w:rsidRPr="0062350D">
        <w:t>granted</w:t>
      </w:r>
      <w:r w:rsidR="0062350D">
        <w:t xml:space="preserve"> </w:t>
      </w:r>
      <w:r w:rsidRPr="0062350D">
        <w:t>Safe</w:t>
      </w:r>
      <w:r w:rsidR="0062350D">
        <w:t xml:space="preserve"> </w:t>
      </w:r>
      <w:r w:rsidRPr="0062350D">
        <w:t>Haven</w:t>
      </w:r>
      <w:r w:rsidR="0062350D">
        <w:t xml:space="preserve"> </w:t>
      </w:r>
      <w:r w:rsidRPr="0062350D">
        <w:t>Enterprise</w:t>
      </w:r>
      <w:r w:rsidR="0062350D">
        <w:t xml:space="preserve"> </w:t>
      </w:r>
      <w:r w:rsidRPr="0062350D">
        <w:t>visas</w:t>
      </w:r>
      <w:r w:rsidR="0062350D">
        <w:t xml:space="preserve"> </w:t>
      </w:r>
      <w:r w:rsidRPr="0062350D">
        <w:t>and</w:t>
      </w:r>
      <w:r w:rsidR="0062350D">
        <w:t xml:space="preserve"> </w:t>
      </w:r>
      <w:r w:rsidRPr="0062350D">
        <w:t>that</w:t>
      </w:r>
      <w:r w:rsidR="0062350D">
        <w:t xml:space="preserve"> </w:t>
      </w:r>
      <w:r w:rsidRPr="0062350D">
        <w:t>four</w:t>
      </w:r>
      <w:r w:rsidR="0062350D">
        <w:t xml:space="preserve"> </w:t>
      </w:r>
      <w:r w:rsidRPr="0062350D">
        <w:t>of</w:t>
      </w:r>
      <w:r w:rsidR="0062350D">
        <w:t xml:space="preserve"> </w:t>
      </w:r>
      <w:r w:rsidRPr="0062350D">
        <w:t>them</w:t>
      </w:r>
      <w:r w:rsidR="0062350D">
        <w:t xml:space="preserve"> </w:t>
      </w:r>
      <w:r w:rsidRPr="0062350D">
        <w:t>hold</w:t>
      </w:r>
      <w:r w:rsidR="0062350D">
        <w:t xml:space="preserve"> </w:t>
      </w:r>
      <w:r w:rsidRPr="0062350D">
        <w:t>Bridging</w:t>
      </w:r>
      <w:r w:rsidR="0062350D">
        <w:t xml:space="preserve"> </w:t>
      </w:r>
      <w:r w:rsidRPr="0062350D">
        <w:t>visas.</w:t>
      </w:r>
      <w:r w:rsidR="0062350D">
        <w:t xml:space="preserve"> </w:t>
      </w:r>
      <w:r w:rsidRPr="0062350D">
        <w:t>One</w:t>
      </w:r>
      <w:r w:rsidR="0062350D">
        <w:t xml:space="preserve"> </w:t>
      </w:r>
      <w:r w:rsidRPr="0062350D">
        <w:t>author</w:t>
      </w:r>
      <w:r w:rsidR="0062350D">
        <w:t xml:space="preserve"> </w:t>
      </w:r>
      <w:r w:rsidRPr="0062350D">
        <w:t>has</w:t>
      </w:r>
      <w:r w:rsidR="0062350D">
        <w:t xml:space="preserve"> </w:t>
      </w:r>
      <w:r w:rsidRPr="0062350D">
        <w:t>voluntarily</w:t>
      </w:r>
      <w:r w:rsidR="0062350D">
        <w:t xml:space="preserve"> </w:t>
      </w:r>
      <w:r w:rsidRPr="0062350D">
        <w:t>returned</w:t>
      </w:r>
      <w:r w:rsidR="0062350D">
        <w:t xml:space="preserve"> </w:t>
      </w:r>
      <w:r w:rsidRPr="0062350D">
        <w:t>to</w:t>
      </w:r>
      <w:r w:rsidR="0062350D">
        <w:t xml:space="preserve"> </w:t>
      </w:r>
      <w:r w:rsidRPr="0062350D">
        <w:t>Afghanistan.</w:t>
      </w:r>
      <w:r w:rsidR="0062350D">
        <w:t xml:space="preserve"> </w:t>
      </w:r>
      <w:r w:rsidRPr="0062350D">
        <w:t>There</w:t>
      </w:r>
      <w:r w:rsidR="0062350D">
        <w:t xml:space="preserve"> </w:t>
      </w:r>
      <w:r w:rsidRPr="0062350D">
        <w:t>are</w:t>
      </w:r>
      <w:r w:rsidR="0062350D">
        <w:t xml:space="preserve"> </w:t>
      </w:r>
      <w:r w:rsidRPr="0062350D">
        <w:t>no</w:t>
      </w:r>
      <w:r w:rsidR="0062350D">
        <w:t xml:space="preserve"> </w:t>
      </w:r>
      <w:r w:rsidRPr="0062350D">
        <w:t>plans</w:t>
      </w:r>
      <w:r w:rsidR="0062350D">
        <w:t xml:space="preserve"> </w:t>
      </w:r>
      <w:r w:rsidRPr="0062350D">
        <w:t>to</w:t>
      </w:r>
      <w:r w:rsidR="0062350D">
        <w:t xml:space="preserve"> </w:t>
      </w:r>
      <w:r w:rsidRPr="0062350D">
        <w:t>transfer</w:t>
      </w:r>
      <w:r w:rsidR="0062350D">
        <w:t xml:space="preserve"> </w:t>
      </w:r>
      <w:r w:rsidRPr="0062350D">
        <w:t>any</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to</w:t>
      </w:r>
      <w:r w:rsidR="0062350D">
        <w:t xml:space="preserve"> </w:t>
      </w:r>
      <w:r w:rsidRPr="0062350D">
        <w:t>a</w:t>
      </w:r>
      <w:r w:rsidR="0062350D">
        <w:t xml:space="preserve"> </w:t>
      </w:r>
      <w:r w:rsidRPr="0062350D">
        <w:t>regional</w:t>
      </w:r>
      <w:r w:rsidR="0062350D">
        <w:t xml:space="preserve"> </w:t>
      </w:r>
      <w:r w:rsidRPr="0062350D">
        <w:t>processing</w:t>
      </w:r>
      <w:r w:rsidR="0062350D">
        <w:t xml:space="preserve"> </w:t>
      </w:r>
      <w:r w:rsidRPr="0062350D">
        <w:t>centre.</w:t>
      </w:r>
    </w:p>
    <w:p w14:paraId="5DC9F2E4" w14:textId="5C6738A8" w:rsidR="0062350D" w:rsidRPr="0062350D" w:rsidRDefault="007F12C3" w:rsidP="00380E99">
      <w:pPr>
        <w:pStyle w:val="SingleTxtG"/>
      </w:pPr>
      <w:r w:rsidRPr="0062350D">
        <w:t>6.3</w:t>
      </w:r>
      <w:r w:rsidRPr="0062350D">
        <w:tab/>
        <w:t>The</w:t>
      </w:r>
      <w:r w:rsidR="0062350D">
        <w:t xml:space="preserve"> </w:t>
      </w:r>
      <w:r w:rsidRPr="0062350D">
        <w:t>State</w:t>
      </w:r>
      <w:r w:rsidR="0062350D">
        <w:t xml:space="preserve"> </w:t>
      </w:r>
      <w:r w:rsidRPr="0062350D">
        <w:t>party</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indicated</w:t>
      </w:r>
      <w:r w:rsidR="0062350D">
        <w:t xml:space="preserve"> </w:t>
      </w:r>
      <w:r w:rsidRPr="0062350D">
        <w:t>that</w:t>
      </w:r>
      <w:r w:rsidR="0062350D">
        <w:t xml:space="preserve"> </w:t>
      </w:r>
      <w:r w:rsidRPr="0062350D">
        <w:t>facilities</w:t>
      </w:r>
      <w:r w:rsidR="0062350D">
        <w:t xml:space="preserve"> </w:t>
      </w:r>
      <w:r w:rsidRPr="0062350D">
        <w:t>available</w:t>
      </w:r>
      <w:r w:rsidR="0062350D">
        <w:t xml:space="preserve"> </w:t>
      </w:r>
      <w:r w:rsidRPr="0062350D">
        <w:t>on</w:t>
      </w:r>
      <w:r w:rsidR="0062350D">
        <w:t xml:space="preserve"> </w:t>
      </w:r>
      <w:r w:rsidRPr="0062350D">
        <w:t>the</w:t>
      </w:r>
      <w:r w:rsidR="0062350D">
        <w:t xml:space="preserve"> </w:t>
      </w:r>
      <w:r w:rsidRPr="0062350D">
        <w:t>Christmas</w:t>
      </w:r>
      <w:r w:rsidR="0062350D">
        <w:t xml:space="preserve"> </w:t>
      </w:r>
      <w:r w:rsidRPr="0062350D">
        <w:t>Island</w:t>
      </w:r>
      <w:r w:rsidR="0062350D">
        <w:t xml:space="preserve"> </w:t>
      </w:r>
      <w:r w:rsidRPr="0062350D">
        <w:t>were</w:t>
      </w:r>
      <w:r w:rsidR="0062350D">
        <w:t xml:space="preserve"> </w:t>
      </w:r>
      <w:r w:rsidRPr="0062350D">
        <w:t>inadequate</w:t>
      </w:r>
      <w:r w:rsidR="0062350D">
        <w:t xml:space="preserve"> </w:t>
      </w:r>
      <w:r w:rsidRPr="0062350D">
        <w:t>and</w:t>
      </w:r>
      <w:r w:rsidR="0062350D">
        <w:t xml:space="preserve"> </w:t>
      </w:r>
      <w:r w:rsidRPr="0062350D">
        <w:t>the</w:t>
      </w:r>
      <w:r w:rsidR="0062350D">
        <w:t xml:space="preserve"> </w:t>
      </w:r>
      <w:r w:rsidRPr="0062350D">
        <w:t>conditions</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were</w:t>
      </w:r>
      <w:r w:rsidR="0062350D">
        <w:t xml:space="preserve"> </w:t>
      </w:r>
      <w:r w:rsidRPr="0062350D">
        <w:t>not</w:t>
      </w:r>
      <w:r w:rsidR="0062350D">
        <w:t xml:space="preserve"> </w:t>
      </w:r>
      <w:r w:rsidRPr="0062350D">
        <w:t>properly</w:t>
      </w:r>
      <w:r w:rsidR="0062350D">
        <w:t xml:space="preserve"> </w:t>
      </w:r>
      <w:r w:rsidRPr="0062350D">
        <w:t>assessed.</w:t>
      </w:r>
      <w:r w:rsidR="0062350D">
        <w:t xml:space="preserve"> </w:t>
      </w:r>
      <w:r w:rsidRPr="0062350D">
        <w:t>However,</w:t>
      </w:r>
      <w:r w:rsidR="0062350D">
        <w:t xml:space="preserve"> </w:t>
      </w:r>
      <w:r w:rsidRPr="0062350D">
        <w:t>they</w:t>
      </w:r>
      <w:r w:rsidR="0062350D">
        <w:t xml:space="preserve"> </w:t>
      </w:r>
      <w:r w:rsidRPr="0062350D">
        <w:t>did</w:t>
      </w:r>
      <w:r w:rsidR="0062350D">
        <w:t xml:space="preserve"> </w:t>
      </w:r>
      <w:r w:rsidRPr="0062350D">
        <w:t>not</w:t>
      </w:r>
      <w:r w:rsidR="0062350D">
        <w:t xml:space="preserve"> </w:t>
      </w:r>
      <w:r w:rsidRPr="0062350D">
        <w:t>provide</w:t>
      </w:r>
      <w:r w:rsidR="0062350D">
        <w:t xml:space="preserve"> </w:t>
      </w:r>
      <w:r w:rsidRPr="0062350D">
        <w:t>any</w:t>
      </w:r>
      <w:r w:rsidR="0062350D">
        <w:t xml:space="preserve"> </w:t>
      </w:r>
      <w:r w:rsidRPr="0062350D">
        <w:t>specific</w:t>
      </w:r>
      <w:r w:rsidR="0062350D">
        <w:t xml:space="preserve"> </w:t>
      </w:r>
      <w:r w:rsidRPr="0062350D">
        <w:t>facts</w:t>
      </w:r>
      <w:r w:rsidR="0062350D">
        <w:t xml:space="preserve"> </w:t>
      </w:r>
      <w:r w:rsidRPr="0062350D">
        <w:t>and</w:t>
      </w:r>
      <w:r w:rsidR="0062350D">
        <w:t xml:space="preserve"> </w:t>
      </w:r>
      <w:r w:rsidRPr="0062350D">
        <w:t>evidence</w:t>
      </w:r>
      <w:r w:rsidR="0062350D">
        <w:t xml:space="preserve"> </w:t>
      </w:r>
      <w:r w:rsidRPr="0062350D">
        <w:t>to</w:t>
      </w:r>
      <w:r w:rsidR="0062350D">
        <w:t xml:space="preserve"> </w:t>
      </w:r>
      <w:r w:rsidRPr="0062350D">
        <w:t>support</w:t>
      </w:r>
      <w:r w:rsidR="0062350D">
        <w:t xml:space="preserve"> </w:t>
      </w:r>
      <w:r w:rsidRPr="0062350D">
        <w:t>these</w:t>
      </w:r>
      <w:r w:rsidR="0062350D">
        <w:t xml:space="preserve"> </w:t>
      </w:r>
      <w:r w:rsidRPr="0062350D">
        <w:t>claims.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argues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tried</w:t>
      </w:r>
      <w:r w:rsidR="0062350D">
        <w:t xml:space="preserve"> </w:t>
      </w:r>
      <w:r w:rsidRPr="0062350D">
        <w:t>to</w:t>
      </w:r>
      <w:r w:rsidR="0062350D">
        <w:t xml:space="preserve"> </w:t>
      </w:r>
      <w:r w:rsidRPr="0062350D">
        <w:t>shift</w:t>
      </w:r>
      <w:r w:rsidR="0062350D">
        <w:t xml:space="preserve"> </w:t>
      </w:r>
      <w:r w:rsidRPr="0062350D">
        <w:t>the</w:t>
      </w:r>
      <w:r w:rsidR="0062350D">
        <w:t xml:space="preserve"> </w:t>
      </w:r>
      <w:r w:rsidRPr="0062350D">
        <w:t>burden</w:t>
      </w:r>
      <w:r w:rsidR="0062350D">
        <w:t xml:space="preserve"> </w:t>
      </w:r>
      <w:r w:rsidRPr="0062350D">
        <w:t>of</w:t>
      </w:r>
      <w:r w:rsidR="0062350D">
        <w:t xml:space="preserve"> </w:t>
      </w:r>
      <w:r w:rsidRPr="0062350D">
        <w:t>proof</w:t>
      </w:r>
      <w:r w:rsidR="0062350D">
        <w:t xml:space="preserve"> </w:t>
      </w:r>
      <w:r w:rsidRPr="0062350D">
        <w:t>onto</w:t>
      </w:r>
      <w:r w:rsidR="0062350D">
        <w:t xml:space="preserve"> </w:t>
      </w:r>
      <w:r w:rsidRPr="0062350D">
        <w:t>the</w:t>
      </w:r>
      <w:r w:rsidR="0062350D">
        <w:t xml:space="preserve"> </w:t>
      </w:r>
      <w:r w:rsidRPr="0062350D">
        <w:t>Government</w:t>
      </w:r>
      <w:r w:rsidR="0062350D">
        <w:t xml:space="preserve"> </w:t>
      </w:r>
      <w:r w:rsidRPr="0062350D">
        <w:t>by</w:t>
      </w:r>
      <w:r w:rsidR="0062350D">
        <w:t xml:space="preserve"> </w:t>
      </w:r>
      <w:r w:rsidRPr="0062350D">
        <w:t>requesting</w:t>
      </w:r>
      <w:r w:rsidR="0062350D">
        <w:t xml:space="preserve"> </w:t>
      </w:r>
      <w:r w:rsidRPr="0062350D">
        <w:t>it</w:t>
      </w:r>
      <w:r w:rsidR="0062350D">
        <w:t xml:space="preserve"> </w:t>
      </w:r>
      <w:r w:rsidRPr="0062350D">
        <w:t>to</w:t>
      </w:r>
      <w:r w:rsidR="0062350D">
        <w:t xml:space="preserve"> </w:t>
      </w:r>
      <w:r w:rsidRPr="0062350D">
        <w:t>disprove</w:t>
      </w:r>
      <w:r w:rsidR="0062350D">
        <w:t xml:space="preserve"> </w:t>
      </w:r>
      <w:r w:rsidRPr="0062350D">
        <w:t>unsubstantiated</w:t>
      </w:r>
      <w:r w:rsidR="0062350D">
        <w:t xml:space="preserve"> </w:t>
      </w:r>
      <w:r w:rsidRPr="0062350D">
        <w:t>assertions.</w:t>
      </w:r>
    </w:p>
    <w:p w14:paraId="41A6C9CA" w14:textId="1E37EAC5" w:rsidR="0062350D" w:rsidRPr="0062350D" w:rsidRDefault="007F12C3" w:rsidP="005D6A3F">
      <w:pPr>
        <w:pStyle w:val="SingleTxtG"/>
      </w:pPr>
      <w:r w:rsidRPr="0062350D">
        <w:t>6.4</w:t>
      </w:r>
      <w:r w:rsidRPr="0062350D">
        <w:tab/>
        <w:t>With</w:t>
      </w:r>
      <w:r w:rsidR="0062350D">
        <w:t xml:space="preserve"> </w:t>
      </w:r>
      <w:r w:rsidRPr="0062350D">
        <w:t>respect</w:t>
      </w:r>
      <w:r w:rsidR="0062350D">
        <w:t xml:space="preserve"> </w:t>
      </w:r>
      <w:r w:rsidRPr="0062350D">
        <w:t>to</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about</w:t>
      </w:r>
      <w:r w:rsidR="0062350D">
        <w:t xml:space="preserve"> </w:t>
      </w:r>
      <w:r w:rsidRPr="0062350D">
        <w:t>violations</w:t>
      </w:r>
      <w:r w:rsidR="0062350D">
        <w:t xml:space="preserve"> </w:t>
      </w:r>
      <w:r w:rsidRPr="0062350D">
        <w:t>that</w:t>
      </w:r>
      <w:r w:rsidR="0062350D">
        <w:t xml:space="preserve"> </w:t>
      </w:r>
      <w:r w:rsidRPr="0062350D">
        <w:t>occurred</w:t>
      </w:r>
      <w:r w:rsidR="0062350D">
        <w:t xml:space="preserve"> </w:t>
      </w:r>
      <w:r w:rsidRPr="0062350D">
        <w:t>in</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recalls</w:t>
      </w:r>
      <w:r w:rsidR="0062350D">
        <w:t xml:space="preserve"> </w:t>
      </w:r>
      <w:r w:rsidRPr="0062350D">
        <w:t>its</w:t>
      </w:r>
      <w:r w:rsidR="0062350D">
        <w:t xml:space="preserve"> </w:t>
      </w:r>
      <w:r w:rsidRPr="0062350D">
        <w:t>previous</w:t>
      </w:r>
      <w:r w:rsidR="0062350D">
        <w:t xml:space="preserve"> </w:t>
      </w:r>
      <w:r w:rsidRPr="0062350D">
        <w:t>submissions</w:t>
      </w:r>
      <w:r w:rsidR="0062350D">
        <w:t xml:space="preserve"> </w:t>
      </w:r>
      <w:r w:rsidRPr="0062350D">
        <w:t>and</w:t>
      </w:r>
      <w:r w:rsidR="0062350D">
        <w:t xml:space="preserve"> </w:t>
      </w:r>
      <w:r w:rsidRPr="0062350D">
        <w:t>notes</w:t>
      </w:r>
      <w:r w:rsidR="0062350D">
        <w:t xml:space="preserve"> </w:t>
      </w:r>
      <w:r w:rsidRPr="0062350D">
        <w:t>that</w:t>
      </w:r>
      <w:r w:rsidR="0062350D">
        <w:t xml:space="preserve"> </w:t>
      </w:r>
      <w:r w:rsidRPr="0062350D">
        <w:t>neither</w:t>
      </w:r>
      <w:r w:rsidR="0062350D">
        <w:t xml:space="preserve"> </w:t>
      </w:r>
      <w:r w:rsidRPr="0062350D">
        <w:t>of</w:t>
      </w:r>
      <w:r w:rsidR="0062350D">
        <w:t xml:space="preserve"> </w:t>
      </w:r>
      <w:r w:rsidRPr="0062350D">
        <w:t>these</w:t>
      </w:r>
      <w:r w:rsidR="0062350D">
        <w:t xml:space="preserve"> </w:t>
      </w:r>
      <w:r w:rsidRPr="0062350D">
        <w:t>claims</w:t>
      </w:r>
      <w:r w:rsidR="0062350D">
        <w:t xml:space="preserve"> </w:t>
      </w:r>
      <w:r w:rsidRPr="0062350D">
        <w:t>is</w:t>
      </w:r>
      <w:r w:rsidR="0062350D">
        <w:t xml:space="preserve"> </w:t>
      </w:r>
      <w:r w:rsidRPr="0062350D">
        <w:t>supported</w:t>
      </w:r>
      <w:r w:rsidR="0062350D">
        <w:t xml:space="preserve"> </w:t>
      </w:r>
      <w:r w:rsidRPr="0062350D">
        <w:t>by</w:t>
      </w:r>
      <w:r w:rsidR="0062350D">
        <w:t xml:space="preserve"> </w:t>
      </w:r>
      <w:r w:rsidRPr="0062350D">
        <w:t>evidence.</w:t>
      </w:r>
    </w:p>
    <w:p w14:paraId="44E34EFE" w14:textId="7C75FCC1" w:rsidR="007F12C3" w:rsidRPr="0062350D" w:rsidRDefault="007F12C3" w:rsidP="0062350D">
      <w:pPr>
        <w:pStyle w:val="H23G"/>
      </w:pPr>
      <w:r w:rsidRPr="0062350D">
        <w:tab/>
      </w:r>
      <w:r w:rsidRPr="0062350D">
        <w:tab/>
        <w:t>Issues</w:t>
      </w:r>
      <w:r w:rsidR="0062350D">
        <w:t xml:space="preserve"> </w:t>
      </w:r>
      <w:r w:rsidRPr="0062350D">
        <w:t>and</w:t>
      </w:r>
      <w:r w:rsidR="0062350D">
        <w:t xml:space="preserve"> </w:t>
      </w:r>
      <w:r w:rsidRPr="0062350D">
        <w:t>proceedings</w:t>
      </w:r>
      <w:r w:rsidR="0062350D">
        <w:t xml:space="preserve"> </w:t>
      </w:r>
      <w:r w:rsidRPr="0062350D">
        <w:t>before</w:t>
      </w:r>
      <w:r w:rsidR="0062350D">
        <w:t xml:space="preserve"> </w:t>
      </w:r>
      <w:r w:rsidRPr="0062350D">
        <w:t>the</w:t>
      </w:r>
      <w:r w:rsidR="0062350D">
        <w:t xml:space="preserve"> </w:t>
      </w:r>
      <w:r w:rsidRPr="0062350D">
        <w:t>Committee</w:t>
      </w:r>
    </w:p>
    <w:p w14:paraId="5F5A395E" w14:textId="43266907" w:rsidR="007F12C3" w:rsidRPr="0062350D" w:rsidRDefault="007F12C3" w:rsidP="0062350D">
      <w:pPr>
        <w:pStyle w:val="H4G"/>
      </w:pPr>
      <w:r w:rsidRPr="0062350D">
        <w:tab/>
      </w:r>
      <w:r w:rsidRPr="0062350D">
        <w:tab/>
        <w:t>Consideration</w:t>
      </w:r>
      <w:r w:rsidR="0062350D">
        <w:t xml:space="preserve"> </w:t>
      </w:r>
      <w:r w:rsidRPr="0062350D">
        <w:t>of</w:t>
      </w:r>
      <w:r w:rsidR="0062350D">
        <w:t xml:space="preserve"> </w:t>
      </w:r>
      <w:r w:rsidRPr="0062350D">
        <w:t>admissibility</w:t>
      </w:r>
    </w:p>
    <w:p w14:paraId="2357B5D9" w14:textId="425CA7CB" w:rsidR="007F12C3" w:rsidRPr="0062350D" w:rsidRDefault="007F12C3" w:rsidP="005D6A3F">
      <w:pPr>
        <w:pStyle w:val="SingleTxtG"/>
      </w:pPr>
      <w:r w:rsidRPr="0062350D">
        <w:t>7.1</w:t>
      </w:r>
      <w:r w:rsidRPr="0062350D">
        <w:tab/>
        <w:t>Before</w:t>
      </w:r>
      <w:r w:rsidR="0062350D">
        <w:t xml:space="preserve"> </w:t>
      </w:r>
      <w:r w:rsidRPr="0062350D">
        <w:t>considering</w:t>
      </w:r>
      <w:r w:rsidR="0062350D">
        <w:t xml:space="preserve"> </w:t>
      </w:r>
      <w:r w:rsidRPr="0062350D">
        <w:t>any</w:t>
      </w:r>
      <w:r w:rsidR="0062350D">
        <w:t xml:space="preserve"> </w:t>
      </w:r>
      <w:r w:rsidRPr="0062350D">
        <w:t>claim</w:t>
      </w:r>
      <w:r w:rsidR="0062350D">
        <w:t xml:space="preserve"> </w:t>
      </w:r>
      <w:r w:rsidRPr="0062350D">
        <w:t>contained</w:t>
      </w:r>
      <w:r w:rsidR="0062350D">
        <w:t xml:space="preserve"> </w:t>
      </w:r>
      <w:r w:rsidRPr="0062350D">
        <w:t>in</w:t>
      </w:r>
      <w:r w:rsidR="0062350D">
        <w:t xml:space="preserve"> </w:t>
      </w:r>
      <w:r w:rsidRPr="0062350D">
        <w:t>a</w:t>
      </w:r>
      <w:r w:rsidR="0062350D">
        <w:t xml:space="preserve"> </w:t>
      </w:r>
      <w:r w:rsidRPr="0062350D">
        <w:t>communication,</w:t>
      </w:r>
      <w:r w:rsidR="0062350D">
        <w:t xml:space="preserve"> </w:t>
      </w:r>
      <w:r w:rsidRPr="0062350D">
        <w:t>the</w:t>
      </w:r>
      <w:r w:rsidR="0062350D">
        <w:t xml:space="preserve"> </w:t>
      </w:r>
      <w:r w:rsidRPr="0062350D">
        <w:t>Committee</w:t>
      </w:r>
      <w:r w:rsidR="0062350D">
        <w:t xml:space="preserve"> </w:t>
      </w:r>
      <w:r w:rsidRPr="0062350D">
        <w:t>must</w:t>
      </w:r>
      <w:r w:rsidR="0062350D">
        <w:t xml:space="preserve"> </w:t>
      </w:r>
      <w:r w:rsidRPr="0062350D">
        <w:t>decide,</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rule</w:t>
      </w:r>
      <w:r w:rsidR="0062350D">
        <w:t xml:space="preserve"> </w:t>
      </w:r>
      <w:r w:rsidRPr="0062350D">
        <w:t>97</w:t>
      </w:r>
      <w:r w:rsidR="0062350D">
        <w:t xml:space="preserve"> </w:t>
      </w:r>
      <w:r w:rsidRPr="0062350D">
        <w:t>of</w:t>
      </w:r>
      <w:r w:rsidR="0062350D">
        <w:t xml:space="preserve"> </w:t>
      </w:r>
      <w:r w:rsidRPr="0062350D">
        <w:t>its</w:t>
      </w:r>
      <w:r w:rsidR="0062350D">
        <w:t xml:space="preserve"> </w:t>
      </w:r>
      <w:r w:rsidRPr="0062350D">
        <w:t>rules</w:t>
      </w:r>
      <w:r w:rsidR="0062350D">
        <w:t xml:space="preserve"> </w:t>
      </w:r>
      <w:r w:rsidRPr="0062350D">
        <w:t>of</w:t>
      </w:r>
      <w:r w:rsidR="0062350D">
        <w:t xml:space="preserve"> </w:t>
      </w:r>
      <w:r w:rsidRPr="0062350D">
        <w:t>procedure,</w:t>
      </w:r>
      <w:r w:rsidR="0062350D">
        <w:t xml:space="preserve"> </w:t>
      </w:r>
      <w:r w:rsidRPr="0062350D">
        <w:t>whether</w:t>
      </w:r>
      <w:r w:rsidR="0062350D">
        <w:t xml:space="preserve"> </w:t>
      </w:r>
      <w:r w:rsidRPr="0062350D">
        <w:t>the</w:t>
      </w:r>
      <w:r w:rsidR="0062350D">
        <w:t xml:space="preserve"> </w:t>
      </w:r>
      <w:r w:rsidRPr="0062350D">
        <w:t>communication</w:t>
      </w:r>
      <w:r w:rsidR="0062350D">
        <w:t xml:space="preserve"> </w:t>
      </w:r>
      <w:r w:rsidRPr="0062350D">
        <w:t>is</w:t>
      </w:r>
      <w:r w:rsidR="0062350D">
        <w:t xml:space="preserve"> </w:t>
      </w:r>
      <w:r w:rsidRPr="0062350D">
        <w:t>admissible</w:t>
      </w:r>
      <w:r w:rsidR="0062350D">
        <w:t xml:space="preserve"> </w:t>
      </w:r>
      <w:r w:rsidRPr="0062350D">
        <w:t>under</w:t>
      </w:r>
      <w:r w:rsidR="0062350D">
        <w:t xml:space="preserve"> </w:t>
      </w:r>
      <w:r w:rsidRPr="0062350D">
        <w:t>the</w:t>
      </w:r>
      <w:r w:rsidR="0062350D">
        <w:t xml:space="preserve"> </w:t>
      </w:r>
      <w:r w:rsidRPr="0062350D">
        <w:t>Optional</w:t>
      </w:r>
      <w:r w:rsidR="0062350D">
        <w:t xml:space="preserve"> </w:t>
      </w:r>
      <w:r w:rsidRPr="0062350D">
        <w:t>Protocol.</w:t>
      </w:r>
    </w:p>
    <w:p w14:paraId="76E8127B" w14:textId="2D1E1D01" w:rsidR="007F12C3" w:rsidRPr="0062350D" w:rsidRDefault="007F12C3" w:rsidP="005D6A3F">
      <w:pPr>
        <w:pStyle w:val="SingleTxtG"/>
      </w:pPr>
      <w:r w:rsidRPr="0062350D">
        <w:t>7.2</w:t>
      </w:r>
      <w:r w:rsidRPr="0062350D">
        <w:tab/>
        <w:t>The</w:t>
      </w:r>
      <w:r w:rsidR="0062350D">
        <w:t xml:space="preserve"> </w:t>
      </w:r>
      <w:r w:rsidRPr="0062350D">
        <w:t>Committee</w:t>
      </w:r>
      <w:r w:rsidR="0062350D">
        <w:t xml:space="preserve"> </w:t>
      </w:r>
      <w:r w:rsidRPr="0062350D">
        <w:t>has</w:t>
      </w:r>
      <w:r w:rsidR="0062350D">
        <w:t xml:space="preserve"> </w:t>
      </w:r>
      <w:r w:rsidRPr="0062350D">
        <w:t>ascertained,</w:t>
      </w:r>
      <w:r w:rsidR="0062350D">
        <w:t xml:space="preserve"> </w:t>
      </w:r>
      <w:r w:rsidRPr="0062350D">
        <w:t>as</w:t>
      </w:r>
      <w:r w:rsidR="0062350D">
        <w:t xml:space="preserve"> </w:t>
      </w:r>
      <w:r w:rsidRPr="0062350D">
        <w:t>required</w:t>
      </w:r>
      <w:r w:rsidR="0062350D">
        <w:t xml:space="preserve"> </w:t>
      </w:r>
      <w:r w:rsidRPr="0062350D">
        <w:t>under</w:t>
      </w:r>
      <w:r w:rsidR="0062350D">
        <w:t xml:space="preserve"> </w:t>
      </w:r>
      <w:r w:rsidRPr="0062350D">
        <w:t>article</w:t>
      </w:r>
      <w:r w:rsidR="0062350D">
        <w:t xml:space="preserve"> </w:t>
      </w:r>
      <w:r w:rsidRPr="0062350D">
        <w:t>5</w:t>
      </w:r>
      <w:r w:rsidR="0062350D">
        <w:t xml:space="preserve"> </w:t>
      </w:r>
      <w:r w:rsidRPr="0062350D">
        <w:t>(2)</w:t>
      </w:r>
      <w:r w:rsidR="0062350D">
        <w:t xml:space="preserve"> </w:t>
      </w:r>
      <w:r w:rsidRPr="0062350D">
        <w:t>(a)</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r w:rsidR="0062350D">
        <w:t xml:space="preserve"> </w:t>
      </w:r>
      <w:r w:rsidRPr="0062350D">
        <w:t>that</w:t>
      </w:r>
      <w:r w:rsidR="0062350D">
        <w:t xml:space="preserve"> </w:t>
      </w:r>
      <w:r w:rsidRPr="0062350D">
        <w:t>the</w:t>
      </w:r>
      <w:r w:rsidR="0062350D">
        <w:t xml:space="preserve"> </w:t>
      </w:r>
      <w:r w:rsidRPr="0062350D">
        <w:t>same</w:t>
      </w:r>
      <w:r w:rsidR="0062350D">
        <w:t xml:space="preserve"> </w:t>
      </w:r>
      <w:r w:rsidRPr="0062350D">
        <w:t>matter</w:t>
      </w:r>
      <w:r w:rsidR="0062350D">
        <w:t xml:space="preserve"> </w:t>
      </w:r>
      <w:r w:rsidRPr="0062350D">
        <w:t>is</w:t>
      </w:r>
      <w:r w:rsidR="0062350D">
        <w:t xml:space="preserve"> </w:t>
      </w:r>
      <w:r w:rsidRPr="0062350D">
        <w:t>not</w:t>
      </w:r>
      <w:r w:rsidR="0062350D">
        <w:t xml:space="preserve"> </w:t>
      </w:r>
      <w:r w:rsidRPr="0062350D">
        <w:t>being</w:t>
      </w:r>
      <w:r w:rsidR="0062350D">
        <w:t xml:space="preserve"> </w:t>
      </w:r>
      <w:r w:rsidRPr="0062350D">
        <w:t>examined</w:t>
      </w:r>
      <w:r w:rsidR="0062350D">
        <w:t xml:space="preserve"> </w:t>
      </w:r>
      <w:r w:rsidRPr="0062350D">
        <w:t>under</w:t>
      </w:r>
      <w:r w:rsidR="0062350D">
        <w:t xml:space="preserve"> </w:t>
      </w:r>
      <w:r w:rsidRPr="0062350D">
        <w:t>another</w:t>
      </w:r>
      <w:r w:rsidR="0062350D">
        <w:t xml:space="preserve"> </w:t>
      </w:r>
      <w:r w:rsidRPr="0062350D">
        <w:t>procedure</w:t>
      </w:r>
      <w:r w:rsidR="0062350D">
        <w:t xml:space="preserve"> </w:t>
      </w:r>
      <w:r w:rsidRPr="0062350D">
        <w:t>of</w:t>
      </w:r>
      <w:r w:rsidR="0062350D">
        <w:t xml:space="preserve"> </w:t>
      </w:r>
      <w:r w:rsidRPr="0062350D">
        <w:t>international</w:t>
      </w:r>
      <w:r w:rsidR="0062350D">
        <w:t xml:space="preserve"> </w:t>
      </w:r>
      <w:r w:rsidRPr="0062350D">
        <w:t>investigation</w:t>
      </w:r>
      <w:r w:rsidR="0062350D">
        <w:t xml:space="preserve"> </w:t>
      </w:r>
      <w:r w:rsidRPr="0062350D">
        <w:t>or</w:t>
      </w:r>
      <w:r w:rsidR="0062350D">
        <w:t xml:space="preserve"> </w:t>
      </w:r>
      <w:r w:rsidRPr="0062350D">
        <w:t>settlement.</w:t>
      </w:r>
    </w:p>
    <w:p w14:paraId="4019F1EB" w14:textId="693476F8" w:rsidR="007F12C3" w:rsidRPr="0062350D" w:rsidRDefault="007F12C3" w:rsidP="005D6A3F">
      <w:pPr>
        <w:pStyle w:val="SingleTxtG"/>
      </w:pPr>
      <w:r w:rsidRPr="0062350D">
        <w:t>7.3</w:t>
      </w:r>
      <w:r w:rsidRPr="0062350D">
        <w:tab/>
        <w:t>The</w:t>
      </w:r>
      <w:r w:rsidR="0062350D">
        <w:t xml:space="preserve"> </w:t>
      </w:r>
      <w:r w:rsidRPr="0062350D">
        <w:t>Committee</w:t>
      </w:r>
      <w:r w:rsidR="0062350D">
        <w:t xml:space="preserve"> </w:t>
      </w:r>
      <w:r w:rsidRPr="0062350D">
        <w:t>notes</w:t>
      </w:r>
      <w:r w:rsidR="0062350D">
        <w:t xml:space="preserve"> </w:t>
      </w:r>
      <w:r w:rsidRPr="0062350D">
        <w:t>the</w:t>
      </w:r>
      <w:r w:rsidR="0062350D">
        <w:t xml:space="preserve"> </w:t>
      </w:r>
      <w:r w:rsidRPr="0062350D">
        <w:t>authors</w:t>
      </w:r>
      <w:r w:rsidR="0062350D" w:rsidRPr="0062350D">
        <w:t>’</w:t>
      </w:r>
      <w:r w:rsidR="0062350D">
        <w:t xml:space="preserve"> </w:t>
      </w:r>
      <w:r w:rsidRPr="0062350D">
        <w:t>claim</w:t>
      </w:r>
      <w:r w:rsidR="0062350D">
        <w:t xml:space="preserve"> </w:t>
      </w:r>
      <w:r w:rsidRPr="0062350D">
        <w:t>that</w:t>
      </w:r>
      <w:r w:rsidR="0062350D">
        <w:t xml:space="preserve"> </w:t>
      </w:r>
      <w:r w:rsidRPr="0062350D">
        <w:t>they</w:t>
      </w:r>
      <w:r w:rsidR="0062350D">
        <w:t xml:space="preserve"> </w:t>
      </w:r>
      <w:r w:rsidRPr="0062350D">
        <w:t>have</w:t>
      </w:r>
      <w:r w:rsidR="0062350D">
        <w:t xml:space="preserve"> </w:t>
      </w:r>
      <w:r w:rsidRPr="0062350D">
        <w:t>exhausted</w:t>
      </w:r>
      <w:r w:rsidR="0062350D">
        <w:t xml:space="preserve"> </w:t>
      </w:r>
      <w:r w:rsidRPr="0062350D">
        <w:t>all</w:t>
      </w:r>
      <w:r w:rsidR="0062350D">
        <w:t xml:space="preserve"> </w:t>
      </w:r>
      <w:r w:rsidRPr="0062350D">
        <w:t>available</w:t>
      </w:r>
      <w:r w:rsidR="0062350D">
        <w:t xml:space="preserve"> </w:t>
      </w:r>
      <w:r w:rsidRPr="0062350D">
        <w:t>domestic</w:t>
      </w:r>
      <w:r w:rsidR="0062350D">
        <w:t xml:space="preserve"> </w:t>
      </w:r>
      <w:r w:rsidRPr="0062350D">
        <w:t>remedies.</w:t>
      </w:r>
      <w:r w:rsidR="0062350D">
        <w:t xml:space="preserve"> </w:t>
      </w:r>
      <w:r w:rsidRPr="0062350D">
        <w:t>The</w:t>
      </w:r>
      <w:r w:rsidR="0062350D">
        <w:t xml:space="preserve"> </w:t>
      </w:r>
      <w:r w:rsidRPr="0062350D">
        <w:t>Committee</w:t>
      </w:r>
      <w:r w:rsidR="0062350D">
        <w:t xml:space="preserve"> </w:t>
      </w:r>
      <w:r w:rsidRPr="0062350D">
        <w:t>also</w:t>
      </w:r>
      <w:r w:rsidR="0062350D">
        <w:t xml:space="preserve"> </w:t>
      </w:r>
      <w:r w:rsidRPr="0062350D">
        <w:t>notes</w:t>
      </w:r>
      <w:r w:rsidR="0062350D">
        <w:t xml:space="preserve"> </w:t>
      </w:r>
      <w:r w:rsidRPr="0062350D">
        <w:t>the</w:t>
      </w:r>
      <w:r w:rsidR="0062350D">
        <w:t xml:space="preserve"> </w:t>
      </w:r>
      <w:r w:rsidRPr="0062350D">
        <w:t>State</w:t>
      </w:r>
      <w:r w:rsidR="0062350D">
        <w:t xml:space="preserve"> </w:t>
      </w:r>
      <w:r w:rsidRPr="0062350D">
        <w:t>party</w:t>
      </w:r>
      <w:r w:rsidR="0062350D" w:rsidRPr="0062350D">
        <w:t>’</w:t>
      </w:r>
      <w:r w:rsidRPr="0062350D">
        <w:t>s</w:t>
      </w:r>
      <w:r w:rsidR="0062350D">
        <w:t xml:space="preserve"> </w:t>
      </w:r>
      <w:r w:rsidRPr="0062350D">
        <w:t>argument</w:t>
      </w:r>
      <w:r w:rsidR="0062350D">
        <w:t xml:space="preserve"> </w:t>
      </w:r>
      <w:r w:rsidRPr="0062350D">
        <w:t>with</w:t>
      </w:r>
      <w:r w:rsidR="0062350D">
        <w:t xml:space="preserve"> </w:t>
      </w:r>
      <w:r w:rsidRPr="0062350D">
        <w:t>respect</w:t>
      </w:r>
      <w:r w:rsidR="0062350D">
        <w:t xml:space="preserve"> </w:t>
      </w:r>
      <w:r w:rsidRPr="0062350D">
        <w:t>to</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9</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had</w:t>
      </w:r>
      <w:r w:rsidR="0062350D">
        <w:t xml:space="preserve"> </w:t>
      </w:r>
      <w:r w:rsidRPr="0062350D">
        <w:t>access</w:t>
      </w:r>
      <w:r w:rsidR="0062350D">
        <w:t xml:space="preserve"> </w:t>
      </w:r>
      <w:r w:rsidRPr="0062350D">
        <w:t>to</w:t>
      </w:r>
      <w:r w:rsidR="0062350D">
        <w:t xml:space="preserve"> </w:t>
      </w:r>
      <w:r w:rsidRPr="0062350D">
        <w:t>the</w:t>
      </w:r>
      <w:r w:rsidR="0062350D">
        <w:t xml:space="preserve"> </w:t>
      </w:r>
      <w:r w:rsidRPr="0062350D">
        <w:t>judicial</w:t>
      </w:r>
      <w:r w:rsidR="0062350D">
        <w:t xml:space="preserve"> </w:t>
      </w:r>
      <w:r w:rsidRPr="0062350D">
        <w:t>review</w:t>
      </w:r>
      <w:r w:rsidR="0062350D">
        <w:t xml:space="preserve"> </w:t>
      </w:r>
      <w:r w:rsidRPr="0062350D">
        <w:t>of</w:t>
      </w:r>
      <w:r w:rsidR="0062350D">
        <w:t xml:space="preserve"> </w:t>
      </w:r>
      <w:r w:rsidRPr="0062350D">
        <w:t>the</w:t>
      </w:r>
      <w:r w:rsidR="0062350D">
        <w:t xml:space="preserve"> </w:t>
      </w:r>
      <w:r w:rsidRPr="0062350D">
        <w:t>legality</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the</w:t>
      </w:r>
      <w:r w:rsidR="0062350D">
        <w:t xml:space="preserve"> </w:t>
      </w:r>
      <w:r w:rsidRPr="0062350D">
        <w:t>Migration</w:t>
      </w:r>
      <w:r w:rsidR="0062350D">
        <w:t xml:space="preserve"> </w:t>
      </w:r>
      <w:r w:rsidRPr="0062350D">
        <w:t>Act</w:t>
      </w:r>
      <w:r w:rsidR="0062350D">
        <w:t xml:space="preserve"> </w:t>
      </w:r>
      <w:r w:rsidRPr="0062350D">
        <w:t>and</w:t>
      </w:r>
      <w:r w:rsidR="0062350D">
        <w:t xml:space="preserve"> </w:t>
      </w:r>
      <w:r w:rsidRPr="0062350D">
        <w:t>the</w:t>
      </w:r>
      <w:r w:rsidR="0062350D">
        <w:t xml:space="preserve"> </w:t>
      </w:r>
      <w:r w:rsidRPr="0062350D">
        <w:t>Australian</w:t>
      </w:r>
      <w:r w:rsidR="0062350D">
        <w:t xml:space="preserve"> </w:t>
      </w:r>
      <w:r w:rsidRPr="0062350D">
        <w:t>Constitution.</w:t>
      </w:r>
      <w:r w:rsidR="0062350D">
        <w:t xml:space="preserve"> </w:t>
      </w:r>
      <w:r w:rsidRPr="0062350D">
        <w:t>However,</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that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not</w:t>
      </w:r>
      <w:r w:rsidR="0062350D">
        <w:t xml:space="preserve"> </w:t>
      </w:r>
      <w:r w:rsidRPr="0062350D">
        <w:t>demonstrated</w:t>
      </w:r>
      <w:r w:rsidR="0062350D">
        <w:t xml:space="preserve"> </w:t>
      </w:r>
      <w:r w:rsidRPr="0062350D">
        <w:t>the</w:t>
      </w:r>
      <w:r w:rsidR="0062350D">
        <w:t xml:space="preserve"> </w:t>
      </w:r>
      <w:r w:rsidRPr="0062350D">
        <w:t>availability</w:t>
      </w:r>
      <w:r w:rsidR="0062350D">
        <w:t xml:space="preserve"> </w:t>
      </w:r>
      <w:r w:rsidRPr="0062350D">
        <w:t>of</w:t>
      </w:r>
      <w:r w:rsidR="0062350D">
        <w:t xml:space="preserve"> </w:t>
      </w:r>
      <w:r w:rsidRPr="0062350D">
        <w:t>this</w:t>
      </w:r>
      <w:r w:rsidR="0062350D">
        <w:t xml:space="preserve"> </w:t>
      </w:r>
      <w:r w:rsidRPr="0062350D">
        <w:t>remedy</w:t>
      </w:r>
      <w:r w:rsidR="0062350D">
        <w:t xml:space="preserve"> </w:t>
      </w:r>
      <w:r w:rsidRPr="0062350D">
        <w:t>for</w:t>
      </w:r>
      <w:r w:rsidR="0062350D">
        <w:t xml:space="preserve"> </w:t>
      </w:r>
      <w:r w:rsidRPr="0062350D">
        <w:t>the</w:t>
      </w:r>
      <w:r w:rsidR="0062350D">
        <w:t xml:space="preserve"> </w:t>
      </w:r>
      <w:r w:rsidRPr="0062350D">
        <w:t>authors</w:t>
      </w:r>
      <w:r w:rsidR="0062350D">
        <w:t xml:space="preserve"> </w:t>
      </w:r>
      <w:r w:rsidRPr="0062350D">
        <w:t>nor</w:t>
      </w:r>
      <w:r w:rsidR="0062350D">
        <w:t xml:space="preserve"> </w:t>
      </w:r>
      <w:r w:rsidRPr="0062350D">
        <w:t>has</w:t>
      </w:r>
      <w:r w:rsidR="0062350D">
        <w:t xml:space="preserve"> </w:t>
      </w:r>
      <w:r w:rsidRPr="0062350D">
        <w:t>it</w:t>
      </w:r>
      <w:r w:rsidR="0062350D">
        <w:t xml:space="preserve"> </w:t>
      </w:r>
      <w:r w:rsidRPr="0062350D">
        <w:t>shown</w:t>
      </w:r>
      <w:r w:rsidR="0062350D">
        <w:t xml:space="preserve"> </w:t>
      </w:r>
      <w:r w:rsidRPr="0062350D">
        <w:t>that</w:t>
      </w:r>
      <w:r w:rsidR="0062350D">
        <w:t xml:space="preserve"> </w:t>
      </w:r>
      <w:r w:rsidRPr="0062350D">
        <w:t>its</w:t>
      </w:r>
      <w:r w:rsidR="0062350D">
        <w:t xml:space="preserve"> </w:t>
      </w:r>
      <w:r w:rsidRPr="0062350D">
        <w:t>courts</w:t>
      </w:r>
      <w:r w:rsidR="0062350D">
        <w:t xml:space="preserve"> </w:t>
      </w:r>
      <w:r w:rsidRPr="0062350D">
        <w:t>have</w:t>
      </w:r>
      <w:r w:rsidR="0062350D">
        <w:t xml:space="preserve"> </w:t>
      </w:r>
      <w:r w:rsidRPr="0062350D">
        <w:t>the</w:t>
      </w:r>
      <w:r w:rsidR="0062350D">
        <w:t xml:space="preserve"> </w:t>
      </w:r>
      <w:r w:rsidRPr="0062350D">
        <w:t>authority</w:t>
      </w:r>
      <w:r w:rsidR="0062350D">
        <w:t xml:space="preserve"> </w:t>
      </w:r>
      <w:r w:rsidRPr="0062350D">
        <w:t>to</w:t>
      </w:r>
      <w:r w:rsidR="0062350D">
        <w:t xml:space="preserve"> </w:t>
      </w:r>
      <w:r w:rsidRPr="0062350D">
        <w:t>make</w:t>
      </w:r>
      <w:r w:rsidR="0062350D">
        <w:t xml:space="preserve"> </w:t>
      </w:r>
      <w:r w:rsidRPr="0062350D">
        <w:t>individualized</w:t>
      </w:r>
      <w:r w:rsidR="0062350D">
        <w:t xml:space="preserve"> </w:t>
      </w:r>
      <w:r w:rsidRPr="0062350D">
        <w:t>rulings</w:t>
      </w:r>
      <w:r w:rsidR="0062350D">
        <w:t xml:space="preserve"> </w:t>
      </w:r>
      <w:r w:rsidRPr="0062350D">
        <w:t>on</w:t>
      </w:r>
      <w:r w:rsidR="0062350D">
        <w:t xml:space="preserve"> </w:t>
      </w:r>
      <w:r w:rsidRPr="0062350D">
        <w:t>the</w:t>
      </w:r>
      <w:r w:rsidR="0062350D">
        <w:t xml:space="preserve"> </w:t>
      </w:r>
      <w:r w:rsidRPr="0062350D">
        <w:t>justification</w:t>
      </w:r>
      <w:r w:rsidR="0062350D">
        <w:t xml:space="preserve"> </w:t>
      </w:r>
      <w:r w:rsidRPr="0062350D">
        <w:t>for</w:t>
      </w:r>
      <w:r w:rsidR="0062350D">
        <w:t xml:space="preserve"> </w:t>
      </w:r>
      <w:r w:rsidRPr="0062350D">
        <w:t>each</w:t>
      </w:r>
      <w:r w:rsidR="0062350D">
        <w:t xml:space="preserve"> </w:t>
      </w:r>
      <w:r w:rsidRPr="0062350D">
        <w:t>author</w:t>
      </w:r>
      <w:r w:rsidR="0062350D" w:rsidRPr="0062350D">
        <w:t>’</w:t>
      </w:r>
      <w:r w:rsidRPr="0062350D">
        <w:t>s</w:t>
      </w:r>
      <w:r w:rsidR="0062350D">
        <w:t xml:space="preserve"> </w:t>
      </w:r>
      <w:r w:rsidRPr="0062350D">
        <w:t>detention.</w:t>
      </w:r>
      <w:r w:rsidRPr="0062350D">
        <w:rPr>
          <w:rStyle w:val="FootnoteReference"/>
        </w:rPr>
        <w:footnoteReference w:id="5"/>
      </w:r>
      <w:r w:rsidR="0062350D">
        <w:t xml:space="preserve"> </w:t>
      </w:r>
      <w:r w:rsidRPr="0062350D">
        <w:t>In</w:t>
      </w:r>
      <w:r w:rsidR="0062350D">
        <w:t xml:space="preserve"> </w:t>
      </w:r>
      <w:r w:rsidRPr="0062350D">
        <w:t>the</w:t>
      </w:r>
      <w:r w:rsidR="0062350D">
        <w:t xml:space="preserve"> </w:t>
      </w:r>
      <w:r w:rsidRPr="0062350D">
        <w:t>absence</w:t>
      </w:r>
      <w:r w:rsidR="0062350D">
        <w:t xml:space="preserve"> </w:t>
      </w:r>
      <w:r w:rsidRPr="0062350D">
        <w:t>of</w:t>
      </w:r>
      <w:r w:rsidR="0062350D">
        <w:t xml:space="preserve"> </w:t>
      </w:r>
      <w:r w:rsidRPr="0062350D">
        <w:t>objections</w:t>
      </w:r>
      <w:r w:rsidR="0062350D">
        <w:t xml:space="preserve"> </w:t>
      </w:r>
      <w:r w:rsidRPr="0062350D">
        <w:t>by</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in</w:t>
      </w:r>
      <w:r w:rsidR="0062350D">
        <w:t xml:space="preserve"> </w:t>
      </w:r>
      <w:r w:rsidRPr="0062350D">
        <w:t>that</w:t>
      </w:r>
      <w:r w:rsidR="0062350D">
        <w:t xml:space="preserve"> </w:t>
      </w:r>
      <w:r w:rsidRPr="0062350D">
        <w:t>connection</w:t>
      </w:r>
      <w:r w:rsidR="0062350D">
        <w:t xml:space="preserve"> </w:t>
      </w:r>
      <w:r w:rsidRPr="0062350D">
        <w:t>with</w:t>
      </w:r>
      <w:r w:rsidR="0062350D">
        <w:t xml:space="preserve"> </w:t>
      </w:r>
      <w:r w:rsidRPr="0062350D">
        <w:t>respect</w:t>
      </w:r>
      <w:r w:rsidR="0062350D">
        <w:t xml:space="preserve"> </w:t>
      </w:r>
      <w:r w:rsidRPr="0062350D">
        <w:t>to</w:t>
      </w:r>
      <w:r w:rsidR="0062350D">
        <w:t xml:space="preserve"> </w:t>
      </w:r>
      <w:r w:rsidRPr="0062350D">
        <w:t>the</w:t>
      </w:r>
      <w:r w:rsidR="0062350D">
        <w:t xml:space="preserve"> </w:t>
      </w:r>
      <w:r w:rsidRPr="0062350D">
        <w:t>remaining</w:t>
      </w:r>
      <w:r w:rsidR="0062350D">
        <w:t xml:space="preserve"> </w:t>
      </w:r>
      <w:r w:rsidRPr="0062350D">
        <w:lastRenderedPageBreak/>
        <w:t>claims</w:t>
      </w:r>
      <w:r w:rsidR="0062350D">
        <w:t xml:space="preserve"> </w:t>
      </w:r>
      <w:r w:rsidRPr="0062350D">
        <w:t>of</w:t>
      </w:r>
      <w:r w:rsidR="0062350D">
        <w:t xml:space="preserve"> </w:t>
      </w:r>
      <w:r w:rsidRPr="0062350D">
        <w:t>the</w:t>
      </w:r>
      <w:r w:rsidR="0062350D">
        <w:t xml:space="preserve"> </w:t>
      </w:r>
      <w:r w:rsidRPr="0062350D">
        <w:t>authors,</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that</w:t>
      </w:r>
      <w:r w:rsidR="0062350D">
        <w:t xml:space="preserve"> </w:t>
      </w:r>
      <w:r w:rsidRPr="0062350D">
        <w:t>the</w:t>
      </w:r>
      <w:r w:rsidR="0062350D">
        <w:t xml:space="preserve"> </w:t>
      </w:r>
      <w:r w:rsidRPr="0062350D">
        <w:t>requirements</w:t>
      </w:r>
      <w:r w:rsidR="0062350D">
        <w:t xml:space="preserve"> </w:t>
      </w:r>
      <w:r w:rsidRPr="0062350D">
        <w:t>of</w:t>
      </w:r>
      <w:r w:rsidR="0062350D">
        <w:t xml:space="preserve"> </w:t>
      </w:r>
      <w:r w:rsidRPr="0062350D">
        <w:t>article</w:t>
      </w:r>
      <w:r w:rsidR="0062350D">
        <w:t xml:space="preserve"> </w:t>
      </w:r>
      <w:r w:rsidRPr="0062350D">
        <w:t>5</w:t>
      </w:r>
      <w:r w:rsidR="0062350D">
        <w:t xml:space="preserve"> </w:t>
      </w:r>
      <w:r w:rsidRPr="0062350D">
        <w:t>(2)</w:t>
      </w:r>
      <w:r w:rsidR="0062350D">
        <w:t xml:space="preserve"> </w:t>
      </w:r>
      <w:r w:rsidRPr="0062350D">
        <w:t>(b)</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r w:rsidR="0062350D">
        <w:t xml:space="preserve"> </w:t>
      </w:r>
      <w:r w:rsidRPr="0062350D">
        <w:t>have</w:t>
      </w:r>
      <w:r w:rsidR="0062350D">
        <w:t xml:space="preserve"> </w:t>
      </w:r>
      <w:r w:rsidRPr="0062350D">
        <w:t>been</w:t>
      </w:r>
      <w:r w:rsidR="0062350D">
        <w:t xml:space="preserve"> </w:t>
      </w:r>
      <w:r w:rsidRPr="0062350D">
        <w:t>met.</w:t>
      </w:r>
    </w:p>
    <w:p w14:paraId="3E629A50" w14:textId="502A4CC7" w:rsidR="007F12C3" w:rsidRPr="0062350D" w:rsidRDefault="007F12C3" w:rsidP="005D6A3F">
      <w:pPr>
        <w:pStyle w:val="SingleTxtG"/>
      </w:pPr>
      <w:r w:rsidRPr="0062350D">
        <w:t>7.4</w:t>
      </w:r>
      <w:r w:rsidRPr="0062350D">
        <w:tab/>
        <w:t>As</w:t>
      </w:r>
      <w:r w:rsidR="0062350D">
        <w:t xml:space="preserve"> </w:t>
      </w:r>
      <w:r w:rsidRPr="0062350D">
        <w:t>to</w:t>
      </w:r>
      <w:r w:rsidR="0062350D">
        <w:t xml:space="preserve"> </w:t>
      </w:r>
      <w:r w:rsidRPr="0062350D">
        <w:t>the</w:t>
      </w:r>
      <w:r w:rsidR="0062350D">
        <w:t xml:space="preserve"> </w:t>
      </w:r>
      <w:r w:rsidRPr="0062350D">
        <w:t>State</w:t>
      </w:r>
      <w:r w:rsidR="0062350D">
        <w:t xml:space="preserve"> </w:t>
      </w:r>
      <w:r w:rsidRPr="0062350D">
        <w:t>party</w:t>
      </w:r>
      <w:r w:rsidR="0062350D" w:rsidRPr="0062350D">
        <w:t>’</w:t>
      </w:r>
      <w:r w:rsidRPr="0062350D">
        <w:t>s</w:t>
      </w:r>
      <w:r w:rsidR="0062350D">
        <w:t xml:space="preserve"> </w:t>
      </w:r>
      <w:r w:rsidRPr="0062350D">
        <w:t>argument</w:t>
      </w:r>
      <w:r w:rsidR="0062350D">
        <w:t xml:space="preserve"> </w:t>
      </w:r>
      <w:r w:rsidRPr="0062350D">
        <w:t>that</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about</w:t>
      </w:r>
      <w:r w:rsidR="0062350D">
        <w:t xml:space="preserve"> </w:t>
      </w:r>
      <w:r w:rsidRPr="0062350D">
        <w:t>their</w:t>
      </w:r>
      <w:r w:rsidR="0062350D">
        <w:t xml:space="preserve"> </w:t>
      </w:r>
      <w:r w:rsidRPr="0062350D">
        <w:t>potential</w:t>
      </w:r>
      <w:r w:rsidR="0062350D">
        <w:t xml:space="preserve"> </w:t>
      </w:r>
      <w:r w:rsidRPr="0062350D">
        <w:t>transfer</w:t>
      </w:r>
      <w:r w:rsidR="0062350D">
        <w:t xml:space="preserve"> </w:t>
      </w:r>
      <w:r w:rsidRPr="0062350D">
        <w:t>to</w:t>
      </w:r>
      <w:r w:rsidR="0062350D">
        <w:t xml:space="preserve"> </w:t>
      </w:r>
      <w:r w:rsidRPr="0062350D">
        <w:t>Nauru</w:t>
      </w:r>
      <w:r w:rsidR="0062350D">
        <w:t xml:space="preserve"> </w:t>
      </w:r>
      <w:r w:rsidRPr="0062350D">
        <w:t>under</w:t>
      </w:r>
      <w:r w:rsidR="0062350D">
        <w:t xml:space="preserve"> </w:t>
      </w:r>
      <w:r w:rsidRPr="0062350D">
        <w:t>article</w:t>
      </w:r>
      <w:r w:rsidR="0062350D">
        <w:t xml:space="preserve"> </w:t>
      </w:r>
      <w:r w:rsidRPr="0062350D">
        <w:t>7,</w:t>
      </w:r>
      <w:r w:rsidR="0062350D">
        <w:t xml:space="preserve"> </w:t>
      </w:r>
      <w:r w:rsidRPr="0062350D">
        <w:t>as</w:t>
      </w:r>
      <w:r w:rsidR="0062350D">
        <w:t xml:space="preserve"> </w:t>
      </w:r>
      <w:r w:rsidRPr="0062350D">
        <w:t>well</w:t>
      </w:r>
      <w:r w:rsidR="0062350D">
        <w:t xml:space="preserve"> </w:t>
      </w:r>
      <w:r w:rsidRPr="0062350D">
        <w:t>as</w:t>
      </w:r>
      <w:r w:rsidR="0062350D">
        <w:t xml:space="preserve"> </w:t>
      </w:r>
      <w:r w:rsidRPr="0062350D">
        <w:t>articles</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10,</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should</w:t>
      </w:r>
      <w:r w:rsidR="0062350D">
        <w:t xml:space="preserve"> </w:t>
      </w:r>
      <w:r w:rsidRPr="0062350D">
        <w:t>be</w:t>
      </w:r>
      <w:r w:rsidR="0062350D">
        <w:t xml:space="preserve"> </w:t>
      </w:r>
      <w:r w:rsidRPr="0062350D">
        <w:t>declared</w:t>
      </w:r>
      <w:r w:rsidR="0062350D">
        <w:t xml:space="preserve"> </w:t>
      </w:r>
      <w:r w:rsidRPr="0062350D">
        <w:t>inadmissible</w:t>
      </w:r>
      <w:r w:rsidR="0062350D">
        <w:t xml:space="preserve"> </w:t>
      </w:r>
      <w:r w:rsidRPr="0062350D">
        <w:t>owing</w:t>
      </w:r>
      <w:r w:rsidR="0062350D">
        <w:t xml:space="preserve"> </w:t>
      </w:r>
      <w:r w:rsidRPr="0062350D">
        <w:t>to</w:t>
      </w:r>
      <w:r w:rsidR="0062350D">
        <w:t xml:space="preserve"> </w:t>
      </w:r>
      <w:r w:rsidRPr="0062350D">
        <w:t>insufficient</w:t>
      </w:r>
      <w:r w:rsidR="0062350D">
        <w:t xml:space="preserve"> </w:t>
      </w:r>
      <w:r w:rsidRPr="0062350D">
        <w:t>substantiation,</w:t>
      </w:r>
      <w:r w:rsidR="0062350D">
        <w:t xml:space="preserve"> </w:t>
      </w:r>
      <w:r w:rsidRPr="0062350D">
        <w:t>the</w:t>
      </w:r>
      <w:r w:rsidR="0062350D">
        <w:t xml:space="preserve"> </w:t>
      </w:r>
      <w:r w:rsidRPr="0062350D">
        <w:t>Committee</w:t>
      </w:r>
      <w:r w:rsidR="0062350D">
        <w:t xml:space="preserve"> </w:t>
      </w:r>
      <w:r w:rsidRPr="0062350D">
        <w:t>notes</w:t>
      </w:r>
      <w:r w:rsidR="0062350D">
        <w:t xml:space="preserve"> </w:t>
      </w:r>
      <w:r w:rsidRPr="0062350D">
        <w:t>that</w:t>
      </w:r>
      <w:r w:rsidR="0062350D">
        <w:t xml:space="preserve"> </w:t>
      </w:r>
      <w:r w:rsidRPr="0062350D">
        <w:t>as</w:t>
      </w:r>
      <w:r w:rsidR="0062350D">
        <w:t xml:space="preserve"> </w:t>
      </w:r>
      <w:r w:rsidRPr="0062350D">
        <w:t>of</w:t>
      </w:r>
      <w:r w:rsidR="0062350D">
        <w:t xml:space="preserve"> </w:t>
      </w:r>
      <w:r w:rsidRPr="0062350D">
        <w:t>late</w:t>
      </w:r>
      <w:r w:rsidR="0062350D">
        <w:t xml:space="preserve"> </w:t>
      </w:r>
      <w:r w:rsidRPr="0062350D">
        <w:t>2014</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had</w:t>
      </w:r>
      <w:r w:rsidR="0062350D">
        <w:t xml:space="preserve"> </w:t>
      </w:r>
      <w:r w:rsidRPr="0062350D">
        <w:t>no</w:t>
      </w:r>
      <w:r w:rsidR="0062350D">
        <w:t xml:space="preserve"> </w:t>
      </w:r>
      <w:r w:rsidRPr="0062350D">
        <w:t>intention</w:t>
      </w:r>
      <w:r w:rsidR="0062350D">
        <w:t xml:space="preserve"> </w:t>
      </w:r>
      <w:r w:rsidRPr="0062350D">
        <w:t>of</w:t>
      </w:r>
      <w:r w:rsidR="0062350D">
        <w:t xml:space="preserve"> </w:t>
      </w:r>
      <w:r w:rsidRPr="0062350D">
        <w:t>transferring</w:t>
      </w:r>
      <w:r w:rsidR="0062350D">
        <w:t xml:space="preserve"> </w:t>
      </w:r>
      <w:r w:rsidRPr="0062350D">
        <w:t>the</w:t>
      </w:r>
      <w:r w:rsidR="0062350D">
        <w:t xml:space="preserve"> </w:t>
      </w:r>
      <w:r w:rsidRPr="0062350D">
        <w:t>authors</w:t>
      </w:r>
      <w:r w:rsidR="0062350D">
        <w:t xml:space="preserve"> </w:t>
      </w:r>
      <w:r w:rsidRPr="0062350D">
        <w:t>to</w:t>
      </w:r>
      <w:r w:rsidR="0062350D">
        <w:t xml:space="preserve"> </w:t>
      </w:r>
      <w:r w:rsidRPr="0062350D">
        <w:t>Nauru</w:t>
      </w:r>
      <w:r w:rsidR="0062350D">
        <w:t xml:space="preserve"> </w:t>
      </w:r>
      <w:r w:rsidRPr="0062350D">
        <w:t>or</w:t>
      </w:r>
      <w:r w:rsidR="0062350D">
        <w:t xml:space="preserve"> </w:t>
      </w:r>
      <w:r w:rsidRPr="0062350D">
        <w:t>any</w:t>
      </w:r>
      <w:r w:rsidR="0062350D">
        <w:t xml:space="preserve"> </w:t>
      </w:r>
      <w:r w:rsidRPr="0062350D">
        <w:t>other</w:t>
      </w:r>
      <w:r w:rsidR="0062350D">
        <w:t xml:space="preserve"> </w:t>
      </w:r>
      <w:r w:rsidRPr="0062350D">
        <w:t>offshore</w:t>
      </w:r>
      <w:r w:rsidR="0062350D">
        <w:t xml:space="preserve"> </w:t>
      </w:r>
      <w:r w:rsidRPr="0062350D">
        <w:t>facility.</w:t>
      </w:r>
      <w:r w:rsidR="0062350D">
        <w:t xml:space="preserve"> </w:t>
      </w:r>
      <w:r w:rsidRPr="0062350D">
        <w:t>In</w:t>
      </w:r>
      <w:r w:rsidR="0062350D">
        <w:t xml:space="preserve"> </w:t>
      </w:r>
      <w:r w:rsidRPr="0062350D">
        <w:t>these</w:t>
      </w:r>
      <w:r w:rsidR="0062350D">
        <w:t xml:space="preserve"> </w:t>
      </w:r>
      <w:r w:rsidRPr="0062350D">
        <w:t>circumstances,</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not</w:t>
      </w:r>
      <w:r w:rsidR="0062350D">
        <w:t xml:space="preserve"> </w:t>
      </w:r>
      <w:r w:rsidRPr="0062350D">
        <w:t>sufficiently</w:t>
      </w:r>
      <w:r w:rsidR="0062350D">
        <w:t xml:space="preserve"> </w:t>
      </w:r>
      <w:r w:rsidRPr="0062350D">
        <w:t>substantiated</w:t>
      </w:r>
      <w:r w:rsidR="0062350D">
        <w:t xml:space="preserve"> </w:t>
      </w:r>
      <w:r w:rsidRPr="0062350D">
        <w:t>their</w:t>
      </w:r>
      <w:r w:rsidR="0062350D">
        <w:t xml:space="preserve"> </w:t>
      </w:r>
      <w:r w:rsidRPr="0062350D">
        <w:t>claims</w:t>
      </w:r>
      <w:r w:rsidR="0062350D">
        <w:t xml:space="preserve"> </w:t>
      </w:r>
      <w:r w:rsidRPr="0062350D">
        <w:t>and</w:t>
      </w:r>
      <w:r w:rsidR="0062350D">
        <w:t xml:space="preserve"> </w:t>
      </w:r>
      <w:r w:rsidRPr="0062350D">
        <w:t>therefore</w:t>
      </w:r>
      <w:r w:rsidR="0062350D">
        <w:t xml:space="preserve"> </w:t>
      </w:r>
      <w:r w:rsidRPr="0062350D">
        <w:t>declares</w:t>
      </w:r>
      <w:r w:rsidR="0062350D">
        <w:t xml:space="preserve"> </w:t>
      </w:r>
      <w:r w:rsidRPr="0062350D">
        <w:t>this</w:t>
      </w:r>
      <w:r w:rsidR="0062350D">
        <w:t xml:space="preserve"> </w:t>
      </w:r>
      <w:r w:rsidRPr="0062350D">
        <w:t>part</w:t>
      </w:r>
      <w:r w:rsidR="0062350D">
        <w:t xml:space="preserve"> </w:t>
      </w:r>
      <w:r w:rsidRPr="0062350D">
        <w:t>of</w:t>
      </w:r>
      <w:r w:rsidR="0062350D">
        <w:t xml:space="preserve"> </w:t>
      </w:r>
      <w:r w:rsidRPr="0062350D">
        <w:t>the</w:t>
      </w:r>
      <w:r w:rsidR="0062350D">
        <w:t xml:space="preserve"> </w:t>
      </w:r>
      <w:r w:rsidRPr="0062350D">
        <w:t>communication</w:t>
      </w:r>
      <w:r w:rsidR="0062350D">
        <w:t xml:space="preserve"> </w:t>
      </w:r>
      <w:r w:rsidRPr="0062350D">
        <w:t>inadmissible</w:t>
      </w:r>
      <w:r w:rsidR="0062350D">
        <w:t xml:space="preserve"> </w:t>
      </w:r>
      <w:r w:rsidRPr="0062350D">
        <w:t>pursuant</w:t>
      </w:r>
      <w:r w:rsidR="0062350D">
        <w:t xml:space="preserve"> </w:t>
      </w:r>
      <w:r w:rsidRPr="0062350D">
        <w:t>to</w:t>
      </w:r>
      <w:r w:rsidR="0062350D">
        <w:t xml:space="preserve"> </w:t>
      </w:r>
      <w:r w:rsidRPr="0062350D">
        <w:t>article</w:t>
      </w:r>
      <w:r w:rsidR="0062350D">
        <w:t xml:space="preserve"> </w:t>
      </w:r>
      <w:r w:rsidRPr="0062350D">
        <w:t>2</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p>
    <w:p w14:paraId="06142BFC" w14:textId="3CA46B53" w:rsidR="0062350D" w:rsidRPr="0062350D" w:rsidRDefault="007F12C3" w:rsidP="005D6A3F">
      <w:pPr>
        <w:pStyle w:val="SingleTxtG"/>
      </w:pPr>
      <w:r w:rsidRPr="0062350D">
        <w:t>7.5</w:t>
      </w:r>
      <w:r w:rsidRPr="0062350D">
        <w:tab/>
        <w:t>The</w:t>
      </w:r>
      <w:r w:rsidR="0062350D">
        <w:t xml:space="preserve"> </w:t>
      </w:r>
      <w:r w:rsidRPr="0062350D">
        <w:t>Committee</w:t>
      </w:r>
      <w:r w:rsidR="0062350D">
        <w:t xml:space="preserve"> </w:t>
      </w:r>
      <w:r w:rsidRPr="0062350D">
        <w:t>notes</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that</w:t>
      </w:r>
      <w:r w:rsidR="0062350D">
        <w:t xml:space="preserve"> </w:t>
      </w:r>
      <w:r w:rsidRPr="0062350D">
        <w:t>conditions</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and</w:t>
      </w:r>
      <w:r w:rsidR="0062350D">
        <w:t xml:space="preserve"> </w:t>
      </w:r>
      <w:r w:rsidRPr="0062350D">
        <w:t>on</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were</w:t>
      </w:r>
      <w:r w:rsidR="0062350D">
        <w:t xml:space="preserve"> </w:t>
      </w:r>
      <w:r w:rsidRPr="0062350D">
        <w:t>inadequate</w:t>
      </w:r>
      <w:r w:rsidR="0062350D">
        <w:t xml:space="preserve"> </w:t>
      </w:r>
      <w:r w:rsidRPr="0062350D">
        <w:t>contrary</w:t>
      </w:r>
      <w:r w:rsidR="0062350D">
        <w:t xml:space="preserve"> </w:t>
      </w:r>
      <w:r w:rsidRPr="0062350D">
        <w:t>to</w:t>
      </w:r>
      <w:r w:rsidR="0062350D">
        <w:t xml:space="preserve"> </w:t>
      </w:r>
      <w:r w:rsidRPr="0062350D">
        <w:t>requirements</w:t>
      </w:r>
      <w:r w:rsidR="0062350D">
        <w:t xml:space="preserve"> </w:t>
      </w:r>
      <w:r w:rsidRPr="0062350D">
        <w:t>of</w:t>
      </w:r>
      <w:r w:rsidR="0062350D">
        <w:t xml:space="preserve"> </w:t>
      </w:r>
      <w:r w:rsidRPr="0062350D">
        <w:t>articles</w:t>
      </w:r>
      <w:r w:rsidR="0062350D">
        <w:t xml:space="preserve"> </w:t>
      </w:r>
      <w:r w:rsidRPr="0062350D">
        <w:t>7,</w:t>
      </w:r>
      <w:r w:rsidR="0062350D">
        <w:t xml:space="preserve"> </w:t>
      </w:r>
      <w:r w:rsidRPr="0062350D">
        <w:t>10,</w:t>
      </w:r>
      <w:r w:rsidR="0062350D">
        <w:t xml:space="preserve"> </w:t>
      </w:r>
      <w:r w:rsidRPr="0062350D">
        <w:t>17,</w:t>
      </w:r>
      <w:r w:rsidR="0062350D">
        <w:t xml:space="preserve"> </w:t>
      </w:r>
      <w:r w:rsidRPr="0062350D">
        <w:t>and</w:t>
      </w:r>
      <w:r w:rsidR="0062350D">
        <w:t xml:space="preserve"> </w:t>
      </w:r>
      <w:r w:rsidRPr="0062350D">
        <w:t>23</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Committee</w:t>
      </w:r>
      <w:r w:rsidR="0062350D">
        <w:t xml:space="preserve"> </w:t>
      </w:r>
      <w:r w:rsidRPr="0062350D">
        <w:t>observes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made</w:t>
      </w:r>
      <w:r w:rsidR="0062350D">
        <w:t xml:space="preserve"> </w:t>
      </w:r>
      <w:r w:rsidRPr="0062350D">
        <w:t>only</w:t>
      </w:r>
      <w:r w:rsidR="0062350D">
        <w:t xml:space="preserve"> </w:t>
      </w:r>
      <w:r w:rsidRPr="0062350D">
        <w:t>general</w:t>
      </w:r>
      <w:r w:rsidR="0062350D">
        <w:t xml:space="preserve"> </w:t>
      </w:r>
      <w:r w:rsidRPr="0062350D">
        <w:t>statements</w:t>
      </w:r>
      <w:r w:rsidR="0062350D">
        <w:t xml:space="preserve"> </w:t>
      </w:r>
      <w:r w:rsidRPr="0062350D">
        <w:t>in</w:t>
      </w:r>
      <w:r w:rsidR="0062350D">
        <w:t xml:space="preserve"> </w:t>
      </w:r>
      <w:r w:rsidRPr="0062350D">
        <w:t>support</w:t>
      </w:r>
      <w:r w:rsidR="0062350D">
        <w:t xml:space="preserve"> </w:t>
      </w:r>
      <w:r w:rsidRPr="0062350D">
        <w:t>of</w:t>
      </w:r>
      <w:r w:rsidR="0062350D">
        <w:t xml:space="preserve"> </w:t>
      </w:r>
      <w:r w:rsidRPr="0062350D">
        <w:t>their</w:t>
      </w:r>
      <w:r w:rsidR="0062350D">
        <w:t xml:space="preserve"> </w:t>
      </w:r>
      <w:r w:rsidRPr="0062350D">
        <w:t>claims.</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consequently,</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have</w:t>
      </w:r>
      <w:r w:rsidR="0062350D">
        <w:t xml:space="preserve"> </w:t>
      </w:r>
      <w:r w:rsidRPr="0062350D">
        <w:t>not</w:t>
      </w:r>
      <w:r w:rsidR="0062350D">
        <w:t xml:space="preserve"> </w:t>
      </w:r>
      <w:r w:rsidRPr="0062350D">
        <w:t>sufficiently</w:t>
      </w:r>
      <w:r w:rsidR="0062350D">
        <w:t xml:space="preserve"> </w:t>
      </w:r>
      <w:r w:rsidRPr="0062350D">
        <w:t>substantiated</w:t>
      </w:r>
      <w:r w:rsidR="0062350D">
        <w:t xml:space="preserve"> </w:t>
      </w:r>
      <w:r w:rsidRPr="0062350D">
        <w:t>their</w:t>
      </w:r>
      <w:r w:rsidR="0062350D">
        <w:t xml:space="preserve"> </w:t>
      </w:r>
      <w:r w:rsidRPr="0062350D">
        <w:t>claims</w:t>
      </w:r>
      <w:r w:rsidR="0062350D">
        <w:t xml:space="preserve"> </w:t>
      </w:r>
      <w:r w:rsidRPr="0062350D">
        <w:t>for</w:t>
      </w:r>
      <w:r w:rsidR="0062350D">
        <w:t xml:space="preserve"> </w:t>
      </w:r>
      <w:r w:rsidRPr="0062350D">
        <w:t>purposes</w:t>
      </w:r>
      <w:r w:rsidR="0062350D">
        <w:t xml:space="preserve"> </w:t>
      </w:r>
      <w:r w:rsidRPr="0062350D">
        <w:t>of</w:t>
      </w:r>
      <w:r w:rsidR="0062350D">
        <w:t xml:space="preserve"> </w:t>
      </w:r>
      <w:r w:rsidRPr="0062350D">
        <w:t>admissibility,</w:t>
      </w:r>
      <w:r w:rsidR="0062350D">
        <w:t xml:space="preserve"> </w:t>
      </w:r>
      <w:r w:rsidRPr="0062350D">
        <w:t>and</w:t>
      </w:r>
      <w:r w:rsidR="0062350D">
        <w:t xml:space="preserve"> </w:t>
      </w:r>
      <w:r w:rsidRPr="0062350D">
        <w:t>that</w:t>
      </w:r>
      <w:r w:rsidR="0062350D">
        <w:t xml:space="preserve"> </w:t>
      </w:r>
      <w:r w:rsidRPr="0062350D">
        <w:t>this</w:t>
      </w:r>
      <w:r w:rsidR="0062350D">
        <w:t xml:space="preserve"> </w:t>
      </w:r>
      <w:r w:rsidRPr="0062350D">
        <w:t>part</w:t>
      </w:r>
      <w:r w:rsidR="0062350D">
        <w:t xml:space="preserve"> </w:t>
      </w:r>
      <w:r w:rsidRPr="0062350D">
        <w:t>of</w:t>
      </w:r>
      <w:r w:rsidR="0062350D">
        <w:t xml:space="preserve"> </w:t>
      </w:r>
      <w:r w:rsidRPr="0062350D">
        <w:t>the</w:t>
      </w:r>
      <w:r w:rsidR="0062350D">
        <w:t xml:space="preserve"> </w:t>
      </w:r>
      <w:r w:rsidRPr="0062350D">
        <w:t>communication</w:t>
      </w:r>
      <w:r w:rsidR="0062350D">
        <w:t xml:space="preserve"> </w:t>
      </w:r>
      <w:r w:rsidRPr="0062350D">
        <w:t>must</w:t>
      </w:r>
      <w:r w:rsidR="0062350D">
        <w:t xml:space="preserve"> </w:t>
      </w:r>
      <w:r w:rsidRPr="0062350D">
        <w:t>therefore</w:t>
      </w:r>
      <w:r w:rsidR="0062350D">
        <w:t xml:space="preserve"> </w:t>
      </w:r>
      <w:r w:rsidRPr="0062350D">
        <w:t>be</w:t>
      </w:r>
      <w:r w:rsidR="0062350D">
        <w:t xml:space="preserve"> </w:t>
      </w:r>
      <w:r w:rsidRPr="0062350D">
        <w:t>declared</w:t>
      </w:r>
      <w:r w:rsidR="0062350D">
        <w:t xml:space="preserve"> </w:t>
      </w:r>
      <w:r w:rsidRPr="0062350D">
        <w:t>inadmissible</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article</w:t>
      </w:r>
      <w:r w:rsidR="0062350D">
        <w:t xml:space="preserve"> </w:t>
      </w:r>
      <w:r w:rsidRPr="0062350D">
        <w:t>2</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p>
    <w:p w14:paraId="3A901F9C" w14:textId="1BC22195" w:rsidR="0062350D" w:rsidRPr="0062350D" w:rsidRDefault="007F12C3" w:rsidP="005D6A3F">
      <w:pPr>
        <w:pStyle w:val="SingleTxtG"/>
      </w:pPr>
      <w:r w:rsidRPr="0062350D">
        <w:t>7.6</w:t>
      </w:r>
      <w:r w:rsidRPr="0062350D">
        <w:tab/>
        <w:t>The</w:t>
      </w:r>
      <w:r w:rsidR="0062350D">
        <w:t xml:space="preserve"> </w:t>
      </w:r>
      <w:r w:rsidRPr="0062350D">
        <w:t>Committee</w:t>
      </w:r>
      <w:r w:rsidR="0062350D">
        <w:t xml:space="preserve"> </w:t>
      </w:r>
      <w:r w:rsidRPr="0062350D">
        <w:t>notes,</w:t>
      </w:r>
      <w:r w:rsidR="0062350D">
        <w:t xml:space="preserve"> </w:t>
      </w:r>
      <w:r w:rsidRPr="0062350D">
        <w:t>with</w:t>
      </w:r>
      <w:r w:rsidR="0062350D">
        <w:t xml:space="preserve"> </w:t>
      </w:r>
      <w:r w:rsidRPr="0062350D">
        <w:t>respect</w:t>
      </w:r>
      <w:r w:rsidR="0062350D">
        <w:t xml:space="preserve"> </w:t>
      </w:r>
      <w:r w:rsidRPr="0062350D">
        <w:t>to</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under</w:t>
      </w:r>
      <w:r w:rsidR="0062350D">
        <w:t xml:space="preserve"> </w:t>
      </w:r>
      <w:r w:rsidRPr="0062350D">
        <w:t>articles</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that</w:t>
      </w:r>
      <w:r w:rsidR="0062350D">
        <w:t xml:space="preserve"> </w:t>
      </w:r>
      <w:r w:rsidRPr="0062350D">
        <w:t>while</w:t>
      </w:r>
      <w:r w:rsidR="0062350D">
        <w:t xml:space="preserve"> </w:t>
      </w:r>
      <w:r w:rsidRPr="0062350D">
        <w:t>some</w:t>
      </w:r>
      <w:r w:rsidR="0062350D">
        <w:t xml:space="preserve"> </w:t>
      </w:r>
      <w:r w:rsidRPr="0062350D">
        <w:t>of</w:t>
      </w:r>
      <w:r w:rsidR="0062350D">
        <w:t xml:space="preserve"> </w:t>
      </w:r>
      <w:r w:rsidRPr="0062350D">
        <w:t>them</w:t>
      </w:r>
      <w:r w:rsidR="0062350D">
        <w:t xml:space="preserve"> </w:t>
      </w:r>
      <w:r w:rsidRPr="0062350D">
        <w:t>have</w:t>
      </w:r>
      <w:r w:rsidR="0062350D">
        <w:t xml:space="preserve"> </w:t>
      </w:r>
      <w:r w:rsidRPr="0062350D">
        <w:t>been</w:t>
      </w:r>
      <w:r w:rsidR="0062350D">
        <w:t xml:space="preserve"> </w:t>
      </w:r>
      <w:r w:rsidRPr="0062350D">
        <w:t>separated</w:t>
      </w:r>
      <w:r w:rsidR="0062350D">
        <w:t xml:space="preserve"> </w:t>
      </w:r>
      <w:r w:rsidRPr="0062350D">
        <w:t>from</w:t>
      </w:r>
      <w:r w:rsidR="0062350D">
        <w:t xml:space="preserve"> </w:t>
      </w:r>
      <w:r w:rsidRPr="0062350D">
        <w:t>their</w:t>
      </w:r>
      <w:r w:rsidR="0062350D">
        <w:t xml:space="preserve"> </w:t>
      </w:r>
      <w:r w:rsidRPr="0062350D">
        <w:t>relatives</w:t>
      </w:r>
      <w:r w:rsidR="0062350D">
        <w:t xml:space="preserve"> </w:t>
      </w:r>
      <w:r w:rsidRPr="0062350D">
        <w:t>living</w:t>
      </w:r>
      <w:r w:rsidR="0062350D">
        <w:t xml:space="preserve"> </w:t>
      </w:r>
      <w:r w:rsidRPr="0062350D">
        <w:t>on</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it</w:t>
      </w:r>
      <w:r w:rsidR="0062350D">
        <w:t xml:space="preserve"> </w:t>
      </w:r>
      <w:r w:rsidRPr="0062350D">
        <w:t>has</w:t>
      </w:r>
      <w:r w:rsidR="0062350D">
        <w:t xml:space="preserve"> </w:t>
      </w:r>
      <w:r w:rsidRPr="0062350D">
        <w:t>only</w:t>
      </w:r>
      <w:r w:rsidR="0062350D">
        <w:t xml:space="preserve"> </w:t>
      </w:r>
      <w:r w:rsidRPr="0062350D">
        <w:t>been</w:t>
      </w:r>
      <w:r w:rsidR="0062350D">
        <w:t xml:space="preserve"> </w:t>
      </w:r>
      <w:r w:rsidRPr="0062350D">
        <w:t>provided</w:t>
      </w:r>
      <w:r w:rsidR="0062350D">
        <w:t xml:space="preserve"> </w:t>
      </w:r>
      <w:r w:rsidRPr="0062350D">
        <w:t>with</w:t>
      </w:r>
      <w:r w:rsidR="0062350D">
        <w:t xml:space="preserve"> </w:t>
      </w:r>
      <w:r w:rsidRPr="0062350D">
        <w:t>explanation</w:t>
      </w:r>
      <w:r w:rsidR="0062350D">
        <w:t xml:space="preserve"> </w:t>
      </w:r>
      <w:r w:rsidRPr="0062350D">
        <w:t>of</w:t>
      </w:r>
      <w:r w:rsidR="0062350D">
        <w:t xml:space="preserve"> </w:t>
      </w:r>
      <w:r w:rsidRPr="0062350D">
        <w:t>the</w:t>
      </w:r>
      <w:r w:rsidR="0062350D">
        <w:t xml:space="preserve"> </w:t>
      </w:r>
      <w:r w:rsidRPr="0062350D">
        <w:t>family</w:t>
      </w:r>
      <w:r w:rsidR="0062350D">
        <w:t xml:space="preserve"> </w:t>
      </w:r>
      <w:r w:rsidRPr="0062350D">
        <w:t>situation</w:t>
      </w:r>
      <w:r w:rsidR="0062350D">
        <w:t xml:space="preserve"> </w:t>
      </w:r>
      <w:r w:rsidRPr="0062350D">
        <w:t>of</w:t>
      </w:r>
      <w:r w:rsidR="0062350D">
        <w:t xml:space="preserve"> </w:t>
      </w:r>
      <w:r w:rsidRPr="0062350D">
        <w:t>B.A.A.</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that</w:t>
      </w:r>
      <w:r w:rsidR="0062350D">
        <w:t xml:space="preserve"> </w:t>
      </w:r>
      <w:r w:rsidRPr="0062350D">
        <w:t>the</w:t>
      </w:r>
      <w:r w:rsidR="0062350D">
        <w:t xml:space="preserve"> </w:t>
      </w:r>
      <w:r w:rsidRPr="0062350D">
        <w:t>claims</w:t>
      </w:r>
      <w:r w:rsidR="0062350D">
        <w:t xml:space="preserve"> </w:t>
      </w:r>
      <w:r w:rsidRPr="0062350D">
        <w:t>of</w:t>
      </w:r>
      <w:r w:rsidR="0062350D">
        <w:t xml:space="preserve"> </w:t>
      </w:r>
      <w:r w:rsidRPr="0062350D">
        <w:t>B.A.A.</w:t>
      </w:r>
      <w:r w:rsidR="0062350D">
        <w:t xml:space="preserve"> </w:t>
      </w:r>
      <w:r w:rsidRPr="0062350D">
        <w:t>have</w:t>
      </w:r>
      <w:r w:rsidR="0062350D">
        <w:t xml:space="preserve"> </w:t>
      </w:r>
      <w:r w:rsidRPr="0062350D">
        <w:t>been</w:t>
      </w:r>
      <w:r w:rsidR="0062350D">
        <w:t xml:space="preserve"> </w:t>
      </w:r>
      <w:r w:rsidRPr="0062350D">
        <w:t>sufficiently</w:t>
      </w:r>
      <w:r w:rsidR="0062350D">
        <w:t xml:space="preserve"> </w:t>
      </w:r>
      <w:r w:rsidRPr="0062350D">
        <w:t>substantiated</w:t>
      </w:r>
      <w:r w:rsidR="0062350D">
        <w:t xml:space="preserve"> </w:t>
      </w:r>
      <w:r w:rsidRPr="0062350D">
        <w:t>for</w:t>
      </w:r>
      <w:r w:rsidR="0062350D">
        <w:t xml:space="preserve"> </w:t>
      </w:r>
      <w:r w:rsidRPr="0062350D">
        <w:t>purposes</w:t>
      </w:r>
      <w:r w:rsidR="0062350D">
        <w:t xml:space="preserve"> </w:t>
      </w:r>
      <w:r w:rsidRPr="0062350D">
        <w:t>of</w:t>
      </w:r>
      <w:r w:rsidR="0062350D">
        <w:t xml:space="preserve"> </w:t>
      </w:r>
      <w:r w:rsidRPr="0062350D">
        <w:t>admissibility</w:t>
      </w:r>
      <w:r w:rsidR="0062350D">
        <w:t xml:space="preserve"> </w:t>
      </w:r>
      <w:r w:rsidRPr="0062350D">
        <w:t>and</w:t>
      </w:r>
      <w:r w:rsidR="0062350D">
        <w:t xml:space="preserve"> </w:t>
      </w:r>
      <w:r w:rsidRPr="0062350D">
        <w:t>declares</w:t>
      </w:r>
      <w:r w:rsidR="0062350D">
        <w:t xml:space="preserve"> </w:t>
      </w:r>
      <w:r w:rsidRPr="0062350D">
        <w:t>them</w:t>
      </w:r>
      <w:r w:rsidR="0062350D">
        <w:t xml:space="preserve"> </w:t>
      </w:r>
      <w:r w:rsidRPr="0062350D">
        <w:t>admissible.</w:t>
      </w:r>
      <w:r w:rsidR="0062350D">
        <w:t xml:space="preserve"> </w:t>
      </w:r>
      <w:r w:rsidRPr="0062350D">
        <w:t>Similar</w:t>
      </w:r>
      <w:r w:rsidR="0062350D">
        <w:t xml:space="preserve"> </w:t>
      </w:r>
      <w:r w:rsidRPr="0062350D">
        <w:t>claims</w:t>
      </w:r>
      <w:r w:rsidR="0062350D">
        <w:t xml:space="preserve"> </w:t>
      </w:r>
      <w:r w:rsidRPr="0062350D">
        <w:t>brought</w:t>
      </w:r>
      <w:r w:rsidR="0062350D">
        <w:t xml:space="preserve"> </w:t>
      </w:r>
      <w:r w:rsidRPr="0062350D">
        <w:t>on</w:t>
      </w:r>
      <w:r w:rsidR="0062350D">
        <w:t xml:space="preserve"> </w:t>
      </w:r>
      <w:r w:rsidRPr="0062350D">
        <w:t>behalf</w:t>
      </w:r>
      <w:r w:rsidR="0062350D">
        <w:t xml:space="preserve"> </w:t>
      </w:r>
      <w:r w:rsidRPr="0062350D">
        <w:t>of</w:t>
      </w:r>
      <w:r w:rsidR="0062350D">
        <w:t xml:space="preserve"> </w:t>
      </w:r>
      <w:r w:rsidRPr="0062350D">
        <w:t>the</w:t>
      </w:r>
      <w:r w:rsidR="0062350D">
        <w:t xml:space="preserve"> </w:t>
      </w:r>
      <w:r w:rsidRPr="0062350D">
        <w:t>remaining</w:t>
      </w:r>
      <w:r w:rsidR="0062350D">
        <w:t xml:space="preserve"> </w:t>
      </w:r>
      <w:r w:rsidRPr="0062350D">
        <w:t>authors</w:t>
      </w:r>
      <w:r w:rsidR="0062350D">
        <w:t xml:space="preserve"> </w:t>
      </w:r>
      <w:r w:rsidRPr="0062350D">
        <w:t>have</w:t>
      </w:r>
      <w:r w:rsidR="0062350D">
        <w:t xml:space="preserve"> </w:t>
      </w:r>
      <w:r w:rsidRPr="0062350D">
        <w:t>been</w:t>
      </w:r>
      <w:r w:rsidR="0062350D">
        <w:t xml:space="preserve"> </w:t>
      </w:r>
      <w:r w:rsidRPr="0062350D">
        <w:t>insufficiently</w:t>
      </w:r>
      <w:r w:rsidR="0062350D">
        <w:t xml:space="preserve"> </w:t>
      </w:r>
      <w:r w:rsidRPr="0062350D">
        <w:t>substantiated</w:t>
      </w:r>
      <w:r w:rsidR="0062350D">
        <w:t xml:space="preserve"> </w:t>
      </w:r>
      <w:r w:rsidRPr="0062350D">
        <w:t>for</w:t>
      </w:r>
      <w:r w:rsidR="0062350D">
        <w:t xml:space="preserve"> </w:t>
      </w:r>
      <w:r w:rsidRPr="0062350D">
        <w:t>purposes</w:t>
      </w:r>
      <w:r w:rsidR="0062350D">
        <w:t xml:space="preserve"> </w:t>
      </w:r>
      <w:r w:rsidRPr="0062350D">
        <w:t>of</w:t>
      </w:r>
      <w:r w:rsidR="0062350D">
        <w:t xml:space="preserve"> </w:t>
      </w:r>
      <w:r w:rsidRPr="0062350D">
        <w:t>admissibility</w:t>
      </w:r>
      <w:r w:rsidR="0062350D">
        <w:t xml:space="preserve"> </w:t>
      </w:r>
      <w:r w:rsidRPr="0062350D">
        <w:t>and</w:t>
      </w:r>
      <w:r w:rsidR="0062350D">
        <w:t xml:space="preserve"> </w:t>
      </w:r>
      <w:r w:rsidRPr="0062350D">
        <w:t>must</w:t>
      </w:r>
      <w:r w:rsidR="0062350D">
        <w:t xml:space="preserve"> </w:t>
      </w:r>
      <w:r w:rsidRPr="0062350D">
        <w:t>therefore</w:t>
      </w:r>
      <w:r w:rsidR="0062350D">
        <w:t xml:space="preserve"> </w:t>
      </w:r>
      <w:r w:rsidRPr="0062350D">
        <w:t>be</w:t>
      </w:r>
      <w:r w:rsidR="0062350D">
        <w:t xml:space="preserve"> </w:t>
      </w:r>
      <w:r w:rsidRPr="0062350D">
        <w:t>declared</w:t>
      </w:r>
      <w:r w:rsidR="0062350D">
        <w:t xml:space="preserve"> </w:t>
      </w:r>
      <w:r w:rsidRPr="0062350D">
        <w:t>inadmissible</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article</w:t>
      </w:r>
      <w:r w:rsidR="0062350D">
        <w:t xml:space="preserve"> </w:t>
      </w:r>
      <w:r w:rsidRPr="0062350D">
        <w:t>2</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p>
    <w:p w14:paraId="5CB6381C" w14:textId="107DCC5F" w:rsidR="007F12C3" w:rsidRPr="0062350D" w:rsidRDefault="007F12C3" w:rsidP="005D6A3F">
      <w:pPr>
        <w:pStyle w:val="SingleTxtG"/>
      </w:pPr>
      <w:r w:rsidRPr="0062350D">
        <w:t>7.7</w:t>
      </w:r>
      <w:r w:rsidRPr="0062350D">
        <w:tab/>
        <w:t>With</w:t>
      </w:r>
      <w:r w:rsidR="0062350D">
        <w:t xml:space="preserve"> </w:t>
      </w:r>
      <w:r w:rsidRPr="0062350D">
        <w:t>regard</w:t>
      </w:r>
      <w:r w:rsidR="0062350D">
        <w:t xml:space="preserve"> </w:t>
      </w:r>
      <w:r w:rsidRPr="0062350D">
        <w:t>to</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under</w:t>
      </w:r>
      <w:r w:rsidR="0062350D">
        <w:t xml:space="preserve"> </w:t>
      </w:r>
      <w:r w:rsidRPr="0062350D">
        <w:t>article</w:t>
      </w:r>
      <w:r w:rsidR="0062350D">
        <w:t xml:space="preserve"> </w:t>
      </w:r>
      <w:r w:rsidRPr="0062350D">
        <w:t>2</w:t>
      </w:r>
      <w:r w:rsidR="0062350D">
        <w:t xml:space="preserve"> </w:t>
      </w:r>
      <w:r w:rsidRPr="0062350D">
        <w:t>(3)</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Committee</w:t>
      </w:r>
      <w:r w:rsidR="0062350D">
        <w:t xml:space="preserve"> </w:t>
      </w:r>
      <w:r w:rsidRPr="0062350D">
        <w:t>recalls</w:t>
      </w:r>
      <w:r w:rsidR="0062350D">
        <w:t xml:space="preserve"> </w:t>
      </w:r>
      <w:r w:rsidRPr="0062350D">
        <w:t>its</w:t>
      </w:r>
      <w:r w:rsidR="0062350D">
        <w:t xml:space="preserve"> </w:t>
      </w:r>
      <w:r w:rsidRPr="0062350D">
        <w:t>jurisprudence</w:t>
      </w:r>
      <w:r w:rsidR="0062350D">
        <w:t xml:space="preserve"> </w:t>
      </w:r>
      <w:r w:rsidRPr="0062350D">
        <w:t>to</w:t>
      </w:r>
      <w:r w:rsidR="0062350D">
        <w:t xml:space="preserve"> </w:t>
      </w:r>
      <w:r w:rsidRPr="0062350D">
        <w:t>the</w:t>
      </w:r>
      <w:r w:rsidR="0062350D">
        <w:t xml:space="preserve"> </w:t>
      </w:r>
      <w:r w:rsidRPr="0062350D">
        <w:t>effect</w:t>
      </w:r>
      <w:r w:rsidR="0062350D">
        <w:t xml:space="preserve"> </w:t>
      </w:r>
      <w:r w:rsidRPr="0062350D">
        <w:t>that</w:t>
      </w:r>
      <w:r w:rsidR="0062350D">
        <w:t xml:space="preserve"> </w:t>
      </w:r>
      <w:r w:rsidRPr="0062350D">
        <w:t>the</w:t>
      </w:r>
      <w:r w:rsidR="0062350D">
        <w:t xml:space="preserve"> </w:t>
      </w:r>
      <w:r w:rsidRPr="0062350D">
        <w:t>provisions</w:t>
      </w:r>
      <w:r w:rsidR="0062350D">
        <w:t xml:space="preserve"> </w:t>
      </w:r>
      <w:r w:rsidRPr="0062350D">
        <w:t>of</w:t>
      </w:r>
      <w:r w:rsidR="0062350D">
        <w:t xml:space="preserve"> </w:t>
      </w:r>
      <w:r w:rsidRPr="0062350D">
        <w:t>article</w:t>
      </w:r>
      <w:r w:rsidR="0062350D">
        <w:t xml:space="preserve"> </w:t>
      </w:r>
      <w:r w:rsidRPr="0062350D">
        <w:t>2</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set</w:t>
      </w:r>
      <w:r w:rsidR="0062350D">
        <w:t xml:space="preserve"> </w:t>
      </w:r>
      <w:r w:rsidRPr="0062350D">
        <w:t>forth</w:t>
      </w:r>
      <w:r w:rsidR="0062350D">
        <w:t xml:space="preserve"> </w:t>
      </w:r>
      <w:r w:rsidRPr="0062350D">
        <w:t>a</w:t>
      </w:r>
      <w:r w:rsidR="0062350D">
        <w:t xml:space="preserve"> </w:t>
      </w:r>
      <w:r w:rsidRPr="0062350D">
        <w:t>general</w:t>
      </w:r>
      <w:r w:rsidR="0062350D">
        <w:t xml:space="preserve"> </w:t>
      </w:r>
      <w:r w:rsidRPr="0062350D">
        <w:t>obligation</w:t>
      </w:r>
      <w:r w:rsidR="0062350D">
        <w:t xml:space="preserve"> </w:t>
      </w:r>
      <w:r w:rsidRPr="0062350D">
        <w:t>for</w:t>
      </w:r>
      <w:r w:rsidR="0062350D">
        <w:t xml:space="preserve"> </w:t>
      </w:r>
      <w:r w:rsidRPr="0062350D">
        <w:t>States</w:t>
      </w:r>
      <w:r w:rsidR="0062350D">
        <w:t xml:space="preserve"> </w:t>
      </w:r>
      <w:r w:rsidRPr="0062350D">
        <w:t>parties</w:t>
      </w:r>
      <w:r w:rsidR="0062350D">
        <w:t xml:space="preserve"> </w:t>
      </w:r>
      <w:r w:rsidRPr="0062350D">
        <w:t>and</w:t>
      </w:r>
      <w:r w:rsidR="0062350D">
        <w:t xml:space="preserve"> </w:t>
      </w:r>
      <w:r w:rsidRPr="0062350D">
        <w:t>cannot</w:t>
      </w:r>
      <w:r w:rsidR="0062350D">
        <w:t xml:space="preserve"> </w:t>
      </w:r>
      <w:r w:rsidRPr="0062350D">
        <w:t>give</w:t>
      </w:r>
      <w:r w:rsidR="0062350D">
        <w:t xml:space="preserve"> </w:t>
      </w:r>
      <w:r w:rsidRPr="0062350D">
        <w:t>rise,</w:t>
      </w:r>
      <w:r w:rsidR="0062350D">
        <w:t xml:space="preserve"> </w:t>
      </w:r>
      <w:r w:rsidRPr="0062350D">
        <w:t>when</w:t>
      </w:r>
      <w:r w:rsidR="0062350D">
        <w:t xml:space="preserve"> </w:t>
      </w:r>
      <w:r w:rsidRPr="0062350D">
        <w:t>invoked</w:t>
      </w:r>
      <w:r w:rsidR="0062350D">
        <w:t xml:space="preserve"> </w:t>
      </w:r>
      <w:r w:rsidRPr="0062350D">
        <w:t>separately,</w:t>
      </w:r>
      <w:r w:rsidR="0062350D">
        <w:t xml:space="preserve"> </w:t>
      </w:r>
      <w:r w:rsidRPr="0062350D">
        <w:t>to</w:t>
      </w:r>
      <w:r w:rsidR="0062350D">
        <w:t xml:space="preserve"> </w:t>
      </w:r>
      <w:r w:rsidRPr="0062350D">
        <w:t>a</w:t>
      </w:r>
      <w:r w:rsidR="0062350D">
        <w:t xml:space="preserve"> </w:t>
      </w:r>
      <w:r w:rsidRPr="0062350D">
        <w:t>claim</w:t>
      </w:r>
      <w:r w:rsidR="0062350D">
        <w:t xml:space="preserve"> </w:t>
      </w:r>
      <w:r w:rsidRPr="0062350D">
        <w:t>in</w:t>
      </w:r>
      <w:r w:rsidR="0062350D">
        <w:t xml:space="preserve"> </w:t>
      </w:r>
      <w:r w:rsidRPr="0062350D">
        <w:t>a</w:t>
      </w:r>
      <w:r w:rsidR="0062350D">
        <w:t xml:space="preserve"> </w:t>
      </w:r>
      <w:r w:rsidRPr="0062350D">
        <w:t>communication</w:t>
      </w:r>
      <w:r w:rsidR="0062350D">
        <w:t xml:space="preserve"> </w:t>
      </w:r>
      <w:r w:rsidRPr="0062350D">
        <w:t>under</w:t>
      </w:r>
      <w:r w:rsidR="0062350D">
        <w:t xml:space="preserve"> </w:t>
      </w:r>
      <w:r w:rsidRPr="0062350D">
        <w:t>the</w:t>
      </w:r>
      <w:r w:rsidR="0062350D">
        <w:t xml:space="preserve"> </w:t>
      </w:r>
      <w:r w:rsidRPr="0062350D">
        <w:t>Optional</w:t>
      </w:r>
      <w:r w:rsidR="0062350D">
        <w:t xml:space="preserve"> </w:t>
      </w:r>
      <w:r w:rsidRPr="0062350D">
        <w:t>Protocol.</w:t>
      </w:r>
      <w:r w:rsidR="0062350D">
        <w:t xml:space="preserve"> </w:t>
      </w:r>
      <w:r w:rsidRPr="0062350D">
        <w:t>Consequently,</w:t>
      </w:r>
      <w:r w:rsidR="0062350D">
        <w:t xml:space="preserve"> </w:t>
      </w:r>
      <w:r w:rsidRPr="0062350D">
        <w:t>the</w:t>
      </w:r>
      <w:r w:rsidR="0062350D">
        <w:t xml:space="preserve"> </w:t>
      </w:r>
      <w:r w:rsidRPr="0062350D">
        <w:t>Committee</w:t>
      </w:r>
      <w:r w:rsidR="0062350D">
        <w:t xml:space="preserve"> </w:t>
      </w:r>
      <w:r w:rsidRPr="0062350D">
        <w:t>declares</w:t>
      </w:r>
      <w:r w:rsidR="0062350D">
        <w:t xml:space="preserve"> </w:t>
      </w:r>
      <w:r w:rsidRPr="0062350D">
        <w:t>this</w:t>
      </w:r>
      <w:r w:rsidR="0062350D">
        <w:t xml:space="preserve"> </w:t>
      </w:r>
      <w:r w:rsidRPr="0062350D">
        <w:t>part</w:t>
      </w:r>
      <w:r w:rsidR="0062350D">
        <w:t xml:space="preserve"> </w:t>
      </w:r>
      <w:r w:rsidRPr="0062350D">
        <w:t>of</w:t>
      </w:r>
      <w:r w:rsidR="0062350D">
        <w:t xml:space="preserve"> </w:t>
      </w:r>
      <w:r w:rsidRPr="0062350D">
        <w:t>the</w:t>
      </w:r>
      <w:r w:rsidR="0062350D">
        <w:t xml:space="preserve"> </w:t>
      </w:r>
      <w:r w:rsidRPr="0062350D">
        <w:t>communication</w:t>
      </w:r>
      <w:r w:rsidR="0062350D">
        <w:t xml:space="preserve"> </w:t>
      </w:r>
      <w:r w:rsidRPr="0062350D">
        <w:t>to</w:t>
      </w:r>
      <w:r w:rsidR="0062350D">
        <w:t xml:space="preserve"> </w:t>
      </w:r>
      <w:r w:rsidRPr="0062350D">
        <w:t>be</w:t>
      </w:r>
      <w:r w:rsidR="0062350D">
        <w:t xml:space="preserve"> </w:t>
      </w:r>
      <w:r w:rsidRPr="0062350D">
        <w:t>inadmissible</w:t>
      </w:r>
      <w:r w:rsidR="0062350D">
        <w:t xml:space="preserve"> </w:t>
      </w:r>
      <w:r w:rsidRPr="0062350D">
        <w:t>under</w:t>
      </w:r>
      <w:r w:rsidR="0062350D">
        <w:t xml:space="preserve"> </w:t>
      </w:r>
      <w:r w:rsidRPr="0062350D">
        <w:t>article</w:t>
      </w:r>
      <w:r w:rsidR="0062350D">
        <w:t xml:space="preserve"> </w:t>
      </w:r>
      <w:r w:rsidRPr="0062350D">
        <w:t>3</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p>
    <w:p w14:paraId="55937398" w14:textId="5EF567E0" w:rsidR="007F12C3" w:rsidRPr="0062350D" w:rsidRDefault="007F12C3" w:rsidP="005D6A3F">
      <w:pPr>
        <w:pStyle w:val="SingleTxtG"/>
      </w:pPr>
      <w:r w:rsidRPr="0062350D">
        <w:t>7.8</w:t>
      </w:r>
      <w:r w:rsidRPr="0062350D">
        <w:tab/>
        <w:t>Regarding</w:t>
      </w:r>
      <w:r w:rsidR="0062350D">
        <w:t xml:space="preserve"> </w:t>
      </w:r>
      <w:r w:rsidRPr="0062350D">
        <w:t>the</w:t>
      </w:r>
      <w:r w:rsidR="0062350D">
        <w:t xml:space="preserve"> </w:t>
      </w:r>
      <w:r w:rsidRPr="0062350D">
        <w:t>claims</w:t>
      </w:r>
      <w:r w:rsidR="0062350D">
        <w:t xml:space="preserve"> </w:t>
      </w:r>
      <w:r w:rsidRPr="0062350D">
        <w:t>under</w:t>
      </w:r>
      <w:r w:rsidR="0062350D">
        <w:t xml:space="preserve"> </w:t>
      </w:r>
      <w:r w:rsidRPr="0062350D">
        <w:t>articles</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about</w:t>
      </w:r>
      <w:r w:rsidR="0062350D">
        <w:t xml:space="preserve"> </w:t>
      </w:r>
      <w:r w:rsidRPr="0062350D">
        <w:t>the</w:t>
      </w:r>
      <w:r w:rsidR="0062350D">
        <w:t xml:space="preserve"> </w:t>
      </w:r>
      <w:r w:rsidRPr="0062350D">
        <w:t>authors</w:t>
      </w:r>
      <w:r w:rsidR="0062350D" w:rsidRPr="0062350D">
        <w:t>’</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that</w:t>
      </w:r>
      <w:r w:rsidR="0062350D">
        <w:t xml:space="preserve"> </w:t>
      </w:r>
      <w:r w:rsidRPr="0062350D">
        <w:t>they</w:t>
      </w:r>
      <w:r w:rsidR="0062350D">
        <w:t xml:space="preserve"> </w:t>
      </w:r>
      <w:r w:rsidRPr="0062350D">
        <w:t>have</w:t>
      </w:r>
      <w:r w:rsidR="0062350D">
        <w:t xml:space="preserve"> </w:t>
      </w:r>
      <w:r w:rsidRPr="0062350D">
        <w:t>been</w:t>
      </w:r>
      <w:r w:rsidR="0062350D">
        <w:t xml:space="preserve"> </w:t>
      </w:r>
      <w:r w:rsidRPr="0062350D">
        <w:t>sufficiently</w:t>
      </w:r>
      <w:r w:rsidR="0062350D">
        <w:t xml:space="preserve"> </w:t>
      </w:r>
      <w:r w:rsidRPr="0062350D">
        <w:t>substantiated</w:t>
      </w:r>
      <w:r w:rsidR="0062350D">
        <w:t xml:space="preserve"> </w:t>
      </w:r>
      <w:r w:rsidRPr="0062350D">
        <w:t>for</w:t>
      </w:r>
      <w:r w:rsidR="0062350D">
        <w:t xml:space="preserve"> </w:t>
      </w:r>
      <w:r w:rsidRPr="0062350D">
        <w:t>purposes</w:t>
      </w:r>
      <w:r w:rsidR="0062350D">
        <w:t xml:space="preserve"> </w:t>
      </w:r>
      <w:r w:rsidRPr="0062350D">
        <w:t>of</w:t>
      </w:r>
      <w:r w:rsidR="0062350D">
        <w:t xml:space="preserve"> </w:t>
      </w:r>
      <w:r w:rsidRPr="0062350D">
        <w:t>admissibility</w:t>
      </w:r>
      <w:r w:rsidR="0062350D">
        <w:t xml:space="preserve"> </w:t>
      </w:r>
      <w:r w:rsidRPr="0062350D">
        <w:t>and</w:t>
      </w:r>
      <w:r w:rsidR="0062350D">
        <w:t xml:space="preserve"> </w:t>
      </w:r>
      <w:r w:rsidRPr="0062350D">
        <w:t>declares</w:t>
      </w:r>
      <w:r w:rsidR="0062350D">
        <w:t xml:space="preserve"> </w:t>
      </w:r>
      <w:r w:rsidRPr="0062350D">
        <w:t>them</w:t>
      </w:r>
      <w:r w:rsidR="0062350D">
        <w:t xml:space="preserve"> </w:t>
      </w:r>
      <w:r w:rsidRPr="0062350D">
        <w:t>admissible.</w:t>
      </w:r>
    </w:p>
    <w:p w14:paraId="58223C98" w14:textId="73400B3C" w:rsidR="0062350D" w:rsidRPr="0062350D" w:rsidRDefault="007F12C3" w:rsidP="005D6A3F">
      <w:pPr>
        <w:pStyle w:val="SingleTxtG"/>
      </w:pPr>
      <w:r w:rsidRPr="0062350D">
        <w:t>7.9</w:t>
      </w:r>
      <w:r w:rsidRPr="0062350D">
        <w:tab/>
        <w:t>The</w:t>
      </w:r>
      <w:r w:rsidR="0062350D">
        <w:t xml:space="preserve"> </w:t>
      </w:r>
      <w:r w:rsidRPr="0062350D">
        <w:t>Committee</w:t>
      </w:r>
      <w:r w:rsidR="0062350D">
        <w:t xml:space="preserve"> </w:t>
      </w:r>
      <w:r w:rsidRPr="0062350D">
        <w:t>accordingly</w:t>
      </w:r>
      <w:r w:rsidR="0062350D">
        <w:t xml:space="preserve"> </w:t>
      </w:r>
      <w:r w:rsidRPr="0062350D">
        <w:t>decides</w:t>
      </w:r>
      <w:r w:rsidR="0062350D">
        <w:t xml:space="preserve"> </w:t>
      </w:r>
      <w:r w:rsidRPr="0062350D">
        <w:t>that</w:t>
      </w:r>
      <w:r w:rsidR="0062350D">
        <w:t xml:space="preserve"> </w:t>
      </w:r>
      <w:r w:rsidRPr="0062350D">
        <w:t>the</w:t>
      </w:r>
      <w:r w:rsidR="0062350D">
        <w:t xml:space="preserve"> </w:t>
      </w:r>
      <w:r w:rsidRPr="0062350D">
        <w:t>communication</w:t>
      </w:r>
      <w:r w:rsidR="0062350D">
        <w:t xml:space="preserve"> </w:t>
      </w:r>
      <w:r w:rsidRPr="0062350D">
        <w:t>is</w:t>
      </w:r>
      <w:r w:rsidR="0062350D">
        <w:t xml:space="preserve"> </w:t>
      </w:r>
      <w:r w:rsidRPr="0062350D">
        <w:t>admissible</w:t>
      </w:r>
      <w:r w:rsidR="0062350D">
        <w:t xml:space="preserve"> </w:t>
      </w:r>
      <w:r w:rsidRPr="0062350D">
        <w:t>insofar</w:t>
      </w:r>
      <w:r w:rsidR="0062350D">
        <w:t xml:space="preserve"> </w:t>
      </w:r>
      <w:r w:rsidRPr="0062350D">
        <w:t>as</w:t>
      </w:r>
      <w:r w:rsidR="0062350D">
        <w:t xml:space="preserve"> </w:t>
      </w:r>
      <w:r w:rsidRPr="0062350D">
        <w:t>it</w:t>
      </w:r>
      <w:r w:rsidR="0062350D">
        <w:t xml:space="preserve"> </w:t>
      </w:r>
      <w:r w:rsidRPr="0062350D">
        <w:t>appears</w:t>
      </w:r>
      <w:r w:rsidR="0062350D">
        <w:t xml:space="preserve"> </w:t>
      </w:r>
      <w:r w:rsidRPr="0062350D">
        <w:t>to</w:t>
      </w:r>
      <w:r w:rsidR="0062350D">
        <w:t xml:space="preserve"> </w:t>
      </w:r>
      <w:r w:rsidRPr="0062350D">
        <w:t>raise</w:t>
      </w:r>
      <w:r w:rsidR="0062350D">
        <w:t xml:space="preserve"> </w:t>
      </w:r>
      <w:r w:rsidRPr="0062350D">
        <w:t>issues</w:t>
      </w:r>
      <w:r w:rsidR="0062350D">
        <w:t xml:space="preserve"> </w:t>
      </w:r>
      <w:r w:rsidRPr="0062350D">
        <w:t>about</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under</w:t>
      </w:r>
      <w:r w:rsidR="0062350D">
        <w:t xml:space="preserve"> </w:t>
      </w:r>
      <w:r w:rsidRPr="0062350D">
        <w:t>articles</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with</w:t>
      </w:r>
      <w:r w:rsidR="0062350D">
        <w:t xml:space="preserve"> </w:t>
      </w:r>
      <w:r w:rsidRPr="0062350D">
        <w:t>respect</w:t>
      </w:r>
      <w:r w:rsidR="0062350D">
        <w:t xml:space="preserve"> </w:t>
      </w:r>
      <w:r w:rsidRPr="0062350D">
        <w:t>to</w:t>
      </w:r>
      <w:r w:rsidR="0062350D">
        <w:t xml:space="preserve"> </w:t>
      </w:r>
      <w:r w:rsidRPr="0062350D">
        <w:t>all</w:t>
      </w:r>
      <w:r w:rsidR="0062350D">
        <w:t xml:space="preserve"> </w:t>
      </w:r>
      <w:r w:rsidRPr="0062350D">
        <w:t>authors</w:t>
      </w:r>
      <w:r w:rsidR="0062350D">
        <w:t xml:space="preserve"> </w:t>
      </w:r>
      <w:r w:rsidRPr="0062350D">
        <w:t>and</w:t>
      </w:r>
      <w:r w:rsidR="0062350D">
        <w:t xml:space="preserve"> </w:t>
      </w:r>
      <w:r w:rsidRPr="0062350D">
        <w:t>under</w:t>
      </w:r>
      <w:r w:rsidR="0062350D">
        <w:t xml:space="preserve"> </w:t>
      </w:r>
      <w:r w:rsidRPr="0062350D">
        <w:t>articles</w:t>
      </w:r>
      <w:r w:rsidR="0062350D">
        <w:t xml:space="preserve"> </w:t>
      </w:r>
      <w:r w:rsidRPr="0062350D">
        <w:t>17,</w:t>
      </w:r>
      <w:r w:rsidR="0062350D">
        <w:t xml:space="preserve"> </w:t>
      </w:r>
      <w:r w:rsidRPr="0062350D">
        <w:t>23</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with</w:t>
      </w:r>
      <w:r w:rsidR="0062350D">
        <w:t xml:space="preserve"> </w:t>
      </w:r>
      <w:r w:rsidRPr="0062350D">
        <w:t>respect</w:t>
      </w:r>
      <w:r w:rsidR="0062350D">
        <w:t xml:space="preserve"> </w:t>
      </w:r>
      <w:r w:rsidRPr="0062350D">
        <w:t>to</w:t>
      </w:r>
      <w:r w:rsidR="0062350D">
        <w:t xml:space="preserve"> </w:t>
      </w:r>
      <w:r w:rsidRPr="0062350D">
        <w:t>B.A.A.</w:t>
      </w:r>
    </w:p>
    <w:p w14:paraId="1DD7537D" w14:textId="4746961A" w:rsidR="007F12C3" w:rsidRPr="0062350D" w:rsidRDefault="0062350D" w:rsidP="0062350D">
      <w:pPr>
        <w:pStyle w:val="H4G"/>
      </w:pPr>
      <w:r w:rsidRPr="0062350D">
        <w:tab/>
      </w:r>
      <w:r w:rsidRPr="0062350D">
        <w:tab/>
      </w:r>
      <w:r w:rsidR="007F12C3" w:rsidRPr="0062350D">
        <w:t>Consideration</w:t>
      </w:r>
      <w:r>
        <w:t xml:space="preserve"> </w:t>
      </w:r>
      <w:r w:rsidR="007F12C3" w:rsidRPr="0062350D">
        <w:t>of</w:t>
      </w:r>
      <w:r>
        <w:t xml:space="preserve"> </w:t>
      </w:r>
      <w:r w:rsidR="007F12C3" w:rsidRPr="0062350D">
        <w:t>the</w:t>
      </w:r>
      <w:r>
        <w:t xml:space="preserve"> </w:t>
      </w:r>
      <w:r w:rsidR="007F12C3" w:rsidRPr="0062350D">
        <w:t>merits</w:t>
      </w:r>
    </w:p>
    <w:p w14:paraId="68AAB1D5" w14:textId="5455B1CF" w:rsidR="007F12C3" w:rsidRPr="003B36EA" w:rsidRDefault="007F12C3" w:rsidP="003B36EA">
      <w:pPr>
        <w:pStyle w:val="SingleTxtG"/>
      </w:pPr>
      <w:r w:rsidRPr="003B36EA">
        <w:t>8.1</w:t>
      </w:r>
      <w:r w:rsidRPr="003B36EA">
        <w:tab/>
        <w:t>The</w:t>
      </w:r>
      <w:r w:rsidR="0062350D" w:rsidRPr="003B36EA">
        <w:t xml:space="preserve"> </w:t>
      </w:r>
      <w:r w:rsidRPr="003B36EA">
        <w:t>Committee</w:t>
      </w:r>
      <w:r w:rsidR="0062350D" w:rsidRPr="003B36EA">
        <w:t xml:space="preserve"> </w:t>
      </w:r>
      <w:r w:rsidRPr="003B36EA">
        <w:t>has</w:t>
      </w:r>
      <w:r w:rsidR="0062350D" w:rsidRPr="003B36EA">
        <w:t xml:space="preserve"> </w:t>
      </w:r>
      <w:r w:rsidRPr="003B36EA">
        <w:t>considered</w:t>
      </w:r>
      <w:r w:rsidR="0062350D" w:rsidRPr="003B36EA">
        <w:t xml:space="preserve"> </w:t>
      </w:r>
      <w:r w:rsidRPr="003B36EA">
        <w:t>the</w:t>
      </w:r>
      <w:r w:rsidR="0062350D" w:rsidRPr="003B36EA">
        <w:t xml:space="preserve"> </w:t>
      </w:r>
      <w:r w:rsidRPr="003B36EA">
        <w:t>communication</w:t>
      </w:r>
      <w:r w:rsidR="0062350D" w:rsidRPr="003B36EA">
        <w:t xml:space="preserve"> </w:t>
      </w:r>
      <w:r w:rsidRPr="003B36EA">
        <w:t>in</w:t>
      </w:r>
      <w:r w:rsidR="0062350D" w:rsidRPr="003B36EA">
        <w:t xml:space="preserve"> </w:t>
      </w:r>
      <w:r w:rsidRPr="003B36EA">
        <w:t>the</w:t>
      </w:r>
      <w:r w:rsidR="0062350D" w:rsidRPr="003B36EA">
        <w:t xml:space="preserve"> </w:t>
      </w:r>
      <w:r w:rsidRPr="003B36EA">
        <w:t>light</w:t>
      </w:r>
      <w:r w:rsidR="0062350D" w:rsidRPr="003B36EA">
        <w:t xml:space="preserve"> </w:t>
      </w:r>
      <w:r w:rsidRPr="003B36EA">
        <w:t>of</w:t>
      </w:r>
      <w:r w:rsidR="0062350D" w:rsidRPr="003B36EA">
        <w:t xml:space="preserve"> </w:t>
      </w:r>
      <w:r w:rsidRPr="003B36EA">
        <w:t>all</w:t>
      </w:r>
      <w:r w:rsidR="0062350D" w:rsidRPr="003B36EA">
        <w:t xml:space="preserve"> </w:t>
      </w:r>
      <w:r w:rsidRPr="003B36EA">
        <w:t>the</w:t>
      </w:r>
      <w:r w:rsidR="0062350D" w:rsidRPr="003B36EA">
        <w:t xml:space="preserve"> </w:t>
      </w:r>
      <w:r w:rsidRPr="003B36EA">
        <w:t>information</w:t>
      </w:r>
      <w:r w:rsidR="0062350D" w:rsidRPr="003B36EA">
        <w:t xml:space="preserve"> </w:t>
      </w:r>
      <w:r w:rsidRPr="003B36EA">
        <w:t>made</w:t>
      </w:r>
      <w:r w:rsidR="0062350D" w:rsidRPr="003B36EA">
        <w:t xml:space="preserve"> </w:t>
      </w:r>
      <w:r w:rsidRPr="003B36EA">
        <w:t>available</w:t>
      </w:r>
      <w:r w:rsidR="0062350D" w:rsidRPr="003B36EA">
        <w:t xml:space="preserve"> </w:t>
      </w:r>
      <w:r w:rsidRPr="003B36EA">
        <w:t>to</w:t>
      </w:r>
      <w:r w:rsidR="0062350D" w:rsidRPr="003B36EA">
        <w:t xml:space="preserve"> </w:t>
      </w:r>
      <w:r w:rsidRPr="003B36EA">
        <w:t>it</w:t>
      </w:r>
      <w:r w:rsidR="0062350D" w:rsidRPr="003B36EA">
        <w:t xml:space="preserve"> </w:t>
      </w:r>
      <w:r w:rsidRPr="003B36EA">
        <w:t>by</w:t>
      </w:r>
      <w:r w:rsidR="0062350D" w:rsidRPr="003B36EA">
        <w:t xml:space="preserve"> </w:t>
      </w:r>
      <w:r w:rsidRPr="003B36EA">
        <w:t>the</w:t>
      </w:r>
      <w:r w:rsidR="0062350D" w:rsidRPr="003B36EA">
        <w:t xml:space="preserve"> </w:t>
      </w:r>
      <w:r w:rsidRPr="003B36EA">
        <w:t>parties,</w:t>
      </w:r>
      <w:r w:rsidR="0062350D" w:rsidRPr="003B36EA">
        <w:t xml:space="preserve"> </w:t>
      </w:r>
      <w:r w:rsidRPr="003B36EA">
        <w:t>as</w:t>
      </w:r>
      <w:r w:rsidR="0062350D" w:rsidRPr="003B36EA">
        <w:t xml:space="preserve"> </w:t>
      </w:r>
      <w:r w:rsidRPr="003B36EA">
        <w:t>required</w:t>
      </w:r>
      <w:r w:rsidR="0062350D" w:rsidRPr="003B36EA">
        <w:t xml:space="preserve"> </w:t>
      </w:r>
      <w:r w:rsidRPr="003B36EA">
        <w:t>under</w:t>
      </w:r>
      <w:r w:rsidR="0062350D" w:rsidRPr="003B36EA">
        <w:t xml:space="preserve"> </w:t>
      </w:r>
      <w:r w:rsidRPr="003B36EA">
        <w:t>article</w:t>
      </w:r>
      <w:r w:rsidR="0062350D" w:rsidRPr="003B36EA">
        <w:t xml:space="preserve"> </w:t>
      </w:r>
      <w:r w:rsidRPr="003B36EA">
        <w:t>5</w:t>
      </w:r>
      <w:r w:rsidR="0062350D" w:rsidRPr="003B36EA">
        <w:t xml:space="preserve"> </w:t>
      </w:r>
      <w:r w:rsidRPr="003B36EA">
        <w:t>(1)</w:t>
      </w:r>
      <w:r w:rsidR="0062350D" w:rsidRPr="003B36EA">
        <w:t xml:space="preserve"> </w:t>
      </w:r>
      <w:r w:rsidRPr="003B36EA">
        <w:t>of</w:t>
      </w:r>
      <w:r w:rsidR="0062350D" w:rsidRPr="003B36EA">
        <w:t xml:space="preserve"> </w:t>
      </w:r>
      <w:r w:rsidRPr="003B36EA">
        <w:t>the</w:t>
      </w:r>
      <w:r w:rsidR="0062350D" w:rsidRPr="003B36EA">
        <w:t xml:space="preserve"> </w:t>
      </w:r>
      <w:r w:rsidRPr="003B36EA">
        <w:t>Optional</w:t>
      </w:r>
      <w:r w:rsidR="0062350D" w:rsidRPr="003B36EA">
        <w:t xml:space="preserve"> </w:t>
      </w:r>
      <w:r w:rsidRPr="003B36EA">
        <w:t>Protocol.</w:t>
      </w:r>
    </w:p>
    <w:p w14:paraId="7D2DB477" w14:textId="241FCAD1" w:rsidR="0062350D" w:rsidRPr="003B36EA" w:rsidRDefault="007F12C3" w:rsidP="003B36EA">
      <w:pPr>
        <w:pStyle w:val="SingleTxtG"/>
      </w:pPr>
      <w:r w:rsidRPr="003B36EA">
        <w:t>8.2</w:t>
      </w:r>
      <w:r w:rsidRPr="003B36EA">
        <w:tab/>
        <w:t>The</w:t>
      </w:r>
      <w:r w:rsidR="0062350D" w:rsidRPr="003B36EA">
        <w:t xml:space="preserve"> </w:t>
      </w:r>
      <w:r w:rsidRPr="003B36EA">
        <w:t>Committee</w:t>
      </w:r>
      <w:r w:rsidR="0062350D" w:rsidRPr="003B36EA">
        <w:t xml:space="preserve"> </w:t>
      </w:r>
      <w:r w:rsidRPr="003B36EA">
        <w:t>notes</w:t>
      </w:r>
      <w:r w:rsidR="0062350D" w:rsidRPr="003B36EA">
        <w:t xml:space="preserve"> </w:t>
      </w:r>
      <w:r w:rsidRPr="003B36EA">
        <w:t>the</w:t>
      </w:r>
      <w:r w:rsidR="0062350D" w:rsidRPr="003B36EA">
        <w:t xml:space="preserve"> </w:t>
      </w:r>
      <w:r w:rsidRPr="003B36EA">
        <w:t>claim</w:t>
      </w:r>
      <w:r w:rsidR="0062350D" w:rsidRPr="003B36EA">
        <w:t xml:space="preserve"> </w:t>
      </w:r>
      <w:r w:rsidRPr="003B36EA">
        <w:t>of</w:t>
      </w:r>
      <w:r w:rsidR="0062350D" w:rsidRPr="003B36EA">
        <w:t xml:space="preserve"> </w:t>
      </w:r>
      <w:r w:rsidRPr="003B36EA">
        <w:t>B.A.A.</w:t>
      </w:r>
      <w:r w:rsidR="0062350D" w:rsidRPr="003B36EA">
        <w:t xml:space="preserve"> </w:t>
      </w:r>
      <w:r w:rsidRPr="003B36EA">
        <w:t>that</w:t>
      </w:r>
      <w:r w:rsidR="0062350D" w:rsidRPr="003B36EA">
        <w:t xml:space="preserve"> </w:t>
      </w:r>
      <w:r w:rsidRPr="003B36EA">
        <w:t>he</w:t>
      </w:r>
      <w:r w:rsidR="0062350D" w:rsidRPr="003B36EA">
        <w:t xml:space="preserve"> </w:t>
      </w:r>
      <w:r w:rsidRPr="003B36EA">
        <w:t>was</w:t>
      </w:r>
      <w:r w:rsidR="0062350D" w:rsidRPr="003B36EA">
        <w:t xml:space="preserve"> </w:t>
      </w:r>
      <w:r w:rsidRPr="003B36EA">
        <w:t>not</w:t>
      </w:r>
      <w:r w:rsidR="0062350D" w:rsidRPr="003B36EA">
        <w:t xml:space="preserve"> </w:t>
      </w:r>
      <w:r w:rsidRPr="003B36EA">
        <w:t>allowed</w:t>
      </w:r>
      <w:r w:rsidR="0062350D" w:rsidRPr="003B36EA">
        <w:t xml:space="preserve"> </w:t>
      </w:r>
      <w:r w:rsidRPr="003B36EA">
        <w:t>to</w:t>
      </w:r>
      <w:r w:rsidR="0062350D" w:rsidRPr="003B36EA">
        <w:t xml:space="preserve"> </w:t>
      </w:r>
      <w:r w:rsidRPr="003B36EA">
        <w:t>reside</w:t>
      </w:r>
      <w:r w:rsidR="0062350D" w:rsidRPr="003B36EA">
        <w:t xml:space="preserve"> </w:t>
      </w:r>
      <w:r w:rsidRPr="003B36EA">
        <w:t>with</w:t>
      </w:r>
      <w:r w:rsidR="0062350D" w:rsidRPr="003B36EA">
        <w:t xml:space="preserve"> </w:t>
      </w:r>
      <w:r w:rsidRPr="003B36EA">
        <w:t>his</w:t>
      </w:r>
      <w:r w:rsidR="0062350D" w:rsidRPr="003B36EA">
        <w:t xml:space="preserve"> </w:t>
      </w:r>
      <w:r w:rsidRPr="003B36EA">
        <w:t>brother,</w:t>
      </w:r>
      <w:r w:rsidR="0062350D" w:rsidRPr="003B36EA">
        <w:t xml:space="preserve"> </w:t>
      </w:r>
      <w:r w:rsidRPr="003B36EA">
        <w:t>who</w:t>
      </w:r>
      <w:r w:rsidR="0062350D" w:rsidRPr="003B36EA">
        <w:t xml:space="preserve"> </w:t>
      </w:r>
      <w:r w:rsidRPr="003B36EA">
        <w:t>had</w:t>
      </w:r>
      <w:r w:rsidR="0062350D" w:rsidRPr="003B36EA">
        <w:t xml:space="preserve"> </w:t>
      </w:r>
      <w:r w:rsidRPr="003B36EA">
        <w:t>arrived</w:t>
      </w:r>
      <w:r w:rsidR="0062350D" w:rsidRPr="003B36EA">
        <w:t xml:space="preserve"> </w:t>
      </w:r>
      <w:r w:rsidRPr="003B36EA">
        <w:t>in</w:t>
      </w:r>
      <w:r w:rsidR="0062350D" w:rsidRPr="003B36EA">
        <w:t xml:space="preserve"> </w:t>
      </w:r>
      <w:r w:rsidRPr="003B36EA">
        <w:t>Australia</w:t>
      </w:r>
      <w:r w:rsidR="0062350D" w:rsidRPr="003B36EA">
        <w:t xml:space="preserve"> </w:t>
      </w:r>
      <w:r w:rsidRPr="003B36EA">
        <w:t>12</w:t>
      </w:r>
      <w:r w:rsidR="0062350D" w:rsidRPr="003B36EA">
        <w:t xml:space="preserve"> </w:t>
      </w:r>
      <w:r w:rsidRPr="003B36EA">
        <w:t>months</w:t>
      </w:r>
      <w:r w:rsidR="0062350D" w:rsidRPr="003B36EA">
        <w:t xml:space="preserve"> </w:t>
      </w:r>
      <w:r w:rsidRPr="003B36EA">
        <w:t>earlier</w:t>
      </w:r>
      <w:r w:rsidR="0062350D" w:rsidRPr="003B36EA">
        <w:t xml:space="preserve"> </w:t>
      </w:r>
      <w:r w:rsidRPr="003B36EA">
        <w:t>before</w:t>
      </w:r>
      <w:r w:rsidR="0062350D" w:rsidRPr="003B36EA">
        <w:t xml:space="preserve"> </w:t>
      </w:r>
      <w:r w:rsidRPr="003B36EA">
        <w:t>him,</w:t>
      </w:r>
      <w:r w:rsidR="0062350D" w:rsidRPr="003B36EA">
        <w:t xml:space="preserve"> </w:t>
      </w:r>
      <w:r w:rsidRPr="003B36EA">
        <w:t>in</w:t>
      </w:r>
      <w:r w:rsidR="0062350D" w:rsidRPr="003B36EA">
        <w:t xml:space="preserve"> </w:t>
      </w:r>
      <w:r w:rsidRPr="003B36EA">
        <w:t>violation</w:t>
      </w:r>
      <w:r w:rsidR="0062350D" w:rsidRPr="003B36EA">
        <w:t xml:space="preserve"> </w:t>
      </w:r>
      <w:r w:rsidRPr="003B36EA">
        <w:t>of</w:t>
      </w:r>
      <w:r w:rsidR="0062350D" w:rsidRPr="003B36EA">
        <w:t xml:space="preserve"> </w:t>
      </w:r>
      <w:r w:rsidRPr="003B36EA">
        <w:t>articles</w:t>
      </w:r>
      <w:r w:rsidR="0062350D" w:rsidRPr="003B36EA">
        <w:t xml:space="preserve"> </w:t>
      </w:r>
      <w:r w:rsidRPr="003B36EA">
        <w:t>17,</w:t>
      </w:r>
      <w:r w:rsidR="0062350D" w:rsidRPr="003B36EA">
        <w:t xml:space="preserve"> </w:t>
      </w:r>
      <w:r w:rsidRPr="003B36EA">
        <w:t>23</w:t>
      </w:r>
      <w:r w:rsidR="0062350D" w:rsidRPr="003B36EA">
        <w:t xml:space="preserve"> </w:t>
      </w:r>
      <w:r w:rsidRPr="003B36EA">
        <w:t>and</w:t>
      </w:r>
      <w:r w:rsidR="0062350D" w:rsidRPr="003B36EA">
        <w:t xml:space="preserve"> </w:t>
      </w:r>
      <w:r w:rsidRPr="003B36EA">
        <w:t>24</w:t>
      </w:r>
      <w:r w:rsidR="0062350D" w:rsidRPr="003B36EA">
        <w:t xml:space="preserve"> </w:t>
      </w:r>
      <w:r w:rsidRPr="003B36EA">
        <w:t>of</w:t>
      </w:r>
      <w:r w:rsidR="0062350D" w:rsidRPr="003B36EA">
        <w:t xml:space="preserve"> </w:t>
      </w:r>
      <w:r w:rsidRPr="003B36EA">
        <w:t>the</w:t>
      </w:r>
      <w:r w:rsidR="0062350D" w:rsidRPr="003B36EA">
        <w:t xml:space="preserve"> </w:t>
      </w:r>
      <w:r w:rsidRPr="003B36EA">
        <w:t>Covenant.</w:t>
      </w:r>
      <w:r w:rsidR="0062350D" w:rsidRPr="003B36EA">
        <w:t xml:space="preserve"> </w:t>
      </w:r>
      <w:r w:rsidRPr="003B36EA">
        <w:t>The</w:t>
      </w:r>
      <w:r w:rsidR="0062350D" w:rsidRPr="003B36EA">
        <w:t xml:space="preserve"> </w:t>
      </w:r>
      <w:r w:rsidRPr="003B36EA">
        <w:t>Committee</w:t>
      </w:r>
      <w:r w:rsidR="0062350D" w:rsidRPr="003B36EA">
        <w:t xml:space="preserve"> </w:t>
      </w:r>
      <w:r w:rsidRPr="003B36EA">
        <w:t>recalls</w:t>
      </w:r>
      <w:r w:rsidR="0062350D" w:rsidRPr="003B36EA">
        <w:t xml:space="preserve"> </w:t>
      </w:r>
      <w:r w:rsidRPr="003B36EA">
        <w:t>that,</w:t>
      </w:r>
      <w:r w:rsidR="0062350D" w:rsidRPr="003B36EA">
        <w:t xml:space="preserve"> </w:t>
      </w:r>
      <w:r w:rsidRPr="003B36EA">
        <w:t>in</w:t>
      </w:r>
      <w:r w:rsidR="0062350D" w:rsidRPr="003B36EA">
        <w:t xml:space="preserve"> </w:t>
      </w:r>
      <w:r w:rsidRPr="003B36EA">
        <w:t>accordance</w:t>
      </w:r>
      <w:r w:rsidR="0062350D" w:rsidRPr="003B36EA">
        <w:t xml:space="preserve"> </w:t>
      </w:r>
      <w:r w:rsidRPr="003B36EA">
        <w:t>with</w:t>
      </w:r>
      <w:r w:rsidR="0062350D" w:rsidRPr="003B36EA">
        <w:t xml:space="preserve"> </w:t>
      </w:r>
      <w:r w:rsidRPr="003B36EA">
        <w:t>the</w:t>
      </w:r>
      <w:r w:rsidR="0062350D" w:rsidRPr="003B36EA">
        <w:t xml:space="preserve"> </w:t>
      </w:r>
      <w:r w:rsidRPr="003B36EA">
        <w:t>submissions</w:t>
      </w:r>
      <w:r w:rsidR="0062350D" w:rsidRPr="003B36EA">
        <w:t xml:space="preserve"> </w:t>
      </w:r>
      <w:r w:rsidRPr="003B36EA">
        <w:t>of</w:t>
      </w:r>
      <w:r w:rsidR="0062350D" w:rsidRPr="003B36EA">
        <w:t xml:space="preserve"> </w:t>
      </w:r>
      <w:r w:rsidRPr="003B36EA">
        <w:t>the</w:t>
      </w:r>
      <w:r w:rsidR="0062350D" w:rsidRPr="003B36EA">
        <w:t xml:space="preserve"> </w:t>
      </w:r>
      <w:r w:rsidRPr="003B36EA">
        <w:t>parties,</w:t>
      </w:r>
      <w:r w:rsidR="0062350D" w:rsidRPr="003B36EA">
        <w:t xml:space="preserve"> </w:t>
      </w:r>
      <w:r w:rsidRPr="003B36EA">
        <w:t>the</w:t>
      </w:r>
      <w:r w:rsidR="0062350D" w:rsidRPr="003B36EA">
        <w:t xml:space="preserve"> </w:t>
      </w:r>
      <w:r w:rsidRPr="003B36EA">
        <w:t>author</w:t>
      </w:r>
      <w:r w:rsidR="0062350D" w:rsidRPr="003B36EA">
        <w:t xml:space="preserve"> </w:t>
      </w:r>
      <w:r w:rsidRPr="003B36EA">
        <w:t>arrived</w:t>
      </w:r>
      <w:r w:rsidR="0062350D" w:rsidRPr="003B36EA">
        <w:t xml:space="preserve"> </w:t>
      </w:r>
      <w:r w:rsidRPr="003B36EA">
        <w:t>in</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in</w:t>
      </w:r>
      <w:r w:rsidR="0062350D" w:rsidRPr="003B36EA">
        <w:t xml:space="preserve"> </w:t>
      </w:r>
      <w:r w:rsidRPr="003B36EA">
        <w:t>October</w:t>
      </w:r>
      <w:r w:rsidR="0062350D" w:rsidRPr="003B36EA">
        <w:t xml:space="preserve"> </w:t>
      </w:r>
      <w:r w:rsidRPr="003B36EA">
        <w:t>2013.</w:t>
      </w:r>
      <w:r w:rsidR="0062350D" w:rsidRPr="003B36EA">
        <w:t xml:space="preserve"> </w:t>
      </w:r>
      <w:r w:rsidRPr="003B36EA">
        <w:t>At</w:t>
      </w:r>
      <w:r w:rsidR="0062350D" w:rsidRPr="003B36EA">
        <w:t xml:space="preserve"> </w:t>
      </w:r>
      <w:r w:rsidRPr="003B36EA">
        <w:t>that</w:t>
      </w:r>
      <w:r w:rsidR="0062350D" w:rsidRPr="003B36EA">
        <w:t xml:space="preserve"> </w:t>
      </w:r>
      <w:r w:rsidRPr="003B36EA">
        <w:t>time</w:t>
      </w:r>
      <w:r w:rsidR="0062350D" w:rsidRPr="003B36EA">
        <w:t xml:space="preserve"> </w:t>
      </w:r>
      <w:r w:rsidRPr="003B36EA">
        <w:t>his</w:t>
      </w:r>
      <w:r w:rsidR="0062350D" w:rsidRPr="003B36EA">
        <w:t xml:space="preserve"> </w:t>
      </w:r>
      <w:r w:rsidRPr="003B36EA">
        <w:t>brother</w:t>
      </w:r>
      <w:r w:rsidR="0062350D" w:rsidRPr="003B36EA">
        <w:t xml:space="preserve"> </w:t>
      </w:r>
      <w:r w:rsidRPr="003B36EA">
        <w:t>was</w:t>
      </w:r>
      <w:r w:rsidR="0062350D" w:rsidRPr="003B36EA">
        <w:t xml:space="preserve"> </w:t>
      </w:r>
      <w:r w:rsidRPr="003B36EA">
        <w:t>in</w:t>
      </w:r>
      <w:r w:rsidR="0062350D" w:rsidRPr="003B36EA">
        <w:t xml:space="preserve"> </w:t>
      </w:r>
      <w:r w:rsidRPr="003B36EA">
        <w:t>a</w:t>
      </w:r>
      <w:r w:rsidR="0062350D" w:rsidRPr="003B36EA">
        <w:t xml:space="preserve"> </w:t>
      </w:r>
      <w:r w:rsidRPr="003B36EA">
        <w:t>community</w:t>
      </w:r>
      <w:r w:rsidR="0062350D" w:rsidRPr="003B36EA">
        <w:t xml:space="preserve"> </w:t>
      </w:r>
      <w:r w:rsidRPr="003B36EA">
        <w:t>detention</w:t>
      </w:r>
      <w:r w:rsidR="0062350D" w:rsidRPr="003B36EA">
        <w:t xml:space="preserve"> </w:t>
      </w:r>
      <w:r w:rsidRPr="003B36EA">
        <w:t>centre</w:t>
      </w:r>
      <w:r w:rsidR="0062350D" w:rsidRPr="003B36EA">
        <w:t xml:space="preserve"> </w:t>
      </w:r>
      <w:r w:rsidRPr="003B36EA">
        <w:t>on</w:t>
      </w:r>
      <w:r w:rsidR="0062350D" w:rsidRPr="003B36EA">
        <w:t xml:space="preserve"> </w:t>
      </w:r>
      <w:r w:rsidRPr="003B36EA">
        <w:t>the</w:t>
      </w:r>
      <w:r w:rsidR="0062350D" w:rsidRPr="003B36EA">
        <w:t xml:space="preserve"> </w:t>
      </w:r>
      <w:r w:rsidRPr="003B36EA">
        <w:t>mainland.</w:t>
      </w:r>
      <w:r w:rsidR="0062350D" w:rsidRPr="003B36EA">
        <w:t xml:space="preserve"> </w:t>
      </w:r>
      <w:r w:rsidRPr="003B36EA">
        <w:t>On</w:t>
      </w:r>
      <w:r w:rsidR="0062350D" w:rsidRPr="003B36EA">
        <w:t xml:space="preserve"> </w:t>
      </w:r>
      <w:r w:rsidRPr="003B36EA">
        <w:t>an</w:t>
      </w:r>
      <w:r w:rsidR="0062350D" w:rsidRPr="003B36EA">
        <w:t xml:space="preserve"> </w:t>
      </w:r>
      <w:r w:rsidRPr="003B36EA">
        <w:t>unspecified</w:t>
      </w:r>
      <w:r w:rsidR="0062350D" w:rsidRPr="003B36EA">
        <w:t xml:space="preserve"> </w:t>
      </w:r>
      <w:r w:rsidRPr="003B36EA">
        <w:t>date,</w:t>
      </w:r>
      <w:r w:rsidR="0062350D" w:rsidRPr="003B36EA">
        <w:t xml:space="preserve"> </w:t>
      </w:r>
      <w:r w:rsidRPr="003B36EA">
        <w:t>the</w:t>
      </w:r>
      <w:r w:rsidR="0062350D" w:rsidRPr="003B36EA">
        <w:t xml:space="preserve"> </w:t>
      </w:r>
      <w:r w:rsidRPr="003B36EA">
        <w:t>author</w:t>
      </w:r>
      <w:r w:rsidR="0062350D" w:rsidRPr="003B36EA">
        <w:t xml:space="preserve"> </w:t>
      </w:r>
      <w:r w:rsidRPr="003B36EA">
        <w:t>requested</w:t>
      </w:r>
      <w:r w:rsidR="0062350D" w:rsidRPr="003B36EA">
        <w:t xml:space="preserve"> </w:t>
      </w:r>
      <w:r w:rsidRPr="003B36EA">
        <w:t>to</w:t>
      </w:r>
      <w:r w:rsidR="0062350D" w:rsidRPr="003B36EA">
        <w:t xml:space="preserve"> </w:t>
      </w:r>
      <w:r w:rsidRPr="003B36EA">
        <w:t>be</w:t>
      </w:r>
      <w:r w:rsidR="0062350D" w:rsidRPr="003B36EA">
        <w:t xml:space="preserve"> </w:t>
      </w:r>
      <w:r w:rsidRPr="003B36EA">
        <w:t>transferred</w:t>
      </w:r>
      <w:r w:rsidR="0062350D" w:rsidRPr="003B36EA">
        <w:t xml:space="preserve"> </w:t>
      </w:r>
      <w:r w:rsidRPr="003B36EA">
        <w:t>under</w:t>
      </w:r>
      <w:r w:rsidR="0062350D" w:rsidRPr="003B36EA">
        <w:t xml:space="preserve"> </w:t>
      </w:r>
      <w:r w:rsidRPr="003B36EA">
        <w:t>his</w:t>
      </w:r>
      <w:r w:rsidR="0062350D" w:rsidRPr="003B36EA">
        <w:t xml:space="preserve"> </w:t>
      </w:r>
      <w:r w:rsidRPr="003B36EA">
        <w:t>brother</w:t>
      </w:r>
      <w:r w:rsidR="0062350D" w:rsidRPr="003B36EA">
        <w:t>’</w:t>
      </w:r>
      <w:r w:rsidRPr="003B36EA">
        <w:t>s</w:t>
      </w:r>
      <w:r w:rsidR="0062350D" w:rsidRPr="003B36EA">
        <w:t xml:space="preserve"> </w:t>
      </w:r>
      <w:r w:rsidRPr="003B36EA">
        <w:t>care,</w:t>
      </w:r>
      <w:r w:rsidR="0062350D" w:rsidRPr="003B36EA">
        <w:t xml:space="preserve"> </w:t>
      </w:r>
      <w:r w:rsidRPr="003B36EA">
        <w:t>but,</w:t>
      </w:r>
      <w:r w:rsidR="0062350D" w:rsidRPr="003B36EA">
        <w:t xml:space="preserve"> </w:t>
      </w:r>
      <w:r w:rsidRPr="003B36EA">
        <w:t>as</w:t>
      </w:r>
      <w:r w:rsidR="0062350D" w:rsidRPr="003B36EA">
        <w:t xml:space="preserve"> </w:t>
      </w:r>
      <w:r w:rsidRPr="003B36EA">
        <w:t>the</w:t>
      </w:r>
      <w:r w:rsidR="0062350D" w:rsidRPr="003B36EA">
        <w:t xml:space="preserve"> </w:t>
      </w:r>
      <w:r w:rsidRPr="003B36EA">
        <w:t>latter</w:t>
      </w:r>
      <w:r w:rsidR="0062350D" w:rsidRPr="003B36EA">
        <w:t xml:space="preserve"> </w:t>
      </w:r>
      <w:r w:rsidRPr="003B36EA">
        <w:t>was</w:t>
      </w:r>
      <w:r w:rsidR="0062350D" w:rsidRPr="003B36EA">
        <w:t xml:space="preserve"> </w:t>
      </w:r>
      <w:r w:rsidRPr="003B36EA">
        <w:t>a</w:t>
      </w:r>
      <w:r w:rsidR="0062350D" w:rsidRPr="003B36EA">
        <w:t xml:space="preserve"> </w:t>
      </w:r>
      <w:r w:rsidRPr="003B36EA">
        <w:t>minor</w:t>
      </w:r>
      <w:r w:rsidR="0062350D" w:rsidRPr="003B36EA">
        <w:t xml:space="preserve"> </w:t>
      </w:r>
      <w:r w:rsidRPr="003B36EA">
        <w:t>at</w:t>
      </w:r>
      <w:r w:rsidR="0062350D" w:rsidRPr="003B36EA">
        <w:t xml:space="preserve"> </w:t>
      </w:r>
      <w:r w:rsidRPr="003B36EA">
        <w:t>the</w:t>
      </w:r>
      <w:r w:rsidR="0062350D" w:rsidRPr="003B36EA">
        <w:t xml:space="preserve"> </w:t>
      </w:r>
      <w:r w:rsidRPr="003B36EA">
        <w:t>time,</w:t>
      </w:r>
      <w:r w:rsidR="0062350D" w:rsidRPr="003B36EA">
        <w:t xml:space="preserve"> </w:t>
      </w:r>
      <w:r w:rsidRPr="003B36EA">
        <w:t>the</w:t>
      </w:r>
      <w:r w:rsidR="0062350D" w:rsidRPr="003B36EA">
        <w:t xml:space="preserve"> </w:t>
      </w:r>
      <w:r w:rsidRPr="003B36EA">
        <w:t>request</w:t>
      </w:r>
      <w:r w:rsidR="0062350D" w:rsidRPr="003B36EA">
        <w:t xml:space="preserve"> </w:t>
      </w:r>
      <w:r w:rsidRPr="003B36EA">
        <w:t>was</w:t>
      </w:r>
      <w:r w:rsidR="0062350D" w:rsidRPr="003B36EA">
        <w:t xml:space="preserve"> </w:t>
      </w:r>
      <w:r w:rsidRPr="003B36EA">
        <w:t>denied.</w:t>
      </w:r>
      <w:r w:rsidR="0062350D" w:rsidRPr="003B36EA">
        <w:t xml:space="preserve"> </w:t>
      </w:r>
      <w:r w:rsidRPr="003B36EA">
        <w:t>In</w:t>
      </w:r>
      <w:r w:rsidR="0062350D" w:rsidRPr="003B36EA">
        <w:t xml:space="preserve"> </w:t>
      </w:r>
      <w:r w:rsidRPr="003B36EA">
        <w:t>December</w:t>
      </w:r>
      <w:r w:rsidR="0062350D" w:rsidRPr="003B36EA">
        <w:t xml:space="preserve"> </w:t>
      </w:r>
      <w:r w:rsidRPr="003B36EA">
        <w:t>2014,</w:t>
      </w:r>
      <w:r w:rsidR="0062350D" w:rsidRPr="003B36EA">
        <w:t xml:space="preserve"> </w:t>
      </w:r>
      <w:r w:rsidRPr="003B36EA">
        <w:t>the</w:t>
      </w:r>
      <w:r w:rsidR="0062350D" w:rsidRPr="003B36EA">
        <w:t xml:space="preserve"> </w:t>
      </w:r>
      <w:r w:rsidRPr="003B36EA">
        <w:t>author</w:t>
      </w:r>
      <w:r w:rsidR="0062350D" w:rsidRPr="003B36EA">
        <w:t xml:space="preserve"> </w:t>
      </w:r>
      <w:r w:rsidRPr="003B36EA">
        <w:t>was</w:t>
      </w:r>
      <w:r w:rsidR="0062350D" w:rsidRPr="003B36EA">
        <w:t xml:space="preserve"> </w:t>
      </w:r>
      <w:r w:rsidRPr="003B36EA">
        <w:t>transferred</w:t>
      </w:r>
      <w:r w:rsidR="0062350D" w:rsidRPr="003B36EA">
        <w:t xml:space="preserve"> </w:t>
      </w:r>
      <w:r w:rsidRPr="003B36EA">
        <w:t>from</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and</w:t>
      </w:r>
      <w:r w:rsidR="0062350D" w:rsidRPr="003B36EA">
        <w:t xml:space="preserve"> </w:t>
      </w:r>
      <w:r w:rsidRPr="003B36EA">
        <w:t>initially</w:t>
      </w:r>
      <w:r w:rsidR="0062350D" w:rsidRPr="003B36EA">
        <w:t xml:space="preserve"> </w:t>
      </w:r>
      <w:r w:rsidRPr="003B36EA">
        <w:t>was</w:t>
      </w:r>
      <w:r w:rsidR="0062350D" w:rsidRPr="003B36EA">
        <w:t xml:space="preserve"> </w:t>
      </w:r>
      <w:r w:rsidRPr="003B36EA">
        <w:t>placed</w:t>
      </w:r>
      <w:r w:rsidR="0062350D" w:rsidRPr="003B36EA">
        <w:t xml:space="preserve"> </w:t>
      </w:r>
      <w:r w:rsidRPr="003B36EA">
        <w:t>in</w:t>
      </w:r>
      <w:r w:rsidR="0062350D" w:rsidRPr="003B36EA">
        <w:t xml:space="preserve"> </w:t>
      </w:r>
      <w:r w:rsidRPr="003B36EA">
        <w:t>an</w:t>
      </w:r>
      <w:r w:rsidR="0062350D" w:rsidRPr="003B36EA">
        <w:t xml:space="preserve"> </w:t>
      </w:r>
      <w:r w:rsidRPr="003B36EA">
        <w:t>alternative</w:t>
      </w:r>
      <w:r w:rsidR="0062350D" w:rsidRPr="003B36EA">
        <w:t xml:space="preserve"> </w:t>
      </w:r>
      <w:r w:rsidRPr="003B36EA">
        <w:t>place</w:t>
      </w:r>
      <w:r w:rsidR="0062350D" w:rsidRPr="003B36EA">
        <w:t xml:space="preserve"> </w:t>
      </w:r>
      <w:r w:rsidRPr="003B36EA">
        <w:t>of</w:t>
      </w:r>
      <w:r w:rsidR="0062350D" w:rsidRPr="003B36EA">
        <w:t xml:space="preserve"> </w:t>
      </w:r>
      <w:r w:rsidRPr="003B36EA">
        <w:t>detention</w:t>
      </w:r>
      <w:r w:rsidR="0062350D" w:rsidRPr="003B36EA">
        <w:t xml:space="preserve"> </w:t>
      </w:r>
      <w:r w:rsidRPr="003B36EA">
        <w:t>for</w:t>
      </w:r>
      <w:r w:rsidR="0062350D" w:rsidRPr="003B36EA">
        <w:t xml:space="preserve"> </w:t>
      </w:r>
      <w:r w:rsidRPr="003B36EA">
        <w:t>eight</w:t>
      </w:r>
      <w:r w:rsidR="0062350D" w:rsidRPr="003B36EA">
        <w:t xml:space="preserve"> </w:t>
      </w:r>
      <w:r w:rsidRPr="003B36EA">
        <w:t>days.</w:t>
      </w:r>
      <w:r w:rsidR="0062350D" w:rsidRPr="003B36EA">
        <w:t xml:space="preserve"> </w:t>
      </w:r>
      <w:r w:rsidRPr="003B36EA">
        <w:t>After</w:t>
      </w:r>
      <w:r w:rsidR="0062350D" w:rsidRPr="003B36EA">
        <w:t xml:space="preserve"> </w:t>
      </w:r>
      <w:r w:rsidRPr="003B36EA">
        <w:t>that,</w:t>
      </w:r>
      <w:r w:rsidR="0062350D" w:rsidRPr="003B36EA">
        <w:t xml:space="preserve"> </w:t>
      </w:r>
      <w:r w:rsidRPr="003B36EA">
        <w:t>the</w:t>
      </w:r>
      <w:r w:rsidR="0062350D" w:rsidRPr="003B36EA">
        <w:t xml:space="preserve"> </w:t>
      </w:r>
      <w:r w:rsidRPr="003B36EA">
        <w:t>author</w:t>
      </w:r>
      <w:r w:rsidR="0062350D" w:rsidRPr="003B36EA">
        <w:t xml:space="preserve"> </w:t>
      </w:r>
      <w:r w:rsidRPr="003B36EA">
        <w:t>was</w:t>
      </w:r>
      <w:r w:rsidR="0062350D" w:rsidRPr="003B36EA">
        <w:t xml:space="preserve"> </w:t>
      </w:r>
      <w:r w:rsidRPr="003B36EA">
        <w:t>moved</w:t>
      </w:r>
      <w:r w:rsidR="0062350D" w:rsidRPr="003B36EA">
        <w:t xml:space="preserve"> </w:t>
      </w:r>
      <w:r w:rsidRPr="003B36EA">
        <w:t>and</w:t>
      </w:r>
      <w:r w:rsidR="0062350D" w:rsidRPr="003B36EA">
        <w:t xml:space="preserve"> </w:t>
      </w:r>
      <w:r w:rsidRPr="003B36EA">
        <w:t>reunited</w:t>
      </w:r>
      <w:r w:rsidR="0062350D" w:rsidRPr="003B36EA">
        <w:t xml:space="preserve"> </w:t>
      </w:r>
      <w:r w:rsidRPr="003B36EA">
        <w:t>with</w:t>
      </w:r>
      <w:r w:rsidR="0062350D" w:rsidRPr="003B36EA">
        <w:t xml:space="preserve"> </w:t>
      </w:r>
      <w:r w:rsidRPr="003B36EA">
        <w:t>his</w:t>
      </w:r>
      <w:r w:rsidR="0062350D" w:rsidRPr="003B36EA">
        <w:t xml:space="preserve"> </w:t>
      </w:r>
      <w:r w:rsidRPr="003B36EA">
        <w:t>brother</w:t>
      </w:r>
      <w:r w:rsidR="0062350D" w:rsidRPr="003B36EA">
        <w:t xml:space="preserve"> </w:t>
      </w:r>
      <w:r w:rsidRPr="003B36EA">
        <w:t>in</w:t>
      </w:r>
      <w:r w:rsidR="0062350D" w:rsidRPr="003B36EA">
        <w:t xml:space="preserve"> </w:t>
      </w:r>
      <w:r w:rsidRPr="003B36EA">
        <w:t>a</w:t>
      </w:r>
      <w:r w:rsidR="0062350D" w:rsidRPr="003B36EA">
        <w:t xml:space="preserve"> </w:t>
      </w:r>
      <w:r w:rsidRPr="003B36EA">
        <w:t>community</w:t>
      </w:r>
      <w:r w:rsidR="0062350D" w:rsidRPr="003B36EA">
        <w:t xml:space="preserve"> </w:t>
      </w:r>
      <w:r w:rsidRPr="003B36EA">
        <w:t>detention</w:t>
      </w:r>
      <w:r w:rsidR="0062350D" w:rsidRPr="003B36EA">
        <w:t xml:space="preserve"> </w:t>
      </w:r>
      <w:r w:rsidRPr="003B36EA">
        <w:t>centre.</w:t>
      </w:r>
      <w:r w:rsidR="0062350D" w:rsidRPr="003B36EA">
        <w:t xml:space="preserve"> </w:t>
      </w:r>
      <w:r w:rsidRPr="003B36EA">
        <w:t>On</w:t>
      </w:r>
      <w:r w:rsidR="0062350D" w:rsidRPr="003B36EA">
        <w:t xml:space="preserve"> </w:t>
      </w:r>
      <w:r w:rsidRPr="003B36EA">
        <w:t>an</w:t>
      </w:r>
      <w:r w:rsidR="0062350D" w:rsidRPr="003B36EA">
        <w:t xml:space="preserve"> </w:t>
      </w:r>
      <w:r w:rsidRPr="003B36EA">
        <w:t>unspecified</w:t>
      </w:r>
      <w:r w:rsidR="0062350D" w:rsidRPr="003B36EA">
        <w:t xml:space="preserve"> </w:t>
      </w:r>
      <w:r w:rsidRPr="003B36EA">
        <w:t>date,</w:t>
      </w:r>
      <w:r w:rsidR="0062350D" w:rsidRPr="003B36EA">
        <w:t xml:space="preserve"> </w:t>
      </w:r>
      <w:r w:rsidRPr="003B36EA">
        <w:t>the</w:t>
      </w:r>
      <w:r w:rsidR="0062350D" w:rsidRPr="003B36EA">
        <w:t xml:space="preserve"> </w:t>
      </w:r>
      <w:r w:rsidRPr="003B36EA">
        <w:t>author</w:t>
      </w:r>
      <w:r w:rsidR="0062350D" w:rsidRPr="003B36EA">
        <w:t>’</w:t>
      </w:r>
      <w:r w:rsidRPr="003B36EA">
        <w:t>s</w:t>
      </w:r>
      <w:r w:rsidR="0062350D" w:rsidRPr="003B36EA">
        <w:t xml:space="preserve"> </w:t>
      </w:r>
      <w:r w:rsidRPr="003B36EA">
        <w:t>brother,</w:t>
      </w:r>
      <w:r w:rsidR="0062350D" w:rsidRPr="003B36EA">
        <w:t xml:space="preserve"> </w:t>
      </w:r>
      <w:r w:rsidRPr="003B36EA">
        <w:t>upon</w:t>
      </w:r>
      <w:r w:rsidR="0062350D" w:rsidRPr="003B36EA">
        <w:t xml:space="preserve"> </w:t>
      </w:r>
      <w:r w:rsidRPr="003B36EA">
        <w:t>turning</w:t>
      </w:r>
      <w:r w:rsidR="0062350D" w:rsidRPr="003B36EA">
        <w:t xml:space="preserve"> </w:t>
      </w:r>
      <w:r w:rsidRPr="003B36EA">
        <w:t>18,</w:t>
      </w:r>
      <w:r w:rsidR="0062350D" w:rsidRPr="003B36EA">
        <w:t xml:space="preserve"> </w:t>
      </w:r>
      <w:r w:rsidRPr="003B36EA">
        <w:t>was</w:t>
      </w:r>
      <w:r w:rsidR="0062350D" w:rsidRPr="003B36EA">
        <w:t xml:space="preserve"> </w:t>
      </w:r>
      <w:r w:rsidRPr="003B36EA">
        <w:t>released</w:t>
      </w:r>
      <w:r w:rsidR="0062350D" w:rsidRPr="003B36EA">
        <w:t xml:space="preserve"> </w:t>
      </w:r>
      <w:r w:rsidRPr="003B36EA">
        <w:t>from</w:t>
      </w:r>
      <w:r w:rsidR="0062350D" w:rsidRPr="003B36EA">
        <w:t xml:space="preserve"> </w:t>
      </w:r>
      <w:r w:rsidRPr="003B36EA">
        <w:t>the</w:t>
      </w:r>
      <w:r w:rsidR="0062350D" w:rsidRPr="003B36EA">
        <w:t xml:space="preserve"> </w:t>
      </w:r>
      <w:r w:rsidRPr="003B36EA">
        <w:t>detention</w:t>
      </w:r>
      <w:r w:rsidR="0062350D" w:rsidRPr="003B36EA">
        <w:t xml:space="preserve"> </w:t>
      </w:r>
      <w:r w:rsidRPr="003B36EA">
        <w:t>centre</w:t>
      </w:r>
      <w:r w:rsidR="0062350D" w:rsidRPr="003B36EA">
        <w:t xml:space="preserve"> </w:t>
      </w:r>
      <w:r w:rsidRPr="003B36EA">
        <w:t>and</w:t>
      </w:r>
      <w:r w:rsidR="0062350D" w:rsidRPr="003B36EA">
        <w:t xml:space="preserve"> </w:t>
      </w:r>
      <w:r w:rsidRPr="003B36EA">
        <w:t>was</w:t>
      </w:r>
      <w:r w:rsidR="0062350D" w:rsidRPr="003B36EA">
        <w:t xml:space="preserve"> </w:t>
      </w:r>
      <w:r w:rsidRPr="003B36EA">
        <w:t>granted</w:t>
      </w:r>
      <w:r w:rsidR="0062350D" w:rsidRPr="003B36EA">
        <w:t xml:space="preserve"> </w:t>
      </w:r>
      <w:r w:rsidRPr="003B36EA">
        <w:t>a</w:t>
      </w:r>
      <w:r w:rsidR="0062350D" w:rsidRPr="003B36EA">
        <w:t xml:space="preserve"> </w:t>
      </w:r>
      <w:r w:rsidRPr="003B36EA">
        <w:t>Bridging</w:t>
      </w:r>
      <w:r w:rsidR="0062350D" w:rsidRPr="003B36EA">
        <w:t xml:space="preserve"> </w:t>
      </w:r>
      <w:r w:rsidRPr="003B36EA">
        <w:t>visa.</w:t>
      </w:r>
      <w:r w:rsidR="0062350D" w:rsidRPr="003B36EA">
        <w:t xml:space="preserve"> </w:t>
      </w:r>
      <w:r w:rsidRPr="003B36EA">
        <w:t>While</w:t>
      </w:r>
      <w:r w:rsidR="0062350D" w:rsidRPr="003B36EA">
        <w:t xml:space="preserve"> </w:t>
      </w:r>
      <w:r w:rsidRPr="003B36EA">
        <w:t>staying</w:t>
      </w:r>
      <w:r w:rsidR="0062350D" w:rsidRPr="003B36EA">
        <w:t xml:space="preserve"> </w:t>
      </w:r>
      <w:r w:rsidRPr="003B36EA">
        <w:t>on</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B.A.A.</w:t>
      </w:r>
      <w:r w:rsidR="0062350D" w:rsidRPr="003B36EA">
        <w:t xml:space="preserve"> </w:t>
      </w:r>
      <w:r w:rsidRPr="003B36EA">
        <w:t>had</w:t>
      </w:r>
      <w:r w:rsidR="0062350D" w:rsidRPr="003B36EA">
        <w:t xml:space="preserve"> </w:t>
      </w:r>
      <w:r w:rsidRPr="003B36EA">
        <w:t>regular</w:t>
      </w:r>
      <w:r w:rsidR="0062350D" w:rsidRPr="003B36EA">
        <w:t xml:space="preserve"> </w:t>
      </w:r>
      <w:r w:rsidRPr="003B36EA">
        <w:t>phone</w:t>
      </w:r>
      <w:r w:rsidR="0062350D" w:rsidRPr="003B36EA">
        <w:t xml:space="preserve"> </w:t>
      </w:r>
      <w:r w:rsidRPr="003B36EA">
        <w:t>contacts</w:t>
      </w:r>
      <w:r w:rsidR="0062350D" w:rsidRPr="003B36EA">
        <w:t xml:space="preserve"> </w:t>
      </w:r>
      <w:r w:rsidRPr="003B36EA">
        <w:t>with</w:t>
      </w:r>
      <w:r w:rsidR="0062350D" w:rsidRPr="003B36EA">
        <w:t xml:space="preserve"> </w:t>
      </w:r>
      <w:r w:rsidRPr="003B36EA">
        <w:t>his</w:t>
      </w:r>
      <w:r w:rsidR="0062350D" w:rsidRPr="003B36EA">
        <w:t xml:space="preserve"> </w:t>
      </w:r>
      <w:r w:rsidRPr="003B36EA">
        <w:t>brother</w:t>
      </w:r>
      <w:r w:rsidR="0062350D" w:rsidRPr="003B36EA">
        <w:t xml:space="preserve"> </w:t>
      </w:r>
      <w:r w:rsidRPr="003B36EA">
        <w:t>who</w:t>
      </w:r>
      <w:r w:rsidR="0062350D" w:rsidRPr="003B36EA">
        <w:t xml:space="preserve"> </w:t>
      </w:r>
      <w:r w:rsidRPr="003B36EA">
        <w:t>had</w:t>
      </w:r>
      <w:r w:rsidR="0062350D" w:rsidRPr="003B36EA">
        <w:t xml:space="preserve"> </w:t>
      </w:r>
      <w:r w:rsidRPr="003B36EA">
        <w:t>been</w:t>
      </w:r>
      <w:r w:rsidR="0062350D" w:rsidRPr="003B36EA">
        <w:t xml:space="preserve"> </w:t>
      </w:r>
      <w:r w:rsidRPr="003B36EA">
        <w:t>living</w:t>
      </w:r>
      <w:r w:rsidR="0062350D" w:rsidRPr="003B36EA">
        <w:t xml:space="preserve"> </w:t>
      </w:r>
      <w:r w:rsidRPr="003B36EA">
        <w:t>close</w:t>
      </w:r>
      <w:r w:rsidR="0062350D" w:rsidRPr="003B36EA">
        <w:t xml:space="preserve"> </w:t>
      </w:r>
      <w:r w:rsidRPr="003B36EA">
        <w:t>to</w:t>
      </w:r>
      <w:r w:rsidR="0062350D" w:rsidRPr="003B36EA">
        <w:t xml:space="preserve"> </w:t>
      </w:r>
      <w:r w:rsidRPr="003B36EA">
        <w:t>the</w:t>
      </w:r>
      <w:r w:rsidR="0062350D" w:rsidRPr="003B36EA">
        <w:t xml:space="preserve"> </w:t>
      </w:r>
      <w:r w:rsidRPr="003B36EA">
        <w:t>detention</w:t>
      </w:r>
      <w:r w:rsidR="0062350D" w:rsidRPr="003B36EA">
        <w:t xml:space="preserve"> </w:t>
      </w:r>
      <w:r w:rsidRPr="003B36EA">
        <w:t>centre.</w:t>
      </w:r>
      <w:r w:rsidR="0062350D" w:rsidRPr="003B36EA">
        <w:t xml:space="preserve"> </w:t>
      </w:r>
      <w:r w:rsidRPr="003B36EA">
        <w:t>He</w:t>
      </w:r>
      <w:r w:rsidR="0062350D" w:rsidRPr="003B36EA">
        <w:t xml:space="preserve"> </w:t>
      </w:r>
      <w:r w:rsidRPr="003B36EA">
        <w:t>also</w:t>
      </w:r>
      <w:r w:rsidR="0062350D" w:rsidRPr="003B36EA">
        <w:t xml:space="preserve"> </w:t>
      </w:r>
      <w:r w:rsidRPr="003B36EA">
        <w:t>had</w:t>
      </w:r>
      <w:r w:rsidR="0062350D" w:rsidRPr="003B36EA">
        <w:t xml:space="preserve"> </w:t>
      </w:r>
      <w:r w:rsidRPr="003B36EA">
        <w:t>short-term</w:t>
      </w:r>
      <w:r w:rsidR="0062350D" w:rsidRPr="003B36EA">
        <w:t xml:space="preserve"> </w:t>
      </w:r>
      <w:r w:rsidRPr="003B36EA">
        <w:t>visits</w:t>
      </w:r>
      <w:r w:rsidR="0062350D" w:rsidRPr="003B36EA">
        <w:t xml:space="preserve"> </w:t>
      </w:r>
      <w:r w:rsidRPr="003B36EA">
        <w:t>with</w:t>
      </w:r>
      <w:r w:rsidR="0062350D" w:rsidRPr="003B36EA">
        <w:t xml:space="preserve"> </w:t>
      </w:r>
      <w:r w:rsidRPr="003B36EA">
        <w:t>him.</w:t>
      </w:r>
      <w:r w:rsidR="0062350D" w:rsidRPr="003B36EA">
        <w:t xml:space="preserve"> </w:t>
      </w:r>
      <w:r w:rsidRPr="003B36EA">
        <w:t>The</w:t>
      </w:r>
      <w:r w:rsidR="0062350D" w:rsidRPr="003B36EA">
        <w:t xml:space="preserve"> </w:t>
      </w:r>
      <w:r w:rsidRPr="003B36EA">
        <w:t>Committee</w:t>
      </w:r>
      <w:r w:rsidR="0062350D" w:rsidRPr="003B36EA">
        <w:t xml:space="preserve"> </w:t>
      </w:r>
      <w:r w:rsidRPr="003B36EA">
        <w:t>notes</w:t>
      </w:r>
      <w:r w:rsidR="0062350D" w:rsidRPr="003B36EA">
        <w:t xml:space="preserve"> </w:t>
      </w:r>
      <w:r w:rsidRPr="003B36EA">
        <w:t>the</w:t>
      </w:r>
      <w:r w:rsidR="0062350D" w:rsidRPr="003B36EA">
        <w:t xml:space="preserve"> </w:t>
      </w:r>
      <w:r w:rsidRPr="003B36EA">
        <w:t>State</w:t>
      </w:r>
      <w:r w:rsidR="0062350D" w:rsidRPr="003B36EA">
        <w:t xml:space="preserve"> </w:t>
      </w:r>
      <w:r w:rsidRPr="003B36EA">
        <w:t>party</w:t>
      </w:r>
      <w:r w:rsidR="0062350D" w:rsidRPr="003B36EA">
        <w:t>’</w:t>
      </w:r>
      <w:r w:rsidRPr="003B36EA">
        <w:t>s</w:t>
      </w:r>
      <w:r w:rsidR="0062350D" w:rsidRPr="003B36EA">
        <w:t xml:space="preserve"> </w:t>
      </w:r>
      <w:r w:rsidRPr="003B36EA">
        <w:t>argument,</w:t>
      </w:r>
      <w:r w:rsidR="0062350D" w:rsidRPr="003B36EA">
        <w:t xml:space="preserve"> </w:t>
      </w:r>
      <w:r w:rsidRPr="003B36EA">
        <w:t>that</w:t>
      </w:r>
      <w:r w:rsidR="0062350D" w:rsidRPr="003B36EA">
        <w:t xml:space="preserve"> </w:t>
      </w:r>
      <w:r w:rsidRPr="003B36EA">
        <w:t>it</w:t>
      </w:r>
      <w:r w:rsidR="0062350D" w:rsidRPr="003B36EA">
        <w:t xml:space="preserve"> </w:t>
      </w:r>
      <w:r w:rsidRPr="003B36EA">
        <w:t>was</w:t>
      </w:r>
      <w:r w:rsidR="0062350D" w:rsidRPr="003B36EA">
        <w:t xml:space="preserve"> </w:t>
      </w:r>
      <w:r w:rsidRPr="003B36EA">
        <w:t>not</w:t>
      </w:r>
      <w:r w:rsidR="0062350D" w:rsidRPr="003B36EA">
        <w:t xml:space="preserve"> </w:t>
      </w:r>
      <w:r w:rsidRPr="003B36EA">
        <w:t>possible</w:t>
      </w:r>
      <w:r w:rsidR="0062350D" w:rsidRPr="003B36EA">
        <w:t xml:space="preserve"> </w:t>
      </w:r>
      <w:r w:rsidRPr="003B36EA">
        <w:t>to</w:t>
      </w:r>
      <w:r w:rsidR="0062350D" w:rsidRPr="003B36EA">
        <w:t xml:space="preserve"> </w:t>
      </w:r>
      <w:r w:rsidRPr="003B36EA">
        <w:t>transfer</w:t>
      </w:r>
      <w:r w:rsidR="0062350D" w:rsidRPr="003B36EA">
        <w:t xml:space="preserve"> </w:t>
      </w:r>
      <w:r w:rsidRPr="003B36EA">
        <w:t>guardianship</w:t>
      </w:r>
      <w:r w:rsidR="0062350D" w:rsidRPr="003B36EA">
        <w:t xml:space="preserve"> </w:t>
      </w:r>
      <w:r w:rsidRPr="003B36EA">
        <w:t>over</w:t>
      </w:r>
      <w:r w:rsidR="0062350D" w:rsidRPr="003B36EA">
        <w:t xml:space="preserve"> </w:t>
      </w:r>
      <w:r w:rsidRPr="003B36EA">
        <w:t>B.A.A.</w:t>
      </w:r>
      <w:r w:rsidR="0062350D" w:rsidRPr="003B36EA">
        <w:t xml:space="preserve"> </w:t>
      </w:r>
      <w:r w:rsidRPr="003B36EA">
        <w:t>to</w:t>
      </w:r>
      <w:r w:rsidR="0062350D" w:rsidRPr="003B36EA">
        <w:t xml:space="preserve"> </w:t>
      </w:r>
      <w:r w:rsidRPr="003B36EA">
        <w:t>his</w:t>
      </w:r>
      <w:r w:rsidR="0062350D" w:rsidRPr="003B36EA">
        <w:t xml:space="preserve"> </w:t>
      </w:r>
      <w:r w:rsidRPr="003B36EA">
        <w:t>brother</w:t>
      </w:r>
      <w:r w:rsidR="0062350D" w:rsidRPr="003B36EA">
        <w:t xml:space="preserve"> </w:t>
      </w:r>
      <w:r w:rsidRPr="003B36EA">
        <w:t>while</w:t>
      </w:r>
      <w:r w:rsidR="0062350D" w:rsidRPr="003B36EA">
        <w:t xml:space="preserve"> </w:t>
      </w:r>
      <w:r w:rsidRPr="003B36EA">
        <w:t>the</w:t>
      </w:r>
      <w:r w:rsidR="0062350D" w:rsidRPr="003B36EA">
        <w:t xml:space="preserve"> </w:t>
      </w:r>
      <w:r w:rsidRPr="003B36EA">
        <w:t>latter</w:t>
      </w:r>
      <w:r w:rsidR="0062350D" w:rsidRPr="003B36EA">
        <w:t xml:space="preserve"> </w:t>
      </w:r>
      <w:r w:rsidRPr="003B36EA">
        <w:t>was</w:t>
      </w:r>
      <w:r w:rsidR="0062350D" w:rsidRPr="003B36EA">
        <w:t xml:space="preserve"> </w:t>
      </w:r>
      <w:r w:rsidRPr="003B36EA">
        <w:lastRenderedPageBreak/>
        <w:t>still</w:t>
      </w:r>
      <w:r w:rsidR="0062350D" w:rsidRPr="003B36EA">
        <w:t xml:space="preserve"> </w:t>
      </w:r>
      <w:r w:rsidRPr="003B36EA">
        <w:t>a</w:t>
      </w:r>
      <w:r w:rsidR="0062350D" w:rsidRPr="003B36EA">
        <w:t xml:space="preserve"> </w:t>
      </w:r>
      <w:r w:rsidRPr="003B36EA">
        <w:t>minor.</w:t>
      </w:r>
      <w:r w:rsidR="0062350D" w:rsidRPr="003B36EA">
        <w:t xml:space="preserve"> </w:t>
      </w:r>
      <w:r w:rsidRPr="003B36EA">
        <w:t>After</w:t>
      </w:r>
      <w:r w:rsidR="0062350D" w:rsidRPr="003B36EA">
        <w:t xml:space="preserve"> </w:t>
      </w:r>
      <w:r w:rsidRPr="003B36EA">
        <w:t>the</w:t>
      </w:r>
      <w:r w:rsidR="0062350D" w:rsidRPr="003B36EA">
        <w:t xml:space="preserve"> </w:t>
      </w:r>
      <w:r w:rsidRPr="003B36EA">
        <w:t>author</w:t>
      </w:r>
      <w:r w:rsidR="0062350D" w:rsidRPr="003B36EA">
        <w:t>’</w:t>
      </w:r>
      <w:r w:rsidRPr="003B36EA">
        <w:t>s</w:t>
      </w:r>
      <w:r w:rsidR="0062350D" w:rsidRPr="003B36EA">
        <w:t xml:space="preserve"> </w:t>
      </w:r>
      <w:r w:rsidRPr="003B36EA">
        <w:t>brother</w:t>
      </w:r>
      <w:r w:rsidR="0062350D" w:rsidRPr="003B36EA">
        <w:t xml:space="preserve"> </w:t>
      </w:r>
      <w:r w:rsidRPr="003B36EA">
        <w:t>turned</w:t>
      </w:r>
      <w:r w:rsidR="0062350D" w:rsidRPr="003B36EA">
        <w:t xml:space="preserve"> </w:t>
      </w:r>
      <w:r w:rsidRPr="003B36EA">
        <w:t>18,</w:t>
      </w:r>
      <w:r w:rsidR="0062350D" w:rsidRPr="003B36EA">
        <w:t xml:space="preserve"> </w:t>
      </w:r>
      <w:r w:rsidRPr="003B36EA">
        <w:t>the</w:t>
      </w:r>
      <w:r w:rsidR="0062350D" w:rsidRPr="003B36EA">
        <w:t xml:space="preserve"> </w:t>
      </w:r>
      <w:r w:rsidRPr="003B36EA">
        <w:t>national</w:t>
      </w:r>
      <w:r w:rsidR="0062350D" w:rsidRPr="003B36EA">
        <w:t xml:space="preserve"> </w:t>
      </w:r>
      <w:r w:rsidRPr="003B36EA">
        <w:t>authorities</w:t>
      </w:r>
      <w:r w:rsidR="0062350D" w:rsidRPr="003B36EA">
        <w:t xml:space="preserve"> </w:t>
      </w:r>
      <w:r w:rsidRPr="003B36EA">
        <w:t>decided</w:t>
      </w:r>
      <w:r w:rsidR="0062350D" w:rsidRPr="003B36EA">
        <w:t xml:space="preserve"> </w:t>
      </w:r>
      <w:r w:rsidRPr="003B36EA">
        <w:t>that</w:t>
      </w:r>
      <w:r w:rsidR="0062350D" w:rsidRPr="003B36EA">
        <w:t xml:space="preserve"> </w:t>
      </w:r>
      <w:r w:rsidRPr="003B36EA">
        <w:t>it</w:t>
      </w:r>
      <w:r w:rsidR="0062350D" w:rsidRPr="003B36EA">
        <w:t xml:space="preserve"> </w:t>
      </w:r>
      <w:r w:rsidRPr="003B36EA">
        <w:t>was</w:t>
      </w:r>
      <w:r w:rsidR="0062350D" w:rsidRPr="003B36EA">
        <w:t xml:space="preserve"> </w:t>
      </w:r>
      <w:r w:rsidRPr="003B36EA">
        <w:t>in</w:t>
      </w:r>
      <w:r w:rsidR="0062350D" w:rsidRPr="003B36EA">
        <w:t xml:space="preserve"> </w:t>
      </w:r>
      <w:r w:rsidRPr="003B36EA">
        <w:t>B.A.A.</w:t>
      </w:r>
      <w:r w:rsidR="0062350D" w:rsidRPr="003B36EA">
        <w:t>’</w:t>
      </w:r>
      <w:r w:rsidRPr="003B36EA">
        <w:t>s</w:t>
      </w:r>
      <w:r w:rsidR="0062350D" w:rsidRPr="003B36EA">
        <w:t xml:space="preserve"> </w:t>
      </w:r>
      <w:r w:rsidRPr="003B36EA">
        <w:t>best</w:t>
      </w:r>
      <w:r w:rsidR="0062350D" w:rsidRPr="003B36EA">
        <w:t xml:space="preserve"> </w:t>
      </w:r>
      <w:r w:rsidRPr="003B36EA">
        <w:t>interests</w:t>
      </w:r>
      <w:r w:rsidR="0062350D" w:rsidRPr="003B36EA">
        <w:t xml:space="preserve"> </w:t>
      </w:r>
      <w:r w:rsidRPr="003B36EA">
        <w:t>that</w:t>
      </w:r>
      <w:r w:rsidR="0062350D" w:rsidRPr="003B36EA">
        <w:t xml:space="preserve"> </w:t>
      </w:r>
      <w:r w:rsidRPr="003B36EA">
        <w:t>he</w:t>
      </w:r>
      <w:r w:rsidR="0062350D" w:rsidRPr="003B36EA">
        <w:t xml:space="preserve"> </w:t>
      </w:r>
      <w:r w:rsidRPr="003B36EA">
        <w:t>remain</w:t>
      </w:r>
      <w:r w:rsidR="0062350D" w:rsidRPr="003B36EA">
        <w:t xml:space="preserve"> </w:t>
      </w:r>
      <w:r w:rsidRPr="003B36EA">
        <w:t>in</w:t>
      </w:r>
      <w:r w:rsidR="0062350D" w:rsidRPr="003B36EA">
        <w:t xml:space="preserve"> </w:t>
      </w:r>
      <w:r w:rsidRPr="003B36EA">
        <w:t>a</w:t>
      </w:r>
      <w:r w:rsidR="0062350D" w:rsidRPr="003B36EA">
        <w:t xml:space="preserve"> </w:t>
      </w:r>
      <w:r w:rsidRPr="003B36EA">
        <w:t>community</w:t>
      </w:r>
      <w:r w:rsidR="0062350D" w:rsidRPr="003B36EA">
        <w:t xml:space="preserve"> </w:t>
      </w:r>
      <w:r w:rsidRPr="003B36EA">
        <w:t>detention</w:t>
      </w:r>
      <w:r w:rsidR="0062350D" w:rsidRPr="003B36EA">
        <w:t xml:space="preserve"> </w:t>
      </w:r>
      <w:r w:rsidRPr="003B36EA">
        <w:t>centre</w:t>
      </w:r>
      <w:r w:rsidR="0062350D" w:rsidRPr="003B36EA">
        <w:t xml:space="preserve"> </w:t>
      </w:r>
      <w:r w:rsidRPr="003B36EA">
        <w:t>as</w:t>
      </w:r>
      <w:r w:rsidR="0062350D" w:rsidRPr="003B36EA">
        <w:t xml:space="preserve"> </w:t>
      </w:r>
      <w:r w:rsidRPr="003B36EA">
        <w:t>his</w:t>
      </w:r>
      <w:r w:rsidR="0062350D" w:rsidRPr="003B36EA">
        <w:t xml:space="preserve"> </w:t>
      </w:r>
      <w:r w:rsidRPr="003B36EA">
        <w:t>brother</w:t>
      </w:r>
      <w:r w:rsidR="0062350D" w:rsidRPr="003B36EA">
        <w:t xml:space="preserve"> </w:t>
      </w:r>
      <w:r w:rsidRPr="003B36EA">
        <w:t>was</w:t>
      </w:r>
      <w:r w:rsidR="0062350D" w:rsidRPr="003B36EA">
        <w:t xml:space="preserve"> </w:t>
      </w:r>
      <w:r w:rsidRPr="003B36EA">
        <w:t>unable</w:t>
      </w:r>
      <w:r w:rsidR="0062350D" w:rsidRPr="003B36EA">
        <w:t xml:space="preserve"> </w:t>
      </w:r>
      <w:r w:rsidRPr="003B36EA">
        <w:t>to</w:t>
      </w:r>
      <w:r w:rsidR="0062350D" w:rsidRPr="003B36EA">
        <w:t xml:space="preserve"> </w:t>
      </w:r>
      <w:r w:rsidRPr="003B36EA">
        <w:t>provide</w:t>
      </w:r>
      <w:r w:rsidR="0062350D" w:rsidRPr="003B36EA">
        <w:t xml:space="preserve"> </w:t>
      </w:r>
      <w:r w:rsidRPr="003B36EA">
        <w:t>all</w:t>
      </w:r>
      <w:r w:rsidR="0062350D" w:rsidRPr="003B36EA">
        <w:t xml:space="preserve"> </w:t>
      </w:r>
      <w:r w:rsidRPr="003B36EA">
        <w:t>required</w:t>
      </w:r>
      <w:r w:rsidR="0062350D" w:rsidRPr="003B36EA">
        <w:t xml:space="preserve"> </w:t>
      </w:r>
      <w:r w:rsidRPr="003B36EA">
        <w:t>services</w:t>
      </w:r>
      <w:r w:rsidR="0062350D" w:rsidRPr="003B36EA">
        <w:t xml:space="preserve"> </w:t>
      </w:r>
      <w:r w:rsidRPr="003B36EA">
        <w:t>and</w:t>
      </w:r>
      <w:r w:rsidR="0062350D" w:rsidRPr="003B36EA">
        <w:t xml:space="preserve"> </w:t>
      </w:r>
      <w:r w:rsidRPr="003B36EA">
        <w:t>appropriate</w:t>
      </w:r>
      <w:r w:rsidR="0062350D" w:rsidRPr="003B36EA">
        <w:t xml:space="preserve"> </w:t>
      </w:r>
      <w:r w:rsidRPr="003B36EA">
        <w:t>living</w:t>
      </w:r>
      <w:r w:rsidR="0062350D" w:rsidRPr="003B36EA">
        <w:t xml:space="preserve"> </w:t>
      </w:r>
      <w:r w:rsidRPr="003B36EA">
        <w:t>conditions.</w:t>
      </w:r>
      <w:r w:rsidR="0062350D" w:rsidRPr="003B36EA">
        <w:t xml:space="preserve"> </w:t>
      </w:r>
      <w:r w:rsidRPr="003B36EA">
        <w:t>At</w:t>
      </w:r>
      <w:r w:rsidR="0062350D" w:rsidRPr="003B36EA">
        <w:t xml:space="preserve"> </w:t>
      </w:r>
      <w:r w:rsidRPr="003B36EA">
        <w:t>the</w:t>
      </w:r>
      <w:r w:rsidR="0062350D" w:rsidRPr="003B36EA">
        <w:t xml:space="preserve"> </w:t>
      </w:r>
      <w:r w:rsidRPr="003B36EA">
        <w:t>same</w:t>
      </w:r>
      <w:r w:rsidR="0062350D" w:rsidRPr="003B36EA">
        <w:t xml:space="preserve"> </w:t>
      </w:r>
      <w:r w:rsidRPr="003B36EA">
        <w:t>time,</w:t>
      </w:r>
      <w:r w:rsidR="0062350D" w:rsidRPr="003B36EA">
        <w:t xml:space="preserve"> </w:t>
      </w:r>
      <w:r w:rsidRPr="003B36EA">
        <w:t>the</w:t>
      </w:r>
      <w:r w:rsidR="0062350D" w:rsidRPr="003B36EA">
        <w:t xml:space="preserve"> </w:t>
      </w:r>
      <w:r w:rsidRPr="003B36EA">
        <w:t>national</w:t>
      </w:r>
      <w:r w:rsidR="0062350D" w:rsidRPr="003B36EA">
        <w:t xml:space="preserve"> </w:t>
      </w:r>
      <w:r w:rsidRPr="003B36EA">
        <w:t>authorities</w:t>
      </w:r>
      <w:r w:rsidR="0062350D" w:rsidRPr="003B36EA">
        <w:t xml:space="preserve"> </w:t>
      </w:r>
      <w:r w:rsidRPr="003B36EA">
        <w:t>attempted</w:t>
      </w:r>
      <w:r w:rsidR="0062350D" w:rsidRPr="003B36EA">
        <w:t xml:space="preserve"> </w:t>
      </w:r>
      <w:r w:rsidRPr="003B36EA">
        <w:t>to</w:t>
      </w:r>
      <w:r w:rsidR="0062350D" w:rsidRPr="003B36EA">
        <w:t xml:space="preserve"> </w:t>
      </w:r>
      <w:r w:rsidRPr="003B36EA">
        <w:t>facilitate</w:t>
      </w:r>
      <w:r w:rsidR="0062350D" w:rsidRPr="003B36EA">
        <w:t xml:space="preserve"> </w:t>
      </w:r>
      <w:r w:rsidRPr="003B36EA">
        <w:t>family</w:t>
      </w:r>
      <w:r w:rsidR="0062350D" w:rsidRPr="003B36EA">
        <w:t xml:space="preserve"> </w:t>
      </w:r>
      <w:r w:rsidRPr="003B36EA">
        <w:t>contacts</w:t>
      </w:r>
      <w:r w:rsidR="0062350D" w:rsidRPr="003B36EA">
        <w:t xml:space="preserve"> </w:t>
      </w:r>
      <w:r w:rsidRPr="003B36EA">
        <w:t>to</w:t>
      </w:r>
      <w:r w:rsidR="0062350D" w:rsidRPr="003B36EA">
        <w:t xml:space="preserve"> </w:t>
      </w:r>
      <w:r w:rsidRPr="003B36EA">
        <w:t>the</w:t>
      </w:r>
      <w:r w:rsidR="0062350D" w:rsidRPr="003B36EA">
        <w:t xml:space="preserve"> </w:t>
      </w:r>
      <w:r w:rsidRPr="003B36EA">
        <w:t>possible</w:t>
      </w:r>
      <w:r w:rsidR="0062350D" w:rsidRPr="003B36EA">
        <w:t xml:space="preserve"> </w:t>
      </w:r>
      <w:r w:rsidRPr="003B36EA">
        <w:t>extent.</w:t>
      </w:r>
      <w:r w:rsidR="0062350D" w:rsidRPr="003B36EA">
        <w:t xml:space="preserve"> </w:t>
      </w:r>
      <w:r w:rsidRPr="003B36EA">
        <w:t>The</w:t>
      </w:r>
      <w:r w:rsidR="0062350D" w:rsidRPr="003B36EA">
        <w:t xml:space="preserve"> </w:t>
      </w:r>
      <w:r w:rsidRPr="003B36EA">
        <w:t>Committee</w:t>
      </w:r>
      <w:r w:rsidR="0062350D" w:rsidRPr="003B36EA">
        <w:t xml:space="preserve"> </w:t>
      </w:r>
      <w:r w:rsidRPr="003B36EA">
        <w:t>recognizes</w:t>
      </w:r>
      <w:r w:rsidR="0062350D" w:rsidRPr="003B36EA">
        <w:t xml:space="preserve"> </w:t>
      </w:r>
      <w:r w:rsidRPr="003B36EA">
        <w:t>that</w:t>
      </w:r>
      <w:r w:rsidR="0062350D" w:rsidRPr="003B36EA">
        <w:t xml:space="preserve"> </w:t>
      </w:r>
      <w:r w:rsidRPr="003B36EA">
        <w:t>there</w:t>
      </w:r>
      <w:r w:rsidR="0062350D" w:rsidRPr="003B36EA">
        <w:t xml:space="preserve"> </w:t>
      </w:r>
      <w:r w:rsidRPr="003B36EA">
        <w:t>were</w:t>
      </w:r>
      <w:r w:rsidR="0062350D" w:rsidRPr="003B36EA">
        <w:t xml:space="preserve"> </w:t>
      </w:r>
      <w:r w:rsidRPr="003B36EA">
        <w:t>reasonable</w:t>
      </w:r>
      <w:r w:rsidR="0062350D" w:rsidRPr="003B36EA">
        <w:t xml:space="preserve"> </w:t>
      </w:r>
      <w:r w:rsidRPr="003B36EA">
        <w:t>grounds</w:t>
      </w:r>
      <w:r w:rsidR="0062350D" w:rsidRPr="003B36EA">
        <w:t xml:space="preserve"> </w:t>
      </w:r>
      <w:r w:rsidRPr="003B36EA">
        <w:t>not</w:t>
      </w:r>
      <w:r w:rsidR="0062350D" w:rsidRPr="003B36EA">
        <w:t xml:space="preserve"> </w:t>
      </w:r>
      <w:r w:rsidRPr="003B36EA">
        <w:t>to</w:t>
      </w:r>
      <w:r w:rsidR="0062350D" w:rsidRPr="003B36EA">
        <w:t xml:space="preserve"> </w:t>
      </w:r>
      <w:r w:rsidRPr="003B36EA">
        <w:t>transfer</w:t>
      </w:r>
      <w:r w:rsidR="0062350D" w:rsidRPr="003B36EA">
        <w:t xml:space="preserve"> </w:t>
      </w:r>
      <w:r w:rsidRPr="003B36EA">
        <w:t>guardianship</w:t>
      </w:r>
      <w:r w:rsidR="0062350D" w:rsidRPr="003B36EA">
        <w:t xml:space="preserve"> </w:t>
      </w:r>
      <w:r w:rsidRPr="003B36EA">
        <w:t>over</w:t>
      </w:r>
      <w:r w:rsidR="0062350D" w:rsidRPr="003B36EA">
        <w:t xml:space="preserve"> </w:t>
      </w:r>
      <w:r w:rsidRPr="003B36EA">
        <w:t>B.A.A.</w:t>
      </w:r>
      <w:r w:rsidR="0062350D" w:rsidRPr="003B36EA">
        <w:t xml:space="preserve"> </w:t>
      </w:r>
      <w:r w:rsidRPr="003B36EA">
        <w:t>to</w:t>
      </w:r>
      <w:r w:rsidR="0062350D" w:rsidRPr="003B36EA">
        <w:t xml:space="preserve"> </w:t>
      </w:r>
      <w:r w:rsidRPr="003B36EA">
        <w:t>his</w:t>
      </w:r>
      <w:r w:rsidR="0062350D" w:rsidRPr="003B36EA">
        <w:t xml:space="preserve"> </w:t>
      </w:r>
      <w:r w:rsidRPr="003B36EA">
        <w:t>brother.</w:t>
      </w:r>
      <w:r w:rsidR="0062350D" w:rsidRPr="003B36EA">
        <w:t xml:space="preserve"> </w:t>
      </w:r>
      <w:r w:rsidRPr="003B36EA">
        <w:t>The</w:t>
      </w:r>
      <w:r w:rsidR="0062350D" w:rsidRPr="003B36EA">
        <w:t xml:space="preserve"> </w:t>
      </w:r>
      <w:r w:rsidRPr="003B36EA">
        <w:t>author</w:t>
      </w:r>
      <w:r w:rsidR="0062350D" w:rsidRPr="003B36EA">
        <w:t xml:space="preserve"> </w:t>
      </w:r>
      <w:r w:rsidRPr="003B36EA">
        <w:t>does</w:t>
      </w:r>
      <w:r w:rsidR="0062350D" w:rsidRPr="003B36EA">
        <w:t xml:space="preserve"> </w:t>
      </w:r>
      <w:r w:rsidRPr="003B36EA">
        <w:t>not</w:t>
      </w:r>
      <w:r w:rsidR="0062350D" w:rsidRPr="003B36EA">
        <w:t xml:space="preserve"> </w:t>
      </w:r>
      <w:r w:rsidRPr="003B36EA">
        <w:t>provide</w:t>
      </w:r>
      <w:r w:rsidR="0062350D" w:rsidRPr="003B36EA">
        <w:t xml:space="preserve"> </w:t>
      </w:r>
      <w:r w:rsidRPr="003B36EA">
        <w:t>any</w:t>
      </w:r>
      <w:r w:rsidR="0062350D" w:rsidRPr="003B36EA">
        <w:t xml:space="preserve"> </w:t>
      </w:r>
      <w:r w:rsidRPr="003B36EA">
        <w:t>evidence</w:t>
      </w:r>
      <w:r w:rsidR="0062350D" w:rsidRPr="003B36EA">
        <w:t xml:space="preserve"> </w:t>
      </w:r>
      <w:r w:rsidRPr="003B36EA">
        <w:t>or</w:t>
      </w:r>
      <w:r w:rsidR="0062350D" w:rsidRPr="003B36EA">
        <w:t xml:space="preserve"> </w:t>
      </w:r>
      <w:r w:rsidRPr="003B36EA">
        <w:t>arguments</w:t>
      </w:r>
      <w:r w:rsidR="0062350D" w:rsidRPr="003B36EA">
        <w:t xml:space="preserve"> </w:t>
      </w:r>
      <w:r w:rsidRPr="003B36EA">
        <w:t>to</w:t>
      </w:r>
      <w:r w:rsidR="0062350D" w:rsidRPr="003B36EA">
        <w:t xml:space="preserve"> </w:t>
      </w:r>
      <w:r w:rsidRPr="003B36EA">
        <w:t>substantiate</w:t>
      </w:r>
      <w:r w:rsidR="0062350D" w:rsidRPr="003B36EA">
        <w:t xml:space="preserve"> </w:t>
      </w:r>
      <w:r w:rsidRPr="003B36EA">
        <w:t>that</w:t>
      </w:r>
      <w:r w:rsidR="0062350D" w:rsidRPr="003B36EA">
        <w:t xml:space="preserve"> </w:t>
      </w:r>
      <w:r w:rsidRPr="003B36EA">
        <w:t>his</w:t>
      </w:r>
      <w:r w:rsidR="0062350D" w:rsidRPr="003B36EA">
        <w:t xml:space="preserve"> </w:t>
      </w:r>
      <w:r w:rsidRPr="003B36EA">
        <w:t>brother</w:t>
      </w:r>
      <w:r w:rsidR="0062350D" w:rsidRPr="003B36EA">
        <w:t xml:space="preserve"> </w:t>
      </w:r>
      <w:r w:rsidRPr="003B36EA">
        <w:t>was</w:t>
      </w:r>
      <w:r w:rsidR="0062350D" w:rsidRPr="003B36EA">
        <w:t xml:space="preserve"> </w:t>
      </w:r>
      <w:r w:rsidRPr="003B36EA">
        <w:t>in</w:t>
      </w:r>
      <w:r w:rsidR="0062350D" w:rsidRPr="003B36EA">
        <w:t xml:space="preserve"> </w:t>
      </w:r>
      <w:r w:rsidRPr="003B36EA">
        <w:t>a</w:t>
      </w:r>
      <w:r w:rsidR="0062350D" w:rsidRPr="003B36EA">
        <w:t xml:space="preserve"> </w:t>
      </w:r>
      <w:r w:rsidRPr="003B36EA">
        <w:t>position</w:t>
      </w:r>
      <w:r w:rsidR="0062350D" w:rsidRPr="003B36EA">
        <w:t xml:space="preserve"> </w:t>
      </w:r>
      <w:r w:rsidRPr="003B36EA">
        <w:t>to</w:t>
      </w:r>
      <w:r w:rsidR="0062350D" w:rsidRPr="003B36EA">
        <w:t xml:space="preserve"> </w:t>
      </w:r>
      <w:r w:rsidRPr="003B36EA">
        <w:t>provide</w:t>
      </w:r>
      <w:r w:rsidR="0062350D" w:rsidRPr="003B36EA">
        <w:t xml:space="preserve"> </w:t>
      </w:r>
      <w:r w:rsidRPr="003B36EA">
        <w:t>him</w:t>
      </w:r>
      <w:r w:rsidR="0062350D" w:rsidRPr="003B36EA">
        <w:t xml:space="preserve"> </w:t>
      </w:r>
      <w:r w:rsidRPr="003B36EA">
        <w:t>with</w:t>
      </w:r>
      <w:r w:rsidR="0062350D" w:rsidRPr="003B36EA">
        <w:t xml:space="preserve"> </w:t>
      </w:r>
      <w:r w:rsidRPr="003B36EA">
        <w:t>required</w:t>
      </w:r>
      <w:r w:rsidR="0062350D" w:rsidRPr="003B36EA">
        <w:t xml:space="preserve"> </w:t>
      </w:r>
      <w:r w:rsidRPr="003B36EA">
        <w:t>assistance</w:t>
      </w:r>
      <w:r w:rsidR="0062350D" w:rsidRPr="003B36EA">
        <w:t xml:space="preserve"> </w:t>
      </w:r>
      <w:r w:rsidRPr="003B36EA">
        <w:t>and</w:t>
      </w:r>
      <w:r w:rsidR="0062350D" w:rsidRPr="003B36EA">
        <w:t xml:space="preserve"> </w:t>
      </w:r>
      <w:r w:rsidRPr="003B36EA">
        <w:t>caretaking.</w:t>
      </w:r>
      <w:r w:rsidR="0062350D" w:rsidRPr="003B36EA">
        <w:t xml:space="preserve"> </w:t>
      </w:r>
      <w:r w:rsidRPr="003B36EA">
        <w:t>In</w:t>
      </w:r>
      <w:r w:rsidR="0062350D" w:rsidRPr="003B36EA">
        <w:t xml:space="preserve"> </w:t>
      </w:r>
      <w:r w:rsidRPr="003B36EA">
        <w:t>addition,</w:t>
      </w:r>
      <w:r w:rsidR="0062350D" w:rsidRPr="003B36EA">
        <w:t xml:space="preserve"> </w:t>
      </w:r>
      <w:r w:rsidRPr="003B36EA">
        <w:t>the</w:t>
      </w:r>
      <w:r w:rsidR="0062350D" w:rsidRPr="003B36EA">
        <w:t xml:space="preserve"> </w:t>
      </w:r>
      <w:r w:rsidRPr="003B36EA">
        <w:t>Committee</w:t>
      </w:r>
      <w:r w:rsidR="0062350D" w:rsidRPr="003B36EA">
        <w:t xml:space="preserve"> </w:t>
      </w:r>
      <w:r w:rsidRPr="003B36EA">
        <w:t>takes</w:t>
      </w:r>
      <w:r w:rsidR="0062350D" w:rsidRPr="003B36EA">
        <w:t xml:space="preserve"> </w:t>
      </w:r>
      <w:r w:rsidRPr="003B36EA">
        <w:t>note</w:t>
      </w:r>
      <w:r w:rsidR="0062350D" w:rsidRPr="003B36EA">
        <w:t xml:space="preserve"> </w:t>
      </w:r>
      <w:r w:rsidRPr="003B36EA">
        <w:t>of</w:t>
      </w:r>
      <w:r w:rsidR="0062350D" w:rsidRPr="003B36EA">
        <w:t xml:space="preserve"> </w:t>
      </w:r>
      <w:r w:rsidRPr="003B36EA">
        <w:t>that</w:t>
      </w:r>
      <w:r w:rsidR="0062350D" w:rsidRPr="003B36EA">
        <w:t xml:space="preserve"> </w:t>
      </w:r>
      <w:r w:rsidRPr="003B36EA">
        <w:t>fact</w:t>
      </w:r>
      <w:r w:rsidR="0062350D" w:rsidRPr="003B36EA">
        <w:t xml:space="preserve"> </w:t>
      </w:r>
      <w:r w:rsidRPr="003B36EA">
        <w:t>that</w:t>
      </w:r>
      <w:r w:rsidR="0062350D" w:rsidRPr="003B36EA">
        <w:t xml:space="preserve"> </w:t>
      </w:r>
      <w:r w:rsidRPr="003B36EA">
        <w:t>the</w:t>
      </w:r>
      <w:r w:rsidR="0062350D" w:rsidRPr="003B36EA">
        <w:t xml:space="preserve"> </w:t>
      </w:r>
      <w:r w:rsidRPr="003B36EA">
        <w:t>author</w:t>
      </w:r>
      <w:r w:rsidR="0062350D" w:rsidRPr="003B36EA">
        <w:t xml:space="preserve"> </w:t>
      </w:r>
      <w:r w:rsidRPr="003B36EA">
        <w:t>did</w:t>
      </w:r>
      <w:r w:rsidR="0062350D" w:rsidRPr="003B36EA">
        <w:t xml:space="preserve"> </w:t>
      </w:r>
      <w:r w:rsidRPr="003B36EA">
        <w:t>not</w:t>
      </w:r>
      <w:r w:rsidR="0062350D" w:rsidRPr="003B36EA">
        <w:t xml:space="preserve"> </w:t>
      </w:r>
      <w:r w:rsidRPr="003B36EA">
        <w:t>specify</w:t>
      </w:r>
      <w:r w:rsidR="0062350D" w:rsidRPr="003B36EA">
        <w:t xml:space="preserve"> </w:t>
      </w:r>
      <w:r w:rsidRPr="003B36EA">
        <w:t>at</w:t>
      </w:r>
      <w:r w:rsidR="0062350D" w:rsidRPr="003B36EA">
        <w:t xml:space="preserve"> </w:t>
      </w:r>
      <w:r w:rsidRPr="003B36EA">
        <w:t>what</w:t>
      </w:r>
      <w:r w:rsidR="0062350D" w:rsidRPr="003B36EA">
        <w:t xml:space="preserve"> </w:t>
      </w:r>
      <w:r w:rsidRPr="003B36EA">
        <w:t>exact</w:t>
      </w:r>
      <w:r w:rsidR="0062350D" w:rsidRPr="003B36EA">
        <w:t xml:space="preserve"> </w:t>
      </w:r>
      <w:r w:rsidRPr="003B36EA">
        <w:t>point</w:t>
      </w:r>
      <w:r w:rsidR="0062350D" w:rsidRPr="003B36EA">
        <w:t xml:space="preserve"> </w:t>
      </w:r>
      <w:r w:rsidRPr="003B36EA">
        <w:t>in</w:t>
      </w:r>
      <w:r w:rsidR="0062350D" w:rsidRPr="003B36EA">
        <w:t xml:space="preserve"> </w:t>
      </w:r>
      <w:r w:rsidRPr="003B36EA">
        <w:t>time</w:t>
      </w:r>
      <w:r w:rsidR="0062350D" w:rsidRPr="003B36EA">
        <w:t xml:space="preserve"> </w:t>
      </w:r>
      <w:r w:rsidRPr="003B36EA">
        <w:t>after</w:t>
      </w:r>
      <w:r w:rsidR="0062350D" w:rsidRPr="003B36EA">
        <w:t xml:space="preserve"> </w:t>
      </w:r>
      <w:r w:rsidRPr="003B36EA">
        <w:t>his</w:t>
      </w:r>
      <w:r w:rsidR="0062350D" w:rsidRPr="003B36EA">
        <w:t xml:space="preserve"> </w:t>
      </w:r>
      <w:r w:rsidRPr="003B36EA">
        <w:t>arrival</w:t>
      </w:r>
      <w:r w:rsidR="0062350D" w:rsidRPr="003B36EA">
        <w:t xml:space="preserve"> </w:t>
      </w:r>
      <w:r w:rsidRPr="003B36EA">
        <w:t>he</w:t>
      </w:r>
      <w:r w:rsidR="0062350D" w:rsidRPr="003B36EA">
        <w:t xml:space="preserve"> </w:t>
      </w:r>
      <w:r w:rsidRPr="003B36EA">
        <w:t>had</w:t>
      </w:r>
      <w:r w:rsidR="0062350D" w:rsidRPr="003B36EA">
        <w:t xml:space="preserve"> </w:t>
      </w:r>
      <w:r w:rsidRPr="003B36EA">
        <w:t>requested</w:t>
      </w:r>
      <w:r w:rsidR="0062350D" w:rsidRPr="003B36EA">
        <w:t xml:space="preserve"> </w:t>
      </w:r>
      <w:r w:rsidRPr="003B36EA">
        <w:t>to</w:t>
      </w:r>
      <w:r w:rsidR="0062350D" w:rsidRPr="003B36EA">
        <w:t xml:space="preserve"> </w:t>
      </w:r>
      <w:r w:rsidRPr="003B36EA">
        <w:t>be</w:t>
      </w:r>
      <w:r w:rsidR="0062350D" w:rsidRPr="003B36EA">
        <w:t xml:space="preserve"> </w:t>
      </w:r>
      <w:r w:rsidRPr="003B36EA">
        <w:t>placed</w:t>
      </w:r>
      <w:r w:rsidR="0062350D" w:rsidRPr="003B36EA">
        <w:t xml:space="preserve"> </w:t>
      </w:r>
      <w:r w:rsidRPr="003B36EA">
        <w:t>under</w:t>
      </w:r>
      <w:r w:rsidR="0062350D" w:rsidRPr="003B36EA">
        <w:t xml:space="preserve"> </w:t>
      </w:r>
      <w:r w:rsidRPr="003B36EA">
        <w:t>the</w:t>
      </w:r>
      <w:r w:rsidR="0062350D" w:rsidRPr="003B36EA">
        <w:t xml:space="preserve"> </w:t>
      </w:r>
      <w:r w:rsidRPr="003B36EA">
        <w:t>care</w:t>
      </w:r>
      <w:r w:rsidR="0062350D" w:rsidRPr="003B36EA">
        <w:t xml:space="preserve"> </w:t>
      </w:r>
      <w:r w:rsidRPr="003B36EA">
        <w:t>of</w:t>
      </w:r>
      <w:r w:rsidR="0062350D" w:rsidRPr="003B36EA">
        <w:t xml:space="preserve"> </w:t>
      </w:r>
      <w:r w:rsidRPr="003B36EA">
        <w:t>his</w:t>
      </w:r>
      <w:r w:rsidR="0062350D" w:rsidRPr="003B36EA">
        <w:t xml:space="preserve"> </w:t>
      </w:r>
      <w:r w:rsidRPr="003B36EA">
        <w:t>brother.</w:t>
      </w:r>
      <w:r w:rsidR="0062350D" w:rsidRPr="003B36EA">
        <w:t xml:space="preserve"> </w:t>
      </w:r>
      <w:r w:rsidRPr="003B36EA">
        <w:t>In</w:t>
      </w:r>
      <w:r w:rsidR="0062350D" w:rsidRPr="003B36EA">
        <w:t xml:space="preserve"> </w:t>
      </w:r>
      <w:r w:rsidRPr="003B36EA">
        <w:t>the</w:t>
      </w:r>
      <w:r w:rsidR="0062350D" w:rsidRPr="003B36EA">
        <w:t xml:space="preserve"> </w:t>
      </w:r>
      <w:r w:rsidRPr="003B36EA">
        <w:t>light</w:t>
      </w:r>
      <w:r w:rsidR="0062350D" w:rsidRPr="003B36EA">
        <w:t xml:space="preserve"> </w:t>
      </w:r>
      <w:r w:rsidRPr="003B36EA">
        <w:t>of</w:t>
      </w:r>
      <w:r w:rsidR="0062350D" w:rsidRPr="003B36EA">
        <w:t xml:space="preserve"> </w:t>
      </w:r>
      <w:r w:rsidRPr="003B36EA">
        <w:t>these</w:t>
      </w:r>
      <w:r w:rsidR="0062350D" w:rsidRPr="003B36EA">
        <w:t xml:space="preserve"> </w:t>
      </w:r>
      <w:r w:rsidRPr="003B36EA">
        <w:t>circumstances,</w:t>
      </w:r>
      <w:r w:rsidR="0062350D" w:rsidRPr="003B36EA">
        <w:t xml:space="preserve"> </w:t>
      </w:r>
      <w:r w:rsidRPr="003B36EA">
        <w:t>and</w:t>
      </w:r>
      <w:r w:rsidR="0062350D" w:rsidRPr="003B36EA">
        <w:t xml:space="preserve"> </w:t>
      </w:r>
      <w:r w:rsidRPr="003B36EA">
        <w:t>having</w:t>
      </w:r>
      <w:r w:rsidR="0062350D" w:rsidRPr="003B36EA">
        <w:t xml:space="preserve"> </w:t>
      </w:r>
      <w:r w:rsidRPr="003B36EA">
        <w:t>noted</w:t>
      </w:r>
      <w:r w:rsidR="0062350D" w:rsidRPr="003B36EA">
        <w:t xml:space="preserve"> </w:t>
      </w:r>
      <w:r w:rsidRPr="003B36EA">
        <w:t>the</w:t>
      </w:r>
      <w:r w:rsidR="0062350D" w:rsidRPr="003B36EA">
        <w:t xml:space="preserve"> </w:t>
      </w:r>
      <w:r w:rsidRPr="003B36EA">
        <w:t>efforts</w:t>
      </w:r>
      <w:r w:rsidR="0062350D" w:rsidRPr="003B36EA">
        <w:t xml:space="preserve"> </w:t>
      </w:r>
      <w:r w:rsidRPr="003B36EA">
        <w:t>undertaken</w:t>
      </w:r>
      <w:r w:rsidR="0062350D" w:rsidRPr="003B36EA">
        <w:t xml:space="preserve"> </w:t>
      </w:r>
      <w:r w:rsidRPr="003B36EA">
        <w:t>by</w:t>
      </w:r>
      <w:r w:rsidR="0062350D" w:rsidRPr="003B36EA">
        <w:t xml:space="preserve"> </w:t>
      </w:r>
      <w:r w:rsidRPr="003B36EA">
        <w:t>the</w:t>
      </w:r>
      <w:r w:rsidR="0062350D" w:rsidRPr="003B36EA">
        <w:t xml:space="preserve"> </w:t>
      </w:r>
      <w:r w:rsidRPr="003B36EA">
        <w:t>national</w:t>
      </w:r>
      <w:r w:rsidR="0062350D" w:rsidRPr="003B36EA">
        <w:t xml:space="preserve"> </w:t>
      </w:r>
      <w:r w:rsidRPr="003B36EA">
        <w:t>authorities</w:t>
      </w:r>
      <w:r w:rsidR="0062350D" w:rsidRPr="003B36EA">
        <w:t xml:space="preserve"> </w:t>
      </w:r>
      <w:r w:rsidRPr="003B36EA">
        <w:t>to</w:t>
      </w:r>
      <w:r w:rsidR="0062350D" w:rsidRPr="003B36EA">
        <w:t xml:space="preserve"> </w:t>
      </w:r>
      <w:r w:rsidRPr="003B36EA">
        <w:t>establish</w:t>
      </w:r>
      <w:r w:rsidR="0062350D" w:rsidRPr="003B36EA">
        <w:t xml:space="preserve"> </w:t>
      </w:r>
      <w:r w:rsidRPr="003B36EA">
        <w:t>and</w:t>
      </w:r>
      <w:r w:rsidR="0062350D" w:rsidRPr="003B36EA">
        <w:t xml:space="preserve"> </w:t>
      </w:r>
      <w:r w:rsidRPr="003B36EA">
        <w:t>maintain</w:t>
      </w:r>
      <w:r w:rsidR="0062350D" w:rsidRPr="003B36EA">
        <w:t xml:space="preserve"> </w:t>
      </w:r>
      <w:r w:rsidRPr="003B36EA">
        <w:t>personal</w:t>
      </w:r>
      <w:r w:rsidR="0062350D" w:rsidRPr="003B36EA">
        <w:t xml:space="preserve"> </w:t>
      </w:r>
      <w:r w:rsidRPr="003B36EA">
        <w:t>contacts</w:t>
      </w:r>
      <w:r w:rsidR="0062350D" w:rsidRPr="003B36EA">
        <w:t xml:space="preserve"> </w:t>
      </w:r>
      <w:r w:rsidRPr="003B36EA">
        <w:t>between</w:t>
      </w:r>
      <w:r w:rsidR="0062350D" w:rsidRPr="003B36EA">
        <w:t xml:space="preserve"> </w:t>
      </w:r>
      <w:r w:rsidRPr="003B36EA">
        <w:t>B.A.A.</w:t>
      </w:r>
      <w:r w:rsidR="0062350D" w:rsidRPr="003B36EA">
        <w:t xml:space="preserve"> </w:t>
      </w:r>
      <w:r w:rsidRPr="003B36EA">
        <w:t>and</w:t>
      </w:r>
      <w:r w:rsidR="0062350D" w:rsidRPr="003B36EA">
        <w:t xml:space="preserve"> </w:t>
      </w:r>
      <w:r w:rsidRPr="003B36EA">
        <w:t>his</w:t>
      </w:r>
      <w:r w:rsidR="0062350D" w:rsidRPr="003B36EA">
        <w:t xml:space="preserve"> </w:t>
      </w:r>
      <w:r w:rsidRPr="003B36EA">
        <w:t>brother,</w:t>
      </w:r>
      <w:r w:rsidR="0062350D" w:rsidRPr="003B36EA">
        <w:t xml:space="preserve"> </w:t>
      </w:r>
      <w:r w:rsidRPr="003B36EA">
        <w:t>the</w:t>
      </w:r>
      <w:r w:rsidR="0062350D" w:rsidRPr="003B36EA">
        <w:t xml:space="preserve"> </w:t>
      </w:r>
      <w:r w:rsidRPr="003B36EA">
        <w:t>Committee</w:t>
      </w:r>
      <w:r w:rsidR="0062350D" w:rsidRPr="003B36EA">
        <w:t xml:space="preserve"> </w:t>
      </w:r>
      <w:r w:rsidRPr="003B36EA">
        <w:t>cannot</w:t>
      </w:r>
      <w:r w:rsidR="0062350D" w:rsidRPr="003B36EA">
        <w:t xml:space="preserve"> </w:t>
      </w:r>
      <w:r w:rsidRPr="003B36EA">
        <w:t>conclude</w:t>
      </w:r>
      <w:r w:rsidR="0062350D" w:rsidRPr="003B36EA">
        <w:t xml:space="preserve"> </w:t>
      </w:r>
      <w:r w:rsidRPr="003B36EA">
        <w:t>that</w:t>
      </w:r>
      <w:r w:rsidR="0062350D" w:rsidRPr="003B36EA">
        <w:t xml:space="preserve"> </w:t>
      </w:r>
      <w:r w:rsidRPr="003B36EA">
        <w:t>the</w:t>
      </w:r>
      <w:r w:rsidR="0062350D" w:rsidRPr="003B36EA">
        <w:t xml:space="preserve"> </w:t>
      </w:r>
      <w:r w:rsidRPr="003B36EA">
        <w:t>State</w:t>
      </w:r>
      <w:r w:rsidR="0062350D" w:rsidRPr="003B36EA">
        <w:t xml:space="preserve"> </w:t>
      </w:r>
      <w:r w:rsidRPr="003B36EA">
        <w:t>party</w:t>
      </w:r>
      <w:r w:rsidR="0062350D" w:rsidRPr="003B36EA">
        <w:t>’</w:t>
      </w:r>
      <w:r w:rsidRPr="003B36EA">
        <w:t>s</w:t>
      </w:r>
      <w:r w:rsidR="0062350D" w:rsidRPr="003B36EA">
        <w:t xml:space="preserve"> </w:t>
      </w:r>
      <w:r w:rsidRPr="003B36EA">
        <w:t>authorities</w:t>
      </w:r>
      <w:r w:rsidR="0062350D" w:rsidRPr="003B36EA">
        <w:t xml:space="preserve"> </w:t>
      </w:r>
      <w:r w:rsidRPr="003B36EA">
        <w:t>have</w:t>
      </w:r>
      <w:r w:rsidR="0062350D" w:rsidRPr="003B36EA">
        <w:t xml:space="preserve"> </w:t>
      </w:r>
      <w:r w:rsidRPr="003B36EA">
        <w:t>not</w:t>
      </w:r>
      <w:r w:rsidR="0062350D" w:rsidRPr="003B36EA">
        <w:t xml:space="preserve"> </w:t>
      </w:r>
      <w:r w:rsidRPr="003B36EA">
        <w:t>acted</w:t>
      </w:r>
      <w:r w:rsidR="0062350D" w:rsidRPr="003B36EA">
        <w:t xml:space="preserve"> </w:t>
      </w:r>
      <w:r w:rsidRPr="003B36EA">
        <w:t>with</w:t>
      </w:r>
      <w:r w:rsidR="0062350D" w:rsidRPr="003B36EA">
        <w:t xml:space="preserve"> </w:t>
      </w:r>
      <w:r w:rsidRPr="003B36EA">
        <w:t>the</w:t>
      </w:r>
      <w:r w:rsidR="0062350D" w:rsidRPr="003B36EA">
        <w:t xml:space="preserve"> </w:t>
      </w:r>
      <w:r w:rsidRPr="003B36EA">
        <w:t>best</w:t>
      </w:r>
      <w:r w:rsidR="0062350D" w:rsidRPr="003B36EA">
        <w:t xml:space="preserve"> </w:t>
      </w:r>
      <w:r w:rsidRPr="003B36EA">
        <w:t>interests</w:t>
      </w:r>
      <w:r w:rsidR="0062350D" w:rsidRPr="003B36EA">
        <w:t xml:space="preserve"> </w:t>
      </w:r>
      <w:r w:rsidRPr="003B36EA">
        <w:t>of</w:t>
      </w:r>
      <w:r w:rsidR="0062350D" w:rsidRPr="003B36EA">
        <w:t xml:space="preserve"> </w:t>
      </w:r>
      <w:r w:rsidRPr="003B36EA">
        <w:t>the</w:t>
      </w:r>
      <w:r w:rsidR="0062350D" w:rsidRPr="003B36EA">
        <w:t xml:space="preserve"> </w:t>
      </w:r>
      <w:r w:rsidRPr="003B36EA">
        <w:t>author</w:t>
      </w:r>
      <w:r w:rsidR="0062350D" w:rsidRPr="003B36EA">
        <w:t xml:space="preserve"> </w:t>
      </w:r>
      <w:r w:rsidRPr="003B36EA">
        <w:t>in</w:t>
      </w:r>
      <w:r w:rsidR="0062350D" w:rsidRPr="003B36EA">
        <w:t xml:space="preserve"> </w:t>
      </w:r>
      <w:r w:rsidRPr="003B36EA">
        <w:t>mind</w:t>
      </w:r>
      <w:r w:rsidR="0062350D" w:rsidRPr="003B36EA">
        <w:t xml:space="preserve"> </w:t>
      </w:r>
      <w:r w:rsidRPr="003B36EA">
        <w:t>nor</w:t>
      </w:r>
      <w:r w:rsidR="0062350D" w:rsidRPr="003B36EA">
        <w:t xml:space="preserve"> </w:t>
      </w:r>
      <w:r w:rsidRPr="003B36EA">
        <w:t>that</w:t>
      </w:r>
      <w:r w:rsidR="0062350D" w:rsidRPr="003B36EA">
        <w:t xml:space="preserve"> </w:t>
      </w:r>
      <w:r w:rsidRPr="003B36EA">
        <w:t>they</w:t>
      </w:r>
      <w:r w:rsidR="0062350D" w:rsidRPr="003B36EA">
        <w:t xml:space="preserve"> </w:t>
      </w:r>
      <w:r w:rsidRPr="003B36EA">
        <w:t>have</w:t>
      </w:r>
      <w:r w:rsidR="0062350D" w:rsidRPr="003B36EA">
        <w:t xml:space="preserve"> </w:t>
      </w:r>
      <w:r w:rsidRPr="003B36EA">
        <w:t>violated</w:t>
      </w:r>
      <w:r w:rsidR="0062350D" w:rsidRPr="003B36EA">
        <w:t xml:space="preserve"> </w:t>
      </w:r>
      <w:r w:rsidRPr="003B36EA">
        <w:t>their</w:t>
      </w:r>
      <w:r w:rsidR="0062350D" w:rsidRPr="003B36EA">
        <w:t xml:space="preserve"> </w:t>
      </w:r>
      <w:r w:rsidRPr="003B36EA">
        <w:t>duties</w:t>
      </w:r>
      <w:r w:rsidR="0062350D" w:rsidRPr="003B36EA">
        <w:t xml:space="preserve"> </w:t>
      </w:r>
      <w:r w:rsidRPr="003B36EA">
        <w:t>under</w:t>
      </w:r>
      <w:r w:rsidR="0062350D" w:rsidRPr="003B36EA">
        <w:t xml:space="preserve"> </w:t>
      </w:r>
      <w:r w:rsidRPr="003B36EA">
        <w:t>articles</w:t>
      </w:r>
      <w:r w:rsidR="0062350D" w:rsidRPr="003B36EA">
        <w:t xml:space="preserve"> </w:t>
      </w:r>
      <w:r w:rsidRPr="003B36EA">
        <w:t>17,</w:t>
      </w:r>
      <w:r w:rsidR="0062350D" w:rsidRPr="003B36EA">
        <w:t xml:space="preserve"> </w:t>
      </w:r>
      <w:r w:rsidRPr="003B36EA">
        <w:t>23</w:t>
      </w:r>
      <w:r w:rsidR="0062350D" w:rsidRPr="003B36EA">
        <w:t xml:space="preserve"> </w:t>
      </w:r>
      <w:r w:rsidRPr="003B36EA">
        <w:t>and</w:t>
      </w:r>
      <w:r w:rsidR="0062350D" w:rsidRPr="003B36EA">
        <w:t xml:space="preserve"> </w:t>
      </w:r>
      <w:r w:rsidRPr="003B36EA">
        <w:t>24</w:t>
      </w:r>
      <w:r w:rsidR="0062350D" w:rsidRPr="003B36EA">
        <w:t xml:space="preserve"> </w:t>
      </w:r>
      <w:r w:rsidRPr="003B36EA">
        <w:t>of</w:t>
      </w:r>
      <w:r w:rsidR="0062350D" w:rsidRPr="003B36EA">
        <w:t xml:space="preserve"> </w:t>
      </w:r>
      <w:r w:rsidRPr="003B36EA">
        <w:t>the</w:t>
      </w:r>
      <w:r w:rsidR="0062350D" w:rsidRPr="003B36EA">
        <w:t xml:space="preserve"> </w:t>
      </w:r>
      <w:r w:rsidRPr="003B36EA">
        <w:t>Covenant.</w:t>
      </w:r>
    </w:p>
    <w:p w14:paraId="594E04BF" w14:textId="482CF86B" w:rsidR="0062350D" w:rsidRPr="003B36EA" w:rsidRDefault="007F12C3" w:rsidP="00B770C2">
      <w:pPr>
        <w:pStyle w:val="SingleTxtG"/>
      </w:pPr>
      <w:r w:rsidRPr="003B36EA">
        <w:t>8.3</w:t>
      </w:r>
      <w:r w:rsidRPr="003B36EA">
        <w:tab/>
        <w:t>With</w:t>
      </w:r>
      <w:r w:rsidR="0062350D" w:rsidRPr="003B36EA">
        <w:t xml:space="preserve"> </w:t>
      </w:r>
      <w:r w:rsidRPr="003B36EA">
        <w:t>regard</w:t>
      </w:r>
      <w:r w:rsidR="0062350D" w:rsidRPr="003B36EA">
        <w:t xml:space="preserve"> </w:t>
      </w:r>
      <w:r w:rsidRPr="003B36EA">
        <w:t>to</w:t>
      </w:r>
      <w:r w:rsidR="0062350D" w:rsidRPr="003B36EA">
        <w:t xml:space="preserve"> </w:t>
      </w:r>
      <w:r w:rsidRPr="003B36EA">
        <w:t>articles</w:t>
      </w:r>
      <w:r w:rsidR="0062350D" w:rsidRPr="003B36EA">
        <w:t xml:space="preserve"> </w:t>
      </w:r>
      <w:r w:rsidRPr="003B36EA">
        <w:t>9</w:t>
      </w:r>
      <w:r w:rsidR="0062350D" w:rsidRPr="003B36EA">
        <w:t xml:space="preserve"> </w:t>
      </w:r>
      <w:r w:rsidRPr="003B36EA">
        <w:t>(1)</w:t>
      </w:r>
      <w:r w:rsidR="0062350D" w:rsidRPr="003B36EA">
        <w:t xml:space="preserve"> </w:t>
      </w:r>
      <w:r w:rsidRPr="003B36EA">
        <w:t>and</w:t>
      </w:r>
      <w:r w:rsidR="0062350D" w:rsidRPr="003B36EA">
        <w:t xml:space="preserve"> </w:t>
      </w:r>
      <w:r w:rsidRPr="003B36EA">
        <w:t>24</w:t>
      </w:r>
      <w:r w:rsidR="0062350D" w:rsidRPr="003B36EA">
        <w:t xml:space="preserve"> </w:t>
      </w:r>
      <w:r w:rsidRPr="003B36EA">
        <w:t>of</w:t>
      </w:r>
      <w:r w:rsidR="0062350D" w:rsidRPr="003B36EA">
        <w:t xml:space="preserve"> </w:t>
      </w:r>
      <w:r w:rsidRPr="003B36EA">
        <w:t>the</w:t>
      </w:r>
      <w:r w:rsidR="0062350D" w:rsidRPr="003B36EA">
        <w:t xml:space="preserve"> </w:t>
      </w:r>
      <w:r w:rsidRPr="003B36EA">
        <w:t>Covenant,</w:t>
      </w:r>
      <w:r w:rsidR="0062350D" w:rsidRPr="003B36EA">
        <w:t xml:space="preserve"> </w:t>
      </w:r>
      <w:r w:rsidRPr="003B36EA">
        <w:t>the</w:t>
      </w:r>
      <w:r w:rsidR="0062350D" w:rsidRPr="003B36EA">
        <w:t xml:space="preserve"> </w:t>
      </w:r>
      <w:r w:rsidRPr="003B36EA">
        <w:t>Committee</w:t>
      </w:r>
      <w:r w:rsidR="0062350D" w:rsidRPr="003B36EA">
        <w:t xml:space="preserve"> </w:t>
      </w:r>
      <w:r w:rsidRPr="003B36EA">
        <w:t>notes</w:t>
      </w:r>
      <w:r w:rsidR="0062350D" w:rsidRPr="003B36EA">
        <w:t xml:space="preserve"> </w:t>
      </w:r>
      <w:r w:rsidRPr="003B36EA">
        <w:t>the</w:t>
      </w:r>
      <w:r w:rsidR="0062350D" w:rsidRPr="003B36EA">
        <w:t xml:space="preserve"> </w:t>
      </w:r>
      <w:r w:rsidRPr="003B36EA">
        <w:t>authors</w:t>
      </w:r>
      <w:r w:rsidR="0062350D" w:rsidRPr="003B36EA">
        <w:t xml:space="preserve">’ </w:t>
      </w:r>
      <w:r w:rsidRPr="003B36EA">
        <w:t>allegation</w:t>
      </w:r>
      <w:r w:rsidR="0062350D" w:rsidRPr="003B36EA">
        <w:t xml:space="preserve"> </w:t>
      </w:r>
      <w:r w:rsidRPr="003B36EA">
        <w:t>that</w:t>
      </w:r>
      <w:r w:rsidR="0062350D" w:rsidRPr="003B36EA">
        <w:t xml:space="preserve"> </w:t>
      </w:r>
      <w:r w:rsidRPr="003B36EA">
        <w:t>their</w:t>
      </w:r>
      <w:r w:rsidR="0062350D" w:rsidRPr="003B36EA">
        <w:t xml:space="preserve"> </w:t>
      </w:r>
      <w:r w:rsidRPr="00B770C2">
        <w:t>immigration</w:t>
      </w:r>
      <w:r w:rsidR="0062350D" w:rsidRPr="003B36EA">
        <w:t xml:space="preserve"> </w:t>
      </w:r>
      <w:r w:rsidRPr="003B36EA">
        <w:t>detention</w:t>
      </w:r>
      <w:r w:rsidR="0062350D" w:rsidRPr="003B36EA">
        <w:t xml:space="preserve"> </w:t>
      </w:r>
      <w:r w:rsidRPr="003B36EA">
        <w:t>on</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was</w:t>
      </w:r>
      <w:r w:rsidR="0062350D" w:rsidRPr="003B36EA">
        <w:t xml:space="preserve"> </w:t>
      </w:r>
      <w:r w:rsidRPr="003B36EA">
        <w:t>arbitrary</w:t>
      </w:r>
      <w:r w:rsidR="0062350D" w:rsidRPr="003B36EA">
        <w:t xml:space="preserve"> </w:t>
      </w:r>
      <w:r w:rsidRPr="003B36EA">
        <w:t>and</w:t>
      </w:r>
      <w:r w:rsidR="0062350D" w:rsidRPr="003B36EA">
        <w:t xml:space="preserve"> </w:t>
      </w:r>
      <w:r w:rsidRPr="003B36EA">
        <w:t>unreasonably</w:t>
      </w:r>
      <w:r w:rsidR="0062350D" w:rsidRPr="003B36EA">
        <w:t xml:space="preserve"> </w:t>
      </w:r>
      <w:r w:rsidRPr="003B36EA">
        <w:t>prolonged,</w:t>
      </w:r>
      <w:r w:rsidR="0062350D" w:rsidRPr="003B36EA">
        <w:t xml:space="preserve"> </w:t>
      </w:r>
      <w:r w:rsidRPr="003B36EA">
        <w:t>and</w:t>
      </w:r>
      <w:r w:rsidR="0062350D" w:rsidRPr="003B36EA">
        <w:t xml:space="preserve"> </w:t>
      </w:r>
      <w:r w:rsidRPr="003B36EA">
        <w:t>that</w:t>
      </w:r>
      <w:r w:rsidR="0062350D" w:rsidRPr="003B36EA">
        <w:t xml:space="preserve"> </w:t>
      </w:r>
      <w:r w:rsidRPr="003B36EA">
        <w:t>conditions</w:t>
      </w:r>
      <w:r w:rsidR="0062350D" w:rsidRPr="003B36EA">
        <w:t xml:space="preserve"> </w:t>
      </w:r>
      <w:r w:rsidRPr="003B36EA">
        <w:t>of</w:t>
      </w:r>
      <w:r w:rsidR="0062350D" w:rsidRPr="003B36EA">
        <w:t xml:space="preserve"> </w:t>
      </w:r>
      <w:r w:rsidRPr="003B36EA">
        <w:t>detention</w:t>
      </w:r>
      <w:r w:rsidR="0062350D" w:rsidRPr="003B36EA">
        <w:t xml:space="preserve"> </w:t>
      </w:r>
      <w:r w:rsidRPr="003B36EA">
        <w:t>and</w:t>
      </w:r>
      <w:r w:rsidR="0062350D" w:rsidRPr="003B36EA">
        <w:t xml:space="preserve"> </w:t>
      </w:r>
      <w:r w:rsidRPr="003B36EA">
        <w:t>facilities</w:t>
      </w:r>
      <w:r w:rsidR="0062350D" w:rsidRPr="003B36EA">
        <w:t xml:space="preserve"> </w:t>
      </w:r>
      <w:r w:rsidRPr="003B36EA">
        <w:t>on</w:t>
      </w:r>
      <w:r w:rsidR="0062350D" w:rsidRPr="003B36EA">
        <w:t xml:space="preserve"> </w:t>
      </w:r>
      <w:r w:rsidRPr="003B36EA">
        <w:t>Christmas</w:t>
      </w:r>
      <w:r w:rsidR="0062350D" w:rsidRPr="003B36EA">
        <w:t xml:space="preserve"> </w:t>
      </w:r>
      <w:r w:rsidRPr="003B36EA">
        <w:t>Island</w:t>
      </w:r>
      <w:r w:rsidR="0062350D" w:rsidRPr="003B36EA">
        <w:t xml:space="preserve"> </w:t>
      </w:r>
      <w:r w:rsidRPr="003B36EA">
        <w:t>were</w:t>
      </w:r>
      <w:r w:rsidR="0062350D" w:rsidRPr="003B36EA">
        <w:t xml:space="preserve"> </w:t>
      </w:r>
      <w:r w:rsidRPr="003B36EA">
        <w:t>inadequate</w:t>
      </w:r>
      <w:r w:rsidR="0062350D" w:rsidRPr="003B36EA">
        <w:t xml:space="preserve"> </w:t>
      </w:r>
      <w:r w:rsidRPr="003B36EA">
        <w:t>for</w:t>
      </w:r>
      <w:r w:rsidR="0062350D" w:rsidRPr="003B36EA">
        <w:t xml:space="preserve"> </w:t>
      </w:r>
      <w:r w:rsidRPr="003B36EA">
        <w:t>their</w:t>
      </w:r>
      <w:r w:rsidR="0062350D" w:rsidRPr="003B36EA">
        <w:t xml:space="preserve"> </w:t>
      </w:r>
      <w:r w:rsidRPr="003B36EA">
        <w:t>needs.</w:t>
      </w:r>
      <w:r w:rsidR="0062350D" w:rsidRPr="003B36EA">
        <w:t xml:space="preserve"> </w:t>
      </w:r>
      <w:r w:rsidRPr="003B36EA">
        <w:t>The</w:t>
      </w:r>
      <w:r w:rsidR="0062350D" w:rsidRPr="003B36EA">
        <w:t xml:space="preserve"> </w:t>
      </w:r>
      <w:r w:rsidRPr="003B36EA">
        <w:t>Committee</w:t>
      </w:r>
      <w:r w:rsidR="0062350D" w:rsidRPr="003B36EA">
        <w:t xml:space="preserve"> </w:t>
      </w:r>
      <w:r w:rsidRPr="003B36EA">
        <w:t>notes</w:t>
      </w:r>
      <w:r w:rsidR="0062350D" w:rsidRPr="003B36EA">
        <w:t xml:space="preserve"> </w:t>
      </w:r>
      <w:r w:rsidRPr="003B36EA">
        <w:t>the</w:t>
      </w:r>
      <w:r w:rsidR="0062350D" w:rsidRPr="003B36EA">
        <w:t xml:space="preserve"> </w:t>
      </w:r>
      <w:r w:rsidRPr="003B36EA">
        <w:t>State</w:t>
      </w:r>
      <w:r w:rsidR="0062350D" w:rsidRPr="003B36EA">
        <w:t xml:space="preserve"> </w:t>
      </w:r>
      <w:r w:rsidRPr="003B36EA">
        <w:t>party</w:t>
      </w:r>
      <w:r w:rsidR="0062350D" w:rsidRPr="003B36EA">
        <w:t>’</w:t>
      </w:r>
      <w:r w:rsidRPr="003B36EA">
        <w:t>s</w:t>
      </w:r>
      <w:r w:rsidR="0062350D" w:rsidRPr="003B36EA">
        <w:t xml:space="preserve"> </w:t>
      </w:r>
      <w:r w:rsidRPr="003B36EA">
        <w:t>argument</w:t>
      </w:r>
      <w:r w:rsidR="0062350D" w:rsidRPr="003B36EA">
        <w:t xml:space="preserve"> </w:t>
      </w:r>
      <w:r w:rsidRPr="003B36EA">
        <w:t>that</w:t>
      </w:r>
      <w:r w:rsidR="0062350D" w:rsidRPr="003B36EA">
        <w:t xml:space="preserve"> </w:t>
      </w:r>
      <w:r w:rsidRPr="003B36EA">
        <w:t>the</w:t>
      </w:r>
      <w:r w:rsidR="0062350D" w:rsidRPr="003B36EA">
        <w:t xml:space="preserve"> </w:t>
      </w:r>
      <w:r w:rsidRPr="003B36EA">
        <w:t>authors</w:t>
      </w:r>
      <w:r w:rsidR="0062350D" w:rsidRPr="003B36EA">
        <w:t xml:space="preserve">’ </w:t>
      </w:r>
      <w:r w:rsidRPr="003B36EA">
        <w:t>detention</w:t>
      </w:r>
      <w:r w:rsidR="0062350D" w:rsidRPr="003B36EA">
        <w:t xml:space="preserve"> </w:t>
      </w:r>
      <w:r w:rsidRPr="003B36EA">
        <w:t>occurred</w:t>
      </w:r>
      <w:r w:rsidR="0062350D" w:rsidRPr="003B36EA">
        <w:t xml:space="preserve"> </w:t>
      </w:r>
      <w:r w:rsidRPr="003B36EA">
        <w:t>in</w:t>
      </w:r>
      <w:r w:rsidR="0062350D" w:rsidRPr="003B36EA">
        <w:t xml:space="preserve"> </w:t>
      </w:r>
      <w:r w:rsidRPr="003B36EA">
        <w:t>accordance</w:t>
      </w:r>
      <w:r w:rsidR="0062350D" w:rsidRPr="003B36EA">
        <w:t xml:space="preserve"> </w:t>
      </w:r>
      <w:r w:rsidRPr="003B36EA">
        <w:t>with</w:t>
      </w:r>
      <w:r w:rsidR="0062350D" w:rsidRPr="003B36EA">
        <w:t xml:space="preserve"> </w:t>
      </w:r>
      <w:r w:rsidRPr="003B36EA">
        <w:t>procedures</w:t>
      </w:r>
      <w:r w:rsidR="0062350D" w:rsidRPr="003B36EA">
        <w:t xml:space="preserve"> </w:t>
      </w:r>
      <w:r w:rsidRPr="003B36EA">
        <w:t>established</w:t>
      </w:r>
      <w:r w:rsidR="0062350D" w:rsidRPr="003B36EA">
        <w:t xml:space="preserve"> </w:t>
      </w:r>
      <w:r w:rsidRPr="003B36EA">
        <w:t>by</w:t>
      </w:r>
      <w:r w:rsidR="0062350D" w:rsidRPr="003B36EA">
        <w:t xml:space="preserve"> </w:t>
      </w:r>
      <w:r w:rsidRPr="003B36EA">
        <w:t>the</w:t>
      </w:r>
      <w:r w:rsidR="0062350D" w:rsidRPr="003B36EA">
        <w:t xml:space="preserve"> </w:t>
      </w:r>
      <w:r w:rsidRPr="003B36EA">
        <w:t>Migration</w:t>
      </w:r>
      <w:r w:rsidR="0062350D" w:rsidRPr="003B36EA">
        <w:t xml:space="preserve"> </w:t>
      </w:r>
      <w:r w:rsidRPr="003B36EA">
        <w:t>Act;</w:t>
      </w:r>
      <w:r w:rsidR="0062350D" w:rsidRPr="003B36EA">
        <w:t xml:space="preserve"> </w:t>
      </w:r>
      <w:r w:rsidRPr="003B36EA">
        <w:t>their</w:t>
      </w:r>
      <w:r w:rsidR="0062350D" w:rsidRPr="003B36EA">
        <w:t xml:space="preserve"> </w:t>
      </w:r>
      <w:r w:rsidRPr="003B36EA">
        <w:t>detention</w:t>
      </w:r>
      <w:r w:rsidR="0062350D" w:rsidRPr="003B36EA">
        <w:t xml:space="preserve"> </w:t>
      </w:r>
      <w:r w:rsidRPr="003B36EA">
        <w:t>was</w:t>
      </w:r>
      <w:r w:rsidR="0062350D" w:rsidRPr="003B36EA">
        <w:t xml:space="preserve"> </w:t>
      </w:r>
      <w:r w:rsidRPr="003B36EA">
        <w:t>as</w:t>
      </w:r>
      <w:r w:rsidR="0062350D" w:rsidRPr="003B36EA">
        <w:t xml:space="preserve"> </w:t>
      </w:r>
      <w:r w:rsidRPr="003B36EA">
        <w:t>short</w:t>
      </w:r>
      <w:r w:rsidR="0062350D" w:rsidRPr="003B36EA">
        <w:t xml:space="preserve"> </w:t>
      </w:r>
      <w:r w:rsidRPr="003B36EA">
        <w:t>as</w:t>
      </w:r>
      <w:r w:rsidR="0062350D" w:rsidRPr="003B36EA">
        <w:t xml:space="preserve"> </w:t>
      </w:r>
      <w:r w:rsidRPr="003B36EA">
        <w:t>possible</w:t>
      </w:r>
      <w:r w:rsidR="0062350D" w:rsidRPr="003B36EA">
        <w:t xml:space="preserve"> </w:t>
      </w:r>
      <w:r w:rsidRPr="003B36EA">
        <w:t>and</w:t>
      </w:r>
      <w:r w:rsidR="0062350D" w:rsidRPr="003B36EA">
        <w:t xml:space="preserve"> </w:t>
      </w:r>
      <w:r w:rsidRPr="003B36EA">
        <w:t>regularly</w:t>
      </w:r>
      <w:r w:rsidR="0062350D" w:rsidRPr="003B36EA">
        <w:t xml:space="preserve"> </w:t>
      </w:r>
      <w:r w:rsidRPr="003B36EA">
        <w:t>reviewed</w:t>
      </w:r>
      <w:r w:rsidR="0062350D" w:rsidRPr="003B36EA">
        <w:t xml:space="preserve"> </w:t>
      </w:r>
      <w:r w:rsidRPr="003B36EA">
        <w:t>on</w:t>
      </w:r>
      <w:r w:rsidR="0062350D" w:rsidRPr="003B36EA">
        <w:t xml:space="preserve"> </w:t>
      </w:r>
      <w:r w:rsidRPr="003B36EA">
        <w:t>an</w:t>
      </w:r>
      <w:r w:rsidR="0062350D" w:rsidRPr="003B36EA">
        <w:t xml:space="preserve"> </w:t>
      </w:r>
      <w:r w:rsidRPr="003B36EA">
        <w:t>individual</w:t>
      </w:r>
      <w:r w:rsidR="0062350D" w:rsidRPr="003B36EA">
        <w:t xml:space="preserve"> </w:t>
      </w:r>
      <w:r w:rsidRPr="003B36EA">
        <w:t>basis.</w:t>
      </w:r>
    </w:p>
    <w:p w14:paraId="22E55CD1" w14:textId="10C749DC" w:rsidR="007F12C3" w:rsidRPr="0062350D" w:rsidRDefault="007F12C3" w:rsidP="005D6A3F">
      <w:pPr>
        <w:pStyle w:val="SingleTxtG"/>
        <w:rPr>
          <w:rStyle w:val="FootnoteReference"/>
        </w:rPr>
      </w:pPr>
      <w:r w:rsidRPr="0062350D">
        <w:t>8.4</w:t>
      </w:r>
      <w:r w:rsidRPr="0062350D">
        <w:tab/>
        <w:t>The</w:t>
      </w:r>
      <w:r w:rsidR="0062350D">
        <w:t xml:space="preserve"> </w:t>
      </w:r>
      <w:r w:rsidRPr="0062350D">
        <w:t>Committee</w:t>
      </w:r>
      <w:r w:rsidR="0062350D">
        <w:t xml:space="preserve"> </w:t>
      </w:r>
      <w:r w:rsidRPr="0062350D">
        <w:t>further</w:t>
      </w:r>
      <w:r w:rsidR="0062350D">
        <w:t xml:space="preserve"> </w:t>
      </w:r>
      <w:r w:rsidRPr="0062350D">
        <w:t>notes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do</w:t>
      </w:r>
      <w:r w:rsidR="0062350D">
        <w:t xml:space="preserve"> </w:t>
      </w:r>
      <w:r w:rsidRPr="0062350D">
        <w:t>not</w:t>
      </w:r>
      <w:r w:rsidR="0062350D">
        <w:t xml:space="preserve"> </w:t>
      </w:r>
      <w:r w:rsidRPr="0062350D">
        <w:t>argue</w:t>
      </w:r>
      <w:r w:rsidR="0062350D">
        <w:t xml:space="preserve"> </w:t>
      </w:r>
      <w:r w:rsidRPr="0062350D">
        <w:t>that</w:t>
      </w:r>
      <w:r w:rsidR="0062350D">
        <w:t xml:space="preserve"> </w:t>
      </w:r>
      <w:r w:rsidRPr="0062350D">
        <w:t>detention</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was</w:t>
      </w:r>
      <w:r w:rsidR="0062350D">
        <w:t xml:space="preserve"> </w:t>
      </w:r>
      <w:r w:rsidRPr="0062350D">
        <w:t>unlawful</w:t>
      </w:r>
      <w:r w:rsidR="0062350D">
        <w:t xml:space="preserve"> </w:t>
      </w:r>
      <w:r w:rsidRPr="0062350D">
        <w:t>under</w:t>
      </w:r>
      <w:r w:rsidR="0062350D">
        <w:t xml:space="preserve"> </w:t>
      </w:r>
      <w:r w:rsidRPr="0062350D">
        <w:t>Australian</w:t>
      </w:r>
      <w:r w:rsidR="0062350D">
        <w:t xml:space="preserve"> </w:t>
      </w:r>
      <w:r w:rsidRPr="0062350D">
        <w:t>law.</w:t>
      </w:r>
      <w:r w:rsidR="0062350D">
        <w:t xml:space="preserve"> </w:t>
      </w:r>
      <w:r w:rsidRPr="0062350D">
        <w:t>At</w:t>
      </w:r>
      <w:r w:rsidR="0062350D">
        <w:t xml:space="preserve"> </w:t>
      </w:r>
      <w:r w:rsidRPr="0062350D">
        <w:t>the</w:t>
      </w:r>
      <w:r w:rsidR="0062350D">
        <w:t xml:space="preserve"> </w:t>
      </w:r>
      <w:r w:rsidRPr="0062350D">
        <w:t>same</w:t>
      </w:r>
      <w:r w:rsidR="0062350D">
        <w:t xml:space="preserve"> </w:t>
      </w:r>
      <w:r w:rsidRPr="0062350D">
        <w:t>time,</w:t>
      </w:r>
      <w:r w:rsidR="0062350D">
        <w:t xml:space="preserve"> </w:t>
      </w:r>
      <w:r w:rsidRPr="0062350D">
        <w:t>the</w:t>
      </w:r>
      <w:r w:rsidR="0062350D">
        <w:t xml:space="preserve"> </w:t>
      </w:r>
      <w:r w:rsidRPr="0062350D">
        <w:t>notion</w:t>
      </w:r>
      <w:r w:rsidR="0062350D">
        <w:t xml:space="preserve"> </w:t>
      </w:r>
      <w:r w:rsidRPr="0062350D">
        <w:t>of</w:t>
      </w:r>
      <w:r w:rsidR="0062350D">
        <w:t xml:space="preserve"> </w:t>
      </w:r>
      <w:r w:rsidRPr="0062350D">
        <w:t>arbitrariness</w:t>
      </w:r>
      <w:r w:rsidR="0062350D">
        <w:t xml:space="preserve"> </w:t>
      </w:r>
      <w:r w:rsidRPr="0062350D">
        <w:t>is</w:t>
      </w:r>
      <w:r w:rsidR="0062350D">
        <w:t xml:space="preserve"> </w:t>
      </w:r>
      <w:r w:rsidRPr="0062350D">
        <w:t>not</w:t>
      </w:r>
      <w:r w:rsidR="0062350D">
        <w:t xml:space="preserve"> </w:t>
      </w:r>
      <w:r w:rsidRPr="0062350D">
        <w:t>to</w:t>
      </w:r>
      <w:r w:rsidR="0062350D">
        <w:t xml:space="preserve"> </w:t>
      </w:r>
      <w:r w:rsidRPr="0062350D">
        <w:t>be</w:t>
      </w:r>
      <w:r w:rsidR="0062350D">
        <w:t xml:space="preserve"> </w:t>
      </w:r>
      <w:r w:rsidRPr="0062350D">
        <w:t>equated</w:t>
      </w:r>
      <w:r w:rsidR="0062350D">
        <w:t xml:space="preserve"> </w:t>
      </w:r>
      <w:r w:rsidRPr="0062350D">
        <w:t>with</w:t>
      </w:r>
      <w:r w:rsidR="0062350D">
        <w:t xml:space="preserve"> </w:t>
      </w:r>
      <w:r w:rsidR="0062350D" w:rsidRPr="0062350D">
        <w:t>‘</w:t>
      </w:r>
      <w:r w:rsidRPr="0062350D">
        <w:t>against</w:t>
      </w:r>
      <w:r w:rsidR="0062350D">
        <w:t xml:space="preserve"> </w:t>
      </w:r>
      <w:r w:rsidRPr="0062350D">
        <w:t>the</w:t>
      </w:r>
      <w:r w:rsidR="0062350D">
        <w:t xml:space="preserve"> </w:t>
      </w:r>
      <w:r w:rsidRPr="0062350D">
        <w:t>law</w:t>
      </w:r>
      <w:r w:rsidR="0062350D" w:rsidRPr="0062350D">
        <w:t>’</w:t>
      </w:r>
      <w:r w:rsidR="0062350D">
        <w:t xml:space="preserve"> </w:t>
      </w:r>
      <w:r w:rsidRPr="0062350D">
        <w:t>but</w:t>
      </w:r>
      <w:r w:rsidR="0062350D">
        <w:t xml:space="preserve"> </w:t>
      </w:r>
      <w:r w:rsidRPr="0062350D">
        <w:t>must</w:t>
      </w:r>
      <w:r w:rsidR="0062350D">
        <w:t xml:space="preserve"> </w:t>
      </w:r>
      <w:r w:rsidRPr="0062350D">
        <w:t>be</w:t>
      </w:r>
      <w:r w:rsidR="0062350D">
        <w:t xml:space="preserve"> </w:t>
      </w:r>
      <w:r w:rsidRPr="0062350D">
        <w:t>interpreted</w:t>
      </w:r>
      <w:r w:rsidR="0062350D">
        <w:t xml:space="preserve"> </w:t>
      </w:r>
      <w:r w:rsidRPr="0062350D">
        <w:t>more</w:t>
      </w:r>
      <w:r w:rsidR="0062350D">
        <w:t xml:space="preserve"> </w:t>
      </w:r>
      <w:r w:rsidRPr="0062350D">
        <w:t>broadly</w:t>
      </w:r>
      <w:r w:rsidR="0062350D">
        <w:t xml:space="preserve"> </w:t>
      </w:r>
      <w:r w:rsidRPr="0062350D">
        <w:t>to</w:t>
      </w:r>
      <w:r w:rsidR="0062350D">
        <w:t xml:space="preserve"> </w:t>
      </w:r>
      <w:r w:rsidRPr="0062350D">
        <w:t>include</w:t>
      </w:r>
      <w:r w:rsidR="0062350D">
        <w:t xml:space="preserve"> </w:t>
      </w:r>
      <w:r w:rsidRPr="0062350D">
        <w:t>elements</w:t>
      </w:r>
      <w:r w:rsidR="0062350D">
        <w:t xml:space="preserve"> </w:t>
      </w:r>
      <w:r w:rsidRPr="0062350D">
        <w:t>of</w:t>
      </w:r>
      <w:r w:rsidR="0062350D">
        <w:t xml:space="preserve"> </w:t>
      </w:r>
      <w:r w:rsidRPr="0062350D">
        <w:t>inappropriateness,</w:t>
      </w:r>
      <w:r w:rsidR="0062350D">
        <w:t xml:space="preserve"> </w:t>
      </w:r>
      <w:r w:rsidRPr="0062350D">
        <w:t>injustice,</w:t>
      </w:r>
      <w:r w:rsidR="0062350D">
        <w:t xml:space="preserve"> </w:t>
      </w:r>
      <w:r w:rsidRPr="0062350D">
        <w:t>lack</w:t>
      </w:r>
      <w:r w:rsidR="0062350D">
        <w:t xml:space="preserve"> </w:t>
      </w:r>
      <w:r w:rsidRPr="0062350D">
        <w:t>of</w:t>
      </w:r>
      <w:r w:rsidR="0062350D">
        <w:t xml:space="preserve"> </w:t>
      </w:r>
      <w:r w:rsidRPr="0062350D">
        <w:t>predictability</w:t>
      </w:r>
      <w:r w:rsidR="0062350D">
        <w:t xml:space="preserve"> </w:t>
      </w:r>
      <w:r w:rsidRPr="0062350D">
        <w:t>and</w:t>
      </w:r>
      <w:r w:rsidR="0062350D">
        <w:t xml:space="preserve"> </w:t>
      </w:r>
      <w:r w:rsidRPr="0062350D">
        <w:t>due</w:t>
      </w:r>
      <w:r w:rsidR="0062350D">
        <w:t xml:space="preserve"> </w:t>
      </w:r>
      <w:r w:rsidRPr="0062350D">
        <w:t>process</w:t>
      </w:r>
      <w:r w:rsidR="0062350D">
        <w:t xml:space="preserve"> </w:t>
      </w:r>
      <w:r w:rsidRPr="0062350D">
        <w:t>of</w:t>
      </w:r>
      <w:r w:rsidR="0062350D">
        <w:t xml:space="preserve"> </w:t>
      </w:r>
      <w:r w:rsidRPr="0062350D">
        <w:t>law.</w:t>
      </w:r>
      <w:r w:rsidR="0062350D">
        <w:t xml:space="preserve"> </w:t>
      </w:r>
      <w:r w:rsidRPr="0062350D">
        <w:t>Detention</w:t>
      </w:r>
      <w:r w:rsidR="0062350D">
        <w:t xml:space="preserve"> </w:t>
      </w:r>
      <w:r w:rsidRPr="0062350D">
        <w:t>in</w:t>
      </w:r>
      <w:r w:rsidR="0062350D">
        <w:t xml:space="preserve"> </w:t>
      </w:r>
      <w:r w:rsidRPr="0062350D">
        <w:t>the</w:t>
      </w:r>
      <w:r w:rsidR="0062350D">
        <w:t xml:space="preserve"> </w:t>
      </w:r>
      <w:r w:rsidRPr="0062350D">
        <w:t>course</w:t>
      </w:r>
      <w:r w:rsidR="0062350D">
        <w:t xml:space="preserve"> </w:t>
      </w:r>
      <w:r w:rsidRPr="0062350D">
        <w:t>of</w:t>
      </w:r>
      <w:r w:rsidR="0062350D">
        <w:t xml:space="preserve"> </w:t>
      </w:r>
      <w:r w:rsidRPr="0062350D">
        <w:t>proceedings</w:t>
      </w:r>
      <w:r w:rsidR="0062350D">
        <w:t xml:space="preserve"> </w:t>
      </w:r>
      <w:r w:rsidRPr="0062350D">
        <w:t>for</w:t>
      </w:r>
      <w:r w:rsidR="0062350D">
        <w:t xml:space="preserve"> </w:t>
      </w:r>
      <w:r w:rsidRPr="0062350D">
        <w:t>the</w:t>
      </w:r>
      <w:r w:rsidR="0062350D">
        <w:t xml:space="preserve"> </w:t>
      </w:r>
      <w:r w:rsidRPr="0062350D">
        <w:t>control</w:t>
      </w:r>
      <w:r w:rsidR="0062350D">
        <w:t xml:space="preserve"> </w:t>
      </w:r>
      <w:r w:rsidRPr="0062350D">
        <w:t>of</w:t>
      </w:r>
      <w:r w:rsidR="0062350D">
        <w:t xml:space="preserve"> </w:t>
      </w:r>
      <w:r w:rsidRPr="0062350D">
        <w:t>immigration</w:t>
      </w:r>
      <w:r w:rsidR="0062350D">
        <w:t xml:space="preserve"> </w:t>
      </w:r>
      <w:r w:rsidRPr="0062350D">
        <w:t>is</w:t>
      </w:r>
      <w:r w:rsidR="0062350D">
        <w:t xml:space="preserve"> </w:t>
      </w:r>
      <w:r w:rsidRPr="0062350D">
        <w:t>not</w:t>
      </w:r>
      <w:r w:rsidR="0062350D">
        <w:t xml:space="preserve"> </w:t>
      </w:r>
      <w:r w:rsidRPr="0062350D">
        <w:t>arbitrary</w:t>
      </w:r>
      <w:r w:rsidR="0062350D">
        <w:t xml:space="preserve"> </w:t>
      </w:r>
      <w:r w:rsidRPr="0062350D">
        <w:t>per</w:t>
      </w:r>
      <w:r w:rsidR="0062350D">
        <w:t xml:space="preserve"> </w:t>
      </w:r>
      <w:r w:rsidRPr="0062350D">
        <w:t>se,</w:t>
      </w:r>
      <w:r w:rsidR="0062350D">
        <w:t xml:space="preserve"> </w:t>
      </w:r>
      <w:r w:rsidRPr="0062350D">
        <w:t>but</w:t>
      </w:r>
      <w:r w:rsidR="0062350D">
        <w:t xml:space="preserve"> </w:t>
      </w:r>
      <w:r w:rsidRPr="0062350D">
        <w:t>detention</w:t>
      </w:r>
      <w:r w:rsidR="0062350D">
        <w:t xml:space="preserve"> </w:t>
      </w:r>
      <w:r w:rsidRPr="0062350D">
        <w:t>must</w:t>
      </w:r>
      <w:r w:rsidR="0062350D">
        <w:t xml:space="preserve"> </w:t>
      </w:r>
      <w:r w:rsidRPr="0062350D">
        <w:t>be</w:t>
      </w:r>
      <w:r w:rsidR="0062350D">
        <w:t xml:space="preserve"> </w:t>
      </w:r>
      <w:r w:rsidRPr="0062350D">
        <w:t>justified</w:t>
      </w:r>
      <w:r w:rsidR="0062350D">
        <w:t xml:space="preserve"> </w:t>
      </w:r>
      <w:r w:rsidRPr="0062350D">
        <w:t>as</w:t>
      </w:r>
      <w:r w:rsidR="0062350D">
        <w:t xml:space="preserve"> </w:t>
      </w:r>
      <w:r w:rsidRPr="0062350D">
        <w:t>being</w:t>
      </w:r>
      <w:r w:rsidR="0062350D">
        <w:t xml:space="preserve"> </w:t>
      </w:r>
      <w:r w:rsidRPr="0062350D">
        <w:t>reasonable,</w:t>
      </w:r>
      <w:r w:rsidR="0062350D">
        <w:t xml:space="preserve"> </w:t>
      </w:r>
      <w:r w:rsidRPr="0062350D">
        <w:t>necessary</w:t>
      </w:r>
      <w:r w:rsidR="0062350D">
        <w:t xml:space="preserve"> </w:t>
      </w:r>
      <w:r w:rsidRPr="0062350D">
        <w:t>and</w:t>
      </w:r>
      <w:r w:rsidR="0062350D">
        <w:t xml:space="preserve"> </w:t>
      </w:r>
      <w:r w:rsidRPr="0062350D">
        <w:t>proportionate</w:t>
      </w:r>
      <w:r w:rsidR="0062350D">
        <w:t xml:space="preserve"> </w:t>
      </w:r>
      <w:r w:rsidRPr="0062350D">
        <w:t>in</w:t>
      </w:r>
      <w:r w:rsidR="0062350D">
        <w:t xml:space="preserve"> </w:t>
      </w:r>
      <w:r w:rsidRPr="0062350D">
        <w:t>the</w:t>
      </w:r>
      <w:r w:rsidR="0062350D">
        <w:t xml:space="preserve"> </w:t>
      </w:r>
      <w:r w:rsidRPr="0062350D">
        <w:t>light</w:t>
      </w:r>
      <w:r w:rsidR="0062350D">
        <w:t xml:space="preserve"> </w:t>
      </w:r>
      <w:r w:rsidRPr="0062350D">
        <w:t>of</w:t>
      </w:r>
      <w:r w:rsidR="0062350D">
        <w:t xml:space="preserve"> </w:t>
      </w:r>
      <w:r w:rsidRPr="0062350D">
        <w:t>the</w:t>
      </w:r>
      <w:r w:rsidR="0062350D">
        <w:t xml:space="preserve"> </w:t>
      </w:r>
      <w:r w:rsidRPr="0062350D">
        <w:t>circumstances</w:t>
      </w:r>
      <w:r w:rsidR="0062350D">
        <w:t xml:space="preserve"> </w:t>
      </w:r>
      <w:r w:rsidRPr="0062350D">
        <w:t>and</w:t>
      </w:r>
      <w:r w:rsidR="0062350D">
        <w:t xml:space="preserve"> </w:t>
      </w:r>
      <w:r w:rsidRPr="0062350D">
        <w:t>reassessed</w:t>
      </w:r>
      <w:r w:rsidR="0062350D">
        <w:t xml:space="preserve"> </w:t>
      </w:r>
      <w:r w:rsidRPr="0062350D">
        <w:t>as</w:t>
      </w:r>
      <w:r w:rsidR="0062350D">
        <w:t xml:space="preserve"> </w:t>
      </w:r>
      <w:r w:rsidRPr="0062350D">
        <w:t>it</w:t>
      </w:r>
      <w:r w:rsidR="0062350D">
        <w:t xml:space="preserve"> </w:t>
      </w:r>
      <w:r w:rsidRPr="0062350D">
        <w:t>extends</w:t>
      </w:r>
      <w:r w:rsidR="0062350D">
        <w:t xml:space="preserve"> </w:t>
      </w:r>
      <w:r w:rsidRPr="0062350D">
        <w:t>in</w:t>
      </w:r>
      <w:r w:rsidR="0062350D">
        <w:t xml:space="preserve"> </w:t>
      </w:r>
      <w:r w:rsidRPr="0062350D">
        <w:t>time.</w:t>
      </w:r>
      <w:r w:rsidR="0062350D">
        <w:t xml:space="preserve"> </w:t>
      </w:r>
      <w:r w:rsidRPr="0062350D">
        <w:t>The</w:t>
      </w:r>
      <w:r w:rsidR="0062350D">
        <w:t xml:space="preserve"> </w:t>
      </w:r>
      <w:r w:rsidRPr="0062350D">
        <w:t>decision</w:t>
      </w:r>
      <w:r w:rsidR="0062350D">
        <w:t xml:space="preserve"> </w:t>
      </w:r>
      <w:r w:rsidRPr="0062350D">
        <w:t>must</w:t>
      </w:r>
      <w:r w:rsidR="0062350D">
        <w:t xml:space="preserve"> </w:t>
      </w:r>
      <w:r w:rsidRPr="0062350D">
        <w:t>consider</w:t>
      </w:r>
      <w:r w:rsidR="0062350D">
        <w:t xml:space="preserve"> </w:t>
      </w:r>
      <w:r w:rsidRPr="0062350D">
        <w:t>relevant</w:t>
      </w:r>
      <w:r w:rsidR="0062350D">
        <w:t xml:space="preserve"> </w:t>
      </w:r>
      <w:r w:rsidRPr="0062350D">
        <w:t>factors</w:t>
      </w:r>
      <w:r w:rsidR="0062350D">
        <w:t xml:space="preserve"> </w:t>
      </w:r>
      <w:r w:rsidRPr="0062350D">
        <w:t>case</w:t>
      </w:r>
      <w:r w:rsidR="0062350D">
        <w:t xml:space="preserve"> </w:t>
      </w:r>
      <w:r w:rsidRPr="0062350D">
        <w:t>by</w:t>
      </w:r>
      <w:r w:rsidR="0062350D">
        <w:t xml:space="preserve"> </w:t>
      </w:r>
      <w:r w:rsidRPr="0062350D">
        <w:t>case,</w:t>
      </w:r>
      <w:r w:rsidR="0062350D">
        <w:t xml:space="preserve"> </w:t>
      </w:r>
      <w:r w:rsidRPr="0062350D">
        <w:t>and</w:t>
      </w:r>
      <w:r w:rsidR="0062350D">
        <w:t xml:space="preserve"> </w:t>
      </w:r>
      <w:r w:rsidRPr="0062350D">
        <w:t>not</w:t>
      </w:r>
      <w:r w:rsidR="0062350D">
        <w:t xml:space="preserve"> </w:t>
      </w:r>
      <w:r w:rsidRPr="0062350D">
        <w:t>be</w:t>
      </w:r>
      <w:r w:rsidR="0062350D">
        <w:t xml:space="preserve"> </w:t>
      </w:r>
      <w:r w:rsidRPr="0062350D">
        <w:t>based</w:t>
      </w:r>
      <w:r w:rsidR="0062350D">
        <w:t xml:space="preserve"> </w:t>
      </w:r>
      <w:r w:rsidRPr="0062350D">
        <w:t>on</w:t>
      </w:r>
      <w:r w:rsidR="0062350D">
        <w:t xml:space="preserve"> </w:t>
      </w:r>
      <w:r w:rsidRPr="0062350D">
        <w:t>a</w:t>
      </w:r>
      <w:r w:rsidR="0062350D">
        <w:t xml:space="preserve"> </w:t>
      </w:r>
      <w:r w:rsidRPr="0062350D">
        <w:t>mandatory</w:t>
      </w:r>
      <w:r w:rsidR="0062350D">
        <w:t xml:space="preserve"> </w:t>
      </w:r>
      <w:r w:rsidRPr="0062350D">
        <w:t>rule</w:t>
      </w:r>
      <w:r w:rsidR="0062350D">
        <w:t xml:space="preserve"> </w:t>
      </w:r>
      <w:r w:rsidRPr="0062350D">
        <w:t>for</w:t>
      </w:r>
      <w:r w:rsidR="0062350D">
        <w:t xml:space="preserve"> </w:t>
      </w:r>
      <w:r w:rsidRPr="0062350D">
        <w:t>a</w:t>
      </w:r>
      <w:r w:rsidR="0062350D">
        <w:t xml:space="preserve"> </w:t>
      </w:r>
      <w:r w:rsidRPr="0062350D">
        <w:t>broad</w:t>
      </w:r>
      <w:r w:rsidR="0062350D">
        <w:t xml:space="preserve"> </w:t>
      </w:r>
      <w:r w:rsidRPr="0062350D">
        <w:t>category;</w:t>
      </w:r>
      <w:r w:rsidR="0062350D">
        <w:t xml:space="preserve"> </w:t>
      </w:r>
      <w:r w:rsidRPr="0062350D">
        <w:t>must</w:t>
      </w:r>
      <w:r w:rsidR="0062350D">
        <w:t xml:space="preserve"> </w:t>
      </w:r>
      <w:r w:rsidRPr="0062350D">
        <w:t>take</w:t>
      </w:r>
      <w:r w:rsidR="0062350D">
        <w:t xml:space="preserve"> </w:t>
      </w:r>
      <w:r w:rsidRPr="0062350D">
        <w:t>into</w:t>
      </w:r>
      <w:r w:rsidR="0062350D">
        <w:t xml:space="preserve"> </w:t>
      </w:r>
      <w:r w:rsidRPr="0062350D">
        <w:t>account</w:t>
      </w:r>
      <w:r w:rsidR="0062350D">
        <w:t xml:space="preserve"> </w:t>
      </w:r>
      <w:r w:rsidRPr="0062350D">
        <w:t>less</w:t>
      </w:r>
      <w:r w:rsidR="0062350D">
        <w:t xml:space="preserve"> </w:t>
      </w:r>
      <w:r w:rsidRPr="0062350D">
        <w:t>invasive</w:t>
      </w:r>
      <w:r w:rsidR="0062350D">
        <w:t xml:space="preserve"> </w:t>
      </w:r>
      <w:r w:rsidRPr="0062350D">
        <w:t>means</w:t>
      </w:r>
      <w:r w:rsidR="0062350D">
        <w:t xml:space="preserve"> </w:t>
      </w:r>
      <w:r w:rsidRPr="0062350D">
        <w:t>of</w:t>
      </w:r>
      <w:r w:rsidR="0062350D">
        <w:t xml:space="preserve"> </w:t>
      </w:r>
      <w:r w:rsidRPr="0062350D">
        <w:t>achieving</w:t>
      </w:r>
      <w:r w:rsidR="0062350D">
        <w:t xml:space="preserve"> </w:t>
      </w:r>
      <w:r w:rsidRPr="0062350D">
        <w:t>the</w:t>
      </w:r>
      <w:r w:rsidR="0062350D">
        <w:t xml:space="preserve"> </w:t>
      </w:r>
      <w:r w:rsidRPr="0062350D">
        <w:t>same</w:t>
      </w:r>
      <w:r w:rsidR="0062350D">
        <w:t xml:space="preserve"> </w:t>
      </w:r>
      <w:r w:rsidRPr="0062350D">
        <w:t>ends,</w:t>
      </w:r>
      <w:r w:rsidR="0062350D">
        <w:t xml:space="preserve"> </w:t>
      </w:r>
      <w:r w:rsidRPr="0062350D">
        <w:t>such</w:t>
      </w:r>
      <w:r w:rsidR="0062350D">
        <w:t xml:space="preserve"> </w:t>
      </w:r>
      <w:r w:rsidRPr="0062350D">
        <w:t>as</w:t>
      </w:r>
      <w:r w:rsidR="0062350D">
        <w:t xml:space="preserve"> </w:t>
      </w:r>
      <w:r w:rsidRPr="0062350D">
        <w:t>reporting</w:t>
      </w:r>
      <w:r w:rsidR="0062350D">
        <w:t xml:space="preserve"> </w:t>
      </w:r>
      <w:r w:rsidRPr="0062350D">
        <w:t>obligations,</w:t>
      </w:r>
      <w:r w:rsidR="0062350D">
        <w:t xml:space="preserve"> </w:t>
      </w:r>
      <w:r w:rsidRPr="0062350D">
        <w:t>sureties</w:t>
      </w:r>
      <w:r w:rsidR="0062350D">
        <w:t xml:space="preserve"> </w:t>
      </w:r>
      <w:r w:rsidRPr="0062350D">
        <w:t>or</w:t>
      </w:r>
      <w:r w:rsidR="0062350D">
        <w:t xml:space="preserve"> </w:t>
      </w:r>
      <w:r w:rsidRPr="0062350D">
        <w:t>other</w:t>
      </w:r>
      <w:r w:rsidR="0062350D">
        <w:t xml:space="preserve"> </w:t>
      </w:r>
      <w:r w:rsidRPr="0062350D">
        <w:t>conditions</w:t>
      </w:r>
      <w:r w:rsidR="0062350D">
        <w:t xml:space="preserve"> </w:t>
      </w:r>
      <w:r w:rsidRPr="0062350D">
        <w:t>to</w:t>
      </w:r>
      <w:r w:rsidR="0062350D">
        <w:t xml:space="preserve"> </w:t>
      </w:r>
      <w:r w:rsidRPr="0062350D">
        <w:t>prevent</w:t>
      </w:r>
      <w:r w:rsidR="0062350D">
        <w:t xml:space="preserve"> </w:t>
      </w:r>
      <w:r w:rsidRPr="0062350D">
        <w:t>absconding;</w:t>
      </w:r>
      <w:r w:rsidR="0062350D">
        <w:t xml:space="preserve"> </w:t>
      </w:r>
      <w:r w:rsidRPr="0062350D">
        <w:t>and</w:t>
      </w:r>
      <w:r w:rsidR="0062350D">
        <w:t xml:space="preserve"> </w:t>
      </w:r>
      <w:r w:rsidRPr="0062350D">
        <w:t>must</w:t>
      </w:r>
      <w:r w:rsidR="0062350D">
        <w:t xml:space="preserve"> </w:t>
      </w:r>
      <w:r w:rsidRPr="0062350D">
        <w:t>be</w:t>
      </w:r>
      <w:r w:rsidR="0062350D">
        <w:t xml:space="preserve"> </w:t>
      </w:r>
      <w:r w:rsidRPr="0062350D">
        <w:t>subject</w:t>
      </w:r>
      <w:r w:rsidR="0062350D">
        <w:t xml:space="preserve"> </w:t>
      </w:r>
      <w:r w:rsidRPr="0062350D">
        <w:t>to</w:t>
      </w:r>
      <w:r w:rsidR="0062350D">
        <w:t xml:space="preserve"> </w:t>
      </w:r>
      <w:r w:rsidRPr="0062350D">
        <w:t>periodic</w:t>
      </w:r>
      <w:r w:rsidR="0062350D">
        <w:t xml:space="preserve"> </w:t>
      </w:r>
      <w:r w:rsidRPr="0062350D">
        <w:t>re-evaluation</w:t>
      </w:r>
      <w:r w:rsidR="0062350D">
        <w:t xml:space="preserve"> </w:t>
      </w:r>
      <w:r w:rsidRPr="0062350D">
        <w:t>and</w:t>
      </w:r>
      <w:r w:rsidR="0062350D">
        <w:t xml:space="preserve"> </w:t>
      </w:r>
      <w:r w:rsidRPr="0062350D">
        <w:t>judicial</w:t>
      </w:r>
      <w:r w:rsidR="0062350D">
        <w:t xml:space="preserve"> </w:t>
      </w:r>
      <w:r w:rsidRPr="0062350D">
        <w:t>review.</w:t>
      </w:r>
      <w:r w:rsidRPr="0062350D">
        <w:rPr>
          <w:rStyle w:val="FootnoteReference"/>
        </w:rPr>
        <w:footnoteReference w:id="6"/>
      </w:r>
    </w:p>
    <w:p w14:paraId="54268E66" w14:textId="2803C18D" w:rsidR="007F12C3" w:rsidRPr="0062350D" w:rsidRDefault="007F12C3" w:rsidP="005D6A3F">
      <w:pPr>
        <w:pStyle w:val="SingleTxtG"/>
      </w:pPr>
      <w:r w:rsidRPr="0062350D">
        <w:t>8.5</w:t>
      </w:r>
      <w:r w:rsidRPr="0062350D">
        <w:tab/>
        <w:t>In</w:t>
      </w:r>
      <w:r w:rsidR="0062350D">
        <w:t xml:space="preserve"> </w:t>
      </w:r>
      <w:r w:rsidRPr="0062350D">
        <w:t>addition,</w:t>
      </w:r>
      <w:r w:rsidR="0062350D">
        <w:t xml:space="preserve"> </w:t>
      </w:r>
      <w:r w:rsidRPr="0062350D">
        <w:t>the</w:t>
      </w:r>
      <w:r w:rsidR="0062350D">
        <w:t xml:space="preserve"> </w:t>
      </w:r>
      <w:r w:rsidRPr="0062350D">
        <w:t>Committee</w:t>
      </w:r>
      <w:r w:rsidR="0062350D">
        <w:t xml:space="preserve"> </w:t>
      </w:r>
      <w:r w:rsidRPr="0062350D">
        <w:t>recalls</w:t>
      </w:r>
      <w:r w:rsidR="0062350D">
        <w:t xml:space="preserve"> </w:t>
      </w:r>
      <w:r w:rsidRPr="0062350D">
        <w:t>its</w:t>
      </w:r>
      <w:r w:rsidR="0062350D">
        <w:t xml:space="preserve"> </w:t>
      </w:r>
      <w:r w:rsidRPr="0062350D">
        <w:t>general</w:t>
      </w:r>
      <w:r w:rsidR="0062350D">
        <w:t xml:space="preserve"> </w:t>
      </w:r>
      <w:r w:rsidRPr="0062350D">
        <w:t>comment</w:t>
      </w:r>
      <w:r w:rsidR="0062350D">
        <w:t xml:space="preserve"> </w:t>
      </w:r>
      <w:r w:rsidRPr="0062350D">
        <w:t>No.</w:t>
      </w:r>
      <w:r w:rsidR="0062350D">
        <w:t xml:space="preserve"> </w:t>
      </w:r>
      <w:r w:rsidRPr="0062350D">
        <w:t>35,</w:t>
      </w:r>
      <w:r w:rsidR="0062350D">
        <w:t xml:space="preserve"> </w:t>
      </w:r>
      <w:r w:rsidRPr="0062350D">
        <w:t>in</w:t>
      </w:r>
      <w:r w:rsidR="0062350D">
        <w:t xml:space="preserve"> </w:t>
      </w:r>
      <w:r w:rsidRPr="0062350D">
        <w:t>which</w:t>
      </w:r>
      <w:r w:rsidR="0062350D">
        <w:t xml:space="preserve"> </w:t>
      </w:r>
      <w:r w:rsidRPr="0062350D">
        <w:t>it</w:t>
      </w:r>
      <w:r w:rsidR="0062350D">
        <w:t xml:space="preserve"> </w:t>
      </w:r>
      <w:r w:rsidRPr="0062350D">
        <w:t>stated</w:t>
      </w:r>
      <w:r w:rsidR="0062350D">
        <w:t xml:space="preserve"> </w:t>
      </w:r>
      <w:r w:rsidRPr="0062350D">
        <w:t>that</w:t>
      </w:r>
      <w:r w:rsidR="0062350D">
        <w:t xml:space="preserve"> </w:t>
      </w:r>
      <w:r w:rsidRPr="0062350D">
        <w:t>children</w:t>
      </w:r>
      <w:r w:rsidR="0062350D">
        <w:rPr>
          <w:b/>
        </w:rPr>
        <w:t xml:space="preserve"> </w:t>
      </w:r>
      <w:r w:rsidRPr="0062350D">
        <w:t>should</w:t>
      </w:r>
      <w:r w:rsidR="0062350D">
        <w:t xml:space="preserve"> </w:t>
      </w:r>
      <w:r w:rsidRPr="0062350D">
        <w:t>not</w:t>
      </w:r>
      <w:r w:rsidR="0062350D">
        <w:t xml:space="preserve"> </w:t>
      </w:r>
      <w:r w:rsidRPr="0062350D">
        <w:t>be</w:t>
      </w:r>
      <w:r w:rsidR="0062350D">
        <w:t xml:space="preserve"> </w:t>
      </w:r>
      <w:r w:rsidRPr="0062350D">
        <w:t>deprived</w:t>
      </w:r>
      <w:r w:rsidR="0062350D">
        <w:t xml:space="preserve"> </w:t>
      </w:r>
      <w:r w:rsidRPr="0062350D">
        <w:t>of</w:t>
      </w:r>
      <w:r w:rsidR="0062350D">
        <w:t xml:space="preserve"> </w:t>
      </w:r>
      <w:r w:rsidRPr="0062350D">
        <w:t>liberty,</w:t>
      </w:r>
      <w:r w:rsidR="0062350D">
        <w:t xml:space="preserve"> </w:t>
      </w:r>
      <w:r w:rsidRPr="0062350D">
        <w:t>except</w:t>
      </w:r>
      <w:r w:rsidR="0062350D">
        <w:t xml:space="preserve"> </w:t>
      </w:r>
      <w:r w:rsidRPr="0062350D">
        <w:t>as</w:t>
      </w:r>
      <w:r w:rsidR="0062350D">
        <w:t xml:space="preserve"> </w:t>
      </w:r>
      <w:r w:rsidRPr="0062350D">
        <w:t>a</w:t>
      </w:r>
      <w:r w:rsidR="0062350D">
        <w:t xml:space="preserve"> </w:t>
      </w:r>
      <w:r w:rsidRPr="0062350D">
        <w:t>measure</w:t>
      </w:r>
      <w:r w:rsidR="0062350D">
        <w:t xml:space="preserve"> </w:t>
      </w:r>
      <w:r w:rsidRPr="0062350D">
        <w:t>of</w:t>
      </w:r>
      <w:r w:rsidR="0062350D">
        <w:t xml:space="preserve"> </w:t>
      </w:r>
      <w:r w:rsidRPr="0062350D">
        <w:t>last</w:t>
      </w:r>
      <w:r w:rsidR="0062350D">
        <w:t xml:space="preserve"> </w:t>
      </w:r>
      <w:r w:rsidRPr="0062350D">
        <w:t>resort</w:t>
      </w:r>
      <w:r w:rsidR="0062350D">
        <w:t xml:space="preserve"> </w:t>
      </w:r>
      <w:r w:rsidRPr="0062350D">
        <w:t>and</w:t>
      </w:r>
      <w:r w:rsidR="0062350D">
        <w:t xml:space="preserve"> </w:t>
      </w:r>
      <w:r w:rsidRPr="0062350D">
        <w:t>for</w:t>
      </w:r>
      <w:r w:rsidR="0062350D">
        <w:t xml:space="preserve"> </w:t>
      </w:r>
      <w:r w:rsidRPr="0062350D">
        <w:t>the</w:t>
      </w:r>
      <w:r w:rsidR="0062350D">
        <w:t xml:space="preserve"> </w:t>
      </w:r>
      <w:r w:rsidRPr="0062350D">
        <w:t>shortest</w:t>
      </w:r>
      <w:r w:rsidR="0062350D">
        <w:t xml:space="preserve"> </w:t>
      </w:r>
      <w:r w:rsidRPr="0062350D">
        <w:t>appropriate</w:t>
      </w:r>
      <w:r w:rsidR="0062350D">
        <w:t xml:space="preserve"> </w:t>
      </w:r>
      <w:r w:rsidRPr="0062350D">
        <w:t>period</w:t>
      </w:r>
      <w:r w:rsidR="0062350D">
        <w:t xml:space="preserve"> </w:t>
      </w:r>
      <w:r w:rsidRPr="0062350D">
        <w:t>of</w:t>
      </w:r>
      <w:r w:rsidR="0062350D">
        <w:t xml:space="preserve"> </w:t>
      </w:r>
      <w:r w:rsidRPr="0062350D">
        <w:t>time,</w:t>
      </w:r>
      <w:r w:rsidR="0062350D">
        <w:t xml:space="preserve"> </w:t>
      </w:r>
      <w:r w:rsidRPr="0062350D">
        <w:t>taking</w:t>
      </w:r>
      <w:r w:rsidR="0062350D">
        <w:t xml:space="preserve"> </w:t>
      </w:r>
      <w:r w:rsidRPr="0062350D">
        <w:t>into</w:t>
      </w:r>
      <w:r w:rsidR="0062350D">
        <w:t xml:space="preserve"> </w:t>
      </w:r>
      <w:r w:rsidRPr="0062350D">
        <w:t>account</w:t>
      </w:r>
      <w:r w:rsidR="0062350D">
        <w:t xml:space="preserve"> </w:t>
      </w:r>
      <w:r w:rsidRPr="0062350D">
        <w:t>their</w:t>
      </w:r>
      <w:r w:rsidR="0062350D">
        <w:t xml:space="preserve"> </w:t>
      </w:r>
      <w:r w:rsidRPr="0062350D">
        <w:t>best</w:t>
      </w:r>
      <w:r w:rsidR="0062350D">
        <w:t xml:space="preserve"> </w:t>
      </w:r>
      <w:r w:rsidRPr="0062350D">
        <w:t>interests</w:t>
      </w:r>
      <w:r w:rsidR="0062350D">
        <w:t xml:space="preserve"> </w:t>
      </w:r>
      <w:r w:rsidRPr="0062350D">
        <w:t>as</w:t>
      </w:r>
      <w:r w:rsidR="0062350D">
        <w:t xml:space="preserve"> </w:t>
      </w:r>
      <w:r w:rsidRPr="0062350D">
        <w:t>a</w:t>
      </w:r>
      <w:r w:rsidR="0062350D">
        <w:t xml:space="preserve"> </w:t>
      </w:r>
      <w:r w:rsidRPr="0062350D">
        <w:t>primary</w:t>
      </w:r>
      <w:r w:rsidR="0062350D">
        <w:t xml:space="preserve"> </w:t>
      </w:r>
      <w:r w:rsidRPr="0062350D">
        <w:t>consideration</w:t>
      </w:r>
      <w:r w:rsidR="0062350D">
        <w:t xml:space="preserve"> </w:t>
      </w:r>
      <w:r w:rsidRPr="0062350D">
        <w:t>with</w:t>
      </w:r>
      <w:r w:rsidR="0062350D">
        <w:t xml:space="preserve"> </w:t>
      </w:r>
      <w:r w:rsidRPr="0062350D">
        <w:t>regard</w:t>
      </w:r>
      <w:r w:rsidR="0062350D">
        <w:t xml:space="preserve"> </w:t>
      </w:r>
      <w:r w:rsidRPr="0062350D">
        <w:t>to</w:t>
      </w:r>
      <w:r w:rsidR="0062350D">
        <w:t xml:space="preserve"> </w:t>
      </w:r>
      <w:r w:rsidRPr="0062350D">
        <w:t>the</w:t>
      </w:r>
      <w:r w:rsidR="0062350D">
        <w:t xml:space="preserve"> </w:t>
      </w:r>
      <w:r w:rsidRPr="0062350D">
        <w:t>duration</w:t>
      </w:r>
      <w:r w:rsidR="0062350D">
        <w:t xml:space="preserve"> </w:t>
      </w:r>
      <w:r w:rsidRPr="0062350D">
        <w:t>and</w:t>
      </w:r>
      <w:r w:rsidR="0062350D">
        <w:t xml:space="preserve"> </w:t>
      </w:r>
      <w:r w:rsidRPr="0062350D">
        <w:t>conditions</w:t>
      </w:r>
      <w:r w:rsidR="0062350D">
        <w:t xml:space="preserve"> </w:t>
      </w:r>
      <w:r w:rsidRPr="0062350D">
        <w:t>of</w:t>
      </w:r>
      <w:r w:rsidR="0062350D">
        <w:t xml:space="preserve"> </w:t>
      </w:r>
      <w:r w:rsidRPr="0062350D">
        <w:t>detention,</w:t>
      </w:r>
      <w:r w:rsidR="0062350D">
        <w:t xml:space="preserve"> </w:t>
      </w:r>
      <w:r w:rsidRPr="0062350D">
        <w:t>and</w:t>
      </w:r>
      <w:r w:rsidR="0062350D">
        <w:t xml:space="preserve"> </w:t>
      </w:r>
      <w:r w:rsidRPr="0062350D">
        <w:t>also</w:t>
      </w:r>
      <w:r w:rsidR="0062350D">
        <w:t xml:space="preserve"> </w:t>
      </w:r>
      <w:r w:rsidRPr="0062350D">
        <w:t>taking</w:t>
      </w:r>
      <w:r w:rsidR="0062350D">
        <w:t xml:space="preserve"> </w:t>
      </w:r>
      <w:r w:rsidRPr="0062350D">
        <w:t>into</w:t>
      </w:r>
      <w:r w:rsidR="0062350D">
        <w:t xml:space="preserve"> </w:t>
      </w:r>
      <w:r w:rsidRPr="0062350D">
        <w:t>account</w:t>
      </w:r>
      <w:r w:rsidR="0062350D">
        <w:t xml:space="preserve"> </w:t>
      </w:r>
      <w:r w:rsidRPr="0062350D">
        <w:t>the</w:t>
      </w:r>
      <w:r w:rsidR="0062350D">
        <w:t xml:space="preserve"> </w:t>
      </w:r>
      <w:r w:rsidRPr="0062350D">
        <w:t>extreme</w:t>
      </w:r>
      <w:r w:rsidR="0062350D">
        <w:t xml:space="preserve"> </w:t>
      </w:r>
      <w:r w:rsidRPr="0062350D">
        <w:t>vulnerability</w:t>
      </w:r>
      <w:r w:rsidR="0062350D">
        <w:t xml:space="preserve"> </w:t>
      </w:r>
      <w:r w:rsidRPr="0062350D">
        <w:t>and</w:t>
      </w:r>
      <w:r w:rsidR="0062350D">
        <w:t xml:space="preserve"> </w:t>
      </w:r>
      <w:r w:rsidRPr="0062350D">
        <w:t>need</w:t>
      </w:r>
      <w:r w:rsidR="0062350D">
        <w:t xml:space="preserve"> </w:t>
      </w:r>
      <w:r w:rsidRPr="0062350D">
        <w:t>for</w:t>
      </w:r>
      <w:r w:rsidR="0062350D">
        <w:t xml:space="preserve"> </w:t>
      </w:r>
      <w:r w:rsidRPr="0062350D">
        <w:t>care</w:t>
      </w:r>
      <w:r w:rsidR="0062350D">
        <w:t xml:space="preserve"> </w:t>
      </w:r>
      <w:r w:rsidRPr="0062350D">
        <w:t>of</w:t>
      </w:r>
      <w:r w:rsidR="0062350D">
        <w:t xml:space="preserve"> </w:t>
      </w:r>
      <w:r w:rsidRPr="0062350D">
        <w:t>unaccompanied</w:t>
      </w:r>
      <w:r w:rsidR="0062350D">
        <w:t xml:space="preserve"> </w:t>
      </w:r>
      <w:r w:rsidRPr="0062350D">
        <w:t>minors.</w:t>
      </w:r>
      <w:r w:rsidRPr="0062350D">
        <w:rPr>
          <w:rStyle w:val="FootnoteReference"/>
        </w:rPr>
        <w:footnoteReference w:id="7"/>
      </w:r>
      <w:r w:rsidR="0062350D">
        <w:t xml:space="preserve"> </w:t>
      </w:r>
      <w:r w:rsidRPr="0062350D">
        <w:t>The</w:t>
      </w:r>
      <w:r w:rsidR="0062350D">
        <w:t xml:space="preserve"> </w:t>
      </w:r>
      <w:r w:rsidRPr="0062350D">
        <w:t>Committee</w:t>
      </w:r>
      <w:r w:rsidR="0062350D">
        <w:t xml:space="preserve"> </w:t>
      </w:r>
      <w:r w:rsidRPr="0062350D">
        <w:t>recalls</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arrived</w:t>
      </w:r>
      <w:r w:rsidR="0062350D">
        <w:t xml:space="preserve"> </w:t>
      </w:r>
      <w:r w:rsidRPr="0062350D">
        <w:t>on</w:t>
      </w:r>
      <w:r w:rsidR="0062350D">
        <w:t xml:space="preserve"> </w:t>
      </w:r>
      <w:r w:rsidRPr="0062350D">
        <w:t>Christmas</w:t>
      </w:r>
      <w:r w:rsidR="0062350D">
        <w:t xml:space="preserve"> </w:t>
      </w:r>
      <w:r w:rsidRPr="0062350D">
        <w:t>Island</w:t>
      </w:r>
      <w:r w:rsidR="0062350D">
        <w:t xml:space="preserve"> </w:t>
      </w:r>
      <w:r w:rsidRPr="0062350D">
        <w:t>on</w:t>
      </w:r>
      <w:r w:rsidR="0062350D">
        <w:t xml:space="preserve"> </w:t>
      </w:r>
      <w:r w:rsidRPr="0062350D">
        <w:t>different</w:t>
      </w:r>
      <w:r w:rsidR="0062350D">
        <w:t xml:space="preserve"> </w:t>
      </w:r>
      <w:r w:rsidRPr="0062350D">
        <w:t>dates</w:t>
      </w:r>
      <w:r w:rsidR="0062350D">
        <w:t xml:space="preserve"> </w:t>
      </w:r>
      <w:r w:rsidRPr="0062350D">
        <w:t>between</w:t>
      </w:r>
      <w:r w:rsidR="0062350D">
        <w:t xml:space="preserve"> </w:t>
      </w:r>
      <w:r w:rsidRPr="0062350D">
        <w:t>July</w:t>
      </w:r>
      <w:r w:rsidR="0062350D">
        <w:t xml:space="preserve"> </w:t>
      </w:r>
      <w:r w:rsidRPr="0062350D">
        <w:t>and</w:t>
      </w:r>
      <w:r w:rsidR="0062350D">
        <w:t xml:space="preserve"> </w:t>
      </w:r>
      <w:r w:rsidRPr="0062350D">
        <w:t>November</w:t>
      </w:r>
      <w:r w:rsidR="0062350D">
        <w:t xml:space="preserve"> </w:t>
      </w:r>
      <w:r w:rsidRPr="0062350D">
        <w:t>2013</w:t>
      </w:r>
      <w:r w:rsidR="0062350D">
        <w:t xml:space="preserve"> </w:t>
      </w:r>
      <w:r w:rsidRPr="0062350D">
        <w:t>as</w:t>
      </w:r>
      <w:r w:rsidR="0062350D">
        <w:t xml:space="preserve"> </w:t>
      </w:r>
      <w:r w:rsidRPr="0062350D">
        <w:t>unaccompanied</w:t>
      </w:r>
      <w:r w:rsidR="0062350D">
        <w:t xml:space="preserve"> </w:t>
      </w:r>
      <w:r w:rsidRPr="0062350D">
        <w:t>minors.</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the</w:t>
      </w:r>
      <w:r w:rsidR="0062350D">
        <w:t xml:space="preserve"> </w:t>
      </w:r>
      <w:r w:rsidRPr="0062350D">
        <w:t>national</w:t>
      </w:r>
      <w:r w:rsidR="0062350D">
        <w:t xml:space="preserve"> </w:t>
      </w:r>
      <w:r w:rsidRPr="0062350D">
        <w:t>policy</w:t>
      </w:r>
      <w:r w:rsidR="0062350D">
        <w:t xml:space="preserve"> </w:t>
      </w:r>
      <w:r w:rsidRPr="0062350D">
        <w:t>at</w:t>
      </w:r>
      <w:r w:rsidR="0062350D">
        <w:t xml:space="preserve"> </w:t>
      </w:r>
      <w:r w:rsidRPr="0062350D">
        <w:t>the</w:t>
      </w:r>
      <w:r w:rsidR="0062350D">
        <w:t xml:space="preserve"> </w:t>
      </w:r>
      <w:r w:rsidRPr="0062350D">
        <w:t>time,</w:t>
      </w:r>
      <w:r w:rsidR="0062350D">
        <w:t xml:space="preserve"> </w:t>
      </w:r>
      <w:r w:rsidRPr="0062350D">
        <w:t>they</w:t>
      </w:r>
      <w:r w:rsidR="0062350D">
        <w:t xml:space="preserve"> </w:t>
      </w:r>
      <w:r w:rsidRPr="0062350D">
        <w:t>were</w:t>
      </w:r>
      <w:r w:rsidR="0062350D">
        <w:t xml:space="preserve"> </w:t>
      </w:r>
      <w:r w:rsidRPr="0062350D">
        <w:t>all</w:t>
      </w:r>
      <w:r w:rsidR="0062350D">
        <w:t xml:space="preserve"> </w:t>
      </w:r>
      <w:r w:rsidRPr="0062350D">
        <w:t>placed</w:t>
      </w:r>
      <w:r w:rsidR="0062350D">
        <w:t xml:space="preserve"> </w:t>
      </w:r>
      <w:r w:rsidRPr="0062350D">
        <w:t>in</w:t>
      </w:r>
      <w:r w:rsidR="0062350D">
        <w:t xml:space="preserve"> </w:t>
      </w:r>
      <w:r w:rsidRPr="0062350D">
        <w:t>immigration</w:t>
      </w:r>
      <w:r w:rsidR="0062350D">
        <w:t xml:space="preserve"> </w:t>
      </w:r>
      <w:r w:rsidRPr="0062350D">
        <w:t>detention.</w:t>
      </w:r>
      <w:r w:rsidR="0062350D">
        <w:t xml:space="preserve"> </w:t>
      </w:r>
      <w:r w:rsidRPr="0062350D">
        <w:t>They</w:t>
      </w:r>
      <w:r w:rsidR="0062350D">
        <w:t xml:space="preserve"> </w:t>
      </w:r>
      <w:r w:rsidRPr="0062350D">
        <w:t>spent</w:t>
      </w:r>
      <w:r w:rsidR="0062350D">
        <w:t xml:space="preserve"> </w:t>
      </w:r>
      <w:r w:rsidRPr="0062350D">
        <w:t>between</w:t>
      </w:r>
      <w:r w:rsidR="0062350D">
        <w:t xml:space="preserve"> </w:t>
      </w:r>
      <w:r w:rsidRPr="0062350D">
        <w:t>13</w:t>
      </w:r>
      <w:r w:rsidR="0062350D">
        <w:t xml:space="preserve"> </w:t>
      </w:r>
      <w:r w:rsidRPr="0062350D">
        <w:t>and</w:t>
      </w:r>
      <w:r w:rsidR="0062350D">
        <w:t xml:space="preserve"> </w:t>
      </w:r>
      <w:r w:rsidRPr="0062350D">
        <w:t>18</w:t>
      </w:r>
      <w:r w:rsidR="0062350D">
        <w:t xml:space="preserve"> </w:t>
      </w:r>
      <w:r w:rsidRPr="0062350D">
        <w:t>months</w:t>
      </w:r>
      <w:r w:rsidR="0062350D">
        <w:t xml:space="preserve"> </w:t>
      </w:r>
      <w:r w:rsidRPr="0062350D">
        <w:t>in</w:t>
      </w:r>
      <w:r w:rsidR="0062350D">
        <w:t xml:space="preserve"> </w:t>
      </w:r>
      <w:r w:rsidRPr="0062350D">
        <w:t>immigration</w:t>
      </w:r>
      <w:r w:rsidR="0062350D">
        <w:t xml:space="preserve"> </w:t>
      </w:r>
      <w:r w:rsidRPr="0062350D">
        <w:t>detention</w:t>
      </w:r>
      <w:r w:rsidR="0062350D">
        <w:t xml:space="preserve"> </w:t>
      </w:r>
      <w:r w:rsidRPr="0062350D">
        <w:t>before</w:t>
      </w:r>
      <w:r w:rsidR="0062350D">
        <w:t xml:space="preserve"> </w:t>
      </w:r>
      <w:r w:rsidRPr="0062350D">
        <w:t>being</w:t>
      </w:r>
      <w:r w:rsidR="0062350D">
        <w:t xml:space="preserve"> </w:t>
      </w:r>
      <w:r w:rsidRPr="0062350D">
        <w:t>transferred</w:t>
      </w:r>
      <w:r w:rsidR="0062350D">
        <w:t xml:space="preserve"> </w:t>
      </w:r>
      <w:r w:rsidRPr="0062350D">
        <w:t>to</w:t>
      </w:r>
      <w:r w:rsidR="0062350D">
        <w:t xml:space="preserve"> </w:t>
      </w:r>
      <w:r w:rsidRPr="0062350D">
        <w:t>community</w:t>
      </w:r>
      <w:r w:rsidR="0062350D">
        <w:t xml:space="preserve"> </w:t>
      </w:r>
      <w:r w:rsidRPr="0062350D">
        <w:t>detention</w:t>
      </w:r>
      <w:r w:rsidR="0062350D">
        <w:t xml:space="preserve"> </w:t>
      </w:r>
      <w:r w:rsidRPr="0062350D">
        <w:t>centres</w:t>
      </w:r>
      <w:r w:rsidR="0062350D">
        <w:t xml:space="preserve"> </w:t>
      </w:r>
      <w:r w:rsidRPr="0062350D">
        <w:t>on</w:t>
      </w:r>
      <w:r w:rsidR="0062350D">
        <w:t xml:space="preserve"> </w:t>
      </w:r>
      <w:r w:rsidRPr="0062350D">
        <w:t>the</w:t>
      </w:r>
      <w:r w:rsidR="0062350D">
        <w:t xml:space="preserve"> </w:t>
      </w:r>
      <w:r w:rsidRPr="0062350D">
        <w:t>Australian</w:t>
      </w:r>
      <w:r w:rsidR="0062350D">
        <w:t xml:space="preserve"> </w:t>
      </w:r>
      <w:r w:rsidRPr="0062350D">
        <w:t>mainland.</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that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not</w:t>
      </w:r>
      <w:r w:rsidR="0062350D">
        <w:t xml:space="preserve"> </w:t>
      </w:r>
      <w:r w:rsidRPr="0062350D">
        <w:t>demonstrated</w:t>
      </w:r>
      <w:r w:rsidR="0062350D">
        <w:t xml:space="preserve"> </w:t>
      </w:r>
      <w:r w:rsidRPr="0062350D">
        <w:t>on</w:t>
      </w:r>
      <w:r w:rsidR="0062350D">
        <w:t xml:space="preserve"> </w:t>
      </w:r>
      <w:r w:rsidRPr="0062350D">
        <w:t>an</w:t>
      </w:r>
      <w:r w:rsidR="0062350D">
        <w:t xml:space="preserve"> </w:t>
      </w:r>
      <w:r w:rsidRPr="0062350D">
        <w:t>individual</w:t>
      </w:r>
      <w:r w:rsidR="0062350D">
        <w:t xml:space="preserve"> </w:t>
      </w:r>
      <w:r w:rsidRPr="0062350D">
        <w:t>basis</w:t>
      </w:r>
      <w:r w:rsidR="0062350D">
        <w:t xml:space="preserve"> </w:t>
      </w:r>
      <w:r w:rsidRPr="0062350D">
        <w:t>that</w:t>
      </w:r>
      <w:r w:rsidR="0062350D">
        <w:t xml:space="preserve"> </w:t>
      </w:r>
      <w:r w:rsidRPr="0062350D">
        <w:t>the</w:t>
      </w:r>
      <w:r w:rsidR="0062350D">
        <w:t xml:space="preserve"> </w:t>
      </w:r>
      <w:r w:rsidRPr="0062350D">
        <w:t>authors</w:t>
      </w:r>
      <w:r w:rsidR="0062350D" w:rsidRPr="0062350D">
        <w:t>’</w:t>
      </w:r>
      <w:r w:rsidR="0062350D">
        <w:t xml:space="preserve"> </w:t>
      </w:r>
      <w:r w:rsidRPr="0062350D">
        <w:t>continuous</w:t>
      </w:r>
      <w:r w:rsidR="0062350D">
        <w:t xml:space="preserve"> </w:t>
      </w:r>
      <w:r w:rsidRPr="0062350D">
        <w:t>and</w:t>
      </w:r>
      <w:r w:rsidR="0062350D">
        <w:t xml:space="preserve"> </w:t>
      </w:r>
      <w:r w:rsidRPr="0062350D">
        <w:t>protracted</w:t>
      </w:r>
      <w:r w:rsidR="0062350D">
        <w:t xml:space="preserve"> </w:t>
      </w:r>
      <w:r w:rsidRPr="0062350D">
        <w:t>detention</w:t>
      </w:r>
      <w:r w:rsidR="0062350D">
        <w:t xml:space="preserve"> </w:t>
      </w:r>
      <w:r w:rsidRPr="0062350D">
        <w:t>was</w:t>
      </w:r>
      <w:r w:rsidR="0062350D">
        <w:t xml:space="preserve"> </w:t>
      </w:r>
      <w:r w:rsidRPr="0062350D">
        <w:t>justified</w:t>
      </w:r>
      <w:r w:rsidR="0062350D">
        <w:t xml:space="preserve"> </w:t>
      </w:r>
      <w:r w:rsidRPr="0062350D">
        <w:t>for</w:t>
      </w:r>
      <w:r w:rsidR="0062350D">
        <w:t xml:space="preserve"> </w:t>
      </w:r>
      <w:r w:rsidRPr="0062350D">
        <w:lastRenderedPageBreak/>
        <w:t>such</w:t>
      </w:r>
      <w:r w:rsidR="0062350D">
        <w:t xml:space="preserve"> </w:t>
      </w:r>
      <w:r w:rsidRPr="0062350D">
        <w:t>an</w:t>
      </w:r>
      <w:r w:rsidR="0062350D">
        <w:t xml:space="preserve"> </w:t>
      </w:r>
      <w:r w:rsidRPr="0062350D">
        <w:t>extended</w:t>
      </w:r>
      <w:r w:rsidR="0062350D">
        <w:t xml:space="preserve"> </w:t>
      </w:r>
      <w:r w:rsidRPr="0062350D">
        <w:t>period</w:t>
      </w:r>
      <w:r w:rsidR="0062350D">
        <w:t xml:space="preserve"> </w:t>
      </w:r>
      <w:r w:rsidRPr="0062350D">
        <w:t>of</w:t>
      </w:r>
      <w:r w:rsidR="0062350D">
        <w:t xml:space="preserve"> </w:t>
      </w:r>
      <w:r w:rsidRPr="0062350D">
        <w:t>time.</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also</w:t>
      </w:r>
      <w:r w:rsidR="0062350D">
        <w:t xml:space="preserve"> </w:t>
      </w:r>
      <w:r w:rsidRPr="0062350D">
        <w:t>not</w:t>
      </w:r>
      <w:r w:rsidR="0062350D">
        <w:t xml:space="preserve"> </w:t>
      </w:r>
      <w:r w:rsidRPr="0062350D">
        <w:t>demonstrated</w:t>
      </w:r>
      <w:r w:rsidR="0062350D">
        <w:t xml:space="preserve"> </w:t>
      </w:r>
      <w:r w:rsidRPr="0062350D">
        <w:t>that</w:t>
      </w:r>
      <w:r w:rsidR="0062350D">
        <w:t xml:space="preserve"> </w:t>
      </w:r>
      <w:r w:rsidRPr="0062350D">
        <w:t>other</w:t>
      </w:r>
      <w:r w:rsidR="0062350D">
        <w:t xml:space="preserve"> </w:t>
      </w:r>
      <w:r w:rsidRPr="0062350D">
        <w:t>less</w:t>
      </w:r>
      <w:r w:rsidR="0062350D">
        <w:t xml:space="preserve"> </w:t>
      </w:r>
      <w:r w:rsidRPr="0062350D">
        <w:t>intrusive</w:t>
      </w:r>
      <w:r w:rsidR="0062350D">
        <w:t xml:space="preserve"> </w:t>
      </w:r>
      <w:r w:rsidRPr="0062350D">
        <w:t>measures</w:t>
      </w:r>
      <w:r w:rsidR="0062350D">
        <w:t xml:space="preserve"> </w:t>
      </w:r>
      <w:r w:rsidRPr="0062350D">
        <w:t>could</w:t>
      </w:r>
      <w:r w:rsidR="0062350D">
        <w:t xml:space="preserve"> </w:t>
      </w:r>
      <w:r w:rsidRPr="0062350D">
        <w:t>not</w:t>
      </w:r>
      <w:r w:rsidR="0062350D">
        <w:t xml:space="preserve"> </w:t>
      </w:r>
      <w:r w:rsidRPr="0062350D">
        <w:t>have</w:t>
      </w:r>
      <w:r w:rsidR="0062350D">
        <w:t xml:space="preserve"> </w:t>
      </w:r>
      <w:r w:rsidRPr="0062350D">
        <w:t>achieved</w:t>
      </w:r>
      <w:r w:rsidR="0062350D">
        <w:t xml:space="preserve"> </w:t>
      </w:r>
      <w:r w:rsidRPr="0062350D">
        <w:t>the</w:t>
      </w:r>
      <w:r w:rsidR="0062350D">
        <w:t xml:space="preserve"> </w:t>
      </w:r>
      <w:r w:rsidRPr="0062350D">
        <w:t>same</w:t>
      </w:r>
      <w:r w:rsidR="0062350D">
        <w:t xml:space="preserve"> </w:t>
      </w:r>
      <w:r w:rsidRPr="0062350D">
        <w:t>end</w:t>
      </w:r>
      <w:r w:rsidR="0062350D">
        <w:t xml:space="preserve"> </w:t>
      </w:r>
      <w:r w:rsidRPr="0062350D">
        <w:t>of</w:t>
      </w:r>
      <w:r w:rsidR="0062350D">
        <w:t xml:space="preserve"> </w:t>
      </w:r>
      <w:r w:rsidRPr="0062350D">
        <w:t>compliance</w:t>
      </w:r>
      <w:r w:rsidR="0062350D">
        <w:t xml:space="preserve"> </w:t>
      </w:r>
      <w:r w:rsidRPr="0062350D">
        <w:t>with</w:t>
      </w:r>
      <w:r w:rsidR="0062350D">
        <w:t xml:space="preserve"> </w:t>
      </w:r>
      <w:r w:rsidRPr="0062350D">
        <w:t>the</w:t>
      </w:r>
      <w:r w:rsidR="0062350D">
        <w:t xml:space="preserve"> </w:t>
      </w:r>
      <w:r w:rsidRPr="0062350D">
        <w:t>State</w:t>
      </w:r>
      <w:r w:rsidR="0062350D">
        <w:t xml:space="preserve"> </w:t>
      </w:r>
      <w:r w:rsidRPr="0062350D">
        <w:t>party</w:t>
      </w:r>
      <w:r w:rsidR="0062350D" w:rsidRPr="0062350D">
        <w:t>’</w:t>
      </w:r>
      <w:r w:rsidRPr="0062350D">
        <w:t>s</w:t>
      </w:r>
      <w:r w:rsidR="0062350D">
        <w:t xml:space="preserve"> </w:t>
      </w:r>
      <w:r w:rsidRPr="0062350D">
        <w:t>need</w:t>
      </w:r>
      <w:r w:rsidR="0062350D">
        <w:t xml:space="preserve"> </w:t>
      </w:r>
      <w:r w:rsidRPr="0062350D">
        <w:t>to</w:t>
      </w:r>
      <w:r w:rsidR="0062350D">
        <w:t xml:space="preserve"> </w:t>
      </w:r>
      <w:r w:rsidRPr="0062350D">
        <w:t>ensure</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would</w:t>
      </w:r>
      <w:r w:rsidR="0062350D">
        <w:t xml:space="preserve"> </w:t>
      </w:r>
      <w:r w:rsidRPr="0062350D">
        <w:t>be</w:t>
      </w:r>
      <w:r w:rsidR="0062350D">
        <w:t xml:space="preserve"> </w:t>
      </w:r>
      <w:r w:rsidRPr="0062350D">
        <w:t>available</w:t>
      </w:r>
      <w:r w:rsidR="0062350D">
        <w:t xml:space="preserve"> </w:t>
      </w:r>
      <w:r w:rsidRPr="0062350D">
        <w:t>for</w:t>
      </w:r>
      <w:r w:rsidR="0062350D">
        <w:t xml:space="preserve"> </w:t>
      </w:r>
      <w:r w:rsidRPr="0062350D">
        <w:t>removal.</w:t>
      </w:r>
      <w:r w:rsidR="0062350D">
        <w:t xml:space="preserve"> </w:t>
      </w:r>
      <w:r w:rsidRPr="0062350D">
        <w:t>Specifically,</w:t>
      </w:r>
      <w:r w:rsidR="0062350D">
        <w:t xml:space="preserve"> </w:t>
      </w:r>
      <w:r w:rsidRPr="0062350D">
        <w:t>it</w:t>
      </w:r>
      <w:r w:rsidR="0062350D">
        <w:t xml:space="preserve"> </w:t>
      </w:r>
      <w:r w:rsidRPr="0062350D">
        <w:t>has</w:t>
      </w:r>
      <w:r w:rsidR="0062350D">
        <w:t xml:space="preserve"> </w:t>
      </w:r>
      <w:r w:rsidRPr="0062350D">
        <w:t>not</w:t>
      </w:r>
      <w:r w:rsidR="0062350D">
        <w:t xml:space="preserve"> </w:t>
      </w:r>
      <w:r w:rsidRPr="0062350D">
        <w:t>been</w:t>
      </w:r>
      <w:r w:rsidR="0062350D">
        <w:t xml:space="preserve"> </w:t>
      </w:r>
      <w:r w:rsidRPr="0062350D">
        <w:t>shown</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who</w:t>
      </w:r>
      <w:r w:rsidR="0062350D">
        <w:t xml:space="preserve"> </w:t>
      </w:r>
      <w:r w:rsidRPr="0062350D">
        <w:t>were</w:t>
      </w:r>
      <w:r w:rsidR="0062350D">
        <w:t xml:space="preserve"> </w:t>
      </w:r>
      <w:r w:rsidRPr="0062350D">
        <w:t>minors</w:t>
      </w:r>
      <w:r w:rsidR="0062350D">
        <w:t xml:space="preserve"> </w:t>
      </w:r>
      <w:r w:rsidRPr="0062350D">
        <w:t>at</w:t>
      </w:r>
      <w:r w:rsidR="0062350D">
        <w:t xml:space="preserve"> </w:t>
      </w:r>
      <w:r w:rsidRPr="0062350D">
        <w:t>the</w:t>
      </w:r>
      <w:r w:rsidR="0062350D">
        <w:t xml:space="preserve"> </w:t>
      </w:r>
      <w:r w:rsidRPr="0062350D">
        <w:t>time,</w:t>
      </w:r>
      <w:r w:rsidR="0062350D">
        <w:t xml:space="preserve"> </w:t>
      </w:r>
      <w:r w:rsidRPr="0062350D">
        <w:t>could</w:t>
      </w:r>
      <w:r w:rsidR="0062350D">
        <w:t xml:space="preserve"> </w:t>
      </w:r>
      <w:r w:rsidRPr="0062350D">
        <w:t>not</w:t>
      </w:r>
      <w:r w:rsidR="0062350D">
        <w:t xml:space="preserve"> </w:t>
      </w:r>
      <w:r w:rsidRPr="0062350D">
        <w:t>have</w:t>
      </w:r>
      <w:r w:rsidR="0062350D">
        <w:t xml:space="preserve"> </w:t>
      </w:r>
      <w:r w:rsidRPr="0062350D">
        <w:t>been</w:t>
      </w:r>
      <w:r w:rsidR="0062350D">
        <w:t xml:space="preserve"> </w:t>
      </w:r>
      <w:r w:rsidRPr="0062350D">
        <w:t>transferred</w:t>
      </w:r>
      <w:r w:rsidR="0062350D">
        <w:t xml:space="preserve"> </w:t>
      </w:r>
      <w:r w:rsidRPr="0062350D">
        <w:t>earlier</w:t>
      </w:r>
      <w:r w:rsidR="0062350D">
        <w:t xml:space="preserve"> </w:t>
      </w:r>
      <w:r w:rsidRPr="0062350D">
        <w:t>to</w:t>
      </w:r>
      <w:r w:rsidR="0062350D">
        <w:t xml:space="preserve"> </w:t>
      </w:r>
      <w:r w:rsidRPr="0062350D">
        <w:t>community</w:t>
      </w:r>
      <w:r w:rsidR="0062350D">
        <w:t xml:space="preserve"> </w:t>
      </w:r>
      <w:r w:rsidRPr="0062350D">
        <w:t>detention</w:t>
      </w:r>
      <w:r w:rsidR="0062350D">
        <w:t xml:space="preserve"> </w:t>
      </w:r>
      <w:r w:rsidRPr="0062350D">
        <w:t>centres,</w:t>
      </w:r>
      <w:r w:rsidR="0062350D">
        <w:t xml:space="preserve"> </w:t>
      </w:r>
      <w:r w:rsidRPr="0062350D">
        <w:t>which</w:t>
      </w:r>
      <w:r w:rsidR="0062350D">
        <w:t xml:space="preserve"> </w:t>
      </w:r>
      <w:r w:rsidRPr="0062350D">
        <w:t>are</w:t>
      </w:r>
      <w:r w:rsidR="0062350D">
        <w:t xml:space="preserve"> </w:t>
      </w:r>
      <w:r w:rsidRPr="0062350D">
        <w:t>more</w:t>
      </w:r>
      <w:r w:rsidR="0062350D">
        <w:t xml:space="preserve"> </w:t>
      </w:r>
      <w:r w:rsidRPr="0062350D">
        <w:t>tailored</w:t>
      </w:r>
      <w:r w:rsidR="0062350D">
        <w:t xml:space="preserve"> </w:t>
      </w:r>
      <w:r w:rsidRPr="0062350D">
        <w:t>to</w:t>
      </w:r>
      <w:r w:rsidR="0062350D">
        <w:t xml:space="preserve"> </w:t>
      </w:r>
      <w:r w:rsidRPr="0062350D">
        <w:t>meet</w:t>
      </w:r>
      <w:r w:rsidR="0062350D">
        <w:t xml:space="preserve"> </w:t>
      </w:r>
      <w:r w:rsidRPr="0062350D">
        <w:t>the</w:t>
      </w:r>
      <w:r w:rsidR="0062350D">
        <w:t xml:space="preserve"> </w:t>
      </w:r>
      <w:r w:rsidRPr="0062350D">
        <w:t>specific</w:t>
      </w:r>
      <w:r w:rsidR="0062350D">
        <w:t xml:space="preserve"> </w:t>
      </w:r>
      <w:r w:rsidRPr="0062350D">
        <w:t>needs</w:t>
      </w:r>
      <w:r w:rsidR="0062350D">
        <w:t xml:space="preserve"> </w:t>
      </w:r>
      <w:r w:rsidRPr="0062350D">
        <w:t>of</w:t>
      </w:r>
      <w:r w:rsidR="0062350D">
        <w:t xml:space="preserve"> </w:t>
      </w:r>
      <w:r w:rsidRPr="0062350D">
        <w:t>vulnerable</w:t>
      </w:r>
      <w:r w:rsidR="0062350D">
        <w:t xml:space="preserve"> </w:t>
      </w:r>
      <w:r w:rsidRPr="0062350D">
        <w:t>individuals.</w:t>
      </w:r>
      <w:r w:rsidR="0062350D">
        <w:t xml:space="preserve"> </w:t>
      </w:r>
      <w:r w:rsidRPr="0062350D">
        <w:t>For</w:t>
      </w:r>
      <w:r w:rsidR="0062350D">
        <w:t xml:space="preserve"> </w:t>
      </w:r>
      <w:r w:rsidRPr="0062350D">
        <w:t>all</w:t>
      </w:r>
      <w:r w:rsidR="0062350D">
        <w:t xml:space="preserve"> </w:t>
      </w:r>
      <w:r w:rsidRPr="0062350D">
        <w:t>these</w:t>
      </w:r>
      <w:r w:rsidR="0062350D">
        <w:t xml:space="preserve"> </w:t>
      </w:r>
      <w:r w:rsidRPr="0062350D">
        <w:t>reasons,</w:t>
      </w:r>
      <w:r w:rsidR="0062350D">
        <w:t xml:space="preserve"> </w:t>
      </w:r>
      <w:r w:rsidRPr="0062350D">
        <w:t>the</w:t>
      </w:r>
      <w:r w:rsidR="0062350D">
        <w:t xml:space="preserve"> </w:t>
      </w:r>
      <w:r w:rsidRPr="0062350D">
        <w:t>Committee</w:t>
      </w:r>
      <w:r w:rsidR="0062350D">
        <w:t xml:space="preserve"> </w:t>
      </w:r>
      <w:r w:rsidRPr="0062350D">
        <w:t>concludes</w:t>
      </w:r>
      <w:r w:rsidR="0062350D">
        <w:t xml:space="preserve"> </w:t>
      </w:r>
      <w:r w:rsidRPr="0062350D">
        <w:t>that</w:t>
      </w:r>
      <w:r w:rsidR="0062350D">
        <w:t xml:space="preserve"> </w:t>
      </w:r>
      <w:r w:rsidRPr="0062350D">
        <w:t>placing</w:t>
      </w:r>
      <w:r w:rsidR="0062350D">
        <w:t xml:space="preserve"> </w:t>
      </w:r>
      <w:r w:rsidRPr="0062350D">
        <w:t>the</w:t>
      </w:r>
      <w:r w:rsidR="0062350D">
        <w:t xml:space="preserve"> </w:t>
      </w:r>
      <w:r w:rsidRPr="0062350D">
        <w:t>authors,</w:t>
      </w:r>
      <w:r w:rsidR="0062350D">
        <w:t xml:space="preserve"> </w:t>
      </w:r>
      <w:r w:rsidRPr="0062350D">
        <w:t>as</w:t>
      </w:r>
      <w:r w:rsidR="0062350D">
        <w:t xml:space="preserve"> </w:t>
      </w:r>
      <w:r w:rsidRPr="0062350D">
        <w:t>unaccompanied</w:t>
      </w:r>
      <w:r w:rsidR="0062350D">
        <w:t xml:space="preserve"> </w:t>
      </w:r>
      <w:r w:rsidRPr="0062350D">
        <w:t>minors,</w:t>
      </w:r>
      <w:r w:rsidR="0062350D">
        <w:t xml:space="preserve"> </w:t>
      </w:r>
      <w:r w:rsidRPr="0062350D">
        <w:t>in</w:t>
      </w:r>
      <w:r w:rsidR="0062350D">
        <w:t xml:space="preserve"> </w:t>
      </w:r>
      <w:r w:rsidRPr="0062350D">
        <w:t>immigration</w:t>
      </w:r>
      <w:r w:rsidR="0062350D">
        <w:t xml:space="preserve"> </w:t>
      </w:r>
      <w:r w:rsidRPr="0062350D">
        <w:t>detention</w:t>
      </w:r>
      <w:r w:rsidR="0062350D">
        <w:t xml:space="preserve"> </w:t>
      </w:r>
      <w:r w:rsidRPr="0062350D">
        <w:t>was</w:t>
      </w:r>
      <w:r w:rsidR="0062350D">
        <w:t xml:space="preserve"> </w:t>
      </w:r>
      <w:r w:rsidRPr="0062350D">
        <w:t>arbitrary</w:t>
      </w:r>
      <w:r w:rsidR="0062350D">
        <w:t xml:space="preserve"> </w:t>
      </w:r>
      <w:r w:rsidRPr="0062350D">
        <w:t>and</w:t>
      </w:r>
      <w:r w:rsidR="0062350D">
        <w:t xml:space="preserve"> </w:t>
      </w:r>
      <w:r w:rsidRPr="0062350D">
        <w:t>contrary</w:t>
      </w:r>
      <w:r w:rsidR="0062350D">
        <w:t xml:space="preserve"> </w:t>
      </w:r>
      <w:r w:rsidRPr="0062350D">
        <w:t>to</w:t>
      </w:r>
      <w:r w:rsidR="0062350D">
        <w:t xml:space="preserve"> </w:t>
      </w:r>
      <w:r w:rsidRPr="0062350D">
        <w:t>article</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to</w:t>
      </w:r>
      <w:r w:rsidR="0062350D">
        <w:t xml:space="preserve"> </w:t>
      </w:r>
      <w:r w:rsidRPr="0062350D">
        <w:t>article</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p>
    <w:p w14:paraId="553A7144" w14:textId="5E5A111F" w:rsidR="0062350D" w:rsidRPr="0062350D" w:rsidRDefault="007F12C3" w:rsidP="005D6A3F">
      <w:pPr>
        <w:pStyle w:val="SingleTxtG"/>
      </w:pPr>
      <w:r w:rsidRPr="0062350D">
        <w:t>8.6</w:t>
      </w:r>
      <w:r w:rsidRPr="0062350D">
        <w:tab/>
        <w:t>The</w:t>
      </w:r>
      <w:r w:rsidR="0062350D">
        <w:t xml:space="preserve"> </w:t>
      </w:r>
      <w:r w:rsidRPr="0062350D">
        <w:t>Committee</w:t>
      </w:r>
      <w:r w:rsidR="0062350D">
        <w:t xml:space="preserve"> </w:t>
      </w:r>
      <w:r w:rsidRPr="0062350D">
        <w:t>also</w:t>
      </w:r>
      <w:r w:rsidR="0062350D">
        <w:t xml:space="preserve"> </w:t>
      </w:r>
      <w:r w:rsidRPr="0062350D">
        <w:t>notes</w:t>
      </w:r>
      <w:r w:rsidR="0062350D">
        <w:t xml:space="preserve"> </w:t>
      </w:r>
      <w:r w:rsidRPr="0062350D">
        <w:t>the</w:t>
      </w:r>
      <w:r w:rsidR="0062350D">
        <w:t xml:space="preserve"> </w:t>
      </w:r>
      <w:r w:rsidRPr="0062350D">
        <w:t>authors</w:t>
      </w:r>
      <w:r w:rsidR="0062350D" w:rsidRPr="0062350D">
        <w:t>’</w:t>
      </w:r>
      <w:r w:rsidR="0062350D">
        <w:t xml:space="preserve"> </w:t>
      </w:r>
      <w:r w:rsidRPr="0062350D">
        <w:t>claims</w:t>
      </w:r>
      <w:r w:rsidR="0062350D">
        <w:t xml:space="preserve"> </w:t>
      </w:r>
      <w:r w:rsidRPr="0062350D">
        <w:t>that</w:t>
      </w:r>
      <w:r w:rsidR="0062350D">
        <w:t xml:space="preserve"> </w:t>
      </w:r>
      <w:r w:rsidRPr="0062350D">
        <w:t>they</w:t>
      </w:r>
      <w:r w:rsidR="0062350D">
        <w:t xml:space="preserve"> </w:t>
      </w:r>
      <w:r w:rsidRPr="0062350D">
        <w:t>did</w:t>
      </w:r>
      <w:r w:rsidR="0062350D">
        <w:t xml:space="preserve"> </w:t>
      </w:r>
      <w:r w:rsidRPr="0062350D">
        <w:t>not</w:t>
      </w:r>
      <w:r w:rsidR="0062350D">
        <w:t xml:space="preserve"> </w:t>
      </w:r>
      <w:r w:rsidRPr="0062350D">
        <w:t>have</w:t>
      </w:r>
      <w:r w:rsidR="0062350D">
        <w:t xml:space="preserve"> </w:t>
      </w:r>
      <w:r w:rsidRPr="0062350D">
        <w:t>any</w:t>
      </w:r>
      <w:r w:rsidR="0062350D">
        <w:t xml:space="preserve"> </w:t>
      </w:r>
      <w:r w:rsidRPr="0062350D">
        <w:t>effective</w:t>
      </w:r>
      <w:r w:rsidR="0062350D">
        <w:t xml:space="preserve"> </w:t>
      </w:r>
      <w:r w:rsidRPr="0062350D">
        <w:t>domestic</w:t>
      </w:r>
      <w:r w:rsidR="0062350D">
        <w:t xml:space="preserve"> </w:t>
      </w:r>
      <w:r w:rsidRPr="0062350D">
        <w:t>remedy</w:t>
      </w:r>
      <w:r w:rsidR="0062350D">
        <w:t xml:space="preserve"> </w:t>
      </w:r>
      <w:r w:rsidRPr="0062350D">
        <w:t>to</w:t>
      </w:r>
      <w:r w:rsidR="0062350D">
        <w:t xml:space="preserve"> </w:t>
      </w:r>
      <w:r w:rsidRPr="0062350D">
        <w:t>challenge</w:t>
      </w:r>
      <w:r w:rsidR="0062350D">
        <w:t xml:space="preserve"> </w:t>
      </w:r>
      <w:r w:rsidRPr="0062350D">
        <w:t>the</w:t>
      </w:r>
      <w:r w:rsidR="0062350D">
        <w:t xml:space="preserve"> </w:t>
      </w:r>
      <w:r w:rsidRPr="0062350D">
        <w:t>legality</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before</w:t>
      </w:r>
      <w:r w:rsidR="0062350D">
        <w:t xml:space="preserve"> </w:t>
      </w:r>
      <w:r w:rsidRPr="0062350D">
        <w:t>domestic</w:t>
      </w:r>
      <w:r w:rsidR="0062350D">
        <w:t xml:space="preserve"> </w:t>
      </w:r>
      <w:r w:rsidRPr="0062350D">
        <w:t>courts</w:t>
      </w:r>
      <w:r w:rsidR="0062350D">
        <w:t xml:space="preserve"> </w:t>
      </w:r>
      <w:r w:rsidRPr="0062350D">
        <w:t>contrary</w:t>
      </w:r>
      <w:r w:rsidR="0062350D">
        <w:t xml:space="preserve"> </w:t>
      </w:r>
      <w:r w:rsidRPr="0062350D">
        <w:t>to</w:t>
      </w:r>
      <w:r w:rsidR="0062350D">
        <w:t xml:space="preserve"> </w:t>
      </w:r>
      <w:r w:rsidRPr="0062350D">
        <w:t>requirements</w:t>
      </w:r>
      <w:r w:rsidR="0062350D">
        <w:t xml:space="preserve"> </w:t>
      </w:r>
      <w:r w:rsidRPr="0062350D">
        <w:t>of</w:t>
      </w:r>
      <w:r w:rsidR="0062350D">
        <w:t xml:space="preserve"> </w:t>
      </w:r>
      <w:r w:rsidRPr="0062350D">
        <w:t>article</w:t>
      </w:r>
      <w:r w:rsidR="0062350D">
        <w:t xml:space="preserve"> </w:t>
      </w:r>
      <w:r w:rsidRPr="0062350D">
        <w:t>9</w:t>
      </w:r>
      <w:r w:rsidR="0062350D">
        <w:t xml:space="preserve"> </w:t>
      </w:r>
      <w:r w:rsidRPr="0062350D">
        <w:t>(4)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Committee</w:t>
      </w:r>
      <w:r w:rsidR="0062350D">
        <w:t xml:space="preserve"> </w:t>
      </w:r>
      <w:r w:rsidRPr="0062350D">
        <w:t>considers</w:t>
      </w:r>
      <w:r w:rsidR="0062350D">
        <w:t xml:space="preserve"> </w:t>
      </w:r>
      <w:r w:rsidRPr="0062350D">
        <w:t>the</w:t>
      </w:r>
      <w:r w:rsidR="0062350D">
        <w:t xml:space="preserve"> </w:t>
      </w:r>
      <w:r w:rsidRPr="0062350D">
        <w:t>State</w:t>
      </w:r>
      <w:r w:rsidR="0062350D">
        <w:t xml:space="preserve"> </w:t>
      </w:r>
      <w:r w:rsidRPr="0062350D">
        <w:t>party</w:t>
      </w:r>
      <w:r w:rsidR="0062350D" w:rsidRPr="0062350D">
        <w:t>’</w:t>
      </w:r>
      <w:r w:rsidRPr="0062350D">
        <w:t>s</w:t>
      </w:r>
      <w:r w:rsidR="0062350D">
        <w:t xml:space="preserve"> </w:t>
      </w:r>
      <w:r w:rsidRPr="0062350D">
        <w:t>argument</w:t>
      </w:r>
      <w:r w:rsidR="0062350D">
        <w:t xml:space="preserve"> </w:t>
      </w:r>
      <w:r w:rsidRPr="0062350D">
        <w:t>that</w:t>
      </w:r>
      <w:r w:rsidR="0062350D">
        <w:t xml:space="preserve"> </w:t>
      </w:r>
      <w:r w:rsidRPr="0062350D">
        <w:t>the</w:t>
      </w:r>
      <w:r w:rsidR="0062350D">
        <w:t xml:space="preserve"> </w:t>
      </w:r>
      <w:r w:rsidRPr="0062350D">
        <w:t>authors</w:t>
      </w:r>
      <w:r w:rsidR="0062350D">
        <w:t xml:space="preserve"> </w:t>
      </w:r>
      <w:r w:rsidRPr="0062350D">
        <w:t>had</w:t>
      </w:r>
      <w:r w:rsidR="0062350D">
        <w:t xml:space="preserve"> </w:t>
      </w:r>
      <w:r w:rsidRPr="0062350D">
        <w:t>access</w:t>
      </w:r>
      <w:r w:rsidR="0062350D">
        <w:t xml:space="preserve"> </w:t>
      </w:r>
      <w:r w:rsidRPr="0062350D">
        <w:t>to</w:t>
      </w:r>
      <w:r w:rsidR="0062350D">
        <w:t xml:space="preserve"> </w:t>
      </w:r>
      <w:r w:rsidRPr="0062350D">
        <w:t>a</w:t>
      </w:r>
      <w:r w:rsidR="0062350D">
        <w:t xml:space="preserve"> </w:t>
      </w:r>
      <w:r w:rsidRPr="0062350D">
        <w:t>judicial</w:t>
      </w:r>
      <w:r w:rsidR="0062350D">
        <w:t xml:space="preserve"> </w:t>
      </w:r>
      <w:r w:rsidRPr="0062350D">
        <w:t>review</w:t>
      </w:r>
      <w:r w:rsidR="0062350D">
        <w:t xml:space="preserve"> </w:t>
      </w:r>
      <w:r w:rsidRPr="0062350D">
        <w:t>of</w:t>
      </w:r>
      <w:r w:rsidR="0062350D">
        <w:t xml:space="preserve"> </w:t>
      </w:r>
      <w:r w:rsidRPr="0062350D">
        <w:t>the</w:t>
      </w:r>
      <w:r w:rsidR="0062350D">
        <w:t xml:space="preserve"> </w:t>
      </w:r>
      <w:r w:rsidRPr="0062350D">
        <w:t>legality</w:t>
      </w:r>
      <w:r w:rsidR="0062350D">
        <w:t xml:space="preserve"> </w:t>
      </w:r>
      <w:r w:rsidRPr="0062350D">
        <w:t>of</w:t>
      </w:r>
      <w:r w:rsidR="0062350D">
        <w:t xml:space="preserve"> </w:t>
      </w:r>
      <w:r w:rsidRPr="0062350D">
        <w:t>their</w:t>
      </w:r>
      <w:r w:rsidR="0062350D">
        <w:t xml:space="preserve"> </w:t>
      </w:r>
      <w:r w:rsidRPr="0062350D">
        <w:t>detention</w:t>
      </w:r>
      <w:r w:rsidR="0062350D">
        <w:t xml:space="preserve"> </w:t>
      </w:r>
      <w:r w:rsidRPr="0062350D">
        <w:t>in</w:t>
      </w:r>
      <w:r w:rsidR="0062350D">
        <w:t xml:space="preserve"> </w:t>
      </w:r>
      <w:r w:rsidRPr="0062350D">
        <w:t>accordance</w:t>
      </w:r>
      <w:r w:rsidR="0062350D">
        <w:t xml:space="preserve"> </w:t>
      </w:r>
      <w:r w:rsidRPr="0062350D">
        <w:t>with</w:t>
      </w:r>
      <w:r w:rsidR="0062350D">
        <w:t xml:space="preserve"> </w:t>
      </w:r>
      <w:r w:rsidRPr="0062350D">
        <w:t>domestic</w:t>
      </w:r>
      <w:r w:rsidR="0062350D">
        <w:t xml:space="preserve"> </w:t>
      </w:r>
      <w:r w:rsidRPr="0062350D">
        <w:t>law.</w:t>
      </w:r>
      <w:r w:rsidR="0062350D">
        <w:t xml:space="preserve"> </w:t>
      </w:r>
      <w:r w:rsidRPr="0062350D">
        <w:t>At</w:t>
      </w:r>
      <w:r w:rsidR="0062350D">
        <w:t xml:space="preserve"> </w:t>
      </w:r>
      <w:r w:rsidRPr="0062350D">
        <w:t>the</w:t>
      </w:r>
      <w:r w:rsidR="0062350D">
        <w:t xml:space="preserve"> </w:t>
      </w:r>
      <w:r w:rsidRPr="0062350D">
        <w:t>same</w:t>
      </w:r>
      <w:r w:rsidR="0062350D">
        <w:t xml:space="preserve"> </w:t>
      </w:r>
      <w:r w:rsidRPr="0062350D">
        <w:t>time,</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argues</w:t>
      </w:r>
      <w:r w:rsidR="0062350D">
        <w:t xml:space="preserve"> </w:t>
      </w:r>
      <w:r w:rsidRPr="0062350D">
        <w:t>that</w:t>
      </w:r>
      <w:r w:rsidR="0062350D">
        <w:t xml:space="preserve"> </w:t>
      </w:r>
      <w:r w:rsidRPr="0062350D">
        <w:t>a</w:t>
      </w:r>
      <w:r w:rsidR="0062350D">
        <w:t xml:space="preserve"> </w:t>
      </w:r>
      <w:r w:rsidRPr="0062350D">
        <w:t>review</w:t>
      </w:r>
      <w:r w:rsidR="0062350D">
        <w:t xml:space="preserve"> </w:t>
      </w:r>
      <w:r w:rsidRPr="0062350D">
        <w:t>of</w:t>
      </w:r>
      <w:r w:rsidR="0062350D">
        <w:t xml:space="preserve"> </w:t>
      </w:r>
      <w:r w:rsidR="0062350D" w:rsidRPr="0062350D">
        <w:t>“</w:t>
      </w:r>
      <w:r w:rsidRPr="0062350D">
        <w:t>lawfulness</w:t>
      </w:r>
      <w:r w:rsidR="0062350D">
        <w:t xml:space="preserve"> </w:t>
      </w:r>
      <w:r w:rsidRPr="0062350D">
        <w:t>of</w:t>
      </w:r>
      <w:r w:rsidR="0062350D">
        <w:t xml:space="preserve"> </w:t>
      </w:r>
      <w:r w:rsidRPr="0062350D">
        <w:t>detention</w:t>
      </w:r>
      <w:r w:rsidR="0062350D" w:rsidRPr="0062350D">
        <w:t>”</w:t>
      </w:r>
      <w:r w:rsidRPr="0062350D">
        <w:t>,</w:t>
      </w:r>
      <w:r w:rsidR="0062350D">
        <w:t xml:space="preserve"> </w:t>
      </w:r>
      <w:r w:rsidRPr="0062350D">
        <w:t>within</w:t>
      </w:r>
      <w:r w:rsidR="0062350D">
        <w:t xml:space="preserve"> </w:t>
      </w:r>
      <w:r w:rsidRPr="0062350D">
        <w:t>the</w:t>
      </w:r>
      <w:r w:rsidR="0062350D">
        <w:t xml:space="preserve"> </w:t>
      </w:r>
      <w:r w:rsidRPr="0062350D">
        <w:t>meaning</w:t>
      </w:r>
      <w:r w:rsidR="0062350D">
        <w:t xml:space="preserve"> </w:t>
      </w:r>
      <w:r w:rsidRPr="0062350D">
        <w:t>of</w:t>
      </w:r>
      <w:r w:rsidR="0062350D">
        <w:t xml:space="preserve"> </w:t>
      </w:r>
      <w:r w:rsidRPr="0062350D">
        <w:t>article</w:t>
      </w:r>
      <w:r w:rsidR="0062350D">
        <w:t xml:space="preserve"> </w:t>
      </w:r>
      <w:r w:rsidRPr="0062350D">
        <w:t>9</w:t>
      </w:r>
      <w:r w:rsidR="0062350D">
        <w:t xml:space="preserve"> </w:t>
      </w:r>
      <w:r w:rsidRPr="0062350D">
        <w:t>(4)</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implies</w:t>
      </w:r>
      <w:r w:rsidR="0062350D">
        <w:t xml:space="preserve"> </w:t>
      </w:r>
      <w:r w:rsidRPr="0062350D">
        <w:t>only</w:t>
      </w:r>
      <w:r w:rsidR="0062350D">
        <w:t xml:space="preserve"> </w:t>
      </w:r>
      <w:r w:rsidRPr="0062350D">
        <w:t>compliance</w:t>
      </w:r>
      <w:r w:rsidR="0062350D">
        <w:t xml:space="preserve"> </w:t>
      </w:r>
      <w:r w:rsidRPr="0062350D">
        <w:t>with</w:t>
      </w:r>
      <w:r w:rsidR="0062350D">
        <w:t xml:space="preserve"> </w:t>
      </w:r>
      <w:r w:rsidRPr="0062350D">
        <w:t>the</w:t>
      </w:r>
      <w:r w:rsidR="0062350D">
        <w:t xml:space="preserve"> </w:t>
      </w:r>
      <w:r w:rsidRPr="0062350D">
        <w:t>national</w:t>
      </w:r>
      <w:r w:rsidR="0062350D">
        <w:t xml:space="preserve"> </w:t>
      </w:r>
      <w:r w:rsidRPr="0062350D">
        <w:t>law</w:t>
      </w:r>
      <w:r w:rsidR="0062350D">
        <w:t xml:space="preserve"> </w:t>
      </w:r>
      <w:r w:rsidRPr="0062350D">
        <w:t>of</w:t>
      </w:r>
      <w:r w:rsidR="0062350D">
        <w:t xml:space="preserve"> </w:t>
      </w:r>
      <w:r w:rsidRPr="0062350D">
        <w:t>a</w:t>
      </w:r>
      <w:r w:rsidR="0062350D">
        <w:t xml:space="preserve"> </w:t>
      </w:r>
      <w:r w:rsidRPr="0062350D">
        <w:t>State.</w:t>
      </w:r>
    </w:p>
    <w:p w14:paraId="1D07B56F" w14:textId="29FF3DDC" w:rsidR="007F12C3" w:rsidRPr="0062350D" w:rsidRDefault="007F12C3" w:rsidP="005D6A3F">
      <w:pPr>
        <w:pStyle w:val="SingleTxtG"/>
      </w:pPr>
      <w:r w:rsidRPr="0062350D">
        <w:t>8.7</w:t>
      </w:r>
      <w:r w:rsidRPr="0062350D">
        <w:tab/>
        <w:t>The</w:t>
      </w:r>
      <w:r w:rsidR="0062350D">
        <w:t xml:space="preserve"> </w:t>
      </w:r>
      <w:r w:rsidRPr="0062350D">
        <w:t>Committee</w:t>
      </w:r>
      <w:r w:rsidR="0062350D">
        <w:t xml:space="preserve"> </w:t>
      </w:r>
      <w:r w:rsidRPr="0062350D">
        <w:t>recalls</w:t>
      </w:r>
      <w:r w:rsidR="0062350D">
        <w:t xml:space="preserve"> </w:t>
      </w:r>
      <w:r w:rsidRPr="0062350D">
        <w:t>that</w:t>
      </w:r>
      <w:r w:rsidR="0062350D">
        <w:t xml:space="preserve"> </w:t>
      </w:r>
      <w:r w:rsidRPr="0062350D">
        <w:t>judicial</w:t>
      </w:r>
      <w:r w:rsidR="0062350D">
        <w:t xml:space="preserve"> </w:t>
      </w:r>
      <w:r w:rsidRPr="0062350D">
        <w:t>review</w:t>
      </w:r>
      <w:r w:rsidR="0062350D">
        <w:t xml:space="preserve"> </w:t>
      </w:r>
      <w:r w:rsidRPr="0062350D">
        <w:t>of</w:t>
      </w:r>
      <w:r w:rsidR="0062350D">
        <w:t xml:space="preserve"> </w:t>
      </w:r>
      <w:r w:rsidRPr="0062350D">
        <w:t>the</w:t>
      </w:r>
      <w:r w:rsidR="0062350D">
        <w:t xml:space="preserve"> </w:t>
      </w:r>
      <w:r w:rsidRPr="0062350D">
        <w:t>lawfulness</w:t>
      </w:r>
      <w:r w:rsidR="0062350D">
        <w:t xml:space="preserve"> </w:t>
      </w:r>
      <w:r w:rsidRPr="0062350D">
        <w:t>of</w:t>
      </w:r>
      <w:r w:rsidR="0062350D">
        <w:t xml:space="preserve"> </w:t>
      </w:r>
      <w:r w:rsidRPr="0062350D">
        <w:t>detention</w:t>
      </w:r>
      <w:r w:rsidR="0062350D">
        <w:t xml:space="preserve"> </w:t>
      </w:r>
      <w:r w:rsidRPr="0062350D">
        <w:t>under</w:t>
      </w:r>
      <w:r w:rsidR="0062350D">
        <w:t xml:space="preserve"> </w:t>
      </w:r>
      <w:r w:rsidRPr="0062350D">
        <w:t>article</w:t>
      </w:r>
      <w:r w:rsidR="0062350D">
        <w:t xml:space="preserve"> </w:t>
      </w:r>
      <w:r w:rsidRPr="0062350D">
        <w:t>9</w:t>
      </w:r>
      <w:r w:rsidR="0062350D">
        <w:t xml:space="preserve"> </w:t>
      </w:r>
      <w:r w:rsidRPr="0062350D">
        <w:t>(4)</w:t>
      </w:r>
      <w:r w:rsidR="0062350D">
        <w:t xml:space="preserve"> </w:t>
      </w:r>
      <w:r w:rsidRPr="0062350D">
        <w:t>is</w:t>
      </w:r>
      <w:r w:rsidR="0062350D">
        <w:t xml:space="preserve"> </w:t>
      </w:r>
      <w:r w:rsidRPr="0062350D">
        <w:t>not</w:t>
      </w:r>
      <w:r w:rsidR="0062350D">
        <w:t xml:space="preserve"> </w:t>
      </w:r>
      <w:r w:rsidRPr="0062350D">
        <w:t>limited</w:t>
      </w:r>
      <w:r w:rsidR="0062350D">
        <w:t xml:space="preserve"> </w:t>
      </w:r>
      <w:r w:rsidRPr="0062350D">
        <w:t>to</w:t>
      </w:r>
      <w:r w:rsidR="0062350D">
        <w:t xml:space="preserve"> </w:t>
      </w:r>
      <w:r w:rsidRPr="0062350D">
        <w:t>mere</w:t>
      </w:r>
      <w:r w:rsidR="0062350D">
        <w:t xml:space="preserve"> </w:t>
      </w:r>
      <w:r w:rsidRPr="0062350D">
        <w:t>compliance</w:t>
      </w:r>
      <w:r w:rsidR="0062350D">
        <w:t xml:space="preserve"> </w:t>
      </w:r>
      <w:r w:rsidRPr="0062350D">
        <w:t>of</w:t>
      </w:r>
      <w:r w:rsidR="0062350D">
        <w:t xml:space="preserve"> </w:t>
      </w:r>
      <w:r w:rsidRPr="0062350D">
        <w:t>the</w:t>
      </w:r>
      <w:r w:rsidR="0062350D">
        <w:t xml:space="preserve"> </w:t>
      </w:r>
      <w:r w:rsidRPr="0062350D">
        <w:t>detention</w:t>
      </w:r>
      <w:r w:rsidR="0062350D">
        <w:t xml:space="preserve"> </w:t>
      </w:r>
      <w:r w:rsidRPr="0062350D">
        <w:t>with</w:t>
      </w:r>
      <w:r w:rsidR="0062350D">
        <w:t xml:space="preserve"> </w:t>
      </w:r>
      <w:r w:rsidRPr="0062350D">
        <w:t>domestic</w:t>
      </w:r>
      <w:r w:rsidR="0062350D">
        <w:t xml:space="preserve"> </w:t>
      </w:r>
      <w:r w:rsidRPr="0062350D">
        <w:t>law</w:t>
      </w:r>
      <w:r w:rsidR="0062350D">
        <w:t xml:space="preserve"> </w:t>
      </w:r>
      <w:r w:rsidRPr="0062350D">
        <w:t>but</w:t>
      </w:r>
      <w:r w:rsidR="0062350D">
        <w:t xml:space="preserve"> </w:t>
      </w:r>
      <w:r w:rsidRPr="0062350D">
        <w:t>must</w:t>
      </w:r>
      <w:r w:rsidR="0062350D">
        <w:t xml:space="preserve"> </w:t>
      </w:r>
      <w:r w:rsidRPr="0062350D">
        <w:t>include</w:t>
      </w:r>
      <w:r w:rsidR="0062350D">
        <w:t xml:space="preserve"> </w:t>
      </w:r>
      <w:r w:rsidRPr="0062350D">
        <w:t>the</w:t>
      </w:r>
      <w:r w:rsidR="0062350D">
        <w:t xml:space="preserve"> </w:t>
      </w:r>
      <w:r w:rsidRPr="0062350D">
        <w:t>possibility</w:t>
      </w:r>
      <w:r w:rsidR="0062350D">
        <w:t xml:space="preserve"> </w:t>
      </w:r>
      <w:r w:rsidRPr="0062350D">
        <w:t>to</w:t>
      </w:r>
      <w:r w:rsidR="0062350D">
        <w:t xml:space="preserve"> </w:t>
      </w:r>
      <w:r w:rsidRPr="0062350D">
        <w:t>order</w:t>
      </w:r>
      <w:r w:rsidR="0062350D">
        <w:t xml:space="preserve"> </w:t>
      </w:r>
      <w:r w:rsidRPr="0062350D">
        <w:t>release</w:t>
      </w:r>
      <w:r w:rsidR="0062350D">
        <w:t xml:space="preserve"> </w:t>
      </w:r>
      <w:r w:rsidRPr="0062350D">
        <w:t>if</w:t>
      </w:r>
      <w:r w:rsidR="0062350D">
        <w:t xml:space="preserve"> </w:t>
      </w:r>
      <w:r w:rsidRPr="0062350D">
        <w:t>the</w:t>
      </w:r>
      <w:r w:rsidR="0062350D">
        <w:t xml:space="preserve"> </w:t>
      </w:r>
      <w:r w:rsidRPr="0062350D">
        <w:t>detention</w:t>
      </w:r>
      <w:r w:rsidR="0062350D">
        <w:t xml:space="preserve"> </w:t>
      </w:r>
      <w:r w:rsidRPr="0062350D">
        <w:t>is</w:t>
      </w:r>
      <w:r w:rsidR="0062350D">
        <w:t xml:space="preserve"> </w:t>
      </w:r>
      <w:r w:rsidRPr="0062350D">
        <w:t>incompatible</w:t>
      </w:r>
      <w:r w:rsidR="0062350D">
        <w:t xml:space="preserve"> </w:t>
      </w:r>
      <w:r w:rsidRPr="0062350D">
        <w:t>with</w:t>
      </w:r>
      <w:r w:rsidR="0062350D">
        <w:t xml:space="preserve"> </w:t>
      </w:r>
      <w:r w:rsidRPr="0062350D">
        <w:t>the</w:t>
      </w:r>
      <w:r w:rsidR="0062350D">
        <w:t xml:space="preserve"> </w:t>
      </w:r>
      <w:r w:rsidRPr="0062350D">
        <w:t>requirements</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in</w:t>
      </w:r>
      <w:r w:rsidR="0062350D">
        <w:t xml:space="preserve"> </w:t>
      </w:r>
      <w:r w:rsidRPr="0062350D">
        <w:t>particular</w:t>
      </w:r>
      <w:r w:rsidR="0062350D">
        <w:t xml:space="preserve"> </w:t>
      </w:r>
      <w:r w:rsidRPr="0062350D">
        <w:t>those</w:t>
      </w:r>
      <w:r w:rsidR="0062350D">
        <w:t xml:space="preserve"> </w:t>
      </w:r>
      <w:r w:rsidRPr="0062350D">
        <w:t>of</w:t>
      </w:r>
      <w:r w:rsidR="0062350D">
        <w:t xml:space="preserve"> </w:t>
      </w:r>
      <w:r w:rsidRPr="0062350D">
        <w:t>article</w:t>
      </w:r>
      <w:r w:rsidR="0062350D">
        <w:t xml:space="preserve"> </w:t>
      </w:r>
      <w:r w:rsidRPr="0062350D">
        <w:t>9</w:t>
      </w:r>
      <w:r w:rsidR="00AF4817">
        <w:t xml:space="preserve"> </w:t>
      </w:r>
      <w:r w:rsidRPr="0062350D">
        <w:t>(1).</w:t>
      </w:r>
      <w:r w:rsidR="0062350D">
        <w:t xml:space="preserve"> </w:t>
      </w:r>
      <w:r w:rsidRPr="0062350D">
        <w:t>The</w:t>
      </w:r>
      <w:r w:rsidR="0062350D">
        <w:t xml:space="preserve"> </w:t>
      </w:r>
      <w:r w:rsidRPr="0062350D">
        <w:t>Committee</w:t>
      </w:r>
      <w:r w:rsidR="0062350D">
        <w:t xml:space="preserve"> </w:t>
      </w:r>
      <w:r w:rsidRPr="0062350D">
        <w:t>further</w:t>
      </w:r>
      <w:r w:rsidR="0062350D">
        <w:t xml:space="preserve"> </w:t>
      </w:r>
      <w:r w:rsidRPr="0062350D">
        <w:t>notes</w:t>
      </w:r>
      <w:r w:rsidR="0062350D">
        <w:t xml:space="preserve"> </w:t>
      </w:r>
      <w:r w:rsidRPr="0062350D">
        <w:t>its</w:t>
      </w:r>
      <w:r w:rsidR="0062350D">
        <w:t xml:space="preserve"> </w:t>
      </w:r>
      <w:r w:rsidRPr="0062350D">
        <w:t>previous</w:t>
      </w:r>
      <w:r w:rsidR="0062350D">
        <w:t xml:space="preserve"> </w:t>
      </w:r>
      <w:r w:rsidRPr="0062350D">
        <w:t>jurisprudence</w:t>
      </w:r>
      <w:r w:rsidR="0062350D">
        <w:t xml:space="preserve"> </w:t>
      </w:r>
      <w:r w:rsidRPr="0062350D">
        <w:t>concerning</w:t>
      </w:r>
      <w:r w:rsidR="0062350D">
        <w:t xml:space="preserve"> </w:t>
      </w:r>
      <w:r w:rsidRPr="0062350D">
        <w:t>review</w:t>
      </w:r>
      <w:r w:rsidR="0062350D">
        <w:t xml:space="preserve"> </w:t>
      </w:r>
      <w:r w:rsidRPr="0062350D">
        <w:t>of</w:t>
      </w:r>
      <w:r w:rsidR="0062350D">
        <w:t xml:space="preserve"> </w:t>
      </w:r>
      <w:r w:rsidRPr="0062350D">
        <w:t>detention</w:t>
      </w:r>
      <w:r w:rsidR="0062350D">
        <w:t xml:space="preserve"> </w:t>
      </w:r>
      <w:r w:rsidRPr="0062350D">
        <w:t>of</w:t>
      </w:r>
      <w:r w:rsidR="0062350D">
        <w:t xml:space="preserve"> </w:t>
      </w:r>
      <w:r w:rsidRPr="0062350D">
        <w:t>non-citizens</w:t>
      </w:r>
      <w:r w:rsidR="0062350D">
        <w:t xml:space="preserve"> </w:t>
      </w:r>
      <w:r w:rsidRPr="0062350D">
        <w:t>without</w:t>
      </w:r>
      <w:r w:rsidR="0062350D">
        <w:t xml:space="preserve"> </w:t>
      </w:r>
      <w:r w:rsidRPr="0062350D">
        <w:t>valid</w:t>
      </w:r>
      <w:r w:rsidR="0062350D">
        <w:t xml:space="preserve"> </w:t>
      </w:r>
      <w:r w:rsidRPr="0062350D">
        <w:t>entry</w:t>
      </w:r>
      <w:r w:rsidR="0062350D">
        <w:t xml:space="preserve"> </w:t>
      </w:r>
      <w:r w:rsidRPr="0062350D">
        <w:t>documentation</w:t>
      </w:r>
      <w:r w:rsidR="0062350D">
        <w:t xml:space="preserve"> </w:t>
      </w:r>
      <w:r w:rsidRPr="0062350D">
        <w:t>in</w:t>
      </w:r>
      <w:r w:rsidR="0062350D">
        <w:t xml:space="preserve"> </w:t>
      </w:r>
      <w:r w:rsidRPr="0062350D">
        <w:t>Australia.</w:t>
      </w:r>
      <w:r w:rsidRPr="0062350D">
        <w:rPr>
          <w:rStyle w:val="FootnoteReference"/>
        </w:rPr>
        <w:footnoteReference w:id="8"/>
      </w:r>
      <w:r w:rsidR="0062350D">
        <w:t xml:space="preserve"> </w:t>
      </w:r>
      <w:r w:rsidRPr="0062350D">
        <w:t>In</w:t>
      </w:r>
      <w:r w:rsidR="0062350D">
        <w:t xml:space="preserve"> </w:t>
      </w:r>
      <w:r w:rsidRPr="0062350D">
        <w:t>particular,</w:t>
      </w:r>
      <w:r w:rsidR="0062350D">
        <w:t xml:space="preserve"> </w:t>
      </w:r>
      <w:r w:rsidRPr="0062350D">
        <w:t>it</w:t>
      </w:r>
      <w:r w:rsidR="0062350D">
        <w:t xml:space="preserve"> </w:t>
      </w:r>
      <w:r w:rsidRPr="0062350D">
        <w:t>previously</w:t>
      </w:r>
      <w:r w:rsidR="0062350D">
        <w:t xml:space="preserve"> </w:t>
      </w:r>
      <w:r w:rsidRPr="0062350D">
        <w:t>established</w:t>
      </w:r>
      <w:r w:rsidR="0062350D">
        <w:t xml:space="preserve"> </w:t>
      </w:r>
      <w:r w:rsidRPr="0062350D">
        <w:t>that</w:t>
      </w:r>
      <w:r w:rsidR="0062350D">
        <w:t xml:space="preserve"> </w:t>
      </w:r>
      <w:r w:rsidRPr="0062350D">
        <w:t>the</w:t>
      </w:r>
      <w:r w:rsidR="0062350D">
        <w:t xml:space="preserve"> </w:t>
      </w:r>
      <w:r w:rsidRPr="0062350D">
        <w:t>scope</w:t>
      </w:r>
      <w:r w:rsidR="0062350D">
        <w:t xml:space="preserve"> </w:t>
      </w:r>
      <w:r w:rsidRPr="0062350D">
        <w:t>of</w:t>
      </w:r>
      <w:r w:rsidR="0062350D">
        <w:t xml:space="preserve"> </w:t>
      </w:r>
      <w:r w:rsidRPr="0062350D">
        <w:t>domestic</w:t>
      </w:r>
      <w:r w:rsidR="0062350D">
        <w:t xml:space="preserve"> </w:t>
      </w:r>
      <w:r w:rsidRPr="0062350D">
        <w:t>judicial</w:t>
      </w:r>
      <w:r w:rsidR="0062350D">
        <w:t xml:space="preserve"> </w:t>
      </w:r>
      <w:r w:rsidRPr="0062350D">
        <w:t>review</w:t>
      </w:r>
      <w:r w:rsidR="0062350D">
        <w:t xml:space="preserve"> </w:t>
      </w:r>
      <w:r w:rsidRPr="0062350D">
        <w:t>of</w:t>
      </w:r>
      <w:r w:rsidR="0062350D">
        <w:t xml:space="preserve"> </w:t>
      </w:r>
      <w:r w:rsidRPr="0062350D">
        <w:t>immigration</w:t>
      </w:r>
      <w:r w:rsidR="0062350D">
        <w:t xml:space="preserve"> </w:t>
      </w:r>
      <w:r w:rsidRPr="0062350D">
        <w:t>detention</w:t>
      </w:r>
      <w:r w:rsidR="0062350D">
        <w:t xml:space="preserve"> </w:t>
      </w:r>
      <w:r w:rsidRPr="0062350D">
        <w:t>was</w:t>
      </w:r>
      <w:r w:rsidR="0062350D">
        <w:t xml:space="preserve"> </w:t>
      </w:r>
      <w:r w:rsidRPr="0062350D">
        <w:t>insufficiently</w:t>
      </w:r>
      <w:r w:rsidR="0062350D">
        <w:t xml:space="preserve"> </w:t>
      </w:r>
      <w:r w:rsidRPr="0062350D">
        <w:t>broad</w:t>
      </w:r>
      <w:r w:rsidR="0062350D">
        <w:t xml:space="preserve"> </w:t>
      </w:r>
      <w:r w:rsidRPr="0062350D">
        <w:t>to</w:t>
      </w:r>
      <w:r w:rsidR="0062350D">
        <w:t xml:space="preserve"> </w:t>
      </w:r>
      <w:r w:rsidRPr="0062350D">
        <w:t>examine</w:t>
      </w:r>
      <w:r w:rsidR="0062350D">
        <w:t xml:space="preserve"> </w:t>
      </w:r>
      <w:r w:rsidRPr="0062350D">
        <w:t>an</w:t>
      </w:r>
      <w:r w:rsidR="0062350D">
        <w:t xml:space="preserve"> </w:t>
      </w:r>
      <w:r w:rsidRPr="0062350D">
        <w:t>individual</w:t>
      </w:r>
      <w:r w:rsidR="0062350D" w:rsidRPr="0062350D">
        <w:t>’</w:t>
      </w:r>
      <w:r w:rsidRPr="0062350D">
        <w:t>s</w:t>
      </w:r>
      <w:r w:rsidR="0062350D">
        <w:t xml:space="preserve"> </w:t>
      </w:r>
      <w:r w:rsidRPr="0062350D">
        <w:t>detention</w:t>
      </w:r>
      <w:r w:rsidR="0062350D">
        <w:t xml:space="preserve"> </w:t>
      </w:r>
      <w:r w:rsidRPr="0062350D">
        <w:t>in</w:t>
      </w:r>
      <w:r w:rsidR="0062350D">
        <w:t xml:space="preserve"> </w:t>
      </w:r>
      <w:r w:rsidRPr="0062350D">
        <w:t>substantive</w:t>
      </w:r>
      <w:r w:rsidR="0062350D">
        <w:t xml:space="preserve"> </w:t>
      </w:r>
      <w:r w:rsidRPr="0062350D">
        <w:t>terms.</w:t>
      </w:r>
      <w:r w:rsidR="0062350D">
        <w:t xml:space="preserve"> </w:t>
      </w:r>
      <w:r w:rsidRPr="0062350D">
        <w:t>Furthermore,</w:t>
      </w:r>
      <w:r w:rsidR="0062350D">
        <w:t xml:space="preserve"> </w:t>
      </w:r>
      <w:r w:rsidRPr="0062350D">
        <w:t>relevant</w:t>
      </w:r>
      <w:r w:rsidR="0062350D">
        <w:t xml:space="preserve"> </w:t>
      </w:r>
      <w:r w:rsidRPr="0062350D">
        <w:t>national</w:t>
      </w:r>
      <w:r w:rsidR="0062350D">
        <w:t xml:space="preserve"> </w:t>
      </w:r>
      <w:r w:rsidRPr="0062350D">
        <w:t>jurisprudence</w:t>
      </w:r>
      <w:r w:rsidR="0062350D">
        <w:t xml:space="preserve"> </w:t>
      </w:r>
      <w:r w:rsidRPr="0062350D">
        <w:t>showed</w:t>
      </w:r>
      <w:r w:rsidR="0062350D">
        <w:t xml:space="preserve"> </w:t>
      </w:r>
      <w:r w:rsidRPr="0062350D">
        <w:t>that</w:t>
      </w:r>
      <w:r w:rsidR="0062350D">
        <w:t xml:space="preserve"> </w:t>
      </w:r>
      <w:r w:rsidRPr="0062350D">
        <w:t>even</w:t>
      </w:r>
      <w:r w:rsidR="0062350D">
        <w:t xml:space="preserve"> </w:t>
      </w:r>
      <w:r w:rsidRPr="0062350D">
        <w:t>a</w:t>
      </w:r>
      <w:r w:rsidR="0062350D">
        <w:t xml:space="preserve"> </w:t>
      </w:r>
      <w:r w:rsidRPr="0062350D">
        <w:t>successful</w:t>
      </w:r>
      <w:r w:rsidR="0062350D">
        <w:t xml:space="preserve"> </w:t>
      </w:r>
      <w:r w:rsidRPr="0062350D">
        <w:t>legal</w:t>
      </w:r>
      <w:r w:rsidR="0062350D">
        <w:t xml:space="preserve"> </w:t>
      </w:r>
      <w:r w:rsidRPr="0062350D">
        <w:t>challenge</w:t>
      </w:r>
      <w:r w:rsidR="0062350D">
        <w:t xml:space="preserve"> </w:t>
      </w:r>
      <w:r w:rsidRPr="0062350D">
        <w:t>of</w:t>
      </w:r>
      <w:r w:rsidR="0062350D">
        <w:t xml:space="preserve"> </w:t>
      </w:r>
      <w:r w:rsidRPr="0062350D">
        <w:t>detention</w:t>
      </w:r>
      <w:r w:rsidR="0062350D">
        <w:t xml:space="preserve"> </w:t>
      </w:r>
      <w:r w:rsidRPr="0062350D">
        <w:t>could</w:t>
      </w:r>
      <w:r w:rsidR="0062350D">
        <w:t xml:space="preserve"> </w:t>
      </w:r>
      <w:r w:rsidRPr="0062350D">
        <w:t>not</w:t>
      </w:r>
      <w:r w:rsidR="0062350D">
        <w:t xml:space="preserve"> </w:t>
      </w:r>
      <w:r w:rsidRPr="0062350D">
        <w:t>necessarily</w:t>
      </w:r>
      <w:r w:rsidR="0062350D">
        <w:t xml:space="preserve"> </w:t>
      </w:r>
      <w:r w:rsidRPr="0062350D">
        <w:t>lead</w:t>
      </w:r>
      <w:r w:rsidR="0062350D">
        <w:t xml:space="preserve"> </w:t>
      </w:r>
      <w:r w:rsidRPr="0062350D">
        <w:t>to</w:t>
      </w:r>
      <w:r w:rsidR="0062350D">
        <w:t xml:space="preserve"> </w:t>
      </w:r>
      <w:r w:rsidRPr="0062350D">
        <w:t>release</w:t>
      </w:r>
      <w:r w:rsidR="0062350D">
        <w:t xml:space="preserve"> </w:t>
      </w:r>
      <w:r w:rsidRPr="0062350D">
        <w:t>from</w:t>
      </w:r>
      <w:r w:rsidR="0062350D">
        <w:t xml:space="preserve"> </w:t>
      </w:r>
      <w:r w:rsidRPr="0062350D">
        <w:t>arbitrary</w:t>
      </w:r>
      <w:r w:rsidR="0062350D">
        <w:t xml:space="preserve"> </w:t>
      </w:r>
      <w:r w:rsidRPr="0062350D">
        <w:t>detention.</w:t>
      </w:r>
      <w:r w:rsidRPr="0062350D">
        <w:rPr>
          <w:rStyle w:val="FootnoteReference"/>
        </w:rPr>
        <w:footnoteReference w:id="9"/>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not</w:t>
      </w:r>
      <w:r w:rsidR="0062350D">
        <w:t xml:space="preserve"> </w:t>
      </w:r>
      <w:r w:rsidRPr="0062350D">
        <w:t>provided</w:t>
      </w:r>
      <w:r w:rsidR="0062350D">
        <w:t xml:space="preserve"> </w:t>
      </w:r>
      <w:r w:rsidRPr="0062350D">
        <w:t>relevant</w:t>
      </w:r>
      <w:r w:rsidR="0062350D">
        <w:t xml:space="preserve"> </w:t>
      </w:r>
      <w:r w:rsidRPr="0062350D">
        <w:t>legal</w:t>
      </w:r>
      <w:r w:rsidR="0062350D">
        <w:t xml:space="preserve"> </w:t>
      </w:r>
      <w:r w:rsidRPr="0062350D">
        <w:t>precedents</w:t>
      </w:r>
      <w:r w:rsidR="0062350D">
        <w:t xml:space="preserve"> </w:t>
      </w:r>
      <w:r w:rsidRPr="0062350D">
        <w:t>showing</w:t>
      </w:r>
      <w:r w:rsidR="0062350D">
        <w:t xml:space="preserve"> </w:t>
      </w:r>
      <w:r w:rsidRPr="0062350D">
        <w:t>the</w:t>
      </w:r>
      <w:r w:rsidR="0062350D">
        <w:t xml:space="preserve"> </w:t>
      </w:r>
      <w:r w:rsidRPr="0062350D">
        <w:t>effectiveness</w:t>
      </w:r>
      <w:r w:rsidR="0062350D">
        <w:t xml:space="preserve"> </w:t>
      </w:r>
      <w:r w:rsidRPr="0062350D">
        <w:t>of</w:t>
      </w:r>
      <w:r w:rsidR="0062350D">
        <w:t xml:space="preserve"> </w:t>
      </w:r>
      <w:r w:rsidRPr="0062350D">
        <w:t>an</w:t>
      </w:r>
      <w:r w:rsidR="0062350D">
        <w:t xml:space="preserve"> </w:t>
      </w:r>
      <w:r w:rsidRPr="0062350D">
        <w:t>application</w:t>
      </w:r>
      <w:r w:rsidR="0062350D">
        <w:t xml:space="preserve"> </w:t>
      </w:r>
      <w:r w:rsidRPr="0062350D">
        <w:t>before</w:t>
      </w:r>
      <w:r w:rsidR="0062350D">
        <w:t xml:space="preserve"> </w:t>
      </w:r>
      <w:r w:rsidRPr="0062350D">
        <w:t>the</w:t>
      </w:r>
      <w:r w:rsidR="0062350D">
        <w:t xml:space="preserve"> </w:t>
      </w:r>
      <w:r w:rsidRPr="0062350D">
        <w:t>national</w:t>
      </w:r>
      <w:r w:rsidR="0062350D">
        <w:t xml:space="preserve"> </w:t>
      </w:r>
      <w:r w:rsidRPr="0062350D">
        <w:t>courts</w:t>
      </w:r>
      <w:r w:rsidR="0062350D">
        <w:t xml:space="preserve"> </w:t>
      </w:r>
      <w:r w:rsidRPr="0062350D">
        <w:t>in</w:t>
      </w:r>
      <w:r w:rsidR="0062350D">
        <w:t xml:space="preserve"> </w:t>
      </w:r>
      <w:r w:rsidRPr="0062350D">
        <w:t>similar</w:t>
      </w:r>
      <w:r w:rsidR="0062350D">
        <w:t xml:space="preserve"> </w:t>
      </w:r>
      <w:r w:rsidRPr="0062350D">
        <w:t>situations.</w:t>
      </w:r>
      <w:r w:rsidR="0062350D">
        <w:t xml:space="preserve"> </w:t>
      </w:r>
      <w:r w:rsidRPr="0062350D">
        <w:t>Moreover,</w:t>
      </w:r>
      <w:r w:rsidR="0062350D">
        <w:t xml:space="preserve"> </w:t>
      </w:r>
      <w:r w:rsidRPr="0062350D">
        <w:t>it</w:t>
      </w:r>
      <w:r w:rsidR="0062350D">
        <w:t xml:space="preserve"> </w:t>
      </w:r>
      <w:r w:rsidRPr="0062350D">
        <w:t>has</w:t>
      </w:r>
      <w:r w:rsidR="0062350D">
        <w:t xml:space="preserve"> </w:t>
      </w:r>
      <w:r w:rsidRPr="0062350D">
        <w:t>not</w:t>
      </w:r>
      <w:r w:rsidR="0062350D">
        <w:t xml:space="preserve"> </w:t>
      </w:r>
      <w:r w:rsidRPr="0062350D">
        <w:t>demonstrated</w:t>
      </w:r>
      <w:r w:rsidR="0062350D">
        <w:t xml:space="preserve"> </w:t>
      </w:r>
      <w:r w:rsidRPr="0062350D">
        <w:t>the</w:t>
      </w:r>
      <w:r w:rsidR="0062350D">
        <w:t xml:space="preserve"> </w:t>
      </w:r>
      <w:r w:rsidRPr="0062350D">
        <w:t>availability</w:t>
      </w:r>
      <w:r w:rsidR="0062350D">
        <w:t xml:space="preserve"> </w:t>
      </w:r>
      <w:r w:rsidRPr="0062350D">
        <w:t>of</w:t>
      </w:r>
      <w:r w:rsidR="0062350D">
        <w:t xml:space="preserve"> </w:t>
      </w:r>
      <w:r w:rsidRPr="0062350D">
        <w:t>this</w:t>
      </w:r>
      <w:r w:rsidR="0062350D">
        <w:t xml:space="preserve"> </w:t>
      </w:r>
      <w:r w:rsidRPr="0062350D">
        <w:t>remedy</w:t>
      </w:r>
      <w:r w:rsidR="0062350D">
        <w:t xml:space="preserve"> </w:t>
      </w:r>
      <w:r w:rsidRPr="0062350D">
        <w:t>for</w:t>
      </w:r>
      <w:r w:rsidR="0062350D">
        <w:t xml:space="preserve"> </w:t>
      </w:r>
      <w:r w:rsidRPr="0062350D">
        <w:t>the</w:t>
      </w:r>
      <w:r w:rsidR="0062350D">
        <w:t xml:space="preserve"> </w:t>
      </w:r>
      <w:r w:rsidRPr="0062350D">
        <w:t>authors</w:t>
      </w:r>
      <w:r w:rsidR="0062350D">
        <w:t xml:space="preserve"> </w:t>
      </w:r>
      <w:r w:rsidRPr="0062350D">
        <w:t>and</w:t>
      </w:r>
      <w:r w:rsidR="0062350D">
        <w:t xml:space="preserve"> </w:t>
      </w:r>
      <w:r w:rsidRPr="0062350D">
        <w:t>has</w:t>
      </w:r>
      <w:r w:rsidR="0062350D">
        <w:t xml:space="preserve"> </w:t>
      </w:r>
      <w:r w:rsidRPr="0062350D">
        <w:t>not</w:t>
      </w:r>
      <w:r w:rsidR="0062350D">
        <w:t xml:space="preserve"> </w:t>
      </w:r>
      <w:r w:rsidRPr="0062350D">
        <w:t>shown</w:t>
      </w:r>
      <w:r w:rsidR="0062350D">
        <w:t xml:space="preserve"> </w:t>
      </w:r>
      <w:r w:rsidRPr="0062350D">
        <w:t>that</w:t>
      </w:r>
      <w:r w:rsidR="0062350D">
        <w:t xml:space="preserve"> </w:t>
      </w:r>
      <w:r w:rsidRPr="0062350D">
        <w:t>national</w:t>
      </w:r>
      <w:r w:rsidR="0062350D">
        <w:t xml:space="preserve"> </w:t>
      </w:r>
      <w:r w:rsidRPr="0062350D">
        <w:t>courts</w:t>
      </w:r>
      <w:r w:rsidR="0062350D">
        <w:t xml:space="preserve"> </w:t>
      </w:r>
      <w:r w:rsidRPr="0062350D">
        <w:t>have</w:t>
      </w:r>
      <w:r w:rsidR="0062350D">
        <w:t xml:space="preserve"> </w:t>
      </w:r>
      <w:r w:rsidRPr="0062350D">
        <w:t>the</w:t>
      </w:r>
      <w:r w:rsidR="0062350D">
        <w:t xml:space="preserve"> </w:t>
      </w:r>
      <w:r w:rsidRPr="0062350D">
        <w:t>authority</w:t>
      </w:r>
      <w:r w:rsidR="0062350D">
        <w:t xml:space="preserve"> </w:t>
      </w:r>
      <w:r w:rsidRPr="0062350D">
        <w:t>to</w:t>
      </w:r>
      <w:r w:rsidR="0062350D">
        <w:t xml:space="preserve"> </w:t>
      </w:r>
      <w:r w:rsidRPr="0062350D">
        <w:t>make</w:t>
      </w:r>
      <w:r w:rsidR="0062350D">
        <w:t xml:space="preserve"> </w:t>
      </w:r>
      <w:r w:rsidRPr="0062350D">
        <w:t>individualized</w:t>
      </w:r>
      <w:r w:rsidR="0062350D">
        <w:t xml:space="preserve"> </w:t>
      </w:r>
      <w:r w:rsidRPr="0062350D">
        <w:t>rulings</w:t>
      </w:r>
      <w:r w:rsidR="0062350D">
        <w:t xml:space="preserve"> </w:t>
      </w:r>
      <w:r w:rsidRPr="0062350D">
        <w:t>on</w:t>
      </w:r>
      <w:r w:rsidR="0062350D">
        <w:t xml:space="preserve"> </w:t>
      </w:r>
      <w:r w:rsidRPr="0062350D">
        <w:t>the</w:t>
      </w:r>
      <w:r w:rsidR="0062350D">
        <w:t xml:space="preserve"> </w:t>
      </w:r>
      <w:r w:rsidRPr="0062350D">
        <w:t>justification</w:t>
      </w:r>
      <w:r w:rsidR="0062350D">
        <w:t xml:space="preserve"> </w:t>
      </w:r>
      <w:r w:rsidRPr="0062350D">
        <w:t>for</w:t>
      </w:r>
      <w:r w:rsidR="0062350D">
        <w:t xml:space="preserve"> </w:t>
      </w:r>
      <w:r w:rsidRPr="0062350D">
        <w:t>each</w:t>
      </w:r>
      <w:r w:rsidR="0062350D">
        <w:t xml:space="preserve"> </w:t>
      </w:r>
      <w:r w:rsidRPr="0062350D">
        <w:t>author</w:t>
      </w:r>
      <w:r w:rsidR="0062350D" w:rsidRPr="0062350D">
        <w:t>’</w:t>
      </w:r>
      <w:r w:rsidRPr="0062350D">
        <w:t>s</w:t>
      </w:r>
      <w:r w:rsidR="0062350D">
        <w:t xml:space="preserve"> </w:t>
      </w:r>
      <w:r w:rsidRPr="0062350D">
        <w:t>detention.</w:t>
      </w:r>
      <w:r w:rsidR="0062350D">
        <w:t xml:space="preserve"> </w:t>
      </w:r>
      <w:r w:rsidRPr="0062350D">
        <w:t>Therefore,</w:t>
      </w:r>
      <w:r w:rsidR="0062350D">
        <w:t xml:space="preserve"> </w:t>
      </w:r>
      <w:r w:rsidRPr="0062350D">
        <w:t>the</w:t>
      </w:r>
      <w:r w:rsidR="0062350D">
        <w:t xml:space="preserve"> </w:t>
      </w:r>
      <w:r w:rsidRPr="0062350D">
        <w:t>Committee</w:t>
      </w:r>
      <w:r w:rsidR="0062350D">
        <w:t xml:space="preserve"> </w:t>
      </w:r>
      <w:r w:rsidRPr="0062350D">
        <w:t>does</w:t>
      </w:r>
      <w:r w:rsidR="0062350D">
        <w:t xml:space="preserve"> </w:t>
      </w:r>
      <w:r w:rsidRPr="0062350D">
        <w:t>not</w:t>
      </w:r>
      <w:r w:rsidR="0062350D">
        <w:t xml:space="preserve"> </w:t>
      </w:r>
      <w:r w:rsidRPr="0062350D">
        <w:t>see</w:t>
      </w:r>
      <w:r w:rsidR="0062350D">
        <w:t xml:space="preserve"> </w:t>
      </w:r>
      <w:r w:rsidRPr="0062350D">
        <w:t>a</w:t>
      </w:r>
      <w:r w:rsidR="0062350D">
        <w:t xml:space="preserve"> </w:t>
      </w:r>
      <w:r w:rsidRPr="0062350D">
        <w:t>ground</w:t>
      </w:r>
      <w:r w:rsidR="0062350D">
        <w:t xml:space="preserve"> </w:t>
      </w:r>
      <w:r w:rsidRPr="0062350D">
        <w:t>to</w:t>
      </w:r>
      <w:r w:rsidR="0062350D">
        <w:t xml:space="preserve"> </w:t>
      </w:r>
      <w:r w:rsidRPr="0062350D">
        <w:t>depart</w:t>
      </w:r>
      <w:r w:rsidR="0062350D">
        <w:t xml:space="preserve"> </w:t>
      </w:r>
      <w:r w:rsidRPr="0062350D">
        <w:t>from</w:t>
      </w:r>
      <w:r w:rsidR="0062350D">
        <w:t xml:space="preserve"> </w:t>
      </w:r>
      <w:r w:rsidRPr="0062350D">
        <w:t>its</w:t>
      </w:r>
      <w:r w:rsidR="0062350D">
        <w:t xml:space="preserve"> </w:t>
      </w:r>
      <w:r w:rsidRPr="0062350D">
        <w:t>well-established</w:t>
      </w:r>
      <w:r w:rsidR="0062350D">
        <w:t xml:space="preserve"> </w:t>
      </w:r>
      <w:r w:rsidRPr="0062350D">
        <w:t>approach</w:t>
      </w:r>
      <w:r w:rsidR="0062350D">
        <w:t xml:space="preserve"> </w:t>
      </w:r>
      <w:r w:rsidRPr="0062350D">
        <w:t>and</w:t>
      </w:r>
      <w:r w:rsidR="0062350D">
        <w:t xml:space="preserve"> </w:t>
      </w:r>
      <w:r w:rsidRPr="0062350D">
        <w:t>considers</w:t>
      </w:r>
      <w:r w:rsidR="0062350D">
        <w:t xml:space="preserve"> </w:t>
      </w:r>
      <w:r w:rsidRPr="0062350D">
        <w:t>that</w:t>
      </w:r>
      <w:r w:rsidR="0062350D">
        <w:t xml:space="preserve"> </w:t>
      </w:r>
      <w:r w:rsidRPr="0062350D">
        <w:t>the</w:t>
      </w:r>
      <w:r w:rsidR="0062350D">
        <w:t xml:space="preserve"> </w:t>
      </w:r>
      <w:r w:rsidRPr="0062350D">
        <w:t>facts</w:t>
      </w:r>
      <w:r w:rsidR="0062350D">
        <w:t xml:space="preserve"> </w:t>
      </w:r>
      <w:r w:rsidRPr="0062350D">
        <w:t>in</w:t>
      </w:r>
      <w:r w:rsidR="0062350D">
        <w:t xml:space="preserve"> </w:t>
      </w:r>
      <w:r w:rsidRPr="0062350D">
        <w:t>the</w:t>
      </w:r>
      <w:r w:rsidR="0062350D">
        <w:t xml:space="preserve"> </w:t>
      </w:r>
      <w:r w:rsidRPr="0062350D">
        <w:t>present</w:t>
      </w:r>
      <w:r w:rsidR="0062350D">
        <w:t xml:space="preserve"> </w:t>
      </w:r>
      <w:r w:rsidRPr="0062350D">
        <w:t>case</w:t>
      </w:r>
      <w:r w:rsidR="0062350D">
        <w:t xml:space="preserve"> </w:t>
      </w:r>
      <w:r w:rsidRPr="0062350D">
        <w:t>involve</w:t>
      </w:r>
      <w:r w:rsidR="0062350D">
        <w:t xml:space="preserve"> </w:t>
      </w:r>
      <w:r w:rsidRPr="0062350D">
        <w:t>a</w:t>
      </w:r>
      <w:r w:rsidR="0062350D">
        <w:t xml:space="preserve"> </w:t>
      </w:r>
      <w:r w:rsidRPr="0062350D">
        <w:t>violation</w:t>
      </w:r>
      <w:r w:rsidR="0062350D">
        <w:t xml:space="preserve"> </w:t>
      </w:r>
      <w:r w:rsidRPr="0062350D">
        <w:t>of</w:t>
      </w:r>
      <w:r w:rsidR="0062350D">
        <w:t xml:space="preserve"> </w:t>
      </w:r>
      <w:r w:rsidRPr="0062350D">
        <w:t>article</w:t>
      </w:r>
      <w:r w:rsidR="0062350D">
        <w:t xml:space="preserve"> </w:t>
      </w:r>
      <w:r w:rsidRPr="0062350D">
        <w:t>9</w:t>
      </w:r>
      <w:r w:rsidR="0062350D">
        <w:t xml:space="preserve"> </w:t>
      </w:r>
      <w:r w:rsidRPr="0062350D">
        <w:t>(4).</w:t>
      </w:r>
    </w:p>
    <w:p w14:paraId="3EF28E28" w14:textId="12D2C622" w:rsidR="0062350D" w:rsidRPr="0062350D" w:rsidRDefault="007F12C3" w:rsidP="005D6A3F">
      <w:pPr>
        <w:pStyle w:val="SingleTxtG"/>
      </w:pPr>
      <w:r w:rsidRPr="0062350D">
        <w:t>9.</w:t>
      </w:r>
      <w:r w:rsidRPr="0062350D">
        <w:tab/>
        <w:t>The</w:t>
      </w:r>
      <w:r w:rsidR="0062350D">
        <w:t xml:space="preserve"> </w:t>
      </w:r>
      <w:r w:rsidRPr="0062350D">
        <w:t>Human</w:t>
      </w:r>
      <w:r w:rsidR="0062350D">
        <w:t xml:space="preserve"> </w:t>
      </w:r>
      <w:r w:rsidRPr="0062350D">
        <w:t>Rights</w:t>
      </w:r>
      <w:r w:rsidR="0062350D">
        <w:t xml:space="preserve"> </w:t>
      </w:r>
      <w:r w:rsidRPr="0062350D">
        <w:t>Committee,</w:t>
      </w:r>
      <w:r w:rsidR="0062350D">
        <w:t xml:space="preserve"> </w:t>
      </w:r>
      <w:r w:rsidRPr="0062350D">
        <w:t>acting</w:t>
      </w:r>
      <w:r w:rsidR="0062350D">
        <w:t xml:space="preserve"> </w:t>
      </w:r>
      <w:r w:rsidRPr="0062350D">
        <w:t>under</w:t>
      </w:r>
      <w:r w:rsidR="0062350D">
        <w:t xml:space="preserve"> </w:t>
      </w:r>
      <w:r w:rsidRPr="0062350D">
        <w:t>article</w:t>
      </w:r>
      <w:r w:rsidR="0062350D">
        <w:t xml:space="preserve"> </w:t>
      </w:r>
      <w:r w:rsidRPr="0062350D">
        <w:t>5</w:t>
      </w:r>
      <w:r w:rsidR="0062350D">
        <w:t xml:space="preserve"> </w:t>
      </w:r>
      <w:r w:rsidRPr="0062350D">
        <w:t>(4)</w:t>
      </w:r>
      <w:r w:rsidR="0062350D">
        <w:t xml:space="preserve"> </w:t>
      </w:r>
      <w:r w:rsidRPr="0062350D">
        <w:t>of</w:t>
      </w:r>
      <w:r w:rsidR="0062350D">
        <w:t xml:space="preserve"> </w:t>
      </w:r>
      <w:r w:rsidRPr="0062350D">
        <w:t>the</w:t>
      </w:r>
      <w:r w:rsidR="0062350D">
        <w:t xml:space="preserve"> </w:t>
      </w:r>
      <w:r w:rsidRPr="0062350D">
        <w:t>Optional</w:t>
      </w:r>
      <w:r w:rsidR="0062350D">
        <w:t xml:space="preserve"> </w:t>
      </w:r>
      <w:r w:rsidRPr="0062350D">
        <w:t>Protocol</w:t>
      </w:r>
      <w:r w:rsidR="0062350D">
        <w:t xml:space="preserve"> </w:t>
      </w:r>
      <w:r w:rsidRPr="0062350D">
        <w:t>to</w:t>
      </w:r>
      <w:r w:rsidR="0062350D">
        <w:t xml:space="preserve"> </w:t>
      </w:r>
      <w:r w:rsidRPr="0062350D">
        <w:t>the</w:t>
      </w:r>
      <w:r w:rsidR="0062350D">
        <w:t xml:space="preserve"> </w:t>
      </w:r>
      <w:r w:rsidRPr="0062350D">
        <w:t>International</w:t>
      </w:r>
      <w:r w:rsidR="0062350D">
        <w:t xml:space="preserve"> </w:t>
      </w:r>
      <w:r w:rsidRPr="0062350D">
        <w:t>Covenant</w:t>
      </w:r>
      <w:r w:rsidR="0062350D">
        <w:t xml:space="preserve"> </w:t>
      </w:r>
      <w:r w:rsidRPr="0062350D">
        <w:t>on</w:t>
      </w:r>
      <w:r w:rsidR="0062350D">
        <w:t xml:space="preserve"> </w:t>
      </w:r>
      <w:r w:rsidRPr="0062350D">
        <w:t>Civil</w:t>
      </w:r>
      <w:r w:rsidR="0062350D">
        <w:t xml:space="preserve"> </w:t>
      </w:r>
      <w:r w:rsidRPr="0062350D">
        <w:t>and</w:t>
      </w:r>
      <w:r w:rsidR="0062350D">
        <w:t xml:space="preserve"> </w:t>
      </w:r>
      <w:r w:rsidRPr="0062350D">
        <w:t>Political</w:t>
      </w:r>
      <w:r w:rsidR="0062350D">
        <w:t xml:space="preserve"> </w:t>
      </w:r>
      <w:r w:rsidRPr="0062350D">
        <w:t>Rights,</w:t>
      </w:r>
      <w:r w:rsidR="0062350D">
        <w:t xml:space="preserve"> </w:t>
      </w:r>
      <w:r w:rsidRPr="0062350D">
        <w:t>is</w:t>
      </w:r>
      <w:r w:rsidR="0062350D">
        <w:t xml:space="preserve"> </w:t>
      </w:r>
      <w:r w:rsidRPr="0062350D">
        <w:t>of</w:t>
      </w:r>
      <w:r w:rsidR="0062350D">
        <w:t xml:space="preserve"> </w:t>
      </w:r>
      <w:r w:rsidRPr="0062350D">
        <w:t>the</w:t>
      </w:r>
      <w:r w:rsidR="0062350D">
        <w:t xml:space="preserve"> </w:t>
      </w:r>
      <w:r w:rsidRPr="0062350D">
        <w:t>view</w:t>
      </w:r>
      <w:r w:rsidR="0062350D">
        <w:t xml:space="preserve"> </w:t>
      </w:r>
      <w:r w:rsidRPr="0062350D">
        <w:t>that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violated</w:t>
      </w:r>
      <w:r w:rsidR="0062350D">
        <w:t xml:space="preserve"> </w:t>
      </w:r>
      <w:r w:rsidRPr="0062350D">
        <w:t>the</w:t>
      </w:r>
      <w:r w:rsidR="0062350D">
        <w:t xml:space="preserve"> </w:t>
      </w:r>
      <w:r w:rsidRPr="0062350D">
        <w:t>authors</w:t>
      </w:r>
      <w:r w:rsidR="0062350D" w:rsidRPr="0062350D">
        <w:t>’</w:t>
      </w:r>
      <w:r w:rsidR="0062350D">
        <w:t xml:space="preserve"> </w:t>
      </w:r>
      <w:r w:rsidRPr="0062350D">
        <w:t>rights</w:t>
      </w:r>
      <w:r w:rsidR="0062350D">
        <w:t xml:space="preserve"> </w:t>
      </w:r>
      <w:r w:rsidRPr="0062350D">
        <w:t>under</w:t>
      </w:r>
      <w:r w:rsidR="0062350D">
        <w:t xml:space="preserve"> </w:t>
      </w:r>
      <w:r w:rsidRPr="0062350D">
        <w:t>article</w:t>
      </w:r>
      <w:r w:rsidR="0062350D">
        <w:t xml:space="preserve"> </w:t>
      </w:r>
      <w:r w:rsidRPr="0062350D">
        <w:t>9</w:t>
      </w:r>
      <w:r w:rsidR="0062350D">
        <w:t xml:space="preserve"> </w:t>
      </w:r>
      <w:r w:rsidRPr="0062350D">
        <w:t>(1)</w:t>
      </w:r>
      <w:r w:rsidR="0062350D">
        <w:t xml:space="preserve"> </w:t>
      </w:r>
      <w:r w:rsidRPr="0062350D">
        <w:t>and</w:t>
      </w:r>
      <w:r w:rsidR="0062350D">
        <w:t xml:space="preserve"> </w:t>
      </w:r>
      <w:r w:rsidRPr="0062350D">
        <w:t>(4)</w:t>
      </w:r>
      <w:r w:rsidR="0062350D">
        <w:t xml:space="preserve"> </w:t>
      </w:r>
      <w:r w:rsidRPr="0062350D">
        <w:t>and</w:t>
      </w:r>
      <w:r w:rsidR="0062350D">
        <w:t xml:space="preserve"> </w:t>
      </w:r>
      <w:r w:rsidRPr="0062350D">
        <w:t>article</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p>
    <w:p w14:paraId="58DCE896" w14:textId="0A8DE327" w:rsidR="007F12C3" w:rsidRPr="0062350D" w:rsidRDefault="007F12C3" w:rsidP="005D6A3F">
      <w:pPr>
        <w:pStyle w:val="SingleTxtG"/>
      </w:pPr>
      <w:r w:rsidRPr="0062350D">
        <w:t>10.</w:t>
      </w:r>
      <w:r w:rsidRPr="0062350D">
        <w:tab/>
        <w:t>In</w:t>
      </w:r>
      <w:r w:rsidR="0062350D">
        <w:t xml:space="preserve"> </w:t>
      </w:r>
      <w:r w:rsidRPr="0062350D">
        <w:t>accordance</w:t>
      </w:r>
      <w:r w:rsidR="0062350D">
        <w:t xml:space="preserve"> </w:t>
      </w:r>
      <w:r w:rsidRPr="0062350D">
        <w:t>with</w:t>
      </w:r>
      <w:r w:rsidR="0062350D">
        <w:t xml:space="preserve"> </w:t>
      </w:r>
      <w:r w:rsidRPr="0062350D">
        <w:t>article</w:t>
      </w:r>
      <w:r w:rsidR="0062350D">
        <w:t xml:space="preserve"> </w:t>
      </w:r>
      <w:r w:rsidRPr="0062350D">
        <w:t>2</w:t>
      </w:r>
      <w:r w:rsidR="0062350D">
        <w:t xml:space="preserve"> </w:t>
      </w:r>
      <w:r w:rsidRPr="0062350D">
        <w:t>(3)</w:t>
      </w:r>
      <w:r w:rsidR="0062350D">
        <w:t xml:space="preserve"> </w:t>
      </w:r>
      <w:r w:rsidRPr="0062350D">
        <w:t>(a)</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is</w:t>
      </w:r>
      <w:r w:rsidR="0062350D">
        <w:t xml:space="preserve"> </w:t>
      </w:r>
      <w:r w:rsidRPr="0062350D">
        <w:t>under</w:t>
      </w:r>
      <w:r w:rsidR="0062350D">
        <w:t xml:space="preserve"> </w:t>
      </w:r>
      <w:r w:rsidRPr="0062350D">
        <w:t>an</w:t>
      </w:r>
      <w:r w:rsidR="0062350D">
        <w:t xml:space="preserve"> </w:t>
      </w:r>
      <w:r w:rsidRPr="0062350D">
        <w:t>obligation</w:t>
      </w:r>
      <w:r w:rsidR="0062350D">
        <w:t xml:space="preserve"> </w:t>
      </w:r>
      <w:r w:rsidRPr="0062350D">
        <w:t>to</w:t>
      </w:r>
      <w:r w:rsidR="0062350D">
        <w:t xml:space="preserve"> </w:t>
      </w:r>
      <w:r w:rsidRPr="0062350D">
        <w:t>provide</w:t>
      </w:r>
      <w:r w:rsidR="0062350D">
        <w:t xml:space="preserve"> </w:t>
      </w:r>
      <w:r w:rsidRPr="0062350D">
        <w:t>the</w:t>
      </w:r>
      <w:r w:rsidR="0062350D">
        <w:t xml:space="preserve"> </w:t>
      </w:r>
      <w:r w:rsidRPr="0062350D">
        <w:t>authors</w:t>
      </w:r>
      <w:r w:rsidR="0062350D">
        <w:t xml:space="preserve"> </w:t>
      </w:r>
      <w:r w:rsidRPr="0062350D">
        <w:t>with</w:t>
      </w:r>
      <w:r w:rsidR="0062350D">
        <w:t xml:space="preserve"> </w:t>
      </w:r>
      <w:r w:rsidRPr="0062350D">
        <w:t>an</w:t>
      </w:r>
      <w:r w:rsidR="0062350D">
        <w:t xml:space="preserve"> </w:t>
      </w:r>
      <w:r w:rsidRPr="0062350D">
        <w:t>effective</w:t>
      </w:r>
      <w:r w:rsidR="0062350D">
        <w:t xml:space="preserve"> </w:t>
      </w:r>
      <w:r w:rsidRPr="0062350D">
        <w:t>remedy.</w:t>
      </w:r>
      <w:r w:rsidR="0062350D">
        <w:t xml:space="preserve"> </w:t>
      </w:r>
      <w:r w:rsidRPr="0062350D">
        <w:t>This</w:t>
      </w:r>
      <w:r w:rsidR="0062350D">
        <w:t xml:space="preserve"> </w:t>
      </w:r>
      <w:r w:rsidRPr="0062350D">
        <w:t>requires</w:t>
      </w:r>
      <w:r w:rsidR="0062350D">
        <w:t xml:space="preserve"> </w:t>
      </w:r>
      <w:r w:rsidRPr="0062350D">
        <w:t>it</w:t>
      </w:r>
      <w:r w:rsidR="0062350D">
        <w:t xml:space="preserve"> </w:t>
      </w:r>
      <w:r w:rsidRPr="0062350D">
        <w:t>to</w:t>
      </w:r>
      <w:r w:rsidR="0062350D">
        <w:t xml:space="preserve"> </w:t>
      </w:r>
      <w:r w:rsidRPr="0062350D">
        <w:t>make</w:t>
      </w:r>
      <w:r w:rsidR="0062350D">
        <w:t xml:space="preserve"> </w:t>
      </w:r>
      <w:r w:rsidRPr="0062350D">
        <w:t>full</w:t>
      </w:r>
      <w:r w:rsidR="0062350D">
        <w:t xml:space="preserve"> </w:t>
      </w:r>
      <w:r w:rsidRPr="0062350D">
        <w:t>reparation</w:t>
      </w:r>
      <w:r w:rsidR="0062350D">
        <w:t xml:space="preserve"> </w:t>
      </w:r>
      <w:r w:rsidRPr="0062350D">
        <w:t>to</w:t>
      </w:r>
      <w:r w:rsidR="0062350D">
        <w:t xml:space="preserve"> </w:t>
      </w:r>
      <w:r w:rsidRPr="0062350D">
        <w:t>individuals</w:t>
      </w:r>
      <w:r w:rsidR="0062350D">
        <w:t xml:space="preserve"> </w:t>
      </w:r>
      <w:r w:rsidRPr="0062350D">
        <w:t>whose</w:t>
      </w:r>
      <w:r w:rsidR="0062350D">
        <w:t xml:space="preserve"> </w:t>
      </w:r>
      <w:r w:rsidRPr="0062350D">
        <w:t>Covenant</w:t>
      </w:r>
      <w:r w:rsidR="0062350D">
        <w:t xml:space="preserve"> </w:t>
      </w:r>
      <w:r w:rsidRPr="0062350D">
        <w:t>rights</w:t>
      </w:r>
      <w:r w:rsidR="0062350D">
        <w:t xml:space="preserve"> </w:t>
      </w:r>
      <w:r w:rsidRPr="0062350D">
        <w:t>have</w:t>
      </w:r>
      <w:r w:rsidR="0062350D">
        <w:t xml:space="preserve"> </w:t>
      </w:r>
      <w:r w:rsidRPr="0062350D">
        <w:t>been</w:t>
      </w:r>
      <w:r w:rsidR="0062350D">
        <w:t xml:space="preserve"> </w:t>
      </w:r>
      <w:r w:rsidRPr="0062350D">
        <w:t>violated.</w:t>
      </w:r>
      <w:r w:rsidR="0062350D">
        <w:t xml:space="preserve"> </w:t>
      </w:r>
      <w:r w:rsidRPr="0062350D">
        <w:t>Accordingly,</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is</w:t>
      </w:r>
      <w:r w:rsidR="0062350D">
        <w:t xml:space="preserve"> </w:t>
      </w:r>
      <w:r w:rsidRPr="0062350D">
        <w:t>obligated,</w:t>
      </w:r>
      <w:r w:rsidR="0062350D">
        <w:t xml:space="preserve"> </w:t>
      </w:r>
      <w:r w:rsidRPr="0062350D">
        <w:t>inter</w:t>
      </w:r>
      <w:r w:rsidR="0062350D">
        <w:t xml:space="preserve"> </w:t>
      </w:r>
      <w:r w:rsidRPr="0062350D">
        <w:t>alia,</w:t>
      </w:r>
      <w:r w:rsidR="0062350D">
        <w:t xml:space="preserve"> </w:t>
      </w:r>
      <w:r w:rsidRPr="0062350D">
        <w:t>to</w:t>
      </w:r>
      <w:r w:rsidR="0062350D">
        <w:t xml:space="preserve"> </w:t>
      </w:r>
      <w:r w:rsidRPr="0062350D">
        <w:t>provide</w:t>
      </w:r>
      <w:r w:rsidR="0062350D">
        <w:t xml:space="preserve"> </w:t>
      </w:r>
      <w:r w:rsidRPr="0062350D">
        <w:t>the</w:t>
      </w:r>
      <w:r w:rsidR="0062350D">
        <w:t xml:space="preserve"> </w:t>
      </w:r>
      <w:r w:rsidRPr="0062350D">
        <w:t>authors</w:t>
      </w:r>
      <w:r w:rsidR="0062350D">
        <w:t xml:space="preserve"> </w:t>
      </w:r>
      <w:r w:rsidRPr="0062350D">
        <w:t>with</w:t>
      </w:r>
      <w:r w:rsidR="0062350D">
        <w:t xml:space="preserve"> </w:t>
      </w:r>
      <w:r w:rsidRPr="0062350D">
        <w:t>adequate</w:t>
      </w:r>
      <w:r w:rsidR="0062350D">
        <w:t xml:space="preserve"> </w:t>
      </w:r>
      <w:r w:rsidRPr="0062350D">
        <w:t>compensation.</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is</w:t>
      </w:r>
      <w:r w:rsidR="0062350D">
        <w:t xml:space="preserve"> </w:t>
      </w:r>
      <w:r w:rsidRPr="0062350D">
        <w:t>also</w:t>
      </w:r>
      <w:r w:rsidR="0062350D">
        <w:t xml:space="preserve"> </w:t>
      </w:r>
      <w:r w:rsidRPr="0062350D">
        <w:t>under</w:t>
      </w:r>
      <w:r w:rsidR="0062350D">
        <w:t xml:space="preserve"> </w:t>
      </w:r>
      <w:r w:rsidRPr="0062350D">
        <w:t>an</w:t>
      </w:r>
      <w:r w:rsidR="0062350D">
        <w:t xml:space="preserve"> </w:t>
      </w:r>
      <w:r w:rsidRPr="0062350D">
        <w:t>obligation</w:t>
      </w:r>
      <w:r w:rsidR="0062350D">
        <w:t xml:space="preserve"> </w:t>
      </w:r>
      <w:r w:rsidRPr="0062350D">
        <w:t>to</w:t>
      </w:r>
      <w:r w:rsidR="0062350D">
        <w:t xml:space="preserve"> </w:t>
      </w:r>
      <w:r w:rsidRPr="0062350D">
        <w:t>take</w:t>
      </w:r>
      <w:r w:rsidR="0062350D">
        <w:t xml:space="preserve"> </w:t>
      </w:r>
      <w:r w:rsidRPr="0062350D">
        <w:t>steps</w:t>
      </w:r>
      <w:r w:rsidR="0062350D">
        <w:t xml:space="preserve"> </w:t>
      </w:r>
      <w:r w:rsidRPr="0062350D">
        <w:t>to</w:t>
      </w:r>
      <w:r w:rsidR="0062350D">
        <w:t xml:space="preserve"> </w:t>
      </w:r>
      <w:r w:rsidRPr="0062350D">
        <w:t>prevent</w:t>
      </w:r>
      <w:r w:rsidR="0062350D">
        <w:t xml:space="preserve"> </w:t>
      </w:r>
      <w:r w:rsidRPr="0062350D">
        <w:t>similar</w:t>
      </w:r>
      <w:r w:rsidR="0062350D">
        <w:t xml:space="preserve"> </w:t>
      </w:r>
      <w:r w:rsidRPr="0062350D">
        <w:t>violations</w:t>
      </w:r>
      <w:r w:rsidR="0062350D">
        <w:t xml:space="preserve"> </w:t>
      </w:r>
      <w:r w:rsidRPr="0062350D">
        <w:t>in</w:t>
      </w:r>
      <w:r w:rsidR="0062350D">
        <w:t xml:space="preserve"> </w:t>
      </w:r>
      <w:r w:rsidRPr="0062350D">
        <w:t>the</w:t>
      </w:r>
      <w:r w:rsidR="0062350D">
        <w:t xml:space="preserve"> </w:t>
      </w:r>
      <w:r w:rsidRPr="0062350D">
        <w:t>future.</w:t>
      </w:r>
      <w:r w:rsidR="0062350D">
        <w:t xml:space="preserve"> </w:t>
      </w:r>
      <w:r w:rsidRPr="0062350D">
        <w:t>In</w:t>
      </w:r>
      <w:r w:rsidR="0062350D">
        <w:t xml:space="preserve"> </w:t>
      </w:r>
      <w:r w:rsidRPr="0062350D">
        <w:t>this</w:t>
      </w:r>
      <w:r w:rsidR="0062350D">
        <w:t xml:space="preserve"> </w:t>
      </w:r>
      <w:r w:rsidRPr="0062350D">
        <w:t>connection,</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should</w:t>
      </w:r>
      <w:r w:rsidR="0062350D">
        <w:t xml:space="preserve"> </w:t>
      </w:r>
      <w:r w:rsidRPr="0062350D">
        <w:t>review</w:t>
      </w:r>
      <w:r w:rsidR="0062350D">
        <w:t xml:space="preserve"> </w:t>
      </w:r>
      <w:r w:rsidRPr="0062350D">
        <w:t>its</w:t>
      </w:r>
      <w:r w:rsidR="0062350D">
        <w:t xml:space="preserve"> </w:t>
      </w:r>
      <w:r w:rsidRPr="0062350D">
        <w:t>migration</w:t>
      </w:r>
      <w:r w:rsidR="0062350D">
        <w:t xml:space="preserve"> </w:t>
      </w:r>
      <w:r w:rsidRPr="0062350D">
        <w:t>legislation</w:t>
      </w:r>
      <w:r w:rsidR="0062350D">
        <w:t xml:space="preserve"> </w:t>
      </w:r>
      <w:r w:rsidRPr="0062350D">
        <w:t>and</w:t>
      </w:r>
      <w:r w:rsidR="0062350D">
        <w:t xml:space="preserve"> </w:t>
      </w:r>
      <w:r w:rsidRPr="0062350D">
        <w:t>policies</w:t>
      </w:r>
      <w:r w:rsidR="0062350D">
        <w:t xml:space="preserve"> </w:t>
      </w:r>
      <w:r w:rsidRPr="0062350D">
        <w:t>to</w:t>
      </w:r>
      <w:r w:rsidR="0062350D">
        <w:t xml:space="preserve"> </w:t>
      </w:r>
      <w:r w:rsidRPr="0062350D">
        <w:t>ensure</w:t>
      </w:r>
      <w:r w:rsidR="0062350D">
        <w:t xml:space="preserve"> </w:t>
      </w:r>
      <w:r w:rsidRPr="0062350D">
        <w:t>their</w:t>
      </w:r>
      <w:r w:rsidR="0062350D">
        <w:t xml:space="preserve"> </w:t>
      </w:r>
      <w:r w:rsidRPr="0062350D">
        <w:t>conformity</w:t>
      </w:r>
      <w:r w:rsidR="0062350D">
        <w:t xml:space="preserve"> </w:t>
      </w:r>
      <w:r w:rsidRPr="0062350D">
        <w:t>with</w:t>
      </w:r>
      <w:r w:rsidR="0062350D">
        <w:t xml:space="preserve"> </w:t>
      </w:r>
      <w:r w:rsidRPr="0062350D">
        <w:t>the</w:t>
      </w:r>
      <w:r w:rsidR="0062350D">
        <w:t xml:space="preserve"> </w:t>
      </w:r>
      <w:r w:rsidRPr="0062350D">
        <w:t>requirements</w:t>
      </w:r>
      <w:r w:rsidR="0062350D">
        <w:t xml:space="preserve"> </w:t>
      </w:r>
      <w:r w:rsidRPr="0062350D">
        <w:t>of</w:t>
      </w:r>
      <w:r w:rsidR="0062350D">
        <w:t xml:space="preserve"> </w:t>
      </w:r>
      <w:r w:rsidRPr="0062350D">
        <w:t>articles</w:t>
      </w:r>
      <w:r w:rsidR="0062350D">
        <w:t xml:space="preserve"> </w:t>
      </w:r>
      <w:r w:rsidRPr="0062350D">
        <w:t>9</w:t>
      </w:r>
      <w:r w:rsidR="0062350D">
        <w:t xml:space="preserve"> </w:t>
      </w:r>
      <w:r w:rsidRPr="0062350D">
        <w:t>and</w:t>
      </w:r>
      <w:r w:rsidR="0062350D">
        <w:t xml:space="preserve"> </w:t>
      </w:r>
      <w:r w:rsidRPr="0062350D">
        <w:t>24</w:t>
      </w:r>
      <w:r w:rsidR="0062350D">
        <w:t xml:space="preserve"> </w:t>
      </w:r>
      <w:r w:rsidRPr="0062350D">
        <w:t>of</w:t>
      </w:r>
      <w:r w:rsidR="0062350D">
        <w:t xml:space="preserve"> </w:t>
      </w:r>
      <w:r w:rsidRPr="0062350D">
        <w:t>the</w:t>
      </w:r>
      <w:r w:rsidR="0062350D">
        <w:t xml:space="preserve"> </w:t>
      </w:r>
      <w:r w:rsidRPr="0062350D">
        <w:t>Covenant.</w:t>
      </w:r>
    </w:p>
    <w:p w14:paraId="2DD3BA27" w14:textId="40E2A1F6" w:rsidR="007F12C3" w:rsidRPr="0062350D" w:rsidRDefault="007F12C3" w:rsidP="005D6A3F">
      <w:pPr>
        <w:pStyle w:val="SingleTxtG"/>
      </w:pPr>
      <w:r w:rsidRPr="0062350D">
        <w:t>11.</w:t>
      </w:r>
      <w:r w:rsidRPr="0062350D">
        <w:tab/>
        <w:t>Bearing</w:t>
      </w:r>
      <w:r w:rsidR="0062350D">
        <w:t xml:space="preserve"> </w:t>
      </w:r>
      <w:r w:rsidRPr="0062350D">
        <w:t>in</w:t>
      </w:r>
      <w:r w:rsidR="0062350D">
        <w:t xml:space="preserve"> </w:t>
      </w:r>
      <w:r w:rsidRPr="0062350D">
        <w:t>mind</w:t>
      </w:r>
      <w:r w:rsidR="0062350D">
        <w:t xml:space="preserve"> </w:t>
      </w:r>
      <w:r w:rsidRPr="0062350D">
        <w:t>that,</w:t>
      </w:r>
      <w:r w:rsidR="0062350D">
        <w:t xml:space="preserve"> </w:t>
      </w:r>
      <w:r w:rsidRPr="0062350D">
        <w:t>by</w:t>
      </w:r>
      <w:r w:rsidR="0062350D">
        <w:t xml:space="preserve"> </w:t>
      </w:r>
      <w:r w:rsidRPr="0062350D">
        <w:t>becoming</w:t>
      </w:r>
      <w:r w:rsidR="0062350D">
        <w:t xml:space="preserve"> </w:t>
      </w:r>
      <w:r w:rsidRPr="0062350D">
        <w:t>a</w:t>
      </w:r>
      <w:r w:rsidR="0062350D">
        <w:t xml:space="preserve"> </w:t>
      </w:r>
      <w:r w:rsidRPr="0062350D">
        <w:t>party</w:t>
      </w:r>
      <w:r w:rsidR="0062350D">
        <w:t xml:space="preserve"> </w:t>
      </w:r>
      <w:r w:rsidRPr="0062350D">
        <w:t>to</w:t>
      </w:r>
      <w:r w:rsidR="0062350D">
        <w:t xml:space="preserve"> </w:t>
      </w:r>
      <w:r w:rsidRPr="0062350D">
        <w:t>the</w:t>
      </w:r>
      <w:r w:rsidR="0062350D">
        <w:t xml:space="preserve"> </w:t>
      </w:r>
      <w:r w:rsidRPr="0062350D">
        <w:t>Optional</w:t>
      </w:r>
      <w:r w:rsidR="0062350D">
        <w:t xml:space="preserve"> </w:t>
      </w:r>
      <w:r w:rsidRPr="0062350D">
        <w:t>Protocol,</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recognized</w:t>
      </w:r>
      <w:r w:rsidR="0062350D">
        <w:t xml:space="preserve"> </w:t>
      </w:r>
      <w:r w:rsidRPr="0062350D">
        <w:t>the</w:t>
      </w:r>
      <w:r w:rsidR="0062350D">
        <w:t xml:space="preserve"> </w:t>
      </w:r>
      <w:r w:rsidRPr="0062350D">
        <w:t>competence</w:t>
      </w:r>
      <w:r w:rsidR="0062350D">
        <w:t xml:space="preserve"> </w:t>
      </w:r>
      <w:r w:rsidRPr="0062350D">
        <w:t>of</w:t>
      </w:r>
      <w:r w:rsidR="0062350D">
        <w:t xml:space="preserve"> </w:t>
      </w:r>
      <w:r w:rsidRPr="0062350D">
        <w:t>the</w:t>
      </w:r>
      <w:r w:rsidR="0062350D">
        <w:t xml:space="preserve"> </w:t>
      </w:r>
      <w:r w:rsidRPr="0062350D">
        <w:t>Committee</w:t>
      </w:r>
      <w:r w:rsidR="0062350D">
        <w:t xml:space="preserve"> </w:t>
      </w:r>
      <w:r w:rsidRPr="0062350D">
        <w:t>to</w:t>
      </w:r>
      <w:r w:rsidR="0062350D">
        <w:t xml:space="preserve"> </w:t>
      </w:r>
      <w:r w:rsidRPr="0062350D">
        <w:t>determine</w:t>
      </w:r>
      <w:r w:rsidR="0062350D">
        <w:t xml:space="preserve"> </w:t>
      </w:r>
      <w:r w:rsidRPr="0062350D">
        <w:t>whether</w:t>
      </w:r>
      <w:r w:rsidR="0062350D">
        <w:t xml:space="preserve"> </w:t>
      </w:r>
      <w:r w:rsidRPr="0062350D">
        <w:t>there</w:t>
      </w:r>
      <w:r w:rsidR="0062350D">
        <w:t xml:space="preserve"> </w:t>
      </w:r>
      <w:r w:rsidRPr="0062350D">
        <w:t>has</w:t>
      </w:r>
      <w:r w:rsidR="0062350D">
        <w:t xml:space="preserve"> </w:t>
      </w:r>
      <w:r w:rsidRPr="0062350D">
        <w:t>been</w:t>
      </w:r>
      <w:r w:rsidR="0062350D">
        <w:t xml:space="preserve"> </w:t>
      </w:r>
      <w:r w:rsidRPr="0062350D">
        <w:t>a</w:t>
      </w:r>
      <w:r w:rsidR="0062350D">
        <w:t xml:space="preserve"> </w:t>
      </w:r>
      <w:r w:rsidRPr="0062350D">
        <w:t>violation</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or</w:t>
      </w:r>
      <w:r w:rsidR="0062350D">
        <w:t xml:space="preserve"> </w:t>
      </w:r>
      <w:r w:rsidRPr="0062350D">
        <w:t>not</w:t>
      </w:r>
      <w:r w:rsidR="0062350D">
        <w:t xml:space="preserve"> </w:t>
      </w:r>
      <w:r w:rsidRPr="0062350D">
        <w:t>and</w:t>
      </w:r>
      <w:r w:rsidR="0062350D">
        <w:t xml:space="preserve"> </w:t>
      </w:r>
      <w:r w:rsidRPr="0062350D">
        <w:t>that,</w:t>
      </w:r>
      <w:r w:rsidR="0062350D">
        <w:t xml:space="preserve"> </w:t>
      </w:r>
      <w:r w:rsidRPr="0062350D">
        <w:t>pursuant</w:t>
      </w:r>
      <w:r w:rsidR="0062350D">
        <w:t xml:space="preserve"> </w:t>
      </w:r>
      <w:r w:rsidRPr="0062350D">
        <w:t>to</w:t>
      </w:r>
      <w:r w:rsidR="0062350D">
        <w:t xml:space="preserve"> </w:t>
      </w:r>
      <w:r w:rsidRPr="0062350D">
        <w:t>article</w:t>
      </w:r>
      <w:r w:rsidR="0062350D">
        <w:t xml:space="preserve"> </w:t>
      </w:r>
      <w:r w:rsidRPr="0062350D">
        <w:t>2</w:t>
      </w:r>
      <w:r w:rsidR="0062350D">
        <w:t xml:space="preserve"> </w:t>
      </w:r>
      <w:r w:rsidRPr="0062350D">
        <w:t>of</w:t>
      </w:r>
      <w:r w:rsidR="0062350D">
        <w:t xml:space="preserve"> </w:t>
      </w:r>
      <w:r w:rsidRPr="0062350D">
        <w:t>the</w:t>
      </w:r>
      <w:r w:rsidR="0062350D">
        <w:t xml:space="preserve"> </w:t>
      </w:r>
      <w:r w:rsidRPr="0062350D">
        <w:t>Covenant,</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has</w:t>
      </w:r>
      <w:r w:rsidR="0062350D">
        <w:t xml:space="preserve"> </w:t>
      </w:r>
      <w:r w:rsidRPr="0062350D">
        <w:t>undertaken</w:t>
      </w:r>
      <w:r w:rsidR="0062350D">
        <w:t xml:space="preserve"> </w:t>
      </w:r>
      <w:r w:rsidRPr="0062350D">
        <w:t>to</w:t>
      </w:r>
      <w:r w:rsidR="0062350D">
        <w:t xml:space="preserve"> </w:t>
      </w:r>
      <w:r w:rsidRPr="0062350D">
        <w:t>ensure</w:t>
      </w:r>
      <w:r w:rsidR="0062350D">
        <w:t xml:space="preserve"> </w:t>
      </w:r>
      <w:r w:rsidRPr="0062350D">
        <w:t>to</w:t>
      </w:r>
      <w:r w:rsidR="0062350D">
        <w:t xml:space="preserve"> </w:t>
      </w:r>
      <w:r w:rsidRPr="0062350D">
        <w:t>all</w:t>
      </w:r>
      <w:r w:rsidR="0062350D">
        <w:t xml:space="preserve"> </w:t>
      </w:r>
      <w:r w:rsidRPr="0062350D">
        <w:t>individuals</w:t>
      </w:r>
      <w:r w:rsidR="0062350D">
        <w:t xml:space="preserve"> </w:t>
      </w:r>
      <w:r w:rsidRPr="0062350D">
        <w:t>within</w:t>
      </w:r>
      <w:r w:rsidR="0062350D">
        <w:t xml:space="preserve"> </w:t>
      </w:r>
      <w:r w:rsidRPr="0062350D">
        <w:t>its</w:t>
      </w:r>
      <w:r w:rsidR="0062350D">
        <w:t xml:space="preserve"> </w:t>
      </w:r>
      <w:r w:rsidRPr="0062350D">
        <w:t>territory</w:t>
      </w:r>
      <w:r w:rsidR="0062350D">
        <w:t xml:space="preserve"> </w:t>
      </w:r>
      <w:r w:rsidRPr="0062350D">
        <w:t>and</w:t>
      </w:r>
      <w:r w:rsidR="0062350D">
        <w:t xml:space="preserve"> </w:t>
      </w:r>
      <w:r w:rsidRPr="0062350D">
        <w:t>subject</w:t>
      </w:r>
      <w:r w:rsidR="0062350D">
        <w:t xml:space="preserve"> </w:t>
      </w:r>
      <w:r w:rsidRPr="0062350D">
        <w:t>to</w:t>
      </w:r>
      <w:r w:rsidR="0062350D">
        <w:t xml:space="preserve"> </w:t>
      </w:r>
      <w:r w:rsidRPr="0062350D">
        <w:t>its</w:t>
      </w:r>
      <w:r w:rsidR="0062350D">
        <w:t xml:space="preserve"> </w:t>
      </w:r>
      <w:r w:rsidRPr="0062350D">
        <w:t>jurisdiction</w:t>
      </w:r>
      <w:r w:rsidR="0062350D">
        <w:t xml:space="preserve"> </w:t>
      </w:r>
      <w:r w:rsidRPr="0062350D">
        <w:t>the</w:t>
      </w:r>
      <w:r w:rsidR="0062350D">
        <w:t xml:space="preserve"> </w:t>
      </w:r>
      <w:r w:rsidRPr="0062350D">
        <w:t>rights</w:t>
      </w:r>
      <w:r w:rsidR="0062350D">
        <w:t xml:space="preserve"> </w:t>
      </w:r>
      <w:r w:rsidRPr="0062350D">
        <w:t>recognized</w:t>
      </w:r>
      <w:r w:rsidR="0062350D">
        <w:t xml:space="preserve"> </w:t>
      </w:r>
      <w:r w:rsidRPr="0062350D">
        <w:t>in</w:t>
      </w:r>
      <w:r w:rsidR="0062350D">
        <w:t xml:space="preserve"> </w:t>
      </w:r>
      <w:r w:rsidRPr="0062350D">
        <w:t>the</w:t>
      </w:r>
      <w:r w:rsidR="0062350D">
        <w:t xml:space="preserve"> </w:t>
      </w:r>
      <w:r w:rsidRPr="0062350D">
        <w:t>Covenant</w:t>
      </w:r>
      <w:r w:rsidR="0062350D">
        <w:t xml:space="preserve"> </w:t>
      </w:r>
      <w:r w:rsidRPr="0062350D">
        <w:t>and</w:t>
      </w:r>
      <w:r w:rsidR="0062350D">
        <w:t xml:space="preserve"> </w:t>
      </w:r>
      <w:r w:rsidRPr="0062350D">
        <w:t>to</w:t>
      </w:r>
      <w:r w:rsidR="0062350D">
        <w:t xml:space="preserve"> </w:t>
      </w:r>
      <w:r w:rsidRPr="0062350D">
        <w:t>provide</w:t>
      </w:r>
      <w:r w:rsidR="0062350D">
        <w:t xml:space="preserve"> </w:t>
      </w:r>
      <w:r w:rsidRPr="0062350D">
        <w:t>an</w:t>
      </w:r>
      <w:r w:rsidR="0062350D">
        <w:t xml:space="preserve"> </w:t>
      </w:r>
      <w:r w:rsidRPr="0062350D">
        <w:t>effective</w:t>
      </w:r>
      <w:r w:rsidR="0062350D">
        <w:t xml:space="preserve"> </w:t>
      </w:r>
      <w:r w:rsidRPr="0062350D">
        <w:t>and</w:t>
      </w:r>
      <w:r w:rsidR="0062350D">
        <w:t xml:space="preserve"> </w:t>
      </w:r>
      <w:r w:rsidRPr="0062350D">
        <w:t>enforceable</w:t>
      </w:r>
      <w:r w:rsidR="0062350D">
        <w:t xml:space="preserve"> </w:t>
      </w:r>
      <w:r w:rsidRPr="0062350D">
        <w:t>remedy</w:t>
      </w:r>
      <w:r w:rsidR="0062350D">
        <w:t xml:space="preserve"> </w:t>
      </w:r>
      <w:r w:rsidRPr="0062350D">
        <w:t>when</w:t>
      </w:r>
      <w:r w:rsidR="0062350D">
        <w:t xml:space="preserve"> </w:t>
      </w:r>
      <w:r w:rsidRPr="0062350D">
        <w:t>it</w:t>
      </w:r>
      <w:r w:rsidR="0062350D">
        <w:t xml:space="preserve"> </w:t>
      </w:r>
      <w:r w:rsidRPr="0062350D">
        <w:t>has</w:t>
      </w:r>
      <w:r w:rsidR="0062350D">
        <w:t xml:space="preserve"> </w:t>
      </w:r>
      <w:r w:rsidRPr="0062350D">
        <w:t>been</w:t>
      </w:r>
      <w:r w:rsidR="0062350D">
        <w:t xml:space="preserve"> </w:t>
      </w:r>
      <w:r w:rsidRPr="0062350D">
        <w:t>determined</w:t>
      </w:r>
      <w:r w:rsidR="0062350D">
        <w:t xml:space="preserve"> </w:t>
      </w:r>
      <w:r w:rsidRPr="0062350D">
        <w:t>that</w:t>
      </w:r>
      <w:r w:rsidR="0062350D">
        <w:t xml:space="preserve"> </w:t>
      </w:r>
      <w:r w:rsidRPr="0062350D">
        <w:t>a</w:t>
      </w:r>
      <w:r w:rsidR="0062350D">
        <w:t xml:space="preserve"> </w:t>
      </w:r>
      <w:r w:rsidRPr="0062350D">
        <w:t>violation</w:t>
      </w:r>
      <w:r w:rsidR="0062350D">
        <w:t xml:space="preserve"> </w:t>
      </w:r>
      <w:r w:rsidRPr="0062350D">
        <w:t>has</w:t>
      </w:r>
      <w:r w:rsidR="0062350D">
        <w:t xml:space="preserve"> </w:t>
      </w:r>
      <w:r w:rsidRPr="0062350D">
        <w:t>occurred,</w:t>
      </w:r>
      <w:r w:rsidR="0062350D">
        <w:t xml:space="preserve"> </w:t>
      </w:r>
      <w:r w:rsidRPr="0062350D">
        <w:t>the</w:t>
      </w:r>
      <w:r w:rsidR="0062350D">
        <w:t xml:space="preserve"> </w:t>
      </w:r>
      <w:r w:rsidRPr="0062350D">
        <w:t>Committee</w:t>
      </w:r>
      <w:r w:rsidR="0062350D">
        <w:t xml:space="preserve"> </w:t>
      </w:r>
      <w:r w:rsidRPr="0062350D">
        <w:t>wishes</w:t>
      </w:r>
      <w:r w:rsidR="0062350D">
        <w:t xml:space="preserve"> </w:t>
      </w:r>
      <w:r w:rsidRPr="0062350D">
        <w:t>to</w:t>
      </w:r>
      <w:r w:rsidR="0062350D">
        <w:t xml:space="preserve"> </w:t>
      </w:r>
      <w:r w:rsidRPr="0062350D">
        <w:t>receive</w:t>
      </w:r>
      <w:r w:rsidR="0062350D">
        <w:t xml:space="preserve"> </w:t>
      </w:r>
      <w:r w:rsidRPr="0062350D">
        <w:t>from</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within</w:t>
      </w:r>
      <w:r w:rsidR="0062350D">
        <w:t xml:space="preserve"> </w:t>
      </w:r>
      <w:r w:rsidRPr="0062350D">
        <w:t>180</w:t>
      </w:r>
      <w:r w:rsidR="0062350D">
        <w:t xml:space="preserve"> </w:t>
      </w:r>
      <w:r w:rsidRPr="0062350D">
        <w:t>days,</w:t>
      </w:r>
      <w:r w:rsidR="0062350D">
        <w:t xml:space="preserve"> </w:t>
      </w:r>
      <w:r w:rsidRPr="0062350D">
        <w:t>information</w:t>
      </w:r>
      <w:r w:rsidR="0062350D">
        <w:t xml:space="preserve"> </w:t>
      </w:r>
      <w:r w:rsidRPr="0062350D">
        <w:t>about</w:t>
      </w:r>
      <w:r w:rsidR="0062350D">
        <w:t xml:space="preserve"> </w:t>
      </w:r>
      <w:r w:rsidRPr="0062350D">
        <w:t>the</w:t>
      </w:r>
      <w:r w:rsidR="0062350D">
        <w:t xml:space="preserve"> </w:t>
      </w:r>
      <w:r w:rsidRPr="0062350D">
        <w:t>measures</w:t>
      </w:r>
      <w:r w:rsidR="0062350D">
        <w:t xml:space="preserve"> </w:t>
      </w:r>
      <w:r w:rsidRPr="0062350D">
        <w:t>taken</w:t>
      </w:r>
      <w:r w:rsidR="0062350D">
        <w:t xml:space="preserve"> </w:t>
      </w:r>
      <w:r w:rsidRPr="0062350D">
        <w:t>to</w:t>
      </w:r>
      <w:r w:rsidR="0062350D">
        <w:t xml:space="preserve"> </w:t>
      </w:r>
      <w:r w:rsidRPr="0062350D">
        <w:t>give</w:t>
      </w:r>
      <w:r w:rsidR="0062350D">
        <w:t xml:space="preserve"> </w:t>
      </w:r>
      <w:r w:rsidRPr="0062350D">
        <w:t>effect</w:t>
      </w:r>
      <w:r w:rsidR="0062350D">
        <w:t xml:space="preserve"> </w:t>
      </w:r>
      <w:r w:rsidRPr="0062350D">
        <w:t>to</w:t>
      </w:r>
      <w:r w:rsidR="0062350D">
        <w:t xml:space="preserve"> </w:t>
      </w:r>
      <w:r w:rsidRPr="0062350D">
        <w:t>the</w:t>
      </w:r>
      <w:r w:rsidR="0062350D">
        <w:t xml:space="preserve"> </w:t>
      </w:r>
      <w:r w:rsidRPr="0062350D">
        <w:t>present</w:t>
      </w:r>
      <w:r w:rsidR="0062350D">
        <w:t xml:space="preserve"> </w:t>
      </w:r>
      <w:r w:rsidRPr="0062350D">
        <w:t>Committee</w:t>
      </w:r>
      <w:r w:rsidR="0062350D" w:rsidRPr="0062350D">
        <w:t>’</w:t>
      </w:r>
      <w:r w:rsidRPr="0062350D">
        <w:t>s</w:t>
      </w:r>
      <w:r w:rsidR="0062350D">
        <w:t xml:space="preserve"> </w:t>
      </w:r>
      <w:r w:rsidRPr="0062350D">
        <w:t>Views.</w:t>
      </w:r>
      <w:r w:rsidR="0062350D">
        <w:t xml:space="preserve"> </w:t>
      </w:r>
      <w:r w:rsidRPr="0062350D">
        <w:t>The</w:t>
      </w:r>
      <w:r w:rsidR="0062350D">
        <w:t xml:space="preserve"> </w:t>
      </w:r>
      <w:r w:rsidRPr="0062350D">
        <w:t>State</w:t>
      </w:r>
      <w:r w:rsidR="0062350D">
        <w:t xml:space="preserve"> </w:t>
      </w:r>
      <w:r w:rsidRPr="0062350D">
        <w:t>party</w:t>
      </w:r>
      <w:r w:rsidR="0062350D">
        <w:t xml:space="preserve"> </w:t>
      </w:r>
      <w:r w:rsidRPr="0062350D">
        <w:t>is</w:t>
      </w:r>
      <w:r w:rsidR="0062350D">
        <w:t xml:space="preserve"> </w:t>
      </w:r>
      <w:r w:rsidRPr="0062350D">
        <w:t>also</w:t>
      </w:r>
      <w:r w:rsidR="0062350D">
        <w:t xml:space="preserve"> </w:t>
      </w:r>
      <w:r w:rsidRPr="0062350D">
        <w:t>requested</w:t>
      </w:r>
      <w:r w:rsidR="0062350D">
        <w:t xml:space="preserve"> </w:t>
      </w:r>
      <w:r w:rsidRPr="0062350D">
        <w:t>to</w:t>
      </w:r>
      <w:r w:rsidR="0062350D">
        <w:t xml:space="preserve"> </w:t>
      </w:r>
      <w:r w:rsidRPr="0062350D">
        <w:t>publish</w:t>
      </w:r>
      <w:r w:rsidR="0062350D">
        <w:t xml:space="preserve"> </w:t>
      </w:r>
      <w:r w:rsidRPr="0062350D">
        <w:t>the</w:t>
      </w:r>
      <w:r w:rsidR="0062350D">
        <w:t xml:space="preserve"> </w:t>
      </w:r>
      <w:r w:rsidRPr="0062350D">
        <w:t>present</w:t>
      </w:r>
      <w:r w:rsidR="0062350D">
        <w:t xml:space="preserve"> </w:t>
      </w:r>
      <w:r w:rsidRPr="0062350D">
        <w:t>Views</w:t>
      </w:r>
      <w:r w:rsidR="0062350D">
        <w:t xml:space="preserve"> </w:t>
      </w:r>
      <w:r w:rsidRPr="0062350D">
        <w:t>and</w:t>
      </w:r>
      <w:r w:rsidR="0062350D">
        <w:t xml:space="preserve"> </w:t>
      </w:r>
      <w:r w:rsidRPr="0062350D">
        <w:t>to</w:t>
      </w:r>
      <w:r w:rsidR="0062350D">
        <w:t xml:space="preserve"> </w:t>
      </w:r>
      <w:r w:rsidRPr="0062350D">
        <w:t>have</w:t>
      </w:r>
      <w:r w:rsidR="0062350D">
        <w:t xml:space="preserve"> </w:t>
      </w:r>
      <w:r w:rsidRPr="0062350D">
        <w:t>them</w:t>
      </w:r>
      <w:r w:rsidR="0062350D">
        <w:t xml:space="preserve"> </w:t>
      </w:r>
      <w:r w:rsidRPr="0062350D">
        <w:t>widely</w:t>
      </w:r>
      <w:r w:rsidR="0062350D">
        <w:t xml:space="preserve"> </w:t>
      </w:r>
      <w:r w:rsidRPr="0062350D">
        <w:t>disseminated</w:t>
      </w:r>
      <w:r w:rsidR="0062350D">
        <w:t xml:space="preserve"> </w:t>
      </w:r>
      <w:r w:rsidRPr="0062350D">
        <w:t>in</w:t>
      </w:r>
      <w:r w:rsidR="0062350D">
        <w:t xml:space="preserve"> </w:t>
      </w:r>
      <w:r w:rsidRPr="0062350D">
        <w:t>the</w:t>
      </w:r>
      <w:r w:rsidR="0062350D">
        <w:t xml:space="preserve"> </w:t>
      </w:r>
      <w:r w:rsidRPr="0062350D">
        <w:t>official</w:t>
      </w:r>
      <w:r w:rsidR="0062350D">
        <w:t xml:space="preserve"> </w:t>
      </w:r>
      <w:r w:rsidRPr="0062350D">
        <w:t>language</w:t>
      </w:r>
      <w:r w:rsidR="0062350D">
        <w:t xml:space="preserve"> </w:t>
      </w:r>
      <w:r w:rsidRPr="0062350D">
        <w:t>of</w:t>
      </w:r>
      <w:r w:rsidR="0062350D">
        <w:t xml:space="preserve"> </w:t>
      </w:r>
      <w:r w:rsidRPr="0062350D">
        <w:t>the</w:t>
      </w:r>
      <w:r w:rsidR="0062350D">
        <w:t xml:space="preserve"> </w:t>
      </w:r>
      <w:r w:rsidRPr="0062350D">
        <w:t>State</w:t>
      </w:r>
      <w:r w:rsidR="0062350D">
        <w:t xml:space="preserve"> </w:t>
      </w:r>
      <w:r w:rsidRPr="0062350D">
        <w:t>party.</w:t>
      </w:r>
    </w:p>
    <w:p w14:paraId="4F565B13" w14:textId="3074F589" w:rsidR="0062350D" w:rsidRPr="0062350D" w:rsidRDefault="0062350D" w:rsidP="0062350D">
      <w:pPr>
        <w:spacing w:before="240"/>
        <w:jc w:val="center"/>
        <w:rPr>
          <w:u w:val="single"/>
        </w:rPr>
      </w:pPr>
      <w:r w:rsidRPr="0062350D">
        <w:rPr>
          <w:u w:val="single"/>
        </w:rPr>
        <w:tab/>
      </w:r>
      <w:r w:rsidRPr="0062350D">
        <w:rPr>
          <w:u w:val="single"/>
        </w:rPr>
        <w:tab/>
      </w:r>
      <w:r w:rsidRPr="0062350D">
        <w:rPr>
          <w:u w:val="single"/>
        </w:rPr>
        <w:tab/>
      </w:r>
    </w:p>
    <w:sectPr w:rsidR="0062350D" w:rsidRPr="0062350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8C60" w14:textId="77777777" w:rsidR="007F12C3" w:rsidRPr="00B903E5" w:rsidRDefault="007F12C3" w:rsidP="00B903E5">
      <w:pPr>
        <w:pStyle w:val="Footer"/>
      </w:pPr>
    </w:p>
  </w:endnote>
  <w:endnote w:type="continuationSeparator" w:id="0">
    <w:p w14:paraId="51D81021" w14:textId="77777777" w:rsidR="007F12C3" w:rsidRPr="00B903E5" w:rsidRDefault="007F12C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44D0" w14:textId="71EA30B1" w:rsidR="007F12C3" w:rsidRDefault="007F12C3" w:rsidP="007F12C3">
    <w:pPr>
      <w:pStyle w:val="Footer"/>
      <w:tabs>
        <w:tab w:val="right" w:pos="9638"/>
      </w:tabs>
    </w:pPr>
    <w:r w:rsidRPr="007F12C3">
      <w:rPr>
        <w:b/>
        <w:bCs/>
        <w:sz w:val="18"/>
      </w:rPr>
      <w:fldChar w:fldCharType="begin"/>
    </w:r>
    <w:r w:rsidRPr="007F12C3">
      <w:rPr>
        <w:b/>
        <w:bCs/>
        <w:sz w:val="18"/>
      </w:rPr>
      <w:instrText xml:space="preserve"> PAGE  \* MERGEFORMAT </w:instrText>
    </w:r>
    <w:r w:rsidRPr="007F12C3">
      <w:rPr>
        <w:b/>
        <w:bCs/>
        <w:sz w:val="18"/>
      </w:rPr>
      <w:fldChar w:fldCharType="separate"/>
    </w:r>
    <w:r w:rsidR="003B3539">
      <w:rPr>
        <w:b/>
        <w:bCs/>
        <w:noProof/>
        <w:sz w:val="18"/>
      </w:rPr>
      <w:t>10</w:t>
    </w:r>
    <w:r w:rsidRPr="007F12C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E1CD" w14:textId="4D2FC6DF" w:rsidR="007F12C3" w:rsidRDefault="007F12C3" w:rsidP="007F12C3">
    <w:pPr>
      <w:pStyle w:val="Footer"/>
      <w:tabs>
        <w:tab w:val="right" w:pos="9638"/>
      </w:tabs>
    </w:pPr>
    <w:r>
      <w:tab/>
    </w:r>
    <w:r w:rsidRPr="007F12C3">
      <w:rPr>
        <w:b/>
        <w:bCs/>
        <w:sz w:val="18"/>
      </w:rPr>
      <w:fldChar w:fldCharType="begin"/>
    </w:r>
    <w:r w:rsidRPr="007F12C3">
      <w:rPr>
        <w:b/>
        <w:bCs/>
        <w:sz w:val="18"/>
      </w:rPr>
      <w:instrText xml:space="preserve"> PAGE  \* MERGEFORMAT </w:instrText>
    </w:r>
    <w:r w:rsidRPr="007F12C3">
      <w:rPr>
        <w:b/>
        <w:bCs/>
        <w:sz w:val="18"/>
      </w:rPr>
      <w:fldChar w:fldCharType="separate"/>
    </w:r>
    <w:r w:rsidR="003B3539">
      <w:rPr>
        <w:b/>
        <w:bCs/>
        <w:noProof/>
        <w:sz w:val="18"/>
      </w:rPr>
      <w:t>9</w:t>
    </w:r>
    <w:r w:rsidRPr="007F12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7511" w14:textId="61C5C6BC" w:rsidR="0028412C" w:rsidRDefault="0028412C" w:rsidP="0028412C">
    <w:pPr>
      <w:pStyle w:val="Footer"/>
    </w:pPr>
    <w:r w:rsidRPr="0027112F">
      <w:rPr>
        <w:noProof/>
        <w:lang w:val="en-US"/>
      </w:rPr>
      <w:drawing>
        <wp:anchor distT="0" distB="0" distL="114300" distR="114300" simplePos="0" relativeHeight="251659264" behindDoc="0" locked="1" layoutInCell="1" allowOverlap="1" wp14:anchorId="0B4ECE3A" wp14:editId="694A48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65FCAD" w14:textId="3121BD4E" w:rsidR="0028412C" w:rsidRPr="0028412C" w:rsidRDefault="0028412C" w:rsidP="0028412C">
    <w:pPr>
      <w:pStyle w:val="Footer"/>
      <w:ind w:right="1134"/>
      <w:rPr>
        <w:sz w:val="20"/>
      </w:rPr>
    </w:pPr>
    <w:r>
      <w:rPr>
        <w:sz w:val="20"/>
      </w:rPr>
      <w:t>GE.22-00393(E)</w:t>
    </w:r>
    <w:r>
      <w:rPr>
        <w:noProof/>
        <w:sz w:val="20"/>
      </w:rPr>
      <w:drawing>
        <wp:anchor distT="0" distB="0" distL="114300" distR="114300" simplePos="0" relativeHeight="251660288" behindDoc="0" locked="0" layoutInCell="1" allowOverlap="1" wp14:anchorId="6349E5C6" wp14:editId="1C78A07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0A3E9" w14:textId="77777777" w:rsidR="007F12C3" w:rsidRPr="00B903E5" w:rsidRDefault="007F12C3" w:rsidP="00B903E5">
      <w:pPr>
        <w:tabs>
          <w:tab w:val="right" w:pos="2155"/>
        </w:tabs>
        <w:spacing w:after="80"/>
        <w:ind w:left="680"/>
      </w:pPr>
      <w:r>
        <w:rPr>
          <w:u w:val="single"/>
        </w:rPr>
        <w:tab/>
      </w:r>
    </w:p>
  </w:footnote>
  <w:footnote w:type="continuationSeparator" w:id="0">
    <w:p w14:paraId="55995269" w14:textId="77777777" w:rsidR="007F12C3" w:rsidRPr="00B903E5" w:rsidRDefault="007F12C3" w:rsidP="00B903E5">
      <w:pPr>
        <w:tabs>
          <w:tab w:val="right" w:pos="2155"/>
        </w:tabs>
        <w:spacing w:after="80"/>
        <w:ind w:left="680"/>
      </w:pPr>
      <w:r>
        <w:rPr>
          <w:u w:val="single"/>
        </w:rPr>
        <w:tab/>
      </w:r>
    </w:p>
  </w:footnote>
  <w:footnote w:id="1">
    <w:p w14:paraId="636687AA" w14:textId="54875192" w:rsidR="002024DE" w:rsidRPr="002024DE" w:rsidRDefault="002024DE">
      <w:pPr>
        <w:pStyle w:val="FootnoteText"/>
        <w:rPr>
          <w:lang w:val="en-US"/>
        </w:rPr>
      </w:pPr>
      <w:r>
        <w:rPr>
          <w:rStyle w:val="FootnoteReference"/>
        </w:rPr>
        <w:tab/>
      </w:r>
      <w:r w:rsidRPr="002024DE">
        <w:rPr>
          <w:rStyle w:val="FootnoteReference"/>
          <w:sz w:val="20"/>
          <w:vertAlign w:val="baseline"/>
        </w:rPr>
        <w:t>*</w:t>
      </w:r>
      <w:r>
        <w:rPr>
          <w:rStyle w:val="FootnoteReference"/>
          <w:sz w:val="20"/>
          <w:vertAlign w:val="baseline"/>
        </w:rPr>
        <w:tab/>
      </w:r>
      <w:r w:rsidRPr="002D0239">
        <w:t>Ado</w:t>
      </w:r>
      <w:r>
        <w:t>pted by the Committee at its 132nd session (28 June</w:t>
      </w:r>
      <w:r w:rsidRPr="008513C5">
        <w:t>–</w:t>
      </w:r>
      <w:r w:rsidRPr="00E20EFA">
        <w:t>23</w:t>
      </w:r>
      <w:r>
        <w:t xml:space="preserve"> July </w:t>
      </w:r>
      <w:r w:rsidRPr="002D0239">
        <w:t>2021)</w:t>
      </w:r>
      <w:r>
        <w:t>.</w:t>
      </w:r>
    </w:p>
  </w:footnote>
  <w:footnote w:id="2">
    <w:p w14:paraId="348F7F7A" w14:textId="780D0005" w:rsidR="002024DE" w:rsidRPr="002024DE" w:rsidRDefault="002024DE">
      <w:pPr>
        <w:pStyle w:val="FootnoteText"/>
        <w:rPr>
          <w:lang w:val="en-US"/>
        </w:rPr>
      </w:pPr>
      <w:r>
        <w:rPr>
          <w:rStyle w:val="FootnoteReference"/>
        </w:rPr>
        <w:tab/>
      </w:r>
      <w:r w:rsidRPr="002024DE">
        <w:rPr>
          <w:rStyle w:val="FootnoteReference"/>
          <w:sz w:val="20"/>
          <w:vertAlign w:val="baseline"/>
        </w:rPr>
        <w:t>**</w:t>
      </w:r>
      <w:r>
        <w:rPr>
          <w:rStyle w:val="FootnoteReference"/>
          <w:sz w:val="20"/>
          <w:vertAlign w:val="baseline"/>
        </w:rPr>
        <w:tab/>
      </w:r>
      <w:r w:rsidRPr="00B2629C">
        <w:t>The following members of the Committee participated in the ex</w:t>
      </w:r>
      <w:r>
        <w:t xml:space="preserve">amination of the communication: </w:t>
      </w:r>
      <w:r w:rsidRPr="00A06D1D">
        <w:t>Wafaa Ashraf Moharram</w:t>
      </w:r>
      <w:r>
        <w:t xml:space="preserve"> Bassim, </w:t>
      </w:r>
      <w:r w:rsidRPr="00B2629C">
        <w:t xml:space="preserve">Yadh Ben Achour, </w:t>
      </w:r>
      <w:r>
        <w:t xml:space="preserve">Arif Bulkan, Mahjoub El Haiba, </w:t>
      </w:r>
      <w:r w:rsidRPr="00A06D1D">
        <w:t xml:space="preserve">Carlos </w:t>
      </w:r>
      <w:r>
        <w:t>Gómez</w:t>
      </w:r>
      <w:r w:rsidRPr="00B2629C">
        <w:t xml:space="preserve"> </w:t>
      </w:r>
      <w:r>
        <w:t xml:space="preserve">Martínez, </w:t>
      </w:r>
      <w:r w:rsidRPr="00B2629C">
        <w:t xml:space="preserve">Duncan </w:t>
      </w:r>
      <w:r>
        <w:t>Muhumuza Laki</w:t>
      </w:r>
      <w:r w:rsidRPr="00B2629C">
        <w:t>,</w:t>
      </w:r>
      <w:r w:rsidRPr="00314001">
        <w:t xml:space="preserve"> </w:t>
      </w:r>
      <w:r w:rsidRPr="00DA33D1">
        <w:t>Photini Pazartzis</w:t>
      </w:r>
      <w:r>
        <w:t>,</w:t>
      </w:r>
      <w:r w:rsidRPr="00B2629C">
        <w:t xml:space="preserve"> </w:t>
      </w:r>
      <w:r>
        <w:t xml:space="preserve">Hernán Quezada, </w:t>
      </w:r>
      <w:r w:rsidRPr="00B2629C">
        <w:t xml:space="preserve">Vasilka </w:t>
      </w:r>
      <w:r>
        <w:t>Sancin, José Manuel Santos Pais,</w:t>
      </w:r>
      <w:r w:rsidRPr="00314001">
        <w:t xml:space="preserve"> </w:t>
      </w:r>
      <w:r>
        <w:t>Changrok Soh, Kobauyah Kpatcha Tchamdja, Hélène Tigroudja, Imeru Tamerat Yigezu and Gentian Zyberi.</w:t>
      </w:r>
    </w:p>
  </w:footnote>
  <w:footnote w:id="3">
    <w:p w14:paraId="292BF7F4" w14:textId="77777777" w:rsidR="007F12C3" w:rsidRPr="00AF0F14" w:rsidRDefault="007F12C3" w:rsidP="007F12C3">
      <w:pPr>
        <w:pStyle w:val="FootnoteText"/>
        <w:rPr>
          <w:lang w:val="en-AU" w:eastAsia="en-US"/>
        </w:rPr>
      </w:pPr>
      <w:r>
        <w:rPr>
          <w:vertAlign w:val="superscript"/>
          <w:lang w:val="en-AU" w:eastAsia="en-US"/>
        </w:rPr>
        <w:tab/>
      </w:r>
      <w:r w:rsidRPr="0062350D">
        <w:rPr>
          <w:rStyle w:val="FootnoteReference"/>
        </w:rPr>
        <w:footnoteRef/>
      </w:r>
      <w:r w:rsidRPr="0062350D">
        <w:rPr>
          <w:rStyle w:val="FootnoteReference"/>
        </w:rPr>
        <w:t xml:space="preserve"> </w:t>
      </w:r>
      <w:r>
        <w:rPr>
          <w:vertAlign w:val="superscript"/>
          <w:lang w:val="en-AU" w:eastAsia="en-US"/>
        </w:rPr>
        <w:tab/>
      </w:r>
      <w:r w:rsidRPr="00AF0F14">
        <w:rPr>
          <w:lang w:val="en-AU" w:eastAsia="en-US"/>
        </w:rPr>
        <w:t xml:space="preserve">The following authors were </w:t>
      </w:r>
      <w:r w:rsidRPr="00277C56">
        <w:t>transferred</w:t>
      </w:r>
      <w:r w:rsidRPr="00AF0F14">
        <w:rPr>
          <w:lang w:val="en-AU" w:eastAsia="en-US"/>
        </w:rPr>
        <w:t>: A.Z., D.D., B.A.A., A.K., A.R.</w:t>
      </w:r>
      <w:r>
        <w:rPr>
          <w:lang w:val="en-AU" w:eastAsia="en-US"/>
        </w:rPr>
        <w:t xml:space="preserve"> and</w:t>
      </w:r>
      <w:r w:rsidRPr="00AF0F14">
        <w:rPr>
          <w:lang w:val="en-AU" w:eastAsia="en-US"/>
        </w:rPr>
        <w:t xml:space="preserve"> A.M.</w:t>
      </w:r>
    </w:p>
  </w:footnote>
  <w:footnote w:id="4">
    <w:p w14:paraId="16D42076" w14:textId="4498E383" w:rsidR="007F12C3" w:rsidRPr="008513C5" w:rsidRDefault="0062350D" w:rsidP="007F12C3">
      <w:pPr>
        <w:pStyle w:val="FootnoteText"/>
        <w:rPr>
          <w:lang w:val="en-CA"/>
        </w:rPr>
      </w:pPr>
      <w:r>
        <w:tab/>
      </w:r>
      <w:r w:rsidR="007F12C3" w:rsidRPr="0062350D">
        <w:rPr>
          <w:rStyle w:val="FootnoteReference"/>
        </w:rPr>
        <w:footnoteRef/>
      </w:r>
      <w:r w:rsidR="007F12C3" w:rsidRPr="0062350D">
        <w:rPr>
          <w:rStyle w:val="FootnoteReference"/>
        </w:rPr>
        <w:t xml:space="preserve"> </w:t>
      </w:r>
      <w:r>
        <w:tab/>
      </w:r>
      <w:r w:rsidR="007F12C3" w:rsidRPr="0073631A">
        <w:rPr>
          <w:szCs w:val="18"/>
          <w:lang w:val="en-AU" w:eastAsia="en-US"/>
        </w:rPr>
        <w:t xml:space="preserve">Office of the United Nations High Commissioner for Refugees monitoring visit to Nauru from 7 to 9 </w:t>
      </w:r>
      <w:r w:rsidR="007F12C3" w:rsidRPr="0073631A">
        <w:rPr>
          <w:szCs w:val="18"/>
        </w:rPr>
        <w:t>October</w:t>
      </w:r>
      <w:r w:rsidR="007F12C3" w:rsidRPr="0073631A">
        <w:rPr>
          <w:szCs w:val="18"/>
          <w:lang w:val="en-AU" w:eastAsia="en-US"/>
        </w:rPr>
        <w:t xml:space="preserve"> 2013, available at </w:t>
      </w:r>
      <w:hyperlink r:id="rId1" w:history="1">
        <w:r w:rsidR="00CD5C44" w:rsidRPr="00727E57">
          <w:rPr>
            <w:rStyle w:val="Hyperlink"/>
          </w:rPr>
          <w:t>www.unhcr.org/en-au/58117b931.pdf</w:t>
        </w:r>
      </w:hyperlink>
      <w:r w:rsidR="007F12C3" w:rsidRPr="008513C5">
        <w:rPr>
          <w:color w:val="3F3F3F"/>
          <w:szCs w:val="18"/>
          <w:lang w:val="en-US"/>
        </w:rPr>
        <w:t>.</w:t>
      </w:r>
    </w:p>
  </w:footnote>
  <w:footnote w:id="5">
    <w:p w14:paraId="62EE1A05" w14:textId="0D1CCCE3" w:rsidR="007F12C3" w:rsidRPr="00737347" w:rsidRDefault="007F12C3" w:rsidP="007F12C3">
      <w:pPr>
        <w:pStyle w:val="FootnoteText"/>
        <w:rPr>
          <w:lang w:val="es-ES"/>
        </w:rPr>
      </w:pPr>
      <w:r>
        <w:tab/>
      </w:r>
      <w:r w:rsidRPr="0062350D">
        <w:rPr>
          <w:rStyle w:val="FootnoteReference"/>
        </w:rPr>
        <w:footnoteRef/>
      </w:r>
      <w:r w:rsidRPr="003D283D">
        <w:rPr>
          <w:rStyle w:val="FootnoteReference"/>
          <w:lang w:val="es-ES"/>
        </w:rPr>
        <w:tab/>
      </w:r>
      <w:r w:rsidRPr="00737347">
        <w:rPr>
          <w:rFonts w:eastAsia="MS Mincho"/>
          <w:lang w:val="es-ES" w:eastAsia="en-US"/>
        </w:rPr>
        <w:t xml:space="preserve">See </w:t>
      </w:r>
      <w:r w:rsidRPr="008513C5">
        <w:rPr>
          <w:rFonts w:eastAsia="MS Mincho"/>
          <w:i/>
          <w:iCs/>
          <w:lang w:val="es-ES" w:eastAsia="en-US"/>
        </w:rPr>
        <w:t>F.K.A.G. et al. v. Australia</w:t>
      </w:r>
      <w:r w:rsidRPr="00737347">
        <w:rPr>
          <w:rFonts w:eastAsia="MS Mincho"/>
          <w:lang w:val="es-ES" w:eastAsia="en-US"/>
        </w:rPr>
        <w:t xml:space="preserve"> (</w:t>
      </w:r>
      <w:hyperlink r:id="rId2" w:history="1">
        <w:r w:rsidRPr="0062350D">
          <w:rPr>
            <w:rStyle w:val="Hyperlink"/>
            <w:rFonts w:eastAsia="MS Mincho"/>
            <w:lang w:val="es-ES" w:eastAsia="en-US"/>
          </w:rPr>
          <w:t>CCPR/C/108/D/2094/2011</w:t>
        </w:r>
      </w:hyperlink>
      <w:r w:rsidRPr="00737347">
        <w:rPr>
          <w:rFonts w:eastAsia="MS Mincho"/>
          <w:lang w:val="es-ES" w:eastAsia="en-US"/>
        </w:rPr>
        <w:t>), para. 8.3.</w:t>
      </w:r>
    </w:p>
  </w:footnote>
  <w:footnote w:id="6">
    <w:p w14:paraId="636912C6" w14:textId="5DA7FB7B" w:rsidR="007F12C3" w:rsidRPr="008513C5" w:rsidRDefault="007F12C3" w:rsidP="007F12C3">
      <w:pPr>
        <w:pStyle w:val="FootnoteText"/>
        <w:rPr>
          <w:lang w:val="en-US" w:eastAsia="en-US"/>
        </w:rPr>
      </w:pPr>
      <w:r w:rsidRPr="00737347">
        <w:rPr>
          <w:vertAlign w:val="superscript"/>
          <w:lang w:val="es-ES" w:eastAsia="en-US"/>
        </w:rPr>
        <w:tab/>
      </w:r>
      <w:r w:rsidRPr="0062350D">
        <w:rPr>
          <w:rStyle w:val="FootnoteReference"/>
        </w:rPr>
        <w:footnoteRef/>
      </w:r>
      <w:r w:rsidRPr="003D283D">
        <w:rPr>
          <w:rStyle w:val="FootnoteReference"/>
          <w:lang w:val="es-ES"/>
        </w:rPr>
        <w:t xml:space="preserve"> </w:t>
      </w:r>
      <w:r w:rsidRPr="00737347">
        <w:rPr>
          <w:vertAlign w:val="superscript"/>
          <w:lang w:val="es-ES" w:eastAsia="en-US"/>
        </w:rPr>
        <w:tab/>
      </w:r>
      <w:r w:rsidRPr="00737347">
        <w:rPr>
          <w:lang w:val="es-ES" w:eastAsia="en-US"/>
        </w:rPr>
        <w:t xml:space="preserve">See </w:t>
      </w:r>
      <w:r w:rsidRPr="008513C5">
        <w:rPr>
          <w:i/>
          <w:iCs/>
          <w:lang w:val="es-ES" w:eastAsia="en-US"/>
        </w:rPr>
        <w:t>M.G.C. v. Australia</w:t>
      </w:r>
      <w:r w:rsidRPr="00737347">
        <w:rPr>
          <w:lang w:val="es-ES" w:eastAsia="en-US"/>
        </w:rPr>
        <w:t xml:space="preserve"> (</w:t>
      </w:r>
      <w:hyperlink r:id="rId3" w:history="1">
        <w:r w:rsidRPr="0062350D">
          <w:rPr>
            <w:rStyle w:val="Hyperlink"/>
            <w:lang w:val="es-ES"/>
          </w:rPr>
          <w:t>CCPR</w:t>
        </w:r>
        <w:r w:rsidRPr="0062350D">
          <w:rPr>
            <w:rStyle w:val="Hyperlink"/>
            <w:lang w:val="es-ES" w:eastAsia="en-US"/>
          </w:rPr>
          <w:t>/C/113/D/1875/2009</w:t>
        </w:r>
      </w:hyperlink>
      <w:r w:rsidRPr="00737347">
        <w:rPr>
          <w:lang w:val="es-ES" w:eastAsia="en-US"/>
        </w:rPr>
        <w:t>), para</w:t>
      </w:r>
      <w:r>
        <w:rPr>
          <w:lang w:val="es-ES" w:eastAsia="en-US"/>
        </w:rPr>
        <w:t>.</w:t>
      </w:r>
      <w:r w:rsidRPr="00737347">
        <w:rPr>
          <w:lang w:val="es-ES" w:eastAsia="en-US"/>
        </w:rPr>
        <w:t xml:space="preserve"> </w:t>
      </w:r>
      <w:r w:rsidRPr="008513C5">
        <w:rPr>
          <w:lang w:val="en-US" w:eastAsia="en-US"/>
        </w:rPr>
        <w:t>11.5.</w:t>
      </w:r>
    </w:p>
  </w:footnote>
  <w:footnote w:id="7">
    <w:p w14:paraId="5102116B" w14:textId="62258C7E" w:rsidR="007F12C3" w:rsidRPr="008513C5" w:rsidRDefault="007F12C3" w:rsidP="007F12C3">
      <w:pPr>
        <w:pStyle w:val="FootnoteText"/>
        <w:rPr>
          <w:lang w:val="es-ES" w:eastAsia="en-US"/>
        </w:rPr>
      </w:pPr>
      <w:r w:rsidRPr="008513C5">
        <w:rPr>
          <w:vertAlign w:val="superscript"/>
          <w:lang w:val="en-US" w:eastAsia="en-US"/>
        </w:rPr>
        <w:tab/>
      </w:r>
      <w:r w:rsidRPr="0062350D">
        <w:rPr>
          <w:rStyle w:val="FootnoteReference"/>
        </w:rPr>
        <w:footnoteRef/>
      </w:r>
      <w:r w:rsidRPr="0062350D">
        <w:rPr>
          <w:rStyle w:val="FootnoteReference"/>
        </w:rPr>
        <w:t xml:space="preserve"> </w:t>
      </w:r>
      <w:r>
        <w:rPr>
          <w:vertAlign w:val="superscript"/>
          <w:lang w:val="en-AU" w:eastAsia="en-US"/>
        </w:rPr>
        <w:tab/>
      </w:r>
      <w:r w:rsidRPr="00D1739B">
        <w:rPr>
          <w:lang w:val="en-AU" w:eastAsia="en-US"/>
        </w:rPr>
        <w:t xml:space="preserve">General </w:t>
      </w:r>
      <w:r>
        <w:rPr>
          <w:lang w:val="en-AU" w:eastAsia="en-US"/>
        </w:rPr>
        <w:t>c</w:t>
      </w:r>
      <w:r w:rsidRPr="00D1739B">
        <w:rPr>
          <w:lang w:val="en-AU" w:eastAsia="en-US"/>
        </w:rPr>
        <w:t xml:space="preserve">omment No. 35 </w:t>
      </w:r>
      <w:r>
        <w:rPr>
          <w:lang w:val="en-AU" w:eastAsia="en-US"/>
        </w:rPr>
        <w:t xml:space="preserve">on liberty and security of person </w:t>
      </w:r>
      <w:r w:rsidRPr="00D1739B">
        <w:rPr>
          <w:lang w:val="en-AU" w:eastAsia="en-US"/>
        </w:rPr>
        <w:t xml:space="preserve">(2014), para. 18. </w:t>
      </w:r>
      <w:r w:rsidRPr="00F8093D">
        <w:t xml:space="preserve">Moreover, in its </w:t>
      </w:r>
      <w:r w:rsidRPr="002B7522">
        <w:t xml:space="preserve">previous </w:t>
      </w:r>
      <w:r>
        <w:t>c</w:t>
      </w:r>
      <w:r w:rsidRPr="002B7522">
        <w:t>onclu</w:t>
      </w:r>
      <w:r>
        <w:t>ding</w:t>
      </w:r>
      <w:r w:rsidRPr="002B7522">
        <w:t xml:space="preserve"> </w:t>
      </w:r>
      <w:r>
        <w:t>o</w:t>
      </w:r>
      <w:r w:rsidRPr="002B7522">
        <w:t xml:space="preserve">bservations </w:t>
      </w:r>
      <w:r>
        <w:t xml:space="preserve">on Australia </w:t>
      </w:r>
      <w:r w:rsidRPr="00B44399">
        <w:t>(2017</w:t>
      </w:r>
      <w:r>
        <w:t>), (</w:t>
      </w:r>
      <w:hyperlink r:id="rId4" w:history="1">
        <w:r w:rsidRPr="0062350D">
          <w:rPr>
            <w:rStyle w:val="Hyperlink"/>
          </w:rPr>
          <w:t>CCPR</w:t>
        </w:r>
        <w:r w:rsidRPr="0062350D">
          <w:rPr>
            <w:rStyle w:val="Hyperlink"/>
            <w:lang w:val="en-AU" w:eastAsia="en-US"/>
          </w:rPr>
          <w:t>/C/AUS/CO/6</w:t>
        </w:r>
      </w:hyperlink>
      <w:r>
        <w:rPr>
          <w:lang w:val="en-AU" w:eastAsia="en-US"/>
        </w:rPr>
        <w:t>, para. 37)</w:t>
      </w:r>
      <w:r w:rsidRPr="00B44399">
        <w:t xml:space="preserve">, the Committee expressed </w:t>
      </w:r>
      <w:r>
        <w:t xml:space="preserve">its concern </w:t>
      </w:r>
      <w:r w:rsidRPr="0034491E">
        <w:rPr>
          <w:lang w:val="en-US" w:eastAsia="fr-FR"/>
        </w:rPr>
        <w:t>about what appears to be the use of detention powers as a general deterrent against unlawful entry rather than in response to an individual risk, and the continued application of mandatory detention in respect of children and unaccompanied minors, despite the reduction in the number of children in immigration detention</w:t>
      </w:r>
      <w:r>
        <w:rPr>
          <w:lang w:val="en-US" w:eastAsia="fr-FR"/>
        </w:rPr>
        <w:t>.</w:t>
      </w:r>
      <w:r>
        <w:rPr>
          <w:lang w:val="en-AU" w:eastAsia="en-US"/>
        </w:rPr>
        <w:t xml:space="preserve"> </w:t>
      </w:r>
      <w:r w:rsidRPr="008A062B">
        <w:rPr>
          <w:lang w:val="en-AU" w:eastAsia="en-US"/>
        </w:rPr>
        <w:t>The Committee was also concerned about poor conditions of detention in some facilities, the detention of asylum seekers</w:t>
      </w:r>
      <w:r>
        <w:rPr>
          <w:lang w:val="en-AU" w:eastAsia="en-US"/>
        </w:rPr>
        <w:t>,</w:t>
      </w:r>
      <w:r w:rsidRPr="008A062B">
        <w:rPr>
          <w:lang w:val="en-AU" w:eastAsia="en-US"/>
        </w:rPr>
        <w:t xml:space="preserve"> together with migrants</w:t>
      </w:r>
      <w:r>
        <w:rPr>
          <w:lang w:val="en-AU" w:eastAsia="en-US"/>
        </w:rPr>
        <w:t>,</w:t>
      </w:r>
      <w:r w:rsidRPr="008A062B">
        <w:rPr>
          <w:lang w:val="en-AU" w:eastAsia="en-US"/>
        </w:rPr>
        <w:t xml:space="preserve"> who have been refused a visa due to their criminal records, the high reported rates of mental health problems among migrants in detention, which allegedly correlate to the length and conditions of detention, and the reported increased use of force and physical restraint against migrants in detention</w:t>
      </w:r>
      <w:r>
        <w:rPr>
          <w:lang w:val="en-AU" w:eastAsia="en-US"/>
        </w:rPr>
        <w:t>.</w:t>
      </w:r>
      <w:r w:rsidRPr="00A35A54">
        <w:rPr>
          <w:lang w:val="en-AU" w:eastAsia="en-US"/>
        </w:rPr>
        <w:t xml:space="preserve"> </w:t>
      </w:r>
      <w:r w:rsidRPr="00D1739B">
        <w:rPr>
          <w:lang w:val="en-AU" w:eastAsia="en-US"/>
        </w:rPr>
        <w:t xml:space="preserve">See also </w:t>
      </w:r>
      <w:r>
        <w:rPr>
          <w:lang w:val="en-AU" w:eastAsia="en-US"/>
        </w:rPr>
        <w:t>j</w:t>
      </w:r>
      <w:r w:rsidRPr="00D1739B">
        <w:rPr>
          <w:lang w:val="en-AU" w:eastAsia="en-US"/>
        </w:rPr>
        <w:t>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(2017)</w:t>
      </w:r>
      <w:r>
        <w:rPr>
          <w:lang w:val="en-AU" w:eastAsia="en-US"/>
        </w:rPr>
        <w:t xml:space="preserve"> (</w:t>
      </w:r>
      <w:hyperlink r:id="rId5" w:history="1">
        <w:r w:rsidRPr="0062350D">
          <w:rPr>
            <w:rStyle w:val="Hyperlink"/>
            <w:lang w:val="en-AU" w:eastAsia="en-US"/>
          </w:rPr>
          <w:t>CMW/C/GC/4-CRC/C/GC/23</w:t>
        </w:r>
      </w:hyperlink>
      <w:r>
        <w:rPr>
          <w:lang w:val="en-AU" w:eastAsia="en-US"/>
        </w:rPr>
        <w:t>)</w:t>
      </w:r>
      <w:r w:rsidRPr="00D1739B">
        <w:rPr>
          <w:lang w:val="en-AU" w:eastAsia="en-US"/>
        </w:rPr>
        <w:t xml:space="preserve">, para. </w:t>
      </w:r>
      <w:r w:rsidRPr="008513C5">
        <w:rPr>
          <w:lang w:val="es-ES" w:eastAsia="en-US"/>
        </w:rPr>
        <w:t>8.</w:t>
      </w:r>
    </w:p>
  </w:footnote>
  <w:footnote w:id="8">
    <w:p w14:paraId="57630764" w14:textId="5A051A1C" w:rsidR="007F12C3" w:rsidRPr="0062350D" w:rsidRDefault="007F12C3" w:rsidP="007F12C3">
      <w:pPr>
        <w:pStyle w:val="FootnoteText"/>
        <w:rPr>
          <w:lang w:val="es-ES" w:eastAsia="en-US"/>
        </w:rPr>
      </w:pPr>
      <w:r w:rsidRPr="008513C5">
        <w:rPr>
          <w:lang w:val="es-ES" w:eastAsia="en-US"/>
        </w:rPr>
        <w:tab/>
      </w:r>
      <w:r w:rsidRPr="0062350D">
        <w:rPr>
          <w:rStyle w:val="FootnoteReference"/>
        </w:rPr>
        <w:footnoteRef/>
      </w:r>
      <w:r w:rsidRPr="003D283D">
        <w:rPr>
          <w:rStyle w:val="FootnoteReference"/>
          <w:lang w:val="es-ES"/>
        </w:rPr>
        <w:t xml:space="preserve"> </w:t>
      </w:r>
      <w:r w:rsidRPr="00737347">
        <w:rPr>
          <w:lang w:val="es-ES" w:eastAsia="en-US"/>
        </w:rPr>
        <w:tab/>
      </w:r>
      <w:r w:rsidRPr="00733E1A">
        <w:rPr>
          <w:lang w:val="es-ES" w:eastAsia="en-US"/>
        </w:rPr>
        <w:t>See</w:t>
      </w:r>
      <w:r w:rsidRPr="00737347">
        <w:rPr>
          <w:lang w:val="es-ES" w:eastAsia="en-US"/>
        </w:rPr>
        <w:t xml:space="preserve">, </w:t>
      </w:r>
      <w:r w:rsidRPr="008513C5">
        <w:rPr>
          <w:i/>
          <w:iCs/>
          <w:lang w:val="es-ES" w:eastAsia="en-US"/>
        </w:rPr>
        <w:t xml:space="preserve">F.K.A.G. et al. v. Australia </w:t>
      </w:r>
      <w:r w:rsidRPr="00737347">
        <w:rPr>
          <w:lang w:val="es-ES" w:eastAsia="en-US"/>
        </w:rPr>
        <w:t>(</w:t>
      </w:r>
      <w:hyperlink r:id="rId6" w:history="1">
        <w:r w:rsidRPr="0062350D">
          <w:rPr>
            <w:rStyle w:val="Hyperlink"/>
            <w:lang w:val="es-ES" w:eastAsia="en-US"/>
          </w:rPr>
          <w:t>CCPR/C/</w:t>
        </w:r>
        <w:r w:rsidRPr="0062350D">
          <w:rPr>
            <w:rStyle w:val="Hyperlink"/>
            <w:lang w:val="es-ES"/>
          </w:rPr>
          <w:t>108</w:t>
        </w:r>
        <w:r w:rsidRPr="0062350D">
          <w:rPr>
            <w:rStyle w:val="Hyperlink"/>
            <w:lang w:val="es-ES" w:eastAsia="en-US"/>
          </w:rPr>
          <w:t>/D/2094/2011</w:t>
        </w:r>
      </w:hyperlink>
      <w:r w:rsidRPr="00737347">
        <w:rPr>
          <w:lang w:val="es-ES" w:eastAsia="en-US"/>
        </w:rPr>
        <w:t xml:space="preserve">), para. </w:t>
      </w:r>
      <w:r w:rsidRPr="0062350D">
        <w:rPr>
          <w:lang w:val="es-ES" w:eastAsia="en-US"/>
        </w:rPr>
        <w:t>9.6.</w:t>
      </w:r>
    </w:p>
  </w:footnote>
  <w:footnote w:id="9">
    <w:p w14:paraId="0D1F7926" w14:textId="77777777" w:rsidR="007F12C3" w:rsidRPr="0062350D" w:rsidRDefault="007F12C3" w:rsidP="007F12C3">
      <w:pPr>
        <w:pStyle w:val="FootnoteText"/>
        <w:rPr>
          <w:lang w:val="es-ES"/>
        </w:rPr>
      </w:pPr>
      <w:r w:rsidRPr="0062350D">
        <w:rPr>
          <w:lang w:val="es-ES"/>
        </w:rPr>
        <w:tab/>
      </w:r>
      <w:r w:rsidRPr="0062350D">
        <w:rPr>
          <w:rStyle w:val="FootnoteReference"/>
        </w:rPr>
        <w:footnoteRef/>
      </w:r>
      <w:r w:rsidRPr="0062350D">
        <w:rPr>
          <w:rStyle w:val="FootnoteReference"/>
          <w:lang w:val="es-ES"/>
        </w:rPr>
        <w:t xml:space="preserve"> </w:t>
      </w:r>
      <w:r w:rsidRPr="0062350D">
        <w:rPr>
          <w:lang w:val="es-ES"/>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CACA" w14:textId="77777777" w:rsidR="007F12C3" w:rsidRDefault="007F12C3" w:rsidP="007F12C3">
    <w:pPr>
      <w:pStyle w:val="Header"/>
    </w:pPr>
    <w:r>
      <w:t>CCPR/C/132/D/2365/2014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10EB" w14:textId="77777777" w:rsidR="007F12C3" w:rsidRDefault="007F12C3" w:rsidP="007F12C3">
    <w:pPr>
      <w:pStyle w:val="Header"/>
      <w:jc w:val="right"/>
    </w:pPr>
    <w:r>
      <w:t>CCPR/C/132/D/2365/2014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B0B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6E7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02D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25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821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E2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E2C2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83F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0A5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162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122A9B"/>
    <w:multiLevelType w:val="multilevel"/>
    <w:tmpl w:val="5E0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44ABA"/>
    <w:multiLevelType w:val="multilevel"/>
    <w:tmpl w:val="021A1984"/>
    <w:lvl w:ilvl="0">
      <w:start w:val="2"/>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791605"/>
    <w:multiLevelType w:val="hybridMultilevel"/>
    <w:tmpl w:val="A87292E0"/>
    <w:lvl w:ilvl="0" w:tplc="B1E07E6E">
      <w:start w:val="1"/>
      <w:numFmt w:val="decimal"/>
      <w:lvlText w:val="%1."/>
      <w:lvlJc w:val="left"/>
      <w:pPr>
        <w:ind w:left="2049" w:hanging="360"/>
      </w:pPr>
      <w:rPr>
        <w:rFonts w:hint="default"/>
        <w:color w:val="auto"/>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D596C"/>
    <w:multiLevelType w:val="hybridMultilevel"/>
    <w:tmpl w:val="82961B42"/>
    <w:lvl w:ilvl="0" w:tplc="7862DA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C0FD1"/>
    <w:multiLevelType w:val="hybridMultilevel"/>
    <w:tmpl w:val="EAD44992"/>
    <w:lvl w:ilvl="0" w:tplc="1774358E">
      <w:start w:val="1"/>
      <w:numFmt w:val="decimal"/>
      <w:lvlText w:val="%1."/>
      <w:lvlJc w:val="left"/>
      <w:pPr>
        <w:ind w:left="1689" w:hanging="555"/>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9DE66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F055E"/>
    <w:multiLevelType w:val="multilevel"/>
    <w:tmpl w:val="3AC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67133E"/>
    <w:multiLevelType w:val="hybridMultilevel"/>
    <w:tmpl w:val="DEF058E6"/>
    <w:lvl w:ilvl="0" w:tplc="7862DA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7862DAF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E77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0"/>
  </w:num>
  <w:num w:numId="4">
    <w:abstractNumId w:val="20"/>
  </w:num>
  <w:num w:numId="5">
    <w:abstractNumId w:val="22"/>
  </w:num>
  <w:num w:numId="6">
    <w:abstractNumId w:val="26"/>
  </w:num>
  <w:num w:numId="7">
    <w:abstractNumId w:val="13"/>
  </w:num>
  <w:num w:numId="8">
    <w:abstractNumId w:val="19"/>
  </w:num>
  <w:num w:numId="9">
    <w:abstractNumId w:val="25"/>
  </w:num>
  <w:num w:numId="10">
    <w:abstractNumId w:val="18"/>
  </w:num>
  <w:num w:numId="11">
    <w:abstractNumId w:val="14"/>
  </w:num>
  <w:num w:numId="12">
    <w:abstractNumId w:val="17"/>
  </w:num>
  <w:num w:numId="13">
    <w:abstractNumId w:val="24"/>
  </w:num>
  <w:num w:numId="14">
    <w:abstractNumId w:val="12"/>
  </w:num>
  <w:num w:numId="15">
    <w:abstractNumId w:val="11"/>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5"/>
  </w:num>
  <w:num w:numId="29">
    <w:abstractNumId w:val="10"/>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46"/>
    <w:rsid w:val="00046E92"/>
    <w:rsid w:val="0006523D"/>
    <w:rsid w:val="000820E8"/>
    <w:rsid w:val="00095EFB"/>
    <w:rsid w:val="00131D7A"/>
    <w:rsid w:val="0015573B"/>
    <w:rsid w:val="00165C15"/>
    <w:rsid w:val="00192B22"/>
    <w:rsid w:val="001A0F21"/>
    <w:rsid w:val="001B0F8A"/>
    <w:rsid w:val="001C2A46"/>
    <w:rsid w:val="001C4972"/>
    <w:rsid w:val="002024DE"/>
    <w:rsid w:val="00247E2C"/>
    <w:rsid w:val="0028412C"/>
    <w:rsid w:val="002C0237"/>
    <w:rsid w:val="002D6C53"/>
    <w:rsid w:val="002F5595"/>
    <w:rsid w:val="00334F6A"/>
    <w:rsid w:val="00342AC8"/>
    <w:rsid w:val="00380E99"/>
    <w:rsid w:val="003B3539"/>
    <w:rsid w:val="003B36EA"/>
    <w:rsid w:val="003B4550"/>
    <w:rsid w:val="003D283D"/>
    <w:rsid w:val="00461253"/>
    <w:rsid w:val="00472FED"/>
    <w:rsid w:val="005042C2"/>
    <w:rsid w:val="005D65FD"/>
    <w:rsid w:val="005D6A3F"/>
    <w:rsid w:val="0062350D"/>
    <w:rsid w:val="00671529"/>
    <w:rsid w:val="006C0DD9"/>
    <w:rsid w:val="007268A2"/>
    <w:rsid w:val="007268F9"/>
    <w:rsid w:val="007327A0"/>
    <w:rsid w:val="0073492A"/>
    <w:rsid w:val="007C52B0"/>
    <w:rsid w:val="007F12C3"/>
    <w:rsid w:val="00817E57"/>
    <w:rsid w:val="00892361"/>
    <w:rsid w:val="008D3450"/>
    <w:rsid w:val="009411B4"/>
    <w:rsid w:val="009B4929"/>
    <w:rsid w:val="009D0139"/>
    <w:rsid w:val="009F5CDC"/>
    <w:rsid w:val="00A23459"/>
    <w:rsid w:val="00A65435"/>
    <w:rsid w:val="00A775CF"/>
    <w:rsid w:val="00AF4817"/>
    <w:rsid w:val="00B04D08"/>
    <w:rsid w:val="00B06045"/>
    <w:rsid w:val="00B53AA5"/>
    <w:rsid w:val="00B770C2"/>
    <w:rsid w:val="00B903E5"/>
    <w:rsid w:val="00C35A27"/>
    <w:rsid w:val="00CA1AEA"/>
    <w:rsid w:val="00CB6802"/>
    <w:rsid w:val="00CD5C44"/>
    <w:rsid w:val="00D327D6"/>
    <w:rsid w:val="00DB065A"/>
    <w:rsid w:val="00E02C2B"/>
    <w:rsid w:val="00E05879"/>
    <w:rsid w:val="00ED6C48"/>
    <w:rsid w:val="00F41F0F"/>
    <w:rsid w:val="00F65F5D"/>
    <w:rsid w:val="00F86A3A"/>
    <w:rsid w:val="00FD0FFF"/>
    <w:rsid w:val="00FE14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A769B95"/>
  <w15:docId w15:val="{49EACE3D-0754-47C0-8BE1-3C0209BC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FF"/>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D0FFF"/>
    <w:pPr>
      <w:spacing w:after="0"/>
      <w:ind w:right="0"/>
      <w:jc w:val="left"/>
      <w:outlineLvl w:val="0"/>
    </w:pPr>
  </w:style>
  <w:style w:type="paragraph" w:styleId="Heading2">
    <w:name w:val="heading 2"/>
    <w:basedOn w:val="Normal"/>
    <w:next w:val="Normal"/>
    <w:link w:val="Heading2Char"/>
    <w:semiHidden/>
    <w:rsid w:val="00FD0FFF"/>
    <w:pPr>
      <w:outlineLvl w:val="1"/>
    </w:pPr>
  </w:style>
  <w:style w:type="paragraph" w:styleId="Heading3">
    <w:name w:val="heading 3"/>
    <w:basedOn w:val="Normal"/>
    <w:next w:val="Normal"/>
    <w:link w:val="Heading3Char"/>
    <w:semiHidden/>
    <w:rsid w:val="00FD0FFF"/>
    <w:pPr>
      <w:outlineLvl w:val="2"/>
    </w:pPr>
  </w:style>
  <w:style w:type="paragraph" w:styleId="Heading4">
    <w:name w:val="heading 4"/>
    <w:basedOn w:val="Normal"/>
    <w:next w:val="Normal"/>
    <w:link w:val="Heading4Char"/>
    <w:semiHidden/>
    <w:rsid w:val="00FD0FFF"/>
    <w:pPr>
      <w:outlineLvl w:val="3"/>
    </w:pPr>
  </w:style>
  <w:style w:type="paragraph" w:styleId="Heading5">
    <w:name w:val="heading 5"/>
    <w:basedOn w:val="Normal"/>
    <w:next w:val="Normal"/>
    <w:link w:val="Heading5Char"/>
    <w:semiHidden/>
    <w:rsid w:val="00FD0FFF"/>
    <w:pPr>
      <w:outlineLvl w:val="4"/>
    </w:pPr>
  </w:style>
  <w:style w:type="paragraph" w:styleId="Heading6">
    <w:name w:val="heading 6"/>
    <w:basedOn w:val="Normal"/>
    <w:next w:val="Normal"/>
    <w:link w:val="Heading6Char"/>
    <w:semiHidden/>
    <w:rsid w:val="00FD0FFF"/>
    <w:pPr>
      <w:outlineLvl w:val="5"/>
    </w:pPr>
  </w:style>
  <w:style w:type="paragraph" w:styleId="Heading7">
    <w:name w:val="heading 7"/>
    <w:basedOn w:val="Normal"/>
    <w:next w:val="Normal"/>
    <w:link w:val="Heading7Char"/>
    <w:semiHidden/>
    <w:rsid w:val="00FD0FFF"/>
    <w:pPr>
      <w:outlineLvl w:val="6"/>
    </w:pPr>
  </w:style>
  <w:style w:type="paragraph" w:styleId="Heading8">
    <w:name w:val="heading 8"/>
    <w:basedOn w:val="Normal"/>
    <w:next w:val="Normal"/>
    <w:link w:val="Heading8Char"/>
    <w:semiHidden/>
    <w:rsid w:val="00FD0FFF"/>
    <w:pPr>
      <w:outlineLvl w:val="7"/>
    </w:pPr>
  </w:style>
  <w:style w:type="paragraph" w:styleId="Heading9">
    <w:name w:val="heading 9"/>
    <w:basedOn w:val="Normal"/>
    <w:next w:val="Normal"/>
    <w:link w:val="Heading9Char"/>
    <w:semiHidden/>
    <w:rsid w:val="00FD0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D0FFF"/>
    <w:pPr>
      <w:pBdr>
        <w:bottom w:val="single" w:sz="4" w:space="4" w:color="auto"/>
      </w:pBdr>
    </w:pPr>
    <w:rPr>
      <w:b/>
      <w:sz w:val="18"/>
    </w:rPr>
  </w:style>
  <w:style w:type="character" w:customStyle="1" w:styleId="HeaderChar">
    <w:name w:val="Header Char"/>
    <w:aliases w:val="6_G Char"/>
    <w:basedOn w:val="DefaultParagraphFont"/>
    <w:link w:val="Header"/>
    <w:rsid w:val="00FD0FFF"/>
    <w:rPr>
      <w:rFonts w:ascii="Times New Roman" w:hAnsi="Times New Roman" w:cs="Times New Roman"/>
      <w:b/>
      <w:sz w:val="18"/>
      <w:szCs w:val="20"/>
    </w:rPr>
  </w:style>
  <w:style w:type="paragraph" w:styleId="Footer">
    <w:name w:val="footer"/>
    <w:aliases w:val="3_G"/>
    <w:basedOn w:val="Normal"/>
    <w:link w:val="FooterChar"/>
    <w:rsid w:val="00FD0FFF"/>
    <w:rPr>
      <w:sz w:val="16"/>
    </w:rPr>
  </w:style>
  <w:style w:type="character" w:customStyle="1" w:styleId="FooterChar">
    <w:name w:val="Footer Char"/>
    <w:aliases w:val="3_G Char"/>
    <w:basedOn w:val="DefaultParagraphFont"/>
    <w:link w:val="Footer"/>
    <w:rsid w:val="00FD0FFF"/>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FD0FFF"/>
    <w:pPr>
      <w:tabs>
        <w:tab w:val="left" w:pos="1701"/>
        <w:tab w:val="left" w:pos="2268"/>
      </w:tabs>
      <w:spacing w:after="120" w:line="240" w:lineRule="atLeast"/>
      <w:ind w:left="1134" w:right="1134"/>
      <w:jc w:val="both"/>
    </w:pPr>
  </w:style>
  <w:style w:type="paragraph" w:customStyle="1" w:styleId="SLG">
    <w:name w:val="__S_L_G"/>
    <w:basedOn w:val="Normal"/>
    <w:next w:val="Normal"/>
    <w:rsid w:val="00FD0FFF"/>
    <w:pPr>
      <w:keepNext/>
      <w:keepLines/>
      <w:spacing w:before="240" w:after="240" w:line="580" w:lineRule="exact"/>
      <w:ind w:left="1134" w:right="1134"/>
    </w:pPr>
    <w:rPr>
      <w:b/>
      <w:sz w:val="56"/>
    </w:rPr>
  </w:style>
  <w:style w:type="paragraph" w:customStyle="1" w:styleId="SMG">
    <w:name w:val="__S_M_G"/>
    <w:basedOn w:val="Normal"/>
    <w:next w:val="Normal"/>
    <w:rsid w:val="00FD0FFF"/>
    <w:pPr>
      <w:keepNext/>
      <w:keepLines/>
      <w:spacing w:before="240" w:after="240" w:line="420" w:lineRule="exact"/>
      <w:ind w:left="1134" w:right="1134"/>
    </w:pPr>
    <w:rPr>
      <w:b/>
      <w:sz w:val="40"/>
    </w:rPr>
  </w:style>
  <w:style w:type="paragraph" w:customStyle="1" w:styleId="SSG">
    <w:name w:val="__S_S_G"/>
    <w:basedOn w:val="Normal"/>
    <w:next w:val="Normal"/>
    <w:rsid w:val="00FD0FFF"/>
    <w:pPr>
      <w:keepNext/>
      <w:keepLines/>
      <w:spacing w:before="240" w:after="240" w:line="300" w:lineRule="exact"/>
      <w:ind w:left="1134" w:right="1134"/>
    </w:pPr>
    <w:rPr>
      <w:b/>
      <w:sz w:val="28"/>
    </w:rPr>
  </w:style>
  <w:style w:type="paragraph" w:customStyle="1" w:styleId="XLargeG">
    <w:name w:val="__XLarge_G"/>
    <w:basedOn w:val="Normal"/>
    <w:next w:val="Normal"/>
    <w:rsid w:val="00FD0FFF"/>
    <w:pPr>
      <w:keepNext/>
      <w:keepLines/>
      <w:spacing w:before="240" w:after="240" w:line="420" w:lineRule="exact"/>
      <w:ind w:left="1134" w:right="1134"/>
    </w:pPr>
    <w:rPr>
      <w:b/>
      <w:sz w:val="40"/>
    </w:rPr>
  </w:style>
  <w:style w:type="paragraph" w:customStyle="1" w:styleId="Bullet1G">
    <w:name w:val="_Bullet 1_G"/>
    <w:basedOn w:val="Normal"/>
    <w:qFormat/>
    <w:rsid w:val="00FD0FFF"/>
    <w:pPr>
      <w:numPr>
        <w:numId w:val="27"/>
      </w:numPr>
      <w:spacing w:after="120"/>
      <w:ind w:right="1134"/>
      <w:jc w:val="both"/>
    </w:pPr>
  </w:style>
  <w:style w:type="paragraph" w:customStyle="1" w:styleId="Bullet2G">
    <w:name w:val="_Bullet 2_G"/>
    <w:basedOn w:val="Normal"/>
    <w:qFormat/>
    <w:rsid w:val="00FD0FFF"/>
    <w:pPr>
      <w:numPr>
        <w:numId w:val="28"/>
      </w:numPr>
      <w:spacing w:after="120"/>
      <w:ind w:right="1134"/>
      <w:jc w:val="both"/>
    </w:pPr>
  </w:style>
  <w:style w:type="paragraph" w:customStyle="1" w:styleId="ParaNoG">
    <w:name w:val="_ParaNo._G"/>
    <w:basedOn w:val="SingleTxtG"/>
    <w:rsid w:val="00FD0FFF"/>
    <w:pPr>
      <w:numPr>
        <w:numId w:val="29"/>
      </w:numPr>
    </w:pPr>
  </w:style>
  <w:style w:type="numbering" w:styleId="111111">
    <w:name w:val="Outline List 2"/>
    <w:basedOn w:val="NoList"/>
    <w:semiHidden/>
    <w:rsid w:val="00FD0FFF"/>
    <w:pPr>
      <w:numPr>
        <w:numId w:val="30"/>
      </w:numPr>
    </w:pPr>
  </w:style>
  <w:style w:type="numbering" w:styleId="1ai">
    <w:name w:val="Outline List 1"/>
    <w:basedOn w:val="NoList"/>
    <w:semiHidden/>
    <w:rsid w:val="00FD0FFF"/>
    <w:pPr>
      <w:numPr>
        <w:numId w:val="6"/>
      </w:numPr>
    </w:pPr>
  </w:style>
  <w:style w:type="character" w:styleId="EndnoteReference">
    <w:name w:val="endnote reference"/>
    <w:aliases w:val="1_G"/>
    <w:rsid w:val="00FD0FFF"/>
    <w:rPr>
      <w:rFonts w:ascii="Times New Roman" w:hAnsi="Times New Roman"/>
      <w:sz w:val="18"/>
      <w:vertAlign w:val="superscript"/>
    </w:rPr>
  </w:style>
  <w:style w:type="paragraph" w:styleId="FootnoteText">
    <w:name w:val="footnote text"/>
    <w:aliases w:val="5_G"/>
    <w:basedOn w:val="Normal"/>
    <w:link w:val="FootnoteTextChar"/>
    <w:rsid w:val="00FD0FF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D0FFF"/>
    <w:rPr>
      <w:rFonts w:ascii="Times New Roman" w:hAnsi="Times New Roman" w:cs="Times New Roman"/>
      <w:sz w:val="18"/>
      <w:szCs w:val="20"/>
    </w:rPr>
  </w:style>
  <w:style w:type="paragraph" w:styleId="EndnoteText">
    <w:name w:val="endnote text"/>
    <w:aliases w:val="2_G"/>
    <w:basedOn w:val="FootnoteText"/>
    <w:link w:val="EndnoteTextChar"/>
    <w:rsid w:val="00FD0FFF"/>
  </w:style>
  <w:style w:type="character" w:customStyle="1" w:styleId="EndnoteTextChar">
    <w:name w:val="Endnote Text Char"/>
    <w:aliases w:val="2_G Char"/>
    <w:basedOn w:val="DefaultParagraphFont"/>
    <w:link w:val="EndnoteText"/>
    <w:rsid w:val="00FD0FFF"/>
    <w:rPr>
      <w:rFonts w:ascii="Times New Roman" w:hAnsi="Times New Roman" w:cs="Times New Roman"/>
      <w:sz w:val="18"/>
      <w:szCs w:val="20"/>
    </w:rPr>
  </w:style>
  <w:style w:type="character" w:styleId="FootnoteReference">
    <w:name w:val="footnote reference"/>
    <w:aliases w:val="4_G"/>
    <w:rsid w:val="00FD0FF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D0FFF"/>
    <w:rPr>
      <w:rFonts w:ascii="Times New Roman" w:hAnsi="Times New Roman" w:cs="Times New Roman"/>
      <w:sz w:val="20"/>
      <w:szCs w:val="20"/>
    </w:rPr>
  </w:style>
  <w:style w:type="character" w:customStyle="1" w:styleId="Heading2Char">
    <w:name w:val="Heading 2 Char"/>
    <w:basedOn w:val="DefaultParagraphFont"/>
    <w:link w:val="Heading2"/>
    <w:semiHidden/>
    <w:rsid w:val="00FD0FFF"/>
    <w:rPr>
      <w:rFonts w:ascii="Times New Roman" w:hAnsi="Times New Roman" w:cs="Times New Roman"/>
      <w:sz w:val="20"/>
      <w:szCs w:val="20"/>
    </w:rPr>
  </w:style>
  <w:style w:type="character" w:customStyle="1" w:styleId="Heading3Char">
    <w:name w:val="Heading 3 Char"/>
    <w:basedOn w:val="DefaultParagraphFont"/>
    <w:link w:val="Heading3"/>
    <w:semiHidden/>
    <w:rsid w:val="00FD0FFF"/>
    <w:rPr>
      <w:rFonts w:ascii="Times New Roman" w:hAnsi="Times New Roman" w:cs="Times New Roman"/>
      <w:sz w:val="20"/>
      <w:szCs w:val="20"/>
    </w:rPr>
  </w:style>
  <w:style w:type="character" w:customStyle="1" w:styleId="Heading4Char">
    <w:name w:val="Heading 4 Char"/>
    <w:basedOn w:val="DefaultParagraphFont"/>
    <w:link w:val="Heading4"/>
    <w:semiHidden/>
    <w:rsid w:val="00FD0FFF"/>
    <w:rPr>
      <w:rFonts w:ascii="Times New Roman" w:hAnsi="Times New Roman" w:cs="Times New Roman"/>
      <w:sz w:val="20"/>
      <w:szCs w:val="20"/>
    </w:rPr>
  </w:style>
  <w:style w:type="character" w:customStyle="1" w:styleId="Heading5Char">
    <w:name w:val="Heading 5 Char"/>
    <w:basedOn w:val="DefaultParagraphFont"/>
    <w:link w:val="Heading5"/>
    <w:semiHidden/>
    <w:rsid w:val="00FD0FFF"/>
    <w:rPr>
      <w:rFonts w:ascii="Times New Roman" w:hAnsi="Times New Roman" w:cs="Times New Roman"/>
      <w:sz w:val="20"/>
      <w:szCs w:val="20"/>
    </w:rPr>
  </w:style>
  <w:style w:type="character" w:customStyle="1" w:styleId="Heading6Char">
    <w:name w:val="Heading 6 Char"/>
    <w:basedOn w:val="DefaultParagraphFont"/>
    <w:link w:val="Heading6"/>
    <w:semiHidden/>
    <w:rsid w:val="00FD0FFF"/>
    <w:rPr>
      <w:rFonts w:ascii="Times New Roman" w:hAnsi="Times New Roman" w:cs="Times New Roman"/>
      <w:sz w:val="20"/>
      <w:szCs w:val="20"/>
    </w:rPr>
  </w:style>
  <w:style w:type="character" w:customStyle="1" w:styleId="Heading7Char">
    <w:name w:val="Heading 7 Char"/>
    <w:basedOn w:val="DefaultParagraphFont"/>
    <w:link w:val="Heading7"/>
    <w:semiHidden/>
    <w:rsid w:val="00FD0FFF"/>
    <w:rPr>
      <w:rFonts w:ascii="Times New Roman" w:hAnsi="Times New Roman" w:cs="Times New Roman"/>
      <w:sz w:val="20"/>
      <w:szCs w:val="20"/>
    </w:rPr>
  </w:style>
  <w:style w:type="character" w:customStyle="1" w:styleId="Heading8Char">
    <w:name w:val="Heading 8 Char"/>
    <w:basedOn w:val="DefaultParagraphFont"/>
    <w:link w:val="Heading8"/>
    <w:semiHidden/>
    <w:rsid w:val="00FD0FFF"/>
    <w:rPr>
      <w:rFonts w:ascii="Times New Roman" w:hAnsi="Times New Roman" w:cs="Times New Roman"/>
      <w:sz w:val="20"/>
      <w:szCs w:val="20"/>
    </w:rPr>
  </w:style>
  <w:style w:type="character" w:customStyle="1" w:styleId="Heading9Char">
    <w:name w:val="Heading 9 Char"/>
    <w:basedOn w:val="DefaultParagraphFont"/>
    <w:link w:val="Heading9"/>
    <w:semiHidden/>
    <w:rsid w:val="00FD0FFF"/>
    <w:rPr>
      <w:rFonts w:ascii="Times New Roman" w:hAnsi="Times New Roman" w:cs="Times New Roman"/>
      <w:sz w:val="20"/>
      <w:szCs w:val="20"/>
    </w:rPr>
  </w:style>
  <w:style w:type="character" w:styleId="PageNumber">
    <w:name w:val="page number"/>
    <w:aliases w:val="7_G"/>
    <w:semiHidden/>
    <w:rsid w:val="00FD0FFF"/>
    <w:rPr>
      <w:rFonts w:ascii="Times New Roman" w:hAnsi="Times New Roman"/>
      <w:b/>
      <w:sz w:val="18"/>
    </w:rPr>
  </w:style>
  <w:style w:type="paragraph" w:styleId="BalloonText">
    <w:name w:val="Balloon Text"/>
    <w:basedOn w:val="Normal"/>
    <w:link w:val="BalloonTextChar"/>
    <w:uiPriority w:val="99"/>
    <w:semiHidden/>
    <w:unhideWhenUsed/>
    <w:rsid w:val="00FD0FFF"/>
    <w:rPr>
      <w:rFonts w:ascii="Tahoma" w:hAnsi="Tahoma" w:cs="Tahoma"/>
      <w:sz w:val="16"/>
      <w:szCs w:val="16"/>
    </w:rPr>
  </w:style>
  <w:style w:type="table" w:styleId="TableGrid">
    <w:name w:val="Table Grid"/>
    <w:basedOn w:val="TableNormal"/>
    <w:rsid w:val="00FD0FF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D0FFF"/>
    <w:rPr>
      <w:rFonts w:ascii="Tahoma" w:hAnsi="Tahoma" w:cs="Tahoma"/>
      <w:sz w:val="16"/>
      <w:szCs w:val="16"/>
    </w:rPr>
  </w:style>
  <w:style w:type="character" w:customStyle="1" w:styleId="UnresolvedMention1">
    <w:name w:val="Unresolved Mention1"/>
    <w:basedOn w:val="DefaultParagraphFont"/>
    <w:uiPriority w:val="99"/>
    <w:semiHidden/>
    <w:unhideWhenUsed/>
    <w:rsid w:val="00CD5C44"/>
    <w:rPr>
      <w:color w:val="605E5C"/>
      <w:shd w:val="clear" w:color="auto" w:fill="E1DFDD"/>
    </w:rPr>
  </w:style>
  <w:style w:type="paragraph" w:styleId="Revision">
    <w:name w:val="Revision"/>
    <w:hidden/>
    <w:uiPriority w:val="99"/>
    <w:semiHidden/>
    <w:rsid w:val="007F12C3"/>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62350D"/>
    <w:rPr>
      <w:color w:val="0000FF"/>
      <w:u w:val="none"/>
    </w:rPr>
  </w:style>
  <w:style w:type="character" w:styleId="Hyperlink">
    <w:name w:val="Hyperlink"/>
    <w:basedOn w:val="DefaultParagraphFont"/>
    <w:uiPriority w:val="99"/>
    <w:unhideWhenUsed/>
    <w:rsid w:val="0062350D"/>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13/D/1875/2009" TargetMode="External"/><Relationship Id="rId2" Type="http://schemas.openxmlformats.org/officeDocument/2006/relationships/hyperlink" Target="http://undocs.org/en/CCPR/C/108/D/2094/2011" TargetMode="External"/><Relationship Id="rId1" Type="http://schemas.openxmlformats.org/officeDocument/2006/relationships/hyperlink" Target="http://www.unhcr.org/en-au/58117b931.pdf" TargetMode="External"/><Relationship Id="rId6" Type="http://schemas.openxmlformats.org/officeDocument/2006/relationships/hyperlink" Target="http://undocs.org/en/CCPR/C/108/D/2094/2011" TargetMode="External"/><Relationship Id="rId5" Type="http://schemas.openxmlformats.org/officeDocument/2006/relationships/hyperlink" Target="http://undocs.org/en/CMW/C/GC/4" TargetMode="External"/><Relationship Id="rId4" Type="http://schemas.openxmlformats.org/officeDocument/2006/relationships/hyperlink" Target="http://undocs.org/en/CCPR/C/AUS/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CFEC-2388-424F-B171-5C53C816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6457</Words>
  <Characters>34405</Characters>
  <Application>Microsoft Office Word</Application>
  <DocSecurity>0</DocSecurity>
  <Lines>504</Lines>
  <Paragraphs>91</Paragraphs>
  <ScaleCrop>false</ScaleCrop>
  <HeadingPairs>
    <vt:vector size="2" baseType="variant">
      <vt:variant>
        <vt:lpstr>Title</vt:lpstr>
      </vt:variant>
      <vt:variant>
        <vt:i4>1</vt:i4>
      </vt:variant>
    </vt:vector>
  </HeadingPairs>
  <TitlesOfParts>
    <vt:vector size="1" baseType="lpstr">
      <vt:lpstr>CCPR/C/132/D/2365/2014</vt:lpstr>
    </vt:vector>
  </TitlesOfParts>
  <Company>DCM</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CCPR/C/132/D/2365/2014</dc:title>
  <dc:subject>2200393</dc:subject>
  <dc:creator>Brigoli</dc:creator>
  <cp:keywords/>
  <dc:description/>
  <cp:lastModifiedBy>Cecile Pacis</cp:lastModifiedBy>
  <cp:revision>2</cp:revision>
  <dcterms:created xsi:type="dcterms:W3CDTF">2022-01-14T06:32:00Z</dcterms:created>
  <dcterms:modified xsi:type="dcterms:W3CDTF">2022-01-14T06:32:00Z</dcterms:modified>
</cp:coreProperties>
</file>