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2F6AFA30" w14:textId="77777777" w:rsidTr="002B7BC7">
        <w:trPr>
          <w:trHeight w:hRule="exact" w:val="851"/>
        </w:trPr>
        <w:tc>
          <w:tcPr>
            <w:tcW w:w="1276" w:type="dxa"/>
            <w:tcBorders>
              <w:bottom w:val="single" w:sz="4" w:space="0" w:color="auto"/>
            </w:tcBorders>
          </w:tcPr>
          <w:p w14:paraId="7B16DFFA" w14:textId="77777777" w:rsidR="006F71EA" w:rsidRPr="00DB58B5" w:rsidRDefault="006F71EA" w:rsidP="00CE4D07"/>
        </w:tc>
        <w:tc>
          <w:tcPr>
            <w:tcW w:w="2268" w:type="dxa"/>
            <w:tcBorders>
              <w:bottom w:val="single" w:sz="4" w:space="0" w:color="auto"/>
            </w:tcBorders>
            <w:vAlign w:val="bottom"/>
          </w:tcPr>
          <w:p w14:paraId="379B7D8C"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2C23EC" w14:textId="2548E85E" w:rsidR="006F71EA" w:rsidRPr="00DB58B5" w:rsidRDefault="00CE4D07" w:rsidP="00CE4D07">
            <w:pPr>
              <w:jc w:val="right"/>
            </w:pPr>
            <w:r w:rsidRPr="00CE4D07">
              <w:rPr>
                <w:sz w:val="40"/>
              </w:rPr>
              <w:t>CCPR</w:t>
            </w:r>
            <w:r>
              <w:t>/C/136/D/2808/2016</w:t>
            </w:r>
          </w:p>
        </w:tc>
      </w:tr>
      <w:tr w:rsidR="006F71EA" w:rsidRPr="00DB58B5" w14:paraId="43E09FE7" w14:textId="77777777" w:rsidTr="002B7BC7">
        <w:trPr>
          <w:trHeight w:hRule="exact" w:val="2835"/>
        </w:trPr>
        <w:tc>
          <w:tcPr>
            <w:tcW w:w="1276" w:type="dxa"/>
            <w:tcBorders>
              <w:top w:val="single" w:sz="4" w:space="0" w:color="auto"/>
              <w:bottom w:val="single" w:sz="12" w:space="0" w:color="auto"/>
            </w:tcBorders>
          </w:tcPr>
          <w:p w14:paraId="360CDB08" w14:textId="77777777" w:rsidR="006F71EA" w:rsidRPr="00DB58B5" w:rsidRDefault="006F71EA" w:rsidP="002B7BC7">
            <w:pPr>
              <w:spacing w:before="120"/>
              <w:jc w:val="center"/>
            </w:pPr>
            <w:r>
              <w:rPr>
                <w:noProof/>
                <w:lang w:eastAsia="fr-CH"/>
              </w:rPr>
              <w:drawing>
                <wp:inline distT="0" distB="0" distL="0" distR="0" wp14:anchorId="0452CF8D" wp14:editId="77F0F9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3B8259"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3BB85A08" w14:textId="77777777" w:rsidR="006F71EA" w:rsidRDefault="00CE4D07" w:rsidP="002B7BC7">
            <w:pPr>
              <w:spacing w:before="240"/>
            </w:pPr>
            <w:r>
              <w:t>Distr. générale</w:t>
            </w:r>
          </w:p>
          <w:p w14:paraId="416CA55C" w14:textId="14C5CC67" w:rsidR="00CE4D07" w:rsidRDefault="001023DA" w:rsidP="00CE4D07">
            <w:pPr>
              <w:spacing w:line="240" w:lineRule="exact"/>
            </w:pPr>
            <w:r>
              <w:t>8</w:t>
            </w:r>
            <w:r w:rsidR="00CE4D07">
              <w:t xml:space="preserve"> décembre 2022</w:t>
            </w:r>
          </w:p>
          <w:p w14:paraId="67D23F17" w14:textId="26C04E22" w:rsidR="00CE4D07" w:rsidRDefault="00CE4D07" w:rsidP="00CE4D07">
            <w:pPr>
              <w:spacing w:line="240" w:lineRule="exact"/>
            </w:pPr>
          </w:p>
          <w:p w14:paraId="54044BE6" w14:textId="219DF4F7" w:rsidR="00CE4D07" w:rsidRPr="00DB58B5" w:rsidRDefault="00CE4D07" w:rsidP="00CE4D07">
            <w:pPr>
              <w:spacing w:line="240" w:lineRule="exact"/>
            </w:pPr>
            <w:r>
              <w:t>Original : français</w:t>
            </w:r>
          </w:p>
        </w:tc>
      </w:tr>
    </w:tbl>
    <w:p w14:paraId="0CF06EB1" w14:textId="77777777" w:rsidR="00B13F56" w:rsidRDefault="00B13F56" w:rsidP="00B13F56">
      <w:pPr>
        <w:spacing w:before="120"/>
        <w:rPr>
          <w:b/>
          <w:sz w:val="24"/>
          <w:szCs w:val="24"/>
        </w:rPr>
      </w:pPr>
      <w:r w:rsidRPr="00DF3BF1">
        <w:rPr>
          <w:b/>
          <w:sz w:val="24"/>
          <w:szCs w:val="24"/>
        </w:rPr>
        <w:t>Comité des droits de l’homme</w:t>
      </w:r>
    </w:p>
    <w:p w14:paraId="7ED332FF" w14:textId="77777777" w:rsidR="00B13F56" w:rsidRPr="00124FA5" w:rsidRDefault="00B13F56" w:rsidP="00B13F56">
      <w:pPr>
        <w:pStyle w:val="HChG"/>
        <w:rPr>
          <w:position w:val="6"/>
        </w:rPr>
      </w:pPr>
      <w:r>
        <w:rPr>
          <w:lang w:val="fr-FR"/>
        </w:rPr>
        <w:tab/>
      </w:r>
      <w:r>
        <w:rPr>
          <w:lang w:val="fr-FR"/>
        </w:rPr>
        <w:tab/>
      </w:r>
      <w:r w:rsidRPr="00D95BA7">
        <w:t>Constatations adoptées par le Comité au titre de l</w:t>
      </w:r>
      <w:r>
        <w:t>’</w:t>
      </w:r>
      <w:r w:rsidRPr="00D95BA7">
        <w:t>article 5 (par.</w:t>
      </w:r>
      <w:r>
        <w:t xml:space="preserve"> </w:t>
      </w:r>
      <w:r w:rsidRPr="00D95BA7">
        <w:t>4) du Protocole facultatif, concernant la communication n</w:t>
      </w:r>
      <w:r w:rsidRPr="004D1002">
        <w:rPr>
          <w:vertAlign w:val="superscript"/>
        </w:rPr>
        <w:t>o</w:t>
      </w:r>
      <w:r w:rsidRPr="00D95BA7">
        <w:t> </w:t>
      </w:r>
      <w:r>
        <w:t>2808</w:t>
      </w:r>
      <w:r w:rsidRPr="00D95BA7">
        <w:t>/201</w:t>
      </w:r>
      <w:r>
        <w:t>6</w:t>
      </w:r>
      <w:r w:rsidRPr="008E50DA">
        <w:rPr>
          <w:rStyle w:val="Appelnotedebasdep"/>
          <w:b w:val="0"/>
          <w:sz w:val="20"/>
          <w:vertAlign w:val="baseline"/>
        </w:rPr>
        <w:footnoteReference w:customMarkFollows="1" w:id="2"/>
        <w:t>*</w:t>
      </w:r>
      <w:r w:rsidRPr="00872387">
        <w:rPr>
          <w:position w:val="6"/>
          <w:sz w:val="20"/>
        </w:rPr>
        <w:t>,</w:t>
      </w:r>
      <w:r w:rsidRPr="002D395A">
        <w:rPr>
          <w:sz w:val="20"/>
          <w:vertAlign w:val="superscript"/>
        </w:rPr>
        <w:t xml:space="preserve"> </w:t>
      </w:r>
      <w:r w:rsidRPr="008E50DA">
        <w:rPr>
          <w:rStyle w:val="Appelnotedebasdep"/>
          <w:b w:val="0"/>
          <w:sz w:val="20"/>
          <w:vertAlign w:val="baseline"/>
        </w:rPr>
        <w:footnoteReference w:customMarkFollows="1" w:id="3"/>
        <w:t>**</w:t>
      </w:r>
    </w:p>
    <w:tbl>
      <w:tblPr>
        <w:tblStyle w:val="Grilledutableau"/>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B13F56" w:rsidRPr="00DE54D3" w14:paraId="1079FB14" w14:textId="77777777" w:rsidTr="008F4711">
        <w:tc>
          <w:tcPr>
            <w:tcW w:w="2835" w:type="dxa"/>
          </w:tcPr>
          <w:p w14:paraId="07585168" w14:textId="77777777" w:rsidR="00B13F56" w:rsidRPr="00DE54D3" w:rsidRDefault="00B13F56" w:rsidP="008F4711">
            <w:pPr>
              <w:pStyle w:val="SingleTxtG"/>
              <w:ind w:left="0" w:right="0"/>
              <w:jc w:val="left"/>
              <w:rPr>
                <w:i/>
              </w:rPr>
            </w:pPr>
            <w:r w:rsidRPr="00DE54D3">
              <w:rPr>
                <w:i/>
              </w:rPr>
              <w:t>Communication présentée par</w:t>
            </w:r>
            <w:r w:rsidRPr="00DE54D3">
              <w:t> :</w:t>
            </w:r>
          </w:p>
        </w:tc>
        <w:tc>
          <w:tcPr>
            <w:tcW w:w="3970" w:type="dxa"/>
          </w:tcPr>
          <w:p w14:paraId="6237C47E" w14:textId="77777777" w:rsidR="00B13F56" w:rsidRPr="00DE54D3" w:rsidRDefault="00B13F56" w:rsidP="008F4711">
            <w:pPr>
              <w:spacing w:after="120"/>
              <w:textAlignment w:val="baseline"/>
              <w:rPr>
                <w:kern w:val="3"/>
                <w:lang w:val="fr-FR"/>
              </w:rPr>
            </w:pPr>
            <w:r>
              <w:t>Mohamed</w:t>
            </w:r>
            <w:r w:rsidRPr="001A1065">
              <w:t xml:space="preserve"> </w:t>
            </w:r>
            <w:proofErr w:type="spellStart"/>
            <w:r>
              <w:t>Djaou</w:t>
            </w:r>
            <w:proofErr w:type="spellEnd"/>
            <w:r w:rsidRPr="00DE54D3">
              <w:rPr>
                <w:lang w:val="fr-FR"/>
              </w:rPr>
              <w:t xml:space="preserve"> </w:t>
            </w:r>
            <w:r>
              <w:rPr>
                <w:lang w:val="fr-FR"/>
              </w:rPr>
              <w:t>(</w:t>
            </w:r>
            <w:r w:rsidRPr="001A1065">
              <w:rPr>
                <w:lang w:val="fr-FR"/>
              </w:rPr>
              <w:t xml:space="preserve">représenté par un conseil de la Fondation </w:t>
            </w:r>
            <w:proofErr w:type="spellStart"/>
            <w:r w:rsidRPr="001A1065">
              <w:rPr>
                <w:lang w:val="fr-FR"/>
              </w:rPr>
              <w:t>Alkarama</w:t>
            </w:r>
            <w:proofErr w:type="spellEnd"/>
            <w:r>
              <w:rPr>
                <w:lang w:val="fr-FR"/>
              </w:rPr>
              <w:t>)</w:t>
            </w:r>
          </w:p>
        </w:tc>
      </w:tr>
      <w:tr w:rsidR="00B13F56" w:rsidRPr="00DE54D3" w14:paraId="3EC480B1" w14:textId="77777777" w:rsidTr="008F4711">
        <w:tc>
          <w:tcPr>
            <w:tcW w:w="2835" w:type="dxa"/>
          </w:tcPr>
          <w:p w14:paraId="32A1F7EC" w14:textId="77777777" w:rsidR="00B13F56" w:rsidRPr="00DE54D3" w:rsidRDefault="00B13F56" w:rsidP="008F4711">
            <w:pPr>
              <w:pStyle w:val="SingleTxtG"/>
              <w:ind w:left="0" w:right="0"/>
              <w:jc w:val="left"/>
              <w:rPr>
                <w:i/>
              </w:rPr>
            </w:pPr>
            <w:r w:rsidRPr="00DE54D3">
              <w:rPr>
                <w:i/>
              </w:rPr>
              <w:t>Victime(s) présumée(s)</w:t>
            </w:r>
            <w:r w:rsidRPr="00DE54D3">
              <w:t> :</w:t>
            </w:r>
          </w:p>
        </w:tc>
        <w:tc>
          <w:tcPr>
            <w:tcW w:w="3970" w:type="dxa"/>
          </w:tcPr>
          <w:p w14:paraId="0AB0E16B" w14:textId="77777777" w:rsidR="00B13F56" w:rsidRPr="00DE54D3" w:rsidRDefault="00B13F56" w:rsidP="008F4711">
            <w:pPr>
              <w:spacing w:after="120"/>
              <w:textAlignment w:val="baseline"/>
              <w:rPr>
                <w:kern w:val="3"/>
                <w:lang w:val="fr-FR"/>
              </w:rPr>
            </w:pPr>
            <w:r>
              <w:rPr>
                <w:kern w:val="3"/>
                <w:lang w:val="fr-FR"/>
              </w:rPr>
              <w:t xml:space="preserve">L’auteur et </w:t>
            </w:r>
            <w:proofErr w:type="spellStart"/>
            <w:r>
              <w:rPr>
                <w:kern w:val="3"/>
                <w:lang w:val="fr-FR"/>
              </w:rPr>
              <w:t>Tewfik</w:t>
            </w:r>
            <w:proofErr w:type="spellEnd"/>
            <w:r>
              <w:rPr>
                <w:kern w:val="3"/>
                <w:lang w:val="fr-FR"/>
              </w:rPr>
              <w:t xml:space="preserve"> </w:t>
            </w:r>
            <w:proofErr w:type="spellStart"/>
            <w:r>
              <w:rPr>
                <w:kern w:val="3"/>
                <w:lang w:val="fr-FR"/>
              </w:rPr>
              <w:t>Djaou</w:t>
            </w:r>
            <w:proofErr w:type="spellEnd"/>
            <w:r w:rsidRPr="001A1065">
              <w:rPr>
                <w:kern w:val="3"/>
                <w:lang w:val="fr-FR"/>
              </w:rPr>
              <w:t xml:space="preserve"> (</w:t>
            </w:r>
            <w:r>
              <w:rPr>
                <w:kern w:val="3"/>
                <w:lang w:val="fr-FR"/>
              </w:rPr>
              <w:t xml:space="preserve">fils </w:t>
            </w:r>
            <w:r w:rsidRPr="001A1065">
              <w:rPr>
                <w:kern w:val="3"/>
                <w:lang w:val="fr-FR"/>
              </w:rPr>
              <w:t>de l</w:t>
            </w:r>
            <w:r>
              <w:rPr>
                <w:kern w:val="3"/>
                <w:lang w:val="fr-FR"/>
              </w:rPr>
              <w:t>’</w:t>
            </w:r>
            <w:r w:rsidRPr="001A1065">
              <w:rPr>
                <w:kern w:val="3"/>
                <w:lang w:val="fr-FR"/>
              </w:rPr>
              <w:t>auteur)</w:t>
            </w:r>
          </w:p>
        </w:tc>
      </w:tr>
      <w:tr w:rsidR="00B13F56" w:rsidRPr="00DE54D3" w14:paraId="0262D637" w14:textId="77777777" w:rsidTr="008F4711">
        <w:tc>
          <w:tcPr>
            <w:tcW w:w="2835" w:type="dxa"/>
          </w:tcPr>
          <w:p w14:paraId="1389D055" w14:textId="77777777" w:rsidR="00B13F56" w:rsidRPr="00DE54D3" w:rsidRDefault="00B13F56" w:rsidP="008F4711">
            <w:pPr>
              <w:pStyle w:val="SingleTxtG"/>
              <w:ind w:left="0" w:right="0"/>
              <w:jc w:val="left"/>
              <w:rPr>
                <w:i/>
              </w:rPr>
            </w:pPr>
            <w:r w:rsidRPr="00DE54D3">
              <w:rPr>
                <w:i/>
              </w:rPr>
              <w:t>État partie</w:t>
            </w:r>
            <w:r w:rsidRPr="00DE54D3">
              <w:t> :</w:t>
            </w:r>
          </w:p>
        </w:tc>
        <w:tc>
          <w:tcPr>
            <w:tcW w:w="3970" w:type="dxa"/>
          </w:tcPr>
          <w:p w14:paraId="290A120A" w14:textId="77777777" w:rsidR="00B13F56" w:rsidRPr="00DE54D3" w:rsidRDefault="00B13F56" w:rsidP="008F4711">
            <w:pPr>
              <w:spacing w:after="120"/>
              <w:textAlignment w:val="baseline"/>
              <w:rPr>
                <w:kern w:val="3"/>
                <w:lang w:val="fr-FR"/>
              </w:rPr>
            </w:pPr>
            <w:r w:rsidRPr="00DE54D3">
              <w:rPr>
                <w:kern w:val="3"/>
                <w:lang w:val="fr-FR"/>
              </w:rPr>
              <w:t>Algérie</w:t>
            </w:r>
          </w:p>
        </w:tc>
      </w:tr>
      <w:tr w:rsidR="00B13F56" w:rsidRPr="00DE54D3" w14:paraId="04C9D815" w14:textId="77777777" w:rsidTr="008F4711">
        <w:tc>
          <w:tcPr>
            <w:tcW w:w="2835" w:type="dxa"/>
          </w:tcPr>
          <w:p w14:paraId="24C0A186" w14:textId="77777777" w:rsidR="00B13F56" w:rsidRPr="00DE54D3" w:rsidRDefault="00B13F56" w:rsidP="008F4711">
            <w:pPr>
              <w:pStyle w:val="SingleTxtG"/>
              <w:ind w:left="0" w:right="0"/>
              <w:jc w:val="left"/>
              <w:rPr>
                <w:i/>
              </w:rPr>
            </w:pPr>
            <w:r w:rsidRPr="00DE54D3">
              <w:rPr>
                <w:i/>
                <w:kern w:val="3"/>
                <w:lang w:val="fr-FR"/>
              </w:rPr>
              <w:t>Date de la communication </w:t>
            </w:r>
            <w:r w:rsidRPr="00DE54D3">
              <w:rPr>
                <w:kern w:val="3"/>
                <w:lang w:val="fr-FR"/>
              </w:rPr>
              <w:t>:</w:t>
            </w:r>
          </w:p>
        </w:tc>
        <w:tc>
          <w:tcPr>
            <w:tcW w:w="3970" w:type="dxa"/>
          </w:tcPr>
          <w:p w14:paraId="0D01453C" w14:textId="77777777" w:rsidR="00B13F56" w:rsidRPr="00DE54D3" w:rsidRDefault="00B13F56" w:rsidP="008F4711">
            <w:pPr>
              <w:spacing w:after="120"/>
              <w:textAlignment w:val="baseline"/>
              <w:rPr>
                <w:kern w:val="3"/>
                <w:lang w:val="fr-FR"/>
              </w:rPr>
            </w:pPr>
            <w:r>
              <w:rPr>
                <w:kern w:val="3"/>
                <w:lang w:val="fr-FR"/>
              </w:rPr>
              <w:t xml:space="preserve">26 juin </w:t>
            </w:r>
            <w:r w:rsidRPr="00DE54D3">
              <w:rPr>
                <w:kern w:val="3"/>
                <w:lang w:val="fr-FR"/>
              </w:rPr>
              <w:t>201</w:t>
            </w:r>
            <w:r>
              <w:rPr>
                <w:kern w:val="3"/>
                <w:lang w:val="fr-FR"/>
              </w:rPr>
              <w:t>5</w:t>
            </w:r>
            <w:r w:rsidRPr="00DE54D3">
              <w:rPr>
                <w:kern w:val="3"/>
                <w:lang w:val="fr-FR"/>
              </w:rPr>
              <w:t xml:space="preserve"> (date de la lettre initiale)</w:t>
            </w:r>
          </w:p>
        </w:tc>
      </w:tr>
      <w:tr w:rsidR="00B13F56" w:rsidRPr="00DE54D3" w14:paraId="3555E1F9" w14:textId="77777777" w:rsidTr="008F4711">
        <w:tc>
          <w:tcPr>
            <w:tcW w:w="2835" w:type="dxa"/>
          </w:tcPr>
          <w:p w14:paraId="4E734378" w14:textId="77777777" w:rsidR="00B13F56" w:rsidRPr="00DE54D3" w:rsidRDefault="00B13F56" w:rsidP="008F4711">
            <w:pPr>
              <w:pStyle w:val="SingleTxtG"/>
              <w:ind w:left="0" w:right="0"/>
              <w:jc w:val="left"/>
              <w:rPr>
                <w:i/>
              </w:rPr>
            </w:pPr>
            <w:r w:rsidRPr="00DE54D3">
              <w:rPr>
                <w:i/>
                <w:kern w:val="3"/>
                <w:lang w:val="fr-FR"/>
              </w:rPr>
              <w:t>Références </w:t>
            </w:r>
            <w:r w:rsidRPr="00DE54D3">
              <w:rPr>
                <w:kern w:val="3"/>
                <w:lang w:val="fr-FR"/>
              </w:rPr>
              <w:t>:</w:t>
            </w:r>
          </w:p>
        </w:tc>
        <w:tc>
          <w:tcPr>
            <w:tcW w:w="3970" w:type="dxa"/>
          </w:tcPr>
          <w:p w14:paraId="36F02205" w14:textId="77777777" w:rsidR="00B13F56" w:rsidRPr="00DE54D3" w:rsidRDefault="00B13F56" w:rsidP="008F4711">
            <w:pPr>
              <w:spacing w:after="120"/>
              <w:textAlignment w:val="baseline"/>
              <w:rPr>
                <w:kern w:val="3"/>
                <w:lang w:val="fr-FR"/>
              </w:rPr>
            </w:pPr>
            <w:r w:rsidRPr="00DE54D3">
              <w:rPr>
                <w:kern w:val="3"/>
                <w:lang w:val="fr-FR"/>
              </w:rPr>
              <w:t>Décision prise en application de l</w:t>
            </w:r>
            <w:r>
              <w:rPr>
                <w:kern w:val="3"/>
                <w:lang w:val="fr-FR"/>
              </w:rPr>
              <w:t>’</w:t>
            </w:r>
            <w:r w:rsidRPr="00DE54D3">
              <w:rPr>
                <w:kern w:val="3"/>
                <w:lang w:val="fr-FR"/>
              </w:rPr>
              <w:t xml:space="preserve">article 92 du </w:t>
            </w:r>
            <w:r>
              <w:rPr>
                <w:kern w:val="3"/>
                <w:lang w:val="fr-FR"/>
              </w:rPr>
              <w:t>R</w:t>
            </w:r>
            <w:r w:rsidRPr="00DE54D3">
              <w:rPr>
                <w:kern w:val="3"/>
                <w:lang w:val="fr-FR"/>
              </w:rPr>
              <w:t>èglement intérieur du Comité, communiquée à l</w:t>
            </w:r>
            <w:r>
              <w:rPr>
                <w:kern w:val="3"/>
                <w:lang w:val="fr-FR"/>
              </w:rPr>
              <w:t>’</w:t>
            </w:r>
            <w:r w:rsidRPr="00DE54D3">
              <w:rPr>
                <w:kern w:val="3"/>
                <w:lang w:val="fr-FR"/>
              </w:rPr>
              <w:t xml:space="preserve">État partie le </w:t>
            </w:r>
            <w:r>
              <w:rPr>
                <w:kern w:val="3"/>
                <w:lang w:val="fr-FR"/>
              </w:rPr>
              <w:t>14 septembre</w:t>
            </w:r>
            <w:r w:rsidRPr="00DE54D3">
              <w:rPr>
                <w:kern w:val="3"/>
                <w:lang w:val="fr-FR"/>
              </w:rPr>
              <w:t xml:space="preserve"> 201</w:t>
            </w:r>
            <w:r>
              <w:rPr>
                <w:kern w:val="3"/>
                <w:lang w:val="fr-FR"/>
              </w:rPr>
              <w:t>6</w:t>
            </w:r>
            <w:r w:rsidRPr="00DE54D3">
              <w:rPr>
                <w:kern w:val="3"/>
                <w:lang w:val="fr-FR"/>
              </w:rPr>
              <w:t xml:space="preserve"> (non publiée sous forme de document)</w:t>
            </w:r>
          </w:p>
        </w:tc>
      </w:tr>
      <w:tr w:rsidR="00B13F56" w:rsidRPr="00DE54D3" w14:paraId="30544E08" w14:textId="77777777" w:rsidTr="008F4711">
        <w:tc>
          <w:tcPr>
            <w:tcW w:w="2835" w:type="dxa"/>
          </w:tcPr>
          <w:p w14:paraId="3ACAE43A" w14:textId="77777777" w:rsidR="00B13F56" w:rsidRPr="00DE54D3" w:rsidRDefault="00B13F56" w:rsidP="008F4711">
            <w:pPr>
              <w:spacing w:after="120"/>
              <w:textAlignment w:val="baseline"/>
              <w:rPr>
                <w:kern w:val="3"/>
                <w:lang w:val="fr-FR"/>
              </w:rPr>
            </w:pPr>
            <w:r w:rsidRPr="00DE54D3">
              <w:rPr>
                <w:i/>
                <w:kern w:val="3"/>
                <w:lang w:val="fr-FR"/>
              </w:rPr>
              <w:t>Date des constatations </w:t>
            </w:r>
            <w:r w:rsidRPr="00DE54D3">
              <w:rPr>
                <w:kern w:val="3"/>
                <w:lang w:val="fr-FR"/>
              </w:rPr>
              <w:t>:</w:t>
            </w:r>
          </w:p>
        </w:tc>
        <w:tc>
          <w:tcPr>
            <w:tcW w:w="3970" w:type="dxa"/>
          </w:tcPr>
          <w:p w14:paraId="14A24596" w14:textId="77777777" w:rsidR="00B13F56" w:rsidRPr="00DE54D3" w:rsidRDefault="00B13F56" w:rsidP="008F4711">
            <w:pPr>
              <w:spacing w:after="120"/>
              <w:textAlignment w:val="baseline"/>
              <w:rPr>
                <w:kern w:val="3"/>
                <w:lang w:val="fr-FR"/>
              </w:rPr>
            </w:pPr>
            <w:r>
              <w:rPr>
                <w:kern w:val="3"/>
                <w:lang w:val="fr-FR"/>
              </w:rPr>
              <w:t>24 octobre 2022</w:t>
            </w:r>
          </w:p>
        </w:tc>
      </w:tr>
      <w:tr w:rsidR="00B13F56" w:rsidRPr="00DE54D3" w14:paraId="36572F33" w14:textId="77777777" w:rsidTr="008F4711">
        <w:tc>
          <w:tcPr>
            <w:tcW w:w="2835" w:type="dxa"/>
          </w:tcPr>
          <w:p w14:paraId="2D4247C6" w14:textId="77777777" w:rsidR="00B13F56" w:rsidRPr="00DE54D3" w:rsidRDefault="00B13F56" w:rsidP="008F4711">
            <w:pPr>
              <w:spacing w:after="120"/>
              <w:textAlignment w:val="baseline"/>
              <w:rPr>
                <w:kern w:val="3"/>
                <w:lang w:val="fr-FR"/>
              </w:rPr>
            </w:pPr>
            <w:r w:rsidRPr="00DE54D3">
              <w:rPr>
                <w:lang w:val="fr-FR"/>
              </w:rPr>
              <w:br w:type="page"/>
            </w:r>
            <w:r w:rsidRPr="00DE54D3">
              <w:rPr>
                <w:rFonts w:ascii="Calibri" w:hAnsi="Calibri" w:cs="Arial"/>
                <w:kern w:val="3"/>
                <w:lang w:val="fr-FR" w:eastAsia="en-GB"/>
              </w:rPr>
              <w:br w:type="page"/>
            </w:r>
            <w:r w:rsidRPr="00DE54D3">
              <w:rPr>
                <w:i/>
                <w:iCs/>
                <w:kern w:val="3"/>
                <w:lang w:val="fr-FR"/>
              </w:rPr>
              <w:t>Objet </w:t>
            </w:r>
            <w:r w:rsidRPr="00DE54D3">
              <w:rPr>
                <w:kern w:val="3"/>
                <w:lang w:val="fr-FR"/>
              </w:rPr>
              <w:t>:</w:t>
            </w:r>
          </w:p>
        </w:tc>
        <w:tc>
          <w:tcPr>
            <w:tcW w:w="3970" w:type="dxa"/>
          </w:tcPr>
          <w:p w14:paraId="62C8399D" w14:textId="77777777" w:rsidR="00B13F56" w:rsidRPr="00DE54D3" w:rsidRDefault="00B13F56" w:rsidP="008F4711">
            <w:pPr>
              <w:spacing w:after="120"/>
              <w:textAlignment w:val="baseline"/>
              <w:rPr>
                <w:kern w:val="3"/>
                <w:lang w:val="fr-FR"/>
              </w:rPr>
            </w:pPr>
            <w:r w:rsidRPr="00DE54D3">
              <w:rPr>
                <w:kern w:val="3"/>
                <w:lang w:val="fr-FR"/>
              </w:rPr>
              <w:t>Disparition forcée</w:t>
            </w:r>
          </w:p>
        </w:tc>
      </w:tr>
      <w:tr w:rsidR="00B13F56" w:rsidRPr="00DE54D3" w14:paraId="51598D82" w14:textId="77777777" w:rsidTr="008F4711">
        <w:tc>
          <w:tcPr>
            <w:tcW w:w="2835" w:type="dxa"/>
          </w:tcPr>
          <w:p w14:paraId="49BA9856" w14:textId="77777777" w:rsidR="00B13F56" w:rsidRPr="00DE54D3" w:rsidRDefault="00B13F56" w:rsidP="008F4711">
            <w:pPr>
              <w:spacing w:after="120"/>
              <w:textAlignment w:val="baseline"/>
              <w:rPr>
                <w:i/>
                <w:iCs/>
                <w:kern w:val="3"/>
                <w:lang w:val="fr-FR"/>
              </w:rPr>
            </w:pPr>
            <w:r w:rsidRPr="00DE54D3">
              <w:rPr>
                <w:i/>
                <w:iCs/>
                <w:kern w:val="3"/>
                <w:lang w:val="fr-FR"/>
              </w:rPr>
              <w:t>Question(s) de procédure </w:t>
            </w:r>
            <w:r w:rsidRPr="00DE54D3">
              <w:rPr>
                <w:kern w:val="3"/>
                <w:lang w:val="fr-FR"/>
              </w:rPr>
              <w:t>:</w:t>
            </w:r>
          </w:p>
        </w:tc>
        <w:tc>
          <w:tcPr>
            <w:tcW w:w="3970" w:type="dxa"/>
          </w:tcPr>
          <w:p w14:paraId="1672E8CC" w14:textId="77777777" w:rsidR="00B13F56" w:rsidRPr="00DE54D3" w:rsidRDefault="00B13F56" w:rsidP="008F4711">
            <w:pPr>
              <w:spacing w:after="120"/>
              <w:textAlignment w:val="baseline"/>
              <w:rPr>
                <w:kern w:val="3"/>
                <w:lang w:val="fr-FR"/>
              </w:rPr>
            </w:pPr>
            <w:r w:rsidRPr="00DE54D3">
              <w:rPr>
                <w:kern w:val="3"/>
                <w:lang w:val="fr-FR"/>
              </w:rPr>
              <w:t>Épuisement des recours internes</w:t>
            </w:r>
          </w:p>
        </w:tc>
      </w:tr>
      <w:tr w:rsidR="00B13F56" w:rsidRPr="00DE54D3" w14:paraId="1ADFDF54" w14:textId="77777777" w:rsidTr="008F4711">
        <w:tc>
          <w:tcPr>
            <w:tcW w:w="2835" w:type="dxa"/>
          </w:tcPr>
          <w:p w14:paraId="7396A54A" w14:textId="77777777" w:rsidR="00B13F56" w:rsidRPr="00DE54D3" w:rsidRDefault="00B13F56" w:rsidP="008F4711">
            <w:pPr>
              <w:spacing w:after="120"/>
              <w:textAlignment w:val="baseline"/>
              <w:rPr>
                <w:kern w:val="3"/>
                <w:lang w:val="fr-FR"/>
              </w:rPr>
            </w:pPr>
            <w:r w:rsidRPr="00DE54D3">
              <w:rPr>
                <w:i/>
                <w:iCs/>
                <w:kern w:val="3"/>
                <w:lang w:val="fr-FR"/>
              </w:rPr>
              <w:t>Question(s) de fond </w:t>
            </w:r>
            <w:r w:rsidRPr="00DE54D3">
              <w:rPr>
                <w:kern w:val="3"/>
                <w:lang w:val="fr-FR"/>
              </w:rPr>
              <w:t>:</w:t>
            </w:r>
          </w:p>
        </w:tc>
        <w:tc>
          <w:tcPr>
            <w:tcW w:w="3970" w:type="dxa"/>
          </w:tcPr>
          <w:p w14:paraId="75500BC1" w14:textId="77777777" w:rsidR="00B13F56" w:rsidRPr="00DE54D3" w:rsidRDefault="00B13F56" w:rsidP="008F4711">
            <w:pPr>
              <w:spacing w:after="120"/>
              <w:textAlignment w:val="baseline"/>
              <w:rPr>
                <w:kern w:val="3"/>
                <w:lang w:val="fr-FR"/>
              </w:rPr>
            </w:pPr>
            <w:r w:rsidRPr="00DE54D3">
              <w:rPr>
                <w:lang w:val="fr-FR"/>
              </w:rPr>
              <w:t>Droit à un recours utile ; peine ou traitement cruel, inhumain ou dégradant ; liberté et sécurité de la personne ; dignité humaine ; reconnaissance de la personnalité juridique</w:t>
            </w:r>
          </w:p>
        </w:tc>
      </w:tr>
      <w:tr w:rsidR="00B13F56" w:rsidRPr="00DE54D3" w14:paraId="6ABB65A1" w14:textId="77777777" w:rsidTr="008F4711">
        <w:tc>
          <w:tcPr>
            <w:tcW w:w="2835" w:type="dxa"/>
          </w:tcPr>
          <w:p w14:paraId="198768DE" w14:textId="77777777" w:rsidR="00B13F56" w:rsidRPr="00DE54D3" w:rsidRDefault="00B13F56" w:rsidP="008F4711">
            <w:pPr>
              <w:spacing w:after="120"/>
              <w:textAlignment w:val="baseline"/>
              <w:rPr>
                <w:kern w:val="3"/>
                <w:lang w:val="fr-FR"/>
              </w:rPr>
            </w:pPr>
            <w:r w:rsidRPr="00DE54D3">
              <w:rPr>
                <w:i/>
                <w:iCs/>
                <w:kern w:val="3"/>
                <w:lang w:val="fr-FR"/>
              </w:rPr>
              <w:t>Article(s) du Pacte </w:t>
            </w:r>
            <w:r w:rsidRPr="00DE54D3">
              <w:rPr>
                <w:kern w:val="3"/>
                <w:lang w:val="fr-FR"/>
              </w:rPr>
              <w:t>:</w:t>
            </w:r>
          </w:p>
        </w:tc>
        <w:tc>
          <w:tcPr>
            <w:tcW w:w="3970" w:type="dxa"/>
          </w:tcPr>
          <w:p w14:paraId="7ACECDD5" w14:textId="77777777" w:rsidR="00B13F56" w:rsidRPr="00DE54D3" w:rsidRDefault="00B13F56" w:rsidP="008F4711">
            <w:pPr>
              <w:spacing w:after="120"/>
              <w:textAlignment w:val="baseline"/>
              <w:rPr>
                <w:kern w:val="3"/>
                <w:lang w:val="fr-FR"/>
              </w:rPr>
            </w:pPr>
            <w:r>
              <w:rPr>
                <w:kern w:val="3"/>
                <w:lang w:val="fr-FR"/>
              </w:rPr>
              <w:t xml:space="preserve">2 (par. 2 et </w:t>
            </w:r>
            <w:r w:rsidRPr="00DE54D3">
              <w:rPr>
                <w:kern w:val="3"/>
                <w:lang w:val="fr-FR"/>
              </w:rPr>
              <w:t>3), 6</w:t>
            </w:r>
            <w:r>
              <w:rPr>
                <w:kern w:val="3"/>
                <w:lang w:val="fr-FR"/>
              </w:rPr>
              <w:t xml:space="preserve"> (par. 1)</w:t>
            </w:r>
            <w:r w:rsidRPr="00DE54D3">
              <w:rPr>
                <w:kern w:val="3"/>
                <w:lang w:val="fr-FR"/>
              </w:rPr>
              <w:t>, 7, 9, 10</w:t>
            </w:r>
            <w:r>
              <w:rPr>
                <w:kern w:val="3"/>
                <w:lang w:val="fr-FR"/>
              </w:rPr>
              <w:t>, 16, 19 et 23 (par. 1)</w:t>
            </w:r>
          </w:p>
        </w:tc>
      </w:tr>
      <w:tr w:rsidR="00B13F56" w:rsidRPr="00DE54D3" w14:paraId="51AC673D" w14:textId="77777777" w:rsidTr="008F4711">
        <w:tc>
          <w:tcPr>
            <w:tcW w:w="2835" w:type="dxa"/>
          </w:tcPr>
          <w:p w14:paraId="3236B811" w14:textId="77777777" w:rsidR="00B13F56" w:rsidRPr="00DE54D3" w:rsidRDefault="00B13F56" w:rsidP="008F4711">
            <w:pPr>
              <w:spacing w:after="120"/>
              <w:textAlignment w:val="baseline"/>
              <w:rPr>
                <w:kern w:val="3"/>
                <w:lang w:val="fr-FR"/>
              </w:rPr>
            </w:pPr>
            <w:r w:rsidRPr="00DE54D3">
              <w:rPr>
                <w:i/>
                <w:iCs/>
                <w:kern w:val="3"/>
                <w:lang w:val="fr-FR"/>
              </w:rPr>
              <w:t>Article(s) du Protocole facultatif </w:t>
            </w:r>
            <w:r w:rsidRPr="00DE54D3">
              <w:rPr>
                <w:kern w:val="3"/>
                <w:lang w:val="fr-FR"/>
              </w:rPr>
              <w:t>:</w:t>
            </w:r>
          </w:p>
        </w:tc>
        <w:tc>
          <w:tcPr>
            <w:tcW w:w="3970" w:type="dxa"/>
          </w:tcPr>
          <w:p w14:paraId="78403133" w14:textId="77777777" w:rsidR="00B13F56" w:rsidRPr="00DE54D3" w:rsidRDefault="00B13F56" w:rsidP="008F4711">
            <w:pPr>
              <w:spacing w:after="120"/>
              <w:textAlignment w:val="baseline"/>
              <w:rPr>
                <w:kern w:val="3"/>
                <w:lang w:val="fr-FR"/>
              </w:rPr>
            </w:pPr>
            <w:r w:rsidRPr="00DE54D3">
              <w:rPr>
                <w:kern w:val="3"/>
                <w:lang w:val="fr-FR"/>
              </w:rPr>
              <w:t>2, 3 et 5 (par. 2)</w:t>
            </w:r>
          </w:p>
        </w:tc>
      </w:tr>
    </w:tbl>
    <w:p w14:paraId="5E0176C9" w14:textId="77777777" w:rsidR="00B13F56" w:rsidRPr="00DE54D3" w:rsidRDefault="00B13F56" w:rsidP="00B13F56">
      <w:pPr>
        <w:pStyle w:val="SingleTxtG"/>
      </w:pPr>
      <w:r w:rsidRPr="00DE54D3">
        <w:t>1.</w:t>
      </w:r>
      <w:r w:rsidRPr="00DE54D3">
        <w:tab/>
      </w:r>
      <w:r>
        <w:t>L’auteur</w:t>
      </w:r>
      <w:r w:rsidRPr="00612043">
        <w:t xml:space="preserve"> de la communication est </w:t>
      </w:r>
      <w:r w:rsidRPr="0087762C">
        <w:t xml:space="preserve">Mohamed </w:t>
      </w:r>
      <w:proofErr w:type="spellStart"/>
      <w:r w:rsidRPr="0087762C">
        <w:t>Djaou</w:t>
      </w:r>
      <w:proofErr w:type="spellEnd"/>
      <w:r w:rsidRPr="00612043">
        <w:t xml:space="preserve">, </w:t>
      </w:r>
      <w:r>
        <w:t xml:space="preserve">né le 28 septembre 1936, </w:t>
      </w:r>
      <w:r w:rsidRPr="00612043">
        <w:t xml:space="preserve">de nationalité algérienne. </w:t>
      </w:r>
      <w:r>
        <w:t>Il fait valoir que son fils</w:t>
      </w:r>
      <w:r w:rsidRPr="00612043">
        <w:t xml:space="preserve">, </w:t>
      </w:r>
      <w:proofErr w:type="spellStart"/>
      <w:r>
        <w:t>Tewfik</w:t>
      </w:r>
      <w:proofErr w:type="spellEnd"/>
      <w:r>
        <w:t xml:space="preserve"> </w:t>
      </w:r>
      <w:proofErr w:type="spellStart"/>
      <w:r>
        <w:t>Djaou</w:t>
      </w:r>
      <w:proofErr w:type="spellEnd"/>
      <w:r>
        <w:t>, né le 22 octobre 1962</w:t>
      </w:r>
      <w:r w:rsidRPr="00612043">
        <w:t xml:space="preserve">, </w:t>
      </w:r>
      <w:r>
        <w:t xml:space="preserve">également </w:t>
      </w:r>
      <w:r w:rsidRPr="00612043">
        <w:t>de nationalité algérienne, est victime d</w:t>
      </w:r>
      <w:r>
        <w:t>’</w:t>
      </w:r>
      <w:r w:rsidRPr="00612043">
        <w:t>une disparition forcée imputable à l</w:t>
      </w:r>
      <w:r>
        <w:t>’</w:t>
      </w:r>
      <w:r w:rsidRPr="00612043">
        <w:t>État partie</w:t>
      </w:r>
      <w:r w:rsidRPr="00DE54D3">
        <w:t xml:space="preserve">, </w:t>
      </w:r>
      <w:r w:rsidRPr="00612043">
        <w:t>en violation des articles 6, 7, 9, 10</w:t>
      </w:r>
      <w:r>
        <w:t>,</w:t>
      </w:r>
      <w:r w:rsidRPr="00612043">
        <w:t xml:space="preserve"> 16 </w:t>
      </w:r>
      <w:r>
        <w:t xml:space="preserve">et 23 (par. 1) </w:t>
      </w:r>
      <w:r w:rsidRPr="00612043">
        <w:t>du Pact</w:t>
      </w:r>
      <w:r>
        <w:t xml:space="preserve">e, ainsi que de l’article 2 (par. 3), lu seul et conjointement avec les articles </w:t>
      </w:r>
      <w:r w:rsidRPr="00612043">
        <w:t>6, 7, 9, 10</w:t>
      </w:r>
      <w:r>
        <w:t>,</w:t>
      </w:r>
      <w:r w:rsidRPr="00612043">
        <w:t xml:space="preserve"> 16 </w:t>
      </w:r>
      <w:r>
        <w:t>et 23 (par. 1). L’auteur</w:t>
      </w:r>
      <w:r w:rsidRPr="00612043">
        <w:t xml:space="preserve"> soutient par ailleurs être </w:t>
      </w:r>
      <w:r>
        <w:t xml:space="preserve">lui-même </w:t>
      </w:r>
      <w:r w:rsidRPr="00612043">
        <w:t>victime d</w:t>
      </w:r>
      <w:r>
        <w:t>’</w:t>
      </w:r>
      <w:r w:rsidRPr="00612043">
        <w:t>une violation de ses droits au titr</w:t>
      </w:r>
      <w:r>
        <w:t>e de l’article 2 (par. 3),</w:t>
      </w:r>
      <w:r w:rsidRPr="00612043">
        <w:t xml:space="preserve"> </w:t>
      </w:r>
      <w:r>
        <w:t xml:space="preserve">de l’article </w:t>
      </w:r>
      <w:r w:rsidRPr="00612043">
        <w:t>7</w:t>
      </w:r>
      <w:r>
        <w:t>, lu seul et conjointement avec l’article 2 (par. 3), et de l’article 23 (par. 1) du Pacte.</w:t>
      </w:r>
      <w:r w:rsidRPr="00612043">
        <w:t xml:space="preserve"> </w:t>
      </w:r>
      <w:r>
        <w:t xml:space="preserve">L’auteur fait aussi valoir une violation de </w:t>
      </w:r>
      <w:r w:rsidRPr="00B11211">
        <w:rPr>
          <w:lang w:val="fr-FR"/>
        </w:rPr>
        <w:t>l</w:t>
      </w:r>
      <w:r>
        <w:rPr>
          <w:lang w:val="fr-FR"/>
        </w:rPr>
        <w:t>’</w:t>
      </w:r>
      <w:r w:rsidRPr="00B11211">
        <w:rPr>
          <w:lang w:val="fr-FR"/>
        </w:rPr>
        <w:t xml:space="preserve">article 2 </w:t>
      </w:r>
      <w:r>
        <w:rPr>
          <w:lang w:val="fr-FR"/>
        </w:rPr>
        <w:t xml:space="preserve">(par. </w:t>
      </w:r>
      <w:r w:rsidRPr="00B11211">
        <w:rPr>
          <w:lang w:val="fr-FR"/>
        </w:rPr>
        <w:t>2</w:t>
      </w:r>
      <w:r>
        <w:rPr>
          <w:lang w:val="fr-FR"/>
        </w:rPr>
        <w:t>)</w:t>
      </w:r>
      <w:r w:rsidRPr="00B11211">
        <w:rPr>
          <w:lang w:val="fr-FR"/>
        </w:rPr>
        <w:t xml:space="preserve">, lu </w:t>
      </w:r>
      <w:r w:rsidRPr="00B11211">
        <w:rPr>
          <w:lang w:val="fr-FR"/>
        </w:rPr>
        <w:lastRenderedPageBreak/>
        <w:t xml:space="preserve">conjointement avec </w:t>
      </w:r>
      <w:r>
        <w:rPr>
          <w:lang w:val="fr-FR"/>
        </w:rPr>
        <w:t xml:space="preserve">les </w:t>
      </w:r>
      <w:r w:rsidRPr="00B11211">
        <w:rPr>
          <w:lang w:val="fr-FR"/>
        </w:rPr>
        <w:t>article</w:t>
      </w:r>
      <w:r>
        <w:rPr>
          <w:lang w:val="fr-FR"/>
        </w:rPr>
        <w:t>s</w:t>
      </w:r>
      <w:r w:rsidRPr="00B11211">
        <w:rPr>
          <w:lang w:val="fr-FR"/>
        </w:rPr>
        <w:t xml:space="preserve"> 2 </w:t>
      </w:r>
      <w:r>
        <w:rPr>
          <w:lang w:val="fr-FR"/>
        </w:rPr>
        <w:t xml:space="preserve">(par. </w:t>
      </w:r>
      <w:r w:rsidRPr="00B11211">
        <w:rPr>
          <w:lang w:val="fr-FR"/>
        </w:rPr>
        <w:t>3</w:t>
      </w:r>
      <w:r>
        <w:rPr>
          <w:lang w:val="fr-FR"/>
        </w:rPr>
        <w:t>) et</w:t>
      </w:r>
      <w:r w:rsidRPr="00B11211">
        <w:rPr>
          <w:lang w:val="fr-FR"/>
        </w:rPr>
        <w:t xml:space="preserve"> 19</w:t>
      </w:r>
      <w:r>
        <w:rPr>
          <w:lang w:val="fr-FR"/>
        </w:rPr>
        <w:t xml:space="preserve"> du Pacte</w:t>
      </w:r>
      <w:r w:rsidRPr="00354FCF">
        <w:rPr>
          <w:rStyle w:val="Appelnotedebasdep"/>
        </w:rPr>
        <w:footnoteReference w:id="4"/>
      </w:r>
      <w:r>
        <w:rPr>
          <w:lang w:val="fr-FR"/>
        </w:rPr>
        <w:t>.</w:t>
      </w:r>
      <w:r w:rsidRPr="00612043">
        <w:t xml:space="preserve"> Le Pacte et le Protocole facultatif s</w:t>
      </w:r>
      <w:r>
        <w:t>’</w:t>
      </w:r>
      <w:r w:rsidRPr="00612043">
        <w:t>y rapportant sont entrés en vigueur pour l</w:t>
      </w:r>
      <w:r>
        <w:t>’</w:t>
      </w:r>
      <w:r w:rsidRPr="00612043">
        <w:t>État parti</w:t>
      </w:r>
      <w:r>
        <w:t>e le 12 décembre 1989. L’auteur est représenté</w:t>
      </w:r>
      <w:r w:rsidRPr="00612043">
        <w:t xml:space="preserve"> par un conseil.</w:t>
      </w:r>
    </w:p>
    <w:p w14:paraId="7936DEDF" w14:textId="77777777" w:rsidR="00B13F56" w:rsidRPr="00DE54D3" w:rsidRDefault="00B13F56" w:rsidP="00B13F56">
      <w:pPr>
        <w:pStyle w:val="H23G"/>
      </w:pPr>
      <w:r>
        <w:tab/>
      </w:r>
      <w:r w:rsidRPr="00DE54D3">
        <w:tab/>
        <w:t>Rappel des faits présentés par l</w:t>
      </w:r>
      <w:r>
        <w:t>’</w:t>
      </w:r>
      <w:r w:rsidRPr="00DE54D3">
        <w:t>auteur</w:t>
      </w:r>
    </w:p>
    <w:p w14:paraId="491119C1" w14:textId="77777777" w:rsidR="00B13F56" w:rsidRDefault="00B13F56" w:rsidP="00B13F56">
      <w:pPr>
        <w:pStyle w:val="SingleTxtG"/>
      </w:pPr>
      <w:r w:rsidRPr="00DE54D3">
        <w:t>2.1</w:t>
      </w:r>
      <w:r>
        <w:tab/>
        <w:t>L’auteur est un officier de police à la retraite, ainsi qu’un ancien combattant</w:t>
      </w:r>
      <w:r w:rsidRPr="00DB554F">
        <w:t xml:space="preserve"> de l</w:t>
      </w:r>
      <w:r>
        <w:t>’</w:t>
      </w:r>
      <w:r w:rsidRPr="00DB554F">
        <w:t xml:space="preserve">Armée de </w:t>
      </w:r>
      <w:r>
        <w:t>l</w:t>
      </w:r>
      <w:r w:rsidRPr="00DB554F">
        <w:t xml:space="preserve">ibération </w:t>
      </w:r>
      <w:r>
        <w:t>n</w:t>
      </w:r>
      <w:r w:rsidRPr="00DB554F">
        <w:t xml:space="preserve">ationale, créée en 1954 </w:t>
      </w:r>
      <w:r>
        <w:t>afin de</w:t>
      </w:r>
      <w:r w:rsidRPr="00DB554F">
        <w:t xml:space="preserve"> lutter pour l</w:t>
      </w:r>
      <w:r>
        <w:t>’</w:t>
      </w:r>
      <w:r w:rsidRPr="00DB554F">
        <w:t>indépend</w:t>
      </w:r>
      <w:r>
        <w:t xml:space="preserve">ance de l’Algérie. </w:t>
      </w:r>
      <w:r w:rsidRPr="00527012">
        <w:t>En raison d</w:t>
      </w:r>
      <w:r>
        <w:t>e ses compétences</w:t>
      </w:r>
      <w:r w:rsidRPr="00527012">
        <w:t xml:space="preserve">, </w:t>
      </w:r>
      <w:r>
        <w:t xml:space="preserve">le </w:t>
      </w:r>
      <w:r w:rsidRPr="008112C8">
        <w:t>Département d</w:t>
      </w:r>
      <w:r>
        <w:t>u</w:t>
      </w:r>
      <w:r w:rsidRPr="008112C8">
        <w:t xml:space="preserve"> renseignement et de la sécurité algérien</w:t>
      </w:r>
      <w:r w:rsidRPr="00DB554F">
        <w:t xml:space="preserve"> lui </w:t>
      </w:r>
      <w:r>
        <w:t xml:space="preserve">a </w:t>
      </w:r>
      <w:r w:rsidRPr="00DB554F">
        <w:t xml:space="preserve">demandé </w:t>
      </w:r>
      <w:r>
        <w:t xml:space="preserve">à de nombreuses reprises </w:t>
      </w:r>
      <w:r w:rsidRPr="00DB554F">
        <w:t>de s</w:t>
      </w:r>
      <w:r>
        <w:t>’</w:t>
      </w:r>
      <w:r w:rsidRPr="00DB554F">
        <w:t>engager à la tête d</w:t>
      </w:r>
      <w:r>
        <w:t>’</w:t>
      </w:r>
      <w:r w:rsidRPr="00DB554F">
        <w:t xml:space="preserve">une milice </w:t>
      </w:r>
      <w:r>
        <w:t>armée à Constantine, afin de lutter contre les groupes islamistes armés. À cet effet, il a souvent été convoqué à la caserne de Bellevue, où les officiers du Département ont tenté de le convaincre. Toutefois, devant son refus, ceux-ci l’ont qualifié de traître, insulté et menacé de représailles. Quelques semaines après sa dernière convocation à la caserne, les officiers ont mis leurs menaces à exécution en enlevant son fils.</w:t>
      </w:r>
    </w:p>
    <w:p w14:paraId="3015EDFC" w14:textId="77777777" w:rsidR="00B13F56" w:rsidRDefault="00B13F56" w:rsidP="00B13F56">
      <w:pPr>
        <w:pStyle w:val="SingleTxtG"/>
      </w:pPr>
      <w:r>
        <w:t>2.2</w:t>
      </w:r>
      <w:r w:rsidRPr="00DE54D3">
        <w:tab/>
      </w:r>
      <w:r>
        <w:t xml:space="preserve">En effet, le 29 octobre 1997, </w:t>
      </w:r>
      <w:proofErr w:type="spellStart"/>
      <w:r w:rsidRPr="00CA6DA9">
        <w:t>Tewfik</w:t>
      </w:r>
      <w:proofErr w:type="spellEnd"/>
      <w:r w:rsidRPr="00CA6DA9">
        <w:t xml:space="preserve"> </w:t>
      </w:r>
      <w:proofErr w:type="spellStart"/>
      <w:r w:rsidRPr="00CA6DA9">
        <w:t>Djaou</w:t>
      </w:r>
      <w:proofErr w:type="spellEnd"/>
      <w:r>
        <w:t xml:space="preserve"> − qui</w:t>
      </w:r>
      <w:r w:rsidRPr="00FC049E">
        <w:t xml:space="preserve"> e</w:t>
      </w:r>
      <w:r>
        <w:t xml:space="preserve">xerçait la profession de bijoutier et possédait un commerce à Constantine − se trouvait dans sa bijouterie avec son frère Farid, lorsqu’aux alentours de 9 heures du matin, des agents armés du </w:t>
      </w:r>
      <w:r w:rsidRPr="008112C8">
        <w:t>Département d</w:t>
      </w:r>
      <w:r>
        <w:t>u</w:t>
      </w:r>
      <w:r w:rsidRPr="008112C8">
        <w:t xml:space="preserve"> renseignement et de la sécurité</w:t>
      </w:r>
      <w:r>
        <w:t>, certains en tenue civile et d’autres en uniforme, sont arrivés sur les lieux à bord de plusieurs véhicules, dont quelques-uns de couleur blanche habituellement utilisés par les services d’intervention du Département. En plus des deux frères, sept employés se trouvaient sur les lieux</w:t>
      </w:r>
      <w:r w:rsidRPr="00354FCF">
        <w:rPr>
          <w:rStyle w:val="Appelnotedebasdep"/>
        </w:rPr>
        <w:footnoteReference w:id="5"/>
      </w:r>
      <w:r>
        <w:t>.</w:t>
      </w:r>
    </w:p>
    <w:p w14:paraId="5457B376" w14:textId="77777777" w:rsidR="00B13F56" w:rsidRDefault="00B13F56" w:rsidP="00B13F56">
      <w:pPr>
        <w:pStyle w:val="SingleTxtG"/>
      </w:pPr>
      <w:r>
        <w:t>2.3</w:t>
      </w:r>
      <w:r>
        <w:tab/>
        <w:t xml:space="preserve">Les militaires étaient venus en grand nombre − plusieurs dizaines − et ont fermé la rue à la circulation. Seuls trois d’entre eux sont entrés et ont fouillé la bijouterie avant de s’emparer de la totalité des bijoux exposés en vitrine. Ils ont ensuite demandé à </w:t>
      </w:r>
      <w:proofErr w:type="spellStart"/>
      <w:r>
        <w:t>Tewfik</w:t>
      </w:r>
      <w:proofErr w:type="spellEnd"/>
      <w:r>
        <w:t xml:space="preserve"> </w:t>
      </w:r>
      <w:proofErr w:type="spellStart"/>
      <w:r>
        <w:t>Djaou</w:t>
      </w:r>
      <w:proofErr w:type="spellEnd"/>
      <w:r>
        <w:t xml:space="preserve"> d’ouvrir le coffre-fort avant d’en vider le contenu</w:t>
      </w:r>
      <w:r w:rsidRPr="00354FCF">
        <w:rPr>
          <w:rStyle w:val="Appelnotedebasdep"/>
        </w:rPr>
        <w:footnoteReference w:id="6"/>
      </w:r>
      <w:r>
        <w:t xml:space="preserve">. Après avoir placé les bijoux et l’argent dans des sacs, les militaires ont menotté </w:t>
      </w:r>
      <w:proofErr w:type="spellStart"/>
      <w:r>
        <w:t>Tewfik</w:t>
      </w:r>
      <w:proofErr w:type="spellEnd"/>
      <w:r>
        <w:t xml:space="preserve"> </w:t>
      </w:r>
      <w:proofErr w:type="spellStart"/>
      <w:r>
        <w:t>Djaou</w:t>
      </w:r>
      <w:proofErr w:type="spellEnd"/>
      <w:r>
        <w:t xml:space="preserve"> et l’ont introduit de force dans le coffre de l’un des véhicules pour l’emmener vers une destination inconnue. Depuis ce jour, ses proches ne l’ont plus jamais revu.</w:t>
      </w:r>
    </w:p>
    <w:p w14:paraId="438CAAAE" w14:textId="77777777" w:rsidR="00B13F56" w:rsidRDefault="00B13F56" w:rsidP="00B13F56">
      <w:pPr>
        <w:pStyle w:val="SingleTxtG"/>
      </w:pPr>
      <w:r>
        <w:t>2.4</w:t>
      </w:r>
      <w:r>
        <w:tab/>
        <w:t xml:space="preserve">Immédiatement après la nouvelle de l’arrestation de son fils, l’auteur − ayant compris que les services du </w:t>
      </w:r>
      <w:r w:rsidRPr="008112C8">
        <w:t>Département d</w:t>
      </w:r>
      <w:r>
        <w:t>u</w:t>
      </w:r>
      <w:r w:rsidRPr="008112C8">
        <w:t xml:space="preserve"> renseignement et de la sécurité</w:t>
      </w:r>
      <w:r>
        <w:t xml:space="preserve"> avaient mis leurs menaces à exécution − s’est rendu à la caserne de Bellevue pour demander à voir son fils. Les agents présents l’ont renvoyé en lui disant que son fils n’était pas détenu dans les locaux de la caserne. L’auteur est alors entré en contact avec l’un des agents qu’il connaissait depuis l’époque de la guerre de libération pour avoir été l’un de ses compagnons d’armes, mais celui-ci n’a pu lui fournir aucune information puisqu’il était en congé au moment des faits.</w:t>
      </w:r>
    </w:p>
    <w:p w14:paraId="067CB5DF" w14:textId="77777777" w:rsidR="00B13F56" w:rsidRDefault="00B13F56" w:rsidP="00B13F56">
      <w:pPr>
        <w:pStyle w:val="SingleTxtG"/>
      </w:pPr>
      <w:r>
        <w:t>2.5</w:t>
      </w:r>
      <w:r>
        <w:tab/>
        <w:t xml:space="preserve">Ce n’est qu’en janvier 1998 que l’auteur a été informé − par une personne récemment libérée par le </w:t>
      </w:r>
      <w:r w:rsidRPr="008112C8">
        <w:t>Département d</w:t>
      </w:r>
      <w:r>
        <w:t>u</w:t>
      </w:r>
      <w:r w:rsidRPr="008112C8">
        <w:t xml:space="preserve"> renseignement et de la sécurité</w:t>
      </w:r>
      <w:r>
        <w:t xml:space="preserve"> de la caserne de Bellevue − que son fils s’y trouvait encore au jour de la libération de cette personne. L’auteur s’est de nouveau rendu à la caserne, espérant obtenir des nouvelles de son fils, mais une nouvelle fois, il a été renvoyé par les agents du poste de garde. Il s’est également rendu dans d’autres casernes de l’armée où il pensait que son fils avait pu être transféré, mais sans résultat.</w:t>
      </w:r>
    </w:p>
    <w:p w14:paraId="7959EB9F" w14:textId="77777777" w:rsidR="00B13F56" w:rsidRDefault="00B13F56" w:rsidP="00B13F56">
      <w:pPr>
        <w:pStyle w:val="SingleTxtG"/>
      </w:pPr>
      <w:r>
        <w:t>2.6</w:t>
      </w:r>
      <w:r>
        <w:tab/>
        <w:t xml:space="preserve">En mai 1998, une deuxième personne libérée a pris l’initiative d’informer l’auteur qu’elle avait été détenue avec son fils à la caserne de Bellevue, que celui-ci était toujours en vie au moment de sa libération, mais qu’il avait cependant été sévèrement torturé. Ce témoin a indiqué que </w:t>
      </w:r>
      <w:proofErr w:type="spellStart"/>
      <w:r>
        <w:t>Tewfik</w:t>
      </w:r>
      <w:proofErr w:type="spellEnd"/>
      <w:r>
        <w:t xml:space="preserve"> </w:t>
      </w:r>
      <w:proofErr w:type="spellStart"/>
      <w:r>
        <w:t>Djaou</w:t>
      </w:r>
      <w:proofErr w:type="spellEnd"/>
      <w:r>
        <w:t xml:space="preserve"> avait été soumis à des interrogatoires au cours desquels il avait été violemment battu et électrocuté. Il lui a également indiqué que, durant l’hiver,</w:t>
      </w:r>
      <w:r w:rsidRPr="005B0C27">
        <w:t xml:space="preserve"> </w:t>
      </w:r>
      <w:proofErr w:type="spellStart"/>
      <w:r w:rsidRPr="005B0C27">
        <w:t>Tewfik</w:t>
      </w:r>
      <w:proofErr w:type="spellEnd"/>
      <w:r>
        <w:t> </w:t>
      </w:r>
      <w:proofErr w:type="spellStart"/>
      <w:r w:rsidRPr="005B0C27">
        <w:t>Djaou</w:t>
      </w:r>
      <w:proofErr w:type="spellEnd"/>
      <w:r>
        <w:t xml:space="preserve"> était régulièrement sorti dans la cour de la caserne, complètement nu et attaché </w:t>
      </w:r>
      <w:r>
        <w:lastRenderedPageBreak/>
        <w:t>sous une gouttière dans le froid glacial. Depuis ce dernier témoignage, l’auteur n’a plus eu aucune information sur le sort de son fils, dont les autorités ont continué à nier la détention.</w:t>
      </w:r>
    </w:p>
    <w:p w14:paraId="09B13B23" w14:textId="77777777" w:rsidR="00B13F56" w:rsidRDefault="00B13F56" w:rsidP="00B13F56">
      <w:pPr>
        <w:pStyle w:val="SingleTxtG"/>
      </w:pPr>
      <w:r>
        <w:t>2.7</w:t>
      </w:r>
      <w:r>
        <w:tab/>
        <w:t xml:space="preserve">À une date non précisée, l’auteur a saisi le Procureur de la République de Constantine, territorialement compétent, mais celui-ci a refusé d’enregistrer sa plainte. Il a également saisi le Procureur militaire en précisant que son fils avait été arrêté par l’armée et détenu − selon plusieurs témoignages − à la caserne de Bellevue, dirigée par les services du </w:t>
      </w:r>
      <w:r w:rsidRPr="008112C8">
        <w:t>Département d</w:t>
      </w:r>
      <w:r>
        <w:t>u</w:t>
      </w:r>
      <w:r w:rsidRPr="008112C8">
        <w:t xml:space="preserve"> renseignement et de la sécurité</w:t>
      </w:r>
      <w:r>
        <w:t>. De nouveau, il s’est vu opposer une fin de non-recevoir.</w:t>
      </w:r>
    </w:p>
    <w:p w14:paraId="6F36514E" w14:textId="77777777" w:rsidR="00B13F56" w:rsidRDefault="00B13F56" w:rsidP="00B13F56">
      <w:pPr>
        <w:pStyle w:val="SingleTxtG"/>
      </w:pPr>
      <w:r>
        <w:t>2.8</w:t>
      </w:r>
      <w:r>
        <w:tab/>
        <w:t xml:space="preserve">Pour sa part, l’épouse de </w:t>
      </w:r>
      <w:proofErr w:type="spellStart"/>
      <w:r>
        <w:t>Tewfik</w:t>
      </w:r>
      <w:proofErr w:type="spellEnd"/>
      <w:r>
        <w:t xml:space="preserve"> </w:t>
      </w:r>
      <w:proofErr w:type="spellStart"/>
      <w:r>
        <w:t>Djaou</w:t>
      </w:r>
      <w:proofErr w:type="spellEnd"/>
      <w:r>
        <w:t xml:space="preserve"> a tenté d’effectuer des démarches auprès des mêmes autorités judiciaires, sans plus de succès. Vivant une situation particulièrement difficile, y compris du fait qu’elle ne pouvait légalement pas être la tutrice de ses enfants mineurs, l’épouse de </w:t>
      </w:r>
      <w:proofErr w:type="spellStart"/>
      <w:r>
        <w:t>Tewfik</w:t>
      </w:r>
      <w:proofErr w:type="spellEnd"/>
      <w:r>
        <w:t xml:space="preserve"> </w:t>
      </w:r>
      <w:proofErr w:type="spellStart"/>
      <w:r>
        <w:t>Djaou</w:t>
      </w:r>
      <w:proofErr w:type="spellEnd"/>
      <w:r>
        <w:t xml:space="preserve"> a engagé des démarches administratives en 2006 pour que soit reconnue sa disparition et soit ainsi rédigé un acte de décès lui permettant d’obtenir la tutelle légale de ses enfants. Le 22 juillet 2006, un constat de disparition a été établi par les services du </w:t>
      </w:r>
      <w:proofErr w:type="spellStart"/>
      <w:r>
        <w:t>Dark</w:t>
      </w:r>
      <w:proofErr w:type="spellEnd"/>
      <w:r>
        <w:t xml:space="preserve"> Al </w:t>
      </w:r>
      <w:proofErr w:type="spellStart"/>
      <w:r>
        <w:t>Watani</w:t>
      </w:r>
      <w:proofErr w:type="spellEnd"/>
      <w:r>
        <w:t xml:space="preserve"> (gendarmerie nationale) à sa demande, attestant que la victime avait disparu depuis le 29 octobre 1997 et indiquant qu’une enquête aurait été ouverte, mais serait restée sans résultat</w:t>
      </w:r>
      <w:r w:rsidRPr="00354FCF">
        <w:rPr>
          <w:rStyle w:val="Appelnotedebasdep"/>
        </w:rPr>
        <w:footnoteReference w:id="7"/>
      </w:r>
      <w:r>
        <w:t>. En réalité, aucune enquête n’a été effectuée. En effet, ni les sept témoins présents lors de l’enlèvement, ni le frère de la victime, ni la partie civile</w:t>
      </w:r>
      <w:r w:rsidRPr="00354FCF">
        <w:rPr>
          <w:rStyle w:val="Appelnotedebasdep"/>
        </w:rPr>
        <w:footnoteReference w:id="8"/>
      </w:r>
      <w:r>
        <w:t xml:space="preserve"> n’ont été convoqués pour être entendus dans le cadre de cette prétendue enquête. Il est donc clair que l’État partie, bien qu’il ait délivré une telle attestation, n’a effectué aucune enquête pour tirer au clair les circonstances entourant la disparition de </w:t>
      </w:r>
      <w:proofErr w:type="spellStart"/>
      <w:r>
        <w:t>Tewfik</w:t>
      </w:r>
      <w:proofErr w:type="spellEnd"/>
      <w:r>
        <w:t xml:space="preserve"> </w:t>
      </w:r>
      <w:proofErr w:type="spellStart"/>
      <w:r>
        <w:t>Djaou</w:t>
      </w:r>
      <w:proofErr w:type="spellEnd"/>
      <w:r>
        <w:t>.</w:t>
      </w:r>
    </w:p>
    <w:p w14:paraId="11DA01E5" w14:textId="77777777" w:rsidR="00B13F56" w:rsidRDefault="00B13F56" w:rsidP="00B13F56">
      <w:pPr>
        <w:pStyle w:val="SingleTxtG"/>
      </w:pPr>
      <w:r>
        <w:t>2.9</w:t>
      </w:r>
      <w:r>
        <w:tab/>
        <w:t>Le 11 décembre 2007, l’auteur a soumis le cas de son fils</w:t>
      </w:r>
      <w:r w:rsidRPr="00C136E3">
        <w:t xml:space="preserve"> au Groupe de travail sur les disparitions forcées ou involontaires. Malgré la saisine des autorités algériennes par le Groupe de travail, celles-ci n</w:t>
      </w:r>
      <w:r>
        <w:t>’</w:t>
      </w:r>
      <w:r w:rsidRPr="00C136E3">
        <w:t>ont jamais répondu.</w:t>
      </w:r>
    </w:p>
    <w:p w14:paraId="738758AC" w14:textId="77777777" w:rsidR="00B13F56" w:rsidRDefault="00B13F56" w:rsidP="00B13F56">
      <w:pPr>
        <w:pStyle w:val="SingleTxtG"/>
      </w:pPr>
      <w:r>
        <w:t>2.10</w:t>
      </w:r>
      <w:r>
        <w:tab/>
      </w:r>
      <w:r w:rsidRPr="00590872">
        <w:t>L</w:t>
      </w:r>
      <w:r>
        <w:t>’</w:t>
      </w:r>
      <w:r w:rsidRPr="00590872">
        <w:t>auteur soul</w:t>
      </w:r>
      <w:r>
        <w:t xml:space="preserve">igne qu’il lui est </w:t>
      </w:r>
      <w:r w:rsidRPr="00590872">
        <w:t>aujourd</w:t>
      </w:r>
      <w:r>
        <w:t>’</w:t>
      </w:r>
      <w:r w:rsidRPr="00590872">
        <w:t xml:space="preserve">hui </w:t>
      </w:r>
      <w:r>
        <w:t>légalement impossib</w:t>
      </w:r>
      <w:r w:rsidRPr="00590872">
        <w:t>l</w:t>
      </w:r>
      <w:r>
        <w:t>e</w:t>
      </w:r>
      <w:r w:rsidRPr="00590872">
        <w:t xml:space="preserve"> de recourir à une instance judiciaire après la promulgation de l</w:t>
      </w:r>
      <w:r>
        <w:t>’</w:t>
      </w:r>
      <w:r w:rsidRPr="00590872">
        <w:t xml:space="preserve">ordonnance </w:t>
      </w:r>
      <w:r>
        <w:rPr>
          <w:rFonts w:eastAsia="MS Mincho"/>
        </w:rPr>
        <w:t>n</w:t>
      </w:r>
      <w:r>
        <w:rPr>
          <w:rFonts w:eastAsia="MS Mincho"/>
          <w:vertAlign w:val="superscript"/>
        </w:rPr>
        <w:t>o</w:t>
      </w:r>
      <w:r>
        <w:t xml:space="preserve"> </w:t>
      </w:r>
      <w:r w:rsidRPr="00590872">
        <w:t xml:space="preserve">06-01 </w:t>
      </w:r>
      <w:r>
        <w:t xml:space="preserve">du 27 février 2006 </w:t>
      </w:r>
      <w:r w:rsidRPr="00590872">
        <w:t>portant mise en œuvre de la Charte pour la paix et la réconciliation nationale</w:t>
      </w:r>
      <w:r>
        <w:t>. L</w:t>
      </w:r>
      <w:r w:rsidRPr="00590872">
        <w:t>es recours internes</w:t>
      </w:r>
      <w:r>
        <w:t>,</w:t>
      </w:r>
      <w:r w:rsidRPr="00590872">
        <w:t xml:space="preserve"> </w:t>
      </w:r>
      <w:r>
        <w:t>qui avaient été inutiles et inefficaces,</w:t>
      </w:r>
      <w:r w:rsidRPr="00590872">
        <w:t xml:space="preserve"> sont</w:t>
      </w:r>
      <w:r>
        <w:t xml:space="preserve"> désormais</w:t>
      </w:r>
      <w:r w:rsidRPr="00590872">
        <w:t xml:space="preserve"> devenus indisponibles. La Charte pour la paix et la réconciliation nationale dispose que « nul, en Algérie ou à l</w:t>
      </w:r>
      <w:r>
        <w:t>’</w:t>
      </w:r>
      <w:r w:rsidRPr="00590872">
        <w:t>étranger, n</w:t>
      </w:r>
      <w:r>
        <w:t>’</w:t>
      </w:r>
      <w:r w:rsidRPr="00590872">
        <w:t>est habilité à utiliser ou à instrumentaliser les blessures de la tragédie nationale pour porter atteinte aux institutions de la République algérienne démocratique et populaire, fragiliser l</w:t>
      </w:r>
      <w:r>
        <w:t>’</w:t>
      </w:r>
      <w:r w:rsidRPr="00590872">
        <w:t>État, nuire à l</w:t>
      </w:r>
      <w:r>
        <w:t>’</w:t>
      </w:r>
      <w:r w:rsidRPr="00590872">
        <w:t>honorabilité de tous ses agents qui l</w:t>
      </w:r>
      <w:r>
        <w:t>’</w:t>
      </w:r>
      <w:r w:rsidRPr="00590872">
        <w:t>ont dignement servie, ou ternir l</w:t>
      </w:r>
      <w:r>
        <w:t>’</w:t>
      </w:r>
      <w:r w:rsidRPr="00590872">
        <w:t>image de l</w:t>
      </w:r>
      <w:r>
        <w:t>’</w:t>
      </w:r>
      <w:r w:rsidRPr="00590872">
        <w:t>Algérie sur le plan international » et rejette « toute allégation visant à faire endosser par l</w:t>
      </w:r>
      <w:r>
        <w:t>’</w:t>
      </w:r>
      <w:r w:rsidRPr="00590872">
        <w:t>État la responsabilité d</w:t>
      </w:r>
      <w:r>
        <w:t>’</w:t>
      </w:r>
      <w:r w:rsidRPr="00590872">
        <w:t xml:space="preserve">un phénomène délibéré de disparition ». </w:t>
      </w:r>
      <w:r>
        <w:t>La</w:t>
      </w:r>
      <w:r w:rsidRPr="00590872">
        <w:t xml:space="preserve"> Charte </w:t>
      </w:r>
      <w:r>
        <w:t>indique en outre</w:t>
      </w:r>
      <w:r w:rsidRPr="00590872">
        <w:t xml:space="preserve"> que « les actes répréhensibles d</w:t>
      </w:r>
      <w:r>
        <w:t>’</w:t>
      </w:r>
      <w:r w:rsidRPr="00590872">
        <w:t>agents de l</w:t>
      </w:r>
      <w:r>
        <w:t>’</w:t>
      </w:r>
      <w:r w:rsidRPr="00590872">
        <w:t>État</w:t>
      </w:r>
      <w:r>
        <w:t>,</w:t>
      </w:r>
      <w:r w:rsidRPr="00590872">
        <w:t xml:space="preserve"> qui ont été sanctionnés par la justice chaque fois qu</w:t>
      </w:r>
      <w:r>
        <w:t>’</w:t>
      </w:r>
      <w:r w:rsidRPr="00590872">
        <w:t>ils ont été établis, ne sauraient servir de prétexte pour jeter le discrédit sur l</w:t>
      </w:r>
      <w:r>
        <w:t>’</w:t>
      </w:r>
      <w:r w:rsidRPr="00590872">
        <w:t>ensemble des forces de l</w:t>
      </w:r>
      <w:r>
        <w:t>’</w:t>
      </w:r>
      <w:r w:rsidRPr="00590872">
        <w:t>ordre qui ont accompli leur devoir, avec l</w:t>
      </w:r>
      <w:r>
        <w:t>’</w:t>
      </w:r>
      <w:r w:rsidRPr="00590872">
        <w:t>appui des citoyens et au service de la Patrie ».</w:t>
      </w:r>
    </w:p>
    <w:p w14:paraId="2A61BE50" w14:textId="77777777" w:rsidR="00B13F56" w:rsidRDefault="00B13F56" w:rsidP="00B13F56">
      <w:pPr>
        <w:pStyle w:val="SingleTxtG"/>
      </w:pPr>
      <w:r>
        <w:t>2.11</w:t>
      </w:r>
      <w:r>
        <w:tab/>
        <w:t xml:space="preserve">Selon </w:t>
      </w:r>
      <w:r w:rsidRPr="00590872">
        <w:t>l</w:t>
      </w:r>
      <w:r>
        <w:t>’</w:t>
      </w:r>
      <w:r w:rsidRPr="00590872">
        <w:t>auteur, l</w:t>
      </w:r>
      <w:r>
        <w:t>’</w:t>
      </w:r>
      <w:r w:rsidRPr="00590872">
        <w:t>ordonnance n</w:t>
      </w:r>
      <w:r w:rsidRPr="00E53AE6">
        <w:rPr>
          <w:vertAlign w:val="superscript"/>
        </w:rPr>
        <w:t>o</w:t>
      </w:r>
      <w:r>
        <w:t xml:space="preserve"> </w:t>
      </w:r>
      <w:r w:rsidRPr="00590872">
        <w:t>06-01 interdit sous peine de poursuites pénales le recours à la justice, ce qui</w:t>
      </w:r>
      <w:r>
        <w:t>,</w:t>
      </w:r>
      <w:r w:rsidRPr="00590872">
        <w:t xml:space="preserve"> </w:t>
      </w:r>
      <w:r>
        <w:t xml:space="preserve">de fait, </w:t>
      </w:r>
      <w:r w:rsidRPr="00590872">
        <w:t>dispense les victimes de la nécessité d</w:t>
      </w:r>
      <w:r>
        <w:t>’</w:t>
      </w:r>
      <w:r w:rsidRPr="00590872">
        <w:t>épuiser les voies de recours internes. Cette ordonnance interdit en effet toute plainte pour disparition ou autre crime, son article</w:t>
      </w:r>
      <w:r>
        <w:t xml:space="preserve"> </w:t>
      </w:r>
      <w:r w:rsidRPr="00590872">
        <w:t>45 disposant qu</w:t>
      </w:r>
      <w:r>
        <w:t>’</w:t>
      </w:r>
      <w:r w:rsidRPr="00590872">
        <w:t>« </w:t>
      </w:r>
      <w:r>
        <w:t>[</w:t>
      </w:r>
      <w:r w:rsidRPr="00590872">
        <w:t>a</w:t>
      </w:r>
      <w:r>
        <w:t>]</w:t>
      </w:r>
      <w:proofErr w:type="spellStart"/>
      <w:r w:rsidRPr="00590872">
        <w:t>ucune</w:t>
      </w:r>
      <w:proofErr w:type="spellEnd"/>
      <w:r w:rsidRPr="00590872">
        <w:t xml:space="preserve"> poursuite ne peut être engagée, à titre individuel ou collectif, à l</w:t>
      </w:r>
      <w:r>
        <w:t>’</w:t>
      </w:r>
      <w:r w:rsidRPr="00590872">
        <w:t xml:space="preserve">encontre des éléments des forces de défense et de sécurité de la République, toutes composantes confondues, pour des actions menées en vue de la protection des personnes et des biens, de la sauvegarde de la Nation et de la préservation des institutions de la République algérienne démocratique et populaire ». </w:t>
      </w:r>
      <w:r>
        <w:t>E</w:t>
      </w:r>
      <w:r w:rsidRPr="00590872">
        <w:t xml:space="preserve">n vertu de cette disposition, </w:t>
      </w:r>
      <w:r>
        <w:t>t</w:t>
      </w:r>
      <w:r w:rsidRPr="00590872">
        <w:t>oute dénonciation ou plainte doit être déclarée irrecevable par l</w:t>
      </w:r>
      <w:r>
        <w:t>’</w:t>
      </w:r>
      <w:r w:rsidRPr="00590872">
        <w:t>autorité judiciaire</w:t>
      </w:r>
      <w:r>
        <w:t xml:space="preserve"> compétente. De plus, l’article </w:t>
      </w:r>
      <w:r w:rsidRPr="00590872">
        <w:t xml:space="preserve">46 de la même ordonnance prévoit </w:t>
      </w:r>
      <w:r>
        <w:t xml:space="preserve">ce qui suit : </w:t>
      </w:r>
    </w:p>
    <w:p w14:paraId="02CED869" w14:textId="77777777" w:rsidR="00B13F56" w:rsidRDefault="00B13F56" w:rsidP="00B13F56">
      <w:pPr>
        <w:pStyle w:val="SingleTxtG"/>
        <w:ind w:left="1701"/>
      </w:pPr>
      <w:r>
        <w:tab/>
        <w:t>E</w:t>
      </w:r>
      <w:r w:rsidRPr="00590872">
        <w:t>st puni d</w:t>
      </w:r>
      <w:r>
        <w:t>’</w:t>
      </w:r>
      <w:r w:rsidRPr="00590872">
        <w:t>un emprisonnement de trois (3) ans à cinq (5) ans et d</w:t>
      </w:r>
      <w:r>
        <w:t>’</w:t>
      </w:r>
      <w:r w:rsidRPr="00590872">
        <w:t>une amende de 250 000 à 500</w:t>
      </w:r>
      <w:r>
        <w:t> 000 [dinars algériens]</w:t>
      </w:r>
      <w:r w:rsidRPr="00590872">
        <w:t xml:space="preserve">, quiconque qui, par ses déclarations, écrits ou tout autre acte, utilise ou instrumentalise les blessures de la tragédie nationale pour </w:t>
      </w:r>
      <w:r w:rsidRPr="00590872">
        <w:lastRenderedPageBreak/>
        <w:t>porter atteinte aux institutions de la République algérienne démocratique et populaire, fragiliser l</w:t>
      </w:r>
      <w:r>
        <w:t>’</w:t>
      </w:r>
      <w:r w:rsidRPr="00590872">
        <w:t>État, nuire à l</w:t>
      </w:r>
      <w:r>
        <w:t>’</w:t>
      </w:r>
      <w:r w:rsidRPr="00590872">
        <w:t>honorabilité de ses agents qui l</w:t>
      </w:r>
      <w:r>
        <w:t>’</w:t>
      </w:r>
      <w:r w:rsidRPr="00590872">
        <w:t>ont dignement servie, ou ternir l</w:t>
      </w:r>
      <w:r>
        <w:t>’</w:t>
      </w:r>
      <w:r w:rsidRPr="00590872">
        <w:t>image de l</w:t>
      </w:r>
      <w:r>
        <w:t>’</w:t>
      </w:r>
      <w:r w:rsidRPr="00590872">
        <w:t>Algérie sur le plan international. Les poursuites pénales sont engagées d</w:t>
      </w:r>
      <w:r>
        <w:t>’</w:t>
      </w:r>
      <w:r w:rsidRPr="00590872">
        <w:t xml:space="preserve">office par le ministère public. En cas de récidive, la peine prévue </w:t>
      </w:r>
      <w:r>
        <w:t>au présent</w:t>
      </w:r>
      <w:r w:rsidRPr="00590872">
        <w:t xml:space="preserve"> article est </w:t>
      </w:r>
      <w:r>
        <w:t>portée au double</w:t>
      </w:r>
      <w:r w:rsidRPr="00590872">
        <w:t>.</w:t>
      </w:r>
    </w:p>
    <w:p w14:paraId="5450E359" w14:textId="77777777" w:rsidR="00B13F56" w:rsidRDefault="00B13F56" w:rsidP="00B13F56">
      <w:pPr>
        <w:pStyle w:val="SingleTxtG"/>
      </w:pPr>
      <w:r>
        <w:t>2.12</w:t>
      </w:r>
      <w:r>
        <w:tab/>
      </w:r>
      <w:r w:rsidRPr="00590872">
        <w:t>L</w:t>
      </w:r>
      <w:r>
        <w:t>’</w:t>
      </w:r>
      <w:r w:rsidRPr="00590872">
        <w:t xml:space="preserve">auteur ajoute que cette loi amnistie de fait les crimes commis durant la décennie passée, y compris les crimes les plus graves comme les </w:t>
      </w:r>
      <w:r>
        <w:t>disparitions forcées</w:t>
      </w:r>
      <w:r w:rsidRPr="00590872">
        <w:t xml:space="preserve">. </w:t>
      </w:r>
      <w:r>
        <w:t xml:space="preserve">Elle </w:t>
      </w:r>
      <w:r w:rsidRPr="00590872">
        <w:t xml:space="preserve">interdit </w:t>
      </w:r>
      <w:r>
        <w:t>aussi</w:t>
      </w:r>
      <w:r w:rsidRPr="00590872">
        <w:t>, sous peine d</w:t>
      </w:r>
      <w:r>
        <w:t>’</w:t>
      </w:r>
      <w:r w:rsidRPr="00590872">
        <w:t>emprisonnement, le recours à la justice pour faire la lumière sur le sort des victimes</w:t>
      </w:r>
      <w:r w:rsidRPr="00354FCF">
        <w:rPr>
          <w:rStyle w:val="Appelnotedebasdep"/>
        </w:rPr>
        <w:footnoteReference w:id="9"/>
      </w:r>
      <w:r>
        <w:t>. L</w:t>
      </w:r>
      <w:r w:rsidRPr="00590872">
        <w:t>es autorités algériennes, y compris judiciaires, refusent manifestement</w:t>
      </w:r>
      <w:r>
        <w:t xml:space="preserve"> d’établir la responsabilité des services de sécurité</w:t>
      </w:r>
      <w:r w:rsidRPr="00590872">
        <w:t xml:space="preserve">, </w:t>
      </w:r>
      <w:r>
        <w:t xml:space="preserve">dont les agents seraient coupables de </w:t>
      </w:r>
      <w:r w:rsidRPr="00590872">
        <w:t>l</w:t>
      </w:r>
      <w:r>
        <w:t xml:space="preserve">a disparition forcée de </w:t>
      </w:r>
      <w:proofErr w:type="spellStart"/>
      <w:r>
        <w:t>Tewfik</w:t>
      </w:r>
      <w:proofErr w:type="spellEnd"/>
      <w:r>
        <w:t xml:space="preserve"> </w:t>
      </w:r>
      <w:proofErr w:type="spellStart"/>
      <w:r>
        <w:t>Djaou</w:t>
      </w:r>
      <w:proofErr w:type="spellEnd"/>
      <w:r>
        <w:t>.</w:t>
      </w:r>
      <w:r w:rsidRPr="00590872">
        <w:t xml:space="preserve"> </w:t>
      </w:r>
      <w:r>
        <w:t>C</w:t>
      </w:r>
      <w:r w:rsidRPr="00590872">
        <w:t>e refus fait obstacle à l</w:t>
      </w:r>
      <w:r>
        <w:t>’</w:t>
      </w:r>
      <w:r w:rsidRPr="00590872">
        <w:t>efficacité des recours exercés par sa famille.</w:t>
      </w:r>
    </w:p>
    <w:p w14:paraId="3E2EB7CF" w14:textId="77777777" w:rsidR="00B13F56" w:rsidRPr="00DE54D3" w:rsidRDefault="00B13F56" w:rsidP="00B13F56">
      <w:pPr>
        <w:pStyle w:val="H23G"/>
        <w:rPr>
          <w:lang w:val="fr-FR"/>
        </w:rPr>
      </w:pPr>
      <w:r>
        <w:rPr>
          <w:lang w:val="fr-FR"/>
        </w:rPr>
        <w:tab/>
      </w:r>
      <w:r w:rsidRPr="00DE54D3">
        <w:rPr>
          <w:lang w:val="fr-FR"/>
        </w:rPr>
        <w:tab/>
        <w:t>Teneur de la plainte</w:t>
      </w:r>
    </w:p>
    <w:p w14:paraId="214E4EF3" w14:textId="77777777" w:rsidR="00B13F56" w:rsidRDefault="00B13F56" w:rsidP="00B13F56">
      <w:pPr>
        <w:pStyle w:val="SingleTxtG"/>
      </w:pPr>
      <w:r w:rsidRPr="00DE54D3">
        <w:t>3.1</w:t>
      </w:r>
      <w:r w:rsidRPr="00DE54D3">
        <w:tab/>
      </w:r>
      <w:r>
        <w:t>L’</w:t>
      </w:r>
      <w:r w:rsidRPr="00B31C3A">
        <w:t xml:space="preserve">auteur allègue que son </w:t>
      </w:r>
      <w:r>
        <w:t>fils est victime d’une</w:t>
      </w:r>
      <w:r w:rsidRPr="00B31C3A">
        <w:t xml:space="preserve"> disparition forcée</w:t>
      </w:r>
      <w:r>
        <w:t xml:space="preserve"> due aux</w:t>
      </w:r>
      <w:r w:rsidRPr="00B31C3A">
        <w:t xml:space="preserve"> agissements d</w:t>
      </w:r>
      <w:r>
        <w:t>’</w:t>
      </w:r>
      <w:r w:rsidRPr="00B31C3A">
        <w:t xml:space="preserve">agents </w:t>
      </w:r>
      <w:r>
        <w:t xml:space="preserve">des forces </w:t>
      </w:r>
      <w:r w:rsidRPr="00B31C3A">
        <w:t xml:space="preserve">de </w:t>
      </w:r>
      <w:r>
        <w:t>sécurité algériennes, et donc</w:t>
      </w:r>
      <w:r w:rsidRPr="00B31C3A">
        <w:t xml:space="preserve"> imputable à l</w:t>
      </w:r>
      <w:r>
        <w:t>’</w:t>
      </w:r>
      <w:r w:rsidRPr="00B31C3A">
        <w:t>État partie</w:t>
      </w:r>
      <w:r>
        <w:t>, conformément à la définition des disparitions forcées donnée à</w:t>
      </w:r>
      <w:r w:rsidRPr="00B31C3A">
        <w:t xml:space="preserve"> </w:t>
      </w:r>
      <w:r>
        <w:t>l’</w:t>
      </w:r>
      <w:r w:rsidRPr="00B31C3A">
        <w:t>article 7</w:t>
      </w:r>
      <w:r>
        <w:t xml:space="preserve"> (</w:t>
      </w:r>
      <w:r w:rsidRPr="00B31C3A">
        <w:t>par</w:t>
      </w:r>
      <w:r>
        <w:t>.</w:t>
      </w:r>
      <w:r w:rsidRPr="00B31C3A">
        <w:t xml:space="preserve"> 2 i)</w:t>
      </w:r>
      <w:r>
        <w:t>)</w:t>
      </w:r>
      <w:r w:rsidRPr="00B31C3A">
        <w:t xml:space="preserve"> du </w:t>
      </w:r>
      <w:r>
        <w:t>S</w:t>
      </w:r>
      <w:r w:rsidRPr="00B31C3A">
        <w:t xml:space="preserve">tatut </w:t>
      </w:r>
      <w:r>
        <w:t xml:space="preserve">de Rome </w:t>
      </w:r>
      <w:r w:rsidRPr="00B31C3A">
        <w:t xml:space="preserve">de la Cour pénale internationale et </w:t>
      </w:r>
      <w:r>
        <w:t xml:space="preserve">à l’article </w:t>
      </w:r>
      <w:r w:rsidRPr="00B31C3A">
        <w:t>2 de la Convention internationale pour la protection de toutes les personnes contre les disparitions forcées.</w:t>
      </w:r>
      <w:r w:rsidRPr="00EB745A">
        <w:t xml:space="preserve"> </w:t>
      </w:r>
      <w:r>
        <w:t>Il</w:t>
      </w:r>
      <w:r w:rsidRPr="00EB745A">
        <w:t xml:space="preserve"> affirme qu</w:t>
      </w:r>
      <w:r>
        <w:t>’</w:t>
      </w:r>
      <w:r w:rsidRPr="00EB745A">
        <w:t>en dépit du fait qu</w:t>
      </w:r>
      <w:r>
        <w:t>’</w:t>
      </w:r>
      <w:r w:rsidRPr="00EB745A">
        <w:t xml:space="preserve">aucune disposition du Pacte ne fait expressément mention des disparitions forcées, la pratique </w:t>
      </w:r>
      <w:r w:rsidRPr="005B0C27">
        <w:t>d</w:t>
      </w:r>
      <w:r>
        <w:t>’</w:t>
      </w:r>
      <w:r w:rsidRPr="005B0C27">
        <w:t xml:space="preserve">une disparition forcée </w:t>
      </w:r>
      <w:r w:rsidRPr="00EB745A">
        <w:t xml:space="preserve">implique des violations du </w:t>
      </w:r>
      <w:bookmarkStart w:id="0" w:name="_Hlk27397930"/>
      <w:r w:rsidRPr="00EB745A">
        <w:t xml:space="preserve">droit à la vie, du droit de ne pas être soumis à la torture et autres peines ou traitements </w:t>
      </w:r>
      <w:r>
        <w:t xml:space="preserve">cruels, </w:t>
      </w:r>
      <w:r w:rsidRPr="00EB745A">
        <w:t>inhumains ou dégradants</w:t>
      </w:r>
      <w:r>
        <w:t>,</w:t>
      </w:r>
      <w:r w:rsidRPr="00EB745A">
        <w:t xml:space="preserve"> et du droit à la liberté et à la sécurité de la personne</w:t>
      </w:r>
      <w:bookmarkEnd w:id="0"/>
      <w:r>
        <w:t xml:space="preserve">. </w:t>
      </w:r>
      <w:r w:rsidRPr="00EB745A">
        <w:t>En l</w:t>
      </w:r>
      <w:r>
        <w:t>’</w:t>
      </w:r>
      <w:r w:rsidRPr="00EB745A">
        <w:t>espèce, l</w:t>
      </w:r>
      <w:r>
        <w:t>’</w:t>
      </w:r>
      <w:r w:rsidRPr="00EB745A">
        <w:t>auteur invoque des violations par l</w:t>
      </w:r>
      <w:r>
        <w:t>’</w:t>
      </w:r>
      <w:r w:rsidRPr="00EB745A">
        <w:t xml:space="preserve">État partie des </w:t>
      </w:r>
      <w:r>
        <w:t xml:space="preserve">droits de </w:t>
      </w:r>
      <w:proofErr w:type="spellStart"/>
      <w:r>
        <w:t>Tewfik</w:t>
      </w:r>
      <w:proofErr w:type="spellEnd"/>
      <w:r>
        <w:t xml:space="preserve"> </w:t>
      </w:r>
      <w:proofErr w:type="spellStart"/>
      <w:r>
        <w:t>Djaou</w:t>
      </w:r>
      <w:proofErr w:type="spellEnd"/>
      <w:r w:rsidRPr="00EB745A">
        <w:t xml:space="preserve"> </w:t>
      </w:r>
      <w:r>
        <w:t xml:space="preserve">au titre des </w:t>
      </w:r>
      <w:r w:rsidRPr="00EB745A">
        <w:t xml:space="preserve">articles </w:t>
      </w:r>
      <w:r>
        <w:t xml:space="preserve">2 (par. 3), </w:t>
      </w:r>
      <w:r w:rsidRPr="00EB745A">
        <w:t>6</w:t>
      </w:r>
      <w:r>
        <w:t xml:space="preserve"> </w:t>
      </w:r>
      <w:r w:rsidRPr="00EB745A">
        <w:t>(par. 1),</w:t>
      </w:r>
      <w:r>
        <w:t xml:space="preserve"> 7, 9 (par. 1 à 4), 10 (par. 1), 16 et 23 (par. 1), ainsi que de ses propres droits contenus dans les articles 2 (par. 3),</w:t>
      </w:r>
      <w:r w:rsidRPr="00612043">
        <w:t xml:space="preserve"> 7 </w:t>
      </w:r>
      <w:r>
        <w:t>et 23 (par. 1) du Pacte</w:t>
      </w:r>
      <w:r w:rsidRPr="00EB745A">
        <w:t>.</w:t>
      </w:r>
    </w:p>
    <w:p w14:paraId="54379672" w14:textId="77777777" w:rsidR="00B13F56" w:rsidRDefault="00B13F56" w:rsidP="00B13F56">
      <w:pPr>
        <w:pStyle w:val="SingleTxtG"/>
      </w:pPr>
      <w:r>
        <w:t>3.2</w:t>
      </w:r>
      <w:r>
        <w:tab/>
      </w:r>
      <w:r w:rsidRPr="001D6FFA">
        <w:t>L</w:t>
      </w:r>
      <w:r>
        <w:t>’</w:t>
      </w:r>
      <w:r w:rsidRPr="001D6FFA">
        <w:t>auteur rappelle le caractère suprême du droit à la vie et l</w:t>
      </w:r>
      <w:r>
        <w:t>’</w:t>
      </w:r>
      <w:r w:rsidRPr="001D6FFA">
        <w:t>obligation de l</w:t>
      </w:r>
      <w:r>
        <w:t>’</w:t>
      </w:r>
      <w:r w:rsidRPr="001D6FFA">
        <w:t>État partie de s</w:t>
      </w:r>
      <w:r>
        <w:t>’</w:t>
      </w:r>
      <w:r w:rsidRPr="001D6FFA">
        <w:t>abstenir de priver arbitrairement un individu de son droit à la vie</w:t>
      </w:r>
      <w:r>
        <w:t>,</w:t>
      </w:r>
      <w:r w:rsidRPr="001D6FFA">
        <w:t xml:space="preserve"> </w:t>
      </w:r>
      <w:r>
        <w:t>ainsi que</w:t>
      </w:r>
      <w:r w:rsidRPr="001D6FFA">
        <w:t xml:space="preserve"> de prévenir et de punir tout acte impliq</w:t>
      </w:r>
      <w:r>
        <w:t xml:space="preserve">uant une violation de l’article 6 du Pacte, y </w:t>
      </w:r>
      <w:r w:rsidRPr="001D6FFA">
        <w:t>compris lorsque l</w:t>
      </w:r>
      <w:r>
        <w:t>’</w:t>
      </w:r>
      <w:r w:rsidRPr="001D6FFA">
        <w:t>auteur ou les auteu</w:t>
      </w:r>
      <w:r>
        <w:t xml:space="preserve">rs de tels actes sont des agents de l’État. Il </w:t>
      </w:r>
      <w:r w:rsidRPr="001D6FFA">
        <w:t>rappelle également l</w:t>
      </w:r>
      <w:r>
        <w:t>’</w:t>
      </w:r>
      <w:r w:rsidRPr="001D6FFA">
        <w:t>obligation de l</w:t>
      </w:r>
      <w:r>
        <w:t>’</w:t>
      </w:r>
      <w:r w:rsidRPr="001D6FFA">
        <w:t>État</w:t>
      </w:r>
      <w:r>
        <w:t xml:space="preserve"> partie</w:t>
      </w:r>
      <w:r w:rsidRPr="001D6FFA">
        <w:t xml:space="preserve"> de protéger la vie des personnes en détention et d</w:t>
      </w:r>
      <w:r>
        <w:t>’</w:t>
      </w:r>
      <w:r w:rsidRPr="001D6FFA">
        <w:t>enquêter sur tout cas de disparition</w:t>
      </w:r>
      <w:r>
        <w:t>. De ce fait</w:t>
      </w:r>
      <w:r w:rsidRPr="001D6FFA">
        <w:t>, l</w:t>
      </w:r>
      <w:r>
        <w:t>’</w:t>
      </w:r>
      <w:r w:rsidRPr="001D6FFA">
        <w:t>absence d</w:t>
      </w:r>
      <w:r>
        <w:t>’</w:t>
      </w:r>
      <w:r w:rsidRPr="001D6FFA">
        <w:t>enquête p</w:t>
      </w:r>
      <w:r>
        <w:t>eut</w:t>
      </w:r>
      <w:r w:rsidRPr="001D6FFA">
        <w:t xml:space="preserve"> constituer en soi un</w:t>
      </w:r>
      <w:r>
        <w:t xml:space="preserve"> manquement à l’article 6, y </w:t>
      </w:r>
      <w:r w:rsidRPr="001D6FFA">
        <w:t>compris dans les cas où la disparition n</w:t>
      </w:r>
      <w:r>
        <w:t>’</w:t>
      </w:r>
      <w:r w:rsidRPr="001D6FFA">
        <w:t xml:space="preserve">est </w:t>
      </w:r>
      <w:r>
        <w:t xml:space="preserve">pas le fait d’agents de l’État. La </w:t>
      </w:r>
      <w:r w:rsidRPr="005021B2">
        <w:t>disparition</w:t>
      </w:r>
      <w:r>
        <w:t xml:space="preserve"> </w:t>
      </w:r>
      <w:r w:rsidRPr="001D6FFA">
        <w:t xml:space="preserve">de </w:t>
      </w:r>
      <w:proofErr w:type="spellStart"/>
      <w:r>
        <w:t>Tewfik</w:t>
      </w:r>
      <w:proofErr w:type="spellEnd"/>
      <w:r>
        <w:t> </w:t>
      </w:r>
      <w:proofErr w:type="spellStart"/>
      <w:r>
        <w:t>Djaou</w:t>
      </w:r>
      <w:proofErr w:type="spellEnd"/>
      <w:r>
        <w:t xml:space="preserve"> a fait suite au refus de l’auteur de rejoindre les milices algériennes qui menaient des opérations sous le contrôle de l’État. Plus de dix-huit </w:t>
      </w:r>
      <w:r w:rsidRPr="001D6FFA">
        <w:t xml:space="preserve">ans se sont écoulés depuis que les proches de </w:t>
      </w:r>
      <w:proofErr w:type="spellStart"/>
      <w:r>
        <w:t>Tewfik</w:t>
      </w:r>
      <w:proofErr w:type="spellEnd"/>
      <w:r>
        <w:t xml:space="preserve"> </w:t>
      </w:r>
      <w:proofErr w:type="spellStart"/>
      <w:r>
        <w:t>Djaou</w:t>
      </w:r>
      <w:proofErr w:type="spellEnd"/>
      <w:r>
        <w:t xml:space="preserve"> </w:t>
      </w:r>
      <w:r w:rsidRPr="001D6FFA">
        <w:t xml:space="preserve">ont </w:t>
      </w:r>
      <w:r>
        <w:t xml:space="preserve">eu </w:t>
      </w:r>
      <w:r w:rsidRPr="001D6FFA">
        <w:t xml:space="preserve">de ses nouvelles. </w:t>
      </w:r>
      <w:r>
        <w:t xml:space="preserve">Sa </w:t>
      </w:r>
      <w:r w:rsidRPr="001D6FFA">
        <w:t>détention aurait dû faire l</w:t>
      </w:r>
      <w:r>
        <w:t>’</w:t>
      </w:r>
      <w:r w:rsidRPr="001D6FFA">
        <w:t>objet d</w:t>
      </w:r>
      <w:r>
        <w:t>’</w:t>
      </w:r>
      <w:r w:rsidRPr="001D6FFA">
        <w:t xml:space="preserve">une inscription sur des registres, conformément au Code de procédure pénale. Ces éléments, </w:t>
      </w:r>
      <w:r w:rsidRPr="00B42677">
        <w:t>couplés à l</w:t>
      </w:r>
      <w:r>
        <w:t>’</w:t>
      </w:r>
      <w:r w:rsidRPr="00B42677">
        <w:t>absence d</w:t>
      </w:r>
      <w:r>
        <w:t>’</w:t>
      </w:r>
      <w:r w:rsidRPr="00B42677">
        <w:t>enquête</w:t>
      </w:r>
      <w:r w:rsidRPr="001D6FFA">
        <w:t>, attestent des défaillances de l</w:t>
      </w:r>
      <w:r>
        <w:t>’</w:t>
      </w:r>
      <w:r w:rsidRPr="001D6FFA">
        <w:t>État partie quant à ses obligations et constituent une violation de l</w:t>
      </w:r>
      <w:r>
        <w:t>’</w:t>
      </w:r>
      <w:r w:rsidRPr="001D6FFA">
        <w:t>article 6 (pa</w:t>
      </w:r>
      <w:r>
        <w:t>r. 1),</w:t>
      </w:r>
      <w:r w:rsidRPr="0084580E">
        <w:rPr>
          <w:lang w:val="fr-FR"/>
        </w:rPr>
        <w:t xml:space="preserve"> </w:t>
      </w:r>
      <w:r w:rsidRPr="00CA6A11">
        <w:rPr>
          <w:lang w:val="fr-FR"/>
        </w:rPr>
        <w:t xml:space="preserve">lu </w:t>
      </w:r>
      <w:r>
        <w:rPr>
          <w:lang w:val="fr-FR"/>
        </w:rPr>
        <w:t xml:space="preserve">seul et </w:t>
      </w:r>
      <w:r w:rsidRPr="00CA6A11">
        <w:rPr>
          <w:lang w:val="fr-FR"/>
        </w:rPr>
        <w:t>conjointement avec l</w:t>
      </w:r>
      <w:r>
        <w:rPr>
          <w:lang w:val="fr-FR"/>
        </w:rPr>
        <w:t>’</w:t>
      </w:r>
      <w:r w:rsidRPr="00CA6A11">
        <w:rPr>
          <w:lang w:val="fr-FR"/>
        </w:rPr>
        <w:t>article</w:t>
      </w:r>
      <w:r>
        <w:rPr>
          <w:lang w:val="fr-FR"/>
        </w:rPr>
        <w:t> </w:t>
      </w:r>
      <w:r w:rsidRPr="00CA6A11">
        <w:rPr>
          <w:lang w:val="fr-FR"/>
        </w:rPr>
        <w:t>2 (par. 3)</w:t>
      </w:r>
      <w:r>
        <w:rPr>
          <w:lang w:val="fr-FR"/>
        </w:rPr>
        <w:t xml:space="preserve"> du Pacte, </w:t>
      </w:r>
      <w:r w:rsidRPr="00B90709">
        <w:rPr>
          <w:lang w:val="fr-FR"/>
        </w:rPr>
        <w:t>à l</w:t>
      </w:r>
      <w:r>
        <w:rPr>
          <w:lang w:val="fr-FR"/>
        </w:rPr>
        <w:t>’</w:t>
      </w:r>
      <w:r w:rsidRPr="00B90709">
        <w:rPr>
          <w:lang w:val="fr-FR"/>
        </w:rPr>
        <w:t>égard de la personne disparue</w:t>
      </w:r>
      <w:r w:rsidRPr="00CA6A11">
        <w:rPr>
          <w:lang w:val="fr-FR"/>
        </w:rPr>
        <w:t>.</w:t>
      </w:r>
    </w:p>
    <w:p w14:paraId="739368E8" w14:textId="77777777" w:rsidR="00B13F56" w:rsidRDefault="00B13F56" w:rsidP="00B13F56">
      <w:pPr>
        <w:pStyle w:val="SingleTxtG"/>
        <w:rPr>
          <w:lang w:val="fr-FR"/>
        </w:rPr>
      </w:pPr>
      <w:r>
        <w:t>3.3</w:t>
      </w:r>
      <w:r>
        <w:tab/>
      </w:r>
      <w:r w:rsidRPr="00CA6A11">
        <w:t>L</w:t>
      </w:r>
      <w:r>
        <w:t>’</w:t>
      </w:r>
      <w:r w:rsidRPr="00CA6A11">
        <w:t xml:space="preserve">auteur rappelle </w:t>
      </w:r>
      <w:r>
        <w:t>que le</w:t>
      </w:r>
      <w:r w:rsidRPr="00CA6A11">
        <w:t xml:space="preserve"> droit de ne pas être soumis à des actes de torture ou à des peines ou traitements cru</w:t>
      </w:r>
      <w:r>
        <w:t>els, inhumains ou dégradants</w:t>
      </w:r>
      <w:r w:rsidRPr="00890F35">
        <w:t xml:space="preserve"> </w:t>
      </w:r>
      <w:r w:rsidRPr="007C64B0">
        <w:t>est un droit absolu auquel il ne peut être dérogé</w:t>
      </w:r>
      <w:r>
        <w:t>. L</w:t>
      </w:r>
      <w:r w:rsidRPr="00CA6A11">
        <w:t>a détention au secret crée systématiquement un environnement propice à la pratique de la torture</w:t>
      </w:r>
      <w:r>
        <w:t>,</w:t>
      </w:r>
      <w:r w:rsidRPr="00CA6A11">
        <w:t xml:space="preserve"> dans la mesure où l</w:t>
      </w:r>
      <w:r>
        <w:t>’</w:t>
      </w:r>
      <w:r w:rsidRPr="00CA6A11">
        <w:t xml:space="preserve">individu est soustrait </w:t>
      </w:r>
      <w:r>
        <w:t>à la protection</w:t>
      </w:r>
      <w:r w:rsidRPr="00CA6A11">
        <w:t xml:space="preserve"> de la loi. </w:t>
      </w:r>
      <w:r>
        <w:t xml:space="preserve">Selon </w:t>
      </w:r>
      <w:r w:rsidRPr="00CA6A11">
        <w:t>la jurisprudence du Comité</w:t>
      </w:r>
      <w:r>
        <w:t>,</w:t>
      </w:r>
      <w:r w:rsidRPr="00CA6A11">
        <w:t xml:space="preserve"> cette pratique en elle-même peut constituer une viola</w:t>
      </w:r>
      <w:r>
        <w:t>tion de l’article 7 du Pacte.</w:t>
      </w:r>
      <w:r w:rsidRPr="00012D98">
        <w:rPr>
          <w:lang w:val="fr-FR"/>
        </w:rPr>
        <w:t xml:space="preserve"> </w:t>
      </w:r>
      <w:r>
        <w:t>L’auteur affirme qu’e</w:t>
      </w:r>
      <w:r w:rsidRPr="00D85E61">
        <w:rPr>
          <w:lang w:val="fr-FR"/>
        </w:rPr>
        <w:t>n l</w:t>
      </w:r>
      <w:r>
        <w:rPr>
          <w:lang w:val="fr-FR"/>
        </w:rPr>
        <w:t>’</w:t>
      </w:r>
      <w:r w:rsidRPr="00D85E61">
        <w:rPr>
          <w:lang w:val="fr-FR"/>
        </w:rPr>
        <w:t>absence d</w:t>
      </w:r>
      <w:r>
        <w:rPr>
          <w:lang w:val="fr-FR"/>
        </w:rPr>
        <w:t>’</w:t>
      </w:r>
      <w:r w:rsidRPr="00D85E61">
        <w:rPr>
          <w:lang w:val="fr-FR"/>
        </w:rPr>
        <w:t xml:space="preserve">enregistrement ou de toute autre procédure qui aurait pu être portée à la connaissance de la famille, la détention de </w:t>
      </w:r>
      <w:proofErr w:type="spellStart"/>
      <w:r w:rsidRPr="005F338A">
        <w:t>Tewfik</w:t>
      </w:r>
      <w:proofErr w:type="spellEnd"/>
      <w:r>
        <w:t> </w:t>
      </w:r>
      <w:proofErr w:type="spellStart"/>
      <w:r w:rsidRPr="005F338A">
        <w:t>Djaou</w:t>
      </w:r>
      <w:proofErr w:type="spellEnd"/>
      <w:r w:rsidRPr="00D85E61">
        <w:rPr>
          <w:lang w:val="fr-FR"/>
        </w:rPr>
        <w:t xml:space="preserve"> revêt un ca</w:t>
      </w:r>
      <w:r>
        <w:rPr>
          <w:lang w:val="fr-FR"/>
        </w:rPr>
        <w:t xml:space="preserve">ractère secret depuis plus de dix-huit ans. Durant cette période, </w:t>
      </w:r>
      <w:r w:rsidRPr="00D85E61">
        <w:rPr>
          <w:lang w:val="fr-FR"/>
        </w:rPr>
        <w:t>sa famille n</w:t>
      </w:r>
      <w:r>
        <w:rPr>
          <w:lang w:val="fr-FR"/>
        </w:rPr>
        <w:t>’</w:t>
      </w:r>
      <w:r w:rsidRPr="00D85E61">
        <w:rPr>
          <w:lang w:val="fr-FR"/>
        </w:rPr>
        <w:t>a pas pu communiquer avec lui.</w:t>
      </w:r>
      <w:r>
        <w:rPr>
          <w:lang w:val="fr-FR"/>
        </w:rPr>
        <w:t xml:space="preserve"> </w:t>
      </w:r>
      <w:r w:rsidRPr="00012D98">
        <w:rPr>
          <w:lang w:val="fr-FR"/>
        </w:rPr>
        <w:t>L</w:t>
      </w:r>
      <w:r>
        <w:rPr>
          <w:lang w:val="fr-FR"/>
        </w:rPr>
        <w:t>’</w:t>
      </w:r>
      <w:r w:rsidRPr="00012D98">
        <w:rPr>
          <w:lang w:val="fr-FR"/>
        </w:rPr>
        <w:t>impossibilité, inhérente à la détention au secret, de communiquer avec le monde extérieur r</w:t>
      </w:r>
      <w:r>
        <w:rPr>
          <w:lang w:val="fr-FR"/>
        </w:rPr>
        <w:t>eprésente</w:t>
      </w:r>
      <w:r w:rsidRPr="00012D98">
        <w:rPr>
          <w:lang w:val="fr-FR"/>
        </w:rPr>
        <w:t xml:space="preserve"> pour le détenu une souffrance psychologique immense, assez grave pour entrer dans le champ d</w:t>
      </w:r>
      <w:r>
        <w:rPr>
          <w:lang w:val="fr-FR"/>
        </w:rPr>
        <w:t>’</w:t>
      </w:r>
      <w:r w:rsidRPr="00012D98">
        <w:rPr>
          <w:lang w:val="fr-FR"/>
        </w:rPr>
        <w:t>application de l</w:t>
      </w:r>
      <w:r>
        <w:rPr>
          <w:lang w:val="fr-FR"/>
        </w:rPr>
        <w:t>’</w:t>
      </w:r>
      <w:r w:rsidRPr="00012D98">
        <w:rPr>
          <w:lang w:val="fr-FR"/>
        </w:rPr>
        <w:t>article 7 du Pacte.</w:t>
      </w:r>
      <w:r>
        <w:rPr>
          <w:lang w:val="fr-FR"/>
        </w:rPr>
        <w:t xml:space="preserve"> En outre, d’après les témoignages de codétenus libérés par la suite, </w:t>
      </w:r>
      <w:proofErr w:type="spellStart"/>
      <w:r w:rsidRPr="005F338A">
        <w:t>Tewfik</w:t>
      </w:r>
      <w:proofErr w:type="spellEnd"/>
      <w:r w:rsidRPr="005F338A">
        <w:t xml:space="preserve"> </w:t>
      </w:r>
      <w:proofErr w:type="spellStart"/>
      <w:r w:rsidRPr="005F338A">
        <w:t>Djaou</w:t>
      </w:r>
      <w:proofErr w:type="spellEnd"/>
      <w:r>
        <w:t xml:space="preserve"> aurait fait l’objet de sévères actes de torture durant son interrogatoire à la caserne du </w:t>
      </w:r>
      <w:r w:rsidRPr="008112C8">
        <w:t>Département d</w:t>
      </w:r>
      <w:r>
        <w:t>u</w:t>
      </w:r>
      <w:r w:rsidRPr="008112C8">
        <w:t xml:space="preserve"> renseignement et de la sécurité</w:t>
      </w:r>
      <w:r>
        <w:t xml:space="preserve"> de Bellevue, à Constantine.</w:t>
      </w:r>
      <w:r w:rsidRPr="00CA6A11">
        <w:rPr>
          <w:lang w:val="fr-FR"/>
        </w:rPr>
        <w:t xml:space="preserve"> </w:t>
      </w:r>
      <w:r>
        <w:rPr>
          <w:lang w:val="fr-FR"/>
        </w:rPr>
        <w:t xml:space="preserve">Frappé, électrocuté, dénudé et exposé à des températures extrêmes, </w:t>
      </w:r>
      <w:proofErr w:type="spellStart"/>
      <w:r>
        <w:rPr>
          <w:lang w:val="fr-FR"/>
        </w:rPr>
        <w:t>Tewfik</w:t>
      </w:r>
      <w:proofErr w:type="spellEnd"/>
      <w:r>
        <w:rPr>
          <w:lang w:val="fr-FR"/>
        </w:rPr>
        <w:t xml:space="preserve"> </w:t>
      </w:r>
      <w:proofErr w:type="spellStart"/>
      <w:r>
        <w:rPr>
          <w:lang w:val="fr-FR"/>
        </w:rPr>
        <w:t>Djaou</w:t>
      </w:r>
      <w:proofErr w:type="spellEnd"/>
      <w:r>
        <w:rPr>
          <w:lang w:val="fr-FR"/>
        </w:rPr>
        <w:t xml:space="preserve"> aurait ainsi été </w:t>
      </w:r>
      <w:r>
        <w:rPr>
          <w:lang w:val="fr-FR"/>
        </w:rPr>
        <w:lastRenderedPageBreak/>
        <w:t xml:space="preserve">soumis à des actes qui sont sans aucun doute constitutifs de torture. </w:t>
      </w:r>
      <w:r w:rsidRPr="00CA6A11">
        <w:rPr>
          <w:lang w:val="fr-FR"/>
        </w:rPr>
        <w:t>L</w:t>
      </w:r>
      <w:r>
        <w:rPr>
          <w:lang w:val="fr-FR"/>
        </w:rPr>
        <w:t>’</w:t>
      </w:r>
      <w:r w:rsidRPr="00CA6A11">
        <w:rPr>
          <w:lang w:val="fr-FR"/>
        </w:rPr>
        <w:t xml:space="preserve">auteur affirme donc que </w:t>
      </w:r>
      <w:r>
        <w:t>celui-ci</w:t>
      </w:r>
      <w:r w:rsidRPr="00CA6A11">
        <w:rPr>
          <w:lang w:val="fr-FR"/>
        </w:rPr>
        <w:t xml:space="preserve"> </w:t>
      </w:r>
      <w:r>
        <w:rPr>
          <w:lang w:val="fr-FR"/>
        </w:rPr>
        <w:t>a été</w:t>
      </w:r>
      <w:r w:rsidRPr="00CA6A11">
        <w:rPr>
          <w:lang w:val="fr-FR"/>
        </w:rPr>
        <w:t xml:space="preserve"> victime d</w:t>
      </w:r>
      <w:r>
        <w:rPr>
          <w:lang w:val="fr-FR"/>
        </w:rPr>
        <w:t>’</w:t>
      </w:r>
      <w:r w:rsidRPr="00CA6A11">
        <w:rPr>
          <w:lang w:val="fr-FR"/>
        </w:rPr>
        <w:t xml:space="preserve">une violation </w:t>
      </w:r>
      <w:r>
        <w:rPr>
          <w:lang w:val="fr-FR"/>
        </w:rPr>
        <w:t>de l’article 7 du Pacte.</w:t>
      </w:r>
    </w:p>
    <w:p w14:paraId="792C6FC8" w14:textId="77777777" w:rsidR="00B13F56" w:rsidRDefault="00B13F56" w:rsidP="00B13F56">
      <w:pPr>
        <w:pStyle w:val="SingleTxtG"/>
        <w:rPr>
          <w:lang w:val="fr-FR"/>
        </w:rPr>
      </w:pPr>
      <w:r>
        <w:rPr>
          <w:lang w:val="fr-FR"/>
        </w:rPr>
        <w:t>3.4</w:t>
      </w:r>
      <w:r>
        <w:rPr>
          <w:lang w:val="fr-FR"/>
        </w:rPr>
        <w:tab/>
      </w:r>
      <w:r w:rsidRPr="00CA6A11">
        <w:rPr>
          <w:lang w:val="fr-FR"/>
        </w:rPr>
        <w:t xml:space="preserve">Concernant </w:t>
      </w:r>
      <w:r>
        <w:rPr>
          <w:lang w:val="fr-FR"/>
        </w:rPr>
        <w:t xml:space="preserve">l’auteur et la famille de </w:t>
      </w:r>
      <w:proofErr w:type="spellStart"/>
      <w:r w:rsidRPr="005F338A">
        <w:t>Tewfik</w:t>
      </w:r>
      <w:proofErr w:type="spellEnd"/>
      <w:r w:rsidRPr="005F338A">
        <w:t xml:space="preserve"> </w:t>
      </w:r>
      <w:proofErr w:type="spellStart"/>
      <w:r w:rsidRPr="005F338A">
        <w:t>Djaou</w:t>
      </w:r>
      <w:proofErr w:type="spellEnd"/>
      <w:r w:rsidRPr="00CA6A11">
        <w:rPr>
          <w:lang w:val="fr-FR"/>
        </w:rPr>
        <w:t>, l</w:t>
      </w:r>
      <w:r>
        <w:rPr>
          <w:lang w:val="fr-FR"/>
        </w:rPr>
        <w:t>’</w:t>
      </w:r>
      <w:r w:rsidRPr="00CA6A11">
        <w:rPr>
          <w:lang w:val="fr-FR"/>
        </w:rPr>
        <w:t>angoisse, la détresse et l</w:t>
      </w:r>
      <w:r>
        <w:rPr>
          <w:lang w:val="fr-FR"/>
        </w:rPr>
        <w:t>’</w:t>
      </w:r>
      <w:r w:rsidRPr="00CA6A11">
        <w:rPr>
          <w:lang w:val="fr-FR"/>
        </w:rPr>
        <w:t xml:space="preserve">incertitude dues </w:t>
      </w:r>
      <w:r>
        <w:rPr>
          <w:lang w:val="fr-FR"/>
        </w:rPr>
        <w:t xml:space="preserve">à la disparition, </w:t>
      </w:r>
      <w:r w:rsidRPr="00CA6A11">
        <w:rPr>
          <w:lang w:val="fr-FR"/>
        </w:rPr>
        <w:t>au déni des autorités et à l</w:t>
      </w:r>
      <w:r>
        <w:rPr>
          <w:lang w:val="fr-FR"/>
        </w:rPr>
        <w:t>’</w:t>
      </w:r>
      <w:r w:rsidRPr="00CA6A11">
        <w:rPr>
          <w:lang w:val="fr-FR"/>
        </w:rPr>
        <w:t>absenc</w:t>
      </w:r>
      <w:r>
        <w:rPr>
          <w:lang w:val="fr-FR"/>
        </w:rPr>
        <w:t>e d’enquête, subies pendant plus de dix-huit ans,</w:t>
      </w:r>
      <w:r w:rsidRPr="00CA6A11">
        <w:rPr>
          <w:lang w:val="fr-FR"/>
        </w:rPr>
        <w:t xml:space="preserve"> constituent un traitement inhumai</w:t>
      </w:r>
      <w:r>
        <w:rPr>
          <w:lang w:val="fr-FR"/>
        </w:rPr>
        <w:t xml:space="preserve">n et, par conséquent, une violation de leurs droits contenus dans l’article </w:t>
      </w:r>
      <w:r w:rsidRPr="00CA6A11">
        <w:rPr>
          <w:lang w:val="fr-FR"/>
        </w:rPr>
        <w:t xml:space="preserve">7, lu </w:t>
      </w:r>
      <w:r>
        <w:rPr>
          <w:lang w:val="fr-FR"/>
        </w:rPr>
        <w:t xml:space="preserve">seul et </w:t>
      </w:r>
      <w:r w:rsidRPr="00CA6A11">
        <w:rPr>
          <w:lang w:val="fr-FR"/>
        </w:rPr>
        <w:t>conjointement avec l</w:t>
      </w:r>
      <w:r>
        <w:rPr>
          <w:lang w:val="fr-FR"/>
        </w:rPr>
        <w:t>’</w:t>
      </w:r>
      <w:r w:rsidRPr="00CA6A11">
        <w:rPr>
          <w:lang w:val="fr-FR"/>
        </w:rPr>
        <w:t>article 2 (par.</w:t>
      </w:r>
      <w:r>
        <w:rPr>
          <w:lang w:val="fr-FR"/>
        </w:rPr>
        <w:t> </w:t>
      </w:r>
      <w:r w:rsidRPr="00CA6A11">
        <w:rPr>
          <w:lang w:val="fr-FR"/>
        </w:rPr>
        <w:t>3)</w:t>
      </w:r>
      <w:r>
        <w:rPr>
          <w:lang w:val="fr-FR"/>
        </w:rPr>
        <w:t xml:space="preserve"> du Pacte</w:t>
      </w:r>
      <w:r w:rsidRPr="00CA6A11">
        <w:rPr>
          <w:lang w:val="fr-FR"/>
        </w:rPr>
        <w:t>.</w:t>
      </w:r>
    </w:p>
    <w:p w14:paraId="38C95440" w14:textId="77777777" w:rsidR="00B13F56" w:rsidRDefault="00B13F56" w:rsidP="00B13F56">
      <w:pPr>
        <w:pStyle w:val="SingleTxtG"/>
        <w:rPr>
          <w:lang w:val="fr-FR"/>
        </w:rPr>
      </w:pPr>
      <w:r>
        <w:rPr>
          <w:lang w:val="fr-FR"/>
        </w:rPr>
        <w:t>3.5</w:t>
      </w:r>
      <w:r>
        <w:rPr>
          <w:lang w:val="fr-FR"/>
        </w:rPr>
        <w:tab/>
      </w:r>
      <w:r>
        <w:t xml:space="preserve">En ce qui concerne l’article </w:t>
      </w:r>
      <w:r w:rsidRPr="007C64B0">
        <w:t>9 du Pacte, l</w:t>
      </w:r>
      <w:r>
        <w:rPr>
          <w:lang w:val="fr-FR"/>
        </w:rPr>
        <w:t>’</w:t>
      </w:r>
      <w:r w:rsidRPr="00F83220">
        <w:rPr>
          <w:lang w:val="fr-FR"/>
        </w:rPr>
        <w:t xml:space="preserve">auteur allègue que </w:t>
      </w:r>
      <w:r>
        <w:rPr>
          <w:lang w:val="fr-FR"/>
        </w:rPr>
        <w:t xml:space="preserve">son fils </w:t>
      </w:r>
      <w:r w:rsidRPr="00F83220">
        <w:rPr>
          <w:lang w:val="fr-FR"/>
        </w:rPr>
        <w:t xml:space="preserve">est victime </w:t>
      </w:r>
      <w:r>
        <w:rPr>
          <w:lang w:val="fr-FR"/>
        </w:rPr>
        <w:t>de</w:t>
      </w:r>
      <w:r w:rsidRPr="00F83220">
        <w:rPr>
          <w:lang w:val="fr-FR"/>
        </w:rPr>
        <w:t xml:space="preserve"> violation</w:t>
      </w:r>
      <w:r>
        <w:rPr>
          <w:lang w:val="fr-FR"/>
        </w:rPr>
        <w:t>s</w:t>
      </w:r>
      <w:r w:rsidRPr="00F83220">
        <w:rPr>
          <w:lang w:val="fr-FR"/>
        </w:rPr>
        <w:t xml:space="preserve"> imputable</w:t>
      </w:r>
      <w:r>
        <w:rPr>
          <w:lang w:val="fr-FR"/>
        </w:rPr>
        <w:t>s</w:t>
      </w:r>
      <w:r w:rsidRPr="00F83220">
        <w:rPr>
          <w:lang w:val="fr-FR"/>
        </w:rPr>
        <w:t xml:space="preserve"> à l</w:t>
      </w:r>
      <w:r>
        <w:rPr>
          <w:lang w:val="fr-FR"/>
        </w:rPr>
        <w:t>’État partie : a) du paragraphe 1</w:t>
      </w:r>
      <w:r w:rsidRPr="00F83220">
        <w:rPr>
          <w:lang w:val="fr-FR"/>
        </w:rPr>
        <w:t xml:space="preserve">, du fait que </w:t>
      </w:r>
      <w:proofErr w:type="spellStart"/>
      <w:r w:rsidRPr="005F338A">
        <w:t>Tewfik</w:t>
      </w:r>
      <w:proofErr w:type="spellEnd"/>
      <w:r w:rsidRPr="005F338A">
        <w:t xml:space="preserve"> </w:t>
      </w:r>
      <w:proofErr w:type="spellStart"/>
      <w:r w:rsidRPr="005F338A">
        <w:t>Djaou</w:t>
      </w:r>
      <w:proofErr w:type="spellEnd"/>
      <w:r w:rsidRPr="00F83220">
        <w:rPr>
          <w:lang w:val="fr-FR"/>
        </w:rPr>
        <w:t xml:space="preserve"> a été victime d</w:t>
      </w:r>
      <w:r>
        <w:rPr>
          <w:lang w:val="fr-FR"/>
        </w:rPr>
        <w:t>’</w:t>
      </w:r>
      <w:r w:rsidRPr="00F83220">
        <w:rPr>
          <w:lang w:val="fr-FR"/>
        </w:rPr>
        <w:t>une privation arbitraire de liberté</w:t>
      </w:r>
      <w:r>
        <w:rPr>
          <w:lang w:val="fr-FR"/>
        </w:rPr>
        <w:t xml:space="preserve"> par des agents du </w:t>
      </w:r>
      <w:r w:rsidRPr="008112C8">
        <w:t>Département d</w:t>
      </w:r>
      <w:r>
        <w:t>u</w:t>
      </w:r>
      <w:r w:rsidRPr="008112C8">
        <w:t xml:space="preserve"> renseignement et de la sécurité</w:t>
      </w:r>
      <w:r>
        <w:rPr>
          <w:lang w:val="fr-FR"/>
        </w:rPr>
        <w:t xml:space="preserve"> relevant de l’armée algérienne ; b)</w:t>
      </w:r>
      <w:r w:rsidRPr="00014C5F">
        <w:rPr>
          <w:lang w:val="fr-FR"/>
        </w:rPr>
        <w:t xml:space="preserve"> </w:t>
      </w:r>
      <w:r>
        <w:rPr>
          <w:lang w:val="fr-FR"/>
        </w:rPr>
        <w:t>du paragraphe 2</w:t>
      </w:r>
      <w:r w:rsidRPr="00F83220">
        <w:rPr>
          <w:lang w:val="fr-FR"/>
        </w:rPr>
        <w:t>,</w:t>
      </w:r>
      <w:r>
        <w:rPr>
          <w:lang w:val="fr-FR"/>
        </w:rPr>
        <w:t xml:space="preserve"> du fait que les agents</w:t>
      </w:r>
      <w:r w:rsidRPr="00F83220">
        <w:rPr>
          <w:lang w:val="fr-FR"/>
        </w:rPr>
        <w:t xml:space="preserve"> ayant procédé à l</w:t>
      </w:r>
      <w:r>
        <w:rPr>
          <w:lang w:val="fr-FR"/>
        </w:rPr>
        <w:t>’</w:t>
      </w:r>
      <w:r w:rsidRPr="00F83220">
        <w:rPr>
          <w:lang w:val="fr-FR"/>
        </w:rPr>
        <w:t xml:space="preserve">arrestation de </w:t>
      </w:r>
      <w:proofErr w:type="spellStart"/>
      <w:r w:rsidRPr="005F338A">
        <w:t>Tewfik</w:t>
      </w:r>
      <w:proofErr w:type="spellEnd"/>
      <w:r w:rsidRPr="005F338A">
        <w:t xml:space="preserve"> </w:t>
      </w:r>
      <w:proofErr w:type="spellStart"/>
      <w:r w:rsidRPr="005F338A">
        <w:t>Djaou</w:t>
      </w:r>
      <w:proofErr w:type="spellEnd"/>
      <w:r w:rsidRPr="00F83220">
        <w:rPr>
          <w:lang w:val="fr-FR"/>
        </w:rPr>
        <w:t xml:space="preserve"> n</w:t>
      </w:r>
      <w:r>
        <w:rPr>
          <w:lang w:val="fr-FR"/>
        </w:rPr>
        <w:t>’</w:t>
      </w:r>
      <w:r w:rsidRPr="00F83220">
        <w:rPr>
          <w:lang w:val="fr-FR"/>
        </w:rPr>
        <w:t xml:space="preserve">ont </w:t>
      </w:r>
      <w:r>
        <w:rPr>
          <w:lang w:val="fr-FR"/>
        </w:rPr>
        <w:t>ni</w:t>
      </w:r>
      <w:r w:rsidRPr="00F83220">
        <w:rPr>
          <w:lang w:val="fr-FR"/>
        </w:rPr>
        <w:t xml:space="preserve"> exposé les motifs de son arrestation ni présenté </w:t>
      </w:r>
      <w:r>
        <w:rPr>
          <w:lang w:val="fr-FR"/>
        </w:rPr>
        <w:t>de</w:t>
      </w:r>
      <w:r w:rsidRPr="00F83220">
        <w:rPr>
          <w:lang w:val="fr-FR"/>
        </w:rPr>
        <w:t xml:space="preserve"> mandat</w:t>
      </w:r>
      <w:r>
        <w:rPr>
          <w:lang w:val="fr-FR"/>
        </w:rPr>
        <w:t xml:space="preserve"> à cet effet,</w:t>
      </w:r>
      <w:r w:rsidRPr="00F83220">
        <w:rPr>
          <w:lang w:val="fr-FR"/>
        </w:rPr>
        <w:t xml:space="preserve"> et qu</w:t>
      </w:r>
      <w:r>
        <w:rPr>
          <w:lang w:val="fr-FR"/>
        </w:rPr>
        <w:t>’</w:t>
      </w:r>
      <w:r w:rsidRPr="00F83220">
        <w:rPr>
          <w:lang w:val="fr-FR"/>
        </w:rPr>
        <w:t xml:space="preserve">il </w:t>
      </w:r>
      <w:r>
        <w:rPr>
          <w:lang w:val="fr-FR"/>
        </w:rPr>
        <w:t>n’a</w:t>
      </w:r>
      <w:r w:rsidRPr="00F83220">
        <w:rPr>
          <w:lang w:val="fr-FR"/>
        </w:rPr>
        <w:t xml:space="preserve"> jamais reçu de notification officielle depuis son arrestation ; c) </w:t>
      </w:r>
      <w:r>
        <w:rPr>
          <w:lang w:val="fr-FR"/>
        </w:rPr>
        <w:t>du paragraphe 3</w:t>
      </w:r>
      <w:r w:rsidRPr="00F83220">
        <w:rPr>
          <w:lang w:val="fr-FR"/>
        </w:rPr>
        <w:t xml:space="preserve">, du fait que </w:t>
      </w:r>
      <w:proofErr w:type="spellStart"/>
      <w:r w:rsidRPr="005F338A">
        <w:t>Tewfik</w:t>
      </w:r>
      <w:proofErr w:type="spellEnd"/>
      <w:r w:rsidRPr="005F338A">
        <w:t xml:space="preserve"> </w:t>
      </w:r>
      <w:proofErr w:type="spellStart"/>
      <w:r w:rsidRPr="005F338A">
        <w:t>Djaou</w:t>
      </w:r>
      <w:proofErr w:type="spellEnd"/>
      <w:r>
        <w:rPr>
          <w:lang w:val="fr-FR"/>
        </w:rPr>
        <w:t xml:space="preserve"> n’a été, à la suite de son arrestation, ni présenté à un magistrat compétent, ni jugé, ni libéré, et que les plus de dix-huit ans écoulés depuis son arrestation excèdent largement le délai maximal de douze jours de garde à vue</w:t>
      </w:r>
      <w:r w:rsidRPr="00F83220">
        <w:rPr>
          <w:lang w:val="fr-FR"/>
        </w:rPr>
        <w:t xml:space="preserve"> </w:t>
      </w:r>
      <w:r>
        <w:rPr>
          <w:lang w:val="fr-FR"/>
        </w:rPr>
        <w:t>prévu par le</w:t>
      </w:r>
      <w:r w:rsidRPr="00F83220">
        <w:rPr>
          <w:lang w:val="fr-FR"/>
        </w:rPr>
        <w:t xml:space="preserve"> Code de procédure pénale</w:t>
      </w:r>
      <w:r>
        <w:rPr>
          <w:lang w:val="fr-FR"/>
        </w:rPr>
        <w:t xml:space="preserve"> en matière d’infractions liées au terrorisme</w:t>
      </w:r>
      <w:r w:rsidRPr="00F83220">
        <w:rPr>
          <w:lang w:val="fr-FR"/>
        </w:rPr>
        <w:t xml:space="preserve"> ; et d) </w:t>
      </w:r>
      <w:r>
        <w:rPr>
          <w:lang w:val="fr-FR"/>
        </w:rPr>
        <w:t>du paragraphe 4</w:t>
      </w:r>
      <w:r w:rsidRPr="00F83220">
        <w:rPr>
          <w:lang w:val="fr-FR"/>
        </w:rPr>
        <w:t xml:space="preserve">, du fait que </w:t>
      </w:r>
      <w:proofErr w:type="spellStart"/>
      <w:r w:rsidRPr="005F338A">
        <w:t>Tewfik</w:t>
      </w:r>
      <w:proofErr w:type="spellEnd"/>
      <w:r w:rsidRPr="005F338A">
        <w:t xml:space="preserve"> </w:t>
      </w:r>
      <w:proofErr w:type="spellStart"/>
      <w:r w:rsidRPr="005F338A">
        <w:t>Djaou</w:t>
      </w:r>
      <w:proofErr w:type="spellEnd"/>
      <w:r w:rsidRPr="00F83220">
        <w:rPr>
          <w:lang w:val="fr-FR"/>
        </w:rPr>
        <w:t>, soustrait au régime de la loi, n</w:t>
      </w:r>
      <w:r>
        <w:rPr>
          <w:lang w:val="fr-FR"/>
        </w:rPr>
        <w:t>’</w:t>
      </w:r>
      <w:r w:rsidRPr="00F83220">
        <w:rPr>
          <w:lang w:val="fr-FR"/>
        </w:rPr>
        <w:t>a jamais pu contester la légalité de sa détention.</w:t>
      </w:r>
    </w:p>
    <w:p w14:paraId="1EB1FA30" w14:textId="77777777" w:rsidR="00B13F56" w:rsidRDefault="00B13F56" w:rsidP="00B13F56">
      <w:pPr>
        <w:pStyle w:val="SingleTxtG"/>
        <w:rPr>
          <w:lang w:val="fr-FR"/>
        </w:rPr>
      </w:pPr>
      <w:r>
        <w:rPr>
          <w:lang w:val="fr-FR"/>
        </w:rPr>
        <w:t>3.6</w:t>
      </w:r>
      <w:r>
        <w:rPr>
          <w:lang w:val="fr-FR"/>
        </w:rPr>
        <w:tab/>
        <w:t>D</w:t>
      </w:r>
      <w:r w:rsidRPr="002C0E8F">
        <w:rPr>
          <w:lang w:val="fr-FR"/>
        </w:rPr>
        <w:t xml:space="preserve">ans la mesure où </w:t>
      </w:r>
      <w:proofErr w:type="spellStart"/>
      <w:r w:rsidRPr="005F338A">
        <w:t>Tewfik</w:t>
      </w:r>
      <w:proofErr w:type="spellEnd"/>
      <w:r w:rsidRPr="005F338A">
        <w:t xml:space="preserve"> </w:t>
      </w:r>
      <w:proofErr w:type="spellStart"/>
      <w:r w:rsidRPr="005F338A">
        <w:t>Djaou</w:t>
      </w:r>
      <w:proofErr w:type="spellEnd"/>
      <w:r w:rsidRPr="000E1F75">
        <w:rPr>
          <w:lang w:val="fr-FR"/>
        </w:rPr>
        <w:t xml:space="preserve"> </w:t>
      </w:r>
      <w:r w:rsidRPr="002C0E8F">
        <w:rPr>
          <w:lang w:val="fr-FR"/>
        </w:rPr>
        <w:t>a fait l</w:t>
      </w:r>
      <w:r>
        <w:rPr>
          <w:lang w:val="fr-FR"/>
        </w:rPr>
        <w:t>’</w:t>
      </w:r>
      <w:r w:rsidRPr="002C0E8F">
        <w:rPr>
          <w:lang w:val="fr-FR"/>
        </w:rPr>
        <w:t xml:space="preserve">objet de traitements </w:t>
      </w:r>
      <w:r>
        <w:rPr>
          <w:lang w:val="fr-FR"/>
        </w:rPr>
        <w:t xml:space="preserve">cruels, </w:t>
      </w:r>
      <w:r w:rsidRPr="002C0E8F">
        <w:rPr>
          <w:lang w:val="fr-FR"/>
        </w:rPr>
        <w:t>inhumains ou dégradant</w:t>
      </w:r>
      <w:r>
        <w:rPr>
          <w:lang w:val="fr-FR"/>
        </w:rPr>
        <w:t>s,</w:t>
      </w:r>
      <w:r w:rsidRPr="002C0E8F">
        <w:rPr>
          <w:lang w:val="fr-FR"/>
        </w:rPr>
        <w:t xml:space="preserve"> en violation de l</w:t>
      </w:r>
      <w:r>
        <w:rPr>
          <w:lang w:val="fr-FR"/>
        </w:rPr>
        <w:t>’</w:t>
      </w:r>
      <w:r w:rsidRPr="002C0E8F">
        <w:rPr>
          <w:lang w:val="fr-FR"/>
        </w:rPr>
        <w:t xml:space="preserve">article 7 du Pacte, </w:t>
      </w:r>
      <w:r>
        <w:rPr>
          <w:lang w:val="fr-FR"/>
        </w:rPr>
        <w:t xml:space="preserve">il a également </w:t>
      </w:r>
      <w:r w:rsidRPr="002C0E8F">
        <w:rPr>
          <w:lang w:val="fr-FR"/>
        </w:rPr>
        <w:t>ét</w:t>
      </w:r>
      <w:r>
        <w:rPr>
          <w:lang w:val="fr-FR"/>
        </w:rPr>
        <w:t>é</w:t>
      </w:r>
      <w:r w:rsidRPr="002C0E8F">
        <w:rPr>
          <w:lang w:val="fr-FR"/>
        </w:rPr>
        <w:t xml:space="preserve"> victime d</w:t>
      </w:r>
      <w:r>
        <w:rPr>
          <w:lang w:val="fr-FR"/>
        </w:rPr>
        <w:t>’</w:t>
      </w:r>
      <w:r w:rsidRPr="002C0E8F">
        <w:rPr>
          <w:lang w:val="fr-FR"/>
        </w:rPr>
        <w:t>une violation de</w:t>
      </w:r>
      <w:r>
        <w:rPr>
          <w:lang w:val="fr-FR"/>
        </w:rPr>
        <w:t xml:space="preserve"> l’article 10 (par. </w:t>
      </w:r>
      <w:r w:rsidRPr="002C0E8F">
        <w:rPr>
          <w:lang w:val="fr-FR"/>
        </w:rPr>
        <w:t xml:space="preserve">1), </w:t>
      </w:r>
      <w:r>
        <w:rPr>
          <w:lang w:val="fr-FR"/>
        </w:rPr>
        <w:t xml:space="preserve">puisque </w:t>
      </w:r>
      <w:r w:rsidRPr="002C0E8F">
        <w:rPr>
          <w:lang w:val="fr-FR"/>
        </w:rPr>
        <w:t xml:space="preserve">les traitements </w:t>
      </w:r>
      <w:r>
        <w:rPr>
          <w:lang w:val="fr-FR"/>
        </w:rPr>
        <w:t xml:space="preserve">cruels, </w:t>
      </w:r>
      <w:r w:rsidRPr="002C0E8F">
        <w:rPr>
          <w:lang w:val="fr-FR"/>
        </w:rPr>
        <w:t xml:space="preserve">inhumains ou dégradants </w:t>
      </w:r>
      <w:r>
        <w:rPr>
          <w:lang w:val="fr-FR"/>
        </w:rPr>
        <w:t>sont</w:t>
      </w:r>
      <w:r w:rsidRPr="002C0E8F">
        <w:rPr>
          <w:lang w:val="fr-FR"/>
        </w:rPr>
        <w:t xml:space="preserve"> par nature incompatibles avec le respect de la dignité inhérente à la personne humaine.</w:t>
      </w:r>
      <w:r w:rsidRPr="00B07367">
        <w:rPr>
          <w:lang w:val="fr-FR"/>
        </w:rPr>
        <w:t xml:space="preserve"> </w:t>
      </w:r>
      <w:r>
        <w:rPr>
          <w:lang w:val="fr-FR"/>
        </w:rPr>
        <w:t>La détention au secret est de nature à causer au détenu des souffrances suffisamment graves pour être qualifiées d’actes de torture, mais favorise également la pratique d’actes inhumains.</w:t>
      </w:r>
    </w:p>
    <w:p w14:paraId="2CD7BC3C" w14:textId="77777777" w:rsidR="00B13F56" w:rsidRDefault="00B13F56" w:rsidP="00B13F56">
      <w:pPr>
        <w:pStyle w:val="SingleTxtG"/>
        <w:rPr>
          <w:lang w:val="fr-FR"/>
        </w:rPr>
      </w:pPr>
      <w:r>
        <w:rPr>
          <w:lang w:val="fr-FR"/>
        </w:rPr>
        <w:t>3.7</w:t>
      </w:r>
      <w:r>
        <w:rPr>
          <w:lang w:val="fr-FR"/>
        </w:rPr>
        <w:tab/>
        <w:t>L’auteur allègue également que</w:t>
      </w:r>
      <w:r w:rsidRPr="00B07367">
        <w:rPr>
          <w:lang w:val="fr-FR"/>
        </w:rPr>
        <w:t xml:space="preserve"> </w:t>
      </w:r>
      <w:r w:rsidRPr="00E362FE">
        <w:rPr>
          <w:lang w:val="fr-FR"/>
        </w:rPr>
        <w:t xml:space="preserve">la détention au secret de </w:t>
      </w:r>
      <w:proofErr w:type="spellStart"/>
      <w:r w:rsidRPr="005F338A">
        <w:t>Tewfik</w:t>
      </w:r>
      <w:proofErr w:type="spellEnd"/>
      <w:r w:rsidRPr="005F338A">
        <w:t xml:space="preserve"> </w:t>
      </w:r>
      <w:proofErr w:type="spellStart"/>
      <w:r w:rsidRPr="005F338A">
        <w:t>Djaou</w:t>
      </w:r>
      <w:proofErr w:type="spellEnd"/>
      <w:r w:rsidRPr="00E362FE">
        <w:rPr>
          <w:lang w:val="fr-FR"/>
        </w:rPr>
        <w:t xml:space="preserve"> constitue une violation imputable à l</w:t>
      </w:r>
      <w:r>
        <w:rPr>
          <w:lang w:val="fr-FR"/>
        </w:rPr>
        <w:t>’</w:t>
      </w:r>
      <w:r w:rsidRPr="00E362FE">
        <w:rPr>
          <w:lang w:val="fr-FR"/>
        </w:rPr>
        <w:t>État partie de l</w:t>
      </w:r>
      <w:r>
        <w:rPr>
          <w:lang w:val="fr-FR"/>
        </w:rPr>
        <w:t>’</w:t>
      </w:r>
      <w:r w:rsidRPr="00E362FE">
        <w:rPr>
          <w:lang w:val="fr-FR"/>
        </w:rPr>
        <w:t>article 16 du Pacte.</w:t>
      </w:r>
      <w:r>
        <w:rPr>
          <w:lang w:val="fr-FR"/>
        </w:rPr>
        <w:t xml:space="preserve"> Il </w:t>
      </w:r>
      <w:r w:rsidRPr="00E362FE">
        <w:rPr>
          <w:lang w:val="fr-FR"/>
        </w:rPr>
        <w:t xml:space="preserve">renvoie </w:t>
      </w:r>
      <w:r>
        <w:rPr>
          <w:lang w:val="fr-FR"/>
        </w:rPr>
        <w:t xml:space="preserve">à cet effet </w:t>
      </w:r>
      <w:r w:rsidRPr="00E362FE">
        <w:rPr>
          <w:lang w:val="fr-FR"/>
        </w:rPr>
        <w:t xml:space="preserve">aux observations finales </w:t>
      </w:r>
      <w:r>
        <w:rPr>
          <w:lang w:val="fr-FR"/>
        </w:rPr>
        <w:t>du Comité sur le</w:t>
      </w:r>
      <w:r w:rsidRPr="00E362FE">
        <w:rPr>
          <w:lang w:val="fr-FR"/>
        </w:rPr>
        <w:t xml:space="preserve"> deuxième rapport périodique de l</w:t>
      </w:r>
      <w:r>
        <w:rPr>
          <w:lang w:val="fr-FR"/>
        </w:rPr>
        <w:t>’</w:t>
      </w:r>
      <w:r w:rsidRPr="00E362FE">
        <w:rPr>
          <w:lang w:val="fr-FR"/>
        </w:rPr>
        <w:t>Algérie au titre de l</w:t>
      </w:r>
      <w:r>
        <w:rPr>
          <w:lang w:val="fr-FR"/>
        </w:rPr>
        <w:t>’</w:t>
      </w:r>
      <w:r w:rsidRPr="00E362FE">
        <w:rPr>
          <w:lang w:val="fr-FR"/>
        </w:rPr>
        <w:t>article</w:t>
      </w:r>
      <w:r>
        <w:rPr>
          <w:lang w:val="fr-FR"/>
        </w:rPr>
        <w:t> </w:t>
      </w:r>
      <w:r w:rsidRPr="00E362FE">
        <w:rPr>
          <w:lang w:val="fr-FR"/>
        </w:rPr>
        <w:t>40 du Pacte</w:t>
      </w:r>
      <w:r w:rsidRPr="00354FCF">
        <w:rPr>
          <w:rStyle w:val="Appelnotedebasdep"/>
        </w:rPr>
        <w:footnoteReference w:id="10"/>
      </w:r>
      <w:r w:rsidRPr="00E362FE">
        <w:rPr>
          <w:lang w:val="fr-FR"/>
        </w:rPr>
        <w:t xml:space="preserve">, </w:t>
      </w:r>
      <w:r>
        <w:rPr>
          <w:lang w:val="fr-FR"/>
        </w:rPr>
        <w:t xml:space="preserve">dans lesquelles </w:t>
      </w:r>
      <w:r w:rsidRPr="00E362FE">
        <w:rPr>
          <w:lang w:val="fr-FR"/>
        </w:rPr>
        <w:t>le Comité a établi que les personnes disparues toujours en vie et détenues au secret vo</w:t>
      </w:r>
      <w:r>
        <w:rPr>
          <w:lang w:val="fr-FR"/>
        </w:rPr>
        <w:t>ya</w:t>
      </w:r>
      <w:r w:rsidRPr="00E362FE">
        <w:rPr>
          <w:lang w:val="fr-FR"/>
        </w:rPr>
        <w:t xml:space="preserve">ient leur droit à la reconnaissance de leur personnalité juridique, tel que consacré par </w:t>
      </w:r>
      <w:r>
        <w:rPr>
          <w:lang w:val="fr-FR"/>
        </w:rPr>
        <w:t>l’article 16 du Pacte, violé.</w:t>
      </w:r>
    </w:p>
    <w:p w14:paraId="6B5D177F" w14:textId="77777777" w:rsidR="00B13F56" w:rsidRDefault="00B13F56" w:rsidP="00B13F56">
      <w:pPr>
        <w:pStyle w:val="SingleTxtG"/>
        <w:rPr>
          <w:lang w:val="fr-FR"/>
        </w:rPr>
      </w:pPr>
      <w:r>
        <w:rPr>
          <w:lang w:val="fr-FR"/>
        </w:rPr>
        <w:t>3.8</w:t>
      </w:r>
      <w:r>
        <w:rPr>
          <w:lang w:val="fr-FR"/>
        </w:rPr>
        <w:tab/>
        <w:t>R</w:t>
      </w:r>
      <w:r w:rsidRPr="005A41AC">
        <w:rPr>
          <w:lang w:val="fr-FR"/>
        </w:rPr>
        <w:t>appelant que l</w:t>
      </w:r>
      <w:r>
        <w:rPr>
          <w:lang w:val="fr-FR"/>
        </w:rPr>
        <w:t>’</w:t>
      </w:r>
      <w:r w:rsidRPr="005A41AC">
        <w:rPr>
          <w:lang w:val="fr-FR"/>
        </w:rPr>
        <w:t>article 23 (par. 1) du Pacte prévoit le droit à la protection de la famille, l</w:t>
      </w:r>
      <w:r>
        <w:rPr>
          <w:lang w:val="fr-FR"/>
        </w:rPr>
        <w:t>’</w:t>
      </w:r>
      <w:r w:rsidRPr="005A41AC">
        <w:rPr>
          <w:lang w:val="fr-FR"/>
        </w:rPr>
        <w:t xml:space="preserve">auteur soutient que </w:t>
      </w:r>
      <w:bookmarkStart w:id="1" w:name="_Hlk27402433"/>
      <w:r w:rsidRPr="005A41AC">
        <w:rPr>
          <w:lang w:val="fr-FR"/>
        </w:rPr>
        <w:t xml:space="preserve">la disparition de </w:t>
      </w:r>
      <w:proofErr w:type="spellStart"/>
      <w:r w:rsidRPr="005F338A">
        <w:t>Tewfik</w:t>
      </w:r>
      <w:proofErr w:type="spellEnd"/>
      <w:r w:rsidRPr="005F338A">
        <w:t xml:space="preserve"> </w:t>
      </w:r>
      <w:proofErr w:type="spellStart"/>
      <w:r w:rsidRPr="005F338A">
        <w:t>Djaou</w:t>
      </w:r>
      <w:proofErr w:type="spellEnd"/>
      <w:r w:rsidRPr="005A41AC">
        <w:rPr>
          <w:lang w:val="fr-FR"/>
        </w:rPr>
        <w:t xml:space="preserve"> </w:t>
      </w:r>
      <w:r>
        <w:rPr>
          <w:lang w:val="fr-FR"/>
        </w:rPr>
        <w:t>a privé</w:t>
      </w:r>
      <w:r w:rsidRPr="005A41AC">
        <w:rPr>
          <w:lang w:val="fr-FR"/>
        </w:rPr>
        <w:t xml:space="preserve"> </w:t>
      </w:r>
      <w:r>
        <w:rPr>
          <w:lang w:val="fr-FR"/>
        </w:rPr>
        <w:t>sa</w:t>
      </w:r>
      <w:r w:rsidRPr="005A41AC">
        <w:rPr>
          <w:lang w:val="fr-FR"/>
        </w:rPr>
        <w:t xml:space="preserve"> famille </w:t>
      </w:r>
      <w:r>
        <w:rPr>
          <w:lang w:val="fr-FR"/>
        </w:rPr>
        <w:t xml:space="preserve">d’un fils, </w:t>
      </w:r>
      <w:r w:rsidRPr="005A41AC">
        <w:rPr>
          <w:lang w:val="fr-FR"/>
        </w:rPr>
        <w:t>d</w:t>
      </w:r>
      <w:r>
        <w:rPr>
          <w:lang w:val="fr-FR"/>
        </w:rPr>
        <w:t>’</w:t>
      </w:r>
      <w:r w:rsidRPr="005A41AC">
        <w:rPr>
          <w:lang w:val="fr-FR"/>
        </w:rPr>
        <w:t>un père et d</w:t>
      </w:r>
      <w:r>
        <w:rPr>
          <w:lang w:val="fr-FR"/>
        </w:rPr>
        <w:t>’</w:t>
      </w:r>
      <w:r w:rsidRPr="005A41AC">
        <w:rPr>
          <w:lang w:val="fr-FR"/>
        </w:rPr>
        <w:t xml:space="preserve">un époux, </w:t>
      </w:r>
      <w:r>
        <w:rPr>
          <w:lang w:val="fr-FR"/>
        </w:rPr>
        <w:t>et constitue par là même une</w:t>
      </w:r>
      <w:r w:rsidRPr="005A41AC">
        <w:rPr>
          <w:lang w:val="fr-FR"/>
        </w:rPr>
        <w:t xml:space="preserve"> violatio</w:t>
      </w:r>
      <w:r>
        <w:rPr>
          <w:lang w:val="fr-FR"/>
        </w:rPr>
        <w:t>n dudit article</w:t>
      </w:r>
      <w:bookmarkEnd w:id="1"/>
      <w:r>
        <w:rPr>
          <w:lang w:val="fr-FR"/>
        </w:rPr>
        <w:t xml:space="preserve"> à l’égard </w:t>
      </w:r>
      <w:r w:rsidRPr="005A41AC">
        <w:rPr>
          <w:lang w:val="fr-FR"/>
        </w:rPr>
        <w:t xml:space="preserve">de </w:t>
      </w:r>
      <w:proofErr w:type="spellStart"/>
      <w:r w:rsidRPr="005F338A">
        <w:t>Tewfik</w:t>
      </w:r>
      <w:proofErr w:type="spellEnd"/>
      <w:r>
        <w:t> </w:t>
      </w:r>
      <w:proofErr w:type="spellStart"/>
      <w:r w:rsidRPr="005F338A">
        <w:t>Djaou</w:t>
      </w:r>
      <w:proofErr w:type="spellEnd"/>
      <w:r>
        <w:t xml:space="preserve"> ainsi qu’à l’égard de l’auteur et de ses proches</w:t>
      </w:r>
      <w:r w:rsidRPr="005A41AC">
        <w:rPr>
          <w:lang w:val="fr-FR"/>
        </w:rPr>
        <w:t>.</w:t>
      </w:r>
    </w:p>
    <w:p w14:paraId="6D5B4AD6" w14:textId="77777777" w:rsidR="00B13F56" w:rsidRDefault="00B13F56" w:rsidP="00B13F56">
      <w:pPr>
        <w:pStyle w:val="SingleTxtG"/>
        <w:rPr>
          <w:lang w:val="fr-FR"/>
        </w:rPr>
      </w:pPr>
      <w:r>
        <w:t>3.9</w:t>
      </w:r>
      <w:r>
        <w:tab/>
        <w:t>L</w:t>
      </w:r>
      <w:r>
        <w:rPr>
          <w:lang w:val="fr-FR"/>
        </w:rPr>
        <w:t>’</w:t>
      </w:r>
      <w:r w:rsidRPr="003C6723">
        <w:rPr>
          <w:lang w:val="fr-FR"/>
        </w:rPr>
        <w:t>auteur rappelle que l</w:t>
      </w:r>
      <w:r>
        <w:rPr>
          <w:lang w:val="fr-FR"/>
        </w:rPr>
        <w:t>’</w:t>
      </w:r>
      <w:r w:rsidRPr="003C6723">
        <w:rPr>
          <w:lang w:val="fr-FR"/>
        </w:rPr>
        <w:t xml:space="preserve">article 2 (par. 3) </w:t>
      </w:r>
      <w:r>
        <w:rPr>
          <w:lang w:val="fr-FR"/>
        </w:rPr>
        <w:t xml:space="preserve">du Pacte </w:t>
      </w:r>
      <w:r w:rsidRPr="003C6723">
        <w:rPr>
          <w:lang w:val="fr-FR"/>
        </w:rPr>
        <w:t>garantit l</w:t>
      </w:r>
      <w:r>
        <w:rPr>
          <w:lang w:val="fr-FR"/>
        </w:rPr>
        <w:t>’</w:t>
      </w:r>
      <w:r w:rsidRPr="003C6723">
        <w:rPr>
          <w:lang w:val="fr-FR"/>
        </w:rPr>
        <w:t>accès à des voies de recours effectives pour toute personne alléguant une violation de l</w:t>
      </w:r>
      <w:r>
        <w:rPr>
          <w:lang w:val="fr-FR"/>
        </w:rPr>
        <w:t>’</w:t>
      </w:r>
      <w:r w:rsidRPr="003C6723">
        <w:rPr>
          <w:lang w:val="fr-FR"/>
        </w:rPr>
        <w:t xml:space="preserve">un de ses </w:t>
      </w:r>
      <w:r>
        <w:rPr>
          <w:lang w:val="fr-FR"/>
        </w:rPr>
        <w:t xml:space="preserve">droits protégés par le Pacte. </w:t>
      </w:r>
      <w:proofErr w:type="spellStart"/>
      <w:r w:rsidRPr="005F338A">
        <w:t>Tewfik</w:t>
      </w:r>
      <w:proofErr w:type="spellEnd"/>
      <w:r w:rsidRPr="005F338A">
        <w:t xml:space="preserve"> </w:t>
      </w:r>
      <w:proofErr w:type="spellStart"/>
      <w:r w:rsidRPr="005F338A">
        <w:t>Djaou</w:t>
      </w:r>
      <w:proofErr w:type="spellEnd"/>
      <w:r w:rsidRPr="003C6723">
        <w:rPr>
          <w:lang w:val="fr-FR"/>
        </w:rPr>
        <w:t>, victime d</w:t>
      </w:r>
      <w:r>
        <w:rPr>
          <w:lang w:val="fr-FR"/>
        </w:rPr>
        <w:t>’</w:t>
      </w:r>
      <w:r w:rsidRPr="003C6723">
        <w:rPr>
          <w:lang w:val="fr-FR"/>
        </w:rPr>
        <w:t xml:space="preserve">une disparition forcée, est </w:t>
      </w:r>
      <w:r>
        <w:rPr>
          <w:lang w:val="fr-FR"/>
        </w:rPr>
        <w:t>de fait</w:t>
      </w:r>
      <w:r w:rsidRPr="003C6723">
        <w:rPr>
          <w:i/>
          <w:lang w:val="fr-FR"/>
        </w:rPr>
        <w:t xml:space="preserve"> </w:t>
      </w:r>
      <w:r w:rsidRPr="003C6723">
        <w:rPr>
          <w:lang w:val="fr-FR"/>
        </w:rPr>
        <w:t>dans l</w:t>
      </w:r>
      <w:r>
        <w:rPr>
          <w:lang w:val="fr-FR"/>
        </w:rPr>
        <w:t>’</w:t>
      </w:r>
      <w:r w:rsidRPr="003C6723">
        <w:rPr>
          <w:lang w:val="fr-FR"/>
        </w:rPr>
        <w:t>impossibilité d</w:t>
      </w:r>
      <w:r>
        <w:rPr>
          <w:lang w:val="fr-FR"/>
        </w:rPr>
        <w:t>’</w:t>
      </w:r>
      <w:r w:rsidRPr="003C6723">
        <w:rPr>
          <w:lang w:val="fr-FR"/>
        </w:rPr>
        <w:t>exercer une quelconque voie de recours. En s</w:t>
      </w:r>
      <w:r>
        <w:rPr>
          <w:lang w:val="fr-FR"/>
        </w:rPr>
        <w:t>’</w:t>
      </w:r>
      <w:r w:rsidRPr="003C6723">
        <w:rPr>
          <w:lang w:val="fr-FR"/>
        </w:rPr>
        <w:t>appuyant sur la jurisprudence du Comité,</w:t>
      </w:r>
      <w:r>
        <w:rPr>
          <w:lang w:val="fr-FR"/>
        </w:rPr>
        <w:t xml:space="preserve"> l’auteur</w:t>
      </w:r>
      <w:r w:rsidRPr="003C6723">
        <w:rPr>
          <w:lang w:val="fr-FR"/>
        </w:rPr>
        <w:t xml:space="preserve"> rappelle l</w:t>
      </w:r>
      <w:r>
        <w:rPr>
          <w:lang w:val="fr-FR"/>
        </w:rPr>
        <w:t>’</w:t>
      </w:r>
      <w:r w:rsidRPr="003C6723">
        <w:rPr>
          <w:lang w:val="fr-FR"/>
        </w:rPr>
        <w:t>obligation de l</w:t>
      </w:r>
      <w:r>
        <w:rPr>
          <w:lang w:val="fr-FR"/>
        </w:rPr>
        <w:t>’</w:t>
      </w:r>
      <w:r w:rsidRPr="003C6723">
        <w:rPr>
          <w:lang w:val="fr-FR"/>
        </w:rPr>
        <w:t xml:space="preserve">État partie de mener des enquêtes sur les violations alléguées de droits </w:t>
      </w:r>
      <w:r>
        <w:rPr>
          <w:lang w:val="fr-FR"/>
        </w:rPr>
        <w:t>humains ainsi que</w:t>
      </w:r>
      <w:r w:rsidRPr="003C6723">
        <w:rPr>
          <w:lang w:val="fr-FR"/>
        </w:rPr>
        <w:t xml:space="preserve"> de poursuivre les responsables présumés et de les punir</w:t>
      </w:r>
      <w:r>
        <w:rPr>
          <w:lang w:val="fr-FR"/>
        </w:rPr>
        <w:t>,</w:t>
      </w:r>
      <w:r w:rsidRPr="003C6723">
        <w:rPr>
          <w:lang w:val="fr-FR"/>
        </w:rPr>
        <w:t xml:space="preserve"> et estime que l</w:t>
      </w:r>
      <w:r>
        <w:rPr>
          <w:lang w:val="fr-FR"/>
        </w:rPr>
        <w:t>’</w:t>
      </w:r>
      <w:r w:rsidRPr="003C6723">
        <w:rPr>
          <w:lang w:val="fr-FR"/>
        </w:rPr>
        <w:t xml:space="preserve">absence de réaction des autorités algériennes aux requêtes de </w:t>
      </w:r>
      <w:r>
        <w:rPr>
          <w:lang w:val="fr-FR"/>
        </w:rPr>
        <w:t xml:space="preserve">l’auteur et des proches </w:t>
      </w:r>
      <w:r w:rsidRPr="003C6723">
        <w:rPr>
          <w:lang w:val="fr-FR"/>
        </w:rPr>
        <w:t xml:space="preserve">de la victime </w:t>
      </w:r>
      <w:r>
        <w:rPr>
          <w:lang w:val="fr-FR"/>
        </w:rPr>
        <w:t>est</w:t>
      </w:r>
      <w:r w:rsidRPr="003C6723">
        <w:rPr>
          <w:lang w:val="fr-FR"/>
        </w:rPr>
        <w:t xml:space="preserve"> constitutive d</w:t>
      </w:r>
      <w:r>
        <w:rPr>
          <w:lang w:val="fr-FR"/>
        </w:rPr>
        <w:t>’</w:t>
      </w:r>
      <w:r w:rsidRPr="003C6723">
        <w:rPr>
          <w:lang w:val="fr-FR"/>
        </w:rPr>
        <w:t>un manquement de l</w:t>
      </w:r>
      <w:r>
        <w:rPr>
          <w:lang w:val="fr-FR"/>
        </w:rPr>
        <w:t>’</w:t>
      </w:r>
      <w:r w:rsidRPr="003C6723">
        <w:rPr>
          <w:lang w:val="fr-FR"/>
        </w:rPr>
        <w:t>État partie aux obligations qui lui incombent au titre de l</w:t>
      </w:r>
      <w:r>
        <w:rPr>
          <w:lang w:val="fr-FR"/>
        </w:rPr>
        <w:t>’</w:t>
      </w:r>
      <w:r w:rsidRPr="003C6723">
        <w:rPr>
          <w:lang w:val="fr-FR"/>
        </w:rPr>
        <w:t xml:space="preserve">article 2 du Pacte. </w:t>
      </w:r>
      <w:r>
        <w:rPr>
          <w:lang w:val="fr-FR"/>
        </w:rPr>
        <w:t>L’</w:t>
      </w:r>
      <w:r w:rsidRPr="003C6723">
        <w:rPr>
          <w:lang w:val="fr-FR"/>
        </w:rPr>
        <w:t>ordonnance n</w:t>
      </w:r>
      <w:r w:rsidRPr="003C6723">
        <w:rPr>
          <w:vertAlign w:val="superscript"/>
          <w:lang w:val="fr-FR"/>
        </w:rPr>
        <w:t>o</w:t>
      </w:r>
      <w:r>
        <w:rPr>
          <w:lang w:val="fr-FR"/>
        </w:rPr>
        <w:t xml:space="preserve"> </w:t>
      </w:r>
      <w:r w:rsidRPr="003C6723">
        <w:rPr>
          <w:lang w:val="fr-FR"/>
        </w:rPr>
        <w:t>06-01, et plus particulièrement son article 45, constitue un manquement à l</w:t>
      </w:r>
      <w:r>
        <w:rPr>
          <w:lang w:val="fr-FR"/>
        </w:rPr>
        <w:t>’</w:t>
      </w:r>
      <w:r w:rsidRPr="003C6723">
        <w:rPr>
          <w:lang w:val="fr-FR"/>
        </w:rPr>
        <w:t>obligation de l</w:t>
      </w:r>
      <w:r>
        <w:rPr>
          <w:lang w:val="fr-FR"/>
        </w:rPr>
        <w:t>’</w:t>
      </w:r>
      <w:r w:rsidRPr="003C6723">
        <w:rPr>
          <w:lang w:val="fr-FR"/>
        </w:rPr>
        <w:t>État partie d</w:t>
      </w:r>
      <w:r>
        <w:rPr>
          <w:lang w:val="fr-FR"/>
        </w:rPr>
        <w:t>’</w:t>
      </w:r>
      <w:r w:rsidRPr="003C6723">
        <w:rPr>
          <w:lang w:val="fr-FR"/>
        </w:rPr>
        <w:t>assurer un reco</w:t>
      </w:r>
      <w:r>
        <w:rPr>
          <w:lang w:val="fr-FR"/>
        </w:rPr>
        <w:t>urs effectif. En conséquence, l’auteur</w:t>
      </w:r>
      <w:r w:rsidRPr="003C6723">
        <w:rPr>
          <w:lang w:val="fr-FR"/>
        </w:rPr>
        <w:t xml:space="preserve"> demande au Comité de reconnaître une violation de</w:t>
      </w:r>
      <w:r>
        <w:rPr>
          <w:lang w:val="fr-FR"/>
        </w:rPr>
        <w:t xml:space="preserve">s droits de </w:t>
      </w:r>
      <w:proofErr w:type="spellStart"/>
      <w:r w:rsidRPr="005F338A">
        <w:t>Tewfik</w:t>
      </w:r>
      <w:proofErr w:type="spellEnd"/>
      <w:r w:rsidRPr="005F338A">
        <w:t xml:space="preserve"> </w:t>
      </w:r>
      <w:proofErr w:type="spellStart"/>
      <w:r w:rsidRPr="005F338A">
        <w:t>Djaou</w:t>
      </w:r>
      <w:proofErr w:type="spellEnd"/>
      <w:r>
        <w:rPr>
          <w:lang w:val="fr-FR"/>
        </w:rPr>
        <w:t xml:space="preserve"> contenus dans</w:t>
      </w:r>
      <w:r w:rsidRPr="003C6723">
        <w:rPr>
          <w:lang w:val="fr-FR"/>
        </w:rPr>
        <w:t xml:space="preserve"> l</w:t>
      </w:r>
      <w:r>
        <w:rPr>
          <w:lang w:val="fr-FR"/>
        </w:rPr>
        <w:t>’</w:t>
      </w:r>
      <w:r w:rsidRPr="003C6723">
        <w:rPr>
          <w:lang w:val="fr-FR"/>
        </w:rPr>
        <w:t xml:space="preserve">article 2 (par. 3), lu </w:t>
      </w:r>
      <w:r>
        <w:rPr>
          <w:lang w:val="fr-FR"/>
        </w:rPr>
        <w:t xml:space="preserve">seul et </w:t>
      </w:r>
      <w:r w:rsidRPr="003C6723">
        <w:rPr>
          <w:lang w:val="fr-FR"/>
        </w:rPr>
        <w:t>conjointement avec les articles</w:t>
      </w:r>
      <w:r>
        <w:rPr>
          <w:lang w:val="fr-FR"/>
        </w:rPr>
        <w:t> </w:t>
      </w:r>
      <w:r w:rsidRPr="003C6723">
        <w:rPr>
          <w:lang w:val="fr-FR"/>
        </w:rPr>
        <w:t>6, 7, 9, 10</w:t>
      </w:r>
      <w:r>
        <w:rPr>
          <w:lang w:val="fr-FR"/>
        </w:rPr>
        <w:t>, 16 et 23</w:t>
      </w:r>
      <w:r w:rsidRPr="003C6723">
        <w:rPr>
          <w:lang w:val="fr-FR"/>
        </w:rPr>
        <w:t xml:space="preserve"> du Pacte.</w:t>
      </w:r>
    </w:p>
    <w:p w14:paraId="6252DC91" w14:textId="77777777" w:rsidR="00B13F56" w:rsidRPr="00DE54D3" w:rsidRDefault="00B13F56" w:rsidP="00B13F56">
      <w:pPr>
        <w:pStyle w:val="SingleTxtG"/>
      </w:pPr>
      <w:r>
        <w:t>3.10</w:t>
      </w:r>
      <w:r>
        <w:tab/>
      </w:r>
      <w:r w:rsidRPr="007C1F1E">
        <w:rPr>
          <w:lang w:val="fr-FR"/>
        </w:rPr>
        <w:t>L</w:t>
      </w:r>
      <w:r>
        <w:rPr>
          <w:lang w:val="fr-FR"/>
        </w:rPr>
        <w:t>’</w:t>
      </w:r>
      <w:r w:rsidRPr="007C1F1E">
        <w:rPr>
          <w:lang w:val="fr-FR"/>
        </w:rPr>
        <w:t xml:space="preserve">auteur demande </w:t>
      </w:r>
      <w:r>
        <w:rPr>
          <w:lang w:val="fr-FR"/>
        </w:rPr>
        <w:t xml:space="preserve">en premier lieu </w:t>
      </w:r>
      <w:r w:rsidRPr="007C1F1E">
        <w:rPr>
          <w:lang w:val="fr-FR"/>
        </w:rPr>
        <w:t>au Comité de reconnaître la viola</w:t>
      </w:r>
      <w:r>
        <w:rPr>
          <w:lang w:val="fr-FR"/>
        </w:rPr>
        <w:t xml:space="preserve">tion des articles 2 (par. 3), 6 (par. </w:t>
      </w:r>
      <w:r w:rsidRPr="007C1F1E">
        <w:rPr>
          <w:lang w:val="fr-FR"/>
        </w:rPr>
        <w:t xml:space="preserve">1), 7, 9 (par. 1 à </w:t>
      </w:r>
      <w:r>
        <w:rPr>
          <w:lang w:val="fr-FR"/>
        </w:rPr>
        <w:t>4), 10 (par. 1), 16 et 23 (par. 1)</w:t>
      </w:r>
      <w:r w:rsidRPr="007C1F1E">
        <w:rPr>
          <w:lang w:val="fr-FR"/>
        </w:rPr>
        <w:t xml:space="preserve"> </w:t>
      </w:r>
      <w:r>
        <w:rPr>
          <w:lang w:val="fr-FR"/>
        </w:rPr>
        <w:t>du Pacte, ainsi que de l’article 2 (par. 3) lu conjointement avec les articles 6, 7, 9, 10, 16 et 23</w:t>
      </w:r>
      <w:r w:rsidRPr="007C1F1E">
        <w:rPr>
          <w:lang w:val="fr-FR"/>
        </w:rPr>
        <w:t xml:space="preserve"> à l</w:t>
      </w:r>
      <w:r>
        <w:rPr>
          <w:lang w:val="fr-FR"/>
        </w:rPr>
        <w:t>’</w:t>
      </w:r>
      <w:r w:rsidRPr="007C1F1E">
        <w:rPr>
          <w:lang w:val="fr-FR"/>
        </w:rPr>
        <w:t xml:space="preserve">égard de </w:t>
      </w:r>
      <w:proofErr w:type="spellStart"/>
      <w:r w:rsidRPr="005F338A">
        <w:t>Tewfik</w:t>
      </w:r>
      <w:proofErr w:type="spellEnd"/>
      <w:r>
        <w:t> </w:t>
      </w:r>
      <w:proofErr w:type="spellStart"/>
      <w:r w:rsidRPr="005F338A">
        <w:t>Djaou</w:t>
      </w:r>
      <w:proofErr w:type="spellEnd"/>
      <w:r>
        <w:rPr>
          <w:lang w:val="fr-FR"/>
        </w:rPr>
        <w:t>.</w:t>
      </w:r>
      <w:r w:rsidRPr="007C1F1E">
        <w:rPr>
          <w:lang w:val="fr-FR"/>
        </w:rPr>
        <w:t xml:space="preserve"> </w:t>
      </w:r>
      <w:r>
        <w:rPr>
          <w:lang w:val="fr-FR"/>
        </w:rPr>
        <w:t xml:space="preserve">En deuxième lieu, </w:t>
      </w:r>
      <w:r>
        <w:t>il</w:t>
      </w:r>
      <w:r w:rsidRPr="007C64B0">
        <w:t xml:space="preserve"> lui demande de reconnaître</w:t>
      </w:r>
      <w:r>
        <w:t xml:space="preserve"> </w:t>
      </w:r>
      <w:r w:rsidRPr="007C1F1E">
        <w:rPr>
          <w:lang w:val="fr-FR"/>
        </w:rPr>
        <w:t>la violation</w:t>
      </w:r>
      <w:r>
        <w:rPr>
          <w:lang w:val="fr-FR"/>
        </w:rPr>
        <w:t xml:space="preserve"> des articles 2 (par. 3), 7 − lu seul et conjointement avec l’article 2 (par. 3) − et 23 (par. 1)</w:t>
      </w:r>
      <w:r w:rsidRPr="007C1F1E">
        <w:rPr>
          <w:lang w:val="fr-FR"/>
        </w:rPr>
        <w:t xml:space="preserve"> </w:t>
      </w:r>
      <w:r>
        <w:rPr>
          <w:lang w:val="fr-FR"/>
        </w:rPr>
        <w:t xml:space="preserve">du Pacte </w:t>
      </w:r>
      <w:r w:rsidRPr="007C1F1E">
        <w:rPr>
          <w:lang w:val="fr-FR"/>
        </w:rPr>
        <w:t xml:space="preserve">à son </w:t>
      </w:r>
      <w:r w:rsidRPr="007C1F1E">
        <w:rPr>
          <w:lang w:val="fr-FR"/>
        </w:rPr>
        <w:lastRenderedPageBreak/>
        <w:t>égard</w:t>
      </w:r>
      <w:r>
        <w:rPr>
          <w:lang w:val="fr-FR"/>
        </w:rPr>
        <w:t xml:space="preserve">. L’auteur </w:t>
      </w:r>
      <w:r w:rsidRPr="007C1F1E">
        <w:rPr>
          <w:lang w:val="fr-FR"/>
        </w:rPr>
        <w:t>demande en outre au Com</w:t>
      </w:r>
      <w:r>
        <w:rPr>
          <w:lang w:val="fr-FR"/>
        </w:rPr>
        <w:t xml:space="preserve">ité de prier l’État partie : a) </w:t>
      </w:r>
      <w:r w:rsidRPr="007C1F1E">
        <w:rPr>
          <w:lang w:val="fr-FR"/>
        </w:rPr>
        <w:t xml:space="preserve">de remettre en liberté </w:t>
      </w:r>
      <w:proofErr w:type="spellStart"/>
      <w:r w:rsidRPr="005F338A">
        <w:t>Tewfik</w:t>
      </w:r>
      <w:proofErr w:type="spellEnd"/>
      <w:r>
        <w:t> </w:t>
      </w:r>
      <w:proofErr w:type="spellStart"/>
      <w:r w:rsidRPr="005F338A">
        <w:t>Djaou</w:t>
      </w:r>
      <w:proofErr w:type="spellEnd"/>
      <w:r w:rsidRPr="007C1F1E">
        <w:rPr>
          <w:lang w:val="fr-FR"/>
        </w:rPr>
        <w:t xml:space="preserve"> si ce dernier est toujours en vie ; b) </w:t>
      </w:r>
      <w:r>
        <w:rPr>
          <w:lang w:val="fr-FR"/>
        </w:rPr>
        <w:t>de lui assurer un recours utile</w:t>
      </w:r>
      <w:r w:rsidRPr="007C1F1E">
        <w:rPr>
          <w:lang w:val="fr-FR"/>
        </w:rPr>
        <w:t xml:space="preserve"> en menant une enquête approfondie et diligente sur la disparition forcée de son</w:t>
      </w:r>
      <w:r>
        <w:rPr>
          <w:lang w:val="fr-FR"/>
        </w:rPr>
        <w:t xml:space="preserve"> fils et </w:t>
      </w:r>
      <w:r w:rsidRPr="007C1F1E">
        <w:rPr>
          <w:lang w:val="fr-FR"/>
        </w:rPr>
        <w:t>de l</w:t>
      </w:r>
      <w:r>
        <w:rPr>
          <w:lang w:val="fr-FR"/>
        </w:rPr>
        <w:t>’</w:t>
      </w:r>
      <w:r w:rsidRPr="007C1F1E">
        <w:rPr>
          <w:lang w:val="fr-FR"/>
        </w:rPr>
        <w:t xml:space="preserve">informer </w:t>
      </w:r>
      <w:r>
        <w:rPr>
          <w:lang w:val="fr-FR"/>
        </w:rPr>
        <w:t>des</w:t>
      </w:r>
      <w:r w:rsidRPr="007C1F1E">
        <w:rPr>
          <w:lang w:val="fr-FR"/>
        </w:rPr>
        <w:t xml:space="preserve"> résultats de l</w:t>
      </w:r>
      <w:r>
        <w:rPr>
          <w:lang w:val="fr-FR"/>
        </w:rPr>
        <w:t>’</w:t>
      </w:r>
      <w:r w:rsidRPr="007C1F1E">
        <w:rPr>
          <w:lang w:val="fr-FR"/>
        </w:rPr>
        <w:t>enquête</w:t>
      </w:r>
      <w:r>
        <w:rPr>
          <w:lang w:val="fr-FR"/>
        </w:rPr>
        <w:t> ;</w:t>
      </w:r>
      <w:r w:rsidRPr="007C1F1E">
        <w:rPr>
          <w:lang w:val="fr-FR"/>
        </w:rPr>
        <w:t xml:space="preserve"> </w:t>
      </w:r>
      <w:r>
        <w:rPr>
          <w:lang w:val="fr-FR"/>
        </w:rPr>
        <w:t>c</w:t>
      </w:r>
      <w:r w:rsidRPr="007C1F1E">
        <w:rPr>
          <w:lang w:val="fr-FR"/>
        </w:rPr>
        <w:t>) d</w:t>
      </w:r>
      <w:r>
        <w:rPr>
          <w:lang w:val="fr-FR"/>
        </w:rPr>
        <w:t>’</w:t>
      </w:r>
      <w:r w:rsidRPr="007C1F1E">
        <w:rPr>
          <w:lang w:val="fr-FR"/>
        </w:rPr>
        <w:t>engager des poursuites pénales contre les responsables</w:t>
      </w:r>
      <w:r>
        <w:rPr>
          <w:lang w:val="fr-FR"/>
        </w:rPr>
        <w:t xml:space="preserve"> présumés</w:t>
      </w:r>
      <w:r w:rsidRPr="007C1F1E">
        <w:rPr>
          <w:lang w:val="fr-FR"/>
        </w:rPr>
        <w:t xml:space="preserve"> de la disparition de </w:t>
      </w:r>
      <w:proofErr w:type="spellStart"/>
      <w:r w:rsidRPr="005F338A">
        <w:t>Tewfik</w:t>
      </w:r>
      <w:proofErr w:type="spellEnd"/>
      <w:r w:rsidRPr="005F338A">
        <w:t xml:space="preserve"> </w:t>
      </w:r>
      <w:proofErr w:type="spellStart"/>
      <w:r w:rsidRPr="005F338A">
        <w:t>Djaou</w:t>
      </w:r>
      <w:proofErr w:type="spellEnd"/>
      <w:r w:rsidRPr="007C1F1E">
        <w:rPr>
          <w:lang w:val="fr-FR"/>
        </w:rPr>
        <w:t xml:space="preserve">, </w:t>
      </w:r>
      <w:r w:rsidRPr="003C579A">
        <w:rPr>
          <w:lang w:val="fr-FR"/>
        </w:rPr>
        <w:t>de les traduire en justice et de les punir conformément aux engagements internationaux de l</w:t>
      </w:r>
      <w:r>
        <w:rPr>
          <w:lang w:val="fr-FR"/>
        </w:rPr>
        <w:t>’</w:t>
      </w:r>
      <w:r w:rsidRPr="003C579A">
        <w:rPr>
          <w:lang w:val="fr-FR"/>
        </w:rPr>
        <w:t>É</w:t>
      </w:r>
      <w:r>
        <w:rPr>
          <w:lang w:val="fr-FR"/>
        </w:rPr>
        <w:t>t</w:t>
      </w:r>
      <w:r w:rsidRPr="003C579A">
        <w:rPr>
          <w:lang w:val="fr-FR"/>
        </w:rPr>
        <w:t>at partie</w:t>
      </w:r>
      <w:r>
        <w:rPr>
          <w:lang w:val="fr-FR"/>
        </w:rPr>
        <w:t xml:space="preserve"> ; et d) </w:t>
      </w:r>
      <w:r w:rsidRPr="007C1F1E">
        <w:rPr>
          <w:lang w:val="fr-FR"/>
        </w:rPr>
        <w:t>d</w:t>
      </w:r>
      <w:r>
        <w:rPr>
          <w:lang w:val="fr-FR"/>
        </w:rPr>
        <w:t>’</w:t>
      </w:r>
      <w:r w:rsidRPr="007C1F1E">
        <w:rPr>
          <w:lang w:val="fr-FR"/>
        </w:rPr>
        <w:t>indemniser d</w:t>
      </w:r>
      <w:r>
        <w:rPr>
          <w:lang w:val="fr-FR"/>
        </w:rPr>
        <w:t>e manière appropriée</w:t>
      </w:r>
      <w:r w:rsidRPr="007C1F1E">
        <w:rPr>
          <w:lang w:val="fr-FR"/>
        </w:rPr>
        <w:t xml:space="preserve"> l</w:t>
      </w:r>
      <w:r>
        <w:rPr>
          <w:lang w:val="fr-FR"/>
        </w:rPr>
        <w:t>’</w:t>
      </w:r>
      <w:r w:rsidRPr="007C1F1E">
        <w:rPr>
          <w:lang w:val="fr-FR"/>
        </w:rPr>
        <w:t xml:space="preserve">auteur </w:t>
      </w:r>
      <w:r>
        <w:rPr>
          <w:lang w:val="fr-FR"/>
        </w:rPr>
        <w:t xml:space="preserve">et les ayants droit de </w:t>
      </w:r>
      <w:proofErr w:type="spellStart"/>
      <w:r w:rsidRPr="005F338A">
        <w:t>Tewfik</w:t>
      </w:r>
      <w:proofErr w:type="spellEnd"/>
      <w:r w:rsidRPr="005F338A">
        <w:t xml:space="preserve"> </w:t>
      </w:r>
      <w:proofErr w:type="spellStart"/>
      <w:r w:rsidRPr="005F338A">
        <w:t>Djaou</w:t>
      </w:r>
      <w:proofErr w:type="spellEnd"/>
      <w:r w:rsidRPr="007C1F1E">
        <w:rPr>
          <w:lang w:val="fr-FR"/>
        </w:rPr>
        <w:t xml:space="preserve"> </w:t>
      </w:r>
      <w:r>
        <w:rPr>
          <w:lang w:val="fr-FR"/>
        </w:rPr>
        <w:t>pour les violations subies</w:t>
      </w:r>
      <w:r w:rsidRPr="007C1F1E">
        <w:rPr>
          <w:lang w:val="fr-FR"/>
        </w:rPr>
        <w:t>.</w:t>
      </w:r>
    </w:p>
    <w:p w14:paraId="1FE48503" w14:textId="77777777" w:rsidR="00B13F56" w:rsidRPr="00DE54D3" w:rsidRDefault="00B13F56" w:rsidP="00B13F56">
      <w:pPr>
        <w:pStyle w:val="H23G"/>
        <w:rPr>
          <w:lang w:val="fr-FR"/>
        </w:rPr>
      </w:pPr>
      <w:r w:rsidRPr="00DE54D3">
        <w:tab/>
      </w:r>
      <w:r w:rsidRPr="00DE54D3">
        <w:tab/>
      </w:r>
      <w:r w:rsidRPr="00DE54D3">
        <w:rPr>
          <w:lang w:val="fr-FR"/>
        </w:rPr>
        <w:t>Observations de l</w:t>
      </w:r>
      <w:r>
        <w:rPr>
          <w:lang w:val="fr-FR"/>
        </w:rPr>
        <w:t>’</w:t>
      </w:r>
      <w:r w:rsidRPr="00DE54D3">
        <w:rPr>
          <w:lang w:val="fr-FR"/>
        </w:rPr>
        <w:t>État partie</w:t>
      </w:r>
    </w:p>
    <w:p w14:paraId="1CCF91DE" w14:textId="77777777" w:rsidR="00B13F56" w:rsidRDefault="00B13F56" w:rsidP="00B13F56">
      <w:pPr>
        <w:pStyle w:val="SingleTxtG"/>
        <w:rPr>
          <w:lang w:val="fr-FR"/>
        </w:rPr>
      </w:pPr>
      <w:r w:rsidRPr="00DE54D3">
        <w:rPr>
          <w:lang w:val="fr-FR"/>
        </w:rPr>
        <w:t>4.</w:t>
      </w:r>
      <w:r>
        <w:rPr>
          <w:lang w:val="fr-FR"/>
        </w:rPr>
        <w:t>1</w:t>
      </w:r>
      <w:r>
        <w:rPr>
          <w:lang w:val="fr-FR"/>
        </w:rPr>
        <w:tab/>
        <w:t>Le 10 novembre 2016</w:t>
      </w:r>
      <w:r w:rsidRPr="00B81DDF">
        <w:rPr>
          <w:lang w:val="fr-FR"/>
        </w:rPr>
        <w:t>, l</w:t>
      </w:r>
      <w:r>
        <w:rPr>
          <w:lang w:val="fr-FR"/>
        </w:rPr>
        <w:t>’</w:t>
      </w:r>
      <w:r w:rsidRPr="00B81DDF">
        <w:rPr>
          <w:lang w:val="fr-FR"/>
        </w:rPr>
        <w:t xml:space="preserve">État partie a invité le Comité à se référer au Mémorandum de référence du Gouvernement algérien sur le traitement de la question des disparitions à la lumière de la mise en œuvre de la Charte pour la paix </w:t>
      </w:r>
      <w:r>
        <w:rPr>
          <w:lang w:val="fr-FR"/>
        </w:rPr>
        <w:t>et la réconciliation nationale</w:t>
      </w:r>
      <w:r w:rsidRPr="00B81DDF">
        <w:rPr>
          <w:lang w:val="fr-FR"/>
        </w:rPr>
        <w:t>, contestant la recevabilité devant le Comité des communications en rapport avec la mise en œuvre de la Charte pour la paix et la réconciliatio</w:t>
      </w:r>
      <w:r>
        <w:rPr>
          <w:lang w:val="fr-FR"/>
        </w:rPr>
        <w:t>n nationale</w:t>
      </w:r>
      <w:r w:rsidRPr="00B81DDF">
        <w:rPr>
          <w:lang w:val="fr-FR"/>
        </w:rPr>
        <w:t>.</w:t>
      </w:r>
    </w:p>
    <w:p w14:paraId="621BB9F4" w14:textId="77777777" w:rsidR="00B13F56" w:rsidRPr="00DE54D3" w:rsidRDefault="00B13F56" w:rsidP="00B13F56">
      <w:pPr>
        <w:pStyle w:val="SingleTxtG"/>
        <w:rPr>
          <w:lang w:val="fr-FR"/>
        </w:rPr>
      </w:pPr>
      <w:r>
        <w:rPr>
          <w:lang w:val="fr-FR"/>
        </w:rPr>
        <w:t>4.2</w:t>
      </w:r>
      <w:r>
        <w:rPr>
          <w:lang w:val="fr-FR"/>
        </w:rPr>
        <w:tab/>
        <w:t xml:space="preserve">Le 12 septembre 2022, l’État partie a réitéré sa référence au Mémorandum et </w:t>
      </w:r>
      <w:r w:rsidRPr="0069123B">
        <w:rPr>
          <w:lang w:val="fr-FR"/>
        </w:rPr>
        <w:t>indiqu</w:t>
      </w:r>
      <w:r>
        <w:rPr>
          <w:lang w:val="fr-FR"/>
        </w:rPr>
        <w:t>é</w:t>
      </w:r>
      <w:r w:rsidRPr="0069123B">
        <w:rPr>
          <w:lang w:val="fr-FR"/>
        </w:rPr>
        <w:t xml:space="preserve"> que toutes les mesures </w:t>
      </w:r>
      <w:r>
        <w:rPr>
          <w:lang w:val="fr-FR"/>
        </w:rPr>
        <w:t>avaient</w:t>
      </w:r>
      <w:r w:rsidRPr="0069123B">
        <w:rPr>
          <w:lang w:val="fr-FR"/>
        </w:rPr>
        <w:t xml:space="preserve"> été prises au niveau national pour enquêter</w:t>
      </w:r>
      <w:r>
        <w:rPr>
          <w:lang w:val="fr-FR"/>
        </w:rPr>
        <w:t>.</w:t>
      </w:r>
      <w:r w:rsidRPr="0069123B">
        <w:rPr>
          <w:lang w:val="fr-FR"/>
        </w:rPr>
        <w:t xml:space="preserve"> </w:t>
      </w:r>
      <w:r>
        <w:rPr>
          <w:lang w:val="fr-FR"/>
        </w:rPr>
        <w:t xml:space="preserve">En ce sens, l’État partie affirme qu’à la suite de la disparition de </w:t>
      </w:r>
      <w:proofErr w:type="spellStart"/>
      <w:r w:rsidRPr="00E7341C">
        <w:rPr>
          <w:lang w:val="fr-FR"/>
        </w:rPr>
        <w:t>Tewfik</w:t>
      </w:r>
      <w:proofErr w:type="spellEnd"/>
      <w:r w:rsidRPr="00E7341C">
        <w:rPr>
          <w:lang w:val="fr-FR"/>
        </w:rPr>
        <w:t xml:space="preserve"> </w:t>
      </w:r>
      <w:proofErr w:type="spellStart"/>
      <w:r w:rsidRPr="00E7341C">
        <w:rPr>
          <w:lang w:val="fr-FR"/>
        </w:rPr>
        <w:t>Djaou</w:t>
      </w:r>
      <w:proofErr w:type="spellEnd"/>
      <w:r>
        <w:rPr>
          <w:lang w:val="fr-FR"/>
        </w:rPr>
        <w:t xml:space="preserve">, la police a ouvert une enquête et est entrée en contact avec son frère, qui aurait déclaré que des individus armés étaient venus à la bijouterie où travaillait </w:t>
      </w:r>
      <w:proofErr w:type="spellStart"/>
      <w:r w:rsidRPr="00E7341C">
        <w:rPr>
          <w:lang w:val="fr-FR"/>
        </w:rPr>
        <w:t>Tewfik</w:t>
      </w:r>
      <w:proofErr w:type="spellEnd"/>
      <w:r w:rsidRPr="00E7341C">
        <w:rPr>
          <w:lang w:val="fr-FR"/>
        </w:rPr>
        <w:t xml:space="preserve"> </w:t>
      </w:r>
      <w:proofErr w:type="spellStart"/>
      <w:r w:rsidRPr="00E7341C">
        <w:rPr>
          <w:lang w:val="fr-FR"/>
        </w:rPr>
        <w:t>Djaou</w:t>
      </w:r>
      <w:proofErr w:type="spellEnd"/>
      <w:r>
        <w:rPr>
          <w:lang w:val="fr-FR"/>
        </w:rPr>
        <w:t xml:space="preserve">, affirmant qu’ils étaient membres des services de </w:t>
      </w:r>
      <w:r w:rsidRPr="008112C8">
        <w:t>sécurité algérien</w:t>
      </w:r>
      <w:r>
        <w:t>s</w:t>
      </w:r>
      <w:r w:rsidRPr="008112C8">
        <w:t xml:space="preserve"> </w:t>
      </w:r>
      <w:r>
        <w:rPr>
          <w:lang w:val="fr-FR"/>
        </w:rPr>
        <w:t xml:space="preserve">et, après s’être emparés de tous les bijoux, avaient emmené </w:t>
      </w:r>
      <w:proofErr w:type="spellStart"/>
      <w:r w:rsidRPr="00F5193B">
        <w:rPr>
          <w:lang w:val="fr-FR"/>
        </w:rPr>
        <w:t>Tewfik</w:t>
      </w:r>
      <w:proofErr w:type="spellEnd"/>
      <w:r>
        <w:rPr>
          <w:lang w:val="fr-FR"/>
        </w:rPr>
        <w:t> </w:t>
      </w:r>
      <w:proofErr w:type="spellStart"/>
      <w:r w:rsidRPr="00F5193B">
        <w:rPr>
          <w:lang w:val="fr-FR"/>
        </w:rPr>
        <w:t>Djaou</w:t>
      </w:r>
      <w:proofErr w:type="spellEnd"/>
      <w:r>
        <w:rPr>
          <w:lang w:val="fr-FR"/>
        </w:rPr>
        <w:t xml:space="preserve"> vers une destination inconnue. Selon l’État partie, le juge a ordonné une enquête contre inconnu, et le frère de </w:t>
      </w:r>
      <w:proofErr w:type="spellStart"/>
      <w:r w:rsidRPr="00E7341C">
        <w:rPr>
          <w:lang w:val="fr-FR"/>
        </w:rPr>
        <w:t>Tewfik</w:t>
      </w:r>
      <w:proofErr w:type="spellEnd"/>
      <w:r w:rsidRPr="00E7341C">
        <w:rPr>
          <w:lang w:val="fr-FR"/>
        </w:rPr>
        <w:t xml:space="preserve"> </w:t>
      </w:r>
      <w:proofErr w:type="spellStart"/>
      <w:r w:rsidRPr="00E7341C">
        <w:rPr>
          <w:lang w:val="fr-FR"/>
        </w:rPr>
        <w:t>Djaou</w:t>
      </w:r>
      <w:proofErr w:type="spellEnd"/>
      <w:r>
        <w:rPr>
          <w:lang w:val="fr-FR"/>
        </w:rPr>
        <w:t xml:space="preserve"> a réitéré devant le juge ce qu’il avait déclaré devant la police. L’État partie estime donc qu’</w:t>
      </w:r>
      <w:r w:rsidRPr="0069123B">
        <w:rPr>
          <w:lang w:val="fr-FR"/>
        </w:rPr>
        <w:t>il n</w:t>
      </w:r>
      <w:r>
        <w:rPr>
          <w:lang w:val="fr-FR"/>
        </w:rPr>
        <w:t>’</w:t>
      </w:r>
      <w:r w:rsidRPr="0069123B">
        <w:rPr>
          <w:lang w:val="fr-FR"/>
        </w:rPr>
        <w:t xml:space="preserve">y a aucun élément probant et </w:t>
      </w:r>
      <w:r>
        <w:rPr>
          <w:lang w:val="fr-FR"/>
        </w:rPr>
        <w:t xml:space="preserve">que </w:t>
      </w:r>
      <w:r w:rsidRPr="0069123B">
        <w:rPr>
          <w:lang w:val="fr-FR"/>
        </w:rPr>
        <w:t xml:space="preserve">la communication </w:t>
      </w:r>
      <w:r>
        <w:rPr>
          <w:lang w:val="fr-FR"/>
        </w:rPr>
        <w:t xml:space="preserve">devant le Comité </w:t>
      </w:r>
      <w:r w:rsidRPr="0069123B">
        <w:rPr>
          <w:lang w:val="fr-FR"/>
        </w:rPr>
        <w:t>doit être déclarée irrecevable.</w:t>
      </w:r>
    </w:p>
    <w:p w14:paraId="5CB9AA58" w14:textId="77777777" w:rsidR="00B13F56" w:rsidRPr="00DE54D3" w:rsidRDefault="00B13F56" w:rsidP="00B13F56">
      <w:pPr>
        <w:pStyle w:val="H23G"/>
        <w:rPr>
          <w:lang w:val="fr-FR"/>
        </w:rPr>
      </w:pPr>
      <w:r w:rsidRPr="00DE54D3">
        <w:rPr>
          <w:lang w:val="fr-FR"/>
        </w:rPr>
        <w:tab/>
      </w:r>
      <w:r w:rsidRPr="00DE54D3">
        <w:rPr>
          <w:lang w:val="fr-FR"/>
        </w:rPr>
        <w:tab/>
        <w:t>Commentaires de</w:t>
      </w:r>
      <w:r>
        <w:rPr>
          <w:lang w:val="fr-FR"/>
        </w:rPr>
        <w:t xml:space="preserve"> l’</w:t>
      </w:r>
      <w:r w:rsidRPr="00DE54D3">
        <w:rPr>
          <w:lang w:val="fr-FR"/>
        </w:rPr>
        <w:t>auteur sur les observations de l</w:t>
      </w:r>
      <w:r>
        <w:rPr>
          <w:lang w:val="fr-FR"/>
        </w:rPr>
        <w:t>’</w:t>
      </w:r>
      <w:r w:rsidRPr="00DE54D3">
        <w:rPr>
          <w:lang w:val="fr-FR"/>
        </w:rPr>
        <w:t>État partie</w:t>
      </w:r>
    </w:p>
    <w:p w14:paraId="59C8D09A" w14:textId="77777777" w:rsidR="00B13F56" w:rsidRDefault="00B13F56" w:rsidP="00B13F56">
      <w:pPr>
        <w:pStyle w:val="SingleTxtG"/>
        <w:rPr>
          <w:lang w:val="fr-FR"/>
        </w:rPr>
      </w:pPr>
      <w:r w:rsidRPr="00DE54D3">
        <w:rPr>
          <w:lang w:val="fr-FR"/>
        </w:rPr>
        <w:t>5.1</w:t>
      </w:r>
      <w:r w:rsidRPr="00DE54D3">
        <w:rPr>
          <w:lang w:val="fr-FR"/>
        </w:rPr>
        <w:tab/>
        <w:t xml:space="preserve">Le </w:t>
      </w:r>
      <w:r>
        <w:rPr>
          <w:lang w:val="fr-FR"/>
        </w:rPr>
        <w:t>15 mars 2017</w:t>
      </w:r>
      <w:r w:rsidRPr="00DE54D3">
        <w:rPr>
          <w:lang w:val="fr-FR"/>
        </w:rPr>
        <w:t xml:space="preserve">, </w:t>
      </w:r>
      <w:r w:rsidRPr="00B16156">
        <w:rPr>
          <w:lang w:val="fr-FR"/>
        </w:rPr>
        <w:t>l</w:t>
      </w:r>
      <w:r>
        <w:rPr>
          <w:lang w:val="fr-FR"/>
        </w:rPr>
        <w:t>’</w:t>
      </w:r>
      <w:r w:rsidRPr="00B16156">
        <w:rPr>
          <w:lang w:val="fr-FR"/>
        </w:rPr>
        <w:t>auteur a soumis des commentaires sur les observations de l</w:t>
      </w:r>
      <w:r>
        <w:rPr>
          <w:lang w:val="fr-FR"/>
        </w:rPr>
        <w:t>’</w:t>
      </w:r>
      <w:r w:rsidRPr="00B16156">
        <w:rPr>
          <w:lang w:val="fr-FR"/>
        </w:rPr>
        <w:t>État partie</w:t>
      </w:r>
      <w:r>
        <w:rPr>
          <w:lang w:val="fr-FR"/>
        </w:rPr>
        <w:t xml:space="preserve"> datées du 10 novembre 2016</w:t>
      </w:r>
      <w:r w:rsidRPr="00B16156">
        <w:rPr>
          <w:lang w:val="fr-FR"/>
        </w:rPr>
        <w:t>.</w:t>
      </w:r>
      <w:r>
        <w:rPr>
          <w:lang w:val="fr-FR"/>
        </w:rPr>
        <w:t xml:space="preserve"> Il </w:t>
      </w:r>
      <w:r w:rsidRPr="00672B49">
        <w:rPr>
          <w:lang w:val="fr-FR"/>
        </w:rPr>
        <w:t>soulig</w:t>
      </w:r>
      <w:r>
        <w:rPr>
          <w:lang w:val="fr-FR"/>
        </w:rPr>
        <w:t>ne</w:t>
      </w:r>
      <w:r w:rsidRPr="005021B2">
        <w:rPr>
          <w:rStyle w:val="SingleTxtGChar"/>
        </w:rPr>
        <w:t xml:space="preserve"> </w:t>
      </w:r>
      <w:r w:rsidRPr="00672B49">
        <w:rPr>
          <w:lang w:val="fr-FR"/>
        </w:rPr>
        <w:t xml:space="preserve">que </w:t>
      </w:r>
      <w:r>
        <w:rPr>
          <w:lang w:val="fr-FR"/>
        </w:rPr>
        <w:t>ces</w:t>
      </w:r>
      <w:r w:rsidRPr="00672B49">
        <w:rPr>
          <w:lang w:val="fr-FR"/>
        </w:rPr>
        <w:t xml:space="preserve"> observations sont inadaptées, car elles se réfèrent à un document type daté </w:t>
      </w:r>
      <w:r>
        <w:rPr>
          <w:lang w:val="fr-FR"/>
        </w:rPr>
        <w:t>de</w:t>
      </w:r>
      <w:r w:rsidRPr="00672B49">
        <w:rPr>
          <w:lang w:val="fr-FR"/>
        </w:rPr>
        <w:t xml:space="preserve"> juillet 2009 adressé au Groupe de travail sur les disparitions forcées ou involontaires</w:t>
      </w:r>
      <w:r>
        <w:rPr>
          <w:lang w:val="fr-FR"/>
        </w:rPr>
        <w:t>,</w:t>
      </w:r>
      <w:r w:rsidRPr="00672B49">
        <w:rPr>
          <w:lang w:val="fr-FR"/>
        </w:rPr>
        <w:t xml:space="preserve"> et non au Comité. </w:t>
      </w:r>
      <w:r>
        <w:rPr>
          <w:lang w:val="fr-FR"/>
        </w:rPr>
        <w:t>L</w:t>
      </w:r>
      <w:r w:rsidRPr="00672B49">
        <w:rPr>
          <w:lang w:val="fr-FR"/>
        </w:rPr>
        <w:t>es observations de l</w:t>
      </w:r>
      <w:r>
        <w:rPr>
          <w:lang w:val="fr-FR"/>
        </w:rPr>
        <w:t>’</w:t>
      </w:r>
      <w:r w:rsidRPr="00672B49">
        <w:rPr>
          <w:lang w:val="fr-FR"/>
        </w:rPr>
        <w:t>État partie ne font nullement mention des spécificités de l</w:t>
      </w:r>
      <w:r>
        <w:rPr>
          <w:lang w:val="fr-FR"/>
        </w:rPr>
        <w:t>’</w:t>
      </w:r>
      <w:r w:rsidRPr="00672B49">
        <w:rPr>
          <w:lang w:val="fr-FR"/>
        </w:rPr>
        <w:t>affaire et n</w:t>
      </w:r>
      <w:r>
        <w:rPr>
          <w:lang w:val="fr-FR"/>
        </w:rPr>
        <w:t>’</w:t>
      </w:r>
      <w:r w:rsidRPr="00672B49">
        <w:rPr>
          <w:lang w:val="fr-FR"/>
        </w:rPr>
        <w:t xml:space="preserve">apportent aucune réponse sur les circonstances particulières de la disparition de </w:t>
      </w:r>
      <w:proofErr w:type="spellStart"/>
      <w:r w:rsidRPr="005F338A">
        <w:t>Tewfik</w:t>
      </w:r>
      <w:proofErr w:type="spellEnd"/>
      <w:r w:rsidRPr="005F338A">
        <w:t xml:space="preserve"> </w:t>
      </w:r>
      <w:proofErr w:type="spellStart"/>
      <w:r w:rsidRPr="005F338A">
        <w:t>Djaou</w:t>
      </w:r>
      <w:proofErr w:type="spellEnd"/>
      <w:r>
        <w:rPr>
          <w:lang w:val="fr-FR"/>
        </w:rPr>
        <w:t>.</w:t>
      </w:r>
    </w:p>
    <w:p w14:paraId="07F78D99" w14:textId="77777777" w:rsidR="00B13F56" w:rsidRDefault="00B13F56" w:rsidP="00B13F56">
      <w:pPr>
        <w:pStyle w:val="SingleTxtG"/>
      </w:pPr>
      <w:r>
        <w:rPr>
          <w:lang w:val="fr-FR"/>
        </w:rPr>
        <w:t>5.2</w:t>
      </w:r>
      <w:r>
        <w:rPr>
          <w:lang w:val="fr-FR"/>
        </w:rPr>
        <w:tab/>
        <w:t xml:space="preserve">Selon l’auteur, </w:t>
      </w:r>
      <w:r>
        <w:t>l</w:t>
      </w:r>
      <w:r w:rsidRPr="00E22988">
        <w:t>a réponse de l</w:t>
      </w:r>
      <w:r>
        <w:t>’</w:t>
      </w:r>
      <w:r w:rsidRPr="00E22988">
        <w:t>État partie remet en question son obligation de coopérer de bonne foi avec l</w:t>
      </w:r>
      <w:r w:rsidRPr="005021B2">
        <w:rPr>
          <w:rStyle w:val="SingleTxtGChar"/>
        </w:rPr>
        <w:t xml:space="preserve">e </w:t>
      </w:r>
      <w:r w:rsidRPr="00E22988">
        <w:t xml:space="preserve">Comité, devoir qui découle </w:t>
      </w:r>
      <w:r>
        <w:t xml:space="preserve">− </w:t>
      </w:r>
      <w:r w:rsidRPr="00E22988">
        <w:t>comme le Comité l</w:t>
      </w:r>
      <w:r>
        <w:t>’</w:t>
      </w:r>
      <w:r w:rsidRPr="00E22988">
        <w:t xml:space="preserve">a rappelé </w:t>
      </w:r>
      <w:r>
        <w:t>au paragraphe 15 de</w:t>
      </w:r>
      <w:r w:rsidRPr="00E22988">
        <w:t xml:space="preserve"> son </w:t>
      </w:r>
      <w:r>
        <w:t>o</w:t>
      </w:r>
      <w:r w:rsidRPr="00E22988">
        <w:t xml:space="preserve">bservation générale </w:t>
      </w:r>
      <w:r>
        <w:rPr>
          <w:rFonts w:eastAsia="MS Mincho"/>
        </w:rPr>
        <w:t>n</w:t>
      </w:r>
      <w:r>
        <w:rPr>
          <w:rFonts w:eastAsia="MS Mincho"/>
          <w:vertAlign w:val="superscript"/>
        </w:rPr>
        <w:t>o</w:t>
      </w:r>
      <w:r>
        <w:t> </w:t>
      </w:r>
      <w:r w:rsidRPr="00E22988">
        <w:t>33</w:t>
      </w:r>
      <w:r>
        <w:t xml:space="preserve"> (2008) − </w:t>
      </w:r>
      <w:r w:rsidRPr="00E22988">
        <w:t>de l</w:t>
      </w:r>
      <w:r>
        <w:t>’</w:t>
      </w:r>
      <w:r w:rsidRPr="00E22988">
        <w:t>application du principe de la bonne foi à l</w:t>
      </w:r>
      <w:r>
        <w:t>’</w:t>
      </w:r>
      <w:r w:rsidRPr="00E22988">
        <w:t>observation de toutes les obligations conventionnelles.</w:t>
      </w:r>
    </w:p>
    <w:p w14:paraId="3EFFDE67" w14:textId="77777777" w:rsidR="00B13F56" w:rsidRPr="00505FCC" w:rsidRDefault="00B13F56" w:rsidP="00B13F56">
      <w:pPr>
        <w:pStyle w:val="SingleTxtG"/>
      </w:pPr>
      <w:r>
        <w:t>5.3</w:t>
      </w:r>
      <w:r>
        <w:tab/>
        <w:t>L</w:t>
      </w:r>
      <w:r w:rsidRPr="004A5639">
        <w:t>e Comité, dans sa jurisprudence constante, a affirmé que l</w:t>
      </w:r>
      <w:r>
        <w:t>’</w:t>
      </w:r>
      <w:r w:rsidRPr="004A5639">
        <w:t>État partie ne saurait opposer les dispositions de la Charte pour la paix et la réconciliation nationale à des personnes qui invoquent les dispositions du Pacte ou qui ont soumis ou pourraient soumettre des communications au Comité</w:t>
      </w:r>
      <w:r w:rsidRPr="00354FCF">
        <w:rPr>
          <w:rStyle w:val="Appelnotedebasdep"/>
        </w:rPr>
        <w:footnoteReference w:id="11"/>
      </w:r>
      <w:r w:rsidRPr="004A5639">
        <w:t xml:space="preserve">. </w:t>
      </w:r>
      <w:r>
        <w:t>L’auteur considère que l’</w:t>
      </w:r>
      <w:r w:rsidRPr="004A5639">
        <w:t>adoption par l</w:t>
      </w:r>
      <w:r>
        <w:t>’</w:t>
      </w:r>
      <w:r w:rsidRPr="004A5639">
        <w:t>É</w:t>
      </w:r>
      <w:r>
        <w:t>t</w:t>
      </w:r>
      <w:r w:rsidRPr="004A5639">
        <w:t xml:space="preserve">at partie de </w:t>
      </w:r>
      <w:r>
        <w:t xml:space="preserve">la </w:t>
      </w:r>
      <w:r w:rsidRPr="004A5639">
        <w:t>C</w:t>
      </w:r>
      <w:r>
        <w:t>harte ou celle d’un « </w:t>
      </w:r>
      <w:r w:rsidRPr="004A5639">
        <w:t>mécanis</w:t>
      </w:r>
      <w:r>
        <w:t>me interne global de règlement »</w:t>
      </w:r>
      <w:r w:rsidRPr="004A5639">
        <w:t xml:space="preserve"> </w:t>
      </w:r>
      <w:r>
        <w:t>ne constituent pas des</w:t>
      </w:r>
      <w:r w:rsidRPr="004A5639">
        <w:t xml:space="preserve"> mesures suffisante</w:t>
      </w:r>
      <w:r>
        <w:t>s</w:t>
      </w:r>
      <w:r w:rsidRPr="004A5639">
        <w:t xml:space="preserve"> pour remplir ses obligations conventionnelles d</w:t>
      </w:r>
      <w:r>
        <w:t>’</w:t>
      </w:r>
      <w:r w:rsidRPr="004A5639">
        <w:t>enquête, de poursuite et de réparation, et que ces mesures ne sauraient être valablement opposée</w:t>
      </w:r>
      <w:r>
        <w:t>s</w:t>
      </w:r>
      <w:r w:rsidRPr="004A5639">
        <w:t xml:space="preserve"> au</w:t>
      </w:r>
      <w:r>
        <w:t xml:space="preserve"> Comité</w:t>
      </w:r>
      <w:r w:rsidRPr="004A5639">
        <w:t>, ni constituer une cause d</w:t>
      </w:r>
      <w:r>
        <w:t>’</w:t>
      </w:r>
      <w:r w:rsidRPr="004A5639">
        <w:t>irrecevabilité d</w:t>
      </w:r>
      <w:r>
        <w:t>’</w:t>
      </w:r>
      <w:r w:rsidRPr="004A5639">
        <w:t>une communication.</w:t>
      </w:r>
    </w:p>
    <w:p w14:paraId="7903FB9E" w14:textId="77777777" w:rsidR="00B13F56" w:rsidRDefault="00B13F56" w:rsidP="00B13F56">
      <w:pPr>
        <w:pStyle w:val="SingleTxtG"/>
        <w:rPr>
          <w:lang w:val="fr-FR"/>
        </w:rPr>
      </w:pPr>
      <w:r>
        <w:rPr>
          <w:lang w:val="fr-FR"/>
        </w:rPr>
        <w:t>5.4</w:t>
      </w:r>
      <w:r>
        <w:rPr>
          <w:lang w:val="fr-FR"/>
        </w:rPr>
        <w:tab/>
        <w:t xml:space="preserve">Enfin, l’auteur considère </w:t>
      </w:r>
      <w:r w:rsidRPr="00B11211">
        <w:rPr>
          <w:lang w:val="fr-FR"/>
        </w:rPr>
        <w:t>que l</w:t>
      </w:r>
      <w:r>
        <w:rPr>
          <w:lang w:val="fr-FR"/>
        </w:rPr>
        <w:t>’</w:t>
      </w:r>
      <w:r w:rsidRPr="00B11211">
        <w:rPr>
          <w:lang w:val="fr-FR"/>
        </w:rPr>
        <w:t>É</w:t>
      </w:r>
      <w:r>
        <w:rPr>
          <w:lang w:val="fr-FR"/>
        </w:rPr>
        <w:t>t</w:t>
      </w:r>
      <w:r w:rsidRPr="00B11211">
        <w:rPr>
          <w:lang w:val="fr-FR"/>
        </w:rPr>
        <w:t>at partie enfreint son obligation générale découlant de l</w:t>
      </w:r>
      <w:r>
        <w:rPr>
          <w:lang w:val="fr-FR"/>
        </w:rPr>
        <w:t>’</w:t>
      </w:r>
      <w:r w:rsidRPr="00B11211">
        <w:rPr>
          <w:lang w:val="fr-FR"/>
        </w:rPr>
        <w:t xml:space="preserve">article 2 </w:t>
      </w:r>
      <w:r>
        <w:rPr>
          <w:lang w:val="fr-FR"/>
        </w:rPr>
        <w:t xml:space="preserve">(par. </w:t>
      </w:r>
      <w:r w:rsidRPr="00B11211">
        <w:rPr>
          <w:lang w:val="fr-FR"/>
        </w:rPr>
        <w:t>2</w:t>
      </w:r>
      <w:r>
        <w:rPr>
          <w:lang w:val="fr-FR"/>
        </w:rPr>
        <w:t>)</w:t>
      </w:r>
      <w:r w:rsidRPr="00B11211">
        <w:rPr>
          <w:lang w:val="fr-FR"/>
        </w:rPr>
        <w:t xml:space="preserve">, lu conjointement avec </w:t>
      </w:r>
      <w:r>
        <w:rPr>
          <w:lang w:val="fr-FR"/>
        </w:rPr>
        <w:t xml:space="preserve">les </w:t>
      </w:r>
      <w:r w:rsidRPr="00B11211">
        <w:rPr>
          <w:lang w:val="fr-FR"/>
        </w:rPr>
        <w:t>article</w:t>
      </w:r>
      <w:r>
        <w:rPr>
          <w:lang w:val="fr-FR"/>
        </w:rPr>
        <w:t>s</w:t>
      </w:r>
      <w:r w:rsidRPr="00B11211">
        <w:rPr>
          <w:lang w:val="fr-FR"/>
        </w:rPr>
        <w:t xml:space="preserve"> 2 </w:t>
      </w:r>
      <w:r>
        <w:rPr>
          <w:lang w:val="fr-FR"/>
        </w:rPr>
        <w:t xml:space="preserve">(par. </w:t>
      </w:r>
      <w:r w:rsidRPr="00B11211">
        <w:rPr>
          <w:lang w:val="fr-FR"/>
        </w:rPr>
        <w:t>3</w:t>
      </w:r>
      <w:r>
        <w:rPr>
          <w:lang w:val="fr-FR"/>
        </w:rPr>
        <w:t>) et</w:t>
      </w:r>
      <w:r w:rsidRPr="00B11211">
        <w:rPr>
          <w:lang w:val="fr-FR"/>
        </w:rPr>
        <w:t xml:space="preserve"> 19</w:t>
      </w:r>
      <w:r>
        <w:rPr>
          <w:lang w:val="fr-FR"/>
        </w:rPr>
        <w:t xml:space="preserve"> du Pacte. </w:t>
      </w:r>
      <w:r w:rsidRPr="00B11211">
        <w:rPr>
          <w:lang w:val="fr-FR"/>
        </w:rPr>
        <w:t>En effet, la principale raison de l</w:t>
      </w:r>
      <w:r>
        <w:rPr>
          <w:lang w:val="fr-FR"/>
        </w:rPr>
        <w:t>’inefficacité</w:t>
      </w:r>
      <w:r w:rsidRPr="00B11211">
        <w:rPr>
          <w:lang w:val="fr-FR"/>
        </w:rPr>
        <w:t xml:space="preserve"> de tout recours au sein de l</w:t>
      </w:r>
      <w:r>
        <w:rPr>
          <w:lang w:val="fr-FR"/>
        </w:rPr>
        <w:t>’</w:t>
      </w:r>
      <w:r w:rsidRPr="00B11211">
        <w:rPr>
          <w:lang w:val="fr-FR"/>
        </w:rPr>
        <w:t>É</w:t>
      </w:r>
      <w:r>
        <w:rPr>
          <w:lang w:val="fr-FR"/>
        </w:rPr>
        <w:t>t</w:t>
      </w:r>
      <w:r w:rsidRPr="00B11211">
        <w:rPr>
          <w:lang w:val="fr-FR"/>
        </w:rPr>
        <w:t>at partie réside dans l</w:t>
      </w:r>
      <w:r>
        <w:rPr>
          <w:lang w:val="fr-FR"/>
        </w:rPr>
        <w:t>’</w:t>
      </w:r>
      <w:r w:rsidRPr="00B11211">
        <w:rPr>
          <w:lang w:val="fr-FR"/>
        </w:rPr>
        <w:t>imp</w:t>
      </w:r>
      <w:r>
        <w:rPr>
          <w:lang w:val="fr-FR"/>
        </w:rPr>
        <w:t>ossibilité légale pour l’auteur</w:t>
      </w:r>
      <w:r w:rsidRPr="00B11211">
        <w:rPr>
          <w:lang w:val="fr-FR"/>
        </w:rPr>
        <w:t xml:space="preserve"> d</w:t>
      </w:r>
      <w:r>
        <w:rPr>
          <w:lang w:val="fr-FR"/>
        </w:rPr>
        <w:t>’</w:t>
      </w:r>
      <w:r w:rsidRPr="00B11211">
        <w:rPr>
          <w:lang w:val="fr-FR"/>
        </w:rPr>
        <w:t>introduire un recours auprès des juridictions de l</w:t>
      </w:r>
      <w:r>
        <w:rPr>
          <w:lang w:val="fr-FR"/>
        </w:rPr>
        <w:t>’</w:t>
      </w:r>
      <w:r w:rsidRPr="00B11211">
        <w:rPr>
          <w:lang w:val="fr-FR"/>
        </w:rPr>
        <w:t>É</w:t>
      </w:r>
      <w:r>
        <w:rPr>
          <w:lang w:val="fr-FR"/>
        </w:rPr>
        <w:t>t</w:t>
      </w:r>
      <w:r w:rsidRPr="00B11211">
        <w:rPr>
          <w:lang w:val="fr-FR"/>
        </w:rPr>
        <w:t xml:space="preserve">at partie, </w:t>
      </w:r>
      <w:r>
        <w:rPr>
          <w:lang w:val="fr-FR"/>
        </w:rPr>
        <w:t>au titre</w:t>
      </w:r>
      <w:r w:rsidRPr="00B11211">
        <w:rPr>
          <w:lang w:val="fr-FR"/>
        </w:rPr>
        <w:t xml:space="preserve"> de l</w:t>
      </w:r>
      <w:r>
        <w:rPr>
          <w:lang w:val="fr-FR"/>
        </w:rPr>
        <w:t>’</w:t>
      </w:r>
      <w:r w:rsidRPr="00B11211">
        <w:rPr>
          <w:lang w:val="fr-FR"/>
        </w:rPr>
        <w:t>artic</w:t>
      </w:r>
      <w:r>
        <w:rPr>
          <w:lang w:val="fr-FR"/>
        </w:rPr>
        <w:t xml:space="preserve">le 45 de l’ordonnance </w:t>
      </w:r>
      <w:r w:rsidRPr="007214D2">
        <w:rPr>
          <w:rFonts w:eastAsia="MS Mincho"/>
          <w:lang w:val="fr-FR"/>
        </w:rPr>
        <w:t>n</w:t>
      </w:r>
      <w:r w:rsidRPr="007214D2">
        <w:rPr>
          <w:rFonts w:eastAsia="MS Mincho"/>
          <w:vertAlign w:val="superscript"/>
          <w:lang w:val="fr-FR"/>
        </w:rPr>
        <w:t>o</w:t>
      </w:r>
      <w:r>
        <w:rPr>
          <w:lang w:val="fr-FR"/>
        </w:rPr>
        <w:t xml:space="preserve"> 06-01. </w:t>
      </w:r>
      <w:r w:rsidRPr="00B11211">
        <w:rPr>
          <w:lang w:val="fr-FR"/>
        </w:rPr>
        <w:t>Cette ordonnance a pour effet d</w:t>
      </w:r>
      <w:r>
        <w:rPr>
          <w:lang w:val="fr-FR"/>
        </w:rPr>
        <w:t>’</w:t>
      </w:r>
      <w:r w:rsidRPr="00B11211">
        <w:rPr>
          <w:lang w:val="fr-FR"/>
        </w:rPr>
        <w:t>inscrire dans le cadre législatif de l</w:t>
      </w:r>
      <w:r>
        <w:rPr>
          <w:lang w:val="fr-FR"/>
        </w:rPr>
        <w:t>’</w:t>
      </w:r>
      <w:r w:rsidRPr="00B11211">
        <w:rPr>
          <w:lang w:val="fr-FR"/>
        </w:rPr>
        <w:t>É</w:t>
      </w:r>
      <w:r>
        <w:rPr>
          <w:lang w:val="fr-FR"/>
        </w:rPr>
        <w:t>t</w:t>
      </w:r>
      <w:r w:rsidRPr="00B11211">
        <w:rPr>
          <w:lang w:val="fr-FR"/>
        </w:rPr>
        <w:t>at partie cette impossibilité légale d</w:t>
      </w:r>
      <w:r>
        <w:rPr>
          <w:lang w:val="fr-FR"/>
        </w:rPr>
        <w:t>’</w:t>
      </w:r>
      <w:r w:rsidRPr="00B11211">
        <w:rPr>
          <w:lang w:val="fr-FR"/>
        </w:rPr>
        <w:t>introduire un recours effectif en violation de l</w:t>
      </w:r>
      <w:r>
        <w:rPr>
          <w:lang w:val="fr-FR"/>
        </w:rPr>
        <w:t>’</w:t>
      </w:r>
      <w:r w:rsidRPr="00B11211">
        <w:rPr>
          <w:lang w:val="fr-FR"/>
        </w:rPr>
        <w:t xml:space="preserve">article 2 </w:t>
      </w:r>
      <w:r>
        <w:rPr>
          <w:lang w:val="fr-FR"/>
        </w:rPr>
        <w:t>(par.</w:t>
      </w:r>
      <w:r w:rsidRPr="00B11211">
        <w:rPr>
          <w:lang w:val="fr-FR"/>
        </w:rPr>
        <w:t xml:space="preserve"> 3</w:t>
      </w:r>
      <w:r>
        <w:rPr>
          <w:lang w:val="fr-FR"/>
        </w:rPr>
        <w:t>)</w:t>
      </w:r>
      <w:r w:rsidRPr="00B11211">
        <w:rPr>
          <w:lang w:val="fr-FR"/>
        </w:rPr>
        <w:t xml:space="preserve"> du Pacte</w:t>
      </w:r>
      <w:r>
        <w:rPr>
          <w:lang w:val="fr-FR"/>
        </w:rPr>
        <w:t>,</w:t>
      </w:r>
      <w:r w:rsidRPr="00B11211">
        <w:rPr>
          <w:lang w:val="fr-FR"/>
        </w:rPr>
        <w:t xml:space="preserve"> mais aussi de criminaliser, par son article 46, toute expression pacifique de ses doléances ou toute publicité à propos des faits allégués, en violation de son droit à la liberté d</w:t>
      </w:r>
      <w:r>
        <w:rPr>
          <w:lang w:val="fr-FR"/>
        </w:rPr>
        <w:t>’</w:t>
      </w:r>
      <w:r w:rsidRPr="00B11211">
        <w:rPr>
          <w:lang w:val="fr-FR"/>
        </w:rPr>
        <w:t>expression co</w:t>
      </w:r>
      <w:r>
        <w:rPr>
          <w:lang w:val="fr-FR"/>
        </w:rPr>
        <w:t xml:space="preserve">nsacré à l’article 19 du Pacte. </w:t>
      </w:r>
      <w:r w:rsidRPr="00B11211">
        <w:rPr>
          <w:lang w:val="fr-FR"/>
        </w:rPr>
        <w:t>Tant que les dispositions précitées de la Charte</w:t>
      </w:r>
      <w:r w:rsidRPr="00883258">
        <w:t xml:space="preserve"> </w:t>
      </w:r>
      <w:r w:rsidRPr="004A5639">
        <w:t xml:space="preserve">pour la paix et la réconciliation </w:t>
      </w:r>
      <w:r w:rsidRPr="004A5639">
        <w:lastRenderedPageBreak/>
        <w:t>nationale</w:t>
      </w:r>
      <w:r w:rsidRPr="00B11211">
        <w:rPr>
          <w:lang w:val="fr-FR"/>
        </w:rPr>
        <w:t xml:space="preserve"> demeureront applicables, les familles de victimes n</w:t>
      </w:r>
      <w:r>
        <w:rPr>
          <w:lang w:val="fr-FR"/>
        </w:rPr>
        <w:t>’</w:t>
      </w:r>
      <w:r w:rsidRPr="00B11211">
        <w:rPr>
          <w:lang w:val="fr-FR"/>
        </w:rPr>
        <w:t>auront aucun moyen légal de faire valoir leurs droits découlant de l</w:t>
      </w:r>
      <w:r>
        <w:rPr>
          <w:lang w:val="fr-FR"/>
        </w:rPr>
        <w:t>’</w:t>
      </w:r>
      <w:r w:rsidRPr="00B11211">
        <w:rPr>
          <w:lang w:val="fr-FR"/>
        </w:rPr>
        <w:t xml:space="preserve">article 2 </w:t>
      </w:r>
      <w:r>
        <w:rPr>
          <w:lang w:val="fr-FR"/>
        </w:rPr>
        <w:t>(par.</w:t>
      </w:r>
      <w:r w:rsidRPr="00B11211">
        <w:rPr>
          <w:lang w:val="fr-FR"/>
        </w:rPr>
        <w:t xml:space="preserve"> 3</w:t>
      </w:r>
      <w:r>
        <w:rPr>
          <w:lang w:val="fr-FR"/>
        </w:rPr>
        <w:t>) du Pacte,</w:t>
      </w:r>
      <w:r w:rsidRPr="00B11211">
        <w:rPr>
          <w:lang w:val="fr-FR"/>
        </w:rPr>
        <w:t xml:space="preserve"> ni même de s</w:t>
      </w:r>
      <w:r>
        <w:rPr>
          <w:lang w:val="fr-FR"/>
        </w:rPr>
        <w:t>’</w:t>
      </w:r>
      <w:r w:rsidRPr="00B11211">
        <w:rPr>
          <w:lang w:val="fr-FR"/>
        </w:rPr>
        <w:t>exprimer publiquement sur les violations dont leurs proches ont été victimes</w:t>
      </w:r>
      <w:r>
        <w:rPr>
          <w:lang w:val="fr-FR"/>
        </w:rPr>
        <w:t>, au risque d’être l’objet d’une condamnation allant jusqu’à cinq</w:t>
      </w:r>
      <w:r w:rsidRPr="00B11211">
        <w:rPr>
          <w:lang w:val="fr-FR"/>
        </w:rPr>
        <w:t xml:space="preserve"> années d</w:t>
      </w:r>
      <w:r>
        <w:rPr>
          <w:lang w:val="fr-FR"/>
        </w:rPr>
        <w:t>’</w:t>
      </w:r>
      <w:r w:rsidRPr="00B11211">
        <w:rPr>
          <w:lang w:val="fr-FR"/>
        </w:rPr>
        <w:t>emprisonnement, et ce, en violation de l</w:t>
      </w:r>
      <w:r>
        <w:rPr>
          <w:lang w:val="fr-FR"/>
        </w:rPr>
        <w:t>’</w:t>
      </w:r>
      <w:r w:rsidRPr="00B11211">
        <w:rPr>
          <w:lang w:val="fr-FR"/>
        </w:rPr>
        <w:t>article</w:t>
      </w:r>
      <w:r>
        <w:rPr>
          <w:lang w:val="fr-FR"/>
        </w:rPr>
        <w:t> </w:t>
      </w:r>
      <w:r w:rsidRPr="00B11211">
        <w:rPr>
          <w:lang w:val="fr-FR"/>
        </w:rPr>
        <w:t>19 du Pacte.</w:t>
      </w:r>
    </w:p>
    <w:p w14:paraId="28D8D350" w14:textId="77777777" w:rsidR="00B13F56" w:rsidRPr="00DE54D3" w:rsidRDefault="00B13F56" w:rsidP="00B13F56">
      <w:pPr>
        <w:pStyle w:val="SingleTxtG"/>
        <w:rPr>
          <w:lang w:val="fr-FR"/>
        </w:rPr>
      </w:pPr>
      <w:r>
        <w:rPr>
          <w:lang w:val="fr-FR"/>
        </w:rPr>
        <w:t>5.5</w:t>
      </w:r>
      <w:r>
        <w:rPr>
          <w:lang w:val="fr-FR"/>
        </w:rPr>
        <w:tab/>
        <w:t xml:space="preserve">Le 30 septembre 2022, l’auteur a exprimé son étonnement sur le fait que </w:t>
      </w:r>
      <w:r w:rsidRPr="00E20390">
        <w:rPr>
          <w:lang w:val="fr-FR"/>
        </w:rPr>
        <w:t>six</w:t>
      </w:r>
      <w:r>
        <w:rPr>
          <w:lang w:val="fr-FR"/>
        </w:rPr>
        <w:t xml:space="preserve"> </w:t>
      </w:r>
      <w:r w:rsidRPr="00E20390">
        <w:rPr>
          <w:lang w:val="fr-FR"/>
        </w:rPr>
        <w:t xml:space="preserve">années </w:t>
      </w:r>
      <w:r>
        <w:rPr>
          <w:lang w:val="fr-FR"/>
        </w:rPr>
        <w:t xml:space="preserve">après sa réponse du 10 novembre 2016 − </w:t>
      </w:r>
      <w:r w:rsidRPr="00E20390">
        <w:rPr>
          <w:lang w:val="fr-FR"/>
        </w:rPr>
        <w:t xml:space="preserve">et pour la première fois sur des questions préliminaires </w:t>
      </w:r>
      <w:r>
        <w:rPr>
          <w:lang w:val="fr-FR"/>
        </w:rPr>
        <w:t xml:space="preserve">− l’État partie </w:t>
      </w:r>
      <w:r w:rsidRPr="00E20390">
        <w:rPr>
          <w:lang w:val="fr-FR"/>
        </w:rPr>
        <w:t>invoqu</w:t>
      </w:r>
      <w:r>
        <w:rPr>
          <w:lang w:val="fr-FR"/>
        </w:rPr>
        <w:t>ait</w:t>
      </w:r>
      <w:r w:rsidRPr="00E20390">
        <w:rPr>
          <w:lang w:val="fr-FR"/>
        </w:rPr>
        <w:t xml:space="preserve"> une</w:t>
      </w:r>
      <w:r>
        <w:rPr>
          <w:lang w:val="fr-FR"/>
        </w:rPr>
        <w:t xml:space="preserve"> </w:t>
      </w:r>
      <w:r w:rsidRPr="00E20390">
        <w:rPr>
          <w:lang w:val="fr-FR"/>
        </w:rPr>
        <w:t>prétendue instruction qui aurait été ouverte par une juridiction locale et affirm</w:t>
      </w:r>
      <w:r>
        <w:rPr>
          <w:lang w:val="fr-FR"/>
        </w:rPr>
        <w:t>ait</w:t>
      </w:r>
      <w:r w:rsidRPr="00E20390">
        <w:rPr>
          <w:lang w:val="fr-FR"/>
        </w:rPr>
        <w:t xml:space="preserve"> faussement</w:t>
      </w:r>
      <w:r>
        <w:rPr>
          <w:lang w:val="fr-FR"/>
        </w:rPr>
        <w:t xml:space="preserve"> </w:t>
      </w:r>
      <w:r w:rsidRPr="00E20390">
        <w:rPr>
          <w:lang w:val="fr-FR"/>
        </w:rPr>
        <w:t xml:space="preserve">que la famille de </w:t>
      </w:r>
      <w:proofErr w:type="spellStart"/>
      <w:r w:rsidRPr="00851706">
        <w:rPr>
          <w:lang w:val="fr-FR"/>
        </w:rPr>
        <w:t>Tewfik</w:t>
      </w:r>
      <w:proofErr w:type="spellEnd"/>
      <w:r w:rsidRPr="00851706">
        <w:rPr>
          <w:lang w:val="fr-FR"/>
        </w:rPr>
        <w:t xml:space="preserve"> </w:t>
      </w:r>
      <w:proofErr w:type="spellStart"/>
      <w:r w:rsidRPr="00851706">
        <w:rPr>
          <w:lang w:val="fr-FR"/>
        </w:rPr>
        <w:t>Djaou</w:t>
      </w:r>
      <w:proofErr w:type="spellEnd"/>
      <w:r w:rsidRPr="00E20390">
        <w:rPr>
          <w:lang w:val="fr-FR"/>
        </w:rPr>
        <w:t xml:space="preserve"> y aurait été partie.</w:t>
      </w:r>
      <w:r>
        <w:rPr>
          <w:lang w:val="fr-FR"/>
        </w:rPr>
        <w:t xml:space="preserve"> L’auteur note en outre que </w:t>
      </w:r>
      <w:r w:rsidRPr="00851706">
        <w:rPr>
          <w:lang w:val="fr-FR"/>
        </w:rPr>
        <w:t>l</w:t>
      </w:r>
      <w:r>
        <w:rPr>
          <w:lang w:val="fr-FR"/>
        </w:rPr>
        <w:t>’É</w:t>
      </w:r>
      <w:r w:rsidRPr="00851706">
        <w:rPr>
          <w:lang w:val="fr-FR"/>
        </w:rPr>
        <w:t>tat partie n</w:t>
      </w:r>
      <w:r>
        <w:rPr>
          <w:lang w:val="fr-FR"/>
        </w:rPr>
        <w:t>’</w:t>
      </w:r>
      <w:r w:rsidRPr="00851706">
        <w:rPr>
          <w:lang w:val="fr-FR"/>
        </w:rPr>
        <w:t>apporte aucune réponse</w:t>
      </w:r>
      <w:r>
        <w:rPr>
          <w:lang w:val="fr-FR"/>
        </w:rPr>
        <w:t xml:space="preserve"> </w:t>
      </w:r>
      <w:r w:rsidRPr="00851706">
        <w:rPr>
          <w:lang w:val="fr-FR"/>
        </w:rPr>
        <w:t>sur le fond</w:t>
      </w:r>
      <w:r>
        <w:rPr>
          <w:lang w:val="fr-FR"/>
        </w:rPr>
        <w:t xml:space="preserve"> de l’affaire.</w:t>
      </w:r>
    </w:p>
    <w:p w14:paraId="212F61BB" w14:textId="77777777" w:rsidR="00B13F56" w:rsidRPr="00DE54D3" w:rsidRDefault="00B13F56" w:rsidP="00B13F56">
      <w:pPr>
        <w:pStyle w:val="H23G"/>
      </w:pPr>
      <w:r w:rsidRPr="00DE54D3">
        <w:tab/>
      </w:r>
      <w:r w:rsidRPr="00DE54D3">
        <w:tab/>
        <w:t>Défaut de coopération de l</w:t>
      </w:r>
      <w:r>
        <w:t>’</w:t>
      </w:r>
      <w:r w:rsidRPr="00DE54D3">
        <w:t>État partie</w:t>
      </w:r>
    </w:p>
    <w:p w14:paraId="31C50938" w14:textId="77777777" w:rsidR="00B13F56" w:rsidRDefault="00B13F56" w:rsidP="00B13F56">
      <w:pPr>
        <w:pStyle w:val="SingleTxtG"/>
        <w:rPr>
          <w:spacing w:val="-2"/>
        </w:rPr>
      </w:pPr>
      <w:r w:rsidRPr="00DE54D3">
        <w:rPr>
          <w:spacing w:val="-2"/>
        </w:rPr>
        <w:t>6.</w:t>
      </w:r>
      <w:r w:rsidRPr="00DE54D3">
        <w:rPr>
          <w:spacing w:val="-2"/>
        </w:rPr>
        <w:tab/>
        <w:t xml:space="preserve">Le Comité rappelle que </w:t>
      </w:r>
      <w:r>
        <w:rPr>
          <w:spacing w:val="-2"/>
        </w:rPr>
        <w:t>le 10 novembre 2016,</w:t>
      </w:r>
      <w:r w:rsidRPr="00DE54D3">
        <w:rPr>
          <w:spacing w:val="-2"/>
        </w:rPr>
        <w:t xml:space="preserve"> l</w:t>
      </w:r>
      <w:r>
        <w:rPr>
          <w:spacing w:val="-2"/>
        </w:rPr>
        <w:t>’</w:t>
      </w:r>
      <w:r w:rsidRPr="00DE54D3">
        <w:rPr>
          <w:spacing w:val="-2"/>
        </w:rPr>
        <w:t xml:space="preserve">État partie a contesté la recevabilité de la communication en faisant référence au Mémorandum de référence du Gouvernement algérien sur le traitement de la question des disparitions à la lumière de la mise en œuvre de la Charte pour la paix et la réconciliation nationale. </w:t>
      </w:r>
      <w:r w:rsidRPr="0036271B">
        <w:rPr>
          <w:spacing w:val="-2"/>
        </w:rPr>
        <w:t xml:space="preserve">Le Comité ayant refusé que la recevabilité de la requête soit examinée séparément du fond, </w:t>
      </w:r>
      <w:r>
        <w:rPr>
          <w:spacing w:val="-2"/>
        </w:rPr>
        <w:t>l</w:t>
      </w:r>
      <w:r w:rsidRPr="00DE54D3">
        <w:rPr>
          <w:spacing w:val="-2"/>
        </w:rPr>
        <w:t xml:space="preserve">es </w:t>
      </w:r>
      <w:r>
        <w:rPr>
          <w:spacing w:val="-2"/>
        </w:rPr>
        <w:t>19 juillet et 20 septembre 2022</w:t>
      </w:r>
      <w:r w:rsidRPr="00DE54D3">
        <w:rPr>
          <w:spacing w:val="-2"/>
        </w:rPr>
        <w:t>, l</w:t>
      </w:r>
      <w:r>
        <w:rPr>
          <w:spacing w:val="-2"/>
        </w:rPr>
        <w:t>’</w:t>
      </w:r>
      <w:r w:rsidRPr="00DE54D3">
        <w:rPr>
          <w:spacing w:val="-2"/>
        </w:rPr>
        <w:t xml:space="preserve">État partie a été invité à présenter ses observations sur le fond de la communication. Le Comité note </w:t>
      </w:r>
      <w:r>
        <w:rPr>
          <w:spacing w:val="-2"/>
        </w:rPr>
        <w:t>que l’État partie a continué à contester la recevabilité de la communication sans d’ailleurs expliquer pourquoi il n’avait pas produit les nouveaux arguments au cours de ses observations du 10 novembre 2016 sur la recevabilité de la communication. En outre, l’État partie n’a pas formulé d’observations sur le fond, comme l’a pourtant demandé le Comité à deux reprises. Le Comité</w:t>
      </w:r>
      <w:r w:rsidRPr="00DE54D3">
        <w:rPr>
          <w:spacing w:val="-2"/>
        </w:rPr>
        <w:t xml:space="preserve"> regrette l</w:t>
      </w:r>
      <w:r>
        <w:rPr>
          <w:spacing w:val="-2"/>
        </w:rPr>
        <w:t>’</w:t>
      </w:r>
      <w:r w:rsidRPr="00DE54D3">
        <w:rPr>
          <w:spacing w:val="-2"/>
        </w:rPr>
        <w:t>absence de collaboration de l</w:t>
      </w:r>
      <w:r>
        <w:rPr>
          <w:spacing w:val="-2"/>
        </w:rPr>
        <w:t>’</w:t>
      </w:r>
      <w:r w:rsidRPr="00DE54D3">
        <w:rPr>
          <w:spacing w:val="-2"/>
        </w:rPr>
        <w:t>État partie quant au partage de ses observations sur la présente plainte. Conforméme</w:t>
      </w:r>
      <w:r>
        <w:rPr>
          <w:spacing w:val="-2"/>
        </w:rPr>
        <w:t>nt à l’article </w:t>
      </w:r>
      <w:r w:rsidRPr="00DE54D3">
        <w:rPr>
          <w:spacing w:val="-2"/>
        </w:rPr>
        <w:t>4</w:t>
      </w:r>
      <w:r>
        <w:rPr>
          <w:spacing w:val="-2"/>
        </w:rPr>
        <w:t xml:space="preserve"> (par. 2)</w:t>
      </w:r>
      <w:r w:rsidRPr="00DE54D3">
        <w:rPr>
          <w:spacing w:val="-2"/>
        </w:rPr>
        <w:t xml:space="preserve"> du Protocole facultatif, l</w:t>
      </w:r>
      <w:r>
        <w:rPr>
          <w:spacing w:val="-2"/>
        </w:rPr>
        <w:t>’</w:t>
      </w:r>
      <w:r w:rsidRPr="00DE54D3">
        <w:rPr>
          <w:spacing w:val="-2"/>
        </w:rPr>
        <w:t>État partie est tenu d</w:t>
      </w:r>
      <w:r>
        <w:rPr>
          <w:spacing w:val="-2"/>
        </w:rPr>
        <w:t>’</w:t>
      </w:r>
      <w:r w:rsidRPr="00DE54D3">
        <w:rPr>
          <w:spacing w:val="-2"/>
        </w:rPr>
        <w:t>enquêter de bonne foi sur toutes les allégations de violations du Pacte portées contre lui et ses représentants, et de transmettre au Comité les renseignements qu</w:t>
      </w:r>
      <w:r>
        <w:rPr>
          <w:spacing w:val="-2"/>
        </w:rPr>
        <w:t>’</w:t>
      </w:r>
      <w:r w:rsidRPr="00DE54D3">
        <w:rPr>
          <w:spacing w:val="-2"/>
        </w:rPr>
        <w:t>il détient</w:t>
      </w:r>
      <w:r>
        <w:rPr>
          <w:spacing w:val="-2"/>
        </w:rPr>
        <w:t xml:space="preserve"> s’y rapportant</w:t>
      </w:r>
      <w:r w:rsidRPr="00354FCF">
        <w:rPr>
          <w:rStyle w:val="Appelnotedebasdep"/>
        </w:rPr>
        <w:footnoteReference w:id="12"/>
      </w:r>
      <w:r w:rsidRPr="00DE54D3">
        <w:rPr>
          <w:spacing w:val="-2"/>
        </w:rPr>
        <w:t>.</w:t>
      </w:r>
    </w:p>
    <w:p w14:paraId="6EFF6B5A" w14:textId="77777777" w:rsidR="00B13F56" w:rsidRPr="00DE54D3" w:rsidRDefault="00B13F56" w:rsidP="00B13F56">
      <w:pPr>
        <w:pStyle w:val="H23G"/>
        <w:rPr>
          <w:lang w:val="fr-FR"/>
        </w:rPr>
      </w:pPr>
      <w:r w:rsidRPr="00DE54D3">
        <w:rPr>
          <w:lang w:val="fr-FR"/>
        </w:rPr>
        <w:tab/>
      </w:r>
      <w:r w:rsidRPr="00DE54D3">
        <w:rPr>
          <w:lang w:val="fr-FR"/>
        </w:rPr>
        <w:tab/>
        <w:t>Délibérations du Comité</w:t>
      </w:r>
    </w:p>
    <w:p w14:paraId="57C65CDF" w14:textId="77777777" w:rsidR="00B13F56" w:rsidRPr="00DE54D3" w:rsidRDefault="00B13F56" w:rsidP="00B13F56">
      <w:pPr>
        <w:pStyle w:val="H4G"/>
        <w:rPr>
          <w:lang w:val="fr-FR"/>
        </w:rPr>
      </w:pPr>
      <w:r>
        <w:rPr>
          <w:lang w:val="fr-FR"/>
        </w:rPr>
        <w:tab/>
      </w:r>
      <w:r>
        <w:rPr>
          <w:lang w:val="fr-FR"/>
        </w:rPr>
        <w:tab/>
      </w:r>
      <w:r w:rsidRPr="00DE54D3">
        <w:rPr>
          <w:lang w:val="fr-FR"/>
        </w:rPr>
        <w:t>Examen de la recevabilité</w:t>
      </w:r>
    </w:p>
    <w:p w14:paraId="6FE5B68B" w14:textId="77777777" w:rsidR="00B13F56" w:rsidRPr="00DE54D3" w:rsidRDefault="00B13F56" w:rsidP="00B13F56">
      <w:pPr>
        <w:pStyle w:val="SingleTxtG"/>
        <w:spacing w:line="234" w:lineRule="atLeast"/>
        <w:rPr>
          <w:lang w:val="fr-FR"/>
        </w:rPr>
      </w:pPr>
      <w:r w:rsidRPr="00DE54D3">
        <w:rPr>
          <w:lang w:val="fr-FR"/>
        </w:rPr>
        <w:t>7.1</w:t>
      </w:r>
      <w:r w:rsidRPr="00DE54D3">
        <w:rPr>
          <w:lang w:val="fr-FR"/>
        </w:rPr>
        <w:tab/>
        <w:t>Avant d</w:t>
      </w:r>
      <w:r>
        <w:rPr>
          <w:lang w:val="fr-FR"/>
        </w:rPr>
        <w:t>’</w:t>
      </w:r>
      <w:r w:rsidRPr="00DE54D3">
        <w:rPr>
          <w:lang w:val="fr-FR"/>
        </w:rPr>
        <w:t xml:space="preserve">examiner toute </w:t>
      </w:r>
      <w:r w:rsidRPr="00DE54D3">
        <w:t>plainte</w:t>
      </w:r>
      <w:r w:rsidRPr="00DE54D3">
        <w:rPr>
          <w:lang w:val="fr-FR"/>
        </w:rPr>
        <w:t xml:space="preserve"> soumise dans une communication, le Comité doit, conformément à l</w:t>
      </w:r>
      <w:r>
        <w:rPr>
          <w:lang w:val="fr-FR"/>
        </w:rPr>
        <w:t>’</w:t>
      </w:r>
      <w:r w:rsidRPr="00DE54D3">
        <w:rPr>
          <w:lang w:val="fr-FR"/>
        </w:rPr>
        <w:t>article 97 de son règlement intérieur, déterminer si la communication est recevable en vertu du Protocole facultatif se rapportant au Pacte.</w:t>
      </w:r>
    </w:p>
    <w:p w14:paraId="5A98E309" w14:textId="77777777" w:rsidR="00B13F56" w:rsidRPr="00DE54D3" w:rsidRDefault="00B13F56" w:rsidP="00B13F56">
      <w:pPr>
        <w:pStyle w:val="SingleTxtG"/>
        <w:spacing w:line="234" w:lineRule="atLeast"/>
        <w:rPr>
          <w:lang w:val="fr-FR"/>
        </w:rPr>
      </w:pPr>
      <w:r w:rsidRPr="00DE54D3">
        <w:rPr>
          <w:lang w:val="fr-FR"/>
        </w:rPr>
        <w:t>7.2</w:t>
      </w:r>
      <w:r w:rsidRPr="00DE54D3">
        <w:rPr>
          <w:lang w:val="fr-FR"/>
        </w:rPr>
        <w:tab/>
        <w:t>Le Comité s</w:t>
      </w:r>
      <w:r>
        <w:rPr>
          <w:lang w:val="fr-FR"/>
        </w:rPr>
        <w:t>’</w:t>
      </w:r>
      <w:r w:rsidRPr="00DE54D3">
        <w:rPr>
          <w:lang w:val="fr-FR"/>
        </w:rPr>
        <w:t xml:space="preserve">est assuré, comme il est tenu de le faire conformément </w:t>
      </w:r>
      <w:r>
        <w:rPr>
          <w:lang w:val="fr-FR"/>
        </w:rPr>
        <w:t>à</w:t>
      </w:r>
      <w:r w:rsidRPr="00DE54D3">
        <w:rPr>
          <w:lang w:val="fr-FR"/>
        </w:rPr>
        <w:t xml:space="preserve"> l</w:t>
      </w:r>
      <w:r>
        <w:rPr>
          <w:lang w:val="fr-FR"/>
        </w:rPr>
        <w:t>’</w:t>
      </w:r>
      <w:r w:rsidRPr="00DE54D3">
        <w:rPr>
          <w:lang w:val="fr-FR"/>
        </w:rPr>
        <w:t>article 5</w:t>
      </w:r>
      <w:r>
        <w:rPr>
          <w:lang w:val="fr-FR"/>
        </w:rPr>
        <w:t xml:space="preserve"> (par. 2 a))</w:t>
      </w:r>
      <w:r w:rsidRPr="00DE54D3">
        <w:rPr>
          <w:lang w:val="fr-FR"/>
        </w:rPr>
        <w:t xml:space="preserve"> du Protocole facultatif, que la même question n</w:t>
      </w:r>
      <w:r>
        <w:rPr>
          <w:lang w:val="fr-FR"/>
        </w:rPr>
        <w:t>’</w:t>
      </w:r>
      <w:r w:rsidRPr="00DE54D3">
        <w:rPr>
          <w:lang w:val="fr-FR"/>
        </w:rPr>
        <w:t>était pas déjà en cours d</w:t>
      </w:r>
      <w:r>
        <w:rPr>
          <w:lang w:val="fr-FR"/>
        </w:rPr>
        <w:t>’</w:t>
      </w:r>
      <w:r w:rsidRPr="00DE54D3">
        <w:rPr>
          <w:lang w:val="fr-FR"/>
        </w:rPr>
        <w:t xml:space="preserve">examen devant une autre instance </w:t>
      </w:r>
      <w:r w:rsidRPr="00DE54D3">
        <w:t>internationale</w:t>
      </w:r>
      <w:r w:rsidRPr="00DE54D3">
        <w:rPr>
          <w:lang w:val="fr-FR"/>
        </w:rPr>
        <w:t xml:space="preserve"> d</w:t>
      </w:r>
      <w:r>
        <w:rPr>
          <w:lang w:val="fr-FR"/>
        </w:rPr>
        <w:t>’</w:t>
      </w:r>
      <w:r w:rsidRPr="00DE54D3">
        <w:rPr>
          <w:lang w:val="fr-FR"/>
        </w:rPr>
        <w:t xml:space="preserve">enquête ou de règlement. </w:t>
      </w:r>
      <w:r w:rsidRPr="004F1DCD">
        <w:rPr>
          <w:lang w:val="fr-FR"/>
        </w:rPr>
        <w:t xml:space="preserve">Le Comité note que la disparition a été signalée au Groupe de travail sur les disparitions forcées ou involontaires. Toutefois, il rappelle que les procédures ou mécanismes </w:t>
      </w:r>
      <w:proofErr w:type="spellStart"/>
      <w:r w:rsidRPr="004F1DCD">
        <w:rPr>
          <w:lang w:val="fr-FR"/>
        </w:rPr>
        <w:t>extraconventionnels</w:t>
      </w:r>
      <w:proofErr w:type="spellEnd"/>
      <w:r w:rsidRPr="004F1DCD">
        <w:rPr>
          <w:lang w:val="fr-FR"/>
        </w:rPr>
        <w:t xml:space="preserve"> du Conseil des droits de l</w:t>
      </w:r>
      <w:r>
        <w:rPr>
          <w:lang w:val="fr-FR"/>
        </w:rPr>
        <w:t>’</w:t>
      </w:r>
      <w:r w:rsidRPr="004F1DCD">
        <w:rPr>
          <w:lang w:val="fr-FR"/>
        </w:rPr>
        <w:t>homme ne relèvent généralement pas d</w:t>
      </w:r>
      <w:r>
        <w:rPr>
          <w:lang w:val="fr-FR"/>
        </w:rPr>
        <w:t>’</w:t>
      </w:r>
      <w:r w:rsidRPr="004F1DCD">
        <w:rPr>
          <w:lang w:val="fr-FR"/>
        </w:rPr>
        <w:t>une procédure internationale d</w:t>
      </w:r>
      <w:r>
        <w:rPr>
          <w:lang w:val="fr-FR"/>
        </w:rPr>
        <w:t>’</w:t>
      </w:r>
      <w:r w:rsidRPr="004F1DCD">
        <w:rPr>
          <w:lang w:val="fr-FR"/>
        </w:rPr>
        <w:t>enquête ou de règlement au sens de l</w:t>
      </w:r>
      <w:r>
        <w:rPr>
          <w:lang w:val="fr-FR"/>
        </w:rPr>
        <w:t>’</w:t>
      </w:r>
      <w:r w:rsidRPr="004F1DCD">
        <w:rPr>
          <w:lang w:val="fr-FR"/>
        </w:rPr>
        <w:t xml:space="preserve">article 5 </w:t>
      </w:r>
      <w:r>
        <w:rPr>
          <w:lang w:val="fr-FR"/>
        </w:rPr>
        <w:t>(par. 2 a))</w:t>
      </w:r>
      <w:r w:rsidRPr="00DE54D3">
        <w:rPr>
          <w:lang w:val="fr-FR"/>
        </w:rPr>
        <w:t xml:space="preserve"> </w:t>
      </w:r>
      <w:r w:rsidRPr="004F1DCD">
        <w:rPr>
          <w:lang w:val="fr-FR"/>
        </w:rPr>
        <w:t>du Protocole facultatif</w:t>
      </w:r>
      <w:r w:rsidRPr="00354FCF">
        <w:rPr>
          <w:rStyle w:val="Appelnotedebasdep"/>
        </w:rPr>
        <w:footnoteReference w:id="13"/>
      </w:r>
      <w:r w:rsidRPr="004F1DCD">
        <w:rPr>
          <w:lang w:val="fr-FR"/>
        </w:rPr>
        <w:t>. En conséquence, le Comité estime que l</w:t>
      </w:r>
      <w:r>
        <w:rPr>
          <w:lang w:val="fr-FR"/>
        </w:rPr>
        <w:t>’</w:t>
      </w:r>
      <w:r w:rsidRPr="004F1DCD">
        <w:rPr>
          <w:lang w:val="fr-FR"/>
        </w:rPr>
        <w:t>examen du cas</w:t>
      </w:r>
      <w:r>
        <w:rPr>
          <w:lang w:val="fr-FR"/>
        </w:rPr>
        <w:t xml:space="preserve"> de</w:t>
      </w:r>
      <w:r w:rsidRPr="00910D5D">
        <w:t xml:space="preserve"> </w:t>
      </w:r>
      <w:proofErr w:type="spellStart"/>
      <w:r w:rsidRPr="005F338A">
        <w:t>Tewfik</w:t>
      </w:r>
      <w:proofErr w:type="spellEnd"/>
      <w:r w:rsidRPr="005F338A">
        <w:t xml:space="preserve"> </w:t>
      </w:r>
      <w:proofErr w:type="spellStart"/>
      <w:r w:rsidRPr="005F338A">
        <w:t>Djaou</w:t>
      </w:r>
      <w:proofErr w:type="spellEnd"/>
      <w:r w:rsidRPr="004F1DCD">
        <w:rPr>
          <w:lang w:val="fr-FR"/>
        </w:rPr>
        <w:t xml:space="preserve"> par le Groupe de travail sur les disparitions forcées ou involontaires ne rend pas la communication irrecevable en vertu de cette disposition</w:t>
      </w:r>
      <w:r w:rsidRPr="00DE54D3">
        <w:rPr>
          <w:lang w:val="fr-FR"/>
        </w:rPr>
        <w:t>.</w:t>
      </w:r>
    </w:p>
    <w:p w14:paraId="364AC9E1" w14:textId="77777777" w:rsidR="00B13F56" w:rsidRPr="00DE54D3" w:rsidRDefault="00B13F56" w:rsidP="00B13F56">
      <w:pPr>
        <w:pStyle w:val="SingleTxtG"/>
        <w:spacing w:line="234" w:lineRule="atLeast"/>
        <w:rPr>
          <w:lang w:val="fr-FR"/>
        </w:rPr>
      </w:pPr>
      <w:r w:rsidRPr="00DE54D3">
        <w:rPr>
          <w:lang w:val="fr-FR"/>
        </w:rPr>
        <w:t>7.3</w:t>
      </w:r>
      <w:r w:rsidRPr="00DE54D3">
        <w:rPr>
          <w:lang w:val="fr-FR"/>
        </w:rPr>
        <w:tab/>
        <w:t xml:space="preserve">Le Comité prend </w:t>
      </w:r>
      <w:r w:rsidRPr="00DE54D3">
        <w:t>note</w:t>
      </w:r>
      <w:r w:rsidRPr="00DE54D3">
        <w:rPr>
          <w:lang w:val="fr-FR"/>
        </w:rPr>
        <w:t xml:space="preserve"> de ce que l</w:t>
      </w:r>
      <w:r>
        <w:rPr>
          <w:lang w:val="fr-FR"/>
        </w:rPr>
        <w:t>’</w:t>
      </w:r>
      <w:r w:rsidRPr="00DE54D3">
        <w:rPr>
          <w:lang w:val="fr-FR"/>
        </w:rPr>
        <w:t>auteur affirme avoir épuisé toutes les voies de recours disponibles et</w:t>
      </w:r>
      <w:r w:rsidRPr="00DE54D3">
        <w:t xml:space="preserve"> que, pour contester la recevabilité de la communication, l</w:t>
      </w:r>
      <w:r>
        <w:t>’</w:t>
      </w:r>
      <w:r w:rsidRPr="00DE54D3">
        <w:t xml:space="preserve">État partie se contente de renvoyer au Mémorandum de référence du Gouvernement algérien sur le traitement de la question des disparitions à la lumière de la mise en œuvre de la Charte pour </w:t>
      </w:r>
      <w:r w:rsidRPr="00DE54D3">
        <w:lastRenderedPageBreak/>
        <w:t xml:space="preserve">la paix et la réconciliation nationale. À cet égard, le Comité rappelle </w:t>
      </w:r>
      <w:r>
        <w:t>qu’il a</w:t>
      </w:r>
      <w:r w:rsidRPr="00DE54D3">
        <w:t xml:space="preserve"> </w:t>
      </w:r>
      <w:r>
        <w:t>régulièrement exprimé sa</w:t>
      </w:r>
      <w:r w:rsidRPr="00DE54D3">
        <w:t xml:space="preserve"> préoccupation de ce qu</w:t>
      </w:r>
      <w:r>
        <w:t>’</w:t>
      </w:r>
      <w:r w:rsidRPr="00DE54D3">
        <w:t>en dépit de ses demandes répétées, l</w:t>
      </w:r>
      <w:r>
        <w:t>’</w:t>
      </w:r>
      <w:r w:rsidRPr="00DE54D3">
        <w:t>État partie continu</w:t>
      </w:r>
      <w:r>
        <w:t>e</w:t>
      </w:r>
      <w:r w:rsidRPr="00DE54D3">
        <w:t xml:space="preserve"> de </w:t>
      </w:r>
      <w:r>
        <w:t>se référer systématiquement</w:t>
      </w:r>
      <w:r w:rsidRPr="00DE54D3">
        <w:t xml:space="preserve"> au document général type, dit « aide-mémoire », sans répondre spécifiquement aux allégations soumises par les auteurs de</w:t>
      </w:r>
      <w:r>
        <w:t>s</w:t>
      </w:r>
      <w:r w:rsidRPr="00DE54D3">
        <w:t xml:space="preserve"> communications</w:t>
      </w:r>
      <w:r w:rsidRPr="00354FCF">
        <w:rPr>
          <w:rStyle w:val="Appelnotedebasdep"/>
        </w:rPr>
        <w:footnoteReference w:id="14"/>
      </w:r>
      <w:r w:rsidRPr="00DE54D3">
        <w:t xml:space="preserve">. En conséquence, le Comité </w:t>
      </w:r>
      <w:r>
        <w:t xml:space="preserve">a </w:t>
      </w:r>
      <w:r w:rsidRPr="00DE54D3">
        <w:t>invit</w:t>
      </w:r>
      <w:r>
        <w:t>é</w:t>
      </w:r>
      <w:r w:rsidRPr="00DE54D3">
        <w:t xml:space="preserve"> de manière urgente l</w:t>
      </w:r>
      <w:r>
        <w:t>’</w:t>
      </w:r>
      <w:r w:rsidRPr="00DE54D3">
        <w:t>État partie à coopérer de bonne foi dans le cadre de la procédure de communications individuelles en cessant de se référer à l</w:t>
      </w:r>
      <w:r>
        <w:t>’</w:t>
      </w:r>
      <w:r w:rsidRPr="00DE54D3">
        <w:t>« aide</w:t>
      </w:r>
      <w:r>
        <w:noBreakHyphen/>
      </w:r>
      <w:r w:rsidRPr="00DE54D3">
        <w:t>mémoire » et en répondant de manière individuelle et spécifique aux allégations des auteurs de communications.</w:t>
      </w:r>
    </w:p>
    <w:p w14:paraId="6E2F8F02" w14:textId="77777777" w:rsidR="00B13F56" w:rsidRDefault="00B13F56" w:rsidP="00B13F56">
      <w:pPr>
        <w:pStyle w:val="SingleTxtG"/>
        <w:spacing w:line="234" w:lineRule="atLeast"/>
      </w:pPr>
      <w:r w:rsidRPr="00DE54D3">
        <w:rPr>
          <w:lang w:val="fr-FR"/>
        </w:rPr>
        <w:t>7.4</w:t>
      </w:r>
      <w:r w:rsidRPr="00DE54D3">
        <w:tab/>
        <w:t>Le Comité rappelle ensuite que l</w:t>
      </w:r>
      <w:r>
        <w:t>’</w:t>
      </w:r>
      <w:r w:rsidRPr="00DE54D3">
        <w:t xml:space="preserve">État partie a non seulement le devoir de mener des enquêtes approfondies sur les violations supposées des droits </w:t>
      </w:r>
      <w:r>
        <w:t>humains</w:t>
      </w:r>
      <w:r w:rsidRPr="00DE54D3">
        <w:t xml:space="preserve"> portées à l</w:t>
      </w:r>
      <w:r>
        <w:t>’</w:t>
      </w:r>
      <w:r w:rsidRPr="00DE54D3">
        <w:t>attention de ses autorités, en particulier lorsqu</w:t>
      </w:r>
      <w:r>
        <w:t>’</w:t>
      </w:r>
      <w:r w:rsidRPr="00DE54D3">
        <w:t>il s</w:t>
      </w:r>
      <w:r>
        <w:t>’</w:t>
      </w:r>
      <w:r w:rsidRPr="00DE54D3">
        <w:t>agit d</w:t>
      </w:r>
      <w:r>
        <w:t>’</w:t>
      </w:r>
      <w:r w:rsidRPr="00DE54D3">
        <w:t>atteintes au droit à la vie, mais aussi celui de poursuivre quiconque est présumé responsable de ces violations, de procéder à son jugement et de prononcer une peine à son égard</w:t>
      </w:r>
      <w:r w:rsidRPr="00354FCF">
        <w:rPr>
          <w:rStyle w:val="Appelnotedebasdep"/>
        </w:rPr>
        <w:footnoteReference w:id="15"/>
      </w:r>
      <w:r w:rsidRPr="00DE54D3">
        <w:t xml:space="preserve">. </w:t>
      </w:r>
      <w:r>
        <w:t>En l’espèce, le Comité observe que l’</w:t>
      </w:r>
      <w:r w:rsidRPr="00DE54D3">
        <w:t>auteur</w:t>
      </w:r>
      <w:r>
        <w:t xml:space="preserve"> et l’épouse de </w:t>
      </w:r>
      <w:proofErr w:type="spellStart"/>
      <w:r w:rsidRPr="005F338A">
        <w:t>Tewfik</w:t>
      </w:r>
      <w:proofErr w:type="spellEnd"/>
      <w:r w:rsidRPr="005F338A">
        <w:t xml:space="preserve"> </w:t>
      </w:r>
      <w:proofErr w:type="spellStart"/>
      <w:r w:rsidRPr="005F338A">
        <w:t>Djaou</w:t>
      </w:r>
      <w:proofErr w:type="spellEnd"/>
      <w:r w:rsidRPr="00DE54D3">
        <w:t xml:space="preserve"> </w:t>
      </w:r>
      <w:r>
        <w:t>ont</w:t>
      </w:r>
      <w:r w:rsidRPr="00DE54D3">
        <w:t xml:space="preserve">, à de nombreuses reprises, alerté les autorités compétentes sur </w:t>
      </w:r>
      <w:r w:rsidRPr="00DE54D3">
        <w:rPr>
          <w:bCs/>
        </w:rPr>
        <w:t>la disparition forcée</w:t>
      </w:r>
      <w:r w:rsidRPr="00DE54D3">
        <w:t xml:space="preserve"> de </w:t>
      </w:r>
      <w:r>
        <w:t>ce dernier.</w:t>
      </w:r>
      <w:r w:rsidRPr="00DE54D3">
        <w:t xml:space="preserve"> </w:t>
      </w:r>
      <w:r>
        <w:t xml:space="preserve">Le Comité note l’affirmation de l’État partie sur l’ouverture d’une enquête, mais observe d’une part que ces affirmations sont contestées par l’auteur, qui affirme que la famille de </w:t>
      </w:r>
      <w:proofErr w:type="spellStart"/>
      <w:r w:rsidRPr="005F338A">
        <w:t>Tewfik</w:t>
      </w:r>
      <w:proofErr w:type="spellEnd"/>
      <w:r w:rsidRPr="005F338A">
        <w:t xml:space="preserve"> </w:t>
      </w:r>
      <w:proofErr w:type="spellStart"/>
      <w:r w:rsidRPr="005F338A">
        <w:t>Djaou</w:t>
      </w:r>
      <w:proofErr w:type="spellEnd"/>
      <w:r>
        <w:t xml:space="preserve"> n’a jamais été convoquée dans le cadre d’une enquête, et d’autre part que l’État partie ne produit aucun document en soutien de ses déclarations sur l’ouverture d’une enquête. À supposer même qu’une telle enquête ait été ordonnée, le Comité note que l’État partie ne produit aucun élément de preuve quant à son ouverture ou à son déroulement.</w:t>
      </w:r>
      <w:r w:rsidRPr="00DE54D3">
        <w:t xml:space="preserve"> </w:t>
      </w:r>
      <w:r>
        <w:t>Le Comité considère que l’</w:t>
      </w:r>
      <w:r w:rsidRPr="00DE54D3">
        <w:t>État partie n</w:t>
      </w:r>
      <w:r>
        <w:t>’</w:t>
      </w:r>
      <w:r w:rsidRPr="00DE54D3">
        <w:t>a apporté aucun élément d</w:t>
      </w:r>
      <w:r>
        <w:t>’</w:t>
      </w:r>
      <w:r w:rsidRPr="00DE54D3">
        <w:t xml:space="preserve">explication spécifique dans ses observations en réponse au cas </w:t>
      </w:r>
      <w:r>
        <w:t xml:space="preserve">de </w:t>
      </w:r>
      <w:proofErr w:type="spellStart"/>
      <w:r w:rsidRPr="005F338A">
        <w:t>Tewfik</w:t>
      </w:r>
      <w:proofErr w:type="spellEnd"/>
      <w:r w:rsidRPr="005F338A">
        <w:t xml:space="preserve"> </w:t>
      </w:r>
      <w:proofErr w:type="spellStart"/>
      <w:r w:rsidRPr="005F338A">
        <w:t>Djaou</w:t>
      </w:r>
      <w:proofErr w:type="spellEnd"/>
      <w:r w:rsidRPr="00DE54D3">
        <w:t xml:space="preserve"> qui pourrait permettre de conclure qu</w:t>
      </w:r>
      <w:r>
        <w:t>’</w:t>
      </w:r>
      <w:r w:rsidRPr="00DE54D3">
        <w:t xml:space="preserve">un recours efficace et disponible </w:t>
      </w:r>
      <w:r w:rsidRPr="00E92F2E">
        <w:t>serait ouvert, alors que l</w:t>
      </w:r>
      <w:r>
        <w:t>’</w:t>
      </w:r>
      <w:r w:rsidRPr="00E92F2E">
        <w:t>ordonnance n</w:t>
      </w:r>
      <w:r w:rsidRPr="00054493">
        <w:rPr>
          <w:vertAlign w:val="superscript"/>
        </w:rPr>
        <w:t>o</w:t>
      </w:r>
      <w:r w:rsidRPr="00E92F2E">
        <w:t xml:space="preserve"> 06-01 continue d</w:t>
      </w:r>
      <w:r>
        <w:t>’</w:t>
      </w:r>
      <w:r w:rsidRPr="00E92F2E">
        <w:t>être appliquée</w:t>
      </w:r>
      <w:r>
        <w:t xml:space="preserve">, ayant pour effet de réduire le domaine d’application du Pacte, </w:t>
      </w:r>
      <w:r w:rsidRPr="00E92F2E">
        <w:t>en dépit des recommandations du Comité concernant sa mise en conformité avec le Pacte</w:t>
      </w:r>
      <w:r w:rsidRPr="00354FCF">
        <w:rPr>
          <w:rStyle w:val="Appelnotedebasdep"/>
        </w:rPr>
        <w:footnoteReference w:id="16"/>
      </w:r>
      <w:r w:rsidRPr="00DE54D3">
        <w:t>. Dans ces circonstances, le Comité estime que rien ne s</w:t>
      </w:r>
      <w:r>
        <w:t>’</w:t>
      </w:r>
      <w:r w:rsidRPr="00DE54D3">
        <w:t>oppose à ce qu</w:t>
      </w:r>
      <w:r>
        <w:t>’</w:t>
      </w:r>
      <w:r w:rsidRPr="00DE54D3">
        <w:t xml:space="preserve">il examine la communication conformément </w:t>
      </w:r>
      <w:r>
        <w:t>à</w:t>
      </w:r>
      <w:r w:rsidRPr="00DE54D3">
        <w:t xml:space="preserve"> l</w:t>
      </w:r>
      <w:r>
        <w:t>’</w:t>
      </w:r>
      <w:r w:rsidRPr="00DE54D3">
        <w:t>article 5</w:t>
      </w:r>
      <w:r>
        <w:t xml:space="preserve"> (par. 2 b))</w:t>
      </w:r>
      <w:r w:rsidRPr="00DE54D3">
        <w:t xml:space="preserve"> du Protocole facultatif.</w:t>
      </w:r>
    </w:p>
    <w:p w14:paraId="318E2A80" w14:textId="77777777" w:rsidR="00B13F56" w:rsidRDefault="00B13F56" w:rsidP="00B13F56">
      <w:pPr>
        <w:pStyle w:val="SingleTxtG"/>
        <w:spacing w:line="234" w:lineRule="atLeast"/>
      </w:pPr>
      <w:r>
        <w:t>7.5</w:t>
      </w:r>
      <w:r>
        <w:tab/>
      </w:r>
      <w:r w:rsidRPr="00DD69A6">
        <w:t xml:space="preserve">Par ailleurs, </w:t>
      </w:r>
      <w:r>
        <w:t xml:space="preserve">dans la mesure où </w:t>
      </w:r>
      <w:r w:rsidRPr="00DD69A6">
        <w:t>il peut y avoi</w:t>
      </w:r>
      <w:r>
        <w:t>r abus du droit de plainte si une</w:t>
      </w:r>
      <w:r w:rsidRPr="00DD69A6">
        <w:t xml:space="preserve"> communication est soumise cinq ans après l</w:t>
      </w:r>
      <w:r>
        <w:t>’</w:t>
      </w:r>
      <w:r w:rsidRPr="00DD69A6">
        <w:t>épuisement des recours internes par son auteur</w:t>
      </w:r>
      <w:r w:rsidRPr="00354FCF">
        <w:rPr>
          <w:rStyle w:val="Appelnotedebasdep"/>
        </w:rPr>
        <w:footnoteReference w:id="17"/>
      </w:r>
      <w:r>
        <w:t xml:space="preserve"> − et même si l’État partie ne l’a pas soulevé en l’espèce −, </w:t>
      </w:r>
      <w:r w:rsidRPr="00DD69A6">
        <w:t xml:space="preserve">le Comité </w:t>
      </w:r>
      <w:r>
        <w:t xml:space="preserve">rappelle le caractère continu d’une disparition forcée, qui implique une </w:t>
      </w:r>
      <w:r w:rsidRPr="00106A79">
        <w:t>obligation d</w:t>
      </w:r>
      <w:r>
        <w:t>’</w:t>
      </w:r>
      <w:r w:rsidRPr="00106A79">
        <w:t>enquête</w:t>
      </w:r>
      <w:r>
        <w:t xml:space="preserve"> elle-même</w:t>
      </w:r>
      <w:r w:rsidRPr="00106A79">
        <w:t xml:space="preserve"> continue</w:t>
      </w:r>
      <w:r>
        <w:t>, ce</w:t>
      </w:r>
      <w:r w:rsidRPr="00106A79">
        <w:t xml:space="preserve"> qui dans le cas d</w:t>
      </w:r>
      <w:r>
        <w:t>’</w:t>
      </w:r>
      <w:r w:rsidRPr="00106A79">
        <w:t xml:space="preserve">espèce est </w:t>
      </w:r>
      <w:r>
        <w:t xml:space="preserve">annihilé </w:t>
      </w:r>
      <w:r w:rsidRPr="00106A79">
        <w:t xml:space="preserve">par </w:t>
      </w:r>
      <w:r w:rsidRPr="00DD69A6">
        <w:t>l</w:t>
      </w:r>
      <w:r>
        <w:t>’</w:t>
      </w:r>
      <w:r w:rsidRPr="00DD69A6">
        <w:t>ordonnance nº 06-01</w:t>
      </w:r>
      <w:r>
        <w:t xml:space="preserve"> et ses effets</w:t>
      </w:r>
      <w:r w:rsidRPr="00354FCF">
        <w:rPr>
          <w:rStyle w:val="Appelnotedebasdep"/>
        </w:rPr>
        <w:footnoteReference w:id="18"/>
      </w:r>
      <w:r>
        <w:t>.</w:t>
      </w:r>
      <w:r w:rsidRPr="00DD69A6" w:rsidDel="00086F3F">
        <w:t xml:space="preserve"> </w:t>
      </w:r>
      <w:r w:rsidRPr="00DD69A6">
        <w:t>Le Comité considère donc</w:t>
      </w:r>
      <w:r>
        <w:t xml:space="preserve"> </w:t>
      </w:r>
      <w:r w:rsidRPr="00DD69A6">
        <w:t>que</w:t>
      </w:r>
      <w:r>
        <w:t>,</w:t>
      </w:r>
      <w:r w:rsidRPr="00DD69A6">
        <w:t xml:space="preserve"> dans les circonstances de l</w:t>
      </w:r>
      <w:r>
        <w:t>’</w:t>
      </w:r>
      <w:r w:rsidRPr="00DD69A6">
        <w:t xml:space="preserve">espèce, </w:t>
      </w:r>
      <w:r>
        <w:t>et en particulier étant donné que l’ordonnance n</w:t>
      </w:r>
      <w:r w:rsidRPr="00872387">
        <w:rPr>
          <w:vertAlign w:val="superscript"/>
        </w:rPr>
        <w:t>o</w:t>
      </w:r>
      <w:r>
        <w:t xml:space="preserve"> 06-01 rend impossible tout recours veillant à demander une enquête sur la disparition de </w:t>
      </w:r>
      <w:proofErr w:type="spellStart"/>
      <w:r w:rsidRPr="005F338A">
        <w:t>Tewfik</w:t>
      </w:r>
      <w:proofErr w:type="spellEnd"/>
      <w:r w:rsidRPr="005F338A">
        <w:t xml:space="preserve"> </w:t>
      </w:r>
      <w:proofErr w:type="spellStart"/>
      <w:r w:rsidRPr="005F338A">
        <w:t>Djaou</w:t>
      </w:r>
      <w:proofErr w:type="spellEnd"/>
      <w:r>
        <w:t xml:space="preserve">, </w:t>
      </w:r>
      <w:r w:rsidRPr="00DD69A6">
        <w:t xml:space="preserve">la présente communication </w:t>
      </w:r>
      <w:r>
        <w:t xml:space="preserve">ne </w:t>
      </w:r>
      <w:r w:rsidRPr="00DD69A6">
        <w:t xml:space="preserve">constitue </w:t>
      </w:r>
      <w:r>
        <w:t xml:space="preserve">pas </w:t>
      </w:r>
      <w:r w:rsidRPr="00DD69A6">
        <w:t>un abus de droit.</w:t>
      </w:r>
    </w:p>
    <w:p w14:paraId="36014432" w14:textId="77777777" w:rsidR="00B13F56" w:rsidRDefault="00B13F56" w:rsidP="00B13F56">
      <w:pPr>
        <w:pStyle w:val="SingleTxtG"/>
        <w:spacing w:line="234" w:lineRule="atLeast"/>
      </w:pPr>
      <w:r>
        <w:t>7.6</w:t>
      </w:r>
      <w:r>
        <w:tab/>
      </w:r>
      <w:r>
        <w:rPr>
          <w:lang w:val="fr-FR"/>
        </w:rPr>
        <w:t>Le Comité note que l’auteur</w:t>
      </w:r>
      <w:r w:rsidRPr="005A30AB">
        <w:rPr>
          <w:lang w:val="fr-FR"/>
        </w:rPr>
        <w:t xml:space="preserve"> affirme que l</w:t>
      </w:r>
      <w:r>
        <w:rPr>
          <w:lang w:val="fr-FR"/>
        </w:rPr>
        <w:t>’</w:t>
      </w:r>
      <w:r w:rsidRPr="005A30AB">
        <w:rPr>
          <w:lang w:val="fr-FR"/>
        </w:rPr>
        <w:t>État partie ne s</w:t>
      </w:r>
      <w:r>
        <w:rPr>
          <w:lang w:val="fr-FR"/>
        </w:rPr>
        <w:t>’</w:t>
      </w:r>
      <w:r w:rsidRPr="005A30AB">
        <w:rPr>
          <w:lang w:val="fr-FR"/>
        </w:rPr>
        <w:t>est pas acquitté des obligations lui i</w:t>
      </w:r>
      <w:r>
        <w:rPr>
          <w:lang w:val="fr-FR"/>
        </w:rPr>
        <w:t xml:space="preserve">ncombant au titre </w:t>
      </w:r>
      <w:r w:rsidRPr="005A30AB">
        <w:rPr>
          <w:lang w:val="fr-FR"/>
        </w:rPr>
        <w:t>de l</w:t>
      </w:r>
      <w:r>
        <w:rPr>
          <w:lang w:val="fr-FR"/>
        </w:rPr>
        <w:t>’</w:t>
      </w:r>
      <w:r w:rsidRPr="005A30AB">
        <w:rPr>
          <w:lang w:val="fr-FR"/>
        </w:rPr>
        <w:t>article</w:t>
      </w:r>
      <w:r>
        <w:rPr>
          <w:lang w:val="fr-FR"/>
        </w:rPr>
        <w:t xml:space="preserve"> </w:t>
      </w:r>
      <w:r w:rsidRPr="005A30AB">
        <w:rPr>
          <w:lang w:val="fr-FR"/>
        </w:rPr>
        <w:t>2</w:t>
      </w:r>
      <w:r>
        <w:rPr>
          <w:lang w:val="fr-FR"/>
        </w:rPr>
        <w:t xml:space="preserve"> (par. 2)</w:t>
      </w:r>
      <w:r w:rsidRPr="005A30AB">
        <w:rPr>
          <w:lang w:val="fr-FR"/>
        </w:rPr>
        <w:t xml:space="preserve"> du Pacte, lu </w:t>
      </w:r>
      <w:r>
        <w:rPr>
          <w:lang w:val="fr-FR"/>
        </w:rPr>
        <w:t>conjointement avec les articles 2 (par. 3) et 19, puisqu’en adoptant</w:t>
      </w:r>
      <w:r w:rsidRPr="005A30AB">
        <w:rPr>
          <w:lang w:val="fr-FR"/>
        </w:rPr>
        <w:t xml:space="preserve"> </w:t>
      </w:r>
      <w:r w:rsidRPr="00FB369F">
        <w:t>l</w:t>
      </w:r>
      <w:r>
        <w:t>’</w:t>
      </w:r>
      <w:r w:rsidRPr="00FB369F">
        <w:t>ordonnance n</w:t>
      </w:r>
      <w:r w:rsidRPr="00FB369F">
        <w:rPr>
          <w:vertAlign w:val="superscript"/>
        </w:rPr>
        <w:t>o</w:t>
      </w:r>
      <w:r w:rsidRPr="00FB369F">
        <w:t xml:space="preserve"> </w:t>
      </w:r>
      <w:r>
        <w:t>06-01, l’État partie aurait</w:t>
      </w:r>
      <w:r w:rsidRPr="00FB369F">
        <w:t xml:space="preserve"> pris une mesure d</w:t>
      </w:r>
      <w:r>
        <w:t>’</w:t>
      </w:r>
      <w:r w:rsidRPr="00FB369F">
        <w:t>ordre législatif privant d</w:t>
      </w:r>
      <w:r>
        <w:t>’</w:t>
      </w:r>
      <w:r w:rsidRPr="00FB369F">
        <w:t>effets le droit d</w:t>
      </w:r>
      <w:r>
        <w:t>’</w:t>
      </w:r>
      <w:r w:rsidRPr="00FB369F">
        <w:t xml:space="preserve">avoir accès à un recours effectif contre des violations des droits </w:t>
      </w:r>
      <w:r>
        <w:t>humains</w:t>
      </w:r>
      <w:r w:rsidRPr="00FB369F">
        <w:t>, en violation de l</w:t>
      </w:r>
      <w:r>
        <w:t>’</w:t>
      </w:r>
      <w:r w:rsidRPr="00FB369F">
        <w:t>article 2 (par. 3)</w:t>
      </w:r>
      <w:r>
        <w:t xml:space="preserve"> du Pacte</w:t>
      </w:r>
      <w:r w:rsidRPr="00FB369F">
        <w:t xml:space="preserve">, </w:t>
      </w:r>
      <w:r>
        <w:t xml:space="preserve">en criminalisant, en outre, </w:t>
      </w:r>
      <w:r w:rsidRPr="00FB369F">
        <w:t>toute expression pacifique ou toute publicité à propos des faits allégués, en violation</w:t>
      </w:r>
      <w:r>
        <w:t xml:space="preserve"> du </w:t>
      </w:r>
      <w:r w:rsidRPr="00FB369F">
        <w:t>droit à la liberté d</w:t>
      </w:r>
      <w:r>
        <w:t>’</w:t>
      </w:r>
      <w:r w:rsidRPr="00FB369F">
        <w:t xml:space="preserve">expression </w:t>
      </w:r>
      <w:r>
        <w:t xml:space="preserve">de l’auteur </w:t>
      </w:r>
      <w:r w:rsidRPr="00FB369F">
        <w:t>consacré à l</w:t>
      </w:r>
      <w:r>
        <w:t>’</w:t>
      </w:r>
      <w:r w:rsidRPr="00FB369F">
        <w:t>article 19 du Pacte.</w:t>
      </w:r>
      <w:r>
        <w:t xml:space="preserve"> </w:t>
      </w:r>
      <w:r w:rsidRPr="00345C77">
        <w:t>En l</w:t>
      </w:r>
      <w:r>
        <w:t>’</w:t>
      </w:r>
      <w:r w:rsidRPr="00345C77">
        <w:t>espèce, le Comité estime que l</w:t>
      </w:r>
      <w:r>
        <w:t>’</w:t>
      </w:r>
      <w:r w:rsidRPr="00345C77">
        <w:t>auteur n</w:t>
      </w:r>
      <w:r>
        <w:t>’</w:t>
      </w:r>
      <w:r w:rsidRPr="00345C77">
        <w:t>a pas fourni de renseignements suffisants pour expliquer en quoi l</w:t>
      </w:r>
      <w:r>
        <w:t>’</w:t>
      </w:r>
      <w:r w:rsidRPr="00345C77">
        <w:t xml:space="preserve">ordonnance </w:t>
      </w:r>
      <w:r>
        <w:rPr>
          <w:rFonts w:eastAsia="MS Mincho"/>
        </w:rPr>
        <w:t>n</w:t>
      </w:r>
      <w:r>
        <w:rPr>
          <w:rFonts w:eastAsia="MS Mincho"/>
          <w:vertAlign w:val="superscript"/>
        </w:rPr>
        <w:t>o</w:t>
      </w:r>
      <w:r>
        <w:t xml:space="preserve"> </w:t>
      </w:r>
      <w:r w:rsidRPr="00345C77">
        <w:t xml:space="preserve">06-01 lui avait été appliquée effectivement sous </w:t>
      </w:r>
      <w:r w:rsidRPr="00345C77">
        <w:lastRenderedPageBreak/>
        <w:t>l</w:t>
      </w:r>
      <w:r>
        <w:t>’angle de l’article 19 du Pacte</w:t>
      </w:r>
      <w:r w:rsidRPr="00354FCF">
        <w:rPr>
          <w:rStyle w:val="Appelnotedebasdep"/>
        </w:rPr>
        <w:footnoteReference w:id="19"/>
      </w:r>
      <w:r w:rsidRPr="00345C77">
        <w:t>.</w:t>
      </w:r>
      <w:r>
        <w:t xml:space="preserve"> Le Comité</w:t>
      </w:r>
      <w:r w:rsidRPr="005A30AB">
        <w:rPr>
          <w:lang w:val="fr-FR"/>
        </w:rPr>
        <w:t xml:space="preserve"> rappelle sa jurisprudence</w:t>
      </w:r>
      <w:r w:rsidRPr="00354FCF">
        <w:rPr>
          <w:rStyle w:val="Appelnotedebasdep"/>
        </w:rPr>
        <w:footnoteReference w:id="20"/>
      </w:r>
      <w:r w:rsidRPr="005A30AB">
        <w:rPr>
          <w:lang w:val="fr-FR"/>
        </w:rPr>
        <w:t xml:space="preserve"> selon laquell</w:t>
      </w:r>
      <w:r>
        <w:rPr>
          <w:lang w:val="fr-FR"/>
        </w:rPr>
        <w:t xml:space="preserve">e les dispositions de l’article </w:t>
      </w:r>
      <w:r w:rsidRPr="005A30AB">
        <w:rPr>
          <w:lang w:val="fr-FR"/>
        </w:rPr>
        <w:t>2 ne sauraient être invoquées conjointement avec d</w:t>
      </w:r>
      <w:r>
        <w:rPr>
          <w:lang w:val="fr-FR"/>
        </w:rPr>
        <w:t>’</w:t>
      </w:r>
      <w:r w:rsidRPr="005A30AB">
        <w:rPr>
          <w:lang w:val="fr-FR"/>
        </w:rPr>
        <w:t>autres dispositions du Pacte dans une communication présentée en vertu du Protocole facultatif, sauf lorsque le manquement de l</w:t>
      </w:r>
      <w:r>
        <w:rPr>
          <w:lang w:val="fr-FR"/>
        </w:rPr>
        <w:t>’</w:t>
      </w:r>
      <w:r w:rsidRPr="005A30AB">
        <w:rPr>
          <w:lang w:val="fr-FR"/>
        </w:rPr>
        <w:t>État partie aux oblig</w:t>
      </w:r>
      <w:r>
        <w:rPr>
          <w:lang w:val="fr-FR"/>
        </w:rPr>
        <w:t xml:space="preserve">ations que lui impose l’article </w:t>
      </w:r>
      <w:r w:rsidRPr="005A30AB">
        <w:rPr>
          <w:lang w:val="fr-FR"/>
        </w:rPr>
        <w:t>2 est la cause immédiate d</w:t>
      </w:r>
      <w:r>
        <w:rPr>
          <w:lang w:val="fr-FR"/>
        </w:rPr>
        <w:t>’</w:t>
      </w:r>
      <w:r w:rsidRPr="005A30AB">
        <w:rPr>
          <w:lang w:val="fr-FR"/>
        </w:rPr>
        <w:t xml:space="preserve">une violation distincte du Pacte </w:t>
      </w:r>
      <w:r>
        <w:rPr>
          <w:lang w:val="fr-FR"/>
        </w:rPr>
        <w:t>touchant</w:t>
      </w:r>
      <w:r w:rsidRPr="005A30AB">
        <w:rPr>
          <w:lang w:val="fr-FR"/>
        </w:rPr>
        <w:t xml:space="preserve"> directement la personne qui se dit lésée. </w:t>
      </w:r>
      <w:r w:rsidRPr="0018340B" w:rsidDel="00F20302">
        <w:t>Le Comité considère par conséquent que ces griefs n</w:t>
      </w:r>
      <w:r>
        <w:t>’</w:t>
      </w:r>
      <w:r w:rsidRPr="0018340B" w:rsidDel="00F20302">
        <w:t xml:space="preserve">ont pas été suffisamment étayés et </w:t>
      </w:r>
      <w:r w:rsidDel="00F20302">
        <w:t>les déclare</w:t>
      </w:r>
      <w:r w:rsidRPr="0018340B" w:rsidDel="00F20302">
        <w:t xml:space="preserve"> donc irrecevables au regard de l</w:t>
      </w:r>
      <w:r>
        <w:t>’</w:t>
      </w:r>
      <w:r w:rsidRPr="0018340B" w:rsidDel="00F20302">
        <w:t>article 2 du Protocole facultatif.</w:t>
      </w:r>
    </w:p>
    <w:p w14:paraId="69A207E1" w14:textId="77777777" w:rsidR="00B13F56" w:rsidRPr="00954B69" w:rsidRDefault="00B13F56" w:rsidP="00B13F56">
      <w:pPr>
        <w:pStyle w:val="SingleTxtG"/>
        <w:spacing w:line="234" w:lineRule="atLeast"/>
        <w:rPr>
          <w:lang w:val="fr-FR"/>
        </w:rPr>
      </w:pPr>
      <w:r w:rsidRPr="00DE54D3">
        <w:t>7</w:t>
      </w:r>
      <w:r>
        <w:t>.7</w:t>
      </w:r>
      <w:r w:rsidRPr="00DE54D3">
        <w:tab/>
      </w:r>
      <w:r w:rsidRPr="00DE54D3">
        <w:rPr>
          <w:lang w:val="fr-FR"/>
        </w:rPr>
        <w:t>Le Comité note que l</w:t>
      </w:r>
      <w:r>
        <w:rPr>
          <w:lang w:val="fr-FR"/>
        </w:rPr>
        <w:t>’</w:t>
      </w:r>
      <w:r w:rsidRPr="00DE54D3">
        <w:rPr>
          <w:lang w:val="fr-FR"/>
        </w:rPr>
        <w:t>auteur</w:t>
      </w:r>
      <w:r>
        <w:rPr>
          <w:lang w:val="fr-FR"/>
        </w:rPr>
        <w:t xml:space="preserve"> a</w:t>
      </w:r>
      <w:r w:rsidRPr="00DE54D3">
        <w:rPr>
          <w:lang w:val="fr-FR"/>
        </w:rPr>
        <w:t xml:space="preserve"> également soulevé une violation</w:t>
      </w:r>
      <w:r>
        <w:rPr>
          <w:lang w:val="fr-FR"/>
        </w:rPr>
        <w:t xml:space="preserve"> distincte </w:t>
      </w:r>
      <w:r w:rsidRPr="00DE54D3">
        <w:rPr>
          <w:lang w:val="fr-FR"/>
        </w:rPr>
        <w:t>de l</w:t>
      </w:r>
      <w:r>
        <w:rPr>
          <w:lang w:val="fr-FR"/>
        </w:rPr>
        <w:t>’</w:t>
      </w:r>
      <w:r w:rsidRPr="00DE54D3">
        <w:rPr>
          <w:lang w:val="fr-FR"/>
        </w:rPr>
        <w:t>article</w:t>
      </w:r>
      <w:r>
        <w:rPr>
          <w:lang w:val="fr-FR"/>
        </w:rPr>
        <w:t> </w:t>
      </w:r>
      <w:r w:rsidRPr="00DE54D3">
        <w:rPr>
          <w:lang w:val="fr-FR"/>
        </w:rPr>
        <w:t>2</w:t>
      </w:r>
      <w:r>
        <w:rPr>
          <w:lang w:val="fr-FR"/>
        </w:rPr>
        <w:t xml:space="preserve"> (par. 3)</w:t>
      </w:r>
      <w:r w:rsidRPr="00DE54D3">
        <w:rPr>
          <w:lang w:val="fr-FR"/>
        </w:rPr>
        <w:t xml:space="preserve"> du Pacte à l</w:t>
      </w:r>
      <w:r>
        <w:rPr>
          <w:lang w:val="fr-FR"/>
        </w:rPr>
        <w:t>’</w:t>
      </w:r>
      <w:r w:rsidRPr="00DE54D3">
        <w:rPr>
          <w:lang w:val="fr-FR"/>
        </w:rPr>
        <w:t>égard</w:t>
      </w:r>
      <w:r>
        <w:rPr>
          <w:lang w:val="fr-FR"/>
        </w:rPr>
        <w:t xml:space="preserve"> de </w:t>
      </w:r>
      <w:proofErr w:type="spellStart"/>
      <w:r w:rsidRPr="005F338A">
        <w:t>Tewfik</w:t>
      </w:r>
      <w:proofErr w:type="spellEnd"/>
      <w:r w:rsidRPr="005F338A">
        <w:t xml:space="preserve"> </w:t>
      </w:r>
      <w:proofErr w:type="spellStart"/>
      <w:r w:rsidRPr="005F338A">
        <w:t>Djaou</w:t>
      </w:r>
      <w:proofErr w:type="spellEnd"/>
      <w:r>
        <w:t xml:space="preserve"> et à son égard</w:t>
      </w:r>
      <w:r w:rsidRPr="00DE54D3">
        <w:rPr>
          <w:lang w:val="fr-FR"/>
        </w:rPr>
        <w:t>. Rappelant sa jurisprudence selon laquelle les dispositions de l</w:t>
      </w:r>
      <w:r>
        <w:rPr>
          <w:lang w:val="fr-FR"/>
        </w:rPr>
        <w:t>’</w:t>
      </w:r>
      <w:r w:rsidRPr="00DE54D3">
        <w:rPr>
          <w:lang w:val="fr-FR"/>
        </w:rPr>
        <w:t>article 2 énoncent des obligations générales à la charge des États parties et ne sauraient par elles-mêmes fonder un grief distinct au regard du Protocole facultatif du fait qu</w:t>
      </w:r>
      <w:r>
        <w:rPr>
          <w:lang w:val="fr-FR"/>
        </w:rPr>
        <w:t>’</w:t>
      </w:r>
      <w:r w:rsidRPr="00DE54D3">
        <w:rPr>
          <w:lang w:val="fr-FR"/>
        </w:rPr>
        <w:t>elles ne peuvent être invoquées que conjointement avec d</w:t>
      </w:r>
      <w:r>
        <w:rPr>
          <w:lang w:val="fr-FR"/>
        </w:rPr>
        <w:t>’</w:t>
      </w:r>
      <w:r w:rsidRPr="00DE54D3">
        <w:rPr>
          <w:lang w:val="fr-FR"/>
        </w:rPr>
        <w:t>autres articles substantiels du Pacte</w:t>
      </w:r>
      <w:r w:rsidRPr="00354FCF">
        <w:rPr>
          <w:rStyle w:val="Appelnotedebasdep"/>
        </w:rPr>
        <w:footnoteReference w:id="21"/>
      </w:r>
      <w:r w:rsidRPr="00DE54D3">
        <w:rPr>
          <w:lang w:val="fr-FR"/>
        </w:rPr>
        <w:t xml:space="preserve">, </w:t>
      </w:r>
      <w:r w:rsidRPr="00E722BA">
        <w:rPr>
          <w:lang w:val="fr-FR"/>
        </w:rPr>
        <w:t xml:space="preserve">le Comité considère que </w:t>
      </w:r>
      <w:r>
        <w:rPr>
          <w:lang w:val="fr-FR"/>
        </w:rPr>
        <w:t>le grief</w:t>
      </w:r>
      <w:r w:rsidRPr="00E722BA">
        <w:rPr>
          <w:lang w:val="fr-FR"/>
        </w:rPr>
        <w:t xml:space="preserve"> de </w:t>
      </w:r>
      <w:r>
        <w:rPr>
          <w:lang w:val="fr-FR"/>
        </w:rPr>
        <w:t>l’</w:t>
      </w:r>
      <w:r w:rsidRPr="00E722BA">
        <w:rPr>
          <w:lang w:val="fr-FR"/>
        </w:rPr>
        <w:t>auteur</w:t>
      </w:r>
      <w:r>
        <w:rPr>
          <w:lang w:val="fr-FR"/>
        </w:rPr>
        <w:t xml:space="preserve"> au titre </w:t>
      </w:r>
      <w:r w:rsidRPr="00E722BA">
        <w:rPr>
          <w:lang w:val="fr-FR"/>
        </w:rPr>
        <w:t>de l</w:t>
      </w:r>
      <w:r>
        <w:rPr>
          <w:lang w:val="fr-FR"/>
        </w:rPr>
        <w:t>’</w:t>
      </w:r>
      <w:r w:rsidRPr="00E722BA">
        <w:rPr>
          <w:lang w:val="fr-FR"/>
        </w:rPr>
        <w:t>article 2</w:t>
      </w:r>
      <w:r>
        <w:rPr>
          <w:lang w:val="fr-FR"/>
        </w:rPr>
        <w:t xml:space="preserve"> (par. 3)</w:t>
      </w:r>
      <w:r w:rsidRPr="00E722BA">
        <w:rPr>
          <w:lang w:val="fr-FR"/>
        </w:rPr>
        <w:t xml:space="preserve"> du Pacte</w:t>
      </w:r>
      <w:r>
        <w:rPr>
          <w:lang w:val="fr-FR"/>
        </w:rPr>
        <w:t>, invoqué</w:t>
      </w:r>
      <w:r w:rsidRPr="00E722BA">
        <w:rPr>
          <w:lang w:val="fr-FR"/>
        </w:rPr>
        <w:t xml:space="preserve"> de manière séparée, </w:t>
      </w:r>
      <w:r>
        <w:rPr>
          <w:lang w:val="fr-FR"/>
        </w:rPr>
        <w:t>est</w:t>
      </w:r>
      <w:r w:rsidRPr="00E722BA">
        <w:rPr>
          <w:lang w:val="fr-FR"/>
        </w:rPr>
        <w:t xml:space="preserve"> irrecevable au regard de l</w:t>
      </w:r>
      <w:r>
        <w:rPr>
          <w:lang w:val="fr-FR"/>
        </w:rPr>
        <w:t>’</w:t>
      </w:r>
      <w:r w:rsidRPr="00E722BA">
        <w:rPr>
          <w:lang w:val="fr-FR"/>
        </w:rPr>
        <w:t>article 3 du Protocole facultatif</w:t>
      </w:r>
      <w:r w:rsidRPr="00354FCF">
        <w:rPr>
          <w:rStyle w:val="Appelnotedebasdep"/>
        </w:rPr>
        <w:footnoteReference w:id="22"/>
      </w:r>
      <w:r w:rsidRPr="00E722BA">
        <w:rPr>
          <w:lang w:val="fr-FR"/>
        </w:rPr>
        <w:t>.</w:t>
      </w:r>
    </w:p>
    <w:p w14:paraId="08153B27" w14:textId="77777777" w:rsidR="00B13F56" w:rsidRPr="00DE54D3" w:rsidRDefault="00B13F56" w:rsidP="00B13F56">
      <w:pPr>
        <w:pStyle w:val="SingleTxtG"/>
        <w:spacing w:line="234" w:lineRule="atLeast"/>
        <w:rPr>
          <w:lang w:val="fr-FR"/>
        </w:rPr>
      </w:pPr>
      <w:r w:rsidRPr="00DE54D3">
        <w:t>7.</w:t>
      </w:r>
      <w:r>
        <w:t>8</w:t>
      </w:r>
      <w:r w:rsidRPr="00DE54D3">
        <w:tab/>
        <w:t xml:space="preserve">Le Comité estime en revanche que </w:t>
      </w:r>
      <w:r>
        <w:t>l’auteur</w:t>
      </w:r>
      <w:r w:rsidRPr="00DE54D3">
        <w:t xml:space="preserve"> </w:t>
      </w:r>
      <w:r>
        <w:t>a</w:t>
      </w:r>
      <w:r w:rsidRPr="00DE54D3">
        <w:t xml:space="preserve"> suffisamment étayé </w:t>
      </w:r>
      <w:r>
        <w:t xml:space="preserve">ses </w:t>
      </w:r>
      <w:r w:rsidRPr="00DE54D3">
        <w:t>autres allégations aux fins de la recevabilité, et procède donc à l</w:t>
      </w:r>
      <w:r>
        <w:t>’</w:t>
      </w:r>
      <w:r w:rsidRPr="00DE54D3">
        <w:t xml:space="preserve">examen au fond des griefs formulés au titre </w:t>
      </w:r>
      <w:r w:rsidRPr="00C41A63">
        <w:t xml:space="preserve">des articles </w:t>
      </w:r>
      <w:r w:rsidRPr="00612043">
        <w:t>6, 7, 9, 10</w:t>
      </w:r>
      <w:r>
        <w:t>,</w:t>
      </w:r>
      <w:r w:rsidRPr="00612043">
        <w:t xml:space="preserve"> 16 </w:t>
      </w:r>
      <w:r>
        <w:t xml:space="preserve">et 23 (par. 1) </w:t>
      </w:r>
      <w:r w:rsidRPr="00612043">
        <w:t>du Pact</w:t>
      </w:r>
      <w:r>
        <w:t>e, lus seuls et conjointement avec l’article 2 (par. 3)</w:t>
      </w:r>
      <w:r w:rsidRPr="005A232A">
        <w:t xml:space="preserve"> </w:t>
      </w:r>
      <w:r w:rsidRPr="00C41A63">
        <w:t>à l</w:t>
      </w:r>
      <w:r>
        <w:t>’</w:t>
      </w:r>
      <w:r w:rsidRPr="00C41A63">
        <w:t xml:space="preserve">égard de </w:t>
      </w:r>
      <w:proofErr w:type="spellStart"/>
      <w:r w:rsidRPr="005F338A">
        <w:t>Tewfik</w:t>
      </w:r>
      <w:proofErr w:type="spellEnd"/>
      <w:r w:rsidRPr="005F338A">
        <w:t xml:space="preserve"> </w:t>
      </w:r>
      <w:proofErr w:type="spellStart"/>
      <w:r w:rsidRPr="005F338A">
        <w:t>Djaou</w:t>
      </w:r>
      <w:proofErr w:type="spellEnd"/>
      <w:r>
        <w:t xml:space="preserve"> et de l’article </w:t>
      </w:r>
      <w:r w:rsidRPr="00612043">
        <w:t>7</w:t>
      </w:r>
      <w:r>
        <w:t>,</w:t>
      </w:r>
      <w:r w:rsidRPr="00612043">
        <w:t xml:space="preserve"> </w:t>
      </w:r>
      <w:r>
        <w:t>lu seul et conjointement avec l’article 2 (par. 3), ainsi que de l’article 23 (par. 1) du Pacte à l’égard de l’auteur.</w:t>
      </w:r>
    </w:p>
    <w:p w14:paraId="318AF6AC" w14:textId="77777777" w:rsidR="00B13F56" w:rsidRPr="00DE54D3" w:rsidRDefault="00B13F56" w:rsidP="00B13F56">
      <w:pPr>
        <w:pStyle w:val="H4G"/>
        <w:rPr>
          <w:lang w:val="fr-FR"/>
        </w:rPr>
      </w:pPr>
      <w:r w:rsidRPr="00DE54D3">
        <w:rPr>
          <w:lang w:val="fr-FR"/>
        </w:rPr>
        <w:tab/>
      </w:r>
      <w:r w:rsidRPr="00DE54D3">
        <w:rPr>
          <w:lang w:val="fr-FR"/>
        </w:rPr>
        <w:tab/>
        <w:t>Examen au fond</w:t>
      </w:r>
    </w:p>
    <w:p w14:paraId="3B260478" w14:textId="77777777" w:rsidR="00B13F56" w:rsidRDefault="00B13F56" w:rsidP="00B13F56">
      <w:pPr>
        <w:pStyle w:val="SingleTxtG"/>
      </w:pPr>
      <w:r w:rsidRPr="00DE54D3">
        <w:rPr>
          <w:lang w:val="fr-FR"/>
        </w:rPr>
        <w:t>8</w:t>
      </w:r>
      <w:r w:rsidRPr="00DE54D3">
        <w:t>.1</w:t>
      </w:r>
      <w:r w:rsidRPr="00DE54D3">
        <w:tab/>
        <w:t xml:space="preserve">Conformément </w:t>
      </w:r>
      <w:r>
        <w:t>à</w:t>
      </w:r>
      <w:r w:rsidRPr="00DE54D3">
        <w:t xml:space="preserve"> l</w:t>
      </w:r>
      <w:r>
        <w:t>’</w:t>
      </w:r>
      <w:r w:rsidRPr="00DE54D3">
        <w:t>article 5</w:t>
      </w:r>
      <w:r>
        <w:t xml:space="preserve"> (par. 1)</w:t>
      </w:r>
      <w:r w:rsidRPr="00DE54D3">
        <w:t xml:space="preserve"> du Protocole facultatif, le Comité a examiné la présente communication en tenant compte de toutes les informations qui lui ont été communiquées</w:t>
      </w:r>
      <w:r>
        <w:t xml:space="preserve"> par les parties</w:t>
      </w:r>
      <w:r w:rsidRPr="00DE54D3">
        <w:t>.</w:t>
      </w:r>
    </w:p>
    <w:p w14:paraId="3C863D38" w14:textId="77777777" w:rsidR="00B13F56" w:rsidRPr="00DE54D3" w:rsidRDefault="00B13F56" w:rsidP="00B13F56">
      <w:pPr>
        <w:pStyle w:val="SingleTxtG"/>
      </w:pPr>
      <w:r>
        <w:t>8.2</w:t>
      </w:r>
      <w:r>
        <w:tab/>
      </w:r>
      <w:r w:rsidRPr="00DE54D3">
        <w:t>Le Comité note que l</w:t>
      </w:r>
      <w:r>
        <w:t>’</w:t>
      </w:r>
      <w:r w:rsidRPr="00DE54D3">
        <w:t>État partie s</w:t>
      </w:r>
      <w:r>
        <w:t>’</w:t>
      </w:r>
      <w:r w:rsidRPr="00DE54D3">
        <w:t>est contenté de faire référence à ses observations collectives et générales qui avaient été transmises antérieurement au Groupe de travail sur les disparitions forcées ou involontaires et au Comité en lien avec d</w:t>
      </w:r>
      <w:r>
        <w:t>’</w:t>
      </w:r>
      <w:r w:rsidRPr="00DE54D3">
        <w:t xml:space="preserve">autres communications, afin de confirmer sa position selon laquelle de telles affaires ont déjà été réglées dans le cadre de la mise en œuvre de la Charte pour la paix et la réconciliation nationale. </w:t>
      </w:r>
      <w:r w:rsidRPr="00424045">
        <w:t>Le Comité renvoie à sa jurisprudence</w:t>
      </w:r>
      <w:r w:rsidRPr="00354FCF">
        <w:rPr>
          <w:rStyle w:val="Appelnotedebasdep"/>
        </w:rPr>
        <w:footnoteReference w:id="23"/>
      </w:r>
      <w:r w:rsidRPr="00424045">
        <w:t xml:space="preserve"> et rappelle que l</w:t>
      </w:r>
      <w:r>
        <w:t>’</w:t>
      </w:r>
      <w:r w:rsidRPr="00424045">
        <w:t xml:space="preserve">État partie ne saurait opposer les dispositions de ladite </w:t>
      </w:r>
      <w:r>
        <w:t>c</w:t>
      </w:r>
      <w:r w:rsidRPr="00424045">
        <w:t>harte à des personnes qui invoquent les dispositions du Pacte ou qui ont soumis ou pourraient soumettre des communications au Comité</w:t>
      </w:r>
      <w:r w:rsidRPr="00354FCF">
        <w:rPr>
          <w:rStyle w:val="Appelnotedebasdep"/>
        </w:rPr>
        <w:footnoteReference w:id="24"/>
      </w:r>
      <w:r w:rsidRPr="00424045">
        <w:t xml:space="preserve">. </w:t>
      </w:r>
      <w:r w:rsidRPr="00DE54D3">
        <w:t>En l</w:t>
      </w:r>
      <w:r>
        <w:t>’</w:t>
      </w:r>
      <w:r w:rsidRPr="00DE54D3">
        <w:t>absence d</w:t>
      </w:r>
      <w:r>
        <w:t>’</w:t>
      </w:r>
      <w:r w:rsidRPr="00DE54D3">
        <w:t>inclusion des modifications recommandées par le Comité, l</w:t>
      </w:r>
      <w:r>
        <w:t>’</w:t>
      </w:r>
      <w:r w:rsidRPr="00DE54D3">
        <w:t>ordonnance n</w:t>
      </w:r>
      <w:r w:rsidRPr="00DE54D3">
        <w:rPr>
          <w:vertAlign w:val="superscript"/>
        </w:rPr>
        <w:t>o</w:t>
      </w:r>
      <w:r w:rsidRPr="00DE54D3">
        <w:t xml:space="preserve"> 06-01 contribue dans le cas présent à l</w:t>
      </w:r>
      <w:r>
        <w:t>’</w:t>
      </w:r>
      <w:r w:rsidRPr="00DE54D3">
        <w:t>impunité et ne peut donc, en l</w:t>
      </w:r>
      <w:r>
        <w:t>’</w:t>
      </w:r>
      <w:r w:rsidRPr="00DE54D3">
        <w:t>état, être jugée compatible avec les dispositions du Pacte</w:t>
      </w:r>
      <w:r w:rsidRPr="00354FCF">
        <w:rPr>
          <w:rStyle w:val="Appelnotedebasdep"/>
        </w:rPr>
        <w:footnoteReference w:id="25"/>
      </w:r>
      <w:r w:rsidRPr="00DE54D3">
        <w:t>.</w:t>
      </w:r>
    </w:p>
    <w:p w14:paraId="04E76E15" w14:textId="77777777" w:rsidR="00B13F56" w:rsidRPr="00DE54D3" w:rsidRDefault="00B13F56" w:rsidP="00B13F56">
      <w:pPr>
        <w:pStyle w:val="SingleTxtG"/>
      </w:pPr>
      <w:r w:rsidRPr="00DE54D3">
        <w:t>8.</w:t>
      </w:r>
      <w:r>
        <w:t>3</w:t>
      </w:r>
      <w:r w:rsidRPr="00DE54D3">
        <w:tab/>
        <w:t>Le Comité note que l</w:t>
      </w:r>
      <w:r>
        <w:t>’</w:t>
      </w:r>
      <w:r w:rsidRPr="00DE54D3">
        <w:t>État partie n</w:t>
      </w:r>
      <w:r>
        <w:t>’</w:t>
      </w:r>
      <w:r w:rsidRPr="00DE54D3">
        <w:t xml:space="preserve">a pas répondu aux allégations de </w:t>
      </w:r>
      <w:r>
        <w:t>l’</w:t>
      </w:r>
      <w:r w:rsidRPr="00DE54D3">
        <w:t>auteur sur le fond et rappelle sa jurisprudence selon laquelle la charge de la preuve ne doit pas incomber uniquement à l</w:t>
      </w:r>
      <w:r>
        <w:t>’</w:t>
      </w:r>
      <w:r w:rsidRPr="00DE54D3">
        <w:t>auteur d</w:t>
      </w:r>
      <w:r>
        <w:t>’</w:t>
      </w:r>
      <w:r w:rsidRPr="00DE54D3">
        <w:t>une communication, d</w:t>
      </w:r>
      <w:r>
        <w:t>’</w:t>
      </w:r>
      <w:r w:rsidRPr="00DE54D3">
        <w:t>autant plus que celui-ci et l</w:t>
      </w:r>
      <w:r>
        <w:t>’</w:t>
      </w:r>
      <w:r w:rsidRPr="00DE54D3">
        <w:t>État partie n</w:t>
      </w:r>
      <w:r>
        <w:t>’</w:t>
      </w:r>
      <w:r w:rsidRPr="00DE54D3">
        <w:t>ont pas toujours un accès égal aux éléments de preuve et que, souvent, seul l</w:t>
      </w:r>
      <w:r>
        <w:t>’</w:t>
      </w:r>
      <w:r w:rsidRPr="00DE54D3">
        <w:t>État partie dispose des renseignements nécessaires</w:t>
      </w:r>
      <w:r w:rsidRPr="00354FCF">
        <w:rPr>
          <w:rStyle w:val="Appelnotedebasdep"/>
        </w:rPr>
        <w:footnoteReference w:id="26"/>
      </w:r>
      <w:r w:rsidRPr="00DE54D3">
        <w:t>. Conforméme</w:t>
      </w:r>
      <w:r>
        <w:t xml:space="preserve">nt à l’article </w:t>
      </w:r>
      <w:r w:rsidRPr="00DE54D3">
        <w:t>4</w:t>
      </w:r>
      <w:r>
        <w:t xml:space="preserve"> (par. 2)</w:t>
      </w:r>
      <w:r w:rsidRPr="00DE54D3">
        <w:t xml:space="preserve"> du Protocole facultatif, l</w:t>
      </w:r>
      <w:r>
        <w:t>’</w:t>
      </w:r>
      <w:r w:rsidRPr="00DE54D3">
        <w:t>État partie est tenu d</w:t>
      </w:r>
      <w:r>
        <w:t>’</w:t>
      </w:r>
      <w:r w:rsidRPr="00DE54D3">
        <w:t xml:space="preserve">enquêter de bonne foi sur toutes les allégations de violations du Pacte </w:t>
      </w:r>
      <w:r w:rsidRPr="00DE54D3">
        <w:lastRenderedPageBreak/>
        <w:t>portées contre lui et ses représentants, et de transmettre au Comité les renseignements qu</w:t>
      </w:r>
      <w:r>
        <w:t>’</w:t>
      </w:r>
      <w:r w:rsidRPr="00DE54D3">
        <w:t>il détient</w:t>
      </w:r>
      <w:r w:rsidRPr="00354FCF">
        <w:rPr>
          <w:rStyle w:val="Appelnotedebasdep"/>
        </w:rPr>
        <w:footnoteReference w:id="27"/>
      </w:r>
      <w:r w:rsidRPr="00DE54D3">
        <w:t>. En l</w:t>
      </w:r>
      <w:r>
        <w:t>’</w:t>
      </w:r>
      <w:r w:rsidRPr="00DE54D3">
        <w:t>absence d</w:t>
      </w:r>
      <w:r>
        <w:t>’</w:t>
      </w:r>
      <w:r w:rsidRPr="00DE54D3">
        <w:t>explications de la part de l</w:t>
      </w:r>
      <w:r>
        <w:t>’</w:t>
      </w:r>
      <w:r w:rsidRPr="00DE54D3">
        <w:t>État partie à ce sujet, il convient d</w:t>
      </w:r>
      <w:r>
        <w:t>’</w:t>
      </w:r>
      <w:r w:rsidRPr="00DE54D3">
        <w:t xml:space="preserve">accorder tout le crédit voulu aux allégations de </w:t>
      </w:r>
      <w:r>
        <w:t>l’</w:t>
      </w:r>
      <w:r w:rsidRPr="00DE54D3">
        <w:t>auteur, dès lors que ces dernières sont suffisamment étayées.</w:t>
      </w:r>
    </w:p>
    <w:p w14:paraId="3D76BBD9" w14:textId="77777777" w:rsidR="00B13F56" w:rsidRPr="00DE54D3" w:rsidRDefault="00B13F56" w:rsidP="00B13F56">
      <w:pPr>
        <w:pStyle w:val="SingleTxtG"/>
        <w:spacing w:line="236" w:lineRule="atLeast"/>
        <w:rPr>
          <w:spacing w:val="-2"/>
        </w:rPr>
      </w:pPr>
      <w:r w:rsidRPr="00DE54D3">
        <w:t>8</w:t>
      </w:r>
      <w:r>
        <w:t>.4</w:t>
      </w:r>
      <w:r w:rsidRPr="00DE54D3">
        <w:tab/>
      </w:r>
      <w:r w:rsidRPr="00DE54D3">
        <w:rPr>
          <w:spacing w:val="-2"/>
        </w:rPr>
        <w:t>Le Comité rappelle que, si l</w:t>
      </w:r>
      <w:r>
        <w:rPr>
          <w:spacing w:val="-2"/>
        </w:rPr>
        <w:t>’</w:t>
      </w:r>
      <w:r w:rsidRPr="00DE54D3">
        <w:rPr>
          <w:spacing w:val="-2"/>
        </w:rPr>
        <w:t>expression « disparition forcée » n</w:t>
      </w:r>
      <w:r>
        <w:rPr>
          <w:spacing w:val="-2"/>
        </w:rPr>
        <w:t>’</w:t>
      </w:r>
      <w:r w:rsidRPr="00DE54D3">
        <w:rPr>
          <w:spacing w:val="-2"/>
        </w:rPr>
        <w:t>apparaît expressément dans aucun article du Pacte, la disparition forcée constitue un ensemble unique et intégré d</w:t>
      </w:r>
      <w:r>
        <w:rPr>
          <w:spacing w:val="-2"/>
        </w:rPr>
        <w:t>’</w:t>
      </w:r>
      <w:r w:rsidRPr="00DE54D3">
        <w:rPr>
          <w:spacing w:val="-2"/>
        </w:rPr>
        <w:t>actes représentant une violation continue de plusieurs droits consacrés par cet instrument, tels que le droit à la vie, le droit de ne pas être soumis à la torture et autres peines ou traitements cruels, inhumains ou dégradants, et le droit à la liberté et à la sécurité de la personne</w:t>
      </w:r>
      <w:r w:rsidRPr="00354FCF">
        <w:rPr>
          <w:rStyle w:val="Appelnotedebasdep"/>
        </w:rPr>
        <w:footnoteReference w:id="28"/>
      </w:r>
      <w:r w:rsidRPr="00DE54D3">
        <w:rPr>
          <w:spacing w:val="-2"/>
        </w:rPr>
        <w:t>.</w:t>
      </w:r>
    </w:p>
    <w:p w14:paraId="0F1151B8" w14:textId="77777777" w:rsidR="00B13F56" w:rsidRPr="00DE54D3" w:rsidRDefault="00B13F56" w:rsidP="00B13F56">
      <w:pPr>
        <w:pStyle w:val="SingleTxtG"/>
        <w:spacing w:line="236" w:lineRule="atLeast"/>
      </w:pPr>
      <w:r w:rsidRPr="00DE54D3">
        <w:t>8</w:t>
      </w:r>
      <w:r>
        <w:t>.5</w:t>
      </w:r>
      <w:r w:rsidRPr="00DE54D3">
        <w:tab/>
      </w:r>
      <w:r w:rsidRPr="00BA7352">
        <w:t xml:space="preserve">Le Comité note que </w:t>
      </w:r>
      <w:proofErr w:type="spellStart"/>
      <w:r w:rsidRPr="005F338A">
        <w:t>Tewfik</w:t>
      </w:r>
      <w:proofErr w:type="spellEnd"/>
      <w:r w:rsidRPr="005F338A">
        <w:t xml:space="preserve"> </w:t>
      </w:r>
      <w:proofErr w:type="spellStart"/>
      <w:r w:rsidRPr="005F338A">
        <w:t>Djaou</w:t>
      </w:r>
      <w:proofErr w:type="spellEnd"/>
      <w:r>
        <w:t xml:space="preserve"> a été vu </w:t>
      </w:r>
      <w:r w:rsidRPr="00BA7352">
        <w:t xml:space="preserve">pour la dernière fois </w:t>
      </w:r>
      <w:r>
        <w:t>en mai 1998,</w:t>
      </w:r>
      <w:r w:rsidRPr="00BA7352">
        <w:t xml:space="preserve"> </w:t>
      </w:r>
      <w:r>
        <w:t>par un codétenu, alors qu’il était détenu à la caserne de Bellevue</w:t>
      </w:r>
      <w:r w:rsidRPr="00BA7352">
        <w:t>. Il prend note du fait que l</w:t>
      </w:r>
      <w:r>
        <w:t>’</w:t>
      </w:r>
      <w:r w:rsidRPr="00BA7352">
        <w:t>État partie n</w:t>
      </w:r>
      <w:r>
        <w:t>’</w:t>
      </w:r>
      <w:r w:rsidRPr="00BA7352">
        <w:t>a fourni aucun élément permettant de déterminer ce qu</w:t>
      </w:r>
      <w:r>
        <w:t>’</w:t>
      </w:r>
      <w:r w:rsidRPr="00BA7352">
        <w:t xml:space="preserve">il est advenu de </w:t>
      </w:r>
      <w:proofErr w:type="spellStart"/>
      <w:r w:rsidRPr="005F338A">
        <w:t>Tewfik</w:t>
      </w:r>
      <w:proofErr w:type="spellEnd"/>
      <w:r w:rsidRPr="005F338A">
        <w:t xml:space="preserve"> </w:t>
      </w:r>
      <w:proofErr w:type="spellStart"/>
      <w:r w:rsidRPr="005F338A">
        <w:t>Djaou</w:t>
      </w:r>
      <w:proofErr w:type="spellEnd"/>
      <w:r w:rsidRPr="00BA7352">
        <w:t xml:space="preserve"> et n</w:t>
      </w:r>
      <w:r>
        <w:t>’</w:t>
      </w:r>
      <w:r w:rsidRPr="00BA7352">
        <w:t xml:space="preserve">a même jamais confirmé sa détention. </w:t>
      </w:r>
      <w:r>
        <w:t>Le Comité</w:t>
      </w:r>
      <w:r w:rsidRPr="00BA7352">
        <w:t xml:space="preserve"> rappelle que, dans le cas des disparitions forcées, le fait de priver une personne de liberté</w:t>
      </w:r>
      <w:r>
        <w:t>,</w:t>
      </w:r>
      <w:r w:rsidRPr="00BA7352">
        <w:t xml:space="preserve"> puis de refuser de reconnaître cette privation de liberté ou de dissimuler le sort réservé à la personne disparue revient à soustraire cette personne à la protection de la loi et fait peser sur sa vie un risque constant et grave, dont l</w:t>
      </w:r>
      <w:r>
        <w:t>’</w:t>
      </w:r>
      <w:r w:rsidRPr="00BA7352">
        <w:t>État est responsable</w:t>
      </w:r>
      <w:r w:rsidRPr="00354FCF">
        <w:rPr>
          <w:rStyle w:val="Appelnotedebasdep"/>
        </w:rPr>
        <w:footnoteReference w:id="29"/>
      </w:r>
      <w:r w:rsidRPr="00BA7352">
        <w:t>. En l</w:t>
      </w:r>
      <w:r>
        <w:t>’</w:t>
      </w:r>
      <w:r w:rsidRPr="00BA7352">
        <w:t>espèce, le Comité constate que l</w:t>
      </w:r>
      <w:r>
        <w:t>’</w:t>
      </w:r>
      <w:r w:rsidRPr="00BA7352">
        <w:t>État partie n</w:t>
      </w:r>
      <w:r>
        <w:t>’</w:t>
      </w:r>
      <w:r w:rsidRPr="00BA7352">
        <w:t>a fourni aucun élément susceptible de démontrer qu</w:t>
      </w:r>
      <w:r>
        <w:t>’</w:t>
      </w:r>
      <w:r w:rsidRPr="00BA7352">
        <w:t>il s</w:t>
      </w:r>
      <w:r>
        <w:t>’était</w:t>
      </w:r>
      <w:r w:rsidRPr="00BA7352">
        <w:t xml:space="preserve"> acquitté de son obligation de protéger la vie de </w:t>
      </w:r>
      <w:proofErr w:type="spellStart"/>
      <w:r w:rsidRPr="005F338A">
        <w:t>Tewfik</w:t>
      </w:r>
      <w:proofErr w:type="spellEnd"/>
      <w:r w:rsidRPr="005F338A">
        <w:t xml:space="preserve"> </w:t>
      </w:r>
      <w:proofErr w:type="spellStart"/>
      <w:r w:rsidRPr="005F338A">
        <w:t>Djaou</w:t>
      </w:r>
      <w:proofErr w:type="spellEnd"/>
      <w:r w:rsidRPr="00BA7352">
        <w:t>. En conséquence, il conclut que l</w:t>
      </w:r>
      <w:r>
        <w:t>’</w:t>
      </w:r>
      <w:r w:rsidRPr="00BA7352">
        <w:t xml:space="preserve">État partie a failli à son obligation de protéger la vie de </w:t>
      </w:r>
      <w:proofErr w:type="spellStart"/>
      <w:r w:rsidRPr="005F338A">
        <w:t>Tewfik</w:t>
      </w:r>
      <w:proofErr w:type="spellEnd"/>
      <w:r w:rsidRPr="005F338A">
        <w:t xml:space="preserve"> </w:t>
      </w:r>
      <w:proofErr w:type="spellStart"/>
      <w:r w:rsidRPr="005F338A">
        <w:t>Djaou</w:t>
      </w:r>
      <w:proofErr w:type="spellEnd"/>
      <w:r>
        <w:t xml:space="preserve">, en violation de l’article </w:t>
      </w:r>
      <w:r w:rsidRPr="00BA7352">
        <w:t>6</w:t>
      </w:r>
      <w:r>
        <w:t xml:space="preserve"> (par. 1)</w:t>
      </w:r>
      <w:r w:rsidRPr="00BA7352">
        <w:t xml:space="preserve"> du Pacte.</w:t>
      </w:r>
    </w:p>
    <w:p w14:paraId="2678CA2D" w14:textId="77777777" w:rsidR="00B13F56" w:rsidRPr="00DE54D3" w:rsidRDefault="00B13F56" w:rsidP="00B13F56">
      <w:pPr>
        <w:pStyle w:val="SingleTxtG"/>
        <w:spacing w:line="236" w:lineRule="atLeast"/>
      </w:pPr>
      <w:r w:rsidRPr="00DE54D3">
        <w:t>8</w:t>
      </w:r>
      <w:r>
        <w:t>.6</w:t>
      </w:r>
      <w:r w:rsidRPr="00DE54D3">
        <w:tab/>
        <w:t>Le Comité reconnaît le degré de souffrance qu</w:t>
      </w:r>
      <w:r>
        <w:t>’</w:t>
      </w:r>
      <w:r w:rsidRPr="00DE54D3">
        <w:t>implique une détention sans contact avec le monde extérieur pendant une durée indéfinie. Il rappelle son observation générale n</w:t>
      </w:r>
      <w:r w:rsidRPr="00DE54D3">
        <w:rPr>
          <w:vertAlign w:val="superscript"/>
        </w:rPr>
        <w:t>o</w:t>
      </w:r>
      <w:r w:rsidRPr="00DE54D3">
        <w:t> 20 (1992) sur l</w:t>
      </w:r>
      <w:r>
        <w:t>’</w:t>
      </w:r>
      <w:r w:rsidRPr="00DE54D3">
        <w:t>interdiction de la torture et des peines ou traitements cruels, inhumains ou dégradants, dans laquelle il recommande aux États parties de prendre des dispositions pour interdire la détention au secret. Il note en l</w:t>
      </w:r>
      <w:r>
        <w:t>’</w:t>
      </w:r>
      <w:r w:rsidRPr="00DE54D3">
        <w:t>espèce qu</w:t>
      </w:r>
      <w:r>
        <w:t>’</w:t>
      </w:r>
      <w:r w:rsidRPr="00DE54D3">
        <w:t xml:space="preserve">après avoir </w:t>
      </w:r>
      <w:r>
        <w:t xml:space="preserve">eu des nouvelles, trois </w:t>
      </w:r>
      <w:r w:rsidRPr="00F465C9">
        <w:t>mois</w:t>
      </w:r>
      <w:r>
        <w:t xml:space="preserve"> puis sept mois</w:t>
      </w:r>
      <w:r w:rsidRPr="00F465C9">
        <w:t xml:space="preserve"> après l</w:t>
      </w:r>
      <w:r>
        <w:t>’</w:t>
      </w:r>
      <w:r w:rsidRPr="00F465C9">
        <w:t xml:space="preserve">arrestation de </w:t>
      </w:r>
      <w:proofErr w:type="spellStart"/>
      <w:r w:rsidRPr="005F338A">
        <w:t>Tewfik</w:t>
      </w:r>
      <w:proofErr w:type="spellEnd"/>
      <w:r w:rsidRPr="005F338A">
        <w:t xml:space="preserve"> </w:t>
      </w:r>
      <w:proofErr w:type="spellStart"/>
      <w:r w:rsidRPr="005F338A">
        <w:t>Djaou</w:t>
      </w:r>
      <w:proofErr w:type="spellEnd"/>
      <w:r w:rsidRPr="00F465C9">
        <w:t xml:space="preserve">, </w:t>
      </w:r>
      <w:r>
        <w:t xml:space="preserve">quand </w:t>
      </w:r>
      <w:r w:rsidRPr="00F465C9">
        <w:t>de</w:t>
      </w:r>
      <w:r>
        <w:t>s</w:t>
      </w:r>
      <w:r w:rsidRPr="00F465C9">
        <w:t xml:space="preserve"> personnes arrêtées </w:t>
      </w:r>
      <w:r>
        <w:t>et détenues à la caserne de Bellevue,</w:t>
      </w:r>
      <w:r w:rsidRPr="00F465C9">
        <w:t xml:space="preserve"> à Constantine</w:t>
      </w:r>
      <w:r>
        <w:t xml:space="preserve">, lui </w:t>
      </w:r>
      <w:r w:rsidRPr="00F465C9">
        <w:t xml:space="preserve">ont confirmé </w:t>
      </w:r>
      <w:r>
        <w:t>que</w:t>
      </w:r>
      <w:r w:rsidRPr="00F465C9">
        <w:t xml:space="preserve"> </w:t>
      </w:r>
      <w:proofErr w:type="spellStart"/>
      <w:r w:rsidRPr="005F338A">
        <w:t>Tewfik</w:t>
      </w:r>
      <w:proofErr w:type="spellEnd"/>
      <w:r w:rsidRPr="005F338A">
        <w:t xml:space="preserve"> </w:t>
      </w:r>
      <w:proofErr w:type="spellStart"/>
      <w:r w:rsidRPr="005F338A">
        <w:t>Djaou</w:t>
      </w:r>
      <w:proofErr w:type="spellEnd"/>
      <w:r w:rsidRPr="00F465C9">
        <w:t xml:space="preserve"> </w:t>
      </w:r>
      <w:r>
        <w:t>était détenu au même endroit</w:t>
      </w:r>
      <w:r w:rsidRPr="00730A9D">
        <w:t xml:space="preserve">, </w:t>
      </w:r>
      <w:r w:rsidRPr="00DE54D3">
        <w:t>l</w:t>
      </w:r>
      <w:r>
        <w:t>’</w:t>
      </w:r>
      <w:r w:rsidRPr="00DE54D3">
        <w:t>auteur n</w:t>
      </w:r>
      <w:r>
        <w:t>’a</w:t>
      </w:r>
      <w:r w:rsidRPr="00DE54D3">
        <w:t xml:space="preserve"> plus jamais eu la moindre information </w:t>
      </w:r>
      <w:r>
        <w:t xml:space="preserve">− officielle ou non − </w:t>
      </w:r>
      <w:r w:rsidRPr="00DE54D3">
        <w:t>sur son sort ou lieu de détention, malgré</w:t>
      </w:r>
      <w:r>
        <w:t xml:space="preserve"> diverses tentatives de visite dans les lieux de détention où il aurait pu être détenu</w:t>
      </w:r>
      <w:r w:rsidRPr="00DE54D3">
        <w:t xml:space="preserve"> </w:t>
      </w:r>
      <w:r>
        <w:t xml:space="preserve">et malgré </w:t>
      </w:r>
      <w:r w:rsidRPr="00DE54D3">
        <w:t xml:space="preserve">plusieurs requêtes successives présentées aux autorités. Le Comité estime donc </w:t>
      </w:r>
      <w:r>
        <w:t xml:space="preserve">que </w:t>
      </w:r>
      <w:proofErr w:type="spellStart"/>
      <w:r w:rsidRPr="005F338A">
        <w:t>Tewfik</w:t>
      </w:r>
      <w:proofErr w:type="spellEnd"/>
      <w:r w:rsidRPr="005F338A">
        <w:t xml:space="preserve"> </w:t>
      </w:r>
      <w:proofErr w:type="spellStart"/>
      <w:r w:rsidRPr="005F338A">
        <w:t>Djaou</w:t>
      </w:r>
      <w:proofErr w:type="spellEnd"/>
      <w:r w:rsidRPr="00DE54D3">
        <w:t xml:space="preserve">, disparu le </w:t>
      </w:r>
      <w:r>
        <w:t>29 octobre 1997</w:t>
      </w:r>
      <w:r w:rsidRPr="00DE54D3">
        <w:t>, serait potentiellement toujours détenu au secret par les autorités algériennes. En l</w:t>
      </w:r>
      <w:r>
        <w:t>’</w:t>
      </w:r>
      <w:r w:rsidRPr="00DE54D3">
        <w:t>absence de toute explication de la part de l</w:t>
      </w:r>
      <w:r>
        <w:t>’</w:t>
      </w:r>
      <w:r w:rsidRPr="00DE54D3">
        <w:t xml:space="preserve">État partie, le Comité </w:t>
      </w:r>
      <w:r w:rsidRPr="00F465C9">
        <w:t>considère que cette disparition constitue une violation de l</w:t>
      </w:r>
      <w:r>
        <w:t>’</w:t>
      </w:r>
      <w:r w:rsidRPr="00F465C9">
        <w:t>article</w:t>
      </w:r>
      <w:r>
        <w:t> </w:t>
      </w:r>
      <w:r w:rsidRPr="00F465C9">
        <w:t>7 du Pacte à l</w:t>
      </w:r>
      <w:r>
        <w:t>’</w:t>
      </w:r>
      <w:r w:rsidRPr="00F465C9">
        <w:t xml:space="preserve">égard de </w:t>
      </w:r>
      <w:proofErr w:type="spellStart"/>
      <w:r w:rsidRPr="005F338A">
        <w:t>Tewfik</w:t>
      </w:r>
      <w:proofErr w:type="spellEnd"/>
      <w:r w:rsidRPr="005F338A">
        <w:t xml:space="preserve"> </w:t>
      </w:r>
      <w:proofErr w:type="spellStart"/>
      <w:r w:rsidRPr="005F338A">
        <w:t>Djaou</w:t>
      </w:r>
      <w:proofErr w:type="spellEnd"/>
      <w:r w:rsidRPr="00354FCF">
        <w:rPr>
          <w:rStyle w:val="Appelnotedebasdep"/>
        </w:rPr>
        <w:footnoteReference w:id="30"/>
      </w:r>
      <w:r w:rsidRPr="00DE54D3">
        <w:t>.</w:t>
      </w:r>
    </w:p>
    <w:p w14:paraId="02F0DB05" w14:textId="77777777" w:rsidR="00B13F56" w:rsidRPr="00DE54D3" w:rsidRDefault="00B13F56" w:rsidP="00B13F56">
      <w:pPr>
        <w:pStyle w:val="SingleTxtG"/>
      </w:pPr>
      <w:r w:rsidRPr="00DE54D3">
        <w:t>8</w:t>
      </w:r>
      <w:r>
        <w:t>.7</w:t>
      </w:r>
      <w:r w:rsidRPr="00DE54D3">
        <w:tab/>
        <w:t>Au vu de ce qui précède, le Comité n</w:t>
      </w:r>
      <w:r>
        <w:t>’</w:t>
      </w:r>
      <w:r w:rsidRPr="00DE54D3">
        <w:t>examinera pas séparément les griefs tirés de la violation de l</w:t>
      </w:r>
      <w:r>
        <w:t>’</w:t>
      </w:r>
      <w:r w:rsidRPr="00DE54D3">
        <w:t>article 10 du Pacte</w:t>
      </w:r>
      <w:r w:rsidRPr="00354FCF">
        <w:rPr>
          <w:rStyle w:val="Appelnotedebasdep"/>
        </w:rPr>
        <w:footnoteReference w:id="31"/>
      </w:r>
      <w:r w:rsidRPr="00DE54D3">
        <w:t>.</w:t>
      </w:r>
    </w:p>
    <w:p w14:paraId="6D0F0AE8" w14:textId="77777777" w:rsidR="00B13F56" w:rsidRPr="00DE54D3" w:rsidRDefault="00B13F56" w:rsidP="00B13F56">
      <w:pPr>
        <w:pStyle w:val="SingleTxtG"/>
      </w:pPr>
      <w:r w:rsidRPr="00DE54D3">
        <w:rPr>
          <w:spacing w:val="-3"/>
        </w:rPr>
        <w:t>8</w:t>
      </w:r>
      <w:r>
        <w:rPr>
          <w:spacing w:val="-3"/>
        </w:rPr>
        <w:t>.8</w:t>
      </w:r>
      <w:r w:rsidRPr="00DE54D3">
        <w:rPr>
          <w:spacing w:val="-3"/>
        </w:rPr>
        <w:tab/>
      </w:r>
      <w:bookmarkStart w:id="3" w:name="_Hlk27402397"/>
      <w:r w:rsidRPr="00DE54D3">
        <w:t>En ce qui concerne les griefs de violation de l</w:t>
      </w:r>
      <w:r>
        <w:t>’</w:t>
      </w:r>
      <w:r w:rsidRPr="00DE54D3">
        <w:t xml:space="preserve">article 9 du Pacte, le Comité prend note des allégations de </w:t>
      </w:r>
      <w:r>
        <w:t>l’</w:t>
      </w:r>
      <w:r w:rsidRPr="00DE54D3">
        <w:t xml:space="preserve">auteur selon lesquelles </w:t>
      </w:r>
      <w:bookmarkEnd w:id="3"/>
      <w:proofErr w:type="spellStart"/>
      <w:r w:rsidRPr="005F338A">
        <w:t>Tewfik</w:t>
      </w:r>
      <w:proofErr w:type="spellEnd"/>
      <w:r w:rsidRPr="005F338A">
        <w:t xml:space="preserve"> </w:t>
      </w:r>
      <w:proofErr w:type="spellStart"/>
      <w:r w:rsidRPr="005F338A">
        <w:t>Djaou</w:t>
      </w:r>
      <w:proofErr w:type="spellEnd"/>
      <w:r w:rsidRPr="00DE54D3">
        <w:t xml:space="preserve"> a été arrêté arbitrairement, sans mandat, et n</w:t>
      </w:r>
      <w:r>
        <w:t>’</w:t>
      </w:r>
      <w:r w:rsidRPr="00DE54D3">
        <w:t>a été ni inculpé ni présenté devant une autorité judiciaire auprès de laquelle il aurait pu contester la légalité de sa détention. L</w:t>
      </w:r>
      <w:r>
        <w:t>’</w:t>
      </w:r>
      <w:r w:rsidRPr="00DE54D3">
        <w:t>État partie n</w:t>
      </w:r>
      <w:r>
        <w:t>’</w:t>
      </w:r>
      <w:r w:rsidRPr="00DE54D3">
        <w:t>ayant communiqué aucune information à ce sujet, le Comité considère qu</w:t>
      </w:r>
      <w:r>
        <w:t>’</w:t>
      </w:r>
      <w:r w:rsidRPr="00DE54D3">
        <w:t>il convient d</w:t>
      </w:r>
      <w:r>
        <w:t>’</w:t>
      </w:r>
      <w:r w:rsidRPr="00DE54D3">
        <w:t xml:space="preserve">accorder le crédit voulu aux </w:t>
      </w:r>
      <w:r w:rsidRPr="00DE54D3">
        <w:lastRenderedPageBreak/>
        <w:t xml:space="preserve">allégations de </w:t>
      </w:r>
      <w:r>
        <w:t>l’</w:t>
      </w:r>
      <w:r w:rsidRPr="00DE54D3">
        <w:t>auteur</w:t>
      </w:r>
      <w:r w:rsidRPr="00354FCF">
        <w:rPr>
          <w:rStyle w:val="Appelnotedebasdep"/>
        </w:rPr>
        <w:footnoteReference w:id="32"/>
      </w:r>
      <w:r w:rsidRPr="00DE54D3">
        <w:t xml:space="preserve">. Le Comité conclut </w:t>
      </w:r>
      <w:bookmarkStart w:id="4" w:name="_Hlk27403641"/>
      <w:r w:rsidRPr="00DE54D3">
        <w:t>donc à une violation de l</w:t>
      </w:r>
      <w:r>
        <w:t>’</w:t>
      </w:r>
      <w:r w:rsidRPr="00DE54D3">
        <w:t>article 9 du Pacte à l</w:t>
      </w:r>
      <w:r>
        <w:t>’</w:t>
      </w:r>
      <w:r w:rsidRPr="00DE54D3">
        <w:t xml:space="preserve">égard </w:t>
      </w:r>
      <w:bookmarkEnd w:id="4"/>
      <w:r>
        <w:t xml:space="preserve">de </w:t>
      </w:r>
      <w:proofErr w:type="spellStart"/>
      <w:r w:rsidRPr="005F338A">
        <w:t>Tewfik</w:t>
      </w:r>
      <w:proofErr w:type="spellEnd"/>
      <w:r w:rsidRPr="005F338A">
        <w:t xml:space="preserve"> </w:t>
      </w:r>
      <w:proofErr w:type="spellStart"/>
      <w:r w:rsidRPr="005F338A">
        <w:t>Djaou</w:t>
      </w:r>
      <w:proofErr w:type="spellEnd"/>
      <w:r w:rsidRPr="00354FCF">
        <w:rPr>
          <w:rStyle w:val="Appelnotedebasdep"/>
        </w:rPr>
        <w:footnoteReference w:id="33"/>
      </w:r>
      <w:r w:rsidRPr="00DE54D3">
        <w:t>.</w:t>
      </w:r>
    </w:p>
    <w:p w14:paraId="75225A0B" w14:textId="77777777" w:rsidR="00B13F56" w:rsidRPr="00DE54D3" w:rsidRDefault="00B13F56" w:rsidP="00B13F56">
      <w:pPr>
        <w:pStyle w:val="SingleTxtG"/>
      </w:pPr>
      <w:r w:rsidRPr="00DE54D3">
        <w:t>8.</w:t>
      </w:r>
      <w:r>
        <w:t>9</w:t>
      </w:r>
      <w:r w:rsidRPr="00DE54D3">
        <w:tab/>
        <w:t>Le Comité est d</w:t>
      </w:r>
      <w:r>
        <w:t>’</w:t>
      </w:r>
      <w:r w:rsidRPr="00DE54D3">
        <w:t>avis que la soustraction délibérée d</w:t>
      </w:r>
      <w:r>
        <w:t>’</w:t>
      </w:r>
      <w:r w:rsidRPr="00DE54D3">
        <w:t>une personne à la protection de la loi constitue un déni du droit de cette personne à la reconnaissance de sa personnalité juridique, en particulier si les efforts déployés par ses proches pour exercer leur droit à un recours effectif ont été systématiquement entravés</w:t>
      </w:r>
      <w:r w:rsidRPr="00354FCF">
        <w:rPr>
          <w:rStyle w:val="Appelnotedebasdep"/>
        </w:rPr>
        <w:footnoteReference w:id="34"/>
      </w:r>
      <w:r w:rsidRPr="00DE54D3">
        <w:t>. Dans le cas présent, le Comité note que l</w:t>
      </w:r>
      <w:r>
        <w:t>’</w:t>
      </w:r>
      <w:r w:rsidRPr="00DE54D3">
        <w:t>État partie n</w:t>
      </w:r>
      <w:r>
        <w:t>’</w:t>
      </w:r>
      <w:r w:rsidRPr="00DE54D3">
        <w:t xml:space="preserve">a fourni aucune explication sur le sort </w:t>
      </w:r>
      <w:r>
        <w:t xml:space="preserve">de </w:t>
      </w:r>
      <w:proofErr w:type="spellStart"/>
      <w:r w:rsidRPr="005F338A">
        <w:t>Tewfik</w:t>
      </w:r>
      <w:proofErr w:type="spellEnd"/>
      <w:r w:rsidRPr="005F338A">
        <w:t xml:space="preserve"> </w:t>
      </w:r>
      <w:proofErr w:type="spellStart"/>
      <w:r w:rsidRPr="005F338A">
        <w:t>Djaou</w:t>
      </w:r>
      <w:proofErr w:type="spellEnd"/>
      <w:r w:rsidRPr="00DE54D3">
        <w:t xml:space="preserve">, ni sur le lieu où il se trouverait, en dépit des démarches de ses proches et du fait </w:t>
      </w:r>
      <w:r>
        <w:t xml:space="preserve">que </w:t>
      </w:r>
      <w:proofErr w:type="spellStart"/>
      <w:r w:rsidRPr="005F338A">
        <w:t>Tewfik</w:t>
      </w:r>
      <w:proofErr w:type="spellEnd"/>
      <w:r w:rsidRPr="005F338A">
        <w:t xml:space="preserve"> </w:t>
      </w:r>
      <w:proofErr w:type="spellStart"/>
      <w:r w:rsidRPr="005F338A">
        <w:t>Djaou</w:t>
      </w:r>
      <w:proofErr w:type="spellEnd"/>
      <w:r w:rsidRPr="00DE54D3">
        <w:t xml:space="preserve"> était entre les mains des autorités de l</w:t>
      </w:r>
      <w:r>
        <w:t>’</w:t>
      </w:r>
      <w:r w:rsidRPr="00DE54D3">
        <w:t xml:space="preserve">État partie lors de sa dernière apparition. Le Comité conclut que la disparition forcée </w:t>
      </w:r>
      <w:r>
        <w:t xml:space="preserve">de </w:t>
      </w:r>
      <w:proofErr w:type="spellStart"/>
      <w:r w:rsidRPr="005F338A">
        <w:t>Tewfik</w:t>
      </w:r>
      <w:proofErr w:type="spellEnd"/>
      <w:r w:rsidRPr="005F338A">
        <w:t xml:space="preserve"> </w:t>
      </w:r>
      <w:proofErr w:type="spellStart"/>
      <w:r w:rsidRPr="005F338A">
        <w:t>Djaou</w:t>
      </w:r>
      <w:proofErr w:type="spellEnd"/>
      <w:r>
        <w:t xml:space="preserve"> depuis </w:t>
      </w:r>
      <w:r w:rsidRPr="00DE54D3">
        <w:t>vingt-</w:t>
      </w:r>
      <w:r>
        <w:t>cinq</w:t>
      </w:r>
      <w:r w:rsidRPr="00DE54D3">
        <w:t xml:space="preserve"> ans a soustrait celui-ci à la protection de la loi et l</w:t>
      </w:r>
      <w:r>
        <w:t>’</w:t>
      </w:r>
      <w:r w:rsidRPr="00DE54D3">
        <w:t>a privé de son droit à la reconnaissance de sa personnalité juridique, en violation de l</w:t>
      </w:r>
      <w:r>
        <w:t>’</w:t>
      </w:r>
      <w:r w:rsidRPr="00DE54D3">
        <w:t>article 16 du Pacte.</w:t>
      </w:r>
    </w:p>
    <w:p w14:paraId="41E56131" w14:textId="77777777" w:rsidR="00B13F56" w:rsidRPr="008D62A0" w:rsidRDefault="00B13F56" w:rsidP="00B13F56">
      <w:pPr>
        <w:pStyle w:val="SingleTxtG"/>
      </w:pPr>
      <w:r w:rsidRPr="00DE54D3">
        <w:t>8.</w:t>
      </w:r>
      <w:r>
        <w:t>10</w:t>
      </w:r>
      <w:r w:rsidRPr="00DE54D3">
        <w:tab/>
      </w:r>
      <w:r w:rsidRPr="008D62A0">
        <w:t>Le Comité prend acte également de l</w:t>
      </w:r>
      <w:r>
        <w:t>’</w:t>
      </w:r>
      <w:r w:rsidRPr="008D62A0">
        <w:t xml:space="preserve">angoisse et de la détresse que la disparition de </w:t>
      </w:r>
      <w:proofErr w:type="spellStart"/>
      <w:r w:rsidRPr="005F338A">
        <w:t>Tewfik</w:t>
      </w:r>
      <w:proofErr w:type="spellEnd"/>
      <w:r>
        <w:t> </w:t>
      </w:r>
      <w:proofErr w:type="spellStart"/>
      <w:r w:rsidRPr="005F338A">
        <w:t>Djaou</w:t>
      </w:r>
      <w:proofErr w:type="spellEnd"/>
      <w:r w:rsidRPr="008D62A0">
        <w:t>, depuis vingt-cinq ans, a causées à l</w:t>
      </w:r>
      <w:r>
        <w:t>’</w:t>
      </w:r>
      <w:r w:rsidRPr="008D62A0">
        <w:t>auteur et à sa famille. Il considère à cet égard que les faits dont il est saisi font apparaître une violation de l</w:t>
      </w:r>
      <w:r>
        <w:t>’</w:t>
      </w:r>
      <w:r w:rsidRPr="008D62A0">
        <w:t>article 7 du Pacte à l</w:t>
      </w:r>
      <w:r>
        <w:t>’</w:t>
      </w:r>
      <w:r w:rsidRPr="008D62A0">
        <w:t>égard de l</w:t>
      </w:r>
      <w:r>
        <w:t>’</w:t>
      </w:r>
      <w:r w:rsidRPr="008D62A0">
        <w:t>auteur</w:t>
      </w:r>
      <w:r w:rsidRPr="00354FCF">
        <w:rPr>
          <w:rStyle w:val="Appelnotedebasdep"/>
        </w:rPr>
        <w:footnoteReference w:id="35"/>
      </w:r>
      <w:r w:rsidRPr="008D62A0">
        <w:t>.</w:t>
      </w:r>
    </w:p>
    <w:p w14:paraId="17CE5EC2" w14:textId="77777777" w:rsidR="00B13F56" w:rsidRPr="00BB73CC" w:rsidRDefault="00B13F56" w:rsidP="00B13F56">
      <w:pPr>
        <w:pStyle w:val="SingleTxtG"/>
        <w:rPr>
          <w:spacing w:val="-3"/>
        </w:rPr>
      </w:pPr>
      <w:r w:rsidRPr="00C344CF">
        <w:t>8.11</w:t>
      </w:r>
      <w:r>
        <w:tab/>
      </w:r>
      <w:r w:rsidRPr="002C454D">
        <w:t>Au vu de ce qui précède, le Comité n</w:t>
      </w:r>
      <w:r>
        <w:t>’</w:t>
      </w:r>
      <w:r w:rsidRPr="002C454D">
        <w:t>examinera pas séparément les griefs tirés de la violation de l</w:t>
      </w:r>
      <w:r>
        <w:t>’</w:t>
      </w:r>
      <w:r w:rsidRPr="002C454D">
        <w:t xml:space="preserve">article </w:t>
      </w:r>
      <w:r>
        <w:t>23 (par. 1)</w:t>
      </w:r>
      <w:r w:rsidRPr="002C454D">
        <w:t xml:space="preserve"> du Pacte</w:t>
      </w:r>
      <w:r w:rsidRPr="00354FCF">
        <w:rPr>
          <w:rStyle w:val="Appelnotedebasdep"/>
        </w:rPr>
        <w:footnoteReference w:id="36"/>
      </w:r>
      <w:r w:rsidRPr="002C454D">
        <w:t>.</w:t>
      </w:r>
    </w:p>
    <w:p w14:paraId="6315F6AA" w14:textId="77777777" w:rsidR="00B13F56" w:rsidRPr="00DE54D3" w:rsidRDefault="00B13F56" w:rsidP="00B13F56">
      <w:pPr>
        <w:pStyle w:val="SingleTxtG"/>
        <w:rPr>
          <w:lang w:val="fr-FR"/>
        </w:rPr>
      </w:pPr>
      <w:r>
        <w:rPr>
          <w:lang w:val="fr-FR"/>
        </w:rPr>
        <w:t>8.12</w:t>
      </w:r>
      <w:r>
        <w:rPr>
          <w:lang w:val="fr-FR"/>
        </w:rPr>
        <w:tab/>
      </w:r>
      <w:r>
        <w:t>L’auteur</w:t>
      </w:r>
      <w:r w:rsidRPr="00BB73CC">
        <w:t xml:space="preserve"> invoque également l</w:t>
      </w:r>
      <w:r>
        <w:t>’</w:t>
      </w:r>
      <w:r w:rsidRPr="00BB73CC">
        <w:t xml:space="preserve">article 2 (par. 3), </w:t>
      </w:r>
      <w:r>
        <w:t xml:space="preserve">lu conjointement avec les articles </w:t>
      </w:r>
      <w:r w:rsidRPr="00DE54D3">
        <w:rPr>
          <w:lang w:val="fr-FR"/>
        </w:rPr>
        <w:t>6, 7, 9 et 16</w:t>
      </w:r>
      <w:r>
        <w:rPr>
          <w:lang w:val="fr-FR"/>
        </w:rPr>
        <w:t xml:space="preserve"> du Pacte</w:t>
      </w:r>
      <w:r>
        <w:t xml:space="preserve">, </w:t>
      </w:r>
      <w:r w:rsidRPr="00BB73CC">
        <w:t>qui impose aux États parties l</w:t>
      </w:r>
      <w:r>
        <w:t>’</w:t>
      </w:r>
      <w:r w:rsidRPr="00BB73CC">
        <w:t>obligation de garantir à toute personne des recours accessibles, utiles et exécutoires pour faire valoir les droits garantis par le Pacte</w:t>
      </w:r>
      <w:r w:rsidRPr="00DE54D3">
        <w:t>. Le Comité rappelle qu</w:t>
      </w:r>
      <w:r>
        <w:t>’</w:t>
      </w:r>
      <w:r w:rsidRPr="00DE54D3">
        <w:t>il attache de l</w:t>
      </w:r>
      <w:r>
        <w:t>’</w:t>
      </w:r>
      <w:r w:rsidRPr="00DE54D3">
        <w:t>importance à la mise en place, par les États parties, de mécanismes juridictionnels et administratifs appropriés pour examiner les plaintes faisant état de violations des droits</w:t>
      </w:r>
      <w:r w:rsidRPr="00DE54D3">
        <w:rPr>
          <w:lang w:val="fr-FR"/>
        </w:rPr>
        <w:t xml:space="preserve"> garantis par le Pacte</w:t>
      </w:r>
      <w:r w:rsidRPr="00354FCF">
        <w:rPr>
          <w:rStyle w:val="Appelnotedebasdep"/>
        </w:rPr>
        <w:footnoteReference w:id="37"/>
      </w:r>
      <w:r w:rsidRPr="00DE54D3">
        <w:rPr>
          <w:lang w:val="fr-FR"/>
        </w:rPr>
        <w:t>. Il rappelle son observation générale n</w:t>
      </w:r>
      <w:r w:rsidRPr="00DE54D3">
        <w:rPr>
          <w:vertAlign w:val="superscript"/>
          <w:lang w:val="fr-FR"/>
        </w:rPr>
        <w:t>o</w:t>
      </w:r>
      <w:r>
        <w:rPr>
          <w:lang w:val="fr-FR"/>
        </w:rPr>
        <w:t> </w:t>
      </w:r>
      <w:r w:rsidRPr="00DE54D3">
        <w:rPr>
          <w:lang w:val="fr-FR"/>
        </w:rPr>
        <w:t>31 (2004) sur la nature de l</w:t>
      </w:r>
      <w:r>
        <w:rPr>
          <w:lang w:val="fr-FR"/>
        </w:rPr>
        <w:t>’</w:t>
      </w:r>
      <w:r w:rsidRPr="00DE54D3">
        <w:rPr>
          <w:lang w:val="fr-FR"/>
        </w:rPr>
        <w:t>obligation juridique générale imposée aux États parties au Pacte, dans laquelle il indique notamment que le fait pour un État partie de ne pas mener d</w:t>
      </w:r>
      <w:r>
        <w:rPr>
          <w:lang w:val="fr-FR"/>
        </w:rPr>
        <w:t>’</w:t>
      </w:r>
      <w:r w:rsidRPr="00DE54D3">
        <w:rPr>
          <w:lang w:val="fr-FR"/>
        </w:rPr>
        <w:t>enquête sur des violations présumées pourrait en soi donner lieu à une violation distincte du Pacte.</w:t>
      </w:r>
    </w:p>
    <w:p w14:paraId="5CA4CED1" w14:textId="77777777" w:rsidR="00B13F56" w:rsidRDefault="00B13F56" w:rsidP="00B13F56">
      <w:pPr>
        <w:pStyle w:val="SingleTxtG"/>
        <w:rPr>
          <w:lang w:val="fr-FR"/>
        </w:rPr>
      </w:pPr>
      <w:r w:rsidRPr="00DE54D3">
        <w:rPr>
          <w:lang w:val="fr-FR"/>
        </w:rPr>
        <w:t>8.1</w:t>
      </w:r>
      <w:r>
        <w:rPr>
          <w:lang w:val="fr-FR"/>
        </w:rPr>
        <w:t>3</w:t>
      </w:r>
      <w:r w:rsidRPr="00DE54D3">
        <w:rPr>
          <w:lang w:val="fr-FR"/>
        </w:rPr>
        <w:tab/>
      </w:r>
      <w:r w:rsidRPr="00DE54D3">
        <w:t>En l</w:t>
      </w:r>
      <w:r>
        <w:t>’</w:t>
      </w:r>
      <w:r w:rsidRPr="00DE54D3">
        <w:t>espèce, l</w:t>
      </w:r>
      <w:r>
        <w:t>’</w:t>
      </w:r>
      <w:r w:rsidRPr="00DE54D3">
        <w:t>auteur</w:t>
      </w:r>
      <w:r>
        <w:t xml:space="preserve"> et l’épouse de </w:t>
      </w:r>
      <w:proofErr w:type="spellStart"/>
      <w:r w:rsidRPr="005F338A">
        <w:t>Tewfik</w:t>
      </w:r>
      <w:proofErr w:type="spellEnd"/>
      <w:r w:rsidRPr="005F338A">
        <w:t xml:space="preserve"> </w:t>
      </w:r>
      <w:proofErr w:type="spellStart"/>
      <w:r w:rsidRPr="005F338A">
        <w:t>Djaou</w:t>
      </w:r>
      <w:proofErr w:type="spellEnd"/>
      <w:r>
        <w:t xml:space="preserve"> ont </w:t>
      </w:r>
      <w:r w:rsidRPr="00DE54D3">
        <w:t xml:space="preserve">alerté à plusieurs reprises les autorités compétentes </w:t>
      </w:r>
      <w:r>
        <w:t>de</w:t>
      </w:r>
      <w:r w:rsidRPr="00DE54D3">
        <w:t xml:space="preserve"> la disparition de </w:t>
      </w:r>
      <w:r>
        <w:t>celui-ci</w:t>
      </w:r>
      <w:r w:rsidRPr="00DE54D3">
        <w:t xml:space="preserve"> sans que l</w:t>
      </w:r>
      <w:r>
        <w:t>’</w:t>
      </w:r>
      <w:r w:rsidRPr="00DE54D3">
        <w:t>État partie procède à une enquête sur cette disparition, et sans que l</w:t>
      </w:r>
      <w:r>
        <w:t>’</w:t>
      </w:r>
      <w:r w:rsidRPr="00DE54D3">
        <w:t>auteur soi</w:t>
      </w:r>
      <w:r>
        <w:t>t informé</w:t>
      </w:r>
      <w:r w:rsidRPr="00DE54D3">
        <w:t xml:space="preserve"> du sort </w:t>
      </w:r>
      <w:r>
        <w:t xml:space="preserve">de </w:t>
      </w:r>
      <w:proofErr w:type="spellStart"/>
      <w:r w:rsidRPr="005F338A">
        <w:t>Tewfik</w:t>
      </w:r>
      <w:proofErr w:type="spellEnd"/>
      <w:r w:rsidRPr="005F338A">
        <w:t xml:space="preserve"> </w:t>
      </w:r>
      <w:proofErr w:type="spellStart"/>
      <w:r w:rsidRPr="005F338A">
        <w:t>Djaou</w:t>
      </w:r>
      <w:proofErr w:type="spellEnd"/>
      <w:r w:rsidRPr="00DE54D3">
        <w:t>.</w:t>
      </w:r>
      <w:r w:rsidRPr="00DE54D3">
        <w:rPr>
          <w:lang w:val="fr-FR"/>
        </w:rPr>
        <w:t xml:space="preserve"> En outre, l</w:t>
      </w:r>
      <w:r>
        <w:rPr>
          <w:lang w:val="fr-FR"/>
        </w:rPr>
        <w:t>’</w:t>
      </w:r>
      <w:r w:rsidRPr="00DE54D3">
        <w:rPr>
          <w:lang w:val="fr-FR"/>
        </w:rPr>
        <w:t>impossibilité légale de recourir à une instance judiciaire après la promulgation de l</w:t>
      </w:r>
      <w:r>
        <w:rPr>
          <w:lang w:val="fr-FR"/>
        </w:rPr>
        <w:t>’</w:t>
      </w:r>
      <w:r w:rsidRPr="00DE54D3">
        <w:rPr>
          <w:lang w:val="fr-FR"/>
        </w:rPr>
        <w:t>ordonnance n</w:t>
      </w:r>
      <w:r w:rsidRPr="00DE54D3">
        <w:rPr>
          <w:vertAlign w:val="superscript"/>
          <w:lang w:val="fr-FR"/>
        </w:rPr>
        <w:t>o</w:t>
      </w:r>
      <w:r w:rsidRPr="00DE54D3">
        <w:rPr>
          <w:lang w:val="fr-FR"/>
        </w:rPr>
        <w:t xml:space="preserve"> 06-01 continue de priver </w:t>
      </w:r>
      <w:proofErr w:type="spellStart"/>
      <w:r w:rsidRPr="005F338A">
        <w:t>Tewfik</w:t>
      </w:r>
      <w:proofErr w:type="spellEnd"/>
      <w:r w:rsidRPr="005F338A">
        <w:t xml:space="preserve"> </w:t>
      </w:r>
      <w:proofErr w:type="spellStart"/>
      <w:r w:rsidRPr="005F338A">
        <w:t>Djaou</w:t>
      </w:r>
      <w:proofErr w:type="spellEnd"/>
      <w:r w:rsidRPr="00DE54D3">
        <w:rPr>
          <w:lang w:val="fr-FR"/>
        </w:rPr>
        <w:t xml:space="preserve"> et </w:t>
      </w:r>
      <w:r>
        <w:rPr>
          <w:lang w:val="fr-FR"/>
        </w:rPr>
        <w:t>l’</w:t>
      </w:r>
      <w:r w:rsidRPr="00DE54D3">
        <w:rPr>
          <w:lang w:val="fr-FR"/>
        </w:rPr>
        <w:t>auteur de tout accès à un recours utile, puisque cette ordonnance interdit le recours à la justice pour faire la lumière sur les crimes les plus graves comme les disparitions forcées</w:t>
      </w:r>
      <w:r w:rsidRPr="00354FCF">
        <w:rPr>
          <w:rStyle w:val="Appelnotedebasdep"/>
        </w:rPr>
        <w:footnoteReference w:id="38"/>
      </w:r>
      <w:r w:rsidRPr="00DE54D3">
        <w:rPr>
          <w:lang w:val="fr-FR"/>
        </w:rPr>
        <w:t xml:space="preserve">. </w:t>
      </w:r>
      <w:r w:rsidRPr="00DE54D3">
        <w:t xml:space="preserve">Le Comité conclut que les faits dont il est saisi font apparaître une violation </w:t>
      </w:r>
      <w:r w:rsidRPr="00DE54D3">
        <w:rPr>
          <w:lang w:val="fr-FR"/>
        </w:rPr>
        <w:t>de l</w:t>
      </w:r>
      <w:r>
        <w:rPr>
          <w:lang w:val="fr-FR"/>
        </w:rPr>
        <w:t>’</w:t>
      </w:r>
      <w:r w:rsidRPr="00DE54D3">
        <w:rPr>
          <w:lang w:val="fr-FR"/>
        </w:rPr>
        <w:t>article 2</w:t>
      </w:r>
      <w:r>
        <w:rPr>
          <w:lang w:val="fr-FR"/>
        </w:rPr>
        <w:t xml:space="preserve"> (par. 3),</w:t>
      </w:r>
      <w:r w:rsidRPr="00DE54D3">
        <w:rPr>
          <w:lang w:val="fr-FR"/>
        </w:rPr>
        <w:t xml:space="preserve"> lu conjointement avec les articles</w:t>
      </w:r>
      <w:r>
        <w:rPr>
          <w:lang w:val="fr-FR"/>
        </w:rPr>
        <w:t> </w:t>
      </w:r>
      <w:r w:rsidRPr="00DE54D3">
        <w:rPr>
          <w:lang w:val="fr-FR"/>
        </w:rPr>
        <w:t>6, 7, 9 et 16 du Pacte</w:t>
      </w:r>
      <w:r>
        <w:rPr>
          <w:lang w:val="fr-FR"/>
        </w:rPr>
        <w:t>,</w:t>
      </w:r>
      <w:r w:rsidRPr="00DE54D3">
        <w:rPr>
          <w:lang w:val="fr-FR"/>
        </w:rPr>
        <w:t xml:space="preserve"> à l</w:t>
      </w:r>
      <w:r>
        <w:rPr>
          <w:lang w:val="fr-FR"/>
        </w:rPr>
        <w:t>’</w:t>
      </w:r>
      <w:r w:rsidRPr="00DE54D3">
        <w:rPr>
          <w:lang w:val="fr-FR"/>
        </w:rPr>
        <w:t xml:space="preserve">égard </w:t>
      </w:r>
      <w:r>
        <w:rPr>
          <w:lang w:val="fr-FR"/>
        </w:rPr>
        <w:t xml:space="preserve">de </w:t>
      </w:r>
      <w:proofErr w:type="spellStart"/>
      <w:r w:rsidRPr="005F338A">
        <w:t>Tewfik</w:t>
      </w:r>
      <w:proofErr w:type="spellEnd"/>
      <w:r w:rsidRPr="005F338A">
        <w:t xml:space="preserve"> </w:t>
      </w:r>
      <w:proofErr w:type="spellStart"/>
      <w:r w:rsidRPr="005F338A">
        <w:t>Djaou</w:t>
      </w:r>
      <w:proofErr w:type="spellEnd"/>
      <w:r w:rsidRPr="00DE54D3">
        <w:rPr>
          <w:lang w:val="fr-FR"/>
        </w:rPr>
        <w:t>, et de l</w:t>
      </w:r>
      <w:r>
        <w:rPr>
          <w:lang w:val="fr-FR"/>
        </w:rPr>
        <w:t>’</w:t>
      </w:r>
      <w:r w:rsidRPr="00DE54D3">
        <w:rPr>
          <w:lang w:val="fr-FR"/>
        </w:rPr>
        <w:t>article 2</w:t>
      </w:r>
      <w:r>
        <w:rPr>
          <w:lang w:val="fr-FR"/>
        </w:rPr>
        <w:t xml:space="preserve"> (par. 3),</w:t>
      </w:r>
      <w:r w:rsidRPr="00DE54D3">
        <w:rPr>
          <w:lang w:val="fr-FR"/>
        </w:rPr>
        <w:t xml:space="preserve"> lu conjointement avec l</w:t>
      </w:r>
      <w:r>
        <w:rPr>
          <w:lang w:val="fr-FR"/>
        </w:rPr>
        <w:t>’</w:t>
      </w:r>
      <w:r w:rsidRPr="00DE54D3">
        <w:rPr>
          <w:lang w:val="fr-FR"/>
        </w:rPr>
        <w:t>article 7</w:t>
      </w:r>
      <w:r>
        <w:rPr>
          <w:lang w:val="fr-FR"/>
        </w:rPr>
        <w:t xml:space="preserve"> </w:t>
      </w:r>
      <w:r w:rsidRPr="00DE54D3">
        <w:rPr>
          <w:lang w:val="fr-FR"/>
        </w:rPr>
        <w:t>du Pacte</w:t>
      </w:r>
      <w:r>
        <w:rPr>
          <w:lang w:val="fr-FR"/>
        </w:rPr>
        <w:t>,</w:t>
      </w:r>
      <w:r w:rsidRPr="00DE54D3">
        <w:rPr>
          <w:lang w:val="fr-FR"/>
        </w:rPr>
        <w:t xml:space="preserve"> à l</w:t>
      </w:r>
      <w:r>
        <w:rPr>
          <w:lang w:val="fr-FR"/>
        </w:rPr>
        <w:t>’</w:t>
      </w:r>
      <w:r w:rsidRPr="00DE54D3">
        <w:rPr>
          <w:lang w:val="fr-FR"/>
        </w:rPr>
        <w:t xml:space="preserve">égard de </w:t>
      </w:r>
      <w:r>
        <w:rPr>
          <w:lang w:val="fr-FR"/>
        </w:rPr>
        <w:t>l’</w:t>
      </w:r>
      <w:r w:rsidRPr="00DE54D3">
        <w:rPr>
          <w:lang w:val="fr-FR"/>
        </w:rPr>
        <w:t>auteur</w:t>
      </w:r>
      <w:r w:rsidRPr="00354FCF">
        <w:rPr>
          <w:rStyle w:val="Appelnotedebasdep"/>
        </w:rPr>
        <w:footnoteReference w:id="39"/>
      </w:r>
      <w:r w:rsidRPr="00DE54D3">
        <w:rPr>
          <w:lang w:val="fr-FR"/>
        </w:rPr>
        <w:t>.</w:t>
      </w:r>
    </w:p>
    <w:p w14:paraId="399F19D1" w14:textId="77777777" w:rsidR="00B13F56" w:rsidRPr="00DE54D3" w:rsidRDefault="00B13F56" w:rsidP="00B13F56">
      <w:pPr>
        <w:pStyle w:val="SingleTxtG"/>
        <w:rPr>
          <w:lang w:val="fr-FR"/>
        </w:rPr>
      </w:pPr>
      <w:r w:rsidRPr="00DE54D3">
        <w:rPr>
          <w:lang w:val="fr-FR"/>
        </w:rPr>
        <w:t>9.</w:t>
      </w:r>
      <w:r w:rsidRPr="00DE54D3">
        <w:rPr>
          <w:lang w:val="fr-FR"/>
        </w:rPr>
        <w:tab/>
        <w:t>Le Comité, agissant en vertu de l</w:t>
      </w:r>
      <w:r>
        <w:rPr>
          <w:lang w:val="fr-FR"/>
        </w:rPr>
        <w:t>’</w:t>
      </w:r>
      <w:r w:rsidRPr="00DE54D3">
        <w:rPr>
          <w:lang w:val="fr-FR"/>
        </w:rPr>
        <w:t>article 5</w:t>
      </w:r>
      <w:r>
        <w:rPr>
          <w:lang w:val="fr-FR"/>
        </w:rPr>
        <w:t xml:space="preserve"> (par. 4)</w:t>
      </w:r>
      <w:r w:rsidRPr="00DE54D3">
        <w:rPr>
          <w:lang w:val="fr-FR"/>
        </w:rPr>
        <w:t xml:space="preserve"> du Protocole facultatif, constate que les faits dont il est saisi font apparaître des violations par l</w:t>
      </w:r>
      <w:r>
        <w:rPr>
          <w:lang w:val="fr-FR"/>
        </w:rPr>
        <w:t>’</w:t>
      </w:r>
      <w:r w:rsidRPr="00DE54D3">
        <w:rPr>
          <w:lang w:val="fr-FR"/>
        </w:rPr>
        <w:t xml:space="preserve">État partie des articles 6, 7, </w:t>
      </w:r>
      <w:r w:rsidRPr="007775A6">
        <w:rPr>
          <w:lang w:val="fr-FR"/>
        </w:rPr>
        <w:t>9</w:t>
      </w:r>
      <w:r w:rsidRPr="00DE54D3">
        <w:rPr>
          <w:lang w:val="fr-FR"/>
        </w:rPr>
        <w:t xml:space="preserve"> </w:t>
      </w:r>
      <w:r w:rsidRPr="007775A6">
        <w:rPr>
          <w:lang w:val="fr-FR"/>
        </w:rPr>
        <w:t>et 16</w:t>
      </w:r>
      <w:r w:rsidRPr="00DE54D3">
        <w:rPr>
          <w:lang w:val="fr-FR"/>
        </w:rPr>
        <w:t xml:space="preserve"> du Pacte, lu</w:t>
      </w:r>
      <w:r>
        <w:rPr>
          <w:lang w:val="fr-FR"/>
        </w:rPr>
        <w:t>s</w:t>
      </w:r>
      <w:r w:rsidRPr="00DE54D3">
        <w:rPr>
          <w:lang w:val="fr-FR"/>
        </w:rPr>
        <w:t xml:space="preserve"> </w:t>
      </w:r>
      <w:r>
        <w:rPr>
          <w:lang w:val="fr-FR"/>
        </w:rPr>
        <w:t xml:space="preserve">seuls et </w:t>
      </w:r>
      <w:r w:rsidRPr="00DE54D3">
        <w:rPr>
          <w:lang w:val="fr-FR"/>
        </w:rPr>
        <w:t>conjointement avec l</w:t>
      </w:r>
      <w:r>
        <w:rPr>
          <w:lang w:val="fr-FR"/>
        </w:rPr>
        <w:t>’</w:t>
      </w:r>
      <w:r w:rsidRPr="00DE54D3">
        <w:rPr>
          <w:lang w:val="fr-FR"/>
        </w:rPr>
        <w:t>article</w:t>
      </w:r>
      <w:r>
        <w:rPr>
          <w:lang w:val="fr-FR"/>
        </w:rPr>
        <w:t> </w:t>
      </w:r>
      <w:r w:rsidRPr="00DE54D3">
        <w:rPr>
          <w:lang w:val="fr-FR"/>
        </w:rPr>
        <w:t>2</w:t>
      </w:r>
      <w:r>
        <w:rPr>
          <w:lang w:val="fr-FR"/>
        </w:rPr>
        <w:t xml:space="preserve"> (par. 3), </w:t>
      </w:r>
      <w:r w:rsidRPr="00DE54D3">
        <w:rPr>
          <w:lang w:val="fr-FR"/>
        </w:rPr>
        <w:t>à l</w:t>
      </w:r>
      <w:r>
        <w:rPr>
          <w:lang w:val="fr-FR"/>
        </w:rPr>
        <w:t>’</w:t>
      </w:r>
      <w:r w:rsidRPr="00DE54D3">
        <w:rPr>
          <w:lang w:val="fr-FR"/>
        </w:rPr>
        <w:t xml:space="preserve">égard </w:t>
      </w:r>
      <w:r>
        <w:rPr>
          <w:lang w:val="fr-FR"/>
        </w:rPr>
        <w:t xml:space="preserve">de </w:t>
      </w:r>
      <w:proofErr w:type="spellStart"/>
      <w:r w:rsidRPr="005F338A">
        <w:t>Tewfik</w:t>
      </w:r>
      <w:proofErr w:type="spellEnd"/>
      <w:r>
        <w:t> </w:t>
      </w:r>
      <w:proofErr w:type="spellStart"/>
      <w:r w:rsidRPr="005F338A">
        <w:t>Djaou</w:t>
      </w:r>
      <w:proofErr w:type="spellEnd"/>
      <w:r w:rsidRPr="00DE54D3">
        <w:rPr>
          <w:lang w:val="fr-FR"/>
        </w:rPr>
        <w:t>. Il constate en outre une violation par l</w:t>
      </w:r>
      <w:r>
        <w:rPr>
          <w:lang w:val="fr-FR"/>
        </w:rPr>
        <w:t>’</w:t>
      </w:r>
      <w:r w:rsidRPr="00DE54D3">
        <w:rPr>
          <w:lang w:val="fr-FR"/>
        </w:rPr>
        <w:t>État partie de l</w:t>
      </w:r>
      <w:r>
        <w:rPr>
          <w:lang w:val="fr-FR"/>
        </w:rPr>
        <w:t>’</w:t>
      </w:r>
      <w:r w:rsidRPr="00DE54D3">
        <w:rPr>
          <w:lang w:val="fr-FR"/>
        </w:rPr>
        <w:t>article 7</w:t>
      </w:r>
      <w:r>
        <w:rPr>
          <w:lang w:val="fr-FR"/>
        </w:rPr>
        <w:t xml:space="preserve"> du Pacte,</w:t>
      </w:r>
      <w:r w:rsidRPr="00DE54D3">
        <w:rPr>
          <w:lang w:val="fr-FR"/>
        </w:rPr>
        <w:t xml:space="preserve"> lu seul et conjointement avec l</w:t>
      </w:r>
      <w:r>
        <w:rPr>
          <w:lang w:val="fr-FR"/>
        </w:rPr>
        <w:t>’</w:t>
      </w:r>
      <w:r w:rsidRPr="00DE54D3">
        <w:rPr>
          <w:lang w:val="fr-FR"/>
        </w:rPr>
        <w:t>article 2</w:t>
      </w:r>
      <w:r>
        <w:rPr>
          <w:lang w:val="fr-FR"/>
        </w:rPr>
        <w:t xml:space="preserve"> (par. 3),</w:t>
      </w:r>
      <w:r w:rsidRPr="00DE54D3">
        <w:rPr>
          <w:lang w:val="fr-FR"/>
        </w:rPr>
        <w:t xml:space="preserve"> à l</w:t>
      </w:r>
      <w:r>
        <w:rPr>
          <w:lang w:val="fr-FR"/>
        </w:rPr>
        <w:t>’</w:t>
      </w:r>
      <w:r w:rsidRPr="00DE54D3">
        <w:rPr>
          <w:lang w:val="fr-FR"/>
        </w:rPr>
        <w:t xml:space="preserve">égard de </w:t>
      </w:r>
      <w:r>
        <w:rPr>
          <w:lang w:val="fr-FR"/>
        </w:rPr>
        <w:t>l’</w:t>
      </w:r>
      <w:r w:rsidRPr="00DE54D3">
        <w:rPr>
          <w:lang w:val="fr-FR"/>
        </w:rPr>
        <w:t>auteur.</w:t>
      </w:r>
    </w:p>
    <w:p w14:paraId="27AE445D" w14:textId="77777777" w:rsidR="00B13F56" w:rsidRPr="00DE54D3" w:rsidRDefault="00B13F56" w:rsidP="00B13F56">
      <w:pPr>
        <w:pStyle w:val="SingleTxtG"/>
      </w:pPr>
      <w:r w:rsidRPr="00DE54D3">
        <w:rPr>
          <w:lang w:val="fr-FR"/>
        </w:rPr>
        <w:lastRenderedPageBreak/>
        <w:t>10.</w:t>
      </w:r>
      <w:r w:rsidRPr="00DE54D3">
        <w:rPr>
          <w:lang w:val="fr-FR"/>
        </w:rPr>
        <w:tab/>
      </w:r>
      <w:r w:rsidRPr="00DE54D3">
        <w:t xml:space="preserve">Conformément </w:t>
      </w:r>
      <w:r>
        <w:t>à</w:t>
      </w:r>
      <w:r w:rsidRPr="00DE54D3">
        <w:t xml:space="preserve"> l</w:t>
      </w:r>
      <w:r>
        <w:t>’</w:t>
      </w:r>
      <w:r w:rsidRPr="00DE54D3">
        <w:t>article 2</w:t>
      </w:r>
      <w:r>
        <w:t xml:space="preserve"> (par. 3 a))</w:t>
      </w:r>
      <w:r w:rsidRPr="00DE54D3">
        <w:t xml:space="preserve"> du Pacte, l</w:t>
      </w:r>
      <w:r>
        <w:t>’</w:t>
      </w:r>
      <w:r w:rsidRPr="00DE54D3">
        <w:t>État partie est tenu d</w:t>
      </w:r>
      <w:r>
        <w:t>’</w:t>
      </w:r>
      <w:r w:rsidRPr="00DE54D3">
        <w:t xml:space="preserve">assurer </w:t>
      </w:r>
      <w:r>
        <w:t>à l’</w:t>
      </w:r>
      <w:r w:rsidRPr="00DE54D3">
        <w:t>auteur un recours utile. Il a l</w:t>
      </w:r>
      <w:r>
        <w:t>’</w:t>
      </w:r>
      <w:r w:rsidRPr="00DE54D3">
        <w:t>obligation d</w:t>
      </w:r>
      <w:r>
        <w:t>’</w:t>
      </w:r>
      <w:r w:rsidRPr="00DE54D3">
        <w:t>accorder une réparation intégrale aux personnes dont les droits reconnus par le Pacte ont été violés. En l</w:t>
      </w:r>
      <w:r>
        <w:t>’</w:t>
      </w:r>
      <w:r w:rsidRPr="00DE54D3">
        <w:t>espèce, l</w:t>
      </w:r>
      <w:r>
        <w:t>’</w:t>
      </w:r>
      <w:r w:rsidRPr="00DE54D3">
        <w:t xml:space="preserve">État partie est tenu : a) </w:t>
      </w:r>
      <w:r>
        <w:t xml:space="preserve">de mener </w:t>
      </w:r>
      <w:r w:rsidRPr="00DE54D3">
        <w:t xml:space="preserve">une enquête rapide, efficace, exhaustive, indépendante, impartiale et transparente sur la disparition </w:t>
      </w:r>
      <w:r>
        <w:t xml:space="preserve">de </w:t>
      </w:r>
      <w:proofErr w:type="spellStart"/>
      <w:r w:rsidRPr="005F338A">
        <w:t>Tewfik</w:t>
      </w:r>
      <w:proofErr w:type="spellEnd"/>
      <w:r w:rsidRPr="005F338A">
        <w:t xml:space="preserve"> </w:t>
      </w:r>
      <w:proofErr w:type="spellStart"/>
      <w:r w:rsidRPr="005F338A">
        <w:t>Djaou</w:t>
      </w:r>
      <w:proofErr w:type="spellEnd"/>
      <w:r w:rsidRPr="00DE54D3">
        <w:t xml:space="preserve"> </w:t>
      </w:r>
      <w:r w:rsidRPr="00DE54D3">
        <w:rPr>
          <w:lang w:val="fr-FR"/>
        </w:rPr>
        <w:t xml:space="preserve">et de fournir </w:t>
      </w:r>
      <w:r>
        <w:rPr>
          <w:lang w:val="fr-FR"/>
        </w:rPr>
        <w:t>à l’</w:t>
      </w:r>
      <w:r w:rsidRPr="00DE54D3">
        <w:rPr>
          <w:lang w:val="fr-FR"/>
        </w:rPr>
        <w:t xml:space="preserve">auteur des informations détaillées quant aux résultats de cette enquête ; b) de libérer immédiatement </w:t>
      </w:r>
      <w:proofErr w:type="spellStart"/>
      <w:r w:rsidRPr="005F338A">
        <w:t>Tewfik</w:t>
      </w:r>
      <w:proofErr w:type="spellEnd"/>
      <w:r w:rsidRPr="005F338A">
        <w:t xml:space="preserve"> </w:t>
      </w:r>
      <w:proofErr w:type="spellStart"/>
      <w:r w:rsidRPr="005F338A">
        <w:t>Djaou</w:t>
      </w:r>
      <w:proofErr w:type="spellEnd"/>
      <w:r w:rsidRPr="00DE54D3">
        <w:rPr>
          <w:lang w:val="fr-FR"/>
        </w:rPr>
        <w:t xml:space="preserve"> s</w:t>
      </w:r>
      <w:r>
        <w:rPr>
          <w:lang w:val="fr-FR"/>
        </w:rPr>
        <w:t>’</w:t>
      </w:r>
      <w:r w:rsidRPr="00DE54D3">
        <w:rPr>
          <w:lang w:val="fr-FR"/>
        </w:rPr>
        <w:t>il est toujours détenu au secret ; c) dans l</w:t>
      </w:r>
      <w:r>
        <w:rPr>
          <w:lang w:val="fr-FR"/>
        </w:rPr>
        <w:t>’</w:t>
      </w:r>
      <w:r w:rsidRPr="00DE54D3">
        <w:rPr>
          <w:lang w:val="fr-FR"/>
        </w:rPr>
        <w:t xml:space="preserve">éventualité où </w:t>
      </w:r>
      <w:proofErr w:type="spellStart"/>
      <w:r w:rsidRPr="005F338A">
        <w:t>Tewfik</w:t>
      </w:r>
      <w:proofErr w:type="spellEnd"/>
      <w:r w:rsidRPr="005F338A">
        <w:t xml:space="preserve"> </w:t>
      </w:r>
      <w:proofErr w:type="spellStart"/>
      <w:r w:rsidRPr="005F338A">
        <w:t>Djaou</w:t>
      </w:r>
      <w:proofErr w:type="spellEnd"/>
      <w:r w:rsidRPr="00DE54D3">
        <w:rPr>
          <w:lang w:val="fr-FR"/>
        </w:rPr>
        <w:t xml:space="preserve"> serait décédé, de restituer sa dépouille à sa famille </w:t>
      </w:r>
      <w:r w:rsidRPr="00DE54D3">
        <w:t>dans le respect de la dignité, conformément aux normes et aux traditions culturelles des victimes</w:t>
      </w:r>
      <w:r w:rsidRPr="00DE54D3">
        <w:rPr>
          <w:lang w:val="fr-FR"/>
        </w:rPr>
        <w:t> ;</w:t>
      </w:r>
      <w:r w:rsidRPr="00DE54D3">
        <w:t xml:space="preserve"> d) de poursuivre, de juger et de punir les responsables des violations commises</w:t>
      </w:r>
      <w:r>
        <w:t xml:space="preserve"> avec des sanctions proportionnées à la gravité des violations ;</w:t>
      </w:r>
      <w:r w:rsidRPr="00DE54D3">
        <w:t xml:space="preserve"> </w:t>
      </w:r>
      <w:r>
        <w:t xml:space="preserve">et </w:t>
      </w:r>
      <w:r w:rsidRPr="00DE54D3">
        <w:t xml:space="preserve">e) de fournir </w:t>
      </w:r>
      <w:r>
        <w:t>à l’</w:t>
      </w:r>
      <w:r w:rsidRPr="00DE54D3">
        <w:t xml:space="preserve">auteur </w:t>
      </w:r>
      <w:r w:rsidRPr="00DE54D3">
        <w:rPr>
          <w:lang w:val="fr-FR"/>
        </w:rPr>
        <w:t>ainsi qu</w:t>
      </w:r>
      <w:r>
        <w:rPr>
          <w:lang w:val="fr-FR"/>
        </w:rPr>
        <w:t>’</w:t>
      </w:r>
      <w:r w:rsidRPr="00DE54D3">
        <w:rPr>
          <w:lang w:val="fr-FR"/>
        </w:rPr>
        <w:t xml:space="preserve">à </w:t>
      </w:r>
      <w:proofErr w:type="spellStart"/>
      <w:r w:rsidRPr="005F338A">
        <w:t>Tewfik</w:t>
      </w:r>
      <w:proofErr w:type="spellEnd"/>
      <w:r w:rsidRPr="005F338A">
        <w:t xml:space="preserve"> </w:t>
      </w:r>
      <w:proofErr w:type="spellStart"/>
      <w:r w:rsidRPr="005F338A">
        <w:t>Djaou</w:t>
      </w:r>
      <w:proofErr w:type="spellEnd"/>
      <w:r w:rsidRPr="00DE54D3">
        <w:rPr>
          <w:lang w:val="fr-FR"/>
        </w:rPr>
        <w:t>, s</w:t>
      </w:r>
      <w:r>
        <w:rPr>
          <w:lang w:val="fr-FR"/>
        </w:rPr>
        <w:t>’</w:t>
      </w:r>
      <w:r w:rsidRPr="00DE54D3">
        <w:rPr>
          <w:lang w:val="fr-FR"/>
        </w:rPr>
        <w:t>il est en vie,</w:t>
      </w:r>
      <w:r w:rsidRPr="00DE54D3">
        <w:t xml:space="preserve"> </w:t>
      </w:r>
      <w:r w:rsidRPr="00D33020">
        <w:t>ou à ses ayants droit</w:t>
      </w:r>
      <w:r>
        <w:t>,</w:t>
      </w:r>
      <w:r w:rsidRPr="00D33020">
        <w:t xml:space="preserve"> </w:t>
      </w:r>
      <w:r w:rsidRPr="00DE54D3">
        <w:t>une indemnité adéquate.</w:t>
      </w:r>
      <w:r w:rsidRPr="00DE54D3">
        <w:rPr>
          <w:lang w:val="fr-FR"/>
        </w:rPr>
        <w:t xml:space="preserve"> Il est en outre tenu de prendre des mesures pour empêcher que des violations analogues se reproduisent à l</w:t>
      </w:r>
      <w:r>
        <w:rPr>
          <w:lang w:val="fr-FR"/>
        </w:rPr>
        <w:t>’</w:t>
      </w:r>
      <w:r w:rsidRPr="00DE54D3">
        <w:rPr>
          <w:lang w:val="fr-FR"/>
        </w:rPr>
        <w:t xml:space="preserve">avenir. </w:t>
      </w:r>
      <w:r>
        <w:rPr>
          <w:lang w:val="fr-FR"/>
        </w:rPr>
        <w:t>L’</w:t>
      </w:r>
      <w:r w:rsidRPr="00DE54D3">
        <w:rPr>
          <w:lang w:val="fr-FR"/>
        </w:rPr>
        <w:t xml:space="preserve">État partie </w:t>
      </w:r>
      <w:r>
        <w:rPr>
          <w:lang w:val="fr-FR"/>
        </w:rPr>
        <w:t>est tenu de</w:t>
      </w:r>
      <w:r w:rsidRPr="00DE54D3">
        <w:rPr>
          <w:lang w:val="fr-FR"/>
        </w:rPr>
        <w:t xml:space="preserve"> veiller à ne pas entraver le droit à un recours utile pour les victimes de </w:t>
      </w:r>
      <w:r>
        <w:rPr>
          <w:lang w:val="fr-FR"/>
        </w:rPr>
        <w:t>violations graves</w:t>
      </w:r>
      <w:r w:rsidRPr="00DE54D3">
        <w:rPr>
          <w:lang w:val="fr-FR"/>
        </w:rPr>
        <w:t xml:space="preserve"> tel</w:t>
      </w:r>
      <w:r>
        <w:rPr>
          <w:lang w:val="fr-FR"/>
        </w:rPr>
        <w:t>le</w:t>
      </w:r>
      <w:r w:rsidRPr="00DE54D3">
        <w:rPr>
          <w:lang w:val="fr-FR"/>
        </w:rPr>
        <w:t xml:space="preserve">s que la torture, les exécutions extrajudiciaires et les disparitions forcées. </w:t>
      </w:r>
      <w:r w:rsidRPr="00DE54D3">
        <w:t>À cet effet, l</w:t>
      </w:r>
      <w:r>
        <w:t>’</w:t>
      </w:r>
      <w:r w:rsidRPr="00DE54D3">
        <w:t>État partie devrait revoir sa législation en fonction de l</w:t>
      </w:r>
      <w:r>
        <w:t>’</w:t>
      </w:r>
      <w:r w:rsidRPr="00DE54D3">
        <w:t xml:space="preserve">obligation qui lui est faite </w:t>
      </w:r>
      <w:r>
        <w:t>à</w:t>
      </w:r>
      <w:r w:rsidRPr="00DE54D3">
        <w:t xml:space="preserve"> l</w:t>
      </w:r>
      <w:r>
        <w:t>’</w:t>
      </w:r>
      <w:r w:rsidRPr="00DE54D3">
        <w:t>article</w:t>
      </w:r>
      <w:r>
        <w:t> </w:t>
      </w:r>
      <w:r w:rsidRPr="00DE54D3">
        <w:t>2</w:t>
      </w:r>
      <w:r>
        <w:t xml:space="preserve"> (par. 2)</w:t>
      </w:r>
      <w:r w:rsidRPr="00DE54D3">
        <w:t xml:space="preserve"> du Pacte, et en particulier abroger les dispositions de l</w:t>
      </w:r>
      <w:r>
        <w:t>’</w:t>
      </w:r>
      <w:r w:rsidRPr="00DE54D3">
        <w:t xml:space="preserve">ordonnance </w:t>
      </w:r>
      <w:r>
        <w:t>n</w:t>
      </w:r>
      <w:r w:rsidRPr="00872387">
        <w:rPr>
          <w:vertAlign w:val="superscript"/>
        </w:rPr>
        <w:t>o</w:t>
      </w:r>
      <w:r>
        <w:t xml:space="preserve"> 06-01 </w:t>
      </w:r>
      <w:r w:rsidRPr="00DE54D3">
        <w:t>qui sont incompatibles avec le Pacte, afin que les droits consacrés par le Pacte puissent être pleinement exercés dans l</w:t>
      </w:r>
      <w:r>
        <w:t>’</w:t>
      </w:r>
      <w:r w:rsidRPr="00DE54D3">
        <w:t>État partie.</w:t>
      </w:r>
    </w:p>
    <w:p w14:paraId="63816AAA" w14:textId="77777777" w:rsidR="00B13F56" w:rsidRPr="0088574B" w:rsidRDefault="00B13F56" w:rsidP="00B13F56">
      <w:pPr>
        <w:pStyle w:val="SingleTxtG"/>
      </w:pPr>
      <w:r w:rsidRPr="00DE54D3">
        <w:rPr>
          <w:lang w:val="fr-FR"/>
        </w:rPr>
        <w:t>11.</w:t>
      </w:r>
      <w:r w:rsidRPr="00DE54D3">
        <w:rPr>
          <w:lang w:val="fr-FR"/>
        </w:rPr>
        <w:tab/>
        <w:t>Étant donné qu</w:t>
      </w:r>
      <w:r>
        <w:rPr>
          <w:lang w:val="fr-FR"/>
        </w:rPr>
        <w:t>’</w:t>
      </w:r>
      <w:r w:rsidRPr="00DE54D3">
        <w:rPr>
          <w:lang w:val="fr-FR"/>
        </w:rPr>
        <w:t>en adhérant au Protocole facultatif, l</w:t>
      </w:r>
      <w:r>
        <w:rPr>
          <w:lang w:val="fr-FR"/>
        </w:rPr>
        <w:t>’</w:t>
      </w:r>
      <w:r w:rsidRPr="00DE54D3">
        <w:rPr>
          <w:lang w:val="fr-FR"/>
        </w:rPr>
        <w:t>État partie a reconnu que le Comité a compétence pour déterminer s</w:t>
      </w:r>
      <w:r>
        <w:rPr>
          <w:lang w:val="fr-FR"/>
        </w:rPr>
        <w:t>’</w:t>
      </w:r>
      <w:r w:rsidRPr="00DE54D3">
        <w:rPr>
          <w:lang w:val="fr-FR"/>
        </w:rPr>
        <w:t>il y a ou non violation du Pacte et que, conformément à l</w:t>
      </w:r>
      <w:r>
        <w:rPr>
          <w:lang w:val="fr-FR"/>
        </w:rPr>
        <w:t>’</w:t>
      </w:r>
      <w:r w:rsidRPr="00DE54D3">
        <w:rPr>
          <w:lang w:val="fr-FR"/>
        </w:rPr>
        <w:t>article 2 du Pacte, il s</w:t>
      </w:r>
      <w:r>
        <w:rPr>
          <w:lang w:val="fr-FR"/>
        </w:rPr>
        <w:t>’</w:t>
      </w:r>
      <w:r w:rsidRPr="00DE54D3">
        <w:rPr>
          <w:lang w:val="fr-FR"/>
        </w:rPr>
        <w:t>est engagé à garantir à tous les individus se trouvant sur son territoire et relevant de sa juridiction les droits reconnus dans le Pacte, et à assurer un recours utile et exécutoire lorsqu</w:t>
      </w:r>
      <w:r>
        <w:rPr>
          <w:lang w:val="fr-FR"/>
        </w:rPr>
        <w:t>’</w:t>
      </w:r>
      <w:r w:rsidRPr="00DE54D3">
        <w:rPr>
          <w:lang w:val="fr-FR"/>
        </w:rPr>
        <w:t>une violation a été établie, le Comité souhaite recevoir de l</w:t>
      </w:r>
      <w:r>
        <w:rPr>
          <w:lang w:val="fr-FR"/>
        </w:rPr>
        <w:t>’</w:t>
      </w:r>
      <w:r w:rsidRPr="00DE54D3">
        <w:rPr>
          <w:lang w:val="fr-FR"/>
        </w:rPr>
        <w:t>État partie, dans un délai de cent quatre-vingts jours, des renseignements sur les mesures prises pour donner effet aux présentes constatations. L</w:t>
      </w:r>
      <w:r>
        <w:rPr>
          <w:lang w:val="fr-FR"/>
        </w:rPr>
        <w:t>’</w:t>
      </w:r>
      <w:r w:rsidRPr="00DE54D3">
        <w:rPr>
          <w:lang w:val="fr-FR"/>
        </w:rPr>
        <w:t>État partie est invité en outre à rendre celles-ci publiques et à les diffuser largement dans ses langues officielles.</w:t>
      </w:r>
    </w:p>
    <w:p w14:paraId="04ECD693" w14:textId="216EA1E6" w:rsidR="00B13F56" w:rsidRPr="00B13F56" w:rsidRDefault="00B13F56" w:rsidP="00B13F56">
      <w:pPr>
        <w:pStyle w:val="SingleTxtG"/>
        <w:spacing w:before="240" w:after="0"/>
        <w:jc w:val="center"/>
        <w:rPr>
          <w:u w:val="single"/>
        </w:rPr>
      </w:pPr>
      <w:r>
        <w:rPr>
          <w:u w:val="single"/>
          <w:lang w:val="fr-FR"/>
        </w:rPr>
        <w:tab/>
      </w:r>
      <w:r>
        <w:rPr>
          <w:u w:val="single"/>
          <w:lang w:val="fr-FR"/>
        </w:rPr>
        <w:tab/>
      </w:r>
      <w:r>
        <w:rPr>
          <w:u w:val="single"/>
          <w:lang w:val="fr-FR"/>
        </w:rPr>
        <w:tab/>
      </w:r>
      <w:r>
        <w:rPr>
          <w:u w:val="single"/>
          <w:lang w:val="fr-FR"/>
        </w:rPr>
        <w:tab/>
      </w:r>
    </w:p>
    <w:sectPr w:rsidR="00B13F56" w:rsidRPr="00B13F56" w:rsidSect="00CE4D0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7BE5" w14:textId="77777777" w:rsidR="00D837D0" w:rsidRDefault="00D837D0" w:rsidP="00F95C08">
      <w:pPr>
        <w:spacing w:line="240" w:lineRule="auto"/>
      </w:pPr>
    </w:p>
  </w:endnote>
  <w:endnote w:type="continuationSeparator" w:id="0">
    <w:p w14:paraId="1E30D64E" w14:textId="77777777" w:rsidR="00D837D0" w:rsidRPr="00AC3823" w:rsidRDefault="00D837D0" w:rsidP="00AC3823">
      <w:pPr>
        <w:pStyle w:val="Pieddepage"/>
      </w:pPr>
    </w:p>
  </w:endnote>
  <w:endnote w:type="continuationNotice" w:id="1">
    <w:p w14:paraId="01827289" w14:textId="77777777" w:rsidR="00D837D0" w:rsidRDefault="00D837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8117" w14:textId="1E9BBB9B" w:rsidR="00CE4D07" w:rsidRPr="00CE4D07" w:rsidRDefault="00CE4D07" w:rsidP="00CE4D07">
    <w:pPr>
      <w:pStyle w:val="Pieddepage"/>
      <w:tabs>
        <w:tab w:val="right" w:pos="9638"/>
      </w:tabs>
    </w:pPr>
    <w:r w:rsidRPr="00CE4D07">
      <w:rPr>
        <w:b/>
        <w:sz w:val="18"/>
      </w:rPr>
      <w:fldChar w:fldCharType="begin"/>
    </w:r>
    <w:r w:rsidRPr="00CE4D07">
      <w:rPr>
        <w:b/>
        <w:sz w:val="18"/>
      </w:rPr>
      <w:instrText xml:space="preserve"> PAGE  \* MERGEFORMAT </w:instrText>
    </w:r>
    <w:r w:rsidRPr="00CE4D07">
      <w:rPr>
        <w:b/>
        <w:sz w:val="18"/>
      </w:rPr>
      <w:fldChar w:fldCharType="separate"/>
    </w:r>
    <w:r w:rsidRPr="00CE4D07">
      <w:rPr>
        <w:b/>
        <w:noProof/>
        <w:sz w:val="18"/>
      </w:rPr>
      <w:t>2</w:t>
    </w:r>
    <w:r w:rsidRPr="00CE4D07">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F6CE" w14:textId="5778EE2B" w:rsidR="00CE4D07" w:rsidRPr="00CE4D07" w:rsidRDefault="00CE4D07" w:rsidP="00CE4D07">
    <w:pPr>
      <w:pStyle w:val="Pieddepage"/>
      <w:tabs>
        <w:tab w:val="right" w:pos="9638"/>
      </w:tabs>
      <w:rPr>
        <w:b/>
        <w:sz w:val="18"/>
      </w:rPr>
    </w:pPr>
    <w:r>
      <w:tab/>
    </w:r>
    <w:r w:rsidRPr="00CE4D07">
      <w:rPr>
        <w:b/>
        <w:sz w:val="18"/>
      </w:rPr>
      <w:fldChar w:fldCharType="begin"/>
    </w:r>
    <w:r w:rsidRPr="00CE4D07">
      <w:rPr>
        <w:b/>
        <w:sz w:val="18"/>
      </w:rPr>
      <w:instrText xml:space="preserve"> PAGE  \* MERGEFORMAT </w:instrText>
    </w:r>
    <w:r w:rsidRPr="00CE4D07">
      <w:rPr>
        <w:b/>
        <w:sz w:val="18"/>
      </w:rPr>
      <w:fldChar w:fldCharType="separate"/>
    </w:r>
    <w:r w:rsidRPr="00CE4D07">
      <w:rPr>
        <w:b/>
        <w:noProof/>
        <w:sz w:val="18"/>
      </w:rPr>
      <w:t>3</w:t>
    </w:r>
    <w:r w:rsidRPr="00CE4D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92E9" w14:textId="4213244A" w:rsidR="001B379B" w:rsidRPr="00CE4D07" w:rsidRDefault="00CE4D07" w:rsidP="00CE4D07">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7BA0C288" wp14:editId="776E4DC9">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22-26901  (F)</w:t>
    </w:r>
    <w:r>
      <w:rPr>
        <w:noProof/>
        <w:sz w:val="20"/>
      </w:rPr>
      <w:drawing>
        <wp:anchor distT="0" distB="0" distL="114300" distR="114300" simplePos="0" relativeHeight="251660288" behindDoc="0" locked="0" layoutInCell="1" allowOverlap="1" wp14:anchorId="6BE23353" wp14:editId="782AB09A">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E824" w14:textId="77777777" w:rsidR="00D837D0" w:rsidRPr="00AC3823" w:rsidRDefault="00D837D0" w:rsidP="00AC3823">
      <w:pPr>
        <w:pStyle w:val="Pieddepage"/>
        <w:tabs>
          <w:tab w:val="right" w:pos="2155"/>
        </w:tabs>
        <w:spacing w:after="80" w:line="240" w:lineRule="atLeast"/>
        <w:ind w:left="680"/>
        <w:rPr>
          <w:u w:val="single"/>
        </w:rPr>
      </w:pPr>
      <w:r>
        <w:rPr>
          <w:u w:val="single"/>
        </w:rPr>
        <w:tab/>
      </w:r>
    </w:p>
  </w:footnote>
  <w:footnote w:type="continuationSeparator" w:id="0">
    <w:p w14:paraId="491AE3B8" w14:textId="77777777" w:rsidR="00D837D0" w:rsidRPr="00AC3823" w:rsidRDefault="00D837D0" w:rsidP="00AC3823">
      <w:pPr>
        <w:pStyle w:val="Pieddepage"/>
        <w:tabs>
          <w:tab w:val="right" w:pos="2155"/>
        </w:tabs>
        <w:spacing w:after="80" w:line="240" w:lineRule="atLeast"/>
        <w:ind w:left="680"/>
        <w:rPr>
          <w:u w:val="single"/>
        </w:rPr>
      </w:pPr>
      <w:r>
        <w:rPr>
          <w:u w:val="single"/>
        </w:rPr>
        <w:tab/>
      </w:r>
    </w:p>
  </w:footnote>
  <w:footnote w:type="continuationNotice" w:id="1">
    <w:p w14:paraId="15E4DE80" w14:textId="77777777" w:rsidR="00D837D0" w:rsidRPr="00AC3823" w:rsidRDefault="00D837D0">
      <w:pPr>
        <w:spacing w:line="240" w:lineRule="auto"/>
        <w:rPr>
          <w:sz w:val="2"/>
          <w:szCs w:val="2"/>
        </w:rPr>
      </w:pPr>
    </w:p>
  </w:footnote>
  <w:footnote w:id="2">
    <w:p w14:paraId="6F08A929" w14:textId="77777777" w:rsidR="00B13F56" w:rsidRPr="00755A70" w:rsidRDefault="00B13F56" w:rsidP="00B13F56">
      <w:pPr>
        <w:pStyle w:val="Notedebasdepage"/>
      </w:pPr>
      <w:r w:rsidRPr="00755A70">
        <w:rPr>
          <w:rStyle w:val="Appelnotedebasdep"/>
          <w:vertAlign w:val="baseline"/>
        </w:rPr>
        <w:tab/>
      </w:r>
      <w:r w:rsidRPr="00354FCF">
        <w:rPr>
          <w:rStyle w:val="Appelnotedebasdep"/>
          <w:sz w:val="20"/>
          <w:vertAlign w:val="baseline"/>
        </w:rPr>
        <w:t>*</w:t>
      </w:r>
      <w:r w:rsidRPr="00755A70">
        <w:rPr>
          <w:rStyle w:val="Appelnotedebasdep"/>
          <w:vertAlign w:val="baseline"/>
        </w:rPr>
        <w:tab/>
      </w:r>
      <w:r>
        <w:t>Adoptées par le Comité à sa 136</w:t>
      </w:r>
      <w:r w:rsidRPr="00755A70">
        <w:rPr>
          <w:vertAlign w:val="superscript"/>
        </w:rPr>
        <w:t>e</w:t>
      </w:r>
      <w:r>
        <w:t xml:space="preserve"> session (</w:t>
      </w:r>
      <w:r w:rsidRPr="00C60C51">
        <w:t>10 octobre-4 novembre 2022</w:t>
      </w:r>
      <w:r w:rsidRPr="00755A70">
        <w:t>).</w:t>
      </w:r>
    </w:p>
  </w:footnote>
  <w:footnote w:id="3">
    <w:p w14:paraId="3A4E6C6D" w14:textId="77777777" w:rsidR="00B13F56" w:rsidRPr="00755A70" w:rsidRDefault="00B13F56" w:rsidP="00B13F56">
      <w:pPr>
        <w:pStyle w:val="Notedebasdepage"/>
      </w:pPr>
      <w:r w:rsidRPr="00354FCF">
        <w:rPr>
          <w:rStyle w:val="Appelnotedebasdep"/>
          <w:sz w:val="20"/>
          <w:vertAlign w:val="baseline"/>
        </w:rPr>
        <w:tab/>
        <w:t>**</w:t>
      </w:r>
      <w:r w:rsidRPr="00755A70">
        <w:rPr>
          <w:rStyle w:val="Appelnotedebasdep"/>
          <w:vertAlign w:val="baseline"/>
        </w:rPr>
        <w:tab/>
      </w:r>
      <w:r w:rsidRPr="00247FF1">
        <w:t>Les membres du Comité dont le nom suit ont participé à l’examen de la communication</w:t>
      </w:r>
      <w:r w:rsidRPr="00454F1B">
        <w:t xml:space="preserve"> : </w:t>
      </w:r>
      <w:proofErr w:type="spellStart"/>
      <w:r w:rsidRPr="00AF0004">
        <w:t>Wafaa</w:t>
      </w:r>
      <w:proofErr w:type="spellEnd"/>
      <w:r>
        <w:t> </w:t>
      </w:r>
      <w:r w:rsidRPr="00AF0004">
        <w:t xml:space="preserve">Ashraf </w:t>
      </w:r>
      <w:proofErr w:type="spellStart"/>
      <w:r w:rsidRPr="00AF0004">
        <w:t>Moharram</w:t>
      </w:r>
      <w:proofErr w:type="spellEnd"/>
      <w:r w:rsidRPr="00AF0004">
        <w:t xml:space="preserve"> </w:t>
      </w:r>
      <w:proofErr w:type="spellStart"/>
      <w:r w:rsidRPr="00AF0004">
        <w:t>Bassim</w:t>
      </w:r>
      <w:proofErr w:type="spellEnd"/>
      <w:r>
        <w:t>,</w:t>
      </w:r>
      <w:r w:rsidRPr="006035AE">
        <w:t xml:space="preserve"> </w:t>
      </w:r>
      <w:proofErr w:type="spellStart"/>
      <w:r w:rsidRPr="00755A70">
        <w:t>Yadh</w:t>
      </w:r>
      <w:proofErr w:type="spellEnd"/>
      <w:r w:rsidRPr="00755A70">
        <w:t xml:space="preserve"> Ben Achour, Arif </w:t>
      </w:r>
      <w:proofErr w:type="spellStart"/>
      <w:r w:rsidRPr="00755A70">
        <w:t>Bulkan</w:t>
      </w:r>
      <w:proofErr w:type="spellEnd"/>
      <w:r w:rsidRPr="00755A70">
        <w:t xml:space="preserve">, Mahjoub El </w:t>
      </w:r>
      <w:proofErr w:type="spellStart"/>
      <w:r w:rsidRPr="00755A70">
        <w:t>Haiba</w:t>
      </w:r>
      <w:proofErr w:type="spellEnd"/>
      <w:r w:rsidRPr="00755A70">
        <w:t xml:space="preserve">, </w:t>
      </w:r>
      <w:proofErr w:type="spellStart"/>
      <w:r>
        <w:t>Furuya</w:t>
      </w:r>
      <w:proofErr w:type="spellEnd"/>
      <w:r>
        <w:t> </w:t>
      </w:r>
      <w:proofErr w:type="spellStart"/>
      <w:r>
        <w:t>Shuichi</w:t>
      </w:r>
      <w:proofErr w:type="spellEnd"/>
      <w:r>
        <w:t xml:space="preserve">, </w:t>
      </w:r>
      <w:r w:rsidRPr="00AF0004">
        <w:t>Carlos G</w:t>
      </w:r>
      <w:r>
        <w:t>ó</w:t>
      </w:r>
      <w:r w:rsidRPr="00AF0004">
        <w:t xml:space="preserve">mez </w:t>
      </w:r>
      <w:proofErr w:type="spellStart"/>
      <w:r w:rsidRPr="00AF0004">
        <w:t>Mart</w:t>
      </w:r>
      <w:r w:rsidRPr="00454F1B">
        <w:t>í</w:t>
      </w:r>
      <w:r w:rsidRPr="00AF0004">
        <w:t>nez</w:t>
      </w:r>
      <w:proofErr w:type="spellEnd"/>
      <w:r w:rsidRPr="00AF0004">
        <w:t xml:space="preserve">, </w:t>
      </w:r>
      <w:r>
        <w:t xml:space="preserve">Marcia V.J. </w:t>
      </w:r>
      <w:proofErr w:type="spellStart"/>
      <w:r>
        <w:t>Kran</w:t>
      </w:r>
      <w:proofErr w:type="spellEnd"/>
      <w:r>
        <w:t xml:space="preserve">, </w:t>
      </w:r>
      <w:r w:rsidRPr="00755A70">
        <w:t xml:space="preserve">Duncan Laki </w:t>
      </w:r>
      <w:proofErr w:type="spellStart"/>
      <w:r w:rsidRPr="00755A70">
        <w:t>Muhumuza</w:t>
      </w:r>
      <w:proofErr w:type="spellEnd"/>
      <w:r w:rsidRPr="00755A70">
        <w:t xml:space="preserve">, </w:t>
      </w:r>
      <w:proofErr w:type="spellStart"/>
      <w:r w:rsidRPr="00755A70">
        <w:t>Photini</w:t>
      </w:r>
      <w:proofErr w:type="spellEnd"/>
      <w:r>
        <w:t> </w:t>
      </w:r>
      <w:proofErr w:type="spellStart"/>
      <w:r w:rsidRPr="00755A70">
        <w:t>Pazartzis</w:t>
      </w:r>
      <w:proofErr w:type="spellEnd"/>
      <w:r w:rsidRPr="00755A70">
        <w:t xml:space="preserve">, Hernán </w:t>
      </w:r>
      <w:proofErr w:type="spellStart"/>
      <w:r w:rsidRPr="00755A70">
        <w:t>Quezada</w:t>
      </w:r>
      <w:proofErr w:type="spellEnd"/>
      <w:r w:rsidRPr="00247FF1">
        <w:t xml:space="preserve"> </w:t>
      </w:r>
      <w:r w:rsidRPr="00755A70">
        <w:t xml:space="preserve">Cabrera, </w:t>
      </w:r>
      <w:proofErr w:type="spellStart"/>
      <w:r w:rsidRPr="00755A70">
        <w:t>Vasilka</w:t>
      </w:r>
      <w:proofErr w:type="spellEnd"/>
      <w:r w:rsidRPr="00755A70">
        <w:t xml:space="preserve"> </w:t>
      </w:r>
      <w:proofErr w:type="spellStart"/>
      <w:r w:rsidRPr="00755A70">
        <w:t>Sancin</w:t>
      </w:r>
      <w:proofErr w:type="spellEnd"/>
      <w:r w:rsidRPr="00755A70">
        <w:t xml:space="preserve">, José Manuel Santos Pais, </w:t>
      </w:r>
      <w:proofErr w:type="spellStart"/>
      <w:r w:rsidRPr="00364B23">
        <w:t>Soh</w:t>
      </w:r>
      <w:proofErr w:type="spellEnd"/>
      <w:r w:rsidRPr="00364B23">
        <w:t xml:space="preserve"> </w:t>
      </w:r>
      <w:proofErr w:type="spellStart"/>
      <w:r w:rsidRPr="00364B23">
        <w:t>Changrok</w:t>
      </w:r>
      <w:proofErr w:type="spellEnd"/>
      <w:r>
        <w:t>,</w:t>
      </w:r>
      <w:r w:rsidRPr="00364B23">
        <w:t xml:space="preserve"> </w:t>
      </w:r>
      <w:proofErr w:type="spellStart"/>
      <w:r w:rsidRPr="00AF0004">
        <w:t>Kobauyah</w:t>
      </w:r>
      <w:proofErr w:type="spellEnd"/>
      <w:r w:rsidRPr="00AF0004">
        <w:t xml:space="preserve"> </w:t>
      </w:r>
      <w:proofErr w:type="spellStart"/>
      <w:r w:rsidRPr="00AF0004">
        <w:t>Tchamdja</w:t>
      </w:r>
      <w:proofErr w:type="spellEnd"/>
      <w:r w:rsidRPr="00AF0004">
        <w:t xml:space="preserve"> </w:t>
      </w:r>
      <w:proofErr w:type="spellStart"/>
      <w:r w:rsidRPr="00AF0004">
        <w:t>Kpatcha</w:t>
      </w:r>
      <w:proofErr w:type="spellEnd"/>
      <w:r w:rsidRPr="00AF0004">
        <w:t xml:space="preserve">, </w:t>
      </w:r>
      <w:r w:rsidRPr="0076744C">
        <w:t xml:space="preserve">Hélène </w:t>
      </w:r>
      <w:proofErr w:type="spellStart"/>
      <w:r w:rsidRPr="0076744C">
        <w:t>T</w:t>
      </w:r>
      <w:r>
        <w:t>igroudja</w:t>
      </w:r>
      <w:proofErr w:type="spellEnd"/>
      <w:r>
        <w:t>,</w:t>
      </w:r>
      <w:r w:rsidRPr="00755A70">
        <w:t xml:space="preserve"> </w:t>
      </w:r>
      <w:proofErr w:type="spellStart"/>
      <w:r w:rsidRPr="00755A70">
        <w:t>Imeru</w:t>
      </w:r>
      <w:proofErr w:type="spellEnd"/>
      <w:r w:rsidRPr="00755A70">
        <w:t xml:space="preserve"> </w:t>
      </w:r>
      <w:proofErr w:type="spellStart"/>
      <w:r w:rsidRPr="00755A70">
        <w:t>Tamerat</w:t>
      </w:r>
      <w:proofErr w:type="spellEnd"/>
      <w:r w:rsidRPr="00755A70">
        <w:t xml:space="preserve"> </w:t>
      </w:r>
      <w:proofErr w:type="spellStart"/>
      <w:r w:rsidRPr="00755A70">
        <w:t>Yigezu</w:t>
      </w:r>
      <w:proofErr w:type="spellEnd"/>
      <w:r w:rsidRPr="00755A70">
        <w:t xml:space="preserve"> et </w:t>
      </w:r>
      <w:proofErr w:type="spellStart"/>
      <w:r w:rsidRPr="00755A70">
        <w:t>Gentian</w:t>
      </w:r>
      <w:proofErr w:type="spellEnd"/>
      <w:r w:rsidRPr="00755A70">
        <w:t xml:space="preserve"> </w:t>
      </w:r>
      <w:proofErr w:type="spellStart"/>
      <w:r w:rsidRPr="00755A70">
        <w:t>Zyberi</w:t>
      </w:r>
      <w:proofErr w:type="spellEnd"/>
      <w:r w:rsidRPr="00755A70">
        <w:t>.</w:t>
      </w:r>
    </w:p>
  </w:footnote>
  <w:footnote w:id="4">
    <w:p w14:paraId="6DA2660A" w14:textId="77777777" w:rsidR="00B13F56" w:rsidRPr="00710E23" w:rsidRDefault="00B13F56" w:rsidP="00B13F56">
      <w:pPr>
        <w:pStyle w:val="Notedebasdepage"/>
      </w:pPr>
      <w:r>
        <w:tab/>
      </w:r>
      <w:r w:rsidRPr="00354FCF">
        <w:rPr>
          <w:rStyle w:val="Appelnotedebasdep"/>
        </w:rPr>
        <w:footnoteRef/>
      </w:r>
      <w:r>
        <w:tab/>
        <w:t xml:space="preserve">Ces griefs sont soulevés par l’auteur dans ses commentaires du </w:t>
      </w:r>
      <w:r w:rsidRPr="00710E23">
        <w:t>15 mars 2017 sur les observations de l’État partie.</w:t>
      </w:r>
    </w:p>
  </w:footnote>
  <w:footnote w:id="5">
    <w:p w14:paraId="0A3182AD" w14:textId="77777777" w:rsidR="00B13F56" w:rsidRPr="00F72FFA" w:rsidRDefault="00B13F56" w:rsidP="00B13F56">
      <w:pPr>
        <w:pStyle w:val="Notedebasdepage"/>
      </w:pPr>
      <w:r>
        <w:tab/>
      </w:r>
      <w:r w:rsidRPr="00354FCF">
        <w:rPr>
          <w:rStyle w:val="Appelnotedebasdep"/>
        </w:rPr>
        <w:footnoteRef/>
      </w:r>
      <w:r>
        <w:tab/>
        <w:t xml:space="preserve">L’un des employés a reconnu son cousin parmi les officiers du </w:t>
      </w:r>
      <w:r w:rsidRPr="008112C8">
        <w:t>Département d</w:t>
      </w:r>
      <w:r>
        <w:t>u</w:t>
      </w:r>
      <w:r w:rsidRPr="008112C8">
        <w:t xml:space="preserve"> renseignement et de la sécurité</w:t>
      </w:r>
      <w:r>
        <w:t xml:space="preserve"> qui ont investi les lieux.</w:t>
      </w:r>
    </w:p>
  </w:footnote>
  <w:footnote w:id="6">
    <w:p w14:paraId="286ECFD6" w14:textId="77777777" w:rsidR="00B13F56" w:rsidRPr="003C40B7" w:rsidRDefault="00B13F56" w:rsidP="00B13F56">
      <w:pPr>
        <w:pStyle w:val="Notedebasdepage"/>
      </w:pPr>
      <w:r>
        <w:tab/>
      </w:r>
      <w:r w:rsidRPr="00354FCF">
        <w:rPr>
          <w:rStyle w:val="Appelnotedebasdep"/>
        </w:rPr>
        <w:footnoteRef/>
      </w:r>
      <w:r>
        <w:tab/>
        <w:t>Ils ont ainsi volé plusieurs kilogrammes de bijoux − estimés à 2 150 000 dinars, en plus des bijoux en dépôt des clients et de ceux destinés à la réparation en atelier, d’une valeur de 600 000 dinars − et la somme d’argent de 240 000 dinars qui se trouvait dans le coffre.</w:t>
      </w:r>
    </w:p>
  </w:footnote>
  <w:footnote w:id="7">
    <w:p w14:paraId="3E2805EE" w14:textId="77777777" w:rsidR="00B13F56" w:rsidRPr="00D3200E" w:rsidRDefault="00B13F56" w:rsidP="00B13F56">
      <w:pPr>
        <w:pStyle w:val="Notedebasdepage"/>
      </w:pPr>
      <w:r>
        <w:tab/>
      </w:r>
      <w:r w:rsidRPr="00354FCF">
        <w:rPr>
          <w:rStyle w:val="Appelnotedebasdep"/>
        </w:rPr>
        <w:footnoteRef/>
      </w:r>
      <w:r>
        <w:tab/>
        <w:t xml:space="preserve">L’auteur précise que les services de la gendarmerie nationale relèvent, à l’instar du </w:t>
      </w:r>
      <w:r w:rsidRPr="008112C8">
        <w:t>Département d</w:t>
      </w:r>
      <w:r>
        <w:t>u</w:t>
      </w:r>
      <w:r w:rsidRPr="008112C8">
        <w:t xml:space="preserve"> renseignement et de la sécurité</w:t>
      </w:r>
      <w:r>
        <w:t xml:space="preserve">, du Ministère de la défense nationale, et que ces services ne sont pas habilités à enquêter sur les agissements de leurs collègues du </w:t>
      </w:r>
      <w:r w:rsidRPr="008112C8">
        <w:t>Département d</w:t>
      </w:r>
      <w:r>
        <w:t>u</w:t>
      </w:r>
      <w:r w:rsidRPr="008112C8">
        <w:t xml:space="preserve"> renseignement et de la sécurité</w:t>
      </w:r>
      <w:r>
        <w:t>.</w:t>
      </w:r>
    </w:p>
  </w:footnote>
  <w:footnote w:id="8">
    <w:p w14:paraId="2078565A" w14:textId="77777777" w:rsidR="00B13F56" w:rsidRPr="00710E23" w:rsidRDefault="00B13F56" w:rsidP="00B13F56">
      <w:pPr>
        <w:pStyle w:val="Notedebasdepage"/>
      </w:pPr>
      <w:r>
        <w:tab/>
      </w:r>
      <w:r w:rsidRPr="00354FCF">
        <w:rPr>
          <w:rStyle w:val="Appelnotedebasdep"/>
        </w:rPr>
        <w:footnoteRef/>
      </w:r>
      <w:r>
        <w:tab/>
        <w:t>La partie civile était constituée des personnes à qui appartenaient les bijoux et l’argent volés.</w:t>
      </w:r>
    </w:p>
  </w:footnote>
  <w:footnote w:id="9">
    <w:p w14:paraId="43957AD6" w14:textId="77777777" w:rsidR="00B13F56" w:rsidRPr="00B11211" w:rsidRDefault="00B13F56" w:rsidP="00B13F56">
      <w:pPr>
        <w:pStyle w:val="Notedebasdepage"/>
        <w:rPr>
          <w:szCs w:val="18"/>
        </w:rPr>
      </w:pPr>
      <w:r w:rsidRPr="00B11211">
        <w:rPr>
          <w:szCs w:val="18"/>
        </w:rPr>
        <w:tab/>
      </w:r>
      <w:r w:rsidRPr="00354FCF">
        <w:rPr>
          <w:rStyle w:val="Appelnotedebasdep"/>
        </w:rPr>
        <w:footnoteRef/>
      </w:r>
      <w:r w:rsidRPr="00B11211">
        <w:rPr>
          <w:szCs w:val="18"/>
        </w:rPr>
        <w:tab/>
      </w:r>
      <w:hyperlink r:id="rId1" w:history="1">
        <w:r w:rsidRPr="00786915">
          <w:rPr>
            <w:rStyle w:val="Lienhypertexte"/>
            <w:szCs w:val="18"/>
          </w:rPr>
          <w:t>CCPR/C/DZA/CO/3</w:t>
        </w:r>
      </w:hyperlink>
      <w:r w:rsidRPr="00B11211">
        <w:rPr>
          <w:szCs w:val="18"/>
        </w:rPr>
        <w:t>, par. 7 et 8.</w:t>
      </w:r>
    </w:p>
  </w:footnote>
  <w:footnote w:id="10">
    <w:p w14:paraId="589629CD" w14:textId="77777777" w:rsidR="00B13F56" w:rsidRPr="00AF430B" w:rsidRDefault="00B13F56" w:rsidP="00B13F56">
      <w:pPr>
        <w:pStyle w:val="Notedebasdepage"/>
        <w:rPr>
          <w:szCs w:val="18"/>
        </w:rPr>
      </w:pPr>
      <w:r w:rsidRPr="00B11211">
        <w:rPr>
          <w:szCs w:val="18"/>
        </w:rPr>
        <w:tab/>
      </w:r>
      <w:r w:rsidRPr="00354FCF">
        <w:rPr>
          <w:rStyle w:val="Appelnotedebasdep"/>
        </w:rPr>
        <w:footnoteRef/>
      </w:r>
      <w:r w:rsidRPr="00AF430B">
        <w:rPr>
          <w:szCs w:val="18"/>
        </w:rPr>
        <w:tab/>
      </w:r>
      <w:hyperlink r:id="rId2" w:history="1">
        <w:r w:rsidRPr="00786915">
          <w:rPr>
            <w:rStyle w:val="Lienhypertexte"/>
            <w:szCs w:val="18"/>
          </w:rPr>
          <w:t>CCPR/C/79/Add.95</w:t>
        </w:r>
      </w:hyperlink>
      <w:r w:rsidRPr="00AF430B">
        <w:rPr>
          <w:szCs w:val="18"/>
        </w:rPr>
        <w:t>, par. 10.</w:t>
      </w:r>
    </w:p>
  </w:footnote>
  <w:footnote w:id="11">
    <w:p w14:paraId="13CE70F2" w14:textId="77777777" w:rsidR="00B13F56" w:rsidRPr="003C2C5B" w:rsidRDefault="00B13F56" w:rsidP="00B13F56">
      <w:pPr>
        <w:pStyle w:val="Notedebasdepage"/>
        <w:rPr>
          <w:szCs w:val="18"/>
          <w:lang w:val="pt-PT"/>
        </w:rPr>
      </w:pPr>
      <w:r w:rsidRPr="003C2C5B">
        <w:rPr>
          <w:szCs w:val="18"/>
          <w:lang w:val="pt-PT"/>
        </w:rPr>
        <w:tab/>
      </w:r>
      <w:r w:rsidRPr="00354FCF">
        <w:rPr>
          <w:rStyle w:val="Appelnotedebasdep"/>
        </w:rPr>
        <w:footnoteRef/>
      </w:r>
      <w:r w:rsidRPr="003C2C5B">
        <w:rPr>
          <w:szCs w:val="18"/>
          <w:lang w:val="pt-PT"/>
        </w:rPr>
        <w:tab/>
      </w:r>
      <w:r w:rsidRPr="003C2C5B">
        <w:rPr>
          <w:i/>
          <w:szCs w:val="18"/>
          <w:lang w:val="pt-PT"/>
        </w:rPr>
        <w:t>Fedsi c. Algérie</w:t>
      </w:r>
      <w:r w:rsidRPr="003C2C5B">
        <w:rPr>
          <w:szCs w:val="18"/>
          <w:lang w:val="pt-PT"/>
        </w:rPr>
        <w:t xml:space="preserve"> (</w:t>
      </w:r>
      <w:hyperlink r:id="rId3" w:history="1">
        <w:r w:rsidRPr="00786915">
          <w:rPr>
            <w:rStyle w:val="Lienhypertexte"/>
            <w:szCs w:val="18"/>
            <w:lang w:val="pt-PT"/>
          </w:rPr>
          <w:t>CCPR/C/111/D/1964/2010</w:t>
        </w:r>
      </w:hyperlink>
      <w:r w:rsidRPr="003C2C5B">
        <w:rPr>
          <w:szCs w:val="18"/>
          <w:lang w:val="pt-PT"/>
        </w:rPr>
        <w:t>), par. 7.2.</w:t>
      </w:r>
    </w:p>
  </w:footnote>
  <w:footnote w:id="12">
    <w:p w14:paraId="71CFB4B9" w14:textId="77777777" w:rsidR="00B13F56" w:rsidRPr="00DE54D3" w:rsidRDefault="00B13F56" w:rsidP="00B13F56">
      <w:pPr>
        <w:pStyle w:val="Notedebasdepage"/>
        <w:rPr>
          <w:lang w:val="fr-FR"/>
        </w:rPr>
      </w:pPr>
      <w:r w:rsidRPr="00DE54D3">
        <w:rPr>
          <w:lang w:val="fr-FR"/>
        </w:rPr>
        <w:tab/>
      </w:r>
      <w:r w:rsidRPr="00354FCF">
        <w:rPr>
          <w:rStyle w:val="Appelnotedebasdep"/>
        </w:rPr>
        <w:footnoteRef/>
      </w:r>
      <w:r w:rsidRPr="00DE54D3">
        <w:tab/>
      </w:r>
      <w:r w:rsidRPr="00DE54D3">
        <w:rPr>
          <w:lang w:val="fr-FR"/>
        </w:rPr>
        <w:t>Voir, entre autres,</w:t>
      </w:r>
      <w:r>
        <w:rPr>
          <w:lang w:val="fr-FR"/>
        </w:rPr>
        <w:t xml:space="preserve"> </w:t>
      </w:r>
      <w:proofErr w:type="spellStart"/>
      <w:r w:rsidRPr="00653204">
        <w:rPr>
          <w:i/>
          <w:lang w:val="fr-FR"/>
        </w:rPr>
        <w:t>Rsiwi</w:t>
      </w:r>
      <w:proofErr w:type="spellEnd"/>
      <w:r w:rsidRPr="00653204">
        <w:rPr>
          <w:i/>
          <w:lang w:val="fr-FR"/>
        </w:rPr>
        <w:t xml:space="preserve"> c. Algérie</w:t>
      </w:r>
      <w:r>
        <w:rPr>
          <w:lang w:val="fr-FR"/>
        </w:rPr>
        <w:t xml:space="preserve"> (</w:t>
      </w:r>
      <w:hyperlink r:id="rId4" w:history="1">
        <w:r w:rsidRPr="00786915">
          <w:rPr>
            <w:rStyle w:val="Lienhypertexte"/>
            <w:lang w:val="fr-FR"/>
          </w:rPr>
          <w:t>CCPR/C/130/D/2843/2016</w:t>
        </w:r>
      </w:hyperlink>
      <w:r>
        <w:rPr>
          <w:lang w:val="fr-FR"/>
        </w:rPr>
        <w:t xml:space="preserve">), par. 6 ; </w:t>
      </w:r>
      <w:proofErr w:type="spellStart"/>
      <w:r w:rsidRPr="00653204">
        <w:rPr>
          <w:i/>
          <w:lang w:val="fr-FR"/>
        </w:rPr>
        <w:t>Dafar</w:t>
      </w:r>
      <w:proofErr w:type="spellEnd"/>
      <w:r w:rsidRPr="00653204">
        <w:rPr>
          <w:i/>
          <w:lang w:val="fr-FR"/>
        </w:rPr>
        <w:t xml:space="preserve"> c. Algérie</w:t>
      </w:r>
      <w:r>
        <w:rPr>
          <w:lang w:val="fr-FR"/>
        </w:rPr>
        <w:t xml:space="preserve"> (</w:t>
      </w:r>
      <w:hyperlink r:id="rId5" w:history="1">
        <w:r w:rsidRPr="00786915">
          <w:rPr>
            <w:rStyle w:val="Lienhypertexte"/>
            <w:lang w:val="fr-FR"/>
          </w:rPr>
          <w:t>CCPR/C/130/D/2580/2015</w:t>
        </w:r>
      </w:hyperlink>
      <w:r>
        <w:rPr>
          <w:lang w:val="fr-FR"/>
        </w:rPr>
        <w:t xml:space="preserve">), par. 4 ; </w:t>
      </w:r>
      <w:proofErr w:type="spellStart"/>
      <w:r w:rsidRPr="00DE54D3">
        <w:rPr>
          <w:i/>
          <w:iCs/>
          <w:lang w:val="fr-FR"/>
        </w:rPr>
        <w:t>Mezine</w:t>
      </w:r>
      <w:proofErr w:type="spellEnd"/>
      <w:r w:rsidRPr="00DE54D3">
        <w:rPr>
          <w:i/>
          <w:iCs/>
          <w:lang w:val="fr-FR"/>
        </w:rPr>
        <w:t xml:space="preserve"> c. Algérie </w:t>
      </w:r>
      <w:r w:rsidRPr="00DE54D3">
        <w:rPr>
          <w:lang w:val="fr-FR"/>
        </w:rPr>
        <w:t>(</w:t>
      </w:r>
      <w:hyperlink r:id="rId6" w:history="1">
        <w:r w:rsidRPr="00786915">
          <w:rPr>
            <w:rStyle w:val="Lienhypertexte"/>
            <w:lang w:val="fr-FR"/>
          </w:rPr>
          <w:t>CCPR/C/106/D/1779/2008</w:t>
        </w:r>
      </w:hyperlink>
      <w:r w:rsidRPr="00DE54D3">
        <w:rPr>
          <w:lang w:val="fr-FR"/>
        </w:rPr>
        <w:t>), par. 8.3 ;</w:t>
      </w:r>
      <w:r>
        <w:rPr>
          <w:lang w:val="fr-FR"/>
        </w:rPr>
        <w:t xml:space="preserve"> et</w:t>
      </w:r>
      <w:r w:rsidRPr="00DE54D3">
        <w:rPr>
          <w:lang w:val="fr-FR"/>
        </w:rPr>
        <w:t xml:space="preserve"> </w:t>
      </w:r>
      <w:proofErr w:type="spellStart"/>
      <w:r w:rsidRPr="00C57DFE">
        <w:rPr>
          <w:i/>
          <w:iCs/>
        </w:rPr>
        <w:t>Medjnoune</w:t>
      </w:r>
      <w:proofErr w:type="spellEnd"/>
      <w:r w:rsidRPr="00DE54D3">
        <w:rPr>
          <w:i/>
          <w:iCs/>
          <w:lang w:val="fr-FR"/>
        </w:rPr>
        <w:t xml:space="preserve"> c. Algérie</w:t>
      </w:r>
      <w:r w:rsidRPr="00DE54D3">
        <w:rPr>
          <w:iCs/>
          <w:lang w:val="fr-FR"/>
        </w:rPr>
        <w:t xml:space="preserve"> </w:t>
      </w:r>
      <w:r w:rsidRPr="00DE54D3">
        <w:rPr>
          <w:lang w:val="fr-FR"/>
        </w:rPr>
        <w:t>(</w:t>
      </w:r>
      <w:hyperlink r:id="rId7" w:history="1">
        <w:r w:rsidRPr="00786915">
          <w:rPr>
            <w:rStyle w:val="Lienhypertexte"/>
            <w:lang w:val="fr-FR"/>
          </w:rPr>
          <w:t>CCPR/C/87/D/1297/2004</w:t>
        </w:r>
      </w:hyperlink>
      <w:r>
        <w:rPr>
          <w:lang w:val="fr-FR"/>
        </w:rPr>
        <w:t>), par. 8.3.</w:t>
      </w:r>
    </w:p>
  </w:footnote>
  <w:footnote w:id="13">
    <w:p w14:paraId="485521FB" w14:textId="77777777" w:rsidR="00B13F56" w:rsidRPr="00DE54D3" w:rsidRDefault="00B13F56" w:rsidP="00B13F56">
      <w:pPr>
        <w:pStyle w:val="Notedebasdepage"/>
        <w:rPr>
          <w:lang w:val="fr-FR"/>
        </w:rPr>
      </w:pPr>
      <w:r w:rsidRPr="00DE54D3">
        <w:tab/>
      </w:r>
      <w:r w:rsidRPr="00354FCF">
        <w:rPr>
          <w:rStyle w:val="Appelnotedebasdep"/>
        </w:rPr>
        <w:footnoteRef/>
      </w:r>
      <w:r w:rsidRPr="00DE54D3">
        <w:tab/>
      </w:r>
      <w:r w:rsidRPr="00DE54D3">
        <w:rPr>
          <w:lang w:val="fr-FR"/>
        </w:rPr>
        <w:t xml:space="preserve">Voir, entre autres, </w:t>
      </w:r>
      <w:proofErr w:type="spellStart"/>
      <w:r w:rsidRPr="00660336">
        <w:rPr>
          <w:i/>
        </w:rPr>
        <w:t>Souaiene</w:t>
      </w:r>
      <w:proofErr w:type="spellEnd"/>
      <w:r w:rsidRPr="00641434">
        <w:rPr>
          <w:i/>
        </w:rPr>
        <w:t xml:space="preserve"> </w:t>
      </w:r>
      <w:r>
        <w:rPr>
          <w:i/>
        </w:rPr>
        <w:t xml:space="preserve">et </w:t>
      </w:r>
      <w:proofErr w:type="spellStart"/>
      <w:r>
        <w:rPr>
          <w:i/>
        </w:rPr>
        <w:t>Souaiene</w:t>
      </w:r>
      <w:proofErr w:type="spellEnd"/>
      <w:r w:rsidRPr="00660336">
        <w:rPr>
          <w:i/>
          <w:lang w:val="fr-FR"/>
        </w:rPr>
        <w:t xml:space="preserve"> </w:t>
      </w:r>
      <w:r>
        <w:rPr>
          <w:i/>
          <w:lang w:val="fr-FR"/>
        </w:rPr>
        <w:t xml:space="preserve">c. Algérie </w:t>
      </w:r>
      <w:r>
        <w:rPr>
          <w:lang w:val="fr-FR"/>
        </w:rPr>
        <w:t>(</w:t>
      </w:r>
      <w:hyperlink r:id="rId8" w:history="1">
        <w:r w:rsidRPr="00786915">
          <w:rPr>
            <w:rStyle w:val="Lienhypertexte"/>
            <w:lang w:val="fr-FR"/>
          </w:rPr>
          <w:t>CCPR/C/128/D/3082/2017</w:t>
        </w:r>
      </w:hyperlink>
      <w:r>
        <w:rPr>
          <w:lang w:val="fr-FR"/>
        </w:rPr>
        <w:t xml:space="preserve">), par. 7.2 ; </w:t>
      </w:r>
      <w:r w:rsidRPr="00DE54D3">
        <w:rPr>
          <w:i/>
          <w:lang w:val="fr-FR"/>
        </w:rPr>
        <w:t>Tharu et consorts c. Népal</w:t>
      </w:r>
      <w:r w:rsidRPr="00DE54D3">
        <w:rPr>
          <w:lang w:val="fr-FR"/>
        </w:rPr>
        <w:t xml:space="preserve"> (</w:t>
      </w:r>
      <w:hyperlink r:id="rId9" w:history="1">
        <w:r w:rsidRPr="00786915">
          <w:rPr>
            <w:rStyle w:val="Lienhypertexte"/>
            <w:lang w:val="fr-FR"/>
          </w:rPr>
          <w:t>CCPR/C/114/D/2038/2011</w:t>
        </w:r>
      </w:hyperlink>
      <w:r w:rsidRPr="00DE54D3">
        <w:rPr>
          <w:lang w:val="fr-FR"/>
        </w:rPr>
        <w:t xml:space="preserve">), par. 9.2 ; </w:t>
      </w:r>
      <w:proofErr w:type="spellStart"/>
      <w:r w:rsidRPr="00DE54D3">
        <w:rPr>
          <w:i/>
          <w:lang w:val="fr-FR"/>
        </w:rPr>
        <w:t>Ammari</w:t>
      </w:r>
      <w:proofErr w:type="spellEnd"/>
      <w:r w:rsidRPr="00DE54D3">
        <w:rPr>
          <w:i/>
          <w:lang w:val="fr-FR"/>
        </w:rPr>
        <w:t xml:space="preserve"> c. Algérie </w:t>
      </w:r>
      <w:r w:rsidRPr="00DE54D3">
        <w:rPr>
          <w:lang w:val="fr-FR"/>
        </w:rPr>
        <w:t>(</w:t>
      </w:r>
      <w:bookmarkStart w:id="2" w:name="_Hlk28710994"/>
      <w:r>
        <w:rPr>
          <w:lang w:val="fr-FR"/>
        </w:rPr>
        <w:fldChar w:fldCharType="begin"/>
      </w:r>
      <w:r>
        <w:rPr>
          <w:lang w:val="fr-FR"/>
        </w:rPr>
        <w:instrText xml:space="preserve"> HYPERLINK "http://undocs.org/fr/CCPR/C/112/D/2098/2011" </w:instrText>
      </w:r>
      <w:r>
        <w:rPr>
          <w:lang w:val="fr-FR"/>
        </w:rPr>
      </w:r>
      <w:r>
        <w:rPr>
          <w:lang w:val="fr-FR"/>
        </w:rPr>
        <w:fldChar w:fldCharType="separate"/>
      </w:r>
      <w:r w:rsidRPr="00786915">
        <w:rPr>
          <w:rStyle w:val="Lienhypertexte"/>
          <w:lang w:val="fr-FR"/>
        </w:rPr>
        <w:t>CCPR/C/112/D/2098/2011</w:t>
      </w:r>
      <w:bookmarkEnd w:id="2"/>
      <w:r>
        <w:rPr>
          <w:lang w:val="fr-FR"/>
        </w:rPr>
        <w:fldChar w:fldCharType="end"/>
      </w:r>
      <w:r w:rsidRPr="00DE54D3">
        <w:rPr>
          <w:lang w:val="fr-FR"/>
        </w:rPr>
        <w:t>), par. 7.2 ;</w:t>
      </w:r>
      <w:r w:rsidRPr="00FB7F86">
        <w:rPr>
          <w:i/>
        </w:rPr>
        <w:t xml:space="preserve"> </w:t>
      </w:r>
      <w:r w:rsidRPr="00DE54D3">
        <w:rPr>
          <w:i/>
        </w:rPr>
        <w:t xml:space="preserve">Al </w:t>
      </w:r>
      <w:proofErr w:type="spellStart"/>
      <w:r w:rsidRPr="00DE54D3">
        <w:rPr>
          <w:i/>
        </w:rPr>
        <w:t>Daquel</w:t>
      </w:r>
      <w:proofErr w:type="spellEnd"/>
      <w:r w:rsidRPr="00DE54D3">
        <w:rPr>
          <w:i/>
        </w:rPr>
        <w:t xml:space="preserve"> c. Libye</w:t>
      </w:r>
      <w:r w:rsidRPr="00DE54D3">
        <w:t xml:space="preserve"> (</w:t>
      </w:r>
      <w:hyperlink r:id="rId10" w:history="1">
        <w:r w:rsidRPr="00786915">
          <w:rPr>
            <w:rStyle w:val="Lienhypertexte"/>
          </w:rPr>
          <w:t>CCPR/C/111/D/1882/2009</w:t>
        </w:r>
      </w:hyperlink>
      <w:r w:rsidRPr="00DE54D3">
        <w:t>), par. 5.2</w:t>
      </w:r>
      <w:r>
        <w:t> ; et</w:t>
      </w:r>
      <w:r w:rsidRPr="00DE54D3">
        <w:rPr>
          <w:i/>
          <w:lang w:val="fr-FR"/>
        </w:rPr>
        <w:t xml:space="preserve"> </w:t>
      </w:r>
      <w:r w:rsidRPr="00DE54D3">
        <w:rPr>
          <w:i/>
        </w:rPr>
        <w:t>Mihoubi</w:t>
      </w:r>
      <w:r w:rsidRPr="00DE54D3">
        <w:t xml:space="preserve"> </w:t>
      </w:r>
      <w:r w:rsidRPr="00DE54D3">
        <w:rPr>
          <w:i/>
        </w:rPr>
        <w:t>c. Algérie</w:t>
      </w:r>
      <w:r w:rsidRPr="00DE54D3">
        <w:t xml:space="preserve"> (</w:t>
      </w:r>
      <w:hyperlink r:id="rId11" w:history="1">
        <w:r w:rsidRPr="00786915">
          <w:rPr>
            <w:rStyle w:val="Lienhypertexte"/>
          </w:rPr>
          <w:t>CCPR/C/109/D/1874/2009</w:t>
        </w:r>
      </w:hyperlink>
      <w:r w:rsidRPr="00DE54D3">
        <w:t>), par. 6.2</w:t>
      </w:r>
      <w:r w:rsidRPr="00DE54D3">
        <w:rPr>
          <w:lang w:val="fr-FR"/>
        </w:rPr>
        <w:t>.</w:t>
      </w:r>
    </w:p>
  </w:footnote>
  <w:footnote w:id="14">
    <w:p w14:paraId="05056EEE" w14:textId="77777777" w:rsidR="00B13F56" w:rsidRPr="003D63A7" w:rsidRDefault="00B13F56" w:rsidP="00B13F56">
      <w:pPr>
        <w:pStyle w:val="Notedebasdepage"/>
      </w:pPr>
      <w:r>
        <w:tab/>
      </w:r>
      <w:r w:rsidRPr="00354FCF">
        <w:rPr>
          <w:rStyle w:val="Appelnotedebasdep"/>
        </w:rPr>
        <w:footnoteRef/>
      </w:r>
      <w:r>
        <w:tab/>
      </w:r>
      <w:proofErr w:type="spellStart"/>
      <w:r w:rsidRPr="00653204">
        <w:rPr>
          <w:i/>
          <w:lang w:val="fr-FR"/>
        </w:rPr>
        <w:t>Rsiwi</w:t>
      </w:r>
      <w:proofErr w:type="spellEnd"/>
      <w:r w:rsidRPr="00653204">
        <w:rPr>
          <w:i/>
          <w:lang w:val="fr-FR"/>
        </w:rPr>
        <w:t xml:space="preserve"> c. Algérie</w:t>
      </w:r>
      <w:r>
        <w:rPr>
          <w:lang w:val="fr-FR"/>
        </w:rPr>
        <w:t xml:space="preserve">, par. 7.3 ; </w:t>
      </w:r>
      <w:proofErr w:type="spellStart"/>
      <w:r w:rsidRPr="003506A7">
        <w:rPr>
          <w:i/>
          <w:lang w:val="fr-FR"/>
        </w:rPr>
        <w:t>Berkaoui</w:t>
      </w:r>
      <w:proofErr w:type="spellEnd"/>
      <w:r w:rsidRPr="003506A7">
        <w:rPr>
          <w:i/>
          <w:lang w:val="fr-FR"/>
        </w:rPr>
        <w:t xml:space="preserve"> c. Algérie</w:t>
      </w:r>
      <w:r>
        <w:rPr>
          <w:lang w:val="fr-FR"/>
        </w:rPr>
        <w:t xml:space="preserve"> (</w:t>
      </w:r>
      <w:hyperlink r:id="rId12" w:history="1">
        <w:r w:rsidRPr="00786915">
          <w:rPr>
            <w:rStyle w:val="Lienhypertexte"/>
            <w:lang w:val="fr-FR"/>
          </w:rPr>
          <w:t>CCPR/C/130/D/2639/2015</w:t>
        </w:r>
      </w:hyperlink>
      <w:r>
        <w:rPr>
          <w:lang w:val="fr-FR"/>
        </w:rPr>
        <w:t xml:space="preserve">), par. 7.3 ; </w:t>
      </w:r>
      <w:proofErr w:type="spellStart"/>
      <w:r w:rsidRPr="00660336">
        <w:rPr>
          <w:i/>
        </w:rPr>
        <w:t>Souaiene</w:t>
      </w:r>
      <w:proofErr w:type="spellEnd"/>
      <w:r w:rsidRPr="00660336">
        <w:rPr>
          <w:i/>
          <w:lang w:val="fr-FR"/>
        </w:rPr>
        <w:t xml:space="preserve"> </w:t>
      </w:r>
      <w:r>
        <w:rPr>
          <w:i/>
          <w:lang w:val="fr-FR"/>
        </w:rPr>
        <w:t xml:space="preserve">et </w:t>
      </w:r>
      <w:proofErr w:type="spellStart"/>
      <w:r>
        <w:rPr>
          <w:i/>
          <w:lang w:val="fr-FR"/>
        </w:rPr>
        <w:t>Souaiene</w:t>
      </w:r>
      <w:proofErr w:type="spellEnd"/>
      <w:r>
        <w:rPr>
          <w:i/>
          <w:lang w:val="fr-FR"/>
        </w:rPr>
        <w:t xml:space="preserve"> c. Algérie</w:t>
      </w:r>
      <w:r>
        <w:rPr>
          <w:lang w:val="fr-FR"/>
        </w:rPr>
        <w:t xml:space="preserve">, par. 7.3 ; </w:t>
      </w:r>
      <w:proofErr w:type="spellStart"/>
      <w:r w:rsidRPr="0051646E">
        <w:rPr>
          <w:i/>
          <w:lang w:val="fr-FR"/>
        </w:rPr>
        <w:t>Bendjael</w:t>
      </w:r>
      <w:proofErr w:type="spellEnd"/>
      <w:r>
        <w:rPr>
          <w:i/>
          <w:lang w:val="fr-FR"/>
        </w:rPr>
        <w:t xml:space="preserve"> et </w:t>
      </w:r>
      <w:proofErr w:type="spellStart"/>
      <w:r>
        <w:rPr>
          <w:i/>
          <w:lang w:val="fr-FR"/>
        </w:rPr>
        <w:t>Bendjael</w:t>
      </w:r>
      <w:proofErr w:type="spellEnd"/>
      <w:r w:rsidRPr="0051646E">
        <w:rPr>
          <w:i/>
          <w:lang w:val="fr-FR"/>
        </w:rPr>
        <w:t xml:space="preserve"> </w:t>
      </w:r>
      <w:r w:rsidRPr="00C57DFE">
        <w:rPr>
          <w:i/>
          <w:lang w:val="fr-FR"/>
        </w:rPr>
        <w:t>c. Algérie</w:t>
      </w:r>
      <w:r>
        <w:rPr>
          <w:lang w:val="fr-FR"/>
        </w:rPr>
        <w:t xml:space="preserve"> (</w:t>
      </w:r>
      <w:hyperlink r:id="rId13" w:history="1">
        <w:r w:rsidRPr="00786915">
          <w:rPr>
            <w:rStyle w:val="Lienhypertexte"/>
            <w:lang w:val="fr-FR"/>
          </w:rPr>
          <w:t>CCPR/C/128/D/2893/2016</w:t>
        </w:r>
      </w:hyperlink>
      <w:r>
        <w:rPr>
          <w:lang w:val="fr-FR"/>
        </w:rPr>
        <w:t>), par. 7</w:t>
      </w:r>
      <w:r w:rsidRPr="00DE54D3">
        <w:rPr>
          <w:lang w:val="fr-FR"/>
        </w:rPr>
        <w:t>.</w:t>
      </w:r>
      <w:r>
        <w:rPr>
          <w:lang w:val="fr-FR"/>
        </w:rPr>
        <w:t xml:space="preserve">3 ; </w:t>
      </w:r>
      <w:proofErr w:type="spellStart"/>
      <w:r w:rsidRPr="0051646E">
        <w:rPr>
          <w:i/>
          <w:iCs/>
        </w:rPr>
        <w:t>Cherguit</w:t>
      </w:r>
      <w:proofErr w:type="spellEnd"/>
      <w:r w:rsidRPr="00C57DFE">
        <w:rPr>
          <w:i/>
          <w:iCs/>
          <w:lang w:val="fr-FR"/>
        </w:rPr>
        <w:t xml:space="preserve"> c. Algérie</w:t>
      </w:r>
      <w:r>
        <w:rPr>
          <w:iCs/>
          <w:lang w:val="fr-FR"/>
        </w:rPr>
        <w:t xml:space="preserve"> (</w:t>
      </w:r>
      <w:hyperlink r:id="rId14" w:history="1">
        <w:r w:rsidRPr="00786915">
          <w:rPr>
            <w:rStyle w:val="Lienhypertexte"/>
            <w:iCs/>
            <w:lang w:val="fr-FR"/>
          </w:rPr>
          <w:t>CCPR/C/128/D/2828/2016</w:t>
        </w:r>
      </w:hyperlink>
      <w:r>
        <w:rPr>
          <w:iCs/>
          <w:lang w:val="fr-FR"/>
        </w:rPr>
        <w:t>)</w:t>
      </w:r>
      <w:r>
        <w:rPr>
          <w:lang w:val="fr-FR"/>
        </w:rPr>
        <w:t xml:space="preserve">, par. 6.3 ; et </w:t>
      </w:r>
      <w:proofErr w:type="spellStart"/>
      <w:r w:rsidRPr="00DF031F">
        <w:rPr>
          <w:i/>
          <w:lang w:val="fr-FR"/>
        </w:rPr>
        <w:t>Habouchi</w:t>
      </w:r>
      <w:proofErr w:type="spellEnd"/>
      <w:r w:rsidRPr="00DF031F">
        <w:rPr>
          <w:i/>
          <w:lang w:val="fr-FR"/>
        </w:rPr>
        <w:t xml:space="preserve"> c. Algérie</w:t>
      </w:r>
      <w:r>
        <w:rPr>
          <w:lang w:val="fr-FR"/>
        </w:rPr>
        <w:t xml:space="preserve"> (</w:t>
      </w:r>
      <w:hyperlink r:id="rId15" w:history="1">
        <w:r w:rsidRPr="00786915">
          <w:rPr>
            <w:rStyle w:val="Lienhypertexte"/>
            <w:lang w:val="fr-FR"/>
          </w:rPr>
          <w:t>CCPR/C/128/D/2819/2016</w:t>
        </w:r>
      </w:hyperlink>
      <w:r>
        <w:rPr>
          <w:lang w:val="fr-FR"/>
        </w:rPr>
        <w:t>), par. 7.3.</w:t>
      </w:r>
    </w:p>
  </w:footnote>
  <w:footnote w:id="15">
    <w:p w14:paraId="3C7D64A5" w14:textId="77777777" w:rsidR="00B13F56" w:rsidRPr="00DE54D3" w:rsidRDefault="00B13F56" w:rsidP="00B13F56">
      <w:pPr>
        <w:pStyle w:val="Notedebasdepage"/>
        <w:rPr>
          <w:szCs w:val="18"/>
        </w:rPr>
      </w:pPr>
      <w:r w:rsidRPr="00DE54D3">
        <w:rPr>
          <w:szCs w:val="18"/>
        </w:rPr>
        <w:tab/>
      </w:r>
      <w:r w:rsidRPr="00354FCF">
        <w:rPr>
          <w:rStyle w:val="Appelnotedebasdep"/>
        </w:rPr>
        <w:footnoteRef/>
      </w:r>
      <w:r w:rsidRPr="00DE54D3">
        <w:rPr>
          <w:szCs w:val="18"/>
        </w:rPr>
        <w:tab/>
      </w:r>
      <w:proofErr w:type="spellStart"/>
      <w:r w:rsidRPr="00DE54D3">
        <w:rPr>
          <w:i/>
        </w:rPr>
        <w:t>Boudjemai</w:t>
      </w:r>
      <w:proofErr w:type="spellEnd"/>
      <w:r w:rsidRPr="00DE54D3">
        <w:rPr>
          <w:i/>
        </w:rPr>
        <w:t xml:space="preserve"> c. </w:t>
      </w:r>
      <w:r w:rsidRPr="00C57DFE">
        <w:rPr>
          <w:i/>
          <w:iCs/>
        </w:rPr>
        <w:t>Algérie</w:t>
      </w:r>
      <w:r w:rsidRPr="00DE54D3">
        <w:rPr>
          <w:i/>
          <w:iCs/>
        </w:rPr>
        <w:t xml:space="preserve"> </w:t>
      </w:r>
      <w:r w:rsidRPr="00DE54D3">
        <w:t>(</w:t>
      </w:r>
      <w:hyperlink r:id="rId16" w:history="1">
        <w:r w:rsidRPr="00786915">
          <w:rPr>
            <w:rStyle w:val="Lienhypertexte"/>
          </w:rPr>
          <w:t>CCPR/C/107/D/1791/2008</w:t>
        </w:r>
      </w:hyperlink>
      <w:r w:rsidRPr="00DE54D3">
        <w:t xml:space="preserve">), par. 7.4 ; </w:t>
      </w:r>
      <w:proofErr w:type="spellStart"/>
      <w:r w:rsidRPr="00DE54D3">
        <w:rPr>
          <w:i/>
        </w:rPr>
        <w:t>Mezine</w:t>
      </w:r>
      <w:proofErr w:type="spellEnd"/>
      <w:r w:rsidRPr="00DE54D3">
        <w:rPr>
          <w:i/>
        </w:rPr>
        <w:t xml:space="preserve"> c. Algérie</w:t>
      </w:r>
      <w:r w:rsidRPr="00DE54D3">
        <w:t xml:space="preserve">, par. 7.4 ; </w:t>
      </w:r>
      <w:proofErr w:type="spellStart"/>
      <w:r w:rsidRPr="00DE54D3">
        <w:rPr>
          <w:i/>
          <w:lang w:val="fr-FR"/>
        </w:rPr>
        <w:t>Khirani</w:t>
      </w:r>
      <w:proofErr w:type="spellEnd"/>
      <w:r>
        <w:rPr>
          <w:i/>
          <w:lang w:val="fr-FR"/>
        </w:rPr>
        <w:t xml:space="preserve"> et consorts</w:t>
      </w:r>
      <w:r w:rsidRPr="00DE54D3">
        <w:rPr>
          <w:i/>
          <w:lang w:val="fr-FR"/>
        </w:rPr>
        <w:t xml:space="preserve"> </w:t>
      </w:r>
      <w:r w:rsidRPr="00DE54D3">
        <w:rPr>
          <w:rFonts w:eastAsia="MS Mincho"/>
          <w:i/>
          <w:lang w:val="fr-FR"/>
        </w:rPr>
        <w:t>c. Algérie</w:t>
      </w:r>
      <w:r w:rsidRPr="00DE54D3">
        <w:rPr>
          <w:rFonts w:eastAsia="MS Mincho"/>
          <w:lang w:val="fr-FR"/>
        </w:rPr>
        <w:t xml:space="preserve"> (</w:t>
      </w:r>
      <w:hyperlink r:id="rId17" w:history="1">
        <w:r w:rsidRPr="00786915">
          <w:rPr>
            <w:rStyle w:val="Lienhypertexte"/>
            <w:rFonts w:eastAsia="MS Mincho"/>
            <w:lang w:val="fr-FR"/>
          </w:rPr>
          <w:t>CCPR/C/104/D/1905/2009</w:t>
        </w:r>
      </w:hyperlink>
      <w:r w:rsidRPr="00DE54D3">
        <w:rPr>
          <w:rFonts w:eastAsia="MS Mincho"/>
          <w:lang w:val="fr-FR"/>
        </w:rPr>
        <w:t xml:space="preserve"> et </w:t>
      </w:r>
      <w:hyperlink r:id="rId18" w:history="1">
        <w:r w:rsidRPr="00786915">
          <w:rPr>
            <w:rStyle w:val="Lienhypertexte"/>
            <w:rFonts w:eastAsia="MS Mincho"/>
            <w:lang w:val="fr-FR"/>
          </w:rPr>
          <w:t>CCPR/C/104/D/1905/2009/Corr.1</w:t>
        </w:r>
      </w:hyperlink>
      <w:r w:rsidRPr="00DE54D3">
        <w:rPr>
          <w:rFonts w:eastAsia="MS Mincho"/>
          <w:lang w:val="fr-FR"/>
        </w:rPr>
        <w:t>)</w:t>
      </w:r>
      <w:r w:rsidRPr="00DE54D3">
        <w:t>, par. 6.4</w:t>
      </w:r>
      <w:r>
        <w:t> ; et</w:t>
      </w:r>
      <w:r w:rsidRPr="00F91E8D">
        <w:rPr>
          <w:i/>
        </w:rPr>
        <w:t xml:space="preserve"> </w:t>
      </w:r>
      <w:proofErr w:type="spellStart"/>
      <w:r w:rsidRPr="00DE54D3">
        <w:rPr>
          <w:i/>
        </w:rPr>
        <w:t>Berzig</w:t>
      </w:r>
      <w:proofErr w:type="spellEnd"/>
      <w:r w:rsidRPr="00DE54D3">
        <w:rPr>
          <w:i/>
          <w:lang w:val="fr-FR"/>
        </w:rPr>
        <w:t xml:space="preserve"> c. Algérie</w:t>
      </w:r>
      <w:r w:rsidRPr="00DE54D3">
        <w:rPr>
          <w:lang w:val="fr-FR"/>
        </w:rPr>
        <w:t xml:space="preserve"> (</w:t>
      </w:r>
      <w:hyperlink r:id="rId19" w:history="1">
        <w:r w:rsidRPr="00786915">
          <w:rPr>
            <w:rStyle w:val="Lienhypertexte"/>
            <w:lang w:val="fr-FR"/>
          </w:rPr>
          <w:t>CCPR/C/103/D/</w:t>
        </w:r>
        <w:r w:rsidRPr="00786915">
          <w:rPr>
            <w:rStyle w:val="Lienhypertexte"/>
          </w:rPr>
          <w:t>1781</w:t>
        </w:r>
        <w:r w:rsidRPr="00786915">
          <w:rPr>
            <w:rStyle w:val="Lienhypertexte"/>
            <w:lang w:val="fr-FR"/>
          </w:rPr>
          <w:t>/2008</w:t>
        </w:r>
      </w:hyperlink>
      <w:r w:rsidRPr="00DE54D3">
        <w:rPr>
          <w:lang w:val="fr-FR"/>
        </w:rPr>
        <w:t>)</w:t>
      </w:r>
      <w:r w:rsidRPr="00DE54D3">
        <w:t>, par. 7.4</w:t>
      </w:r>
      <w:r w:rsidRPr="00DE54D3">
        <w:rPr>
          <w:szCs w:val="18"/>
        </w:rPr>
        <w:t>.</w:t>
      </w:r>
    </w:p>
  </w:footnote>
  <w:footnote w:id="16">
    <w:p w14:paraId="318AF305" w14:textId="77777777" w:rsidR="00B13F56" w:rsidRPr="00DE54D3" w:rsidRDefault="00B13F56" w:rsidP="00B13F56">
      <w:pPr>
        <w:pStyle w:val="Notedebasdepage"/>
        <w:rPr>
          <w:szCs w:val="18"/>
        </w:rPr>
      </w:pPr>
      <w:r w:rsidRPr="00DE54D3">
        <w:rPr>
          <w:szCs w:val="18"/>
        </w:rPr>
        <w:tab/>
      </w:r>
      <w:r w:rsidRPr="00354FCF">
        <w:rPr>
          <w:rStyle w:val="Appelnotedebasdep"/>
        </w:rPr>
        <w:footnoteRef/>
      </w:r>
      <w:r w:rsidRPr="00DE54D3">
        <w:rPr>
          <w:szCs w:val="18"/>
        </w:rPr>
        <w:tab/>
      </w:r>
      <w:proofErr w:type="spellStart"/>
      <w:r w:rsidRPr="00653204">
        <w:rPr>
          <w:i/>
          <w:lang w:val="fr-FR"/>
        </w:rPr>
        <w:t>Rsiwi</w:t>
      </w:r>
      <w:proofErr w:type="spellEnd"/>
      <w:r w:rsidRPr="00653204">
        <w:rPr>
          <w:i/>
          <w:lang w:val="fr-FR"/>
        </w:rPr>
        <w:t xml:space="preserve"> c. Algérie</w:t>
      </w:r>
      <w:r>
        <w:rPr>
          <w:lang w:val="fr-FR"/>
        </w:rPr>
        <w:t xml:space="preserve">, par. 7.4 ; </w:t>
      </w:r>
      <w:proofErr w:type="spellStart"/>
      <w:r w:rsidRPr="003506A7">
        <w:rPr>
          <w:i/>
          <w:lang w:val="fr-FR"/>
        </w:rPr>
        <w:t>Berkaoui</w:t>
      </w:r>
      <w:proofErr w:type="spellEnd"/>
      <w:r w:rsidRPr="003506A7">
        <w:rPr>
          <w:i/>
          <w:lang w:val="fr-FR"/>
        </w:rPr>
        <w:t xml:space="preserve"> c. Algérie</w:t>
      </w:r>
      <w:r>
        <w:rPr>
          <w:lang w:val="fr-FR"/>
        </w:rPr>
        <w:t xml:space="preserve">, par. 7.4 ; </w:t>
      </w:r>
      <w:proofErr w:type="spellStart"/>
      <w:r w:rsidRPr="00660336">
        <w:rPr>
          <w:i/>
        </w:rPr>
        <w:t>Souaiene</w:t>
      </w:r>
      <w:proofErr w:type="spellEnd"/>
      <w:r w:rsidRPr="00660336">
        <w:rPr>
          <w:i/>
          <w:lang w:val="fr-FR"/>
        </w:rPr>
        <w:t xml:space="preserve"> </w:t>
      </w:r>
      <w:r>
        <w:rPr>
          <w:i/>
          <w:lang w:val="fr-FR"/>
        </w:rPr>
        <w:t xml:space="preserve">et </w:t>
      </w:r>
      <w:proofErr w:type="spellStart"/>
      <w:r>
        <w:rPr>
          <w:i/>
          <w:lang w:val="fr-FR"/>
        </w:rPr>
        <w:t>Souaiene</w:t>
      </w:r>
      <w:proofErr w:type="spellEnd"/>
      <w:r>
        <w:rPr>
          <w:i/>
          <w:lang w:val="fr-FR"/>
        </w:rPr>
        <w:t xml:space="preserve"> c. Algérie</w:t>
      </w:r>
      <w:r>
        <w:rPr>
          <w:lang w:val="fr-FR"/>
        </w:rPr>
        <w:t xml:space="preserve">, par. 7.4 ; </w:t>
      </w:r>
      <w:proofErr w:type="spellStart"/>
      <w:r w:rsidRPr="0051646E">
        <w:rPr>
          <w:i/>
          <w:lang w:val="fr-FR"/>
        </w:rPr>
        <w:t>Bendjael</w:t>
      </w:r>
      <w:proofErr w:type="spellEnd"/>
      <w:r w:rsidRPr="0051646E">
        <w:rPr>
          <w:i/>
          <w:lang w:val="fr-FR"/>
        </w:rPr>
        <w:t xml:space="preserve"> </w:t>
      </w:r>
      <w:r>
        <w:rPr>
          <w:i/>
          <w:lang w:val="fr-FR"/>
        </w:rPr>
        <w:t xml:space="preserve">et </w:t>
      </w:r>
      <w:proofErr w:type="spellStart"/>
      <w:r>
        <w:rPr>
          <w:i/>
          <w:lang w:val="fr-FR"/>
        </w:rPr>
        <w:t>Bendjael</w:t>
      </w:r>
      <w:proofErr w:type="spellEnd"/>
      <w:r>
        <w:rPr>
          <w:i/>
          <w:lang w:val="fr-FR"/>
        </w:rPr>
        <w:t xml:space="preserve"> </w:t>
      </w:r>
      <w:r w:rsidRPr="00C57DFE">
        <w:rPr>
          <w:i/>
          <w:lang w:val="fr-FR"/>
        </w:rPr>
        <w:t>c. Algérie</w:t>
      </w:r>
      <w:r>
        <w:rPr>
          <w:lang w:val="fr-FR"/>
        </w:rPr>
        <w:t>, par. 7</w:t>
      </w:r>
      <w:r w:rsidRPr="00DE54D3">
        <w:rPr>
          <w:lang w:val="fr-FR"/>
        </w:rPr>
        <w:t>.</w:t>
      </w:r>
      <w:r>
        <w:rPr>
          <w:lang w:val="fr-FR"/>
        </w:rPr>
        <w:t xml:space="preserve">4 ; </w:t>
      </w:r>
      <w:proofErr w:type="spellStart"/>
      <w:r w:rsidRPr="0051646E">
        <w:rPr>
          <w:i/>
          <w:iCs/>
        </w:rPr>
        <w:t>Cherguit</w:t>
      </w:r>
      <w:proofErr w:type="spellEnd"/>
      <w:r w:rsidRPr="00C57DFE">
        <w:rPr>
          <w:i/>
          <w:iCs/>
          <w:lang w:val="fr-FR"/>
        </w:rPr>
        <w:t xml:space="preserve"> c. Algérie</w:t>
      </w:r>
      <w:r>
        <w:rPr>
          <w:lang w:val="fr-FR"/>
        </w:rPr>
        <w:t xml:space="preserve">, par. 6.4 ; et </w:t>
      </w:r>
      <w:proofErr w:type="spellStart"/>
      <w:r w:rsidRPr="00DF031F">
        <w:rPr>
          <w:i/>
          <w:lang w:val="fr-FR"/>
        </w:rPr>
        <w:t>Habouchi</w:t>
      </w:r>
      <w:proofErr w:type="spellEnd"/>
      <w:r w:rsidRPr="00DF031F">
        <w:rPr>
          <w:i/>
          <w:lang w:val="fr-FR"/>
        </w:rPr>
        <w:t xml:space="preserve"> c. Algérie</w:t>
      </w:r>
      <w:r>
        <w:rPr>
          <w:lang w:val="fr-FR"/>
        </w:rPr>
        <w:t>, par. 7.4</w:t>
      </w:r>
      <w:r w:rsidRPr="00DE54D3">
        <w:rPr>
          <w:szCs w:val="18"/>
        </w:rPr>
        <w:t>.</w:t>
      </w:r>
    </w:p>
  </w:footnote>
  <w:footnote w:id="17">
    <w:p w14:paraId="3A99E1EE" w14:textId="77777777" w:rsidR="00B13F56" w:rsidRPr="00C41A63" w:rsidRDefault="00B13F56" w:rsidP="00B13F56">
      <w:pPr>
        <w:pStyle w:val="Notedebasdepage"/>
      </w:pPr>
      <w:r>
        <w:tab/>
      </w:r>
      <w:r w:rsidRPr="00354FCF">
        <w:rPr>
          <w:rStyle w:val="Appelnotedebasdep"/>
        </w:rPr>
        <w:footnoteRef/>
      </w:r>
      <w:r w:rsidRPr="00BB67F6">
        <w:tab/>
      </w:r>
      <w:r>
        <w:t>R</w:t>
      </w:r>
      <w:r w:rsidRPr="00C41A63">
        <w:t>èglement intérieur</w:t>
      </w:r>
      <w:r>
        <w:t xml:space="preserve"> du Comité, art. 99 (al. c)). Voir également </w:t>
      </w:r>
      <w:proofErr w:type="spellStart"/>
      <w:r w:rsidRPr="003E4756">
        <w:rPr>
          <w:i/>
        </w:rPr>
        <w:t>Drif</w:t>
      </w:r>
      <w:proofErr w:type="spellEnd"/>
      <w:r w:rsidRPr="003E4756">
        <w:rPr>
          <w:i/>
        </w:rPr>
        <w:t xml:space="preserve"> </w:t>
      </w:r>
      <w:r>
        <w:rPr>
          <w:i/>
        </w:rPr>
        <w:t xml:space="preserve">et </w:t>
      </w:r>
      <w:proofErr w:type="spellStart"/>
      <w:r>
        <w:rPr>
          <w:i/>
        </w:rPr>
        <w:t>Rafraf</w:t>
      </w:r>
      <w:proofErr w:type="spellEnd"/>
      <w:r>
        <w:rPr>
          <w:i/>
        </w:rPr>
        <w:t xml:space="preserve"> </w:t>
      </w:r>
      <w:r w:rsidRPr="003E4756">
        <w:rPr>
          <w:i/>
        </w:rPr>
        <w:t>c. Algérie</w:t>
      </w:r>
      <w:r>
        <w:t xml:space="preserve"> (</w:t>
      </w:r>
      <w:hyperlink r:id="rId20" w:history="1">
        <w:r w:rsidRPr="00786915">
          <w:rPr>
            <w:rStyle w:val="Lienhypertexte"/>
          </w:rPr>
          <w:t>CCPR/C/134/D/3320/2019</w:t>
        </w:r>
      </w:hyperlink>
      <w:r>
        <w:t>), par. 7.5.</w:t>
      </w:r>
    </w:p>
  </w:footnote>
  <w:footnote w:id="18">
    <w:p w14:paraId="3C7D3C81" w14:textId="77777777" w:rsidR="00B13F56" w:rsidRPr="00065A68" w:rsidRDefault="00B13F56" w:rsidP="00B13F56">
      <w:pPr>
        <w:pStyle w:val="Notedebasdepage"/>
      </w:pPr>
      <w:r>
        <w:tab/>
      </w:r>
      <w:r w:rsidRPr="00354FCF">
        <w:rPr>
          <w:rStyle w:val="Appelnotedebasdep"/>
        </w:rPr>
        <w:footnoteRef/>
      </w:r>
      <w:r>
        <w:tab/>
      </w:r>
      <w:proofErr w:type="spellStart"/>
      <w:r w:rsidRPr="00653204">
        <w:rPr>
          <w:i/>
          <w:lang w:val="fr-FR"/>
        </w:rPr>
        <w:t>Rsiwi</w:t>
      </w:r>
      <w:proofErr w:type="spellEnd"/>
      <w:r w:rsidRPr="00653204">
        <w:rPr>
          <w:i/>
          <w:lang w:val="fr-FR"/>
        </w:rPr>
        <w:t xml:space="preserve"> c. Algérie</w:t>
      </w:r>
      <w:r>
        <w:rPr>
          <w:lang w:val="fr-FR"/>
        </w:rPr>
        <w:t xml:space="preserve">, par. 7.6 ; </w:t>
      </w:r>
      <w:proofErr w:type="spellStart"/>
      <w:r w:rsidRPr="009A5C01">
        <w:rPr>
          <w:i/>
        </w:rPr>
        <w:t>Berkaoui</w:t>
      </w:r>
      <w:proofErr w:type="spellEnd"/>
      <w:r w:rsidRPr="009A5C01">
        <w:rPr>
          <w:i/>
        </w:rPr>
        <w:t xml:space="preserve"> c. Algérie</w:t>
      </w:r>
      <w:r>
        <w:t xml:space="preserve">, par. 7.5 ; et </w:t>
      </w:r>
      <w:proofErr w:type="spellStart"/>
      <w:r w:rsidRPr="00653204">
        <w:rPr>
          <w:i/>
          <w:lang w:val="fr-FR"/>
        </w:rPr>
        <w:t>Dafar</w:t>
      </w:r>
      <w:proofErr w:type="spellEnd"/>
      <w:r w:rsidRPr="00653204">
        <w:rPr>
          <w:i/>
          <w:lang w:val="fr-FR"/>
        </w:rPr>
        <w:t xml:space="preserve"> c. Algérie</w:t>
      </w:r>
      <w:r>
        <w:rPr>
          <w:lang w:val="fr-FR"/>
        </w:rPr>
        <w:t>, par. 5.4.</w:t>
      </w:r>
    </w:p>
  </w:footnote>
  <w:footnote w:id="19">
    <w:p w14:paraId="2B8700EC" w14:textId="77777777" w:rsidR="00B13F56" w:rsidRPr="00345C77" w:rsidRDefault="00B13F56" w:rsidP="00B13F56">
      <w:pPr>
        <w:pStyle w:val="Notedebasdepage"/>
      </w:pPr>
      <w:r>
        <w:tab/>
      </w:r>
      <w:r w:rsidRPr="00354FCF">
        <w:rPr>
          <w:rStyle w:val="Appelnotedebasdep"/>
        </w:rPr>
        <w:footnoteRef/>
      </w:r>
      <w:r>
        <w:tab/>
      </w:r>
      <w:proofErr w:type="spellStart"/>
      <w:r w:rsidRPr="00653204">
        <w:rPr>
          <w:i/>
          <w:lang w:val="fr-FR"/>
        </w:rPr>
        <w:t>Rsiwi</w:t>
      </w:r>
      <w:proofErr w:type="spellEnd"/>
      <w:r w:rsidRPr="00653204">
        <w:rPr>
          <w:i/>
          <w:lang w:val="fr-FR"/>
        </w:rPr>
        <w:t xml:space="preserve"> c. Algérie</w:t>
      </w:r>
      <w:r>
        <w:rPr>
          <w:lang w:val="fr-FR"/>
        </w:rPr>
        <w:t xml:space="preserve">, par. 7.5 ; et </w:t>
      </w:r>
      <w:proofErr w:type="spellStart"/>
      <w:r>
        <w:rPr>
          <w:i/>
          <w:lang w:val="fr-FR"/>
        </w:rPr>
        <w:t>Boutarsa</w:t>
      </w:r>
      <w:proofErr w:type="spellEnd"/>
      <w:r w:rsidRPr="00893C3C">
        <w:rPr>
          <w:i/>
          <w:lang w:val="fr-FR"/>
        </w:rPr>
        <w:t xml:space="preserve"> c. Algérie</w:t>
      </w:r>
      <w:r>
        <w:rPr>
          <w:lang w:val="fr-FR"/>
        </w:rPr>
        <w:t xml:space="preserve"> (</w:t>
      </w:r>
      <w:hyperlink r:id="rId21" w:history="1">
        <w:r w:rsidRPr="00786915">
          <w:rPr>
            <w:rStyle w:val="Lienhypertexte"/>
            <w:lang w:val="fr-FR"/>
          </w:rPr>
          <w:t>CCPR/C/135/D/3010/2017</w:t>
        </w:r>
      </w:hyperlink>
      <w:r>
        <w:rPr>
          <w:lang w:val="fr-FR"/>
        </w:rPr>
        <w:t>), par. 7.6.</w:t>
      </w:r>
    </w:p>
  </w:footnote>
  <w:footnote w:id="20">
    <w:p w14:paraId="753B3253" w14:textId="77777777" w:rsidR="00B13F56" w:rsidRPr="0062166A" w:rsidRDefault="00B13F56" w:rsidP="00B13F56">
      <w:pPr>
        <w:pStyle w:val="Notedebasdepage"/>
      </w:pPr>
      <w:r>
        <w:tab/>
      </w:r>
      <w:r w:rsidRPr="00354FCF">
        <w:rPr>
          <w:rStyle w:val="Appelnotedebasdep"/>
        </w:rPr>
        <w:footnoteRef/>
      </w:r>
      <w:r>
        <w:tab/>
      </w:r>
      <w:r w:rsidRPr="00412A5B">
        <w:rPr>
          <w:i/>
          <w:iCs/>
        </w:rPr>
        <w:t>Poliakov</w:t>
      </w:r>
      <w:r w:rsidRPr="00D82649">
        <w:rPr>
          <w:i/>
          <w:iCs/>
        </w:rPr>
        <w:t xml:space="preserve"> c. </w:t>
      </w:r>
      <w:r w:rsidRPr="00412A5B">
        <w:rPr>
          <w:i/>
          <w:iCs/>
        </w:rPr>
        <w:t>B</w:t>
      </w:r>
      <w:r>
        <w:rPr>
          <w:i/>
          <w:iCs/>
        </w:rPr>
        <w:t>é</w:t>
      </w:r>
      <w:r w:rsidRPr="00412A5B">
        <w:rPr>
          <w:i/>
          <w:iCs/>
        </w:rPr>
        <w:t>larus</w:t>
      </w:r>
      <w:r>
        <w:t xml:space="preserve"> (</w:t>
      </w:r>
      <w:hyperlink r:id="rId22" w:history="1">
        <w:r w:rsidRPr="00786915">
          <w:rPr>
            <w:rStyle w:val="Lienhypertexte"/>
          </w:rPr>
          <w:t>CCPR/C/111/D/2030/2011</w:t>
        </w:r>
      </w:hyperlink>
      <w:r>
        <w:t xml:space="preserve">), par. </w:t>
      </w:r>
      <w:r w:rsidRPr="00412A5B">
        <w:t>7.4.</w:t>
      </w:r>
    </w:p>
  </w:footnote>
  <w:footnote w:id="21">
    <w:p w14:paraId="7B069D20" w14:textId="77777777" w:rsidR="00B13F56" w:rsidRPr="00DE54D3" w:rsidRDefault="00B13F56" w:rsidP="00B13F56">
      <w:pPr>
        <w:pStyle w:val="Notedebasdepage"/>
      </w:pPr>
      <w:r w:rsidRPr="00DE54D3">
        <w:rPr>
          <w:lang w:val="fr-FR"/>
        </w:rPr>
        <w:tab/>
      </w:r>
      <w:r w:rsidRPr="00354FCF">
        <w:rPr>
          <w:rStyle w:val="Appelnotedebasdep"/>
        </w:rPr>
        <w:footnoteRef/>
      </w:r>
      <w:r w:rsidRPr="00DE54D3">
        <w:tab/>
        <w:t xml:space="preserve">Voir, par exemple, </w:t>
      </w:r>
      <w:r w:rsidRPr="00DE54D3">
        <w:rPr>
          <w:i/>
          <w:lang w:val="fr-FR"/>
        </w:rPr>
        <w:t xml:space="preserve">Ch. H. O. c. Canada </w:t>
      </w:r>
      <w:r w:rsidRPr="00DE54D3">
        <w:rPr>
          <w:lang w:val="fr-FR"/>
        </w:rPr>
        <w:t>(</w:t>
      </w:r>
      <w:hyperlink r:id="rId23" w:history="1">
        <w:r w:rsidRPr="00786915">
          <w:rPr>
            <w:rStyle w:val="Lienhypertexte"/>
            <w:lang w:val="fr-FR"/>
          </w:rPr>
          <w:t>CCPR/C/118/D/2195/2012</w:t>
        </w:r>
      </w:hyperlink>
      <w:r w:rsidRPr="00DE54D3">
        <w:rPr>
          <w:lang w:val="fr-FR"/>
        </w:rPr>
        <w:t xml:space="preserve">), par. 9.4 ; </w:t>
      </w:r>
      <w:r w:rsidRPr="00DE54D3">
        <w:rPr>
          <w:i/>
        </w:rPr>
        <w:t>H. E. A. K. c. Danemark</w:t>
      </w:r>
      <w:r w:rsidRPr="00DE54D3">
        <w:t xml:space="preserve"> (</w:t>
      </w:r>
      <w:hyperlink r:id="rId24" w:history="1">
        <w:r w:rsidRPr="00786915">
          <w:rPr>
            <w:rStyle w:val="Lienhypertexte"/>
          </w:rPr>
          <w:t>CCPR/C/114/D/2343/2014</w:t>
        </w:r>
      </w:hyperlink>
      <w:r w:rsidRPr="00DE54D3">
        <w:t xml:space="preserve">), par. </w:t>
      </w:r>
      <w:r w:rsidRPr="00DE54D3">
        <w:rPr>
          <w:lang w:val="fr-FR"/>
        </w:rPr>
        <w:t xml:space="preserve">7.4 ; </w:t>
      </w:r>
      <w:proofErr w:type="spellStart"/>
      <w:r w:rsidRPr="00DE54D3">
        <w:rPr>
          <w:i/>
          <w:lang w:val="fr-FR"/>
        </w:rPr>
        <w:t>Castañeda</w:t>
      </w:r>
      <w:proofErr w:type="spellEnd"/>
      <w:r w:rsidRPr="00DE54D3">
        <w:rPr>
          <w:i/>
          <w:lang w:val="fr-FR"/>
        </w:rPr>
        <w:t xml:space="preserve"> c. Mexique</w:t>
      </w:r>
      <w:r w:rsidRPr="00DE54D3">
        <w:rPr>
          <w:lang w:val="fr-FR"/>
        </w:rPr>
        <w:t xml:space="preserve"> (</w:t>
      </w:r>
      <w:hyperlink r:id="rId25" w:history="1">
        <w:r w:rsidRPr="00786915">
          <w:rPr>
            <w:rStyle w:val="Lienhypertexte"/>
            <w:lang w:val="fr-FR"/>
          </w:rPr>
          <w:t>CCPR/C/108/D/2202/</w:t>
        </w:r>
        <w:r w:rsidRPr="00786915">
          <w:rPr>
            <w:rStyle w:val="Lienhypertexte"/>
          </w:rPr>
          <w:t>2012</w:t>
        </w:r>
      </w:hyperlink>
      <w:r w:rsidRPr="00DE54D3">
        <w:rPr>
          <w:lang w:val="fr-FR"/>
        </w:rPr>
        <w:t xml:space="preserve">), par. 6.8 ; </w:t>
      </w:r>
      <w:r w:rsidRPr="00DE54D3">
        <w:rPr>
          <w:i/>
          <w:lang w:val="fr-FR"/>
        </w:rPr>
        <w:t>A. P. c. Ukraine</w:t>
      </w:r>
      <w:r w:rsidRPr="00DE54D3">
        <w:rPr>
          <w:lang w:val="fr-FR"/>
        </w:rPr>
        <w:t xml:space="preserve"> (</w:t>
      </w:r>
      <w:hyperlink r:id="rId26" w:history="1">
        <w:r w:rsidRPr="00786915">
          <w:rPr>
            <w:rStyle w:val="Lienhypertexte"/>
            <w:lang w:val="fr-FR"/>
          </w:rPr>
          <w:t>CCPR/C/105/D/1834/2008</w:t>
        </w:r>
      </w:hyperlink>
      <w:r w:rsidRPr="00DE54D3">
        <w:rPr>
          <w:lang w:val="fr-FR"/>
        </w:rPr>
        <w:t xml:space="preserve">), par. </w:t>
      </w:r>
      <w:r w:rsidRPr="00DE54D3">
        <w:t>8.5</w:t>
      </w:r>
      <w:r>
        <w:t xml:space="preserve"> ; et </w:t>
      </w:r>
      <w:proofErr w:type="spellStart"/>
      <w:r w:rsidRPr="00DE54D3">
        <w:rPr>
          <w:i/>
          <w:lang w:val="fr-FR"/>
        </w:rPr>
        <w:t>Peirano</w:t>
      </w:r>
      <w:proofErr w:type="spellEnd"/>
      <w:r w:rsidRPr="00DE54D3">
        <w:rPr>
          <w:i/>
          <w:lang w:val="fr-FR"/>
        </w:rPr>
        <w:t xml:space="preserve"> </w:t>
      </w:r>
      <w:proofErr w:type="spellStart"/>
      <w:r w:rsidRPr="00DE54D3">
        <w:rPr>
          <w:i/>
          <w:lang w:val="fr-FR"/>
        </w:rPr>
        <w:t>Basso</w:t>
      </w:r>
      <w:proofErr w:type="spellEnd"/>
      <w:r w:rsidRPr="00DE54D3">
        <w:rPr>
          <w:i/>
          <w:lang w:val="fr-FR"/>
        </w:rPr>
        <w:t xml:space="preserve"> c. Uruguay </w:t>
      </w:r>
      <w:r w:rsidRPr="00DE54D3">
        <w:rPr>
          <w:lang w:val="fr-FR"/>
        </w:rPr>
        <w:t>(</w:t>
      </w:r>
      <w:hyperlink r:id="rId27" w:history="1">
        <w:r w:rsidRPr="00786915">
          <w:rPr>
            <w:rStyle w:val="Lienhypertexte"/>
            <w:lang w:val="fr-FR"/>
          </w:rPr>
          <w:t>CCPR/C/100/D/1887/2009</w:t>
        </w:r>
      </w:hyperlink>
      <w:r w:rsidRPr="00DE54D3">
        <w:rPr>
          <w:lang w:val="fr-FR"/>
        </w:rPr>
        <w:t>), par. 9.4</w:t>
      </w:r>
      <w:r w:rsidRPr="00DE54D3">
        <w:t>.</w:t>
      </w:r>
    </w:p>
  </w:footnote>
  <w:footnote w:id="22">
    <w:p w14:paraId="47C6C1F2" w14:textId="77777777" w:rsidR="00B13F56" w:rsidRPr="00DD232B" w:rsidRDefault="00B13F56" w:rsidP="00B13F56">
      <w:pPr>
        <w:pStyle w:val="Notedebasdepage"/>
        <w:rPr>
          <w:lang w:val="fr-FR"/>
        </w:rPr>
      </w:pPr>
      <w:r>
        <w:tab/>
      </w:r>
      <w:r w:rsidRPr="00354FCF">
        <w:rPr>
          <w:rStyle w:val="Appelnotedebasdep"/>
        </w:rPr>
        <w:footnoteRef/>
      </w:r>
      <w:r>
        <w:tab/>
      </w:r>
      <w:proofErr w:type="spellStart"/>
      <w:r w:rsidRPr="00660336">
        <w:rPr>
          <w:i/>
        </w:rPr>
        <w:t>Souaiene</w:t>
      </w:r>
      <w:proofErr w:type="spellEnd"/>
      <w:r>
        <w:rPr>
          <w:i/>
        </w:rPr>
        <w:t xml:space="preserve"> et </w:t>
      </w:r>
      <w:proofErr w:type="spellStart"/>
      <w:r>
        <w:rPr>
          <w:i/>
        </w:rPr>
        <w:t>Souaiene</w:t>
      </w:r>
      <w:proofErr w:type="spellEnd"/>
      <w:r w:rsidRPr="00660336">
        <w:rPr>
          <w:i/>
          <w:lang w:val="fr-FR"/>
        </w:rPr>
        <w:t xml:space="preserve"> </w:t>
      </w:r>
      <w:r>
        <w:rPr>
          <w:i/>
          <w:lang w:val="fr-FR"/>
        </w:rPr>
        <w:t>c. Algérie</w:t>
      </w:r>
      <w:r>
        <w:rPr>
          <w:lang w:val="fr-FR"/>
        </w:rPr>
        <w:t>, par. 7.5.</w:t>
      </w:r>
    </w:p>
  </w:footnote>
  <w:footnote w:id="23">
    <w:p w14:paraId="2F0B3B5B" w14:textId="77777777" w:rsidR="00B13F56" w:rsidRPr="00424045" w:rsidRDefault="00B13F56" w:rsidP="00B13F56">
      <w:pPr>
        <w:pStyle w:val="Notedebasdepage"/>
      </w:pPr>
      <w:r>
        <w:tab/>
      </w:r>
      <w:r w:rsidRPr="00354FCF">
        <w:rPr>
          <w:rStyle w:val="Appelnotedebasdep"/>
        </w:rPr>
        <w:footnoteRef/>
      </w:r>
      <w:r>
        <w:tab/>
      </w:r>
      <w:r w:rsidRPr="009505B1">
        <w:t xml:space="preserve">Voir, entre autres, </w:t>
      </w:r>
      <w:proofErr w:type="spellStart"/>
      <w:r w:rsidRPr="009662D1">
        <w:rPr>
          <w:i/>
          <w:iCs/>
        </w:rPr>
        <w:t>Boudjemai</w:t>
      </w:r>
      <w:proofErr w:type="spellEnd"/>
      <w:r w:rsidRPr="009662D1">
        <w:rPr>
          <w:i/>
          <w:iCs/>
        </w:rPr>
        <w:t xml:space="preserve"> </w:t>
      </w:r>
      <w:r w:rsidRPr="009662D1">
        <w:rPr>
          <w:i/>
        </w:rPr>
        <w:t>c.</w:t>
      </w:r>
      <w:r>
        <w:rPr>
          <w:i/>
          <w:iCs/>
        </w:rPr>
        <w:t xml:space="preserve"> </w:t>
      </w:r>
      <w:r w:rsidRPr="009662D1">
        <w:rPr>
          <w:i/>
          <w:iCs/>
        </w:rPr>
        <w:t>Algérie</w:t>
      </w:r>
      <w:r>
        <w:t xml:space="preserve">, par. </w:t>
      </w:r>
      <w:r w:rsidRPr="009505B1">
        <w:t>8.2</w:t>
      </w:r>
      <w:r>
        <w:t xml:space="preserve"> ; </w:t>
      </w:r>
      <w:proofErr w:type="spellStart"/>
      <w:r w:rsidRPr="009F7E69">
        <w:rPr>
          <w:i/>
          <w:iCs/>
        </w:rPr>
        <w:t>Mezine</w:t>
      </w:r>
      <w:proofErr w:type="spellEnd"/>
      <w:r w:rsidRPr="009F7E69">
        <w:rPr>
          <w:i/>
          <w:iCs/>
        </w:rPr>
        <w:t xml:space="preserve"> </w:t>
      </w:r>
      <w:r w:rsidRPr="009F7E69">
        <w:rPr>
          <w:i/>
        </w:rPr>
        <w:t>c.</w:t>
      </w:r>
      <w:r>
        <w:rPr>
          <w:i/>
          <w:iCs/>
        </w:rPr>
        <w:t xml:space="preserve"> </w:t>
      </w:r>
      <w:r w:rsidRPr="009F7E69">
        <w:rPr>
          <w:i/>
          <w:iCs/>
        </w:rPr>
        <w:t>Algérie</w:t>
      </w:r>
      <w:r w:rsidRPr="009505B1">
        <w:t xml:space="preserve">, </w:t>
      </w:r>
      <w:r>
        <w:t xml:space="preserve">par. </w:t>
      </w:r>
      <w:r w:rsidRPr="009505B1">
        <w:t>8.2 ;</w:t>
      </w:r>
      <w:r>
        <w:t xml:space="preserve"> et</w:t>
      </w:r>
      <w:r w:rsidRPr="009505B1">
        <w:t xml:space="preserve"> </w:t>
      </w:r>
      <w:proofErr w:type="spellStart"/>
      <w:r w:rsidRPr="009662D1">
        <w:rPr>
          <w:i/>
          <w:iCs/>
        </w:rPr>
        <w:t>Berzig</w:t>
      </w:r>
      <w:proofErr w:type="spellEnd"/>
      <w:r w:rsidRPr="009662D1">
        <w:rPr>
          <w:i/>
          <w:iCs/>
        </w:rPr>
        <w:t xml:space="preserve"> c.</w:t>
      </w:r>
      <w:r>
        <w:rPr>
          <w:i/>
          <w:iCs/>
        </w:rPr>
        <w:t xml:space="preserve"> </w:t>
      </w:r>
      <w:r w:rsidRPr="009662D1">
        <w:rPr>
          <w:i/>
          <w:iCs/>
        </w:rPr>
        <w:t>Algérie</w:t>
      </w:r>
      <w:r>
        <w:t xml:space="preserve">, par. </w:t>
      </w:r>
      <w:r w:rsidRPr="009505B1">
        <w:t>8.2.</w:t>
      </w:r>
    </w:p>
  </w:footnote>
  <w:footnote w:id="24">
    <w:p w14:paraId="5CF0CEC0" w14:textId="77777777" w:rsidR="00B13F56" w:rsidRPr="00424045" w:rsidRDefault="00B13F56" w:rsidP="00B13F56">
      <w:pPr>
        <w:pStyle w:val="Notedebasdepage"/>
      </w:pPr>
      <w:r>
        <w:tab/>
      </w:r>
      <w:r w:rsidRPr="00354FCF">
        <w:rPr>
          <w:rStyle w:val="Appelnotedebasdep"/>
        </w:rPr>
        <w:footnoteRef/>
      </w:r>
      <w:r>
        <w:tab/>
      </w:r>
      <w:r w:rsidRPr="00424045">
        <w:t>Le Pacte exige de l’État partie qu’il</w:t>
      </w:r>
      <w:r w:rsidRPr="00DE54D3">
        <w:t xml:space="preserve"> se soucie du sort de chaque personne et qu’il traite chaque personne avec le respect de la dignité inhérente à la personne humaine.</w:t>
      </w:r>
    </w:p>
  </w:footnote>
  <w:footnote w:id="25">
    <w:p w14:paraId="1D387A89" w14:textId="77777777" w:rsidR="00B13F56" w:rsidRPr="00DE54D3" w:rsidRDefault="00B13F56" w:rsidP="00B13F56">
      <w:pPr>
        <w:pStyle w:val="Notedebasdepage"/>
      </w:pPr>
      <w:r w:rsidRPr="00DE54D3">
        <w:tab/>
      </w:r>
      <w:r w:rsidRPr="00354FCF">
        <w:rPr>
          <w:rStyle w:val="Appelnotedebasdep"/>
        </w:rPr>
        <w:footnoteRef/>
      </w:r>
      <w:r w:rsidRPr="00DE54D3">
        <w:tab/>
      </w:r>
      <w:proofErr w:type="spellStart"/>
      <w:r w:rsidRPr="00653204">
        <w:rPr>
          <w:i/>
          <w:lang w:val="fr-FR"/>
        </w:rPr>
        <w:t>Dafar</w:t>
      </w:r>
      <w:proofErr w:type="spellEnd"/>
      <w:r w:rsidRPr="00653204">
        <w:rPr>
          <w:i/>
          <w:lang w:val="fr-FR"/>
        </w:rPr>
        <w:t xml:space="preserve"> c. Algérie</w:t>
      </w:r>
      <w:r>
        <w:rPr>
          <w:lang w:val="fr-FR"/>
        </w:rPr>
        <w:t xml:space="preserve">, par. 6.4 ; </w:t>
      </w:r>
      <w:proofErr w:type="spellStart"/>
      <w:r w:rsidRPr="00DE54D3">
        <w:rPr>
          <w:i/>
          <w:szCs w:val="18"/>
          <w:lang w:val="fr-FR"/>
        </w:rPr>
        <w:t>Zaier</w:t>
      </w:r>
      <w:proofErr w:type="spellEnd"/>
      <w:r w:rsidRPr="00DE54D3">
        <w:rPr>
          <w:i/>
          <w:szCs w:val="18"/>
          <w:lang w:val="fr-FR"/>
        </w:rPr>
        <w:t xml:space="preserve"> c. Algérie</w:t>
      </w:r>
      <w:r>
        <w:rPr>
          <w:i/>
          <w:szCs w:val="18"/>
          <w:lang w:val="fr-FR"/>
        </w:rPr>
        <w:t xml:space="preserve"> </w:t>
      </w:r>
      <w:r w:rsidRPr="00DE54D3">
        <w:rPr>
          <w:iCs/>
        </w:rPr>
        <w:t>(</w:t>
      </w:r>
      <w:hyperlink r:id="rId28" w:history="1">
        <w:r w:rsidRPr="00786915">
          <w:rPr>
            <w:rStyle w:val="Lienhypertexte"/>
            <w:iCs/>
          </w:rPr>
          <w:t>CCPR/C/112/D/2026/2011</w:t>
        </w:r>
      </w:hyperlink>
      <w:r w:rsidRPr="00DE54D3">
        <w:rPr>
          <w:iCs/>
        </w:rPr>
        <w:t>)</w:t>
      </w:r>
      <w:r w:rsidRPr="00DE54D3">
        <w:rPr>
          <w:szCs w:val="18"/>
          <w:lang w:val="fr-FR"/>
        </w:rPr>
        <w:t xml:space="preserve">, par. 7.2 ; et </w:t>
      </w:r>
      <w:proofErr w:type="spellStart"/>
      <w:r w:rsidRPr="00DE54D3">
        <w:rPr>
          <w:i/>
          <w:szCs w:val="18"/>
          <w:lang w:val="fr-FR"/>
        </w:rPr>
        <w:t>Ammari</w:t>
      </w:r>
      <w:proofErr w:type="spellEnd"/>
      <w:r w:rsidRPr="00DE54D3">
        <w:rPr>
          <w:i/>
          <w:szCs w:val="18"/>
          <w:lang w:val="fr-FR"/>
        </w:rPr>
        <w:t xml:space="preserve"> c. Algérie</w:t>
      </w:r>
      <w:r w:rsidRPr="00DE54D3">
        <w:rPr>
          <w:szCs w:val="18"/>
          <w:lang w:val="fr-FR"/>
        </w:rPr>
        <w:t>, par. 8.2</w:t>
      </w:r>
      <w:r w:rsidRPr="00DE54D3">
        <w:rPr>
          <w:lang w:val="fr-FR"/>
        </w:rPr>
        <w:t>.</w:t>
      </w:r>
    </w:p>
  </w:footnote>
  <w:footnote w:id="26">
    <w:p w14:paraId="1AC1AAFF" w14:textId="77777777" w:rsidR="00B13F56" w:rsidRPr="00DE54D3" w:rsidRDefault="00B13F56" w:rsidP="00B13F56">
      <w:pPr>
        <w:pStyle w:val="Notedebasdepage"/>
      </w:pPr>
      <w:r w:rsidRPr="00DE54D3">
        <w:tab/>
      </w:r>
      <w:r w:rsidRPr="00354FCF">
        <w:rPr>
          <w:rStyle w:val="Appelnotedebasdep"/>
        </w:rPr>
        <w:footnoteRef/>
      </w:r>
      <w:r w:rsidRPr="00DE54D3">
        <w:tab/>
      </w:r>
      <w:r w:rsidRPr="00DE54D3">
        <w:rPr>
          <w:lang w:val="fr-FR"/>
        </w:rPr>
        <w:t xml:space="preserve">Voir, entre autres, </w:t>
      </w:r>
      <w:proofErr w:type="spellStart"/>
      <w:r w:rsidRPr="00DE54D3">
        <w:rPr>
          <w:i/>
          <w:lang w:val="fr-FR"/>
        </w:rPr>
        <w:t>Ammari</w:t>
      </w:r>
      <w:proofErr w:type="spellEnd"/>
      <w:r w:rsidRPr="00DE54D3">
        <w:rPr>
          <w:i/>
          <w:lang w:val="fr-FR"/>
        </w:rPr>
        <w:t xml:space="preserve"> c. </w:t>
      </w:r>
      <w:r w:rsidRPr="00C57DFE">
        <w:rPr>
          <w:i/>
          <w:iCs/>
        </w:rPr>
        <w:t>Algérie</w:t>
      </w:r>
      <w:r w:rsidRPr="00DE54D3">
        <w:rPr>
          <w:lang w:val="fr-FR"/>
        </w:rPr>
        <w:t xml:space="preserve">, par. 8.3 ; </w:t>
      </w:r>
      <w:proofErr w:type="spellStart"/>
      <w:r w:rsidRPr="00DE54D3">
        <w:rPr>
          <w:i/>
          <w:iCs/>
          <w:lang w:val="fr-FR"/>
        </w:rPr>
        <w:t>Mezine</w:t>
      </w:r>
      <w:proofErr w:type="spellEnd"/>
      <w:r w:rsidRPr="00DE54D3">
        <w:rPr>
          <w:i/>
          <w:iCs/>
          <w:lang w:val="fr-FR"/>
        </w:rPr>
        <w:t xml:space="preserve"> c. Algérie</w:t>
      </w:r>
      <w:r w:rsidRPr="00DE54D3">
        <w:rPr>
          <w:lang w:val="fr-FR"/>
        </w:rPr>
        <w:t>, par. 8.3 ;</w:t>
      </w:r>
      <w:r w:rsidRPr="00E901E6">
        <w:rPr>
          <w:i/>
        </w:rPr>
        <w:t xml:space="preserve"> </w:t>
      </w:r>
      <w:proofErr w:type="spellStart"/>
      <w:r w:rsidRPr="00DE54D3">
        <w:rPr>
          <w:i/>
        </w:rPr>
        <w:t>Berzig</w:t>
      </w:r>
      <w:proofErr w:type="spellEnd"/>
      <w:r w:rsidRPr="00DE54D3">
        <w:rPr>
          <w:i/>
          <w:iCs/>
          <w:lang w:val="fr-FR"/>
        </w:rPr>
        <w:t xml:space="preserve"> c. Algérie</w:t>
      </w:r>
      <w:r w:rsidRPr="00DE54D3">
        <w:rPr>
          <w:lang w:val="fr-FR"/>
        </w:rPr>
        <w:t>, par.</w:t>
      </w:r>
      <w:r>
        <w:rPr>
          <w:lang w:val="fr-FR"/>
        </w:rPr>
        <w:t> </w:t>
      </w:r>
      <w:r w:rsidRPr="00DE54D3">
        <w:rPr>
          <w:lang w:val="fr-FR"/>
        </w:rPr>
        <w:t>8.3</w:t>
      </w:r>
      <w:r>
        <w:rPr>
          <w:lang w:val="fr-FR"/>
        </w:rPr>
        <w:t> ; et</w:t>
      </w:r>
      <w:r w:rsidRPr="00DE54D3">
        <w:rPr>
          <w:lang w:val="fr-FR"/>
        </w:rPr>
        <w:t xml:space="preserve"> </w:t>
      </w:r>
      <w:r w:rsidRPr="00DE54D3">
        <w:rPr>
          <w:i/>
          <w:iCs/>
        </w:rPr>
        <w:t xml:space="preserve">El </w:t>
      </w:r>
      <w:proofErr w:type="spellStart"/>
      <w:r w:rsidRPr="00DE54D3">
        <w:rPr>
          <w:i/>
          <w:iCs/>
        </w:rPr>
        <w:t>Abani</w:t>
      </w:r>
      <w:proofErr w:type="spellEnd"/>
      <w:r w:rsidRPr="00DE54D3">
        <w:rPr>
          <w:i/>
          <w:iCs/>
        </w:rPr>
        <w:t xml:space="preserve"> c. Jamahiriya arabe libyenne</w:t>
      </w:r>
      <w:r w:rsidRPr="00DE54D3">
        <w:rPr>
          <w:iCs/>
        </w:rPr>
        <w:t xml:space="preserve"> (</w:t>
      </w:r>
      <w:hyperlink r:id="rId29" w:history="1">
        <w:r w:rsidRPr="00786915">
          <w:rPr>
            <w:rStyle w:val="Lienhypertexte"/>
            <w:iCs/>
          </w:rPr>
          <w:t>CCPR/C/99/D/1640/2007</w:t>
        </w:r>
      </w:hyperlink>
      <w:r w:rsidRPr="00DE54D3">
        <w:rPr>
          <w:iCs/>
        </w:rPr>
        <w:t>)</w:t>
      </w:r>
      <w:r w:rsidRPr="00DE54D3">
        <w:t xml:space="preserve">, </w:t>
      </w:r>
      <w:r w:rsidRPr="00DE54D3">
        <w:rPr>
          <w:lang w:val="fr-FR"/>
        </w:rPr>
        <w:t>par. 7.4.</w:t>
      </w:r>
    </w:p>
  </w:footnote>
  <w:footnote w:id="27">
    <w:p w14:paraId="12C9A838" w14:textId="77777777" w:rsidR="00B13F56" w:rsidRPr="00DE54D3" w:rsidRDefault="00B13F56" w:rsidP="00B13F56">
      <w:pPr>
        <w:pStyle w:val="Notedebasdepage"/>
      </w:pPr>
      <w:r w:rsidRPr="00DE54D3">
        <w:tab/>
      </w:r>
      <w:r w:rsidRPr="00354FCF">
        <w:rPr>
          <w:rStyle w:val="Appelnotedebasdep"/>
        </w:rPr>
        <w:footnoteRef/>
      </w:r>
      <w:r w:rsidRPr="00DE54D3">
        <w:tab/>
      </w:r>
      <w:proofErr w:type="spellStart"/>
      <w:r w:rsidRPr="00C57DFE">
        <w:rPr>
          <w:i/>
          <w:iCs/>
        </w:rPr>
        <w:t>Mezine</w:t>
      </w:r>
      <w:proofErr w:type="spellEnd"/>
      <w:r w:rsidRPr="00C57DFE">
        <w:rPr>
          <w:i/>
          <w:iCs/>
          <w:lang w:val="fr-FR"/>
        </w:rPr>
        <w:t xml:space="preserve"> c. </w:t>
      </w:r>
      <w:r w:rsidRPr="00C57DFE">
        <w:rPr>
          <w:i/>
          <w:iCs/>
        </w:rPr>
        <w:t>Algérie</w:t>
      </w:r>
      <w:r w:rsidRPr="00DE54D3">
        <w:rPr>
          <w:lang w:val="fr-FR"/>
        </w:rPr>
        <w:t xml:space="preserve">, par. 8.3 ; et </w:t>
      </w:r>
      <w:proofErr w:type="spellStart"/>
      <w:r w:rsidRPr="00C57DFE">
        <w:rPr>
          <w:i/>
          <w:iCs/>
          <w:lang w:val="fr-FR"/>
        </w:rPr>
        <w:t>Medjnoune</w:t>
      </w:r>
      <w:proofErr w:type="spellEnd"/>
      <w:r w:rsidRPr="00C57DFE">
        <w:rPr>
          <w:i/>
          <w:iCs/>
          <w:lang w:val="fr-FR"/>
        </w:rPr>
        <w:t xml:space="preserve"> c. Algérie</w:t>
      </w:r>
      <w:r w:rsidRPr="00DE54D3">
        <w:rPr>
          <w:lang w:val="fr-FR"/>
        </w:rPr>
        <w:t>, par. 8.3.</w:t>
      </w:r>
    </w:p>
  </w:footnote>
  <w:footnote w:id="28">
    <w:p w14:paraId="5D472CEE" w14:textId="77777777" w:rsidR="00B13F56" w:rsidRPr="00DE54D3" w:rsidRDefault="00B13F56" w:rsidP="00B13F56">
      <w:pPr>
        <w:pStyle w:val="Notedebasdepage"/>
      </w:pPr>
      <w:r w:rsidRPr="00DE54D3">
        <w:rPr>
          <w:lang w:val="fr-FR"/>
        </w:rPr>
        <w:tab/>
      </w:r>
      <w:r w:rsidRPr="00354FCF">
        <w:rPr>
          <w:rStyle w:val="Appelnotedebasdep"/>
        </w:rPr>
        <w:footnoteRef/>
      </w:r>
      <w:r w:rsidRPr="00DE54D3">
        <w:rPr>
          <w:lang w:val="fr-FR"/>
        </w:rPr>
        <w:tab/>
      </w:r>
      <w:r w:rsidRPr="00DE54D3">
        <w:rPr>
          <w:i/>
        </w:rPr>
        <w:t xml:space="preserve">El </w:t>
      </w:r>
      <w:proofErr w:type="spellStart"/>
      <w:r w:rsidRPr="00DE54D3">
        <w:rPr>
          <w:i/>
        </w:rPr>
        <w:t>Boathi</w:t>
      </w:r>
      <w:proofErr w:type="spellEnd"/>
      <w:r w:rsidRPr="00DE54D3">
        <w:rPr>
          <w:i/>
        </w:rPr>
        <w:t xml:space="preserve"> c. Algérie</w:t>
      </w:r>
      <w:r w:rsidRPr="00DE54D3">
        <w:t xml:space="preserve"> </w:t>
      </w:r>
      <w:r w:rsidRPr="00DE54D3">
        <w:rPr>
          <w:lang w:val="fr-FR"/>
        </w:rPr>
        <w:t>(</w:t>
      </w:r>
      <w:hyperlink r:id="rId30" w:history="1">
        <w:r w:rsidRPr="00786915">
          <w:rPr>
            <w:rStyle w:val="Lienhypertexte"/>
            <w:lang w:val="fr-FR"/>
          </w:rPr>
          <w:t>CCPR/C/119/D/2259/2013</w:t>
        </w:r>
      </w:hyperlink>
      <w:r w:rsidRPr="00DE54D3">
        <w:rPr>
          <w:lang w:val="fr-FR"/>
        </w:rPr>
        <w:t xml:space="preserve">), </w:t>
      </w:r>
      <w:r w:rsidRPr="00DE54D3">
        <w:t>par. 7.4</w:t>
      </w:r>
      <w:r>
        <w:t xml:space="preserve"> ; </w:t>
      </w:r>
      <w:proofErr w:type="spellStart"/>
      <w:r w:rsidRPr="00DE54D3">
        <w:rPr>
          <w:i/>
        </w:rPr>
        <w:t>Serna</w:t>
      </w:r>
      <w:proofErr w:type="spellEnd"/>
      <w:r w:rsidRPr="00DE54D3">
        <w:rPr>
          <w:i/>
        </w:rPr>
        <w:t xml:space="preserve"> et consorts</w:t>
      </w:r>
      <w:r w:rsidRPr="00DE54D3">
        <w:t xml:space="preserve"> </w:t>
      </w:r>
      <w:r w:rsidRPr="00DE54D3">
        <w:rPr>
          <w:i/>
        </w:rPr>
        <w:t>c. Colombie</w:t>
      </w:r>
      <w:r w:rsidRPr="00DE54D3">
        <w:t xml:space="preserve"> (</w:t>
      </w:r>
      <w:hyperlink r:id="rId31" w:history="1">
        <w:r w:rsidRPr="00786915">
          <w:rPr>
            <w:rStyle w:val="Lienhypertexte"/>
          </w:rPr>
          <w:t>CCPR/C/114/D/2134/2012</w:t>
        </w:r>
      </w:hyperlink>
      <w:r w:rsidRPr="00DE54D3">
        <w:t xml:space="preserve">), par. 9.4 ; </w:t>
      </w:r>
      <w:r>
        <w:t xml:space="preserve">et </w:t>
      </w:r>
      <w:proofErr w:type="spellStart"/>
      <w:r w:rsidRPr="00DE54D3">
        <w:rPr>
          <w:i/>
          <w:lang w:val="fr-FR"/>
        </w:rPr>
        <w:t>Katwal</w:t>
      </w:r>
      <w:proofErr w:type="spellEnd"/>
      <w:r w:rsidRPr="00DE54D3">
        <w:rPr>
          <w:i/>
          <w:lang w:val="fr-FR"/>
        </w:rPr>
        <w:t xml:space="preserve"> c. Népal</w:t>
      </w:r>
      <w:r w:rsidRPr="00DE54D3">
        <w:rPr>
          <w:lang w:val="fr-FR"/>
        </w:rPr>
        <w:t xml:space="preserve"> (</w:t>
      </w:r>
      <w:hyperlink r:id="rId32" w:history="1">
        <w:r w:rsidRPr="00786915">
          <w:rPr>
            <w:rStyle w:val="Lienhypertexte"/>
            <w:lang w:val="fr-FR"/>
          </w:rPr>
          <w:t>CCPR/C/113/D/2000/2010</w:t>
        </w:r>
      </w:hyperlink>
      <w:r w:rsidRPr="00DE54D3">
        <w:rPr>
          <w:lang w:val="fr-FR"/>
        </w:rPr>
        <w:t>),</w:t>
      </w:r>
      <w:r w:rsidRPr="00DE54D3">
        <w:t xml:space="preserve"> par. 11.3. Voir également </w:t>
      </w:r>
      <w:r>
        <w:t xml:space="preserve">Comité des droits de l’homme, </w:t>
      </w:r>
      <w:r w:rsidRPr="00DE54D3">
        <w:t>observation générale n</w:t>
      </w:r>
      <w:r w:rsidRPr="00DE54D3">
        <w:rPr>
          <w:vertAlign w:val="superscript"/>
        </w:rPr>
        <w:t>o</w:t>
      </w:r>
      <w:r w:rsidRPr="00DE54D3">
        <w:t xml:space="preserve"> 36 (2018), par. 58.</w:t>
      </w:r>
    </w:p>
  </w:footnote>
  <w:footnote w:id="29">
    <w:p w14:paraId="0E939655" w14:textId="77777777" w:rsidR="00B13F56" w:rsidRPr="00C1479E" w:rsidRDefault="00B13F56" w:rsidP="00B13F56">
      <w:pPr>
        <w:pStyle w:val="Notedebasdepage"/>
      </w:pPr>
      <w:r>
        <w:tab/>
      </w:r>
      <w:r w:rsidRPr="00354FCF">
        <w:rPr>
          <w:rStyle w:val="Appelnotedebasdep"/>
        </w:rPr>
        <w:footnoteRef/>
      </w:r>
      <w:r>
        <w:tab/>
      </w:r>
      <w:r w:rsidRPr="0098078D">
        <w:rPr>
          <w:i/>
        </w:rPr>
        <w:t xml:space="preserve">Sharma </w:t>
      </w:r>
      <w:r>
        <w:rPr>
          <w:i/>
        </w:rPr>
        <w:t>c</w:t>
      </w:r>
      <w:r w:rsidRPr="0098078D">
        <w:rPr>
          <w:i/>
        </w:rPr>
        <w:t>. Népal</w:t>
      </w:r>
      <w:r w:rsidRPr="0098078D">
        <w:t xml:space="preserve"> (</w:t>
      </w:r>
      <w:hyperlink r:id="rId33" w:history="1">
        <w:r w:rsidRPr="00786915">
          <w:rPr>
            <w:rStyle w:val="Lienhypertexte"/>
          </w:rPr>
          <w:t>CCPR/C/122/D/2265/2013</w:t>
        </w:r>
      </w:hyperlink>
      <w:r w:rsidRPr="0098078D">
        <w:t>), par. 10.6</w:t>
      </w:r>
      <w:r>
        <w:t xml:space="preserve"> ; </w:t>
      </w:r>
      <w:proofErr w:type="spellStart"/>
      <w:r>
        <w:rPr>
          <w:i/>
          <w:lang w:val="fr-FR"/>
        </w:rPr>
        <w:t>Louddi</w:t>
      </w:r>
      <w:proofErr w:type="spellEnd"/>
      <w:r>
        <w:rPr>
          <w:i/>
          <w:lang w:val="fr-FR"/>
        </w:rPr>
        <w:t xml:space="preserve"> </w:t>
      </w:r>
      <w:r w:rsidRPr="00F74C89">
        <w:rPr>
          <w:i/>
          <w:lang w:val="fr-FR"/>
        </w:rPr>
        <w:t>c.</w:t>
      </w:r>
      <w:r>
        <w:rPr>
          <w:i/>
          <w:lang w:val="fr-FR"/>
        </w:rPr>
        <w:t xml:space="preserve"> Algérie</w:t>
      </w:r>
      <w:r>
        <w:rPr>
          <w:lang w:val="fr-FR"/>
        </w:rPr>
        <w:t xml:space="preserve"> (</w:t>
      </w:r>
      <w:hyperlink r:id="rId34" w:history="1">
        <w:r w:rsidRPr="00786915">
          <w:rPr>
            <w:rStyle w:val="Lienhypertexte"/>
            <w:lang w:val="fr-FR"/>
          </w:rPr>
          <w:t>CCPR/C/112/D/2117/2011</w:t>
        </w:r>
      </w:hyperlink>
      <w:r>
        <w:rPr>
          <w:lang w:val="fr-FR"/>
        </w:rPr>
        <w:t>)</w:t>
      </w:r>
      <w:r>
        <w:t>, par. 7.4 ;</w:t>
      </w:r>
      <w:r w:rsidRPr="00CD7471">
        <w:rPr>
          <w:i/>
          <w:iCs/>
          <w:lang w:val="fr-FR"/>
        </w:rPr>
        <w:t xml:space="preserve"> </w:t>
      </w:r>
      <w:proofErr w:type="spellStart"/>
      <w:r>
        <w:rPr>
          <w:i/>
          <w:iCs/>
          <w:lang w:val="fr-FR"/>
        </w:rPr>
        <w:t>Boudjemai</w:t>
      </w:r>
      <w:proofErr w:type="spellEnd"/>
      <w:r>
        <w:rPr>
          <w:i/>
          <w:iCs/>
          <w:lang w:val="fr-FR"/>
        </w:rPr>
        <w:t xml:space="preserve"> </w:t>
      </w:r>
      <w:r w:rsidRPr="00F74C89">
        <w:rPr>
          <w:i/>
          <w:iCs/>
          <w:lang w:val="fr-FR"/>
        </w:rPr>
        <w:t>c.</w:t>
      </w:r>
      <w:r>
        <w:rPr>
          <w:i/>
          <w:iCs/>
          <w:lang w:val="fr-FR"/>
        </w:rPr>
        <w:t xml:space="preserve"> Algérie</w:t>
      </w:r>
      <w:r>
        <w:rPr>
          <w:lang w:val="fr-FR"/>
        </w:rPr>
        <w:t>, par. 8.4 ; et</w:t>
      </w:r>
      <w:r>
        <w:t xml:space="preserve"> </w:t>
      </w:r>
      <w:proofErr w:type="spellStart"/>
      <w:r>
        <w:rPr>
          <w:i/>
          <w:iCs/>
          <w:lang w:val="fr-FR"/>
        </w:rPr>
        <w:t>Mezine</w:t>
      </w:r>
      <w:proofErr w:type="spellEnd"/>
      <w:r>
        <w:rPr>
          <w:i/>
          <w:iCs/>
          <w:lang w:val="fr-FR"/>
        </w:rPr>
        <w:t xml:space="preserve"> </w:t>
      </w:r>
      <w:r w:rsidRPr="00F74C89">
        <w:rPr>
          <w:i/>
          <w:iCs/>
          <w:lang w:val="fr-FR"/>
        </w:rPr>
        <w:t>c.</w:t>
      </w:r>
      <w:r>
        <w:rPr>
          <w:i/>
          <w:iCs/>
          <w:lang w:val="fr-FR"/>
        </w:rPr>
        <w:t xml:space="preserve"> Algérie</w:t>
      </w:r>
      <w:r>
        <w:rPr>
          <w:lang w:val="fr-FR"/>
        </w:rPr>
        <w:t xml:space="preserve">, par. 8.4. </w:t>
      </w:r>
      <w:r w:rsidRPr="00C1479E">
        <w:rPr>
          <w:lang w:val="fr-FR"/>
        </w:rPr>
        <w:t xml:space="preserve">Voir également </w:t>
      </w:r>
      <w:r>
        <w:t xml:space="preserve">Comité des droits de l’homme, </w:t>
      </w:r>
      <w:r w:rsidRPr="00C1479E">
        <w:rPr>
          <w:lang w:val="fr-FR"/>
        </w:rPr>
        <w:t>observation générale n</w:t>
      </w:r>
      <w:r w:rsidRPr="00C1479E">
        <w:rPr>
          <w:vertAlign w:val="superscript"/>
          <w:lang w:val="fr-FR"/>
        </w:rPr>
        <w:t>o</w:t>
      </w:r>
      <w:r w:rsidRPr="00C1479E">
        <w:rPr>
          <w:lang w:val="fr-FR"/>
        </w:rPr>
        <w:t xml:space="preserve"> 36</w:t>
      </w:r>
      <w:r>
        <w:rPr>
          <w:lang w:val="fr-FR"/>
        </w:rPr>
        <w:t xml:space="preserve"> (2018)</w:t>
      </w:r>
      <w:r w:rsidRPr="00C1479E">
        <w:rPr>
          <w:lang w:val="fr-FR"/>
        </w:rPr>
        <w:t>, par. 58</w:t>
      </w:r>
      <w:r>
        <w:rPr>
          <w:lang w:val="fr-FR"/>
        </w:rPr>
        <w:t>.</w:t>
      </w:r>
    </w:p>
  </w:footnote>
  <w:footnote w:id="30">
    <w:p w14:paraId="4EFAF59F" w14:textId="77777777" w:rsidR="00B13F56" w:rsidRPr="00DE54D3" w:rsidRDefault="00B13F56" w:rsidP="00B13F56">
      <w:pPr>
        <w:pStyle w:val="Notedebasdepage"/>
      </w:pPr>
      <w:r w:rsidRPr="00DE54D3">
        <w:tab/>
      </w:r>
      <w:r w:rsidRPr="00354FCF">
        <w:rPr>
          <w:rStyle w:val="Appelnotedebasdep"/>
        </w:rPr>
        <w:footnoteRef/>
      </w:r>
      <w:r w:rsidRPr="00DE54D3">
        <w:tab/>
      </w:r>
      <w:proofErr w:type="spellStart"/>
      <w:r w:rsidRPr="0051646E">
        <w:rPr>
          <w:i/>
          <w:iCs/>
        </w:rPr>
        <w:t>Cherguit</w:t>
      </w:r>
      <w:proofErr w:type="spellEnd"/>
      <w:r w:rsidRPr="00C57DFE">
        <w:rPr>
          <w:i/>
          <w:iCs/>
          <w:lang w:val="fr-FR"/>
        </w:rPr>
        <w:t xml:space="preserve"> c. Algérie</w:t>
      </w:r>
      <w:r>
        <w:rPr>
          <w:lang w:val="fr-FR"/>
        </w:rPr>
        <w:t>, par. 7.6</w:t>
      </w:r>
      <w:r w:rsidRPr="00DE54D3">
        <w:rPr>
          <w:lang w:val="fr-FR"/>
        </w:rPr>
        <w:t xml:space="preserve"> ; </w:t>
      </w:r>
      <w:proofErr w:type="spellStart"/>
      <w:r w:rsidRPr="0051646E">
        <w:rPr>
          <w:i/>
          <w:lang w:val="fr-FR"/>
        </w:rPr>
        <w:t>Bendjael</w:t>
      </w:r>
      <w:proofErr w:type="spellEnd"/>
      <w:r w:rsidRPr="0051646E">
        <w:rPr>
          <w:i/>
          <w:lang w:val="fr-FR"/>
        </w:rPr>
        <w:t xml:space="preserve"> </w:t>
      </w:r>
      <w:r>
        <w:rPr>
          <w:i/>
          <w:lang w:val="fr-FR"/>
        </w:rPr>
        <w:t xml:space="preserve">et </w:t>
      </w:r>
      <w:proofErr w:type="spellStart"/>
      <w:r>
        <w:rPr>
          <w:i/>
          <w:lang w:val="fr-FR"/>
        </w:rPr>
        <w:t>Bendjael</w:t>
      </w:r>
      <w:proofErr w:type="spellEnd"/>
      <w:r>
        <w:rPr>
          <w:i/>
          <w:lang w:val="fr-FR"/>
        </w:rPr>
        <w:t xml:space="preserve"> </w:t>
      </w:r>
      <w:r w:rsidRPr="00C57DFE">
        <w:rPr>
          <w:i/>
          <w:lang w:val="fr-FR"/>
        </w:rPr>
        <w:t>c. Algérie</w:t>
      </w:r>
      <w:r w:rsidRPr="00DE54D3">
        <w:rPr>
          <w:lang w:val="fr-FR"/>
        </w:rPr>
        <w:t>, par. 8.</w:t>
      </w:r>
      <w:r>
        <w:rPr>
          <w:lang w:val="fr-FR"/>
        </w:rPr>
        <w:t>6</w:t>
      </w:r>
      <w:r w:rsidRPr="00DE54D3">
        <w:rPr>
          <w:lang w:val="fr-FR"/>
        </w:rPr>
        <w:t xml:space="preserve"> ; </w:t>
      </w:r>
      <w:proofErr w:type="spellStart"/>
      <w:r w:rsidRPr="0051646E">
        <w:rPr>
          <w:i/>
          <w:lang w:val="fr-FR"/>
        </w:rPr>
        <w:t>Braih</w:t>
      </w:r>
      <w:proofErr w:type="spellEnd"/>
      <w:r w:rsidRPr="0051646E">
        <w:rPr>
          <w:i/>
          <w:lang w:val="fr-FR"/>
        </w:rPr>
        <w:t xml:space="preserve"> </w:t>
      </w:r>
      <w:r w:rsidRPr="00C57DFE">
        <w:rPr>
          <w:rFonts w:eastAsia="MS Mincho"/>
          <w:i/>
          <w:lang w:val="fr-FR"/>
        </w:rPr>
        <w:t>c. Algérie</w:t>
      </w:r>
      <w:r>
        <w:rPr>
          <w:rFonts w:eastAsia="MS Mincho"/>
          <w:lang w:val="fr-FR"/>
        </w:rPr>
        <w:t xml:space="preserve"> (</w:t>
      </w:r>
      <w:hyperlink r:id="rId35" w:history="1">
        <w:r w:rsidRPr="00786915">
          <w:rPr>
            <w:rStyle w:val="Lienhypertexte"/>
            <w:rFonts w:eastAsia="MS Mincho"/>
            <w:lang w:val="fr-FR"/>
          </w:rPr>
          <w:t>CCPR/C/128/D/2924/2016</w:t>
        </w:r>
      </w:hyperlink>
      <w:r>
        <w:rPr>
          <w:rFonts w:eastAsia="MS Mincho"/>
          <w:lang w:val="fr-FR"/>
        </w:rPr>
        <w:t>), par. 6</w:t>
      </w:r>
      <w:r w:rsidRPr="00DE54D3">
        <w:rPr>
          <w:rFonts w:eastAsia="MS Mincho"/>
          <w:lang w:val="fr-FR"/>
        </w:rPr>
        <w:t xml:space="preserve">.5 ; </w:t>
      </w:r>
      <w:proofErr w:type="spellStart"/>
      <w:r w:rsidRPr="00C57DFE">
        <w:rPr>
          <w:i/>
          <w:iCs/>
        </w:rPr>
        <w:t>Berzig</w:t>
      </w:r>
      <w:proofErr w:type="spellEnd"/>
      <w:r w:rsidRPr="00C57DFE">
        <w:rPr>
          <w:rFonts w:eastAsia="MS Mincho"/>
          <w:i/>
          <w:iCs/>
          <w:lang w:val="fr-FR"/>
        </w:rPr>
        <w:t xml:space="preserve"> c. Algérie</w:t>
      </w:r>
      <w:r w:rsidRPr="00DE54D3">
        <w:rPr>
          <w:rFonts w:eastAsia="MS Mincho"/>
          <w:lang w:val="fr-FR"/>
        </w:rPr>
        <w:t xml:space="preserve">, par. 8.5 ; et </w:t>
      </w:r>
      <w:r w:rsidRPr="00C57DFE">
        <w:rPr>
          <w:i/>
          <w:lang w:val="fr-FR"/>
        </w:rPr>
        <w:t xml:space="preserve">El </w:t>
      </w:r>
      <w:proofErr w:type="spellStart"/>
      <w:r w:rsidRPr="00C57DFE">
        <w:rPr>
          <w:i/>
          <w:lang w:val="fr-FR"/>
        </w:rPr>
        <w:t>Alwani</w:t>
      </w:r>
      <w:proofErr w:type="spellEnd"/>
      <w:r w:rsidRPr="00C57DFE">
        <w:rPr>
          <w:i/>
          <w:lang w:val="fr-FR"/>
        </w:rPr>
        <w:t xml:space="preserve"> c. </w:t>
      </w:r>
      <w:r w:rsidRPr="00C57DFE">
        <w:rPr>
          <w:rFonts w:eastAsia="MS Mincho"/>
          <w:i/>
          <w:lang w:val="fr-FR"/>
        </w:rPr>
        <w:t>Jamahiriya arabe libyenne</w:t>
      </w:r>
      <w:r w:rsidRPr="00DE54D3">
        <w:rPr>
          <w:lang w:val="fr-FR"/>
        </w:rPr>
        <w:t xml:space="preserve"> (</w:t>
      </w:r>
      <w:hyperlink r:id="rId36" w:history="1">
        <w:r w:rsidRPr="00786915">
          <w:rPr>
            <w:rStyle w:val="Lienhypertexte"/>
            <w:lang w:val="fr-FR"/>
          </w:rPr>
          <w:t>CCPR/C/90/D/1295/2004</w:t>
        </w:r>
      </w:hyperlink>
      <w:r w:rsidRPr="00DE54D3">
        <w:rPr>
          <w:lang w:val="fr-FR"/>
        </w:rPr>
        <w:t>), par. 6.5.</w:t>
      </w:r>
    </w:p>
  </w:footnote>
  <w:footnote w:id="31">
    <w:p w14:paraId="0CADBE30" w14:textId="77777777" w:rsidR="00B13F56" w:rsidRPr="00DE54D3" w:rsidRDefault="00B13F56" w:rsidP="00B13F56">
      <w:pPr>
        <w:pStyle w:val="Notedebasdepage"/>
        <w:rPr>
          <w:lang w:val="fr-FR"/>
        </w:rPr>
      </w:pPr>
      <w:r w:rsidRPr="00DE54D3">
        <w:tab/>
      </w:r>
      <w:r w:rsidRPr="00354FCF">
        <w:rPr>
          <w:rStyle w:val="Appelnotedebasdep"/>
        </w:rPr>
        <w:footnoteRef/>
      </w:r>
      <w:r w:rsidRPr="00DE54D3">
        <w:tab/>
      </w:r>
      <w:proofErr w:type="spellStart"/>
      <w:r w:rsidRPr="009A5C01">
        <w:rPr>
          <w:i/>
        </w:rPr>
        <w:t>Berkaoui</w:t>
      </w:r>
      <w:proofErr w:type="spellEnd"/>
      <w:r w:rsidRPr="009A5C01">
        <w:rPr>
          <w:i/>
        </w:rPr>
        <w:t xml:space="preserve"> c. Algérie</w:t>
      </w:r>
      <w:r>
        <w:t xml:space="preserve">, par. 8.7 ; </w:t>
      </w:r>
      <w:proofErr w:type="spellStart"/>
      <w:r w:rsidRPr="00653204">
        <w:rPr>
          <w:i/>
          <w:lang w:val="fr-FR"/>
        </w:rPr>
        <w:t>Dafar</w:t>
      </w:r>
      <w:proofErr w:type="spellEnd"/>
      <w:r w:rsidRPr="00653204">
        <w:rPr>
          <w:i/>
          <w:lang w:val="fr-FR"/>
        </w:rPr>
        <w:t xml:space="preserve"> c. Algérie</w:t>
      </w:r>
      <w:r>
        <w:rPr>
          <w:lang w:val="fr-FR"/>
        </w:rPr>
        <w:t>, par. 6.7</w:t>
      </w:r>
      <w:r>
        <w:rPr>
          <w:i/>
          <w:lang w:val="fr-FR"/>
        </w:rPr>
        <w:t> </w:t>
      </w:r>
      <w:r>
        <w:rPr>
          <w:lang w:val="fr-FR"/>
        </w:rPr>
        <w:t xml:space="preserve">; </w:t>
      </w:r>
      <w:proofErr w:type="spellStart"/>
      <w:r w:rsidRPr="00653204">
        <w:rPr>
          <w:i/>
          <w:lang w:val="fr-FR"/>
        </w:rPr>
        <w:t>Rsiwi</w:t>
      </w:r>
      <w:proofErr w:type="spellEnd"/>
      <w:r w:rsidRPr="00653204">
        <w:rPr>
          <w:i/>
          <w:lang w:val="fr-FR"/>
        </w:rPr>
        <w:t xml:space="preserve"> c. Algérie</w:t>
      </w:r>
      <w:r>
        <w:rPr>
          <w:lang w:val="fr-FR"/>
        </w:rPr>
        <w:t xml:space="preserve">, par. 8.7 ; et </w:t>
      </w:r>
      <w:proofErr w:type="spellStart"/>
      <w:r w:rsidRPr="00C57DFE">
        <w:rPr>
          <w:i/>
          <w:iCs/>
          <w:lang w:val="fr-FR"/>
        </w:rPr>
        <w:t>Ammari</w:t>
      </w:r>
      <w:proofErr w:type="spellEnd"/>
      <w:r w:rsidRPr="00C57DFE">
        <w:rPr>
          <w:i/>
          <w:iCs/>
          <w:lang w:val="fr-FR"/>
        </w:rPr>
        <w:t xml:space="preserve"> c. </w:t>
      </w:r>
      <w:r w:rsidRPr="00C57DFE">
        <w:rPr>
          <w:i/>
          <w:iCs/>
        </w:rPr>
        <w:t>Algérie</w:t>
      </w:r>
      <w:r w:rsidRPr="00DE54D3">
        <w:rPr>
          <w:lang w:val="fr-FR"/>
        </w:rPr>
        <w:t>, par. 8.6.</w:t>
      </w:r>
    </w:p>
  </w:footnote>
  <w:footnote w:id="32">
    <w:p w14:paraId="006600B9" w14:textId="77777777" w:rsidR="00B13F56" w:rsidRPr="00DE54D3" w:rsidRDefault="00B13F56" w:rsidP="00B13F56">
      <w:pPr>
        <w:pStyle w:val="Notedebasdepage"/>
      </w:pPr>
      <w:r w:rsidRPr="00DE54D3">
        <w:tab/>
      </w:r>
      <w:r w:rsidRPr="00354FCF">
        <w:rPr>
          <w:rStyle w:val="Appelnotedebasdep"/>
        </w:rPr>
        <w:footnoteRef/>
      </w:r>
      <w:r w:rsidRPr="00DE54D3">
        <w:tab/>
      </w:r>
      <w:proofErr w:type="spellStart"/>
      <w:r w:rsidRPr="00C57DFE">
        <w:rPr>
          <w:i/>
          <w:iCs/>
        </w:rPr>
        <w:t>Chani</w:t>
      </w:r>
      <w:proofErr w:type="spellEnd"/>
      <w:r w:rsidRPr="00DE54D3">
        <w:rPr>
          <w:i/>
        </w:rPr>
        <w:t xml:space="preserve"> c. Algérie</w:t>
      </w:r>
      <w:r w:rsidRPr="00DE54D3">
        <w:t xml:space="preserve"> (</w:t>
      </w:r>
      <w:hyperlink r:id="rId37" w:history="1">
        <w:r w:rsidRPr="00786915">
          <w:rPr>
            <w:rStyle w:val="Lienhypertexte"/>
          </w:rPr>
          <w:t>CCPR/C/116/D/2297/2013</w:t>
        </w:r>
      </w:hyperlink>
      <w:r w:rsidRPr="00DE54D3">
        <w:t>), par. 7.5.</w:t>
      </w:r>
    </w:p>
  </w:footnote>
  <w:footnote w:id="33">
    <w:p w14:paraId="64365F0B" w14:textId="77777777" w:rsidR="00B13F56" w:rsidRPr="00DE54D3" w:rsidRDefault="00B13F56" w:rsidP="00B13F56">
      <w:pPr>
        <w:pStyle w:val="Notedebasdepage"/>
      </w:pPr>
      <w:r w:rsidRPr="00DE54D3">
        <w:tab/>
      </w:r>
      <w:r w:rsidRPr="00354FCF">
        <w:rPr>
          <w:rStyle w:val="Appelnotedebasdep"/>
        </w:rPr>
        <w:footnoteRef/>
      </w:r>
      <w:r w:rsidRPr="00DE54D3">
        <w:tab/>
      </w:r>
      <w:r w:rsidRPr="00DE54D3">
        <w:rPr>
          <w:spacing w:val="-2"/>
          <w:lang w:val="fr-FR"/>
        </w:rPr>
        <w:t xml:space="preserve">Voir, entre autres, </w:t>
      </w:r>
      <w:proofErr w:type="spellStart"/>
      <w:r w:rsidRPr="00DE54D3">
        <w:rPr>
          <w:i/>
          <w:iCs/>
          <w:spacing w:val="-2"/>
          <w:lang w:val="fr-FR"/>
        </w:rPr>
        <w:t>Mezine</w:t>
      </w:r>
      <w:proofErr w:type="spellEnd"/>
      <w:r w:rsidRPr="00DE54D3">
        <w:rPr>
          <w:i/>
          <w:iCs/>
          <w:spacing w:val="-2"/>
          <w:lang w:val="fr-FR"/>
        </w:rPr>
        <w:t xml:space="preserve"> c. Algérie</w:t>
      </w:r>
      <w:r w:rsidRPr="00DE54D3">
        <w:rPr>
          <w:spacing w:val="-2"/>
          <w:lang w:val="fr-FR"/>
        </w:rPr>
        <w:t xml:space="preserve">, par. 8.7 ; </w:t>
      </w:r>
      <w:proofErr w:type="spellStart"/>
      <w:r w:rsidRPr="00DE54D3">
        <w:rPr>
          <w:i/>
          <w:iCs/>
          <w:spacing w:val="-2"/>
          <w:lang w:val="fr-FR"/>
        </w:rPr>
        <w:t>Khirani</w:t>
      </w:r>
      <w:proofErr w:type="spellEnd"/>
      <w:r w:rsidRPr="00DE54D3">
        <w:rPr>
          <w:i/>
          <w:iCs/>
          <w:spacing w:val="-2"/>
          <w:lang w:val="fr-FR"/>
        </w:rPr>
        <w:t xml:space="preserve"> </w:t>
      </w:r>
      <w:r>
        <w:rPr>
          <w:i/>
          <w:iCs/>
          <w:spacing w:val="-2"/>
          <w:lang w:val="fr-FR"/>
        </w:rPr>
        <w:t xml:space="preserve">et consorts </w:t>
      </w:r>
      <w:r w:rsidRPr="00DE54D3">
        <w:rPr>
          <w:i/>
          <w:iCs/>
          <w:spacing w:val="-2"/>
          <w:lang w:val="fr-FR"/>
        </w:rPr>
        <w:t>c. Algérie</w:t>
      </w:r>
      <w:r w:rsidRPr="00DE54D3">
        <w:rPr>
          <w:spacing w:val="-2"/>
          <w:lang w:val="fr-FR"/>
        </w:rPr>
        <w:t xml:space="preserve">, par. 7.7 ; et </w:t>
      </w:r>
      <w:proofErr w:type="spellStart"/>
      <w:r w:rsidRPr="00DE54D3">
        <w:rPr>
          <w:i/>
          <w:spacing w:val="-2"/>
        </w:rPr>
        <w:t>Berzig</w:t>
      </w:r>
      <w:proofErr w:type="spellEnd"/>
      <w:r w:rsidRPr="00DE54D3">
        <w:rPr>
          <w:i/>
          <w:iCs/>
          <w:spacing w:val="-2"/>
          <w:lang w:val="fr-FR"/>
        </w:rPr>
        <w:t xml:space="preserve"> c. Algérie</w:t>
      </w:r>
      <w:r w:rsidRPr="00DE54D3">
        <w:rPr>
          <w:spacing w:val="-2"/>
          <w:lang w:val="fr-FR"/>
        </w:rPr>
        <w:t>, par. 8.7.</w:t>
      </w:r>
    </w:p>
  </w:footnote>
  <w:footnote w:id="34">
    <w:p w14:paraId="14E91ECA" w14:textId="77777777" w:rsidR="00B13F56" w:rsidRPr="00DE54D3" w:rsidRDefault="00B13F56" w:rsidP="00B13F56">
      <w:pPr>
        <w:pStyle w:val="Notedebasdepage"/>
        <w:rPr>
          <w:lang w:val="fr-FR"/>
        </w:rPr>
      </w:pPr>
      <w:r w:rsidRPr="00DE54D3">
        <w:rPr>
          <w:lang w:val="pt-PT"/>
        </w:rPr>
        <w:tab/>
      </w:r>
      <w:r w:rsidRPr="00354FCF">
        <w:rPr>
          <w:rStyle w:val="Appelnotedebasdep"/>
        </w:rPr>
        <w:footnoteRef/>
      </w:r>
      <w:r w:rsidRPr="00DE54D3">
        <w:tab/>
      </w:r>
      <w:proofErr w:type="spellStart"/>
      <w:r w:rsidRPr="00DE54D3">
        <w:rPr>
          <w:i/>
          <w:lang w:val="fr-FR"/>
        </w:rPr>
        <w:t>Basnet</w:t>
      </w:r>
      <w:proofErr w:type="spellEnd"/>
      <w:r w:rsidRPr="00DE54D3">
        <w:rPr>
          <w:i/>
          <w:lang w:val="fr-FR"/>
        </w:rPr>
        <w:t xml:space="preserve"> c. Népal</w:t>
      </w:r>
      <w:r w:rsidRPr="00DE54D3">
        <w:rPr>
          <w:lang w:val="fr-FR"/>
        </w:rPr>
        <w:t xml:space="preserve"> (</w:t>
      </w:r>
      <w:hyperlink r:id="rId38" w:history="1">
        <w:r w:rsidRPr="00786915">
          <w:rPr>
            <w:rStyle w:val="Lienhypertexte"/>
            <w:lang w:val="fr-FR"/>
          </w:rPr>
          <w:t>CCPR/C/117/D/</w:t>
        </w:r>
        <w:r w:rsidRPr="00786915">
          <w:rPr>
            <w:rStyle w:val="Lienhypertexte"/>
          </w:rPr>
          <w:t>2164</w:t>
        </w:r>
        <w:r w:rsidRPr="00786915">
          <w:rPr>
            <w:rStyle w:val="Lienhypertexte"/>
            <w:lang w:val="fr-FR"/>
          </w:rPr>
          <w:t>/2012</w:t>
        </w:r>
      </w:hyperlink>
      <w:r w:rsidRPr="00DE54D3">
        <w:rPr>
          <w:lang w:val="fr-FR"/>
        </w:rPr>
        <w:t xml:space="preserve">), par. 10.9 ; </w:t>
      </w:r>
      <w:r w:rsidRPr="00DE54D3">
        <w:rPr>
          <w:i/>
          <w:lang w:val="fr-FR"/>
        </w:rPr>
        <w:t xml:space="preserve">Tharu et consorts c. </w:t>
      </w:r>
      <w:r w:rsidRPr="00C57DFE">
        <w:rPr>
          <w:i/>
          <w:iCs/>
        </w:rPr>
        <w:t>Népal</w:t>
      </w:r>
      <w:r w:rsidRPr="00DE54D3">
        <w:rPr>
          <w:lang w:val="fr-FR"/>
        </w:rPr>
        <w:t xml:space="preserve">, par. 10.9 ; et </w:t>
      </w:r>
      <w:proofErr w:type="spellStart"/>
      <w:r w:rsidRPr="00DE54D3">
        <w:rPr>
          <w:i/>
          <w:lang w:val="fr-FR"/>
        </w:rPr>
        <w:t>Serna</w:t>
      </w:r>
      <w:proofErr w:type="spellEnd"/>
      <w:r w:rsidRPr="00DE54D3">
        <w:rPr>
          <w:i/>
          <w:lang w:val="fr-FR"/>
        </w:rPr>
        <w:t xml:space="preserve"> et consorts</w:t>
      </w:r>
      <w:r w:rsidRPr="00DE54D3">
        <w:rPr>
          <w:i/>
          <w:iCs/>
          <w:lang w:val="fr-FR"/>
        </w:rPr>
        <w:t xml:space="preserve"> c. Colombie</w:t>
      </w:r>
      <w:r w:rsidRPr="00DE54D3">
        <w:rPr>
          <w:lang w:val="fr-FR"/>
        </w:rPr>
        <w:t>, par. 9.5.</w:t>
      </w:r>
    </w:p>
  </w:footnote>
  <w:footnote w:id="35">
    <w:p w14:paraId="4E4EDB90" w14:textId="77777777" w:rsidR="00B13F56" w:rsidRPr="00DE54D3" w:rsidRDefault="00B13F56" w:rsidP="00B13F56">
      <w:pPr>
        <w:pStyle w:val="Notedebasdepage"/>
      </w:pPr>
      <w:r w:rsidRPr="00DE54D3">
        <w:tab/>
      </w:r>
      <w:r w:rsidRPr="00354FCF">
        <w:rPr>
          <w:rStyle w:val="Appelnotedebasdep"/>
        </w:rPr>
        <w:footnoteRef/>
      </w:r>
      <w:r w:rsidRPr="00DE54D3">
        <w:tab/>
      </w:r>
      <w:proofErr w:type="spellStart"/>
      <w:r w:rsidRPr="00C57DFE">
        <w:rPr>
          <w:i/>
          <w:iCs/>
          <w:lang w:val="fr-FR"/>
        </w:rPr>
        <w:t>Mezine</w:t>
      </w:r>
      <w:proofErr w:type="spellEnd"/>
      <w:r w:rsidRPr="00C57DFE">
        <w:rPr>
          <w:i/>
          <w:iCs/>
          <w:lang w:val="fr-FR"/>
        </w:rPr>
        <w:t xml:space="preserve"> c. Algérie</w:t>
      </w:r>
      <w:r w:rsidRPr="00DE54D3">
        <w:rPr>
          <w:lang w:val="fr-FR"/>
        </w:rPr>
        <w:t xml:space="preserve">, par. 8.6 ; </w:t>
      </w:r>
      <w:proofErr w:type="spellStart"/>
      <w:r w:rsidRPr="00C57DFE">
        <w:rPr>
          <w:i/>
          <w:iCs/>
          <w:lang w:val="fr-FR"/>
        </w:rPr>
        <w:t>Khirani</w:t>
      </w:r>
      <w:proofErr w:type="spellEnd"/>
      <w:r w:rsidRPr="00C57DFE">
        <w:rPr>
          <w:i/>
          <w:iCs/>
          <w:lang w:val="fr-FR"/>
        </w:rPr>
        <w:t xml:space="preserve"> </w:t>
      </w:r>
      <w:r>
        <w:rPr>
          <w:i/>
          <w:iCs/>
          <w:spacing w:val="-2"/>
          <w:lang w:val="fr-FR"/>
        </w:rPr>
        <w:t xml:space="preserve">et consorts </w:t>
      </w:r>
      <w:r w:rsidRPr="00C57DFE">
        <w:rPr>
          <w:i/>
          <w:iCs/>
          <w:lang w:val="fr-FR"/>
        </w:rPr>
        <w:t>c. Algérie</w:t>
      </w:r>
      <w:r w:rsidRPr="00DE54D3">
        <w:rPr>
          <w:lang w:val="fr-FR"/>
        </w:rPr>
        <w:t xml:space="preserve">, par. 7.6 ; </w:t>
      </w:r>
      <w:proofErr w:type="spellStart"/>
      <w:r w:rsidRPr="00C57DFE">
        <w:rPr>
          <w:i/>
          <w:iCs/>
        </w:rPr>
        <w:t>Berzig</w:t>
      </w:r>
      <w:proofErr w:type="spellEnd"/>
      <w:r w:rsidRPr="00C57DFE">
        <w:rPr>
          <w:i/>
          <w:iCs/>
          <w:lang w:val="fr-FR"/>
        </w:rPr>
        <w:t xml:space="preserve"> c. Algérie</w:t>
      </w:r>
      <w:r w:rsidRPr="00DE54D3">
        <w:rPr>
          <w:lang w:val="fr-FR"/>
        </w:rPr>
        <w:t xml:space="preserve">, par. 8.6 ; </w:t>
      </w:r>
      <w:r w:rsidRPr="00C57DFE">
        <w:rPr>
          <w:i/>
          <w:iCs/>
          <w:lang w:val="fr-FR"/>
        </w:rPr>
        <w:t>El</w:t>
      </w:r>
      <w:r>
        <w:rPr>
          <w:i/>
          <w:iCs/>
          <w:lang w:val="fr-FR"/>
        </w:rPr>
        <w:t> </w:t>
      </w:r>
      <w:proofErr w:type="spellStart"/>
      <w:r w:rsidRPr="00C57DFE">
        <w:rPr>
          <w:i/>
          <w:iCs/>
          <w:lang w:val="fr-FR"/>
        </w:rPr>
        <w:t>Abani</w:t>
      </w:r>
      <w:proofErr w:type="spellEnd"/>
      <w:r w:rsidRPr="00C57DFE">
        <w:rPr>
          <w:i/>
          <w:iCs/>
          <w:lang w:val="fr-FR"/>
        </w:rPr>
        <w:t xml:space="preserve"> c. Jamahiriya arabe libyenne</w:t>
      </w:r>
      <w:r w:rsidRPr="00DE54D3">
        <w:rPr>
          <w:lang w:val="fr-FR"/>
        </w:rPr>
        <w:t xml:space="preserve">, par. 7.5 ; et </w:t>
      </w:r>
      <w:r w:rsidRPr="00C57DFE">
        <w:rPr>
          <w:i/>
          <w:iCs/>
          <w:lang w:val="fr-FR"/>
        </w:rPr>
        <w:t xml:space="preserve">El </w:t>
      </w:r>
      <w:proofErr w:type="spellStart"/>
      <w:r w:rsidRPr="00C57DFE">
        <w:rPr>
          <w:i/>
          <w:iCs/>
          <w:lang w:val="fr-FR"/>
        </w:rPr>
        <w:t>Hassy</w:t>
      </w:r>
      <w:proofErr w:type="spellEnd"/>
      <w:r w:rsidRPr="00C57DFE">
        <w:rPr>
          <w:i/>
          <w:iCs/>
          <w:lang w:val="fr-FR"/>
        </w:rPr>
        <w:t xml:space="preserve"> c. Jamahiriya arabe libyenne</w:t>
      </w:r>
      <w:r w:rsidRPr="00DE54D3">
        <w:rPr>
          <w:lang w:val="fr-FR"/>
        </w:rPr>
        <w:t xml:space="preserve"> (</w:t>
      </w:r>
      <w:hyperlink r:id="rId39" w:history="1">
        <w:r w:rsidRPr="00786915">
          <w:rPr>
            <w:rStyle w:val="Lienhypertexte"/>
            <w:lang w:val="fr-FR"/>
          </w:rPr>
          <w:t>CCPR/C/91/D/1422/2005</w:t>
        </w:r>
      </w:hyperlink>
      <w:r w:rsidRPr="00DE54D3">
        <w:rPr>
          <w:lang w:val="fr-FR"/>
        </w:rPr>
        <w:t>), par. 6.11.</w:t>
      </w:r>
    </w:p>
  </w:footnote>
  <w:footnote w:id="36">
    <w:p w14:paraId="4249F549" w14:textId="77777777" w:rsidR="00B13F56" w:rsidRDefault="00B13F56" w:rsidP="00B13F56">
      <w:pPr>
        <w:pStyle w:val="Notedebasdepage"/>
        <w:rPr>
          <w:lang w:val="fr-FR"/>
        </w:rPr>
      </w:pPr>
      <w:r>
        <w:tab/>
      </w:r>
      <w:r w:rsidRPr="00354FCF">
        <w:rPr>
          <w:rStyle w:val="Appelnotedebasdep"/>
        </w:rPr>
        <w:footnoteRef/>
      </w:r>
      <w:r>
        <w:tab/>
      </w:r>
      <w:proofErr w:type="spellStart"/>
      <w:r w:rsidRPr="00653204">
        <w:rPr>
          <w:i/>
          <w:lang w:val="fr-FR"/>
        </w:rPr>
        <w:t>Rsiwi</w:t>
      </w:r>
      <w:proofErr w:type="spellEnd"/>
      <w:r w:rsidRPr="00653204">
        <w:rPr>
          <w:i/>
          <w:lang w:val="fr-FR"/>
        </w:rPr>
        <w:t xml:space="preserve"> c. Algérie</w:t>
      </w:r>
      <w:r>
        <w:rPr>
          <w:lang w:val="fr-FR"/>
        </w:rPr>
        <w:t xml:space="preserve">, par. 8.11 ; </w:t>
      </w:r>
      <w:proofErr w:type="spellStart"/>
      <w:r w:rsidRPr="002C454D">
        <w:rPr>
          <w:i/>
          <w:szCs w:val="18"/>
          <w:lang w:val="fr-FR"/>
        </w:rPr>
        <w:t>Boudjema</w:t>
      </w:r>
      <w:proofErr w:type="spellEnd"/>
      <w:r w:rsidRPr="002C454D">
        <w:rPr>
          <w:i/>
          <w:szCs w:val="18"/>
          <w:lang w:val="fr-FR"/>
        </w:rPr>
        <w:t xml:space="preserve"> c. Algérie</w:t>
      </w:r>
      <w:r>
        <w:rPr>
          <w:i/>
          <w:szCs w:val="18"/>
          <w:lang w:val="fr-FR"/>
        </w:rPr>
        <w:t xml:space="preserve"> </w:t>
      </w:r>
      <w:r w:rsidRPr="00DE54D3">
        <w:t>(</w:t>
      </w:r>
      <w:hyperlink r:id="rId40" w:history="1">
        <w:r w:rsidRPr="00786915">
          <w:rPr>
            <w:rStyle w:val="Lienhypertexte"/>
          </w:rPr>
          <w:t>CCPR/C/121/D/2283/2013</w:t>
        </w:r>
      </w:hyperlink>
      <w:r w:rsidRPr="00DE54D3">
        <w:t>)</w:t>
      </w:r>
      <w:r>
        <w:rPr>
          <w:szCs w:val="18"/>
          <w:lang w:val="fr-FR"/>
        </w:rPr>
        <w:t xml:space="preserve">, par. 8.12 ; et </w:t>
      </w:r>
      <w:proofErr w:type="spellStart"/>
      <w:r>
        <w:rPr>
          <w:i/>
          <w:lang w:val="fr-FR"/>
        </w:rPr>
        <w:t>Bouzeriba</w:t>
      </w:r>
      <w:proofErr w:type="spellEnd"/>
      <w:r>
        <w:rPr>
          <w:i/>
          <w:lang w:val="fr-FR"/>
        </w:rPr>
        <w:t xml:space="preserve"> </w:t>
      </w:r>
      <w:r w:rsidRPr="00187C8F">
        <w:rPr>
          <w:i/>
          <w:lang w:val="fr-FR"/>
        </w:rPr>
        <w:t>c.</w:t>
      </w:r>
      <w:r>
        <w:rPr>
          <w:i/>
          <w:lang w:val="fr-FR"/>
        </w:rPr>
        <w:t xml:space="preserve"> </w:t>
      </w:r>
      <w:r w:rsidRPr="00187C8F">
        <w:rPr>
          <w:i/>
          <w:lang w:val="fr-FR"/>
        </w:rPr>
        <w:t>Algérie</w:t>
      </w:r>
      <w:r>
        <w:rPr>
          <w:lang w:val="fr-FR"/>
        </w:rPr>
        <w:t xml:space="preserve"> (</w:t>
      </w:r>
      <w:hyperlink r:id="rId41" w:history="1">
        <w:r w:rsidRPr="00786915">
          <w:rPr>
            <w:rStyle w:val="Lienhypertexte"/>
            <w:lang w:val="fr-FR"/>
          </w:rPr>
          <w:t>CCPR/C/111/D/1931/2010</w:t>
        </w:r>
      </w:hyperlink>
      <w:r>
        <w:rPr>
          <w:lang w:val="fr-FR"/>
        </w:rPr>
        <w:t>), par. 8.10</w:t>
      </w:r>
      <w:r>
        <w:rPr>
          <w:szCs w:val="18"/>
          <w:lang w:val="fr-FR"/>
        </w:rPr>
        <w:t>.</w:t>
      </w:r>
    </w:p>
  </w:footnote>
  <w:footnote w:id="37">
    <w:p w14:paraId="2A53C06C" w14:textId="77777777" w:rsidR="00B13F56" w:rsidRPr="00DE54D3" w:rsidRDefault="00B13F56" w:rsidP="00B13F56">
      <w:pPr>
        <w:pStyle w:val="Notedebasdepage"/>
      </w:pPr>
      <w:r w:rsidRPr="00DE54D3">
        <w:tab/>
      </w:r>
      <w:r w:rsidRPr="00354FCF">
        <w:rPr>
          <w:rStyle w:val="Appelnotedebasdep"/>
        </w:rPr>
        <w:footnoteRef/>
      </w:r>
      <w:r w:rsidRPr="00DE54D3">
        <w:tab/>
      </w:r>
      <w:proofErr w:type="spellStart"/>
      <w:r w:rsidRPr="00DE54D3">
        <w:rPr>
          <w:i/>
        </w:rPr>
        <w:t>Allioua</w:t>
      </w:r>
      <w:proofErr w:type="spellEnd"/>
      <w:r w:rsidRPr="00DE54D3">
        <w:rPr>
          <w:i/>
        </w:rPr>
        <w:t xml:space="preserve"> et </w:t>
      </w:r>
      <w:proofErr w:type="spellStart"/>
      <w:r w:rsidRPr="00DE54D3">
        <w:rPr>
          <w:i/>
        </w:rPr>
        <w:t>Kerouane</w:t>
      </w:r>
      <w:proofErr w:type="spellEnd"/>
      <w:r w:rsidRPr="00DE54D3">
        <w:rPr>
          <w:i/>
        </w:rPr>
        <w:t xml:space="preserve"> c. Algérie</w:t>
      </w:r>
      <w:r w:rsidRPr="00DE54D3">
        <w:t xml:space="preserve"> (</w:t>
      </w:r>
      <w:hyperlink r:id="rId42" w:history="1">
        <w:r w:rsidRPr="00786915">
          <w:rPr>
            <w:rStyle w:val="Lienhypertexte"/>
          </w:rPr>
          <w:t>CCPR/C/112/D/2132/2012</w:t>
        </w:r>
      </w:hyperlink>
      <w:r w:rsidRPr="00DE54D3">
        <w:t>), par. 7.11.</w:t>
      </w:r>
    </w:p>
  </w:footnote>
  <w:footnote w:id="38">
    <w:p w14:paraId="6A09ACF9" w14:textId="77777777" w:rsidR="00B13F56" w:rsidRDefault="00B13F56" w:rsidP="00B13F56">
      <w:pPr>
        <w:pStyle w:val="Notedebasdepage"/>
      </w:pPr>
      <w:r w:rsidRPr="00DE54D3">
        <w:tab/>
      </w:r>
      <w:r w:rsidRPr="00354FCF">
        <w:rPr>
          <w:rStyle w:val="Appelnotedebasdep"/>
        </w:rPr>
        <w:footnoteRef/>
      </w:r>
      <w:r w:rsidRPr="00DE54D3">
        <w:tab/>
      </w:r>
      <w:hyperlink r:id="rId43" w:history="1">
        <w:r w:rsidRPr="00786915">
          <w:rPr>
            <w:rStyle w:val="Lienhypertexte"/>
            <w:lang w:val="fr-FR"/>
          </w:rPr>
          <w:t>CCPR/C/DZA/</w:t>
        </w:r>
        <w:r w:rsidRPr="00786915">
          <w:rPr>
            <w:rStyle w:val="Lienhypertexte"/>
          </w:rPr>
          <w:t>CO</w:t>
        </w:r>
        <w:r w:rsidRPr="00786915">
          <w:rPr>
            <w:rStyle w:val="Lienhypertexte"/>
            <w:lang w:val="fr-FR"/>
          </w:rPr>
          <w:t>/3</w:t>
        </w:r>
      </w:hyperlink>
      <w:r w:rsidRPr="00DE54D3">
        <w:rPr>
          <w:lang w:val="fr-FR"/>
        </w:rPr>
        <w:t>, par. 7.</w:t>
      </w:r>
    </w:p>
  </w:footnote>
  <w:footnote w:id="39">
    <w:p w14:paraId="103DC013" w14:textId="77777777" w:rsidR="00B13F56" w:rsidRPr="003E4756" w:rsidRDefault="00B13F56" w:rsidP="00B13F56">
      <w:pPr>
        <w:pStyle w:val="Notedebasdepage"/>
      </w:pPr>
      <w:r>
        <w:tab/>
      </w:r>
      <w:r w:rsidRPr="00354FCF">
        <w:rPr>
          <w:rStyle w:val="Appelnotedebasdep"/>
        </w:rPr>
        <w:footnoteRef/>
      </w:r>
      <w:r>
        <w:tab/>
      </w:r>
      <w:proofErr w:type="spellStart"/>
      <w:r w:rsidRPr="003E4756">
        <w:rPr>
          <w:i/>
        </w:rPr>
        <w:t>Drif</w:t>
      </w:r>
      <w:proofErr w:type="spellEnd"/>
      <w:r>
        <w:rPr>
          <w:i/>
        </w:rPr>
        <w:t xml:space="preserve"> et </w:t>
      </w:r>
      <w:proofErr w:type="spellStart"/>
      <w:r>
        <w:rPr>
          <w:i/>
        </w:rPr>
        <w:t>Rafraf</w:t>
      </w:r>
      <w:proofErr w:type="spellEnd"/>
      <w:r w:rsidRPr="003E4756">
        <w:rPr>
          <w:i/>
        </w:rPr>
        <w:t xml:space="preserve"> c. Algérie</w:t>
      </w:r>
      <w:r>
        <w:rPr>
          <w:i/>
        </w:rPr>
        <w:t xml:space="preserve"> </w:t>
      </w:r>
      <w:r>
        <w:t>(</w:t>
      </w:r>
      <w:hyperlink r:id="rId44" w:history="1">
        <w:r w:rsidRPr="00786915">
          <w:rPr>
            <w:rStyle w:val="Lienhypertexte"/>
          </w:rPr>
          <w:t>CCPR/C/134/D/3320/2019</w:t>
        </w:r>
      </w:hyperlink>
      <w:r>
        <w:t>), par. 8.12.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B189" w14:textId="35B1DE3E" w:rsidR="00CE4D07" w:rsidRPr="00CE4D07" w:rsidRDefault="000F27C5">
    <w:pPr>
      <w:pStyle w:val="En-tte"/>
    </w:pPr>
    <w:r>
      <w:fldChar w:fldCharType="begin"/>
    </w:r>
    <w:r>
      <w:instrText xml:space="preserve"> TITLE  \* MERGEFORMAT </w:instrText>
    </w:r>
    <w:r>
      <w:fldChar w:fldCharType="separate"/>
    </w:r>
    <w:r>
      <w:t>CCPR/C/136/D/2808/2016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6C94" w14:textId="57B79BB2" w:rsidR="00CE4D07" w:rsidRPr="00CE4D07" w:rsidRDefault="000F27C5" w:rsidP="00CE4D07">
    <w:pPr>
      <w:pStyle w:val="En-tte"/>
      <w:jc w:val="right"/>
    </w:pPr>
    <w:r>
      <w:fldChar w:fldCharType="begin"/>
    </w:r>
    <w:r>
      <w:instrText xml:space="preserve"> TITLE  \* MERGEFORMAT </w:instrText>
    </w:r>
    <w:r>
      <w:fldChar w:fldCharType="separate"/>
    </w:r>
    <w:r>
      <w:t>CCPR/C/136/D/2808/2016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2841D8E"/>
    <w:multiLevelType w:val="hybridMultilevel"/>
    <w:tmpl w:val="5FA6C030"/>
    <w:lvl w:ilvl="0" w:tplc="67C422AA">
      <w:start w:val="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D0"/>
    <w:rsid w:val="00017F94"/>
    <w:rsid w:val="00023842"/>
    <w:rsid w:val="000334F9"/>
    <w:rsid w:val="0007796D"/>
    <w:rsid w:val="000919AD"/>
    <w:rsid w:val="000B7790"/>
    <w:rsid w:val="000C2225"/>
    <w:rsid w:val="000F27C5"/>
    <w:rsid w:val="001023DA"/>
    <w:rsid w:val="00111F2F"/>
    <w:rsid w:val="0014365E"/>
    <w:rsid w:val="00176178"/>
    <w:rsid w:val="001B379B"/>
    <w:rsid w:val="001F525A"/>
    <w:rsid w:val="00223272"/>
    <w:rsid w:val="0024779E"/>
    <w:rsid w:val="002B7BC7"/>
    <w:rsid w:val="002E2D46"/>
    <w:rsid w:val="0032225A"/>
    <w:rsid w:val="003265B7"/>
    <w:rsid w:val="003402F1"/>
    <w:rsid w:val="00351332"/>
    <w:rsid w:val="003A6E96"/>
    <w:rsid w:val="00446FE5"/>
    <w:rsid w:val="00452396"/>
    <w:rsid w:val="005505B7"/>
    <w:rsid w:val="00573BE5"/>
    <w:rsid w:val="00586ED3"/>
    <w:rsid w:val="00596AA9"/>
    <w:rsid w:val="006D1448"/>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57411"/>
    <w:rsid w:val="00A9151D"/>
    <w:rsid w:val="00A92823"/>
    <w:rsid w:val="00AA6A35"/>
    <w:rsid w:val="00AC3823"/>
    <w:rsid w:val="00AE323C"/>
    <w:rsid w:val="00B00181"/>
    <w:rsid w:val="00B13F56"/>
    <w:rsid w:val="00B765F7"/>
    <w:rsid w:val="00BA0CA9"/>
    <w:rsid w:val="00C01ACF"/>
    <w:rsid w:val="00C02897"/>
    <w:rsid w:val="00C041F0"/>
    <w:rsid w:val="00CA7BC4"/>
    <w:rsid w:val="00CE4D07"/>
    <w:rsid w:val="00D05667"/>
    <w:rsid w:val="00D151E0"/>
    <w:rsid w:val="00D22C9C"/>
    <w:rsid w:val="00D3439C"/>
    <w:rsid w:val="00D744E5"/>
    <w:rsid w:val="00D83177"/>
    <w:rsid w:val="00D837D0"/>
    <w:rsid w:val="00D930C0"/>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A6A52"/>
  <w15:docId w15:val="{31749632-893F-46C7-85A8-6D14102C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CE4D07"/>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CE4D07"/>
    <w:rPr>
      <w:sz w:val="16"/>
      <w:szCs w:val="16"/>
    </w:rPr>
  </w:style>
  <w:style w:type="paragraph" w:styleId="Commentaire">
    <w:name w:val="annotation text"/>
    <w:basedOn w:val="Normal"/>
    <w:link w:val="CommentaireCar"/>
    <w:uiPriority w:val="99"/>
    <w:semiHidden/>
    <w:unhideWhenUsed/>
    <w:rsid w:val="00CE4D07"/>
    <w:pPr>
      <w:spacing w:line="240" w:lineRule="auto"/>
    </w:pPr>
  </w:style>
  <w:style w:type="character" w:customStyle="1" w:styleId="CommentaireCar">
    <w:name w:val="Commentaire Car"/>
    <w:basedOn w:val="Policepardfaut"/>
    <w:link w:val="Commentaire"/>
    <w:uiPriority w:val="99"/>
    <w:semiHidden/>
    <w:rsid w:val="00CE4D07"/>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CE4D07"/>
    <w:rPr>
      <w:b/>
      <w:bCs/>
    </w:rPr>
  </w:style>
  <w:style w:type="character" w:customStyle="1" w:styleId="ObjetducommentaireCar">
    <w:name w:val="Objet du commentaire Car"/>
    <w:basedOn w:val="CommentaireCar"/>
    <w:link w:val="Objetducommentaire"/>
    <w:uiPriority w:val="99"/>
    <w:semiHidden/>
    <w:rsid w:val="00CE4D07"/>
    <w:rPr>
      <w:rFonts w:ascii="Times New Roman" w:eastAsiaTheme="minorHAnsi" w:hAnsi="Times New Roman" w:cs="Times New Roman"/>
      <w:b/>
      <w:bCs/>
      <w:sz w:val="20"/>
      <w:szCs w:val="20"/>
      <w:lang w:eastAsia="en-US"/>
    </w:rPr>
  </w:style>
  <w:style w:type="character" w:customStyle="1" w:styleId="Mentionnonrsolue1">
    <w:name w:val="Mention non résolue1"/>
    <w:basedOn w:val="Policepardfaut"/>
    <w:uiPriority w:val="99"/>
    <w:semiHidden/>
    <w:unhideWhenUsed/>
    <w:rsid w:val="00CE4D07"/>
    <w:rPr>
      <w:color w:val="605E5C"/>
      <w:shd w:val="clear" w:color="auto" w:fill="E1DFDD"/>
    </w:rPr>
  </w:style>
  <w:style w:type="paragraph" w:styleId="Rvision">
    <w:name w:val="Revision"/>
    <w:hidden/>
    <w:uiPriority w:val="99"/>
    <w:semiHidden/>
    <w:rsid w:val="00CE4D07"/>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B13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128/D/3082/2017" TargetMode="External"/><Relationship Id="rId13" Type="http://schemas.openxmlformats.org/officeDocument/2006/relationships/hyperlink" Target="http://undocs.org/fr/CCPR/C/128/D/2893/2016" TargetMode="External"/><Relationship Id="rId18" Type="http://schemas.openxmlformats.org/officeDocument/2006/relationships/hyperlink" Target="http://undocs.org/fr/CCPR/C/104/D/1905/2009/Corr.1" TargetMode="External"/><Relationship Id="rId26" Type="http://schemas.openxmlformats.org/officeDocument/2006/relationships/hyperlink" Target="http://undocs.org/fr/CCPR/C/105/D/1834/2008" TargetMode="External"/><Relationship Id="rId39" Type="http://schemas.openxmlformats.org/officeDocument/2006/relationships/hyperlink" Target="http://undocs.org/fr/CCPR/C/91/D/1422/2005" TargetMode="External"/><Relationship Id="rId3" Type="http://schemas.openxmlformats.org/officeDocument/2006/relationships/hyperlink" Target="http://undocs.org/fr/CCPR/C/111/D/1964/2010" TargetMode="External"/><Relationship Id="rId21" Type="http://schemas.openxmlformats.org/officeDocument/2006/relationships/hyperlink" Target="http://undocs.org/fr/CCPR/C/135/D/3010/2017" TargetMode="External"/><Relationship Id="rId34" Type="http://schemas.openxmlformats.org/officeDocument/2006/relationships/hyperlink" Target="http://undocs.org/fr/CCPR/C/112/D/2117/2011" TargetMode="External"/><Relationship Id="rId42" Type="http://schemas.openxmlformats.org/officeDocument/2006/relationships/hyperlink" Target="http://undocs.org/fr/CCPR/C/112/D/2132/2012" TargetMode="External"/><Relationship Id="rId7" Type="http://schemas.openxmlformats.org/officeDocument/2006/relationships/hyperlink" Target="http://undocs.org/fr/CCPR/C/87/D/1297/2004" TargetMode="External"/><Relationship Id="rId12" Type="http://schemas.openxmlformats.org/officeDocument/2006/relationships/hyperlink" Target="http://undocs.org/fr/CCPR/C/130/D/2639/2015" TargetMode="External"/><Relationship Id="rId17" Type="http://schemas.openxmlformats.org/officeDocument/2006/relationships/hyperlink" Target="http://undocs.org/fr/CCPR/C/104/D/1905/2009" TargetMode="External"/><Relationship Id="rId25" Type="http://schemas.openxmlformats.org/officeDocument/2006/relationships/hyperlink" Target="http://undocs.org/fr/CCPR/C/108/D/2202/2012" TargetMode="External"/><Relationship Id="rId33" Type="http://schemas.openxmlformats.org/officeDocument/2006/relationships/hyperlink" Target="http://undocs.org/fr/CCPR/C/122/D/2265/2013" TargetMode="External"/><Relationship Id="rId38" Type="http://schemas.openxmlformats.org/officeDocument/2006/relationships/hyperlink" Target="http://undocs.org/fr/CCPR/C/117/D/2164/2012" TargetMode="External"/><Relationship Id="rId2" Type="http://schemas.openxmlformats.org/officeDocument/2006/relationships/hyperlink" Target="http://undocs.org/fr/CCPR/C/79/Add.95" TargetMode="External"/><Relationship Id="rId16" Type="http://schemas.openxmlformats.org/officeDocument/2006/relationships/hyperlink" Target="http://undocs.org/fr/CCPR/C/107/D/1791/2008" TargetMode="External"/><Relationship Id="rId20" Type="http://schemas.openxmlformats.org/officeDocument/2006/relationships/hyperlink" Target="http://undocs.org/fr/CCPR/C/134/D/3320/2019" TargetMode="External"/><Relationship Id="rId29" Type="http://schemas.openxmlformats.org/officeDocument/2006/relationships/hyperlink" Target="http://undocs.org/fr/CCPR/C/99/D/1640/2007" TargetMode="External"/><Relationship Id="rId41" Type="http://schemas.openxmlformats.org/officeDocument/2006/relationships/hyperlink" Target="http://undocs.org/fr/CCPR/C/111/D/1931/2010" TargetMode="External"/><Relationship Id="rId1" Type="http://schemas.openxmlformats.org/officeDocument/2006/relationships/hyperlink" Target="http://undocs.org/fr/CCPR/C/DZA/CO/3" TargetMode="External"/><Relationship Id="rId6" Type="http://schemas.openxmlformats.org/officeDocument/2006/relationships/hyperlink" Target="http://undocs.org/fr/CCPR/C/106/D/1779/2008" TargetMode="External"/><Relationship Id="rId11" Type="http://schemas.openxmlformats.org/officeDocument/2006/relationships/hyperlink" Target="http://undocs.org/fr/CCPR/C/109/D/1874/2009" TargetMode="External"/><Relationship Id="rId24" Type="http://schemas.openxmlformats.org/officeDocument/2006/relationships/hyperlink" Target="http://undocs.org/fr/CCPR/C/114/D/2343/2014" TargetMode="External"/><Relationship Id="rId32" Type="http://schemas.openxmlformats.org/officeDocument/2006/relationships/hyperlink" Target="http://undocs.org/fr/CCPR/C/113/D/2000/2010" TargetMode="External"/><Relationship Id="rId37" Type="http://schemas.openxmlformats.org/officeDocument/2006/relationships/hyperlink" Target="http://undocs.org/fr/CCPR/C/116/D/2297/2013" TargetMode="External"/><Relationship Id="rId40" Type="http://schemas.openxmlformats.org/officeDocument/2006/relationships/hyperlink" Target="http://undocs.org/fr/CCPR/C/121/D/2283/2013" TargetMode="External"/><Relationship Id="rId5" Type="http://schemas.openxmlformats.org/officeDocument/2006/relationships/hyperlink" Target="http://undocs.org/fr/CCPR/C/130/D/2580/2015" TargetMode="External"/><Relationship Id="rId15" Type="http://schemas.openxmlformats.org/officeDocument/2006/relationships/hyperlink" Target="http://undocs.org/fr/CCPR/C/128/D/2819/2016" TargetMode="External"/><Relationship Id="rId23" Type="http://schemas.openxmlformats.org/officeDocument/2006/relationships/hyperlink" Target="http://undocs.org/fr/CCPR/C/118/D/2195/2012" TargetMode="External"/><Relationship Id="rId28" Type="http://schemas.openxmlformats.org/officeDocument/2006/relationships/hyperlink" Target="http://undocs.org/fr/CCPR/C/112/D/2026/2011" TargetMode="External"/><Relationship Id="rId36" Type="http://schemas.openxmlformats.org/officeDocument/2006/relationships/hyperlink" Target="http://undocs.org/fr/CCPR/C/90/D/1295/2004" TargetMode="External"/><Relationship Id="rId10" Type="http://schemas.openxmlformats.org/officeDocument/2006/relationships/hyperlink" Target="http://undocs.org/fr/CCPR/C/111/D/1882/2009" TargetMode="External"/><Relationship Id="rId19" Type="http://schemas.openxmlformats.org/officeDocument/2006/relationships/hyperlink" Target="http://undocs.org/fr/CCPR/C/103/D/1781/2008" TargetMode="External"/><Relationship Id="rId31" Type="http://schemas.openxmlformats.org/officeDocument/2006/relationships/hyperlink" Target="http://undocs.org/fr/CCPR/C/114/D/2134/2012" TargetMode="External"/><Relationship Id="rId44" Type="http://schemas.openxmlformats.org/officeDocument/2006/relationships/hyperlink" Target="http://undocs.org/fr/CCPR/C/134/D/3320/2019" TargetMode="External"/><Relationship Id="rId4" Type="http://schemas.openxmlformats.org/officeDocument/2006/relationships/hyperlink" Target="http://undocs.org/fr/CCPR/C/130/D/2843/2016" TargetMode="External"/><Relationship Id="rId9" Type="http://schemas.openxmlformats.org/officeDocument/2006/relationships/hyperlink" Target="http://undocs.org/fr/CCPR/C/114/D/2038/2011" TargetMode="External"/><Relationship Id="rId14" Type="http://schemas.openxmlformats.org/officeDocument/2006/relationships/hyperlink" Target="http://undocs.org/fr/CCPR/C/128/D/2828/2016" TargetMode="External"/><Relationship Id="rId22" Type="http://schemas.openxmlformats.org/officeDocument/2006/relationships/hyperlink" Target="http://undocs.org/fr/CCPR/C/111/D/2030/2011" TargetMode="External"/><Relationship Id="rId27" Type="http://schemas.openxmlformats.org/officeDocument/2006/relationships/hyperlink" Target="http://undocs.org/fr/CCPR/C/100/D/1887/2009" TargetMode="External"/><Relationship Id="rId30" Type="http://schemas.openxmlformats.org/officeDocument/2006/relationships/hyperlink" Target="http://undocs.org/fr/CCPR/C/119/D/2259/2013" TargetMode="External"/><Relationship Id="rId35" Type="http://schemas.openxmlformats.org/officeDocument/2006/relationships/hyperlink" Target="http://undocs.org/fr/CCPR/C/128/D/2924/2016" TargetMode="External"/><Relationship Id="rId43" Type="http://schemas.openxmlformats.org/officeDocument/2006/relationships/hyperlink" Target="http://undocs.org/fr/CCPR/C/DZA/CO/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12</Pages>
  <Words>7363</Words>
  <Characters>37556</Characters>
  <Application>Microsoft Office Word</Application>
  <DocSecurity>0</DocSecurity>
  <Lines>552</Lines>
  <Paragraphs>112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CCPR/C/136/D/2808/2016</dc:title>
  <dc:subject/>
  <dc:creator>Sandrine CLERE</dc:creator>
  <cp:keywords/>
  <cp:lastModifiedBy>Sandrine Clere</cp:lastModifiedBy>
  <cp:revision>3</cp:revision>
  <cp:lastPrinted>2022-12-08T11:21:00Z</cp:lastPrinted>
  <dcterms:created xsi:type="dcterms:W3CDTF">2022-12-08T11:21:00Z</dcterms:created>
  <dcterms:modified xsi:type="dcterms:W3CDTF">2022-12-08T11:21:00Z</dcterms:modified>
</cp:coreProperties>
</file>