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6B38E72" w14:textId="77777777" w:rsidTr="00CA1AEA">
        <w:trPr>
          <w:cantSplit/>
          <w:trHeight w:hRule="exact" w:val="851"/>
        </w:trPr>
        <w:tc>
          <w:tcPr>
            <w:tcW w:w="1276" w:type="dxa"/>
            <w:tcBorders>
              <w:bottom w:val="single" w:sz="4" w:space="0" w:color="auto"/>
            </w:tcBorders>
            <w:vAlign w:val="bottom"/>
          </w:tcPr>
          <w:p w14:paraId="4C96E2B8" w14:textId="77777777" w:rsidR="00165C15" w:rsidRDefault="00165C15" w:rsidP="00CA1AEA">
            <w:pPr>
              <w:spacing w:after="80"/>
            </w:pPr>
          </w:p>
        </w:tc>
        <w:tc>
          <w:tcPr>
            <w:tcW w:w="2268" w:type="dxa"/>
            <w:tcBorders>
              <w:bottom w:val="single" w:sz="4" w:space="0" w:color="auto"/>
            </w:tcBorders>
            <w:vAlign w:val="bottom"/>
          </w:tcPr>
          <w:p w14:paraId="53847AE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C6C6D8D" w14:textId="7F0E967C" w:rsidR="00165C15" w:rsidRPr="00D47EEA" w:rsidRDefault="00F86CCC" w:rsidP="00F86CCC">
            <w:pPr>
              <w:suppressAutoHyphens w:val="0"/>
              <w:spacing w:after="20"/>
              <w:jc w:val="right"/>
            </w:pPr>
            <w:r w:rsidRPr="002575EF">
              <w:rPr>
                <w:sz w:val="40"/>
              </w:rPr>
              <w:t>CCPR</w:t>
            </w:r>
            <w:r w:rsidRPr="002575EF">
              <w:t>/C/135/D/2829/2016</w:t>
            </w:r>
          </w:p>
        </w:tc>
      </w:tr>
      <w:tr w:rsidR="00165C15" w14:paraId="6BC7796E" w14:textId="77777777" w:rsidTr="00CA1AEA">
        <w:trPr>
          <w:cantSplit/>
          <w:trHeight w:hRule="exact" w:val="2835"/>
        </w:trPr>
        <w:tc>
          <w:tcPr>
            <w:tcW w:w="1276" w:type="dxa"/>
            <w:tcBorders>
              <w:top w:val="single" w:sz="4" w:space="0" w:color="auto"/>
              <w:bottom w:val="single" w:sz="12" w:space="0" w:color="auto"/>
            </w:tcBorders>
          </w:tcPr>
          <w:p w14:paraId="316C652F" w14:textId="77777777" w:rsidR="00165C15" w:rsidRDefault="00165C15" w:rsidP="00CA1AEA">
            <w:pPr>
              <w:spacing w:before="120"/>
            </w:pPr>
            <w:r>
              <w:rPr>
                <w:noProof/>
                <w:lang w:eastAsia="en-GB"/>
              </w:rPr>
              <w:drawing>
                <wp:inline distT="0" distB="0" distL="0" distR="0" wp14:anchorId="7E96483C" wp14:editId="665E19E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7297A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53020B5" w14:textId="77777777" w:rsidR="00165C15" w:rsidRDefault="00F86CCC" w:rsidP="00F86CCC">
            <w:pPr>
              <w:suppressAutoHyphens w:val="0"/>
              <w:spacing w:before="240"/>
            </w:pPr>
            <w:r>
              <w:t>Distr.: General</w:t>
            </w:r>
          </w:p>
          <w:p w14:paraId="72638715" w14:textId="62671B1E" w:rsidR="00F86CCC" w:rsidRDefault="00F86CCC" w:rsidP="00F86CCC">
            <w:pPr>
              <w:suppressAutoHyphens w:val="0"/>
            </w:pPr>
            <w:r>
              <w:t>1</w:t>
            </w:r>
            <w:r w:rsidR="00062AF2">
              <w:t>8</w:t>
            </w:r>
            <w:r>
              <w:t xml:space="preserve"> November 2022</w:t>
            </w:r>
          </w:p>
          <w:p w14:paraId="6F422DD5" w14:textId="77777777" w:rsidR="00F86CCC" w:rsidRDefault="00F86CCC" w:rsidP="00F86CCC">
            <w:pPr>
              <w:suppressAutoHyphens w:val="0"/>
            </w:pPr>
          </w:p>
          <w:p w14:paraId="58E5324C" w14:textId="77777777" w:rsidR="00F86CCC" w:rsidRDefault="00F86CCC" w:rsidP="00F86CCC">
            <w:pPr>
              <w:suppressAutoHyphens w:val="0"/>
            </w:pPr>
            <w:r>
              <w:t>Original: English</w:t>
            </w:r>
          </w:p>
        </w:tc>
      </w:tr>
    </w:tbl>
    <w:p w14:paraId="22FE7572" w14:textId="77777777" w:rsidR="008C6396" w:rsidRPr="007E2028" w:rsidRDefault="008C6396" w:rsidP="008C6396">
      <w:pPr>
        <w:spacing w:before="120"/>
        <w:rPr>
          <w:b/>
          <w:bCs/>
          <w:sz w:val="24"/>
        </w:rPr>
      </w:pPr>
      <w:r w:rsidRPr="007E2028">
        <w:rPr>
          <w:b/>
          <w:bCs/>
          <w:sz w:val="24"/>
        </w:rPr>
        <w:t>Human Rights Committee</w:t>
      </w:r>
    </w:p>
    <w:p w14:paraId="16EC6D09" w14:textId="6BE5B00F" w:rsidR="008C6396" w:rsidRPr="008E4465" w:rsidRDefault="008C6396" w:rsidP="008C6396">
      <w:pPr>
        <w:pStyle w:val="HChG"/>
        <w:rPr>
          <w:lang w:val="en-US"/>
        </w:rPr>
      </w:pPr>
      <w:r w:rsidRPr="00676B08">
        <w:tab/>
      </w:r>
      <w:r w:rsidRPr="00676B08">
        <w:tab/>
      </w:r>
      <w:r w:rsidRPr="00AB1857">
        <w:t>Views adopted by the Committee under article 5 (4) of</w:t>
      </w:r>
      <w:r>
        <w:br/>
      </w:r>
      <w:r w:rsidRPr="00AB1857">
        <w:t>the</w:t>
      </w:r>
      <w:r>
        <w:t xml:space="preserve"> </w:t>
      </w:r>
      <w:r w:rsidRPr="00AB1857">
        <w:t xml:space="preserve">Optional Protocol, concerning </w:t>
      </w:r>
      <w:r>
        <w:t>c</w:t>
      </w:r>
      <w:r w:rsidRPr="00676B08">
        <w:t>ommunication No.</w:t>
      </w:r>
      <w:r>
        <w:t> 2829</w:t>
      </w:r>
      <w:r w:rsidRPr="00676B08">
        <w:t>/201</w:t>
      </w:r>
      <w:r>
        <w:t>6</w:t>
      </w:r>
      <w:r w:rsidRPr="006247DA">
        <w:rPr>
          <w:b w:val="0"/>
          <w:sz w:val="20"/>
        </w:rPr>
        <w:footnoteReference w:customMarkFollows="1" w:id="1"/>
        <w:t>*</w:t>
      </w:r>
      <w:r w:rsidRPr="006247DA">
        <w:rPr>
          <w:sz w:val="20"/>
          <w:vertAlign w:val="superscript"/>
        </w:rPr>
        <w:t xml:space="preserve">, </w:t>
      </w:r>
      <w:r w:rsidRPr="00676B08">
        <w:rPr>
          <w:rFonts w:eastAsia="MS Mincho"/>
          <w:b w:val="0"/>
          <w:sz w:val="20"/>
        </w:rPr>
        <w:footnoteReference w:customMarkFollows="1" w:id="2"/>
        <w:t>**</w:t>
      </w:r>
    </w:p>
    <w:p w14:paraId="071FA4DA" w14:textId="77777777" w:rsidR="008C6396" w:rsidRPr="00CD15EE" w:rsidRDefault="008C6396" w:rsidP="008C6396">
      <w:pPr>
        <w:pStyle w:val="SingleTxtG"/>
        <w:ind w:left="4536" w:hanging="3402"/>
        <w:jc w:val="left"/>
        <w:rPr>
          <w:lang w:val="en-US"/>
        </w:rPr>
      </w:pPr>
      <w:r w:rsidRPr="00676B08">
        <w:rPr>
          <w:i/>
        </w:rPr>
        <w:t>Communication submitted by:</w:t>
      </w:r>
      <w:r w:rsidRPr="00676B08">
        <w:rPr>
          <w:i/>
        </w:rPr>
        <w:tab/>
      </w:r>
      <w:r>
        <w:t>Andrey Tsukanov, not represented by counsel</w:t>
      </w:r>
    </w:p>
    <w:p w14:paraId="6403E39C" w14:textId="77777777" w:rsidR="008C6396" w:rsidRPr="00676B08" w:rsidRDefault="008C6396" w:rsidP="008C6396">
      <w:pPr>
        <w:pStyle w:val="SingleTxtG"/>
        <w:ind w:left="4536" w:hanging="3402"/>
        <w:jc w:val="left"/>
        <w:rPr>
          <w:iCs/>
        </w:rPr>
      </w:pPr>
      <w:r w:rsidRPr="00676B08">
        <w:rPr>
          <w:i/>
        </w:rPr>
        <w:t>Alleged victim:</w:t>
      </w:r>
      <w:r w:rsidRPr="00676B08">
        <w:rPr>
          <w:i/>
        </w:rPr>
        <w:tab/>
      </w:r>
      <w:r w:rsidRPr="00676B08">
        <w:t>The author</w:t>
      </w:r>
    </w:p>
    <w:p w14:paraId="043FBC28" w14:textId="77777777" w:rsidR="008C6396" w:rsidRPr="00676B08" w:rsidRDefault="008C6396" w:rsidP="002575EF">
      <w:pPr>
        <w:pStyle w:val="SingleTxtG"/>
        <w:tabs>
          <w:tab w:val="clear" w:pos="2268"/>
        </w:tabs>
        <w:ind w:left="4536" w:hanging="3402"/>
        <w:jc w:val="left"/>
      </w:pPr>
      <w:r w:rsidRPr="00676B08">
        <w:rPr>
          <w:i/>
        </w:rPr>
        <w:t>State party:</w:t>
      </w:r>
      <w:r w:rsidRPr="00676B08">
        <w:rPr>
          <w:i/>
        </w:rPr>
        <w:tab/>
      </w:r>
      <w:r>
        <w:t>Kazakhstan</w:t>
      </w:r>
    </w:p>
    <w:p w14:paraId="1C21EDE6" w14:textId="77777777" w:rsidR="008C6396" w:rsidRPr="00676B08" w:rsidRDefault="008C6396" w:rsidP="008C6396">
      <w:pPr>
        <w:pStyle w:val="SingleTxtG"/>
        <w:ind w:left="4536" w:hanging="3402"/>
        <w:jc w:val="left"/>
      </w:pPr>
      <w:r w:rsidRPr="00676B08">
        <w:rPr>
          <w:i/>
        </w:rPr>
        <w:t>Date of communication:</w:t>
      </w:r>
      <w:r w:rsidRPr="00676B08">
        <w:rPr>
          <w:i/>
        </w:rPr>
        <w:tab/>
      </w:r>
      <w:r>
        <w:t>16 September</w:t>
      </w:r>
      <w:r w:rsidRPr="00676B08">
        <w:t xml:space="preserve"> 20</w:t>
      </w:r>
      <w:r>
        <w:t>14</w:t>
      </w:r>
      <w:r w:rsidRPr="00676B08">
        <w:t xml:space="preserve"> (initial submission)</w:t>
      </w:r>
    </w:p>
    <w:p w14:paraId="5CB06034" w14:textId="5A72591A" w:rsidR="008C6396" w:rsidRPr="00676B08" w:rsidRDefault="008C6396" w:rsidP="008C6396">
      <w:pPr>
        <w:pStyle w:val="SingleTxtG"/>
        <w:ind w:left="4536" w:hanging="3402"/>
        <w:jc w:val="left"/>
      </w:pPr>
      <w:r w:rsidRPr="00676B08">
        <w:rPr>
          <w:i/>
        </w:rPr>
        <w:t>Document references:</w:t>
      </w:r>
      <w:r w:rsidRPr="00676B08">
        <w:rPr>
          <w:i/>
        </w:rPr>
        <w:tab/>
      </w:r>
      <w:r w:rsidRPr="00676B08">
        <w:t>Decision taken pursuant to rule 92 of the Committee</w:t>
      </w:r>
      <w:r w:rsidR="00A67AAD">
        <w:t>’</w:t>
      </w:r>
      <w:r w:rsidRPr="00676B08">
        <w:t xml:space="preserve">s rules of procedure, transmitted to the State party on </w:t>
      </w:r>
      <w:r>
        <w:t>14 October</w:t>
      </w:r>
      <w:r w:rsidRPr="00676B08">
        <w:t xml:space="preserve"> 201</w:t>
      </w:r>
      <w:r>
        <w:t>6</w:t>
      </w:r>
      <w:r w:rsidRPr="00676B08">
        <w:t xml:space="preserve"> (not issued in document form)</w:t>
      </w:r>
    </w:p>
    <w:p w14:paraId="756787F3" w14:textId="77777777" w:rsidR="008C6396" w:rsidRPr="00676B08" w:rsidRDefault="008C6396" w:rsidP="008C6396">
      <w:pPr>
        <w:pStyle w:val="SingleTxtG"/>
        <w:ind w:left="4536" w:hanging="3402"/>
        <w:jc w:val="left"/>
      </w:pPr>
      <w:r w:rsidRPr="00676B08">
        <w:rPr>
          <w:i/>
        </w:rPr>
        <w:t>Date of adoption of Views:</w:t>
      </w:r>
      <w:r w:rsidRPr="00676B08">
        <w:rPr>
          <w:i/>
        </w:rPr>
        <w:tab/>
      </w:r>
      <w:r>
        <w:t>1 July 2022</w:t>
      </w:r>
    </w:p>
    <w:p w14:paraId="1FD7660C" w14:textId="77777777" w:rsidR="008C6396" w:rsidRPr="00676B08" w:rsidRDefault="008C6396" w:rsidP="008C6396">
      <w:pPr>
        <w:pStyle w:val="SingleTxtG"/>
        <w:ind w:left="4536" w:hanging="3402"/>
        <w:jc w:val="left"/>
      </w:pPr>
      <w:r w:rsidRPr="00676B08">
        <w:rPr>
          <w:i/>
          <w:iCs/>
        </w:rPr>
        <w:t>Subject matter:</w:t>
      </w:r>
      <w:r w:rsidRPr="00676B08">
        <w:rPr>
          <w:i/>
        </w:rPr>
        <w:tab/>
      </w:r>
      <w:r>
        <w:t>Arrest to prevent attendance at a public meeting</w:t>
      </w:r>
    </w:p>
    <w:p w14:paraId="25729C13" w14:textId="77777777" w:rsidR="008C6396" w:rsidRPr="005B5953" w:rsidRDefault="008C6396" w:rsidP="008C6396">
      <w:pPr>
        <w:pStyle w:val="SingleTxtG"/>
        <w:ind w:left="4536" w:hanging="3402"/>
        <w:jc w:val="left"/>
      </w:pPr>
      <w:r w:rsidRPr="00676B08">
        <w:rPr>
          <w:i/>
          <w:iCs/>
        </w:rPr>
        <w:t>Procedural issue</w:t>
      </w:r>
      <w:r>
        <w:rPr>
          <w:i/>
          <w:iCs/>
        </w:rPr>
        <w:t>s</w:t>
      </w:r>
      <w:r w:rsidRPr="00676B08">
        <w:rPr>
          <w:i/>
        </w:rPr>
        <w:t>:</w:t>
      </w:r>
      <w:r w:rsidRPr="00676B08">
        <w:rPr>
          <w:i/>
          <w:iCs/>
        </w:rPr>
        <w:tab/>
      </w:r>
      <w:r>
        <w:t>I</w:t>
      </w:r>
      <w:r w:rsidRPr="002448D4">
        <w:t xml:space="preserve">ncompatibility with the Covenant; </w:t>
      </w:r>
      <w:r w:rsidRPr="00007C2A">
        <w:rPr>
          <w:iCs/>
        </w:rPr>
        <w:t>exhaustion of domestic remedies</w:t>
      </w:r>
      <w:r>
        <w:rPr>
          <w:iCs/>
        </w:rPr>
        <w:t xml:space="preserve">; </w:t>
      </w:r>
      <w:r>
        <w:t>n</w:t>
      </w:r>
      <w:r w:rsidRPr="001B63A6">
        <w:t>on-substantiation of the claims</w:t>
      </w:r>
    </w:p>
    <w:p w14:paraId="38DA43D8" w14:textId="35D5956A" w:rsidR="008C6396" w:rsidRPr="00EC6814" w:rsidRDefault="008C6396" w:rsidP="008C6396">
      <w:pPr>
        <w:pStyle w:val="SingleTxtG"/>
        <w:ind w:left="4536" w:hanging="3402"/>
        <w:jc w:val="left"/>
      </w:pPr>
      <w:r w:rsidRPr="00676B08">
        <w:rPr>
          <w:i/>
          <w:iCs/>
        </w:rPr>
        <w:t>Substantive issues:</w:t>
      </w:r>
      <w:r w:rsidRPr="00676B08">
        <w:rPr>
          <w:i/>
          <w:iCs/>
        </w:rPr>
        <w:tab/>
      </w:r>
      <w:r>
        <w:t>Legal assistance; freedom of opinion and expression</w:t>
      </w:r>
    </w:p>
    <w:p w14:paraId="28697F20" w14:textId="77777777" w:rsidR="008C6396" w:rsidRDefault="008C6396" w:rsidP="008C6396">
      <w:pPr>
        <w:pStyle w:val="SingleTxtG"/>
        <w:ind w:left="4536" w:hanging="3402"/>
        <w:jc w:val="left"/>
      </w:pPr>
      <w:r w:rsidRPr="00F35423">
        <w:rPr>
          <w:i/>
          <w:iCs/>
        </w:rPr>
        <w:t xml:space="preserve">Articles </w:t>
      </w:r>
      <w:r>
        <w:rPr>
          <w:i/>
          <w:iCs/>
        </w:rPr>
        <w:t>of the Covenant</w:t>
      </w:r>
      <w:r w:rsidRPr="00E613A9">
        <w:rPr>
          <w:i/>
        </w:rPr>
        <w:t>:</w:t>
      </w:r>
      <w:r>
        <w:rPr>
          <w:i/>
          <w:iCs/>
        </w:rPr>
        <w:tab/>
      </w:r>
      <w:r>
        <w:t>14 (3) (b) and 19 (2)</w:t>
      </w:r>
    </w:p>
    <w:p w14:paraId="723EB74D" w14:textId="77777777" w:rsidR="008C6396" w:rsidRPr="001B4A8B" w:rsidRDefault="008C6396" w:rsidP="008C6396">
      <w:pPr>
        <w:pStyle w:val="SingleTxtG"/>
        <w:ind w:left="4536" w:hanging="3402"/>
        <w:jc w:val="left"/>
      </w:pPr>
      <w:r>
        <w:rPr>
          <w:i/>
          <w:iCs/>
        </w:rPr>
        <w:t>Articles of the Optional Protocol:</w:t>
      </w:r>
      <w:r>
        <w:rPr>
          <w:i/>
          <w:iCs/>
        </w:rPr>
        <w:tab/>
      </w:r>
      <w:r>
        <w:rPr>
          <w:iCs/>
        </w:rPr>
        <w:t>2, 3 and 5</w:t>
      </w:r>
    </w:p>
    <w:p w14:paraId="6B0B0C84" w14:textId="77777777" w:rsidR="008C6396" w:rsidRPr="00676B08" w:rsidRDefault="008C6396" w:rsidP="008C6396">
      <w:pPr>
        <w:pStyle w:val="SingleTxtG"/>
        <w:spacing w:before="360"/>
      </w:pPr>
      <w:r w:rsidRPr="00676B08">
        <w:t>1.</w:t>
      </w:r>
      <w:r w:rsidRPr="00676B08">
        <w:tab/>
      </w:r>
      <w:r w:rsidRPr="00831E26">
        <w:t>The author</w:t>
      </w:r>
      <w:r>
        <w:t xml:space="preserve"> of the communication</w:t>
      </w:r>
      <w:r w:rsidRPr="00831E26">
        <w:t xml:space="preserve"> is </w:t>
      </w:r>
      <w:r>
        <w:t>Andrey Tsukanov</w:t>
      </w:r>
      <w:r w:rsidRPr="00831E26">
        <w:rPr>
          <w:bCs/>
        </w:rPr>
        <w:t xml:space="preserve">, a </w:t>
      </w:r>
      <w:r>
        <w:t>national</w:t>
      </w:r>
      <w:r w:rsidRPr="007D372F">
        <w:t xml:space="preserve"> of </w:t>
      </w:r>
      <w:r>
        <w:t>Kazakhstan</w:t>
      </w:r>
      <w:r w:rsidRPr="007D372F">
        <w:t xml:space="preserve"> born in 19</w:t>
      </w:r>
      <w:r>
        <w:t>82</w:t>
      </w:r>
      <w:r w:rsidRPr="00831E26">
        <w:t xml:space="preserve">. He claims </w:t>
      </w:r>
      <w:r>
        <w:t>that the State party has violated</w:t>
      </w:r>
      <w:r w:rsidRPr="00831E26">
        <w:t xml:space="preserve"> </w:t>
      </w:r>
      <w:r>
        <w:t xml:space="preserve">his rights under </w:t>
      </w:r>
      <w:r w:rsidRPr="00831E26">
        <w:t xml:space="preserve">articles </w:t>
      </w:r>
      <w:r>
        <w:t xml:space="preserve">14 (3) (b) and 19 (2) </w:t>
      </w:r>
      <w:r w:rsidRPr="00831E26">
        <w:t xml:space="preserve">of the Covenant. </w:t>
      </w:r>
      <w:r w:rsidRPr="002619D4">
        <w:rPr>
          <w:color w:val="000000"/>
          <w:lang w:eastAsia="en-GB"/>
        </w:rPr>
        <w:t>The Optional Protocol entered into force for the State party on 30 September 2009.</w:t>
      </w:r>
      <w:r w:rsidRPr="002619D4">
        <w:t xml:space="preserve"> </w:t>
      </w:r>
      <w:r w:rsidRPr="00831E26">
        <w:t xml:space="preserve">The author is </w:t>
      </w:r>
      <w:r>
        <w:t xml:space="preserve">not </w:t>
      </w:r>
      <w:r w:rsidRPr="00831E26">
        <w:t>represented</w:t>
      </w:r>
      <w:r>
        <w:t xml:space="preserve"> by counsel</w:t>
      </w:r>
      <w:r w:rsidRPr="00831E26">
        <w:t>.</w:t>
      </w:r>
    </w:p>
    <w:p w14:paraId="21EC146C" w14:textId="77777777" w:rsidR="008C6396" w:rsidRPr="00C346A0" w:rsidRDefault="008C6396" w:rsidP="008C6396">
      <w:pPr>
        <w:pStyle w:val="H23G"/>
      </w:pPr>
      <w:r>
        <w:tab/>
      </w:r>
      <w:r>
        <w:tab/>
        <w:t>F</w:t>
      </w:r>
      <w:r w:rsidRPr="00C346A0">
        <w:t>acts as submitted by the author</w:t>
      </w:r>
    </w:p>
    <w:p w14:paraId="78D83F6F" w14:textId="5DD1DC85" w:rsidR="008C6396" w:rsidRDefault="008C6396" w:rsidP="008C6396">
      <w:pPr>
        <w:pStyle w:val="SingleTxtG"/>
        <w:rPr>
          <w:lang w:val="en-US"/>
        </w:rPr>
      </w:pPr>
      <w:r w:rsidRPr="00B74998">
        <w:t>2.1.</w:t>
      </w:r>
      <w:r w:rsidRPr="00B74998">
        <w:tab/>
      </w:r>
      <w:r w:rsidRPr="00CD15EE">
        <w:t>The author is a journalist</w:t>
      </w:r>
      <w:r>
        <w:t xml:space="preserve"> and blogger</w:t>
      </w:r>
      <w:r w:rsidRPr="00CD15EE">
        <w:t xml:space="preserve">. He was planning to attend a </w:t>
      </w:r>
      <w:r>
        <w:t xml:space="preserve">public </w:t>
      </w:r>
      <w:r w:rsidRPr="00CD15EE">
        <w:t xml:space="preserve">meeting of </w:t>
      </w:r>
      <w:r>
        <w:t xml:space="preserve">the Almaty </w:t>
      </w:r>
      <w:r w:rsidRPr="00D83E3B">
        <w:rPr>
          <w:i/>
        </w:rPr>
        <w:t>akim</w:t>
      </w:r>
      <w:r w:rsidRPr="00CD15EE">
        <w:t xml:space="preserve"> (may</w:t>
      </w:r>
      <w:r>
        <w:t>or) with city residents that had been scheduled at 10 a.m.</w:t>
      </w:r>
      <w:r w:rsidRPr="00CD15EE">
        <w:t xml:space="preserve"> on 20 February 2014. He wanted to a</w:t>
      </w:r>
      <w:r>
        <w:t xml:space="preserve">sk the </w:t>
      </w:r>
      <w:r w:rsidRPr="00D83E3B">
        <w:rPr>
          <w:i/>
        </w:rPr>
        <w:t>akim</w:t>
      </w:r>
      <w:r w:rsidRPr="00CD15EE">
        <w:t xml:space="preserve">, </w:t>
      </w:r>
      <w:r>
        <w:t>who was</w:t>
      </w:r>
      <w:r w:rsidRPr="00CD15EE">
        <w:t xml:space="preserve"> the nephew of the President of </w:t>
      </w:r>
      <w:r w:rsidRPr="00CD15EE">
        <w:lastRenderedPageBreak/>
        <w:t xml:space="preserve">Kazakhstan, </w:t>
      </w:r>
      <w:r>
        <w:t xml:space="preserve">several questions </w:t>
      </w:r>
      <w:r>
        <w:rPr>
          <w:lang w:val="en-US"/>
        </w:rPr>
        <w:t xml:space="preserve">that were of concern to the general public. The author had not been able to attend any previous meetings with the Almaty </w:t>
      </w:r>
      <w:r w:rsidRPr="00D83E3B">
        <w:rPr>
          <w:i/>
          <w:lang w:val="en-US"/>
        </w:rPr>
        <w:t>akim</w:t>
      </w:r>
      <w:r>
        <w:rPr>
          <w:lang w:val="en-US"/>
        </w:rPr>
        <w:t xml:space="preserve"> because the latter was the only head of an </w:t>
      </w:r>
      <w:r w:rsidRPr="0016680E">
        <w:rPr>
          <w:i/>
          <w:lang w:val="en-US"/>
        </w:rPr>
        <w:t>akimat</w:t>
      </w:r>
      <w:r>
        <w:rPr>
          <w:lang w:val="en-US"/>
        </w:rPr>
        <w:t xml:space="preserve"> (mayor</w:t>
      </w:r>
      <w:r w:rsidR="00A67AAD">
        <w:rPr>
          <w:lang w:val="en-US"/>
        </w:rPr>
        <w:t>’</w:t>
      </w:r>
      <w:r>
        <w:rPr>
          <w:lang w:val="en-US"/>
        </w:rPr>
        <w:t>s office) in the country who did not have formally allocated time in his weekly or monthly schedule for meetings with the public.</w:t>
      </w:r>
    </w:p>
    <w:p w14:paraId="1B067B1D" w14:textId="5705D26D" w:rsidR="008C6396" w:rsidRPr="00CD15EE" w:rsidRDefault="008C6396" w:rsidP="008C6396">
      <w:pPr>
        <w:pStyle w:val="SingleTxtG"/>
      </w:pPr>
      <w:r>
        <w:rPr>
          <w:lang w:val="en-US"/>
        </w:rPr>
        <w:t>2.2</w:t>
      </w:r>
      <w:r>
        <w:rPr>
          <w:lang w:val="en-US"/>
        </w:rPr>
        <w:tab/>
      </w:r>
      <w:r>
        <w:t>At 7.3</w:t>
      </w:r>
      <w:r w:rsidRPr="00CD15EE">
        <w:t xml:space="preserve">0 </w:t>
      </w:r>
      <w:r>
        <w:t>a.m. on</w:t>
      </w:r>
      <w:r w:rsidRPr="00CD15EE">
        <w:t xml:space="preserve"> 20 February 2014, </w:t>
      </w:r>
      <w:r>
        <w:t xml:space="preserve">when </w:t>
      </w:r>
      <w:r w:rsidRPr="00CD15EE">
        <w:t>the author was</w:t>
      </w:r>
      <w:r>
        <w:t xml:space="preserve"> still at home, he was</w:t>
      </w:r>
      <w:r w:rsidRPr="00CD15EE">
        <w:t xml:space="preserve"> visited by two police officers</w:t>
      </w:r>
      <w:r>
        <w:t>,</w:t>
      </w:r>
      <w:r w:rsidRPr="00CD15EE">
        <w:t xml:space="preserve"> who informed him that </w:t>
      </w:r>
      <w:r>
        <w:t>the police had received</w:t>
      </w:r>
      <w:r w:rsidRPr="00CD15EE">
        <w:t xml:space="preserve"> </w:t>
      </w:r>
      <w:r>
        <w:t xml:space="preserve">a </w:t>
      </w:r>
      <w:r w:rsidRPr="00CD15EE">
        <w:t>complaint against him</w:t>
      </w:r>
      <w:r>
        <w:t>. He was</w:t>
      </w:r>
      <w:r w:rsidRPr="00CD15EE">
        <w:t xml:space="preserve"> handed a summons to appear </w:t>
      </w:r>
      <w:r>
        <w:t>at</w:t>
      </w:r>
      <w:r w:rsidRPr="00CD15EE">
        <w:t xml:space="preserve"> the police station at 8</w:t>
      </w:r>
      <w:r>
        <w:t>.</w:t>
      </w:r>
      <w:r w:rsidRPr="00CD15EE">
        <w:t>30</w:t>
      </w:r>
      <w:r>
        <w:t xml:space="preserve"> a.m. on</w:t>
      </w:r>
      <w:r w:rsidRPr="00CD15EE">
        <w:t xml:space="preserve"> the same day. </w:t>
      </w:r>
      <w:r>
        <w:t>T</w:t>
      </w:r>
      <w:r w:rsidRPr="00CD15EE">
        <w:t xml:space="preserve">he complaint </w:t>
      </w:r>
      <w:r>
        <w:t>against the author had</w:t>
      </w:r>
      <w:r w:rsidRPr="00CD15EE">
        <w:t xml:space="preserve"> allegedly </w:t>
      </w:r>
      <w:r>
        <w:t xml:space="preserve">been </w:t>
      </w:r>
      <w:r w:rsidRPr="00CD15EE">
        <w:t>submitted</w:t>
      </w:r>
      <w:r>
        <w:t xml:space="preserve"> on 19 February 2014 </w:t>
      </w:r>
      <w:r w:rsidRPr="00CD15EE">
        <w:t xml:space="preserve">by </w:t>
      </w:r>
      <w:r>
        <w:t>U.,</w:t>
      </w:r>
      <w:r w:rsidRPr="00CD15EE">
        <w:t xml:space="preserve"> who </w:t>
      </w:r>
      <w:r>
        <w:t>was under arrest at that time, accused of a highly publicized car accident as a result of which one person died and five persons suffered various injuries</w:t>
      </w:r>
      <w:r w:rsidRPr="00CD15EE">
        <w:t xml:space="preserve">. The police informed the author that </w:t>
      </w:r>
      <w:r>
        <w:t>U. had accused him of spreading</w:t>
      </w:r>
      <w:r w:rsidRPr="00CD15EE">
        <w:t xml:space="preserve"> false information about him</w:t>
      </w:r>
      <w:r>
        <w:t xml:space="preserve"> on the Internet</w:t>
      </w:r>
      <w:r w:rsidRPr="00CD15EE">
        <w:t xml:space="preserve">. </w:t>
      </w:r>
      <w:r>
        <w:t>T</w:t>
      </w:r>
      <w:r w:rsidRPr="00CD15EE">
        <w:t>he author was surprised</w:t>
      </w:r>
      <w:r>
        <w:t xml:space="preserve"> about the accusation, because he knew that inmates had no access to the Internet while in detention</w:t>
      </w:r>
      <w:r w:rsidRPr="00CD15EE">
        <w:t xml:space="preserve">, </w:t>
      </w:r>
      <w:r>
        <w:t xml:space="preserve">and he </w:t>
      </w:r>
      <w:r w:rsidRPr="00CD15EE">
        <w:t>explained to</w:t>
      </w:r>
      <w:r>
        <w:t xml:space="preserve"> the police officers that he was scheduled</w:t>
      </w:r>
      <w:r w:rsidRPr="00CD15EE">
        <w:t xml:space="preserve"> to attend an important meeting</w:t>
      </w:r>
      <w:r>
        <w:t xml:space="preserve"> with </w:t>
      </w:r>
      <w:r w:rsidRPr="004D2600">
        <w:t>the</w:t>
      </w:r>
      <w:r w:rsidRPr="006A49FC">
        <w:rPr>
          <w:i/>
        </w:rPr>
        <w:t xml:space="preserve"> akim</w:t>
      </w:r>
      <w:r w:rsidRPr="00CD15EE">
        <w:t xml:space="preserve"> at 10</w:t>
      </w:r>
      <w:r>
        <w:t xml:space="preserve"> a.m.</w:t>
      </w:r>
      <w:r w:rsidRPr="00CD15EE">
        <w:t xml:space="preserve"> </w:t>
      </w:r>
      <w:r>
        <w:t xml:space="preserve">He </w:t>
      </w:r>
      <w:r w:rsidRPr="00CD15EE">
        <w:t xml:space="preserve">offered to </w:t>
      </w:r>
      <w:r>
        <w:t>come to the police station immediately after the meeting</w:t>
      </w:r>
      <w:r w:rsidRPr="00CD15EE">
        <w:t xml:space="preserve">. </w:t>
      </w:r>
      <w:r>
        <w:t>Initially, the officers did not want to issue a new summons and insisted on the author coming to the police station with them; however, following the author</w:t>
      </w:r>
      <w:r w:rsidR="00A67AAD">
        <w:t>’</w:t>
      </w:r>
      <w:r>
        <w:t>s explanation, t</w:t>
      </w:r>
      <w:r w:rsidRPr="00CD15EE">
        <w:t>he officers agreed</w:t>
      </w:r>
      <w:r>
        <w:t xml:space="preserve"> to his suggestion</w:t>
      </w:r>
      <w:r w:rsidRPr="00CD15EE">
        <w:t xml:space="preserve"> and </w:t>
      </w:r>
      <w:r>
        <w:t>corrected the time on the summons from 8.30 a.m. to</w:t>
      </w:r>
      <w:r w:rsidRPr="00CD15EE">
        <w:t xml:space="preserve"> </w:t>
      </w:r>
      <w:r>
        <w:t>4.30 p.m. The author recorded the entire conversation with the police officers on his video camera, including the issuance and signing of the summons, and uploaded it to his YouTube channel when they left.</w:t>
      </w:r>
      <w:r w:rsidRPr="00A67AAD">
        <w:rPr>
          <w:rStyle w:val="FootnoteReference"/>
        </w:rPr>
        <w:footnoteReference w:id="3"/>
      </w:r>
    </w:p>
    <w:p w14:paraId="62ADCFB0" w14:textId="15667FF5" w:rsidR="008C6396" w:rsidRPr="00CD15EE" w:rsidRDefault="008C6396" w:rsidP="008C6396">
      <w:pPr>
        <w:pStyle w:val="SingleTxtG"/>
      </w:pPr>
      <w:r w:rsidRPr="00CD15EE">
        <w:t>2.</w:t>
      </w:r>
      <w:r>
        <w:t>3</w:t>
      </w:r>
      <w:r w:rsidRPr="00CD15EE">
        <w:tab/>
        <w:t>When the author left his home</w:t>
      </w:r>
      <w:r>
        <w:t>,</w:t>
      </w:r>
      <w:r w:rsidRPr="00CD15EE">
        <w:t xml:space="preserve"> </w:t>
      </w:r>
      <w:r>
        <w:t>at</w:t>
      </w:r>
      <w:r w:rsidRPr="00CD15EE">
        <w:t xml:space="preserve"> 9</w:t>
      </w:r>
      <w:r>
        <w:t>.</w:t>
      </w:r>
      <w:r w:rsidRPr="00CD15EE">
        <w:t>30</w:t>
      </w:r>
      <w:r>
        <w:t xml:space="preserve"> a.m., to attend the meeting with the </w:t>
      </w:r>
      <w:r w:rsidRPr="00D761AC">
        <w:rPr>
          <w:i/>
        </w:rPr>
        <w:t>akim</w:t>
      </w:r>
      <w:r w:rsidRPr="00CD15EE">
        <w:t>, four police officers were waiting for him</w:t>
      </w:r>
      <w:r>
        <w:t xml:space="preserve"> outside</w:t>
      </w:r>
      <w:r w:rsidRPr="00CD15EE">
        <w:t xml:space="preserve">. Two of them immediately grabbed his arms and stated that he should go with them. He tried to </w:t>
      </w:r>
      <w:r>
        <w:t>take</w:t>
      </w:r>
      <w:r w:rsidRPr="00CD15EE">
        <w:t xml:space="preserve"> a video camera from his pocket to film the </w:t>
      </w:r>
      <w:r>
        <w:t>arrest but</w:t>
      </w:r>
      <w:r w:rsidRPr="00CD15EE">
        <w:t xml:space="preserve"> the officers did not allow him</w:t>
      </w:r>
      <w:r>
        <w:t xml:space="preserve"> to do that</w:t>
      </w:r>
      <w:r w:rsidRPr="00CD15EE">
        <w:t xml:space="preserve"> and forced him into </w:t>
      </w:r>
      <w:r>
        <w:t>their vehicle. The officers</w:t>
      </w:r>
      <w:r w:rsidRPr="00CD15EE">
        <w:t xml:space="preserve"> </w:t>
      </w:r>
      <w:r>
        <w:t>told the author that they were</w:t>
      </w:r>
      <w:r w:rsidRPr="00CD15EE">
        <w:t xml:space="preserve"> taking him to </w:t>
      </w:r>
      <w:r>
        <w:t>the Zhetysus District Police Department</w:t>
      </w:r>
      <w:r w:rsidRPr="00CD15EE">
        <w:t xml:space="preserve"> to question him in relation </w:t>
      </w:r>
      <w:r>
        <w:t>to U</w:t>
      </w:r>
      <w:r w:rsidR="00A67AAD">
        <w:t>’</w:t>
      </w:r>
      <w:r>
        <w:t>s</w:t>
      </w:r>
      <w:r w:rsidRPr="00CD15EE">
        <w:t xml:space="preserve"> complaint</w:t>
      </w:r>
      <w:r>
        <w:t>. They ignored his arguments</w:t>
      </w:r>
      <w:r w:rsidRPr="00CD15EE">
        <w:t xml:space="preserve"> that their actions were illegal. </w:t>
      </w:r>
      <w:r>
        <w:t>While in the police vehicle,</w:t>
      </w:r>
      <w:r w:rsidRPr="00CD15EE">
        <w:t xml:space="preserve"> the author was threatened and subjected to psychological pressure. </w:t>
      </w:r>
      <w:r>
        <w:t>At the Zhetysus District Police Department, he</w:t>
      </w:r>
      <w:r w:rsidRPr="00CD15EE">
        <w:t xml:space="preserve"> was n</w:t>
      </w:r>
      <w:r>
        <w:t>ot allowed to make any telephone calls,</w:t>
      </w:r>
      <w:r w:rsidRPr="00CD15EE">
        <w:t xml:space="preserve"> </w:t>
      </w:r>
      <w:r>
        <w:t>n</w:t>
      </w:r>
      <w:r w:rsidRPr="00CD15EE">
        <w:t>or</w:t>
      </w:r>
      <w:r>
        <w:t xml:space="preserve"> was he</w:t>
      </w:r>
      <w:r w:rsidRPr="00CD15EE">
        <w:t xml:space="preserve"> </w:t>
      </w:r>
      <w:r>
        <w:t>p</w:t>
      </w:r>
      <w:r w:rsidRPr="00CD15EE">
        <w:t xml:space="preserve">rovided with a lawyer. He was not registered </w:t>
      </w:r>
      <w:r>
        <w:t>in</w:t>
      </w:r>
      <w:r w:rsidRPr="00CD15EE">
        <w:t xml:space="preserve"> the </w:t>
      </w:r>
      <w:r>
        <w:rPr>
          <w:lang w:val="en-US"/>
        </w:rPr>
        <w:t>journal of</w:t>
      </w:r>
      <w:r>
        <w:t xml:space="preserve"> detained persons as required by the law. The author</w:t>
      </w:r>
      <w:r w:rsidRPr="00CD15EE">
        <w:t xml:space="preserve"> was searched and his personal items were examined in the absence of </w:t>
      </w:r>
      <w:r>
        <w:t xml:space="preserve">a </w:t>
      </w:r>
      <w:r w:rsidRPr="00CD15EE">
        <w:t>lay</w:t>
      </w:r>
      <w:r>
        <w:t xml:space="preserve">person </w:t>
      </w:r>
      <w:r w:rsidRPr="00CD15EE">
        <w:t xml:space="preserve">witness, which </w:t>
      </w:r>
      <w:r>
        <w:t>was also unlawful</w:t>
      </w:r>
      <w:r w:rsidRPr="00CD15EE">
        <w:t xml:space="preserve">. </w:t>
      </w:r>
      <w:r>
        <w:t>In an attempt to provoke a reaction from him, t</w:t>
      </w:r>
      <w:r w:rsidRPr="00CD15EE">
        <w:t xml:space="preserve">he officers handled him roughly, </w:t>
      </w:r>
      <w:r>
        <w:t>as a result of which</w:t>
      </w:r>
      <w:r w:rsidRPr="00CD15EE">
        <w:t xml:space="preserve"> he sustained multiple bruises and a head injury. The author asked for a medical exami</w:t>
      </w:r>
      <w:r>
        <w:t>nation to document his injuries,</w:t>
      </w:r>
      <w:r w:rsidRPr="00CD15EE">
        <w:t xml:space="preserve"> but </w:t>
      </w:r>
      <w:r>
        <w:t>the police officers ignored his</w:t>
      </w:r>
      <w:r w:rsidRPr="00CD15EE">
        <w:t xml:space="preserve"> request.</w:t>
      </w:r>
    </w:p>
    <w:p w14:paraId="41059011" w14:textId="1847A41C" w:rsidR="008C6396" w:rsidRPr="00CD15EE" w:rsidRDefault="008C6396" w:rsidP="008C6396">
      <w:pPr>
        <w:pStyle w:val="SingleTxtG"/>
      </w:pPr>
      <w:r>
        <w:t>2.4</w:t>
      </w:r>
      <w:r w:rsidRPr="00CD15EE">
        <w:tab/>
      </w:r>
      <w:r>
        <w:t>After being</w:t>
      </w:r>
      <w:r w:rsidRPr="00CD15EE">
        <w:t xml:space="preserve"> held </w:t>
      </w:r>
      <w:r>
        <w:t>at the Zhetysus District Police Department</w:t>
      </w:r>
      <w:r w:rsidRPr="00CD15EE">
        <w:t xml:space="preserve"> for </w:t>
      </w:r>
      <w:r>
        <w:t>seven</w:t>
      </w:r>
      <w:r w:rsidRPr="00CD15EE">
        <w:t xml:space="preserve"> hours, </w:t>
      </w:r>
      <w:r>
        <w:t>the author was taken</w:t>
      </w:r>
      <w:r w:rsidRPr="00CD15EE">
        <w:t xml:space="preserve"> to the </w:t>
      </w:r>
      <w:r>
        <w:t>Almaty Inter-District</w:t>
      </w:r>
      <w:r w:rsidRPr="00CD15EE">
        <w:t xml:space="preserve"> Administrative Court</w:t>
      </w:r>
      <w:r>
        <w:t>,</w:t>
      </w:r>
      <w:r w:rsidRPr="00CD15EE">
        <w:t xml:space="preserve"> where he was charged with disobeying lawful orders of the police</w:t>
      </w:r>
      <w:r>
        <w:t xml:space="preserve"> under article 355 (2) of the Code on Administrative Offences</w:t>
      </w:r>
      <w:r w:rsidRPr="00CD15EE">
        <w:t xml:space="preserve">. He was not given </w:t>
      </w:r>
      <w:r>
        <w:t xml:space="preserve">any </w:t>
      </w:r>
      <w:r w:rsidRPr="00CD15EE">
        <w:t xml:space="preserve">food or water </w:t>
      </w:r>
      <w:r>
        <w:t xml:space="preserve">for </w:t>
      </w:r>
      <w:r w:rsidRPr="00CD15EE">
        <w:t xml:space="preserve">the entire day. </w:t>
      </w:r>
      <w:r>
        <w:t>During the court hearing, t</w:t>
      </w:r>
      <w:r w:rsidRPr="00CD15EE">
        <w:t>he author complained about the way he had been treated and requested contact</w:t>
      </w:r>
      <w:r>
        <w:t xml:space="preserve"> with</w:t>
      </w:r>
      <w:r w:rsidRPr="00CD15EE">
        <w:t xml:space="preserve"> a lawyer and a medical examination</w:t>
      </w:r>
      <w:r>
        <w:t>.</w:t>
      </w:r>
      <w:r w:rsidRPr="00CD15EE">
        <w:t xml:space="preserve"> </w:t>
      </w:r>
      <w:r>
        <w:t>However,</w:t>
      </w:r>
      <w:r w:rsidRPr="00CD15EE">
        <w:t xml:space="preserve"> the judge ignored his requests</w:t>
      </w:r>
      <w:r>
        <w:t xml:space="preserve"> and openly sided with the prosecutor during the hearing</w:t>
      </w:r>
      <w:r w:rsidRPr="00CD15EE">
        <w:t xml:space="preserve">. </w:t>
      </w:r>
      <w:r>
        <w:t>Despite his explanations that he was a journalist and needed to attend a</w:t>
      </w:r>
      <w:r w:rsidRPr="00CD15EE">
        <w:t xml:space="preserve"> meeting</w:t>
      </w:r>
      <w:r>
        <w:t xml:space="preserve"> with the </w:t>
      </w:r>
      <w:r w:rsidRPr="009A1B60">
        <w:rPr>
          <w:i/>
        </w:rPr>
        <w:t>akim</w:t>
      </w:r>
      <w:r>
        <w:t xml:space="preserve"> and that he had already been issued</w:t>
      </w:r>
      <w:r w:rsidRPr="00CD15EE">
        <w:t xml:space="preserve"> </w:t>
      </w:r>
      <w:r>
        <w:t xml:space="preserve">a </w:t>
      </w:r>
      <w:r w:rsidRPr="00CD15EE">
        <w:t xml:space="preserve">summons </w:t>
      </w:r>
      <w:r>
        <w:t>to appear at the police station at 4.30 p.m., the Court</w:t>
      </w:r>
      <w:r w:rsidRPr="00CD15EE">
        <w:t xml:space="preserve"> </w:t>
      </w:r>
      <w:r>
        <w:t>found the author guilty of disobeying lawful police orders and sentenced</w:t>
      </w:r>
      <w:r w:rsidRPr="00CD15EE">
        <w:t xml:space="preserve"> </w:t>
      </w:r>
      <w:r>
        <w:t>him</w:t>
      </w:r>
      <w:r w:rsidRPr="00CD15EE">
        <w:t xml:space="preserve"> to 15 days </w:t>
      </w:r>
      <w:r>
        <w:t xml:space="preserve">of </w:t>
      </w:r>
      <w:r w:rsidRPr="00CD15EE">
        <w:t xml:space="preserve">administrative arrest. </w:t>
      </w:r>
      <w:r>
        <w:t xml:space="preserve">The author was so frustrated with the ruling that he shouted </w:t>
      </w:r>
      <w:r w:rsidR="00A67AAD">
        <w:t>“</w:t>
      </w:r>
      <w:r>
        <w:t>Shame on the c</w:t>
      </w:r>
      <w:r w:rsidRPr="00CD15EE">
        <w:t>ourt</w:t>
      </w:r>
      <w:r>
        <w:t>!</w:t>
      </w:r>
      <w:r w:rsidR="00A67AAD">
        <w:t>”</w:t>
      </w:r>
      <w:r w:rsidRPr="00CD15EE">
        <w:t xml:space="preserve">. The </w:t>
      </w:r>
      <w:r>
        <w:t xml:space="preserve">presiding </w:t>
      </w:r>
      <w:r w:rsidRPr="00CD15EE">
        <w:t xml:space="preserve">judge </w:t>
      </w:r>
      <w:r>
        <w:t>immediately sentenced</w:t>
      </w:r>
      <w:r w:rsidRPr="00CD15EE">
        <w:t xml:space="preserve"> him to </w:t>
      </w:r>
      <w:r>
        <w:t>an additional</w:t>
      </w:r>
      <w:r w:rsidRPr="00CD15EE">
        <w:t xml:space="preserve"> </w:t>
      </w:r>
      <w:r>
        <w:t>three</w:t>
      </w:r>
      <w:r w:rsidRPr="00CD15EE">
        <w:t xml:space="preserve"> days of arrest for </w:t>
      </w:r>
      <w:r>
        <w:t>contempt</w:t>
      </w:r>
      <w:r w:rsidRPr="00CD15EE">
        <w:t xml:space="preserve"> </w:t>
      </w:r>
      <w:r>
        <w:t>of c</w:t>
      </w:r>
      <w:r w:rsidRPr="00CD15EE">
        <w:t>ourt. The judge also ordered that the</w:t>
      </w:r>
      <w:r w:rsidR="00A67AAD">
        <w:t xml:space="preserve"> </w:t>
      </w:r>
      <w:r w:rsidRPr="00CD15EE">
        <w:t xml:space="preserve">administrative arrest should be counted </w:t>
      </w:r>
      <w:r>
        <w:t>as starting from</w:t>
      </w:r>
      <w:r w:rsidRPr="00CD15EE">
        <w:t xml:space="preserve"> </w:t>
      </w:r>
      <w:r>
        <w:t>5 p.m.</w:t>
      </w:r>
      <w:r w:rsidRPr="00CD15EE">
        <w:t xml:space="preserve"> </w:t>
      </w:r>
      <w:r>
        <w:t>instead of 9.30 a.m. The author notes that,</w:t>
      </w:r>
      <w:r w:rsidRPr="00CD15EE">
        <w:t xml:space="preserve"> according to article 55</w:t>
      </w:r>
      <w:r>
        <w:t xml:space="preserve"> </w:t>
      </w:r>
      <w:r w:rsidRPr="00CD15EE">
        <w:t xml:space="preserve">(4) of the Code of Administrative </w:t>
      </w:r>
      <w:r>
        <w:t>Offences</w:t>
      </w:r>
      <w:r w:rsidRPr="00CD15EE">
        <w:t xml:space="preserve">, </w:t>
      </w:r>
      <w:r>
        <w:t>any arrest</w:t>
      </w:r>
      <w:r w:rsidRPr="00CD15EE">
        <w:t xml:space="preserve"> must be counted from the </w:t>
      </w:r>
      <w:r>
        <w:t>moment that a person is physically detained</w:t>
      </w:r>
      <w:r w:rsidRPr="00CD15EE">
        <w:t xml:space="preserve">. </w:t>
      </w:r>
      <w:r>
        <w:t>Although</w:t>
      </w:r>
      <w:r w:rsidRPr="00CD15EE">
        <w:t xml:space="preserve"> the author had the right to appeal the judgment, he was immediately </w:t>
      </w:r>
      <w:r>
        <w:t>transferred to a specializ</w:t>
      </w:r>
      <w:r w:rsidRPr="00CD15EE">
        <w:t xml:space="preserve">ed </w:t>
      </w:r>
      <w:r>
        <w:t xml:space="preserve">administrative </w:t>
      </w:r>
      <w:r w:rsidRPr="00CD15EE">
        <w:t>detention centre to start serving his sentence.</w:t>
      </w:r>
    </w:p>
    <w:p w14:paraId="0D74C30E" w14:textId="3982C6BA" w:rsidR="008C6396" w:rsidRPr="002A7AFF" w:rsidRDefault="008C6396" w:rsidP="008C6396">
      <w:pPr>
        <w:pStyle w:val="SingleTxtG"/>
        <w:rPr>
          <w:rStyle w:val="FootnoteReference"/>
          <w:vertAlign w:val="baseline"/>
        </w:rPr>
      </w:pPr>
      <w:r>
        <w:t>2.5</w:t>
      </w:r>
      <w:r w:rsidRPr="00CD15EE">
        <w:tab/>
      </w:r>
      <w:r>
        <w:t>Despite not being provided with copies</w:t>
      </w:r>
      <w:r w:rsidRPr="00CD15EE">
        <w:t xml:space="preserve"> of </w:t>
      </w:r>
      <w:r>
        <w:t>any court documents</w:t>
      </w:r>
      <w:r w:rsidRPr="00CD15EE">
        <w:t xml:space="preserve">, </w:t>
      </w:r>
      <w:r>
        <w:t>the author submitted an appeal on 20 February 2014</w:t>
      </w:r>
      <w:r w:rsidRPr="00CD15EE">
        <w:t xml:space="preserve">. </w:t>
      </w:r>
      <w:r>
        <w:t xml:space="preserve">On </w:t>
      </w:r>
      <w:r w:rsidRPr="00CD15EE">
        <w:t>21 February 2014</w:t>
      </w:r>
      <w:r>
        <w:t xml:space="preserve">, the Appellate Collegium of the Almaty </w:t>
      </w:r>
      <w:r>
        <w:lastRenderedPageBreak/>
        <w:t>City</w:t>
      </w:r>
      <w:r w:rsidRPr="00CD15EE">
        <w:t xml:space="preserve"> Court </w:t>
      </w:r>
      <w:r>
        <w:t>upheld the ruling of the Almaty Inter-District</w:t>
      </w:r>
      <w:r w:rsidRPr="00CD15EE">
        <w:t xml:space="preserve"> Administrative Court.</w:t>
      </w:r>
      <w:r>
        <w:t xml:space="preserve"> With regard to the author</w:t>
      </w:r>
      <w:r w:rsidR="00A67AAD">
        <w:t>’</w:t>
      </w:r>
      <w:r>
        <w:t>s claim that he had already received a summons for 4.30 p.m. on that day, the Court stated that the text in the summons contained corrections and could therefore not be accepted as evidence.</w:t>
      </w:r>
      <w:r w:rsidRPr="00A67AAD">
        <w:rPr>
          <w:rStyle w:val="FootnoteReference"/>
        </w:rPr>
        <w:footnoteReference w:id="4"/>
      </w:r>
    </w:p>
    <w:p w14:paraId="536BB29F" w14:textId="63F3A2AE" w:rsidR="008C6396" w:rsidRDefault="008C6396" w:rsidP="008C6396">
      <w:pPr>
        <w:pStyle w:val="SingleTxtG"/>
      </w:pPr>
      <w:r>
        <w:t>2.6</w:t>
      </w:r>
      <w:r w:rsidRPr="00CD15EE">
        <w:tab/>
      </w:r>
      <w:r>
        <w:t xml:space="preserve">On 9 April 2014, the author submitted </w:t>
      </w:r>
      <w:r w:rsidRPr="00CD15EE">
        <w:t xml:space="preserve">a petition to the </w:t>
      </w:r>
      <w:r>
        <w:t xml:space="preserve">Almaty </w:t>
      </w:r>
      <w:r w:rsidRPr="00CD15EE">
        <w:t>Prosecutor</w:t>
      </w:r>
      <w:r w:rsidR="00A67AAD">
        <w:t>’</w:t>
      </w:r>
      <w:r w:rsidRPr="00CD15EE">
        <w:t xml:space="preserve">s Office </w:t>
      </w:r>
      <w:r>
        <w:t xml:space="preserve">for </w:t>
      </w:r>
      <w:r w:rsidRPr="00CD15EE">
        <w:t>a supervisory review of the courts</w:t>
      </w:r>
      <w:r w:rsidR="00A67AAD">
        <w:t>’</w:t>
      </w:r>
      <w:r w:rsidRPr="00CD15EE">
        <w:t xml:space="preserve"> decision</w:t>
      </w:r>
      <w:r>
        <w:t xml:space="preserve">. The author notes that he does not consider it to be </w:t>
      </w:r>
      <w:r w:rsidRPr="00CD15EE">
        <w:t>an effective remedy. On 15 April 2014</w:t>
      </w:r>
      <w:r>
        <w:t>,</w:t>
      </w:r>
      <w:r w:rsidRPr="00CD15EE">
        <w:t xml:space="preserve"> his petition was </w:t>
      </w:r>
      <w:r>
        <w:t>denied</w:t>
      </w:r>
      <w:r w:rsidRPr="00CD15EE">
        <w:t>.</w:t>
      </w:r>
    </w:p>
    <w:p w14:paraId="65B062FD" w14:textId="77777777" w:rsidR="008C6396" w:rsidRPr="00B74998" w:rsidRDefault="008C6396" w:rsidP="008C6396">
      <w:pPr>
        <w:pStyle w:val="SingleTxtG"/>
      </w:pPr>
      <w:r>
        <w:t>2.7</w:t>
      </w:r>
      <w:r>
        <w:tab/>
        <w:t xml:space="preserve">On 5 </w:t>
      </w:r>
      <w:r>
        <w:rPr>
          <w:lang w:val="en-US"/>
        </w:rPr>
        <w:t>May 2014, the author submitted a similar petition to the Office of the General Prosecutor; however, on 14 July 2014, his petition was again denied.</w:t>
      </w:r>
    </w:p>
    <w:p w14:paraId="3AD26CF6" w14:textId="77777777" w:rsidR="008C6396" w:rsidRDefault="008C6396" w:rsidP="008C6396">
      <w:pPr>
        <w:pStyle w:val="SingleTxtG"/>
      </w:pPr>
      <w:r>
        <w:t>2.8</w:t>
      </w:r>
      <w:r w:rsidRPr="00B74998">
        <w:tab/>
      </w:r>
      <w:r w:rsidRPr="00F533C7">
        <w:t>The author submits that he has exhausted all effective domestic remedies</w:t>
      </w:r>
      <w:r>
        <w:t>.</w:t>
      </w:r>
    </w:p>
    <w:p w14:paraId="35AAE62B" w14:textId="77777777" w:rsidR="008C6396" w:rsidRPr="00415BA0" w:rsidRDefault="008C6396" w:rsidP="008C6396">
      <w:pPr>
        <w:pStyle w:val="H23G"/>
      </w:pPr>
      <w:r>
        <w:tab/>
      </w:r>
      <w:r>
        <w:tab/>
        <w:t>C</w:t>
      </w:r>
      <w:r w:rsidRPr="00415BA0">
        <w:t>omplaint</w:t>
      </w:r>
    </w:p>
    <w:p w14:paraId="784CE06D" w14:textId="77777777" w:rsidR="008C6396" w:rsidRPr="001D5093" w:rsidRDefault="008C6396" w:rsidP="008C6396">
      <w:pPr>
        <w:pStyle w:val="SingleTxtG"/>
      </w:pPr>
      <w:r>
        <w:t>3.1</w:t>
      </w:r>
      <w:r w:rsidRPr="00F03CEA">
        <w:tab/>
      </w:r>
      <w:r w:rsidRPr="006D22A1">
        <w:t xml:space="preserve">The author submits that his arrest and subsequent </w:t>
      </w:r>
      <w:r>
        <w:t>sentence</w:t>
      </w:r>
      <w:r w:rsidRPr="006D22A1">
        <w:t xml:space="preserve"> violated his rights under article 19</w:t>
      </w:r>
      <w:r>
        <w:t xml:space="preserve"> </w:t>
      </w:r>
      <w:r w:rsidRPr="006D22A1">
        <w:t xml:space="preserve">(2) of the Covenant, </w:t>
      </w:r>
      <w:r>
        <w:t>as</w:t>
      </w:r>
      <w:r w:rsidRPr="006D22A1">
        <w:t xml:space="preserve"> he was prevented fro</w:t>
      </w:r>
      <w:r>
        <w:t xml:space="preserve">m attending a meeting with the </w:t>
      </w:r>
      <w:r w:rsidRPr="009A1B60">
        <w:rPr>
          <w:i/>
        </w:rPr>
        <w:t>akim</w:t>
      </w:r>
      <w:r w:rsidRPr="006D22A1">
        <w:t xml:space="preserve"> and express</w:t>
      </w:r>
      <w:r>
        <w:t>ing</w:t>
      </w:r>
      <w:r w:rsidRPr="006D22A1">
        <w:t xml:space="preserve"> his opinion on a number of issues. He </w:t>
      </w:r>
      <w:r>
        <w:t xml:space="preserve">claims that </w:t>
      </w:r>
      <w:r w:rsidRPr="006D22A1">
        <w:t xml:space="preserve">the </w:t>
      </w:r>
      <w:r>
        <w:t>restriction</w:t>
      </w:r>
      <w:r w:rsidRPr="006D22A1">
        <w:t xml:space="preserve"> of his rights was not justified under </w:t>
      </w:r>
      <w:r>
        <w:t>any</w:t>
      </w:r>
      <w:r w:rsidRPr="006D22A1">
        <w:t xml:space="preserve"> of the conditions listed in article 19 (3) of the Covenant</w:t>
      </w:r>
      <w:r>
        <w:t>.</w:t>
      </w:r>
    </w:p>
    <w:p w14:paraId="384AA983" w14:textId="77777777" w:rsidR="008C6396" w:rsidRPr="006D22A1" w:rsidRDefault="008C6396" w:rsidP="008C6396">
      <w:pPr>
        <w:pStyle w:val="SingleTxtG"/>
      </w:pPr>
      <w:r>
        <w:t>3.2</w:t>
      </w:r>
      <w:r>
        <w:tab/>
      </w:r>
      <w:r w:rsidRPr="006D22A1">
        <w:t xml:space="preserve">The </w:t>
      </w:r>
      <w:r>
        <w:t xml:space="preserve">author also claims that, once arrested, he was not granted prompt access to counsel, in violation of </w:t>
      </w:r>
      <w:r w:rsidRPr="006D22A1">
        <w:t>his rights under article 14 (3) (b) of the Covenant</w:t>
      </w:r>
      <w:r>
        <w:t>.</w:t>
      </w:r>
    </w:p>
    <w:p w14:paraId="2355E06E" w14:textId="76A3EB20" w:rsidR="008C6396" w:rsidRPr="00415BA0" w:rsidRDefault="008C6396" w:rsidP="008C6396">
      <w:pPr>
        <w:pStyle w:val="H23G"/>
        <w:tabs>
          <w:tab w:val="left" w:pos="1134"/>
          <w:tab w:val="left" w:pos="1701"/>
          <w:tab w:val="left" w:pos="2268"/>
          <w:tab w:val="left" w:pos="2835"/>
          <w:tab w:val="left" w:pos="3402"/>
          <w:tab w:val="left" w:pos="3969"/>
          <w:tab w:val="left" w:pos="4536"/>
          <w:tab w:val="left" w:pos="7035"/>
        </w:tabs>
      </w:pPr>
      <w:r w:rsidRPr="00415BA0">
        <w:tab/>
      </w:r>
      <w:r w:rsidRPr="00415BA0">
        <w:tab/>
        <w:t>State party</w:t>
      </w:r>
      <w:r w:rsidR="00A67AAD">
        <w:t>’</w:t>
      </w:r>
      <w:r w:rsidRPr="00415BA0">
        <w:t xml:space="preserve">s observations on </w:t>
      </w:r>
      <w:r w:rsidRPr="00AA6ECB">
        <w:t>admissibility and the merits</w:t>
      </w:r>
    </w:p>
    <w:p w14:paraId="308FADA2" w14:textId="77777777" w:rsidR="008C6396" w:rsidRDefault="008C6396" w:rsidP="008C6396">
      <w:pPr>
        <w:pStyle w:val="SingleTxtG"/>
      </w:pPr>
      <w:r w:rsidRPr="009A4361">
        <w:t>4.</w:t>
      </w:r>
      <w:r>
        <w:t>1</w:t>
      </w:r>
      <w:r w:rsidRPr="009A4361">
        <w:tab/>
        <w:t xml:space="preserve">On </w:t>
      </w:r>
      <w:r>
        <w:t>15 March 2017</w:t>
      </w:r>
      <w:r w:rsidRPr="009A4361">
        <w:t xml:space="preserve">, the </w:t>
      </w:r>
      <w:r>
        <w:t xml:space="preserve">State party submitted its observations on the admissibility and merits of the communication. </w:t>
      </w:r>
      <w:r>
        <w:rPr>
          <w:lang w:val="en-US"/>
        </w:rPr>
        <w:t xml:space="preserve">The State party argues that </w:t>
      </w:r>
      <w:r w:rsidRPr="002B148B">
        <w:t xml:space="preserve">the communication is incompatible with the provisions of the </w:t>
      </w:r>
      <w:r>
        <w:t>Covenant and is therefore</w:t>
      </w:r>
      <w:r w:rsidRPr="002B148B">
        <w:t xml:space="preserve"> inadmissible under article 3 of the Optional Protocol. It notes that the Committee is not generally in a position to review decisions regarding the administrative, civil or criminal responsibility of individuals, nor can it review the question of innocence or guilt.</w:t>
      </w:r>
    </w:p>
    <w:p w14:paraId="1304F93E" w14:textId="14773BBD" w:rsidR="008C6396" w:rsidRDefault="008C6396" w:rsidP="008C6396">
      <w:pPr>
        <w:pStyle w:val="SingleTxtG"/>
      </w:pPr>
      <w:r>
        <w:t>4.2</w:t>
      </w:r>
      <w:r>
        <w:tab/>
      </w:r>
      <w:r w:rsidRPr="002B148B">
        <w:t>The State party notes that</w:t>
      </w:r>
      <w:r>
        <w:t>,</w:t>
      </w:r>
      <w:r w:rsidRPr="002B148B">
        <w:t xml:space="preserve"> while asking for remedies</w:t>
      </w:r>
      <w:r>
        <w:t xml:space="preserve"> in his communication</w:t>
      </w:r>
      <w:r w:rsidRPr="002B148B">
        <w:t xml:space="preserve">, the author requests that those responsible for the violation of his rights </w:t>
      </w:r>
      <w:r>
        <w:t>be</w:t>
      </w:r>
      <w:r w:rsidRPr="002B148B">
        <w:t xml:space="preserve"> brought to justice. The State party refers to the Committee</w:t>
      </w:r>
      <w:r w:rsidR="00A67AAD">
        <w:t>’</w:t>
      </w:r>
      <w:r w:rsidRPr="002B148B">
        <w:t xml:space="preserve">s Views in </w:t>
      </w:r>
      <w:r w:rsidRPr="002B148B">
        <w:rPr>
          <w:i/>
        </w:rPr>
        <w:t>H.C.M.A. v. Netherlands</w:t>
      </w:r>
      <w:r>
        <w:t xml:space="preserve">, in which it was </w:t>
      </w:r>
      <w:r w:rsidRPr="002B148B">
        <w:t xml:space="preserve">held that the Covenant </w:t>
      </w:r>
      <w:r>
        <w:t xml:space="preserve">did not </w:t>
      </w:r>
      <w:r w:rsidRPr="002B148B">
        <w:t>provide</w:t>
      </w:r>
      <w:r>
        <w:t xml:space="preserve"> for the </w:t>
      </w:r>
      <w:r w:rsidRPr="002B148B">
        <w:t>right to see another person criminally prosecuted.</w:t>
      </w:r>
      <w:r w:rsidRPr="00A67AAD">
        <w:rPr>
          <w:rStyle w:val="FootnoteReference"/>
        </w:rPr>
        <w:footnoteReference w:id="5"/>
      </w:r>
      <w:r w:rsidRPr="000D3CE4">
        <w:rPr>
          <w:rStyle w:val="FootnoteReference"/>
          <w:vertAlign w:val="baseline"/>
        </w:rPr>
        <w:t xml:space="preserve"> </w:t>
      </w:r>
      <w:r>
        <w:t>In the State party</w:t>
      </w:r>
      <w:r w:rsidR="00A67AAD">
        <w:t>’</w:t>
      </w:r>
      <w:r>
        <w:t>s view, this</w:t>
      </w:r>
      <w:r w:rsidRPr="002B148B">
        <w:t xml:space="preserve"> makes the communication incompatible with the provisions of the Covenant, </w:t>
      </w:r>
      <w:r>
        <w:t xml:space="preserve">under </w:t>
      </w:r>
      <w:r w:rsidRPr="002B148B">
        <w:t>article 3 of the Optional Protocol.</w:t>
      </w:r>
      <w:r>
        <w:t xml:space="preserve"> Similarly, the State party argues that the remaining remedies requested by the author are </w:t>
      </w:r>
      <w:r w:rsidRPr="002B148B">
        <w:t xml:space="preserve">not only </w:t>
      </w:r>
      <w:r>
        <w:t>incompatible with the provisions of the Covenant, but also require</w:t>
      </w:r>
      <w:r w:rsidRPr="002B148B">
        <w:t xml:space="preserve"> the Committee to exceed its competencies and to amend domestic laws of the State party, thus interfering in the internal affairs of a sovereign State.</w:t>
      </w:r>
    </w:p>
    <w:p w14:paraId="40DA8DC0" w14:textId="5A47263D" w:rsidR="008C6396" w:rsidRDefault="008C6396" w:rsidP="008C6396">
      <w:pPr>
        <w:pStyle w:val="SingleTxtG"/>
        <w:rPr>
          <w:lang w:val="en-US"/>
        </w:rPr>
      </w:pPr>
      <w:r>
        <w:t>4.3</w:t>
      </w:r>
      <w:r>
        <w:tab/>
      </w:r>
      <w:r w:rsidRPr="002B148B">
        <w:t xml:space="preserve">The State party submits that the author </w:t>
      </w:r>
      <w:r>
        <w:t xml:space="preserve">has </w:t>
      </w:r>
      <w:r w:rsidRPr="002B148B">
        <w:t>failed to substantiate how the domestic legislation violat</w:t>
      </w:r>
      <w:r>
        <w:t>es his rights under articles 14 and</w:t>
      </w:r>
      <w:r w:rsidRPr="002B148B">
        <w:t xml:space="preserve"> 19</w:t>
      </w:r>
      <w:r>
        <w:t xml:space="preserve"> of the Covenant</w:t>
      </w:r>
      <w:r w:rsidRPr="002B148B">
        <w:t>. The State party refers to the Committee</w:t>
      </w:r>
      <w:r w:rsidR="00A67AAD">
        <w:t>’</w:t>
      </w:r>
      <w:r w:rsidRPr="002B148B">
        <w:t xml:space="preserve">s Views in </w:t>
      </w:r>
      <w:r w:rsidRPr="002B148B">
        <w:rPr>
          <w:i/>
        </w:rPr>
        <w:t>E.Z. v. Kazakhstan</w:t>
      </w:r>
      <w:r>
        <w:t>, in which</w:t>
      </w:r>
      <w:r w:rsidRPr="002B148B">
        <w:t xml:space="preserve"> the Committee found the communication inadmissible because the author </w:t>
      </w:r>
      <w:r>
        <w:t>had</w:t>
      </w:r>
      <w:r w:rsidRPr="002B148B">
        <w:t xml:space="preserve"> not substantiate</w:t>
      </w:r>
      <w:r>
        <w:t>d</w:t>
      </w:r>
      <w:r w:rsidRPr="002B148B">
        <w:t xml:space="preserve"> his claims under article 14.</w:t>
      </w:r>
      <w:r w:rsidRPr="00A67AAD">
        <w:rPr>
          <w:rStyle w:val="FootnoteReference"/>
        </w:rPr>
        <w:footnoteReference w:id="6"/>
      </w:r>
      <w:r w:rsidRPr="000D3CE4">
        <w:rPr>
          <w:rStyle w:val="FootnoteReference"/>
          <w:vertAlign w:val="baseline"/>
        </w:rPr>
        <w:t xml:space="preserve"> </w:t>
      </w:r>
      <w:r w:rsidRPr="0061289F">
        <w:rPr>
          <w:lang w:val="en-US"/>
        </w:rPr>
        <w:t>Therefore, the State party argues</w:t>
      </w:r>
      <w:r>
        <w:rPr>
          <w:lang w:val="en-US"/>
        </w:rPr>
        <w:t xml:space="preserve"> that</w:t>
      </w:r>
      <w:r w:rsidRPr="0061289F">
        <w:rPr>
          <w:lang w:val="en-US"/>
        </w:rPr>
        <w:t xml:space="preserve"> </w:t>
      </w:r>
      <w:r w:rsidRPr="0061289F">
        <w:t xml:space="preserve">the </w:t>
      </w:r>
      <w:r w:rsidRPr="0061289F">
        <w:rPr>
          <w:lang w:val="en-US"/>
        </w:rPr>
        <w:t>aut</w:t>
      </w:r>
      <w:r>
        <w:rPr>
          <w:lang w:val="en-US"/>
        </w:rPr>
        <w:t>h</w:t>
      </w:r>
      <w:r w:rsidRPr="0061289F">
        <w:rPr>
          <w:lang w:val="en-US"/>
        </w:rPr>
        <w:t>or</w:t>
      </w:r>
      <w:r w:rsidR="00A67AAD">
        <w:rPr>
          <w:lang w:val="en-US"/>
        </w:rPr>
        <w:t>’</w:t>
      </w:r>
      <w:r w:rsidRPr="0061289F">
        <w:rPr>
          <w:lang w:val="en-US"/>
        </w:rPr>
        <w:t xml:space="preserve">s </w:t>
      </w:r>
      <w:r>
        <w:rPr>
          <w:lang w:val="en-US"/>
        </w:rPr>
        <w:t>communication</w:t>
      </w:r>
      <w:r w:rsidRPr="0061289F">
        <w:rPr>
          <w:lang w:val="en-US"/>
        </w:rPr>
        <w:t xml:space="preserve"> should be</w:t>
      </w:r>
      <w:r>
        <w:rPr>
          <w:lang w:val="en-US"/>
        </w:rPr>
        <w:t xml:space="preserve"> declared</w:t>
      </w:r>
      <w:r w:rsidRPr="0061289F">
        <w:rPr>
          <w:lang w:val="en-US"/>
        </w:rPr>
        <w:t xml:space="preserve"> inadmissible in accordance with article 3 of the Optional Protocol, </w:t>
      </w:r>
      <w:r>
        <w:rPr>
          <w:lang w:val="en-US"/>
        </w:rPr>
        <w:t>r</w:t>
      </w:r>
      <w:r w:rsidRPr="0061289F">
        <w:rPr>
          <w:lang w:val="en-US"/>
        </w:rPr>
        <w:t>ule 9</w:t>
      </w:r>
      <w:r>
        <w:rPr>
          <w:lang w:val="en-US"/>
        </w:rPr>
        <w:t>9</w:t>
      </w:r>
      <w:r w:rsidRPr="0061289F">
        <w:rPr>
          <w:lang w:val="en-US"/>
        </w:rPr>
        <w:t xml:space="preserve"> (d) of the </w:t>
      </w:r>
      <w:r>
        <w:rPr>
          <w:lang w:val="en-US"/>
        </w:rPr>
        <w:t>r</w:t>
      </w:r>
      <w:r w:rsidRPr="0061289F">
        <w:rPr>
          <w:lang w:val="en-US"/>
        </w:rPr>
        <w:t xml:space="preserve">ules of </w:t>
      </w:r>
      <w:r>
        <w:rPr>
          <w:lang w:val="en-US"/>
        </w:rPr>
        <w:t>p</w:t>
      </w:r>
      <w:r w:rsidRPr="0061289F">
        <w:rPr>
          <w:lang w:val="en-US"/>
        </w:rPr>
        <w:t>rocedure and the Committee</w:t>
      </w:r>
      <w:r w:rsidR="00A67AAD">
        <w:rPr>
          <w:lang w:val="en-US"/>
        </w:rPr>
        <w:t>’</w:t>
      </w:r>
      <w:r w:rsidRPr="0061289F">
        <w:rPr>
          <w:lang w:val="en-US"/>
        </w:rPr>
        <w:t>s jurisprudence.</w:t>
      </w:r>
    </w:p>
    <w:p w14:paraId="1B7CCA81" w14:textId="225F244F" w:rsidR="008C6396" w:rsidRDefault="008C6396" w:rsidP="008C6396">
      <w:pPr>
        <w:pStyle w:val="SingleTxtG"/>
        <w:rPr>
          <w:lang w:val="en-US"/>
        </w:rPr>
      </w:pPr>
      <w:r>
        <w:rPr>
          <w:lang w:val="en-US"/>
        </w:rPr>
        <w:t>4.4</w:t>
      </w:r>
      <w:r>
        <w:rPr>
          <w:lang w:val="en-US"/>
        </w:rPr>
        <w:tab/>
      </w:r>
      <w:r w:rsidRPr="002B148B">
        <w:t xml:space="preserve">Finally, the State party challenges the admissibility of the communication owing to </w:t>
      </w:r>
      <w:r>
        <w:t xml:space="preserve">the </w:t>
      </w:r>
      <w:r w:rsidRPr="002B148B">
        <w:t>non-exhaustion of the available domestic legal remedies. The State party notes that</w:t>
      </w:r>
      <w:r>
        <w:t>,</w:t>
      </w:r>
      <w:r w:rsidRPr="002B148B">
        <w:t xml:space="preserve"> after the author</w:t>
      </w:r>
      <w:r w:rsidR="00A67AAD">
        <w:t>’</w:t>
      </w:r>
      <w:r w:rsidRPr="002B148B">
        <w:t>s request for a supervisory review was rejected by the Deputy Prosecutor General of Kazakhstan</w:t>
      </w:r>
      <w:r>
        <w:t xml:space="preserve"> on 14 July 2014, he was entitled to submit a</w:t>
      </w:r>
      <w:r w:rsidRPr="002B148B">
        <w:t xml:space="preserve"> request to the Prosecutor General for a supervisory review. The State party refers to the Committee</w:t>
      </w:r>
      <w:r w:rsidR="00A67AAD">
        <w:t>’</w:t>
      </w:r>
      <w:r w:rsidRPr="002B148B">
        <w:t xml:space="preserve">s Views </w:t>
      </w:r>
      <w:r w:rsidRPr="000A10E2">
        <w:t xml:space="preserve">in </w:t>
      </w:r>
      <w:r w:rsidRPr="000A10E2">
        <w:rPr>
          <w:i/>
        </w:rPr>
        <w:t>T.K. v. France</w:t>
      </w:r>
      <w:r w:rsidRPr="000A10E2">
        <w:t>, in</w:t>
      </w:r>
      <w:r>
        <w:t xml:space="preserve"> which</w:t>
      </w:r>
      <w:r w:rsidRPr="002B148B">
        <w:t xml:space="preserve"> the Committee </w:t>
      </w:r>
      <w:r>
        <w:rPr>
          <w:lang w:val="en-US"/>
        </w:rPr>
        <w:t xml:space="preserve">held that </w:t>
      </w:r>
      <w:r w:rsidRPr="007B4D89">
        <w:rPr>
          <w:lang w:val="en-US"/>
        </w:rPr>
        <w:t xml:space="preserve">mere doubts about the effectiveness of </w:t>
      </w:r>
      <w:r>
        <w:rPr>
          <w:lang w:val="en-US"/>
        </w:rPr>
        <w:t>domestic</w:t>
      </w:r>
      <w:r w:rsidRPr="007B4D89">
        <w:rPr>
          <w:lang w:val="en-US"/>
        </w:rPr>
        <w:t xml:space="preserve"> remedies </w:t>
      </w:r>
      <w:r w:rsidRPr="007B4D89">
        <w:rPr>
          <w:lang w:val="en-US"/>
        </w:rPr>
        <w:lastRenderedPageBreak/>
        <w:t>d</w:t>
      </w:r>
      <w:r>
        <w:rPr>
          <w:lang w:val="en-US"/>
        </w:rPr>
        <w:t>id</w:t>
      </w:r>
      <w:r w:rsidRPr="007B4D89">
        <w:rPr>
          <w:lang w:val="en-US"/>
        </w:rPr>
        <w:t xml:space="preserve"> not absolve an author from pursuing them</w:t>
      </w:r>
      <w:r w:rsidRPr="002B148B">
        <w:t>.</w:t>
      </w:r>
      <w:r w:rsidRPr="00A67AAD">
        <w:rPr>
          <w:rStyle w:val="FootnoteReference"/>
        </w:rPr>
        <w:footnoteReference w:id="7"/>
      </w:r>
      <w:r w:rsidRPr="000D3CE4">
        <w:rPr>
          <w:rStyle w:val="FootnoteReference"/>
          <w:vertAlign w:val="baseline"/>
        </w:rPr>
        <w:t xml:space="preserve"> </w:t>
      </w:r>
      <w:r w:rsidRPr="002B148B">
        <w:t xml:space="preserve">The State party </w:t>
      </w:r>
      <w:r>
        <w:t xml:space="preserve">gives the example of a </w:t>
      </w:r>
      <w:r>
        <w:rPr>
          <w:lang w:val="en-US"/>
        </w:rPr>
        <w:t xml:space="preserve">domestic case, </w:t>
      </w:r>
      <w:r w:rsidRPr="00120023">
        <w:rPr>
          <w:i/>
          <w:lang w:val="en-US"/>
        </w:rPr>
        <w:t>Filatova and Kuzmintsev</w:t>
      </w:r>
      <w:r>
        <w:rPr>
          <w:lang w:val="en-US"/>
        </w:rPr>
        <w:t xml:space="preserve">, in which </w:t>
      </w:r>
      <w:r w:rsidRPr="002448D4">
        <w:t xml:space="preserve">the </w:t>
      </w:r>
      <w:r w:rsidRPr="00863EA5">
        <w:rPr>
          <w:i/>
          <w:iCs/>
        </w:rPr>
        <w:t>akimat</w:t>
      </w:r>
      <w:r w:rsidRPr="002448D4">
        <w:t xml:space="preserve"> of Almaty </w:t>
      </w:r>
      <w:r>
        <w:t xml:space="preserve">had </w:t>
      </w:r>
      <w:r w:rsidRPr="002448D4">
        <w:t xml:space="preserve">unlawfully denied permission </w:t>
      </w:r>
      <w:r>
        <w:t>f</w:t>
      </w:r>
      <w:r w:rsidRPr="002448D4">
        <w:t>o</w:t>
      </w:r>
      <w:r>
        <w:t>r</w:t>
      </w:r>
      <w:r w:rsidRPr="002448D4">
        <w:t xml:space="preserve"> two individuals to carry out a </w:t>
      </w:r>
      <w:r>
        <w:t>hunger strike in their apartment. A</w:t>
      </w:r>
      <w:r>
        <w:rPr>
          <w:lang w:val="en-US"/>
        </w:rPr>
        <w:t xml:space="preserve"> request for a supervisory review to the Prosecutor General resulted in a new court decision in favour of the defendants and full restoration of their rights and freedoms. Similarly, in another domestic case, </w:t>
      </w:r>
      <w:r w:rsidRPr="00863EA5">
        <w:rPr>
          <w:i/>
          <w:iCs/>
          <w:lang w:val="en-US"/>
        </w:rPr>
        <w:t>Amirbekova R.B.</w:t>
      </w:r>
      <w:r w:rsidRPr="003603C8">
        <w:rPr>
          <w:lang w:val="en-US"/>
        </w:rPr>
        <w:t xml:space="preserve">, </w:t>
      </w:r>
      <w:r>
        <w:rPr>
          <w:lang w:val="en-US"/>
        </w:rPr>
        <w:t>the Supreme Court, following an appeal by the Office of the Prosecutor</w:t>
      </w:r>
      <w:r w:rsidRPr="003C746B">
        <w:rPr>
          <w:lang w:val="en-US"/>
        </w:rPr>
        <w:t xml:space="preserve"> </w:t>
      </w:r>
      <w:r>
        <w:rPr>
          <w:lang w:val="en-US"/>
        </w:rPr>
        <w:t xml:space="preserve">General, quashed a court decision against the defendant, who had been found guilty of </w:t>
      </w:r>
      <w:r>
        <w:t>disobeying lawful orders of the police.</w:t>
      </w:r>
      <w:r>
        <w:rPr>
          <w:lang w:val="en-US"/>
        </w:rPr>
        <w:t xml:space="preserve"> </w:t>
      </w:r>
      <w:r w:rsidRPr="0061289F">
        <w:rPr>
          <w:lang w:val="en-US"/>
        </w:rPr>
        <w:t>Therefore, the State party argues</w:t>
      </w:r>
      <w:r>
        <w:rPr>
          <w:lang w:val="en-US"/>
        </w:rPr>
        <w:t xml:space="preserve"> that</w:t>
      </w:r>
      <w:r w:rsidRPr="0061289F">
        <w:rPr>
          <w:lang w:val="en-US"/>
        </w:rPr>
        <w:t xml:space="preserve"> </w:t>
      </w:r>
      <w:r w:rsidRPr="0061289F">
        <w:t xml:space="preserve">the </w:t>
      </w:r>
      <w:r w:rsidRPr="0061289F">
        <w:rPr>
          <w:lang w:val="en-US"/>
        </w:rPr>
        <w:t>aut</w:t>
      </w:r>
      <w:r>
        <w:rPr>
          <w:lang w:val="en-US"/>
        </w:rPr>
        <w:t>h</w:t>
      </w:r>
      <w:r w:rsidRPr="0061289F">
        <w:rPr>
          <w:lang w:val="en-US"/>
        </w:rPr>
        <w:t>or</w:t>
      </w:r>
      <w:r w:rsidR="00A67AAD">
        <w:rPr>
          <w:lang w:val="en-US"/>
        </w:rPr>
        <w:t>’</w:t>
      </w:r>
      <w:r w:rsidRPr="0061289F">
        <w:rPr>
          <w:lang w:val="en-US"/>
        </w:rPr>
        <w:t xml:space="preserve">s </w:t>
      </w:r>
      <w:r>
        <w:rPr>
          <w:lang w:val="en-US"/>
        </w:rPr>
        <w:t>communication</w:t>
      </w:r>
      <w:r w:rsidRPr="0061289F">
        <w:rPr>
          <w:lang w:val="en-US"/>
        </w:rPr>
        <w:t xml:space="preserve"> should be</w:t>
      </w:r>
      <w:r>
        <w:rPr>
          <w:lang w:val="en-US"/>
        </w:rPr>
        <w:t xml:space="preserve"> declared</w:t>
      </w:r>
      <w:r w:rsidRPr="0061289F">
        <w:rPr>
          <w:lang w:val="en-US"/>
        </w:rPr>
        <w:t xml:space="preserve"> inadmissible in accordance with article</w:t>
      </w:r>
      <w:r>
        <w:rPr>
          <w:lang w:val="en-US"/>
        </w:rPr>
        <w:t>s 2 and 5</w:t>
      </w:r>
      <w:r w:rsidRPr="0061289F">
        <w:rPr>
          <w:lang w:val="en-US"/>
        </w:rPr>
        <w:t xml:space="preserve"> of t</w:t>
      </w:r>
      <w:r>
        <w:rPr>
          <w:lang w:val="en-US"/>
        </w:rPr>
        <w:t>he Optional Protocol, rule 99 (f)</w:t>
      </w:r>
      <w:r w:rsidRPr="0061289F">
        <w:rPr>
          <w:lang w:val="en-US"/>
        </w:rPr>
        <w:t xml:space="preserve"> of the </w:t>
      </w:r>
      <w:r>
        <w:rPr>
          <w:lang w:val="en-US"/>
        </w:rPr>
        <w:t>r</w:t>
      </w:r>
      <w:r w:rsidRPr="0061289F">
        <w:rPr>
          <w:lang w:val="en-US"/>
        </w:rPr>
        <w:t xml:space="preserve">ules of </w:t>
      </w:r>
      <w:r>
        <w:rPr>
          <w:lang w:val="en-US"/>
        </w:rPr>
        <w:t>p</w:t>
      </w:r>
      <w:r w:rsidRPr="0061289F">
        <w:rPr>
          <w:lang w:val="en-US"/>
        </w:rPr>
        <w:t>rocedure and the Committee</w:t>
      </w:r>
      <w:r w:rsidR="00A67AAD">
        <w:rPr>
          <w:lang w:val="en-US"/>
        </w:rPr>
        <w:t>’</w:t>
      </w:r>
      <w:r w:rsidRPr="0061289F">
        <w:rPr>
          <w:lang w:val="en-US"/>
        </w:rPr>
        <w:t>s jurisprudence.</w:t>
      </w:r>
    </w:p>
    <w:p w14:paraId="1D7182D8" w14:textId="28AD0F52" w:rsidR="008C6396" w:rsidRDefault="008C6396" w:rsidP="008C6396">
      <w:pPr>
        <w:pStyle w:val="SingleTxtG"/>
      </w:pPr>
      <w:r>
        <w:t>4.5</w:t>
      </w:r>
      <w:r>
        <w:tab/>
        <w:t>With regard to the merits of the complaint, the State party submits that, on 20 February 2014, the author was outside building number 659 on Suyunbai Street when he ignored the lawful orders of police officers to follow them to the Zhetysus District Police Department for questioning about a complaint received earlier. He</w:t>
      </w:r>
      <w:r>
        <w:rPr>
          <w:lang w:val="en-US"/>
        </w:rPr>
        <w:t xml:space="preserve"> showed active resistance. While resisting, the author damaged the inside panels and bumper of a police vehicle, after which he was taken to </w:t>
      </w:r>
      <w:r>
        <w:t>the Zhetysus District Police Department</w:t>
      </w:r>
      <w:r>
        <w:rPr>
          <w:lang w:val="en-US"/>
        </w:rPr>
        <w:t xml:space="preserve"> and charged with </w:t>
      </w:r>
      <w:r>
        <w:t>disobeying lawful orders of the police</w:t>
      </w:r>
      <w:r>
        <w:rPr>
          <w:lang w:val="en-US"/>
        </w:rPr>
        <w:t xml:space="preserve">. The State party notes that, during the court hearing, the author interrupted the prosecutor while the latter was giving his concluding remarks, and shouted </w:t>
      </w:r>
      <w:r w:rsidR="00A67AAD">
        <w:rPr>
          <w:lang w:val="en-US"/>
        </w:rPr>
        <w:t>“</w:t>
      </w:r>
      <w:r>
        <w:rPr>
          <w:lang w:val="en-US"/>
        </w:rPr>
        <w:t>Shame on the court!</w:t>
      </w:r>
      <w:r w:rsidR="00A67AAD">
        <w:rPr>
          <w:lang w:val="en-US"/>
        </w:rPr>
        <w:t>”</w:t>
      </w:r>
      <w:r>
        <w:rPr>
          <w:lang w:val="en-US"/>
        </w:rPr>
        <w:t xml:space="preserve"> while the presiding judge read the court</w:t>
      </w:r>
      <w:r w:rsidR="00A67AAD">
        <w:rPr>
          <w:lang w:val="en-US"/>
        </w:rPr>
        <w:t>’</w:t>
      </w:r>
      <w:r>
        <w:rPr>
          <w:lang w:val="en-US"/>
        </w:rPr>
        <w:t xml:space="preserve">s decision. For showing disrespect to the court, the author was charged under article 513 </w:t>
      </w:r>
      <w:r>
        <w:t>of the Code on Administrative Offences</w:t>
      </w:r>
      <w:r>
        <w:rPr>
          <w:lang w:val="en-US"/>
        </w:rPr>
        <w:t xml:space="preserve"> and received an additional sentence of three days of administrative arrest. </w:t>
      </w:r>
      <w:r>
        <w:t>The State party asserts that the author</w:t>
      </w:r>
      <w:r w:rsidR="00A67AAD">
        <w:t>’</w:t>
      </w:r>
      <w:r>
        <w:t>s claim of a violation of his rights under article 19 of the Covenant is not substantiated. It notes that the author was not able to provide the court or the Committee with evidence that he had been served with a summons for a later time.</w:t>
      </w:r>
    </w:p>
    <w:p w14:paraId="26B552FD" w14:textId="2E480C7A" w:rsidR="008C6396" w:rsidRPr="00F636A6" w:rsidRDefault="008C6396" w:rsidP="008C6396">
      <w:pPr>
        <w:pStyle w:val="H23G"/>
      </w:pPr>
      <w:r>
        <w:tab/>
      </w:r>
      <w:r>
        <w:tab/>
      </w:r>
      <w:r w:rsidRPr="00F636A6">
        <w:t>Author</w:t>
      </w:r>
      <w:r w:rsidR="00A67AAD">
        <w:t>’</w:t>
      </w:r>
      <w:r w:rsidRPr="00F636A6">
        <w:t>s comments on the State party</w:t>
      </w:r>
      <w:r w:rsidR="00A67AAD">
        <w:t>’</w:t>
      </w:r>
      <w:r w:rsidRPr="00F636A6">
        <w:t xml:space="preserve">s observations on </w:t>
      </w:r>
      <w:r>
        <w:t>admissibility and the merits</w:t>
      </w:r>
    </w:p>
    <w:p w14:paraId="153D886F" w14:textId="060634BE" w:rsidR="008C6396" w:rsidRDefault="008C6396" w:rsidP="008C6396">
      <w:pPr>
        <w:pStyle w:val="SingleTxtG"/>
        <w:rPr>
          <w:bCs/>
          <w:lang w:val="en-US"/>
        </w:rPr>
      </w:pPr>
      <w:r>
        <w:t>5.1</w:t>
      </w:r>
      <w:r>
        <w:tab/>
        <w:t xml:space="preserve">In a </w:t>
      </w:r>
      <w:r>
        <w:rPr>
          <w:bCs/>
        </w:rPr>
        <w:t>l</w:t>
      </w:r>
      <w:r w:rsidRPr="00415BA0">
        <w:rPr>
          <w:bCs/>
        </w:rPr>
        <w:t xml:space="preserve">etter </w:t>
      </w:r>
      <w:r>
        <w:t>dated</w:t>
      </w:r>
      <w:r w:rsidRPr="00415BA0">
        <w:t xml:space="preserve"> </w:t>
      </w:r>
      <w:r>
        <w:t xml:space="preserve">5 June </w:t>
      </w:r>
      <w:r>
        <w:rPr>
          <w:bCs/>
        </w:rPr>
        <w:t>2017</w:t>
      </w:r>
      <w:r w:rsidRPr="00415BA0">
        <w:rPr>
          <w:bCs/>
        </w:rPr>
        <w:t xml:space="preserve">, </w:t>
      </w:r>
      <w:r w:rsidRPr="00FE7356">
        <w:rPr>
          <w:bCs/>
        </w:rPr>
        <w:t>the author</w:t>
      </w:r>
      <w:r w:rsidRPr="00415BA0">
        <w:rPr>
          <w:bCs/>
        </w:rPr>
        <w:t xml:space="preserve"> </w:t>
      </w:r>
      <w:r>
        <w:rPr>
          <w:bCs/>
        </w:rPr>
        <w:t>responded to</w:t>
      </w:r>
      <w:r w:rsidRPr="00415BA0">
        <w:rPr>
          <w:bCs/>
        </w:rPr>
        <w:t xml:space="preserve"> the </w:t>
      </w:r>
      <w:r>
        <w:rPr>
          <w:bCs/>
        </w:rPr>
        <w:t>State party</w:t>
      </w:r>
      <w:r w:rsidR="00A67AAD">
        <w:rPr>
          <w:bCs/>
        </w:rPr>
        <w:t>’</w:t>
      </w:r>
      <w:r>
        <w:rPr>
          <w:bCs/>
        </w:rPr>
        <w:t xml:space="preserve">s </w:t>
      </w:r>
      <w:r w:rsidRPr="00415BA0">
        <w:rPr>
          <w:bCs/>
        </w:rPr>
        <w:t xml:space="preserve">observations </w:t>
      </w:r>
      <w:r>
        <w:rPr>
          <w:bCs/>
        </w:rPr>
        <w:t>on the admissibility and merits of the communication. The author reiterates that the State party has violated his rights under article 14 (3) (b) and 19 (2) of the Covenant and that his attempts to obtain remedy through national courts and the prosecutor</w:t>
      </w:r>
      <w:r w:rsidR="00A67AAD">
        <w:rPr>
          <w:bCs/>
        </w:rPr>
        <w:t>’</w:t>
      </w:r>
      <w:r>
        <w:rPr>
          <w:bCs/>
        </w:rPr>
        <w:t xml:space="preserve">s office have been unsuccessful. He notes that the police have recently started to crack down on peaceful protests by arresting participants for offences </w:t>
      </w:r>
      <w:r>
        <w:rPr>
          <w:bCs/>
          <w:lang w:val="en-US"/>
        </w:rPr>
        <w:t>such</w:t>
      </w:r>
      <w:r>
        <w:rPr>
          <w:bCs/>
        </w:rPr>
        <w:t xml:space="preserve"> as </w:t>
      </w:r>
      <w:r w:rsidR="00A67AAD">
        <w:rPr>
          <w:bCs/>
        </w:rPr>
        <w:t>“</w:t>
      </w:r>
      <w:r>
        <w:rPr>
          <w:bCs/>
          <w:lang w:val="en-US"/>
        </w:rPr>
        <w:t>petty hooliganism</w:t>
      </w:r>
      <w:r w:rsidR="00A67AAD">
        <w:rPr>
          <w:bCs/>
          <w:lang w:val="en-US"/>
        </w:rPr>
        <w:t>”</w:t>
      </w:r>
      <w:r>
        <w:rPr>
          <w:bCs/>
          <w:lang w:val="en-US"/>
        </w:rPr>
        <w:t>, rather than charging them with violations of laws on organizing peaceful assemblies. However, despite the nature of the charges, he maintains that the police officers</w:t>
      </w:r>
      <w:r w:rsidR="00A67AAD">
        <w:rPr>
          <w:bCs/>
          <w:lang w:val="en-US"/>
        </w:rPr>
        <w:t>’</w:t>
      </w:r>
      <w:r>
        <w:rPr>
          <w:bCs/>
          <w:lang w:val="en-US"/>
        </w:rPr>
        <w:t xml:space="preserve"> goal was to prevent him from attending the public meeting with the </w:t>
      </w:r>
      <w:r w:rsidRPr="00D43485">
        <w:rPr>
          <w:bCs/>
          <w:i/>
          <w:lang w:val="en-US"/>
        </w:rPr>
        <w:t>akim</w:t>
      </w:r>
      <w:r>
        <w:rPr>
          <w:bCs/>
          <w:lang w:val="en-US"/>
        </w:rPr>
        <w:t xml:space="preserve"> and asking inconvenient questions. The author notes that, at the time of his arrest, he was carrying his press identification card.</w:t>
      </w:r>
    </w:p>
    <w:p w14:paraId="74A7B99A" w14:textId="01EC845F" w:rsidR="008C6396" w:rsidRPr="008C27B4" w:rsidRDefault="008C6396" w:rsidP="008C6396">
      <w:pPr>
        <w:pStyle w:val="SingleTxtG"/>
        <w:rPr>
          <w:lang w:val="en-US"/>
        </w:rPr>
      </w:pPr>
      <w:r>
        <w:rPr>
          <w:bCs/>
          <w:lang w:val="en-US"/>
        </w:rPr>
        <w:t>5.2</w:t>
      </w:r>
      <w:r>
        <w:rPr>
          <w:bCs/>
          <w:lang w:val="en-US"/>
        </w:rPr>
        <w:tab/>
      </w:r>
      <w:r>
        <w:t xml:space="preserve">With regard to the exhaustion of domestic remedies, he notes that a request to the Prosecutor General for a supervisory review cannot be considered an effective remedy. In </w:t>
      </w:r>
      <w:r w:rsidRPr="002D31D4">
        <w:rPr>
          <w:i/>
          <w:lang w:val="en-US"/>
        </w:rPr>
        <w:t>Filatova and Kuzmintsev</w:t>
      </w:r>
      <w:r w:rsidRPr="002D31D4">
        <w:rPr>
          <w:iCs/>
          <w:lang w:val="en-US"/>
        </w:rPr>
        <w:t>,</w:t>
      </w:r>
      <w:r>
        <w:rPr>
          <w:lang w:val="en-US"/>
        </w:rPr>
        <w:t xml:space="preserve"> mentioned by the State party in its submission, the rights of one of the plaintiffs have not been restored and she has not been paid legal costs. The new ruling by a domestic court did not provide for a mechanism to restore the plaintiffs</w:t>
      </w:r>
      <w:r w:rsidR="00A67AAD">
        <w:rPr>
          <w:lang w:val="en-US"/>
        </w:rPr>
        <w:t>’</w:t>
      </w:r>
      <w:r>
        <w:rPr>
          <w:lang w:val="en-US"/>
        </w:rPr>
        <w:t xml:space="preserve"> rights. In addition, the </w:t>
      </w:r>
      <w:r w:rsidRPr="009D3CA7">
        <w:rPr>
          <w:i/>
          <w:iCs/>
          <w:lang w:val="en-US"/>
        </w:rPr>
        <w:t>akimat</w:t>
      </w:r>
      <w:r>
        <w:rPr>
          <w:lang w:val="en-US"/>
        </w:rPr>
        <w:t xml:space="preserve"> of Almaty city refused to pay moral and material damages to the plaintiffs, or to punish the employee responsible for the unlawful ban on a hunger strike by the plaintiffs in the case. Therefore, the author submits that the State party</w:t>
      </w:r>
      <w:r w:rsidR="00A67AAD">
        <w:rPr>
          <w:lang w:val="en-US"/>
        </w:rPr>
        <w:t>’</w:t>
      </w:r>
      <w:r>
        <w:rPr>
          <w:lang w:val="en-US"/>
        </w:rPr>
        <w:t>s use of the above-mentioned case as an example is inappropriate.</w:t>
      </w:r>
    </w:p>
    <w:p w14:paraId="61883A63" w14:textId="77777777" w:rsidR="008C6396" w:rsidRPr="00C346A0" w:rsidRDefault="008C6396" w:rsidP="008C6396">
      <w:pPr>
        <w:pStyle w:val="H23G"/>
      </w:pPr>
      <w:r w:rsidRPr="00C346A0">
        <w:tab/>
      </w:r>
      <w:r w:rsidRPr="00C346A0">
        <w:tab/>
      </w:r>
      <w:r w:rsidRPr="00C346A0">
        <w:tab/>
        <w:t>Issues and proceedings before the Committee</w:t>
      </w:r>
    </w:p>
    <w:p w14:paraId="4234C21B" w14:textId="77777777" w:rsidR="008C6396" w:rsidRPr="00C346A0" w:rsidRDefault="008C6396" w:rsidP="008C6396">
      <w:pPr>
        <w:spacing w:before="240" w:after="120"/>
        <w:ind w:left="567" w:firstLine="567"/>
        <w:rPr>
          <w:i/>
        </w:rPr>
      </w:pPr>
      <w:r w:rsidRPr="00C346A0">
        <w:rPr>
          <w:i/>
        </w:rPr>
        <w:t>Consideration of admissibility</w:t>
      </w:r>
    </w:p>
    <w:p w14:paraId="7D074CFD" w14:textId="77777777" w:rsidR="008C6396" w:rsidRPr="00C346A0" w:rsidRDefault="008C6396" w:rsidP="008C6396">
      <w:pPr>
        <w:pStyle w:val="SingleTxtG"/>
        <w:rPr>
          <w:bCs/>
        </w:rPr>
      </w:pPr>
      <w:r>
        <w:rPr>
          <w:bCs/>
        </w:rPr>
        <w:t>6</w:t>
      </w:r>
      <w:r w:rsidRPr="00C346A0">
        <w:rPr>
          <w:bCs/>
        </w:rPr>
        <w:t>.1</w:t>
      </w:r>
      <w:r w:rsidRPr="00C346A0">
        <w:rPr>
          <w:bCs/>
        </w:rPr>
        <w:tab/>
        <w:t>Before considering any claim contained in a communication, the Committee must decide, in accordance with rule 9</w:t>
      </w:r>
      <w:r>
        <w:rPr>
          <w:bCs/>
        </w:rPr>
        <w:t>7</w:t>
      </w:r>
      <w:r w:rsidRPr="00C346A0">
        <w:rPr>
          <w:bCs/>
        </w:rPr>
        <w:t xml:space="preserve"> of its rules of procedure, whether the communication is admissible under the Optional Protocol.</w:t>
      </w:r>
    </w:p>
    <w:p w14:paraId="1C21752E" w14:textId="12319283" w:rsidR="008C6396" w:rsidRDefault="008C6396" w:rsidP="008C6396">
      <w:pPr>
        <w:pStyle w:val="SingleTxtG"/>
      </w:pPr>
      <w:r>
        <w:lastRenderedPageBreak/>
        <w:t>6</w:t>
      </w:r>
      <w:r w:rsidRPr="00C346A0">
        <w:t>.2</w:t>
      </w:r>
      <w:r w:rsidRPr="00C346A0">
        <w:tab/>
        <w:t>The Committee has ascertained, as required under article 5 (2) (a) of the Optional Protocol, that the same matter</w:t>
      </w:r>
      <w:r w:rsidRPr="002B2065">
        <w:t xml:space="preserve"> is not being examined under another procedure of international investigation or settlement.</w:t>
      </w:r>
    </w:p>
    <w:p w14:paraId="4A993582" w14:textId="0FD6B000" w:rsidR="008C6396" w:rsidRPr="009A5767" w:rsidRDefault="008C6396" w:rsidP="008C6396">
      <w:pPr>
        <w:pStyle w:val="SingleTxtG"/>
      </w:pPr>
      <w:r>
        <w:t>6.3</w:t>
      </w:r>
      <w:r>
        <w:tab/>
      </w:r>
      <w:r w:rsidRPr="009A5767">
        <w:t xml:space="preserve">The Committee </w:t>
      </w:r>
      <w:r>
        <w:t>notes</w:t>
      </w:r>
      <w:r w:rsidRPr="009A5767">
        <w:t xml:space="preserve"> the State party</w:t>
      </w:r>
      <w:r w:rsidR="00A67AAD">
        <w:t>’</w:t>
      </w:r>
      <w:r w:rsidRPr="009A5767">
        <w:t xml:space="preserve">s argument that the </w:t>
      </w:r>
      <w:r>
        <w:t>remedies requested by the author require</w:t>
      </w:r>
      <w:r w:rsidRPr="002B148B">
        <w:t xml:space="preserve"> the Committee to exceed its competencies and to amend domestic laws of the State party, thus interfering in the internal affairs of a sovereign State</w:t>
      </w:r>
      <w:r>
        <w:t xml:space="preserve">, which </w:t>
      </w:r>
      <w:r w:rsidRPr="002B148B">
        <w:t>makes the communication incompatible with the provisions of the Covenant, pursuant to article 3 of the Optional Protocol</w:t>
      </w:r>
      <w:r>
        <w:t xml:space="preserve">. </w:t>
      </w:r>
      <w:r w:rsidRPr="009A5767">
        <w:t>However, the Committee points out that</w:t>
      </w:r>
      <w:r>
        <w:t>,</w:t>
      </w:r>
      <w:r w:rsidRPr="009A5767">
        <w:t xml:space="preserve"> under the procedure established by the Optional Protocol, when it finds violations of the Covenant</w:t>
      </w:r>
      <w:r>
        <w:t>,</w:t>
      </w:r>
      <w:r w:rsidRPr="009A5767">
        <w:t xml:space="preserve"> it is competent to determine the reparation measures that the State party should take in order to remedy the harm caused and prevent future violations. Thus, there is nothing to prevent the authors of communications from requesting or proposing measures of redress, although the Committee is not bound by any such requests.</w:t>
      </w:r>
      <w:r w:rsidRPr="00A67AAD">
        <w:rPr>
          <w:rStyle w:val="FootnoteReference"/>
        </w:rPr>
        <w:footnoteReference w:id="8"/>
      </w:r>
      <w:r w:rsidRPr="000D3CE4">
        <w:rPr>
          <w:rStyle w:val="FootnoteReference"/>
          <w:vertAlign w:val="baseline"/>
        </w:rPr>
        <w:t xml:space="preserve"> </w:t>
      </w:r>
      <w:r w:rsidRPr="009A5767">
        <w:t xml:space="preserve">The Committee therefore considers that </w:t>
      </w:r>
      <w:r>
        <w:t xml:space="preserve">it is not precluded under </w:t>
      </w:r>
      <w:r w:rsidRPr="009A5767">
        <w:t xml:space="preserve">article 3 of the Optional Protocol </w:t>
      </w:r>
      <w:r>
        <w:t xml:space="preserve">from examining the </w:t>
      </w:r>
      <w:r w:rsidRPr="009A5767">
        <w:t>communication</w:t>
      </w:r>
      <w:r>
        <w:t>.</w:t>
      </w:r>
    </w:p>
    <w:p w14:paraId="72A6A739" w14:textId="4F086B3B" w:rsidR="008C6396" w:rsidRDefault="008C6396" w:rsidP="008C6396">
      <w:pPr>
        <w:pStyle w:val="SingleTxtG"/>
      </w:pPr>
      <w:r>
        <w:rPr>
          <w:lang w:val="en-US"/>
        </w:rPr>
        <w:t>6.4</w:t>
      </w:r>
      <w:r>
        <w:rPr>
          <w:lang w:val="en-US"/>
        </w:rPr>
        <w:tab/>
      </w:r>
      <w:r w:rsidRPr="002448D4">
        <w:t xml:space="preserve">The Committee </w:t>
      </w:r>
      <w:r>
        <w:t xml:space="preserve">takes </w:t>
      </w:r>
      <w:r w:rsidRPr="002448D4">
        <w:t xml:space="preserve">note </w:t>
      </w:r>
      <w:r>
        <w:t>of</w:t>
      </w:r>
      <w:r w:rsidRPr="002448D4">
        <w:t xml:space="preserve"> the State party</w:t>
      </w:r>
      <w:r w:rsidR="00A67AAD">
        <w:t>’</w:t>
      </w:r>
      <w:r w:rsidRPr="002448D4">
        <w:t xml:space="preserve">s argument that the author has failed to file a </w:t>
      </w:r>
      <w:r>
        <w:t>request</w:t>
      </w:r>
      <w:r w:rsidRPr="002448D4">
        <w:t xml:space="preserve"> for supervisory review </w:t>
      </w:r>
      <w:r>
        <w:t>to</w:t>
      </w:r>
      <w:r w:rsidRPr="002448D4">
        <w:t xml:space="preserve"> the Prosecutor General</w:t>
      </w:r>
      <w:r w:rsidRPr="002B148B">
        <w:t xml:space="preserve">. </w:t>
      </w:r>
      <w:r w:rsidRPr="002448D4">
        <w:t>The Committee recalls its jurisprudence</w:t>
      </w:r>
      <w:r>
        <w:t>,</w:t>
      </w:r>
      <w:r w:rsidRPr="002448D4">
        <w:t xml:space="preserve"> according to which a </w:t>
      </w:r>
      <w:r>
        <w:t>request for supervisory review</w:t>
      </w:r>
      <w:r w:rsidRPr="002448D4">
        <w:t xml:space="preserve"> to a prosecutor</w:t>
      </w:r>
      <w:r w:rsidR="00A67AAD">
        <w:t>’</w:t>
      </w:r>
      <w:r w:rsidRPr="002448D4">
        <w:t>s office</w:t>
      </w:r>
      <w:r>
        <w:t xml:space="preserve"> </w:t>
      </w:r>
      <w:r w:rsidRPr="002448D4">
        <w:t>requesting a review of court decisions that have taken effect</w:t>
      </w:r>
      <w:r>
        <w:t xml:space="preserve"> – a request that is dependent on the discretionary power of the prosecutor</w:t>
      </w:r>
      <w:r w:rsidRPr="002448D4">
        <w:t xml:space="preserve"> </w:t>
      </w:r>
      <w:r>
        <w:t xml:space="preserve">– </w:t>
      </w:r>
      <w:r w:rsidRPr="002448D4">
        <w:t xml:space="preserve">does not constitute a remedy that </w:t>
      </w:r>
      <w:r>
        <w:t>must</w:t>
      </w:r>
      <w:r w:rsidRPr="002448D4">
        <w:t xml:space="preserve"> be exhausted for the purposes of article 5</w:t>
      </w:r>
      <w:r w:rsidR="00A67AAD">
        <w:t xml:space="preserve"> </w:t>
      </w:r>
      <w:r w:rsidRPr="002448D4">
        <w:t>(2)</w:t>
      </w:r>
      <w:r w:rsidR="00A67AAD">
        <w:t xml:space="preserve"> </w:t>
      </w:r>
      <w:r w:rsidRPr="002448D4">
        <w:t>(b) of the Optional Protocol.</w:t>
      </w:r>
      <w:r w:rsidRPr="00A67AAD">
        <w:rPr>
          <w:rStyle w:val="FootnoteReference"/>
        </w:rPr>
        <w:footnoteReference w:id="9"/>
      </w:r>
      <w:r w:rsidRPr="00AE3A22">
        <w:rPr>
          <w:rStyle w:val="FootnoteReference"/>
          <w:vertAlign w:val="baseline"/>
        </w:rPr>
        <w:t xml:space="preserve"> </w:t>
      </w:r>
      <w:r w:rsidRPr="002448D4">
        <w:t xml:space="preserve">In the present case, the Committee </w:t>
      </w:r>
      <w:r>
        <w:t xml:space="preserve">notes </w:t>
      </w:r>
      <w:r w:rsidRPr="002448D4">
        <w:t>the State party</w:t>
      </w:r>
      <w:r w:rsidR="00A67AAD">
        <w:t>’</w:t>
      </w:r>
      <w:r w:rsidRPr="002448D4">
        <w:t xml:space="preserve">s </w:t>
      </w:r>
      <w:r>
        <w:t xml:space="preserve">reference to two cases in which requests </w:t>
      </w:r>
      <w:r w:rsidRPr="002448D4">
        <w:t xml:space="preserve">to the Office </w:t>
      </w:r>
      <w:r>
        <w:t xml:space="preserve">of the </w:t>
      </w:r>
      <w:r w:rsidRPr="002448D4">
        <w:t>Prosecutor</w:t>
      </w:r>
      <w:r>
        <w:t xml:space="preserve"> </w:t>
      </w:r>
      <w:r w:rsidRPr="002448D4">
        <w:t xml:space="preserve">General resulted in </w:t>
      </w:r>
      <w:r>
        <w:t>a</w:t>
      </w:r>
      <w:r w:rsidRPr="002448D4">
        <w:t xml:space="preserve"> </w:t>
      </w:r>
      <w:r>
        <w:t>reversal of the lower courts</w:t>
      </w:r>
      <w:r w:rsidR="00A67AAD">
        <w:t>’</w:t>
      </w:r>
      <w:r>
        <w:t xml:space="preserve"> decisions</w:t>
      </w:r>
      <w:r w:rsidRPr="002448D4">
        <w:t xml:space="preserve">. The Committee </w:t>
      </w:r>
      <w:r>
        <w:t xml:space="preserve">also </w:t>
      </w:r>
      <w:r w:rsidRPr="002448D4">
        <w:t>note</w:t>
      </w:r>
      <w:r>
        <w:t xml:space="preserve">s </w:t>
      </w:r>
      <w:r w:rsidRPr="002448D4">
        <w:t>the author</w:t>
      </w:r>
      <w:r w:rsidR="00A67AAD">
        <w:t>’</w:t>
      </w:r>
      <w:r w:rsidRPr="002448D4">
        <w:t>s claim that</w:t>
      </w:r>
      <w:r>
        <w:t>,</w:t>
      </w:r>
      <w:r w:rsidRPr="002448D4">
        <w:t xml:space="preserve"> on </w:t>
      </w:r>
      <w:r>
        <w:t>5 May 2014</w:t>
      </w:r>
      <w:r w:rsidRPr="002448D4">
        <w:t xml:space="preserve">, he petitioned the Office of the Prosecutor General for </w:t>
      </w:r>
      <w:r>
        <w:t xml:space="preserve">a </w:t>
      </w:r>
      <w:r w:rsidRPr="002448D4">
        <w:t>supervisory review of his administrative case</w:t>
      </w:r>
      <w:r>
        <w:t>, but that his</w:t>
      </w:r>
      <w:r w:rsidRPr="002448D4">
        <w:t xml:space="preserve"> request was denied</w:t>
      </w:r>
      <w:r>
        <w:t xml:space="preserve"> </w:t>
      </w:r>
      <w:r w:rsidRPr="002448D4">
        <w:t xml:space="preserve">by </w:t>
      </w:r>
      <w:r>
        <w:t>the</w:t>
      </w:r>
      <w:r w:rsidRPr="002448D4">
        <w:t xml:space="preserve"> Deputy Prosecutor General on </w:t>
      </w:r>
      <w:r>
        <w:t>14 July 2014</w:t>
      </w:r>
      <w:r w:rsidRPr="002448D4">
        <w:t>. Accordingly, the Committee finds that it is not precluded by article 5 (2) (b) of the Optional Protocol</w:t>
      </w:r>
      <w:r>
        <w:t xml:space="preserve"> </w:t>
      </w:r>
      <w:r w:rsidRPr="002448D4">
        <w:t>from examining the present communication.</w:t>
      </w:r>
    </w:p>
    <w:p w14:paraId="7E6A1E3B" w14:textId="4D1FB15F" w:rsidR="008C6396" w:rsidRPr="00AD05AC" w:rsidRDefault="008C6396" w:rsidP="008C6396">
      <w:pPr>
        <w:pStyle w:val="SingleTxtG"/>
      </w:pPr>
      <w:r>
        <w:t>6.5</w:t>
      </w:r>
      <w:r>
        <w:tab/>
      </w:r>
      <w:r w:rsidRPr="00976EFF">
        <w:t>The Committee</w:t>
      </w:r>
      <w:r w:rsidRPr="0021341F">
        <w:t xml:space="preserve"> notes the author</w:t>
      </w:r>
      <w:r w:rsidR="00A67AAD">
        <w:t>’</w:t>
      </w:r>
      <w:r w:rsidRPr="0021341F">
        <w:t>s claim that the State party violated his rights under article 14</w:t>
      </w:r>
      <w:r>
        <w:t xml:space="preserve"> (3) (b</w:t>
      </w:r>
      <w:r w:rsidRPr="0021341F">
        <w:t>) of the Covenant</w:t>
      </w:r>
      <w:r>
        <w:t xml:space="preserve"> because he was not granted prompt access to counsel after his arrest</w:t>
      </w:r>
      <w:r w:rsidRPr="0021341F">
        <w:t>.</w:t>
      </w:r>
      <w:r>
        <w:t xml:space="preserve"> However, there is no evidence in the file that the author has raised this claim in domestic proceedings. </w:t>
      </w:r>
      <w:r w:rsidRPr="00AB1857">
        <w:t xml:space="preserve">In the absence of any other information or explanation of pertinence on file, the Committee considers that the author has not exhausted all available domestic remedies concerning his claim under article </w:t>
      </w:r>
      <w:r w:rsidRPr="0021341F">
        <w:t>14</w:t>
      </w:r>
      <w:r>
        <w:t xml:space="preserve"> (3) (b)</w:t>
      </w:r>
      <w:r w:rsidRPr="00AB1857">
        <w:t xml:space="preserve"> of the Covenant and finds </w:t>
      </w:r>
      <w:r>
        <w:t>it</w:t>
      </w:r>
      <w:r w:rsidRPr="00AB1857">
        <w:t xml:space="preserve"> inadmissible under article 5 (2) (b) of the Optional Protocol.</w:t>
      </w:r>
    </w:p>
    <w:p w14:paraId="4816A642" w14:textId="77777777" w:rsidR="008C6396" w:rsidRDefault="008C6396" w:rsidP="008C6396">
      <w:pPr>
        <w:pStyle w:val="SingleTxtG"/>
      </w:pPr>
      <w:r>
        <w:t>6.6</w:t>
      </w:r>
      <w:r>
        <w:tab/>
      </w:r>
      <w:r w:rsidRPr="00DE23D1">
        <w:t xml:space="preserve">The Committee </w:t>
      </w:r>
      <w:r>
        <w:t>considers that</w:t>
      </w:r>
      <w:r w:rsidRPr="00DE23D1">
        <w:t xml:space="preserve"> the author has sufficiently substantiated, for the purposes of admissibility, h</w:t>
      </w:r>
      <w:r>
        <w:t>is</w:t>
      </w:r>
      <w:r w:rsidRPr="00DE23D1">
        <w:t xml:space="preserve"> </w:t>
      </w:r>
      <w:r>
        <w:t>claims</w:t>
      </w:r>
      <w:r w:rsidRPr="00DE23D1">
        <w:t xml:space="preserve"> under article</w:t>
      </w:r>
      <w:r>
        <w:t xml:space="preserve"> </w:t>
      </w:r>
      <w:r w:rsidRPr="001D5093">
        <w:t xml:space="preserve">19 </w:t>
      </w:r>
      <w:r>
        <w:t>(</w:t>
      </w:r>
      <w:r w:rsidRPr="001D5093">
        <w:t>2</w:t>
      </w:r>
      <w:r>
        <w:t>)</w:t>
      </w:r>
      <w:r w:rsidRPr="001D5093">
        <w:t xml:space="preserve"> of the </w:t>
      </w:r>
      <w:r>
        <w:t>Covenant</w:t>
      </w:r>
      <w:r w:rsidRPr="00DE23D1">
        <w:t>. The Committee therefore declares them admissible and proceeds with its consideration of the merits</w:t>
      </w:r>
      <w:r>
        <w:t>.</w:t>
      </w:r>
    </w:p>
    <w:p w14:paraId="27F51050" w14:textId="77777777" w:rsidR="008C6396" w:rsidRDefault="008C6396" w:rsidP="008C6396">
      <w:pPr>
        <w:pStyle w:val="H4G"/>
      </w:pPr>
      <w:r>
        <w:tab/>
      </w:r>
      <w:r>
        <w:tab/>
        <w:t>Consideration of the merits</w:t>
      </w:r>
    </w:p>
    <w:p w14:paraId="7F7F9AD6" w14:textId="77777777" w:rsidR="008C6396" w:rsidRDefault="008C6396" w:rsidP="008C6396">
      <w:pPr>
        <w:pStyle w:val="SingleTxtG"/>
      </w:pPr>
      <w:r>
        <w:t>7.1</w:t>
      </w:r>
      <w:r>
        <w:tab/>
        <w:t>The Committee has considered the communication in the light of all the information submitted to it by the parties, in accordance with article 5 (1) of the Optional Protocol.</w:t>
      </w:r>
    </w:p>
    <w:p w14:paraId="5D63F269" w14:textId="5F6037BF" w:rsidR="008C6396" w:rsidRDefault="008C6396" w:rsidP="008C6396">
      <w:pPr>
        <w:pStyle w:val="SingleTxtG"/>
      </w:pPr>
      <w:bookmarkStart w:id="0" w:name="_Hlk90790542"/>
      <w:r>
        <w:t>7.2</w:t>
      </w:r>
      <w:r>
        <w:tab/>
      </w:r>
      <w:r w:rsidRPr="002B148B">
        <w:t>The Committee notes the author</w:t>
      </w:r>
      <w:r w:rsidR="00A67AAD">
        <w:t>’</w:t>
      </w:r>
      <w:r w:rsidRPr="002B148B">
        <w:t xml:space="preserve">s claim that </w:t>
      </w:r>
      <w:r w:rsidRPr="00FC59FB">
        <w:t xml:space="preserve">he was sentenced to </w:t>
      </w:r>
      <w:r>
        <w:t>15</w:t>
      </w:r>
      <w:r w:rsidRPr="00FC59FB">
        <w:t xml:space="preserve"> days of administrative arrest </w:t>
      </w:r>
      <w:r>
        <w:t>to prevent him from</w:t>
      </w:r>
      <w:r w:rsidRPr="00FC59FB">
        <w:t xml:space="preserve"> perform</w:t>
      </w:r>
      <w:r>
        <w:t>ing</w:t>
      </w:r>
      <w:r w:rsidRPr="00FC59FB">
        <w:t xml:space="preserve"> his work as a journalist</w:t>
      </w:r>
      <w:r>
        <w:t xml:space="preserve"> and attending a public meeting with the Almaty </w:t>
      </w:r>
      <w:r w:rsidRPr="009B63E8">
        <w:rPr>
          <w:i/>
        </w:rPr>
        <w:t>akim</w:t>
      </w:r>
      <w:r>
        <w:t xml:space="preserve"> on 20 February 2014 at 10 a.m</w:t>
      </w:r>
      <w:r w:rsidRPr="00FC59FB">
        <w:t>.</w:t>
      </w:r>
      <w:r>
        <w:t xml:space="preserve"> According to the author, at 7.30 a.m., he was initially served with</w:t>
      </w:r>
      <w:r w:rsidRPr="00CD15EE">
        <w:t xml:space="preserve"> a summons to a</w:t>
      </w:r>
      <w:r>
        <w:t xml:space="preserve">ppear at the Zhetysus District Police Department at 8.30 a.m. to answer some questions about a complaint received by the police, but after he explained to the police officers that, as a journalist, he needed to attend an important public meeting with the </w:t>
      </w:r>
      <w:r w:rsidRPr="001004F9">
        <w:rPr>
          <w:i/>
          <w:iCs/>
        </w:rPr>
        <w:t>akim</w:t>
      </w:r>
      <w:r>
        <w:t xml:space="preserve"> at 10 a.m., they adjusted the hour to 4.30 p.m. However, as soon as he left his apartment, at 9.30 a.m., to attend the meeting, he was detained by four police officers who were waiting for him outside his home.</w:t>
      </w:r>
    </w:p>
    <w:p w14:paraId="5E578AEC" w14:textId="15D82005" w:rsidR="008C6396" w:rsidRDefault="008C6396" w:rsidP="008C6396">
      <w:pPr>
        <w:pStyle w:val="SingleTxtG"/>
      </w:pPr>
      <w:r>
        <w:lastRenderedPageBreak/>
        <w:t>7.3</w:t>
      </w:r>
      <w:r>
        <w:tab/>
        <w:t>The Committee observes that, while the State party asserts that the author was not able to provide the court or the Committee with evidence that he had been served with a summons for a later time, it does not refute the author</w:t>
      </w:r>
      <w:r w:rsidR="00A67AAD">
        <w:t>’</w:t>
      </w:r>
      <w:r>
        <w:t>s claim that two police officers visited him at 7.30 a.m. on the day of his arrest to serve him with a summons. Furthermore, the State party does not refute the author</w:t>
      </w:r>
      <w:r w:rsidR="00A67AAD">
        <w:t>’</w:t>
      </w:r>
      <w:r>
        <w:t xml:space="preserve">s claim that he was on his way to attend an important public meeting as a journalist with the Almaty </w:t>
      </w:r>
      <w:r w:rsidRPr="005915E7">
        <w:rPr>
          <w:i/>
        </w:rPr>
        <w:t>akim</w:t>
      </w:r>
      <w:r>
        <w:t xml:space="preserve"> when he was arrested, which raises issues under article 19 (2) of the Covenant</w:t>
      </w:r>
    </w:p>
    <w:p w14:paraId="5F796556" w14:textId="1C24E6E3" w:rsidR="008C6396" w:rsidRPr="00AE3A22" w:rsidRDefault="008C6396" w:rsidP="008C6396">
      <w:pPr>
        <w:pStyle w:val="SingleTxtG"/>
        <w:rPr>
          <w:rStyle w:val="FootnoteReference"/>
          <w:vertAlign w:val="baseline"/>
        </w:rPr>
      </w:pPr>
      <w:r>
        <w:t>7.4</w:t>
      </w:r>
      <w:r>
        <w:tab/>
        <w:t>The Committee takes note of the State party</w:t>
      </w:r>
      <w:r w:rsidR="00A67AAD">
        <w:t>’</w:t>
      </w:r>
      <w:r>
        <w:t xml:space="preserve">s submission that the author was sanctioned not for trying to attend a public meeting as a journalist but for </w:t>
      </w:r>
      <w:r>
        <w:rPr>
          <w:lang w:val="en-US"/>
        </w:rPr>
        <w:t xml:space="preserve">refusing to obey lawful police orders. </w:t>
      </w:r>
      <w:r>
        <w:t xml:space="preserve">Nevertheless, </w:t>
      </w:r>
      <w:r w:rsidRPr="0072520D">
        <w:t xml:space="preserve">the </w:t>
      </w:r>
      <w:r>
        <w:t>described</w:t>
      </w:r>
      <w:r w:rsidRPr="0072520D">
        <w:t xml:space="preserve"> </w:t>
      </w:r>
      <w:r>
        <w:t xml:space="preserve">sequence of events and </w:t>
      </w:r>
      <w:r w:rsidRPr="0072520D">
        <w:t>action</w:t>
      </w:r>
      <w:r>
        <w:t>s</w:t>
      </w:r>
      <w:r w:rsidRPr="0072520D">
        <w:t xml:space="preserve"> of the authorities</w:t>
      </w:r>
      <w:r>
        <w:t xml:space="preserve"> against the author</w:t>
      </w:r>
      <w:r w:rsidRPr="0072520D">
        <w:t xml:space="preserve">, </w:t>
      </w:r>
      <w:r>
        <w:rPr>
          <w:lang w:val="en-US"/>
        </w:rPr>
        <w:t xml:space="preserve">namely, first adjusting the time on the summons from 8.30 a.m. to 4.30 p.m. (para. 2.2 above) and then arresting the author at 9.30 a.m., despite him carrying a press identification card and stating that he was a journalist heading to a public meeting with the city </w:t>
      </w:r>
      <w:r w:rsidRPr="00066301">
        <w:rPr>
          <w:i/>
          <w:lang w:val="en-US"/>
        </w:rPr>
        <w:t>akim</w:t>
      </w:r>
      <w:r>
        <w:rPr>
          <w:lang w:val="en-US"/>
        </w:rPr>
        <w:t xml:space="preserve"> (paras. 2.3 and 5.1 above) without providing any reason that would justify the urgency of sending four police officers to bring in the author in order to question him about an alleged complaint that had been received only one day earlier</w:t>
      </w:r>
      <w:r w:rsidRPr="0072520D">
        <w:t xml:space="preserve">, amounts to a </w:t>
      </w:r>
      <w:r w:rsidRPr="00863EA5">
        <w:t>de facto</w:t>
      </w:r>
      <w:r w:rsidRPr="0072520D">
        <w:t xml:space="preserve"> </w:t>
      </w:r>
      <w:r>
        <w:t>restriction</w:t>
      </w:r>
      <w:r w:rsidRPr="0072520D">
        <w:t xml:space="preserve"> of the au</w:t>
      </w:r>
      <w:r>
        <w:t>thor</w:t>
      </w:r>
      <w:r w:rsidR="00A67AAD">
        <w:t>’</w:t>
      </w:r>
      <w:r>
        <w:t>s rights under article 19 (2)</w:t>
      </w:r>
      <w:r w:rsidRPr="0072520D">
        <w:t xml:space="preserve"> of the Covenant.</w:t>
      </w:r>
      <w:r>
        <w:t xml:space="preserve"> </w:t>
      </w:r>
      <w:r w:rsidRPr="00110297">
        <w:t xml:space="preserve">The Committee </w:t>
      </w:r>
      <w:r>
        <w:t xml:space="preserve">now </w:t>
      </w:r>
      <w:r w:rsidRPr="00110297">
        <w:t>has to consider whether the restrictions imposed on the author</w:t>
      </w:r>
      <w:r w:rsidR="00A67AAD">
        <w:t>’</w:t>
      </w:r>
      <w:r w:rsidRPr="00110297">
        <w:t xml:space="preserve">s freedom </w:t>
      </w:r>
      <w:r>
        <w:t>of expression</w:t>
      </w:r>
      <w:r w:rsidRPr="00110297">
        <w:t xml:space="preserve"> are justified under any of the criteria set out in article 19 (3) of the Covenant. The Committee recalls</w:t>
      </w:r>
      <w:r>
        <w:t>,</w:t>
      </w:r>
      <w:r w:rsidRPr="00110297">
        <w:t xml:space="preserve"> in this respect</w:t>
      </w:r>
      <w:r>
        <w:t>,</w:t>
      </w:r>
      <w:r w:rsidRPr="00110297">
        <w:t xml:space="preserve"> its </w:t>
      </w:r>
      <w:r>
        <w:t>general comment N</w:t>
      </w:r>
      <w:r w:rsidRPr="00110297">
        <w:t>o. 34</w:t>
      </w:r>
      <w:r>
        <w:t xml:space="preserve"> (2011)</w:t>
      </w:r>
      <w:r w:rsidRPr="00110297">
        <w:t xml:space="preserve">, in which it stated, </w:t>
      </w:r>
      <w:r w:rsidRPr="00863EA5">
        <w:rPr>
          <w:iCs/>
        </w:rPr>
        <w:t>inter alia</w:t>
      </w:r>
      <w:r w:rsidRPr="00110297">
        <w:t xml:space="preserve">, that freedom of expression is </w:t>
      </w:r>
      <w:r>
        <w:t>indispensable</w:t>
      </w:r>
      <w:r w:rsidRPr="00110297">
        <w:t xml:space="preserve"> for any society and </w:t>
      </w:r>
      <w:r>
        <w:t>the</w:t>
      </w:r>
      <w:r w:rsidRPr="00110297">
        <w:t xml:space="preserve"> foundation stone for every free and democratic society.</w:t>
      </w:r>
      <w:r w:rsidRPr="00A67AAD">
        <w:rPr>
          <w:rStyle w:val="FootnoteReference"/>
        </w:rPr>
        <w:footnoteReference w:id="10"/>
      </w:r>
      <w:r w:rsidRPr="00AE3A22">
        <w:rPr>
          <w:rStyle w:val="FootnoteReference"/>
          <w:vertAlign w:val="baseline"/>
        </w:rPr>
        <w:t xml:space="preserve"> </w:t>
      </w:r>
      <w:r w:rsidRPr="00110297">
        <w:t>It notes that article 19</w:t>
      </w:r>
      <w:r>
        <w:t xml:space="preserve"> (</w:t>
      </w:r>
      <w:r w:rsidRPr="00110297">
        <w:t>3</w:t>
      </w:r>
      <w:r>
        <w:t>)</w:t>
      </w:r>
      <w:r w:rsidRPr="00110297">
        <w:t xml:space="preserve"> of the Covenant allows restrictions on the freedom of expression, including the freedom to impart information and ideas, only to the extent that they are provided by law and only if they are necessary for respect of the rights </w:t>
      </w:r>
      <w:r>
        <w:t xml:space="preserve">or </w:t>
      </w:r>
      <w:r w:rsidRPr="00110297">
        <w:t>reputation</w:t>
      </w:r>
      <w:r>
        <w:t>s</w:t>
      </w:r>
      <w:r w:rsidRPr="00110297">
        <w:t xml:space="preserve"> of others or for the protection of national security or </w:t>
      </w:r>
      <w:r>
        <w:t xml:space="preserve">of </w:t>
      </w:r>
      <w:r w:rsidRPr="00110297">
        <w:t>public order or of public health or morals. Finally, any restriction on the freedom of expression must not be overbroad in nature</w:t>
      </w:r>
      <w:r>
        <w:t>;</w:t>
      </w:r>
      <w:r w:rsidRPr="00110297">
        <w:t xml:space="preserve"> that is, it must be the least intrusive among the measures that might achieve the relevant protective function and proportionate to t</w:t>
      </w:r>
      <w:r>
        <w:t xml:space="preserve">he interest whose protection is </w:t>
      </w:r>
      <w:r w:rsidRPr="00110297">
        <w:t>sought.</w:t>
      </w:r>
      <w:r w:rsidRPr="00A67AAD">
        <w:rPr>
          <w:rStyle w:val="FootnoteReference"/>
        </w:rPr>
        <w:footnoteReference w:id="11"/>
      </w:r>
    </w:p>
    <w:p w14:paraId="4F3179C5" w14:textId="6FCE4AA2" w:rsidR="008C6396" w:rsidRDefault="008C6396" w:rsidP="008C6396">
      <w:pPr>
        <w:pStyle w:val="SingleTxtG"/>
      </w:pPr>
      <w:r>
        <w:t>7.5</w:t>
      </w:r>
      <w:r>
        <w:tab/>
        <w:t>In the absence of the State party</w:t>
      </w:r>
      <w:r w:rsidR="00A67AAD">
        <w:t>’</w:t>
      </w:r>
      <w:r>
        <w:t xml:space="preserve">s explanations as to how </w:t>
      </w:r>
      <w:r w:rsidRPr="005B50AE">
        <w:t>the</w:t>
      </w:r>
      <w:r>
        <w:t xml:space="preserve"> imposed</w:t>
      </w:r>
      <w:r w:rsidRPr="005B50AE">
        <w:t xml:space="preserve"> </w:t>
      </w:r>
      <w:r>
        <w:t xml:space="preserve">restriction </w:t>
      </w:r>
      <w:r w:rsidRPr="005B50AE">
        <w:t xml:space="preserve">represented a proportionate measure necessary to serve a legitimate purpose identified in article </w:t>
      </w:r>
      <w:r>
        <w:t>19 (3)</w:t>
      </w:r>
      <w:r w:rsidRPr="005B50AE">
        <w:t xml:space="preserve"> of the Covenant</w:t>
      </w:r>
      <w:r>
        <w:t>, t</w:t>
      </w:r>
      <w:r w:rsidRPr="005B50AE">
        <w:t xml:space="preserve">he Committee </w:t>
      </w:r>
      <w:r>
        <w:t>considers</w:t>
      </w:r>
      <w:r w:rsidRPr="005B50AE">
        <w:t xml:space="preserve"> that the </w:t>
      </w:r>
      <w:r>
        <w:t>restriction</w:t>
      </w:r>
      <w:r w:rsidRPr="005B50AE">
        <w:t xml:space="preserve"> of </w:t>
      </w:r>
      <w:r>
        <w:t>the author</w:t>
      </w:r>
      <w:r w:rsidR="00A67AAD">
        <w:t>’</w:t>
      </w:r>
      <w:r>
        <w:t>s</w:t>
      </w:r>
      <w:r w:rsidRPr="005B50AE">
        <w:t xml:space="preserve"> right to </w:t>
      </w:r>
      <w:r>
        <w:t>freedom of expression</w:t>
      </w:r>
      <w:r w:rsidRPr="005B50AE">
        <w:t xml:space="preserve"> </w:t>
      </w:r>
      <w:r>
        <w:t xml:space="preserve">constituted a violation </w:t>
      </w:r>
      <w:r w:rsidRPr="005B50AE">
        <w:t>under article</w:t>
      </w:r>
      <w:r>
        <w:t xml:space="preserve"> </w:t>
      </w:r>
      <w:r w:rsidRPr="005B50AE">
        <w:t>1</w:t>
      </w:r>
      <w:r>
        <w:t>9</w:t>
      </w:r>
      <w:r w:rsidRPr="005B50AE">
        <w:t xml:space="preserve"> (</w:t>
      </w:r>
      <w:r>
        <w:t>2</w:t>
      </w:r>
      <w:r w:rsidRPr="005B50AE">
        <w:t>) of the Covenant</w:t>
      </w:r>
      <w:r>
        <w:t>.</w:t>
      </w:r>
      <w:r w:rsidRPr="005B50AE">
        <w:t xml:space="preserve"> Accordingly, the Committee concludes that by </w:t>
      </w:r>
      <w:r>
        <w:t>detaining and sentencing the author to 15 days of administrative arrest</w:t>
      </w:r>
      <w:r w:rsidRPr="005B50AE">
        <w:t xml:space="preserve">, the State party violated </w:t>
      </w:r>
      <w:r>
        <w:t>his</w:t>
      </w:r>
      <w:r w:rsidRPr="005B50AE">
        <w:t xml:space="preserve"> rights under article </w:t>
      </w:r>
      <w:r>
        <w:t>19 (2</w:t>
      </w:r>
      <w:r w:rsidRPr="005B50AE">
        <w:t>) of the Covenant.</w:t>
      </w:r>
      <w:bookmarkEnd w:id="0"/>
    </w:p>
    <w:p w14:paraId="38195920" w14:textId="77777777" w:rsidR="008C6396" w:rsidRDefault="008C6396" w:rsidP="008C6396">
      <w:pPr>
        <w:pStyle w:val="SingleTxtG"/>
        <w:rPr>
          <w:lang w:eastAsia="en-US"/>
        </w:rPr>
      </w:pPr>
      <w:r>
        <w:t>8.</w:t>
      </w:r>
      <w:r>
        <w:tab/>
        <w:t>The Committee, acting under article 5 (4) of the Optional Protocol, is of the view that the information before it discloses a violation by the State party of article 19 (2) of the Covenant.</w:t>
      </w:r>
    </w:p>
    <w:p w14:paraId="3F7D034E" w14:textId="77777777" w:rsidR="008C6396" w:rsidRDefault="008C6396" w:rsidP="008C6396">
      <w:pPr>
        <w:pStyle w:val="SingleTxtG"/>
      </w:pPr>
      <w:r>
        <w:t>9.</w:t>
      </w:r>
      <w:r>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to, inter alia, </w:t>
      </w:r>
      <w:r w:rsidRPr="00924745">
        <w:rPr>
          <w:color w:val="000000"/>
        </w:rPr>
        <w:t>take appropriate steps to</w:t>
      </w:r>
      <w:r>
        <w:t xml:space="preserve"> provide the author with adequate compensation. The State party is also under an obligation to take all steps necessary to prevent similar violations from occurring in the future, </w:t>
      </w:r>
      <w:r w:rsidRPr="005B50AE">
        <w:t>including by reviewing its domestic legislation, regulations and/or practices with a view to ensuring that the rights under the Covenant may be fully enjoyed in the State party</w:t>
      </w:r>
      <w:r>
        <w:t>.</w:t>
      </w:r>
    </w:p>
    <w:p w14:paraId="39F4A9A4" w14:textId="56E9635D" w:rsidR="008C6396" w:rsidRDefault="008C6396" w:rsidP="008C6396">
      <w:pPr>
        <w:pStyle w:val="SingleTxtG"/>
      </w:pPr>
      <w:r>
        <w:t>10.</w:t>
      </w:r>
      <w: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w:t>
      </w:r>
      <w:r>
        <w:lastRenderedPageBreak/>
        <w:t>Committee</w:t>
      </w:r>
      <w:r w:rsidR="00A67AAD">
        <w:t>’</w:t>
      </w:r>
      <w:r>
        <w:t xml:space="preserve">s Views. The State party is also requested to publish the present Views and </w:t>
      </w:r>
      <w:r>
        <w:rPr>
          <w:lang w:val="en-US"/>
        </w:rPr>
        <w:t>to have them widely disseminated in the official languages of the State party</w:t>
      </w:r>
      <w:r>
        <w:t>.</w:t>
      </w:r>
    </w:p>
    <w:p w14:paraId="5BF5C513" w14:textId="5288D1C9" w:rsidR="00A23459" w:rsidRPr="00A23459" w:rsidRDefault="008C6396" w:rsidP="008C6396">
      <w:pPr>
        <w:pStyle w:val="SingleTxtG"/>
        <w:spacing w:before="240" w:after="0"/>
        <w:jc w:val="center"/>
        <w:rPr>
          <w:rFonts w:eastAsiaTheme="minorEastAsia"/>
        </w:rPr>
      </w:pPr>
      <w:r w:rsidRPr="006247DA">
        <w:rPr>
          <w:u w:val="single"/>
        </w:rPr>
        <w:tab/>
      </w:r>
      <w:r>
        <w:rPr>
          <w:u w:val="single"/>
        </w:rPr>
        <w:tab/>
      </w:r>
      <w:r w:rsidRPr="006247DA">
        <w:rPr>
          <w:u w:val="single"/>
        </w:rPr>
        <w:tab/>
      </w:r>
      <w:r w:rsidRPr="006247DA">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8A29" w14:textId="77777777" w:rsidR="00F51B76" w:rsidRPr="00B903E5" w:rsidRDefault="00F51B76" w:rsidP="00B903E5">
      <w:pPr>
        <w:pStyle w:val="Footer"/>
      </w:pPr>
    </w:p>
  </w:endnote>
  <w:endnote w:type="continuationSeparator" w:id="0">
    <w:p w14:paraId="150929ED" w14:textId="77777777" w:rsidR="00F51B76" w:rsidRPr="00B903E5" w:rsidRDefault="00F51B7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96A3" w14:textId="165E89AB" w:rsidR="00F86CCC" w:rsidRDefault="00F86CCC" w:rsidP="002E488C">
    <w:pPr>
      <w:pStyle w:val="Footer"/>
      <w:tabs>
        <w:tab w:val="right" w:pos="9638"/>
      </w:tabs>
    </w:pPr>
    <w:r w:rsidRPr="00F86CCC">
      <w:rPr>
        <w:b/>
        <w:bCs/>
        <w:sz w:val="18"/>
      </w:rPr>
      <w:fldChar w:fldCharType="begin"/>
    </w:r>
    <w:r w:rsidRPr="00F86CCC">
      <w:rPr>
        <w:b/>
        <w:bCs/>
        <w:sz w:val="18"/>
      </w:rPr>
      <w:instrText xml:space="preserve"> PAGE  \* MERGEFORMAT </w:instrText>
    </w:r>
    <w:r w:rsidRPr="00F86CCC">
      <w:rPr>
        <w:b/>
        <w:bCs/>
        <w:sz w:val="18"/>
      </w:rPr>
      <w:fldChar w:fldCharType="separate"/>
    </w:r>
    <w:r w:rsidR="00062AF2">
      <w:rPr>
        <w:b/>
        <w:bCs/>
        <w:noProof/>
        <w:sz w:val="18"/>
      </w:rPr>
      <w:t>6</w:t>
    </w:r>
    <w:r w:rsidRPr="00F86CC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7561" w14:textId="3D6C987A" w:rsidR="00F86CCC" w:rsidRDefault="00F86CCC" w:rsidP="00F86CCC">
    <w:pPr>
      <w:pStyle w:val="Footer"/>
      <w:tabs>
        <w:tab w:val="right" w:pos="9638"/>
      </w:tabs>
    </w:pPr>
    <w:r>
      <w:tab/>
    </w:r>
    <w:r w:rsidRPr="00F86CCC">
      <w:rPr>
        <w:b/>
        <w:bCs/>
        <w:sz w:val="18"/>
      </w:rPr>
      <w:fldChar w:fldCharType="begin"/>
    </w:r>
    <w:r w:rsidRPr="00F86CCC">
      <w:rPr>
        <w:b/>
        <w:bCs/>
        <w:sz w:val="18"/>
      </w:rPr>
      <w:instrText xml:space="preserve"> PAGE  \* MERGEFORMAT </w:instrText>
    </w:r>
    <w:r w:rsidRPr="00F86CCC">
      <w:rPr>
        <w:b/>
        <w:bCs/>
        <w:sz w:val="18"/>
      </w:rPr>
      <w:fldChar w:fldCharType="separate"/>
    </w:r>
    <w:r w:rsidR="00062AF2">
      <w:rPr>
        <w:b/>
        <w:bCs/>
        <w:noProof/>
        <w:sz w:val="18"/>
      </w:rPr>
      <w:t>7</w:t>
    </w:r>
    <w:r w:rsidRPr="00F86C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76FD" w14:textId="19BB8C7A" w:rsidR="005E1623" w:rsidRDefault="005E1623" w:rsidP="005E1623">
    <w:pPr>
      <w:pStyle w:val="Footer"/>
    </w:pPr>
    <w:r w:rsidRPr="0027112F">
      <w:rPr>
        <w:noProof/>
        <w:lang w:val="en-US"/>
      </w:rPr>
      <w:drawing>
        <wp:anchor distT="0" distB="0" distL="114300" distR="114300" simplePos="0" relativeHeight="251659264" behindDoc="0" locked="1" layoutInCell="1" allowOverlap="1" wp14:anchorId="21F5FBBD" wp14:editId="74C737F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08D433" w14:textId="45DF42A7" w:rsidR="005E1623" w:rsidRPr="005E1623" w:rsidRDefault="005E1623" w:rsidP="005E1623">
    <w:pPr>
      <w:pStyle w:val="Footer"/>
      <w:ind w:right="1134"/>
      <w:rPr>
        <w:sz w:val="20"/>
      </w:rPr>
    </w:pPr>
    <w:r>
      <w:rPr>
        <w:sz w:val="20"/>
      </w:rPr>
      <w:t>GE.22-26172(E)</w:t>
    </w:r>
    <w:r>
      <w:rPr>
        <w:noProof/>
        <w:sz w:val="20"/>
      </w:rPr>
      <w:drawing>
        <wp:anchor distT="0" distB="0" distL="114300" distR="114300" simplePos="0" relativeHeight="251660288" behindDoc="0" locked="0" layoutInCell="1" allowOverlap="1" wp14:anchorId="631E7C77" wp14:editId="0C94362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CA9D" w14:textId="77777777" w:rsidR="00F51B76" w:rsidRPr="00B903E5" w:rsidRDefault="00F51B76" w:rsidP="00B903E5">
      <w:pPr>
        <w:tabs>
          <w:tab w:val="right" w:pos="2155"/>
        </w:tabs>
        <w:spacing w:after="80" w:line="240" w:lineRule="auto"/>
        <w:ind w:left="680"/>
      </w:pPr>
      <w:r>
        <w:rPr>
          <w:u w:val="single"/>
        </w:rPr>
        <w:tab/>
      </w:r>
    </w:p>
  </w:footnote>
  <w:footnote w:type="continuationSeparator" w:id="0">
    <w:p w14:paraId="73315FBE" w14:textId="77777777" w:rsidR="00F51B76" w:rsidRPr="00B903E5" w:rsidRDefault="00F51B76" w:rsidP="00B903E5">
      <w:pPr>
        <w:tabs>
          <w:tab w:val="right" w:pos="2155"/>
        </w:tabs>
        <w:spacing w:after="80" w:line="240" w:lineRule="auto"/>
        <w:ind w:left="680"/>
      </w:pPr>
      <w:r>
        <w:rPr>
          <w:u w:val="single"/>
        </w:rPr>
        <w:tab/>
      </w:r>
    </w:p>
  </w:footnote>
  <w:footnote w:id="1">
    <w:p w14:paraId="408D0FDA" w14:textId="77777777" w:rsidR="008C6396" w:rsidRPr="00D43B04" w:rsidRDefault="008C6396" w:rsidP="008C6396">
      <w:pPr>
        <w:pStyle w:val="FootnoteText"/>
      </w:pPr>
      <w:r>
        <w:tab/>
      </w:r>
      <w:r w:rsidRPr="00D43B04">
        <w:rPr>
          <w:sz w:val="20"/>
        </w:rPr>
        <w:t>*</w:t>
      </w:r>
      <w:r>
        <w:rPr>
          <w:sz w:val="20"/>
        </w:rPr>
        <w:tab/>
      </w:r>
      <w:r w:rsidRPr="006F5CD5">
        <w:t>Adopted by the Committee at its 13</w:t>
      </w:r>
      <w:r>
        <w:t>5</w:t>
      </w:r>
      <w:r w:rsidRPr="00E421FD">
        <w:t xml:space="preserve">th </w:t>
      </w:r>
      <w:r w:rsidRPr="006F5CD5">
        <w:t>session (</w:t>
      </w:r>
      <w:r>
        <w:t>27</w:t>
      </w:r>
      <w:r w:rsidRPr="006F5CD5">
        <w:t xml:space="preserve"> </w:t>
      </w:r>
      <w:r>
        <w:t>June</w:t>
      </w:r>
      <w:r w:rsidRPr="006F5CD5">
        <w:t>–</w:t>
      </w:r>
      <w:r>
        <w:t>27 July</w:t>
      </w:r>
      <w:r w:rsidRPr="006F5CD5">
        <w:t xml:space="preserve"> 202</w:t>
      </w:r>
      <w:r>
        <w:t>2</w:t>
      </w:r>
      <w:r w:rsidRPr="006F5CD5">
        <w:t>)</w:t>
      </w:r>
      <w:r>
        <w:t>.</w:t>
      </w:r>
    </w:p>
  </w:footnote>
  <w:footnote w:id="2">
    <w:p w14:paraId="7EA5F08A" w14:textId="77777777" w:rsidR="008C6396" w:rsidRPr="00646844" w:rsidRDefault="008C6396" w:rsidP="008C6396">
      <w:pPr>
        <w:pStyle w:val="FootnoteText"/>
      </w:pPr>
      <w:r>
        <w:tab/>
      </w:r>
      <w:r w:rsidRPr="00646844">
        <w:rPr>
          <w:sz w:val="20"/>
        </w:rPr>
        <w:t>**</w:t>
      </w:r>
      <w:r>
        <w:rPr>
          <w:sz w:val="20"/>
        </w:rPr>
        <w:tab/>
      </w:r>
      <w:r w:rsidRPr="004D2D9C">
        <w:t xml:space="preserve">The following members of the Committee participated in the examination of the communication: </w:t>
      </w:r>
      <w:r w:rsidRPr="00EF24BB">
        <w:t xml:space="preserve">Tania María Abdo Rocholl, </w:t>
      </w:r>
      <w:hyperlink r:id="rId1" w:history="1">
        <w:r w:rsidRPr="00EF24BB">
          <w:t>Wafaa Ashraf Moharram Bassim</w:t>
        </w:r>
      </w:hyperlink>
      <w:r w:rsidRPr="00EF24BB">
        <w:t xml:space="preserve">, </w:t>
      </w:r>
      <w:hyperlink r:id="rId2" w:history="1">
        <w:r w:rsidRPr="00EF24BB">
          <w:t>Yadh Ben Achour</w:t>
        </w:r>
      </w:hyperlink>
      <w:r w:rsidRPr="00EF24BB">
        <w:t xml:space="preserve">, </w:t>
      </w:r>
      <w:hyperlink r:id="rId3" w:history="1">
        <w:r w:rsidRPr="005C5FBB">
          <w:t>Arif Bulkan, Mahjoub El Haiba</w:t>
        </w:r>
      </w:hyperlink>
      <w:r w:rsidRPr="005C5FBB">
        <w:t xml:space="preserve">, Furuya Shuichi, Carlos Gómez Martínez, Marcia V.J. Kran, Duncan Laki Muhumuza, Photini Pazartzis, Hernán Quezada Cabrera, Vasilka Sancin, José Manuel Santos Pais, </w:t>
      </w:r>
      <w:r w:rsidRPr="00A847CA">
        <w:t xml:space="preserve">Soh Changrok, </w:t>
      </w:r>
      <w:hyperlink r:id="rId4" w:history="1">
        <w:r w:rsidRPr="00A847CA">
          <w:t>Kobauyah Tchamdja Kpatcha</w:t>
        </w:r>
      </w:hyperlink>
      <w:r w:rsidRPr="00A847CA">
        <w:t>, Hélène Tigroudja, Imeru Tamerat Yigezu and</w:t>
      </w:r>
      <w:r w:rsidRPr="00A847CA" w:rsidDel="00CD08AC">
        <w:t xml:space="preserve"> </w:t>
      </w:r>
      <w:r w:rsidRPr="00A847CA">
        <w:t>Gentian Zyberi.</w:t>
      </w:r>
    </w:p>
  </w:footnote>
  <w:footnote w:id="3">
    <w:p w14:paraId="3F09CFE0" w14:textId="0F6F924D" w:rsidR="008C6396" w:rsidRPr="008C6396" w:rsidRDefault="008C6396" w:rsidP="008C6396">
      <w:pPr>
        <w:pStyle w:val="FootnoteText"/>
        <w:rPr>
          <w:lang w:val="en-US"/>
        </w:rPr>
      </w:pPr>
      <w:r>
        <w:tab/>
      </w:r>
      <w:r w:rsidRPr="00A67AAD">
        <w:rPr>
          <w:rStyle w:val="FootnoteReference"/>
        </w:rPr>
        <w:footnoteRef/>
      </w:r>
      <w:r w:rsidRPr="00863EA5">
        <w:rPr>
          <w:lang w:val="en-US"/>
        </w:rPr>
        <w:tab/>
      </w:r>
      <w:r w:rsidRPr="008C6396">
        <w:rPr>
          <w:lang w:val="en-US"/>
        </w:rPr>
        <w:t xml:space="preserve">See </w:t>
      </w:r>
      <w:hyperlink r:id="rId5" w:history="1">
        <w:r w:rsidRPr="008C6396">
          <w:rPr>
            <w:rStyle w:val="Hyperlink"/>
            <w:lang w:val="en-US"/>
          </w:rPr>
          <w:t>https://www.youtube.com/watch?v=rk3TKSyg2n0</w:t>
        </w:r>
      </w:hyperlink>
      <w:r w:rsidRPr="008C6396">
        <w:rPr>
          <w:lang w:val="en-US"/>
        </w:rPr>
        <w:t>. According to the date marker, it was uploaded on 20 February 2014.</w:t>
      </w:r>
    </w:p>
  </w:footnote>
  <w:footnote w:id="4">
    <w:p w14:paraId="76789405" w14:textId="25723020" w:rsidR="008C6396" w:rsidRPr="00E4073C" w:rsidRDefault="008C6396" w:rsidP="008C6396">
      <w:pPr>
        <w:pStyle w:val="FootnoteText"/>
        <w:rPr>
          <w:lang w:val="en-US"/>
        </w:rPr>
      </w:pPr>
      <w:r>
        <w:tab/>
      </w:r>
      <w:r w:rsidRPr="00A67AAD">
        <w:rPr>
          <w:rStyle w:val="FootnoteReference"/>
        </w:rPr>
        <w:footnoteRef/>
      </w:r>
      <w:r>
        <w:tab/>
      </w:r>
      <w:r>
        <w:rPr>
          <w:lang w:val="en-US"/>
        </w:rPr>
        <w:t>On the video uploaded by the author to YouTube, it can be seen that one of the police officers corrects the time of appearance at the police station from 8.30 a.m. to 4.30 p.m. at the request of the author.</w:t>
      </w:r>
    </w:p>
  </w:footnote>
  <w:footnote w:id="5">
    <w:p w14:paraId="0AD3873F" w14:textId="343BD2FC" w:rsidR="008C6396" w:rsidRPr="00100D3D" w:rsidRDefault="008C6396" w:rsidP="008C6396">
      <w:pPr>
        <w:pStyle w:val="FootnoteText"/>
        <w:rPr>
          <w:lang w:val="es-ES"/>
        </w:rPr>
      </w:pPr>
      <w:r w:rsidRPr="002B148B">
        <w:tab/>
      </w:r>
      <w:r w:rsidRPr="00A67AAD">
        <w:rPr>
          <w:rStyle w:val="FootnoteReference"/>
        </w:rPr>
        <w:footnoteRef/>
      </w:r>
      <w:r w:rsidRPr="002A7AFF">
        <w:rPr>
          <w:rStyle w:val="FootnoteReference"/>
          <w:lang w:val="es-ES"/>
        </w:rPr>
        <w:tab/>
      </w:r>
      <w:r w:rsidRPr="00062AF2">
        <w:rPr>
          <w:lang w:val="es-ES"/>
        </w:rPr>
        <w:t>Communication</w:t>
      </w:r>
      <w:r w:rsidRPr="00863EA5">
        <w:rPr>
          <w:lang w:val="es-ES"/>
        </w:rPr>
        <w:t xml:space="preserve"> No. 213/1986, para. </w:t>
      </w:r>
      <w:r w:rsidRPr="00C653B8">
        <w:rPr>
          <w:lang w:val="es-ES"/>
        </w:rPr>
        <w:t>11.6.</w:t>
      </w:r>
    </w:p>
  </w:footnote>
  <w:footnote w:id="6">
    <w:p w14:paraId="6FF82013" w14:textId="5C9809D9" w:rsidR="008C6396" w:rsidRPr="00013794" w:rsidRDefault="008C6396" w:rsidP="008C6396">
      <w:pPr>
        <w:pStyle w:val="FootnoteText"/>
        <w:rPr>
          <w:lang w:val="es-ES"/>
        </w:rPr>
      </w:pPr>
      <w:r w:rsidRPr="00100D3D">
        <w:rPr>
          <w:lang w:val="es-ES"/>
        </w:rPr>
        <w:tab/>
      </w:r>
      <w:r w:rsidRPr="00A67AAD">
        <w:rPr>
          <w:rStyle w:val="FootnoteReference"/>
        </w:rPr>
        <w:footnoteRef/>
      </w:r>
      <w:r w:rsidRPr="002A7AFF">
        <w:rPr>
          <w:rStyle w:val="FootnoteReference"/>
          <w:lang w:val="es-ES"/>
        </w:rPr>
        <w:tab/>
      </w:r>
      <w:hyperlink r:id="rId6" w:history="1">
        <w:r w:rsidRPr="002575EF">
          <w:rPr>
            <w:rStyle w:val="Hyperlink"/>
            <w:lang w:val="es-ES"/>
          </w:rPr>
          <w:t>CCPR/C/113/D/2021/2010</w:t>
        </w:r>
      </w:hyperlink>
      <w:r w:rsidRPr="009E04A5">
        <w:rPr>
          <w:lang w:val="es-ES"/>
        </w:rPr>
        <w:t>, para. 7.5.</w:t>
      </w:r>
    </w:p>
  </w:footnote>
  <w:footnote w:id="7">
    <w:p w14:paraId="1CF36ED8" w14:textId="22A17EA9" w:rsidR="008C6396" w:rsidRPr="00863EA5" w:rsidRDefault="008C6396" w:rsidP="008C6396">
      <w:pPr>
        <w:pStyle w:val="FootnoteText"/>
        <w:rPr>
          <w:lang w:val="es-ES"/>
        </w:rPr>
      </w:pPr>
      <w:r>
        <w:rPr>
          <w:lang w:val="es-ES"/>
        </w:rPr>
        <w:tab/>
      </w:r>
      <w:r w:rsidRPr="00A67AAD">
        <w:rPr>
          <w:rStyle w:val="FootnoteReference"/>
        </w:rPr>
        <w:footnoteRef/>
      </w:r>
      <w:r>
        <w:rPr>
          <w:lang w:val="es-ES"/>
        </w:rPr>
        <w:tab/>
      </w:r>
      <w:r w:rsidRPr="00863EA5">
        <w:rPr>
          <w:lang w:val="es-ES"/>
        </w:rPr>
        <w:t>Communication No. 220/1987.</w:t>
      </w:r>
    </w:p>
  </w:footnote>
  <w:footnote w:id="8">
    <w:p w14:paraId="41F00459" w14:textId="09477820" w:rsidR="008C6396" w:rsidRPr="00863EA5" w:rsidRDefault="008C6396" w:rsidP="008C6396">
      <w:pPr>
        <w:pStyle w:val="FootnoteText"/>
        <w:rPr>
          <w:lang w:val="es-ES"/>
        </w:rPr>
      </w:pPr>
      <w:r w:rsidRPr="009D3CA7">
        <w:rPr>
          <w:lang w:val="es-ES"/>
        </w:rPr>
        <w:tab/>
      </w:r>
      <w:r w:rsidRPr="00A67AAD">
        <w:rPr>
          <w:rStyle w:val="FootnoteReference"/>
        </w:rPr>
        <w:footnoteRef/>
      </w:r>
      <w:r w:rsidRPr="009D3CA7">
        <w:rPr>
          <w:lang w:val="es-ES"/>
        </w:rPr>
        <w:tab/>
      </w:r>
      <w:r w:rsidRPr="009D3CA7">
        <w:rPr>
          <w:i/>
          <w:lang w:val="es-ES"/>
        </w:rPr>
        <w:t>Delga</w:t>
      </w:r>
      <w:r>
        <w:rPr>
          <w:i/>
          <w:lang w:val="es-ES"/>
        </w:rPr>
        <w:t>d</w:t>
      </w:r>
      <w:r w:rsidRPr="009D3CA7">
        <w:rPr>
          <w:i/>
          <w:lang w:val="es-ES"/>
        </w:rPr>
        <w:t xml:space="preserve">o Burgoa v. </w:t>
      </w:r>
      <w:r w:rsidRPr="006F4312">
        <w:rPr>
          <w:i/>
          <w:lang w:val="es-ES"/>
        </w:rPr>
        <w:t xml:space="preserve">Plurinational State </w:t>
      </w:r>
      <w:proofErr w:type="spellStart"/>
      <w:r w:rsidRPr="006F4312">
        <w:rPr>
          <w:i/>
          <w:lang w:val="es-ES"/>
        </w:rPr>
        <w:t>of</w:t>
      </w:r>
      <w:proofErr w:type="spellEnd"/>
      <w:r>
        <w:rPr>
          <w:i/>
          <w:lang w:val="es-ES"/>
        </w:rPr>
        <w:t xml:space="preserve"> </w:t>
      </w:r>
      <w:r w:rsidRPr="009D3CA7">
        <w:rPr>
          <w:i/>
          <w:lang w:val="es-ES"/>
        </w:rPr>
        <w:t>Bolivia</w:t>
      </w:r>
      <w:r w:rsidRPr="009D3CA7">
        <w:rPr>
          <w:lang w:val="es-ES"/>
        </w:rPr>
        <w:t xml:space="preserve"> (</w:t>
      </w:r>
      <w:hyperlink r:id="rId7" w:history="1">
        <w:r w:rsidRPr="002575EF">
          <w:rPr>
            <w:rStyle w:val="Hyperlink"/>
            <w:lang w:val="es-ES"/>
          </w:rPr>
          <w:t>CCPR/C/122/D/2628/2015</w:t>
        </w:r>
      </w:hyperlink>
      <w:r w:rsidRPr="009D3CA7">
        <w:rPr>
          <w:lang w:val="es-ES"/>
        </w:rPr>
        <w:t xml:space="preserve">), para. </w:t>
      </w:r>
      <w:r w:rsidRPr="00863EA5">
        <w:rPr>
          <w:lang w:val="es-ES"/>
        </w:rPr>
        <w:t>10.3.</w:t>
      </w:r>
    </w:p>
  </w:footnote>
  <w:footnote w:id="9">
    <w:p w14:paraId="2FE3A6CB" w14:textId="33D967A0" w:rsidR="008C6396" w:rsidRPr="00013794" w:rsidRDefault="008C6396" w:rsidP="008C6396">
      <w:pPr>
        <w:pStyle w:val="FootnoteText"/>
      </w:pPr>
      <w:r w:rsidRPr="00863EA5">
        <w:rPr>
          <w:lang w:val="es-ES"/>
        </w:rPr>
        <w:tab/>
      </w:r>
      <w:r w:rsidRPr="00A67AAD">
        <w:rPr>
          <w:rStyle w:val="FootnoteReference"/>
        </w:rPr>
        <w:footnoteRef/>
      </w:r>
      <w:r w:rsidRPr="001A29A7">
        <w:rPr>
          <w:rStyle w:val="FootnoteReference"/>
          <w:lang w:val="en-US"/>
        </w:rPr>
        <w:tab/>
      </w:r>
      <w:r w:rsidRPr="001A29A7">
        <w:rPr>
          <w:i/>
          <w:lang w:val="en-US"/>
        </w:rPr>
        <w:t>Alekseev v. Russian Federation</w:t>
      </w:r>
      <w:r w:rsidRPr="001A29A7">
        <w:rPr>
          <w:lang w:val="en-US"/>
        </w:rPr>
        <w:t xml:space="preserve"> (</w:t>
      </w:r>
      <w:r w:rsidR="00062AF2">
        <w:fldChar w:fldCharType="begin"/>
      </w:r>
      <w:r w:rsidR="00062AF2" w:rsidRPr="001A29A7">
        <w:rPr>
          <w:lang w:val="en-US"/>
        </w:rPr>
        <w:instrText xml:space="preserve"> HYPERLINK "http://undocs.org/en/CCPR/C/109/D/1873/2009" </w:instrText>
      </w:r>
      <w:r w:rsidR="00062AF2">
        <w:fldChar w:fldCharType="separate"/>
      </w:r>
      <w:r w:rsidRPr="001A29A7">
        <w:rPr>
          <w:rStyle w:val="Hyperlink"/>
          <w:lang w:val="en-US"/>
        </w:rPr>
        <w:t>CCPR/C/109/D/1873/2009</w:t>
      </w:r>
      <w:r w:rsidR="00062AF2">
        <w:rPr>
          <w:rStyle w:val="Hyperlink"/>
          <w:lang w:val="es-ES"/>
        </w:rPr>
        <w:fldChar w:fldCharType="end"/>
      </w:r>
      <w:r w:rsidRPr="001A29A7">
        <w:rPr>
          <w:lang w:val="en-US"/>
        </w:rPr>
        <w:t xml:space="preserve">), para. </w:t>
      </w:r>
      <w:r w:rsidRPr="00607D60">
        <w:rPr>
          <w:lang w:val="es-ES"/>
        </w:rPr>
        <w:t>8.4</w:t>
      </w:r>
      <w:r w:rsidRPr="00952818">
        <w:rPr>
          <w:lang w:val="es-ES"/>
        </w:rPr>
        <w:t xml:space="preserve">; </w:t>
      </w:r>
      <w:proofErr w:type="spellStart"/>
      <w:r w:rsidRPr="00952818">
        <w:rPr>
          <w:i/>
          <w:lang w:val="es-ES"/>
        </w:rPr>
        <w:t>Lozenko</w:t>
      </w:r>
      <w:proofErr w:type="spellEnd"/>
      <w:r w:rsidRPr="00952818">
        <w:rPr>
          <w:i/>
          <w:lang w:val="es-ES"/>
        </w:rPr>
        <w:t xml:space="preserve"> v. </w:t>
      </w:r>
      <w:proofErr w:type="spellStart"/>
      <w:r w:rsidRPr="00952818">
        <w:rPr>
          <w:i/>
          <w:lang w:val="es-ES"/>
        </w:rPr>
        <w:t>Belarus</w:t>
      </w:r>
      <w:proofErr w:type="spellEnd"/>
      <w:r w:rsidRPr="00952818">
        <w:rPr>
          <w:lang w:val="es-ES"/>
        </w:rPr>
        <w:t xml:space="preserve"> (</w:t>
      </w:r>
      <w:hyperlink r:id="rId8" w:history="1">
        <w:r w:rsidRPr="002575EF">
          <w:rPr>
            <w:rStyle w:val="Hyperlink"/>
            <w:lang w:val="es-ES"/>
          </w:rPr>
          <w:t>CCPR/C/112/D/1929/2010</w:t>
        </w:r>
      </w:hyperlink>
      <w:r w:rsidRPr="00952818">
        <w:rPr>
          <w:lang w:val="es-ES"/>
        </w:rPr>
        <w:t>), para. 6.</w:t>
      </w:r>
      <w:r w:rsidRPr="009633FA">
        <w:rPr>
          <w:lang w:val="es-ES"/>
        </w:rPr>
        <w:t xml:space="preserve">3; </w:t>
      </w:r>
      <w:r w:rsidRPr="009633FA">
        <w:rPr>
          <w:i/>
          <w:lang w:val="es-ES"/>
        </w:rPr>
        <w:t xml:space="preserve">Sudalenko v. </w:t>
      </w:r>
      <w:proofErr w:type="spellStart"/>
      <w:r w:rsidRPr="009633FA">
        <w:rPr>
          <w:i/>
          <w:lang w:val="es-ES"/>
        </w:rPr>
        <w:t>Belarus</w:t>
      </w:r>
      <w:proofErr w:type="spellEnd"/>
      <w:r w:rsidRPr="009633FA">
        <w:rPr>
          <w:iCs/>
          <w:lang w:val="es-ES"/>
        </w:rPr>
        <w:t xml:space="preserve"> </w:t>
      </w:r>
      <w:r w:rsidRPr="009633FA">
        <w:rPr>
          <w:lang w:val="es-ES"/>
        </w:rPr>
        <w:t>(</w:t>
      </w:r>
      <w:r w:rsidR="00DB1D44">
        <w:fldChar w:fldCharType="begin"/>
      </w:r>
      <w:r w:rsidR="00DB1D44" w:rsidRPr="005E1623">
        <w:rPr>
          <w:lang w:val="es-ES"/>
        </w:rPr>
        <w:instrText xml:space="preserve"> HYPERLINK "http://undocs.org/en/CCPR/C/115/D/2016/2010" </w:instrText>
      </w:r>
      <w:r w:rsidR="00DB1D44">
        <w:fldChar w:fldCharType="separate"/>
      </w:r>
      <w:r w:rsidRPr="002575EF">
        <w:rPr>
          <w:rStyle w:val="Hyperlink"/>
          <w:lang w:val="es-ES"/>
        </w:rPr>
        <w:t>CCPR/C/115/D/2016/2010</w:t>
      </w:r>
      <w:r w:rsidR="00DB1D44">
        <w:rPr>
          <w:rStyle w:val="Hyperlink"/>
          <w:lang w:val="es-ES"/>
        </w:rPr>
        <w:fldChar w:fldCharType="end"/>
      </w:r>
      <w:r w:rsidRPr="009633FA">
        <w:rPr>
          <w:lang w:val="es-ES"/>
        </w:rPr>
        <w:t xml:space="preserve">), para. </w:t>
      </w:r>
      <w:r w:rsidRPr="009633FA">
        <w:t xml:space="preserve">7.3; </w:t>
      </w:r>
      <w:r w:rsidRPr="00CF1CC4">
        <w:t xml:space="preserve">and </w:t>
      </w:r>
      <w:r w:rsidRPr="00CF1CC4">
        <w:rPr>
          <w:i/>
        </w:rPr>
        <w:t xml:space="preserve">Poplavny and Sudalenko v. </w:t>
      </w:r>
      <w:r w:rsidRPr="002E488C">
        <w:rPr>
          <w:i/>
          <w:iCs/>
        </w:rPr>
        <w:t>Belarus</w:t>
      </w:r>
      <w:r w:rsidRPr="00CF1CC4">
        <w:t xml:space="preserve"> (</w:t>
      </w:r>
      <w:hyperlink r:id="rId9" w:history="1">
        <w:r w:rsidRPr="002575EF">
          <w:rPr>
            <w:rStyle w:val="Hyperlink"/>
          </w:rPr>
          <w:t>CCPR/C/118/D/2139/2012</w:t>
        </w:r>
      </w:hyperlink>
      <w:r w:rsidRPr="00CF1CC4">
        <w:t>), para. 7.3.</w:t>
      </w:r>
    </w:p>
  </w:footnote>
  <w:footnote w:id="10">
    <w:p w14:paraId="4B829921" w14:textId="77777777" w:rsidR="008C6396" w:rsidRPr="00863EA5" w:rsidRDefault="008C6396" w:rsidP="008C6396">
      <w:pPr>
        <w:pStyle w:val="FootnoteText"/>
        <w:rPr>
          <w:lang w:val="en-US"/>
        </w:rPr>
      </w:pPr>
      <w:r>
        <w:tab/>
      </w:r>
      <w:r w:rsidRPr="00A67AAD">
        <w:rPr>
          <w:rStyle w:val="FootnoteReference"/>
        </w:rPr>
        <w:footnoteRef/>
      </w:r>
      <w:r w:rsidRPr="00A67AAD">
        <w:rPr>
          <w:rStyle w:val="FootnoteReference"/>
        </w:rPr>
        <w:tab/>
      </w:r>
      <w:r w:rsidRPr="00863EA5">
        <w:rPr>
          <w:lang w:val="en-US"/>
        </w:rPr>
        <w:t>Para. 2.</w:t>
      </w:r>
    </w:p>
  </w:footnote>
  <w:footnote w:id="11">
    <w:p w14:paraId="6C396997" w14:textId="77777777" w:rsidR="008C6396" w:rsidRPr="002575EF" w:rsidRDefault="008C6396" w:rsidP="008C6396">
      <w:pPr>
        <w:pStyle w:val="FootnoteText"/>
        <w:rPr>
          <w:lang w:val="en-US"/>
        </w:rPr>
      </w:pPr>
      <w:r w:rsidRPr="00863EA5">
        <w:rPr>
          <w:lang w:val="en-US"/>
        </w:rPr>
        <w:tab/>
      </w:r>
      <w:r w:rsidRPr="00A67AAD">
        <w:rPr>
          <w:rStyle w:val="FootnoteReference"/>
        </w:rPr>
        <w:footnoteRef/>
      </w:r>
      <w:r w:rsidRPr="00A67AAD">
        <w:rPr>
          <w:rStyle w:val="FootnoteReference"/>
        </w:rPr>
        <w:tab/>
      </w:r>
      <w:r w:rsidRPr="00863EA5">
        <w:rPr>
          <w:lang w:val="en-US"/>
        </w:rPr>
        <w:t>Human Rights Committee, general comment No. 34 (2011)</w:t>
      </w:r>
      <w:r w:rsidRPr="00863EA5">
        <w:rPr>
          <w:iCs/>
          <w:lang w:val="en-US"/>
        </w:rPr>
        <w:t>,</w:t>
      </w:r>
      <w:r w:rsidRPr="00863EA5">
        <w:rPr>
          <w:lang w:val="en-US"/>
        </w:rPr>
        <w:t xml:space="preserve"> para. </w:t>
      </w:r>
      <w:r w:rsidRPr="002575EF">
        <w:rPr>
          <w:lang w:val="en-US"/>
        </w:rPr>
        <w:t>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E93" w14:textId="77777777" w:rsidR="00F86CCC" w:rsidRDefault="00F86CCC" w:rsidP="00F86CCC">
    <w:pPr>
      <w:pStyle w:val="Header"/>
    </w:pPr>
    <w:r>
      <w:t>CCPR/C/135/D/2829/2016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25C0" w14:textId="77777777" w:rsidR="00F86CCC" w:rsidRDefault="00F86CCC" w:rsidP="00F86CCC">
    <w:pPr>
      <w:pStyle w:val="Header"/>
      <w:jc w:val="right"/>
    </w:pPr>
    <w:r>
      <w:t>CCPR/C/135/D/2829/2016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B76"/>
    <w:rsid w:val="00046E92"/>
    <w:rsid w:val="00062AF2"/>
    <w:rsid w:val="0006523D"/>
    <w:rsid w:val="000820E8"/>
    <w:rsid w:val="000D3CE4"/>
    <w:rsid w:val="00131D7A"/>
    <w:rsid w:val="00165C15"/>
    <w:rsid w:val="001A29A7"/>
    <w:rsid w:val="00247E2C"/>
    <w:rsid w:val="002575EF"/>
    <w:rsid w:val="002A7AFF"/>
    <w:rsid w:val="002D6C53"/>
    <w:rsid w:val="002E488C"/>
    <w:rsid w:val="002F5595"/>
    <w:rsid w:val="00334F6A"/>
    <w:rsid w:val="00342AC8"/>
    <w:rsid w:val="00372FEF"/>
    <w:rsid w:val="003A1643"/>
    <w:rsid w:val="003B4550"/>
    <w:rsid w:val="003B6FD6"/>
    <w:rsid w:val="00461253"/>
    <w:rsid w:val="00472FED"/>
    <w:rsid w:val="004A53DA"/>
    <w:rsid w:val="005042C2"/>
    <w:rsid w:val="005D65FD"/>
    <w:rsid w:val="005E1623"/>
    <w:rsid w:val="00671529"/>
    <w:rsid w:val="007268F9"/>
    <w:rsid w:val="007327A0"/>
    <w:rsid w:val="007C52B0"/>
    <w:rsid w:val="00817E57"/>
    <w:rsid w:val="00892361"/>
    <w:rsid w:val="008C6396"/>
    <w:rsid w:val="008D3450"/>
    <w:rsid w:val="009411B4"/>
    <w:rsid w:val="009D0139"/>
    <w:rsid w:val="009F5CDC"/>
    <w:rsid w:val="00A23459"/>
    <w:rsid w:val="00A67AAD"/>
    <w:rsid w:val="00A775CF"/>
    <w:rsid w:val="00AE3A22"/>
    <w:rsid w:val="00B06045"/>
    <w:rsid w:val="00B53AA5"/>
    <w:rsid w:val="00B903E5"/>
    <w:rsid w:val="00C35A27"/>
    <w:rsid w:val="00CA1AEA"/>
    <w:rsid w:val="00D327D6"/>
    <w:rsid w:val="00DB065A"/>
    <w:rsid w:val="00E02C2B"/>
    <w:rsid w:val="00E05879"/>
    <w:rsid w:val="00ED6C48"/>
    <w:rsid w:val="00F41F0F"/>
    <w:rsid w:val="00F51B76"/>
    <w:rsid w:val="00F65F5D"/>
    <w:rsid w:val="00F86A3A"/>
    <w:rsid w:val="00F86CCC"/>
    <w:rsid w:val="00FF11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AA979"/>
  <w15:docId w15:val="{C7DAB499-3528-49D9-A564-342B398A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396"/>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8C6396"/>
    <w:pPr>
      <w:spacing w:after="0" w:line="240" w:lineRule="auto"/>
      <w:ind w:right="0"/>
      <w:jc w:val="left"/>
      <w:outlineLvl w:val="0"/>
    </w:pPr>
  </w:style>
  <w:style w:type="paragraph" w:styleId="Heading2">
    <w:name w:val="heading 2"/>
    <w:basedOn w:val="Normal"/>
    <w:next w:val="Normal"/>
    <w:link w:val="Heading2Char"/>
    <w:semiHidden/>
    <w:rsid w:val="008C6396"/>
    <w:pPr>
      <w:spacing w:line="240" w:lineRule="auto"/>
      <w:outlineLvl w:val="1"/>
    </w:pPr>
  </w:style>
  <w:style w:type="paragraph" w:styleId="Heading3">
    <w:name w:val="heading 3"/>
    <w:basedOn w:val="Normal"/>
    <w:next w:val="Normal"/>
    <w:link w:val="Heading3Char"/>
    <w:semiHidden/>
    <w:rsid w:val="008C6396"/>
    <w:pPr>
      <w:spacing w:line="240" w:lineRule="auto"/>
      <w:outlineLvl w:val="2"/>
    </w:pPr>
  </w:style>
  <w:style w:type="paragraph" w:styleId="Heading4">
    <w:name w:val="heading 4"/>
    <w:basedOn w:val="Normal"/>
    <w:next w:val="Normal"/>
    <w:link w:val="Heading4Char"/>
    <w:semiHidden/>
    <w:rsid w:val="008C6396"/>
    <w:pPr>
      <w:spacing w:line="240" w:lineRule="auto"/>
      <w:outlineLvl w:val="3"/>
    </w:pPr>
  </w:style>
  <w:style w:type="paragraph" w:styleId="Heading5">
    <w:name w:val="heading 5"/>
    <w:basedOn w:val="Normal"/>
    <w:next w:val="Normal"/>
    <w:link w:val="Heading5Char"/>
    <w:semiHidden/>
    <w:rsid w:val="008C6396"/>
    <w:pPr>
      <w:spacing w:line="240" w:lineRule="auto"/>
      <w:outlineLvl w:val="4"/>
    </w:pPr>
  </w:style>
  <w:style w:type="paragraph" w:styleId="Heading6">
    <w:name w:val="heading 6"/>
    <w:basedOn w:val="Normal"/>
    <w:next w:val="Normal"/>
    <w:link w:val="Heading6Char"/>
    <w:semiHidden/>
    <w:rsid w:val="008C6396"/>
    <w:pPr>
      <w:spacing w:line="240" w:lineRule="auto"/>
      <w:outlineLvl w:val="5"/>
    </w:pPr>
  </w:style>
  <w:style w:type="paragraph" w:styleId="Heading7">
    <w:name w:val="heading 7"/>
    <w:basedOn w:val="Normal"/>
    <w:next w:val="Normal"/>
    <w:link w:val="Heading7Char"/>
    <w:semiHidden/>
    <w:rsid w:val="008C6396"/>
    <w:pPr>
      <w:spacing w:line="240" w:lineRule="auto"/>
      <w:outlineLvl w:val="6"/>
    </w:pPr>
  </w:style>
  <w:style w:type="paragraph" w:styleId="Heading8">
    <w:name w:val="heading 8"/>
    <w:basedOn w:val="Normal"/>
    <w:next w:val="Normal"/>
    <w:link w:val="Heading8Char"/>
    <w:semiHidden/>
    <w:rsid w:val="008C6396"/>
    <w:pPr>
      <w:spacing w:line="240" w:lineRule="auto"/>
      <w:outlineLvl w:val="7"/>
    </w:pPr>
  </w:style>
  <w:style w:type="paragraph" w:styleId="Heading9">
    <w:name w:val="heading 9"/>
    <w:basedOn w:val="Normal"/>
    <w:next w:val="Normal"/>
    <w:link w:val="Heading9Char"/>
    <w:semiHidden/>
    <w:rsid w:val="008C639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C639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8C6396"/>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uiPriority w:val="99"/>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8C6396"/>
    <w:pPr>
      <w:tabs>
        <w:tab w:val="left" w:pos="1701"/>
        <w:tab w:val="left" w:pos="2268"/>
      </w:tabs>
      <w:spacing w:after="120"/>
      <w:ind w:left="1134" w:right="1134"/>
      <w:jc w:val="both"/>
    </w:pPr>
  </w:style>
  <w:style w:type="paragraph" w:customStyle="1" w:styleId="SLG">
    <w:name w:val="__S_L_G"/>
    <w:basedOn w:val="Normal"/>
    <w:next w:val="Normal"/>
    <w:rsid w:val="008C6396"/>
    <w:pPr>
      <w:keepNext/>
      <w:keepLines/>
      <w:spacing w:before="240" w:after="240" w:line="580" w:lineRule="exact"/>
      <w:ind w:left="1134" w:right="1134"/>
    </w:pPr>
    <w:rPr>
      <w:b/>
      <w:sz w:val="56"/>
    </w:rPr>
  </w:style>
  <w:style w:type="paragraph" w:customStyle="1" w:styleId="SMG">
    <w:name w:val="__S_M_G"/>
    <w:basedOn w:val="Normal"/>
    <w:next w:val="Normal"/>
    <w:rsid w:val="008C6396"/>
    <w:pPr>
      <w:keepNext/>
      <w:keepLines/>
      <w:spacing w:before="240" w:after="240" w:line="420" w:lineRule="exact"/>
      <w:ind w:left="1134" w:right="1134"/>
    </w:pPr>
    <w:rPr>
      <w:b/>
      <w:sz w:val="40"/>
    </w:rPr>
  </w:style>
  <w:style w:type="paragraph" w:customStyle="1" w:styleId="SSG">
    <w:name w:val="__S_S_G"/>
    <w:basedOn w:val="Normal"/>
    <w:next w:val="Normal"/>
    <w:rsid w:val="008C6396"/>
    <w:pPr>
      <w:keepNext/>
      <w:keepLines/>
      <w:spacing w:before="240" w:after="240" w:line="300" w:lineRule="exact"/>
      <w:ind w:left="1134" w:right="1134"/>
    </w:pPr>
    <w:rPr>
      <w:b/>
      <w:sz w:val="28"/>
    </w:rPr>
  </w:style>
  <w:style w:type="paragraph" w:customStyle="1" w:styleId="XLargeG">
    <w:name w:val="__XLarge_G"/>
    <w:basedOn w:val="Normal"/>
    <w:next w:val="Normal"/>
    <w:rsid w:val="008C6396"/>
    <w:pPr>
      <w:keepNext/>
      <w:keepLines/>
      <w:spacing w:before="240" w:after="240" w:line="420" w:lineRule="exact"/>
      <w:ind w:left="1134" w:right="1134"/>
    </w:pPr>
    <w:rPr>
      <w:b/>
      <w:sz w:val="40"/>
    </w:rPr>
  </w:style>
  <w:style w:type="paragraph" w:customStyle="1" w:styleId="Bullet1G">
    <w:name w:val="_Bullet 1_G"/>
    <w:basedOn w:val="Normal"/>
    <w:rsid w:val="008C6396"/>
    <w:pPr>
      <w:numPr>
        <w:numId w:val="8"/>
      </w:numPr>
      <w:spacing w:after="120"/>
      <w:ind w:right="1134"/>
      <w:jc w:val="both"/>
    </w:pPr>
  </w:style>
  <w:style w:type="paragraph" w:customStyle="1" w:styleId="Bullet2G">
    <w:name w:val="_Bullet 2_G"/>
    <w:basedOn w:val="Normal"/>
    <w:rsid w:val="008C6396"/>
    <w:pPr>
      <w:numPr>
        <w:numId w:val="9"/>
      </w:numPr>
      <w:spacing w:after="120"/>
      <w:ind w:right="1134"/>
      <w:jc w:val="both"/>
    </w:pPr>
  </w:style>
  <w:style w:type="paragraph" w:customStyle="1" w:styleId="ParaNoG">
    <w:name w:val="_ParaNo._G"/>
    <w:basedOn w:val="SingleTxtG"/>
    <w:rsid w:val="008C6396"/>
    <w:pPr>
      <w:numPr>
        <w:numId w:val="10"/>
      </w:numPr>
      <w:tabs>
        <w:tab w:val="clear" w:pos="0"/>
      </w:tabs>
    </w:pPr>
  </w:style>
  <w:style w:type="numbering" w:styleId="111111">
    <w:name w:val="Outline List 2"/>
    <w:basedOn w:val="NoList"/>
    <w:semiHidden/>
    <w:rsid w:val="008C6396"/>
    <w:pPr>
      <w:numPr>
        <w:numId w:val="5"/>
      </w:numPr>
    </w:pPr>
  </w:style>
  <w:style w:type="numbering" w:styleId="1ai">
    <w:name w:val="Outline List 1"/>
    <w:basedOn w:val="NoList"/>
    <w:semiHidden/>
    <w:rsid w:val="008C6396"/>
    <w:pPr>
      <w:numPr>
        <w:numId w:val="6"/>
      </w:numPr>
    </w:pPr>
  </w:style>
  <w:style w:type="character" w:styleId="EndnoteReference">
    <w:name w:val="endnote reference"/>
    <w:aliases w:val="1_G"/>
    <w:rsid w:val="008C6396"/>
    <w:rPr>
      <w:rFonts w:ascii="Times New Roman" w:hAnsi="Times New Roman"/>
      <w:sz w:val="18"/>
      <w:vertAlign w:val="superscript"/>
    </w:rPr>
  </w:style>
  <w:style w:type="paragraph" w:styleId="BalloonText">
    <w:name w:val="Balloon Text"/>
    <w:basedOn w:val="Normal"/>
    <w:link w:val="BalloonTextChar"/>
    <w:rsid w:val="008C639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C6396"/>
    <w:rPr>
      <w:rFonts w:ascii="Tahoma" w:hAnsi="Tahoma" w:cs="Tahoma"/>
      <w:sz w:val="16"/>
      <w:szCs w:val="16"/>
    </w:rPr>
  </w:style>
  <w:style w:type="paragraph" w:styleId="EndnoteText">
    <w:name w:val="endnote text"/>
    <w:aliases w:val="2_G"/>
    <w:basedOn w:val="FootnoteText"/>
    <w:link w:val="EndnoteTextChar"/>
    <w:rsid w:val="008C6396"/>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8C6396"/>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8C6396"/>
    <w:rPr>
      <w:rFonts w:ascii="Times New Roman" w:hAnsi="Times New Roman"/>
      <w:b/>
      <w:sz w:val="18"/>
    </w:rPr>
  </w:style>
  <w:style w:type="character" w:customStyle="1" w:styleId="FootnoteTextChar">
    <w:name w:val="Footnote Text Char"/>
    <w:aliases w:val="5_G Char"/>
    <w:basedOn w:val="DefaultParagraphFont"/>
    <w:link w:val="FootnoteText"/>
    <w:rsid w:val="008C6396"/>
    <w:rPr>
      <w:rFonts w:ascii="Times New Roman" w:hAnsi="Times New Roman" w:cs="Times New Roman"/>
      <w:sz w:val="18"/>
      <w:szCs w:val="20"/>
    </w:rPr>
  </w:style>
  <w:style w:type="table" w:styleId="TableGrid">
    <w:name w:val="Table Grid"/>
    <w:basedOn w:val="TableNormal"/>
    <w:rsid w:val="008C639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8C6396"/>
    <w:rPr>
      <w:rFonts w:ascii="Times New Roman" w:hAnsi="Times New Roman"/>
      <w:sz w:val="18"/>
      <w:vertAlign w:val="superscript"/>
    </w:rPr>
  </w:style>
  <w:style w:type="character" w:customStyle="1" w:styleId="UnresolvedMention1">
    <w:name w:val="Unresolved Mention1"/>
    <w:basedOn w:val="DefaultParagraphFont"/>
    <w:uiPriority w:val="99"/>
    <w:semiHidden/>
    <w:unhideWhenUsed/>
    <w:rsid w:val="002575EF"/>
    <w:rPr>
      <w:color w:val="605E5C"/>
      <w:shd w:val="clear" w:color="auto" w:fill="E1DFDD"/>
    </w:rPr>
  </w:style>
  <w:style w:type="character" w:customStyle="1" w:styleId="SingleTxtGChar">
    <w:name w:val="_ Single Txt_G Char"/>
    <w:basedOn w:val="DefaultParagraphFont"/>
    <w:link w:val="SingleTxtG"/>
    <w:locked/>
    <w:rsid w:val="008C6396"/>
    <w:rPr>
      <w:rFonts w:ascii="Times New Roman" w:hAnsi="Times New Roman" w:cs="Times New Roman"/>
      <w:sz w:val="20"/>
      <w:szCs w:val="20"/>
    </w:rPr>
  </w:style>
  <w:style w:type="character" w:styleId="Hyperlink">
    <w:name w:val="Hyperlink"/>
    <w:basedOn w:val="DefaultParagraphFont"/>
    <w:rsid w:val="008C6396"/>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12/D/1929/2010" TargetMode="External"/><Relationship Id="rId3" Type="http://schemas.openxmlformats.org/officeDocument/2006/relationships/hyperlink" Target="https://www.ohchr.org/Documents/HRBodies/CCPR/Membership/CV_El_Haiba.pdf" TargetMode="External"/><Relationship Id="rId7" Type="http://schemas.openxmlformats.org/officeDocument/2006/relationships/hyperlink" Target="http://undocs.org/en/CCPR/C/122/D/2628/2015" TargetMode="External"/><Relationship Id="rId2" Type="http://schemas.openxmlformats.org/officeDocument/2006/relationships/hyperlink" Target="https://www.ohchr.org/Documents/HRBodies/CCPR/Membership/CV_BEN_ACHOUR_FRE.docx" TargetMode="External"/><Relationship Id="rId1" Type="http://schemas.openxmlformats.org/officeDocument/2006/relationships/hyperlink" Target="https://www.ohchr.org/Documents/HRBodies/CCPR/Membership/Bassim_ENG.pdf" TargetMode="External"/><Relationship Id="rId6" Type="http://schemas.openxmlformats.org/officeDocument/2006/relationships/hyperlink" Target="http://undocs.org/en/CCPR/C/113/D/2021/2010" TargetMode="External"/><Relationship Id="rId5" Type="http://schemas.openxmlformats.org/officeDocument/2006/relationships/hyperlink" Target="https://www.youtube.com/watch?v=rk3TKSyg2n0" TargetMode="External"/><Relationship Id="rId4" Type="http://schemas.openxmlformats.org/officeDocument/2006/relationships/hyperlink" Target="https://www.ohchr.org/Documents/HRBodies/CCPR/Membership/Tchamda_FRE.pdf" TargetMode="External"/><Relationship Id="rId9" Type="http://schemas.openxmlformats.org/officeDocument/2006/relationships/hyperlink" Target="http://undocs.org/en/CCPR/C/118/D/2139/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286E-82EA-4825-91F9-8BCA0E32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3880</Words>
  <Characters>19539</Characters>
  <Application>Microsoft Office Word</Application>
  <DocSecurity>0</DocSecurity>
  <Lines>293</Lines>
  <Paragraphs>58</Paragraphs>
  <ScaleCrop>false</ScaleCrop>
  <HeadingPairs>
    <vt:vector size="2" baseType="variant">
      <vt:variant>
        <vt:lpstr>Title</vt:lpstr>
      </vt:variant>
      <vt:variant>
        <vt:i4>1</vt:i4>
      </vt:variant>
    </vt:vector>
  </HeadingPairs>
  <TitlesOfParts>
    <vt:vector size="1" baseType="lpstr">
      <vt:lpstr>CCPR/C/135/D/2829/2016</vt:lpstr>
    </vt:vector>
  </TitlesOfParts>
  <Company>DCM</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CCPR/C/135/D/2829/2016</dc:title>
  <dc:subject>2226172</dc:subject>
  <dc:creator>AVT</dc:creator>
  <cp:keywords/>
  <dc:description/>
  <cp:lastModifiedBy>Maria Rosario Corazon Gatmaytan</cp:lastModifiedBy>
  <cp:revision>2</cp:revision>
  <dcterms:created xsi:type="dcterms:W3CDTF">2022-11-18T13:16:00Z</dcterms:created>
  <dcterms:modified xsi:type="dcterms:W3CDTF">2022-11-18T13:16:00Z</dcterms:modified>
</cp:coreProperties>
</file>