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7F159285" w14:textId="77777777" w:rsidTr="005B51C4">
        <w:trPr>
          <w:trHeight w:hRule="exact" w:val="851"/>
        </w:trPr>
        <w:tc>
          <w:tcPr>
            <w:tcW w:w="1274" w:type="dxa"/>
            <w:tcBorders>
              <w:bottom w:val="single" w:sz="4" w:space="0" w:color="auto"/>
            </w:tcBorders>
            <w:shd w:val="clear" w:color="auto" w:fill="auto"/>
          </w:tcPr>
          <w:p w14:paraId="36E31116" w14:textId="77777777" w:rsidR="006B3E27" w:rsidRPr="00C175A6" w:rsidRDefault="006B3E27" w:rsidP="00850E4D">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40133EAD"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3D5849D7" w14:textId="4B5A0C94" w:rsidR="006B3E27" w:rsidRPr="00937C9F" w:rsidRDefault="00937C9F" w:rsidP="00937C9F">
            <w:pPr>
              <w:bidi w:val="0"/>
              <w:rPr>
                <w:szCs w:val="20"/>
              </w:rPr>
            </w:pPr>
            <w:r w:rsidRPr="00620C46">
              <w:rPr>
                <w:sz w:val="40"/>
                <w:szCs w:val="20"/>
              </w:rPr>
              <w:t>CCPR</w:t>
            </w:r>
            <w:r w:rsidRPr="00620C46">
              <w:rPr>
                <w:szCs w:val="20"/>
              </w:rPr>
              <w:t>/C/</w:t>
            </w:r>
            <w:r w:rsidRPr="00990AFC">
              <w:rPr>
                <w:szCs w:val="20"/>
              </w:rPr>
              <w:t>132</w:t>
            </w:r>
            <w:r w:rsidRPr="00620C46">
              <w:rPr>
                <w:szCs w:val="20"/>
              </w:rPr>
              <w:t>/D/</w:t>
            </w:r>
            <w:r w:rsidRPr="00990AFC">
              <w:rPr>
                <w:szCs w:val="20"/>
              </w:rPr>
              <w:t>2996</w:t>
            </w:r>
            <w:r w:rsidRPr="00620C46">
              <w:rPr>
                <w:szCs w:val="20"/>
              </w:rPr>
              <w:t>/</w:t>
            </w:r>
            <w:r w:rsidRPr="00990AFC">
              <w:rPr>
                <w:szCs w:val="20"/>
              </w:rPr>
              <w:t>2017</w:t>
            </w:r>
          </w:p>
        </w:tc>
      </w:tr>
      <w:tr w:rsidR="006B3E27" w:rsidRPr="00C175A6" w14:paraId="7F278F55" w14:textId="77777777" w:rsidTr="005B51C4">
        <w:trPr>
          <w:trHeight w:hRule="exact" w:val="2835"/>
        </w:trPr>
        <w:tc>
          <w:tcPr>
            <w:tcW w:w="1274" w:type="dxa"/>
            <w:tcBorders>
              <w:top w:val="single" w:sz="4" w:space="0" w:color="auto"/>
              <w:bottom w:val="single" w:sz="12" w:space="0" w:color="auto"/>
            </w:tcBorders>
            <w:shd w:val="clear" w:color="auto" w:fill="auto"/>
          </w:tcPr>
          <w:p w14:paraId="79A2FB37"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7DB8AE60" wp14:editId="31068D04">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7C8C5367" w14:textId="77777777" w:rsidR="006B3E27" w:rsidRPr="00990AFC" w:rsidRDefault="00ED7442" w:rsidP="00730446">
            <w:pPr>
              <w:spacing w:before="120" w:after="40" w:line="640" w:lineRule="exact"/>
              <w:ind w:left="57"/>
              <w:rPr>
                <w:b/>
                <w:bCs/>
                <w:sz w:val="46"/>
                <w:szCs w:val="46"/>
              </w:rPr>
            </w:pPr>
            <w:r w:rsidRPr="00990AFC">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22CA9CCD" w14:textId="29F5B2BF" w:rsidR="006B3E27" w:rsidRDefault="00937C9F" w:rsidP="004B27E0">
            <w:pPr>
              <w:bidi w:val="0"/>
              <w:spacing w:before="240"/>
              <w:rPr>
                <w:szCs w:val="20"/>
              </w:rPr>
            </w:pPr>
            <w:r>
              <w:rPr>
                <w:szCs w:val="20"/>
              </w:rPr>
              <w:t>Dist</w:t>
            </w:r>
            <w:r w:rsidR="00620C46" w:rsidRPr="00620C46">
              <w:rPr>
                <w:szCs w:val="20"/>
              </w:rPr>
              <w:t>r.:</w:t>
            </w:r>
            <w:r>
              <w:rPr>
                <w:szCs w:val="20"/>
              </w:rPr>
              <w:t xml:space="preserve"> General</w:t>
            </w:r>
          </w:p>
          <w:p w14:paraId="07BB9D0F" w14:textId="4E256051" w:rsidR="00D7585C" w:rsidRPr="000E5DC4" w:rsidRDefault="00D7585C" w:rsidP="00D7585C">
            <w:pPr>
              <w:bidi w:val="0"/>
              <w:jc w:val="left"/>
              <w:rPr>
                <w:szCs w:val="20"/>
              </w:rPr>
            </w:pPr>
            <w:r w:rsidRPr="00990AFC">
              <w:rPr>
                <w:szCs w:val="20"/>
              </w:rPr>
              <w:t>7</w:t>
            </w:r>
            <w:r>
              <w:rPr>
                <w:szCs w:val="20"/>
              </w:rPr>
              <w:t xml:space="preserve"> </w:t>
            </w:r>
            <w:r w:rsidRPr="000E5DC4">
              <w:rPr>
                <w:szCs w:val="20"/>
              </w:rPr>
              <w:t xml:space="preserve">June </w:t>
            </w:r>
            <w:r w:rsidRPr="00990AFC">
              <w:rPr>
                <w:szCs w:val="20"/>
              </w:rPr>
              <w:t>2022</w:t>
            </w:r>
          </w:p>
          <w:p w14:paraId="4384F329" w14:textId="77777777" w:rsidR="00D7585C" w:rsidRPr="000E5DC4" w:rsidRDefault="00D7585C" w:rsidP="00D7585C">
            <w:pPr>
              <w:bidi w:val="0"/>
              <w:jc w:val="left"/>
              <w:rPr>
                <w:szCs w:val="20"/>
              </w:rPr>
            </w:pPr>
            <w:r w:rsidRPr="000E5DC4">
              <w:rPr>
                <w:szCs w:val="20"/>
              </w:rPr>
              <w:t>Arabic</w:t>
            </w:r>
          </w:p>
          <w:p w14:paraId="27B890B6" w14:textId="2951BA1D" w:rsidR="00D7585C" w:rsidRPr="00937C9F" w:rsidRDefault="00D7585C" w:rsidP="00D7585C">
            <w:pPr>
              <w:bidi w:val="0"/>
              <w:spacing w:line="240" w:lineRule="exact"/>
              <w:jc w:val="left"/>
              <w:rPr>
                <w:szCs w:val="20"/>
              </w:rPr>
            </w:pPr>
            <w:r w:rsidRPr="000E5DC4">
              <w:rPr>
                <w:szCs w:val="20"/>
              </w:rPr>
              <w:t>Origina</w:t>
            </w:r>
            <w:r w:rsidR="00620C46" w:rsidRPr="00620C46">
              <w:rPr>
                <w:szCs w:val="20"/>
              </w:rPr>
              <w:t xml:space="preserve">l: </w:t>
            </w:r>
            <w:r w:rsidRPr="000E5DC4">
              <w:rPr>
                <w:szCs w:val="20"/>
              </w:rPr>
              <w:t>Spanish</w:t>
            </w:r>
            <w:r>
              <w:rPr>
                <w:szCs w:val="20"/>
              </w:rPr>
              <w:t xml:space="preserve"> </w:t>
            </w:r>
          </w:p>
          <w:p w14:paraId="2E68A24F" w14:textId="0AECF2D9" w:rsidR="00937C9F" w:rsidRPr="00937C9F" w:rsidRDefault="00937C9F" w:rsidP="00937C9F">
            <w:pPr>
              <w:bidi w:val="0"/>
              <w:spacing w:line="240" w:lineRule="exact"/>
              <w:jc w:val="left"/>
              <w:rPr>
                <w:szCs w:val="20"/>
              </w:rPr>
            </w:pPr>
          </w:p>
        </w:tc>
      </w:tr>
    </w:tbl>
    <w:p w14:paraId="3A22CD6D" w14:textId="77777777" w:rsidR="003827C9" w:rsidRPr="00990AFC" w:rsidRDefault="003827C9" w:rsidP="003827C9">
      <w:pPr>
        <w:spacing w:before="120" w:line="380" w:lineRule="exact"/>
        <w:rPr>
          <w:rFonts w:ascii="Simplified Arabic" w:eastAsiaTheme="minorEastAsia" w:hAnsi="Simplified Arabic"/>
          <w:b/>
          <w:sz w:val="26"/>
          <w:szCs w:val="26"/>
          <w:lang w:val="fr-CH"/>
        </w:rPr>
      </w:pPr>
      <w:r w:rsidRPr="00990AFC">
        <w:rPr>
          <w:rFonts w:ascii="Simplified Arabic" w:eastAsiaTheme="minorEastAsia" w:hAnsi="Simplified Arabic"/>
          <w:b/>
          <w:bCs/>
          <w:sz w:val="26"/>
          <w:szCs w:val="26"/>
          <w:rtl/>
          <w:lang w:eastAsia="zh-TW"/>
        </w:rPr>
        <w:t>اللجنة المعنية بحقوق الإنسان</w:t>
      </w:r>
    </w:p>
    <w:p w14:paraId="642FAF54" w14:textId="02F78FC8" w:rsidR="003827C9" w:rsidRPr="00990AFC" w:rsidRDefault="003827C9" w:rsidP="003827C9">
      <w:pPr>
        <w:pStyle w:val="HChGA"/>
        <w:rPr>
          <w:rFonts w:ascii="Simplified Arabic" w:eastAsiaTheme="minorEastAsia" w:hAnsi="Simplified Arabic"/>
          <w:sz w:val="34"/>
          <w:szCs w:val="34"/>
          <w:lang w:eastAsia="zh-TW"/>
        </w:rPr>
      </w:pPr>
      <w:r w:rsidRPr="00990AFC">
        <w:rPr>
          <w:rFonts w:ascii="Simplified Arabic" w:eastAsiaTheme="minorEastAsia" w:hAnsi="Simplified Arabic"/>
          <w:sz w:val="22"/>
          <w:szCs w:val="22"/>
          <w:rtl/>
          <w:lang w:eastAsia="zh-TW"/>
        </w:rPr>
        <w:tab/>
      </w:r>
      <w:r w:rsidRPr="00990AFC">
        <w:rPr>
          <w:rFonts w:ascii="Simplified Arabic" w:eastAsiaTheme="minorEastAsia" w:hAnsi="Simplified Arabic"/>
          <w:sz w:val="22"/>
          <w:szCs w:val="22"/>
          <w:rtl/>
          <w:lang w:eastAsia="zh-TW"/>
        </w:rPr>
        <w:tab/>
      </w:r>
      <w:r w:rsidRPr="00990AFC">
        <w:rPr>
          <w:rFonts w:ascii="Simplified Arabic" w:eastAsiaTheme="minorEastAsia" w:hAnsi="Simplified Arabic"/>
          <w:rtl/>
          <w:lang w:eastAsia="zh-TW"/>
        </w:rPr>
        <w:t>آراء اعتمدتها اللجنة بموجب المادة 5(</w:t>
      </w:r>
      <w:r w:rsidR="00620C46" w:rsidRPr="00990AFC">
        <w:rPr>
          <w:rFonts w:ascii="Simplified Arabic" w:eastAsiaTheme="minorEastAsia" w:hAnsi="Simplified Arabic"/>
          <w:rtl/>
          <w:lang w:eastAsia="zh-TW"/>
        </w:rPr>
        <w:t xml:space="preserve">4) </w:t>
      </w:r>
      <w:r w:rsidRPr="00990AFC">
        <w:rPr>
          <w:rFonts w:ascii="Simplified Arabic" w:eastAsiaTheme="minorEastAsia" w:hAnsi="Simplified Arabic"/>
          <w:rtl/>
          <w:lang w:eastAsia="zh-TW"/>
        </w:rPr>
        <w:t xml:space="preserve">من البروتوكول الاختياري، بشأن البلاغ رقم </w:t>
      </w:r>
      <w:r w:rsidRPr="00990AFC">
        <w:rPr>
          <w:rFonts w:ascii="Simplified Arabic" w:hAnsi="Simplified Arabic"/>
          <w:rtl/>
        </w:rPr>
        <w:t>2996/2017</w:t>
      </w:r>
      <w:r w:rsidR="00E1452B" w:rsidRPr="00990AFC">
        <w:rPr>
          <w:rStyle w:val="FootnoteReference"/>
          <w:rFonts w:eastAsiaTheme="minorEastAsia" w:cs="Simplified Arabic"/>
          <w:b/>
          <w:bCs w:val="0"/>
          <w:sz w:val="26"/>
          <w:szCs w:val="26"/>
          <w:vertAlign w:val="baseline"/>
          <w:rtl/>
          <w:lang w:eastAsia="zh-TW"/>
        </w:rPr>
        <w:footnoteReference w:customMarkFollows="1" w:id="1"/>
        <w:t>*</w:t>
      </w:r>
      <w:r w:rsidR="00E1452B" w:rsidRPr="00990AFC">
        <w:rPr>
          <w:rFonts w:ascii="Simplified Arabic" w:eastAsiaTheme="minorEastAsia" w:hAnsi="Simplified Arabic" w:hint="cs"/>
          <w:sz w:val="34"/>
          <w:szCs w:val="34"/>
          <w:rtl/>
          <w:lang w:eastAsia="zh-TW"/>
        </w:rPr>
        <w:t xml:space="preserve"> </w:t>
      </w:r>
      <w:r w:rsidR="00E1452B" w:rsidRPr="00990AFC">
        <w:rPr>
          <w:rStyle w:val="FootnoteReference"/>
          <w:rFonts w:eastAsiaTheme="minorEastAsia" w:cs="Simplified Arabic"/>
          <w:sz w:val="26"/>
          <w:szCs w:val="26"/>
          <w:vertAlign w:val="baseline"/>
          <w:rtl/>
          <w:lang w:eastAsia="zh-TW"/>
        </w:rPr>
        <w:footnoteReference w:customMarkFollows="1" w:id="2"/>
        <w:t>**</w:t>
      </w:r>
    </w:p>
    <w:p w14:paraId="14661677" w14:textId="4FB8FA2D" w:rsidR="003827C9" w:rsidRPr="003827C9" w:rsidRDefault="003827C9" w:rsidP="003827C9">
      <w:pPr>
        <w:pStyle w:val="SingleTxtGA"/>
        <w:tabs>
          <w:tab w:val="clear" w:pos="1928"/>
          <w:tab w:val="clear" w:pos="2608"/>
          <w:tab w:val="clear" w:pos="3289"/>
          <w:tab w:val="clear" w:pos="3969"/>
          <w:tab w:val="clear" w:pos="4649"/>
          <w:tab w:val="clear" w:pos="5330"/>
        </w:tabs>
        <w:ind w:left="4649" w:hanging="2721"/>
      </w:pPr>
      <w:r w:rsidRPr="00990AFC">
        <w:rPr>
          <w:i/>
          <w:iCs/>
          <w:rtl/>
        </w:rPr>
        <w:t>بلاغ مقدم من:</w:t>
      </w:r>
      <w:r>
        <w:rPr>
          <w:rtl/>
        </w:rPr>
        <w:tab/>
      </w:r>
      <w:r w:rsidRPr="003827C9">
        <w:rPr>
          <w:rtl/>
        </w:rPr>
        <w:t xml:space="preserve">خوسيه أنطونيو </w:t>
      </w:r>
      <w:proofErr w:type="spellStart"/>
      <w:r w:rsidRPr="003827C9">
        <w:rPr>
          <w:rtl/>
        </w:rPr>
        <w:t>ساينث</w:t>
      </w:r>
      <w:proofErr w:type="spellEnd"/>
      <w:r w:rsidRPr="003827C9">
        <w:rPr>
          <w:rtl/>
        </w:rPr>
        <w:t xml:space="preserve"> دي لا </w:t>
      </w:r>
      <w:proofErr w:type="spellStart"/>
      <w:r w:rsidRPr="003827C9">
        <w:rPr>
          <w:rtl/>
        </w:rPr>
        <w:t>ماثا</w:t>
      </w:r>
      <w:proofErr w:type="spellEnd"/>
      <w:r w:rsidRPr="003827C9">
        <w:rPr>
          <w:rtl/>
        </w:rPr>
        <w:t xml:space="preserve"> إي ديل </w:t>
      </w:r>
      <w:proofErr w:type="spellStart"/>
      <w:r w:rsidRPr="003827C9">
        <w:rPr>
          <w:rtl/>
        </w:rPr>
        <w:t>كاستيو</w:t>
      </w:r>
      <w:proofErr w:type="spellEnd"/>
      <w:r w:rsidRPr="003827C9">
        <w:rPr>
          <w:rtl/>
        </w:rPr>
        <w:t xml:space="preserve"> (يمثله دييغو </w:t>
      </w:r>
      <w:proofErr w:type="spellStart"/>
      <w:r w:rsidRPr="003827C9">
        <w:rPr>
          <w:rtl/>
        </w:rPr>
        <w:t>فرنانديث</w:t>
      </w:r>
      <w:proofErr w:type="spellEnd"/>
      <w:r w:rsidRPr="003827C9">
        <w:rPr>
          <w:rtl/>
        </w:rPr>
        <w:t xml:space="preserve"> </w:t>
      </w:r>
      <w:proofErr w:type="spellStart"/>
      <w:r w:rsidRPr="003827C9">
        <w:rPr>
          <w:rtl/>
        </w:rPr>
        <w:t>فرنانديث</w:t>
      </w:r>
      <w:proofErr w:type="spellEnd"/>
      <w:r w:rsidRPr="003827C9">
        <w:rPr>
          <w:rtl/>
        </w:rPr>
        <w:t>)</w:t>
      </w:r>
    </w:p>
    <w:p w14:paraId="2B788AC1" w14:textId="1A841A6B" w:rsidR="003827C9" w:rsidRPr="003827C9" w:rsidRDefault="003827C9" w:rsidP="003827C9">
      <w:pPr>
        <w:pStyle w:val="SingleTxtGA"/>
        <w:tabs>
          <w:tab w:val="clear" w:pos="1928"/>
          <w:tab w:val="clear" w:pos="2608"/>
          <w:tab w:val="clear" w:pos="3289"/>
          <w:tab w:val="clear" w:pos="3969"/>
          <w:tab w:val="clear" w:pos="4649"/>
          <w:tab w:val="clear" w:pos="5330"/>
        </w:tabs>
        <w:ind w:left="4649" w:hanging="2721"/>
      </w:pPr>
      <w:r w:rsidRPr="00990AFC">
        <w:rPr>
          <w:i/>
          <w:iCs/>
          <w:rtl/>
        </w:rPr>
        <w:t>الشخص المدع</w:t>
      </w:r>
      <w:r w:rsidR="00BA0C86" w:rsidRPr="00990AFC">
        <w:rPr>
          <w:rFonts w:hint="cs"/>
          <w:i/>
          <w:iCs/>
          <w:rtl/>
        </w:rPr>
        <w:t>ى</w:t>
      </w:r>
      <w:r w:rsidRPr="00990AFC">
        <w:rPr>
          <w:i/>
          <w:iCs/>
          <w:rtl/>
        </w:rPr>
        <w:t xml:space="preserve"> أنه ضحي</w:t>
      </w:r>
      <w:r w:rsidRPr="00990AFC">
        <w:rPr>
          <w:rFonts w:hint="cs"/>
          <w:i/>
          <w:iCs/>
          <w:rtl/>
        </w:rPr>
        <w:t>ة</w:t>
      </w:r>
      <w:r w:rsidRPr="00990AFC">
        <w:rPr>
          <w:i/>
          <w:iCs/>
          <w:rtl/>
        </w:rPr>
        <w:t>:</w:t>
      </w:r>
      <w:r>
        <w:rPr>
          <w:rtl/>
        </w:rPr>
        <w:tab/>
      </w:r>
      <w:r w:rsidRPr="003827C9">
        <w:rPr>
          <w:rFonts w:hint="cs"/>
          <w:rtl/>
        </w:rPr>
        <w:t>صاحب البلاغ</w:t>
      </w:r>
    </w:p>
    <w:p w14:paraId="4A6FD871" w14:textId="21715A38" w:rsidR="003827C9" w:rsidRPr="003827C9" w:rsidRDefault="003827C9" w:rsidP="003827C9">
      <w:pPr>
        <w:pStyle w:val="SingleTxtGA"/>
        <w:tabs>
          <w:tab w:val="clear" w:pos="1928"/>
          <w:tab w:val="clear" w:pos="2608"/>
          <w:tab w:val="clear" w:pos="3289"/>
          <w:tab w:val="clear" w:pos="3969"/>
          <w:tab w:val="clear" w:pos="4649"/>
          <w:tab w:val="clear" w:pos="5330"/>
        </w:tabs>
        <w:ind w:left="4649" w:hanging="2721"/>
      </w:pPr>
      <w:r w:rsidRPr="00990AFC">
        <w:rPr>
          <w:i/>
          <w:iCs/>
          <w:rtl/>
        </w:rPr>
        <w:t>الدولة الطرف:</w:t>
      </w:r>
      <w:r>
        <w:rPr>
          <w:rtl/>
        </w:rPr>
        <w:tab/>
      </w:r>
      <w:r w:rsidRPr="003827C9">
        <w:rPr>
          <w:rFonts w:hint="cs"/>
          <w:rtl/>
        </w:rPr>
        <w:t>إسبانيا</w:t>
      </w:r>
    </w:p>
    <w:p w14:paraId="3FCF4815" w14:textId="39D8983E" w:rsidR="003827C9" w:rsidRPr="003827C9" w:rsidRDefault="003827C9" w:rsidP="003827C9">
      <w:pPr>
        <w:pStyle w:val="SingleTxtGA"/>
        <w:tabs>
          <w:tab w:val="clear" w:pos="1928"/>
          <w:tab w:val="clear" w:pos="2608"/>
          <w:tab w:val="clear" w:pos="3289"/>
          <w:tab w:val="clear" w:pos="3969"/>
          <w:tab w:val="clear" w:pos="4649"/>
          <w:tab w:val="clear" w:pos="5330"/>
        </w:tabs>
        <w:ind w:left="4649" w:hanging="2721"/>
      </w:pPr>
      <w:r w:rsidRPr="00990AFC">
        <w:rPr>
          <w:i/>
          <w:iCs/>
          <w:rtl/>
        </w:rPr>
        <w:t>تاريخ تقديم البلاغ:</w:t>
      </w:r>
      <w:r>
        <w:rPr>
          <w:rtl/>
        </w:rPr>
        <w:tab/>
      </w:r>
      <w:r w:rsidRPr="00990AFC">
        <w:rPr>
          <w:rtl/>
        </w:rPr>
        <w:t>16</w:t>
      </w:r>
      <w:r w:rsidRPr="003827C9">
        <w:rPr>
          <w:rtl/>
        </w:rPr>
        <w:t xml:space="preserve"> أيلول/سبتمبر </w:t>
      </w:r>
      <w:r w:rsidRPr="00990AFC">
        <w:rPr>
          <w:rtl/>
        </w:rPr>
        <w:t>2015</w:t>
      </w:r>
      <w:r w:rsidRPr="003827C9">
        <w:rPr>
          <w:rFonts w:hint="cs"/>
          <w:rtl/>
        </w:rPr>
        <w:t xml:space="preserve"> </w:t>
      </w:r>
    </w:p>
    <w:p w14:paraId="0E0D3017" w14:textId="5257187A" w:rsidR="003827C9" w:rsidRPr="003827C9" w:rsidRDefault="003827C9" w:rsidP="003827C9">
      <w:pPr>
        <w:pStyle w:val="SingleTxtGA"/>
        <w:tabs>
          <w:tab w:val="clear" w:pos="1928"/>
          <w:tab w:val="clear" w:pos="2608"/>
          <w:tab w:val="clear" w:pos="3289"/>
          <w:tab w:val="clear" w:pos="3969"/>
          <w:tab w:val="clear" w:pos="4649"/>
          <w:tab w:val="clear" w:pos="5330"/>
        </w:tabs>
        <w:ind w:left="4649" w:hanging="2721"/>
      </w:pPr>
      <w:r w:rsidRPr="00990AFC">
        <w:rPr>
          <w:i/>
          <w:iCs/>
          <w:rtl/>
        </w:rPr>
        <w:t xml:space="preserve">تاريخ اعتماد </w:t>
      </w:r>
      <w:r w:rsidRPr="00990AFC">
        <w:rPr>
          <w:rFonts w:hint="cs"/>
          <w:i/>
          <w:iCs/>
          <w:rtl/>
        </w:rPr>
        <w:t>الآراء</w:t>
      </w:r>
      <w:r w:rsidRPr="00990AFC">
        <w:rPr>
          <w:i/>
          <w:iCs/>
          <w:rtl/>
        </w:rPr>
        <w:t>:</w:t>
      </w:r>
      <w:r>
        <w:rPr>
          <w:rtl/>
        </w:rPr>
        <w:tab/>
      </w:r>
      <w:r w:rsidRPr="00990AFC">
        <w:rPr>
          <w:rtl/>
        </w:rPr>
        <w:t>21</w:t>
      </w:r>
      <w:r w:rsidRPr="003827C9">
        <w:rPr>
          <w:rtl/>
        </w:rPr>
        <w:t xml:space="preserve"> تموز/يوليه </w:t>
      </w:r>
      <w:r w:rsidRPr="00990AFC">
        <w:rPr>
          <w:rtl/>
        </w:rPr>
        <w:t>2021</w:t>
      </w:r>
    </w:p>
    <w:p w14:paraId="2AFA8965" w14:textId="44F4C330" w:rsidR="003827C9" w:rsidRPr="003827C9" w:rsidRDefault="003827C9" w:rsidP="003827C9">
      <w:pPr>
        <w:pStyle w:val="SingleTxtGA"/>
        <w:tabs>
          <w:tab w:val="clear" w:pos="1928"/>
          <w:tab w:val="clear" w:pos="2608"/>
          <w:tab w:val="clear" w:pos="3289"/>
          <w:tab w:val="clear" w:pos="3969"/>
          <w:tab w:val="clear" w:pos="4649"/>
          <w:tab w:val="clear" w:pos="5330"/>
        </w:tabs>
        <w:ind w:left="4649" w:hanging="2721"/>
        <w:rPr>
          <w:rtl/>
        </w:rPr>
      </w:pPr>
      <w:r w:rsidRPr="00990AFC">
        <w:rPr>
          <w:i/>
          <w:iCs/>
          <w:rtl/>
        </w:rPr>
        <w:t>الموضوع:</w:t>
      </w:r>
      <w:r>
        <w:rPr>
          <w:rtl/>
        </w:rPr>
        <w:tab/>
      </w:r>
      <w:r w:rsidRPr="003827C9">
        <w:rPr>
          <w:rtl/>
        </w:rPr>
        <w:t>الحق في المحاكمة وفق الأصول القانونية الواجبة وفي اللجوء إلى محكمة أعلى درجة</w:t>
      </w:r>
    </w:p>
    <w:p w14:paraId="6875B384" w14:textId="0245E579" w:rsidR="003827C9" w:rsidRPr="003827C9" w:rsidRDefault="003827C9" w:rsidP="003827C9">
      <w:pPr>
        <w:pStyle w:val="SingleTxtGA"/>
        <w:tabs>
          <w:tab w:val="clear" w:pos="1928"/>
          <w:tab w:val="clear" w:pos="2608"/>
          <w:tab w:val="clear" w:pos="3289"/>
          <w:tab w:val="clear" w:pos="3969"/>
          <w:tab w:val="clear" w:pos="4649"/>
          <w:tab w:val="clear" w:pos="5330"/>
        </w:tabs>
        <w:ind w:left="4649" w:hanging="2721"/>
      </w:pPr>
      <w:r w:rsidRPr="00990AFC">
        <w:rPr>
          <w:i/>
          <w:iCs/>
          <w:rtl/>
        </w:rPr>
        <w:t>المسائل الإجرائية:</w:t>
      </w:r>
      <w:r>
        <w:rPr>
          <w:rtl/>
        </w:rPr>
        <w:tab/>
      </w:r>
      <w:r w:rsidRPr="003827C9">
        <w:rPr>
          <w:rtl/>
        </w:rPr>
        <w:t>استنفاد سبل الانتصاف المحلية؛ وعرض المسألة سابقاً</w:t>
      </w:r>
      <w:r>
        <w:rPr>
          <w:rtl/>
        </w:rPr>
        <w:t xml:space="preserve"> </w:t>
      </w:r>
      <w:r w:rsidRPr="003827C9">
        <w:rPr>
          <w:rtl/>
        </w:rPr>
        <w:t>على إجراء آخر من إجراءات التسوية الدولية؛ وعدم إثبات الادعاءات بأدلة</w:t>
      </w:r>
    </w:p>
    <w:p w14:paraId="0674C844" w14:textId="5D71CA10" w:rsidR="003827C9" w:rsidRPr="003827C9" w:rsidRDefault="003827C9" w:rsidP="003827C9">
      <w:pPr>
        <w:pStyle w:val="SingleTxtGA"/>
        <w:tabs>
          <w:tab w:val="clear" w:pos="1928"/>
          <w:tab w:val="clear" w:pos="2608"/>
          <w:tab w:val="clear" w:pos="3289"/>
          <w:tab w:val="clear" w:pos="3969"/>
          <w:tab w:val="clear" w:pos="4649"/>
          <w:tab w:val="clear" w:pos="5330"/>
        </w:tabs>
        <w:ind w:left="4649" w:hanging="2721"/>
      </w:pPr>
      <w:r w:rsidRPr="00990AFC">
        <w:rPr>
          <w:i/>
          <w:iCs/>
          <w:rtl/>
        </w:rPr>
        <w:t>المسائل الموضوعية:</w:t>
      </w:r>
      <w:r>
        <w:rPr>
          <w:rtl/>
        </w:rPr>
        <w:tab/>
      </w:r>
      <w:r w:rsidRPr="003827C9">
        <w:rPr>
          <w:rtl/>
        </w:rPr>
        <w:t xml:space="preserve">الحق في مراجعة الحكم؛ والحق في المحاكمة وفق الأصول القانونية الواجبة؛ والحق في المحاكمة أمام محكمة مختصة ومستقلة </w:t>
      </w:r>
      <w:r w:rsidRPr="003827C9">
        <w:rPr>
          <w:rFonts w:hint="cs"/>
          <w:rtl/>
        </w:rPr>
        <w:t>ومحايدة</w:t>
      </w:r>
    </w:p>
    <w:p w14:paraId="49338F1A" w14:textId="6B172CF3" w:rsidR="003827C9" w:rsidRPr="003827C9" w:rsidRDefault="003827C9" w:rsidP="003827C9">
      <w:pPr>
        <w:pStyle w:val="SingleTxtGA"/>
        <w:tabs>
          <w:tab w:val="clear" w:pos="1928"/>
          <w:tab w:val="clear" w:pos="2608"/>
          <w:tab w:val="clear" w:pos="3289"/>
          <w:tab w:val="clear" w:pos="3969"/>
          <w:tab w:val="clear" w:pos="4649"/>
          <w:tab w:val="clear" w:pos="5330"/>
        </w:tabs>
        <w:ind w:left="4649" w:hanging="2721"/>
      </w:pPr>
      <w:r w:rsidRPr="00990AFC">
        <w:rPr>
          <w:i/>
          <w:iCs/>
          <w:rtl/>
        </w:rPr>
        <w:t>مواد العهد:</w:t>
      </w:r>
      <w:r>
        <w:rPr>
          <w:rtl/>
        </w:rPr>
        <w:tab/>
      </w:r>
      <w:r w:rsidRPr="00990AFC">
        <w:rPr>
          <w:rFonts w:hint="cs"/>
          <w:rtl/>
        </w:rPr>
        <w:t>14</w:t>
      </w:r>
    </w:p>
    <w:p w14:paraId="5A05AD56" w14:textId="24215708" w:rsidR="003827C9" w:rsidRPr="003827C9" w:rsidRDefault="003827C9" w:rsidP="003827C9">
      <w:pPr>
        <w:pStyle w:val="SingleTxtGA"/>
        <w:tabs>
          <w:tab w:val="clear" w:pos="1928"/>
          <w:tab w:val="clear" w:pos="2608"/>
          <w:tab w:val="clear" w:pos="3289"/>
          <w:tab w:val="clear" w:pos="3969"/>
          <w:tab w:val="clear" w:pos="4649"/>
          <w:tab w:val="clear" w:pos="5330"/>
        </w:tabs>
        <w:ind w:left="4649" w:hanging="2721"/>
        <w:rPr>
          <w:rtl/>
        </w:rPr>
      </w:pPr>
      <w:r w:rsidRPr="00990AFC">
        <w:rPr>
          <w:i/>
          <w:iCs/>
          <w:rtl/>
        </w:rPr>
        <w:t>مواد البروتوكول الاختياري:</w:t>
      </w:r>
      <w:r>
        <w:rPr>
          <w:rtl/>
        </w:rPr>
        <w:tab/>
      </w:r>
      <w:r w:rsidRPr="00990AFC">
        <w:rPr>
          <w:rtl/>
        </w:rPr>
        <w:t>2</w:t>
      </w:r>
      <w:r w:rsidRPr="003827C9">
        <w:rPr>
          <w:rtl/>
        </w:rPr>
        <w:t>؛ و</w:t>
      </w:r>
      <w:r w:rsidRPr="00990AFC">
        <w:rPr>
          <w:rtl/>
        </w:rPr>
        <w:t>3</w:t>
      </w:r>
      <w:r w:rsidRPr="003827C9">
        <w:rPr>
          <w:rtl/>
        </w:rPr>
        <w:t>؛ و</w:t>
      </w:r>
      <w:r w:rsidRPr="00990AFC">
        <w:rPr>
          <w:rtl/>
        </w:rPr>
        <w:t>5</w:t>
      </w:r>
      <w:r w:rsidRPr="003827C9">
        <w:rPr>
          <w:rtl/>
        </w:rPr>
        <w:t>(</w:t>
      </w:r>
      <w:r w:rsidRPr="00990AFC">
        <w:rPr>
          <w:rtl/>
        </w:rPr>
        <w:t>2</w:t>
      </w:r>
      <w:r w:rsidRPr="003827C9">
        <w:rPr>
          <w:rtl/>
        </w:rPr>
        <w:t>)(أ) و(ب)</w:t>
      </w:r>
      <w:r w:rsidRPr="003827C9">
        <w:rPr>
          <w:rFonts w:hint="cs"/>
          <w:rtl/>
        </w:rPr>
        <w:t xml:space="preserve"> </w:t>
      </w:r>
    </w:p>
    <w:p w14:paraId="5DEABF6E" w14:textId="77777777" w:rsidR="00340F0E" w:rsidRPr="00990AFC" w:rsidRDefault="00340F0E">
      <w:pPr>
        <w:bidi w:val="0"/>
        <w:spacing w:line="240" w:lineRule="auto"/>
        <w:jc w:val="left"/>
        <w:rPr>
          <w:rFonts w:eastAsiaTheme="minorEastAsia"/>
          <w:sz w:val="22"/>
          <w:rtl/>
          <w:lang w:val="es-PY"/>
        </w:rPr>
      </w:pPr>
      <w:r w:rsidRPr="00990AFC">
        <w:rPr>
          <w:rFonts w:eastAsiaTheme="minorEastAsia"/>
          <w:lang w:val="es-PY"/>
        </w:rPr>
        <w:br w:type="page"/>
      </w:r>
    </w:p>
    <w:p w14:paraId="26D7B4BB" w14:textId="57652289" w:rsidR="003827C9" w:rsidRPr="003827C9" w:rsidRDefault="003827C9" w:rsidP="00E1452B">
      <w:pPr>
        <w:pStyle w:val="SingleTxtGA"/>
        <w:spacing w:before="240"/>
        <w:rPr>
          <w:rFonts w:eastAsiaTheme="minorEastAsia"/>
          <w:lang w:val="ar-SA" w:eastAsia="zh-TW" w:bidi="en-GB"/>
        </w:rPr>
      </w:pPr>
      <w:r w:rsidRPr="00990AFC">
        <w:rPr>
          <w:rFonts w:eastAsiaTheme="minorEastAsia"/>
          <w:rtl/>
          <w:lang w:val="es-PY"/>
        </w:rPr>
        <w:lastRenderedPageBreak/>
        <w:t>1</w:t>
      </w:r>
      <w:r w:rsidRPr="003827C9">
        <w:rPr>
          <w:rFonts w:eastAsiaTheme="minorEastAsia"/>
          <w:rtl/>
          <w:lang w:val="es-PY"/>
        </w:rPr>
        <w:t>-</w:t>
      </w:r>
      <w:r w:rsidRPr="003827C9">
        <w:rPr>
          <w:rFonts w:eastAsiaTheme="minorEastAsia"/>
          <w:rtl/>
          <w:lang w:val="es-PY"/>
        </w:rPr>
        <w:tab/>
      </w:r>
      <w:r w:rsidRPr="003827C9">
        <w:rPr>
          <w:rFonts w:eastAsiaTheme="minorEastAsia"/>
          <w:rtl/>
        </w:rPr>
        <w:t xml:space="preserve">صاحب البلاغ هو خوسيه أنطونيو </w:t>
      </w:r>
      <w:proofErr w:type="spellStart"/>
      <w:r w:rsidRPr="003827C9">
        <w:rPr>
          <w:rFonts w:eastAsiaTheme="minorEastAsia"/>
          <w:rtl/>
        </w:rPr>
        <w:t>ساينث</w:t>
      </w:r>
      <w:proofErr w:type="spellEnd"/>
      <w:r w:rsidRPr="003827C9">
        <w:rPr>
          <w:rFonts w:eastAsiaTheme="minorEastAsia"/>
          <w:rtl/>
        </w:rPr>
        <w:t xml:space="preserve"> دي لا </w:t>
      </w:r>
      <w:proofErr w:type="spellStart"/>
      <w:r w:rsidRPr="003827C9">
        <w:rPr>
          <w:rFonts w:eastAsiaTheme="minorEastAsia"/>
          <w:rtl/>
        </w:rPr>
        <w:t>ماثا</w:t>
      </w:r>
      <w:proofErr w:type="spellEnd"/>
      <w:r w:rsidRPr="003827C9">
        <w:rPr>
          <w:rFonts w:eastAsiaTheme="minorEastAsia"/>
          <w:rtl/>
        </w:rPr>
        <w:t xml:space="preserve"> إي ديل </w:t>
      </w:r>
      <w:proofErr w:type="spellStart"/>
      <w:r w:rsidRPr="003827C9">
        <w:rPr>
          <w:rFonts w:eastAsiaTheme="minorEastAsia"/>
          <w:rtl/>
        </w:rPr>
        <w:t>كاستيو</w:t>
      </w:r>
      <w:proofErr w:type="spellEnd"/>
      <w:r w:rsidRPr="003827C9">
        <w:rPr>
          <w:rFonts w:eastAsiaTheme="minorEastAsia"/>
          <w:rtl/>
        </w:rPr>
        <w:t xml:space="preserve">، وهو مواطن إسباني وُلد في </w:t>
      </w:r>
      <w:r w:rsidRPr="00990AFC">
        <w:rPr>
          <w:rFonts w:eastAsiaTheme="minorEastAsia"/>
          <w:rtl/>
        </w:rPr>
        <w:t>27</w:t>
      </w:r>
      <w:r w:rsidRPr="003827C9">
        <w:rPr>
          <w:rFonts w:eastAsiaTheme="minorEastAsia"/>
          <w:rtl/>
        </w:rPr>
        <w:t xml:space="preserve"> تموز/يوليه </w:t>
      </w:r>
      <w:r w:rsidRPr="00990AFC">
        <w:rPr>
          <w:rFonts w:eastAsiaTheme="minorEastAsia"/>
          <w:rtl/>
        </w:rPr>
        <w:t>195</w:t>
      </w:r>
      <w:r w:rsidR="00620C46" w:rsidRPr="00990AFC">
        <w:rPr>
          <w:rFonts w:eastAsiaTheme="minorEastAsia"/>
          <w:rtl/>
        </w:rPr>
        <w:t>0</w:t>
      </w:r>
      <w:r w:rsidR="00620C46" w:rsidRPr="00620C46">
        <w:rPr>
          <w:rFonts w:eastAsiaTheme="minorEastAsia"/>
          <w:rtl/>
        </w:rPr>
        <w:t xml:space="preserve">. </w:t>
      </w:r>
      <w:r w:rsidRPr="003827C9">
        <w:rPr>
          <w:rFonts w:eastAsiaTheme="minorEastAsia"/>
          <w:rtl/>
        </w:rPr>
        <w:t xml:space="preserve">ويدَّعي صاحب البلاغ أن الدولة الطرف انتهكت حقوقه المكفولة بموجب المادة </w:t>
      </w:r>
      <w:r w:rsidRPr="00990AFC">
        <w:rPr>
          <w:rFonts w:eastAsiaTheme="minorEastAsia"/>
          <w:rtl/>
        </w:rPr>
        <w:t>14</w:t>
      </w:r>
      <w:r w:rsidRPr="003827C9">
        <w:rPr>
          <w:rFonts w:eastAsiaTheme="minorEastAsia"/>
          <w:rtl/>
        </w:rPr>
        <w:t xml:space="preserve"> من العهد. وقد دخل البروتوكول الاختياري حيز النفاذ بالنسبة للدولة الطرف في </w:t>
      </w:r>
      <w:r w:rsidRPr="00990AFC">
        <w:rPr>
          <w:rFonts w:eastAsiaTheme="minorEastAsia"/>
          <w:rtl/>
        </w:rPr>
        <w:t>25</w:t>
      </w:r>
      <w:r w:rsidRPr="003827C9">
        <w:rPr>
          <w:rFonts w:eastAsiaTheme="minorEastAsia"/>
          <w:rtl/>
        </w:rPr>
        <w:t xml:space="preserve"> نيسان/أبريل </w:t>
      </w:r>
      <w:r w:rsidRPr="00990AFC">
        <w:rPr>
          <w:rFonts w:eastAsiaTheme="minorEastAsia"/>
          <w:rtl/>
        </w:rPr>
        <w:t>198</w:t>
      </w:r>
      <w:r w:rsidR="00620C46" w:rsidRPr="00990AFC">
        <w:rPr>
          <w:rFonts w:eastAsiaTheme="minorEastAsia"/>
          <w:rtl/>
        </w:rPr>
        <w:t>5</w:t>
      </w:r>
      <w:r w:rsidR="00620C46" w:rsidRPr="00620C46">
        <w:rPr>
          <w:rFonts w:eastAsiaTheme="minorEastAsia"/>
          <w:rtl/>
        </w:rPr>
        <w:t xml:space="preserve">. </w:t>
      </w:r>
      <w:r w:rsidRPr="003827C9">
        <w:rPr>
          <w:rFonts w:eastAsiaTheme="minorEastAsia"/>
          <w:rtl/>
        </w:rPr>
        <w:t xml:space="preserve">ويمثل صاحبَ البلاغ المحامي دييغو </w:t>
      </w:r>
      <w:proofErr w:type="spellStart"/>
      <w:r w:rsidRPr="003827C9">
        <w:rPr>
          <w:rFonts w:eastAsiaTheme="minorEastAsia"/>
          <w:rtl/>
        </w:rPr>
        <w:t>فرنانديث</w:t>
      </w:r>
      <w:proofErr w:type="spellEnd"/>
      <w:r w:rsidRPr="003827C9">
        <w:rPr>
          <w:rFonts w:eastAsiaTheme="minorEastAsia"/>
          <w:rtl/>
        </w:rPr>
        <w:t xml:space="preserve"> </w:t>
      </w:r>
      <w:proofErr w:type="spellStart"/>
      <w:r w:rsidRPr="003827C9">
        <w:rPr>
          <w:rFonts w:eastAsiaTheme="minorEastAsia"/>
          <w:rtl/>
        </w:rPr>
        <w:t>فرنانديث</w:t>
      </w:r>
      <w:proofErr w:type="spellEnd"/>
      <w:r w:rsidRPr="003827C9">
        <w:rPr>
          <w:rFonts w:eastAsiaTheme="minorEastAsia"/>
          <w:rtl/>
        </w:rPr>
        <w:t xml:space="preserve">. </w:t>
      </w:r>
    </w:p>
    <w:p w14:paraId="3C3D2068" w14:textId="77777777" w:rsidR="003827C9" w:rsidRPr="00990AFC" w:rsidRDefault="003827C9" w:rsidP="007A7AD0">
      <w:pPr>
        <w:pStyle w:val="H23GA"/>
        <w:rPr>
          <w:lang w:val="ar-SA" w:eastAsia="zh-TW" w:bidi="en-GB"/>
        </w:rPr>
      </w:pPr>
      <w:r w:rsidRPr="00990AFC">
        <w:rPr>
          <w:rtl/>
        </w:rPr>
        <w:tab/>
      </w:r>
      <w:r w:rsidRPr="00990AFC">
        <w:rPr>
          <w:rtl/>
        </w:rPr>
        <w:tab/>
        <w:t>الوقائع كما عرضها صاحب البلاغ</w:t>
      </w:r>
    </w:p>
    <w:p w14:paraId="101111A6" w14:textId="1F25C5CE" w:rsidR="003827C9" w:rsidRPr="003827C9" w:rsidRDefault="003827C9" w:rsidP="003827C9">
      <w:pPr>
        <w:pStyle w:val="SingleTxtGA"/>
        <w:rPr>
          <w:rFonts w:eastAsiaTheme="minorEastAsia"/>
          <w:lang w:val="ar-SA" w:eastAsia="zh-TW" w:bidi="en-GB"/>
        </w:rPr>
      </w:pPr>
      <w:r w:rsidRPr="00990AFC">
        <w:rPr>
          <w:rFonts w:eastAsiaTheme="minorEastAsia"/>
          <w:rtl/>
        </w:rPr>
        <w:t>2</w:t>
      </w:r>
      <w:r w:rsidRPr="003827C9">
        <w:rPr>
          <w:rFonts w:eastAsiaTheme="minorEastAsia"/>
          <w:rtl/>
        </w:rPr>
        <w:t>-</w:t>
      </w:r>
      <w:r w:rsidRPr="00990AFC">
        <w:rPr>
          <w:rFonts w:eastAsiaTheme="minorEastAsia"/>
          <w:rtl/>
        </w:rPr>
        <w:t>1</w:t>
      </w:r>
      <w:r w:rsidRPr="003827C9">
        <w:rPr>
          <w:rFonts w:eastAsiaTheme="minorEastAsia"/>
          <w:rtl/>
        </w:rPr>
        <w:tab/>
        <w:t>كان صاحب البلاغ يشغل منصب مدير الشركة التجارية "</w:t>
      </w:r>
      <w:proofErr w:type="spellStart"/>
      <w:r w:rsidRPr="003827C9">
        <w:rPr>
          <w:rFonts w:eastAsiaTheme="minorEastAsia"/>
        </w:rPr>
        <w:t>Obras</w:t>
      </w:r>
      <w:proofErr w:type="spellEnd"/>
      <w:r w:rsidRPr="003827C9">
        <w:rPr>
          <w:rFonts w:eastAsiaTheme="minorEastAsia"/>
        </w:rPr>
        <w:t xml:space="preserve"> y Casas </w:t>
      </w:r>
      <w:r w:rsidR="00620C46" w:rsidRPr="00620C46">
        <w:rPr>
          <w:rFonts w:eastAsiaTheme="minorEastAsia"/>
        </w:rPr>
        <w:t xml:space="preserve">S. </w:t>
      </w:r>
      <w:r w:rsidRPr="003827C9">
        <w:rPr>
          <w:rFonts w:eastAsiaTheme="minorEastAsia"/>
        </w:rPr>
        <w:t>A</w:t>
      </w:r>
      <w:r w:rsidRPr="003827C9">
        <w:rPr>
          <w:rFonts w:eastAsiaTheme="minorEastAsia"/>
          <w:rtl/>
        </w:rPr>
        <w:t>"، التي لم</w:t>
      </w:r>
      <w:r w:rsidR="00486457">
        <w:rPr>
          <w:rFonts w:eastAsiaTheme="minorEastAsia" w:hint="cs"/>
          <w:rtl/>
        </w:rPr>
        <w:t> </w:t>
      </w:r>
      <w:r w:rsidRPr="003827C9">
        <w:rPr>
          <w:rFonts w:eastAsiaTheme="minorEastAsia"/>
          <w:rtl/>
        </w:rPr>
        <w:t xml:space="preserve">تقدم إقراراتها الضريبية للأعوام </w:t>
      </w:r>
      <w:r w:rsidRPr="00990AFC">
        <w:rPr>
          <w:rFonts w:eastAsiaTheme="minorEastAsia"/>
          <w:rtl/>
        </w:rPr>
        <w:t>1987</w:t>
      </w:r>
      <w:r w:rsidRPr="003827C9">
        <w:rPr>
          <w:rFonts w:eastAsiaTheme="minorEastAsia"/>
          <w:rtl/>
        </w:rPr>
        <w:t xml:space="preserve"> و</w:t>
      </w:r>
      <w:r w:rsidRPr="00990AFC">
        <w:rPr>
          <w:rFonts w:eastAsiaTheme="minorEastAsia"/>
          <w:rtl/>
        </w:rPr>
        <w:t>1988</w:t>
      </w:r>
      <w:r w:rsidRPr="003827C9">
        <w:rPr>
          <w:rFonts w:eastAsiaTheme="minorEastAsia"/>
          <w:rtl/>
        </w:rPr>
        <w:t xml:space="preserve"> و</w:t>
      </w:r>
      <w:r w:rsidRPr="00990AFC">
        <w:rPr>
          <w:rFonts w:eastAsiaTheme="minorEastAsia"/>
          <w:rtl/>
        </w:rPr>
        <w:t>1999</w:t>
      </w:r>
      <w:r w:rsidRPr="003827C9">
        <w:rPr>
          <w:rFonts w:eastAsiaTheme="minorEastAsia"/>
          <w:rtl/>
        </w:rPr>
        <w:t xml:space="preserve">، ولا إقرار ضريبة القيمة المضافة لعام </w:t>
      </w:r>
      <w:r w:rsidRPr="00990AFC">
        <w:rPr>
          <w:rFonts w:eastAsiaTheme="minorEastAsia"/>
          <w:rtl/>
        </w:rPr>
        <w:t>1988</w:t>
      </w:r>
      <w:r w:rsidRPr="003827C9">
        <w:rPr>
          <w:rFonts w:eastAsiaTheme="minorEastAsia"/>
          <w:rtl/>
        </w:rPr>
        <w:t>، مما كبَّد الخزانة العامة الإسبانية خسارة قدرها</w:t>
      </w:r>
      <w:r w:rsidR="007A7AD0">
        <w:rPr>
          <w:rFonts w:eastAsiaTheme="minorEastAsia" w:hint="cs"/>
          <w:rtl/>
        </w:rPr>
        <w:t xml:space="preserve"> </w:t>
      </w:r>
      <w:r w:rsidR="007A7AD0" w:rsidRPr="00990AFC">
        <w:rPr>
          <w:rFonts w:eastAsiaTheme="minorEastAsia"/>
          <w:rtl/>
        </w:rPr>
        <w:t>356</w:t>
      </w:r>
      <w:r w:rsidRPr="003827C9">
        <w:rPr>
          <w:rFonts w:eastAsiaTheme="minorEastAsia"/>
          <w:rtl/>
        </w:rPr>
        <w:t xml:space="preserve"> </w:t>
      </w:r>
      <w:r w:rsidRPr="00990AFC">
        <w:rPr>
          <w:rFonts w:eastAsiaTheme="minorEastAsia"/>
          <w:rtl/>
        </w:rPr>
        <w:t>639</w:t>
      </w:r>
      <w:r w:rsidRPr="003827C9">
        <w:rPr>
          <w:rFonts w:eastAsiaTheme="minorEastAsia"/>
          <w:rtl/>
        </w:rPr>
        <w:t xml:space="preserve"> </w:t>
      </w:r>
      <w:r w:rsidR="007A7AD0" w:rsidRPr="00990AFC">
        <w:rPr>
          <w:rFonts w:eastAsiaTheme="minorEastAsia"/>
          <w:rtl/>
        </w:rPr>
        <w:t>928</w:t>
      </w:r>
      <w:r w:rsidR="007A7AD0">
        <w:rPr>
          <w:rFonts w:eastAsiaTheme="minorEastAsia" w:hint="cs"/>
          <w:rtl/>
        </w:rPr>
        <w:t xml:space="preserve"> </w:t>
      </w:r>
      <w:proofErr w:type="spellStart"/>
      <w:r w:rsidRPr="003827C9">
        <w:rPr>
          <w:rFonts w:eastAsiaTheme="minorEastAsia"/>
          <w:rtl/>
        </w:rPr>
        <w:t>بيسيط</w:t>
      </w:r>
      <w:r w:rsidRPr="003827C9">
        <w:rPr>
          <w:rFonts w:eastAsiaTheme="minorEastAsia" w:hint="cs"/>
          <w:rtl/>
        </w:rPr>
        <w:t>َ</w:t>
      </w:r>
      <w:r w:rsidRPr="003827C9">
        <w:rPr>
          <w:rFonts w:eastAsiaTheme="minorEastAsia"/>
          <w:rtl/>
        </w:rPr>
        <w:t>ا</w:t>
      </w:r>
      <w:proofErr w:type="spellEnd"/>
      <w:r w:rsidRPr="003827C9">
        <w:rPr>
          <w:rFonts w:eastAsiaTheme="minorEastAsia"/>
          <w:rtl/>
        </w:rPr>
        <w:t xml:space="preserve"> (حوالي </w:t>
      </w:r>
      <w:r w:rsidRPr="00990AFC">
        <w:rPr>
          <w:rFonts w:eastAsiaTheme="minorEastAsia"/>
          <w:rtl/>
        </w:rPr>
        <w:t>6</w:t>
      </w:r>
      <w:r w:rsidRPr="003827C9">
        <w:rPr>
          <w:rFonts w:eastAsiaTheme="minorEastAsia"/>
          <w:rtl/>
        </w:rPr>
        <w:t xml:space="preserve"> ملايين دولار من دولارات الولايات المتحدة</w:t>
      </w:r>
      <w:r w:rsidR="00620C46" w:rsidRPr="00620C46">
        <w:rPr>
          <w:rFonts w:eastAsiaTheme="minorEastAsia"/>
          <w:rtl/>
        </w:rPr>
        <w:t xml:space="preserve">). </w:t>
      </w:r>
      <w:r w:rsidRPr="003827C9">
        <w:rPr>
          <w:rFonts w:eastAsiaTheme="minorEastAsia"/>
          <w:rtl/>
        </w:rPr>
        <w:t xml:space="preserve">ولذلك، قدّمت النيابة العامة شكوى ضد صاحب البلاغ باعتباره مدير الشركة خلال تلك الفترات، وكذلك ضد اثنين من شركائه، بدعوى ارتكاب عدة جرائم ضد الخزانة العامة، منصوص عليها في المادة </w:t>
      </w:r>
      <w:r w:rsidRPr="00990AFC">
        <w:rPr>
          <w:rFonts w:eastAsiaTheme="minorEastAsia"/>
          <w:rtl/>
        </w:rPr>
        <w:t>349</w:t>
      </w:r>
      <w:r w:rsidRPr="003827C9">
        <w:rPr>
          <w:rFonts w:eastAsiaTheme="minorEastAsia"/>
          <w:rtl/>
        </w:rPr>
        <w:t xml:space="preserve"> من قانون العقوبات الساري خلال فترة حدوث الوقائع. </w:t>
      </w:r>
    </w:p>
    <w:p w14:paraId="79DEB4F0" w14:textId="77777777" w:rsidR="003827C9" w:rsidRPr="00340F0E" w:rsidRDefault="003827C9" w:rsidP="003827C9">
      <w:pPr>
        <w:pStyle w:val="SingleTxtGA"/>
        <w:rPr>
          <w:rFonts w:eastAsiaTheme="minorEastAsia"/>
          <w:spacing w:val="-2"/>
          <w:lang w:val="ar-SA" w:eastAsia="zh-TW" w:bidi="en-GB"/>
        </w:rPr>
      </w:pPr>
      <w:r w:rsidRPr="00990AFC">
        <w:rPr>
          <w:rFonts w:eastAsiaTheme="minorEastAsia"/>
          <w:spacing w:val="-2"/>
          <w:rtl/>
        </w:rPr>
        <w:t>2</w:t>
      </w:r>
      <w:r w:rsidRPr="00340F0E">
        <w:rPr>
          <w:rFonts w:eastAsiaTheme="minorEastAsia"/>
          <w:spacing w:val="-2"/>
          <w:rtl/>
        </w:rPr>
        <w:t>-</w:t>
      </w:r>
      <w:r w:rsidRPr="00990AFC">
        <w:rPr>
          <w:rFonts w:eastAsiaTheme="minorEastAsia"/>
          <w:spacing w:val="-2"/>
          <w:rtl/>
        </w:rPr>
        <w:t>2</w:t>
      </w:r>
      <w:r w:rsidRPr="00340F0E">
        <w:rPr>
          <w:rFonts w:eastAsiaTheme="minorEastAsia"/>
          <w:spacing w:val="-2"/>
          <w:rtl/>
        </w:rPr>
        <w:tab/>
        <w:t xml:space="preserve">وأدت تلك الشكوى إلى مباشرة إجراءات مستعجلة، وأُسندت مهمة التحقيق فيها إلى محكمة التحقيق رقم </w:t>
      </w:r>
      <w:r w:rsidRPr="00990AFC">
        <w:rPr>
          <w:rFonts w:eastAsiaTheme="minorEastAsia"/>
          <w:spacing w:val="-2"/>
          <w:rtl/>
        </w:rPr>
        <w:t>43</w:t>
      </w:r>
      <w:r w:rsidRPr="00340F0E">
        <w:rPr>
          <w:rFonts w:eastAsiaTheme="minorEastAsia"/>
          <w:spacing w:val="-2"/>
          <w:rtl/>
        </w:rPr>
        <w:t xml:space="preserve"> في مدريد. وبمجرد إتمام جميع الإجراءات الأولية، قدمت النيابة العامة ومحامي الدولة لائحتي اتهام ضد صاحب البلاغ وشريكيْه، وأُسندت بالتالي مهمة المحاكمة إلى المحكمة الجنائية رقم </w:t>
      </w:r>
      <w:r w:rsidRPr="00990AFC">
        <w:rPr>
          <w:rFonts w:eastAsiaTheme="minorEastAsia"/>
          <w:spacing w:val="-2"/>
          <w:rtl/>
        </w:rPr>
        <w:t>18</w:t>
      </w:r>
      <w:r w:rsidRPr="00340F0E">
        <w:rPr>
          <w:rFonts w:eastAsiaTheme="minorEastAsia"/>
          <w:spacing w:val="-2"/>
          <w:rtl/>
        </w:rPr>
        <w:t xml:space="preserve"> في مدريد.</w:t>
      </w:r>
    </w:p>
    <w:p w14:paraId="6FD05EC2" w14:textId="77777777" w:rsidR="003827C9" w:rsidRPr="009D3F1B" w:rsidRDefault="003827C9" w:rsidP="003827C9">
      <w:pPr>
        <w:pStyle w:val="SingleTxtGA"/>
        <w:rPr>
          <w:rFonts w:eastAsiaTheme="minorEastAsia"/>
          <w:lang w:val="en-US" w:eastAsia="zh-TW" w:bidi="en-GB"/>
        </w:rPr>
      </w:pPr>
      <w:r w:rsidRPr="00990AFC">
        <w:rPr>
          <w:rFonts w:eastAsiaTheme="minorEastAsia"/>
          <w:rtl/>
        </w:rPr>
        <w:t>2</w:t>
      </w:r>
      <w:r w:rsidRPr="003827C9">
        <w:rPr>
          <w:rFonts w:eastAsiaTheme="minorEastAsia"/>
          <w:rtl/>
        </w:rPr>
        <w:t>-</w:t>
      </w:r>
      <w:r w:rsidRPr="00990AFC">
        <w:rPr>
          <w:rFonts w:eastAsiaTheme="minorEastAsia"/>
          <w:rtl/>
        </w:rPr>
        <w:t>3</w:t>
      </w:r>
      <w:r w:rsidRPr="003827C9">
        <w:rPr>
          <w:rFonts w:eastAsiaTheme="minorEastAsia"/>
          <w:rtl/>
        </w:rPr>
        <w:tab/>
        <w:t xml:space="preserve">وفي أواخر عام </w:t>
      </w:r>
      <w:r w:rsidRPr="00990AFC">
        <w:rPr>
          <w:rFonts w:eastAsiaTheme="minorEastAsia"/>
          <w:rtl/>
        </w:rPr>
        <w:t>2005</w:t>
      </w:r>
      <w:r w:rsidRPr="003827C9">
        <w:rPr>
          <w:rFonts w:eastAsiaTheme="minorEastAsia"/>
          <w:rtl/>
        </w:rPr>
        <w:t xml:space="preserve">، أصدرت المحكمة الجنائية رقم </w:t>
      </w:r>
      <w:r w:rsidRPr="00990AFC">
        <w:rPr>
          <w:rFonts w:eastAsiaTheme="minorEastAsia"/>
          <w:rtl/>
        </w:rPr>
        <w:t>18</w:t>
      </w:r>
      <w:r w:rsidRPr="003827C9">
        <w:rPr>
          <w:rFonts w:eastAsiaTheme="minorEastAsia"/>
          <w:rtl/>
        </w:rPr>
        <w:t xml:space="preserve"> في مدريد، بعد جلسة المحاكمة الشفوية، حكماً قضت فيه بتبرئة المتهمين، حيث رأت أنه لم </w:t>
      </w:r>
      <w:r w:rsidRPr="003827C9">
        <w:rPr>
          <w:rFonts w:eastAsiaTheme="minorEastAsia" w:hint="cs"/>
          <w:rtl/>
        </w:rPr>
        <w:t xml:space="preserve">يثبت </w:t>
      </w:r>
      <w:r w:rsidRPr="003827C9">
        <w:rPr>
          <w:rFonts w:eastAsiaTheme="minorEastAsia"/>
          <w:rtl/>
        </w:rPr>
        <w:t xml:space="preserve">بما فيه الكفاية العنصر الذاتي للجريمة، إذ لم تُتِح الأدلة إمكانية استنتاج أن المتهمين لم يكونوا مسيِّرين إداريين للشركة من الناحية القانونية فحسب، بل كذلك من الناحية الفعلية، وأنهم تصرفوا بالتالي بنية الاحتيال. واستأنف الطرفان المدعيان هذا القرار. وفي </w:t>
      </w:r>
      <w:r w:rsidRPr="00990AFC">
        <w:rPr>
          <w:rFonts w:eastAsiaTheme="minorEastAsia"/>
          <w:rtl/>
        </w:rPr>
        <w:t>11</w:t>
      </w:r>
      <w:r w:rsidRPr="003827C9">
        <w:rPr>
          <w:rFonts w:eastAsiaTheme="minorEastAsia"/>
          <w:rtl/>
        </w:rPr>
        <w:t xml:space="preserve"> أيار/مايو </w:t>
      </w:r>
      <w:r w:rsidRPr="00990AFC">
        <w:rPr>
          <w:rFonts w:eastAsiaTheme="minorEastAsia"/>
          <w:rtl/>
        </w:rPr>
        <w:t>2006</w:t>
      </w:r>
      <w:r w:rsidRPr="003827C9">
        <w:rPr>
          <w:rFonts w:eastAsiaTheme="minorEastAsia"/>
          <w:rtl/>
        </w:rPr>
        <w:t xml:space="preserve">، أعلنت الدائرة الأولى بالمحكمة العليا الإقليمية في مدريد أن الطعنين معلَّلان، </w:t>
      </w:r>
      <w:r w:rsidRPr="003827C9">
        <w:rPr>
          <w:rFonts w:eastAsiaTheme="minorEastAsia" w:hint="cs"/>
          <w:rtl/>
        </w:rPr>
        <w:t xml:space="preserve">بالنظر </w:t>
      </w:r>
      <w:r w:rsidRPr="003827C9">
        <w:rPr>
          <w:rFonts w:eastAsiaTheme="minorEastAsia"/>
          <w:rtl/>
        </w:rPr>
        <w:t>إلى التعليل المعيب لحكم البراءة، وأعلنت بالتالي بطلان الحكم وأعادت القضية إلى المحكمة الجنائية لتصدر قراراً جديداً بشأنها.</w:t>
      </w:r>
    </w:p>
    <w:p w14:paraId="27D0372F" w14:textId="604395AD" w:rsidR="003827C9" w:rsidRPr="003827C9" w:rsidRDefault="003827C9" w:rsidP="003827C9">
      <w:pPr>
        <w:pStyle w:val="SingleTxtGA"/>
        <w:rPr>
          <w:rFonts w:eastAsiaTheme="minorEastAsia"/>
          <w:lang w:val="ar-SA" w:eastAsia="zh-TW" w:bidi="en-GB"/>
        </w:rPr>
      </w:pPr>
      <w:r w:rsidRPr="00990AFC">
        <w:rPr>
          <w:rFonts w:eastAsiaTheme="minorEastAsia"/>
          <w:rtl/>
        </w:rPr>
        <w:t>2</w:t>
      </w:r>
      <w:r w:rsidRPr="003827C9">
        <w:rPr>
          <w:rFonts w:eastAsiaTheme="minorEastAsia"/>
          <w:rtl/>
        </w:rPr>
        <w:t>-</w:t>
      </w:r>
      <w:r w:rsidRPr="00990AFC">
        <w:rPr>
          <w:rFonts w:eastAsiaTheme="minorEastAsia"/>
          <w:rtl/>
        </w:rPr>
        <w:t>4</w:t>
      </w:r>
      <w:r w:rsidRPr="003827C9">
        <w:rPr>
          <w:rFonts w:eastAsiaTheme="minorEastAsia"/>
          <w:rtl/>
        </w:rPr>
        <w:tab/>
        <w:t xml:space="preserve">وأصدرت المحكمة الجنائية رقم </w:t>
      </w:r>
      <w:r w:rsidRPr="00990AFC">
        <w:rPr>
          <w:rFonts w:eastAsiaTheme="minorEastAsia"/>
          <w:rtl/>
        </w:rPr>
        <w:t>18</w:t>
      </w:r>
      <w:r w:rsidRPr="003827C9">
        <w:rPr>
          <w:rFonts w:eastAsiaTheme="minorEastAsia"/>
          <w:rtl/>
        </w:rPr>
        <w:t xml:space="preserve"> حكماً جديداً برأت فيه المتهمين مرة أخرى. وطعن الطرفان المدعيان في هذا القرار، وقضت المحكمة العليا الإقليمية في مدريد مرة أخرى، في </w:t>
      </w:r>
      <w:r w:rsidRPr="00990AFC">
        <w:rPr>
          <w:rFonts w:eastAsiaTheme="minorEastAsia"/>
          <w:rtl/>
        </w:rPr>
        <w:t>10</w:t>
      </w:r>
      <w:r w:rsidRPr="003827C9">
        <w:rPr>
          <w:rFonts w:eastAsiaTheme="minorEastAsia"/>
          <w:rtl/>
        </w:rPr>
        <w:t xml:space="preserve"> كانون الأول/</w:t>
      </w:r>
      <w:r w:rsidR="00486457">
        <w:rPr>
          <w:rFonts w:eastAsiaTheme="minorEastAsia" w:hint="cs"/>
          <w:rtl/>
        </w:rPr>
        <w:t xml:space="preserve"> </w:t>
      </w:r>
      <w:r w:rsidRPr="003827C9">
        <w:rPr>
          <w:rFonts w:eastAsiaTheme="minorEastAsia"/>
          <w:rtl/>
        </w:rPr>
        <w:t xml:space="preserve">ديسمبر </w:t>
      </w:r>
      <w:r w:rsidRPr="00990AFC">
        <w:rPr>
          <w:rFonts w:eastAsiaTheme="minorEastAsia"/>
          <w:rtl/>
        </w:rPr>
        <w:t>2009</w:t>
      </w:r>
      <w:r w:rsidRPr="003827C9">
        <w:rPr>
          <w:rFonts w:eastAsiaTheme="minorEastAsia"/>
          <w:rtl/>
        </w:rPr>
        <w:t xml:space="preserve">، ببطلان حكم البراءة على أساس تعليله المعيب، وطلبت إلى المحكمة الجنائية إصدار قرار جديد. </w:t>
      </w:r>
    </w:p>
    <w:p w14:paraId="79E1BF8A" w14:textId="77777777" w:rsidR="003827C9" w:rsidRPr="003827C9" w:rsidRDefault="003827C9" w:rsidP="003827C9">
      <w:pPr>
        <w:pStyle w:val="SingleTxtGA"/>
        <w:rPr>
          <w:rFonts w:eastAsiaTheme="minorEastAsia"/>
          <w:lang w:val="ar-SA" w:eastAsia="zh-TW" w:bidi="en-GB"/>
        </w:rPr>
      </w:pPr>
      <w:r w:rsidRPr="00990AFC">
        <w:rPr>
          <w:rFonts w:eastAsiaTheme="minorEastAsia"/>
          <w:rtl/>
        </w:rPr>
        <w:t>2</w:t>
      </w:r>
      <w:r w:rsidRPr="003827C9">
        <w:rPr>
          <w:rFonts w:eastAsiaTheme="minorEastAsia"/>
          <w:rtl/>
        </w:rPr>
        <w:t>-</w:t>
      </w:r>
      <w:r w:rsidRPr="00990AFC">
        <w:rPr>
          <w:rFonts w:eastAsiaTheme="minorEastAsia"/>
          <w:rtl/>
        </w:rPr>
        <w:t>5</w:t>
      </w:r>
      <w:r w:rsidRPr="003827C9">
        <w:rPr>
          <w:rFonts w:eastAsiaTheme="minorEastAsia"/>
          <w:rtl/>
        </w:rPr>
        <w:tab/>
        <w:t xml:space="preserve">وفي </w:t>
      </w:r>
      <w:r w:rsidRPr="00990AFC">
        <w:rPr>
          <w:rFonts w:eastAsiaTheme="minorEastAsia"/>
          <w:rtl/>
        </w:rPr>
        <w:t>21</w:t>
      </w:r>
      <w:r w:rsidRPr="003827C9">
        <w:rPr>
          <w:rFonts w:eastAsiaTheme="minorEastAsia"/>
          <w:rtl/>
        </w:rPr>
        <w:t xml:space="preserve"> كانون الثاني/يناير </w:t>
      </w:r>
      <w:r w:rsidRPr="00990AFC">
        <w:rPr>
          <w:rFonts w:eastAsiaTheme="minorEastAsia"/>
          <w:rtl/>
        </w:rPr>
        <w:t>2011</w:t>
      </w:r>
      <w:r w:rsidRPr="003827C9">
        <w:rPr>
          <w:rFonts w:eastAsiaTheme="minorEastAsia"/>
          <w:rtl/>
        </w:rPr>
        <w:t xml:space="preserve">، أصدرت المحكمة الجنائية رقم </w:t>
      </w:r>
      <w:r w:rsidRPr="00990AFC">
        <w:rPr>
          <w:rFonts w:eastAsiaTheme="minorEastAsia"/>
          <w:rtl/>
        </w:rPr>
        <w:t>18</w:t>
      </w:r>
      <w:r w:rsidRPr="003827C9">
        <w:rPr>
          <w:rFonts w:eastAsiaTheme="minorEastAsia"/>
          <w:rtl/>
        </w:rPr>
        <w:t xml:space="preserve"> حكمها الثالث ببراءة صاحب البلاغ والمتهمين الآخرين. واستأنف الطرفان المدعيان هذا الحكم مرة أخرى أمام المحكمة العليا الإقليمية في مدريد، التي رأت أنه من الضروري عقد جلسة استماع للبت في الطعنيْن. واستند هذان الطعنان إلى ارتكاب المحكمة الابتدائية خطأ في تقييم الأدلة. ويُستنتج من تلك الأدلة، في رأي الطرفين المدعيين، أن صاحب البلاغ تصرف بوصفه مديراً للشركة وأنه كان على علم بعدم تقديم الإقرارات الضريبية موضوع الدعوى وسمح بذلك، حيث كان مديراً يتمتع بجميع الصلاحيات التي يخولها له مجلس الإدارة وكان بإمكانه تقديم هذه الإقرارات بنفسه. </w:t>
      </w:r>
    </w:p>
    <w:p w14:paraId="647E1D8C" w14:textId="77777777" w:rsidR="003827C9" w:rsidRPr="003827C9" w:rsidRDefault="003827C9" w:rsidP="003827C9">
      <w:pPr>
        <w:pStyle w:val="SingleTxtGA"/>
        <w:rPr>
          <w:rFonts w:eastAsiaTheme="minorEastAsia"/>
          <w:lang w:val="ar-SA" w:eastAsia="zh-TW" w:bidi="en-GB"/>
        </w:rPr>
      </w:pPr>
      <w:r w:rsidRPr="00990AFC">
        <w:rPr>
          <w:rFonts w:eastAsiaTheme="minorEastAsia"/>
          <w:rtl/>
        </w:rPr>
        <w:t>2</w:t>
      </w:r>
      <w:r w:rsidRPr="003827C9">
        <w:rPr>
          <w:rFonts w:eastAsiaTheme="minorEastAsia"/>
          <w:rtl/>
        </w:rPr>
        <w:t>-</w:t>
      </w:r>
      <w:r w:rsidRPr="00990AFC">
        <w:rPr>
          <w:rFonts w:eastAsiaTheme="minorEastAsia"/>
          <w:rtl/>
        </w:rPr>
        <w:t>6</w:t>
      </w:r>
      <w:r w:rsidRPr="003827C9">
        <w:rPr>
          <w:rFonts w:eastAsiaTheme="minorEastAsia"/>
          <w:rtl/>
        </w:rPr>
        <w:tab/>
        <w:t xml:space="preserve">وفي </w:t>
      </w:r>
      <w:r w:rsidRPr="00990AFC">
        <w:rPr>
          <w:rFonts w:eastAsiaTheme="minorEastAsia"/>
          <w:rtl/>
        </w:rPr>
        <w:t>30</w:t>
      </w:r>
      <w:r w:rsidRPr="003827C9">
        <w:rPr>
          <w:rFonts w:eastAsiaTheme="minorEastAsia"/>
          <w:rtl/>
        </w:rPr>
        <w:t xml:space="preserve"> نيسان/أبريل </w:t>
      </w:r>
      <w:r w:rsidRPr="00990AFC">
        <w:rPr>
          <w:rFonts w:eastAsiaTheme="minorEastAsia"/>
          <w:rtl/>
        </w:rPr>
        <w:t>2012</w:t>
      </w:r>
      <w:r w:rsidRPr="003827C9">
        <w:rPr>
          <w:rFonts w:eastAsiaTheme="minorEastAsia"/>
          <w:rtl/>
        </w:rPr>
        <w:t>، قبلت المحكمة العليا الإقليمية في مدريد الطعنيْن وأدانت صاحب البلاغ بارتكاب أربع جرائم ضد الخزانة العامة، مقترنة بالظرف المخف</w:t>
      </w:r>
      <w:r w:rsidRPr="003827C9">
        <w:rPr>
          <w:rFonts w:eastAsiaTheme="minorEastAsia" w:hint="cs"/>
          <w:rtl/>
        </w:rPr>
        <w:t>ِّ</w:t>
      </w:r>
      <w:r w:rsidRPr="003827C9">
        <w:rPr>
          <w:rFonts w:eastAsiaTheme="minorEastAsia"/>
          <w:rtl/>
        </w:rPr>
        <w:t xml:space="preserve">ف للغاية المتمثل في التأخير غير المبرر، وحكمت عليه، فيما يتعلق بكل جريمة، بعقوبة السَّجن الاعتيادي القصير الأجل مدة ستة أشهر ويوم واحد، وبغرامة مالية قدرها ثلاثة أضعاف المبلغ موضوع التحايل. </w:t>
      </w:r>
    </w:p>
    <w:p w14:paraId="0FED664A" w14:textId="5D0F1EC8" w:rsidR="00620C46" w:rsidRPr="00620C46" w:rsidRDefault="003827C9" w:rsidP="003827C9">
      <w:pPr>
        <w:pStyle w:val="SingleTxtGA"/>
        <w:rPr>
          <w:rFonts w:eastAsiaTheme="minorEastAsia"/>
          <w:lang w:val="ar-SA" w:eastAsia="zh-TW" w:bidi="en-GB"/>
        </w:rPr>
      </w:pPr>
      <w:r w:rsidRPr="00990AFC">
        <w:rPr>
          <w:rFonts w:eastAsiaTheme="minorEastAsia"/>
          <w:rtl/>
        </w:rPr>
        <w:lastRenderedPageBreak/>
        <w:t>2</w:t>
      </w:r>
      <w:r w:rsidRPr="003827C9">
        <w:rPr>
          <w:rFonts w:eastAsiaTheme="minorEastAsia"/>
          <w:rtl/>
        </w:rPr>
        <w:t>-</w:t>
      </w:r>
      <w:r w:rsidRPr="00990AFC">
        <w:rPr>
          <w:rFonts w:eastAsiaTheme="minorEastAsia"/>
          <w:rtl/>
        </w:rPr>
        <w:t>7</w:t>
      </w:r>
      <w:r w:rsidRPr="003827C9">
        <w:rPr>
          <w:rFonts w:eastAsiaTheme="minorEastAsia"/>
          <w:rtl/>
        </w:rPr>
        <w:tab/>
        <w:t>ويدعي صاحب البلاغ أن المحكمة غيَّرت في هذا الحكم رواية الوقائع المثبتة في حكم البراءة الصادر عن المحكمة الابتدائية، وأجرت كذلك تقييماً للأدلة المقدمة خلال المحاكمة الشفوية، لم يشمل الأدلة المستندية فحسب، بل كذلك الأدلة ذات الطابع الشخصي، ولم تستمع إلى طرفي الدعوى، حيث لم</w:t>
      </w:r>
      <w:r w:rsidR="00340F0E">
        <w:rPr>
          <w:rFonts w:eastAsiaTheme="minorEastAsia" w:hint="cs"/>
          <w:rtl/>
        </w:rPr>
        <w:t> </w:t>
      </w:r>
      <w:r w:rsidRPr="003827C9">
        <w:rPr>
          <w:rFonts w:eastAsiaTheme="minorEastAsia"/>
          <w:rtl/>
        </w:rPr>
        <w:t xml:space="preserve">يجر، رغم عقد جلسة استماع جديدة، </w:t>
      </w:r>
      <w:r w:rsidRPr="003827C9">
        <w:rPr>
          <w:rFonts w:eastAsiaTheme="minorEastAsia" w:hint="cs"/>
          <w:rtl/>
        </w:rPr>
        <w:t xml:space="preserve">تقديم </w:t>
      </w:r>
      <w:r w:rsidRPr="003827C9">
        <w:rPr>
          <w:rFonts w:eastAsiaTheme="minorEastAsia"/>
          <w:rtl/>
        </w:rPr>
        <w:t xml:space="preserve">أي أدلة عدا توجيه أسئلة عامة إلى صاحب البلاغ بشأن الاعتراف </w:t>
      </w:r>
      <w:r w:rsidRPr="003827C9">
        <w:rPr>
          <w:rFonts w:eastAsiaTheme="minorEastAsia" w:hint="cs"/>
          <w:rtl/>
        </w:rPr>
        <w:t xml:space="preserve">بالأفعال المنسوبة إليه </w:t>
      </w:r>
      <w:r w:rsidRPr="003827C9">
        <w:rPr>
          <w:rFonts w:eastAsiaTheme="minorEastAsia"/>
          <w:rtl/>
        </w:rPr>
        <w:t xml:space="preserve">أو نفيها. وفي </w:t>
      </w:r>
      <w:r w:rsidRPr="00990AFC">
        <w:rPr>
          <w:rFonts w:eastAsiaTheme="minorEastAsia"/>
          <w:rtl/>
        </w:rPr>
        <w:t>29</w:t>
      </w:r>
      <w:r w:rsidRPr="003827C9">
        <w:rPr>
          <w:rFonts w:eastAsiaTheme="minorEastAsia"/>
          <w:rtl/>
        </w:rPr>
        <w:t xml:space="preserve"> أيار/مايو </w:t>
      </w:r>
      <w:r w:rsidRPr="00990AFC">
        <w:rPr>
          <w:rFonts w:eastAsiaTheme="minorEastAsia"/>
          <w:rtl/>
        </w:rPr>
        <w:t>2012</w:t>
      </w:r>
      <w:r w:rsidRPr="003827C9">
        <w:rPr>
          <w:rFonts w:eastAsiaTheme="minorEastAsia"/>
          <w:rtl/>
        </w:rPr>
        <w:t>، أُبلغ صاحب البلاغ بحكم الإدانة الذي لم يكن قابلاً للاستئناف</w:t>
      </w:r>
      <w:r w:rsidR="00620C46" w:rsidRPr="00990AFC">
        <w:rPr>
          <w:rStyle w:val="FootnoteReference"/>
          <w:rFonts w:eastAsiaTheme="minorEastAsia" w:cs="Simplified Arabic"/>
          <w:sz w:val="22"/>
          <w:szCs w:val="22"/>
          <w:rtl/>
          <w:lang w:val="en-US"/>
        </w:rPr>
        <w:t>(</w:t>
      </w:r>
      <w:r w:rsidR="00620C46" w:rsidRPr="00990AFC">
        <w:rPr>
          <w:rStyle w:val="FootnoteReference"/>
          <w:rFonts w:eastAsiaTheme="minorEastAsia" w:cs="Simplified Arabic"/>
          <w:sz w:val="22"/>
          <w:szCs w:val="22"/>
          <w:lang w:val="en-US"/>
        </w:rPr>
        <w:footnoteReference w:id="3"/>
      </w:r>
      <w:r w:rsidR="00620C46" w:rsidRPr="00990AFC">
        <w:rPr>
          <w:rStyle w:val="FootnoteReference"/>
          <w:rFonts w:eastAsiaTheme="minorEastAsia" w:cs="Simplified Arabic"/>
          <w:sz w:val="22"/>
          <w:szCs w:val="22"/>
          <w:rtl/>
        </w:rPr>
        <w:t>)</w:t>
      </w:r>
      <w:r w:rsidR="00620C46" w:rsidRPr="00620C46">
        <w:rPr>
          <w:rFonts w:eastAsiaTheme="minorEastAsia"/>
          <w:rtl/>
        </w:rPr>
        <w:t>.</w:t>
      </w:r>
    </w:p>
    <w:p w14:paraId="23A1D352" w14:textId="2179D73D" w:rsidR="003827C9" w:rsidRPr="003827C9" w:rsidRDefault="003827C9" w:rsidP="003827C9">
      <w:pPr>
        <w:pStyle w:val="SingleTxtGA"/>
        <w:rPr>
          <w:rFonts w:eastAsiaTheme="minorEastAsia"/>
          <w:lang w:val="ar-SA" w:eastAsia="zh-TW" w:bidi="en-GB"/>
        </w:rPr>
      </w:pPr>
      <w:r w:rsidRPr="00990AFC">
        <w:rPr>
          <w:rFonts w:eastAsiaTheme="minorEastAsia"/>
          <w:rtl/>
        </w:rPr>
        <w:t>2</w:t>
      </w:r>
      <w:r w:rsidRPr="003827C9">
        <w:rPr>
          <w:rFonts w:eastAsiaTheme="minorEastAsia"/>
          <w:rtl/>
        </w:rPr>
        <w:t>-</w:t>
      </w:r>
      <w:r w:rsidRPr="00990AFC">
        <w:rPr>
          <w:rFonts w:eastAsiaTheme="minorEastAsia"/>
          <w:rtl/>
        </w:rPr>
        <w:t>8</w:t>
      </w:r>
      <w:r w:rsidRPr="003827C9">
        <w:rPr>
          <w:rFonts w:eastAsiaTheme="minorEastAsia"/>
          <w:rtl/>
        </w:rPr>
        <w:tab/>
        <w:t xml:space="preserve">وفي </w:t>
      </w:r>
      <w:r w:rsidRPr="00990AFC">
        <w:rPr>
          <w:rFonts w:eastAsiaTheme="minorEastAsia"/>
          <w:rtl/>
        </w:rPr>
        <w:t>20</w:t>
      </w:r>
      <w:r w:rsidRPr="003827C9">
        <w:rPr>
          <w:rFonts w:eastAsiaTheme="minorEastAsia"/>
          <w:rtl/>
        </w:rPr>
        <w:t xml:space="preserve"> حزيران/</w:t>
      </w:r>
      <w:proofErr w:type="gramStart"/>
      <w:r w:rsidRPr="003827C9">
        <w:rPr>
          <w:rFonts w:eastAsiaTheme="minorEastAsia"/>
          <w:rtl/>
        </w:rPr>
        <w:t>يونيه</w:t>
      </w:r>
      <w:proofErr w:type="gramEnd"/>
      <w:r w:rsidRPr="003827C9">
        <w:rPr>
          <w:rFonts w:eastAsiaTheme="minorEastAsia"/>
          <w:rtl/>
        </w:rPr>
        <w:t xml:space="preserve"> </w:t>
      </w:r>
      <w:r w:rsidRPr="00990AFC">
        <w:rPr>
          <w:rFonts w:eastAsiaTheme="minorEastAsia"/>
          <w:rtl/>
        </w:rPr>
        <w:t>2012</w:t>
      </w:r>
      <w:r w:rsidRPr="003827C9">
        <w:rPr>
          <w:rFonts w:eastAsiaTheme="minorEastAsia"/>
          <w:rtl/>
        </w:rPr>
        <w:t xml:space="preserve">، قدم محامي صاحب البلاغ إلى المحكمة العليا الإقليمية مذكرة أعلن فيها تنحيه عن الدفاع وطلب تعليق الأجل المحدد في </w:t>
      </w:r>
      <w:r w:rsidRPr="00990AFC">
        <w:rPr>
          <w:rFonts w:eastAsiaTheme="minorEastAsia"/>
          <w:rtl/>
        </w:rPr>
        <w:t>20</w:t>
      </w:r>
      <w:r w:rsidRPr="003827C9">
        <w:rPr>
          <w:rFonts w:eastAsiaTheme="minorEastAsia"/>
          <w:rtl/>
        </w:rPr>
        <w:t xml:space="preserve"> يوماً لتقديم الدعوى الاستثنائية لطلب إعلان بطلان الإجراءات. </w:t>
      </w:r>
    </w:p>
    <w:p w14:paraId="1234A71D" w14:textId="77777777" w:rsidR="003827C9" w:rsidRPr="003827C9" w:rsidRDefault="003827C9" w:rsidP="003827C9">
      <w:pPr>
        <w:pStyle w:val="SingleTxtGA"/>
        <w:rPr>
          <w:rFonts w:eastAsiaTheme="minorEastAsia"/>
          <w:lang w:val="ar-SA" w:eastAsia="zh-TW" w:bidi="en-GB"/>
        </w:rPr>
      </w:pPr>
      <w:r w:rsidRPr="00990AFC">
        <w:rPr>
          <w:rFonts w:eastAsiaTheme="minorEastAsia"/>
          <w:rtl/>
        </w:rPr>
        <w:t>2</w:t>
      </w:r>
      <w:r w:rsidRPr="003827C9">
        <w:rPr>
          <w:rFonts w:eastAsiaTheme="minorEastAsia"/>
          <w:rtl/>
        </w:rPr>
        <w:t>-</w:t>
      </w:r>
      <w:r w:rsidRPr="00990AFC">
        <w:rPr>
          <w:rFonts w:eastAsiaTheme="minorEastAsia"/>
          <w:rtl/>
        </w:rPr>
        <w:t>9</w:t>
      </w:r>
      <w:r w:rsidRPr="003827C9">
        <w:rPr>
          <w:rFonts w:eastAsiaTheme="minorEastAsia"/>
          <w:rtl/>
        </w:rPr>
        <w:tab/>
        <w:t xml:space="preserve">وفي </w:t>
      </w:r>
      <w:r w:rsidRPr="00990AFC">
        <w:rPr>
          <w:rFonts w:eastAsiaTheme="minorEastAsia"/>
          <w:rtl/>
        </w:rPr>
        <w:t>3</w:t>
      </w:r>
      <w:r w:rsidRPr="003827C9">
        <w:rPr>
          <w:rFonts w:eastAsiaTheme="minorEastAsia"/>
          <w:rtl/>
        </w:rPr>
        <w:t xml:space="preserve"> تموز/يوليه </w:t>
      </w:r>
      <w:r w:rsidRPr="00990AFC">
        <w:rPr>
          <w:rFonts w:eastAsiaTheme="minorEastAsia"/>
          <w:rtl/>
        </w:rPr>
        <w:t>2012</w:t>
      </w:r>
      <w:r w:rsidRPr="003827C9">
        <w:rPr>
          <w:rFonts w:eastAsiaTheme="minorEastAsia"/>
          <w:rtl/>
        </w:rPr>
        <w:t xml:space="preserve">، أصدرت الدائرة الأولى بالمحكمة العليا الإقليمية في مدريد قراراً قضت فيه، بعد الإشارة صراحة إلى طلب تعليق الأجل المحدد لتقديم دعوى بطلان الإجراءات، بضم هذا الطلب إلى الإجراءات وإحالته إلى القاضي المقرر. </w:t>
      </w:r>
    </w:p>
    <w:p w14:paraId="08FBD177" w14:textId="65C6A76B" w:rsidR="003827C9" w:rsidRPr="003827C9" w:rsidRDefault="003827C9" w:rsidP="003827C9">
      <w:pPr>
        <w:pStyle w:val="SingleTxtGA"/>
        <w:rPr>
          <w:rFonts w:eastAsiaTheme="minorEastAsia"/>
          <w:lang w:val="ar-SA" w:eastAsia="zh-TW" w:bidi="en-GB"/>
        </w:rPr>
      </w:pPr>
      <w:r w:rsidRPr="00990AFC">
        <w:rPr>
          <w:rFonts w:eastAsiaTheme="minorEastAsia"/>
          <w:rtl/>
        </w:rPr>
        <w:t>2</w:t>
      </w:r>
      <w:r w:rsidRPr="003827C9">
        <w:rPr>
          <w:rFonts w:eastAsiaTheme="minorEastAsia"/>
          <w:rtl/>
        </w:rPr>
        <w:t>-</w:t>
      </w:r>
      <w:r w:rsidRPr="00990AFC">
        <w:rPr>
          <w:rFonts w:eastAsiaTheme="minorEastAsia"/>
          <w:rtl/>
        </w:rPr>
        <w:t>10</w:t>
      </w:r>
      <w:r w:rsidRPr="003827C9">
        <w:rPr>
          <w:rFonts w:eastAsiaTheme="minorEastAsia"/>
          <w:rtl/>
        </w:rPr>
        <w:tab/>
        <w:t xml:space="preserve">وفي </w:t>
      </w:r>
      <w:r w:rsidRPr="00990AFC">
        <w:rPr>
          <w:rFonts w:eastAsiaTheme="minorEastAsia"/>
          <w:rtl/>
        </w:rPr>
        <w:t>22</w:t>
      </w:r>
      <w:r w:rsidRPr="003827C9">
        <w:rPr>
          <w:rFonts w:eastAsiaTheme="minorEastAsia"/>
          <w:rtl/>
        </w:rPr>
        <w:t xml:space="preserve"> تشرين الثاني/نوفمبر </w:t>
      </w:r>
      <w:r w:rsidRPr="00990AFC">
        <w:rPr>
          <w:rFonts w:eastAsiaTheme="minorEastAsia"/>
          <w:rtl/>
        </w:rPr>
        <w:t>2012</w:t>
      </w:r>
      <w:r w:rsidRPr="003827C9">
        <w:rPr>
          <w:rFonts w:eastAsiaTheme="minorEastAsia"/>
          <w:rtl/>
        </w:rPr>
        <w:t xml:space="preserve">، ووفقاً للمادة </w:t>
      </w:r>
      <w:r w:rsidRPr="00990AFC">
        <w:rPr>
          <w:rFonts w:eastAsiaTheme="minorEastAsia"/>
          <w:rtl/>
        </w:rPr>
        <w:t>241</w:t>
      </w:r>
      <w:r w:rsidRPr="003827C9">
        <w:rPr>
          <w:rFonts w:eastAsiaTheme="minorEastAsia"/>
          <w:rtl/>
        </w:rPr>
        <w:t xml:space="preserve"> من القانون الأساسي للسلطة القضائية، قدم المحامي الجديد لصاحب البلاغ</w:t>
      </w:r>
      <w:r w:rsidRPr="003827C9">
        <w:rPr>
          <w:rFonts w:eastAsiaTheme="minorEastAsia" w:hint="cs"/>
          <w:rtl/>
        </w:rPr>
        <w:t>،</w:t>
      </w:r>
      <w:r w:rsidRPr="003827C9">
        <w:rPr>
          <w:rFonts w:eastAsiaTheme="minorEastAsia"/>
          <w:rtl/>
        </w:rPr>
        <w:t xml:space="preserve"> بالنيابة عنه</w:t>
      </w:r>
      <w:r w:rsidRPr="003827C9">
        <w:rPr>
          <w:rFonts w:eastAsiaTheme="minorEastAsia" w:hint="cs"/>
          <w:rtl/>
        </w:rPr>
        <w:t>،</w:t>
      </w:r>
      <w:r w:rsidRPr="003827C9">
        <w:rPr>
          <w:rFonts w:eastAsiaTheme="minorEastAsia"/>
          <w:rtl/>
        </w:rPr>
        <w:t xml:space="preserve"> دعوى استثنائية لطلب إعلان بطلان الإجراءات، إزاء الحكم الصادر في </w:t>
      </w:r>
      <w:r w:rsidRPr="00990AFC">
        <w:rPr>
          <w:rFonts w:eastAsiaTheme="minorEastAsia"/>
          <w:rtl/>
        </w:rPr>
        <w:t>30</w:t>
      </w:r>
      <w:r w:rsidRPr="003827C9">
        <w:rPr>
          <w:rFonts w:eastAsiaTheme="minorEastAsia"/>
          <w:rtl/>
        </w:rPr>
        <w:t xml:space="preserve"> نيسان/أبريل </w:t>
      </w:r>
      <w:r w:rsidRPr="00990AFC">
        <w:rPr>
          <w:rFonts w:eastAsiaTheme="minorEastAsia"/>
          <w:rtl/>
        </w:rPr>
        <w:t>2012</w:t>
      </w:r>
      <w:r w:rsidRPr="003827C9">
        <w:rPr>
          <w:rFonts w:eastAsiaTheme="minorEastAsia"/>
          <w:rtl/>
        </w:rPr>
        <w:t xml:space="preserve"> عن المحكمة العليا الإقليمية في </w:t>
      </w:r>
      <w:proofErr w:type="gramStart"/>
      <w:r w:rsidRPr="003827C9">
        <w:rPr>
          <w:rFonts w:eastAsiaTheme="minorEastAsia"/>
          <w:rtl/>
        </w:rPr>
        <w:t>مدريد</w:t>
      </w:r>
      <w:r w:rsidR="00620C46">
        <w:rPr>
          <w:rFonts w:eastAsiaTheme="minorEastAsia"/>
          <w:vertAlign w:val="superscript"/>
          <w:rtl/>
          <w:lang w:val="en-US"/>
        </w:rPr>
        <w:t>(</w:t>
      </w:r>
      <w:proofErr w:type="gramEnd"/>
      <w:r w:rsidR="00620C46" w:rsidRPr="00990AFC">
        <w:rPr>
          <w:rFonts w:eastAsiaTheme="minorEastAsia"/>
          <w:vertAlign w:val="superscript"/>
          <w:lang w:val="en-US"/>
        </w:rPr>
        <w:footnoteReference w:id="4"/>
      </w:r>
      <w:r w:rsidR="00620C46" w:rsidRPr="00620C46">
        <w:rPr>
          <w:rFonts w:eastAsiaTheme="minorEastAsia"/>
          <w:vertAlign w:val="superscript"/>
          <w:rtl/>
        </w:rPr>
        <w:t>)</w:t>
      </w:r>
      <w:r w:rsidR="00620C46" w:rsidRPr="00620C46">
        <w:rPr>
          <w:rFonts w:eastAsiaTheme="minorEastAsia"/>
          <w:rtl/>
        </w:rPr>
        <w:t xml:space="preserve">. </w:t>
      </w:r>
      <w:r w:rsidRPr="003827C9">
        <w:rPr>
          <w:rFonts w:eastAsiaTheme="minorEastAsia"/>
          <w:rtl/>
        </w:rPr>
        <w:t xml:space="preserve">وادعى أن ذلك القرار انتهك الحق في محاكمة تراعي جميع الضمانات الواجبة والحق في قرينة البراءة، المعترف بهما في المادة </w:t>
      </w:r>
      <w:r w:rsidRPr="00990AFC">
        <w:rPr>
          <w:rFonts w:eastAsiaTheme="minorEastAsia"/>
          <w:rtl/>
        </w:rPr>
        <w:t>24</w:t>
      </w:r>
      <w:r w:rsidRPr="003827C9">
        <w:rPr>
          <w:rFonts w:eastAsiaTheme="minorEastAsia"/>
          <w:rtl/>
        </w:rPr>
        <w:t xml:space="preserve"> من </w:t>
      </w:r>
      <w:proofErr w:type="gramStart"/>
      <w:r w:rsidRPr="003827C9">
        <w:rPr>
          <w:rFonts w:eastAsiaTheme="minorEastAsia"/>
          <w:rtl/>
        </w:rPr>
        <w:t>الدستور</w:t>
      </w:r>
      <w:r w:rsidR="00620C46">
        <w:rPr>
          <w:rFonts w:eastAsiaTheme="minorEastAsia"/>
          <w:vertAlign w:val="superscript"/>
          <w:rtl/>
          <w:lang w:val="en-US"/>
        </w:rPr>
        <w:t>(</w:t>
      </w:r>
      <w:proofErr w:type="gramEnd"/>
      <w:r w:rsidR="00620C46" w:rsidRPr="00990AFC">
        <w:rPr>
          <w:rFonts w:eastAsiaTheme="minorEastAsia"/>
          <w:vertAlign w:val="superscript"/>
          <w:lang w:val="en-US"/>
        </w:rPr>
        <w:footnoteReference w:id="5"/>
      </w:r>
      <w:r w:rsidR="00620C46" w:rsidRPr="00620C46">
        <w:rPr>
          <w:rFonts w:eastAsiaTheme="minorEastAsia"/>
          <w:vertAlign w:val="superscript"/>
          <w:rtl/>
        </w:rPr>
        <w:t>)</w:t>
      </w:r>
      <w:r w:rsidR="00620C46" w:rsidRPr="00620C46">
        <w:rPr>
          <w:rFonts w:eastAsiaTheme="minorEastAsia"/>
          <w:rtl/>
        </w:rPr>
        <w:t xml:space="preserve">، </w:t>
      </w:r>
      <w:r w:rsidRPr="003827C9">
        <w:rPr>
          <w:rFonts w:eastAsiaTheme="minorEastAsia"/>
          <w:rtl/>
        </w:rPr>
        <w:t xml:space="preserve">لأن محكمة الاستئناف أصدرت حكماً بالإدانة بعد إلغائها حكم البراءة الصادر ابتدائياً، باستنادها إلى تقييم أدلة شخصية لم تقدَّم </w:t>
      </w:r>
      <w:r w:rsidRPr="003827C9">
        <w:rPr>
          <w:rFonts w:eastAsiaTheme="minorEastAsia" w:hint="cs"/>
          <w:rtl/>
        </w:rPr>
        <w:t>أمامها</w:t>
      </w:r>
      <w:r w:rsidRPr="003827C9">
        <w:rPr>
          <w:rFonts w:eastAsiaTheme="minorEastAsia"/>
          <w:rtl/>
        </w:rPr>
        <w:t xml:space="preserve">، ولأنها غيَّرت رواية الوقائع المثبتة. وفي </w:t>
      </w:r>
      <w:r w:rsidRPr="00990AFC">
        <w:rPr>
          <w:rFonts w:eastAsiaTheme="minorEastAsia"/>
          <w:rtl/>
        </w:rPr>
        <w:t>6</w:t>
      </w:r>
      <w:r w:rsidRPr="003827C9">
        <w:rPr>
          <w:rFonts w:eastAsiaTheme="minorEastAsia"/>
          <w:rtl/>
        </w:rPr>
        <w:t xml:space="preserve"> كانون الأول/ديسمبر </w:t>
      </w:r>
      <w:r w:rsidRPr="00990AFC">
        <w:rPr>
          <w:rFonts w:eastAsiaTheme="minorEastAsia"/>
          <w:rtl/>
        </w:rPr>
        <w:t>2012</w:t>
      </w:r>
      <w:r w:rsidRPr="003827C9">
        <w:rPr>
          <w:rFonts w:eastAsiaTheme="minorEastAsia"/>
          <w:rtl/>
        </w:rPr>
        <w:t xml:space="preserve">، رفضت هيئة الاستئناف بالدائرة الأولى في المحكمة العليا الإقليمية في مدريد تلك الدعوى، حيث أشارت إلى أن طلب إعلان بطلان الإجراءات </w:t>
      </w:r>
      <w:r w:rsidRPr="003827C9">
        <w:rPr>
          <w:rFonts w:eastAsiaTheme="minorEastAsia" w:hint="cs"/>
          <w:rtl/>
        </w:rPr>
        <w:t>ا</w:t>
      </w:r>
      <w:r w:rsidRPr="003827C9">
        <w:rPr>
          <w:rFonts w:eastAsiaTheme="minorEastAsia"/>
          <w:rtl/>
        </w:rPr>
        <w:t xml:space="preserve">ستند إلى </w:t>
      </w:r>
      <w:r w:rsidRPr="003827C9">
        <w:rPr>
          <w:rFonts w:eastAsiaTheme="minorEastAsia" w:hint="cs"/>
          <w:rtl/>
        </w:rPr>
        <w:t xml:space="preserve">وجود </w:t>
      </w:r>
      <w:r w:rsidRPr="003827C9">
        <w:rPr>
          <w:rFonts w:eastAsiaTheme="minorEastAsia"/>
          <w:rtl/>
        </w:rPr>
        <w:t xml:space="preserve">عيوب مزعومة في الشكل تسببت في الحرمان من الحق في الدفاع لم يُبلغ عنها خلال المحاكمة، وإلى أن الأجل المحدد لتقديم هذا الطلب هو </w:t>
      </w:r>
      <w:r w:rsidRPr="00990AFC">
        <w:rPr>
          <w:rFonts w:eastAsiaTheme="minorEastAsia"/>
          <w:rtl/>
        </w:rPr>
        <w:t>20</w:t>
      </w:r>
      <w:r w:rsidRPr="003827C9">
        <w:rPr>
          <w:rFonts w:eastAsiaTheme="minorEastAsia"/>
          <w:rtl/>
        </w:rPr>
        <w:t xml:space="preserve"> يوماً من تاريخ الإبلاغ بالحكم، وأن تغيير المحامي ليس مبرراً لإعادة الإجراءات من مرحلة معينة للأغراض المطلوبة. </w:t>
      </w:r>
    </w:p>
    <w:p w14:paraId="3F9F721C" w14:textId="77777777" w:rsidR="003827C9" w:rsidRPr="003827C9" w:rsidRDefault="003827C9" w:rsidP="003827C9">
      <w:pPr>
        <w:pStyle w:val="SingleTxtGA"/>
        <w:rPr>
          <w:rFonts w:eastAsiaTheme="minorEastAsia"/>
          <w:lang w:val="ar-SA" w:eastAsia="zh-TW" w:bidi="en-GB"/>
        </w:rPr>
      </w:pPr>
      <w:r w:rsidRPr="00990AFC">
        <w:rPr>
          <w:rFonts w:eastAsiaTheme="minorEastAsia"/>
          <w:rtl/>
        </w:rPr>
        <w:t>2</w:t>
      </w:r>
      <w:r w:rsidRPr="003827C9">
        <w:rPr>
          <w:rFonts w:eastAsiaTheme="minorEastAsia"/>
          <w:rtl/>
        </w:rPr>
        <w:t>-</w:t>
      </w:r>
      <w:r w:rsidRPr="00990AFC">
        <w:rPr>
          <w:rFonts w:eastAsiaTheme="minorEastAsia"/>
          <w:rtl/>
        </w:rPr>
        <w:t>11</w:t>
      </w:r>
      <w:r w:rsidRPr="003827C9">
        <w:rPr>
          <w:rFonts w:eastAsiaTheme="minorEastAsia"/>
          <w:rtl/>
        </w:rPr>
        <w:tab/>
      </w:r>
      <w:r w:rsidRPr="00340F0E">
        <w:rPr>
          <w:rFonts w:eastAsiaTheme="minorEastAsia"/>
          <w:spacing w:val="-2"/>
          <w:rtl/>
        </w:rPr>
        <w:t xml:space="preserve">وفي </w:t>
      </w:r>
      <w:r w:rsidRPr="00990AFC">
        <w:rPr>
          <w:rFonts w:eastAsiaTheme="minorEastAsia"/>
          <w:spacing w:val="-2"/>
          <w:rtl/>
        </w:rPr>
        <w:t>5</w:t>
      </w:r>
      <w:r w:rsidRPr="00340F0E">
        <w:rPr>
          <w:rFonts w:eastAsiaTheme="minorEastAsia"/>
          <w:spacing w:val="-2"/>
          <w:rtl/>
        </w:rPr>
        <w:t xml:space="preserve"> شباط/فبراير </w:t>
      </w:r>
      <w:r w:rsidRPr="00990AFC">
        <w:rPr>
          <w:rFonts w:eastAsiaTheme="minorEastAsia"/>
          <w:spacing w:val="-2"/>
          <w:rtl/>
        </w:rPr>
        <w:t>2013</w:t>
      </w:r>
      <w:r w:rsidRPr="00340F0E">
        <w:rPr>
          <w:rFonts w:eastAsiaTheme="minorEastAsia"/>
          <w:spacing w:val="-2"/>
          <w:rtl/>
        </w:rPr>
        <w:t xml:space="preserve">، قدم صاحب البلاغ دعوى الحماية القضائية الدستورية للطعن في القرار السابق، لأنه انتهك حقه في الحماية القضائية الفعلية، حيث قضت فيه المحكمة برفض دعوى بطلان </w:t>
      </w:r>
      <w:r w:rsidRPr="00340F0E">
        <w:rPr>
          <w:rFonts w:eastAsiaTheme="minorEastAsia"/>
          <w:spacing w:val="-4"/>
          <w:rtl/>
        </w:rPr>
        <w:t>الإجراءات على أساس تقديمها خارج الأجل القانوني، رغم تقديم طلب لتمديد هذا الأجل بسبب تغيير المحامي</w:t>
      </w:r>
      <w:r w:rsidRPr="003827C9">
        <w:rPr>
          <w:rFonts w:eastAsiaTheme="minorEastAsia"/>
          <w:rtl/>
        </w:rPr>
        <w:t xml:space="preserve">. </w:t>
      </w:r>
      <w:r w:rsidRPr="003827C9">
        <w:rPr>
          <w:rFonts w:eastAsiaTheme="minorEastAsia"/>
          <w:rtl/>
        </w:rPr>
        <w:lastRenderedPageBreak/>
        <w:t xml:space="preserve">وبالإضافة إلى ذلك، اعتبر صاحب البلاغ من قبيل الخطأ البيِّن أن يُطلب إليه الإبلاغ عن الانتهاك المزعوم خلال المحاكمة، لأن ذلك مسألة مستحيلة، بالنظر إلى أن الانتهاك وقع لاحقاً، أي أثناء صدور الحكم. كما رأى صاحب البلاغ أنه وقع انتهاك لمبادئ شفوية المحاكمة، وفورية الإجراءات، والمحاكمة الحضورية، والدفاع، لأن القرار المعني اتُّخذ من دون وجود أي أدلة جديدة. وفي </w:t>
      </w:r>
      <w:r w:rsidRPr="00990AFC">
        <w:rPr>
          <w:rFonts w:eastAsiaTheme="minorEastAsia"/>
          <w:rtl/>
        </w:rPr>
        <w:t>6</w:t>
      </w:r>
      <w:r w:rsidRPr="003827C9">
        <w:rPr>
          <w:rFonts w:eastAsiaTheme="minorEastAsia"/>
          <w:rtl/>
        </w:rPr>
        <w:t xml:space="preserve"> حزيران/</w:t>
      </w:r>
      <w:proofErr w:type="gramStart"/>
      <w:r w:rsidRPr="003827C9">
        <w:rPr>
          <w:rFonts w:eastAsiaTheme="minorEastAsia"/>
          <w:rtl/>
        </w:rPr>
        <w:t>يونيه</w:t>
      </w:r>
      <w:proofErr w:type="gramEnd"/>
      <w:r w:rsidRPr="003827C9">
        <w:rPr>
          <w:rFonts w:eastAsiaTheme="minorEastAsia"/>
          <w:rtl/>
        </w:rPr>
        <w:t xml:space="preserve"> </w:t>
      </w:r>
      <w:r w:rsidRPr="00990AFC">
        <w:rPr>
          <w:rFonts w:eastAsiaTheme="minorEastAsia"/>
          <w:rtl/>
        </w:rPr>
        <w:t>2013</w:t>
      </w:r>
      <w:r w:rsidRPr="003827C9">
        <w:rPr>
          <w:rFonts w:eastAsiaTheme="minorEastAsia"/>
          <w:rtl/>
        </w:rPr>
        <w:t>، رفضت المحكمة الدستورية هذا الطعن على أساس أنه "لم يقع أي انتهاك صريح لحق أساسي قابل للحماية بموجب دعوى الحماية القضائية الدستورية".</w:t>
      </w:r>
    </w:p>
    <w:p w14:paraId="62E978A2" w14:textId="198FC5DA" w:rsidR="003827C9" w:rsidRPr="003827C9" w:rsidRDefault="003827C9" w:rsidP="00340F0E">
      <w:pPr>
        <w:pStyle w:val="SingleTxtGA"/>
        <w:spacing w:line="350" w:lineRule="exact"/>
        <w:rPr>
          <w:rFonts w:eastAsiaTheme="minorEastAsia"/>
          <w:lang w:val="ar-SA" w:eastAsia="zh-TW" w:bidi="en-GB"/>
        </w:rPr>
      </w:pPr>
      <w:r w:rsidRPr="00990AFC">
        <w:rPr>
          <w:rFonts w:eastAsiaTheme="minorEastAsia"/>
          <w:rtl/>
        </w:rPr>
        <w:t>2</w:t>
      </w:r>
      <w:r w:rsidRPr="003827C9">
        <w:rPr>
          <w:rFonts w:eastAsiaTheme="minorEastAsia"/>
          <w:rtl/>
        </w:rPr>
        <w:t>-</w:t>
      </w:r>
      <w:r w:rsidRPr="00990AFC">
        <w:rPr>
          <w:rFonts w:eastAsiaTheme="minorEastAsia"/>
          <w:rtl/>
        </w:rPr>
        <w:t>12</w:t>
      </w:r>
      <w:r w:rsidRPr="003827C9">
        <w:rPr>
          <w:rFonts w:eastAsiaTheme="minorEastAsia"/>
          <w:rtl/>
        </w:rPr>
        <w:tab/>
        <w:t xml:space="preserve">وفي </w:t>
      </w:r>
      <w:r w:rsidRPr="00990AFC">
        <w:rPr>
          <w:rFonts w:eastAsiaTheme="minorEastAsia"/>
          <w:rtl/>
        </w:rPr>
        <w:t>12</w:t>
      </w:r>
      <w:r w:rsidRPr="003827C9">
        <w:rPr>
          <w:rFonts w:eastAsiaTheme="minorEastAsia"/>
          <w:rtl/>
        </w:rPr>
        <w:t xml:space="preserve"> كانون الأول/ديسمبر </w:t>
      </w:r>
      <w:r w:rsidRPr="00990AFC">
        <w:rPr>
          <w:rFonts w:eastAsiaTheme="minorEastAsia"/>
          <w:rtl/>
        </w:rPr>
        <w:t>2013</w:t>
      </w:r>
      <w:r w:rsidRPr="003827C9">
        <w:rPr>
          <w:rFonts w:eastAsiaTheme="minorEastAsia"/>
          <w:rtl/>
        </w:rPr>
        <w:t xml:space="preserve">، قدم صاحب البلاغ دعوى أمام المحكمة الأوروبية لحقوق الإنسان. وفي </w:t>
      </w:r>
      <w:r w:rsidRPr="00990AFC">
        <w:rPr>
          <w:rFonts w:eastAsiaTheme="minorEastAsia"/>
          <w:rtl/>
        </w:rPr>
        <w:t>18</w:t>
      </w:r>
      <w:r w:rsidRPr="003827C9">
        <w:rPr>
          <w:rFonts w:eastAsiaTheme="minorEastAsia"/>
          <w:rtl/>
        </w:rPr>
        <w:t xml:space="preserve"> أيلول/سبتمبر </w:t>
      </w:r>
      <w:r w:rsidRPr="00990AFC">
        <w:rPr>
          <w:rFonts w:eastAsiaTheme="minorEastAsia"/>
          <w:rtl/>
        </w:rPr>
        <w:t>2014</w:t>
      </w:r>
      <w:r w:rsidRPr="003827C9">
        <w:rPr>
          <w:rFonts w:eastAsiaTheme="minorEastAsia"/>
          <w:rtl/>
        </w:rPr>
        <w:t xml:space="preserve">، قضت هذه المحكمة، التي انعقدت بقاضٍ واحد، برفض الدعوى لعدم استيفائها شروط المقبولية المنصوص عليها في المادتين </w:t>
      </w:r>
      <w:r w:rsidRPr="00990AFC">
        <w:rPr>
          <w:rFonts w:eastAsiaTheme="minorEastAsia"/>
          <w:rtl/>
        </w:rPr>
        <w:t>34</w:t>
      </w:r>
      <w:r w:rsidRPr="003827C9">
        <w:rPr>
          <w:rFonts w:eastAsiaTheme="minorEastAsia"/>
          <w:rtl/>
        </w:rPr>
        <w:t xml:space="preserve"> و</w:t>
      </w:r>
      <w:r w:rsidRPr="00990AFC">
        <w:rPr>
          <w:rFonts w:eastAsiaTheme="minorEastAsia"/>
          <w:rtl/>
        </w:rPr>
        <w:t>35</w:t>
      </w:r>
      <w:r w:rsidRPr="003827C9">
        <w:rPr>
          <w:rFonts w:eastAsiaTheme="minorEastAsia"/>
          <w:rtl/>
        </w:rPr>
        <w:t xml:space="preserve"> من الاتفاقية الأوروبية لحقوق</w:t>
      </w:r>
      <w:r w:rsidR="007A7AD0">
        <w:rPr>
          <w:rFonts w:eastAsiaTheme="minorEastAsia" w:hint="cs"/>
          <w:rtl/>
        </w:rPr>
        <w:t> </w:t>
      </w:r>
      <w:r w:rsidRPr="003827C9">
        <w:rPr>
          <w:rFonts w:eastAsiaTheme="minorEastAsia"/>
          <w:rtl/>
        </w:rPr>
        <w:t>الإنسان.</w:t>
      </w:r>
    </w:p>
    <w:p w14:paraId="31C5BE3D" w14:textId="77777777" w:rsidR="003827C9" w:rsidRPr="00990AFC" w:rsidRDefault="003827C9" w:rsidP="007A7AD0">
      <w:pPr>
        <w:pStyle w:val="H23GA"/>
        <w:rPr>
          <w:lang w:val="ar-SA" w:eastAsia="zh-TW" w:bidi="en-GB"/>
        </w:rPr>
      </w:pPr>
      <w:r w:rsidRPr="00990AFC">
        <w:rPr>
          <w:rtl/>
        </w:rPr>
        <w:tab/>
      </w:r>
      <w:r w:rsidRPr="00990AFC">
        <w:rPr>
          <w:rtl/>
        </w:rPr>
        <w:tab/>
        <w:t>الشكوى</w:t>
      </w:r>
    </w:p>
    <w:p w14:paraId="0A1FE668" w14:textId="555BEB61" w:rsidR="003827C9" w:rsidRPr="003827C9" w:rsidRDefault="003827C9" w:rsidP="00340F0E">
      <w:pPr>
        <w:pStyle w:val="SingleTxtGA"/>
        <w:spacing w:line="350" w:lineRule="exact"/>
        <w:rPr>
          <w:rFonts w:eastAsiaTheme="minorEastAsia"/>
          <w:lang w:val="ar-SA" w:eastAsia="zh-TW" w:bidi="en-GB"/>
        </w:rPr>
      </w:pPr>
      <w:r w:rsidRPr="00990AFC">
        <w:rPr>
          <w:rFonts w:eastAsiaTheme="minorEastAsia"/>
          <w:rtl/>
        </w:rPr>
        <w:t>3</w:t>
      </w:r>
      <w:r w:rsidRPr="003827C9">
        <w:rPr>
          <w:rFonts w:eastAsiaTheme="minorEastAsia"/>
          <w:rtl/>
        </w:rPr>
        <w:t>-</w:t>
      </w:r>
      <w:r w:rsidRPr="00990AFC">
        <w:rPr>
          <w:rFonts w:eastAsiaTheme="minorEastAsia"/>
          <w:rtl/>
        </w:rPr>
        <w:t>1</w:t>
      </w:r>
      <w:r w:rsidRPr="003827C9">
        <w:rPr>
          <w:rFonts w:eastAsiaTheme="minorEastAsia"/>
          <w:rtl/>
        </w:rPr>
        <w:tab/>
        <w:t xml:space="preserve">يدعي صاحب البلاغ أن الدولة الطرف انتهكت حقوقه المكفولة بموجب المادة </w:t>
      </w:r>
      <w:r w:rsidRPr="00990AFC">
        <w:rPr>
          <w:rFonts w:eastAsiaTheme="minorEastAsia"/>
          <w:rtl/>
        </w:rPr>
        <w:t>14</w:t>
      </w:r>
      <w:r w:rsidRPr="003827C9">
        <w:rPr>
          <w:rFonts w:eastAsiaTheme="minorEastAsia"/>
          <w:rtl/>
        </w:rPr>
        <w:t xml:space="preserve"> من العهد، حيث </w:t>
      </w:r>
      <w:r w:rsidRPr="003827C9">
        <w:rPr>
          <w:rFonts w:eastAsiaTheme="minorEastAsia" w:hint="cs"/>
          <w:rtl/>
        </w:rPr>
        <w:t>أ</w:t>
      </w:r>
      <w:r w:rsidRPr="003827C9">
        <w:rPr>
          <w:rFonts w:eastAsiaTheme="minorEastAsia"/>
          <w:rtl/>
        </w:rPr>
        <w:t>صدر</w:t>
      </w:r>
      <w:r w:rsidRPr="003827C9">
        <w:rPr>
          <w:rFonts w:eastAsiaTheme="minorEastAsia" w:hint="cs"/>
          <w:rtl/>
        </w:rPr>
        <w:t>ت</w:t>
      </w:r>
      <w:r w:rsidRPr="003827C9">
        <w:rPr>
          <w:rFonts w:eastAsiaTheme="minorEastAsia"/>
          <w:rtl/>
        </w:rPr>
        <w:t xml:space="preserve"> في حقه الدائرة الأولى بالمحكمة العليا الإقليمية في مدريد، استئنافياً، حكماً بالإدانة، لا</w:t>
      </w:r>
      <w:r w:rsidR="007A7AD0">
        <w:rPr>
          <w:rFonts w:eastAsiaTheme="minorEastAsia" w:hint="cs"/>
          <w:rtl/>
        </w:rPr>
        <w:t> </w:t>
      </w:r>
      <w:r w:rsidRPr="003827C9">
        <w:rPr>
          <w:rFonts w:eastAsiaTheme="minorEastAsia"/>
          <w:rtl/>
        </w:rPr>
        <w:t xml:space="preserve">ينص النظام القانوني على أي سبيل للطعن فيه. غير أن صاحب البلاغ قدَّم، عملاً بأحكام المادة </w:t>
      </w:r>
      <w:r w:rsidRPr="00990AFC">
        <w:rPr>
          <w:rFonts w:eastAsiaTheme="minorEastAsia"/>
          <w:rtl/>
        </w:rPr>
        <w:t>241</w:t>
      </w:r>
      <w:r w:rsidRPr="003827C9">
        <w:rPr>
          <w:rFonts w:eastAsiaTheme="minorEastAsia"/>
          <w:rtl/>
        </w:rPr>
        <w:t xml:space="preserve"> من القانون الأساسي للسلطة القضائية، دعوى استثنائية لطلب إعلان بطلان الإجراءات، جرى رفضها. ويشتكي صاحب البلاغ من استنتاج المحكمة أن الدعوى قُدمت خارج الأجل القانوني من دون أن تأخذ في الاعتبار تنحي المحامي والطلب الصريح الذي قدمه لتعليق الأجل المحدد لتقديم هذه الدعوى إلى حين تعيين محام جديد حتى لا يُحرم صاحب البلاغ من حقه في الدفاع. ويدعي صاحب البلاغ أن رفض الدعوى الاستثنائية لطلب إعلان بطلان الإجراءات "قرار تعسفي وغير معقول ينطوي على خطأ بيِّن"، وأن هذه الدعوى تشكل سبيل الانتصاف الإجرائي الوحيد والمحدود المتاح للطعن في حكم الإدانة المذكور. </w:t>
      </w:r>
    </w:p>
    <w:p w14:paraId="04D6D8C2" w14:textId="77777777" w:rsidR="003827C9" w:rsidRPr="003827C9" w:rsidRDefault="003827C9" w:rsidP="00340F0E">
      <w:pPr>
        <w:pStyle w:val="SingleTxtGA"/>
        <w:spacing w:line="350" w:lineRule="exact"/>
        <w:rPr>
          <w:rFonts w:eastAsiaTheme="minorEastAsia"/>
          <w:lang w:val="ar-SA" w:eastAsia="zh-TW" w:bidi="en-GB"/>
        </w:rPr>
      </w:pPr>
      <w:r w:rsidRPr="00990AFC">
        <w:rPr>
          <w:rFonts w:eastAsiaTheme="minorEastAsia"/>
          <w:rtl/>
        </w:rPr>
        <w:t>3</w:t>
      </w:r>
      <w:r w:rsidRPr="003827C9">
        <w:rPr>
          <w:rFonts w:eastAsiaTheme="minorEastAsia"/>
          <w:rtl/>
        </w:rPr>
        <w:t>-</w:t>
      </w:r>
      <w:r w:rsidRPr="00990AFC">
        <w:rPr>
          <w:rFonts w:eastAsiaTheme="minorEastAsia"/>
          <w:rtl/>
        </w:rPr>
        <w:t>2</w:t>
      </w:r>
      <w:r w:rsidRPr="003827C9">
        <w:rPr>
          <w:rFonts w:eastAsiaTheme="minorEastAsia"/>
          <w:rtl/>
        </w:rPr>
        <w:tab/>
        <w:t xml:space="preserve">ويدعي صاحب البلاغ وقوع انتهاك للحق الأساسي في المحاكمة الحضورية، والحق في تكافؤ وسائل الدفاع، والحق في قرينة البراءة، والحق في جلسة استماع علنية، وكل ذلك بسبب إدانته استئنافياً من دون تقديم أدلة. ولم تُعقد في حالته جلسة استماع علنية كاملة الأركان في مرحلة الاستئناف، حيث أعاد قاضي محكمة الاستئناف تقييم ومقارنة إفادات المتهمين، من دون أن تتاح لصاحب البلاغ إمكانية تقديم الأدلة اللازمة، إذ لم يتسن على الإطلاق الاستماع مرة أخرى إلى الشهود والخبراء. ويلتمس صاحب البلاغ بالتالي أن يُطلب إلى الدولة الطرف إعلان البطلان المطلق للقرارات الصادرة في حقه. </w:t>
      </w:r>
    </w:p>
    <w:p w14:paraId="52C9B2D4" w14:textId="35C1A005" w:rsidR="00620C46" w:rsidRPr="00990AFC" w:rsidRDefault="003827C9" w:rsidP="00340F0E">
      <w:pPr>
        <w:pStyle w:val="SingleTxtGA"/>
        <w:spacing w:line="350" w:lineRule="exact"/>
        <w:rPr>
          <w:rFonts w:eastAsiaTheme="minorEastAsia"/>
          <w:bCs/>
          <w:spacing w:val="-2"/>
        </w:rPr>
      </w:pPr>
      <w:r w:rsidRPr="00990AFC">
        <w:rPr>
          <w:rFonts w:eastAsiaTheme="minorEastAsia"/>
          <w:spacing w:val="-2"/>
          <w:rtl/>
        </w:rPr>
        <w:t>3</w:t>
      </w:r>
      <w:r w:rsidRPr="00340F0E">
        <w:rPr>
          <w:rFonts w:eastAsiaTheme="minorEastAsia"/>
          <w:spacing w:val="-2"/>
          <w:rtl/>
        </w:rPr>
        <w:t>-</w:t>
      </w:r>
      <w:r w:rsidRPr="00990AFC">
        <w:rPr>
          <w:rFonts w:eastAsiaTheme="minorEastAsia"/>
          <w:spacing w:val="-2"/>
          <w:rtl/>
        </w:rPr>
        <w:t>3</w:t>
      </w:r>
      <w:r w:rsidRPr="00340F0E">
        <w:rPr>
          <w:rFonts w:eastAsiaTheme="minorEastAsia"/>
          <w:spacing w:val="-2"/>
          <w:rtl/>
        </w:rPr>
        <w:tab/>
        <w:t xml:space="preserve">ويدعي صاحب البلاغ على وجه الخصوص أن الدولة الطرف، بعدم إتاحة إمكانية مراجعة حكم الإدانة الذي أصدرته في حقه الدائرة الأولى بالمحكمة العليا الإقليمية في مدريد، قد انتهكت حقه في أن تعيد محكمة أعلى درجة النظر في العقوبة المفروضة عليه، وهو الحق المنصوص عليه في المادة </w:t>
      </w:r>
      <w:r w:rsidRPr="00990AFC">
        <w:rPr>
          <w:rFonts w:eastAsiaTheme="minorEastAsia"/>
          <w:spacing w:val="-2"/>
          <w:rtl/>
        </w:rPr>
        <w:t>14</w:t>
      </w:r>
      <w:r w:rsidRPr="00340F0E">
        <w:rPr>
          <w:rFonts w:eastAsiaTheme="minorEastAsia"/>
          <w:spacing w:val="-2"/>
          <w:rtl/>
        </w:rPr>
        <w:t>(</w:t>
      </w:r>
      <w:r w:rsidR="00620C46" w:rsidRPr="00990AFC">
        <w:rPr>
          <w:rFonts w:eastAsiaTheme="minorEastAsia"/>
          <w:spacing w:val="-2"/>
          <w:rtl/>
        </w:rPr>
        <w:t>5</w:t>
      </w:r>
      <w:r w:rsidR="00620C46" w:rsidRPr="00340F0E">
        <w:rPr>
          <w:rFonts w:eastAsiaTheme="minorEastAsia"/>
          <w:spacing w:val="-2"/>
          <w:rtl/>
        </w:rPr>
        <w:t xml:space="preserve">) </w:t>
      </w:r>
      <w:r w:rsidRPr="00340F0E">
        <w:rPr>
          <w:rFonts w:eastAsiaTheme="minorEastAsia"/>
          <w:spacing w:val="-2"/>
          <w:rtl/>
        </w:rPr>
        <w:t>من العهد. ويضيف صاحب البلاغ أنه لم تبت أي محكمة في المسألة المثارة، إذ لم تقبل المحكمة الدستورية أيضاً دعوى الحماية القضائية الدستورية بشأنها، مما أدى إلى انتهاك حقي</w:t>
      </w:r>
      <w:r w:rsidRPr="00340F0E">
        <w:rPr>
          <w:rFonts w:eastAsiaTheme="minorEastAsia" w:hint="cs"/>
          <w:spacing w:val="-2"/>
          <w:rtl/>
        </w:rPr>
        <w:t>ْ</w:t>
      </w:r>
      <w:r w:rsidRPr="00340F0E">
        <w:rPr>
          <w:rFonts w:eastAsiaTheme="minorEastAsia"/>
          <w:spacing w:val="-2"/>
          <w:rtl/>
        </w:rPr>
        <w:t>ه الأساسيي</w:t>
      </w:r>
      <w:r w:rsidRPr="00340F0E">
        <w:rPr>
          <w:rFonts w:eastAsiaTheme="minorEastAsia" w:hint="cs"/>
          <w:spacing w:val="-2"/>
          <w:rtl/>
        </w:rPr>
        <w:t>ْ</w:t>
      </w:r>
      <w:r w:rsidRPr="00340F0E">
        <w:rPr>
          <w:rFonts w:eastAsiaTheme="minorEastAsia"/>
          <w:spacing w:val="-2"/>
          <w:rtl/>
        </w:rPr>
        <w:t xml:space="preserve">ن في محاكمة عادلة وفي اللجوء إلى القضاء. وانتُهك بذلك الحق في التقاضي على درجتين في المسائل الجنائية، المنصوص عليه في المادة </w:t>
      </w:r>
      <w:r w:rsidRPr="00990AFC">
        <w:rPr>
          <w:rFonts w:eastAsiaTheme="minorEastAsia"/>
          <w:spacing w:val="-2"/>
          <w:rtl/>
        </w:rPr>
        <w:t>14</w:t>
      </w:r>
      <w:r w:rsidRPr="00340F0E">
        <w:rPr>
          <w:rFonts w:eastAsiaTheme="minorEastAsia"/>
          <w:spacing w:val="-2"/>
          <w:rtl/>
        </w:rPr>
        <w:t>(</w:t>
      </w:r>
      <w:r w:rsidR="00620C46" w:rsidRPr="00990AFC">
        <w:rPr>
          <w:rFonts w:eastAsiaTheme="minorEastAsia"/>
          <w:spacing w:val="-2"/>
          <w:rtl/>
        </w:rPr>
        <w:t>5</w:t>
      </w:r>
      <w:r w:rsidR="00620C46" w:rsidRPr="00340F0E">
        <w:rPr>
          <w:rFonts w:eastAsiaTheme="minorEastAsia"/>
          <w:spacing w:val="-2"/>
          <w:rtl/>
        </w:rPr>
        <w:t xml:space="preserve">) </w:t>
      </w:r>
      <w:r w:rsidRPr="00340F0E">
        <w:rPr>
          <w:rFonts w:eastAsiaTheme="minorEastAsia"/>
          <w:spacing w:val="-2"/>
          <w:rtl/>
        </w:rPr>
        <w:t>من العهد، وفقاً لاجتهادات اللجنة في هذا الصدد. ولم يكن بالإمكان الإبلاغ عن هذا الانتهاك من خلال سبل الانتصاف المحلية، لأن النظام القانوني لم يكن يعترف بهذا الحق لدى حدوث الوقائع، ولأن المحكمة الدستورية الإسبانية أصدرت قرارات شتى أرست هذا</w:t>
      </w:r>
      <w:r w:rsidR="007A7AD0" w:rsidRPr="00340F0E">
        <w:rPr>
          <w:rFonts w:eastAsiaTheme="minorEastAsia" w:hint="cs"/>
          <w:spacing w:val="-2"/>
          <w:rtl/>
        </w:rPr>
        <w:t> </w:t>
      </w:r>
      <w:r w:rsidRPr="00340F0E">
        <w:rPr>
          <w:rFonts w:eastAsiaTheme="minorEastAsia"/>
          <w:spacing w:val="-2"/>
          <w:rtl/>
        </w:rPr>
        <w:t>النهج</w:t>
      </w:r>
      <w:r w:rsidR="00620C46" w:rsidRPr="00990AFC">
        <w:rPr>
          <w:rStyle w:val="FootnoteReference"/>
          <w:rFonts w:eastAsiaTheme="minorEastAsia" w:cs="Simplified Arabic"/>
          <w:spacing w:val="-2"/>
          <w:sz w:val="22"/>
          <w:szCs w:val="22"/>
          <w:rtl/>
          <w:lang w:val="en-US"/>
        </w:rPr>
        <w:t>(</w:t>
      </w:r>
      <w:r w:rsidR="00620C46" w:rsidRPr="00990AFC">
        <w:rPr>
          <w:rStyle w:val="FootnoteReference"/>
          <w:rFonts w:eastAsiaTheme="minorEastAsia" w:cs="Simplified Arabic"/>
          <w:spacing w:val="-2"/>
          <w:sz w:val="22"/>
          <w:szCs w:val="22"/>
          <w:lang w:val="en-US"/>
        </w:rPr>
        <w:footnoteReference w:id="6"/>
      </w:r>
      <w:r w:rsidR="00620C46" w:rsidRPr="00990AFC">
        <w:rPr>
          <w:rStyle w:val="FootnoteReference"/>
          <w:rFonts w:eastAsiaTheme="minorEastAsia" w:cs="Simplified Arabic"/>
          <w:spacing w:val="-2"/>
          <w:sz w:val="22"/>
          <w:szCs w:val="22"/>
          <w:rtl/>
        </w:rPr>
        <w:t>)</w:t>
      </w:r>
      <w:r w:rsidR="00620C46" w:rsidRPr="00340F0E">
        <w:rPr>
          <w:rFonts w:eastAsiaTheme="minorEastAsia"/>
          <w:spacing w:val="-2"/>
          <w:rtl/>
        </w:rPr>
        <w:t>.</w:t>
      </w:r>
    </w:p>
    <w:p w14:paraId="412D8F82" w14:textId="1EDE5525" w:rsidR="003827C9" w:rsidRPr="00990AFC" w:rsidRDefault="003827C9" w:rsidP="007A7AD0">
      <w:pPr>
        <w:pStyle w:val="H23GA"/>
        <w:rPr>
          <w:lang w:val="ar-SA" w:eastAsia="zh-TW" w:bidi="en-GB"/>
        </w:rPr>
      </w:pPr>
      <w:r w:rsidRPr="00990AFC">
        <w:rPr>
          <w:rtl/>
        </w:rPr>
        <w:lastRenderedPageBreak/>
        <w:tab/>
      </w:r>
      <w:r w:rsidRPr="00990AFC">
        <w:rPr>
          <w:rtl/>
        </w:rPr>
        <w:tab/>
        <w:t>طلب الدولة الطرف وثائق تكميلية</w:t>
      </w:r>
    </w:p>
    <w:p w14:paraId="0BE743F3" w14:textId="7018EA04" w:rsidR="003827C9" w:rsidRPr="003827C9" w:rsidRDefault="003827C9" w:rsidP="003827C9">
      <w:pPr>
        <w:pStyle w:val="SingleTxtGA"/>
        <w:rPr>
          <w:rFonts w:eastAsiaTheme="minorEastAsia"/>
          <w:lang w:val="ar-SA" w:eastAsia="zh-TW" w:bidi="en-GB"/>
        </w:rPr>
      </w:pPr>
      <w:r w:rsidRPr="00990AFC">
        <w:rPr>
          <w:rFonts w:eastAsiaTheme="minorEastAsia"/>
          <w:rtl/>
        </w:rPr>
        <w:t>4</w:t>
      </w:r>
      <w:r w:rsidRPr="003827C9">
        <w:rPr>
          <w:rFonts w:eastAsiaTheme="minorEastAsia"/>
          <w:rtl/>
        </w:rPr>
        <w:t>-</w:t>
      </w:r>
      <w:r w:rsidRPr="003827C9">
        <w:rPr>
          <w:rFonts w:eastAsiaTheme="minorEastAsia"/>
          <w:rtl/>
        </w:rPr>
        <w:tab/>
        <w:t xml:space="preserve">تطلب الدولة الطرف، في ملاحظاتها المؤرخة </w:t>
      </w:r>
      <w:r w:rsidRPr="00990AFC">
        <w:rPr>
          <w:rFonts w:eastAsiaTheme="minorEastAsia"/>
          <w:rtl/>
        </w:rPr>
        <w:t>19</w:t>
      </w:r>
      <w:r w:rsidRPr="003827C9">
        <w:rPr>
          <w:rFonts w:eastAsiaTheme="minorEastAsia"/>
          <w:rtl/>
        </w:rPr>
        <w:t xml:space="preserve"> كانون الأول/ديسمبر </w:t>
      </w:r>
      <w:r w:rsidRPr="00990AFC">
        <w:rPr>
          <w:rFonts w:eastAsiaTheme="minorEastAsia"/>
          <w:rtl/>
        </w:rPr>
        <w:t>2017</w:t>
      </w:r>
      <w:r w:rsidRPr="003827C9">
        <w:rPr>
          <w:rFonts w:eastAsiaTheme="minorEastAsia"/>
          <w:rtl/>
        </w:rPr>
        <w:t xml:space="preserve">، وثائق تكميلية بشأن استنفاد صاحب البلاغ سبل الانتصاف المحلية. وتطلب الدولة الطرف نسخة من مذكرة الاعتراض على عقد جلسة استماع علنية </w:t>
      </w:r>
      <w:r w:rsidRPr="003827C9">
        <w:rPr>
          <w:rFonts w:eastAsiaTheme="minorEastAsia" w:hint="cs"/>
          <w:rtl/>
        </w:rPr>
        <w:t>إلى ا</w:t>
      </w:r>
      <w:r w:rsidRPr="003827C9">
        <w:rPr>
          <w:rFonts w:eastAsiaTheme="minorEastAsia"/>
          <w:rtl/>
        </w:rPr>
        <w:t xml:space="preserve">لمتهم أمام محكمة الاستئناف، ونسخة من طلب إعلان بطلان الإجراءات، الذي قدمه صاحب البلاغ ضد الحكم رقم </w:t>
      </w:r>
      <w:r w:rsidRPr="00990AFC">
        <w:rPr>
          <w:rFonts w:eastAsiaTheme="minorEastAsia"/>
          <w:rtl/>
        </w:rPr>
        <w:t>120</w:t>
      </w:r>
      <w:r w:rsidRPr="003827C9">
        <w:rPr>
          <w:rFonts w:eastAsiaTheme="minorEastAsia"/>
          <w:rtl/>
        </w:rPr>
        <w:t>/</w:t>
      </w:r>
      <w:r w:rsidRPr="00990AFC">
        <w:rPr>
          <w:rFonts w:eastAsiaTheme="minorEastAsia"/>
          <w:rtl/>
        </w:rPr>
        <w:t>2012</w:t>
      </w:r>
      <w:r w:rsidRPr="003827C9">
        <w:rPr>
          <w:rFonts w:eastAsiaTheme="minorEastAsia"/>
          <w:rtl/>
        </w:rPr>
        <w:t xml:space="preserve"> الصادر في </w:t>
      </w:r>
      <w:r w:rsidRPr="00990AFC">
        <w:rPr>
          <w:rFonts w:eastAsiaTheme="minorEastAsia"/>
          <w:rtl/>
        </w:rPr>
        <w:t>30</w:t>
      </w:r>
      <w:r w:rsidRPr="003827C9">
        <w:rPr>
          <w:rFonts w:eastAsiaTheme="minorEastAsia"/>
          <w:rtl/>
        </w:rPr>
        <w:t xml:space="preserve"> نيسان/أبريل </w:t>
      </w:r>
      <w:r w:rsidRPr="00990AFC">
        <w:rPr>
          <w:rFonts w:eastAsiaTheme="minorEastAsia"/>
          <w:rtl/>
        </w:rPr>
        <w:t>2012</w:t>
      </w:r>
      <w:r w:rsidRPr="003827C9">
        <w:rPr>
          <w:rFonts w:eastAsiaTheme="minorEastAsia"/>
          <w:rtl/>
        </w:rPr>
        <w:t xml:space="preserve"> عن المحكمة العليا الإقليمية في مدريد، تتضمن تاريخ تقديم الطلب ومضمونه، وكذلك تاريخ تعيين محام جديد، لأن المحامي المتنحي قدَّم مذكرة تنحيه في </w:t>
      </w:r>
      <w:r w:rsidRPr="00990AFC">
        <w:rPr>
          <w:rFonts w:eastAsiaTheme="minorEastAsia"/>
          <w:rtl/>
        </w:rPr>
        <w:t>20</w:t>
      </w:r>
      <w:r w:rsidRPr="003827C9">
        <w:rPr>
          <w:rFonts w:eastAsiaTheme="minorEastAsia"/>
          <w:rtl/>
        </w:rPr>
        <w:t xml:space="preserve"> حزيران/يونيه </w:t>
      </w:r>
      <w:r w:rsidRPr="00990AFC">
        <w:rPr>
          <w:rFonts w:eastAsiaTheme="minorEastAsia"/>
          <w:rtl/>
        </w:rPr>
        <w:t>2012</w:t>
      </w:r>
      <w:r w:rsidRPr="003827C9">
        <w:rPr>
          <w:rFonts w:eastAsiaTheme="minorEastAsia"/>
          <w:rtl/>
        </w:rPr>
        <w:t>، أي أربعة أيام عمل قبل انقضاء الأجل المحدد لتقديم طلب إعلان بطلان الإجراءات (</w:t>
      </w:r>
      <w:r w:rsidRPr="00990AFC">
        <w:rPr>
          <w:rFonts w:eastAsiaTheme="minorEastAsia"/>
          <w:rtl/>
        </w:rPr>
        <w:t>26</w:t>
      </w:r>
      <w:r w:rsidRPr="003827C9">
        <w:rPr>
          <w:rFonts w:eastAsiaTheme="minorEastAsia"/>
          <w:rtl/>
        </w:rPr>
        <w:t xml:space="preserve"> حزيران/يونيه </w:t>
      </w:r>
      <w:r w:rsidRPr="00990AFC">
        <w:rPr>
          <w:rFonts w:eastAsiaTheme="minorEastAsia"/>
          <w:rtl/>
        </w:rPr>
        <w:t>2012</w:t>
      </w:r>
      <w:r w:rsidR="00620C46" w:rsidRPr="00620C46">
        <w:rPr>
          <w:rFonts w:eastAsiaTheme="minorEastAsia"/>
          <w:rtl/>
        </w:rPr>
        <w:t>)</w:t>
      </w:r>
      <w:r w:rsidR="00620C46" w:rsidRPr="00620C46">
        <w:rPr>
          <w:rFonts w:eastAsiaTheme="minorEastAsia" w:hint="cs"/>
          <w:rtl/>
        </w:rPr>
        <w:t>،</w:t>
      </w:r>
      <w:r w:rsidR="00620C46" w:rsidRPr="00620C46">
        <w:rPr>
          <w:rFonts w:eastAsiaTheme="minorEastAsia"/>
          <w:rtl/>
        </w:rPr>
        <w:t xml:space="preserve"> </w:t>
      </w:r>
      <w:r w:rsidRPr="003827C9">
        <w:rPr>
          <w:rFonts w:eastAsiaTheme="minorEastAsia"/>
          <w:rtl/>
        </w:rPr>
        <w:t xml:space="preserve">ولأن المحكمة نظرت في هذه المذكرة في </w:t>
      </w:r>
      <w:r w:rsidRPr="00990AFC">
        <w:rPr>
          <w:rFonts w:eastAsiaTheme="minorEastAsia"/>
          <w:rtl/>
        </w:rPr>
        <w:t>3</w:t>
      </w:r>
      <w:r w:rsidRPr="003827C9">
        <w:rPr>
          <w:rFonts w:eastAsiaTheme="minorEastAsia"/>
          <w:rtl/>
        </w:rPr>
        <w:t xml:space="preserve"> تموز/يوليه </w:t>
      </w:r>
      <w:r w:rsidRPr="00990AFC">
        <w:rPr>
          <w:rFonts w:eastAsiaTheme="minorEastAsia"/>
          <w:rtl/>
        </w:rPr>
        <w:t>2012</w:t>
      </w:r>
      <w:r w:rsidRPr="003827C9">
        <w:rPr>
          <w:rFonts w:eastAsiaTheme="minorEastAsia"/>
          <w:rtl/>
        </w:rPr>
        <w:t xml:space="preserve"> (تسعة أيام عمل بعد تقديمها</w:t>
      </w:r>
      <w:r w:rsidR="00620C46" w:rsidRPr="00620C46">
        <w:rPr>
          <w:rFonts w:eastAsiaTheme="minorEastAsia"/>
          <w:rtl/>
        </w:rPr>
        <w:t xml:space="preserve">)، </w:t>
      </w:r>
      <w:r w:rsidRPr="003827C9">
        <w:rPr>
          <w:rFonts w:eastAsiaTheme="minorEastAsia"/>
          <w:rtl/>
        </w:rPr>
        <w:t xml:space="preserve">بعدما انقضى بالفعل الأجل المحدد لتقديم طلب إعلان بطلان الإجراءات. </w:t>
      </w:r>
    </w:p>
    <w:p w14:paraId="42266CF6" w14:textId="77777777" w:rsidR="003827C9" w:rsidRPr="00990AFC" w:rsidRDefault="003827C9" w:rsidP="007A7AD0">
      <w:pPr>
        <w:pStyle w:val="H23GA"/>
        <w:rPr>
          <w:lang w:val="ar-SA" w:eastAsia="zh-TW" w:bidi="en-GB"/>
        </w:rPr>
      </w:pPr>
      <w:r w:rsidRPr="00990AFC">
        <w:rPr>
          <w:rtl/>
        </w:rPr>
        <w:tab/>
      </w:r>
      <w:r w:rsidRPr="00990AFC">
        <w:rPr>
          <w:rtl/>
        </w:rPr>
        <w:tab/>
        <w:t>رد صاحب البلاغ على طلب الدولة الطرف وثائق تكميلية</w:t>
      </w:r>
    </w:p>
    <w:p w14:paraId="572EEF3C" w14:textId="77777777" w:rsidR="003827C9" w:rsidRPr="003827C9" w:rsidRDefault="003827C9" w:rsidP="003827C9">
      <w:pPr>
        <w:pStyle w:val="SingleTxtGA"/>
        <w:rPr>
          <w:rFonts w:eastAsiaTheme="minorEastAsia"/>
          <w:lang w:val="ar-SA" w:eastAsia="zh-TW" w:bidi="en-GB"/>
        </w:rPr>
      </w:pPr>
      <w:r w:rsidRPr="00990AFC">
        <w:rPr>
          <w:rFonts w:eastAsiaTheme="minorEastAsia"/>
          <w:rtl/>
        </w:rPr>
        <w:t>5</w:t>
      </w:r>
      <w:r w:rsidRPr="003827C9">
        <w:rPr>
          <w:rFonts w:eastAsiaTheme="minorEastAsia"/>
          <w:rtl/>
        </w:rPr>
        <w:t>-</w:t>
      </w:r>
      <w:r w:rsidRPr="00990AFC">
        <w:rPr>
          <w:rFonts w:eastAsiaTheme="minorEastAsia"/>
          <w:rtl/>
        </w:rPr>
        <w:t>1</w:t>
      </w:r>
      <w:r w:rsidRPr="003827C9">
        <w:rPr>
          <w:rFonts w:eastAsiaTheme="minorEastAsia"/>
          <w:rtl/>
        </w:rPr>
        <w:tab/>
        <w:t xml:space="preserve">يدعي صاحب البلاغ، في تعليقاته المؤرخة </w:t>
      </w:r>
      <w:r w:rsidRPr="00990AFC">
        <w:rPr>
          <w:rFonts w:eastAsiaTheme="minorEastAsia"/>
          <w:rtl/>
        </w:rPr>
        <w:t>29</w:t>
      </w:r>
      <w:r w:rsidRPr="003827C9">
        <w:rPr>
          <w:rFonts w:eastAsiaTheme="minorEastAsia"/>
          <w:rtl/>
        </w:rPr>
        <w:t xml:space="preserve"> حزيران/</w:t>
      </w:r>
      <w:proofErr w:type="gramStart"/>
      <w:r w:rsidRPr="003827C9">
        <w:rPr>
          <w:rFonts w:eastAsiaTheme="minorEastAsia"/>
          <w:rtl/>
        </w:rPr>
        <w:t>يونيه</w:t>
      </w:r>
      <w:proofErr w:type="gramEnd"/>
      <w:r w:rsidRPr="003827C9">
        <w:rPr>
          <w:rFonts w:eastAsiaTheme="minorEastAsia"/>
          <w:rtl/>
        </w:rPr>
        <w:t xml:space="preserve"> </w:t>
      </w:r>
      <w:r w:rsidRPr="00990AFC">
        <w:rPr>
          <w:rFonts w:eastAsiaTheme="minorEastAsia"/>
          <w:rtl/>
        </w:rPr>
        <w:t>2018</w:t>
      </w:r>
      <w:r w:rsidRPr="003827C9">
        <w:rPr>
          <w:rFonts w:eastAsiaTheme="minorEastAsia"/>
          <w:rtl/>
        </w:rPr>
        <w:t xml:space="preserve">، أن طلب الدولة الطرف وثائق تكميلية غير مقبول، لأنها كانت طرفاً مدعياً في الإجراءات المباشَرة ضده، ويمكنها بالتالي الحصول على الوثائق المطلوبة. ويرى صاحب البلاغ أن الدولة الطرف تُطيل بلا داع الإجراء المعروض على اللجنة، حيث طلبت معلومات للطعن في مقبولية البلاغ عندما أوشك على الانقضاء الأجل المحدد لتقديم تعليقاتها على الأسس الموضوعية. ولذلك، يطلب صاحب البلاغ إلى اللجنة أن تواصل الإجراءات. </w:t>
      </w:r>
    </w:p>
    <w:p w14:paraId="3E9CB0C8" w14:textId="29895A92" w:rsidR="003827C9" w:rsidRPr="003827C9" w:rsidRDefault="003827C9" w:rsidP="003827C9">
      <w:pPr>
        <w:pStyle w:val="SingleTxtGA"/>
        <w:rPr>
          <w:rFonts w:eastAsiaTheme="minorEastAsia"/>
          <w:lang w:val="ar-SA" w:eastAsia="zh-TW" w:bidi="en-GB"/>
        </w:rPr>
      </w:pPr>
      <w:r w:rsidRPr="00990AFC">
        <w:rPr>
          <w:rFonts w:eastAsiaTheme="minorEastAsia"/>
          <w:rtl/>
        </w:rPr>
        <w:t>5</w:t>
      </w:r>
      <w:r w:rsidRPr="003827C9">
        <w:rPr>
          <w:rFonts w:eastAsiaTheme="minorEastAsia"/>
          <w:rtl/>
        </w:rPr>
        <w:t>-</w:t>
      </w:r>
      <w:r w:rsidRPr="00990AFC">
        <w:rPr>
          <w:rFonts w:eastAsiaTheme="minorEastAsia"/>
          <w:rtl/>
        </w:rPr>
        <w:t>2</w:t>
      </w:r>
      <w:r w:rsidRPr="003827C9">
        <w:rPr>
          <w:rFonts w:eastAsiaTheme="minorEastAsia"/>
          <w:rtl/>
        </w:rPr>
        <w:tab/>
        <w:t xml:space="preserve">وعلاوة على ذلك، يرى صاحب البلاغ أن الوثائق التي طلبتها الدولة الطرف لا تمت بصلة للمسألة التي يثيرها في شكواه. ويدعي أن الاعتراض على عقد جلسة استماع أمام محكمة الاستئناف مسألة لا علاقة لها باستنفاد سبل الانتصاف المحلية. ويندرج الاعتراض على عقد جلسة الاستماع المعنية في إطار ممارسة الحق المشروع في الدفاع. واعترض صاحب البلاغ على عقد جلسة الاستماع أمام محكمة الاستئناف لأنه </w:t>
      </w:r>
      <w:r w:rsidRPr="003827C9">
        <w:rPr>
          <w:rFonts w:eastAsiaTheme="minorEastAsia" w:hint="cs"/>
          <w:rtl/>
        </w:rPr>
        <w:t>لا يمكن عقدها</w:t>
      </w:r>
      <w:r w:rsidRPr="003827C9">
        <w:rPr>
          <w:rFonts w:eastAsiaTheme="minorEastAsia"/>
          <w:rtl/>
        </w:rPr>
        <w:t xml:space="preserve">، </w:t>
      </w:r>
      <w:r w:rsidRPr="003827C9">
        <w:rPr>
          <w:rFonts w:eastAsiaTheme="minorEastAsia" w:hint="cs"/>
          <w:rtl/>
        </w:rPr>
        <w:t>طبقاً ل</w:t>
      </w:r>
      <w:r w:rsidRPr="003827C9">
        <w:rPr>
          <w:rFonts w:eastAsiaTheme="minorEastAsia"/>
          <w:rtl/>
        </w:rPr>
        <w:t xml:space="preserve">أحكام التشريعات المنطبقة، </w:t>
      </w:r>
      <w:r w:rsidRPr="003827C9">
        <w:rPr>
          <w:rFonts w:eastAsiaTheme="minorEastAsia" w:hint="cs"/>
          <w:rtl/>
        </w:rPr>
        <w:t xml:space="preserve">وفق نفس شروط عقدها أمام </w:t>
      </w:r>
      <w:r w:rsidRPr="003827C9">
        <w:rPr>
          <w:rFonts w:eastAsiaTheme="minorEastAsia"/>
          <w:rtl/>
        </w:rPr>
        <w:t xml:space="preserve">المحكمة الابتدائية، ولأنه لن يتمتع بالضمانات اللازمة بالنظر إلى الوقت المنصرم منذ حدوث الوقائع موضوع التحقيق (أكثر من </w:t>
      </w:r>
      <w:r w:rsidRPr="00990AFC">
        <w:rPr>
          <w:rFonts w:eastAsiaTheme="minorEastAsia"/>
          <w:rtl/>
        </w:rPr>
        <w:t>20</w:t>
      </w:r>
      <w:r w:rsidRPr="003827C9">
        <w:rPr>
          <w:rFonts w:eastAsiaTheme="minorEastAsia"/>
          <w:rtl/>
        </w:rPr>
        <w:t xml:space="preserve"> سنة</w:t>
      </w:r>
      <w:r w:rsidR="00620C46" w:rsidRPr="00620C46">
        <w:rPr>
          <w:rFonts w:eastAsiaTheme="minorEastAsia"/>
          <w:rtl/>
        </w:rPr>
        <w:t xml:space="preserve">)، </w:t>
      </w:r>
      <w:r w:rsidRPr="003827C9">
        <w:rPr>
          <w:rFonts w:eastAsiaTheme="minorEastAsia"/>
          <w:rtl/>
        </w:rPr>
        <w:t xml:space="preserve">ولأنه توفي اثنان من المتهمين. </w:t>
      </w:r>
    </w:p>
    <w:p w14:paraId="1C36B649" w14:textId="77777777" w:rsidR="003827C9" w:rsidRPr="003827C9" w:rsidRDefault="003827C9" w:rsidP="003827C9">
      <w:pPr>
        <w:pStyle w:val="SingleTxtGA"/>
        <w:rPr>
          <w:rFonts w:eastAsiaTheme="minorEastAsia"/>
          <w:lang w:val="ar-SA" w:eastAsia="zh-TW" w:bidi="en-GB"/>
        </w:rPr>
      </w:pPr>
      <w:r w:rsidRPr="00990AFC">
        <w:rPr>
          <w:rFonts w:eastAsiaTheme="minorEastAsia"/>
          <w:rtl/>
        </w:rPr>
        <w:t>5</w:t>
      </w:r>
      <w:r w:rsidRPr="003827C9">
        <w:rPr>
          <w:rFonts w:eastAsiaTheme="minorEastAsia"/>
          <w:rtl/>
        </w:rPr>
        <w:t>-</w:t>
      </w:r>
      <w:r w:rsidRPr="00990AFC">
        <w:rPr>
          <w:rFonts w:eastAsiaTheme="minorEastAsia"/>
          <w:rtl/>
        </w:rPr>
        <w:t>3</w:t>
      </w:r>
      <w:r w:rsidRPr="003827C9">
        <w:rPr>
          <w:rFonts w:eastAsiaTheme="minorEastAsia"/>
          <w:rtl/>
        </w:rPr>
        <w:tab/>
        <w:t xml:space="preserve">ويوضح صاحب البلاغ أنه، بعد عقد هذه الجلسة وبالنظر إلى ظروف عقدها وإلى القرار الصادر عن المحكمة العليا الإقليمية، قدَّم دعوى بطلان الإجراءات، ولاحقاً دعوى الحماية القضائية الدستورية، التي أشار فيها إلى أن الجلسة المذكورة لم تكفل له كمتهم الضمانات اللازمة، وإلى أن محكمة الاستئناف أدانته استناداً إلى تقييم أدلة ذات طابع شخصي لم تقدَّم </w:t>
      </w:r>
      <w:r w:rsidRPr="003827C9">
        <w:rPr>
          <w:rFonts w:eastAsiaTheme="minorEastAsia" w:hint="cs"/>
          <w:rtl/>
        </w:rPr>
        <w:t>أمامها</w:t>
      </w:r>
      <w:r w:rsidRPr="003827C9">
        <w:rPr>
          <w:rFonts w:eastAsiaTheme="minorEastAsia"/>
          <w:rtl/>
        </w:rPr>
        <w:t>، وهو ما يشكل انتهاكاً واضحاً للحق في إقامة العدل على نحو سليم أو الحق في محاكمة عادلة أو منصفة. إن اعتراض صاحب البلاغ على عقد جلسة الاستماع، على أساس أن الطريقة التي كانت ستُعقد بها لا تستوفي الضمانات الواجبة قانوناً، وادعاءه لاحقاً أن طريقة عقدها لم تستوف فعلاً الشروط المطلوبة لكفالة حقوقه الأساسية، مسألتان لا يوجد بينهما أي تعارض، وإنما تندرجان في إطار الممارسة المشروعة للحق في الدفاع والإبلاغ عن الانتهاكات المحتمل وق</w:t>
      </w:r>
      <w:r w:rsidRPr="003827C9">
        <w:rPr>
          <w:rFonts w:eastAsiaTheme="minorEastAsia" w:hint="cs"/>
          <w:rtl/>
        </w:rPr>
        <w:t>و</w:t>
      </w:r>
      <w:r w:rsidRPr="003827C9">
        <w:rPr>
          <w:rFonts w:eastAsiaTheme="minorEastAsia"/>
          <w:rtl/>
        </w:rPr>
        <w:t>ع</w:t>
      </w:r>
      <w:r w:rsidRPr="003827C9">
        <w:rPr>
          <w:rFonts w:eastAsiaTheme="minorEastAsia" w:hint="cs"/>
          <w:rtl/>
        </w:rPr>
        <w:t>ها</w:t>
      </w:r>
      <w:r w:rsidRPr="003827C9">
        <w:rPr>
          <w:rFonts w:eastAsiaTheme="minorEastAsia"/>
          <w:rtl/>
        </w:rPr>
        <w:t xml:space="preserve"> في كل مرحلة من مراحل الإجراءات المباشَرة ضده.</w:t>
      </w:r>
    </w:p>
    <w:p w14:paraId="79FBC8E3" w14:textId="3A87B4A3" w:rsidR="003827C9" w:rsidRPr="003827C9" w:rsidRDefault="003827C9" w:rsidP="003827C9">
      <w:pPr>
        <w:pStyle w:val="SingleTxtGA"/>
        <w:rPr>
          <w:rFonts w:eastAsiaTheme="minorEastAsia"/>
          <w:lang w:val="ar-SA" w:eastAsia="zh-TW" w:bidi="en-GB"/>
        </w:rPr>
      </w:pPr>
      <w:r w:rsidRPr="00990AFC">
        <w:rPr>
          <w:rFonts w:eastAsiaTheme="minorEastAsia"/>
          <w:rtl/>
        </w:rPr>
        <w:t>5</w:t>
      </w:r>
      <w:r w:rsidRPr="003827C9">
        <w:rPr>
          <w:rFonts w:eastAsiaTheme="minorEastAsia"/>
          <w:rtl/>
        </w:rPr>
        <w:t>-</w:t>
      </w:r>
      <w:r w:rsidRPr="00990AFC">
        <w:rPr>
          <w:rFonts w:eastAsiaTheme="minorEastAsia"/>
          <w:rtl/>
        </w:rPr>
        <w:t>4</w:t>
      </w:r>
      <w:r w:rsidRPr="003827C9">
        <w:rPr>
          <w:rFonts w:eastAsiaTheme="minorEastAsia"/>
          <w:rtl/>
        </w:rPr>
        <w:tab/>
        <w:t>ويرى صاحب البلاغ أن ما ينبغي أخذه في الاعتبار لتحديد ما إذا استُنفدت سبل الانتصاف أم</w:t>
      </w:r>
      <w:r w:rsidR="007A7AD0">
        <w:rPr>
          <w:rFonts w:eastAsiaTheme="minorEastAsia" w:hint="cs"/>
          <w:rtl/>
        </w:rPr>
        <w:t> </w:t>
      </w:r>
      <w:r w:rsidRPr="003827C9">
        <w:rPr>
          <w:rFonts w:eastAsiaTheme="minorEastAsia"/>
          <w:rtl/>
        </w:rPr>
        <w:t xml:space="preserve">لا هو أن المحكمة الابتدائية برأته من الجرائم المنسوبة إليه في لائحتي الاتهام؛ وأن النيابة العامة ومحامي الدولة استأنفا هذا القرار؛ وأن المحكمة العليا الإقليمية أصدرت، في مرحلة الاستئناف، قراراً قضت فيه بإلغاء الحكم الصادر عن المحكمة الابتدائية وبإدانة صاحب البلاغ باعتباره مرتكب أربع جرائم ضد الخزانة العامة؛ وأنه طعن في هذا الحكم بتقديم الدعوى الاستثنائية لطلب إعلان بطلان الإجراءات؛ </w:t>
      </w:r>
      <w:r w:rsidRPr="003827C9">
        <w:rPr>
          <w:rFonts w:eastAsiaTheme="minorEastAsia"/>
          <w:rtl/>
        </w:rPr>
        <w:lastRenderedPageBreak/>
        <w:t xml:space="preserve">وأن المحكمة العليا الإقليمية رفضت هذه الدعوى؛ وأنه قدم دعوى الحماية القضائية الدستورية إلى المحكمة الدستورية للطعن في قرارات المحكمة العليا الإقليمية. ويشير صاحب البلاغ إلى أن دعوى بطلان الإجراءات ودعوى الحماية القضائية الدستورية هما الآليتان الوحيدتان المنصوص عليهما في القانون الوطني للطعن في قرار من هذا القبيل. وفي كلتا </w:t>
      </w:r>
      <w:r w:rsidRPr="003827C9">
        <w:rPr>
          <w:rFonts w:eastAsiaTheme="minorEastAsia" w:hint="cs"/>
          <w:rtl/>
        </w:rPr>
        <w:t>الدعوييْن</w:t>
      </w:r>
      <w:r w:rsidRPr="003827C9">
        <w:rPr>
          <w:rFonts w:eastAsiaTheme="minorEastAsia"/>
          <w:rtl/>
        </w:rPr>
        <w:t>، ادعى صاحب البلاغ أن الحكم صدر من دون فحص الأدلة ذات الطابع الشخصي المقدمة خلال المحاكمة الشفوية، واكتفت المحكمة بتحديد موعد جلسة استماع تمثل الغرض الوحيد منها في استدعاء المتهم ومنحه إمكانية الإدلاء بأقواله بشأن مسؤوليته عن الجرائم المنسوبة إليه، وهو ما لا يمكن أن يكون بأي حال من الأحوال بديلاً لضرورة نظر الهيئة التي أصدرت الحكم في جميع الأدلة ذات الطابع الشخصي التي قُدمت خلال الجلسة العامة والتي قيمتها المحكمة الجنائية لتخلص إلى حكمها ببراءة صاحب البلاغ.</w:t>
      </w:r>
    </w:p>
    <w:p w14:paraId="4B569969" w14:textId="11BA9627" w:rsidR="003827C9" w:rsidRPr="003827C9" w:rsidRDefault="003827C9" w:rsidP="003827C9">
      <w:pPr>
        <w:pStyle w:val="SingleTxtGA"/>
        <w:rPr>
          <w:rFonts w:eastAsiaTheme="minorEastAsia"/>
          <w:lang w:val="ar-SA" w:eastAsia="zh-TW" w:bidi="en-GB"/>
        </w:rPr>
      </w:pPr>
      <w:r w:rsidRPr="00990AFC">
        <w:rPr>
          <w:rFonts w:eastAsiaTheme="minorEastAsia"/>
          <w:rtl/>
        </w:rPr>
        <w:t>5</w:t>
      </w:r>
      <w:r w:rsidRPr="003827C9">
        <w:rPr>
          <w:rFonts w:eastAsiaTheme="minorEastAsia"/>
          <w:rtl/>
        </w:rPr>
        <w:t>-</w:t>
      </w:r>
      <w:r w:rsidRPr="00990AFC">
        <w:rPr>
          <w:rFonts w:eastAsiaTheme="minorEastAsia"/>
          <w:rtl/>
        </w:rPr>
        <w:t>5</w:t>
      </w:r>
      <w:r w:rsidRPr="003827C9">
        <w:rPr>
          <w:rFonts w:eastAsiaTheme="minorEastAsia"/>
          <w:rtl/>
        </w:rPr>
        <w:tab/>
        <w:t xml:space="preserve">وبالإضافة إلى ذلك، يرى صاحب البلاغ أن تقديم نسخة من دعوى بطلان الإجراءات وتحديد تاريخ تعيين محام جديد مسألتان لا صلة لهما أيضاً بالقضية. ويكرر أن محاميه قدم، في </w:t>
      </w:r>
      <w:r w:rsidRPr="00990AFC">
        <w:rPr>
          <w:rFonts w:eastAsiaTheme="minorEastAsia"/>
          <w:rtl/>
        </w:rPr>
        <w:t>20</w:t>
      </w:r>
      <w:r w:rsidRPr="003827C9">
        <w:rPr>
          <w:rFonts w:eastAsiaTheme="minorEastAsia"/>
          <w:rtl/>
        </w:rPr>
        <w:t xml:space="preserve"> حزيران/</w:t>
      </w:r>
      <w:proofErr w:type="gramStart"/>
      <w:r w:rsidRPr="003827C9">
        <w:rPr>
          <w:rFonts w:eastAsiaTheme="minorEastAsia"/>
          <w:rtl/>
        </w:rPr>
        <w:t>يونيه</w:t>
      </w:r>
      <w:proofErr w:type="gramEnd"/>
      <w:r w:rsidRPr="003827C9">
        <w:rPr>
          <w:rFonts w:eastAsiaTheme="minorEastAsia"/>
          <w:rtl/>
        </w:rPr>
        <w:t xml:space="preserve"> </w:t>
      </w:r>
      <w:r w:rsidRPr="00990AFC">
        <w:rPr>
          <w:rFonts w:eastAsiaTheme="minorEastAsia"/>
          <w:rtl/>
        </w:rPr>
        <w:t>2012</w:t>
      </w:r>
      <w:r w:rsidRPr="003827C9">
        <w:rPr>
          <w:rFonts w:eastAsiaTheme="minorEastAsia"/>
          <w:rtl/>
        </w:rPr>
        <w:t xml:space="preserve">، مذكرة يبلغ فيها المحكمة بتنحيه عن الدفاع عنه. وقدم هذه المذكرة قبل انقضاء الأجل القانوني المحدد في </w:t>
      </w:r>
      <w:r w:rsidRPr="00990AFC">
        <w:rPr>
          <w:rFonts w:eastAsiaTheme="minorEastAsia"/>
          <w:rtl/>
        </w:rPr>
        <w:t>20</w:t>
      </w:r>
      <w:r w:rsidRPr="003827C9">
        <w:rPr>
          <w:rFonts w:eastAsiaTheme="minorEastAsia"/>
          <w:rtl/>
        </w:rPr>
        <w:t xml:space="preserve"> يوماً لتقديم دعوى بطلان الإجراءات المشار إليها، الذي كان سينقضي في</w:t>
      </w:r>
      <w:r w:rsidR="007A7AD0">
        <w:rPr>
          <w:rFonts w:eastAsiaTheme="minorEastAsia" w:hint="cs"/>
          <w:rtl/>
        </w:rPr>
        <w:t> </w:t>
      </w:r>
      <w:r w:rsidRPr="00990AFC">
        <w:rPr>
          <w:rFonts w:eastAsiaTheme="minorEastAsia"/>
          <w:rtl/>
        </w:rPr>
        <w:t>27</w:t>
      </w:r>
      <w:r w:rsidRPr="003827C9">
        <w:rPr>
          <w:rFonts w:eastAsiaTheme="minorEastAsia"/>
          <w:rtl/>
        </w:rPr>
        <w:t xml:space="preserve"> حزيران/</w:t>
      </w:r>
      <w:proofErr w:type="gramStart"/>
      <w:r w:rsidRPr="003827C9">
        <w:rPr>
          <w:rFonts w:eastAsiaTheme="minorEastAsia"/>
          <w:rtl/>
        </w:rPr>
        <w:t>يونيه</w:t>
      </w:r>
      <w:proofErr w:type="gramEnd"/>
      <w:r w:rsidRPr="003827C9">
        <w:rPr>
          <w:rFonts w:eastAsiaTheme="minorEastAsia"/>
          <w:rtl/>
        </w:rPr>
        <w:t xml:space="preserve"> </w:t>
      </w:r>
      <w:r w:rsidRPr="00990AFC">
        <w:rPr>
          <w:rFonts w:eastAsiaTheme="minorEastAsia"/>
          <w:rtl/>
        </w:rPr>
        <w:t>201</w:t>
      </w:r>
      <w:r w:rsidR="00620C46" w:rsidRPr="00990AFC">
        <w:rPr>
          <w:rFonts w:eastAsiaTheme="minorEastAsia"/>
          <w:rtl/>
        </w:rPr>
        <w:t>2</w:t>
      </w:r>
      <w:r w:rsidR="00620C46" w:rsidRPr="00620C46">
        <w:rPr>
          <w:rFonts w:eastAsiaTheme="minorEastAsia"/>
          <w:rtl/>
        </w:rPr>
        <w:t xml:space="preserve">. </w:t>
      </w:r>
      <w:r w:rsidRPr="003827C9">
        <w:rPr>
          <w:rFonts w:eastAsiaTheme="minorEastAsia"/>
          <w:rtl/>
        </w:rPr>
        <w:t>وعلاوة على ذلك، طلب المحامي صراحة في المذكرة المشار إليها ما يلي:</w:t>
      </w:r>
      <w:r w:rsidRPr="003827C9">
        <w:rPr>
          <w:rFonts w:eastAsiaTheme="minorEastAsia" w:hint="cs"/>
          <w:rtl/>
        </w:rPr>
        <w:t xml:space="preserve"> </w:t>
      </w:r>
      <w:r w:rsidRPr="003827C9">
        <w:rPr>
          <w:rFonts w:eastAsiaTheme="minorEastAsia"/>
          <w:rtl/>
        </w:rPr>
        <w:t>"بما أنني بصدد إعداد طلب إعلان بطلان الإجراءات وبطلان الحكم الصادر في الإجراءات المعنية، فإنني ألتمس، تفادياً لأي ضرر قد يلحق بالشخص المعني، تعليق الأجل المحدد لتقديم طلب بطلان الإجراءات إلى أن يُعيَّن محام جديد للدفاع عن مصالح [صاحب البلاغ]".</w:t>
      </w:r>
    </w:p>
    <w:p w14:paraId="54482F2E" w14:textId="77777777" w:rsidR="003827C9" w:rsidRPr="003827C9" w:rsidRDefault="003827C9" w:rsidP="003827C9">
      <w:pPr>
        <w:pStyle w:val="SingleTxtGA"/>
        <w:rPr>
          <w:rFonts w:eastAsiaTheme="minorEastAsia"/>
          <w:lang w:val="ar-SA" w:eastAsia="zh-TW" w:bidi="en-GB"/>
        </w:rPr>
      </w:pPr>
      <w:r w:rsidRPr="00990AFC">
        <w:rPr>
          <w:rFonts w:eastAsiaTheme="minorEastAsia"/>
          <w:rtl/>
        </w:rPr>
        <w:t>5</w:t>
      </w:r>
      <w:r w:rsidRPr="003827C9">
        <w:rPr>
          <w:rFonts w:eastAsiaTheme="minorEastAsia"/>
          <w:rtl/>
        </w:rPr>
        <w:t>-</w:t>
      </w:r>
      <w:r w:rsidRPr="00990AFC">
        <w:rPr>
          <w:rFonts w:eastAsiaTheme="minorEastAsia"/>
          <w:rtl/>
        </w:rPr>
        <w:t>6</w:t>
      </w:r>
      <w:r w:rsidRPr="003827C9">
        <w:rPr>
          <w:rFonts w:eastAsiaTheme="minorEastAsia"/>
          <w:rtl/>
        </w:rPr>
        <w:tab/>
        <w:t xml:space="preserve">ويشير صاحب البلاغ إلى أن المحكمة لم تُصدر قط قراراً بشأن مذكرة التنحي التي قدمها محاميه ولا بشأن طلب تعليق الأجل المحدد لتقديم دعوى بطلان الإجراءات. وفي ظل هذه الملابسات، باشر صاحب البلاغ إجراءات تعيين محام جديد، رغم أن المحكمة لم تصدر أي قرار تطلب إليه فيه القيام بذلك. وبمجرد تعيين هذا المحامي، قدَّم مذكرة باسم صاحب البلاغ ضمَّنها "دعوى استثنائية لطلب إعلان بطلان الإجراءات" إزاء الحكم الصادر عن المحكمة العليا الإقليمية في مدريد في </w:t>
      </w:r>
      <w:r w:rsidRPr="00990AFC">
        <w:rPr>
          <w:rFonts w:eastAsiaTheme="minorEastAsia"/>
          <w:rtl/>
        </w:rPr>
        <w:t>30</w:t>
      </w:r>
      <w:r w:rsidRPr="003827C9">
        <w:rPr>
          <w:rFonts w:eastAsiaTheme="minorEastAsia"/>
          <w:rtl/>
        </w:rPr>
        <w:t xml:space="preserve"> نيسان/أبريل </w:t>
      </w:r>
      <w:r w:rsidRPr="00990AFC">
        <w:rPr>
          <w:rFonts w:eastAsiaTheme="minorEastAsia"/>
          <w:rtl/>
        </w:rPr>
        <w:t>2012</w:t>
      </w:r>
      <w:r w:rsidRPr="003827C9">
        <w:rPr>
          <w:rFonts w:eastAsiaTheme="minorEastAsia"/>
          <w:rtl/>
        </w:rPr>
        <w:t>، خلال الأجل المحدد لتقديم هذه الدعوى.</w:t>
      </w:r>
    </w:p>
    <w:p w14:paraId="7046CFF9" w14:textId="77777777" w:rsidR="003827C9" w:rsidRPr="003827C9" w:rsidRDefault="003827C9" w:rsidP="003827C9">
      <w:pPr>
        <w:pStyle w:val="SingleTxtGA"/>
        <w:rPr>
          <w:rFonts w:eastAsiaTheme="minorEastAsia"/>
          <w:lang w:val="ar-SA" w:eastAsia="zh-TW" w:bidi="en-GB"/>
        </w:rPr>
      </w:pPr>
      <w:r w:rsidRPr="00990AFC">
        <w:rPr>
          <w:rFonts w:eastAsiaTheme="minorEastAsia"/>
          <w:rtl/>
        </w:rPr>
        <w:t>5</w:t>
      </w:r>
      <w:r w:rsidRPr="003827C9">
        <w:rPr>
          <w:rFonts w:eastAsiaTheme="minorEastAsia"/>
          <w:rtl/>
        </w:rPr>
        <w:t>-</w:t>
      </w:r>
      <w:r w:rsidRPr="00990AFC">
        <w:rPr>
          <w:rFonts w:eastAsiaTheme="minorEastAsia"/>
          <w:rtl/>
        </w:rPr>
        <w:t>7</w:t>
      </w:r>
      <w:r w:rsidRPr="003827C9">
        <w:rPr>
          <w:rFonts w:eastAsiaTheme="minorEastAsia"/>
          <w:rtl/>
        </w:rPr>
        <w:tab/>
        <w:t xml:space="preserve">ويرى صاحب البلاغ أنه لا يجوز رفض دعوى بطلان الإجراءات لاعتبارها مقدمة خارج الأجل المحدد إلاَّ إذا كانت المحكمة قد أصدرت قراراً تطلب فيه إلى المتهم تعيين محام جديد خلال أجل معين وتُضمنه حكمها بشأن طلب تعليق أجل تقديمها، مع الإشارة بوضوح إلى عدد الأيام المتبقية من ذلك الأجل، وما إذا جرى تجاوزه. </w:t>
      </w:r>
    </w:p>
    <w:p w14:paraId="67A5829C" w14:textId="77777777" w:rsidR="003827C9" w:rsidRPr="003827C9" w:rsidRDefault="003827C9" w:rsidP="003827C9">
      <w:pPr>
        <w:pStyle w:val="SingleTxtGA"/>
        <w:rPr>
          <w:rFonts w:eastAsiaTheme="minorEastAsia"/>
          <w:lang w:val="ar-SA" w:eastAsia="zh-TW" w:bidi="en-GB"/>
        </w:rPr>
      </w:pPr>
      <w:r w:rsidRPr="00990AFC">
        <w:rPr>
          <w:rFonts w:eastAsiaTheme="minorEastAsia"/>
          <w:rtl/>
        </w:rPr>
        <w:t>5</w:t>
      </w:r>
      <w:r w:rsidRPr="003827C9">
        <w:rPr>
          <w:rFonts w:eastAsiaTheme="minorEastAsia"/>
          <w:rtl/>
        </w:rPr>
        <w:t>-</w:t>
      </w:r>
      <w:r w:rsidRPr="00990AFC">
        <w:rPr>
          <w:rFonts w:eastAsiaTheme="minorEastAsia"/>
          <w:rtl/>
        </w:rPr>
        <w:t>8</w:t>
      </w:r>
      <w:r w:rsidRPr="003827C9">
        <w:rPr>
          <w:rFonts w:eastAsiaTheme="minorEastAsia"/>
          <w:rtl/>
        </w:rPr>
        <w:tab/>
        <w:t>ويضيف صاحب البلاغ أن القرار نفسه الذي أصدرته المحكمة الدستورية بشأن دعوى الحماية القضائية الدستورية يُثبت أن هذه الدعوى لم تقدَّم خارج الأجل المحدد. والمسألة الأولى التي يجري تحليلها لدى البت في مقبولية دعوى الحماية القضائية الدستورية هي الأجل المحدد لتقديمه</w:t>
      </w:r>
      <w:r w:rsidRPr="003827C9">
        <w:rPr>
          <w:rFonts w:eastAsiaTheme="minorEastAsia" w:hint="cs"/>
          <w:rtl/>
        </w:rPr>
        <w:t>ا</w:t>
      </w:r>
      <w:r w:rsidRPr="003827C9">
        <w:rPr>
          <w:rFonts w:eastAsiaTheme="minorEastAsia"/>
          <w:rtl/>
        </w:rPr>
        <w:t>؛ وبالتالي، فلو كانت دعوى بطلان الإجراءات المباشَرة قبل دعوى الحماية القضائية الدستورية قد قُدمت خارج الأجل المحدد، لصدر قرار بعدم مقبوليتها على أساس تقديمها خارج الأجل المحدد. غير أن المحكمة الدستورية الإسبانية أصدرت قراراً قضت فيه بعدم قبول دعوى الحماية القضائية الدستورية التي قدمها صاحب الشكوى "لعدم وقوع انتهاك واضح لأي حق من الحقوق الأساسية التي تحميها دعوى الحماية القضائية الدستورية". ويثبت هذا القرار استنفاد جميع سبل الانتصاف المحلية المتاحة على النحو السليم، ولا تُعتبر بالتالي الوثائق التكميلية التي تشير إليها الدولة الطرف ضرورية.</w:t>
      </w:r>
    </w:p>
    <w:p w14:paraId="53907DF3" w14:textId="77777777" w:rsidR="003827C9" w:rsidRPr="00990AFC" w:rsidRDefault="003827C9" w:rsidP="007A7AD0">
      <w:pPr>
        <w:pStyle w:val="H23GA"/>
        <w:rPr>
          <w:lang w:val="ar-SA" w:eastAsia="zh-TW" w:bidi="en-GB"/>
        </w:rPr>
      </w:pPr>
      <w:r w:rsidRPr="00990AFC">
        <w:rPr>
          <w:rtl/>
        </w:rPr>
        <w:lastRenderedPageBreak/>
        <w:tab/>
      </w:r>
      <w:r w:rsidRPr="00990AFC">
        <w:rPr>
          <w:rtl/>
        </w:rPr>
        <w:tab/>
        <w:t>ملاحظات الدولة الطرف بشأن مقبولية البلاغ وأسسه الموضوعية</w:t>
      </w:r>
    </w:p>
    <w:p w14:paraId="693CC6F7" w14:textId="77777777" w:rsidR="003827C9" w:rsidRPr="003827C9" w:rsidRDefault="003827C9" w:rsidP="003827C9">
      <w:pPr>
        <w:pStyle w:val="SingleTxtGA"/>
        <w:rPr>
          <w:rFonts w:eastAsiaTheme="minorEastAsia"/>
          <w:lang w:val="ar-SA" w:eastAsia="zh-TW" w:bidi="en-GB"/>
        </w:rPr>
      </w:pPr>
      <w:r w:rsidRPr="00990AFC">
        <w:rPr>
          <w:rFonts w:eastAsiaTheme="minorEastAsia"/>
          <w:rtl/>
        </w:rPr>
        <w:t>6</w:t>
      </w:r>
      <w:r w:rsidRPr="003827C9">
        <w:rPr>
          <w:rFonts w:eastAsiaTheme="minorEastAsia"/>
          <w:rtl/>
        </w:rPr>
        <w:t>-</w:t>
      </w:r>
      <w:r w:rsidRPr="00990AFC">
        <w:rPr>
          <w:rFonts w:eastAsiaTheme="minorEastAsia"/>
          <w:rtl/>
        </w:rPr>
        <w:t>1</w:t>
      </w:r>
      <w:r w:rsidRPr="003827C9">
        <w:rPr>
          <w:rFonts w:eastAsiaTheme="minorEastAsia"/>
          <w:rtl/>
        </w:rPr>
        <w:tab/>
        <w:t xml:space="preserve">في </w:t>
      </w:r>
      <w:r w:rsidRPr="00990AFC">
        <w:rPr>
          <w:rFonts w:eastAsiaTheme="minorEastAsia"/>
          <w:rtl/>
        </w:rPr>
        <w:t>7</w:t>
      </w:r>
      <w:r w:rsidRPr="003827C9">
        <w:rPr>
          <w:rFonts w:eastAsiaTheme="minorEastAsia"/>
          <w:rtl/>
        </w:rPr>
        <w:t xml:space="preserve"> كانون الثاني/يناير </w:t>
      </w:r>
      <w:r w:rsidRPr="00990AFC">
        <w:rPr>
          <w:rFonts w:eastAsiaTheme="minorEastAsia"/>
          <w:rtl/>
        </w:rPr>
        <w:t>2019</w:t>
      </w:r>
      <w:r w:rsidRPr="003827C9">
        <w:rPr>
          <w:rFonts w:eastAsiaTheme="minorEastAsia"/>
          <w:rtl/>
        </w:rPr>
        <w:t xml:space="preserve">، قدمت الدولة الطرف ملاحظاتها بشأن مقبولية البلاغ وأسسه الموضوعية، وادعت فيها أنه ينبغي إعلان عدم قبوله لعدم استنفاد صاحبه سبل الانتصاف المحلية بموجب المادة </w:t>
      </w:r>
      <w:r w:rsidRPr="00990AFC">
        <w:rPr>
          <w:rFonts w:eastAsiaTheme="minorEastAsia"/>
          <w:rtl/>
        </w:rPr>
        <w:t>5</w:t>
      </w:r>
      <w:r w:rsidRPr="003827C9">
        <w:rPr>
          <w:rFonts w:eastAsiaTheme="minorEastAsia"/>
          <w:rtl/>
        </w:rPr>
        <w:t>(</w:t>
      </w:r>
      <w:r w:rsidRPr="00990AFC">
        <w:rPr>
          <w:rFonts w:eastAsiaTheme="minorEastAsia"/>
          <w:rtl/>
        </w:rPr>
        <w:t>2</w:t>
      </w:r>
      <w:r w:rsidRPr="003827C9">
        <w:rPr>
          <w:rFonts w:eastAsiaTheme="minorEastAsia"/>
          <w:rtl/>
        </w:rPr>
        <w:t>)(ب) من البروتوكول الاختياري.</w:t>
      </w:r>
    </w:p>
    <w:p w14:paraId="5BA9DCF4" w14:textId="77777777" w:rsidR="003827C9" w:rsidRPr="003827C9" w:rsidRDefault="003827C9" w:rsidP="003827C9">
      <w:pPr>
        <w:pStyle w:val="SingleTxtGA"/>
        <w:rPr>
          <w:rFonts w:eastAsiaTheme="minorEastAsia"/>
          <w:lang w:val="ar-SA" w:eastAsia="zh-TW" w:bidi="en-GB"/>
        </w:rPr>
      </w:pPr>
      <w:r w:rsidRPr="00990AFC">
        <w:rPr>
          <w:rFonts w:eastAsiaTheme="minorEastAsia"/>
          <w:rtl/>
        </w:rPr>
        <w:t>6</w:t>
      </w:r>
      <w:r w:rsidRPr="003827C9">
        <w:rPr>
          <w:rFonts w:eastAsiaTheme="minorEastAsia"/>
          <w:rtl/>
        </w:rPr>
        <w:t>-</w:t>
      </w:r>
      <w:r w:rsidRPr="00990AFC">
        <w:rPr>
          <w:rFonts w:eastAsiaTheme="minorEastAsia"/>
          <w:rtl/>
        </w:rPr>
        <w:t>2</w:t>
      </w:r>
      <w:r w:rsidRPr="003827C9">
        <w:rPr>
          <w:rFonts w:eastAsiaTheme="minorEastAsia"/>
          <w:rtl/>
        </w:rPr>
        <w:tab/>
        <w:t xml:space="preserve">وتدعي الدولة الطرف أن صاحب البلاغ لم يستنفد سبل الانتصاف المحلية بخصوص ادعاءاته المتعلقة بانتهاك حقوقه المكفولة بموجب المادة </w:t>
      </w:r>
      <w:r w:rsidRPr="00990AFC">
        <w:rPr>
          <w:rFonts w:eastAsiaTheme="minorEastAsia"/>
          <w:rtl/>
        </w:rPr>
        <w:t>14</w:t>
      </w:r>
      <w:r w:rsidRPr="003827C9">
        <w:rPr>
          <w:rFonts w:eastAsiaTheme="minorEastAsia"/>
          <w:rtl/>
        </w:rPr>
        <w:t xml:space="preserve"> من العهد في جانبها المتصل بالحق في أن تعيد محكمة جنائية أعلى درجة النظر في الحكم. ولم يدع صاحب البلاغ قط أمام المحاكم المحلية وقوع انتهاك لهذا الحق. </w:t>
      </w:r>
    </w:p>
    <w:p w14:paraId="1E8E53B6" w14:textId="77777777" w:rsidR="003827C9" w:rsidRPr="003827C9" w:rsidRDefault="003827C9" w:rsidP="003827C9">
      <w:pPr>
        <w:pStyle w:val="SingleTxtGA"/>
        <w:rPr>
          <w:rFonts w:eastAsiaTheme="minorEastAsia"/>
          <w:lang w:val="ar-SA" w:eastAsia="zh-TW" w:bidi="en-GB"/>
        </w:rPr>
      </w:pPr>
      <w:r w:rsidRPr="00990AFC">
        <w:rPr>
          <w:rFonts w:eastAsiaTheme="minorEastAsia"/>
          <w:rtl/>
        </w:rPr>
        <w:t>6</w:t>
      </w:r>
      <w:r w:rsidRPr="003827C9">
        <w:rPr>
          <w:rFonts w:eastAsiaTheme="minorEastAsia"/>
          <w:rtl/>
        </w:rPr>
        <w:t>-</w:t>
      </w:r>
      <w:r w:rsidRPr="00990AFC">
        <w:rPr>
          <w:rFonts w:eastAsiaTheme="minorEastAsia"/>
          <w:rtl/>
        </w:rPr>
        <w:t>3</w:t>
      </w:r>
      <w:r w:rsidRPr="003827C9">
        <w:rPr>
          <w:rFonts w:eastAsiaTheme="minorEastAsia"/>
          <w:rtl/>
        </w:rPr>
        <w:tab/>
        <w:t xml:space="preserve">وتدعي الدولة الطرف أن صاحب البلاغ لم يدَّع، لا في دعوى بطلان الإجراءات ولا في دعوى الحماية القضائية الدستورية، وقوع انتهاك للحق في أن تعيد محكمة أعلى درجة النظر في حكم الإدانة الجنائي. كما لم يُثِر صاحب البلاغ هذه المسألة في اعتراضه على الاستئناف ولا خلال جلسة الاستماع </w:t>
      </w:r>
      <w:r w:rsidRPr="007A7AD0">
        <w:rPr>
          <w:rFonts w:eastAsiaTheme="minorEastAsia"/>
          <w:spacing w:val="-6"/>
          <w:rtl/>
        </w:rPr>
        <w:t xml:space="preserve">أمام محكمة الاستئناف. ووفقاً لمضمون قرار المحكمة العليا الإقليمية الصادر في </w:t>
      </w:r>
      <w:r w:rsidRPr="00990AFC">
        <w:rPr>
          <w:rFonts w:eastAsiaTheme="minorEastAsia"/>
          <w:spacing w:val="-6"/>
          <w:rtl/>
        </w:rPr>
        <w:t>6</w:t>
      </w:r>
      <w:r w:rsidRPr="007A7AD0">
        <w:rPr>
          <w:rFonts w:eastAsiaTheme="minorEastAsia"/>
          <w:spacing w:val="-6"/>
          <w:rtl/>
        </w:rPr>
        <w:t xml:space="preserve"> كانون الأول/ديسمبر </w:t>
      </w:r>
      <w:r w:rsidRPr="00990AFC">
        <w:rPr>
          <w:rFonts w:eastAsiaTheme="minorEastAsia"/>
          <w:spacing w:val="-6"/>
          <w:rtl/>
        </w:rPr>
        <w:t>2012</w:t>
      </w:r>
      <w:r w:rsidRPr="007A7AD0">
        <w:rPr>
          <w:rFonts w:eastAsiaTheme="minorEastAsia"/>
          <w:spacing w:val="-6"/>
          <w:rtl/>
        </w:rPr>
        <w:t xml:space="preserve"> والقاضي</w:t>
      </w:r>
      <w:r w:rsidRPr="003827C9">
        <w:rPr>
          <w:rFonts w:eastAsiaTheme="minorEastAsia"/>
          <w:rtl/>
        </w:rPr>
        <w:t xml:space="preserve"> برفض دعوى البطلان، ركز صاحب البلاغ في حججه على حرمانه من حقه في الدفاع لأن محكمة الاستئناف أدانته من دون وجود أي دليل على العنصر الذاتي للجريمة المالية واستندت إلى وثائق وتقارير يرى أنها لا تصلح لإثبات ذلك العنصر ولم تقيَّم على النحو السليم. </w:t>
      </w:r>
    </w:p>
    <w:p w14:paraId="552E2324" w14:textId="6405CE9D" w:rsidR="003827C9" w:rsidRPr="003827C9" w:rsidRDefault="003827C9" w:rsidP="003827C9">
      <w:pPr>
        <w:pStyle w:val="SingleTxtGA"/>
        <w:rPr>
          <w:rFonts w:eastAsiaTheme="minorEastAsia"/>
          <w:lang w:val="ar-SA" w:eastAsia="zh-TW" w:bidi="en-GB"/>
        </w:rPr>
      </w:pPr>
      <w:r w:rsidRPr="00990AFC">
        <w:rPr>
          <w:rFonts w:eastAsiaTheme="minorEastAsia"/>
          <w:rtl/>
        </w:rPr>
        <w:t>6</w:t>
      </w:r>
      <w:r w:rsidRPr="003827C9">
        <w:rPr>
          <w:rFonts w:eastAsiaTheme="minorEastAsia"/>
          <w:rtl/>
        </w:rPr>
        <w:t>-</w:t>
      </w:r>
      <w:r w:rsidRPr="00990AFC">
        <w:rPr>
          <w:rFonts w:eastAsiaTheme="minorEastAsia"/>
          <w:rtl/>
        </w:rPr>
        <w:t>4</w:t>
      </w:r>
      <w:r w:rsidRPr="003827C9">
        <w:rPr>
          <w:rFonts w:eastAsiaTheme="minorEastAsia"/>
          <w:rtl/>
        </w:rPr>
        <w:tab/>
        <w:t xml:space="preserve">وفي دعوى الحماية القضائية الدستورية، ركز صاحب البلاغ على ادعاء أن عدم قبول دعوى البطلان لم يكن منطقياً فيما يتعلق بحساب الأجل المحدد لتقديمها، </w:t>
      </w:r>
      <w:r w:rsidRPr="003827C9">
        <w:rPr>
          <w:rFonts w:eastAsiaTheme="minorEastAsia" w:hint="cs"/>
          <w:rtl/>
        </w:rPr>
        <w:t xml:space="preserve">وعلى ضرورة </w:t>
      </w:r>
      <w:r w:rsidRPr="003827C9">
        <w:rPr>
          <w:rFonts w:eastAsiaTheme="minorEastAsia"/>
          <w:rtl/>
        </w:rPr>
        <w:t xml:space="preserve">إعادة النظر في الأدلة الشخصية التي قُدمت في المرحلة الابتدائية، وعلى انتهاك حقه في قرينة البراءة. وفي القرار المؤرخ </w:t>
      </w:r>
      <w:r w:rsidRPr="00990AFC">
        <w:rPr>
          <w:rFonts w:eastAsiaTheme="minorEastAsia"/>
          <w:rtl/>
        </w:rPr>
        <w:t>6</w:t>
      </w:r>
      <w:r w:rsidRPr="003827C9">
        <w:rPr>
          <w:rFonts w:eastAsiaTheme="minorEastAsia"/>
          <w:rtl/>
        </w:rPr>
        <w:t xml:space="preserve"> كانون الأول/ديسمبر </w:t>
      </w:r>
      <w:r w:rsidRPr="00990AFC">
        <w:rPr>
          <w:rFonts w:eastAsiaTheme="minorEastAsia"/>
          <w:rtl/>
        </w:rPr>
        <w:t>2012</w:t>
      </w:r>
      <w:r w:rsidRPr="003827C9">
        <w:rPr>
          <w:rFonts w:eastAsiaTheme="minorEastAsia"/>
          <w:rtl/>
        </w:rPr>
        <w:t>، أشارت المحكمة العليا الإقليمية، في إحالة</w:t>
      </w:r>
      <w:r w:rsidRPr="003827C9">
        <w:rPr>
          <w:rFonts w:eastAsiaTheme="minorEastAsia" w:hint="cs"/>
          <w:rtl/>
        </w:rPr>
        <w:t>ٍ</w:t>
      </w:r>
      <w:r w:rsidRPr="003827C9">
        <w:rPr>
          <w:rFonts w:eastAsiaTheme="minorEastAsia"/>
          <w:rtl/>
        </w:rPr>
        <w:t xml:space="preserve"> إلى القرار المؤرخ </w:t>
      </w:r>
      <w:r w:rsidRPr="00990AFC">
        <w:rPr>
          <w:rFonts w:eastAsiaTheme="minorEastAsia"/>
          <w:rtl/>
        </w:rPr>
        <w:t>24</w:t>
      </w:r>
      <w:r w:rsidRPr="003827C9">
        <w:rPr>
          <w:rFonts w:eastAsiaTheme="minorEastAsia"/>
          <w:rtl/>
        </w:rPr>
        <w:t xml:space="preserve"> تموز</w:t>
      </w:r>
      <w:proofErr w:type="gramStart"/>
      <w:r w:rsidRPr="003827C9">
        <w:rPr>
          <w:rFonts w:eastAsiaTheme="minorEastAsia"/>
          <w:rtl/>
        </w:rPr>
        <w:t>/</w:t>
      </w:r>
      <w:r w:rsidR="007A7AD0">
        <w:rPr>
          <w:rFonts w:eastAsiaTheme="minorEastAsia" w:hint="cs"/>
          <w:rtl/>
        </w:rPr>
        <w:t xml:space="preserve">  </w:t>
      </w:r>
      <w:r w:rsidRPr="003827C9">
        <w:rPr>
          <w:rFonts w:eastAsiaTheme="minorEastAsia"/>
          <w:rtl/>
        </w:rPr>
        <w:t>يوليه</w:t>
      </w:r>
      <w:proofErr w:type="gramEnd"/>
      <w:r w:rsidRPr="003827C9">
        <w:rPr>
          <w:rFonts w:eastAsiaTheme="minorEastAsia"/>
          <w:rtl/>
        </w:rPr>
        <w:t xml:space="preserve"> </w:t>
      </w:r>
      <w:r w:rsidRPr="00990AFC">
        <w:rPr>
          <w:rFonts w:eastAsiaTheme="minorEastAsia"/>
          <w:rtl/>
        </w:rPr>
        <w:t>2012</w:t>
      </w:r>
      <w:r w:rsidRPr="003827C9">
        <w:rPr>
          <w:rFonts w:eastAsiaTheme="minorEastAsia"/>
          <w:rtl/>
        </w:rPr>
        <w:t xml:space="preserve">، إلى أن </w:t>
      </w:r>
      <w:r w:rsidRPr="003827C9">
        <w:rPr>
          <w:rFonts w:eastAsiaTheme="minorEastAsia" w:hint="cs"/>
          <w:rtl/>
        </w:rPr>
        <w:t xml:space="preserve">هذا </w:t>
      </w:r>
      <w:r w:rsidRPr="003827C9">
        <w:rPr>
          <w:rFonts w:eastAsiaTheme="minorEastAsia"/>
          <w:rtl/>
        </w:rPr>
        <w:t>الانتهاك لم يُثَر خلال جلسة الاستماع ولم يجر النظر في أي دليل شخصي، لأن تقارير الخبراء أدلةٌ مستندية. وعلاوة على ذلك، تشير الدولة الطرف إلى أن صاحب البلاغ لا يحدد في مذكراته الأدلة التي أُسيء تقييمها.</w:t>
      </w:r>
    </w:p>
    <w:p w14:paraId="6606F47E" w14:textId="77777777" w:rsidR="003827C9" w:rsidRPr="003827C9" w:rsidRDefault="003827C9" w:rsidP="003827C9">
      <w:pPr>
        <w:pStyle w:val="SingleTxtGA"/>
        <w:rPr>
          <w:rFonts w:eastAsiaTheme="minorEastAsia"/>
          <w:lang w:val="ar-SA" w:eastAsia="zh-TW" w:bidi="en-GB"/>
        </w:rPr>
      </w:pPr>
      <w:r w:rsidRPr="00990AFC">
        <w:rPr>
          <w:rFonts w:eastAsiaTheme="minorEastAsia"/>
          <w:rtl/>
        </w:rPr>
        <w:t>6</w:t>
      </w:r>
      <w:r w:rsidRPr="003827C9">
        <w:rPr>
          <w:rFonts w:eastAsiaTheme="minorEastAsia"/>
          <w:rtl/>
        </w:rPr>
        <w:t>-</w:t>
      </w:r>
      <w:r w:rsidRPr="00990AFC">
        <w:rPr>
          <w:rFonts w:eastAsiaTheme="minorEastAsia"/>
          <w:rtl/>
        </w:rPr>
        <w:t>5</w:t>
      </w:r>
      <w:r w:rsidRPr="003827C9">
        <w:rPr>
          <w:rFonts w:eastAsiaTheme="minorEastAsia"/>
          <w:rtl/>
        </w:rPr>
        <w:tab/>
        <w:t xml:space="preserve">أما بخصوص استنتاج صاحب البلاغ وقوع انتهاك للمادة </w:t>
      </w:r>
      <w:r w:rsidRPr="00990AFC">
        <w:rPr>
          <w:rFonts w:eastAsiaTheme="minorEastAsia"/>
          <w:rtl/>
        </w:rPr>
        <w:t>14</w:t>
      </w:r>
      <w:r w:rsidRPr="003827C9">
        <w:rPr>
          <w:rFonts w:eastAsiaTheme="minorEastAsia"/>
          <w:rtl/>
        </w:rPr>
        <w:t xml:space="preserve">، إذ كان ينبغي إعادة النظر في الأدلة الشخصية خلال جلسة الاستماع في مرحلة الاستئناف، فقد ادعى أنه لم يُثِر هذا الانتهاك آنذاك وأنه اعترض على عقد جلسة الاستماع على أساس أنه لا </w:t>
      </w:r>
      <w:r w:rsidRPr="003827C9">
        <w:rPr>
          <w:rFonts w:eastAsiaTheme="minorEastAsia" w:hint="cs"/>
          <w:rtl/>
        </w:rPr>
        <w:t xml:space="preserve">يمكن </w:t>
      </w:r>
      <w:r w:rsidRPr="003827C9">
        <w:rPr>
          <w:rFonts w:eastAsiaTheme="minorEastAsia"/>
          <w:rtl/>
        </w:rPr>
        <w:t>عقدها بنفس ضمانات المحاكمة الشفوية. وتدعي الدولة الطرف أن اجتهادات اللجنة واضحة في إشارتها إلى وجوب استنفاد سبل الانتصاف المحلية، وأن شكوك صاحب البلاغ بخصوص فعالية سبل الانتصاف المحلية لا تعفيه من استنفادها. وترى الدولة الطرف أنه لا يُعتد كحجة برأي صاحب البلاغ أن إثارة ادعائه المتعلق بإعادة فحص الأدلة الشخصية خلال عقد جلسة الاستماع لن يكون لها أي أثر؛ وترى أنه كان عليه استنفاد سبل الانتصاف المحلية بغض النظر عن رأيه في جدواها.</w:t>
      </w:r>
    </w:p>
    <w:p w14:paraId="33DE6C80" w14:textId="520EC0B8" w:rsidR="003827C9" w:rsidRPr="003827C9" w:rsidRDefault="003827C9" w:rsidP="003827C9">
      <w:pPr>
        <w:pStyle w:val="SingleTxtGA"/>
        <w:rPr>
          <w:rFonts w:eastAsiaTheme="minorEastAsia"/>
          <w:lang w:val="ar-SA" w:eastAsia="zh-TW" w:bidi="en-GB"/>
        </w:rPr>
      </w:pPr>
      <w:r w:rsidRPr="00990AFC">
        <w:rPr>
          <w:rFonts w:eastAsiaTheme="minorEastAsia"/>
          <w:rtl/>
        </w:rPr>
        <w:t>6</w:t>
      </w:r>
      <w:r w:rsidRPr="003827C9">
        <w:rPr>
          <w:rFonts w:eastAsiaTheme="minorEastAsia"/>
          <w:rtl/>
        </w:rPr>
        <w:t>-</w:t>
      </w:r>
      <w:r w:rsidRPr="00990AFC">
        <w:rPr>
          <w:rFonts w:eastAsiaTheme="minorEastAsia"/>
          <w:rtl/>
        </w:rPr>
        <w:t>6</w:t>
      </w:r>
      <w:r w:rsidRPr="003827C9">
        <w:rPr>
          <w:rFonts w:eastAsiaTheme="minorEastAsia"/>
          <w:rtl/>
        </w:rPr>
        <w:tab/>
        <w:t xml:space="preserve">كما تدعي الدولة الطرف أنه يجب إعلان عدم </w:t>
      </w:r>
      <w:r w:rsidRPr="003827C9">
        <w:rPr>
          <w:rFonts w:eastAsiaTheme="minorEastAsia" w:hint="cs"/>
          <w:rtl/>
        </w:rPr>
        <w:t xml:space="preserve">مقبولية </w:t>
      </w:r>
      <w:r w:rsidRPr="003827C9">
        <w:rPr>
          <w:rFonts w:eastAsiaTheme="minorEastAsia"/>
          <w:rtl/>
        </w:rPr>
        <w:t>البلاغ لعدم دعمه بالأدلة بموجب المادة</w:t>
      </w:r>
      <w:r w:rsidR="00B01413">
        <w:rPr>
          <w:rFonts w:eastAsiaTheme="minorEastAsia" w:hint="cs"/>
          <w:rtl/>
        </w:rPr>
        <w:t> </w:t>
      </w:r>
      <w:r w:rsidRPr="00990AFC">
        <w:rPr>
          <w:rFonts w:eastAsiaTheme="minorEastAsia"/>
          <w:rtl/>
        </w:rPr>
        <w:t>2</w:t>
      </w:r>
      <w:r w:rsidRPr="003827C9">
        <w:rPr>
          <w:rFonts w:eastAsiaTheme="minorEastAsia"/>
          <w:rtl/>
        </w:rPr>
        <w:t xml:space="preserve"> من البروتوكول الاختياري. وترى الدولة الطرف أن اللجنة كانت واضحة في اجتهاداتها بشأن كيف ينبغي تفسير هذا السبب من أ</w:t>
      </w:r>
      <w:r w:rsidRPr="003827C9">
        <w:rPr>
          <w:rFonts w:eastAsiaTheme="minorEastAsia" w:hint="cs"/>
          <w:rtl/>
        </w:rPr>
        <w:t>س</w:t>
      </w:r>
      <w:r w:rsidRPr="003827C9">
        <w:rPr>
          <w:rFonts w:eastAsiaTheme="minorEastAsia"/>
          <w:rtl/>
        </w:rPr>
        <w:t>باب عدم المقبولية</w:t>
      </w:r>
      <w:r w:rsidR="00620C46" w:rsidRPr="00990AFC">
        <w:rPr>
          <w:rStyle w:val="FootnoteReference"/>
          <w:rFonts w:eastAsiaTheme="minorEastAsia" w:cs="Simplified Arabic"/>
          <w:sz w:val="22"/>
          <w:szCs w:val="22"/>
          <w:rtl/>
          <w:lang w:val="en-US"/>
        </w:rPr>
        <w:t>(</w:t>
      </w:r>
      <w:r w:rsidR="00620C46" w:rsidRPr="00990AFC">
        <w:rPr>
          <w:rStyle w:val="FootnoteReference"/>
          <w:rFonts w:eastAsiaTheme="minorEastAsia" w:cs="Simplified Arabic"/>
          <w:sz w:val="22"/>
          <w:szCs w:val="22"/>
          <w:lang w:val="en-US"/>
        </w:rPr>
        <w:footnoteReference w:id="7"/>
      </w:r>
      <w:r w:rsidR="00620C46" w:rsidRPr="00990AFC">
        <w:rPr>
          <w:rStyle w:val="FootnoteReference"/>
          <w:rFonts w:eastAsiaTheme="minorEastAsia" w:cs="Simplified Arabic"/>
          <w:sz w:val="22"/>
          <w:szCs w:val="22"/>
          <w:rtl/>
        </w:rPr>
        <w:t>)</w:t>
      </w:r>
      <w:r w:rsidR="00620C46" w:rsidRPr="00620C46">
        <w:rPr>
          <w:rFonts w:eastAsiaTheme="minorEastAsia"/>
          <w:rtl/>
        </w:rPr>
        <w:t xml:space="preserve">. </w:t>
      </w:r>
      <w:r w:rsidRPr="003827C9">
        <w:rPr>
          <w:rFonts w:eastAsiaTheme="minorEastAsia"/>
          <w:rtl/>
        </w:rPr>
        <w:t xml:space="preserve">وفيما يتعلق بانتهاك المادة </w:t>
      </w:r>
      <w:r w:rsidRPr="00990AFC">
        <w:rPr>
          <w:rFonts w:eastAsiaTheme="minorEastAsia"/>
          <w:rtl/>
        </w:rPr>
        <w:t>14</w:t>
      </w:r>
      <w:r w:rsidRPr="003827C9">
        <w:rPr>
          <w:rFonts w:eastAsiaTheme="minorEastAsia"/>
          <w:rtl/>
        </w:rPr>
        <w:t xml:space="preserve"> من العهد لعدم </w:t>
      </w:r>
      <w:r w:rsidRPr="00340F0E">
        <w:rPr>
          <w:rFonts w:eastAsiaTheme="minorEastAsia"/>
          <w:spacing w:val="-2"/>
          <w:rtl/>
        </w:rPr>
        <w:t>قبول دعوى بطلان الإجراءات، يشير صاحب البلاغ إلى أن المحكمة الدستورية ترى أنها قُدمت خلال الأجل</w:t>
      </w:r>
      <w:r w:rsidRPr="003827C9">
        <w:rPr>
          <w:rFonts w:eastAsiaTheme="minorEastAsia"/>
          <w:rtl/>
        </w:rPr>
        <w:t xml:space="preserve"> المحدد. وبالإضافة إلى ذلك، ردَّت المحكمة العليا الإقليمية على جميع الحجج التي ساقها صاحب البلاغ </w:t>
      </w:r>
      <w:r w:rsidRPr="003827C9">
        <w:rPr>
          <w:rFonts w:eastAsiaTheme="minorEastAsia"/>
          <w:rtl/>
        </w:rPr>
        <w:lastRenderedPageBreak/>
        <w:t xml:space="preserve">بشأن الأسس الموضوعية بإشارتها إلى أنه كان عليه إثارة المسائل التي يحتج بها - إعادة النظر في الأدلة الشخصية - خلال جلسة الاستماع، وهو ما لم يفعله. وعلاوة على ذلك، اعترض صاحب البلاغ على عقد جلسة الاستماع وعلى </w:t>
      </w:r>
      <w:r w:rsidRPr="003827C9">
        <w:rPr>
          <w:rFonts w:eastAsiaTheme="minorEastAsia" w:hint="cs"/>
          <w:rtl/>
        </w:rPr>
        <w:t xml:space="preserve">تقديم </w:t>
      </w:r>
      <w:r w:rsidRPr="003827C9">
        <w:rPr>
          <w:rFonts w:eastAsiaTheme="minorEastAsia"/>
          <w:rtl/>
        </w:rPr>
        <w:t xml:space="preserve">أدلة شخصية خلالها؛ وخلافاً لذلك، اعتبر في دعوى بطلان الإجراءات وفي دعوى الحماية القضائية الدستورية إعادة </w:t>
      </w:r>
      <w:r w:rsidRPr="003827C9">
        <w:rPr>
          <w:rFonts w:eastAsiaTheme="minorEastAsia" w:hint="cs"/>
          <w:rtl/>
        </w:rPr>
        <w:t xml:space="preserve">تقديم </w:t>
      </w:r>
      <w:r w:rsidRPr="003827C9">
        <w:rPr>
          <w:rFonts w:eastAsiaTheme="minorEastAsia"/>
          <w:rtl/>
        </w:rPr>
        <w:t xml:space="preserve">هذه الأدلة مسألة ضرورية، وهذا موقف متناقض تماماً. </w:t>
      </w:r>
    </w:p>
    <w:p w14:paraId="76F54576" w14:textId="06E1BC43" w:rsidR="003827C9" w:rsidRPr="003827C9" w:rsidRDefault="003827C9" w:rsidP="003827C9">
      <w:pPr>
        <w:pStyle w:val="SingleTxtGA"/>
        <w:rPr>
          <w:rFonts w:eastAsiaTheme="minorEastAsia"/>
          <w:lang w:val="ar-SA" w:eastAsia="zh-TW" w:bidi="en-GB"/>
        </w:rPr>
      </w:pPr>
      <w:r w:rsidRPr="00990AFC">
        <w:rPr>
          <w:rFonts w:eastAsiaTheme="minorEastAsia"/>
          <w:rtl/>
        </w:rPr>
        <w:t>6</w:t>
      </w:r>
      <w:r w:rsidRPr="003827C9">
        <w:rPr>
          <w:rFonts w:eastAsiaTheme="minorEastAsia"/>
          <w:rtl/>
        </w:rPr>
        <w:t>-</w:t>
      </w:r>
      <w:r w:rsidRPr="00990AFC">
        <w:rPr>
          <w:rFonts w:eastAsiaTheme="minorEastAsia"/>
          <w:rtl/>
        </w:rPr>
        <w:t>7</w:t>
      </w:r>
      <w:r w:rsidRPr="003827C9">
        <w:rPr>
          <w:rFonts w:eastAsiaTheme="minorEastAsia"/>
          <w:rtl/>
        </w:rPr>
        <w:tab/>
        <w:t>وبالإضافة إلى ذلك، عُقدت، بحضور صاحب البلاغ، جلسة الاستماع العلنية، حيث تمكن من الدفاع عن نفسه مباشرةً ومن خلال محاميه، وجرى تقييم الأدلة المستندية، وقدمت هيئة الادعاء وكذلك هيئة الدفاع حججهما بشأنها. وترى الدولة الطرف أنه استوفي رأي اللجنة الذي استشهد به صاحب البلاغ، أي ضرورة عقد جلسة استماع علنية في مرحلة الاستئناف بحضور المتهم</w:t>
      </w:r>
      <w:r w:rsidR="00620C46" w:rsidRPr="00990AFC">
        <w:rPr>
          <w:rStyle w:val="FootnoteReference"/>
          <w:rFonts w:eastAsiaTheme="minorEastAsia" w:cs="Simplified Arabic"/>
          <w:sz w:val="22"/>
          <w:szCs w:val="22"/>
          <w:rtl/>
          <w:lang w:val="en-US"/>
        </w:rPr>
        <w:t>(</w:t>
      </w:r>
      <w:r w:rsidR="00620C46" w:rsidRPr="00990AFC">
        <w:rPr>
          <w:rStyle w:val="FootnoteReference"/>
          <w:rFonts w:eastAsiaTheme="minorEastAsia" w:cs="Simplified Arabic"/>
          <w:sz w:val="22"/>
          <w:szCs w:val="22"/>
          <w:lang w:val="en-US"/>
        </w:rPr>
        <w:footnoteReference w:id="8"/>
      </w:r>
      <w:r w:rsidR="00620C46" w:rsidRPr="00990AFC">
        <w:rPr>
          <w:rStyle w:val="FootnoteReference"/>
          <w:rFonts w:eastAsiaTheme="minorEastAsia" w:cs="Simplified Arabic"/>
          <w:sz w:val="22"/>
          <w:szCs w:val="22"/>
          <w:rtl/>
        </w:rPr>
        <w:t>)</w:t>
      </w:r>
      <w:r w:rsidR="00620C46" w:rsidRPr="00620C46">
        <w:rPr>
          <w:rFonts w:eastAsiaTheme="minorEastAsia"/>
          <w:rtl/>
        </w:rPr>
        <w:t xml:space="preserve">. </w:t>
      </w:r>
    </w:p>
    <w:p w14:paraId="3A76AD57" w14:textId="4400C139" w:rsidR="003827C9" w:rsidRPr="003827C9" w:rsidRDefault="003827C9" w:rsidP="003827C9">
      <w:pPr>
        <w:pStyle w:val="SingleTxtGA"/>
        <w:rPr>
          <w:rFonts w:eastAsiaTheme="minorEastAsia"/>
          <w:lang w:val="ar-SA" w:eastAsia="zh-TW" w:bidi="en-GB"/>
        </w:rPr>
      </w:pPr>
      <w:r w:rsidRPr="00990AFC">
        <w:rPr>
          <w:rFonts w:eastAsiaTheme="minorEastAsia"/>
          <w:rtl/>
        </w:rPr>
        <w:t>6</w:t>
      </w:r>
      <w:r w:rsidRPr="003827C9">
        <w:rPr>
          <w:rFonts w:eastAsiaTheme="minorEastAsia"/>
          <w:rtl/>
        </w:rPr>
        <w:t>-</w:t>
      </w:r>
      <w:r w:rsidRPr="00990AFC">
        <w:rPr>
          <w:rFonts w:eastAsiaTheme="minorEastAsia"/>
          <w:rtl/>
        </w:rPr>
        <w:t>8</w:t>
      </w:r>
      <w:r w:rsidRPr="003827C9">
        <w:rPr>
          <w:rFonts w:eastAsiaTheme="minorEastAsia"/>
          <w:rtl/>
        </w:rPr>
        <w:tab/>
        <w:t>وأخيراً، تشير الدولة الطرف إلى أن قراءة حكم المحكمة العليا الإقليمية في مدريد تبين أنه</w:t>
      </w:r>
      <w:r w:rsidR="00486457">
        <w:rPr>
          <w:rFonts w:eastAsiaTheme="minorEastAsia" w:hint="cs"/>
          <w:rtl/>
        </w:rPr>
        <w:t> </w:t>
      </w:r>
      <w:r w:rsidRPr="003827C9">
        <w:rPr>
          <w:rFonts w:eastAsiaTheme="minorEastAsia"/>
          <w:rtl/>
        </w:rPr>
        <w:t>لا</w:t>
      </w:r>
      <w:r w:rsidR="007A7AD0">
        <w:rPr>
          <w:rFonts w:eastAsiaTheme="minorEastAsia" w:hint="cs"/>
          <w:rtl/>
        </w:rPr>
        <w:t> </w:t>
      </w:r>
      <w:r w:rsidRPr="003827C9">
        <w:rPr>
          <w:rFonts w:eastAsiaTheme="minorEastAsia"/>
          <w:rtl/>
        </w:rPr>
        <w:t>ينطوي على أي تفسير تعسفي ولا يشكل إنكاراً للعدالة، وإنما استند في تعليله إلى الشروط الصارمة للنظر في طلب الاستئناف: فحص الأدلة المستندية. وينضاف إلى ذلك أن صاحب البلاغ ينفي فقط أنه</w:t>
      </w:r>
      <w:r w:rsidR="00486457">
        <w:rPr>
          <w:rFonts w:eastAsiaTheme="minorEastAsia" w:hint="cs"/>
          <w:rtl/>
        </w:rPr>
        <w:t> </w:t>
      </w:r>
      <w:r w:rsidRPr="003827C9">
        <w:rPr>
          <w:rFonts w:eastAsiaTheme="minorEastAsia"/>
          <w:rtl/>
        </w:rPr>
        <w:t xml:space="preserve">كان ملزماً بدفع الضريبة وأنه كانت لديه </w:t>
      </w:r>
      <w:proofErr w:type="gramStart"/>
      <w:r w:rsidRPr="003827C9">
        <w:rPr>
          <w:rFonts w:eastAsiaTheme="minorEastAsia"/>
          <w:rtl/>
        </w:rPr>
        <w:t>نوايا</w:t>
      </w:r>
      <w:proofErr w:type="gramEnd"/>
      <w:r w:rsidRPr="003827C9">
        <w:rPr>
          <w:rFonts w:eastAsiaTheme="minorEastAsia"/>
          <w:rtl/>
        </w:rPr>
        <w:t xml:space="preserve"> احتيالية، ولا يُنكر ارتكاب مخالفة ولا وجود مبالغ مالية غير مصرح بها، أثبتتها تقارير خبراء الخزانة العامة، وتستند كلتا المسألتين إلى أدلة مستندية وإلى أنه</w:t>
      </w:r>
      <w:r w:rsidR="00486457">
        <w:rPr>
          <w:rFonts w:eastAsiaTheme="minorEastAsia" w:hint="cs"/>
          <w:rtl/>
        </w:rPr>
        <w:t> </w:t>
      </w:r>
      <w:r w:rsidRPr="003827C9">
        <w:rPr>
          <w:rFonts w:eastAsiaTheme="minorEastAsia"/>
          <w:rtl/>
        </w:rPr>
        <w:t>يمكن، وفقاً للاجتهادات القضائية، اعتبار المدير القانوني، كما المدير الفعلي، مسؤولاً فعلياً عن</w:t>
      </w:r>
      <w:r w:rsidR="00486457">
        <w:rPr>
          <w:rFonts w:eastAsiaTheme="minorEastAsia" w:hint="cs"/>
          <w:rtl/>
        </w:rPr>
        <w:t> </w:t>
      </w:r>
      <w:r w:rsidRPr="003827C9">
        <w:rPr>
          <w:rFonts w:eastAsiaTheme="minorEastAsia"/>
          <w:rtl/>
        </w:rPr>
        <w:t>ارتكاب الجريمة</w:t>
      </w:r>
      <w:r w:rsidR="007A7AD0">
        <w:rPr>
          <w:rFonts w:eastAsiaTheme="minorEastAsia" w:hint="eastAsia"/>
          <w:rtl/>
        </w:rPr>
        <w:t> </w:t>
      </w:r>
      <w:r w:rsidRPr="003827C9">
        <w:rPr>
          <w:rFonts w:eastAsiaTheme="minorEastAsia" w:hint="cs"/>
          <w:rtl/>
        </w:rPr>
        <w:t>المعنية</w:t>
      </w:r>
      <w:r w:rsidRPr="003827C9">
        <w:rPr>
          <w:rFonts w:eastAsiaTheme="minorEastAsia"/>
          <w:rtl/>
        </w:rPr>
        <w:t xml:space="preserve">. </w:t>
      </w:r>
    </w:p>
    <w:p w14:paraId="75E4A49D" w14:textId="3D929D42" w:rsidR="003827C9" w:rsidRPr="003827C9" w:rsidRDefault="003827C9" w:rsidP="003827C9">
      <w:pPr>
        <w:pStyle w:val="SingleTxtGA"/>
        <w:rPr>
          <w:rFonts w:eastAsiaTheme="minorEastAsia"/>
          <w:lang w:val="ar-SA" w:eastAsia="zh-TW" w:bidi="en-GB"/>
        </w:rPr>
      </w:pPr>
      <w:r w:rsidRPr="00990AFC">
        <w:rPr>
          <w:rFonts w:eastAsiaTheme="minorEastAsia"/>
          <w:rtl/>
        </w:rPr>
        <w:t>6</w:t>
      </w:r>
      <w:r w:rsidRPr="003827C9">
        <w:rPr>
          <w:rFonts w:eastAsiaTheme="minorEastAsia"/>
          <w:rtl/>
        </w:rPr>
        <w:t>-</w:t>
      </w:r>
      <w:r w:rsidRPr="00990AFC">
        <w:rPr>
          <w:rFonts w:eastAsiaTheme="minorEastAsia"/>
          <w:rtl/>
        </w:rPr>
        <w:t>9</w:t>
      </w:r>
      <w:r w:rsidRPr="003827C9">
        <w:rPr>
          <w:rFonts w:eastAsiaTheme="minorEastAsia"/>
          <w:rtl/>
        </w:rPr>
        <w:tab/>
        <w:t xml:space="preserve">وتطلب الدولة الطرف إلى اللجنة، كمسألة فرعية، أن ترفض البلاغ من حيث أسسه الموضوعية، </w:t>
      </w:r>
      <w:r w:rsidRPr="00340F0E">
        <w:rPr>
          <w:rFonts w:eastAsiaTheme="minorEastAsia"/>
          <w:spacing w:val="-2"/>
          <w:rtl/>
        </w:rPr>
        <w:t xml:space="preserve">لعدم وقوع أي انتهاك للمادة </w:t>
      </w:r>
      <w:r w:rsidRPr="00990AFC">
        <w:rPr>
          <w:rFonts w:eastAsiaTheme="minorEastAsia"/>
          <w:spacing w:val="-2"/>
          <w:rtl/>
        </w:rPr>
        <w:t>14</w:t>
      </w:r>
      <w:r w:rsidRPr="00340F0E">
        <w:rPr>
          <w:rFonts w:eastAsiaTheme="minorEastAsia"/>
          <w:spacing w:val="-2"/>
          <w:rtl/>
        </w:rPr>
        <w:t xml:space="preserve"> من العهد. فلم يقدم صاحب البلاغ أي دليل للنظر فيه خلال جلسة الاستماع</w:t>
      </w:r>
      <w:r w:rsidRPr="003827C9">
        <w:rPr>
          <w:rFonts w:eastAsiaTheme="minorEastAsia"/>
          <w:rtl/>
        </w:rPr>
        <w:t xml:space="preserve"> في مرحلة الاستئناف، ولا يمكن بالتالي استنتاج وقوع انتهاك للمادة </w:t>
      </w:r>
      <w:r w:rsidRPr="00990AFC">
        <w:rPr>
          <w:rFonts w:eastAsiaTheme="minorEastAsia"/>
          <w:rtl/>
        </w:rPr>
        <w:t>14</w:t>
      </w:r>
      <w:r w:rsidRPr="003827C9">
        <w:rPr>
          <w:rFonts w:eastAsiaTheme="minorEastAsia"/>
          <w:rtl/>
        </w:rPr>
        <w:t xml:space="preserve"> من العهد</w:t>
      </w:r>
      <w:r w:rsidR="00620C46" w:rsidRPr="00990AFC">
        <w:rPr>
          <w:rStyle w:val="FootnoteReference"/>
          <w:rFonts w:eastAsiaTheme="minorEastAsia" w:cs="Simplified Arabic"/>
          <w:sz w:val="22"/>
          <w:szCs w:val="22"/>
          <w:rtl/>
          <w:lang w:val="en-US"/>
        </w:rPr>
        <w:t>(</w:t>
      </w:r>
      <w:r w:rsidR="00620C46" w:rsidRPr="00990AFC">
        <w:rPr>
          <w:rStyle w:val="FootnoteReference"/>
          <w:rFonts w:eastAsiaTheme="minorEastAsia" w:cs="Simplified Arabic"/>
          <w:sz w:val="22"/>
          <w:szCs w:val="22"/>
          <w:lang w:val="en-US"/>
        </w:rPr>
        <w:footnoteReference w:id="9"/>
      </w:r>
      <w:r w:rsidR="00620C46" w:rsidRPr="00990AFC">
        <w:rPr>
          <w:rStyle w:val="FootnoteReference"/>
          <w:rFonts w:eastAsiaTheme="minorEastAsia" w:cs="Simplified Arabic"/>
          <w:sz w:val="22"/>
          <w:szCs w:val="22"/>
          <w:rtl/>
        </w:rPr>
        <w:t>)</w:t>
      </w:r>
      <w:r w:rsidR="00620C46" w:rsidRPr="00620C46">
        <w:rPr>
          <w:rFonts w:eastAsiaTheme="minorEastAsia"/>
          <w:rtl/>
        </w:rPr>
        <w:t xml:space="preserve">. </w:t>
      </w:r>
    </w:p>
    <w:p w14:paraId="5F8C1C36" w14:textId="619C91C3" w:rsidR="003827C9" w:rsidRPr="003827C9" w:rsidRDefault="003827C9" w:rsidP="003827C9">
      <w:pPr>
        <w:pStyle w:val="SingleTxtGA"/>
        <w:rPr>
          <w:rFonts w:eastAsiaTheme="minorEastAsia"/>
          <w:lang w:val="ar-SA" w:eastAsia="zh-TW" w:bidi="en-GB"/>
        </w:rPr>
      </w:pPr>
      <w:r w:rsidRPr="00990AFC">
        <w:rPr>
          <w:rFonts w:eastAsiaTheme="minorEastAsia"/>
          <w:rtl/>
        </w:rPr>
        <w:t>6</w:t>
      </w:r>
      <w:r w:rsidRPr="003827C9">
        <w:rPr>
          <w:rFonts w:eastAsiaTheme="minorEastAsia"/>
          <w:rtl/>
        </w:rPr>
        <w:t>-</w:t>
      </w:r>
      <w:r w:rsidRPr="00990AFC">
        <w:rPr>
          <w:rFonts w:eastAsiaTheme="minorEastAsia"/>
          <w:rtl/>
        </w:rPr>
        <w:t>10</w:t>
      </w:r>
      <w:r w:rsidRPr="003827C9">
        <w:rPr>
          <w:rFonts w:eastAsiaTheme="minorEastAsia"/>
          <w:rtl/>
        </w:rPr>
        <w:tab/>
        <w:t>وتلاحظ الدولة الطرف أن صاحب البلاغ، رغم إشارته في رسالته الأولى إلى أنه قدَّم إلى اللجنة مذكرة طلب بطلان الإجراءات كي تقيِّمها، لم يقدمها مع البلاغ ورفض تقديمها عندما طُلب إليه ذلك مرة</w:t>
      </w:r>
      <w:r w:rsidR="007A7AD0">
        <w:rPr>
          <w:rFonts w:eastAsiaTheme="minorEastAsia" w:hint="cs"/>
          <w:rtl/>
        </w:rPr>
        <w:t> </w:t>
      </w:r>
      <w:r w:rsidRPr="003827C9">
        <w:rPr>
          <w:rFonts w:eastAsiaTheme="minorEastAsia"/>
          <w:rtl/>
        </w:rPr>
        <w:t xml:space="preserve">أخرى. </w:t>
      </w:r>
    </w:p>
    <w:p w14:paraId="1D232327" w14:textId="1A67B46A" w:rsidR="003827C9" w:rsidRPr="003827C9" w:rsidRDefault="003827C9" w:rsidP="003827C9">
      <w:pPr>
        <w:pStyle w:val="SingleTxtGA"/>
        <w:rPr>
          <w:rFonts w:eastAsiaTheme="minorEastAsia"/>
          <w:lang w:val="ar-SA" w:eastAsia="zh-TW" w:bidi="en-GB"/>
        </w:rPr>
      </w:pPr>
      <w:r w:rsidRPr="00990AFC">
        <w:rPr>
          <w:rFonts w:eastAsiaTheme="minorEastAsia"/>
          <w:rtl/>
        </w:rPr>
        <w:t>6</w:t>
      </w:r>
      <w:r w:rsidRPr="003827C9">
        <w:rPr>
          <w:rFonts w:eastAsiaTheme="minorEastAsia"/>
          <w:rtl/>
        </w:rPr>
        <w:t>-</w:t>
      </w:r>
      <w:r w:rsidRPr="00990AFC">
        <w:rPr>
          <w:rFonts w:eastAsiaTheme="minorEastAsia"/>
          <w:rtl/>
        </w:rPr>
        <w:t>11</w:t>
      </w:r>
      <w:r w:rsidRPr="003827C9">
        <w:rPr>
          <w:rFonts w:eastAsiaTheme="minorEastAsia"/>
          <w:rtl/>
        </w:rPr>
        <w:tab/>
        <w:t>وتشير الدولة الطرف، فيما يتعلق بجلسة الاستماع في مرحلة الاستئناف، إلى أن صاحب البلاغ اعترض على عقدها، على أساس أنه لن يكون من الممكن تقييم الأدلة الشخصية في هذه المرحلة. واستند</w:t>
      </w:r>
      <w:r w:rsidR="007A7AD0">
        <w:rPr>
          <w:rFonts w:eastAsiaTheme="minorEastAsia" w:hint="cs"/>
          <w:rtl/>
        </w:rPr>
        <w:t> </w:t>
      </w:r>
      <w:r w:rsidRPr="003827C9">
        <w:rPr>
          <w:rFonts w:eastAsiaTheme="minorEastAsia"/>
          <w:rtl/>
        </w:rPr>
        <w:t>صاحب البلاغ في اعتراضه إلى رأيه أنه ليس المرتكب</w:t>
      </w:r>
      <w:r w:rsidRPr="003827C9">
        <w:rPr>
          <w:rFonts w:eastAsiaTheme="minorEastAsia" w:hint="cs"/>
          <w:rtl/>
        </w:rPr>
        <w:t>َ</w:t>
      </w:r>
      <w:r w:rsidRPr="003827C9">
        <w:rPr>
          <w:rFonts w:eastAsiaTheme="minorEastAsia"/>
          <w:rtl/>
        </w:rPr>
        <w:t xml:space="preserve"> الفعلي للجريمة وأنه لم تكن لديه </w:t>
      </w:r>
      <w:proofErr w:type="gramStart"/>
      <w:r w:rsidRPr="003827C9">
        <w:rPr>
          <w:rFonts w:eastAsiaTheme="minorEastAsia"/>
          <w:rtl/>
        </w:rPr>
        <w:t>نوايا</w:t>
      </w:r>
      <w:proofErr w:type="gramEnd"/>
      <w:r w:rsidRPr="003827C9">
        <w:rPr>
          <w:rFonts w:eastAsiaTheme="minorEastAsia"/>
          <w:rtl/>
        </w:rPr>
        <w:t xml:space="preserve"> احتيالية. وعُقدت جلسة الاستماع العلنية في مرحلة الاستئناف بحضور المدعى عليه، الذي مارس خلالها،</w:t>
      </w:r>
      <w:r w:rsidR="007A7AD0">
        <w:rPr>
          <w:rFonts w:eastAsiaTheme="minorEastAsia" w:hint="cs"/>
          <w:rtl/>
        </w:rPr>
        <w:t> </w:t>
      </w:r>
      <w:r w:rsidRPr="003827C9">
        <w:rPr>
          <w:rFonts w:eastAsiaTheme="minorEastAsia"/>
          <w:rtl/>
        </w:rPr>
        <w:t>منذ</w:t>
      </w:r>
      <w:r w:rsidR="007A7AD0">
        <w:rPr>
          <w:rFonts w:eastAsiaTheme="minorEastAsia" w:hint="cs"/>
          <w:rtl/>
        </w:rPr>
        <w:t> </w:t>
      </w:r>
      <w:r w:rsidRPr="003827C9">
        <w:rPr>
          <w:rFonts w:eastAsiaTheme="minorEastAsia"/>
          <w:rtl/>
        </w:rPr>
        <w:t xml:space="preserve">البداية حتى النهاية، حقه في الدفاع عن نفسه أمام المحكمة. وتلاحظ الدولة الطرف أنه، على نحو ما أشار إليه رئيس الجلسة في بدايتها، يعاد النظر خلال الاستئناف فقط في الأدلة المستندية، وليس في الأدلة الشخصية المقدمة خلال المحاكمة في المرحلة الابتدائية. </w:t>
      </w:r>
    </w:p>
    <w:p w14:paraId="68085958" w14:textId="77777777" w:rsidR="003827C9" w:rsidRPr="003827C9" w:rsidRDefault="003827C9" w:rsidP="003827C9">
      <w:pPr>
        <w:pStyle w:val="SingleTxtGA"/>
        <w:rPr>
          <w:rFonts w:eastAsiaTheme="minorEastAsia"/>
          <w:lang w:val="ar-SA" w:eastAsia="zh-TW" w:bidi="en-GB"/>
        </w:rPr>
      </w:pPr>
      <w:r w:rsidRPr="00990AFC">
        <w:rPr>
          <w:rFonts w:eastAsiaTheme="minorEastAsia"/>
          <w:rtl/>
        </w:rPr>
        <w:t>6</w:t>
      </w:r>
      <w:r w:rsidRPr="003827C9">
        <w:rPr>
          <w:rFonts w:eastAsiaTheme="minorEastAsia"/>
          <w:rtl/>
        </w:rPr>
        <w:t>-</w:t>
      </w:r>
      <w:r w:rsidRPr="00990AFC">
        <w:rPr>
          <w:rFonts w:eastAsiaTheme="minorEastAsia"/>
          <w:rtl/>
        </w:rPr>
        <w:t>12</w:t>
      </w:r>
      <w:r w:rsidRPr="003827C9">
        <w:rPr>
          <w:rFonts w:eastAsiaTheme="minorEastAsia"/>
          <w:rtl/>
        </w:rPr>
        <w:tab/>
        <w:t xml:space="preserve">وتلاحظ الدولة الطرف أيضاً أن الحكم يشير، فيما يتعلق باعتراض صاحب البلاغ على عقد جلسة الاستماع العلنية، إلى أن الأمر يتعلق "بإجراء إلزامي وفقاً للسوابق القضائية" للمحكمة الدستورية. ولا يتضمن الحكم تقييماً جديداً للأدلة الشخصية وإنما للأدلة المستندية، لأن ما يُنكره صاحب البلاغ ليس </w:t>
      </w:r>
      <w:r w:rsidRPr="00340F0E">
        <w:rPr>
          <w:rFonts w:eastAsiaTheme="minorEastAsia"/>
          <w:spacing w:val="-2"/>
          <w:rtl/>
        </w:rPr>
        <w:t>ارتكاب فعل احتيالي (عدم تقديم الإقرارات الضريبية وبالتالي عدم دفع الدين الضريبي المستحق) بل اعتبارَه</w:t>
      </w:r>
      <w:r w:rsidRPr="003827C9">
        <w:rPr>
          <w:rFonts w:eastAsiaTheme="minorEastAsia"/>
          <w:rtl/>
        </w:rPr>
        <w:t xml:space="preserve"> </w:t>
      </w:r>
      <w:r w:rsidRPr="00340F0E">
        <w:rPr>
          <w:rFonts w:eastAsiaTheme="minorEastAsia"/>
          <w:spacing w:val="-2"/>
          <w:rtl/>
        </w:rPr>
        <w:t>المرتكبَ الفعلي للجريمة بوصفه مديراً للشركة وتصرُّفَه بنية الاحتيال. ويتناول الحكم وضع صاحب البلاغ</w:t>
      </w:r>
      <w:r w:rsidRPr="00340F0E">
        <w:rPr>
          <w:rFonts w:eastAsiaTheme="minorEastAsia" w:hint="cs"/>
          <w:spacing w:val="-2"/>
          <w:rtl/>
        </w:rPr>
        <w:t>،</w:t>
      </w:r>
      <w:r w:rsidRPr="003827C9">
        <w:rPr>
          <w:rFonts w:eastAsiaTheme="minorEastAsia"/>
          <w:rtl/>
        </w:rPr>
        <w:t xml:space="preserve"> </w:t>
      </w:r>
      <w:r w:rsidRPr="003827C9">
        <w:rPr>
          <w:rFonts w:eastAsiaTheme="minorEastAsia"/>
          <w:rtl/>
        </w:rPr>
        <w:lastRenderedPageBreak/>
        <w:t>باعتباره المرتكب الفعلي للجريمة</w:t>
      </w:r>
      <w:r w:rsidRPr="003827C9">
        <w:rPr>
          <w:rFonts w:eastAsiaTheme="minorEastAsia" w:hint="cs"/>
          <w:rtl/>
        </w:rPr>
        <w:t>،</w:t>
      </w:r>
      <w:r w:rsidRPr="003827C9">
        <w:rPr>
          <w:rFonts w:eastAsiaTheme="minorEastAsia"/>
          <w:rtl/>
        </w:rPr>
        <w:t xml:space="preserve"> ونواياه الاحتيالية، ويقيِّم الأدلة المستندية المتعلقة بهذه المسألة. ويتناول الحكم بالتفصيل، في ثماني فقرات، الوثائق التي تثبت أن صاحب البلاغ ليس فقط مدير</w:t>
      </w:r>
      <w:r w:rsidRPr="003827C9">
        <w:rPr>
          <w:rFonts w:eastAsiaTheme="minorEastAsia" w:hint="cs"/>
          <w:rtl/>
        </w:rPr>
        <w:t>َ</w:t>
      </w:r>
      <w:r w:rsidRPr="003827C9">
        <w:rPr>
          <w:rFonts w:eastAsiaTheme="minorEastAsia"/>
          <w:rtl/>
        </w:rPr>
        <w:t xml:space="preserve"> </w:t>
      </w:r>
      <w:r w:rsidRPr="003827C9">
        <w:rPr>
          <w:rFonts w:eastAsiaTheme="minorEastAsia" w:hint="cs"/>
          <w:rtl/>
        </w:rPr>
        <w:t>ا</w:t>
      </w:r>
      <w:r w:rsidRPr="003827C9">
        <w:rPr>
          <w:rFonts w:eastAsiaTheme="minorEastAsia"/>
          <w:rtl/>
        </w:rPr>
        <w:t>لشركة القانوني</w:t>
      </w:r>
      <w:r w:rsidRPr="003827C9">
        <w:rPr>
          <w:rFonts w:eastAsiaTheme="minorEastAsia" w:hint="cs"/>
          <w:rtl/>
        </w:rPr>
        <w:t xml:space="preserve">، بل </w:t>
      </w:r>
      <w:r w:rsidRPr="003827C9">
        <w:rPr>
          <w:rFonts w:eastAsiaTheme="minorEastAsia"/>
          <w:rtl/>
        </w:rPr>
        <w:t>أيضاً مديرها الفعلي</w:t>
      </w:r>
      <w:r w:rsidRPr="003827C9">
        <w:rPr>
          <w:rFonts w:eastAsiaTheme="minorEastAsia"/>
        </w:rPr>
        <w:t>:</w:t>
      </w:r>
      <w:r w:rsidRPr="003827C9">
        <w:rPr>
          <w:rFonts w:eastAsiaTheme="minorEastAsia"/>
          <w:rtl/>
        </w:rPr>
        <w:t xml:space="preserve"> </w:t>
      </w:r>
    </w:p>
    <w:p w14:paraId="23587E6E" w14:textId="1EF79966" w:rsidR="003827C9" w:rsidRPr="00340F0E" w:rsidRDefault="003827C9" w:rsidP="007A7AD0">
      <w:pPr>
        <w:pStyle w:val="SingleTxtGA"/>
        <w:ind w:left="1928"/>
        <w:rPr>
          <w:rFonts w:eastAsiaTheme="minorEastAsia"/>
          <w:spacing w:val="-2"/>
          <w:lang w:val="ar-SA" w:eastAsia="zh-TW" w:bidi="en-GB"/>
        </w:rPr>
      </w:pPr>
      <w:r w:rsidRPr="00340F0E">
        <w:rPr>
          <w:rFonts w:eastAsiaTheme="minorEastAsia"/>
          <w:spacing w:val="-2"/>
          <w:rtl/>
        </w:rPr>
        <w:tab/>
        <w:t>تثبت جميع هذه الوثائق أن المتهم تصرَّف، خلال معاملات مالية متعددة ومهمة، بوصفه مديراً للشركة وبالنيابة عنها، وينبغي بالتالي استنتاج أنه شارك في تطورها المالي ولا</w:t>
      </w:r>
      <w:r w:rsidR="007A7AD0" w:rsidRPr="00340F0E">
        <w:rPr>
          <w:rFonts w:eastAsiaTheme="minorEastAsia" w:hint="cs"/>
          <w:spacing w:val="-2"/>
          <w:rtl/>
        </w:rPr>
        <w:t> </w:t>
      </w:r>
      <w:r w:rsidRPr="00340F0E">
        <w:rPr>
          <w:rFonts w:eastAsiaTheme="minorEastAsia"/>
          <w:spacing w:val="-2"/>
          <w:rtl/>
        </w:rPr>
        <w:t xml:space="preserve">يُعقل أن يجهل مسؤولياته تجاه الخزانة العامة بالنظر إلى الكم الكبير من </w:t>
      </w:r>
      <w:r w:rsidRPr="00340F0E">
        <w:rPr>
          <w:rFonts w:eastAsiaTheme="minorEastAsia" w:hint="cs"/>
          <w:spacing w:val="-2"/>
          <w:rtl/>
        </w:rPr>
        <w:t xml:space="preserve">المعاملات </w:t>
      </w:r>
      <w:r w:rsidRPr="00340F0E">
        <w:rPr>
          <w:rFonts w:eastAsiaTheme="minorEastAsia"/>
          <w:spacing w:val="-2"/>
          <w:rtl/>
        </w:rPr>
        <w:t xml:space="preserve">التي شارك فيها، على نحو ما أُشير إليه. وباختصار، فإن تأكيد </w:t>
      </w:r>
      <w:r w:rsidRPr="00340F0E">
        <w:rPr>
          <w:rFonts w:eastAsiaTheme="minorEastAsia" w:hint="cs"/>
          <w:spacing w:val="-2"/>
          <w:rtl/>
        </w:rPr>
        <w:t xml:space="preserve">الهيئة </w:t>
      </w:r>
      <w:r w:rsidRPr="00340F0E">
        <w:rPr>
          <w:rFonts w:eastAsiaTheme="minorEastAsia"/>
          <w:spacing w:val="-2"/>
          <w:rtl/>
        </w:rPr>
        <w:t>القض</w:t>
      </w:r>
      <w:r w:rsidRPr="00340F0E">
        <w:rPr>
          <w:rFonts w:eastAsiaTheme="minorEastAsia" w:hint="cs"/>
          <w:spacing w:val="-2"/>
          <w:rtl/>
        </w:rPr>
        <w:t>ائ</w:t>
      </w:r>
      <w:r w:rsidRPr="00340F0E">
        <w:rPr>
          <w:rFonts w:eastAsiaTheme="minorEastAsia"/>
          <w:spacing w:val="-2"/>
          <w:rtl/>
        </w:rPr>
        <w:t>ي</w:t>
      </w:r>
      <w:r w:rsidRPr="00340F0E">
        <w:rPr>
          <w:rFonts w:eastAsiaTheme="minorEastAsia" w:hint="cs"/>
          <w:spacing w:val="-2"/>
          <w:rtl/>
        </w:rPr>
        <w:t>ة</w:t>
      </w:r>
      <w:r w:rsidRPr="00340F0E">
        <w:rPr>
          <w:rFonts w:eastAsiaTheme="minorEastAsia"/>
          <w:spacing w:val="-2"/>
          <w:rtl/>
        </w:rPr>
        <w:t xml:space="preserve">، ضمنياً، عدم وجود أدلة كافية على أن المتهم تصرف كمدير أو ممثل للشركة، يتناقض مع العديد من الأدلة المستندية التي ترد في ملف القضية والتي لا يَذكرها الحكم. </w:t>
      </w:r>
      <w:r w:rsidR="00620C46" w:rsidRPr="00340F0E">
        <w:rPr>
          <w:rFonts w:eastAsiaTheme="minorEastAsia"/>
          <w:spacing w:val="-2"/>
          <w:rtl/>
        </w:rPr>
        <w:t>[..</w:t>
      </w:r>
      <w:r w:rsidRPr="00340F0E">
        <w:rPr>
          <w:rFonts w:eastAsiaTheme="minorEastAsia"/>
          <w:spacing w:val="-2"/>
          <w:rtl/>
        </w:rPr>
        <w:t xml:space="preserve">.] ولا يتعارض أي من الأدلة الشخصية </w:t>
      </w:r>
      <w:r w:rsidR="00620C46" w:rsidRPr="00340F0E">
        <w:rPr>
          <w:rFonts w:eastAsiaTheme="minorEastAsia"/>
          <w:spacing w:val="-2"/>
          <w:rtl/>
        </w:rPr>
        <w:t>[..</w:t>
      </w:r>
      <w:r w:rsidRPr="00340F0E">
        <w:rPr>
          <w:rFonts w:eastAsiaTheme="minorEastAsia"/>
          <w:spacing w:val="-2"/>
          <w:rtl/>
        </w:rPr>
        <w:t>.] مع الأدلة المستندية، حيث يتضح، من دون الخوض في تقييم تلك الأدلة، أن الحكم غير منطقي لعدم أخذه في الاعتبار الأدلة المستندية الوفيرة والشاملة التي سبقت الإشارة</w:t>
      </w:r>
      <w:r w:rsidR="007A7AD0" w:rsidRPr="00340F0E">
        <w:rPr>
          <w:rFonts w:eastAsiaTheme="minorEastAsia" w:hint="cs"/>
          <w:spacing w:val="-2"/>
          <w:rtl/>
        </w:rPr>
        <w:t> </w:t>
      </w:r>
      <w:r w:rsidRPr="00340F0E">
        <w:rPr>
          <w:rFonts w:eastAsiaTheme="minorEastAsia"/>
          <w:spacing w:val="-2"/>
          <w:rtl/>
        </w:rPr>
        <w:t>إليها.</w:t>
      </w:r>
    </w:p>
    <w:p w14:paraId="14F7064C" w14:textId="5FCFE02B" w:rsidR="003827C9" w:rsidRPr="00340F0E" w:rsidRDefault="003827C9" w:rsidP="003827C9">
      <w:pPr>
        <w:pStyle w:val="SingleTxtGA"/>
        <w:rPr>
          <w:rFonts w:eastAsiaTheme="minorEastAsia"/>
          <w:spacing w:val="-4"/>
          <w:lang w:val="ar-SA" w:eastAsia="zh-TW" w:bidi="en-GB"/>
        </w:rPr>
      </w:pPr>
      <w:r w:rsidRPr="00990AFC">
        <w:rPr>
          <w:rFonts w:eastAsiaTheme="minorEastAsia"/>
          <w:spacing w:val="-2"/>
          <w:rtl/>
        </w:rPr>
        <w:t>6</w:t>
      </w:r>
      <w:r w:rsidRPr="00340F0E">
        <w:rPr>
          <w:rFonts w:eastAsiaTheme="minorEastAsia"/>
          <w:spacing w:val="-2"/>
          <w:rtl/>
        </w:rPr>
        <w:t>-</w:t>
      </w:r>
      <w:r w:rsidRPr="00990AFC">
        <w:rPr>
          <w:rFonts w:eastAsiaTheme="minorEastAsia"/>
          <w:spacing w:val="-2"/>
          <w:rtl/>
        </w:rPr>
        <w:t>13</w:t>
      </w:r>
      <w:r w:rsidRPr="00340F0E">
        <w:rPr>
          <w:rFonts w:eastAsiaTheme="minorEastAsia"/>
          <w:spacing w:val="-2"/>
          <w:rtl/>
        </w:rPr>
        <w:tab/>
        <w:t>وتدعي الدولة الطرف أن صاحب البلاغ يحاول أن يحاج في بلاغه بأن الحكم أعاد تقييم الأدلة الشخصية</w:t>
      </w:r>
      <w:r w:rsidRPr="00340F0E">
        <w:rPr>
          <w:rFonts w:eastAsiaTheme="minorEastAsia" w:hint="cs"/>
          <w:spacing w:val="-2"/>
          <w:rtl/>
        </w:rPr>
        <w:t>،</w:t>
      </w:r>
      <w:r w:rsidRPr="00340F0E">
        <w:rPr>
          <w:rFonts w:eastAsiaTheme="minorEastAsia"/>
          <w:spacing w:val="-2"/>
          <w:rtl/>
        </w:rPr>
        <w:t xml:space="preserve"> </w:t>
      </w:r>
      <w:r w:rsidRPr="00340F0E">
        <w:rPr>
          <w:rFonts w:eastAsiaTheme="minorEastAsia" w:hint="cs"/>
          <w:spacing w:val="-2"/>
          <w:rtl/>
        </w:rPr>
        <w:t xml:space="preserve">حيث قام بعملية </w:t>
      </w:r>
      <w:r w:rsidRPr="00340F0E">
        <w:rPr>
          <w:rFonts w:eastAsiaTheme="minorEastAsia"/>
          <w:spacing w:val="-2"/>
          <w:rtl/>
        </w:rPr>
        <w:t xml:space="preserve">"قص ولصق" مقاطع من </w:t>
      </w:r>
      <w:r w:rsidRPr="00340F0E">
        <w:rPr>
          <w:rFonts w:eastAsiaTheme="minorEastAsia" w:hint="cs"/>
          <w:spacing w:val="-2"/>
          <w:rtl/>
        </w:rPr>
        <w:t xml:space="preserve">هذا </w:t>
      </w:r>
      <w:r w:rsidRPr="00340F0E">
        <w:rPr>
          <w:rFonts w:eastAsiaTheme="minorEastAsia"/>
          <w:spacing w:val="-2"/>
          <w:rtl/>
        </w:rPr>
        <w:t xml:space="preserve">الحكم، </w:t>
      </w:r>
      <w:r w:rsidRPr="00340F0E">
        <w:rPr>
          <w:rFonts w:eastAsiaTheme="minorEastAsia" w:hint="cs"/>
          <w:spacing w:val="-2"/>
          <w:rtl/>
        </w:rPr>
        <w:t xml:space="preserve">وتجاهل </w:t>
      </w:r>
      <w:r w:rsidRPr="00340F0E">
        <w:rPr>
          <w:rFonts w:eastAsiaTheme="minorEastAsia"/>
          <w:spacing w:val="-2"/>
          <w:rtl/>
        </w:rPr>
        <w:t xml:space="preserve">الإشارة إلى أن جزءاً </w:t>
      </w:r>
      <w:r w:rsidRPr="00340F0E">
        <w:rPr>
          <w:rFonts w:eastAsiaTheme="minorEastAsia" w:hint="cs"/>
          <w:spacing w:val="-2"/>
          <w:rtl/>
        </w:rPr>
        <w:t xml:space="preserve">منها </w:t>
      </w:r>
      <w:r w:rsidRPr="00340F0E">
        <w:rPr>
          <w:rFonts w:eastAsiaTheme="minorEastAsia"/>
          <w:spacing w:val="-2"/>
          <w:rtl/>
        </w:rPr>
        <w:t>عبارة</w:t>
      </w:r>
      <w:r w:rsidR="00340F0E">
        <w:rPr>
          <w:rFonts w:eastAsiaTheme="minorEastAsia" w:hint="cs"/>
          <w:spacing w:val="-2"/>
          <w:rtl/>
        </w:rPr>
        <w:t xml:space="preserve"> </w:t>
      </w:r>
      <w:r w:rsidRPr="00340F0E">
        <w:rPr>
          <w:rFonts w:eastAsiaTheme="minorEastAsia"/>
          <w:spacing w:val="-4"/>
          <w:rtl/>
        </w:rPr>
        <w:t>عن اقتباسات من أحكام أخرى سابقة، وكل ذلك، على ما يبدو، بقصد تقديم مضمون للحكم لا</w:t>
      </w:r>
      <w:r w:rsidR="007A7AD0" w:rsidRPr="00340F0E">
        <w:rPr>
          <w:rFonts w:eastAsiaTheme="minorEastAsia" w:hint="cs"/>
          <w:spacing w:val="-4"/>
          <w:rtl/>
        </w:rPr>
        <w:t> </w:t>
      </w:r>
      <w:r w:rsidRPr="00340F0E">
        <w:rPr>
          <w:rFonts w:eastAsiaTheme="minorEastAsia"/>
          <w:spacing w:val="-4"/>
          <w:rtl/>
        </w:rPr>
        <w:t>صلة</w:t>
      </w:r>
      <w:r w:rsidR="007A7AD0" w:rsidRPr="00340F0E">
        <w:rPr>
          <w:rFonts w:eastAsiaTheme="minorEastAsia" w:hint="cs"/>
          <w:spacing w:val="-4"/>
          <w:rtl/>
        </w:rPr>
        <w:t> </w:t>
      </w:r>
      <w:r w:rsidRPr="00340F0E">
        <w:rPr>
          <w:rFonts w:eastAsiaTheme="minorEastAsia"/>
          <w:spacing w:val="-4"/>
          <w:rtl/>
        </w:rPr>
        <w:t xml:space="preserve">له بالواقع. </w:t>
      </w:r>
    </w:p>
    <w:p w14:paraId="63B95E42" w14:textId="77777777" w:rsidR="003827C9" w:rsidRPr="00990AFC" w:rsidRDefault="003827C9" w:rsidP="007A7AD0">
      <w:pPr>
        <w:pStyle w:val="H23GA"/>
        <w:rPr>
          <w:lang w:val="ar-SA" w:eastAsia="zh-TW" w:bidi="en-GB"/>
        </w:rPr>
      </w:pPr>
      <w:r w:rsidRPr="00990AFC">
        <w:rPr>
          <w:rtl/>
        </w:rPr>
        <w:tab/>
      </w:r>
      <w:r w:rsidRPr="00990AFC">
        <w:rPr>
          <w:rtl/>
        </w:rPr>
        <w:tab/>
        <w:t>تعليقات صاحب البلاغ على ملاحظات الدولة الطرف بشأن مقبولية البلاغ وأسسه الموضوعية</w:t>
      </w:r>
    </w:p>
    <w:p w14:paraId="3E6B79BF" w14:textId="21C07B5F" w:rsidR="00620C46" w:rsidRPr="00620C46" w:rsidRDefault="003827C9" w:rsidP="003827C9">
      <w:pPr>
        <w:pStyle w:val="SingleTxtGA"/>
        <w:rPr>
          <w:rFonts w:eastAsiaTheme="minorEastAsia"/>
          <w:lang w:val="ar-SA" w:eastAsia="zh-TW" w:bidi="en-GB"/>
        </w:rPr>
      </w:pPr>
      <w:r w:rsidRPr="00990AFC">
        <w:rPr>
          <w:rFonts w:eastAsiaTheme="minorEastAsia"/>
          <w:rtl/>
        </w:rPr>
        <w:t>7</w:t>
      </w:r>
      <w:r w:rsidRPr="003827C9">
        <w:rPr>
          <w:rFonts w:eastAsiaTheme="minorEastAsia"/>
          <w:rtl/>
        </w:rPr>
        <w:t>-</w:t>
      </w:r>
      <w:r w:rsidRPr="00990AFC">
        <w:rPr>
          <w:rFonts w:eastAsiaTheme="minorEastAsia"/>
          <w:rtl/>
        </w:rPr>
        <w:t>1</w:t>
      </w:r>
      <w:r w:rsidRPr="003827C9">
        <w:rPr>
          <w:rFonts w:eastAsiaTheme="minorEastAsia"/>
          <w:rtl/>
        </w:rPr>
        <w:tab/>
        <w:t xml:space="preserve">يدعي صاحب البلاغ، في ملاحظاته المؤرخة </w:t>
      </w:r>
      <w:r w:rsidRPr="00990AFC">
        <w:rPr>
          <w:rFonts w:eastAsiaTheme="minorEastAsia"/>
          <w:rtl/>
        </w:rPr>
        <w:t>19</w:t>
      </w:r>
      <w:r w:rsidRPr="003827C9">
        <w:rPr>
          <w:rFonts w:eastAsiaTheme="minorEastAsia"/>
          <w:rtl/>
        </w:rPr>
        <w:t xml:space="preserve"> أيار/مايو </w:t>
      </w:r>
      <w:r w:rsidRPr="00990AFC">
        <w:rPr>
          <w:rFonts w:eastAsiaTheme="minorEastAsia"/>
          <w:rtl/>
        </w:rPr>
        <w:t>2019</w:t>
      </w:r>
      <w:r w:rsidRPr="003827C9">
        <w:rPr>
          <w:rFonts w:eastAsiaTheme="minorEastAsia"/>
          <w:rtl/>
        </w:rPr>
        <w:t>، أن طلب الدولة الطرف إعلان عدم مقبولية البلاغ لعدم استنفاد سبل الانتصاف المحلية غير مقبول. ففيما يتعلق بانتهاك المادة</w:t>
      </w:r>
      <w:r w:rsidR="007A7AD0">
        <w:rPr>
          <w:rFonts w:eastAsiaTheme="minorEastAsia" w:hint="cs"/>
          <w:rtl/>
        </w:rPr>
        <w:t> </w:t>
      </w:r>
      <w:r w:rsidRPr="00990AFC">
        <w:rPr>
          <w:rFonts w:eastAsiaTheme="minorEastAsia"/>
          <w:rtl/>
        </w:rPr>
        <w:t>14</w:t>
      </w:r>
      <w:r w:rsidRPr="003827C9">
        <w:rPr>
          <w:rFonts w:eastAsiaTheme="minorEastAsia"/>
          <w:rtl/>
        </w:rPr>
        <w:t xml:space="preserve"> من العهد في جانبها المتصل بالحق في أن تعيد محكمة جنائية أعلى درجة النظر في حكم الإدانة الجنائية، لا يعترف النظام القانوني الإسباني بهذا الحق، رغم أن المادة </w:t>
      </w:r>
      <w:r w:rsidRPr="00990AFC">
        <w:rPr>
          <w:rFonts w:eastAsiaTheme="minorEastAsia"/>
          <w:rtl/>
        </w:rPr>
        <w:t>10</w:t>
      </w:r>
      <w:r w:rsidRPr="003827C9">
        <w:rPr>
          <w:rFonts w:eastAsiaTheme="minorEastAsia"/>
          <w:rtl/>
        </w:rPr>
        <w:t>-</w:t>
      </w:r>
      <w:r w:rsidRPr="00990AFC">
        <w:rPr>
          <w:rFonts w:eastAsiaTheme="minorEastAsia"/>
          <w:rtl/>
        </w:rPr>
        <w:t>2</w:t>
      </w:r>
      <w:r w:rsidRPr="003827C9">
        <w:rPr>
          <w:rFonts w:eastAsiaTheme="minorEastAsia"/>
          <w:rtl/>
        </w:rPr>
        <w:t xml:space="preserve"> من الدستور الإسباني تنص على أنه "تُفسَّر القوانين المتعلقة بالحقوق والحريات الأساسية المعترف بها في الدستور وفقاً للإعلان العالمي لحقوق الإنسان والمعاهدات والاتفاقات الدولية التي صدقت عليها إسبانيا في هذا المجال"، وأن المادة </w:t>
      </w:r>
      <w:r w:rsidRPr="00990AFC">
        <w:rPr>
          <w:rFonts w:eastAsiaTheme="minorEastAsia"/>
          <w:rtl/>
        </w:rPr>
        <w:t>96</w:t>
      </w:r>
      <w:r w:rsidRPr="003827C9">
        <w:rPr>
          <w:rFonts w:eastAsiaTheme="minorEastAsia"/>
          <w:rtl/>
        </w:rPr>
        <w:t xml:space="preserve"> تنص على أنه "تصبح المعاهدات الدولية المبرمة بشكل سليم، بمجرد نشرها رسمياً في إسبانيا، جزءاً من النظام القانوني المحلي". ويشكل ذلك انتهاكاً واضحاً لمختلف القرارات التي أصدرتها اللجنة المعنية بحقوق الإنسان في هذا الصدد، لأن إسبانيا لم تتخذ التدابير المطلوبة، رغم إدانتها بسبب انتهاكها المادة </w:t>
      </w:r>
      <w:r w:rsidRPr="00990AFC">
        <w:rPr>
          <w:rFonts w:eastAsiaTheme="minorEastAsia"/>
          <w:rtl/>
        </w:rPr>
        <w:t>14</w:t>
      </w:r>
      <w:r w:rsidRPr="003827C9">
        <w:rPr>
          <w:rFonts w:eastAsiaTheme="minorEastAsia"/>
          <w:rtl/>
        </w:rPr>
        <w:t>(</w:t>
      </w:r>
      <w:r w:rsidR="00620C46" w:rsidRPr="00990AFC">
        <w:rPr>
          <w:rFonts w:eastAsiaTheme="minorEastAsia"/>
          <w:rtl/>
        </w:rPr>
        <w:t>5</w:t>
      </w:r>
      <w:r w:rsidR="00620C46" w:rsidRPr="00620C46">
        <w:rPr>
          <w:rFonts w:eastAsiaTheme="minorEastAsia"/>
          <w:rtl/>
        </w:rPr>
        <w:t xml:space="preserve">) </w:t>
      </w:r>
      <w:r w:rsidRPr="003827C9">
        <w:rPr>
          <w:rFonts w:eastAsiaTheme="minorEastAsia"/>
          <w:rtl/>
        </w:rPr>
        <w:t>من العهد ورغم تذكيرها بأنها ملزمة باتخاذ التدابير اللازمة لمنع حدوث انتهاكات مماثلة في المستقبل</w:t>
      </w:r>
      <w:r w:rsidR="00620C46" w:rsidRPr="00990AFC">
        <w:rPr>
          <w:rStyle w:val="FootnoteReference"/>
          <w:rFonts w:eastAsiaTheme="minorEastAsia" w:cs="Simplified Arabic"/>
          <w:sz w:val="22"/>
          <w:szCs w:val="22"/>
          <w:rtl/>
          <w:lang w:val="en-US"/>
        </w:rPr>
        <w:t>(</w:t>
      </w:r>
      <w:r w:rsidR="00620C46" w:rsidRPr="00990AFC">
        <w:rPr>
          <w:rStyle w:val="FootnoteReference"/>
          <w:rFonts w:eastAsiaTheme="minorEastAsia" w:cs="Simplified Arabic"/>
          <w:sz w:val="22"/>
          <w:szCs w:val="22"/>
          <w:lang w:val="en-US"/>
        </w:rPr>
        <w:footnoteReference w:id="10"/>
      </w:r>
      <w:r w:rsidR="00620C46" w:rsidRPr="00990AFC">
        <w:rPr>
          <w:rStyle w:val="FootnoteReference"/>
          <w:rFonts w:eastAsiaTheme="minorEastAsia" w:cs="Simplified Arabic"/>
          <w:sz w:val="22"/>
          <w:szCs w:val="22"/>
          <w:rtl/>
        </w:rPr>
        <w:t>)</w:t>
      </w:r>
      <w:r w:rsidR="00620C46" w:rsidRPr="00620C46">
        <w:rPr>
          <w:rFonts w:eastAsiaTheme="minorEastAsia"/>
          <w:rtl/>
        </w:rPr>
        <w:t>.</w:t>
      </w:r>
    </w:p>
    <w:p w14:paraId="2022046A" w14:textId="5999D524" w:rsidR="003827C9" w:rsidRPr="003827C9" w:rsidRDefault="003827C9" w:rsidP="003827C9">
      <w:pPr>
        <w:pStyle w:val="SingleTxtGA"/>
        <w:rPr>
          <w:rFonts w:eastAsiaTheme="minorEastAsia"/>
          <w:lang w:val="ar-SA" w:eastAsia="zh-TW" w:bidi="en-GB"/>
        </w:rPr>
      </w:pPr>
      <w:r w:rsidRPr="00990AFC">
        <w:rPr>
          <w:rFonts w:eastAsiaTheme="minorEastAsia"/>
          <w:rtl/>
        </w:rPr>
        <w:t>7</w:t>
      </w:r>
      <w:r w:rsidRPr="003827C9">
        <w:rPr>
          <w:rFonts w:eastAsiaTheme="minorEastAsia"/>
          <w:rtl/>
        </w:rPr>
        <w:t>-</w:t>
      </w:r>
      <w:r w:rsidRPr="00990AFC">
        <w:rPr>
          <w:rFonts w:eastAsiaTheme="minorEastAsia"/>
          <w:rtl/>
        </w:rPr>
        <w:t>2</w:t>
      </w:r>
      <w:r w:rsidRPr="003827C9">
        <w:rPr>
          <w:rFonts w:eastAsiaTheme="minorEastAsia"/>
          <w:rtl/>
        </w:rPr>
        <w:tab/>
        <w:t xml:space="preserve">وينضاف إلى كل ذلك تأكيد اللجنة مراراً في اجتهاداتها أن عبء الإثبات، وإن كان يقع بداية على عاتق صاحب البلاغ، الذي يجب عليه إثبات استنفاده أو محاولة استنفاده جميع سبل الانتصاف المحلية الملائمة، يقع في حالة عدم توافر أحد هذه السبل، كما هو الشأن في هذه القضية، على عاتق الدولة الطرف، التي يجب عليها تقديم أدلة على أنه لا تزال ثمة سبل انتصاف محلية متاحة وفعالة. ويكرر صاحب البلاغ أنه لم يتسن الإبلاغ عبر سبل الانتصاف المحلية عن انتهاك المادة </w:t>
      </w:r>
      <w:r w:rsidRPr="00990AFC">
        <w:rPr>
          <w:rFonts w:eastAsiaTheme="minorEastAsia"/>
          <w:rtl/>
        </w:rPr>
        <w:t>14</w:t>
      </w:r>
      <w:r w:rsidRPr="003827C9">
        <w:rPr>
          <w:rFonts w:eastAsiaTheme="minorEastAsia"/>
          <w:rtl/>
        </w:rPr>
        <w:t>(</w:t>
      </w:r>
      <w:r w:rsidR="00620C46" w:rsidRPr="00990AFC">
        <w:rPr>
          <w:rFonts w:eastAsiaTheme="minorEastAsia"/>
          <w:rtl/>
        </w:rPr>
        <w:t>5</w:t>
      </w:r>
      <w:r w:rsidR="00620C46" w:rsidRPr="00620C46">
        <w:rPr>
          <w:rFonts w:eastAsiaTheme="minorEastAsia"/>
          <w:rtl/>
        </w:rPr>
        <w:t xml:space="preserve">) </w:t>
      </w:r>
      <w:r w:rsidRPr="003827C9">
        <w:rPr>
          <w:rFonts w:eastAsiaTheme="minorEastAsia"/>
          <w:rtl/>
        </w:rPr>
        <w:t xml:space="preserve">من العهد، لأن النظام القانوني لا يعترف بالحق المنصوص عليه في هذه المادة، ولأن المحكمة الدستورية الإسبانية أصدرت قرارات شتى أرست هذا النهج. وإزاء هذه الادعاءات، كان على الدولة الطرف أن تثبت وجود سبيل انتصاف محلي متاح وفعال في النظام القانوني الإسباني، يُفضي إلى الاعتراف بوقوع انتهاك لأحكام المادة </w:t>
      </w:r>
      <w:r w:rsidRPr="00990AFC">
        <w:rPr>
          <w:rFonts w:eastAsiaTheme="minorEastAsia"/>
          <w:rtl/>
        </w:rPr>
        <w:t>14</w:t>
      </w:r>
      <w:r w:rsidRPr="003827C9">
        <w:rPr>
          <w:rFonts w:eastAsiaTheme="minorEastAsia"/>
          <w:rtl/>
        </w:rPr>
        <w:t>(</w:t>
      </w:r>
      <w:r w:rsidR="00620C46" w:rsidRPr="00990AFC">
        <w:rPr>
          <w:rFonts w:eastAsiaTheme="minorEastAsia"/>
          <w:rtl/>
        </w:rPr>
        <w:t>5</w:t>
      </w:r>
      <w:r w:rsidR="00620C46" w:rsidRPr="00620C46">
        <w:rPr>
          <w:rFonts w:eastAsiaTheme="minorEastAsia"/>
          <w:rtl/>
        </w:rPr>
        <w:t xml:space="preserve">) </w:t>
      </w:r>
      <w:r w:rsidRPr="003827C9">
        <w:rPr>
          <w:rFonts w:eastAsiaTheme="minorEastAsia"/>
          <w:rtl/>
        </w:rPr>
        <w:t>من العهد، وهو ما لم تفعله.</w:t>
      </w:r>
    </w:p>
    <w:p w14:paraId="54100929" w14:textId="77777777" w:rsidR="003827C9" w:rsidRPr="00340F0E" w:rsidRDefault="003827C9" w:rsidP="003827C9">
      <w:pPr>
        <w:pStyle w:val="SingleTxtGA"/>
        <w:rPr>
          <w:rFonts w:eastAsiaTheme="minorEastAsia"/>
          <w:spacing w:val="-2"/>
          <w:lang w:val="ar-SA" w:eastAsia="zh-TW" w:bidi="en-GB"/>
        </w:rPr>
      </w:pPr>
      <w:r w:rsidRPr="00990AFC">
        <w:rPr>
          <w:rFonts w:eastAsiaTheme="minorEastAsia"/>
          <w:rtl/>
        </w:rPr>
        <w:lastRenderedPageBreak/>
        <w:t>7</w:t>
      </w:r>
      <w:r w:rsidRPr="003827C9">
        <w:rPr>
          <w:rFonts w:eastAsiaTheme="minorEastAsia"/>
          <w:rtl/>
        </w:rPr>
        <w:t>-</w:t>
      </w:r>
      <w:r w:rsidRPr="00990AFC">
        <w:rPr>
          <w:rFonts w:eastAsiaTheme="minorEastAsia"/>
          <w:rtl/>
        </w:rPr>
        <w:t>3</w:t>
      </w:r>
      <w:r w:rsidRPr="003827C9">
        <w:rPr>
          <w:rFonts w:eastAsiaTheme="minorEastAsia"/>
          <w:rtl/>
        </w:rPr>
        <w:tab/>
      </w:r>
      <w:r w:rsidRPr="00340F0E">
        <w:rPr>
          <w:rFonts w:eastAsiaTheme="minorEastAsia"/>
          <w:spacing w:val="-2"/>
          <w:rtl/>
        </w:rPr>
        <w:t xml:space="preserve">وفيما يتعلق بانتهاك المادة </w:t>
      </w:r>
      <w:r w:rsidRPr="00990AFC">
        <w:rPr>
          <w:rFonts w:eastAsiaTheme="minorEastAsia"/>
          <w:spacing w:val="-2"/>
          <w:rtl/>
        </w:rPr>
        <w:t>14</w:t>
      </w:r>
      <w:r w:rsidRPr="00340F0E">
        <w:rPr>
          <w:rFonts w:eastAsiaTheme="minorEastAsia"/>
          <w:spacing w:val="-2"/>
          <w:rtl/>
        </w:rPr>
        <w:t xml:space="preserve"> من العهد، لأنه كان ينبغي إعادة النظر في الأدلة الشخصية خلال جلسة الاستماع في مرحلة الاستئناف، ترى الدولة الطرف أن صاحب البلاغ لم يستنفد سبل الانتصاف المحلية لعدم إبلاغه عن هذا الانتهاك خلال جلسة الاستماع. وفي هذا الصدد، يكرر صاحب البلاغ أنه، على نحو ما أشار إليه رئيس الجلسة في بدايتها، يُعاد النظر خلال الاستئناف فقط في الأدلة المستندية، وليس في الأدلة الشخصية المقدمة خلال المحاكمة في المرحلة الابتدائية. وبالنظر إلى هذا التوضيح، المدلى به في بداية جلسة الاستماع، لم يكن بإمكان المحامي الذي كان يد</w:t>
      </w:r>
      <w:r w:rsidRPr="00340F0E">
        <w:rPr>
          <w:rFonts w:eastAsiaTheme="minorEastAsia" w:hint="cs"/>
          <w:spacing w:val="-2"/>
          <w:rtl/>
        </w:rPr>
        <w:t>ا</w:t>
      </w:r>
      <w:r w:rsidRPr="00340F0E">
        <w:rPr>
          <w:rFonts w:eastAsiaTheme="minorEastAsia"/>
          <w:spacing w:val="-2"/>
          <w:rtl/>
        </w:rPr>
        <w:t xml:space="preserve">فع عن صاحب البلاغ إبداء أي رأي بشأن تقييم المحكمة </w:t>
      </w:r>
      <w:r w:rsidRPr="00340F0E">
        <w:rPr>
          <w:rFonts w:eastAsiaTheme="minorEastAsia" w:hint="cs"/>
          <w:spacing w:val="-2"/>
          <w:rtl/>
        </w:rPr>
        <w:t>ا</w:t>
      </w:r>
      <w:r w:rsidRPr="00340F0E">
        <w:rPr>
          <w:rFonts w:eastAsiaTheme="minorEastAsia"/>
          <w:spacing w:val="-2"/>
          <w:rtl/>
        </w:rPr>
        <w:t xml:space="preserve">لأدلة ذات الطابع الشخصي، فبالأحرى طلب فحص أي دليل من هذا القبيل. ولم يتسن لصاحب البلاغ، إلا بعد صدور قرار الحكم والتحقق من تقييم الأدلة الشخصية في هذا القرار، استخدام الآلية الوحيدة المنصوص عليها في القانون المحلي للطعن، وإن بشكل محدود للغاية، في قرار </w:t>
      </w:r>
      <w:r w:rsidRPr="00340F0E">
        <w:rPr>
          <w:rFonts w:eastAsiaTheme="minorEastAsia" w:hint="cs"/>
          <w:spacing w:val="-2"/>
          <w:rtl/>
        </w:rPr>
        <w:t>ال</w:t>
      </w:r>
      <w:r w:rsidRPr="00340F0E">
        <w:rPr>
          <w:rFonts w:eastAsiaTheme="minorEastAsia"/>
          <w:spacing w:val="-2"/>
          <w:rtl/>
        </w:rPr>
        <w:t xml:space="preserve">إدانة </w:t>
      </w:r>
      <w:r w:rsidRPr="00340F0E">
        <w:rPr>
          <w:rFonts w:eastAsiaTheme="minorEastAsia" w:hint="cs"/>
          <w:spacing w:val="-2"/>
          <w:rtl/>
        </w:rPr>
        <w:t>ال</w:t>
      </w:r>
      <w:r w:rsidRPr="00340F0E">
        <w:rPr>
          <w:rFonts w:eastAsiaTheme="minorEastAsia"/>
          <w:spacing w:val="-2"/>
          <w:rtl/>
        </w:rPr>
        <w:t xml:space="preserve">صادر عن محكمة الاستئناف، حيث قدم دعوى استثنائية لطلب إعلان بطلان الإجراءات، رُفضت بشكل غير مبرر. </w:t>
      </w:r>
    </w:p>
    <w:p w14:paraId="063C3BA5" w14:textId="77777777" w:rsidR="003827C9" w:rsidRPr="003827C9" w:rsidRDefault="003827C9" w:rsidP="003827C9">
      <w:pPr>
        <w:pStyle w:val="SingleTxtGA"/>
        <w:rPr>
          <w:rFonts w:eastAsiaTheme="minorEastAsia"/>
          <w:lang w:val="ar-SA" w:eastAsia="zh-TW" w:bidi="en-GB"/>
        </w:rPr>
      </w:pPr>
      <w:r w:rsidRPr="00990AFC">
        <w:rPr>
          <w:rFonts w:eastAsiaTheme="minorEastAsia"/>
          <w:rtl/>
        </w:rPr>
        <w:t>7</w:t>
      </w:r>
      <w:r w:rsidRPr="003827C9">
        <w:rPr>
          <w:rFonts w:eastAsiaTheme="minorEastAsia"/>
          <w:rtl/>
        </w:rPr>
        <w:t>-</w:t>
      </w:r>
      <w:r w:rsidRPr="00990AFC">
        <w:rPr>
          <w:rFonts w:eastAsiaTheme="minorEastAsia"/>
          <w:rtl/>
        </w:rPr>
        <w:t>4</w:t>
      </w:r>
      <w:r w:rsidRPr="003827C9">
        <w:rPr>
          <w:rFonts w:eastAsiaTheme="minorEastAsia"/>
          <w:rtl/>
        </w:rPr>
        <w:tab/>
        <w:t xml:space="preserve">ويشير صاحب البلاغ إلى أنه لم يكن لدى دفاعه أدنى شك في استحالة أن تفحص محكمة الاستئناف الأدلة ذاتها المقدمة إلى المحكمة الابتدائية. </w:t>
      </w:r>
      <w:r w:rsidRPr="003827C9">
        <w:rPr>
          <w:rFonts w:eastAsiaTheme="minorEastAsia" w:hint="cs"/>
          <w:rtl/>
        </w:rPr>
        <w:t xml:space="preserve">ويُعزى </w:t>
      </w:r>
      <w:r w:rsidRPr="003827C9">
        <w:rPr>
          <w:rFonts w:eastAsiaTheme="minorEastAsia"/>
          <w:rtl/>
        </w:rPr>
        <w:t xml:space="preserve">ذلك </w:t>
      </w:r>
      <w:r w:rsidRPr="003827C9">
        <w:rPr>
          <w:rFonts w:eastAsiaTheme="minorEastAsia" w:hint="cs"/>
          <w:rtl/>
        </w:rPr>
        <w:t xml:space="preserve">إلى </w:t>
      </w:r>
      <w:r w:rsidRPr="003827C9">
        <w:rPr>
          <w:rFonts w:eastAsiaTheme="minorEastAsia"/>
          <w:rtl/>
        </w:rPr>
        <w:t xml:space="preserve">أن المادة </w:t>
      </w:r>
      <w:r w:rsidRPr="00990AFC">
        <w:rPr>
          <w:rFonts w:eastAsiaTheme="minorEastAsia"/>
          <w:rtl/>
        </w:rPr>
        <w:t>790</w:t>
      </w:r>
      <w:r w:rsidRPr="003827C9">
        <w:rPr>
          <w:rFonts w:eastAsiaTheme="minorEastAsia"/>
          <w:rtl/>
        </w:rPr>
        <w:t xml:space="preserve"> من قانون الإجراءات الجنائية، المتعلقة بالطعن في الحكم الصادر في إطار إجراءات مستعجلة، تنص في صيغتها السارية وقت حدوث الوقائع على ما يلي: لا تنص التشريعات المنطبقة في القانون المحلي للدولة الطرف بأي حال من الأحوال على إمكانية فحص محكمة الاستئناف الأدلة التي قُدمت إلى المحكمة الابتدائية؛ وتنص فقط على إمكانية طلب فحص الأدلة التي لم يتسن تقديمها إلى المحكمة الابتدائية، والأدلة المقدمة التي ر</w:t>
      </w:r>
      <w:r w:rsidRPr="003827C9">
        <w:rPr>
          <w:rFonts w:eastAsiaTheme="minorEastAsia" w:hint="cs"/>
          <w:rtl/>
        </w:rPr>
        <w:t>ُ</w:t>
      </w:r>
      <w:r w:rsidRPr="003827C9">
        <w:rPr>
          <w:rFonts w:eastAsiaTheme="minorEastAsia"/>
          <w:rtl/>
        </w:rPr>
        <w:t xml:space="preserve">فضت بلا مبرر، وتلك التي جرى قبولها ولم يُنظر فيها لأسباب لا تعزى إلى مقدمها. ولا ينبغي، بأي حال من الأحوال، إغفال أن الجهة التي كان عليها طلب </w:t>
      </w:r>
      <w:r w:rsidRPr="003827C9">
        <w:rPr>
          <w:rFonts w:eastAsiaTheme="minorEastAsia" w:hint="cs"/>
          <w:rtl/>
        </w:rPr>
        <w:t xml:space="preserve">تقديم </w:t>
      </w:r>
      <w:r w:rsidRPr="003827C9">
        <w:rPr>
          <w:rFonts w:eastAsiaTheme="minorEastAsia"/>
          <w:rtl/>
        </w:rPr>
        <w:t xml:space="preserve">أدلة شخصية أمام محكمة الاستئناف ليست هي هيئة الدفاع، بل هيئة الادعاء التي كانت تسعى إلى إدانة المتهم الذي جرت تبرئته. وعلى أية حال، كان على الدولة الطرف إثبات أن النظام القانوني الإسباني يتيح إمكانية </w:t>
      </w:r>
      <w:r w:rsidRPr="003827C9">
        <w:rPr>
          <w:rFonts w:eastAsiaTheme="minorEastAsia" w:hint="cs"/>
          <w:rtl/>
        </w:rPr>
        <w:t xml:space="preserve">تقديم </w:t>
      </w:r>
      <w:r w:rsidRPr="003827C9">
        <w:rPr>
          <w:rFonts w:eastAsiaTheme="minorEastAsia"/>
          <w:rtl/>
        </w:rPr>
        <w:t xml:space="preserve">جميع الأدلة </w:t>
      </w:r>
      <w:r w:rsidRPr="003827C9">
        <w:rPr>
          <w:rFonts w:eastAsiaTheme="minorEastAsia" w:hint="cs"/>
          <w:rtl/>
        </w:rPr>
        <w:t xml:space="preserve">مرة أخرى </w:t>
      </w:r>
      <w:r w:rsidRPr="003827C9">
        <w:rPr>
          <w:rFonts w:eastAsiaTheme="minorEastAsia"/>
          <w:rtl/>
        </w:rPr>
        <w:t>أمام المحكمة العليا الإقليمية، وأنه كان من الممكن قبول طلب إعادة النظر فيها لو قُدم من خلال أحد سبل الانتصاف المتاحة أمام المحاكم الوطنية.</w:t>
      </w:r>
    </w:p>
    <w:p w14:paraId="4FC8E2EF" w14:textId="77777777" w:rsidR="003827C9" w:rsidRPr="003827C9" w:rsidRDefault="003827C9" w:rsidP="003827C9">
      <w:pPr>
        <w:pStyle w:val="SingleTxtGA"/>
        <w:rPr>
          <w:rFonts w:eastAsiaTheme="minorEastAsia"/>
          <w:lang w:val="ar-SA" w:eastAsia="zh-TW" w:bidi="en-GB"/>
        </w:rPr>
      </w:pPr>
      <w:r w:rsidRPr="00990AFC">
        <w:rPr>
          <w:rFonts w:eastAsiaTheme="minorEastAsia"/>
          <w:rtl/>
        </w:rPr>
        <w:t>7</w:t>
      </w:r>
      <w:r w:rsidRPr="003827C9">
        <w:rPr>
          <w:rFonts w:eastAsiaTheme="minorEastAsia"/>
          <w:rtl/>
        </w:rPr>
        <w:t>-</w:t>
      </w:r>
      <w:r w:rsidRPr="00990AFC">
        <w:rPr>
          <w:rFonts w:eastAsiaTheme="minorEastAsia"/>
          <w:rtl/>
        </w:rPr>
        <w:t>5</w:t>
      </w:r>
      <w:r w:rsidRPr="003827C9">
        <w:rPr>
          <w:rFonts w:eastAsiaTheme="minorEastAsia"/>
          <w:rtl/>
        </w:rPr>
        <w:tab/>
        <w:t xml:space="preserve">ويدعي صاحب البلاغ أن رأي المحكمة الدستورية أن دعوى بطلان الإجراءات قُدمت خلال الأجل المحدد لا يجبر الضرر اللاحق به بسبب انتهاك حقوقه، لأن ذلك لا يعني أن الهيئة المختصة (المحكمة العليا الإقليمية) قبلت هذه الدعوى وأنها أصدرت قراراً معللاً وقائماً على أسس سليمة على النحو المنصوص عليه في القانون. ولا يمكن، بأي حال من الأحوال، اعتبار القرار الذي أصدرته المحكمة الإقليمية والذي قضت فيه برفض دعوى البطلان، وإن كان يتضمن إشارات موجزة إلى المسائل المثارة في هذه الدعوى، قراراً معللاً وقائماً على أسس قانونية سليمة، ليس فقط لأن التوضيحات المقدمة فيه غير كافية بشكل واضح، بل لأنه لا يراعي </w:t>
      </w:r>
      <w:r w:rsidRPr="003827C9">
        <w:rPr>
          <w:rFonts w:eastAsiaTheme="minorEastAsia" w:hint="cs"/>
          <w:rtl/>
        </w:rPr>
        <w:t>ال</w:t>
      </w:r>
      <w:r w:rsidRPr="003827C9">
        <w:rPr>
          <w:rFonts w:eastAsiaTheme="minorEastAsia"/>
          <w:rtl/>
        </w:rPr>
        <w:t>إجراء</w:t>
      </w:r>
      <w:r w:rsidRPr="003827C9">
        <w:rPr>
          <w:rFonts w:eastAsiaTheme="minorEastAsia" w:hint="cs"/>
          <w:rtl/>
        </w:rPr>
        <w:t>ات</w:t>
      </w:r>
      <w:r w:rsidRPr="003827C9">
        <w:rPr>
          <w:rFonts w:eastAsiaTheme="minorEastAsia"/>
          <w:rtl/>
        </w:rPr>
        <w:t xml:space="preserve"> المنصوص عليه</w:t>
      </w:r>
      <w:r w:rsidRPr="003827C9">
        <w:rPr>
          <w:rFonts w:eastAsiaTheme="minorEastAsia" w:hint="cs"/>
          <w:rtl/>
        </w:rPr>
        <w:t>ا</w:t>
      </w:r>
      <w:r w:rsidRPr="003827C9">
        <w:rPr>
          <w:rFonts w:eastAsiaTheme="minorEastAsia"/>
          <w:rtl/>
        </w:rPr>
        <w:t xml:space="preserve"> في القانون الأساسي للسلطة القضائية</w:t>
      </w:r>
      <w:r w:rsidRPr="003827C9">
        <w:rPr>
          <w:rFonts w:eastAsiaTheme="minorEastAsia" w:hint="cs"/>
          <w:rtl/>
        </w:rPr>
        <w:t xml:space="preserve"> لتقديم دعوى بطلان الإجراءات</w:t>
      </w:r>
      <w:r w:rsidRPr="003827C9">
        <w:rPr>
          <w:rFonts w:eastAsiaTheme="minorEastAsia"/>
          <w:rtl/>
        </w:rPr>
        <w:t xml:space="preserve">. </w:t>
      </w:r>
    </w:p>
    <w:p w14:paraId="68B6DB4A" w14:textId="18BDDF41" w:rsidR="003827C9" w:rsidRPr="003827C9" w:rsidRDefault="003827C9" w:rsidP="003827C9">
      <w:pPr>
        <w:pStyle w:val="SingleTxtGA"/>
        <w:rPr>
          <w:rFonts w:eastAsiaTheme="minorEastAsia"/>
          <w:lang w:val="ar-SA" w:eastAsia="zh-TW" w:bidi="en-GB"/>
        </w:rPr>
      </w:pPr>
      <w:r w:rsidRPr="00990AFC">
        <w:rPr>
          <w:rFonts w:eastAsiaTheme="minorEastAsia"/>
          <w:rtl/>
        </w:rPr>
        <w:t>7</w:t>
      </w:r>
      <w:r w:rsidRPr="003827C9">
        <w:rPr>
          <w:rFonts w:eastAsiaTheme="minorEastAsia"/>
          <w:rtl/>
        </w:rPr>
        <w:t>-</w:t>
      </w:r>
      <w:r w:rsidRPr="00990AFC">
        <w:rPr>
          <w:rFonts w:eastAsiaTheme="minorEastAsia"/>
          <w:rtl/>
        </w:rPr>
        <w:t>6</w:t>
      </w:r>
      <w:r w:rsidRPr="003827C9">
        <w:rPr>
          <w:rFonts w:eastAsiaTheme="minorEastAsia"/>
          <w:rtl/>
        </w:rPr>
        <w:tab/>
        <w:t xml:space="preserve">ويدعي صاحب البلاغ أنه، وفقاً لأحكام المادة </w:t>
      </w:r>
      <w:r w:rsidRPr="00990AFC">
        <w:rPr>
          <w:rFonts w:eastAsiaTheme="minorEastAsia"/>
          <w:rtl/>
        </w:rPr>
        <w:t>90</w:t>
      </w:r>
      <w:r w:rsidRPr="003827C9">
        <w:rPr>
          <w:rFonts w:eastAsiaTheme="minorEastAsia"/>
          <w:rtl/>
        </w:rPr>
        <w:t xml:space="preserve"> من النظام الداخلي للجنة، يجوز للأمين العام أن يطلب إلى صاحب بلاغ ما، وليس إلى الدولة الطرف، تقديم توضيحات أو معلومات إضافية بشأن مسائل معينة. ولكن صاحب البلاغ يُرفق رسالته بالوثائق ذات الصلة، لتمكين اللجنة من التحقق من أنه لم يكن ينوي قط إخفاء أي معلومات</w:t>
      </w:r>
      <w:r w:rsidR="00620C46" w:rsidRPr="00990AFC">
        <w:rPr>
          <w:rStyle w:val="FootnoteReference"/>
          <w:rFonts w:eastAsiaTheme="minorEastAsia" w:cs="Simplified Arabic"/>
          <w:sz w:val="22"/>
          <w:szCs w:val="22"/>
          <w:rtl/>
          <w:lang w:val="en-US"/>
        </w:rPr>
        <w:t>(</w:t>
      </w:r>
      <w:r w:rsidR="00620C46" w:rsidRPr="00990AFC">
        <w:rPr>
          <w:rStyle w:val="FootnoteReference"/>
          <w:rFonts w:eastAsiaTheme="minorEastAsia" w:cs="Simplified Arabic"/>
          <w:sz w:val="22"/>
          <w:szCs w:val="22"/>
          <w:lang w:val="en-US"/>
        </w:rPr>
        <w:footnoteReference w:id="11"/>
      </w:r>
      <w:r w:rsidR="00620C46" w:rsidRPr="00990AFC">
        <w:rPr>
          <w:rStyle w:val="FootnoteReference"/>
          <w:rFonts w:eastAsiaTheme="minorEastAsia" w:cs="Simplified Arabic"/>
          <w:sz w:val="22"/>
          <w:szCs w:val="22"/>
          <w:rtl/>
        </w:rPr>
        <w:t>)</w:t>
      </w:r>
      <w:r w:rsidR="00620C46" w:rsidRPr="00620C46">
        <w:rPr>
          <w:rFonts w:eastAsiaTheme="minorEastAsia"/>
          <w:rtl/>
        </w:rPr>
        <w:t xml:space="preserve">. </w:t>
      </w:r>
    </w:p>
    <w:p w14:paraId="4A07985F" w14:textId="04EDA874" w:rsidR="003827C9" w:rsidRPr="003827C9" w:rsidRDefault="003827C9" w:rsidP="003827C9">
      <w:pPr>
        <w:pStyle w:val="SingleTxtGA"/>
        <w:rPr>
          <w:rFonts w:eastAsiaTheme="minorEastAsia"/>
          <w:lang w:val="ar-SA" w:eastAsia="zh-TW" w:bidi="en-GB"/>
        </w:rPr>
      </w:pPr>
      <w:r w:rsidRPr="00990AFC">
        <w:rPr>
          <w:rFonts w:eastAsiaTheme="minorEastAsia"/>
          <w:rtl/>
        </w:rPr>
        <w:lastRenderedPageBreak/>
        <w:t>7</w:t>
      </w:r>
      <w:r w:rsidRPr="003827C9">
        <w:rPr>
          <w:rFonts w:eastAsiaTheme="minorEastAsia"/>
          <w:rtl/>
        </w:rPr>
        <w:t>-</w:t>
      </w:r>
      <w:r w:rsidRPr="00990AFC">
        <w:rPr>
          <w:rFonts w:eastAsiaTheme="minorEastAsia"/>
          <w:rtl/>
        </w:rPr>
        <w:t>7</w:t>
      </w:r>
      <w:r w:rsidRPr="003827C9">
        <w:rPr>
          <w:rFonts w:eastAsiaTheme="minorEastAsia"/>
          <w:rtl/>
        </w:rPr>
        <w:tab/>
        <w:t xml:space="preserve">ويشدد صاحب البلاغ على ضرورة أن يؤخذ في الاعتبار بشكل خاص أن القرارات التي شكلت موضوع شكواه قضت بإدانته استئنافياً بعدما برأته المحكمة الابتدائية. ويرى صاحب البلاغ أن إطالة إجراءات هذه القضية بلا داعٍ، بطلب تمديد مهلة تقديم الملاحظات بشأن "المقبولية" بعد انقضاء الأجل المحدد في شهرين المنصوص عليه لهذا الغرض في المادة </w:t>
      </w:r>
      <w:r w:rsidRPr="00990AFC">
        <w:rPr>
          <w:rFonts w:eastAsiaTheme="minorEastAsia"/>
          <w:rtl/>
        </w:rPr>
        <w:t>97</w:t>
      </w:r>
      <w:r w:rsidRPr="003827C9">
        <w:rPr>
          <w:rFonts w:eastAsiaTheme="minorEastAsia"/>
          <w:rtl/>
        </w:rPr>
        <w:t>، وبالتمديد غير المبرر للأجل الذي يحدده النظام الداخلي في ستة أشهر، يُلحق به ضرراً بالغاً، لأنه، حتى لو خلصت اللجنة إلى وقوع الانتهاك المبلغ عنه، ستكون قد انقضت بالكامل مدة عقوبة السجن غير القانونية التي حكمت بها عليه المحاكم</w:t>
      </w:r>
      <w:r w:rsidR="007A7AD0">
        <w:rPr>
          <w:rFonts w:eastAsiaTheme="minorEastAsia" w:hint="cs"/>
          <w:rtl/>
        </w:rPr>
        <w:t> </w:t>
      </w:r>
      <w:r w:rsidRPr="003827C9">
        <w:rPr>
          <w:rFonts w:eastAsiaTheme="minorEastAsia"/>
          <w:rtl/>
        </w:rPr>
        <w:t>المحلية.</w:t>
      </w:r>
    </w:p>
    <w:p w14:paraId="206D6355" w14:textId="77777777" w:rsidR="003827C9" w:rsidRPr="003827C9" w:rsidRDefault="003827C9" w:rsidP="003827C9">
      <w:pPr>
        <w:pStyle w:val="SingleTxtGA"/>
        <w:rPr>
          <w:rFonts w:eastAsiaTheme="minorEastAsia"/>
          <w:lang w:val="ar-SA" w:eastAsia="zh-TW" w:bidi="en-GB"/>
        </w:rPr>
      </w:pPr>
      <w:r w:rsidRPr="00990AFC">
        <w:rPr>
          <w:rFonts w:eastAsiaTheme="minorEastAsia"/>
          <w:rtl/>
        </w:rPr>
        <w:t>7</w:t>
      </w:r>
      <w:r w:rsidRPr="003827C9">
        <w:rPr>
          <w:rFonts w:eastAsiaTheme="minorEastAsia"/>
          <w:rtl/>
        </w:rPr>
        <w:t>-</w:t>
      </w:r>
      <w:r w:rsidRPr="00990AFC">
        <w:rPr>
          <w:rFonts w:eastAsiaTheme="minorEastAsia"/>
          <w:rtl/>
        </w:rPr>
        <w:t>8</w:t>
      </w:r>
      <w:r w:rsidRPr="003827C9">
        <w:rPr>
          <w:rFonts w:eastAsiaTheme="minorEastAsia"/>
          <w:rtl/>
        </w:rPr>
        <w:tab/>
        <w:t>ويرفض صاحب البلاغ ادعاء الدولة الطرف أن الحكم لا يقيم الأدلة الشخصية وإنما الأدلة المستندية. فرغم تأكيد دائرة الاستئناف أنه لم يجر تقييم سوى هذا النوع من الأدلة، فإن أجزاء الحكم المستنسخة أدناه تبين عكس ذلك</w:t>
      </w:r>
      <w:r w:rsidRPr="003827C9">
        <w:rPr>
          <w:rFonts w:eastAsiaTheme="minorEastAsia"/>
        </w:rPr>
        <w:t>:</w:t>
      </w:r>
      <w:r w:rsidRPr="003827C9">
        <w:rPr>
          <w:rFonts w:eastAsiaTheme="minorEastAsia"/>
          <w:rtl/>
        </w:rPr>
        <w:t xml:space="preserve"> </w:t>
      </w:r>
    </w:p>
    <w:p w14:paraId="1F888029" w14:textId="648AA1C4" w:rsidR="003827C9" w:rsidRPr="003827C9" w:rsidRDefault="003827C9" w:rsidP="007A7AD0">
      <w:pPr>
        <w:pStyle w:val="SingleTxtGA"/>
        <w:ind w:left="1928"/>
        <w:rPr>
          <w:rFonts w:eastAsiaTheme="minorEastAsia"/>
          <w:lang w:val="ar-SA" w:eastAsia="zh-TW" w:bidi="en-GB"/>
        </w:rPr>
      </w:pPr>
      <w:r w:rsidRPr="003827C9">
        <w:rPr>
          <w:rFonts w:eastAsiaTheme="minorEastAsia"/>
          <w:rtl/>
        </w:rPr>
        <w:tab/>
        <w:t>لا يتناقض مع الأدلة المستندية أي من الأدلة الشخصية (الإفادات التي أدلى بها أمام قاضي التحقيق المتوفى السيد إ.، والشهود، والمتهم نفسه، والمتوفى س. خ.، عضو مجلس إدارة الشركة</w:t>
      </w:r>
      <w:r w:rsidR="00620C46" w:rsidRPr="00620C46">
        <w:rPr>
          <w:rFonts w:eastAsiaTheme="minorEastAsia"/>
          <w:rtl/>
        </w:rPr>
        <w:t xml:space="preserve">)، </w:t>
      </w:r>
      <w:r w:rsidRPr="003827C9">
        <w:rPr>
          <w:rFonts w:eastAsiaTheme="minorEastAsia"/>
          <w:rtl/>
        </w:rPr>
        <w:t xml:space="preserve">حيث يتضح، من دون الخوض في تقييم تلك الأدلة، أن الحكم غير منطقي لعدم أخذه في الاعتبار الأدلة المستندية الوفيرة والشاملة التي سبقت الإشارة إليها. وتمثل موضوع لائحة الاتهام في السلوك المتسم بالتقصير </w:t>
      </w:r>
      <w:r w:rsidR="00620C46" w:rsidRPr="00620C46">
        <w:rPr>
          <w:rFonts w:eastAsiaTheme="minorEastAsia"/>
          <w:rtl/>
        </w:rPr>
        <w:t>[..</w:t>
      </w:r>
      <w:r w:rsidRPr="003827C9">
        <w:rPr>
          <w:rFonts w:eastAsiaTheme="minorEastAsia"/>
          <w:rtl/>
        </w:rPr>
        <w:t>.</w:t>
      </w:r>
      <w:r w:rsidR="00620C46" w:rsidRPr="00620C46">
        <w:rPr>
          <w:rFonts w:eastAsiaTheme="minorEastAsia"/>
          <w:rtl/>
        </w:rPr>
        <w:t xml:space="preserve">]. </w:t>
      </w:r>
    </w:p>
    <w:p w14:paraId="52A954EC" w14:textId="283F6658" w:rsidR="003827C9" w:rsidRPr="003827C9" w:rsidRDefault="007A7AD0" w:rsidP="00B01413">
      <w:pPr>
        <w:pStyle w:val="SingleTxtGA"/>
        <w:rPr>
          <w:lang w:val="ar-SA" w:eastAsia="zh-TW" w:bidi="en-GB"/>
        </w:rPr>
      </w:pPr>
      <w:r>
        <w:rPr>
          <w:rtl/>
        </w:rPr>
        <w:tab/>
      </w:r>
      <w:r w:rsidR="003827C9" w:rsidRPr="003827C9">
        <w:rPr>
          <w:rtl/>
        </w:rPr>
        <w:t>ويرى صاحب البلاغ أن ادعاء الدولة الطرف عدم تعارض أي من الأدلة الشخصية مع الأدلة المستندية يدل بالفعل على أنه جرى تقييم تلك الأدلة، ولو بغرض تجريدها من أي قيمة إثباتية، ويدل على ذلك أيضاً إعطاء الأولوية لوثائق معينة، واتخاذ قرار بعدم إيلاء أي أهمية لإفادات المتهمين أنفسهم والشهود. وفي هذه القضية، رأى قاضي المحكمة الابتدائية، بعد فحص الأدلة، أن إفادات الشهود تفوق الأدلةَ المستندية من حيث القيمة. وي</w:t>
      </w:r>
      <w:r w:rsidR="003827C9" w:rsidRPr="003827C9">
        <w:rPr>
          <w:rFonts w:hint="cs"/>
          <w:rtl/>
        </w:rPr>
        <w:t>ر</w:t>
      </w:r>
      <w:r w:rsidR="003827C9" w:rsidRPr="003827C9">
        <w:rPr>
          <w:rtl/>
        </w:rPr>
        <w:t>ى صاحب البلاغ أنه لا يمكن إغفال أنه من المعتاد ألا تتوافق مع الواقع بعض المعلومات المسجلة رسمياً في وثائق معينة. وقد أخذت المحكمة الابتدائية ذلك في الاعتبار، حيث رأت، بعد فحص الأدلة، أنه من الملائم اعتبار إفادات الشهود والمتهمين أكثر مصداقية مما يرد في بعض الوثائق. ويشير صاحب البلاغ إلى أن التقارير المشار إليها ليست مجرد أدلة مستندية، حيث تحققت منها المحكمة الابتدائية خلال جلسة الاستماع الشفوية، واس</w:t>
      </w:r>
      <w:r w:rsidR="003827C9" w:rsidRPr="003827C9">
        <w:rPr>
          <w:rFonts w:hint="cs"/>
          <w:rtl/>
        </w:rPr>
        <w:t>ت</w:t>
      </w:r>
      <w:r w:rsidR="003827C9" w:rsidRPr="003827C9">
        <w:rPr>
          <w:rtl/>
        </w:rPr>
        <w:t>جوبت معدِّيها، وقيمت إفاداتهم، ويدل بالتالي أخذ دائرة الاستئناف هذه التقارير في الاعتبار أيضاً على أنه جرى تقييم الأدلة ذات الطابع الشخصي، من دون الاستماع إلى مقدميها.</w:t>
      </w:r>
    </w:p>
    <w:p w14:paraId="452BCC22" w14:textId="77777777" w:rsidR="003827C9" w:rsidRPr="00990AFC" w:rsidRDefault="003827C9" w:rsidP="007A7AD0">
      <w:pPr>
        <w:pStyle w:val="H23GA"/>
        <w:rPr>
          <w:lang w:val="ar-SA" w:eastAsia="zh-TW" w:bidi="en-GB"/>
        </w:rPr>
      </w:pPr>
      <w:r w:rsidRPr="00990AFC">
        <w:rPr>
          <w:rtl/>
        </w:rPr>
        <w:tab/>
      </w:r>
      <w:r w:rsidRPr="00990AFC">
        <w:rPr>
          <w:rtl/>
        </w:rPr>
        <w:tab/>
        <w:t>المسائل والإجراءات المعروضة على اللجنة</w:t>
      </w:r>
    </w:p>
    <w:p w14:paraId="3C430B7E" w14:textId="77777777" w:rsidR="003827C9" w:rsidRPr="00990AFC" w:rsidRDefault="003827C9" w:rsidP="007A7AD0">
      <w:pPr>
        <w:pStyle w:val="H4GA"/>
        <w:rPr>
          <w:lang w:val="ar-SA" w:eastAsia="zh-TW" w:bidi="en-GB"/>
        </w:rPr>
      </w:pPr>
      <w:r w:rsidRPr="00990AFC">
        <w:rPr>
          <w:rtl/>
        </w:rPr>
        <w:tab/>
      </w:r>
      <w:r w:rsidRPr="00990AFC">
        <w:rPr>
          <w:rtl/>
        </w:rPr>
        <w:tab/>
        <w:t xml:space="preserve">النظر في المقبولية </w:t>
      </w:r>
    </w:p>
    <w:p w14:paraId="731CC420" w14:textId="77777777" w:rsidR="003827C9" w:rsidRPr="003827C9" w:rsidRDefault="003827C9" w:rsidP="003827C9">
      <w:pPr>
        <w:pStyle w:val="SingleTxtGA"/>
        <w:rPr>
          <w:rFonts w:eastAsiaTheme="minorEastAsia"/>
          <w:lang w:val="ar-SA" w:eastAsia="zh-TW" w:bidi="en-GB"/>
        </w:rPr>
      </w:pPr>
      <w:r w:rsidRPr="00990AFC">
        <w:rPr>
          <w:rFonts w:eastAsiaTheme="minorEastAsia"/>
          <w:rtl/>
        </w:rPr>
        <w:t>8</w:t>
      </w:r>
      <w:r w:rsidRPr="003827C9">
        <w:rPr>
          <w:rFonts w:eastAsiaTheme="minorEastAsia"/>
          <w:rtl/>
        </w:rPr>
        <w:t>-</w:t>
      </w:r>
      <w:r w:rsidRPr="00990AFC">
        <w:rPr>
          <w:rFonts w:eastAsiaTheme="minorEastAsia"/>
          <w:rtl/>
        </w:rPr>
        <w:t>1</w:t>
      </w:r>
      <w:r w:rsidRPr="003827C9">
        <w:rPr>
          <w:rFonts w:eastAsiaTheme="minorEastAsia"/>
          <w:rtl/>
        </w:rPr>
        <w:tab/>
        <w:t xml:space="preserve">قبل النظر في أي ادعاء يرد في بلاغ ما، يتعين على اللجنة المعنية بحقوق الإنسان أن تقرر، وفقاً للمادة </w:t>
      </w:r>
      <w:r w:rsidRPr="00990AFC">
        <w:rPr>
          <w:rFonts w:eastAsiaTheme="minorEastAsia"/>
          <w:rtl/>
        </w:rPr>
        <w:t>97</w:t>
      </w:r>
      <w:r w:rsidRPr="003827C9">
        <w:rPr>
          <w:rFonts w:eastAsiaTheme="minorEastAsia"/>
          <w:rtl/>
        </w:rPr>
        <w:t xml:space="preserve"> من نظامها الداخلي، ما إذا كان البلاغ مقبولاً أم لا بموجب البروتوكول الاختياري.</w:t>
      </w:r>
    </w:p>
    <w:p w14:paraId="319CFA49" w14:textId="6F048552" w:rsidR="003827C9" w:rsidRPr="003827C9" w:rsidRDefault="003827C9" w:rsidP="003827C9">
      <w:pPr>
        <w:pStyle w:val="SingleTxtGA"/>
        <w:rPr>
          <w:rFonts w:eastAsiaTheme="minorEastAsia"/>
          <w:lang w:val="ar-SA" w:eastAsia="zh-TW" w:bidi="en-GB"/>
        </w:rPr>
      </w:pPr>
      <w:r w:rsidRPr="00990AFC">
        <w:rPr>
          <w:rFonts w:eastAsiaTheme="minorEastAsia"/>
          <w:rtl/>
        </w:rPr>
        <w:t>8</w:t>
      </w:r>
      <w:r w:rsidRPr="003827C9">
        <w:rPr>
          <w:rFonts w:eastAsiaTheme="minorEastAsia"/>
          <w:rtl/>
        </w:rPr>
        <w:t>-</w:t>
      </w:r>
      <w:r w:rsidRPr="00990AFC">
        <w:rPr>
          <w:rFonts w:eastAsiaTheme="minorEastAsia"/>
          <w:rtl/>
        </w:rPr>
        <w:t>2</w:t>
      </w:r>
      <w:r w:rsidRPr="003827C9">
        <w:rPr>
          <w:rFonts w:eastAsiaTheme="minorEastAsia"/>
          <w:rtl/>
        </w:rPr>
        <w:tab/>
        <w:t xml:space="preserve">وتلاحظ اللجنة أن صاحب البلاغ قدم دعوى بشأن الوقائع ذاتها إلى المحكمة الأوروبية لحقوق الإنسان، وتُذكر بأن إسبانيا، لدى تصديقها على البروتوكول الاختياري، أبدت تحفظاً تستثني فيه من </w:t>
      </w:r>
      <w:r w:rsidRPr="00340F0E">
        <w:rPr>
          <w:rFonts w:eastAsiaTheme="minorEastAsia"/>
          <w:spacing w:val="-2"/>
          <w:rtl/>
        </w:rPr>
        <w:t>اختصاص اللجنة المسائل التي جرى أو يجري النظر فيها في إطار إجراء آخر من إجراءات التحقيق الدولي</w:t>
      </w:r>
      <w:r w:rsidRPr="003827C9">
        <w:rPr>
          <w:rFonts w:eastAsiaTheme="minorEastAsia"/>
          <w:rtl/>
        </w:rPr>
        <w:t xml:space="preserve"> أو التسوية الدولية. بيد أن اللجنة تحيط علماً برفض المحكمة الأوروبية لحقوق الإنسان، التي انعقدت بقاضٍ واحد، هذه الدعوى في </w:t>
      </w:r>
      <w:r w:rsidRPr="00990AFC">
        <w:rPr>
          <w:rFonts w:eastAsiaTheme="minorEastAsia"/>
          <w:rtl/>
        </w:rPr>
        <w:t>18</w:t>
      </w:r>
      <w:r w:rsidRPr="003827C9">
        <w:rPr>
          <w:rFonts w:eastAsiaTheme="minorEastAsia"/>
          <w:rtl/>
        </w:rPr>
        <w:t xml:space="preserve"> أيلول/سبتمبر </w:t>
      </w:r>
      <w:r w:rsidRPr="00990AFC">
        <w:rPr>
          <w:rFonts w:eastAsiaTheme="minorEastAsia"/>
          <w:rtl/>
        </w:rPr>
        <w:t>2014</w:t>
      </w:r>
      <w:r w:rsidRPr="003827C9">
        <w:rPr>
          <w:rFonts w:eastAsiaTheme="minorEastAsia"/>
          <w:rtl/>
        </w:rPr>
        <w:t xml:space="preserve">، لعدم استيفائها شروط المقبولية المنصوص عليها في المادتين </w:t>
      </w:r>
      <w:r w:rsidRPr="00990AFC">
        <w:rPr>
          <w:rFonts w:eastAsiaTheme="minorEastAsia"/>
          <w:rtl/>
        </w:rPr>
        <w:t>34</w:t>
      </w:r>
      <w:r w:rsidRPr="003827C9">
        <w:rPr>
          <w:rFonts w:eastAsiaTheme="minorEastAsia"/>
          <w:rtl/>
        </w:rPr>
        <w:t xml:space="preserve"> و</w:t>
      </w:r>
      <w:r w:rsidRPr="00990AFC">
        <w:rPr>
          <w:rFonts w:eastAsiaTheme="minorEastAsia"/>
          <w:rtl/>
        </w:rPr>
        <w:t>35</w:t>
      </w:r>
      <w:r w:rsidRPr="003827C9">
        <w:rPr>
          <w:rFonts w:eastAsiaTheme="minorEastAsia"/>
          <w:rtl/>
        </w:rPr>
        <w:t xml:space="preserve"> من الاتفاقية الأوروبية لحقوق الإنسان، من دون تحديد سبب عدم المقبولية. </w:t>
      </w:r>
      <w:r w:rsidRPr="003827C9">
        <w:rPr>
          <w:rFonts w:eastAsiaTheme="minorEastAsia"/>
          <w:rtl/>
        </w:rPr>
        <w:lastRenderedPageBreak/>
        <w:t xml:space="preserve">وتلاحظ اللجنة أن المحكمة الأوروبية تشير ببساطة في قرارها إلى أن الدعوى لا تستوفي شروط </w:t>
      </w:r>
      <w:r w:rsidRPr="00340F0E">
        <w:rPr>
          <w:rFonts w:eastAsiaTheme="minorEastAsia"/>
          <w:spacing w:val="-2"/>
          <w:rtl/>
        </w:rPr>
        <w:t xml:space="preserve">المقبولية، ولا تقدم مزيداً من التوضيح في </w:t>
      </w:r>
      <w:r w:rsidRPr="00340F0E">
        <w:rPr>
          <w:rFonts w:eastAsiaTheme="minorEastAsia" w:hint="cs"/>
          <w:spacing w:val="-2"/>
          <w:rtl/>
        </w:rPr>
        <w:t xml:space="preserve">هذا </w:t>
      </w:r>
      <w:proofErr w:type="gramStart"/>
      <w:r w:rsidRPr="00340F0E">
        <w:rPr>
          <w:rFonts w:eastAsiaTheme="minorEastAsia"/>
          <w:spacing w:val="-2"/>
          <w:rtl/>
        </w:rPr>
        <w:t>الصدد</w:t>
      </w:r>
      <w:r w:rsidR="00620C46">
        <w:rPr>
          <w:rFonts w:eastAsiaTheme="minorEastAsia"/>
          <w:vertAlign w:val="superscript"/>
          <w:rtl/>
          <w:lang w:val="en-US"/>
        </w:rPr>
        <w:t>(</w:t>
      </w:r>
      <w:proofErr w:type="gramEnd"/>
      <w:r w:rsidR="00620C46" w:rsidRPr="00990AFC">
        <w:rPr>
          <w:rFonts w:eastAsiaTheme="minorEastAsia"/>
          <w:vertAlign w:val="superscript"/>
          <w:lang w:val="en-US"/>
        </w:rPr>
        <w:footnoteReference w:id="12"/>
      </w:r>
      <w:r w:rsidR="00620C46" w:rsidRPr="00620C46">
        <w:rPr>
          <w:rFonts w:eastAsiaTheme="minorEastAsia"/>
          <w:vertAlign w:val="superscript"/>
          <w:rtl/>
        </w:rPr>
        <w:t>)</w:t>
      </w:r>
      <w:r w:rsidR="00620C46" w:rsidRPr="00620C46">
        <w:rPr>
          <w:rFonts w:eastAsiaTheme="minorEastAsia"/>
          <w:rtl/>
        </w:rPr>
        <w:t xml:space="preserve">. </w:t>
      </w:r>
      <w:r w:rsidRPr="003827C9">
        <w:rPr>
          <w:rFonts w:eastAsiaTheme="minorEastAsia"/>
          <w:rtl/>
        </w:rPr>
        <w:t xml:space="preserve">وبالتالي، تخلص اللجنة إلى أنه لا يوجد ما يمنع قبول هذا البلاغ بموجب المادة </w:t>
      </w:r>
      <w:r w:rsidRPr="00990AFC">
        <w:rPr>
          <w:rFonts w:eastAsiaTheme="minorEastAsia"/>
          <w:rtl/>
        </w:rPr>
        <w:t>5</w:t>
      </w:r>
      <w:r w:rsidRPr="003827C9">
        <w:rPr>
          <w:rFonts w:eastAsiaTheme="minorEastAsia"/>
          <w:rtl/>
        </w:rPr>
        <w:t>(</w:t>
      </w:r>
      <w:r w:rsidRPr="00990AFC">
        <w:rPr>
          <w:rFonts w:eastAsiaTheme="minorEastAsia"/>
          <w:rtl/>
        </w:rPr>
        <w:t>2</w:t>
      </w:r>
      <w:r w:rsidRPr="003827C9">
        <w:rPr>
          <w:rFonts w:eastAsiaTheme="minorEastAsia"/>
          <w:rtl/>
        </w:rPr>
        <w:t>)(أ) من البروتوكول الاختياري.</w:t>
      </w:r>
    </w:p>
    <w:p w14:paraId="6E3A8354" w14:textId="4A8A7F30" w:rsidR="003827C9" w:rsidRPr="003827C9" w:rsidRDefault="003827C9" w:rsidP="003827C9">
      <w:pPr>
        <w:pStyle w:val="SingleTxtGA"/>
        <w:rPr>
          <w:rFonts w:eastAsiaTheme="minorEastAsia"/>
          <w:lang w:val="ar-SA" w:eastAsia="zh-TW" w:bidi="en-GB"/>
        </w:rPr>
      </w:pPr>
      <w:r w:rsidRPr="00990AFC">
        <w:rPr>
          <w:rFonts w:eastAsiaTheme="minorEastAsia"/>
          <w:rtl/>
        </w:rPr>
        <w:t>8</w:t>
      </w:r>
      <w:r w:rsidRPr="003827C9">
        <w:rPr>
          <w:rFonts w:eastAsiaTheme="minorEastAsia"/>
          <w:rtl/>
        </w:rPr>
        <w:t>-</w:t>
      </w:r>
      <w:r w:rsidRPr="00990AFC">
        <w:rPr>
          <w:rFonts w:eastAsiaTheme="minorEastAsia"/>
          <w:rtl/>
        </w:rPr>
        <w:t>3</w:t>
      </w:r>
      <w:r w:rsidRPr="003827C9">
        <w:rPr>
          <w:rFonts w:eastAsiaTheme="minorEastAsia"/>
          <w:rtl/>
        </w:rPr>
        <w:tab/>
        <w:t>كما تحيط اللجنة علماً بحجة الدولة الطرف أن صاحب البلاغ لم يستنفد سبل الانتصاف المحلية فيما يتعلق بالانتهاك المزعوم لحقه في التقاضي على درجتين بعدم منحه إمكانية الاحتجاج بهذا الحق لا</w:t>
      </w:r>
      <w:r w:rsidR="007A7AD0">
        <w:rPr>
          <w:rFonts w:eastAsiaTheme="minorEastAsia" w:hint="cs"/>
          <w:rtl/>
        </w:rPr>
        <w:t> </w:t>
      </w:r>
      <w:r w:rsidRPr="003827C9">
        <w:rPr>
          <w:rFonts w:eastAsiaTheme="minorEastAsia"/>
          <w:rtl/>
        </w:rPr>
        <w:t>أمام المحكمة العليا الإقليمية في مدريد من خلال الدعوى الاستثنائية لطلب إعلان بطلان الإجراءات ولا</w:t>
      </w:r>
      <w:r w:rsidR="007A7AD0">
        <w:rPr>
          <w:rFonts w:eastAsiaTheme="minorEastAsia" w:hint="cs"/>
          <w:rtl/>
        </w:rPr>
        <w:t> </w:t>
      </w:r>
      <w:r w:rsidRPr="003827C9">
        <w:rPr>
          <w:rFonts w:eastAsiaTheme="minorEastAsia"/>
          <w:rtl/>
        </w:rPr>
        <w:t xml:space="preserve">أمام المحكمة الدستورية من خلال دعوى الحماية القضائية الدستورية. وتذكر اللجنة باجتهاداتها التي مفادها أنه لا ينبغي استنفاد سوى سبل الانتصاف التي يوجد احتمال معقول بأن تتكلل </w:t>
      </w:r>
      <w:proofErr w:type="gramStart"/>
      <w:r w:rsidRPr="003827C9">
        <w:rPr>
          <w:rFonts w:eastAsiaTheme="minorEastAsia"/>
          <w:rtl/>
        </w:rPr>
        <w:t>بالنجاح</w:t>
      </w:r>
      <w:r w:rsidR="00620C46">
        <w:rPr>
          <w:rFonts w:eastAsiaTheme="minorEastAsia"/>
          <w:vertAlign w:val="superscript"/>
          <w:rtl/>
          <w:lang w:val="en-US"/>
        </w:rPr>
        <w:t>(</w:t>
      </w:r>
      <w:proofErr w:type="gramEnd"/>
      <w:r w:rsidR="00620C46" w:rsidRPr="00990AFC">
        <w:rPr>
          <w:rFonts w:eastAsiaTheme="minorEastAsia"/>
          <w:vertAlign w:val="superscript"/>
          <w:lang w:val="en-US"/>
        </w:rPr>
        <w:footnoteReference w:id="13"/>
      </w:r>
      <w:r w:rsidR="00620C46" w:rsidRPr="00620C46">
        <w:rPr>
          <w:rFonts w:eastAsiaTheme="minorEastAsia"/>
          <w:vertAlign w:val="superscript"/>
          <w:rtl/>
        </w:rPr>
        <w:t>)</w:t>
      </w:r>
      <w:r w:rsidR="00620C46" w:rsidRPr="00620C46">
        <w:rPr>
          <w:rFonts w:eastAsiaTheme="minorEastAsia"/>
          <w:rtl/>
        </w:rPr>
        <w:t xml:space="preserve">. </w:t>
      </w:r>
      <w:r w:rsidRPr="003827C9">
        <w:rPr>
          <w:rFonts w:eastAsiaTheme="minorEastAsia"/>
          <w:rtl/>
        </w:rPr>
        <w:t>وفي</w:t>
      </w:r>
      <w:r w:rsidR="007A7AD0">
        <w:rPr>
          <w:rFonts w:eastAsiaTheme="minorEastAsia" w:hint="cs"/>
          <w:rtl/>
        </w:rPr>
        <w:t> </w:t>
      </w:r>
      <w:r w:rsidRPr="003827C9">
        <w:rPr>
          <w:rFonts w:eastAsiaTheme="minorEastAsia"/>
          <w:rtl/>
        </w:rPr>
        <w:t xml:space="preserve">هذه القضية، تلاحظ اللجنة أنه، وفقاً للمادة </w:t>
      </w:r>
      <w:r w:rsidRPr="00990AFC">
        <w:rPr>
          <w:rFonts w:eastAsiaTheme="minorEastAsia"/>
          <w:rtl/>
        </w:rPr>
        <w:t>241</w:t>
      </w:r>
      <w:r w:rsidRPr="003827C9">
        <w:rPr>
          <w:rFonts w:eastAsiaTheme="minorEastAsia"/>
          <w:rtl/>
        </w:rPr>
        <w:t>(</w:t>
      </w:r>
      <w:r w:rsidR="00620C46" w:rsidRPr="00990AFC">
        <w:rPr>
          <w:rFonts w:eastAsiaTheme="minorEastAsia"/>
          <w:rtl/>
        </w:rPr>
        <w:t>1</w:t>
      </w:r>
      <w:r w:rsidR="00620C46" w:rsidRPr="00620C46">
        <w:rPr>
          <w:rFonts w:eastAsiaTheme="minorEastAsia"/>
          <w:rtl/>
        </w:rPr>
        <w:t xml:space="preserve">) </w:t>
      </w:r>
      <w:r w:rsidRPr="003827C9">
        <w:rPr>
          <w:rFonts w:eastAsiaTheme="minorEastAsia"/>
          <w:rtl/>
        </w:rPr>
        <w:t>من القانون الأساسي للسلطة القضائية</w:t>
      </w:r>
      <w:r w:rsidRPr="003827C9">
        <w:rPr>
          <w:rFonts w:eastAsiaTheme="minorEastAsia"/>
        </w:rPr>
        <w:t>:</w:t>
      </w:r>
      <w:r w:rsidRPr="003827C9">
        <w:rPr>
          <w:rFonts w:eastAsiaTheme="minorEastAsia"/>
          <w:rtl/>
        </w:rPr>
        <w:t xml:space="preserve"> </w:t>
      </w:r>
    </w:p>
    <w:p w14:paraId="55CD324A" w14:textId="77777777" w:rsidR="003827C9" w:rsidRPr="003827C9" w:rsidRDefault="003827C9" w:rsidP="007A7AD0">
      <w:pPr>
        <w:pStyle w:val="SingleTxtGA"/>
        <w:ind w:left="1928"/>
        <w:rPr>
          <w:rFonts w:eastAsiaTheme="minorEastAsia"/>
          <w:lang w:val="ar-SA" w:eastAsia="zh-TW" w:bidi="en-GB"/>
        </w:rPr>
      </w:pPr>
      <w:r w:rsidRPr="003827C9">
        <w:rPr>
          <w:rFonts w:eastAsiaTheme="minorEastAsia"/>
          <w:rtl/>
        </w:rPr>
        <w:tab/>
        <w:t>لا تُقبل عموماً دعاوى بطلان الإجراءات. غير أنه يجوز، استثنائياً، لمن لهم أو كان ينبغي أن تكون لهم صفة الطرف الشرعي</w:t>
      </w:r>
      <w:r w:rsidRPr="003827C9">
        <w:rPr>
          <w:rFonts w:eastAsiaTheme="minorEastAsia" w:hint="cs"/>
          <w:rtl/>
        </w:rPr>
        <w:t xml:space="preserve"> أن يطلبوا كتابة </w:t>
      </w:r>
      <w:r w:rsidRPr="003827C9">
        <w:rPr>
          <w:rFonts w:eastAsiaTheme="minorEastAsia"/>
          <w:rtl/>
        </w:rPr>
        <w:t xml:space="preserve">إعلان بطلان الإجراءات على أساس أي انتهاك لحق من الحقوق الأساسية الواردة في المادة </w:t>
      </w:r>
      <w:r w:rsidRPr="00990AFC">
        <w:rPr>
          <w:rFonts w:eastAsiaTheme="minorEastAsia"/>
          <w:rtl/>
        </w:rPr>
        <w:t>53</w:t>
      </w:r>
      <w:r w:rsidRPr="003827C9">
        <w:rPr>
          <w:rFonts w:eastAsiaTheme="minorEastAsia"/>
          <w:rtl/>
        </w:rPr>
        <w:t>-</w:t>
      </w:r>
      <w:r w:rsidRPr="00990AFC">
        <w:rPr>
          <w:rFonts w:eastAsiaTheme="minorEastAsia"/>
          <w:rtl/>
        </w:rPr>
        <w:t>2</w:t>
      </w:r>
      <w:r w:rsidRPr="003827C9">
        <w:rPr>
          <w:rFonts w:eastAsiaTheme="minorEastAsia"/>
          <w:rtl/>
        </w:rPr>
        <w:t xml:space="preserve"> من الدستور، ما لم تُتَح إمكانية الإبلاغ عن هذا الانتهاك قبل صدور القرار النهائي في القضية وما لم يكن هذا القرار قابلاً للطعن من خلال الإجراءات العادية أو الاستثنائية". </w:t>
      </w:r>
    </w:p>
    <w:p w14:paraId="6D2811CD" w14:textId="5D8581A4" w:rsidR="00620C46" w:rsidRPr="00620C46" w:rsidRDefault="007A7AD0" w:rsidP="003827C9">
      <w:pPr>
        <w:pStyle w:val="SingleTxtGA"/>
        <w:rPr>
          <w:rFonts w:eastAsiaTheme="minorEastAsia"/>
          <w:lang w:val="ar-SA" w:eastAsia="zh-TW" w:bidi="en-GB"/>
        </w:rPr>
      </w:pPr>
      <w:r>
        <w:rPr>
          <w:rFonts w:eastAsiaTheme="minorEastAsia"/>
          <w:rtl/>
        </w:rPr>
        <w:tab/>
      </w:r>
      <w:r w:rsidR="003827C9" w:rsidRPr="003827C9">
        <w:rPr>
          <w:rFonts w:eastAsiaTheme="minorEastAsia"/>
          <w:rtl/>
        </w:rPr>
        <w:t xml:space="preserve">وتلاحظ اللجنة أيضاً أنه، وفقاً للمادة </w:t>
      </w:r>
      <w:r w:rsidR="003827C9" w:rsidRPr="00990AFC">
        <w:rPr>
          <w:rFonts w:eastAsiaTheme="minorEastAsia"/>
          <w:rtl/>
        </w:rPr>
        <w:t>241</w:t>
      </w:r>
      <w:r w:rsidR="003827C9" w:rsidRPr="003827C9">
        <w:rPr>
          <w:rFonts w:eastAsiaTheme="minorEastAsia"/>
          <w:rtl/>
        </w:rPr>
        <w:t>(</w:t>
      </w:r>
      <w:r w:rsidR="00620C46" w:rsidRPr="00990AFC">
        <w:rPr>
          <w:rFonts w:eastAsiaTheme="minorEastAsia"/>
          <w:rtl/>
        </w:rPr>
        <w:t>2</w:t>
      </w:r>
      <w:r w:rsidR="00620C46" w:rsidRPr="00620C46">
        <w:rPr>
          <w:rFonts w:eastAsiaTheme="minorEastAsia"/>
          <w:rtl/>
        </w:rPr>
        <w:t xml:space="preserve">) </w:t>
      </w:r>
      <w:r w:rsidR="003827C9" w:rsidRPr="003827C9">
        <w:rPr>
          <w:rFonts w:eastAsiaTheme="minorEastAsia"/>
          <w:rtl/>
        </w:rPr>
        <w:t>من هذا القانون، "في حالة قبول دعوى البطلان، تُعاد الإجراءات من المرحلة السابقة مباشرة ل</w:t>
      </w:r>
      <w:r w:rsidR="003827C9" w:rsidRPr="003827C9">
        <w:rPr>
          <w:rFonts w:eastAsiaTheme="minorEastAsia" w:hint="cs"/>
          <w:rtl/>
        </w:rPr>
        <w:t>تلك التي وقع فيها ا</w:t>
      </w:r>
      <w:r w:rsidR="003827C9" w:rsidRPr="003827C9">
        <w:rPr>
          <w:rFonts w:eastAsiaTheme="minorEastAsia"/>
          <w:rtl/>
        </w:rPr>
        <w:t>لعيب الذي دفع إلى تقديم هذه الدعوى، ويُتبع الإجراء المنصوص عليه قانوناً</w:t>
      </w:r>
      <w:r w:rsidR="003827C9" w:rsidRPr="003827C9">
        <w:rPr>
          <w:rFonts w:eastAsiaTheme="minorEastAsia" w:hint="cs"/>
          <w:rtl/>
        </w:rPr>
        <w:t xml:space="preserve"> لهذا الغرض</w:t>
      </w:r>
      <w:r w:rsidR="003827C9" w:rsidRPr="003827C9">
        <w:rPr>
          <w:rFonts w:eastAsiaTheme="minorEastAsia"/>
          <w:rtl/>
        </w:rPr>
        <w:t xml:space="preserve">". وتحيط اللجنة علماً بالطابع الاستثنائي والمحدود لدعوى بطلان الإجراءات، وترى أيضاً أن هذا السبيل من سبل الانتصاف </w:t>
      </w:r>
      <w:r w:rsidR="003827C9" w:rsidRPr="003827C9">
        <w:rPr>
          <w:rFonts w:eastAsiaTheme="minorEastAsia" w:hint="cs"/>
          <w:rtl/>
        </w:rPr>
        <w:t>ما</w:t>
      </w:r>
      <w:r w:rsidR="003827C9" w:rsidRPr="003827C9">
        <w:rPr>
          <w:rFonts w:eastAsiaTheme="minorEastAsia"/>
          <w:rtl/>
        </w:rPr>
        <w:t xml:space="preserve"> كان ليتيح إمكانية مراجعة محكمة أعلى درجة </w:t>
      </w:r>
      <w:r w:rsidR="003827C9" w:rsidRPr="003827C9">
        <w:rPr>
          <w:rFonts w:eastAsiaTheme="minorEastAsia" w:hint="cs"/>
          <w:rtl/>
        </w:rPr>
        <w:t>ا</w:t>
      </w:r>
      <w:r w:rsidR="003827C9" w:rsidRPr="003827C9">
        <w:rPr>
          <w:rFonts w:eastAsiaTheme="minorEastAsia"/>
          <w:rtl/>
        </w:rPr>
        <w:t xml:space="preserve">لحكم الصادر عن </w:t>
      </w:r>
      <w:r w:rsidR="003827C9" w:rsidRPr="003827C9">
        <w:rPr>
          <w:rFonts w:eastAsiaTheme="minorEastAsia" w:hint="cs"/>
          <w:rtl/>
        </w:rPr>
        <w:t>ال</w:t>
      </w:r>
      <w:r w:rsidR="003827C9" w:rsidRPr="003827C9">
        <w:rPr>
          <w:rFonts w:eastAsiaTheme="minorEastAsia"/>
          <w:rtl/>
        </w:rPr>
        <w:t>محكمة العليا الإقليمية في مدريد. وفي هذا الصدد، تلاحظ اللجنة أن القانون الوطني وموقف المحكمة الدستورية الثابت - الذي أعادت تأكيده في قرارات رفض دعاوى الحماية القضائية الدستورية - كانا، على حد سواء، واضحين فيما يتعلق بعدم إعادة النظر في أحكام الإدانة الصادرة عن محكمة الاستئناف. ولذلك، لم يكن ثمة أي احتمال بأن تتكلل بالنجا</w:t>
      </w:r>
      <w:r w:rsidR="003827C9" w:rsidRPr="003827C9">
        <w:rPr>
          <w:rFonts w:eastAsiaTheme="minorEastAsia" w:hint="cs"/>
          <w:rtl/>
        </w:rPr>
        <w:t>ح</w:t>
      </w:r>
      <w:r w:rsidR="003827C9" w:rsidRPr="003827C9">
        <w:rPr>
          <w:rFonts w:eastAsiaTheme="minorEastAsia"/>
          <w:rtl/>
        </w:rPr>
        <w:t xml:space="preserve"> لا دعوى بطلان الإجراءات ولا دعوى الحماية القضائية الدستورية، وهما بالتالي سبيلَا انتصاف غير فعالين في ظل ملابسات هذه </w:t>
      </w:r>
      <w:proofErr w:type="gramStart"/>
      <w:r w:rsidR="003827C9" w:rsidRPr="003827C9">
        <w:rPr>
          <w:rFonts w:eastAsiaTheme="minorEastAsia"/>
          <w:rtl/>
        </w:rPr>
        <w:t>القضية</w:t>
      </w:r>
      <w:r w:rsidR="00620C46">
        <w:rPr>
          <w:rFonts w:eastAsiaTheme="minorEastAsia"/>
          <w:vertAlign w:val="superscript"/>
          <w:rtl/>
          <w:lang w:val="en-US"/>
        </w:rPr>
        <w:t>(</w:t>
      </w:r>
      <w:proofErr w:type="gramEnd"/>
      <w:r w:rsidR="00620C46" w:rsidRPr="00990AFC">
        <w:rPr>
          <w:rFonts w:eastAsiaTheme="minorEastAsia"/>
          <w:vertAlign w:val="superscript"/>
          <w:lang w:val="en-US"/>
        </w:rPr>
        <w:footnoteReference w:id="14"/>
      </w:r>
      <w:r w:rsidR="00620C46" w:rsidRPr="00620C46">
        <w:rPr>
          <w:rFonts w:eastAsiaTheme="minorEastAsia"/>
          <w:vertAlign w:val="superscript"/>
          <w:rtl/>
        </w:rPr>
        <w:t>)</w:t>
      </w:r>
      <w:r w:rsidR="00620C46" w:rsidRPr="00620C46">
        <w:rPr>
          <w:rFonts w:eastAsiaTheme="minorEastAsia"/>
          <w:rtl/>
        </w:rPr>
        <w:t xml:space="preserve">. </w:t>
      </w:r>
      <w:r w:rsidR="003827C9" w:rsidRPr="003827C9">
        <w:rPr>
          <w:rFonts w:eastAsiaTheme="minorEastAsia"/>
          <w:rtl/>
        </w:rPr>
        <w:t xml:space="preserve">وبناء عليه، ترى اللجنة أن سبل الانتصاف المحلية قد استنفدت فيما يتعلق بالادعاءات في إطار المادة </w:t>
      </w:r>
      <w:r w:rsidR="003827C9" w:rsidRPr="00990AFC">
        <w:rPr>
          <w:rFonts w:eastAsiaTheme="minorEastAsia"/>
          <w:rtl/>
        </w:rPr>
        <w:t>14</w:t>
      </w:r>
      <w:r w:rsidR="003827C9" w:rsidRPr="003827C9">
        <w:rPr>
          <w:rFonts w:eastAsiaTheme="minorEastAsia"/>
          <w:rtl/>
        </w:rPr>
        <w:t>(</w:t>
      </w:r>
      <w:r w:rsidR="00620C46" w:rsidRPr="00990AFC">
        <w:rPr>
          <w:rFonts w:eastAsiaTheme="minorEastAsia"/>
          <w:rtl/>
        </w:rPr>
        <w:t>5</w:t>
      </w:r>
      <w:r w:rsidR="00620C46" w:rsidRPr="00620C46">
        <w:rPr>
          <w:rFonts w:eastAsiaTheme="minorEastAsia"/>
          <w:rtl/>
        </w:rPr>
        <w:t>).</w:t>
      </w:r>
    </w:p>
    <w:p w14:paraId="29BD85AD" w14:textId="23074674" w:rsidR="003827C9" w:rsidRPr="003827C9" w:rsidRDefault="003827C9" w:rsidP="003827C9">
      <w:pPr>
        <w:pStyle w:val="SingleTxtGA"/>
        <w:rPr>
          <w:rFonts w:eastAsiaTheme="minorEastAsia"/>
          <w:lang w:val="ar-SA" w:eastAsia="zh-TW" w:bidi="en-GB"/>
        </w:rPr>
      </w:pPr>
      <w:r w:rsidRPr="00990AFC">
        <w:rPr>
          <w:rFonts w:eastAsiaTheme="minorEastAsia"/>
          <w:rtl/>
        </w:rPr>
        <w:t>8</w:t>
      </w:r>
      <w:r w:rsidRPr="003827C9">
        <w:rPr>
          <w:rFonts w:eastAsiaTheme="minorEastAsia"/>
          <w:rtl/>
        </w:rPr>
        <w:t>-</w:t>
      </w:r>
      <w:r w:rsidRPr="00990AFC">
        <w:rPr>
          <w:rFonts w:eastAsiaTheme="minorEastAsia"/>
          <w:rtl/>
        </w:rPr>
        <w:t>4</w:t>
      </w:r>
      <w:r w:rsidRPr="003827C9">
        <w:rPr>
          <w:rFonts w:eastAsiaTheme="minorEastAsia"/>
          <w:rtl/>
        </w:rPr>
        <w:tab/>
      </w:r>
      <w:r w:rsidRPr="00340F0E">
        <w:rPr>
          <w:rFonts w:eastAsiaTheme="minorEastAsia"/>
          <w:spacing w:val="-2"/>
          <w:rtl/>
        </w:rPr>
        <w:t xml:space="preserve">وتحيط اللجنة علماً بحجة الدولة الطرف أن صاحب البلاغ لم يستنفد سبل الانتصاف المحلية فيما يتعلق بالانتهاكات المزعومة الأخرى للمادة </w:t>
      </w:r>
      <w:r w:rsidRPr="00990AFC">
        <w:rPr>
          <w:rFonts w:eastAsiaTheme="minorEastAsia"/>
          <w:spacing w:val="-2"/>
          <w:rtl/>
        </w:rPr>
        <w:t>14</w:t>
      </w:r>
      <w:r w:rsidRPr="00340F0E">
        <w:rPr>
          <w:rFonts w:eastAsiaTheme="minorEastAsia"/>
          <w:spacing w:val="-2"/>
          <w:rtl/>
        </w:rPr>
        <w:t>، لأنه لم يُثر خلال جلسة الاستماع المعقودة في مرحلة الاستئناف أمام المحكمة العليا الإقليمية مسألة ضرورة إ</w:t>
      </w:r>
      <w:r w:rsidRPr="00340F0E">
        <w:rPr>
          <w:rFonts w:eastAsiaTheme="minorEastAsia" w:hint="cs"/>
          <w:spacing w:val="-2"/>
          <w:rtl/>
        </w:rPr>
        <w:t>ع</w:t>
      </w:r>
      <w:r w:rsidRPr="00340F0E">
        <w:rPr>
          <w:rFonts w:eastAsiaTheme="minorEastAsia"/>
          <w:spacing w:val="-2"/>
          <w:rtl/>
        </w:rPr>
        <w:t xml:space="preserve">ادة </w:t>
      </w:r>
      <w:r w:rsidRPr="00340F0E">
        <w:rPr>
          <w:rFonts w:eastAsiaTheme="minorEastAsia" w:hint="cs"/>
          <w:spacing w:val="-2"/>
          <w:rtl/>
        </w:rPr>
        <w:t xml:space="preserve">تقديم </w:t>
      </w:r>
      <w:r w:rsidRPr="00340F0E">
        <w:rPr>
          <w:rFonts w:eastAsiaTheme="minorEastAsia"/>
          <w:spacing w:val="-2"/>
          <w:rtl/>
        </w:rPr>
        <w:t>الأدلة الشخصية، وأنه كان عليه استنفاد سبل الانتصاف المحلية بغض النظر عن رأيه في جدواها. كما تحيط اللجنة علماً بحجة الدولة الطرف أن</w:t>
      </w:r>
      <w:r w:rsidR="00340F0E">
        <w:rPr>
          <w:rFonts w:eastAsiaTheme="minorEastAsia" w:hint="cs"/>
          <w:spacing w:val="-2"/>
          <w:rtl/>
        </w:rPr>
        <w:t> </w:t>
      </w:r>
      <w:r w:rsidRPr="00340F0E">
        <w:rPr>
          <w:rFonts w:eastAsiaTheme="minorEastAsia"/>
          <w:spacing w:val="-2"/>
          <w:rtl/>
        </w:rPr>
        <w:t>دعوى البطلان قُدمت خارج الأجل المحدد. وفي هذا الصدد، تحيط اللجنة علماً بحجة صاحب البلاغ أنه لم يتسن له، إلا بعد صدور حكم المحكمة العليا الإقليمية، التحقق من أنه جرى تقييم الأدلة الشخصية، وأنه قدَّم حينها الدعوى الاستثنائية لطلب إعلان بطلان الإجراءات. وتلاحظ اللجنة أنه لم يُتَح</w:t>
      </w:r>
      <w:r w:rsidRPr="003827C9">
        <w:rPr>
          <w:rFonts w:eastAsiaTheme="minorEastAsia"/>
          <w:rtl/>
        </w:rPr>
        <w:t xml:space="preserve"> لصاحب البلاغ </w:t>
      </w:r>
      <w:r w:rsidRPr="003827C9">
        <w:rPr>
          <w:rFonts w:eastAsiaTheme="minorEastAsia"/>
          <w:rtl/>
        </w:rPr>
        <w:lastRenderedPageBreak/>
        <w:t xml:space="preserve">سوى هذا السبيل من سبل الانتصاف، وهو الوحيد المنصوص عليه في النظام المحلي، للطعن، بشكل محدود للغاية، في قرار الإدانة الصادر عن محكمة الاستئناف. وترى اللجنة كذلك أن الدولة الطرف لم تبين كيف كان بإمكان صاحب البلاغ إثارة الانتهاكات المزعومة للمادة </w:t>
      </w:r>
      <w:r w:rsidRPr="00990AFC">
        <w:rPr>
          <w:rFonts w:eastAsiaTheme="minorEastAsia"/>
          <w:rtl/>
        </w:rPr>
        <w:t>14</w:t>
      </w:r>
      <w:r w:rsidRPr="003827C9">
        <w:rPr>
          <w:rFonts w:eastAsiaTheme="minorEastAsia"/>
          <w:rtl/>
        </w:rPr>
        <w:t xml:space="preserve"> خلال المحاكمة الشفوية واحتمالات أن يتكلل ذلك بالنجاح. كما لم توضح الدولة الطرف إلى أي حد كان من شأن تقديم دعوى بطلان الإجراءات </w:t>
      </w:r>
      <w:r w:rsidRPr="003827C9">
        <w:rPr>
          <w:rFonts w:eastAsiaTheme="minorEastAsia" w:hint="cs"/>
          <w:rtl/>
        </w:rPr>
        <w:t>في الوقت المناسب</w:t>
      </w:r>
      <w:r w:rsidRPr="003827C9">
        <w:rPr>
          <w:rFonts w:eastAsiaTheme="minorEastAsia"/>
          <w:rtl/>
        </w:rPr>
        <w:t xml:space="preserve">، في ظل الملابسات الخاصة لهذه القضية، أن يشكل سبيل انتصاف فعالاً لحماية الحقوق المحتج بها أمام اللجنة. وبالتالي، ترى اللجنة أن سبل الانتصاف المحلية قد استنفدت فيما يتعلق بالادعاءات الأخرى في إطار المادة </w:t>
      </w:r>
      <w:r w:rsidRPr="00990AFC">
        <w:rPr>
          <w:rFonts w:eastAsiaTheme="minorEastAsia"/>
          <w:rtl/>
        </w:rPr>
        <w:t>14</w:t>
      </w:r>
      <w:r w:rsidRPr="003827C9">
        <w:rPr>
          <w:rFonts w:eastAsiaTheme="minorEastAsia"/>
          <w:rtl/>
        </w:rPr>
        <w:t xml:space="preserve"> من العهد. </w:t>
      </w:r>
    </w:p>
    <w:p w14:paraId="66BDFC90" w14:textId="2F14587A" w:rsidR="003827C9" w:rsidRPr="003827C9" w:rsidRDefault="003827C9" w:rsidP="003827C9">
      <w:pPr>
        <w:pStyle w:val="SingleTxtGA"/>
        <w:rPr>
          <w:rFonts w:eastAsiaTheme="minorEastAsia"/>
          <w:lang w:val="ar-SA" w:eastAsia="zh-TW" w:bidi="en-GB"/>
        </w:rPr>
      </w:pPr>
      <w:r w:rsidRPr="00990AFC">
        <w:rPr>
          <w:rFonts w:eastAsiaTheme="minorEastAsia"/>
          <w:rtl/>
        </w:rPr>
        <w:t>8</w:t>
      </w:r>
      <w:r w:rsidRPr="003827C9">
        <w:rPr>
          <w:rFonts w:eastAsiaTheme="minorEastAsia"/>
          <w:rtl/>
        </w:rPr>
        <w:t>-</w:t>
      </w:r>
      <w:r w:rsidRPr="00990AFC">
        <w:rPr>
          <w:rFonts w:eastAsiaTheme="minorEastAsia"/>
          <w:rtl/>
        </w:rPr>
        <w:t>5</w:t>
      </w:r>
      <w:r w:rsidRPr="003827C9">
        <w:rPr>
          <w:rFonts w:eastAsiaTheme="minorEastAsia"/>
          <w:rtl/>
        </w:rPr>
        <w:tab/>
        <w:t xml:space="preserve">وتحيط اللجنة علماً أيضاً بادعاء الدولة الطرف أن صاحب البلاغ لم يدعم بما يكفي من الأدلة ادعاءاته بشأن الانتهاكات الأخرى للمادة </w:t>
      </w:r>
      <w:r w:rsidRPr="00990AFC">
        <w:rPr>
          <w:rFonts w:eastAsiaTheme="minorEastAsia"/>
          <w:rtl/>
        </w:rPr>
        <w:t>14</w:t>
      </w:r>
      <w:r w:rsidRPr="003827C9">
        <w:rPr>
          <w:rFonts w:eastAsiaTheme="minorEastAsia"/>
          <w:rtl/>
        </w:rPr>
        <w:t xml:space="preserve"> فيما يتعلق بإدانته من قبل المحكمة العليا الإقليمية في مدريد، على نحو ما تقتضيه المادة </w:t>
      </w:r>
      <w:r w:rsidRPr="00990AFC">
        <w:rPr>
          <w:rFonts w:eastAsiaTheme="minorEastAsia"/>
          <w:rtl/>
        </w:rPr>
        <w:t>3</w:t>
      </w:r>
      <w:r w:rsidRPr="003827C9">
        <w:rPr>
          <w:rFonts w:eastAsiaTheme="minorEastAsia"/>
          <w:rtl/>
        </w:rPr>
        <w:t xml:space="preserve"> من البروتوكول الاختياري، وأنه يُستنتج من قراءة حكم هذه المحكمة الصادر في </w:t>
      </w:r>
      <w:r w:rsidRPr="00990AFC">
        <w:rPr>
          <w:rFonts w:eastAsiaTheme="minorEastAsia"/>
          <w:rtl/>
        </w:rPr>
        <w:t>30</w:t>
      </w:r>
      <w:r w:rsidRPr="003827C9">
        <w:rPr>
          <w:rFonts w:eastAsiaTheme="minorEastAsia"/>
          <w:rtl/>
        </w:rPr>
        <w:t xml:space="preserve"> نيسان/أبريل </w:t>
      </w:r>
      <w:r w:rsidRPr="00990AFC">
        <w:rPr>
          <w:rFonts w:eastAsiaTheme="minorEastAsia"/>
          <w:rtl/>
        </w:rPr>
        <w:t>2012</w:t>
      </w:r>
      <w:r w:rsidRPr="003827C9">
        <w:rPr>
          <w:rFonts w:eastAsiaTheme="minorEastAsia"/>
          <w:rtl/>
        </w:rPr>
        <w:t xml:space="preserve"> أنه لا ينطوي على أي تفسير تعسفي ولا يشكل إنكاراً للعدالة، وإنما استند في تعليله إلى الشروط الصارمة للنظر في طلب الاستئناف. وتُذكّر اللجنة بأن مسألة تقييم الوقائع والأدلة، وفقاً لاجتهاداتها الراسخة، تندرج من حيث المبدأ ضمن اختصاص المحاكم الوطنية، ما لم يكن هذا التقييم تعسفياً بشكل واضح أو بمثابة إنكار </w:t>
      </w:r>
      <w:proofErr w:type="gramStart"/>
      <w:r w:rsidRPr="003827C9">
        <w:rPr>
          <w:rFonts w:eastAsiaTheme="minorEastAsia"/>
          <w:rtl/>
        </w:rPr>
        <w:t>للعدالة</w:t>
      </w:r>
      <w:r w:rsidR="00620C46">
        <w:rPr>
          <w:rFonts w:eastAsiaTheme="minorEastAsia"/>
          <w:vertAlign w:val="superscript"/>
          <w:rtl/>
          <w:lang w:val="en-US"/>
        </w:rPr>
        <w:t>(</w:t>
      </w:r>
      <w:proofErr w:type="gramEnd"/>
      <w:r w:rsidR="00620C46" w:rsidRPr="00990AFC">
        <w:rPr>
          <w:rFonts w:eastAsiaTheme="minorEastAsia"/>
          <w:vertAlign w:val="superscript"/>
          <w:lang w:val="en-US"/>
        </w:rPr>
        <w:footnoteReference w:id="15"/>
      </w:r>
      <w:r w:rsidR="00620C46" w:rsidRPr="00620C46">
        <w:rPr>
          <w:rFonts w:eastAsiaTheme="minorEastAsia"/>
          <w:vertAlign w:val="superscript"/>
          <w:rtl/>
        </w:rPr>
        <w:t>)</w:t>
      </w:r>
      <w:r w:rsidR="00620C46" w:rsidRPr="00620C46">
        <w:rPr>
          <w:rFonts w:eastAsiaTheme="minorEastAsia"/>
          <w:rtl/>
        </w:rPr>
        <w:t xml:space="preserve">. </w:t>
      </w:r>
      <w:r w:rsidRPr="003827C9">
        <w:rPr>
          <w:rFonts w:eastAsiaTheme="minorEastAsia"/>
          <w:rtl/>
        </w:rPr>
        <w:t xml:space="preserve">وترى اللجنة أن المعلومات التي قدمها الطرفان طوال الإجراءات لا تسمح باستنتاج أن المحاكم الوطنية تصرفت بشكل تعسفي لدى تقييم الأدلة أو تفسير التشريعات الوطنية، ولا يحق للجنة بالتالي التدخل في هذا الصدد بعدما تحققت من تفاصيل الأسس التي استندت إليها هذه المحاكم ومن اتساق الحجج التي </w:t>
      </w:r>
      <w:proofErr w:type="gramStart"/>
      <w:r w:rsidRPr="003827C9">
        <w:rPr>
          <w:rFonts w:eastAsiaTheme="minorEastAsia"/>
          <w:rtl/>
        </w:rPr>
        <w:t>ساقتها</w:t>
      </w:r>
      <w:r w:rsidR="00620C46">
        <w:rPr>
          <w:rFonts w:eastAsiaTheme="minorEastAsia"/>
          <w:vertAlign w:val="superscript"/>
          <w:rtl/>
          <w:lang w:val="en-US"/>
        </w:rPr>
        <w:t>(</w:t>
      </w:r>
      <w:proofErr w:type="gramEnd"/>
      <w:r w:rsidR="00620C46" w:rsidRPr="00990AFC">
        <w:rPr>
          <w:rFonts w:eastAsiaTheme="minorEastAsia"/>
          <w:vertAlign w:val="superscript"/>
          <w:lang w:val="en-US"/>
        </w:rPr>
        <w:footnoteReference w:id="16"/>
      </w:r>
      <w:r w:rsidR="00620C46" w:rsidRPr="00620C46">
        <w:rPr>
          <w:rFonts w:eastAsiaTheme="minorEastAsia"/>
          <w:vertAlign w:val="superscript"/>
          <w:rtl/>
        </w:rPr>
        <w:t>)</w:t>
      </w:r>
      <w:r w:rsidR="00620C46" w:rsidRPr="00620C46">
        <w:rPr>
          <w:rFonts w:eastAsiaTheme="minorEastAsia"/>
          <w:rtl/>
        </w:rPr>
        <w:t xml:space="preserve">. </w:t>
      </w:r>
      <w:r w:rsidRPr="003827C9">
        <w:rPr>
          <w:rFonts w:eastAsiaTheme="minorEastAsia"/>
          <w:rtl/>
        </w:rPr>
        <w:t xml:space="preserve">وفي ضوء ما تقدم، تخلص اللجنة إلى أن صاحب البلاغ لم يدعم بما يكفي من الأدلة ادعاءاته بشأن الانتهاكات الأخرى للمادة </w:t>
      </w:r>
      <w:r w:rsidRPr="00990AFC">
        <w:rPr>
          <w:rFonts w:eastAsiaTheme="minorEastAsia"/>
          <w:rtl/>
        </w:rPr>
        <w:t>14</w:t>
      </w:r>
      <w:r w:rsidRPr="003827C9">
        <w:rPr>
          <w:rFonts w:eastAsiaTheme="minorEastAsia"/>
          <w:rtl/>
        </w:rPr>
        <w:t xml:space="preserve"> وتعلن عدم مقبوليتها بموجب المادة </w:t>
      </w:r>
      <w:r w:rsidRPr="00990AFC">
        <w:rPr>
          <w:rFonts w:eastAsiaTheme="minorEastAsia"/>
          <w:rtl/>
        </w:rPr>
        <w:t>3</w:t>
      </w:r>
      <w:r w:rsidRPr="003827C9">
        <w:rPr>
          <w:rFonts w:eastAsiaTheme="minorEastAsia"/>
          <w:rtl/>
        </w:rPr>
        <w:t xml:space="preserve"> من العهد. </w:t>
      </w:r>
    </w:p>
    <w:p w14:paraId="218EFB6D" w14:textId="78F6FBBB" w:rsidR="003827C9" w:rsidRPr="003827C9" w:rsidRDefault="003827C9" w:rsidP="003827C9">
      <w:pPr>
        <w:pStyle w:val="SingleTxtGA"/>
        <w:rPr>
          <w:rFonts w:eastAsiaTheme="minorEastAsia"/>
          <w:lang w:val="ar-SA" w:eastAsia="zh-TW" w:bidi="en-GB"/>
        </w:rPr>
      </w:pPr>
      <w:r w:rsidRPr="00990AFC">
        <w:rPr>
          <w:rFonts w:eastAsiaTheme="minorEastAsia"/>
          <w:rtl/>
        </w:rPr>
        <w:t>8</w:t>
      </w:r>
      <w:r w:rsidRPr="003827C9">
        <w:rPr>
          <w:rFonts w:eastAsiaTheme="minorEastAsia"/>
          <w:rtl/>
        </w:rPr>
        <w:t>-</w:t>
      </w:r>
      <w:r w:rsidRPr="00990AFC">
        <w:rPr>
          <w:rFonts w:eastAsiaTheme="minorEastAsia"/>
          <w:rtl/>
        </w:rPr>
        <w:t>6</w:t>
      </w:r>
      <w:r w:rsidRPr="003827C9">
        <w:rPr>
          <w:rFonts w:eastAsiaTheme="minorEastAsia"/>
          <w:rtl/>
        </w:rPr>
        <w:tab/>
        <w:t xml:space="preserve">وترى اللجنة أن صاحب البلاغ دعم بما يكفي من الأدلة ادعاءاته في إطار المادة </w:t>
      </w:r>
      <w:r w:rsidRPr="00990AFC">
        <w:rPr>
          <w:rFonts w:eastAsiaTheme="minorEastAsia"/>
          <w:rtl/>
        </w:rPr>
        <w:t>14</w:t>
      </w:r>
      <w:r w:rsidRPr="003827C9">
        <w:rPr>
          <w:rFonts w:eastAsiaTheme="minorEastAsia"/>
          <w:rtl/>
        </w:rPr>
        <w:t>(</w:t>
      </w:r>
      <w:r w:rsidRPr="00990AFC">
        <w:rPr>
          <w:rFonts w:eastAsiaTheme="minorEastAsia"/>
          <w:rtl/>
        </w:rPr>
        <w:t>5</w:t>
      </w:r>
      <w:r w:rsidR="00620C46" w:rsidRPr="00620C46">
        <w:rPr>
          <w:rFonts w:eastAsiaTheme="minorEastAsia"/>
          <w:rtl/>
        </w:rPr>
        <w:t xml:space="preserve">)، </w:t>
      </w:r>
      <w:r w:rsidRPr="003827C9">
        <w:rPr>
          <w:rFonts w:eastAsiaTheme="minorEastAsia"/>
          <w:rtl/>
        </w:rPr>
        <w:t>وأن هذه الادعاءات تستوفي الشروط الأخرى للمقبولية، وتشرع في النظر فيها من حيث الأسس الموضوعية.</w:t>
      </w:r>
    </w:p>
    <w:p w14:paraId="055059A5" w14:textId="77777777" w:rsidR="003827C9" w:rsidRPr="00990AFC" w:rsidRDefault="003827C9" w:rsidP="007A7AD0">
      <w:pPr>
        <w:pStyle w:val="H4GA"/>
        <w:rPr>
          <w:lang w:val="ar-SA" w:eastAsia="zh-TW" w:bidi="en-GB"/>
        </w:rPr>
      </w:pPr>
      <w:r w:rsidRPr="00990AFC">
        <w:rPr>
          <w:rtl/>
        </w:rPr>
        <w:tab/>
      </w:r>
      <w:r w:rsidRPr="00990AFC">
        <w:rPr>
          <w:rtl/>
        </w:rPr>
        <w:tab/>
        <w:t>النظر في الأسس الموضوعية</w:t>
      </w:r>
    </w:p>
    <w:p w14:paraId="768BC8A2" w14:textId="6F9D3B33" w:rsidR="003827C9" w:rsidRPr="003827C9" w:rsidRDefault="003827C9" w:rsidP="003827C9">
      <w:pPr>
        <w:pStyle w:val="SingleTxtGA"/>
        <w:rPr>
          <w:rFonts w:eastAsiaTheme="minorEastAsia"/>
          <w:lang w:val="ar-SA" w:eastAsia="zh-TW" w:bidi="en-GB"/>
        </w:rPr>
      </w:pPr>
      <w:r w:rsidRPr="00990AFC">
        <w:rPr>
          <w:rFonts w:eastAsiaTheme="minorEastAsia"/>
          <w:rtl/>
        </w:rPr>
        <w:t>9</w:t>
      </w:r>
      <w:r w:rsidRPr="003827C9">
        <w:rPr>
          <w:rFonts w:eastAsiaTheme="minorEastAsia"/>
          <w:rtl/>
        </w:rPr>
        <w:t>-</w:t>
      </w:r>
      <w:r w:rsidRPr="00990AFC">
        <w:rPr>
          <w:rFonts w:eastAsiaTheme="minorEastAsia"/>
          <w:rtl/>
        </w:rPr>
        <w:t>1</w:t>
      </w:r>
      <w:r w:rsidRPr="003827C9">
        <w:rPr>
          <w:rFonts w:eastAsiaTheme="minorEastAsia"/>
          <w:rtl/>
        </w:rPr>
        <w:tab/>
        <w:t xml:space="preserve">نظرت اللجنة في هذا البلاغ في ضوء جميع المعلومات التي أتاحها لها الطرفان، وفقاً لأحكام المادة </w:t>
      </w:r>
      <w:r w:rsidRPr="00990AFC">
        <w:rPr>
          <w:rFonts w:eastAsiaTheme="minorEastAsia"/>
          <w:rtl/>
        </w:rPr>
        <w:t>5</w:t>
      </w:r>
      <w:r w:rsidRPr="003827C9">
        <w:rPr>
          <w:rFonts w:eastAsiaTheme="minorEastAsia"/>
          <w:rtl/>
        </w:rPr>
        <w:t>(</w:t>
      </w:r>
      <w:r w:rsidR="00620C46" w:rsidRPr="00990AFC">
        <w:rPr>
          <w:rFonts w:eastAsiaTheme="minorEastAsia"/>
          <w:rtl/>
        </w:rPr>
        <w:t>1</w:t>
      </w:r>
      <w:r w:rsidR="00620C46" w:rsidRPr="00620C46">
        <w:rPr>
          <w:rFonts w:eastAsiaTheme="minorEastAsia"/>
          <w:rtl/>
        </w:rPr>
        <w:t xml:space="preserve">) </w:t>
      </w:r>
      <w:r w:rsidRPr="003827C9">
        <w:rPr>
          <w:rFonts w:eastAsiaTheme="minorEastAsia"/>
          <w:rtl/>
        </w:rPr>
        <w:t>من البروتوكول الاختياري.</w:t>
      </w:r>
    </w:p>
    <w:p w14:paraId="6B9CE9CE" w14:textId="0E0D114E" w:rsidR="003827C9" w:rsidRPr="003827C9" w:rsidRDefault="003827C9" w:rsidP="003827C9">
      <w:pPr>
        <w:pStyle w:val="SingleTxtGA"/>
        <w:rPr>
          <w:rFonts w:eastAsiaTheme="minorEastAsia"/>
          <w:lang w:val="ar-SA" w:eastAsia="zh-TW" w:bidi="en-GB"/>
        </w:rPr>
      </w:pPr>
      <w:r w:rsidRPr="00990AFC">
        <w:rPr>
          <w:rFonts w:eastAsiaTheme="minorEastAsia"/>
          <w:rtl/>
        </w:rPr>
        <w:t>9</w:t>
      </w:r>
      <w:r w:rsidRPr="003827C9">
        <w:rPr>
          <w:rFonts w:eastAsiaTheme="minorEastAsia"/>
          <w:rtl/>
        </w:rPr>
        <w:t>-</w:t>
      </w:r>
      <w:r w:rsidRPr="00990AFC">
        <w:rPr>
          <w:rFonts w:eastAsiaTheme="minorEastAsia"/>
          <w:rtl/>
        </w:rPr>
        <w:t>2</w:t>
      </w:r>
      <w:r w:rsidRPr="003827C9">
        <w:rPr>
          <w:rFonts w:eastAsiaTheme="minorEastAsia"/>
          <w:rtl/>
        </w:rPr>
        <w:tab/>
        <w:t xml:space="preserve">ويدعي صاحب البلاغ وقوع انتهاك لحقه المكفول بموجب المادة </w:t>
      </w:r>
      <w:r w:rsidRPr="00990AFC">
        <w:rPr>
          <w:rFonts w:eastAsiaTheme="minorEastAsia"/>
          <w:rtl/>
        </w:rPr>
        <w:t>14</w:t>
      </w:r>
      <w:r w:rsidRPr="003827C9">
        <w:rPr>
          <w:rFonts w:eastAsiaTheme="minorEastAsia"/>
          <w:rtl/>
        </w:rPr>
        <w:t>(</w:t>
      </w:r>
      <w:r w:rsidR="00620C46" w:rsidRPr="00990AFC">
        <w:rPr>
          <w:rFonts w:eastAsiaTheme="minorEastAsia"/>
          <w:rtl/>
        </w:rPr>
        <w:t>5</w:t>
      </w:r>
      <w:r w:rsidR="00620C46" w:rsidRPr="00620C46">
        <w:rPr>
          <w:rFonts w:eastAsiaTheme="minorEastAsia"/>
          <w:rtl/>
        </w:rPr>
        <w:t xml:space="preserve">) </w:t>
      </w:r>
      <w:r w:rsidRPr="003827C9">
        <w:rPr>
          <w:rFonts w:eastAsiaTheme="minorEastAsia"/>
          <w:rtl/>
        </w:rPr>
        <w:t xml:space="preserve">من العهد في أن تعيد محكمة أعلى درجة النظر في العقوبة الصادرة في حقه، لعدم وجود آلية فعالة تتيح له إمكانية استئناف حكم الإدانة الصادر في حقه في </w:t>
      </w:r>
      <w:r w:rsidRPr="00990AFC">
        <w:rPr>
          <w:rFonts w:eastAsiaTheme="minorEastAsia"/>
          <w:rtl/>
        </w:rPr>
        <w:t>30</w:t>
      </w:r>
      <w:r w:rsidRPr="003827C9">
        <w:rPr>
          <w:rFonts w:eastAsiaTheme="minorEastAsia"/>
          <w:rtl/>
        </w:rPr>
        <w:t xml:space="preserve"> نيسان/أبريل </w:t>
      </w:r>
      <w:r w:rsidRPr="00990AFC">
        <w:rPr>
          <w:rFonts w:eastAsiaTheme="minorEastAsia"/>
          <w:rtl/>
        </w:rPr>
        <w:t>2012</w:t>
      </w:r>
      <w:r w:rsidRPr="003827C9">
        <w:rPr>
          <w:rFonts w:eastAsiaTheme="minorEastAsia"/>
          <w:rtl/>
        </w:rPr>
        <w:t xml:space="preserve"> عن الدائرة الأولى بالمحكمة العليا الإقليمية في مدريد، وإمكانية طلب أن تعيد محكمة أعلى درجة النظر في حكم الإدانة والعقوبة المقررة. ويدعي صاحب البلاغ أن هذا القرار غير قابل للاستئناف وأنه لا يوجد في الدولة الطرف أي سبيل انتصاف فعال لطلب إعادة النظر في حكم الإدانة الصادر عن محكمة الاستئناف، في ظل ملابسات قضيته. ويدعي أن الدعوى الاستثنائية لطلب إعلان بطلان الإجراءات محدودة الفعالية. وفي هذا الصدد، تلاحظ اللجنة أن </w:t>
      </w:r>
      <w:r w:rsidRPr="003827C9">
        <w:rPr>
          <w:rFonts w:eastAsiaTheme="minorEastAsia"/>
          <w:rtl/>
        </w:rPr>
        <w:lastRenderedPageBreak/>
        <w:t xml:space="preserve">الدولة الطرف لم توضح كيف كان من شأن هذه الدعوى، حتى لو قُدمت في الوقت المناسب، أن تتيح إمكانية إعادة محكمة أخرى أعلى درجة النظر في الحكم الصادر في حق صاحب البلاغ. </w:t>
      </w:r>
    </w:p>
    <w:p w14:paraId="7DC286E2" w14:textId="1077F16E" w:rsidR="003827C9" w:rsidRPr="003827C9" w:rsidRDefault="003827C9" w:rsidP="003827C9">
      <w:pPr>
        <w:pStyle w:val="SingleTxtGA"/>
        <w:rPr>
          <w:rFonts w:eastAsiaTheme="minorEastAsia"/>
          <w:lang w:val="ar-SA" w:eastAsia="zh-TW" w:bidi="en-GB"/>
        </w:rPr>
      </w:pPr>
      <w:r w:rsidRPr="00990AFC">
        <w:rPr>
          <w:rFonts w:eastAsiaTheme="minorEastAsia"/>
          <w:rtl/>
        </w:rPr>
        <w:t>9</w:t>
      </w:r>
      <w:r w:rsidRPr="003827C9">
        <w:rPr>
          <w:rFonts w:eastAsiaTheme="minorEastAsia"/>
          <w:rtl/>
        </w:rPr>
        <w:t>-</w:t>
      </w:r>
      <w:r w:rsidRPr="00990AFC">
        <w:rPr>
          <w:rFonts w:eastAsiaTheme="minorEastAsia"/>
          <w:rtl/>
        </w:rPr>
        <w:t>3</w:t>
      </w:r>
      <w:r w:rsidRPr="003827C9">
        <w:rPr>
          <w:rFonts w:eastAsiaTheme="minorEastAsia"/>
          <w:rtl/>
        </w:rPr>
        <w:tab/>
        <w:t xml:space="preserve">وتذكر اللجنة بأن المادة </w:t>
      </w:r>
      <w:r w:rsidRPr="00990AFC">
        <w:rPr>
          <w:rFonts w:eastAsiaTheme="minorEastAsia"/>
          <w:rtl/>
        </w:rPr>
        <w:t>14</w:t>
      </w:r>
      <w:r w:rsidRPr="003827C9">
        <w:rPr>
          <w:rFonts w:eastAsiaTheme="minorEastAsia"/>
          <w:rtl/>
        </w:rPr>
        <w:t>(</w:t>
      </w:r>
      <w:r w:rsidR="00620C46" w:rsidRPr="00990AFC">
        <w:rPr>
          <w:rFonts w:eastAsiaTheme="minorEastAsia"/>
          <w:rtl/>
        </w:rPr>
        <w:t>5</w:t>
      </w:r>
      <w:r w:rsidR="00620C46" w:rsidRPr="00620C46">
        <w:rPr>
          <w:rFonts w:eastAsiaTheme="minorEastAsia"/>
          <w:rtl/>
        </w:rPr>
        <w:t xml:space="preserve">) </w:t>
      </w:r>
      <w:r w:rsidRPr="003827C9">
        <w:rPr>
          <w:rFonts w:eastAsiaTheme="minorEastAsia"/>
          <w:rtl/>
        </w:rPr>
        <w:t>من العهد تنص على أن لكل شخص أدين ب</w:t>
      </w:r>
      <w:r w:rsidRPr="003827C9">
        <w:rPr>
          <w:rFonts w:eastAsiaTheme="minorEastAsia" w:hint="cs"/>
          <w:rtl/>
          <w:lang w:val="fr-CH"/>
        </w:rPr>
        <w:t xml:space="preserve">ارتكاب </w:t>
      </w:r>
      <w:r w:rsidRPr="003827C9">
        <w:rPr>
          <w:rFonts w:eastAsiaTheme="minorEastAsia"/>
          <w:rtl/>
        </w:rPr>
        <w:t>جريمة حق اللجوء، وفقاً للقانون، إلى محكمة أعلى كي تعيد النظر في قرار إدانته وف</w:t>
      </w:r>
      <w:r w:rsidRPr="003827C9">
        <w:rPr>
          <w:rFonts w:eastAsiaTheme="minorEastAsia" w:hint="cs"/>
          <w:rtl/>
        </w:rPr>
        <w:t>ي</w:t>
      </w:r>
      <w:r w:rsidRPr="003827C9">
        <w:rPr>
          <w:rFonts w:eastAsiaTheme="minorEastAsia"/>
          <w:rtl/>
        </w:rPr>
        <w:t xml:space="preserve"> العقوبة الصادرة في حقه. ولا</w:t>
      </w:r>
      <w:r w:rsidR="007A7AD0">
        <w:rPr>
          <w:rFonts w:eastAsiaTheme="minorEastAsia" w:hint="cs"/>
          <w:rtl/>
        </w:rPr>
        <w:t> </w:t>
      </w:r>
      <w:r w:rsidRPr="003827C9">
        <w:rPr>
          <w:rFonts w:eastAsiaTheme="minorEastAsia"/>
          <w:rtl/>
        </w:rPr>
        <w:t>تُنتهك هذه المادة إذا اعتُبر قرار المحكمة الابتدائية نهائياً فحسب، بل أيضاً إذا لم يكن بالإمكان اللجوء إلى محكمة أعلى لإعادة النظر في إدانة صادرة عن محكمة استئناف أو محكمة عليا عقب حكم بالبراءة صادر عن محكمة أدنى</w:t>
      </w:r>
      <w:r w:rsidR="00620C46" w:rsidRPr="00990AFC">
        <w:rPr>
          <w:rStyle w:val="FootnoteReference"/>
          <w:rFonts w:eastAsiaTheme="minorEastAsia" w:cs="Simplified Arabic"/>
          <w:sz w:val="22"/>
          <w:szCs w:val="22"/>
          <w:rtl/>
          <w:lang w:val="en-US"/>
        </w:rPr>
        <w:t>(</w:t>
      </w:r>
      <w:r w:rsidR="00620C46" w:rsidRPr="00990AFC">
        <w:rPr>
          <w:rStyle w:val="FootnoteReference"/>
          <w:rFonts w:eastAsiaTheme="minorEastAsia" w:cs="Simplified Arabic"/>
          <w:sz w:val="22"/>
          <w:szCs w:val="22"/>
          <w:lang w:val="en-US"/>
        </w:rPr>
        <w:footnoteReference w:id="17"/>
      </w:r>
      <w:r w:rsidR="00620C46" w:rsidRPr="00990AFC">
        <w:rPr>
          <w:rStyle w:val="FootnoteReference"/>
          <w:rFonts w:eastAsiaTheme="minorEastAsia" w:cs="Simplified Arabic"/>
          <w:sz w:val="22"/>
          <w:szCs w:val="22"/>
          <w:rtl/>
        </w:rPr>
        <w:t>)</w:t>
      </w:r>
      <w:r w:rsidR="00620C46" w:rsidRPr="00620C46">
        <w:rPr>
          <w:rFonts w:eastAsiaTheme="minorEastAsia"/>
          <w:rtl/>
        </w:rPr>
        <w:t xml:space="preserve">. </w:t>
      </w:r>
      <w:r w:rsidRPr="003827C9">
        <w:rPr>
          <w:rFonts w:eastAsiaTheme="minorEastAsia"/>
          <w:rtl/>
        </w:rPr>
        <w:t xml:space="preserve">وتُذكر اللجنة بأن عبارة "وفقاً للقانون" لا يُقصد بها أن وجود الحق في المراجعة في حد ذاته مسألة متروكة للسلطة التقديرية للدول الأطراف. وعلى سبيل المثال، وحتى لو كانت تشريعات دولة طرف تنص، في حالات معينة، على محاكمة شخص ما، بحكم منصبه، أمام محكمة أعلى درجة من تلك التي تنظر عادةً في القضايا المماثلة، فلا يجوز أن يمس ذلك في حد ذاته بحق المتهم في أن تراجع محكمة أعلى قرار إدانته </w:t>
      </w:r>
      <w:proofErr w:type="gramStart"/>
      <w:r w:rsidRPr="003827C9">
        <w:rPr>
          <w:rFonts w:eastAsiaTheme="minorEastAsia"/>
          <w:rtl/>
        </w:rPr>
        <w:t>وعقوبته</w:t>
      </w:r>
      <w:r w:rsidR="00620C46">
        <w:rPr>
          <w:rFonts w:eastAsiaTheme="minorEastAsia"/>
          <w:vertAlign w:val="superscript"/>
          <w:rtl/>
          <w:lang w:val="en-US"/>
        </w:rPr>
        <w:t>(</w:t>
      </w:r>
      <w:proofErr w:type="gramEnd"/>
      <w:r w:rsidR="00620C46" w:rsidRPr="00990AFC">
        <w:rPr>
          <w:rFonts w:eastAsiaTheme="minorEastAsia"/>
          <w:vertAlign w:val="superscript"/>
          <w:lang w:val="en-US"/>
        </w:rPr>
        <w:footnoteReference w:id="18"/>
      </w:r>
      <w:r w:rsidR="00620C46" w:rsidRPr="00620C46">
        <w:rPr>
          <w:rFonts w:eastAsiaTheme="minorEastAsia"/>
          <w:vertAlign w:val="superscript"/>
          <w:rtl/>
        </w:rPr>
        <w:t>)</w:t>
      </w:r>
      <w:r w:rsidR="00620C46" w:rsidRPr="00620C46">
        <w:rPr>
          <w:rFonts w:eastAsiaTheme="minorEastAsia"/>
          <w:rtl/>
        </w:rPr>
        <w:t xml:space="preserve">. </w:t>
      </w:r>
    </w:p>
    <w:p w14:paraId="652A2242" w14:textId="196FD09A" w:rsidR="00620C46" w:rsidRPr="00620C46" w:rsidRDefault="003827C9" w:rsidP="003827C9">
      <w:pPr>
        <w:pStyle w:val="SingleTxtGA"/>
        <w:rPr>
          <w:rFonts w:eastAsiaTheme="minorEastAsia"/>
          <w:lang w:val="ar-SA" w:eastAsia="zh-TW" w:bidi="en-GB"/>
        </w:rPr>
      </w:pPr>
      <w:r w:rsidRPr="00990AFC">
        <w:rPr>
          <w:rFonts w:eastAsiaTheme="minorEastAsia"/>
          <w:rtl/>
        </w:rPr>
        <w:t>9</w:t>
      </w:r>
      <w:r w:rsidRPr="003827C9">
        <w:rPr>
          <w:rFonts w:eastAsiaTheme="minorEastAsia"/>
          <w:rtl/>
        </w:rPr>
        <w:t>-</w:t>
      </w:r>
      <w:r w:rsidRPr="00990AFC">
        <w:rPr>
          <w:rFonts w:eastAsiaTheme="minorEastAsia"/>
          <w:rtl/>
        </w:rPr>
        <w:t>4</w:t>
      </w:r>
      <w:r w:rsidRPr="003827C9">
        <w:rPr>
          <w:rFonts w:eastAsiaTheme="minorEastAsia"/>
          <w:rtl/>
        </w:rPr>
        <w:tab/>
        <w:t xml:space="preserve">وفي هذه القضية، تلاحظ اللجنة أنه لم يُتَح لصاحب البلاغ سبيل انتصاف فعال لطلب أن تراجع محكمة أعلى درجةً حكمَ الإدانة والعقوبةَ الصادرين في حقه في مرحلة الاستئناف. وعليه، تخلص اللجنة إلى أن الدولة الطرف انتهكت حقوق صاحب البلاغ المكفولة بموجب المادة </w:t>
      </w:r>
      <w:r w:rsidRPr="00990AFC">
        <w:rPr>
          <w:rFonts w:eastAsiaTheme="minorEastAsia"/>
          <w:rtl/>
        </w:rPr>
        <w:t>14</w:t>
      </w:r>
      <w:r w:rsidRPr="003827C9">
        <w:rPr>
          <w:rFonts w:eastAsiaTheme="minorEastAsia"/>
          <w:rtl/>
        </w:rPr>
        <w:t>(</w:t>
      </w:r>
      <w:r w:rsidR="00620C46" w:rsidRPr="00990AFC">
        <w:rPr>
          <w:rFonts w:eastAsiaTheme="minorEastAsia"/>
          <w:rtl/>
        </w:rPr>
        <w:t>5</w:t>
      </w:r>
      <w:r w:rsidR="00620C46" w:rsidRPr="00620C46">
        <w:rPr>
          <w:rFonts w:eastAsiaTheme="minorEastAsia"/>
          <w:rtl/>
        </w:rPr>
        <w:t xml:space="preserve">) </w:t>
      </w:r>
      <w:r w:rsidRPr="003827C9">
        <w:rPr>
          <w:rFonts w:eastAsiaTheme="minorEastAsia"/>
          <w:rtl/>
        </w:rPr>
        <w:t xml:space="preserve">من </w:t>
      </w:r>
      <w:proofErr w:type="gramStart"/>
      <w:r w:rsidRPr="003827C9">
        <w:rPr>
          <w:rFonts w:eastAsiaTheme="minorEastAsia"/>
          <w:rtl/>
        </w:rPr>
        <w:t>العهد</w:t>
      </w:r>
      <w:r w:rsidR="00620C46">
        <w:rPr>
          <w:rFonts w:eastAsiaTheme="minorEastAsia"/>
          <w:vertAlign w:val="superscript"/>
          <w:rtl/>
          <w:lang w:val="en-US"/>
        </w:rPr>
        <w:t>(</w:t>
      </w:r>
      <w:proofErr w:type="gramEnd"/>
      <w:r w:rsidR="00620C46" w:rsidRPr="00990AFC">
        <w:rPr>
          <w:rFonts w:eastAsiaTheme="minorEastAsia"/>
          <w:vertAlign w:val="superscript"/>
          <w:lang w:val="en-US"/>
        </w:rPr>
        <w:footnoteReference w:id="19"/>
      </w:r>
      <w:r w:rsidR="00620C46" w:rsidRPr="00620C46">
        <w:rPr>
          <w:rFonts w:eastAsiaTheme="minorEastAsia"/>
          <w:vertAlign w:val="superscript"/>
          <w:rtl/>
        </w:rPr>
        <w:t>)</w:t>
      </w:r>
      <w:r w:rsidR="00620C46" w:rsidRPr="00620C46">
        <w:rPr>
          <w:rFonts w:eastAsiaTheme="minorEastAsia"/>
          <w:rtl/>
        </w:rPr>
        <w:t>.</w:t>
      </w:r>
    </w:p>
    <w:p w14:paraId="42F63284" w14:textId="031A1832" w:rsidR="003827C9" w:rsidRPr="003827C9" w:rsidRDefault="003827C9" w:rsidP="003827C9">
      <w:pPr>
        <w:pStyle w:val="SingleTxtGA"/>
        <w:rPr>
          <w:rFonts w:eastAsiaTheme="minorEastAsia"/>
          <w:lang w:val="ar-SA" w:eastAsia="zh-TW" w:bidi="en-GB"/>
        </w:rPr>
      </w:pPr>
      <w:r w:rsidRPr="00990AFC">
        <w:rPr>
          <w:rFonts w:eastAsiaTheme="minorEastAsia"/>
          <w:rtl/>
        </w:rPr>
        <w:t>9</w:t>
      </w:r>
      <w:r w:rsidRPr="003827C9">
        <w:rPr>
          <w:rFonts w:eastAsiaTheme="minorEastAsia"/>
          <w:rtl/>
        </w:rPr>
        <w:t>-</w:t>
      </w:r>
      <w:r w:rsidRPr="00990AFC">
        <w:rPr>
          <w:rFonts w:eastAsiaTheme="minorEastAsia"/>
          <w:rtl/>
        </w:rPr>
        <w:t>5</w:t>
      </w:r>
      <w:r w:rsidRPr="003827C9">
        <w:rPr>
          <w:rFonts w:eastAsiaTheme="minorEastAsia"/>
          <w:rtl/>
        </w:rPr>
        <w:tab/>
        <w:t>وتلاحظ اللجنة أن الدولة الطرف أصدرت</w:t>
      </w:r>
      <w:r w:rsidRPr="003827C9">
        <w:rPr>
          <w:rFonts w:eastAsiaTheme="minorEastAsia" w:hint="cs"/>
          <w:rtl/>
        </w:rPr>
        <w:t xml:space="preserve"> </w:t>
      </w:r>
      <w:r w:rsidRPr="003827C9">
        <w:rPr>
          <w:rFonts w:eastAsiaTheme="minorEastAsia"/>
          <w:rtl/>
        </w:rPr>
        <w:t xml:space="preserve">في عام </w:t>
      </w:r>
      <w:r w:rsidRPr="00990AFC">
        <w:rPr>
          <w:rFonts w:eastAsiaTheme="minorEastAsia"/>
          <w:rtl/>
        </w:rPr>
        <w:t>2015</w:t>
      </w:r>
      <w:r w:rsidRPr="003827C9">
        <w:rPr>
          <w:rFonts w:eastAsiaTheme="minorEastAsia"/>
          <w:rtl/>
        </w:rPr>
        <w:t xml:space="preserve">، </w:t>
      </w:r>
      <w:r w:rsidRPr="003827C9">
        <w:rPr>
          <w:rFonts w:eastAsiaTheme="minorEastAsia" w:hint="cs"/>
          <w:rtl/>
        </w:rPr>
        <w:t xml:space="preserve">أي </w:t>
      </w:r>
      <w:r w:rsidRPr="003827C9">
        <w:rPr>
          <w:rFonts w:eastAsiaTheme="minorEastAsia"/>
          <w:rtl/>
        </w:rPr>
        <w:t>بعد حدوث وقائع هذا البلاغ، قانوناً جديداً ينص على جواز استئناف الأحكام الصادرة عن المحاكم العليا الإقليمية أمام الدوائر الجنائية في محاكم العدل العليا الموجود</w:t>
      </w:r>
      <w:r w:rsidRPr="003827C9">
        <w:rPr>
          <w:rFonts w:eastAsiaTheme="minorEastAsia" w:hint="cs"/>
          <w:rtl/>
        </w:rPr>
        <w:t>ة</w:t>
      </w:r>
      <w:r w:rsidRPr="003827C9">
        <w:rPr>
          <w:rFonts w:eastAsiaTheme="minorEastAsia"/>
          <w:rtl/>
        </w:rPr>
        <w:t xml:space="preserve"> في </w:t>
      </w:r>
      <w:r w:rsidRPr="003827C9">
        <w:rPr>
          <w:rFonts w:eastAsiaTheme="minorEastAsia" w:hint="cs"/>
          <w:rtl/>
        </w:rPr>
        <w:t>ال</w:t>
      </w:r>
      <w:r w:rsidRPr="003827C9">
        <w:rPr>
          <w:rFonts w:eastAsiaTheme="minorEastAsia"/>
          <w:rtl/>
        </w:rPr>
        <w:t>إقليم</w:t>
      </w:r>
      <w:r w:rsidRPr="003827C9">
        <w:rPr>
          <w:rFonts w:eastAsiaTheme="minorEastAsia" w:hint="cs"/>
          <w:rtl/>
        </w:rPr>
        <w:t xml:space="preserve"> </w:t>
      </w:r>
      <w:proofErr w:type="gramStart"/>
      <w:r w:rsidRPr="003827C9">
        <w:rPr>
          <w:rFonts w:eastAsiaTheme="minorEastAsia" w:hint="cs"/>
          <w:rtl/>
        </w:rPr>
        <w:t>المعني</w:t>
      </w:r>
      <w:r w:rsidR="00620C46">
        <w:rPr>
          <w:rFonts w:eastAsiaTheme="minorEastAsia"/>
          <w:vertAlign w:val="superscript"/>
          <w:rtl/>
          <w:lang w:val="en-US"/>
        </w:rPr>
        <w:t>(</w:t>
      </w:r>
      <w:proofErr w:type="gramEnd"/>
      <w:r w:rsidR="00620C46" w:rsidRPr="00990AFC">
        <w:rPr>
          <w:rFonts w:eastAsiaTheme="minorEastAsia"/>
          <w:vertAlign w:val="superscript"/>
          <w:lang w:val="en-US"/>
        </w:rPr>
        <w:footnoteReference w:id="20"/>
      </w:r>
      <w:r w:rsidR="00620C46" w:rsidRPr="00620C46">
        <w:rPr>
          <w:rFonts w:eastAsiaTheme="minorEastAsia"/>
          <w:vertAlign w:val="superscript"/>
          <w:rtl/>
        </w:rPr>
        <w:t>)</w:t>
      </w:r>
      <w:r w:rsidR="00620C46" w:rsidRPr="00620C46">
        <w:rPr>
          <w:rFonts w:eastAsiaTheme="minorEastAsia"/>
          <w:rtl/>
        </w:rPr>
        <w:t xml:space="preserve">. </w:t>
      </w:r>
      <w:r w:rsidRPr="003827C9">
        <w:rPr>
          <w:rFonts w:eastAsiaTheme="minorEastAsia"/>
          <w:rtl/>
        </w:rPr>
        <w:t xml:space="preserve">وترى اللجنة أن هذا القانون يمكن أن يمنع حدوث انتهاكات مماثلة لتلك الواردة في هذا البلاغ، لأنه يتيح للسلطات القضائية بمحكمة أعلى درجة إمكانية إعادة النظر في حكم الإدانة والعقوبة المفروضة، ويوفر بالتالي سبيل انتصاف فعالاً. </w:t>
      </w:r>
    </w:p>
    <w:p w14:paraId="79FCD142" w14:textId="0D44327B" w:rsidR="003827C9" w:rsidRPr="003827C9" w:rsidRDefault="003827C9" w:rsidP="003827C9">
      <w:pPr>
        <w:pStyle w:val="SingleTxtGA"/>
        <w:rPr>
          <w:rFonts w:eastAsiaTheme="minorEastAsia"/>
          <w:lang w:val="ar-SA" w:eastAsia="zh-TW" w:bidi="en-GB"/>
        </w:rPr>
      </w:pPr>
      <w:r w:rsidRPr="00990AFC">
        <w:rPr>
          <w:rFonts w:eastAsiaTheme="minorEastAsia"/>
          <w:rtl/>
        </w:rPr>
        <w:t>10</w:t>
      </w:r>
      <w:r w:rsidRPr="003827C9">
        <w:rPr>
          <w:rFonts w:eastAsiaTheme="minorEastAsia"/>
          <w:rtl/>
        </w:rPr>
        <w:t>-</w:t>
      </w:r>
      <w:r w:rsidRPr="003827C9">
        <w:rPr>
          <w:rFonts w:eastAsiaTheme="minorEastAsia"/>
          <w:rtl/>
        </w:rPr>
        <w:tab/>
        <w:t xml:space="preserve">وترى اللجنة، وهي تتصرف بموجب المادة </w:t>
      </w:r>
      <w:r w:rsidRPr="00990AFC">
        <w:rPr>
          <w:rFonts w:eastAsiaTheme="minorEastAsia"/>
          <w:rtl/>
        </w:rPr>
        <w:t>5</w:t>
      </w:r>
      <w:r w:rsidRPr="003827C9">
        <w:rPr>
          <w:rFonts w:eastAsiaTheme="minorEastAsia"/>
          <w:rtl/>
        </w:rPr>
        <w:t>(</w:t>
      </w:r>
      <w:r w:rsidR="00620C46" w:rsidRPr="00990AFC">
        <w:rPr>
          <w:rFonts w:eastAsiaTheme="minorEastAsia"/>
          <w:rtl/>
        </w:rPr>
        <w:t>4</w:t>
      </w:r>
      <w:r w:rsidR="00620C46" w:rsidRPr="00620C46">
        <w:rPr>
          <w:rFonts w:eastAsiaTheme="minorEastAsia"/>
          <w:rtl/>
        </w:rPr>
        <w:t xml:space="preserve">) </w:t>
      </w:r>
      <w:r w:rsidRPr="003827C9">
        <w:rPr>
          <w:rFonts w:eastAsiaTheme="minorEastAsia"/>
          <w:rtl/>
        </w:rPr>
        <w:t xml:space="preserve">من البروتوكول الاختياري الملحق بالعهد، أن الوقائع المعروضة عليها تُبين بالفعل وقوع انتهاك للمادة </w:t>
      </w:r>
      <w:r w:rsidRPr="00990AFC">
        <w:rPr>
          <w:rFonts w:eastAsiaTheme="minorEastAsia"/>
          <w:rtl/>
        </w:rPr>
        <w:t>14</w:t>
      </w:r>
      <w:r w:rsidRPr="003827C9">
        <w:rPr>
          <w:rFonts w:eastAsiaTheme="minorEastAsia"/>
          <w:rtl/>
        </w:rPr>
        <w:t>(</w:t>
      </w:r>
      <w:r w:rsidR="00620C46" w:rsidRPr="00990AFC">
        <w:rPr>
          <w:rFonts w:eastAsiaTheme="minorEastAsia"/>
          <w:rtl/>
        </w:rPr>
        <w:t>5</w:t>
      </w:r>
      <w:r w:rsidR="00620C46" w:rsidRPr="00620C46">
        <w:rPr>
          <w:rFonts w:eastAsiaTheme="minorEastAsia"/>
          <w:rtl/>
        </w:rPr>
        <w:t xml:space="preserve">) </w:t>
      </w:r>
      <w:r w:rsidRPr="003827C9">
        <w:rPr>
          <w:rFonts w:eastAsiaTheme="minorEastAsia"/>
          <w:rtl/>
        </w:rPr>
        <w:t>من العهد.</w:t>
      </w:r>
    </w:p>
    <w:p w14:paraId="72F4D2F9" w14:textId="2A1F7EC3" w:rsidR="003827C9" w:rsidRPr="00D7585C" w:rsidRDefault="003827C9" w:rsidP="003827C9">
      <w:pPr>
        <w:pStyle w:val="SingleTxtGA"/>
        <w:rPr>
          <w:rFonts w:eastAsiaTheme="minorEastAsia"/>
          <w:lang w:val="en-US" w:eastAsia="zh-TW" w:bidi="en-GB"/>
        </w:rPr>
      </w:pPr>
      <w:r w:rsidRPr="00990AFC">
        <w:rPr>
          <w:rFonts w:eastAsiaTheme="minorEastAsia"/>
          <w:rtl/>
        </w:rPr>
        <w:t>11</w:t>
      </w:r>
      <w:r w:rsidRPr="003827C9">
        <w:rPr>
          <w:rFonts w:eastAsiaTheme="minorEastAsia"/>
          <w:rtl/>
        </w:rPr>
        <w:t>-</w:t>
      </w:r>
      <w:r w:rsidRPr="003827C9">
        <w:rPr>
          <w:rFonts w:eastAsiaTheme="minorEastAsia"/>
          <w:rtl/>
        </w:rPr>
        <w:tab/>
        <w:t xml:space="preserve">ووفقاً للمادة </w:t>
      </w:r>
      <w:r w:rsidRPr="00990AFC">
        <w:rPr>
          <w:rFonts w:eastAsiaTheme="minorEastAsia"/>
          <w:rtl/>
        </w:rPr>
        <w:t>2</w:t>
      </w:r>
      <w:r w:rsidRPr="003827C9">
        <w:rPr>
          <w:rFonts w:eastAsiaTheme="minorEastAsia"/>
          <w:rtl/>
        </w:rPr>
        <w:t>(</w:t>
      </w:r>
      <w:r w:rsidRPr="00990AFC">
        <w:rPr>
          <w:rFonts w:eastAsiaTheme="minorEastAsia"/>
          <w:rtl/>
        </w:rPr>
        <w:t>3</w:t>
      </w:r>
      <w:r w:rsidRPr="003827C9">
        <w:rPr>
          <w:rFonts w:eastAsiaTheme="minorEastAsia"/>
          <w:rtl/>
        </w:rPr>
        <w:t>)(أ) من العهد، يقع على الدولة الطرف التزام بتوفير سبيل انتصاف فعال لصاحب البلاغ. ويقتضي ذلك تقديمَ تعويض كامل للأشخاص الذين انتُهِكت حقوقهم. وبالتالي، فإن الدولة الطرف ملزمة بأن توفر لصاحب البلاغ سبيلاً مناسباً لجبر الضرر، يشمل سبيل انتصاف يتيح إمكانية أن تعيد محكمة أعلى د</w:t>
      </w:r>
      <w:r w:rsidRPr="003827C9">
        <w:rPr>
          <w:rFonts w:eastAsiaTheme="minorEastAsia" w:hint="cs"/>
          <w:rtl/>
        </w:rPr>
        <w:t>ر</w:t>
      </w:r>
      <w:r w:rsidRPr="003827C9">
        <w:rPr>
          <w:rFonts w:eastAsiaTheme="minorEastAsia"/>
          <w:rtl/>
        </w:rPr>
        <w:t xml:space="preserve">جة النظر في حكم الإدانة والعقوبة الصادرين في حقه. كما يجب على الدولة الطرف أن تتخذ جميع التدابير اللازمة لضمان عدم تكرار هذه الانتهاكات ولكفالة الوفاء التام بالالتزامات التي تفرضها المادة </w:t>
      </w:r>
      <w:r w:rsidRPr="00990AFC">
        <w:rPr>
          <w:rFonts w:eastAsiaTheme="minorEastAsia"/>
          <w:rtl/>
        </w:rPr>
        <w:t>14</w:t>
      </w:r>
      <w:r w:rsidRPr="003827C9">
        <w:rPr>
          <w:rFonts w:eastAsiaTheme="minorEastAsia"/>
          <w:rtl/>
        </w:rPr>
        <w:t>(</w:t>
      </w:r>
      <w:r w:rsidR="00620C46" w:rsidRPr="00990AFC">
        <w:rPr>
          <w:rFonts w:eastAsiaTheme="minorEastAsia"/>
          <w:rtl/>
        </w:rPr>
        <w:t>5</w:t>
      </w:r>
      <w:r w:rsidR="00620C46" w:rsidRPr="00620C46">
        <w:rPr>
          <w:rFonts w:eastAsiaTheme="minorEastAsia"/>
          <w:rtl/>
        </w:rPr>
        <w:t xml:space="preserve">) </w:t>
      </w:r>
      <w:r w:rsidR="00422A2F">
        <w:rPr>
          <w:rFonts w:eastAsiaTheme="minorEastAsia" w:hint="cs"/>
          <w:rtl/>
        </w:rPr>
        <w:t>من</w:t>
      </w:r>
      <w:r w:rsidRPr="003827C9">
        <w:rPr>
          <w:rFonts w:eastAsiaTheme="minorEastAsia"/>
          <w:rtl/>
        </w:rPr>
        <w:t xml:space="preserve"> العهد. </w:t>
      </w:r>
    </w:p>
    <w:p w14:paraId="354EA05B" w14:textId="1BE0FED7" w:rsidR="003827C9" w:rsidRPr="003827C9" w:rsidRDefault="003827C9" w:rsidP="003827C9">
      <w:pPr>
        <w:pStyle w:val="SingleTxtGA"/>
        <w:rPr>
          <w:rFonts w:eastAsiaTheme="minorEastAsia"/>
          <w:rtl/>
        </w:rPr>
      </w:pPr>
      <w:r w:rsidRPr="00990AFC">
        <w:rPr>
          <w:rFonts w:eastAsiaTheme="minorEastAsia"/>
          <w:rtl/>
        </w:rPr>
        <w:lastRenderedPageBreak/>
        <w:t>12</w:t>
      </w:r>
      <w:r w:rsidRPr="003827C9">
        <w:rPr>
          <w:rFonts w:eastAsiaTheme="minorEastAsia"/>
          <w:rtl/>
        </w:rPr>
        <w:t>-</w:t>
      </w:r>
      <w:r w:rsidRPr="003827C9">
        <w:rPr>
          <w:rFonts w:eastAsiaTheme="minorEastAsia"/>
          <w:rtl/>
        </w:rPr>
        <w:tab/>
        <w:t xml:space="preserve">وإذ تضع اللجنة في اعتبارها أن الدولة الطرف اعترفت، بانضمامها إلى البروتوكول الاختياري، باختصاص اللجنة في تحديد ما إذا حدث انتهاك للعهد أم لا، وأنها تعهّدت، بموجب المادة </w:t>
      </w:r>
      <w:r w:rsidRPr="00990AFC">
        <w:rPr>
          <w:rFonts w:eastAsiaTheme="minorEastAsia"/>
          <w:rtl/>
        </w:rPr>
        <w:t>2</w:t>
      </w:r>
      <w:r w:rsidRPr="003827C9">
        <w:rPr>
          <w:rFonts w:eastAsiaTheme="minorEastAsia"/>
          <w:rtl/>
        </w:rPr>
        <w:t xml:space="preserve"> من العهد، بأن تكفل تمتع جميع الأفراد الموجودين في إقليمها والخاضعين لولايتها بالحقوق المعترف بها في العهد وبأن تتيح سبيل انتصاف فعالاً وقابلاً للإنفاذ قانونياً في حالة ثبوت وقوع انتهاك ما، فهي تودّ أن تتلقى من الدولة الطرف، في غضون </w:t>
      </w:r>
      <w:r w:rsidRPr="00990AFC">
        <w:rPr>
          <w:rFonts w:eastAsiaTheme="minorEastAsia"/>
          <w:rtl/>
        </w:rPr>
        <w:t>180</w:t>
      </w:r>
      <w:r w:rsidRPr="003827C9">
        <w:rPr>
          <w:rFonts w:eastAsiaTheme="minorEastAsia"/>
          <w:rtl/>
        </w:rPr>
        <w:t xml:space="preserve"> يوماً، معلومات عن التدابير التي اتخذتها لتنفيذ هذه الآراء. وتطلب اللجنة إلى الد</w:t>
      </w:r>
      <w:r w:rsidR="00CF0ECF">
        <w:rPr>
          <w:rFonts w:eastAsiaTheme="minorEastAsia" w:hint="cs"/>
          <w:rtl/>
        </w:rPr>
        <w:t>و</w:t>
      </w:r>
      <w:r w:rsidRPr="003827C9">
        <w:rPr>
          <w:rFonts w:eastAsiaTheme="minorEastAsia"/>
          <w:rtl/>
        </w:rPr>
        <w:t>لة الطرف أيضاً أن ت</w:t>
      </w:r>
      <w:r w:rsidR="008C365C">
        <w:rPr>
          <w:rFonts w:eastAsiaTheme="minorEastAsia" w:hint="cs"/>
          <w:rtl/>
        </w:rPr>
        <w:t>ن</w:t>
      </w:r>
      <w:r w:rsidRPr="003827C9">
        <w:rPr>
          <w:rFonts w:eastAsiaTheme="minorEastAsia"/>
          <w:rtl/>
        </w:rPr>
        <w:t>شر هذه الآراء وتعممها على نطاق واسع.</w:t>
      </w:r>
    </w:p>
    <w:p w14:paraId="416A8B91" w14:textId="2F791996" w:rsidR="007A7AD0" w:rsidRPr="007A7AD0" w:rsidRDefault="007A7AD0" w:rsidP="007A7AD0">
      <w:pPr>
        <w:pStyle w:val="SingleTxtGA"/>
        <w:jc w:val="center"/>
        <w:rPr>
          <w:u w:val="single"/>
          <w:rtl/>
        </w:rPr>
      </w:pPr>
      <w:r>
        <w:rPr>
          <w:u w:val="single"/>
          <w:rtl/>
        </w:rPr>
        <w:tab/>
      </w:r>
      <w:r>
        <w:rPr>
          <w:u w:val="single"/>
          <w:rtl/>
        </w:rPr>
        <w:tab/>
      </w:r>
      <w:r>
        <w:rPr>
          <w:u w:val="single"/>
          <w:rtl/>
        </w:rPr>
        <w:tab/>
      </w:r>
    </w:p>
    <w:sectPr w:rsidR="007A7AD0" w:rsidRPr="007A7AD0" w:rsidSect="00937C9F">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ED731" w14:textId="77777777" w:rsidR="00422282" w:rsidRPr="002901D9" w:rsidRDefault="00422282" w:rsidP="00DC4D4B">
      <w:pPr>
        <w:spacing w:after="60" w:line="240" w:lineRule="auto"/>
        <w:ind w:left="57"/>
        <w:rPr>
          <w:i/>
          <w:iCs/>
        </w:rPr>
      </w:pPr>
      <w:r>
        <w:rPr>
          <w:rFonts w:hint="cs"/>
          <w:i/>
          <w:iCs/>
          <w:rtl/>
        </w:rPr>
        <w:t>الحواشي</w:t>
      </w:r>
    </w:p>
  </w:endnote>
  <w:endnote w:type="continuationSeparator" w:id="0">
    <w:p w14:paraId="6B51F7F0" w14:textId="77777777" w:rsidR="00422282" w:rsidRDefault="0042228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99B1" w14:textId="087309BF" w:rsidR="00850E4D" w:rsidRPr="00850E4D" w:rsidRDefault="00850E4D" w:rsidP="00850E4D">
    <w:pPr>
      <w:pStyle w:val="Footer"/>
      <w:tabs>
        <w:tab w:val="right" w:pos="9638"/>
      </w:tabs>
      <w:rPr>
        <w:b/>
        <w:sz w:val="18"/>
        <w:lang w:val="en-US"/>
      </w:rPr>
    </w:pPr>
    <w:r>
      <w:rPr>
        <w:lang w:val="en-US"/>
      </w:rPr>
      <w:t>GE.22-08605</w:t>
    </w:r>
    <w:r>
      <w:rPr>
        <w:lang w:val="en-US"/>
      </w:rPr>
      <w:tab/>
    </w:r>
    <w:r w:rsidRPr="00850E4D">
      <w:rPr>
        <w:b/>
        <w:sz w:val="18"/>
        <w:lang w:val="en-US"/>
      </w:rPr>
      <w:fldChar w:fldCharType="begin"/>
    </w:r>
    <w:r w:rsidRPr="00850E4D">
      <w:rPr>
        <w:b/>
        <w:sz w:val="18"/>
        <w:lang w:val="en-US"/>
      </w:rPr>
      <w:instrText xml:space="preserve"> PAGE  \* MERGEFORMAT </w:instrText>
    </w:r>
    <w:r w:rsidRPr="00850E4D">
      <w:rPr>
        <w:b/>
        <w:sz w:val="18"/>
        <w:lang w:val="en-US"/>
      </w:rPr>
      <w:fldChar w:fldCharType="separate"/>
    </w:r>
    <w:r w:rsidRPr="00850E4D">
      <w:rPr>
        <w:b/>
        <w:noProof/>
        <w:sz w:val="18"/>
        <w:lang w:val="en-US"/>
      </w:rPr>
      <w:t>2</w:t>
    </w:r>
    <w:r w:rsidRPr="00850E4D">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697A" w14:textId="0C4C1956" w:rsidR="006959B0" w:rsidRPr="00850E4D" w:rsidRDefault="00850E4D" w:rsidP="00850E4D">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GE.22-08605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93FD" w14:textId="7EDB3F19" w:rsidR="00DE50B1" w:rsidRPr="00850E4D" w:rsidRDefault="00850E4D" w:rsidP="00850E4D">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0BF23BEB" wp14:editId="1C4F3071">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22-08605 (A)</w:t>
    </w:r>
    <w:r>
      <w:rPr>
        <w:noProof/>
        <w:sz w:val="20"/>
        <w:lang w:val="en-US"/>
      </w:rPr>
      <w:drawing>
        <wp:anchor distT="0" distB="0" distL="114300" distR="114300" simplePos="0" relativeHeight="251659264" behindDoc="0" locked="0" layoutInCell="1" allowOverlap="1" wp14:anchorId="2109EF67" wp14:editId="2B717744">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C9AE8" w14:textId="77777777" w:rsidR="00422282" w:rsidRPr="008A49D2" w:rsidRDefault="00422282"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57F03C20" w14:textId="77777777" w:rsidR="00422282" w:rsidRDefault="00422282" w:rsidP="00656392">
      <w:pPr>
        <w:spacing w:line="240" w:lineRule="auto"/>
      </w:pPr>
      <w:r>
        <w:continuationSeparator/>
      </w:r>
    </w:p>
  </w:footnote>
  <w:footnote w:id="1">
    <w:p w14:paraId="1E948F84" w14:textId="47DB92E0" w:rsidR="00E1452B" w:rsidRPr="00620C46" w:rsidRDefault="00E1452B" w:rsidP="00E1452B">
      <w:pPr>
        <w:pStyle w:val="FootnoteText1"/>
        <w:rPr>
          <w:rFonts w:eastAsiaTheme="minorEastAsia"/>
        </w:rPr>
      </w:pPr>
      <w:r w:rsidRPr="00620C46">
        <w:rPr>
          <w:rFonts w:eastAsiaTheme="minorEastAsia"/>
          <w:rtl/>
        </w:rPr>
        <w:t>*</w:t>
      </w:r>
      <w:r w:rsidRPr="00620C46">
        <w:rPr>
          <w:rFonts w:eastAsiaTheme="minorEastAsia"/>
          <w:rtl/>
        </w:rPr>
        <w:tab/>
        <w:t xml:space="preserve">اعتمدتها اللجنة في دورتها </w:t>
      </w:r>
      <w:r w:rsidRPr="00990AFC">
        <w:rPr>
          <w:rFonts w:eastAsiaTheme="minorEastAsia"/>
          <w:rtl/>
        </w:rPr>
        <w:t>132</w:t>
      </w:r>
      <w:r w:rsidRPr="00620C46">
        <w:rPr>
          <w:rFonts w:eastAsiaTheme="minorEastAsia"/>
          <w:rtl/>
        </w:rPr>
        <w:t xml:space="preserve"> (</w:t>
      </w:r>
      <w:r w:rsidRPr="00990AFC">
        <w:rPr>
          <w:rFonts w:eastAsiaTheme="minorEastAsia"/>
          <w:rtl/>
        </w:rPr>
        <w:t>28</w:t>
      </w:r>
      <w:r w:rsidRPr="00620C46">
        <w:rPr>
          <w:rFonts w:eastAsiaTheme="minorEastAsia"/>
          <w:rtl/>
        </w:rPr>
        <w:t xml:space="preserve"> حزيران/</w:t>
      </w:r>
      <w:proofErr w:type="gramStart"/>
      <w:r w:rsidRPr="00620C46">
        <w:rPr>
          <w:rFonts w:eastAsiaTheme="minorEastAsia"/>
          <w:rtl/>
        </w:rPr>
        <w:t>يونيه</w:t>
      </w:r>
      <w:proofErr w:type="gramEnd"/>
      <w:r w:rsidRPr="00620C46">
        <w:rPr>
          <w:rFonts w:eastAsiaTheme="minorEastAsia"/>
          <w:rtl/>
        </w:rPr>
        <w:t xml:space="preserve"> - </w:t>
      </w:r>
      <w:r w:rsidRPr="00990AFC">
        <w:rPr>
          <w:rFonts w:eastAsiaTheme="minorEastAsia"/>
          <w:rtl/>
        </w:rPr>
        <w:t>23</w:t>
      </w:r>
      <w:r w:rsidRPr="00620C46">
        <w:rPr>
          <w:rFonts w:eastAsiaTheme="minorEastAsia"/>
          <w:rtl/>
        </w:rPr>
        <w:t xml:space="preserve"> تموز/يوليه </w:t>
      </w:r>
      <w:r w:rsidRPr="00990AFC">
        <w:rPr>
          <w:rFonts w:eastAsiaTheme="minorEastAsia"/>
          <w:rtl/>
        </w:rPr>
        <w:t>2021</w:t>
      </w:r>
      <w:r w:rsidR="00620C46" w:rsidRPr="00620C46">
        <w:rPr>
          <w:rFonts w:eastAsiaTheme="minorEastAsia"/>
          <w:rtl/>
        </w:rPr>
        <w:t xml:space="preserve">). </w:t>
      </w:r>
    </w:p>
  </w:footnote>
  <w:footnote w:id="2">
    <w:p w14:paraId="55D6DAD2" w14:textId="595C5D19" w:rsidR="00E1452B" w:rsidRPr="00620C46" w:rsidRDefault="00E1452B" w:rsidP="00E1452B">
      <w:pPr>
        <w:pStyle w:val="FootnoteText1"/>
        <w:rPr>
          <w:rFonts w:eastAsiaTheme="minorEastAsia"/>
        </w:rPr>
      </w:pPr>
      <w:r w:rsidRPr="00620C46">
        <w:rPr>
          <w:rFonts w:eastAsiaTheme="minorEastAsia"/>
          <w:rtl/>
        </w:rPr>
        <w:t>**</w:t>
      </w:r>
      <w:r w:rsidRPr="00620C46">
        <w:rPr>
          <w:rFonts w:eastAsiaTheme="minorEastAsia"/>
          <w:rtl/>
        </w:rPr>
        <w:tab/>
        <w:t xml:space="preserve">شارك في دراسة هذا البلاغ أعضاء اللجنة التالية أسماؤهم: تانيا عبدو </w:t>
      </w:r>
      <w:proofErr w:type="spellStart"/>
      <w:r w:rsidRPr="00620C46">
        <w:rPr>
          <w:rFonts w:eastAsiaTheme="minorEastAsia"/>
          <w:rtl/>
        </w:rPr>
        <w:t>روشول</w:t>
      </w:r>
      <w:proofErr w:type="spellEnd"/>
      <w:r w:rsidRPr="00620C46">
        <w:rPr>
          <w:rFonts w:eastAsiaTheme="minorEastAsia"/>
          <w:rtl/>
        </w:rPr>
        <w:t xml:space="preserve">، وعياض بن عاشور، وعارف بلقان، ووفاء أشرف محرم بسيم، والمحجوب الهيبة، </w:t>
      </w:r>
      <w:proofErr w:type="spellStart"/>
      <w:r w:rsidRPr="00620C46">
        <w:rPr>
          <w:rFonts w:eastAsiaTheme="minorEastAsia"/>
          <w:rtl/>
        </w:rPr>
        <w:t>وسويتشي</w:t>
      </w:r>
      <w:proofErr w:type="spellEnd"/>
      <w:r w:rsidRPr="00620C46">
        <w:rPr>
          <w:rFonts w:eastAsiaTheme="minorEastAsia"/>
          <w:rtl/>
        </w:rPr>
        <w:t xml:space="preserve"> </w:t>
      </w:r>
      <w:proofErr w:type="spellStart"/>
      <w:r w:rsidRPr="00620C46">
        <w:rPr>
          <w:rFonts w:eastAsiaTheme="minorEastAsia"/>
          <w:rtl/>
        </w:rPr>
        <w:t>فورويا</w:t>
      </w:r>
      <w:proofErr w:type="spellEnd"/>
      <w:r w:rsidRPr="00620C46">
        <w:rPr>
          <w:rFonts w:eastAsiaTheme="minorEastAsia"/>
          <w:rtl/>
        </w:rPr>
        <w:t xml:space="preserve">، </w:t>
      </w:r>
      <w:proofErr w:type="spellStart"/>
      <w:r w:rsidRPr="00620C46">
        <w:rPr>
          <w:rFonts w:eastAsiaTheme="minorEastAsia"/>
          <w:rtl/>
        </w:rPr>
        <w:t>وكوبايواه</w:t>
      </w:r>
      <w:proofErr w:type="spellEnd"/>
      <w:r w:rsidRPr="00620C46">
        <w:rPr>
          <w:rFonts w:eastAsiaTheme="minorEastAsia"/>
          <w:rtl/>
        </w:rPr>
        <w:t xml:space="preserve"> </w:t>
      </w:r>
      <w:proofErr w:type="spellStart"/>
      <w:r w:rsidRPr="00620C46">
        <w:rPr>
          <w:rFonts w:eastAsiaTheme="minorEastAsia"/>
          <w:rtl/>
        </w:rPr>
        <w:t>تشامدجا</w:t>
      </w:r>
      <w:proofErr w:type="spellEnd"/>
      <w:r w:rsidRPr="00620C46">
        <w:rPr>
          <w:rFonts w:eastAsiaTheme="minorEastAsia"/>
          <w:rtl/>
        </w:rPr>
        <w:t xml:space="preserve"> </w:t>
      </w:r>
      <w:proofErr w:type="spellStart"/>
      <w:r w:rsidRPr="00620C46">
        <w:rPr>
          <w:rFonts w:eastAsiaTheme="minorEastAsia"/>
          <w:rtl/>
        </w:rPr>
        <w:t>كباتشا</w:t>
      </w:r>
      <w:proofErr w:type="spellEnd"/>
      <w:r w:rsidRPr="00620C46">
        <w:rPr>
          <w:rFonts w:eastAsiaTheme="minorEastAsia"/>
          <w:rtl/>
        </w:rPr>
        <w:t xml:space="preserve">، </w:t>
      </w:r>
      <w:proofErr w:type="spellStart"/>
      <w:r w:rsidRPr="00620C46">
        <w:rPr>
          <w:rFonts w:eastAsiaTheme="minorEastAsia"/>
          <w:rtl/>
        </w:rPr>
        <w:t>ودنكان</w:t>
      </w:r>
      <w:proofErr w:type="spellEnd"/>
      <w:r w:rsidRPr="00620C46">
        <w:rPr>
          <w:rFonts w:eastAsiaTheme="minorEastAsia"/>
          <w:rtl/>
        </w:rPr>
        <w:t xml:space="preserve"> </w:t>
      </w:r>
      <w:proofErr w:type="spellStart"/>
      <w:r w:rsidRPr="00620C46">
        <w:rPr>
          <w:rFonts w:eastAsiaTheme="minorEastAsia"/>
          <w:rtl/>
        </w:rPr>
        <w:t>لاكي</w:t>
      </w:r>
      <w:proofErr w:type="spellEnd"/>
      <w:r w:rsidRPr="00620C46">
        <w:rPr>
          <w:rFonts w:eastAsiaTheme="minorEastAsia"/>
          <w:rtl/>
        </w:rPr>
        <w:t xml:space="preserve"> </w:t>
      </w:r>
      <w:proofErr w:type="spellStart"/>
      <w:r w:rsidRPr="00620C46">
        <w:rPr>
          <w:rFonts w:eastAsiaTheme="minorEastAsia"/>
          <w:rtl/>
        </w:rPr>
        <w:t>موهوموزا</w:t>
      </w:r>
      <w:proofErr w:type="spellEnd"/>
      <w:r w:rsidRPr="00620C46">
        <w:rPr>
          <w:rFonts w:eastAsiaTheme="minorEastAsia"/>
          <w:rtl/>
        </w:rPr>
        <w:t xml:space="preserve">، وفوتيني </w:t>
      </w:r>
      <w:proofErr w:type="spellStart"/>
      <w:r w:rsidRPr="00620C46">
        <w:rPr>
          <w:rFonts w:eastAsiaTheme="minorEastAsia"/>
          <w:rtl/>
        </w:rPr>
        <w:t>بازارتزيس</w:t>
      </w:r>
      <w:proofErr w:type="spellEnd"/>
      <w:r w:rsidRPr="00620C46">
        <w:rPr>
          <w:rFonts w:eastAsiaTheme="minorEastAsia"/>
          <w:rtl/>
        </w:rPr>
        <w:t xml:space="preserve">، </w:t>
      </w:r>
      <w:proofErr w:type="spellStart"/>
      <w:r w:rsidRPr="00620C46">
        <w:rPr>
          <w:rFonts w:eastAsiaTheme="minorEastAsia"/>
          <w:rtl/>
        </w:rPr>
        <w:t>وهيرنان</w:t>
      </w:r>
      <w:proofErr w:type="spellEnd"/>
      <w:r w:rsidRPr="00620C46">
        <w:rPr>
          <w:rFonts w:eastAsiaTheme="minorEastAsia"/>
          <w:rtl/>
        </w:rPr>
        <w:t xml:space="preserve"> </w:t>
      </w:r>
      <w:proofErr w:type="spellStart"/>
      <w:r w:rsidRPr="00620C46">
        <w:rPr>
          <w:rFonts w:eastAsiaTheme="minorEastAsia"/>
          <w:rtl/>
        </w:rPr>
        <w:t>كيسادا</w:t>
      </w:r>
      <w:proofErr w:type="spellEnd"/>
      <w:r w:rsidRPr="00620C46">
        <w:rPr>
          <w:rFonts w:eastAsiaTheme="minorEastAsia"/>
          <w:rtl/>
        </w:rPr>
        <w:t xml:space="preserve">، وخوسيه مانويل سانتوس </w:t>
      </w:r>
      <w:proofErr w:type="spellStart"/>
      <w:r w:rsidRPr="00620C46">
        <w:rPr>
          <w:rFonts w:eastAsiaTheme="minorEastAsia"/>
          <w:rtl/>
        </w:rPr>
        <w:t>باييس</w:t>
      </w:r>
      <w:proofErr w:type="spellEnd"/>
      <w:r w:rsidRPr="00620C46">
        <w:rPr>
          <w:rFonts w:eastAsiaTheme="minorEastAsia"/>
          <w:rtl/>
        </w:rPr>
        <w:t xml:space="preserve">، </w:t>
      </w:r>
      <w:proofErr w:type="spellStart"/>
      <w:r w:rsidRPr="00620C46">
        <w:rPr>
          <w:rFonts w:eastAsiaTheme="minorEastAsia"/>
          <w:rtl/>
        </w:rPr>
        <w:t>وتشانغروك</w:t>
      </w:r>
      <w:proofErr w:type="spellEnd"/>
      <w:r w:rsidRPr="00620C46">
        <w:rPr>
          <w:rFonts w:eastAsiaTheme="minorEastAsia"/>
          <w:rtl/>
        </w:rPr>
        <w:t xml:space="preserve"> </w:t>
      </w:r>
      <w:proofErr w:type="spellStart"/>
      <w:r w:rsidRPr="00620C46">
        <w:rPr>
          <w:rFonts w:eastAsiaTheme="minorEastAsia"/>
          <w:rtl/>
        </w:rPr>
        <w:t>سوه</w:t>
      </w:r>
      <w:proofErr w:type="spellEnd"/>
      <w:r w:rsidRPr="00620C46">
        <w:rPr>
          <w:rFonts w:eastAsiaTheme="minorEastAsia"/>
          <w:rtl/>
        </w:rPr>
        <w:t xml:space="preserve">، وهيلين </w:t>
      </w:r>
      <w:proofErr w:type="spellStart"/>
      <w:r w:rsidRPr="00620C46">
        <w:rPr>
          <w:rFonts w:eastAsiaTheme="minorEastAsia"/>
          <w:rtl/>
        </w:rPr>
        <w:t>تيغرودجا</w:t>
      </w:r>
      <w:proofErr w:type="spellEnd"/>
      <w:r w:rsidRPr="00620C46">
        <w:rPr>
          <w:rFonts w:eastAsiaTheme="minorEastAsia"/>
          <w:rtl/>
        </w:rPr>
        <w:t xml:space="preserve">، </w:t>
      </w:r>
      <w:proofErr w:type="spellStart"/>
      <w:r w:rsidRPr="00620C46">
        <w:rPr>
          <w:rFonts w:eastAsiaTheme="minorEastAsia"/>
          <w:rtl/>
        </w:rPr>
        <w:t>وجينتيان</w:t>
      </w:r>
      <w:proofErr w:type="spellEnd"/>
      <w:r w:rsidRPr="00620C46">
        <w:rPr>
          <w:rFonts w:eastAsiaTheme="minorEastAsia"/>
          <w:rtl/>
        </w:rPr>
        <w:t xml:space="preserve"> </w:t>
      </w:r>
      <w:proofErr w:type="spellStart"/>
      <w:r w:rsidRPr="00620C46">
        <w:rPr>
          <w:rFonts w:eastAsiaTheme="minorEastAsia"/>
          <w:rtl/>
        </w:rPr>
        <w:t>زيبيري</w:t>
      </w:r>
      <w:proofErr w:type="spellEnd"/>
      <w:r w:rsidR="00620C46" w:rsidRPr="00620C46">
        <w:rPr>
          <w:rFonts w:eastAsiaTheme="minorEastAsia"/>
          <w:color w:val="000000"/>
          <w:rtl/>
        </w:rPr>
        <w:t xml:space="preserve">. </w:t>
      </w:r>
    </w:p>
  </w:footnote>
  <w:footnote w:id="3">
    <w:p w14:paraId="5AA8C1EA" w14:textId="77777777" w:rsidR="00620C46" w:rsidRPr="00620C46" w:rsidRDefault="00620C46" w:rsidP="00E1452B">
      <w:pPr>
        <w:pStyle w:val="FootnoteText1"/>
        <w:textDirection w:val="tbRlV"/>
        <w:rPr>
          <w:rFonts w:eastAsiaTheme="minorEastAsia"/>
          <w:lang w:val="ar-SA" w:eastAsia="zh-TW" w:bidi="en-GB"/>
        </w:rPr>
      </w:pPr>
      <w:r w:rsidRPr="00620C46">
        <w:rPr>
          <w:rStyle w:val="FootnoteReference"/>
          <w:rFonts w:eastAsiaTheme="minorEastAsia" w:cs="Simplified Arabic"/>
          <w:b w:val="0"/>
          <w:szCs w:val="18"/>
          <w:vertAlign w:val="baseline"/>
          <w:rtl/>
        </w:rPr>
        <w:t>(</w:t>
      </w:r>
      <w:r w:rsidRPr="00990AFC">
        <w:rPr>
          <w:rStyle w:val="FootnoteReference"/>
          <w:rFonts w:eastAsiaTheme="minorEastAsia" w:cs="Simplified Arabic"/>
          <w:b w:val="0"/>
          <w:szCs w:val="18"/>
          <w:vertAlign w:val="baseline"/>
        </w:rPr>
        <w:footnoteRef/>
      </w:r>
      <w:r w:rsidRPr="00620C46">
        <w:rPr>
          <w:rStyle w:val="FootnoteReference"/>
          <w:rFonts w:eastAsiaTheme="minorEastAsia" w:cs="Simplified Arabic"/>
          <w:b w:val="0"/>
          <w:szCs w:val="18"/>
          <w:vertAlign w:val="baseline"/>
          <w:rtl/>
        </w:rPr>
        <w:t>)</w:t>
      </w:r>
      <w:r w:rsidRPr="00620C46">
        <w:rPr>
          <w:rFonts w:eastAsiaTheme="minorEastAsia"/>
          <w:rtl/>
        </w:rPr>
        <w:tab/>
        <w:t xml:space="preserve">حتى تعديل قانون الإجراءات الجنائية المؤرخ </w:t>
      </w:r>
      <w:r w:rsidRPr="00990AFC">
        <w:rPr>
          <w:rFonts w:eastAsiaTheme="minorEastAsia"/>
          <w:rtl/>
        </w:rPr>
        <w:t>5</w:t>
      </w:r>
      <w:r w:rsidRPr="00620C46">
        <w:rPr>
          <w:rFonts w:eastAsiaTheme="minorEastAsia"/>
          <w:rtl/>
        </w:rPr>
        <w:t xml:space="preserve"> تشرين الأول/أكتوبر </w:t>
      </w:r>
      <w:r w:rsidRPr="00990AFC">
        <w:rPr>
          <w:rFonts w:eastAsiaTheme="minorEastAsia"/>
          <w:rtl/>
        </w:rPr>
        <w:t>2015</w:t>
      </w:r>
      <w:r w:rsidRPr="00620C46">
        <w:rPr>
          <w:rFonts w:eastAsiaTheme="minorEastAsia"/>
          <w:rtl/>
        </w:rPr>
        <w:t xml:space="preserve"> (القانون </w:t>
      </w:r>
      <w:r w:rsidRPr="00990AFC">
        <w:rPr>
          <w:rFonts w:eastAsiaTheme="minorEastAsia"/>
          <w:rtl/>
        </w:rPr>
        <w:t>41</w:t>
      </w:r>
      <w:r w:rsidRPr="00620C46">
        <w:rPr>
          <w:rFonts w:eastAsiaTheme="minorEastAsia"/>
          <w:rtl/>
        </w:rPr>
        <w:t>/</w:t>
      </w:r>
      <w:r w:rsidRPr="00990AFC">
        <w:rPr>
          <w:rFonts w:eastAsiaTheme="minorEastAsia"/>
          <w:rtl/>
        </w:rPr>
        <w:t>2015</w:t>
      </w:r>
      <w:r w:rsidRPr="00620C46">
        <w:rPr>
          <w:rFonts w:eastAsiaTheme="minorEastAsia"/>
          <w:rtl/>
        </w:rPr>
        <w:t xml:space="preserve">)، لم تكن الأحكام الصادرة عن المحاكم العليا الإقليمية قابلة للاستئناف، باستثناء الأحكام المتعلقة بالإجراءات المباشَرة أمام هيئة المحلفين، التي كانت قابلة للاستئناف أمام محاكم العدل العليا: "تُستأنف أمام الدائرة المدنية والجنائية بمحكمة العدل العليا في منطقة الحكم الذاتي المعنية الأحكامُ التي يُصدرها </w:t>
      </w:r>
      <w:r w:rsidRPr="00620C46">
        <w:rPr>
          <w:rFonts w:eastAsiaTheme="minorEastAsia" w:hint="cs"/>
          <w:rtl/>
        </w:rPr>
        <w:t xml:space="preserve">ابتدائياً </w:t>
      </w:r>
      <w:r w:rsidRPr="00620C46">
        <w:rPr>
          <w:rFonts w:eastAsiaTheme="minorEastAsia"/>
          <w:rtl/>
        </w:rPr>
        <w:t>القاضي الذي يرأس هيئة المحلفين في المحكمة العليا الإقليمية " (قانون الإجراءات الجنائية، المادة</w:t>
      </w:r>
      <w:r w:rsidRPr="00620C46">
        <w:rPr>
          <w:rFonts w:eastAsiaTheme="minorEastAsia" w:hint="cs"/>
          <w:rtl/>
        </w:rPr>
        <w:t> </w:t>
      </w:r>
      <w:r w:rsidRPr="00990AFC">
        <w:rPr>
          <w:rFonts w:eastAsiaTheme="minorEastAsia"/>
          <w:rtl/>
        </w:rPr>
        <w:t>846</w:t>
      </w:r>
      <w:r w:rsidRPr="00620C46">
        <w:rPr>
          <w:rFonts w:eastAsiaTheme="minorEastAsia"/>
          <w:rtl/>
        </w:rPr>
        <w:t xml:space="preserve"> </w:t>
      </w:r>
      <w:r w:rsidRPr="00990AFC">
        <w:rPr>
          <w:rFonts w:eastAsiaTheme="minorEastAsia"/>
          <w:i/>
          <w:iCs/>
          <w:rtl/>
        </w:rPr>
        <w:t>مكرراً</w:t>
      </w:r>
      <w:r w:rsidRPr="00620C46">
        <w:rPr>
          <w:rFonts w:eastAsiaTheme="minorEastAsia"/>
          <w:rtl/>
        </w:rPr>
        <w:t xml:space="preserve"> (أ)). انظر الفقرتين </w:t>
      </w:r>
      <w:r w:rsidRPr="00990AFC">
        <w:rPr>
          <w:rFonts w:eastAsiaTheme="minorEastAsia"/>
          <w:rtl/>
        </w:rPr>
        <w:t>9</w:t>
      </w:r>
      <w:r w:rsidRPr="00620C46">
        <w:rPr>
          <w:rFonts w:eastAsiaTheme="minorEastAsia"/>
          <w:rtl/>
        </w:rPr>
        <w:t>-</w:t>
      </w:r>
      <w:r w:rsidRPr="00990AFC">
        <w:rPr>
          <w:rFonts w:eastAsiaTheme="minorEastAsia"/>
          <w:rtl/>
        </w:rPr>
        <w:t>3</w:t>
      </w:r>
      <w:r w:rsidRPr="00620C46">
        <w:rPr>
          <w:rFonts w:eastAsiaTheme="minorEastAsia"/>
          <w:rtl/>
        </w:rPr>
        <w:t xml:space="preserve"> و</w:t>
      </w:r>
      <w:r w:rsidRPr="00990AFC">
        <w:rPr>
          <w:rFonts w:eastAsiaTheme="minorEastAsia"/>
          <w:rtl/>
        </w:rPr>
        <w:t>9</w:t>
      </w:r>
      <w:r w:rsidRPr="00620C46">
        <w:rPr>
          <w:rFonts w:eastAsiaTheme="minorEastAsia"/>
          <w:rtl/>
        </w:rPr>
        <w:t>-</w:t>
      </w:r>
      <w:r w:rsidRPr="00990AFC">
        <w:rPr>
          <w:rFonts w:eastAsiaTheme="minorEastAsia"/>
          <w:rtl/>
        </w:rPr>
        <w:t>5</w:t>
      </w:r>
      <w:r w:rsidRPr="00620C46">
        <w:rPr>
          <w:rFonts w:eastAsiaTheme="minorEastAsia"/>
          <w:rtl/>
        </w:rPr>
        <w:t xml:space="preserve"> من هذه الآراء. </w:t>
      </w:r>
    </w:p>
  </w:footnote>
  <w:footnote w:id="4">
    <w:p w14:paraId="4E8E93E3" w14:textId="77777777" w:rsidR="00620C46" w:rsidRPr="00620C46" w:rsidRDefault="00620C46" w:rsidP="00E1452B">
      <w:pPr>
        <w:pStyle w:val="FootnoteText1"/>
        <w:textDirection w:val="tbRlV"/>
        <w:rPr>
          <w:rFonts w:eastAsiaTheme="minorEastAsia"/>
          <w:lang w:val="ar-SA" w:eastAsia="zh-TW" w:bidi="en-GB"/>
        </w:rPr>
      </w:pPr>
      <w:r w:rsidRPr="00620C46">
        <w:rPr>
          <w:rFonts w:eastAsiaTheme="minorEastAsia"/>
          <w:rtl/>
        </w:rPr>
        <w:t>(</w:t>
      </w:r>
      <w:r w:rsidRPr="00990AFC">
        <w:rPr>
          <w:rStyle w:val="FootnoteReference"/>
          <w:rFonts w:eastAsiaTheme="minorEastAsia" w:cs="Simplified Arabic"/>
          <w:b w:val="0"/>
          <w:szCs w:val="18"/>
          <w:vertAlign w:val="baseline"/>
        </w:rPr>
        <w:footnoteRef/>
      </w:r>
      <w:r w:rsidRPr="00620C46">
        <w:rPr>
          <w:rStyle w:val="FootnoteReference"/>
          <w:rFonts w:eastAsiaTheme="minorEastAsia" w:cs="Simplified Arabic"/>
          <w:b w:val="0"/>
          <w:szCs w:val="18"/>
          <w:vertAlign w:val="baseline"/>
          <w:rtl/>
        </w:rPr>
        <w:t>)</w:t>
      </w:r>
      <w:r w:rsidRPr="00620C46">
        <w:rPr>
          <w:rFonts w:eastAsiaTheme="minorEastAsia"/>
          <w:rtl/>
        </w:rPr>
        <w:tab/>
        <w:t xml:space="preserve">لم يشر صاحب البلاغ لدى تقديم شكواه إلى تاريخ تقديم طلب الاستئناف. </w:t>
      </w:r>
    </w:p>
  </w:footnote>
  <w:footnote w:id="5">
    <w:p w14:paraId="1111A996" w14:textId="77777777" w:rsidR="00620C46" w:rsidRPr="00620C46" w:rsidRDefault="00620C46" w:rsidP="00E1452B">
      <w:pPr>
        <w:pStyle w:val="FootnoteText1"/>
        <w:textDirection w:val="tbRlV"/>
        <w:rPr>
          <w:rFonts w:eastAsiaTheme="minorEastAsia"/>
          <w:lang w:val="ar-SA" w:eastAsia="zh-TW" w:bidi="en-GB"/>
        </w:rPr>
      </w:pPr>
      <w:r w:rsidRPr="00620C46">
        <w:rPr>
          <w:rFonts w:eastAsiaTheme="minorEastAsia"/>
          <w:rtl/>
        </w:rPr>
        <w:t>(</w:t>
      </w:r>
      <w:r w:rsidRPr="00990AFC">
        <w:rPr>
          <w:rStyle w:val="FootnoteReference"/>
          <w:rFonts w:eastAsiaTheme="minorEastAsia" w:cs="Simplified Arabic"/>
          <w:b w:val="0"/>
          <w:szCs w:val="18"/>
          <w:vertAlign w:val="baseline"/>
        </w:rPr>
        <w:footnoteRef/>
      </w:r>
      <w:r w:rsidRPr="00620C46">
        <w:rPr>
          <w:rStyle w:val="FootnoteReference"/>
          <w:rFonts w:eastAsiaTheme="minorEastAsia" w:cs="Simplified Arabic"/>
          <w:b w:val="0"/>
          <w:szCs w:val="18"/>
          <w:vertAlign w:val="baseline"/>
          <w:rtl/>
        </w:rPr>
        <w:t>)</w:t>
      </w:r>
      <w:r w:rsidRPr="00620C46">
        <w:rPr>
          <w:rFonts w:eastAsiaTheme="minorEastAsia"/>
          <w:rtl/>
        </w:rPr>
        <w:tab/>
        <w:t xml:space="preserve">تنص المادة </w:t>
      </w:r>
      <w:r w:rsidRPr="00990AFC">
        <w:rPr>
          <w:rFonts w:eastAsiaTheme="minorEastAsia"/>
          <w:rtl/>
        </w:rPr>
        <w:t>24</w:t>
      </w:r>
      <w:r w:rsidRPr="00620C46">
        <w:rPr>
          <w:rFonts w:eastAsiaTheme="minorEastAsia"/>
          <w:rtl/>
        </w:rPr>
        <w:t xml:space="preserve"> من الدستور </w:t>
      </w:r>
      <w:r w:rsidRPr="00620C46">
        <w:rPr>
          <w:rFonts w:ascii="Simplified Arabic" w:eastAsiaTheme="minorEastAsia" w:hAnsi="Simplified Arabic"/>
          <w:rtl/>
        </w:rPr>
        <w:t>على ما يلي</w:t>
      </w:r>
      <w:r w:rsidRPr="00620C46">
        <w:rPr>
          <w:rFonts w:ascii="Simplified Arabic" w:eastAsiaTheme="minorEastAsia" w:hAnsi="Simplified Arabic"/>
        </w:rPr>
        <w:t>:</w:t>
      </w:r>
      <w:r w:rsidRPr="00620C46">
        <w:rPr>
          <w:rFonts w:eastAsiaTheme="minorEastAsia"/>
          <w:rtl/>
        </w:rPr>
        <w:t xml:space="preserve"> </w:t>
      </w:r>
    </w:p>
    <w:p w14:paraId="6DA3A0AD" w14:textId="77777777" w:rsidR="00620C46" w:rsidRPr="00620C46" w:rsidRDefault="00620C46" w:rsidP="00E1452B">
      <w:pPr>
        <w:pStyle w:val="FootnoteText1"/>
        <w:textDirection w:val="tbRlV"/>
        <w:rPr>
          <w:rFonts w:eastAsiaTheme="minorEastAsia"/>
          <w:lang w:val="ar-SA" w:eastAsia="zh-TW" w:bidi="en-GB"/>
        </w:rPr>
      </w:pPr>
      <w:r w:rsidRPr="00620C46">
        <w:rPr>
          <w:rFonts w:eastAsiaTheme="minorEastAsia"/>
          <w:rtl/>
        </w:rPr>
        <w:tab/>
      </w:r>
      <w:r w:rsidRPr="00620C46">
        <w:rPr>
          <w:rFonts w:eastAsiaTheme="minorEastAsia"/>
          <w:rtl/>
        </w:rPr>
        <w:tab/>
      </w:r>
      <w:r w:rsidRPr="00990AFC">
        <w:rPr>
          <w:rFonts w:eastAsiaTheme="minorEastAsia"/>
          <w:rtl/>
        </w:rPr>
        <w:t>1</w:t>
      </w:r>
      <w:r w:rsidRPr="00620C46">
        <w:rPr>
          <w:rFonts w:eastAsiaTheme="minorEastAsia"/>
          <w:rtl/>
        </w:rPr>
        <w:t>-</w:t>
      </w:r>
      <w:r w:rsidRPr="00620C46">
        <w:rPr>
          <w:rFonts w:eastAsiaTheme="minorEastAsia"/>
          <w:rtl/>
        </w:rPr>
        <w:tab/>
        <w:t xml:space="preserve">يحق لجميع الأشخاص التمتع بالحماية الفعلية من جانب القضاة والمحاكم أثناء ممارسة حقوقهم والدفاع عن مصالحهم المشروعة، ولا يجوز، بأي حال من الأحوال، حرمانهم من الحق في الدفاع. </w:t>
      </w:r>
    </w:p>
    <w:p w14:paraId="39580E1A" w14:textId="77777777" w:rsidR="00620C46" w:rsidRPr="00620C46" w:rsidRDefault="00620C46" w:rsidP="00E1452B">
      <w:pPr>
        <w:pStyle w:val="FootnoteText1"/>
        <w:textDirection w:val="tbRlV"/>
        <w:rPr>
          <w:rFonts w:eastAsiaTheme="minorEastAsia"/>
          <w:lang w:val="ar-SA" w:eastAsia="zh-TW" w:bidi="en-GB"/>
        </w:rPr>
      </w:pPr>
      <w:r w:rsidRPr="00620C46">
        <w:rPr>
          <w:rFonts w:eastAsiaTheme="minorEastAsia"/>
          <w:rtl/>
        </w:rPr>
        <w:tab/>
      </w:r>
      <w:r w:rsidRPr="00620C46">
        <w:rPr>
          <w:rFonts w:eastAsiaTheme="minorEastAsia"/>
          <w:rtl/>
        </w:rPr>
        <w:tab/>
      </w:r>
      <w:r w:rsidRPr="00990AFC">
        <w:rPr>
          <w:rFonts w:eastAsiaTheme="minorEastAsia"/>
          <w:rtl/>
        </w:rPr>
        <w:t>2</w:t>
      </w:r>
      <w:r w:rsidRPr="00620C46">
        <w:rPr>
          <w:rFonts w:eastAsiaTheme="minorEastAsia"/>
          <w:rtl/>
        </w:rPr>
        <w:t>-</w:t>
      </w:r>
      <w:r w:rsidRPr="00620C46">
        <w:rPr>
          <w:rFonts w:eastAsiaTheme="minorEastAsia"/>
          <w:rtl/>
        </w:rPr>
        <w:tab/>
        <w:t xml:space="preserve">لجميع الأشخاص أيضاً الحق في القاضي الطبيعي المعيَّن سلفاً بموجب القانون، والحق في الدفاع والاستعانة بمحام، وفي إبلاغهم بالتهم الموجه إليهم، وفي محاكمتهم دون تأخير لا مبرر له في إطار جلسة علنية تراعي جميع الضمانات الواجبة، وفي استخدام وسائل الإثبات ذات الصلة للدفاع عن أنفسهم، وفي عدم تجريم الذات، وفي عدم الاعتراف بالذنب، وفي قرينة البراءة [...]. </w:t>
      </w:r>
    </w:p>
  </w:footnote>
  <w:footnote w:id="6">
    <w:p w14:paraId="6024A5CC" w14:textId="77777777" w:rsidR="00620C46" w:rsidRPr="00620C46" w:rsidRDefault="00620C46" w:rsidP="00E1452B">
      <w:pPr>
        <w:pStyle w:val="FootnoteText1"/>
        <w:textDirection w:val="tbRlV"/>
        <w:rPr>
          <w:rFonts w:eastAsiaTheme="minorEastAsia"/>
          <w:lang w:val="ar-SA" w:eastAsia="zh-TW" w:bidi="en-GB"/>
        </w:rPr>
      </w:pPr>
      <w:r w:rsidRPr="00620C46">
        <w:rPr>
          <w:rFonts w:eastAsiaTheme="minorEastAsia"/>
          <w:rtl/>
        </w:rPr>
        <w:t>(</w:t>
      </w:r>
      <w:r w:rsidRPr="00990AFC">
        <w:rPr>
          <w:rStyle w:val="FootnoteReference"/>
          <w:rFonts w:eastAsiaTheme="minorEastAsia" w:cs="Simplified Arabic"/>
          <w:b w:val="0"/>
          <w:szCs w:val="18"/>
          <w:vertAlign w:val="baseline"/>
        </w:rPr>
        <w:footnoteRef/>
      </w:r>
      <w:r w:rsidRPr="00620C46">
        <w:rPr>
          <w:rStyle w:val="FootnoteReference"/>
          <w:rFonts w:eastAsiaTheme="minorEastAsia" w:cs="Simplified Arabic"/>
          <w:b w:val="0"/>
          <w:szCs w:val="18"/>
          <w:vertAlign w:val="baseline"/>
          <w:rtl/>
        </w:rPr>
        <w:t>)</w:t>
      </w:r>
      <w:r w:rsidRPr="00620C46">
        <w:rPr>
          <w:rFonts w:eastAsiaTheme="minorEastAsia"/>
          <w:rtl/>
        </w:rPr>
        <w:tab/>
        <w:t xml:space="preserve">يستشهد صاحب البلاغ بحكميْ المحكمة الدستورية </w:t>
      </w:r>
      <w:r w:rsidRPr="00990AFC">
        <w:rPr>
          <w:rFonts w:eastAsiaTheme="minorEastAsia"/>
          <w:rtl/>
        </w:rPr>
        <w:t>120</w:t>
      </w:r>
      <w:r w:rsidRPr="00620C46">
        <w:rPr>
          <w:rFonts w:eastAsiaTheme="minorEastAsia"/>
          <w:rtl/>
        </w:rPr>
        <w:t>/</w:t>
      </w:r>
      <w:r w:rsidRPr="00990AFC">
        <w:rPr>
          <w:rFonts w:eastAsiaTheme="minorEastAsia"/>
          <w:rtl/>
        </w:rPr>
        <w:t>1999</w:t>
      </w:r>
      <w:r w:rsidRPr="00620C46">
        <w:rPr>
          <w:rFonts w:eastAsiaTheme="minorEastAsia"/>
          <w:rtl/>
        </w:rPr>
        <w:t xml:space="preserve">، الصادر في </w:t>
      </w:r>
      <w:r w:rsidRPr="00990AFC">
        <w:rPr>
          <w:rFonts w:eastAsiaTheme="minorEastAsia"/>
          <w:rtl/>
        </w:rPr>
        <w:t>28</w:t>
      </w:r>
      <w:r w:rsidRPr="00620C46">
        <w:rPr>
          <w:rFonts w:eastAsiaTheme="minorEastAsia"/>
          <w:rtl/>
        </w:rPr>
        <w:t xml:space="preserve"> حزيران/</w:t>
      </w:r>
      <w:proofErr w:type="gramStart"/>
      <w:r w:rsidRPr="00620C46">
        <w:rPr>
          <w:rFonts w:eastAsiaTheme="minorEastAsia"/>
          <w:rtl/>
        </w:rPr>
        <w:t>يونيه</w:t>
      </w:r>
      <w:proofErr w:type="gramEnd"/>
      <w:r w:rsidRPr="00620C46">
        <w:rPr>
          <w:rFonts w:eastAsiaTheme="minorEastAsia"/>
          <w:rtl/>
        </w:rPr>
        <w:t xml:space="preserve"> </w:t>
      </w:r>
      <w:r w:rsidRPr="00990AFC">
        <w:rPr>
          <w:rFonts w:eastAsiaTheme="minorEastAsia"/>
          <w:rtl/>
        </w:rPr>
        <w:t>1999</w:t>
      </w:r>
      <w:r w:rsidRPr="00620C46">
        <w:rPr>
          <w:rFonts w:eastAsiaTheme="minorEastAsia"/>
          <w:rtl/>
        </w:rPr>
        <w:t xml:space="preserve">، </w:t>
      </w:r>
      <w:r w:rsidRPr="00620C46">
        <w:rPr>
          <w:rFonts w:eastAsiaTheme="minorEastAsia" w:hint="cs"/>
          <w:rtl/>
        </w:rPr>
        <w:t>و</w:t>
      </w:r>
      <w:r w:rsidRPr="00990AFC">
        <w:rPr>
          <w:rFonts w:eastAsiaTheme="minorEastAsia"/>
          <w:rtl/>
        </w:rPr>
        <w:t>60</w:t>
      </w:r>
      <w:r w:rsidRPr="00620C46">
        <w:rPr>
          <w:rFonts w:eastAsiaTheme="minorEastAsia"/>
          <w:rtl/>
        </w:rPr>
        <w:t>/</w:t>
      </w:r>
      <w:r w:rsidRPr="00990AFC">
        <w:rPr>
          <w:rFonts w:eastAsiaTheme="minorEastAsia"/>
          <w:rtl/>
        </w:rPr>
        <w:t>2008</w:t>
      </w:r>
      <w:r w:rsidRPr="00620C46">
        <w:rPr>
          <w:rFonts w:eastAsiaTheme="minorEastAsia"/>
          <w:rtl/>
        </w:rPr>
        <w:t xml:space="preserve">، الصادر في </w:t>
      </w:r>
      <w:r w:rsidRPr="00990AFC">
        <w:rPr>
          <w:rFonts w:eastAsiaTheme="minorEastAsia"/>
          <w:rtl/>
        </w:rPr>
        <w:t>26</w:t>
      </w:r>
      <w:r w:rsidRPr="00620C46">
        <w:rPr>
          <w:rFonts w:eastAsiaTheme="minorEastAsia"/>
          <w:rtl/>
        </w:rPr>
        <w:t xml:space="preserve"> أيار/مايو </w:t>
      </w:r>
      <w:r w:rsidRPr="00990AFC">
        <w:rPr>
          <w:rFonts w:eastAsiaTheme="minorEastAsia"/>
          <w:rtl/>
        </w:rPr>
        <w:t>2008</w:t>
      </w:r>
      <w:r w:rsidRPr="00620C46">
        <w:rPr>
          <w:rFonts w:eastAsiaTheme="minorEastAsia"/>
          <w:rtl/>
        </w:rPr>
        <w:t xml:space="preserve">. </w:t>
      </w:r>
    </w:p>
  </w:footnote>
  <w:footnote w:id="7">
    <w:p w14:paraId="1B043F91" w14:textId="77777777" w:rsidR="00620C46" w:rsidRPr="00620C46" w:rsidRDefault="00620C46" w:rsidP="00620C46">
      <w:pPr>
        <w:pStyle w:val="FootnoteText1"/>
        <w:textDirection w:val="tbRlV"/>
        <w:rPr>
          <w:rFonts w:eastAsiaTheme="minorEastAsia"/>
          <w:lang w:val="ar-SA" w:eastAsia="zh-TW" w:bidi="en-GB"/>
        </w:rPr>
      </w:pPr>
      <w:r w:rsidRPr="00620C46">
        <w:rPr>
          <w:rFonts w:eastAsiaTheme="minorEastAsia"/>
          <w:rtl/>
        </w:rPr>
        <w:t>(</w:t>
      </w:r>
      <w:r w:rsidRPr="00990AFC">
        <w:rPr>
          <w:rStyle w:val="FootnoteReference"/>
          <w:rFonts w:eastAsiaTheme="minorEastAsia" w:cs="Simplified Arabic"/>
          <w:b w:val="0"/>
          <w:szCs w:val="18"/>
          <w:vertAlign w:val="baseline"/>
        </w:rPr>
        <w:footnoteRef/>
      </w:r>
      <w:r w:rsidRPr="00620C46">
        <w:rPr>
          <w:rStyle w:val="FootnoteReference"/>
          <w:rFonts w:eastAsiaTheme="minorEastAsia" w:cs="Simplified Arabic"/>
          <w:b w:val="0"/>
          <w:szCs w:val="18"/>
          <w:vertAlign w:val="baseline"/>
          <w:rtl/>
        </w:rPr>
        <w:t>)</w:t>
      </w:r>
      <w:r w:rsidRPr="00620C46">
        <w:rPr>
          <w:rFonts w:eastAsiaTheme="minorEastAsia"/>
          <w:rtl/>
        </w:rPr>
        <w:tab/>
        <w:t>انظر قضية </w:t>
      </w:r>
      <w:r w:rsidRPr="00990AFC">
        <w:rPr>
          <w:rFonts w:eastAsiaTheme="minorEastAsia"/>
          <w:i/>
          <w:iCs/>
          <w:rtl/>
        </w:rPr>
        <w:t>"س</w:t>
      </w:r>
      <w:r w:rsidRPr="00990AFC">
        <w:rPr>
          <w:rFonts w:eastAsiaTheme="minorEastAsia" w:hint="cs"/>
          <w:i/>
          <w:iCs/>
          <w:rtl/>
        </w:rPr>
        <w:t>.</w:t>
      </w:r>
      <w:r w:rsidRPr="00990AFC">
        <w:rPr>
          <w:rFonts w:eastAsiaTheme="minorEastAsia"/>
          <w:i/>
          <w:iCs/>
          <w:rtl/>
        </w:rPr>
        <w:t xml:space="preserve"> و</w:t>
      </w:r>
      <w:r w:rsidRPr="00990AFC">
        <w:rPr>
          <w:rFonts w:eastAsiaTheme="minorEastAsia" w:hint="cs"/>
          <w:i/>
          <w:iCs/>
          <w:rtl/>
        </w:rPr>
        <w:t xml:space="preserve">. </w:t>
      </w:r>
      <w:r w:rsidRPr="00990AFC">
        <w:rPr>
          <w:rFonts w:eastAsiaTheme="minorEastAsia"/>
          <w:i/>
          <w:iCs/>
          <w:rtl/>
        </w:rPr>
        <w:t>ص</w:t>
      </w:r>
      <w:r w:rsidRPr="00990AFC">
        <w:rPr>
          <w:rFonts w:eastAsiaTheme="minorEastAsia" w:hint="cs"/>
          <w:i/>
          <w:iCs/>
          <w:rtl/>
        </w:rPr>
        <w:t>.</w:t>
      </w:r>
      <w:r w:rsidRPr="00990AFC">
        <w:rPr>
          <w:rFonts w:eastAsiaTheme="minorEastAsia"/>
          <w:i/>
          <w:iCs/>
          <w:rtl/>
        </w:rPr>
        <w:t xml:space="preserve"> ضد هولندا </w:t>
      </w:r>
      <w:r w:rsidRPr="00620C46">
        <w:rPr>
          <w:rFonts w:eastAsiaTheme="minorEastAsia"/>
          <w:rtl/>
        </w:rPr>
        <w:t>(</w:t>
      </w:r>
      <w:hyperlink r:id="rId1" w:history="1">
        <w:r w:rsidRPr="00620C46">
          <w:rPr>
            <w:rStyle w:val="Hyperlink"/>
            <w:lang w:val="en-AU"/>
          </w:rPr>
          <w:t>CCPR/C/</w:t>
        </w:r>
        <w:r w:rsidRPr="00990AFC">
          <w:rPr>
            <w:rStyle w:val="Hyperlink"/>
            <w:lang w:val="en-AU"/>
          </w:rPr>
          <w:t>117</w:t>
        </w:r>
        <w:r w:rsidRPr="00620C46">
          <w:rPr>
            <w:rStyle w:val="Hyperlink"/>
            <w:lang w:val="en-AU"/>
          </w:rPr>
          <w:t>/D/</w:t>
        </w:r>
        <w:r w:rsidRPr="00990AFC">
          <w:rPr>
            <w:rStyle w:val="Hyperlink"/>
            <w:lang w:val="en-AU"/>
          </w:rPr>
          <w:t>2729</w:t>
        </w:r>
        <w:r w:rsidRPr="00620C46">
          <w:rPr>
            <w:rStyle w:val="Hyperlink"/>
            <w:lang w:val="en-AU"/>
          </w:rPr>
          <w:t>/</w:t>
        </w:r>
        <w:r w:rsidRPr="00990AFC">
          <w:rPr>
            <w:rStyle w:val="Hyperlink"/>
            <w:lang w:val="en-AU"/>
          </w:rPr>
          <w:t>2016</w:t>
        </w:r>
      </w:hyperlink>
      <w:r w:rsidRPr="00620C46">
        <w:rPr>
          <w:rFonts w:eastAsiaTheme="minorEastAsia"/>
          <w:rtl/>
        </w:rPr>
        <w:t xml:space="preserve">)، الفقرة </w:t>
      </w:r>
      <w:r w:rsidRPr="00990AFC">
        <w:rPr>
          <w:rFonts w:eastAsiaTheme="minorEastAsia"/>
          <w:rtl/>
        </w:rPr>
        <w:t>4</w:t>
      </w:r>
      <w:r w:rsidRPr="00620C46">
        <w:rPr>
          <w:rFonts w:eastAsiaTheme="minorEastAsia"/>
          <w:rtl/>
        </w:rPr>
        <w:t>-</w:t>
      </w:r>
      <w:r w:rsidRPr="00990AFC">
        <w:rPr>
          <w:rFonts w:eastAsiaTheme="minorEastAsia"/>
          <w:rtl/>
        </w:rPr>
        <w:t>3</w:t>
      </w:r>
      <w:r w:rsidRPr="00620C46">
        <w:rPr>
          <w:rFonts w:eastAsiaTheme="minorEastAsia"/>
          <w:rtl/>
        </w:rPr>
        <w:t xml:space="preserve">؛ وقضية </w:t>
      </w:r>
      <w:r w:rsidRPr="00990AFC">
        <w:rPr>
          <w:rFonts w:eastAsiaTheme="minorEastAsia"/>
          <w:i/>
          <w:iCs/>
          <w:rtl/>
        </w:rPr>
        <w:t xml:space="preserve">ج. ب. د. ضد فرنسا </w:t>
      </w:r>
      <w:r w:rsidRPr="00620C46">
        <w:rPr>
          <w:rFonts w:eastAsiaTheme="minorEastAsia"/>
          <w:rtl/>
        </w:rPr>
        <w:t>(</w:t>
      </w:r>
      <w:hyperlink r:id="rId2" w:history="1">
        <w:r w:rsidRPr="00620C46">
          <w:rPr>
            <w:rStyle w:val="Hyperlink"/>
            <w:lang w:val="en-AU"/>
          </w:rPr>
          <w:t>CCPR/C/</w:t>
        </w:r>
        <w:r w:rsidRPr="00990AFC">
          <w:rPr>
            <w:rStyle w:val="Hyperlink"/>
            <w:lang w:val="en-AU"/>
          </w:rPr>
          <w:t>115</w:t>
        </w:r>
        <w:r w:rsidRPr="00620C46">
          <w:rPr>
            <w:rStyle w:val="Hyperlink"/>
            <w:lang w:val="en-AU"/>
          </w:rPr>
          <w:t>/D/</w:t>
        </w:r>
        <w:r w:rsidRPr="00990AFC">
          <w:rPr>
            <w:rStyle w:val="Hyperlink"/>
            <w:lang w:val="en-AU"/>
          </w:rPr>
          <w:t>2621</w:t>
        </w:r>
        <w:r w:rsidRPr="00620C46">
          <w:rPr>
            <w:rStyle w:val="Hyperlink"/>
            <w:lang w:val="en-AU"/>
          </w:rPr>
          <w:t>/</w:t>
        </w:r>
        <w:r w:rsidRPr="00990AFC">
          <w:rPr>
            <w:rStyle w:val="Hyperlink"/>
            <w:lang w:val="en-AU"/>
          </w:rPr>
          <w:t>2015</w:t>
        </w:r>
      </w:hyperlink>
      <w:r w:rsidRPr="00620C46">
        <w:rPr>
          <w:rFonts w:eastAsiaTheme="minorEastAsia"/>
          <w:rtl/>
        </w:rPr>
        <w:t xml:space="preserve">)، الفقرة </w:t>
      </w:r>
      <w:r w:rsidRPr="00990AFC">
        <w:rPr>
          <w:rFonts w:eastAsiaTheme="minorEastAsia"/>
          <w:rtl/>
        </w:rPr>
        <w:t>4</w:t>
      </w:r>
      <w:r w:rsidRPr="00620C46">
        <w:rPr>
          <w:rFonts w:eastAsiaTheme="minorEastAsia"/>
          <w:rtl/>
        </w:rPr>
        <w:t>-</w:t>
      </w:r>
      <w:r w:rsidRPr="00990AFC">
        <w:rPr>
          <w:rFonts w:eastAsiaTheme="minorEastAsia"/>
          <w:rtl/>
        </w:rPr>
        <w:t>5</w:t>
      </w:r>
      <w:r w:rsidRPr="00620C46">
        <w:rPr>
          <w:rFonts w:eastAsiaTheme="minorEastAsia"/>
          <w:rtl/>
        </w:rPr>
        <w:t xml:space="preserve">. </w:t>
      </w:r>
    </w:p>
  </w:footnote>
  <w:footnote w:id="8">
    <w:p w14:paraId="1D001163" w14:textId="77777777" w:rsidR="00620C46" w:rsidRPr="00620C46" w:rsidRDefault="00620C46" w:rsidP="00E1452B">
      <w:pPr>
        <w:pStyle w:val="FootnoteText1"/>
        <w:textDirection w:val="tbRlV"/>
        <w:rPr>
          <w:rFonts w:eastAsiaTheme="minorEastAsia"/>
          <w:lang w:val="ar-SA" w:eastAsia="zh-TW" w:bidi="en-GB"/>
        </w:rPr>
      </w:pPr>
      <w:r w:rsidRPr="00620C46">
        <w:rPr>
          <w:rFonts w:eastAsiaTheme="minorEastAsia"/>
          <w:rtl/>
        </w:rPr>
        <w:t>(</w:t>
      </w:r>
      <w:r w:rsidRPr="00990AFC">
        <w:rPr>
          <w:rStyle w:val="FootnoteReference"/>
          <w:rFonts w:eastAsiaTheme="minorEastAsia" w:cs="Simplified Arabic"/>
          <w:b w:val="0"/>
          <w:szCs w:val="18"/>
          <w:vertAlign w:val="baseline"/>
        </w:rPr>
        <w:footnoteRef/>
      </w:r>
      <w:r w:rsidRPr="00620C46">
        <w:rPr>
          <w:rStyle w:val="FootnoteReference"/>
          <w:rFonts w:eastAsiaTheme="minorEastAsia" w:cs="Simplified Arabic"/>
          <w:b w:val="0"/>
          <w:szCs w:val="18"/>
          <w:vertAlign w:val="baseline"/>
          <w:rtl/>
        </w:rPr>
        <w:t>)</w:t>
      </w:r>
      <w:r w:rsidRPr="00620C46">
        <w:rPr>
          <w:rFonts w:eastAsiaTheme="minorEastAsia"/>
          <w:rtl/>
        </w:rPr>
        <w:tab/>
        <w:t xml:space="preserve">انظر </w:t>
      </w:r>
      <w:r w:rsidRPr="00620C46">
        <w:rPr>
          <w:rFonts w:eastAsiaTheme="minorEastAsia" w:hint="cs"/>
          <w:rtl/>
        </w:rPr>
        <w:t xml:space="preserve">رأي </w:t>
      </w:r>
      <w:r w:rsidRPr="00620C46">
        <w:rPr>
          <w:rFonts w:eastAsiaTheme="minorEastAsia"/>
          <w:rtl/>
        </w:rPr>
        <w:t>اللجنة المعنية بحقوق الإنسان</w:t>
      </w:r>
      <w:r w:rsidRPr="00620C46">
        <w:rPr>
          <w:rFonts w:eastAsiaTheme="minorEastAsia" w:hint="cs"/>
          <w:rtl/>
        </w:rPr>
        <w:t xml:space="preserve"> في</w:t>
      </w:r>
      <w:r w:rsidRPr="00620C46">
        <w:rPr>
          <w:rFonts w:eastAsiaTheme="minorEastAsia"/>
          <w:rtl/>
        </w:rPr>
        <w:t xml:space="preserve"> قضية </w:t>
      </w:r>
      <w:proofErr w:type="spellStart"/>
      <w:r w:rsidRPr="00990AFC">
        <w:rPr>
          <w:rFonts w:eastAsiaTheme="minorEastAsia"/>
          <w:i/>
          <w:iCs/>
          <w:rtl/>
        </w:rPr>
        <w:t>كارتونين</w:t>
      </w:r>
      <w:proofErr w:type="spellEnd"/>
      <w:r w:rsidRPr="00990AFC">
        <w:rPr>
          <w:rFonts w:eastAsiaTheme="minorEastAsia"/>
          <w:i/>
          <w:iCs/>
          <w:rtl/>
        </w:rPr>
        <w:t xml:space="preserve"> ضد فنلندا</w:t>
      </w:r>
      <w:r w:rsidRPr="00620C46">
        <w:rPr>
          <w:rFonts w:eastAsiaTheme="minorEastAsia"/>
          <w:rtl/>
        </w:rPr>
        <w:t xml:space="preserve">، البلاغ رقم </w:t>
      </w:r>
      <w:r w:rsidRPr="00990AFC">
        <w:rPr>
          <w:rFonts w:eastAsiaTheme="minorEastAsia"/>
          <w:rtl/>
        </w:rPr>
        <w:t>387</w:t>
      </w:r>
      <w:r w:rsidRPr="00620C46">
        <w:rPr>
          <w:rFonts w:eastAsiaTheme="minorEastAsia"/>
          <w:rtl/>
        </w:rPr>
        <w:t>/</w:t>
      </w:r>
      <w:r w:rsidRPr="00990AFC">
        <w:rPr>
          <w:rFonts w:eastAsiaTheme="minorEastAsia"/>
          <w:rtl/>
        </w:rPr>
        <w:t>1989</w:t>
      </w:r>
      <w:r w:rsidRPr="00620C46">
        <w:rPr>
          <w:rFonts w:eastAsiaTheme="minorEastAsia"/>
          <w:rtl/>
        </w:rPr>
        <w:t xml:space="preserve">، الفقرة </w:t>
      </w:r>
      <w:r w:rsidRPr="00990AFC">
        <w:rPr>
          <w:rFonts w:eastAsiaTheme="minorEastAsia"/>
          <w:rtl/>
        </w:rPr>
        <w:t>7</w:t>
      </w:r>
      <w:r w:rsidRPr="00620C46">
        <w:rPr>
          <w:rFonts w:eastAsiaTheme="minorEastAsia"/>
          <w:rtl/>
        </w:rPr>
        <w:t>-</w:t>
      </w:r>
      <w:r w:rsidRPr="00990AFC">
        <w:rPr>
          <w:rFonts w:eastAsiaTheme="minorEastAsia"/>
          <w:rtl/>
        </w:rPr>
        <w:t>3</w:t>
      </w:r>
      <w:r w:rsidRPr="00620C46">
        <w:rPr>
          <w:rFonts w:eastAsiaTheme="minorEastAsia"/>
          <w:rtl/>
        </w:rPr>
        <w:t xml:space="preserve">. </w:t>
      </w:r>
    </w:p>
  </w:footnote>
  <w:footnote w:id="9">
    <w:p w14:paraId="3CA7B3C9" w14:textId="77777777" w:rsidR="00620C46" w:rsidRPr="00620C46" w:rsidRDefault="00620C46" w:rsidP="00E1452B">
      <w:pPr>
        <w:pStyle w:val="FootnoteText1"/>
        <w:textDirection w:val="tbRlV"/>
        <w:rPr>
          <w:rFonts w:eastAsiaTheme="minorEastAsia"/>
          <w:lang w:val="ar-SA" w:eastAsia="zh-TW" w:bidi="en-GB"/>
        </w:rPr>
      </w:pPr>
      <w:r w:rsidRPr="00620C46">
        <w:rPr>
          <w:rFonts w:eastAsiaTheme="minorEastAsia"/>
          <w:rtl/>
        </w:rPr>
        <w:t>(</w:t>
      </w:r>
      <w:r w:rsidRPr="00990AFC">
        <w:rPr>
          <w:rStyle w:val="FootnoteReference"/>
          <w:rFonts w:eastAsiaTheme="minorEastAsia" w:cs="Simplified Arabic"/>
          <w:b w:val="0"/>
          <w:szCs w:val="18"/>
          <w:vertAlign w:val="baseline"/>
        </w:rPr>
        <w:footnoteRef/>
      </w:r>
      <w:r w:rsidRPr="00620C46">
        <w:rPr>
          <w:rStyle w:val="FootnoteReference"/>
          <w:rFonts w:eastAsiaTheme="minorEastAsia" w:cs="Simplified Arabic"/>
          <w:b w:val="0"/>
          <w:szCs w:val="18"/>
          <w:vertAlign w:val="baseline"/>
          <w:rtl/>
        </w:rPr>
        <w:t>)</w:t>
      </w:r>
      <w:r w:rsidRPr="00620C46">
        <w:rPr>
          <w:rFonts w:eastAsiaTheme="minorEastAsia"/>
          <w:rtl/>
        </w:rPr>
        <w:tab/>
        <w:t xml:space="preserve">تستشهد الدولة الطرف بالتعليق العام رقم </w:t>
      </w:r>
      <w:r w:rsidRPr="00990AFC">
        <w:rPr>
          <w:rFonts w:eastAsiaTheme="minorEastAsia"/>
          <w:rtl/>
        </w:rPr>
        <w:t>32</w:t>
      </w:r>
      <w:r w:rsidRPr="00620C46">
        <w:rPr>
          <w:rFonts w:eastAsiaTheme="minorEastAsia"/>
          <w:rtl/>
        </w:rPr>
        <w:t>(</w:t>
      </w:r>
      <w:r w:rsidRPr="00990AFC">
        <w:rPr>
          <w:rFonts w:eastAsiaTheme="minorEastAsia"/>
          <w:rtl/>
        </w:rPr>
        <w:t>2007</w:t>
      </w:r>
      <w:r w:rsidRPr="00620C46">
        <w:rPr>
          <w:rFonts w:eastAsiaTheme="minorEastAsia"/>
          <w:rtl/>
        </w:rPr>
        <w:t xml:space="preserve">)، الفقرة </w:t>
      </w:r>
      <w:r w:rsidRPr="00990AFC">
        <w:rPr>
          <w:rFonts w:eastAsiaTheme="minorEastAsia"/>
          <w:rtl/>
        </w:rPr>
        <w:t>39</w:t>
      </w:r>
      <w:r w:rsidRPr="00620C46">
        <w:rPr>
          <w:rFonts w:eastAsiaTheme="minorEastAsia"/>
          <w:rtl/>
        </w:rPr>
        <w:t xml:space="preserve">. </w:t>
      </w:r>
    </w:p>
  </w:footnote>
  <w:footnote w:id="10">
    <w:p w14:paraId="7049B2D7" w14:textId="77777777" w:rsidR="00620C46" w:rsidRPr="00620C46" w:rsidRDefault="00620C46" w:rsidP="00620C46">
      <w:pPr>
        <w:pStyle w:val="FootnoteText1"/>
        <w:textDirection w:val="tbRlV"/>
        <w:rPr>
          <w:rFonts w:eastAsiaTheme="minorEastAsia"/>
          <w:lang w:val="ar-SA" w:eastAsia="zh-TW" w:bidi="en-GB"/>
        </w:rPr>
      </w:pPr>
      <w:r w:rsidRPr="00620C46">
        <w:rPr>
          <w:rFonts w:eastAsiaTheme="minorEastAsia"/>
          <w:rtl/>
        </w:rPr>
        <w:t>(</w:t>
      </w:r>
      <w:r w:rsidRPr="00990AFC">
        <w:rPr>
          <w:rStyle w:val="FootnoteReference"/>
          <w:rFonts w:eastAsiaTheme="minorEastAsia" w:cs="Simplified Arabic"/>
          <w:b w:val="0"/>
          <w:szCs w:val="18"/>
          <w:vertAlign w:val="baseline"/>
        </w:rPr>
        <w:footnoteRef/>
      </w:r>
      <w:r w:rsidRPr="00620C46">
        <w:rPr>
          <w:rStyle w:val="FootnoteReference"/>
          <w:rFonts w:eastAsiaTheme="minorEastAsia" w:cs="Simplified Arabic"/>
          <w:b w:val="0"/>
          <w:szCs w:val="18"/>
          <w:vertAlign w:val="baseline"/>
          <w:rtl/>
        </w:rPr>
        <w:t>)</w:t>
      </w:r>
      <w:r w:rsidRPr="00620C46">
        <w:rPr>
          <w:rFonts w:eastAsiaTheme="minorEastAsia"/>
          <w:rtl/>
        </w:rPr>
        <w:tab/>
        <w:t xml:space="preserve">يستشهد صاحب البلاغ بقضية </w:t>
      </w:r>
      <w:proofErr w:type="spellStart"/>
      <w:r w:rsidRPr="00990AFC">
        <w:rPr>
          <w:rFonts w:eastAsiaTheme="minorEastAsia"/>
          <w:i/>
          <w:iCs/>
          <w:rtl/>
        </w:rPr>
        <w:t>غوماريس</w:t>
      </w:r>
      <w:proofErr w:type="spellEnd"/>
      <w:r w:rsidRPr="00990AFC">
        <w:rPr>
          <w:rFonts w:eastAsiaTheme="minorEastAsia"/>
          <w:i/>
          <w:iCs/>
          <w:rtl/>
        </w:rPr>
        <w:t xml:space="preserve"> </w:t>
      </w:r>
      <w:proofErr w:type="spellStart"/>
      <w:r w:rsidRPr="00990AFC">
        <w:rPr>
          <w:rFonts w:eastAsiaTheme="minorEastAsia"/>
          <w:i/>
          <w:iCs/>
          <w:rtl/>
        </w:rPr>
        <w:t>باليرا</w:t>
      </w:r>
      <w:proofErr w:type="spellEnd"/>
      <w:r w:rsidRPr="00990AFC">
        <w:rPr>
          <w:rFonts w:eastAsiaTheme="minorEastAsia"/>
          <w:i/>
          <w:iCs/>
          <w:rtl/>
        </w:rPr>
        <w:t xml:space="preserve"> ضد إسبانيا</w:t>
      </w:r>
      <w:r w:rsidRPr="00620C46">
        <w:rPr>
          <w:rFonts w:eastAsiaTheme="minorEastAsia"/>
          <w:rtl/>
        </w:rPr>
        <w:t xml:space="preserve"> (</w:t>
      </w:r>
      <w:hyperlink r:id="rId3" w:history="1">
        <w:r w:rsidRPr="00620C46">
          <w:rPr>
            <w:rStyle w:val="Hyperlink"/>
            <w:lang w:val="en-AU"/>
          </w:rPr>
          <w:t>CCPR/C/</w:t>
        </w:r>
        <w:r w:rsidRPr="00990AFC">
          <w:rPr>
            <w:rStyle w:val="Hyperlink"/>
            <w:lang w:val="en-AU"/>
          </w:rPr>
          <w:t>84</w:t>
        </w:r>
        <w:r w:rsidRPr="00620C46">
          <w:rPr>
            <w:rStyle w:val="Hyperlink"/>
            <w:lang w:val="en-AU"/>
          </w:rPr>
          <w:t>/D/</w:t>
        </w:r>
        <w:r w:rsidRPr="00990AFC">
          <w:rPr>
            <w:rStyle w:val="Hyperlink"/>
            <w:lang w:val="en-AU"/>
          </w:rPr>
          <w:t>1095</w:t>
        </w:r>
        <w:r w:rsidRPr="00620C46">
          <w:rPr>
            <w:rStyle w:val="Hyperlink"/>
            <w:lang w:val="en-AU"/>
          </w:rPr>
          <w:t>/</w:t>
        </w:r>
        <w:r w:rsidRPr="00990AFC">
          <w:rPr>
            <w:rStyle w:val="Hyperlink"/>
            <w:lang w:val="en-AU"/>
          </w:rPr>
          <w:t>2002</w:t>
        </w:r>
      </w:hyperlink>
      <w:r w:rsidRPr="00620C46">
        <w:rPr>
          <w:rFonts w:eastAsiaTheme="minorEastAsia"/>
          <w:rtl/>
        </w:rPr>
        <w:t xml:space="preserve">)، الفقرة </w:t>
      </w:r>
      <w:r w:rsidRPr="00990AFC">
        <w:rPr>
          <w:rFonts w:eastAsiaTheme="minorEastAsia"/>
          <w:rtl/>
        </w:rPr>
        <w:t>6</w:t>
      </w:r>
      <w:r w:rsidRPr="00620C46">
        <w:rPr>
          <w:rFonts w:eastAsiaTheme="minorEastAsia"/>
          <w:rtl/>
        </w:rPr>
        <w:t>-</w:t>
      </w:r>
      <w:r w:rsidRPr="00990AFC">
        <w:rPr>
          <w:rFonts w:eastAsiaTheme="minorEastAsia"/>
          <w:rtl/>
        </w:rPr>
        <w:t>4</w:t>
      </w:r>
      <w:r w:rsidRPr="00620C46">
        <w:rPr>
          <w:rFonts w:eastAsiaTheme="minorEastAsia"/>
          <w:rtl/>
        </w:rPr>
        <w:t xml:space="preserve">. </w:t>
      </w:r>
    </w:p>
  </w:footnote>
  <w:footnote w:id="11">
    <w:p w14:paraId="472A8EB0" w14:textId="77777777" w:rsidR="00620C46" w:rsidRPr="00620C46" w:rsidRDefault="00620C46" w:rsidP="00E1452B">
      <w:pPr>
        <w:pStyle w:val="FootnoteText1"/>
        <w:textDirection w:val="tbRlV"/>
        <w:rPr>
          <w:rFonts w:eastAsiaTheme="minorEastAsia"/>
          <w:lang w:val="ar-SA" w:eastAsia="zh-TW" w:bidi="en-GB"/>
        </w:rPr>
      </w:pPr>
      <w:r w:rsidRPr="00620C46">
        <w:rPr>
          <w:rFonts w:eastAsiaTheme="minorEastAsia"/>
          <w:rtl/>
        </w:rPr>
        <w:t>(</w:t>
      </w:r>
      <w:r w:rsidRPr="00990AFC">
        <w:rPr>
          <w:rStyle w:val="FootnoteReference"/>
          <w:rFonts w:eastAsiaTheme="minorEastAsia" w:cs="Simplified Arabic"/>
          <w:b w:val="0"/>
          <w:szCs w:val="18"/>
          <w:vertAlign w:val="baseline"/>
        </w:rPr>
        <w:footnoteRef/>
      </w:r>
      <w:r w:rsidRPr="00620C46">
        <w:rPr>
          <w:rStyle w:val="FootnoteReference"/>
          <w:rFonts w:eastAsiaTheme="minorEastAsia" w:cs="Simplified Arabic"/>
          <w:b w:val="0"/>
          <w:szCs w:val="18"/>
          <w:vertAlign w:val="baseline"/>
          <w:rtl/>
        </w:rPr>
        <w:t>)</w:t>
      </w:r>
      <w:r w:rsidRPr="00620C46">
        <w:rPr>
          <w:rFonts w:eastAsiaTheme="minorEastAsia"/>
          <w:rtl/>
        </w:rPr>
        <w:tab/>
      </w:r>
      <w:r w:rsidRPr="00620C46">
        <w:rPr>
          <w:rFonts w:eastAsiaTheme="minorEastAsia"/>
          <w:spacing w:val="-4"/>
          <w:rtl/>
        </w:rPr>
        <w:t>يقدم صاحب البلاغ نسخة من مذكرت</w:t>
      </w:r>
      <w:r w:rsidRPr="00620C46">
        <w:rPr>
          <w:rFonts w:eastAsiaTheme="minorEastAsia" w:hint="cs"/>
          <w:spacing w:val="-4"/>
          <w:rtl/>
        </w:rPr>
        <w:t>يْ</w:t>
      </w:r>
      <w:r w:rsidRPr="00620C46">
        <w:rPr>
          <w:rFonts w:eastAsiaTheme="minorEastAsia"/>
          <w:spacing w:val="-4"/>
          <w:rtl/>
        </w:rPr>
        <w:t xml:space="preserve"> الاعتراض على طلب</w:t>
      </w:r>
      <w:r w:rsidRPr="00620C46">
        <w:rPr>
          <w:rFonts w:eastAsiaTheme="minorEastAsia" w:hint="cs"/>
          <w:spacing w:val="-4"/>
          <w:rtl/>
        </w:rPr>
        <w:t>يْ</w:t>
      </w:r>
      <w:r w:rsidRPr="00620C46">
        <w:rPr>
          <w:rFonts w:eastAsiaTheme="minorEastAsia"/>
          <w:spacing w:val="-4"/>
          <w:rtl/>
        </w:rPr>
        <w:t xml:space="preserve"> الاستئناف </w:t>
      </w:r>
      <w:r w:rsidRPr="00620C46">
        <w:rPr>
          <w:rFonts w:eastAsiaTheme="minorEastAsia" w:hint="cs"/>
          <w:spacing w:val="-4"/>
          <w:rtl/>
        </w:rPr>
        <w:t xml:space="preserve">المقدميْن </w:t>
      </w:r>
      <w:r w:rsidRPr="00620C46">
        <w:rPr>
          <w:rFonts w:eastAsiaTheme="minorEastAsia"/>
          <w:spacing w:val="-4"/>
          <w:rtl/>
        </w:rPr>
        <w:t xml:space="preserve">من النيابة العامة ومحامي الدولة (الوثيقة رقم </w:t>
      </w:r>
      <w:r w:rsidRPr="00990AFC">
        <w:rPr>
          <w:rFonts w:eastAsiaTheme="minorEastAsia"/>
          <w:spacing w:val="-4"/>
          <w:rtl/>
        </w:rPr>
        <w:t>1</w:t>
      </w:r>
      <w:r w:rsidRPr="00620C46">
        <w:rPr>
          <w:rFonts w:eastAsiaTheme="minorEastAsia"/>
          <w:spacing w:val="-4"/>
          <w:rtl/>
        </w:rPr>
        <w:t>)؛ ونسخة</w:t>
      </w:r>
      <w:r w:rsidRPr="00620C46">
        <w:rPr>
          <w:rFonts w:eastAsiaTheme="minorEastAsia"/>
          <w:rtl/>
        </w:rPr>
        <w:t xml:space="preserve"> من المذكرة المقدمة باسمه بشأن الدعوى الاستثنائية لطلب إعلان </w:t>
      </w:r>
      <w:r w:rsidRPr="00620C46">
        <w:rPr>
          <w:rFonts w:eastAsiaTheme="minorEastAsia" w:hint="cs"/>
          <w:rtl/>
        </w:rPr>
        <w:t>ب</w:t>
      </w:r>
      <w:r w:rsidRPr="00620C46">
        <w:rPr>
          <w:rFonts w:eastAsiaTheme="minorEastAsia"/>
          <w:rtl/>
        </w:rPr>
        <w:t xml:space="preserve">طلان الإجراءات (الوثيقة رقم </w:t>
      </w:r>
      <w:r w:rsidRPr="00990AFC">
        <w:rPr>
          <w:rFonts w:eastAsiaTheme="minorEastAsia"/>
          <w:rtl/>
        </w:rPr>
        <w:t>2</w:t>
      </w:r>
      <w:r w:rsidRPr="00620C46">
        <w:rPr>
          <w:rFonts w:eastAsiaTheme="minorEastAsia"/>
          <w:rtl/>
        </w:rPr>
        <w:t xml:space="preserve">)؛ ونسخة من محضر جلسة مثوله أمام المحكمة لتعيين محاميه الجديد (الوثيقة رقم </w:t>
      </w:r>
      <w:r w:rsidRPr="00990AFC">
        <w:rPr>
          <w:rFonts w:eastAsiaTheme="minorEastAsia"/>
          <w:rtl/>
        </w:rPr>
        <w:t>3</w:t>
      </w:r>
      <w:r w:rsidRPr="00620C46">
        <w:rPr>
          <w:rFonts w:eastAsiaTheme="minorEastAsia"/>
          <w:rtl/>
        </w:rPr>
        <w:t xml:space="preserve">). </w:t>
      </w:r>
    </w:p>
  </w:footnote>
  <w:footnote w:id="12">
    <w:p w14:paraId="1B7B97FF" w14:textId="77777777" w:rsidR="00620C46" w:rsidRPr="00620C46" w:rsidRDefault="00620C46" w:rsidP="00620C46">
      <w:pPr>
        <w:pStyle w:val="FootnoteText1"/>
        <w:textDirection w:val="tbRlV"/>
        <w:rPr>
          <w:rFonts w:eastAsiaTheme="minorEastAsia"/>
          <w:lang w:val="ar-SA" w:eastAsia="zh-TW" w:bidi="en-GB"/>
        </w:rPr>
      </w:pPr>
      <w:r w:rsidRPr="00620C46">
        <w:rPr>
          <w:rFonts w:eastAsiaTheme="minorEastAsia"/>
          <w:rtl/>
        </w:rPr>
        <w:t>(</w:t>
      </w:r>
      <w:r w:rsidRPr="00990AFC">
        <w:rPr>
          <w:rStyle w:val="FootnoteReference"/>
          <w:rFonts w:eastAsiaTheme="minorEastAsia" w:cs="Simplified Arabic"/>
          <w:b w:val="0"/>
          <w:szCs w:val="18"/>
          <w:vertAlign w:val="baseline"/>
        </w:rPr>
        <w:footnoteRef/>
      </w:r>
      <w:r w:rsidRPr="00620C46">
        <w:rPr>
          <w:rStyle w:val="FootnoteReference"/>
          <w:rFonts w:eastAsiaTheme="minorEastAsia" w:cs="Simplified Arabic"/>
          <w:b w:val="0"/>
          <w:szCs w:val="18"/>
          <w:vertAlign w:val="baseline"/>
          <w:rtl/>
        </w:rPr>
        <w:t>)</w:t>
      </w:r>
      <w:r w:rsidRPr="00620C46">
        <w:rPr>
          <w:rFonts w:eastAsiaTheme="minorEastAsia"/>
          <w:rtl/>
        </w:rPr>
        <w:tab/>
        <w:t>انظر قضية </w:t>
      </w:r>
      <w:r w:rsidRPr="00990AFC">
        <w:rPr>
          <w:rFonts w:eastAsiaTheme="minorEastAsia"/>
          <w:i/>
          <w:iCs/>
          <w:rtl/>
        </w:rPr>
        <w:t>س. ضد النرويج</w:t>
      </w:r>
      <w:r w:rsidRPr="00620C46">
        <w:rPr>
          <w:rFonts w:eastAsiaTheme="minorEastAsia"/>
          <w:rtl/>
        </w:rPr>
        <w:t xml:space="preserve"> (</w:t>
      </w:r>
      <w:hyperlink r:id="rId4" w:history="1">
        <w:r w:rsidRPr="00620C46">
          <w:rPr>
            <w:rStyle w:val="Hyperlink"/>
            <w:lang w:val="en-AU"/>
          </w:rPr>
          <w:t>CCPR/C/</w:t>
        </w:r>
        <w:r w:rsidRPr="00990AFC">
          <w:rPr>
            <w:rStyle w:val="Hyperlink"/>
            <w:lang w:val="en-AU"/>
          </w:rPr>
          <w:t>115</w:t>
        </w:r>
        <w:r w:rsidRPr="00620C46">
          <w:rPr>
            <w:rStyle w:val="Hyperlink"/>
            <w:lang w:val="en-AU"/>
          </w:rPr>
          <w:t>/D/</w:t>
        </w:r>
        <w:r w:rsidRPr="00990AFC">
          <w:rPr>
            <w:rStyle w:val="Hyperlink"/>
            <w:lang w:val="en-AU"/>
          </w:rPr>
          <w:t>2474</w:t>
        </w:r>
        <w:r w:rsidRPr="00620C46">
          <w:rPr>
            <w:rStyle w:val="Hyperlink"/>
            <w:lang w:val="en-AU"/>
          </w:rPr>
          <w:t>/</w:t>
        </w:r>
        <w:r w:rsidRPr="00990AFC">
          <w:rPr>
            <w:rStyle w:val="Hyperlink"/>
            <w:lang w:val="en-AU"/>
          </w:rPr>
          <w:t>2014</w:t>
        </w:r>
      </w:hyperlink>
      <w:r w:rsidRPr="00620C46">
        <w:rPr>
          <w:rFonts w:eastAsiaTheme="minorEastAsia"/>
          <w:rtl/>
        </w:rPr>
        <w:t xml:space="preserve">)، الفقرة </w:t>
      </w:r>
      <w:r w:rsidRPr="00990AFC">
        <w:rPr>
          <w:rFonts w:eastAsiaTheme="minorEastAsia"/>
          <w:rtl/>
        </w:rPr>
        <w:t>6</w:t>
      </w:r>
      <w:r w:rsidRPr="00620C46">
        <w:rPr>
          <w:rFonts w:eastAsiaTheme="minorEastAsia"/>
          <w:rtl/>
        </w:rPr>
        <w:t>-</w:t>
      </w:r>
      <w:r w:rsidRPr="00990AFC">
        <w:rPr>
          <w:rFonts w:eastAsiaTheme="minorEastAsia"/>
          <w:rtl/>
        </w:rPr>
        <w:t>2</w:t>
      </w:r>
      <w:r w:rsidRPr="00620C46">
        <w:rPr>
          <w:rFonts w:eastAsiaTheme="minorEastAsia"/>
          <w:rtl/>
        </w:rPr>
        <w:t xml:space="preserve">. </w:t>
      </w:r>
    </w:p>
  </w:footnote>
  <w:footnote w:id="13">
    <w:p w14:paraId="3E3E2895" w14:textId="77777777" w:rsidR="00620C46" w:rsidRPr="00620C46" w:rsidRDefault="00620C46" w:rsidP="00620C46">
      <w:pPr>
        <w:pStyle w:val="FootnoteText1"/>
        <w:textDirection w:val="tbRlV"/>
        <w:rPr>
          <w:rFonts w:eastAsiaTheme="minorEastAsia"/>
          <w:lang w:val="ar-SA" w:eastAsia="zh-TW" w:bidi="en-GB"/>
        </w:rPr>
      </w:pPr>
      <w:r w:rsidRPr="00620C46">
        <w:rPr>
          <w:rFonts w:eastAsiaTheme="minorEastAsia"/>
          <w:rtl/>
        </w:rPr>
        <w:t>(</w:t>
      </w:r>
      <w:r w:rsidRPr="00990AFC">
        <w:rPr>
          <w:rStyle w:val="FootnoteReference"/>
          <w:rFonts w:eastAsiaTheme="minorEastAsia" w:cs="Simplified Arabic"/>
          <w:b w:val="0"/>
          <w:szCs w:val="18"/>
          <w:vertAlign w:val="baseline"/>
        </w:rPr>
        <w:footnoteRef/>
      </w:r>
      <w:r w:rsidRPr="00620C46">
        <w:rPr>
          <w:rStyle w:val="FootnoteReference"/>
          <w:rFonts w:eastAsiaTheme="minorEastAsia" w:cs="Simplified Arabic"/>
          <w:b w:val="0"/>
          <w:szCs w:val="18"/>
          <w:vertAlign w:val="baseline"/>
          <w:rtl/>
        </w:rPr>
        <w:t>)</w:t>
      </w:r>
      <w:r w:rsidRPr="00620C46">
        <w:rPr>
          <w:rFonts w:eastAsiaTheme="minorEastAsia"/>
          <w:rtl/>
        </w:rPr>
        <w:tab/>
        <w:t xml:space="preserve">انظر، على سبيل المثال، قضية </w:t>
      </w:r>
      <w:proofErr w:type="spellStart"/>
      <w:r w:rsidRPr="00990AFC">
        <w:rPr>
          <w:rFonts w:eastAsiaTheme="minorEastAsia"/>
          <w:i/>
          <w:iCs/>
          <w:rtl/>
        </w:rPr>
        <w:t>غوميث</w:t>
      </w:r>
      <w:proofErr w:type="spellEnd"/>
      <w:r w:rsidRPr="00990AFC">
        <w:rPr>
          <w:rFonts w:eastAsiaTheme="minorEastAsia"/>
          <w:i/>
          <w:iCs/>
          <w:rtl/>
        </w:rPr>
        <w:t xml:space="preserve"> </w:t>
      </w:r>
      <w:proofErr w:type="spellStart"/>
      <w:r w:rsidRPr="00990AFC">
        <w:rPr>
          <w:rFonts w:eastAsiaTheme="minorEastAsia"/>
          <w:i/>
          <w:iCs/>
          <w:rtl/>
        </w:rPr>
        <w:t>باسكيث</w:t>
      </w:r>
      <w:proofErr w:type="spellEnd"/>
      <w:r w:rsidRPr="00990AFC">
        <w:rPr>
          <w:rFonts w:eastAsiaTheme="minorEastAsia"/>
          <w:i/>
          <w:iCs/>
          <w:rtl/>
        </w:rPr>
        <w:t xml:space="preserve"> ضد إسبانيا </w:t>
      </w:r>
      <w:r w:rsidRPr="00620C46">
        <w:rPr>
          <w:rFonts w:eastAsiaTheme="minorEastAsia"/>
          <w:rtl/>
        </w:rPr>
        <w:t>(</w:t>
      </w:r>
      <w:hyperlink r:id="rId5" w:history="1">
        <w:r w:rsidRPr="00620C46">
          <w:rPr>
            <w:rStyle w:val="Hyperlink"/>
            <w:lang w:val="en-AU"/>
          </w:rPr>
          <w:t>CCPR/C/</w:t>
        </w:r>
        <w:r w:rsidRPr="00990AFC">
          <w:rPr>
            <w:rStyle w:val="Hyperlink"/>
            <w:lang w:val="en-AU"/>
          </w:rPr>
          <w:t>69</w:t>
        </w:r>
        <w:r w:rsidRPr="00620C46">
          <w:rPr>
            <w:rStyle w:val="Hyperlink"/>
            <w:lang w:val="en-AU"/>
          </w:rPr>
          <w:t>/D/</w:t>
        </w:r>
        <w:r w:rsidRPr="00990AFC">
          <w:rPr>
            <w:rStyle w:val="Hyperlink"/>
            <w:lang w:val="en-AU"/>
          </w:rPr>
          <w:t>701</w:t>
        </w:r>
        <w:r w:rsidRPr="00620C46">
          <w:rPr>
            <w:rStyle w:val="Hyperlink"/>
            <w:lang w:val="en-AU"/>
          </w:rPr>
          <w:t>/</w:t>
        </w:r>
        <w:r w:rsidRPr="00990AFC">
          <w:rPr>
            <w:rStyle w:val="Hyperlink"/>
            <w:lang w:val="en-AU"/>
          </w:rPr>
          <w:t>1996</w:t>
        </w:r>
      </w:hyperlink>
      <w:r w:rsidRPr="00620C46">
        <w:rPr>
          <w:rFonts w:eastAsiaTheme="minorEastAsia"/>
          <w:rtl/>
        </w:rPr>
        <w:t xml:space="preserve">)، الفقرة </w:t>
      </w:r>
      <w:r w:rsidRPr="00990AFC">
        <w:rPr>
          <w:rFonts w:eastAsiaTheme="minorEastAsia"/>
          <w:rtl/>
        </w:rPr>
        <w:t>10</w:t>
      </w:r>
      <w:r w:rsidRPr="00620C46">
        <w:rPr>
          <w:rFonts w:eastAsiaTheme="minorEastAsia"/>
          <w:rtl/>
        </w:rPr>
        <w:t>-</w:t>
      </w:r>
      <w:r w:rsidRPr="00990AFC">
        <w:rPr>
          <w:rFonts w:eastAsiaTheme="minorEastAsia"/>
          <w:rtl/>
        </w:rPr>
        <w:t>1</w:t>
      </w:r>
      <w:r w:rsidRPr="00620C46">
        <w:rPr>
          <w:rFonts w:eastAsiaTheme="minorEastAsia"/>
          <w:rtl/>
        </w:rPr>
        <w:t xml:space="preserve">؛ وقضية </w:t>
      </w:r>
      <w:r w:rsidRPr="00990AFC">
        <w:rPr>
          <w:rFonts w:eastAsiaTheme="minorEastAsia"/>
          <w:i/>
          <w:iCs/>
          <w:rtl/>
        </w:rPr>
        <w:t>سيمي ضد إسبانيا</w:t>
      </w:r>
      <w:r w:rsidRPr="00620C46">
        <w:rPr>
          <w:rFonts w:eastAsiaTheme="minorEastAsia"/>
          <w:rtl/>
        </w:rPr>
        <w:t xml:space="preserve"> (</w:t>
      </w:r>
      <w:hyperlink r:id="rId6" w:history="1">
        <w:r w:rsidRPr="00620C46">
          <w:rPr>
            <w:rStyle w:val="Hyperlink"/>
            <w:lang w:val="en-AU"/>
          </w:rPr>
          <w:t>CCPR/C/</w:t>
        </w:r>
        <w:r w:rsidRPr="00990AFC">
          <w:rPr>
            <w:rStyle w:val="Hyperlink"/>
            <w:lang w:val="en-AU"/>
          </w:rPr>
          <w:t>78</w:t>
        </w:r>
        <w:r w:rsidRPr="00620C46">
          <w:rPr>
            <w:rStyle w:val="Hyperlink"/>
            <w:lang w:val="en-AU"/>
          </w:rPr>
          <w:t>/D/</w:t>
        </w:r>
        <w:r w:rsidRPr="00990AFC">
          <w:rPr>
            <w:rStyle w:val="Hyperlink"/>
            <w:lang w:val="en-AU"/>
          </w:rPr>
          <w:t>986</w:t>
        </w:r>
        <w:r w:rsidRPr="00620C46">
          <w:rPr>
            <w:rStyle w:val="Hyperlink"/>
            <w:lang w:val="en-AU"/>
          </w:rPr>
          <w:t>/</w:t>
        </w:r>
        <w:r w:rsidRPr="00990AFC">
          <w:rPr>
            <w:rStyle w:val="Hyperlink"/>
            <w:lang w:val="en-AU"/>
          </w:rPr>
          <w:t>2001</w:t>
        </w:r>
      </w:hyperlink>
      <w:r w:rsidRPr="00620C46">
        <w:rPr>
          <w:rFonts w:eastAsiaTheme="minorEastAsia"/>
          <w:rtl/>
        </w:rPr>
        <w:t xml:space="preserve">)، الفقرة </w:t>
      </w:r>
      <w:r w:rsidRPr="00990AFC">
        <w:rPr>
          <w:rFonts w:eastAsiaTheme="minorEastAsia"/>
          <w:rtl/>
        </w:rPr>
        <w:t>8</w:t>
      </w:r>
      <w:r w:rsidRPr="00620C46">
        <w:rPr>
          <w:rFonts w:eastAsiaTheme="minorEastAsia"/>
          <w:rtl/>
        </w:rPr>
        <w:t>-</w:t>
      </w:r>
      <w:r w:rsidRPr="00990AFC">
        <w:rPr>
          <w:rFonts w:eastAsiaTheme="minorEastAsia"/>
          <w:rtl/>
        </w:rPr>
        <w:t>2</w:t>
      </w:r>
      <w:r w:rsidRPr="00620C46">
        <w:rPr>
          <w:rFonts w:eastAsiaTheme="minorEastAsia"/>
          <w:rtl/>
        </w:rPr>
        <w:t xml:space="preserve">؛ وقضية </w:t>
      </w:r>
      <w:r w:rsidRPr="00990AFC">
        <w:rPr>
          <w:rFonts w:eastAsiaTheme="minorEastAsia"/>
          <w:i/>
          <w:iCs/>
          <w:rtl/>
        </w:rPr>
        <w:t xml:space="preserve">ألبا </w:t>
      </w:r>
      <w:proofErr w:type="spellStart"/>
      <w:r w:rsidRPr="00990AFC">
        <w:rPr>
          <w:rFonts w:eastAsiaTheme="minorEastAsia"/>
          <w:i/>
          <w:iCs/>
          <w:rtl/>
        </w:rPr>
        <w:t>كابريادا</w:t>
      </w:r>
      <w:proofErr w:type="spellEnd"/>
      <w:r w:rsidRPr="00990AFC">
        <w:rPr>
          <w:rFonts w:eastAsiaTheme="minorEastAsia"/>
          <w:i/>
          <w:iCs/>
          <w:rtl/>
        </w:rPr>
        <w:t xml:space="preserve"> ضد إسبانيا </w:t>
      </w:r>
      <w:r w:rsidRPr="00620C46">
        <w:rPr>
          <w:rFonts w:eastAsiaTheme="minorEastAsia"/>
          <w:rtl/>
        </w:rPr>
        <w:t>(</w:t>
      </w:r>
      <w:hyperlink r:id="rId7" w:history="1">
        <w:r w:rsidRPr="00620C46">
          <w:rPr>
            <w:rStyle w:val="Hyperlink"/>
            <w:lang w:val="en-AU"/>
          </w:rPr>
          <w:t>CCPR/C/</w:t>
        </w:r>
        <w:r w:rsidRPr="00990AFC">
          <w:rPr>
            <w:rStyle w:val="Hyperlink"/>
            <w:lang w:val="en-AU"/>
          </w:rPr>
          <w:t>82</w:t>
        </w:r>
        <w:r w:rsidRPr="00620C46">
          <w:rPr>
            <w:rStyle w:val="Hyperlink"/>
            <w:lang w:val="en-AU"/>
          </w:rPr>
          <w:t>/D/</w:t>
        </w:r>
        <w:r w:rsidRPr="00990AFC">
          <w:rPr>
            <w:rStyle w:val="Hyperlink"/>
            <w:lang w:val="en-AU"/>
          </w:rPr>
          <w:t>1101</w:t>
        </w:r>
        <w:r w:rsidRPr="00620C46">
          <w:rPr>
            <w:rStyle w:val="Hyperlink"/>
            <w:lang w:val="en-AU"/>
          </w:rPr>
          <w:t>/</w:t>
        </w:r>
        <w:r w:rsidRPr="00990AFC">
          <w:rPr>
            <w:rStyle w:val="Hyperlink"/>
            <w:lang w:val="en-AU"/>
          </w:rPr>
          <w:t>2002</w:t>
        </w:r>
      </w:hyperlink>
      <w:r w:rsidRPr="00620C46">
        <w:rPr>
          <w:rFonts w:eastAsiaTheme="minorEastAsia"/>
          <w:rtl/>
        </w:rPr>
        <w:t xml:space="preserve">)، الفقرة </w:t>
      </w:r>
      <w:r w:rsidRPr="00990AFC">
        <w:rPr>
          <w:rFonts w:eastAsiaTheme="minorEastAsia"/>
          <w:rtl/>
        </w:rPr>
        <w:t>6</w:t>
      </w:r>
      <w:r w:rsidRPr="00620C46">
        <w:rPr>
          <w:rFonts w:eastAsiaTheme="minorEastAsia"/>
          <w:rtl/>
        </w:rPr>
        <w:t>-</w:t>
      </w:r>
      <w:r w:rsidRPr="00990AFC">
        <w:rPr>
          <w:rFonts w:eastAsiaTheme="minorEastAsia"/>
          <w:rtl/>
        </w:rPr>
        <w:t>5</w:t>
      </w:r>
      <w:r w:rsidRPr="00620C46">
        <w:rPr>
          <w:rFonts w:eastAsiaTheme="minorEastAsia"/>
          <w:rtl/>
        </w:rPr>
        <w:t xml:space="preserve">؛ وقضية </w:t>
      </w:r>
      <w:proofErr w:type="spellStart"/>
      <w:r w:rsidRPr="00990AFC">
        <w:rPr>
          <w:rFonts w:eastAsiaTheme="minorEastAsia"/>
          <w:i/>
          <w:iCs/>
          <w:rtl/>
        </w:rPr>
        <w:t>بريتو</w:t>
      </w:r>
      <w:proofErr w:type="spellEnd"/>
      <w:r w:rsidRPr="00990AFC">
        <w:rPr>
          <w:rFonts w:eastAsiaTheme="minorEastAsia"/>
          <w:i/>
          <w:iCs/>
          <w:rtl/>
        </w:rPr>
        <w:t xml:space="preserve"> ضد إسبانيا</w:t>
      </w:r>
      <w:r w:rsidRPr="00620C46">
        <w:rPr>
          <w:rFonts w:eastAsiaTheme="minorEastAsia"/>
          <w:rtl/>
        </w:rPr>
        <w:t xml:space="preserve"> (</w:t>
      </w:r>
      <w:hyperlink r:id="rId8" w:history="1">
        <w:r w:rsidRPr="00620C46">
          <w:rPr>
            <w:rStyle w:val="Hyperlink"/>
            <w:lang w:val="en-AU"/>
          </w:rPr>
          <w:t>CCPR/C/</w:t>
        </w:r>
        <w:r w:rsidRPr="00990AFC">
          <w:rPr>
            <w:rStyle w:val="Hyperlink"/>
            <w:lang w:val="en-AU"/>
          </w:rPr>
          <w:t>87</w:t>
        </w:r>
        <w:r w:rsidRPr="00620C46">
          <w:rPr>
            <w:rStyle w:val="Hyperlink"/>
            <w:lang w:val="en-AU"/>
          </w:rPr>
          <w:t>/D/</w:t>
        </w:r>
        <w:r w:rsidRPr="00990AFC">
          <w:rPr>
            <w:rStyle w:val="Hyperlink"/>
            <w:lang w:val="en-AU"/>
          </w:rPr>
          <w:t>1293</w:t>
        </w:r>
        <w:r w:rsidRPr="00620C46">
          <w:rPr>
            <w:rStyle w:val="Hyperlink"/>
            <w:lang w:val="en-AU"/>
          </w:rPr>
          <w:t>/</w:t>
        </w:r>
        <w:r w:rsidRPr="00990AFC">
          <w:rPr>
            <w:rStyle w:val="Hyperlink"/>
            <w:lang w:val="en-AU"/>
          </w:rPr>
          <w:t>2004</w:t>
        </w:r>
      </w:hyperlink>
      <w:r w:rsidRPr="00620C46">
        <w:rPr>
          <w:rFonts w:eastAsiaTheme="minorEastAsia"/>
          <w:rtl/>
        </w:rPr>
        <w:t xml:space="preserve">)، الفقرة </w:t>
      </w:r>
      <w:r w:rsidRPr="00990AFC">
        <w:rPr>
          <w:rFonts w:eastAsiaTheme="minorEastAsia"/>
          <w:rtl/>
        </w:rPr>
        <w:t>6</w:t>
      </w:r>
      <w:r w:rsidRPr="00620C46">
        <w:rPr>
          <w:rFonts w:eastAsiaTheme="minorEastAsia"/>
          <w:rtl/>
        </w:rPr>
        <w:t>-</w:t>
      </w:r>
      <w:r w:rsidRPr="00990AFC">
        <w:rPr>
          <w:rFonts w:eastAsiaTheme="minorEastAsia"/>
          <w:rtl/>
        </w:rPr>
        <w:t>3</w:t>
      </w:r>
      <w:r w:rsidRPr="00620C46">
        <w:rPr>
          <w:rFonts w:eastAsiaTheme="minorEastAsia"/>
          <w:rtl/>
        </w:rPr>
        <w:t xml:space="preserve">؛ وقضية </w:t>
      </w:r>
      <w:r w:rsidRPr="00990AFC">
        <w:rPr>
          <w:rFonts w:eastAsiaTheme="minorEastAsia"/>
          <w:i/>
          <w:iCs/>
          <w:rtl/>
        </w:rPr>
        <w:t>فيلامون فينتورا ضد إسبانيا</w:t>
      </w:r>
      <w:r w:rsidRPr="00620C46">
        <w:rPr>
          <w:rFonts w:eastAsiaTheme="minorEastAsia"/>
          <w:rtl/>
        </w:rPr>
        <w:t xml:space="preserve"> (</w:t>
      </w:r>
      <w:hyperlink r:id="rId9" w:history="1">
        <w:r w:rsidRPr="00620C46">
          <w:rPr>
            <w:rStyle w:val="Hyperlink"/>
            <w:lang w:val="en-AU"/>
          </w:rPr>
          <w:t>CCPR/C/</w:t>
        </w:r>
        <w:r w:rsidRPr="00990AFC">
          <w:rPr>
            <w:rStyle w:val="Hyperlink"/>
            <w:lang w:val="en-AU"/>
          </w:rPr>
          <w:t>88</w:t>
        </w:r>
        <w:r w:rsidRPr="00620C46">
          <w:rPr>
            <w:rStyle w:val="Hyperlink"/>
            <w:lang w:val="en-AU"/>
          </w:rPr>
          <w:t>/D/</w:t>
        </w:r>
        <w:r w:rsidRPr="00990AFC">
          <w:rPr>
            <w:rStyle w:val="Hyperlink"/>
            <w:lang w:val="en-AU"/>
          </w:rPr>
          <w:t>1305</w:t>
        </w:r>
        <w:r w:rsidRPr="00620C46">
          <w:rPr>
            <w:rStyle w:val="Hyperlink"/>
            <w:lang w:val="en-AU"/>
          </w:rPr>
          <w:t>/</w:t>
        </w:r>
        <w:r w:rsidRPr="00990AFC">
          <w:rPr>
            <w:rStyle w:val="Hyperlink"/>
            <w:lang w:val="en-AU"/>
          </w:rPr>
          <w:t>2004</w:t>
        </w:r>
      </w:hyperlink>
      <w:r w:rsidRPr="00620C46">
        <w:rPr>
          <w:rFonts w:eastAsiaTheme="minorEastAsia"/>
          <w:rtl/>
        </w:rPr>
        <w:t xml:space="preserve">)، الفقرة </w:t>
      </w:r>
      <w:r w:rsidRPr="00990AFC">
        <w:rPr>
          <w:rFonts w:eastAsiaTheme="minorEastAsia"/>
          <w:rtl/>
        </w:rPr>
        <w:t>6</w:t>
      </w:r>
      <w:r w:rsidRPr="00620C46">
        <w:rPr>
          <w:rFonts w:eastAsiaTheme="minorEastAsia"/>
          <w:rtl/>
        </w:rPr>
        <w:t>-</w:t>
      </w:r>
      <w:r w:rsidRPr="00990AFC">
        <w:rPr>
          <w:rFonts w:eastAsiaTheme="minorEastAsia"/>
          <w:rtl/>
        </w:rPr>
        <w:t>3</w:t>
      </w:r>
      <w:r w:rsidRPr="00620C46">
        <w:rPr>
          <w:rFonts w:eastAsiaTheme="minorEastAsia"/>
          <w:rtl/>
        </w:rPr>
        <w:t xml:space="preserve">. </w:t>
      </w:r>
    </w:p>
  </w:footnote>
  <w:footnote w:id="14">
    <w:p w14:paraId="65CB6371" w14:textId="77777777" w:rsidR="00620C46" w:rsidRPr="00620C46" w:rsidRDefault="00620C46" w:rsidP="00E1452B">
      <w:pPr>
        <w:pStyle w:val="FootnoteText1"/>
        <w:textDirection w:val="tbRlV"/>
        <w:rPr>
          <w:rFonts w:eastAsiaTheme="minorEastAsia"/>
          <w:lang w:val="ar-SA" w:eastAsia="zh-TW" w:bidi="en-GB"/>
        </w:rPr>
      </w:pPr>
      <w:r w:rsidRPr="00620C46">
        <w:rPr>
          <w:rFonts w:eastAsiaTheme="minorEastAsia"/>
          <w:rtl/>
        </w:rPr>
        <w:t>(</w:t>
      </w:r>
      <w:r w:rsidRPr="00990AFC">
        <w:rPr>
          <w:rStyle w:val="FootnoteReference"/>
          <w:rFonts w:eastAsiaTheme="minorEastAsia" w:cs="Simplified Arabic"/>
          <w:b w:val="0"/>
          <w:szCs w:val="18"/>
          <w:vertAlign w:val="baseline"/>
        </w:rPr>
        <w:footnoteRef/>
      </w:r>
      <w:r w:rsidRPr="00620C46">
        <w:rPr>
          <w:rStyle w:val="FootnoteReference"/>
          <w:rFonts w:eastAsiaTheme="minorEastAsia" w:cs="Simplified Arabic"/>
          <w:b w:val="0"/>
          <w:szCs w:val="18"/>
          <w:vertAlign w:val="baseline"/>
          <w:rtl/>
        </w:rPr>
        <w:t>)</w:t>
      </w:r>
      <w:r w:rsidRPr="00620C46">
        <w:rPr>
          <w:rFonts w:eastAsiaTheme="minorEastAsia"/>
          <w:rtl/>
        </w:rPr>
        <w:tab/>
      </w:r>
      <w:r w:rsidRPr="00990AFC">
        <w:rPr>
          <w:rFonts w:eastAsiaTheme="minorEastAsia"/>
          <w:i/>
          <w:iCs/>
          <w:rtl/>
        </w:rPr>
        <w:t xml:space="preserve">المرجع نفسه. </w:t>
      </w:r>
    </w:p>
  </w:footnote>
  <w:footnote w:id="15">
    <w:p w14:paraId="3687E980" w14:textId="77777777" w:rsidR="00620C46" w:rsidRPr="00620C46" w:rsidRDefault="00620C46" w:rsidP="00620C46">
      <w:pPr>
        <w:pStyle w:val="FootnoteText1"/>
        <w:textDirection w:val="tbRlV"/>
        <w:rPr>
          <w:rFonts w:eastAsiaTheme="minorEastAsia"/>
          <w:lang w:val="ar-SA" w:eastAsia="zh-TW" w:bidi="en-GB"/>
        </w:rPr>
      </w:pPr>
      <w:r w:rsidRPr="00620C46">
        <w:rPr>
          <w:rFonts w:eastAsiaTheme="minorEastAsia"/>
          <w:rtl/>
        </w:rPr>
        <w:t>(</w:t>
      </w:r>
      <w:r w:rsidRPr="00990AFC">
        <w:rPr>
          <w:rStyle w:val="FootnoteReference"/>
          <w:rFonts w:eastAsiaTheme="minorEastAsia" w:cs="Simplified Arabic"/>
          <w:b w:val="0"/>
          <w:szCs w:val="18"/>
          <w:vertAlign w:val="baseline"/>
        </w:rPr>
        <w:footnoteRef/>
      </w:r>
      <w:r w:rsidRPr="00620C46">
        <w:rPr>
          <w:rStyle w:val="FootnoteReference"/>
          <w:rFonts w:eastAsiaTheme="minorEastAsia" w:cs="Simplified Arabic"/>
          <w:b w:val="0"/>
          <w:szCs w:val="18"/>
          <w:vertAlign w:val="baseline"/>
          <w:rtl/>
        </w:rPr>
        <w:t>)</w:t>
      </w:r>
      <w:r w:rsidRPr="00620C46">
        <w:rPr>
          <w:rFonts w:eastAsiaTheme="minorEastAsia"/>
          <w:rtl/>
        </w:rPr>
        <w:tab/>
        <w:t xml:space="preserve">انظر قضية </w:t>
      </w:r>
      <w:proofErr w:type="spellStart"/>
      <w:r w:rsidRPr="00990AFC">
        <w:rPr>
          <w:rFonts w:eastAsiaTheme="minorEastAsia"/>
          <w:i/>
          <w:iCs/>
          <w:rtl/>
        </w:rPr>
        <w:t>كانيادا</w:t>
      </w:r>
      <w:proofErr w:type="spellEnd"/>
      <w:r w:rsidRPr="00990AFC">
        <w:rPr>
          <w:rFonts w:eastAsiaTheme="minorEastAsia"/>
          <w:i/>
          <w:iCs/>
          <w:rtl/>
        </w:rPr>
        <w:t xml:space="preserve"> مورا ضد إسبانيا </w:t>
      </w:r>
      <w:r w:rsidRPr="00620C46">
        <w:rPr>
          <w:rFonts w:eastAsiaTheme="minorEastAsia"/>
          <w:rtl/>
        </w:rPr>
        <w:t>(</w:t>
      </w:r>
      <w:hyperlink r:id="rId10" w:history="1">
        <w:r w:rsidRPr="00620C46">
          <w:rPr>
            <w:rStyle w:val="Hyperlink"/>
            <w:lang w:val="en-AU"/>
          </w:rPr>
          <w:t>CCPR/C/</w:t>
        </w:r>
        <w:r w:rsidRPr="00990AFC">
          <w:rPr>
            <w:rStyle w:val="Hyperlink"/>
            <w:lang w:val="en-AU"/>
          </w:rPr>
          <w:t>112</w:t>
        </w:r>
        <w:r w:rsidRPr="00620C46">
          <w:rPr>
            <w:rStyle w:val="Hyperlink"/>
            <w:lang w:val="en-AU"/>
          </w:rPr>
          <w:t>/D/</w:t>
        </w:r>
        <w:r w:rsidRPr="00990AFC">
          <w:rPr>
            <w:rStyle w:val="Hyperlink"/>
            <w:lang w:val="en-AU"/>
          </w:rPr>
          <w:t>2070</w:t>
        </w:r>
        <w:r w:rsidRPr="00620C46">
          <w:rPr>
            <w:rStyle w:val="Hyperlink"/>
            <w:lang w:val="en-AU"/>
          </w:rPr>
          <w:t>/</w:t>
        </w:r>
        <w:r w:rsidRPr="00990AFC">
          <w:rPr>
            <w:rStyle w:val="Hyperlink"/>
            <w:lang w:val="en-AU"/>
          </w:rPr>
          <w:t>2011</w:t>
        </w:r>
      </w:hyperlink>
      <w:r w:rsidRPr="00620C46">
        <w:rPr>
          <w:rFonts w:eastAsiaTheme="minorEastAsia"/>
          <w:rtl/>
        </w:rPr>
        <w:t xml:space="preserve">)، الفقرة </w:t>
      </w:r>
      <w:r w:rsidRPr="00990AFC">
        <w:rPr>
          <w:rFonts w:eastAsiaTheme="minorEastAsia"/>
          <w:rtl/>
        </w:rPr>
        <w:t>4</w:t>
      </w:r>
      <w:r w:rsidRPr="00620C46">
        <w:rPr>
          <w:rFonts w:eastAsiaTheme="minorEastAsia"/>
          <w:rtl/>
        </w:rPr>
        <w:t>-</w:t>
      </w:r>
      <w:r w:rsidRPr="00990AFC">
        <w:rPr>
          <w:rFonts w:eastAsiaTheme="minorEastAsia"/>
          <w:rtl/>
        </w:rPr>
        <w:t>3</w:t>
      </w:r>
      <w:r w:rsidRPr="00620C46">
        <w:rPr>
          <w:rFonts w:eastAsiaTheme="minorEastAsia"/>
          <w:rtl/>
        </w:rPr>
        <w:t xml:space="preserve">؛ وقضية </w:t>
      </w:r>
      <w:proofErr w:type="spellStart"/>
      <w:r w:rsidRPr="00990AFC">
        <w:rPr>
          <w:rFonts w:eastAsiaTheme="minorEastAsia"/>
          <w:i/>
          <w:iCs/>
          <w:rtl/>
        </w:rPr>
        <w:t>مانزانو</w:t>
      </w:r>
      <w:proofErr w:type="spellEnd"/>
      <w:r w:rsidRPr="00990AFC">
        <w:rPr>
          <w:rFonts w:eastAsiaTheme="minorEastAsia"/>
          <w:i/>
          <w:iCs/>
          <w:rtl/>
        </w:rPr>
        <w:t xml:space="preserve"> وآخرين ضد كولومبيا</w:t>
      </w:r>
      <w:r w:rsidRPr="00620C46">
        <w:rPr>
          <w:rFonts w:eastAsiaTheme="minorEastAsia"/>
          <w:rtl/>
        </w:rPr>
        <w:t xml:space="preserve"> (</w:t>
      </w:r>
      <w:hyperlink r:id="rId11" w:history="1">
        <w:r w:rsidRPr="00620C46">
          <w:rPr>
            <w:rStyle w:val="Hyperlink"/>
            <w:lang w:val="en-AU"/>
          </w:rPr>
          <w:t>CCPR/C/</w:t>
        </w:r>
        <w:r w:rsidRPr="00990AFC">
          <w:rPr>
            <w:rStyle w:val="Hyperlink"/>
            <w:lang w:val="en-AU"/>
          </w:rPr>
          <w:t>98</w:t>
        </w:r>
        <w:r w:rsidRPr="00620C46">
          <w:rPr>
            <w:rStyle w:val="Hyperlink"/>
            <w:lang w:val="en-AU"/>
          </w:rPr>
          <w:t>/D/</w:t>
        </w:r>
        <w:r w:rsidRPr="00990AFC">
          <w:rPr>
            <w:rStyle w:val="Hyperlink"/>
            <w:lang w:val="en-AU"/>
          </w:rPr>
          <w:t>1616</w:t>
        </w:r>
        <w:r w:rsidRPr="00620C46">
          <w:rPr>
            <w:rStyle w:val="Hyperlink"/>
            <w:lang w:val="en-AU"/>
          </w:rPr>
          <w:t>/</w:t>
        </w:r>
        <w:r w:rsidRPr="00990AFC">
          <w:rPr>
            <w:rStyle w:val="Hyperlink"/>
            <w:lang w:val="en-AU"/>
          </w:rPr>
          <w:t>2007</w:t>
        </w:r>
      </w:hyperlink>
      <w:r w:rsidRPr="00620C46">
        <w:rPr>
          <w:rFonts w:eastAsiaTheme="minorEastAsia"/>
          <w:rtl/>
        </w:rPr>
        <w:t xml:space="preserve">)، الفقرة </w:t>
      </w:r>
      <w:r w:rsidRPr="00990AFC">
        <w:rPr>
          <w:rFonts w:eastAsiaTheme="minorEastAsia"/>
          <w:rtl/>
        </w:rPr>
        <w:t>6</w:t>
      </w:r>
      <w:r w:rsidRPr="00620C46">
        <w:rPr>
          <w:rFonts w:eastAsiaTheme="minorEastAsia"/>
          <w:rtl/>
        </w:rPr>
        <w:t>-</w:t>
      </w:r>
      <w:r w:rsidRPr="00990AFC">
        <w:rPr>
          <w:rFonts w:eastAsiaTheme="minorEastAsia"/>
          <w:rtl/>
        </w:rPr>
        <w:t>4</w:t>
      </w:r>
      <w:r w:rsidRPr="00620C46">
        <w:rPr>
          <w:rFonts w:eastAsiaTheme="minorEastAsia"/>
          <w:rtl/>
        </w:rPr>
        <w:t xml:space="preserve">؛ وقضية </w:t>
      </w:r>
      <w:r w:rsidRPr="00990AFC">
        <w:rPr>
          <w:rFonts w:eastAsiaTheme="minorEastAsia"/>
          <w:i/>
          <w:iCs/>
          <w:rtl/>
        </w:rPr>
        <w:t>ل.</w:t>
      </w:r>
      <w:r w:rsidRPr="00620C46">
        <w:rPr>
          <w:rFonts w:eastAsiaTheme="minorEastAsia"/>
          <w:rtl/>
        </w:rPr>
        <w:t xml:space="preserve"> </w:t>
      </w:r>
      <w:r w:rsidRPr="00990AFC">
        <w:rPr>
          <w:rFonts w:eastAsiaTheme="minorEastAsia"/>
          <w:i/>
          <w:iCs/>
          <w:rtl/>
        </w:rPr>
        <w:t>د. ل.</w:t>
      </w:r>
      <w:r w:rsidRPr="00620C46">
        <w:rPr>
          <w:rFonts w:eastAsiaTheme="minorEastAsia"/>
          <w:rtl/>
        </w:rPr>
        <w:t xml:space="preserve"> </w:t>
      </w:r>
      <w:r w:rsidRPr="00990AFC">
        <w:rPr>
          <w:rFonts w:eastAsiaTheme="minorEastAsia"/>
          <w:i/>
          <w:iCs/>
          <w:rtl/>
        </w:rPr>
        <w:t>ب. ضد إسبانيا</w:t>
      </w:r>
      <w:r w:rsidRPr="00620C46">
        <w:rPr>
          <w:rFonts w:eastAsiaTheme="minorEastAsia"/>
          <w:rtl/>
        </w:rPr>
        <w:t xml:space="preserve"> (</w:t>
      </w:r>
      <w:hyperlink r:id="rId12" w:history="1">
        <w:r w:rsidRPr="00620C46">
          <w:rPr>
            <w:rStyle w:val="Hyperlink"/>
            <w:lang w:val="en-AU"/>
          </w:rPr>
          <w:t>CCPR/C/</w:t>
        </w:r>
        <w:r w:rsidRPr="00990AFC">
          <w:rPr>
            <w:rStyle w:val="Hyperlink"/>
            <w:lang w:val="en-AU"/>
          </w:rPr>
          <w:t>102</w:t>
        </w:r>
        <w:r w:rsidRPr="00620C46">
          <w:rPr>
            <w:rStyle w:val="Hyperlink"/>
            <w:lang w:val="en-AU"/>
          </w:rPr>
          <w:t>/D/</w:t>
        </w:r>
        <w:r w:rsidRPr="00990AFC">
          <w:rPr>
            <w:rStyle w:val="Hyperlink"/>
            <w:lang w:val="en-AU"/>
          </w:rPr>
          <w:t>1622</w:t>
        </w:r>
        <w:r w:rsidRPr="00620C46">
          <w:rPr>
            <w:rStyle w:val="Hyperlink"/>
            <w:lang w:val="en-AU"/>
          </w:rPr>
          <w:t>/</w:t>
        </w:r>
        <w:r w:rsidRPr="00990AFC">
          <w:rPr>
            <w:rStyle w:val="Hyperlink"/>
            <w:lang w:val="en-AU"/>
          </w:rPr>
          <w:t>2007</w:t>
        </w:r>
      </w:hyperlink>
      <w:r w:rsidRPr="00620C46">
        <w:rPr>
          <w:rFonts w:eastAsiaTheme="minorEastAsia"/>
          <w:rtl/>
        </w:rPr>
        <w:t xml:space="preserve">)، الفقرة </w:t>
      </w:r>
      <w:r w:rsidRPr="00990AFC">
        <w:rPr>
          <w:rFonts w:eastAsiaTheme="minorEastAsia"/>
          <w:rtl/>
        </w:rPr>
        <w:t>6</w:t>
      </w:r>
      <w:r w:rsidRPr="00620C46">
        <w:rPr>
          <w:rFonts w:eastAsiaTheme="minorEastAsia"/>
          <w:rtl/>
        </w:rPr>
        <w:t>-</w:t>
      </w:r>
      <w:r w:rsidRPr="00990AFC">
        <w:rPr>
          <w:rFonts w:eastAsiaTheme="minorEastAsia"/>
          <w:rtl/>
        </w:rPr>
        <w:t>3</w:t>
      </w:r>
      <w:r w:rsidRPr="00620C46">
        <w:rPr>
          <w:rFonts w:eastAsiaTheme="minorEastAsia"/>
          <w:rtl/>
        </w:rPr>
        <w:t xml:space="preserve">. </w:t>
      </w:r>
    </w:p>
  </w:footnote>
  <w:footnote w:id="16">
    <w:p w14:paraId="3A931F41" w14:textId="77777777" w:rsidR="00620C46" w:rsidRPr="00620C46" w:rsidRDefault="00620C46" w:rsidP="00620C46">
      <w:pPr>
        <w:pStyle w:val="FootnoteText1"/>
        <w:textDirection w:val="tbRlV"/>
        <w:rPr>
          <w:rFonts w:eastAsiaTheme="minorEastAsia"/>
          <w:lang w:val="ar-SA" w:eastAsia="zh-TW" w:bidi="en-GB"/>
        </w:rPr>
      </w:pPr>
      <w:r w:rsidRPr="00620C46">
        <w:rPr>
          <w:rFonts w:eastAsiaTheme="minorEastAsia"/>
          <w:rtl/>
        </w:rPr>
        <w:t>(</w:t>
      </w:r>
      <w:r w:rsidRPr="00990AFC">
        <w:rPr>
          <w:rStyle w:val="FootnoteReference"/>
          <w:rFonts w:eastAsiaTheme="minorEastAsia" w:cs="Simplified Arabic"/>
          <w:b w:val="0"/>
          <w:szCs w:val="18"/>
          <w:vertAlign w:val="baseline"/>
        </w:rPr>
        <w:footnoteRef/>
      </w:r>
      <w:r w:rsidRPr="00620C46">
        <w:rPr>
          <w:rStyle w:val="FootnoteReference"/>
          <w:rFonts w:eastAsiaTheme="minorEastAsia" w:cs="Simplified Arabic"/>
          <w:b w:val="0"/>
          <w:szCs w:val="18"/>
          <w:vertAlign w:val="baseline"/>
          <w:rtl/>
        </w:rPr>
        <w:t>)</w:t>
      </w:r>
      <w:r w:rsidRPr="00620C46">
        <w:rPr>
          <w:rFonts w:eastAsiaTheme="minorEastAsia"/>
          <w:rtl/>
        </w:rPr>
        <w:tab/>
        <w:t xml:space="preserve">انظر قضية </w:t>
      </w:r>
      <w:r w:rsidRPr="00990AFC">
        <w:rPr>
          <w:rFonts w:eastAsiaTheme="minorEastAsia" w:hint="cs"/>
          <w:i/>
          <w:iCs/>
          <w:rtl/>
        </w:rPr>
        <w:t xml:space="preserve">س. </w:t>
      </w:r>
      <w:proofErr w:type="spellStart"/>
      <w:r w:rsidRPr="00990AFC">
        <w:rPr>
          <w:rFonts w:eastAsiaTheme="minorEastAsia" w:hint="cs"/>
          <w:i/>
          <w:iCs/>
          <w:rtl/>
        </w:rPr>
        <w:t>وص</w:t>
      </w:r>
      <w:proofErr w:type="spellEnd"/>
      <w:r w:rsidRPr="00990AFC">
        <w:rPr>
          <w:rFonts w:eastAsiaTheme="minorEastAsia" w:hint="cs"/>
          <w:i/>
          <w:iCs/>
          <w:rtl/>
        </w:rPr>
        <w:t>.</w:t>
      </w:r>
      <w:r w:rsidRPr="00990AFC">
        <w:rPr>
          <w:rFonts w:eastAsiaTheme="minorEastAsia"/>
          <w:i/>
          <w:iCs/>
          <w:rtl/>
        </w:rPr>
        <w:t xml:space="preserve"> ضد إسبانيا</w:t>
      </w:r>
      <w:r w:rsidRPr="00620C46">
        <w:rPr>
          <w:rFonts w:eastAsiaTheme="minorEastAsia"/>
          <w:rtl/>
        </w:rPr>
        <w:t xml:space="preserve"> (</w:t>
      </w:r>
      <w:hyperlink r:id="rId13" w:history="1">
        <w:r w:rsidRPr="00620C46">
          <w:rPr>
            <w:rStyle w:val="Hyperlink"/>
            <w:lang w:val="en-AU"/>
          </w:rPr>
          <w:t>CCPR/C/</w:t>
        </w:r>
        <w:r w:rsidRPr="00990AFC">
          <w:rPr>
            <w:rStyle w:val="Hyperlink"/>
            <w:lang w:val="en-AU"/>
          </w:rPr>
          <w:t>93</w:t>
        </w:r>
        <w:r w:rsidRPr="00620C46">
          <w:rPr>
            <w:rStyle w:val="Hyperlink"/>
            <w:lang w:val="en-AU"/>
          </w:rPr>
          <w:t>/D/</w:t>
        </w:r>
        <w:r w:rsidRPr="00990AFC">
          <w:rPr>
            <w:rStyle w:val="Hyperlink"/>
            <w:lang w:val="en-AU"/>
          </w:rPr>
          <w:t>1456</w:t>
        </w:r>
        <w:r w:rsidRPr="00620C46">
          <w:rPr>
            <w:rStyle w:val="Hyperlink"/>
            <w:lang w:val="en-AU"/>
          </w:rPr>
          <w:t>/</w:t>
        </w:r>
        <w:r w:rsidRPr="00990AFC">
          <w:rPr>
            <w:rStyle w:val="Hyperlink"/>
            <w:lang w:val="en-AU"/>
          </w:rPr>
          <w:t>2006</w:t>
        </w:r>
      </w:hyperlink>
      <w:r w:rsidRPr="00620C46">
        <w:rPr>
          <w:rFonts w:eastAsiaTheme="minorEastAsia"/>
          <w:rtl/>
        </w:rPr>
        <w:t xml:space="preserve">)، الفقرة </w:t>
      </w:r>
      <w:r w:rsidRPr="00990AFC">
        <w:rPr>
          <w:rFonts w:eastAsiaTheme="minorEastAsia"/>
          <w:rtl/>
        </w:rPr>
        <w:t>8</w:t>
      </w:r>
      <w:r w:rsidRPr="00620C46">
        <w:rPr>
          <w:rFonts w:eastAsiaTheme="minorEastAsia"/>
          <w:rtl/>
        </w:rPr>
        <w:t>-</w:t>
      </w:r>
      <w:r w:rsidRPr="00990AFC">
        <w:rPr>
          <w:rFonts w:eastAsiaTheme="minorEastAsia"/>
          <w:rtl/>
        </w:rPr>
        <w:t>3</w:t>
      </w:r>
      <w:r w:rsidRPr="00620C46">
        <w:rPr>
          <w:rFonts w:eastAsiaTheme="minorEastAsia"/>
          <w:rtl/>
        </w:rPr>
        <w:t xml:space="preserve">. </w:t>
      </w:r>
    </w:p>
  </w:footnote>
  <w:footnote w:id="17">
    <w:p w14:paraId="22BDE88B" w14:textId="77777777" w:rsidR="00620C46" w:rsidRPr="00620C46" w:rsidRDefault="00620C46" w:rsidP="00B01413">
      <w:pPr>
        <w:pStyle w:val="FootnoteText1"/>
        <w:spacing w:line="260" w:lineRule="exact"/>
        <w:textDirection w:val="tbRlV"/>
        <w:rPr>
          <w:rFonts w:eastAsiaTheme="minorEastAsia"/>
          <w:lang w:val="ar-SA" w:eastAsia="zh-TW" w:bidi="en-GB"/>
        </w:rPr>
      </w:pPr>
      <w:r w:rsidRPr="00620C46">
        <w:rPr>
          <w:rFonts w:eastAsiaTheme="minorEastAsia"/>
          <w:rtl/>
        </w:rPr>
        <w:t>(</w:t>
      </w:r>
      <w:r w:rsidRPr="00990AFC">
        <w:rPr>
          <w:rStyle w:val="FootnoteReference"/>
          <w:rFonts w:eastAsiaTheme="minorEastAsia" w:cs="Simplified Arabic"/>
          <w:b w:val="0"/>
          <w:szCs w:val="18"/>
          <w:vertAlign w:val="baseline"/>
        </w:rPr>
        <w:footnoteRef/>
      </w:r>
      <w:r w:rsidRPr="00620C46">
        <w:rPr>
          <w:rStyle w:val="FootnoteReference"/>
          <w:rFonts w:eastAsiaTheme="minorEastAsia" w:cs="Simplified Arabic"/>
          <w:b w:val="0"/>
          <w:szCs w:val="18"/>
          <w:vertAlign w:val="baseline"/>
          <w:rtl/>
        </w:rPr>
        <w:t>)</w:t>
      </w:r>
      <w:r w:rsidRPr="00620C46">
        <w:rPr>
          <w:rFonts w:eastAsiaTheme="minorEastAsia"/>
          <w:rtl/>
        </w:rPr>
        <w:tab/>
        <w:t xml:space="preserve">التعليق العام رقم </w:t>
      </w:r>
      <w:r w:rsidRPr="00990AFC">
        <w:rPr>
          <w:rFonts w:eastAsiaTheme="minorEastAsia"/>
          <w:rtl/>
        </w:rPr>
        <w:t>32</w:t>
      </w:r>
      <w:r w:rsidRPr="00620C46">
        <w:rPr>
          <w:rFonts w:eastAsiaTheme="minorEastAsia"/>
          <w:rtl/>
        </w:rPr>
        <w:t>(</w:t>
      </w:r>
      <w:r w:rsidRPr="00990AFC">
        <w:rPr>
          <w:rFonts w:eastAsiaTheme="minorEastAsia"/>
          <w:rtl/>
        </w:rPr>
        <w:t>2007</w:t>
      </w:r>
      <w:r w:rsidRPr="00620C46">
        <w:rPr>
          <w:rFonts w:eastAsiaTheme="minorEastAsia"/>
          <w:rtl/>
        </w:rPr>
        <w:t xml:space="preserve">)، الفقرة </w:t>
      </w:r>
      <w:r w:rsidRPr="00990AFC">
        <w:rPr>
          <w:rFonts w:eastAsiaTheme="minorEastAsia"/>
          <w:rtl/>
        </w:rPr>
        <w:t>47</w:t>
      </w:r>
      <w:r w:rsidRPr="00620C46">
        <w:rPr>
          <w:rFonts w:eastAsiaTheme="minorEastAsia"/>
          <w:rtl/>
        </w:rPr>
        <w:t xml:space="preserve">. </w:t>
      </w:r>
    </w:p>
  </w:footnote>
  <w:footnote w:id="18">
    <w:p w14:paraId="6475BD2F" w14:textId="77777777" w:rsidR="00620C46" w:rsidRPr="00620C46" w:rsidRDefault="00620C46" w:rsidP="00620C46">
      <w:pPr>
        <w:pStyle w:val="FootnoteText1"/>
        <w:spacing w:line="260" w:lineRule="exact"/>
        <w:textDirection w:val="tbRlV"/>
        <w:rPr>
          <w:rFonts w:eastAsiaTheme="minorEastAsia"/>
          <w:lang w:val="ar-SA" w:eastAsia="zh-TW" w:bidi="en-GB"/>
        </w:rPr>
      </w:pPr>
      <w:r w:rsidRPr="00620C46">
        <w:rPr>
          <w:rFonts w:eastAsiaTheme="minorEastAsia"/>
          <w:rtl/>
        </w:rPr>
        <w:t>(</w:t>
      </w:r>
      <w:r w:rsidRPr="00990AFC">
        <w:rPr>
          <w:rStyle w:val="FootnoteReference"/>
          <w:rFonts w:eastAsiaTheme="minorEastAsia" w:cs="Simplified Arabic"/>
          <w:b w:val="0"/>
          <w:szCs w:val="18"/>
          <w:vertAlign w:val="baseline"/>
        </w:rPr>
        <w:footnoteRef/>
      </w:r>
      <w:r w:rsidRPr="00620C46">
        <w:rPr>
          <w:rStyle w:val="FootnoteReference"/>
          <w:rFonts w:eastAsiaTheme="minorEastAsia" w:cs="Simplified Arabic"/>
          <w:b w:val="0"/>
          <w:szCs w:val="18"/>
          <w:vertAlign w:val="baseline"/>
          <w:rtl/>
        </w:rPr>
        <w:t>)</w:t>
      </w:r>
      <w:r w:rsidRPr="00620C46">
        <w:rPr>
          <w:rFonts w:eastAsiaTheme="minorEastAsia"/>
          <w:rtl/>
        </w:rPr>
        <w:tab/>
        <w:t xml:space="preserve">انظر قضية </w:t>
      </w:r>
      <w:r w:rsidRPr="00990AFC">
        <w:rPr>
          <w:rFonts w:eastAsiaTheme="minorEastAsia"/>
          <w:i/>
          <w:iCs/>
          <w:rtl/>
        </w:rPr>
        <w:t>تيرون ضدّ إسبانيا</w:t>
      </w:r>
      <w:r w:rsidRPr="00620C46">
        <w:rPr>
          <w:rFonts w:eastAsiaTheme="minorEastAsia"/>
          <w:rtl/>
        </w:rPr>
        <w:t xml:space="preserve"> (</w:t>
      </w:r>
      <w:hyperlink r:id="rId14" w:history="1">
        <w:r w:rsidRPr="00620C46">
          <w:rPr>
            <w:rStyle w:val="Hyperlink"/>
            <w:lang w:val="en-AU"/>
          </w:rPr>
          <w:t>CCPR/C/</w:t>
        </w:r>
        <w:r w:rsidRPr="00990AFC">
          <w:rPr>
            <w:rStyle w:val="Hyperlink"/>
            <w:lang w:val="en-AU"/>
          </w:rPr>
          <w:t>82</w:t>
        </w:r>
        <w:r w:rsidRPr="00620C46">
          <w:rPr>
            <w:rStyle w:val="Hyperlink"/>
            <w:lang w:val="en-AU"/>
          </w:rPr>
          <w:t>/D/</w:t>
        </w:r>
        <w:r w:rsidRPr="00990AFC">
          <w:rPr>
            <w:rStyle w:val="Hyperlink"/>
            <w:lang w:val="en-AU"/>
          </w:rPr>
          <w:t>1073</w:t>
        </w:r>
        <w:r w:rsidRPr="00620C46">
          <w:rPr>
            <w:rStyle w:val="Hyperlink"/>
            <w:lang w:val="en-AU"/>
          </w:rPr>
          <w:t>/</w:t>
        </w:r>
        <w:r w:rsidRPr="00990AFC">
          <w:rPr>
            <w:rStyle w:val="Hyperlink"/>
            <w:lang w:val="en-AU"/>
          </w:rPr>
          <w:t>2002</w:t>
        </w:r>
      </w:hyperlink>
      <w:r w:rsidRPr="00620C46">
        <w:rPr>
          <w:rFonts w:eastAsiaTheme="minorEastAsia"/>
          <w:rtl/>
        </w:rPr>
        <w:t xml:space="preserve">)، الفقرة </w:t>
      </w:r>
      <w:r w:rsidRPr="00990AFC">
        <w:rPr>
          <w:rFonts w:eastAsiaTheme="minorEastAsia"/>
          <w:rtl/>
        </w:rPr>
        <w:t>7</w:t>
      </w:r>
      <w:r w:rsidRPr="00620C46">
        <w:rPr>
          <w:rFonts w:eastAsiaTheme="minorEastAsia"/>
          <w:rtl/>
        </w:rPr>
        <w:t>-</w:t>
      </w:r>
      <w:r w:rsidRPr="00990AFC">
        <w:rPr>
          <w:rFonts w:eastAsiaTheme="minorEastAsia"/>
          <w:rtl/>
        </w:rPr>
        <w:t>4</w:t>
      </w:r>
      <w:r w:rsidRPr="00620C46">
        <w:rPr>
          <w:rFonts w:eastAsiaTheme="minorEastAsia"/>
          <w:rtl/>
        </w:rPr>
        <w:t xml:space="preserve">. وانظر أيضاً التعليق العام رقم </w:t>
      </w:r>
      <w:r w:rsidRPr="00990AFC">
        <w:rPr>
          <w:rFonts w:eastAsiaTheme="minorEastAsia"/>
          <w:rtl/>
        </w:rPr>
        <w:t>32</w:t>
      </w:r>
      <w:r w:rsidRPr="00620C46">
        <w:rPr>
          <w:rFonts w:eastAsiaTheme="minorEastAsia"/>
          <w:rtl/>
        </w:rPr>
        <w:t>(</w:t>
      </w:r>
      <w:r w:rsidRPr="00990AFC">
        <w:rPr>
          <w:rFonts w:eastAsiaTheme="minorEastAsia"/>
          <w:rtl/>
        </w:rPr>
        <w:t>2007</w:t>
      </w:r>
      <w:r w:rsidRPr="00620C46">
        <w:rPr>
          <w:rFonts w:eastAsiaTheme="minorEastAsia"/>
          <w:rtl/>
        </w:rPr>
        <w:t xml:space="preserve">)، الفقرات من </w:t>
      </w:r>
      <w:r w:rsidRPr="00990AFC">
        <w:rPr>
          <w:rFonts w:eastAsiaTheme="minorEastAsia"/>
          <w:rtl/>
        </w:rPr>
        <w:t>45</w:t>
      </w:r>
      <w:r w:rsidRPr="00620C46">
        <w:rPr>
          <w:rFonts w:eastAsiaTheme="minorEastAsia"/>
          <w:rtl/>
        </w:rPr>
        <w:t xml:space="preserve"> إلى </w:t>
      </w:r>
      <w:r w:rsidRPr="00990AFC">
        <w:rPr>
          <w:rFonts w:eastAsiaTheme="minorEastAsia"/>
          <w:rtl/>
        </w:rPr>
        <w:t>47</w:t>
      </w:r>
      <w:r w:rsidRPr="00620C46">
        <w:rPr>
          <w:rFonts w:eastAsiaTheme="minorEastAsia"/>
          <w:rtl/>
        </w:rPr>
        <w:t xml:space="preserve">، وقضية </w:t>
      </w:r>
      <w:proofErr w:type="spellStart"/>
      <w:r w:rsidRPr="00990AFC">
        <w:rPr>
          <w:rFonts w:eastAsiaTheme="minorEastAsia"/>
          <w:i/>
          <w:iCs/>
          <w:rtl/>
        </w:rPr>
        <w:t>بيلاسكيث</w:t>
      </w:r>
      <w:proofErr w:type="spellEnd"/>
      <w:r w:rsidRPr="00990AFC">
        <w:rPr>
          <w:rFonts w:eastAsiaTheme="minorEastAsia"/>
          <w:i/>
          <w:iCs/>
          <w:rtl/>
        </w:rPr>
        <w:t xml:space="preserve"> </w:t>
      </w:r>
      <w:proofErr w:type="spellStart"/>
      <w:r w:rsidRPr="00990AFC">
        <w:rPr>
          <w:rFonts w:eastAsiaTheme="minorEastAsia"/>
          <w:i/>
          <w:iCs/>
          <w:rtl/>
        </w:rPr>
        <w:t>إيتشيبيري</w:t>
      </w:r>
      <w:proofErr w:type="spellEnd"/>
      <w:r w:rsidRPr="00990AFC">
        <w:rPr>
          <w:rFonts w:eastAsiaTheme="minorEastAsia"/>
          <w:i/>
          <w:iCs/>
          <w:rtl/>
        </w:rPr>
        <w:t xml:space="preserve"> ضد كولومبيا</w:t>
      </w:r>
      <w:r w:rsidRPr="00620C46">
        <w:rPr>
          <w:rFonts w:eastAsiaTheme="minorEastAsia"/>
          <w:rtl/>
        </w:rPr>
        <w:t xml:space="preserve"> (</w:t>
      </w:r>
      <w:hyperlink r:id="rId15" w:history="1">
        <w:r w:rsidRPr="00620C46">
          <w:rPr>
            <w:rStyle w:val="Hyperlink"/>
            <w:lang w:val="en-AU"/>
          </w:rPr>
          <w:t>CCPR/C/</w:t>
        </w:r>
        <w:r w:rsidRPr="00990AFC">
          <w:rPr>
            <w:rStyle w:val="Hyperlink"/>
            <w:lang w:val="en-AU"/>
          </w:rPr>
          <w:t>129</w:t>
        </w:r>
        <w:r w:rsidRPr="00620C46">
          <w:rPr>
            <w:rStyle w:val="Hyperlink"/>
            <w:lang w:val="en-AU"/>
          </w:rPr>
          <w:t>/D/</w:t>
        </w:r>
        <w:r w:rsidRPr="00990AFC">
          <w:rPr>
            <w:rStyle w:val="Hyperlink"/>
            <w:lang w:val="en-AU"/>
          </w:rPr>
          <w:t>2931</w:t>
        </w:r>
        <w:r w:rsidRPr="00620C46">
          <w:rPr>
            <w:rStyle w:val="Hyperlink"/>
            <w:lang w:val="en-AU"/>
          </w:rPr>
          <w:t>/</w:t>
        </w:r>
        <w:r w:rsidRPr="00990AFC">
          <w:rPr>
            <w:rStyle w:val="Hyperlink"/>
            <w:lang w:val="en-AU"/>
          </w:rPr>
          <w:t>2017</w:t>
        </w:r>
      </w:hyperlink>
      <w:r w:rsidRPr="00620C46">
        <w:rPr>
          <w:rFonts w:eastAsiaTheme="minorEastAsia"/>
          <w:rtl/>
        </w:rPr>
        <w:t xml:space="preserve">)، الفقرة </w:t>
      </w:r>
      <w:r w:rsidRPr="00990AFC">
        <w:rPr>
          <w:rFonts w:eastAsiaTheme="minorEastAsia"/>
          <w:rtl/>
        </w:rPr>
        <w:t>9</w:t>
      </w:r>
      <w:r w:rsidRPr="00620C46">
        <w:rPr>
          <w:rFonts w:eastAsiaTheme="minorEastAsia"/>
          <w:rtl/>
        </w:rPr>
        <w:t>-</w:t>
      </w:r>
      <w:r w:rsidRPr="00990AFC">
        <w:rPr>
          <w:rFonts w:eastAsiaTheme="minorEastAsia"/>
          <w:rtl/>
        </w:rPr>
        <w:t>4</w:t>
      </w:r>
      <w:r w:rsidRPr="00620C46">
        <w:rPr>
          <w:rFonts w:eastAsiaTheme="minorEastAsia"/>
          <w:rtl/>
        </w:rPr>
        <w:t xml:space="preserve">. </w:t>
      </w:r>
    </w:p>
  </w:footnote>
  <w:footnote w:id="19">
    <w:p w14:paraId="71A25DB6" w14:textId="77777777" w:rsidR="00620C46" w:rsidRPr="00620C46" w:rsidRDefault="00620C46" w:rsidP="00620C46">
      <w:pPr>
        <w:pStyle w:val="FootnoteText1"/>
        <w:spacing w:line="260" w:lineRule="exact"/>
        <w:textDirection w:val="tbRlV"/>
        <w:rPr>
          <w:rFonts w:eastAsiaTheme="minorEastAsia"/>
          <w:lang w:val="ar-SA" w:eastAsia="zh-TW" w:bidi="en-GB"/>
        </w:rPr>
      </w:pPr>
      <w:r w:rsidRPr="00620C46">
        <w:rPr>
          <w:rFonts w:eastAsiaTheme="minorEastAsia"/>
          <w:rtl/>
        </w:rPr>
        <w:t>(</w:t>
      </w:r>
      <w:r w:rsidRPr="00990AFC">
        <w:rPr>
          <w:rStyle w:val="FootnoteReference"/>
          <w:rFonts w:eastAsiaTheme="minorEastAsia" w:cs="Simplified Arabic"/>
          <w:b w:val="0"/>
          <w:szCs w:val="18"/>
          <w:vertAlign w:val="baseline"/>
        </w:rPr>
        <w:footnoteRef/>
      </w:r>
      <w:r w:rsidRPr="00620C46">
        <w:rPr>
          <w:rStyle w:val="FootnoteReference"/>
          <w:rFonts w:eastAsiaTheme="minorEastAsia" w:cs="Simplified Arabic"/>
          <w:b w:val="0"/>
          <w:szCs w:val="18"/>
          <w:vertAlign w:val="baseline"/>
          <w:rtl/>
        </w:rPr>
        <w:t>)</w:t>
      </w:r>
      <w:r w:rsidRPr="00620C46">
        <w:rPr>
          <w:rFonts w:eastAsiaTheme="minorEastAsia"/>
          <w:rtl/>
        </w:rPr>
        <w:tab/>
        <w:t xml:space="preserve">قضية </w:t>
      </w:r>
      <w:proofErr w:type="spellStart"/>
      <w:r w:rsidRPr="00990AFC">
        <w:rPr>
          <w:rFonts w:eastAsiaTheme="minorEastAsia"/>
          <w:i/>
          <w:iCs/>
          <w:rtl/>
        </w:rPr>
        <w:t>أرياس</w:t>
      </w:r>
      <w:proofErr w:type="spellEnd"/>
      <w:r w:rsidRPr="00990AFC">
        <w:rPr>
          <w:rFonts w:eastAsiaTheme="minorEastAsia"/>
          <w:i/>
          <w:iCs/>
          <w:rtl/>
        </w:rPr>
        <w:t xml:space="preserve"> ليفا ضد كولومبيا </w:t>
      </w:r>
      <w:r w:rsidRPr="00620C46">
        <w:rPr>
          <w:rFonts w:eastAsiaTheme="minorEastAsia"/>
          <w:rtl/>
        </w:rPr>
        <w:t>(</w:t>
      </w:r>
      <w:hyperlink r:id="rId16" w:history="1">
        <w:r w:rsidRPr="00620C46">
          <w:rPr>
            <w:rStyle w:val="Hyperlink"/>
            <w:lang w:val="en-AU"/>
          </w:rPr>
          <w:t>CCPR/C/</w:t>
        </w:r>
        <w:r w:rsidRPr="00990AFC">
          <w:rPr>
            <w:rStyle w:val="Hyperlink"/>
            <w:lang w:val="en-AU"/>
          </w:rPr>
          <w:t>123</w:t>
        </w:r>
        <w:r w:rsidRPr="00620C46">
          <w:rPr>
            <w:rStyle w:val="Hyperlink"/>
            <w:lang w:val="en-AU"/>
          </w:rPr>
          <w:t>/D/</w:t>
        </w:r>
        <w:r w:rsidRPr="00990AFC">
          <w:rPr>
            <w:rStyle w:val="Hyperlink"/>
            <w:lang w:val="en-AU"/>
          </w:rPr>
          <w:t>2537</w:t>
        </w:r>
        <w:r w:rsidRPr="00620C46">
          <w:rPr>
            <w:rStyle w:val="Hyperlink"/>
            <w:lang w:val="en-AU"/>
          </w:rPr>
          <w:t>/</w:t>
        </w:r>
        <w:r w:rsidRPr="00990AFC">
          <w:rPr>
            <w:rStyle w:val="Hyperlink"/>
            <w:lang w:val="en-AU"/>
          </w:rPr>
          <w:t>2015</w:t>
        </w:r>
      </w:hyperlink>
      <w:r w:rsidRPr="00620C46">
        <w:rPr>
          <w:rFonts w:eastAsiaTheme="minorEastAsia"/>
          <w:rtl/>
        </w:rPr>
        <w:t xml:space="preserve">)، الفقرة </w:t>
      </w:r>
      <w:r w:rsidRPr="00990AFC">
        <w:rPr>
          <w:rFonts w:eastAsiaTheme="minorEastAsia"/>
          <w:rtl/>
        </w:rPr>
        <w:t>11</w:t>
      </w:r>
      <w:r w:rsidRPr="00620C46">
        <w:rPr>
          <w:rFonts w:eastAsiaTheme="minorEastAsia"/>
          <w:rtl/>
        </w:rPr>
        <w:t>-</w:t>
      </w:r>
      <w:r w:rsidRPr="00990AFC">
        <w:rPr>
          <w:rFonts w:eastAsiaTheme="minorEastAsia"/>
          <w:rtl/>
        </w:rPr>
        <w:t>4</w:t>
      </w:r>
      <w:r w:rsidRPr="00620C46">
        <w:rPr>
          <w:rFonts w:eastAsiaTheme="minorEastAsia"/>
          <w:rtl/>
        </w:rPr>
        <w:t xml:space="preserve">؛ وقضية </w:t>
      </w:r>
      <w:r w:rsidRPr="00990AFC">
        <w:rPr>
          <w:rFonts w:eastAsiaTheme="minorEastAsia"/>
          <w:i/>
          <w:iCs/>
          <w:rtl/>
        </w:rPr>
        <w:t>إ. د. م. ضد كولومبيا</w:t>
      </w:r>
      <w:r w:rsidRPr="00620C46">
        <w:rPr>
          <w:rFonts w:eastAsiaTheme="minorEastAsia"/>
          <w:rtl/>
        </w:rPr>
        <w:t xml:space="preserve"> (</w:t>
      </w:r>
      <w:hyperlink r:id="rId17" w:history="1">
        <w:r w:rsidRPr="00620C46">
          <w:rPr>
            <w:rStyle w:val="Hyperlink"/>
            <w:lang w:val="en-AU"/>
          </w:rPr>
          <w:t>CCPR/C/</w:t>
        </w:r>
        <w:r w:rsidRPr="00990AFC">
          <w:rPr>
            <w:rStyle w:val="Hyperlink"/>
            <w:lang w:val="en-AU"/>
          </w:rPr>
          <w:t>123</w:t>
        </w:r>
        <w:r w:rsidRPr="00620C46">
          <w:rPr>
            <w:rStyle w:val="Hyperlink"/>
            <w:lang w:val="en-AU"/>
          </w:rPr>
          <w:t>/D/</w:t>
        </w:r>
        <w:r w:rsidRPr="00990AFC">
          <w:rPr>
            <w:rStyle w:val="Hyperlink"/>
            <w:lang w:val="en-AU"/>
          </w:rPr>
          <w:t>2414</w:t>
        </w:r>
        <w:r w:rsidRPr="00620C46">
          <w:rPr>
            <w:rStyle w:val="Hyperlink"/>
            <w:lang w:val="en-AU"/>
          </w:rPr>
          <w:t>/</w:t>
        </w:r>
        <w:r w:rsidRPr="00990AFC">
          <w:rPr>
            <w:rStyle w:val="Hyperlink"/>
            <w:lang w:val="en-AU"/>
          </w:rPr>
          <w:t>2014</w:t>
        </w:r>
      </w:hyperlink>
      <w:r w:rsidRPr="00620C46">
        <w:rPr>
          <w:rFonts w:eastAsiaTheme="minorEastAsia"/>
          <w:rtl/>
        </w:rPr>
        <w:t xml:space="preserve">)، الفقرة </w:t>
      </w:r>
      <w:r w:rsidRPr="00990AFC">
        <w:rPr>
          <w:rFonts w:eastAsiaTheme="minorEastAsia"/>
          <w:rtl/>
        </w:rPr>
        <w:t>10</w:t>
      </w:r>
      <w:r w:rsidRPr="00620C46">
        <w:rPr>
          <w:rFonts w:eastAsiaTheme="minorEastAsia"/>
          <w:rtl/>
        </w:rPr>
        <w:t>-</w:t>
      </w:r>
      <w:r w:rsidRPr="00990AFC">
        <w:rPr>
          <w:rFonts w:eastAsiaTheme="minorEastAsia"/>
          <w:rtl/>
        </w:rPr>
        <w:t>4</w:t>
      </w:r>
      <w:r w:rsidRPr="00620C46">
        <w:rPr>
          <w:rFonts w:eastAsiaTheme="minorEastAsia"/>
          <w:rtl/>
        </w:rPr>
        <w:t xml:space="preserve">؛ وقضية </w:t>
      </w:r>
      <w:proofErr w:type="spellStart"/>
      <w:r w:rsidRPr="00990AFC">
        <w:rPr>
          <w:rFonts w:eastAsiaTheme="minorEastAsia"/>
          <w:i/>
          <w:iCs/>
          <w:rtl/>
        </w:rPr>
        <w:t>غوميث</w:t>
      </w:r>
      <w:proofErr w:type="spellEnd"/>
      <w:r w:rsidRPr="00990AFC">
        <w:rPr>
          <w:rFonts w:eastAsiaTheme="minorEastAsia"/>
          <w:i/>
          <w:iCs/>
          <w:rtl/>
        </w:rPr>
        <w:t xml:space="preserve"> </w:t>
      </w:r>
      <w:proofErr w:type="spellStart"/>
      <w:r w:rsidRPr="00990AFC">
        <w:rPr>
          <w:rFonts w:eastAsiaTheme="minorEastAsia"/>
          <w:i/>
          <w:iCs/>
          <w:rtl/>
        </w:rPr>
        <w:t>باسكيث</w:t>
      </w:r>
      <w:proofErr w:type="spellEnd"/>
      <w:r w:rsidRPr="00990AFC">
        <w:rPr>
          <w:rFonts w:eastAsiaTheme="minorEastAsia"/>
          <w:i/>
          <w:iCs/>
          <w:rtl/>
        </w:rPr>
        <w:t xml:space="preserve"> ضد إسبانيا</w:t>
      </w:r>
      <w:r w:rsidRPr="00620C46">
        <w:rPr>
          <w:rFonts w:eastAsiaTheme="minorEastAsia"/>
          <w:rtl/>
        </w:rPr>
        <w:t xml:space="preserve">، الفقرة </w:t>
      </w:r>
      <w:r w:rsidRPr="00990AFC">
        <w:rPr>
          <w:rFonts w:eastAsiaTheme="minorEastAsia"/>
          <w:rtl/>
        </w:rPr>
        <w:t>11</w:t>
      </w:r>
      <w:r w:rsidRPr="00620C46">
        <w:rPr>
          <w:rFonts w:eastAsiaTheme="minorEastAsia"/>
          <w:rtl/>
        </w:rPr>
        <w:t>-</w:t>
      </w:r>
      <w:r w:rsidRPr="00990AFC">
        <w:rPr>
          <w:rFonts w:eastAsiaTheme="minorEastAsia"/>
          <w:rtl/>
        </w:rPr>
        <w:t>1</w:t>
      </w:r>
      <w:r w:rsidRPr="00620C46">
        <w:rPr>
          <w:rFonts w:eastAsiaTheme="minorEastAsia"/>
          <w:rtl/>
        </w:rPr>
        <w:t xml:space="preserve">. </w:t>
      </w:r>
    </w:p>
  </w:footnote>
  <w:footnote w:id="20">
    <w:p w14:paraId="1B1EE0F3" w14:textId="77777777" w:rsidR="00620C46" w:rsidRPr="00620C46" w:rsidRDefault="00620C46" w:rsidP="00B01413">
      <w:pPr>
        <w:pStyle w:val="FootnoteText1"/>
        <w:textDirection w:val="tbRlV"/>
        <w:rPr>
          <w:rFonts w:eastAsiaTheme="minorEastAsia"/>
          <w:lang w:val="ar-SA" w:eastAsia="zh-TW" w:bidi="en-GB"/>
        </w:rPr>
      </w:pPr>
      <w:r w:rsidRPr="00620C46">
        <w:rPr>
          <w:rFonts w:eastAsiaTheme="minorEastAsia"/>
          <w:rtl/>
        </w:rPr>
        <w:t>(</w:t>
      </w:r>
      <w:r w:rsidRPr="00990AFC">
        <w:rPr>
          <w:rStyle w:val="FootnoteReference"/>
          <w:rFonts w:eastAsiaTheme="minorEastAsia" w:cs="Simplified Arabic"/>
          <w:b w:val="0"/>
          <w:szCs w:val="18"/>
          <w:vertAlign w:val="baseline"/>
        </w:rPr>
        <w:footnoteRef/>
      </w:r>
      <w:r w:rsidRPr="00620C46">
        <w:rPr>
          <w:rStyle w:val="FootnoteReference"/>
          <w:rFonts w:eastAsiaTheme="minorEastAsia" w:cs="Simplified Arabic"/>
          <w:b w:val="0"/>
          <w:szCs w:val="18"/>
          <w:vertAlign w:val="baseline"/>
          <w:rtl/>
        </w:rPr>
        <w:t>)</w:t>
      </w:r>
      <w:r w:rsidRPr="00620C46">
        <w:rPr>
          <w:rFonts w:eastAsiaTheme="minorEastAsia"/>
          <w:rtl/>
        </w:rPr>
        <w:tab/>
        <w:t xml:space="preserve">في عام </w:t>
      </w:r>
      <w:r w:rsidRPr="00990AFC">
        <w:rPr>
          <w:rFonts w:eastAsiaTheme="minorEastAsia"/>
          <w:rtl/>
        </w:rPr>
        <w:t>2015</w:t>
      </w:r>
      <w:r w:rsidRPr="00620C46">
        <w:rPr>
          <w:rFonts w:eastAsiaTheme="minorEastAsia"/>
          <w:rtl/>
        </w:rPr>
        <w:t xml:space="preserve">، أدخلت الدولة الطرف تعديلات قانونية باعتماد القانون </w:t>
      </w:r>
      <w:r w:rsidRPr="00990AFC">
        <w:rPr>
          <w:rFonts w:eastAsiaTheme="minorEastAsia"/>
          <w:rtl/>
        </w:rPr>
        <w:t>41</w:t>
      </w:r>
      <w:r w:rsidRPr="00620C46">
        <w:rPr>
          <w:rFonts w:eastAsiaTheme="minorEastAsia"/>
          <w:rtl/>
        </w:rPr>
        <w:t>/</w:t>
      </w:r>
      <w:r w:rsidRPr="00990AFC">
        <w:rPr>
          <w:rFonts w:eastAsiaTheme="minorEastAsia"/>
          <w:rtl/>
        </w:rPr>
        <w:t>2015</w:t>
      </w:r>
      <w:r w:rsidRPr="00620C46">
        <w:rPr>
          <w:rFonts w:eastAsiaTheme="minorEastAsia"/>
          <w:rtl/>
        </w:rPr>
        <w:t xml:space="preserve">، المؤرخ </w:t>
      </w:r>
      <w:r w:rsidRPr="00990AFC">
        <w:rPr>
          <w:rFonts w:eastAsiaTheme="minorEastAsia"/>
          <w:rtl/>
        </w:rPr>
        <w:t>5</w:t>
      </w:r>
      <w:r w:rsidRPr="00620C46">
        <w:rPr>
          <w:rFonts w:eastAsiaTheme="minorEastAsia"/>
          <w:rtl/>
        </w:rPr>
        <w:t xml:space="preserve"> تشرين الأول/أكتوبر </w:t>
      </w:r>
      <w:r w:rsidRPr="00990AFC">
        <w:rPr>
          <w:rFonts w:eastAsiaTheme="minorEastAsia"/>
          <w:rtl/>
        </w:rPr>
        <w:t>2015</w:t>
      </w:r>
      <w:r w:rsidRPr="00620C46">
        <w:rPr>
          <w:rFonts w:eastAsiaTheme="minorEastAsia"/>
          <w:rtl/>
        </w:rPr>
        <w:t xml:space="preserve">، الذي يعدل قانون الإجراءات الجنائية (القانون </w:t>
      </w:r>
      <w:r w:rsidRPr="00990AFC">
        <w:rPr>
          <w:rFonts w:eastAsiaTheme="minorEastAsia"/>
          <w:rtl/>
        </w:rPr>
        <w:t>1</w:t>
      </w:r>
      <w:r w:rsidRPr="00620C46">
        <w:rPr>
          <w:rFonts w:eastAsiaTheme="minorEastAsia"/>
          <w:rtl/>
        </w:rPr>
        <w:t>/</w:t>
      </w:r>
      <w:r w:rsidRPr="00990AFC">
        <w:rPr>
          <w:rFonts w:eastAsiaTheme="minorEastAsia"/>
          <w:rtl/>
        </w:rPr>
        <w:t>1882</w:t>
      </w:r>
      <w:r w:rsidRPr="00620C46">
        <w:rPr>
          <w:rFonts w:eastAsiaTheme="minorEastAsia"/>
          <w:rtl/>
        </w:rPr>
        <w:t xml:space="preserve">) من أجل تبسيط إجراءات العدالة الجنائية وتعزيز الضمانات الإجرائية، والذي يضيف إلى قانون الإجراءات الجنائية المادة </w:t>
      </w:r>
      <w:r w:rsidRPr="00990AFC">
        <w:rPr>
          <w:rFonts w:eastAsiaTheme="minorEastAsia"/>
          <w:rtl/>
        </w:rPr>
        <w:t>846</w:t>
      </w:r>
      <w:r w:rsidRPr="00620C46">
        <w:rPr>
          <w:rFonts w:eastAsiaTheme="minorEastAsia"/>
          <w:rtl/>
        </w:rPr>
        <w:t xml:space="preserve"> </w:t>
      </w:r>
      <w:r w:rsidRPr="00990AFC">
        <w:rPr>
          <w:rFonts w:eastAsiaTheme="minorEastAsia"/>
          <w:i/>
          <w:iCs/>
          <w:rtl/>
        </w:rPr>
        <w:t>مكرراً</w:t>
      </w:r>
      <w:r w:rsidRPr="00620C46">
        <w:rPr>
          <w:rFonts w:eastAsiaTheme="minorEastAsia"/>
          <w:rtl/>
        </w:rPr>
        <w:t xml:space="preserve"> ثانياً، التي تنص الفقرة </w:t>
      </w:r>
      <w:r w:rsidRPr="00990AFC">
        <w:rPr>
          <w:rFonts w:eastAsiaTheme="minorEastAsia"/>
          <w:rtl/>
        </w:rPr>
        <w:t>1</w:t>
      </w:r>
      <w:r w:rsidRPr="00620C46">
        <w:rPr>
          <w:rFonts w:eastAsiaTheme="minorEastAsia"/>
          <w:rtl/>
        </w:rPr>
        <w:t xml:space="preserve"> منها على </w:t>
      </w:r>
      <w:r w:rsidRPr="00620C46">
        <w:rPr>
          <w:rFonts w:ascii="Simplified Arabic" w:eastAsiaTheme="minorEastAsia" w:hAnsi="Simplified Arabic"/>
          <w:rtl/>
        </w:rPr>
        <w:t>ما يلي</w:t>
      </w:r>
      <w:r w:rsidRPr="00620C46">
        <w:rPr>
          <w:rFonts w:ascii="Simplified Arabic" w:eastAsiaTheme="minorEastAsia" w:hAnsi="Simplified Arabic"/>
        </w:rPr>
        <w:t>:</w:t>
      </w:r>
      <w:r w:rsidRPr="00620C46">
        <w:rPr>
          <w:rFonts w:eastAsiaTheme="minorEastAsia"/>
          <w:rtl/>
        </w:rPr>
        <w:t xml:space="preserve"> </w:t>
      </w:r>
    </w:p>
    <w:p w14:paraId="0AA89942" w14:textId="77777777" w:rsidR="00620C46" w:rsidRPr="00620C46" w:rsidRDefault="00620C46" w:rsidP="00B01413">
      <w:pPr>
        <w:pStyle w:val="FootnoteText1"/>
        <w:ind w:left="1814"/>
        <w:textDirection w:val="tbRlV"/>
        <w:rPr>
          <w:rFonts w:eastAsiaTheme="minorEastAsia"/>
          <w:spacing w:val="-4"/>
          <w:lang w:eastAsia="zh-TW" w:bidi="en-GB"/>
        </w:rPr>
      </w:pPr>
      <w:r w:rsidRPr="00620C46">
        <w:rPr>
          <w:rFonts w:eastAsiaTheme="minorEastAsia"/>
          <w:rtl/>
        </w:rPr>
        <w:tab/>
      </w:r>
      <w:r w:rsidRPr="00620C46">
        <w:rPr>
          <w:rFonts w:eastAsiaTheme="minorEastAsia"/>
          <w:rtl/>
        </w:rPr>
        <w:tab/>
        <w:t xml:space="preserve">يجوز استئناف القرارات التي تقضي بإنهاء الإجراءات لعدم الاختصاص أو </w:t>
      </w:r>
      <w:r w:rsidRPr="00620C46">
        <w:rPr>
          <w:rFonts w:eastAsiaTheme="minorEastAsia" w:hint="cs"/>
          <w:rtl/>
        </w:rPr>
        <w:t xml:space="preserve">بسبب </w:t>
      </w:r>
      <w:r w:rsidRPr="00620C46">
        <w:rPr>
          <w:rFonts w:eastAsiaTheme="minorEastAsia"/>
          <w:rtl/>
        </w:rPr>
        <w:t xml:space="preserve">رد الدعوى نهائياً والأحكام </w:t>
      </w:r>
      <w:r w:rsidRPr="00620C46">
        <w:rPr>
          <w:rFonts w:eastAsiaTheme="minorEastAsia"/>
          <w:spacing w:val="-4"/>
          <w:rtl/>
        </w:rPr>
        <w:t xml:space="preserve">الصادرة ابتدائياً عن المحاكم العليا الإقليمية أو عن الدائرة الجنائية بالمحكمة الوطنية أمام الدوائر المدنية والجنائية بمحاكم العدل العليا في الإقليم المعني وأمام دائرة الاستئناف بالمحكمة الوطنية، على التوالي، التي تبت في طلبات الاستئناف.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41C7" w14:textId="15FDA6BE" w:rsidR="00850E4D" w:rsidRPr="00850E4D" w:rsidRDefault="00850E4D" w:rsidP="00850E4D">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CCPR/C/132/D/2996/2017</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17BA" w14:textId="4AB67EC4" w:rsidR="00850E4D" w:rsidRPr="00850E4D" w:rsidRDefault="00850E4D" w:rsidP="00850E4D">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CCPR/C/132/D/2996/2017</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645283385">
    <w:abstractNumId w:val="15"/>
  </w:num>
  <w:num w:numId="2" w16cid:durableId="1572033415">
    <w:abstractNumId w:val="12"/>
  </w:num>
  <w:num w:numId="3" w16cid:durableId="418021071">
    <w:abstractNumId w:val="2"/>
  </w:num>
  <w:num w:numId="4" w16cid:durableId="2102947872">
    <w:abstractNumId w:val="11"/>
  </w:num>
  <w:num w:numId="5" w16cid:durableId="1862163020">
    <w:abstractNumId w:val="8"/>
  </w:num>
  <w:num w:numId="6" w16cid:durableId="1322612942">
    <w:abstractNumId w:val="5"/>
  </w:num>
  <w:num w:numId="7" w16cid:durableId="982080655">
    <w:abstractNumId w:val="17"/>
  </w:num>
  <w:num w:numId="8" w16cid:durableId="376242767">
    <w:abstractNumId w:val="2"/>
  </w:num>
  <w:num w:numId="9" w16cid:durableId="190847159">
    <w:abstractNumId w:val="11"/>
  </w:num>
  <w:num w:numId="10" w16cid:durableId="1870215801">
    <w:abstractNumId w:val="5"/>
  </w:num>
  <w:num w:numId="11" w16cid:durableId="594244013">
    <w:abstractNumId w:val="17"/>
  </w:num>
  <w:num w:numId="12" w16cid:durableId="952252751">
    <w:abstractNumId w:val="2"/>
  </w:num>
  <w:num w:numId="13" w16cid:durableId="1153327641">
    <w:abstractNumId w:val="11"/>
  </w:num>
  <w:num w:numId="14" w16cid:durableId="1218660413">
    <w:abstractNumId w:val="8"/>
  </w:num>
  <w:num w:numId="15" w16cid:durableId="695011308">
    <w:abstractNumId w:val="5"/>
  </w:num>
  <w:num w:numId="16" w16cid:durableId="1353072577">
    <w:abstractNumId w:val="17"/>
  </w:num>
  <w:num w:numId="17" w16cid:durableId="186408224">
    <w:abstractNumId w:val="4"/>
  </w:num>
  <w:num w:numId="18" w16cid:durableId="175579956">
    <w:abstractNumId w:val="3"/>
  </w:num>
  <w:num w:numId="19" w16cid:durableId="856507579">
    <w:abstractNumId w:val="16"/>
  </w:num>
  <w:num w:numId="20" w16cid:durableId="1268385048">
    <w:abstractNumId w:val="13"/>
  </w:num>
  <w:num w:numId="21" w16cid:durableId="1811484906">
    <w:abstractNumId w:val="1"/>
  </w:num>
  <w:num w:numId="22" w16cid:durableId="2086494419">
    <w:abstractNumId w:val="14"/>
  </w:num>
  <w:num w:numId="23" w16cid:durableId="811021564">
    <w:abstractNumId w:val="0"/>
  </w:num>
  <w:num w:numId="24" w16cid:durableId="1980064362">
    <w:abstractNumId w:val="9"/>
  </w:num>
  <w:num w:numId="25" w16cid:durableId="1341004657">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16cid:durableId="2510128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10649559">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16cid:durableId="591938774">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9" w16cid:durableId="634139107">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30" w16cid:durableId="305746126">
    <w:abstractNumId w:val="7"/>
  </w:num>
  <w:num w:numId="31" w16cid:durableId="546374254">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16cid:durableId="18284783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82"/>
    <w:rsid w:val="000076D5"/>
    <w:rsid w:val="00043663"/>
    <w:rsid w:val="000437B8"/>
    <w:rsid w:val="0004733A"/>
    <w:rsid w:val="000505CF"/>
    <w:rsid w:val="00074A4F"/>
    <w:rsid w:val="000D701C"/>
    <w:rsid w:val="000E2A71"/>
    <w:rsid w:val="00145577"/>
    <w:rsid w:val="00160263"/>
    <w:rsid w:val="00181F96"/>
    <w:rsid w:val="00185A79"/>
    <w:rsid w:val="001872B1"/>
    <w:rsid w:val="001A1371"/>
    <w:rsid w:val="001B043F"/>
    <w:rsid w:val="001B346A"/>
    <w:rsid w:val="001E1CAD"/>
    <w:rsid w:val="001E290D"/>
    <w:rsid w:val="002144FA"/>
    <w:rsid w:val="0023469A"/>
    <w:rsid w:val="00243C8A"/>
    <w:rsid w:val="00267A0E"/>
    <w:rsid w:val="002901D9"/>
    <w:rsid w:val="002976C2"/>
    <w:rsid w:val="003068BC"/>
    <w:rsid w:val="003260FF"/>
    <w:rsid w:val="00340F0E"/>
    <w:rsid w:val="00343D95"/>
    <w:rsid w:val="00363A18"/>
    <w:rsid w:val="00374341"/>
    <w:rsid w:val="003827C9"/>
    <w:rsid w:val="003B4237"/>
    <w:rsid w:val="003D1062"/>
    <w:rsid w:val="00402051"/>
    <w:rsid w:val="00420D7B"/>
    <w:rsid w:val="00422282"/>
    <w:rsid w:val="00422A2F"/>
    <w:rsid w:val="00450B21"/>
    <w:rsid w:val="00451F8A"/>
    <w:rsid w:val="00453B63"/>
    <w:rsid w:val="00455780"/>
    <w:rsid w:val="0046323F"/>
    <w:rsid w:val="00486457"/>
    <w:rsid w:val="004B0A1C"/>
    <w:rsid w:val="004B27E0"/>
    <w:rsid w:val="004D298E"/>
    <w:rsid w:val="004F2C97"/>
    <w:rsid w:val="005044B3"/>
    <w:rsid w:val="00511C7B"/>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1333"/>
    <w:rsid w:val="00617024"/>
    <w:rsid w:val="00620C46"/>
    <w:rsid w:val="00621120"/>
    <w:rsid w:val="00652221"/>
    <w:rsid w:val="00656392"/>
    <w:rsid w:val="006645EC"/>
    <w:rsid w:val="0068430D"/>
    <w:rsid w:val="0068781D"/>
    <w:rsid w:val="00692B49"/>
    <w:rsid w:val="006959B0"/>
    <w:rsid w:val="006B3E27"/>
    <w:rsid w:val="006B6507"/>
    <w:rsid w:val="006C104C"/>
    <w:rsid w:val="006C632E"/>
    <w:rsid w:val="00717FB3"/>
    <w:rsid w:val="00730446"/>
    <w:rsid w:val="00733704"/>
    <w:rsid w:val="007540AE"/>
    <w:rsid w:val="0078071A"/>
    <w:rsid w:val="00787022"/>
    <w:rsid w:val="00787E1E"/>
    <w:rsid w:val="007A7AD0"/>
    <w:rsid w:val="007C5FAD"/>
    <w:rsid w:val="00850E4D"/>
    <w:rsid w:val="00852A9A"/>
    <w:rsid w:val="008A49D2"/>
    <w:rsid w:val="008C365C"/>
    <w:rsid w:val="008F49E1"/>
    <w:rsid w:val="0090370F"/>
    <w:rsid w:val="009077C3"/>
    <w:rsid w:val="009269D2"/>
    <w:rsid w:val="00937C9F"/>
    <w:rsid w:val="00942135"/>
    <w:rsid w:val="009521B0"/>
    <w:rsid w:val="00957437"/>
    <w:rsid w:val="00982139"/>
    <w:rsid w:val="009867A8"/>
    <w:rsid w:val="00990AFC"/>
    <w:rsid w:val="00991F44"/>
    <w:rsid w:val="00996849"/>
    <w:rsid w:val="009A0CFB"/>
    <w:rsid w:val="009A7E9F"/>
    <w:rsid w:val="009C17EC"/>
    <w:rsid w:val="009D3F1B"/>
    <w:rsid w:val="009E5018"/>
    <w:rsid w:val="00A03700"/>
    <w:rsid w:val="00A053F2"/>
    <w:rsid w:val="00A12B37"/>
    <w:rsid w:val="00A54828"/>
    <w:rsid w:val="00A97E1F"/>
    <w:rsid w:val="00AB512E"/>
    <w:rsid w:val="00AB6758"/>
    <w:rsid w:val="00AB727F"/>
    <w:rsid w:val="00B01413"/>
    <w:rsid w:val="00B13763"/>
    <w:rsid w:val="00B477A4"/>
    <w:rsid w:val="00B54045"/>
    <w:rsid w:val="00B63ADD"/>
    <w:rsid w:val="00BA0C86"/>
    <w:rsid w:val="00BB09A0"/>
    <w:rsid w:val="00BD3772"/>
    <w:rsid w:val="00C175A6"/>
    <w:rsid w:val="00C41DCF"/>
    <w:rsid w:val="00C42AF7"/>
    <w:rsid w:val="00C438D7"/>
    <w:rsid w:val="00C62C20"/>
    <w:rsid w:val="00C81B50"/>
    <w:rsid w:val="00C902EF"/>
    <w:rsid w:val="00CB0011"/>
    <w:rsid w:val="00CB6622"/>
    <w:rsid w:val="00CD1801"/>
    <w:rsid w:val="00CF0ECF"/>
    <w:rsid w:val="00CF56F9"/>
    <w:rsid w:val="00CF65C6"/>
    <w:rsid w:val="00D00A89"/>
    <w:rsid w:val="00D10EF1"/>
    <w:rsid w:val="00D42810"/>
    <w:rsid w:val="00D60DD5"/>
    <w:rsid w:val="00D7585C"/>
    <w:rsid w:val="00D914A7"/>
    <w:rsid w:val="00DC4D4B"/>
    <w:rsid w:val="00DD13C3"/>
    <w:rsid w:val="00DD267B"/>
    <w:rsid w:val="00DD596E"/>
    <w:rsid w:val="00DD621E"/>
    <w:rsid w:val="00DE50B1"/>
    <w:rsid w:val="00DF0138"/>
    <w:rsid w:val="00DF0575"/>
    <w:rsid w:val="00E1452B"/>
    <w:rsid w:val="00E2228E"/>
    <w:rsid w:val="00E70E04"/>
    <w:rsid w:val="00E77E6C"/>
    <w:rsid w:val="00E83ED5"/>
    <w:rsid w:val="00EC05A7"/>
    <w:rsid w:val="00EC4B6B"/>
    <w:rsid w:val="00EC68A5"/>
    <w:rsid w:val="00ED7442"/>
    <w:rsid w:val="00EF1EE5"/>
    <w:rsid w:val="00EF5C43"/>
    <w:rsid w:val="00F10DAB"/>
    <w:rsid w:val="00F328A3"/>
    <w:rsid w:val="00F46D42"/>
    <w:rsid w:val="00F763B4"/>
    <w:rsid w:val="00F900C3"/>
    <w:rsid w:val="00FC22F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AB97B3"/>
  <w15:docId w15:val="{5E16A034-F022-4EE2-9AE5-9EE498E4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237"/>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3B4237"/>
    <w:pPr>
      <w:bidi w:val="0"/>
      <w:outlineLvl w:val="0"/>
    </w:pPr>
  </w:style>
  <w:style w:type="paragraph" w:styleId="Heading2">
    <w:name w:val="heading 2"/>
    <w:basedOn w:val="Normal"/>
    <w:next w:val="Normal"/>
    <w:link w:val="Heading2Char"/>
    <w:uiPriority w:val="9"/>
    <w:unhideWhenUsed/>
    <w:rsid w:val="003B4237"/>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3B4237"/>
    <w:pPr>
      <w:keepNext/>
      <w:keepLines/>
      <w:spacing w:before="200"/>
      <w:outlineLvl w:val="2"/>
    </w:pPr>
    <w:rPr>
      <w:b/>
      <w:bCs/>
      <w:color w:val="4F81BD"/>
    </w:rPr>
  </w:style>
  <w:style w:type="paragraph" w:styleId="Heading4">
    <w:name w:val="heading 4"/>
    <w:basedOn w:val="Normal"/>
    <w:next w:val="Normal"/>
    <w:link w:val="Heading4Char"/>
    <w:uiPriority w:val="9"/>
    <w:unhideWhenUsed/>
    <w:rsid w:val="003B4237"/>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3B4237"/>
    <w:pPr>
      <w:keepNext/>
      <w:keepLines/>
      <w:spacing w:before="200"/>
      <w:outlineLvl w:val="4"/>
    </w:pPr>
    <w:rPr>
      <w:color w:val="243F60"/>
    </w:rPr>
  </w:style>
  <w:style w:type="paragraph" w:styleId="Heading6">
    <w:name w:val="heading 6"/>
    <w:basedOn w:val="Normal"/>
    <w:next w:val="Normal"/>
    <w:link w:val="Heading6Char"/>
    <w:uiPriority w:val="9"/>
    <w:unhideWhenUsed/>
    <w:rsid w:val="003B4237"/>
    <w:pPr>
      <w:keepNext/>
      <w:keepLines/>
      <w:spacing w:before="200"/>
      <w:outlineLvl w:val="5"/>
    </w:pPr>
    <w:rPr>
      <w:i/>
      <w:iCs/>
      <w:color w:val="243F60"/>
    </w:rPr>
  </w:style>
  <w:style w:type="paragraph" w:styleId="Heading7">
    <w:name w:val="heading 7"/>
    <w:basedOn w:val="Normal"/>
    <w:next w:val="Normal"/>
    <w:link w:val="Heading7Char"/>
    <w:uiPriority w:val="9"/>
    <w:unhideWhenUsed/>
    <w:rsid w:val="003B4237"/>
    <w:pPr>
      <w:keepNext/>
      <w:keepLines/>
      <w:spacing w:before="200"/>
      <w:outlineLvl w:val="6"/>
    </w:pPr>
    <w:rPr>
      <w:i/>
      <w:iCs/>
      <w:color w:val="404040"/>
    </w:rPr>
  </w:style>
  <w:style w:type="paragraph" w:styleId="Heading8">
    <w:name w:val="heading 8"/>
    <w:basedOn w:val="Normal"/>
    <w:next w:val="Normal"/>
    <w:link w:val="Heading8Char"/>
    <w:uiPriority w:val="9"/>
    <w:unhideWhenUsed/>
    <w:rsid w:val="003B4237"/>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3B4237"/>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3B4237"/>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3B4237"/>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3B4237"/>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3B4237"/>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3B4237"/>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3B4237"/>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3B4237"/>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3B4237"/>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3B4237"/>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3B4237"/>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3B4237"/>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3B4237"/>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3B4237"/>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3B4237"/>
    <w:pPr>
      <w:numPr>
        <w:numId w:val="5"/>
      </w:numPr>
      <w:bidi w:val="0"/>
    </w:pPr>
    <w:rPr>
      <w:lang w:val="en-US"/>
    </w:rPr>
  </w:style>
  <w:style w:type="paragraph" w:customStyle="1" w:styleId="Roman1GA">
    <w:name w:val="_Roman 1_GA"/>
    <w:basedOn w:val="Bullet1GA"/>
    <w:qFormat/>
    <w:rsid w:val="003B4237"/>
    <w:pPr>
      <w:numPr>
        <w:numId w:val="6"/>
      </w:numPr>
      <w:tabs>
        <w:tab w:val="clear" w:pos="2310"/>
        <w:tab w:val="left" w:pos="2486"/>
      </w:tabs>
      <w:ind w:left="2486" w:hanging="378"/>
    </w:pPr>
  </w:style>
  <w:style w:type="paragraph" w:customStyle="1" w:styleId="Roman2GA">
    <w:name w:val="_Roman 2_GA"/>
    <w:basedOn w:val="Bullet2GA"/>
    <w:qFormat/>
    <w:rsid w:val="003B4237"/>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3B4237"/>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3B4237"/>
    <w:rPr>
      <w:rFonts w:ascii="Times New Roman" w:eastAsia="PMingLiU" w:hAnsi="Times New Roman" w:cs="Simplified Arabic"/>
      <w:sz w:val="18"/>
      <w:lang w:val="en-GB" w:eastAsia="en-US"/>
    </w:rPr>
  </w:style>
  <w:style w:type="character" w:customStyle="1" w:styleId="EndtnoteReference">
    <w:name w:val="Endtnote Reference"/>
    <w:aliases w:val="1_GA"/>
    <w:qFormat/>
    <w:rsid w:val="003B4237"/>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3B4237"/>
    <w:pPr>
      <w:suppressAutoHyphens/>
      <w:bidi w:val="0"/>
      <w:spacing w:line="240" w:lineRule="auto"/>
    </w:pPr>
    <w:rPr>
      <w:sz w:val="16"/>
      <w:lang w:val="en-GB"/>
    </w:rPr>
  </w:style>
  <w:style w:type="character" w:customStyle="1" w:styleId="FooterChar">
    <w:name w:val="Footer Char"/>
    <w:aliases w:val="3_GA Char,3_G Char"/>
    <w:link w:val="Footer"/>
    <w:rsid w:val="003B4237"/>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3B4237"/>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3B4237"/>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3B4237"/>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3B4237"/>
    <w:rPr>
      <w:rFonts w:ascii="Times New Roman" w:eastAsia="PMingLiU" w:hAnsi="Times New Roman" w:cs="Simplified Arabic"/>
      <w:sz w:val="22"/>
      <w:szCs w:val="22"/>
      <w:lang w:val="en-GB" w:eastAsia="en-US"/>
    </w:rPr>
  </w:style>
  <w:style w:type="character" w:styleId="PageNumber">
    <w:name w:val="page number"/>
    <w:aliases w:val="7_GA,7_G"/>
    <w:qFormat/>
    <w:rsid w:val="003B4237"/>
    <w:rPr>
      <w:rFonts w:ascii="Times New Roman Bold" w:hAnsi="Times New Roman Bold"/>
      <w:b/>
      <w:i w:val="0"/>
      <w:sz w:val="18"/>
      <w:szCs w:val="18"/>
    </w:rPr>
  </w:style>
  <w:style w:type="paragraph" w:customStyle="1" w:styleId="XXLargeGA">
    <w:name w:val="XXLarge_GA"/>
    <w:basedOn w:val="Normal"/>
    <w:next w:val="SingleTxtGA"/>
    <w:qFormat/>
    <w:rsid w:val="003B4237"/>
    <w:pPr>
      <w:suppressAutoHyphens/>
      <w:spacing w:line="820" w:lineRule="exact"/>
    </w:pPr>
    <w:rPr>
      <w:spacing w:val="-8"/>
      <w:w w:val="96"/>
      <w:sz w:val="57"/>
      <w:szCs w:val="86"/>
      <w:lang w:val="en-GB"/>
    </w:rPr>
  </w:style>
  <w:style w:type="character" w:customStyle="1" w:styleId="Heading2Char">
    <w:name w:val="Heading 2 Char"/>
    <w:link w:val="Heading2"/>
    <w:uiPriority w:val="9"/>
    <w:rsid w:val="003B4237"/>
    <w:rPr>
      <w:rFonts w:ascii="Times New Roman" w:eastAsia="PMingLiU" w:hAnsi="Times New Roman" w:cs="Simplified Arabic"/>
      <w:b/>
      <w:bCs/>
      <w:color w:val="4F81BD"/>
      <w:sz w:val="26"/>
      <w:szCs w:val="26"/>
      <w:lang w:eastAsia="en-US"/>
    </w:rPr>
  </w:style>
  <w:style w:type="character" w:customStyle="1" w:styleId="Heading3Char">
    <w:name w:val="Heading 3 Char"/>
    <w:link w:val="Heading3"/>
    <w:uiPriority w:val="9"/>
    <w:rsid w:val="003B4237"/>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3B4237"/>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3B4237"/>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3B4237"/>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3B4237"/>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3B4237"/>
    <w:rPr>
      <w:rFonts w:ascii="Times New Roman" w:eastAsia="PMingLiU" w:hAnsi="Times New Roman" w:cs="Simplified Arabic"/>
      <w:color w:val="404040"/>
      <w:lang w:eastAsia="en-US"/>
    </w:rPr>
  </w:style>
  <w:style w:type="character" w:customStyle="1" w:styleId="Heading9Char">
    <w:name w:val="Heading 9 Char"/>
    <w:link w:val="Heading9"/>
    <w:uiPriority w:val="9"/>
    <w:rsid w:val="003B4237"/>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3B4237"/>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3B4237"/>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3B4237"/>
    <w:pPr>
      <w:numPr>
        <w:ilvl w:val="1"/>
      </w:numPr>
    </w:pPr>
    <w:rPr>
      <w:i/>
      <w:iCs/>
      <w:color w:val="4F81BD"/>
      <w:spacing w:val="15"/>
      <w:sz w:val="24"/>
      <w:szCs w:val="24"/>
    </w:rPr>
  </w:style>
  <w:style w:type="character" w:customStyle="1" w:styleId="SubtitleChar">
    <w:name w:val="Subtitle Char"/>
    <w:link w:val="Subtitle"/>
    <w:uiPriority w:val="11"/>
    <w:rsid w:val="003B4237"/>
    <w:rPr>
      <w:rFonts w:ascii="Times New Roman" w:eastAsia="PMingLiU" w:hAnsi="Times New Roman" w:cs="Simplified Arabic"/>
      <w:i/>
      <w:iCs/>
      <w:color w:val="4F81BD"/>
      <w:spacing w:val="15"/>
      <w:sz w:val="24"/>
      <w:szCs w:val="24"/>
      <w:lang w:eastAsia="en-US"/>
    </w:rPr>
  </w:style>
  <w:style w:type="character" w:styleId="Strong">
    <w:name w:val="Strong"/>
    <w:uiPriority w:val="22"/>
    <w:rsid w:val="003B4237"/>
    <w:rPr>
      <w:b/>
      <w:bCs/>
    </w:rPr>
  </w:style>
  <w:style w:type="table" w:styleId="TableGrid">
    <w:name w:val="Table Grid"/>
    <w:basedOn w:val="TableNormal"/>
    <w:rsid w:val="003B4237"/>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4237"/>
    <w:rPr>
      <w:color w:val="0000FF"/>
      <w:u w:val="none"/>
    </w:rPr>
  </w:style>
  <w:style w:type="paragraph" w:styleId="TOC1">
    <w:name w:val="toc 1"/>
    <w:basedOn w:val="Normal"/>
    <w:link w:val="TOC1Char"/>
    <w:autoRedefine/>
    <w:uiPriority w:val="39"/>
    <w:unhideWhenUsed/>
    <w:rsid w:val="003B4237"/>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3B4237"/>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3B4237"/>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3B4237"/>
    <w:rPr>
      <w:rFonts w:eastAsia="DengXian"/>
      <w:color w:val="auto"/>
      <w:sz w:val="20"/>
      <w:szCs w:val="20"/>
      <w:u w:val="none"/>
      <w:lang w:eastAsia="zh-CN" w:bidi="ar-EG"/>
    </w:rPr>
  </w:style>
  <w:style w:type="paragraph" w:styleId="TOC4">
    <w:name w:val="toc 4"/>
    <w:basedOn w:val="Normal"/>
    <w:link w:val="TOC4Char"/>
    <w:autoRedefine/>
    <w:uiPriority w:val="39"/>
    <w:unhideWhenUsed/>
    <w:rsid w:val="003B4237"/>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3B4237"/>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3B4237"/>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3B4237"/>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3B4237"/>
    <w:rPr>
      <w:rFonts w:ascii="Times New Roman" w:eastAsia="PMingLiU" w:hAnsi="Times New Roman" w:cs="Simplified Arabic"/>
      <w:sz w:val="22"/>
      <w:szCs w:val="22"/>
      <w:lang w:val="en-GB" w:eastAsia="en-US"/>
    </w:rPr>
  </w:style>
  <w:style w:type="character" w:customStyle="1" w:styleId="TOC1Char">
    <w:name w:val="TOC 1 Char"/>
    <w:basedOn w:val="DefaultParagraphFont"/>
    <w:link w:val="TOC1"/>
    <w:uiPriority w:val="39"/>
    <w:rsid w:val="003B4237"/>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3B4237"/>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3B4237"/>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3B4237"/>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3B4237"/>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3B4237"/>
    <w:rPr>
      <w:rFonts w:ascii="Times New Roman" w:eastAsia="PMingLiU" w:hAnsi="Times New Roman" w:cs="Simplified Arabic"/>
      <w:lang w:val="en-GB" w:eastAsia="en-US"/>
    </w:rPr>
  </w:style>
  <w:style w:type="paragraph" w:customStyle="1" w:styleId="NormalA">
    <w:name w:val="Normal_A"/>
    <w:basedOn w:val="Normal"/>
    <w:qFormat/>
    <w:rsid w:val="003B4237"/>
  </w:style>
  <w:style w:type="paragraph" w:customStyle="1" w:styleId="FootnoteGA">
    <w:name w:val="_Footnote_GA"/>
    <w:basedOn w:val="Normal"/>
    <w:qFormat/>
    <w:rsid w:val="003B4237"/>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3B4237"/>
    <w:rPr>
      <w:sz w:val="44"/>
      <w:szCs w:val="44"/>
      <w:lang w:val="en-US" w:bidi="ar-DZ"/>
    </w:rPr>
  </w:style>
  <w:style w:type="paragraph" w:customStyle="1" w:styleId="FootnoteGA0">
    <w:name w:val="Footnote_GA"/>
    <w:basedOn w:val="Normal"/>
    <w:qFormat/>
    <w:rsid w:val="003B4237"/>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3B4237"/>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3B4237"/>
    <w:pPr>
      <w:spacing w:line="240" w:lineRule="exact"/>
    </w:pPr>
    <w:rPr>
      <w:spacing w:val="6"/>
      <w:w w:val="106"/>
      <w:sz w:val="14"/>
      <w:szCs w:val="21"/>
    </w:rPr>
  </w:style>
  <w:style w:type="paragraph" w:customStyle="1" w:styleId="Original">
    <w:name w:val="Original"/>
    <w:basedOn w:val="Normal"/>
    <w:next w:val="Normal"/>
    <w:qFormat/>
    <w:rsid w:val="003B4237"/>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3B4237"/>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3B4237"/>
    <w:rPr>
      <w:rFonts w:asciiTheme="minorHAnsi" w:eastAsiaTheme="minorEastAsia" w:hAnsiTheme="minorHAnsi" w:cstheme="minorBidi"/>
      <w:sz w:val="24"/>
      <w:szCs w:val="24"/>
      <w:lang w:val="fr-FR" w:eastAsia="fr-FR"/>
    </w:rPr>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3B4237"/>
    <w:rPr>
      <w:lang w:val="en-US" w:eastAsia="zh-TW"/>
    </w:rPr>
  </w:style>
  <w:style w:type="paragraph" w:customStyle="1" w:styleId="STitleMGA">
    <w:name w:val="S_Title_M_GA"/>
    <w:basedOn w:val="SMGA"/>
    <w:qFormat/>
    <w:rsid w:val="003B4237"/>
    <w:rPr>
      <w:lang w:eastAsia="zh-TW"/>
    </w:rPr>
  </w:style>
  <w:style w:type="paragraph" w:customStyle="1" w:styleId="STitleSGA">
    <w:name w:val="S_Title_S_GA"/>
    <w:basedOn w:val="SSGA"/>
    <w:qFormat/>
    <w:rsid w:val="003B4237"/>
    <w:rPr>
      <w:lang w:eastAsia="zh-TW"/>
    </w:rPr>
  </w:style>
  <w:style w:type="paragraph" w:styleId="FootnoteText">
    <w:name w:val="footnote text"/>
    <w:aliases w:val="5_G,Footnote Text Char Char Char Char Char,Footnote Text Char Char Char Char,Footnote reference,FA Fu,Footnote Text Char Char Char,Footnote Text Cha,FA Fußnotentext,FA Fuﬂnotentext,Footnote Text Char Char,FA Fu?notentext,Ca, Char,fn"/>
    <w:basedOn w:val="Normal"/>
    <w:link w:val="FootnoteTextChar"/>
    <w:unhideWhenUsed/>
    <w:qFormat/>
    <w:rsid w:val="003827C9"/>
    <w:pPr>
      <w:spacing w:line="240" w:lineRule="auto"/>
    </w:pPr>
    <w:rPr>
      <w:rFonts w:eastAsia="Times New Roman" w:cs="Traditional Arabic"/>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ﬂnotentext Char"/>
    <w:basedOn w:val="DefaultParagraphFont"/>
    <w:link w:val="FootnoteText"/>
    <w:rsid w:val="003827C9"/>
    <w:rPr>
      <w:rFonts w:ascii="Times New Roman" w:hAnsi="Times New Roman" w:cs="Traditional Arabic"/>
      <w:lang w:eastAsia="en-US"/>
    </w:rPr>
  </w:style>
  <w:style w:type="character" w:styleId="FootnoteReference">
    <w:name w:val="footnote reference"/>
    <w:aliases w:val="4_GA,4_G,Footnote number,ftref,Footnotes refss,Style 10,referencia nota al pie,BVI fnr,Footnote text,4_Footnote text,callout,Fago Fußnotenzeichen,16 Point,Superscript 6 Point,Footnote,Footnote symbol,Texto de nota al pie,f,Ref"/>
    <w:link w:val="4GChar"/>
    <w:qFormat/>
    <w:rsid w:val="003827C9"/>
    <w:rPr>
      <w:rFonts w:ascii="Times New Roman" w:hAnsi="Times New Roman" w:cs="Traditional Arabic"/>
      <w:b/>
      <w:sz w:val="18"/>
      <w:szCs w:val="28"/>
      <w:vertAlign w:val="superscript"/>
    </w:rPr>
  </w:style>
  <w:style w:type="character" w:customStyle="1" w:styleId="SingleTxtGChar">
    <w:name w:val="_ Single Txt_G Char"/>
    <w:link w:val="SingleTxtG"/>
    <w:locked/>
    <w:rsid w:val="003827C9"/>
    <w:rPr>
      <w:rFonts w:ascii="Times New Roman" w:eastAsia="DengXian" w:hAnsi="Times New Roman" w:cs="Times New Roman"/>
      <w:lang w:val="x-none" w:eastAsia="es-ES"/>
    </w:rPr>
  </w:style>
  <w:style w:type="paragraph" w:customStyle="1" w:styleId="SingleTxtG">
    <w:name w:val="_ Single Txt_G"/>
    <w:basedOn w:val="Normal"/>
    <w:link w:val="SingleTxtGChar"/>
    <w:qFormat/>
    <w:rsid w:val="003827C9"/>
    <w:pPr>
      <w:bidi w:val="0"/>
      <w:spacing w:after="120"/>
      <w:ind w:left="1134" w:right="1134"/>
      <w:jc w:val="both"/>
    </w:pPr>
    <w:rPr>
      <w:rFonts w:eastAsia="DengXian" w:cs="Times New Roman"/>
      <w:szCs w:val="20"/>
      <w:lang w:val="x-none" w:eastAsia="es-ES"/>
    </w:rPr>
  </w:style>
  <w:style w:type="paragraph" w:customStyle="1" w:styleId="H23G">
    <w:name w:val="_ H_2/3_G"/>
    <w:basedOn w:val="Normal"/>
    <w:next w:val="Normal"/>
    <w:link w:val="H23GChar"/>
    <w:qFormat/>
    <w:rsid w:val="003827C9"/>
    <w:pPr>
      <w:keepNext/>
      <w:keepLines/>
      <w:tabs>
        <w:tab w:val="right" w:pos="851"/>
      </w:tabs>
      <w:suppressAutoHyphens/>
      <w:bidi w:val="0"/>
      <w:spacing w:before="240" w:after="120" w:line="240" w:lineRule="exact"/>
      <w:ind w:left="1134" w:right="1134" w:hanging="1134"/>
      <w:jc w:val="left"/>
      <w:outlineLvl w:val="3"/>
    </w:pPr>
    <w:rPr>
      <w:rFonts w:eastAsiaTheme="minorHAnsi" w:hAnsiTheme="minorHAnsi" w:cs="Traditional Arabic"/>
      <w:b/>
      <w:szCs w:val="30"/>
      <w:lang w:val="en-GB"/>
    </w:rPr>
  </w:style>
  <w:style w:type="paragraph" w:customStyle="1" w:styleId="H4G">
    <w:name w:val="_ H_4_G"/>
    <w:basedOn w:val="Normal"/>
    <w:next w:val="Normal"/>
    <w:qFormat/>
    <w:rsid w:val="003827C9"/>
    <w:pPr>
      <w:keepNext/>
      <w:keepLines/>
      <w:tabs>
        <w:tab w:val="right" w:pos="851"/>
      </w:tabs>
      <w:suppressAutoHyphens/>
      <w:bidi w:val="0"/>
      <w:spacing w:before="240" w:after="120" w:line="240" w:lineRule="exact"/>
      <w:ind w:left="1134" w:right="1134" w:hanging="1134"/>
      <w:jc w:val="left"/>
      <w:outlineLvl w:val="4"/>
    </w:pPr>
    <w:rPr>
      <w:rFonts w:eastAsiaTheme="minorHAnsi" w:hAnsiTheme="minorHAnsi" w:cs="Traditional Arabic" w:hint="cs"/>
      <w:i/>
      <w:szCs w:val="30"/>
      <w:lang w:val="en-GB"/>
    </w:rPr>
  </w:style>
  <w:style w:type="character" w:customStyle="1" w:styleId="H23GChar">
    <w:name w:val="_ H_2/3_G Char"/>
    <w:link w:val="H23G"/>
    <w:rsid w:val="003827C9"/>
    <w:rPr>
      <w:rFonts w:ascii="Times New Roman" w:eastAsiaTheme="minorHAnsi" w:hAnsiTheme="minorHAnsi" w:cs="Traditional Arabic"/>
      <w:b/>
      <w:szCs w:val="30"/>
      <w:lang w:val="en-GB"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3827C9"/>
    <w:pPr>
      <w:bidi w:val="0"/>
      <w:spacing w:line="240" w:lineRule="auto"/>
      <w:jc w:val="both"/>
    </w:pPr>
    <w:rPr>
      <w:rFonts w:eastAsia="Times New Roman" w:cs="Traditional Arabic"/>
      <w:b/>
      <w:sz w:val="18"/>
      <w:szCs w:val="28"/>
      <w:vertAlign w:val="superscript"/>
      <w:lang w:eastAsia="zh-TW"/>
    </w:rPr>
  </w:style>
  <w:style w:type="character" w:styleId="UnresolvedMention">
    <w:name w:val="Unresolved Mention"/>
    <w:basedOn w:val="DefaultParagraphFont"/>
    <w:uiPriority w:val="99"/>
    <w:semiHidden/>
    <w:unhideWhenUsed/>
    <w:rsid w:val="00620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CPR/C/87/D/1293/2004" TargetMode="External"/><Relationship Id="rId13" Type="http://schemas.openxmlformats.org/officeDocument/2006/relationships/hyperlink" Target="https://undocs.org/ar/CCPR/C/93/D/1456/2006" TargetMode="External"/><Relationship Id="rId3" Type="http://schemas.openxmlformats.org/officeDocument/2006/relationships/hyperlink" Target="https://undocs.org/ar/CCPR/C/84/D/1095/2002" TargetMode="External"/><Relationship Id="rId7" Type="http://schemas.openxmlformats.org/officeDocument/2006/relationships/hyperlink" Target="https://undocs.org/ar/CCPR/C/82/D/1101/2002" TargetMode="External"/><Relationship Id="rId12" Type="http://schemas.openxmlformats.org/officeDocument/2006/relationships/hyperlink" Target="https://undocs.org/ar/CCPR/C/102/D/1622/2007" TargetMode="External"/><Relationship Id="rId17" Type="http://schemas.openxmlformats.org/officeDocument/2006/relationships/hyperlink" Target="https://undocs.org/ar/CCPR/C/123/D/2414/2014" TargetMode="External"/><Relationship Id="rId2" Type="http://schemas.openxmlformats.org/officeDocument/2006/relationships/hyperlink" Target="https://undocs.org/ar/CCPR/C/115/D/2621/2015" TargetMode="External"/><Relationship Id="rId16" Type="http://schemas.openxmlformats.org/officeDocument/2006/relationships/hyperlink" Target="https://undocs.org/ar/CCPR/C/123/D/2537/2015" TargetMode="External"/><Relationship Id="rId1" Type="http://schemas.openxmlformats.org/officeDocument/2006/relationships/hyperlink" Target="https://undocs.org/ar/CCPR/C/117/D/2729/2016" TargetMode="External"/><Relationship Id="rId6" Type="http://schemas.openxmlformats.org/officeDocument/2006/relationships/hyperlink" Target="https://undocs.org/ar/CCPR/C/78/D/986/2001" TargetMode="External"/><Relationship Id="rId11" Type="http://schemas.openxmlformats.org/officeDocument/2006/relationships/hyperlink" Target="https://undocs.org/ar/CCPR/C/98/D/1616/2007" TargetMode="External"/><Relationship Id="rId5" Type="http://schemas.openxmlformats.org/officeDocument/2006/relationships/hyperlink" Target="https://undocs.org/ar/CCPR/C/69/D/701/1996" TargetMode="External"/><Relationship Id="rId15" Type="http://schemas.openxmlformats.org/officeDocument/2006/relationships/hyperlink" Target="https://undocs.org/ar/CCPR/C/129/D/2931/2017" TargetMode="External"/><Relationship Id="rId10" Type="http://schemas.openxmlformats.org/officeDocument/2006/relationships/hyperlink" Target="https://undocs.org/ar/CCPR/C/112/D/2070/2011" TargetMode="External"/><Relationship Id="rId4" Type="http://schemas.openxmlformats.org/officeDocument/2006/relationships/hyperlink" Target="https://undocs.org/ar/CCPR/C/115/D/2474/2014" TargetMode="External"/><Relationship Id="rId9" Type="http://schemas.openxmlformats.org/officeDocument/2006/relationships/hyperlink" Target="https://undocs.org/ar/CCPR/C/88/D/1305/2004" TargetMode="External"/><Relationship Id="rId14" Type="http://schemas.openxmlformats.org/officeDocument/2006/relationships/hyperlink" Target="https://undocs.org/ar/CCPR/C/82/D/1073/2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5748</Words>
  <Characters>32767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CCPR/C/132/D/2996/2017</vt:lpstr>
    </vt:vector>
  </TitlesOfParts>
  <Company>DCM</Company>
  <LinksUpToDate>false</LinksUpToDate>
  <CharactersWithSpaces>38439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CCPR/C/132/D/2996/2017</dc:title>
  <dc:subject>GE.2208605(A)</dc:subject>
  <dc:creator>Muntaha BUHNAM - FMO</dc:creator>
  <cp:keywords>GE.2237201(A)</cp:keywords>
  <dc:description>Distr.: General
7 June 2022
Arabic
Original: Spanish</dc:description>
  <cp:lastModifiedBy>Gamal Mohamed Abdelhamid Mahmoud</cp:lastModifiedBy>
  <cp:revision>2</cp:revision>
  <dcterms:created xsi:type="dcterms:W3CDTF">2022-10-14T12:41:00Z</dcterms:created>
  <dcterms:modified xsi:type="dcterms:W3CDTF">2022-10-14T12:41:00Z</dcterms:modified>
  <cp:category>Finale</cp:category>
</cp:coreProperties>
</file>