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9794603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1B54E3" w14:textId="77777777" w:rsidR="002D5AAC" w:rsidRDefault="002D5AAC" w:rsidP="00340C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29483E8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695520A" w14:textId="053E0EE8" w:rsidR="002D5AAC" w:rsidRDefault="00340C49" w:rsidP="00340C49">
            <w:pPr>
              <w:jc w:val="right"/>
            </w:pPr>
            <w:r w:rsidRPr="00340C49">
              <w:rPr>
                <w:sz w:val="40"/>
              </w:rPr>
              <w:t>CCPR</w:t>
            </w:r>
            <w:r>
              <w:t>/C/134/D/3587/2019</w:t>
            </w:r>
          </w:p>
        </w:tc>
      </w:tr>
      <w:tr w:rsidR="002D5AAC" w:rsidRPr="00C03D03" w14:paraId="5CC3C8AA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FCF03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FB4028" wp14:editId="5ED923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356B79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2E292CD" w14:textId="77777777" w:rsidR="002D5AAC" w:rsidRPr="00340C49" w:rsidRDefault="00340C49" w:rsidP="00BC3629">
            <w:pPr>
              <w:spacing w:before="240"/>
              <w:rPr>
                <w:lang w:val="en-US"/>
              </w:rPr>
            </w:pPr>
            <w:r w:rsidRPr="00340C49">
              <w:rPr>
                <w:lang w:val="en-US"/>
              </w:rPr>
              <w:t>Distr.: General</w:t>
            </w:r>
          </w:p>
          <w:p w14:paraId="128835D8" w14:textId="0B6B7F99" w:rsidR="00340C49" w:rsidRPr="00340C49" w:rsidRDefault="00340C49" w:rsidP="00340C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</w:t>
            </w:r>
            <w:r w:rsidRPr="00340C49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2</w:t>
            </w:r>
          </w:p>
          <w:p w14:paraId="4774388D" w14:textId="77777777" w:rsidR="00340C49" w:rsidRPr="00340C49" w:rsidRDefault="00340C49" w:rsidP="00340C49">
            <w:pPr>
              <w:spacing w:line="240" w:lineRule="exact"/>
              <w:rPr>
                <w:lang w:val="en-US"/>
              </w:rPr>
            </w:pPr>
            <w:r w:rsidRPr="00340C49">
              <w:rPr>
                <w:lang w:val="en-US"/>
              </w:rPr>
              <w:t>Russian</w:t>
            </w:r>
          </w:p>
          <w:p w14:paraId="1268E271" w14:textId="2FE58E22" w:rsidR="00340C49" w:rsidRPr="00340C49" w:rsidRDefault="00340C49" w:rsidP="00340C49">
            <w:pPr>
              <w:spacing w:line="240" w:lineRule="exact"/>
              <w:rPr>
                <w:lang w:val="en-US"/>
              </w:rPr>
            </w:pPr>
            <w:r w:rsidRPr="00340C49">
              <w:rPr>
                <w:lang w:val="en-US"/>
              </w:rPr>
              <w:t>Original: English</w:t>
            </w:r>
          </w:p>
        </w:tc>
      </w:tr>
    </w:tbl>
    <w:p w14:paraId="20F894E1" w14:textId="77777777" w:rsidR="00340C49" w:rsidRPr="00340C49" w:rsidRDefault="00340C49" w:rsidP="00340C49">
      <w:pPr>
        <w:spacing w:before="120"/>
        <w:rPr>
          <w:b/>
          <w:bCs/>
          <w:sz w:val="24"/>
          <w:szCs w:val="24"/>
        </w:rPr>
      </w:pPr>
      <w:r w:rsidRPr="00340C49">
        <w:rPr>
          <w:b/>
          <w:bCs/>
          <w:sz w:val="24"/>
          <w:szCs w:val="24"/>
        </w:rPr>
        <w:t>Комитет по правам человека</w:t>
      </w:r>
    </w:p>
    <w:p w14:paraId="7B743A9A" w14:textId="59A79338" w:rsidR="00340C49" w:rsidRDefault="00340C49" w:rsidP="00340C49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 w:rsidR="00E77CF8">
        <w:br/>
      </w:r>
      <w:r>
        <w:t xml:space="preserve">с пунктом 4 статьи 5 Факультативного протокола </w:t>
      </w:r>
      <w:r w:rsidR="00E77CF8">
        <w:br/>
      </w:r>
      <w:r>
        <w:t>в отношении сообщения № 3587/2019</w:t>
      </w:r>
      <w:r w:rsidR="00DA64B5" w:rsidRPr="00DA64B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DA64B5">
        <w:rPr>
          <w:b w:val="0"/>
          <w:bCs/>
        </w:rPr>
        <w:t xml:space="preserve"> </w:t>
      </w:r>
      <w:r w:rsidR="00DA64B5" w:rsidRPr="00DA64B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340C49" w:rsidRPr="0064331C" w14:paraId="070A501A" w14:textId="77777777" w:rsidTr="00340C49">
        <w:tc>
          <w:tcPr>
            <w:tcW w:w="2936" w:type="dxa"/>
            <w:hideMark/>
          </w:tcPr>
          <w:p w14:paraId="100E6FE4" w14:textId="60A69137" w:rsidR="00340C49" w:rsidRPr="0064331C" w:rsidRDefault="00340C49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14E74337" w14:textId="58B60937" w:rsidR="00340C49" w:rsidRPr="0064331C" w:rsidRDefault="00340C49">
            <w:pPr>
              <w:spacing w:after="120"/>
            </w:pPr>
            <w:r>
              <w:t>А.Я.О.АК (представлена адвокатом Давиде Галимберти)</w:t>
            </w:r>
          </w:p>
        </w:tc>
      </w:tr>
      <w:tr w:rsidR="00340C49" w:rsidRPr="0064331C" w14:paraId="06D30292" w14:textId="77777777" w:rsidTr="00340C49">
        <w:tc>
          <w:tcPr>
            <w:tcW w:w="2936" w:type="dxa"/>
            <w:hideMark/>
          </w:tcPr>
          <w:p w14:paraId="31AFB4FC" w14:textId="77777777" w:rsidR="00340C49" w:rsidRPr="0064331C" w:rsidRDefault="00340C4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3CBF0296" w14:textId="5A7715FA" w:rsidR="00340C49" w:rsidRPr="0064331C" w:rsidRDefault="00340C49">
            <w:pPr>
              <w:spacing w:after="120"/>
            </w:pPr>
            <w:r>
              <w:t>автор сообщения</w:t>
            </w:r>
          </w:p>
        </w:tc>
      </w:tr>
      <w:tr w:rsidR="00340C49" w:rsidRPr="0064331C" w14:paraId="21C0BB6E" w14:textId="77777777" w:rsidTr="00340C49">
        <w:tc>
          <w:tcPr>
            <w:tcW w:w="2936" w:type="dxa"/>
            <w:hideMark/>
          </w:tcPr>
          <w:p w14:paraId="681658DA" w14:textId="77777777" w:rsidR="00340C49" w:rsidRPr="0064331C" w:rsidRDefault="00340C4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3C5B9DC7" w14:textId="4A1940C9" w:rsidR="00340C49" w:rsidRPr="0064331C" w:rsidRDefault="00340C49">
            <w:pPr>
              <w:spacing w:after="120"/>
            </w:pPr>
            <w:r>
              <w:t>Италия</w:t>
            </w:r>
          </w:p>
        </w:tc>
      </w:tr>
      <w:tr w:rsidR="00340C49" w:rsidRPr="0064331C" w14:paraId="0483A660" w14:textId="77777777" w:rsidTr="00340C49">
        <w:tc>
          <w:tcPr>
            <w:tcW w:w="2936" w:type="dxa"/>
            <w:hideMark/>
          </w:tcPr>
          <w:p w14:paraId="79E32028" w14:textId="77777777" w:rsidR="00340C49" w:rsidRPr="0064331C" w:rsidRDefault="00340C4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19559D63" w14:textId="2A8663BE" w:rsidR="00340C49" w:rsidRPr="0064331C" w:rsidRDefault="00340C49">
            <w:pPr>
              <w:spacing w:after="120"/>
            </w:pPr>
            <w:r>
              <w:t>2 мая 2018 года (первоначальное представление)</w:t>
            </w:r>
          </w:p>
        </w:tc>
      </w:tr>
      <w:tr w:rsidR="00340C49" w:rsidRPr="0064331C" w14:paraId="2395B5BF" w14:textId="77777777" w:rsidTr="00340C49">
        <w:tc>
          <w:tcPr>
            <w:tcW w:w="2936" w:type="dxa"/>
            <w:hideMark/>
          </w:tcPr>
          <w:p w14:paraId="49926852" w14:textId="77777777" w:rsidR="00340C49" w:rsidRPr="0064331C" w:rsidRDefault="00340C4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14:paraId="10B8FB84" w14:textId="0CC7BBBD" w:rsidR="00340C49" w:rsidRPr="0064331C" w:rsidRDefault="00503E4A">
            <w:pPr>
              <w:spacing w:after="120"/>
            </w:pPr>
            <w:r w:rsidRPr="00503E4A">
              <w:t xml:space="preserve">решение, принятое в соответствии </w:t>
            </w:r>
            <w:r w:rsidR="00E77CF8">
              <w:br/>
            </w:r>
            <w:r w:rsidRPr="00503E4A">
              <w:t>с пунктом 2 правила 92 правил процедуры Комитета и препровожденное государству-участнику 10</w:t>
            </w:r>
            <w:r>
              <w:t> </w:t>
            </w:r>
            <w:r w:rsidRPr="00503E4A">
              <w:t>апреля 2019 года (в виде документа не издавалось)</w:t>
            </w:r>
          </w:p>
        </w:tc>
      </w:tr>
      <w:tr w:rsidR="00340C49" w:rsidRPr="0064331C" w14:paraId="07ECCE5F" w14:textId="77777777" w:rsidTr="00C3614A">
        <w:tc>
          <w:tcPr>
            <w:tcW w:w="2936" w:type="dxa"/>
            <w:hideMark/>
          </w:tcPr>
          <w:p w14:paraId="416A1C1B" w14:textId="72E8C4D6" w:rsidR="00340C49" w:rsidRPr="0064331C" w:rsidRDefault="00340C49" w:rsidP="00340C4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r>
              <w:rPr>
                <w:i/>
              </w:rPr>
              <w:t>решения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1EC508BC" w14:textId="18E25A1C" w:rsidR="00340C49" w:rsidRPr="0064331C" w:rsidRDefault="00340C49" w:rsidP="00340C49">
            <w:pPr>
              <w:spacing w:after="120"/>
            </w:pPr>
            <w:r>
              <w:t>25 марта 2022 года</w:t>
            </w:r>
          </w:p>
        </w:tc>
      </w:tr>
      <w:tr w:rsidR="00340C49" w:rsidRPr="0064331C" w14:paraId="0C4D6450" w14:textId="77777777" w:rsidTr="00340C49">
        <w:tc>
          <w:tcPr>
            <w:tcW w:w="2936" w:type="dxa"/>
            <w:hideMark/>
          </w:tcPr>
          <w:p w14:paraId="22B5BD39" w14:textId="77777777" w:rsidR="00340C49" w:rsidRPr="0064331C" w:rsidRDefault="00340C49" w:rsidP="00340C4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3128FBB7" w14:textId="482D974F" w:rsidR="00340C49" w:rsidRPr="0064331C" w:rsidRDefault="00340C49" w:rsidP="00340C49">
            <w:pPr>
              <w:spacing w:after="120"/>
            </w:pPr>
            <w:r>
              <w:t>отказ в удовлетворении заявления о предоставлении гражданства по причине родственных отношений</w:t>
            </w:r>
          </w:p>
        </w:tc>
      </w:tr>
      <w:tr w:rsidR="00340C49" w:rsidRPr="0064331C" w14:paraId="3543782D" w14:textId="77777777" w:rsidTr="00340C49">
        <w:tc>
          <w:tcPr>
            <w:tcW w:w="2936" w:type="dxa"/>
            <w:hideMark/>
          </w:tcPr>
          <w:p w14:paraId="100E19D2" w14:textId="77777777" w:rsidR="00340C49" w:rsidRPr="0064331C" w:rsidRDefault="00340C49" w:rsidP="00340C49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08014F14" w14:textId="22EBB4AD" w:rsidR="00340C49" w:rsidRPr="0064331C" w:rsidRDefault="00340C49" w:rsidP="00340C49">
            <w:pPr>
              <w:spacing w:after="120"/>
            </w:pPr>
            <w:r>
              <w:t xml:space="preserve">неприемлемость </w:t>
            </w:r>
            <w:r w:rsidR="00503E4A">
              <w:t>—</w:t>
            </w:r>
            <w:r>
              <w:t xml:space="preserve"> неисчерпание внутренних средств правовой защиты; необоснованность сообщения</w:t>
            </w:r>
          </w:p>
        </w:tc>
      </w:tr>
      <w:tr w:rsidR="00340C49" w:rsidRPr="0064331C" w14:paraId="76E9BA43" w14:textId="77777777" w:rsidTr="00340C49">
        <w:tc>
          <w:tcPr>
            <w:tcW w:w="2936" w:type="dxa"/>
            <w:hideMark/>
          </w:tcPr>
          <w:p w14:paraId="78661BE1" w14:textId="77777777" w:rsidR="00340C49" w:rsidRPr="0064331C" w:rsidRDefault="00340C49" w:rsidP="00340C49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00487629" w14:textId="648E21A5" w:rsidR="00340C49" w:rsidRPr="0064331C" w:rsidRDefault="00340C49" w:rsidP="00340C49">
            <w:pPr>
              <w:spacing w:after="120"/>
            </w:pPr>
            <w:r>
              <w:t>право на неприкосновенность частной жизни; равная защита закона (недискриминация)</w:t>
            </w:r>
          </w:p>
        </w:tc>
      </w:tr>
      <w:tr w:rsidR="00340C49" w:rsidRPr="0064331C" w14:paraId="312D353F" w14:textId="77777777" w:rsidTr="00340C49">
        <w:tc>
          <w:tcPr>
            <w:tcW w:w="2936" w:type="dxa"/>
            <w:hideMark/>
          </w:tcPr>
          <w:p w14:paraId="7F9BA575" w14:textId="77777777" w:rsidR="00340C49" w:rsidRPr="0064331C" w:rsidRDefault="00340C49" w:rsidP="00340C49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1127712B" w14:textId="383CAB0E" w:rsidR="00340C49" w:rsidRPr="0064331C" w:rsidRDefault="00340C49" w:rsidP="00340C49">
            <w:pPr>
              <w:spacing w:after="120"/>
            </w:pPr>
            <w:r>
              <w:t>17 и 26</w:t>
            </w:r>
          </w:p>
        </w:tc>
      </w:tr>
      <w:tr w:rsidR="00340C49" w:rsidRPr="0064331C" w14:paraId="1C52E69B" w14:textId="77777777" w:rsidTr="00340C49">
        <w:tc>
          <w:tcPr>
            <w:tcW w:w="2936" w:type="dxa"/>
            <w:hideMark/>
          </w:tcPr>
          <w:p w14:paraId="2E607553" w14:textId="77777777" w:rsidR="00340C49" w:rsidRPr="0064331C" w:rsidRDefault="00340C49" w:rsidP="00340C49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</w:tcPr>
          <w:p w14:paraId="4581B6E9" w14:textId="353F1809" w:rsidR="00340C49" w:rsidRPr="0064331C" w:rsidRDefault="00340C49" w:rsidP="00340C49">
            <w:pPr>
              <w:spacing w:after="120"/>
            </w:pPr>
            <w:r>
              <w:t>2 и 5 (пункт 2 b))</w:t>
            </w:r>
          </w:p>
        </w:tc>
      </w:tr>
    </w:tbl>
    <w:p w14:paraId="038AD659" w14:textId="53454D23" w:rsidR="00503E4A" w:rsidRPr="00B95AF8" w:rsidRDefault="00503E4A" w:rsidP="00DA64B5">
      <w:pPr>
        <w:pStyle w:val="SingleTxtG"/>
        <w:pageBreakBefore/>
      </w:pPr>
      <w:r>
        <w:lastRenderedPageBreak/>
        <w:t>1.1</w:t>
      </w:r>
      <w:r>
        <w:tab/>
        <w:t>Автором сообщения, представленного 2 мая 2018 года и дополненного 21</w:t>
      </w:r>
      <w:r w:rsidR="00E77CF8">
        <w:t> </w:t>
      </w:r>
      <w:r>
        <w:t>ноября 2018 года, является А.Я.О.АК</w:t>
      </w:r>
      <w:r w:rsidRPr="00885B83">
        <w:rPr>
          <w:rStyle w:val="aa"/>
        </w:rPr>
        <w:footnoteReference w:id="3"/>
      </w:r>
      <w:r>
        <w:t xml:space="preserve">, гражданка Иордании, родившаяся 25 июля 1976 года. Она утверждает, что отказ Министерства внутренних дел в удовлетворении ее заявления о предоставлении итальянского гражданства представляет собой нарушение Италией ее прав, предусмотренных статьями 17 и 26 Пакта. Италия ратифицировала первый Факультативный протокол к Пакту, который вступил в силу 23 марта 1976 года. </w:t>
      </w:r>
      <w:r w:rsidRPr="00E2219F">
        <w:t>А.Я.О.АК</w:t>
      </w:r>
      <w:r>
        <w:t xml:space="preserve"> представлена адвокатом (Давиде Галимберти)</w:t>
      </w:r>
      <w:r w:rsidR="00E77CF8">
        <w:t>.</w:t>
      </w:r>
    </w:p>
    <w:p w14:paraId="004DBC6C" w14:textId="77777777" w:rsidR="00503E4A" w:rsidRPr="00B16E52" w:rsidRDefault="00503E4A" w:rsidP="00503E4A">
      <w:pPr>
        <w:pStyle w:val="SingleTxtG"/>
        <w:rPr>
          <w:b/>
        </w:rPr>
      </w:pPr>
      <w:r>
        <w:t>1.2</w:t>
      </w:r>
      <w:r>
        <w:tab/>
        <w:t xml:space="preserve">17 декабря 2020 года Комитет, руководствуясь пунктом 7 правила 92 своих правил процедуры и действуя через своего Специального докладчика по новым сообщениям и временным мерам, постановил не принимать </w:t>
      </w:r>
      <w:r w:rsidRPr="00EE211F">
        <w:t>дополнительны</w:t>
      </w:r>
      <w:r>
        <w:t>е</w:t>
      </w:r>
      <w:r w:rsidRPr="00EE211F">
        <w:t xml:space="preserve"> письменны</w:t>
      </w:r>
      <w:r>
        <w:t>е</w:t>
      </w:r>
      <w:r w:rsidRPr="00EE211F">
        <w:t xml:space="preserve"> </w:t>
      </w:r>
      <w:r>
        <w:t xml:space="preserve">комментарии, </w:t>
      </w:r>
      <w:r w:rsidRPr="00EE211F">
        <w:t>представлен</w:t>
      </w:r>
      <w:r>
        <w:t>ные автором.</w:t>
      </w:r>
    </w:p>
    <w:p w14:paraId="41423587" w14:textId="77777777" w:rsidR="00503E4A" w:rsidRPr="00DF71AD" w:rsidRDefault="00503E4A" w:rsidP="00015F67">
      <w:pPr>
        <w:pStyle w:val="H23G"/>
      </w:pPr>
      <w:r>
        <w:tab/>
      </w:r>
      <w:r>
        <w:tab/>
        <w:t xml:space="preserve">Факты в </w:t>
      </w:r>
      <w:r w:rsidRPr="00015F67">
        <w:t>изложении</w:t>
      </w:r>
      <w:r>
        <w:t xml:space="preserve"> автора</w:t>
      </w:r>
    </w:p>
    <w:p w14:paraId="240C6206" w14:textId="77777777" w:rsidR="00503E4A" w:rsidRPr="00DF71AD" w:rsidRDefault="00503E4A" w:rsidP="00503E4A">
      <w:pPr>
        <w:pStyle w:val="SingleTxtG"/>
      </w:pPr>
      <w:r>
        <w:t>2.1</w:t>
      </w:r>
      <w:r>
        <w:tab/>
        <w:t>Автор живет в Италии со своим мужем, Х.Е. с 1999 года. Их двое детей, родившиеся в 2001 и 2005 годах, живут и учатся в Италии. В настоящее время автор преподает в Университете Ка-Фоскари в Венеции, а ранее она преподавала в Милане.</w:t>
      </w:r>
    </w:p>
    <w:p w14:paraId="0A194A36" w14:textId="62388D1D" w:rsidR="00503E4A" w:rsidRPr="00DF71AD" w:rsidRDefault="00503E4A" w:rsidP="00503E4A">
      <w:pPr>
        <w:pStyle w:val="SingleTxtG"/>
      </w:pPr>
      <w:r>
        <w:t>2.2</w:t>
      </w:r>
      <w:r>
        <w:tab/>
        <w:t xml:space="preserve">7 января 2014 года автор подала заявление о получении итальянского гражданства. Она утверждает, что подала заявление о получении гражданства от своего имени, поскольку удовлетворяет требованиям, касающимся социально-экономической интеграции, в том числе в отношении наличия достаточного дохода, отсутствия судимостей и продолжительности непрерывного периода проживания в Италии, составляющего не менее </w:t>
      </w:r>
      <w:r w:rsidR="00E77CF8">
        <w:t>10</w:t>
      </w:r>
      <w:r>
        <w:t xml:space="preserve"> лет. 26 октября 2016 года она получила письмо из Министерства внутренних дел от 22 сентября 2016 года, в котором было указано, что ее заявление отклонено, поскольку деятельность ее мужа преследует «цели, не совместимые с безопасностью Республики», и поскольку стабильность и продолжительность ее брака с мужем может способствовать возникновению у нее «опасного» поведения. В отказе в удовлетворении ее ходатайства не указаны какие-либо факты, относящиеся лично к автору. Автор утверждает, что</w:t>
      </w:r>
      <w:r w:rsidRPr="001D6DD8">
        <w:t xml:space="preserve"> </w:t>
      </w:r>
      <w:r>
        <w:t>ни на одном из этапов процедуры с ней не консультировались и не проводили собеседования.</w:t>
      </w:r>
    </w:p>
    <w:p w14:paraId="0740BEC8" w14:textId="77777777" w:rsidR="00503E4A" w:rsidRPr="00DF71AD" w:rsidRDefault="00503E4A" w:rsidP="00503E4A">
      <w:pPr>
        <w:pStyle w:val="SingleTxtG"/>
      </w:pPr>
      <w:r>
        <w:t>2.3</w:t>
      </w:r>
      <w:r>
        <w:tab/>
        <w:t>30 декабря 2016 года автор обжаловала отрицательное решение Министерства внутренних дел по своему ходатайству в административном трибунале области Лацио в Риме, утверждая, что отказ в удовлетворении ее заявления на основании жизненных обстоятельств ее мужа является произвольным и дискриминационным. Она утверждает, что по своей апелляции она не получила ни ответа, ни решения.</w:t>
      </w:r>
    </w:p>
    <w:p w14:paraId="59E3A4DE" w14:textId="60994EF6" w:rsidR="00503E4A" w:rsidRPr="00DF71AD" w:rsidRDefault="00503E4A" w:rsidP="00503E4A">
      <w:pPr>
        <w:pStyle w:val="SingleTxtG"/>
      </w:pPr>
      <w:r>
        <w:t>2.4</w:t>
      </w:r>
      <w:r>
        <w:tab/>
        <w:t>12 января 2018 года автор направила письмо в областной административный суд в поддержку своей апелляционной жалобы, в котором она заявила, что данный ей отказ является произвольным и дискриминационным. В письме она утверждала, что Министерство внутренних дел составило о ней мнение, исходя из деятельност</w:t>
      </w:r>
      <w:r w:rsidR="00E77CF8">
        <w:t>и</w:t>
      </w:r>
      <w:r>
        <w:t xml:space="preserve"> мужа</w:t>
      </w:r>
      <w:r w:rsidR="00E77CF8">
        <w:t>,</w:t>
      </w:r>
      <w:r>
        <w:t xml:space="preserve"> и отклонило ее заявление, потому что она состоит с ним в браке. 22 октября 2018 года автор направила еще одно письмо в указанный административный суд, в котором она повторила те же аргументы. </w:t>
      </w:r>
    </w:p>
    <w:p w14:paraId="0D38CAEB" w14:textId="77777777" w:rsidR="00503E4A" w:rsidRPr="00DF71AD" w:rsidRDefault="00503E4A" w:rsidP="00503E4A">
      <w:pPr>
        <w:pStyle w:val="SingleTxtG"/>
      </w:pPr>
      <w:r>
        <w:t>2.5</w:t>
      </w:r>
      <w:r>
        <w:tab/>
        <w:t xml:space="preserve">Автор указывает, что процесс обжалования решения Министерства происходит в двух инстанциях: сначала в областном административном суде, а затем в Государственном совете, и что до рассмотрения апелляции на следующем этапе процедуры может пройти четыре года. Таким образом, если ее апелляция, поданная в административный суд, не будет удовлетворена, между первоначальным решением Министерства и окончательным решением Государственного совета может пройти в общей сложности восемь лет; и, следовательно, она сможет получить окончательное решение только в 2024 году. </w:t>
      </w:r>
    </w:p>
    <w:p w14:paraId="56CD4CEC" w14:textId="38872431" w:rsidR="00503E4A" w:rsidRPr="00DF71AD" w:rsidRDefault="00503E4A" w:rsidP="00503E4A">
      <w:pPr>
        <w:pStyle w:val="SingleTxtG"/>
      </w:pPr>
      <w:r>
        <w:t>2.6</w:t>
      </w:r>
      <w:r>
        <w:tab/>
        <w:t>Автор подала свое заявление о предоставлении итальянского гражданства 7</w:t>
      </w:r>
      <w:r w:rsidR="00015F67">
        <w:t> </w:t>
      </w:r>
      <w:r>
        <w:t xml:space="preserve">января 2014 года и с 30 декабря 2016 года ожидает решения областного административного суда по ее апелляции. Автор утверждает, что по смыслу </w:t>
      </w:r>
      <w:r w:rsidR="00015F67">
        <w:br/>
      </w:r>
      <w:r>
        <w:t xml:space="preserve">пункта 2 b) статьи 5 Факультативного протокола такая задержка является </w:t>
      </w:r>
      <w:r>
        <w:lastRenderedPageBreak/>
        <w:t>«неоправданно длительной» и что других эффективных внутренних средств правовой защиты у нее нет.</w:t>
      </w:r>
    </w:p>
    <w:p w14:paraId="1D0CD261" w14:textId="73C6DDE1" w:rsidR="00503E4A" w:rsidRPr="00DF71AD" w:rsidRDefault="00503E4A" w:rsidP="00503E4A">
      <w:pPr>
        <w:pStyle w:val="SingleTxtG"/>
      </w:pPr>
      <w:r>
        <w:t>2.7</w:t>
      </w:r>
      <w:r>
        <w:tab/>
        <w:t>Автор утверждает, что этот же вопрос не рассматривался и не рассматривается в рамках какой-либо другой процедуры международного расследования или урегулирования</w:t>
      </w:r>
      <w:r w:rsidR="00015F67">
        <w:t>.</w:t>
      </w:r>
      <w:r>
        <w:t xml:space="preserve"> </w:t>
      </w:r>
    </w:p>
    <w:p w14:paraId="0FEF8226" w14:textId="77777777" w:rsidR="00503E4A" w:rsidRPr="00B95AF8" w:rsidRDefault="00503E4A" w:rsidP="00015F67">
      <w:pPr>
        <w:pStyle w:val="H23G"/>
      </w:pPr>
      <w:r>
        <w:tab/>
      </w:r>
      <w:r>
        <w:tab/>
      </w:r>
      <w:r w:rsidRPr="00015F67">
        <w:t>Жалоба</w:t>
      </w:r>
    </w:p>
    <w:p w14:paraId="7260940A" w14:textId="77777777" w:rsidR="00503E4A" w:rsidRPr="00DF71AD" w:rsidRDefault="00503E4A" w:rsidP="00503E4A">
      <w:pPr>
        <w:pStyle w:val="SingleTxtG"/>
      </w:pPr>
      <w:r>
        <w:t>3.1</w:t>
      </w:r>
      <w:r>
        <w:tab/>
        <w:t>Автор утверждает, что отказ в удовлетворении ее заявления о предоставлении итальянского гражданства противоречит праву по статье 17 Пакта не подвергаться произвольному или незаконному вмешательству в ее личную жизнь и семейную жизнь, посягательству на ее жилище или корреспонденцию, а также незаконным посягательствам на ее честь и репутацию.</w:t>
      </w:r>
    </w:p>
    <w:p w14:paraId="7E1C3239" w14:textId="77777777" w:rsidR="00503E4A" w:rsidRPr="00DF71AD" w:rsidRDefault="00503E4A" w:rsidP="00503E4A">
      <w:pPr>
        <w:pStyle w:val="SingleTxtG"/>
      </w:pPr>
      <w:r>
        <w:t>3.2</w:t>
      </w:r>
      <w:r>
        <w:tab/>
        <w:t>Кроме того, автор утверждает, что сам факт отказа ей в итальянском гражданстве на основании фактов, относящихся не к ней, а к ее мужу, равносилен дискриминации по признаку пола и представляет собой нарушение Италией статьи 26 Пакта. Она утверждает, что закрепленный в статье 26 принцип равенства не позволяет государству-участнику отказывать ей в гражданстве только на основании ее семейного положения и биографических данных ее мужа. Автор утверждает, что, если бы она не была замужем за своим мужем, Министерство предоставило бы ей итальянское гражданство, поскольку она соответствует всем другим требованиям.</w:t>
      </w:r>
    </w:p>
    <w:p w14:paraId="1ABFB8CF" w14:textId="77777777" w:rsidR="00503E4A" w:rsidRPr="00DF71AD" w:rsidRDefault="00503E4A" w:rsidP="00503E4A">
      <w:pPr>
        <w:pStyle w:val="SingleTxtG"/>
      </w:pPr>
      <w:r>
        <w:t>3.3</w:t>
      </w:r>
      <w:r>
        <w:tab/>
        <w:t xml:space="preserve">Автор также жалуется на продолжительность рассмотрения апелляции и заявляет о неоправданных задержках в нарушение статьи 26 Пакта. </w:t>
      </w:r>
    </w:p>
    <w:p w14:paraId="482199AB" w14:textId="77777777" w:rsidR="00503E4A" w:rsidRPr="00DF71AD" w:rsidRDefault="00503E4A" w:rsidP="00015F67">
      <w:pPr>
        <w:pStyle w:val="H23G"/>
      </w:pPr>
      <w:r>
        <w:tab/>
      </w:r>
      <w:r>
        <w:tab/>
        <w:t xml:space="preserve">Замечания государства-участника относительно </w:t>
      </w:r>
      <w:r w:rsidRPr="00015F67">
        <w:t>приемлемости</w:t>
      </w:r>
      <w:r>
        <w:t xml:space="preserve"> и существа сообщения</w:t>
      </w:r>
    </w:p>
    <w:p w14:paraId="4C10FF00" w14:textId="77777777" w:rsidR="00503E4A" w:rsidRPr="00DF71AD" w:rsidRDefault="00503E4A" w:rsidP="00503E4A">
      <w:pPr>
        <w:pStyle w:val="SingleTxtG"/>
      </w:pPr>
      <w:r>
        <w:t>4.1</w:t>
      </w:r>
      <w:r>
        <w:tab/>
        <w:t xml:space="preserve">9 октября 2019 года государство-участник представило свои замечания относительно приемлемости и существа сообщения автора, напомнив о конституционных основах Италии, включая уважение верховенства закона и прав человека и основных свобод. </w:t>
      </w:r>
    </w:p>
    <w:p w14:paraId="43138096" w14:textId="77777777" w:rsidR="00503E4A" w:rsidRPr="00DF71AD" w:rsidRDefault="00503E4A" w:rsidP="00503E4A">
      <w:pPr>
        <w:pStyle w:val="SingleTxtG"/>
        <w:rPr>
          <w:rStyle w:val="aa"/>
        </w:rPr>
      </w:pPr>
      <w:r>
        <w:t>4.2</w:t>
      </w:r>
      <w:r>
        <w:tab/>
        <w:t xml:space="preserve">Итальянская конституционная система гарантий и </w:t>
      </w:r>
      <w:r w:rsidRPr="00002F49">
        <w:rPr>
          <w:color w:val="333333"/>
          <w:shd w:val="clear" w:color="auto" w:fill="FFFFFF"/>
        </w:rPr>
        <w:t>мер защиты</w:t>
      </w:r>
      <w:r>
        <w:t>, в частности выражается в «принципе двухуровневого судебного разбирательства», который реализуется через систему апелляций, характеризующуюся тремя возможными уровнями</w:t>
      </w:r>
      <w:r w:rsidRPr="006A698D">
        <w:t xml:space="preserve"> </w:t>
      </w:r>
      <w:r>
        <w:t>вынесения решений по ним. Каждый уровень представляет собой дополнительный уровень вынесения решений. Обеспечивая широкий спектр гарантий, система апелляционного обжалования и три возможных уровня вынесения решений могут стать причиной затягивания разрешения рассматриваемого спора. Наряду с закреплением принципа надлежащей правовой процедуры в Конституции государства-участника определяется роль Государственного совета и Конституционного суда</w:t>
      </w:r>
      <w:r w:rsidRPr="00885B83">
        <w:rPr>
          <w:rStyle w:val="aa"/>
        </w:rPr>
        <w:footnoteReference w:id="4"/>
      </w:r>
      <w:r>
        <w:t>.</w:t>
      </w:r>
    </w:p>
    <w:p w14:paraId="5E38CF4F" w14:textId="77777777" w:rsidR="00503E4A" w:rsidRPr="00503E4A" w:rsidRDefault="00503E4A" w:rsidP="00503E4A">
      <w:pPr>
        <w:pStyle w:val="SingleTxtG"/>
      </w:pPr>
      <w:r>
        <w:t>4.3</w:t>
      </w:r>
      <w:r>
        <w:tab/>
        <w:t>По поводу фактов государство-участник заявляет, что в декабре 2016 года автор подала апелляцию в областной административный трибунал в связи с отклонением ее заявления о предоставлении гражданства. Государство-участник признает, что к моменту представления замечаний Комитету (9 октября 2019 года)</w:t>
      </w:r>
      <w:r w:rsidRPr="00885B83">
        <w:rPr>
          <w:sz w:val="18"/>
          <w:vertAlign w:val="superscript"/>
        </w:rPr>
        <w:footnoteReference w:id="5"/>
      </w:r>
      <w:r>
        <w:t xml:space="preserve"> решение по ее апелляции еще не было принято.</w:t>
      </w:r>
    </w:p>
    <w:p w14:paraId="4475FB37" w14:textId="77777777" w:rsidR="00503E4A" w:rsidRPr="00DF71AD" w:rsidRDefault="00503E4A" w:rsidP="00503E4A">
      <w:pPr>
        <w:pStyle w:val="SingleTxtG"/>
      </w:pPr>
      <w:r>
        <w:t>4.4</w:t>
      </w:r>
      <w:r>
        <w:tab/>
        <w:t xml:space="preserve">После обращения в областной административный трибунал автор подала в Комитет жалобу на затягивание судебного разбирательства и дискриминационное обращение, которому она предположительно подверглась. </w:t>
      </w:r>
    </w:p>
    <w:p w14:paraId="7D334DEF" w14:textId="77777777" w:rsidR="00503E4A" w:rsidRPr="00503E4A" w:rsidRDefault="00503E4A" w:rsidP="00503E4A">
      <w:pPr>
        <w:pStyle w:val="SingleTxtG"/>
      </w:pPr>
      <w:r>
        <w:t>4.5</w:t>
      </w:r>
      <w:r>
        <w:tab/>
        <w:t xml:space="preserve">В отношении продолжительности разбирательства в рамках административного судопроизводства приводится ссылка на нормативную базу Италии, согласно которой разумная продолжительность считается соблюденной, если a) судебное разбирательство в первой инстанции не превышает трех лет; b) продолжительность </w:t>
      </w:r>
      <w:r>
        <w:lastRenderedPageBreak/>
        <w:t>разбирательства во второй инстанции не превышает двух лет; и c) один год при вынесении решения о законности ранее вынесенного решения. Для целей исчисления продолжительности судебного разбирательства за его начало принимается дата подачи жалобы или выдачи уведомления о вызове в суд</w:t>
      </w:r>
      <w:r w:rsidRPr="00885B83">
        <w:rPr>
          <w:sz w:val="18"/>
          <w:vertAlign w:val="superscript"/>
        </w:rPr>
        <w:footnoteReference w:id="6"/>
      </w:r>
      <w:r>
        <w:t>.</w:t>
      </w:r>
    </w:p>
    <w:p w14:paraId="3441CBAD" w14:textId="77777777" w:rsidR="00503E4A" w:rsidRPr="00DF71AD" w:rsidRDefault="00503E4A" w:rsidP="00503E4A">
      <w:pPr>
        <w:pStyle w:val="SingleTxtG"/>
      </w:pPr>
      <w:r>
        <w:t>4.6</w:t>
      </w:r>
      <w:r>
        <w:tab/>
        <w:t xml:space="preserve">В рассматриваемом случае с учетом того, что срок обжалования отказа в приеме в гражданство в областном административном трибунале еще не достиг минимального трехлетнего порога, законные ожидания автора не были нарушены. </w:t>
      </w:r>
    </w:p>
    <w:p w14:paraId="5B2F7D71" w14:textId="1FD2AEC0" w:rsidR="00503E4A" w:rsidRPr="00DF71AD" w:rsidRDefault="00503E4A" w:rsidP="00503E4A">
      <w:pPr>
        <w:pStyle w:val="SingleTxtG"/>
      </w:pPr>
      <w:r>
        <w:t>4.7</w:t>
      </w:r>
      <w:r>
        <w:tab/>
        <w:t xml:space="preserve">В отношении утверждений автора по статьям 17 и 26 Пакта государство-участник заявляет, что итальянское гражданство может быть предоставлено иностранному гражданину, который/которая законно проживает на территории Республики не менее </w:t>
      </w:r>
      <w:r w:rsidR="00015F67">
        <w:t>10</w:t>
      </w:r>
      <w:r>
        <w:t xml:space="preserve"> лет. В случае автора отказ в удовлетворении ее заявления о предоставлении гражданства основан главным образом на соображениях, касающихся ее мужа, поскольку он был признан «близким» к движениям, которые считаются социально опасными и преследуют цели, несовместимые с безопасностью страны. Ранее мужу автора было отказано в удовлетворении заявления о предоставлении итальянского гражданства. Он также обжаловал отрицательное решение в областном административном трибунале, который отклонил его жалобу решением № 5577/13 от 4 июня 2013 года. На время представления замечаний государства-участника апелляция мужа автора находилась на рассмотрении в Государственном совете. </w:t>
      </w:r>
    </w:p>
    <w:p w14:paraId="47EC50D6" w14:textId="77777777" w:rsidR="00503E4A" w:rsidRPr="00503E4A" w:rsidRDefault="00503E4A" w:rsidP="00503E4A">
      <w:pPr>
        <w:pStyle w:val="SingleTxtG"/>
      </w:pPr>
      <w:r>
        <w:t>4.8</w:t>
      </w:r>
      <w:r>
        <w:tab/>
        <w:t>Своим решением от 26 сентября 2016 года Министерство внутренних дел отклонило заявление автора о предоставлении гражданства, «приняв во внимание установленную близость ее мужа (г-на Х.К.) к движениям, несовместимым с безопасностью Республики, которая препятствует предоставлению гражданства». Семейные отношения являются свидетельством существования стабильной и длительной по времени связи, поскольку она коренится в семье и в объединяющих ее эмоциональных скрепах, при этом такие стабильные родственные и эмоциональные связи могут побудить соответствующую сторону способствовать, пусть даже по эмоциональным причинам, проявлению такого поведения, которое считается опасным для безопасности Республики»</w:t>
      </w:r>
      <w:r w:rsidRPr="00885B83">
        <w:rPr>
          <w:sz w:val="18"/>
          <w:vertAlign w:val="superscript"/>
        </w:rPr>
        <w:footnoteReference w:id="7"/>
      </w:r>
      <w:r>
        <w:t>.</w:t>
      </w:r>
    </w:p>
    <w:p w14:paraId="4FE5F416" w14:textId="77777777" w:rsidR="00503E4A" w:rsidRPr="00503E4A" w:rsidRDefault="00503E4A" w:rsidP="00503E4A">
      <w:pPr>
        <w:pStyle w:val="SingleTxtG"/>
      </w:pPr>
      <w:r>
        <w:t>4.9</w:t>
      </w:r>
      <w:r>
        <w:tab/>
        <w:t>По поводу утверждений о нарушении статей 17 и 26 в связи с тем, что отказ в удовлетворении заявления автора о предоставлении гражданства предположительно основан на фактах и поведении, которые могут быть отнесены исключительно к ее мужу, государство-участник заявляет, что предоставление итальянского гражданства предполагает отсутствие фактов или обстоятельств, которые бы могли поставить под угрозу ценности свободного и мирного сосуществования граждан. По сути дела, безопасность Итальянской Республики представляет собой интерес более высокого уровня по сравнению с индивидуальной заинтересованностью в получении или признании итальянского гражданства. Учитывая окончательный характер соответствующего решения, «не должно существовать никаких сомнений, никакой тени подозрения в неблагонадежности заявителя; при этом также проводится перспективная оценка относительно его/ее полной приверженности в будущем конституционным ценностям, на которых основана Итальянская Республика»</w:t>
      </w:r>
      <w:r w:rsidRPr="00885B83">
        <w:rPr>
          <w:sz w:val="18"/>
          <w:vertAlign w:val="superscript"/>
        </w:rPr>
        <w:footnoteReference w:id="8"/>
      </w:r>
      <w:r>
        <w:t>. В этом контексте Конституционный суд Италии подтвердил, что релевантность интересов государственной безопасности с точки зрения целостности и независимости государства отражена в статье 52 Конституции. Государство-участник добавляет, что тревожный всплеск терроризма и экстремизма в настоящее время оправдывает особую осмотрительность и осторожность в административной практике предоставления гражданства</w:t>
      </w:r>
      <w:r w:rsidRPr="00885B83">
        <w:rPr>
          <w:sz w:val="18"/>
          <w:vertAlign w:val="superscript"/>
        </w:rPr>
        <w:footnoteReference w:id="9"/>
      </w:r>
      <w:r>
        <w:t>.</w:t>
      </w:r>
    </w:p>
    <w:p w14:paraId="43D1E1BC" w14:textId="77777777" w:rsidR="00503E4A" w:rsidRPr="00DF71AD" w:rsidRDefault="00503E4A" w:rsidP="00503E4A">
      <w:pPr>
        <w:pStyle w:val="SingleTxtG"/>
      </w:pPr>
      <w:r>
        <w:t>4.10</w:t>
      </w:r>
      <w:r>
        <w:tab/>
        <w:t xml:space="preserve">Следовательно, брак и естественным образом вытекающая из него материальная и духовная общность могут стать предметом оценки со стороны органа </w:t>
      </w:r>
      <w:r>
        <w:lastRenderedPageBreak/>
        <w:t>административного управления при осуществлении своих дискреционных полномочий по защите высших интересов поддержания общественного порядка и безопасности, являющейся основанием для отказа в предоставлении итальянского гражданства жене лица, которое считается примыкающим и «близким» к движениям и группам, «преследующим цели», несовместимые с мирным и свободным сосуществованием граждан Италии. Вместе с тем особая осмотрительность в осуществлении превентивной и предупредительной функции, которой следует руководствоваться при оценке заявления о предоставлении гражданства, уравновешивается возможностью повторной подачи такого заявления в случае изменения объективных причин, лежащих в основе первоначального отрицательного решения, или, выражаясь в более общем смысле, для получения повторной оценки со стороны органа административного управления через пять лет после первоначальной оценки</w:t>
      </w:r>
      <w:r w:rsidRPr="00885B83">
        <w:rPr>
          <w:sz w:val="18"/>
          <w:vertAlign w:val="superscript"/>
        </w:rPr>
        <w:footnoteReference w:id="10"/>
      </w:r>
      <w:r>
        <w:t>. В заключение государство-участник утверждает, что автору доступны эффективные внутренние средства правовой защиты для обжалования решения об отклонении ее заявления и что при рассмотрении ее дела ей не было отказано в правосудии.</w:t>
      </w:r>
    </w:p>
    <w:p w14:paraId="65CDB8CB" w14:textId="77777777" w:rsidR="00503E4A" w:rsidRPr="00DF71AD" w:rsidRDefault="00503E4A" w:rsidP="00503E4A">
      <w:pPr>
        <w:pStyle w:val="SingleTxtG"/>
      </w:pPr>
      <w:r>
        <w:t>4.11</w:t>
      </w:r>
      <w:r>
        <w:tab/>
        <w:t>На основании вышеизложенных пояснений государство-участник просит Комитет объявить жалобу автора неприемлемой в связи с неисчерпанием имеющихся внутренних средств правовой защиты и отсутствием достаточных оснований или, иначе говоря, в связи с необоснованностью сообщения.</w:t>
      </w:r>
    </w:p>
    <w:p w14:paraId="2037393C" w14:textId="77777777" w:rsidR="00503E4A" w:rsidRPr="00DF71AD" w:rsidRDefault="00503E4A" w:rsidP="00797424">
      <w:pPr>
        <w:pStyle w:val="H23G"/>
      </w:pPr>
      <w:r>
        <w:tab/>
      </w:r>
      <w:r>
        <w:tab/>
        <w:t xml:space="preserve">Комментарии автора к замечаниям </w:t>
      </w:r>
      <w:r w:rsidRPr="00797424">
        <w:t>государства</w:t>
      </w:r>
      <w:r>
        <w:t>-участника</w:t>
      </w:r>
    </w:p>
    <w:p w14:paraId="019B8572" w14:textId="77777777" w:rsidR="00503E4A" w:rsidRPr="00DF71AD" w:rsidRDefault="00503E4A" w:rsidP="00503E4A">
      <w:pPr>
        <w:pStyle w:val="SingleTxtG"/>
      </w:pPr>
      <w:r>
        <w:t>5.1</w:t>
      </w:r>
      <w:r>
        <w:tab/>
        <w:t xml:space="preserve">13 ноября 2019 года автор представила комментарии к замечаниям государства-участника от 9 октября 2019 года, в которых она утверждает, что государство-участник не предоставило никакой новой информации в отношении ее жалобы. Напротив, эти замечания можно рассматривать как признание того, что нарушения, о которых она заявила, действительно имели место. </w:t>
      </w:r>
    </w:p>
    <w:p w14:paraId="465B274D" w14:textId="77777777" w:rsidR="00503E4A" w:rsidRPr="00DF71AD" w:rsidRDefault="00503E4A" w:rsidP="00503E4A">
      <w:pPr>
        <w:pStyle w:val="SingleTxtG"/>
      </w:pPr>
      <w:r>
        <w:t>5.2</w:t>
      </w:r>
      <w:r>
        <w:tab/>
        <w:t xml:space="preserve">Первоначальное сообщение автора от 2 мая 2018 года свидетельствует о нарушениях пункта 2) b) статьи 5 Факультативного протокола и статьи 17 Пакта; оно было дополнено пояснениями от 9 июня 2018 года и 21 ноября 2018 года, которые подтверждают утверждения автора о нарушении ее прав по статьям 17 и 26 Пакта. </w:t>
      </w:r>
    </w:p>
    <w:p w14:paraId="31FF9A5A" w14:textId="77777777" w:rsidR="00503E4A" w:rsidRPr="00DF71AD" w:rsidRDefault="00503E4A" w:rsidP="00503E4A">
      <w:pPr>
        <w:pStyle w:val="SingleTxtG"/>
      </w:pPr>
      <w:r>
        <w:t>5.3</w:t>
      </w:r>
      <w:r>
        <w:tab/>
        <w:t xml:space="preserve">Во-первых, автор вновь заявляет, что разбирательство по ее апелляции на отклонение ее заявления о предоставлении гражданства было необоснованно затянуто и что после трех напоминаний о необходимости принятия срочного решения областной административный трибунал ответил, что у него нет возможности ускорить процесс, поскольку дела рассматриваются в хронологическом порядке их поступления. Автор считает, что административный трибунал не сможет обеспечить соблюдение установленного законом трехлетнего срока для принятия решения в первой инстанции (истекает 30 декабря 2019 года). Автор напоминает, что она подверглась дискриминации, поскольку право на рассмотрение ее вопроса в разумные сроки не было соблюдено. </w:t>
      </w:r>
    </w:p>
    <w:p w14:paraId="35D14AC8" w14:textId="77777777" w:rsidR="00503E4A" w:rsidRPr="00DF71AD" w:rsidRDefault="00503E4A" w:rsidP="00503E4A">
      <w:pPr>
        <w:pStyle w:val="SingleTxtG"/>
      </w:pPr>
      <w:r>
        <w:t>5.4</w:t>
      </w:r>
      <w:r>
        <w:tab/>
        <w:t xml:space="preserve">По поводу своих утверждений по статьям 17 и 26 Пакта автор вновь заявляет, что решение по ее делу было принято, исходя из обстоятельств, относящихся к ее мужу, и что именно в этом была проявлена дискриминация. Непринятие во внимание ее собственных обстоятельств также является нарушением права на уважение частной и семейной жизни. </w:t>
      </w:r>
    </w:p>
    <w:p w14:paraId="392EBD90" w14:textId="77777777" w:rsidR="00503E4A" w:rsidRPr="00DF71AD" w:rsidRDefault="00503E4A" w:rsidP="00503E4A">
      <w:pPr>
        <w:pStyle w:val="SingleTxtG"/>
      </w:pPr>
      <w:r>
        <w:t>5.5</w:t>
      </w:r>
      <w:r>
        <w:tab/>
        <w:t xml:space="preserve">Автор возражает против ложных предположений в отношении ее мужа, которые имели негативные последствия для автора; она утверждает, что такая «ложная связь» между членами супружеской пары была осуждена Конституционным судом, который в своем решении № 78/2019 постановил, что жена и муж не являются кровными родственниками, поскольку они не связаны между собой кровной связью. Этот принцип опровергает «ложное и необоснованное» утверждение, согласно которому орган административного управления вынес в отношении автора решение, основанное на предполагаемой деятельности ее мужа. 29 октября 2019 года автор обратилась в </w:t>
      </w:r>
      <w:r>
        <w:lastRenderedPageBreak/>
        <w:t xml:space="preserve">орган административного управления с ходатайством провести новую оценку отказа в удовлетворении ее заявления о предоставлении гражданства, однако она не получила ответа. В заключение автор осуждает ссылки государства-участника на всплеск терроризма, которые она считает оскорбительными, и просит принести ей извинения. </w:t>
      </w:r>
    </w:p>
    <w:p w14:paraId="512B0E29" w14:textId="77777777" w:rsidR="00503E4A" w:rsidRPr="00DF71AD" w:rsidRDefault="00503E4A" w:rsidP="00797424">
      <w:pPr>
        <w:pStyle w:val="H23G"/>
      </w:pPr>
      <w:r>
        <w:tab/>
      </w:r>
      <w:r>
        <w:tab/>
        <w:t xml:space="preserve">Дополнительные замечания </w:t>
      </w:r>
      <w:r w:rsidRPr="00797424">
        <w:t>государства</w:t>
      </w:r>
      <w:r>
        <w:t>-участника</w:t>
      </w:r>
    </w:p>
    <w:p w14:paraId="7BCB145B" w14:textId="77777777" w:rsidR="00503E4A" w:rsidRPr="00DF71AD" w:rsidRDefault="00503E4A" w:rsidP="00503E4A">
      <w:pPr>
        <w:pStyle w:val="SingleTxtG"/>
      </w:pPr>
      <w:r>
        <w:t>6.1</w:t>
      </w:r>
      <w:r>
        <w:tab/>
        <w:t>9 ноября 2020 года государство-участник напомнило о своих предыдущих замечаниях от 9 октября 2019 года</w:t>
      </w:r>
      <w:r w:rsidRPr="00EB6821">
        <w:t xml:space="preserve"> </w:t>
      </w:r>
      <w:r>
        <w:t xml:space="preserve">и подтвердило, что автор могла обратиться за внутренними средствами правовой защиты, которые являются и доступными, и эффективными. </w:t>
      </w:r>
    </w:p>
    <w:p w14:paraId="38D8E29E" w14:textId="30A563E1" w:rsidR="00503E4A" w:rsidRPr="00DF71AD" w:rsidRDefault="00503E4A" w:rsidP="00503E4A">
      <w:pPr>
        <w:pStyle w:val="SingleTxtG"/>
      </w:pPr>
      <w:r>
        <w:t>6.2</w:t>
      </w:r>
      <w:r>
        <w:tab/>
        <w:t>В рамках обращения к судебной защите 30 декабря 2016 года автор подала апелляционную жалобу (NRG 15655/2016) в областной административный трибунал, которая 16 января 2017 года была передана в его первый отдел. Автор ходатайствовала об аннулировании решения Министерства внутренних дел (K10/458855/R) от 22</w:t>
      </w:r>
      <w:r w:rsidR="003A7475">
        <w:t> </w:t>
      </w:r>
      <w:r>
        <w:t>сентября 2016 года, которым было отклонено заявление автора о предоставлении итальянского гражданства. Апелляционная жалоба автора, классифицированная на момент подачи как ординарная, не содержала ходатайства о принятии предупредительных мер. Тем не менее в апелляции оспаривался отказ Министерства в доступе к конфиденциальной информации согласно статье 116 Административно-процессуального кодекса.</w:t>
      </w:r>
    </w:p>
    <w:p w14:paraId="737A8F1A" w14:textId="437FF6B1" w:rsidR="00503E4A" w:rsidRPr="00DF71AD" w:rsidRDefault="00503E4A" w:rsidP="00503E4A">
      <w:pPr>
        <w:pStyle w:val="SingleTxtG"/>
      </w:pPr>
      <w:r>
        <w:t>6.3</w:t>
      </w:r>
      <w:r>
        <w:tab/>
        <w:t>В частности, по поводу ходатайства о предоставлении доступа к информации 7</w:t>
      </w:r>
      <w:r w:rsidR="003A7475">
        <w:t> </w:t>
      </w:r>
      <w:r>
        <w:t>марта 2017 года было проведено специальное заседание коллегии апелляционного суда; она приняла определение коллегии № 3894/2017, опубликованное 24 марта 2017</w:t>
      </w:r>
      <w:r w:rsidR="003A7475">
        <w:t> </w:t>
      </w:r>
      <w:r>
        <w:t>года, которым вышеуказанное ходатайство было удовлетворено только в части любой документации, не отнесенной к категории конфиденциальной, а также в части рассекреченной информации, при этом автору было отказано в доступе к документам, имеющим конфиденциальный или секретный характер. Вместе с тем на 28 апреля 2017</w:t>
      </w:r>
      <w:r w:rsidR="003A7475">
        <w:t> </w:t>
      </w:r>
      <w:r>
        <w:t xml:space="preserve">года было назначено новое заседание. Определение коллегии № 3894/2017 было оспорено в Государственном совете (третьем отделе), который принял к рассмотрению эту апелляцию в качестве жалобы на определение о принятии предупредительных мер на основании постановления № 2574/2017, опубликованного 22 июня 2017 года. </w:t>
      </w:r>
    </w:p>
    <w:p w14:paraId="3FD0D221" w14:textId="3A576EA7" w:rsidR="00503E4A" w:rsidRPr="00A91A65" w:rsidRDefault="00503E4A" w:rsidP="00503E4A">
      <w:pPr>
        <w:pStyle w:val="SingleTxtG"/>
      </w:pPr>
      <w:r>
        <w:t>6.4</w:t>
      </w:r>
      <w:r>
        <w:tab/>
        <w:t xml:space="preserve">На состоявшемся 28 апреля 2017 года заседании по ходатайству адвоката автора рассмотрение дела было отложено до следующего заседания, назначенного на 9 мая 2017 года, с тем чтобы можно было изучить документацию, представленную органом административного управления 27 апреля 2017 года в соответствии </w:t>
      </w:r>
      <w:r w:rsidR="003A7475">
        <w:br/>
      </w:r>
      <w:r>
        <w:t xml:space="preserve">с предварительным постановлением судебных органов. Заседание коллегии, состоявшееся 9 мая 2017 года в присутствии других заинтересованных сторон, было вновь отложено по просьбе адвоката автора на дату, которая будет определена позднее. Из заявления защиты автора от 3 мая 2017 года можно сделать вывод, что причиной ходатайства об отсрочке стала находящаяся на рассмотрении </w:t>
      </w:r>
      <w:r w:rsidR="003A7475">
        <w:br/>
      </w:r>
      <w:r>
        <w:t xml:space="preserve">в Государственном совете апелляция на вышеупомянутое определение </w:t>
      </w:r>
      <w:r w:rsidR="003A7475">
        <w:br/>
      </w:r>
      <w:r>
        <w:t>коллегии № 3894/2017, касающееся принятого Министерством решения в части, исключающей доступ к конфиденциальной информации.</w:t>
      </w:r>
    </w:p>
    <w:p w14:paraId="491A153A" w14:textId="7F8C350C" w:rsidR="00503E4A" w:rsidRPr="00DF71AD" w:rsidRDefault="00503E4A" w:rsidP="00503E4A">
      <w:pPr>
        <w:pStyle w:val="SingleTxtG"/>
      </w:pPr>
      <w:r>
        <w:t>6.5</w:t>
      </w:r>
      <w:r>
        <w:tab/>
        <w:t xml:space="preserve">24 января 2020 года автор впервые обратилась с ходатайством о применении коллегией </w:t>
      </w:r>
      <w:bookmarkStart w:id="0" w:name="_Hlk118103418"/>
      <w:r>
        <w:t>предупредительных мер</w:t>
      </w:r>
      <w:bookmarkEnd w:id="0"/>
      <w:r>
        <w:t xml:space="preserve"> в соответствии со статьей 55 </w:t>
      </w:r>
      <w:r w:rsidRPr="00092826">
        <w:t>Административно-процессуального кодекса</w:t>
      </w:r>
      <w:r>
        <w:t xml:space="preserve">, а также запросила соответствующее предварительное постановление Европейского суда. 21 апреля 2020 года коллегия судей, </w:t>
      </w:r>
      <w:r w:rsidR="003A7475">
        <w:br/>
      </w:r>
      <w:r>
        <w:t xml:space="preserve">рассмотрев ходатайство о применении </w:t>
      </w:r>
      <w:r w:rsidRPr="00AD434E">
        <w:t>предупредительных мер</w:t>
      </w:r>
      <w:r>
        <w:t>,</w:t>
      </w:r>
      <w:r w:rsidRPr="00AD434E">
        <w:t xml:space="preserve"> </w:t>
      </w:r>
      <w:r>
        <w:t>приняла постановление № 3060/2020, которым она назначила публичные слушания на 11</w:t>
      </w:r>
      <w:r w:rsidR="003A7475">
        <w:t> </w:t>
      </w:r>
      <w:r>
        <w:t>января 2021 года для рассмотрения апелляции по существу, при этом она приняла во внимание ходатайство автора от 24 января 2020 года и в этой связи рассмотрел</w:t>
      </w:r>
      <w:r w:rsidR="003A7475">
        <w:t>а</w:t>
      </w:r>
      <w:r>
        <w:t xml:space="preserve"> по существу вопрос о приостановлении производства по апелляции. </w:t>
      </w:r>
    </w:p>
    <w:p w14:paraId="08AD38BA" w14:textId="77777777" w:rsidR="00503E4A" w:rsidRPr="00DF71AD" w:rsidRDefault="00503E4A" w:rsidP="00503E4A">
      <w:pPr>
        <w:pStyle w:val="SingleTxtG"/>
      </w:pPr>
      <w:r>
        <w:t>6.6</w:t>
      </w:r>
      <w:r>
        <w:tab/>
        <w:t xml:space="preserve">В материалах дела имеются четыре ходатайства о рассмотрении апелляции в ускоренном порядке, которые были поданы 13 января и 31 октября 2017 года, а также 10 января 2019 года и 31 октября 2019 года, все из которых были отклонены Председателем областного административного трибунала по причине отсутствия </w:t>
      </w:r>
      <w:r>
        <w:lastRenderedPageBreak/>
        <w:t>возможностей. В этом контексте следует отметить следующие факты: a) апелляции рассматриваются в хронологическом порядке их поступления</w:t>
      </w:r>
      <w:r w:rsidRPr="00885B83">
        <w:rPr>
          <w:sz w:val="18"/>
          <w:vertAlign w:val="superscript"/>
        </w:rPr>
        <w:footnoteReference w:id="11"/>
      </w:r>
      <w:r>
        <w:t xml:space="preserve">, при этом соблюдаются установленные Советом председателей судов административной юстиции ограничения по нагрузке на магистратов; b) в отношении рассматриваемого типа судебного спора сокращенное или ускоренное производство в административном трибунале не предусмотрено; следовательно, преимущественный путь ускоренного рассмотрения дела по существу исключен; и c) при исчислении времени рассмотрения апелляции по данному делу учитывается время, необходимое для проведения предварительных оценок, о проведении которых ходатайствовала автор сообщения и которые судебные органы сочли необходимыми, а также время, необходимое для завершения этапа апелляционного производства, посвященного предупредительным мерам, на принятии которых настаивала автор. Задержка с рассмотрением дела, которое уже находится в процессе завершения, оказалась минимальной: публичные слушания по нему назначены на 11 января 2021 года. </w:t>
      </w:r>
    </w:p>
    <w:p w14:paraId="7865E533" w14:textId="547DC7C1" w:rsidR="00503E4A" w:rsidRPr="00DF71AD" w:rsidRDefault="00503E4A" w:rsidP="00503E4A">
      <w:pPr>
        <w:pStyle w:val="SingleTxtG"/>
      </w:pPr>
      <w:r>
        <w:t>6.7</w:t>
      </w:r>
      <w:r>
        <w:tab/>
        <w:t>Кроме того, государство-участник излагает свою позицию по материально-правовым аспектам ходатайства автора о пересмотре решения Министерства от 22</w:t>
      </w:r>
      <w:r w:rsidR="0048610F">
        <w:t> </w:t>
      </w:r>
      <w:r>
        <w:t xml:space="preserve">сентября 2016 года об отклонении заявления автора о предоставлении гражданства, поскольку в ходе рассмотрения выяснилось, что муж автора был связан с движениями, преследующими цели, не совместимые с безопасностью Италии, что является основанием для отказа в предоставлении итальянского гражданства. Автор просила пересмотреть это отрицательное решение по двум основаниям: во-первых, предположение о наличии кровного родства между автором и ее мужем, на основании которого могло быть вынесено решение в отношении затрагиваемого лица, является ошибочным. Во-вторых, автор жалуется на то, что поведение органа административного управления является причиной ее дискриминации в нарушение статьи 3 Конституции, статей 8 и 14 Европейской конвенции по правам человека, статьи 1 Протокола № 12 к Европейской конвенции и статьи 17 Пакта. </w:t>
      </w:r>
    </w:p>
    <w:p w14:paraId="7816C71E" w14:textId="77777777" w:rsidR="00503E4A" w:rsidRPr="00DF71AD" w:rsidRDefault="00503E4A" w:rsidP="00503E4A">
      <w:pPr>
        <w:pStyle w:val="SingleTxtG"/>
      </w:pPr>
      <w:r>
        <w:t>6.8</w:t>
      </w:r>
      <w:r>
        <w:tab/>
        <w:t>Государство-участник также напоминает о сложившейся практике национальных судов, в рамках которой итальянское гражданство не предоставляется автоматически, даже в случае соблюдения требований и отсутствия препятствующих факторов. Как такового права на получение гражданства не существует. Этот процесс является результатом тщательного взвешивания каждого относящегося к делу элемента с целью оценить наличие конкретного общественного интереса в принятии на постоянной основе нового члена в состав государственного сообщества. С этой точки зрения при рассмотрении заявлений о предоставлении итальянского гражданства на основании факта проживания в стране областной административный трибунал в соответствии с Законом № 91/1992 наделен значительными дискреционными полномочиями по проведению оценки в пределах общих нормативных рамок. Оценка не может быть основана исключительно на выполнении требований, предусмотренных законом, например в отношении нахождения иностранца на территории страны в течение установленного законом количества лет или подтверждения того, что иностранец имеет постоянное занятие и достаточный доход. В ней должен учитываться ряд дополнительных элементов, на основании которых можно сделать вывод о целесообразности включения иностранца в сообщество граждан на постоянной основе.</w:t>
      </w:r>
    </w:p>
    <w:p w14:paraId="1CE1B1D4" w14:textId="577DBDBF" w:rsidR="00503E4A" w:rsidRPr="00DF71AD" w:rsidRDefault="00503E4A" w:rsidP="00503E4A">
      <w:pPr>
        <w:pStyle w:val="SingleTxtG"/>
      </w:pPr>
      <w:r>
        <w:t>6.9</w:t>
      </w:r>
      <w:r>
        <w:tab/>
        <w:t xml:space="preserve">Степень ассимиляции и интеграции, которую должен продемонстрировать иностранец, претендующий на статус гражданина Италии, можно вывести из соблюдения норм уголовного права и, </w:t>
      </w:r>
      <w:r w:rsidRPr="00503E4A">
        <w:t>a fortiori</w:t>
      </w:r>
      <w:r>
        <w:t xml:space="preserve">, из соблюдения им/ей принципов государственной безопасности. В рамках сложной процедуры оценки заявлений о предоставлении гражданства необходимым этапом является рассмотрение информации, полученной от органов и структур безопасности, наделенных институциональными полномочиями проводить проверку по тем позициям, которые, относятся к безопасности страны. Необходимость гарантировать главное благо </w:t>
      </w:r>
      <w:r w:rsidR="00210FB9">
        <w:t>—</w:t>
      </w:r>
      <w:r>
        <w:t xml:space="preserve"> безопасность страны, которое, безусловно, представляет собой интерес более высокого уровня по сравнению с заинтересованностью иностранца в получении </w:t>
      </w:r>
      <w:r>
        <w:lastRenderedPageBreak/>
        <w:t>итальянского гражданства, предполагает, что «</w:t>
      </w:r>
      <w:bookmarkStart w:id="1" w:name="_Hlk118195408"/>
      <w:bookmarkStart w:id="2" w:name="_Hlk118195610"/>
      <w:r>
        <w:t>не должно существовать никаких сомнений, никакой тени подозрения в неблагонадежности заявителя, в том числе даже в будущем</w:t>
      </w:r>
      <w:bookmarkEnd w:id="1"/>
      <w:r>
        <w:t>, с точки зрения его/ее полной приверженности конституционным ценностям, на которых основана Итальянская Республика</w:t>
      </w:r>
      <w:bookmarkEnd w:id="2"/>
      <w:r>
        <w:t>»</w:t>
      </w:r>
      <w:r w:rsidRPr="00885B83">
        <w:rPr>
          <w:sz w:val="18"/>
          <w:vertAlign w:val="superscript"/>
        </w:rPr>
        <w:footnoteReference w:id="12"/>
      </w:r>
      <w:r>
        <w:t>. Чувствительность рассматриваемых вопросов, включая возможность последствий для международных отношений из-за действий, совершенных лицом, имеющим итальянское гражданство, полностью оправдывает использование строгих параметров при установлении отсутствия опасности со стороны претендента на получение гражданства. В связи с этим в постановлении Государственного совета указано: «Можно утверждать, что наличие сомнения является достаточным для оправдания отказа». В</w:t>
      </w:r>
      <w:r w:rsidR="00210FB9">
        <w:t> </w:t>
      </w:r>
      <w:r>
        <w:t xml:space="preserve">административном судопроизводстве неизменно получает признание тот факт, что понятие безопасности страны может касаться даже специфических связей иностранца и его/ее принадлежности к движениям, которые в силу своих экстремистских позиций могут повлиять на порядок и общественную безопасность либо способствовать принятию ценностей, способных угрожать национальному сообществу. </w:t>
      </w:r>
    </w:p>
    <w:p w14:paraId="196FC319" w14:textId="77777777" w:rsidR="00503E4A" w:rsidRPr="00DF71AD" w:rsidRDefault="00503E4A" w:rsidP="00503E4A">
      <w:pPr>
        <w:pStyle w:val="SingleTxtG"/>
      </w:pPr>
      <w:r>
        <w:t>6.10</w:t>
      </w:r>
      <w:r>
        <w:tab/>
        <w:t xml:space="preserve">По поводу утверждения, согласно которому суждение об авторе было вынесено на основе суждения о ее муже, следует отметить, что в судебной практике при подтверждении законности решения органа административного управления неоднократно признавалось, что супружеские отношения свидетельствуют о наличии гораздо более прочных связей, чем те, которые считаются достаточными для обоснования отказа в предоставлении статуса гражданина, поскольку они коренятся в семье и присущих ей эмоциональных взаимоотношениях. В силу таких связей нельзя исключать, что члена семьи могут склонить к поведению, являющемуся потенциально опасным с точки зрения безопасности страны. Значение, придаваемое семейным связям, которые принимаются судьей по административным делам во внимание и в случае наличия информации о приговорах по уголовным делам, вынесенных родственникам претендента на гражданство, еще более оправдано, когда необходимо учитывать возможные риски для безопасности государства. </w:t>
      </w:r>
    </w:p>
    <w:p w14:paraId="6F9C4895" w14:textId="77777777" w:rsidR="00503E4A" w:rsidRPr="00DF71AD" w:rsidRDefault="00503E4A" w:rsidP="00503E4A">
      <w:pPr>
        <w:pStyle w:val="SingleTxtG"/>
      </w:pPr>
      <w:r>
        <w:t>6.11</w:t>
      </w:r>
      <w:r>
        <w:tab/>
        <w:t xml:space="preserve">В отношении отказа в удовлетворении заявления автора по причине ее семейных связей следует отметить, что усмотрение не имеющего отношения к делу основания, ставшее следствием использования стандартной формулировки, не умаляет законности оценки органа административного управления, который в свете фактических стабильных отношений принял во внимание возможность содействия возникновению такого поведения, которое считается опасным для безопасности страны. Следовательно, ссылка на постановление Конституционного суда, который проводит различие между брачными и семейными отношениями, является неуместной. При оценке поведения, считающегося опасным для безопасности страны, используется именно такое широкое понимание семейных отношений, которое было проявлено в данном случае. </w:t>
      </w:r>
    </w:p>
    <w:p w14:paraId="5999664D" w14:textId="65D59994" w:rsidR="00503E4A" w:rsidRPr="00DF71AD" w:rsidRDefault="00503E4A" w:rsidP="00503E4A">
      <w:pPr>
        <w:pStyle w:val="SingleTxtG"/>
      </w:pPr>
      <w:r>
        <w:t>6.12</w:t>
      </w:r>
      <w:r>
        <w:tab/>
        <w:t xml:space="preserve">В заключение в замечаниях указано, что проведенные расследования не были основаны на мерах, ограничивающих свободу или другие гарантированные Конституцией права; они послужили лишь средством для формулирования оценки, имеющей отношение к суверенным полномочиям государства по увеличению количества своих граждан. В свете вышеизложенного обвинения в дискриминационном обращении со стороны органа административного управления являются совершенно необоснованными, поскольку он действовал в соответствии с предоставленными ему полномочиями и в полном соответствии с принципами, подтвержденными судьей по административным делам. На самом деле, орган </w:t>
      </w:r>
      <w:r w:rsidRPr="00143A15">
        <w:t>административного управления</w:t>
      </w:r>
      <w:r>
        <w:t xml:space="preserve"> оценивает заявления на получение итальянского гражданства, не делая никаких различий по признаку пола или без какого-либо вмешательства в частную жизнь заинтересованных лиц, но с учетом степени интеграции иностранца: эта оценка в обязательном порядке включает оценку семейных связей, которые определяют идентичность или образуют референтный контекст этого иностранца. Государство-участник вновь заявляет, что утверждения автора являются явно необоснованными и поэтому неприемлемыми. </w:t>
      </w:r>
    </w:p>
    <w:p w14:paraId="6CF680A5" w14:textId="77777777" w:rsidR="00503E4A" w:rsidRPr="00DF71AD" w:rsidRDefault="00503E4A" w:rsidP="00210FB9">
      <w:pPr>
        <w:pStyle w:val="H23G"/>
      </w:pPr>
      <w:r>
        <w:lastRenderedPageBreak/>
        <w:tab/>
      </w:r>
      <w:r>
        <w:tab/>
        <w:t xml:space="preserve">Вопросы и процедура их </w:t>
      </w:r>
      <w:r w:rsidRPr="00210FB9">
        <w:t>рассмотрения</w:t>
      </w:r>
      <w:r>
        <w:t xml:space="preserve"> в Комитете</w:t>
      </w:r>
    </w:p>
    <w:p w14:paraId="47B230A1" w14:textId="77777777" w:rsidR="00503E4A" w:rsidRPr="00DF71AD" w:rsidRDefault="00503E4A" w:rsidP="00210FB9">
      <w:pPr>
        <w:pStyle w:val="H4G"/>
      </w:pPr>
      <w:r>
        <w:tab/>
      </w:r>
      <w:r>
        <w:tab/>
        <w:t xml:space="preserve">Рассмотрение вопроса о </w:t>
      </w:r>
      <w:r w:rsidRPr="00210FB9">
        <w:t>приемлемости</w:t>
      </w:r>
    </w:p>
    <w:p w14:paraId="1A005F8A" w14:textId="77777777" w:rsidR="00503E4A" w:rsidRPr="00DF71AD" w:rsidRDefault="00503E4A" w:rsidP="00503E4A">
      <w:pPr>
        <w:pStyle w:val="SingleTxtG"/>
      </w:pPr>
      <w:r>
        <w:t>7.1</w:t>
      </w:r>
      <w:r>
        <w:tab/>
        <w:t>Прежде чем рассматривать какую-либо жалобу, содержащуюся в сообщении, Комитет должен, согласно правилу 97 своих правил процедуры, решить вопрос о том, является ли данное сообщение приемлемым в соответствии с Факультативным протоколом.</w:t>
      </w:r>
    </w:p>
    <w:p w14:paraId="1B5DFCD0" w14:textId="77777777" w:rsidR="00503E4A" w:rsidRPr="00DF71AD" w:rsidRDefault="00503E4A" w:rsidP="00503E4A">
      <w:pPr>
        <w:pStyle w:val="SingleTxtG"/>
      </w:pPr>
      <w:r>
        <w:t>7.2</w:t>
      </w:r>
      <w:r>
        <w:tab/>
        <w:t>Согласно требованиям пункта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7FB87C91" w14:textId="5B1E41B2" w:rsidR="00503E4A" w:rsidRPr="00DF71AD" w:rsidRDefault="00503E4A" w:rsidP="00503E4A">
      <w:pPr>
        <w:pStyle w:val="SingleTxtG"/>
      </w:pPr>
      <w:r>
        <w:t>7.3</w:t>
      </w:r>
      <w:r>
        <w:tab/>
        <w:t>Комитет ссылается на свою правовую практику, согласно которой автор должен использовать все внутренние средства правовой защиты, чтобы выполнить требование пункта 2 b) статьи 5 Факультативного протокола</w:t>
      </w:r>
      <w:r w:rsidRPr="00011C39">
        <w:t xml:space="preserve"> в той мере, в какой такие средства правовой защиты представляются эффективными в конкретном случае и фактически доступны автору</w:t>
      </w:r>
      <w:r w:rsidRPr="00885B83">
        <w:rPr>
          <w:sz w:val="18"/>
          <w:vertAlign w:val="superscript"/>
        </w:rPr>
        <w:footnoteReference w:id="13"/>
      </w:r>
      <w:r>
        <w:t xml:space="preserve">. Комитет принимает к сведению, что утверждения автора о нарушении ее прав по статьям 17 и 26 Пакта, поскольку ее заявление о предоставлении гражданства было отклонено на основании обстоятельств, связанных с ее мужем без ее личного заслушивания, а апелляционное производство было неоправданно затянуто, стали предметом рассмотрения в национальных судах. В этом контексте Комитет отмечает, что автор в основном оспаривала факты и доказательства и возражала против использования конфиденциальной информации Министерством внутренних дел для оценки ее заявления о предоставлении гражданства на основании проживания в стране, в связи с использованием которой государству по закону предоставлены широкие дискреционные полномочия при проведении оценки. Комитет также отмечает, что государство-участник оспорило приемлемость настоящего сообщения в связи с неисчерпанием имеющихся внутренних средств правовой защиты, поскольку на время направления первоначального представления областной административный трибунал находился в процессе апелляционного производства, а также в связи с отсутствием обоснования со стороны автора. </w:t>
      </w:r>
    </w:p>
    <w:p w14:paraId="638FD20A" w14:textId="17394AD5" w:rsidR="00503E4A" w:rsidRPr="00DF71AD" w:rsidRDefault="00503E4A" w:rsidP="00503E4A">
      <w:pPr>
        <w:pStyle w:val="SingleTxtG"/>
      </w:pPr>
      <w:r>
        <w:t>7.4</w:t>
      </w:r>
      <w:r>
        <w:tab/>
        <w:t>Комитет принимает к сведению аргумент государства-участника о том, что после подачи автором апелляционной жалобы в областной административный трибунал 30 декабря 2016 года на отказ в удовлетворении ее заявления дело было назначено к слушанию, и автор подала несколько ходатайств о приостановлении апелляционного производства до вынесения решения по ходатайствам о предоставлении доступа к конфиденциальной информации, использованной органом административного управления при оценке ее заявления. Впоследствии автор подала апелляцию в Государственный совет на определение коллегии, исключающее доступ к конфиденциальной информации Министерства (пункт 6.4 выше). Комитет отмечает, что параллельно автор неоднократно настаивала на том, чтобы решение по ее апелляции было принято административным трибуналом. В этом контексте Комитет принимает к сведению аргумент государства-участника о том, что 24 января 2020 года автор подала в коллегию ходатайство о принятии предупредительных мер, открывающих доступ ко всем материалам дела</w:t>
      </w:r>
      <w:r w:rsidR="00AB7829">
        <w:t>,</w:t>
      </w:r>
      <w:r>
        <w:t xml:space="preserve"> и что на 11 января 2021 года было назначено открытое слушание для рассмотрения апелляции по существу (пункт 6.5 выше). Комитет принимает к сведению аргумент государства-участника о том, что процедура обжалования основана на соблюдении хронологического порядка поступления представлений и что она не может быть ускорена, а продолжительность процедуры рассмотрения апелляции автора частично объясняется рассмотрением ходатайств автора о принятии предупредительных мер и проведении других предварительных оценок (пункт 6.6 выше). Комитет далее отмечает, что сообщение автора было представлено в Комитет 2 мая 2018 года, когда внутренняя апелляционная </w:t>
      </w:r>
      <w:r>
        <w:lastRenderedPageBreak/>
        <w:t>процедура еще не была завершена в пределах установленного законом срока ее действия. Он также отмечает аргумент автора о том, что апелляционное производство в первой инстанции не будет завершено в течение установленного законом трехлетнего срока. Однако, по мнению государства-участника, автор пользовалась доступом к внутренним средствам правовой защиты, которые были доступными ей и эффективными. В этом контексте государство-участник утверждает, что в процедуре обжалования автора были минимальные задержки и что она все еще может подать апелляцию на решение административного трибунала во вторую инстанцию, а именно в Государственный совет.</w:t>
      </w:r>
    </w:p>
    <w:p w14:paraId="1F79C425" w14:textId="0A3CDC1D" w:rsidR="00503E4A" w:rsidRPr="00DF71AD" w:rsidRDefault="00503E4A" w:rsidP="00503E4A">
      <w:pPr>
        <w:pStyle w:val="SingleTxtG"/>
      </w:pPr>
      <w:r>
        <w:t>7.5</w:t>
      </w:r>
      <w:r>
        <w:tab/>
        <w:t>В свете вышеизложенного Комитет считает, что приведенное</w:t>
      </w:r>
      <w:r w:rsidRPr="00A01E00">
        <w:t xml:space="preserve"> </w:t>
      </w:r>
      <w:r>
        <w:t>автором объяснение причин, по которым судебные средства правовой защиты, указанные государством-участником в качестве доступных для обжалования отказа в удовлетворении ее заявления о предоставлении гражданства, не были эффективными в ее случае, является неубедительным, поскольку она подала несколько процедурных ходатайств, послуживших основанием для принятия мер; было принято окончательное решение по ее апелляции в первой инстанции; и автор все еще имеет возможность подать дополнительную апелляцию в Государственный совет. Комитет напоминает о своей правовой практике, когда он исходил из того, что одни лишь сомнения по поводу эффективности средств правовой защиты не освобождают авторов сообщений от обязанности ими воспользоваться</w:t>
      </w:r>
      <w:r w:rsidRPr="00885B83">
        <w:rPr>
          <w:sz w:val="18"/>
          <w:vertAlign w:val="superscript"/>
        </w:rPr>
        <w:footnoteReference w:id="14"/>
      </w:r>
      <w:r>
        <w:t>. Соответственно, Комитет считает, что он лишен возможности рассмотреть жалобы автора по статьям 17 и 26 Пакта в соответствии с требованиями статей 2 и 5 (п</w:t>
      </w:r>
      <w:r w:rsidR="00592D77">
        <w:t>ункт</w:t>
      </w:r>
      <w:r>
        <w:t xml:space="preserve"> 2 b)) Факультативного протокола ввиду неисчерпания имеющихся внутренних средств правовой защиты.</w:t>
      </w:r>
    </w:p>
    <w:p w14:paraId="1D66723F" w14:textId="77777777" w:rsidR="00503E4A" w:rsidRPr="00B95AF8" w:rsidRDefault="00503E4A" w:rsidP="00503E4A">
      <w:pPr>
        <w:pStyle w:val="SingleTxtG"/>
      </w:pPr>
      <w:r>
        <w:t>8.</w:t>
      </w:r>
      <w:r>
        <w:tab/>
        <w:t>Соответственно, Комитет постановляет:</w:t>
      </w:r>
    </w:p>
    <w:p w14:paraId="7E399434" w14:textId="7EA46BFF" w:rsidR="00503E4A" w:rsidRPr="00DF71AD" w:rsidRDefault="00503E4A" w:rsidP="00503E4A">
      <w:pPr>
        <w:pStyle w:val="SingleTxtG"/>
      </w:pPr>
      <w:r>
        <w:tab/>
        <w:t>a)</w:t>
      </w:r>
      <w:r>
        <w:tab/>
        <w:t>признать сообщение неприемлемым по статье 2 и пункту 2 b) статьи 5 Факультативного протокола;</w:t>
      </w:r>
    </w:p>
    <w:p w14:paraId="01F78D60" w14:textId="04D01E03" w:rsidR="00503E4A" w:rsidRPr="00DF71AD" w:rsidRDefault="00503E4A" w:rsidP="00503E4A">
      <w:pPr>
        <w:pStyle w:val="SingleTxtG"/>
      </w:pPr>
      <w:r>
        <w:tab/>
        <w:t>b)</w:t>
      </w:r>
      <w:r>
        <w:tab/>
        <w:t>довести настоящее решение до сведения государства-участника и автора.</w:t>
      </w:r>
    </w:p>
    <w:p w14:paraId="2DBB02DF" w14:textId="3F1BFCAE" w:rsidR="00381C24" w:rsidRPr="00503E4A" w:rsidRDefault="00503E4A" w:rsidP="00503E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03E4A" w:rsidSect="00340C4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A893" w14:textId="77777777" w:rsidR="002E0B77" w:rsidRPr="00A312BC" w:rsidRDefault="002E0B77" w:rsidP="00A312BC"/>
  </w:endnote>
  <w:endnote w:type="continuationSeparator" w:id="0">
    <w:p w14:paraId="74861633" w14:textId="77777777" w:rsidR="002E0B77" w:rsidRPr="00A312BC" w:rsidRDefault="002E0B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37E8" w14:textId="5FFE825C" w:rsidR="00340C49" w:rsidRPr="00340C49" w:rsidRDefault="00340C49">
    <w:pPr>
      <w:pStyle w:val="a8"/>
    </w:pPr>
    <w:r w:rsidRPr="00340C49">
      <w:rPr>
        <w:b/>
        <w:sz w:val="18"/>
      </w:rPr>
      <w:fldChar w:fldCharType="begin"/>
    </w:r>
    <w:r w:rsidRPr="00340C49">
      <w:rPr>
        <w:b/>
        <w:sz w:val="18"/>
      </w:rPr>
      <w:instrText xml:space="preserve"> PAGE  \* MERGEFORMAT </w:instrText>
    </w:r>
    <w:r w:rsidRPr="00340C49">
      <w:rPr>
        <w:b/>
        <w:sz w:val="18"/>
      </w:rPr>
      <w:fldChar w:fldCharType="separate"/>
    </w:r>
    <w:r w:rsidRPr="00340C49">
      <w:rPr>
        <w:b/>
        <w:noProof/>
        <w:sz w:val="18"/>
      </w:rPr>
      <w:t>2</w:t>
    </w:r>
    <w:r w:rsidRPr="00340C49">
      <w:rPr>
        <w:b/>
        <w:sz w:val="18"/>
      </w:rPr>
      <w:fldChar w:fldCharType="end"/>
    </w:r>
    <w:r>
      <w:rPr>
        <w:b/>
        <w:sz w:val="18"/>
      </w:rPr>
      <w:tab/>
    </w:r>
    <w:r>
      <w:t>GE.22-13613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34EE" w14:textId="5F9B8D4F" w:rsidR="00340C49" w:rsidRPr="00340C49" w:rsidRDefault="00340C49" w:rsidP="00340C49">
    <w:pPr>
      <w:pStyle w:val="a8"/>
      <w:tabs>
        <w:tab w:val="clear" w:pos="9639"/>
        <w:tab w:val="right" w:pos="9638"/>
      </w:tabs>
      <w:rPr>
        <w:b/>
        <w:sz w:val="18"/>
      </w:rPr>
    </w:pPr>
    <w:r>
      <w:t>GE.22-13613</w:t>
    </w:r>
    <w:r>
      <w:tab/>
    </w:r>
    <w:r w:rsidRPr="00340C49">
      <w:rPr>
        <w:b/>
        <w:sz w:val="18"/>
      </w:rPr>
      <w:fldChar w:fldCharType="begin"/>
    </w:r>
    <w:r w:rsidRPr="00340C49">
      <w:rPr>
        <w:b/>
        <w:sz w:val="18"/>
      </w:rPr>
      <w:instrText xml:space="preserve"> PAGE  \* MERGEFORMAT </w:instrText>
    </w:r>
    <w:r w:rsidRPr="00340C49">
      <w:rPr>
        <w:b/>
        <w:sz w:val="18"/>
      </w:rPr>
      <w:fldChar w:fldCharType="separate"/>
    </w:r>
    <w:r w:rsidRPr="00340C49">
      <w:rPr>
        <w:b/>
        <w:noProof/>
        <w:sz w:val="18"/>
      </w:rPr>
      <w:t>3</w:t>
    </w:r>
    <w:r w:rsidRPr="00340C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BAFD" w14:textId="6B2CFBAB" w:rsidR="00042B72" w:rsidRPr="00340C49" w:rsidRDefault="00340C49" w:rsidP="00340C4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B023FF" wp14:editId="303962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22-13613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C14C19" wp14:editId="1F819E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79B">
      <w:t xml:space="preserve">  011122  270223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D3B1" w14:textId="77777777" w:rsidR="002E0B77" w:rsidRPr="001075E9" w:rsidRDefault="002E0B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62BA74" w14:textId="77777777" w:rsidR="002E0B77" w:rsidRDefault="002E0B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A2C09B" w14:textId="582691D5" w:rsidR="00DA64B5" w:rsidRPr="00DA64B5" w:rsidRDefault="00DA64B5">
      <w:pPr>
        <w:pStyle w:val="ad"/>
        <w:rPr>
          <w:sz w:val="20"/>
        </w:rPr>
      </w:pPr>
      <w:r>
        <w:tab/>
      </w:r>
      <w:r w:rsidRPr="00DA64B5">
        <w:rPr>
          <w:rStyle w:val="aa"/>
          <w:sz w:val="20"/>
          <w:vertAlign w:val="baseline"/>
        </w:rPr>
        <w:t>*</w:t>
      </w:r>
      <w:r w:rsidRPr="00DA64B5">
        <w:rPr>
          <w:rStyle w:val="aa"/>
          <w:vertAlign w:val="baseline"/>
        </w:rPr>
        <w:tab/>
      </w:r>
      <w:r>
        <w:t>Принято Комитетом на его сто тридцать четвертой сессии (28 февраля</w:t>
      </w:r>
      <w:r w:rsidR="00C03D03" w:rsidRPr="00C03D03">
        <w:t xml:space="preserve"> </w:t>
      </w:r>
      <w:r w:rsidR="00C03D03">
        <w:t>—</w:t>
      </w:r>
      <w:r w:rsidR="00C03D03" w:rsidRPr="00C03D03">
        <w:t xml:space="preserve"> </w:t>
      </w:r>
      <w:r>
        <w:t>25 марта 2022 года).</w:t>
      </w:r>
    </w:p>
  </w:footnote>
  <w:footnote w:id="2">
    <w:p w14:paraId="57F662CA" w14:textId="442E7C9D" w:rsidR="00DA64B5" w:rsidRPr="00DA64B5" w:rsidRDefault="00DA64B5">
      <w:pPr>
        <w:pStyle w:val="ad"/>
        <w:rPr>
          <w:sz w:val="20"/>
        </w:rPr>
      </w:pPr>
      <w:r>
        <w:tab/>
      </w:r>
      <w:r w:rsidRPr="00DA64B5">
        <w:rPr>
          <w:rStyle w:val="aa"/>
          <w:sz w:val="20"/>
          <w:vertAlign w:val="baseline"/>
        </w:rPr>
        <w:t>**</w:t>
      </w:r>
      <w:r w:rsidRPr="00DA64B5">
        <w:rPr>
          <w:rStyle w:val="aa"/>
          <w:vertAlign w:val="baseline"/>
        </w:rPr>
        <w:tab/>
      </w:r>
      <w:r>
        <w:t xml:space="preserve">В рассмотрении настоящего сообщения приняли участие следующие члены Комитета: Таня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</w:t>
      </w:r>
      <w:proofErr w:type="spellEnd"/>
      <w:r>
        <w:t xml:space="preserve">, </w:t>
      </w:r>
      <w:proofErr w:type="spellStart"/>
      <w:r>
        <w:t>Вафа</w:t>
      </w:r>
      <w:proofErr w:type="spellEnd"/>
      <w:r>
        <w:t xml:space="preserve"> Ашраф </w:t>
      </w:r>
      <w:proofErr w:type="spellStart"/>
      <w:r>
        <w:t>Мохаррам</w:t>
      </w:r>
      <w:proofErr w:type="spellEnd"/>
      <w:r>
        <w:t xml:space="preserve"> </w:t>
      </w:r>
      <w:proofErr w:type="spellStart"/>
      <w:r>
        <w:t>Бассим</w:t>
      </w:r>
      <w:proofErr w:type="spellEnd"/>
      <w:r>
        <w:t xml:space="preserve">, </w:t>
      </w:r>
      <w:proofErr w:type="spellStart"/>
      <w:r>
        <w:t>Яд</w:t>
      </w:r>
      <w:r w:rsidR="00592D77">
        <w:t>х</w:t>
      </w:r>
      <w:proofErr w:type="spellEnd"/>
      <w:r>
        <w:t xml:space="preserve"> Бен Ашур, Ариф </w:t>
      </w:r>
      <w:proofErr w:type="spellStart"/>
      <w:r>
        <w:t>Б</w:t>
      </w:r>
      <w:r w:rsidR="00592D77">
        <w:t>у</w:t>
      </w:r>
      <w:r>
        <w:t>лкан</w:t>
      </w:r>
      <w:proofErr w:type="spellEnd"/>
      <w:r>
        <w:t xml:space="preserve">, </w:t>
      </w:r>
      <w:proofErr w:type="spellStart"/>
      <w:r>
        <w:t>Махжуб</w:t>
      </w:r>
      <w:proofErr w:type="spellEnd"/>
      <w:r>
        <w:t xml:space="preserve"> </w:t>
      </w:r>
      <w:r w:rsidR="00592D77">
        <w:t xml:space="preserve">Эль </w:t>
      </w:r>
      <w:proofErr w:type="spellStart"/>
      <w:r>
        <w:t>Ха</w:t>
      </w:r>
      <w:r w:rsidR="00592D77">
        <w:t>и</w:t>
      </w:r>
      <w:r>
        <w:t>ба</w:t>
      </w:r>
      <w:proofErr w:type="spellEnd"/>
      <w:r>
        <w:t xml:space="preserve">, </w:t>
      </w:r>
      <w:proofErr w:type="spellStart"/>
      <w:r>
        <w:t>Фуруя</w:t>
      </w:r>
      <w:proofErr w:type="spellEnd"/>
      <w:r>
        <w:t xml:space="preserve"> </w:t>
      </w:r>
      <w:proofErr w:type="spellStart"/>
      <w:r w:rsidR="00592D77">
        <w:t>Шу</w:t>
      </w:r>
      <w:r>
        <w:t>ити</w:t>
      </w:r>
      <w:proofErr w:type="spellEnd"/>
      <w:r>
        <w:t xml:space="preserve">, Карлос Гомес Мартинес, Марсия В. </w:t>
      </w:r>
      <w:r w:rsidR="00592D77">
        <w:t>Ж</w:t>
      </w:r>
      <w:r>
        <w:t>. Кран, Д</w:t>
      </w:r>
      <w:r w:rsidR="00592D77">
        <w:t>у</w:t>
      </w:r>
      <w:r>
        <w:t xml:space="preserve">нкан </w:t>
      </w:r>
      <w:proofErr w:type="spellStart"/>
      <w:r>
        <w:t>Мухумуза</w:t>
      </w:r>
      <w:proofErr w:type="spellEnd"/>
      <w:r w:rsidR="00592D77" w:rsidRPr="00592D77">
        <w:t xml:space="preserve"> </w:t>
      </w:r>
      <w:r w:rsidR="00592D77">
        <w:t>Лаки</w:t>
      </w:r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</w:t>
      </w:r>
      <w:r w:rsidR="00592D77">
        <w:t>тс</w:t>
      </w:r>
      <w:r>
        <w:t>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</w:t>
      </w:r>
      <w:proofErr w:type="spellStart"/>
      <w:r>
        <w:t>Василка</w:t>
      </w:r>
      <w:proofErr w:type="spellEnd"/>
      <w:r>
        <w:t xml:space="preserve"> </w:t>
      </w:r>
      <w:proofErr w:type="spellStart"/>
      <w:r>
        <w:t>Санцин</w:t>
      </w:r>
      <w:proofErr w:type="spellEnd"/>
      <w:r>
        <w:t xml:space="preserve">, </w:t>
      </w:r>
      <w:r w:rsidR="00592D77">
        <w:t>Хосе</w:t>
      </w:r>
      <w:r>
        <w:t xml:space="preserve"> </w:t>
      </w:r>
      <w:proofErr w:type="spellStart"/>
      <w:r>
        <w:t>Мануэл</w:t>
      </w:r>
      <w:r w:rsidR="00592D77">
        <w:t>ь</w:t>
      </w:r>
      <w:proofErr w:type="spellEnd"/>
      <w:r>
        <w:t xml:space="preserve">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Чангрок</w:t>
      </w:r>
      <w:proofErr w:type="spellEnd"/>
      <w:r>
        <w:t xml:space="preserve"> Сох, </w:t>
      </w:r>
      <w:proofErr w:type="spellStart"/>
      <w:r>
        <w:t>Ко</w:t>
      </w:r>
      <w:r w:rsidR="00592D77">
        <w:t>бауя</w:t>
      </w:r>
      <w:proofErr w:type="spellEnd"/>
      <w:r>
        <w:t xml:space="preserve"> </w:t>
      </w:r>
      <w:proofErr w:type="spellStart"/>
      <w:r>
        <w:t>Чамджа</w:t>
      </w:r>
      <w:proofErr w:type="spellEnd"/>
      <w:r>
        <w:t xml:space="preserve"> </w:t>
      </w:r>
      <w:proofErr w:type="spellStart"/>
      <w:r>
        <w:t>Кпача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</w:t>
      </w:r>
      <w:proofErr w:type="spellStart"/>
      <w:r>
        <w:t>Им</w:t>
      </w:r>
      <w:r w:rsidR="00592D77">
        <w:t>е</w:t>
      </w:r>
      <w:r>
        <w:t>ру</w:t>
      </w:r>
      <w:proofErr w:type="spellEnd"/>
      <w:r>
        <w:t xml:space="preserve"> </w:t>
      </w:r>
      <w:proofErr w:type="spellStart"/>
      <w:r w:rsidR="00592D77">
        <w:t>Тамерат</w:t>
      </w:r>
      <w:proofErr w:type="spellEnd"/>
      <w:r>
        <w:t xml:space="preserve"> </w:t>
      </w:r>
      <w:proofErr w:type="spellStart"/>
      <w:r w:rsidR="00592D77">
        <w:t>Йигезу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</w:t>
      </w:r>
      <w:r w:rsidR="00592D77">
        <w:t>и</w:t>
      </w:r>
      <w:r>
        <w:t>бери</w:t>
      </w:r>
      <w:proofErr w:type="spellEnd"/>
      <w:r>
        <w:t>.</w:t>
      </w:r>
    </w:p>
  </w:footnote>
  <w:footnote w:id="3">
    <w:p w14:paraId="786D1B3B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>15 апреля 2019 года автор обратилась с просьбой о сохранении анонимности.</w:t>
      </w:r>
    </w:p>
  </w:footnote>
  <w:footnote w:id="4">
    <w:p w14:paraId="0CBAA969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 xml:space="preserve">Конституция Италии, статьи 103, 111 и 134. </w:t>
      </w:r>
    </w:p>
  </w:footnote>
  <w:footnote w:id="5">
    <w:p w14:paraId="7001E819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 xml:space="preserve">Закон № 89/01, статья 2-бис. </w:t>
      </w:r>
    </w:p>
  </w:footnote>
  <w:footnote w:id="6">
    <w:p w14:paraId="143207D0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 xml:space="preserve">Там же. </w:t>
      </w:r>
    </w:p>
  </w:footnote>
  <w:footnote w:id="7">
    <w:p w14:paraId="5E626C6F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 xml:space="preserve">Решение административного трибунала области Лацио в Риме № 600/2013 от 12 мая 2015 года. </w:t>
      </w:r>
    </w:p>
  </w:footnote>
  <w:footnote w:id="8">
    <w:p w14:paraId="00E6CF2C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>Сложившаяся судебная практика по административным делам Государственного совета, раздел III, 14 февраля 2017 года, № 657.</w:t>
      </w:r>
    </w:p>
  </w:footnote>
  <w:footnote w:id="9">
    <w:p w14:paraId="31A66D3A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>Государственный совет, раздел III, 4 марта 2015 года, решение № 1084, и административный трибунал области Лацио в Риме, раздел II</w:t>
      </w:r>
      <w:r w:rsidRPr="003B3AB2">
        <w:t>,</w:t>
      </w:r>
      <w:r>
        <w:t xml:space="preserve"> 11 ноября 2015 года, решение № 12752.</w:t>
      </w:r>
    </w:p>
  </w:footnote>
  <w:footnote w:id="10">
    <w:p w14:paraId="58B92449" w14:textId="6BBBAE8F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>Закон № 92/1991, ст</w:t>
      </w:r>
      <w:r w:rsidR="00797424">
        <w:t>.</w:t>
      </w:r>
      <w:r>
        <w:t xml:space="preserve"> 8 (п. 1). </w:t>
      </w:r>
    </w:p>
  </w:footnote>
  <w:footnote w:id="11">
    <w:p w14:paraId="51B1DE2C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 xml:space="preserve">Статья 8, приложение 2, раздел III Административно-процессуального кодекса. </w:t>
      </w:r>
    </w:p>
  </w:footnote>
  <w:footnote w:id="12">
    <w:p w14:paraId="2FA51175" w14:textId="77777777" w:rsidR="00503E4A" w:rsidRPr="00DF71AD" w:rsidRDefault="00503E4A" w:rsidP="00503E4A">
      <w:pPr>
        <w:pStyle w:val="ad"/>
      </w:pPr>
      <w:r>
        <w:tab/>
      </w:r>
      <w:r w:rsidRPr="00885B83">
        <w:rPr>
          <w:rStyle w:val="aa"/>
        </w:rPr>
        <w:footnoteRef/>
      </w:r>
      <w:r>
        <w:tab/>
        <w:t xml:space="preserve">Государственный совет, раздел III, постановление № 657 от 14 февраля 2017 года. </w:t>
      </w:r>
    </w:p>
  </w:footnote>
  <w:footnote w:id="13">
    <w:p w14:paraId="6A9B7651" w14:textId="07763BCB" w:rsidR="00503E4A" w:rsidRPr="00DF71AD" w:rsidRDefault="00503E4A" w:rsidP="00503E4A">
      <w:pPr>
        <w:pStyle w:val="ad"/>
      </w:pPr>
      <w:r w:rsidRPr="0053177D">
        <w:tab/>
      </w:r>
      <w:r w:rsidRPr="00885B83">
        <w:rPr>
          <w:rStyle w:val="aa"/>
        </w:rPr>
        <w:footnoteRef/>
      </w:r>
      <w:r>
        <w:t xml:space="preserve"> </w:t>
      </w:r>
      <w:r>
        <w:tab/>
        <w:t xml:space="preserve">См., например, </w:t>
      </w:r>
      <w:r>
        <w:rPr>
          <w:i/>
          <w:iCs/>
        </w:rPr>
        <w:t>Перейра</w:t>
      </w:r>
      <w:r w:rsidRPr="005E183E">
        <w:rPr>
          <w:i/>
          <w:iCs/>
        </w:rPr>
        <w:t xml:space="preserve"> против Панамы</w:t>
      </w:r>
      <w:r>
        <w:t xml:space="preserve"> (</w:t>
      </w:r>
      <w:proofErr w:type="spellStart"/>
      <w:r w:rsidR="005474C9">
        <w:fldChar w:fldCharType="begin"/>
      </w:r>
      <w:r w:rsidR="005474C9">
        <w:instrText xml:space="preserve"> HYPERLINK "https://undocs.org/en/CCPR/C/52/D/437/1990" </w:instrText>
      </w:r>
      <w:r w:rsidR="005474C9">
        <w:fldChar w:fldCharType="separate"/>
      </w:r>
      <w:r w:rsidRPr="005403C3">
        <w:rPr>
          <w:rStyle w:val="af1"/>
        </w:rPr>
        <w:t>CCPR</w:t>
      </w:r>
      <w:proofErr w:type="spellEnd"/>
      <w:r w:rsidRPr="005403C3">
        <w:rPr>
          <w:rStyle w:val="af1"/>
        </w:rPr>
        <w:t>/C/52/D/437/1990</w:t>
      </w:r>
      <w:r w:rsidR="005474C9">
        <w:rPr>
          <w:rStyle w:val="af1"/>
        </w:rPr>
        <w:fldChar w:fldCharType="end"/>
      </w:r>
      <w:r>
        <w:t xml:space="preserve">), п. 5.2; </w:t>
      </w:r>
      <w:r w:rsidRPr="008F6193">
        <w:rPr>
          <w:i/>
          <w:iCs/>
        </w:rPr>
        <w:t>П.Л. против Германии</w:t>
      </w:r>
      <w:r>
        <w:t xml:space="preserve"> (</w:t>
      </w:r>
      <w:proofErr w:type="spellStart"/>
      <w:r w:rsidR="005474C9">
        <w:fldChar w:fldCharType="begin"/>
      </w:r>
      <w:r w:rsidR="005474C9">
        <w:instrText xml:space="preserve"> HYPERLINK "http://undocs.org/en/CCPR/C/79/D/1003/2001" </w:instrText>
      </w:r>
      <w:r w:rsidR="005474C9">
        <w:fldChar w:fldCharType="separate"/>
      </w:r>
      <w:r w:rsidRPr="005403C3">
        <w:rPr>
          <w:rStyle w:val="af1"/>
        </w:rPr>
        <w:t>CCPR</w:t>
      </w:r>
      <w:proofErr w:type="spellEnd"/>
      <w:r w:rsidRPr="005403C3">
        <w:rPr>
          <w:rStyle w:val="af1"/>
        </w:rPr>
        <w:t>/C/79/D/1003/2001</w:t>
      </w:r>
      <w:r w:rsidR="005474C9">
        <w:rPr>
          <w:rStyle w:val="af1"/>
        </w:rPr>
        <w:fldChar w:fldCharType="end"/>
      </w:r>
      <w:r>
        <w:t xml:space="preserve">), п. 6.5; </w:t>
      </w:r>
      <w:r>
        <w:rPr>
          <w:i/>
          <w:iCs/>
        </w:rPr>
        <w:t>Ридл-Риденштайн и Шольц.</w:t>
      </w:r>
      <w:r>
        <w:t xml:space="preserve"> </w:t>
      </w:r>
      <w:r w:rsidRPr="008F6193">
        <w:rPr>
          <w:i/>
          <w:iCs/>
        </w:rPr>
        <w:t>против Германии</w:t>
      </w:r>
      <w:r>
        <w:t xml:space="preserve"> (</w:t>
      </w:r>
      <w:proofErr w:type="spellStart"/>
      <w:r w:rsidR="005474C9">
        <w:fldChar w:fldCharType="begin"/>
      </w:r>
      <w:r w:rsidR="005474C9">
        <w:instrText xml:space="preserve"> HYPERLINK "http://undocs.org/en/CCPR/C/82/D/1188/2003" </w:instrText>
      </w:r>
      <w:r w:rsidR="005474C9">
        <w:fldChar w:fldCharType="separate"/>
      </w:r>
      <w:r w:rsidRPr="005403C3">
        <w:rPr>
          <w:rStyle w:val="af1"/>
        </w:rPr>
        <w:t>CCPR</w:t>
      </w:r>
      <w:proofErr w:type="spellEnd"/>
      <w:r w:rsidRPr="005403C3">
        <w:rPr>
          <w:rStyle w:val="af1"/>
        </w:rPr>
        <w:t>/C/82/D/1188/2003</w:t>
      </w:r>
      <w:r w:rsidR="005474C9">
        <w:rPr>
          <w:rStyle w:val="af1"/>
        </w:rPr>
        <w:fldChar w:fldCharType="end"/>
      </w:r>
      <w:r>
        <w:t xml:space="preserve">), п. 7,2; </w:t>
      </w:r>
      <w:r>
        <w:rPr>
          <w:rStyle w:val="eref"/>
          <w:rFonts w:eastAsia="SimSun"/>
          <w:i/>
          <w:iCs/>
          <w:color w:val="333333"/>
          <w:szCs w:val="18"/>
          <w:shd w:val="clear" w:color="auto" w:fill="FFFFFF"/>
        </w:rPr>
        <w:t>Гилберг против Германии</w:t>
      </w:r>
      <w:r w:rsidRPr="008F6193">
        <w:rPr>
          <w:rStyle w:val="eref"/>
          <w:rFonts w:eastAsia="SimSun"/>
          <w:color w:val="333333"/>
          <w:szCs w:val="18"/>
          <w:shd w:val="clear" w:color="auto" w:fill="FFFFFF"/>
        </w:rPr>
        <w:t xml:space="preserve"> (</w:t>
      </w:r>
      <w:proofErr w:type="spellStart"/>
      <w:r w:rsidR="005474C9">
        <w:fldChar w:fldCharType="begin"/>
      </w:r>
      <w:r w:rsidR="005474C9">
        <w:instrText xml:space="preserve"> HYPERL</w:instrText>
      </w:r>
      <w:r w:rsidR="005474C9">
        <w:instrText xml:space="preserve">INK "http://undocs.org/en/CCPR/C/87/D/1403/2005" </w:instrText>
      </w:r>
      <w:r w:rsidR="005474C9">
        <w:fldChar w:fldCharType="separate"/>
      </w:r>
      <w:r w:rsidRPr="005403C3">
        <w:rPr>
          <w:rStyle w:val="af1"/>
          <w:rFonts w:eastAsiaTheme="minorHAnsi"/>
          <w:szCs w:val="18"/>
        </w:rPr>
        <w:t>CCPR</w:t>
      </w:r>
      <w:proofErr w:type="spellEnd"/>
      <w:r w:rsidRPr="005403C3">
        <w:rPr>
          <w:rStyle w:val="af1"/>
          <w:rFonts w:eastAsiaTheme="minorHAnsi"/>
          <w:szCs w:val="18"/>
        </w:rPr>
        <w:t>/C/87/D/1403/2005</w:t>
      </w:r>
      <w:r w:rsidR="005474C9">
        <w:rPr>
          <w:rStyle w:val="af1"/>
          <w:rFonts w:eastAsiaTheme="minorHAnsi"/>
          <w:szCs w:val="18"/>
        </w:rPr>
        <w:fldChar w:fldCharType="end"/>
      </w:r>
      <w:r w:rsidRPr="008F6193">
        <w:rPr>
          <w:rStyle w:val="eref"/>
          <w:rFonts w:eastAsia="SimSun"/>
          <w:color w:val="333333"/>
          <w:szCs w:val="18"/>
          <w:shd w:val="clear" w:color="auto" w:fill="FFFFFF"/>
        </w:rPr>
        <w:t xml:space="preserve">), </w:t>
      </w:r>
      <w:r w:rsidRPr="008F6193">
        <w:rPr>
          <w:szCs w:val="18"/>
        </w:rPr>
        <w:t>п. 6.5;</w:t>
      </w:r>
      <w:r>
        <w:t xml:space="preserve"> </w:t>
      </w:r>
      <w:r w:rsidRPr="00422EEA">
        <w:rPr>
          <w:i/>
          <w:iCs/>
        </w:rPr>
        <w:t>Уорсейм против Канады</w:t>
      </w:r>
      <w:r>
        <w:t xml:space="preserve"> (</w:t>
      </w:r>
      <w:hyperlink r:id="rId1" w:history="1">
        <w:r w:rsidRPr="005403C3">
          <w:rPr>
            <w:rStyle w:val="af1"/>
          </w:rPr>
          <w:t>CCPR/C/102/D/1959/2010</w:t>
        </w:r>
      </w:hyperlink>
      <w:r>
        <w:t xml:space="preserve">), п. 7.3; и </w:t>
      </w:r>
      <w:r w:rsidRPr="005403C3">
        <w:rPr>
          <w:i/>
          <w:iCs/>
        </w:rPr>
        <w:t>Х.С. и др. против Канады</w:t>
      </w:r>
      <w:r>
        <w:t xml:space="preserve"> (</w:t>
      </w:r>
      <w:hyperlink r:id="rId2" w:history="1">
        <w:r w:rsidRPr="005403C3">
          <w:rPr>
            <w:rStyle w:val="af1"/>
          </w:rPr>
          <w:t>CCPR/C/125/D/2948/2017</w:t>
        </w:r>
      </w:hyperlink>
      <w:r>
        <w:t>), п. 6.4.</w:t>
      </w:r>
    </w:p>
  </w:footnote>
  <w:footnote w:id="14">
    <w:p w14:paraId="6916DFD5" w14:textId="2321FA66" w:rsidR="00503E4A" w:rsidRPr="005403C3" w:rsidRDefault="00503E4A" w:rsidP="00503E4A">
      <w:pPr>
        <w:pStyle w:val="ad"/>
      </w:pPr>
      <w:r w:rsidRPr="009B10CE">
        <w:tab/>
      </w:r>
      <w:r w:rsidRPr="00885B83">
        <w:rPr>
          <w:rStyle w:val="aa"/>
        </w:rPr>
        <w:footnoteRef/>
      </w:r>
      <w:r>
        <w:tab/>
        <w:t xml:space="preserve">См., например, </w:t>
      </w:r>
      <w:r w:rsidRPr="00502999">
        <w:rPr>
          <w:i/>
          <w:iCs/>
        </w:rPr>
        <w:t>Каабер против Исландии</w:t>
      </w:r>
      <w:r>
        <w:t xml:space="preserve"> (</w:t>
      </w:r>
      <w:proofErr w:type="spellStart"/>
      <w:r w:rsidR="005474C9">
        <w:fldChar w:fldCharType="begin"/>
      </w:r>
      <w:r w:rsidR="006B180E">
        <w:instrText>HYPERLINK "http://undocs.org/ru/CCPR/C/58/D/674/1995"</w:instrText>
      </w:r>
      <w:r w:rsidR="005474C9">
        <w:fldChar w:fldCharType="separate"/>
      </w:r>
      <w:r w:rsidRPr="005403C3">
        <w:rPr>
          <w:rStyle w:val="af1"/>
        </w:rPr>
        <w:t>CCPR</w:t>
      </w:r>
      <w:proofErr w:type="spellEnd"/>
      <w:r w:rsidRPr="005403C3">
        <w:rPr>
          <w:rStyle w:val="af1"/>
        </w:rPr>
        <w:t>/C/58/D/674/1995</w:t>
      </w:r>
      <w:r w:rsidR="005474C9">
        <w:rPr>
          <w:rStyle w:val="af1"/>
        </w:rPr>
        <w:fldChar w:fldCharType="end"/>
      </w:r>
      <w:r>
        <w:t xml:space="preserve">), п. 6.2, и </w:t>
      </w:r>
      <w:r w:rsidRPr="00502999">
        <w:rPr>
          <w:i/>
          <w:iCs/>
        </w:rPr>
        <w:t>Д.Г. и др. против Филиппин</w:t>
      </w:r>
      <w:r>
        <w:t xml:space="preserve"> (</w:t>
      </w:r>
      <w:hyperlink r:id="rId3" w:history="1">
        <w:r w:rsidRPr="005403C3">
          <w:rPr>
            <w:rStyle w:val="af1"/>
          </w:rPr>
          <w:t>CCPR/C/128/D/2568/2015</w:t>
        </w:r>
      </w:hyperlink>
      <w:r>
        <w:t>), п. 6.3. См</w:t>
      </w:r>
      <w:r w:rsidRPr="005403C3">
        <w:t xml:space="preserve">. </w:t>
      </w:r>
      <w:r>
        <w:t>также</w:t>
      </w:r>
      <w:r w:rsidRPr="005403C3">
        <w:t xml:space="preserve"> </w:t>
      </w:r>
      <w:r w:rsidRPr="00A6280C">
        <w:rPr>
          <w:i/>
          <w:iCs/>
          <w:lang w:val="en-US"/>
        </w:rPr>
        <w:t>A</w:t>
      </w:r>
      <w:r w:rsidRPr="00A6280C">
        <w:rPr>
          <w:i/>
          <w:iCs/>
        </w:rPr>
        <w:t>.</w:t>
      </w:r>
      <w:r w:rsidRPr="00AA3E4C">
        <w:rPr>
          <w:i/>
          <w:iCs/>
          <w:lang w:val="en-US"/>
        </w:rPr>
        <w:t>M</w:t>
      </w:r>
      <w:r w:rsidRPr="005403C3">
        <w:rPr>
          <w:i/>
          <w:iCs/>
        </w:rPr>
        <w:t xml:space="preserve">. </w:t>
      </w:r>
      <w:r w:rsidRPr="00AA3E4C">
        <w:rPr>
          <w:i/>
          <w:iCs/>
        </w:rPr>
        <w:t>против Италии</w:t>
      </w:r>
      <w:r w:rsidRPr="005403C3">
        <w:t xml:space="preserve">, </w:t>
      </w:r>
      <w:r w:rsidR="005403C3">
        <w:br/>
      </w:r>
      <w:r>
        <w:t>сообщение</w:t>
      </w:r>
      <w:r w:rsidRPr="005403C3">
        <w:t xml:space="preserve"> </w:t>
      </w:r>
      <w:r w:rsidRPr="00502999">
        <w:rPr>
          <w:lang w:val="en-US"/>
        </w:rPr>
        <w:t>No</w:t>
      </w:r>
      <w:r w:rsidRPr="005403C3">
        <w:t xml:space="preserve">. 266/1987, </w:t>
      </w:r>
      <w:r>
        <w:t>п</w:t>
      </w:r>
      <w:r w:rsidRPr="005403C3">
        <w:t>. 7.3.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8F61" w14:textId="3630B0D8" w:rsidR="00340C49" w:rsidRPr="00340C49" w:rsidRDefault="005474C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/C/134/D/3587/2019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9B70" w14:textId="7D3CE4AC" w:rsidR="00340C49" w:rsidRPr="00340C49" w:rsidRDefault="005474C9" w:rsidP="00340C4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/C/134/D/3587/2019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C17AC"/>
    <w:multiLevelType w:val="multilevel"/>
    <w:tmpl w:val="D22E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61189623">
    <w:abstractNumId w:val="23"/>
  </w:num>
  <w:num w:numId="2" w16cid:durableId="1736777534">
    <w:abstractNumId w:val="16"/>
  </w:num>
  <w:num w:numId="3" w16cid:durableId="245310393">
    <w:abstractNumId w:val="12"/>
  </w:num>
  <w:num w:numId="4" w16cid:durableId="313292527">
    <w:abstractNumId w:val="24"/>
  </w:num>
  <w:num w:numId="5" w16cid:durableId="303390515">
    <w:abstractNumId w:val="18"/>
  </w:num>
  <w:num w:numId="6" w16cid:durableId="246891643">
    <w:abstractNumId w:val="8"/>
  </w:num>
  <w:num w:numId="7" w16cid:durableId="1553033960">
    <w:abstractNumId w:val="3"/>
  </w:num>
  <w:num w:numId="8" w16cid:durableId="480774172">
    <w:abstractNumId w:val="2"/>
  </w:num>
  <w:num w:numId="9" w16cid:durableId="824901685">
    <w:abstractNumId w:val="1"/>
  </w:num>
  <w:num w:numId="10" w16cid:durableId="836965264">
    <w:abstractNumId w:val="0"/>
  </w:num>
  <w:num w:numId="11" w16cid:durableId="1414012447">
    <w:abstractNumId w:val="9"/>
  </w:num>
  <w:num w:numId="12" w16cid:durableId="601256774">
    <w:abstractNumId w:val="7"/>
  </w:num>
  <w:num w:numId="13" w16cid:durableId="476341761">
    <w:abstractNumId w:val="6"/>
  </w:num>
  <w:num w:numId="14" w16cid:durableId="218595132">
    <w:abstractNumId w:val="5"/>
  </w:num>
  <w:num w:numId="15" w16cid:durableId="1957787196">
    <w:abstractNumId w:val="4"/>
  </w:num>
  <w:num w:numId="16" w16cid:durableId="614794702">
    <w:abstractNumId w:val="22"/>
  </w:num>
  <w:num w:numId="17" w16cid:durableId="1360855836">
    <w:abstractNumId w:val="17"/>
  </w:num>
  <w:num w:numId="18" w16cid:durableId="1310475304">
    <w:abstractNumId w:val="19"/>
  </w:num>
  <w:num w:numId="19" w16cid:durableId="1552378513">
    <w:abstractNumId w:val="22"/>
  </w:num>
  <w:num w:numId="20" w16cid:durableId="499854919">
    <w:abstractNumId w:val="17"/>
  </w:num>
  <w:num w:numId="21" w16cid:durableId="1740789651">
    <w:abstractNumId w:val="19"/>
  </w:num>
  <w:num w:numId="22" w16cid:durableId="1094059114">
    <w:abstractNumId w:val="15"/>
  </w:num>
  <w:num w:numId="23" w16cid:durableId="57409719">
    <w:abstractNumId w:val="13"/>
  </w:num>
  <w:num w:numId="24" w16cid:durableId="430274062">
    <w:abstractNumId w:val="10"/>
  </w:num>
  <w:num w:numId="25" w16cid:durableId="1353074842">
    <w:abstractNumId w:val="20"/>
  </w:num>
  <w:num w:numId="26" w16cid:durableId="1985424327">
    <w:abstractNumId w:val="21"/>
  </w:num>
  <w:num w:numId="27" w16cid:durableId="690574701">
    <w:abstractNumId w:val="25"/>
  </w:num>
  <w:num w:numId="28" w16cid:durableId="1861551384">
    <w:abstractNumId w:val="11"/>
  </w:num>
  <w:num w:numId="29" w16cid:durableId="3849144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77"/>
    <w:rsid w:val="00015F67"/>
    <w:rsid w:val="00033EE1"/>
    <w:rsid w:val="000358F2"/>
    <w:rsid w:val="00042B72"/>
    <w:rsid w:val="000558BD"/>
    <w:rsid w:val="000932AD"/>
    <w:rsid w:val="000B57E7"/>
    <w:rsid w:val="000B6373"/>
    <w:rsid w:val="000F09DF"/>
    <w:rsid w:val="000F61B2"/>
    <w:rsid w:val="001075E9"/>
    <w:rsid w:val="00180183"/>
    <w:rsid w:val="0018024D"/>
    <w:rsid w:val="0018649F"/>
    <w:rsid w:val="00194E6E"/>
    <w:rsid w:val="00196389"/>
    <w:rsid w:val="001B3EF6"/>
    <w:rsid w:val="001C7A89"/>
    <w:rsid w:val="002009EA"/>
    <w:rsid w:val="00210FB9"/>
    <w:rsid w:val="00254812"/>
    <w:rsid w:val="002A2EFC"/>
    <w:rsid w:val="002C0E18"/>
    <w:rsid w:val="002D5AAC"/>
    <w:rsid w:val="002E00F0"/>
    <w:rsid w:val="002E0B77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40C49"/>
    <w:rsid w:val="00375F01"/>
    <w:rsid w:val="00381C24"/>
    <w:rsid w:val="003958D0"/>
    <w:rsid w:val="003A7475"/>
    <w:rsid w:val="003B00E5"/>
    <w:rsid w:val="003B3AB2"/>
    <w:rsid w:val="00407B78"/>
    <w:rsid w:val="00424203"/>
    <w:rsid w:val="00452493"/>
    <w:rsid w:val="00454E07"/>
    <w:rsid w:val="00472C5C"/>
    <w:rsid w:val="0048610F"/>
    <w:rsid w:val="004969B2"/>
    <w:rsid w:val="004E079B"/>
    <w:rsid w:val="0050108D"/>
    <w:rsid w:val="00503E4A"/>
    <w:rsid w:val="00513081"/>
    <w:rsid w:val="00517901"/>
    <w:rsid w:val="00526683"/>
    <w:rsid w:val="005403C3"/>
    <w:rsid w:val="005474C9"/>
    <w:rsid w:val="005709E0"/>
    <w:rsid w:val="00572E19"/>
    <w:rsid w:val="00592D77"/>
    <w:rsid w:val="005961C8"/>
    <w:rsid w:val="005D7914"/>
    <w:rsid w:val="005E2B41"/>
    <w:rsid w:val="005F0B42"/>
    <w:rsid w:val="00666B97"/>
    <w:rsid w:val="00681A10"/>
    <w:rsid w:val="006A1ED8"/>
    <w:rsid w:val="006B180E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97424"/>
    <w:rsid w:val="00825F8D"/>
    <w:rsid w:val="00834B71"/>
    <w:rsid w:val="0086445C"/>
    <w:rsid w:val="00885B83"/>
    <w:rsid w:val="00894693"/>
    <w:rsid w:val="008A08D7"/>
    <w:rsid w:val="008B6909"/>
    <w:rsid w:val="009062AA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6280C"/>
    <w:rsid w:val="00A84021"/>
    <w:rsid w:val="00A84D35"/>
    <w:rsid w:val="00A917B3"/>
    <w:rsid w:val="00AB4B51"/>
    <w:rsid w:val="00AB7829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03D03"/>
    <w:rsid w:val="00C106D6"/>
    <w:rsid w:val="00C46D5A"/>
    <w:rsid w:val="00C60F0C"/>
    <w:rsid w:val="00C64FA2"/>
    <w:rsid w:val="00C72463"/>
    <w:rsid w:val="00C805C9"/>
    <w:rsid w:val="00C83631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A64B5"/>
    <w:rsid w:val="00DD78D1"/>
    <w:rsid w:val="00DE32CD"/>
    <w:rsid w:val="00DF71B9"/>
    <w:rsid w:val="00E005F7"/>
    <w:rsid w:val="00E06BEE"/>
    <w:rsid w:val="00E46656"/>
    <w:rsid w:val="00E73F76"/>
    <w:rsid w:val="00E77CF8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A3962"/>
  <w15:docId w15:val="{8D129D8E-A0A8-46CA-BE2C-7879673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503E4A"/>
    <w:pPr>
      <w:numPr>
        <w:numId w:val="26"/>
      </w:numPr>
    </w:pPr>
  </w:style>
  <w:style w:type="numbering" w:styleId="1ai">
    <w:name w:val="Outline List 1"/>
    <w:basedOn w:val="a2"/>
    <w:semiHidden/>
    <w:rsid w:val="00503E4A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503E4A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503E4A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503E4A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503E4A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503E4A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503E4A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503E4A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503E4A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503E4A"/>
    <w:rPr>
      <w:b/>
      <w:bCs/>
      <w:smallCaps/>
      <w:spacing w:val="5"/>
    </w:rPr>
  </w:style>
  <w:style w:type="paragraph" w:styleId="af4">
    <w:name w:val="List Paragraph"/>
    <w:basedOn w:val="a"/>
    <w:uiPriority w:val="34"/>
    <w:rsid w:val="00503E4A"/>
    <w:pPr>
      <w:ind w:left="720"/>
      <w:contextualSpacing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locked/>
    <w:rsid w:val="00503E4A"/>
    <w:rPr>
      <w:lang w:val="ru-RU" w:eastAsia="en-US"/>
    </w:rPr>
  </w:style>
  <w:style w:type="character" w:styleId="af5">
    <w:name w:val="Unresolved Mention"/>
    <w:basedOn w:val="a0"/>
    <w:uiPriority w:val="99"/>
    <w:semiHidden/>
    <w:unhideWhenUsed/>
    <w:rsid w:val="00503E4A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503E4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03E4A"/>
    <w:pPr>
      <w:spacing w:line="240" w:lineRule="auto"/>
    </w:pPr>
    <w:rPr>
      <w:rFonts w:eastAsia="SimSun" w:cs="Times New Roman"/>
      <w:szCs w:val="20"/>
      <w:lang w:val="en-GB" w:eastAsia="zh-CN"/>
    </w:rPr>
  </w:style>
  <w:style w:type="character" w:customStyle="1" w:styleId="af8">
    <w:name w:val="Текст примечания Знак"/>
    <w:basedOn w:val="a0"/>
    <w:link w:val="af7"/>
    <w:uiPriority w:val="99"/>
    <w:rsid w:val="00503E4A"/>
    <w:rPr>
      <w:rFonts w:eastAsia="SimSun"/>
      <w:lang w:val="en-GB"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3E4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03E4A"/>
    <w:rPr>
      <w:rFonts w:eastAsia="SimSun"/>
      <w:b/>
      <w:bCs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503E4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styleId="afc">
    <w:name w:val="Emphasis"/>
    <w:basedOn w:val="a0"/>
    <w:uiPriority w:val="20"/>
    <w:qFormat/>
    <w:rsid w:val="00503E4A"/>
    <w:rPr>
      <w:i/>
      <w:iCs/>
    </w:rPr>
  </w:style>
  <w:style w:type="character" w:customStyle="1" w:styleId="eref">
    <w:name w:val="eref"/>
    <w:basedOn w:val="a0"/>
    <w:rsid w:val="00503E4A"/>
  </w:style>
  <w:style w:type="character" w:customStyle="1" w:styleId="terminologypart">
    <w:name w:val="terminologypart"/>
    <w:basedOn w:val="a0"/>
    <w:rsid w:val="00503E4A"/>
  </w:style>
  <w:style w:type="paragraph" w:styleId="afd">
    <w:name w:val="Revision"/>
    <w:hidden/>
    <w:uiPriority w:val="99"/>
    <w:semiHidden/>
    <w:rsid w:val="00503E4A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CCPR/C/128/D/2568/2015" TargetMode="External"/><Relationship Id="rId2" Type="http://schemas.openxmlformats.org/officeDocument/2006/relationships/hyperlink" Target="http://undocs.org/ru/CCPR/C/125/D/2948/2017" TargetMode="External"/><Relationship Id="rId1" Type="http://schemas.openxmlformats.org/officeDocument/2006/relationships/hyperlink" Target="http://undocs.org/ru/CCPR/C/102/D/1959/2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0E93-38DB-449B-8FB2-FE6840DA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10</Pages>
  <Words>4260</Words>
  <Characters>29179</Characters>
  <Application>Microsoft Office Word</Application>
  <DocSecurity>0</DocSecurity>
  <Lines>486</Lines>
  <Paragraphs>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CCPR/C/134/D/3587/2019</vt:lpstr>
      <vt:lpstr>A/</vt:lpstr>
      <vt:lpstr>A/</vt:lpstr>
    </vt:vector>
  </TitlesOfParts>
  <Company>DCM</Company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CCPR/C/134/D/3587/2019</dc:title>
  <dc:subject/>
  <dc:creator>No author</dc:creator>
  <cp:keywords/>
  <cp:lastModifiedBy>Anna Petelina</cp:lastModifiedBy>
  <cp:revision>3</cp:revision>
  <cp:lastPrinted>2023-02-27T14:05:00Z</cp:lastPrinted>
  <dcterms:created xsi:type="dcterms:W3CDTF">2023-02-27T14:05:00Z</dcterms:created>
  <dcterms:modified xsi:type="dcterms:W3CDTF">2023-02-27T14:06:00Z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