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159EE5B4" w14:textId="77777777" w:rsidTr="005B51C4">
        <w:trPr>
          <w:trHeight w:hRule="exact" w:val="851"/>
        </w:trPr>
        <w:tc>
          <w:tcPr>
            <w:tcW w:w="1274" w:type="dxa"/>
            <w:tcBorders>
              <w:bottom w:val="single" w:sz="4" w:space="0" w:color="auto"/>
            </w:tcBorders>
            <w:shd w:val="clear" w:color="auto" w:fill="auto"/>
          </w:tcPr>
          <w:p w14:paraId="1661D4CA" w14:textId="77777777" w:rsidR="006B3E27" w:rsidRPr="00C175A6" w:rsidRDefault="006B3E27" w:rsidP="002F5EDC">
            <w:pPr>
              <w:kinsoku w:val="0"/>
              <w:overflowPunct w:val="0"/>
              <w:autoSpaceDE w:val="0"/>
              <w:autoSpaceDN w:val="0"/>
              <w:adjustRightInd w:val="0"/>
              <w:snapToGrid w:val="0"/>
              <w:jc w:val="center"/>
              <w:rPr>
                <w:rFonts w:hint="cs"/>
                <w:sz w:val="56"/>
                <w:szCs w:val="56"/>
                <w:rtl/>
              </w:rPr>
            </w:pPr>
          </w:p>
        </w:tc>
        <w:tc>
          <w:tcPr>
            <w:tcW w:w="4537" w:type="dxa"/>
            <w:tcBorders>
              <w:bottom w:val="single" w:sz="4" w:space="0" w:color="auto"/>
            </w:tcBorders>
            <w:shd w:val="clear" w:color="auto" w:fill="auto"/>
            <w:vAlign w:val="bottom"/>
          </w:tcPr>
          <w:p w14:paraId="422CF750"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52189F2A" w14:textId="2364EA10" w:rsidR="006B3E27" w:rsidRPr="00185CFF" w:rsidRDefault="00185CFF" w:rsidP="00185CFF">
            <w:pPr>
              <w:bidi w:val="0"/>
              <w:rPr>
                <w:szCs w:val="20"/>
              </w:rPr>
            </w:pPr>
            <w:r w:rsidRPr="00BD2E54">
              <w:rPr>
                <w:sz w:val="40"/>
                <w:szCs w:val="20"/>
              </w:rPr>
              <w:t>CCPR</w:t>
            </w:r>
            <w:r w:rsidRPr="00BD2E54">
              <w:rPr>
                <w:szCs w:val="20"/>
              </w:rPr>
              <w:t>/C/</w:t>
            </w:r>
            <w:r w:rsidRPr="006C4428">
              <w:rPr>
                <w:szCs w:val="20"/>
              </w:rPr>
              <w:t>134</w:t>
            </w:r>
            <w:r w:rsidRPr="00BD2E54">
              <w:rPr>
                <w:szCs w:val="20"/>
              </w:rPr>
              <w:t>/D/</w:t>
            </w:r>
            <w:r w:rsidRPr="006C4428">
              <w:rPr>
                <w:szCs w:val="20"/>
              </w:rPr>
              <w:t>3587</w:t>
            </w:r>
            <w:r w:rsidRPr="00BD2E54">
              <w:rPr>
                <w:szCs w:val="20"/>
              </w:rPr>
              <w:t>/</w:t>
            </w:r>
            <w:r w:rsidRPr="006C4428">
              <w:rPr>
                <w:szCs w:val="20"/>
              </w:rPr>
              <w:t>2019</w:t>
            </w:r>
          </w:p>
        </w:tc>
      </w:tr>
      <w:tr w:rsidR="006B3E27" w:rsidRPr="00C175A6" w14:paraId="49F6EE4D" w14:textId="77777777" w:rsidTr="005B51C4">
        <w:trPr>
          <w:trHeight w:hRule="exact" w:val="2835"/>
        </w:trPr>
        <w:tc>
          <w:tcPr>
            <w:tcW w:w="1274" w:type="dxa"/>
            <w:tcBorders>
              <w:top w:val="single" w:sz="4" w:space="0" w:color="auto"/>
              <w:bottom w:val="single" w:sz="12" w:space="0" w:color="auto"/>
            </w:tcBorders>
            <w:shd w:val="clear" w:color="auto" w:fill="auto"/>
          </w:tcPr>
          <w:p w14:paraId="0BDEDCE5"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0353DD9E" wp14:editId="4369BACF">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7FCD00FF" w14:textId="77777777" w:rsidR="006B3E27" w:rsidRPr="006C4428" w:rsidRDefault="00ED7442" w:rsidP="00730446">
            <w:pPr>
              <w:spacing w:before="120" w:after="40" w:line="640" w:lineRule="exact"/>
              <w:ind w:left="57"/>
              <w:rPr>
                <w:b/>
                <w:bCs/>
                <w:sz w:val="46"/>
                <w:szCs w:val="46"/>
              </w:rPr>
            </w:pPr>
            <w:r w:rsidRPr="006C4428">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4087AE31" w14:textId="1B4DDF6B" w:rsidR="00CF17BF" w:rsidRPr="00CF17BF" w:rsidRDefault="00CF17BF" w:rsidP="00CF17BF">
            <w:pPr>
              <w:bidi w:val="0"/>
              <w:spacing w:before="240"/>
              <w:jc w:val="left"/>
              <w:rPr>
                <w:rFonts w:eastAsia="SimSun" w:cs="Times New Roman"/>
                <w:szCs w:val="20"/>
                <w:lang w:val="en-GB" w:eastAsia="zh-CN"/>
              </w:rPr>
            </w:pPr>
            <w:r w:rsidRPr="00CF17BF">
              <w:rPr>
                <w:rFonts w:eastAsia="SimSun" w:cs="Times New Roman"/>
                <w:szCs w:val="20"/>
                <w:lang w:val="en-GB" w:eastAsia="zh-CN"/>
              </w:rPr>
              <w:t>Dist</w:t>
            </w:r>
            <w:r w:rsidR="00BD2E54" w:rsidRPr="00BD2E54">
              <w:rPr>
                <w:rFonts w:eastAsia="SimSun" w:cs="Times New Roman"/>
                <w:szCs w:val="20"/>
                <w:lang w:val="en-GB" w:eastAsia="zh-CN"/>
              </w:rPr>
              <w:t>r.:</w:t>
            </w:r>
            <w:r w:rsidRPr="00CF17BF">
              <w:rPr>
                <w:rFonts w:eastAsia="SimSun" w:cs="Times New Roman"/>
                <w:szCs w:val="20"/>
                <w:lang w:val="en-GB" w:eastAsia="zh-CN"/>
              </w:rPr>
              <w:t xml:space="preserve"> General</w:t>
            </w:r>
          </w:p>
          <w:p w14:paraId="30325E33" w14:textId="77777777" w:rsidR="00CF17BF" w:rsidRPr="00CF17BF" w:rsidRDefault="00CF17BF" w:rsidP="00CF17BF">
            <w:pPr>
              <w:bidi w:val="0"/>
              <w:jc w:val="left"/>
              <w:rPr>
                <w:rFonts w:eastAsia="SimSun" w:cs="Times New Roman"/>
                <w:szCs w:val="20"/>
                <w:lang w:val="en-GB" w:eastAsia="zh-CN"/>
              </w:rPr>
            </w:pPr>
            <w:r w:rsidRPr="006C4428">
              <w:rPr>
                <w:rFonts w:eastAsia="SimSun" w:cs="Times New Roman"/>
                <w:szCs w:val="20"/>
                <w:lang w:val="en-GB" w:eastAsia="zh-CN"/>
              </w:rPr>
              <w:t>31</w:t>
            </w:r>
            <w:r w:rsidRPr="00CF17BF">
              <w:rPr>
                <w:rFonts w:eastAsia="SimSun" w:cs="Times New Roman"/>
                <w:szCs w:val="20"/>
                <w:lang w:val="en-GB" w:eastAsia="zh-CN"/>
              </w:rPr>
              <w:t xml:space="preserve"> August </w:t>
            </w:r>
            <w:r w:rsidRPr="006C4428">
              <w:rPr>
                <w:rFonts w:eastAsia="SimSun" w:cs="Times New Roman"/>
                <w:szCs w:val="20"/>
                <w:lang w:val="en-GB" w:eastAsia="zh-CN"/>
              </w:rPr>
              <w:t>2022</w:t>
            </w:r>
          </w:p>
          <w:p w14:paraId="1754A08C" w14:textId="27B04C3E" w:rsidR="00CF17BF" w:rsidRPr="00CF17BF" w:rsidRDefault="00CF17BF" w:rsidP="00CF17BF">
            <w:pPr>
              <w:bidi w:val="0"/>
              <w:jc w:val="left"/>
              <w:rPr>
                <w:rFonts w:eastAsia="SimSun" w:cs="Times New Roman"/>
                <w:szCs w:val="20"/>
                <w:lang w:val="en-GB" w:eastAsia="zh-CN"/>
              </w:rPr>
            </w:pPr>
            <w:r>
              <w:rPr>
                <w:rFonts w:eastAsia="SimSun" w:cs="Times New Roman"/>
                <w:szCs w:val="20"/>
                <w:lang w:val="en-GB" w:eastAsia="zh-CN"/>
              </w:rPr>
              <w:t>Arabic</w:t>
            </w:r>
          </w:p>
          <w:p w14:paraId="76AC4599" w14:textId="4F5F41F1" w:rsidR="00185CFF" w:rsidRPr="00CF17BF" w:rsidRDefault="00CF17BF" w:rsidP="00CF17BF">
            <w:pPr>
              <w:bidi w:val="0"/>
              <w:spacing w:line="240" w:lineRule="exact"/>
              <w:jc w:val="left"/>
              <w:rPr>
                <w:szCs w:val="20"/>
                <w:lang w:val="en-GB"/>
              </w:rPr>
            </w:pPr>
            <w:r w:rsidRPr="00CF17BF">
              <w:rPr>
                <w:rFonts w:eastAsia="SimSun" w:cs="Times New Roman"/>
                <w:szCs w:val="20"/>
                <w:lang w:val="en-GB" w:eastAsia="zh-CN"/>
              </w:rPr>
              <w:t>Origina</w:t>
            </w:r>
            <w:r w:rsidR="00BD2E54" w:rsidRPr="00BD2E54">
              <w:rPr>
                <w:rFonts w:eastAsia="SimSun" w:cs="Times New Roman"/>
                <w:szCs w:val="20"/>
                <w:lang w:val="en-GB" w:eastAsia="zh-CN"/>
              </w:rPr>
              <w:t xml:space="preserve">l: </w:t>
            </w:r>
            <w:r w:rsidRPr="00CF17BF">
              <w:rPr>
                <w:rFonts w:eastAsia="SimSun" w:cs="Times New Roman"/>
                <w:szCs w:val="20"/>
                <w:lang w:val="en-GB" w:eastAsia="zh-CN"/>
              </w:rPr>
              <w:t>English</w:t>
            </w:r>
          </w:p>
        </w:tc>
      </w:tr>
    </w:tbl>
    <w:p w14:paraId="4D522CE4" w14:textId="77777777" w:rsidR="00CF274D" w:rsidRPr="006C4428" w:rsidRDefault="00CF274D" w:rsidP="00CF17BF">
      <w:pPr>
        <w:pStyle w:val="SingleTxtGA"/>
        <w:spacing w:before="120"/>
        <w:ind w:left="0"/>
        <w:rPr>
          <w:b/>
          <w:bCs/>
          <w:sz w:val="26"/>
          <w:szCs w:val="26"/>
          <w:lang w:val="en-US"/>
        </w:rPr>
      </w:pPr>
      <w:r w:rsidRPr="006C4428">
        <w:rPr>
          <w:b/>
          <w:bCs/>
          <w:sz w:val="26"/>
          <w:szCs w:val="26"/>
          <w:rtl/>
          <w:lang w:val="en-US"/>
        </w:rPr>
        <w:t>اللجنة المعنية بحقوق الإنسان</w:t>
      </w:r>
    </w:p>
    <w:p w14:paraId="649115B8" w14:textId="74B3612A" w:rsidR="00CF274D" w:rsidRPr="006C4428" w:rsidRDefault="00CF274D" w:rsidP="00CF274D">
      <w:pPr>
        <w:pStyle w:val="HChGA"/>
      </w:pPr>
      <w:r w:rsidRPr="006C4428">
        <w:rPr>
          <w:rtl/>
        </w:rPr>
        <w:tab/>
      </w:r>
      <w:r w:rsidRPr="006C4428">
        <w:rPr>
          <w:rtl/>
        </w:rPr>
        <w:tab/>
        <w:t>قرار</w:t>
      </w:r>
      <w:r w:rsidRPr="006C4428">
        <w:rPr>
          <w:rFonts w:hint="cs"/>
          <w:rtl/>
        </w:rPr>
        <w:t xml:space="preserve"> </w:t>
      </w:r>
      <w:r w:rsidRPr="006C4428">
        <w:rPr>
          <w:rtl/>
        </w:rPr>
        <w:t>اعتمدته اللجنة بموجب المادة 5(</w:t>
      </w:r>
      <w:r w:rsidR="00BD2E54" w:rsidRPr="006C4428">
        <w:rPr>
          <w:rtl/>
        </w:rPr>
        <w:t xml:space="preserve">4) </w:t>
      </w:r>
      <w:r w:rsidRPr="006C4428">
        <w:rPr>
          <w:rtl/>
        </w:rPr>
        <w:t>من البروتوكول الاختياري، بشأن البلاغ رقم 3587/2019</w:t>
      </w:r>
      <w:r w:rsidRPr="006C4428">
        <w:rPr>
          <w:rStyle w:val="FootnoteReference"/>
          <w:rFonts w:ascii="Times New Roman Bold" w:hAnsi="Times New Roman Bold"/>
          <w:position w:val="4"/>
          <w:sz w:val="28"/>
          <w:szCs w:val="26"/>
          <w:vertAlign w:val="baseline"/>
          <w:rtl/>
        </w:rPr>
        <w:footnoteReference w:customMarkFollows="1" w:id="1"/>
        <w:t>*</w:t>
      </w:r>
      <w:r w:rsidRPr="006C4428">
        <w:rPr>
          <w:rFonts w:ascii="Times New Roman Bold" w:hAnsi="Times New Roman Bold" w:hint="cs"/>
          <w:position w:val="4"/>
          <w:sz w:val="36"/>
          <w:szCs w:val="34"/>
          <w:rtl/>
        </w:rPr>
        <w:t xml:space="preserve"> </w:t>
      </w:r>
      <w:r w:rsidRPr="006C4428">
        <w:rPr>
          <w:rStyle w:val="FootnoteReference"/>
          <w:rFonts w:ascii="Times New Roman Bold" w:hAnsi="Times New Roman Bold"/>
          <w:position w:val="4"/>
          <w:sz w:val="28"/>
          <w:szCs w:val="26"/>
          <w:vertAlign w:val="baseline"/>
          <w:rtl/>
        </w:rPr>
        <w:footnoteReference w:customMarkFollows="1" w:id="2"/>
        <w:t>**</w:t>
      </w:r>
    </w:p>
    <w:p w14:paraId="2CFB2D74" w14:textId="26CF64DE" w:rsidR="00CF274D" w:rsidRPr="00CF274D" w:rsidRDefault="00CF274D" w:rsidP="006D3B4D">
      <w:pPr>
        <w:pStyle w:val="SingleTxtGA"/>
        <w:tabs>
          <w:tab w:val="clear" w:pos="1928"/>
          <w:tab w:val="clear" w:pos="2608"/>
          <w:tab w:val="clear" w:pos="3289"/>
          <w:tab w:val="clear" w:pos="3969"/>
          <w:tab w:val="clear" w:pos="4649"/>
          <w:tab w:val="clear" w:pos="5330"/>
        </w:tabs>
        <w:spacing w:before="240"/>
        <w:ind w:left="4650" w:hanging="2722"/>
      </w:pPr>
      <w:r w:rsidRPr="006C4428">
        <w:rPr>
          <w:i/>
          <w:iCs/>
          <w:rtl/>
        </w:rPr>
        <w:t>بلاغ مقدم من:</w:t>
      </w:r>
      <w:r>
        <w:rPr>
          <w:rtl/>
        </w:rPr>
        <w:tab/>
      </w:r>
      <w:r w:rsidRPr="00CF274D">
        <w:rPr>
          <w:rtl/>
        </w:rPr>
        <w:t xml:space="preserve">أ. ي. أُ. أق (يمثلها المحامي </w:t>
      </w:r>
      <w:proofErr w:type="spellStart"/>
      <w:r w:rsidRPr="00CF274D">
        <w:rPr>
          <w:rtl/>
        </w:rPr>
        <w:t>دافيدي</w:t>
      </w:r>
      <w:proofErr w:type="spellEnd"/>
      <w:r w:rsidRPr="00CF274D">
        <w:rPr>
          <w:rtl/>
        </w:rPr>
        <w:t xml:space="preserve"> </w:t>
      </w:r>
      <w:proofErr w:type="spellStart"/>
      <w:r w:rsidRPr="00CF274D">
        <w:rPr>
          <w:rtl/>
        </w:rPr>
        <w:t>غاليمبرتي</w:t>
      </w:r>
      <w:proofErr w:type="spellEnd"/>
      <w:r w:rsidRPr="00CF274D">
        <w:rPr>
          <w:rtl/>
        </w:rPr>
        <w:t>)</w:t>
      </w:r>
    </w:p>
    <w:p w14:paraId="3B0B8D6A" w14:textId="53364CF5" w:rsidR="00CF274D" w:rsidRPr="00CF274D" w:rsidRDefault="00CF274D" w:rsidP="00CF274D">
      <w:pPr>
        <w:pStyle w:val="SingleTxtGA"/>
        <w:tabs>
          <w:tab w:val="clear" w:pos="1928"/>
          <w:tab w:val="clear" w:pos="2608"/>
          <w:tab w:val="clear" w:pos="3289"/>
          <w:tab w:val="clear" w:pos="3969"/>
          <w:tab w:val="clear" w:pos="4649"/>
          <w:tab w:val="clear" w:pos="5330"/>
        </w:tabs>
        <w:ind w:left="4649" w:hanging="2721"/>
        <w:rPr>
          <w:rFonts w:hint="cs"/>
          <w:rtl/>
        </w:rPr>
      </w:pPr>
      <w:r w:rsidRPr="006C4428">
        <w:rPr>
          <w:i/>
          <w:iCs/>
          <w:rtl/>
        </w:rPr>
        <w:t>الشخص المدعى أنه ضحية:</w:t>
      </w:r>
      <w:r>
        <w:rPr>
          <w:rtl/>
        </w:rPr>
        <w:tab/>
      </w:r>
      <w:r w:rsidRPr="00CF274D">
        <w:rPr>
          <w:rtl/>
        </w:rPr>
        <w:t>صاحبة البلاغ</w:t>
      </w:r>
    </w:p>
    <w:p w14:paraId="453CDFEB" w14:textId="6768361F" w:rsidR="00CF274D" w:rsidRPr="00CF274D" w:rsidRDefault="00CF274D" w:rsidP="00CF274D">
      <w:pPr>
        <w:pStyle w:val="SingleTxtGA"/>
        <w:tabs>
          <w:tab w:val="clear" w:pos="1928"/>
          <w:tab w:val="clear" w:pos="2608"/>
          <w:tab w:val="clear" w:pos="3289"/>
          <w:tab w:val="clear" w:pos="3969"/>
          <w:tab w:val="clear" w:pos="4649"/>
          <w:tab w:val="clear" w:pos="5330"/>
        </w:tabs>
        <w:ind w:left="4649" w:hanging="2721"/>
      </w:pPr>
      <w:r w:rsidRPr="006C4428">
        <w:rPr>
          <w:i/>
          <w:iCs/>
          <w:rtl/>
        </w:rPr>
        <w:t>الدولة الطرف:</w:t>
      </w:r>
      <w:r>
        <w:rPr>
          <w:rtl/>
        </w:rPr>
        <w:tab/>
      </w:r>
      <w:r w:rsidRPr="00CF274D">
        <w:rPr>
          <w:rtl/>
        </w:rPr>
        <w:t>إيطاليا</w:t>
      </w:r>
    </w:p>
    <w:p w14:paraId="4B670DFE" w14:textId="4A6A014F" w:rsidR="00CF274D" w:rsidRPr="00CF274D" w:rsidRDefault="00CF274D" w:rsidP="00CF274D">
      <w:pPr>
        <w:pStyle w:val="SingleTxtGA"/>
        <w:tabs>
          <w:tab w:val="clear" w:pos="1928"/>
          <w:tab w:val="clear" w:pos="2608"/>
          <w:tab w:val="clear" w:pos="3289"/>
          <w:tab w:val="clear" w:pos="3969"/>
          <w:tab w:val="clear" w:pos="4649"/>
          <w:tab w:val="clear" w:pos="5330"/>
        </w:tabs>
        <w:ind w:left="4649" w:hanging="2721"/>
      </w:pPr>
      <w:r w:rsidRPr="006C4428">
        <w:rPr>
          <w:i/>
          <w:iCs/>
          <w:rtl/>
        </w:rPr>
        <w:t>تاريخ تقديم البلاغ:</w:t>
      </w:r>
      <w:r>
        <w:rPr>
          <w:rtl/>
        </w:rPr>
        <w:tab/>
      </w:r>
      <w:r w:rsidRPr="006C4428">
        <w:rPr>
          <w:rtl/>
        </w:rPr>
        <w:t>2</w:t>
      </w:r>
      <w:r w:rsidRPr="00CF274D">
        <w:rPr>
          <w:rtl/>
        </w:rPr>
        <w:t xml:space="preserve"> أيار/مايو </w:t>
      </w:r>
      <w:r w:rsidRPr="006C4428">
        <w:rPr>
          <w:rtl/>
        </w:rPr>
        <w:t>2018</w:t>
      </w:r>
      <w:r w:rsidRPr="00CF274D">
        <w:rPr>
          <w:rtl/>
        </w:rPr>
        <w:t xml:space="preserve"> (تاريخ الرسالة الأولى)</w:t>
      </w:r>
    </w:p>
    <w:p w14:paraId="4B909806" w14:textId="5DC338B0" w:rsidR="00CF274D" w:rsidRPr="00CF274D" w:rsidRDefault="00CF274D" w:rsidP="00CF274D">
      <w:pPr>
        <w:pStyle w:val="SingleTxtGA"/>
        <w:tabs>
          <w:tab w:val="clear" w:pos="1928"/>
          <w:tab w:val="clear" w:pos="2608"/>
          <w:tab w:val="clear" w:pos="3289"/>
          <w:tab w:val="clear" w:pos="3969"/>
          <w:tab w:val="clear" w:pos="4649"/>
          <w:tab w:val="clear" w:pos="5330"/>
        </w:tabs>
        <w:ind w:left="4649" w:hanging="2721"/>
      </w:pPr>
      <w:r w:rsidRPr="006C4428">
        <w:rPr>
          <w:i/>
          <w:iCs/>
          <w:rtl/>
        </w:rPr>
        <w:t>الوثائق المرجعية:</w:t>
      </w:r>
      <w:r>
        <w:rPr>
          <w:rtl/>
        </w:rPr>
        <w:tab/>
      </w:r>
      <w:r w:rsidRPr="00CF274D">
        <w:rPr>
          <w:rtl/>
        </w:rPr>
        <w:t xml:space="preserve">القرار المتخذ بموجب المادة </w:t>
      </w:r>
      <w:r w:rsidRPr="006C4428">
        <w:rPr>
          <w:rtl/>
        </w:rPr>
        <w:t>92</w:t>
      </w:r>
      <w:r w:rsidRPr="00CF274D">
        <w:rPr>
          <w:rtl/>
        </w:rPr>
        <w:t>(</w:t>
      </w:r>
      <w:r w:rsidR="00BD2E54" w:rsidRPr="006C4428">
        <w:rPr>
          <w:rtl/>
        </w:rPr>
        <w:t>2</w:t>
      </w:r>
      <w:r w:rsidR="00BD2E54" w:rsidRPr="00BD2E54">
        <w:rPr>
          <w:rtl/>
        </w:rPr>
        <w:t xml:space="preserve">) </w:t>
      </w:r>
      <w:r w:rsidRPr="00CF274D">
        <w:rPr>
          <w:rtl/>
        </w:rPr>
        <w:t xml:space="preserve">من نظام اللجنة الداخلي والمحال إلى الدولة الطرف في </w:t>
      </w:r>
      <w:r w:rsidRPr="006C4428">
        <w:rPr>
          <w:rtl/>
        </w:rPr>
        <w:t>10</w:t>
      </w:r>
      <w:r w:rsidRPr="00CF274D">
        <w:rPr>
          <w:rtl/>
        </w:rPr>
        <w:t xml:space="preserve"> نيسان</w:t>
      </w:r>
      <w:proofErr w:type="gramStart"/>
      <w:r w:rsidRPr="00CF274D">
        <w:rPr>
          <w:rtl/>
        </w:rPr>
        <w:t>/</w:t>
      </w:r>
      <w:r w:rsidR="00CF17BF">
        <w:rPr>
          <w:rFonts w:hint="cs"/>
          <w:rtl/>
        </w:rPr>
        <w:t xml:space="preserve">  </w:t>
      </w:r>
      <w:r w:rsidRPr="00CF274D">
        <w:rPr>
          <w:rtl/>
        </w:rPr>
        <w:t>أبريل</w:t>
      </w:r>
      <w:proofErr w:type="gramEnd"/>
      <w:r w:rsidRPr="00CF274D">
        <w:rPr>
          <w:rtl/>
        </w:rPr>
        <w:t xml:space="preserve"> </w:t>
      </w:r>
      <w:r w:rsidRPr="006C4428">
        <w:rPr>
          <w:rtl/>
        </w:rPr>
        <w:t>2019</w:t>
      </w:r>
      <w:r w:rsidRPr="00CF274D">
        <w:rPr>
          <w:rtl/>
        </w:rPr>
        <w:t xml:space="preserve"> (لم يصدر في شكل وثيقة)</w:t>
      </w:r>
    </w:p>
    <w:p w14:paraId="0524F45A" w14:textId="4F006237" w:rsidR="00CF274D" w:rsidRPr="00CF274D" w:rsidRDefault="00CF274D" w:rsidP="00CF274D">
      <w:pPr>
        <w:pStyle w:val="SingleTxtGA"/>
        <w:tabs>
          <w:tab w:val="clear" w:pos="1928"/>
          <w:tab w:val="clear" w:pos="2608"/>
          <w:tab w:val="clear" w:pos="3289"/>
          <w:tab w:val="clear" w:pos="3969"/>
          <w:tab w:val="clear" w:pos="4649"/>
          <w:tab w:val="clear" w:pos="5330"/>
        </w:tabs>
        <w:ind w:left="4649" w:hanging="2721"/>
      </w:pPr>
      <w:r w:rsidRPr="006C4428">
        <w:rPr>
          <w:i/>
          <w:iCs/>
          <w:rtl/>
        </w:rPr>
        <w:t>تاريخ اعتماد القرار:</w:t>
      </w:r>
      <w:r>
        <w:rPr>
          <w:rtl/>
        </w:rPr>
        <w:tab/>
      </w:r>
      <w:r w:rsidRPr="006C4428">
        <w:rPr>
          <w:rtl/>
        </w:rPr>
        <w:t>25</w:t>
      </w:r>
      <w:r w:rsidRPr="00CF274D">
        <w:rPr>
          <w:rtl/>
        </w:rPr>
        <w:t xml:space="preserve"> آذار/مارس </w:t>
      </w:r>
      <w:r w:rsidRPr="006C4428">
        <w:rPr>
          <w:rtl/>
        </w:rPr>
        <w:t>2022</w:t>
      </w:r>
    </w:p>
    <w:p w14:paraId="75BECFD2" w14:textId="3852E4CF" w:rsidR="00CF274D" w:rsidRPr="00CF274D" w:rsidRDefault="00CF274D" w:rsidP="00CF274D">
      <w:pPr>
        <w:pStyle w:val="SingleTxtGA"/>
        <w:tabs>
          <w:tab w:val="clear" w:pos="1928"/>
          <w:tab w:val="clear" w:pos="2608"/>
          <w:tab w:val="clear" w:pos="3289"/>
          <w:tab w:val="clear" w:pos="3969"/>
          <w:tab w:val="clear" w:pos="4649"/>
          <w:tab w:val="clear" w:pos="5330"/>
        </w:tabs>
        <w:ind w:left="4649" w:hanging="2721"/>
      </w:pPr>
      <w:r w:rsidRPr="006C4428">
        <w:rPr>
          <w:i/>
          <w:iCs/>
          <w:rtl/>
        </w:rPr>
        <w:t>الموضوع:</w:t>
      </w:r>
      <w:r>
        <w:rPr>
          <w:rtl/>
        </w:rPr>
        <w:tab/>
      </w:r>
      <w:r w:rsidRPr="00CF274D">
        <w:rPr>
          <w:spacing w:val="-4"/>
          <w:rtl/>
        </w:rPr>
        <w:t>رفض طلب الحصول على الجنسية بسبب علاقات أسرية</w:t>
      </w:r>
      <w:r w:rsidRPr="00CF274D">
        <w:rPr>
          <w:rtl/>
        </w:rPr>
        <w:t xml:space="preserve"> </w:t>
      </w:r>
    </w:p>
    <w:p w14:paraId="3437B528" w14:textId="1A782E91" w:rsidR="00CF274D" w:rsidRPr="00CF274D" w:rsidRDefault="00CF274D" w:rsidP="00CF274D">
      <w:pPr>
        <w:pStyle w:val="SingleTxtGA"/>
        <w:tabs>
          <w:tab w:val="clear" w:pos="1928"/>
          <w:tab w:val="clear" w:pos="2608"/>
          <w:tab w:val="clear" w:pos="3289"/>
          <w:tab w:val="clear" w:pos="3969"/>
          <w:tab w:val="clear" w:pos="4649"/>
          <w:tab w:val="clear" w:pos="5330"/>
        </w:tabs>
        <w:ind w:left="4649" w:hanging="2721"/>
      </w:pPr>
      <w:r w:rsidRPr="006C4428">
        <w:rPr>
          <w:i/>
          <w:iCs/>
          <w:rtl/>
        </w:rPr>
        <w:t>المسائل الإجرائية:</w:t>
      </w:r>
      <w:r>
        <w:rPr>
          <w:rtl/>
        </w:rPr>
        <w:tab/>
      </w:r>
      <w:r w:rsidRPr="00CF274D">
        <w:rPr>
          <w:rtl/>
        </w:rPr>
        <w:t>عدم المقبولية - عدم استنفاد سبل الانتصاف المحلية؛ وعدم كفاية الأدلة</w:t>
      </w:r>
    </w:p>
    <w:p w14:paraId="582DA1C3" w14:textId="0F9F4340" w:rsidR="00CF274D" w:rsidRPr="00CF274D" w:rsidRDefault="00CF274D" w:rsidP="00CF274D">
      <w:pPr>
        <w:pStyle w:val="SingleTxtGA"/>
        <w:tabs>
          <w:tab w:val="clear" w:pos="1928"/>
          <w:tab w:val="clear" w:pos="2608"/>
          <w:tab w:val="clear" w:pos="3289"/>
          <w:tab w:val="clear" w:pos="3969"/>
          <w:tab w:val="clear" w:pos="4649"/>
          <w:tab w:val="clear" w:pos="5330"/>
        </w:tabs>
        <w:ind w:left="4649" w:hanging="2721"/>
      </w:pPr>
      <w:r w:rsidRPr="006C4428">
        <w:rPr>
          <w:i/>
          <w:iCs/>
          <w:rtl/>
        </w:rPr>
        <w:t>المسائل الموضوعية:</w:t>
      </w:r>
      <w:r>
        <w:rPr>
          <w:rtl/>
        </w:rPr>
        <w:tab/>
      </w:r>
      <w:r w:rsidRPr="00CF274D">
        <w:rPr>
          <w:rtl/>
        </w:rPr>
        <w:t>الحق في الخصوصية؛ المساواة في الحماية أمام القانون (عدم التمييز)</w:t>
      </w:r>
    </w:p>
    <w:p w14:paraId="69A394B2" w14:textId="6BE3A82B" w:rsidR="00CF274D" w:rsidRPr="00CF274D" w:rsidRDefault="00CF274D" w:rsidP="00CF274D">
      <w:pPr>
        <w:pStyle w:val="SingleTxtGA"/>
        <w:tabs>
          <w:tab w:val="clear" w:pos="1928"/>
          <w:tab w:val="clear" w:pos="2608"/>
          <w:tab w:val="clear" w:pos="3289"/>
          <w:tab w:val="clear" w:pos="3969"/>
          <w:tab w:val="clear" w:pos="4649"/>
          <w:tab w:val="clear" w:pos="5330"/>
        </w:tabs>
        <w:ind w:left="4649" w:hanging="2721"/>
      </w:pPr>
      <w:r w:rsidRPr="006C4428">
        <w:rPr>
          <w:i/>
          <w:iCs/>
          <w:rtl/>
        </w:rPr>
        <w:t>مواد العهد:</w:t>
      </w:r>
      <w:r>
        <w:rPr>
          <w:rtl/>
        </w:rPr>
        <w:tab/>
      </w:r>
      <w:r w:rsidRPr="006C4428">
        <w:rPr>
          <w:rtl/>
        </w:rPr>
        <w:t>17</w:t>
      </w:r>
      <w:r w:rsidRPr="00CF274D">
        <w:rPr>
          <w:rtl/>
        </w:rPr>
        <w:t xml:space="preserve"> و</w:t>
      </w:r>
      <w:r w:rsidRPr="006C4428">
        <w:rPr>
          <w:rtl/>
        </w:rPr>
        <w:t>26</w:t>
      </w:r>
    </w:p>
    <w:p w14:paraId="438C6F38" w14:textId="23E837AC" w:rsidR="00CF274D" w:rsidRPr="00CF274D" w:rsidRDefault="00CF274D" w:rsidP="00CF274D">
      <w:pPr>
        <w:pStyle w:val="SingleTxtGA"/>
        <w:tabs>
          <w:tab w:val="clear" w:pos="1928"/>
          <w:tab w:val="clear" w:pos="2608"/>
          <w:tab w:val="clear" w:pos="3289"/>
          <w:tab w:val="clear" w:pos="3969"/>
          <w:tab w:val="clear" w:pos="4649"/>
          <w:tab w:val="clear" w:pos="5330"/>
        </w:tabs>
        <w:ind w:left="4649" w:hanging="2721"/>
        <w:rPr>
          <w:rtl/>
        </w:rPr>
      </w:pPr>
      <w:r w:rsidRPr="006C4428">
        <w:rPr>
          <w:i/>
          <w:iCs/>
          <w:rtl/>
        </w:rPr>
        <w:t>مواد البروتوكول الاختياري:</w:t>
      </w:r>
      <w:r>
        <w:rPr>
          <w:rtl/>
        </w:rPr>
        <w:tab/>
      </w:r>
      <w:r w:rsidRPr="006C4428">
        <w:rPr>
          <w:rtl/>
        </w:rPr>
        <w:t>2</w:t>
      </w:r>
      <w:r w:rsidRPr="00CF274D">
        <w:rPr>
          <w:rtl/>
        </w:rPr>
        <w:t xml:space="preserve"> و</w:t>
      </w:r>
      <w:r w:rsidRPr="006C4428">
        <w:rPr>
          <w:rtl/>
        </w:rPr>
        <w:t>5</w:t>
      </w:r>
      <w:r w:rsidRPr="00CF274D">
        <w:rPr>
          <w:rtl/>
        </w:rPr>
        <w:t>(</w:t>
      </w:r>
      <w:r w:rsidRPr="006C4428">
        <w:rPr>
          <w:rtl/>
        </w:rPr>
        <w:t>2</w:t>
      </w:r>
      <w:r w:rsidRPr="00CF274D">
        <w:rPr>
          <w:rtl/>
        </w:rPr>
        <w:t>)(ب)</w:t>
      </w:r>
    </w:p>
    <w:p w14:paraId="7D938929" w14:textId="061958A3" w:rsidR="00CF274D" w:rsidRPr="00CF274D" w:rsidRDefault="00CF274D" w:rsidP="00CF17BF">
      <w:pPr>
        <w:pStyle w:val="SingleTxtGA"/>
        <w:spacing w:line="350" w:lineRule="exact"/>
        <w:rPr>
          <w:lang w:val="en-US"/>
        </w:rPr>
      </w:pPr>
      <w:r w:rsidRPr="006C4428">
        <w:rPr>
          <w:rtl/>
          <w:lang w:val="en-US"/>
        </w:rPr>
        <w:lastRenderedPageBreak/>
        <w:t>1</w:t>
      </w:r>
      <w:r w:rsidRPr="00CF274D">
        <w:rPr>
          <w:rtl/>
          <w:lang w:val="en-US"/>
        </w:rPr>
        <w:t>-</w:t>
      </w:r>
      <w:r w:rsidRPr="006C4428">
        <w:rPr>
          <w:rtl/>
          <w:lang w:val="en-US"/>
        </w:rPr>
        <w:t>1</w:t>
      </w:r>
      <w:r w:rsidRPr="00CF274D">
        <w:rPr>
          <w:rtl/>
          <w:lang w:val="en-US"/>
        </w:rPr>
        <w:tab/>
        <w:t xml:space="preserve">صاحبة البـلاغ، المقدم فـي </w:t>
      </w:r>
      <w:r w:rsidRPr="006C4428">
        <w:rPr>
          <w:rtl/>
          <w:lang w:val="en-US"/>
        </w:rPr>
        <w:t>2</w:t>
      </w:r>
      <w:r w:rsidRPr="00CF274D">
        <w:rPr>
          <w:rtl/>
          <w:lang w:val="en-US"/>
        </w:rPr>
        <w:t xml:space="preserve"> أيار/مايو </w:t>
      </w:r>
      <w:r w:rsidRPr="006C4428">
        <w:rPr>
          <w:rtl/>
          <w:lang w:val="en-US"/>
        </w:rPr>
        <w:t>2018</w:t>
      </w:r>
      <w:r w:rsidRPr="00CF274D">
        <w:rPr>
          <w:rtl/>
          <w:lang w:val="en-US"/>
        </w:rPr>
        <w:t xml:space="preserve"> والمستكمل في </w:t>
      </w:r>
      <w:r w:rsidRPr="006C4428">
        <w:rPr>
          <w:rtl/>
          <w:lang w:val="en-US"/>
        </w:rPr>
        <w:t>21</w:t>
      </w:r>
      <w:r w:rsidRPr="00CF274D">
        <w:rPr>
          <w:rtl/>
          <w:lang w:val="en-US"/>
        </w:rPr>
        <w:t xml:space="preserve"> تشرين الثاني/نوفمبر </w:t>
      </w:r>
      <w:r w:rsidRPr="006C4428">
        <w:rPr>
          <w:rtl/>
          <w:lang w:val="en-US"/>
        </w:rPr>
        <w:t>2018</w:t>
      </w:r>
      <w:r w:rsidRPr="00CF274D">
        <w:rPr>
          <w:rtl/>
          <w:lang w:val="en-US"/>
        </w:rPr>
        <w:t xml:space="preserve">، هي </w:t>
      </w:r>
      <w:r w:rsidRPr="00CF17BF">
        <w:rPr>
          <w:spacing w:val="-4"/>
          <w:rtl/>
          <w:lang w:val="en-US"/>
        </w:rPr>
        <w:t>أ. ي. أُ. أق</w:t>
      </w:r>
      <w:r w:rsidR="00BD2E54" w:rsidRPr="006C4428">
        <w:rPr>
          <w:rStyle w:val="FootnoteReference"/>
          <w:spacing w:val="-4"/>
          <w:rtl/>
        </w:rPr>
        <w:t>(</w:t>
      </w:r>
      <w:r w:rsidR="00BD2E54" w:rsidRPr="006C4428">
        <w:rPr>
          <w:rStyle w:val="FootnoteReference"/>
          <w:spacing w:val="-4"/>
          <w:lang w:val="en-US"/>
        </w:rPr>
        <w:footnoteReference w:id="3"/>
      </w:r>
      <w:r w:rsidR="00BD2E54" w:rsidRPr="00BD2E54">
        <w:rPr>
          <w:spacing w:val="-4"/>
          <w:vertAlign w:val="superscript"/>
          <w:rtl/>
          <w:lang w:val="en-US"/>
        </w:rPr>
        <w:t>)</w:t>
      </w:r>
      <w:r w:rsidR="00BD2E54" w:rsidRPr="00BD2E54">
        <w:rPr>
          <w:spacing w:val="-4"/>
          <w:rtl/>
          <w:lang w:val="en-US"/>
        </w:rPr>
        <w:t xml:space="preserve">، </w:t>
      </w:r>
      <w:r w:rsidRPr="00CF17BF">
        <w:rPr>
          <w:spacing w:val="-4"/>
          <w:rtl/>
          <w:lang w:val="en-US"/>
        </w:rPr>
        <w:t xml:space="preserve">ولدت في </w:t>
      </w:r>
      <w:r w:rsidRPr="006C4428">
        <w:rPr>
          <w:spacing w:val="-4"/>
          <w:rtl/>
          <w:lang w:val="en-US"/>
        </w:rPr>
        <w:t>25</w:t>
      </w:r>
      <w:r w:rsidRPr="00CF17BF">
        <w:rPr>
          <w:spacing w:val="-4"/>
          <w:rtl/>
          <w:lang w:val="en-US"/>
        </w:rPr>
        <w:t xml:space="preserve"> تموز/يوليه </w:t>
      </w:r>
      <w:r w:rsidRPr="006C4428">
        <w:rPr>
          <w:spacing w:val="-4"/>
          <w:rtl/>
          <w:lang w:val="en-US"/>
        </w:rPr>
        <w:t>1976</w:t>
      </w:r>
      <w:r w:rsidRPr="00CF17BF">
        <w:rPr>
          <w:spacing w:val="-4"/>
          <w:rtl/>
          <w:lang w:val="en-US"/>
        </w:rPr>
        <w:t>، وهي مواطنة أردنية. وتدعي أن رفض وزارة الداخلية</w:t>
      </w:r>
      <w:r w:rsidRPr="00CF274D">
        <w:rPr>
          <w:rtl/>
          <w:lang w:val="en-US"/>
        </w:rPr>
        <w:t xml:space="preserve"> طلبها الحصولَ على الجنسية الإيطالية يمثل انتهاك</w:t>
      </w:r>
      <w:r w:rsidR="00647AA7">
        <w:rPr>
          <w:rtl/>
          <w:lang w:val="en-US"/>
        </w:rPr>
        <w:t xml:space="preserve">اً </w:t>
      </w:r>
      <w:r w:rsidRPr="00CF274D">
        <w:rPr>
          <w:rtl/>
          <w:lang w:val="en-US"/>
        </w:rPr>
        <w:t xml:space="preserve">من جانب إيطاليا لحقوقها بموجب المادتين </w:t>
      </w:r>
      <w:r w:rsidRPr="006C4428">
        <w:rPr>
          <w:rtl/>
          <w:lang w:val="en-US"/>
        </w:rPr>
        <w:t>17</w:t>
      </w:r>
      <w:r w:rsidRPr="00CF274D">
        <w:rPr>
          <w:rtl/>
          <w:lang w:val="en-US"/>
        </w:rPr>
        <w:t xml:space="preserve"> و</w:t>
      </w:r>
      <w:r w:rsidRPr="006C4428">
        <w:rPr>
          <w:rtl/>
          <w:lang w:val="en-US"/>
        </w:rPr>
        <w:t>26</w:t>
      </w:r>
      <w:r w:rsidRPr="00CF274D">
        <w:rPr>
          <w:rtl/>
          <w:lang w:val="en-US"/>
        </w:rPr>
        <w:t xml:space="preserve"> من العهد. وقد صدقت إيطاليا على البروتوكول الاختياري الأول الملحق بالعهد، الذي دخل حيز النفاذ في</w:t>
      </w:r>
      <w:r w:rsidR="00CF17BF">
        <w:rPr>
          <w:rFonts w:hint="cs"/>
          <w:rtl/>
          <w:lang w:val="en-US"/>
        </w:rPr>
        <w:t> </w:t>
      </w:r>
      <w:r w:rsidRPr="006C4428">
        <w:rPr>
          <w:rtl/>
          <w:lang w:val="en-US"/>
        </w:rPr>
        <w:t>23</w:t>
      </w:r>
      <w:r w:rsidRPr="00CF274D">
        <w:rPr>
          <w:rtl/>
          <w:lang w:val="en-US"/>
        </w:rPr>
        <w:t xml:space="preserve"> آذار/مارس </w:t>
      </w:r>
      <w:r w:rsidRPr="006C4428">
        <w:rPr>
          <w:rtl/>
          <w:lang w:val="en-US"/>
        </w:rPr>
        <w:t>197</w:t>
      </w:r>
      <w:r w:rsidR="00BD2E54" w:rsidRPr="006C4428">
        <w:rPr>
          <w:rtl/>
          <w:lang w:val="en-US"/>
        </w:rPr>
        <w:t>6</w:t>
      </w:r>
      <w:r w:rsidR="00BD2E54" w:rsidRPr="00BD2E54">
        <w:rPr>
          <w:rtl/>
          <w:lang w:val="en-US"/>
        </w:rPr>
        <w:t xml:space="preserve">. </w:t>
      </w:r>
      <w:r w:rsidRPr="00CF274D">
        <w:rPr>
          <w:rtl/>
          <w:lang w:val="en-US"/>
        </w:rPr>
        <w:t>ويمثل محام (</w:t>
      </w:r>
      <w:proofErr w:type="spellStart"/>
      <w:r w:rsidRPr="00CF274D">
        <w:rPr>
          <w:rtl/>
          <w:lang w:val="en-US"/>
        </w:rPr>
        <w:t>دافيدي</w:t>
      </w:r>
      <w:proofErr w:type="spellEnd"/>
      <w:r w:rsidRPr="00CF274D">
        <w:rPr>
          <w:rtl/>
          <w:lang w:val="en-US"/>
        </w:rPr>
        <w:t xml:space="preserve"> </w:t>
      </w:r>
      <w:proofErr w:type="spellStart"/>
      <w:r w:rsidRPr="00CF274D">
        <w:rPr>
          <w:rtl/>
          <w:lang w:val="en-US"/>
        </w:rPr>
        <w:t>غاليمبرتي</w:t>
      </w:r>
      <w:proofErr w:type="spellEnd"/>
      <w:r w:rsidRPr="00CF274D">
        <w:rPr>
          <w:rtl/>
          <w:lang w:val="en-US"/>
        </w:rPr>
        <w:t xml:space="preserve">) صاحبة البلاغ. </w:t>
      </w:r>
    </w:p>
    <w:p w14:paraId="2001F796" w14:textId="405FB418" w:rsidR="00CF274D" w:rsidRPr="00CF274D" w:rsidRDefault="00CF274D" w:rsidP="00CF17BF">
      <w:pPr>
        <w:pStyle w:val="SingleTxtGA"/>
        <w:spacing w:line="350" w:lineRule="exact"/>
        <w:rPr>
          <w:lang w:val="en-US"/>
        </w:rPr>
      </w:pPr>
      <w:r w:rsidRPr="006C4428">
        <w:rPr>
          <w:rtl/>
          <w:lang w:val="en-US"/>
        </w:rPr>
        <w:t>1</w:t>
      </w:r>
      <w:r w:rsidRPr="00CF274D">
        <w:rPr>
          <w:rtl/>
          <w:lang w:val="en-US"/>
        </w:rPr>
        <w:t>-</w:t>
      </w:r>
      <w:r w:rsidRPr="006C4428">
        <w:rPr>
          <w:rtl/>
          <w:lang w:val="en-US"/>
        </w:rPr>
        <w:t>2</w:t>
      </w:r>
      <w:r w:rsidRPr="00CF274D">
        <w:rPr>
          <w:rtl/>
          <w:lang w:val="en-US"/>
        </w:rPr>
        <w:tab/>
        <w:t xml:space="preserve">وفي </w:t>
      </w:r>
      <w:r w:rsidRPr="006C4428">
        <w:rPr>
          <w:rtl/>
          <w:lang w:val="en-US"/>
        </w:rPr>
        <w:t>17</w:t>
      </w:r>
      <w:r w:rsidRPr="00CF274D">
        <w:rPr>
          <w:rtl/>
          <w:lang w:val="en-US"/>
        </w:rPr>
        <w:t xml:space="preserve"> كانون الأول/ديسمبر </w:t>
      </w:r>
      <w:r w:rsidRPr="006C4428">
        <w:rPr>
          <w:rtl/>
          <w:lang w:val="en-US"/>
        </w:rPr>
        <w:t>2020</w:t>
      </w:r>
      <w:r w:rsidRPr="00CF274D">
        <w:rPr>
          <w:rtl/>
          <w:lang w:val="en-US"/>
        </w:rPr>
        <w:t xml:space="preserve">، قررت اللجنة، عملاً بالمادة </w:t>
      </w:r>
      <w:r w:rsidRPr="006C4428">
        <w:rPr>
          <w:rtl/>
          <w:lang w:val="en-US"/>
        </w:rPr>
        <w:t>92</w:t>
      </w:r>
      <w:r w:rsidRPr="00CF274D">
        <w:rPr>
          <w:rtl/>
          <w:lang w:val="en-US"/>
        </w:rPr>
        <w:t>(</w:t>
      </w:r>
      <w:r w:rsidR="00BD2E54" w:rsidRPr="006C4428">
        <w:rPr>
          <w:rtl/>
          <w:lang w:val="en-US"/>
        </w:rPr>
        <w:t>7</w:t>
      </w:r>
      <w:r w:rsidR="00BD2E54" w:rsidRPr="00BD2E54">
        <w:rPr>
          <w:rtl/>
          <w:lang w:val="en-US"/>
        </w:rPr>
        <w:t xml:space="preserve">) </w:t>
      </w:r>
      <w:r w:rsidRPr="00CF274D">
        <w:rPr>
          <w:rtl/>
          <w:lang w:val="en-US"/>
        </w:rPr>
        <w:t xml:space="preserve">من نظامها الداخلي، </w:t>
      </w:r>
      <w:r w:rsidRPr="00CF17BF">
        <w:rPr>
          <w:spacing w:val="-4"/>
          <w:rtl/>
          <w:lang w:val="en-US"/>
        </w:rPr>
        <w:t>عن طريق مقررها الخاص المعني بالبلاغات الجديدة والتدابير المؤقتة، عدم قبول الجولة الإضافية من التعليقات</w:t>
      </w:r>
      <w:r w:rsidRPr="00CF274D">
        <w:rPr>
          <w:rtl/>
          <w:lang w:val="en-US"/>
        </w:rPr>
        <w:t xml:space="preserve"> التي قدمتها صاحبة البلاغ.</w:t>
      </w:r>
    </w:p>
    <w:p w14:paraId="0683FB8E" w14:textId="77777777" w:rsidR="00CF274D" w:rsidRPr="006C4428" w:rsidRDefault="00CF274D" w:rsidP="00CF274D">
      <w:pPr>
        <w:pStyle w:val="H23GA"/>
      </w:pPr>
      <w:r w:rsidRPr="006C4428">
        <w:rPr>
          <w:rtl/>
        </w:rPr>
        <w:tab/>
      </w:r>
      <w:r w:rsidRPr="006C4428">
        <w:rPr>
          <w:rtl/>
        </w:rPr>
        <w:tab/>
        <w:t>الوقائع كما عرضتها صاحبة البلاغ</w:t>
      </w:r>
    </w:p>
    <w:p w14:paraId="105623B2" w14:textId="20B341BF" w:rsidR="00CF274D" w:rsidRPr="00CF274D" w:rsidRDefault="00CF274D" w:rsidP="00CF17BF">
      <w:pPr>
        <w:pStyle w:val="SingleTxtGA"/>
        <w:spacing w:line="350" w:lineRule="exact"/>
        <w:rPr>
          <w:lang w:val="en-US"/>
        </w:rPr>
      </w:pPr>
      <w:r w:rsidRPr="006C4428">
        <w:rPr>
          <w:rtl/>
          <w:lang w:val="en-US"/>
        </w:rPr>
        <w:t>2</w:t>
      </w:r>
      <w:r w:rsidRPr="00CF274D">
        <w:rPr>
          <w:rtl/>
          <w:lang w:val="en-US"/>
        </w:rPr>
        <w:t>-</w:t>
      </w:r>
      <w:r w:rsidRPr="006C4428">
        <w:rPr>
          <w:rtl/>
          <w:lang w:val="en-US"/>
        </w:rPr>
        <w:t>1</w:t>
      </w:r>
      <w:r w:rsidRPr="00CF274D">
        <w:rPr>
          <w:rtl/>
          <w:lang w:val="en-US"/>
        </w:rPr>
        <w:tab/>
      </w:r>
      <w:r w:rsidRPr="00CF17BF">
        <w:rPr>
          <w:spacing w:val="-4"/>
          <w:rtl/>
          <w:lang w:val="en-US"/>
        </w:rPr>
        <w:t xml:space="preserve">تعيش صاحبة البلاغ في إيطاليا مع زوجها، ه. إ.، منذ عام </w:t>
      </w:r>
      <w:r w:rsidRPr="006C4428">
        <w:rPr>
          <w:spacing w:val="-4"/>
          <w:rtl/>
          <w:lang w:val="en-US"/>
        </w:rPr>
        <w:t>199</w:t>
      </w:r>
      <w:r w:rsidR="00BD2E54" w:rsidRPr="006C4428">
        <w:rPr>
          <w:spacing w:val="-4"/>
          <w:rtl/>
          <w:lang w:val="en-US"/>
        </w:rPr>
        <w:t>9</w:t>
      </w:r>
      <w:r w:rsidR="00BD2E54" w:rsidRPr="00BD2E54">
        <w:rPr>
          <w:spacing w:val="-4"/>
          <w:rtl/>
          <w:lang w:val="en-US"/>
        </w:rPr>
        <w:t xml:space="preserve">. </w:t>
      </w:r>
      <w:r w:rsidRPr="00CF17BF">
        <w:rPr>
          <w:spacing w:val="-4"/>
          <w:rtl/>
          <w:lang w:val="en-US"/>
        </w:rPr>
        <w:t>ويعيش طفلاهما، المولودان</w:t>
      </w:r>
      <w:r w:rsidRPr="00CF274D">
        <w:rPr>
          <w:rtl/>
          <w:lang w:val="en-US"/>
        </w:rPr>
        <w:t xml:space="preserve"> في عامي </w:t>
      </w:r>
      <w:r w:rsidRPr="006C4428">
        <w:rPr>
          <w:rtl/>
          <w:lang w:val="en-US"/>
        </w:rPr>
        <w:t>2001</w:t>
      </w:r>
      <w:r w:rsidRPr="00CF274D">
        <w:rPr>
          <w:rtl/>
          <w:lang w:val="en-US"/>
        </w:rPr>
        <w:t xml:space="preserve"> و</w:t>
      </w:r>
      <w:r w:rsidRPr="006C4428">
        <w:rPr>
          <w:rtl/>
          <w:lang w:val="en-US"/>
        </w:rPr>
        <w:t>2005</w:t>
      </w:r>
      <w:r w:rsidRPr="00CF274D">
        <w:rPr>
          <w:rtl/>
          <w:lang w:val="en-US"/>
        </w:rPr>
        <w:t xml:space="preserve">، ويدرسان في إيطاليا. وتدرّس صاحبة البلاغ حالياً في جامعة </w:t>
      </w:r>
      <w:proofErr w:type="spellStart"/>
      <w:r w:rsidRPr="00CF274D">
        <w:rPr>
          <w:rtl/>
          <w:lang w:val="en-US"/>
        </w:rPr>
        <w:t>كا</w:t>
      </w:r>
      <w:proofErr w:type="spellEnd"/>
      <w:r w:rsidRPr="00CF274D">
        <w:rPr>
          <w:rtl/>
          <w:lang w:val="en-US"/>
        </w:rPr>
        <w:t xml:space="preserve"> </w:t>
      </w:r>
      <w:proofErr w:type="spellStart"/>
      <w:r w:rsidRPr="00CF274D">
        <w:rPr>
          <w:rtl/>
          <w:lang w:val="en-US"/>
        </w:rPr>
        <w:t>فوسكاري</w:t>
      </w:r>
      <w:proofErr w:type="spellEnd"/>
      <w:r w:rsidRPr="00CF274D">
        <w:rPr>
          <w:rtl/>
          <w:lang w:val="en-US"/>
        </w:rPr>
        <w:t xml:space="preserve"> (</w:t>
      </w:r>
      <w:r w:rsidRPr="00CF274D">
        <w:rPr>
          <w:lang w:val="en-US"/>
        </w:rPr>
        <w:t>Ca’ Foscar</w:t>
      </w:r>
      <w:r w:rsidR="00BD2E54" w:rsidRPr="00BD2E54">
        <w:rPr>
          <w:lang w:val="en-US"/>
        </w:rPr>
        <w:t>i</w:t>
      </w:r>
      <w:r w:rsidR="00BD2E54" w:rsidRPr="00BD2E54">
        <w:rPr>
          <w:rtl/>
          <w:lang w:val="en-US"/>
        </w:rPr>
        <w:t xml:space="preserve">) </w:t>
      </w:r>
      <w:r w:rsidRPr="00CF274D">
        <w:rPr>
          <w:rtl/>
          <w:lang w:val="en-US"/>
        </w:rPr>
        <w:t>في البندقية وسبق أن درّست في ميلانو.</w:t>
      </w:r>
    </w:p>
    <w:p w14:paraId="53A4247A" w14:textId="036A0E21" w:rsidR="00CF274D" w:rsidRPr="00CF17BF" w:rsidRDefault="00CF274D" w:rsidP="00CF17BF">
      <w:pPr>
        <w:pStyle w:val="SingleTxtGA"/>
        <w:spacing w:line="350" w:lineRule="exact"/>
        <w:rPr>
          <w:spacing w:val="-4"/>
          <w:lang w:val="en-US"/>
        </w:rPr>
      </w:pPr>
      <w:r w:rsidRPr="006C4428">
        <w:rPr>
          <w:spacing w:val="-4"/>
          <w:rtl/>
          <w:lang w:val="en-US"/>
        </w:rPr>
        <w:t>2</w:t>
      </w:r>
      <w:r w:rsidRPr="00CF17BF">
        <w:rPr>
          <w:spacing w:val="-4"/>
          <w:rtl/>
          <w:lang w:val="en-US"/>
        </w:rPr>
        <w:t>-</w:t>
      </w:r>
      <w:r w:rsidRPr="006C4428">
        <w:rPr>
          <w:spacing w:val="-4"/>
          <w:rtl/>
          <w:lang w:val="en-US"/>
        </w:rPr>
        <w:t>2</w:t>
      </w:r>
      <w:r w:rsidRPr="00CF17BF">
        <w:rPr>
          <w:spacing w:val="-4"/>
          <w:rtl/>
          <w:lang w:val="en-US"/>
        </w:rPr>
        <w:tab/>
        <w:t>وقدمت صاحبة البلاغ طلب</w:t>
      </w:r>
      <w:r w:rsidR="00647AA7">
        <w:rPr>
          <w:spacing w:val="-4"/>
          <w:rtl/>
          <w:lang w:val="en-US"/>
        </w:rPr>
        <w:t xml:space="preserve">اً </w:t>
      </w:r>
      <w:r w:rsidRPr="00CF17BF">
        <w:rPr>
          <w:spacing w:val="-4"/>
          <w:rtl/>
          <w:lang w:val="en-US"/>
        </w:rPr>
        <w:t xml:space="preserve">للحصول على الجنسية الإيطالية في </w:t>
      </w:r>
      <w:r w:rsidRPr="006C4428">
        <w:rPr>
          <w:spacing w:val="-4"/>
          <w:rtl/>
          <w:lang w:val="en-US"/>
        </w:rPr>
        <w:t>7</w:t>
      </w:r>
      <w:r w:rsidRPr="00CF17BF">
        <w:rPr>
          <w:spacing w:val="-4"/>
          <w:rtl/>
          <w:lang w:val="en-US"/>
        </w:rPr>
        <w:t xml:space="preserve"> كانون الثاني/يناير </w:t>
      </w:r>
      <w:r w:rsidRPr="006C4428">
        <w:rPr>
          <w:spacing w:val="-4"/>
          <w:rtl/>
          <w:lang w:val="en-US"/>
        </w:rPr>
        <w:t>201</w:t>
      </w:r>
      <w:r w:rsidR="00BD2E54" w:rsidRPr="006C4428">
        <w:rPr>
          <w:spacing w:val="-4"/>
          <w:rtl/>
          <w:lang w:val="en-US"/>
        </w:rPr>
        <w:t>4</w:t>
      </w:r>
      <w:r w:rsidR="00BD2E54" w:rsidRPr="00BD2E54">
        <w:rPr>
          <w:spacing w:val="-4"/>
          <w:rtl/>
          <w:lang w:val="en-US"/>
        </w:rPr>
        <w:t xml:space="preserve">. </w:t>
      </w:r>
      <w:r w:rsidRPr="00CF17BF">
        <w:rPr>
          <w:spacing w:val="-4"/>
          <w:rtl/>
          <w:lang w:val="en-US"/>
        </w:rPr>
        <w:t>وتدفع</w:t>
      </w:r>
      <w:r w:rsidR="00647AA7">
        <w:rPr>
          <w:rFonts w:hint="cs"/>
          <w:spacing w:val="-4"/>
          <w:rtl/>
          <w:lang w:val="en-US"/>
        </w:rPr>
        <w:t> </w:t>
      </w:r>
      <w:r w:rsidRPr="00CF17BF">
        <w:rPr>
          <w:spacing w:val="-4"/>
          <w:rtl/>
          <w:lang w:val="en-US"/>
        </w:rPr>
        <w:t>بأنها فعلت ذلك أصالةً عن نفسها لأنها تستوفي الشروط المتعلقة بالاندماج الاجتماعي والاقتصادي، بما</w:t>
      </w:r>
      <w:r w:rsidR="00647AA7">
        <w:rPr>
          <w:rFonts w:hint="cs"/>
          <w:spacing w:val="-4"/>
          <w:rtl/>
          <w:lang w:val="en-US"/>
        </w:rPr>
        <w:t> </w:t>
      </w:r>
      <w:r w:rsidRPr="00CF17BF">
        <w:rPr>
          <w:spacing w:val="-4"/>
          <w:rtl/>
          <w:lang w:val="en-US"/>
        </w:rPr>
        <w:t xml:space="preserve">في ذلك الدخل الكافي، وعدم وجود إدانات جنائية، وفترة إقامة لا تقل عن عشر سنوات في إيطاليا دون انقطاع. وفي </w:t>
      </w:r>
      <w:r w:rsidRPr="006C4428">
        <w:rPr>
          <w:spacing w:val="-4"/>
          <w:rtl/>
          <w:lang w:val="en-US"/>
        </w:rPr>
        <w:t>26</w:t>
      </w:r>
      <w:r w:rsidRPr="00CF17BF">
        <w:rPr>
          <w:spacing w:val="-4"/>
          <w:rtl/>
          <w:lang w:val="en-US"/>
        </w:rPr>
        <w:t xml:space="preserve"> تشرين الأول/أكتوبر </w:t>
      </w:r>
      <w:r w:rsidRPr="006C4428">
        <w:rPr>
          <w:spacing w:val="-4"/>
          <w:rtl/>
          <w:lang w:val="en-US"/>
        </w:rPr>
        <w:t>2016</w:t>
      </w:r>
      <w:r w:rsidRPr="00CF17BF">
        <w:rPr>
          <w:spacing w:val="-4"/>
          <w:rtl/>
          <w:lang w:val="en-US"/>
        </w:rPr>
        <w:t xml:space="preserve">، تلقت رسالة من وزارة الداخلية مؤرخة </w:t>
      </w:r>
      <w:r w:rsidRPr="006C4428">
        <w:rPr>
          <w:spacing w:val="-4"/>
          <w:rtl/>
          <w:lang w:val="en-US"/>
        </w:rPr>
        <w:t>22</w:t>
      </w:r>
      <w:r w:rsidRPr="00CF17BF">
        <w:rPr>
          <w:spacing w:val="-4"/>
          <w:rtl/>
          <w:lang w:val="en-US"/>
        </w:rPr>
        <w:t xml:space="preserve"> أيلول/سبتمبر </w:t>
      </w:r>
      <w:r w:rsidRPr="006C4428">
        <w:rPr>
          <w:spacing w:val="-4"/>
          <w:rtl/>
          <w:lang w:val="en-US"/>
        </w:rPr>
        <w:t>2016</w:t>
      </w:r>
      <w:r w:rsidRPr="00CF17BF">
        <w:rPr>
          <w:spacing w:val="-4"/>
          <w:rtl/>
          <w:lang w:val="en-US"/>
        </w:rPr>
        <w:t xml:space="preserve"> تفيد بأن طلبها رفض لأن أنشطة زوجها لها "أغراض لا تتوافق مع أمن الجمهورية" ولأن استقرار زواجها بزوجها ومدته قد يسهلان إتيان سلوكٍ "خطير". ولم يُشر في سياق رفض طلبها إلى أي وقائع مرتبطة بصاحبة البلاغ شخصي</w:t>
      </w:r>
      <w:r w:rsidR="00647AA7">
        <w:rPr>
          <w:spacing w:val="-4"/>
          <w:rtl/>
          <w:lang w:val="en-US"/>
        </w:rPr>
        <w:t>اً.</w:t>
      </w:r>
      <w:r w:rsidRPr="00CF17BF">
        <w:rPr>
          <w:spacing w:val="-4"/>
          <w:rtl/>
          <w:lang w:val="en-US"/>
        </w:rPr>
        <w:t xml:space="preserve"> وتدفع بأنها لم تُستشر أو تُجرَ معها مقابلة في أي مرحلة من الإجراءات.</w:t>
      </w:r>
    </w:p>
    <w:p w14:paraId="5B183ABB" w14:textId="4D9990A3" w:rsidR="00CF274D" w:rsidRPr="00CF274D" w:rsidRDefault="00CF274D" w:rsidP="00CF17BF">
      <w:pPr>
        <w:pStyle w:val="SingleTxtGA"/>
        <w:spacing w:line="350" w:lineRule="exact"/>
        <w:rPr>
          <w:lang w:val="en-US"/>
        </w:rPr>
      </w:pPr>
      <w:r w:rsidRPr="006C4428">
        <w:rPr>
          <w:rtl/>
          <w:lang w:val="en-US"/>
        </w:rPr>
        <w:t>2</w:t>
      </w:r>
      <w:r w:rsidRPr="00CF274D">
        <w:rPr>
          <w:rtl/>
          <w:lang w:val="en-US"/>
        </w:rPr>
        <w:t>-</w:t>
      </w:r>
      <w:r w:rsidRPr="006C4428">
        <w:rPr>
          <w:rtl/>
          <w:lang w:val="en-US"/>
        </w:rPr>
        <w:t>3</w:t>
      </w:r>
      <w:r w:rsidRPr="00CF274D">
        <w:rPr>
          <w:rtl/>
          <w:lang w:val="en-US"/>
        </w:rPr>
        <w:tab/>
        <w:t xml:space="preserve">وفي </w:t>
      </w:r>
      <w:r w:rsidRPr="006C4428">
        <w:rPr>
          <w:rtl/>
          <w:lang w:val="en-US"/>
        </w:rPr>
        <w:t>30</w:t>
      </w:r>
      <w:r w:rsidRPr="00CF274D">
        <w:rPr>
          <w:rtl/>
          <w:lang w:val="en-US"/>
        </w:rPr>
        <w:t xml:space="preserve"> كانون الأول/ديسمبر </w:t>
      </w:r>
      <w:r w:rsidRPr="006C4428">
        <w:rPr>
          <w:rtl/>
          <w:lang w:val="en-US"/>
        </w:rPr>
        <w:t>2016</w:t>
      </w:r>
      <w:r w:rsidRPr="00CF274D">
        <w:rPr>
          <w:rtl/>
          <w:lang w:val="en-US"/>
        </w:rPr>
        <w:t xml:space="preserve">، استأنفت صاحبة البلاغ قرار الرفض الصادر عن وزارة الداخلية بشأن طلبها المقدم إلى المحكمة الإدارية الإقليمية في </w:t>
      </w:r>
      <w:proofErr w:type="spellStart"/>
      <w:r w:rsidRPr="00CF274D">
        <w:rPr>
          <w:rtl/>
          <w:lang w:val="en-US"/>
        </w:rPr>
        <w:t>لازيو</w:t>
      </w:r>
      <w:proofErr w:type="spellEnd"/>
      <w:r w:rsidR="001C116C">
        <w:rPr>
          <w:rFonts w:hint="cs"/>
          <w:rtl/>
          <w:lang w:val="en-US"/>
        </w:rPr>
        <w:t xml:space="preserve"> </w:t>
      </w:r>
      <w:r w:rsidRPr="00CF274D">
        <w:rPr>
          <w:rtl/>
          <w:lang w:val="en-US"/>
        </w:rPr>
        <w:t>-</w:t>
      </w:r>
      <w:r w:rsidR="001C116C">
        <w:rPr>
          <w:rFonts w:hint="cs"/>
          <w:rtl/>
          <w:lang w:val="en-US"/>
        </w:rPr>
        <w:t xml:space="preserve"> </w:t>
      </w:r>
      <w:r w:rsidRPr="00CF274D">
        <w:rPr>
          <w:rtl/>
          <w:lang w:val="en-US"/>
        </w:rPr>
        <w:t>روما، مدّعية أن رفض طلبها على أساس ظروف زوجها تعسفي وتمييزي. وتدعي أنها لم تتلق رد</w:t>
      </w:r>
      <w:r w:rsidR="00647AA7">
        <w:rPr>
          <w:rtl/>
          <w:lang w:val="en-US"/>
        </w:rPr>
        <w:t xml:space="preserve">اً </w:t>
      </w:r>
      <w:r w:rsidRPr="00CF274D">
        <w:rPr>
          <w:rtl/>
          <w:lang w:val="en-US"/>
        </w:rPr>
        <w:t>أو قرار</w:t>
      </w:r>
      <w:r w:rsidR="00647AA7">
        <w:rPr>
          <w:rtl/>
          <w:lang w:val="en-US"/>
        </w:rPr>
        <w:t xml:space="preserve">اً </w:t>
      </w:r>
      <w:r w:rsidRPr="00CF274D">
        <w:rPr>
          <w:rtl/>
          <w:lang w:val="en-US"/>
        </w:rPr>
        <w:t>بشأن استئنافها.</w:t>
      </w:r>
    </w:p>
    <w:p w14:paraId="4B91ECAD" w14:textId="7A90F432" w:rsidR="00CF274D" w:rsidRPr="00CF274D" w:rsidRDefault="00CF274D" w:rsidP="00CF17BF">
      <w:pPr>
        <w:pStyle w:val="SingleTxtGA"/>
        <w:spacing w:line="350" w:lineRule="exact"/>
        <w:rPr>
          <w:lang w:val="en-US"/>
        </w:rPr>
      </w:pPr>
      <w:r w:rsidRPr="006C4428">
        <w:rPr>
          <w:rtl/>
          <w:lang w:val="en-US"/>
        </w:rPr>
        <w:t>2</w:t>
      </w:r>
      <w:r w:rsidRPr="00CF274D">
        <w:rPr>
          <w:rtl/>
          <w:lang w:val="en-US"/>
        </w:rPr>
        <w:t>-</w:t>
      </w:r>
      <w:r w:rsidRPr="006C4428">
        <w:rPr>
          <w:rtl/>
          <w:lang w:val="en-US"/>
        </w:rPr>
        <w:t>4</w:t>
      </w:r>
      <w:r w:rsidRPr="00CF274D">
        <w:rPr>
          <w:rtl/>
          <w:lang w:val="en-US"/>
        </w:rPr>
        <w:tab/>
        <w:t xml:space="preserve">وفي </w:t>
      </w:r>
      <w:r w:rsidRPr="006C4428">
        <w:rPr>
          <w:rtl/>
          <w:lang w:val="en-US"/>
        </w:rPr>
        <w:t>12</w:t>
      </w:r>
      <w:r w:rsidRPr="00CF274D">
        <w:rPr>
          <w:rtl/>
          <w:lang w:val="en-US"/>
        </w:rPr>
        <w:t xml:space="preserve"> كانون الثاني/يناير </w:t>
      </w:r>
      <w:r w:rsidRPr="006C4428">
        <w:rPr>
          <w:rtl/>
          <w:lang w:val="en-US"/>
        </w:rPr>
        <w:t>2018</w:t>
      </w:r>
      <w:r w:rsidRPr="00CF274D">
        <w:rPr>
          <w:rtl/>
          <w:lang w:val="en-US"/>
        </w:rPr>
        <w:t>، بعثت صاحبة البلاغ برسالة إلى المحكمة الإدارية الإقليمية دعم</w:t>
      </w:r>
      <w:r w:rsidR="00647AA7">
        <w:rPr>
          <w:rtl/>
          <w:lang w:val="en-US"/>
        </w:rPr>
        <w:t xml:space="preserve">اً </w:t>
      </w:r>
      <w:r w:rsidRPr="00CF274D">
        <w:rPr>
          <w:rtl/>
          <w:lang w:val="en-US"/>
        </w:rPr>
        <w:t xml:space="preserve">لاستئنافها ذكرت فيها أن الرفض تعسفي وتمييزي. وجادلت في الرسالة بالقول إن وزارة الداخلية حكمت عليها بسبب أنشطة زوجها ورفضت طلبها لأنها متزوجة. وفي </w:t>
      </w:r>
      <w:r w:rsidRPr="006C4428">
        <w:rPr>
          <w:rtl/>
          <w:lang w:val="en-US"/>
        </w:rPr>
        <w:t>22</w:t>
      </w:r>
      <w:r w:rsidRPr="00CF274D">
        <w:rPr>
          <w:rtl/>
          <w:lang w:val="en-US"/>
        </w:rPr>
        <w:t xml:space="preserve"> تشرين الأول/أكتوبر </w:t>
      </w:r>
      <w:r w:rsidRPr="006C4428">
        <w:rPr>
          <w:rtl/>
          <w:lang w:val="en-US"/>
        </w:rPr>
        <w:t>2018</w:t>
      </w:r>
      <w:r w:rsidRPr="00CF274D">
        <w:rPr>
          <w:rtl/>
          <w:lang w:val="en-US"/>
        </w:rPr>
        <w:t xml:space="preserve">، بعثت صاحبة البلاغ رسالة أخرى إلى المحكمة الإدارية كررت فيها الحجج نفسها. </w:t>
      </w:r>
    </w:p>
    <w:p w14:paraId="38319366" w14:textId="2EDB4B28" w:rsidR="00CF274D" w:rsidRPr="00CF274D" w:rsidRDefault="00CF274D" w:rsidP="00CF17BF">
      <w:pPr>
        <w:pStyle w:val="SingleTxtGA"/>
        <w:spacing w:line="350" w:lineRule="exact"/>
        <w:rPr>
          <w:lang w:val="en-US"/>
        </w:rPr>
      </w:pPr>
      <w:r w:rsidRPr="006C4428">
        <w:rPr>
          <w:rtl/>
          <w:lang w:val="en-US"/>
        </w:rPr>
        <w:t>2</w:t>
      </w:r>
      <w:r w:rsidRPr="00CF274D">
        <w:rPr>
          <w:rtl/>
          <w:lang w:val="en-US"/>
        </w:rPr>
        <w:t>-</w:t>
      </w:r>
      <w:r w:rsidRPr="006C4428">
        <w:rPr>
          <w:rtl/>
          <w:lang w:val="en-US"/>
        </w:rPr>
        <w:t>5</w:t>
      </w:r>
      <w:r w:rsidRPr="00CF274D">
        <w:rPr>
          <w:rtl/>
          <w:lang w:val="en-US"/>
        </w:rPr>
        <w:tab/>
        <w:t xml:space="preserve">وتشير صاحبة البلاغ إلى أن هناك إجراءات من مرحلتين لاستئناف قرار الوزارة، الأولى لدى </w:t>
      </w:r>
      <w:r w:rsidRPr="00CF17BF">
        <w:rPr>
          <w:spacing w:val="-4"/>
          <w:rtl/>
          <w:lang w:val="en-US"/>
        </w:rPr>
        <w:t>المحكمة الإدارية الإقليمية والثانية لدى مجلس الدولة، وأن الاستئناف قد يدوم أربع سنوات للانتقال إلى الخطوة التالية من الإجراء. لذلك، فإذا لم يُكلَّل استئنافها أمام المحكمة الإدارية بالنجاح، فسينقضي ما مجموعه ثماني سنوات بين قرار الوزارة الأولي وقرار مجلس الدولة النهائي، الأمر الذي يعني أنها قد لا تحصل على قرار نهائي</w:t>
      </w:r>
      <w:r w:rsidRPr="00CF274D">
        <w:rPr>
          <w:rtl/>
          <w:lang w:val="en-US"/>
        </w:rPr>
        <w:t xml:space="preserve"> حتى عام </w:t>
      </w:r>
      <w:r w:rsidRPr="006C4428">
        <w:rPr>
          <w:rtl/>
          <w:lang w:val="en-US"/>
        </w:rPr>
        <w:t>202</w:t>
      </w:r>
      <w:r w:rsidR="00BD2E54" w:rsidRPr="006C4428">
        <w:rPr>
          <w:rtl/>
          <w:lang w:val="en-US"/>
        </w:rPr>
        <w:t>4</w:t>
      </w:r>
      <w:r w:rsidR="00BD2E54" w:rsidRPr="00BD2E54">
        <w:rPr>
          <w:rtl/>
          <w:lang w:val="en-US"/>
        </w:rPr>
        <w:t xml:space="preserve">. </w:t>
      </w:r>
    </w:p>
    <w:p w14:paraId="60F06EC5" w14:textId="06A4EF5B" w:rsidR="00CF274D" w:rsidRPr="00CF274D" w:rsidRDefault="00CF274D" w:rsidP="00CF17BF">
      <w:pPr>
        <w:pStyle w:val="SingleTxtGA"/>
        <w:spacing w:line="350" w:lineRule="exact"/>
        <w:rPr>
          <w:lang w:val="en-US"/>
        </w:rPr>
      </w:pPr>
      <w:r w:rsidRPr="006C4428">
        <w:rPr>
          <w:rtl/>
          <w:lang w:val="en-US"/>
        </w:rPr>
        <w:t>2</w:t>
      </w:r>
      <w:r w:rsidRPr="00CF274D">
        <w:rPr>
          <w:rtl/>
          <w:lang w:val="en-US"/>
        </w:rPr>
        <w:t>-</w:t>
      </w:r>
      <w:r w:rsidRPr="006C4428">
        <w:rPr>
          <w:rtl/>
          <w:lang w:val="en-US"/>
        </w:rPr>
        <w:t>6</w:t>
      </w:r>
      <w:r w:rsidRPr="00CF274D">
        <w:rPr>
          <w:rtl/>
          <w:lang w:val="en-US"/>
        </w:rPr>
        <w:tab/>
        <w:t xml:space="preserve">وكانت صاحبة البلاغ قد قدمت طلبها للحصول على الجنسية الإيطالية في </w:t>
      </w:r>
      <w:r w:rsidRPr="006C4428">
        <w:rPr>
          <w:rtl/>
          <w:lang w:val="en-US"/>
        </w:rPr>
        <w:t>7</w:t>
      </w:r>
      <w:r w:rsidRPr="00CF274D">
        <w:rPr>
          <w:rtl/>
          <w:lang w:val="en-US"/>
        </w:rPr>
        <w:t xml:space="preserve"> كانون الثاني/</w:t>
      </w:r>
      <w:r w:rsidR="00CF17BF">
        <w:rPr>
          <w:rFonts w:hint="cs"/>
          <w:rtl/>
          <w:lang w:val="en-US"/>
        </w:rPr>
        <w:t xml:space="preserve"> </w:t>
      </w:r>
      <w:r w:rsidRPr="00CF274D">
        <w:rPr>
          <w:rtl/>
          <w:lang w:val="en-US"/>
        </w:rPr>
        <w:t xml:space="preserve">يناير </w:t>
      </w:r>
      <w:r w:rsidRPr="006C4428">
        <w:rPr>
          <w:rtl/>
          <w:lang w:val="en-US"/>
        </w:rPr>
        <w:t>2014</w:t>
      </w:r>
      <w:r w:rsidRPr="00CF274D">
        <w:rPr>
          <w:rtl/>
          <w:lang w:val="en-US"/>
        </w:rPr>
        <w:t xml:space="preserve"> وظلت تنتظر من المحكمة الإدارية الإقليمية أن تبت في استئنافها منذ </w:t>
      </w:r>
      <w:r w:rsidRPr="006C4428">
        <w:rPr>
          <w:rtl/>
          <w:lang w:val="en-US"/>
        </w:rPr>
        <w:t>30</w:t>
      </w:r>
      <w:r w:rsidRPr="00CF274D">
        <w:rPr>
          <w:rtl/>
          <w:lang w:val="en-US"/>
        </w:rPr>
        <w:t xml:space="preserve"> كانون الأول/</w:t>
      </w:r>
      <w:r w:rsidR="00CF17BF">
        <w:rPr>
          <w:rFonts w:hint="cs"/>
          <w:rtl/>
          <w:lang w:val="en-US"/>
        </w:rPr>
        <w:t xml:space="preserve"> </w:t>
      </w:r>
      <w:r w:rsidRPr="00CF17BF">
        <w:rPr>
          <w:spacing w:val="-4"/>
          <w:rtl/>
          <w:lang w:val="en-US"/>
        </w:rPr>
        <w:t xml:space="preserve">ديسمبر </w:t>
      </w:r>
      <w:r w:rsidRPr="006C4428">
        <w:rPr>
          <w:spacing w:val="-4"/>
          <w:rtl/>
          <w:lang w:val="en-US"/>
        </w:rPr>
        <w:t>201</w:t>
      </w:r>
      <w:r w:rsidR="00BD2E54" w:rsidRPr="006C4428">
        <w:rPr>
          <w:spacing w:val="-4"/>
          <w:rtl/>
          <w:lang w:val="en-US"/>
        </w:rPr>
        <w:t>6</w:t>
      </w:r>
      <w:r w:rsidR="00BD2E54" w:rsidRPr="00BD2E54">
        <w:rPr>
          <w:spacing w:val="-4"/>
          <w:rtl/>
          <w:lang w:val="en-US"/>
        </w:rPr>
        <w:t xml:space="preserve">. </w:t>
      </w:r>
      <w:r w:rsidRPr="00CF17BF">
        <w:rPr>
          <w:spacing w:val="-4"/>
          <w:rtl/>
          <w:lang w:val="en-US"/>
        </w:rPr>
        <w:t>وتدعي أن هذا التأخير "</w:t>
      </w:r>
      <w:r w:rsidR="00BD2E54" w:rsidRPr="00BD2E54">
        <w:rPr>
          <w:spacing w:val="-4"/>
          <w:rtl/>
          <w:lang w:val="en-US"/>
        </w:rPr>
        <w:t>[..</w:t>
      </w:r>
      <w:r w:rsidRPr="00CF17BF">
        <w:rPr>
          <w:spacing w:val="-4"/>
          <w:rtl/>
          <w:lang w:val="en-US"/>
        </w:rPr>
        <w:t>.]</w:t>
      </w:r>
      <w:r w:rsidR="00D04D4C">
        <w:rPr>
          <w:rFonts w:hint="cs"/>
          <w:spacing w:val="-4"/>
          <w:rtl/>
          <w:lang w:val="en-US"/>
        </w:rPr>
        <w:t xml:space="preserve"> </w:t>
      </w:r>
      <w:r w:rsidRPr="00CF17BF">
        <w:rPr>
          <w:spacing w:val="-4"/>
          <w:rtl/>
          <w:lang w:val="en-US"/>
        </w:rPr>
        <w:t xml:space="preserve">تجاوز الحدود المعقولة"، بالمعنى المقصود في المادة </w:t>
      </w:r>
      <w:r w:rsidRPr="006C4428">
        <w:rPr>
          <w:spacing w:val="-4"/>
          <w:rtl/>
          <w:lang w:val="en-US"/>
        </w:rPr>
        <w:t>5</w:t>
      </w:r>
      <w:r w:rsidRPr="00CF17BF">
        <w:rPr>
          <w:spacing w:val="-4"/>
          <w:rtl/>
          <w:lang w:val="en-US"/>
        </w:rPr>
        <w:t>(</w:t>
      </w:r>
      <w:r w:rsidRPr="006C4428">
        <w:rPr>
          <w:spacing w:val="-4"/>
          <w:rtl/>
          <w:lang w:val="en-US"/>
        </w:rPr>
        <w:t>2</w:t>
      </w:r>
      <w:r w:rsidRPr="00CF17BF">
        <w:rPr>
          <w:spacing w:val="-4"/>
          <w:rtl/>
          <w:lang w:val="en-US"/>
        </w:rPr>
        <w:t>)(ب)</w:t>
      </w:r>
      <w:r w:rsidRPr="00CF274D">
        <w:rPr>
          <w:rtl/>
          <w:lang w:val="en-US"/>
        </w:rPr>
        <w:t xml:space="preserve"> من البروتوكول الاختياري وأنه لا توجد سبل انتصاف محلية فعالة أخرى متاحة.</w:t>
      </w:r>
    </w:p>
    <w:p w14:paraId="02D656AF" w14:textId="77777777" w:rsidR="00CF274D" w:rsidRPr="00CF274D" w:rsidRDefault="00CF274D" w:rsidP="00CF274D">
      <w:pPr>
        <w:pStyle w:val="SingleTxtGA"/>
        <w:rPr>
          <w:lang w:val="en-US"/>
        </w:rPr>
      </w:pPr>
      <w:r w:rsidRPr="006C4428">
        <w:rPr>
          <w:rtl/>
          <w:lang w:val="en-US"/>
        </w:rPr>
        <w:lastRenderedPageBreak/>
        <w:t>2</w:t>
      </w:r>
      <w:r w:rsidRPr="00CF274D">
        <w:rPr>
          <w:rtl/>
          <w:lang w:val="en-US"/>
        </w:rPr>
        <w:t>-</w:t>
      </w:r>
      <w:r w:rsidRPr="006C4428">
        <w:rPr>
          <w:rtl/>
          <w:lang w:val="en-US"/>
        </w:rPr>
        <w:t>7</w:t>
      </w:r>
      <w:r w:rsidRPr="00CF274D">
        <w:rPr>
          <w:rtl/>
          <w:lang w:val="en-US"/>
        </w:rPr>
        <w:tab/>
        <w:t xml:space="preserve">وتدعي صاحبة البلاغ أن المسألة نفسها لم تُبحث وليست قيد البحث في إطار إجراء آخر من إجراءات التحقيق الدولي أو التسوية الدولية. </w:t>
      </w:r>
    </w:p>
    <w:p w14:paraId="73C82640" w14:textId="77777777" w:rsidR="00CF274D" w:rsidRPr="006C4428" w:rsidRDefault="00CF274D" w:rsidP="00CF274D">
      <w:pPr>
        <w:pStyle w:val="H23GA"/>
      </w:pPr>
      <w:r w:rsidRPr="006C4428">
        <w:rPr>
          <w:rtl/>
        </w:rPr>
        <w:tab/>
      </w:r>
      <w:r w:rsidRPr="006C4428">
        <w:rPr>
          <w:rtl/>
        </w:rPr>
        <w:tab/>
        <w:t>الشكوى</w:t>
      </w:r>
    </w:p>
    <w:p w14:paraId="60706BAC" w14:textId="77777777" w:rsidR="00CF274D" w:rsidRPr="00CF274D" w:rsidRDefault="00CF274D" w:rsidP="00CF274D">
      <w:pPr>
        <w:pStyle w:val="SingleTxtGA"/>
        <w:rPr>
          <w:lang w:val="en-US"/>
        </w:rPr>
      </w:pPr>
      <w:r w:rsidRPr="006C4428">
        <w:rPr>
          <w:rtl/>
          <w:lang w:val="en-US"/>
        </w:rPr>
        <w:t>3</w:t>
      </w:r>
      <w:r w:rsidRPr="00CF274D">
        <w:rPr>
          <w:rtl/>
          <w:lang w:val="en-US"/>
        </w:rPr>
        <w:t>-</w:t>
      </w:r>
      <w:r w:rsidRPr="006C4428">
        <w:rPr>
          <w:rtl/>
          <w:lang w:val="en-US"/>
        </w:rPr>
        <w:t>1</w:t>
      </w:r>
      <w:r w:rsidRPr="00CF274D">
        <w:rPr>
          <w:rtl/>
          <w:lang w:val="en-US"/>
        </w:rPr>
        <w:tab/>
        <w:t xml:space="preserve">تدعي صاحبة البلاغ أن رفض طلبها الحصولَ على الجنسية الإيطالية يتعارض مع الحق في </w:t>
      </w:r>
      <w:r w:rsidRPr="00CF17BF">
        <w:rPr>
          <w:spacing w:val="-4"/>
          <w:rtl/>
          <w:lang w:val="en-US"/>
        </w:rPr>
        <w:t xml:space="preserve">عدم التعرض لتدخل تعسفي أو غير قانوني في الحياة </w:t>
      </w:r>
      <w:proofErr w:type="gramStart"/>
      <w:r w:rsidRPr="00CF17BF">
        <w:rPr>
          <w:spacing w:val="-4"/>
          <w:rtl/>
          <w:lang w:val="en-US"/>
        </w:rPr>
        <w:t>الخاصة</w:t>
      </w:r>
      <w:proofErr w:type="gramEnd"/>
      <w:r w:rsidRPr="00CF17BF">
        <w:rPr>
          <w:spacing w:val="-4"/>
          <w:rtl/>
          <w:lang w:val="en-US"/>
        </w:rPr>
        <w:t xml:space="preserve"> أو الأسرة أو البيت أو المراسلات، ولا للاعتداء</w:t>
      </w:r>
      <w:r w:rsidRPr="00CF274D">
        <w:rPr>
          <w:rtl/>
          <w:lang w:val="en-US"/>
        </w:rPr>
        <w:t xml:space="preserve"> غير المشروع على الشرف والسمعة بمقتضى المادة </w:t>
      </w:r>
      <w:r w:rsidRPr="006C4428">
        <w:rPr>
          <w:rtl/>
          <w:lang w:val="en-US"/>
        </w:rPr>
        <w:t>17</w:t>
      </w:r>
      <w:r w:rsidRPr="00CF274D">
        <w:rPr>
          <w:rtl/>
          <w:lang w:val="en-US"/>
        </w:rPr>
        <w:t xml:space="preserve"> من العهد.</w:t>
      </w:r>
    </w:p>
    <w:p w14:paraId="53DF9128" w14:textId="39273B1B" w:rsidR="00CF274D" w:rsidRPr="00CF274D" w:rsidRDefault="00CF274D" w:rsidP="00CF274D">
      <w:pPr>
        <w:pStyle w:val="SingleTxtGA"/>
        <w:rPr>
          <w:lang w:val="en-US"/>
        </w:rPr>
      </w:pPr>
      <w:r w:rsidRPr="006C4428">
        <w:rPr>
          <w:rtl/>
          <w:lang w:val="en-US"/>
        </w:rPr>
        <w:t>3</w:t>
      </w:r>
      <w:r w:rsidRPr="00CF274D">
        <w:rPr>
          <w:rtl/>
          <w:lang w:val="en-US"/>
        </w:rPr>
        <w:t>-</w:t>
      </w:r>
      <w:r w:rsidRPr="006C4428">
        <w:rPr>
          <w:rtl/>
          <w:lang w:val="en-US"/>
        </w:rPr>
        <w:t>2</w:t>
      </w:r>
      <w:r w:rsidRPr="00CF274D">
        <w:rPr>
          <w:rtl/>
          <w:lang w:val="en-US"/>
        </w:rPr>
        <w:tab/>
        <w:t>وتدعي صاحبة البلاغ، إضافة إلى ذلك، أن حرمانها من الجنسية الإيطالية استناد</w:t>
      </w:r>
      <w:r w:rsidR="00647AA7">
        <w:rPr>
          <w:rtl/>
          <w:lang w:val="en-US"/>
        </w:rPr>
        <w:t xml:space="preserve">اً </w:t>
      </w:r>
      <w:r w:rsidRPr="00CF274D">
        <w:rPr>
          <w:rtl/>
          <w:lang w:val="en-US"/>
        </w:rPr>
        <w:t>إلى وقائع لا</w:t>
      </w:r>
      <w:r w:rsidR="00CF17BF">
        <w:rPr>
          <w:rFonts w:hint="cs"/>
          <w:rtl/>
          <w:lang w:val="en-US"/>
        </w:rPr>
        <w:t> </w:t>
      </w:r>
      <w:r w:rsidRPr="00CF274D">
        <w:rPr>
          <w:rtl/>
          <w:lang w:val="en-US"/>
        </w:rPr>
        <w:t xml:space="preserve">تتعلق بها، بل بزوجها يبلغ حد التمييز الجنساني وتنتهك معه إيطاليا المادة </w:t>
      </w:r>
      <w:r w:rsidRPr="006C4428">
        <w:rPr>
          <w:rtl/>
          <w:lang w:val="en-US"/>
        </w:rPr>
        <w:t>26</w:t>
      </w:r>
      <w:r w:rsidRPr="00CF274D">
        <w:rPr>
          <w:rtl/>
          <w:lang w:val="en-US"/>
        </w:rPr>
        <w:t xml:space="preserve"> من العهد. وتدفع بأن مبدأ المساواة الوارد في المادة </w:t>
      </w:r>
      <w:r w:rsidRPr="006C4428">
        <w:rPr>
          <w:rtl/>
          <w:lang w:val="en-US"/>
        </w:rPr>
        <w:t>26</w:t>
      </w:r>
      <w:r w:rsidRPr="00CF274D">
        <w:rPr>
          <w:rtl/>
          <w:lang w:val="en-US"/>
        </w:rPr>
        <w:t xml:space="preserve"> لا يجيز لدولة طرف حرمانها من الجنسية، بالاستناد حصراً إلى وضعها العائلي وسيرة زوجها. وتجادل صاحبة البلاغ بأنه لو لم تكن متزوجة من زوجها، لكانت الوزارة منحتها الجنسية الإيطالية لأنها تستوفي جميع المتطلبات الأخرى.</w:t>
      </w:r>
    </w:p>
    <w:p w14:paraId="42D0860B" w14:textId="71B62245" w:rsidR="00CF274D" w:rsidRPr="00CF274D" w:rsidRDefault="00CF274D" w:rsidP="00CF274D">
      <w:pPr>
        <w:pStyle w:val="SingleTxtGA"/>
        <w:rPr>
          <w:lang w:val="en-US"/>
        </w:rPr>
      </w:pPr>
      <w:r w:rsidRPr="006C4428">
        <w:rPr>
          <w:rtl/>
          <w:lang w:val="en-US"/>
        </w:rPr>
        <w:t>3</w:t>
      </w:r>
      <w:r w:rsidRPr="00CF274D">
        <w:rPr>
          <w:rtl/>
          <w:lang w:val="en-US"/>
        </w:rPr>
        <w:t>-</w:t>
      </w:r>
      <w:r w:rsidRPr="006C4428">
        <w:rPr>
          <w:rtl/>
          <w:lang w:val="en-US"/>
        </w:rPr>
        <w:t>3</w:t>
      </w:r>
      <w:r w:rsidRPr="00CF274D">
        <w:rPr>
          <w:rtl/>
          <w:lang w:val="en-US"/>
        </w:rPr>
        <w:tab/>
        <w:t>وتشكو صاحبة البلاغ أيض</w:t>
      </w:r>
      <w:r w:rsidR="00647AA7">
        <w:rPr>
          <w:rtl/>
          <w:lang w:val="en-US"/>
        </w:rPr>
        <w:t xml:space="preserve">اً </w:t>
      </w:r>
      <w:r w:rsidRPr="00CF274D">
        <w:rPr>
          <w:rtl/>
          <w:lang w:val="en-US"/>
        </w:rPr>
        <w:t>من مدة إجراءات الاستئناف، مدّعية حدوث تأخيرات لا مبرر لها تمثل انتهاك</w:t>
      </w:r>
      <w:r w:rsidR="00647AA7">
        <w:rPr>
          <w:rtl/>
          <w:lang w:val="en-US"/>
        </w:rPr>
        <w:t xml:space="preserve">اً </w:t>
      </w:r>
      <w:r w:rsidRPr="00CF274D">
        <w:rPr>
          <w:rtl/>
          <w:lang w:val="en-US"/>
        </w:rPr>
        <w:t xml:space="preserve">للمادة </w:t>
      </w:r>
      <w:r w:rsidRPr="006C4428">
        <w:rPr>
          <w:rtl/>
          <w:lang w:val="en-US"/>
        </w:rPr>
        <w:t>26</w:t>
      </w:r>
      <w:r w:rsidRPr="00CF274D">
        <w:rPr>
          <w:rtl/>
          <w:lang w:val="en-US"/>
        </w:rPr>
        <w:t xml:space="preserve"> من العهد. </w:t>
      </w:r>
    </w:p>
    <w:p w14:paraId="54B33E05" w14:textId="77777777" w:rsidR="00CF274D" w:rsidRPr="006C4428" w:rsidRDefault="00CF274D" w:rsidP="00CF274D">
      <w:pPr>
        <w:pStyle w:val="H23GA"/>
      </w:pPr>
      <w:r w:rsidRPr="006C4428">
        <w:rPr>
          <w:rtl/>
        </w:rPr>
        <w:tab/>
      </w:r>
      <w:r w:rsidRPr="006C4428">
        <w:rPr>
          <w:rtl/>
        </w:rPr>
        <w:tab/>
        <w:t>ملاحظات الدولة الطرف بشأن المقبولية والأسس الموضوعية</w:t>
      </w:r>
    </w:p>
    <w:p w14:paraId="7B5F207A" w14:textId="00F21ADB" w:rsidR="00CF274D" w:rsidRPr="00CF274D" w:rsidRDefault="00CF274D" w:rsidP="00CF274D">
      <w:pPr>
        <w:pStyle w:val="SingleTxtGA"/>
        <w:rPr>
          <w:lang w:val="en-US"/>
        </w:rPr>
      </w:pPr>
      <w:r w:rsidRPr="006C4428">
        <w:rPr>
          <w:rtl/>
          <w:lang w:val="en-US"/>
        </w:rPr>
        <w:t>4</w:t>
      </w:r>
      <w:r w:rsidRPr="00CF274D">
        <w:rPr>
          <w:rtl/>
          <w:lang w:val="en-US"/>
        </w:rPr>
        <w:t>-</w:t>
      </w:r>
      <w:r w:rsidRPr="006C4428">
        <w:rPr>
          <w:rtl/>
          <w:lang w:val="en-US"/>
        </w:rPr>
        <w:t>1</w:t>
      </w:r>
      <w:r w:rsidRPr="00CF274D">
        <w:rPr>
          <w:rtl/>
          <w:lang w:val="en-US"/>
        </w:rPr>
        <w:tab/>
        <w:t xml:space="preserve">في </w:t>
      </w:r>
      <w:r w:rsidRPr="006C4428">
        <w:rPr>
          <w:rtl/>
          <w:lang w:val="en-US"/>
        </w:rPr>
        <w:t>9</w:t>
      </w:r>
      <w:r w:rsidRPr="00CF274D">
        <w:rPr>
          <w:rtl/>
          <w:lang w:val="en-US"/>
        </w:rPr>
        <w:t xml:space="preserve"> تشرين الأول/أكتوبر </w:t>
      </w:r>
      <w:r w:rsidRPr="006C4428">
        <w:rPr>
          <w:rtl/>
          <w:lang w:val="en-US"/>
        </w:rPr>
        <w:t>2019</w:t>
      </w:r>
      <w:r w:rsidRPr="00CF274D">
        <w:rPr>
          <w:rtl/>
          <w:lang w:val="en-US"/>
        </w:rPr>
        <w:t>، قدمت الدولة الطرف ملاحظاتها بشأن مقبولية البلاغ وأسسه</w:t>
      </w:r>
      <w:r w:rsidR="00CF17BF">
        <w:rPr>
          <w:rFonts w:hint="cs"/>
          <w:rtl/>
          <w:lang w:val="en-US"/>
        </w:rPr>
        <w:t> </w:t>
      </w:r>
      <w:r w:rsidRPr="00CF274D">
        <w:rPr>
          <w:rtl/>
          <w:lang w:val="en-US"/>
        </w:rPr>
        <w:t xml:space="preserve">الموضوعية، مذكّرة بإطار إيطاليا الدستوري، بما في ذلك احترام سيادة القانون وحقوق الإنسان والحريات الأساسية. </w:t>
      </w:r>
    </w:p>
    <w:p w14:paraId="72CE6B00" w14:textId="56AAAD73" w:rsidR="00BD2E54" w:rsidRPr="00BD2E54" w:rsidRDefault="00CF274D" w:rsidP="00CF274D">
      <w:pPr>
        <w:pStyle w:val="SingleTxtGA"/>
        <w:rPr>
          <w:lang w:val="en-US"/>
        </w:rPr>
      </w:pPr>
      <w:r w:rsidRPr="006C4428">
        <w:rPr>
          <w:rtl/>
          <w:lang w:val="en-US"/>
        </w:rPr>
        <w:t>4</w:t>
      </w:r>
      <w:r w:rsidRPr="00CF274D">
        <w:rPr>
          <w:rtl/>
          <w:lang w:val="en-US"/>
        </w:rPr>
        <w:t>-</w:t>
      </w:r>
      <w:r w:rsidRPr="006C4428">
        <w:rPr>
          <w:rtl/>
          <w:lang w:val="en-US"/>
        </w:rPr>
        <w:t>2</w:t>
      </w:r>
      <w:r w:rsidRPr="00CF274D">
        <w:rPr>
          <w:rtl/>
          <w:lang w:val="en-US"/>
        </w:rPr>
        <w:tab/>
        <w:t>ويعبّر عن النظام الدستوري الإيطالي للضمانات والإجراءات الوقائية أيض</w:t>
      </w:r>
      <w:r w:rsidR="00647AA7">
        <w:rPr>
          <w:rtl/>
          <w:lang w:val="en-US"/>
        </w:rPr>
        <w:t xml:space="preserve">اً </w:t>
      </w:r>
      <w:r w:rsidRPr="00CF274D">
        <w:rPr>
          <w:rtl/>
          <w:lang w:val="en-US"/>
        </w:rPr>
        <w:t>ب</w:t>
      </w:r>
      <w:r w:rsidR="00647AA7">
        <w:rPr>
          <w:rFonts w:hint="cs"/>
          <w:rtl/>
          <w:lang w:val="en-US"/>
        </w:rPr>
        <w:t>‍ </w:t>
      </w:r>
      <w:r w:rsidRPr="00CF274D">
        <w:rPr>
          <w:rtl/>
          <w:lang w:val="en-US"/>
        </w:rPr>
        <w:t xml:space="preserve">"مبدأ ازدواج مستوى </w:t>
      </w:r>
      <w:r w:rsidRPr="00CF17BF">
        <w:rPr>
          <w:spacing w:val="-4"/>
          <w:rtl/>
          <w:lang w:val="en-US"/>
        </w:rPr>
        <w:t>الأحكام القضائية"، الذي ينفذ من خلال نظام للطعون، يتسم بثلاثة مستويات ممكنة من الإجراءات القضائية</w:t>
      </w:r>
      <w:r w:rsidRPr="00CF274D">
        <w:rPr>
          <w:rtl/>
          <w:lang w:val="en-US"/>
        </w:rPr>
        <w:t xml:space="preserve">. فكل مرحلة تمثل مستوى آخر من الحكم. وفي حين أن نظام الاستئناف ومستويات الحكم الثلاثة الممكنة </w:t>
      </w:r>
      <w:r w:rsidRPr="001C116C">
        <w:rPr>
          <w:spacing w:val="-4"/>
          <w:rtl/>
          <w:lang w:val="en-US"/>
        </w:rPr>
        <w:t>يوفران مجموعة كبيرة من الضمانات، فإنهما قد يؤخران حل النزاع قيد النظر. وإضافة إلى مبدأ مراعاة الأصول</w:t>
      </w:r>
      <w:r w:rsidRPr="00CF274D">
        <w:rPr>
          <w:rtl/>
          <w:lang w:val="en-US"/>
        </w:rPr>
        <w:t xml:space="preserve"> القانونية الواجبة، يحدد دستور الدولة الطرف دور مجلس الدولة والمحكمة الدستورية</w:t>
      </w:r>
      <w:r w:rsidR="00BD2E54" w:rsidRPr="006C4428">
        <w:rPr>
          <w:rStyle w:val="FootnoteReference"/>
          <w:rtl/>
        </w:rPr>
        <w:t>(</w:t>
      </w:r>
      <w:r w:rsidR="00BD2E54" w:rsidRPr="006C4428">
        <w:rPr>
          <w:rStyle w:val="FootnoteReference"/>
          <w:lang w:val="en-US"/>
        </w:rPr>
        <w:footnoteReference w:id="4"/>
      </w:r>
      <w:r w:rsidR="00BD2E54" w:rsidRPr="00BD2E54">
        <w:rPr>
          <w:vertAlign w:val="superscript"/>
          <w:rtl/>
          <w:lang w:val="en-US"/>
        </w:rPr>
        <w:t>)</w:t>
      </w:r>
      <w:r w:rsidR="00BD2E54" w:rsidRPr="00BD2E54">
        <w:rPr>
          <w:rtl/>
          <w:lang w:val="en-US"/>
        </w:rPr>
        <w:t>.</w:t>
      </w:r>
    </w:p>
    <w:p w14:paraId="624EB652" w14:textId="7F64F6E6" w:rsidR="00BD2E54" w:rsidRPr="00BD2E54" w:rsidRDefault="00CF274D" w:rsidP="00CF274D">
      <w:pPr>
        <w:pStyle w:val="SingleTxtGA"/>
        <w:rPr>
          <w:lang w:val="en-US"/>
        </w:rPr>
      </w:pPr>
      <w:r w:rsidRPr="006C4428">
        <w:rPr>
          <w:rtl/>
          <w:lang w:val="en-US"/>
        </w:rPr>
        <w:t>4</w:t>
      </w:r>
      <w:r w:rsidRPr="00CF274D">
        <w:rPr>
          <w:rtl/>
          <w:lang w:val="en-US"/>
        </w:rPr>
        <w:t>-</w:t>
      </w:r>
      <w:r w:rsidRPr="006C4428">
        <w:rPr>
          <w:rtl/>
          <w:lang w:val="en-US"/>
        </w:rPr>
        <w:t>3</w:t>
      </w:r>
      <w:r w:rsidRPr="00CF274D">
        <w:rPr>
          <w:rtl/>
          <w:lang w:val="en-US"/>
        </w:rPr>
        <w:tab/>
      </w:r>
      <w:r w:rsidRPr="00CF17BF">
        <w:rPr>
          <w:spacing w:val="-4"/>
          <w:rtl/>
          <w:lang w:val="en-US"/>
        </w:rPr>
        <w:t xml:space="preserve">وفيما يخص الوقائع، تذكر الدولة الطرف أن صاحبة البلاغ قدمت في كانون الأول/ديسمبر </w:t>
      </w:r>
      <w:r w:rsidRPr="006C4428">
        <w:rPr>
          <w:spacing w:val="-4"/>
          <w:rtl/>
          <w:lang w:val="en-US"/>
        </w:rPr>
        <w:t>2016</w:t>
      </w:r>
      <w:r w:rsidRPr="00CF274D">
        <w:rPr>
          <w:rtl/>
          <w:lang w:val="en-US"/>
        </w:rPr>
        <w:t xml:space="preserve"> استئناف</w:t>
      </w:r>
      <w:r w:rsidR="00647AA7">
        <w:rPr>
          <w:rtl/>
          <w:lang w:val="en-US"/>
        </w:rPr>
        <w:t xml:space="preserve">اً </w:t>
      </w:r>
      <w:r w:rsidRPr="00CF274D">
        <w:rPr>
          <w:rtl/>
          <w:lang w:val="en-US"/>
        </w:rPr>
        <w:t>إلى المحكمة الإدارية الإقليمية بشأن رفض طلبها الحصول على الجنسية. وتعترف الدولة الطرف بأنه لم يُبتّ في استئنافها بحلول موعد تقديم ملاحظاتها إلى اللجنة (</w:t>
      </w:r>
      <w:r w:rsidRPr="006C4428">
        <w:rPr>
          <w:rtl/>
          <w:lang w:val="en-US"/>
        </w:rPr>
        <w:t>9</w:t>
      </w:r>
      <w:r w:rsidRPr="00CF274D">
        <w:rPr>
          <w:rtl/>
          <w:lang w:val="en-US"/>
        </w:rPr>
        <w:t xml:space="preserve"> تشرين الأول/أكتوبر </w:t>
      </w:r>
      <w:r w:rsidRPr="006C4428">
        <w:rPr>
          <w:rtl/>
          <w:lang w:val="en-US"/>
        </w:rPr>
        <w:t>2019</w:t>
      </w:r>
      <w:r w:rsidRPr="00CF274D">
        <w:rPr>
          <w:rtl/>
          <w:lang w:val="en-US"/>
        </w:rPr>
        <w:t>)</w:t>
      </w:r>
      <w:r w:rsidR="00BD2E54" w:rsidRPr="006C4428">
        <w:rPr>
          <w:rStyle w:val="FootnoteReference"/>
          <w:rFonts w:ascii="Simplified Arabic" w:hAnsi="Simplified Arabic"/>
          <w:rtl/>
        </w:rPr>
        <w:t>(</w:t>
      </w:r>
      <w:r w:rsidR="00BD2E54" w:rsidRPr="006C4428">
        <w:rPr>
          <w:rStyle w:val="FootnoteReference"/>
          <w:rFonts w:ascii="Simplified Arabic" w:hAnsi="Simplified Arabic"/>
          <w:lang w:val="en-US"/>
        </w:rPr>
        <w:footnoteReference w:id="5"/>
      </w:r>
      <w:r w:rsidR="00BD2E54" w:rsidRPr="00BD2E54">
        <w:rPr>
          <w:vertAlign w:val="superscript"/>
          <w:rtl/>
          <w:lang w:val="en-US"/>
        </w:rPr>
        <w:t>)</w:t>
      </w:r>
      <w:r w:rsidR="00BD2E54" w:rsidRPr="00BD2E54">
        <w:rPr>
          <w:rtl/>
          <w:lang w:val="en-US"/>
        </w:rPr>
        <w:t>.</w:t>
      </w:r>
    </w:p>
    <w:p w14:paraId="2B866BFC" w14:textId="00B551F7" w:rsidR="00CF274D" w:rsidRPr="00CF274D" w:rsidRDefault="00CF274D" w:rsidP="00CF274D">
      <w:pPr>
        <w:pStyle w:val="SingleTxtGA"/>
        <w:rPr>
          <w:lang w:val="en-US"/>
        </w:rPr>
      </w:pPr>
      <w:r w:rsidRPr="006C4428">
        <w:rPr>
          <w:rtl/>
          <w:lang w:val="en-US"/>
        </w:rPr>
        <w:t>4</w:t>
      </w:r>
      <w:r w:rsidRPr="00CF274D">
        <w:rPr>
          <w:rtl/>
          <w:lang w:val="en-US"/>
        </w:rPr>
        <w:t>-</w:t>
      </w:r>
      <w:r w:rsidRPr="006C4428">
        <w:rPr>
          <w:rtl/>
          <w:lang w:val="en-US"/>
        </w:rPr>
        <w:t>4</w:t>
      </w:r>
      <w:r w:rsidRPr="00CF274D">
        <w:rPr>
          <w:rtl/>
          <w:lang w:val="en-US"/>
        </w:rPr>
        <w:tab/>
        <w:t xml:space="preserve">وعقب الاستئناف لدى المحكمة الإدارية الإقليمية، قدمت صاحبة البلاغ شكوى إلى اللجنة بشأن طول مدة المحاكمة والمعاملة التمييزية المزعومة التي تعرضت لها. </w:t>
      </w:r>
    </w:p>
    <w:p w14:paraId="2FC5D1AA" w14:textId="683C437A" w:rsidR="00BD2E54" w:rsidRPr="00BD2E54" w:rsidRDefault="00CF274D" w:rsidP="00CF274D">
      <w:pPr>
        <w:pStyle w:val="SingleTxtGA"/>
        <w:rPr>
          <w:lang w:val="en-US"/>
        </w:rPr>
      </w:pPr>
      <w:r w:rsidRPr="006C4428">
        <w:rPr>
          <w:rtl/>
          <w:lang w:val="en-US"/>
        </w:rPr>
        <w:t>4</w:t>
      </w:r>
      <w:r w:rsidRPr="00CF274D">
        <w:rPr>
          <w:rtl/>
          <w:lang w:val="en-US"/>
        </w:rPr>
        <w:t>-</w:t>
      </w:r>
      <w:r w:rsidRPr="006C4428">
        <w:rPr>
          <w:rtl/>
          <w:lang w:val="en-US"/>
        </w:rPr>
        <w:t>5</w:t>
      </w:r>
      <w:r w:rsidRPr="00CF274D">
        <w:rPr>
          <w:rtl/>
          <w:lang w:val="en-US"/>
        </w:rPr>
        <w:tab/>
        <w:t>وفيما يخص طول الإجراءات الإدارية، يشار إلى إطار إيطاليا المعياري، الذي يعتبر بموجبه أنّ</w:t>
      </w:r>
      <w:r>
        <w:rPr>
          <w:rtl/>
          <w:lang w:val="en-US"/>
        </w:rPr>
        <w:t xml:space="preserve"> </w:t>
      </w:r>
      <w:r w:rsidRPr="00CF274D">
        <w:rPr>
          <w:rtl/>
          <w:lang w:val="en-US"/>
        </w:rPr>
        <w:t xml:space="preserve">مدة معقولة قد </w:t>
      </w:r>
      <w:proofErr w:type="spellStart"/>
      <w:r w:rsidRPr="00CF274D">
        <w:rPr>
          <w:rtl/>
          <w:lang w:val="en-US"/>
        </w:rPr>
        <w:t>روعيت</w:t>
      </w:r>
      <w:proofErr w:type="spellEnd"/>
      <w:r w:rsidRPr="00CF274D">
        <w:rPr>
          <w:rtl/>
          <w:lang w:val="en-US"/>
        </w:rPr>
        <w:t xml:space="preserve"> عند استيفاء الشروط التالية: (أ) ألاّ تتجاوز مدة المحاكمة ثلاث سنوات في المرحلة </w:t>
      </w:r>
      <w:r w:rsidRPr="00CF17BF">
        <w:rPr>
          <w:spacing w:val="-4"/>
          <w:rtl/>
          <w:lang w:val="en-US"/>
        </w:rPr>
        <w:t>الابتدائية؛ (ب) وسنتين في مرحلة الاستئناف؛ (ج) وسنة واحدة في حكم الشرعية. ولحساب مدة المحاكمة</w:t>
      </w:r>
      <w:r w:rsidRPr="00CF274D">
        <w:rPr>
          <w:rtl/>
          <w:lang w:val="en-US"/>
        </w:rPr>
        <w:t>، تعتبر المحاكمة قد بدأت برفع الشكوى أو بالإخطار بأمر مثول</w:t>
      </w:r>
      <w:r w:rsidR="00BD2E54" w:rsidRPr="006C4428">
        <w:rPr>
          <w:rStyle w:val="FootnoteReference"/>
          <w:rtl/>
        </w:rPr>
        <w:t>(</w:t>
      </w:r>
      <w:r w:rsidR="00BD2E54" w:rsidRPr="006C4428">
        <w:rPr>
          <w:rStyle w:val="FootnoteReference"/>
          <w:lang w:val="en-US"/>
        </w:rPr>
        <w:footnoteReference w:id="6"/>
      </w:r>
      <w:r w:rsidR="00BD2E54" w:rsidRPr="00BD2E54">
        <w:rPr>
          <w:vertAlign w:val="superscript"/>
          <w:rtl/>
          <w:lang w:val="en-US"/>
        </w:rPr>
        <w:t>)</w:t>
      </w:r>
      <w:r w:rsidR="00BD2E54" w:rsidRPr="00BD2E54">
        <w:rPr>
          <w:rtl/>
          <w:lang w:val="en-US"/>
        </w:rPr>
        <w:t>.</w:t>
      </w:r>
    </w:p>
    <w:p w14:paraId="3B8CD3B6" w14:textId="5309374E" w:rsidR="00CF274D" w:rsidRPr="00CF274D" w:rsidRDefault="00CF274D" w:rsidP="00CF17BF">
      <w:pPr>
        <w:pStyle w:val="SingleTxtGA"/>
        <w:spacing w:line="354" w:lineRule="exact"/>
        <w:rPr>
          <w:lang w:val="en-US"/>
        </w:rPr>
      </w:pPr>
      <w:r w:rsidRPr="006C4428">
        <w:rPr>
          <w:rtl/>
          <w:lang w:val="en-US"/>
        </w:rPr>
        <w:lastRenderedPageBreak/>
        <w:t>4</w:t>
      </w:r>
      <w:r w:rsidRPr="00CF274D">
        <w:rPr>
          <w:rtl/>
          <w:lang w:val="en-US"/>
        </w:rPr>
        <w:t>-</w:t>
      </w:r>
      <w:r w:rsidRPr="006C4428">
        <w:rPr>
          <w:rtl/>
          <w:lang w:val="en-US"/>
        </w:rPr>
        <w:t>6</w:t>
      </w:r>
      <w:r w:rsidRPr="00CF274D">
        <w:rPr>
          <w:rtl/>
          <w:lang w:val="en-US"/>
        </w:rPr>
        <w:tab/>
        <w:t xml:space="preserve">وفي هذه القضية، وبالنظر إلى أن مدة استئناف قرار رفض طلب الجنسية لدى المحكمة الإدارية الإقليمية لم تبلغ بعد الحد الأدنى المتمثل في ثلاث سنوات، فإنه لم يحدث أي انتهاك للتوقعات المشروعة لصاحبة الشكوى. </w:t>
      </w:r>
    </w:p>
    <w:p w14:paraId="24A2B8B9" w14:textId="73B1F2E4" w:rsidR="00CF274D" w:rsidRPr="00A81B9C" w:rsidRDefault="00CF274D" w:rsidP="00CF17BF">
      <w:pPr>
        <w:pStyle w:val="SingleTxtGA"/>
        <w:spacing w:line="354" w:lineRule="exact"/>
        <w:rPr>
          <w:lang w:val="en-US"/>
        </w:rPr>
      </w:pPr>
      <w:r w:rsidRPr="006C4428">
        <w:rPr>
          <w:spacing w:val="-4"/>
          <w:rtl/>
          <w:lang w:val="en-US"/>
        </w:rPr>
        <w:t>4</w:t>
      </w:r>
      <w:r w:rsidRPr="00CF17BF">
        <w:rPr>
          <w:spacing w:val="-4"/>
          <w:rtl/>
          <w:lang w:val="en-US"/>
        </w:rPr>
        <w:t>-</w:t>
      </w:r>
      <w:r w:rsidRPr="006C4428">
        <w:rPr>
          <w:spacing w:val="-4"/>
          <w:rtl/>
          <w:lang w:val="en-US"/>
        </w:rPr>
        <w:t>7</w:t>
      </w:r>
      <w:r w:rsidRPr="00CF17BF">
        <w:rPr>
          <w:spacing w:val="-4"/>
          <w:rtl/>
          <w:lang w:val="en-US"/>
        </w:rPr>
        <w:tab/>
        <w:t xml:space="preserve">وفيما يتعلق بادعاءات صاحبة البلاغ بموجب المادتين </w:t>
      </w:r>
      <w:r w:rsidRPr="006C4428">
        <w:rPr>
          <w:spacing w:val="-4"/>
          <w:rtl/>
          <w:lang w:val="en-US"/>
        </w:rPr>
        <w:t>17</w:t>
      </w:r>
      <w:r w:rsidRPr="00CF17BF">
        <w:rPr>
          <w:spacing w:val="-4"/>
          <w:rtl/>
          <w:lang w:val="en-US"/>
        </w:rPr>
        <w:t xml:space="preserve"> و</w:t>
      </w:r>
      <w:r w:rsidRPr="006C4428">
        <w:rPr>
          <w:spacing w:val="-4"/>
          <w:rtl/>
          <w:lang w:val="en-US"/>
        </w:rPr>
        <w:t>26</w:t>
      </w:r>
      <w:r w:rsidRPr="00CF17BF">
        <w:rPr>
          <w:spacing w:val="-4"/>
          <w:rtl/>
          <w:lang w:val="en-US"/>
        </w:rPr>
        <w:t xml:space="preserve"> من العهد، تدفع الدولة الطرف بأنه يمكن منح الجنسية الإيطالية لأجنبيّ أقام بصفة قانونية لمدة </w:t>
      </w:r>
      <w:r w:rsidRPr="006C4428">
        <w:rPr>
          <w:spacing w:val="-4"/>
          <w:rtl/>
          <w:lang w:val="en-US"/>
        </w:rPr>
        <w:t>10</w:t>
      </w:r>
      <w:r w:rsidRPr="00CF17BF">
        <w:rPr>
          <w:spacing w:val="-4"/>
          <w:rtl/>
          <w:lang w:val="en-US"/>
        </w:rPr>
        <w:t xml:space="preserve"> سنوات على الأقل في إقليم الجمهورية. وفي</w:t>
      </w:r>
      <w:r w:rsidR="00A81B9C">
        <w:rPr>
          <w:rFonts w:hint="cs"/>
          <w:spacing w:val="-4"/>
          <w:rtl/>
          <w:lang w:val="en-US"/>
        </w:rPr>
        <w:t> </w:t>
      </w:r>
      <w:r w:rsidRPr="00CF17BF">
        <w:rPr>
          <w:spacing w:val="-4"/>
          <w:rtl/>
          <w:lang w:val="en-US"/>
        </w:rPr>
        <w:t>حالة صاحبة البلاغ، يستند رفض طلبها الحصولَ على الجنسية أساس</w:t>
      </w:r>
      <w:r w:rsidR="00647AA7">
        <w:rPr>
          <w:spacing w:val="-4"/>
          <w:rtl/>
          <w:lang w:val="en-US"/>
        </w:rPr>
        <w:t xml:space="preserve">اً </w:t>
      </w:r>
      <w:r w:rsidRPr="00CF17BF">
        <w:rPr>
          <w:spacing w:val="-4"/>
          <w:rtl/>
          <w:lang w:val="en-US"/>
        </w:rPr>
        <w:t>إلى اعتبارات مرتبطة بزوجها، إذ</w:t>
      </w:r>
      <w:r w:rsidR="00A81B9C">
        <w:rPr>
          <w:rFonts w:hint="cs"/>
          <w:spacing w:val="-4"/>
          <w:rtl/>
          <w:lang w:val="en-US"/>
        </w:rPr>
        <w:t> </w:t>
      </w:r>
      <w:r w:rsidRPr="00CF17BF">
        <w:rPr>
          <w:spacing w:val="-4"/>
          <w:rtl/>
          <w:lang w:val="en-US"/>
        </w:rPr>
        <w:t>إنه عُدّ "قريبا</w:t>
      </w:r>
      <w:r w:rsidR="00A81B9C">
        <w:rPr>
          <w:rFonts w:hint="cs"/>
          <w:spacing w:val="-4"/>
          <w:rtl/>
          <w:lang w:val="en-US"/>
        </w:rPr>
        <w:t>ً</w:t>
      </w:r>
      <w:r w:rsidRPr="00CF17BF">
        <w:rPr>
          <w:spacing w:val="-4"/>
          <w:rtl/>
          <w:lang w:val="en-US"/>
        </w:rPr>
        <w:t>" من حركات اعتبرت خطيرة اجتماعي</w:t>
      </w:r>
      <w:r w:rsidR="00647AA7">
        <w:rPr>
          <w:spacing w:val="-4"/>
          <w:rtl/>
          <w:lang w:val="en-US"/>
        </w:rPr>
        <w:t>اً،</w:t>
      </w:r>
      <w:r w:rsidRPr="00CF17BF">
        <w:rPr>
          <w:spacing w:val="-4"/>
          <w:rtl/>
          <w:lang w:val="en-US"/>
        </w:rPr>
        <w:t xml:space="preserve"> لأن لديها أغراض</w:t>
      </w:r>
      <w:r w:rsidR="00647AA7">
        <w:rPr>
          <w:spacing w:val="-4"/>
          <w:rtl/>
          <w:lang w:val="en-US"/>
        </w:rPr>
        <w:t xml:space="preserve">اً </w:t>
      </w:r>
      <w:r w:rsidRPr="00CF17BF">
        <w:rPr>
          <w:spacing w:val="-4"/>
          <w:rtl/>
          <w:lang w:val="en-US"/>
        </w:rPr>
        <w:t xml:space="preserve">تتنافى مع أمن البلد. وسبق أن رُفض </w:t>
      </w:r>
      <w:r w:rsidRPr="00A81B9C">
        <w:rPr>
          <w:rtl/>
          <w:lang w:val="en-US"/>
        </w:rPr>
        <w:t xml:space="preserve">طلب زوج صاحبة البلاغ الحصولَ على الجنسية الإيطالية، واستأنف القرار بالرفض لدى المحكمة الإدارية الإقليمية، التي رفضت استئنافه في قرارها رقم </w:t>
      </w:r>
      <w:r w:rsidRPr="006C4428">
        <w:rPr>
          <w:rtl/>
          <w:lang w:val="en-US"/>
        </w:rPr>
        <w:t>5577</w:t>
      </w:r>
      <w:r w:rsidRPr="00A81B9C">
        <w:rPr>
          <w:rtl/>
          <w:lang w:val="en-US"/>
        </w:rPr>
        <w:t>/</w:t>
      </w:r>
      <w:r w:rsidRPr="006C4428">
        <w:rPr>
          <w:rtl/>
          <w:lang w:val="en-US"/>
        </w:rPr>
        <w:t>13</w:t>
      </w:r>
      <w:r w:rsidRPr="00A81B9C">
        <w:rPr>
          <w:rtl/>
          <w:lang w:val="en-US"/>
        </w:rPr>
        <w:t xml:space="preserve"> المؤرخ </w:t>
      </w:r>
      <w:r w:rsidRPr="006C4428">
        <w:rPr>
          <w:rtl/>
          <w:lang w:val="en-US"/>
        </w:rPr>
        <w:t>4</w:t>
      </w:r>
      <w:r w:rsidRPr="00A81B9C">
        <w:rPr>
          <w:rtl/>
          <w:lang w:val="en-US"/>
        </w:rPr>
        <w:t xml:space="preserve"> حزيران/</w:t>
      </w:r>
      <w:proofErr w:type="gramStart"/>
      <w:r w:rsidRPr="00A81B9C">
        <w:rPr>
          <w:rtl/>
          <w:lang w:val="en-US"/>
        </w:rPr>
        <w:t>يونيه</w:t>
      </w:r>
      <w:proofErr w:type="gramEnd"/>
      <w:r w:rsidRPr="00A81B9C">
        <w:rPr>
          <w:rtl/>
          <w:lang w:val="en-US"/>
        </w:rPr>
        <w:t xml:space="preserve"> </w:t>
      </w:r>
      <w:r w:rsidRPr="006C4428">
        <w:rPr>
          <w:rtl/>
          <w:lang w:val="en-US"/>
        </w:rPr>
        <w:t>201</w:t>
      </w:r>
      <w:r w:rsidR="00BD2E54" w:rsidRPr="006C4428">
        <w:rPr>
          <w:rtl/>
          <w:lang w:val="en-US"/>
        </w:rPr>
        <w:t>3</w:t>
      </w:r>
      <w:r w:rsidR="00BD2E54" w:rsidRPr="00BD2E54">
        <w:rPr>
          <w:rtl/>
          <w:lang w:val="en-US"/>
        </w:rPr>
        <w:t xml:space="preserve">. </w:t>
      </w:r>
      <w:r w:rsidRPr="00A81B9C">
        <w:rPr>
          <w:rtl/>
          <w:lang w:val="en-US"/>
        </w:rPr>
        <w:t xml:space="preserve">وكان الاستئناف الذي قدمه زوج صاحبة البلاغ محل نظر مجلس الدولة وقت تقديم ملاحظات الدولة الطرف. </w:t>
      </w:r>
    </w:p>
    <w:p w14:paraId="29A69F8A" w14:textId="096F5A17" w:rsidR="00BD2E54" w:rsidRPr="00BD2E54" w:rsidRDefault="00CF274D" w:rsidP="00CF17BF">
      <w:pPr>
        <w:pStyle w:val="SingleTxtGA"/>
        <w:spacing w:line="354" w:lineRule="exact"/>
        <w:rPr>
          <w:lang w:val="en-US"/>
        </w:rPr>
      </w:pPr>
      <w:r w:rsidRPr="006C4428">
        <w:rPr>
          <w:rtl/>
          <w:lang w:val="en-US"/>
        </w:rPr>
        <w:t>4</w:t>
      </w:r>
      <w:r w:rsidRPr="00CF274D">
        <w:rPr>
          <w:rtl/>
          <w:lang w:val="en-US"/>
        </w:rPr>
        <w:t>-</w:t>
      </w:r>
      <w:r w:rsidRPr="006C4428">
        <w:rPr>
          <w:rtl/>
          <w:lang w:val="en-US"/>
        </w:rPr>
        <w:t>8</w:t>
      </w:r>
      <w:r w:rsidRPr="00CF274D">
        <w:rPr>
          <w:rtl/>
          <w:lang w:val="en-US"/>
        </w:rPr>
        <w:tab/>
      </w:r>
      <w:r w:rsidRPr="00CF17BF">
        <w:rPr>
          <w:spacing w:val="-2"/>
          <w:rtl/>
          <w:lang w:val="en-US"/>
        </w:rPr>
        <w:t xml:space="preserve">ورفضت وزارة الداخلية في قرارها المؤرخ </w:t>
      </w:r>
      <w:r w:rsidRPr="006C4428">
        <w:rPr>
          <w:spacing w:val="-2"/>
          <w:rtl/>
          <w:lang w:val="en-US"/>
        </w:rPr>
        <w:t>26</w:t>
      </w:r>
      <w:r w:rsidRPr="00CF17BF">
        <w:rPr>
          <w:spacing w:val="-2"/>
          <w:rtl/>
          <w:lang w:val="en-US"/>
        </w:rPr>
        <w:t xml:space="preserve"> أيلول/سبتمبر </w:t>
      </w:r>
      <w:r w:rsidRPr="006C4428">
        <w:rPr>
          <w:spacing w:val="-2"/>
          <w:rtl/>
          <w:lang w:val="en-US"/>
        </w:rPr>
        <w:t>2016</w:t>
      </w:r>
      <w:r w:rsidRPr="00CF17BF">
        <w:rPr>
          <w:spacing w:val="-2"/>
          <w:rtl/>
          <w:lang w:val="en-US"/>
        </w:rPr>
        <w:t xml:space="preserve"> طلب صاحبة البلاغ الحصول</w:t>
      </w:r>
      <w:r w:rsidRPr="00CF274D">
        <w:rPr>
          <w:rtl/>
          <w:lang w:val="en-US"/>
        </w:rPr>
        <w:t xml:space="preserve"> </w:t>
      </w:r>
      <w:r w:rsidRPr="00CF17BF">
        <w:rPr>
          <w:spacing w:val="-2"/>
          <w:rtl/>
          <w:lang w:val="en-US"/>
        </w:rPr>
        <w:t>على الجنسية "آخذة في الحسبان قربَ زوجها (السيد ه. ق.) من حركات تتنافى أنشطتها مع أمن الجمهورية،</w:t>
      </w:r>
      <w:r w:rsidRPr="00CF274D">
        <w:rPr>
          <w:rtl/>
          <w:lang w:val="en-US"/>
        </w:rPr>
        <w:t xml:space="preserve"> الأمر الذي يحول دون منحها الجنسية. وتشير العلاقة الأسرية إلى وجود رابطة مستقرة ودائمة عبر الزمن </w:t>
      </w:r>
      <w:r w:rsidRPr="00CF17BF">
        <w:rPr>
          <w:spacing w:val="-2"/>
          <w:rtl/>
          <w:lang w:val="en-US"/>
        </w:rPr>
        <w:t>لما لها من جذور في الأسرة وفي جوانبها العاطفية الضامّة، ونتيجة ذلك هي أن الاستقرار الأبوي والعاطفي</w:t>
      </w:r>
      <w:r w:rsidRPr="00CF274D">
        <w:rPr>
          <w:rtl/>
          <w:lang w:val="en-US"/>
        </w:rPr>
        <w:t xml:space="preserve"> يمكن أن يدفع الطرف المعني إلى تيسير إتيان سلوك يعتبر خطر</w:t>
      </w:r>
      <w:r w:rsidR="00647AA7">
        <w:rPr>
          <w:rtl/>
          <w:lang w:val="en-US"/>
        </w:rPr>
        <w:t xml:space="preserve">اً </w:t>
      </w:r>
      <w:r w:rsidRPr="00CF274D">
        <w:rPr>
          <w:rtl/>
          <w:lang w:val="en-US"/>
        </w:rPr>
        <w:t>على أمن الجمهورية، أيض</w:t>
      </w:r>
      <w:r w:rsidR="00647AA7">
        <w:rPr>
          <w:rtl/>
          <w:lang w:val="en-US"/>
        </w:rPr>
        <w:t xml:space="preserve">اً </w:t>
      </w:r>
      <w:r w:rsidRPr="00CF274D">
        <w:rPr>
          <w:rtl/>
          <w:lang w:val="en-US"/>
        </w:rPr>
        <w:t>لأسباب عاطفية فقط"</w:t>
      </w:r>
      <w:r w:rsidR="00BD2E54" w:rsidRPr="006C4428">
        <w:rPr>
          <w:rStyle w:val="FootnoteReference"/>
          <w:rtl/>
        </w:rPr>
        <w:t>(</w:t>
      </w:r>
      <w:r w:rsidR="00BD2E54" w:rsidRPr="006C4428">
        <w:rPr>
          <w:rStyle w:val="FootnoteReference"/>
          <w:lang w:val="en-US"/>
        </w:rPr>
        <w:footnoteReference w:id="7"/>
      </w:r>
      <w:r w:rsidR="00BD2E54" w:rsidRPr="00BD2E54">
        <w:rPr>
          <w:vertAlign w:val="superscript"/>
          <w:rtl/>
          <w:lang w:val="en-US"/>
        </w:rPr>
        <w:t>)</w:t>
      </w:r>
      <w:r w:rsidR="00BD2E54" w:rsidRPr="00BD2E54">
        <w:rPr>
          <w:rtl/>
          <w:lang w:val="en-US"/>
        </w:rPr>
        <w:t>.</w:t>
      </w:r>
    </w:p>
    <w:p w14:paraId="68726086" w14:textId="5FA5B793" w:rsidR="00BD2E54" w:rsidRPr="00BD2E54" w:rsidRDefault="00CF274D" w:rsidP="00CF17BF">
      <w:pPr>
        <w:pStyle w:val="SingleTxtGA"/>
        <w:spacing w:line="354" w:lineRule="exact"/>
        <w:rPr>
          <w:lang w:val="en-US"/>
        </w:rPr>
      </w:pPr>
      <w:r w:rsidRPr="006C4428">
        <w:rPr>
          <w:rtl/>
          <w:lang w:val="en-US"/>
        </w:rPr>
        <w:t>4</w:t>
      </w:r>
      <w:r w:rsidRPr="00CF274D">
        <w:rPr>
          <w:rtl/>
          <w:lang w:val="en-US"/>
        </w:rPr>
        <w:t>-</w:t>
      </w:r>
      <w:r w:rsidRPr="006C4428">
        <w:rPr>
          <w:rtl/>
          <w:lang w:val="en-US"/>
        </w:rPr>
        <w:t>9</w:t>
      </w:r>
      <w:r w:rsidRPr="00CF274D">
        <w:rPr>
          <w:rtl/>
          <w:lang w:val="en-US"/>
        </w:rPr>
        <w:tab/>
        <w:t xml:space="preserve">وفيما يخص ادعاءات انتهاك المادتين </w:t>
      </w:r>
      <w:r w:rsidRPr="006C4428">
        <w:rPr>
          <w:rtl/>
          <w:lang w:val="en-US"/>
        </w:rPr>
        <w:t>17</w:t>
      </w:r>
      <w:r w:rsidRPr="00CF274D">
        <w:rPr>
          <w:rtl/>
          <w:lang w:val="en-US"/>
        </w:rPr>
        <w:t xml:space="preserve"> و</w:t>
      </w:r>
      <w:r w:rsidRPr="006C4428">
        <w:rPr>
          <w:rtl/>
          <w:lang w:val="en-US"/>
        </w:rPr>
        <w:t>26</w:t>
      </w:r>
      <w:r w:rsidRPr="00CF274D">
        <w:rPr>
          <w:rtl/>
          <w:lang w:val="en-US"/>
        </w:rPr>
        <w:t>، لمّا كان رفض طلب صاحبة البلاغ الحصولَ على الجنسية يستند إلى وقائع وسلوك يمكن عزوهما إلى زوجها حصر</w:t>
      </w:r>
      <w:r w:rsidR="00647AA7">
        <w:rPr>
          <w:rtl/>
          <w:lang w:val="en-US"/>
        </w:rPr>
        <w:t>اً،</w:t>
      </w:r>
      <w:r w:rsidRPr="00CF274D">
        <w:rPr>
          <w:rtl/>
          <w:lang w:val="en-US"/>
        </w:rPr>
        <w:t xml:space="preserve"> تجادل الدولة الطرف بأن منح الجنسية الإيطالية يفترض التحقق مقدم</w:t>
      </w:r>
      <w:r w:rsidR="00647AA7">
        <w:rPr>
          <w:rtl/>
          <w:lang w:val="en-US"/>
        </w:rPr>
        <w:t xml:space="preserve">اً </w:t>
      </w:r>
      <w:r w:rsidRPr="00CF274D">
        <w:rPr>
          <w:rtl/>
          <w:lang w:val="en-US"/>
        </w:rPr>
        <w:t>من عدم وجود عناصر أو ظروف قد تعرض للخطر قيم التعايش المدني في بيئة تسودها الحرية والسلام. فأمن الجمهورية الإيطالية هو، في الواقع، مصلحة أعلى من المصلحة الفردية في الحصول على الجنسية الإيطالية أو الاعتراف بها. ونظر</w:t>
      </w:r>
      <w:r w:rsidR="00647AA7">
        <w:rPr>
          <w:rtl/>
          <w:lang w:val="en-US"/>
        </w:rPr>
        <w:t xml:space="preserve">اً </w:t>
      </w:r>
      <w:r w:rsidRPr="00CF274D">
        <w:rPr>
          <w:rtl/>
          <w:lang w:val="en-US"/>
        </w:rPr>
        <w:t>إلى طبيعة الجنسية التي لا</w:t>
      </w:r>
      <w:r w:rsidR="00647AA7">
        <w:rPr>
          <w:rFonts w:hint="cs"/>
          <w:rtl/>
          <w:lang w:val="en-US"/>
        </w:rPr>
        <w:t> </w:t>
      </w:r>
      <w:r w:rsidRPr="00CF274D">
        <w:rPr>
          <w:rtl/>
          <w:lang w:val="en-US"/>
        </w:rPr>
        <w:t>رجعة فيها، يُشترط "ألا يحوم أي شك حول مقدم الطلب ولا شبهة في كونه غير جدير بالثقة، حتى بخصوص تقيده التام في المستقبل بالقيم الدستورية التي تقوم عليها الجمهورية الإيطالية"</w:t>
      </w:r>
      <w:r w:rsidR="00BD2E54" w:rsidRPr="006C4428">
        <w:rPr>
          <w:rStyle w:val="FootnoteReference"/>
          <w:rtl/>
        </w:rPr>
        <w:t>(</w:t>
      </w:r>
      <w:r w:rsidR="00BD2E54" w:rsidRPr="006C4428">
        <w:rPr>
          <w:rStyle w:val="FootnoteReference"/>
          <w:lang w:val="en-US"/>
        </w:rPr>
        <w:footnoteReference w:id="8"/>
      </w:r>
      <w:r w:rsidR="00BD2E54" w:rsidRPr="00BD2E54">
        <w:rPr>
          <w:vertAlign w:val="superscript"/>
          <w:rtl/>
          <w:lang w:val="en-US"/>
        </w:rPr>
        <w:t>)</w:t>
      </w:r>
      <w:r w:rsidR="00BD2E54" w:rsidRPr="00BD2E54">
        <w:rPr>
          <w:rtl/>
          <w:lang w:val="en-US"/>
        </w:rPr>
        <w:t xml:space="preserve">. </w:t>
      </w:r>
      <w:r w:rsidRPr="00CF274D">
        <w:rPr>
          <w:rtl/>
          <w:lang w:val="en-US"/>
        </w:rPr>
        <w:t xml:space="preserve">وأكدت المحكمة الدستورية الإيطالية في هذا السياق أن أهمية مصلحة أمن الدولة بخصوص سلامتها واستقلالها تتجسد في المادة </w:t>
      </w:r>
      <w:r w:rsidRPr="006C4428">
        <w:rPr>
          <w:rtl/>
          <w:lang w:val="en-US"/>
        </w:rPr>
        <w:t>52</w:t>
      </w:r>
      <w:r w:rsidRPr="00CF274D">
        <w:rPr>
          <w:rtl/>
          <w:lang w:val="en-US"/>
        </w:rPr>
        <w:t xml:space="preserve"> من الدستور. وتضيف الدولة الطرف أن موجة الإرهاب والتطرف الحالية المثيرة للقلق تبرر توخي أقصى درجات الحذر والاحتراس في إطار الإجراءات الإدارية المتعلقة بمنح الجنسية</w:t>
      </w:r>
      <w:r w:rsidR="00BD2E54" w:rsidRPr="006C4428">
        <w:rPr>
          <w:rStyle w:val="FootnoteReference"/>
          <w:rtl/>
        </w:rPr>
        <w:t>(</w:t>
      </w:r>
      <w:r w:rsidR="00BD2E54" w:rsidRPr="006C4428">
        <w:rPr>
          <w:rStyle w:val="FootnoteReference"/>
          <w:lang w:val="en-US"/>
        </w:rPr>
        <w:footnoteReference w:id="9"/>
      </w:r>
      <w:r w:rsidR="00BD2E54" w:rsidRPr="00BD2E54">
        <w:rPr>
          <w:vertAlign w:val="superscript"/>
          <w:rtl/>
          <w:lang w:val="en-US"/>
        </w:rPr>
        <w:t>)</w:t>
      </w:r>
      <w:r w:rsidR="00BD2E54" w:rsidRPr="00BD2E54">
        <w:rPr>
          <w:rtl/>
          <w:lang w:val="en-US"/>
        </w:rPr>
        <w:t>.</w:t>
      </w:r>
    </w:p>
    <w:p w14:paraId="3E15FFDC" w14:textId="749D91F1" w:rsidR="00CF274D" w:rsidRPr="00CF274D" w:rsidRDefault="00CF274D" w:rsidP="00CF17BF">
      <w:pPr>
        <w:pStyle w:val="SingleTxtGA"/>
        <w:spacing w:line="354" w:lineRule="exact"/>
        <w:rPr>
          <w:lang w:val="en-US"/>
        </w:rPr>
      </w:pPr>
      <w:r w:rsidRPr="006C4428">
        <w:rPr>
          <w:rtl/>
          <w:lang w:val="en-US"/>
        </w:rPr>
        <w:t>4</w:t>
      </w:r>
      <w:r w:rsidRPr="00CF274D">
        <w:rPr>
          <w:rtl/>
          <w:lang w:val="en-US"/>
        </w:rPr>
        <w:t>-</w:t>
      </w:r>
      <w:r w:rsidRPr="006C4428">
        <w:rPr>
          <w:rtl/>
          <w:lang w:val="en-US"/>
        </w:rPr>
        <w:t>10</w:t>
      </w:r>
      <w:r w:rsidRPr="00CF274D">
        <w:rPr>
          <w:rtl/>
          <w:lang w:val="en-US"/>
        </w:rPr>
        <w:tab/>
        <w:t>وبناء على ذلك، يمكن الإدارةَ أن تقيم الزواج وحالة التمازج المادي والروحي المنبثقة عنه بطبيعة الحال في إطار ممارستها سلطاتها التقديرية من أجل حماية المصلحة العليا للنظام والأمن العامين، ومن ثم لرفض منح الجنسية الإيطالية زوجةَ شخص يعتبر قريب</w:t>
      </w:r>
      <w:r w:rsidR="00647AA7">
        <w:rPr>
          <w:rtl/>
          <w:lang w:val="en-US"/>
        </w:rPr>
        <w:t xml:space="preserve">اً </w:t>
      </w:r>
      <w:r w:rsidRPr="00CF274D">
        <w:rPr>
          <w:rtl/>
          <w:lang w:val="en-US"/>
        </w:rPr>
        <w:t xml:space="preserve">من حركات وجماعات "ذات أغراض تتنافى" مع التعايش المدني السلمي والحر في إيطاليا </w:t>
      </w:r>
      <w:proofErr w:type="spellStart"/>
      <w:r w:rsidRPr="00CF274D">
        <w:rPr>
          <w:rtl/>
          <w:lang w:val="en-US"/>
        </w:rPr>
        <w:t>و"مرتبط</w:t>
      </w:r>
      <w:r w:rsidR="00647AA7">
        <w:rPr>
          <w:rtl/>
          <w:lang w:val="en-US"/>
        </w:rPr>
        <w:t>اً</w:t>
      </w:r>
      <w:proofErr w:type="spellEnd"/>
      <w:r w:rsidR="00647AA7">
        <w:rPr>
          <w:rtl/>
          <w:lang w:val="en-US"/>
        </w:rPr>
        <w:t xml:space="preserve"> </w:t>
      </w:r>
      <w:r w:rsidRPr="00CF274D">
        <w:rPr>
          <w:rtl/>
          <w:lang w:val="en-US"/>
        </w:rPr>
        <w:t xml:space="preserve">بها". ومن ناحية أخرى، في مقابل توخّي أقصى درجات الحذر عند ممارسة الوظيفة الوقائية والتحوطية التي يجب أن يستند إليها تقييم طلب منح الجنسية، يمكن بعد مضي خمس سنوات من التقييم الأولي تقديم طلب جديد عندما تتغير الظروف الموضوعية التي </w:t>
      </w:r>
      <w:r w:rsidRPr="00CF17BF">
        <w:rPr>
          <w:spacing w:val="-4"/>
          <w:rtl/>
          <w:lang w:val="en-US"/>
        </w:rPr>
        <w:t>استند إليها قرار الرفض الأصلي أو يمكن، على الأعمّ، تقديم طلب إلى الإدارة من أجل إعادة تقييم الملف</w:t>
      </w:r>
      <w:r w:rsidR="00BD2E54" w:rsidRPr="006C4428">
        <w:rPr>
          <w:rStyle w:val="FootnoteReference"/>
          <w:spacing w:val="-4"/>
          <w:rtl/>
        </w:rPr>
        <w:t>(</w:t>
      </w:r>
      <w:r w:rsidR="00BD2E54" w:rsidRPr="006C4428">
        <w:rPr>
          <w:rStyle w:val="FootnoteReference"/>
          <w:spacing w:val="-4"/>
          <w:lang w:val="en-US"/>
        </w:rPr>
        <w:footnoteReference w:id="10"/>
      </w:r>
      <w:r w:rsidR="00BD2E54" w:rsidRPr="00BD2E54">
        <w:rPr>
          <w:spacing w:val="-4"/>
          <w:vertAlign w:val="superscript"/>
          <w:rtl/>
          <w:lang w:val="en-US"/>
        </w:rPr>
        <w:t>)</w:t>
      </w:r>
      <w:r w:rsidR="00BD2E54" w:rsidRPr="00BD2E54">
        <w:rPr>
          <w:spacing w:val="-4"/>
          <w:rtl/>
          <w:lang w:val="en-US"/>
        </w:rPr>
        <w:t>.</w:t>
      </w:r>
      <w:r w:rsidR="00E7484C">
        <w:rPr>
          <w:rFonts w:hint="cs"/>
          <w:spacing w:val="-4"/>
          <w:rtl/>
          <w:lang w:val="en-US"/>
        </w:rPr>
        <w:t xml:space="preserve"> </w:t>
      </w:r>
      <w:r w:rsidRPr="00CF274D">
        <w:rPr>
          <w:rtl/>
          <w:lang w:val="en-US"/>
        </w:rPr>
        <w:lastRenderedPageBreak/>
        <w:t>وأخيرا</w:t>
      </w:r>
      <w:r w:rsidR="00CF17BF">
        <w:rPr>
          <w:rFonts w:hint="cs"/>
          <w:rtl/>
          <w:lang w:val="en-US"/>
        </w:rPr>
        <w:t>ً</w:t>
      </w:r>
      <w:r w:rsidRPr="00CF274D">
        <w:rPr>
          <w:rtl/>
          <w:lang w:val="en-US"/>
        </w:rPr>
        <w:t>، تدفع الدولة الطرف بأن سبل الانتصاف المحلية الفعالة من قرار رفض طلب صاحبة البلاغ متاحة لها وبأن القرارات المتخذة في قضيتها لا تبلغ حد إنكار العدالة.</w:t>
      </w:r>
      <w:r w:rsidR="0091683F">
        <w:rPr>
          <w:rFonts w:hint="cs"/>
          <w:rtl/>
          <w:lang w:val="en-US"/>
        </w:rPr>
        <w:t xml:space="preserve"> </w:t>
      </w:r>
    </w:p>
    <w:p w14:paraId="6D05779B" w14:textId="61146121" w:rsidR="00CF274D" w:rsidRPr="00CF274D" w:rsidRDefault="00CF274D" w:rsidP="00CF274D">
      <w:pPr>
        <w:pStyle w:val="SingleTxtGA"/>
        <w:rPr>
          <w:lang w:val="en-US"/>
        </w:rPr>
      </w:pPr>
      <w:r w:rsidRPr="006C4428">
        <w:rPr>
          <w:rtl/>
          <w:lang w:val="en-US"/>
        </w:rPr>
        <w:t>4</w:t>
      </w:r>
      <w:r w:rsidRPr="00CF274D">
        <w:rPr>
          <w:rtl/>
          <w:lang w:val="en-US"/>
        </w:rPr>
        <w:t>-</w:t>
      </w:r>
      <w:r w:rsidRPr="006C4428">
        <w:rPr>
          <w:rtl/>
          <w:lang w:val="en-US"/>
        </w:rPr>
        <w:t>11</w:t>
      </w:r>
      <w:r w:rsidRPr="00CF274D">
        <w:rPr>
          <w:rtl/>
          <w:lang w:val="en-US"/>
        </w:rPr>
        <w:tab/>
        <w:t>واستنادا</w:t>
      </w:r>
      <w:r w:rsidR="007B6F48">
        <w:rPr>
          <w:rFonts w:hint="cs"/>
          <w:rtl/>
          <w:lang w:val="en-US"/>
        </w:rPr>
        <w:t>ً</w:t>
      </w:r>
      <w:r w:rsidRPr="00CF274D">
        <w:rPr>
          <w:rtl/>
          <w:lang w:val="en-US"/>
        </w:rPr>
        <w:t xml:space="preserve"> إلى الشرح الوارد أعلاه، تطلب الدولة الطرف إلى اللجنة أن تعلن عدم مقبولية شكوى صاحبة البلاغ بسبب عدم استنفادها سبل الانتصاف المحلية المتاحة وعدم تقديمها أدلة كافية أو بسبب عدم وجود أساس موضوعي بدل</w:t>
      </w:r>
      <w:r w:rsidR="00647AA7">
        <w:rPr>
          <w:rtl/>
          <w:lang w:val="en-US"/>
        </w:rPr>
        <w:t xml:space="preserve">اً </w:t>
      </w:r>
      <w:r w:rsidRPr="00CF274D">
        <w:rPr>
          <w:rtl/>
          <w:lang w:val="en-US"/>
        </w:rPr>
        <w:t>من ذلك.</w:t>
      </w:r>
    </w:p>
    <w:p w14:paraId="05CA699A" w14:textId="77777777" w:rsidR="00CF274D" w:rsidRPr="006C4428" w:rsidRDefault="00CF274D" w:rsidP="007C3D8A">
      <w:pPr>
        <w:pStyle w:val="H23GA"/>
      </w:pPr>
      <w:r w:rsidRPr="006C4428">
        <w:rPr>
          <w:rtl/>
        </w:rPr>
        <w:tab/>
      </w:r>
      <w:r w:rsidRPr="006C4428">
        <w:rPr>
          <w:rtl/>
        </w:rPr>
        <w:tab/>
        <w:t>تعليقات صاحبة البلاغ على ملاحظات الدولة الطرف</w:t>
      </w:r>
    </w:p>
    <w:p w14:paraId="4141E8D3" w14:textId="2DE88BA0" w:rsidR="00CF274D" w:rsidRPr="007B6F48" w:rsidRDefault="00CF274D" w:rsidP="00CF274D">
      <w:pPr>
        <w:pStyle w:val="SingleTxtGA"/>
        <w:rPr>
          <w:spacing w:val="-4"/>
          <w:lang w:val="en-US"/>
        </w:rPr>
      </w:pPr>
      <w:r w:rsidRPr="006C4428">
        <w:rPr>
          <w:spacing w:val="-4"/>
          <w:rtl/>
          <w:lang w:val="en-US"/>
        </w:rPr>
        <w:t>5</w:t>
      </w:r>
      <w:r w:rsidRPr="007B6F48">
        <w:rPr>
          <w:spacing w:val="-4"/>
          <w:rtl/>
          <w:lang w:val="en-US"/>
        </w:rPr>
        <w:t>-</w:t>
      </w:r>
      <w:r w:rsidRPr="006C4428">
        <w:rPr>
          <w:spacing w:val="-4"/>
          <w:rtl/>
          <w:lang w:val="en-US"/>
        </w:rPr>
        <w:t>1</w:t>
      </w:r>
      <w:r w:rsidRPr="007B6F48">
        <w:rPr>
          <w:spacing w:val="-4"/>
          <w:rtl/>
          <w:lang w:val="en-US"/>
        </w:rPr>
        <w:tab/>
        <w:t xml:space="preserve">في </w:t>
      </w:r>
      <w:r w:rsidRPr="006C4428">
        <w:rPr>
          <w:spacing w:val="-4"/>
          <w:rtl/>
          <w:lang w:val="en-US"/>
        </w:rPr>
        <w:t>13</w:t>
      </w:r>
      <w:r w:rsidRPr="007B6F48">
        <w:rPr>
          <w:spacing w:val="-4"/>
          <w:rtl/>
          <w:lang w:val="en-US"/>
        </w:rPr>
        <w:t xml:space="preserve"> تشرين الثاني/نوفمبر </w:t>
      </w:r>
      <w:r w:rsidRPr="006C4428">
        <w:rPr>
          <w:spacing w:val="-4"/>
          <w:rtl/>
          <w:lang w:val="en-US"/>
        </w:rPr>
        <w:t>2019</w:t>
      </w:r>
      <w:r w:rsidRPr="007B6F48">
        <w:rPr>
          <w:spacing w:val="-4"/>
          <w:rtl/>
          <w:lang w:val="en-US"/>
        </w:rPr>
        <w:t xml:space="preserve">، قدمت صاحبة البلاغ تعليقات على ملاحظات الدولة الطرف المؤرخة </w:t>
      </w:r>
      <w:r w:rsidRPr="006C4428">
        <w:rPr>
          <w:spacing w:val="-4"/>
          <w:rtl/>
          <w:lang w:val="en-US"/>
        </w:rPr>
        <w:t>9</w:t>
      </w:r>
      <w:r w:rsidRPr="007B6F48">
        <w:rPr>
          <w:spacing w:val="-4"/>
          <w:rtl/>
          <w:lang w:val="en-US"/>
        </w:rPr>
        <w:t xml:space="preserve"> تشرين الأول/أكتوبر </w:t>
      </w:r>
      <w:r w:rsidRPr="006C4428">
        <w:rPr>
          <w:spacing w:val="-4"/>
          <w:rtl/>
          <w:lang w:val="en-US"/>
        </w:rPr>
        <w:t>2019</w:t>
      </w:r>
      <w:r w:rsidRPr="007B6F48">
        <w:rPr>
          <w:spacing w:val="-4"/>
          <w:rtl/>
          <w:lang w:val="en-US"/>
        </w:rPr>
        <w:t>، مجادِلةً بأن الدولة الطرف لم تقدم أي معلومات جديدة عن شكواها. بل</w:t>
      </w:r>
      <w:r w:rsidR="007B6F48">
        <w:rPr>
          <w:rFonts w:hint="cs"/>
          <w:spacing w:val="-4"/>
          <w:rtl/>
          <w:lang w:val="en-US"/>
        </w:rPr>
        <w:t> </w:t>
      </w:r>
      <w:r w:rsidRPr="007B6F48">
        <w:rPr>
          <w:spacing w:val="-4"/>
          <w:rtl/>
          <w:lang w:val="en-US"/>
        </w:rPr>
        <w:t xml:space="preserve">يمكن اعتبار الملاحظات بمثابة اعتراف بأن الانتهاكات التي زعمت وقوعها قد حدثت بالفعل. </w:t>
      </w:r>
    </w:p>
    <w:p w14:paraId="188DC31E" w14:textId="53E6891B" w:rsidR="00CF274D" w:rsidRPr="00CF274D" w:rsidRDefault="00CF274D" w:rsidP="00CF274D">
      <w:pPr>
        <w:pStyle w:val="SingleTxtGA"/>
        <w:rPr>
          <w:lang w:val="en-US"/>
        </w:rPr>
      </w:pPr>
      <w:r w:rsidRPr="006C4428">
        <w:rPr>
          <w:rtl/>
          <w:lang w:val="en-US"/>
        </w:rPr>
        <w:t>5</w:t>
      </w:r>
      <w:r w:rsidRPr="00CF274D">
        <w:rPr>
          <w:rtl/>
          <w:lang w:val="en-US"/>
        </w:rPr>
        <w:t>-</w:t>
      </w:r>
      <w:r w:rsidRPr="006C4428">
        <w:rPr>
          <w:rtl/>
          <w:lang w:val="en-US"/>
        </w:rPr>
        <w:t>2</w:t>
      </w:r>
      <w:r w:rsidRPr="00CF274D">
        <w:rPr>
          <w:rtl/>
          <w:lang w:val="en-US"/>
        </w:rPr>
        <w:tab/>
        <w:t xml:space="preserve">فرسالة صاحبة البلاغ الأولية المؤرخة </w:t>
      </w:r>
      <w:r w:rsidRPr="006C4428">
        <w:rPr>
          <w:rtl/>
          <w:lang w:val="en-US"/>
        </w:rPr>
        <w:t>2</w:t>
      </w:r>
      <w:r w:rsidRPr="00CF274D">
        <w:rPr>
          <w:rtl/>
          <w:lang w:val="en-US"/>
        </w:rPr>
        <w:t xml:space="preserve"> أيار/مايو </w:t>
      </w:r>
      <w:r w:rsidRPr="006C4428">
        <w:rPr>
          <w:rtl/>
          <w:lang w:val="en-US"/>
        </w:rPr>
        <w:t>2018</w:t>
      </w:r>
      <w:r w:rsidRPr="00CF274D">
        <w:rPr>
          <w:rtl/>
          <w:lang w:val="en-US"/>
        </w:rPr>
        <w:t xml:space="preserve"> تثبت وقوع انتهاكات للمادة </w:t>
      </w:r>
      <w:r w:rsidRPr="006C4428">
        <w:rPr>
          <w:rtl/>
          <w:lang w:val="en-US"/>
        </w:rPr>
        <w:t>5</w:t>
      </w:r>
      <w:r w:rsidRPr="00CF274D">
        <w:rPr>
          <w:rtl/>
          <w:lang w:val="en-US"/>
        </w:rPr>
        <w:t>(</w:t>
      </w:r>
      <w:r w:rsidRPr="006C4428">
        <w:rPr>
          <w:rtl/>
          <w:lang w:val="en-US"/>
        </w:rPr>
        <w:t>2</w:t>
      </w:r>
      <w:r w:rsidRPr="00CF274D">
        <w:rPr>
          <w:rtl/>
          <w:lang w:val="en-US"/>
        </w:rPr>
        <w:t xml:space="preserve">)(ب) من البروتوكول الاختياري والمادة </w:t>
      </w:r>
      <w:r w:rsidRPr="006C4428">
        <w:rPr>
          <w:rtl/>
          <w:lang w:val="en-US"/>
        </w:rPr>
        <w:t>17</w:t>
      </w:r>
      <w:r w:rsidRPr="00CF274D">
        <w:rPr>
          <w:rtl/>
          <w:lang w:val="en-US"/>
        </w:rPr>
        <w:t xml:space="preserve"> من العهد، ويكملها الموجزان المؤرخان </w:t>
      </w:r>
      <w:r w:rsidRPr="006C4428">
        <w:rPr>
          <w:rtl/>
          <w:lang w:val="en-US"/>
        </w:rPr>
        <w:t>9</w:t>
      </w:r>
      <w:r w:rsidRPr="00CF274D">
        <w:rPr>
          <w:rtl/>
          <w:lang w:val="en-US"/>
        </w:rPr>
        <w:t xml:space="preserve"> حزيران/</w:t>
      </w:r>
      <w:proofErr w:type="gramStart"/>
      <w:r w:rsidRPr="00CF274D">
        <w:rPr>
          <w:rtl/>
          <w:lang w:val="en-US"/>
        </w:rPr>
        <w:t>يونيه</w:t>
      </w:r>
      <w:proofErr w:type="gramEnd"/>
      <w:r w:rsidRPr="00CF274D">
        <w:rPr>
          <w:rtl/>
          <w:lang w:val="en-US"/>
        </w:rPr>
        <w:t xml:space="preserve"> </w:t>
      </w:r>
      <w:r w:rsidRPr="006C4428">
        <w:rPr>
          <w:rtl/>
          <w:lang w:val="en-US"/>
        </w:rPr>
        <w:t>2018</w:t>
      </w:r>
      <w:r w:rsidRPr="00CF274D">
        <w:rPr>
          <w:rtl/>
          <w:lang w:val="en-US"/>
        </w:rPr>
        <w:t xml:space="preserve"> و</w:t>
      </w:r>
      <w:r w:rsidRPr="006C4428">
        <w:rPr>
          <w:rtl/>
          <w:lang w:val="en-US"/>
        </w:rPr>
        <w:t>21</w:t>
      </w:r>
      <w:r w:rsidR="00A81B9C">
        <w:rPr>
          <w:rFonts w:hint="cs"/>
          <w:rtl/>
          <w:lang w:val="en-US"/>
        </w:rPr>
        <w:t> </w:t>
      </w:r>
      <w:r w:rsidRPr="00CF274D">
        <w:rPr>
          <w:rtl/>
          <w:lang w:val="en-US"/>
        </w:rPr>
        <w:t xml:space="preserve">تشرين الثاني/نوفمبر </w:t>
      </w:r>
      <w:r w:rsidRPr="006C4428">
        <w:rPr>
          <w:rtl/>
          <w:lang w:val="en-US"/>
        </w:rPr>
        <w:t>2018</w:t>
      </w:r>
      <w:r w:rsidRPr="00CF274D">
        <w:rPr>
          <w:rtl/>
          <w:lang w:val="en-US"/>
        </w:rPr>
        <w:t xml:space="preserve"> اللذان يدعمان ادعاءات صاحبة البلاغ حدوث انتهاك لحقوقها بموجب المادتين </w:t>
      </w:r>
      <w:r w:rsidRPr="006C4428">
        <w:rPr>
          <w:rtl/>
          <w:lang w:val="en-US"/>
        </w:rPr>
        <w:t>17</w:t>
      </w:r>
      <w:r w:rsidRPr="00CF274D">
        <w:rPr>
          <w:rtl/>
          <w:lang w:val="en-US"/>
        </w:rPr>
        <w:t xml:space="preserve"> و</w:t>
      </w:r>
      <w:r w:rsidRPr="006C4428">
        <w:rPr>
          <w:rtl/>
          <w:lang w:val="en-US"/>
        </w:rPr>
        <w:t>26</w:t>
      </w:r>
      <w:r w:rsidRPr="00CF274D">
        <w:rPr>
          <w:rtl/>
          <w:lang w:val="en-US"/>
        </w:rPr>
        <w:t xml:space="preserve"> من العهد.</w:t>
      </w:r>
    </w:p>
    <w:p w14:paraId="11830EEC" w14:textId="2597613C" w:rsidR="00CF274D" w:rsidRPr="00CF274D" w:rsidRDefault="00CF274D" w:rsidP="00CF274D">
      <w:pPr>
        <w:pStyle w:val="SingleTxtGA"/>
        <w:rPr>
          <w:lang w:val="en-US"/>
        </w:rPr>
      </w:pPr>
      <w:r w:rsidRPr="006C4428">
        <w:rPr>
          <w:rtl/>
          <w:lang w:val="en-US"/>
        </w:rPr>
        <w:t>5</w:t>
      </w:r>
      <w:r w:rsidRPr="00CF274D">
        <w:rPr>
          <w:rtl/>
          <w:lang w:val="en-US"/>
        </w:rPr>
        <w:t>-</w:t>
      </w:r>
      <w:r w:rsidRPr="006C4428">
        <w:rPr>
          <w:rtl/>
          <w:lang w:val="en-US"/>
        </w:rPr>
        <w:t>3</w:t>
      </w:r>
      <w:r w:rsidRPr="00CF274D">
        <w:rPr>
          <w:rtl/>
          <w:lang w:val="en-US"/>
        </w:rPr>
        <w:tab/>
        <w:t>أول</w:t>
      </w:r>
      <w:r w:rsidR="00647AA7">
        <w:rPr>
          <w:rtl/>
          <w:lang w:val="en-US"/>
        </w:rPr>
        <w:t>اً،</w:t>
      </w:r>
      <w:r w:rsidRPr="00CF274D">
        <w:rPr>
          <w:rtl/>
          <w:lang w:val="en-US"/>
        </w:rPr>
        <w:t xml:space="preserve"> تكرر صاحبة البلاغ أن الإجراءات في استئنافها رفْض طلبها الحصولَ على الجنسية قد</w:t>
      </w:r>
      <w:r w:rsidR="00A81B9C">
        <w:rPr>
          <w:rFonts w:hint="cs"/>
          <w:rtl/>
          <w:lang w:val="en-US"/>
        </w:rPr>
        <w:t> </w:t>
      </w:r>
      <w:r w:rsidRPr="00CF274D">
        <w:rPr>
          <w:rtl/>
          <w:lang w:val="en-US"/>
        </w:rPr>
        <w:t>طالت طول</w:t>
      </w:r>
      <w:r w:rsidR="00647AA7">
        <w:rPr>
          <w:rtl/>
          <w:lang w:val="en-US"/>
        </w:rPr>
        <w:t xml:space="preserve">اً </w:t>
      </w:r>
      <w:r w:rsidRPr="00CF274D">
        <w:rPr>
          <w:rtl/>
          <w:lang w:val="en-US"/>
        </w:rPr>
        <w:t>غير معقول وأنه بعد ثلاث رسائل تذكيرية لاتخاذ قرار عاجل، ردت المحكمة الإدارية الإقليمية بأنها لا تستطيع التعجيل بالإجراءات لأن النظر في القضايا يخضع لترتيب زمني محدد. وترى</w:t>
      </w:r>
      <w:r w:rsidR="00A81B9C">
        <w:rPr>
          <w:rFonts w:hint="cs"/>
          <w:rtl/>
          <w:lang w:val="en-US"/>
        </w:rPr>
        <w:t> </w:t>
      </w:r>
      <w:r w:rsidRPr="00CF274D">
        <w:rPr>
          <w:rtl/>
          <w:lang w:val="en-US"/>
        </w:rPr>
        <w:t xml:space="preserve">صاحبة البلاغ أن المحكمة الإدارية لن تستطيع التقيد بالأجل القانوني المحدد في ثلاث سنوات لإصدار حكمها الابتدائي (وهو الأجل الذي ينتهي في </w:t>
      </w:r>
      <w:r w:rsidRPr="006C4428">
        <w:rPr>
          <w:rtl/>
          <w:lang w:val="en-US"/>
        </w:rPr>
        <w:t>30</w:t>
      </w:r>
      <w:r w:rsidRPr="00CF274D">
        <w:rPr>
          <w:rtl/>
          <w:lang w:val="en-US"/>
        </w:rPr>
        <w:t xml:space="preserve"> كانون الأول/ديسمبر </w:t>
      </w:r>
      <w:r w:rsidRPr="006C4428">
        <w:rPr>
          <w:rtl/>
          <w:lang w:val="en-US"/>
        </w:rPr>
        <w:t>201</w:t>
      </w:r>
      <w:r w:rsidR="00BD2E54" w:rsidRPr="006C4428">
        <w:rPr>
          <w:rtl/>
          <w:lang w:val="en-US"/>
        </w:rPr>
        <w:t>9</w:t>
      </w:r>
      <w:r w:rsidR="00BD2E54" w:rsidRPr="00BD2E54">
        <w:rPr>
          <w:rtl/>
          <w:lang w:val="en-US"/>
        </w:rPr>
        <w:t xml:space="preserve">). </w:t>
      </w:r>
      <w:r w:rsidRPr="00CF274D">
        <w:rPr>
          <w:rtl/>
          <w:lang w:val="en-US"/>
        </w:rPr>
        <w:t xml:space="preserve">وتذكّر بأنها عانت التمييزَ لأن الحق في الفصل في قضيتها في وقت معقول لم يحترم. </w:t>
      </w:r>
    </w:p>
    <w:p w14:paraId="6BE02FF9" w14:textId="77777777" w:rsidR="00CF274D" w:rsidRPr="00CF274D" w:rsidRDefault="00CF274D" w:rsidP="00CF274D">
      <w:pPr>
        <w:pStyle w:val="SingleTxtGA"/>
        <w:rPr>
          <w:lang w:val="en-US"/>
        </w:rPr>
      </w:pPr>
      <w:r w:rsidRPr="006C4428">
        <w:rPr>
          <w:rtl/>
          <w:lang w:val="en-US"/>
        </w:rPr>
        <w:t>5</w:t>
      </w:r>
      <w:r w:rsidRPr="00CF274D">
        <w:rPr>
          <w:rtl/>
          <w:lang w:val="en-US"/>
        </w:rPr>
        <w:t>-</w:t>
      </w:r>
      <w:r w:rsidRPr="006C4428">
        <w:rPr>
          <w:rtl/>
          <w:lang w:val="en-US"/>
        </w:rPr>
        <w:t>4</w:t>
      </w:r>
      <w:r w:rsidRPr="00CF274D">
        <w:rPr>
          <w:rtl/>
          <w:lang w:val="en-US"/>
        </w:rPr>
        <w:tab/>
        <w:t xml:space="preserve">وفيما يخص ادعاءاتها بمقتضى المادتين </w:t>
      </w:r>
      <w:r w:rsidRPr="006C4428">
        <w:rPr>
          <w:rtl/>
          <w:lang w:val="en-US"/>
        </w:rPr>
        <w:t>17</w:t>
      </w:r>
      <w:r w:rsidRPr="00CF274D">
        <w:rPr>
          <w:rtl/>
          <w:lang w:val="en-US"/>
        </w:rPr>
        <w:t xml:space="preserve"> و</w:t>
      </w:r>
      <w:r w:rsidRPr="006C4428">
        <w:rPr>
          <w:rtl/>
          <w:lang w:val="en-US"/>
        </w:rPr>
        <w:t>26</w:t>
      </w:r>
      <w:r w:rsidRPr="00CF274D">
        <w:rPr>
          <w:rtl/>
          <w:lang w:val="en-US"/>
        </w:rPr>
        <w:t xml:space="preserve"> من العهد، تكرر صاحبة البلاغ أن سلطات الدولة الطرف حكمت عليها بسبب ظروف تتعلق بزوجها، وهو أمر ينطوي على تمييز. وعدم النظر في ظروفها الخاصة يبلغ حد انتهاك الحق في احترام الحياة الخاصة والأسرية. </w:t>
      </w:r>
    </w:p>
    <w:p w14:paraId="129D6529" w14:textId="5713EFA3" w:rsidR="00CF274D" w:rsidRPr="00CF274D" w:rsidRDefault="00CF274D" w:rsidP="00CF274D">
      <w:pPr>
        <w:pStyle w:val="SingleTxtGA"/>
        <w:rPr>
          <w:lang w:val="en-US"/>
        </w:rPr>
      </w:pPr>
      <w:r w:rsidRPr="006C4428">
        <w:rPr>
          <w:rtl/>
          <w:lang w:val="en-US"/>
        </w:rPr>
        <w:t>5</w:t>
      </w:r>
      <w:r w:rsidRPr="00CF274D">
        <w:rPr>
          <w:rtl/>
          <w:lang w:val="en-US"/>
        </w:rPr>
        <w:t>-</w:t>
      </w:r>
      <w:r w:rsidRPr="006C4428">
        <w:rPr>
          <w:rtl/>
          <w:lang w:val="en-US"/>
        </w:rPr>
        <w:t>5</w:t>
      </w:r>
      <w:r w:rsidRPr="00CF274D">
        <w:rPr>
          <w:rtl/>
          <w:lang w:val="en-US"/>
        </w:rPr>
        <w:tab/>
        <w:t xml:space="preserve">وتعترض صاحبة البلاغ على الافتراضات الزائفة عن زوجها، التي أثرت سلبياً على صاحبة البلاغ، التي تجادل بأن هذه "الصلة الزائفة" بين الزوجين قد </w:t>
      </w:r>
      <w:proofErr w:type="spellStart"/>
      <w:r w:rsidRPr="00CF274D">
        <w:rPr>
          <w:rtl/>
          <w:lang w:val="en-US"/>
        </w:rPr>
        <w:t>دحضتها</w:t>
      </w:r>
      <w:proofErr w:type="spellEnd"/>
      <w:r w:rsidRPr="00CF274D">
        <w:rPr>
          <w:rtl/>
          <w:lang w:val="en-US"/>
        </w:rPr>
        <w:t xml:space="preserve"> المحكمة الدستورية، التي قضت في حكمها رقم </w:t>
      </w:r>
      <w:r w:rsidRPr="006C4428">
        <w:rPr>
          <w:rtl/>
          <w:lang w:val="en-US"/>
        </w:rPr>
        <w:t>78</w:t>
      </w:r>
      <w:r w:rsidRPr="00CF274D">
        <w:rPr>
          <w:rtl/>
          <w:lang w:val="en-US"/>
        </w:rPr>
        <w:t>/</w:t>
      </w:r>
      <w:r w:rsidRPr="006C4428">
        <w:rPr>
          <w:rtl/>
          <w:lang w:val="en-US"/>
        </w:rPr>
        <w:t>2019</w:t>
      </w:r>
      <w:r w:rsidRPr="00CF274D">
        <w:rPr>
          <w:rtl/>
          <w:lang w:val="en-US"/>
        </w:rPr>
        <w:t xml:space="preserve"> بأن الزوجة والزوج ليس بينهما صلة قرابة لأنهما غير مرتبطين بوصفهما قريبين. ويدحض هذا المبدأ الادعاء "الزائف الذي لا أساس له" والذي استند إليه قرار الإدارة التي رفضت طلب صاحبة البلاغ بسبب أنشطة زوجها المزعومة. وفي </w:t>
      </w:r>
      <w:r w:rsidRPr="006C4428">
        <w:rPr>
          <w:rtl/>
          <w:lang w:val="en-US"/>
        </w:rPr>
        <w:t>29</w:t>
      </w:r>
      <w:r w:rsidRPr="00CF274D">
        <w:rPr>
          <w:rtl/>
          <w:lang w:val="en-US"/>
        </w:rPr>
        <w:t xml:space="preserve"> تشرين الأول/أكتوبر </w:t>
      </w:r>
      <w:r w:rsidRPr="006C4428">
        <w:rPr>
          <w:rtl/>
          <w:lang w:val="en-US"/>
        </w:rPr>
        <w:t>2019</w:t>
      </w:r>
      <w:r w:rsidRPr="00CF274D">
        <w:rPr>
          <w:rtl/>
          <w:lang w:val="en-US"/>
        </w:rPr>
        <w:t>، طلبت صاحبة البلاغ من الإدارة إجراء تقييم جديد لقرار رفض طلبها الحصول على الجنسية، لكنها لم تحصل على أي جواب. وأخير</w:t>
      </w:r>
      <w:r w:rsidR="00647AA7">
        <w:rPr>
          <w:rtl/>
          <w:lang w:val="en-US"/>
        </w:rPr>
        <w:t>اً،</w:t>
      </w:r>
      <w:r w:rsidRPr="00CF274D">
        <w:rPr>
          <w:rtl/>
          <w:lang w:val="en-US"/>
        </w:rPr>
        <w:t xml:space="preserve"> تدين صاحبة البلاغ إشارات الدولة الطرف إلى موجة الإرهاب، التي اعتبرتها مسيئة، وتطلب الاعتذار. </w:t>
      </w:r>
    </w:p>
    <w:p w14:paraId="3B3E998E" w14:textId="77777777" w:rsidR="00CF274D" w:rsidRPr="006C4428" w:rsidRDefault="00CF274D" w:rsidP="007C3D8A">
      <w:pPr>
        <w:pStyle w:val="H23GA"/>
      </w:pPr>
      <w:r w:rsidRPr="006C4428">
        <w:rPr>
          <w:rtl/>
        </w:rPr>
        <w:tab/>
      </w:r>
      <w:r w:rsidRPr="006C4428">
        <w:rPr>
          <w:rtl/>
        </w:rPr>
        <w:tab/>
        <w:t>ملاحظات إضافية من الدولة الطرف</w:t>
      </w:r>
    </w:p>
    <w:p w14:paraId="6B95B73F" w14:textId="77777777" w:rsidR="00CF274D" w:rsidRPr="00CF274D" w:rsidRDefault="00CF274D" w:rsidP="00CF274D">
      <w:pPr>
        <w:pStyle w:val="SingleTxtGA"/>
        <w:rPr>
          <w:lang w:val="en-US"/>
        </w:rPr>
      </w:pPr>
      <w:r w:rsidRPr="006C4428">
        <w:rPr>
          <w:rtl/>
          <w:lang w:val="en-US"/>
        </w:rPr>
        <w:t>6</w:t>
      </w:r>
      <w:r w:rsidRPr="00CF274D">
        <w:rPr>
          <w:rtl/>
          <w:lang w:val="en-US"/>
        </w:rPr>
        <w:t>-</w:t>
      </w:r>
      <w:r w:rsidRPr="006C4428">
        <w:rPr>
          <w:rtl/>
          <w:lang w:val="en-US"/>
        </w:rPr>
        <w:t>1</w:t>
      </w:r>
      <w:r w:rsidRPr="00CF274D">
        <w:rPr>
          <w:rtl/>
          <w:lang w:val="en-US"/>
        </w:rPr>
        <w:tab/>
        <w:t xml:space="preserve">في </w:t>
      </w:r>
      <w:r w:rsidRPr="006C4428">
        <w:rPr>
          <w:rtl/>
          <w:lang w:val="en-US"/>
        </w:rPr>
        <w:t>9</w:t>
      </w:r>
      <w:r w:rsidRPr="00CF274D">
        <w:rPr>
          <w:rtl/>
          <w:lang w:val="en-US"/>
        </w:rPr>
        <w:t xml:space="preserve"> تشرين الثاني/نوفمبر </w:t>
      </w:r>
      <w:r w:rsidRPr="006C4428">
        <w:rPr>
          <w:rtl/>
          <w:lang w:val="en-US"/>
        </w:rPr>
        <w:t>2020</w:t>
      </w:r>
      <w:r w:rsidRPr="00CF274D">
        <w:rPr>
          <w:rtl/>
          <w:lang w:val="en-US"/>
        </w:rPr>
        <w:t xml:space="preserve">، ذكّرت الدولة الطرف بملاحظاتها السابقة المؤرخة </w:t>
      </w:r>
      <w:r w:rsidRPr="006C4428">
        <w:rPr>
          <w:rtl/>
          <w:lang w:val="en-US"/>
        </w:rPr>
        <w:t>9</w:t>
      </w:r>
      <w:r w:rsidRPr="00CF274D">
        <w:rPr>
          <w:rtl/>
          <w:lang w:val="en-US"/>
        </w:rPr>
        <w:t xml:space="preserve"> تشرين الأول/أكتوبر </w:t>
      </w:r>
      <w:r w:rsidRPr="006C4428">
        <w:rPr>
          <w:rtl/>
          <w:lang w:val="en-US"/>
        </w:rPr>
        <w:t>2019</w:t>
      </w:r>
      <w:r w:rsidRPr="00CF274D">
        <w:rPr>
          <w:rtl/>
          <w:lang w:val="en-US"/>
        </w:rPr>
        <w:t xml:space="preserve"> فكررت أن صاحبة البلاغ تمكنت من التقدم بطلب للحصول على سبل انتصاف محلية، وهي متاحة وفعالة على حد سواء. </w:t>
      </w:r>
    </w:p>
    <w:p w14:paraId="69A3E3D8" w14:textId="6DCFB41E" w:rsidR="00CF274D" w:rsidRPr="007B6F48" w:rsidRDefault="00CF274D" w:rsidP="007B6F48">
      <w:pPr>
        <w:pStyle w:val="SingleTxtGA"/>
        <w:spacing w:line="346" w:lineRule="exact"/>
        <w:rPr>
          <w:spacing w:val="-2"/>
          <w:lang w:val="en-US"/>
        </w:rPr>
      </w:pPr>
      <w:r w:rsidRPr="006C4428">
        <w:rPr>
          <w:rtl/>
          <w:lang w:val="en-US"/>
        </w:rPr>
        <w:lastRenderedPageBreak/>
        <w:t>6</w:t>
      </w:r>
      <w:r w:rsidRPr="00CF274D">
        <w:rPr>
          <w:rtl/>
          <w:lang w:val="en-US"/>
        </w:rPr>
        <w:t>-</w:t>
      </w:r>
      <w:r w:rsidRPr="006C4428">
        <w:rPr>
          <w:rtl/>
          <w:lang w:val="en-US"/>
        </w:rPr>
        <w:t>2</w:t>
      </w:r>
      <w:r w:rsidRPr="00CF274D">
        <w:rPr>
          <w:rtl/>
          <w:lang w:val="en-US"/>
        </w:rPr>
        <w:tab/>
        <w:t>ومن وجهة نظر قضائية، قدمت صاحبة البلاغ استئناف</w:t>
      </w:r>
      <w:r w:rsidR="00647AA7">
        <w:rPr>
          <w:rtl/>
          <w:lang w:val="en-US"/>
        </w:rPr>
        <w:t xml:space="preserve">اً </w:t>
      </w:r>
      <w:r w:rsidRPr="00CF274D">
        <w:rPr>
          <w:rtl/>
          <w:lang w:val="en-US"/>
        </w:rPr>
        <w:t>(</w:t>
      </w:r>
      <w:r w:rsidRPr="00CF274D">
        <w:rPr>
          <w:lang w:val="en-US"/>
        </w:rPr>
        <w:t xml:space="preserve">NRG </w:t>
      </w:r>
      <w:r w:rsidRPr="006C4428">
        <w:rPr>
          <w:lang w:val="en-US"/>
        </w:rPr>
        <w:t>15655</w:t>
      </w:r>
      <w:r w:rsidRPr="00CF274D">
        <w:rPr>
          <w:lang w:val="en-US"/>
        </w:rPr>
        <w:t>/</w:t>
      </w:r>
      <w:r w:rsidRPr="006C4428">
        <w:rPr>
          <w:lang w:val="en-US"/>
        </w:rPr>
        <w:t>201</w:t>
      </w:r>
      <w:r w:rsidR="00BD2E54" w:rsidRPr="006C4428">
        <w:rPr>
          <w:lang w:val="en-US"/>
        </w:rPr>
        <w:t>6</w:t>
      </w:r>
      <w:r w:rsidR="00BD2E54" w:rsidRPr="00BD2E54">
        <w:rPr>
          <w:rtl/>
          <w:lang w:val="en-US"/>
        </w:rPr>
        <w:t xml:space="preserve">) </w:t>
      </w:r>
      <w:r w:rsidRPr="00CF274D">
        <w:rPr>
          <w:rtl/>
          <w:lang w:val="en-US"/>
        </w:rPr>
        <w:t xml:space="preserve">في </w:t>
      </w:r>
      <w:r w:rsidRPr="006C4428">
        <w:rPr>
          <w:rtl/>
          <w:lang w:val="en-US"/>
        </w:rPr>
        <w:t>30</w:t>
      </w:r>
      <w:r w:rsidRPr="00CF274D">
        <w:rPr>
          <w:rtl/>
          <w:lang w:val="en-US"/>
        </w:rPr>
        <w:t xml:space="preserve"> كانون الأول/ديسمبر </w:t>
      </w:r>
      <w:r w:rsidRPr="006C4428">
        <w:rPr>
          <w:rtl/>
          <w:lang w:val="en-US"/>
        </w:rPr>
        <w:t>2016</w:t>
      </w:r>
      <w:r w:rsidRPr="00CF274D">
        <w:rPr>
          <w:rtl/>
          <w:lang w:val="en-US"/>
        </w:rPr>
        <w:t xml:space="preserve"> إلى المحكمة الإدارية الإقليمية أُحيل إلى الدائرة "</w:t>
      </w:r>
      <w:r w:rsidRPr="00CF274D">
        <w:rPr>
          <w:lang w:val="en-US"/>
        </w:rPr>
        <w:t>prima-</w:t>
      </w:r>
      <w:proofErr w:type="spellStart"/>
      <w:r w:rsidRPr="00CF274D">
        <w:rPr>
          <w:lang w:val="en-US"/>
        </w:rPr>
        <w:t>ter</w:t>
      </w:r>
      <w:proofErr w:type="spellEnd"/>
      <w:r w:rsidRPr="00CF274D">
        <w:rPr>
          <w:rtl/>
          <w:lang w:val="en-US"/>
        </w:rPr>
        <w:t xml:space="preserve">" في </w:t>
      </w:r>
      <w:r w:rsidRPr="006C4428">
        <w:rPr>
          <w:rtl/>
          <w:lang w:val="en-US"/>
        </w:rPr>
        <w:t>16</w:t>
      </w:r>
      <w:r w:rsidRPr="00CF274D">
        <w:rPr>
          <w:rtl/>
          <w:lang w:val="en-US"/>
        </w:rPr>
        <w:t xml:space="preserve"> كانون </w:t>
      </w:r>
      <w:r w:rsidRPr="007B6F48">
        <w:rPr>
          <w:spacing w:val="-4"/>
          <w:rtl/>
          <w:lang w:val="en-US"/>
        </w:rPr>
        <w:t xml:space="preserve">الثاني/يناير </w:t>
      </w:r>
      <w:r w:rsidRPr="006C4428">
        <w:rPr>
          <w:spacing w:val="-4"/>
          <w:rtl/>
          <w:lang w:val="en-US"/>
        </w:rPr>
        <w:t>201</w:t>
      </w:r>
      <w:r w:rsidR="00BD2E54" w:rsidRPr="006C4428">
        <w:rPr>
          <w:spacing w:val="-4"/>
          <w:rtl/>
          <w:lang w:val="en-US"/>
        </w:rPr>
        <w:t>7</w:t>
      </w:r>
      <w:r w:rsidR="00BD2E54" w:rsidRPr="00BD2E54">
        <w:rPr>
          <w:spacing w:val="-4"/>
          <w:rtl/>
          <w:lang w:val="en-US"/>
        </w:rPr>
        <w:t xml:space="preserve">. </w:t>
      </w:r>
      <w:r w:rsidRPr="007B6F48">
        <w:rPr>
          <w:spacing w:val="-4"/>
          <w:rtl/>
          <w:lang w:val="en-US"/>
        </w:rPr>
        <w:t>والتمست إلغاء قرار وزارة الداخلية (</w:t>
      </w:r>
      <w:r w:rsidRPr="007B6F48">
        <w:rPr>
          <w:spacing w:val="-4"/>
          <w:lang w:val="en-US"/>
        </w:rPr>
        <w:t>K</w:t>
      </w:r>
      <w:r w:rsidRPr="006C4428">
        <w:rPr>
          <w:spacing w:val="-4"/>
          <w:lang w:val="en-US"/>
        </w:rPr>
        <w:t>10</w:t>
      </w:r>
      <w:r w:rsidRPr="007B6F48">
        <w:rPr>
          <w:spacing w:val="-4"/>
          <w:lang w:val="en-US"/>
        </w:rPr>
        <w:t>/</w:t>
      </w:r>
      <w:r w:rsidRPr="006C4428">
        <w:rPr>
          <w:spacing w:val="-4"/>
          <w:lang w:val="en-US"/>
        </w:rPr>
        <w:t>458855</w:t>
      </w:r>
      <w:r w:rsidRPr="007B6F48">
        <w:rPr>
          <w:spacing w:val="-4"/>
          <w:lang w:val="en-US"/>
        </w:rPr>
        <w:t>/</w:t>
      </w:r>
      <w:r w:rsidR="00BD2E54" w:rsidRPr="00BD2E54">
        <w:rPr>
          <w:spacing w:val="-4"/>
          <w:lang w:val="en-US"/>
        </w:rPr>
        <w:t>R</w:t>
      </w:r>
      <w:r w:rsidR="00BD2E54" w:rsidRPr="00BD2E54">
        <w:rPr>
          <w:spacing w:val="-4"/>
          <w:rtl/>
          <w:lang w:val="en-US"/>
        </w:rPr>
        <w:t xml:space="preserve">) </w:t>
      </w:r>
      <w:r w:rsidRPr="007B6F48">
        <w:rPr>
          <w:spacing w:val="-4"/>
          <w:rtl/>
          <w:lang w:val="en-US"/>
        </w:rPr>
        <w:t xml:space="preserve">المؤرخ </w:t>
      </w:r>
      <w:r w:rsidRPr="006C4428">
        <w:rPr>
          <w:spacing w:val="-4"/>
          <w:rtl/>
          <w:lang w:val="en-US"/>
        </w:rPr>
        <w:t>22</w:t>
      </w:r>
      <w:r w:rsidRPr="007B6F48">
        <w:rPr>
          <w:spacing w:val="-4"/>
          <w:rtl/>
          <w:lang w:val="en-US"/>
        </w:rPr>
        <w:t xml:space="preserve"> أيلول/سبتمبر </w:t>
      </w:r>
      <w:r w:rsidRPr="006C4428">
        <w:rPr>
          <w:spacing w:val="-4"/>
          <w:rtl/>
          <w:lang w:val="en-US"/>
        </w:rPr>
        <w:t>2016</w:t>
      </w:r>
      <w:r w:rsidRPr="007B6F48">
        <w:rPr>
          <w:spacing w:val="-4"/>
          <w:rtl/>
          <w:lang w:val="en-US"/>
        </w:rPr>
        <w:t>،</w:t>
      </w:r>
      <w:r w:rsidRPr="00CF274D">
        <w:rPr>
          <w:rtl/>
          <w:lang w:val="en-US"/>
        </w:rPr>
        <w:t xml:space="preserve"> الذي يقضي برفض طلبها الحصول على الجنسية الإيطالية. ولم يتضمن استئنافها، الذي كان مصنف</w:t>
      </w:r>
      <w:r w:rsidR="00647AA7">
        <w:rPr>
          <w:rtl/>
          <w:lang w:val="en-US"/>
        </w:rPr>
        <w:t xml:space="preserve">اً </w:t>
      </w:r>
      <w:r w:rsidRPr="00CF274D">
        <w:rPr>
          <w:rtl/>
          <w:lang w:val="en-US"/>
        </w:rPr>
        <w:t xml:space="preserve">على </w:t>
      </w:r>
      <w:r w:rsidRPr="007B6F48">
        <w:rPr>
          <w:spacing w:val="-4"/>
          <w:rtl/>
          <w:lang w:val="en-US"/>
        </w:rPr>
        <w:t xml:space="preserve">أنه عادي وقت إيداعه، طلب اتخاذ تدابير وقائية. ومع ذلك، طعنت صاحبة البلاغ بموجب إجراء الاستئناف </w:t>
      </w:r>
      <w:r w:rsidRPr="007B6F48">
        <w:rPr>
          <w:spacing w:val="-2"/>
          <w:rtl/>
          <w:lang w:val="en-US"/>
        </w:rPr>
        <w:t>في قرار الوزارة رفض طلبها الحصول على معلومات سرية، عمل</w:t>
      </w:r>
      <w:r w:rsidR="00647AA7">
        <w:rPr>
          <w:spacing w:val="-2"/>
          <w:rtl/>
          <w:lang w:val="en-US"/>
        </w:rPr>
        <w:t xml:space="preserve">اً </w:t>
      </w:r>
      <w:r w:rsidRPr="007B6F48">
        <w:rPr>
          <w:spacing w:val="-2"/>
          <w:rtl/>
          <w:lang w:val="en-US"/>
        </w:rPr>
        <w:t xml:space="preserve">بالمادة </w:t>
      </w:r>
      <w:r w:rsidRPr="006C4428">
        <w:rPr>
          <w:spacing w:val="-2"/>
          <w:rtl/>
          <w:lang w:val="en-US"/>
        </w:rPr>
        <w:t>116</w:t>
      </w:r>
      <w:r w:rsidRPr="007B6F48">
        <w:rPr>
          <w:spacing w:val="-2"/>
          <w:rtl/>
          <w:lang w:val="en-US"/>
        </w:rPr>
        <w:t xml:space="preserve"> من قانون القضاء الإداري.</w:t>
      </w:r>
    </w:p>
    <w:p w14:paraId="4F68CE54" w14:textId="6D64433D" w:rsidR="00CF274D" w:rsidRPr="00CF274D" w:rsidRDefault="00CF274D" w:rsidP="007B6F48">
      <w:pPr>
        <w:pStyle w:val="SingleTxtGA"/>
        <w:spacing w:line="346" w:lineRule="exact"/>
        <w:rPr>
          <w:lang w:val="en-US"/>
        </w:rPr>
      </w:pPr>
      <w:r w:rsidRPr="006C4428">
        <w:rPr>
          <w:rtl/>
          <w:lang w:val="en-US"/>
        </w:rPr>
        <w:t>6</w:t>
      </w:r>
      <w:r w:rsidRPr="00CF274D">
        <w:rPr>
          <w:rtl/>
          <w:lang w:val="en-US"/>
        </w:rPr>
        <w:t>-</w:t>
      </w:r>
      <w:r w:rsidRPr="006C4428">
        <w:rPr>
          <w:rtl/>
          <w:lang w:val="en-US"/>
        </w:rPr>
        <w:t>3</w:t>
      </w:r>
      <w:r w:rsidRPr="00CF274D">
        <w:rPr>
          <w:rtl/>
          <w:lang w:val="en-US"/>
        </w:rPr>
        <w:tab/>
      </w:r>
      <w:r w:rsidRPr="007B6F48">
        <w:rPr>
          <w:spacing w:val="-2"/>
          <w:rtl/>
          <w:lang w:val="en-US"/>
        </w:rPr>
        <w:t>وفيما يتعلق خصوص</w:t>
      </w:r>
      <w:r w:rsidR="00647AA7">
        <w:rPr>
          <w:spacing w:val="-2"/>
          <w:rtl/>
          <w:lang w:val="en-US"/>
        </w:rPr>
        <w:t xml:space="preserve">اً </w:t>
      </w:r>
      <w:r w:rsidRPr="007B6F48">
        <w:rPr>
          <w:spacing w:val="-2"/>
          <w:rtl/>
          <w:lang w:val="en-US"/>
        </w:rPr>
        <w:t>بطلب الحصول على المعلومات، كان من المقرر أن تعقد هيئة الاستئناف</w:t>
      </w:r>
      <w:r w:rsidRPr="00CF274D">
        <w:rPr>
          <w:rtl/>
          <w:lang w:val="en-US"/>
        </w:rPr>
        <w:t xml:space="preserve"> </w:t>
      </w:r>
      <w:r w:rsidRPr="007B6F48">
        <w:rPr>
          <w:spacing w:val="-4"/>
          <w:rtl/>
          <w:lang w:val="en-US"/>
        </w:rPr>
        <w:t xml:space="preserve">جلسة مخصصة للنظر في الطلب في </w:t>
      </w:r>
      <w:r w:rsidRPr="006C4428">
        <w:rPr>
          <w:spacing w:val="-4"/>
          <w:rtl/>
          <w:lang w:val="en-US"/>
        </w:rPr>
        <w:t>7</w:t>
      </w:r>
      <w:r w:rsidRPr="007B6F48">
        <w:rPr>
          <w:spacing w:val="-4"/>
          <w:rtl/>
          <w:lang w:val="en-US"/>
        </w:rPr>
        <w:t xml:space="preserve"> آذار/مارس </w:t>
      </w:r>
      <w:r w:rsidRPr="006C4428">
        <w:rPr>
          <w:spacing w:val="-4"/>
          <w:rtl/>
          <w:lang w:val="en-US"/>
        </w:rPr>
        <w:t>2017</w:t>
      </w:r>
      <w:r w:rsidRPr="007B6F48">
        <w:rPr>
          <w:spacing w:val="-4"/>
          <w:rtl/>
          <w:lang w:val="en-US"/>
        </w:rPr>
        <w:t xml:space="preserve">، وقد اعتمدت الأمر رقم </w:t>
      </w:r>
      <w:r w:rsidRPr="006C4428">
        <w:rPr>
          <w:spacing w:val="-4"/>
          <w:rtl/>
          <w:lang w:val="en-US"/>
        </w:rPr>
        <w:t>3894</w:t>
      </w:r>
      <w:r w:rsidRPr="007B6F48">
        <w:rPr>
          <w:spacing w:val="-4"/>
          <w:rtl/>
          <w:lang w:val="en-US"/>
        </w:rPr>
        <w:t>/</w:t>
      </w:r>
      <w:r w:rsidRPr="006C4428">
        <w:rPr>
          <w:spacing w:val="-4"/>
          <w:rtl/>
          <w:lang w:val="en-US"/>
        </w:rPr>
        <w:t>2017</w:t>
      </w:r>
      <w:r w:rsidRPr="007B6F48">
        <w:rPr>
          <w:spacing w:val="-4"/>
          <w:rtl/>
          <w:lang w:val="en-US"/>
        </w:rPr>
        <w:t>، المنشور</w:t>
      </w:r>
      <w:r w:rsidRPr="00CF274D">
        <w:rPr>
          <w:rtl/>
          <w:lang w:val="en-US"/>
        </w:rPr>
        <w:t xml:space="preserve"> </w:t>
      </w:r>
      <w:r w:rsidRPr="007B6F48">
        <w:rPr>
          <w:spacing w:val="-4"/>
          <w:rtl/>
          <w:lang w:val="en-US"/>
        </w:rPr>
        <w:t xml:space="preserve">في </w:t>
      </w:r>
      <w:r w:rsidRPr="006C4428">
        <w:rPr>
          <w:spacing w:val="-4"/>
          <w:rtl/>
          <w:lang w:val="en-US"/>
        </w:rPr>
        <w:t>24</w:t>
      </w:r>
      <w:r w:rsidRPr="007B6F48">
        <w:rPr>
          <w:spacing w:val="-4"/>
          <w:rtl/>
          <w:lang w:val="en-US"/>
        </w:rPr>
        <w:t xml:space="preserve"> آذار/مارس </w:t>
      </w:r>
      <w:r w:rsidRPr="006C4428">
        <w:rPr>
          <w:spacing w:val="-4"/>
          <w:rtl/>
          <w:lang w:val="en-US"/>
        </w:rPr>
        <w:t>2017</w:t>
      </w:r>
      <w:r w:rsidRPr="007B6F48">
        <w:rPr>
          <w:spacing w:val="-4"/>
          <w:rtl/>
          <w:lang w:val="en-US"/>
        </w:rPr>
        <w:t>، الذي لم يُقبل بمقتضاه الطلب المذكور آنف</w:t>
      </w:r>
      <w:r w:rsidR="00647AA7">
        <w:rPr>
          <w:spacing w:val="-4"/>
          <w:rtl/>
          <w:lang w:val="en-US"/>
        </w:rPr>
        <w:t xml:space="preserve">اً </w:t>
      </w:r>
      <w:r w:rsidRPr="007B6F48">
        <w:rPr>
          <w:spacing w:val="-4"/>
          <w:rtl/>
          <w:lang w:val="en-US"/>
        </w:rPr>
        <w:t>إلا من حيث علاقتُه بأي وثائق غير</w:t>
      </w:r>
      <w:r w:rsidRPr="00CF274D">
        <w:rPr>
          <w:rtl/>
          <w:lang w:val="en-US"/>
        </w:rPr>
        <w:t xml:space="preserve"> مصنفة سريةً أو رفعت عنها السرية، مع رفض الوصول إلى الوثائق ذات الطابع الخصوصي أو السري. وفي الوقت نفسه، تقرر عقد جلسة جديدة في </w:t>
      </w:r>
      <w:r w:rsidRPr="006C4428">
        <w:rPr>
          <w:rtl/>
          <w:lang w:val="en-US"/>
        </w:rPr>
        <w:t>28</w:t>
      </w:r>
      <w:r w:rsidRPr="00CF274D">
        <w:rPr>
          <w:rtl/>
          <w:lang w:val="en-US"/>
        </w:rPr>
        <w:t xml:space="preserve"> نيسان/أبريل </w:t>
      </w:r>
      <w:r w:rsidRPr="006C4428">
        <w:rPr>
          <w:rtl/>
          <w:lang w:val="en-US"/>
        </w:rPr>
        <w:t>201</w:t>
      </w:r>
      <w:r w:rsidR="00BD2E54" w:rsidRPr="006C4428">
        <w:rPr>
          <w:rtl/>
          <w:lang w:val="en-US"/>
        </w:rPr>
        <w:t>7</w:t>
      </w:r>
      <w:r w:rsidR="00BD2E54" w:rsidRPr="00BD2E54">
        <w:rPr>
          <w:rtl/>
          <w:lang w:val="en-US"/>
        </w:rPr>
        <w:t xml:space="preserve">. </w:t>
      </w:r>
      <w:r w:rsidRPr="00CF274D">
        <w:rPr>
          <w:rtl/>
          <w:lang w:val="en-US"/>
        </w:rPr>
        <w:t xml:space="preserve">وطُعن في الأمر الصادر عن الهيئة رقم </w:t>
      </w:r>
      <w:r w:rsidRPr="006C4428">
        <w:rPr>
          <w:rtl/>
          <w:lang w:val="en-US"/>
        </w:rPr>
        <w:t>3894</w:t>
      </w:r>
      <w:r w:rsidRPr="00CF274D">
        <w:rPr>
          <w:rtl/>
          <w:lang w:val="en-US"/>
        </w:rPr>
        <w:t>/</w:t>
      </w:r>
      <w:r w:rsidRPr="006C4428">
        <w:rPr>
          <w:rtl/>
          <w:lang w:val="en-US"/>
        </w:rPr>
        <w:t>2017</w:t>
      </w:r>
      <w:r w:rsidRPr="00CF274D">
        <w:rPr>
          <w:rtl/>
          <w:lang w:val="en-US"/>
        </w:rPr>
        <w:t xml:space="preserve"> أمام مجلس الدولة (الدائرة الثالثة</w:t>
      </w:r>
      <w:r w:rsidR="00BD2E54" w:rsidRPr="00BD2E54">
        <w:rPr>
          <w:rtl/>
          <w:lang w:val="en-US"/>
        </w:rPr>
        <w:t xml:space="preserve">)، </w:t>
      </w:r>
      <w:r w:rsidRPr="00CF274D">
        <w:rPr>
          <w:rtl/>
          <w:lang w:val="en-US"/>
        </w:rPr>
        <w:t xml:space="preserve">الذي قبل الاستئناف الوقائي بمقتضى الأمر رقم </w:t>
      </w:r>
      <w:r w:rsidRPr="006C4428">
        <w:rPr>
          <w:rtl/>
          <w:lang w:val="en-US"/>
        </w:rPr>
        <w:t>2574</w:t>
      </w:r>
      <w:r w:rsidRPr="00CF274D">
        <w:rPr>
          <w:rtl/>
          <w:lang w:val="en-US"/>
        </w:rPr>
        <w:t>/</w:t>
      </w:r>
      <w:r w:rsidRPr="006C4428">
        <w:rPr>
          <w:rtl/>
          <w:lang w:val="en-US"/>
        </w:rPr>
        <w:t>2017</w:t>
      </w:r>
      <w:r w:rsidRPr="00CF274D">
        <w:rPr>
          <w:rtl/>
          <w:lang w:val="en-US"/>
        </w:rPr>
        <w:t xml:space="preserve">، المنشور في </w:t>
      </w:r>
      <w:r w:rsidRPr="006C4428">
        <w:rPr>
          <w:rtl/>
          <w:lang w:val="en-US"/>
        </w:rPr>
        <w:t>22</w:t>
      </w:r>
      <w:r w:rsidRPr="00CF274D">
        <w:rPr>
          <w:rtl/>
          <w:lang w:val="en-US"/>
        </w:rPr>
        <w:t xml:space="preserve"> حزيران/</w:t>
      </w:r>
      <w:proofErr w:type="gramStart"/>
      <w:r w:rsidRPr="00CF274D">
        <w:rPr>
          <w:rtl/>
          <w:lang w:val="en-US"/>
        </w:rPr>
        <w:t>يونيه</w:t>
      </w:r>
      <w:proofErr w:type="gramEnd"/>
      <w:r w:rsidRPr="00CF274D">
        <w:rPr>
          <w:rtl/>
          <w:lang w:val="en-US"/>
        </w:rPr>
        <w:t xml:space="preserve"> </w:t>
      </w:r>
      <w:r w:rsidRPr="006C4428">
        <w:rPr>
          <w:rtl/>
          <w:lang w:val="en-US"/>
        </w:rPr>
        <w:t>201</w:t>
      </w:r>
      <w:r w:rsidR="00BD2E54" w:rsidRPr="006C4428">
        <w:rPr>
          <w:rtl/>
          <w:lang w:val="en-US"/>
        </w:rPr>
        <w:t>7</w:t>
      </w:r>
      <w:r w:rsidR="00BD2E54" w:rsidRPr="00BD2E54">
        <w:rPr>
          <w:rtl/>
          <w:lang w:val="en-US"/>
        </w:rPr>
        <w:t xml:space="preserve">. </w:t>
      </w:r>
    </w:p>
    <w:p w14:paraId="38BF4820" w14:textId="77777777" w:rsidR="00FB721F" w:rsidRDefault="00CF274D" w:rsidP="007B6F48">
      <w:pPr>
        <w:pStyle w:val="SingleTxtGA"/>
        <w:spacing w:line="346" w:lineRule="exact"/>
        <w:rPr>
          <w:rtl/>
          <w:lang w:val="en-US"/>
        </w:rPr>
      </w:pPr>
      <w:r w:rsidRPr="006C4428">
        <w:rPr>
          <w:rtl/>
          <w:lang w:val="en-US"/>
        </w:rPr>
        <w:t>6</w:t>
      </w:r>
      <w:r w:rsidRPr="00CF274D">
        <w:rPr>
          <w:rtl/>
          <w:lang w:val="en-US"/>
        </w:rPr>
        <w:t>-</w:t>
      </w:r>
      <w:r w:rsidRPr="006C4428">
        <w:rPr>
          <w:rtl/>
          <w:lang w:val="en-US"/>
        </w:rPr>
        <w:t>4</w:t>
      </w:r>
      <w:r w:rsidRPr="00CF274D">
        <w:rPr>
          <w:rtl/>
          <w:lang w:val="en-US"/>
        </w:rPr>
        <w:tab/>
        <w:t xml:space="preserve">وفي الجلسة التي عقدت في </w:t>
      </w:r>
      <w:r w:rsidRPr="006C4428">
        <w:rPr>
          <w:rtl/>
          <w:lang w:val="en-US"/>
        </w:rPr>
        <w:t>28</w:t>
      </w:r>
      <w:r w:rsidRPr="00CF274D">
        <w:rPr>
          <w:rtl/>
          <w:lang w:val="en-US"/>
        </w:rPr>
        <w:t xml:space="preserve"> نيسان/أبريل </w:t>
      </w:r>
      <w:r w:rsidRPr="006C4428">
        <w:rPr>
          <w:rtl/>
          <w:lang w:val="en-US"/>
        </w:rPr>
        <w:t>2017</w:t>
      </w:r>
      <w:r w:rsidRPr="00CF274D">
        <w:rPr>
          <w:rtl/>
          <w:lang w:val="en-US"/>
        </w:rPr>
        <w:t xml:space="preserve">، أرجئت القضية، بناء على طلب محامي صاحبة البلاغ، إلى الجلسة التالية المقرر عقدها في </w:t>
      </w:r>
      <w:r w:rsidRPr="006C4428">
        <w:rPr>
          <w:rtl/>
          <w:lang w:val="en-US"/>
        </w:rPr>
        <w:t>9</w:t>
      </w:r>
      <w:r w:rsidRPr="00CF274D">
        <w:rPr>
          <w:rtl/>
          <w:lang w:val="en-US"/>
        </w:rPr>
        <w:t xml:space="preserve"> أيار/مايو </w:t>
      </w:r>
      <w:r w:rsidRPr="006C4428">
        <w:rPr>
          <w:rtl/>
          <w:lang w:val="en-US"/>
        </w:rPr>
        <w:t>2017</w:t>
      </w:r>
      <w:r w:rsidRPr="00CF274D">
        <w:rPr>
          <w:rtl/>
          <w:lang w:val="en-US"/>
        </w:rPr>
        <w:t xml:space="preserve"> كي يتسنى النظر في الوثائق التي قدمتها الإدارة في </w:t>
      </w:r>
      <w:r w:rsidRPr="006C4428">
        <w:rPr>
          <w:rtl/>
          <w:lang w:val="en-US"/>
        </w:rPr>
        <w:t>27</w:t>
      </w:r>
      <w:r w:rsidRPr="00CF274D">
        <w:rPr>
          <w:rtl/>
          <w:lang w:val="en-US"/>
        </w:rPr>
        <w:t xml:space="preserve"> نيسان/أبريل </w:t>
      </w:r>
      <w:r w:rsidRPr="006C4428">
        <w:rPr>
          <w:rtl/>
          <w:lang w:val="en-US"/>
        </w:rPr>
        <w:t>2017</w:t>
      </w:r>
      <w:r w:rsidRPr="00CF274D">
        <w:rPr>
          <w:rtl/>
          <w:lang w:val="en-US"/>
        </w:rPr>
        <w:t>، وفق</w:t>
      </w:r>
      <w:r w:rsidR="00647AA7">
        <w:rPr>
          <w:rtl/>
          <w:lang w:val="en-US"/>
        </w:rPr>
        <w:t xml:space="preserve">اً </w:t>
      </w:r>
      <w:r w:rsidRPr="00CF274D">
        <w:rPr>
          <w:rtl/>
          <w:lang w:val="en-US"/>
        </w:rPr>
        <w:t xml:space="preserve">لأمر أوّلي صادر عن السلطات القضائية. وأُجلت مرة أخرى جلسة الهيئة، التي عقدت في </w:t>
      </w:r>
      <w:r w:rsidRPr="006C4428">
        <w:rPr>
          <w:rtl/>
          <w:lang w:val="en-US"/>
        </w:rPr>
        <w:t>9</w:t>
      </w:r>
      <w:r w:rsidRPr="00CF274D">
        <w:rPr>
          <w:rtl/>
          <w:lang w:val="en-US"/>
        </w:rPr>
        <w:t xml:space="preserve"> أيار/مايو </w:t>
      </w:r>
      <w:r w:rsidRPr="006C4428">
        <w:rPr>
          <w:rtl/>
          <w:lang w:val="en-US"/>
        </w:rPr>
        <w:t>2017</w:t>
      </w:r>
      <w:r w:rsidRPr="00CF274D">
        <w:rPr>
          <w:rtl/>
          <w:lang w:val="en-US"/>
        </w:rPr>
        <w:t xml:space="preserve">، بحضور أطراف أخرى معنية، بناء على </w:t>
      </w:r>
      <w:r w:rsidRPr="00BD2E54">
        <w:rPr>
          <w:rtl/>
          <w:lang w:val="en-US"/>
        </w:rPr>
        <w:t>طلب محامي صاحبة البلاغ، إلى موعد يتقرر لاحق</w:t>
      </w:r>
      <w:r w:rsidR="00647AA7" w:rsidRPr="00BD2E54">
        <w:rPr>
          <w:rtl/>
          <w:lang w:val="en-US"/>
        </w:rPr>
        <w:t>اً.</w:t>
      </w:r>
      <w:r w:rsidRPr="00BD2E54">
        <w:rPr>
          <w:rtl/>
          <w:lang w:val="en-US"/>
        </w:rPr>
        <w:t xml:space="preserve"> ويمكن الاستدلال من مذكرة الدفاع المؤرخة </w:t>
      </w:r>
      <w:r w:rsidRPr="006C4428">
        <w:rPr>
          <w:rtl/>
          <w:lang w:val="en-US"/>
        </w:rPr>
        <w:t>3</w:t>
      </w:r>
      <w:r w:rsidRPr="00BD2E54">
        <w:rPr>
          <w:rtl/>
          <w:lang w:val="en-US"/>
        </w:rPr>
        <w:t xml:space="preserve"> أيار/مايو </w:t>
      </w:r>
      <w:r w:rsidRPr="006C4428">
        <w:rPr>
          <w:rtl/>
          <w:lang w:val="en-US"/>
        </w:rPr>
        <w:t>2017</w:t>
      </w:r>
      <w:r w:rsidRPr="00BD2E54">
        <w:rPr>
          <w:rtl/>
          <w:lang w:val="en-US"/>
        </w:rPr>
        <w:t xml:space="preserve"> على أ</w:t>
      </w:r>
    </w:p>
    <w:p w14:paraId="02C045D6" w14:textId="5A102744" w:rsidR="00CF274D" w:rsidRPr="00CF274D" w:rsidRDefault="00CF274D" w:rsidP="007B6F48">
      <w:pPr>
        <w:pStyle w:val="SingleTxtGA"/>
        <w:spacing w:line="346" w:lineRule="exact"/>
        <w:rPr>
          <w:lang w:val="en-US"/>
        </w:rPr>
      </w:pPr>
      <w:r w:rsidRPr="00BD2E54">
        <w:rPr>
          <w:rtl/>
          <w:lang w:val="en-US"/>
        </w:rPr>
        <w:t xml:space="preserve">ن سبب طلب التأجيل هو الاستئناف الذي لم يبت فيه بعد أمام مجلس الدولة </w:t>
      </w:r>
      <w:r w:rsidRPr="00540D67">
        <w:rPr>
          <w:spacing w:val="-2"/>
          <w:rtl/>
          <w:lang w:val="en-US"/>
        </w:rPr>
        <w:t>والذي</w:t>
      </w:r>
      <w:r w:rsidR="00BD2E54" w:rsidRPr="00540D67">
        <w:rPr>
          <w:rFonts w:hint="cs"/>
          <w:spacing w:val="-2"/>
          <w:rtl/>
          <w:lang w:val="en-US"/>
        </w:rPr>
        <w:t> </w:t>
      </w:r>
      <w:r w:rsidRPr="00540D67">
        <w:rPr>
          <w:spacing w:val="-2"/>
          <w:rtl/>
          <w:lang w:val="en-US"/>
        </w:rPr>
        <w:t xml:space="preserve">يتعلق بالأمر الصادر عن الهيئة رقم </w:t>
      </w:r>
      <w:r w:rsidRPr="006C4428">
        <w:rPr>
          <w:spacing w:val="-2"/>
          <w:rtl/>
          <w:lang w:val="en-US"/>
        </w:rPr>
        <w:t>3894</w:t>
      </w:r>
      <w:r w:rsidRPr="00540D67">
        <w:rPr>
          <w:spacing w:val="-2"/>
          <w:rtl/>
          <w:lang w:val="en-US"/>
        </w:rPr>
        <w:t>/</w:t>
      </w:r>
      <w:r w:rsidRPr="006C4428">
        <w:rPr>
          <w:spacing w:val="-2"/>
          <w:rtl/>
          <w:lang w:val="en-US"/>
        </w:rPr>
        <w:t>2017</w:t>
      </w:r>
      <w:r w:rsidRPr="00540D67">
        <w:rPr>
          <w:spacing w:val="-2"/>
          <w:rtl/>
          <w:lang w:val="en-US"/>
        </w:rPr>
        <w:t xml:space="preserve"> المذكور أعلاه، بشأن الجزء الخاص بقرار الوزارة</w:t>
      </w:r>
      <w:r w:rsidRPr="00CF274D">
        <w:rPr>
          <w:rtl/>
          <w:lang w:val="en-US"/>
        </w:rPr>
        <w:t xml:space="preserve"> الذي يقضي برفض الطلب الذي تقدمت به صاحبة البلاغ من أجل الاطلاع على معلومات سرية.</w:t>
      </w:r>
    </w:p>
    <w:p w14:paraId="2543C3A3" w14:textId="5B376A83" w:rsidR="00CF274D" w:rsidRPr="007B6F48" w:rsidRDefault="00CF274D" w:rsidP="007B6F48">
      <w:pPr>
        <w:pStyle w:val="SingleTxtGA"/>
        <w:spacing w:line="346" w:lineRule="exact"/>
        <w:rPr>
          <w:lang w:val="en-US"/>
        </w:rPr>
      </w:pPr>
      <w:r w:rsidRPr="006C4428">
        <w:rPr>
          <w:spacing w:val="-4"/>
          <w:rtl/>
          <w:lang w:val="en-US"/>
        </w:rPr>
        <w:t>6</w:t>
      </w:r>
      <w:r w:rsidRPr="007B6F48">
        <w:rPr>
          <w:spacing w:val="-4"/>
          <w:rtl/>
          <w:lang w:val="en-US"/>
        </w:rPr>
        <w:t>-</w:t>
      </w:r>
      <w:r w:rsidRPr="006C4428">
        <w:rPr>
          <w:spacing w:val="-4"/>
          <w:rtl/>
          <w:lang w:val="en-US"/>
        </w:rPr>
        <w:t>5</w:t>
      </w:r>
      <w:r w:rsidRPr="007B6F48">
        <w:rPr>
          <w:spacing w:val="-4"/>
          <w:rtl/>
          <w:lang w:val="en-US"/>
        </w:rPr>
        <w:tab/>
        <w:t xml:space="preserve">وفي </w:t>
      </w:r>
      <w:r w:rsidRPr="006C4428">
        <w:rPr>
          <w:spacing w:val="-4"/>
          <w:rtl/>
          <w:lang w:val="en-US"/>
        </w:rPr>
        <w:t>24</w:t>
      </w:r>
      <w:r w:rsidRPr="007B6F48">
        <w:rPr>
          <w:spacing w:val="-4"/>
          <w:rtl/>
          <w:lang w:val="en-US"/>
        </w:rPr>
        <w:t xml:space="preserve"> كانون الثاني/يناير </w:t>
      </w:r>
      <w:r w:rsidRPr="006C4428">
        <w:rPr>
          <w:spacing w:val="-4"/>
          <w:rtl/>
          <w:lang w:val="en-US"/>
        </w:rPr>
        <w:t>2020</w:t>
      </w:r>
      <w:r w:rsidRPr="007B6F48">
        <w:rPr>
          <w:spacing w:val="-4"/>
          <w:rtl/>
          <w:lang w:val="en-US"/>
        </w:rPr>
        <w:t>، قدمت صاحبة البلاغ لأول مرة طلب</w:t>
      </w:r>
      <w:r w:rsidR="00647AA7">
        <w:rPr>
          <w:spacing w:val="-4"/>
          <w:rtl/>
          <w:lang w:val="en-US"/>
        </w:rPr>
        <w:t xml:space="preserve">اً </w:t>
      </w:r>
      <w:r w:rsidRPr="007B6F48">
        <w:rPr>
          <w:spacing w:val="-4"/>
          <w:rtl/>
          <w:lang w:val="en-US"/>
        </w:rPr>
        <w:t>إلى هيئة الاستئناف من أجل اتخاذ تدابير وقائية، عمل</w:t>
      </w:r>
      <w:r w:rsidR="00647AA7">
        <w:rPr>
          <w:spacing w:val="-4"/>
          <w:rtl/>
          <w:lang w:val="en-US"/>
        </w:rPr>
        <w:t xml:space="preserve">اً </w:t>
      </w:r>
      <w:r w:rsidRPr="007B6F48">
        <w:rPr>
          <w:spacing w:val="-4"/>
          <w:rtl/>
          <w:lang w:val="en-US"/>
        </w:rPr>
        <w:t xml:space="preserve">بالمادة </w:t>
      </w:r>
      <w:r w:rsidRPr="006C4428">
        <w:rPr>
          <w:spacing w:val="-4"/>
          <w:rtl/>
          <w:lang w:val="en-US"/>
        </w:rPr>
        <w:t>55</w:t>
      </w:r>
      <w:r w:rsidRPr="007B6F48">
        <w:rPr>
          <w:spacing w:val="-4"/>
          <w:rtl/>
          <w:lang w:val="en-US"/>
        </w:rPr>
        <w:t xml:space="preserve"> من قانون القضاء الإداري، إلى جانب طلب حكم أولي من محكمة </w:t>
      </w:r>
      <w:r w:rsidRPr="007B6F48">
        <w:rPr>
          <w:rtl/>
          <w:lang w:val="en-US"/>
        </w:rPr>
        <w:t xml:space="preserve">العدل الأوروبية. وفي </w:t>
      </w:r>
      <w:r w:rsidRPr="006C4428">
        <w:rPr>
          <w:rtl/>
          <w:lang w:val="en-US"/>
        </w:rPr>
        <w:t>21</w:t>
      </w:r>
      <w:r w:rsidRPr="007B6F48">
        <w:rPr>
          <w:rtl/>
          <w:lang w:val="en-US"/>
        </w:rPr>
        <w:t xml:space="preserve"> نيسان/أبريل </w:t>
      </w:r>
      <w:r w:rsidRPr="006C4428">
        <w:rPr>
          <w:rtl/>
          <w:lang w:val="en-US"/>
        </w:rPr>
        <w:t>2020</w:t>
      </w:r>
      <w:r w:rsidRPr="007B6F48">
        <w:rPr>
          <w:rtl/>
          <w:lang w:val="en-US"/>
        </w:rPr>
        <w:t xml:space="preserve">، اعتمدت هيئة القضاة، بناء على طلب التدابير الوقائية، الأمر الوقائي رقم </w:t>
      </w:r>
      <w:r w:rsidRPr="006C4428">
        <w:rPr>
          <w:rtl/>
          <w:lang w:val="en-US"/>
        </w:rPr>
        <w:t>3060</w:t>
      </w:r>
      <w:r w:rsidRPr="007B6F48">
        <w:rPr>
          <w:rtl/>
          <w:lang w:val="en-US"/>
        </w:rPr>
        <w:t>/</w:t>
      </w:r>
      <w:r w:rsidRPr="006C4428">
        <w:rPr>
          <w:rtl/>
          <w:lang w:val="en-US"/>
        </w:rPr>
        <w:t>2020</w:t>
      </w:r>
      <w:r w:rsidRPr="007B6F48">
        <w:rPr>
          <w:rtl/>
          <w:lang w:val="en-US"/>
        </w:rPr>
        <w:t xml:space="preserve">، الذي حدد جلسة استماع علنية في </w:t>
      </w:r>
      <w:r w:rsidRPr="006C4428">
        <w:rPr>
          <w:rtl/>
          <w:lang w:val="en-US"/>
        </w:rPr>
        <w:t>11</w:t>
      </w:r>
      <w:r w:rsidRPr="007B6F48">
        <w:rPr>
          <w:rtl/>
          <w:lang w:val="en-US"/>
        </w:rPr>
        <w:t xml:space="preserve"> كانون الثاني/يناير </w:t>
      </w:r>
      <w:r w:rsidRPr="006C4428">
        <w:rPr>
          <w:rtl/>
          <w:lang w:val="en-US"/>
        </w:rPr>
        <w:t>2021</w:t>
      </w:r>
      <w:r w:rsidRPr="007B6F48">
        <w:rPr>
          <w:rtl/>
          <w:lang w:val="en-US"/>
        </w:rPr>
        <w:t xml:space="preserve"> للنظر في أسس الاستئناف الموضوعية، مع مراعاة طلب صاحبة البلاغ المؤرخ </w:t>
      </w:r>
      <w:r w:rsidRPr="006C4428">
        <w:rPr>
          <w:rtl/>
          <w:lang w:val="en-US"/>
        </w:rPr>
        <w:t>24</w:t>
      </w:r>
      <w:r w:rsidRPr="007B6F48">
        <w:rPr>
          <w:rtl/>
          <w:lang w:val="en-US"/>
        </w:rPr>
        <w:t xml:space="preserve"> كانون الثاني/يناير </w:t>
      </w:r>
      <w:r w:rsidRPr="006C4428">
        <w:rPr>
          <w:rtl/>
          <w:lang w:val="en-US"/>
        </w:rPr>
        <w:t>2020</w:t>
      </w:r>
      <w:r w:rsidRPr="007B6F48">
        <w:rPr>
          <w:rtl/>
          <w:lang w:val="en-US"/>
        </w:rPr>
        <w:t xml:space="preserve"> المتعلق بتعليق الإجراءات. </w:t>
      </w:r>
    </w:p>
    <w:p w14:paraId="33B51418" w14:textId="11CC748F" w:rsidR="00CF274D" w:rsidRPr="007B6F48" w:rsidRDefault="00CF274D" w:rsidP="007B6F48">
      <w:pPr>
        <w:pStyle w:val="SingleTxtGA"/>
        <w:spacing w:line="346" w:lineRule="exact"/>
        <w:rPr>
          <w:spacing w:val="-4"/>
          <w:lang w:val="en-US"/>
        </w:rPr>
      </w:pPr>
      <w:r w:rsidRPr="006C4428">
        <w:rPr>
          <w:spacing w:val="-4"/>
          <w:rtl/>
          <w:lang w:val="en-US"/>
        </w:rPr>
        <w:t>6</w:t>
      </w:r>
      <w:r w:rsidRPr="007B6F48">
        <w:rPr>
          <w:spacing w:val="-4"/>
          <w:rtl/>
          <w:lang w:val="en-US"/>
        </w:rPr>
        <w:t>-</w:t>
      </w:r>
      <w:r w:rsidRPr="006C4428">
        <w:rPr>
          <w:spacing w:val="-4"/>
          <w:rtl/>
          <w:lang w:val="en-US"/>
        </w:rPr>
        <w:t>6</w:t>
      </w:r>
      <w:r w:rsidRPr="007B6F48">
        <w:rPr>
          <w:spacing w:val="-4"/>
          <w:rtl/>
          <w:lang w:val="en-US"/>
        </w:rPr>
        <w:tab/>
        <w:t xml:space="preserve">ويوجد في ملف القضية </w:t>
      </w:r>
      <w:proofErr w:type="gramStart"/>
      <w:r w:rsidRPr="007B6F48">
        <w:rPr>
          <w:spacing w:val="-4"/>
          <w:rtl/>
          <w:lang w:val="en-US"/>
        </w:rPr>
        <w:t>أربعة</w:t>
      </w:r>
      <w:proofErr w:type="gramEnd"/>
      <w:r w:rsidRPr="007B6F48">
        <w:rPr>
          <w:spacing w:val="-4"/>
          <w:rtl/>
          <w:lang w:val="en-US"/>
        </w:rPr>
        <w:t xml:space="preserve"> طلبات نظرٍ عاجل قدمت في </w:t>
      </w:r>
      <w:r w:rsidRPr="006C4428">
        <w:rPr>
          <w:spacing w:val="-4"/>
          <w:rtl/>
          <w:lang w:val="en-US"/>
        </w:rPr>
        <w:t>13</w:t>
      </w:r>
      <w:r w:rsidRPr="007B6F48">
        <w:rPr>
          <w:spacing w:val="-4"/>
          <w:rtl/>
          <w:lang w:val="en-US"/>
        </w:rPr>
        <w:t xml:space="preserve"> كانون الثاني/يناير و</w:t>
      </w:r>
      <w:r w:rsidRPr="006C4428">
        <w:rPr>
          <w:spacing w:val="-4"/>
          <w:rtl/>
          <w:lang w:val="en-US"/>
        </w:rPr>
        <w:t>31</w:t>
      </w:r>
      <w:r w:rsidRPr="007B6F48">
        <w:rPr>
          <w:spacing w:val="-4"/>
          <w:rtl/>
          <w:lang w:val="en-US"/>
        </w:rPr>
        <w:t xml:space="preserve"> تشرين الأول/أكتوبر </w:t>
      </w:r>
      <w:r w:rsidRPr="006C4428">
        <w:rPr>
          <w:spacing w:val="-4"/>
          <w:rtl/>
          <w:lang w:val="en-US"/>
        </w:rPr>
        <w:t>2017</w:t>
      </w:r>
      <w:r w:rsidRPr="007B6F48">
        <w:rPr>
          <w:spacing w:val="-4"/>
          <w:rtl/>
          <w:lang w:val="en-US"/>
        </w:rPr>
        <w:t xml:space="preserve"> و</w:t>
      </w:r>
      <w:r w:rsidRPr="006C4428">
        <w:rPr>
          <w:spacing w:val="-4"/>
          <w:rtl/>
          <w:lang w:val="en-US"/>
        </w:rPr>
        <w:t>10</w:t>
      </w:r>
      <w:r w:rsidRPr="007B6F48">
        <w:rPr>
          <w:spacing w:val="-4"/>
          <w:rtl/>
          <w:lang w:val="en-US"/>
        </w:rPr>
        <w:t xml:space="preserve"> كانون الثاني/يناير </w:t>
      </w:r>
      <w:r w:rsidRPr="006C4428">
        <w:rPr>
          <w:spacing w:val="-4"/>
          <w:rtl/>
          <w:lang w:val="en-US"/>
        </w:rPr>
        <w:t>2019</w:t>
      </w:r>
      <w:r w:rsidRPr="007B6F48">
        <w:rPr>
          <w:spacing w:val="-4"/>
          <w:rtl/>
          <w:lang w:val="en-US"/>
        </w:rPr>
        <w:t xml:space="preserve"> رفضها رئيس المحكمة الإدارية الإقليمية لعدم الأهلية، ثم في </w:t>
      </w:r>
      <w:r w:rsidRPr="006C4428">
        <w:rPr>
          <w:spacing w:val="-4"/>
          <w:rtl/>
          <w:lang w:val="en-US"/>
        </w:rPr>
        <w:t>31</w:t>
      </w:r>
      <w:r w:rsidRPr="007B6F48">
        <w:rPr>
          <w:spacing w:val="-4"/>
          <w:rtl/>
          <w:lang w:val="en-US"/>
        </w:rPr>
        <w:t xml:space="preserve"> تشرين الأول/أكتوبر </w:t>
      </w:r>
      <w:r w:rsidRPr="006C4428">
        <w:rPr>
          <w:spacing w:val="-4"/>
          <w:rtl/>
          <w:lang w:val="en-US"/>
        </w:rPr>
        <w:t>201</w:t>
      </w:r>
      <w:r w:rsidR="00BD2E54" w:rsidRPr="006C4428">
        <w:rPr>
          <w:spacing w:val="-4"/>
          <w:rtl/>
          <w:lang w:val="en-US"/>
        </w:rPr>
        <w:t>9</w:t>
      </w:r>
      <w:r w:rsidR="00BD2E54" w:rsidRPr="00BD2E54">
        <w:rPr>
          <w:spacing w:val="-4"/>
          <w:rtl/>
          <w:lang w:val="en-US"/>
        </w:rPr>
        <w:t xml:space="preserve">. </w:t>
      </w:r>
      <w:r w:rsidRPr="007B6F48">
        <w:rPr>
          <w:spacing w:val="-4"/>
          <w:rtl/>
          <w:lang w:val="en-US"/>
        </w:rPr>
        <w:t>ويجدر بالإشارة في ذلك السياق إلى الوقائع التالية: (أ)</w:t>
      </w:r>
      <w:r w:rsidR="007B6F48" w:rsidRPr="007B6F48">
        <w:rPr>
          <w:rFonts w:hint="cs"/>
          <w:spacing w:val="-4"/>
          <w:rtl/>
          <w:lang w:val="en-US"/>
        </w:rPr>
        <w:t> </w:t>
      </w:r>
      <w:r w:rsidRPr="007B6F48">
        <w:rPr>
          <w:spacing w:val="-4"/>
          <w:rtl/>
          <w:lang w:val="en-US"/>
        </w:rPr>
        <w:t xml:space="preserve">تعالَج الطعون </w:t>
      </w:r>
      <w:r w:rsidRPr="00BD2E54">
        <w:rPr>
          <w:spacing w:val="-2"/>
          <w:rtl/>
          <w:lang w:val="en-US"/>
        </w:rPr>
        <w:t>بترتيب زمني</w:t>
      </w:r>
      <w:r w:rsidR="00BD2E54" w:rsidRPr="006C4428">
        <w:rPr>
          <w:rStyle w:val="FootnoteReference"/>
          <w:spacing w:val="-2"/>
          <w:rtl/>
        </w:rPr>
        <w:t>(</w:t>
      </w:r>
      <w:r w:rsidR="00BD2E54" w:rsidRPr="006C4428">
        <w:rPr>
          <w:rStyle w:val="FootnoteReference"/>
          <w:spacing w:val="-2"/>
          <w:lang w:val="en-US"/>
        </w:rPr>
        <w:footnoteReference w:id="11"/>
      </w:r>
      <w:r w:rsidR="00BD2E54" w:rsidRPr="00BD2E54">
        <w:rPr>
          <w:spacing w:val="-2"/>
          <w:vertAlign w:val="superscript"/>
          <w:rtl/>
          <w:lang w:val="en-US"/>
        </w:rPr>
        <w:t>)</w:t>
      </w:r>
      <w:r w:rsidR="00BD2E54" w:rsidRPr="00BD2E54">
        <w:rPr>
          <w:spacing w:val="-2"/>
          <w:rtl/>
          <w:lang w:val="en-US"/>
        </w:rPr>
        <w:t xml:space="preserve">، </w:t>
      </w:r>
      <w:r w:rsidRPr="00BD2E54">
        <w:rPr>
          <w:spacing w:val="-2"/>
          <w:rtl/>
          <w:lang w:val="en-US"/>
        </w:rPr>
        <w:t>مع مراعاة أعباء عمل القضاة، على النحو الذي يحدده مجلس رؤساء القضاء الإداري؛ (ب)</w:t>
      </w:r>
      <w:r w:rsidR="00BD2E54" w:rsidRPr="00BD2E54">
        <w:rPr>
          <w:rFonts w:hint="cs"/>
          <w:spacing w:val="-2"/>
          <w:rtl/>
          <w:lang w:val="en-US"/>
        </w:rPr>
        <w:t> </w:t>
      </w:r>
      <w:r w:rsidRPr="00BD2E54">
        <w:rPr>
          <w:spacing w:val="-2"/>
          <w:rtl/>
          <w:lang w:val="en-US"/>
        </w:rPr>
        <w:t>وفيما يخص نوع التقاضي موضع النظر، لا تنص المحكمة الإدارية على إجراءات مختصرة أو معجلة، ويُستبعد مسار تفضيلي للتعجيل بالبت في الأسس الموضوعية؛ (ج) ويأخذ قرار تعليق الاستئناف في القضية قيد النظر بعين الاعتبار الوقت اللازم لإجراء التقييمات الأولية بناء على طلب صاحبة البلاغ وحسب ما تراه السلطات القضائية ضروري</w:t>
      </w:r>
      <w:r w:rsidR="00647AA7" w:rsidRPr="00BD2E54">
        <w:rPr>
          <w:spacing w:val="-2"/>
          <w:rtl/>
          <w:lang w:val="en-US"/>
        </w:rPr>
        <w:t>اً،</w:t>
      </w:r>
      <w:r w:rsidRPr="00BD2E54">
        <w:rPr>
          <w:spacing w:val="-2"/>
          <w:rtl/>
          <w:lang w:val="en-US"/>
        </w:rPr>
        <w:t xml:space="preserve"> وكذلك الوقت اللازم لاختتام مرحلة التدابير الوقائية من إجراءات الطعن في </w:t>
      </w:r>
      <w:r w:rsidRPr="00BD2E54">
        <w:rPr>
          <w:spacing w:val="-2"/>
          <w:rtl/>
          <w:lang w:val="en-US"/>
        </w:rPr>
        <w:lastRenderedPageBreak/>
        <w:t>الأحكام الجنائية، مرة أخرى بناء على طلب صاحبة البلاغ. ولم</w:t>
      </w:r>
      <w:r w:rsidR="007B6F48" w:rsidRPr="00BD2E54">
        <w:rPr>
          <w:rFonts w:hint="cs"/>
          <w:spacing w:val="-2"/>
          <w:rtl/>
          <w:lang w:val="en-US"/>
        </w:rPr>
        <w:t> </w:t>
      </w:r>
      <w:r w:rsidRPr="00BD2E54">
        <w:rPr>
          <w:spacing w:val="-2"/>
          <w:rtl/>
          <w:lang w:val="en-US"/>
        </w:rPr>
        <w:t>يُسجَّل سوى الحد الأدنى من التأخير في</w:t>
      </w:r>
      <w:r w:rsidRPr="007B6F48">
        <w:rPr>
          <w:spacing w:val="-4"/>
          <w:rtl/>
          <w:lang w:val="en-US"/>
        </w:rPr>
        <w:t xml:space="preserve"> الإجراءات، وهو أمر سيتم تداركه بجلسة استماع علنية من المقرر عقدها في </w:t>
      </w:r>
      <w:r w:rsidRPr="006C4428">
        <w:rPr>
          <w:spacing w:val="-4"/>
          <w:rtl/>
          <w:lang w:val="en-US"/>
        </w:rPr>
        <w:t>11</w:t>
      </w:r>
      <w:r w:rsidRPr="007B6F48">
        <w:rPr>
          <w:spacing w:val="-4"/>
          <w:rtl/>
          <w:lang w:val="en-US"/>
        </w:rPr>
        <w:t xml:space="preserve"> كانون الثاني/يناير </w:t>
      </w:r>
      <w:r w:rsidRPr="006C4428">
        <w:rPr>
          <w:spacing w:val="-4"/>
          <w:rtl/>
          <w:lang w:val="en-US"/>
        </w:rPr>
        <w:t>202</w:t>
      </w:r>
      <w:r w:rsidR="00BD2E54" w:rsidRPr="006C4428">
        <w:rPr>
          <w:spacing w:val="-4"/>
          <w:rtl/>
          <w:lang w:val="en-US"/>
        </w:rPr>
        <w:t>1</w:t>
      </w:r>
      <w:r w:rsidR="00BD2E54" w:rsidRPr="00BD2E54">
        <w:rPr>
          <w:spacing w:val="-4"/>
          <w:rtl/>
          <w:lang w:val="en-US"/>
        </w:rPr>
        <w:t xml:space="preserve">. </w:t>
      </w:r>
    </w:p>
    <w:p w14:paraId="44D098F6" w14:textId="57856D85" w:rsidR="00CF274D" w:rsidRPr="007B6F48" w:rsidRDefault="00CF274D" w:rsidP="007B6F48">
      <w:pPr>
        <w:pStyle w:val="SingleTxtGA"/>
        <w:spacing w:line="346" w:lineRule="exact"/>
        <w:rPr>
          <w:spacing w:val="-2"/>
          <w:lang w:val="en-US"/>
        </w:rPr>
      </w:pPr>
      <w:r w:rsidRPr="006C4428">
        <w:rPr>
          <w:spacing w:val="-2"/>
          <w:rtl/>
          <w:lang w:val="en-US"/>
        </w:rPr>
        <w:t>6</w:t>
      </w:r>
      <w:r w:rsidRPr="007B6F48">
        <w:rPr>
          <w:spacing w:val="-2"/>
          <w:rtl/>
          <w:lang w:val="en-US"/>
        </w:rPr>
        <w:t>-</w:t>
      </w:r>
      <w:r w:rsidRPr="006C4428">
        <w:rPr>
          <w:spacing w:val="-2"/>
          <w:rtl/>
          <w:lang w:val="en-US"/>
        </w:rPr>
        <w:t>7</w:t>
      </w:r>
      <w:r w:rsidRPr="007B6F48">
        <w:rPr>
          <w:spacing w:val="-2"/>
          <w:rtl/>
          <w:lang w:val="en-US"/>
        </w:rPr>
        <w:tab/>
        <w:t xml:space="preserve">وإضافة إلى ذلك، تشير الدولة الطرف إلى وجهة النظر الجوهرية بشأن طلب صاحبة البلاغ إعادة </w:t>
      </w:r>
      <w:r w:rsidRPr="00540D67">
        <w:rPr>
          <w:rtl/>
          <w:lang w:val="en-US"/>
        </w:rPr>
        <w:t xml:space="preserve">تقييم قرار الوزارة، المؤرخ </w:t>
      </w:r>
      <w:r w:rsidRPr="006C4428">
        <w:rPr>
          <w:rtl/>
          <w:lang w:val="en-US"/>
        </w:rPr>
        <w:t>22</w:t>
      </w:r>
      <w:r w:rsidRPr="00540D67">
        <w:rPr>
          <w:rtl/>
          <w:lang w:val="en-US"/>
        </w:rPr>
        <w:t xml:space="preserve"> أيلول/سبتمبر </w:t>
      </w:r>
      <w:r w:rsidRPr="006C4428">
        <w:rPr>
          <w:rtl/>
          <w:lang w:val="en-US"/>
        </w:rPr>
        <w:t>2016</w:t>
      </w:r>
      <w:r w:rsidRPr="00540D67">
        <w:rPr>
          <w:rtl/>
          <w:lang w:val="en-US"/>
        </w:rPr>
        <w:t>، الذي يقضي برفض طلب صاحبة البلاغ الحصول على الجنسية، إذ إنه تبين أثناء دراسة الملف أن زوج صاحبة البلاغ كان قريباً من حركات ذات أغراض لا تتوافق مع أمن إيطاليا، الأمر الذي يعد سبب</w:t>
      </w:r>
      <w:r w:rsidR="00647AA7" w:rsidRPr="00540D67">
        <w:rPr>
          <w:rtl/>
          <w:lang w:val="en-US"/>
        </w:rPr>
        <w:t xml:space="preserve">اً </w:t>
      </w:r>
      <w:r w:rsidRPr="00540D67">
        <w:rPr>
          <w:rtl/>
          <w:lang w:val="en-US"/>
        </w:rPr>
        <w:t>لعدم منح الجنسية الإيطالية. وطلبت صاحبة البلاغ إعادة النظر في قرار الرفض لسببين: أول</w:t>
      </w:r>
      <w:r w:rsidR="00647AA7" w:rsidRPr="00540D67">
        <w:rPr>
          <w:rtl/>
          <w:lang w:val="en-US"/>
        </w:rPr>
        <w:t>اً،</w:t>
      </w:r>
      <w:r w:rsidRPr="00540D67">
        <w:rPr>
          <w:rtl/>
          <w:lang w:val="en-US"/>
        </w:rPr>
        <w:t xml:space="preserve"> افتراض وجود علاقة دم بين صاحبة البلاغ وزوجها، وهو افتراض خاطئ كان سيُحكم على الشخص المعني على أساسه. ثاني</w:t>
      </w:r>
      <w:r w:rsidR="00647AA7" w:rsidRPr="00540D67">
        <w:rPr>
          <w:rtl/>
          <w:lang w:val="en-US"/>
        </w:rPr>
        <w:t>اً،</w:t>
      </w:r>
      <w:r w:rsidRPr="00540D67">
        <w:rPr>
          <w:rtl/>
          <w:lang w:val="en-US"/>
        </w:rPr>
        <w:t xml:space="preserve"> تشكو صاحبة البلاغ من أن سلوك الإدارة </w:t>
      </w:r>
      <w:r w:rsidRPr="00540D67">
        <w:rPr>
          <w:spacing w:val="-2"/>
          <w:rtl/>
          <w:lang w:val="en-US"/>
        </w:rPr>
        <w:t xml:space="preserve">أدى إلى التمييز في حقها، الأمر الذي ينتهك المادة </w:t>
      </w:r>
      <w:r w:rsidRPr="006C4428">
        <w:rPr>
          <w:spacing w:val="-2"/>
          <w:rtl/>
          <w:lang w:val="en-US"/>
        </w:rPr>
        <w:t>3</w:t>
      </w:r>
      <w:r w:rsidRPr="00540D67">
        <w:rPr>
          <w:spacing w:val="-2"/>
          <w:rtl/>
          <w:lang w:val="en-US"/>
        </w:rPr>
        <w:t xml:space="preserve"> من الدستور، والمادتين </w:t>
      </w:r>
      <w:r w:rsidRPr="006C4428">
        <w:rPr>
          <w:spacing w:val="-2"/>
          <w:rtl/>
          <w:lang w:val="en-US"/>
        </w:rPr>
        <w:t>8</w:t>
      </w:r>
      <w:r w:rsidRPr="00540D67">
        <w:rPr>
          <w:spacing w:val="-2"/>
          <w:rtl/>
          <w:lang w:val="en-US"/>
        </w:rPr>
        <w:t xml:space="preserve"> و</w:t>
      </w:r>
      <w:r w:rsidRPr="006C4428">
        <w:rPr>
          <w:spacing w:val="-2"/>
          <w:rtl/>
          <w:lang w:val="en-US"/>
        </w:rPr>
        <w:t>14</w:t>
      </w:r>
      <w:r w:rsidRPr="00540D67">
        <w:rPr>
          <w:spacing w:val="-2"/>
          <w:rtl/>
          <w:lang w:val="en-US"/>
        </w:rPr>
        <w:t xml:space="preserve"> من الاتفاقية الأوروبية</w:t>
      </w:r>
      <w:r w:rsidRPr="00540D67">
        <w:rPr>
          <w:rtl/>
          <w:lang w:val="en-US"/>
        </w:rPr>
        <w:t xml:space="preserve"> لحقوق الإنسان، والمادة </w:t>
      </w:r>
      <w:r w:rsidRPr="006C4428">
        <w:rPr>
          <w:rtl/>
          <w:lang w:val="en-US"/>
        </w:rPr>
        <w:t>1</w:t>
      </w:r>
      <w:r w:rsidRPr="00540D67">
        <w:rPr>
          <w:rtl/>
          <w:lang w:val="en-US"/>
        </w:rPr>
        <w:t xml:space="preserve"> من البروتوكول رقم </w:t>
      </w:r>
      <w:r w:rsidRPr="006C4428">
        <w:rPr>
          <w:rtl/>
          <w:lang w:val="en-US"/>
        </w:rPr>
        <w:t>12</w:t>
      </w:r>
      <w:r w:rsidRPr="00540D67">
        <w:rPr>
          <w:rtl/>
          <w:lang w:val="en-US"/>
        </w:rPr>
        <w:t xml:space="preserve"> الملحق بالاتفاقية الأوروبية، والمادة </w:t>
      </w:r>
      <w:r w:rsidRPr="006C4428">
        <w:rPr>
          <w:rtl/>
          <w:lang w:val="en-US"/>
        </w:rPr>
        <w:t>17</w:t>
      </w:r>
      <w:r w:rsidRPr="00540D67">
        <w:rPr>
          <w:rtl/>
          <w:lang w:val="en-US"/>
        </w:rPr>
        <w:t xml:space="preserve"> من العهد.</w:t>
      </w:r>
      <w:r w:rsidRPr="007B6F48">
        <w:rPr>
          <w:spacing w:val="-2"/>
          <w:rtl/>
          <w:lang w:val="en-US"/>
        </w:rPr>
        <w:t xml:space="preserve"> </w:t>
      </w:r>
    </w:p>
    <w:p w14:paraId="1188F0B5" w14:textId="726B3D04" w:rsidR="00CF274D" w:rsidRPr="007B6F48" w:rsidRDefault="00CF274D" w:rsidP="007B6F48">
      <w:pPr>
        <w:pStyle w:val="SingleTxtGA"/>
        <w:spacing w:line="346" w:lineRule="exact"/>
        <w:rPr>
          <w:spacing w:val="-2"/>
          <w:lang w:val="en-US"/>
        </w:rPr>
      </w:pPr>
      <w:r w:rsidRPr="006C4428">
        <w:rPr>
          <w:spacing w:val="-2"/>
          <w:rtl/>
          <w:lang w:val="en-US"/>
        </w:rPr>
        <w:t>6</w:t>
      </w:r>
      <w:r w:rsidRPr="007B6F48">
        <w:rPr>
          <w:spacing w:val="-2"/>
          <w:rtl/>
          <w:lang w:val="en-US"/>
        </w:rPr>
        <w:t>-</w:t>
      </w:r>
      <w:r w:rsidRPr="006C4428">
        <w:rPr>
          <w:spacing w:val="-2"/>
          <w:rtl/>
          <w:lang w:val="en-US"/>
        </w:rPr>
        <w:t>8</w:t>
      </w:r>
      <w:r w:rsidRPr="007B6F48">
        <w:rPr>
          <w:spacing w:val="-2"/>
          <w:rtl/>
          <w:lang w:val="en-US"/>
        </w:rPr>
        <w:tab/>
        <w:t>وتذكّر الدولة الطرف أيض</w:t>
      </w:r>
      <w:r w:rsidR="00647AA7">
        <w:rPr>
          <w:spacing w:val="-2"/>
          <w:rtl/>
          <w:lang w:val="en-US"/>
        </w:rPr>
        <w:t xml:space="preserve">اً </w:t>
      </w:r>
      <w:r w:rsidRPr="007B6F48">
        <w:rPr>
          <w:spacing w:val="-2"/>
          <w:rtl/>
          <w:lang w:val="en-US"/>
        </w:rPr>
        <w:t xml:space="preserve">بالاجتهادات الثابتة للمحاكم الوطنية التي مفادها أن الجنسية الإيطالية لا تُمنح </w:t>
      </w:r>
      <w:proofErr w:type="gramStart"/>
      <w:r w:rsidRPr="007B6F48">
        <w:rPr>
          <w:spacing w:val="-2"/>
          <w:rtl/>
          <w:lang w:val="en-US"/>
        </w:rPr>
        <w:t>تلقائي</w:t>
      </w:r>
      <w:r w:rsidR="00647AA7">
        <w:rPr>
          <w:spacing w:val="-2"/>
          <w:rtl/>
          <w:lang w:val="en-US"/>
        </w:rPr>
        <w:t>اً</w:t>
      </w:r>
      <w:proofErr w:type="gramEnd"/>
      <w:r w:rsidR="00647AA7">
        <w:rPr>
          <w:spacing w:val="-2"/>
          <w:rtl/>
          <w:lang w:val="en-US"/>
        </w:rPr>
        <w:t xml:space="preserve"> </w:t>
      </w:r>
      <w:r w:rsidRPr="007B6F48">
        <w:rPr>
          <w:spacing w:val="-2"/>
          <w:rtl/>
          <w:lang w:val="en-US"/>
        </w:rPr>
        <w:t>حتى لو استُوفيت الشروط ولم تكن هناك عوامل تحول دون الحصول عليها. ولا يوجد حق في حد ذاته في الحصول على الجنسية. فهذه العملية تقوم على تقييم دقيق لكل عنصر مفيد لتحديد مدى وجود مصلحة عامة ملموسة في قبول فرد ما ليكون عضو</w:t>
      </w:r>
      <w:r w:rsidR="00647AA7">
        <w:rPr>
          <w:spacing w:val="-2"/>
          <w:rtl/>
          <w:lang w:val="en-US"/>
        </w:rPr>
        <w:t xml:space="preserve">اً </w:t>
      </w:r>
      <w:r w:rsidRPr="007B6F48">
        <w:rPr>
          <w:spacing w:val="-2"/>
          <w:rtl/>
          <w:lang w:val="en-US"/>
        </w:rPr>
        <w:t>جديد</w:t>
      </w:r>
      <w:r w:rsidR="00647AA7">
        <w:rPr>
          <w:spacing w:val="-2"/>
          <w:rtl/>
          <w:lang w:val="en-US"/>
        </w:rPr>
        <w:t xml:space="preserve">اً </w:t>
      </w:r>
      <w:r w:rsidRPr="007B6F48">
        <w:rPr>
          <w:spacing w:val="-2"/>
          <w:rtl/>
          <w:lang w:val="en-US"/>
        </w:rPr>
        <w:t>دائم</w:t>
      </w:r>
      <w:r w:rsidR="00647AA7">
        <w:rPr>
          <w:spacing w:val="-2"/>
          <w:rtl/>
          <w:lang w:val="en-US"/>
        </w:rPr>
        <w:t xml:space="preserve">اً </w:t>
      </w:r>
      <w:r w:rsidRPr="007B6F48">
        <w:rPr>
          <w:spacing w:val="-2"/>
          <w:rtl/>
          <w:lang w:val="en-US"/>
        </w:rPr>
        <w:t>داخل مجتمع الدولة. ومن ذلك المنظور، تُمارس المحكمة الإدارية الإقليمية، لدى نظرها في طلبات منح الجنسية الإيطالية على أساس الإقامة، سلطة تقديرية واسعة لتقييم الحالة، ضمن الإطار المعياري العام، وفق</w:t>
      </w:r>
      <w:r w:rsidR="00647AA7">
        <w:rPr>
          <w:spacing w:val="-2"/>
          <w:rtl/>
          <w:lang w:val="en-US"/>
        </w:rPr>
        <w:t xml:space="preserve">اً </w:t>
      </w:r>
      <w:r w:rsidRPr="007B6F48">
        <w:rPr>
          <w:spacing w:val="-2"/>
          <w:rtl/>
          <w:lang w:val="en-US"/>
        </w:rPr>
        <w:t xml:space="preserve">للقانون رقم </w:t>
      </w:r>
      <w:r w:rsidRPr="006C4428">
        <w:rPr>
          <w:spacing w:val="-2"/>
          <w:rtl/>
          <w:lang w:val="en-US"/>
        </w:rPr>
        <w:t>91</w:t>
      </w:r>
      <w:r w:rsidRPr="007B6F48">
        <w:rPr>
          <w:spacing w:val="-2"/>
          <w:rtl/>
          <w:lang w:val="en-US"/>
        </w:rPr>
        <w:t>/</w:t>
      </w:r>
      <w:r w:rsidRPr="006C4428">
        <w:rPr>
          <w:spacing w:val="-2"/>
          <w:rtl/>
          <w:lang w:val="en-US"/>
        </w:rPr>
        <w:t>199</w:t>
      </w:r>
      <w:r w:rsidR="00BD2E54" w:rsidRPr="006C4428">
        <w:rPr>
          <w:spacing w:val="-2"/>
          <w:rtl/>
          <w:lang w:val="en-US"/>
        </w:rPr>
        <w:t>2</w:t>
      </w:r>
      <w:r w:rsidR="00BD2E54" w:rsidRPr="00BD2E54">
        <w:rPr>
          <w:spacing w:val="-2"/>
          <w:rtl/>
          <w:lang w:val="en-US"/>
        </w:rPr>
        <w:t xml:space="preserve">. </w:t>
      </w:r>
      <w:r w:rsidRPr="007B6F48">
        <w:rPr>
          <w:spacing w:val="-2"/>
          <w:rtl/>
          <w:lang w:val="en-US"/>
        </w:rPr>
        <w:t>ولا يمكن أن يستند التقييم حصر</w:t>
      </w:r>
      <w:r w:rsidR="00647AA7">
        <w:rPr>
          <w:spacing w:val="-2"/>
          <w:rtl/>
          <w:lang w:val="en-US"/>
        </w:rPr>
        <w:t xml:space="preserve">اً </w:t>
      </w:r>
      <w:r w:rsidRPr="007B6F48">
        <w:rPr>
          <w:spacing w:val="-2"/>
          <w:rtl/>
          <w:lang w:val="en-US"/>
        </w:rPr>
        <w:t xml:space="preserve">إلى الوفاء بالمتطلبات التي ينص عليها القانون، مثل وجود الأجنبي في الإقليم لعدد السنوات الذي يحدده القانون أو التحقق من أن الأجنبي لديه مهنة دائمة ودخل كاف. ويجب أن يضع في الاعتبار </w:t>
      </w:r>
      <w:r w:rsidRPr="007B6F48">
        <w:rPr>
          <w:spacing w:val="-4"/>
          <w:rtl/>
          <w:lang w:val="en-US"/>
        </w:rPr>
        <w:t>عدد</w:t>
      </w:r>
      <w:r w:rsidR="00647AA7">
        <w:rPr>
          <w:spacing w:val="-4"/>
          <w:rtl/>
          <w:lang w:val="en-US"/>
        </w:rPr>
        <w:t xml:space="preserve">اً </w:t>
      </w:r>
      <w:r w:rsidRPr="007B6F48">
        <w:rPr>
          <w:spacing w:val="-4"/>
          <w:rtl/>
          <w:lang w:val="en-US"/>
        </w:rPr>
        <w:t xml:space="preserve">من العناصر الأخرى، التي يمكن على أساسها استنتاج ما </w:t>
      </w:r>
      <w:proofErr w:type="gramStart"/>
      <w:r w:rsidRPr="007B6F48">
        <w:rPr>
          <w:spacing w:val="-4"/>
          <w:rtl/>
          <w:lang w:val="en-US"/>
        </w:rPr>
        <w:t>إن</w:t>
      </w:r>
      <w:proofErr w:type="gramEnd"/>
      <w:r w:rsidRPr="007B6F48">
        <w:rPr>
          <w:spacing w:val="-4"/>
          <w:rtl/>
          <w:lang w:val="en-US"/>
        </w:rPr>
        <w:t xml:space="preserve"> كان ينبغي إدماج الأجنبي باعتباره عضواً</w:t>
      </w:r>
      <w:r w:rsidRPr="007B6F48">
        <w:rPr>
          <w:spacing w:val="-2"/>
          <w:rtl/>
          <w:lang w:val="en-US"/>
        </w:rPr>
        <w:t xml:space="preserve"> دائم</w:t>
      </w:r>
      <w:r w:rsidR="00647AA7">
        <w:rPr>
          <w:spacing w:val="-2"/>
          <w:rtl/>
          <w:lang w:val="en-US"/>
        </w:rPr>
        <w:t xml:space="preserve">اً </w:t>
      </w:r>
      <w:r w:rsidRPr="007B6F48">
        <w:rPr>
          <w:spacing w:val="-2"/>
          <w:rtl/>
          <w:lang w:val="en-US"/>
        </w:rPr>
        <w:t>في مجتمع المواطنين أم لا.</w:t>
      </w:r>
    </w:p>
    <w:p w14:paraId="4D871357" w14:textId="13293A4A" w:rsidR="00CF274D" w:rsidRPr="007B6F48" w:rsidRDefault="00CF274D" w:rsidP="007B6F48">
      <w:pPr>
        <w:pStyle w:val="SingleTxtGA"/>
        <w:spacing w:line="346" w:lineRule="exact"/>
        <w:rPr>
          <w:lang w:val="en-US"/>
        </w:rPr>
      </w:pPr>
      <w:r w:rsidRPr="006C4428">
        <w:rPr>
          <w:rtl/>
          <w:lang w:val="en-US"/>
        </w:rPr>
        <w:t>6</w:t>
      </w:r>
      <w:r w:rsidRPr="00CF274D">
        <w:rPr>
          <w:rtl/>
          <w:lang w:val="en-US"/>
        </w:rPr>
        <w:t>-</w:t>
      </w:r>
      <w:r w:rsidRPr="006C4428">
        <w:rPr>
          <w:rtl/>
          <w:lang w:val="en-US"/>
        </w:rPr>
        <w:t>9</w:t>
      </w:r>
      <w:r w:rsidRPr="00CF274D">
        <w:rPr>
          <w:rtl/>
          <w:lang w:val="en-US"/>
        </w:rPr>
        <w:tab/>
        <w:t xml:space="preserve">ويمكن الاستدلال على درجة الاستيعاب والاندماج التي يجب أن يبرهن عليها الأجنبي الطامح إلى الحصول على </w:t>
      </w:r>
      <w:r w:rsidRPr="00BD2E54">
        <w:rPr>
          <w:i/>
          <w:iCs/>
          <w:rtl/>
          <w:lang w:val="en-US"/>
        </w:rPr>
        <w:t>وضع المواطن</w:t>
      </w:r>
      <w:r w:rsidRPr="00CF274D">
        <w:rPr>
          <w:rtl/>
          <w:lang w:val="en-US"/>
        </w:rPr>
        <w:t xml:space="preserve"> الإيطالي من امتثال قواعد القانون الجنائي، ومن احترام مبادئ أمن الدولة من باب أولى. وفي إطار الإجراء المعقد المتمثل في تقييم طلبات منح الجنسية، يُعتبر خطوةً أساسية الحصولُ على المعلومات من الأجهزة والهيئات الأمنية المختصة مؤسسي</w:t>
      </w:r>
      <w:r w:rsidR="00647AA7">
        <w:rPr>
          <w:rtl/>
          <w:lang w:val="en-US"/>
        </w:rPr>
        <w:t xml:space="preserve">اً </w:t>
      </w:r>
      <w:r w:rsidRPr="00CF274D">
        <w:rPr>
          <w:rtl/>
          <w:lang w:val="en-US"/>
        </w:rPr>
        <w:t>في التحقق من وجود عناصر تتعلق بأمن البلد. والحاجة إلى ضمان الصالح العام لأمن البلد، الذي هو بالتأكيد مصلحة أعلى من مصلحة الأجنبي المتمثلة في الحصول على الجنسية الإيطالية، تفترض "ألا يحوم أي شك حول مقدم الطلب ولا شبهة في كونه غير جدير بالثقة، حتى بخصوص تقيده التام في المستقبل بالقيم الدستورية التي تقوم عليها الجمهورية الإيطالية"</w:t>
      </w:r>
      <w:r w:rsidR="00BD2E54" w:rsidRPr="006C4428">
        <w:rPr>
          <w:rStyle w:val="FootnoteReference"/>
          <w:rtl/>
        </w:rPr>
        <w:t>(</w:t>
      </w:r>
      <w:r w:rsidR="00BD2E54" w:rsidRPr="006C4428">
        <w:rPr>
          <w:rStyle w:val="FootnoteReference"/>
          <w:lang w:val="en-US"/>
        </w:rPr>
        <w:footnoteReference w:id="12"/>
      </w:r>
      <w:r w:rsidR="00BD2E54" w:rsidRPr="00BD2E54">
        <w:rPr>
          <w:vertAlign w:val="superscript"/>
          <w:rtl/>
          <w:lang w:val="en-US"/>
        </w:rPr>
        <w:t>)</w:t>
      </w:r>
      <w:r w:rsidR="00BD2E54" w:rsidRPr="00BD2E54">
        <w:rPr>
          <w:rtl/>
          <w:lang w:val="en-US"/>
        </w:rPr>
        <w:t xml:space="preserve">. </w:t>
      </w:r>
      <w:r w:rsidRPr="00CF274D">
        <w:rPr>
          <w:rtl/>
          <w:lang w:val="en-US"/>
        </w:rPr>
        <w:t>إن حساسية القضايا محل النظر، بما فيها إمكانية حدوث تداعيات في العلاقات الدولية، بسبب أفعال يرتكبها شخص يحمل الجنسية الإيطالية، تبرر تمام</w:t>
      </w:r>
      <w:r w:rsidR="00647AA7">
        <w:rPr>
          <w:rtl/>
          <w:lang w:val="en-US"/>
        </w:rPr>
        <w:t xml:space="preserve">اً </w:t>
      </w:r>
      <w:r w:rsidRPr="00CF274D">
        <w:rPr>
          <w:rtl/>
          <w:lang w:val="en-US"/>
        </w:rPr>
        <w:t xml:space="preserve">استخدام معايير </w:t>
      </w:r>
      <w:r w:rsidRPr="007B6F48">
        <w:rPr>
          <w:spacing w:val="-4"/>
          <w:rtl/>
          <w:lang w:val="en-US"/>
        </w:rPr>
        <w:t xml:space="preserve">صارمة في التحقق من عدم خطورة طالب الحصول على الجنسية. ونص قرار مجلس الدولة في هذا الصدد على أنه "يمكن القول إن حالة الشك كافية لتبرير الرفض". وما فتئت اجتهادات القضاء الإداري تعترف بأن </w:t>
      </w:r>
      <w:r w:rsidRPr="007B6F48">
        <w:rPr>
          <w:rtl/>
          <w:lang w:val="en-US"/>
        </w:rPr>
        <w:t xml:space="preserve">مفهوم أمن البلد قد يتصل حتى بالعلاقات المحددة لأجنبي والانتماء إلى حركات قد تؤثر، بسبب المواقف المتطرفة، في النظام والأمن العام أو مشاركة القيم التي قد تعرض المجتمع الوطني للخطر. </w:t>
      </w:r>
    </w:p>
    <w:p w14:paraId="51FDC44D" w14:textId="2313460E" w:rsidR="00CF274D" w:rsidRPr="007B6F48" w:rsidRDefault="00CF274D" w:rsidP="007B6F48">
      <w:pPr>
        <w:pStyle w:val="SingleTxtGA"/>
        <w:spacing w:line="346" w:lineRule="exact"/>
        <w:rPr>
          <w:spacing w:val="-4"/>
          <w:lang w:val="en-US"/>
        </w:rPr>
      </w:pPr>
      <w:r w:rsidRPr="006C4428">
        <w:rPr>
          <w:spacing w:val="-4"/>
          <w:rtl/>
          <w:lang w:val="en-US"/>
        </w:rPr>
        <w:t>6</w:t>
      </w:r>
      <w:r w:rsidRPr="007B6F48">
        <w:rPr>
          <w:spacing w:val="-4"/>
          <w:rtl/>
          <w:lang w:val="en-US"/>
        </w:rPr>
        <w:t>-</w:t>
      </w:r>
      <w:r w:rsidRPr="006C4428">
        <w:rPr>
          <w:spacing w:val="-4"/>
          <w:rtl/>
          <w:lang w:val="en-US"/>
        </w:rPr>
        <w:t>10</w:t>
      </w:r>
      <w:r w:rsidRPr="007B6F48">
        <w:rPr>
          <w:spacing w:val="-4"/>
          <w:rtl/>
          <w:lang w:val="en-US"/>
        </w:rPr>
        <w:tab/>
        <w:t>وفيما يتعلق بادعاء صاحبة البلاغ أن سلطات الدولة حكمت عليها مِن طريق زوجها، يجدر بالإشارة أن الاجتهادات، بتأكيدها شرعية الإجراء الإداري، اعترفت في مناسبات عدة بأن العلاقة الزوجية تدل على وجود رابطة أكثر استقرار</w:t>
      </w:r>
      <w:r w:rsidR="00647AA7">
        <w:rPr>
          <w:spacing w:val="-4"/>
          <w:rtl/>
          <w:lang w:val="en-US"/>
        </w:rPr>
        <w:t xml:space="preserve">اً </w:t>
      </w:r>
      <w:r w:rsidRPr="007B6F48">
        <w:rPr>
          <w:spacing w:val="-4"/>
          <w:rtl/>
          <w:lang w:val="en-US"/>
        </w:rPr>
        <w:t>بكثير من تلك التي تعتبر كافية لدعم قرار يقضي برفض منح الجنسية، لأن هذه العلاقة متجذرة في الأسرة وفي الروابط العاطفية المتصلة بها. وبسبب هذه الروابط، لا</w:t>
      </w:r>
      <w:r w:rsidR="007B6F48" w:rsidRPr="007B6F48">
        <w:rPr>
          <w:rFonts w:hint="cs"/>
          <w:spacing w:val="-4"/>
          <w:rtl/>
          <w:lang w:val="en-US"/>
        </w:rPr>
        <w:t> </w:t>
      </w:r>
      <w:r w:rsidRPr="007B6F48">
        <w:rPr>
          <w:spacing w:val="-4"/>
          <w:rtl/>
          <w:lang w:val="en-US"/>
        </w:rPr>
        <w:t xml:space="preserve">يمكن استبعاد إمكانية حث أحد </w:t>
      </w:r>
      <w:r w:rsidRPr="00FB721F">
        <w:rPr>
          <w:spacing w:val="-6"/>
          <w:rtl/>
          <w:lang w:val="en-US"/>
        </w:rPr>
        <w:t>أفراد الأسرة على إتيان سلوك يمكن أن يكون خطر</w:t>
      </w:r>
      <w:r w:rsidR="00647AA7" w:rsidRPr="00FB721F">
        <w:rPr>
          <w:spacing w:val="-6"/>
          <w:rtl/>
          <w:lang w:val="en-US"/>
        </w:rPr>
        <w:t xml:space="preserve">اً </w:t>
      </w:r>
      <w:r w:rsidRPr="00FB721F">
        <w:rPr>
          <w:spacing w:val="-6"/>
          <w:rtl/>
          <w:lang w:val="en-US"/>
        </w:rPr>
        <w:t xml:space="preserve">من منظور أمن البلد. والأهمية المنسوبة إلى الروابط الأسرية، </w:t>
      </w:r>
      <w:r w:rsidRPr="007B6F48">
        <w:rPr>
          <w:spacing w:val="-4"/>
          <w:rtl/>
          <w:lang w:val="en-US"/>
        </w:rPr>
        <w:lastRenderedPageBreak/>
        <w:t>التي يشاركها القاضي الإداري أيض</w:t>
      </w:r>
      <w:r w:rsidR="00647AA7">
        <w:rPr>
          <w:spacing w:val="-4"/>
          <w:rtl/>
          <w:lang w:val="en-US"/>
        </w:rPr>
        <w:t xml:space="preserve">اً </w:t>
      </w:r>
      <w:r w:rsidRPr="007B6F48">
        <w:rPr>
          <w:spacing w:val="-4"/>
          <w:rtl/>
          <w:lang w:val="en-US"/>
        </w:rPr>
        <w:t xml:space="preserve">في حالة الإدانات الجنائية التي يبلغ عنها أقارب طالب الحصول على الجنسية، لها ما يبررها أكثر عندما يتعلق الأمر بمخاطر محتملة على أمن الدولة. </w:t>
      </w:r>
    </w:p>
    <w:p w14:paraId="0F6093B2" w14:textId="7F578443" w:rsidR="00CF274D" w:rsidRPr="00BD2E54" w:rsidRDefault="00CF274D" w:rsidP="00CF274D">
      <w:pPr>
        <w:pStyle w:val="SingleTxtGA"/>
        <w:rPr>
          <w:spacing w:val="2"/>
          <w:lang w:val="en-US"/>
        </w:rPr>
      </w:pPr>
      <w:r w:rsidRPr="006C4428">
        <w:rPr>
          <w:rtl/>
          <w:lang w:val="en-US"/>
        </w:rPr>
        <w:t>6</w:t>
      </w:r>
      <w:r w:rsidRPr="00CF274D">
        <w:rPr>
          <w:rtl/>
          <w:lang w:val="en-US"/>
        </w:rPr>
        <w:t>-</w:t>
      </w:r>
      <w:r w:rsidRPr="006C4428">
        <w:rPr>
          <w:rtl/>
          <w:lang w:val="en-US"/>
        </w:rPr>
        <w:t>11</w:t>
      </w:r>
      <w:r w:rsidRPr="00CF274D">
        <w:rPr>
          <w:rtl/>
          <w:lang w:val="en-US"/>
        </w:rPr>
        <w:tab/>
        <w:t>وفيما يخص الإشارة، في القرار الذي يقضي برفض طلب صاحبة البلاغ، إلى علاقة أسرية، يجدر بالذكر أن التوصيف غير المناسب بسبب استعمال صيغة نموذجية لا ينتقص من شرعية التقييم الذي أجرته الإدارة، التي أخذت في الاعتبار إمكانية التيسير، في ضوء العلاقة المستقرة الفعلية، لسلوك يعتبر خطر</w:t>
      </w:r>
      <w:r w:rsidR="00647AA7">
        <w:rPr>
          <w:rtl/>
          <w:lang w:val="en-US"/>
        </w:rPr>
        <w:t xml:space="preserve">اً </w:t>
      </w:r>
      <w:r w:rsidRPr="00CF274D">
        <w:rPr>
          <w:rtl/>
          <w:lang w:val="en-US"/>
        </w:rPr>
        <w:t xml:space="preserve">على أمن البلاد. ولذلك فإن الإشارة إلى حكم المحكمة الدستورية، الذي يميز بين العلاقات </w:t>
      </w:r>
      <w:r w:rsidRPr="00BD2E54">
        <w:rPr>
          <w:spacing w:val="2"/>
          <w:rtl/>
          <w:lang w:val="en-US"/>
        </w:rPr>
        <w:t>الزوجية والأسرية، لا تمتّ إلى الموضوع بصلة. وغني عن البيان أن العلاقة الأسرية بمفهومها الواسع هي</w:t>
      </w:r>
      <w:r w:rsidR="00BD2E54" w:rsidRPr="00BD2E54">
        <w:rPr>
          <w:rFonts w:hint="cs"/>
          <w:spacing w:val="2"/>
          <w:rtl/>
          <w:lang w:val="en-US"/>
        </w:rPr>
        <w:t> </w:t>
      </w:r>
      <w:r w:rsidRPr="00BD2E54">
        <w:rPr>
          <w:spacing w:val="2"/>
          <w:rtl/>
          <w:lang w:val="en-US"/>
        </w:rPr>
        <w:t>التي تستخدم لتقييم سلوك يعتبر خطر</w:t>
      </w:r>
      <w:r w:rsidR="00647AA7" w:rsidRPr="00BD2E54">
        <w:rPr>
          <w:spacing w:val="2"/>
          <w:rtl/>
          <w:lang w:val="en-US"/>
        </w:rPr>
        <w:t xml:space="preserve">اً </w:t>
      </w:r>
      <w:r w:rsidRPr="00BD2E54">
        <w:rPr>
          <w:spacing w:val="2"/>
          <w:rtl/>
          <w:lang w:val="en-US"/>
        </w:rPr>
        <w:t xml:space="preserve">على أمن البلاد، كما هي الحال في القضية موضع النظر. </w:t>
      </w:r>
    </w:p>
    <w:p w14:paraId="070EBF5A" w14:textId="29C7C706" w:rsidR="00CF274D" w:rsidRPr="00CF274D" w:rsidRDefault="00CF274D" w:rsidP="00CF274D">
      <w:pPr>
        <w:pStyle w:val="SingleTxtGA"/>
        <w:rPr>
          <w:lang w:val="en-US"/>
        </w:rPr>
      </w:pPr>
      <w:r w:rsidRPr="006C4428">
        <w:rPr>
          <w:rtl/>
          <w:lang w:val="en-US"/>
        </w:rPr>
        <w:t>6</w:t>
      </w:r>
      <w:r w:rsidRPr="00CF274D">
        <w:rPr>
          <w:rtl/>
          <w:lang w:val="en-US"/>
        </w:rPr>
        <w:t>-</w:t>
      </w:r>
      <w:r w:rsidRPr="006C4428">
        <w:rPr>
          <w:rtl/>
          <w:lang w:val="en-US"/>
        </w:rPr>
        <w:t>12</w:t>
      </w:r>
      <w:r w:rsidRPr="00CF274D">
        <w:rPr>
          <w:rtl/>
          <w:lang w:val="en-US"/>
        </w:rPr>
        <w:tab/>
        <w:t>وأخير</w:t>
      </w:r>
      <w:r w:rsidR="00647AA7">
        <w:rPr>
          <w:rtl/>
          <w:lang w:val="en-US"/>
        </w:rPr>
        <w:t>اً،</w:t>
      </w:r>
      <w:r w:rsidRPr="00CF274D">
        <w:rPr>
          <w:rtl/>
          <w:lang w:val="en-US"/>
        </w:rPr>
        <w:t xml:space="preserve"> يشار إلى أن التحقيقات التي أجريت لم تستند إلى تدابير تقيد الحرية أو غيرها من الحقوق المكفولة دستوري</w:t>
      </w:r>
      <w:r w:rsidR="00647AA7">
        <w:rPr>
          <w:rtl/>
          <w:lang w:val="en-US"/>
        </w:rPr>
        <w:t>اً،</w:t>
      </w:r>
      <w:r w:rsidRPr="00CF274D">
        <w:rPr>
          <w:rtl/>
          <w:lang w:val="en-US"/>
        </w:rPr>
        <w:t xml:space="preserve"> بل أدت إلى إعداد تقييم يتعلق بالسلطة السيادية للدولة المتمثلة في زيادة عدد مواطنيها. وفي ضوء ما سلف، لا أساس من الصحة على الإطلاق لاتهام الإدارة بالمعاملة التمييزية، إذ</w:t>
      </w:r>
      <w:r w:rsidR="00D04D4C">
        <w:rPr>
          <w:rFonts w:hint="cs"/>
          <w:rtl/>
          <w:lang w:val="en-US"/>
        </w:rPr>
        <w:t> </w:t>
      </w:r>
      <w:r w:rsidRPr="00CF274D">
        <w:rPr>
          <w:rtl/>
          <w:lang w:val="en-US"/>
        </w:rPr>
        <w:t>إنها تصرفت بدل</w:t>
      </w:r>
      <w:r w:rsidR="00647AA7">
        <w:rPr>
          <w:rtl/>
          <w:lang w:val="en-US"/>
        </w:rPr>
        <w:t xml:space="preserve">اً </w:t>
      </w:r>
      <w:r w:rsidRPr="00CF274D">
        <w:rPr>
          <w:rtl/>
          <w:lang w:val="en-US"/>
        </w:rPr>
        <w:t>من ذلك في إطار احترام الامتيازات الممنوحة وامتثال المبادئ التي أكدها القاضي الإداري امتثال</w:t>
      </w:r>
      <w:r w:rsidR="00647AA7">
        <w:rPr>
          <w:rtl/>
          <w:lang w:val="en-US"/>
        </w:rPr>
        <w:t xml:space="preserve">اً </w:t>
      </w:r>
      <w:r w:rsidRPr="00CF274D">
        <w:rPr>
          <w:rtl/>
          <w:lang w:val="en-US"/>
        </w:rPr>
        <w:t>تام</w:t>
      </w:r>
      <w:r w:rsidR="00647AA7">
        <w:rPr>
          <w:rtl/>
          <w:lang w:val="en-US"/>
        </w:rPr>
        <w:t>اً.</w:t>
      </w:r>
      <w:r w:rsidRPr="00CF274D">
        <w:rPr>
          <w:rtl/>
          <w:lang w:val="en-US"/>
        </w:rPr>
        <w:t xml:space="preserve"> والحال أن الإدارة تقيّم طلبات الحصول على الجنسية الإيطالية دون أي تمييز بسبب الجنس أو أي انتهاك للحياة الخاصة للأشخاص المعنيين، ولكن بالنظر إلى درجة اندماج الأجنبي: وهذا تقييم ينظر بالضرورة في الروابط الأسرية، التي تشكل هوية ذلك الأجنبي أو إطاره المرجعي. وتكرر الدولة الطرف أن من الظاهر أن ادعاءات صاحبة البلاغ لا تستند إلى أسس سليمة أو لا أسس موضوعية لها. </w:t>
      </w:r>
    </w:p>
    <w:p w14:paraId="5BCF8F33" w14:textId="77777777" w:rsidR="00CF274D" w:rsidRPr="006C4428" w:rsidRDefault="00CF274D" w:rsidP="007C3D8A">
      <w:pPr>
        <w:pStyle w:val="H23GA"/>
      </w:pPr>
      <w:r w:rsidRPr="006C4428">
        <w:rPr>
          <w:rtl/>
        </w:rPr>
        <w:tab/>
      </w:r>
      <w:r w:rsidRPr="006C4428">
        <w:rPr>
          <w:rtl/>
        </w:rPr>
        <w:tab/>
        <w:t>المسائل والإجراءات المعروضة على اللجنة</w:t>
      </w:r>
    </w:p>
    <w:p w14:paraId="44B57783" w14:textId="77777777" w:rsidR="00CF274D" w:rsidRPr="006C4428" w:rsidRDefault="00CF274D" w:rsidP="007C3D8A">
      <w:pPr>
        <w:pStyle w:val="H4GA"/>
      </w:pPr>
      <w:r w:rsidRPr="006C4428">
        <w:rPr>
          <w:rtl/>
        </w:rPr>
        <w:tab/>
      </w:r>
      <w:r w:rsidRPr="006C4428">
        <w:rPr>
          <w:rtl/>
        </w:rPr>
        <w:tab/>
        <w:t>النظر في المقبولية</w:t>
      </w:r>
    </w:p>
    <w:p w14:paraId="00B6AA38" w14:textId="77777777" w:rsidR="00CF274D" w:rsidRPr="00CF274D" w:rsidRDefault="00CF274D" w:rsidP="00CF274D">
      <w:pPr>
        <w:pStyle w:val="SingleTxtGA"/>
        <w:rPr>
          <w:lang w:val="en-US"/>
        </w:rPr>
      </w:pPr>
      <w:r w:rsidRPr="006C4428">
        <w:rPr>
          <w:rtl/>
          <w:lang w:val="en-US"/>
        </w:rPr>
        <w:t>7</w:t>
      </w:r>
      <w:r w:rsidRPr="00CF274D">
        <w:rPr>
          <w:rtl/>
          <w:lang w:val="en-US"/>
        </w:rPr>
        <w:t>-</w:t>
      </w:r>
      <w:r w:rsidRPr="006C4428">
        <w:rPr>
          <w:rtl/>
          <w:lang w:val="en-US"/>
        </w:rPr>
        <w:t>1</w:t>
      </w:r>
      <w:r w:rsidRPr="00CF274D">
        <w:rPr>
          <w:rtl/>
          <w:lang w:val="en-US"/>
        </w:rPr>
        <w:tab/>
        <w:t xml:space="preserve">قبل النظر في أي ادعاء يرد في بلاغ ما، يجب على اللجنة، وفقاً للمادة </w:t>
      </w:r>
      <w:r w:rsidRPr="006C4428">
        <w:rPr>
          <w:rtl/>
          <w:lang w:val="en-US"/>
        </w:rPr>
        <w:t>97</w:t>
      </w:r>
      <w:r w:rsidRPr="00CF274D">
        <w:rPr>
          <w:rtl/>
          <w:lang w:val="en-US"/>
        </w:rPr>
        <w:t xml:space="preserve"> من نظامها الداخلي، أن تحدد ما إن كان البلاغ مقبولاً أم لا بموجب البروتوكول الاختياري.</w:t>
      </w:r>
    </w:p>
    <w:p w14:paraId="7AACE0B6" w14:textId="77777777" w:rsidR="00CF274D" w:rsidRPr="00CF274D" w:rsidRDefault="00CF274D" w:rsidP="00CF274D">
      <w:pPr>
        <w:pStyle w:val="SingleTxtGA"/>
        <w:rPr>
          <w:lang w:val="en-US"/>
        </w:rPr>
      </w:pPr>
      <w:r w:rsidRPr="006C4428">
        <w:rPr>
          <w:rtl/>
          <w:lang w:val="en-US"/>
        </w:rPr>
        <w:t>7</w:t>
      </w:r>
      <w:r w:rsidRPr="00CF274D">
        <w:rPr>
          <w:rtl/>
          <w:lang w:val="en-US"/>
        </w:rPr>
        <w:t>-</w:t>
      </w:r>
      <w:r w:rsidRPr="006C4428">
        <w:rPr>
          <w:rtl/>
          <w:lang w:val="en-US"/>
        </w:rPr>
        <w:t>2</w:t>
      </w:r>
      <w:r w:rsidRPr="00CF274D">
        <w:rPr>
          <w:rtl/>
          <w:lang w:val="en-US"/>
        </w:rPr>
        <w:tab/>
        <w:t xml:space="preserve">وقد استيقنت اللجنة، وفق ما </w:t>
      </w:r>
      <w:proofErr w:type="spellStart"/>
      <w:r w:rsidRPr="00CF274D">
        <w:rPr>
          <w:rtl/>
          <w:lang w:val="en-US"/>
        </w:rPr>
        <w:t>تستوجبه</w:t>
      </w:r>
      <w:proofErr w:type="spellEnd"/>
      <w:r w:rsidRPr="00CF274D">
        <w:rPr>
          <w:rtl/>
          <w:lang w:val="en-US"/>
        </w:rPr>
        <w:t xml:space="preserve"> المادة </w:t>
      </w:r>
      <w:r w:rsidRPr="006C4428">
        <w:rPr>
          <w:rtl/>
          <w:lang w:val="en-US"/>
        </w:rPr>
        <w:t>5</w:t>
      </w:r>
      <w:r w:rsidRPr="00CF274D">
        <w:rPr>
          <w:rtl/>
          <w:lang w:val="en-US"/>
        </w:rPr>
        <w:t>(</w:t>
      </w:r>
      <w:r w:rsidRPr="006C4428">
        <w:rPr>
          <w:rtl/>
          <w:lang w:val="en-US"/>
        </w:rPr>
        <w:t>2</w:t>
      </w:r>
      <w:r w:rsidRPr="00CF274D">
        <w:rPr>
          <w:rtl/>
          <w:lang w:val="en-US"/>
        </w:rPr>
        <w:t>)(أ) من البروتوكول الاختياري، من أن المسألة نفسها ليست قيد البحث بموجب إجراء آخر من إجراءات التحقيق الدولي أو التسوية الدولية.</w:t>
      </w:r>
    </w:p>
    <w:p w14:paraId="55359310" w14:textId="3C372E55" w:rsidR="00CF274D" w:rsidRPr="008D59DD" w:rsidRDefault="00CF274D" w:rsidP="00CF274D">
      <w:pPr>
        <w:pStyle w:val="SingleTxtGA"/>
        <w:rPr>
          <w:spacing w:val="2"/>
          <w:lang w:val="en-US"/>
        </w:rPr>
      </w:pPr>
      <w:r w:rsidRPr="006C4428">
        <w:rPr>
          <w:spacing w:val="-2"/>
          <w:rtl/>
          <w:lang w:val="en-US"/>
        </w:rPr>
        <w:t>7</w:t>
      </w:r>
      <w:r w:rsidRPr="007B6F48">
        <w:rPr>
          <w:spacing w:val="-2"/>
          <w:rtl/>
          <w:lang w:val="en-US"/>
        </w:rPr>
        <w:t>-</w:t>
      </w:r>
      <w:r w:rsidRPr="006C4428">
        <w:rPr>
          <w:spacing w:val="-2"/>
          <w:rtl/>
          <w:lang w:val="en-US"/>
        </w:rPr>
        <w:t>3</w:t>
      </w:r>
      <w:r w:rsidRPr="007B6F48">
        <w:rPr>
          <w:spacing w:val="-2"/>
          <w:rtl/>
          <w:lang w:val="en-US"/>
        </w:rPr>
        <w:tab/>
      </w:r>
      <w:r w:rsidRPr="00540D67">
        <w:rPr>
          <w:spacing w:val="-4"/>
          <w:rtl/>
          <w:lang w:val="en-US"/>
        </w:rPr>
        <w:t xml:space="preserve">وتذكّر اللجنة بما ذهبت إليه في اجتهاداتها من أنه يجب على أصحاب البلاغات الاستفادة من جميع سبل الانتصاف المحلية لاستيفاء الشرط المنصوص عليه في المادة </w:t>
      </w:r>
      <w:r w:rsidRPr="006C4428">
        <w:rPr>
          <w:spacing w:val="-4"/>
          <w:rtl/>
          <w:lang w:val="en-US"/>
        </w:rPr>
        <w:t>5</w:t>
      </w:r>
      <w:r w:rsidRPr="00540D67">
        <w:rPr>
          <w:spacing w:val="-4"/>
          <w:rtl/>
          <w:lang w:val="en-US"/>
        </w:rPr>
        <w:t>(</w:t>
      </w:r>
      <w:r w:rsidRPr="006C4428">
        <w:rPr>
          <w:spacing w:val="-4"/>
          <w:rtl/>
          <w:lang w:val="en-US"/>
        </w:rPr>
        <w:t>2</w:t>
      </w:r>
      <w:r w:rsidRPr="00540D67">
        <w:rPr>
          <w:spacing w:val="-4"/>
          <w:rtl/>
          <w:lang w:val="en-US"/>
        </w:rPr>
        <w:t>)(ب) من البروتوكول</w:t>
      </w:r>
      <w:r w:rsidRPr="007B6F48">
        <w:rPr>
          <w:spacing w:val="-2"/>
          <w:rtl/>
          <w:lang w:val="en-US"/>
        </w:rPr>
        <w:t xml:space="preserve"> الاختياري، شريطة أن تبدو تلك السبل فعالة في القضية المعنية وأن تكون متاحة فعلياً لصاحب البلاغ</w:t>
      </w:r>
      <w:r w:rsidR="00BD2E54" w:rsidRPr="006C4428">
        <w:rPr>
          <w:rStyle w:val="FootnoteReference"/>
          <w:spacing w:val="-2"/>
          <w:rtl/>
        </w:rPr>
        <w:t>(</w:t>
      </w:r>
      <w:r w:rsidR="00BD2E54" w:rsidRPr="006C4428">
        <w:rPr>
          <w:rStyle w:val="FootnoteReference"/>
          <w:spacing w:val="-2"/>
          <w:lang w:val="en-US"/>
        </w:rPr>
        <w:footnoteReference w:id="13"/>
      </w:r>
      <w:r w:rsidR="00BD2E54" w:rsidRPr="00BD2E54">
        <w:rPr>
          <w:spacing w:val="-2"/>
          <w:vertAlign w:val="superscript"/>
          <w:rtl/>
          <w:lang w:val="en-US"/>
        </w:rPr>
        <w:t>)</w:t>
      </w:r>
      <w:r w:rsidR="00BD2E54" w:rsidRPr="00BD2E54">
        <w:rPr>
          <w:spacing w:val="-2"/>
          <w:rtl/>
          <w:lang w:val="en-US"/>
        </w:rPr>
        <w:t xml:space="preserve">. </w:t>
      </w:r>
      <w:r w:rsidRPr="008D59DD">
        <w:rPr>
          <w:spacing w:val="2"/>
          <w:rtl/>
          <w:lang w:val="en-US"/>
        </w:rPr>
        <w:t xml:space="preserve">وتشير اللجنة إلى أن صاحبة البلاغ قدمت شكوى إلى المحاكم المحلية ادعت فيها انتهاك حقوقها المكفولة بموجب المادتين </w:t>
      </w:r>
      <w:r w:rsidRPr="006C4428">
        <w:rPr>
          <w:spacing w:val="2"/>
          <w:rtl/>
          <w:lang w:val="en-US"/>
        </w:rPr>
        <w:t>17</w:t>
      </w:r>
      <w:r w:rsidRPr="008D59DD">
        <w:rPr>
          <w:spacing w:val="2"/>
          <w:rtl/>
          <w:lang w:val="en-US"/>
        </w:rPr>
        <w:t xml:space="preserve"> و</w:t>
      </w:r>
      <w:r w:rsidRPr="006C4428">
        <w:rPr>
          <w:spacing w:val="2"/>
          <w:rtl/>
          <w:lang w:val="en-US"/>
        </w:rPr>
        <w:t>26</w:t>
      </w:r>
      <w:r w:rsidRPr="008D59DD">
        <w:rPr>
          <w:spacing w:val="2"/>
          <w:rtl/>
          <w:lang w:val="en-US"/>
        </w:rPr>
        <w:t xml:space="preserve"> من العهد لأن طلبها الحصول على الجنسية رفض على أساس ظروف تتعلق بزوجها دون الاستماع إليها شخصي</w:t>
      </w:r>
      <w:r w:rsidR="00647AA7" w:rsidRPr="008D59DD">
        <w:rPr>
          <w:spacing w:val="2"/>
          <w:rtl/>
          <w:lang w:val="en-US"/>
        </w:rPr>
        <w:t xml:space="preserve">اً </w:t>
      </w:r>
      <w:r w:rsidRPr="008D59DD">
        <w:rPr>
          <w:spacing w:val="2"/>
          <w:rtl/>
          <w:lang w:val="en-US"/>
        </w:rPr>
        <w:t>ولأن إجراءات الاستئناف شابها تأخيرات لا مبرر لها. وتلاحظ في هذا السياق أن صاحبة البلاغ طعنت أساس</w:t>
      </w:r>
      <w:r w:rsidR="00647AA7" w:rsidRPr="008D59DD">
        <w:rPr>
          <w:spacing w:val="2"/>
          <w:rtl/>
          <w:lang w:val="en-US"/>
        </w:rPr>
        <w:t xml:space="preserve">اً </w:t>
      </w:r>
      <w:r w:rsidRPr="008D59DD">
        <w:rPr>
          <w:spacing w:val="2"/>
          <w:rtl/>
          <w:lang w:val="en-US"/>
        </w:rPr>
        <w:t>في الوقائع والأدلة، واعترضت على استخدام وزارة الداخلية معلومات سرية لتقييم طلبها الحصول على الجنسية على أساس الإقامة، إذ إن القانون يمنح الدولة سلطة تقديرية واسعة في التقييم. وتشير أيض</w:t>
      </w:r>
      <w:r w:rsidR="00647AA7" w:rsidRPr="008D59DD">
        <w:rPr>
          <w:spacing w:val="2"/>
          <w:rtl/>
          <w:lang w:val="en-US"/>
        </w:rPr>
        <w:t xml:space="preserve">اً </w:t>
      </w:r>
      <w:r w:rsidRPr="008D59DD">
        <w:rPr>
          <w:spacing w:val="2"/>
          <w:rtl/>
          <w:lang w:val="en-US"/>
        </w:rPr>
        <w:t xml:space="preserve">إلى أن الدولة الطرف طعنت في مقبولية هذا البلاغ بسبب عدم استنفاد سبل الانتصاف المحلية المتاحة لأن إجراءات الاستئناف أمام المحكمة </w:t>
      </w:r>
      <w:r w:rsidRPr="008D59DD">
        <w:rPr>
          <w:spacing w:val="2"/>
          <w:rtl/>
          <w:lang w:val="en-US"/>
        </w:rPr>
        <w:lastRenderedPageBreak/>
        <w:t>الإدارية الإقليمية كانت معلقة وقت تقديم الرسالة الأولى ولأن صاحبة البلاغ لم تدعم ادعاءاتها بما</w:t>
      </w:r>
      <w:r w:rsidR="00540D67">
        <w:rPr>
          <w:rFonts w:hint="cs"/>
          <w:spacing w:val="2"/>
          <w:rtl/>
          <w:lang w:val="en-US"/>
        </w:rPr>
        <w:t> </w:t>
      </w:r>
      <w:r w:rsidRPr="008D59DD">
        <w:rPr>
          <w:spacing w:val="2"/>
          <w:rtl/>
          <w:lang w:val="en-US"/>
        </w:rPr>
        <w:t xml:space="preserve">يكفي من الأدلة. </w:t>
      </w:r>
    </w:p>
    <w:p w14:paraId="0357B63E" w14:textId="02366571" w:rsidR="00CF274D" w:rsidRPr="008D59DD" w:rsidRDefault="00CF274D" w:rsidP="00CF274D">
      <w:pPr>
        <w:pStyle w:val="SingleTxtGA"/>
        <w:rPr>
          <w:spacing w:val="2"/>
          <w:lang w:val="en-US"/>
        </w:rPr>
      </w:pPr>
      <w:r w:rsidRPr="006C4428">
        <w:rPr>
          <w:rtl/>
          <w:lang w:val="en-US"/>
        </w:rPr>
        <w:t>7</w:t>
      </w:r>
      <w:r w:rsidRPr="00CF274D">
        <w:rPr>
          <w:rtl/>
          <w:lang w:val="en-US"/>
        </w:rPr>
        <w:t>-</w:t>
      </w:r>
      <w:r w:rsidRPr="006C4428">
        <w:rPr>
          <w:rtl/>
          <w:lang w:val="en-US"/>
        </w:rPr>
        <w:t>4</w:t>
      </w:r>
      <w:r w:rsidRPr="00CF274D">
        <w:rPr>
          <w:rtl/>
          <w:lang w:val="en-US"/>
        </w:rPr>
        <w:tab/>
        <w:t>وتحيط اللجنة علم</w:t>
      </w:r>
      <w:r w:rsidR="00647AA7">
        <w:rPr>
          <w:rtl/>
          <w:lang w:val="en-US"/>
        </w:rPr>
        <w:t xml:space="preserve">اً </w:t>
      </w:r>
      <w:r w:rsidRPr="00CF274D">
        <w:rPr>
          <w:rtl/>
          <w:lang w:val="en-US"/>
        </w:rPr>
        <w:t xml:space="preserve">بحجة الدولة الطرف التي تقول إنه في أعقاب استئناف صاحبة البلاغ لدى المحكمة الإدارية الإقليمية، بتاريخ </w:t>
      </w:r>
      <w:r w:rsidRPr="006C4428">
        <w:rPr>
          <w:rtl/>
          <w:lang w:val="en-US"/>
        </w:rPr>
        <w:t>30</w:t>
      </w:r>
      <w:r w:rsidRPr="00CF274D">
        <w:rPr>
          <w:rtl/>
          <w:lang w:val="en-US"/>
        </w:rPr>
        <w:t xml:space="preserve"> كانون الأول/ديسمبر </w:t>
      </w:r>
      <w:r w:rsidRPr="006C4428">
        <w:rPr>
          <w:rtl/>
          <w:lang w:val="en-US"/>
        </w:rPr>
        <w:t>2016</w:t>
      </w:r>
      <w:r w:rsidRPr="00CF274D">
        <w:rPr>
          <w:rtl/>
          <w:lang w:val="en-US"/>
        </w:rPr>
        <w:t xml:space="preserve">، رَفْض طلبها، تَقرر النظر في القضية وقدمت صاحبة البلاغ التماسات عدة لتعليق إجراءات الاستئناف ريثما يُبت في طلباتها الحصول على </w:t>
      </w:r>
      <w:r w:rsidRPr="001C116C">
        <w:rPr>
          <w:spacing w:val="-2"/>
          <w:rtl/>
          <w:lang w:val="en-US"/>
        </w:rPr>
        <w:t>معلومات سرية استخدمتها الإدارة عند تقييم طلبها. واستأنفت صاحبة البلاغ لاحق</w:t>
      </w:r>
      <w:r w:rsidR="00647AA7" w:rsidRPr="001C116C">
        <w:rPr>
          <w:spacing w:val="-2"/>
          <w:rtl/>
          <w:lang w:val="en-US"/>
        </w:rPr>
        <w:t xml:space="preserve">اً </w:t>
      </w:r>
      <w:r w:rsidRPr="001C116C">
        <w:rPr>
          <w:spacing w:val="-2"/>
          <w:rtl/>
          <w:lang w:val="en-US"/>
        </w:rPr>
        <w:t xml:space="preserve">لدى مجلس الدولة الأمرَ الصادر عن هيئة القضاة الذي يقضي برفض الطلب الذي تقدمت به صاحبة البلاغ من أجل الحصول على المعلومات السرية (الفقرة </w:t>
      </w:r>
      <w:r w:rsidRPr="006C4428">
        <w:rPr>
          <w:spacing w:val="-2"/>
          <w:rtl/>
          <w:lang w:val="en-US"/>
        </w:rPr>
        <w:t>6</w:t>
      </w:r>
      <w:r w:rsidRPr="001C116C">
        <w:rPr>
          <w:spacing w:val="-2"/>
          <w:rtl/>
          <w:lang w:val="en-US"/>
        </w:rPr>
        <w:t>-</w:t>
      </w:r>
      <w:r w:rsidRPr="006C4428">
        <w:rPr>
          <w:spacing w:val="-2"/>
          <w:rtl/>
          <w:lang w:val="en-US"/>
        </w:rPr>
        <w:t>4</w:t>
      </w:r>
      <w:r w:rsidRPr="001C116C">
        <w:rPr>
          <w:spacing w:val="-2"/>
          <w:rtl/>
          <w:lang w:val="en-US"/>
        </w:rPr>
        <w:t xml:space="preserve"> أعلاه</w:t>
      </w:r>
      <w:r w:rsidR="00BD2E54" w:rsidRPr="00BD2E54">
        <w:rPr>
          <w:spacing w:val="-2"/>
          <w:rtl/>
          <w:lang w:val="en-US"/>
        </w:rPr>
        <w:t xml:space="preserve">). </w:t>
      </w:r>
      <w:r w:rsidRPr="001C116C">
        <w:rPr>
          <w:spacing w:val="-2"/>
          <w:rtl/>
          <w:lang w:val="en-US"/>
        </w:rPr>
        <w:t>وتشير اللجنة إلى أن صاحبة البلاغ حثت مرار</w:t>
      </w:r>
      <w:r w:rsidR="00647AA7" w:rsidRPr="001C116C">
        <w:rPr>
          <w:spacing w:val="-2"/>
          <w:rtl/>
          <w:lang w:val="en-US"/>
        </w:rPr>
        <w:t xml:space="preserve">اً </w:t>
      </w:r>
      <w:r w:rsidRPr="001C116C">
        <w:rPr>
          <w:spacing w:val="-2"/>
          <w:rtl/>
          <w:lang w:val="en-US"/>
        </w:rPr>
        <w:t>وتكرار</w:t>
      </w:r>
      <w:r w:rsidR="00647AA7" w:rsidRPr="001C116C">
        <w:rPr>
          <w:spacing w:val="-2"/>
          <w:rtl/>
          <w:lang w:val="en-US"/>
        </w:rPr>
        <w:t>اً</w:t>
      </w:r>
      <w:r w:rsidR="00647AA7">
        <w:rPr>
          <w:rtl/>
          <w:lang w:val="en-US"/>
        </w:rPr>
        <w:t xml:space="preserve"> </w:t>
      </w:r>
      <w:r w:rsidRPr="00CF274D">
        <w:rPr>
          <w:rtl/>
          <w:lang w:val="en-US"/>
        </w:rPr>
        <w:t>بالتوازي مع</w:t>
      </w:r>
      <w:r w:rsidR="001C116C">
        <w:rPr>
          <w:rFonts w:hint="cs"/>
          <w:rtl/>
          <w:lang w:val="en-US"/>
        </w:rPr>
        <w:t> </w:t>
      </w:r>
      <w:r w:rsidRPr="00CF274D">
        <w:rPr>
          <w:rtl/>
          <w:lang w:val="en-US"/>
        </w:rPr>
        <w:t>ذلك على أن تتخذ المحكمة الإدارية قرار</w:t>
      </w:r>
      <w:r w:rsidR="00647AA7">
        <w:rPr>
          <w:rtl/>
          <w:lang w:val="en-US"/>
        </w:rPr>
        <w:t xml:space="preserve">اً </w:t>
      </w:r>
      <w:r w:rsidRPr="00CF274D">
        <w:rPr>
          <w:rtl/>
          <w:lang w:val="en-US"/>
        </w:rPr>
        <w:t>بشأن استئنافها. وتحيط اللجنة علم</w:t>
      </w:r>
      <w:r w:rsidR="00647AA7">
        <w:rPr>
          <w:rtl/>
          <w:lang w:val="en-US"/>
        </w:rPr>
        <w:t xml:space="preserve">اً </w:t>
      </w:r>
      <w:r w:rsidRPr="00CF274D">
        <w:rPr>
          <w:rtl/>
          <w:lang w:val="en-US"/>
        </w:rPr>
        <w:t xml:space="preserve">في هذا السياق بحجة </w:t>
      </w:r>
      <w:r w:rsidRPr="008D59DD">
        <w:rPr>
          <w:spacing w:val="2"/>
          <w:rtl/>
          <w:lang w:val="en-US"/>
        </w:rPr>
        <w:t>الدولة الطرف القائلة إن صاحبة البلاغ طلبت استصدار تدبير وقائي من أجل الحصول على جميع</w:t>
      </w:r>
      <w:r w:rsidRPr="00CF274D">
        <w:rPr>
          <w:rtl/>
          <w:lang w:val="en-US"/>
        </w:rPr>
        <w:t xml:space="preserve"> المعلومات الواردة في الملف في </w:t>
      </w:r>
      <w:r w:rsidRPr="006C4428">
        <w:rPr>
          <w:rtl/>
          <w:lang w:val="en-US"/>
        </w:rPr>
        <w:t>24</w:t>
      </w:r>
      <w:r w:rsidRPr="00CF274D">
        <w:rPr>
          <w:rtl/>
          <w:lang w:val="en-US"/>
        </w:rPr>
        <w:t xml:space="preserve"> كانون الثاني/يناير </w:t>
      </w:r>
      <w:r w:rsidRPr="006C4428">
        <w:rPr>
          <w:rtl/>
          <w:lang w:val="en-US"/>
        </w:rPr>
        <w:t>2020</w:t>
      </w:r>
      <w:r w:rsidRPr="00CF274D">
        <w:rPr>
          <w:rtl/>
          <w:lang w:val="en-US"/>
        </w:rPr>
        <w:t xml:space="preserve"> وأنه كان من المقرر عقد</w:t>
      </w:r>
      <w:r w:rsidR="001C116C">
        <w:rPr>
          <w:rFonts w:hint="cs"/>
          <w:rtl/>
          <w:lang w:val="en-US"/>
        </w:rPr>
        <w:t> </w:t>
      </w:r>
      <w:r w:rsidRPr="00CF274D">
        <w:rPr>
          <w:rtl/>
          <w:lang w:val="en-US"/>
        </w:rPr>
        <w:t xml:space="preserve">جلسة استماع </w:t>
      </w:r>
      <w:r w:rsidRPr="008D59DD">
        <w:rPr>
          <w:spacing w:val="2"/>
          <w:rtl/>
          <w:lang w:val="en-US"/>
        </w:rPr>
        <w:t xml:space="preserve">علنية في </w:t>
      </w:r>
      <w:r w:rsidRPr="006C4428">
        <w:rPr>
          <w:spacing w:val="2"/>
          <w:rtl/>
          <w:lang w:val="en-US"/>
        </w:rPr>
        <w:t>11</w:t>
      </w:r>
      <w:r w:rsidRPr="008D59DD">
        <w:rPr>
          <w:spacing w:val="2"/>
          <w:rtl/>
          <w:lang w:val="en-US"/>
        </w:rPr>
        <w:t xml:space="preserve"> كانون الثاني/يناير </w:t>
      </w:r>
      <w:r w:rsidRPr="006C4428">
        <w:rPr>
          <w:spacing w:val="2"/>
          <w:rtl/>
          <w:lang w:val="en-US"/>
        </w:rPr>
        <w:t>2021</w:t>
      </w:r>
      <w:r w:rsidRPr="008D59DD">
        <w:rPr>
          <w:spacing w:val="2"/>
          <w:rtl/>
          <w:lang w:val="en-US"/>
        </w:rPr>
        <w:t xml:space="preserve"> للنظر في أسس الاستئناف الموضوعية (الفقرة </w:t>
      </w:r>
      <w:r w:rsidRPr="006C4428">
        <w:rPr>
          <w:spacing w:val="2"/>
          <w:rtl/>
          <w:lang w:val="en-US"/>
        </w:rPr>
        <w:t>6</w:t>
      </w:r>
      <w:r w:rsidRPr="008D59DD">
        <w:rPr>
          <w:spacing w:val="2"/>
          <w:rtl/>
          <w:lang w:val="en-US"/>
        </w:rPr>
        <w:t>-</w:t>
      </w:r>
      <w:r w:rsidRPr="006C4428">
        <w:rPr>
          <w:spacing w:val="2"/>
          <w:rtl/>
          <w:lang w:val="en-US"/>
        </w:rPr>
        <w:t>5</w:t>
      </w:r>
      <w:r w:rsidRPr="008D59DD">
        <w:rPr>
          <w:spacing w:val="2"/>
          <w:rtl/>
          <w:lang w:val="en-US"/>
        </w:rPr>
        <w:t xml:space="preserve"> أعلاه</w:t>
      </w:r>
      <w:r w:rsidR="00BD2E54" w:rsidRPr="008D59DD">
        <w:rPr>
          <w:spacing w:val="2"/>
          <w:rtl/>
          <w:lang w:val="en-US"/>
        </w:rPr>
        <w:t>).</w:t>
      </w:r>
      <w:r w:rsidR="00BD2E54" w:rsidRPr="00BD2E54">
        <w:rPr>
          <w:rtl/>
          <w:lang w:val="en-US"/>
        </w:rPr>
        <w:t xml:space="preserve"> </w:t>
      </w:r>
      <w:r w:rsidRPr="008D59DD">
        <w:rPr>
          <w:spacing w:val="2"/>
          <w:rtl/>
          <w:lang w:val="en-US"/>
        </w:rPr>
        <w:t>وتحيط علم</w:t>
      </w:r>
      <w:r w:rsidR="00647AA7" w:rsidRPr="008D59DD">
        <w:rPr>
          <w:spacing w:val="2"/>
          <w:rtl/>
          <w:lang w:val="en-US"/>
        </w:rPr>
        <w:t xml:space="preserve">اً </w:t>
      </w:r>
      <w:r w:rsidRPr="008D59DD">
        <w:rPr>
          <w:spacing w:val="2"/>
          <w:rtl/>
          <w:lang w:val="en-US"/>
        </w:rPr>
        <w:t>أيض</w:t>
      </w:r>
      <w:r w:rsidR="00647AA7" w:rsidRPr="008D59DD">
        <w:rPr>
          <w:spacing w:val="2"/>
          <w:rtl/>
          <w:lang w:val="en-US"/>
        </w:rPr>
        <w:t xml:space="preserve">اً </w:t>
      </w:r>
      <w:r w:rsidRPr="008D59DD">
        <w:rPr>
          <w:spacing w:val="2"/>
          <w:rtl/>
          <w:lang w:val="en-US"/>
        </w:rPr>
        <w:t>بحجة الدولة الطرف التي تذهب إلى أن إجراء الاستئنافات يستند إلى الترتيب الزمني للقضايا ولا يمكن تسريعه، وإن المدة التي استغرقتها الإجراءات الخاصة بصاحبة البلاغ تعزى جزئي</w:t>
      </w:r>
      <w:r w:rsidR="00647AA7" w:rsidRPr="008D59DD">
        <w:rPr>
          <w:spacing w:val="2"/>
          <w:rtl/>
          <w:lang w:val="en-US"/>
        </w:rPr>
        <w:t xml:space="preserve">اً </w:t>
      </w:r>
      <w:r w:rsidRPr="008D59DD">
        <w:rPr>
          <w:spacing w:val="2"/>
          <w:rtl/>
          <w:lang w:val="en-US"/>
        </w:rPr>
        <w:t xml:space="preserve">إلى معالجة طلبات التدابير الوقائية التي قدمتها وغيرها من التقييمات الأولية (الفقرة </w:t>
      </w:r>
      <w:r w:rsidRPr="006C4428">
        <w:rPr>
          <w:spacing w:val="2"/>
          <w:rtl/>
          <w:lang w:val="en-US"/>
        </w:rPr>
        <w:t>6</w:t>
      </w:r>
      <w:r w:rsidRPr="008D59DD">
        <w:rPr>
          <w:spacing w:val="2"/>
          <w:rtl/>
          <w:lang w:val="en-US"/>
        </w:rPr>
        <w:t>-</w:t>
      </w:r>
      <w:r w:rsidRPr="006C4428">
        <w:rPr>
          <w:spacing w:val="2"/>
          <w:rtl/>
          <w:lang w:val="en-US"/>
        </w:rPr>
        <w:t>6</w:t>
      </w:r>
      <w:r w:rsidRPr="008D59DD">
        <w:rPr>
          <w:spacing w:val="2"/>
          <w:rtl/>
          <w:lang w:val="en-US"/>
        </w:rPr>
        <w:t xml:space="preserve"> أعلاه</w:t>
      </w:r>
      <w:r w:rsidR="00BD2E54" w:rsidRPr="008D59DD">
        <w:rPr>
          <w:spacing w:val="2"/>
          <w:rtl/>
          <w:lang w:val="en-US"/>
        </w:rPr>
        <w:t xml:space="preserve">). </w:t>
      </w:r>
      <w:r w:rsidRPr="008D59DD">
        <w:rPr>
          <w:spacing w:val="2"/>
          <w:rtl/>
          <w:lang w:val="en-US"/>
        </w:rPr>
        <w:t>وتحيط علم</w:t>
      </w:r>
      <w:r w:rsidR="00647AA7" w:rsidRPr="008D59DD">
        <w:rPr>
          <w:spacing w:val="2"/>
          <w:rtl/>
          <w:lang w:val="en-US"/>
        </w:rPr>
        <w:t xml:space="preserve">اً </w:t>
      </w:r>
      <w:r w:rsidRPr="008D59DD">
        <w:rPr>
          <w:spacing w:val="2"/>
          <w:rtl/>
          <w:lang w:val="en-US"/>
        </w:rPr>
        <w:t xml:space="preserve">إضافة إلى ذلك بكون البلاغ قدم إلى اللجنة في </w:t>
      </w:r>
      <w:r w:rsidRPr="006C4428">
        <w:rPr>
          <w:spacing w:val="2"/>
          <w:rtl/>
          <w:lang w:val="en-US"/>
        </w:rPr>
        <w:t>2</w:t>
      </w:r>
      <w:r w:rsidRPr="008D59DD">
        <w:rPr>
          <w:spacing w:val="2"/>
          <w:rtl/>
          <w:lang w:val="en-US"/>
        </w:rPr>
        <w:t xml:space="preserve"> أيار/مايو </w:t>
      </w:r>
      <w:r w:rsidRPr="006C4428">
        <w:rPr>
          <w:spacing w:val="2"/>
          <w:rtl/>
          <w:lang w:val="en-US"/>
        </w:rPr>
        <w:t>2018</w:t>
      </w:r>
      <w:r w:rsidRPr="008D59DD">
        <w:rPr>
          <w:spacing w:val="2"/>
          <w:rtl/>
          <w:lang w:val="en-US"/>
        </w:rPr>
        <w:t xml:space="preserve"> بينما كانت الإجراءات المتعلقة بالاستئنافات المرفوعة أمام المحاكم المحلية جارية، في غضون الفترة القانونية المحددة لمثل هذه الإجراءات. وتحيط علم</w:t>
      </w:r>
      <w:r w:rsidR="00647AA7" w:rsidRPr="008D59DD">
        <w:rPr>
          <w:spacing w:val="2"/>
          <w:rtl/>
          <w:lang w:val="en-US"/>
        </w:rPr>
        <w:t xml:space="preserve">اً </w:t>
      </w:r>
      <w:r w:rsidRPr="008D59DD">
        <w:rPr>
          <w:spacing w:val="2"/>
          <w:rtl/>
          <w:lang w:val="en-US"/>
        </w:rPr>
        <w:t>أيض</w:t>
      </w:r>
      <w:r w:rsidR="00647AA7" w:rsidRPr="008D59DD">
        <w:rPr>
          <w:spacing w:val="2"/>
          <w:rtl/>
          <w:lang w:val="en-US"/>
        </w:rPr>
        <w:t xml:space="preserve">اً </w:t>
      </w:r>
      <w:r w:rsidRPr="008D59DD">
        <w:rPr>
          <w:spacing w:val="2"/>
          <w:rtl/>
          <w:lang w:val="en-US"/>
        </w:rPr>
        <w:t>بحجة صاحبة البلاغ التي تقول إن إجراءات الاستئناف في المرحلة الابتدائية لن تنتهي في غضون فترة السنوات الثلاث القانونية. غير أن الدولة الطرف ترى أن صاحبة البلاغ استفادت من سبل الانتصاف المحلية المتاحة والفعالة على السواء. وجادلت الدولة الطرف في هذا السياق بأنه لم يكن هناك تأخير يذكر في إجراء الاستئناف الذي اتخذته صاحبة البلاغ وأنه لا</w:t>
      </w:r>
      <w:r w:rsidR="00CF17BF" w:rsidRPr="008D59DD">
        <w:rPr>
          <w:rFonts w:hint="cs"/>
          <w:spacing w:val="2"/>
          <w:rtl/>
          <w:lang w:val="en-US"/>
        </w:rPr>
        <w:t> </w:t>
      </w:r>
      <w:r w:rsidRPr="008D59DD">
        <w:rPr>
          <w:spacing w:val="2"/>
          <w:rtl/>
          <w:lang w:val="en-US"/>
        </w:rPr>
        <w:t>يزال بإمكانها الطعن من جديد في قرار المحكمة الإدارية لدى مجلس الدولة.</w:t>
      </w:r>
    </w:p>
    <w:p w14:paraId="56F70B70" w14:textId="6F1EA62B" w:rsidR="00CF274D" w:rsidRPr="00CF274D" w:rsidRDefault="00CF274D" w:rsidP="00CF274D">
      <w:pPr>
        <w:pStyle w:val="SingleTxtGA"/>
        <w:rPr>
          <w:lang w:val="en-US"/>
        </w:rPr>
      </w:pPr>
      <w:r w:rsidRPr="006C4428">
        <w:rPr>
          <w:rtl/>
          <w:lang w:val="en-US"/>
        </w:rPr>
        <w:t>7</w:t>
      </w:r>
      <w:r w:rsidRPr="00CF274D">
        <w:rPr>
          <w:rtl/>
          <w:lang w:val="en-US"/>
        </w:rPr>
        <w:t>-</w:t>
      </w:r>
      <w:r w:rsidRPr="006C4428">
        <w:rPr>
          <w:rtl/>
          <w:lang w:val="en-US"/>
        </w:rPr>
        <w:t>5</w:t>
      </w:r>
      <w:r w:rsidRPr="00CF274D">
        <w:rPr>
          <w:rtl/>
          <w:lang w:val="en-US"/>
        </w:rPr>
        <w:tab/>
        <w:t>وفي ضوء ما سلف، ترى اللجنة أن صاحبة البلاغ لا تقدم تفسير</w:t>
      </w:r>
      <w:r w:rsidR="00647AA7">
        <w:rPr>
          <w:rtl/>
          <w:lang w:val="en-US"/>
        </w:rPr>
        <w:t xml:space="preserve">اً </w:t>
      </w:r>
      <w:r w:rsidRPr="00CF274D">
        <w:rPr>
          <w:rtl/>
          <w:lang w:val="en-US"/>
        </w:rPr>
        <w:t>مقنع</w:t>
      </w:r>
      <w:r w:rsidR="00647AA7">
        <w:rPr>
          <w:rtl/>
          <w:lang w:val="en-US"/>
        </w:rPr>
        <w:t xml:space="preserve">اً </w:t>
      </w:r>
      <w:r w:rsidRPr="00CF274D">
        <w:rPr>
          <w:rtl/>
          <w:lang w:val="en-US"/>
        </w:rPr>
        <w:t>للسبب في أن سبل الانتصاف القضائية التي حددتها الدولة الطرف على أنها متاحة لاستئناف قرار رفض طلبها الحصول على الجنسية ما كانت لتكون فعالة في قضيتها، إذ إنها قدمت التماسات إجرائية عدة بُت فيها؛ واعتمد القرار النهائي بشأن استئنافها في المرحلة الابتدائية؛ ولا يزال بإمكانها تقديم استئناف إضافي إلى مجلس الدولة. وتذكّر اللجنة باجتهاداتها التي مفادها أن مجرد الشك في فعالية سبل الانتصاف المحلية لا يعفي أصحاب البلاغات من شرط استنفادها</w:t>
      </w:r>
      <w:r w:rsidR="00BD2E54" w:rsidRPr="006C4428">
        <w:rPr>
          <w:rStyle w:val="FootnoteReference"/>
          <w:rtl/>
        </w:rPr>
        <w:t>(</w:t>
      </w:r>
      <w:r w:rsidR="00BD2E54" w:rsidRPr="006C4428">
        <w:rPr>
          <w:rStyle w:val="FootnoteReference"/>
          <w:lang w:val="en-US"/>
        </w:rPr>
        <w:footnoteReference w:id="14"/>
      </w:r>
      <w:r w:rsidR="00BD2E54" w:rsidRPr="00BD2E54">
        <w:rPr>
          <w:vertAlign w:val="superscript"/>
          <w:rtl/>
          <w:lang w:val="en-US"/>
        </w:rPr>
        <w:t>)</w:t>
      </w:r>
      <w:r w:rsidR="00BD2E54" w:rsidRPr="00BD2E54">
        <w:rPr>
          <w:rtl/>
          <w:lang w:val="en-US"/>
        </w:rPr>
        <w:t xml:space="preserve">. </w:t>
      </w:r>
      <w:r w:rsidRPr="00CF274D">
        <w:rPr>
          <w:rtl/>
          <w:lang w:val="en-US"/>
        </w:rPr>
        <w:t xml:space="preserve">وعلى هذا، ترى اللجنة أن مقتضيات المادتين </w:t>
      </w:r>
      <w:r w:rsidRPr="006C4428">
        <w:rPr>
          <w:rtl/>
          <w:lang w:val="en-US"/>
        </w:rPr>
        <w:t>2</w:t>
      </w:r>
      <w:r w:rsidRPr="00CF274D">
        <w:rPr>
          <w:rtl/>
          <w:lang w:val="en-US"/>
        </w:rPr>
        <w:t xml:space="preserve"> و</w:t>
      </w:r>
      <w:r w:rsidRPr="006C4428">
        <w:rPr>
          <w:rtl/>
          <w:lang w:val="en-US"/>
        </w:rPr>
        <w:t>5</w:t>
      </w:r>
      <w:r w:rsidRPr="00CF274D">
        <w:rPr>
          <w:rtl/>
          <w:lang w:val="en-US"/>
        </w:rPr>
        <w:t>(</w:t>
      </w:r>
      <w:r w:rsidRPr="006C4428">
        <w:rPr>
          <w:rtl/>
          <w:lang w:val="en-US"/>
        </w:rPr>
        <w:t>2</w:t>
      </w:r>
      <w:r w:rsidRPr="00CF274D">
        <w:rPr>
          <w:rtl/>
          <w:lang w:val="en-US"/>
        </w:rPr>
        <w:t xml:space="preserve">)(ب) </w:t>
      </w:r>
      <w:r w:rsidRPr="00251276">
        <w:rPr>
          <w:spacing w:val="-2"/>
          <w:rtl/>
          <w:lang w:val="en-US"/>
        </w:rPr>
        <w:t xml:space="preserve">من البروتوكول الاختياري تمنعها من النظر في ادعاءات صاحبة البلاغ بموجب المادتين </w:t>
      </w:r>
      <w:r w:rsidRPr="006C4428">
        <w:rPr>
          <w:spacing w:val="-2"/>
          <w:rtl/>
          <w:lang w:val="en-US"/>
        </w:rPr>
        <w:t>17</w:t>
      </w:r>
      <w:r w:rsidRPr="00251276">
        <w:rPr>
          <w:spacing w:val="-2"/>
          <w:rtl/>
          <w:lang w:val="en-US"/>
        </w:rPr>
        <w:t xml:space="preserve"> و</w:t>
      </w:r>
      <w:r w:rsidRPr="006C4428">
        <w:rPr>
          <w:spacing w:val="-2"/>
          <w:rtl/>
          <w:lang w:val="en-US"/>
        </w:rPr>
        <w:t>26</w:t>
      </w:r>
      <w:r w:rsidRPr="00251276">
        <w:rPr>
          <w:spacing w:val="-2"/>
          <w:rtl/>
          <w:lang w:val="en-US"/>
        </w:rPr>
        <w:t xml:space="preserve"> من العهد</w:t>
      </w:r>
      <w:r w:rsidRPr="00CF274D">
        <w:rPr>
          <w:rtl/>
          <w:lang w:val="en-US"/>
        </w:rPr>
        <w:t xml:space="preserve"> بسبب عدم استنفاد سبل الانتصاف المحلية المتاحة.</w:t>
      </w:r>
    </w:p>
    <w:p w14:paraId="5E7EBA40" w14:textId="3F6DA049" w:rsidR="00CF274D" w:rsidRPr="00CF274D" w:rsidRDefault="00CF274D" w:rsidP="00CF274D">
      <w:pPr>
        <w:pStyle w:val="SingleTxtGA"/>
        <w:rPr>
          <w:lang w:val="en-US"/>
        </w:rPr>
      </w:pPr>
      <w:r w:rsidRPr="006C4428">
        <w:rPr>
          <w:rtl/>
          <w:lang w:val="en-US"/>
        </w:rPr>
        <w:t>8</w:t>
      </w:r>
      <w:r w:rsidRPr="00CF274D">
        <w:rPr>
          <w:rtl/>
          <w:lang w:val="en-US"/>
        </w:rPr>
        <w:t>-</w:t>
      </w:r>
      <w:r w:rsidRPr="00CF274D">
        <w:rPr>
          <w:rtl/>
          <w:lang w:val="en-US"/>
        </w:rPr>
        <w:tab/>
        <w:t>وبناءً عليه، تقرر اللجنة ما يلي:</w:t>
      </w:r>
      <w:r w:rsidR="00CE4C56">
        <w:rPr>
          <w:rFonts w:hint="cs"/>
          <w:rtl/>
          <w:lang w:val="en-US"/>
        </w:rPr>
        <w:t xml:space="preserve"> </w:t>
      </w:r>
    </w:p>
    <w:p w14:paraId="3EBC1F0A" w14:textId="3C4948E6" w:rsidR="00CF274D" w:rsidRPr="00CF274D" w:rsidRDefault="00CF274D" w:rsidP="00CF274D">
      <w:pPr>
        <w:pStyle w:val="SingleTxtGA"/>
        <w:rPr>
          <w:lang w:val="en-US"/>
        </w:rPr>
      </w:pPr>
      <w:r>
        <w:rPr>
          <w:rtl/>
          <w:lang w:val="en-US"/>
        </w:rPr>
        <w:tab/>
      </w:r>
      <w:r w:rsidRPr="00CF274D">
        <w:rPr>
          <w:rtl/>
          <w:lang w:val="en-US"/>
        </w:rPr>
        <w:t>(أ)</w:t>
      </w:r>
      <w:r w:rsidRPr="00CF274D">
        <w:rPr>
          <w:rtl/>
          <w:lang w:val="en-US"/>
        </w:rPr>
        <w:tab/>
        <w:t xml:space="preserve">عدم قبول البلاغ بموجب المادتين </w:t>
      </w:r>
      <w:r w:rsidRPr="006C4428">
        <w:rPr>
          <w:rtl/>
          <w:lang w:val="en-US"/>
        </w:rPr>
        <w:t>2</w:t>
      </w:r>
      <w:r w:rsidRPr="00CF274D">
        <w:rPr>
          <w:rtl/>
          <w:lang w:val="en-US"/>
        </w:rPr>
        <w:t xml:space="preserve"> و</w:t>
      </w:r>
      <w:r w:rsidRPr="006C4428">
        <w:rPr>
          <w:rtl/>
          <w:lang w:val="en-US"/>
        </w:rPr>
        <w:t>5</w:t>
      </w:r>
      <w:r w:rsidRPr="00CF274D">
        <w:rPr>
          <w:rtl/>
          <w:lang w:val="en-US"/>
        </w:rPr>
        <w:t>(</w:t>
      </w:r>
      <w:r w:rsidRPr="006C4428">
        <w:rPr>
          <w:rtl/>
          <w:lang w:val="en-US"/>
        </w:rPr>
        <w:t>2</w:t>
      </w:r>
      <w:r w:rsidRPr="00CF274D">
        <w:rPr>
          <w:rtl/>
          <w:lang w:val="en-US"/>
        </w:rPr>
        <w:t>)(ب) من البروتوكول الاختياري؛</w:t>
      </w:r>
    </w:p>
    <w:p w14:paraId="51FF8ACA" w14:textId="627E786B" w:rsidR="00CF274D" w:rsidRDefault="00CF274D" w:rsidP="00CF274D">
      <w:pPr>
        <w:pStyle w:val="SingleTxtGA"/>
        <w:rPr>
          <w:rtl/>
          <w:lang w:val="en-US"/>
        </w:rPr>
      </w:pPr>
      <w:r>
        <w:rPr>
          <w:rtl/>
          <w:lang w:val="en-US"/>
        </w:rPr>
        <w:tab/>
      </w:r>
      <w:r w:rsidRPr="00CF274D">
        <w:rPr>
          <w:rtl/>
          <w:lang w:val="en-US"/>
        </w:rPr>
        <w:t>(ب)</w:t>
      </w:r>
      <w:r w:rsidRPr="00CF274D">
        <w:rPr>
          <w:rtl/>
          <w:lang w:val="en-US"/>
        </w:rPr>
        <w:tab/>
        <w:t>إبلاغ الدولة الطرف وصاحبة البلاغ هذا القرارَ.</w:t>
      </w:r>
    </w:p>
    <w:p w14:paraId="5456DE6B" w14:textId="239F95F9" w:rsidR="00CF274D" w:rsidRPr="00CF274D" w:rsidRDefault="00CF274D" w:rsidP="00CF274D">
      <w:pPr>
        <w:pStyle w:val="SingleTxtGA"/>
        <w:jc w:val="center"/>
        <w:rPr>
          <w:u w:val="single"/>
          <w:rtl/>
        </w:rPr>
      </w:pPr>
      <w:r>
        <w:rPr>
          <w:u w:val="single"/>
          <w:rtl/>
        </w:rPr>
        <w:tab/>
      </w:r>
      <w:r>
        <w:rPr>
          <w:u w:val="single"/>
          <w:rtl/>
        </w:rPr>
        <w:tab/>
      </w:r>
      <w:r>
        <w:rPr>
          <w:u w:val="single"/>
          <w:rtl/>
        </w:rPr>
        <w:tab/>
      </w:r>
    </w:p>
    <w:sectPr w:rsidR="00CF274D" w:rsidRPr="00CF274D" w:rsidSect="00185CFF">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9F87D" w14:textId="77777777" w:rsidR="00A738F2" w:rsidRPr="002901D9" w:rsidRDefault="00A738F2" w:rsidP="00DC4D4B">
      <w:pPr>
        <w:spacing w:after="60" w:line="240" w:lineRule="auto"/>
        <w:ind w:left="57"/>
        <w:rPr>
          <w:i/>
          <w:iCs/>
        </w:rPr>
      </w:pPr>
      <w:r>
        <w:rPr>
          <w:rFonts w:hint="cs"/>
          <w:i/>
          <w:iCs/>
          <w:rtl/>
        </w:rPr>
        <w:t>الحواشي</w:t>
      </w:r>
    </w:p>
  </w:endnote>
  <w:endnote w:type="continuationSeparator" w:id="0">
    <w:p w14:paraId="6383018C" w14:textId="77777777" w:rsidR="00A738F2" w:rsidRDefault="00A738F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3D460" w14:textId="3B78CF8B" w:rsidR="002F5EDC" w:rsidRPr="002F5EDC" w:rsidRDefault="002F5EDC" w:rsidP="002F5EDC">
    <w:pPr>
      <w:pStyle w:val="Footer"/>
      <w:tabs>
        <w:tab w:val="right" w:pos="9638"/>
      </w:tabs>
      <w:rPr>
        <w:b/>
        <w:sz w:val="18"/>
        <w:lang w:val="en-US"/>
      </w:rPr>
    </w:pPr>
    <w:r>
      <w:rPr>
        <w:lang w:val="en-US"/>
      </w:rPr>
      <w:t>GE.22-13613</w:t>
    </w:r>
    <w:r>
      <w:rPr>
        <w:lang w:val="en-US"/>
      </w:rPr>
      <w:tab/>
    </w:r>
    <w:r w:rsidRPr="002F5EDC">
      <w:rPr>
        <w:b/>
        <w:sz w:val="18"/>
        <w:lang w:val="en-US"/>
      </w:rPr>
      <w:fldChar w:fldCharType="begin"/>
    </w:r>
    <w:r w:rsidRPr="002F5EDC">
      <w:rPr>
        <w:b/>
        <w:sz w:val="18"/>
        <w:lang w:val="en-US"/>
      </w:rPr>
      <w:instrText xml:space="preserve"> PAGE  \* MERGEFORMAT </w:instrText>
    </w:r>
    <w:r w:rsidRPr="002F5EDC">
      <w:rPr>
        <w:b/>
        <w:sz w:val="18"/>
        <w:lang w:val="en-US"/>
      </w:rPr>
      <w:fldChar w:fldCharType="separate"/>
    </w:r>
    <w:r w:rsidRPr="002F5EDC">
      <w:rPr>
        <w:b/>
        <w:noProof/>
        <w:sz w:val="18"/>
        <w:lang w:val="en-US"/>
      </w:rPr>
      <w:t>2</w:t>
    </w:r>
    <w:r w:rsidRPr="002F5EDC">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C39D5" w14:textId="6C473DEE" w:rsidR="006959B0" w:rsidRPr="002F5EDC" w:rsidRDefault="002F5EDC" w:rsidP="002F5EDC">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GE.22-13613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63B2" w14:textId="3459426B" w:rsidR="00DE50B1" w:rsidRPr="002F5EDC" w:rsidRDefault="002F5EDC" w:rsidP="002F5EDC">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41760DC0" wp14:editId="5865359C">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22-13613 (A)</w:t>
    </w:r>
    <w:r>
      <w:rPr>
        <w:noProof/>
        <w:sz w:val="20"/>
        <w:lang w:val="en-US"/>
      </w:rPr>
      <w:drawing>
        <wp:anchor distT="0" distB="0" distL="114300" distR="114300" simplePos="0" relativeHeight="251659264" behindDoc="0" locked="0" layoutInCell="1" allowOverlap="1" wp14:anchorId="78A26E60" wp14:editId="3B6D412A">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06AD2" w14:textId="77777777" w:rsidR="00A738F2" w:rsidRPr="008A49D2" w:rsidRDefault="00A738F2"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2465D319" w14:textId="77777777" w:rsidR="00A738F2" w:rsidRDefault="00A738F2" w:rsidP="00656392">
      <w:pPr>
        <w:spacing w:line="240" w:lineRule="auto"/>
      </w:pPr>
      <w:r>
        <w:continuationSeparator/>
      </w:r>
    </w:p>
  </w:footnote>
  <w:footnote w:id="1">
    <w:p w14:paraId="7430A992" w14:textId="25A8394E" w:rsidR="00CF274D" w:rsidRPr="00CF274D" w:rsidRDefault="00CF274D" w:rsidP="00CF274D">
      <w:pPr>
        <w:pStyle w:val="FootnoteText1"/>
        <w:rPr>
          <w:rtl/>
        </w:rPr>
      </w:pPr>
      <w:r>
        <w:rPr>
          <w:rtl/>
        </w:rPr>
        <w:t>*</w:t>
      </w:r>
      <w:r>
        <w:rPr>
          <w:rtl/>
        </w:rPr>
        <w:tab/>
      </w:r>
      <w:r w:rsidRPr="00CF274D">
        <w:rPr>
          <w:rtl/>
        </w:rPr>
        <w:t xml:space="preserve">اعتمدته اللجنة في دورتها </w:t>
      </w:r>
      <w:r w:rsidRPr="006C4428">
        <w:rPr>
          <w:rtl/>
        </w:rPr>
        <w:t>134</w:t>
      </w:r>
      <w:r w:rsidRPr="00CF274D">
        <w:rPr>
          <w:rtl/>
        </w:rPr>
        <w:t xml:space="preserve"> (</w:t>
      </w:r>
      <w:r w:rsidRPr="006C4428">
        <w:rPr>
          <w:rtl/>
        </w:rPr>
        <w:t>28</w:t>
      </w:r>
      <w:r w:rsidRPr="00CF274D">
        <w:rPr>
          <w:rtl/>
        </w:rPr>
        <w:t xml:space="preserve"> شباط/فبراير - </w:t>
      </w:r>
      <w:r w:rsidRPr="006C4428">
        <w:rPr>
          <w:rtl/>
        </w:rPr>
        <w:t>25</w:t>
      </w:r>
      <w:r w:rsidRPr="00CF274D">
        <w:rPr>
          <w:rtl/>
        </w:rPr>
        <w:t xml:space="preserve"> آذار/مارس </w:t>
      </w:r>
      <w:r w:rsidRPr="006C4428">
        <w:rPr>
          <w:rtl/>
        </w:rPr>
        <w:t>2022</w:t>
      </w:r>
      <w:r w:rsidR="00BD2E54" w:rsidRPr="00BD2E54">
        <w:rPr>
          <w:rtl/>
        </w:rPr>
        <w:t xml:space="preserve">). </w:t>
      </w:r>
    </w:p>
  </w:footnote>
  <w:footnote w:id="2">
    <w:p w14:paraId="0B0ECDE7" w14:textId="6152BD53" w:rsidR="00CF274D" w:rsidRPr="00CF274D" w:rsidRDefault="00CF274D" w:rsidP="00CF274D">
      <w:pPr>
        <w:pStyle w:val="FootnoteText1"/>
        <w:rPr>
          <w:rtl/>
        </w:rPr>
      </w:pPr>
      <w:r>
        <w:rPr>
          <w:rtl/>
        </w:rPr>
        <w:t>**</w:t>
      </w:r>
      <w:r>
        <w:rPr>
          <w:rtl/>
        </w:rPr>
        <w:tab/>
      </w:r>
      <w:r w:rsidRPr="00CF17BF">
        <w:rPr>
          <w:spacing w:val="-4"/>
          <w:rtl/>
        </w:rPr>
        <w:t xml:space="preserve">شارك في دراسة هذا البلاغ أعضاء اللجنة التالية أسماؤهم: تانيا ماريا عبدو </w:t>
      </w:r>
      <w:proofErr w:type="spellStart"/>
      <w:r w:rsidRPr="00CF17BF">
        <w:rPr>
          <w:spacing w:val="-4"/>
          <w:rtl/>
        </w:rPr>
        <w:t>روشول</w:t>
      </w:r>
      <w:proofErr w:type="spellEnd"/>
      <w:r w:rsidRPr="00CF17BF">
        <w:rPr>
          <w:spacing w:val="-4"/>
          <w:rtl/>
        </w:rPr>
        <w:t xml:space="preserve">، ووفاء أشرف محرم بسيم، وعياض بن عاشور، </w:t>
      </w:r>
      <w:r w:rsidRPr="00CF274D">
        <w:rPr>
          <w:rtl/>
        </w:rPr>
        <w:t xml:space="preserve">وعارف بلقان، والمحجوب الهيبة، </w:t>
      </w:r>
      <w:proofErr w:type="spellStart"/>
      <w:r w:rsidRPr="00CF274D">
        <w:rPr>
          <w:rtl/>
        </w:rPr>
        <w:t>وفورويا</w:t>
      </w:r>
      <w:proofErr w:type="spellEnd"/>
      <w:r w:rsidRPr="00CF274D">
        <w:rPr>
          <w:rtl/>
        </w:rPr>
        <w:t xml:space="preserve"> </w:t>
      </w:r>
      <w:proofErr w:type="spellStart"/>
      <w:r w:rsidRPr="00CF274D">
        <w:rPr>
          <w:rtl/>
        </w:rPr>
        <w:t>شويتشي</w:t>
      </w:r>
      <w:proofErr w:type="spellEnd"/>
      <w:r w:rsidRPr="00CF274D">
        <w:rPr>
          <w:rtl/>
        </w:rPr>
        <w:t xml:space="preserve">، وكارلوس </w:t>
      </w:r>
      <w:proofErr w:type="spellStart"/>
      <w:r w:rsidRPr="00CF274D">
        <w:rPr>
          <w:rtl/>
        </w:rPr>
        <w:t>غوميس</w:t>
      </w:r>
      <w:proofErr w:type="spellEnd"/>
      <w:r w:rsidRPr="00CF274D">
        <w:rPr>
          <w:rtl/>
        </w:rPr>
        <w:t xml:space="preserve"> </w:t>
      </w:r>
      <w:proofErr w:type="spellStart"/>
      <w:r w:rsidRPr="00CF274D">
        <w:rPr>
          <w:rtl/>
        </w:rPr>
        <w:t>مارتينيس</w:t>
      </w:r>
      <w:proofErr w:type="spellEnd"/>
      <w:r w:rsidRPr="00CF274D">
        <w:rPr>
          <w:rtl/>
        </w:rPr>
        <w:t xml:space="preserve">، </w:t>
      </w:r>
      <w:proofErr w:type="spellStart"/>
      <w:r w:rsidRPr="00CF274D">
        <w:rPr>
          <w:rtl/>
        </w:rPr>
        <w:t>ومارسيا</w:t>
      </w:r>
      <w:proofErr w:type="spellEnd"/>
      <w:r w:rsidRPr="00CF274D">
        <w:rPr>
          <w:rtl/>
        </w:rPr>
        <w:t xml:space="preserve"> ف. ج. كران، </w:t>
      </w:r>
      <w:proofErr w:type="spellStart"/>
      <w:r w:rsidRPr="00CF274D">
        <w:rPr>
          <w:rtl/>
        </w:rPr>
        <w:t>ودنكان</w:t>
      </w:r>
      <w:proofErr w:type="spellEnd"/>
      <w:r w:rsidRPr="00CF274D">
        <w:rPr>
          <w:rtl/>
        </w:rPr>
        <w:t xml:space="preserve"> </w:t>
      </w:r>
      <w:proofErr w:type="spellStart"/>
      <w:r w:rsidRPr="00CF274D">
        <w:rPr>
          <w:rtl/>
        </w:rPr>
        <w:t>لاكي</w:t>
      </w:r>
      <w:proofErr w:type="spellEnd"/>
      <w:r w:rsidRPr="00CF274D">
        <w:rPr>
          <w:rtl/>
        </w:rPr>
        <w:t xml:space="preserve"> </w:t>
      </w:r>
      <w:proofErr w:type="spellStart"/>
      <w:r w:rsidRPr="00CF274D">
        <w:rPr>
          <w:rtl/>
        </w:rPr>
        <w:t>موهوموزا</w:t>
      </w:r>
      <w:proofErr w:type="spellEnd"/>
      <w:r w:rsidRPr="00CF274D">
        <w:rPr>
          <w:rtl/>
        </w:rPr>
        <w:t xml:space="preserve">، وفوتيني </w:t>
      </w:r>
      <w:proofErr w:type="spellStart"/>
      <w:r w:rsidRPr="00CF274D">
        <w:rPr>
          <w:rtl/>
        </w:rPr>
        <w:t>بزارتزيس</w:t>
      </w:r>
      <w:proofErr w:type="spellEnd"/>
      <w:r w:rsidRPr="00CF274D">
        <w:rPr>
          <w:rtl/>
        </w:rPr>
        <w:t xml:space="preserve">، </w:t>
      </w:r>
      <w:proofErr w:type="spellStart"/>
      <w:r w:rsidRPr="00CF274D">
        <w:rPr>
          <w:rtl/>
        </w:rPr>
        <w:t>وهيرنان</w:t>
      </w:r>
      <w:proofErr w:type="spellEnd"/>
      <w:r w:rsidRPr="00CF274D">
        <w:rPr>
          <w:rtl/>
        </w:rPr>
        <w:t xml:space="preserve"> </w:t>
      </w:r>
      <w:proofErr w:type="spellStart"/>
      <w:r w:rsidRPr="00CF274D">
        <w:rPr>
          <w:rtl/>
        </w:rPr>
        <w:t>كيسادا</w:t>
      </w:r>
      <w:proofErr w:type="spellEnd"/>
      <w:r w:rsidRPr="00CF274D">
        <w:rPr>
          <w:rtl/>
        </w:rPr>
        <w:t xml:space="preserve"> </w:t>
      </w:r>
      <w:proofErr w:type="spellStart"/>
      <w:r w:rsidRPr="00CF274D">
        <w:rPr>
          <w:rtl/>
        </w:rPr>
        <w:t>كابريرا</w:t>
      </w:r>
      <w:proofErr w:type="spellEnd"/>
      <w:r w:rsidRPr="00CF274D">
        <w:rPr>
          <w:rtl/>
        </w:rPr>
        <w:t xml:space="preserve">، </w:t>
      </w:r>
      <w:proofErr w:type="spellStart"/>
      <w:r w:rsidRPr="00CF274D">
        <w:rPr>
          <w:rtl/>
        </w:rPr>
        <w:t>وفاسيلكا</w:t>
      </w:r>
      <w:proofErr w:type="spellEnd"/>
      <w:r w:rsidRPr="00CF274D">
        <w:rPr>
          <w:rtl/>
        </w:rPr>
        <w:t xml:space="preserve"> </w:t>
      </w:r>
      <w:proofErr w:type="spellStart"/>
      <w:r w:rsidRPr="00CF274D">
        <w:rPr>
          <w:rtl/>
        </w:rPr>
        <w:t>سانسين</w:t>
      </w:r>
      <w:proofErr w:type="spellEnd"/>
      <w:r w:rsidRPr="00CF274D">
        <w:rPr>
          <w:rtl/>
        </w:rPr>
        <w:t xml:space="preserve">، وخوسيه مانويل سانتوس </w:t>
      </w:r>
      <w:proofErr w:type="spellStart"/>
      <w:r w:rsidRPr="00CF274D">
        <w:rPr>
          <w:rtl/>
        </w:rPr>
        <w:t>باييس</w:t>
      </w:r>
      <w:proofErr w:type="spellEnd"/>
      <w:r w:rsidRPr="00CF274D">
        <w:rPr>
          <w:rtl/>
        </w:rPr>
        <w:t xml:space="preserve">، </w:t>
      </w:r>
      <w:proofErr w:type="spellStart"/>
      <w:r w:rsidRPr="00CF274D">
        <w:rPr>
          <w:rtl/>
        </w:rPr>
        <w:t>وشانغروك</w:t>
      </w:r>
      <w:proofErr w:type="spellEnd"/>
      <w:r w:rsidRPr="00CF274D">
        <w:rPr>
          <w:rtl/>
        </w:rPr>
        <w:t xml:space="preserve"> </w:t>
      </w:r>
      <w:proofErr w:type="spellStart"/>
      <w:r w:rsidRPr="00CF274D">
        <w:rPr>
          <w:rtl/>
        </w:rPr>
        <w:t>سوه</w:t>
      </w:r>
      <w:proofErr w:type="spellEnd"/>
      <w:r w:rsidRPr="00CF274D">
        <w:rPr>
          <w:rtl/>
        </w:rPr>
        <w:t xml:space="preserve">، </w:t>
      </w:r>
      <w:proofErr w:type="spellStart"/>
      <w:r w:rsidRPr="00CF274D">
        <w:rPr>
          <w:rtl/>
        </w:rPr>
        <w:t>وكوباوياه</w:t>
      </w:r>
      <w:proofErr w:type="spellEnd"/>
      <w:r w:rsidRPr="00CF274D">
        <w:rPr>
          <w:rtl/>
        </w:rPr>
        <w:t xml:space="preserve"> </w:t>
      </w:r>
      <w:proofErr w:type="spellStart"/>
      <w:r w:rsidRPr="00CF274D">
        <w:rPr>
          <w:rtl/>
        </w:rPr>
        <w:t>تشامدجا</w:t>
      </w:r>
      <w:proofErr w:type="spellEnd"/>
      <w:r w:rsidRPr="00CF274D">
        <w:rPr>
          <w:rtl/>
        </w:rPr>
        <w:t xml:space="preserve"> </w:t>
      </w:r>
      <w:proofErr w:type="spellStart"/>
      <w:r w:rsidRPr="00CF274D">
        <w:rPr>
          <w:rtl/>
        </w:rPr>
        <w:t>كباتشا</w:t>
      </w:r>
      <w:proofErr w:type="spellEnd"/>
      <w:r w:rsidRPr="00CF274D">
        <w:rPr>
          <w:rtl/>
        </w:rPr>
        <w:t xml:space="preserve">، وإيلين </w:t>
      </w:r>
      <w:proofErr w:type="spellStart"/>
      <w:r w:rsidRPr="00CF274D">
        <w:rPr>
          <w:rtl/>
        </w:rPr>
        <w:t>تيغرودجا</w:t>
      </w:r>
      <w:proofErr w:type="spellEnd"/>
      <w:r w:rsidRPr="00CF274D">
        <w:rPr>
          <w:rtl/>
        </w:rPr>
        <w:t xml:space="preserve">، </w:t>
      </w:r>
      <w:proofErr w:type="spellStart"/>
      <w:r w:rsidRPr="00CF274D">
        <w:rPr>
          <w:rtl/>
        </w:rPr>
        <w:t>وإيميرو</w:t>
      </w:r>
      <w:proofErr w:type="spellEnd"/>
      <w:r w:rsidRPr="00CF274D">
        <w:rPr>
          <w:rtl/>
        </w:rPr>
        <w:t xml:space="preserve"> </w:t>
      </w:r>
      <w:proofErr w:type="spellStart"/>
      <w:r w:rsidRPr="00CF274D">
        <w:rPr>
          <w:rtl/>
        </w:rPr>
        <w:t>تامرات</w:t>
      </w:r>
      <w:proofErr w:type="spellEnd"/>
      <w:r w:rsidRPr="00CF274D">
        <w:rPr>
          <w:rtl/>
        </w:rPr>
        <w:t xml:space="preserve"> </w:t>
      </w:r>
      <w:proofErr w:type="spellStart"/>
      <w:r w:rsidRPr="00CF274D">
        <w:rPr>
          <w:rtl/>
        </w:rPr>
        <w:t>إغيزو</w:t>
      </w:r>
      <w:proofErr w:type="spellEnd"/>
      <w:r w:rsidRPr="00CF274D">
        <w:rPr>
          <w:rtl/>
        </w:rPr>
        <w:t xml:space="preserve">، </w:t>
      </w:r>
      <w:proofErr w:type="spellStart"/>
      <w:r w:rsidRPr="00CF274D">
        <w:rPr>
          <w:rtl/>
        </w:rPr>
        <w:t>وجينتيان</w:t>
      </w:r>
      <w:proofErr w:type="spellEnd"/>
      <w:r w:rsidRPr="00CF274D">
        <w:rPr>
          <w:rtl/>
        </w:rPr>
        <w:t xml:space="preserve"> </w:t>
      </w:r>
      <w:proofErr w:type="spellStart"/>
      <w:r w:rsidRPr="00CF274D">
        <w:rPr>
          <w:rtl/>
        </w:rPr>
        <w:t>زيبيري</w:t>
      </w:r>
      <w:proofErr w:type="spellEnd"/>
      <w:r w:rsidR="00BD2E54">
        <w:rPr>
          <w:rtl/>
        </w:rPr>
        <w:t xml:space="preserve">. </w:t>
      </w:r>
    </w:p>
  </w:footnote>
  <w:footnote w:id="3">
    <w:p w14:paraId="156A0EF4" w14:textId="77777777" w:rsidR="00BD2E54" w:rsidRPr="00CF274D" w:rsidRDefault="00BD2E54" w:rsidP="00CF274D">
      <w:pPr>
        <w:pStyle w:val="FootnoteText1"/>
        <w:textDirection w:val="tbRlV"/>
        <w:rPr>
          <w:rtl/>
          <w:lang w:bidi="en-GB"/>
        </w:rPr>
      </w:pPr>
      <w:r w:rsidRPr="00CF274D">
        <w:rPr>
          <w:rtl/>
        </w:rPr>
        <w:t>(</w:t>
      </w:r>
      <w:r w:rsidRPr="006C4428">
        <w:rPr>
          <w:rStyle w:val="FootnoteReference"/>
          <w:vertAlign w:val="baseline"/>
        </w:rPr>
        <w:footnoteRef/>
      </w:r>
      <w:r w:rsidRPr="00CF274D">
        <w:rPr>
          <w:rtl/>
        </w:rPr>
        <w:t>)</w:t>
      </w:r>
      <w:r>
        <w:tab/>
      </w:r>
      <w:r w:rsidRPr="00CF274D">
        <w:rPr>
          <w:rtl/>
        </w:rPr>
        <w:t xml:space="preserve">طلبت صاحبة البلاغ في </w:t>
      </w:r>
      <w:r w:rsidRPr="006C4428">
        <w:rPr>
          <w:rtl/>
        </w:rPr>
        <w:t>15</w:t>
      </w:r>
      <w:r w:rsidRPr="00CF274D">
        <w:rPr>
          <w:rtl/>
        </w:rPr>
        <w:t xml:space="preserve"> نيسان/أبريل </w:t>
      </w:r>
      <w:r w:rsidRPr="006C4428">
        <w:rPr>
          <w:rtl/>
        </w:rPr>
        <w:t>2019</w:t>
      </w:r>
      <w:r w:rsidRPr="00CF274D">
        <w:rPr>
          <w:rtl/>
        </w:rPr>
        <w:t>، إغفال هويتها</w:t>
      </w:r>
      <w:r>
        <w:rPr>
          <w:rtl/>
        </w:rPr>
        <w:t xml:space="preserve">. </w:t>
      </w:r>
    </w:p>
  </w:footnote>
  <w:footnote w:id="4">
    <w:p w14:paraId="6CCD02EB" w14:textId="77777777" w:rsidR="00BD2E54" w:rsidRPr="00CF274D" w:rsidRDefault="00BD2E54" w:rsidP="00CF274D">
      <w:pPr>
        <w:pStyle w:val="FootnoteText1"/>
        <w:textDirection w:val="tbRlV"/>
      </w:pPr>
      <w:r w:rsidRPr="00CF274D">
        <w:rPr>
          <w:rtl/>
        </w:rPr>
        <w:t>(</w:t>
      </w:r>
      <w:r w:rsidRPr="006C4428">
        <w:rPr>
          <w:rStyle w:val="FootnoteReference"/>
          <w:vertAlign w:val="baseline"/>
        </w:rPr>
        <w:footnoteRef/>
      </w:r>
      <w:r w:rsidRPr="00CF274D">
        <w:rPr>
          <w:rtl/>
        </w:rPr>
        <w:t>)</w:t>
      </w:r>
      <w:r>
        <w:tab/>
      </w:r>
      <w:r w:rsidRPr="00CF274D">
        <w:rPr>
          <w:rtl/>
        </w:rPr>
        <w:t xml:space="preserve">دستور إيطاليا، المواد </w:t>
      </w:r>
      <w:r w:rsidRPr="006C4428">
        <w:rPr>
          <w:rtl/>
        </w:rPr>
        <w:t>103</w:t>
      </w:r>
      <w:r w:rsidRPr="00CF274D">
        <w:rPr>
          <w:rtl/>
        </w:rPr>
        <w:t xml:space="preserve"> و</w:t>
      </w:r>
      <w:r w:rsidRPr="006C4428">
        <w:rPr>
          <w:rtl/>
        </w:rPr>
        <w:t>111</w:t>
      </w:r>
      <w:r w:rsidRPr="00CF274D">
        <w:rPr>
          <w:rtl/>
        </w:rPr>
        <w:t xml:space="preserve"> و</w:t>
      </w:r>
      <w:r w:rsidRPr="006C4428">
        <w:rPr>
          <w:rtl/>
        </w:rPr>
        <w:t>134</w:t>
      </w:r>
      <w:r w:rsidRPr="00BD2E54">
        <w:rPr>
          <w:rtl/>
        </w:rPr>
        <w:t xml:space="preserve">. </w:t>
      </w:r>
    </w:p>
  </w:footnote>
  <w:footnote w:id="5">
    <w:p w14:paraId="5F60D36F" w14:textId="77777777" w:rsidR="00BD2E54" w:rsidRPr="00CF274D" w:rsidRDefault="00BD2E54" w:rsidP="00CF274D">
      <w:pPr>
        <w:pStyle w:val="FootnoteText1"/>
        <w:textDirection w:val="tbRlV"/>
      </w:pPr>
      <w:r w:rsidRPr="00CF274D">
        <w:rPr>
          <w:rtl/>
        </w:rPr>
        <w:t>(</w:t>
      </w:r>
      <w:r w:rsidRPr="006C4428">
        <w:rPr>
          <w:rStyle w:val="FootnoteReference"/>
          <w:vertAlign w:val="baseline"/>
        </w:rPr>
        <w:footnoteRef/>
      </w:r>
      <w:r w:rsidRPr="00CF274D">
        <w:rPr>
          <w:rtl/>
        </w:rPr>
        <w:t>)</w:t>
      </w:r>
      <w:r>
        <w:tab/>
      </w:r>
      <w:r w:rsidRPr="00CF274D">
        <w:rPr>
          <w:rtl/>
        </w:rPr>
        <w:t xml:space="preserve">القانون رقم </w:t>
      </w:r>
      <w:r w:rsidRPr="006C4428">
        <w:rPr>
          <w:rtl/>
        </w:rPr>
        <w:t>89</w:t>
      </w:r>
      <w:r w:rsidRPr="00CF274D">
        <w:rPr>
          <w:rtl/>
        </w:rPr>
        <w:t>/</w:t>
      </w:r>
      <w:r w:rsidRPr="006C4428">
        <w:rPr>
          <w:rtl/>
        </w:rPr>
        <w:t>01</w:t>
      </w:r>
      <w:r w:rsidRPr="00CF274D">
        <w:rPr>
          <w:rtl/>
        </w:rPr>
        <w:t xml:space="preserve">، المادة </w:t>
      </w:r>
      <w:r w:rsidRPr="006C4428">
        <w:rPr>
          <w:rtl/>
        </w:rPr>
        <w:t>2</w:t>
      </w:r>
      <w:r w:rsidRPr="00CF274D">
        <w:rPr>
          <w:rtl/>
        </w:rPr>
        <w:t xml:space="preserve"> مكررا</w:t>
      </w:r>
      <w:r>
        <w:rPr>
          <w:rFonts w:hint="cs"/>
          <w:rtl/>
        </w:rPr>
        <w:t>ً</w:t>
      </w:r>
      <w:r w:rsidRPr="00CF274D">
        <w:rPr>
          <w:rtl/>
        </w:rPr>
        <w:t xml:space="preserve">. </w:t>
      </w:r>
    </w:p>
  </w:footnote>
  <w:footnote w:id="6">
    <w:p w14:paraId="6AF58392" w14:textId="77777777" w:rsidR="00BD2E54" w:rsidRPr="00CF274D" w:rsidRDefault="00BD2E54" w:rsidP="00CF274D">
      <w:pPr>
        <w:pStyle w:val="FootnoteText1"/>
        <w:textDirection w:val="tbRlV"/>
        <w:rPr>
          <w:rtl/>
        </w:rPr>
      </w:pPr>
      <w:r w:rsidRPr="00CF274D">
        <w:rPr>
          <w:rtl/>
        </w:rPr>
        <w:t>(</w:t>
      </w:r>
      <w:r w:rsidRPr="006C4428">
        <w:rPr>
          <w:rStyle w:val="FootnoteReference"/>
          <w:vertAlign w:val="baseline"/>
        </w:rPr>
        <w:footnoteRef/>
      </w:r>
      <w:r w:rsidRPr="00CF274D">
        <w:rPr>
          <w:rtl/>
        </w:rPr>
        <w:t>)</w:t>
      </w:r>
      <w:r>
        <w:tab/>
      </w:r>
      <w:r w:rsidRPr="00CF274D">
        <w:rPr>
          <w:rtl/>
        </w:rPr>
        <w:t>المرجع نفسه</w:t>
      </w:r>
      <w:r>
        <w:rPr>
          <w:rtl/>
        </w:rPr>
        <w:t xml:space="preserve">. </w:t>
      </w:r>
    </w:p>
  </w:footnote>
  <w:footnote w:id="7">
    <w:p w14:paraId="0FDFEBFD" w14:textId="77777777" w:rsidR="00BD2E54" w:rsidRPr="00CF274D" w:rsidRDefault="00BD2E54" w:rsidP="00CF274D">
      <w:pPr>
        <w:pStyle w:val="FootnoteText1"/>
        <w:textDirection w:val="tbRlV"/>
      </w:pPr>
      <w:r w:rsidRPr="00CF274D">
        <w:rPr>
          <w:rtl/>
        </w:rPr>
        <w:t>(</w:t>
      </w:r>
      <w:r w:rsidRPr="006C4428">
        <w:rPr>
          <w:rStyle w:val="FootnoteReference"/>
          <w:vertAlign w:val="baseline"/>
        </w:rPr>
        <w:footnoteRef/>
      </w:r>
      <w:r w:rsidRPr="00CF274D">
        <w:rPr>
          <w:rtl/>
        </w:rPr>
        <w:t>)</w:t>
      </w:r>
      <w:r>
        <w:tab/>
      </w:r>
      <w:r w:rsidRPr="00CF274D">
        <w:rPr>
          <w:rtl/>
        </w:rPr>
        <w:t xml:space="preserve">حكم محكمة </w:t>
      </w:r>
      <w:proofErr w:type="spellStart"/>
      <w:r w:rsidRPr="00CF274D">
        <w:rPr>
          <w:rtl/>
        </w:rPr>
        <w:t>لازيو</w:t>
      </w:r>
      <w:proofErr w:type="spellEnd"/>
      <w:r>
        <w:rPr>
          <w:rFonts w:hint="cs"/>
          <w:rtl/>
        </w:rPr>
        <w:t xml:space="preserve"> </w:t>
      </w:r>
      <w:r w:rsidRPr="00CF274D">
        <w:rPr>
          <w:rtl/>
        </w:rPr>
        <w:t>-</w:t>
      </w:r>
      <w:r>
        <w:rPr>
          <w:rFonts w:hint="cs"/>
          <w:rtl/>
        </w:rPr>
        <w:t xml:space="preserve"> </w:t>
      </w:r>
      <w:r w:rsidRPr="00CF274D">
        <w:rPr>
          <w:rtl/>
        </w:rPr>
        <w:t xml:space="preserve">روما الإدارية الإقليمية رقم </w:t>
      </w:r>
      <w:r w:rsidRPr="006C4428">
        <w:rPr>
          <w:rtl/>
        </w:rPr>
        <w:t>600</w:t>
      </w:r>
      <w:r w:rsidRPr="00CF274D">
        <w:rPr>
          <w:rtl/>
        </w:rPr>
        <w:t>/</w:t>
      </w:r>
      <w:r w:rsidRPr="006C4428">
        <w:rPr>
          <w:rtl/>
        </w:rPr>
        <w:t>2013</w:t>
      </w:r>
      <w:r w:rsidRPr="00CF274D">
        <w:rPr>
          <w:rtl/>
        </w:rPr>
        <w:t xml:space="preserve"> المؤرخ </w:t>
      </w:r>
      <w:r w:rsidRPr="006C4428">
        <w:rPr>
          <w:rtl/>
        </w:rPr>
        <w:t>12</w:t>
      </w:r>
      <w:r w:rsidRPr="00CF274D">
        <w:rPr>
          <w:rtl/>
        </w:rPr>
        <w:t xml:space="preserve"> أيار/مايو </w:t>
      </w:r>
      <w:r w:rsidRPr="006C4428">
        <w:rPr>
          <w:rtl/>
        </w:rPr>
        <w:t>2015</w:t>
      </w:r>
      <w:r w:rsidRPr="00BD2E54">
        <w:rPr>
          <w:rtl/>
        </w:rPr>
        <w:t xml:space="preserve">. </w:t>
      </w:r>
    </w:p>
  </w:footnote>
  <w:footnote w:id="8">
    <w:p w14:paraId="21E33111" w14:textId="77777777" w:rsidR="00BD2E54" w:rsidRPr="00CF17BF" w:rsidRDefault="00BD2E54" w:rsidP="00CF274D">
      <w:pPr>
        <w:pStyle w:val="FootnoteText1"/>
        <w:textDirection w:val="tbRlV"/>
        <w:rPr>
          <w:spacing w:val="-2"/>
        </w:rPr>
      </w:pPr>
      <w:r w:rsidRPr="00CF17BF">
        <w:rPr>
          <w:spacing w:val="-2"/>
          <w:rtl/>
        </w:rPr>
        <w:t>(</w:t>
      </w:r>
      <w:r w:rsidRPr="006C4428">
        <w:rPr>
          <w:rStyle w:val="FootnoteReference"/>
          <w:spacing w:val="-2"/>
          <w:vertAlign w:val="baseline"/>
        </w:rPr>
        <w:footnoteRef/>
      </w:r>
      <w:r w:rsidRPr="00CF17BF">
        <w:rPr>
          <w:spacing w:val="-2"/>
          <w:rtl/>
        </w:rPr>
        <w:t>)</w:t>
      </w:r>
      <w:r w:rsidRPr="00CF17BF">
        <w:rPr>
          <w:spacing w:val="-2"/>
        </w:rPr>
        <w:tab/>
      </w:r>
      <w:r w:rsidRPr="00CF17BF">
        <w:rPr>
          <w:spacing w:val="-2"/>
          <w:rtl/>
        </w:rPr>
        <w:t xml:space="preserve">الاجتهاد القضائي الثابت في المسائل الإدارية المعروضة على مجلس الدولة، الدائرة الثالثة، </w:t>
      </w:r>
      <w:r w:rsidRPr="006C4428">
        <w:rPr>
          <w:spacing w:val="-2"/>
          <w:rtl/>
        </w:rPr>
        <w:t>14</w:t>
      </w:r>
      <w:r w:rsidRPr="00CF17BF">
        <w:rPr>
          <w:spacing w:val="-2"/>
          <w:rtl/>
        </w:rPr>
        <w:t xml:space="preserve"> شباط/فبراير </w:t>
      </w:r>
      <w:r w:rsidRPr="006C4428">
        <w:rPr>
          <w:spacing w:val="-2"/>
          <w:rtl/>
        </w:rPr>
        <w:t>2017</w:t>
      </w:r>
      <w:r w:rsidRPr="00CF17BF">
        <w:rPr>
          <w:spacing w:val="-2"/>
          <w:rtl/>
        </w:rPr>
        <w:t xml:space="preserve">، العدد </w:t>
      </w:r>
      <w:r w:rsidRPr="006C4428">
        <w:rPr>
          <w:spacing w:val="-2"/>
          <w:rtl/>
        </w:rPr>
        <w:t>657</w:t>
      </w:r>
      <w:r w:rsidRPr="00BD2E54">
        <w:rPr>
          <w:spacing w:val="-2"/>
          <w:rtl/>
        </w:rPr>
        <w:t xml:space="preserve">. </w:t>
      </w:r>
    </w:p>
  </w:footnote>
  <w:footnote w:id="9">
    <w:p w14:paraId="738065AE" w14:textId="77777777" w:rsidR="00BD2E54" w:rsidRPr="00CF274D" w:rsidRDefault="00BD2E54" w:rsidP="00CF274D">
      <w:pPr>
        <w:pStyle w:val="FootnoteText1"/>
        <w:textDirection w:val="tbRlV"/>
      </w:pPr>
      <w:r w:rsidRPr="00CF274D">
        <w:rPr>
          <w:rtl/>
        </w:rPr>
        <w:t>(</w:t>
      </w:r>
      <w:r w:rsidRPr="006C4428">
        <w:rPr>
          <w:rStyle w:val="FootnoteReference"/>
          <w:vertAlign w:val="baseline"/>
        </w:rPr>
        <w:footnoteRef/>
      </w:r>
      <w:r w:rsidRPr="00CF274D">
        <w:rPr>
          <w:rtl/>
        </w:rPr>
        <w:t>)</w:t>
      </w:r>
      <w:r>
        <w:tab/>
      </w:r>
      <w:r w:rsidRPr="00CF274D">
        <w:rPr>
          <w:rtl/>
        </w:rPr>
        <w:t xml:space="preserve">مجلس الدولة، الدائرة الثالثة، </w:t>
      </w:r>
      <w:r w:rsidRPr="006C4428">
        <w:rPr>
          <w:rtl/>
        </w:rPr>
        <w:t>4</w:t>
      </w:r>
      <w:r w:rsidRPr="00CF274D">
        <w:rPr>
          <w:rtl/>
        </w:rPr>
        <w:t xml:space="preserve"> آذار/مارس </w:t>
      </w:r>
      <w:r w:rsidRPr="006C4428">
        <w:rPr>
          <w:rtl/>
        </w:rPr>
        <w:t>2015</w:t>
      </w:r>
      <w:r w:rsidRPr="00CF274D">
        <w:rPr>
          <w:rtl/>
        </w:rPr>
        <w:t xml:space="preserve">، القرار رقم </w:t>
      </w:r>
      <w:r w:rsidRPr="006C4428">
        <w:rPr>
          <w:rtl/>
        </w:rPr>
        <w:t>1084</w:t>
      </w:r>
      <w:r w:rsidRPr="00CF274D">
        <w:rPr>
          <w:rtl/>
        </w:rPr>
        <w:t xml:space="preserve">، والمحكمة الإدارية الإقليمية </w:t>
      </w:r>
      <w:proofErr w:type="spellStart"/>
      <w:r w:rsidRPr="00CF274D">
        <w:rPr>
          <w:rtl/>
        </w:rPr>
        <w:t>لازيو</w:t>
      </w:r>
      <w:proofErr w:type="spellEnd"/>
      <w:r>
        <w:rPr>
          <w:rFonts w:hint="cs"/>
          <w:rtl/>
        </w:rPr>
        <w:t xml:space="preserve"> </w:t>
      </w:r>
      <w:r w:rsidRPr="00CF274D">
        <w:rPr>
          <w:rtl/>
        </w:rPr>
        <w:t>-</w:t>
      </w:r>
      <w:r>
        <w:rPr>
          <w:rFonts w:hint="cs"/>
          <w:rtl/>
        </w:rPr>
        <w:t xml:space="preserve"> </w:t>
      </w:r>
      <w:r w:rsidRPr="00CF274D">
        <w:rPr>
          <w:rtl/>
        </w:rPr>
        <w:t xml:space="preserve">روما، منطقة الدائرة الثانية، </w:t>
      </w:r>
      <w:r w:rsidRPr="006C4428">
        <w:rPr>
          <w:rtl/>
        </w:rPr>
        <w:t>11</w:t>
      </w:r>
      <w:r w:rsidRPr="00CF274D">
        <w:rPr>
          <w:rtl/>
        </w:rPr>
        <w:t xml:space="preserve"> تشرين الثاني/نوفمبر </w:t>
      </w:r>
      <w:r w:rsidRPr="006C4428">
        <w:rPr>
          <w:rtl/>
        </w:rPr>
        <w:t>2015</w:t>
      </w:r>
      <w:r w:rsidRPr="00CF274D">
        <w:rPr>
          <w:rtl/>
        </w:rPr>
        <w:t xml:space="preserve">، القرار رقم </w:t>
      </w:r>
      <w:r w:rsidRPr="006C4428">
        <w:rPr>
          <w:rtl/>
        </w:rPr>
        <w:t>12752</w:t>
      </w:r>
      <w:r w:rsidRPr="00BD2E54">
        <w:rPr>
          <w:rtl/>
        </w:rPr>
        <w:t xml:space="preserve">. </w:t>
      </w:r>
    </w:p>
  </w:footnote>
  <w:footnote w:id="10">
    <w:p w14:paraId="5CEC66B1" w14:textId="77777777" w:rsidR="00BD2E54" w:rsidRPr="00CF274D" w:rsidRDefault="00BD2E54" w:rsidP="00CF274D">
      <w:pPr>
        <w:pStyle w:val="FootnoteText1"/>
        <w:textDirection w:val="tbRlV"/>
      </w:pPr>
      <w:r w:rsidRPr="00CF274D">
        <w:rPr>
          <w:rtl/>
        </w:rPr>
        <w:t>(</w:t>
      </w:r>
      <w:r w:rsidRPr="006C4428">
        <w:rPr>
          <w:rStyle w:val="FootnoteReference"/>
          <w:vertAlign w:val="baseline"/>
        </w:rPr>
        <w:footnoteRef/>
      </w:r>
      <w:r w:rsidRPr="00CF274D">
        <w:rPr>
          <w:rtl/>
        </w:rPr>
        <w:t>)</w:t>
      </w:r>
      <w:r>
        <w:tab/>
      </w:r>
      <w:r w:rsidRPr="00CF274D">
        <w:rPr>
          <w:rtl/>
        </w:rPr>
        <w:t xml:space="preserve">القانون رقم </w:t>
      </w:r>
      <w:r w:rsidRPr="006C4428">
        <w:rPr>
          <w:rtl/>
        </w:rPr>
        <w:t>92</w:t>
      </w:r>
      <w:r w:rsidRPr="00CF274D">
        <w:rPr>
          <w:rtl/>
        </w:rPr>
        <w:t>/</w:t>
      </w:r>
      <w:r w:rsidRPr="006C4428">
        <w:rPr>
          <w:rtl/>
        </w:rPr>
        <w:t>1991</w:t>
      </w:r>
      <w:r w:rsidRPr="00CF274D">
        <w:rPr>
          <w:rtl/>
        </w:rPr>
        <w:t xml:space="preserve">، الفقرة </w:t>
      </w:r>
      <w:r w:rsidRPr="006C4428">
        <w:rPr>
          <w:rtl/>
        </w:rPr>
        <w:t>8</w:t>
      </w:r>
      <w:r w:rsidRPr="00CF274D">
        <w:rPr>
          <w:rtl/>
        </w:rPr>
        <w:t>(</w:t>
      </w:r>
      <w:r w:rsidRPr="006C4428">
        <w:rPr>
          <w:rtl/>
        </w:rPr>
        <w:t>1</w:t>
      </w:r>
      <w:r w:rsidRPr="00BD2E54">
        <w:rPr>
          <w:rtl/>
        </w:rPr>
        <w:t xml:space="preserve">). </w:t>
      </w:r>
    </w:p>
  </w:footnote>
  <w:footnote w:id="11">
    <w:p w14:paraId="6BA04A5E" w14:textId="77777777" w:rsidR="00BD2E54" w:rsidRPr="00CF274D" w:rsidRDefault="00BD2E54" w:rsidP="00CF274D">
      <w:pPr>
        <w:pStyle w:val="FootnoteText1"/>
        <w:textDirection w:val="tbRlV"/>
      </w:pPr>
      <w:r w:rsidRPr="00CF274D">
        <w:rPr>
          <w:rtl/>
        </w:rPr>
        <w:t>(</w:t>
      </w:r>
      <w:r w:rsidRPr="006C4428">
        <w:rPr>
          <w:rStyle w:val="FootnoteReference"/>
          <w:vertAlign w:val="baseline"/>
        </w:rPr>
        <w:footnoteRef/>
      </w:r>
      <w:r w:rsidRPr="00CF274D">
        <w:rPr>
          <w:rtl/>
        </w:rPr>
        <w:t>)</w:t>
      </w:r>
      <w:r>
        <w:tab/>
      </w:r>
      <w:r w:rsidRPr="00CF274D">
        <w:rPr>
          <w:rtl/>
        </w:rPr>
        <w:t xml:space="preserve">المادة </w:t>
      </w:r>
      <w:r w:rsidRPr="006C4428">
        <w:rPr>
          <w:rtl/>
        </w:rPr>
        <w:t>8</w:t>
      </w:r>
      <w:r w:rsidRPr="00CF274D">
        <w:rPr>
          <w:rtl/>
        </w:rPr>
        <w:t xml:space="preserve">، المرفق </w:t>
      </w:r>
      <w:r w:rsidRPr="006C4428">
        <w:rPr>
          <w:rtl/>
        </w:rPr>
        <w:t>2</w:t>
      </w:r>
      <w:r w:rsidRPr="00CF274D">
        <w:rPr>
          <w:rtl/>
        </w:rPr>
        <w:t xml:space="preserve">، الباب الثالث من قانون العدالة الإدارية. </w:t>
      </w:r>
    </w:p>
  </w:footnote>
  <w:footnote w:id="12">
    <w:p w14:paraId="2FADEEA4" w14:textId="77777777" w:rsidR="00BD2E54" w:rsidRPr="00CF274D" w:rsidRDefault="00BD2E54" w:rsidP="00CF274D">
      <w:pPr>
        <w:pStyle w:val="FootnoteText1"/>
        <w:textDirection w:val="tbRlV"/>
      </w:pPr>
      <w:r w:rsidRPr="00CF274D">
        <w:rPr>
          <w:rtl/>
        </w:rPr>
        <w:t>(</w:t>
      </w:r>
      <w:r w:rsidRPr="006C4428">
        <w:rPr>
          <w:rStyle w:val="FootnoteReference"/>
          <w:vertAlign w:val="baseline"/>
        </w:rPr>
        <w:footnoteRef/>
      </w:r>
      <w:r w:rsidRPr="00CF274D">
        <w:rPr>
          <w:rtl/>
        </w:rPr>
        <w:t>)</w:t>
      </w:r>
      <w:r>
        <w:tab/>
      </w:r>
      <w:r w:rsidRPr="00CF274D">
        <w:rPr>
          <w:rtl/>
        </w:rPr>
        <w:t xml:space="preserve">مجلس الدولة، الدائرة الثالثة، الحكم رقم </w:t>
      </w:r>
      <w:r w:rsidRPr="006C4428">
        <w:rPr>
          <w:rtl/>
        </w:rPr>
        <w:t>657</w:t>
      </w:r>
      <w:r w:rsidRPr="00CF274D">
        <w:rPr>
          <w:rtl/>
        </w:rPr>
        <w:t xml:space="preserve"> المؤرخ </w:t>
      </w:r>
      <w:r w:rsidRPr="006C4428">
        <w:rPr>
          <w:rtl/>
        </w:rPr>
        <w:t>14</w:t>
      </w:r>
      <w:r w:rsidRPr="00CF274D">
        <w:rPr>
          <w:rtl/>
        </w:rPr>
        <w:t xml:space="preserve"> شباط/فبراير </w:t>
      </w:r>
      <w:r w:rsidRPr="006C4428">
        <w:rPr>
          <w:rtl/>
        </w:rPr>
        <w:t>2017</w:t>
      </w:r>
      <w:r w:rsidRPr="00BD2E54">
        <w:rPr>
          <w:rtl/>
        </w:rPr>
        <w:t xml:space="preserve">. </w:t>
      </w:r>
    </w:p>
  </w:footnote>
  <w:footnote w:id="13">
    <w:p w14:paraId="5F247630" w14:textId="77777777" w:rsidR="00BD2E54" w:rsidRPr="007B6F48" w:rsidRDefault="00BD2E54" w:rsidP="00BD2E54">
      <w:pPr>
        <w:pStyle w:val="FootnoteText1"/>
        <w:textDirection w:val="tbRlV"/>
        <w:rPr>
          <w:spacing w:val="-4"/>
          <w:rtl/>
        </w:rPr>
      </w:pPr>
      <w:r w:rsidRPr="00CF274D">
        <w:rPr>
          <w:rtl/>
        </w:rPr>
        <w:t>(</w:t>
      </w:r>
      <w:r w:rsidRPr="006C4428">
        <w:rPr>
          <w:rStyle w:val="FootnoteReference"/>
          <w:vertAlign w:val="baseline"/>
        </w:rPr>
        <w:footnoteRef/>
      </w:r>
      <w:r w:rsidRPr="00CF274D">
        <w:rPr>
          <w:rtl/>
        </w:rPr>
        <w:t>)</w:t>
      </w:r>
      <w:r>
        <w:tab/>
      </w:r>
      <w:r w:rsidRPr="00CF274D">
        <w:rPr>
          <w:rtl/>
        </w:rPr>
        <w:t xml:space="preserve">انظر، على سبيل المثال، </w:t>
      </w:r>
      <w:proofErr w:type="spellStart"/>
      <w:r w:rsidRPr="006C4428">
        <w:rPr>
          <w:i/>
          <w:iCs/>
          <w:rtl/>
        </w:rPr>
        <w:t>بيريرا</w:t>
      </w:r>
      <w:proofErr w:type="spellEnd"/>
      <w:r w:rsidRPr="006C4428">
        <w:rPr>
          <w:i/>
          <w:iCs/>
          <w:rtl/>
        </w:rPr>
        <w:t xml:space="preserve"> ضد بنما</w:t>
      </w:r>
      <w:r w:rsidRPr="00CF274D">
        <w:rPr>
          <w:rtl/>
        </w:rPr>
        <w:t xml:space="preserve"> (</w:t>
      </w:r>
      <w:hyperlink r:id="rId1" w:history="1">
        <w:r w:rsidRPr="00BD2E54">
          <w:rPr>
            <w:rStyle w:val="Hyperlink"/>
          </w:rPr>
          <w:t>CCPR/C/</w:t>
        </w:r>
        <w:r w:rsidRPr="006C4428">
          <w:rPr>
            <w:rStyle w:val="Hyperlink"/>
          </w:rPr>
          <w:t>52</w:t>
        </w:r>
        <w:r w:rsidRPr="00BD2E54">
          <w:rPr>
            <w:rStyle w:val="Hyperlink"/>
          </w:rPr>
          <w:t>/D/</w:t>
        </w:r>
        <w:r w:rsidRPr="006C4428">
          <w:rPr>
            <w:rStyle w:val="Hyperlink"/>
          </w:rPr>
          <w:t>437</w:t>
        </w:r>
        <w:r w:rsidRPr="00BD2E54">
          <w:rPr>
            <w:rStyle w:val="Hyperlink"/>
          </w:rPr>
          <w:t>/</w:t>
        </w:r>
        <w:r w:rsidRPr="006C4428">
          <w:rPr>
            <w:rStyle w:val="Hyperlink"/>
          </w:rPr>
          <w:t>1990</w:t>
        </w:r>
      </w:hyperlink>
      <w:r w:rsidRPr="00BD2E54">
        <w:rPr>
          <w:rtl/>
        </w:rPr>
        <w:t xml:space="preserve">)، </w:t>
      </w:r>
      <w:r w:rsidRPr="00CF274D">
        <w:rPr>
          <w:rtl/>
        </w:rPr>
        <w:t xml:space="preserve">الفقرة </w:t>
      </w:r>
      <w:r w:rsidRPr="006C4428">
        <w:rPr>
          <w:rtl/>
        </w:rPr>
        <w:t>5</w:t>
      </w:r>
      <w:r w:rsidRPr="00CF274D">
        <w:rPr>
          <w:rtl/>
        </w:rPr>
        <w:t>-</w:t>
      </w:r>
      <w:r w:rsidRPr="006C4428">
        <w:rPr>
          <w:rtl/>
        </w:rPr>
        <w:t>2</w:t>
      </w:r>
      <w:r w:rsidRPr="00CF274D">
        <w:rPr>
          <w:rtl/>
        </w:rPr>
        <w:t>؛ و</w:t>
      </w:r>
      <w:r w:rsidRPr="006C4428">
        <w:rPr>
          <w:i/>
          <w:iCs/>
          <w:rtl/>
        </w:rPr>
        <w:t>ب. ل. ضد ألمانيا</w:t>
      </w:r>
      <w:r w:rsidRPr="00CF274D">
        <w:rPr>
          <w:rtl/>
        </w:rPr>
        <w:t xml:space="preserve"> (</w:t>
      </w:r>
      <w:hyperlink r:id="rId2" w:history="1">
        <w:r w:rsidRPr="00BD2E54">
          <w:rPr>
            <w:rStyle w:val="Hyperlink"/>
          </w:rPr>
          <w:t>CCPR/C/</w:t>
        </w:r>
        <w:r w:rsidRPr="006C4428">
          <w:rPr>
            <w:rStyle w:val="Hyperlink"/>
          </w:rPr>
          <w:t>79</w:t>
        </w:r>
        <w:r w:rsidRPr="00BD2E54">
          <w:rPr>
            <w:rStyle w:val="Hyperlink"/>
          </w:rPr>
          <w:t>/D/</w:t>
        </w:r>
        <w:r w:rsidRPr="006C4428">
          <w:rPr>
            <w:rStyle w:val="Hyperlink"/>
          </w:rPr>
          <w:t>1003</w:t>
        </w:r>
        <w:r w:rsidRPr="00BD2E54">
          <w:rPr>
            <w:rStyle w:val="Hyperlink"/>
          </w:rPr>
          <w:t>/</w:t>
        </w:r>
        <w:r w:rsidRPr="006C4428">
          <w:rPr>
            <w:rStyle w:val="Hyperlink"/>
          </w:rPr>
          <w:t>2001</w:t>
        </w:r>
      </w:hyperlink>
      <w:r w:rsidRPr="00BD2E54">
        <w:rPr>
          <w:rtl/>
        </w:rPr>
        <w:t xml:space="preserve">)، </w:t>
      </w:r>
      <w:r w:rsidRPr="00CF274D">
        <w:rPr>
          <w:rtl/>
        </w:rPr>
        <w:t xml:space="preserve">الفقرة </w:t>
      </w:r>
      <w:r w:rsidRPr="006C4428">
        <w:rPr>
          <w:rtl/>
        </w:rPr>
        <w:t>6</w:t>
      </w:r>
      <w:r w:rsidRPr="00CF274D">
        <w:rPr>
          <w:rtl/>
        </w:rPr>
        <w:t>-</w:t>
      </w:r>
      <w:r w:rsidRPr="006C4428">
        <w:rPr>
          <w:rtl/>
        </w:rPr>
        <w:t>5</w:t>
      </w:r>
      <w:r w:rsidRPr="00CF274D">
        <w:rPr>
          <w:rtl/>
        </w:rPr>
        <w:t xml:space="preserve">؛ </w:t>
      </w:r>
      <w:proofErr w:type="spellStart"/>
      <w:r w:rsidRPr="00647AA7">
        <w:rPr>
          <w:rtl/>
        </w:rPr>
        <w:t>و</w:t>
      </w:r>
      <w:r w:rsidRPr="006C4428">
        <w:rPr>
          <w:i/>
          <w:iCs/>
          <w:rtl/>
        </w:rPr>
        <w:t>ريدل-ريدنشتاين</w:t>
      </w:r>
      <w:proofErr w:type="spellEnd"/>
      <w:r w:rsidRPr="006C4428">
        <w:rPr>
          <w:i/>
          <w:iCs/>
          <w:rtl/>
        </w:rPr>
        <w:t xml:space="preserve"> </w:t>
      </w:r>
      <w:proofErr w:type="spellStart"/>
      <w:r w:rsidRPr="006C4428">
        <w:rPr>
          <w:i/>
          <w:iCs/>
          <w:rtl/>
        </w:rPr>
        <w:t>وشولتز</w:t>
      </w:r>
      <w:proofErr w:type="spellEnd"/>
      <w:r w:rsidRPr="006C4428">
        <w:rPr>
          <w:i/>
          <w:iCs/>
          <w:rtl/>
        </w:rPr>
        <w:t xml:space="preserve"> ضد ألمانيا</w:t>
      </w:r>
      <w:r w:rsidRPr="00CF274D">
        <w:rPr>
          <w:rtl/>
        </w:rPr>
        <w:t xml:space="preserve"> (</w:t>
      </w:r>
      <w:hyperlink r:id="rId3" w:history="1">
        <w:r w:rsidRPr="00BD2E54">
          <w:rPr>
            <w:rStyle w:val="Hyperlink"/>
          </w:rPr>
          <w:t>CCPR/C/</w:t>
        </w:r>
        <w:r w:rsidRPr="006C4428">
          <w:rPr>
            <w:rStyle w:val="Hyperlink"/>
          </w:rPr>
          <w:t>82</w:t>
        </w:r>
        <w:r w:rsidRPr="00BD2E54">
          <w:rPr>
            <w:rStyle w:val="Hyperlink"/>
          </w:rPr>
          <w:t>/D/</w:t>
        </w:r>
        <w:r w:rsidRPr="006C4428">
          <w:rPr>
            <w:rStyle w:val="Hyperlink"/>
          </w:rPr>
          <w:t>1188</w:t>
        </w:r>
        <w:r w:rsidRPr="00BD2E54">
          <w:rPr>
            <w:rStyle w:val="Hyperlink"/>
          </w:rPr>
          <w:t>/</w:t>
        </w:r>
        <w:r w:rsidRPr="006C4428">
          <w:rPr>
            <w:rStyle w:val="Hyperlink"/>
          </w:rPr>
          <w:t>2003</w:t>
        </w:r>
      </w:hyperlink>
      <w:r w:rsidRPr="00BD2E54">
        <w:rPr>
          <w:rtl/>
        </w:rPr>
        <w:t xml:space="preserve">)، </w:t>
      </w:r>
      <w:r w:rsidRPr="00CF274D">
        <w:rPr>
          <w:rtl/>
        </w:rPr>
        <w:t xml:space="preserve">الفقرة </w:t>
      </w:r>
      <w:r w:rsidRPr="006C4428">
        <w:rPr>
          <w:rtl/>
        </w:rPr>
        <w:t>7</w:t>
      </w:r>
      <w:r w:rsidRPr="00CF274D">
        <w:rPr>
          <w:rtl/>
        </w:rPr>
        <w:t>-</w:t>
      </w:r>
      <w:r w:rsidRPr="006C4428">
        <w:rPr>
          <w:rtl/>
        </w:rPr>
        <w:t>2</w:t>
      </w:r>
      <w:r w:rsidRPr="00CF274D">
        <w:rPr>
          <w:rtl/>
        </w:rPr>
        <w:t xml:space="preserve">؛ </w:t>
      </w:r>
      <w:proofErr w:type="spellStart"/>
      <w:r w:rsidRPr="00647AA7">
        <w:rPr>
          <w:rtl/>
        </w:rPr>
        <w:t>و</w:t>
      </w:r>
      <w:r w:rsidRPr="006C4428">
        <w:rPr>
          <w:i/>
          <w:iCs/>
          <w:rtl/>
        </w:rPr>
        <w:t>غيلبرغ</w:t>
      </w:r>
      <w:proofErr w:type="spellEnd"/>
      <w:r w:rsidRPr="006C4428">
        <w:rPr>
          <w:i/>
          <w:iCs/>
          <w:rtl/>
        </w:rPr>
        <w:t xml:space="preserve"> ضد ألمانيا</w:t>
      </w:r>
      <w:r w:rsidRPr="00CF274D">
        <w:rPr>
          <w:rtl/>
        </w:rPr>
        <w:t xml:space="preserve"> (</w:t>
      </w:r>
      <w:hyperlink r:id="rId4" w:history="1">
        <w:r w:rsidRPr="00BD2E54">
          <w:rPr>
            <w:rStyle w:val="Hyperlink"/>
          </w:rPr>
          <w:t>CCPR/C/</w:t>
        </w:r>
        <w:r w:rsidRPr="006C4428">
          <w:rPr>
            <w:rStyle w:val="Hyperlink"/>
          </w:rPr>
          <w:t>87</w:t>
        </w:r>
        <w:r w:rsidRPr="00BD2E54">
          <w:rPr>
            <w:rStyle w:val="Hyperlink"/>
          </w:rPr>
          <w:t>/D/</w:t>
        </w:r>
        <w:r w:rsidRPr="006C4428">
          <w:rPr>
            <w:rStyle w:val="Hyperlink"/>
          </w:rPr>
          <w:t>1403</w:t>
        </w:r>
        <w:r w:rsidRPr="00BD2E54">
          <w:rPr>
            <w:rStyle w:val="Hyperlink"/>
          </w:rPr>
          <w:t>/</w:t>
        </w:r>
        <w:r w:rsidRPr="006C4428">
          <w:rPr>
            <w:rStyle w:val="Hyperlink"/>
          </w:rPr>
          <w:t>2005</w:t>
        </w:r>
      </w:hyperlink>
      <w:r w:rsidRPr="00BD2E54">
        <w:rPr>
          <w:rtl/>
        </w:rPr>
        <w:t xml:space="preserve">)، </w:t>
      </w:r>
      <w:r w:rsidRPr="00CF274D">
        <w:rPr>
          <w:rtl/>
        </w:rPr>
        <w:t xml:space="preserve">الفقرة </w:t>
      </w:r>
      <w:r w:rsidRPr="006C4428">
        <w:rPr>
          <w:rtl/>
        </w:rPr>
        <w:t>6</w:t>
      </w:r>
      <w:r w:rsidRPr="00CF274D">
        <w:rPr>
          <w:rtl/>
        </w:rPr>
        <w:t>-</w:t>
      </w:r>
      <w:r w:rsidRPr="006C4428">
        <w:rPr>
          <w:rtl/>
        </w:rPr>
        <w:t>5</w:t>
      </w:r>
      <w:r w:rsidRPr="00CF274D">
        <w:rPr>
          <w:rtl/>
        </w:rPr>
        <w:t xml:space="preserve">؛ </w:t>
      </w:r>
      <w:proofErr w:type="spellStart"/>
      <w:r w:rsidRPr="00647AA7">
        <w:rPr>
          <w:rtl/>
        </w:rPr>
        <w:t>و</w:t>
      </w:r>
      <w:r w:rsidRPr="006C4428">
        <w:rPr>
          <w:i/>
          <w:iCs/>
          <w:rtl/>
        </w:rPr>
        <w:t>وارسامي</w:t>
      </w:r>
      <w:proofErr w:type="spellEnd"/>
      <w:r w:rsidRPr="006C4428">
        <w:rPr>
          <w:i/>
          <w:iCs/>
          <w:rtl/>
        </w:rPr>
        <w:t xml:space="preserve"> ضد كندا</w:t>
      </w:r>
      <w:r w:rsidRPr="00CF274D">
        <w:rPr>
          <w:rtl/>
        </w:rPr>
        <w:t xml:space="preserve"> </w:t>
      </w:r>
      <w:r w:rsidRPr="007B6F48">
        <w:rPr>
          <w:spacing w:val="-4"/>
          <w:rtl/>
        </w:rPr>
        <w:t>(</w:t>
      </w:r>
      <w:hyperlink r:id="rId5" w:history="1">
        <w:r w:rsidRPr="00BD2E54">
          <w:rPr>
            <w:rStyle w:val="Hyperlink"/>
          </w:rPr>
          <w:t>CCPR/C/</w:t>
        </w:r>
        <w:r w:rsidRPr="006C4428">
          <w:rPr>
            <w:rStyle w:val="Hyperlink"/>
          </w:rPr>
          <w:t>102</w:t>
        </w:r>
        <w:r w:rsidRPr="00BD2E54">
          <w:rPr>
            <w:rStyle w:val="Hyperlink"/>
          </w:rPr>
          <w:t>/D/</w:t>
        </w:r>
        <w:r w:rsidRPr="006C4428">
          <w:rPr>
            <w:rStyle w:val="Hyperlink"/>
          </w:rPr>
          <w:t>1959</w:t>
        </w:r>
        <w:r w:rsidRPr="00BD2E54">
          <w:rPr>
            <w:rStyle w:val="Hyperlink"/>
          </w:rPr>
          <w:t>/</w:t>
        </w:r>
        <w:r w:rsidRPr="006C4428">
          <w:rPr>
            <w:rStyle w:val="Hyperlink"/>
          </w:rPr>
          <w:t>2010</w:t>
        </w:r>
      </w:hyperlink>
      <w:r w:rsidRPr="00BD2E54">
        <w:rPr>
          <w:spacing w:val="-4"/>
          <w:rtl/>
        </w:rPr>
        <w:t xml:space="preserve">)، </w:t>
      </w:r>
      <w:r w:rsidRPr="007B6F48">
        <w:rPr>
          <w:spacing w:val="-4"/>
          <w:rtl/>
        </w:rPr>
        <w:t xml:space="preserve">الفقرة </w:t>
      </w:r>
      <w:r w:rsidRPr="006C4428">
        <w:rPr>
          <w:spacing w:val="-4"/>
          <w:rtl/>
        </w:rPr>
        <w:t>7</w:t>
      </w:r>
      <w:r w:rsidRPr="007B6F48">
        <w:rPr>
          <w:spacing w:val="-4"/>
          <w:rtl/>
        </w:rPr>
        <w:t>-</w:t>
      </w:r>
      <w:r w:rsidRPr="006C4428">
        <w:rPr>
          <w:spacing w:val="-4"/>
          <w:rtl/>
        </w:rPr>
        <w:t>3</w:t>
      </w:r>
      <w:r w:rsidRPr="007B6F48">
        <w:rPr>
          <w:spacing w:val="-4"/>
          <w:rtl/>
        </w:rPr>
        <w:t xml:space="preserve">؛ </w:t>
      </w:r>
      <w:r w:rsidRPr="00647AA7">
        <w:rPr>
          <w:spacing w:val="-4"/>
          <w:rtl/>
        </w:rPr>
        <w:t>و</w:t>
      </w:r>
      <w:r w:rsidRPr="006C4428">
        <w:rPr>
          <w:i/>
          <w:iCs/>
          <w:spacing w:val="-4"/>
          <w:rtl/>
        </w:rPr>
        <w:t>هـ. س. وآخرون ضد كندا</w:t>
      </w:r>
      <w:r w:rsidRPr="007B6F48">
        <w:rPr>
          <w:spacing w:val="-4"/>
          <w:rtl/>
        </w:rPr>
        <w:t xml:space="preserve"> (</w:t>
      </w:r>
      <w:hyperlink r:id="rId6" w:history="1">
        <w:r w:rsidRPr="00BD2E54">
          <w:rPr>
            <w:rStyle w:val="Hyperlink"/>
          </w:rPr>
          <w:t>CCPR/C/</w:t>
        </w:r>
        <w:r w:rsidRPr="006C4428">
          <w:rPr>
            <w:rStyle w:val="Hyperlink"/>
          </w:rPr>
          <w:t>125</w:t>
        </w:r>
        <w:r w:rsidRPr="00BD2E54">
          <w:rPr>
            <w:rStyle w:val="Hyperlink"/>
          </w:rPr>
          <w:t>/D/</w:t>
        </w:r>
        <w:r w:rsidRPr="006C4428">
          <w:rPr>
            <w:rStyle w:val="Hyperlink"/>
          </w:rPr>
          <w:t>2948</w:t>
        </w:r>
        <w:r w:rsidRPr="00BD2E54">
          <w:rPr>
            <w:rStyle w:val="Hyperlink"/>
          </w:rPr>
          <w:t>/</w:t>
        </w:r>
        <w:r w:rsidRPr="006C4428">
          <w:rPr>
            <w:rStyle w:val="Hyperlink"/>
          </w:rPr>
          <w:t>2017</w:t>
        </w:r>
      </w:hyperlink>
      <w:r w:rsidRPr="00BD2E54">
        <w:rPr>
          <w:spacing w:val="-4"/>
          <w:rtl/>
        </w:rPr>
        <w:t xml:space="preserve">)، </w:t>
      </w:r>
      <w:r w:rsidRPr="007B6F48">
        <w:rPr>
          <w:spacing w:val="-4"/>
          <w:rtl/>
        </w:rPr>
        <w:t xml:space="preserve">الفقرة </w:t>
      </w:r>
      <w:r w:rsidRPr="006C4428">
        <w:rPr>
          <w:spacing w:val="-4"/>
          <w:rtl/>
        </w:rPr>
        <w:t>6</w:t>
      </w:r>
      <w:r w:rsidRPr="007B6F48">
        <w:rPr>
          <w:spacing w:val="-4"/>
          <w:rtl/>
        </w:rPr>
        <w:t>-</w:t>
      </w:r>
      <w:r w:rsidRPr="006C4428">
        <w:rPr>
          <w:spacing w:val="-4"/>
          <w:rtl/>
        </w:rPr>
        <w:t>4</w:t>
      </w:r>
      <w:r w:rsidRPr="00BD2E54">
        <w:rPr>
          <w:spacing w:val="-4"/>
          <w:rtl/>
        </w:rPr>
        <w:t>.</w:t>
      </w:r>
      <w:r w:rsidRPr="00BD2E54">
        <w:rPr>
          <w:rFonts w:hint="cs"/>
          <w:spacing w:val="-4"/>
          <w:rtl/>
        </w:rPr>
        <w:t xml:space="preserve"> </w:t>
      </w:r>
    </w:p>
  </w:footnote>
  <w:footnote w:id="14">
    <w:p w14:paraId="05D9B0FE" w14:textId="2BF9490C" w:rsidR="00BD2E54" w:rsidRPr="00CF274D" w:rsidRDefault="00BD2E54" w:rsidP="00BD2E54">
      <w:pPr>
        <w:pStyle w:val="FootnoteText1"/>
        <w:textDirection w:val="tbRlV"/>
      </w:pPr>
      <w:r w:rsidRPr="00CF274D">
        <w:rPr>
          <w:rtl/>
        </w:rPr>
        <w:t>(</w:t>
      </w:r>
      <w:r w:rsidRPr="006C4428">
        <w:rPr>
          <w:rStyle w:val="FootnoteReference"/>
          <w:vertAlign w:val="baseline"/>
        </w:rPr>
        <w:footnoteRef/>
      </w:r>
      <w:r w:rsidRPr="00CF274D">
        <w:rPr>
          <w:rtl/>
        </w:rPr>
        <w:t>)</w:t>
      </w:r>
      <w:r>
        <w:tab/>
      </w:r>
      <w:r w:rsidRPr="00CF274D">
        <w:rPr>
          <w:rtl/>
        </w:rPr>
        <w:t xml:space="preserve">انظر، على سبيل المثال، </w:t>
      </w:r>
      <w:r w:rsidRPr="006C4428">
        <w:rPr>
          <w:i/>
          <w:iCs/>
          <w:rtl/>
        </w:rPr>
        <w:t>كابر ضد آيسلندا</w:t>
      </w:r>
      <w:r w:rsidRPr="00CF274D">
        <w:rPr>
          <w:rtl/>
        </w:rPr>
        <w:t xml:space="preserve"> (</w:t>
      </w:r>
      <w:hyperlink r:id="rId7" w:history="1">
        <w:r w:rsidRPr="00BD2E54">
          <w:rPr>
            <w:rStyle w:val="Hyperlink"/>
          </w:rPr>
          <w:t>CCPR/C/</w:t>
        </w:r>
        <w:r w:rsidRPr="006C4428">
          <w:rPr>
            <w:rStyle w:val="Hyperlink"/>
          </w:rPr>
          <w:t>58</w:t>
        </w:r>
        <w:r w:rsidRPr="00BD2E54">
          <w:rPr>
            <w:rStyle w:val="Hyperlink"/>
          </w:rPr>
          <w:t>/D/</w:t>
        </w:r>
        <w:r w:rsidRPr="006C4428">
          <w:rPr>
            <w:rStyle w:val="Hyperlink"/>
          </w:rPr>
          <w:t>674</w:t>
        </w:r>
        <w:r w:rsidRPr="00BD2E54">
          <w:rPr>
            <w:rStyle w:val="Hyperlink"/>
          </w:rPr>
          <w:t>/</w:t>
        </w:r>
        <w:r w:rsidRPr="006C4428">
          <w:rPr>
            <w:rStyle w:val="Hyperlink"/>
          </w:rPr>
          <w:t>1995</w:t>
        </w:r>
      </w:hyperlink>
      <w:r w:rsidRPr="00BD2E54">
        <w:rPr>
          <w:rtl/>
        </w:rPr>
        <w:t xml:space="preserve">)، </w:t>
      </w:r>
      <w:r w:rsidRPr="00CF274D">
        <w:rPr>
          <w:rtl/>
        </w:rPr>
        <w:t xml:space="preserve">الفقرة </w:t>
      </w:r>
      <w:r w:rsidRPr="006C4428">
        <w:rPr>
          <w:rtl/>
        </w:rPr>
        <w:t>6</w:t>
      </w:r>
      <w:r w:rsidRPr="00CF274D">
        <w:rPr>
          <w:rtl/>
        </w:rPr>
        <w:t>-</w:t>
      </w:r>
      <w:r w:rsidRPr="006C4428">
        <w:rPr>
          <w:rtl/>
        </w:rPr>
        <w:t>2</w:t>
      </w:r>
      <w:r w:rsidRPr="00CF274D">
        <w:rPr>
          <w:rtl/>
        </w:rPr>
        <w:t xml:space="preserve">، </w:t>
      </w:r>
      <w:r w:rsidRPr="00647AA7">
        <w:rPr>
          <w:rtl/>
        </w:rPr>
        <w:t>و</w:t>
      </w:r>
      <w:r w:rsidRPr="006C4428">
        <w:rPr>
          <w:i/>
          <w:iCs/>
          <w:rtl/>
        </w:rPr>
        <w:t>د. ج. وآخرون ضد الفلبين</w:t>
      </w:r>
      <w:r w:rsidRPr="00CF274D">
        <w:rPr>
          <w:rtl/>
        </w:rPr>
        <w:t xml:space="preserve"> (</w:t>
      </w:r>
      <w:hyperlink r:id="rId8" w:history="1">
        <w:r w:rsidRPr="00BD2E54">
          <w:rPr>
            <w:rStyle w:val="Hyperlink"/>
          </w:rPr>
          <w:t>CCPR/C/</w:t>
        </w:r>
        <w:r w:rsidRPr="006C4428">
          <w:rPr>
            <w:rStyle w:val="Hyperlink"/>
          </w:rPr>
          <w:t>128</w:t>
        </w:r>
        <w:r w:rsidRPr="00BD2E54">
          <w:rPr>
            <w:rStyle w:val="Hyperlink"/>
          </w:rPr>
          <w:t>/D/</w:t>
        </w:r>
        <w:r w:rsidRPr="006C4428">
          <w:rPr>
            <w:rStyle w:val="Hyperlink"/>
          </w:rPr>
          <w:t>2568</w:t>
        </w:r>
        <w:r w:rsidRPr="00BD2E54">
          <w:rPr>
            <w:rStyle w:val="Hyperlink"/>
          </w:rPr>
          <w:t>/</w:t>
        </w:r>
        <w:r w:rsidRPr="006C4428">
          <w:rPr>
            <w:rStyle w:val="Hyperlink"/>
          </w:rPr>
          <w:t>2015</w:t>
        </w:r>
      </w:hyperlink>
      <w:r w:rsidRPr="00BD2E54">
        <w:rPr>
          <w:rtl/>
        </w:rPr>
        <w:t xml:space="preserve">)، </w:t>
      </w:r>
      <w:r w:rsidRPr="00CF274D">
        <w:rPr>
          <w:rtl/>
        </w:rPr>
        <w:t xml:space="preserve">الفقرة </w:t>
      </w:r>
      <w:r w:rsidRPr="006C4428">
        <w:rPr>
          <w:rtl/>
        </w:rPr>
        <w:t>6</w:t>
      </w:r>
      <w:r w:rsidRPr="00CF274D">
        <w:rPr>
          <w:rtl/>
        </w:rPr>
        <w:t>-</w:t>
      </w:r>
      <w:r w:rsidRPr="006C4428">
        <w:rPr>
          <w:rtl/>
        </w:rPr>
        <w:t>3</w:t>
      </w:r>
      <w:r w:rsidRPr="00BD2E54">
        <w:rPr>
          <w:rtl/>
        </w:rPr>
        <w:t xml:space="preserve">. </w:t>
      </w:r>
      <w:r w:rsidRPr="00CF274D">
        <w:rPr>
          <w:rtl/>
        </w:rPr>
        <w:t>وانظر أيضا</w:t>
      </w:r>
      <w:r w:rsidR="00540D67">
        <w:rPr>
          <w:rFonts w:hint="cs"/>
          <w:rtl/>
        </w:rPr>
        <w:t>ً</w:t>
      </w:r>
      <w:r w:rsidRPr="00CF274D">
        <w:rPr>
          <w:rtl/>
        </w:rPr>
        <w:t xml:space="preserve"> أ</w:t>
      </w:r>
      <w:r w:rsidRPr="006C4428">
        <w:rPr>
          <w:i/>
          <w:iCs/>
          <w:rtl/>
        </w:rPr>
        <w:t>. م. ضد إيطاليا</w:t>
      </w:r>
      <w:r w:rsidRPr="00CF274D">
        <w:rPr>
          <w:rtl/>
        </w:rPr>
        <w:t xml:space="preserve">، البلاغ رقم </w:t>
      </w:r>
      <w:r w:rsidRPr="006C4428">
        <w:rPr>
          <w:rtl/>
        </w:rPr>
        <w:t>266</w:t>
      </w:r>
      <w:r w:rsidRPr="00CF274D">
        <w:rPr>
          <w:rtl/>
        </w:rPr>
        <w:t>/</w:t>
      </w:r>
      <w:r w:rsidRPr="006C4428">
        <w:rPr>
          <w:rtl/>
        </w:rPr>
        <w:t>1987</w:t>
      </w:r>
      <w:r w:rsidRPr="00CF274D">
        <w:rPr>
          <w:rtl/>
        </w:rPr>
        <w:t xml:space="preserve">، الفقرة </w:t>
      </w:r>
      <w:r w:rsidRPr="006C4428">
        <w:rPr>
          <w:rtl/>
        </w:rPr>
        <w:t>7</w:t>
      </w:r>
      <w:r w:rsidRPr="00CF274D">
        <w:rPr>
          <w:rtl/>
        </w:rPr>
        <w:t>-</w:t>
      </w:r>
      <w:r w:rsidRPr="006C4428">
        <w:rPr>
          <w:rtl/>
        </w:rPr>
        <w:t>3</w:t>
      </w:r>
      <w:r w:rsidRPr="00BD2E54">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5FA0" w14:textId="0F67FCA5" w:rsidR="002F5EDC" w:rsidRPr="002F5EDC" w:rsidRDefault="002F5EDC" w:rsidP="002F5EDC">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B46CCA">
      <w:t>CCPR/C/134/D/3587/2019</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0C54E" w14:textId="67ED6B88" w:rsidR="002F5EDC" w:rsidRPr="002F5EDC" w:rsidRDefault="002F5EDC" w:rsidP="002F5EDC">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B46CCA">
      <w:t>CCPR/C/134/D/3587/2019</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16cid:durableId="1615016459">
    <w:abstractNumId w:val="15"/>
  </w:num>
  <w:num w:numId="2" w16cid:durableId="558715199">
    <w:abstractNumId w:val="12"/>
  </w:num>
  <w:num w:numId="3" w16cid:durableId="568729376">
    <w:abstractNumId w:val="2"/>
  </w:num>
  <w:num w:numId="4" w16cid:durableId="421531880">
    <w:abstractNumId w:val="11"/>
  </w:num>
  <w:num w:numId="5" w16cid:durableId="2011251688">
    <w:abstractNumId w:val="8"/>
  </w:num>
  <w:num w:numId="6" w16cid:durableId="2025008646">
    <w:abstractNumId w:val="5"/>
  </w:num>
  <w:num w:numId="7" w16cid:durableId="1455447707">
    <w:abstractNumId w:val="17"/>
  </w:num>
  <w:num w:numId="8" w16cid:durableId="1856267112">
    <w:abstractNumId w:val="2"/>
  </w:num>
  <w:num w:numId="9" w16cid:durableId="1418400683">
    <w:abstractNumId w:val="11"/>
  </w:num>
  <w:num w:numId="10" w16cid:durableId="1393963665">
    <w:abstractNumId w:val="5"/>
  </w:num>
  <w:num w:numId="11" w16cid:durableId="1278683607">
    <w:abstractNumId w:val="17"/>
  </w:num>
  <w:num w:numId="12" w16cid:durableId="2099473127">
    <w:abstractNumId w:val="2"/>
  </w:num>
  <w:num w:numId="13" w16cid:durableId="1845316591">
    <w:abstractNumId w:val="11"/>
  </w:num>
  <w:num w:numId="14" w16cid:durableId="558244879">
    <w:abstractNumId w:val="8"/>
  </w:num>
  <w:num w:numId="15" w16cid:durableId="537474375">
    <w:abstractNumId w:val="5"/>
  </w:num>
  <w:num w:numId="16" w16cid:durableId="394745163">
    <w:abstractNumId w:val="17"/>
  </w:num>
  <w:num w:numId="17" w16cid:durableId="1393310721">
    <w:abstractNumId w:val="4"/>
  </w:num>
  <w:num w:numId="18" w16cid:durableId="1557204467">
    <w:abstractNumId w:val="3"/>
  </w:num>
  <w:num w:numId="19" w16cid:durableId="1981153527">
    <w:abstractNumId w:val="16"/>
  </w:num>
  <w:num w:numId="20" w16cid:durableId="518084958">
    <w:abstractNumId w:val="13"/>
  </w:num>
  <w:num w:numId="21" w16cid:durableId="1163086271">
    <w:abstractNumId w:val="1"/>
  </w:num>
  <w:num w:numId="22" w16cid:durableId="1557931145">
    <w:abstractNumId w:val="14"/>
  </w:num>
  <w:num w:numId="23" w16cid:durableId="920263001">
    <w:abstractNumId w:val="0"/>
  </w:num>
  <w:num w:numId="24" w16cid:durableId="456879157">
    <w:abstractNumId w:val="9"/>
  </w:num>
  <w:num w:numId="25" w16cid:durableId="354691354">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16cid:durableId="8346873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8223291">
    <w:abstractNumId w:val="0"/>
    <w:lvlOverride w:ilvl="0">
      <w:lvl w:ilvl="0" w:tplc="2FB47626">
        <w:start w:val="1"/>
        <w:numFmt w:val="decimal"/>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16cid:durableId="1571884188">
    <w:abstractNumId w:val="0"/>
    <w:lvlOverride w:ilvl="0">
      <w:startOverride w:val="153"/>
      <w:lvl w:ilvl="0" w:tplc="2FB47626">
        <w:start w:val="153"/>
        <w:numFmt w:val="decimal"/>
        <w:lvlText w:val="%1-"/>
        <w:lvlJc w:val="left"/>
        <w:pPr>
          <w:tabs>
            <w:tab w:val="num" w:pos="0"/>
          </w:tabs>
          <w:ind w:left="1134" w:firstLine="0"/>
        </w:pPr>
        <w:rPr>
          <w:rFonts w:ascii="Times New Roman" w:hAnsi="Times New Roman" w:hint="default"/>
          <w:b w:val="0"/>
          <w:i w:val="0"/>
          <w:sz w:val="20"/>
        </w:rPr>
      </w:lvl>
    </w:lvlOverride>
  </w:num>
  <w:num w:numId="29" w16cid:durableId="1870727027">
    <w:abstractNumId w:val="0"/>
    <w:lvlOverride w:ilvl="0">
      <w:startOverride w:val="151"/>
      <w:lvl w:ilvl="0" w:tplc="2FB47626">
        <w:start w:val="151"/>
        <w:numFmt w:val="decimal"/>
        <w:lvlText w:val="%1-"/>
        <w:lvlJc w:val="left"/>
        <w:pPr>
          <w:tabs>
            <w:tab w:val="num" w:pos="0"/>
          </w:tabs>
          <w:ind w:left="1134" w:firstLine="0"/>
        </w:pPr>
        <w:rPr>
          <w:rFonts w:ascii="Times New Roman" w:hAnsi="Times New Roman" w:hint="default"/>
          <w:b w:val="0"/>
          <w:i w:val="0"/>
          <w:sz w:val="20"/>
        </w:rPr>
      </w:lvl>
    </w:lvlOverride>
  </w:num>
  <w:num w:numId="30" w16cid:durableId="1423259091">
    <w:abstractNumId w:val="7"/>
  </w:num>
  <w:num w:numId="31" w16cid:durableId="112211030">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16cid:durableId="20290665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8F2"/>
    <w:rsid w:val="000076D5"/>
    <w:rsid w:val="00043663"/>
    <w:rsid w:val="000437B8"/>
    <w:rsid w:val="000505CF"/>
    <w:rsid w:val="000D701C"/>
    <w:rsid w:val="000E2A71"/>
    <w:rsid w:val="00145577"/>
    <w:rsid w:val="00160263"/>
    <w:rsid w:val="00181F96"/>
    <w:rsid w:val="00185CFF"/>
    <w:rsid w:val="001872B1"/>
    <w:rsid w:val="001A1371"/>
    <w:rsid w:val="001B043F"/>
    <w:rsid w:val="001B346A"/>
    <w:rsid w:val="001C116C"/>
    <w:rsid w:val="001E1CAD"/>
    <w:rsid w:val="001E290D"/>
    <w:rsid w:val="001E5257"/>
    <w:rsid w:val="002144FA"/>
    <w:rsid w:val="0023469A"/>
    <w:rsid w:val="00243C8A"/>
    <w:rsid w:val="00251276"/>
    <w:rsid w:val="00267A0E"/>
    <w:rsid w:val="002901D9"/>
    <w:rsid w:val="002976C2"/>
    <w:rsid w:val="002D7508"/>
    <w:rsid w:val="002F5EDC"/>
    <w:rsid w:val="003068BC"/>
    <w:rsid w:val="003260FF"/>
    <w:rsid w:val="00343D95"/>
    <w:rsid w:val="00363A18"/>
    <w:rsid w:val="00374341"/>
    <w:rsid w:val="003B4237"/>
    <w:rsid w:val="003D1062"/>
    <w:rsid w:val="00402051"/>
    <w:rsid w:val="00420D7B"/>
    <w:rsid w:val="00450B21"/>
    <w:rsid w:val="00451141"/>
    <w:rsid w:val="00453B63"/>
    <w:rsid w:val="00455780"/>
    <w:rsid w:val="0046323F"/>
    <w:rsid w:val="004B0A1C"/>
    <w:rsid w:val="004B27E0"/>
    <w:rsid w:val="004D298E"/>
    <w:rsid w:val="005044B3"/>
    <w:rsid w:val="00517BC9"/>
    <w:rsid w:val="00540D67"/>
    <w:rsid w:val="0054472E"/>
    <w:rsid w:val="005662A9"/>
    <w:rsid w:val="005827D4"/>
    <w:rsid w:val="0058508B"/>
    <w:rsid w:val="0059622A"/>
    <w:rsid w:val="005B51C4"/>
    <w:rsid w:val="005C0061"/>
    <w:rsid w:val="005C5878"/>
    <w:rsid w:val="005C7CEA"/>
    <w:rsid w:val="005D3C0B"/>
    <w:rsid w:val="005E5217"/>
    <w:rsid w:val="005F0FA4"/>
    <w:rsid w:val="005F30EE"/>
    <w:rsid w:val="005F5271"/>
    <w:rsid w:val="0060473A"/>
    <w:rsid w:val="00617024"/>
    <w:rsid w:val="00621120"/>
    <w:rsid w:val="00647AA7"/>
    <w:rsid w:val="00652221"/>
    <w:rsid w:val="00656392"/>
    <w:rsid w:val="006645EC"/>
    <w:rsid w:val="0068781D"/>
    <w:rsid w:val="006959B0"/>
    <w:rsid w:val="006B3E27"/>
    <w:rsid w:val="006B6507"/>
    <w:rsid w:val="006C104C"/>
    <w:rsid w:val="006C4428"/>
    <w:rsid w:val="006C632E"/>
    <w:rsid w:val="006D3B4D"/>
    <w:rsid w:val="00717FB3"/>
    <w:rsid w:val="00730446"/>
    <w:rsid w:val="00733704"/>
    <w:rsid w:val="0078071A"/>
    <w:rsid w:val="00787022"/>
    <w:rsid w:val="00787E1E"/>
    <w:rsid w:val="007B6F48"/>
    <w:rsid w:val="007C3D8A"/>
    <w:rsid w:val="007E54A6"/>
    <w:rsid w:val="00852A9A"/>
    <w:rsid w:val="008A49D2"/>
    <w:rsid w:val="008D59DD"/>
    <w:rsid w:val="008F49E1"/>
    <w:rsid w:val="0090370F"/>
    <w:rsid w:val="009077C3"/>
    <w:rsid w:val="0091683F"/>
    <w:rsid w:val="009269D2"/>
    <w:rsid w:val="00942135"/>
    <w:rsid w:val="009521B0"/>
    <w:rsid w:val="00957437"/>
    <w:rsid w:val="00982139"/>
    <w:rsid w:val="009867A8"/>
    <w:rsid w:val="00991F44"/>
    <w:rsid w:val="00996849"/>
    <w:rsid w:val="009A0CFB"/>
    <w:rsid w:val="009A7E9F"/>
    <w:rsid w:val="009C17EC"/>
    <w:rsid w:val="009E5018"/>
    <w:rsid w:val="00A03700"/>
    <w:rsid w:val="00A053F2"/>
    <w:rsid w:val="00A12B37"/>
    <w:rsid w:val="00A54828"/>
    <w:rsid w:val="00A700DE"/>
    <w:rsid w:val="00A738F2"/>
    <w:rsid w:val="00A81B9C"/>
    <w:rsid w:val="00A97E1F"/>
    <w:rsid w:val="00AB512E"/>
    <w:rsid w:val="00AB6758"/>
    <w:rsid w:val="00AB727F"/>
    <w:rsid w:val="00B13763"/>
    <w:rsid w:val="00B46CCA"/>
    <w:rsid w:val="00B477A4"/>
    <w:rsid w:val="00B54045"/>
    <w:rsid w:val="00B63ADD"/>
    <w:rsid w:val="00BB09A0"/>
    <w:rsid w:val="00BD2E54"/>
    <w:rsid w:val="00C175A6"/>
    <w:rsid w:val="00C40CF0"/>
    <w:rsid w:val="00C41DCF"/>
    <w:rsid w:val="00C42AF7"/>
    <w:rsid w:val="00C438D7"/>
    <w:rsid w:val="00C62C20"/>
    <w:rsid w:val="00C81B50"/>
    <w:rsid w:val="00C902EF"/>
    <w:rsid w:val="00CB0011"/>
    <w:rsid w:val="00CB6622"/>
    <w:rsid w:val="00CD1801"/>
    <w:rsid w:val="00CE4C56"/>
    <w:rsid w:val="00CF17BF"/>
    <w:rsid w:val="00CF274D"/>
    <w:rsid w:val="00CF56F9"/>
    <w:rsid w:val="00CF65C6"/>
    <w:rsid w:val="00D00A89"/>
    <w:rsid w:val="00D04D4C"/>
    <w:rsid w:val="00D10EF1"/>
    <w:rsid w:val="00D42810"/>
    <w:rsid w:val="00D60DD5"/>
    <w:rsid w:val="00D914A7"/>
    <w:rsid w:val="00DC4D4B"/>
    <w:rsid w:val="00DD13C3"/>
    <w:rsid w:val="00DD596E"/>
    <w:rsid w:val="00DD621E"/>
    <w:rsid w:val="00DE50B1"/>
    <w:rsid w:val="00DF0138"/>
    <w:rsid w:val="00DF0575"/>
    <w:rsid w:val="00E2228E"/>
    <w:rsid w:val="00E70E04"/>
    <w:rsid w:val="00E7484C"/>
    <w:rsid w:val="00E77E6C"/>
    <w:rsid w:val="00E83ED5"/>
    <w:rsid w:val="00EC05A7"/>
    <w:rsid w:val="00EC4B6B"/>
    <w:rsid w:val="00EC68A5"/>
    <w:rsid w:val="00ED7442"/>
    <w:rsid w:val="00EF1EE5"/>
    <w:rsid w:val="00EF5C43"/>
    <w:rsid w:val="00F10DAB"/>
    <w:rsid w:val="00F167EC"/>
    <w:rsid w:val="00F46D42"/>
    <w:rsid w:val="00F763B4"/>
    <w:rsid w:val="00F900C3"/>
    <w:rsid w:val="00FB721F"/>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5834BD"/>
  <w15:docId w15:val="{814C687C-BFAD-4176-A233-967D6C7C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237"/>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3B4237"/>
    <w:pPr>
      <w:bidi w:val="0"/>
      <w:outlineLvl w:val="0"/>
    </w:pPr>
  </w:style>
  <w:style w:type="paragraph" w:styleId="Heading2">
    <w:name w:val="heading 2"/>
    <w:basedOn w:val="Normal"/>
    <w:next w:val="Normal"/>
    <w:link w:val="Heading2Char"/>
    <w:uiPriority w:val="9"/>
    <w:unhideWhenUsed/>
    <w:rsid w:val="003B4237"/>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3B4237"/>
    <w:pPr>
      <w:keepNext/>
      <w:keepLines/>
      <w:spacing w:before="200"/>
      <w:outlineLvl w:val="2"/>
    </w:pPr>
    <w:rPr>
      <w:b/>
      <w:bCs/>
      <w:color w:val="4F81BD"/>
    </w:rPr>
  </w:style>
  <w:style w:type="paragraph" w:styleId="Heading4">
    <w:name w:val="heading 4"/>
    <w:basedOn w:val="Normal"/>
    <w:next w:val="Normal"/>
    <w:link w:val="Heading4Char"/>
    <w:uiPriority w:val="9"/>
    <w:unhideWhenUsed/>
    <w:rsid w:val="003B4237"/>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3B4237"/>
    <w:pPr>
      <w:keepNext/>
      <w:keepLines/>
      <w:spacing w:before="200"/>
      <w:outlineLvl w:val="4"/>
    </w:pPr>
    <w:rPr>
      <w:color w:val="243F60"/>
    </w:rPr>
  </w:style>
  <w:style w:type="paragraph" w:styleId="Heading6">
    <w:name w:val="heading 6"/>
    <w:basedOn w:val="Normal"/>
    <w:next w:val="Normal"/>
    <w:link w:val="Heading6Char"/>
    <w:uiPriority w:val="9"/>
    <w:unhideWhenUsed/>
    <w:rsid w:val="003B4237"/>
    <w:pPr>
      <w:keepNext/>
      <w:keepLines/>
      <w:spacing w:before="200"/>
      <w:outlineLvl w:val="5"/>
    </w:pPr>
    <w:rPr>
      <w:i/>
      <w:iCs/>
      <w:color w:val="243F60"/>
    </w:rPr>
  </w:style>
  <w:style w:type="paragraph" w:styleId="Heading7">
    <w:name w:val="heading 7"/>
    <w:basedOn w:val="Normal"/>
    <w:next w:val="Normal"/>
    <w:link w:val="Heading7Char"/>
    <w:uiPriority w:val="9"/>
    <w:unhideWhenUsed/>
    <w:rsid w:val="003B4237"/>
    <w:pPr>
      <w:keepNext/>
      <w:keepLines/>
      <w:spacing w:before="200"/>
      <w:outlineLvl w:val="6"/>
    </w:pPr>
    <w:rPr>
      <w:i/>
      <w:iCs/>
      <w:color w:val="404040"/>
    </w:rPr>
  </w:style>
  <w:style w:type="paragraph" w:styleId="Heading8">
    <w:name w:val="heading 8"/>
    <w:basedOn w:val="Normal"/>
    <w:next w:val="Normal"/>
    <w:link w:val="Heading8Char"/>
    <w:uiPriority w:val="9"/>
    <w:unhideWhenUsed/>
    <w:rsid w:val="003B4237"/>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3B4237"/>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A">
    <w:name w:val="_ H __M_GA"/>
    <w:basedOn w:val="Normal"/>
    <w:next w:val="SingleTxtGA"/>
    <w:qFormat/>
    <w:rsid w:val="003B4237"/>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3B4237"/>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3B4237"/>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3B4237"/>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3B4237"/>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3B4237"/>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3B4237"/>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3B4237"/>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3B4237"/>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3B4237"/>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3B4237"/>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3B4237"/>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3B4237"/>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3B4237"/>
    <w:pPr>
      <w:numPr>
        <w:numId w:val="5"/>
      </w:numPr>
      <w:bidi w:val="0"/>
    </w:pPr>
    <w:rPr>
      <w:lang w:val="en-US"/>
    </w:rPr>
  </w:style>
  <w:style w:type="paragraph" w:customStyle="1" w:styleId="Roman1GA">
    <w:name w:val="_Roman 1_GA"/>
    <w:basedOn w:val="Bullet1GA"/>
    <w:qFormat/>
    <w:rsid w:val="003B4237"/>
    <w:pPr>
      <w:numPr>
        <w:numId w:val="6"/>
      </w:numPr>
      <w:tabs>
        <w:tab w:val="clear" w:pos="2310"/>
        <w:tab w:val="left" w:pos="2486"/>
      </w:tabs>
      <w:ind w:left="2486" w:hanging="378"/>
    </w:pPr>
  </w:style>
  <w:style w:type="paragraph" w:customStyle="1" w:styleId="Roman2GA">
    <w:name w:val="_Roman 2_GA"/>
    <w:basedOn w:val="Bullet2GA"/>
    <w:qFormat/>
    <w:rsid w:val="003B4237"/>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qFormat/>
    <w:rsid w:val="003B4237"/>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rsid w:val="003B4237"/>
    <w:rPr>
      <w:rFonts w:ascii="Times New Roman" w:eastAsia="PMingLiU" w:hAnsi="Times New Roman" w:cs="Simplified Arabic"/>
      <w:sz w:val="18"/>
      <w:lang w:val="en-GB" w:eastAsia="en-US"/>
    </w:rPr>
  </w:style>
  <w:style w:type="character" w:customStyle="1" w:styleId="EndtnoteReference">
    <w:name w:val="Endtnote Reference"/>
    <w:aliases w:val="1_GA"/>
    <w:qFormat/>
    <w:rsid w:val="003B4237"/>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3B4237"/>
    <w:pPr>
      <w:suppressAutoHyphens/>
      <w:bidi w:val="0"/>
      <w:spacing w:line="240" w:lineRule="auto"/>
    </w:pPr>
    <w:rPr>
      <w:sz w:val="16"/>
      <w:lang w:val="en-GB"/>
    </w:rPr>
  </w:style>
  <w:style w:type="character" w:customStyle="1" w:styleId="FooterChar">
    <w:name w:val="Footer Char"/>
    <w:aliases w:val="3_GA Char,3_G Char"/>
    <w:link w:val="Footer"/>
    <w:rsid w:val="003B4237"/>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3B4237"/>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3B4237"/>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3B4237"/>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3B4237"/>
    <w:rPr>
      <w:rFonts w:ascii="Times New Roman" w:eastAsia="PMingLiU" w:hAnsi="Times New Roman" w:cs="Simplified Arabic"/>
      <w:sz w:val="22"/>
      <w:szCs w:val="22"/>
      <w:lang w:val="en-GB" w:eastAsia="en-US"/>
    </w:rPr>
  </w:style>
  <w:style w:type="character" w:styleId="PageNumber">
    <w:name w:val="page number"/>
    <w:aliases w:val="7_GA,7_G"/>
    <w:qFormat/>
    <w:rsid w:val="003B4237"/>
    <w:rPr>
      <w:rFonts w:ascii="Times New Roman Bold" w:hAnsi="Times New Roman Bold"/>
      <w:b/>
      <w:i w:val="0"/>
      <w:sz w:val="18"/>
      <w:szCs w:val="18"/>
    </w:rPr>
  </w:style>
  <w:style w:type="paragraph" w:customStyle="1" w:styleId="XXLargeGA">
    <w:name w:val="XXLarge_GA"/>
    <w:basedOn w:val="Normal"/>
    <w:next w:val="SingleTxtGA"/>
    <w:qFormat/>
    <w:rsid w:val="003B4237"/>
    <w:pPr>
      <w:suppressAutoHyphens/>
      <w:spacing w:line="820" w:lineRule="exact"/>
    </w:pPr>
    <w:rPr>
      <w:spacing w:val="-8"/>
      <w:w w:val="96"/>
      <w:sz w:val="57"/>
      <w:szCs w:val="86"/>
      <w:lang w:val="en-GB"/>
    </w:rPr>
  </w:style>
  <w:style w:type="character" w:customStyle="1" w:styleId="Heading2Char">
    <w:name w:val="Heading 2 Char"/>
    <w:link w:val="Heading2"/>
    <w:uiPriority w:val="9"/>
    <w:rsid w:val="003B4237"/>
    <w:rPr>
      <w:rFonts w:ascii="Times New Roman" w:eastAsia="PMingLiU" w:hAnsi="Times New Roman" w:cs="Simplified Arabic"/>
      <w:b/>
      <w:bCs/>
      <w:color w:val="4F81BD"/>
      <w:sz w:val="26"/>
      <w:szCs w:val="26"/>
      <w:lang w:eastAsia="en-US"/>
    </w:rPr>
  </w:style>
  <w:style w:type="character" w:customStyle="1" w:styleId="Heading3Char">
    <w:name w:val="Heading 3 Char"/>
    <w:link w:val="Heading3"/>
    <w:uiPriority w:val="9"/>
    <w:rsid w:val="003B4237"/>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3B4237"/>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3B4237"/>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3B4237"/>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3B4237"/>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3B4237"/>
    <w:rPr>
      <w:rFonts w:ascii="Times New Roman" w:eastAsia="PMingLiU" w:hAnsi="Times New Roman" w:cs="Simplified Arabic"/>
      <w:color w:val="404040"/>
      <w:lang w:eastAsia="en-US"/>
    </w:rPr>
  </w:style>
  <w:style w:type="character" w:customStyle="1" w:styleId="Heading9Char">
    <w:name w:val="Heading 9 Char"/>
    <w:link w:val="Heading9"/>
    <w:uiPriority w:val="9"/>
    <w:rsid w:val="003B4237"/>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3B4237"/>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3B4237"/>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3B4237"/>
    <w:pPr>
      <w:numPr>
        <w:ilvl w:val="1"/>
      </w:numPr>
    </w:pPr>
    <w:rPr>
      <w:i/>
      <w:iCs/>
      <w:color w:val="4F81BD"/>
      <w:spacing w:val="15"/>
      <w:sz w:val="24"/>
      <w:szCs w:val="24"/>
    </w:rPr>
  </w:style>
  <w:style w:type="character" w:customStyle="1" w:styleId="SubtitleChar">
    <w:name w:val="Subtitle Char"/>
    <w:link w:val="Subtitle"/>
    <w:uiPriority w:val="11"/>
    <w:rsid w:val="003B4237"/>
    <w:rPr>
      <w:rFonts w:ascii="Times New Roman" w:eastAsia="PMingLiU" w:hAnsi="Times New Roman" w:cs="Simplified Arabic"/>
      <w:i/>
      <w:iCs/>
      <w:color w:val="4F81BD"/>
      <w:spacing w:val="15"/>
      <w:sz w:val="24"/>
      <w:szCs w:val="24"/>
      <w:lang w:eastAsia="en-US"/>
    </w:rPr>
  </w:style>
  <w:style w:type="character" w:styleId="Strong">
    <w:name w:val="Strong"/>
    <w:uiPriority w:val="22"/>
    <w:rsid w:val="003B4237"/>
    <w:rPr>
      <w:b/>
      <w:bCs/>
    </w:rPr>
  </w:style>
  <w:style w:type="table" w:styleId="TableGrid">
    <w:name w:val="Table Grid"/>
    <w:basedOn w:val="TableNormal"/>
    <w:rsid w:val="003B4237"/>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B4237"/>
    <w:rPr>
      <w:color w:val="0000FF"/>
      <w:u w:val="none"/>
    </w:rPr>
  </w:style>
  <w:style w:type="paragraph" w:styleId="TOC1">
    <w:name w:val="toc 1"/>
    <w:basedOn w:val="Normal"/>
    <w:link w:val="TOC1Char"/>
    <w:autoRedefine/>
    <w:uiPriority w:val="39"/>
    <w:unhideWhenUsed/>
    <w:rsid w:val="003B4237"/>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3B4237"/>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3B4237"/>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3B4237"/>
    <w:rPr>
      <w:rFonts w:eastAsia="DengXian"/>
      <w:color w:val="auto"/>
      <w:sz w:val="20"/>
      <w:szCs w:val="20"/>
      <w:u w:val="none"/>
      <w:lang w:eastAsia="zh-CN" w:bidi="ar-EG"/>
    </w:rPr>
  </w:style>
  <w:style w:type="paragraph" w:styleId="TOC4">
    <w:name w:val="toc 4"/>
    <w:basedOn w:val="Normal"/>
    <w:link w:val="TOC4Char"/>
    <w:autoRedefine/>
    <w:uiPriority w:val="39"/>
    <w:unhideWhenUsed/>
    <w:rsid w:val="003B4237"/>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3B4237"/>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3B4237"/>
    <w:pPr>
      <w:tabs>
        <w:tab w:val="left" w:pos="2325"/>
        <w:tab w:val="left" w:leader="dot" w:pos="9065"/>
        <w:tab w:val="right" w:pos="9639"/>
      </w:tabs>
      <w:suppressAutoHyphens/>
      <w:spacing w:line="340" w:lineRule="exact"/>
      <w:ind w:left="2886" w:right="567" w:hanging="680"/>
    </w:pPr>
    <w:rPr>
      <w:szCs w:val="20"/>
      <w:lang w:val="en-GB"/>
    </w:rPr>
  </w:style>
  <w:style w:type="table" w:customStyle="1" w:styleId="TABLEA">
    <w:name w:val="TABLE_A"/>
    <w:basedOn w:val="TableNormal"/>
    <w:uiPriority w:val="99"/>
    <w:rsid w:val="003B4237"/>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3B4237"/>
    <w:rPr>
      <w:rFonts w:ascii="Times New Roman" w:eastAsia="PMingLiU" w:hAnsi="Times New Roman" w:cs="Simplified Arabic"/>
      <w:sz w:val="22"/>
      <w:szCs w:val="22"/>
      <w:lang w:val="en-GB" w:eastAsia="en-US"/>
    </w:rPr>
  </w:style>
  <w:style w:type="character" w:customStyle="1" w:styleId="TOC1Char">
    <w:name w:val="TOC 1 Char"/>
    <w:basedOn w:val="DefaultParagraphFont"/>
    <w:link w:val="TOC1"/>
    <w:uiPriority w:val="39"/>
    <w:rsid w:val="003B4237"/>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3B4237"/>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3B4237"/>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3B4237"/>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3B4237"/>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3B4237"/>
    <w:rPr>
      <w:rFonts w:ascii="Times New Roman" w:eastAsia="PMingLiU" w:hAnsi="Times New Roman" w:cs="Simplified Arabic"/>
      <w:lang w:val="en-GB" w:eastAsia="en-US"/>
    </w:rPr>
  </w:style>
  <w:style w:type="paragraph" w:customStyle="1" w:styleId="NormalA">
    <w:name w:val="Normal_A"/>
    <w:basedOn w:val="Normal"/>
    <w:qFormat/>
    <w:rsid w:val="003B4237"/>
  </w:style>
  <w:style w:type="paragraph" w:customStyle="1" w:styleId="FootnoteGA">
    <w:name w:val="_Footnote_GA"/>
    <w:basedOn w:val="Normal"/>
    <w:qFormat/>
    <w:rsid w:val="003B4237"/>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3B4237"/>
    <w:rPr>
      <w:sz w:val="44"/>
      <w:szCs w:val="44"/>
      <w:lang w:val="en-US" w:bidi="ar-DZ"/>
    </w:rPr>
  </w:style>
  <w:style w:type="paragraph" w:customStyle="1" w:styleId="FootnoteGA0">
    <w:name w:val="Footnote_GA"/>
    <w:basedOn w:val="Normal"/>
    <w:qFormat/>
    <w:rsid w:val="003B4237"/>
    <w:pPr>
      <w:spacing w:after="60" w:line="280" w:lineRule="exact"/>
      <w:ind w:left="1247" w:right="1247" w:hanging="567"/>
    </w:pPr>
    <w:rPr>
      <w:sz w:val="18"/>
      <w:szCs w:val="18"/>
      <w:lang w:val="es-ES_tradnl" w:eastAsia="zh-TW"/>
    </w:rPr>
  </w:style>
  <w:style w:type="paragraph" w:customStyle="1" w:styleId="Small">
    <w:name w:val="Small"/>
    <w:basedOn w:val="Normal"/>
    <w:next w:val="Normal"/>
    <w:qFormat/>
    <w:rsid w:val="003B4237"/>
    <w:pPr>
      <w:tabs>
        <w:tab w:val="right" w:leader="dot" w:pos="360"/>
      </w:tabs>
      <w:spacing w:line="310" w:lineRule="exact"/>
      <w:jc w:val="right"/>
    </w:pPr>
    <w:rPr>
      <w:spacing w:val="5"/>
      <w:w w:val="104"/>
      <w:kern w:val="14"/>
      <w:sz w:val="17"/>
      <w:szCs w:val="25"/>
    </w:rPr>
  </w:style>
  <w:style w:type="paragraph" w:customStyle="1" w:styleId="SmallX">
    <w:name w:val="SmallX"/>
    <w:basedOn w:val="Small"/>
    <w:next w:val="Normal"/>
    <w:qFormat/>
    <w:rsid w:val="003B4237"/>
    <w:pPr>
      <w:spacing w:line="240" w:lineRule="exact"/>
    </w:pPr>
    <w:rPr>
      <w:spacing w:val="6"/>
      <w:w w:val="106"/>
      <w:sz w:val="14"/>
      <w:szCs w:val="21"/>
    </w:rPr>
  </w:style>
  <w:style w:type="paragraph" w:customStyle="1" w:styleId="Original">
    <w:name w:val="Original"/>
    <w:basedOn w:val="Normal"/>
    <w:next w:val="Normal"/>
    <w:qFormat/>
    <w:rsid w:val="003B4237"/>
    <w:pPr>
      <w:tabs>
        <w:tab w:val="left" w:pos="662"/>
        <w:tab w:val="left" w:pos="1267"/>
        <w:tab w:val="left" w:pos="1987"/>
        <w:tab w:val="left" w:pos="2650"/>
      </w:tabs>
      <w:spacing w:line="240" w:lineRule="exact"/>
    </w:pPr>
    <w:rPr>
      <w:kern w:val="14"/>
      <w:szCs w:val="28"/>
    </w:rPr>
  </w:style>
  <w:style w:type="paragraph" w:customStyle="1" w:styleId="Sponsors">
    <w:name w:val="Sponsors"/>
    <w:basedOn w:val="Normal"/>
    <w:next w:val="Normal"/>
    <w:qFormat/>
    <w:rsid w:val="003B4237"/>
    <w:pPr>
      <w:keepNext/>
      <w:keepLines/>
      <w:tabs>
        <w:tab w:val="right" w:pos="1022"/>
        <w:tab w:val="left" w:pos="1267"/>
        <w:tab w:val="left" w:pos="1930"/>
        <w:tab w:val="left" w:pos="2592"/>
        <w:tab w:val="left" w:pos="3254"/>
      </w:tabs>
      <w:suppressAutoHyphens/>
      <w:spacing w:after="120" w:line="360" w:lineRule="exact"/>
      <w:ind w:left="1267" w:right="1267" w:hanging="1267"/>
      <w:outlineLvl w:val="1"/>
    </w:pPr>
    <w:rPr>
      <w:b/>
      <w:bCs/>
      <w:spacing w:val="2"/>
      <w:kern w:val="14"/>
      <w:szCs w:val="28"/>
    </w:rPr>
  </w:style>
  <w:style w:type="paragraph" w:styleId="Revision">
    <w:name w:val="Revision"/>
    <w:hidden/>
    <w:uiPriority w:val="99"/>
    <w:semiHidden/>
    <w:rsid w:val="003B4237"/>
    <w:rPr>
      <w:rFonts w:asciiTheme="minorHAnsi" w:eastAsiaTheme="minorEastAsia" w:hAnsiTheme="minorHAnsi" w:cstheme="minorBidi"/>
      <w:sz w:val="24"/>
      <w:szCs w:val="24"/>
      <w:lang w:val="fr-FR" w:eastAsia="fr-FR"/>
    </w:rPr>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STitleLGA">
    <w:name w:val="S_Title_L_GA"/>
    <w:basedOn w:val="SLGA"/>
    <w:qFormat/>
    <w:rsid w:val="003B4237"/>
    <w:rPr>
      <w:lang w:val="en-US" w:eastAsia="zh-TW"/>
    </w:rPr>
  </w:style>
  <w:style w:type="paragraph" w:customStyle="1" w:styleId="STitleMGA">
    <w:name w:val="S_Title_M_GA"/>
    <w:basedOn w:val="SMGA"/>
    <w:qFormat/>
    <w:rsid w:val="003B4237"/>
    <w:rPr>
      <w:lang w:eastAsia="zh-TW"/>
    </w:rPr>
  </w:style>
  <w:style w:type="paragraph" w:customStyle="1" w:styleId="STitleSGA">
    <w:name w:val="S_Title_S_GA"/>
    <w:basedOn w:val="SSGA"/>
    <w:qFormat/>
    <w:rsid w:val="003B4237"/>
    <w:rPr>
      <w:lang w:eastAsia="zh-TW"/>
    </w:rPr>
  </w:style>
  <w:style w:type="character" w:styleId="EndnoteReference">
    <w:name w:val="endnote reference"/>
    <w:aliases w:val="1_G"/>
    <w:basedOn w:val="DefaultParagraphFont"/>
    <w:unhideWhenUsed/>
    <w:qFormat/>
    <w:rsid w:val="00CF274D"/>
    <w:rPr>
      <w:vertAlign w:val="superscript"/>
    </w:rPr>
  </w:style>
  <w:style w:type="paragraph" w:styleId="FootnoteText">
    <w:name w:val="footnote text"/>
    <w:aliases w:val="5_G"/>
    <w:basedOn w:val="Normal"/>
    <w:link w:val="FootnoteTextChar"/>
    <w:rsid w:val="00CF274D"/>
    <w:pPr>
      <w:tabs>
        <w:tab w:val="right" w:pos="1021"/>
        <w:tab w:val="left" w:pos="1134"/>
        <w:tab w:val="left" w:pos="1701"/>
        <w:tab w:val="left" w:pos="2268"/>
      </w:tabs>
      <w:suppressAutoHyphens/>
      <w:bidi w:val="0"/>
      <w:spacing w:line="220" w:lineRule="exact"/>
      <w:ind w:left="1134" w:right="1134" w:hanging="1134"/>
      <w:jc w:val="left"/>
    </w:pPr>
    <w:rPr>
      <w:rFonts w:eastAsia="SimSun" w:hAnsiTheme="minorHAnsi" w:cs="Traditional Arabic" w:hint="cs"/>
      <w:sz w:val="18"/>
      <w:szCs w:val="30"/>
      <w:lang w:val="en-GB" w:eastAsia="zh-CN"/>
    </w:rPr>
  </w:style>
  <w:style w:type="character" w:customStyle="1" w:styleId="FootnoteTextChar">
    <w:name w:val="Footnote Text Char"/>
    <w:aliases w:val="5_G Char"/>
    <w:basedOn w:val="DefaultParagraphFont"/>
    <w:link w:val="FootnoteText"/>
    <w:rsid w:val="00CF274D"/>
    <w:rPr>
      <w:rFonts w:ascii="Times New Roman" w:eastAsia="SimSun" w:hAnsiTheme="minorHAnsi" w:cs="Traditional Arabic"/>
      <w:sz w:val="18"/>
      <w:szCs w:val="30"/>
      <w:lang w:val="en-GB" w:eastAsia="zh-CN"/>
    </w:rPr>
  </w:style>
  <w:style w:type="character" w:styleId="FootnoteReference">
    <w:name w:val="footnote reference"/>
    <w:basedOn w:val="DefaultParagraphFont"/>
    <w:semiHidden/>
    <w:unhideWhenUsed/>
    <w:qFormat/>
    <w:rsid w:val="00CF274D"/>
    <w:rPr>
      <w:vertAlign w:val="superscript"/>
    </w:rPr>
  </w:style>
  <w:style w:type="character" w:styleId="UnresolvedMention">
    <w:name w:val="Unresolved Mention"/>
    <w:basedOn w:val="DefaultParagraphFont"/>
    <w:uiPriority w:val="99"/>
    <w:semiHidden/>
    <w:unhideWhenUsed/>
    <w:rsid w:val="00BD2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CCPR/C/128/D/2568/2015" TargetMode="External"/><Relationship Id="rId3" Type="http://schemas.openxmlformats.org/officeDocument/2006/relationships/hyperlink" Target="https://undocs.org/ar/CCPR/C/82/D/1188/2003" TargetMode="External"/><Relationship Id="rId7" Type="http://schemas.openxmlformats.org/officeDocument/2006/relationships/hyperlink" Target="https://undocs.org/ar/CCPR/C/58/D/674/1995" TargetMode="External"/><Relationship Id="rId2" Type="http://schemas.openxmlformats.org/officeDocument/2006/relationships/hyperlink" Target="https://undocs.org/ar/CCPR/C/79/D/1003/2001" TargetMode="External"/><Relationship Id="rId1" Type="http://schemas.openxmlformats.org/officeDocument/2006/relationships/hyperlink" Target="https://undocs.org/ar/CCPR/C/52/D/437/1990" TargetMode="External"/><Relationship Id="rId6" Type="http://schemas.openxmlformats.org/officeDocument/2006/relationships/hyperlink" Target="https://undocs.org/ar/CCPR/C/125/D/2948/2017" TargetMode="External"/><Relationship Id="rId5" Type="http://schemas.openxmlformats.org/officeDocument/2006/relationships/hyperlink" Target="https://undocs.org/ar/CCPR/C/102/D/1959/2010" TargetMode="External"/><Relationship Id="rId4" Type="http://schemas.openxmlformats.org/officeDocument/2006/relationships/hyperlink" Target="https://undocs.org/ar/CCPR/C/87/D/1403/20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365\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3</TotalTime>
  <Pages>9</Pages>
  <Words>1096</Words>
  <Characters>23035</Characters>
  <Application>Microsoft Office Word</Application>
  <DocSecurity>0</DocSecurity>
  <Lines>1096</Lines>
  <Paragraphs>1096</Paragraphs>
  <ScaleCrop>false</ScaleCrop>
  <HeadingPairs>
    <vt:vector size="2" baseType="variant">
      <vt:variant>
        <vt:lpstr>Title</vt:lpstr>
      </vt:variant>
      <vt:variant>
        <vt:i4>1</vt:i4>
      </vt:variant>
    </vt:vector>
  </HeadingPairs>
  <TitlesOfParts>
    <vt:vector size="1" baseType="lpstr">
      <vt:lpstr>CCPR/C/134/D/3587/2019</vt:lpstr>
    </vt:vector>
  </TitlesOfParts>
  <Company>DCM</Company>
  <LinksUpToDate>false</LinksUpToDate>
  <CharactersWithSpaces>23035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CCPR/C/134/D/3587/2019</dc:title>
  <dc:subject>GE.2213613(A)</dc:subject>
  <dc:creator>Gamal MAHMOUD - Mounir.Boukadida</dc:creator>
  <cp:keywords>GE.2247525(A)</cp:keywords>
  <dc:description>Distr.: General_x000d_
31 August 2022_x000d_
Original: English</dc:description>
  <cp:lastModifiedBy>Gamal Mohamed Abdelhamid Mahmoud</cp:lastModifiedBy>
  <cp:revision>3</cp:revision>
  <cp:lastPrinted>2022-12-13T08:51:00Z</cp:lastPrinted>
  <dcterms:created xsi:type="dcterms:W3CDTF">2022-12-13T08:51:00Z</dcterms:created>
  <dcterms:modified xsi:type="dcterms:W3CDTF">2022-12-13T08:54:00Z</dcterms:modified>
  <cp:category>Finale</cp:category>
</cp:coreProperties>
</file>