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909F9DA" w14:textId="77777777" w:rsidTr="005B51C4">
        <w:trPr>
          <w:trHeight w:hRule="exact" w:val="851"/>
        </w:trPr>
        <w:tc>
          <w:tcPr>
            <w:tcW w:w="1274" w:type="dxa"/>
            <w:tcBorders>
              <w:bottom w:val="single" w:sz="4" w:space="0" w:color="auto"/>
            </w:tcBorders>
            <w:shd w:val="clear" w:color="auto" w:fill="auto"/>
          </w:tcPr>
          <w:p w14:paraId="2D78C491" w14:textId="77777777" w:rsidR="006B3E27" w:rsidRPr="00C175A6" w:rsidRDefault="006B3E27" w:rsidP="00FA30BC">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0D19BF61"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FCF9167" w14:textId="380ED1F8" w:rsidR="006B3E27" w:rsidRPr="005A3986" w:rsidRDefault="005A3986" w:rsidP="005A3986">
            <w:pPr>
              <w:bidi w:val="0"/>
              <w:rPr>
                <w:szCs w:val="20"/>
              </w:rPr>
            </w:pPr>
            <w:r w:rsidRPr="005A3986">
              <w:rPr>
                <w:sz w:val="40"/>
                <w:szCs w:val="20"/>
              </w:rPr>
              <w:t>CCPR</w:t>
            </w:r>
            <w:r>
              <w:rPr>
                <w:szCs w:val="20"/>
              </w:rPr>
              <w:t>/C/</w:t>
            </w:r>
            <w:r w:rsidRPr="000233B9">
              <w:rPr>
                <w:szCs w:val="20"/>
              </w:rPr>
              <w:t>130</w:t>
            </w:r>
            <w:r>
              <w:rPr>
                <w:szCs w:val="20"/>
              </w:rPr>
              <w:t>/D/</w:t>
            </w:r>
            <w:r w:rsidRPr="000233B9">
              <w:rPr>
                <w:szCs w:val="20"/>
              </w:rPr>
              <w:t>3599</w:t>
            </w:r>
            <w:r>
              <w:rPr>
                <w:szCs w:val="20"/>
              </w:rPr>
              <w:t>/</w:t>
            </w:r>
            <w:r w:rsidRPr="000233B9">
              <w:rPr>
                <w:szCs w:val="20"/>
              </w:rPr>
              <w:t>2019</w:t>
            </w:r>
          </w:p>
        </w:tc>
      </w:tr>
      <w:tr w:rsidR="006B3E27" w:rsidRPr="00C175A6" w14:paraId="1AF34A4C" w14:textId="77777777" w:rsidTr="005B51C4">
        <w:trPr>
          <w:trHeight w:hRule="exact" w:val="2835"/>
        </w:trPr>
        <w:tc>
          <w:tcPr>
            <w:tcW w:w="1274" w:type="dxa"/>
            <w:tcBorders>
              <w:top w:val="single" w:sz="4" w:space="0" w:color="auto"/>
              <w:bottom w:val="single" w:sz="12" w:space="0" w:color="auto"/>
            </w:tcBorders>
            <w:shd w:val="clear" w:color="auto" w:fill="auto"/>
          </w:tcPr>
          <w:p w14:paraId="1EC30D7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20FBC1C" wp14:editId="30B02B22">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BE77B72" w14:textId="77777777" w:rsidR="006B3E27" w:rsidRPr="000233B9" w:rsidRDefault="00ED7442" w:rsidP="00730446">
            <w:pPr>
              <w:spacing w:before="120" w:after="40" w:line="640" w:lineRule="exact"/>
              <w:ind w:left="57"/>
              <w:rPr>
                <w:b/>
                <w:bCs/>
                <w:sz w:val="46"/>
                <w:szCs w:val="46"/>
              </w:rPr>
            </w:pPr>
            <w:r w:rsidRPr="000233B9">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063FB21" w14:textId="77777777" w:rsidR="00C66A65" w:rsidRPr="003027AE" w:rsidRDefault="00C66A65" w:rsidP="00C66A65">
            <w:pPr>
              <w:bidi w:val="0"/>
              <w:spacing w:before="240"/>
            </w:pPr>
            <w:r w:rsidRPr="003027AE">
              <w:t>Distr.: General</w:t>
            </w:r>
          </w:p>
          <w:p w14:paraId="16A5DF7B" w14:textId="77777777" w:rsidR="00C66A65" w:rsidRPr="003027AE" w:rsidRDefault="00C66A65" w:rsidP="00C66A65">
            <w:pPr>
              <w:bidi w:val="0"/>
            </w:pPr>
            <w:r w:rsidRPr="000233B9">
              <w:t>6</w:t>
            </w:r>
            <w:r w:rsidRPr="003027AE">
              <w:t xml:space="preserve"> May </w:t>
            </w:r>
            <w:r w:rsidRPr="000233B9">
              <w:t>2021</w:t>
            </w:r>
          </w:p>
          <w:p w14:paraId="747B37E4" w14:textId="77777777" w:rsidR="00C66A65" w:rsidRPr="003027AE" w:rsidRDefault="00C66A65" w:rsidP="00C66A65">
            <w:pPr>
              <w:bidi w:val="0"/>
            </w:pPr>
            <w:r w:rsidRPr="003027AE">
              <w:t>English</w:t>
            </w:r>
          </w:p>
          <w:p w14:paraId="3A77A49F" w14:textId="361C159A" w:rsidR="005A3986" w:rsidRPr="005A3986" w:rsidRDefault="00C66A65" w:rsidP="00C66A65">
            <w:pPr>
              <w:bidi w:val="0"/>
              <w:spacing w:line="240" w:lineRule="exact"/>
              <w:jc w:val="left"/>
              <w:rPr>
                <w:szCs w:val="20"/>
              </w:rPr>
            </w:pPr>
            <w:r w:rsidRPr="003027AE">
              <w:t>Original: Spanish</w:t>
            </w:r>
          </w:p>
        </w:tc>
      </w:tr>
    </w:tbl>
    <w:p w14:paraId="6495E061" w14:textId="77777777" w:rsidR="00C66A65" w:rsidRPr="000233B9" w:rsidRDefault="00C66A65" w:rsidP="00C66A65">
      <w:pPr>
        <w:spacing w:before="120" w:line="360" w:lineRule="exact"/>
        <w:textDirection w:val="tbRlV"/>
        <w:rPr>
          <w:b/>
          <w:sz w:val="28"/>
          <w:szCs w:val="24"/>
          <w:lang w:val="ar-SA" w:eastAsia="zh-TW" w:bidi="en-GB"/>
        </w:rPr>
      </w:pPr>
      <w:r w:rsidRPr="000233B9">
        <w:rPr>
          <w:b/>
          <w:bCs/>
          <w:sz w:val="24"/>
          <w:szCs w:val="26"/>
          <w:rtl/>
        </w:rPr>
        <w:t>اللجنة المعنية بحقوق الإنسان</w:t>
      </w:r>
    </w:p>
    <w:p w14:paraId="64CDD06A" w14:textId="67142B8E" w:rsidR="00C66A65" w:rsidRPr="000233B9" w:rsidRDefault="00C66A65" w:rsidP="00BD36A2">
      <w:pPr>
        <w:pStyle w:val="HChGA"/>
        <w:rPr>
          <w:rFonts w:eastAsia="MS Mincho"/>
          <w:lang w:val="en-US" w:eastAsia="zh-TW" w:bidi="en-GB"/>
        </w:rPr>
      </w:pPr>
      <w:r w:rsidRPr="000233B9">
        <w:rPr>
          <w:rtl/>
        </w:rPr>
        <w:tab/>
      </w:r>
      <w:r w:rsidRPr="000233B9">
        <w:rPr>
          <w:rtl/>
        </w:rPr>
        <w:tab/>
        <w:t xml:space="preserve">قرار اعتمدته اللجنة بموجب المادة </w:t>
      </w:r>
      <w:r w:rsidRPr="000233B9">
        <w:rPr>
          <w:rFonts w:ascii="Traditional Arabic"/>
          <w:rtl/>
        </w:rPr>
        <w:t>5(4)</w:t>
      </w:r>
      <w:r w:rsidRPr="000233B9">
        <w:rPr>
          <w:rtl/>
        </w:rPr>
        <w:t xml:space="preserve"> من البروتوكول الاختياري، بشأن البلاغ رقم </w:t>
      </w:r>
      <w:r w:rsidRPr="000233B9">
        <w:rPr>
          <w:rFonts w:ascii="Traditional Arabic"/>
          <w:rtl/>
        </w:rPr>
        <w:t>3599/2019</w:t>
      </w:r>
      <w:r w:rsidRPr="000233B9">
        <w:rPr>
          <w:rStyle w:val="FootnoteReference"/>
          <w:sz w:val="26"/>
          <w:szCs w:val="26"/>
          <w:vertAlign w:val="baseline"/>
          <w:rtl/>
        </w:rPr>
        <w:footnoteReference w:customMarkFollows="1" w:id="1"/>
        <w:t>*</w:t>
      </w:r>
      <w:r w:rsidRPr="000233B9">
        <w:rPr>
          <w:rFonts w:eastAsia="MS Mincho"/>
          <w:sz w:val="26"/>
          <w:szCs w:val="26"/>
          <w:rtl/>
          <w:lang w:val="en-US" w:eastAsia="zh-TW"/>
        </w:rPr>
        <w:t xml:space="preserve"> </w:t>
      </w:r>
      <w:r w:rsidRPr="000233B9">
        <w:rPr>
          <w:rStyle w:val="FootnoteReference"/>
          <w:rFonts w:eastAsia="MS Mincho"/>
          <w:sz w:val="26"/>
          <w:szCs w:val="26"/>
          <w:vertAlign w:val="baseline"/>
          <w:rtl/>
          <w:lang w:val="en-US" w:eastAsia="zh-TW"/>
        </w:rPr>
        <w:footnoteReference w:customMarkFollows="1" w:id="2"/>
        <w:t>**</w:t>
      </w:r>
      <w:r w:rsidRPr="000233B9">
        <w:rPr>
          <w:rFonts w:eastAsia="MS Mincho"/>
          <w:sz w:val="26"/>
          <w:szCs w:val="26"/>
          <w:rtl/>
          <w:lang w:val="en-US" w:eastAsia="zh-TW"/>
        </w:rPr>
        <w:t xml:space="preserve"> </w:t>
      </w:r>
      <w:r w:rsidRPr="000233B9">
        <w:rPr>
          <w:rStyle w:val="FootnoteReference"/>
          <w:rFonts w:eastAsia="MS Mincho"/>
          <w:sz w:val="26"/>
          <w:szCs w:val="26"/>
          <w:vertAlign w:val="baseline"/>
          <w:rtl/>
          <w:lang w:val="en-US" w:eastAsia="zh-TW"/>
        </w:rPr>
        <w:footnoteReference w:customMarkFollows="1" w:id="3"/>
        <w:t>***</w:t>
      </w:r>
    </w:p>
    <w:p w14:paraId="46C150EB" w14:textId="7382C522"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بلاغ مقدم من:</w:t>
      </w:r>
      <w:r>
        <w:rPr>
          <w:rtl/>
        </w:rPr>
        <w:tab/>
      </w:r>
      <w:r w:rsidRPr="00C66A65">
        <w:rPr>
          <w:rtl/>
        </w:rPr>
        <w:t xml:space="preserve">ف. أ. خ. وب. م. ر. أ.، تتصرفان باسمهما وبالنيابة عن قريبيهما المفقودين، م. خ. ف. </w:t>
      </w:r>
      <w:proofErr w:type="spellStart"/>
      <w:r w:rsidRPr="00C66A65">
        <w:rPr>
          <w:rtl/>
        </w:rPr>
        <w:t>وأ</w:t>
      </w:r>
      <w:proofErr w:type="spellEnd"/>
      <w:r w:rsidRPr="00C66A65">
        <w:rPr>
          <w:rtl/>
        </w:rPr>
        <w:t>. أ. م. (تمثلهما</w:t>
      </w:r>
      <w:r w:rsidR="00E660D4">
        <w:rPr>
          <w:rFonts w:hint="cs"/>
          <w:rtl/>
        </w:rPr>
        <w:t> </w:t>
      </w:r>
      <w:r w:rsidRPr="00C66A65">
        <w:rPr>
          <w:rtl/>
        </w:rPr>
        <w:t>منظمة الترابط النسائي العالمي والرابطة السويسرية لمكافحة الإفلات من العقاب)</w:t>
      </w:r>
    </w:p>
    <w:p w14:paraId="014A1C1F" w14:textId="0E481128"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الأشخاص المدعى أنهم ضحايا:</w:t>
      </w:r>
      <w:r>
        <w:rPr>
          <w:rtl/>
        </w:rPr>
        <w:tab/>
      </w:r>
      <w:r w:rsidRPr="00C66A65">
        <w:rPr>
          <w:rtl/>
        </w:rPr>
        <w:t xml:space="preserve">صاحبتا البلاغ، م. خ. ف. </w:t>
      </w:r>
      <w:proofErr w:type="spellStart"/>
      <w:r w:rsidRPr="00C66A65">
        <w:rPr>
          <w:rtl/>
        </w:rPr>
        <w:t>وأ</w:t>
      </w:r>
      <w:proofErr w:type="spellEnd"/>
      <w:r w:rsidRPr="00C66A65">
        <w:rPr>
          <w:rtl/>
        </w:rPr>
        <w:t>. أ. م.</w:t>
      </w:r>
    </w:p>
    <w:p w14:paraId="13256F16" w14:textId="7DDB2899"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الدولة الطرف:</w:t>
      </w:r>
      <w:r>
        <w:rPr>
          <w:rtl/>
        </w:rPr>
        <w:tab/>
      </w:r>
      <w:r w:rsidRPr="00C66A65">
        <w:rPr>
          <w:rtl/>
        </w:rPr>
        <w:t>إسبانيا</w:t>
      </w:r>
    </w:p>
    <w:p w14:paraId="1E235DB6" w14:textId="25429FD6"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تاريخ تقديم البلاغ:</w:t>
      </w:r>
      <w:r>
        <w:rPr>
          <w:rtl/>
        </w:rPr>
        <w:tab/>
      </w:r>
      <w:r w:rsidRPr="000233B9">
        <w:rPr>
          <w:rtl/>
        </w:rPr>
        <w:t>14</w:t>
      </w:r>
      <w:r w:rsidRPr="00C66A65">
        <w:rPr>
          <w:rtl/>
        </w:rPr>
        <w:t xml:space="preserve"> كانون الثاني/يناير </w:t>
      </w:r>
      <w:r w:rsidRPr="000233B9">
        <w:rPr>
          <w:rtl/>
        </w:rPr>
        <w:t>2019</w:t>
      </w:r>
      <w:r w:rsidRPr="00C66A65">
        <w:rPr>
          <w:rtl/>
        </w:rPr>
        <w:t xml:space="preserve"> (تاريخ الرسالة الأولى)</w:t>
      </w:r>
    </w:p>
    <w:p w14:paraId="4DCECF5E" w14:textId="30E89EFC"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الوثائق المرجعية:</w:t>
      </w:r>
      <w:r>
        <w:rPr>
          <w:rtl/>
        </w:rPr>
        <w:tab/>
      </w:r>
      <w:r w:rsidRPr="00C66A65">
        <w:rPr>
          <w:rtl/>
        </w:rPr>
        <w:t xml:space="preserve">القرار المتخذ عملاً بالمادة </w:t>
      </w:r>
      <w:r w:rsidRPr="000233B9">
        <w:rPr>
          <w:rtl/>
        </w:rPr>
        <w:t>92</w:t>
      </w:r>
      <w:r w:rsidRPr="00C66A65">
        <w:rPr>
          <w:rtl/>
        </w:rPr>
        <w:t xml:space="preserve"> من النظام الداخلي للجنة، والمحال إلى الدولة الطرف في </w:t>
      </w:r>
      <w:r w:rsidRPr="000233B9">
        <w:rPr>
          <w:rtl/>
        </w:rPr>
        <w:t>6</w:t>
      </w:r>
      <w:r w:rsidRPr="00C66A65">
        <w:rPr>
          <w:rtl/>
        </w:rPr>
        <w:t xml:space="preserve"> أيار/مايو </w:t>
      </w:r>
      <w:r w:rsidRPr="000233B9">
        <w:rPr>
          <w:rtl/>
        </w:rPr>
        <w:t>2019</w:t>
      </w:r>
      <w:r w:rsidRPr="00C66A65">
        <w:rPr>
          <w:rtl/>
        </w:rPr>
        <w:t xml:space="preserve"> (لم يصدر في شكل وثيقة)</w:t>
      </w:r>
    </w:p>
    <w:p w14:paraId="11F62CD8" w14:textId="668D9A40"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تاريخ اعتماد القرار:</w:t>
      </w:r>
      <w:r>
        <w:rPr>
          <w:rtl/>
        </w:rPr>
        <w:tab/>
      </w:r>
      <w:r w:rsidRPr="000233B9">
        <w:rPr>
          <w:rtl/>
        </w:rPr>
        <w:t>28</w:t>
      </w:r>
      <w:r w:rsidRPr="00C66A65">
        <w:rPr>
          <w:rtl/>
        </w:rPr>
        <w:t xml:space="preserve"> تشرين الأول/أكتوبر </w:t>
      </w:r>
      <w:r w:rsidRPr="000233B9">
        <w:rPr>
          <w:rtl/>
        </w:rPr>
        <w:t>2020</w:t>
      </w:r>
    </w:p>
    <w:p w14:paraId="2C23149D" w14:textId="1A75764B"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الموضوع:</w:t>
      </w:r>
      <w:r>
        <w:rPr>
          <w:rtl/>
        </w:rPr>
        <w:tab/>
      </w:r>
      <w:r w:rsidRPr="00C66A65">
        <w:rPr>
          <w:rtl/>
        </w:rPr>
        <w:t>الاختفاء القسري</w:t>
      </w:r>
    </w:p>
    <w:p w14:paraId="58DAA313" w14:textId="326497AB"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rPr>
          <w:spacing w:val="-4"/>
        </w:rPr>
      </w:pPr>
      <w:r w:rsidRPr="000233B9">
        <w:rPr>
          <w:i/>
          <w:iCs/>
          <w:rtl/>
        </w:rPr>
        <w:t>المسائل الإجرائية:</w:t>
      </w:r>
      <w:r>
        <w:rPr>
          <w:rtl/>
        </w:rPr>
        <w:tab/>
      </w:r>
      <w:r w:rsidRPr="000233B9">
        <w:rPr>
          <w:i/>
          <w:iCs/>
          <w:spacing w:val="-4"/>
          <w:rtl/>
        </w:rPr>
        <w:t>الاختصاص الموضوعي</w:t>
      </w:r>
      <w:r w:rsidRPr="00C66A65">
        <w:rPr>
          <w:spacing w:val="-4"/>
          <w:rtl/>
        </w:rPr>
        <w:t xml:space="preserve">، </w:t>
      </w:r>
      <w:r w:rsidRPr="000233B9">
        <w:rPr>
          <w:i/>
          <w:iCs/>
          <w:spacing w:val="-4"/>
          <w:rtl/>
        </w:rPr>
        <w:t>والاختصاص الزمني</w:t>
      </w:r>
      <w:r w:rsidRPr="00C66A65">
        <w:rPr>
          <w:spacing w:val="-4"/>
          <w:rtl/>
        </w:rPr>
        <w:t xml:space="preserve">، </w:t>
      </w:r>
      <w:r w:rsidRPr="000233B9">
        <w:rPr>
          <w:i/>
          <w:iCs/>
          <w:spacing w:val="-4"/>
          <w:rtl/>
        </w:rPr>
        <w:t>والاختصاص الشخصي</w:t>
      </w:r>
      <w:r w:rsidRPr="00C66A65">
        <w:rPr>
          <w:spacing w:val="-4"/>
          <w:rtl/>
        </w:rPr>
        <w:t>؛ واستنفاد سبل الانتصاف المحلية</w:t>
      </w:r>
    </w:p>
    <w:p w14:paraId="56AEFA26" w14:textId="1A6B83A6" w:rsidR="00C66A65" w:rsidRPr="00C66A65" w:rsidRDefault="00C66A65" w:rsidP="00A67F09">
      <w:pPr>
        <w:pStyle w:val="SingleTxtGA"/>
        <w:tabs>
          <w:tab w:val="clear" w:pos="1928"/>
          <w:tab w:val="clear" w:pos="2608"/>
          <w:tab w:val="clear" w:pos="3289"/>
          <w:tab w:val="clear" w:pos="3969"/>
          <w:tab w:val="clear" w:pos="4649"/>
          <w:tab w:val="clear" w:pos="5330"/>
        </w:tabs>
        <w:spacing w:line="340" w:lineRule="exact"/>
        <w:ind w:left="4650" w:hanging="2722"/>
      </w:pPr>
      <w:r w:rsidRPr="000233B9">
        <w:rPr>
          <w:i/>
          <w:iCs/>
          <w:rtl/>
        </w:rPr>
        <w:t>المسائل الموضوعية:</w:t>
      </w:r>
      <w:r>
        <w:rPr>
          <w:rtl/>
        </w:rPr>
        <w:tab/>
      </w:r>
      <w:r w:rsidRPr="00C66A65">
        <w:rPr>
          <w:rtl/>
        </w:rPr>
        <w:t>الحق في الحصول على سبيل انتصاف فعال؛ والحق في الحياة؛ وحظر التعذيب والمعاملة القاسية واللاإنسانية؛ والحق في الحرية والأمن؛ والاعتراف بالشخصية القانونية</w:t>
      </w:r>
    </w:p>
    <w:p w14:paraId="11BF7360" w14:textId="4B6570B0" w:rsidR="00C66A65" w:rsidRPr="00C66A65" w:rsidRDefault="00C66A65" w:rsidP="00C66A65">
      <w:pPr>
        <w:pStyle w:val="SingleTxtGA"/>
        <w:tabs>
          <w:tab w:val="clear" w:pos="1928"/>
          <w:tab w:val="clear" w:pos="2608"/>
          <w:tab w:val="clear" w:pos="3289"/>
          <w:tab w:val="clear" w:pos="3969"/>
          <w:tab w:val="clear" w:pos="4649"/>
          <w:tab w:val="clear" w:pos="5330"/>
        </w:tabs>
        <w:ind w:left="4649" w:hanging="2721"/>
      </w:pPr>
      <w:r w:rsidRPr="000233B9">
        <w:rPr>
          <w:i/>
          <w:iCs/>
          <w:rtl/>
        </w:rPr>
        <w:lastRenderedPageBreak/>
        <w:t>مواد العهد:</w:t>
      </w:r>
      <w:r>
        <w:rPr>
          <w:rtl/>
        </w:rPr>
        <w:tab/>
      </w:r>
      <w:r w:rsidRPr="00C66A65">
        <w:rPr>
          <w:rtl/>
        </w:rPr>
        <w:t xml:space="preserve">المواد </w:t>
      </w:r>
      <w:r w:rsidRPr="000233B9">
        <w:rPr>
          <w:rtl/>
        </w:rPr>
        <w:t>6</w:t>
      </w:r>
      <w:r w:rsidRPr="00C66A65">
        <w:rPr>
          <w:rtl/>
        </w:rPr>
        <w:t xml:space="preserve"> و</w:t>
      </w:r>
      <w:r w:rsidRPr="000233B9">
        <w:rPr>
          <w:rtl/>
        </w:rPr>
        <w:t>7</w:t>
      </w:r>
      <w:r w:rsidRPr="00C66A65">
        <w:rPr>
          <w:rtl/>
        </w:rPr>
        <w:t xml:space="preserve"> و</w:t>
      </w:r>
      <w:r w:rsidRPr="000233B9">
        <w:rPr>
          <w:rtl/>
        </w:rPr>
        <w:t>9</w:t>
      </w:r>
      <w:r w:rsidRPr="00C66A65">
        <w:rPr>
          <w:rtl/>
        </w:rPr>
        <w:t xml:space="preserve"> و</w:t>
      </w:r>
      <w:r w:rsidRPr="000233B9">
        <w:rPr>
          <w:rtl/>
        </w:rPr>
        <w:t>16</w:t>
      </w:r>
      <w:r w:rsidRPr="00C66A65">
        <w:rPr>
          <w:rtl/>
        </w:rPr>
        <w:t xml:space="preserve">، مقروءتان بالاقتران مع الفقرة </w:t>
      </w:r>
      <w:r w:rsidRPr="000233B9">
        <w:rPr>
          <w:rtl/>
        </w:rPr>
        <w:t>3</w:t>
      </w:r>
      <w:r w:rsidRPr="00C66A65">
        <w:rPr>
          <w:rtl/>
        </w:rPr>
        <w:t xml:space="preserve"> من المادة </w:t>
      </w:r>
      <w:r w:rsidRPr="000233B9">
        <w:rPr>
          <w:rtl/>
        </w:rPr>
        <w:t>2</w:t>
      </w:r>
    </w:p>
    <w:p w14:paraId="78B9EF1B" w14:textId="42D869A5" w:rsidR="00C66A65" w:rsidRDefault="00C66A65" w:rsidP="00C66A65">
      <w:pPr>
        <w:pStyle w:val="SingleTxtGA"/>
        <w:tabs>
          <w:tab w:val="clear" w:pos="1928"/>
          <w:tab w:val="clear" w:pos="2608"/>
          <w:tab w:val="clear" w:pos="3289"/>
          <w:tab w:val="clear" w:pos="3969"/>
          <w:tab w:val="clear" w:pos="4649"/>
          <w:tab w:val="clear" w:pos="5330"/>
        </w:tabs>
        <w:ind w:left="4649" w:hanging="2721"/>
        <w:rPr>
          <w:rtl/>
        </w:rPr>
      </w:pPr>
      <w:r w:rsidRPr="000233B9">
        <w:rPr>
          <w:i/>
          <w:iCs/>
          <w:rtl/>
        </w:rPr>
        <w:t>مواد البروتوكول الاختياري:</w:t>
      </w:r>
      <w:r>
        <w:rPr>
          <w:rtl/>
        </w:rPr>
        <w:tab/>
      </w:r>
      <w:r w:rsidRPr="000233B9">
        <w:rPr>
          <w:rtl/>
        </w:rPr>
        <w:t>5</w:t>
      </w:r>
      <w:r w:rsidRPr="00C66A65">
        <w:rPr>
          <w:rtl/>
        </w:rPr>
        <w:t>(</w:t>
      </w:r>
      <w:r w:rsidRPr="000233B9">
        <w:rPr>
          <w:rtl/>
        </w:rPr>
        <w:t>2</w:t>
      </w:r>
      <w:r w:rsidRPr="00C66A65">
        <w:rPr>
          <w:rtl/>
        </w:rPr>
        <w:t>)(ب)</w:t>
      </w:r>
    </w:p>
    <w:p w14:paraId="1016D8B8" w14:textId="42F103B1" w:rsidR="00C66A65" w:rsidRPr="00C66A65" w:rsidRDefault="00C66A65" w:rsidP="00A67F09">
      <w:pPr>
        <w:pStyle w:val="SingleTxtGA"/>
        <w:spacing w:before="240" w:line="350" w:lineRule="exact"/>
        <w:rPr>
          <w:rFonts w:eastAsiaTheme="minorEastAsia"/>
          <w:lang w:val="ar-SA" w:eastAsia="zh-TW" w:bidi="en-GB"/>
        </w:rPr>
      </w:pPr>
      <w:r w:rsidRPr="000233B9">
        <w:rPr>
          <w:rFonts w:eastAsiaTheme="minorEastAsia"/>
          <w:rtl/>
        </w:rPr>
        <w:t>1</w:t>
      </w:r>
      <w:r w:rsidRPr="00C66A65">
        <w:rPr>
          <w:rFonts w:eastAsiaTheme="minorEastAsia"/>
          <w:rtl/>
        </w:rPr>
        <w:t>-</w:t>
      </w:r>
      <w:r w:rsidRPr="000233B9">
        <w:rPr>
          <w:rFonts w:eastAsiaTheme="minorEastAsia"/>
          <w:rtl/>
        </w:rPr>
        <w:t>1</w:t>
      </w:r>
      <w:r w:rsidRPr="00C66A65">
        <w:rPr>
          <w:rFonts w:eastAsiaTheme="minorEastAsia"/>
          <w:rtl/>
        </w:rPr>
        <w:tab/>
        <w:t xml:space="preserve">صاحبتا البلاغ هما ف. أ. خ.، المولودة في </w:t>
      </w:r>
      <w:r w:rsidRPr="000233B9">
        <w:rPr>
          <w:rFonts w:eastAsiaTheme="minorEastAsia"/>
          <w:rtl/>
        </w:rPr>
        <w:t>8</w:t>
      </w:r>
      <w:r w:rsidRPr="00C66A65">
        <w:rPr>
          <w:rFonts w:eastAsiaTheme="minorEastAsia"/>
          <w:rtl/>
        </w:rPr>
        <w:t xml:space="preserve"> حزيران/</w:t>
      </w:r>
      <w:proofErr w:type="gramStart"/>
      <w:r w:rsidRPr="00C66A65">
        <w:rPr>
          <w:rFonts w:eastAsiaTheme="minorEastAsia"/>
          <w:rtl/>
        </w:rPr>
        <w:t>يونيه</w:t>
      </w:r>
      <w:proofErr w:type="gramEnd"/>
      <w:r w:rsidRPr="00C66A65">
        <w:rPr>
          <w:rFonts w:eastAsiaTheme="minorEastAsia"/>
          <w:rtl/>
        </w:rPr>
        <w:t xml:space="preserve"> </w:t>
      </w:r>
      <w:r w:rsidRPr="000233B9">
        <w:rPr>
          <w:rFonts w:eastAsiaTheme="minorEastAsia"/>
          <w:rtl/>
        </w:rPr>
        <w:t>1928</w:t>
      </w:r>
      <w:r w:rsidRPr="00C66A65">
        <w:rPr>
          <w:rFonts w:eastAsiaTheme="minorEastAsia"/>
          <w:rtl/>
        </w:rPr>
        <w:t xml:space="preserve">، وب. م. ر. أ.، المولودة في </w:t>
      </w:r>
      <w:r w:rsidRPr="000233B9">
        <w:rPr>
          <w:rFonts w:eastAsiaTheme="minorEastAsia"/>
          <w:rtl/>
        </w:rPr>
        <w:t>3</w:t>
      </w:r>
      <w:r w:rsidRPr="00C66A65">
        <w:rPr>
          <w:rFonts w:eastAsiaTheme="minorEastAsia"/>
          <w:rtl/>
        </w:rPr>
        <w:t xml:space="preserve"> آذار/مارس </w:t>
      </w:r>
      <w:r w:rsidRPr="000233B9">
        <w:rPr>
          <w:rFonts w:eastAsiaTheme="minorEastAsia"/>
          <w:rtl/>
        </w:rPr>
        <w:t>1950</w:t>
      </w:r>
      <w:r w:rsidRPr="00C66A65">
        <w:rPr>
          <w:rFonts w:eastAsiaTheme="minorEastAsia"/>
          <w:rtl/>
        </w:rPr>
        <w:t xml:space="preserve">. وتقدمان البلاغ باسمهما وبالنيابة عن الوالدين (في حالة ف. أ. خ.) والجدين (في حالة ب. م. ر. أ.)، وهما م. خ. ف. المولودة في </w:t>
      </w:r>
      <w:r w:rsidRPr="000233B9">
        <w:rPr>
          <w:rFonts w:eastAsiaTheme="minorEastAsia"/>
          <w:rtl/>
        </w:rPr>
        <w:t>21</w:t>
      </w:r>
      <w:r w:rsidRPr="00C66A65">
        <w:rPr>
          <w:rFonts w:eastAsiaTheme="minorEastAsia"/>
          <w:rtl/>
        </w:rPr>
        <w:t xml:space="preserve"> تموز/يوليه </w:t>
      </w:r>
      <w:r w:rsidRPr="000233B9">
        <w:rPr>
          <w:rFonts w:eastAsiaTheme="minorEastAsia"/>
          <w:rtl/>
        </w:rPr>
        <w:t>1896</w:t>
      </w:r>
      <w:r w:rsidRPr="00C66A65">
        <w:rPr>
          <w:rFonts w:eastAsiaTheme="minorEastAsia"/>
          <w:rtl/>
        </w:rPr>
        <w:t xml:space="preserve">، </w:t>
      </w:r>
      <w:proofErr w:type="spellStart"/>
      <w:r w:rsidRPr="00C66A65">
        <w:rPr>
          <w:rFonts w:eastAsiaTheme="minorEastAsia"/>
          <w:rtl/>
        </w:rPr>
        <w:t>وأ</w:t>
      </w:r>
      <w:proofErr w:type="spellEnd"/>
      <w:r w:rsidRPr="00C66A65">
        <w:rPr>
          <w:rFonts w:eastAsiaTheme="minorEastAsia"/>
          <w:rtl/>
        </w:rPr>
        <w:t xml:space="preserve">. أ. م.، المولود في </w:t>
      </w:r>
      <w:r w:rsidRPr="000233B9">
        <w:rPr>
          <w:rFonts w:eastAsiaTheme="minorEastAsia"/>
          <w:rtl/>
        </w:rPr>
        <w:t>10</w:t>
      </w:r>
      <w:r w:rsidRPr="00C66A65">
        <w:rPr>
          <w:rFonts w:eastAsiaTheme="minorEastAsia"/>
          <w:rtl/>
        </w:rPr>
        <w:t xml:space="preserve"> كانون الثاني/يناير </w:t>
      </w:r>
      <w:r w:rsidRPr="000233B9">
        <w:rPr>
          <w:rFonts w:eastAsiaTheme="minorEastAsia"/>
          <w:rtl/>
        </w:rPr>
        <w:t>1894</w:t>
      </w:r>
      <w:r w:rsidRPr="00C66A65">
        <w:rPr>
          <w:rFonts w:eastAsiaTheme="minorEastAsia"/>
          <w:rtl/>
        </w:rPr>
        <w:t xml:space="preserve">، اللذان لا يُعرف مصيرهما ومكان وجودهما منذ آب/أغسطس </w:t>
      </w:r>
      <w:r w:rsidRPr="000233B9">
        <w:rPr>
          <w:rFonts w:eastAsiaTheme="minorEastAsia"/>
          <w:rtl/>
        </w:rPr>
        <w:t>1936</w:t>
      </w:r>
      <w:r w:rsidRPr="00C66A65">
        <w:rPr>
          <w:rFonts w:eastAsiaTheme="minorEastAsia"/>
          <w:rtl/>
        </w:rPr>
        <w:t xml:space="preserve">، عندما اعتقلهما أفراد من الحرس المدني. وتدعي صاحبتا البلاغ أن الدولة الطرف مسؤولة عن انتهاك مستمر لحقوق السيدة خ. ف. والسيد أ. م. بموجب المواد </w:t>
      </w:r>
      <w:r w:rsidRPr="000233B9">
        <w:rPr>
          <w:rFonts w:eastAsiaTheme="minorEastAsia"/>
          <w:rtl/>
        </w:rPr>
        <w:t>6</w:t>
      </w:r>
      <w:r w:rsidRPr="00C66A65">
        <w:rPr>
          <w:rFonts w:eastAsiaTheme="minorEastAsia"/>
          <w:rtl/>
        </w:rPr>
        <w:t xml:space="preserve"> و</w:t>
      </w:r>
      <w:r w:rsidRPr="000233B9">
        <w:rPr>
          <w:rFonts w:eastAsiaTheme="minorEastAsia"/>
          <w:rtl/>
        </w:rPr>
        <w:t>7</w:t>
      </w:r>
      <w:r w:rsidRPr="00C66A65">
        <w:rPr>
          <w:rFonts w:eastAsiaTheme="minorEastAsia"/>
          <w:rtl/>
        </w:rPr>
        <w:t xml:space="preserve"> و</w:t>
      </w:r>
      <w:r w:rsidRPr="000233B9">
        <w:rPr>
          <w:rFonts w:eastAsiaTheme="minorEastAsia"/>
          <w:rtl/>
        </w:rPr>
        <w:t>9</w:t>
      </w:r>
      <w:r w:rsidRPr="00C66A65">
        <w:rPr>
          <w:rFonts w:eastAsiaTheme="minorEastAsia"/>
          <w:rtl/>
        </w:rPr>
        <w:t xml:space="preserve"> و</w:t>
      </w:r>
      <w:r w:rsidRPr="000233B9">
        <w:rPr>
          <w:rFonts w:eastAsiaTheme="minorEastAsia"/>
          <w:rtl/>
        </w:rPr>
        <w:t>16</w:t>
      </w:r>
      <w:r w:rsidRPr="00C66A65">
        <w:rPr>
          <w:rFonts w:eastAsiaTheme="minorEastAsia"/>
          <w:rtl/>
        </w:rPr>
        <w:t xml:space="preserve"> من العهد، مقروءة بالاقتران مع المادة</w:t>
      </w:r>
      <w:r w:rsidR="00A9036D">
        <w:rPr>
          <w:rFonts w:eastAsiaTheme="minorEastAsia" w:hint="cs"/>
          <w:rtl/>
        </w:rPr>
        <w:t>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xml:space="preserve">)، بسبب عرقلة الدولة الطرف جهود التحقيق والتفتيش. وتدعيان أيضاً أنهما ضحيتا انتهاك الدولة الطرف حقوقهما المكفولة في المادة </w:t>
      </w:r>
      <w:r w:rsidRPr="000233B9">
        <w:rPr>
          <w:rFonts w:eastAsiaTheme="minorEastAsia"/>
          <w:rtl/>
        </w:rPr>
        <w:t>7</w:t>
      </w:r>
      <w:r w:rsidRPr="00C66A65">
        <w:rPr>
          <w:rFonts w:eastAsiaTheme="minorEastAsia"/>
          <w:rtl/>
        </w:rPr>
        <w:t xml:space="preserve"> من العهد،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xml:space="preserve">). وتطلبان معالجة البلاغ على سبيل الأولوية بالنظر إلى كبر سن ف. أ. خ. وقد دخل البروتوكول الاختياري حيز النفاذ بالنسبة للدولة الطرف في </w:t>
      </w:r>
      <w:r w:rsidRPr="000233B9">
        <w:rPr>
          <w:rFonts w:eastAsiaTheme="minorEastAsia"/>
          <w:rtl/>
        </w:rPr>
        <w:t>25</w:t>
      </w:r>
      <w:r w:rsidRPr="00C66A65">
        <w:rPr>
          <w:rFonts w:eastAsiaTheme="minorEastAsia"/>
          <w:rtl/>
        </w:rPr>
        <w:t xml:space="preserve"> نيسان/أبريل </w:t>
      </w:r>
      <w:r w:rsidRPr="000233B9">
        <w:rPr>
          <w:rFonts w:eastAsiaTheme="minorEastAsia"/>
          <w:rtl/>
        </w:rPr>
        <w:t>1985</w:t>
      </w:r>
      <w:r w:rsidRPr="00C66A65">
        <w:rPr>
          <w:rFonts w:eastAsiaTheme="minorEastAsia"/>
          <w:rtl/>
        </w:rPr>
        <w:t>. ويمثل صاحبتي البلاغ محام.</w:t>
      </w:r>
    </w:p>
    <w:p w14:paraId="5784D2B3" w14:textId="77777777" w:rsidR="00C66A65" w:rsidRPr="00C66A65" w:rsidRDefault="00C66A65" w:rsidP="00A67F09">
      <w:pPr>
        <w:pStyle w:val="SingleTxtGA"/>
        <w:spacing w:line="350" w:lineRule="exact"/>
        <w:rPr>
          <w:rFonts w:eastAsiaTheme="minorEastAsia"/>
          <w:lang w:val="ar-SA" w:eastAsia="zh-TW" w:bidi="en-GB"/>
        </w:rPr>
      </w:pPr>
      <w:r w:rsidRPr="000233B9">
        <w:rPr>
          <w:rFonts w:eastAsiaTheme="minorEastAsia"/>
          <w:rtl/>
        </w:rPr>
        <w:t>1</w:t>
      </w:r>
      <w:r w:rsidRPr="00C66A65">
        <w:rPr>
          <w:rFonts w:eastAsiaTheme="minorEastAsia"/>
          <w:rtl/>
        </w:rPr>
        <w:t>-</w:t>
      </w:r>
      <w:r w:rsidRPr="000233B9">
        <w:rPr>
          <w:rFonts w:eastAsiaTheme="minorEastAsia"/>
          <w:rtl/>
        </w:rPr>
        <w:t>2</w:t>
      </w:r>
      <w:r w:rsidRPr="00C66A65">
        <w:rPr>
          <w:rFonts w:eastAsiaTheme="minorEastAsia"/>
          <w:rtl/>
        </w:rPr>
        <w:tab/>
        <w:t xml:space="preserve">وفي </w:t>
      </w:r>
      <w:r w:rsidRPr="000233B9">
        <w:rPr>
          <w:rFonts w:eastAsiaTheme="minorEastAsia"/>
          <w:rtl/>
        </w:rPr>
        <w:t>26</w:t>
      </w:r>
      <w:r w:rsidRPr="00C66A65">
        <w:rPr>
          <w:rFonts w:eastAsiaTheme="minorEastAsia"/>
          <w:rtl/>
        </w:rPr>
        <w:t xml:space="preserve"> تشرين الثاني/نوفمبر </w:t>
      </w:r>
      <w:r w:rsidRPr="000233B9">
        <w:rPr>
          <w:rFonts w:eastAsiaTheme="minorEastAsia"/>
          <w:rtl/>
        </w:rPr>
        <w:t>2019</w:t>
      </w:r>
      <w:r w:rsidRPr="00C66A65">
        <w:rPr>
          <w:rFonts w:eastAsiaTheme="minorEastAsia"/>
          <w:rtl/>
        </w:rPr>
        <w:t>، قرر المقرر الخاص المعني بالبلاغات الجديدة، باسم اللجنة، قبول طلب الدولة الطرف النظر في مقبولية البلاغ بمعزل عن أسسه الموضوعية.</w:t>
      </w:r>
    </w:p>
    <w:p w14:paraId="1D93FE49" w14:textId="77777777" w:rsidR="00C66A65" w:rsidRPr="00C66A65" w:rsidRDefault="00C66A65" w:rsidP="00A67F09">
      <w:pPr>
        <w:pStyle w:val="SingleTxtGA"/>
        <w:spacing w:line="350" w:lineRule="exact"/>
        <w:rPr>
          <w:rFonts w:eastAsiaTheme="minorEastAsia"/>
          <w:lang w:val="ar-SA" w:eastAsia="zh-TW" w:bidi="en-GB"/>
        </w:rPr>
      </w:pPr>
      <w:r w:rsidRPr="000233B9">
        <w:rPr>
          <w:rFonts w:eastAsiaTheme="minorEastAsia"/>
          <w:rtl/>
        </w:rPr>
        <w:t>1</w:t>
      </w:r>
      <w:r w:rsidRPr="00C66A65">
        <w:rPr>
          <w:rFonts w:eastAsiaTheme="minorEastAsia"/>
          <w:rtl/>
        </w:rPr>
        <w:t>-</w:t>
      </w:r>
      <w:r w:rsidRPr="000233B9">
        <w:rPr>
          <w:rFonts w:eastAsiaTheme="minorEastAsia"/>
          <w:rtl/>
        </w:rPr>
        <w:t>3</w:t>
      </w:r>
      <w:r w:rsidRPr="00C66A65">
        <w:rPr>
          <w:rFonts w:eastAsiaTheme="minorEastAsia"/>
          <w:rtl/>
        </w:rPr>
        <w:tab/>
        <w:t xml:space="preserve">وفي </w:t>
      </w:r>
      <w:r w:rsidRPr="000233B9">
        <w:rPr>
          <w:rFonts w:eastAsiaTheme="minorEastAsia"/>
          <w:rtl/>
        </w:rPr>
        <w:t>30</w:t>
      </w:r>
      <w:r w:rsidRPr="00C66A65">
        <w:rPr>
          <w:rFonts w:eastAsiaTheme="minorEastAsia"/>
          <w:rtl/>
        </w:rPr>
        <w:t xml:space="preserve"> كانون الأول/ديسمبر </w:t>
      </w:r>
      <w:r w:rsidRPr="000233B9">
        <w:rPr>
          <w:rFonts w:eastAsiaTheme="minorEastAsia"/>
          <w:rtl/>
        </w:rPr>
        <w:t>2019</w:t>
      </w:r>
      <w:r w:rsidRPr="00C66A65">
        <w:rPr>
          <w:rFonts w:eastAsiaTheme="minorEastAsia"/>
          <w:rtl/>
        </w:rPr>
        <w:t xml:space="preserve"> و</w:t>
      </w:r>
      <w:r w:rsidRPr="000233B9">
        <w:rPr>
          <w:rFonts w:eastAsiaTheme="minorEastAsia"/>
          <w:rtl/>
        </w:rPr>
        <w:t>14</w:t>
      </w:r>
      <w:r w:rsidRPr="00C66A65">
        <w:rPr>
          <w:rFonts w:eastAsiaTheme="minorEastAsia"/>
          <w:rtl/>
        </w:rPr>
        <w:t xml:space="preserve"> و</w:t>
      </w:r>
      <w:r w:rsidRPr="000233B9">
        <w:rPr>
          <w:rFonts w:eastAsiaTheme="minorEastAsia"/>
          <w:rtl/>
        </w:rPr>
        <w:t>15</w:t>
      </w:r>
      <w:r w:rsidRPr="00C66A65">
        <w:rPr>
          <w:rFonts w:eastAsiaTheme="minorEastAsia"/>
          <w:rtl/>
        </w:rPr>
        <w:t xml:space="preserve"> و</w:t>
      </w:r>
      <w:r w:rsidRPr="000233B9">
        <w:rPr>
          <w:rFonts w:eastAsiaTheme="minorEastAsia"/>
          <w:rtl/>
        </w:rPr>
        <w:t>20</w:t>
      </w:r>
      <w:r w:rsidRPr="00C66A65">
        <w:rPr>
          <w:rFonts w:eastAsiaTheme="minorEastAsia"/>
          <w:rtl/>
        </w:rPr>
        <w:t xml:space="preserve"> كانون الثاني/يناير </w:t>
      </w:r>
      <w:r w:rsidRPr="000233B9">
        <w:rPr>
          <w:rFonts w:eastAsiaTheme="minorEastAsia"/>
          <w:rtl/>
        </w:rPr>
        <w:t>2020</w:t>
      </w:r>
      <w:r w:rsidRPr="00C66A65">
        <w:rPr>
          <w:rFonts w:eastAsiaTheme="minorEastAsia"/>
          <w:rtl/>
        </w:rPr>
        <w:t xml:space="preserve">، تلقت اللجنة أربعة طلبات بشأن تقديم مذكرات أصدقاء اللجنة من فيكتور </w:t>
      </w:r>
      <w:proofErr w:type="spellStart"/>
      <w:r w:rsidRPr="00C66A65">
        <w:rPr>
          <w:rFonts w:eastAsiaTheme="minorEastAsia"/>
          <w:rtl/>
        </w:rPr>
        <w:t>رودريغيز</w:t>
      </w:r>
      <w:proofErr w:type="spellEnd"/>
      <w:r w:rsidRPr="00C66A65">
        <w:rPr>
          <w:rFonts w:eastAsiaTheme="minorEastAsia"/>
          <w:rtl/>
        </w:rPr>
        <w:t xml:space="preserve"> </w:t>
      </w:r>
      <w:proofErr w:type="spellStart"/>
      <w:r w:rsidRPr="00C66A65">
        <w:rPr>
          <w:rFonts w:eastAsiaTheme="minorEastAsia"/>
          <w:rtl/>
        </w:rPr>
        <w:t>ريسيا</w:t>
      </w:r>
      <w:proofErr w:type="spellEnd"/>
      <w:r w:rsidRPr="00C66A65">
        <w:rPr>
          <w:rFonts w:eastAsiaTheme="minorEastAsia"/>
          <w:rtl/>
        </w:rPr>
        <w:t xml:space="preserve">، وهو عضو سابق في اللجنة ورئيس معهد البلدان الأمريكية للمسؤولية الاجتماعية وحقوق الإنسان؛ وراينر </w:t>
      </w:r>
      <w:proofErr w:type="spellStart"/>
      <w:r w:rsidRPr="00C66A65">
        <w:rPr>
          <w:rFonts w:eastAsiaTheme="minorEastAsia"/>
          <w:rtl/>
        </w:rPr>
        <w:t>هوهلي</w:t>
      </w:r>
      <w:proofErr w:type="spellEnd"/>
      <w:r w:rsidRPr="00C66A65">
        <w:rPr>
          <w:rFonts w:eastAsiaTheme="minorEastAsia"/>
          <w:rtl/>
        </w:rPr>
        <w:t xml:space="preserve"> وماريا كلارا </w:t>
      </w:r>
      <w:proofErr w:type="spellStart"/>
      <w:r w:rsidRPr="00C66A65">
        <w:rPr>
          <w:rFonts w:eastAsiaTheme="minorEastAsia"/>
          <w:rtl/>
        </w:rPr>
        <w:t>غالفيس</w:t>
      </w:r>
      <w:proofErr w:type="spellEnd"/>
      <w:r w:rsidRPr="00C66A65">
        <w:rPr>
          <w:rFonts w:eastAsiaTheme="minorEastAsia"/>
          <w:rtl/>
        </w:rPr>
        <w:t xml:space="preserve"> </w:t>
      </w:r>
      <w:proofErr w:type="spellStart"/>
      <w:r w:rsidRPr="00C66A65">
        <w:rPr>
          <w:rFonts w:eastAsiaTheme="minorEastAsia"/>
          <w:rtl/>
        </w:rPr>
        <w:t>باتينيو</w:t>
      </w:r>
      <w:proofErr w:type="spellEnd"/>
      <w:r w:rsidRPr="00C66A65">
        <w:rPr>
          <w:rFonts w:eastAsiaTheme="minorEastAsia"/>
          <w:rtl/>
        </w:rPr>
        <w:t xml:space="preserve">، عضوان سابقان في اللجنة المعنية بحالات الاختفاء القسري؛ </w:t>
      </w:r>
      <w:proofErr w:type="spellStart"/>
      <w:r w:rsidRPr="00C66A65">
        <w:rPr>
          <w:rFonts w:eastAsiaTheme="minorEastAsia"/>
          <w:rtl/>
        </w:rPr>
        <w:t>ومارغاليدا</w:t>
      </w:r>
      <w:proofErr w:type="spellEnd"/>
      <w:r w:rsidRPr="00C66A65">
        <w:rPr>
          <w:rFonts w:eastAsiaTheme="minorEastAsia"/>
          <w:rtl/>
        </w:rPr>
        <w:t xml:space="preserve"> كابيلا </w:t>
      </w:r>
      <w:proofErr w:type="spellStart"/>
      <w:r w:rsidRPr="00C66A65">
        <w:rPr>
          <w:rFonts w:eastAsiaTheme="minorEastAsia"/>
          <w:rtl/>
        </w:rPr>
        <w:t>رويغ</w:t>
      </w:r>
      <w:proofErr w:type="spellEnd"/>
      <w:r w:rsidRPr="00C66A65">
        <w:rPr>
          <w:rFonts w:eastAsiaTheme="minorEastAsia"/>
          <w:rtl/>
        </w:rPr>
        <w:t>، مديرة مركز المشورة القانونية في كلية الحقوق بجامعة جزر البليار، وعضوة سابقة في برلمان جزر البليار، التي شاركت في صياغة تشريع منطقة الحكم الذاتي بشأن استعادة الأشخاص الذين اختفوا خلال الحرب الأهلية وفترة نظام فرانكو؛ ورابطة مايوركا لإحياء الذاكرة التاريخية. وتناولت البيانات المقترحة بالأساس الالتزام بالتحقيق في الانتهاكات الجسيمة لحقوق الإنسان التي وقعت في الماضي، والطابع المستمر لحالات الاختفاء، وعدم اتخاذ إجراءات للبحث عن الأشخاص الذين اختفوا خلال الحرب الأهلية وفترة نظام فرانكو، واستحالة الوصول إلى العدالة.</w:t>
      </w:r>
    </w:p>
    <w:p w14:paraId="756F519C" w14:textId="196A7A03" w:rsidR="007A627B" w:rsidRPr="000233B9" w:rsidRDefault="00C66A65" w:rsidP="00A67F09">
      <w:pPr>
        <w:pStyle w:val="SingleTxtGA"/>
        <w:spacing w:line="350" w:lineRule="exact"/>
        <w:rPr>
          <w:rtl/>
        </w:rPr>
      </w:pPr>
      <w:r w:rsidRPr="000233B9">
        <w:rPr>
          <w:rFonts w:eastAsiaTheme="minorEastAsia"/>
          <w:rtl/>
        </w:rPr>
        <w:t>1</w:t>
      </w:r>
      <w:r w:rsidRPr="00C66A65">
        <w:rPr>
          <w:rFonts w:eastAsiaTheme="minorEastAsia"/>
          <w:rtl/>
        </w:rPr>
        <w:t>-</w:t>
      </w:r>
      <w:r w:rsidRPr="000233B9">
        <w:rPr>
          <w:rFonts w:eastAsiaTheme="minorEastAsia"/>
          <w:rtl/>
        </w:rPr>
        <w:t>4</w:t>
      </w:r>
      <w:r w:rsidRPr="00C66A65">
        <w:rPr>
          <w:rFonts w:eastAsiaTheme="minorEastAsia"/>
          <w:rtl/>
        </w:rPr>
        <w:tab/>
        <w:t xml:space="preserve">وفي </w:t>
      </w:r>
      <w:r w:rsidRPr="000233B9">
        <w:rPr>
          <w:rFonts w:eastAsiaTheme="minorEastAsia"/>
          <w:rtl/>
        </w:rPr>
        <w:t>21</w:t>
      </w:r>
      <w:r w:rsidRPr="00C66A65">
        <w:rPr>
          <w:rFonts w:eastAsiaTheme="minorEastAsia"/>
          <w:rtl/>
        </w:rPr>
        <w:t xml:space="preserve"> و</w:t>
      </w:r>
      <w:r w:rsidRPr="000233B9">
        <w:rPr>
          <w:rFonts w:eastAsiaTheme="minorEastAsia"/>
          <w:rtl/>
        </w:rPr>
        <w:t>29</w:t>
      </w:r>
      <w:r w:rsidRPr="00C66A65">
        <w:rPr>
          <w:rFonts w:eastAsiaTheme="minorEastAsia"/>
          <w:rtl/>
        </w:rPr>
        <w:t xml:space="preserve"> كانون الثاني/يناير </w:t>
      </w:r>
      <w:r w:rsidRPr="000233B9">
        <w:rPr>
          <w:rFonts w:eastAsiaTheme="minorEastAsia"/>
          <w:rtl/>
        </w:rPr>
        <w:t>2020</w:t>
      </w:r>
      <w:r w:rsidRPr="00C66A65">
        <w:rPr>
          <w:rFonts w:eastAsiaTheme="minorEastAsia"/>
          <w:rtl/>
        </w:rPr>
        <w:t>، قرر المقررون الخاصون المعنيون بالبلاغات الجديدة رفض الطلبات الأربعة المتعلقة بتدخل أطراف ثالثة.</w:t>
      </w:r>
    </w:p>
    <w:p w14:paraId="77203A5A" w14:textId="58F06549" w:rsidR="00C66A65" w:rsidRPr="000233B9" w:rsidRDefault="007A627B" w:rsidP="007A627B">
      <w:pPr>
        <w:pStyle w:val="H23GA"/>
        <w:rPr>
          <w:lang w:val="ar-SA" w:eastAsia="zh-TW" w:bidi="en-GB"/>
        </w:rPr>
      </w:pPr>
      <w:r w:rsidRPr="000233B9">
        <w:rPr>
          <w:rtl/>
        </w:rPr>
        <w:tab/>
      </w:r>
      <w:r w:rsidRPr="000233B9">
        <w:rPr>
          <w:rtl/>
        </w:rPr>
        <w:tab/>
      </w:r>
      <w:r w:rsidR="00C66A65" w:rsidRPr="000233B9">
        <w:rPr>
          <w:rtl/>
        </w:rPr>
        <w:t>الوقائع كما عرضتها صاحبتا البلاغ</w:t>
      </w:r>
    </w:p>
    <w:p w14:paraId="2A6B8203" w14:textId="77777777" w:rsidR="00C66A65" w:rsidRPr="000233B9" w:rsidRDefault="00C66A65" w:rsidP="00A67F09">
      <w:pPr>
        <w:pStyle w:val="SingleTxtGA"/>
        <w:spacing w:line="350" w:lineRule="exact"/>
        <w:rPr>
          <w:rFonts w:eastAsiaTheme="minorEastAsia"/>
          <w:i/>
          <w:iCs/>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1</w:t>
      </w:r>
      <w:r w:rsidRPr="00C66A65">
        <w:rPr>
          <w:rFonts w:eastAsiaTheme="minorEastAsia"/>
          <w:rtl/>
        </w:rPr>
        <w:tab/>
        <w:t>تؤكد صاحبتا البلاغ أن وقائع هذه القضية تندرج في إطار الممارسة المنهجية المتبعة خلال الحرب الأهلية (</w:t>
      </w:r>
      <w:r w:rsidRPr="000233B9">
        <w:rPr>
          <w:rFonts w:eastAsiaTheme="minorEastAsia"/>
          <w:rtl/>
        </w:rPr>
        <w:t>1936</w:t>
      </w:r>
      <w:r w:rsidRPr="00C66A65">
        <w:rPr>
          <w:rFonts w:eastAsiaTheme="minorEastAsia"/>
          <w:rtl/>
        </w:rPr>
        <w:t>-</w:t>
      </w:r>
      <w:r w:rsidRPr="000233B9">
        <w:rPr>
          <w:rFonts w:eastAsiaTheme="minorEastAsia"/>
          <w:rtl/>
        </w:rPr>
        <w:t>1939</w:t>
      </w:r>
      <w:r w:rsidRPr="00C66A65">
        <w:rPr>
          <w:rFonts w:eastAsiaTheme="minorEastAsia"/>
          <w:rtl/>
        </w:rPr>
        <w:t>) ودكتاتورية فرانكو التي تلتها (</w:t>
      </w:r>
      <w:r w:rsidRPr="000233B9">
        <w:rPr>
          <w:rFonts w:eastAsiaTheme="minorEastAsia"/>
          <w:rtl/>
        </w:rPr>
        <w:t>1939</w:t>
      </w:r>
      <w:r w:rsidRPr="00C66A65">
        <w:rPr>
          <w:rFonts w:eastAsiaTheme="minorEastAsia"/>
          <w:rtl/>
        </w:rPr>
        <w:t>-</w:t>
      </w:r>
      <w:r w:rsidRPr="000233B9">
        <w:rPr>
          <w:rFonts w:eastAsiaTheme="minorEastAsia"/>
          <w:rtl/>
        </w:rPr>
        <w:t>1975</w:t>
      </w:r>
      <w:r w:rsidRPr="00C66A65">
        <w:rPr>
          <w:rFonts w:eastAsiaTheme="minorEastAsia"/>
          <w:rtl/>
        </w:rPr>
        <w:t>)، والمتمثلة في الاختفاء القسري للأشخاص المتهمين باعتناق أيديولوجية مخالفة لأيديولوجية نظام فرانكو.</w:t>
      </w:r>
    </w:p>
    <w:p w14:paraId="7967758B" w14:textId="5DB58E23" w:rsidR="00C66A65" w:rsidRPr="00C66A65" w:rsidRDefault="00C66A65" w:rsidP="00A67F09">
      <w:pPr>
        <w:pStyle w:val="SingleTxtGA"/>
        <w:spacing w:line="350" w:lineRule="exact"/>
        <w:rPr>
          <w:rFonts w:eastAsiaTheme="minorEastAsia"/>
          <w:lang w:val="fr-CH" w:eastAsia="zh-TW"/>
        </w:rPr>
      </w:pPr>
      <w:r w:rsidRPr="000233B9">
        <w:rPr>
          <w:rFonts w:eastAsiaTheme="minorEastAsia"/>
          <w:rtl/>
        </w:rPr>
        <w:t>2</w:t>
      </w:r>
      <w:r w:rsidRPr="00C66A65">
        <w:rPr>
          <w:rFonts w:eastAsiaTheme="minorEastAsia"/>
          <w:rtl/>
        </w:rPr>
        <w:t>-</w:t>
      </w:r>
      <w:r w:rsidRPr="000233B9">
        <w:rPr>
          <w:rFonts w:eastAsiaTheme="minorEastAsia"/>
          <w:rtl/>
        </w:rPr>
        <w:t>2</w:t>
      </w:r>
      <w:r w:rsidRPr="00C66A65">
        <w:rPr>
          <w:rFonts w:eastAsiaTheme="minorEastAsia"/>
          <w:rtl/>
        </w:rPr>
        <w:tab/>
        <w:t xml:space="preserve">ووفقاً لقاضي محكمة التحقيق المركزية رقم </w:t>
      </w:r>
      <w:r w:rsidRPr="000233B9">
        <w:rPr>
          <w:rFonts w:eastAsiaTheme="minorEastAsia"/>
          <w:rtl/>
        </w:rPr>
        <w:t>5</w:t>
      </w:r>
      <w:r w:rsidRPr="00C66A65">
        <w:rPr>
          <w:rFonts w:eastAsiaTheme="minorEastAsia"/>
          <w:rtl/>
        </w:rPr>
        <w:t xml:space="preserve"> التابعة للمحكمة الوطنية العليا، الذي بدأ التحقيق في حالات الاختفاء القسري التي وقعت خلال الحرب الأهلية وفترة نظام فرانكو، فإن "نظام الاختفاء القسري استُخدم استخداماً منهجياً لكي يكون التعرف على الضحايا أمراً مستحيلاً". وقدر القاضي عدد ضحايا الاختفاء القسري خلال هذه الفترة بما لا يقل عن </w:t>
      </w:r>
      <w:r w:rsidRPr="000233B9">
        <w:rPr>
          <w:rFonts w:eastAsiaTheme="minorEastAsia"/>
          <w:rtl/>
        </w:rPr>
        <w:t>226</w:t>
      </w:r>
      <w:r w:rsidRPr="00C66A65">
        <w:rPr>
          <w:rFonts w:eastAsiaTheme="minorEastAsia"/>
          <w:rtl/>
        </w:rPr>
        <w:t xml:space="preserve"> </w:t>
      </w:r>
      <w:r w:rsidRPr="000233B9">
        <w:rPr>
          <w:rFonts w:eastAsiaTheme="minorEastAsia"/>
          <w:rtl/>
        </w:rPr>
        <w:t>114</w:t>
      </w:r>
      <w:r w:rsidRPr="00C66A65">
        <w:rPr>
          <w:rFonts w:eastAsiaTheme="minorEastAsia"/>
          <w:rtl/>
        </w:rPr>
        <w:t xml:space="preserve"> شخصاً</w:t>
      </w:r>
      <w:r>
        <w:rPr>
          <w:rStyle w:val="FootnoteReference"/>
          <w:rFonts w:eastAsiaTheme="minorEastAsia"/>
          <w:szCs w:val="22"/>
          <w:rtl/>
        </w:rPr>
        <w:t>(</w:t>
      </w:r>
      <w:r w:rsidRPr="000233B9">
        <w:rPr>
          <w:rStyle w:val="FootnoteReference"/>
          <w:rFonts w:eastAsiaTheme="minorEastAsia"/>
          <w:szCs w:val="22"/>
          <w:lang w:val="en-US"/>
        </w:rPr>
        <w:footnoteReference w:id="4"/>
      </w:r>
      <w:r>
        <w:rPr>
          <w:rStyle w:val="FootnoteReference"/>
          <w:rFonts w:eastAsiaTheme="minorEastAsia"/>
          <w:szCs w:val="22"/>
          <w:rtl/>
        </w:rPr>
        <w:t>)</w:t>
      </w:r>
      <w:r w:rsidRPr="00C66A65">
        <w:rPr>
          <w:rFonts w:eastAsiaTheme="minorEastAsia"/>
          <w:rtl/>
        </w:rPr>
        <w:t>.</w:t>
      </w:r>
    </w:p>
    <w:p w14:paraId="11154824" w14:textId="6C293A40" w:rsidR="00C66A65" w:rsidRPr="00C66A65" w:rsidRDefault="00C66A65" w:rsidP="00C66A65">
      <w:pPr>
        <w:pStyle w:val="SingleTxtGA"/>
        <w:rPr>
          <w:rFonts w:eastAsiaTheme="minorEastAsia"/>
          <w:lang w:val="ar-SA" w:eastAsia="zh-TW" w:bidi="en-GB"/>
        </w:rPr>
      </w:pPr>
      <w:r w:rsidRPr="000233B9">
        <w:rPr>
          <w:rFonts w:eastAsiaTheme="minorEastAsia"/>
          <w:rtl/>
        </w:rPr>
        <w:lastRenderedPageBreak/>
        <w:t>2</w:t>
      </w:r>
      <w:r w:rsidRPr="00C66A65">
        <w:rPr>
          <w:rFonts w:eastAsiaTheme="minorEastAsia"/>
          <w:rtl/>
        </w:rPr>
        <w:t>-</w:t>
      </w:r>
      <w:r w:rsidRPr="000233B9">
        <w:rPr>
          <w:rFonts w:eastAsiaTheme="minorEastAsia"/>
          <w:rtl/>
        </w:rPr>
        <w:t>3</w:t>
      </w:r>
      <w:r w:rsidRPr="00C66A65">
        <w:rPr>
          <w:rFonts w:eastAsiaTheme="minorEastAsia"/>
          <w:rtl/>
        </w:rPr>
        <w:tab/>
        <w:t xml:space="preserve">وفي مايوركا، كان الاختفاء القسري للأشخاص المتحالفين مع الجمهورية ممارسة منهجية واسعة النطاق، وأصبح سائداً بوجه خاص في مناطق مثل </w:t>
      </w:r>
      <w:proofErr w:type="spellStart"/>
      <w:r w:rsidRPr="00C66A65">
        <w:rPr>
          <w:rFonts w:eastAsiaTheme="minorEastAsia"/>
          <w:rtl/>
        </w:rPr>
        <w:t>ماناكور</w:t>
      </w:r>
      <w:proofErr w:type="spellEnd"/>
      <w:r w:rsidRPr="00C66A65">
        <w:rPr>
          <w:rFonts w:eastAsiaTheme="minorEastAsia"/>
          <w:rtl/>
        </w:rPr>
        <w:t xml:space="preserve">، حيث اختفى قريبا صاحبتي البلاغ. وسيطرت القوات سيطرة كاملة على جزر البليار بعد </w:t>
      </w:r>
      <w:r w:rsidRPr="000233B9">
        <w:rPr>
          <w:rFonts w:eastAsiaTheme="minorEastAsia"/>
          <w:rtl/>
        </w:rPr>
        <w:t>20</w:t>
      </w:r>
      <w:r w:rsidRPr="00C66A65">
        <w:rPr>
          <w:rFonts w:eastAsiaTheme="minorEastAsia"/>
          <w:rtl/>
        </w:rPr>
        <w:t xml:space="preserve"> يوماً من انقلاب </w:t>
      </w:r>
      <w:r w:rsidRPr="000233B9">
        <w:rPr>
          <w:rFonts w:eastAsiaTheme="minorEastAsia"/>
          <w:rtl/>
        </w:rPr>
        <w:t>18</w:t>
      </w:r>
      <w:r w:rsidRPr="00C66A65">
        <w:rPr>
          <w:rFonts w:eastAsiaTheme="minorEastAsia"/>
          <w:rtl/>
        </w:rPr>
        <w:t xml:space="preserve"> تموز/يوليه </w:t>
      </w:r>
      <w:r w:rsidRPr="000233B9">
        <w:rPr>
          <w:rFonts w:eastAsiaTheme="minorEastAsia"/>
          <w:rtl/>
        </w:rPr>
        <w:t>1936</w:t>
      </w:r>
      <w:r w:rsidRPr="00C66A65">
        <w:rPr>
          <w:rFonts w:eastAsiaTheme="minorEastAsia"/>
          <w:rtl/>
        </w:rPr>
        <w:t xml:space="preserve">. وعلى الرغم من أن دكتاتورية فرانسيسكو فرانكو عمَّت البلد بأسره في عام </w:t>
      </w:r>
      <w:r w:rsidRPr="000233B9">
        <w:rPr>
          <w:rFonts w:eastAsiaTheme="minorEastAsia"/>
          <w:rtl/>
        </w:rPr>
        <w:t>1939</w:t>
      </w:r>
      <w:r w:rsidRPr="00C66A65">
        <w:rPr>
          <w:rFonts w:eastAsiaTheme="minorEastAsia"/>
          <w:rtl/>
        </w:rPr>
        <w:t xml:space="preserve">، عندما هُزمت الجمهورية وانتهت الحرب، فإنها سرعان ما فرضت نفسها في مايوركا، اعتباراً من عام </w:t>
      </w:r>
      <w:r w:rsidRPr="000233B9">
        <w:rPr>
          <w:rFonts w:eastAsiaTheme="minorEastAsia"/>
          <w:rtl/>
        </w:rPr>
        <w:t>1936</w:t>
      </w:r>
      <w:r w:rsidRPr="00C66A65">
        <w:rPr>
          <w:rFonts w:eastAsiaTheme="minorEastAsia"/>
          <w:rtl/>
        </w:rPr>
        <w:t>.</w:t>
      </w:r>
    </w:p>
    <w:p w14:paraId="787D3D41" w14:textId="7D9C6CB8" w:rsidR="00C66A65" w:rsidRDefault="00C66A65" w:rsidP="00C66A65">
      <w:pPr>
        <w:pStyle w:val="SingleTxtGA"/>
        <w:rPr>
          <w:rFonts w:eastAsiaTheme="minorEastAsia"/>
          <w:lang w:val="en-US" w:eastAsia="zh-TW" w:bidi="en-GB"/>
        </w:rPr>
      </w:pPr>
      <w:r w:rsidRPr="000233B9">
        <w:rPr>
          <w:rFonts w:eastAsiaTheme="minorEastAsia"/>
          <w:rtl/>
        </w:rPr>
        <w:t>2</w:t>
      </w:r>
      <w:r w:rsidRPr="00C66A65">
        <w:rPr>
          <w:rFonts w:eastAsiaTheme="minorEastAsia"/>
          <w:rtl/>
        </w:rPr>
        <w:t>-</w:t>
      </w:r>
      <w:r w:rsidRPr="000233B9">
        <w:rPr>
          <w:rFonts w:eastAsiaTheme="minorEastAsia"/>
          <w:rtl/>
        </w:rPr>
        <w:t>4</w:t>
      </w:r>
      <w:r w:rsidRPr="00C66A65">
        <w:rPr>
          <w:rFonts w:eastAsiaTheme="minorEastAsia"/>
          <w:rtl/>
        </w:rPr>
        <w:tab/>
        <w:t xml:space="preserve">وتنحدر السيدة خ. ف. والسيد أ. م. من بلدة يوبي في مايوركا. وانتقلا بعد زواجهما إلى </w:t>
      </w:r>
      <w:proofErr w:type="spellStart"/>
      <w:r w:rsidRPr="00C66A65">
        <w:rPr>
          <w:rFonts w:eastAsiaTheme="minorEastAsia"/>
          <w:rtl/>
        </w:rPr>
        <w:t>ماناكور</w:t>
      </w:r>
      <w:proofErr w:type="spellEnd"/>
      <w:r w:rsidRPr="00C66A65">
        <w:rPr>
          <w:rFonts w:eastAsiaTheme="minorEastAsia"/>
          <w:rtl/>
        </w:rPr>
        <w:t xml:space="preserve">، حيث كانا يعملان في شركة لصناعة الساعات يملكانها. وعند وقوع الأحداث، كانت لديهما ابنتان، هما أ.، التي كانت تبلغ من العمر </w:t>
      </w:r>
      <w:r w:rsidRPr="000233B9">
        <w:rPr>
          <w:rFonts w:eastAsiaTheme="minorEastAsia"/>
          <w:rtl/>
        </w:rPr>
        <w:t>11</w:t>
      </w:r>
      <w:r w:rsidRPr="00C66A65">
        <w:rPr>
          <w:rFonts w:eastAsiaTheme="minorEastAsia"/>
          <w:rtl/>
        </w:rPr>
        <w:t xml:space="preserve"> عاماً (متوفاة، وكانت هي أم ب. م. ر. أ. صاحبة البلاغ) وف. التي كانت في الثامنة من عمرها (صاحبة البلاغ). إضافة إلى ذلك، كانت السيدة خ. ف. حاملاً في شهرها السابع تقريباً.</w:t>
      </w:r>
    </w:p>
    <w:p w14:paraId="77A3DEF2" w14:textId="6E0F13CB" w:rsidR="00C66A65" w:rsidRPr="003D151B" w:rsidRDefault="00C66A65" w:rsidP="00C66A65">
      <w:pPr>
        <w:pStyle w:val="SingleTxtGA"/>
        <w:rPr>
          <w:rFonts w:eastAsiaTheme="minorEastAsia"/>
          <w:lang w:val="en-US" w:eastAsia="zh-TW" w:bidi="en-GB"/>
        </w:rPr>
      </w:pPr>
      <w:r w:rsidRPr="000233B9">
        <w:rPr>
          <w:rFonts w:eastAsiaTheme="minorEastAsia"/>
          <w:rtl/>
        </w:rPr>
        <w:t>2</w:t>
      </w:r>
      <w:r w:rsidRPr="00C66A65">
        <w:rPr>
          <w:rFonts w:eastAsiaTheme="minorEastAsia"/>
          <w:rtl/>
        </w:rPr>
        <w:t>-</w:t>
      </w:r>
      <w:r w:rsidRPr="000233B9">
        <w:rPr>
          <w:rFonts w:eastAsiaTheme="minorEastAsia"/>
          <w:rtl/>
        </w:rPr>
        <w:t>5</w:t>
      </w:r>
      <w:r w:rsidRPr="00C66A65">
        <w:rPr>
          <w:rFonts w:eastAsiaTheme="minorEastAsia"/>
          <w:rtl/>
        </w:rPr>
        <w:tab/>
        <w:t>وكان السيد أ. م. متعاطفاً مع أفكار اليسار الجمهوري. واعتاد في أيام الأحد على الذهاب رفقة ابنتيه إلى حانة يرتادها الجمهوريون بدلاً من حضور القداس. وكان أيضاً قارئاً مخلص</w:t>
      </w:r>
      <w:r w:rsidR="00446F74">
        <w:rPr>
          <w:rFonts w:eastAsiaTheme="minorEastAsia"/>
          <w:rtl/>
        </w:rPr>
        <w:t xml:space="preserve">اً </w:t>
      </w:r>
      <w:r w:rsidRPr="00C66A65">
        <w:rPr>
          <w:rFonts w:eastAsiaTheme="minorEastAsia"/>
          <w:rtl/>
        </w:rPr>
        <w:t xml:space="preserve">لمجلة </w:t>
      </w:r>
      <w:proofErr w:type="spellStart"/>
      <w:r w:rsidRPr="003D151B">
        <w:rPr>
          <w:rFonts w:eastAsiaTheme="minorEastAsia"/>
          <w:i/>
          <w:iCs/>
          <w:rtl/>
        </w:rPr>
        <w:t>نوسوتروس</w:t>
      </w:r>
      <w:proofErr w:type="spellEnd"/>
      <w:r w:rsidRPr="003D151B">
        <w:rPr>
          <w:rFonts w:eastAsiaTheme="minorEastAsia"/>
          <w:i/>
          <w:iCs/>
          <w:rtl/>
        </w:rPr>
        <w:t xml:space="preserve"> </w:t>
      </w:r>
      <w:r w:rsidRPr="00C66A65">
        <w:rPr>
          <w:rFonts w:eastAsiaTheme="minorEastAsia"/>
          <w:rtl/>
        </w:rPr>
        <w:t>الجمهورية، التي كان يحتفظ بكل طبعاتها في بيته. وعلى الرغم من أن الفتيات لم يكن آنذاك يواصلن الدراسة عادة بعد القربان المقدس الأول، أبقى الزوجان ابنتيهما في المدرسة لرغبتهما في تلقيهما تعليماً واسع النطاق.</w:t>
      </w:r>
    </w:p>
    <w:p w14:paraId="64ACDF53" w14:textId="23710921" w:rsidR="00C66A65" w:rsidRPr="007A627B" w:rsidRDefault="00C66A65" w:rsidP="00C66A65">
      <w:pPr>
        <w:pStyle w:val="SingleTxtGA"/>
        <w:rPr>
          <w:rFonts w:eastAsiaTheme="minorEastAsia"/>
          <w:lang w:val="en-US" w:eastAsia="zh-TW" w:bidi="en-GB"/>
        </w:rPr>
      </w:pPr>
      <w:r w:rsidRPr="000233B9">
        <w:rPr>
          <w:rFonts w:eastAsiaTheme="minorEastAsia"/>
          <w:rtl/>
        </w:rPr>
        <w:t>2</w:t>
      </w:r>
      <w:r w:rsidRPr="00C66A65">
        <w:rPr>
          <w:rFonts w:eastAsiaTheme="minorEastAsia"/>
          <w:rtl/>
        </w:rPr>
        <w:t>-</w:t>
      </w:r>
      <w:r w:rsidRPr="000233B9">
        <w:rPr>
          <w:rFonts w:eastAsiaTheme="minorEastAsia"/>
          <w:rtl/>
        </w:rPr>
        <w:t>6</w:t>
      </w:r>
      <w:r w:rsidRPr="00C66A65">
        <w:rPr>
          <w:rFonts w:eastAsiaTheme="minorEastAsia"/>
          <w:rtl/>
        </w:rPr>
        <w:tab/>
        <w:t xml:space="preserve">وفي منتصف آب/أغسطس </w:t>
      </w:r>
      <w:r w:rsidRPr="000233B9">
        <w:rPr>
          <w:rFonts w:eastAsiaTheme="minorEastAsia"/>
          <w:rtl/>
        </w:rPr>
        <w:t>1936</w:t>
      </w:r>
      <w:r w:rsidRPr="00C66A65">
        <w:rPr>
          <w:rFonts w:eastAsiaTheme="minorEastAsia"/>
          <w:rtl/>
        </w:rPr>
        <w:t xml:space="preserve">، احتُجز السيد أ. م. لمدة أسبوع في مركز شرطة </w:t>
      </w:r>
      <w:proofErr w:type="spellStart"/>
      <w:r w:rsidRPr="00C66A65">
        <w:rPr>
          <w:rFonts w:eastAsiaTheme="minorEastAsia"/>
          <w:rtl/>
        </w:rPr>
        <w:t>ماناكور</w:t>
      </w:r>
      <w:proofErr w:type="spellEnd"/>
      <w:r w:rsidRPr="00C66A65">
        <w:rPr>
          <w:rFonts w:eastAsiaTheme="minorEastAsia"/>
          <w:rtl/>
        </w:rPr>
        <w:t xml:space="preserve">. وفي </w:t>
      </w:r>
      <w:r w:rsidRPr="000233B9">
        <w:rPr>
          <w:rFonts w:eastAsiaTheme="minorEastAsia"/>
          <w:rtl/>
        </w:rPr>
        <w:t>22</w:t>
      </w:r>
      <w:r w:rsidRPr="00C66A65">
        <w:rPr>
          <w:rFonts w:eastAsiaTheme="minorEastAsia"/>
          <w:rtl/>
        </w:rPr>
        <w:t xml:space="preserve"> آب/أغسطس </w:t>
      </w:r>
      <w:r w:rsidRPr="000233B9">
        <w:rPr>
          <w:rFonts w:eastAsiaTheme="minorEastAsia"/>
          <w:rtl/>
        </w:rPr>
        <w:t>1936</w:t>
      </w:r>
      <w:r w:rsidRPr="00C66A65">
        <w:rPr>
          <w:rFonts w:eastAsiaTheme="minorEastAsia"/>
          <w:rtl/>
        </w:rPr>
        <w:t>، توجه أحد أفراد الحرس المدني إلى منزل الزوجين وأمر السيدة خ. ف. بالحضور إلى مركز الشرطة لتقديم إفادة كي يُخلى سبيل زوجها. وأُلقي القبض عليها عند وصولها إلى مركز الشرطة. وأُطلق سراح السيد أ. م. في اليوم نفسه. ووفقاً لابنتيه، "كان سعيداً جداً، لكنه فُجع عندما علم باحتجاز أُمّنا". ولم يُسمح لهم برؤيتها في مركز الشرطة. وفي صباح أحد الأيام، استيقظت البنتان ولا</w:t>
      </w:r>
      <w:r w:rsidR="00446F74">
        <w:rPr>
          <w:rFonts w:eastAsiaTheme="minorEastAsia" w:hint="cs"/>
          <w:rtl/>
        </w:rPr>
        <w:t> </w:t>
      </w:r>
      <w:r w:rsidRPr="00C66A65">
        <w:rPr>
          <w:rFonts w:eastAsiaTheme="minorEastAsia"/>
          <w:rtl/>
        </w:rPr>
        <w:t>أحد معهما. فقد اختفى أبوهما وكان باب المنزل مفتوحاً. ومنذ ذلك الوقت، انقطع اتصالهما بوالديهما.</w:t>
      </w:r>
    </w:p>
    <w:p w14:paraId="57006544"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2</w:t>
      </w:r>
      <w:r w:rsidRPr="00C66A65">
        <w:rPr>
          <w:rFonts w:eastAsiaTheme="minorEastAsia"/>
          <w:rtl/>
        </w:rPr>
        <w:t>-</w:t>
      </w:r>
      <w:r w:rsidRPr="000233B9">
        <w:rPr>
          <w:rFonts w:eastAsiaTheme="minorEastAsia"/>
          <w:rtl/>
        </w:rPr>
        <w:t>7</w:t>
      </w:r>
      <w:r w:rsidRPr="00C66A65">
        <w:rPr>
          <w:rFonts w:eastAsiaTheme="minorEastAsia"/>
          <w:rtl/>
        </w:rPr>
        <w:tab/>
        <w:t xml:space="preserve">وفي مطلع أيلول/سبتمبر </w:t>
      </w:r>
      <w:r w:rsidRPr="000233B9">
        <w:rPr>
          <w:rFonts w:eastAsiaTheme="minorEastAsia"/>
          <w:rtl/>
        </w:rPr>
        <w:t>1936</w:t>
      </w:r>
      <w:r w:rsidRPr="00C66A65">
        <w:rPr>
          <w:rFonts w:eastAsiaTheme="minorEastAsia"/>
          <w:rtl/>
        </w:rPr>
        <w:t xml:space="preserve">، توجه جد الفتاتين إلى بيتهما بحثاً عنهما. وحاول تحديد مكان وجود ابنه وزوجة ابنه، </w:t>
      </w:r>
      <w:proofErr w:type="spellStart"/>
      <w:r w:rsidRPr="00C66A65">
        <w:rPr>
          <w:rFonts w:eastAsiaTheme="minorEastAsia"/>
          <w:rtl/>
        </w:rPr>
        <w:t>متذرعاً</w:t>
      </w:r>
      <w:proofErr w:type="spellEnd"/>
      <w:r w:rsidRPr="00C66A65">
        <w:rPr>
          <w:rFonts w:eastAsiaTheme="minorEastAsia"/>
          <w:rtl/>
        </w:rPr>
        <w:t xml:space="preserve"> بجلب ملابس لهما، لكن النقيب </w:t>
      </w:r>
      <w:proofErr w:type="spellStart"/>
      <w:r w:rsidRPr="00C66A65">
        <w:rPr>
          <w:rFonts w:eastAsiaTheme="minorEastAsia"/>
          <w:rtl/>
        </w:rPr>
        <w:t>خاومي</w:t>
      </w:r>
      <w:proofErr w:type="spellEnd"/>
      <w:r w:rsidRPr="00C66A65">
        <w:rPr>
          <w:rFonts w:eastAsiaTheme="minorEastAsia"/>
          <w:rtl/>
        </w:rPr>
        <w:t xml:space="preserve">، الذي كان آنذاك عمدة </w:t>
      </w:r>
      <w:proofErr w:type="spellStart"/>
      <w:r w:rsidRPr="00C66A65">
        <w:rPr>
          <w:rFonts w:eastAsiaTheme="minorEastAsia"/>
          <w:rtl/>
        </w:rPr>
        <w:t>ماناكور</w:t>
      </w:r>
      <w:proofErr w:type="spellEnd"/>
      <w:r w:rsidRPr="00C66A65">
        <w:rPr>
          <w:rFonts w:eastAsiaTheme="minorEastAsia"/>
          <w:rtl/>
        </w:rPr>
        <w:t xml:space="preserve"> ورئيس </w:t>
      </w:r>
      <w:proofErr w:type="spellStart"/>
      <w:r w:rsidRPr="00C66A65">
        <w:rPr>
          <w:rFonts w:eastAsiaTheme="minorEastAsia"/>
          <w:rtl/>
        </w:rPr>
        <w:t>الفلانخي</w:t>
      </w:r>
      <w:proofErr w:type="spellEnd"/>
      <w:r w:rsidRPr="00C66A65">
        <w:rPr>
          <w:rFonts w:eastAsiaTheme="minorEastAsia"/>
          <w:rtl/>
        </w:rPr>
        <w:t>، أخبره بأنهما لا يحتاجان إلى ملابس.</w:t>
      </w:r>
    </w:p>
    <w:p w14:paraId="4539D40B"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2</w:t>
      </w:r>
      <w:r w:rsidRPr="00C66A65">
        <w:rPr>
          <w:rFonts w:eastAsiaTheme="minorEastAsia"/>
          <w:rtl/>
        </w:rPr>
        <w:t>-</w:t>
      </w:r>
      <w:r w:rsidRPr="000233B9">
        <w:rPr>
          <w:rFonts w:eastAsiaTheme="minorEastAsia"/>
          <w:rtl/>
        </w:rPr>
        <w:t>8</w:t>
      </w:r>
      <w:r w:rsidRPr="00C66A65">
        <w:rPr>
          <w:rFonts w:eastAsiaTheme="minorEastAsia"/>
          <w:rtl/>
        </w:rPr>
        <w:tab/>
        <w:t>وتغيرت حياة ف. أ. خ. وشقيقتها الكبرى رأساً على عقب بعد اختفاء والديهما. فقد كانتا في حالة ضعف شديد لأنهما فتاتان و"ابنتا مناضلين أحمرين" في مجتمع قائم على سلطة أبوية راسخة. وبعد أن كانت حياتهما هادئة وكانتا تتلقيان تعليماً جيداً، انفصلت إحداهما عن الأخرى للعيش في منازل أقارب مختلفين، والقيام بالأعمال المنزلية والعمل في مواقع البناء وفي الحانات العائلية دون أن تتمكنا من الالتحاق بالمدرسة. ومع ذلك لم يفارقهما أمل عودة والديهما.</w:t>
      </w:r>
    </w:p>
    <w:p w14:paraId="56888AE1" w14:textId="540AF1F4" w:rsidR="00C66A65" w:rsidRPr="00C66A65" w:rsidRDefault="00C66A65" w:rsidP="00C66A65">
      <w:pPr>
        <w:pStyle w:val="SingleTxtGA"/>
        <w:rPr>
          <w:rFonts w:eastAsiaTheme="minorEastAsia"/>
          <w:lang w:val="fr-CH" w:eastAsia="zh-TW" w:bidi="en-GB"/>
        </w:rPr>
      </w:pPr>
      <w:r w:rsidRPr="000233B9">
        <w:rPr>
          <w:rFonts w:eastAsiaTheme="minorEastAsia"/>
          <w:rtl/>
        </w:rPr>
        <w:t>2</w:t>
      </w:r>
      <w:r w:rsidRPr="00C66A65">
        <w:rPr>
          <w:rFonts w:eastAsiaTheme="minorEastAsia"/>
          <w:rtl/>
        </w:rPr>
        <w:t>-</w:t>
      </w:r>
      <w:r w:rsidRPr="000233B9">
        <w:rPr>
          <w:rFonts w:eastAsiaTheme="minorEastAsia"/>
          <w:rtl/>
        </w:rPr>
        <w:t>9</w:t>
      </w:r>
      <w:r w:rsidRPr="00C66A65">
        <w:rPr>
          <w:rFonts w:eastAsiaTheme="minorEastAsia"/>
          <w:rtl/>
        </w:rPr>
        <w:tab/>
        <w:t>وخلال دكتاتورية فرانكو، أطبق الصمت على الجرائم التي ارتكبها المنتصرون في الحرب الأهلية بسبب قمع المتعاطفين مع الجمهوريين وأسرهم. وكان مجرد ذكر ما حدث ينطوي على خطر جسيم.</w:t>
      </w:r>
      <w:r w:rsidR="00F3404A">
        <w:rPr>
          <w:rFonts w:eastAsiaTheme="minorEastAsia" w:hint="cs"/>
          <w:rtl/>
        </w:rPr>
        <w:t xml:space="preserve"> </w:t>
      </w:r>
      <w:r w:rsidRPr="00C66A65">
        <w:rPr>
          <w:rFonts w:eastAsiaTheme="minorEastAsia"/>
          <w:rtl/>
        </w:rPr>
        <w:t>تشير</w:t>
      </w:r>
      <w:r w:rsidR="00F3404A">
        <w:rPr>
          <w:rFonts w:eastAsiaTheme="minorEastAsia" w:hint="cs"/>
          <w:rtl/>
        </w:rPr>
        <w:t> </w:t>
      </w:r>
      <w:r w:rsidRPr="00C66A65">
        <w:rPr>
          <w:rFonts w:eastAsiaTheme="minorEastAsia"/>
          <w:rtl/>
        </w:rPr>
        <w:t xml:space="preserve">التقديرات إلى إعدام </w:t>
      </w:r>
      <w:r w:rsidRPr="000233B9">
        <w:rPr>
          <w:rFonts w:eastAsiaTheme="minorEastAsia"/>
          <w:rtl/>
        </w:rPr>
        <w:t>000</w:t>
      </w:r>
      <w:r w:rsidRPr="00C66A65">
        <w:rPr>
          <w:rFonts w:eastAsiaTheme="minorEastAsia"/>
          <w:rtl/>
        </w:rPr>
        <w:t xml:space="preserve"> </w:t>
      </w:r>
      <w:r w:rsidRPr="000233B9">
        <w:rPr>
          <w:rFonts w:eastAsiaTheme="minorEastAsia"/>
          <w:rtl/>
        </w:rPr>
        <w:t>214</w:t>
      </w:r>
      <w:r w:rsidRPr="00C66A65">
        <w:rPr>
          <w:rFonts w:eastAsiaTheme="minorEastAsia"/>
          <w:rtl/>
        </w:rPr>
        <w:t xml:space="preserve"> شخص واحتجاز </w:t>
      </w:r>
      <w:r w:rsidRPr="000233B9">
        <w:rPr>
          <w:rFonts w:eastAsiaTheme="minorEastAsia"/>
          <w:rtl/>
        </w:rPr>
        <w:t>000</w:t>
      </w:r>
      <w:r w:rsidRPr="00C66A65">
        <w:rPr>
          <w:rFonts w:eastAsiaTheme="minorEastAsia"/>
          <w:rtl/>
        </w:rPr>
        <w:t xml:space="preserve"> </w:t>
      </w:r>
      <w:r w:rsidRPr="000233B9">
        <w:rPr>
          <w:rFonts w:eastAsiaTheme="minorEastAsia"/>
          <w:rtl/>
        </w:rPr>
        <w:t>270</w:t>
      </w:r>
      <w:r w:rsidRPr="00C66A65">
        <w:rPr>
          <w:rFonts w:eastAsiaTheme="minorEastAsia"/>
          <w:rtl/>
        </w:rPr>
        <w:t xml:space="preserve"> شخص في ظروف لاإنسانية حفاظاً على ميثاق الصمت</w:t>
      </w:r>
      <w:r>
        <w:rPr>
          <w:rStyle w:val="FootnoteReference"/>
          <w:rFonts w:eastAsiaTheme="minorEastAsia"/>
          <w:szCs w:val="22"/>
          <w:rtl/>
        </w:rPr>
        <w:t>(</w:t>
      </w:r>
      <w:r w:rsidRPr="000233B9">
        <w:rPr>
          <w:rStyle w:val="FootnoteReference"/>
          <w:rFonts w:eastAsiaTheme="minorEastAsia"/>
          <w:szCs w:val="22"/>
          <w:lang w:val="en-US"/>
        </w:rPr>
        <w:footnoteReference w:id="5"/>
      </w:r>
      <w:r>
        <w:rPr>
          <w:rStyle w:val="FootnoteReference"/>
          <w:rFonts w:eastAsiaTheme="minorEastAsia"/>
          <w:szCs w:val="22"/>
          <w:rtl/>
        </w:rPr>
        <w:t>)</w:t>
      </w:r>
      <w:r w:rsidRPr="00C66A65">
        <w:rPr>
          <w:rFonts w:eastAsiaTheme="minorEastAsia"/>
          <w:rtl/>
        </w:rPr>
        <w:t>.</w:t>
      </w:r>
    </w:p>
    <w:p w14:paraId="4F44AE42" w14:textId="634A19B4" w:rsidR="00C66A65" w:rsidRPr="00C66A65" w:rsidRDefault="00C66A65" w:rsidP="00C66A65">
      <w:pPr>
        <w:pStyle w:val="SingleTxtGA"/>
        <w:rPr>
          <w:rFonts w:eastAsiaTheme="minorEastAsia"/>
          <w:lang w:val="ar-SA" w:eastAsia="zh-TW" w:bidi="en-GB"/>
        </w:rPr>
      </w:pPr>
      <w:r w:rsidRPr="000233B9">
        <w:rPr>
          <w:rFonts w:eastAsiaTheme="minorEastAsia"/>
          <w:rtl/>
        </w:rPr>
        <w:lastRenderedPageBreak/>
        <w:t>2</w:t>
      </w:r>
      <w:r w:rsidRPr="00C66A65">
        <w:rPr>
          <w:rFonts w:eastAsiaTheme="minorEastAsia"/>
          <w:rtl/>
        </w:rPr>
        <w:t>-</w:t>
      </w:r>
      <w:r w:rsidRPr="000233B9">
        <w:rPr>
          <w:rFonts w:eastAsiaTheme="minorEastAsia"/>
          <w:rtl/>
        </w:rPr>
        <w:t>10</w:t>
      </w:r>
      <w:r w:rsidRPr="00C66A65">
        <w:rPr>
          <w:rFonts w:eastAsiaTheme="minorEastAsia"/>
          <w:rtl/>
        </w:rPr>
        <w:tab/>
        <w:t xml:space="preserve">وحتى عندما انتقل البلد إلى النظام الديمقراطي، لم يكن في وسع الضحايا المطالبة بالحقيقة والعدالة والجبر، ومن أهم أسباب ذلك أن المؤسسات التي أنشئت في ظل نظام فرانكو ظلت جزءاً من أجهزة الشرطة والأمن والعدالة. ورأت الدولة أن النسيان ضروري لتحقيق مستقبل ديمقراطي مستقر، بل إن تذكُّر الماضي يزيد من خطر العودة إلى الدكتاتورية. ولذلك اعتمدت الدولة الطرف في </w:t>
      </w:r>
      <w:r w:rsidRPr="000233B9">
        <w:rPr>
          <w:rFonts w:eastAsiaTheme="minorEastAsia"/>
          <w:rtl/>
        </w:rPr>
        <w:t>15</w:t>
      </w:r>
      <w:r w:rsidRPr="00C66A65">
        <w:rPr>
          <w:rFonts w:eastAsiaTheme="minorEastAsia"/>
          <w:rtl/>
        </w:rPr>
        <w:t xml:space="preserve"> تشرين الأول/</w:t>
      </w:r>
      <w:r w:rsidR="003D151B">
        <w:rPr>
          <w:rFonts w:eastAsiaTheme="minorEastAsia" w:hint="cs"/>
          <w:rtl/>
        </w:rPr>
        <w:t xml:space="preserve"> </w:t>
      </w:r>
      <w:r w:rsidRPr="00C66A65">
        <w:rPr>
          <w:rFonts w:eastAsiaTheme="minorEastAsia"/>
          <w:rtl/>
        </w:rPr>
        <w:t xml:space="preserve">أكتوبر </w:t>
      </w:r>
      <w:r w:rsidRPr="000233B9">
        <w:rPr>
          <w:rFonts w:eastAsiaTheme="minorEastAsia"/>
          <w:rtl/>
        </w:rPr>
        <w:t>1977</w:t>
      </w:r>
      <w:r w:rsidRPr="00C66A65">
        <w:rPr>
          <w:rFonts w:eastAsiaTheme="minorEastAsia"/>
          <w:rtl/>
        </w:rPr>
        <w:t xml:space="preserve">، بعد أن صدقت على العهد، قانون العفو (رقم </w:t>
      </w:r>
      <w:r w:rsidRPr="000233B9">
        <w:rPr>
          <w:rFonts w:eastAsiaTheme="minorEastAsia"/>
        </w:rPr>
        <w:t>46</w:t>
      </w:r>
      <w:r w:rsidRPr="00C66A65">
        <w:rPr>
          <w:rFonts w:eastAsiaTheme="minorEastAsia"/>
          <w:rtl/>
        </w:rPr>
        <w:t>/</w:t>
      </w:r>
      <w:r w:rsidRPr="000233B9">
        <w:rPr>
          <w:rFonts w:eastAsiaTheme="minorEastAsia"/>
        </w:rPr>
        <w:t>1977</w:t>
      </w:r>
      <w:r w:rsidRPr="00C66A65">
        <w:rPr>
          <w:rFonts w:eastAsiaTheme="minorEastAsia"/>
          <w:rtl/>
        </w:rPr>
        <w:t>)، مؤكدة أن المصالحة لا</w:t>
      </w:r>
      <w:r w:rsidR="00446F74">
        <w:rPr>
          <w:rFonts w:eastAsiaTheme="minorEastAsia" w:hint="cs"/>
          <w:rtl/>
        </w:rPr>
        <w:t> </w:t>
      </w:r>
      <w:r w:rsidRPr="00C66A65">
        <w:rPr>
          <w:rFonts w:eastAsiaTheme="minorEastAsia"/>
          <w:rtl/>
        </w:rPr>
        <w:t>يمكن أن تتحقق إلا بالعفو عن الماضي ونسيانه.</w:t>
      </w:r>
    </w:p>
    <w:p w14:paraId="18DDEF9F" w14:textId="0AD36DD5" w:rsidR="00C66A65" w:rsidRPr="00C66A65" w:rsidRDefault="00C66A65" w:rsidP="00C66A65">
      <w:pPr>
        <w:pStyle w:val="SingleTxtGA"/>
        <w:rPr>
          <w:rFonts w:eastAsiaTheme="minorEastAsia"/>
          <w:lang w:val="fr-CH" w:eastAsia="zh-TW" w:bidi="en-GB"/>
        </w:rPr>
      </w:pPr>
      <w:r w:rsidRPr="000233B9">
        <w:rPr>
          <w:rFonts w:eastAsiaTheme="minorEastAsia"/>
          <w:rtl/>
        </w:rPr>
        <w:t>2</w:t>
      </w:r>
      <w:r w:rsidRPr="00C66A65">
        <w:rPr>
          <w:rFonts w:eastAsiaTheme="minorEastAsia"/>
          <w:rtl/>
        </w:rPr>
        <w:t>-</w:t>
      </w:r>
      <w:r w:rsidRPr="000233B9">
        <w:rPr>
          <w:rFonts w:eastAsiaTheme="minorEastAsia"/>
          <w:rtl/>
        </w:rPr>
        <w:t>11</w:t>
      </w:r>
      <w:r w:rsidRPr="00C66A65">
        <w:rPr>
          <w:rFonts w:eastAsiaTheme="minorEastAsia"/>
          <w:rtl/>
        </w:rPr>
        <w:tab/>
        <w:t xml:space="preserve">وقامت حياة صاحبتي البلاغ أيضاً على ميثاق الصمت هذا. فعندما علمت ف. أ. خ. وشقيقتها أخيراً بما حدث، وهما صغيرتان، أجبرهما الأصدقاء والأقارب على كتمان السر لأن القمع اضطر الناس إلى التزام الصمت. ووفقاً لدراسة نفسية، أدى ذلك إلى ما يسمى "ميثاق الإنكار"، حيث توافق أسرة بطريقة لاشعورية على تجاهل جوانب مؤلمة من ماضيها حمايةً لأفرادها. وبعد سنوات، أصيبت ف. أ. خ.، التي كانت بالغة ومتزوجة آنذاك، بصدمة عندما أخبرها أحد الجيران في القرية وأختَها بأنه رأى </w:t>
      </w:r>
      <w:proofErr w:type="spellStart"/>
      <w:r w:rsidRPr="00C66A65">
        <w:rPr>
          <w:rFonts w:eastAsiaTheme="minorEastAsia"/>
          <w:rtl/>
        </w:rPr>
        <w:t>فلانخياً</w:t>
      </w:r>
      <w:proofErr w:type="spellEnd"/>
      <w:r w:rsidRPr="00C66A65">
        <w:rPr>
          <w:rFonts w:eastAsiaTheme="minorEastAsia"/>
          <w:rtl/>
        </w:rPr>
        <w:t xml:space="preserve"> واحداً على الأقل يغتصب أمهما، التي كانت تسمى "الحمراء الحامل"، وعندما علمت من </w:t>
      </w:r>
      <w:proofErr w:type="spellStart"/>
      <w:r w:rsidRPr="00C66A65">
        <w:rPr>
          <w:rFonts w:eastAsiaTheme="minorEastAsia"/>
          <w:rtl/>
        </w:rPr>
        <w:t>خوسيب</w:t>
      </w:r>
      <w:proofErr w:type="spellEnd"/>
      <w:r w:rsidRPr="00C66A65">
        <w:rPr>
          <w:rFonts w:eastAsiaTheme="minorEastAsia"/>
          <w:rtl/>
        </w:rPr>
        <w:t xml:space="preserve"> لويس </w:t>
      </w:r>
      <w:proofErr w:type="spellStart"/>
      <w:r w:rsidRPr="00C66A65">
        <w:rPr>
          <w:rFonts w:eastAsiaTheme="minorEastAsia"/>
          <w:rtl/>
        </w:rPr>
        <w:t>ساستري</w:t>
      </w:r>
      <w:proofErr w:type="spellEnd"/>
      <w:r w:rsidRPr="00C66A65">
        <w:rPr>
          <w:rFonts w:eastAsiaTheme="minorEastAsia"/>
          <w:rtl/>
        </w:rPr>
        <w:t xml:space="preserve">، المعروف في </w:t>
      </w:r>
      <w:proofErr w:type="spellStart"/>
      <w:r w:rsidRPr="00C66A65">
        <w:rPr>
          <w:rFonts w:eastAsiaTheme="minorEastAsia"/>
          <w:rtl/>
        </w:rPr>
        <w:t>ماناكور</w:t>
      </w:r>
      <w:proofErr w:type="spellEnd"/>
      <w:r w:rsidRPr="00C66A65">
        <w:rPr>
          <w:rFonts w:eastAsiaTheme="minorEastAsia"/>
          <w:rtl/>
        </w:rPr>
        <w:t xml:space="preserve"> باسم "</w:t>
      </w:r>
      <w:r w:rsidRPr="00C66A65">
        <w:rPr>
          <w:rFonts w:eastAsiaTheme="minorEastAsia"/>
        </w:rPr>
        <w:t xml:space="preserve">Pep i la </w:t>
      </w:r>
      <w:proofErr w:type="spellStart"/>
      <w:r w:rsidRPr="00C66A65">
        <w:rPr>
          <w:rFonts w:eastAsiaTheme="minorEastAsia"/>
        </w:rPr>
        <w:t>Resta</w:t>
      </w:r>
      <w:proofErr w:type="spellEnd"/>
      <w:r w:rsidRPr="00C66A65">
        <w:rPr>
          <w:rFonts w:eastAsiaTheme="minorEastAsia"/>
          <w:rtl/>
        </w:rPr>
        <w:t xml:space="preserve">"، بأنه كان واحداً من </w:t>
      </w:r>
      <w:proofErr w:type="spellStart"/>
      <w:r w:rsidRPr="00C66A65">
        <w:rPr>
          <w:rFonts w:eastAsiaTheme="minorEastAsia"/>
          <w:rtl/>
        </w:rPr>
        <w:t>الفلانخيين</w:t>
      </w:r>
      <w:proofErr w:type="spellEnd"/>
      <w:r w:rsidRPr="00C66A65">
        <w:rPr>
          <w:rFonts w:eastAsiaTheme="minorEastAsia"/>
          <w:rtl/>
        </w:rPr>
        <w:t xml:space="preserve"> الذين اعتقلوا والديها. واختار زوجها، الذي لم يكن على علم بالأحداث ولكنه حضر هذا اللقاء، التزام الصمت أيضاً. ومن ثم فإن العجز عن الحديث عما وقع أثر على الصحة العقلية للبنتين وذريتهما. وعلى الرغم من أن</w:t>
      </w:r>
      <w:r w:rsidR="00F3404A">
        <w:rPr>
          <w:rFonts w:eastAsiaTheme="minorEastAsia" w:hint="cs"/>
          <w:rtl/>
        </w:rPr>
        <w:t> </w:t>
      </w:r>
      <w:r w:rsidRPr="00C66A65">
        <w:rPr>
          <w:rFonts w:eastAsiaTheme="minorEastAsia"/>
          <w:rtl/>
        </w:rPr>
        <w:t>ب. م. ر. أ.، التي هي من الجيل التالي، لم تعلم بما حدث لجديها حتى بلغت سن الخامسة والعشرين، فقد شعرت بآثار الصدمة، لأنها رأت أمها وخالتها تتصرفان تصرفات غير مفهومة. وأشارت الدراسة النفسية أيضاً إلى أن ب. م. ر. أ. تأثرت سلباً بحجم الإنكار الذي حال دون إقامة حدادها.</w:t>
      </w:r>
    </w:p>
    <w:p w14:paraId="153E71D8" w14:textId="77CE1B94"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12</w:t>
      </w:r>
      <w:r w:rsidRPr="00C66A65">
        <w:rPr>
          <w:rFonts w:eastAsiaTheme="minorEastAsia"/>
          <w:rtl/>
        </w:rPr>
        <w:tab/>
        <w:t xml:space="preserve">وكُسر حاجز الصمت في عام </w:t>
      </w:r>
      <w:r w:rsidRPr="000233B9">
        <w:rPr>
          <w:rFonts w:eastAsiaTheme="minorEastAsia"/>
          <w:rtl/>
        </w:rPr>
        <w:t>2002</w:t>
      </w:r>
      <w:r w:rsidRPr="00C66A65">
        <w:rPr>
          <w:rFonts w:eastAsiaTheme="minorEastAsia"/>
          <w:rtl/>
        </w:rPr>
        <w:t xml:space="preserve"> لدى تأسيس رابطة إحياء الذاكرة التاريخية. علاوة على ذلك، فإن قرار الفريق العامل المعني بحالات الاختفاء القسري أو غير الطوعي في عام </w:t>
      </w:r>
      <w:r w:rsidRPr="000233B9">
        <w:rPr>
          <w:rFonts w:eastAsiaTheme="minorEastAsia"/>
          <w:rtl/>
        </w:rPr>
        <w:t>2003</w:t>
      </w:r>
      <w:r w:rsidRPr="00C66A65">
        <w:rPr>
          <w:rFonts w:eastAsiaTheme="minorEastAsia"/>
          <w:rtl/>
        </w:rPr>
        <w:t xml:space="preserve"> إدراج إسبانيا في قائمة البلدان التي تضم حالات اختفاء قسري لم تُحلّ بعد</w:t>
      </w:r>
      <w:r>
        <w:rPr>
          <w:rStyle w:val="FootnoteReference"/>
          <w:rFonts w:eastAsiaTheme="minorEastAsia"/>
          <w:szCs w:val="22"/>
          <w:rtl/>
        </w:rPr>
        <w:t>(</w:t>
      </w:r>
      <w:r w:rsidRPr="000233B9">
        <w:rPr>
          <w:rStyle w:val="FootnoteReference"/>
          <w:rFonts w:eastAsiaTheme="minorEastAsia"/>
          <w:szCs w:val="22"/>
          <w:lang w:val="en-US"/>
        </w:rPr>
        <w:footnoteReference w:id="6"/>
      </w:r>
      <w:r>
        <w:rPr>
          <w:rStyle w:val="FootnoteReference"/>
          <w:rFonts w:eastAsiaTheme="minorEastAsia"/>
          <w:szCs w:val="22"/>
          <w:rtl/>
        </w:rPr>
        <w:t>)</w:t>
      </w:r>
      <w:r w:rsidRPr="00C66A65">
        <w:rPr>
          <w:rFonts w:eastAsiaTheme="minorEastAsia"/>
          <w:rtl/>
        </w:rPr>
        <w:t xml:space="preserve">، أدى إلى توسيع نطاق التحقيقات من الدوائر الاجتماعية والأسرية إلى المجال المؤسسي. وعندما انضمت صاحبتا البلاغ إلى رابطة مايوركا لإحياء الذاكرة التاريخية، التي تأسست في عام </w:t>
      </w:r>
      <w:r w:rsidRPr="000233B9">
        <w:rPr>
          <w:rFonts w:eastAsiaTheme="minorEastAsia"/>
          <w:rtl/>
        </w:rPr>
        <w:t>2006</w:t>
      </w:r>
      <w:r w:rsidRPr="00C66A65">
        <w:rPr>
          <w:rFonts w:eastAsiaTheme="minorEastAsia"/>
          <w:rtl/>
        </w:rPr>
        <w:t>، فُتحت أمامهما آفاق جديدة أتاحت لهما فرصة البوح بأسرارهما والحديث عن معاناتهما. وعلى الرغم من أنهما لم تعثرا على أي معلومات رسمية في أي ملف أو سجل (إذ لا يزال العديد من ملفات الجيش والكنيسة محاطاً بالسرية)، مكّنهما الانضمام إلى الرابطة من بدء البحث عن رفات ذويهما.</w:t>
      </w:r>
    </w:p>
    <w:p w14:paraId="17A21F19"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2</w:t>
      </w:r>
      <w:r w:rsidRPr="00C66A65">
        <w:rPr>
          <w:rFonts w:eastAsiaTheme="minorEastAsia"/>
          <w:rtl/>
        </w:rPr>
        <w:t>-</w:t>
      </w:r>
      <w:r w:rsidRPr="000233B9">
        <w:rPr>
          <w:rFonts w:eastAsiaTheme="minorEastAsia"/>
          <w:rtl/>
        </w:rPr>
        <w:t>13</w:t>
      </w:r>
      <w:r w:rsidRPr="00C66A65">
        <w:rPr>
          <w:rFonts w:eastAsiaTheme="minorEastAsia"/>
          <w:rtl/>
        </w:rPr>
        <w:tab/>
        <w:t xml:space="preserve">وفي </w:t>
      </w:r>
      <w:r w:rsidRPr="000233B9">
        <w:rPr>
          <w:rFonts w:eastAsiaTheme="minorEastAsia"/>
          <w:rtl/>
        </w:rPr>
        <w:t>14</w:t>
      </w:r>
      <w:r w:rsidRPr="00C66A65">
        <w:rPr>
          <w:rFonts w:eastAsiaTheme="minorEastAsia"/>
          <w:rtl/>
        </w:rPr>
        <w:t xml:space="preserve"> كانون الأول/ديسمبر </w:t>
      </w:r>
      <w:r w:rsidRPr="000233B9">
        <w:rPr>
          <w:rFonts w:eastAsiaTheme="minorEastAsia"/>
          <w:rtl/>
        </w:rPr>
        <w:t>2006</w:t>
      </w:r>
      <w:r w:rsidRPr="00C66A65">
        <w:rPr>
          <w:rFonts w:eastAsiaTheme="minorEastAsia"/>
          <w:rtl/>
        </w:rPr>
        <w:t xml:space="preserve">، قدمت صاحبتا البلاغ، عن طريق رابطة مايوركا لإحياء الذاكرة التاريخية، شكوى من ارتكاب جرائم ضد الإنسانية إلى محكمة التحقيق المركزية رقم </w:t>
      </w:r>
      <w:r w:rsidRPr="000233B9">
        <w:rPr>
          <w:rFonts w:eastAsiaTheme="minorEastAsia"/>
          <w:rtl/>
        </w:rPr>
        <w:t>5</w:t>
      </w:r>
      <w:r w:rsidRPr="00C66A65">
        <w:rPr>
          <w:rFonts w:eastAsiaTheme="minorEastAsia"/>
          <w:rtl/>
        </w:rPr>
        <w:t xml:space="preserve"> التابعة للمحكمة الوطنية العليا، تلتمسان فيها توضيح الحقيقة بشأن السيدة خ. ف. والسيد أ. م. ومكان وجودهما واستعادة رفاتهما. إضافة إلى هذا الإجراء، قدم العديد من الرابطات الأخرى المعنية بأقارب الأشخاص المختفين شكاوى شملت في المجموع </w:t>
      </w:r>
      <w:r w:rsidRPr="000233B9">
        <w:rPr>
          <w:rFonts w:eastAsiaTheme="minorEastAsia"/>
          <w:rtl/>
        </w:rPr>
        <w:t>266</w:t>
      </w:r>
      <w:r w:rsidRPr="00C66A65">
        <w:rPr>
          <w:rFonts w:eastAsiaTheme="minorEastAsia"/>
          <w:rtl/>
        </w:rPr>
        <w:t xml:space="preserve"> </w:t>
      </w:r>
      <w:r w:rsidRPr="000233B9">
        <w:rPr>
          <w:rFonts w:eastAsiaTheme="minorEastAsia"/>
          <w:rtl/>
        </w:rPr>
        <w:t>114</w:t>
      </w:r>
      <w:r w:rsidRPr="00C66A65">
        <w:rPr>
          <w:rFonts w:eastAsiaTheme="minorEastAsia"/>
          <w:rtl/>
        </w:rPr>
        <w:t xml:space="preserve"> ضحية للاختفاء القسري بين عامي </w:t>
      </w:r>
      <w:r w:rsidRPr="000233B9">
        <w:rPr>
          <w:rFonts w:eastAsiaTheme="minorEastAsia"/>
          <w:rtl/>
        </w:rPr>
        <w:t>1936</w:t>
      </w:r>
      <w:r w:rsidRPr="00C66A65">
        <w:rPr>
          <w:rFonts w:eastAsiaTheme="minorEastAsia"/>
          <w:rtl/>
        </w:rPr>
        <w:t xml:space="preserve"> و</w:t>
      </w:r>
      <w:r w:rsidRPr="000233B9">
        <w:rPr>
          <w:rFonts w:eastAsiaTheme="minorEastAsia"/>
          <w:rtl/>
        </w:rPr>
        <w:t>1951</w:t>
      </w:r>
      <w:r w:rsidRPr="00C66A65">
        <w:rPr>
          <w:rFonts w:eastAsiaTheme="minorEastAsia"/>
          <w:rtl/>
        </w:rPr>
        <w:t>.</w:t>
      </w:r>
    </w:p>
    <w:p w14:paraId="418FBB54" w14:textId="26C5AFAD"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14</w:t>
      </w:r>
      <w:r w:rsidRPr="00C66A65">
        <w:rPr>
          <w:rFonts w:eastAsiaTheme="minorEastAsia"/>
          <w:rtl/>
        </w:rPr>
        <w:tab/>
        <w:t xml:space="preserve">وفي أمر صدر في </w:t>
      </w:r>
      <w:r w:rsidRPr="000233B9">
        <w:rPr>
          <w:rFonts w:eastAsiaTheme="minorEastAsia"/>
          <w:rtl/>
        </w:rPr>
        <w:t>16</w:t>
      </w:r>
      <w:r w:rsidRPr="00C66A65">
        <w:rPr>
          <w:rFonts w:eastAsiaTheme="minorEastAsia"/>
          <w:rtl/>
        </w:rPr>
        <w:t xml:space="preserve"> تشرين الأول/أكتوبر </w:t>
      </w:r>
      <w:r w:rsidRPr="000233B9">
        <w:rPr>
          <w:rFonts w:eastAsiaTheme="minorEastAsia"/>
          <w:rtl/>
        </w:rPr>
        <w:t>2008</w:t>
      </w:r>
      <w:r w:rsidRPr="00C66A65">
        <w:rPr>
          <w:rFonts w:eastAsiaTheme="minorEastAsia"/>
          <w:rtl/>
        </w:rPr>
        <w:t xml:space="preserve">، رأت هذه المحكمة أن "الإفلات من العقاب ظل هو القاعدة فيما يتعلق بالأحداث التي يمكن تصنيفها قانوناً في فئة الجرائم ضد الإنسانية"، ولهذا السبب "من الضروري مباشرة الدعاوى استجابةً للشكاوى المقدمة، بالنظر إلى استمرار وجود ضحايا، وبغية احترام حقوقهم (...)، يجب وضع حد للجرائم المرتكبة، وهو ما لن يتحقق إلا بعد البحث عن جثث </w:t>
      </w:r>
      <w:r w:rsidRPr="00C66A65">
        <w:rPr>
          <w:rFonts w:eastAsiaTheme="minorEastAsia"/>
          <w:rtl/>
        </w:rPr>
        <w:lastRenderedPageBreak/>
        <w:t>المختفين وتحديد مكان وجودها"</w:t>
      </w:r>
      <w:r>
        <w:rPr>
          <w:rStyle w:val="FootnoteReference"/>
          <w:rFonts w:eastAsiaTheme="minorEastAsia"/>
          <w:szCs w:val="22"/>
          <w:rtl/>
        </w:rPr>
        <w:t>(</w:t>
      </w:r>
      <w:r w:rsidRPr="000233B9">
        <w:rPr>
          <w:rStyle w:val="FootnoteReference"/>
          <w:rFonts w:eastAsiaTheme="minorEastAsia"/>
          <w:szCs w:val="22"/>
          <w:lang w:val="en-US"/>
        </w:rPr>
        <w:footnoteReference w:id="7"/>
      </w:r>
      <w:r>
        <w:rPr>
          <w:rStyle w:val="FootnoteReference"/>
          <w:rFonts w:eastAsiaTheme="minorEastAsia"/>
          <w:szCs w:val="22"/>
          <w:rtl/>
        </w:rPr>
        <w:t>)</w:t>
      </w:r>
      <w:r w:rsidRPr="00C66A65">
        <w:rPr>
          <w:rFonts w:eastAsiaTheme="minorEastAsia"/>
          <w:rtl/>
        </w:rPr>
        <w:t>. وقضت المحكمة بأنه لا يمكن الاحتجاج بأي قانون عفو لعرقلة التحقيقات في الجرائم المعنية، وقررت اختصاصها بالنظر في القضايا.</w:t>
      </w:r>
    </w:p>
    <w:p w14:paraId="421256AA" w14:textId="2BE204D8"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15</w:t>
      </w:r>
      <w:r w:rsidRPr="00C66A65">
        <w:rPr>
          <w:rFonts w:eastAsiaTheme="minorEastAsia"/>
          <w:rtl/>
        </w:rPr>
        <w:tab/>
        <w:t xml:space="preserve">غير أن النيابة العامة قدمت بعد أربعة أيام طعناً في بيان الاختصاص، بحجة أن المحكمة الوطنية العليا لا تتمتع بالاختصاص الإقليمي، وأن البيان يشكل انتهاكاً لمبدأ الشرعية وعدم رجعية القانون الجنائي، لأن السلوك المعني لم يكن يُعتبر جريمة وقت ارتكابه، وأن الأحداث قديمة ومشمولة بالعفو. وهكذا، أعلنت الدائرة الجنائية في المحكمة الوطنية العليا، المنعقدة في جلسة عامة، في </w:t>
      </w:r>
      <w:r w:rsidRPr="000233B9">
        <w:rPr>
          <w:rFonts w:eastAsiaTheme="minorEastAsia"/>
          <w:rtl/>
        </w:rPr>
        <w:t>2</w:t>
      </w:r>
      <w:r w:rsidRPr="00C66A65">
        <w:rPr>
          <w:rFonts w:eastAsiaTheme="minorEastAsia"/>
          <w:rtl/>
        </w:rPr>
        <w:t xml:space="preserve"> تشرين الثاني/</w:t>
      </w:r>
      <w:r w:rsidR="00F3404A">
        <w:rPr>
          <w:rFonts w:eastAsiaTheme="minorEastAsia" w:hint="cs"/>
          <w:rtl/>
        </w:rPr>
        <w:t xml:space="preserve"> </w:t>
      </w:r>
      <w:r w:rsidRPr="00C66A65">
        <w:rPr>
          <w:rFonts w:eastAsiaTheme="minorEastAsia"/>
          <w:rtl/>
        </w:rPr>
        <w:t xml:space="preserve">نوفمبر </w:t>
      </w:r>
      <w:r w:rsidRPr="000233B9">
        <w:rPr>
          <w:rFonts w:eastAsiaTheme="minorEastAsia"/>
          <w:rtl/>
        </w:rPr>
        <w:t>2008</w:t>
      </w:r>
      <w:r w:rsidRPr="00C66A65">
        <w:rPr>
          <w:rFonts w:eastAsiaTheme="minorEastAsia"/>
          <w:rtl/>
        </w:rPr>
        <w:t xml:space="preserve">، أن بيان الاختصاص الصادر في </w:t>
      </w:r>
      <w:r w:rsidRPr="000233B9">
        <w:rPr>
          <w:rFonts w:eastAsiaTheme="minorEastAsia"/>
          <w:rtl/>
        </w:rPr>
        <w:t>16</w:t>
      </w:r>
      <w:r w:rsidRPr="00C66A65">
        <w:rPr>
          <w:rFonts w:eastAsiaTheme="minorEastAsia"/>
          <w:rtl/>
        </w:rPr>
        <w:t xml:space="preserve"> تشرين الأول/أكتوبر </w:t>
      </w:r>
      <w:r w:rsidRPr="000233B9">
        <w:rPr>
          <w:rFonts w:eastAsiaTheme="minorEastAsia"/>
          <w:rtl/>
        </w:rPr>
        <w:t>2008</w:t>
      </w:r>
      <w:r w:rsidRPr="00C66A65">
        <w:rPr>
          <w:rFonts w:eastAsiaTheme="minorEastAsia"/>
          <w:rtl/>
        </w:rPr>
        <w:t xml:space="preserve"> لاغ وباطل، على الرغم من إبداء ثلاثة آراء مخالفة ذهبت إلى أن الامتناع عن إحقاق الحق قد يجعل الدولة مسؤولة بموجب القانون الدولي. وفي </w:t>
      </w:r>
      <w:r w:rsidRPr="000233B9">
        <w:rPr>
          <w:rFonts w:eastAsiaTheme="minorEastAsia"/>
          <w:rtl/>
        </w:rPr>
        <w:t>18</w:t>
      </w:r>
      <w:r w:rsidRPr="00C66A65">
        <w:rPr>
          <w:rFonts w:eastAsiaTheme="minorEastAsia"/>
          <w:rtl/>
        </w:rPr>
        <w:t xml:space="preserve"> تشرين الثاني/نوفمبر </w:t>
      </w:r>
      <w:r w:rsidRPr="000233B9">
        <w:rPr>
          <w:rFonts w:eastAsiaTheme="minorEastAsia"/>
          <w:rtl/>
        </w:rPr>
        <w:t>2008</w:t>
      </w:r>
      <w:r w:rsidRPr="00C66A65">
        <w:rPr>
          <w:rFonts w:eastAsiaTheme="minorEastAsia"/>
          <w:rtl/>
        </w:rPr>
        <w:t>، وافقت المحكمة الوطنية العليا على التخلي عن اختصاصها في القضية لصالح المحاكم الموجودة في المناطق التي وقعت فيها الأحداث.</w:t>
      </w:r>
    </w:p>
    <w:p w14:paraId="549386BB" w14:textId="07B8616B" w:rsidR="00C66A65" w:rsidRPr="00A67F09" w:rsidRDefault="00C66A65" w:rsidP="00C66A65">
      <w:pPr>
        <w:pStyle w:val="SingleTxtGA"/>
        <w:rPr>
          <w:rFonts w:eastAsiaTheme="minorEastAsia"/>
          <w:spacing w:val="-4"/>
          <w:lang w:val="en-US" w:eastAsia="zh-TW" w:bidi="en-GB"/>
        </w:rPr>
      </w:pPr>
      <w:r w:rsidRPr="00A67F09">
        <w:rPr>
          <w:rFonts w:eastAsiaTheme="minorEastAsia"/>
          <w:spacing w:val="-4"/>
          <w:rtl/>
        </w:rPr>
        <w:t>2-16</w:t>
      </w:r>
      <w:r w:rsidRPr="00A67F09">
        <w:rPr>
          <w:rFonts w:eastAsiaTheme="minorEastAsia"/>
          <w:spacing w:val="-4"/>
          <w:rtl/>
        </w:rPr>
        <w:tab/>
        <w:t>وفي 22 حزيران/</w:t>
      </w:r>
      <w:proofErr w:type="gramStart"/>
      <w:r w:rsidRPr="00A67F09">
        <w:rPr>
          <w:rFonts w:eastAsiaTheme="minorEastAsia"/>
          <w:spacing w:val="-4"/>
          <w:rtl/>
        </w:rPr>
        <w:t>يونيه</w:t>
      </w:r>
      <w:proofErr w:type="gramEnd"/>
      <w:r w:rsidRPr="00A67F09">
        <w:rPr>
          <w:rFonts w:eastAsiaTheme="minorEastAsia"/>
          <w:spacing w:val="-4"/>
          <w:rtl/>
        </w:rPr>
        <w:t xml:space="preserve"> 2009، قدمت صاحبتا البلاغ شكوى إلى محكمة التحقيق رقم 10 في </w:t>
      </w:r>
      <w:proofErr w:type="spellStart"/>
      <w:r w:rsidRPr="00A67F09">
        <w:rPr>
          <w:rFonts w:eastAsiaTheme="minorEastAsia"/>
          <w:spacing w:val="-4"/>
          <w:rtl/>
        </w:rPr>
        <w:t>بالما</w:t>
      </w:r>
      <w:proofErr w:type="spellEnd"/>
      <w:r w:rsidRPr="00A67F09">
        <w:rPr>
          <w:rFonts w:eastAsiaTheme="minorEastAsia"/>
          <w:spacing w:val="-4"/>
          <w:rtl/>
        </w:rPr>
        <w:t xml:space="preserve"> دي مايوركا. ورُفضت الشكوى في 14 تشرين الأول/أكتوبر 2009 بدعوى تقادم الأحداث وخضوعها للعفو. وفي </w:t>
      </w:r>
      <w:r w:rsidR="00705C56" w:rsidRPr="00A67F09">
        <w:rPr>
          <w:rFonts w:eastAsiaTheme="minorEastAsia" w:hint="cs"/>
          <w:spacing w:val="-4"/>
          <w:rtl/>
        </w:rPr>
        <w:t>25 شباط/فبراير</w:t>
      </w:r>
      <w:r w:rsidRPr="00A67F09">
        <w:rPr>
          <w:rFonts w:eastAsiaTheme="minorEastAsia"/>
          <w:spacing w:val="-4"/>
          <w:rtl/>
        </w:rPr>
        <w:t xml:space="preserve"> 2014، رفضت المحكمة العليا في مايوركا استئناف صاحبتي البلاغ. وقدمتا</w:t>
      </w:r>
      <w:r w:rsidR="00705C56" w:rsidRPr="00A67F09">
        <w:rPr>
          <w:rFonts w:eastAsiaTheme="minorEastAsia" w:hint="cs"/>
          <w:spacing w:val="-4"/>
          <w:rtl/>
        </w:rPr>
        <w:t> </w:t>
      </w:r>
      <w:r w:rsidRPr="00A67F09">
        <w:rPr>
          <w:rFonts w:eastAsiaTheme="minorEastAsia"/>
          <w:spacing w:val="-4"/>
          <w:rtl/>
        </w:rPr>
        <w:t>إلى المحكمة الدستورية طلباً تلتمسان فيه الحماية الدستورية، لكنه رُفض أيضاً في 9 أيلول/سبتمبر 2010.</w:t>
      </w:r>
    </w:p>
    <w:p w14:paraId="3AA49F02" w14:textId="557F6109"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spacing w:val="-4"/>
          <w:rtl/>
        </w:rPr>
        <w:t>17</w:t>
      </w:r>
      <w:r w:rsidRPr="00705C56">
        <w:rPr>
          <w:rFonts w:eastAsiaTheme="minorEastAsia"/>
          <w:spacing w:val="-4"/>
          <w:rtl/>
        </w:rPr>
        <w:tab/>
        <w:t xml:space="preserve">وتؤكد صاحبتا البلاغ أن حكم المحكمة العليا رقم </w:t>
      </w:r>
      <w:r w:rsidRPr="000233B9">
        <w:rPr>
          <w:rFonts w:eastAsiaTheme="minorEastAsia"/>
          <w:spacing w:val="-4"/>
          <w:rtl/>
        </w:rPr>
        <w:t>101</w:t>
      </w:r>
      <w:r w:rsidRPr="00705C56">
        <w:rPr>
          <w:rFonts w:eastAsiaTheme="minorEastAsia"/>
          <w:spacing w:val="-4"/>
          <w:rtl/>
        </w:rPr>
        <w:t>/</w:t>
      </w:r>
      <w:r w:rsidRPr="000233B9">
        <w:rPr>
          <w:rFonts w:eastAsiaTheme="minorEastAsia"/>
          <w:spacing w:val="-4"/>
          <w:rtl/>
        </w:rPr>
        <w:t>2012</w:t>
      </w:r>
      <w:r w:rsidRPr="00705C56">
        <w:rPr>
          <w:rFonts w:eastAsiaTheme="minorEastAsia"/>
          <w:spacing w:val="-4"/>
          <w:rtl/>
        </w:rPr>
        <w:t xml:space="preserve"> الصادر في </w:t>
      </w:r>
      <w:r w:rsidRPr="000233B9">
        <w:rPr>
          <w:rFonts w:eastAsiaTheme="minorEastAsia"/>
          <w:spacing w:val="-4"/>
          <w:rtl/>
        </w:rPr>
        <w:t>27</w:t>
      </w:r>
      <w:r w:rsidRPr="00705C56">
        <w:rPr>
          <w:rFonts w:eastAsiaTheme="minorEastAsia"/>
          <w:spacing w:val="-4"/>
          <w:rtl/>
        </w:rPr>
        <w:t xml:space="preserve"> شباط/فبراير </w:t>
      </w:r>
      <w:r w:rsidRPr="000233B9">
        <w:rPr>
          <w:rFonts w:eastAsiaTheme="minorEastAsia"/>
          <w:spacing w:val="-4"/>
          <w:rtl/>
        </w:rPr>
        <w:t>2012</w:t>
      </w:r>
      <w:r w:rsidRPr="00705C56">
        <w:rPr>
          <w:rFonts w:eastAsiaTheme="minorEastAsia"/>
          <w:spacing w:val="-4"/>
          <w:rtl/>
        </w:rPr>
        <w:t xml:space="preserve"> في</w:t>
      </w:r>
      <w:r w:rsidRPr="00C66A65">
        <w:rPr>
          <w:rFonts w:eastAsiaTheme="minorEastAsia"/>
          <w:rtl/>
        </w:rPr>
        <w:t xml:space="preserve"> الدعوى المرفوعة ضد قاضي المحكمة الوطنية العليا </w:t>
      </w:r>
      <w:proofErr w:type="spellStart"/>
      <w:r w:rsidRPr="00C66A65">
        <w:rPr>
          <w:rFonts w:eastAsiaTheme="minorEastAsia"/>
          <w:rtl/>
        </w:rPr>
        <w:t>بالتاسار</w:t>
      </w:r>
      <w:proofErr w:type="spellEnd"/>
      <w:r w:rsidRPr="00C66A65">
        <w:rPr>
          <w:rFonts w:eastAsiaTheme="minorEastAsia"/>
          <w:rtl/>
        </w:rPr>
        <w:t xml:space="preserve"> </w:t>
      </w:r>
      <w:proofErr w:type="spellStart"/>
      <w:r w:rsidRPr="00C66A65">
        <w:rPr>
          <w:rFonts w:eastAsiaTheme="minorEastAsia"/>
          <w:rtl/>
        </w:rPr>
        <w:t>غارزون</w:t>
      </w:r>
      <w:proofErr w:type="spellEnd"/>
      <w:r w:rsidRPr="00C66A65">
        <w:rPr>
          <w:rFonts w:eastAsiaTheme="minorEastAsia"/>
          <w:rtl/>
        </w:rPr>
        <w:t xml:space="preserve"> بتهمة تحريف مسار العدالة، أدى إلى الرفض العام لجميع الطعون المقدمة من الضحايا في جميع أنحاء البلد، لأنه أرسى سابقة قضائية بشأن الأسباب المزعومة التي تمنع القضاة من التحقيق في الجرائم المرتكبة خلال الحرب الأهلية وفترة نظام فرانكو، وهي الأسباب المنصوص عليها في قانون العفو، ومبدأ الشرعية وعدم رجعية القانون الجنائي، ومبدأ التقادم، وقانون الذاكرة التاريخية</w:t>
      </w:r>
      <w:r>
        <w:rPr>
          <w:rStyle w:val="FootnoteReference"/>
          <w:rFonts w:eastAsiaTheme="minorEastAsia"/>
          <w:szCs w:val="22"/>
          <w:rtl/>
        </w:rPr>
        <w:t>(</w:t>
      </w:r>
      <w:r w:rsidRPr="000233B9">
        <w:rPr>
          <w:rStyle w:val="FootnoteReference"/>
          <w:rFonts w:eastAsiaTheme="minorEastAsia"/>
          <w:szCs w:val="22"/>
          <w:lang w:val="en-US"/>
        </w:rPr>
        <w:footnoteReference w:id="8"/>
      </w:r>
      <w:r>
        <w:rPr>
          <w:rStyle w:val="FootnoteReference"/>
          <w:rFonts w:eastAsiaTheme="minorEastAsia"/>
          <w:szCs w:val="22"/>
          <w:rtl/>
        </w:rPr>
        <w:t>)</w:t>
      </w:r>
      <w:r w:rsidRPr="00C66A65">
        <w:rPr>
          <w:rFonts w:eastAsiaTheme="minorEastAsia"/>
          <w:rtl/>
        </w:rPr>
        <w:t>.</w:t>
      </w:r>
    </w:p>
    <w:p w14:paraId="5874D8DB" w14:textId="197F24E7"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18</w:t>
      </w:r>
      <w:r w:rsidRPr="00C66A65">
        <w:rPr>
          <w:rFonts w:eastAsiaTheme="minorEastAsia"/>
          <w:rtl/>
        </w:rPr>
        <w:tab/>
        <w:t xml:space="preserve">وفي أيلول/سبتمبر </w:t>
      </w:r>
      <w:r w:rsidRPr="000233B9">
        <w:rPr>
          <w:rFonts w:eastAsiaTheme="minorEastAsia"/>
          <w:rtl/>
        </w:rPr>
        <w:t>2012</w:t>
      </w:r>
      <w:r w:rsidRPr="00C66A65">
        <w:rPr>
          <w:rFonts w:eastAsiaTheme="minorEastAsia"/>
          <w:rtl/>
        </w:rPr>
        <w:t xml:space="preserve">، دفع سياق الإفلات من العقاب السائد في الدولة الطرف صاحبتي البلاغ إلى اللجوء إلى محاكم الأرجنتين. وفي هذا الصدد، تشير صاحبتا البلاغ إلى أن أقارب أشخاص مفقودين كانوا قد قدموا بالفعل، في نيسان/أبريل </w:t>
      </w:r>
      <w:r w:rsidRPr="000233B9">
        <w:rPr>
          <w:rFonts w:eastAsiaTheme="minorEastAsia"/>
          <w:rtl/>
        </w:rPr>
        <w:t>2010</w:t>
      </w:r>
      <w:r w:rsidRPr="00C66A65">
        <w:rPr>
          <w:rFonts w:eastAsiaTheme="minorEastAsia"/>
          <w:rtl/>
        </w:rPr>
        <w:t>، طعناً إلى المحاكم الأرجنتينية، على أساس الولاية القضائية العالمية (التي سمحت لإسبانيا بالتحقيق في حالات الاختفاء القسري التي وقعت خلال فترة الدكتاتورية الأرجنتينية)</w:t>
      </w:r>
      <w:r>
        <w:rPr>
          <w:rStyle w:val="FootnoteReference"/>
          <w:rFonts w:eastAsiaTheme="minorEastAsia"/>
          <w:szCs w:val="22"/>
          <w:rtl/>
        </w:rPr>
        <w:t>(</w:t>
      </w:r>
      <w:r w:rsidRPr="000233B9">
        <w:rPr>
          <w:rStyle w:val="FootnoteReference"/>
          <w:rFonts w:eastAsiaTheme="minorEastAsia"/>
          <w:szCs w:val="22"/>
          <w:lang w:val="en-US"/>
        </w:rPr>
        <w:footnoteReference w:id="9"/>
      </w:r>
      <w:r>
        <w:rPr>
          <w:rStyle w:val="FootnoteReference"/>
          <w:rFonts w:eastAsiaTheme="minorEastAsia"/>
          <w:szCs w:val="22"/>
          <w:rtl/>
        </w:rPr>
        <w:t>)</w:t>
      </w:r>
      <w:r w:rsidRPr="00C66A65">
        <w:rPr>
          <w:rFonts w:eastAsiaTheme="minorEastAsia"/>
          <w:rtl/>
        </w:rPr>
        <w:t xml:space="preserve">، مما أدى إلى رفع القضية رقم </w:t>
      </w:r>
      <w:r w:rsidRPr="000233B9">
        <w:rPr>
          <w:rFonts w:eastAsiaTheme="minorEastAsia"/>
          <w:rtl/>
        </w:rPr>
        <w:t>4</w:t>
      </w:r>
      <w:r w:rsidRPr="00C66A65">
        <w:rPr>
          <w:rFonts w:eastAsiaTheme="minorEastAsia"/>
          <w:rtl/>
        </w:rPr>
        <w:t>.</w:t>
      </w:r>
      <w:r w:rsidRPr="000233B9">
        <w:rPr>
          <w:rFonts w:eastAsiaTheme="minorEastAsia"/>
          <w:rtl/>
        </w:rPr>
        <w:t>591</w:t>
      </w:r>
      <w:r w:rsidRPr="00C66A65">
        <w:rPr>
          <w:rFonts w:eastAsiaTheme="minorEastAsia"/>
          <w:rtl/>
        </w:rPr>
        <w:t>/</w:t>
      </w:r>
      <w:r w:rsidRPr="000233B9">
        <w:rPr>
          <w:rFonts w:eastAsiaTheme="minorEastAsia"/>
          <w:rtl/>
        </w:rPr>
        <w:t>10</w:t>
      </w:r>
      <w:r w:rsidRPr="00C66A65">
        <w:rPr>
          <w:rFonts w:eastAsiaTheme="minorEastAsia"/>
          <w:rtl/>
        </w:rPr>
        <w:t xml:space="preserve"> أمام المحكمة الجنائية والإصلاحية الوطنية رقم </w:t>
      </w:r>
      <w:r w:rsidRPr="000233B9">
        <w:rPr>
          <w:rFonts w:eastAsiaTheme="minorEastAsia"/>
          <w:rtl/>
        </w:rPr>
        <w:t>1</w:t>
      </w:r>
      <w:r w:rsidRPr="00C66A65">
        <w:rPr>
          <w:rFonts w:eastAsiaTheme="minorEastAsia"/>
          <w:rtl/>
        </w:rPr>
        <w:t xml:space="preserve"> في بوينس آيرس. وطلبت المحكمة الأرجنتينية من الدولة الإسبانية، من خلال إنابة قضائية دولية صادرة في </w:t>
      </w:r>
      <w:r w:rsidRPr="000233B9">
        <w:rPr>
          <w:rFonts w:eastAsiaTheme="minorEastAsia"/>
          <w:rtl/>
        </w:rPr>
        <w:t>14</w:t>
      </w:r>
      <w:r w:rsidRPr="00C66A65">
        <w:rPr>
          <w:rFonts w:eastAsiaTheme="minorEastAsia"/>
          <w:rtl/>
        </w:rPr>
        <w:t xml:space="preserve"> تشرين الأول/أكتوبر </w:t>
      </w:r>
      <w:r w:rsidRPr="000233B9">
        <w:rPr>
          <w:rFonts w:eastAsiaTheme="minorEastAsia"/>
          <w:rtl/>
        </w:rPr>
        <w:t>2010</w:t>
      </w:r>
      <w:r w:rsidRPr="00C66A65">
        <w:rPr>
          <w:rFonts w:eastAsiaTheme="minorEastAsia"/>
          <w:rtl/>
        </w:rPr>
        <w:t xml:space="preserve">، أن تُبين إن كان التحقيق جارياً في خطة منهجية للقضاء على المعارضين السياسيين خلال الحرب الأهلية وفترة الدكتاتورية. وفي </w:t>
      </w:r>
      <w:r w:rsidRPr="000233B9">
        <w:rPr>
          <w:rFonts w:eastAsiaTheme="minorEastAsia"/>
          <w:rtl/>
        </w:rPr>
        <w:t>6</w:t>
      </w:r>
      <w:r w:rsidRPr="00C66A65">
        <w:rPr>
          <w:rFonts w:eastAsiaTheme="minorEastAsia"/>
          <w:rtl/>
        </w:rPr>
        <w:t xml:space="preserve"> أيار/مايو </w:t>
      </w:r>
      <w:r w:rsidRPr="000233B9">
        <w:rPr>
          <w:rFonts w:eastAsiaTheme="minorEastAsia"/>
          <w:rtl/>
        </w:rPr>
        <w:t>2011</w:t>
      </w:r>
      <w:r w:rsidRPr="00C66A65">
        <w:rPr>
          <w:rFonts w:eastAsiaTheme="minorEastAsia"/>
          <w:rtl/>
        </w:rPr>
        <w:t>، أفاد</w:t>
      </w:r>
      <w:r w:rsidR="00705C56">
        <w:rPr>
          <w:rFonts w:eastAsiaTheme="minorEastAsia" w:hint="cs"/>
          <w:rtl/>
        </w:rPr>
        <w:t> </w:t>
      </w:r>
      <w:r w:rsidRPr="00C66A65">
        <w:rPr>
          <w:rFonts w:eastAsiaTheme="minorEastAsia"/>
          <w:rtl/>
        </w:rPr>
        <w:t xml:space="preserve">مكتب المدعي العام للدولة الإسبانية بأن دعاوى قضائية متعددة كانت جارية بشأن الوقائع المذكورة في الإنابة القضائية. وفي </w:t>
      </w:r>
      <w:r w:rsidRPr="000233B9">
        <w:rPr>
          <w:rFonts w:eastAsiaTheme="minorEastAsia"/>
          <w:rtl/>
        </w:rPr>
        <w:t>13</w:t>
      </w:r>
      <w:r w:rsidRPr="00C66A65">
        <w:rPr>
          <w:rFonts w:eastAsiaTheme="minorEastAsia"/>
          <w:rtl/>
        </w:rPr>
        <w:t xml:space="preserve"> كانون الأول/ديسمبر </w:t>
      </w:r>
      <w:r w:rsidRPr="000233B9">
        <w:rPr>
          <w:rFonts w:eastAsiaTheme="minorEastAsia"/>
          <w:rtl/>
        </w:rPr>
        <w:t>2011</w:t>
      </w:r>
      <w:r w:rsidRPr="00C66A65">
        <w:rPr>
          <w:rFonts w:eastAsiaTheme="minorEastAsia"/>
          <w:rtl/>
        </w:rPr>
        <w:t xml:space="preserve">، صدرت إنابة قضائية ثانية طُلب فيها من الدولة الإسبانية أن تبلغ عن عدد الأشخاص المختفين. وفي </w:t>
      </w:r>
      <w:r w:rsidRPr="000233B9">
        <w:rPr>
          <w:rFonts w:eastAsiaTheme="minorEastAsia"/>
          <w:rtl/>
        </w:rPr>
        <w:t>27</w:t>
      </w:r>
      <w:r w:rsidRPr="00C66A65">
        <w:rPr>
          <w:rFonts w:eastAsiaTheme="minorEastAsia"/>
          <w:rtl/>
        </w:rPr>
        <w:t xml:space="preserve"> آذار/مارس </w:t>
      </w:r>
      <w:r w:rsidRPr="000233B9">
        <w:rPr>
          <w:rFonts w:eastAsiaTheme="minorEastAsia"/>
          <w:rtl/>
        </w:rPr>
        <w:t>2012</w:t>
      </w:r>
      <w:r w:rsidRPr="00C66A65">
        <w:rPr>
          <w:rFonts w:eastAsiaTheme="minorEastAsia"/>
          <w:rtl/>
        </w:rPr>
        <w:t xml:space="preserve">، أجابت الدولة الإسبانية بأن الأرجنتين لا تملك ولاية التحقيق في الوقائع، من دون أن تذكر حكم المحكمة العليا الصادر في </w:t>
      </w:r>
      <w:r w:rsidRPr="000233B9">
        <w:rPr>
          <w:rFonts w:eastAsiaTheme="minorEastAsia"/>
          <w:rtl/>
        </w:rPr>
        <w:t>27</w:t>
      </w:r>
      <w:r w:rsidRPr="00C66A65">
        <w:rPr>
          <w:rFonts w:eastAsiaTheme="minorEastAsia"/>
          <w:rtl/>
        </w:rPr>
        <w:t xml:space="preserve"> شباط/فبراير </w:t>
      </w:r>
      <w:r w:rsidRPr="000233B9">
        <w:rPr>
          <w:rFonts w:eastAsiaTheme="minorEastAsia"/>
          <w:rtl/>
        </w:rPr>
        <w:t>2012</w:t>
      </w:r>
      <w:r w:rsidRPr="00C66A65">
        <w:rPr>
          <w:rFonts w:eastAsiaTheme="minorEastAsia"/>
          <w:rtl/>
        </w:rPr>
        <w:t>، الذي أدى إلى رفض عدد من القضايا قيد النظر في البلد.</w:t>
      </w:r>
    </w:p>
    <w:p w14:paraId="15B02E31" w14:textId="7CA09E1B" w:rsidR="00C66A65" w:rsidRPr="00C66A65" w:rsidRDefault="00C66A65" w:rsidP="00C66A65">
      <w:pPr>
        <w:pStyle w:val="SingleTxtGA"/>
        <w:rPr>
          <w:rFonts w:eastAsiaTheme="minorEastAsia"/>
          <w:lang w:val="ar-SA" w:eastAsia="zh-TW" w:bidi="en-GB"/>
        </w:rPr>
      </w:pPr>
      <w:r w:rsidRPr="000233B9">
        <w:rPr>
          <w:rFonts w:eastAsiaTheme="minorEastAsia"/>
          <w:rtl/>
        </w:rPr>
        <w:lastRenderedPageBreak/>
        <w:t>2</w:t>
      </w:r>
      <w:r w:rsidRPr="00C66A65">
        <w:rPr>
          <w:rFonts w:eastAsiaTheme="minorEastAsia"/>
          <w:rtl/>
        </w:rPr>
        <w:t>-</w:t>
      </w:r>
      <w:r w:rsidRPr="000233B9">
        <w:rPr>
          <w:rFonts w:eastAsiaTheme="minorEastAsia"/>
          <w:rtl/>
        </w:rPr>
        <w:t>19</w:t>
      </w:r>
      <w:r w:rsidRPr="00C66A65">
        <w:rPr>
          <w:rFonts w:eastAsiaTheme="minorEastAsia"/>
          <w:rtl/>
        </w:rPr>
        <w:tab/>
        <w:t xml:space="preserve">وفي </w:t>
      </w:r>
      <w:r w:rsidRPr="000233B9">
        <w:rPr>
          <w:rFonts w:eastAsiaTheme="minorEastAsia"/>
          <w:rtl/>
        </w:rPr>
        <w:t>18</w:t>
      </w:r>
      <w:r w:rsidRPr="00C66A65">
        <w:rPr>
          <w:rFonts w:eastAsiaTheme="minorEastAsia"/>
          <w:rtl/>
        </w:rPr>
        <w:t xml:space="preserve"> أيلول/سبتمبر </w:t>
      </w:r>
      <w:r w:rsidRPr="000233B9">
        <w:rPr>
          <w:rFonts w:eastAsiaTheme="minorEastAsia"/>
          <w:rtl/>
        </w:rPr>
        <w:t>2013</w:t>
      </w:r>
      <w:r w:rsidRPr="00C66A65">
        <w:rPr>
          <w:rFonts w:eastAsiaTheme="minorEastAsia"/>
          <w:rtl/>
        </w:rPr>
        <w:t xml:space="preserve">، ولما كانت صاحبتا البلاغ قد قدمتا بالفعل شكوى أمام المحكمة الأرجنتينية، أصدر نظام العدالة الأرجنتيني أمراً بتسليم خوان أنطونيو </w:t>
      </w:r>
      <w:proofErr w:type="spellStart"/>
      <w:r w:rsidRPr="00C66A65">
        <w:rPr>
          <w:rFonts w:eastAsiaTheme="minorEastAsia"/>
          <w:rtl/>
        </w:rPr>
        <w:t>غونزاليس</w:t>
      </w:r>
      <w:proofErr w:type="spellEnd"/>
      <w:r w:rsidRPr="00C66A65">
        <w:rPr>
          <w:rFonts w:eastAsiaTheme="minorEastAsia"/>
          <w:rtl/>
        </w:rPr>
        <w:t xml:space="preserve"> </w:t>
      </w:r>
      <w:proofErr w:type="spellStart"/>
      <w:r w:rsidRPr="00C66A65">
        <w:rPr>
          <w:rFonts w:eastAsiaTheme="minorEastAsia"/>
          <w:rtl/>
        </w:rPr>
        <w:t>باتشيكو</w:t>
      </w:r>
      <w:proofErr w:type="spellEnd"/>
      <w:r w:rsidRPr="00C66A65">
        <w:rPr>
          <w:rFonts w:eastAsiaTheme="minorEastAsia"/>
          <w:rtl/>
        </w:rPr>
        <w:t xml:space="preserve"> ("بيلي </w:t>
      </w:r>
      <w:proofErr w:type="spellStart"/>
      <w:r w:rsidRPr="00C66A65">
        <w:rPr>
          <w:rFonts w:eastAsiaTheme="minorEastAsia"/>
          <w:rtl/>
        </w:rPr>
        <w:t>النينيو</w:t>
      </w:r>
      <w:proofErr w:type="spellEnd"/>
      <w:r w:rsidRPr="00C66A65">
        <w:rPr>
          <w:rFonts w:eastAsiaTheme="minorEastAsia"/>
          <w:rtl/>
        </w:rPr>
        <w:t xml:space="preserve">")، وخوسيه </w:t>
      </w:r>
      <w:proofErr w:type="spellStart"/>
      <w:r w:rsidRPr="00C66A65">
        <w:rPr>
          <w:rFonts w:eastAsiaTheme="minorEastAsia"/>
          <w:rtl/>
        </w:rPr>
        <w:t>إينياسيو</w:t>
      </w:r>
      <w:proofErr w:type="spellEnd"/>
      <w:r w:rsidRPr="00C66A65">
        <w:rPr>
          <w:rFonts w:eastAsiaTheme="minorEastAsia"/>
          <w:rtl/>
        </w:rPr>
        <w:t xml:space="preserve"> </w:t>
      </w:r>
      <w:proofErr w:type="spellStart"/>
      <w:r w:rsidRPr="00C66A65">
        <w:rPr>
          <w:rFonts w:eastAsiaTheme="minorEastAsia"/>
          <w:rtl/>
        </w:rPr>
        <w:t>خيرالتي</w:t>
      </w:r>
      <w:proofErr w:type="spellEnd"/>
      <w:r w:rsidRPr="00C66A65">
        <w:rPr>
          <w:rFonts w:eastAsiaTheme="minorEastAsia"/>
          <w:rtl/>
        </w:rPr>
        <w:t xml:space="preserve"> </w:t>
      </w:r>
      <w:proofErr w:type="spellStart"/>
      <w:r w:rsidRPr="00C66A65">
        <w:rPr>
          <w:rFonts w:eastAsiaTheme="minorEastAsia"/>
          <w:rtl/>
        </w:rPr>
        <w:t>غونزاليس</w:t>
      </w:r>
      <w:proofErr w:type="spellEnd"/>
      <w:r w:rsidRPr="00C66A65">
        <w:rPr>
          <w:rFonts w:eastAsiaTheme="minorEastAsia"/>
          <w:rtl/>
        </w:rPr>
        <w:t xml:space="preserve">، </w:t>
      </w:r>
      <w:proofErr w:type="spellStart"/>
      <w:r w:rsidRPr="00C66A65">
        <w:rPr>
          <w:rFonts w:eastAsiaTheme="minorEastAsia"/>
          <w:rtl/>
        </w:rPr>
        <w:t>وسيلسو</w:t>
      </w:r>
      <w:proofErr w:type="spellEnd"/>
      <w:r w:rsidRPr="00C66A65">
        <w:rPr>
          <w:rFonts w:eastAsiaTheme="minorEastAsia"/>
          <w:rtl/>
        </w:rPr>
        <w:t xml:space="preserve"> </w:t>
      </w:r>
      <w:proofErr w:type="spellStart"/>
      <w:r w:rsidRPr="00C66A65">
        <w:rPr>
          <w:rFonts w:eastAsiaTheme="minorEastAsia"/>
          <w:rtl/>
        </w:rPr>
        <w:t>غالفان</w:t>
      </w:r>
      <w:proofErr w:type="spellEnd"/>
      <w:r w:rsidRPr="00C66A65">
        <w:rPr>
          <w:rFonts w:eastAsiaTheme="minorEastAsia"/>
          <w:rtl/>
        </w:rPr>
        <w:t xml:space="preserve"> أباسكال، </w:t>
      </w:r>
      <w:proofErr w:type="spellStart"/>
      <w:r w:rsidRPr="00C66A65">
        <w:rPr>
          <w:rFonts w:eastAsiaTheme="minorEastAsia"/>
          <w:rtl/>
        </w:rPr>
        <w:t>وخيسوس</w:t>
      </w:r>
      <w:proofErr w:type="spellEnd"/>
      <w:r w:rsidRPr="00C66A65">
        <w:rPr>
          <w:rFonts w:eastAsiaTheme="minorEastAsia"/>
          <w:rtl/>
        </w:rPr>
        <w:t xml:space="preserve"> </w:t>
      </w:r>
      <w:proofErr w:type="spellStart"/>
      <w:r w:rsidRPr="00C66A65">
        <w:rPr>
          <w:rFonts w:eastAsiaTheme="minorEastAsia"/>
          <w:rtl/>
        </w:rPr>
        <w:t>مونييكاس</w:t>
      </w:r>
      <w:proofErr w:type="spellEnd"/>
      <w:r w:rsidRPr="00C66A65">
        <w:rPr>
          <w:rFonts w:eastAsiaTheme="minorEastAsia"/>
          <w:rtl/>
        </w:rPr>
        <w:t xml:space="preserve"> </w:t>
      </w:r>
      <w:proofErr w:type="spellStart"/>
      <w:r w:rsidRPr="00C66A65">
        <w:rPr>
          <w:rFonts w:eastAsiaTheme="minorEastAsia"/>
          <w:rtl/>
        </w:rPr>
        <w:t>أغيلار</w:t>
      </w:r>
      <w:proofErr w:type="spellEnd"/>
      <w:r w:rsidRPr="00C66A65">
        <w:rPr>
          <w:rFonts w:eastAsiaTheme="minorEastAsia"/>
          <w:rtl/>
        </w:rPr>
        <w:t>، بتهمة ارتكاب</w:t>
      </w:r>
      <w:r w:rsidR="00A83221">
        <w:rPr>
          <w:rFonts w:eastAsiaTheme="minorEastAsia" w:hint="cs"/>
          <w:rtl/>
        </w:rPr>
        <w:t> </w:t>
      </w:r>
      <w:r w:rsidRPr="00C66A65">
        <w:rPr>
          <w:rFonts w:eastAsiaTheme="minorEastAsia"/>
          <w:rtl/>
        </w:rPr>
        <w:t xml:space="preserve">جرائم ضد الإنسانية. وفي نيسان/أبريل </w:t>
      </w:r>
      <w:r w:rsidRPr="000233B9">
        <w:rPr>
          <w:rFonts w:eastAsiaTheme="minorEastAsia"/>
          <w:rtl/>
        </w:rPr>
        <w:t>2014</w:t>
      </w:r>
      <w:r w:rsidRPr="00C66A65">
        <w:rPr>
          <w:rFonts w:eastAsiaTheme="minorEastAsia"/>
          <w:rtl/>
        </w:rPr>
        <w:t>، اعترض مكتب المدعي العام للدولة الإسبانية على</w:t>
      </w:r>
      <w:r w:rsidR="00A83221">
        <w:rPr>
          <w:rFonts w:eastAsiaTheme="minorEastAsia" w:hint="cs"/>
          <w:rtl/>
        </w:rPr>
        <w:t> </w:t>
      </w:r>
      <w:r w:rsidRPr="00C66A65">
        <w:rPr>
          <w:rFonts w:eastAsiaTheme="minorEastAsia"/>
          <w:rtl/>
        </w:rPr>
        <w:t xml:space="preserve">ذلك، مشيراً إلى عدم توصيف الأحداث المذكورة في أمر التسليم، وخضوعها للعفو وسقوطها بالتقادم. وفي </w:t>
      </w:r>
      <w:r w:rsidRPr="000233B9">
        <w:rPr>
          <w:rFonts w:eastAsiaTheme="minorEastAsia"/>
          <w:rtl/>
        </w:rPr>
        <w:t>30</w:t>
      </w:r>
      <w:r w:rsidRPr="00C66A65">
        <w:rPr>
          <w:rFonts w:eastAsiaTheme="minorEastAsia"/>
          <w:rtl/>
        </w:rPr>
        <w:t xml:space="preserve"> تشرين الأول/أكتوبر </w:t>
      </w:r>
      <w:r w:rsidRPr="000233B9">
        <w:rPr>
          <w:rFonts w:eastAsiaTheme="minorEastAsia"/>
          <w:rtl/>
        </w:rPr>
        <w:t>2014</w:t>
      </w:r>
      <w:r w:rsidRPr="00C66A65">
        <w:rPr>
          <w:rFonts w:eastAsiaTheme="minorEastAsia"/>
          <w:rtl/>
        </w:rPr>
        <w:t>، أصدر نظام العدالة الأرجنتيني، عن طريق الإنتربول، طلباً باعتقال</w:t>
      </w:r>
      <w:r w:rsidR="00A83221">
        <w:rPr>
          <w:rFonts w:eastAsiaTheme="minorEastAsia" w:hint="cs"/>
          <w:rtl/>
        </w:rPr>
        <w:t> </w:t>
      </w:r>
      <w:r w:rsidRPr="000233B9">
        <w:rPr>
          <w:rFonts w:eastAsiaTheme="minorEastAsia"/>
          <w:rtl/>
        </w:rPr>
        <w:t>19</w:t>
      </w:r>
      <w:r w:rsidRPr="00C66A65">
        <w:rPr>
          <w:rFonts w:eastAsiaTheme="minorEastAsia"/>
          <w:rtl/>
        </w:rPr>
        <w:t xml:space="preserve"> شخصاً قيد التحقيق. لكن إسبانيا رفضت الأمر مرة أخرى. وأخيراً، قرر مكتب المدعي العام في </w:t>
      </w:r>
      <w:r w:rsidRPr="000233B9">
        <w:rPr>
          <w:rFonts w:eastAsiaTheme="minorEastAsia"/>
          <w:rtl/>
        </w:rPr>
        <w:t>30</w:t>
      </w:r>
      <w:r w:rsidRPr="00C66A65">
        <w:rPr>
          <w:rFonts w:eastAsiaTheme="minorEastAsia"/>
          <w:rtl/>
        </w:rPr>
        <w:t xml:space="preserve"> أيلول/سبتمبر </w:t>
      </w:r>
      <w:r w:rsidRPr="000233B9">
        <w:rPr>
          <w:rFonts w:eastAsiaTheme="minorEastAsia"/>
          <w:rtl/>
        </w:rPr>
        <w:t>2016</w:t>
      </w:r>
      <w:r w:rsidRPr="00C66A65">
        <w:rPr>
          <w:rFonts w:eastAsiaTheme="minorEastAsia"/>
          <w:rtl/>
        </w:rPr>
        <w:t xml:space="preserve"> وضع حد لأي تعاون مع الإجراءات الأرجنتينية، وأصدر تعليماته إلى المدعين العامين بمعارضة أي إجراء يطلبه نظام العدالة الأرجنتيني على أساس أن الأحداث تقع ضمن اختصاص إسبانيا ومن الواضح أنها سقطت بالتقادم ومشمولة بالعفو، مما يعني أن الامتثال لطلبات المساعدة القضائية من الأرجنتين يشكل إخلالاً خطيراً بالقانون الإسباني.</w:t>
      </w:r>
    </w:p>
    <w:p w14:paraId="22E8BF1B"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2</w:t>
      </w:r>
      <w:r w:rsidRPr="00C66A65">
        <w:rPr>
          <w:rFonts w:eastAsiaTheme="minorEastAsia"/>
          <w:rtl/>
        </w:rPr>
        <w:t>-</w:t>
      </w:r>
      <w:r w:rsidRPr="000233B9">
        <w:rPr>
          <w:rFonts w:eastAsiaTheme="minorEastAsia"/>
          <w:rtl/>
        </w:rPr>
        <w:t>20</w:t>
      </w:r>
      <w:r w:rsidRPr="00C66A65">
        <w:rPr>
          <w:rFonts w:eastAsiaTheme="minorEastAsia"/>
          <w:rtl/>
        </w:rPr>
        <w:tab/>
        <w:t xml:space="preserve">وعقب فتح قبر في </w:t>
      </w:r>
      <w:proofErr w:type="spellStart"/>
      <w:r w:rsidRPr="00C66A65">
        <w:rPr>
          <w:rFonts w:eastAsiaTheme="minorEastAsia"/>
          <w:rtl/>
        </w:rPr>
        <w:t>بوريراس</w:t>
      </w:r>
      <w:proofErr w:type="spellEnd"/>
      <w:r w:rsidRPr="00C66A65">
        <w:rPr>
          <w:rFonts w:eastAsiaTheme="minorEastAsia"/>
          <w:rtl/>
        </w:rPr>
        <w:t xml:space="preserve">، وهي قرية تقع على بعد </w:t>
      </w:r>
      <w:r w:rsidRPr="000233B9">
        <w:rPr>
          <w:rFonts w:eastAsiaTheme="minorEastAsia"/>
          <w:rtl/>
        </w:rPr>
        <w:t>20</w:t>
      </w:r>
      <w:r w:rsidRPr="00C66A65">
        <w:rPr>
          <w:rFonts w:eastAsiaTheme="minorEastAsia"/>
          <w:rtl/>
        </w:rPr>
        <w:t xml:space="preserve"> كيلومتراً من </w:t>
      </w:r>
      <w:proofErr w:type="spellStart"/>
      <w:r w:rsidRPr="00C66A65">
        <w:rPr>
          <w:rFonts w:eastAsiaTheme="minorEastAsia"/>
          <w:rtl/>
        </w:rPr>
        <w:t>ماناكور</w:t>
      </w:r>
      <w:proofErr w:type="spellEnd"/>
      <w:r w:rsidRPr="00C66A65">
        <w:rPr>
          <w:rFonts w:eastAsiaTheme="minorEastAsia"/>
          <w:rtl/>
        </w:rPr>
        <w:t xml:space="preserve">، في تشرين الثاني/نوفمبر </w:t>
      </w:r>
      <w:r w:rsidRPr="000233B9">
        <w:rPr>
          <w:rFonts w:eastAsiaTheme="minorEastAsia"/>
          <w:rtl/>
        </w:rPr>
        <w:t>2016</w:t>
      </w:r>
      <w:r w:rsidRPr="00C66A65">
        <w:rPr>
          <w:rFonts w:eastAsiaTheme="minorEastAsia"/>
          <w:rtl/>
        </w:rPr>
        <w:t xml:space="preserve">، قدمت صاحبتا البلاغ شكوى جديدة، إلى محكمة التحقيقات رقم </w:t>
      </w:r>
      <w:r w:rsidRPr="000233B9">
        <w:rPr>
          <w:rFonts w:eastAsiaTheme="minorEastAsia"/>
          <w:rtl/>
        </w:rPr>
        <w:t>1</w:t>
      </w:r>
      <w:r w:rsidRPr="00C66A65">
        <w:rPr>
          <w:rFonts w:eastAsiaTheme="minorEastAsia"/>
          <w:rtl/>
        </w:rPr>
        <w:t xml:space="preserve"> في </w:t>
      </w:r>
      <w:proofErr w:type="spellStart"/>
      <w:r w:rsidRPr="00C66A65">
        <w:rPr>
          <w:rFonts w:eastAsiaTheme="minorEastAsia"/>
          <w:rtl/>
        </w:rPr>
        <w:t>ماناكور</w:t>
      </w:r>
      <w:proofErr w:type="spellEnd"/>
      <w:r w:rsidRPr="00C66A65">
        <w:rPr>
          <w:rFonts w:eastAsiaTheme="minorEastAsia"/>
          <w:rtl/>
        </w:rPr>
        <w:t xml:space="preserve"> هذه المرة. وفي </w:t>
      </w:r>
      <w:r w:rsidRPr="000233B9">
        <w:rPr>
          <w:rFonts w:eastAsiaTheme="minorEastAsia"/>
          <w:rtl/>
        </w:rPr>
        <w:t>3</w:t>
      </w:r>
      <w:r w:rsidRPr="00C66A65">
        <w:rPr>
          <w:rFonts w:eastAsiaTheme="minorEastAsia"/>
          <w:rtl/>
        </w:rPr>
        <w:t xml:space="preserve"> آب/أغسطس </w:t>
      </w:r>
      <w:r w:rsidRPr="000233B9">
        <w:rPr>
          <w:rFonts w:eastAsiaTheme="minorEastAsia"/>
          <w:rtl/>
        </w:rPr>
        <w:t>2017</w:t>
      </w:r>
      <w:r w:rsidRPr="00C66A65">
        <w:rPr>
          <w:rFonts w:eastAsiaTheme="minorEastAsia"/>
          <w:rtl/>
        </w:rPr>
        <w:t>، رُفضت الشكوى على أساس الحجج الواردة في حكم المحكمة العليا.</w:t>
      </w:r>
    </w:p>
    <w:p w14:paraId="55F83637"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21</w:t>
      </w:r>
      <w:r w:rsidRPr="00C66A65">
        <w:rPr>
          <w:rFonts w:eastAsiaTheme="minorEastAsia"/>
          <w:rtl/>
        </w:rPr>
        <w:tab/>
        <w:t xml:space="preserve">ووفقاً لقانون الذاكرة التاريخية وقانون منطقة الحكم الذاتي رقم </w:t>
      </w:r>
      <w:r w:rsidRPr="000233B9">
        <w:rPr>
          <w:rFonts w:eastAsiaTheme="minorEastAsia"/>
          <w:rtl/>
        </w:rPr>
        <w:t>10</w:t>
      </w:r>
      <w:r w:rsidRPr="00C66A65">
        <w:rPr>
          <w:rFonts w:eastAsiaTheme="minorEastAsia"/>
          <w:rtl/>
        </w:rPr>
        <w:t>/</w:t>
      </w:r>
      <w:r w:rsidRPr="000233B9">
        <w:rPr>
          <w:rFonts w:eastAsiaTheme="minorEastAsia"/>
          <w:rtl/>
        </w:rPr>
        <w:t>2016</w:t>
      </w:r>
      <w:r w:rsidRPr="00C66A65">
        <w:rPr>
          <w:rFonts w:eastAsiaTheme="minorEastAsia"/>
          <w:rtl/>
        </w:rPr>
        <w:t xml:space="preserve"> بشأن استعادة الأشخاص الذين اختفوا خلال الحرب الأهلية وفترة نظام فرانكو، الذي ينص على إنشاء اللجنة التقنية المعنية بالأشخاص المختفين والقبور، سلكت صاحبتا البلاغ أيضاً مسارات إدارية شتى سعياً إلى العثور على رفات قريبيهما والاستفادة من جبر الضرر.</w:t>
      </w:r>
    </w:p>
    <w:p w14:paraId="2E44B9CB" w14:textId="034B39F4"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22</w:t>
      </w:r>
      <w:r w:rsidRPr="00C66A65">
        <w:rPr>
          <w:rFonts w:eastAsiaTheme="minorEastAsia"/>
          <w:rtl/>
        </w:rPr>
        <w:tab/>
        <w:t>وطلبتا بصفة خاصة الاعتراف بهما ضحيتين بموجب قانون الذاكرة التاريخية. ومُنحتا هذا الاعتراف الذي يبقى رمزياً لا غير</w:t>
      </w:r>
      <w:r>
        <w:rPr>
          <w:rStyle w:val="FootnoteReference"/>
          <w:rFonts w:eastAsiaTheme="minorEastAsia"/>
          <w:szCs w:val="22"/>
          <w:rtl/>
        </w:rPr>
        <w:t>(</w:t>
      </w:r>
      <w:r w:rsidRPr="000233B9">
        <w:rPr>
          <w:rStyle w:val="FootnoteReference"/>
          <w:rFonts w:eastAsiaTheme="minorEastAsia"/>
          <w:szCs w:val="22"/>
          <w:lang w:val="en-US"/>
        </w:rPr>
        <w:footnoteReference w:id="10"/>
      </w:r>
      <w:r>
        <w:rPr>
          <w:rStyle w:val="FootnoteReference"/>
          <w:rFonts w:eastAsiaTheme="minorEastAsia"/>
          <w:szCs w:val="22"/>
          <w:rtl/>
        </w:rPr>
        <w:t>)</w:t>
      </w:r>
      <w:r w:rsidRPr="00C66A65">
        <w:rPr>
          <w:rFonts w:eastAsiaTheme="minorEastAsia"/>
          <w:rtl/>
        </w:rPr>
        <w:t>.</w:t>
      </w:r>
    </w:p>
    <w:p w14:paraId="1D98641C"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23</w:t>
      </w:r>
      <w:r w:rsidRPr="00C66A65">
        <w:rPr>
          <w:rFonts w:eastAsiaTheme="minorEastAsia"/>
          <w:rtl/>
        </w:rPr>
        <w:tab/>
        <w:t xml:space="preserve">وفي </w:t>
      </w:r>
      <w:r w:rsidRPr="000233B9">
        <w:rPr>
          <w:rFonts w:eastAsiaTheme="minorEastAsia"/>
          <w:rtl/>
        </w:rPr>
        <w:t>10</w:t>
      </w:r>
      <w:r w:rsidRPr="00C66A65">
        <w:rPr>
          <w:rFonts w:eastAsiaTheme="minorEastAsia"/>
          <w:rtl/>
        </w:rPr>
        <w:t xml:space="preserve"> نيسان/أبريل </w:t>
      </w:r>
      <w:r w:rsidRPr="000233B9">
        <w:rPr>
          <w:rFonts w:eastAsiaTheme="minorEastAsia"/>
          <w:rtl/>
        </w:rPr>
        <w:t>2018</w:t>
      </w:r>
      <w:r w:rsidRPr="00C66A65">
        <w:rPr>
          <w:rFonts w:eastAsiaTheme="minorEastAsia"/>
          <w:rtl/>
        </w:rPr>
        <w:t>، قدمت صاحبتا البلاغ طلباً كتابياً لاستعادة رفات قريبيهما إلى اللجنة التقنية المعنية بالأشخاص المختفين والقبور، التابعة لحكومة جزر البليار. وأشار الرد إلى ضرورة دراسة جدوى إجراء عمليات استخراج الجثث. ولم يُتخذ أي إجراء حتى الآن لفتح القبور.</w:t>
      </w:r>
    </w:p>
    <w:p w14:paraId="7A4544F5" w14:textId="21BF2AA3"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0233B9">
        <w:rPr>
          <w:rFonts w:eastAsiaTheme="minorEastAsia"/>
          <w:rtl/>
        </w:rPr>
        <w:t>24</w:t>
      </w:r>
      <w:r w:rsidRPr="00C66A65">
        <w:rPr>
          <w:rFonts w:eastAsiaTheme="minorEastAsia"/>
          <w:rtl/>
        </w:rPr>
        <w:tab/>
        <w:t xml:space="preserve">وأخيراً، قدمت صاحبتا البلاغ في </w:t>
      </w:r>
      <w:r w:rsidRPr="000233B9">
        <w:rPr>
          <w:rFonts w:eastAsiaTheme="minorEastAsia"/>
          <w:rtl/>
        </w:rPr>
        <w:t>14</w:t>
      </w:r>
      <w:r w:rsidRPr="00C66A65">
        <w:rPr>
          <w:rFonts w:eastAsiaTheme="minorEastAsia"/>
          <w:rtl/>
        </w:rPr>
        <w:t xml:space="preserve"> أيار/مايو </w:t>
      </w:r>
      <w:r w:rsidRPr="000233B9">
        <w:rPr>
          <w:rFonts w:eastAsiaTheme="minorEastAsia"/>
          <w:rtl/>
        </w:rPr>
        <w:t>2018</w:t>
      </w:r>
      <w:r w:rsidRPr="00C66A65">
        <w:rPr>
          <w:rFonts w:eastAsiaTheme="minorEastAsia"/>
          <w:rtl/>
        </w:rPr>
        <w:t xml:space="preserve"> طلباً للحصول على المساعدة الطبية والصيدلانية والمساعدة الاجتماعية ومعاش الأسرة إلى وزارة المالية. ورُفض هذا الطلب. ولم تحصل ف.</w:t>
      </w:r>
      <w:r w:rsidR="00705C56">
        <w:rPr>
          <w:rFonts w:eastAsiaTheme="minorEastAsia" w:hint="cs"/>
          <w:rtl/>
        </w:rPr>
        <w:t> </w:t>
      </w:r>
      <w:r w:rsidRPr="00C66A65">
        <w:rPr>
          <w:rFonts w:eastAsiaTheme="minorEastAsia"/>
          <w:rtl/>
        </w:rPr>
        <w:t xml:space="preserve">أ. خ. من قبل على معاش اليتيمة، الذي أُقر في عام </w:t>
      </w:r>
      <w:r w:rsidRPr="000233B9">
        <w:rPr>
          <w:rFonts w:eastAsiaTheme="minorEastAsia"/>
          <w:rtl/>
        </w:rPr>
        <w:t>1940</w:t>
      </w:r>
      <w:r w:rsidRPr="00C66A65">
        <w:rPr>
          <w:rFonts w:eastAsiaTheme="minorEastAsia"/>
          <w:rtl/>
        </w:rPr>
        <w:t xml:space="preserve">، لأنها لم تكن يتيمة من الناحية القانونية؛ ولم يتسن لها الحصول على معاش خاص من النوع الذي أُقر في عام </w:t>
      </w:r>
      <w:r w:rsidRPr="000233B9">
        <w:rPr>
          <w:rFonts w:eastAsiaTheme="minorEastAsia"/>
          <w:rtl/>
        </w:rPr>
        <w:t>1979</w:t>
      </w:r>
      <w:r w:rsidRPr="00C66A65">
        <w:rPr>
          <w:rFonts w:eastAsiaTheme="minorEastAsia"/>
          <w:rtl/>
        </w:rPr>
        <w:t xml:space="preserve"> لأنها كانت متزوجة ولأن القانون ذا الصلة لا يشمل سوى البنات غير المتزوجات والأرامل.</w:t>
      </w:r>
    </w:p>
    <w:p w14:paraId="4E737373" w14:textId="77777777" w:rsidR="00C66A65" w:rsidRPr="00A67F09" w:rsidRDefault="00C66A65" w:rsidP="00C66A65">
      <w:pPr>
        <w:pStyle w:val="H23GA"/>
        <w:rPr>
          <w:lang w:val="en-US" w:eastAsia="zh-TW" w:bidi="en-GB"/>
        </w:rPr>
      </w:pPr>
      <w:r w:rsidRPr="000233B9">
        <w:rPr>
          <w:rtl/>
        </w:rPr>
        <w:tab/>
      </w:r>
      <w:r w:rsidRPr="000233B9">
        <w:rPr>
          <w:rtl/>
        </w:rPr>
        <w:tab/>
        <w:t>الشكوى</w:t>
      </w:r>
    </w:p>
    <w:p w14:paraId="3E20D3C6" w14:textId="69AB8BE9" w:rsidR="00C66A65" w:rsidRPr="00C66A65" w:rsidRDefault="00C66A65" w:rsidP="00C66A65">
      <w:pPr>
        <w:pStyle w:val="SingleTxtGA"/>
        <w:rPr>
          <w:rFonts w:eastAsiaTheme="minorEastAsia"/>
          <w:lang w:val="fr-CH" w:eastAsia="zh-TW" w:bidi="en-GB"/>
        </w:rPr>
      </w:pPr>
      <w:r w:rsidRPr="000233B9">
        <w:rPr>
          <w:rFonts w:eastAsiaTheme="minorEastAsia"/>
          <w:rtl/>
        </w:rPr>
        <w:t>3</w:t>
      </w:r>
      <w:r w:rsidRPr="00C66A65">
        <w:rPr>
          <w:rFonts w:eastAsiaTheme="minorEastAsia"/>
          <w:rtl/>
        </w:rPr>
        <w:t>-</w:t>
      </w:r>
      <w:r w:rsidRPr="000233B9">
        <w:rPr>
          <w:rFonts w:eastAsiaTheme="minorEastAsia"/>
          <w:rtl/>
        </w:rPr>
        <w:t>1</w:t>
      </w:r>
      <w:r w:rsidRPr="00C66A65">
        <w:rPr>
          <w:rFonts w:eastAsiaTheme="minorEastAsia"/>
          <w:rtl/>
        </w:rPr>
        <w:tab/>
        <w:t xml:space="preserve">أولاً، تؤكد صاحبتا البلاغ أن البلاغ مقبول من حيث </w:t>
      </w:r>
      <w:r w:rsidRPr="00315B29">
        <w:rPr>
          <w:rFonts w:eastAsiaTheme="minorEastAsia"/>
          <w:i/>
          <w:iCs/>
          <w:rtl/>
        </w:rPr>
        <w:t>الاختصاص الزمني</w:t>
      </w:r>
      <w:r w:rsidRPr="00C66A65">
        <w:rPr>
          <w:rFonts w:eastAsiaTheme="minorEastAsia"/>
          <w:rtl/>
        </w:rPr>
        <w:t xml:space="preserve"> لأن الأحداث تشكل انتهاكات مستمرة وجارية</w:t>
      </w:r>
      <w:r>
        <w:rPr>
          <w:rStyle w:val="FootnoteReference"/>
          <w:rFonts w:eastAsiaTheme="minorEastAsia"/>
          <w:szCs w:val="22"/>
          <w:rtl/>
        </w:rPr>
        <w:t>(</w:t>
      </w:r>
      <w:r w:rsidRPr="000233B9">
        <w:rPr>
          <w:rStyle w:val="FootnoteReference"/>
          <w:rFonts w:eastAsiaTheme="minorEastAsia"/>
          <w:szCs w:val="22"/>
          <w:lang w:val="en-US"/>
        </w:rPr>
        <w:footnoteReference w:id="11"/>
      </w:r>
      <w:r>
        <w:rPr>
          <w:rStyle w:val="FootnoteReference"/>
          <w:rFonts w:eastAsiaTheme="minorEastAsia"/>
          <w:szCs w:val="22"/>
          <w:rtl/>
        </w:rPr>
        <w:t>)</w:t>
      </w:r>
      <w:r w:rsidRPr="00C66A65">
        <w:rPr>
          <w:rFonts w:eastAsiaTheme="minorEastAsia"/>
          <w:rtl/>
        </w:rPr>
        <w:t xml:space="preserve">. وتشيران إلى أن السيد خ. ف. والسيد أ. م. شوهدا آخر مرة على قيد الحياة وهما رهن الاحتجاز لدى مسؤولي الدولة الذين أخفوا مصيرهما ومكان وجودهما في إطار خطة منهجية </w:t>
      </w:r>
      <w:r w:rsidRPr="00C66A65">
        <w:rPr>
          <w:rFonts w:eastAsiaTheme="minorEastAsia"/>
          <w:rtl/>
        </w:rPr>
        <w:lastRenderedPageBreak/>
        <w:t xml:space="preserve">لاختفاء الأشخاص. وعلى الرغم من أن حالات الاختفاء القسري هذه بدأت قبل دخول العهد حيز النفاذ، فقد انتهكت الدولة الطرف منذ بدء نفاذ البروتوكول الاختياري التزاماتها الإجرائية الإيجابية بالتحقيق في مصير الأشخاص المختفين ومكان وجودهم ومعرفتهما، وتحديد هوية مرتكبي هذه الأفعال ومقاضاتهم ومعاقبتهم وجبر الضرر كاملاً. وتشددان أيضاً على أن البلاغ مقبول من حيث </w:t>
      </w:r>
      <w:r w:rsidRPr="000233B9">
        <w:rPr>
          <w:rFonts w:eastAsiaTheme="minorEastAsia"/>
          <w:i/>
          <w:iCs/>
          <w:rtl/>
        </w:rPr>
        <w:t>الاختصاص الزمني</w:t>
      </w:r>
      <w:r w:rsidRPr="00C66A65">
        <w:rPr>
          <w:rFonts w:eastAsiaTheme="minorEastAsia"/>
          <w:rtl/>
        </w:rPr>
        <w:t xml:space="preserve"> لأنهما قدمتا طعوناً قانونية بعد دخول البروتوكول حيز النفاذ</w:t>
      </w:r>
      <w:r>
        <w:rPr>
          <w:rStyle w:val="FootnoteReference"/>
          <w:rFonts w:eastAsiaTheme="minorEastAsia"/>
          <w:szCs w:val="22"/>
          <w:rtl/>
        </w:rPr>
        <w:t>(</w:t>
      </w:r>
      <w:r w:rsidRPr="000233B9">
        <w:rPr>
          <w:rStyle w:val="FootnoteReference"/>
          <w:rFonts w:eastAsiaTheme="minorEastAsia"/>
          <w:szCs w:val="22"/>
          <w:lang w:val="en-US"/>
        </w:rPr>
        <w:footnoteReference w:id="12"/>
      </w:r>
      <w:r>
        <w:rPr>
          <w:rStyle w:val="FootnoteReference"/>
          <w:rFonts w:eastAsiaTheme="minorEastAsia"/>
          <w:szCs w:val="22"/>
          <w:rtl/>
        </w:rPr>
        <w:t>)</w:t>
      </w:r>
      <w:r w:rsidRPr="00C66A65">
        <w:rPr>
          <w:rFonts w:eastAsiaTheme="minorEastAsia"/>
          <w:rtl/>
        </w:rPr>
        <w:t>.</w:t>
      </w:r>
    </w:p>
    <w:p w14:paraId="0C693A56" w14:textId="371F7101" w:rsidR="00C66A65" w:rsidRPr="009716A5" w:rsidRDefault="00C66A65" w:rsidP="00C66A65">
      <w:pPr>
        <w:pStyle w:val="SingleTxtGA"/>
        <w:rPr>
          <w:rFonts w:eastAsiaTheme="minorEastAsia"/>
          <w:spacing w:val="-4"/>
          <w:lang w:val="en-US" w:eastAsia="zh-TW" w:bidi="en-GB"/>
        </w:rPr>
      </w:pPr>
      <w:r w:rsidRPr="000233B9">
        <w:rPr>
          <w:rFonts w:eastAsiaTheme="minorEastAsia"/>
          <w:rtl/>
        </w:rPr>
        <w:t>3</w:t>
      </w:r>
      <w:r w:rsidRPr="00C66A65">
        <w:rPr>
          <w:rFonts w:eastAsiaTheme="minorEastAsia"/>
          <w:rtl/>
        </w:rPr>
        <w:t>-</w:t>
      </w:r>
      <w:r w:rsidRPr="000233B9">
        <w:rPr>
          <w:rFonts w:eastAsiaTheme="minorEastAsia"/>
          <w:rtl/>
        </w:rPr>
        <w:t>2</w:t>
      </w:r>
      <w:r w:rsidRPr="00C66A65">
        <w:rPr>
          <w:rFonts w:eastAsiaTheme="minorEastAsia"/>
          <w:rtl/>
        </w:rPr>
        <w:tab/>
        <w:t xml:space="preserve">ثانياً، تؤكد صاحبتا الشكوى أنهما استنفدتا جميع السبل المتاحة التي يمكن من خلالها اتخاذ إجراءات للتحقيق في الأحداث، وتحديد هوية الجناة ومقاضاتهم ومعاقبتهم، وتحديد مكان قريبيهما، وجبر ضررهما جبراً تاماً. وتُذكّران بأن المحكمة الوطنية العليا قررت عدم اختصاصها بالنظر في القضية وأحالتها إلى محكمة </w:t>
      </w:r>
      <w:proofErr w:type="spellStart"/>
      <w:r w:rsidRPr="00C66A65">
        <w:rPr>
          <w:rFonts w:eastAsiaTheme="minorEastAsia"/>
          <w:rtl/>
        </w:rPr>
        <w:t>بالما</w:t>
      </w:r>
      <w:proofErr w:type="spellEnd"/>
      <w:r w:rsidRPr="00C66A65">
        <w:rPr>
          <w:rFonts w:eastAsiaTheme="minorEastAsia"/>
          <w:rtl/>
        </w:rPr>
        <w:t xml:space="preserve"> دي مايوركا، حيثُ رفضت الإجراءات. وأيدت المحكمة العليا في مايوركا قرار الرفض، ولم تقبل المحكمة الدستورية طلب الحماية الدستورية المقدم إليها. وفي وقت لاحق، وبعد فتح قبر بالقرب من </w:t>
      </w:r>
      <w:proofErr w:type="spellStart"/>
      <w:r w:rsidRPr="00C66A65">
        <w:rPr>
          <w:rFonts w:eastAsiaTheme="minorEastAsia"/>
          <w:rtl/>
        </w:rPr>
        <w:t>ماناكور</w:t>
      </w:r>
      <w:proofErr w:type="spellEnd"/>
      <w:r w:rsidRPr="00C66A65">
        <w:rPr>
          <w:rFonts w:eastAsiaTheme="minorEastAsia"/>
          <w:rtl/>
        </w:rPr>
        <w:t xml:space="preserve">، قدمت صاحبتا البلاغ طلباً إلى محكمة </w:t>
      </w:r>
      <w:proofErr w:type="spellStart"/>
      <w:r w:rsidRPr="00C66A65">
        <w:rPr>
          <w:rFonts w:eastAsiaTheme="minorEastAsia"/>
          <w:rtl/>
        </w:rPr>
        <w:t>ماناكور</w:t>
      </w:r>
      <w:proofErr w:type="spellEnd"/>
      <w:r w:rsidRPr="00C66A65">
        <w:rPr>
          <w:rFonts w:eastAsiaTheme="minorEastAsia"/>
          <w:rtl/>
        </w:rPr>
        <w:t xml:space="preserve"> باء بالفشل. علاوة على ذلك، وعلى الرغم من أن ذكر هذه الواقعة ليس ضروري</w:t>
      </w:r>
      <w:r w:rsidR="00446F74">
        <w:rPr>
          <w:rFonts w:eastAsiaTheme="minorEastAsia"/>
          <w:rtl/>
        </w:rPr>
        <w:t xml:space="preserve">اً </w:t>
      </w:r>
      <w:r w:rsidRPr="00C66A65">
        <w:rPr>
          <w:rFonts w:eastAsiaTheme="minorEastAsia"/>
          <w:rtl/>
        </w:rPr>
        <w:t xml:space="preserve">لإثبات استنفاد سبل الانتصاف المحلية، فإن إسبانيا عرقلت محاولتها التماس الانتصاف أمام المحاكم الأرجنتينية. وتشيران في هذا الصدد إلى أن عدداً من خبراء </w:t>
      </w:r>
      <w:r w:rsidRPr="009716A5">
        <w:rPr>
          <w:rFonts w:eastAsiaTheme="minorEastAsia"/>
          <w:spacing w:val="-4"/>
          <w:rtl/>
        </w:rPr>
        <w:t>الأمم المتحدة ومقرريها الخاصين أصدروا بياناً مشترك</w:t>
      </w:r>
      <w:r w:rsidR="00446F74" w:rsidRPr="009716A5">
        <w:rPr>
          <w:rFonts w:eastAsiaTheme="minorEastAsia"/>
          <w:spacing w:val="-4"/>
          <w:rtl/>
        </w:rPr>
        <w:t xml:space="preserve">اً </w:t>
      </w:r>
      <w:r w:rsidRPr="009716A5">
        <w:rPr>
          <w:rFonts w:eastAsiaTheme="minorEastAsia"/>
          <w:spacing w:val="-4"/>
          <w:rtl/>
        </w:rPr>
        <w:t>بعنوان "إسبانيا ملزمة بتسليم أو محاكمة المسؤولين عن الانتهاكات الجسيمة لحقوق الإنسان" (</w:t>
      </w:r>
      <w:proofErr w:type="spellStart"/>
      <w:r w:rsidRPr="009716A5">
        <w:rPr>
          <w:rFonts w:eastAsiaTheme="minorEastAsia"/>
          <w:spacing w:val="-4"/>
        </w:rPr>
        <w:t>España</w:t>
      </w:r>
      <w:proofErr w:type="spellEnd"/>
      <w:r w:rsidRPr="009716A5">
        <w:rPr>
          <w:rFonts w:eastAsiaTheme="minorEastAsia"/>
          <w:spacing w:val="-4"/>
        </w:rPr>
        <w:t xml:space="preserve"> debe </w:t>
      </w:r>
      <w:proofErr w:type="spellStart"/>
      <w:r w:rsidRPr="009716A5">
        <w:rPr>
          <w:rFonts w:eastAsiaTheme="minorEastAsia"/>
          <w:spacing w:val="-4"/>
        </w:rPr>
        <w:t>extraditar</w:t>
      </w:r>
      <w:proofErr w:type="spellEnd"/>
      <w:r w:rsidRPr="009716A5">
        <w:rPr>
          <w:rFonts w:eastAsiaTheme="minorEastAsia"/>
          <w:spacing w:val="-4"/>
        </w:rPr>
        <w:t xml:space="preserve"> o </w:t>
      </w:r>
      <w:proofErr w:type="spellStart"/>
      <w:r w:rsidRPr="009716A5">
        <w:rPr>
          <w:rFonts w:eastAsiaTheme="minorEastAsia"/>
          <w:spacing w:val="-4"/>
        </w:rPr>
        <w:t>juzgar</w:t>
      </w:r>
      <w:proofErr w:type="spellEnd"/>
      <w:r w:rsidRPr="009716A5">
        <w:rPr>
          <w:rFonts w:eastAsiaTheme="minorEastAsia"/>
          <w:spacing w:val="-4"/>
        </w:rPr>
        <w:t xml:space="preserve"> a los </w:t>
      </w:r>
      <w:proofErr w:type="spellStart"/>
      <w:r w:rsidRPr="009716A5">
        <w:rPr>
          <w:rFonts w:eastAsiaTheme="minorEastAsia"/>
          <w:spacing w:val="-4"/>
        </w:rPr>
        <w:t>responsables</w:t>
      </w:r>
      <w:proofErr w:type="spellEnd"/>
      <w:r w:rsidRPr="009716A5">
        <w:rPr>
          <w:rFonts w:eastAsiaTheme="minorEastAsia"/>
          <w:spacing w:val="-4"/>
        </w:rPr>
        <w:t xml:space="preserve"> de</w:t>
      </w:r>
      <w:r w:rsidR="009716A5">
        <w:rPr>
          <w:rFonts w:eastAsiaTheme="minorEastAsia"/>
          <w:spacing w:val="-4"/>
          <w:lang w:val="en-US"/>
        </w:rPr>
        <w:br/>
      </w:r>
      <w:proofErr w:type="spellStart"/>
      <w:r w:rsidRPr="009716A5">
        <w:rPr>
          <w:rFonts w:eastAsiaTheme="minorEastAsia"/>
          <w:spacing w:val="-4"/>
        </w:rPr>
        <w:t>violaciones</w:t>
      </w:r>
      <w:proofErr w:type="spellEnd"/>
      <w:r w:rsidRPr="009716A5">
        <w:rPr>
          <w:rFonts w:eastAsiaTheme="minorEastAsia"/>
          <w:spacing w:val="-4"/>
        </w:rPr>
        <w:t xml:space="preserve"> graves de </w:t>
      </w:r>
      <w:proofErr w:type="spellStart"/>
      <w:r w:rsidRPr="009716A5">
        <w:rPr>
          <w:rFonts w:eastAsiaTheme="minorEastAsia"/>
          <w:spacing w:val="-4"/>
        </w:rPr>
        <w:t>derechos</w:t>
      </w:r>
      <w:proofErr w:type="spellEnd"/>
      <w:r w:rsidRPr="009716A5">
        <w:rPr>
          <w:rFonts w:eastAsiaTheme="minorEastAsia"/>
          <w:spacing w:val="-4"/>
        </w:rPr>
        <w:t xml:space="preserve"> </w:t>
      </w:r>
      <w:proofErr w:type="spellStart"/>
      <w:r w:rsidRPr="009716A5">
        <w:rPr>
          <w:rFonts w:eastAsiaTheme="minorEastAsia"/>
          <w:spacing w:val="-4"/>
        </w:rPr>
        <w:t>humanos</w:t>
      </w:r>
      <w:proofErr w:type="spellEnd"/>
      <w:r w:rsidRPr="009716A5">
        <w:rPr>
          <w:rFonts w:eastAsiaTheme="minorEastAsia"/>
          <w:spacing w:val="-4"/>
          <w:rtl/>
        </w:rPr>
        <w:t>)، وهو رأي أعربت عنه لجنة مناهضة التعذيب أيضاً</w:t>
      </w:r>
      <w:r w:rsidRPr="009716A5">
        <w:rPr>
          <w:rStyle w:val="FootnoteReference"/>
          <w:rFonts w:eastAsiaTheme="minorEastAsia"/>
          <w:spacing w:val="-4"/>
          <w:szCs w:val="22"/>
          <w:rtl/>
        </w:rPr>
        <w:t>(</w:t>
      </w:r>
      <w:r w:rsidRPr="000233B9">
        <w:rPr>
          <w:rStyle w:val="FootnoteReference"/>
          <w:rFonts w:eastAsiaTheme="minorEastAsia"/>
          <w:spacing w:val="-4"/>
          <w:szCs w:val="22"/>
          <w:lang w:val="en-US"/>
        </w:rPr>
        <w:footnoteReference w:id="13"/>
      </w:r>
      <w:r w:rsidRPr="009716A5">
        <w:rPr>
          <w:rStyle w:val="FootnoteReference"/>
          <w:rFonts w:eastAsiaTheme="minorEastAsia"/>
          <w:spacing w:val="-4"/>
          <w:szCs w:val="22"/>
          <w:rtl/>
        </w:rPr>
        <w:t>)</w:t>
      </w:r>
      <w:r w:rsidRPr="009716A5">
        <w:rPr>
          <w:rFonts w:eastAsiaTheme="minorEastAsia"/>
          <w:spacing w:val="-4"/>
          <w:rtl/>
        </w:rPr>
        <w:t>. وفي نهاية المطاف، لم تنجح أيضاً التدابير الإدارية المتخذة لتحديد مكان وجود قريبيهما والاستفادة من جبر</w:t>
      </w:r>
      <w:r w:rsidR="009716A5">
        <w:rPr>
          <w:rFonts w:eastAsiaTheme="minorEastAsia" w:hint="cs"/>
          <w:spacing w:val="-4"/>
          <w:rtl/>
        </w:rPr>
        <w:t> </w:t>
      </w:r>
      <w:r w:rsidRPr="009716A5">
        <w:rPr>
          <w:rFonts w:eastAsiaTheme="minorEastAsia"/>
          <w:spacing w:val="-4"/>
          <w:rtl/>
        </w:rPr>
        <w:t>الضرر.</w:t>
      </w:r>
    </w:p>
    <w:p w14:paraId="3BEF9BD5" w14:textId="491B22C0" w:rsidR="00C66A65" w:rsidRPr="00C66A65" w:rsidRDefault="00C66A65" w:rsidP="00C66A65">
      <w:pPr>
        <w:pStyle w:val="SingleTxtGA"/>
        <w:rPr>
          <w:rFonts w:eastAsiaTheme="minorEastAsia"/>
          <w:lang w:val="fr-CH" w:eastAsia="zh-TW" w:bidi="en-GB"/>
        </w:rPr>
      </w:pPr>
      <w:r w:rsidRPr="000233B9">
        <w:rPr>
          <w:rFonts w:eastAsiaTheme="minorEastAsia"/>
          <w:rtl/>
        </w:rPr>
        <w:t>3</w:t>
      </w:r>
      <w:r w:rsidRPr="00C66A65">
        <w:rPr>
          <w:rFonts w:eastAsiaTheme="minorEastAsia"/>
          <w:rtl/>
        </w:rPr>
        <w:t>-</w:t>
      </w:r>
      <w:r w:rsidRPr="000233B9">
        <w:rPr>
          <w:rFonts w:eastAsiaTheme="minorEastAsia"/>
          <w:rtl/>
        </w:rPr>
        <w:t>3</w:t>
      </w:r>
      <w:r w:rsidRPr="00C66A65">
        <w:rPr>
          <w:rFonts w:eastAsiaTheme="minorEastAsia"/>
          <w:rtl/>
        </w:rPr>
        <w:tab/>
        <w:t xml:space="preserve">وتفيد صاحبتا البلاغ بأن عدم إمكانية اللجوء إلى القضاء مشكلة هيكلية. فبسبب الحكم التاريخي الصادر عن المحكمة العليا الذي أرسى سابقة قضائية بشأن الأسباب المزعومة التي تمنع القضاة الإسبان من التحقيق في الجرائم المرتكبة خلال الحرب الأهلية وفترة نظام فرانكو (انظر الفقرة </w:t>
      </w:r>
      <w:r w:rsidRPr="000233B9">
        <w:rPr>
          <w:rFonts w:eastAsiaTheme="minorEastAsia"/>
          <w:rtl/>
        </w:rPr>
        <w:t>2</w:t>
      </w:r>
      <w:r w:rsidRPr="00C66A65">
        <w:rPr>
          <w:rFonts w:eastAsiaTheme="minorEastAsia"/>
          <w:rtl/>
        </w:rPr>
        <w:t>-</w:t>
      </w:r>
      <w:r w:rsidRPr="000233B9">
        <w:rPr>
          <w:rFonts w:eastAsiaTheme="minorEastAsia"/>
          <w:rtl/>
        </w:rPr>
        <w:t>17</w:t>
      </w:r>
      <w:r w:rsidRPr="00C66A65">
        <w:rPr>
          <w:rFonts w:eastAsiaTheme="minorEastAsia"/>
          <w:rtl/>
        </w:rPr>
        <w:t xml:space="preserve"> أعلاه)، لا</w:t>
      </w:r>
      <w:r w:rsidR="00446F74">
        <w:rPr>
          <w:rFonts w:eastAsiaTheme="minorEastAsia" w:hint="cs"/>
          <w:rtl/>
        </w:rPr>
        <w:t> </w:t>
      </w:r>
      <w:r w:rsidRPr="00C66A65">
        <w:rPr>
          <w:rFonts w:eastAsiaTheme="minorEastAsia"/>
          <w:rtl/>
        </w:rPr>
        <w:t>توجد سبل معقولة وفعالة للانتصاف في الدولة الطرف لتحديد مصير ضحايا الاختفاء القسري خلال تلك الفترة ومكان وجودهم. ولا يزال قانون العفو سارياً، على الرغم من الطلبات المتكررة الموجهة إلى الدولة الطرف لإلغائه، بما فيها الطلبات الصادرة عن اللجنة</w:t>
      </w:r>
      <w:r>
        <w:rPr>
          <w:rStyle w:val="FootnoteReference"/>
          <w:rFonts w:eastAsiaTheme="minorEastAsia"/>
          <w:szCs w:val="22"/>
          <w:rtl/>
        </w:rPr>
        <w:t>(</w:t>
      </w:r>
      <w:r w:rsidRPr="000233B9">
        <w:rPr>
          <w:rStyle w:val="FootnoteReference"/>
          <w:rFonts w:eastAsiaTheme="minorEastAsia"/>
          <w:szCs w:val="22"/>
          <w:lang w:val="en-US"/>
        </w:rPr>
        <w:footnoteReference w:id="14"/>
      </w:r>
      <w:r>
        <w:rPr>
          <w:rStyle w:val="FootnoteReference"/>
          <w:rFonts w:eastAsiaTheme="minorEastAsia"/>
          <w:szCs w:val="22"/>
          <w:rtl/>
        </w:rPr>
        <w:t>)</w:t>
      </w:r>
      <w:r w:rsidRPr="00C66A65">
        <w:rPr>
          <w:rFonts w:eastAsiaTheme="minorEastAsia"/>
          <w:rtl/>
        </w:rPr>
        <w:t>، ولجنة مناهضة التعذيب</w:t>
      </w:r>
      <w:r>
        <w:rPr>
          <w:rStyle w:val="FootnoteReference"/>
          <w:rFonts w:eastAsiaTheme="minorEastAsia"/>
          <w:szCs w:val="22"/>
          <w:rtl/>
        </w:rPr>
        <w:t>(</w:t>
      </w:r>
      <w:r w:rsidRPr="000233B9">
        <w:rPr>
          <w:rStyle w:val="FootnoteReference"/>
          <w:rFonts w:eastAsiaTheme="minorEastAsia"/>
          <w:szCs w:val="22"/>
          <w:lang w:val="en-US"/>
        </w:rPr>
        <w:footnoteReference w:id="15"/>
      </w:r>
      <w:r>
        <w:rPr>
          <w:rStyle w:val="FootnoteReference"/>
          <w:rFonts w:eastAsiaTheme="minorEastAsia"/>
          <w:szCs w:val="22"/>
          <w:rtl/>
        </w:rPr>
        <w:t>)</w:t>
      </w:r>
      <w:r w:rsidRPr="00C66A65">
        <w:rPr>
          <w:rFonts w:eastAsiaTheme="minorEastAsia"/>
          <w:rtl/>
        </w:rPr>
        <w:t>، والفريق العامل المعني بحالات الاختفاء القسري أو غير الطوعي</w:t>
      </w:r>
      <w:r>
        <w:rPr>
          <w:rStyle w:val="FootnoteReference"/>
          <w:rFonts w:eastAsiaTheme="minorEastAsia"/>
          <w:szCs w:val="22"/>
          <w:rtl/>
        </w:rPr>
        <w:t>(</w:t>
      </w:r>
      <w:r w:rsidRPr="000233B9">
        <w:rPr>
          <w:rStyle w:val="FootnoteReference"/>
          <w:rFonts w:eastAsiaTheme="minorEastAsia"/>
          <w:szCs w:val="22"/>
          <w:lang w:val="en-US"/>
        </w:rPr>
        <w:footnoteReference w:id="16"/>
      </w:r>
      <w:r>
        <w:rPr>
          <w:rStyle w:val="FootnoteReference"/>
          <w:rFonts w:eastAsiaTheme="minorEastAsia"/>
          <w:szCs w:val="22"/>
          <w:rtl/>
        </w:rPr>
        <w:t>)</w:t>
      </w:r>
      <w:r w:rsidRPr="00C66A65">
        <w:rPr>
          <w:rFonts w:eastAsiaTheme="minorEastAsia"/>
          <w:rtl/>
        </w:rPr>
        <w:t>، والمقرر الخاص المعني بتعزيز الحقيقة والعدالة والجبر وضمانات عدم التكرار، الذي يشعر بالقلق كذلك إزاء الخط الرسمي الذي تتبعه الدولة الطرف وهو "إما نتفق جميعاً على أننا تصالحنا تماماً، أو يكون البديل الوحيد أمامنا هو عودة الأحقاد الدفينة"</w:t>
      </w:r>
      <w:r>
        <w:rPr>
          <w:rStyle w:val="FootnoteReference"/>
          <w:rFonts w:eastAsiaTheme="minorEastAsia"/>
          <w:szCs w:val="22"/>
          <w:rtl/>
        </w:rPr>
        <w:t>(</w:t>
      </w:r>
      <w:r w:rsidRPr="000233B9">
        <w:rPr>
          <w:rStyle w:val="FootnoteReference"/>
          <w:rFonts w:eastAsiaTheme="minorEastAsia"/>
          <w:szCs w:val="22"/>
          <w:lang w:val="en-US"/>
        </w:rPr>
        <w:footnoteReference w:id="17"/>
      </w:r>
      <w:r>
        <w:rPr>
          <w:rStyle w:val="FootnoteReference"/>
          <w:rFonts w:eastAsiaTheme="minorEastAsia"/>
          <w:szCs w:val="22"/>
          <w:rtl/>
        </w:rPr>
        <w:t>)</w:t>
      </w:r>
      <w:r w:rsidRPr="00C66A65">
        <w:rPr>
          <w:rFonts w:eastAsiaTheme="minorEastAsia"/>
          <w:rtl/>
        </w:rPr>
        <w:t xml:space="preserve">. وأعربت هذه الهيئات أيضاً عن قلقها إزاء نمط الإفلات من العقاب الذي </w:t>
      </w:r>
      <w:proofErr w:type="spellStart"/>
      <w:r w:rsidRPr="00C66A65">
        <w:rPr>
          <w:rFonts w:eastAsiaTheme="minorEastAsia"/>
          <w:rtl/>
        </w:rPr>
        <w:t>أرست</w:t>
      </w:r>
      <w:r w:rsidR="00A67F09">
        <w:rPr>
          <w:rFonts w:eastAsiaTheme="minorEastAsia" w:hint="cs"/>
          <w:rtl/>
        </w:rPr>
        <w:t>ه</w:t>
      </w:r>
      <w:proofErr w:type="spellEnd"/>
      <w:r w:rsidRPr="00C66A65">
        <w:rPr>
          <w:rFonts w:eastAsiaTheme="minorEastAsia"/>
          <w:rtl/>
        </w:rPr>
        <w:t xml:space="preserve"> المحكمة العليا</w:t>
      </w:r>
      <w:r>
        <w:rPr>
          <w:rStyle w:val="FootnoteReference"/>
          <w:rFonts w:eastAsiaTheme="minorEastAsia"/>
          <w:szCs w:val="22"/>
          <w:rtl/>
        </w:rPr>
        <w:t>(</w:t>
      </w:r>
      <w:r w:rsidRPr="000233B9">
        <w:rPr>
          <w:rStyle w:val="FootnoteReference"/>
          <w:rFonts w:eastAsiaTheme="minorEastAsia"/>
          <w:szCs w:val="22"/>
          <w:lang w:val="en-US"/>
        </w:rPr>
        <w:footnoteReference w:id="18"/>
      </w:r>
      <w:r>
        <w:rPr>
          <w:rStyle w:val="FootnoteReference"/>
          <w:rFonts w:eastAsiaTheme="minorEastAsia"/>
          <w:szCs w:val="22"/>
          <w:rtl/>
        </w:rPr>
        <w:t>)</w:t>
      </w:r>
      <w:r w:rsidRPr="00C66A65">
        <w:rPr>
          <w:rFonts w:eastAsiaTheme="minorEastAsia"/>
          <w:rtl/>
        </w:rPr>
        <w:t xml:space="preserve">. علاوة على ذلك، فإن قانون الذاكرة التاريخية، مثلما ذكرت اللجنة، غير فعال وغير كاف لأنه </w:t>
      </w:r>
      <w:r w:rsidRPr="00C66A65">
        <w:rPr>
          <w:rFonts w:eastAsiaTheme="minorEastAsia"/>
          <w:rtl/>
        </w:rPr>
        <w:lastRenderedPageBreak/>
        <w:t>يجعل أعمال استخراج الجثث وتحديد هوية الأشخاص المختفين مبادرة خاصة</w:t>
      </w:r>
      <w:r>
        <w:rPr>
          <w:rStyle w:val="FootnoteReference"/>
          <w:rFonts w:eastAsiaTheme="minorEastAsia"/>
          <w:szCs w:val="22"/>
          <w:rtl/>
        </w:rPr>
        <w:t>(</w:t>
      </w:r>
      <w:r w:rsidRPr="000233B9">
        <w:rPr>
          <w:rStyle w:val="FootnoteReference"/>
          <w:rFonts w:eastAsiaTheme="minorEastAsia"/>
          <w:szCs w:val="22"/>
          <w:lang w:val="en-US"/>
        </w:rPr>
        <w:footnoteReference w:id="19"/>
      </w:r>
      <w:r>
        <w:rPr>
          <w:rStyle w:val="FootnoteReference"/>
          <w:rFonts w:eastAsiaTheme="minorEastAsia"/>
          <w:szCs w:val="22"/>
          <w:rtl/>
        </w:rPr>
        <w:t>)</w:t>
      </w:r>
      <w:r w:rsidRPr="00C66A65">
        <w:rPr>
          <w:rFonts w:eastAsiaTheme="minorEastAsia"/>
          <w:rtl/>
        </w:rPr>
        <w:t>. وخلاصة القول إن الأمم المتحدة قد سبق أن استنتجت أن الدولة الطرف: (أ) لا تتيح سبل انتصاف تسمح بإمكانية اللجوء إلى القضاء؛ (ب)</w:t>
      </w:r>
      <w:r w:rsidR="00446F74">
        <w:rPr>
          <w:rFonts w:eastAsiaTheme="minorEastAsia" w:hint="cs"/>
          <w:rtl/>
        </w:rPr>
        <w:t> </w:t>
      </w:r>
      <w:r w:rsidRPr="00C66A65">
        <w:rPr>
          <w:rFonts w:eastAsiaTheme="minorEastAsia"/>
          <w:rtl/>
        </w:rPr>
        <w:t xml:space="preserve">لا تتيح تدابير بحث فعالة؛ (ج) لا تتيح موارد لتقديم تعويضات وجبر شامل للضرر لضحايا الحرب الأهلية وفترة دكتاتورية فرانكو. وقد أعرب مجلس أوروبا </w:t>
      </w:r>
      <w:proofErr w:type="gramStart"/>
      <w:r w:rsidRPr="00C66A65">
        <w:rPr>
          <w:rFonts w:eastAsiaTheme="minorEastAsia"/>
          <w:rtl/>
        </w:rPr>
        <w:t>والبرلمان</w:t>
      </w:r>
      <w:proofErr w:type="gramEnd"/>
      <w:r w:rsidRPr="00C66A65">
        <w:rPr>
          <w:rFonts w:eastAsiaTheme="minorEastAsia"/>
          <w:rtl/>
        </w:rPr>
        <w:t xml:space="preserve"> الأوروبي عن آراء مماثلة، وعن قلقهما أيضاً إزاء عدم تنفيذ توصيات هيئات معاهدات الأمم المتحدة</w:t>
      </w:r>
      <w:r>
        <w:rPr>
          <w:rStyle w:val="FootnoteReference"/>
          <w:rFonts w:eastAsiaTheme="minorEastAsia"/>
          <w:szCs w:val="22"/>
          <w:rtl/>
        </w:rPr>
        <w:t>(</w:t>
      </w:r>
      <w:r w:rsidRPr="000233B9">
        <w:rPr>
          <w:rStyle w:val="FootnoteReference"/>
          <w:rFonts w:eastAsiaTheme="minorEastAsia"/>
          <w:szCs w:val="22"/>
          <w:lang w:val="en-US"/>
        </w:rPr>
        <w:footnoteReference w:id="20"/>
      </w:r>
      <w:r>
        <w:rPr>
          <w:rStyle w:val="FootnoteReference"/>
          <w:rFonts w:eastAsiaTheme="minorEastAsia"/>
          <w:szCs w:val="22"/>
          <w:rtl/>
        </w:rPr>
        <w:t>)</w:t>
      </w:r>
      <w:r w:rsidRPr="00C66A65">
        <w:rPr>
          <w:rFonts w:eastAsiaTheme="minorEastAsia"/>
          <w:rtl/>
        </w:rPr>
        <w:t>.</w:t>
      </w:r>
    </w:p>
    <w:p w14:paraId="723A02C2"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3</w:t>
      </w:r>
      <w:r w:rsidRPr="00C66A65">
        <w:rPr>
          <w:rFonts w:eastAsiaTheme="minorEastAsia"/>
          <w:rtl/>
        </w:rPr>
        <w:t>-</w:t>
      </w:r>
      <w:r w:rsidRPr="000233B9">
        <w:rPr>
          <w:rFonts w:eastAsiaTheme="minorEastAsia"/>
          <w:rtl/>
        </w:rPr>
        <w:t>4</w:t>
      </w:r>
      <w:r w:rsidRPr="00C66A65">
        <w:rPr>
          <w:rFonts w:eastAsiaTheme="minorEastAsia"/>
          <w:rtl/>
        </w:rPr>
        <w:tab/>
        <w:t xml:space="preserve">ثالثاً، تدفع صاحبتا البلاغ بأن بلاغهما مقبول لأنه لا يشكل إساءة استعمال للحق في تقديم البلاغات. فمنذ عام </w:t>
      </w:r>
      <w:r w:rsidRPr="000233B9">
        <w:rPr>
          <w:rFonts w:eastAsiaTheme="minorEastAsia"/>
          <w:rtl/>
        </w:rPr>
        <w:t>2006</w:t>
      </w:r>
      <w:r w:rsidRPr="00C66A65">
        <w:rPr>
          <w:rFonts w:eastAsiaTheme="minorEastAsia"/>
          <w:rtl/>
        </w:rPr>
        <w:t xml:space="preserve">، قدمتا شكاوى عديدة إلى السلطات الإسبانية والأرجنتينية على حد السواء، وظلتا تنتهزان كل فرصة محلية أتيحت لهما في القنوات الإدارية من أجل البحث عن رفات قريبيهما والاستفادة من جبر الضرر، ويعود تاريخ آخر إجراء اتخذتاه إلى أيار/مايو </w:t>
      </w:r>
      <w:r w:rsidRPr="000233B9">
        <w:rPr>
          <w:rFonts w:eastAsiaTheme="minorEastAsia"/>
          <w:rtl/>
        </w:rPr>
        <w:t>2018</w:t>
      </w:r>
      <w:r w:rsidRPr="00C66A65">
        <w:rPr>
          <w:rFonts w:eastAsiaTheme="minorEastAsia"/>
          <w:rtl/>
        </w:rPr>
        <w:t>. وتلجأ صاحبتا البلاغ إلى اللجنة بعد بضعة أشهر من استنفاد آخر طعن إداري وبعد مرور أقل من عام ونصف على رفض طعنهما القانوني الأخير، بعد أن حاولتا اتخاذ كل إجراء ممكن لتحديد مكان وجود قريبيهما العزيزين والوصول إلى الحقيقة والعدالة والجبر، وبعد أن أتاحتا للدولة الطرف فرصاً عديدة للوفاء بالتزاماتها.</w:t>
      </w:r>
    </w:p>
    <w:p w14:paraId="3688B826"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3</w:t>
      </w:r>
      <w:r w:rsidRPr="00C66A65">
        <w:rPr>
          <w:rFonts w:eastAsiaTheme="minorEastAsia"/>
          <w:rtl/>
        </w:rPr>
        <w:t>-</w:t>
      </w:r>
      <w:r w:rsidRPr="000233B9">
        <w:rPr>
          <w:rFonts w:eastAsiaTheme="minorEastAsia"/>
          <w:rtl/>
        </w:rPr>
        <w:t>5</w:t>
      </w:r>
      <w:r w:rsidRPr="00C66A65">
        <w:rPr>
          <w:rFonts w:eastAsiaTheme="minorEastAsia"/>
          <w:rtl/>
        </w:rPr>
        <w:tab/>
        <w:t xml:space="preserve">وتدعي صاحبتا البلاغ أن وقائع هذه القضية تشكل انتهاكاً مستمراً من الدولة الطرف لحقوق السيدة خ. ف. والسيد أ. م. بموجب المواد </w:t>
      </w:r>
      <w:r w:rsidRPr="000233B9">
        <w:rPr>
          <w:rFonts w:eastAsiaTheme="minorEastAsia"/>
          <w:rtl/>
        </w:rPr>
        <w:t>6</w:t>
      </w:r>
      <w:r w:rsidRPr="00C66A65">
        <w:rPr>
          <w:rFonts w:eastAsiaTheme="minorEastAsia"/>
          <w:rtl/>
        </w:rPr>
        <w:t xml:space="preserve"> و</w:t>
      </w:r>
      <w:r w:rsidRPr="000233B9">
        <w:rPr>
          <w:rFonts w:eastAsiaTheme="minorEastAsia"/>
          <w:rtl/>
        </w:rPr>
        <w:t>7</w:t>
      </w:r>
      <w:r w:rsidRPr="00C66A65">
        <w:rPr>
          <w:rFonts w:eastAsiaTheme="minorEastAsia"/>
          <w:rtl/>
        </w:rPr>
        <w:t xml:space="preserve"> و</w:t>
      </w:r>
      <w:r w:rsidRPr="000233B9">
        <w:rPr>
          <w:rFonts w:eastAsiaTheme="minorEastAsia"/>
          <w:rtl/>
        </w:rPr>
        <w:t>9</w:t>
      </w:r>
      <w:r w:rsidRPr="00C66A65">
        <w:rPr>
          <w:rFonts w:eastAsiaTheme="minorEastAsia"/>
          <w:rtl/>
        </w:rPr>
        <w:t xml:space="preserve"> و</w:t>
      </w:r>
      <w:r w:rsidRPr="000233B9">
        <w:rPr>
          <w:rFonts w:eastAsiaTheme="minorEastAsia"/>
          <w:rtl/>
        </w:rPr>
        <w:t>16</w:t>
      </w:r>
      <w:r w:rsidRPr="00C66A65">
        <w:rPr>
          <w:rFonts w:eastAsiaTheme="minorEastAsia"/>
          <w:rtl/>
        </w:rPr>
        <w:t xml:space="preserve"> من العهد،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xml:space="preserve">). ففيما يتعلق بالمادة </w:t>
      </w:r>
      <w:r w:rsidRPr="000233B9">
        <w:rPr>
          <w:rFonts w:eastAsiaTheme="minorEastAsia"/>
          <w:rtl/>
        </w:rPr>
        <w:t>7</w:t>
      </w:r>
      <w:r w:rsidRPr="00C66A65">
        <w:rPr>
          <w:rFonts w:eastAsiaTheme="minorEastAsia"/>
          <w:rtl/>
        </w:rPr>
        <w:t xml:space="preserve">، توضحان أن الأشخاص المحتجزين قبل اختفائهم يتعرضون لمعاملة لا رحمة فيها، تشمل جميع أنواع الإيذاء والتعذيب وغير ذلك من ضروب المعاملة القاسية واللاإنسانية والمهينة، ويعانون على أقل تقدير من الكرب لأنهم لا يعرفون ما يمكن أن يحدث لهم. وفيما يتعلق بالمادة </w:t>
      </w:r>
      <w:r w:rsidRPr="000233B9">
        <w:rPr>
          <w:rFonts w:eastAsiaTheme="minorEastAsia"/>
          <w:rtl/>
        </w:rPr>
        <w:t>16</w:t>
      </w:r>
      <w:r w:rsidRPr="00C66A65">
        <w:rPr>
          <w:rFonts w:eastAsiaTheme="minorEastAsia"/>
          <w:rtl/>
        </w:rPr>
        <w:t xml:space="preserve">، تؤكدان أن تعمُّد سلطات الدولة حرمان شخص من حماية القانون وعرقلةَ التحقيقات يشكل رفضاً للاعتراف بشخصيته القانونية. وتوردان بأن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تفرض التزاماً بالتحقيق ينشأ عنه انتهاك مستمر ما لم يُجرَ هذا التحقيق، حتى لو افتُرض أن الشخص المختفي قد توفي، لأن هذا الافتراض لا يلغي الالتزام الإجرائي بالتحقيق من أجل توضيح وشرح ملابسات الاختفاء.</w:t>
      </w:r>
    </w:p>
    <w:p w14:paraId="360D6465" w14:textId="095DD75C" w:rsidR="00C66A65" w:rsidRPr="009716A5" w:rsidRDefault="00C66A65" w:rsidP="00C66A65">
      <w:pPr>
        <w:pStyle w:val="SingleTxtGA"/>
        <w:rPr>
          <w:rFonts w:eastAsiaTheme="minorEastAsia"/>
          <w:lang w:val="en-US" w:eastAsia="zh-TW" w:bidi="en-GB"/>
        </w:rPr>
      </w:pPr>
      <w:r w:rsidRPr="000233B9">
        <w:rPr>
          <w:rFonts w:eastAsiaTheme="minorEastAsia"/>
          <w:rtl/>
        </w:rPr>
        <w:t>3</w:t>
      </w:r>
      <w:r w:rsidRPr="00C66A65">
        <w:rPr>
          <w:rFonts w:eastAsiaTheme="minorEastAsia"/>
          <w:rtl/>
        </w:rPr>
        <w:t>-</w:t>
      </w:r>
      <w:r w:rsidRPr="000233B9">
        <w:rPr>
          <w:rFonts w:eastAsiaTheme="minorEastAsia"/>
          <w:rtl/>
        </w:rPr>
        <w:t>6</w:t>
      </w:r>
      <w:r w:rsidRPr="00C66A65">
        <w:rPr>
          <w:rFonts w:eastAsiaTheme="minorEastAsia"/>
          <w:rtl/>
        </w:rPr>
        <w:tab/>
        <w:t>علاوة على ذلك، تؤكد صاحبتا البلاغ أن المنظور الجنساني ضروري لفهم القضية لأن السيدة</w:t>
      </w:r>
      <w:r w:rsidR="009716A5">
        <w:rPr>
          <w:rFonts w:eastAsiaTheme="minorEastAsia" w:hint="cs"/>
          <w:rtl/>
        </w:rPr>
        <w:t> </w:t>
      </w:r>
      <w:r w:rsidRPr="00C66A65">
        <w:rPr>
          <w:rFonts w:eastAsiaTheme="minorEastAsia"/>
          <w:rtl/>
        </w:rPr>
        <w:t>خ. ف. كانت حاملاً في شهرها السابع وقت اختفائها ووقعت ضحية اعتداء جنسي (انظر</w:t>
      </w:r>
      <w:r w:rsidR="009716A5">
        <w:rPr>
          <w:rFonts w:eastAsiaTheme="minorEastAsia" w:hint="cs"/>
          <w:rtl/>
        </w:rPr>
        <w:t> </w:t>
      </w:r>
      <w:r w:rsidRPr="00C66A65">
        <w:rPr>
          <w:rFonts w:eastAsiaTheme="minorEastAsia"/>
          <w:rtl/>
        </w:rPr>
        <w:t>الفقرتين</w:t>
      </w:r>
      <w:r w:rsidR="009716A5">
        <w:rPr>
          <w:rFonts w:eastAsiaTheme="minorEastAsia" w:hint="cs"/>
          <w:rtl/>
        </w:rPr>
        <w:t> </w:t>
      </w:r>
      <w:r w:rsidRPr="000233B9">
        <w:rPr>
          <w:rFonts w:eastAsiaTheme="minorEastAsia"/>
          <w:rtl/>
        </w:rPr>
        <w:t>2</w:t>
      </w:r>
      <w:r w:rsidRPr="00C66A65">
        <w:rPr>
          <w:rFonts w:eastAsiaTheme="minorEastAsia"/>
          <w:rtl/>
        </w:rPr>
        <w:t>-</w:t>
      </w:r>
      <w:r w:rsidRPr="000233B9">
        <w:rPr>
          <w:rFonts w:eastAsiaTheme="minorEastAsia"/>
          <w:rtl/>
        </w:rPr>
        <w:t>4</w:t>
      </w:r>
      <w:r w:rsidRPr="00C66A65">
        <w:rPr>
          <w:rFonts w:eastAsiaTheme="minorEastAsia"/>
          <w:rtl/>
        </w:rPr>
        <w:t xml:space="preserve"> و</w:t>
      </w:r>
      <w:r w:rsidRPr="000233B9">
        <w:rPr>
          <w:rFonts w:eastAsiaTheme="minorEastAsia"/>
          <w:rtl/>
        </w:rPr>
        <w:t>2</w:t>
      </w:r>
      <w:r w:rsidRPr="00C66A65">
        <w:rPr>
          <w:rFonts w:eastAsiaTheme="minorEastAsia"/>
          <w:rtl/>
        </w:rPr>
        <w:t>-</w:t>
      </w:r>
      <w:r w:rsidRPr="000233B9">
        <w:rPr>
          <w:rFonts w:eastAsiaTheme="minorEastAsia"/>
          <w:rtl/>
        </w:rPr>
        <w:t>11</w:t>
      </w:r>
      <w:r w:rsidRPr="00C66A65">
        <w:rPr>
          <w:rFonts w:eastAsiaTheme="minorEastAsia"/>
          <w:rtl/>
        </w:rPr>
        <w:t xml:space="preserve"> أعلاه). وتشيران إلى أن الأمر لم يقتصر على ظهور شكل محدد من أشكال العنف يعزى إلى رأي مفاده أن النساء كن سبباً في خراب إسبانيا بتقويضهن الأدوار النسائية التقليدية، فتعرضن للانتقام لكونهن من الجمهوريات أو لانضمامهن إلى حركات سياسية تقدمية أو</w:t>
      </w:r>
      <w:r w:rsidR="009716A5">
        <w:rPr>
          <w:rFonts w:eastAsiaTheme="minorEastAsia" w:hint="cs"/>
          <w:rtl/>
        </w:rPr>
        <w:t> </w:t>
      </w:r>
      <w:r w:rsidRPr="00C66A65">
        <w:rPr>
          <w:rFonts w:eastAsiaTheme="minorEastAsia"/>
          <w:rtl/>
        </w:rPr>
        <w:t>شيوعية</w:t>
      </w:r>
      <w:r>
        <w:rPr>
          <w:rStyle w:val="FootnoteReference"/>
          <w:rFonts w:eastAsiaTheme="minorEastAsia"/>
          <w:szCs w:val="22"/>
          <w:rtl/>
        </w:rPr>
        <w:t>(</w:t>
      </w:r>
      <w:r w:rsidRPr="000233B9">
        <w:rPr>
          <w:rStyle w:val="FootnoteReference"/>
          <w:rFonts w:eastAsiaTheme="minorEastAsia"/>
          <w:szCs w:val="22"/>
          <w:lang w:val="en-US"/>
        </w:rPr>
        <w:footnoteReference w:id="21"/>
      </w:r>
      <w:r>
        <w:rPr>
          <w:rStyle w:val="FootnoteReference"/>
          <w:rFonts w:eastAsiaTheme="minorEastAsia"/>
          <w:szCs w:val="22"/>
          <w:rtl/>
        </w:rPr>
        <w:t>)</w:t>
      </w:r>
      <w:r w:rsidRPr="00C66A65">
        <w:rPr>
          <w:rFonts w:eastAsiaTheme="minorEastAsia"/>
          <w:rtl/>
        </w:rPr>
        <w:t xml:space="preserve">، بل انطوى أيضاً على تعرض النساء للعنف بسبب ما سُمِّي جريمة "الاقتران"، أي القرابة من رجال معارضين للنظام من الناحية الأيديولوجية. وتستشهد صاحبتا البلاغ أيضاً بدراسات مختلفة عن </w:t>
      </w:r>
      <w:r w:rsidRPr="00C66A65">
        <w:rPr>
          <w:rFonts w:eastAsiaTheme="minorEastAsia"/>
          <w:rtl/>
        </w:rPr>
        <w:lastRenderedPageBreak/>
        <w:t>المنظور الجنساني في حالات الاختفاء القسري، تؤكد أن الانتهاك يتفاقم عندما تكون الضحايا حوامل وقت الاختفاء، حيث يخشين على صحتهن وإمكانية الوضع في ظروف غير إنسانية قد تؤدي إلى فقدان الطفل على أيدي موظفي الدولة</w:t>
      </w:r>
      <w:r>
        <w:rPr>
          <w:rStyle w:val="FootnoteReference"/>
          <w:rFonts w:eastAsiaTheme="minorEastAsia"/>
          <w:szCs w:val="22"/>
          <w:rtl/>
        </w:rPr>
        <w:t>(</w:t>
      </w:r>
      <w:r w:rsidRPr="000233B9">
        <w:rPr>
          <w:rStyle w:val="FootnoteReference"/>
          <w:rFonts w:eastAsiaTheme="minorEastAsia"/>
          <w:szCs w:val="22"/>
          <w:lang w:val="en-US"/>
        </w:rPr>
        <w:footnoteReference w:id="22"/>
      </w:r>
      <w:r>
        <w:rPr>
          <w:rStyle w:val="FootnoteReference"/>
          <w:rFonts w:eastAsiaTheme="minorEastAsia"/>
          <w:szCs w:val="22"/>
          <w:rtl/>
        </w:rPr>
        <w:t>)</w:t>
      </w:r>
      <w:r w:rsidRPr="00C66A65">
        <w:rPr>
          <w:rFonts w:eastAsiaTheme="minorEastAsia"/>
          <w:rtl/>
        </w:rPr>
        <w:t>.</w:t>
      </w:r>
    </w:p>
    <w:p w14:paraId="3AD14152" w14:textId="3C2A8D31" w:rsidR="00C66A65" w:rsidRPr="00C66A65" w:rsidRDefault="00C66A65" w:rsidP="00A67F09">
      <w:pPr>
        <w:pStyle w:val="SingleTxtGA"/>
        <w:spacing w:line="340" w:lineRule="exact"/>
        <w:rPr>
          <w:rFonts w:eastAsiaTheme="minorEastAsia"/>
          <w:lang w:val="ar-SA" w:eastAsia="zh-TW" w:bidi="en-GB"/>
        </w:rPr>
      </w:pPr>
      <w:r w:rsidRPr="000233B9">
        <w:rPr>
          <w:rFonts w:eastAsiaTheme="minorEastAsia"/>
          <w:rtl/>
        </w:rPr>
        <w:t>3</w:t>
      </w:r>
      <w:r w:rsidRPr="00C66A65">
        <w:rPr>
          <w:rFonts w:eastAsiaTheme="minorEastAsia"/>
          <w:rtl/>
        </w:rPr>
        <w:t>-</w:t>
      </w:r>
      <w:r w:rsidRPr="000233B9">
        <w:rPr>
          <w:rFonts w:eastAsiaTheme="minorEastAsia"/>
          <w:rtl/>
        </w:rPr>
        <w:t>7</w:t>
      </w:r>
      <w:r w:rsidRPr="00C66A65">
        <w:rPr>
          <w:rFonts w:eastAsiaTheme="minorEastAsia"/>
          <w:rtl/>
        </w:rPr>
        <w:tab/>
        <w:t xml:space="preserve">وتدعي صاحبتا البلاغ أيضاً استمرار انتهاك حقوقهما بموجب المادة </w:t>
      </w:r>
      <w:r w:rsidRPr="000233B9">
        <w:rPr>
          <w:rFonts w:eastAsiaTheme="minorEastAsia"/>
          <w:rtl/>
        </w:rPr>
        <w:t>7</w:t>
      </w:r>
      <w:r w:rsidRPr="00C66A65">
        <w:rPr>
          <w:rFonts w:eastAsiaTheme="minorEastAsia"/>
          <w:rtl/>
        </w:rPr>
        <w:t xml:space="preserve"> من العهد،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xml:space="preserve">)، بسبب ضروب المعاناة الشديدة والكرب والإجهاد، التي دامت أكثر من </w:t>
      </w:r>
      <w:r w:rsidRPr="000233B9">
        <w:rPr>
          <w:rFonts w:eastAsiaTheme="minorEastAsia"/>
          <w:rtl/>
        </w:rPr>
        <w:t>80</w:t>
      </w:r>
      <w:r w:rsidRPr="00C66A65">
        <w:rPr>
          <w:rFonts w:eastAsiaTheme="minorEastAsia"/>
          <w:rtl/>
        </w:rPr>
        <w:t xml:space="preserve"> عاماً، في حالة ف. أ. خ.، ليس فقط بسبب اختفاء قريبيهما قسراً وعدم اليقين إزاء مصيرهما ومكان وجودهما والآثار الاقتصادية والاجتماعية التي عانتا منها، ولا سيما في حالة ف. أ. خ.، ولكن أيضاً بسبب موقف اللامبالاة الذي أبدته الدولة الطرف إزاء طلباتهما المتكررة من أجل الحقيقة والعدالة. وعليه، تؤكد صاحبتا البلاغ أن اختفاء والدي إحداهما، جدي الأخرى، ورفض السلطات فتح تحقيق في الأمر، يشكلان ضرباً من ضروب المعاملة القاسية واللاإنسانية التي تكاد تصل إلى التعذيب</w:t>
      </w:r>
      <w:r>
        <w:rPr>
          <w:rStyle w:val="FootnoteReference"/>
          <w:rFonts w:eastAsiaTheme="minorEastAsia"/>
          <w:szCs w:val="22"/>
          <w:rtl/>
        </w:rPr>
        <w:t>(</w:t>
      </w:r>
      <w:r w:rsidRPr="000233B9">
        <w:rPr>
          <w:rStyle w:val="FootnoteReference"/>
          <w:rFonts w:eastAsiaTheme="minorEastAsia"/>
          <w:szCs w:val="22"/>
          <w:lang w:val="en-US"/>
        </w:rPr>
        <w:footnoteReference w:id="23"/>
      </w:r>
      <w:r>
        <w:rPr>
          <w:rStyle w:val="FootnoteReference"/>
          <w:rFonts w:eastAsiaTheme="minorEastAsia"/>
          <w:szCs w:val="22"/>
          <w:rtl/>
        </w:rPr>
        <w:t>)</w:t>
      </w:r>
      <w:r w:rsidRPr="00C66A65">
        <w:rPr>
          <w:rFonts w:eastAsiaTheme="minorEastAsia"/>
          <w:rtl/>
        </w:rPr>
        <w:t xml:space="preserve">. وتُذكِّران أيضاً </w:t>
      </w:r>
      <w:r w:rsidRPr="009716A5">
        <w:rPr>
          <w:rFonts w:eastAsiaTheme="minorEastAsia"/>
          <w:spacing w:val="-4"/>
          <w:rtl/>
        </w:rPr>
        <w:t>بأن تقييماً نفسياً قد خلص إلى أن ف. أ. خ. كانت تعاني دائماً من المرض بسبب الحزن، وبأن ب. م. ر. أ. عانت</w:t>
      </w:r>
      <w:r w:rsidRPr="00C66A65">
        <w:rPr>
          <w:rFonts w:eastAsiaTheme="minorEastAsia"/>
          <w:rtl/>
        </w:rPr>
        <w:t xml:space="preserve"> من آثار الصدمة.</w:t>
      </w:r>
    </w:p>
    <w:p w14:paraId="08C3BD56" w14:textId="50435065" w:rsidR="00C66A65" w:rsidRPr="00C66A65" w:rsidRDefault="00C66A65" w:rsidP="00A67F09">
      <w:pPr>
        <w:pStyle w:val="SingleTxtGA"/>
        <w:spacing w:line="340" w:lineRule="exact"/>
        <w:rPr>
          <w:rFonts w:eastAsiaTheme="minorEastAsia"/>
          <w:lang w:val="ar-SA" w:eastAsia="zh-TW" w:bidi="en-GB"/>
        </w:rPr>
      </w:pPr>
      <w:r w:rsidRPr="000233B9">
        <w:rPr>
          <w:rFonts w:eastAsiaTheme="minorEastAsia"/>
          <w:rtl/>
        </w:rPr>
        <w:t>3</w:t>
      </w:r>
      <w:r w:rsidRPr="00C66A65">
        <w:rPr>
          <w:rFonts w:eastAsiaTheme="minorEastAsia"/>
          <w:rtl/>
        </w:rPr>
        <w:t>-</w:t>
      </w:r>
      <w:r w:rsidRPr="000233B9">
        <w:rPr>
          <w:rFonts w:eastAsiaTheme="minorEastAsia"/>
          <w:rtl/>
        </w:rPr>
        <w:t>8</w:t>
      </w:r>
      <w:r w:rsidRPr="00C66A65">
        <w:rPr>
          <w:rFonts w:eastAsiaTheme="minorEastAsia"/>
          <w:rtl/>
        </w:rPr>
        <w:tab/>
        <w:t>وتبين صاحبتا البلاغ أيضاً أن الالتزام بالبحث يظل سارياً حتى يُحدد مكان وجود الشخص المفقود، وحتى يُستخرج رفاته وتُعرف هويته ويعاد إلى أسرته، في حال وفاته. ويشكل عدم فعل ذلك تأكيداً جديداً للانتهاك</w:t>
      </w:r>
      <w:r>
        <w:rPr>
          <w:rStyle w:val="FootnoteReference"/>
          <w:rFonts w:eastAsiaTheme="minorEastAsia"/>
          <w:szCs w:val="22"/>
          <w:rtl/>
        </w:rPr>
        <w:t>(</w:t>
      </w:r>
      <w:r w:rsidRPr="000233B9">
        <w:rPr>
          <w:rStyle w:val="FootnoteReference"/>
          <w:rFonts w:eastAsiaTheme="minorEastAsia"/>
          <w:szCs w:val="22"/>
          <w:lang w:val="en-US"/>
        </w:rPr>
        <w:footnoteReference w:id="24"/>
      </w:r>
      <w:r>
        <w:rPr>
          <w:rStyle w:val="FootnoteReference"/>
          <w:rFonts w:eastAsiaTheme="minorEastAsia"/>
          <w:szCs w:val="22"/>
          <w:rtl/>
        </w:rPr>
        <w:t>)</w:t>
      </w:r>
      <w:r w:rsidRPr="00C66A65">
        <w:rPr>
          <w:rFonts w:eastAsiaTheme="minorEastAsia"/>
          <w:rtl/>
        </w:rPr>
        <w:t>. وعدم إحالة مرتكبي الانتهاكات إلى القضاء يمكن أن يؤدي في حد ذاته، شأنه شأن حالات عدم إجراء التحقيقات، إلى خرق مستقل للعهد</w:t>
      </w:r>
      <w:r>
        <w:rPr>
          <w:rStyle w:val="FootnoteReference"/>
          <w:rFonts w:eastAsiaTheme="minorEastAsia"/>
          <w:szCs w:val="22"/>
          <w:rtl/>
        </w:rPr>
        <w:t>(</w:t>
      </w:r>
      <w:r w:rsidRPr="000233B9">
        <w:rPr>
          <w:rStyle w:val="FootnoteReference"/>
          <w:rFonts w:eastAsiaTheme="minorEastAsia"/>
          <w:szCs w:val="22"/>
          <w:lang w:val="en-US"/>
        </w:rPr>
        <w:footnoteReference w:id="25"/>
      </w:r>
      <w:r>
        <w:rPr>
          <w:rStyle w:val="FootnoteReference"/>
          <w:rFonts w:eastAsiaTheme="minorEastAsia"/>
          <w:szCs w:val="22"/>
          <w:rtl/>
        </w:rPr>
        <w:t>)</w:t>
      </w:r>
      <w:r w:rsidRPr="00C66A65">
        <w:rPr>
          <w:rFonts w:eastAsiaTheme="minorEastAsia"/>
          <w:rtl/>
        </w:rPr>
        <w:t>.</w:t>
      </w:r>
    </w:p>
    <w:p w14:paraId="584337D9" w14:textId="77777777" w:rsidR="00C66A65" w:rsidRPr="00C66A65" w:rsidRDefault="00C66A65" w:rsidP="00A67F09">
      <w:pPr>
        <w:pStyle w:val="SingleTxtGA"/>
        <w:spacing w:line="340" w:lineRule="exact"/>
        <w:rPr>
          <w:rFonts w:eastAsiaTheme="minorEastAsia"/>
          <w:lang w:val="ar-SA" w:eastAsia="zh-TW" w:bidi="en-GB"/>
        </w:rPr>
      </w:pPr>
      <w:r w:rsidRPr="000233B9">
        <w:rPr>
          <w:rFonts w:eastAsiaTheme="minorEastAsia"/>
          <w:rtl/>
        </w:rPr>
        <w:t>3</w:t>
      </w:r>
      <w:r w:rsidRPr="00C66A65">
        <w:rPr>
          <w:rFonts w:eastAsiaTheme="minorEastAsia"/>
          <w:rtl/>
        </w:rPr>
        <w:t>-</w:t>
      </w:r>
      <w:r w:rsidRPr="000233B9">
        <w:rPr>
          <w:rFonts w:eastAsiaTheme="minorEastAsia"/>
          <w:rtl/>
        </w:rPr>
        <w:t>9</w:t>
      </w:r>
      <w:r w:rsidRPr="00C66A65">
        <w:rPr>
          <w:rFonts w:eastAsiaTheme="minorEastAsia"/>
          <w:rtl/>
        </w:rPr>
        <w:tab/>
        <w:t>وتطلب صاحبتا البلاغ إلى الدولة الطرف ما يلي: (أ) إجراء تحقيق شامل وفعال في حالتي الاختفاء، وإزالة جميع العقبات القانونية التي تعترض سبيل ذلك؛ (ب) معرفة مكان وجود رفات الميّتَين والتأكد من الهوية وإعادة الرفات؛ (ج) تزويدهما بالدعم النفسي والاجتماعي؛ (د) إقامة احتفال عام للاعتراف بالمسؤولية وتقديم الاعتذار ووضع لوحة تذكارية؛ (ه) جبر ضررهما كاملاً.</w:t>
      </w:r>
    </w:p>
    <w:p w14:paraId="25C27519" w14:textId="6517B066" w:rsidR="00C66A65" w:rsidRPr="00C66A65" w:rsidRDefault="00C66A65" w:rsidP="00C66A65">
      <w:pPr>
        <w:pStyle w:val="SingleTxtGA"/>
        <w:rPr>
          <w:rFonts w:eastAsiaTheme="minorEastAsia"/>
          <w:lang w:val="ar-SA" w:eastAsia="zh-TW" w:bidi="en-GB"/>
        </w:rPr>
      </w:pPr>
      <w:r w:rsidRPr="000233B9">
        <w:rPr>
          <w:rFonts w:eastAsiaTheme="minorEastAsia"/>
          <w:rtl/>
        </w:rPr>
        <w:lastRenderedPageBreak/>
        <w:t>3</w:t>
      </w:r>
      <w:r w:rsidRPr="00C66A65">
        <w:rPr>
          <w:rFonts w:eastAsiaTheme="minorEastAsia"/>
          <w:rtl/>
        </w:rPr>
        <w:t>-</w:t>
      </w:r>
      <w:r w:rsidRPr="000233B9">
        <w:rPr>
          <w:rFonts w:eastAsiaTheme="minorEastAsia"/>
          <w:rtl/>
        </w:rPr>
        <w:t>10</w:t>
      </w:r>
      <w:r w:rsidRPr="00C66A65">
        <w:rPr>
          <w:rFonts w:eastAsiaTheme="minorEastAsia"/>
          <w:rtl/>
        </w:rPr>
        <w:tab/>
        <w:t>إضافة إلى ذلك، تطلب صاحبتا البلاغ عموماً، في جملة أمور، إلى الدولة الطرف ما يلي: (أ)</w:t>
      </w:r>
      <w:r w:rsidR="009716A5">
        <w:rPr>
          <w:rFonts w:eastAsiaTheme="minorEastAsia" w:hint="cs"/>
          <w:rtl/>
        </w:rPr>
        <w:t> </w:t>
      </w:r>
      <w:r w:rsidRPr="00C66A65">
        <w:rPr>
          <w:rFonts w:eastAsiaTheme="minorEastAsia"/>
          <w:rtl/>
        </w:rPr>
        <w:t>اتخاذ جميع التدابير اللازمة لضمان ألا تكون حالات الاختفاء القسري جرائم مشمولة بالعفو؛ (ب)</w:t>
      </w:r>
      <w:r w:rsidR="009716A5">
        <w:rPr>
          <w:rFonts w:eastAsiaTheme="minorEastAsia" w:hint="cs"/>
          <w:rtl/>
        </w:rPr>
        <w:t> </w:t>
      </w:r>
      <w:r w:rsidRPr="00C66A65">
        <w:rPr>
          <w:rFonts w:eastAsiaTheme="minorEastAsia"/>
          <w:rtl/>
        </w:rPr>
        <w:t>إنشاء لجنة لتقصي الحقائق؛ مراجعة قانون الذاكرة التاريخية من أجل مواءمته مع المعايير الدولية؛ (د) وضع سجل وطني للأشخاص المختفين؛ (ه) وضع بروتوكول لجمع الرفات والتعرف على أصحابها؛ (و) ضمان وصول الجمهور إلى محفوظات الدولة والجيش والكنيسة الكاثوليكية؛ (ز) تصميم وتنفيذ برامج تثقيفية بشأن الانتهاكات المرتكبة خلال الحرب الأهلية والدكتاتورية.</w:t>
      </w:r>
    </w:p>
    <w:p w14:paraId="3012FDD3" w14:textId="77777777" w:rsidR="00C66A65" w:rsidRPr="000233B9" w:rsidRDefault="00C66A65" w:rsidP="00C66A65">
      <w:pPr>
        <w:pStyle w:val="H23GA"/>
        <w:rPr>
          <w:lang w:val="fr-CH" w:eastAsia="zh-TW" w:bidi="en-GB"/>
        </w:rPr>
      </w:pPr>
      <w:r w:rsidRPr="000233B9">
        <w:rPr>
          <w:rtl/>
        </w:rPr>
        <w:tab/>
      </w:r>
      <w:r w:rsidRPr="000233B9">
        <w:rPr>
          <w:rtl/>
        </w:rPr>
        <w:tab/>
        <w:t>ملاحظات الدولة الطرف بشأن المقبولية</w:t>
      </w:r>
    </w:p>
    <w:p w14:paraId="63A054E7"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0233B9">
        <w:rPr>
          <w:rFonts w:eastAsiaTheme="minorEastAsia"/>
          <w:rtl/>
        </w:rPr>
        <w:t>1</w:t>
      </w:r>
      <w:r w:rsidRPr="00C66A65">
        <w:rPr>
          <w:rFonts w:eastAsiaTheme="minorEastAsia"/>
          <w:rtl/>
        </w:rPr>
        <w:tab/>
        <w:t xml:space="preserve">في </w:t>
      </w:r>
      <w:r w:rsidRPr="000233B9">
        <w:rPr>
          <w:rFonts w:eastAsiaTheme="minorEastAsia"/>
          <w:rtl/>
        </w:rPr>
        <w:t>10</w:t>
      </w:r>
      <w:r w:rsidRPr="00C66A65">
        <w:rPr>
          <w:rFonts w:eastAsiaTheme="minorEastAsia"/>
          <w:rtl/>
        </w:rPr>
        <w:t xml:space="preserve"> تموز/يوليه </w:t>
      </w:r>
      <w:r w:rsidRPr="000233B9">
        <w:rPr>
          <w:rFonts w:eastAsiaTheme="minorEastAsia"/>
          <w:rtl/>
        </w:rPr>
        <w:t>2019</w:t>
      </w:r>
      <w:r w:rsidRPr="00C66A65">
        <w:rPr>
          <w:rFonts w:eastAsiaTheme="minorEastAsia"/>
          <w:rtl/>
        </w:rPr>
        <w:t xml:space="preserve">، حددت الدولة الطرف أربعة أسباب لعدم المقبولية، بعد أن قدمت في البداية مقترحات شتى </w:t>
      </w:r>
      <w:r w:rsidRPr="00C66A65">
        <w:rPr>
          <w:rFonts w:eastAsiaTheme="minorEastAsia"/>
          <w:rtl/>
          <w:lang w:bidi="ar-DZ"/>
        </w:rPr>
        <w:t xml:space="preserve">بشأن </w:t>
      </w:r>
      <w:r w:rsidRPr="00C66A65">
        <w:rPr>
          <w:rFonts w:eastAsiaTheme="minorEastAsia"/>
          <w:rtl/>
        </w:rPr>
        <w:t>إجراء إصلاحات تشريعية تتعلق بالذاكرة التاريخية. وأوضحت أن هذه المقترحات تتصل ببعض تدابير الجبر التي طلبتها صاحبتا البلاغ، مثل استخراج الجثث من المقابر الجماعية، ووضع قائمة وطنية بالضحايا، وفتح محفوظات الدولة، وإدراج مواد عن الحرب الأهلية ونظام فرانكو في المناهج التعليمية، وإنشاء بنك وطني للحمض النووي، وإنشاء لجنة لتقصي الحقائق، وإلغاء الأحكام الصادرة عن المحاكم الاستثنائية في ظل نظام فرانكو، وإعلان حقوق الأشخاص الذين عاقبتهم محاكم الشؤون السياسية المعمول بها وقت وقوع الأحداث من أجل معاقبة الأشخاص المتعاونين مع الجمهوريين، وتحريم الجمعيات التي تدافع عن الفاشية والنازية ونظام فرانكو وتمجدها.</w:t>
      </w:r>
    </w:p>
    <w:p w14:paraId="18E6062D"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0233B9">
        <w:rPr>
          <w:rFonts w:eastAsiaTheme="minorEastAsia"/>
          <w:rtl/>
        </w:rPr>
        <w:t>2</w:t>
      </w:r>
      <w:r w:rsidRPr="00C66A65">
        <w:rPr>
          <w:rFonts w:eastAsiaTheme="minorEastAsia"/>
          <w:rtl/>
        </w:rPr>
        <w:tab/>
        <w:t xml:space="preserve">وفي شباط/فبراير وآذار/مارس </w:t>
      </w:r>
      <w:r w:rsidRPr="000233B9">
        <w:rPr>
          <w:rFonts w:eastAsiaTheme="minorEastAsia"/>
          <w:rtl/>
        </w:rPr>
        <w:t>2019</w:t>
      </w:r>
      <w:r w:rsidRPr="00C66A65">
        <w:rPr>
          <w:rFonts w:eastAsiaTheme="minorEastAsia"/>
          <w:rtl/>
        </w:rPr>
        <w:t>، عُقدت مشاورة عامة حول مشروع مرسوم ملكي بشأن إجراء تعداد وطني لضحايا الحرب الأهلية والدكتاتورية. والهدف من هذا المرسوم، الذي لا يزال في مرحلة الصياغة، هو إنشاء قاعدة بيانات عن حالات الاختفاء القسري.</w:t>
      </w:r>
    </w:p>
    <w:p w14:paraId="4B87A12C"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0233B9">
        <w:rPr>
          <w:rFonts w:eastAsiaTheme="minorEastAsia"/>
          <w:rtl/>
        </w:rPr>
        <w:t>3</w:t>
      </w:r>
      <w:r w:rsidRPr="00C66A65">
        <w:rPr>
          <w:rFonts w:eastAsiaTheme="minorEastAsia"/>
          <w:rtl/>
        </w:rPr>
        <w:tab/>
        <w:t xml:space="preserve">وفيما يتعلق باستخراج الجثث من القبور الجماعية، تؤكد الدولة الطرف أن العمل قد بدأ بشأن تحديث بروتوكول لاستخراج الجثث يعود تاريخه إلى عام </w:t>
      </w:r>
      <w:r w:rsidRPr="000233B9">
        <w:rPr>
          <w:rFonts w:eastAsiaTheme="minorEastAsia"/>
          <w:rtl/>
        </w:rPr>
        <w:t>2011</w:t>
      </w:r>
      <w:r w:rsidRPr="00C66A65">
        <w:rPr>
          <w:rFonts w:eastAsiaTheme="minorEastAsia"/>
          <w:rtl/>
        </w:rPr>
        <w:t>، وأن بعض المناطق المتمتعة بالحكم الذاتي، بما فيها جزر البليار، تتوخى اعتماد هذا البروتوكول.</w:t>
      </w:r>
    </w:p>
    <w:p w14:paraId="2D3EF0FF"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0233B9">
        <w:rPr>
          <w:rFonts w:eastAsiaTheme="minorEastAsia"/>
          <w:rtl/>
        </w:rPr>
        <w:t>4</w:t>
      </w:r>
      <w:r w:rsidRPr="00C66A65">
        <w:rPr>
          <w:rFonts w:eastAsiaTheme="minorEastAsia"/>
          <w:rtl/>
        </w:rPr>
        <w:tab/>
        <w:t xml:space="preserve">وتفيد الدولة الطرف بأن الوصول إلى محفوظات أجهزة إنفاذ القانون والأمن التابعة للدولة مضمون بالفعل بموجب قانون الذاكرة التاريخية (تنص المادة </w:t>
      </w:r>
      <w:r w:rsidRPr="000233B9">
        <w:rPr>
          <w:rFonts w:eastAsiaTheme="minorEastAsia"/>
          <w:rtl/>
        </w:rPr>
        <w:t>22</w:t>
      </w:r>
      <w:r w:rsidRPr="00C66A65">
        <w:rPr>
          <w:rFonts w:eastAsiaTheme="minorEastAsia"/>
          <w:rtl/>
        </w:rPr>
        <w:t xml:space="preserve"> منه على شرط اتخاذ تدابير لتعزيز حماية هذه المحفوظات واستخدامها)، وبأن وزارة الدفاع اتخذت قرارين في تشرين الثاني/نوفمبر </w:t>
      </w:r>
      <w:r w:rsidRPr="000233B9">
        <w:rPr>
          <w:rFonts w:eastAsiaTheme="minorEastAsia"/>
          <w:rtl/>
        </w:rPr>
        <w:t>2018</w:t>
      </w:r>
      <w:r w:rsidRPr="00C66A65">
        <w:rPr>
          <w:rFonts w:eastAsiaTheme="minorEastAsia"/>
          <w:rtl/>
        </w:rPr>
        <w:t xml:space="preserve"> وكانون الثاني/يناير </w:t>
      </w:r>
      <w:r w:rsidRPr="000233B9">
        <w:rPr>
          <w:rFonts w:eastAsiaTheme="minorEastAsia"/>
          <w:rtl/>
        </w:rPr>
        <w:t>2019</w:t>
      </w:r>
      <w:r w:rsidRPr="00C66A65">
        <w:rPr>
          <w:rFonts w:eastAsiaTheme="minorEastAsia"/>
          <w:rtl/>
        </w:rPr>
        <w:t xml:space="preserve"> وسّعا نطاق الوصول إلى مجموعات الوثائق التي تخص المحفوظات العسكرية العامة في أفيلا، والمحفوظات العسكرية في برشلونة </w:t>
      </w:r>
      <w:proofErr w:type="spellStart"/>
      <w:r w:rsidRPr="00C66A65">
        <w:rPr>
          <w:rFonts w:eastAsiaTheme="minorEastAsia"/>
          <w:rtl/>
        </w:rPr>
        <w:t>وفيرول</w:t>
      </w:r>
      <w:proofErr w:type="spellEnd"/>
      <w:r w:rsidRPr="00C66A65">
        <w:rPr>
          <w:rFonts w:eastAsiaTheme="minorEastAsia"/>
          <w:rtl/>
        </w:rPr>
        <w:t xml:space="preserve"> </w:t>
      </w:r>
      <w:proofErr w:type="spellStart"/>
      <w:r w:rsidRPr="00C66A65">
        <w:rPr>
          <w:rFonts w:eastAsiaTheme="minorEastAsia"/>
          <w:rtl/>
        </w:rPr>
        <w:t>ومليلية</w:t>
      </w:r>
      <w:proofErr w:type="spellEnd"/>
      <w:r w:rsidRPr="00C66A65">
        <w:rPr>
          <w:rFonts w:eastAsiaTheme="minorEastAsia"/>
          <w:rtl/>
        </w:rPr>
        <w:t xml:space="preserve"> وسبتة </w:t>
      </w:r>
      <w:proofErr w:type="spellStart"/>
      <w:r w:rsidRPr="00C66A65">
        <w:rPr>
          <w:rFonts w:eastAsiaTheme="minorEastAsia"/>
          <w:rtl/>
        </w:rPr>
        <w:t>وغوادالاخارا</w:t>
      </w:r>
      <w:proofErr w:type="spellEnd"/>
      <w:r w:rsidRPr="00C66A65">
        <w:rPr>
          <w:rFonts w:eastAsiaTheme="minorEastAsia"/>
          <w:rtl/>
        </w:rPr>
        <w:t>، والمحفوظات العامة والمحفوظات التاريخية للقوات الجوية.</w:t>
      </w:r>
    </w:p>
    <w:p w14:paraId="62B04292"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0233B9">
        <w:rPr>
          <w:rFonts w:eastAsiaTheme="minorEastAsia"/>
          <w:rtl/>
        </w:rPr>
        <w:t>5</w:t>
      </w:r>
      <w:r w:rsidRPr="00C66A65">
        <w:rPr>
          <w:rFonts w:eastAsiaTheme="minorEastAsia"/>
          <w:rtl/>
        </w:rPr>
        <w:tab/>
        <w:t>وتورد الدولة الطرف أيضاً أن جهوداً ستُبذل لتشجيع إنتاج مواد تعليمية عن الانتهاكات التي ارتُكبت خلال الحرب الأهلية وفترة الدكتاتورية لطلاب المدارس الابتدائية والإعدادية والثانوية (البكالوريا) والبالغين المنخرطين في التعليم المستمر. وسيُروَّج لاستخدام هذه المواد على المستوى الجامعي. وسيُعزَّز المزيد من البحوث التي تتناول القمع الذي تعرضت له النساء، وقد وُضعت خطط لتدريب الموظفين العموميين وتوعيتهم في هذا الصدد.</w:t>
      </w:r>
    </w:p>
    <w:p w14:paraId="1EF6D660"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0233B9">
        <w:rPr>
          <w:rFonts w:eastAsiaTheme="minorEastAsia"/>
          <w:rtl/>
        </w:rPr>
        <w:t>6</w:t>
      </w:r>
      <w:r w:rsidRPr="00C66A65">
        <w:rPr>
          <w:rFonts w:eastAsiaTheme="minorEastAsia"/>
          <w:rtl/>
        </w:rPr>
        <w:tab/>
        <w:t xml:space="preserve">أولاً، تؤكد الدولة الطرف أن البلاغ غير مقبول من حيث </w:t>
      </w:r>
      <w:r w:rsidRPr="000233B9">
        <w:rPr>
          <w:rFonts w:eastAsiaTheme="minorEastAsia"/>
          <w:i/>
          <w:iCs/>
          <w:rtl/>
        </w:rPr>
        <w:t>الاختصاص الموضوعي</w:t>
      </w:r>
      <w:r w:rsidRPr="00C66A65">
        <w:rPr>
          <w:rFonts w:eastAsiaTheme="minorEastAsia"/>
          <w:rtl/>
        </w:rPr>
        <w:t>، لأن البحث عن جبر الضرر وتحقيق العدالة لضحايا الاختفاء القسري ليسا مشمولين بالعهد بل بالاتفاقية الدولية لحماية جميع الأشخاص من الاختفاء القسري. ولذلك، ينبغي أن تُقدَّم شكوى صاحبتي البلاغ إلى اللجنة المعنية بالاختفاء القسري.</w:t>
      </w:r>
    </w:p>
    <w:p w14:paraId="7E8AD399" w14:textId="77777777" w:rsidR="00C66A65" w:rsidRPr="00C66A65" w:rsidRDefault="00C66A65" w:rsidP="00C66A65">
      <w:pPr>
        <w:pStyle w:val="SingleTxtGA"/>
        <w:rPr>
          <w:rFonts w:eastAsiaTheme="minorEastAsia"/>
          <w:lang w:val="ar-SA" w:eastAsia="zh-TW" w:bidi="en-GB"/>
        </w:rPr>
      </w:pPr>
      <w:r w:rsidRPr="000233B9">
        <w:rPr>
          <w:rFonts w:eastAsiaTheme="minorEastAsia"/>
          <w:rtl/>
        </w:rPr>
        <w:lastRenderedPageBreak/>
        <w:t>4</w:t>
      </w:r>
      <w:r w:rsidRPr="00C66A65">
        <w:rPr>
          <w:rFonts w:eastAsiaTheme="minorEastAsia"/>
          <w:rtl/>
        </w:rPr>
        <w:t>-</w:t>
      </w:r>
      <w:r w:rsidRPr="000233B9">
        <w:rPr>
          <w:rFonts w:eastAsiaTheme="minorEastAsia"/>
          <w:rtl/>
        </w:rPr>
        <w:t>7</w:t>
      </w:r>
      <w:r w:rsidRPr="00C66A65">
        <w:rPr>
          <w:rFonts w:eastAsiaTheme="minorEastAsia"/>
          <w:rtl/>
        </w:rPr>
        <w:tab/>
        <w:t xml:space="preserve">ثانياً، تدفع الدولة الطرف بأن البلاغ غير مقبول من حيث </w:t>
      </w:r>
      <w:r w:rsidRPr="000233B9">
        <w:rPr>
          <w:rFonts w:eastAsiaTheme="minorEastAsia"/>
          <w:i/>
          <w:iCs/>
          <w:rtl/>
        </w:rPr>
        <w:t>الاختصاص الشخصي</w:t>
      </w:r>
      <w:r w:rsidRPr="00C66A65">
        <w:rPr>
          <w:rFonts w:eastAsiaTheme="minorEastAsia"/>
          <w:rtl/>
        </w:rPr>
        <w:t xml:space="preserve"> لأنه يشكل دعوى حِسبة من حيث إن غرضه هو أن يكون بمثابة نقد شامل للتشريعات ولإجراءات المحاكم.</w:t>
      </w:r>
    </w:p>
    <w:p w14:paraId="2EE493A9" w14:textId="2EC2E420"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0233B9">
        <w:rPr>
          <w:rFonts w:eastAsiaTheme="minorEastAsia"/>
          <w:rtl/>
        </w:rPr>
        <w:t>8</w:t>
      </w:r>
      <w:r w:rsidRPr="00C66A65">
        <w:rPr>
          <w:rFonts w:eastAsiaTheme="minorEastAsia"/>
          <w:rtl/>
        </w:rPr>
        <w:tab/>
        <w:t xml:space="preserve">ثالثاً، تدعي الدولة الطرف أن البلاغ غير مقبول من حيث </w:t>
      </w:r>
      <w:r w:rsidRPr="000233B9">
        <w:rPr>
          <w:rFonts w:eastAsiaTheme="minorEastAsia"/>
          <w:i/>
          <w:iCs/>
          <w:rtl/>
        </w:rPr>
        <w:t>الاختصاص الزمني</w:t>
      </w:r>
      <w:r w:rsidRPr="00C66A65">
        <w:rPr>
          <w:rFonts w:eastAsiaTheme="minorEastAsia"/>
          <w:rtl/>
        </w:rPr>
        <w:t xml:space="preserve"> لأن اللجنة ليس لها اختصاص النظر في أحداث وقعت قبل اعتماد العهد</w:t>
      </w:r>
      <w:r>
        <w:rPr>
          <w:rStyle w:val="FootnoteReference"/>
          <w:rFonts w:eastAsiaTheme="minorEastAsia"/>
          <w:szCs w:val="22"/>
          <w:rtl/>
        </w:rPr>
        <w:t>(</w:t>
      </w:r>
      <w:r w:rsidRPr="000233B9">
        <w:rPr>
          <w:rStyle w:val="FootnoteReference"/>
          <w:rFonts w:eastAsiaTheme="minorEastAsia"/>
          <w:szCs w:val="22"/>
          <w:lang w:val="en-US"/>
        </w:rPr>
        <w:footnoteReference w:id="26"/>
      </w:r>
      <w:r>
        <w:rPr>
          <w:rStyle w:val="FootnoteReference"/>
          <w:rFonts w:eastAsiaTheme="minorEastAsia"/>
          <w:szCs w:val="22"/>
          <w:rtl/>
        </w:rPr>
        <w:t>)</w:t>
      </w:r>
      <w:r w:rsidRPr="00C66A65">
        <w:rPr>
          <w:rFonts w:eastAsiaTheme="minorEastAsia"/>
          <w:rtl/>
        </w:rPr>
        <w:t>.</w:t>
      </w:r>
    </w:p>
    <w:p w14:paraId="120196A2"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4</w:t>
      </w:r>
      <w:r w:rsidRPr="00C66A65">
        <w:rPr>
          <w:rFonts w:eastAsiaTheme="minorEastAsia"/>
          <w:rtl/>
        </w:rPr>
        <w:t>-</w:t>
      </w:r>
      <w:r w:rsidRPr="000233B9">
        <w:rPr>
          <w:rFonts w:eastAsiaTheme="minorEastAsia"/>
          <w:rtl/>
        </w:rPr>
        <w:t>9</w:t>
      </w:r>
      <w:r w:rsidRPr="00C66A65">
        <w:rPr>
          <w:rFonts w:eastAsiaTheme="minorEastAsia"/>
          <w:rtl/>
        </w:rPr>
        <w:tab/>
        <w:t>وأخيراً، تدعي الدولة الطرف أيضاً أن البلاغ غير مقبول لعدم استنفاد سبل الانتصاف المحلية، لأن الرابطة هي التي رفعت الدعوى القانونية بدلاً من أن ترفعها صاحبتا البلاغ مباشرة، ولأن الإجراءات الإدارية التي التمستاها رُفضت.</w:t>
      </w:r>
    </w:p>
    <w:p w14:paraId="61FC8F54"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4</w:t>
      </w:r>
      <w:r w:rsidRPr="00C66A65">
        <w:rPr>
          <w:rFonts w:eastAsiaTheme="minorEastAsia"/>
          <w:rtl/>
        </w:rPr>
        <w:t>-</w:t>
      </w:r>
      <w:r w:rsidRPr="000233B9">
        <w:rPr>
          <w:rFonts w:eastAsiaTheme="minorEastAsia"/>
          <w:rtl/>
        </w:rPr>
        <w:t>10</w:t>
      </w:r>
      <w:r w:rsidRPr="00C66A65">
        <w:rPr>
          <w:rFonts w:eastAsiaTheme="minorEastAsia"/>
          <w:rtl/>
        </w:rPr>
        <w:tab/>
        <w:t>وفي ضوء أسباب عدم المقبولية الأربعة هذه، تطلب الدولة الطرف النظر في المقبولية بمعزل عن النظر في الأسس الموضوعية، وتشير أيضاً إلى إمكانية تنظيم احتفال عام للاعتراف بأن صاحبتي البلاغ ضحيتان.</w:t>
      </w:r>
    </w:p>
    <w:p w14:paraId="3113787C" w14:textId="77777777" w:rsidR="00C66A65" w:rsidRPr="000233B9" w:rsidRDefault="00C66A65" w:rsidP="00C66A65">
      <w:pPr>
        <w:pStyle w:val="H23GA"/>
        <w:rPr>
          <w:lang w:val="ar-SA" w:eastAsia="zh-TW" w:bidi="en-GB"/>
        </w:rPr>
      </w:pPr>
      <w:r w:rsidRPr="000233B9">
        <w:rPr>
          <w:rtl/>
        </w:rPr>
        <w:tab/>
      </w:r>
      <w:r w:rsidRPr="000233B9">
        <w:rPr>
          <w:rtl/>
        </w:rPr>
        <w:tab/>
        <w:t>تعليقات صاحبتي البلاغ على ملاحظات الدولة الطرف بشأن المقبولية</w:t>
      </w:r>
    </w:p>
    <w:p w14:paraId="53020742"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5</w:t>
      </w:r>
      <w:r w:rsidRPr="00C66A65">
        <w:rPr>
          <w:rFonts w:eastAsiaTheme="minorEastAsia"/>
          <w:rtl/>
        </w:rPr>
        <w:t>-</w:t>
      </w:r>
      <w:r w:rsidRPr="000233B9">
        <w:rPr>
          <w:rFonts w:eastAsiaTheme="minorEastAsia"/>
          <w:rtl/>
        </w:rPr>
        <w:t>1</w:t>
      </w:r>
      <w:r w:rsidRPr="00C66A65">
        <w:rPr>
          <w:rFonts w:eastAsiaTheme="minorEastAsia"/>
          <w:rtl/>
        </w:rPr>
        <w:tab/>
        <w:t xml:space="preserve">في </w:t>
      </w:r>
      <w:r w:rsidRPr="000233B9">
        <w:rPr>
          <w:rFonts w:eastAsiaTheme="minorEastAsia"/>
          <w:rtl/>
        </w:rPr>
        <w:t>9</w:t>
      </w:r>
      <w:r w:rsidRPr="00C66A65">
        <w:rPr>
          <w:rFonts w:eastAsiaTheme="minorEastAsia"/>
          <w:rtl/>
        </w:rPr>
        <w:t xml:space="preserve"> أيلول/سبتمبر </w:t>
      </w:r>
      <w:r w:rsidRPr="000233B9">
        <w:rPr>
          <w:rFonts w:eastAsiaTheme="minorEastAsia"/>
          <w:rtl/>
        </w:rPr>
        <w:t>2019</w:t>
      </w:r>
      <w:r w:rsidRPr="00C66A65">
        <w:rPr>
          <w:rFonts w:eastAsiaTheme="minorEastAsia"/>
          <w:rtl/>
        </w:rPr>
        <w:t>، أفادت صاحبتا البلاغ بعدم صحة أي سبب من أسباب عدم المقبولية المزعومة، وبأن طلب الدولة الطرف النظر في المقبولية بمعزل عن النظر في الأسس الموضوعية قُدم في وقت متأخر وهو استراتيجية واضحة لتأخير الإجراءات. ولذلك التمستا رفض الطلب.</w:t>
      </w:r>
    </w:p>
    <w:p w14:paraId="0FDD637E"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5</w:t>
      </w:r>
      <w:r w:rsidRPr="00C66A65">
        <w:rPr>
          <w:rFonts w:eastAsiaTheme="minorEastAsia"/>
          <w:rtl/>
        </w:rPr>
        <w:t>-</w:t>
      </w:r>
      <w:r w:rsidRPr="000233B9">
        <w:rPr>
          <w:rFonts w:eastAsiaTheme="minorEastAsia"/>
          <w:rtl/>
        </w:rPr>
        <w:t>2</w:t>
      </w:r>
      <w:r w:rsidRPr="00C66A65">
        <w:rPr>
          <w:rFonts w:eastAsiaTheme="minorEastAsia"/>
          <w:rtl/>
        </w:rPr>
        <w:tab/>
        <w:t xml:space="preserve">أما بخصوص زعم عدم </w:t>
      </w:r>
      <w:r w:rsidRPr="000233B9">
        <w:rPr>
          <w:rFonts w:eastAsiaTheme="minorEastAsia"/>
          <w:i/>
          <w:iCs/>
          <w:rtl/>
        </w:rPr>
        <w:t>الاختصاص الموضوعي</w:t>
      </w:r>
      <w:r w:rsidRPr="00C66A65">
        <w:rPr>
          <w:rFonts w:eastAsiaTheme="minorEastAsia"/>
          <w:rtl/>
        </w:rPr>
        <w:t>، فتشير صاحبتا البلاغ إلى أن حجة الدولة الطرف تبيّن جهلها باجتهادات اللجنة، التي نظرت في حالات الاختفاء القسري.</w:t>
      </w:r>
    </w:p>
    <w:p w14:paraId="3B3E9D8F" w14:textId="728FC978" w:rsidR="00C66A65" w:rsidRPr="00C66A65" w:rsidRDefault="00C66A65" w:rsidP="00C66A65">
      <w:pPr>
        <w:pStyle w:val="SingleTxtGA"/>
        <w:rPr>
          <w:rFonts w:eastAsiaTheme="minorEastAsia"/>
          <w:lang w:val="ar-SA" w:eastAsia="zh-TW" w:bidi="en-GB"/>
        </w:rPr>
      </w:pPr>
      <w:r w:rsidRPr="000233B9">
        <w:rPr>
          <w:rFonts w:eastAsiaTheme="minorEastAsia"/>
          <w:rtl/>
        </w:rPr>
        <w:t>5</w:t>
      </w:r>
      <w:r w:rsidRPr="00C66A65">
        <w:rPr>
          <w:rFonts w:eastAsiaTheme="minorEastAsia"/>
          <w:rtl/>
        </w:rPr>
        <w:t>-</w:t>
      </w:r>
      <w:r w:rsidRPr="000233B9">
        <w:rPr>
          <w:rFonts w:eastAsiaTheme="minorEastAsia"/>
          <w:rtl/>
        </w:rPr>
        <w:t>3</w:t>
      </w:r>
      <w:r w:rsidRPr="00C66A65">
        <w:rPr>
          <w:rFonts w:eastAsiaTheme="minorEastAsia"/>
          <w:rtl/>
        </w:rPr>
        <w:tab/>
        <w:t xml:space="preserve">وفيما يتعلق بزعم عدم </w:t>
      </w:r>
      <w:r w:rsidRPr="000233B9">
        <w:rPr>
          <w:rFonts w:eastAsiaTheme="minorEastAsia"/>
          <w:i/>
          <w:iCs/>
          <w:rtl/>
        </w:rPr>
        <w:t>الاختصاص الشخصي</w:t>
      </w:r>
      <w:r w:rsidRPr="00C66A65">
        <w:rPr>
          <w:rFonts w:eastAsiaTheme="minorEastAsia"/>
          <w:rtl/>
        </w:rPr>
        <w:t>، تؤكد صاحبتا البلاغ استيفاء شرط إثبات انتهاك محدد للحقوق</w:t>
      </w:r>
      <w:r>
        <w:rPr>
          <w:rStyle w:val="FootnoteReference"/>
          <w:rFonts w:eastAsiaTheme="minorEastAsia"/>
          <w:szCs w:val="22"/>
          <w:rtl/>
        </w:rPr>
        <w:t>(</w:t>
      </w:r>
      <w:r w:rsidRPr="000233B9">
        <w:rPr>
          <w:rStyle w:val="FootnoteReference"/>
          <w:rFonts w:eastAsiaTheme="minorEastAsia"/>
          <w:szCs w:val="22"/>
          <w:lang w:val="en-US"/>
        </w:rPr>
        <w:footnoteReference w:id="27"/>
      </w:r>
      <w:r>
        <w:rPr>
          <w:rStyle w:val="FootnoteReference"/>
          <w:rFonts w:eastAsiaTheme="minorEastAsia"/>
          <w:szCs w:val="22"/>
          <w:rtl/>
        </w:rPr>
        <w:t>)</w:t>
      </w:r>
      <w:r w:rsidRPr="00C66A65">
        <w:rPr>
          <w:rFonts w:eastAsiaTheme="minorEastAsia"/>
          <w:rtl/>
        </w:rPr>
        <w:t xml:space="preserve">، إذ على الرغم من أن تحليلهما يشير إلى سابقة قضائية </w:t>
      </w:r>
      <w:proofErr w:type="spellStart"/>
      <w:r w:rsidRPr="00C66A65">
        <w:rPr>
          <w:rFonts w:eastAsiaTheme="minorEastAsia"/>
          <w:rtl/>
        </w:rPr>
        <w:t>أرستها</w:t>
      </w:r>
      <w:proofErr w:type="spellEnd"/>
      <w:r w:rsidRPr="00C66A65">
        <w:rPr>
          <w:rFonts w:eastAsiaTheme="minorEastAsia"/>
          <w:rtl/>
        </w:rPr>
        <w:t xml:space="preserve"> المحكمة العليا، تشكل</w:t>
      </w:r>
      <w:r w:rsidR="00E53BF3">
        <w:rPr>
          <w:rFonts w:eastAsiaTheme="minorEastAsia" w:hint="cs"/>
          <w:rtl/>
        </w:rPr>
        <w:t> </w:t>
      </w:r>
      <w:r w:rsidRPr="00C66A65">
        <w:rPr>
          <w:rFonts w:eastAsiaTheme="minorEastAsia"/>
          <w:rtl/>
        </w:rPr>
        <w:t xml:space="preserve">عاملاً من عوامل الإفلات من العقاب في السياق العام، أثّرت هذه السابقة عليهما تأثيراً مباشراً لأن محكمة </w:t>
      </w:r>
      <w:proofErr w:type="spellStart"/>
      <w:r w:rsidRPr="00C66A65">
        <w:rPr>
          <w:rFonts w:eastAsiaTheme="minorEastAsia"/>
          <w:rtl/>
        </w:rPr>
        <w:t>ماناكور</w:t>
      </w:r>
      <w:proofErr w:type="spellEnd"/>
      <w:r w:rsidRPr="00C66A65">
        <w:rPr>
          <w:rFonts w:eastAsiaTheme="minorEastAsia"/>
          <w:rtl/>
        </w:rPr>
        <w:t xml:space="preserve"> طبقتها عندما رفضت شكواهما في عام </w:t>
      </w:r>
      <w:r w:rsidRPr="000233B9">
        <w:rPr>
          <w:rFonts w:eastAsiaTheme="minorEastAsia"/>
          <w:rtl/>
        </w:rPr>
        <w:t>2017</w:t>
      </w:r>
      <w:r w:rsidRPr="00C66A65">
        <w:rPr>
          <w:rFonts w:eastAsiaTheme="minorEastAsia"/>
          <w:rtl/>
        </w:rPr>
        <w:t>.</w:t>
      </w:r>
    </w:p>
    <w:p w14:paraId="6C2F470C"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5</w:t>
      </w:r>
      <w:r w:rsidRPr="00C66A65">
        <w:rPr>
          <w:rFonts w:eastAsiaTheme="minorEastAsia"/>
          <w:rtl/>
        </w:rPr>
        <w:t>-</w:t>
      </w:r>
      <w:r w:rsidRPr="000233B9">
        <w:rPr>
          <w:rFonts w:eastAsiaTheme="minorEastAsia"/>
          <w:rtl/>
        </w:rPr>
        <w:t>4</w:t>
      </w:r>
      <w:r w:rsidRPr="00C66A65">
        <w:rPr>
          <w:rFonts w:eastAsiaTheme="minorEastAsia"/>
          <w:rtl/>
        </w:rPr>
        <w:tab/>
        <w:t xml:space="preserve">إضافة إلى ذلك، فإن افتقار الدولة إلى تشريع بشأن البحث عن الأشخاص المختفين، وعدم فعالية تشريعات مناطق الحكم الذاتي، يرتبطان ارتباطاً مباشراً أيضاً بالانتهاكات المبلغ عنها وبقرار صاحبتي البلاغ اللجوء إلى اللجنة. فاللوائح السارية تتعارض مع المبادئ التوجيهية للبحث عن الأشخاص المختفين التي وضعتها اللجنة المعنية بحالات الاختفاء القسري (وتُستخدم دليلاً لتفسير التزامات الدولة الطرف)، وتنص على أن البحث يجب أن يخضع لسياسة عامة شاملة وواضحة وشفافة ومعروفة ومتسقة، وعلى أن الهيئات اللامركزية لا يمكن أن تقف حاجزاً أمام البحث الفعال. وتدفع صاحبتا البلاغ أيضاً بأن مقترحات الإصلاح التشريعي التي وضعتها الدولة الطرف هي تدابير غير سارية المفعول ومن غير المرجح أن تُعتمد في المستقبل. فلم تبدأ حتى الآن أي أعمال لاستخراج الجثث في أي من القبور التي يُعتقد أنها تحتوي على جثتي قريبي صاحبتي البلاغ، بما في ذلك مقبرة </w:t>
      </w:r>
      <w:proofErr w:type="spellStart"/>
      <w:r w:rsidRPr="00C66A65">
        <w:rPr>
          <w:rFonts w:eastAsiaTheme="minorEastAsia"/>
          <w:rtl/>
        </w:rPr>
        <w:t>ماناكور</w:t>
      </w:r>
      <w:proofErr w:type="spellEnd"/>
      <w:r w:rsidRPr="00C66A65">
        <w:rPr>
          <w:rFonts w:eastAsiaTheme="minorEastAsia"/>
          <w:rtl/>
        </w:rPr>
        <w:t xml:space="preserve"> القديمة، ومقبرة </w:t>
      </w:r>
      <w:proofErr w:type="spellStart"/>
      <w:r w:rsidRPr="00C66A65">
        <w:rPr>
          <w:rFonts w:eastAsiaTheme="minorEastAsia"/>
          <w:rtl/>
        </w:rPr>
        <w:t>ماناكور</w:t>
      </w:r>
      <w:proofErr w:type="spellEnd"/>
      <w:r w:rsidRPr="00C66A65">
        <w:rPr>
          <w:rFonts w:eastAsiaTheme="minorEastAsia"/>
          <w:rtl/>
        </w:rPr>
        <w:t xml:space="preserve"> الحالية، ومقبرة بلدية البتراء. وبدلاً من تكريم موقع المقبرة القديمة والحفاظ عليه، بنت السلطات ملعباً فوقه. ولا يُعرف متى يمكن أن تبدأ السلطات أعمال الحفر واستخراج الجثث في المقبرة الحالية لعدم منح العطاء وعدم وضع أي جدول زمني للعمل. واستبعدت الدولة الطرف احتمال وجود رفات في مقبرة بلدية البتراء من دون بيان أسباب ذلك. وأخيراً، تلاحظ صاحبتا البلاغ أن من التناقض أن تدعي الدولة الطرف </w:t>
      </w:r>
      <w:r w:rsidRPr="00C66A65">
        <w:rPr>
          <w:rFonts w:eastAsiaTheme="minorEastAsia"/>
          <w:rtl/>
        </w:rPr>
        <w:lastRenderedPageBreak/>
        <w:t>أن البلاغ غير مقبول باعتباره دعوى حِسبة، بينما تشير في معظم تعليقاتها إلى مقترحات سياساتية لاتخاذ تدابير عامة من دون تحديد كيفية تأثيرها على صاحبتي البلاغ.</w:t>
      </w:r>
    </w:p>
    <w:p w14:paraId="6CC577DD" w14:textId="0773EB4C" w:rsidR="00C66A65" w:rsidRPr="00C66A65" w:rsidRDefault="00C66A65" w:rsidP="00C66A65">
      <w:pPr>
        <w:pStyle w:val="SingleTxtGA"/>
        <w:rPr>
          <w:rFonts w:eastAsiaTheme="minorEastAsia"/>
          <w:lang w:val="fr-CH" w:eastAsia="zh-TW" w:bidi="en-GB"/>
        </w:rPr>
      </w:pPr>
      <w:r w:rsidRPr="000233B9">
        <w:rPr>
          <w:rFonts w:eastAsiaTheme="minorEastAsia"/>
          <w:rtl/>
        </w:rPr>
        <w:t>5</w:t>
      </w:r>
      <w:r w:rsidRPr="00C66A65">
        <w:rPr>
          <w:rFonts w:eastAsiaTheme="minorEastAsia"/>
          <w:rtl/>
        </w:rPr>
        <w:t>-</w:t>
      </w:r>
      <w:r w:rsidRPr="000233B9">
        <w:rPr>
          <w:rFonts w:eastAsiaTheme="minorEastAsia"/>
          <w:rtl/>
        </w:rPr>
        <w:t>5</w:t>
      </w:r>
      <w:r w:rsidRPr="00C66A65">
        <w:rPr>
          <w:rFonts w:eastAsiaTheme="minorEastAsia"/>
          <w:rtl/>
        </w:rPr>
        <w:tab/>
        <w:t xml:space="preserve">وفيما يتعلق بزعم عدم </w:t>
      </w:r>
      <w:r w:rsidRPr="000233B9">
        <w:rPr>
          <w:rFonts w:eastAsiaTheme="minorEastAsia"/>
          <w:i/>
          <w:iCs/>
          <w:rtl/>
        </w:rPr>
        <w:t>الاختصاص الزمني</w:t>
      </w:r>
      <w:r w:rsidRPr="00C66A65">
        <w:rPr>
          <w:rFonts w:eastAsiaTheme="minorEastAsia"/>
          <w:rtl/>
        </w:rPr>
        <w:t xml:space="preserve">، تؤكد صاحبتا البلاغ أن القضيتين المرفوعتين ضد شيلي اللتين ذكرتهما الدولة الطرف لا يمكن مقارنتهما بالبلاغ الحالي لسببين: لأن شيلي، لدى تصديقها على البروتوكول، قدمت إعلاناً تفسيرياً يعترف بعدم اختصاص اللجنة إلا بالنظر في الأفعال التي تحدث بعد آذار/مارس </w:t>
      </w:r>
      <w:r w:rsidRPr="000233B9">
        <w:rPr>
          <w:rFonts w:eastAsiaTheme="minorEastAsia"/>
          <w:rtl/>
        </w:rPr>
        <w:t>1990</w:t>
      </w:r>
      <w:r w:rsidRPr="00C66A65">
        <w:rPr>
          <w:rFonts w:eastAsiaTheme="minorEastAsia"/>
          <w:rtl/>
        </w:rPr>
        <w:t>، وهو إعلان لم تقدمه إسبانيا؛ ولأن المسؤولية المزعومة في هاتين القضيتين لا</w:t>
      </w:r>
      <w:r w:rsidR="00446F74">
        <w:rPr>
          <w:rFonts w:eastAsiaTheme="minorEastAsia" w:hint="cs"/>
          <w:rtl/>
        </w:rPr>
        <w:t> </w:t>
      </w:r>
      <w:r w:rsidRPr="00C66A65">
        <w:rPr>
          <w:rFonts w:eastAsiaTheme="minorEastAsia"/>
          <w:rtl/>
        </w:rPr>
        <w:t xml:space="preserve">تشمل سوى المسؤولية عن الاختفاء ذاته، أما في هذه الشكوى فإن الادعاءات تشمل أيضاً انتهاكات ذات طابع إجرائي وقعت في الوقت الحاضر، وتعزى إلى عرقلة الدولة الطرف إجراءات قضائية وإدارية بوشرت بعد التصديق على العهد. علاوة على ذلك، فقد تطورت الاجتهادات المتعلقة </w:t>
      </w:r>
      <w:r w:rsidRPr="000233B9">
        <w:rPr>
          <w:rFonts w:eastAsiaTheme="minorEastAsia"/>
          <w:i/>
          <w:iCs/>
          <w:rtl/>
        </w:rPr>
        <w:t>بالاختصاص الزمني</w:t>
      </w:r>
      <w:r w:rsidRPr="00C66A65">
        <w:rPr>
          <w:rFonts w:eastAsiaTheme="minorEastAsia"/>
          <w:rtl/>
        </w:rPr>
        <w:t xml:space="preserve"> بش</w:t>
      </w:r>
      <w:r w:rsidR="00446F74">
        <w:rPr>
          <w:rFonts w:eastAsiaTheme="minorEastAsia" w:hint="cs"/>
          <w:rtl/>
        </w:rPr>
        <w:t>أ</w:t>
      </w:r>
      <w:r w:rsidRPr="00C66A65">
        <w:rPr>
          <w:rFonts w:eastAsiaTheme="minorEastAsia"/>
          <w:rtl/>
        </w:rPr>
        <w:t>ن الأحداث التي وقعت قبل التصديق، ذلك أن اللجنة تبت في عواقب انتهاكات ارتُكبت قبل دخول العهد حيز النفاذ، ولا تزال تبعاتها مستمرة بعد التصديق عليه بسبب عدم التحقيق.</w:t>
      </w:r>
    </w:p>
    <w:p w14:paraId="6E9457B0" w14:textId="17D8250B" w:rsidR="00C66A65" w:rsidRPr="00C66A65" w:rsidRDefault="00C66A65" w:rsidP="00C66A65">
      <w:pPr>
        <w:pStyle w:val="SingleTxtGA"/>
        <w:rPr>
          <w:rFonts w:eastAsiaTheme="minorEastAsia"/>
          <w:lang w:val="ar-SA" w:eastAsia="zh-TW" w:bidi="en-GB"/>
        </w:rPr>
      </w:pPr>
      <w:r w:rsidRPr="000233B9">
        <w:rPr>
          <w:rFonts w:eastAsiaTheme="minorEastAsia"/>
          <w:rtl/>
        </w:rPr>
        <w:t>5</w:t>
      </w:r>
      <w:r w:rsidRPr="00C66A65">
        <w:rPr>
          <w:rFonts w:eastAsiaTheme="minorEastAsia"/>
          <w:rtl/>
        </w:rPr>
        <w:t>-</w:t>
      </w:r>
      <w:r w:rsidRPr="000233B9">
        <w:rPr>
          <w:rFonts w:eastAsiaTheme="minorEastAsia"/>
          <w:rtl/>
        </w:rPr>
        <w:t>6</w:t>
      </w:r>
      <w:r w:rsidRPr="00C66A65">
        <w:rPr>
          <w:rFonts w:eastAsiaTheme="minorEastAsia"/>
          <w:rtl/>
        </w:rPr>
        <w:tab/>
        <w:t>وفيما يتعلق بزعم عدم المقبولية لعدم استنفاد سبل الانتصاف المحلية، تشير صاحبتا البلاغ إلى أنهما اتخذتا إجراءات قانونية، عن طريق رابطة مايوركا لإحياء الذاكرة التاريخية، على جميع المستويات، بما في ذلك على مستوى المحكمة الدستورية. وتشيران أيضاً إلى أن الدولة الطرف تعتقد أن عليهما أن تقدما طعوناً قانونية مباشرة من دون أن تمثلهما الرابطة، غير أن اللجنة سبق أن رأت، في قضية ضد إسبانيا، أن "صاحبي البلاغ غير ملزمين باستنفاد سبل الانتصاف المحلية بموجب البروتوكول الاختياري إذا كانت السوابق القضائية لأعلى محكمة محلية قد بتت في المسألة المتنازع عليها بصورة تستبعد أي إمكانية لنجاح الاستئناف أمام المحاكم المحلية"</w:t>
      </w:r>
      <w:r>
        <w:rPr>
          <w:rStyle w:val="FootnoteReference"/>
          <w:rFonts w:eastAsiaTheme="minorEastAsia"/>
          <w:szCs w:val="22"/>
          <w:rtl/>
        </w:rPr>
        <w:t>(</w:t>
      </w:r>
      <w:r w:rsidRPr="000233B9">
        <w:rPr>
          <w:rStyle w:val="FootnoteReference"/>
          <w:rFonts w:eastAsiaTheme="minorEastAsia"/>
          <w:szCs w:val="22"/>
          <w:lang w:val="en-US"/>
        </w:rPr>
        <w:footnoteReference w:id="28"/>
      </w:r>
      <w:r>
        <w:rPr>
          <w:rStyle w:val="FootnoteReference"/>
          <w:rFonts w:eastAsiaTheme="minorEastAsia"/>
          <w:szCs w:val="22"/>
          <w:rtl/>
        </w:rPr>
        <w:t>)</w:t>
      </w:r>
      <w:r w:rsidRPr="00C66A65">
        <w:rPr>
          <w:rFonts w:eastAsiaTheme="minorEastAsia"/>
          <w:rtl/>
        </w:rPr>
        <w:t>. لذا كان ينبغي للدولة الطرف أن تثبت وجود سبل انتصاف فعالة متاحة قد يتكلل اللجوء إليها بالنجاح.</w:t>
      </w:r>
    </w:p>
    <w:p w14:paraId="4BF4E543" w14:textId="701DA365" w:rsidR="00C66A65" w:rsidRPr="00C66A65" w:rsidRDefault="00C66A65" w:rsidP="00C66A65">
      <w:pPr>
        <w:pStyle w:val="SingleTxtGA"/>
        <w:rPr>
          <w:rFonts w:eastAsiaTheme="minorEastAsia"/>
          <w:lang w:val="ar-SA" w:eastAsia="zh-TW" w:bidi="en-GB"/>
        </w:rPr>
      </w:pPr>
      <w:r w:rsidRPr="000233B9">
        <w:rPr>
          <w:rFonts w:eastAsiaTheme="minorEastAsia"/>
          <w:rtl/>
        </w:rPr>
        <w:t>5</w:t>
      </w:r>
      <w:r w:rsidRPr="00C66A65">
        <w:rPr>
          <w:rFonts w:eastAsiaTheme="minorEastAsia"/>
          <w:rtl/>
        </w:rPr>
        <w:t>-</w:t>
      </w:r>
      <w:r w:rsidRPr="000233B9">
        <w:rPr>
          <w:rFonts w:eastAsiaTheme="minorEastAsia"/>
          <w:rtl/>
        </w:rPr>
        <w:t>7</w:t>
      </w:r>
      <w:r w:rsidRPr="00C66A65">
        <w:rPr>
          <w:rFonts w:eastAsiaTheme="minorEastAsia"/>
          <w:rtl/>
        </w:rPr>
        <w:tab/>
        <w:t>وتدفع صاحبتا البلاغ بأن الدولة الطرف لم تفعل شيئاً حتى الآن لتقديم استجابة مناسبة تراعي الاعتبارات الجنسانية، وبأنهما ما زالتا عاجزتين عن وضع زهور على الأرض التي دُفن فيها والدي إحداهما جدي الأخرى</w:t>
      </w:r>
      <w:r>
        <w:rPr>
          <w:rStyle w:val="FootnoteReference"/>
          <w:rFonts w:eastAsiaTheme="minorEastAsia"/>
          <w:szCs w:val="22"/>
          <w:rtl/>
        </w:rPr>
        <w:t>(</w:t>
      </w:r>
      <w:r w:rsidRPr="000233B9">
        <w:rPr>
          <w:rStyle w:val="FootnoteReference"/>
          <w:rFonts w:eastAsiaTheme="minorEastAsia"/>
          <w:szCs w:val="22"/>
          <w:lang w:val="en-US"/>
        </w:rPr>
        <w:footnoteReference w:id="29"/>
      </w:r>
      <w:r>
        <w:rPr>
          <w:rStyle w:val="FootnoteReference"/>
          <w:rFonts w:eastAsiaTheme="minorEastAsia"/>
          <w:szCs w:val="22"/>
          <w:rtl/>
        </w:rPr>
        <w:t>)</w:t>
      </w:r>
      <w:r w:rsidRPr="00C66A65">
        <w:rPr>
          <w:rFonts w:eastAsiaTheme="minorEastAsia"/>
          <w:rtl/>
        </w:rPr>
        <w:t>. وعليه، فإن اقتراح الدولة الطرف إقامة احتفال عام تُمنحان فيه وثيقة تثبت أنهما ضحيتان (وهي وثيقة توجد في حوزتهما بالفعل وتظل رمزية فقط) غير كاف.</w:t>
      </w:r>
    </w:p>
    <w:p w14:paraId="0D0C0B97"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5</w:t>
      </w:r>
      <w:r w:rsidRPr="00C66A65">
        <w:rPr>
          <w:rFonts w:eastAsiaTheme="minorEastAsia"/>
          <w:rtl/>
        </w:rPr>
        <w:t>-</w:t>
      </w:r>
      <w:r w:rsidRPr="000233B9">
        <w:rPr>
          <w:rFonts w:eastAsiaTheme="minorEastAsia"/>
          <w:rtl/>
        </w:rPr>
        <w:t>8</w:t>
      </w:r>
      <w:r w:rsidRPr="00C66A65">
        <w:rPr>
          <w:rFonts w:eastAsiaTheme="minorEastAsia"/>
          <w:rtl/>
        </w:rPr>
        <w:tab/>
        <w:t xml:space="preserve">وتؤكد صاحبتا البلاغ أيضاً ضرورة الاستماع إلى قضيتهما، ما دام المعيار الوارد في الفقرة </w:t>
      </w:r>
      <w:r w:rsidRPr="000233B9">
        <w:rPr>
          <w:rFonts w:eastAsiaTheme="minorEastAsia"/>
          <w:rtl/>
        </w:rPr>
        <w:t>2</w:t>
      </w:r>
      <w:r w:rsidRPr="00C66A65">
        <w:rPr>
          <w:rFonts w:eastAsiaTheme="minorEastAsia"/>
          <w:rtl/>
        </w:rPr>
        <w:t xml:space="preserve"> من المبادئ التوجيهية للجنة المتعلقة بتقديم ملاحظات شفوية بشأن البلاغات قد استوفي، مع مراعاة الاختلافات في تفسيرات الطرفين للقانون الوطني والعهد.</w:t>
      </w:r>
    </w:p>
    <w:p w14:paraId="222567F0" w14:textId="113100F3" w:rsidR="00C66A65" w:rsidRPr="000233B9" w:rsidRDefault="00C66A65" w:rsidP="00E53BF3">
      <w:pPr>
        <w:pStyle w:val="H23GA"/>
        <w:rPr>
          <w:lang w:val="en-US" w:eastAsia="zh-TW" w:bidi="en-GB"/>
        </w:rPr>
      </w:pPr>
      <w:r w:rsidRPr="000233B9">
        <w:rPr>
          <w:rtl/>
        </w:rPr>
        <w:tab/>
      </w:r>
      <w:r w:rsidRPr="000233B9">
        <w:rPr>
          <w:rtl/>
        </w:rPr>
        <w:tab/>
      </w:r>
      <w:dir w:val="rtl">
        <w:r w:rsidRPr="000233B9">
          <w:rPr>
            <w:rtl/>
          </w:rPr>
          <w:t>معلومات إضافية مقدمة من صاحبتي البلاغ</w:t>
        </w:r>
        <w:r w:rsidR="001B317A">
          <w:t>‬</w:t>
        </w:r>
        <w:r w:rsidR="00B269E0">
          <w:t>‬</w:t>
        </w:r>
      </w:dir>
    </w:p>
    <w:p w14:paraId="101131FD" w14:textId="4BAE454A" w:rsidR="00C66A65" w:rsidRPr="00C66A65" w:rsidRDefault="00C66A65" w:rsidP="00C66A65">
      <w:pPr>
        <w:pStyle w:val="SingleTxtGA"/>
        <w:rPr>
          <w:rFonts w:eastAsiaTheme="minorEastAsia"/>
          <w:lang w:val="fr-CH" w:eastAsia="zh-TW" w:bidi="en-GB"/>
        </w:rPr>
      </w:pPr>
      <w:r w:rsidRPr="000233B9">
        <w:rPr>
          <w:rFonts w:eastAsiaTheme="minorEastAsia"/>
          <w:rtl/>
        </w:rPr>
        <w:t>6</w:t>
      </w:r>
      <w:r w:rsidRPr="00C66A65">
        <w:rPr>
          <w:rFonts w:eastAsiaTheme="minorEastAsia"/>
          <w:rtl/>
        </w:rPr>
        <w:t>-</w:t>
      </w:r>
      <w:r w:rsidRPr="000233B9">
        <w:rPr>
          <w:rFonts w:eastAsiaTheme="minorEastAsia"/>
          <w:rtl/>
        </w:rPr>
        <w:t>1</w:t>
      </w:r>
      <w:r w:rsidRPr="00C66A65">
        <w:rPr>
          <w:rFonts w:eastAsiaTheme="minorEastAsia"/>
          <w:rtl/>
        </w:rPr>
        <w:tab/>
        <w:t xml:space="preserve">أفادت صاحبتا البلاغ، في </w:t>
      </w:r>
      <w:r w:rsidRPr="000233B9">
        <w:rPr>
          <w:rFonts w:eastAsiaTheme="minorEastAsia"/>
          <w:rtl/>
        </w:rPr>
        <w:t>6</w:t>
      </w:r>
      <w:r w:rsidRPr="00C66A65">
        <w:rPr>
          <w:rFonts w:eastAsiaTheme="minorEastAsia"/>
          <w:rtl/>
        </w:rPr>
        <w:t xml:space="preserve"> آذار/مارس </w:t>
      </w:r>
      <w:r w:rsidRPr="000233B9">
        <w:rPr>
          <w:rFonts w:eastAsiaTheme="minorEastAsia"/>
          <w:rtl/>
        </w:rPr>
        <w:t>2020</w:t>
      </w:r>
      <w:r w:rsidRPr="00C66A65">
        <w:rPr>
          <w:rFonts w:eastAsiaTheme="minorEastAsia"/>
          <w:rtl/>
        </w:rPr>
        <w:t>، بأن الإجراءات التي بدأت في الأرجنتين لا</w:t>
      </w:r>
      <w:r w:rsidR="00446F74">
        <w:rPr>
          <w:rFonts w:eastAsiaTheme="minorEastAsia" w:hint="cs"/>
          <w:rtl/>
        </w:rPr>
        <w:t> </w:t>
      </w:r>
      <w:r w:rsidRPr="00C66A65">
        <w:rPr>
          <w:rFonts w:eastAsiaTheme="minorEastAsia"/>
          <w:rtl/>
        </w:rPr>
        <w:t>تزال تعترضها عوائق لأن السلطات الإسبانية منعت للتو القاضية التي ترأس محكمة بوينس آيرس من السفر لأخذ إفادة من أحد الأطراف قيد التحقيق (وزير سابق في عهد فرانكو) كما كان مقرراً لها أن تفعل ذلك الشهر في السفارة الأرجنتينية في إسبانيا.</w:t>
      </w:r>
    </w:p>
    <w:p w14:paraId="7EB77B8A" w14:textId="77777777" w:rsidR="00C66A65" w:rsidRPr="00C66A65" w:rsidRDefault="00C66A65" w:rsidP="00C66A65">
      <w:pPr>
        <w:pStyle w:val="SingleTxtGA"/>
        <w:rPr>
          <w:rFonts w:eastAsiaTheme="minorEastAsia"/>
          <w:lang w:val="fr-CH" w:eastAsia="zh-TW" w:bidi="en-GB"/>
        </w:rPr>
      </w:pPr>
      <w:r w:rsidRPr="000233B9">
        <w:rPr>
          <w:rFonts w:eastAsiaTheme="minorEastAsia"/>
          <w:rtl/>
        </w:rPr>
        <w:lastRenderedPageBreak/>
        <w:t>6</w:t>
      </w:r>
      <w:r w:rsidRPr="00C66A65">
        <w:rPr>
          <w:rFonts w:eastAsiaTheme="minorEastAsia"/>
          <w:rtl/>
        </w:rPr>
        <w:t>-</w:t>
      </w:r>
      <w:r w:rsidRPr="000233B9">
        <w:rPr>
          <w:rFonts w:eastAsiaTheme="minorEastAsia"/>
          <w:rtl/>
        </w:rPr>
        <w:t>2</w:t>
      </w:r>
      <w:r w:rsidRPr="00C66A65">
        <w:rPr>
          <w:rFonts w:eastAsiaTheme="minorEastAsia"/>
          <w:rtl/>
        </w:rPr>
        <w:tab/>
        <w:t xml:space="preserve">وتؤكد صاحبتا البلاغ أيضاً أن المحاكم الإسبانية لا تزال ترفض الشكاوى المقدمة من ضحايا الجرائم المرتكبة في ظل نظام فرانكو، مستشهدتين بمثال حديث على رفض استند إلى الحجج الواردة في حكم المحكمة العليا الصادر في </w:t>
      </w:r>
      <w:r w:rsidRPr="000233B9">
        <w:rPr>
          <w:rFonts w:eastAsiaTheme="minorEastAsia"/>
          <w:rtl/>
        </w:rPr>
        <w:t>27</w:t>
      </w:r>
      <w:r w:rsidRPr="00C66A65">
        <w:rPr>
          <w:rFonts w:eastAsiaTheme="minorEastAsia"/>
          <w:rtl/>
        </w:rPr>
        <w:t xml:space="preserve"> شباط/فبراير </w:t>
      </w:r>
      <w:r w:rsidRPr="000233B9">
        <w:rPr>
          <w:rFonts w:eastAsiaTheme="minorEastAsia"/>
          <w:rtl/>
        </w:rPr>
        <w:t>2012</w:t>
      </w:r>
      <w:r w:rsidRPr="00C66A65">
        <w:rPr>
          <w:rFonts w:eastAsiaTheme="minorEastAsia"/>
          <w:rtl/>
        </w:rPr>
        <w:t xml:space="preserve"> (انظر الفقرة </w:t>
      </w:r>
      <w:r w:rsidRPr="000233B9">
        <w:rPr>
          <w:rFonts w:eastAsiaTheme="minorEastAsia"/>
          <w:rtl/>
        </w:rPr>
        <w:t>2</w:t>
      </w:r>
      <w:r w:rsidRPr="00C66A65">
        <w:rPr>
          <w:rFonts w:eastAsiaTheme="minorEastAsia"/>
          <w:rtl/>
        </w:rPr>
        <w:t>-</w:t>
      </w:r>
      <w:r w:rsidRPr="000233B9">
        <w:rPr>
          <w:rFonts w:eastAsiaTheme="minorEastAsia"/>
          <w:rtl/>
        </w:rPr>
        <w:t>17</w:t>
      </w:r>
      <w:r w:rsidRPr="00C66A65">
        <w:rPr>
          <w:rFonts w:eastAsiaTheme="minorEastAsia"/>
          <w:rtl/>
        </w:rPr>
        <w:t xml:space="preserve"> أعلاه).</w:t>
      </w:r>
    </w:p>
    <w:p w14:paraId="600B6C05" w14:textId="73A87CB2" w:rsidR="00C66A65" w:rsidRPr="00E53BF3" w:rsidRDefault="00C66A65" w:rsidP="00C66A65">
      <w:pPr>
        <w:pStyle w:val="SingleTxtGA"/>
        <w:rPr>
          <w:rFonts w:eastAsiaTheme="minorEastAsia"/>
          <w:spacing w:val="-4"/>
          <w:rtl/>
          <w:lang w:val="fr-CH" w:eastAsia="zh-TW" w:bidi="ar-DZ"/>
        </w:rPr>
      </w:pPr>
      <w:r w:rsidRPr="000233B9">
        <w:rPr>
          <w:rFonts w:eastAsiaTheme="minorEastAsia"/>
          <w:rtl/>
        </w:rPr>
        <w:t>6</w:t>
      </w:r>
      <w:r w:rsidRPr="00C66A65">
        <w:rPr>
          <w:rFonts w:eastAsiaTheme="minorEastAsia"/>
          <w:rtl/>
        </w:rPr>
        <w:t>-</w:t>
      </w:r>
      <w:r w:rsidRPr="000233B9">
        <w:rPr>
          <w:rFonts w:eastAsiaTheme="minorEastAsia"/>
          <w:rtl/>
        </w:rPr>
        <w:t>3</w:t>
      </w:r>
      <w:r w:rsidRPr="00C66A65">
        <w:rPr>
          <w:rFonts w:eastAsiaTheme="minorEastAsia"/>
          <w:rtl/>
        </w:rPr>
        <w:tab/>
        <w:t>وتشير صاحبتا البلاغ أيضاً إلى أن للقرار الأخير الصادر عن لجنة مناهضة التعذيب</w:t>
      </w:r>
      <w:r>
        <w:rPr>
          <w:rStyle w:val="FootnoteReference"/>
          <w:rFonts w:eastAsiaTheme="minorEastAsia"/>
          <w:szCs w:val="22"/>
          <w:rtl/>
        </w:rPr>
        <w:t>(</w:t>
      </w:r>
      <w:r w:rsidRPr="000233B9">
        <w:rPr>
          <w:rStyle w:val="FootnoteReference"/>
          <w:rFonts w:eastAsiaTheme="minorEastAsia"/>
          <w:szCs w:val="22"/>
          <w:lang w:val="en-US"/>
        </w:rPr>
        <w:footnoteReference w:id="30"/>
      </w:r>
      <w:r>
        <w:rPr>
          <w:rStyle w:val="FootnoteReference"/>
          <w:rFonts w:eastAsiaTheme="minorEastAsia"/>
          <w:szCs w:val="22"/>
          <w:rtl/>
        </w:rPr>
        <w:t>)</w:t>
      </w:r>
      <w:r w:rsidRPr="00C66A65">
        <w:rPr>
          <w:rFonts w:eastAsiaTheme="minorEastAsia"/>
          <w:rtl/>
        </w:rPr>
        <w:t xml:space="preserve"> أهمية خاصة، ذلك أن اللجنة ترى أن لها </w:t>
      </w:r>
      <w:r w:rsidRPr="000233B9">
        <w:rPr>
          <w:rFonts w:eastAsiaTheme="minorEastAsia"/>
          <w:i/>
          <w:iCs/>
          <w:rtl/>
        </w:rPr>
        <w:t>الاختصاص الزمني</w:t>
      </w:r>
      <w:r w:rsidRPr="00C66A65">
        <w:rPr>
          <w:rFonts w:eastAsiaTheme="minorEastAsia"/>
          <w:rtl/>
        </w:rPr>
        <w:t xml:space="preserve"> لتناول الانتهاكات المزعومة للالتزامات بموجب الاتفاقية، التي وقعت قبل الاعتراف باختصاص اللجنة، على أساس أنها تشكل انتهاكاً مستمراً لواجب </w:t>
      </w:r>
      <w:r w:rsidRPr="00E53BF3">
        <w:rPr>
          <w:rFonts w:eastAsiaTheme="minorEastAsia"/>
          <w:spacing w:val="-4"/>
          <w:rtl/>
        </w:rPr>
        <w:t>التحقيق. وتطلبان إلى اللجنة أن تطبق نفس المعايير على هذه القضية، مع مراعاة ما يقتضيه اختلاف</w:t>
      </w:r>
      <w:r w:rsidR="00E53BF3" w:rsidRPr="00E53BF3">
        <w:rPr>
          <w:rFonts w:eastAsiaTheme="minorEastAsia" w:hint="cs"/>
          <w:spacing w:val="-4"/>
          <w:rtl/>
        </w:rPr>
        <w:t xml:space="preserve"> </w:t>
      </w:r>
      <w:r w:rsidRPr="00E53BF3">
        <w:rPr>
          <w:rFonts w:eastAsiaTheme="minorEastAsia"/>
          <w:spacing w:val="-4"/>
          <w:rtl/>
        </w:rPr>
        <w:t>الحال.</w:t>
      </w:r>
    </w:p>
    <w:p w14:paraId="313BE4A4" w14:textId="3B9D8047" w:rsidR="00C66A65" w:rsidRPr="003A4E38" w:rsidRDefault="00C66A65" w:rsidP="00C66A65">
      <w:pPr>
        <w:pStyle w:val="SingleTxtGA"/>
        <w:rPr>
          <w:rFonts w:eastAsiaTheme="minorEastAsia"/>
          <w:lang w:val="en-US" w:eastAsia="zh-TW" w:bidi="en-GB"/>
        </w:rPr>
      </w:pPr>
      <w:r w:rsidRPr="000233B9">
        <w:rPr>
          <w:rFonts w:eastAsiaTheme="minorEastAsia"/>
          <w:rtl/>
        </w:rPr>
        <w:t>6</w:t>
      </w:r>
      <w:r w:rsidRPr="00C66A65">
        <w:rPr>
          <w:rFonts w:eastAsiaTheme="minorEastAsia"/>
          <w:rtl/>
        </w:rPr>
        <w:t>-</w:t>
      </w:r>
      <w:r w:rsidRPr="000233B9">
        <w:rPr>
          <w:rFonts w:eastAsiaTheme="minorEastAsia"/>
          <w:rtl/>
        </w:rPr>
        <w:t>4</w:t>
      </w:r>
      <w:r w:rsidRPr="00C66A65">
        <w:rPr>
          <w:rFonts w:eastAsiaTheme="minorEastAsia"/>
          <w:rtl/>
        </w:rPr>
        <w:tab/>
        <w:t xml:space="preserve">وأخيراً، ترسل صاحبتا البلاغ </w:t>
      </w:r>
      <w:proofErr w:type="gramStart"/>
      <w:r w:rsidRPr="00C66A65">
        <w:rPr>
          <w:rFonts w:eastAsiaTheme="minorEastAsia"/>
          <w:rtl/>
        </w:rPr>
        <w:t>ثلاثة</w:t>
      </w:r>
      <w:proofErr w:type="gramEnd"/>
      <w:r w:rsidRPr="00C66A65">
        <w:rPr>
          <w:rFonts w:eastAsiaTheme="minorEastAsia"/>
          <w:rtl/>
        </w:rPr>
        <w:t xml:space="preserve"> موجزات وضعها أصدقاء اللجنة تَلقّتاها مباشرة من</w:t>
      </w:r>
      <w:r w:rsidR="00C2559A">
        <w:rPr>
          <w:rFonts w:eastAsiaTheme="minorEastAsia" w:hint="cs"/>
          <w:rtl/>
        </w:rPr>
        <w:t> </w:t>
      </w:r>
      <w:r w:rsidRPr="00C66A65">
        <w:rPr>
          <w:rFonts w:eastAsiaTheme="minorEastAsia"/>
          <w:rtl/>
        </w:rPr>
        <w:t>مؤلفيها</w:t>
      </w:r>
      <w:r>
        <w:rPr>
          <w:rStyle w:val="FootnoteReference"/>
          <w:rFonts w:eastAsiaTheme="minorEastAsia"/>
          <w:szCs w:val="22"/>
          <w:rtl/>
        </w:rPr>
        <w:t>(</w:t>
      </w:r>
      <w:r w:rsidRPr="000233B9">
        <w:rPr>
          <w:rStyle w:val="FootnoteReference"/>
          <w:rFonts w:eastAsiaTheme="minorEastAsia"/>
          <w:szCs w:val="22"/>
          <w:lang w:val="en-US"/>
        </w:rPr>
        <w:footnoteReference w:id="31"/>
      </w:r>
      <w:r>
        <w:rPr>
          <w:rStyle w:val="FootnoteReference"/>
          <w:rFonts w:eastAsiaTheme="minorEastAsia"/>
          <w:szCs w:val="22"/>
          <w:rtl/>
        </w:rPr>
        <w:t>)</w:t>
      </w:r>
      <w:r w:rsidRPr="00C66A65">
        <w:rPr>
          <w:rFonts w:eastAsiaTheme="minorEastAsia"/>
          <w:rtl/>
        </w:rPr>
        <w:t>.</w:t>
      </w:r>
    </w:p>
    <w:p w14:paraId="61BF45D6" w14:textId="27F58127" w:rsidR="00C66A65" w:rsidRPr="00C66A65" w:rsidRDefault="00C66A65" w:rsidP="00C66A65">
      <w:pPr>
        <w:pStyle w:val="SingleTxtGA"/>
        <w:rPr>
          <w:rFonts w:eastAsiaTheme="minorEastAsia"/>
          <w:lang w:val="ar-SA" w:eastAsia="zh-TW" w:bidi="en-GB"/>
        </w:rPr>
      </w:pPr>
      <w:r w:rsidRPr="000233B9">
        <w:rPr>
          <w:rFonts w:eastAsiaTheme="minorEastAsia"/>
          <w:rtl/>
        </w:rPr>
        <w:t>6</w:t>
      </w:r>
      <w:r w:rsidRPr="00C66A65">
        <w:rPr>
          <w:rFonts w:eastAsiaTheme="minorEastAsia"/>
          <w:rtl/>
        </w:rPr>
        <w:t>-</w:t>
      </w:r>
      <w:r w:rsidRPr="000233B9">
        <w:rPr>
          <w:rFonts w:eastAsiaTheme="minorEastAsia"/>
          <w:rtl/>
        </w:rPr>
        <w:t>5</w:t>
      </w:r>
      <w:r w:rsidRPr="00E53BF3">
        <w:rPr>
          <w:rFonts w:eastAsiaTheme="minorEastAsia"/>
          <w:spacing w:val="-4"/>
          <w:rtl/>
        </w:rPr>
        <w:tab/>
        <w:t xml:space="preserve">وفي </w:t>
      </w:r>
      <w:r w:rsidRPr="000233B9">
        <w:rPr>
          <w:rFonts w:eastAsiaTheme="minorEastAsia"/>
          <w:spacing w:val="-4"/>
          <w:rtl/>
        </w:rPr>
        <w:t>24</w:t>
      </w:r>
      <w:r w:rsidRPr="00E53BF3">
        <w:rPr>
          <w:rFonts w:eastAsiaTheme="minorEastAsia"/>
          <w:spacing w:val="-4"/>
          <w:rtl/>
        </w:rPr>
        <w:t xml:space="preserve"> أيلول/سبتمبر </w:t>
      </w:r>
      <w:r w:rsidRPr="000233B9">
        <w:rPr>
          <w:rFonts w:eastAsiaTheme="minorEastAsia"/>
          <w:spacing w:val="-4"/>
          <w:rtl/>
        </w:rPr>
        <w:t>2020</w:t>
      </w:r>
      <w:r w:rsidRPr="00E53BF3">
        <w:rPr>
          <w:rFonts w:eastAsiaTheme="minorEastAsia"/>
          <w:spacing w:val="-4"/>
          <w:rtl/>
        </w:rPr>
        <w:t xml:space="preserve">، أبلغت المشتكيتان اللجنة بعلمهما من وسائط الإعلام أن </w:t>
      </w:r>
      <w:r w:rsidRPr="000233B9">
        <w:rPr>
          <w:rFonts w:eastAsiaTheme="minorEastAsia"/>
          <w:spacing w:val="-4"/>
          <w:rtl/>
        </w:rPr>
        <w:t>17</w:t>
      </w:r>
      <w:r w:rsidRPr="00E53BF3">
        <w:rPr>
          <w:rFonts w:eastAsiaTheme="minorEastAsia"/>
          <w:spacing w:val="-4"/>
          <w:rtl/>
        </w:rPr>
        <w:t xml:space="preserve"> جثة</w:t>
      </w:r>
      <w:r w:rsidRPr="00C66A65">
        <w:rPr>
          <w:rFonts w:eastAsiaTheme="minorEastAsia"/>
          <w:rtl/>
        </w:rPr>
        <w:t xml:space="preserve"> قد</w:t>
      </w:r>
      <w:r w:rsidR="00E53BF3">
        <w:rPr>
          <w:rFonts w:eastAsiaTheme="minorEastAsia" w:hint="eastAsia"/>
          <w:rtl/>
        </w:rPr>
        <w:t> </w:t>
      </w:r>
      <w:r w:rsidRPr="00C66A65">
        <w:rPr>
          <w:rFonts w:eastAsiaTheme="minorEastAsia"/>
          <w:rtl/>
        </w:rPr>
        <w:t xml:space="preserve">استُخرجت من مقبرة </w:t>
      </w:r>
      <w:proofErr w:type="spellStart"/>
      <w:r w:rsidRPr="00C66A65">
        <w:rPr>
          <w:rFonts w:eastAsiaTheme="minorEastAsia"/>
          <w:rtl/>
        </w:rPr>
        <w:t>ماناكور</w:t>
      </w:r>
      <w:proofErr w:type="spellEnd"/>
      <w:r w:rsidRPr="00C66A65">
        <w:rPr>
          <w:rFonts w:eastAsiaTheme="minorEastAsia"/>
          <w:rtl/>
        </w:rPr>
        <w:t xml:space="preserve"> المعروفة باسم سان </w:t>
      </w:r>
      <w:proofErr w:type="spellStart"/>
      <w:r w:rsidRPr="00C66A65">
        <w:rPr>
          <w:rFonts w:eastAsiaTheme="minorEastAsia"/>
          <w:rtl/>
        </w:rPr>
        <w:t>كوليتيس</w:t>
      </w:r>
      <w:proofErr w:type="spellEnd"/>
      <w:r w:rsidRPr="00C66A65">
        <w:rPr>
          <w:rFonts w:eastAsiaTheme="minorEastAsia"/>
          <w:rtl/>
        </w:rPr>
        <w:t xml:space="preserve"> في تموز/يوليه وآب/أغسطس </w:t>
      </w:r>
      <w:r w:rsidRPr="000233B9">
        <w:rPr>
          <w:rFonts w:eastAsiaTheme="minorEastAsia"/>
          <w:rtl/>
        </w:rPr>
        <w:t>2020</w:t>
      </w:r>
      <w:r w:rsidRPr="00C66A65">
        <w:rPr>
          <w:rFonts w:eastAsiaTheme="minorEastAsia"/>
          <w:rtl/>
        </w:rPr>
        <w:t xml:space="preserve">. ووفقاً للمعلومات التي حصلتا عليها من خلال قنوات غير رسمية، يجري تحليل الحمض النووي للجثث، ومن المحتمل أن تكون إحداها جثة إحدى الضحيتين، وهي السيدة م. </w:t>
      </w:r>
      <w:proofErr w:type="gramStart"/>
      <w:r w:rsidRPr="00C66A65">
        <w:rPr>
          <w:rFonts w:eastAsiaTheme="minorEastAsia"/>
          <w:rtl/>
        </w:rPr>
        <w:t>خ..</w:t>
      </w:r>
      <w:proofErr w:type="gramEnd"/>
      <w:r w:rsidRPr="00C66A65">
        <w:rPr>
          <w:rFonts w:eastAsiaTheme="minorEastAsia"/>
          <w:rtl/>
        </w:rPr>
        <w:t xml:space="preserve"> وطلبتا أيضاً إلى اللجنة تأجيل النظر في القضية، إن أمكن.</w:t>
      </w:r>
    </w:p>
    <w:p w14:paraId="01E70FEB" w14:textId="77777777" w:rsidR="00C66A65" w:rsidRPr="000233B9" w:rsidRDefault="00C66A65" w:rsidP="00C66A65">
      <w:pPr>
        <w:pStyle w:val="H23GA"/>
        <w:rPr>
          <w:lang w:val="fr-CH" w:eastAsia="zh-TW" w:bidi="en-GB"/>
        </w:rPr>
      </w:pPr>
      <w:r w:rsidRPr="000233B9">
        <w:rPr>
          <w:rtl/>
        </w:rPr>
        <w:tab/>
      </w:r>
      <w:r w:rsidRPr="000233B9">
        <w:rPr>
          <w:rtl/>
        </w:rPr>
        <w:tab/>
        <w:t>القضايا والإجراءات المعروضة على اللجنة</w:t>
      </w:r>
    </w:p>
    <w:p w14:paraId="185A5070" w14:textId="77777777" w:rsidR="00C66A65" w:rsidRPr="000233B9" w:rsidRDefault="00C66A65" w:rsidP="00C66A65">
      <w:pPr>
        <w:pStyle w:val="H4GA"/>
        <w:rPr>
          <w:lang w:val="fr-CH" w:eastAsia="zh-TW" w:bidi="en-GB"/>
        </w:rPr>
      </w:pPr>
      <w:r w:rsidRPr="000233B9">
        <w:rPr>
          <w:rtl/>
        </w:rPr>
        <w:tab/>
      </w:r>
      <w:r w:rsidRPr="000233B9">
        <w:rPr>
          <w:rtl/>
        </w:rPr>
        <w:tab/>
        <w:t>النظر في المقبولية</w:t>
      </w:r>
    </w:p>
    <w:p w14:paraId="5BCC96A7"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7</w:t>
      </w:r>
      <w:r w:rsidRPr="00C66A65">
        <w:rPr>
          <w:rFonts w:eastAsiaTheme="minorEastAsia"/>
          <w:rtl/>
        </w:rPr>
        <w:t>-</w:t>
      </w:r>
      <w:r w:rsidRPr="000233B9">
        <w:rPr>
          <w:rFonts w:eastAsiaTheme="minorEastAsia"/>
          <w:rtl/>
        </w:rPr>
        <w:t>1</w:t>
      </w:r>
      <w:r w:rsidRPr="00C66A65">
        <w:rPr>
          <w:rFonts w:eastAsiaTheme="minorEastAsia"/>
          <w:rtl/>
        </w:rPr>
        <w:tab/>
        <w:t xml:space="preserve">قبل النظر في أي ادعاء يرد في بلاغ ما، يجب على اللجنة أن تقرر، وفقاً للمادة </w:t>
      </w:r>
      <w:r w:rsidRPr="000233B9">
        <w:rPr>
          <w:rFonts w:eastAsiaTheme="minorEastAsia"/>
          <w:rtl/>
        </w:rPr>
        <w:t>97</w:t>
      </w:r>
      <w:r w:rsidRPr="00C66A65">
        <w:rPr>
          <w:rFonts w:eastAsiaTheme="minorEastAsia"/>
          <w:rtl/>
        </w:rPr>
        <w:t xml:space="preserve"> من نظامها الداخلي، ما إذا كان البلاغ مقبولاً أم لا بموجب البروتوكول الاختياري.</w:t>
      </w:r>
    </w:p>
    <w:p w14:paraId="52BC7DD4"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7</w:t>
      </w:r>
      <w:r w:rsidRPr="00C66A65">
        <w:rPr>
          <w:rFonts w:eastAsiaTheme="minorEastAsia"/>
          <w:rtl/>
        </w:rPr>
        <w:t>-</w:t>
      </w:r>
      <w:r w:rsidRPr="000233B9">
        <w:rPr>
          <w:rFonts w:eastAsiaTheme="minorEastAsia"/>
          <w:rtl/>
        </w:rPr>
        <w:t>2</w:t>
      </w:r>
      <w:r w:rsidRPr="00C66A65">
        <w:rPr>
          <w:rFonts w:eastAsiaTheme="minorEastAsia"/>
          <w:rtl/>
        </w:rPr>
        <w:tab/>
        <w:t xml:space="preserve">وقد تأكدت اللجنة، وفقاً لما تنص عليه المادة </w:t>
      </w:r>
      <w:r w:rsidRPr="000233B9">
        <w:rPr>
          <w:rFonts w:eastAsiaTheme="minorEastAsia"/>
          <w:rtl/>
        </w:rPr>
        <w:t>5</w:t>
      </w:r>
      <w:r w:rsidRPr="00C66A65">
        <w:rPr>
          <w:rFonts w:eastAsiaTheme="minorEastAsia"/>
          <w:rtl/>
        </w:rPr>
        <w:t>(</w:t>
      </w:r>
      <w:r w:rsidRPr="000233B9">
        <w:rPr>
          <w:rFonts w:eastAsiaTheme="minorEastAsia"/>
          <w:rtl/>
        </w:rPr>
        <w:t>2</w:t>
      </w:r>
      <w:r w:rsidRPr="00C66A65">
        <w:rPr>
          <w:rFonts w:eastAsiaTheme="minorEastAsia"/>
          <w:rtl/>
        </w:rPr>
        <w:t>)(أ) من البروتوكول الاختياري، من أن المسألة نفسها ليست قيد النظر في إطار إجراء آخر من إجراءات التحقيق الدولي أو التسوية الدولية.</w:t>
      </w:r>
    </w:p>
    <w:p w14:paraId="2433FCD8" w14:textId="1FE026C3" w:rsidR="00C66A65" w:rsidRPr="00C66A65" w:rsidRDefault="00C66A65" w:rsidP="00C66A65">
      <w:pPr>
        <w:pStyle w:val="SingleTxtGA"/>
        <w:rPr>
          <w:rFonts w:eastAsiaTheme="minorEastAsia"/>
          <w:lang w:val="ar-SA" w:eastAsia="zh-TW" w:bidi="en-GB"/>
        </w:rPr>
      </w:pPr>
      <w:r w:rsidRPr="000233B9">
        <w:rPr>
          <w:rFonts w:eastAsiaTheme="minorEastAsia"/>
          <w:rtl/>
        </w:rPr>
        <w:t>7</w:t>
      </w:r>
      <w:r w:rsidRPr="00C66A65">
        <w:rPr>
          <w:rFonts w:eastAsiaTheme="minorEastAsia"/>
          <w:rtl/>
        </w:rPr>
        <w:t>-</w:t>
      </w:r>
      <w:r w:rsidRPr="000233B9">
        <w:rPr>
          <w:rFonts w:eastAsiaTheme="minorEastAsia"/>
          <w:rtl/>
        </w:rPr>
        <w:t>3</w:t>
      </w:r>
      <w:r w:rsidRPr="00C66A65">
        <w:rPr>
          <w:rFonts w:eastAsiaTheme="minorEastAsia"/>
          <w:rtl/>
        </w:rPr>
        <w:tab/>
        <w:t xml:space="preserve">وتلاحظ اللجنة حجة الدولة الطرف أن البلاغ غير مقبول من حيث </w:t>
      </w:r>
      <w:r w:rsidRPr="000233B9">
        <w:rPr>
          <w:rFonts w:eastAsiaTheme="minorEastAsia"/>
          <w:i/>
          <w:iCs/>
          <w:rtl/>
        </w:rPr>
        <w:t>الاختصاص المادي</w:t>
      </w:r>
      <w:r w:rsidRPr="00C66A65">
        <w:rPr>
          <w:rFonts w:eastAsiaTheme="minorEastAsia"/>
          <w:rtl/>
        </w:rPr>
        <w:t xml:space="preserve"> لأن الجهود الرامية إلى جبر ضرر ضحايا الاختفاء القسري وإنصافهم ليست مشمولة بالعهد بل بالاتفاقية الدولية لحماية جميع الأشخاص من الاختفاء القسري، وأن شكوى صاحبتي البلاغ ينبغي أن تقدَّم إلى اللجنة المعنية بحالات الاختفاء القسري. غير أن اللجنة تُذكّر بأن اختفاء الأشخاص قسراً يثير مسائل بموجب مواد شتى في العهد، ولا سيما المواد </w:t>
      </w:r>
      <w:r w:rsidRPr="000233B9">
        <w:rPr>
          <w:rFonts w:eastAsiaTheme="minorEastAsia"/>
          <w:rtl/>
        </w:rPr>
        <w:t>6</w:t>
      </w:r>
      <w:r w:rsidRPr="00C66A65">
        <w:rPr>
          <w:rFonts w:eastAsiaTheme="minorEastAsia"/>
          <w:rtl/>
        </w:rPr>
        <w:t xml:space="preserve"> و</w:t>
      </w:r>
      <w:r w:rsidRPr="000233B9">
        <w:rPr>
          <w:rFonts w:eastAsiaTheme="minorEastAsia"/>
          <w:rtl/>
        </w:rPr>
        <w:t>7</w:t>
      </w:r>
      <w:r w:rsidRPr="00C66A65">
        <w:rPr>
          <w:rFonts w:eastAsiaTheme="minorEastAsia"/>
          <w:rtl/>
        </w:rPr>
        <w:t xml:space="preserve"> و</w:t>
      </w:r>
      <w:r w:rsidRPr="000233B9">
        <w:rPr>
          <w:rFonts w:eastAsiaTheme="minorEastAsia"/>
          <w:rtl/>
        </w:rPr>
        <w:t>9</w:t>
      </w:r>
      <w:r w:rsidRPr="00C66A65">
        <w:rPr>
          <w:rFonts w:eastAsiaTheme="minorEastAsia"/>
          <w:rtl/>
        </w:rPr>
        <w:t xml:space="preserve"> و</w:t>
      </w:r>
      <w:r w:rsidRPr="000233B9">
        <w:rPr>
          <w:rFonts w:eastAsiaTheme="minorEastAsia"/>
          <w:rtl/>
        </w:rPr>
        <w:t>16</w:t>
      </w:r>
      <w:r w:rsidRPr="00C66A65">
        <w:rPr>
          <w:rFonts w:eastAsiaTheme="minorEastAsia"/>
          <w:rtl/>
        </w:rPr>
        <w:t xml:space="preserve">، على الرغم من أن العهد لا يستخدم عبارة "الاختفاء القسري" استخداماً صريحاً. وتُذكّر اللجنة بأنها نظرت في عدد كبير من البلاغات الفردية </w:t>
      </w:r>
      <w:r w:rsidRPr="00C66A65">
        <w:rPr>
          <w:rFonts w:eastAsiaTheme="minorEastAsia"/>
          <w:rtl/>
        </w:rPr>
        <w:lastRenderedPageBreak/>
        <w:t>المتعلقة بحالات الاختفاء القسري وخلصت إلى وقوع انتهاكات في العديد منها</w:t>
      </w:r>
      <w:r>
        <w:rPr>
          <w:rStyle w:val="FootnoteReference"/>
          <w:rFonts w:eastAsiaTheme="minorEastAsia"/>
          <w:szCs w:val="22"/>
          <w:rtl/>
        </w:rPr>
        <w:t>(</w:t>
      </w:r>
      <w:r w:rsidRPr="000233B9">
        <w:rPr>
          <w:rStyle w:val="FootnoteReference"/>
          <w:rFonts w:eastAsiaTheme="minorEastAsia"/>
          <w:szCs w:val="22"/>
          <w:lang w:val="en-US"/>
        </w:rPr>
        <w:footnoteReference w:id="32"/>
      </w:r>
      <w:r>
        <w:rPr>
          <w:rStyle w:val="FootnoteReference"/>
          <w:rFonts w:eastAsiaTheme="minorEastAsia"/>
          <w:szCs w:val="22"/>
          <w:rtl/>
        </w:rPr>
        <w:t>)</w:t>
      </w:r>
      <w:r w:rsidRPr="00C66A65">
        <w:rPr>
          <w:rFonts w:eastAsiaTheme="minorEastAsia"/>
          <w:rtl/>
        </w:rPr>
        <w:t xml:space="preserve">. وبناءً عليه، ترى اللجنة أن المادة </w:t>
      </w:r>
      <w:r w:rsidRPr="000233B9">
        <w:rPr>
          <w:rFonts w:eastAsiaTheme="minorEastAsia"/>
          <w:rtl/>
        </w:rPr>
        <w:t>3</w:t>
      </w:r>
      <w:r w:rsidRPr="00C66A65">
        <w:rPr>
          <w:rFonts w:eastAsiaTheme="minorEastAsia"/>
          <w:rtl/>
        </w:rPr>
        <w:t xml:space="preserve"> من البروتوكول الاختياري لا تشكل عائقاً أمام مقبولية هذا البلاغ.</w:t>
      </w:r>
    </w:p>
    <w:p w14:paraId="7977A13D"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7</w:t>
      </w:r>
      <w:r w:rsidRPr="00C66A65">
        <w:rPr>
          <w:rFonts w:eastAsiaTheme="minorEastAsia"/>
          <w:rtl/>
        </w:rPr>
        <w:t>-</w:t>
      </w:r>
      <w:r w:rsidRPr="000233B9">
        <w:rPr>
          <w:rFonts w:eastAsiaTheme="minorEastAsia"/>
          <w:rtl/>
        </w:rPr>
        <w:t>4</w:t>
      </w:r>
      <w:r w:rsidRPr="00C66A65">
        <w:rPr>
          <w:rFonts w:eastAsiaTheme="minorEastAsia"/>
          <w:rtl/>
        </w:rPr>
        <w:tab/>
        <w:t xml:space="preserve">وتحيط اللجنة علماً بحجة الدولة الطرف أن البلاغ غير مقبول من حيث </w:t>
      </w:r>
      <w:r w:rsidRPr="000233B9">
        <w:rPr>
          <w:rFonts w:eastAsiaTheme="minorEastAsia"/>
          <w:i/>
          <w:iCs/>
          <w:rtl/>
        </w:rPr>
        <w:t>الاختصاص الشخصي</w:t>
      </w:r>
      <w:r w:rsidRPr="00C66A65">
        <w:rPr>
          <w:rFonts w:eastAsiaTheme="minorEastAsia"/>
          <w:rtl/>
        </w:rPr>
        <w:t xml:space="preserve">، لأنه دعوى حسبة غرضها أن تكون بمثابة نقد شامل للتشريعات والإجراءات القضائية. وتلاحظ اللجنة أيضاً تأكيد صاحبتي البلاغ أنهما حللتا السابقة القضائية للمحكمة العليا لأنها تشكل سياقاً لمسألة الإفلات من العقاب، ولأنها أثرت عليهما تأثيراً مباشراً لأنها طُبقت في سياق طعونهما. وتذكُران فضلاً عن ذلك التشريع المتعلق بالبحث عن الأشخاص المختفين، ليس فقط لأنه ينتهك المعايير الدولية بشأن هذا الموضوع، بل أيضاً لأنه يرتبط ارتباطاً مباشراً بالانتهاكات الواردة في هذا البلاغ، من حيث إنه حال دون استخراج الجثث من أي من القبور التي قد يكون قريباهما مدفونين فيها. وفي هذا الصدد، تلاحظ اللجنة أن صاحبتي البلاغ قد أثبتتا الادعاء بأنهما عانتا من ضرر شخصي وفردي من جراء اختفاء والدي إحداهما جدي الأخرى، بتوضيح انتهاكات محددة لحقوقهما الفردية بموجب العهد. ولذلك، ترى اللجنة أن المادة </w:t>
      </w:r>
      <w:r w:rsidRPr="000233B9">
        <w:rPr>
          <w:rFonts w:eastAsiaTheme="minorEastAsia"/>
          <w:rtl/>
        </w:rPr>
        <w:t>1</w:t>
      </w:r>
      <w:r w:rsidRPr="00C66A65">
        <w:rPr>
          <w:rFonts w:eastAsiaTheme="minorEastAsia"/>
          <w:rtl/>
        </w:rPr>
        <w:t xml:space="preserve"> من البروتوكول الاختياري لا تشكل عائقاً أمام مقبولية هذا البلاغ.</w:t>
      </w:r>
    </w:p>
    <w:p w14:paraId="7D7198E4"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7</w:t>
      </w:r>
      <w:r w:rsidRPr="00C66A65">
        <w:rPr>
          <w:rFonts w:eastAsiaTheme="minorEastAsia"/>
          <w:rtl/>
        </w:rPr>
        <w:t>-</w:t>
      </w:r>
      <w:r w:rsidRPr="000233B9">
        <w:rPr>
          <w:rFonts w:eastAsiaTheme="minorEastAsia"/>
          <w:rtl/>
        </w:rPr>
        <w:t>5</w:t>
      </w:r>
      <w:r w:rsidRPr="00C66A65">
        <w:rPr>
          <w:rFonts w:eastAsiaTheme="minorEastAsia"/>
          <w:rtl/>
        </w:rPr>
        <w:tab/>
        <w:t xml:space="preserve">وتحيط اللجنة علماً بحجة الدولة الطرف أن البلاغ غير مقبول من حيث </w:t>
      </w:r>
      <w:r w:rsidRPr="000233B9">
        <w:rPr>
          <w:rFonts w:eastAsiaTheme="minorEastAsia"/>
          <w:i/>
          <w:iCs/>
          <w:rtl/>
        </w:rPr>
        <w:t>الاختصاص الزمني</w:t>
      </w:r>
      <w:r w:rsidRPr="00C66A65">
        <w:rPr>
          <w:rFonts w:eastAsiaTheme="minorEastAsia"/>
          <w:rtl/>
        </w:rPr>
        <w:t xml:space="preserve"> لأن حالتي الاختفاء القسري وقعتا قبل وضع العهد. وتلاحظ أيضاً ادعاء صاحبتي البلاغ أنهما تتعرضان لانتهاكات إجرائية في الوقت الحاضر لأن الدولة الطرف عرقلت </w:t>
      </w:r>
      <w:r w:rsidRPr="00C66A65">
        <w:rPr>
          <w:rFonts w:eastAsiaTheme="minorEastAsia"/>
          <w:rtl/>
          <w:lang w:bidi="ar-DZ"/>
        </w:rPr>
        <w:t>الشكاوى</w:t>
      </w:r>
      <w:r w:rsidRPr="00C66A65">
        <w:rPr>
          <w:rFonts w:eastAsiaTheme="minorEastAsia"/>
          <w:rtl/>
        </w:rPr>
        <w:t xml:space="preserve"> التي رُفعت بعد التصديق على العهد بغية الشروع في تحقيقات لتحديد مصير ومكان وجود المفقودين وتحديد هوية الجناة، والاستفادة من جبر الضرر الذي لحق بهما (إلى حد ما بتسليم الدولة الطرف رفات الميتين). وترى صاحبتا البلاغ أن هذا يشكل انتهاكاً مستمراً لواجب التحقيق، ينطوي على إعادة تأكيد انتهاكات ارتُكبت قبل التصديق على العهد. وتلاحظ اللجنة أيضاً تأكيد صاحبتي البلاغ أن حالتي الاختفاء القسري، وإن بدأتا قبل التصديق على العهد، ما زالتا في حد ذاتهما تشكلان انتهاكات مستمرة ومتواصلة، وأن الدولة الطرف لم تقدم إعلاناً لتقييد مسؤوليتها بمهلة زمنية عندما صدقت على البروتوكول.</w:t>
      </w:r>
    </w:p>
    <w:p w14:paraId="0A036D39" w14:textId="1F88C0E8" w:rsidR="00C66A65" w:rsidRPr="00C66A65" w:rsidRDefault="00C66A65" w:rsidP="00C66A65">
      <w:pPr>
        <w:pStyle w:val="SingleTxtGA"/>
        <w:rPr>
          <w:rFonts w:eastAsiaTheme="minorEastAsia"/>
          <w:lang w:val="fr-CH" w:eastAsia="zh-TW" w:bidi="en-GB"/>
        </w:rPr>
      </w:pPr>
      <w:r w:rsidRPr="000233B9">
        <w:rPr>
          <w:rFonts w:eastAsiaTheme="minorEastAsia"/>
          <w:rtl/>
        </w:rPr>
        <w:t>7</w:t>
      </w:r>
      <w:r w:rsidRPr="00C66A65">
        <w:rPr>
          <w:rFonts w:eastAsiaTheme="minorEastAsia"/>
          <w:rtl/>
        </w:rPr>
        <w:t>-</w:t>
      </w:r>
      <w:r w:rsidRPr="000233B9">
        <w:rPr>
          <w:rFonts w:eastAsiaTheme="minorEastAsia"/>
          <w:rtl/>
        </w:rPr>
        <w:t>6</w:t>
      </w:r>
      <w:r w:rsidRPr="00C66A65">
        <w:rPr>
          <w:rFonts w:eastAsiaTheme="minorEastAsia"/>
          <w:rtl/>
        </w:rPr>
        <w:tab/>
        <w:t xml:space="preserve">وتذكّر اللجنة بأن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xml:space="preserve">)، التي احتجت بها صاحبتا البلاغ بالاقتران مع المواد </w:t>
      </w:r>
      <w:r w:rsidRPr="000233B9">
        <w:rPr>
          <w:rFonts w:eastAsiaTheme="minorEastAsia"/>
          <w:rtl/>
        </w:rPr>
        <w:t>6</w:t>
      </w:r>
      <w:r w:rsidRPr="00C66A65">
        <w:rPr>
          <w:rFonts w:eastAsiaTheme="minorEastAsia"/>
          <w:rtl/>
        </w:rPr>
        <w:t xml:space="preserve"> و</w:t>
      </w:r>
      <w:r w:rsidRPr="000233B9">
        <w:rPr>
          <w:rFonts w:eastAsiaTheme="minorEastAsia"/>
          <w:rtl/>
        </w:rPr>
        <w:t>7</w:t>
      </w:r>
      <w:r w:rsidRPr="00C66A65">
        <w:rPr>
          <w:rFonts w:eastAsiaTheme="minorEastAsia"/>
          <w:rtl/>
        </w:rPr>
        <w:t xml:space="preserve"> و</w:t>
      </w:r>
      <w:r w:rsidRPr="000233B9">
        <w:rPr>
          <w:rFonts w:eastAsiaTheme="minorEastAsia"/>
          <w:rtl/>
        </w:rPr>
        <w:t>9</w:t>
      </w:r>
      <w:r w:rsidRPr="00C66A65">
        <w:rPr>
          <w:rFonts w:eastAsiaTheme="minorEastAsia"/>
          <w:rtl/>
        </w:rPr>
        <w:t xml:space="preserve"> و</w:t>
      </w:r>
      <w:r w:rsidRPr="000233B9">
        <w:rPr>
          <w:rFonts w:eastAsiaTheme="minorEastAsia"/>
          <w:rtl/>
        </w:rPr>
        <w:t>16</w:t>
      </w:r>
      <w:r w:rsidRPr="00C66A65">
        <w:rPr>
          <w:rFonts w:eastAsiaTheme="minorEastAsia"/>
          <w:rtl/>
        </w:rPr>
        <w:t xml:space="preserve"> من العهد، قد تؤدي في ظروف استثنائية إلى التزام مستمر بالتحقيق في الانتهاكات المتواصلة التي</w:t>
      </w:r>
      <w:r w:rsidR="00E53BF3">
        <w:rPr>
          <w:rFonts w:eastAsiaTheme="minorEastAsia" w:hint="cs"/>
          <w:rtl/>
        </w:rPr>
        <w:t> </w:t>
      </w:r>
      <w:r w:rsidRPr="00C66A65">
        <w:rPr>
          <w:rFonts w:eastAsiaTheme="minorEastAsia"/>
          <w:rtl/>
        </w:rPr>
        <w:t xml:space="preserve">وقعت قبل بدء نفاذ العهد والبروتوكول الاختياري بالنسبة للدولة الطرف (في </w:t>
      </w:r>
      <w:r w:rsidRPr="000233B9">
        <w:rPr>
          <w:rFonts w:eastAsiaTheme="minorEastAsia"/>
          <w:rtl/>
        </w:rPr>
        <w:t>27</w:t>
      </w:r>
      <w:r w:rsidRPr="00C66A65">
        <w:rPr>
          <w:rFonts w:eastAsiaTheme="minorEastAsia"/>
          <w:rtl/>
        </w:rPr>
        <w:t xml:space="preserve"> تموز/يوليه </w:t>
      </w:r>
      <w:r w:rsidRPr="000233B9">
        <w:rPr>
          <w:rFonts w:eastAsiaTheme="minorEastAsia"/>
          <w:rtl/>
        </w:rPr>
        <w:t>1977</w:t>
      </w:r>
      <w:r w:rsidRPr="00C66A65">
        <w:rPr>
          <w:rFonts w:eastAsiaTheme="minorEastAsia"/>
          <w:rtl/>
        </w:rPr>
        <w:t xml:space="preserve"> و</w:t>
      </w:r>
      <w:r w:rsidRPr="000233B9">
        <w:rPr>
          <w:rFonts w:eastAsiaTheme="minorEastAsia"/>
          <w:rtl/>
        </w:rPr>
        <w:t>25</w:t>
      </w:r>
      <w:r w:rsidRPr="00C66A65">
        <w:rPr>
          <w:rFonts w:eastAsiaTheme="minorEastAsia"/>
          <w:rtl/>
        </w:rPr>
        <w:t xml:space="preserve"> نيسان/أبريل </w:t>
      </w:r>
      <w:r w:rsidRPr="000233B9">
        <w:rPr>
          <w:rFonts w:eastAsiaTheme="minorEastAsia"/>
          <w:rtl/>
        </w:rPr>
        <w:t>1985</w:t>
      </w:r>
      <w:r w:rsidRPr="00C66A65">
        <w:rPr>
          <w:rFonts w:eastAsiaTheme="minorEastAsia"/>
          <w:rtl/>
        </w:rPr>
        <w:t>، على التوالي)</w:t>
      </w:r>
      <w:r>
        <w:rPr>
          <w:rStyle w:val="FootnoteReference"/>
          <w:rFonts w:eastAsiaTheme="minorEastAsia"/>
          <w:szCs w:val="22"/>
          <w:rtl/>
        </w:rPr>
        <w:t>(</w:t>
      </w:r>
      <w:r w:rsidRPr="000233B9">
        <w:rPr>
          <w:rStyle w:val="FootnoteReference"/>
          <w:rFonts w:eastAsiaTheme="minorEastAsia"/>
          <w:szCs w:val="22"/>
          <w:lang w:val="en-US"/>
        </w:rPr>
        <w:footnoteReference w:id="33"/>
      </w:r>
      <w:r>
        <w:rPr>
          <w:rStyle w:val="FootnoteReference"/>
          <w:rFonts w:eastAsiaTheme="minorEastAsia"/>
          <w:szCs w:val="22"/>
          <w:rtl/>
        </w:rPr>
        <w:t>)</w:t>
      </w:r>
      <w:r w:rsidRPr="00C66A65">
        <w:rPr>
          <w:rFonts w:eastAsiaTheme="minorEastAsia"/>
          <w:rtl/>
        </w:rPr>
        <w:t xml:space="preserve">، وأن حالات الاختفاء القسري قد تنطوي على هذا الأثر المستمر. ومع ذلك، تلاحظ اللجنة أن الأحداث الكامنة وراء الانتهاك المزعوم للمواد </w:t>
      </w:r>
      <w:r w:rsidRPr="000233B9">
        <w:rPr>
          <w:rFonts w:eastAsiaTheme="minorEastAsia"/>
          <w:rtl/>
        </w:rPr>
        <w:t>6</w:t>
      </w:r>
      <w:r w:rsidRPr="00C66A65">
        <w:rPr>
          <w:rFonts w:eastAsiaTheme="minorEastAsia"/>
          <w:rtl/>
        </w:rPr>
        <w:t xml:space="preserve"> و</w:t>
      </w:r>
      <w:r w:rsidRPr="000233B9">
        <w:rPr>
          <w:rFonts w:eastAsiaTheme="minorEastAsia"/>
          <w:rtl/>
        </w:rPr>
        <w:t>7</w:t>
      </w:r>
      <w:r w:rsidRPr="00C66A65">
        <w:rPr>
          <w:rFonts w:eastAsiaTheme="minorEastAsia"/>
          <w:rtl/>
        </w:rPr>
        <w:t xml:space="preserve"> و</w:t>
      </w:r>
      <w:r w:rsidRPr="000233B9">
        <w:rPr>
          <w:rFonts w:eastAsiaTheme="minorEastAsia"/>
          <w:rtl/>
        </w:rPr>
        <w:t>9</w:t>
      </w:r>
      <w:r w:rsidRPr="00C66A65">
        <w:rPr>
          <w:rFonts w:eastAsiaTheme="minorEastAsia"/>
          <w:rtl/>
        </w:rPr>
        <w:t xml:space="preserve"> و</w:t>
      </w:r>
      <w:r w:rsidRPr="000233B9">
        <w:rPr>
          <w:rFonts w:eastAsiaTheme="minorEastAsia"/>
          <w:rtl/>
        </w:rPr>
        <w:t>16</w:t>
      </w:r>
      <w:r w:rsidRPr="00C66A65">
        <w:rPr>
          <w:rFonts w:eastAsiaTheme="minorEastAsia"/>
          <w:rtl/>
        </w:rPr>
        <w:t xml:space="preserve"> فيما يتعلق بقريبي صاحبتي البلاغ وقعت في عام </w:t>
      </w:r>
      <w:r w:rsidRPr="000233B9">
        <w:rPr>
          <w:rFonts w:eastAsiaTheme="minorEastAsia"/>
          <w:rtl/>
        </w:rPr>
        <w:t>1936</w:t>
      </w:r>
      <w:r w:rsidRPr="00C66A65">
        <w:rPr>
          <w:rFonts w:eastAsiaTheme="minorEastAsia"/>
          <w:rtl/>
        </w:rPr>
        <w:t xml:space="preserve">، أي قبل </w:t>
      </w:r>
      <w:r w:rsidRPr="000233B9">
        <w:rPr>
          <w:rFonts w:eastAsiaTheme="minorEastAsia"/>
          <w:rtl/>
        </w:rPr>
        <w:t>41</w:t>
      </w:r>
      <w:r w:rsidRPr="00C66A65">
        <w:rPr>
          <w:rFonts w:eastAsiaTheme="minorEastAsia"/>
          <w:rtl/>
        </w:rPr>
        <w:t xml:space="preserve"> عاماً من بدء نفاذ العهد بالنسبة للدولة الطرف، وقبل </w:t>
      </w:r>
      <w:r w:rsidRPr="000233B9">
        <w:rPr>
          <w:rFonts w:eastAsiaTheme="minorEastAsia"/>
          <w:rtl/>
        </w:rPr>
        <w:t>49</w:t>
      </w:r>
      <w:r w:rsidRPr="00C66A65">
        <w:rPr>
          <w:rFonts w:eastAsiaTheme="minorEastAsia"/>
          <w:rtl/>
        </w:rPr>
        <w:t xml:space="preserve"> عاماً من بدء نفاذ البروتوكول الاختياري. وتلاحظ كذلك أن الالتزام بموجب المواد </w:t>
      </w:r>
      <w:r w:rsidRPr="000233B9">
        <w:rPr>
          <w:rFonts w:eastAsiaTheme="minorEastAsia"/>
          <w:rtl/>
        </w:rPr>
        <w:t>6</w:t>
      </w:r>
      <w:r w:rsidRPr="00C66A65">
        <w:rPr>
          <w:rFonts w:eastAsiaTheme="minorEastAsia"/>
          <w:rtl/>
        </w:rPr>
        <w:t xml:space="preserve"> و</w:t>
      </w:r>
      <w:r w:rsidRPr="000233B9">
        <w:rPr>
          <w:rFonts w:eastAsiaTheme="minorEastAsia"/>
          <w:rtl/>
        </w:rPr>
        <w:t>7</w:t>
      </w:r>
      <w:r w:rsidRPr="00C66A65">
        <w:rPr>
          <w:rFonts w:eastAsiaTheme="minorEastAsia"/>
          <w:rtl/>
        </w:rPr>
        <w:t xml:space="preserve"> و</w:t>
      </w:r>
      <w:r w:rsidRPr="000233B9">
        <w:rPr>
          <w:rFonts w:eastAsiaTheme="minorEastAsia"/>
          <w:rtl/>
        </w:rPr>
        <w:t>9</w:t>
      </w:r>
      <w:r w:rsidRPr="00C66A65">
        <w:rPr>
          <w:rFonts w:eastAsiaTheme="minorEastAsia"/>
          <w:rtl/>
        </w:rPr>
        <w:t xml:space="preserve"> و</w:t>
      </w:r>
      <w:r w:rsidRPr="000233B9">
        <w:rPr>
          <w:rFonts w:eastAsiaTheme="minorEastAsia"/>
          <w:rtl/>
        </w:rPr>
        <w:t>16</w:t>
      </w:r>
      <w:r w:rsidRPr="00C66A65">
        <w:rPr>
          <w:rFonts w:eastAsiaTheme="minorEastAsia"/>
          <w:rtl/>
        </w:rPr>
        <w:t xml:space="preserve">،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xml:space="preserve">)، لم يكن سارياً قبل بدء نفاذ العهد بالنسبة للدولة الطرف في عام </w:t>
      </w:r>
      <w:r w:rsidRPr="000233B9">
        <w:rPr>
          <w:rFonts w:eastAsiaTheme="minorEastAsia"/>
          <w:rtl/>
        </w:rPr>
        <w:t>1977</w:t>
      </w:r>
      <w:r w:rsidRPr="00C66A65">
        <w:rPr>
          <w:rFonts w:eastAsiaTheme="minorEastAsia"/>
          <w:rtl/>
        </w:rPr>
        <w:t xml:space="preserve">، ولا يمكن أن يكون موضوع إجراءات بلاغ فردي قبل عام </w:t>
      </w:r>
      <w:r w:rsidRPr="000233B9">
        <w:rPr>
          <w:rFonts w:eastAsiaTheme="minorEastAsia"/>
          <w:rtl/>
        </w:rPr>
        <w:t>1985</w:t>
      </w:r>
      <w:r>
        <w:rPr>
          <w:rStyle w:val="FootnoteReference"/>
          <w:rFonts w:eastAsiaTheme="minorEastAsia"/>
          <w:szCs w:val="22"/>
          <w:rtl/>
        </w:rPr>
        <w:t>(</w:t>
      </w:r>
      <w:r w:rsidRPr="000233B9">
        <w:rPr>
          <w:rStyle w:val="FootnoteReference"/>
          <w:rFonts w:eastAsiaTheme="minorEastAsia"/>
          <w:szCs w:val="22"/>
          <w:lang w:val="en-US"/>
        </w:rPr>
        <w:footnoteReference w:id="34"/>
      </w:r>
      <w:r>
        <w:rPr>
          <w:rStyle w:val="FootnoteReference"/>
          <w:rFonts w:eastAsiaTheme="minorEastAsia"/>
          <w:szCs w:val="22"/>
          <w:rtl/>
        </w:rPr>
        <w:t>)</w:t>
      </w:r>
      <w:r w:rsidRPr="00C66A65">
        <w:rPr>
          <w:rFonts w:eastAsiaTheme="minorEastAsia"/>
          <w:rtl/>
        </w:rPr>
        <w:t>. وترى اللجنة أن من غير المعقول، في هذه الظروف الخاصة، حيث وقعت الأحداث الرئيسية الكامنة وراء الانتهاك المعني منذ</w:t>
      </w:r>
      <w:r w:rsidR="00F06572">
        <w:rPr>
          <w:rFonts w:eastAsiaTheme="minorEastAsia" w:hint="cs"/>
          <w:rtl/>
        </w:rPr>
        <w:t> </w:t>
      </w:r>
      <w:r w:rsidRPr="00C66A65">
        <w:rPr>
          <w:rFonts w:eastAsiaTheme="minorEastAsia"/>
          <w:rtl/>
        </w:rPr>
        <w:t>زمن بعيد، حتى قبل توحيد القانون الدولي الحديث لحقوق الإنسان، أن تَعتبر تصديق الدولة الطرف على العهد إجراءً يوقع على عاتقها واجباً فعلياً يقتضي منها التحقيق في حالات الاختفاء القسري التي حدثت في الماضي البعيد جداً. ولذلك، ونظراً لمرور وقت طويل على الأحداث الرئيسية موضوع الشكوى (التي</w:t>
      </w:r>
      <w:r w:rsidR="00BF67DB">
        <w:rPr>
          <w:rFonts w:eastAsiaTheme="minorEastAsia" w:hint="cs"/>
          <w:rtl/>
        </w:rPr>
        <w:t> </w:t>
      </w:r>
      <w:r w:rsidRPr="00C66A65">
        <w:rPr>
          <w:rFonts w:eastAsiaTheme="minorEastAsia"/>
          <w:rtl/>
        </w:rPr>
        <w:t xml:space="preserve">وقعت قبل </w:t>
      </w:r>
      <w:r w:rsidRPr="000233B9">
        <w:rPr>
          <w:rFonts w:eastAsiaTheme="minorEastAsia"/>
          <w:rtl/>
        </w:rPr>
        <w:t>85</w:t>
      </w:r>
      <w:r w:rsidRPr="00C66A65">
        <w:rPr>
          <w:rFonts w:eastAsiaTheme="minorEastAsia"/>
          <w:rtl/>
        </w:rPr>
        <w:t xml:space="preserve"> عاماً تقريباً) وعدم وجود اعتراف واضح من السلطات القضائية بانتهاك حقوق قريبي </w:t>
      </w:r>
      <w:r w:rsidRPr="00C66A65">
        <w:rPr>
          <w:rFonts w:eastAsiaTheme="minorEastAsia"/>
          <w:rtl/>
        </w:rPr>
        <w:lastRenderedPageBreak/>
        <w:t xml:space="preserve">صاحبتي البلاغ بعد عام </w:t>
      </w:r>
      <w:r w:rsidRPr="000233B9">
        <w:rPr>
          <w:rFonts w:eastAsiaTheme="minorEastAsia"/>
          <w:rtl/>
        </w:rPr>
        <w:t>1985</w:t>
      </w:r>
      <w:r>
        <w:rPr>
          <w:rStyle w:val="FootnoteReference"/>
          <w:rFonts w:eastAsiaTheme="minorEastAsia"/>
          <w:szCs w:val="22"/>
          <w:rtl/>
        </w:rPr>
        <w:t>(</w:t>
      </w:r>
      <w:r w:rsidRPr="000233B9">
        <w:rPr>
          <w:rStyle w:val="FootnoteReference"/>
          <w:rFonts w:eastAsiaTheme="minorEastAsia"/>
          <w:szCs w:val="22"/>
          <w:lang w:val="en-US"/>
        </w:rPr>
        <w:footnoteReference w:id="35"/>
      </w:r>
      <w:r>
        <w:rPr>
          <w:rStyle w:val="FootnoteReference"/>
          <w:rFonts w:eastAsiaTheme="minorEastAsia"/>
          <w:szCs w:val="22"/>
          <w:rtl/>
        </w:rPr>
        <w:t>)</w:t>
      </w:r>
      <w:r w:rsidRPr="00C66A65">
        <w:rPr>
          <w:rFonts w:eastAsiaTheme="minorEastAsia"/>
          <w:rtl/>
        </w:rPr>
        <w:t xml:space="preserve">، لا يمكن للجنة أن تستنتج أن لها اختصاصاً للبت في وقوع انتهاك، على الرغم من وجود آثار مستمرة ناجمة عن الأحداث التي وقعت في عام </w:t>
      </w:r>
      <w:r w:rsidRPr="000233B9">
        <w:rPr>
          <w:rFonts w:eastAsiaTheme="minorEastAsia"/>
          <w:rtl/>
        </w:rPr>
        <w:t>1936</w:t>
      </w:r>
      <w:r>
        <w:rPr>
          <w:rStyle w:val="FootnoteReference"/>
          <w:rFonts w:eastAsiaTheme="minorEastAsia"/>
          <w:szCs w:val="22"/>
          <w:rtl/>
        </w:rPr>
        <w:t>(</w:t>
      </w:r>
      <w:r w:rsidRPr="000233B9">
        <w:rPr>
          <w:rStyle w:val="FootnoteReference"/>
          <w:rFonts w:eastAsiaTheme="minorEastAsia"/>
          <w:szCs w:val="22"/>
          <w:lang w:val="en-US"/>
        </w:rPr>
        <w:footnoteReference w:id="36"/>
      </w:r>
      <w:r>
        <w:rPr>
          <w:rStyle w:val="FootnoteReference"/>
          <w:rFonts w:eastAsiaTheme="minorEastAsia"/>
          <w:szCs w:val="22"/>
          <w:rtl/>
        </w:rPr>
        <w:t>)</w:t>
      </w:r>
      <w:r w:rsidRPr="00C66A65">
        <w:rPr>
          <w:rFonts w:eastAsiaTheme="minorEastAsia"/>
          <w:rtl/>
        </w:rPr>
        <w:t>.</w:t>
      </w:r>
    </w:p>
    <w:p w14:paraId="4081EA11" w14:textId="46DF8B95" w:rsidR="00C66A65" w:rsidRPr="00C66A65" w:rsidRDefault="00C66A65" w:rsidP="00C66A65">
      <w:pPr>
        <w:pStyle w:val="SingleTxtGA"/>
        <w:rPr>
          <w:rFonts w:eastAsiaTheme="minorEastAsia"/>
          <w:lang w:val="ar-SA" w:eastAsia="zh-TW" w:bidi="en-GB"/>
        </w:rPr>
      </w:pPr>
      <w:r w:rsidRPr="000233B9">
        <w:rPr>
          <w:rFonts w:eastAsiaTheme="minorEastAsia"/>
          <w:rtl/>
        </w:rPr>
        <w:t>7</w:t>
      </w:r>
      <w:r w:rsidRPr="00C66A65">
        <w:rPr>
          <w:rFonts w:eastAsiaTheme="minorEastAsia"/>
          <w:rtl/>
        </w:rPr>
        <w:t>-</w:t>
      </w:r>
      <w:r w:rsidRPr="000233B9">
        <w:rPr>
          <w:rFonts w:eastAsiaTheme="minorEastAsia"/>
          <w:rtl/>
        </w:rPr>
        <w:t>7</w:t>
      </w:r>
      <w:r w:rsidRPr="00C66A65">
        <w:rPr>
          <w:rFonts w:eastAsiaTheme="minorEastAsia"/>
          <w:rtl/>
        </w:rPr>
        <w:tab/>
        <w:t xml:space="preserve">إضافة إلى ذلك، ترى اللجنة أن صاحبتي البلاغ لم تشرحا شرحاً وافياً سبب عدم تقديم شكواهما إلى اللجنة في عام </w:t>
      </w:r>
      <w:r w:rsidRPr="000233B9">
        <w:rPr>
          <w:rFonts w:eastAsiaTheme="minorEastAsia"/>
          <w:rtl/>
        </w:rPr>
        <w:t>1985</w:t>
      </w:r>
      <w:r w:rsidRPr="00C66A65">
        <w:rPr>
          <w:rFonts w:eastAsiaTheme="minorEastAsia"/>
          <w:rtl/>
        </w:rPr>
        <w:t>، بعد تصديق إسبانيا على البروتوكول الاختياري، أو بدلاً من ذلك، سبب تقديم</w:t>
      </w:r>
      <w:r w:rsidR="00BF67DB">
        <w:rPr>
          <w:rFonts w:eastAsiaTheme="minorEastAsia" w:hint="cs"/>
          <w:rtl/>
        </w:rPr>
        <w:t> </w:t>
      </w:r>
      <w:r w:rsidRPr="00C66A65">
        <w:rPr>
          <w:rFonts w:eastAsiaTheme="minorEastAsia"/>
          <w:rtl/>
        </w:rPr>
        <w:t xml:space="preserve">طلبهما بعد أكثر من ثماني سنوات من رفض طلبهما المتعلق بالحماية الدستورية في </w:t>
      </w:r>
      <w:r w:rsidRPr="000233B9">
        <w:rPr>
          <w:rFonts w:eastAsiaTheme="minorEastAsia"/>
          <w:rtl/>
        </w:rPr>
        <w:t>9</w:t>
      </w:r>
      <w:r w:rsidRPr="00C66A65">
        <w:rPr>
          <w:rFonts w:eastAsiaTheme="minorEastAsia"/>
          <w:rtl/>
        </w:rPr>
        <w:t xml:space="preserve"> أيلول/</w:t>
      </w:r>
      <w:r w:rsidR="00D97807">
        <w:rPr>
          <w:rFonts w:eastAsiaTheme="minorEastAsia" w:hint="cs"/>
          <w:rtl/>
        </w:rPr>
        <w:t xml:space="preserve"> </w:t>
      </w:r>
      <w:r w:rsidRPr="00C66A65">
        <w:rPr>
          <w:rFonts w:eastAsiaTheme="minorEastAsia"/>
          <w:rtl/>
        </w:rPr>
        <w:t xml:space="preserve">سبتمبر </w:t>
      </w:r>
      <w:r w:rsidRPr="000233B9">
        <w:rPr>
          <w:rFonts w:eastAsiaTheme="minorEastAsia"/>
          <w:rtl/>
        </w:rPr>
        <w:t>2010</w:t>
      </w:r>
      <w:r w:rsidRPr="00C66A65">
        <w:rPr>
          <w:rFonts w:eastAsiaTheme="minorEastAsia"/>
          <w:rtl/>
        </w:rPr>
        <w:t xml:space="preserve">. وحسب اللجنة، فحتى البلاغات التي تدّعي حدوث حالات اختفاء قسري لا ينبغي أن تُقدَّم بعد تأخير طويل جداً أو غير مبرر من جانب أصحاب البلاغ ما دام هؤلاء قد علموا، أو كان ينبغي أن يعلموا، بأن السلطات لم تُجر أي تحقيق أو بأنها تقاعست عن التحقيق أو بأن التحقيق أصبح غير فعال، وما دامت كلتا الحالتين لا تنطوي على أي احتمال واقعي بإجراء تحقيق فعال في المستقبل لتسليط الضوء على مصير الضحايا والمجرمين المحتملين ومكان وجود الرفات، نظراً لمرور </w:t>
      </w:r>
      <w:r w:rsidRPr="000233B9">
        <w:rPr>
          <w:rFonts w:eastAsiaTheme="minorEastAsia"/>
          <w:rtl/>
        </w:rPr>
        <w:t>85</w:t>
      </w:r>
      <w:r w:rsidRPr="00C66A65">
        <w:rPr>
          <w:rFonts w:eastAsiaTheme="minorEastAsia"/>
          <w:rtl/>
        </w:rPr>
        <w:t xml:space="preserve"> عاماً حتى الآن على وقوع الأحداث</w:t>
      </w:r>
      <w:r>
        <w:rPr>
          <w:rStyle w:val="FootnoteReference"/>
          <w:rFonts w:eastAsiaTheme="minorEastAsia"/>
          <w:szCs w:val="22"/>
          <w:rtl/>
        </w:rPr>
        <w:t>(</w:t>
      </w:r>
      <w:r w:rsidRPr="000233B9">
        <w:rPr>
          <w:rStyle w:val="FootnoteReference"/>
          <w:rFonts w:eastAsiaTheme="minorEastAsia"/>
          <w:szCs w:val="22"/>
          <w:lang w:val="en-US"/>
        </w:rPr>
        <w:footnoteReference w:id="37"/>
      </w:r>
      <w:r>
        <w:rPr>
          <w:rStyle w:val="FootnoteReference"/>
          <w:rFonts w:eastAsiaTheme="minorEastAsia"/>
          <w:szCs w:val="22"/>
          <w:rtl/>
        </w:rPr>
        <w:t>)</w:t>
      </w:r>
      <w:r w:rsidRPr="00C66A65">
        <w:rPr>
          <w:rFonts w:eastAsiaTheme="minorEastAsia"/>
          <w:rtl/>
        </w:rPr>
        <w:t>. وعلى الرغم من أن اللجنة تعترف بشدة معاناة صاحبتي البلاغ وكربهما وإجهادهما من جراء اختفاء قريبيهما قسراً، ومن جراء موقف اللامبالاة الذي أبدته الدولة الطرف إزاء طلباتهما المتكررة</w:t>
      </w:r>
      <w:r w:rsidR="00D97807">
        <w:rPr>
          <w:rFonts w:eastAsiaTheme="minorEastAsia" w:hint="cs"/>
          <w:rtl/>
        </w:rPr>
        <w:t> </w:t>
      </w:r>
      <w:r w:rsidRPr="00C66A65">
        <w:rPr>
          <w:rFonts w:eastAsiaTheme="minorEastAsia"/>
          <w:rtl/>
        </w:rPr>
        <w:t>للوصول إلى الحقيقة والعدالة لعدة عقود بعد اختفاء قريبيهما، فإنها ترى أن تأخر تقديم البلاغ لا</w:t>
      </w:r>
      <w:r w:rsidR="00D97807">
        <w:rPr>
          <w:rFonts w:eastAsiaTheme="minorEastAsia" w:hint="cs"/>
          <w:rtl/>
        </w:rPr>
        <w:t> </w:t>
      </w:r>
      <w:r w:rsidRPr="00C66A65">
        <w:rPr>
          <w:rFonts w:eastAsiaTheme="minorEastAsia"/>
          <w:rtl/>
        </w:rPr>
        <w:t>يتفق مع</w:t>
      </w:r>
      <w:r w:rsidR="00D97807">
        <w:rPr>
          <w:rFonts w:eastAsiaTheme="minorEastAsia" w:hint="cs"/>
          <w:rtl/>
        </w:rPr>
        <w:t> </w:t>
      </w:r>
      <w:r w:rsidRPr="00C66A65">
        <w:rPr>
          <w:rFonts w:eastAsiaTheme="minorEastAsia"/>
          <w:rtl/>
        </w:rPr>
        <w:t xml:space="preserve">شروط </w:t>
      </w:r>
      <w:r w:rsidRPr="000233B9">
        <w:rPr>
          <w:rFonts w:eastAsiaTheme="minorEastAsia"/>
          <w:i/>
          <w:iCs/>
          <w:rtl/>
        </w:rPr>
        <w:t>الاختصاص الزمني</w:t>
      </w:r>
      <w:r w:rsidRPr="00C66A65">
        <w:rPr>
          <w:rFonts w:eastAsiaTheme="minorEastAsia"/>
          <w:rtl/>
        </w:rPr>
        <w:t xml:space="preserve"> المنصوص عليها في المادة </w:t>
      </w:r>
      <w:r w:rsidRPr="000233B9">
        <w:rPr>
          <w:rFonts w:eastAsiaTheme="minorEastAsia"/>
          <w:rtl/>
        </w:rPr>
        <w:t>99</w:t>
      </w:r>
      <w:r w:rsidRPr="00C66A65">
        <w:rPr>
          <w:rFonts w:eastAsiaTheme="minorEastAsia"/>
          <w:rtl/>
        </w:rPr>
        <w:t xml:space="preserve"> من نظامها الداخلي، وتعتبره من ثم غير</w:t>
      </w:r>
      <w:r w:rsidR="003C0B55">
        <w:rPr>
          <w:rFonts w:eastAsiaTheme="minorEastAsia" w:hint="cs"/>
          <w:rtl/>
        </w:rPr>
        <w:t xml:space="preserve"> </w:t>
      </w:r>
      <w:r w:rsidRPr="00C66A65">
        <w:rPr>
          <w:rFonts w:eastAsiaTheme="minorEastAsia"/>
          <w:rtl/>
        </w:rPr>
        <w:t>مقبول.</w:t>
      </w:r>
    </w:p>
    <w:p w14:paraId="52FD5728"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7</w:t>
      </w:r>
      <w:r w:rsidRPr="00C66A65">
        <w:rPr>
          <w:rFonts w:eastAsiaTheme="minorEastAsia"/>
          <w:rtl/>
        </w:rPr>
        <w:t>-</w:t>
      </w:r>
      <w:r w:rsidRPr="000233B9">
        <w:rPr>
          <w:rFonts w:eastAsiaTheme="minorEastAsia"/>
          <w:rtl/>
        </w:rPr>
        <w:t>8</w:t>
      </w:r>
      <w:r w:rsidRPr="00C66A65">
        <w:rPr>
          <w:rFonts w:eastAsiaTheme="minorEastAsia"/>
          <w:rtl/>
        </w:rPr>
        <w:tab/>
        <w:t xml:space="preserve">وفيما يتعلق بادعاء صاحبتي البلاغ استمرار انتهاك حقوقهما بموجب المادة </w:t>
      </w:r>
      <w:r w:rsidRPr="000233B9">
        <w:rPr>
          <w:rFonts w:eastAsiaTheme="minorEastAsia"/>
          <w:rtl/>
        </w:rPr>
        <w:t>7</w:t>
      </w:r>
      <w:r w:rsidRPr="00C66A65">
        <w:rPr>
          <w:rFonts w:eastAsiaTheme="minorEastAsia"/>
          <w:rtl/>
        </w:rPr>
        <w:t xml:space="preserve"> من العهد،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بسبب شدة المعاناة والكرب والإجهاد من جراء اختفاء قريبيهما قسراً، ومن جراء موقف اللامبالاة الذي أبدته الدولة الطرف إزاء طلباتهما المتكررة للوصول إلى الحقيقة والعدالة، ترى اللجنة أن صاحبتي البلاغ لم تثبتا أن هذا الادعاء قد أثير أمام السلطات المحلية. ومن ثم ترى أن سبل الانتصاف المحلية لم تُستنفد.</w:t>
      </w:r>
    </w:p>
    <w:p w14:paraId="5C057039"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8</w:t>
      </w:r>
      <w:r w:rsidRPr="00C66A65">
        <w:rPr>
          <w:rFonts w:eastAsiaTheme="minorEastAsia"/>
          <w:rtl/>
        </w:rPr>
        <w:t>-</w:t>
      </w:r>
      <w:r w:rsidRPr="00C66A65">
        <w:rPr>
          <w:rFonts w:eastAsiaTheme="minorEastAsia"/>
          <w:rtl/>
        </w:rPr>
        <w:tab/>
        <w:t>وفي ضوء ما تقدم، تقرر اللجنة المعنية بحقوق الإنسان ما يلي:</w:t>
      </w:r>
      <w:r w:rsidRPr="00C66A65">
        <w:rPr>
          <w:rFonts w:eastAsiaTheme="minorEastAsia" w:cs="Times New Roman" w:hint="cs"/>
          <w:rtl/>
        </w:rPr>
        <w:t>‬</w:t>
      </w:r>
    </w:p>
    <w:p w14:paraId="57AF1A9D" w14:textId="77777777" w:rsidR="00C66A65" w:rsidRPr="00C66A65" w:rsidRDefault="00C66A65" w:rsidP="00C66A65">
      <w:pPr>
        <w:pStyle w:val="SingleTxtGA"/>
        <w:rPr>
          <w:rFonts w:eastAsiaTheme="minorEastAsia"/>
          <w:lang w:val="ar-SA" w:eastAsia="zh-TW" w:bidi="en-GB"/>
        </w:rPr>
      </w:pPr>
      <w:r w:rsidRPr="00C66A65">
        <w:rPr>
          <w:rFonts w:eastAsiaTheme="minorEastAsia"/>
          <w:rtl/>
        </w:rPr>
        <w:tab/>
        <w:t>(أ)</w:t>
      </w:r>
      <w:r w:rsidRPr="00C66A65">
        <w:rPr>
          <w:rFonts w:eastAsiaTheme="minorEastAsia"/>
          <w:rtl/>
        </w:rPr>
        <w:tab/>
        <w:t xml:space="preserve">اعتبار البلاغ غير مقبول من حيث </w:t>
      </w:r>
      <w:r w:rsidRPr="00315B29">
        <w:rPr>
          <w:rFonts w:eastAsiaTheme="minorEastAsia"/>
          <w:i/>
          <w:iCs/>
          <w:rtl/>
        </w:rPr>
        <w:t xml:space="preserve">الاختصاص الزمني </w:t>
      </w:r>
      <w:r w:rsidRPr="00C66A65">
        <w:rPr>
          <w:rFonts w:eastAsiaTheme="minorEastAsia"/>
          <w:rtl/>
        </w:rPr>
        <w:t xml:space="preserve">بموجب المادتين </w:t>
      </w:r>
      <w:r w:rsidRPr="000233B9">
        <w:rPr>
          <w:rFonts w:eastAsiaTheme="minorEastAsia"/>
          <w:rtl/>
        </w:rPr>
        <w:t>1</w:t>
      </w:r>
      <w:r w:rsidRPr="00C66A65">
        <w:rPr>
          <w:rFonts w:eastAsiaTheme="minorEastAsia"/>
          <w:rtl/>
        </w:rPr>
        <w:t xml:space="preserve"> و</w:t>
      </w:r>
      <w:r w:rsidRPr="000233B9">
        <w:rPr>
          <w:rFonts w:eastAsiaTheme="minorEastAsia"/>
          <w:rtl/>
        </w:rPr>
        <w:t>5</w:t>
      </w:r>
      <w:r w:rsidRPr="00C66A65">
        <w:rPr>
          <w:rFonts w:eastAsiaTheme="minorEastAsia"/>
          <w:rtl/>
        </w:rPr>
        <w:t>(</w:t>
      </w:r>
      <w:r w:rsidRPr="000233B9">
        <w:rPr>
          <w:rFonts w:eastAsiaTheme="minorEastAsia"/>
          <w:rtl/>
        </w:rPr>
        <w:t>2</w:t>
      </w:r>
      <w:r w:rsidRPr="00C66A65">
        <w:rPr>
          <w:rFonts w:eastAsiaTheme="minorEastAsia"/>
          <w:rtl/>
        </w:rPr>
        <w:t xml:space="preserve">)(ب) من البروتوكول الاختياري؛ </w:t>
      </w:r>
    </w:p>
    <w:p w14:paraId="739CE60E" w14:textId="77777777" w:rsidR="00C66A65" w:rsidRPr="00C66A65" w:rsidRDefault="00C66A65" w:rsidP="00C66A65">
      <w:pPr>
        <w:pStyle w:val="SingleTxtGA"/>
        <w:rPr>
          <w:rFonts w:eastAsiaTheme="minorEastAsia"/>
          <w:lang w:val="ar-SA" w:eastAsia="zh-TW" w:bidi="en-GB"/>
        </w:rPr>
      </w:pPr>
      <w:r w:rsidRPr="00C66A65">
        <w:rPr>
          <w:rFonts w:eastAsiaTheme="minorEastAsia"/>
          <w:rtl/>
        </w:rPr>
        <w:tab/>
        <w:t>(ب)</w:t>
      </w:r>
      <w:r w:rsidRPr="00C66A65">
        <w:rPr>
          <w:rFonts w:eastAsiaTheme="minorEastAsia"/>
          <w:rtl/>
        </w:rPr>
        <w:tab/>
        <w:t>إحالة هذا القرار إلى الدولة الطرف وصاحبتي البلاغ.</w:t>
      </w:r>
    </w:p>
    <w:p w14:paraId="5F2F62E8" w14:textId="79672158" w:rsidR="00C66A65" w:rsidRPr="000233B9" w:rsidRDefault="00C66A65" w:rsidP="00A67F09">
      <w:pPr>
        <w:pStyle w:val="HChGA"/>
        <w:pageBreakBefore/>
        <w:spacing w:before="120"/>
        <w:rPr>
          <w:lang w:val="en-US" w:eastAsia="zh-TW" w:bidi="ar-DZ"/>
        </w:rPr>
      </w:pPr>
      <w:r w:rsidRPr="000233B9">
        <w:rPr>
          <w:rtl/>
        </w:rPr>
        <w:lastRenderedPageBreak/>
        <w:t>المرفق الأول</w:t>
      </w:r>
    </w:p>
    <w:p w14:paraId="37F24DA0" w14:textId="77777777" w:rsidR="00C66A65" w:rsidRPr="000233B9" w:rsidRDefault="00C66A65" w:rsidP="00C66A65">
      <w:pPr>
        <w:pStyle w:val="HChGA"/>
        <w:rPr>
          <w:lang w:val="ar-SA" w:eastAsia="zh-TW" w:bidi="en-GB"/>
        </w:rPr>
      </w:pPr>
      <w:r w:rsidRPr="000233B9">
        <w:rPr>
          <w:rtl/>
        </w:rPr>
        <w:tab/>
      </w:r>
      <w:r w:rsidRPr="000233B9">
        <w:rPr>
          <w:rtl/>
        </w:rPr>
        <w:tab/>
        <w:t xml:space="preserve">رأي مشترك (متفق) لأعضاء اللجنة ديفيد ه. مور </w:t>
      </w:r>
      <w:proofErr w:type="spellStart"/>
      <w:r w:rsidRPr="000233B9">
        <w:rPr>
          <w:rtl/>
        </w:rPr>
        <w:t>وفاسيلكا</w:t>
      </w:r>
      <w:proofErr w:type="spellEnd"/>
      <w:r w:rsidRPr="000233B9">
        <w:rPr>
          <w:rtl/>
        </w:rPr>
        <w:t xml:space="preserve"> </w:t>
      </w:r>
      <w:proofErr w:type="spellStart"/>
      <w:r w:rsidRPr="000233B9">
        <w:rPr>
          <w:rtl/>
        </w:rPr>
        <w:t>سانسين</w:t>
      </w:r>
      <w:proofErr w:type="spellEnd"/>
      <w:r w:rsidRPr="000233B9">
        <w:rPr>
          <w:rtl/>
        </w:rPr>
        <w:t xml:space="preserve"> وخوسيه مانويل سانتوس بيس </w:t>
      </w:r>
      <w:proofErr w:type="spellStart"/>
      <w:r w:rsidRPr="000233B9">
        <w:rPr>
          <w:rtl/>
        </w:rPr>
        <w:t>وجينتيان</w:t>
      </w:r>
      <w:proofErr w:type="spellEnd"/>
      <w:r w:rsidRPr="000233B9">
        <w:rPr>
          <w:rtl/>
        </w:rPr>
        <w:t xml:space="preserve"> زبيري</w:t>
      </w:r>
    </w:p>
    <w:p w14:paraId="6598C9D1"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1</w:t>
      </w:r>
      <w:r w:rsidRPr="00C66A65">
        <w:rPr>
          <w:rFonts w:eastAsiaTheme="minorEastAsia"/>
          <w:rtl/>
        </w:rPr>
        <w:t>-</w:t>
      </w:r>
      <w:r w:rsidRPr="00C66A65">
        <w:rPr>
          <w:rFonts w:eastAsiaTheme="minorEastAsia"/>
          <w:rtl/>
        </w:rPr>
        <w:tab/>
        <w:t>نؤيد آراء اللجنة أن من غير المعقول تفسير التزامات الدول الأطراف بموجب البروتوكول الاختياري بأنها تسمح باستعراض حوادث مأساوية وقعت قبل مدة طويلة من اعتماد العهد (</w:t>
      </w:r>
      <w:r w:rsidRPr="000233B9">
        <w:rPr>
          <w:rFonts w:eastAsiaTheme="minorEastAsia"/>
          <w:rtl/>
        </w:rPr>
        <w:t>41</w:t>
      </w:r>
      <w:r w:rsidRPr="00C66A65">
        <w:rPr>
          <w:rFonts w:eastAsiaTheme="minorEastAsia"/>
          <w:rtl/>
        </w:rPr>
        <w:t xml:space="preserve"> عاماً) والبروتوكول الاختياري (</w:t>
      </w:r>
      <w:r w:rsidRPr="000233B9">
        <w:rPr>
          <w:rFonts w:eastAsiaTheme="minorEastAsia"/>
          <w:rtl/>
        </w:rPr>
        <w:t>49</w:t>
      </w:r>
      <w:r w:rsidRPr="00C66A65">
        <w:rPr>
          <w:rFonts w:eastAsiaTheme="minorEastAsia"/>
          <w:rtl/>
        </w:rPr>
        <w:t xml:space="preserve"> عاماً)، وأنه كان ينبغي لصاحبتي البلاغ بذل قدر معين من العناية في تقديم طلباتهما إلى اللجنة من دون تأخير شديد بعد تصديق إسبانيا على البروتوكول الاختياري، على الرغم من الطابع المستمر لجريمة الاختفاء القسري.</w:t>
      </w:r>
    </w:p>
    <w:p w14:paraId="318336D6" w14:textId="77777777" w:rsidR="00C66A65" w:rsidRPr="00C66A65" w:rsidRDefault="00C66A65" w:rsidP="00C66A65">
      <w:pPr>
        <w:pStyle w:val="SingleTxtGA"/>
        <w:rPr>
          <w:rFonts w:eastAsiaTheme="minorEastAsia"/>
          <w:lang w:val="en-US" w:eastAsia="zh-TW" w:bidi="en-GB"/>
        </w:rPr>
      </w:pPr>
      <w:r w:rsidRPr="000233B9">
        <w:rPr>
          <w:rFonts w:eastAsiaTheme="minorEastAsia"/>
          <w:rtl/>
        </w:rPr>
        <w:t>2</w:t>
      </w:r>
      <w:r w:rsidRPr="00C66A65">
        <w:rPr>
          <w:rFonts w:eastAsiaTheme="minorEastAsia"/>
          <w:rtl/>
        </w:rPr>
        <w:t>-</w:t>
      </w:r>
      <w:r w:rsidRPr="00C66A65">
        <w:rPr>
          <w:rFonts w:eastAsiaTheme="minorEastAsia"/>
          <w:rtl/>
        </w:rPr>
        <w:tab/>
        <w:t>ونود أن نؤكد أن أدوات تقصي الحقائق المتاحة للجنة لا تسمح لها بأن تثبت بالفعل الحقيقة التاريخية بشأن الأحداث التي وقعت، كما في هذه القضية، منذ زمن بعيد، في سياق حرب أهلية مريرة ومأساوية، وخلفت جروحاً غائرة في المجتمع الإسباني حتى يومنا هذا.</w:t>
      </w:r>
    </w:p>
    <w:p w14:paraId="11DB7667" w14:textId="48A52915" w:rsidR="00C66A65" w:rsidRPr="00C66A65" w:rsidRDefault="00C66A65" w:rsidP="00C66A65">
      <w:pPr>
        <w:pStyle w:val="SingleTxtGA"/>
        <w:rPr>
          <w:rFonts w:eastAsiaTheme="minorEastAsia"/>
          <w:lang w:val="ar-SA" w:eastAsia="zh-TW" w:bidi="en-GB"/>
        </w:rPr>
      </w:pPr>
      <w:r w:rsidRPr="000233B9">
        <w:rPr>
          <w:rFonts w:eastAsiaTheme="minorEastAsia"/>
          <w:rtl/>
        </w:rPr>
        <w:t>3</w:t>
      </w:r>
      <w:r w:rsidRPr="00C66A65">
        <w:rPr>
          <w:rFonts w:eastAsiaTheme="minorEastAsia"/>
          <w:rtl/>
        </w:rPr>
        <w:t>-</w:t>
      </w:r>
      <w:r w:rsidRPr="00C66A65">
        <w:rPr>
          <w:rFonts w:eastAsiaTheme="minorEastAsia"/>
          <w:rtl/>
        </w:rPr>
        <w:tab/>
        <w:t>علاوة على ذلك، وبالنظر إلى مرور وقت طويل، يتجاوز إلى حد بعيد عمر الضحيتين المفترض، إن لم يكونا قد قُتلا خلال الحرب الأهلية الإسبانية، وعمر مرتكبي الجرائم ذات الصلة، فإن</w:t>
      </w:r>
      <w:r w:rsidR="00C513D1">
        <w:rPr>
          <w:rFonts w:eastAsiaTheme="minorEastAsia" w:hint="cs"/>
          <w:rtl/>
        </w:rPr>
        <w:t> </w:t>
      </w:r>
      <w:r w:rsidRPr="00C66A65">
        <w:rPr>
          <w:rFonts w:eastAsiaTheme="minorEastAsia"/>
          <w:rtl/>
        </w:rPr>
        <w:t>المبادئ العادية التي وضعتها اللجنة فيما يتعلق بالتحقيق السريع والفعال في جرائم الماضي، والتي تفترض توافر ما يكفي من أدلة جنائية وشهود، وتهدف إلى إخضاع الجناة الأحياء للمساءلة القانونية، مبادئ غير مناسبة. وعلى نفس المنوال، من الصعب الاعتماد، بعد مرور عقود طويلة على الأحداث، على مبادئ قانونية وُضعت لاعتبار الاختفاء القسري جريمة مستمرة، وتستند إلى حد بعيد إلى افتراض أن الضحية ربما لا يزال على قيد الحياة وأن إنصافه بالإفراج عنه قد لا يزال ضرورياً.</w:t>
      </w:r>
    </w:p>
    <w:p w14:paraId="2B5A0BE9" w14:textId="6F5D917A" w:rsidR="00C66A65" w:rsidRDefault="00C66A65" w:rsidP="00C66A65">
      <w:pPr>
        <w:pStyle w:val="SingleTxtGA"/>
        <w:rPr>
          <w:rFonts w:eastAsiaTheme="minorEastAsia"/>
          <w:lang w:val="en-US" w:eastAsia="zh-TW" w:bidi="en-GB"/>
        </w:rPr>
      </w:pPr>
      <w:r w:rsidRPr="000233B9">
        <w:rPr>
          <w:rFonts w:eastAsiaTheme="minorEastAsia"/>
          <w:rtl/>
        </w:rPr>
        <w:t>4</w:t>
      </w:r>
      <w:r w:rsidRPr="00C66A65">
        <w:rPr>
          <w:rFonts w:eastAsiaTheme="minorEastAsia"/>
          <w:rtl/>
        </w:rPr>
        <w:t>-</w:t>
      </w:r>
      <w:r w:rsidRPr="00C66A65">
        <w:rPr>
          <w:rFonts w:eastAsiaTheme="minorEastAsia"/>
          <w:rtl/>
        </w:rPr>
        <w:tab/>
        <w:t>ونعتقد أن علاج محنة صاحبتي البلاغ وتمتيعهما بالحق في الشعور بتسوية جزئية لمشكلة الظلم التاريخي الذي لحق بقريبيهما يكمنان في العملية التي أطلقتها الدولة الطرف منذ عهد قريب لمعالجة ماضيها الصعب ومشكلة الذاكرة التاريخية، وإثبات الحقيقة بشأن الأحداث، وتحديد ضحايا الحرب الأهلية والدكتاتورية وإحياء ذكراهم. وستواصل اللجنة رصد هذه الجهود في سياق الاستعراض الدوري لإسبانيا، في ضوء علاقة الترابط بين معالجة الماضي المأساوي ووجود ثقافة تحترم حقوق الإنسان في الدولة الطرف، مما يسمح بتضميد الجراح الغائرة والدائمة. ولما كانت الحقوق الفردية لأفراد الأسرة الذين ما زالوا على قيد الحياة متأثرة مباشرة بأفعال إسبانيا أو بتقاعسها في سياق عملية معالجة ماضيها، فإن المراجعة شبه القضائية بموجب البروتوكول الاختياري قد تكون مناسبة أيضاً، رهن</w:t>
      </w:r>
      <w:r w:rsidR="00446F74">
        <w:rPr>
          <w:rFonts w:eastAsiaTheme="minorEastAsia"/>
          <w:rtl/>
        </w:rPr>
        <w:t xml:space="preserve">اً </w:t>
      </w:r>
      <w:r w:rsidRPr="00C66A65">
        <w:rPr>
          <w:rFonts w:eastAsiaTheme="minorEastAsia"/>
          <w:rtl/>
        </w:rPr>
        <w:t xml:space="preserve">باستيفاء شروط المقبولية، مثل عدم التأخر تأخيراً لا مبرر له واستنفاد سبل الانتصاف المحلية. ومع ذلك، فإن المراجعة شبه القضائية لحقوق ضحايا الحرب الأهلية أنفسهم، كما في هذه القضية، التي أجريت بعد مرور </w:t>
      </w:r>
      <w:r w:rsidRPr="000233B9">
        <w:rPr>
          <w:rFonts w:eastAsiaTheme="minorEastAsia"/>
          <w:rtl/>
        </w:rPr>
        <w:t>85</w:t>
      </w:r>
      <w:r w:rsidRPr="00C66A65">
        <w:rPr>
          <w:rFonts w:eastAsiaTheme="minorEastAsia"/>
          <w:rtl/>
        </w:rPr>
        <w:t xml:space="preserve"> عاماً تقريباً على الوقائع، تتجاوز النطاق الزمني للصلاحيات المخولة للجنة، فضلاً عن قدرتها الوظيفية على تقصي الحقائق.</w:t>
      </w:r>
    </w:p>
    <w:p w14:paraId="73A2E9D5" w14:textId="77777777" w:rsidR="00A67F09" w:rsidRDefault="00A67F09" w:rsidP="00C66A65">
      <w:pPr>
        <w:pStyle w:val="SingleTxtGA"/>
        <w:rPr>
          <w:rFonts w:eastAsiaTheme="minorEastAsia"/>
          <w:lang w:val="en-US" w:eastAsia="zh-TW" w:bidi="en-GB"/>
        </w:rPr>
      </w:pPr>
    </w:p>
    <w:p w14:paraId="61D82D6B" w14:textId="77777777" w:rsidR="00D34FEC" w:rsidRDefault="00D34FEC" w:rsidP="00C66A65">
      <w:pPr>
        <w:pStyle w:val="SingleTxtGA"/>
        <w:rPr>
          <w:rFonts w:eastAsiaTheme="minorEastAsia"/>
          <w:rtl/>
          <w:lang w:val="en-US" w:eastAsia="zh-TW"/>
        </w:rPr>
        <w:sectPr w:rsidR="00D34FEC" w:rsidSect="005A39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pPr>
    </w:p>
    <w:p w14:paraId="48721F9A" w14:textId="77777777" w:rsidR="00C66A65" w:rsidRPr="000233B9" w:rsidRDefault="00C66A65" w:rsidP="00D97807">
      <w:pPr>
        <w:pStyle w:val="HChGA"/>
        <w:spacing w:before="120"/>
        <w:rPr>
          <w:lang w:val="en-US" w:eastAsia="zh-TW" w:bidi="en-GB"/>
        </w:rPr>
      </w:pPr>
      <w:r w:rsidRPr="000233B9">
        <w:rPr>
          <w:rtl/>
        </w:rPr>
        <w:lastRenderedPageBreak/>
        <w:t>المرفق الثاني</w:t>
      </w:r>
    </w:p>
    <w:p w14:paraId="5D3335E1" w14:textId="77777777" w:rsidR="00C66A65" w:rsidRPr="000233B9" w:rsidRDefault="00C66A65" w:rsidP="00C66A65">
      <w:pPr>
        <w:pStyle w:val="HChGA"/>
        <w:rPr>
          <w:lang w:val="ar-SA" w:eastAsia="zh-TW" w:bidi="en-GB"/>
        </w:rPr>
      </w:pPr>
      <w:r w:rsidRPr="000233B9">
        <w:rPr>
          <w:rtl/>
        </w:rPr>
        <w:tab/>
      </w:r>
      <w:r w:rsidRPr="000233B9">
        <w:rPr>
          <w:rtl/>
        </w:rPr>
        <w:tab/>
        <w:t xml:space="preserve">رأي مشترك (مخالف جزئياً) لأعضاء اللجنة عياض بن عاشور وعارف بلقان وأحمد أمين فتح الله وإيلين </w:t>
      </w:r>
      <w:proofErr w:type="spellStart"/>
      <w:r w:rsidRPr="000233B9">
        <w:rPr>
          <w:rtl/>
        </w:rPr>
        <w:t>تيغرودجا</w:t>
      </w:r>
      <w:proofErr w:type="spellEnd"/>
    </w:p>
    <w:p w14:paraId="10A6D7E7" w14:textId="57F1860E" w:rsidR="00C66A65" w:rsidRPr="00C66A65" w:rsidRDefault="00C66A65" w:rsidP="00C66A65">
      <w:pPr>
        <w:pStyle w:val="SingleTxtGA"/>
        <w:rPr>
          <w:rFonts w:eastAsiaTheme="minorEastAsia"/>
          <w:lang w:val="ar-SA" w:eastAsia="zh-TW" w:bidi="en-GB"/>
        </w:rPr>
      </w:pPr>
      <w:r w:rsidRPr="000233B9">
        <w:rPr>
          <w:rFonts w:eastAsiaTheme="minorEastAsia"/>
          <w:rtl/>
        </w:rPr>
        <w:t>1</w:t>
      </w:r>
      <w:r w:rsidRPr="00C66A65">
        <w:rPr>
          <w:rFonts w:eastAsiaTheme="minorEastAsia"/>
          <w:rtl/>
        </w:rPr>
        <w:t>-</w:t>
      </w:r>
      <w:r w:rsidRPr="00C66A65">
        <w:rPr>
          <w:rFonts w:eastAsiaTheme="minorEastAsia"/>
          <w:rtl/>
        </w:rPr>
        <w:tab/>
        <w:t>كانت صاحبة البلاغ الأولى في الثامنة من عمرها عندما استيقظت ذات صباح في آب</w:t>
      </w:r>
      <w:proofErr w:type="gramStart"/>
      <w:r w:rsidRPr="00C66A65">
        <w:rPr>
          <w:rFonts w:eastAsiaTheme="minorEastAsia"/>
          <w:rtl/>
        </w:rPr>
        <w:t>/</w:t>
      </w:r>
      <w:r w:rsidR="00446F74">
        <w:rPr>
          <w:rFonts w:eastAsiaTheme="minorEastAsia" w:hint="cs"/>
          <w:rtl/>
        </w:rPr>
        <w:t xml:space="preserve">  </w:t>
      </w:r>
      <w:r w:rsidRPr="00C66A65">
        <w:rPr>
          <w:rFonts w:eastAsiaTheme="minorEastAsia"/>
          <w:rtl/>
        </w:rPr>
        <w:t>أغسطس</w:t>
      </w:r>
      <w:proofErr w:type="gramEnd"/>
      <w:r w:rsidRPr="00C66A65">
        <w:rPr>
          <w:rFonts w:eastAsiaTheme="minorEastAsia"/>
          <w:rtl/>
        </w:rPr>
        <w:t xml:space="preserve"> </w:t>
      </w:r>
      <w:r w:rsidRPr="000233B9">
        <w:rPr>
          <w:rFonts w:eastAsiaTheme="minorEastAsia"/>
          <w:rtl/>
        </w:rPr>
        <w:t>1936</w:t>
      </w:r>
      <w:r w:rsidRPr="00C66A65">
        <w:rPr>
          <w:rFonts w:eastAsiaTheme="minorEastAsia"/>
          <w:rtl/>
        </w:rPr>
        <w:t xml:space="preserve"> ولم تجد والدها الذي اختفى دون سابق إنذار. وقبيل ذلك، كانت والدتها قد اعتُقلت واحتُجزت بمعزل عن العالم الخارجي، فرضخ كلا الوالدين للمصير المريع الذي راح ضحيته عدد كبير من المعارضين لدكتاتورية فرانكو. وبين ليلة وضحاها</w:t>
      </w:r>
      <w:r w:rsidRPr="00C66A65">
        <w:rPr>
          <w:rFonts w:eastAsiaTheme="minorEastAsia"/>
          <w:rtl/>
          <w:lang w:bidi="ar-DZ"/>
        </w:rPr>
        <w:t>، ومن دون وداع</w:t>
      </w:r>
      <w:r w:rsidRPr="00C66A65">
        <w:rPr>
          <w:rFonts w:eastAsiaTheme="minorEastAsia"/>
          <w:rtl/>
        </w:rPr>
        <w:t>، وقعت صاحبة البلاغ وأختها في قساوة اليتم، وحُكم عليهما بالعيش دائماً تحت وطأة هذه الصدمة.</w:t>
      </w:r>
    </w:p>
    <w:p w14:paraId="6BB56041" w14:textId="765029A2" w:rsidR="00C66A65" w:rsidRPr="00C66A65" w:rsidRDefault="00C66A65" w:rsidP="00C66A65">
      <w:pPr>
        <w:pStyle w:val="SingleTxtGA"/>
        <w:rPr>
          <w:rFonts w:eastAsiaTheme="minorEastAsia"/>
          <w:lang w:val="ar-SA" w:eastAsia="zh-TW" w:bidi="en-GB"/>
        </w:rPr>
      </w:pPr>
      <w:r w:rsidRPr="000233B9">
        <w:rPr>
          <w:rFonts w:eastAsiaTheme="minorEastAsia"/>
          <w:rtl/>
        </w:rPr>
        <w:t>2</w:t>
      </w:r>
      <w:r w:rsidRPr="00C66A65">
        <w:rPr>
          <w:rFonts w:eastAsiaTheme="minorEastAsia"/>
          <w:rtl/>
        </w:rPr>
        <w:t>-</w:t>
      </w:r>
      <w:r w:rsidRPr="00C66A65">
        <w:rPr>
          <w:rFonts w:eastAsiaTheme="minorEastAsia"/>
          <w:rtl/>
        </w:rPr>
        <w:tab/>
        <w:t xml:space="preserve">ونظراً إلى المدة التي انقضت منذ تلك الأحداث المأساوية، لا نختلف مع أغلبية أعضاء اللجنة في أن ادعاءات صاحبتي البلاغ بشأن الوالدين غير مقبولة من حيث </w:t>
      </w:r>
      <w:r w:rsidRPr="000233B9">
        <w:rPr>
          <w:rFonts w:eastAsiaTheme="minorEastAsia"/>
          <w:i/>
          <w:iCs/>
          <w:rtl/>
        </w:rPr>
        <w:t>الاختصاص الزمني</w:t>
      </w:r>
      <w:r w:rsidRPr="00C66A65">
        <w:rPr>
          <w:rFonts w:eastAsiaTheme="minorEastAsia"/>
          <w:rtl/>
        </w:rPr>
        <w:t xml:space="preserve">. غير أن ادعاءهما وقوع انتهاك لحقوقهما بموجب المادة </w:t>
      </w:r>
      <w:r w:rsidRPr="000233B9">
        <w:rPr>
          <w:rFonts w:eastAsiaTheme="minorEastAsia"/>
          <w:rtl/>
        </w:rPr>
        <w:t>7</w:t>
      </w:r>
      <w:r w:rsidRPr="00C66A65">
        <w:rPr>
          <w:rFonts w:eastAsiaTheme="minorEastAsia"/>
          <w:rtl/>
        </w:rPr>
        <w:t xml:space="preserve">،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هو ذو طابع مختلف نوعياً - إذ هو مستمر وغير منقطع ومرتبط بهما مباشرة، ولهذه الأسباب نختلف مع الرأي القائل بعدم</w:t>
      </w:r>
      <w:r w:rsidR="00D97807">
        <w:rPr>
          <w:rFonts w:eastAsiaTheme="minorEastAsia" w:hint="cs"/>
          <w:rtl/>
        </w:rPr>
        <w:t> </w:t>
      </w:r>
      <w:r w:rsidRPr="00C66A65">
        <w:rPr>
          <w:rFonts w:eastAsiaTheme="minorEastAsia"/>
          <w:rtl/>
        </w:rPr>
        <w:t>مقبوليته.</w:t>
      </w:r>
    </w:p>
    <w:p w14:paraId="283A8551" w14:textId="77777777" w:rsidR="00C66A65" w:rsidRPr="00C66A65" w:rsidRDefault="00C66A65" w:rsidP="00C66A65">
      <w:pPr>
        <w:pStyle w:val="SingleTxtGA"/>
        <w:rPr>
          <w:rFonts w:eastAsiaTheme="minorEastAsia"/>
          <w:lang w:val="fr-CH" w:eastAsia="zh-TW" w:bidi="en-GB"/>
        </w:rPr>
      </w:pPr>
      <w:r w:rsidRPr="000233B9">
        <w:rPr>
          <w:rFonts w:eastAsiaTheme="minorEastAsia"/>
          <w:rtl/>
        </w:rPr>
        <w:t>3</w:t>
      </w:r>
      <w:r w:rsidRPr="00C66A65">
        <w:rPr>
          <w:rFonts w:eastAsiaTheme="minorEastAsia"/>
          <w:rtl/>
        </w:rPr>
        <w:t>-</w:t>
      </w:r>
      <w:r w:rsidRPr="00C66A65">
        <w:rPr>
          <w:rFonts w:eastAsiaTheme="minorEastAsia"/>
          <w:rtl/>
        </w:rPr>
        <w:tab/>
        <w:t xml:space="preserve">إن تعامل اللجنة السطحي مع الادعاء بموجب المادة </w:t>
      </w:r>
      <w:r w:rsidRPr="000233B9">
        <w:rPr>
          <w:rFonts w:eastAsiaTheme="minorEastAsia"/>
          <w:rtl/>
        </w:rPr>
        <w:t>7</w:t>
      </w:r>
      <w:r w:rsidRPr="00C66A65">
        <w:rPr>
          <w:rFonts w:eastAsiaTheme="minorEastAsia"/>
          <w:rtl/>
        </w:rPr>
        <w:t xml:space="preserve"> باعتباره غير مقبول لعدم استنفاد سبل الانتصاف المحلية لأمر محيّر، نظراً إلى الكم الهائل من الوقائع التي لا جدال فيها والتي تكشف بوضوح عكس ذلك. ومثلما رُوي بشق الأنفس، لجأت صاحبتا البلاغ، على الرغم من الإنكار الرسمي ومن الإجهاد النفسي الشديد الذي عانتاه شخصياً، إلى مجموعة متنوعة من السبل القانونية والإدارية في سعيهما الدؤوب إلى العدالة. وشمل ذلك تقديم مطالبات متعددة إلى المحاكم الوطنية والإقليمية في إسبانيا، وطلبات للاعتراف بهما ضحيتين وإنصافهما بناءً على ذلك، بل واتخاذ خطوة جديدة تتمثل في اللجوء إلى سبل خارج إقليم الدولة لدى النظام القانوني الأرجنتيني. وكان من شأن أي من هذه المطالبات أو جميعها أن يقدم تفسيراً لاختفاء والدي إحداهما جدي الأخرى، ويخفف بذلك من آلام ومعاناة صاحبتي البلاغ الناجمة عن عدم معرفتهما بما حدث. غير أن مطالباتهما تعثرت مراراً بسبب الموقف المتعنت الذي اتخذته الدولة الطرف، أثناء حقبة الدكتاتورية وبعدها على حد السواء، ألا وهو الصمت المطبق إزاء الفظائع التي ارتكبت أثناء فترة الدكتاتورية.</w:t>
      </w:r>
    </w:p>
    <w:p w14:paraId="681936E3" w14:textId="26EC2E5B"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C66A65">
        <w:rPr>
          <w:rFonts w:eastAsiaTheme="minorEastAsia"/>
          <w:rtl/>
        </w:rPr>
        <w:tab/>
        <w:t xml:space="preserve">والأصعب على الفهم، بالنظر إلى القوانين السارية في الدولة الطرف، هو استنتاج الأغلبية أن سبل الانتصاف المحلية لم تُستنفد. ففي شباط/فبراير </w:t>
      </w:r>
      <w:r w:rsidRPr="000233B9">
        <w:rPr>
          <w:rFonts w:eastAsiaTheme="minorEastAsia"/>
          <w:rtl/>
        </w:rPr>
        <w:t>2012</w:t>
      </w:r>
      <w:r w:rsidRPr="00C66A65">
        <w:rPr>
          <w:rFonts w:eastAsiaTheme="minorEastAsia"/>
          <w:rtl/>
        </w:rPr>
        <w:t xml:space="preserve">، قضت المحكمة العليا بشكل قاطع بأن الجرائم المرتكبة خلال الحرب الأهلية وعصر فرانكو لا يمكن التحقيق فيها أو مقاضاة مرتكبيها، مستندة في ذلك إلى قانون العفو </w:t>
      </w:r>
      <w:r w:rsidRPr="000233B9">
        <w:rPr>
          <w:rFonts w:eastAsiaTheme="minorEastAsia"/>
          <w:rtl/>
        </w:rPr>
        <w:t>46</w:t>
      </w:r>
      <w:r w:rsidRPr="00C66A65">
        <w:rPr>
          <w:rFonts w:eastAsiaTheme="minorEastAsia"/>
          <w:rtl/>
        </w:rPr>
        <w:t>/</w:t>
      </w:r>
      <w:r w:rsidRPr="000233B9">
        <w:rPr>
          <w:rFonts w:eastAsiaTheme="minorEastAsia"/>
          <w:rtl/>
        </w:rPr>
        <w:t>1977</w:t>
      </w:r>
      <w:r w:rsidRPr="00C66A65">
        <w:rPr>
          <w:rFonts w:eastAsiaTheme="minorEastAsia"/>
          <w:rtl/>
        </w:rPr>
        <w:t xml:space="preserve"> ومبدأ الشرعية وعدم رجعية القانون الجنائي ومبدأ التقادم وقانون الذاكرة التاريخية. وعزز هذا القرار الموقف الذي اتخذته المحاكم الأدنى درجة فيما يتعلق بمطالبات صاحبتي البلاغ، وبات لا يقف من الآن فصاعداً حائلاً دون شكاوى صاحبتي البلاغ فحسب، بل دون شكاوى جميع ضحايا تلك الفترة. ونظراً لقانون العفو والحواجز الهيكلية التي تحول دون تحقيق العدالة للضحايا، مما هيأ مناخاً من الإفلات من العقاب على الانتهاكات الجسيمة والواسعة النطاق للكرامة الإنسانية</w:t>
      </w:r>
      <w:r>
        <w:rPr>
          <w:rStyle w:val="FootnoteReference"/>
          <w:rFonts w:eastAsiaTheme="minorEastAsia"/>
          <w:szCs w:val="22"/>
          <w:rtl/>
        </w:rPr>
        <w:t>(</w:t>
      </w:r>
      <w:r w:rsidRPr="000233B9">
        <w:rPr>
          <w:rStyle w:val="FootnoteReference"/>
          <w:rFonts w:eastAsiaTheme="minorEastAsia"/>
          <w:szCs w:val="22"/>
          <w:lang w:val="en-US"/>
        </w:rPr>
        <w:footnoteReference w:id="38"/>
      </w:r>
      <w:r>
        <w:rPr>
          <w:rStyle w:val="FootnoteReference"/>
          <w:rFonts w:eastAsiaTheme="minorEastAsia"/>
          <w:szCs w:val="22"/>
          <w:rtl/>
        </w:rPr>
        <w:t>)</w:t>
      </w:r>
      <w:r w:rsidRPr="00C66A65">
        <w:rPr>
          <w:rFonts w:eastAsiaTheme="minorEastAsia"/>
          <w:rtl/>
        </w:rPr>
        <w:t xml:space="preserve">، واقتران ذلك بعدم تقديم الدولة الطرف أي معلومات عن سبل الانتصاف القضائية البديلة </w:t>
      </w:r>
      <w:r w:rsidRPr="00C66A65">
        <w:rPr>
          <w:rFonts w:eastAsiaTheme="minorEastAsia"/>
          <w:rtl/>
        </w:rPr>
        <w:lastRenderedPageBreak/>
        <w:t>المتاحة لصاحبتي البلاغ</w:t>
      </w:r>
      <w:r>
        <w:rPr>
          <w:rStyle w:val="FootnoteReference"/>
          <w:rFonts w:eastAsiaTheme="minorEastAsia"/>
          <w:szCs w:val="22"/>
          <w:rtl/>
        </w:rPr>
        <w:t>(</w:t>
      </w:r>
      <w:r w:rsidRPr="000233B9">
        <w:rPr>
          <w:rStyle w:val="FootnoteReference"/>
          <w:rFonts w:eastAsiaTheme="minorEastAsia"/>
          <w:szCs w:val="22"/>
          <w:lang w:val="en-US"/>
        </w:rPr>
        <w:footnoteReference w:id="39"/>
      </w:r>
      <w:r>
        <w:rPr>
          <w:rStyle w:val="FootnoteReference"/>
          <w:rFonts w:eastAsiaTheme="minorEastAsia"/>
          <w:szCs w:val="22"/>
          <w:rtl/>
        </w:rPr>
        <w:t>)</w:t>
      </w:r>
      <w:r w:rsidRPr="00C66A65">
        <w:rPr>
          <w:rFonts w:eastAsiaTheme="minorEastAsia"/>
          <w:rtl/>
        </w:rPr>
        <w:t>، لم يبق في الواقع أي سبيل انتصاف أمامهما لاستنفاده. وفي هذا السياق الذي يتسم بـ "عوائق تحول دون وصول الضحايا إلى العدالة"</w:t>
      </w:r>
      <w:r>
        <w:rPr>
          <w:rStyle w:val="FootnoteReference"/>
          <w:rFonts w:eastAsiaTheme="minorEastAsia"/>
          <w:szCs w:val="22"/>
          <w:rtl/>
        </w:rPr>
        <w:t>(</w:t>
      </w:r>
      <w:r w:rsidRPr="000233B9">
        <w:rPr>
          <w:rStyle w:val="FootnoteReference"/>
          <w:rFonts w:eastAsiaTheme="minorEastAsia"/>
          <w:szCs w:val="22"/>
          <w:lang w:val="en-US"/>
        </w:rPr>
        <w:footnoteReference w:id="40"/>
      </w:r>
      <w:r>
        <w:rPr>
          <w:rStyle w:val="FootnoteReference"/>
          <w:rFonts w:eastAsiaTheme="minorEastAsia"/>
          <w:szCs w:val="22"/>
          <w:rtl/>
        </w:rPr>
        <w:t>)</w:t>
      </w:r>
      <w:r w:rsidRPr="00C66A65">
        <w:rPr>
          <w:rFonts w:eastAsiaTheme="minorEastAsia"/>
          <w:rtl/>
        </w:rPr>
        <w:t>، و</w:t>
      </w:r>
      <w:r w:rsidRPr="00C66A65">
        <w:rPr>
          <w:rFonts w:eastAsiaTheme="minorEastAsia"/>
          <w:rtl/>
          <w:lang w:bidi="ar-DZ"/>
        </w:rPr>
        <w:t xml:space="preserve">من قبيل المفارقة أن </w:t>
      </w:r>
      <w:r w:rsidRPr="00C66A65">
        <w:rPr>
          <w:rFonts w:eastAsiaTheme="minorEastAsia"/>
          <w:rtl/>
        </w:rPr>
        <w:t xml:space="preserve">هذه اللجنة بالذات قد اعترفت به في ملاحظاتها الختامية بشأن إسبانيا التي اعتُمدت في عام </w:t>
      </w:r>
      <w:r w:rsidRPr="000233B9">
        <w:rPr>
          <w:rFonts w:eastAsiaTheme="minorEastAsia"/>
          <w:rtl/>
        </w:rPr>
        <w:t>2008</w:t>
      </w:r>
      <w:r>
        <w:rPr>
          <w:rStyle w:val="FootnoteReference"/>
          <w:rFonts w:eastAsiaTheme="minorEastAsia"/>
          <w:szCs w:val="22"/>
          <w:rtl/>
        </w:rPr>
        <w:t>(</w:t>
      </w:r>
      <w:r w:rsidRPr="000233B9">
        <w:rPr>
          <w:rStyle w:val="FootnoteReference"/>
          <w:rFonts w:eastAsiaTheme="minorEastAsia"/>
          <w:szCs w:val="22"/>
          <w:lang w:val="en-US"/>
        </w:rPr>
        <w:footnoteReference w:id="41"/>
      </w:r>
      <w:r>
        <w:rPr>
          <w:rStyle w:val="FootnoteReference"/>
          <w:rFonts w:eastAsiaTheme="minorEastAsia"/>
          <w:szCs w:val="22"/>
          <w:rtl/>
        </w:rPr>
        <w:t>)</w:t>
      </w:r>
      <w:r w:rsidRPr="00C66A65">
        <w:rPr>
          <w:rFonts w:eastAsiaTheme="minorEastAsia"/>
          <w:rtl/>
        </w:rPr>
        <w:t>، نستنتج أن المادة</w:t>
      </w:r>
      <w:r w:rsidR="00D97807">
        <w:rPr>
          <w:rFonts w:eastAsiaTheme="minorEastAsia" w:hint="cs"/>
          <w:rtl/>
        </w:rPr>
        <w:t> </w:t>
      </w:r>
      <w:r w:rsidRPr="000233B9">
        <w:rPr>
          <w:rFonts w:eastAsiaTheme="minorEastAsia"/>
          <w:rtl/>
        </w:rPr>
        <w:t>5</w:t>
      </w:r>
      <w:r w:rsidRPr="00C66A65">
        <w:rPr>
          <w:rFonts w:eastAsiaTheme="minorEastAsia"/>
          <w:rtl/>
        </w:rPr>
        <w:t>(</w:t>
      </w:r>
      <w:r w:rsidRPr="000233B9">
        <w:rPr>
          <w:rFonts w:eastAsiaTheme="minorEastAsia"/>
          <w:rtl/>
        </w:rPr>
        <w:t>2</w:t>
      </w:r>
      <w:r w:rsidRPr="00C66A65">
        <w:rPr>
          <w:rFonts w:eastAsiaTheme="minorEastAsia"/>
          <w:rtl/>
        </w:rPr>
        <w:t xml:space="preserve">)(ب) من البروتوكول الاختياري لا تمنع من النظر في ادعاء صاحبتي البلاغ وقوع انتهاك للمادة </w:t>
      </w:r>
      <w:r w:rsidRPr="000233B9">
        <w:rPr>
          <w:rFonts w:eastAsiaTheme="minorEastAsia"/>
          <w:rtl/>
        </w:rPr>
        <w:t>7</w:t>
      </w:r>
      <w:r w:rsidRPr="00C66A65">
        <w:rPr>
          <w:rFonts w:eastAsiaTheme="minorEastAsia"/>
          <w:rtl/>
        </w:rPr>
        <w:t xml:space="preserve"> من العهد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فيما يتعلق بألمهما ومعاناتهما، ومن ثم فهو مقبول.</w:t>
      </w:r>
    </w:p>
    <w:p w14:paraId="7A5708BA" w14:textId="77777777" w:rsidR="00C66A65" w:rsidRPr="000233B9" w:rsidRDefault="00C66A65" w:rsidP="00C66A65">
      <w:pPr>
        <w:pStyle w:val="SingleTxtGA"/>
        <w:rPr>
          <w:bCs/>
          <w:rtl/>
        </w:rPr>
        <w:sectPr w:rsidR="00C66A65" w:rsidRPr="000233B9" w:rsidSect="005A3986">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bidi/>
          <w:docGrid w:linePitch="360"/>
        </w:sectPr>
      </w:pPr>
      <w:r w:rsidRPr="000233B9">
        <w:rPr>
          <w:rFonts w:eastAsiaTheme="minorEastAsia"/>
          <w:rtl/>
        </w:rPr>
        <w:t>5</w:t>
      </w:r>
      <w:r w:rsidRPr="00C66A65">
        <w:rPr>
          <w:rFonts w:eastAsiaTheme="minorEastAsia"/>
          <w:rtl/>
        </w:rPr>
        <w:t>-</w:t>
      </w:r>
      <w:r w:rsidRPr="00C66A65">
        <w:rPr>
          <w:rFonts w:eastAsiaTheme="minorEastAsia"/>
          <w:rtl/>
        </w:rPr>
        <w:tab/>
        <w:t>ونلاحظ أخيراً أن مطالبة صاحبتي البلاغ إزاءهما شخصياً هي من النوع الذي اعتُرف به مراراً وتكراراً بموجب العهد، وأنها تشمل الكرب والمعاناة الشديدين اللذين يعيشهما أشخاص يقع أقرب أقربائهم ضحايا انتهاكات خطيرة لحقوق الإنسان، ويتفاقمان بسبب عدم اكتراث السلطات الرسمية</w:t>
      </w:r>
      <w:r>
        <w:rPr>
          <w:rStyle w:val="FootnoteReference"/>
          <w:rFonts w:eastAsiaTheme="minorEastAsia"/>
          <w:szCs w:val="22"/>
          <w:rtl/>
        </w:rPr>
        <w:t>(</w:t>
      </w:r>
      <w:r w:rsidRPr="000233B9">
        <w:rPr>
          <w:rStyle w:val="FootnoteReference"/>
          <w:rFonts w:eastAsiaTheme="minorEastAsia"/>
          <w:szCs w:val="22"/>
          <w:lang w:val="en-US"/>
        </w:rPr>
        <w:footnoteReference w:id="42"/>
      </w:r>
      <w:r>
        <w:rPr>
          <w:rStyle w:val="FootnoteReference"/>
          <w:rFonts w:eastAsiaTheme="minorEastAsia"/>
          <w:szCs w:val="22"/>
          <w:rtl/>
        </w:rPr>
        <w:t>)</w:t>
      </w:r>
      <w:r w:rsidRPr="00C66A65">
        <w:rPr>
          <w:rFonts w:eastAsiaTheme="minorEastAsia"/>
          <w:rtl/>
        </w:rPr>
        <w:t xml:space="preserve">. وصاحبة البلاغ الأولى هي ابنة الزوجين المختفيين، وقد أثر عليها اليتم تأثيراً مادياً وعاطفياً شديداً لازمها طوال حياتها وحياة أختها المتوفاة. وإن سعيها المتواصل إلى التماس العدالة بعد </w:t>
      </w:r>
      <w:r w:rsidRPr="000233B9">
        <w:rPr>
          <w:rFonts w:eastAsiaTheme="minorEastAsia"/>
          <w:rtl/>
        </w:rPr>
        <w:t>84</w:t>
      </w:r>
      <w:r w:rsidRPr="00C66A65">
        <w:rPr>
          <w:rFonts w:eastAsiaTheme="minorEastAsia"/>
          <w:rtl/>
        </w:rPr>
        <w:t xml:space="preserve"> عاماً، لا تثنيها عنه الحواجز الهيكلية التي وضعتها الدولة الطرف في طريقها، لدليل على شدة أساها واستمراره. ولو أن اللجنة خلصت إلى مقبولية هذه القضية، لكان من الصعب في هذه الظروف تصور أي استنتاج عدا انتهاك المادة </w:t>
      </w:r>
      <w:r w:rsidRPr="000233B9">
        <w:rPr>
          <w:rFonts w:eastAsiaTheme="minorEastAsia"/>
          <w:rtl/>
        </w:rPr>
        <w:t>7</w:t>
      </w:r>
      <w:r w:rsidRPr="00C66A65">
        <w:rPr>
          <w:rFonts w:eastAsiaTheme="minorEastAsia"/>
          <w:rtl/>
        </w:rPr>
        <w:t xml:space="preserve"> من العهد،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w:t>
      </w:r>
    </w:p>
    <w:p w14:paraId="50DB23AA" w14:textId="1A21023B" w:rsidR="00C66A65" w:rsidRPr="000233B9" w:rsidRDefault="00C66A65" w:rsidP="00C66A65">
      <w:pPr>
        <w:pStyle w:val="HChGA"/>
        <w:spacing w:before="120"/>
        <w:rPr>
          <w:lang w:val="en-US" w:eastAsia="zh-TW" w:bidi="en-GB"/>
        </w:rPr>
      </w:pPr>
      <w:r w:rsidRPr="000233B9">
        <w:rPr>
          <w:rtl/>
        </w:rPr>
        <w:lastRenderedPageBreak/>
        <w:t>المرفق الثالث</w:t>
      </w:r>
    </w:p>
    <w:p w14:paraId="01F41517" w14:textId="77777777" w:rsidR="00C66A65" w:rsidRPr="00A67F09" w:rsidRDefault="00C66A65" w:rsidP="00C66A65">
      <w:pPr>
        <w:pStyle w:val="HChGA"/>
        <w:rPr>
          <w:lang w:val="en-US" w:eastAsia="zh-TW" w:bidi="en-GB"/>
        </w:rPr>
      </w:pPr>
      <w:r w:rsidRPr="000233B9">
        <w:rPr>
          <w:rtl/>
        </w:rPr>
        <w:tab/>
      </w:r>
      <w:r w:rsidRPr="000233B9">
        <w:rPr>
          <w:rtl/>
        </w:rPr>
        <w:tab/>
        <w:t xml:space="preserve">رأي مشترك (مخالف جزئياً) لعضوي اللجنة </w:t>
      </w:r>
      <w:proofErr w:type="spellStart"/>
      <w:r w:rsidRPr="000233B9">
        <w:rPr>
          <w:rtl/>
        </w:rPr>
        <w:t>مارسيا</w:t>
      </w:r>
      <w:proofErr w:type="spellEnd"/>
      <w:r w:rsidRPr="000233B9">
        <w:rPr>
          <w:rtl/>
        </w:rPr>
        <w:t xml:space="preserve"> ف. ج. كران </w:t>
      </w:r>
      <w:proofErr w:type="spellStart"/>
      <w:r w:rsidRPr="000233B9">
        <w:rPr>
          <w:rtl/>
        </w:rPr>
        <w:t>وهيرنان</w:t>
      </w:r>
      <w:proofErr w:type="spellEnd"/>
      <w:r w:rsidRPr="000233B9">
        <w:rPr>
          <w:rtl/>
        </w:rPr>
        <w:t xml:space="preserve"> </w:t>
      </w:r>
      <w:proofErr w:type="spellStart"/>
      <w:r w:rsidRPr="000233B9">
        <w:rPr>
          <w:rtl/>
        </w:rPr>
        <w:t>كيسادا</w:t>
      </w:r>
      <w:proofErr w:type="spellEnd"/>
      <w:r w:rsidRPr="000233B9">
        <w:rPr>
          <w:rtl/>
        </w:rPr>
        <w:t xml:space="preserve"> </w:t>
      </w:r>
      <w:proofErr w:type="spellStart"/>
      <w:r w:rsidRPr="000233B9">
        <w:rPr>
          <w:rtl/>
        </w:rPr>
        <w:t>كابريرا</w:t>
      </w:r>
      <w:proofErr w:type="spellEnd"/>
    </w:p>
    <w:p w14:paraId="0BD9CF27"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1</w:t>
      </w:r>
      <w:r w:rsidRPr="00C66A65">
        <w:rPr>
          <w:rFonts w:eastAsiaTheme="minorEastAsia"/>
          <w:rtl/>
        </w:rPr>
        <w:t>-</w:t>
      </w:r>
      <w:r w:rsidRPr="00C66A65">
        <w:rPr>
          <w:rFonts w:eastAsiaTheme="minorEastAsia"/>
          <w:rtl/>
        </w:rPr>
        <w:tab/>
        <w:t>لقد استعرضنا قرار أغلبية أعضاء اللجنة ولا يمكن أن نتفق تماماً مع آرائهم.</w:t>
      </w:r>
    </w:p>
    <w:p w14:paraId="3DECBCB3" w14:textId="77777777" w:rsidR="00C66A65" w:rsidRPr="00A67F09" w:rsidRDefault="00C66A65" w:rsidP="00C66A65">
      <w:pPr>
        <w:pStyle w:val="SingleTxtGA"/>
        <w:rPr>
          <w:rFonts w:eastAsiaTheme="minorEastAsia"/>
          <w:lang w:val="en-US" w:eastAsia="zh-TW" w:bidi="en-GB"/>
        </w:rPr>
      </w:pPr>
      <w:r w:rsidRPr="000233B9">
        <w:rPr>
          <w:rFonts w:eastAsiaTheme="minorEastAsia"/>
          <w:rtl/>
        </w:rPr>
        <w:t>2</w:t>
      </w:r>
      <w:r w:rsidRPr="00C66A65">
        <w:rPr>
          <w:rFonts w:eastAsiaTheme="minorEastAsia"/>
          <w:rtl/>
        </w:rPr>
        <w:t>-</w:t>
      </w:r>
      <w:r w:rsidRPr="00C66A65">
        <w:rPr>
          <w:rFonts w:eastAsiaTheme="minorEastAsia"/>
          <w:rtl/>
        </w:rPr>
        <w:tab/>
      </w:r>
      <w:r w:rsidRPr="00C513D1">
        <w:rPr>
          <w:rFonts w:eastAsiaTheme="minorEastAsia"/>
          <w:spacing w:val="-6"/>
          <w:rtl/>
        </w:rPr>
        <w:t xml:space="preserve">ونرى بالفعل أن بإمكاننا الاتفاق مع الأغلبية على أن البلاغ غير مقبول من حيث </w:t>
      </w:r>
      <w:r w:rsidRPr="000233B9">
        <w:rPr>
          <w:rFonts w:eastAsiaTheme="minorEastAsia"/>
          <w:i/>
          <w:iCs/>
          <w:spacing w:val="-6"/>
          <w:rtl/>
        </w:rPr>
        <w:t>الاختصاص الزمني</w:t>
      </w:r>
      <w:r w:rsidRPr="00C513D1">
        <w:rPr>
          <w:rFonts w:eastAsiaTheme="minorEastAsia"/>
          <w:spacing w:val="-4"/>
          <w:rtl/>
        </w:rPr>
        <w:t xml:space="preserve"> فيما يتعلق بالمطالبات المتصلة بالمواد </w:t>
      </w:r>
      <w:r w:rsidRPr="000233B9">
        <w:rPr>
          <w:rFonts w:eastAsiaTheme="minorEastAsia"/>
          <w:spacing w:val="-4"/>
          <w:rtl/>
        </w:rPr>
        <w:t>2</w:t>
      </w:r>
      <w:r w:rsidRPr="00C513D1">
        <w:rPr>
          <w:rFonts w:eastAsiaTheme="minorEastAsia"/>
          <w:spacing w:val="-4"/>
          <w:rtl/>
        </w:rPr>
        <w:t>(</w:t>
      </w:r>
      <w:r w:rsidRPr="000233B9">
        <w:rPr>
          <w:rFonts w:eastAsiaTheme="minorEastAsia"/>
          <w:spacing w:val="-4"/>
          <w:rtl/>
        </w:rPr>
        <w:t>3</w:t>
      </w:r>
      <w:r w:rsidRPr="00C513D1">
        <w:rPr>
          <w:rFonts w:eastAsiaTheme="minorEastAsia"/>
          <w:spacing w:val="-4"/>
          <w:rtl/>
        </w:rPr>
        <w:t>) و</w:t>
      </w:r>
      <w:r w:rsidRPr="000233B9">
        <w:rPr>
          <w:rFonts w:eastAsiaTheme="minorEastAsia"/>
          <w:spacing w:val="-4"/>
          <w:rtl/>
        </w:rPr>
        <w:t>6</w:t>
      </w:r>
      <w:r w:rsidRPr="00C513D1">
        <w:rPr>
          <w:rFonts w:eastAsiaTheme="minorEastAsia"/>
          <w:spacing w:val="-4"/>
          <w:rtl/>
        </w:rPr>
        <w:t xml:space="preserve"> و</w:t>
      </w:r>
      <w:r w:rsidRPr="000233B9">
        <w:rPr>
          <w:rFonts w:eastAsiaTheme="minorEastAsia"/>
          <w:spacing w:val="-4"/>
          <w:rtl/>
        </w:rPr>
        <w:t>7</w:t>
      </w:r>
      <w:r w:rsidRPr="00C513D1">
        <w:rPr>
          <w:rFonts w:eastAsiaTheme="minorEastAsia"/>
          <w:spacing w:val="-4"/>
          <w:rtl/>
        </w:rPr>
        <w:t xml:space="preserve"> و</w:t>
      </w:r>
      <w:r w:rsidRPr="000233B9">
        <w:rPr>
          <w:rFonts w:eastAsiaTheme="minorEastAsia"/>
          <w:spacing w:val="-4"/>
          <w:rtl/>
        </w:rPr>
        <w:t>9</w:t>
      </w:r>
      <w:r w:rsidRPr="00C513D1">
        <w:rPr>
          <w:rFonts w:eastAsiaTheme="minorEastAsia"/>
          <w:spacing w:val="-4"/>
          <w:rtl/>
        </w:rPr>
        <w:t xml:space="preserve"> و</w:t>
      </w:r>
      <w:r w:rsidRPr="000233B9">
        <w:rPr>
          <w:rFonts w:eastAsiaTheme="minorEastAsia"/>
          <w:spacing w:val="-4"/>
          <w:rtl/>
        </w:rPr>
        <w:t>16</w:t>
      </w:r>
      <w:r w:rsidRPr="00C513D1">
        <w:rPr>
          <w:rFonts w:eastAsiaTheme="minorEastAsia"/>
          <w:spacing w:val="-4"/>
          <w:rtl/>
        </w:rPr>
        <w:t xml:space="preserve"> من العهد بشأن م. خ. ف. </w:t>
      </w:r>
      <w:proofErr w:type="spellStart"/>
      <w:r w:rsidRPr="00C513D1">
        <w:rPr>
          <w:rFonts w:eastAsiaTheme="minorEastAsia"/>
          <w:spacing w:val="-4"/>
          <w:rtl/>
        </w:rPr>
        <w:t>وأ</w:t>
      </w:r>
      <w:proofErr w:type="spellEnd"/>
      <w:r w:rsidRPr="00C513D1">
        <w:rPr>
          <w:rFonts w:eastAsiaTheme="minorEastAsia"/>
          <w:spacing w:val="-4"/>
          <w:rtl/>
        </w:rPr>
        <w:t>. أ. م.</w:t>
      </w:r>
      <w:r w:rsidRPr="00C66A65">
        <w:rPr>
          <w:rFonts w:eastAsiaTheme="minorEastAsia"/>
          <w:rtl/>
        </w:rPr>
        <w:t xml:space="preserve"> للأسباب المحددة المذكورة.</w:t>
      </w:r>
    </w:p>
    <w:p w14:paraId="3E0FEBF8" w14:textId="460B045C" w:rsidR="00C66A65" w:rsidRPr="00C66A65" w:rsidRDefault="00C66A65" w:rsidP="00C66A65">
      <w:pPr>
        <w:pStyle w:val="SingleTxtGA"/>
        <w:rPr>
          <w:rFonts w:eastAsiaTheme="minorEastAsia"/>
          <w:lang w:val="ar-SA" w:eastAsia="zh-TW" w:bidi="en-GB"/>
        </w:rPr>
      </w:pPr>
      <w:r w:rsidRPr="000233B9">
        <w:rPr>
          <w:rFonts w:eastAsiaTheme="minorEastAsia"/>
          <w:rtl/>
        </w:rPr>
        <w:t>3</w:t>
      </w:r>
      <w:r w:rsidRPr="00C66A65">
        <w:rPr>
          <w:rFonts w:eastAsiaTheme="minorEastAsia"/>
          <w:rtl/>
        </w:rPr>
        <w:t>-</w:t>
      </w:r>
      <w:r w:rsidRPr="00C66A65">
        <w:rPr>
          <w:rFonts w:eastAsiaTheme="minorEastAsia"/>
          <w:rtl/>
        </w:rPr>
        <w:tab/>
        <w:t>غير أننا لا نتفق على أن ادعاء صاحبتي البلاغ وقوع انتهاك مستمر لحقوقهما بموجب المادة</w:t>
      </w:r>
      <w:r w:rsidR="00C513D1">
        <w:rPr>
          <w:rFonts w:eastAsiaTheme="minorEastAsia" w:hint="cs"/>
          <w:rtl/>
        </w:rPr>
        <w:t> </w:t>
      </w:r>
      <w:r w:rsidRPr="000233B9">
        <w:rPr>
          <w:rFonts w:eastAsiaTheme="minorEastAsia"/>
          <w:rtl/>
        </w:rPr>
        <w:t>7</w:t>
      </w:r>
      <w:r w:rsidRPr="00C66A65">
        <w:rPr>
          <w:rFonts w:eastAsiaTheme="minorEastAsia"/>
          <w:rtl/>
        </w:rPr>
        <w:t xml:space="preserve">، مقروءة بالاقتران مع المادة </w:t>
      </w:r>
      <w:r w:rsidRPr="000233B9">
        <w:rPr>
          <w:rFonts w:eastAsiaTheme="minorEastAsia"/>
          <w:rtl/>
        </w:rPr>
        <w:t>2</w:t>
      </w:r>
      <w:r w:rsidRPr="00C66A65">
        <w:rPr>
          <w:rFonts w:eastAsiaTheme="minorEastAsia"/>
          <w:rtl/>
        </w:rPr>
        <w:t>(</w:t>
      </w:r>
      <w:r w:rsidRPr="000233B9">
        <w:rPr>
          <w:rFonts w:eastAsiaTheme="minorEastAsia"/>
          <w:rtl/>
        </w:rPr>
        <w:t>3</w:t>
      </w:r>
      <w:r w:rsidRPr="00C66A65">
        <w:rPr>
          <w:rFonts w:eastAsiaTheme="minorEastAsia"/>
          <w:rtl/>
        </w:rPr>
        <w:t>) من العهد، غير مقبول لعدم استنفاد سبل الانتصاف المحلية.</w:t>
      </w:r>
    </w:p>
    <w:p w14:paraId="03DC688E" w14:textId="77777777" w:rsidR="00C66A65" w:rsidRPr="00C66A65" w:rsidRDefault="00C66A65" w:rsidP="00C66A65">
      <w:pPr>
        <w:pStyle w:val="SingleTxtGA"/>
        <w:rPr>
          <w:rFonts w:eastAsiaTheme="minorEastAsia"/>
          <w:lang w:val="ar-SA" w:eastAsia="zh-TW" w:bidi="en-GB"/>
        </w:rPr>
      </w:pPr>
      <w:r w:rsidRPr="000233B9">
        <w:rPr>
          <w:rFonts w:eastAsiaTheme="minorEastAsia"/>
          <w:rtl/>
        </w:rPr>
        <w:t>4</w:t>
      </w:r>
      <w:r w:rsidRPr="00C66A65">
        <w:rPr>
          <w:rFonts w:eastAsiaTheme="minorEastAsia"/>
          <w:rtl/>
        </w:rPr>
        <w:t>-</w:t>
      </w:r>
      <w:r w:rsidRPr="00C66A65">
        <w:rPr>
          <w:rFonts w:eastAsiaTheme="minorEastAsia"/>
          <w:rtl/>
        </w:rPr>
        <w:tab/>
        <w:t>ويستند ادعاء صاحبتي البلاغ وقوع انتهاك مستمر لحقوقهما إلى شدة المعاناة والكرب والإجهاد من جراء اختفاء قريبيهما قسراً ومن جراء موقف اللامبالاة الذي أبدته الدولة الطرف إزاء طلباتهما المتكررة للوصول إلى الحقيقة والعدالة. ونلاحظ أن الشكاوى التي قدمتها صاحبتا البلاغ أمام المحاكم الوطنية تتعلق مباشرة بعدم معرفتهما بظروف اختفاء قريبيهما قسراً، وهو السبب الرئيسي لمعاناتهما.</w:t>
      </w:r>
    </w:p>
    <w:p w14:paraId="39A3D2CC" w14:textId="70F18F57" w:rsidR="00C66A65" w:rsidRPr="00315B29" w:rsidRDefault="00C66A65" w:rsidP="00C66A65">
      <w:pPr>
        <w:pStyle w:val="SingleTxtGA"/>
        <w:rPr>
          <w:rFonts w:eastAsiaTheme="minorEastAsia"/>
          <w:lang w:val="en-US" w:eastAsia="zh-TW" w:bidi="en-GB"/>
        </w:rPr>
      </w:pPr>
      <w:r w:rsidRPr="000233B9">
        <w:rPr>
          <w:rFonts w:eastAsiaTheme="minorEastAsia"/>
          <w:rtl/>
        </w:rPr>
        <w:t>5</w:t>
      </w:r>
      <w:r w:rsidRPr="00C66A65">
        <w:rPr>
          <w:rFonts w:eastAsiaTheme="minorEastAsia"/>
          <w:rtl/>
        </w:rPr>
        <w:t>-</w:t>
      </w:r>
      <w:r w:rsidRPr="00C66A65">
        <w:rPr>
          <w:rFonts w:eastAsiaTheme="minorEastAsia"/>
          <w:rtl/>
        </w:rPr>
        <w:tab/>
        <w:t xml:space="preserve">وقد حاولتا دون جدوى اتخاذ كل الإجراءات الممكنة لاستنفاد سبل الانتصاف المحلية قبل الاتصال باللجنة. وفي هذا الصدد، قدمتا دون جدوى طعوناً قانونية أمام المحكمة الوطنية العليا ومحكمة </w:t>
      </w:r>
      <w:proofErr w:type="spellStart"/>
      <w:r w:rsidRPr="00C66A65">
        <w:rPr>
          <w:rFonts w:eastAsiaTheme="minorEastAsia"/>
          <w:rtl/>
        </w:rPr>
        <w:t>بالما</w:t>
      </w:r>
      <w:proofErr w:type="spellEnd"/>
      <w:r w:rsidRPr="00C66A65">
        <w:rPr>
          <w:rFonts w:eastAsiaTheme="minorEastAsia"/>
          <w:rtl/>
        </w:rPr>
        <w:t xml:space="preserve"> دي مايوركا والمحكمة العليا في مايوركا والمحكمة الدستورية ومحكمة </w:t>
      </w:r>
      <w:proofErr w:type="spellStart"/>
      <w:r w:rsidRPr="00C66A65">
        <w:rPr>
          <w:rFonts w:eastAsiaTheme="minorEastAsia"/>
          <w:rtl/>
        </w:rPr>
        <w:t>ماناكور</w:t>
      </w:r>
      <w:proofErr w:type="spellEnd"/>
      <w:r w:rsidRPr="00C66A65">
        <w:rPr>
          <w:rFonts w:eastAsiaTheme="minorEastAsia"/>
          <w:rtl/>
        </w:rPr>
        <w:t>. إضافة إلى ذلك، اتخذتا دون جدوى خطوات إجرائية وإدارية أمام اللجنة التقنية المعنية بالأشخاص المختفين والقبور، التابعة لحكومة جزر البليار، لاستخراج وإعادة رفات قريبيهما والاستفادة من جبر كامل للضرر الذي لحق بهما. غير أن الدولة الطرف ما زالت تنفذ قانون العفو، على الرغم مما قدمته اللجنة من توصيات متكررة تدعو إلى إلغاء هذا القانون أو مواءمته مع العهد</w:t>
      </w:r>
      <w:r>
        <w:rPr>
          <w:rStyle w:val="FootnoteReference"/>
          <w:rFonts w:eastAsiaTheme="minorEastAsia"/>
          <w:szCs w:val="22"/>
          <w:rtl/>
        </w:rPr>
        <w:t>(</w:t>
      </w:r>
      <w:r w:rsidRPr="000233B9">
        <w:rPr>
          <w:rStyle w:val="FootnoteReference"/>
          <w:rFonts w:eastAsiaTheme="minorEastAsia"/>
          <w:szCs w:val="22"/>
          <w:lang w:val="en-US"/>
        </w:rPr>
        <w:footnoteReference w:id="43"/>
      </w:r>
      <w:r>
        <w:rPr>
          <w:rStyle w:val="FootnoteReference"/>
          <w:rFonts w:eastAsiaTheme="minorEastAsia"/>
          <w:szCs w:val="22"/>
          <w:rtl/>
        </w:rPr>
        <w:t>)</w:t>
      </w:r>
      <w:r w:rsidRPr="00C66A65">
        <w:rPr>
          <w:rFonts w:eastAsiaTheme="minorEastAsia"/>
          <w:rtl/>
        </w:rPr>
        <w:t>.</w:t>
      </w:r>
    </w:p>
    <w:p w14:paraId="5CDAB353" w14:textId="3E956A2B" w:rsidR="00C66A65" w:rsidRPr="00C66A65" w:rsidRDefault="00C66A65" w:rsidP="00C66A65">
      <w:pPr>
        <w:pStyle w:val="SingleTxtGA"/>
        <w:rPr>
          <w:rFonts w:eastAsiaTheme="minorEastAsia"/>
          <w:spacing w:val="-4"/>
          <w:lang w:val="ar-SA" w:eastAsia="zh-TW" w:bidi="en-GB"/>
        </w:rPr>
      </w:pPr>
      <w:r w:rsidRPr="000233B9">
        <w:rPr>
          <w:rFonts w:eastAsiaTheme="minorEastAsia"/>
          <w:rtl/>
        </w:rPr>
        <w:t>6</w:t>
      </w:r>
      <w:r w:rsidRPr="00C66A65">
        <w:rPr>
          <w:rFonts w:eastAsiaTheme="minorEastAsia"/>
          <w:rtl/>
        </w:rPr>
        <w:t>-</w:t>
      </w:r>
      <w:r w:rsidRPr="00C66A65">
        <w:rPr>
          <w:rFonts w:eastAsiaTheme="minorEastAsia"/>
          <w:rtl/>
        </w:rPr>
        <w:tab/>
        <w:t xml:space="preserve">وعلى الرغم من أن صاحبتي البلاغ قدمتا مطالباتهما المحلية عن طريق رابطة مايوركا لإحياء الذاكرة التاريخية، من الواضح أنهما كانتا عضوتين في تلك الرابطة، وأذنتا لها بتقديم المطالبة نيابة عنهما، وشاركتا في هذه العملية برمتها. ولم تعترض الدولة الطرف على ادعاء صاحبتي البلاغ أنهما طلبتا جبراً كاملاً للأضرار التي لحقت بهما على يد السلطات المحلية، ولذلك نرى أن المطالبة بالتعويض عن المعاناة النفسية قد أثيرت بما فيه الكفاية. علاوة على ذلك، لم تعترض الدولة الطرف على ادعاء صاحبتي البلاغ أن حكم المحكمة العليا رقم </w:t>
      </w:r>
      <w:r w:rsidRPr="000233B9">
        <w:rPr>
          <w:rFonts w:eastAsiaTheme="minorEastAsia"/>
          <w:rtl/>
        </w:rPr>
        <w:t>101</w:t>
      </w:r>
      <w:r w:rsidRPr="00C66A65">
        <w:rPr>
          <w:rFonts w:eastAsiaTheme="minorEastAsia"/>
          <w:rtl/>
        </w:rPr>
        <w:t>/</w:t>
      </w:r>
      <w:r w:rsidRPr="000233B9">
        <w:rPr>
          <w:rFonts w:eastAsiaTheme="minorEastAsia"/>
          <w:rtl/>
        </w:rPr>
        <w:t>2012</w:t>
      </w:r>
      <w:r w:rsidRPr="00C66A65">
        <w:rPr>
          <w:rFonts w:eastAsiaTheme="minorEastAsia"/>
          <w:rtl/>
        </w:rPr>
        <w:t xml:space="preserve"> الصادر في </w:t>
      </w:r>
      <w:r w:rsidRPr="000233B9">
        <w:rPr>
          <w:rFonts w:eastAsiaTheme="minorEastAsia"/>
          <w:rtl/>
        </w:rPr>
        <w:t>27</w:t>
      </w:r>
      <w:r w:rsidRPr="00C66A65">
        <w:rPr>
          <w:rFonts w:eastAsiaTheme="minorEastAsia"/>
          <w:rtl/>
        </w:rPr>
        <w:t xml:space="preserve"> شباط/فبراير </w:t>
      </w:r>
      <w:r w:rsidRPr="000233B9">
        <w:rPr>
          <w:rFonts w:eastAsiaTheme="minorEastAsia"/>
          <w:rtl/>
        </w:rPr>
        <w:t>2012</w:t>
      </w:r>
      <w:r w:rsidRPr="00C66A65">
        <w:rPr>
          <w:rFonts w:eastAsiaTheme="minorEastAsia"/>
          <w:rtl/>
        </w:rPr>
        <w:t xml:space="preserve"> أدى إلى رفض عام لجميع الطعون المقدمة من الضحايا في جميع أنحاء البلد، حيث أرسى سابقة قضائية بشأن الأسباب المزعومة التي تمنع القضاة من التحقيق في الجرائم المرتكبة خلال الحرب الأهلية وعصر فرانكو. وحتى لو قررت صاحبتا البلاغ الآن رفع دعوى باسمهما، فإن الدولة الطرف لم تعترض على أن قضاياهما ستُرفض بسبب </w:t>
      </w:r>
      <w:r w:rsidRPr="00C66A65">
        <w:rPr>
          <w:rFonts w:eastAsiaTheme="minorEastAsia"/>
          <w:spacing w:val="-4"/>
          <w:rtl/>
        </w:rPr>
        <w:t>السابقة القضائية المعمول بها. ولذلك نرى أن صاحبتي البلاغ ليس لديهما أي سبيل انتصاف فعال آخر. وفي</w:t>
      </w:r>
      <w:r w:rsidR="003C0B55">
        <w:rPr>
          <w:rFonts w:eastAsiaTheme="minorEastAsia" w:hint="cs"/>
          <w:spacing w:val="-4"/>
          <w:rtl/>
        </w:rPr>
        <w:t> </w:t>
      </w:r>
      <w:r w:rsidRPr="00C66A65">
        <w:rPr>
          <w:rFonts w:eastAsiaTheme="minorEastAsia"/>
          <w:spacing w:val="-4"/>
          <w:rtl/>
        </w:rPr>
        <w:t xml:space="preserve">هذه الظروف، لا تشكل المادة </w:t>
      </w:r>
      <w:r w:rsidRPr="000233B9">
        <w:rPr>
          <w:rFonts w:eastAsiaTheme="minorEastAsia"/>
          <w:spacing w:val="-4"/>
          <w:rtl/>
        </w:rPr>
        <w:t>5</w:t>
      </w:r>
      <w:r w:rsidRPr="00C66A65">
        <w:rPr>
          <w:rFonts w:eastAsiaTheme="minorEastAsia"/>
          <w:spacing w:val="-4"/>
          <w:rtl/>
        </w:rPr>
        <w:t>(</w:t>
      </w:r>
      <w:r w:rsidRPr="000233B9">
        <w:rPr>
          <w:rFonts w:eastAsiaTheme="minorEastAsia"/>
          <w:spacing w:val="-4"/>
          <w:rtl/>
        </w:rPr>
        <w:t>2</w:t>
      </w:r>
      <w:r w:rsidRPr="00C66A65">
        <w:rPr>
          <w:rFonts w:eastAsiaTheme="minorEastAsia"/>
          <w:spacing w:val="-4"/>
          <w:rtl/>
        </w:rPr>
        <w:t xml:space="preserve">)(ب) من البروتوكول الاختياري عائقاً أمام مقبولية هذه المطالبة، ومن ثم فإن البلاغ مقبول فيما يتعلق بالمطالبات بموجب المادتين </w:t>
      </w:r>
      <w:r w:rsidRPr="000233B9">
        <w:rPr>
          <w:rFonts w:eastAsiaTheme="minorEastAsia"/>
          <w:spacing w:val="-4"/>
          <w:rtl/>
        </w:rPr>
        <w:t>2</w:t>
      </w:r>
      <w:r w:rsidRPr="00C66A65">
        <w:rPr>
          <w:rFonts w:eastAsiaTheme="minorEastAsia"/>
          <w:spacing w:val="-4"/>
          <w:rtl/>
        </w:rPr>
        <w:t>(</w:t>
      </w:r>
      <w:r w:rsidRPr="000233B9">
        <w:rPr>
          <w:rFonts w:eastAsiaTheme="minorEastAsia"/>
          <w:spacing w:val="-4"/>
          <w:rtl/>
        </w:rPr>
        <w:t>3</w:t>
      </w:r>
      <w:r w:rsidRPr="00C66A65">
        <w:rPr>
          <w:rFonts w:eastAsiaTheme="minorEastAsia"/>
          <w:spacing w:val="-4"/>
          <w:rtl/>
        </w:rPr>
        <w:t>) و</w:t>
      </w:r>
      <w:r w:rsidRPr="000233B9">
        <w:rPr>
          <w:rFonts w:eastAsiaTheme="minorEastAsia"/>
          <w:spacing w:val="-4"/>
          <w:rtl/>
        </w:rPr>
        <w:t>7</w:t>
      </w:r>
      <w:r w:rsidRPr="00C66A65">
        <w:rPr>
          <w:rFonts w:eastAsiaTheme="minorEastAsia"/>
          <w:spacing w:val="-4"/>
          <w:rtl/>
        </w:rPr>
        <w:t xml:space="preserve"> من العهد فيما يخص صاحبتي البلاغ.</w:t>
      </w:r>
    </w:p>
    <w:p w14:paraId="50815413" w14:textId="0C833EFD" w:rsidR="00C66A65" w:rsidRPr="00C66A65" w:rsidRDefault="00C66A65" w:rsidP="00C66A65">
      <w:pPr>
        <w:pStyle w:val="SingleTxtGA"/>
        <w:jc w:val="center"/>
        <w:rPr>
          <w:u w:val="single"/>
          <w:rtl/>
        </w:rPr>
      </w:pPr>
      <w:r>
        <w:rPr>
          <w:u w:val="single"/>
          <w:rtl/>
        </w:rPr>
        <w:tab/>
      </w:r>
      <w:r>
        <w:rPr>
          <w:u w:val="single"/>
          <w:rtl/>
        </w:rPr>
        <w:tab/>
      </w:r>
      <w:r>
        <w:rPr>
          <w:u w:val="single"/>
          <w:rtl/>
        </w:rPr>
        <w:tab/>
      </w:r>
    </w:p>
    <w:sectPr w:rsidR="00C66A65" w:rsidRPr="00C66A65" w:rsidSect="005A3986">
      <w:headerReference w:type="first" r:id="rId17"/>
      <w:footerReference w:type="first" r:id="rId18"/>
      <w:footnotePr>
        <w:numRestart w:val="eachPage"/>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4A5F" w14:textId="77777777" w:rsidR="00C2559A" w:rsidRPr="002901D9" w:rsidRDefault="00C2559A" w:rsidP="00DC4D4B">
      <w:pPr>
        <w:spacing w:after="60" w:line="240" w:lineRule="auto"/>
        <w:ind w:left="57"/>
        <w:rPr>
          <w:i/>
          <w:iCs/>
        </w:rPr>
      </w:pPr>
      <w:r>
        <w:rPr>
          <w:rFonts w:hint="cs"/>
          <w:i/>
          <w:iCs/>
          <w:rtl/>
        </w:rPr>
        <w:t>الحواشي</w:t>
      </w:r>
    </w:p>
  </w:endnote>
  <w:endnote w:type="continuationSeparator" w:id="0">
    <w:p w14:paraId="1CEDD427" w14:textId="77777777" w:rsidR="00C2559A" w:rsidRDefault="00C2559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258F" w14:textId="4C483BCE" w:rsidR="00C2559A" w:rsidRPr="00FA30BC" w:rsidRDefault="00C2559A" w:rsidP="00FA30BC">
    <w:pPr>
      <w:pStyle w:val="Footer"/>
      <w:tabs>
        <w:tab w:val="right" w:pos="9638"/>
      </w:tabs>
      <w:rPr>
        <w:b/>
        <w:sz w:val="18"/>
        <w:lang w:val="en-US"/>
      </w:rPr>
    </w:pPr>
    <w:r>
      <w:rPr>
        <w:lang w:val="en-US"/>
      </w:rPr>
      <w:t>GE.21-06035</w:t>
    </w:r>
    <w:r>
      <w:rPr>
        <w:lang w:val="en-US"/>
      </w:rPr>
      <w:tab/>
    </w:r>
    <w:r w:rsidRPr="00FA30BC">
      <w:rPr>
        <w:b/>
        <w:sz w:val="18"/>
        <w:lang w:val="en-US"/>
      </w:rPr>
      <w:fldChar w:fldCharType="begin"/>
    </w:r>
    <w:r w:rsidRPr="00FA30BC">
      <w:rPr>
        <w:b/>
        <w:sz w:val="18"/>
        <w:lang w:val="en-US"/>
      </w:rPr>
      <w:instrText xml:space="preserve"> PAGE  \* MERGEFORMAT </w:instrText>
    </w:r>
    <w:r w:rsidRPr="00FA30BC">
      <w:rPr>
        <w:b/>
        <w:sz w:val="18"/>
        <w:lang w:val="en-US"/>
      </w:rPr>
      <w:fldChar w:fldCharType="separate"/>
    </w:r>
    <w:r w:rsidRPr="00FA30BC">
      <w:rPr>
        <w:b/>
        <w:noProof/>
        <w:sz w:val="18"/>
        <w:lang w:val="en-US"/>
      </w:rPr>
      <w:t>2</w:t>
    </w:r>
    <w:r w:rsidRPr="00FA30B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7D95" w14:textId="2E9209CA" w:rsidR="00C2559A" w:rsidRPr="00FA30BC" w:rsidRDefault="00C2559A" w:rsidP="00FA30B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GE.21-06035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8DCD" w14:textId="7D711C53" w:rsidR="00185168" w:rsidRPr="002D5A12" w:rsidRDefault="00185168" w:rsidP="00185168">
    <w:pPr>
      <w:pStyle w:val="Footer"/>
      <w:spacing w:before="600"/>
      <w:ind w:left="567"/>
      <w:jc w:val="right"/>
      <w:rPr>
        <w:sz w:val="20"/>
        <w:lang w:val="en-US"/>
      </w:rPr>
    </w:pPr>
    <w:r>
      <w:rPr>
        <w:sz w:val="20"/>
        <w:lang w:val="en-US"/>
      </w:rPr>
      <w:t>GE.</w:t>
    </w:r>
    <w:r>
      <w:rPr>
        <w:noProof/>
      </w:rPr>
      <w:drawing>
        <wp:anchor distT="0" distB="0" distL="114300" distR="114300" simplePos="0" relativeHeight="251659264" behindDoc="1" locked="1" layoutInCell="0" allowOverlap="1" wp14:anchorId="33ACB9A1" wp14:editId="045A2C4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w:t>
    </w:r>
    <w:r>
      <w:rPr>
        <w:sz w:val="20"/>
        <w:lang w:val="en-US"/>
      </w:rPr>
      <w:t>6035</w:t>
    </w:r>
    <w:r>
      <w:rPr>
        <w:sz w:val="20"/>
        <w:lang w:val="en-US"/>
      </w:rPr>
      <w:t xml:space="preserve"> (A)</w:t>
    </w:r>
    <w:r w:rsidR="00A67F09">
      <w:rPr>
        <w:noProof/>
        <w:sz w:val="20"/>
        <w:lang w:val="en-US"/>
      </w:rPr>
      <w:drawing>
        <wp:anchor distT="0" distB="0" distL="114300" distR="114300" simplePos="0" relativeHeight="251660288" behindDoc="0" locked="0" layoutInCell="1" allowOverlap="1" wp14:anchorId="249CED12" wp14:editId="563D1D2C">
          <wp:simplePos x="0" y="0"/>
          <wp:positionH relativeFrom="margin">
            <wp:posOffset>0</wp:posOffset>
          </wp:positionH>
          <wp:positionV relativeFrom="margin">
            <wp:posOffset>8891905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5EDA7" w14:textId="135E11E1" w:rsidR="00C2559A" w:rsidRPr="00185168" w:rsidRDefault="00C2559A" w:rsidP="001851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7B9A" w14:textId="77777777" w:rsidR="00A67F09" w:rsidRPr="00FA30BC" w:rsidRDefault="00A67F09" w:rsidP="00A67F0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sz w:val="18"/>
        <w:lang w:val="en-US"/>
      </w:rPr>
      <w:t>15</w:t>
    </w:r>
    <w:r>
      <w:rPr>
        <w:b/>
        <w:sz w:val="18"/>
        <w:lang w:val="en-US"/>
      </w:rPr>
      <w:fldChar w:fldCharType="end"/>
    </w:r>
    <w:r>
      <w:rPr>
        <w:b/>
        <w:sz w:val="18"/>
        <w:lang w:val="en-US"/>
      </w:rPr>
      <w:tab/>
    </w:r>
    <w:r>
      <w:rPr>
        <w:lang w:val="en-US"/>
      </w:rPr>
      <w:t>GE.21-06035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9A17" w14:textId="77777777" w:rsidR="00A67F09" w:rsidRPr="00FA30BC" w:rsidRDefault="00A67F09" w:rsidP="00A67F0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sz w:val="18"/>
        <w:lang w:val="en-US"/>
      </w:rPr>
      <w:t>15</w:t>
    </w:r>
    <w:r>
      <w:rPr>
        <w:b/>
        <w:sz w:val="18"/>
        <w:lang w:val="en-US"/>
      </w:rPr>
      <w:fldChar w:fldCharType="end"/>
    </w:r>
    <w:r>
      <w:rPr>
        <w:b/>
        <w:sz w:val="18"/>
        <w:lang w:val="en-US"/>
      </w:rPr>
      <w:tab/>
    </w:r>
    <w:r>
      <w:rPr>
        <w:lang w:val="en-US"/>
      </w:rPr>
      <w:t>GE.21-06035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8139" w14:textId="77777777" w:rsidR="00C2559A" w:rsidRPr="000437B8" w:rsidRDefault="00C2559A" w:rsidP="00F10DAB">
      <w:pPr>
        <w:pStyle w:val="Footer"/>
        <w:bidi/>
        <w:spacing w:after="80" w:line="200" w:lineRule="exact"/>
        <w:ind w:left="680"/>
      </w:pPr>
      <w:r>
        <w:rPr>
          <w:rtl/>
        </w:rPr>
        <w:t>__________</w:t>
      </w:r>
    </w:p>
  </w:footnote>
  <w:footnote w:type="continuationSeparator" w:id="0">
    <w:p w14:paraId="3CD6AE1E" w14:textId="77777777" w:rsidR="00C2559A" w:rsidRDefault="00C2559A" w:rsidP="00656392">
      <w:pPr>
        <w:spacing w:line="240" w:lineRule="auto"/>
      </w:pPr>
      <w:r>
        <w:continuationSeparator/>
      </w:r>
    </w:p>
  </w:footnote>
  <w:footnote w:id="1">
    <w:p w14:paraId="4E149341" w14:textId="463BF072" w:rsidR="00C2559A" w:rsidRPr="00C66A65" w:rsidRDefault="00C2559A" w:rsidP="00C66A65">
      <w:pPr>
        <w:pStyle w:val="FootnoteText1"/>
        <w:rPr>
          <w:rtl/>
        </w:rPr>
      </w:pPr>
      <w:r w:rsidRPr="00A9036D">
        <w:rPr>
          <w:sz w:val="20"/>
          <w:szCs w:val="20"/>
          <w:rtl/>
        </w:rPr>
        <w:t>*</w:t>
      </w:r>
      <w:r w:rsidRPr="00C66A65">
        <w:rPr>
          <w:rtl/>
        </w:rPr>
        <w:tab/>
      </w:r>
      <w:r w:rsidRPr="00C66A65">
        <w:rPr>
          <w:rFonts w:eastAsiaTheme="minorEastAsia"/>
          <w:rtl/>
        </w:rPr>
        <w:t xml:space="preserve">اعتمدته اللجنة في دورتها </w:t>
      </w:r>
      <w:r w:rsidRPr="000233B9">
        <w:rPr>
          <w:rFonts w:eastAsiaTheme="minorEastAsia"/>
          <w:rtl/>
        </w:rPr>
        <w:t>130</w:t>
      </w:r>
      <w:r w:rsidRPr="00C66A65">
        <w:rPr>
          <w:rFonts w:eastAsiaTheme="minorEastAsia"/>
          <w:rtl/>
        </w:rPr>
        <w:t xml:space="preserve"> (</w:t>
      </w:r>
      <w:r w:rsidRPr="000233B9">
        <w:rPr>
          <w:rFonts w:eastAsiaTheme="minorEastAsia"/>
          <w:rtl/>
        </w:rPr>
        <w:t>12</w:t>
      </w:r>
      <w:r w:rsidRPr="00C66A65">
        <w:rPr>
          <w:rFonts w:eastAsiaTheme="minorEastAsia"/>
          <w:rtl/>
        </w:rPr>
        <w:t xml:space="preserve"> تشرين الأول/أكتوبر - </w:t>
      </w:r>
      <w:r w:rsidRPr="000233B9">
        <w:rPr>
          <w:rFonts w:eastAsiaTheme="minorEastAsia"/>
          <w:rtl/>
        </w:rPr>
        <w:t>6</w:t>
      </w:r>
      <w:r w:rsidRPr="00C66A65">
        <w:rPr>
          <w:rFonts w:eastAsiaTheme="minorEastAsia"/>
          <w:rtl/>
        </w:rPr>
        <w:t xml:space="preserve"> تشرين الثاني/نوفمبر </w:t>
      </w:r>
      <w:r w:rsidRPr="000233B9">
        <w:rPr>
          <w:rFonts w:eastAsiaTheme="minorEastAsia"/>
          <w:rtl/>
        </w:rPr>
        <w:t>2020</w:t>
      </w:r>
      <w:r w:rsidRPr="00C66A65">
        <w:rPr>
          <w:rFonts w:eastAsiaTheme="minorEastAsia"/>
          <w:rtl/>
        </w:rPr>
        <w:t>).</w:t>
      </w:r>
    </w:p>
  </w:footnote>
  <w:footnote w:id="2">
    <w:p w14:paraId="37800981" w14:textId="4380DB72" w:rsidR="00C2559A" w:rsidRPr="00C66A65" w:rsidRDefault="00C2559A" w:rsidP="00C66A65">
      <w:pPr>
        <w:pStyle w:val="FootnoteText1"/>
        <w:rPr>
          <w:rtl/>
        </w:rPr>
      </w:pPr>
      <w:r w:rsidRPr="00A9036D">
        <w:rPr>
          <w:sz w:val="20"/>
          <w:szCs w:val="20"/>
          <w:rtl/>
        </w:rPr>
        <w:t>**</w:t>
      </w:r>
      <w:r w:rsidRPr="00C66A65">
        <w:rPr>
          <w:rtl/>
        </w:rPr>
        <w:tab/>
      </w:r>
      <w:r w:rsidRPr="00C66A65">
        <w:rPr>
          <w:rFonts w:eastAsiaTheme="minorEastAsia"/>
          <w:rtl/>
        </w:rPr>
        <w:t xml:space="preserve">شارك في دراسة هذا البلاغ أعضاء اللجنة التالية أسماؤهم: عياض بن عاشور، عارف بلقان، أحمد أمين فتح الله، </w:t>
      </w:r>
      <w:proofErr w:type="spellStart"/>
      <w:r w:rsidRPr="00C66A65">
        <w:rPr>
          <w:rFonts w:eastAsiaTheme="minorEastAsia"/>
          <w:rtl/>
        </w:rPr>
        <w:t>فورويا</w:t>
      </w:r>
      <w:proofErr w:type="spellEnd"/>
      <w:r w:rsidRPr="00C66A65">
        <w:rPr>
          <w:rFonts w:eastAsiaTheme="minorEastAsia"/>
          <w:rtl/>
        </w:rPr>
        <w:t xml:space="preserve"> </w:t>
      </w:r>
      <w:proofErr w:type="spellStart"/>
      <w:r w:rsidRPr="00C66A65">
        <w:rPr>
          <w:rFonts w:eastAsiaTheme="minorEastAsia"/>
          <w:rtl/>
        </w:rPr>
        <w:t>شويتشي</w:t>
      </w:r>
      <w:proofErr w:type="spellEnd"/>
      <w:r w:rsidRPr="00C66A65">
        <w:rPr>
          <w:rFonts w:eastAsiaTheme="minorEastAsia"/>
          <w:rtl/>
        </w:rPr>
        <w:t xml:space="preserve">، كريستوف </w:t>
      </w:r>
      <w:proofErr w:type="spellStart"/>
      <w:r w:rsidRPr="00C66A65">
        <w:rPr>
          <w:rFonts w:eastAsiaTheme="minorEastAsia"/>
          <w:rtl/>
        </w:rPr>
        <w:t>هاينز</w:t>
      </w:r>
      <w:proofErr w:type="spellEnd"/>
      <w:r w:rsidRPr="00C66A65">
        <w:rPr>
          <w:rFonts w:eastAsiaTheme="minorEastAsia"/>
          <w:rtl/>
        </w:rPr>
        <w:t xml:space="preserve">، </w:t>
      </w:r>
      <w:proofErr w:type="spellStart"/>
      <w:r w:rsidRPr="00C66A65">
        <w:rPr>
          <w:rFonts w:eastAsiaTheme="minorEastAsia"/>
          <w:rtl/>
        </w:rPr>
        <w:t>مارسيا</w:t>
      </w:r>
      <w:proofErr w:type="spellEnd"/>
      <w:r w:rsidRPr="00C66A65">
        <w:rPr>
          <w:rFonts w:eastAsiaTheme="minorEastAsia"/>
          <w:rtl/>
        </w:rPr>
        <w:t xml:space="preserve"> ف. ج. كران، ديفيد ه. مور، فوتيني </w:t>
      </w:r>
      <w:proofErr w:type="spellStart"/>
      <w:r w:rsidRPr="00C66A65">
        <w:rPr>
          <w:rFonts w:eastAsiaTheme="minorEastAsia"/>
          <w:rtl/>
        </w:rPr>
        <w:t>بزاغتزيس</w:t>
      </w:r>
      <w:proofErr w:type="spellEnd"/>
      <w:r w:rsidRPr="00C66A65">
        <w:rPr>
          <w:rFonts w:eastAsiaTheme="minorEastAsia"/>
          <w:rtl/>
        </w:rPr>
        <w:t xml:space="preserve">، </w:t>
      </w:r>
      <w:proofErr w:type="spellStart"/>
      <w:r w:rsidRPr="00C66A65">
        <w:rPr>
          <w:rFonts w:eastAsiaTheme="minorEastAsia"/>
          <w:rtl/>
        </w:rPr>
        <w:t>هيرنان</w:t>
      </w:r>
      <w:proofErr w:type="spellEnd"/>
      <w:r w:rsidRPr="00C66A65">
        <w:rPr>
          <w:rFonts w:eastAsiaTheme="minorEastAsia"/>
          <w:rtl/>
        </w:rPr>
        <w:t xml:space="preserve"> </w:t>
      </w:r>
      <w:proofErr w:type="spellStart"/>
      <w:r w:rsidRPr="00C66A65">
        <w:rPr>
          <w:rFonts w:eastAsiaTheme="minorEastAsia"/>
          <w:rtl/>
        </w:rPr>
        <w:t>كيسادا</w:t>
      </w:r>
      <w:proofErr w:type="spellEnd"/>
      <w:r w:rsidRPr="00C66A65">
        <w:rPr>
          <w:rFonts w:eastAsiaTheme="minorEastAsia"/>
          <w:rtl/>
        </w:rPr>
        <w:t xml:space="preserve"> </w:t>
      </w:r>
      <w:proofErr w:type="spellStart"/>
      <w:r w:rsidRPr="00C66A65">
        <w:rPr>
          <w:rFonts w:eastAsiaTheme="minorEastAsia"/>
          <w:rtl/>
        </w:rPr>
        <w:t>كابريرا</w:t>
      </w:r>
      <w:proofErr w:type="spellEnd"/>
      <w:r w:rsidRPr="00C66A65">
        <w:rPr>
          <w:rFonts w:eastAsiaTheme="minorEastAsia"/>
          <w:rtl/>
        </w:rPr>
        <w:t xml:space="preserve">، </w:t>
      </w:r>
      <w:proofErr w:type="spellStart"/>
      <w:r w:rsidRPr="00C66A65">
        <w:rPr>
          <w:rFonts w:eastAsiaTheme="minorEastAsia"/>
          <w:rtl/>
        </w:rPr>
        <w:t>فاسيلكا</w:t>
      </w:r>
      <w:proofErr w:type="spellEnd"/>
      <w:r w:rsidRPr="00C66A65">
        <w:rPr>
          <w:rFonts w:eastAsiaTheme="minorEastAsia"/>
          <w:rtl/>
        </w:rPr>
        <w:t xml:space="preserve"> </w:t>
      </w:r>
      <w:proofErr w:type="spellStart"/>
      <w:r w:rsidRPr="00C66A65">
        <w:rPr>
          <w:rFonts w:eastAsiaTheme="minorEastAsia"/>
          <w:rtl/>
        </w:rPr>
        <w:t>سانسين</w:t>
      </w:r>
      <w:proofErr w:type="spellEnd"/>
      <w:r w:rsidRPr="00C66A65">
        <w:rPr>
          <w:rFonts w:eastAsiaTheme="minorEastAsia"/>
          <w:rtl/>
        </w:rPr>
        <w:t xml:space="preserve">، خوسيه مانويل سانتوس بيس، يوفال </w:t>
      </w:r>
      <w:proofErr w:type="spellStart"/>
      <w:r w:rsidRPr="00C66A65">
        <w:rPr>
          <w:rFonts w:eastAsiaTheme="minorEastAsia"/>
          <w:rtl/>
        </w:rPr>
        <w:t>شاني</w:t>
      </w:r>
      <w:proofErr w:type="spellEnd"/>
      <w:r w:rsidRPr="00C66A65">
        <w:rPr>
          <w:rFonts w:eastAsiaTheme="minorEastAsia"/>
          <w:rtl/>
        </w:rPr>
        <w:t xml:space="preserve">، إيلين </w:t>
      </w:r>
      <w:proofErr w:type="spellStart"/>
      <w:r w:rsidRPr="00C66A65">
        <w:rPr>
          <w:rFonts w:eastAsiaTheme="minorEastAsia"/>
          <w:rtl/>
        </w:rPr>
        <w:t>تيغرودجا</w:t>
      </w:r>
      <w:proofErr w:type="spellEnd"/>
      <w:r w:rsidRPr="00C66A65">
        <w:rPr>
          <w:rFonts w:eastAsiaTheme="minorEastAsia"/>
          <w:rtl/>
        </w:rPr>
        <w:t xml:space="preserve">، </w:t>
      </w:r>
      <w:proofErr w:type="spellStart"/>
      <w:r w:rsidRPr="00C66A65">
        <w:rPr>
          <w:rFonts w:eastAsiaTheme="minorEastAsia"/>
          <w:rtl/>
        </w:rPr>
        <w:t>جينتيان</w:t>
      </w:r>
      <w:proofErr w:type="spellEnd"/>
      <w:r w:rsidRPr="00C66A65">
        <w:rPr>
          <w:rFonts w:eastAsiaTheme="minorEastAsia"/>
          <w:rtl/>
        </w:rPr>
        <w:t xml:space="preserve"> زبيري.</w:t>
      </w:r>
    </w:p>
  </w:footnote>
  <w:footnote w:id="3">
    <w:p w14:paraId="3FA202C1" w14:textId="743262BD" w:rsidR="00C2559A" w:rsidRPr="00C66A65" w:rsidRDefault="00C2559A" w:rsidP="00C66A65">
      <w:pPr>
        <w:pStyle w:val="FootnoteText1"/>
        <w:rPr>
          <w:rtl/>
        </w:rPr>
      </w:pPr>
      <w:r w:rsidRPr="00A9036D">
        <w:rPr>
          <w:sz w:val="20"/>
          <w:szCs w:val="20"/>
          <w:rtl/>
        </w:rPr>
        <w:t>***</w:t>
      </w:r>
      <w:r w:rsidRPr="00C66A65">
        <w:rPr>
          <w:rtl/>
        </w:rPr>
        <w:tab/>
        <w:t>يرد في مرفق هذا القرار رأي مشترك (متفق) لخمسة أعضاء في اللجنة ورأيان مشتركان (مخالفان جزئياً) لستة أعضاء في اللجنة.</w:t>
      </w:r>
    </w:p>
  </w:footnote>
  <w:footnote w:id="4">
    <w:p w14:paraId="191AB561" w14:textId="1505A4FA" w:rsidR="00C2559A" w:rsidRPr="00C66A65" w:rsidRDefault="00C2559A" w:rsidP="007D3E54">
      <w:pPr>
        <w:pStyle w:val="FootnoteText1"/>
        <w:textDirection w:val="tbRlV"/>
        <w:rPr>
          <w:rFonts w:eastAsiaTheme="minorEastAsia"/>
          <w:lang w:val="fr-CH" w:eastAsia="zh-TW" w:bidi="en-GB"/>
        </w:rPr>
      </w:pPr>
      <w:r w:rsidRPr="00C66A65">
        <w:rPr>
          <w:rStyle w:val="FootnoteReference"/>
          <w:rFonts w:eastAsiaTheme="minorEastAsia"/>
          <w:vertAlign w:val="baseline"/>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محكمة التحقيق المركزية رقم </w:t>
      </w:r>
      <w:r w:rsidRPr="000233B9">
        <w:rPr>
          <w:rFonts w:eastAsiaTheme="minorEastAsia"/>
          <w:rtl/>
        </w:rPr>
        <w:t>5</w:t>
      </w:r>
      <w:r w:rsidRPr="00C66A65">
        <w:rPr>
          <w:rFonts w:eastAsiaTheme="minorEastAsia"/>
          <w:rtl/>
        </w:rPr>
        <w:t xml:space="preserve"> التابعة للمحكمة الوطنية العليا، الأمر الصادر في </w:t>
      </w:r>
      <w:r w:rsidRPr="000233B9">
        <w:rPr>
          <w:rFonts w:eastAsiaTheme="minorEastAsia"/>
          <w:rtl/>
        </w:rPr>
        <w:t>16</w:t>
      </w:r>
      <w:r w:rsidRPr="00C66A65">
        <w:rPr>
          <w:rFonts w:eastAsiaTheme="minorEastAsia"/>
          <w:rtl/>
        </w:rPr>
        <w:t xml:space="preserve"> تشرين الأول/أكتوبر </w:t>
      </w:r>
      <w:r w:rsidRPr="000233B9">
        <w:rPr>
          <w:rFonts w:eastAsiaTheme="minorEastAsia"/>
          <w:rtl/>
        </w:rPr>
        <w:t>2008</w:t>
      </w:r>
      <w:r w:rsidRPr="00C66A65">
        <w:rPr>
          <w:rFonts w:eastAsiaTheme="minorEastAsia"/>
          <w:rtl/>
        </w:rPr>
        <w:t xml:space="preserve">، الصفحة </w:t>
      </w:r>
      <w:r w:rsidRPr="000233B9">
        <w:rPr>
          <w:rFonts w:eastAsiaTheme="minorEastAsia"/>
          <w:rtl/>
        </w:rPr>
        <w:t>24</w:t>
      </w:r>
      <w:r w:rsidRPr="00C66A65">
        <w:rPr>
          <w:rFonts w:eastAsiaTheme="minorEastAsia"/>
          <w:rtl/>
        </w:rPr>
        <w:t>.</w:t>
      </w:r>
    </w:p>
  </w:footnote>
  <w:footnote w:id="5">
    <w:p w14:paraId="6CFFA89C" w14:textId="7C38D8CC" w:rsidR="00C2559A" w:rsidRPr="00C66A65" w:rsidRDefault="00C2559A" w:rsidP="007D3E54">
      <w:pPr>
        <w:pStyle w:val="FootnoteText1"/>
        <w:textDirection w:val="tbRlV"/>
        <w:rPr>
          <w:rFonts w:eastAsiaTheme="minorEastAsia"/>
          <w:lang w:val="es-ES"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lang w:val="es-ES"/>
        </w:rPr>
        <w:t>Brunner, José, “</w:t>
      </w:r>
      <w:r w:rsidRPr="00C66A65">
        <w:rPr>
          <w:rFonts w:eastAsiaTheme="minorEastAsia"/>
          <w:lang w:val="es-ES_tradnl"/>
        </w:rPr>
        <w:t xml:space="preserve">Ironías de la historia española: observaciones sobre la política </w:t>
      </w:r>
      <w:proofErr w:type="spellStart"/>
      <w:r w:rsidRPr="00C66A65">
        <w:rPr>
          <w:rFonts w:eastAsiaTheme="minorEastAsia"/>
          <w:lang w:val="es-ES_tradnl"/>
        </w:rPr>
        <w:t>post-fascista</w:t>
      </w:r>
      <w:proofErr w:type="spellEnd"/>
      <w:r w:rsidRPr="00C66A65">
        <w:rPr>
          <w:rFonts w:eastAsiaTheme="minorEastAsia"/>
          <w:lang w:val="es-ES_tradnl"/>
        </w:rPr>
        <w:t xml:space="preserve"> de</w:t>
      </w:r>
      <w:r w:rsidR="00F3404A">
        <w:rPr>
          <w:rFonts w:eastAsiaTheme="minorEastAsia"/>
          <w:lang w:val="es-ES_tradnl"/>
        </w:rPr>
        <w:br/>
      </w:r>
      <w:r w:rsidRPr="00C66A65">
        <w:rPr>
          <w:rFonts w:eastAsiaTheme="minorEastAsia"/>
          <w:lang w:val="es-ES_tradnl"/>
        </w:rPr>
        <w:t xml:space="preserve">olvido y </w:t>
      </w:r>
      <w:proofErr w:type="gramStart"/>
      <w:r w:rsidRPr="00C66A65">
        <w:rPr>
          <w:rFonts w:eastAsiaTheme="minorEastAsia"/>
          <w:lang w:val="es-ES_tradnl"/>
        </w:rPr>
        <w:t>memoria</w:t>
      </w:r>
      <w:r w:rsidRPr="00C66A65">
        <w:rPr>
          <w:rFonts w:eastAsiaTheme="minorEastAsia"/>
          <w:lang w:val="es-ES"/>
        </w:rPr>
        <w:t>”,</w:t>
      </w:r>
      <w:proofErr w:type="gramEnd"/>
      <w:r w:rsidRPr="00C66A65">
        <w:rPr>
          <w:rFonts w:eastAsiaTheme="minorEastAsia"/>
          <w:lang w:val="es-ES"/>
        </w:rPr>
        <w:t xml:space="preserve"> in </w:t>
      </w:r>
      <w:r w:rsidRPr="000233B9">
        <w:rPr>
          <w:rFonts w:eastAsiaTheme="minorEastAsia"/>
          <w:i/>
          <w:iCs/>
          <w:lang w:val="es-ES"/>
        </w:rPr>
        <w:t>Historia Contemporánea</w:t>
      </w:r>
      <w:r w:rsidRPr="00C66A65">
        <w:rPr>
          <w:rFonts w:eastAsiaTheme="minorEastAsia"/>
          <w:lang w:val="es-ES"/>
        </w:rPr>
        <w:t xml:space="preserve">, No. </w:t>
      </w:r>
      <w:r w:rsidRPr="000233B9">
        <w:rPr>
          <w:rFonts w:eastAsiaTheme="minorEastAsia"/>
          <w:lang w:val="es-ES"/>
        </w:rPr>
        <w:t>38</w:t>
      </w:r>
      <w:r w:rsidRPr="00C66A65">
        <w:rPr>
          <w:rFonts w:eastAsiaTheme="minorEastAsia"/>
          <w:lang w:val="es-ES"/>
        </w:rPr>
        <w:t xml:space="preserve"> (</w:t>
      </w:r>
      <w:r w:rsidRPr="000233B9">
        <w:rPr>
          <w:rFonts w:eastAsiaTheme="minorEastAsia"/>
          <w:lang w:val="es-ES"/>
        </w:rPr>
        <w:t>2010</w:t>
      </w:r>
      <w:r w:rsidRPr="00C66A65">
        <w:rPr>
          <w:rFonts w:eastAsiaTheme="minorEastAsia"/>
          <w:lang w:val="es-ES"/>
        </w:rPr>
        <w:t xml:space="preserve">), pp. </w:t>
      </w:r>
      <w:r w:rsidRPr="000233B9">
        <w:rPr>
          <w:rFonts w:eastAsiaTheme="minorEastAsia"/>
          <w:lang w:val="es-ES"/>
        </w:rPr>
        <w:t>163</w:t>
      </w:r>
      <w:r w:rsidRPr="00C66A65">
        <w:rPr>
          <w:rFonts w:eastAsiaTheme="minorEastAsia"/>
          <w:lang w:val="es-ES"/>
        </w:rPr>
        <w:t>–</w:t>
      </w:r>
      <w:r w:rsidRPr="000233B9">
        <w:rPr>
          <w:rFonts w:eastAsiaTheme="minorEastAsia"/>
          <w:lang w:val="es-ES"/>
        </w:rPr>
        <w:t>183</w:t>
      </w:r>
      <w:r w:rsidRPr="00C66A65">
        <w:rPr>
          <w:rFonts w:eastAsiaTheme="minorEastAsia"/>
          <w:rtl/>
        </w:rPr>
        <w:t>.</w:t>
      </w:r>
    </w:p>
  </w:footnote>
  <w:footnote w:id="6">
    <w:p w14:paraId="0E69558C" w14:textId="57234331"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E/CN.</w:t>
      </w:r>
      <w:r w:rsidRPr="000233B9">
        <w:rPr>
          <w:rFonts w:eastAsiaTheme="minorEastAsia"/>
        </w:rPr>
        <w:t>4</w:t>
      </w:r>
      <w:r w:rsidRPr="00C66A65">
        <w:rPr>
          <w:rFonts w:eastAsiaTheme="minorEastAsia"/>
        </w:rPr>
        <w:t>/</w:t>
      </w:r>
      <w:r w:rsidRPr="000233B9">
        <w:rPr>
          <w:rFonts w:eastAsiaTheme="minorEastAsia"/>
        </w:rPr>
        <w:t>2003</w:t>
      </w:r>
      <w:r w:rsidRPr="00C66A65">
        <w:rPr>
          <w:rFonts w:eastAsiaTheme="minorEastAsia"/>
        </w:rPr>
        <w:t>/</w:t>
      </w:r>
      <w:r w:rsidRPr="000233B9">
        <w:rPr>
          <w:rFonts w:eastAsiaTheme="minorEastAsia"/>
        </w:rPr>
        <w:t>70</w:t>
      </w:r>
      <w:r w:rsidRPr="00C66A65">
        <w:rPr>
          <w:rFonts w:eastAsiaTheme="minorEastAsia"/>
          <w:rtl/>
        </w:rPr>
        <w:t xml:space="preserve"> وCorr.</w:t>
      </w:r>
      <w:r w:rsidRPr="000233B9">
        <w:rPr>
          <w:rFonts w:eastAsiaTheme="minorEastAsia"/>
          <w:rtl/>
        </w:rPr>
        <w:t>1</w:t>
      </w:r>
      <w:r w:rsidRPr="00C66A65">
        <w:rPr>
          <w:rFonts w:eastAsiaTheme="minorEastAsia"/>
          <w:rtl/>
        </w:rPr>
        <w:t xml:space="preserve"> و</w:t>
      </w:r>
      <w:r w:rsidRPr="000233B9">
        <w:rPr>
          <w:rFonts w:eastAsiaTheme="minorEastAsia"/>
          <w:rtl/>
        </w:rPr>
        <w:t>2</w:t>
      </w:r>
      <w:r w:rsidRPr="00C66A65">
        <w:rPr>
          <w:rFonts w:eastAsiaTheme="minorEastAsia"/>
          <w:rtl/>
        </w:rPr>
        <w:t>.</w:t>
      </w:r>
      <w:r w:rsidRPr="00C66A65">
        <w:rPr>
          <w:rFonts w:eastAsiaTheme="minorEastAsia" w:cs="Times New Roman" w:hint="cs"/>
          <w:rtl/>
        </w:rPr>
        <w:t>‬</w:t>
      </w:r>
    </w:p>
  </w:footnote>
  <w:footnote w:id="7">
    <w:p w14:paraId="08F14709" w14:textId="481F8EC0" w:rsidR="00C2559A" w:rsidRPr="007A627B" w:rsidRDefault="00C2559A" w:rsidP="007D3E54">
      <w:pPr>
        <w:pStyle w:val="FootnoteText1"/>
        <w:textDirection w:val="tbRlV"/>
        <w:rPr>
          <w:rFonts w:eastAsiaTheme="minorEastAsia"/>
          <w:spacing w:val="-4"/>
          <w:lang w:val="fr-CH" w:eastAsia="zh-TW" w:bidi="en-GB"/>
        </w:rPr>
      </w:pPr>
      <w:r w:rsidRPr="007A627B">
        <w:rPr>
          <w:rFonts w:eastAsiaTheme="minorEastAsia"/>
          <w:spacing w:val="-4"/>
          <w:rtl/>
        </w:rPr>
        <w:t>(</w:t>
      </w:r>
      <w:r w:rsidRPr="000233B9">
        <w:rPr>
          <w:rStyle w:val="FootnoteReference"/>
          <w:rFonts w:eastAsiaTheme="minorEastAsia"/>
          <w:spacing w:val="-4"/>
          <w:vertAlign w:val="baseline"/>
        </w:rPr>
        <w:footnoteRef/>
      </w:r>
      <w:r w:rsidRPr="007A627B">
        <w:rPr>
          <w:rStyle w:val="FootnoteReference"/>
          <w:rFonts w:eastAsiaTheme="minorEastAsia"/>
          <w:spacing w:val="-4"/>
          <w:vertAlign w:val="baseline"/>
          <w:rtl/>
        </w:rPr>
        <w:t>)</w:t>
      </w:r>
      <w:r w:rsidRPr="007A627B">
        <w:rPr>
          <w:rFonts w:eastAsiaTheme="minorEastAsia"/>
          <w:spacing w:val="-4"/>
          <w:rtl/>
        </w:rPr>
        <w:tab/>
        <w:t xml:space="preserve">محكمة التحقيق المركزية رقم </w:t>
      </w:r>
      <w:r w:rsidRPr="000233B9">
        <w:rPr>
          <w:rFonts w:eastAsiaTheme="minorEastAsia"/>
          <w:spacing w:val="-4"/>
          <w:rtl/>
        </w:rPr>
        <w:t>5</w:t>
      </w:r>
      <w:r w:rsidRPr="007A627B">
        <w:rPr>
          <w:rFonts w:eastAsiaTheme="minorEastAsia"/>
          <w:spacing w:val="-4"/>
          <w:rtl/>
        </w:rPr>
        <w:t xml:space="preserve"> التابعة للمحكمة الوطنية العليا، الأمر الصادر في </w:t>
      </w:r>
      <w:r w:rsidRPr="000233B9">
        <w:rPr>
          <w:rFonts w:eastAsiaTheme="minorEastAsia"/>
          <w:spacing w:val="-4"/>
          <w:rtl/>
        </w:rPr>
        <w:t>16</w:t>
      </w:r>
      <w:r w:rsidRPr="007A627B">
        <w:rPr>
          <w:rFonts w:eastAsiaTheme="minorEastAsia"/>
          <w:spacing w:val="-4"/>
          <w:rtl/>
        </w:rPr>
        <w:t xml:space="preserve"> تشرين الأول/أكتوبر </w:t>
      </w:r>
      <w:r w:rsidRPr="000233B9">
        <w:rPr>
          <w:rFonts w:eastAsiaTheme="minorEastAsia"/>
          <w:spacing w:val="-4"/>
          <w:rtl/>
        </w:rPr>
        <w:t>2008</w:t>
      </w:r>
      <w:r w:rsidRPr="007A627B">
        <w:rPr>
          <w:rFonts w:eastAsiaTheme="minorEastAsia"/>
          <w:spacing w:val="-4"/>
          <w:rtl/>
        </w:rPr>
        <w:t xml:space="preserve">، الصفحتان </w:t>
      </w:r>
      <w:r w:rsidRPr="000233B9">
        <w:rPr>
          <w:rFonts w:eastAsiaTheme="minorEastAsia"/>
          <w:spacing w:val="-4"/>
          <w:rtl/>
        </w:rPr>
        <w:t>4</w:t>
      </w:r>
      <w:r w:rsidRPr="007A627B">
        <w:rPr>
          <w:rFonts w:eastAsiaTheme="minorEastAsia"/>
          <w:spacing w:val="-4"/>
          <w:rtl/>
        </w:rPr>
        <w:t xml:space="preserve"> و</w:t>
      </w:r>
      <w:r w:rsidRPr="000233B9">
        <w:rPr>
          <w:rFonts w:eastAsiaTheme="minorEastAsia"/>
          <w:spacing w:val="-4"/>
          <w:rtl/>
        </w:rPr>
        <w:t>16</w:t>
      </w:r>
      <w:r w:rsidRPr="007A627B">
        <w:rPr>
          <w:rFonts w:eastAsiaTheme="minorEastAsia"/>
          <w:spacing w:val="-4"/>
          <w:rtl/>
        </w:rPr>
        <w:t>.</w:t>
      </w:r>
    </w:p>
  </w:footnote>
  <w:footnote w:id="8">
    <w:p w14:paraId="162AA6FE" w14:textId="047BBEE9"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القانون رقم </w:t>
      </w:r>
      <w:r w:rsidRPr="000233B9">
        <w:rPr>
          <w:rFonts w:eastAsiaTheme="minorEastAsia"/>
          <w:rtl/>
        </w:rPr>
        <w:t>52</w:t>
      </w:r>
      <w:r w:rsidRPr="00C66A65">
        <w:rPr>
          <w:rFonts w:eastAsiaTheme="minorEastAsia"/>
          <w:rtl/>
        </w:rPr>
        <w:t>/</w:t>
      </w:r>
      <w:r w:rsidRPr="000233B9">
        <w:rPr>
          <w:rFonts w:eastAsiaTheme="minorEastAsia"/>
          <w:rtl/>
        </w:rPr>
        <w:t>2007</w:t>
      </w:r>
      <w:r w:rsidRPr="00C66A65">
        <w:rPr>
          <w:rFonts w:eastAsiaTheme="minorEastAsia"/>
          <w:rtl/>
        </w:rPr>
        <w:t xml:space="preserve"> المؤرخ </w:t>
      </w:r>
      <w:r w:rsidRPr="000233B9">
        <w:rPr>
          <w:rFonts w:eastAsiaTheme="minorEastAsia"/>
          <w:rtl/>
        </w:rPr>
        <w:t>26</w:t>
      </w:r>
      <w:r w:rsidRPr="00C66A65">
        <w:rPr>
          <w:rFonts w:eastAsiaTheme="minorEastAsia"/>
          <w:rtl/>
        </w:rPr>
        <w:t xml:space="preserve"> كانون الأول/ديسمبر، الذي يعترف بالحقوق ويوسع نطاقها، ويضع تدابير لصالح الأشخاص الذين تعرضوا للاضطهاد أو العنف خلال الحرب الأهلية والدكتاتورية.</w:t>
      </w:r>
    </w:p>
  </w:footnote>
  <w:footnote w:id="9">
    <w:p w14:paraId="747E0A2A" w14:textId="31CF6D73"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الحكم رقم </w:t>
      </w:r>
      <w:r w:rsidRPr="000233B9">
        <w:rPr>
          <w:rFonts w:eastAsiaTheme="minorEastAsia"/>
          <w:rtl/>
        </w:rPr>
        <w:t>798</w:t>
      </w:r>
      <w:r w:rsidRPr="00C66A65">
        <w:rPr>
          <w:rFonts w:eastAsiaTheme="minorEastAsia"/>
          <w:rtl/>
        </w:rPr>
        <w:t>/</w:t>
      </w:r>
      <w:r w:rsidRPr="000233B9">
        <w:rPr>
          <w:rFonts w:eastAsiaTheme="minorEastAsia"/>
          <w:rtl/>
        </w:rPr>
        <w:t>2007</w:t>
      </w:r>
      <w:r w:rsidRPr="00C66A65">
        <w:rPr>
          <w:rFonts w:eastAsiaTheme="minorEastAsia"/>
          <w:rtl/>
        </w:rPr>
        <w:t xml:space="preserve"> الصادر عن المحكمة العليا.</w:t>
      </w:r>
    </w:p>
  </w:footnote>
  <w:footnote w:id="10">
    <w:p w14:paraId="77FB0780" w14:textId="7BA0166F"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لأنه لا يرقى إلى مستوى المعايير الدولية المتعلقة بالعدالة والحقيقة والجبر.</w:t>
      </w:r>
    </w:p>
  </w:footnote>
  <w:footnote w:id="11">
    <w:p w14:paraId="3DFE1777" w14:textId="042B4074"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وتشيران إلى جملة قضايا من بينها قضية </w:t>
      </w:r>
      <w:proofErr w:type="spellStart"/>
      <w:r w:rsidRPr="000233B9">
        <w:rPr>
          <w:rFonts w:eastAsiaTheme="minorEastAsia"/>
          <w:i/>
          <w:iCs/>
          <w:rtl/>
        </w:rPr>
        <w:t>سانكارا</w:t>
      </w:r>
      <w:proofErr w:type="spellEnd"/>
      <w:r w:rsidRPr="000233B9">
        <w:rPr>
          <w:rFonts w:eastAsiaTheme="minorEastAsia"/>
          <w:i/>
          <w:iCs/>
          <w:rtl/>
        </w:rPr>
        <w:t xml:space="preserve"> وآخرين ضد بوركينا فاسو</w:t>
      </w:r>
      <w:r w:rsidRPr="00C66A65">
        <w:rPr>
          <w:rFonts w:eastAsiaTheme="minorEastAsia"/>
          <w:rtl/>
        </w:rPr>
        <w:t xml:space="preserve"> (</w:t>
      </w:r>
      <w:r w:rsidRPr="00C66A65">
        <w:rPr>
          <w:rFonts w:eastAsiaTheme="minorEastAsia"/>
        </w:rPr>
        <w:t>CCPR/C/</w:t>
      </w:r>
      <w:r w:rsidRPr="000233B9">
        <w:rPr>
          <w:rFonts w:eastAsiaTheme="minorEastAsia"/>
        </w:rPr>
        <w:t>86</w:t>
      </w:r>
      <w:r w:rsidRPr="00C66A65">
        <w:rPr>
          <w:rFonts w:eastAsiaTheme="minorEastAsia"/>
        </w:rPr>
        <w:t>/D/</w:t>
      </w:r>
      <w:r w:rsidRPr="000233B9">
        <w:rPr>
          <w:rFonts w:eastAsiaTheme="minorEastAsia"/>
        </w:rPr>
        <w:t>1159</w:t>
      </w:r>
      <w:r w:rsidRPr="00C66A65">
        <w:rPr>
          <w:rFonts w:eastAsiaTheme="minorEastAsia"/>
        </w:rPr>
        <w:t>/</w:t>
      </w:r>
      <w:r w:rsidRPr="000233B9">
        <w:rPr>
          <w:rFonts w:eastAsiaTheme="minorEastAsia"/>
        </w:rPr>
        <w:t>2003</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3</w:t>
      </w:r>
      <w:r w:rsidRPr="00C66A65">
        <w:rPr>
          <w:rFonts w:eastAsiaTheme="minorEastAsia"/>
          <w:rtl/>
        </w:rPr>
        <w:t>، حيث رأت اللجنة أن الانتهاك المستمر يجب أن يُفسَّر على أنه تأكيد، عن طريق الفعل أو القصد الواضح، لانتهاكات الدولة الطرف التي حدثت في السابق، بعد دخول البروتوكول الاختياري حيز النفاذ.</w:t>
      </w:r>
    </w:p>
  </w:footnote>
  <w:footnote w:id="12">
    <w:p w14:paraId="75236161" w14:textId="5D82A14E"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0233B9">
        <w:rPr>
          <w:rFonts w:eastAsiaTheme="minorEastAsia"/>
          <w:i/>
          <w:iCs/>
          <w:rtl/>
        </w:rPr>
        <w:t>تيان ضد كازاخستان</w:t>
      </w:r>
      <w:r w:rsidRPr="00C66A65">
        <w:rPr>
          <w:rFonts w:eastAsiaTheme="minorEastAsia"/>
          <w:rtl/>
        </w:rPr>
        <w:t xml:space="preserve"> (</w:t>
      </w:r>
      <w:r w:rsidRPr="00C66A65">
        <w:rPr>
          <w:rFonts w:eastAsiaTheme="minorEastAsia"/>
        </w:rPr>
        <w:t>CCPR/C/</w:t>
      </w:r>
      <w:r w:rsidRPr="000233B9">
        <w:rPr>
          <w:rFonts w:eastAsiaTheme="minorEastAsia"/>
        </w:rPr>
        <w:t>119</w:t>
      </w:r>
      <w:r w:rsidRPr="00C66A65">
        <w:rPr>
          <w:rFonts w:eastAsiaTheme="minorEastAsia"/>
        </w:rPr>
        <w:t>/D/</w:t>
      </w:r>
      <w:r w:rsidRPr="000233B9">
        <w:rPr>
          <w:rFonts w:eastAsiaTheme="minorEastAsia"/>
        </w:rPr>
        <w:t>2125</w:t>
      </w:r>
      <w:r w:rsidRPr="00C66A65">
        <w:rPr>
          <w:rFonts w:eastAsiaTheme="minorEastAsia"/>
        </w:rPr>
        <w:t>/</w:t>
      </w:r>
      <w:r w:rsidRPr="000233B9">
        <w:rPr>
          <w:rFonts w:eastAsiaTheme="minorEastAsia"/>
        </w:rPr>
        <w:t>2011</w:t>
      </w:r>
      <w:r w:rsidRPr="00C66A65">
        <w:rPr>
          <w:rFonts w:eastAsiaTheme="minorEastAsia"/>
          <w:rtl/>
        </w:rPr>
        <w:t xml:space="preserve">)، الفقرة </w:t>
      </w:r>
      <w:r w:rsidRPr="000233B9">
        <w:rPr>
          <w:rFonts w:eastAsiaTheme="minorEastAsia"/>
          <w:rtl/>
        </w:rPr>
        <w:t>8</w:t>
      </w:r>
      <w:r w:rsidRPr="00C66A65">
        <w:rPr>
          <w:rFonts w:eastAsiaTheme="minorEastAsia"/>
          <w:rtl/>
        </w:rPr>
        <w:t>-</w:t>
      </w:r>
      <w:r w:rsidRPr="000233B9">
        <w:rPr>
          <w:rFonts w:eastAsiaTheme="minorEastAsia"/>
          <w:rtl/>
        </w:rPr>
        <w:t>4</w:t>
      </w:r>
      <w:r w:rsidRPr="00C66A65">
        <w:rPr>
          <w:rFonts w:eastAsiaTheme="minorEastAsia"/>
          <w:rtl/>
        </w:rPr>
        <w:t>.</w:t>
      </w:r>
    </w:p>
  </w:footnote>
  <w:footnote w:id="13">
    <w:p w14:paraId="377CD8CE" w14:textId="1653D394"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CAT/C/ESP/CO/</w:t>
      </w:r>
      <w:r w:rsidRPr="000233B9">
        <w:rPr>
          <w:rFonts w:eastAsiaTheme="minorEastAsia"/>
        </w:rPr>
        <w:t>6</w:t>
      </w:r>
      <w:r w:rsidRPr="00C66A65">
        <w:rPr>
          <w:rFonts w:eastAsiaTheme="minorEastAsia"/>
          <w:rtl/>
        </w:rPr>
        <w:t xml:space="preserve">، الفقرة </w:t>
      </w:r>
      <w:r w:rsidRPr="000233B9">
        <w:rPr>
          <w:rFonts w:eastAsiaTheme="minorEastAsia"/>
          <w:rtl/>
        </w:rPr>
        <w:t>14</w:t>
      </w:r>
      <w:r w:rsidRPr="00C66A65">
        <w:rPr>
          <w:rFonts w:eastAsiaTheme="minorEastAsia"/>
          <w:rtl/>
        </w:rPr>
        <w:t xml:space="preserve">؛ انظر أيضاً </w:t>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56</w:t>
      </w:r>
      <w:r w:rsidRPr="00C66A65">
        <w:rPr>
          <w:rFonts w:eastAsiaTheme="minorEastAsia"/>
        </w:rPr>
        <w:t>/Add.</w:t>
      </w:r>
      <w:r w:rsidRPr="000233B9">
        <w:rPr>
          <w:rFonts w:eastAsiaTheme="minorEastAsia"/>
        </w:rPr>
        <w:t>1</w:t>
      </w:r>
      <w:r w:rsidRPr="00C66A65">
        <w:rPr>
          <w:rFonts w:eastAsiaTheme="minorEastAsia"/>
          <w:rtl/>
        </w:rPr>
        <w:t xml:space="preserve">، الفقرة </w:t>
      </w:r>
      <w:r w:rsidRPr="000233B9">
        <w:rPr>
          <w:rFonts w:eastAsiaTheme="minorEastAsia"/>
          <w:rtl/>
        </w:rPr>
        <w:t>84</w:t>
      </w:r>
      <w:r w:rsidRPr="00C66A65">
        <w:rPr>
          <w:rFonts w:eastAsiaTheme="minorEastAsia"/>
          <w:rtl/>
        </w:rPr>
        <w:t>.</w:t>
      </w:r>
    </w:p>
  </w:footnote>
  <w:footnote w:id="14">
    <w:p w14:paraId="0A0D7DBD" w14:textId="6AAE10CE"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CCPR/C/ESP/CO/</w:t>
      </w:r>
      <w:r w:rsidRPr="000233B9">
        <w:rPr>
          <w:rFonts w:eastAsiaTheme="minorEastAsia"/>
        </w:rPr>
        <w:t>5</w:t>
      </w:r>
      <w:r w:rsidRPr="00C66A65">
        <w:rPr>
          <w:rFonts w:eastAsiaTheme="minorEastAsia"/>
          <w:rtl/>
        </w:rPr>
        <w:t xml:space="preserve">، الفقرة </w:t>
      </w:r>
      <w:r w:rsidRPr="000233B9">
        <w:rPr>
          <w:rFonts w:eastAsiaTheme="minorEastAsia"/>
          <w:rtl/>
        </w:rPr>
        <w:t>9</w:t>
      </w:r>
      <w:r w:rsidRPr="00C66A65">
        <w:rPr>
          <w:rFonts w:eastAsiaTheme="minorEastAsia"/>
          <w:rtl/>
        </w:rPr>
        <w:t>؛ و</w:t>
      </w:r>
      <w:r w:rsidRPr="00C66A65">
        <w:rPr>
          <w:rFonts w:eastAsiaTheme="minorEastAsia"/>
        </w:rPr>
        <w:t>CCPR/C/ESP/CO/</w:t>
      </w:r>
      <w:r w:rsidRPr="000233B9">
        <w:rPr>
          <w:rFonts w:eastAsiaTheme="minorEastAsia"/>
        </w:rPr>
        <w:t>6</w:t>
      </w:r>
      <w:r w:rsidRPr="00C66A65">
        <w:rPr>
          <w:rFonts w:eastAsiaTheme="minorEastAsia"/>
          <w:rtl/>
        </w:rPr>
        <w:t xml:space="preserve">، الفقرة </w:t>
      </w:r>
      <w:r w:rsidRPr="000233B9">
        <w:rPr>
          <w:rFonts w:eastAsiaTheme="minorEastAsia"/>
          <w:rtl/>
        </w:rPr>
        <w:t>21</w:t>
      </w:r>
      <w:r w:rsidRPr="00C66A65">
        <w:rPr>
          <w:rFonts w:eastAsiaTheme="minorEastAsia"/>
          <w:rtl/>
        </w:rPr>
        <w:t xml:space="preserve">؛ انظر أيضاً التعليق العام رقم </w:t>
      </w:r>
      <w:r w:rsidRPr="000233B9">
        <w:rPr>
          <w:rFonts w:eastAsiaTheme="minorEastAsia"/>
          <w:rtl/>
        </w:rPr>
        <w:t>36</w:t>
      </w:r>
      <w:r w:rsidRPr="00C66A65">
        <w:rPr>
          <w:rFonts w:eastAsiaTheme="minorEastAsia"/>
          <w:rtl/>
        </w:rPr>
        <w:t>(</w:t>
      </w:r>
      <w:r w:rsidRPr="000233B9">
        <w:rPr>
          <w:rFonts w:eastAsiaTheme="minorEastAsia"/>
          <w:rtl/>
        </w:rPr>
        <w:t>2018</w:t>
      </w:r>
      <w:r w:rsidRPr="00C66A65">
        <w:rPr>
          <w:rFonts w:eastAsiaTheme="minorEastAsia"/>
          <w:rtl/>
        </w:rPr>
        <w:t>)، الفقرة</w:t>
      </w:r>
      <w:r w:rsidR="00D241A6">
        <w:rPr>
          <w:rFonts w:eastAsiaTheme="minorEastAsia" w:hint="cs"/>
          <w:rtl/>
        </w:rPr>
        <w:t> </w:t>
      </w:r>
      <w:r w:rsidRPr="000233B9">
        <w:rPr>
          <w:rFonts w:eastAsiaTheme="minorEastAsia"/>
          <w:rtl/>
        </w:rPr>
        <w:t>27</w:t>
      </w:r>
      <w:r w:rsidRPr="00C66A65">
        <w:rPr>
          <w:rFonts w:eastAsiaTheme="minorEastAsia"/>
          <w:rtl/>
        </w:rPr>
        <w:t>.</w:t>
      </w:r>
    </w:p>
  </w:footnote>
  <w:footnote w:id="15">
    <w:p w14:paraId="6A6B4511" w14:textId="7ED6AC67"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CAT/C/ESP/CO/</w:t>
      </w:r>
      <w:r w:rsidRPr="000233B9">
        <w:rPr>
          <w:rFonts w:eastAsiaTheme="minorEastAsia"/>
        </w:rPr>
        <w:t>5</w:t>
      </w:r>
      <w:r w:rsidRPr="00C66A65">
        <w:rPr>
          <w:rFonts w:eastAsiaTheme="minorEastAsia"/>
          <w:rtl/>
        </w:rPr>
        <w:t xml:space="preserve">، الفقرة </w:t>
      </w:r>
      <w:r w:rsidRPr="000233B9">
        <w:rPr>
          <w:rFonts w:eastAsiaTheme="minorEastAsia"/>
          <w:rtl/>
        </w:rPr>
        <w:t>21</w:t>
      </w:r>
      <w:r w:rsidRPr="00C66A65">
        <w:rPr>
          <w:rFonts w:eastAsiaTheme="minorEastAsia"/>
          <w:rtl/>
        </w:rPr>
        <w:t>؛ و</w:t>
      </w:r>
      <w:r w:rsidRPr="00C66A65">
        <w:rPr>
          <w:rFonts w:eastAsiaTheme="minorEastAsia"/>
        </w:rPr>
        <w:t>CAT/C/ESP/CO/</w:t>
      </w:r>
      <w:r w:rsidRPr="000233B9">
        <w:rPr>
          <w:rFonts w:eastAsiaTheme="minorEastAsia"/>
        </w:rPr>
        <w:t>6</w:t>
      </w:r>
      <w:r w:rsidRPr="00C66A65">
        <w:rPr>
          <w:rFonts w:eastAsiaTheme="minorEastAsia"/>
          <w:rtl/>
        </w:rPr>
        <w:t xml:space="preserve">، الفقرة </w:t>
      </w:r>
      <w:r w:rsidRPr="000233B9">
        <w:rPr>
          <w:rFonts w:eastAsiaTheme="minorEastAsia"/>
          <w:rtl/>
        </w:rPr>
        <w:t>15</w:t>
      </w:r>
      <w:r w:rsidRPr="00C66A65">
        <w:rPr>
          <w:rFonts w:eastAsiaTheme="minorEastAsia"/>
          <w:rtl/>
        </w:rPr>
        <w:t>.</w:t>
      </w:r>
    </w:p>
  </w:footnote>
  <w:footnote w:id="16">
    <w:p w14:paraId="2401572C" w14:textId="15733964"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49</w:t>
      </w:r>
      <w:r w:rsidRPr="00C66A65">
        <w:rPr>
          <w:rFonts w:eastAsiaTheme="minorEastAsia"/>
        </w:rPr>
        <w:t>/Add.</w:t>
      </w:r>
      <w:r w:rsidRPr="000233B9">
        <w:rPr>
          <w:rFonts w:eastAsiaTheme="minorEastAsia"/>
        </w:rPr>
        <w:t>1</w:t>
      </w:r>
      <w:r w:rsidRPr="00C66A65">
        <w:rPr>
          <w:rFonts w:eastAsiaTheme="minorEastAsia"/>
          <w:rtl/>
        </w:rPr>
        <w:t xml:space="preserve">، الفقرات </w:t>
      </w:r>
      <w:r w:rsidRPr="000233B9">
        <w:rPr>
          <w:rFonts w:eastAsiaTheme="minorEastAsia"/>
          <w:rtl/>
        </w:rPr>
        <w:t>37</w:t>
      </w:r>
      <w:r w:rsidRPr="00C66A65">
        <w:rPr>
          <w:rFonts w:eastAsiaTheme="minorEastAsia"/>
          <w:rtl/>
        </w:rPr>
        <w:t xml:space="preserve"> و</w:t>
      </w:r>
      <w:r w:rsidRPr="000233B9">
        <w:rPr>
          <w:rFonts w:eastAsiaTheme="minorEastAsia"/>
          <w:rtl/>
        </w:rPr>
        <w:t>43</w:t>
      </w:r>
      <w:r w:rsidRPr="00C66A65">
        <w:rPr>
          <w:rFonts w:eastAsiaTheme="minorEastAsia"/>
          <w:rtl/>
        </w:rPr>
        <w:t xml:space="preserve"> و</w:t>
      </w:r>
      <w:r w:rsidRPr="000233B9">
        <w:rPr>
          <w:rFonts w:eastAsiaTheme="minorEastAsia"/>
          <w:rtl/>
        </w:rPr>
        <w:t>64</w:t>
      </w:r>
      <w:r w:rsidRPr="00C66A65">
        <w:rPr>
          <w:rFonts w:eastAsiaTheme="minorEastAsia"/>
          <w:rtl/>
        </w:rPr>
        <w:t>.</w:t>
      </w:r>
    </w:p>
  </w:footnote>
  <w:footnote w:id="17">
    <w:p w14:paraId="007080D6" w14:textId="7F5C6908"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56</w:t>
      </w:r>
      <w:r w:rsidRPr="00C66A65">
        <w:rPr>
          <w:rFonts w:eastAsiaTheme="minorEastAsia"/>
        </w:rPr>
        <w:t>/Add.</w:t>
      </w:r>
      <w:r w:rsidRPr="000233B9">
        <w:rPr>
          <w:rFonts w:eastAsiaTheme="minorEastAsia"/>
        </w:rPr>
        <w:t>1</w:t>
      </w:r>
      <w:r w:rsidRPr="00C66A65">
        <w:rPr>
          <w:rFonts w:eastAsiaTheme="minorEastAsia"/>
          <w:rtl/>
        </w:rPr>
        <w:t xml:space="preserve">، الفقرة </w:t>
      </w:r>
      <w:r w:rsidRPr="000233B9">
        <w:rPr>
          <w:rFonts w:eastAsiaTheme="minorEastAsia"/>
          <w:rtl/>
        </w:rPr>
        <w:t>102</w:t>
      </w:r>
      <w:r w:rsidRPr="00C66A65">
        <w:rPr>
          <w:rFonts w:eastAsiaTheme="minorEastAsia"/>
          <w:rtl/>
        </w:rPr>
        <w:t xml:space="preserve">؛ انظر أيضاً الفقرات </w:t>
      </w:r>
      <w:r w:rsidRPr="000233B9">
        <w:rPr>
          <w:rFonts w:eastAsiaTheme="minorEastAsia"/>
          <w:rtl/>
        </w:rPr>
        <w:t>67</w:t>
      </w:r>
      <w:r w:rsidRPr="00C66A65">
        <w:rPr>
          <w:rFonts w:eastAsiaTheme="minorEastAsia"/>
          <w:rtl/>
        </w:rPr>
        <w:t xml:space="preserve"> و</w:t>
      </w:r>
      <w:r w:rsidRPr="000233B9">
        <w:rPr>
          <w:rFonts w:eastAsiaTheme="minorEastAsia"/>
          <w:rtl/>
        </w:rPr>
        <w:t>71</w:t>
      </w:r>
      <w:r w:rsidRPr="00C66A65">
        <w:rPr>
          <w:rFonts w:eastAsiaTheme="minorEastAsia"/>
          <w:rtl/>
        </w:rPr>
        <w:t xml:space="preserve"> و</w:t>
      </w:r>
      <w:r w:rsidRPr="000233B9">
        <w:rPr>
          <w:rFonts w:eastAsiaTheme="minorEastAsia"/>
          <w:rtl/>
        </w:rPr>
        <w:t>74</w:t>
      </w:r>
      <w:r w:rsidRPr="00C66A65">
        <w:rPr>
          <w:rFonts w:eastAsiaTheme="minorEastAsia"/>
          <w:rtl/>
        </w:rPr>
        <w:t>؛ و</w:t>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56</w:t>
      </w:r>
      <w:r w:rsidRPr="00C66A65">
        <w:rPr>
          <w:rFonts w:eastAsiaTheme="minorEastAsia"/>
        </w:rPr>
        <w:t>/Add.</w:t>
      </w:r>
      <w:r w:rsidRPr="000233B9">
        <w:rPr>
          <w:rFonts w:eastAsiaTheme="minorEastAsia"/>
        </w:rPr>
        <w:t>3</w:t>
      </w:r>
      <w:r w:rsidRPr="00C66A65">
        <w:rPr>
          <w:rFonts w:eastAsiaTheme="minorEastAsia"/>
          <w:rtl/>
        </w:rPr>
        <w:t xml:space="preserve">، الفقرتان </w:t>
      </w:r>
      <w:r w:rsidRPr="000233B9">
        <w:rPr>
          <w:rFonts w:eastAsiaTheme="minorEastAsia"/>
          <w:rtl/>
        </w:rPr>
        <w:t>7</w:t>
      </w:r>
      <w:r w:rsidRPr="00C66A65">
        <w:rPr>
          <w:rFonts w:eastAsiaTheme="minorEastAsia"/>
          <w:rtl/>
        </w:rPr>
        <w:t xml:space="preserve"> و</w:t>
      </w:r>
      <w:r w:rsidRPr="000233B9">
        <w:rPr>
          <w:rFonts w:eastAsiaTheme="minorEastAsia"/>
          <w:rtl/>
        </w:rPr>
        <w:t>10</w:t>
      </w:r>
      <w:r w:rsidRPr="00C66A65">
        <w:rPr>
          <w:rFonts w:eastAsiaTheme="minorEastAsia"/>
          <w:rtl/>
        </w:rPr>
        <w:t>.</w:t>
      </w:r>
    </w:p>
  </w:footnote>
  <w:footnote w:id="18">
    <w:p w14:paraId="42E44F3C" w14:textId="196C3812"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49</w:t>
      </w:r>
      <w:r w:rsidRPr="00C66A65">
        <w:rPr>
          <w:rFonts w:eastAsiaTheme="minorEastAsia"/>
        </w:rPr>
        <w:t>/Add.</w:t>
      </w:r>
      <w:r w:rsidRPr="000233B9">
        <w:rPr>
          <w:rFonts w:eastAsiaTheme="minorEastAsia"/>
        </w:rPr>
        <w:t>1</w:t>
      </w:r>
      <w:r w:rsidRPr="00C66A65">
        <w:rPr>
          <w:rFonts w:eastAsiaTheme="minorEastAsia"/>
          <w:rtl/>
        </w:rPr>
        <w:t xml:space="preserve">، الفقرة </w:t>
      </w:r>
      <w:r w:rsidRPr="000233B9">
        <w:rPr>
          <w:rFonts w:eastAsiaTheme="minorEastAsia"/>
          <w:rtl/>
        </w:rPr>
        <w:t>37</w:t>
      </w:r>
      <w:r w:rsidRPr="00C66A65">
        <w:rPr>
          <w:rFonts w:eastAsiaTheme="minorEastAsia"/>
          <w:rtl/>
        </w:rPr>
        <w:t>؛ و</w:t>
      </w:r>
      <w:r w:rsidRPr="00C66A65">
        <w:rPr>
          <w:rFonts w:eastAsiaTheme="minorEastAsia"/>
        </w:rPr>
        <w:t>A/HRC/</w:t>
      </w:r>
      <w:r w:rsidRPr="000233B9">
        <w:rPr>
          <w:rFonts w:eastAsiaTheme="minorEastAsia"/>
        </w:rPr>
        <w:t>38</w:t>
      </w:r>
      <w:r w:rsidRPr="00C66A65">
        <w:rPr>
          <w:rFonts w:eastAsiaTheme="minorEastAsia"/>
        </w:rPr>
        <w:t>/</w:t>
      </w:r>
      <w:r w:rsidRPr="000233B9">
        <w:rPr>
          <w:rFonts w:eastAsiaTheme="minorEastAsia"/>
        </w:rPr>
        <w:t>39</w:t>
      </w:r>
      <w:r w:rsidRPr="00C66A65">
        <w:rPr>
          <w:rFonts w:eastAsiaTheme="minorEastAsia"/>
        </w:rPr>
        <w:t>/Add.</w:t>
      </w:r>
      <w:r w:rsidRPr="000233B9">
        <w:rPr>
          <w:rFonts w:eastAsiaTheme="minorEastAsia"/>
        </w:rPr>
        <w:t>3</w:t>
      </w:r>
      <w:r w:rsidRPr="00C66A65">
        <w:rPr>
          <w:rFonts w:eastAsiaTheme="minorEastAsia"/>
          <w:rtl/>
        </w:rPr>
        <w:t xml:space="preserve">، الصفحة </w:t>
      </w:r>
      <w:r w:rsidRPr="000233B9">
        <w:rPr>
          <w:rFonts w:eastAsiaTheme="minorEastAsia"/>
          <w:rtl/>
        </w:rPr>
        <w:t>122</w:t>
      </w:r>
      <w:r w:rsidRPr="00C66A65">
        <w:rPr>
          <w:rFonts w:eastAsiaTheme="minorEastAsia"/>
          <w:rtl/>
        </w:rPr>
        <w:t xml:space="preserve">، الفقرة </w:t>
      </w:r>
      <w:r w:rsidRPr="000233B9">
        <w:rPr>
          <w:rFonts w:eastAsiaTheme="minorEastAsia"/>
          <w:rtl/>
        </w:rPr>
        <w:t>44</w:t>
      </w:r>
      <w:r w:rsidRPr="00C66A65">
        <w:rPr>
          <w:rFonts w:eastAsiaTheme="minorEastAsia"/>
          <w:rtl/>
        </w:rPr>
        <w:t>؛ و</w:t>
      </w:r>
      <w:r w:rsidRPr="00C66A65">
        <w:rPr>
          <w:rFonts w:eastAsiaTheme="minorEastAsia"/>
        </w:rPr>
        <w:t>CAT/C/ESP/CO/</w:t>
      </w:r>
      <w:r w:rsidRPr="000233B9">
        <w:rPr>
          <w:rFonts w:eastAsiaTheme="minorEastAsia"/>
        </w:rPr>
        <w:t>6</w:t>
      </w:r>
      <w:r w:rsidRPr="00C66A65">
        <w:rPr>
          <w:rFonts w:eastAsiaTheme="minorEastAsia"/>
          <w:rtl/>
        </w:rPr>
        <w:t xml:space="preserve">، الفقرة </w:t>
      </w:r>
      <w:r w:rsidRPr="000233B9">
        <w:rPr>
          <w:rFonts w:eastAsiaTheme="minorEastAsia"/>
          <w:rtl/>
        </w:rPr>
        <w:t>15</w:t>
      </w:r>
      <w:r w:rsidRPr="00C66A65">
        <w:rPr>
          <w:rFonts w:eastAsiaTheme="minorEastAsia"/>
          <w:rtl/>
        </w:rPr>
        <w:t>؛ و</w:t>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49</w:t>
      </w:r>
      <w:r w:rsidRPr="00C66A65">
        <w:rPr>
          <w:rFonts w:eastAsiaTheme="minorEastAsia"/>
        </w:rPr>
        <w:t>/Add.</w:t>
      </w:r>
      <w:r w:rsidRPr="000233B9">
        <w:rPr>
          <w:rFonts w:eastAsiaTheme="minorEastAsia"/>
        </w:rPr>
        <w:t>1</w:t>
      </w:r>
      <w:r w:rsidRPr="00C66A65">
        <w:rPr>
          <w:rFonts w:eastAsiaTheme="minorEastAsia"/>
          <w:rtl/>
        </w:rPr>
        <w:t xml:space="preserve">، الفقرة </w:t>
      </w:r>
      <w:r w:rsidRPr="000233B9">
        <w:rPr>
          <w:rFonts w:eastAsiaTheme="minorEastAsia"/>
          <w:rtl/>
        </w:rPr>
        <w:t>77</w:t>
      </w:r>
      <w:r w:rsidRPr="00C66A65">
        <w:rPr>
          <w:rFonts w:eastAsiaTheme="minorEastAsia"/>
          <w:rtl/>
        </w:rPr>
        <w:t>.</w:t>
      </w:r>
    </w:p>
  </w:footnote>
  <w:footnote w:id="19">
    <w:p w14:paraId="70CC19D9" w14:textId="5B0E1D27"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CCPR/C/ESP/CO/</w:t>
      </w:r>
      <w:r w:rsidRPr="000233B9">
        <w:rPr>
          <w:rFonts w:eastAsiaTheme="minorEastAsia"/>
        </w:rPr>
        <w:t>6</w:t>
      </w:r>
      <w:r w:rsidRPr="00C66A65">
        <w:rPr>
          <w:rFonts w:eastAsiaTheme="minorEastAsia"/>
          <w:rtl/>
        </w:rPr>
        <w:t xml:space="preserve">، الفقرة </w:t>
      </w:r>
      <w:r w:rsidRPr="000233B9">
        <w:rPr>
          <w:rFonts w:eastAsiaTheme="minorEastAsia"/>
          <w:rtl/>
        </w:rPr>
        <w:t>21</w:t>
      </w:r>
      <w:r w:rsidRPr="00C66A65">
        <w:rPr>
          <w:rFonts w:eastAsiaTheme="minorEastAsia"/>
          <w:rtl/>
        </w:rPr>
        <w:t xml:space="preserve">؛ انظر أيضاً </w:t>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49</w:t>
      </w:r>
      <w:r w:rsidRPr="00C66A65">
        <w:rPr>
          <w:rFonts w:eastAsiaTheme="minorEastAsia"/>
        </w:rPr>
        <w:t>/Add.</w:t>
      </w:r>
      <w:r w:rsidRPr="000233B9">
        <w:rPr>
          <w:rFonts w:eastAsiaTheme="minorEastAsia"/>
        </w:rPr>
        <w:t>1</w:t>
      </w:r>
      <w:r w:rsidRPr="00C66A65">
        <w:rPr>
          <w:rFonts w:eastAsiaTheme="minorEastAsia"/>
          <w:rtl/>
        </w:rPr>
        <w:t xml:space="preserve">، الفقرات </w:t>
      </w:r>
      <w:r w:rsidRPr="000233B9">
        <w:rPr>
          <w:rFonts w:eastAsiaTheme="minorEastAsia"/>
          <w:rtl/>
        </w:rPr>
        <w:t>21</w:t>
      </w:r>
      <w:r w:rsidRPr="00C66A65">
        <w:rPr>
          <w:rFonts w:eastAsiaTheme="minorEastAsia"/>
          <w:rtl/>
        </w:rPr>
        <w:t>-</w:t>
      </w:r>
      <w:r w:rsidRPr="000233B9">
        <w:rPr>
          <w:rFonts w:eastAsiaTheme="minorEastAsia"/>
          <w:rtl/>
        </w:rPr>
        <w:t>25</w:t>
      </w:r>
      <w:r w:rsidRPr="00C66A65">
        <w:rPr>
          <w:rFonts w:eastAsiaTheme="minorEastAsia"/>
          <w:rtl/>
        </w:rPr>
        <w:t xml:space="preserve"> و</w:t>
      </w:r>
      <w:r w:rsidRPr="000233B9">
        <w:rPr>
          <w:rFonts w:eastAsiaTheme="minorEastAsia"/>
          <w:rtl/>
        </w:rPr>
        <w:t>67</w:t>
      </w:r>
      <w:r w:rsidRPr="00C66A65">
        <w:rPr>
          <w:rFonts w:eastAsiaTheme="minorEastAsia"/>
          <w:rtl/>
        </w:rPr>
        <w:t>؛ و</w:t>
      </w:r>
      <w:r w:rsidRPr="00C66A65">
        <w:rPr>
          <w:rFonts w:eastAsiaTheme="minorEastAsia"/>
        </w:rPr>
        <w:t>CED/C/ESP/CO/</w:t>
      </w:r>
      <w:r w:rsidRPr="000233B9">
        <w:rPr>
          <w:rFonts w:eastAsiaTheme="minorEastAsia"/>
        </w:rPr>
        <w:t>1</w:t>
      </w:r>
      <w:r w:rsidRPr="00C66A65">
        <w:rPr>
          <w:rFonts w:eastAsiaTheme="minorEastAsia"/>
          <w:rtl/>
        </w:rPr>
        <w:t xml:space="preserve">، الفقرة </w:t>
      </w:r>
      <w:r w:rsidRPr="000233B9">
        <w:rPr>
          <w:rFonts w:eastAsiaTheme="minorEastAsia"/>
          <w:rtl/>
        </w:rPr>
        <w:t>31</w:t>
      </w:r>
      <w:r w:rsidRPr="00C66A65">
        <w:rPr>
          <w:rFonts w:eastAsiaTheme="minorEastAsia"/>
          <w:rtl/>
        </w:rPr>
        <w:t>؛ و</w:t>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49</w:t>
      </w:r>
      <w:r w:rsidRPr="00C66A65">
        <w:rPr>
          <w:rFonts w:eastAsiaTheme="minorEastAsia"/>
        </w:rPr>
        <w:t>/Add.</w:t>
      </w:r>
      <w:r w:rsidRPr="000233B9">
        <w:rPr>
          <w:rFonts w:eastAsiaTheme="minorEastAsia"/>
        </w:rPr>
        <w:t>1</w:t>
      </w:r>
      <w:r w:rsidRPr="00C66A65">
        <w:rPr>
          <w:rFonts w:eastAsiaTheme="minorEastAsia"/>
          <w:rtl/>
        </w:rPr>
        <w:t xml:space="preserve">، الفقرتان </w:t>
      </w:r>
      <w:r w:rsidRPr="000233B9">
        <w:rPr>
          <w:rFonts w:eastAsiaTheme="minorEastAsia"/>
          <w:rtl/>
        </w:rPr>
        <w:t>63</w:t>
      </w:r>
      <w:r w:rsidRPr="00C66A65">
        <w:rPr>
          <w:rFonts w:eastAsiaTheme="minorEastAsia"/>
          <w:rtl/>
        </w:rPr>
        <w:t xml:space="preserve"> و</w:t>
      </w:r>
      <w:r w:rsidRPr="000233B9">
        <w:rPr>
          <w:rFonts w:eastAsiaTheme="minorEastAsia"/>
          <w:rtl/>
        </w:rPr>
        <w:t>64</w:t>
      </w:r>
      <w:r w:rsidRPr="00C66A65">
        <w:rPr>
          <w:rFonts w:eastAsiaTheme="minorEastAsia"/>
          <w:rtl/>
        </w:rPr>
        <w:t>.</w:t>
      </w:r>
    </w:p>
  </w:footnote>
  <w:footnote w:id="20">
    <w:p w14:paraId="7FA08AD8" w14:textId="43A1EED2"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البرلمان الأوروبي، تقرير البعثة والتوصيات التي أعقبت زيارة تقصي الحقائق إلى إسبانيا التي أجريت في </w:t>
      </w:r>
      <w:r w:rsidRPr="000233B9">
        <w:rPr>
          <w:rFonts w:eastAsiaTheme="minorEastAsia"/>
          <w:rtl/>
        </w:rPr>
        <w:t>22</w:t>
      </w:r>
      <w:r w:rsidRPr="00C66A65">
        <w:rPr>
          <w:rFonts w:eastAsiaTheme="minorEastAsia"/>
          <w:rtl/>
        </w:rPr>
        <w:t>-</w:t>
      </w:r>
      <w:r w:rsidRPr="000233B9">
        <w:rPr>
          <w:rFonts w:eastAsiaTheme="minorEastAsia"/>
          <w:rtl/>
        </w:rPr>
        <w:t>23</w:t>
      </w:r>
      <w:r w:rsidRPr="00C66A65">
        <w:rPr>
          <w:rFonts w:eastAsiaTheme="minorEastAsia"/>
          <w:rtl/>
        </w:rPr>
        <w:t xml:space="preserve"> أيار/مايو </w:t>
      </w:r>
      <w:r w:rsidRPr="000233B9">
        <w:rPr>
          <w:rFonts w:eastAsiaTheme="minorEastAsia"/>
          <w:rtl/>
        </w:rPr>
        <w:t>2017</w:t>
      </w:r>
      <w:r w:rsidRPr="00C66A65">
        <w:rPr>
          <w:rFonts w:eastAsiaTheme="minorEastAsia"/>
          <w:rtl/>
        </w:rPr>
        <w:t>، (</w:t>
      </w:r>
      <w:r w:rsidRPr="000233B9">
        <w:rPr>
          <w:rFonts w:eastAsiaTheme="minorEastAsia"/>
          <w:rtl/>
        </w:rPr>
        <w:t>23</w:t>
      </w:r>
      <w:r w:rsidRPr="00C66A65">
        <w:rPr>
          <w:rFonts w:eastAsiaTheme="minorEastAsia"/>
          <w:rtl/>
        </w:rPr>
        <w:t xml:space="preserve"> تشرين الثاني/نوفمبر </w:t>
      </w:r>
      <w:r w:rsidRPr="000233B9">
        <w:rPr>
          <w:rFonts w:eastAsiaTheme="minorEastAsia"/>
          <w:rtl/>
        </w:rPr>
        <w:t>2017</w:t>
      </w:r>
      <w:r w:rsidRPr="00C66A65">
        <w:rPr>
          <w:rFonts w:eastAsiaTheme="minorEastAsia"/>
          <w:rtl/>
        </w:rPr>
        <w:t xml:space="preserve">)، الصفحة </w:t>
      </w:r>
      <w:r w:rsidRPr="000233B9">
        <w:rPr>
          <w:rFonts w:eastAsiaTheme="minorEastAsia"/>
          <w:rtl/>
        </w:rPr>
        <w:t>27</w:t>
      </w:r>
      <w:r w:rsidRPr="00C66A65">
        <w:rPr>
          <w:rFonts w:eastAsiaTheme="minorEastAsia"/>
          <w:rtl/>
        </w:rPr>
        <w:t xml:space="preserve">، الفقرة </w:t>
      </w:r>
      <w:r w:rsidRPr="000233B9">
        <w:rPr>
          <w:rFonts w:eastAsiaTheme="minorEastAsia"/>
          <w:rtl/>
        </w:rPr>
        <w:t>15</w:t>
      </w:r>
      <w:r w:rsidRPr="00C66A65">
        <w:rPr>
          <w:rFonts w:eastAsiaTheme="minorEastAsia"/>
          <w:rtl/>
        </w:rPr>
        <w:t xml:space="preserve">؛ </w:t>
      </w:r>
      <w:r w:rsidRPr="001B317A">
        <w:rPr>
          <w:rFonts w:eastAsiaTheme="minorEastAsia"/>
          <w:lang w:val="fr-CH"/>
        </w:rPr>
        <w:t xml:space="preserve">Council of Europe, </w:t>
      </w:r>
      <w:proofErr w:type="spellStart"/>
      <w:r w:rsidRPr="001B317A">
        <w:rPr>
          <w:rFonts w:eastAsiaTheme="minorEastAsia"/>
          <w:i/>
          <w:iCs/>
          <w:lang w:val="fr-CH"/>
        </w:rPr>
        <w:t>Missing</w:t>
      </w:r>
      <w:proofErr w:type="spellEnd"/>
      <w:r w:rsidRPr="001B317A">
        <w:rPr>
          <w:rFonts w:eastAsiaTheme="minorEastAsia"/>
          <w:i/>
          <w:iCs/>
          <w:lang w:val="fr-CH"/>
        </w:rPr>
        <w:t xml:space="preserve"> </w:t>
      </w:r>
      <w:proofErr w:type="spellStart"/>
      <w:r w:rsidRPr="001B317A">
        <w:rPr>
          <w:rFonts w:eastAsiaTheme="minorEastAsia"/>
          <w:i/>
          <w:iCs/>
          <w:lang w:val="fr-CH"/>
        </w:rPr>
        <w:t>persons</w:t>
      </w:r>
      <w:proofErr w:type="spellEnd"/>
      <w:r w:rsidRPr="001B317A">
        <w:rPr>
          <w:rFonts w:eastAsiaTheme="minorEastAsia"/>
          <w:i/>
          <w:iCs/>
          <w:lang w:val="fr-CH"/>
        </w:rPr>
        <w:t xml:space="preserve"> and </w:t>
      </w:r>
      <w:proofErr w:type="spellStart"/>
      <w:r w:rsidRPr="001B317A">
        <w:rPr>
          <w:rFonts w:eastAsiaTheme="minorEastAsia"/>
          <w:i/>
          <w:iCs/>
          <w:lang w:val="fr-CH"/>
        </w:rPr>
        <w:t>victims</w:t>
      </w:r>
      <w:proofErr w:type="spellEnd"/>
      <w:r w:rsidRPr="001B317A">
        <w:rPr>
          <w:rFonts w:eastAsiaTheme="minorEastAsia"/>
          <w:i/>
          <w:iCs/>
          <w:lang w:val="fr-CH"/>
        </w:rPr>
        <w:t xml:space="preserve"> of </w:t>
      </w:r>
      <w:proofErr w:type="spellStart"/>
      <w:r w:rsidRPr="001B317A">
        <w:rPr>
          <w:rFonts w:eastAsiaTheme="minorEastAsia"/>
          <w:i/>
          <w:iCs/>
          <w:lang w:val="fr-CH"/>
        </w:rPr>
        <w:t>enforced</w:t>
      </w:r>
      <w:proofErr w:type="spellEnd"/>
      <w:r w:rsidRPr="001B317A">
        <w:rPr>
          <w:rFonts w:eastAsiaTheme="minorEastAsia"/>
          <w:i/>
          <w:iCs/>
          <w:lang w:val="fr-CH"/>
        </w:rPr>
        <w:t xml:space="preserve"> </w:t>
      </w:r>
      <w:proofErr w:type="spellStart"/>
      <w:r w:rsidRPr="001B317A">
        <w:rPr>
          <w:rFonts w:eastAsiaTheme="minorEastAsia"/>
          <w:i/>
          <w:iCs/>
          <w:lang w:val="fr-CH"/>
        </w:rPr>
        <w:t>disappearance</w:t>
      </w:r>
      <w:proofErr w:type="spellEnd"/>
      <w:r w:rsidRPr="001B317A">
        <w:rPr>
          <w:rFonts w:eastAsiaTheme="minorEastAsia"/>
          <w:i/>
          <w:iCs/>
          <w:lang w:val="fr-CH"/>
        </w:rPr>
        <w:t xml:space="preserve"> in Europe</w:t>
      </w:r>
      <w:r w:rsidRPr="001B317A">
        <w:rPr>
          <w:rFonts w:eastAsiaTheme="minorEastAsia"/>
          <w:lang w:val="fr-CH"/>
        </w:rPr>
        <w:t xml:space="preserve"> (</w:t>
      </w:r>
      <w:proofErr w:type="gramStart"/>
      <w:r w:rsidRPr="001B317A">
        <w:rPr>
          <w:rFonts w:eastAsiaTheme="minorEastAsia"/>
          <w:lang w:val="fr-CH"/>
        </w:rPr>
        <w:t>2016),</w:t>
      </w:r>
      <w:proofErr w:type="gramEnd"/>
      <w:r w:rsidRPr="001B317A">
        <w:rPr>
          <w:rFonts w:eastAsiaTheme="minorEastAsia"/>
          <w:lang w:val="fr-CH"/>
        </w:rPr>
        <w:t xml:space="preserve"> pp. 21 and 22, and </w:t>
      </w:r>
      <w:proofErr w:type="spellStart"/>
      <w:r w:rsidRPr="001B317A">
        <w:rPr>
          <w:rFonts w:eastAsiaTheme="minorEastAsia"/>
          <w:lang w:val="fr-CH"/>
        </w:rPr>
        <w:t>Recommendation</w:t>
      </w:r>
      <w:proofErr w:type="spellEnd"/>
      <w:r w:rsidRPr="001B317A">
        <w:rPr>
          <w:rFonts w:eastAsiaTheme="minorEastAsia"/>
          <w:lang w:val="fr-CH"/>
        </w:rPr>
        <w:t xml:space="preserve"> 1736 (2006), “Need for international </w:t>
      </w:r>
      <w:proofErr w:type="spellStart"/>
      <w:r w:rsidRPr="001B317A">
        <w:rPr>
          <w:rFonts w:eastAsiaTheme="minorEastAsia"/>
          <w:lang w:val="fr-CH"/>
        </w:rPr>
        <w:t>condemnation</w:t>
      </w:r>
      <w:proofErr w:type="spellEnd"/>
      <w:r w:rsidRPr="001B317A">
        <w:rPr>
          <w:rFonts w:eastAsiaTheme="minorEastAsia"/>
          <w:lang w:val="fr-CH"/>
        </w:rPr>
        <w:t xml:space="preserve"> of the Franco </w:t>
      </w:r>
      <w:proofErr w:type="spellStart"/>
      <w:r w:rsidRPr="001B317A">
        <w:rPr>
          <w:rFonts w:eastAsiaTheme="minorEastAsia"/>
          <w:lang w:val="fr-CH"/>
        </w:rPr>
        <w:t>regime</w:t>
      </w:r>
      <w:proofErr w:type="spellEnd"/>
      <w:r w:rsidRPr="001B317A">
        <w:rPr>
          <w:rFonts w:eastAsiaTheme="minorEastAsia"/>
          <w:lang w:val="fr-CH"/>
        </w:rPr>
        <w:t>”, para. 8.2.2</w:t>
      </w:r>
      <w:r w:rsidRPr="00C66A65">
        <w:rPr>
          <w:rFonts w:eastAsiaTheme="minorEastAsia"/>
          <w:rtl/>
        </w:rPr>
        <w:t>.</w:t>
      </w:r>
    </w:p>
  </w:footnote>
  <w:footnote w:id="21">
    <w:p w14:paraId="43E2038B" w14:textId="6B02B7E4" w:rsidR="00C2559A" w:rsidRPr="00D241A6" w:rsidRDefault="00C2559A" w:rsidP="007D3E54">
      <w:pPr>
        <w:pStyle w:val="FootnoteText1"/>
        <w:textDirection w:val="tbRlV"/>
        <w:rPr>
          <w:rFonts w:eastAsiaTheme="minorEastAsia"/>
          <w:lang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تشير صاحبتا البلاغ إلى </w:t>
      </w:r>
      <w:r w:rsidRPr="001B317A">
        <w:rPr>
          <w:rFonts w:eastAsiaTheme="minorEastAsia"/>
          <w:lang w:val="fr-CH"/>
        </w:rPr>
        <w:t xml:space="preserve">Mirta Núñez Díaz-Balart, </w:t>
      </w:r>
      <w:r w:rsidRPr="001B317A">
        <w:rPr>
          <w:rFonts w:eastAsiaTheme="minorEastAsia"/>
          <w:i/>
          <w:iCs/>
          <w:lang w:val="fr-CH"/>
        </w:rPr>
        <w:t>Mujeres caídas</w:t>
      </w:r>
      <w:r w:rsidRPr="001B317A">
        <w:rPr>
          <w:rFonts w:eastAsiaTheme="minorEastAsia"/>
          <w:lang w:val="fr-CH"/>
        </w:rPr>
        <w:t xml:space="preserve">. </w:t>
      </w:r>
      <w:r w:rsidRPr="001B317A">
        <w:rPr>
          <w:rFonts w:eastAsiaTheme="minorEastAsia"/>
          <w:i/>
          <w:iCs/>
          <w:lang w:val="fr-CH"/>
        </w:rPr>
        <w:t>Prostitutas legales y clandestinas en el franquismo</w:t>
      </w:r>
      <w:r w:rsidRPr="001B317A">
        <w:rPr>
          <w:rFonts w:eastAsiaTheme="minorEastAsia"/>
          <w:lang w:val="fr-CH"/>
        </w:rPr>
        <w:t>, Madrid, Oberón, 2003</w:t>
      </w:r>
      <w:r w:rsidRPr="00C66A65">
        <w:rPr>
          <w:rFonts w:eastAsiaTheme="minorEastAsia"/>
          <w:rtl/>
        </w:rPr>
        <w:t>؛ و</w:t>
      </w:r>
      <w:r w:rsidRPr="001B317A">
        <w:rPr>
          <w:rFonts w:eastAsiaTheme="minorEastAsia"/>
          <w:lang w:val="fr-CH"/>
        </w:rPr>
        <w:t xml:space="preserve">Enrique González Duro, </w:t>
      </w:r>
      <w:r w:rsidRPr="001B317A">
        <w:rPr>
          <w:rFonts w:eastAsiaTheme="minorEastAsia"/>
          <w:i/>
          <w:iCs/>
          <w:lang w:val="fr-CH"/>
        </w:rPr>
        <w:t>Las rapadas</w:t>
      </w:r>
      <w:r w:rsidRPr="001B317A">
        <w:rPr>
          <w:rFonts w:eastAsiaTheme="minorEastAsia"/>
          <w:lang w:val="fr-CH"/>
        </w:rPr>
        <w:t xml:space="preserve">. </w:t>
      </w:r>
      <w:r w:rsidRPr="001B317A">
        <w:rPr>
          <w:rFonts w:eastAsiaTheme="minorEastAsia"/>
          <w:i/>
          <w:iCs/>
          <w:lang w:val="fr-CH"/>
        </w:rPr>
        <w:t>El franquismo contra la mujer</w:t>
      </w:r>
      <w:r w:rsidRPr="001B317A">
        <w:rPr>
          <w:rFonts w:eastAsiaTheme="minorEastAsia"/>
          <w:lang w:val="fr-CH"/>
        </w:rPr>
        <w:t>, Madrid, Editorial Siglo XXI, 2012</w:t>
      </w:r>
      <w:r w:rsidRPr="00C66A65">
        <w:rPr>
          <w:rFonts w:eastAsiaTheme="minorEastAsia"/>
          <w:rtl/>
        </w:rPr>
        <w:t>؛ و</w:t>
      </w:r>
      <w:r w:rsidRPr="001B317A">
        <w:rPr>
          <w:rFonts w:eastAsiaTheme="minorEastAsia"/>
          <w:lang w:val="fr-CH"/>
        </w:rPr>
        <w:t>Maud Joly, “Las violencias sexuadas de la Guerra Civil española: paradigma para una lectura cultural del conflicto”, in</w:t>
      </w:r>
      <w:r w:rsidRPr="001B317A">
        <w:rPr>
          <w:rFonts w:eastAsiaTheme="minorEastAsia"/>
          <w:i/>
          <w:iCs/>
          <w:lang w:val="fr-CH"/>
        </w:rPr>
        <w:t xml:space="preserve"> Historia Social</w:t>
      </w:r>
      <w:r w:rsidRPr="001B317A">
        <w:rPr>
          <w:rFonts w:eastAsiaTheme="minorEastAsia"/>
          <w:lang w:val="fr-CH"/>
        </w:rPr>
        <w:t>, No. 61 (2008) pp. 89–107</w:t>
      </w:r>
      <w:r w:rsidRPr="00D241A6">
        <w:rPr>
          <w:rFonts w:eastAsiaTheme="minorEastAsia"/>
          <w:spacing w:val="-4"/>
          <w:rtl/>
        </w:rPr>
        <w:t>؛</w:t>
      </w:r>
      <w:r w:rsidR="00D241A6" w:rsidRPr="00D241A6">
        <w:rPr>
          <w:rFonts w:eastAsiaTheme="minorEastAsia" w:hint="cs"/>
          <w:spacing w:val="-4"/>
          <w:rtl/>
        </w:rPr>
        <w:t xml:space="preserve"> و</w:t>
      </w:r>
      <w:r w:rsidR="00D241A6" w:rsidRPr="001B317A">
        <w:rPr>
          <w:spacing w:val="-4"/>
          <w:lang w:val="fr-CH"/>
        </w:rPr>
        <w:t xml:space="preserve"> Pura Sánchez, “Individuas de dudosa moral”, in Raquel Osborne (ed.), </w:t>
      </w:r>
      <w:r w:rsidR="00D241A6" w:rsidRPr="001B317A">
        <w:rPr>
          <w:i/>
          <w:iCs/>
          <w:spacing w:val="-4"/>
          <w:lang w:val="fr-CH"/>
        </w:rPr>
        <w:t>Mujeres bajo sospecha</w:t>
      </w:r>
      <w:r w:rsidR="00D241A6" w:rsidRPr="001B317A">
        <w:rPr>
          <w:spacing w:val="-4"/>
          <w:lang w:val="fr-CH"/>
        </w:rPr>
        <w:t xml:space="preserve">. </w:t>
      </w:r>
      <w:r w:rsidR="00D241A6" w:rsidRPr="000233B9">
        <w:rPr>
          <w:i/>
          <w:iCs/>
          <w:spacing w:val="-4"/>
        </w:rPr>
        <w:t xml:space="preserve">Memoria y </w:t>
      </w:r>
      <w:proofErr w:type="spellStart"/>
      <w:r w:rsidR="00D241A6" w:rsidRPr="000233B9">
        <w:rPr>
          <w:i/>
          <w:iCs/>
          <w:spacing w:val="-4"/>
        </w:rPr>
        <w:t>sexualidad</w:t>
      </w:r>
      <w:proofErr w:type="spellEnd"/>
      <w:r w:rsidR="00D241A6" w:rsidRPr="000233B9">
        <w:rPr>
          <w:i/>
          <w:iCs/>
          <w:spacing w:val="-4"/>
          <w:rtl/>
        </w:rPr>
        <w:t xml:space="preserve"> (1930–1980)</w:t>
      </w:r>
      <w:r w:rsidR="00D241A6" w:rsidRPr="00D241A6">
        <w:rPr>
          <w:spacing w:val="-4"/>
        </w:rPr>
        <w:t>,</w:t>
      </w:r>
      <w:r w:rsidR="00D241A6" w:rsidRPr="000233B9">
        <w:rPr>
          <w:i/>
          <w:iCs/>
          <w:spacing w:val="-4"/>
        </w:rPr>
        <w:t xml:space="preserve"> </w:t>
      </w:r>
      <w:r w:rsidR="00D241A6" w:rsidRPr="00D241A6">
        <w:rPr>
          <w:spacing w:val="-4"/>
        </w:rPr>
        <w:t xml:space="preserve">fourth ed., Madrid, </w:t>
      </w:r>
      <w:proofErr w:type="spellStart"/>
      <w:r w:rsidR="00D241A6" w:rsidRPr="000233B9">
        <w:rPr>
          <w:i/>
          <w:iCs/>
          <w:spacing w:val="-4"/>
        </w:rPr>
        <w:t>Fundamentos</w:t>
      </w:r>
      <w:proofErr w:type="spellEnd"/>
      <w:r w:rsidR="00D241A6" w:rsidRPr="00D241A6">
        <w:rPr>
          <w:spacing w:val="-4"/>
        </w:rPr>
        <w:t xml:space="preserve">, </w:t>
      </w:r>
      <w:r w:rsidR="00D241A6" w:rsidRPr="000233B9">
        <w:rPr>
          <w:spacing w:val="-4"/>
        </w:rPr>
        <w:t>2013</w:t>
      </w:r>
      <w:r w:rsidRPr="00D241A6">
        <w:rPr>
          <w:rFonts w:eastAsiaTheme="minorEastAsia"/>
          <w:spacing w:val="-4"/>
          <w:rtl/>
        </w:rPr>
        <w:t>.</w:t>
      </w:r>
      <w:r w:rsidRPr="00C66A65">
        <w:rPr>
          <w:rFonts w:eastAsiaTheme="minorEastAsia"/>
          <w:rtl/>
        </w:rPr>
        <w:t xml:space="preserve"> </w:t>
      </w:r>
    </w:p>
  </w:footnote>
  <w:footnote w:id="22">
    <w:p w14:paraId="60C02F7E" w14:textId="784C2DE2" w:rsidR="00C2559A" w:rsidRPr="00C66A65" w:rsidRDefault="00C2559A" w:rsidP="007D3E54">
      <w:pPr>
        <w:pStyle w:val="FootnoteText1"/>
        <w:textDirection w:val="tbRlV"/>
        <w:rPr>
          <w:rFonts w:eastAsiaTheme="minorEastAsia"/>
          <w:lang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الفريق العامل المعني بحالات الاختفاء القسري أو غير الطوعي، تعليق عام بشأن النساء المتأثرات بالاختفاء القسري (</w:t>
      </w:r>
      <w:r w:rsidRPr="00C66A65">
        <w:rPr>
          <w:rFonts w:eastAsiaTheme="minorEastAsia"/>
        </w:rPr>
        <w:t>A/HRC/WGEID/</w:t>
      </w:r>
      <w:r w:rsidRPr="000233B9">
        <w:rPr>
          <w:rFonts w:eastAsiaTheme="minorEastAsia"/>
        </w:rPr>
        <w:t>98</w:t>
      </w:r>
      <w:r w:rsidRPr="00C66A65">
        <w:rPr>
          <w:rFonts w:eastAsiaTheme="minorEastAsia"/>
        </w:rPr>
        <w:t>/</w:t>
      </w:r>
      <w:r w:rsidRPr="000233B9">
        <w:rPr>
          <w:rFonts w:eastAsiaTheme="minorEastAsia"/>
        </w:rPr>
        <w:t>2</w:t>
      </w:r>
      <w:r w:rsidRPr="00C66A65">
        <w:rPr>
          <w:rFonts w:eastAsiaTheme="minorEastAsia"/>
          <w:rtl/>
        </w:rPr>
        <w:t xml:space="preserve">)؛ واللجنة المعنية بالقضاء على التمييز ضد المرأة، التوصية العامة رقم </w:t>
      </w:r>
      <w:r w:rsidRPr="000233B9">
        <w:rPr>
          <w:rFonts w:eastAsiaTheme="minorEastAsia"/>
          <w:rtl/>
        </w:rPr>
        <w:t>19</w:t>
      </w:r>
      <w:r w:rsidRPr="00C66A65">
        <w:rPr>
          <w:rFonts w:eastAsiaTheme="minorEastAsia"/>
          <w:rtl/>
        </w:rPr>
        <w:t>(</w:t>
      </w:r>
      <w:r w:rsidRPr="000233B9">
        <w:rPr>
          <w:rFonts w:eastAsiaTheme="minorEastAsia"/>
          <w:rtl/>
        </w:rPr>
        <w:t>1992</w:t>
      </w:r>
      <w:r w:rsidRPr="00C66A65">
        <w:rPr>
          <w:rFonts w:eastAsiaTheme="minorEastAsia"/>
          <w:rtl/>
        </w:rPr>
        <w:t xml:space="preserve">) والتوصية العامة رقم </w:t>
      </w:r>
      <w:r w:rsidRPr="000233B9">
        <w:rPr>
          <w:rFonts w:eastAsiaTheme="minorEastAsia"/>
          <w:rtl/>
        </w:rPr>
        <w:t>35</w:t>
      </w:r>
      <w:r w:rsidRPr="00C66A65">
        <w:rPr>
          <w:rFonts w:eastAsiaTheme="minorEastAsia"/>
          <w:rtl/>
        </w:rPr>
        <w:t>(</w:t>
      </w:r>
      <w:r w:rsidRPr="000233B9">
        <w:rPr>
          <w:rFonts w:eastAsiaTheme="minorEastAsia"/>
          <w:rtl/>
        </w:rPr>
        <w:t>2017</w:t>
      </w:r>
      <w:r w:rsidRPr="00C66A65">
        <w:rPr>
          <w:rFonts w:eastAsiaTheme="minorEastAsia"/>
          <w:rtl/>
        </w:rPr>
        <w:t>)؛ و</w:t>
      </w:r>
      <w:r w:rsidRPr="00C66A65">
        <w:rPr>
          <w:rFonts w:eastAsiaTheme="minorEastAsia"/>
        </w:rPr>
        <w:t xml:space="preserve">Inter-American Court of Human Rights, </w:t>
      </w:r>
      <w:r w:rsidRPr="000233B9">
        <w:rPr>
          <w:rFonts w:eastAsiaTheme="minorEastAsia"/>
          <w:i/>
          <w:iCs/>
        </w:rPr>
        <w:t>Gelman v. Uruguay</w:t>
      </w:r>
      <w:r w:rsidRPr="00C66A65">
        <w:rPr>
          <w:rFonts w:eastAsiaTheme="minorEastAsia"/>
        </w:rPr>
        <w:t xml:space="preserve">, judgment of </w:t>
      </w:r>
      <w:r w:rsidRPr="000233B9">
        <w:rPr>
          <w:rFonts w:eastAsiaTheme="minorEastAsia"/>
        </w:rPr>
        <w:t>24</w:t>
      </w:r>
      <w:r w:rsidRPr="00C66A65">
        <w:rPr>
          <w:rFonts w:eastAsiaTheme="minorEastAsia"/>
        </w:rPr>
        <w:t xml:space="preserve"> February </w:t>
      </w:r>
      <w:r w:rsidRPr="000233B9">
        <w:rPr>
          <w:rFonts w:eastAsiaTheme="minorEastAsia"/>
        </w:rPr>
        <w:t>2011</w:t>
      </w:r>
      <w:r w:rsidRPr="00C66A65">
        <w:rPr>
          <w:rFonts w:eastAsiaTheme="minorEastAsia"/>
        </w:rPr>
        <w:t xml:space="preserve">, merits and reparations, para. </w:t>
      </w:r>
      <w:r w:rsidRPr="000233B9">
        <w:rPr>
          <w:rFonts w:eastAsiaTheme="minorEastAsia"/>
        </w:rPr>
        <w:t>97</w:t>
      </w:r>
      <w:r w:rsidRPr="00C66A65">
        <w:rPr>
          <w:rFonts w:eastAsiaTheme="minorEastAsia"/>
        </w:rPr>
        <w:t xml:space="preserve">, Series C No. </w:t>
      </w:r>
      <w:r w:rsidRPr="000233B9">
        <w:rPr>
          <w:rFonts w:eastAsiaTheme="minorEastAsia"/>
        </w:rPr>
        <w:t>221</w:t>
      </w:r>
      <w:r w:rsidRPr="00C66A65">
        <w:rPr>
          <w:rFonts w:eastAsiaTheme="minorEastAsia"/>
          <w:rtl/>
        </w:rPr>
        <w:t>؛ و</w:t>
      </w:r>
      <w:r w:rsidRPr="00C66A65">
        <w:rPr>
          <w:rFonts w:eastAsiaTheme="minorEastAsia"/>
        </w:rPr>
        <w:t xml:space="preserve">International Center for Transitional Justice, </w:t>
      </w:r>
      <w:r w:rsidRPr="000233B9">
        <w:rPr>
          <w:rFonts w:eastAsiaTheme="minorEastAsia"/>
          <w:i/>
          <w:iCs/>
        </w:rPr>
        <w:t xml:space="preserve">Las </w:t>
      </w:r>
      <w:proofErr w:type="spellStart"/>
      <w:r w:rsidRPr="000233B9">
        <w:rPr>
          <w:rFonts w:eastAsiaTheme="minorEastAsia"/>
          <w:i/>
          <w:iCs/>
        </w:rPr>
        <w:t>desaparecidas</w:t>
      </w:r>
      <w:proofErr w:type="spellEnd"/>
      <w:r w:rsidRPr="000233B9">
        <w:rPr>
          <w:rFonts w:eastAsiaTheme="minorEastAsia"/>
          <w:i/>
          <w:iCs/>
        </w:rPr>
        <w:t xml:space="preserve"> y las invisibles</w:t>
      </w:r>
      <w:r w:rsidRPr="00C66A65">
        <w:rPr>
          <w:rFonts w:eastAsiaTheme="minorEastAsia"/>
        </w:rPr>
        <w:t xml:space="preserve">. </w:t>
      </w:r>
      <w:proofErr w:type="spellStart"/>
      <w:r w:rsidRPr="000233B9">
        <w:rPr>
          <w:rFonts w:eastAsiaTheme="minorEastAsia"/>
          <w:i/>
          <w:iCs/>
        </w:rPr>
        <w:t>Repercusiones</w:t>
      </w:r>
      <w:proofErr w:type="spellEnd"/>
      <w:r w:rsidRPr="000233B9">
        <w:rPr>
          <w:rFonts w:eastAsiaTheme="minorEastAsia"/>
          <w:i/>
          <w:iCs/>
        </w:rPr>
        <w:t xml:space="preserve"> de la </w:t>
      </w:r>
      <w:proofErr w:type="spellStart"/>
      <w:r w:rsidRPr="000233B9">
        <w:rPr>
          <w:rFonts w:eastAsiaTheme="minorEastAsia"/>
          <w:i/>
          <w:iCs/>
        </w:rPr>
        <w:t>desaparición</w:t>
      </w:r>
      <w:proofErr w:type="spellEnd"/>
      <w:r w:rsidRPr="000233B9">
        <w:rPr>
          <w:rFonts w:eastAsiaTheme="minorEastAsia"/>
          <w:i/>
          <w:iCs/>
        </w:rPr>
        <w:t xml:space="preserve"> </w:t>
      </w:r>
      <w:proofErr w:type="spellStart"/>
      <w:r w:rsidRPr="000233B9">
        <w:rPr>
          <w:rFonts w:eastAsiaTheme="minorEastAsia"/>
          <w:i/>
          <w:iCs/>
        </w:rPr>
        <w:t>forzada</w:t>
      </w:r>
      <w:proofErr w:type="spellEnd"/>
      <w:r w:rsidRPr="000233B9">
        <w:rPr>
          <w:rFonts w:eastAsiaTheme="minorEastAsia"/>
          <w:i/>
          <w:iCs/>
        </w:rPr>
        <w:t xml:space="preserve"> </w:t>
      </w:r>
      <w:proofErr w:type="spellStart"/>
      <w:r w:rsidRPr="000233B9">
        <w:rPr>
          <w:rFonts w:eastAsiaTheme="minorEastAsia"/>
          <w:i/>
          <w:iCs/>
        </w:rPr>
        <w:t>en</w:t>
      </w:r>
      <w:proofErr w:type="spellEnd"/>
      <w:r w:rsidRPr="000233B9">
        <w:rPr>
          <w:rFonts w:eastAsiaTheme="minorEastAsia"/>
          <w:i/>
          <w:iCs/>
        </w:rPr>
        <w:t xml:space="preserve"> las </w:t>
      </w:r>
      <w:proofErr w:type="spellStart"/>
      <w:r w:rsidRPr="000233B9">
        <w:rPr>
          <w:rFonts w:eastAsiaTheme="minorEastAsia"/>
          <w:i/>
          <w:iCs/>
        </w:rPr>
        <w:t>mujeres</w:t>
      </w:r>
      <w:proofErr w:type="spellEnd"/>
      <w:r w:rsidRPr="00C66A65">
        <w:rPr>
          <w:rFonts w:eastAsiaTheme="minorEastAsia"/>
        </w:rPr>
        <w:t xml:space="preserve">, </w:t>
      </w:r>
      <w:r w:rsidRPr="000233B9">
        <w:rPr>
          <w:rFonts w:eastAsiaTheme="minorEastAsia"/>
        </w:rPr>
        <w:t>2015</w:t>
      </w:r>
      <w:r w:rsidRPr="00C66A65">
        <w:rPr>
          <w:rFonts w:eastAsiaTheme="minorEastAsia"/>
          <w:rtl/>
        </w:rPr>
        <w:t>؛ و</w:t>
      </w:r>
      <w:r w:rsidRPr="00C66A65">
        <w:rPr>
          <w:rFonts w:eastAsiaTheme="minorEastAsia"/>
        </w:rPr>
        <w:t xml:space="preserve">Ariel </w:t>
      </w:r>
      <w:proofErr w:type="spellStart"/>
      <w:r w:rsidRPr="00C66A65">
        <w:rPr>
          <w:rFonts w:eastAsiaTheme="minorEastAsia"/>
        </w:rPr>
        <w:t>Dulitzky</w:t>
      </w:r>
      <w:proofErr w:type="spellEnd"/>
      <w:r w:rsidRPr="00C66A65">
        <w:rPr>
          <w:rFonts w:eastAsiaTheme="minorEastAsia"/>
        </w:rPr>
        <w:t xml:space="preserve"> and Catalina Lagos, “</w:t>
      </w:r>
      <w:proofErr w:type="spellStart"/>
      <w:r w:rsidRPr="00C66A65">
        <w:rPr>
          <w:rFonts w:eastAsiaTheme="minorEastAsia"/>
        </w:rPr>
        <w:t>Jurisprudencia</w:t>
      </w:r>
      <w:proofErr w:type="spellEnd"/>
      <w:r w:rsidRPr="00C66A65">
        <w:rPr>
          <w:rFonts w:eastAsiaTheme="minorEastAsia"/>
        </w:rPr>
        <w:t xml:space="preserve"> </w:t>
      </w:r>
      <w:proofErr w:type="spellStart"/>
      <w:r w:rsidRPr="00C66A65">
        <w:rPr>
          <w:rFonts w:eastAsiaTheme="minorEastAsia"/>
        </w:rPr>
        <w:t>Interamericana</w:t>
      </w:r>
      <w:proofErr w:type="spellEnd"/>
      <w:r w:rsidRPr="00C66A65">
        <w:rPr>
          <w:rFonts w:eastAsiaTheme="minorEastAsia"/>
        </w:rPr>
        <w:t xml:space="preserve"> </w:t>
      </w:r>
      <w:proofErr w:type="spellStart"/>
      <w:r w:rsidRPr="00C66A65">
        <w:rPr>
          <w:rFonts w:eastAsiaTheme="minorEastAsia"/>
        </w:rPr>
        <w:t>sobre</w:t>
      </w:r>
      <w:proofErr w:type="spellEnd"/>
      <w:r w:rsidRPr="00C66A65">
        <w:rPr>
          <w:rFonts w:eastAsiaTheme="minorEastAsia"/>
        </w:rPr>
        <w:t xml:space="preserve"> </w:t>
      </w:r>
      <w:proofErr w:type="spellStart"/>
      <w:r w:rsidRPr="00C66A65">
        <w:rPr>
          <w:rFonts w:eastAsiaTheme="minorEastAsia"/>
        </w:rPr>
        <w:t>desaparición</w:t>
      </w:r>
      <w:proofErr w:type="spellEnd"/>
      <w:r w:rsidRPr="00C66A65">
        <w:rPr>
          <w:rFonts w:eastAsiaTheme="minorEastAsia"/>
        </w:rPr>
        <w:t xml:space="preserve"> </w:t>
      </w:r>
      <w:proofErr w:type="spellStart"/>
      <w:r w:rsidRPr="00C66A65">
        <w:rPr>
          <w:rFonts w:eastAsiaTheme="minorEastAsia"/>
        </w:rPr>
        <w:t>forzada</w:t>
      </w:r>
      <w:proofErr w:type="spellEnd"/>
      <w:r w:rsidRPr="00C66A65">
        <w:rPr>
          <w:rFonts w:eastAsiaTheme="minorEastAsia"/>
        </w:rPr>
        <w:t xml:space="preserve"> y </w:t>
      </w:r>
      <w:proofErr w:type="spellStart"/>
      <w:r w:rsidRPr="00C66A65">
        <w:rPr>
          <w:rFonts w:eastAsiaTheme="minorEastAsia"/>
        </w:rPr>
        <w:t>mujeres</w:t>
      </w:r>
      <w:proofErr w:type="spellEnd"/>
      <w:r w:rsidRPr="00C66A65">
        <w:rPr>
          <w:rFonts w:eastAsiaTheme="minorEastAsia"/>
        </w:rPr>
        <w:t xml:space="preserve">: la </w:t>
      </w:r>
      <w:proofErr w:type="spellStart"/>
      <w:r w:rsidRPr="00C66A65">
        <w:rPr>
          <w:rFonts w:eastAsiaTheme="minorEastAsia"/>
        </w:rPr>
        <w:t>timida</w:t>
      </w:r>
      <w:proofErr w:type="spellEnd"/>
      <w:r w:rsidRPr="00C66A65">
        <w:rPr>
          <w:rFonts w:eastAsiaTheme="minorEastAsia"/>
        </w:rPr>
        <w:t xml:space="preserve"> e </w:t>
      </w:r>
      <w:proofErr w:type="spellStart"/>
      <w:r w:rsidRPr="00C66A65">
        <w:rPr>
          <w:rFonts w:eastAsiaTheme="minorEastAsia"/>
        </w:rPr>
        <w:t>inconsistente</w:t>
      </w:r>
      <w:proofErr w:type="spellEnd"/>
      <w:r w:rsidRPr="00C66A65">
        <w:rPr>
          <w:rFonts w:eastAsiaTheme="minorEastAsia"/>
        </w:rPr>
        <w:t xml:space="preserve"> </w:t>
      </w:r>
      <w:proofErr w:type="spellStart"/>
      <w:r w:rsidRPr="00C66A65">
        <w:rPr>
          <w:rFonts w:eastAsiaTheme="minorEastAsia"/>
        </w:rPr>
        <w:t>aparición</w:t>
      </w:r>
      <w:proofErr w:type="spellEnd"/>
      <w:r w:rsidRPr="00C66A65">
        <w:rPr>
          <w:rFonts w:eastAsiaTheme="minorEastAsia"/>
        </w:rPr>
        <w:t xml:space="preserve"> de la </w:t>
      </w:r>
      <w:proofErr w:type="spellStart"/>
      <w:r w:rsidRPr="00C66A65">
        <w:rPr>
          <w:rFonts w:eastAsiaTheme="minorEastAsia"/>
        </w:rPr>
        <w:t>perspectiva</w:t>
      </w:r>
      <w:proofErr w:type="spellEnd"/>
      <w:r w:rsidRPr="00C66A65">
        <w:rPr>
          <w:rFonts w:eastAsiaTheme="minorEastAsia"/>
        </w:rPr>
        <w:t xml:space="preserve"> de </w:t>
      </w:r>
      <w:proofErr w:type="spellStart"/>
      <w:r w:rsidRPr="00C66A65">
        <w:rPr>
          <w:rFonts w:eastAsiaTheme="minorEastAsia"/>
        </w:rPr>
        <w:t>género</w:t>
      </w:r>
      <w:proofErr w:type="spellEnd"/>
      <w:r w:rsidRPr="00C66A65">
        <w:rPr>
          <w:rFonts w:eastAsiaTheme="minorEastAsia"/>
        </w:rPr>
        <w:t xml:space="preserve">”, </w:t>
      </w:r>
      <w:proofErr w:type="spellStart"/>
      <w:r w:rsidRPr="000233B9">
        <w:rPr>
          <w:rFonts w:eastAsiaTheme="minorEastAsia"/>
          <w:i/>
          <w:iCs/>
        </w:rPr>
        <w:t>Lecciones</w:t>
      </w:r>
      <w:proofErr w:type="spellEnd"/>
      <w:r w:rsidRPr="000233B9">
        <w:rPr>
          <w:rFonts w:eastAsiaTheme="minorEastAsia"/>
          <w:i/>
          <w:iCs/>
        </w:rPr>
        <w:t xml:space="preserve"> y </w:t>
      </w:r>
      <w:proofErr w:type="spellStart"/>
      <w:r w:rsidRPr="000233B9">
        <w:rPr>
          <w:rFonts w:eastAsiaTheme="minorEastAsia"/>
          <w:i/>
          <w:iCs/>
        </w:rPr>
        <w:t>Ensayos</w:t>
      </w:r>
      <w:proofErr w:type="spellEnd"/>
      <w:r w:rsidRPr="00C66A65">
        <w:rPr>
          <w:rFonts w:eastAsiaTheme="minorEastAsia"/>
        </w:rPr>
        <w:t xml:space="preserve">, No. </w:t>
      </w:r>
      <w:r w:rsidRPr="000233B9">
        <w:rPr>
          <w:rFonts w:eastAsiaTheme="minorEastAsia"/>
        </w:rPr>
        <w:t>94</w:t>
      </w:r>
      <w:r w:rsidRPr="00C66A65">
        <w:rPr>
          <w:rFonts w:eastAsiaTheme="minorEastAsia"/>
        </w:rPr>
        <w:t xml:space="preserve"> (</w:t>
      </w:r>
      <w:r w:rsidRPr="000233B9">
        <w:rPr>
          <w:rFonts w:eastAsiaTheme="minorEastAsia"/>
        </w:rPr>
        <w:t>2015</w:t>
      </w:r>
      <w:r w:rsidRPr="00C66A65">
        <w:rPr>
          <w:rFonts w:eastAsiaTheme="minorEastAsia"/>
        </w:rPr>
        <w:t xml:space="preserve">), pp. </w:t>
      </w:r>
      <w:r w:rsidRPr="000233B9">
        <w:rPr>
          <w:rFonts w:eastAsiaTheme="minorEastAsia"/>
        </w:rPr>
        <w:t>45</w:t>
      </w:r>
      <w:r w:rsidRPr="00C66A65">
        <w:rPr>
          <w:rFonts w:eastAsiaTheme="minorEastAsia"/>
        </w:rPr>
        <w:t>–</w:t>
      </w:r>
      <w:r w:rsidRPr="000233B9">
        <w:rPr>
          <w:rFonts w:eastAsiaTheme="minorEastAsia"/>
        </w:rPr>
        <w:t>94</w:t>
      </w:r>
      <w:r w:rsidRPr="00C66A65">
        <w:rPr>
          <w:rFonts w:eastAsiaTheme="minorEastAsia"/>
          <w:rtl/>
        </w:rPr>
        <w:t>.</w:t>
      </w:r>
    </w:p>
  </w:footnote>
  <w:footnote w:id="23">
    <w:p w14:paraId="477762FF" w14:textId="32133491"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A9036D">
        <w:rPr>
          <w:rFonts w:eastAsiaTheme="minorEastAsia"/>
          <w:spacing w:val="-4"/>
          <w:rtl/>
        </w:rPr>
        <w:t xml:space="preserve">انظر </w:t>
      </w:r>
      <w:r w:rsidRPr="000233B9">
        <w:rPr>
          <w:rFonts w:eastAsiaTheme="minorEastAsia"/>
          <w:i/>
          <w:iCs/>
          <w:spacing w:val="-4"/>
          <w:rtl/>
        </w:rPr>
        <w:t>زاير ضد الجزائر</w:t>
      </w:r>
      <w:r w:rsidRPr="00A9036D">
        <w:rPr>
          <w:rFonts w:eastAsiaTheme="minorEastAsia"/>
          <w:spacing w:val="-4"/>
          <w:rtl/>
        </w:rPr>
        <w:t xml:space="preserve"> (</w:t>
      </w:r>
      <w:r w:rsidRPr="00A9036D">
        <w:rPr>
          <w:rFonts w:eastAsiaTheme="minorEastAsia"/>
          <w:spacing w:val="-4"/>
        </w:rPr>
        <w:t>CCPR/C/</w:t>
      </w:r>
      <w:r w:rsidRPr="000233B9">
        <w:rPr>
          <w:rFonts w:eastAsiaTheme="minorEastAsia"/>
          <w:spacing w:val="-4"/>
        </w:rPr>
        <w:t>112</w:t>
      </w:r>
      <w:r w:rsidRPr="00A9036D">
        <w:rPr>
          <w:rFonts w:eastAsiaTheme="minorEastAsia"/>
          <w:spacing w:val="-4"/>
        </w:rPr>
        <w:t>/D/</w:t>
      </w:r>
      <w:r w:rsidRPr="000233B9">
        <w:rPr>
          <w:rFonts w:eastAsiaTheme="minorEastAsia"/>
          <w:spacing w:val="-4"/>
        </w:rPr>
        <w:t>2026</w:t>
      </w:r>
      <w:r w:rsidRPr="00A9036D">
        <w:rPr>
          <w:rFonts w:eastAsiaTheme="minorEastAsia"/>
          <w:spacing w:val="-4"/>
        </w:rPr>
        <w:t>/</w:t>
      </w:r>
      <w:r w:rsidRPr="000233B9">
        <w:rPr>
          <w:rFonts w:eastAsiaTheme="minorEastAsia"/>
          <w:spacing w:val="-4"/>
        </w:rPr>
        <w:t>2011</w:t>
      </w:r>
      <w:r w:rsidRPr="00A9036D">
        <w:rPr>
          <w:rFonts w:eastAsiaTheme="minorEastAsia"/>
          <w:spacing w:val="-4"/>
          <w:rtl/>
        </w:rPr>
        <w:t xml:space="preserve">)، الفقرة </w:t>
      </w:r>
      <w:r w:rsidRPr="000233B9">
        <w:rPr>
          <w:rFonts w:eastAsiaTheme="minorEastAsia"/>
          <w:spacing w:val="-4"/>
          <w:rtl/>
        </w:rPr>
        <w:t>7</w:t>
      </w:r>
      <w:r w:rsidRPr="00A9036D">
        <w:rPr>
          <w:rFonts w:eastAsiaTheme="minorEastAsia"/>
          <w:spacing w:val="-4"/>
          <w:rtl/>
        </w:rPr>
        <w:t>-</w:t>
      </w:r>
      <w:r w:rsidRPr="000233B9">
        <w:rPr>
          <w:rFonts w:eastAsiaTheme="minorEastAsia"/>
          <w:spacing w:val="-4"/>
          <w:rtl/>
        </w:rPr>
        <w:t>6</w:t>
      </w:r>
      <w:r w:rsidRPr="00A9036D">
        <w:rPr>
          <w:rFonts w:eastAsiaTheme="minorEastAsia"/>
          <w:spacing w:val="-4"/>
          <w:rtl/>
        </w:rPr>
        <w:t>؛ و</w:t>
      </w:r>
      <w:r w:rsidRPr="000233B9">
        <w:rPr>
          <w:rFonts w:eastAsiaTheme="minorEastAsia"/>
          <w:i/>
          <w:iCs/>
          <w:spacing w:val="-4"/>
          <w:rtl/>
        </w:rPr>
        <w:t>سيرنا وآخرون ضد كولومبيا</w:t>
      </w:r>
      <w:r w:rsidRPr="00A9036D">
        <w:rPr>
          <w:rFonts w:eastAsiaTheme="minorEastAsia"/>
          <w:spacing w:val="-4"/>
          <w:rtl/>
        </w:rPr>
        <w:t xml:space="preserve"> (</w:t>
      </w:r>
      <w:r w:rsidRPr="00A9036D">
        <w:rPr>
          <w:rFonts w:eastAsiaTheme="minorEastAsia"/>
          <w:spacing w:val="-4"/>
        </w:rPr>
        <w:t>CCPR/C/</w:t>
      </w:r>
      <w:r w:rsidRPr="000233B9">
        <w:rPr>
          <w:rFonts w:eastAsiaTheme="minorEastAsia"/>
          <w:spacing w:val="-4"/>
        </w:rPr>
        <w:t>114</w:t>
      </w:r>
      <w:r w:rsidRPr="00A9036D">
        <w:rPr>
          <w:rFonts w:eastAsiaTheme="minorEastAsia"/>
          <w:spacing w:val="-4"/>
        </w:rPr>
        <w:t>/D/</w:t>
      </w:r>
      <w:r w:rsidRPr="000233B9">
        <w:rPr>
          <w:rFonts w:eastAsiaTheme="minorEastAsia"/>
          <w:spacing w:val="-4"/>
        </w:rPr>
        <w:t>2134</w:t>
      </w:r>
      <w:r w:rsidRPr="00A9036D">
        <w:rPr>
          <w:rFonts w:eastAsiaTheme="minorEastAsia"/>
          <w:spacing w:val="-4"/>
        </w:rPr>
        <w:t>/</w:t>
      </w:r>
      <w:r w:rsidRPr="000233B9">
        <w:rPr>
          <w:rFonts w:eastAsiaTheme="minorEastAsia"/>
          <w:spacing w:val="-4"/>
        </w:rPr>
        <w:t>2012</w:t>
      </w:r>
      <w:r w:rsidRPr="00A9036D">
        <w:rPr>
          <w:rFonts w:eastAsiaTheme="minorEastAsia"/>
          <w:spacing w:val="-4"/>
          <w:rtl/>
        </w:rPr>
        <w:t xml:space="preserve">)، الفقرة </w:t>
      </w:r>
      <w:r w:rsidRPr="000233B9">
        <w:rPr>
          <w:rFonts w:eastAsiaTheme="minorEastAsia"/>
          <w:spacing w:val="-4"/>
          <w:rtl/>
        </w:rPr>
        <w:t>9</w:t>
      </w:r>
      <w:r w:rsidRPr="00A9036D">
        <w:rPr>
          <w:rFonts w:eastAsiaTheme="minorEastAsia"/>
          <w:spacing w:val="-4"/>
          <w:rtl/>
        </w:rPr>
        <w:t>-</w:t>
      </w:r>
      <w:r w:rsidRPr="000233B9">
        <w:rPr>
          <w:rFonts w:eastAsiaTheme="minorEastAsia"/>
          <w:spacing w:val="-4"/>
          <w:rtl/>
        </w:rPr>
        <w:t>8</w:t>
      </w:r>
      <w:r w:rsidRPr="00A9036D">
        <w:rPr>
          <w:rFonts w:eastAsiaTheme="minorEastAsia"/>
          <w:spacing w:val="-4"/>
          <w:rtl/>
        </w:rPr>
        <w:t xml:space="preserve">؛ </w:t>
      </w:r>
      <w:proofErr w:type="spellStart"/>
      <w:r w:rsidRPr="00A9036D">
        <w:rPr>
          <w:rFonts w:eastAsiaTheme="minorEastAsia"/>
          <w:spacing w:val="-4"/>
          <w:rtl/>
        </w:rPr>
        <w:t>و</w:t>
      </w:r>
      <w:r w:rsidRPr="000233B9">
        <w:rPr>
          <w:rFonts w:eastAsiaTheme="minorEastAsia"/>
          <w:i/>
          <w:iCs/>
          <w:spacing w:val="-4"/>
          <w:rtl/>
        </w:rPr>
        <w:t>رزفانوفيتش</w:t>
      </w:r>
      <w:proofErr w:type="spellEnd"/>
      <w:r w:rsidRPr="000233B9">
        <w:rPr>
          <w:rFonts w:eastAsiaTheme="minorEastAsia"/>
          <w:i/>
          <w:iCs/>
          <w:spacing w:val="-4"/>
          <w:rtl/>
        </w:rPr>
        <w:t xml:space="preserve"> </w:t>
      </w:r>
      <w:proofErr w:type="spellStart"/>
      <w:r w:rsidRPr="000233B9">
        <w:rPr>
          <w:rFonts w:eastAsiaTheme="minorEastAsia"/>
          <w:i/>
          <w:iCs/>
          <w:spacing w:val="-4"/>
          <w:rtl/>
        </w:rPr>
        <w:t>ورزفانوفيتش</w:t>
      </w:r>
      <w:proofErr w:type="spellEnd"/>
      <w:r w:rsidRPr="000233B9">
        <w:rPr>
          <w:rFonts w:eastAsiaTheme="minorEastAsia"/>
          <w:i/>
          <w:iCs/>
          <w:spacing w:val="-4"/>
          <w:rtl/>
        </w:rPr>
        <w:t xml:space="preserve"> ضد البوسنة والهرسك</w:t>
      </w:r>
      <w:r w:rsidRPr="00A9036D">
        <w:rPr>
          <w:rFonts w:eastAsiaTheme="minorEastAsia"/>
          <w:spacing w:val="-4"/>
          <w:rtl/>
        </w:rPr>
        <w:t xml:space="preserve"> (</w:t>
      </w:r>
      <w:r w:rsidRPr="00A9036D">
        <w:rPr>
          <w:rFonts w:eastAsiaTheme="minorEastAsia"/>
          <w:spacing w:val="-4"/>
        </w:rPr>
        <w:t>CCPR/C/</w:t>
      </w:r>
      <w:r w:rsidRPr="000233B9">
        <w:rPr>
          <w:rFonts w:eastAsiaTheme="minorEastAsia"/>
          <w:spacing w:val="-4"/>
        </w:rPr>
        <w:t>110</w:t>
      </w:r>
      <w:r w:rsidRPr="00A9036D">
        <w:rPr>
          <w:rFonts w:eastAsiaTheme="minorEastAsia"/>
          <w:spacing w:val="-4"/>
        </w:rPr>
        <w:t>/D/</w:t>
      </w:r>
      <w:r w:rsidRPr="000233B9">
        <w:rPr>
          <w:rFonts w:eastAsiaTheme="minorEastAsia"/>
          <w:spacing w:val="-4"/>
        </w:rPr>
        <w:t>1997</w:t>
      </w:r>
      <w:r w:rsidRPr="00A9036D">
        <w:rPr>
          <w:rFonts w:eastAsiaTheme="minorEastAsia"/>
          <w:spacing w:val="-4"/>
        </w:rPr>
        <w:t>/</w:t>
      </w:r>
      <w:r w:rsidRPr="000233B9">
        <w:rPr>
          <w:rFonts w:eastAsiaTheme="minorEastAsia"/>
          <w:spacing w:val="-4"/>
        </w:rPr>
        <w:t>2010</w:t>
      </w:r>
      <w:r w:rsidRPr="00A9036D">
        <w:rPr>
          <w:rFonts w:eastAsiaTheme="minorEastAsia"/>
          <w:spacing w:val="-4"/>
          <w:rtl/>
        </w:rPr>
        <w:t xml:space="preserve"> وCorr.</w:t>
      </w:r>
      <w:r w:rsidRPr="000233B9">
        <w:rPr>
          <w:rFonts w:eastAsiaTheme="minorEastAsia"/>
          <w:spacing w:val="-4"/>
          <w:rtl/>
        </w:rPr>
        <w:t>1</w:t>
      </w:r>
      <w:r w:rsidRPr="00A9036D">
        <w:rPr>
          <w:rFonts w:eastAsiaTheme="minorEastAsia"/>
          <w:spacing w:val="-4"/>
          <w:rtl/>
        </w:rPr>
        <w:t xml:space="preserve">)، الفقرة </w:t>
      </w:r>
      <w:r w:rsidRPr="000233B9">
        <w:rPr>
          <w:rFonts w:eastAsiaTheme="minorEastAsia"/>
          <w:spacing w:val="-4"/>
          <w:rtl/>
        </w:rPr>
        <w:t>9</w:t>
      </w:r>
      <w:r w:rsidRPr="00A9036D">
        <w:rPr>
          <w:rFonts w:eastAsiaTheme="minorEastAsia"/>
          <w:spacing w:val="-4"/>
          <w:rtl/>
        </w:rPr>
        <w:t>-</w:t>
      </w:r>
      <w:r w:rsidRPr="000233B9">
        <w:rPr>
          <w:rFonts w:eastAsiaTheme="minorEastAsia"/>
          <w:spacing w:val="-4"/>
          <w:rtl/>
        </w:rPr>
        <w:t>6</w:t>
      </w:r>
      <w:r w:rsidRPr="00A9036D">
        <w:rPr>
          <w:rFonts w:eastAsiaTheme="minorEastAsia"/>
          <w:spacing w:val="-4"/>
          <w:rtl/>
        </w:rPr>
        <w:t xml:space="preserve">؛ </w:t>
      </w:r>
      <w:proofErr w:type="spellStart"/>
      <w:r w:rsidRPr="00A9036D">
        <w:rPr>
          <w:rFonts w:eastAsiaTheme="minorEastAsia"/>
          <w:spacing w:val="-4"/>
          <w:rtl/>
        </w:rPr>
        <w:t>و</w:t>
      </w:r>
      <w:r w:rsidRPr="000233B9">
        <w:rPr>
          <w:rFonts w:eastAsiaTheme="minorEastAsia"/>
          <w:i/>
          <w:iCs/>
          <w:spacing w:val="-4"/>
          <w:rtl/>
        </w:rPr>
        <w:t>إيتشيش</w:t>
      </w:r>
      <w:proofErr w:type="spellEnd"/>
      <w:r w:rsidRPr="000233B9">
        <w:rPr>
          <w:rFonts w:eastAsiaTheme="minorEastAsia"/>
          <w:i/>
          <w:iCs/>
          <w:spacing w:val="-4"/>
          <w:rtl/>
        </w:rPr>
        <w:t xml:space="preserve"> ضد البوسنة والهرسك</w:t>
      </w:r>
      <w:r w:rsidRPr="00A9036D">
        <w:rPr>
          <w:rFonts w:eastAsiaTheme="minorEastAsia"/>
          <w:spacing w:val="-4"/>
          <w:rtl/>
        </w:rPr>
        <w:t xml:space="preserve"> (</w:t>
      </w:r>
      <w:r w:rsidRPr="00A9036D">
        <w:rPr>
          <w:rFonts w:eastAsiaTheme="minorEastAsia"/>
          <w:spacing w:val="-4"/>
        </w:rPr>
        <w:t>CCPR/C/</w:t>
      </w:r>
      <w:r w:rsidRPr="000233B9">
        <w:rPr>
          <w:rFonts w:eastAsiaTheme="minorEastAsia"/>
          <w:spacing w:val="-4"/>
        </w:rPr>
        <w:t>113</w:t>
      </w:r>
      <w:r w:rsidRPr="00A9036D">
        <w:rPr>
          <w:rFonts w:eastAsiaTheme="minorEastAsia"/>
          <w:spacing w:val="-4"/>
        </w:rPr>
        <w:t>/D/</w:t>
      </w:r>
      <w:r w:rsidRPr="000233B9">
        <w:rPr>
          <w:rFonts w:eastAsiaTheme="minorEastAsia"/>
          <w:spacing w:val="-4"/>
        </w:rPr>
        <w:t>2028</w:t>
      </w:r>
      <w:r w:rsidRPr="00A9036D">
        <w:rPr>
          <w:rFonts w:eastAsiaTheme="minorEastAsia"/>
          <w:spacing w:val="-4"/>
        </w:rPr>
        <w:t>/</w:t>
      </w:r>
      <w:r w:rsidRPr="000233B9">
        <w:rPr>
          <w:rFonts w:eastAsiaTheme="minorEastAsia"/>
          <w:spacing w:val="-4"/>
        </w:rPr>
        <w:t>2011</w:t>
      </w:r>
      <w:r w:rsidRPr="00A9036D">
        <w:rPr>
          <w:rFonts w:eastAsiaTheme="minorEastAsia"/>
          <w:spacing w:val="-4"/>
          <w:rtl/>
        </w:rPr>
        <w:t xml:space="preserve">)، الفقرة </w:t>
      </w:r>
      <w:r w:rsidRPr="000233B9">
        <w:rPr>
          <w:rFonts w:eastAsiaTheme="minorEastAsia"/>
          <w:spacing w:val="-4"/>
          <w:rtl/>
        </w:rPr>
        <w:t>9</w:t>
      </w:r>
      <w:r w:rsidRPr="00A9036D">
        <w:rPr>
          <w:rFonts w:eastAsiaTheme="minorEastAsia"/>
          <w:spacing w:val="-4"/>
          <w:rtl/>
        </w:rPr>
        <w:t>-</w:t>
      </w:r>
      <w:r w:rsidRPr="000233B9">
        <w:rPr>
          <w:rFonts w:eastAsiaTheme="minorEastAsia"/>
          <w:spacing w:val="-4"/>
          <w:rtl/>
        </w:rPr>
        <w:t>7</w:t>
      </w:r>
      <w:r w:rsidRPr="00A9036D">
        <w:rPr>
          <w:rFonts w:eastAsiaTheme="minorEastAsia"/>
          <w:spacing w:val="-4"/>
          <w:rtl/>
        </w:rPr>
        <w:t>؛ و</w:t>
      </w:r>
      <w:r w:rsidRPr="000233B9">
        <w:rPr>
          <w:rFonts w:eastAsiaTheme="minorEastAsia"/>
          <w:i/>
          <w:iCs/>
          <w:spacing w:val="-4"/>
          <w:rtl/>
        </w:rPr>
        <w:t>بروتينا وآخرون ضد البوسنة والهرسك</w:t>
      </w:r>
      <w:r w:rsidRPr="00A9036D">
        <w:rPr>
          <w:rFonts w:eastAsiaTheme="minorEastAsia"/>
          <w:spacing w:val="-4"/>
          <w:rtl/>
        </w:rPr>
        <w:t xml:space="preserve"> (</w:t>
      </w:r>
      <w:r w:rsidRPr="00A9036D">
        <w:rPr>
          <w:rFonts w:eastAsiaTheme="minorEastAsia"/>
          <w:spacing w:val="-4"/>
        </w:rPr>
        <w:t>CCPR/C/</w:t>
      </w:r>
      <w:r w:rsidRPr="000233B9">
        <w:rPr>
          <w:rFonts w:eastAsiaTheme="minorEastAsia"/>
          <w:spacing w:val="-4"/>
        </w:rPr>
        <w:t>107</w:t>
      </w:r>
      <w:r w:rsidRPr="00A9036D">
        <w:rPr>
          <w:rFonts w:eastAsiaTheme="minorEastAsia"/>
          <w:spacing w:val="-4"/>
        </w:rPr>
        <w:t>/D/</w:t>
      </w:r>
      <w:r w:rsidRPr="000233B9">
        <w:rPr>
          <w:rFonts w:eastAsiaTheme="minorEastAsia"/>
          <w:spacing w:val="-4"/>
        </w:rPr>
        <w:t>1917</w:t>
      </w:r>
      <w:r w:rsidRPr="00A9036D">
        <w:rPr>
          <w:rFonts w:eastAsiaTheme="minorEastAsia"/>
          <w:spacing w:val="-4"/>
        </w:rPr>
        <w:t>/</w:t>
      </w:r>
      <w:r w:rsidRPr="000233B9">
        <w:rPr>
          <w:rFonts w:eastAsiaTheme="minorEastAsia"/>
          <w:spacing w:val="-4"/>
        </w:rPr>
        <w:t>2009</w:t>
      </w:r>
      <w:r w:rsidRPr="00A9036D">
        <w:rPr>
          <w:rFonts w:eastAsiaTheme="minorEastAsia"/>
          <w:spacing w:val="-4"/>
          <w:rtl/>
        </w:rPr>
        <w:t>، و</w:t>
      </w:r>
      <w:r w:rsidRPr="000233B9">
        <w:rPr>
          <w:rFonts w:eastAsiaTheme="minorEastAsia"/>
          <w:spacing w:val="-4"/>
          <w:rtl/>
        </w:rPr>
        <w:t>1918</w:t>
      </w:r>
      <w:r w:rsidRPr="00A9036D">
        <w:rPr>
          <w:rFonts w:eastAsiaTheme="minorEastAsia"/>
          <w:spacing w:val="-4"/>
          <w:rtl/>
        </w:rPr>
        <w:t>/</w:t>
      </w:r>
      <w:r w:rsidRPr="000233B9">
        <w:rPr>
          <w:rFonts w:eastAsiaTheme="minorEastAsia"/>
          <w:spacing w:val="-4"/>
          <w:rtl/>
        </w:rPr>
        <w:t>2009</w:t>
      </w:r>
      <w:r w:rsidRPr="00A9036D">
        <w:rPr>
          <w:rFonts w:eastAsiaTheme="minorEastAsia"/>
          <w:spacing w:val="-4"/>
          <w:rtl/>
        </w:rPr>
        <w:t>، و</w:t>
      </w:r>
      <w:r w:rsidRPr="000233B9">
        <w:rPr>
          <w:rFonts w:eastAsiaTheme="minorEastAsia"/>
          <w:spacing w:val="-4"/>
          <w:rtl/>
        </w:rPr>
        <w:t>1925</w:t>
      </w:r>
      <w:r w:rsidRPr="00A9036D">
        <w:rPr>
          <w:rFonts w:eastAsiaTheme="minorEastAsia"/>
          <w:spacing w:val="-4"/>
          <w:rtl/>
        </w:rPr>
        <w:t>/</w:t>
      </w:r>
      <w:r w:rsidRPr="000233B9">
        <w:rPr>
          <w:rFonts w:eastAsiaTheme="minorEastAsia"/>
          <w:spacing w:val="-4"/>
          <w:rtl/>
        </w:rPr>
        <w:t>2009</w:t>
      </w:r>
      <w:r w:rsidRPr="00A9036D">
        <w:rPr>
          <w:rFonts w:eastAsiaTheme="minorEastAsia"/>
          <w:spacing w:val="-4"/>
          <w:rtl/>
        </w:rPr>
        <w:t>، و</w:t>
      </w:r>
      <w:r w:rsidRPr="000233B9">
        <w:rPr>
          <w:rFonts w:eastAsiaTheme="minorEastAsia"/>
          <w:spacing w:val="-4"/>
          <w:rtl/>
        </w:rPr>
        <w:t>1953</w:t>
      </w:r>
      <w:r w:rsidRPr="00A9036D">
        <w:rPr>
          <w:rFonts w:eastAsiaTheme="minorEastAsia"/>
          <w:spacing w:val="-4"/>
          <w:rtl/>
        </w:rPr>
        <w:t>/</w:t>
      </w:r>
      <w:r w:rsidRPr="000233B9">
        <w:rPr>
          <w:rFonts w:eastAsiaTheme="minorEastAsia"/>
          <w:spacing w:val="-4"/>
          <w:rtl/>
        </w:rPr>
        <w:t>2010</w:t>
      </w:r>
      <w:r w:rsidRPr="00A9036D">
        <w:rPr>
          <w:rFonts w:eastAsiaTheme="minorEastAsia"/>
          <w:spacing w:val="-4"/>
          <w:rtl/>
        </w:rPr>
        <w:t xml:space="preserve">)، الفقرة </w:t>
      </w:r>
      <w:r w:rsidRPr="000233B9">
        <w:rPr>
          <w:rFonts w:eastAsiaTheme="minorEastAsia"/>
          <w:spacing w:val="-4"/>
          <w:rtl/>
        </w:rPr>
        <w:t>9</w:t>
      </w:r>
      <w:r w:rsidRPr="00A9036D">
        <w:rPr>
          <w:rFonts w:eastAsiaTheme="minorEastAsia"/>
          <w:spacing w:val="-4"/>
          <w:rtl/>
        </w:rPr>
        <w:t>-</w:t>
      </w:r>
      <w:r w:rsidRPr="000233B9">
        <w:rPr>
          <w:rFonts w:eastAsiaTheme="minorEastAsia"/>
          <w:spacing w:val="-4"/>
          <w:rtl/>
        </w:rPr>
        <w:t>6</w:t>
      </w:r>
      <w:r w:rsidRPr="00A9036D">
        <w:rPr>
          <w:rFonts w:eastAsiaTheme="minorEastAsia"/>
          <w:spacing w:val="-4"/>
          <w:rtl/>
        </w:rPr>
        <w:t xml:space="preserve">؛ </w:t>
      </w:r>
      <w:proofErr w:type="spellStart"/>
      <w:r w:rsidRPr="00A9036D">
        <w:rPr>
          <w:rFonts w:eastAsiaTheme="minorEastAsia"/>
          <w:spacing w:val="-4"/>
          <w:rtl/>
        </w:rPr>
        <w:t>و</w:t>
      </w:r>
      <w:r w:rsidRPr="000233B9">
        <w:rPr>
          <w:rFonts w:eastAsiaTheme="minorEastAsia"/>
          <w:i/>
          <w:iCs/>
          <w:spacing w:val="-4"/>
          <w:rtl/>
        </w:rPr>
        <w:t>سليموفتيش</w:t>
      </w:r>
      <w:proofErr w:type="spellEnd"/>
      <w:r w:rsidRPr="000233B9">
        <w:rPr>
          <w:rFonts w:eastAsiaTheme="minorEastAsia"/>
          <w:i/>
          <w:iCs/>
          <w:spacing w:val="-4"/>
          <w:rtl/>
        </w:rPr>
        <w:t xml:space="preserve"> وآخرون ضد البوسنة والهرسك</w:t>
      </w:r>
      <w:r w:rsidRPr="00A9036D">
        <w:rPr>
          <w:rFonts w:eastAsiaTheme="minorEastAsia"/>
          <w:spacing w:val="-4"/>
          <w:rtl/>
        </w:rPr>
        <w:t xml:space="preserve"> (</w:t>
      </w:r>
      <w:r w:rsidRPr="00A9036D">
        <w:rPr>
          <w:rFonts w:eastAsiaTheme="minorEastAsia"/>
          <w:spacing w:val="-4"/>
        </w:rPr>
        <w:t>CCPR/C/</w:t>
      </w:r>
      <w:r w:rsidRPr="000233B9">
        <w:rPr>
          <w:rFonts w:eastAsiaTheme="minorEastAsia"/>
          <w:spacing w:val="-4"/>
        </w:rPr>
        <w:t>111</w:t>
      </w:r>
      <w:r w:rsidRPr="00A9036D">
        <w:rPr>
          <w:rFonts w:eastAsiaTheme="minorEastAsia"/>
          <w:spacing w:val="-4"/>
        </w:rPr>
        <w:t>/D/</w:t>
      </w:r>
      <w:r w:rsidRPr="000233B9">
        <w:rPr>
          <w:rFonts w:eastAsiaTheme="minorEastAsia"/>
          <w:spacing w:val="-4"/>
        </w:rPr>
        <w:t>2003</w:t>
      </w:r>
      <w:r w:rsidRPr="00A9036D">
        <w:rPr>
          <w:rFonts w:eastAsiaTheme="minorEastAsia"/>
          <w:spacing w:val="-4"/>
        </w:rPr>
        <w:t>/</w:t>
      </w:r>
      <w:r w:rsidRPr="000233B9">
        <w:rPr>
          <w:rFonts w:eastAsiaTheme="minorEastAsia"/>
          <w:spacing w:val="-4"/>
        </w:rPr>
        <w:t>2010</w:t>
      </w:r>
      <w:r w:rsidRPr="00A9036D">
        <w:rPr>
          <w:rFonts w:eastAsiaTheme="minorEastAsia"/>
          <w:spacing w:val="-4"/>
          <w:rtl/>
        </w:rPr>
        <w:t xml:space="preserve">)، الفقرة </w:t>
      </w:r>
      <w:r w:rsidRPr="000233B9">
        <w:rPr>
          <w:rFonts w:eastAsiaTheme="minorEastAsia"/>
          <w:spacing w:val="-4"/>
          <w:rtl/>
        </w:rPr>
        <w:t>12</w:t>
      </w:r>
      <w:r w:rsidRPr="00A9036D">
        <w:rPr>
          <w:rFonts w:eastAsiaTheme="minorEastAsia"/>
          <w:spacing w:val="-4"/>
          <w:rtl/>
        </w:rPr>
        <w:t>-</w:t>
      </w:r>
      <w:r w:rsidRPr="000233B9">
        <w:rPr>
          <w:rFonts w:eastAsiaTheme="minorEastAsia"/>
          <w:spacing w:val="-4"/>
          <w:rtl/>
        </w:rPr>
        <w:t>7</w:t>
      </w:r>
      <w:r w:rsidRPr="00A9036D">
        <w:rPr>
          <w:rFonts w:eastAsiaTheme="minorEastAsia"/>
          <w:spacing w:val="-4"/>
          <w:rtl/>
        </w:rPr>
        <w:t xml:space="preserve">؛ </w:t>
      </w:r>
      <w:proofErr w:type="spellStart"/>
      <w:r w:rsidRPr="00A9036D">
        <w:rPr>
          <w:rFonts w:eastAsiaTheme="minorEastAsia"/>
          <w:spacing w:val="-4"/>
          <w:rtl/>
        </w:rPr>
        <w:t>و</w:t>
      </w:r>
      <w:r w:rsidRPr="000233B9">
        <w:rPr>
          <w:rFonts w:eastAsiaTheme="minorEastAsia"/>
          <w:i/>
          <w:iCs/>
          <w:spacing w:val="-4"/>
          <w:rtl/>
        </w:rPr>
        <w:t>دوريتش</w:t>
      </w:r>
      <w:proofErr w:type="spellEnd"/>
      <w:r w:rsidRPr="000233B9">
        <w:rPr>
          <w:rFonts w:eastAsiaTheme="minorEastAsia"/>
          <w:i/>
          <w:iCs/>
          <w:spacing w:val="-4"/>
          <w:rtl/>
        </w:rPr>
        <w:t xml:space="preserve"> </w:t>
      </w:r>
      <w:proofErr w:type="spellStart"/>
      <w:r w:rsidRPr="000233B9">
        <w:rPr>
          <w:rFonts w:eastAsiaTheme="minorEastAsia"/>
          <w:i/>
          <w:iCs/>
          <w:spacing w:val="-4"/>
          <w:rtl/>
        </w:rPr>
        <w:t>ودوريتش</w:t>
      </w:r>
      <w:proofErr w:type="spellEnd"/>
      <w:r w:rsidRPr="000233B9">
        <w:rPr>
          <w:rFonts w:eastAsiaTheme="minorEastAsia"/>
          <w:i/>
          <w:iCs/>
          <w:spacing w:val="-4"/>
          <w:rtl/>
        </w:rPr>
        <w:t xml:space="preserve"> ضد البوسنة والهرسك</w:t>
      </w:r>
      <w:r w:rsidRPr="00A9036D">
        <w:rPr>
          <w:rFonts w:eastAsiaTheme="minorEastAsia"/>
          <w:spacing w:val="-4"/>
          <w:rtl/>
        </w:rPr>
        <w:t xml:space="preserve"> (</w:t>
      </w:r>
      <w:r w:rsidRPr="00A9036D">
        <w:rPr>
          <w:rFonts w:eastAsiaTheme="minorEastAsia"/>
          <w:spacing w:val="-4"/>
        </w:rPr>
        <w:t>CCPR/C/</w:t>
      </w:r>
      <w:r w:rsidRPr="000233B9">
        <w:rPr>
          <w:rFonts w:eastAsiaTheme="minorEastAsia"/>
          <w:spacing w:val="-4"/>
        </w:rPr>
        <w:t>111</w:t>
      </w:r>
      <w:r w:rsidRPr="00A9036D">
        <w:rPr>
          <w:rFonts w:eastAsiaTheme="minorEastAsia"/>
          <w:spacing w:val="-4"/>
        </w:rPr>
        <w:t>/D/</w:t>
      </w:r>
      <w:r w:rsidRPr="000233B9">
        <w:rPr>
          <w:rFonts w:eastAsiaTheme="minorEastAsia"/>
          <w:spacing w:val="-4"/>
        </w:rPr>
        <w:t>1956</w:t>
      </w:r>
      <w:r w:rsidRPr="00A9036D">
        <w:rPr>
          <w:rFonts w:eastAsiaTheme="minorEastAsia"/>
          <w:spacing w:val="-4"/>
        </w:rPr>
        <w:t>/</w:t>
      </w:r>
      <w:r w:rsidRPr="000233B9">
        <w:rPr>
          <w:rFonts w:eastAsiaTheme="minorEastAsia"/>
          <w:spacing w:val="-4"/>
        </w:rPr>
        <w:t>2010</w:t>
      </w:r>
      <w:r w:rsidRPr="00A9036D">
        <w:rPr>
          <w:rFonts w:eastAsiaTheme="minorEastAsia"/>
          <w:spacing w:val="-4"/>
          <w:rtl/>
        </w:rPr>
        <w:t xml:space="preserve">)، الفقرة </w:t>
      </w:r>
      <w:r w:rsidRPr="000233B9">
        <w:rPr>
          <w:rFonts w:eastAsiaTheme="minorEastAsia"/>
          <w:spacing w:val="-4"/>
          <w:rtl/>
        </w:rPr>
        <w:t>9</w:t>
      </w:r>
      <w:r w:rsidRPr="00A9036D">
        <w:rPr>
          <w:rFonts w:eastAsiaTheme="minorEastAsia"/>
          <w:spacing w:val="-4"/>
          <w:rtl/>
        </w:rPr>
        <w:t>-</w:t>
      </w:r>
      <w:r w:rsidRPr="000233B9">
        <w:rPr>
          <w:rFonts w:eastAsiaTheme="minorEastAsia"/>
          <w:spacing w:val="-4"/>
          <w:rtl/>
        </w:rPr>
        <w:t>8</w:t>
      </w:r>
      <w:r w:rsidRPr="00A9036D">
        <w:rPr>
          <w:rFonts w:eastAsiaTheme="minorEastAsia"/>
          <w:spacing w:val="-4"/>
          <w:rtl/>
        </w:rPr>
        <w:t xml:space="preserve">؛ واللجنة المعنية بحقوق الإنسان، التعليق العام رقم </w:t>
      </w:r>
      <w:r w:rsidRPr="000233B9">
        <w:rPr>
          <w:rFonts w:eastAsiaTheme="minorEastAsia"/>
          <w:spacing w:val="-4"/>
          <w:rtl/>
        </w:rPr>
        <w:t>36</w:t>
      </w:r>
      <w:r w:rsidRPr="00A9036D">
        <w:rPr>
          <w:rFonts w:eastAsiaTheme="minorEastAsia"/>
          <w:spacing w:val="-4"/>
          <w:rtl/>
        </w:rPr>
        <w:t>(</w:t>
      </w:r>
      <w:r w:rsidRPr="000233B9">
        <w:rPr>
          <w:rFonts w:eastAsiaTheme="minorEastAsia"/>
          <w:spacing w:val="-4"/>
          <w:rtl/>
        </w:rPr>
        <w:t>2018</w:t>
      </w:r>
      <w:r w:rsidRPr="00A9036D">
        <w:rPr>
          <w:rFonts w:eastAsiaTheme="minorEastAsia"/>
          <w:spacing w:val="-4"/>
          <w:rtl/>
        </w:rPr>
        <w:t xml:space="preserve">)، الفقرة </w:t>
      </w:r>
      <w:r w:rsidRPr="000233B9">
        <w:rPr>
          <w:rFonts w:eastAsiaTheme="minorEastAsia"/>
          <w:spacing w:val="-4"/>
          <w:rtl/>
        </w:rPr>
        <w:t>58</w:t>
      </w:r>
      <w:r w:rsidRPr="00A9036D">
        <w:rPr>
          <w:rFonts w:eastAsiaTheme="minorEastAsia"/>
          <w:spacing w:val="-4"/>
          <w:rtl/>
        </w:rPr>
        <w:t>؛ و</w:t>
      </w:r>
      <w:r w:rsidRPr="00A9036D">
        <w:rPr>
          <w:rFonts w:eastAsiaTheme="minorEastAsia"/>
          <w:spacing w:val="-4"/>
        </w:rPr>
        <w:t>E/CN.</w:t>
      </w:r>
      <w:r w:rsidRPr="000233B9">
        <w:rPr>
          <w:rFonts w:eastAsiaTheme="minorEastAsia"/>
          <w:spacing w:val="-4"/>
        </w:rPr>
        <w:t>4</w:t>
      </w:r>
      <w:r w:rsidRPr="00A9036D">
        <w:rPr>
          <w:rFonts w:eastAsiaTheme="minorEastAsia"/>
          <w:spacing w:val="-4"/>
        </w:rPr>
        <w:t>/</w:t>
      </w:r>
      <w:r w:rsidRPr="000233B9">
        <w:rPr>
          <w:rFonts w:eastAsiaTheme="minorEastAsia"/>
          <w:spacing w:val="-4"/>
        </w:rPr>
        <w:t>1998</w:t>
      </w:r>
      <w:r w:rsidRPr="00A9036D">
        <w:rPr>
          <w:rFonts w:eastAsiaTheme="minorEastAsia"/>
          <w:spacing w:val="-4"/>
        </w:rPr>
        <w:t>/</w:t>
      </w:r>
      <w:r w:rsidRPr="000233B9">
        <w:rPr>
          <w:rFonts w:eastAsiaTheme="minorEastAsia"/>
          <w:spacing w:val="-4"/>
        </w:rPr>
        <w:t>43</w:t>
      </w:r>
      <w:r w:rsidRPr="00A9036D">
        <w:rPr>
          <w:rFonts w:eastAsiaTheme="minorEastAsia"/>
          <w:spacing w:val="-4"/>
          <w:rtl/>
        </w:rPr>
        <w:t xml:space="preserve">، الفقرة </w:t>
      </w:r>
      <w:r w:rsidRPr="000233B9">
        <w:rPr>
          <w:rFonts w:eastAsiaTheme="minorEastAsia"/>
          <w:spacing w:val="-4"/>
          <w:rtl/>
        </w:rPr>
        <w:t>72</w:t>
      </w:r>
      <w:r w:rsidRPr="00A9036D">
        <w:rPr>
          <w:rFonts w:eastAsiaTheme="minorEastAsia"/>
          <w:spacing w:val="-4"/>
          <w:rtl/>
        </w:rPr>
        <w:t>؛ و</w:t>
      </w:r>
      <w:r w:rsidRPr="00A9036D">
        <w:rPr>
          <w:rFonts w:eastAsiaTheme="minorEastAsia"/>
          <w:spacing w:val="-4"/>
        </w:rPr>
        <w:t>Inter-American Commission on Human Rights, OEA/</w:t>
      </w:r>
      <w:proofErr w:type="spellStart"/>
      <w:r w:rsidRPr="00A9036D">
        <w:rPr>
          <w:rFonts w:eastAsiaTheme="minorEastAsia"/>
          <w:spacing w:val="-4"/>
        </w:rPr>
        <w:t>Ser.L</w:t>
      </w:r>
      <w:proofErr w:type="spellEnd"/>
      <w:r w:rsidRPr="00A9036D">
        <w:rPr>
          <w:rFonts w:eastAsiaTheme="minorEastAsia"/>
          <w:spacing w:val="-4"/>
        </w:rPr>
        <w:t>//V/II.</w:t>
      </w:r>
      <w:r w:rsidRPr="000233B9">
        <w:rPr>
          <w:rFonts w:eastAsiaTheme="minorEastAsia"/>
          <w:spacing w:val="-4"/>
        </w:rPr>
        <w:t>68</w:t>
      </w:r>
      <w:r w:rsidRPr="00A9036D">
        <w:rPr>
          <w:rFonts w:eastAsiaTheme="minorEastAsia"/>
          <w:spacing w:val="-4"/>
        </w:rPr>
        <w:t xml:space="preserve">, Doc. </w:t>
      </w:r>
      <w:r w:rsidRPr="000233B9">
        <w:rPr>
          <w:rFonts w:eastAsiaTheme="minorEastAsia"/>
          <w:spacing w:val="-4"/>
        </w:rPr>
        <w:t>8</w:t>
      </w:r>
      <w:r w:rsidRPr="00A9036D">
        <w:rPr>
          <w:rFonts w:eastAsiaTheme="minorEastAsia"/>
          <w:spacing w:val="-4"/>
        </w:rPr>
        <w:t xml:space="preserve"> rev.</w:t>
      </w:r>
      <w:r w:rsidRPr="000233B9">
        <w:rPr>
          <w:rFonts w:eastAsiaTheme="minorEastAsia"/>
          <w:spacing w:val="-4"/>
        </w:rPr>
        <w:t>1</w:t>
      </w:r>
      <w:r w:rsidRPr="00A9036D">
        <w:rPr>
          <w:rFonts w:eastAsiaTheme="minorEastAsia"/>
          <w:spacing w:val="-4"/>
        </w:rPr>
        <w:t xml:space="preserve">, p. </w:t>
      </w:r>
      <w:r w:rsidRPr="000233B9">
        <w:rPr>
          <w:rFonts w:eastAsiaTheme="minorEastAsia"/>
          <w:spacing w:val="-4"/>
        </w:rPr>
        <w:t>205</w:t>
      </w:r>
      <w:r w:rsidRPr="00A9036D">
        <w:rPr>
          <w:rFonts w:eastAsiaTheme="minorEastAsia"/>
          <w:spacing w:val="-4"/>
          <w:rtl/>
        </w:rPr>
        <w:t>؛ و</w:t>
      </w:r>
      <w:r w:rsidRPr="00A9036D">
        <w:rPr>
          <w:rFonts w:eastAsiaTheme="minorEastAsia"/>
          <w:spacing w:val="-4"/>
        </w:rPr>
        <w:t xml:space="preserve">Inter-American Court of Human Rights, </w:t>
      </w:r>
      <w:proofErr w:type="spellStart"/>
      <w:r w:rsidRPr="000233B9">
        <w:rPr>
          <w:rFonts w:eastAsiaTheme="minorEastAsia"/>
          <w:i/>
          <w:iCs/>
          <w:spacing w:val="-4"/>
        </w:rPr>
        <w:t>Goiburú</w:t>
      </w:r>
      <w:proofErr w:type="spellEnd"/>
      <w:r w:rsidRPr="000233B9">
        <w:rPr>
          <w:rFonts w:eastAsiaTheme="minorEastAsia"/>
          <w:i/>
          <w:iCs/>
          <w:spacing w:val="-4"/>
        </w:rPr>
        <w:t xml:space="preserve"> et al. v. Paraguay</w:t>
      </w:r>
      <w:r w:rsidRPr="00A9036D">
        <w:rPr>
          <w:rFonts w:eastAsiaTheme="minorEastAsia"/>
          <w:spacing w:val="-4"/>
        </w:rPr>
        <w:t xml:space="preserve">, judgment of </w:t>
      </w:r>
      <w:r w:rsidRPr="000233B9">
        <w:rPr>
          <w:rFonts w:eastAsiaTheme="minorEastAsia"/>
          <w:spacing w:val="-4"/>
        </w:rPr>
        <w:t>22</w:t>
      </w:r>
      <w:r w:rsidRPr="00A9036D">
        <w:rPr>
          <w:rFonts w:eastAsiaTheme="minorEastAsia"/>
          <w:spacing w:val="-4"/>
        </w:rPr>
        <w:t xml:space="preserve"> September </w:t>
      </w:r>
      <w:r w:rsidRPr="000233B9">
        <w:rPr>
          <w:rFonts w:eastAsiaTheme="minorEastAsia"/>
          <w:spacing w:val="-4"/>
        </w:rPr>
        <w:t>2006</w:t>
      </w:r>
      <w:r w:rsidRPr="00A9036D">
        <w:rPr>
          <w:rFonts w:eastAsiaTheme="minorEastAsia"/>
          <w:spacing w:val="-4"/>
        </w:rPr>
        <w:t xml:space="preserve">, merits, reparations and costs, para. </w:t>
      </w:r>
      <w:r w:rsidRPr="000233B9">
        <w:rPr>
          <w:rFonts w:eastAsiaTheme="minorEastAsia"/>
          <w:spacing w:val="-4"/>
        </w:rPr>
        <w:t>97</w:t>
      </w:r>
      <w:r w:rsidRPr="00A9036D">
        <w:rPr>
          <w:rFonts w:eastAsiaTheme="minorEastAsia"/>
          <w:spacing w:val="-4"/>
        </w:rPr>
        <w:t xml:space="preserve">, Series C No. </w:t>
      </w:r>
      <w:r w:rsidRPr="000233B9">
        <w:rPr>
          <w:rFonts w:eastAsiaTheme="minorEastAsia"/>
          <w:spacing w:val="-4"/>
        </w:rPr>
        <w:t>36</w:t>
      </w:r>
      <w:r w:rsidRPr="00A9036D">
        <w:rPr>
          <w:rFonts w:eastAsiaTheme="minorEastAsia"/>
          <w:spacing w:val="-4"/>
          <w:rtl/>
        </w:rPr>
        <w:t>؛ و</w:t>
      </w:r>
      <w:r w:rsidRPr="000233B9">
        <w:rPr>
          <w:rFonts w:eastAsiaTheme="minorEastAsia"/>
          <w:i/>
          <w:iCs/>
          <w:spacing w:val="-4"/>
        </w:rPr>
        <w:t>Gómez Palomino v. Perú</w:t>
      </w:r>
      <w:r w:rsidRPr="00A9036D">
        <w:rPr>
          <w:rFonts w:eastAsiaTheme="minorEastAsia"/>
          <w:spacing w:val="-4"/>
        </w:rPr>
        <w:t xml:space="preserve">, judgment of </w:t>
      </w:r>
      <w:r w:rsidRPr="000233B9">
        <w:rPr>
          <w:rFonts w:eastAsiaTheme="minorEastAsia"/>
          <w:spacing w:val="-4"/>
        </w:rPr>
        <w:t>22</w:t>
      </w:r>
      <w:r w:rsidRPr="00A9036D">
        <w:rPr>
          <w:rFonts w:eastAsiaTheme="minorEastAsia"/>
          <w:spacing w:val="-4"/>
        </w:rPr>
        <w:t xml:space="preserve"> November </w:t>
      </w:r>
      <w:r w:rsidRPr="000233B9">
        <w:rPr>
          <w:rFonts w:eastAsiaTheme="minorEastAsia"/>
          <w:spacing w:val="-4"/>
        </w:rPr>
        <w:t>2005</w:t>
      </w:r>
      <w:r w:rsidRPr="00A9036D">
        <w:rPr>
          <w:rFonts w:eastAsiaTheme="minorEastAsia"/>
          <w:spacing w:val="-4"/>
        </w:rPr>
        <w:t xml:space="preserve">, merits, reparations and costs, Series C No. </w:t>
      </w:r>
      <w:r w:rsidRPr="000233B9">
        <w:rPr>
          <w:rFonts w:eastAsiaTheme="minorEastAsia"/>
          <w:spacing w:val="-4"/>
        </w:rPr>
        <w:t>153</w:t>
      </w:r>
      <w:r w:rsidRPr="00A9036D">
        <w:rPr>
          <w:rFonts w:eastAsiaTheme="minorEastAsia"/>
          <w:spacing w:val="-4"/>
        </w:rPr>
        <w:t xml:space="preserve">, para. </w:t>
      </w:r>
      <w:r w:rsidRPr="000233B9">
        <w:rPr>
          <w:rFonts w:eastAsiaTheme="minorEastAsia"/>
          <w:spacing w:val="-4"/>
        </w:rPr>
        <w:t>61</w:t>
      </w:r>
      <w:r w:rsidRPr="00C66A65">
        <w:rPr>
          <w:rFonts w:eastAsiaTheme="minorEastAsia"/>
          <w:rtl/>
        </w:rPr>
        <w:t>.</w:t>
      </w:r>
    </w:p>
  </w:footnote>
  <w:footnote w:id="24">
    <w:p w14:paraId="44FE432F" w14:textId="61F25F34"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انظر </w:t>
      </w:r>
      <w:proofErr w:type="spellStart"/>
      <w:r w:rsidRPr="000233B9">
        <w:rPr>
          <w:rFonts w:eastAsiaTheme="minorEastAsia"/>
          <w:i/>
          <w:iCs/>
          <w:rtl/>
        </w:rPr>
        <w:t>ثيفوينتس</w:t>
      </w:r>
      <w:proofErr w:type="spellEnd"/>
      <w:r w:rsidRPr="000233B9">
        <w:rPr>
          <w:rFonts w:eastAsiaTheme="minorEastAsia"/>
          <w:i/>
          <w:iCs/>
          <w:rtl/>
        </w:rPr>
        <w:t xml:space="preserve"> </w:t>
      </w:r>
      <w:proofErr w:type="spellStart"/>
      <w:r w:rsidRPr="000233B9">
        <w:rPr>
          <w:rFonts w:eastAsiaTheme="minorEastAsia"/>
          <w:i/>
          <w:iCs/>
          <w:rtl/>
        </w:rPr>
        <w:t>إلغويتا</w:t>
      </w:r>
      <w:proofErr w:type="spellEnd"/>
      <w:r w:rsidRPr="000233B9">
        <w:rPr>
          <w:rFonts w:eastAsiaTheme="minorEastAsia"/>
          <w:i/>
          <w:iCs/>
          <w:rtl/>
        </w:rPr>
        <w:t xml:space="preserve"> ضد شيلي</w:t>
      </w:r>
      <w:r w:rsidRPr="00C66A65">
        <w:rPr>
          <w:rFonts w:eastAsiaTheme="minorEastAsia"/>
          <w:rtl/>
        </w:rPr>
        <w:t xml:space="preserve"> (</w:t>
      </w:r>
      <w:r w:rsidRPr="00C66A65">
        <w:rPr>
          <w:rFonts w:eastAsiaTheme="minorEastAsia"/>
        </w:rPr>
        <w:t>CCPR/C/</w:t>
      </w:r>
      <w:r w:rsidRPr="000233B9">
        <w:rPr>
          <w:rFonts w:eastAsiaTheme="minorEastAsia"/>
        </w:rPr>
        <w:t>96</w:t>
      </w:r>
      <w:r w:rsidRPr="00C66A65">
        <w:rPr>
          <w:rFonts w:eastAsiaTheme="minorEastAsia"/>
        </w:rPr>
        <w:t>/D/</w:t>
      </w:r>
      <w:r w:rsidRPr="000233B9">
        <w:rPr>
          <w:rFonts w:eastAsiaTheme="minorEastAsia"/>
        </w:rPr>
        <w:t>1536</w:t>
      </w:r>
      <w:r w:rsidRPr="00C66A65">
        <w:rPr>
          <w:rFonts w:eastAsiaTheme="minorEastAsia"/>
        </w:rPr>
        <w:t>/</w:t>
      </w:r>
      <w:r w:rsidRPr="000233B9">
        <w:rPr>
          <w:rFonts w:eastAsiaTheme="minorEastAsia"/>
        </w:rPr>
        <w:t>2006</w:t>
      </w:r>
      <w:r w:rsidRPr="00C66A65">
        <w:rPr>
          <w:rFonts w:eastAsiaTheme="minorEastAsia"/>
          <w:rtl/>
        </w:rPr>
        <w:t xml:space="preserve">)، الفقرة </w:t>
      </w:r>
      <w:r w:rsidRPr="000233B9">
        <w:rPr>
          <w:rFonts w:eastAsiaTheme="minorEastAsia"/>
          <w:rtl/>
        </w:rPr>
        <w:t>8</w:t>
      </w:r>
      <w:r w:rsidRPr="00C66A65">
        <w:rPr>
          <w:rFonts w:eastAsiaTheme="minorEastAsia"/>
          <w:rtl/>
        </w:rPr>
        <w:t>-</w:t>
      </w:r>
      <w:r w:rsidRPr="000233B9">
        <w:rPr>
          <w:rFonts w:eastAsiaTheme="minorEastAsia"/>
          <w:rtl/>
        </w:rPr>
        <w:t>5</w:t>
      </w:r>
      <w:r w:rsidRPr="00C66A65">
        <w:rPr>
          <w:rFonts w:eastAsiaTheme="minorEastAsia"/>
          <w:rtl/>
        </w:rPr>
        <w:t>؛ و</w:t>
      </w:r>
      <w:r w:rsidRPr="000233B9">
        <w:rPr>
          <w:rFonts w:eastAsiaTheme="minorEastAsia"/>
          <w:i/>
          <w:iCs/>
          <w:rtl/>
        </w:rPr>
        <w:t>يوريك ضد شيلي</w:t>
      </w:r>
      <w:r w:rsidRPr="00C66A65">
        <w:rPr>
          <w:rFonts w:eastAsiaTheme="minorEastAsia"/>
          <w:rtl/>
        </w:rPr>
        <w:t xml:space="preserve"> (</w:t>
      </w:r>
      <w:r w:rsidRPr="00C66A65">
        <w:rPr>
          <w:rFonts w:eastAsiaTheme="minorEastAsia"/>
        </w:rPr>
        <w:t>CCPR/C/</w:t>
      </w:r>
      <w:r w:rsidRPr="000233B9">
        <w:rPr>
          <w:rFonts w:eastAsiaTheme="minorEastAsia"/>
        </w:rPr>
        <w:t>80</w:t>
      </w:r>
      <w:r w:rsidRPr="00C66A65">
        <w:rPr>
          <w:rFonts w:eastAsiaTheme="minorEastAsia"/>
        </w:rPr>
        <w:t>/D/</w:t>
      </w:r>
      <w:r w:rsidRPr="000233B9">
        <w:rPr>
          <w:rFonts w:eastAsiaTheme="minorEastAsia"/>
        </w:rPr>
        <w:t>1078</w:t>
      </w:r>
      <w:r w:rsidRPr="00C66A65">
        <w:rPr>
          <w:rFonts w:eastAsiaTheme="minorEastAsia"/>
        </w:rPr>
        <w:t>/</w:t>
      </w:r>
      <w:r w:rsidRPr="000233B9">
        <w:rPr>
          <w:rFonts w:eastAsiaTheme="minorEastAsia"/>
        </w:rPr>
        <w:t>2002</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4</w:t>
      </w:r>
      <w:r w:rsidRPr="00C66A65">
        <w:rPr>
          <w:rFonts w:eastAsiaTheme="minorEastAsia"/>
          <w:rtl/>
        </w:rPr>
        <w:t xml:space="preserve">؛ </w:t>
      </w:r>
      <w:proofErr w:type="spellStart"/>
      <w:r w:rsidRPr="00C66A65">
        <w:rPr>
          <w:rFonts w:eastAsiaTheme="minorEastAsia"/>
          <w:rtl/>
        </w:rPr>
        <w:t>و</w:t>
      </w:r>
      <w:r w:rsidRPr="000233B9">
        <w:rPr>
          <w:rFonts w:eastAsiaTheme="minorEastAsia"/>
          <w:i/>
          <w:iCs/>
          <w:rtl/>
        </w:rPr>
        <w:t>سارما</w:t>
      </w:r>
      <w:proofErr w:type="spellEnd"/>
      <w:r w:rsidRPr="000233B9">
        <w:rPr>
          <w:rFonts w:eastAsiaTheme="minorEastAsia"/>
          <w:i/>
          <w:iCs/>
          <w:rtl/>
        </w:rPr>
        <w:t xml:space="preserve"> ضد سري لانكا</w:t>
      </w:r>
      <w:r w:rsidRPr="00C66A65">
        <w:rPr>
          <w:rFonts w:eastAsiaTheme="minorEastAsia"/>
          <w:rtl/>
        </w:rPr>
        <w:t xml:space="preserve"> (</w:t>
      </w:r>
      <w:r w:rsidRPr="00C66A65">
        <w:rPr>
          <w:rFonts w:eastAsiaTheme="minorEastAsia"/>
        </w:rPr>
        <w:t>CCPR/C/</w:t>
      </w:r>
      <w:r w:rsidRPr="000233B9">
        <w:rPr>
          <w:rFonts w:eastAsiaTheme="minorEastAsia"/>
        </w:rPr>
        <w:t>78</w:t>
      </w:r>
      <w:r w:rsidRPr="00C66A65">
        <w:rPr>
          <w:rFonts w:eastAsiaTheme="minorEastAsia"/>
        </w:rPr>
        <w:t>/D/</w:t>
      </w:r>
      <w:r w:rsidRPr="000233B9">
        <w:rPr>
          <w:rFonts w:eastAsiaTheme="minorEastAsia"/>
        </w:rPr>
        <w:t>950</w:t>
      </w:r>
      <w:r w:rsidRPr="00C66A65">
        <w:rPr>
          <w:rFonts w:eastAsiaTheme="minorEastAsia"/>
        </w:rPr>
        <w:t>/</w:t>
      </w:r>
      <w:r w:rsidRPr="000233B9">
        <w:rPr>
          <w:rFonts w:eastAsiaTheme="minorEastAsia"/>
        </w:rPr>
        <w:t>2000</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2</w:t>
      </w:r>
      <w:r w:rsidRPr="00C66A65">
        <w:rPr>
          <w:rFonts w:eastAsiaTheme="minorEastAsia"/>
          <w:rtl/>
        </w:rPr>
        <w:t xml:space="preserve">؛ </w:t>
      </w:r>
      <w:proofErr w:type="spellStart"/>
      <w:r w:rsidRPr="00C66A65">
        <w:rPr>
          <w:rFonts w:eastAsiaTheme="minorEastAsia"/>
          <w:rtl/>
        </w:rPr>
        <w:t>و</w:t>
      </w:r>
      <w:r w:rsidRPr="000233B9">
        <w:rPr>
          <w:rFonts w:eastAsiaTheme="minorEastAsia"/>
          <w:i/>
          <w:iCs/>
          <w:rtl/>
        </w:rPr>
        <w:t>سانكارا</w:t>
      </w:r>
      <w:proofErr w:type="spellEnd"/>
      <w:r w:rsidRPr="000233B9">
        <w:rPr>
          <w:rFonts w:eastAsiaTheme="minorEastAsia"/>
          <w:i/>
          <w:iCs/>
          <w:rtl/>
        </w:rPr>
        <w:t xml:space="preserve"> وآخرون ضد بوركينا فاسو</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3</w:t>
      </w:r>
      <w:r w:rsidRPr="00C66A65">
        <w:rPr>
          <w:rFonts w:eastAsiaTheme="minorEastAsia"/>
          <w:rtl/>
        </w:rPr>
        <w:t>.</w:t>
      </w:r>
    </w:p>
  </w:footnote>
  <w:footnote w:id="25">
    <w:p w14:paraId="41701D51" w14:textId="3BF9D0E3"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اللجنة المعنية بحقوق الإنسان، التعليق العام رقم </w:t>
      </w:r>
      <w:r w:rsidRPr="000233B9">
        <w:rPr>
          <w:rFonts w:eastAsiaTheme="minorEastAsia"/>
          <w:rtl/>
        </w:rPr>
        <w:t>31</w:t>
      </w:r>
      <w:r w:rsidRPr="00C66A65">
        <w:rPr>
          <w:rFonts w:eastAsiaTheme="minorEastAsia"/>
          <w:rtl/>
        </w:rPr>
        <w:t>(</w:t>
      </w:r>
      <w:r w:rsidRPr="000233B9">
        <w:rPr>
          <w:rFonts w:eastAsiaTheme="minorEastAsia"/>
          <w:rtl/>
        </w:rPr>
        <w:t>2004</w:t>
      </w:r>
      <w:r w:rsidRPr="00C66A65">
        <w:rPr>
          <w:rFonts w:eastAsiaTheme="minorEastAsia"/>
          <w:rtl/>
        </w:rPr>
        <w:t xml:space="preserve">)، الفقرة </w:t>
      </w:r>
      <w:r w:rsidRPr="000233B9">
        <w:rPr>
          <w:rFonts w:eastAsiaTheme="minorEastAsia"/>
          <w:rtl/>
        </w:rPr>
        <w:t>18</w:t>
      </w:r>
      <w:r w:rsidRPr="00C66A65">
        <w:rPr>
          <w:rFonts w:eastAsiaTheme="minorEastAsia"/>
          <w:rtl/>
        </w:rPr>
        <w:t>.</w:t>
      </w:r>
    </w:p>
  </w:footnote>
  <w:footnote w:id="26">
    <w:p w14:paraId="05B67B57" w14:textId="27570609"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انظر </w:t>
      </w:r>
      <w:r w:rsidRPr="000233B9">
        <w:rPr>
          <w:rFonts w:eastAsiaTheme="minorEastAsia"/>
          <w:i/>
          <w:iCs/>
          <w:rtl/>
        </w:rPr>
        <w:t>يوريك ضد شيلي</w:t>
      </w:r>
      <w:r w:rsidRPr="00C66A65">
        <w:rPr>
          <w:rFonts w:eastAsiaTheme="minorEastAsia"/>
          <w:rtl/>
        </w:rPr>
        <w:t xml:space="preserve"> </w:t>
      </w:r>
      <w:proofErr w:type="spellStart"/>
      <w:r w:rsidRPr="00C66A65">
        <w:rPr>
          <w:rFonts w:eastAsiaTheme="minorEastAsia"/>
          <w:rtl/>
        </w:rPr>
        <w:t>و</w:t>
      </w:r>
      <w:r w:rsidRPr="000233B9">
        <w:rPr>
          <w:rFonts w:eastAsiaTheme="minorEastAsia"/>
          <w:i/>
          <w:iCs/>
          <w:rtl/>
        </w:rPr>
        <w:t>أكونيا</w:t>
      </w:r>
      <w:proofErr w:type="spellEnd"/>
      <w:r w:rsidRPr="000233B9">
        <w:rPr>
          <w:rFonts w:eastAsiaTheme="minorEastAsia"/>
          <w:i/>
          <w:iCs/>
          <w:rtl/>
        </w:rPr>
        <w:t xml:space="preserve"> </w:t>
      </w:r>
      <w:proofErr w:type="spellStart"/>
      <w:r w:rsidRPr="000233B9">
        <w:rPr>
          <w:rFonts w:eastAsiaTheme="minorEastAsia"/>
          <w:i/>
          <w:iCs/>
          <w:rtl/>
        </w:rPr>
        <w:t>إينوستروزا</w:t>
      </w:r>
      <w:proofErr w:type="spellEnd"/>
      <w:r w:rsidRPr="000233B9">
        <w:rPr>
          <w:rFonts w:eastAsiaTheme="minorEastAsia"/>
          <w:i/>
          <w:iCs/>
          <w:rtl/>
        </w:rPr>
        <w:t xml:space="preserve"> وآخرون ضد شيلي</w:t>
      </w:r>
      <w:r w:rsidRPr="00C66A65">
        <w:rPr>
          <w:rFonts w:eastAsiaTheme="minorEastAsia"/>
          <w:rtl/>
        </w:rPr>
        <w:t xml:space="preserve"> (</w:t>
      </w:r>
      <w:r w:rsidRPr="00C66A65">
        <w:rPr>
          <w:rFonts w:eastAsiaTheme="minorEastAsia"/>
        </w:rPr>
        <w:t>CCPR/C/</w:t>
      </w:r>
      <w:r w:rsidRPr="000233B9">
        <w:rPr>
          <w:rFonts w:eastAsiaTheme="minorEastAsia"/>
        </w:rPr>
        <w:t>66</w:t>
      </w:r>
      <w:r w:rsidRPr="00C66A65">
        <w:rPr>
          <w:rFonts w:eastAsiaTheme="minorEastAsia"/>
        </w:rPr>
        <w:t>/D/</w:t>
      </w:r>
      <w:r w:rsidRPr="000233B9">
        <w:rPr>
          <w:rFonts w:eastAsiaTheme="minorEastAsia"/>
        </w:rPr>
        <w:t>717</w:t>
      </w:r>
      <w:r w:rsidRPr="00C66A65">
        <w:rPr>
          <w:rFonts w:eastAsiaTheme="minorEastAsia"/>
        </w:rPr>
        <w:t>/</w:t>
      </w:r>
      <w:r w:rsidRPr="000233B9">
        <w:rPr>
          <w:rFonts w:eastAsiaTheme="minorEastAsia"/>
        </w:rPr>
        <w:t>1996</w:t>
      </w:r>
      <w:r w:rsidRPr="00C66A65">
        <w:rPr>
          <w:rFonts w:eastAsiaTheme="minorEastAsia"/>
          <w:rtl/>
        </w:rPr>
        <w:t>).</w:t>
      </w:r>
    </w:p>
  </w:footnote>
  <w:footnote w:id="27">
    <w:p w14:paraId="406EA01E" w14:textId="7D34C14B"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اللجنة المعنية بحقوق الإنسان، </w:t>
      </w:r>
      <w:proofErr w:type="spellStart"/>
      <w:r w:rsidRPr="000233B9">
        <w:rPr>
          <w:rFonts w:eastAsiaTheme="minorEastAsia"/>
          <w:i/>
          <w:iCs/>
          <w:rtl/>
        </w:rPr>
        <w:t>أوميرودي</w:t>
      </w:r>
      <w:proofErr w:type="spellEnd"/>
      <w:r w:rsidR="000233B9">
        <w:rPr>
          <w:rFonts w:eastAsiaTheme="minorEastAsia" w:hint="cs"/>
          <w:i/>
          <w:iCs/>
          <w:rtl/>
        </w:rPr>
        <w:t xml:space="preserve"> </w:t>
      </w:r>
      <w:r w:rsidR="00D34FEC" w:rsidRPr="000233B9">
        <w:rPr>
          <w:rFonts w:eastAsiaTheme="minorEastAsia" w:hint="cs"/>
          <w:i/>
          <w:iCs/>
          <w:rtl/>
        </w:rPr>
        <w:t>-</w:t>
      </w:r>
      <w:r w:rsidR="000233B9">
        <w:rPr>
          <w:rFonts w:eastAsiaTheme="minorEastAsia" w:hint="cs"/>
          <w:i/>
          <w:iCs/>
          <w:rtl/>
        </w:rPr>
        <w:t xml:space="preserve"> </w:t>
      </w:r>
      <w:proofErr w:type="spellStart"/>
      <w:r w:rsidRPr="000233B9">
        <w:rPr>
          <w:rFonts w:eastAsiaTheme="minorEastAsia"/>
          <w:i/>
          <w:iCs/>
          <w:rtl/>
        </w:rPr>
        <w:t>زيفرا</w:t>
      </w:r>
      <w:proofErr w:type="spellEnd"/>
      <w:r w:rsidRPr="000233B9">
        <w:rPr>
          <w:rFonts w:eastAsiaTheme="minorEastAsia"/>
          <w:i/>
          <w:iCs/>
          <w:rtl/>
        </w:rPr>
        <w:t xml:space="preserve"> وآخرون ضد موريشيوس</w:t>
      </w:r>
      <w:r w:rsidRPr="00C66A65">
        <w:rPr>
          <w:rFonts w:eastAsiaTheme="minorEastAsia"/>
          <w:rtl/>
        </w:rPr>
        <w:t xml:space="preserve">، البلاغ رقم </w:t>
      </w:r>
      <w:r w:rsidRPr="000233B9">
        <w:rPr>
          <w:rFonts w:eastAsiaTheme="minorEastAsia"/>
          <w:rtl/>
        </w:rPr>
        <w:t>35</w:t>
      </w:r>
      <w:r w:rsidRPr="00C66A65">
        <w:rPr>
          <w:rFonts w:eastAsiaTheme="minorEastAsia"/>
          <w:rtl/>
        </w:rPr>
        <w:t>/</w:t>
      </w:r>
      <w:r w:rsidRPr="000233B9">
        <w:rPr>
          <w:rFonts w:eastAsiaTheme="minorEastAsia"/>
          <w:rtl/>
        </w:rPr>
        <w:t>1978</w:t>
      </w:r>
      <w:r w:rsidRPr="00C66A65">
        <w:rPr>
          <w:rFonts w:eastAsiaTheme="minorEastAsia"/>
          <w:rtl/>
        </w:rPr>
        <w:t xml:space="preserve">، الفقرة </w:t>
      </w:r>
      <w:r w:rsidRPr="000233B9">
        <w:rPr>
          <w:rFonts w:eastAsiaTheme="minorEastAsia"/>
          <w:rtl/>
        </w:rPr>
        <w:t>9</w:t>
      </w:r>
      <w:r w:rsidRPr="00C66A65">
        <w:rPr>
          <w:rFonts w:eastAsiaTheme="minorEastAsia"/>
          <w:rtl/>
        </w:rPr>
        <w:t>-</w:t>
      </w:r>
      <w:r w:rsidRPr="000233B9">
        <w:rPr>
          <w:rFonts w:eastAsiaTheme="minorEastAsia"/>
          <w:rtl/>
        </w:rPr>
        <w:t>2</w:t>
      </w:r>
      <w:r w:rsidRPr="00C66A65">
        <w:rPr>
          <w:rFonts w:eastAsiaTheme="minorEastAsia"/>
          <w:rtl/>
        </w:rPr>
        <w:t>.</w:t>
      </w:r>
    </w:p>
  </w:footnote>
  <w:footnote w:id="28">
    <w:p w14:paraId="5A11E43F" w14:textId="113CFF6B"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0233B9">
        <w:rPr>
          <w:rFonts w:eastAsiaTheme="minorEastAsia"/>
          <w:i/>
          <w:iCs/>
          <w:rtl/>
        </w:rPr>
        <w:t xml:space="preserve">غارسيا سانشيز </w:t>
      </w:r>
      <w:proofErr w:type="spellStart"/>
      <w:r w:rsidRPr="000233B9">
        <w:rPr>
          <w:rFonts w:eastAsiaTheme="minorEastAsia"/>
          <w:i/>
          <w:iCs/>
          <w:rtl/>
        </w:rPr>
        <w:t>وغونزاليس</w:t>
      </w:r>
      <w:proofErr w:type="spellEnd"/>
      <w:r w:rsidRPr="000233B9">
        <w:rPr>
          <w:rFonts w:eastAsiaTheme="minorEastAsia"/>
          <w:i/>
          <w:iCs/>
          <w:rtl/>
        </w:rPr>
        <w:t xml:space="preserve"> </w:t>
      </w:r>
      <w:proofErr w:type="spellStart"/>
      <w:r w:rsidRPr="000233B9">
        <w:rPr>
          <w:rFonts w:eastAsiaTheme="minorEastAsia"/>
          <w:i/>
          <w:iCs/>
          <w:rtl/>
        </w:rPr>
        <w:t>كلاريس</w:t>
      </w:r>
      <w:proofErr w:type="spellEnd"/>
      <w:r w:rsidRPr="000233B9">
        <w:rPr>
          <w:rFonts w:eastAsiaTheme="minorEastAsia"/>
          <w:i/>
          <w:iCs/>
          <w:rtl/>
        </w:rPr>
        <w:t xml:space="preserve"> ضد إسبانيا</w:t>
      </w:r>
      <w:r w:rsidRPr="00C66A65">
        <w:rPr>
          <w:rFonts w:eastAsiaTheme="minorEastAsia"/>
          <w:rtl/>
        </w:rPr>
        <w:t xml:space="preserve"> (</w:t>
      </w:r>
      <w:r w:rsidRPr="00C66A65">
        <w:rPr>
          <w:rFonts w:eastAsiaTheme="minorEastAsia"/>
        </w:rPr>
        <w:t>CCPR/C/</w:t>
      </w:r>
      <w:r w:rsidRPr="000233B9">
        <w:rPr>
          <w:rFonts w:eastAsiaTheme="minorEastAsia"/>
        </w:rPr>
        <w:t>88</w:t>
      </w:r>
      <w:r w:rsidRPr="00C66A65">
        <w:rPr>
          <w:rFonts w:eastAsiaTheme="minorEastAsia"/>
        </w:rPr>
        <w:t>/D/</w:t>
      </w:r>
      <w:r w:rsidRPr="000233B9">
        <w:rPr>
          <w:rFonts w:eastAsiaTheme="minorEastAsia"/>
        </w:rPr>
        <w:t>1332</w:t>
      </w:r>
      <w:r w:rsidRPr="00C66A65">
        <w:rPr>
          <w:rFonts w:eastAsiaTheme="minorEastAsia"/>
        </w:rPr>
        <w:t>/</w:t>
      </w:r>
      <w:r w:rsidRPr="000233B9">
        <w:rPr>
          <w:rFonts w:eastAsiaTheme="minorEastAsia"/>
        </w:rPr>
        <w:t>2004</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3</w:t>
      </w:r>
      <w:r w:rsidRPr="00C66A65">
        <w:rPr>
          <w:rFonts w:eastAsiaTheme="minorEastAsia"/>
          <w:rtl/>
        </w:rPr>
        <w:t>.</w:t>
      </w:r>
    </w:p>
  </w:footnote>
  <w:footnote w:id="29">
    <w:p w14:paraId="3C125540" w14:textId="09E77307"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انظر المبادئ التوجيهية للبحث عن الأشخاص المختفين (</w:t>
      </w:r>
      <w:r w:rsidRPr="00C66A65">
        <w:rPr>
          <w:rFonts w:eastAsiaTheme="minorEastAsia"/>
        </w:rPr>
        <w:t>CED/C/</w:t>
      </w:r>
      <w:r w:rsidRPr="000233B9">
        <w:rPr>
          <w:rFonts w:eastAsiaTheme="minorEastAsia"/>
        </w:rPr>
        <w:t>7</w:t>
      </w:r>
      <w:r w:rsidRPr="00C66A65">
        <w:rPr>
          <w:rFonts w:eastAsiaTheme="minorEastAsia"/>
          <w:rtl/>
        </w:rPr>
        <w:t xml:space="preserve">)، المبدأ </w:t>
      </w:r>
      <w:r w:rsidRPr="000233B9">
        <w:rPr>
          <w:rFonts w:eastAsiaTheme="minorEastAsia"/>
          <w:rtl/>
        </w:rPr>
        <w:t>4</w:t>
      </w:r>
      <w:r w:rsidRPr="00C66A65">
        <w:rPr>
          <w:rFonts w:eastAsiaTheme="minorEastAsia"/>
          <w:rtl/>
        </w:rPr>
        <w:t>.</w:t>
      </w:r>
    </w:p>
  </w:footnote>
  <w:footnote w:id="30">
    <w:p w14:paraId="5DF8171D" w14:textId="6B2733C4"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0233B9">
        <w:rPr>
          <w:rFonts w:eastAsiaTheme="minorEastAsia"/>
          <w:i/>
          <w:iCs/>
          <w:rtl/>
        </w:rPr>
        <w:t>كوبين ضد أيرلندا</w:t>
      </w:r>
      <w:r w:rsidRPr="00C66A65">
        <w:rPr>
          <w:rFonts w:eastAsiaTheme="minorEastAsia"/>
          <w:rtl/>
        </w:rPr>
        <w:t xml:space="preserve"> (</w:t>
      </w:r>
      <w:r w:rsidRPr="00C66A65">
        <w:rPr>
          <w:rFonts w:eastAsiaTheme="minorEastAsia"/>
        </w:rPr>
        <w:t>CAT/C/</w:t>
      </w:r>
      <w:r w:rsidRPr="000233B9">
        <w:rPr>
          <w:rFonts w:eastAsiaTheme="minorEastAsia"/>
        </w:rPr>
        <w:t>68</w:t>
      </w:r>
      <w:r w:rsidRPr="00C66A65">
        <w:rPr>
          <w:rFonts w:eastAsiaTheme="minorEastAsia"/>
        </w:rPr>
        <w:t>/D/</w:t>
      </w:r>
      <w:r w:rsidRPr="000233B9">
        <w:rPr>
          <w:rFonts w:eastAsiaTheme="minorEastAsia"/>
        </w:rPr>
        <w:t>879</w:t>
      </w:r>
      <w:r w:rsidRPr="00C66A65">
        <w:rPr>
          <w:rFonts w:eastAsiaTheme="minorEastAsia"/>
        </w:rPr>
        <w:t>/</w:t>
      </w:r>
      <w:r w:rsidRPr="000233B9">
        <w:rPr>
          <w:rFonts w:eastAsiaTheme="minorEastAsia"/>
        </w:rPr>
        <w:t>2018</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3</w:t>
      </w:r>
      <w:r w:rsidRPr="00C66A65">
        <w:rPr>
          <w:rFonts w:eastAsiaTheme="minorEastAsia"/>
          <w:rtl/>
        </w:rPr>
        <w:t>.</w:t>
      </w:r>
    </w:p>
  </w:footnote>
  <w:footnote w:id="31">
    <w:p w14:paraId="5C151186" w14:textId="0D947E93"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تُذكّر رابطة مايوركا لإحياء الذاكرة التاريخية بأن الفريق العامل المعني بحالات الاختفاء القسري أو غير الطوعي أوصى في عام</w:t>
      </w:r>
      <w:r>
        <w:rPr>
          <w:rFonts w:eastAsiaTheme="minorEastAsia" w:hint="cs"/>
          <w:rtl/>
        </w:rPr>
        <w:t> </w:t>
      </w:r>
      <w:r w:rsidRPr="000233B9">
        <w:rPr>
          <w:rFonts w:eastAsiaTheme="minorEastAsia"/>
          <w:rtl/>
        </w:rPr>
        <w:t>2017</w:t>
      </w:r>
      <w:r w:rsidRPr="00C66A65">
        <w:rPr>
          <w:rFonts w:eastAsiaTheme="minorEastAsia"/>
          <w:rtl/>
        </w:rPr>
        <w:t xml:space="preserve"> بأن تتعاون إسبانيا مع الإجراءات القضائية في الأرجنتين (</w:t>
      </w:r>
      <w:r w:rsidRPr="00C66A65">
        <w:rPr>
          <w:rFonts w:eastAsiaTheme="minorEastAsia"/>
        </w:rPr>
        <w:t>A/HRC/</w:t>
      </w:r>
      <w:r w:rsidRPr="000233B9">
        <w:rPr>
          <w:rFonts w:eastAsiaTheme="minorEastAsia"/>
        </w:rPr>
        <w:t>36</w:t>
      </w:r>
      <w:r w:rsidRPr="00C66A65">
        <w:rPr>
          <w:rFonts w:eastAsiaTheme="minorEastAsia"/>
        </w:rPr>
        <w:t>/</w:t>
      </w:r>
      <w:r w:rsidRPr="000233B9">
        <w:rPr>
          <w:rFonts w:eastAsiaTheme="minorEastAsia"/>
        </w:rPr>
        <w:t>39</w:t>
      </w:r>
      <w:r w:rsidRPr="00C66A65">
        <w:rPr>
          <w:rFonts w:eastAsiaTheme="minorEastAsia"/>
        </w:rPr>
        <w:t>/Add.</w:t>
      </w:r>
      <w:r w:rsidRPr="000233B9">
        <w:rPr>
          <w:rFonts w:eastAsiaTheme="minorEastAsia"/>
        </w:rPr>
        <w:t>3</w:t>
      </w:r>
      <w:r w:rsidRPr="00C66A65">
        <w:rPr>
          <w:rFonts w:eastAsiaTheme="minorEastAsia"/>
          <w:rtl/>
        </w:rPr>
        <w:t xml:space="preserve">، الصفحة </w:t>
      </w:r>
      <w:r w:rsidRPr="000233B9">
        <w:rPr>
          <w:rFonts w:eastAsiaTheme="minorEastAsia"/>
          <w:rtl/>
        </w:rPr>
        <w:t>122</w:t>
      </w:r>
      <w:r w:rsidRPr="00C66A65">
        <w:rPr>
          <w:rFonts w:eastAsiaTheme="minorEastAsia"/>
          <w:rtl/>
        </w:rPr>
        <w:t xml:space="preserve">، الفقرة </w:t>
      </w:r>
      <w:r w:rsidRPr="000233B9">
        <w:rPr>
          <w:rFonts w:eastAsiaTheme="minorEastAsia"/>
          <w:rtl/>
        </w:rPr>
        <w:t>45</w:t>
      </w:r>
      <w:r w:rsidRPr="00C66A65">
        <w:rPr>
          <w:rFonts w:eastAsiaTheme="minorEastAsia"/>
          <w:rtl/>
        </w:rPr>
        <w:t xml:space="preserve">). ويذكّر معهد البلدان الأمريكية للمسؤولية الاجتماعية وحقوق الإنسان بأن الانتهاكات الخطيرة لحقوق الإنسان التي تشكل انتهاكات مستمرة لا يمكن أن تخضع لمبدأ التقادم أو للعفو، بغض النظر عن تاريخ ارتكابها، حتى عندما ينص التشريع الوطني على خلاف ذلك، وفقاً لاتفاقية عدم تقادم جرائم الحرب والجرائم المرتكبة ضد الإنسانية. وأخيراً، تدفع </w:t>
      </w:r>
      <w:proofErr w:type="spellStart"/>
      <w:r w:rsidRPr="00C66A65">
        <w:rPr>
          <w:rFonts w:eastAsiaTheme="minorEastAsia"/>
          <w:rtl/>
        </w:rPr>
        <w:t>مارغاليدا</w:t>
      </w:r>
      <w:proofErr w:type="spellEnd"/>
      <w:r w:rsidRPr="00C66A65">
        <w:rPr>
          <w:rFonts w:eastAsiaTheme="minorEastAsia"/>
          <w:rtl/>
        </w:rPr>
        <w:t xml:space="preserve"> كابيلا </w:t>
      </w:r>
      <w:proofErr w:type="spellStart"/>
      <w:r w:rsidRPr="00C66A65">
        <w:rPr>
          <w:rFonts w:eastAsiaTheme="minorEastAsia"/>
          <w:rtl/>
        </w:rPr>
        <w:t>رويغ</w:t>
      </w:r>
      <w:proofErr w:type="spellEnd"/>
      <w:r w:rsidRPr="00C66A65">
        <w:rPr>
          <w:rFonts w:eastAsiaTheme="minorEastAsia"/>
          <w:rtl/>
        </w:rPr>
        <w:t xml:space="preserve"> بأن البلاغ مقبول لأن قانون العفو والسابقة القضائية للمحكمة العليا وقانون الذاكرة التاريخية هي حواجز تعوق الوصول إلى العدالة، مما</w:t>
      </w:r>
      <w:r>
        <w:rPr>
          <w:rFonts w:eastAsiaTheme="minorEastAsia" w:hint="cs"/>
          <w:rtl/>
        </w:rPr>
        <w:t> </w:t>
      </w:r>
      <w:r w:rsidRPr="00C66A65">
        <w:rPr>
          <w:rFonts w:eastAsiaTheme="minorEastAsia"/>
          <w:rtl/>
        </w:rPr>
        <w:t>يشكل انتهاكاً لمعايير الحقيقة والعدالة والجبر. وتذكّر أيضاً بأن إسبانيا هي البلد الوحيد، من بين البلدان الأوروبية التي تعاونت مع ألمانيا النازية، الذي لم تُتخذ فيه بعد أي إجراءات قانونية فيما يتعلق بالجرائم المرتكبة بموجب القانون الدولي على خلفية الحرب العالمية الثانية.</w:t>
      </w:r>
    </w:p>
  </w:footnote>
  <w:footnote w:id="32">
    <w:p w14:paraId="753BC900" w14:textId="14E9FF5E"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اللجنة المعنية بحقوق الإنسان، التعليق العام رقم </w:t>
      </w:r>
      <w:r w:rsidRPr="000233B9">
        <w:rPr>
          <w:rFonts w:eastAsiaTheme="minorEastAsia"/>
          <w:rtl/>
        </w:rPr>
        <w:t>36</w:t>
      </w:r>
      <w:r w:rsidRPr="00C66A65">
        <w:rPr>
          <w:rFonts w:eastAsiaTheme="minorEastAsia"/>
          <w:rtl/>
        </w:rPr>
        <w:t>(</w:t>
      </w:r>
      <w:r w:rsidRPr="000233B9">
        <w:rPr>
          <w:rFonts w:eastAsiaTheme="minorEastAsia"/>
          <w:rtl/>
        </w:rPr>
        <w:t>2018</w:t>
      </w:r>
      <w:r w:rsidRPr="00C66A65">
        <w:rPr>
          <w:rFonts w:eastAsiaTheme="minorEastAsia"/>
          <w:rtl/>
        </w:rPr>
        <w:t xml:space="preserve">)، الفقرتان </w:t>
      </w:r>
      <w:r w:rsidRPr="000233B9">
        <w:rPr>
          <w:rFonts w:eastAsiaTheme="minorEastAsia"/>
          <w:rtl/>
        </w:rPr>
        <w:t>57</w:t>
      </w:r>
      <w:r w:rsidRPr="00C66A65">
        <w:rPr>
          <w:rFonts w:eastAsiaTheme="minorEastAsia"/>
          <w:rtl/>
        </w:rPr>
        <w:t xml:space="preserve"> و</w:t>
      </w:r>
      <w:r w:rsidRPr="000233B9">
        <w:rPr>
          <w:rFonts w:eastAsiaTheme="minorEastAsia"/>
          <w:rtl/>
        </w:rPr>
        <w:t>58</w:t>
      </w:r>
      <w:r w:rsidRPr="00C66A65">
        <w:rPr>
          <w:rFonts w:eastAsiaTheme="minorEastAsia"/>
          <w:rtl/>
        </w:rPr>
        <w:t>.</w:t>
      </w:r>
    </w:p>
  </w:footnote>
  <w:footnote w:id="33">
    <w:p w14:paraId="173B0046" w14:textId="5E050D06"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0233B9">
        <w:rPr>
          <w:rFonts w:eastAsiaTheme="minorEastAsia"/>
          <w:i/>
          <w:iCs/>
          <w:rtl/>
        </w:rPr>
        <w:t>ك. ك. وآخرون ضد الاتحاد الروسي</w:t>
      </w:r>
      <w:r w:rsidRPr="00C66A65">
        <w:rPr>
          <w:rFonts w:eastAsiaTheme="minorEastAsia"/>
          <w:rtl/>
        </w:rPr>
        <w:t xml:space="preserve"> (</w:t>
      </w:r>
      <w:r w:rsidRPr="00C66A65">
        <w:rPr>
          <w:rFonts w:eastAsiaTheme="minorEastAsia"/>
        </w:rPr>
        <w:t>CCPR/C/</w:t>
      </w:r>
      <w:r w:rsidRPr="000233B9">
        <w:rPr>
          <w:rFonts w:eastAsiaTheme="minorEastAsia"/>
        </w:rPr>
        <w:t>127</w:t>
      </w:r>
      <w:r w:rsidRPr="00C66A65">
        <w:rPr>
          <w:rFonts w:eastAsiaTheme="minorEastAsia"/>
        </w:rPr>
        <w:t>/D/</w:t>
      </w:r>
      <w:r w:rsidRPr="000233B9">
        <w:rPr>
          <w:rFonts w:eastAsiaTheme="minorEastAsia"/>
        </w:rPr>
        <w:t>2912</w:t>
      </w:r>
      <w:r w:rsidRPr="00C66A65">
        <w:rPr>
          <w:rFonts w:eastAsiaTheme="minorEastAsia"/>
        </w:rPr>
        <w:t>/</w:t>
      </w:r>
      <w:r w:rsidRPr="000233B9">
        <w:rPr>
          <w:rFonts w:eastAsiaTheme="minorEastAsia"/>
        </w:rPr>
        <w:t>2016</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4</w:t>
      </w:r>
      <w:r w:rsidRPr="00C66A65">
        <w:rPr>
          <w:rFonts w:eastAsiaTheme="minorEastAsia"/>
          <w:rtl/>
        </w:rPr>
        <w:t>.</w:t>
      </w:r>
    </w:p>
  </w:footnote>
  <w:footnote w:id="34">
    <w:p w14:paraId="76E43FF0" w14:textId="3D721492"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المرجع نفسه، الفقرة </w:t>
      </w:r>
      <w:r w:rsidRPr="000233B9">
        <w:rPr>
          <w:rFonts w:eastAsiaTheme="minorEastAsia"/>
          <w:rtl/>
        </w:rPr>
        <w:t>6</w:t>
      </w:r>
      <w:r w:rsidRPr="00C66A65">
        <w:rPr>
          <w:rFonts w:eastAsiaTheme="minorEastAsia"/>
          <w:rtl/>
        </w:rPr>
        <w:t>-</w:t>
      </w:r>
      <w:r w:rsidRPr="000233B9">
        <w:rPr>
          <w:rFonts w:eastAsiaTheme="minorEastAsia"/>
          <w:rtl/>
        </w:rPr>
        <w:t>5</w:t>
      </w:r>
      <w:r w:rsidRPr="00C66A65">
        <w:rPr>
          <w:rFonts w:eastAsiaTheme="minorEastAsia"/>
          <w:rtl/>
        </w:rPr>
        <w:t>.</w:t>
      </w:r>
    </w:p>
  </w:footnote>
  <w:footnote w:id="35">
    <w:p w14:paraId="2F9C04D9" w14:textId="7F0085F7" w:rsidR="00C2559A" w:rsidRPr="00C66A65" w:rsidRDefault="00C2559A" w:rsidP="007D3E54">
      <w:pPr>
        <w:pStyle w:val="FootnoteText1"/>
        <w:textDirection w:val="tbRlV"/>
        <w:rPr>
          <w:rFonts w:eastAsiaTheme="minorEastAsia"/>
          <w:lang w:val="fr-CH"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المرجع نفسه، الفقرة </w:t>
      </w:r>
      <w:r w:rsidRPr="000233B9">
        <w:rPr>
          <w:rFonts w:eastAsiaTheme="minorEastAsia"/>
          <w:rtl/>
        </w:rPr>
        <w:t>6</w:t>
      </w:r>
      <w:r w:rsidRPr="00C66A65">
        <w:rPr>
          <w:rFonts w:eastAsiaTheme="minorEastAsia"/>
          <w:rtl/>
        </w:rPr>
        <w:t>-</w:t>
      </w:r>
      <w:r w:rsidRPr="000233B9">
        <w:rPr>
          <w:rFonts w:eastAsiaTheme="minorEastAsia"/>
          <w:rtl/>
        </w:rPr>
        <w:t>4</w:t>
      </w:r>
      <w:r w:rsidRPr="00C66A65">
        <w:rPr>
          <w:rFonts w:eastAsiaTheme="minorEastAsia"/>
          <w:rtl/>
        </w:rPr>
        <w:t xml:space="preserve">؛ </w:t>
      </w:r>
      <w:r w:rsidRPr="000233B9">
        <w:rPr>
          <w:rFonts w:eastAsiaTheme="minorEastAsia"/>
          <w:i/>
          <w:iCs/>
          <w:rtl/>
        </w:rPr>
        <w:t xml:space="preserve">انظر أيضاً </w:t>
      </w:r>
      <w:proofErr w:type="spellStart"/>
      <w:r w:rsidRPr="000233B9">
        <w:rPr>
          <w:rFonts w:eastAsiaTheme="minorEastAsia"/>
          <w:i/>
          <w:iCs/>
          <w:rtl/>
        </w:rPr>
        <w:t>يوسوبوفا</w:t>
      </w:r>
      <w:proofErr w:type="spellEnd"/>
      <w:r w:rsidRPr="000233B9">
        <w:rPr>
          <w:rFonts w:eastAsiaTheme="minorEastAsia"/>
          <w:i/>
          <w:iCs/>
          <w:rtl/>
        </w:rPr>
        <w:t xml:space="preserve"> ضد الاتحاد الروسي</w:t>
      </w:r>
      <w:r w:rsidRPr="00C66A65">
        <w:rPr>
          <w:rFonts w:eastAsiaTheme="minorEastAsia"/>
          <w:rtl/>
        </w:rPr>
        <w:t xml:space="preserve"> (</w:t>
      </w:r>
      <w:r w:rsidRPr="00C66A65">
        <w:rPr>
          <w:rFonts w:eastAsiaTheme="minorEastAsia"/>
        </w:rPr>
        <w:t>CCPR/C/</w:t>
      </w:r>
      <w:r w:rsidRPr="000233B9">
        <w:rPr>
          <w:rFonts w:eastAsiaTheme="minorEastAsia"/>
        </w:rPr>
        <w:t>114</w:t>
      </w:r>
      <w:r w:rsidRPr="00C66A65">
        <w:rPr>
          <w:rFonts w:eastAsiaTheme="minorEastAsia"/>
        </w:rPr>
        <w:t>/D/</w:t>
      </w:r>
      <w:r w:rsidRPr="000233B9">
        <w:rPr>
          <w:rFonts w:eastAsiaTheme="minorEastAsia"/>
        </w:rPr>
        <w:t>2036</w:t>
      </w:r>
      <w:r w:rsidRPr="00C66A65">
        <w:rPr>
          <w:rFonts w:eastAsiaTheme="minorEastAsia"/>
        </w:rPr>
        <w:t>/</w:t>
      </w:r>
      <w:r w:rsidRPr="000233B9">
        <w:rPr>
          <w:rFonts w:eastAsiaTheme="minorEastAsia"/>
        </w:rPr>
        <w:t>2011</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6</w:t>
      </w:r>
      <w:r w:rsidRPr="00C66A65">
        <w:rPr>
          <w:rFonts w:eastAsiaTheme="minorEastAsia"/>
          <w:rtl/>
        </w:rPr>
        <w:t xml:space="preserve"> (اعترفت المحكمة بأن صاحبة البلاغ وقعت ضحية للاحتجاز التعسفي)؛ و</w:t>
      </w:r>
      <w:r w:rsidRPr="000233B9">
        <w:rPr>
          <w:rFonts w:eastAsiaTheme="minorEastAsia"/>
          <w:i/>
          <w:iCs/>
          <w:rtl/>
        </w:rPr>
        <w:t>تيان ضد كازاخستان</w:t>
      </w:r>
      <w:r w:rsidRPr="00C66A65">
        <w:rPr>
          <w:rFonts w:eastAsiaTheme="minorEastAsia"/>
          <w:rtl/>
        </w:rPr>
        <w:t xml:space="preserve">، الفقرة </w:t>
      </w:r>
      <w:r w:rsidRPr="000233B9">
        <w:rPr>
          <w:rFonts w:eastAsiaTheme="minorEastAsia"/>
          <w:rtl/>
        </w:rPr>
        <w:t>8</w:t>
      </w:r>
      <w:r w:rsidRPr="00C66A65">
        <w:rPr>
          <w:rFonts w:eastAsiaTheme="minorEastAsia"/>
          <w:rtl/>
        </w:rPr>
        <w:t>-</w:t>
      </w:r>
      <w:r w:rsidRPr="000233B9">
        <w:rPr>
          <w:rFonts w:eastAsiaTheme="minorEastAsia"/>
          <w:rtl/>
        </w:rPr>
        <w:t>4</w:t>
      </w:r>
      <w:r w:rsidRPr="00C66A65">
        <w:rPr>
          <w:rFonts w:eastAsiaTheme="minorEastAsia"/>
          <w:rtl/>
        </w:rPr>
        <w:t>.</w:t>
      </w:r>
    </w:p>
  </w:footnote>
  <w:footnote w:id="36">
    <w:p w14:paraId="67632370" w14:textId="3D3088F4"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0233B9">
        <w:rPr>
          <w:rFonts w:eastAsiaTheme="minorEastAsia"/>
          <w:i/>
          <w:iCs/>
          <w:rtl/>
        </w:rPr>
        <w:t>ك. ك. وآخرون ضد الاتحاد الروسي</w:t>
      </w:r>
      <w:r w:rsidRPr="00C66A65">
        <w:rPr>
          <w:rFonts w:eastAsiaTheme="minorEastAsia"/>
          <w:rtl/>
        </w:rPr>
        <w:t xml:space="preserve">، الفقرة </w:t>
      </w:r>
      <w:r w:rsidRPr="000233B9">
        <w:rPr>
          <w:rFonts w:eastAsiaTheme="minorEastAsia"/>
          <w:rtl/>
        </w:rPr>
        <w:t>6</w:t>
      </w:r>
      <w:r w:rsidRPr="00C66A65">
        <w:rPr>
          <w:rFonts w:eastAsiaTheme="minorEastAsia"/>
          <w:rtl/>
        </w:rPr>
        <w:t>-</w:t>
      </w:r>
      <w:r w:rsidRPr="000233B9">
        <w:rPr>
          <w:rFonts w:eastAsiaTheme="minorEastAsia"/>
          <w:rtl/>
        </w:rPr>
        <w:t>5</w:t>
      </w:r>
      <w:r w:rsidRPr="00C66A65">
        <w:rPr>
          <w:rFonts w:eastAsiaTheme="minorEastAsia"/>
          <w:rtl/>
        </w:rPr>
        <w:t>.</w:t>
      </w:r>
    </w:p>
  </w:footnote>
  <w:footnote w:id="37">
    <w:p w14:paraId="0BD03E13" w14:textId="297CA86B"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t xml:space="preserve">المرجع نفسه، الفقرة </w:t>
      </w:r>
      <w:r w:rsidRPr="000233B9">
        <w:rPr>
          <w:rFonts w:eastAsiaTheme="minorEastAsia"/>
          <w:rtl/>
        </w:rPr>
        <w:t>6</w:t>
      </w:r>
      <w:r w:rsidRPr="00C66A65">
        <w:rPr>
          <w:rFonts w:eastAsiaTheme="minorEastAsia"/>
          <w:rtl/>
        </w:rPr>
        <w:t>-</w:t>
      </w:r>
      <w:r w:rsidRPr="000233B9">
        <w:rPr>
          <w:rFonts w:eastAsiaTheme="minorEastAsia"/>
          <w:rtl/>
        </w:rPr>
        <w:t>5</w:t>
      </w:r>
      <w:r w:rsidRPr="00C66A65">
        <w:rPr>
          <w:rFonts w:eastAsiaTheme="minorEastAsia"/>
          <w:rtl/>
        </w:rPr>
        <w:t>.</w:t>
      </w:r>
    </w:p>
  </w:footnote>
  <w:footnote w:id="38">
    <w:p w14:paraId="77F30F6D" w14:textId="2D85230C"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56</w:t>
      </w:r>
      <w:r w:rsidRPr="00C66A65">
        <w:rPr>
          <w:rFonts w:eastAsiaTheme="minorEastAsia"/>
        </w:rPr>
        <w:t>/Add.</w:t>
      </w:r>
      <w:r w:rsidRPr="000233B9">
        <w:rPr>
          <w:rFonts w:eastAsiaTheme="minorEastAsia"/>
        </w:rPr>
        <w:t>1</w:t>
      </w:r>
      <w:r w:rsidRPr="00C66A65">
        <w:rPr>
          <w:rFonts w:eastAsiaTheme="minorEastAsia"/>
          <w:rtl/>
        </w:rPr>
        <w:t>.</w:t>
      </w:r>
    </w:p>
  </w:footnote>
  <w:footnote w:id="39">
    <w:p w14:paraId="084E20CA" w14:textId="3D231079" w:rsidR="00C2559A" w:rsidRPr="008F6D27" w:rsidRDefault="00C2559A" w:rsidP="007D3E54">
      <w:pPr>
        <w:pStyle w:val="FootnoteText1"/>
        <w:textDirection w:val="tbRlV"/>
        <w:rPr>
          <w:rFonts w:eastAsiaTheme="minorEastAsia"/>
          <w:spacing w:val="-6"/>
          <w:lang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proofErr w:type="spellStart"/>
      <w:r w:rsidRPr="000233B9">
        <w:rPr>
          <w:rFonts w:eastAsiaTheme="minorEastAsia"/>
          <w:i/>
          <w:iCs/>
          <w:spacing w:val="-6"/>
          <w:rtl/>
        </w:rPr>
        <w:t>إكليموفا</w:t>
      </w:r>
      <w:proofErr w:type="spellEnd"/>
      <w:r w:rsidRPr="000233B9">
        <w:rPr>
          <w:rFonts w:eastAsiaTheme="minorEastAsia"/>
          <w:i/>
          <w:iCs/>
          <w:spacing w:val="-6"/>
          <w:rtl/>
        </w:rPr>
        <w:t xml:space="preserve"> ضد تركمانستان</w:t>
      </w:r>
      <w:r w:rsidRPr="008F6D27">
        <w:rPr>
          <w:rFonts w:eastAsiaTheme="minorEastAsia"/>
          <w:spacing w:val="-6"/>
          <w:rtl/>
        </w:rPr>
        <w:t xml:space="preserve"> (</w:t>
      </w:r>
      <w:r w:rsidRPr="008F6D27">
        <w:rPr>
          <w:rFonts w:eastAsiaTheme="minorEastAsia"/>
          <w:spacing w:val="-6"/>
        </w:rPr>
        <w:t>CCPR/C/</w:t>
      </w:r>
      <w:r w:rsidRPr="000233B9">
        <w:rPr>
          <w:rFonts w:eastAsiaTheme="minorEastAsia"/>
          <w:spacing w:val="-6"/>
        </w:rPr>
        <w:t>96</w:t>
      </w:r>
      <w:r w:rsidRPr="008F6D27">
        <w:rPr>
          <w:rFonts w:eastAsiaTheme="minorEastAsia"/>
          <w:spacing w:val="-6"/>
        </w:rPr>
        <w:t>/D/</w:t>
      </w:r>
      <w:r w:rsidRPr="000233B9">
        <w:rPr>
          <w:rFonts w:eastAsiaTheme="minorEastAsia"/>
          <w:spacing w:val="-6"/>
        </w:rPr>
        <w:t>1460</w:t>
      </w:r>
      <w:r w:rsidRPr="008F6D27">
        <w:rPr>
          <w:rFonts w:eastAsiaTheme="minorEastAsia"/>
          <w:spacing w:val="-6"/>
        </w:rPr>
        <w:t>/</w:t>
      </w:r>
      <w:r w:rsidRPr="000233B9">
        <w:rPr>
          <w:rFonts w:eastAsiaTheme="minorEastAsia"/>
          <w:spacing w:val="-6"/>
        </w:rPr>
        <w:t>2006</w:t>
      </w:r>
      <w:r w:rsidRPr="008F6D27">
        <w:rPr>
          <w:rFonts w:eastAsiaTheme="minorEastAsia"/>
          <w:spacing w:val="-6"/>
          <w:rtl/>
        </w:rPr>
        <w:t xml:space="preserve">)، الفقرة </w:t>
      </w:r>
      <w:r w:rsidRPr="000233B9">
        <w:rPr>
          <w:rFonts w:eastAsiaTheme="minorEastAsia"/>
          <w:spacing w:val="-6"/>
          <w:rtl/>
        </w:rPr>
        <w:t>6</w:t>
      </w:r>
      <w:r w:rsidRPr="008F6D27">
        <w:rPr>
          <w:rFonts w:eastAsiaTheme="minorEastAsia"/>
          <w:spacing w:val="-6"/>
          <w:rtl/>
        </w:rPr>
        <w:t>-</w:t>
      </w:r>
      <w:r w:rsidRPr="000233B9">
        <w:rPr>
          <w:rFonts w:eastAsiaTheme="minorEastAsia"/>
          <w:spacing w:val="-6"/>
          <w:rtl/>
        </w:rPr>
        <w:t>2</w:t>
      </w:r>
      <w:r w:rsidRPr="008F6D27">
        <w:rPr>
          <w:rFonts w:eastAsiaTheme="minorEastAsia"/>
          <w:spacing w:val="-6"/>
          <w:rtl/>
        </w:rPr>
        <w:t xml:space="preserve">؛ </w:t>
      </w:r>
      <w:proofErr w:type="spellStart"/>
      <w:r w:rsidRPr="008F6D27">
        <w:rPr>
          <w:rFonts w:eastAsiaTheme="minorEastAsia"/>
          <w:spacing w:val="-6"/>
          <w:rtl/>
        </w:rPr>
        <w:t>و</w:t>
      </w:r>
      <w:r w:rsidRPr="000233B9">
        <w:rPr>
          <w:rFonts w:eastAsiaTheme="minorEastAsia"/>
          <w:i/>
          <w:iCs/>
          <w:spacing w:val="-6"/>
          <w:rtl/>
        </w:rPr>
        <w:t>أبرومتشيك</w:t>
      </w:r>
      <w:proofErr w:type="spellEnd"/>
      <w:r w:rsidRPr="000233B9">
        <w:rPr>
          <w:rFonts w:eastAsiaTheme="minorEastAsia"/>
          <w:i/>
          <w:iCs/>
          <w:spacing w:val="-6"/>
          <w:rtl/>
        </w:rPr>
        <w:t xml:space="preserve"> ضد بيلاروس</w:t>
      </w:r>
      <w:r w:rsidRPr="008F6D27">
        <w:rPr>
          <w:rFonts w:eastAsiaTheme="minorEastAsia"/>
          <w:spacing w:val="-6"/>
          <w:rtl/>
        </w:rPr>
        <w:t xml:space="preserve"> (</w:t>
      </w:r>
      <w:r w:rsidRPr="008F6D27">
        <w:rPr>
          <w:rFonts w:eastAsiaTheme="minorEastAsia"/>
          <w:spacing w:val="-6"/>
        </w:rPr>
        <w:t>CCPR/C/</w:t>
      </w:r>
      <w:r w:rsidRPr="000233B9">
        <w:rPr>
          <w:rFonts w:eastAsiaTheme="minorEastAsia"/>
          <w:spacing w:val="-6"/>
        </w:rPr>
        <w:t>122</w:t>
      </w:r>
      <w:r w:rsidRPr="008F6D27">
        <w:rPr>
          <w:rFonts w:eastAsiaTheme="minorEastAsia"/>
          <w:spacing w:val="-6"/>
        </w:rPr>
        <w:t>/D/</w:t>
      </w:r>
      <w:r w:rsidRPr="000233B9">
        <w:rPr>
          <w:rFonts w:eastAsiaTheme="minorEastAsia"/>
          <w:spacing w:val="-6"/>
        </w:rPr>
        <w:t>2228</w:t>
      </w:r>
      <w:r w:rsidRPr="008F6D27">
        <w:rPr>
          <w:rFonts w:eastAsiaTheme="minorEastAsia"/>
          <w:spacing w:val="-6"/>
        </w:rPr>
        <w:t>/</w:t>
      </w:r>
      <w:r w:rsidRPr="000233B9">
        <w:rPr>
          <w:rFonts w:eastAsiaTheme="minorEastAsia"/>
          <w:spacing w:val="-6"/>
        </w:rPr>
        <w:t>2012</w:t>
      </w:r>
      <w:r w:rsidRPr="008F6D27">
        <w:rPr>
          <w:rFonts w:eastAsiaTheme="minorEastAsia"/>
          <w:spacing w:val="-6"/>
          <w:rtl/>
        </w:rPr>
        <w:t xml:space="preserve">)، الفقرة </w:t>
      </w:r>
      <w:r w:rsidRPr="000233B9">
        <w:rPr>
          <w:rFonts w:eastAsiaTheme="minorEastAsia"/>
          <w:spacing w:val="-6"/>
          <w:rtl/>
        </w:rPr>
        <w:t>9</w:t>
      </w:r>
      <w:r w:rsidRPr="008F6D27">
        <w:rPr>
          <w:rFonts w:eastAsiaTheme="minorEastAsia"/>
          <w:spacing w:val="-6"/>
          <w:rtl/>
        </w:rPr>
        <w:t>-</w:t>
      </w:r>
      <w:r w:rsidRPr="000233B9">
        <w:rPr>
          <w:rFonts w:eastAsiaTheme="minorEastAsia"/>
          <w:spacing w:val="-6"/>
          <w:rtl/>
        </w:rPr>
        <w:t>3</w:t>
      </w:r>
      <w:r w:rsidRPr="008F6D27">
        <w:rPr>
          <w:rFonts w:eastAsiaTheme="minorEastAsia"/>
          <w:spacing w:val="-6"/>
          <w:rtl/>
        </w:rPr>
        <w:t>.</w:t>
      </w:r>
    </w:p>
  </w:footnote>
  <w:footnote w:id="40">
    <w:p w14:paraId="7D19EF12" w14:textId="618A8857" w:rsidR="00C2559A" w:rsidRPr="00C66A65" w:rsidRDefault="00C2559A" w:rsidP="007D3E54">
      <w:pPr>
        <w:pStyle w:val="FootnoteText1"/>
        <w:textDirection w:val="tbRlV"/>
        <w:rPr>
          <w:rFonts w:eastAsiaTheme="minorEastAsia"/>
          <w:lang w:val="ar-SA"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A/HRC/</w:t>
      </w:r>
      <w:r w:rsidRPr="000233B9">
        <w:rPr>
          <w:rFonts w:eastAsiaTheme="minorEastAsia"/>
        </w:rPr>
        <w:t>27</w:t>
      </w:r>
      <w:r w:rsidRPr="00C66A65">
        <w:rPr>
          <w:rFonts w:eastAsiaTheme="minorEastAsia"/>
        </w:rPr>
        <w:t>/</w:t>
      </w:r>
      <w:r w:rsidRPr="000233B9">
        <w:rPr>
          <w:rFonts w:eastAsiaTheme="minorEastAsia"/>
        </w:rPr>
        <w:t>56</w:t>
      </w:r>
      <w:r w:rsidRPr="00C66A65">
        <w:rPr>
          <w:rFonts w:eastAsiaTheme="minorEastAsia"/>
        </w:rPr>
        <w:t>/Add.</w:t>
      </w:r>
      <w:r w:rsidRPr="000233B9">
        <w:rPr>
          <w:rFonts w:eastAsiaTheme="minorEastAsia"/>
        </w:rPr>
        <w:t>1</w:t>
      </w:r>
      <w:r w:rsidRPr="00C66A65">
        <w:rPr>
          <w:rFonts w:eastAsiaTheme="minorEastAsia"/>
          <w:rtl/>
        </w:rPr>
        <w:t xml:space="preserve">، الفقرتان </w:t>
      </w:r>
      <w:r w:rsidRPr="000233B9">
        <w:rPr>
          <w:rFonts w:eastAsiaTheme="minorEastAsia"/>
          <w:rtl/>
        </w:rPr>
        <w:t>67</w:t>
      </w:r>
      <w:r w:rsidRPr="00C66A65">
        <w:rPr>
          <w:rFonts w:eastAsiaTheme="minorEastAsia"/>
          <w:rtl/>
        </w:rPr>
        <w:t xml:space="preserve"> و</w:t>
      </w:r>
      <w:r w:rsidRPr="000233B9">
        <w:rPr>
          <w:rFonts w:eastAsiaTheme="minorEastAsia"/>
          <w:rtl/>
        </w:rPr>
        <w:t>104</w:t>
      </w:r>
      <w:r w:rsidRPr="00C66A65">
        <w:rPr>
          <w:rFonts w:eastAsiaTheme="minorEastAsia"/>
          <w:rtl/>
        </w:rPr>
        <w:t>(و).</w:t>
      </w:r>
    </w:p>
  </w:footnote>
  <w:footnote w:id="41">
    <w:p w14:paraId="581822EB" w14:textId="22E21DDE" w:rsidR="00C2559A" w:rsidRPr="00CB3F0C" w:rsidRDefault="00C2559A" w:rsidP="007D3E54">
      <w:pPr>
        <w:pStyle w:val="FootnoteText1"/>
        <w:textDirection w:val="tbRlV"/>
        <w:rPr>
          <w:rFonts w:eastAsiaTheme="minorEastAsia"/>
          <w:lang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D97807">
        <w:rPr>
          <w:rFonts w:eastAsiaTheme="minorEastAsia"/>
          <w:spacing w:val="-4"/>
        </w:rPr>
        <w:t>CCPR/C/ESP/CO/</w:t>
      </w:r>
      <w:r w:rsidRPr="000233B9">
        <w:rPr>
          <w:rFonts w:eastAsiaTheme="minorEastAsia"/>
          <w:spacing w:val="-4"/>
        </w:rPr>
        <w:t>5</w:t>
      </w:r>
      <w:r w:rsidRPr="00D97807">
        <w:rPr>
          <w:rFonts w:eastAsiaTheme="minorEastAsia"/>
          <w:spacing w:val="-4"/>
          <w:rtl/>
        </w:rPr>
        <w:t xml:space="preserve">. انظر أيضاً الملاحظات الختامية التي اعتمدتها اللجنة المعنية بحالات الاختفاء القسري في عام </w:t>
      </w:r>
      <w:r w:rsidRPr="000233B9">
        <w:rPr>
          <w:rFonts w:eastAsiaTheme="minorEastAsia"/>
          <w:spacing w:val="-4"/>
          <w:rtl/>
        </w:rPr>
        <w:t>2013</w:t>
      </w:r>
      <w:r w:rsidRPr="00D97807">
        <w:rPr>
          <w:rFonts w:eastAsiaTheme="minorEastAsia"/>
          <w:spacing w:val="-4"/>
          <w:rtl/>
        </w:rPr>
        <w:t xml:space="preserve"> (</w:t>
      </w:r>
      <w:r w:rsidRPr="00D97807">
        <w:rPr>
          <w:rFonts w:eastAsiaTheme="minorEastAsia"/>
          <w:spacing w:val="-4"/>
        </w:rPr>
        <w:t>CED/C/ESP/CO/</w:t>
      </w:r>
      <w:r w:rsidRPr="000233B9">
        <w:rPr>
          <w:rFonts w:eastAsiaTheme="minorEastAsia"/>
          <w:spacing w:val="-4"/>
        </w:rPr>
        <w:t>1</w:t>
      </w:r>
      <w:r w:rsidRPr="00D97807">
        <w:rPr>
          <w:rFonts w:eastAsiaTheme="minorEastAsia"/>
          <w:spacing w:val="-4"/>
          <w:rtl/>
        </w:rPr>
        <w:t>).</w:t>
      </w:r>
    </w:p>
  </w:footnote>
  <w:footnote w:id="42">
    <w:p w14:paraId="32F7DFAE" w14:textId="46DC33E3" w:rsidR="00C2559A" w:rsidRPr="00D97807" w:rsidRDefault="00C2559A" w:rsidP="007D3E54">
      <w:pPr>
        <w:pStyle w:val="FootnoteText1"/>
        <w:textDirection w:val="tbRlV"/>
        <w:rPr>
          <w:rFonts w:eastAsiaTheme="minorEastAsia"/>
          <w:spacing w:val="-4"/>
          <w:lang w:val="fr-CH" w:eastAsia="zh-TW" w:bidi="ar-DZ"/>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proofErr w:type="spellStart"/>
      <w:r w:rsidRPr="000233B9">
        <w:rPr>
          <w:rFonts w:eastAsiaTheme="minorEastAsia"/>
          <w:i/>
          <w:iCs/>
          <w:spacing w:val="-4"/>
          <w:rtl/>
        </w:rPr>
        <w:t>شيدكو</w:t>
      </w:r>
      <w:proofErr w:type="spellEnd"/>
      <w:r w:rsidRPr="000233B9">
        <w:rPr>
          <w:rFonts w:eastAsiaTheme="minorEastAsia"/>
          <w:i/>
          <w:iCs/>
          <w:spacing w:val="-4"/>
          <w:rtl/>
        </w:rPr>
        <w:t xml:space="preserve"> ضد بيلاروس</w:t>
      </w:r>
      <w:r w:rsidRPr="00D97807">
        <w:rPr>
          <w:rFonts w:eastAsiaTheme="minorEastAsia"/>
          <w:spacing w:val="-4"/>
          <w:rtl/>
        </w:rPr>
        <w:t xml:space="preserve"> (</w:t>
      </w:r>
      <w:r w:rsidRPr="00D97807">
        <w:rPr>
          <w:rFonts w:eastAsiaTheme="minorEastAsia"/>
          <w:spacing w:val="-4"/>
        </w:rPr>
        <w:t>CCPR/C/</w:t>
      </w:r>
      <w:r w:rsidRPr="000233B9">
        <w:rPr>
          <w:rFonts w:eastAsiaTheme="minorEastAsia"/>
          <w:spacing w:val="-4"/>
        </w:rPr>
        <w:t>77</w:t>
      </w:r>
      <w:r w:rsidRPr="00D97807">
        <w:rPr>
          <w:rFonts w:eastAsiaTheme="minorEastAsia"/>
          <w:spacing w:val="-4"/>
        </w:rPr>
        <w:t>/D/</w:t>
      </w:r>
      <w:r w:rsidRPr="000233B9">
        <w:rPr>
          <w:rFonts w:eastAsiaTheme="minorEastAsia"/>
          <w:spacing w:val="-4"/>
        </w:rPr>
        <w:t>886</w:t>
      </w:r>
      <w:r w:rsidRPr="00D97807">
        <w:rPr>
          <w:rFonts w:eastAsiaTheme="minorEastAsia"/>
          <w:spacing w:val="-4"/>
        </w:rPr>
        <w:t>/</w:t>
      </w:r>
      <w:r w:rsidRPr="000233B9">
        <w:rPr>
          <w:rFonts w:eastAsiaTheme="minorEastAsia"/>
          <w:spacing w:val="-4"/>
        </w:rPr>
        <w:t>1999</w:t>
      </w:r>
      <w:r w:rsidRPr="00D97807">
        <w:rPr>
          <w:rFonts w:eastAsiaTheme="minorEastAsia"/>
          <w:spacing w:val="-4"/>
          <w:rtl/>
        </w:rPr>
        <w:t xml:space="preserve">)، الفقرة </w:t>
      </w:r>
      <w:r w:rsidRPr="000233B9">
        <w:rPr>
          <w:rFonts w:eastAsiaTheme="minorEastAsia"/>
          <w:spacing w:val="-4"/>
          <w:rtl/>
        </w:rPr>
        <w:t>10</w:t>
      </w:r>
      <w:r w:rsidRPr="00D97807">
        <w:rPr>
          <w:rFonts w:eastAsiaTheme="minorEastAsia"/>
          <w:spacing w:val="-4"/>
          <w:rtl/>
        </w:rPr>
        <w:t>-</w:t>
      </w:r>
      <w:r w:rsidRPr="000233B9">
        <w:rPr>
          <w:rFonts w:eastAsiaTheme="minorEastAsia"/>
          <w:spacing w:val="-4"/>
          <w:rtl/>
        </w:rPr>
        <w:t>2</w:t>
      </w:r>
      <w:r w:rsidRPr="00D97807">
        <w:rPr>
          <w:rFonts w:eastAsiaTheme="minorEastAsia"/>
          <w:spacing w:val="-4"/>
          <w:rtl/>
        </w:rPr>
        <w:t xml:space="preserve">؛ </w:t>
      </w:r>
      <w:proofErr w:type="spellStart"/>
      <w:r w:rsidRPr="00D97807">
        <w:rPr>
          <w:rFonts w:eastAsiaTheme="minorEastAsia"/>
          <w:spacing w:val="-4"/>
          <w:rtl/>
        </w:rPr>
        <w:t>و</w:t>
      </w:r>
      <w:r w:rsidRPr="000233B9">
        <w:rPr>
          <w:rFonts w:eastAsiaTheme="minorEastAsia"/>
          <w:i/>
          <w:iCs/>
          <w:spacing w:val="-4"/>
          <w:rtl/>
        </w:rPr>
        <w:t>سانكارا</w:t>
      </w:r>
      <w:proofErr w:type="spellEnd"/>
      <w:r w:rsidRPr="000233B9">
        <w:rPr>
          <w:rFonts w:eastAsiaTheme="minorEastAsia"/>
          <w:i/>
          <w:iCs/>
          <w:spacing w:val="-4"/>
          <w:rtl/>
        </w:rPr>
        <w:t xml:space="preserve"> وآخرون ضد بوركينا فاسو</w:t>
      </w:r>
      <w:r w:rsidRPr="00D97807">
        <w:rPr>
          <w:rFonts w:eastAsiaTheme="minorEastAsia"/>
          <w:spacing w:val="-4"/>
          <w:rtl/>
        </w:rPr>
        <w:t xml:space="preserve"> (</w:t>
      </w:r>
      <w:r w:rsidRPr="00D97807">
        <w:rPr>
          <w:rFonts w:eastAsiaTheme="minorEastAsia"/>
          <w:spacing w:val="-4"/>
        </w:rPr>
        <w:t>CCPR/C/</w:t>
      </w:r>
      <w:r w:rsidRPr="000233B9">
        <w:rPr>
          <w:rFonts w:eastAsiaTheme="minorEastAsia"/>
          <w:spacing w:val="-4"/>
        </w:rPr>
        <w:t>86</w:t>
      </w:r>
      <w:r w:rsidRPr="00D97807">
        <w:rPr>
          <w:rFonts w:eastAsiaTheme="minorEastAsia"/>
          <w:spacing w:val="-4"/>
        </w:rPr>
        <w:t>/D/</w:t>
      </w:r>
      <w:r w:rsidRPr="000233B9">
        <w:rPr>
          <w:rFonts w:eastAsiaTheme="minorEastAsia"/>
          <w:spacing w:val="-4"/>
        </w:rPr>
        <w:t>1159</w:t>
      </w:r>
      <w:r w:rsidRPr="00D97807">
        <w:rPr>
          <w:rFonts w:eastAsiaTheme="minorEastAsia"/>
          <w:spacing w:val="-4"/>
        </w:rPr>
        <w:t>/</w:t>
      </w:r>
      <w:r w:rsidRPr="000233B9">
        <w:rPr>
          <w:rFonts w:eastAsiaTheme="minorEastAsia"/>
          <w:spacing w:val="-4"/>
        </w:rPr>
        <w:t>2003</w:t>
      </w:r>
      <w:r w:rsidRPr="00D97807">
        <w:rPr>
          <w:rFonts w:eastAsiaTheme="minorEastAsia"/>
          <w:spacing w:val="-4"/>
          <w:rtl/>
        </w:rPr>
        <w:t xml:space="preserve">)، الفقرة </w:t>
      </w:r>
      <w:r w:rsidRPr="000233B9">
        <w:rPr>
          <w:rFonts w:eastAsiaTheme="minorEastAsia"/>
          <w:spacing w:val="-4"/>
          <w:rtl/>
        </w:rPr>
        <w:t>12</w:t>
      </w:r>
      <w:r w:rsidRPr="00D97807">
        <w:rPr>
          <w:rFonts w:eastAsiaTheme="minorEastAsia"/>
          <w:spacing w:val="-4"/>
          <w:rtl/>
        </w:rPr>
        <w:t>-</w:t>
      </w:r>
      <w:r w:rsidRPr="000233B9">
        <w:rPr>
          <w:rFonts w:eastAsiaTheme="minorEastAsia"/>
          <w:spacing w:val="-4"/>
          <w:rtl/>
        </w:rPr>
        <w:t>2</w:t>
      </w:r>
      <w:r w:rsidRPr="00D97807">
        <w:rPr>
          <w:rFonts w:eastAsiaTheme="minorEastAsia"/>
          <w:spacing w:val="-4"/>
          <w:rtl/>
        </w:rPr>
        <w:t xml:space="preserve">؛ </w:t>
      </w:r>
      <w:proofErr w:type="spellStart"/>
      <w:r w:rsidRPr="00D97807">
        <w:rPr>
          <w:rFonts w:eastAsiaTheme="minorEastAsia"/>
          <w:spacing w:val="-4"/>
          <w:rtl/>
        </w:rPr>
        <w:t>و</w:t>
      </w:r>
      <w:r w:rsidRPr="000233B9">
        <w:rPr>
          <w:rFonts w:eastAsiaTheme="minorEastAsia"/>
          <w:i/>
          <w:iCs/>
          <w:spacing w:val="-4"/>
          <w:rtl/>
        </w:rPr>
        <w:t>خادجييف</w:t>
      </w:r>
      <w:proofErr w:type="spellEnd"/>
      <w:r w:rsidRPr="000233B9">
        <w:rPr>
          <w:rFonts w:eastAsiaTheme="minorEastAsia"/>
          <w:i/>
          <w:iCs/>
          <w:spacing w:val="-4"/>
          <w:rtl/>
        </w:rPr>
        <w:t xml:space="preserve"> ضد تركمانستان</w:t>
      </w:r>
      <w:r w:rsidRPr="00D97807">
        <w:rPr>
          <w:rFonts w:eastAsiaTheme="minorEastAsia"/>
          <w:spacing w:val="-4"/>
          <w:rtl/>
        </w:rPr>
        <w:t xml:space="preserve"> (</w:t>
      </w:r>
      <w:r w:rsidRPr="00D97807">
        <w:rPr>
          <w:rFonts w:eastAsiaTheme="minorEastAsia"/>
          <w:spacing w:val="-4"/>
        </w:rPr>
        <w:t>CCPR/C/</w:t>
      </w:r>
      <w:r w:rsidRPr="000233B9">
        <w:rPr>
          <w:rFonts w:eastAsiaTheme="minorEastAsia"/>
          <w:spacing w:val="-4"/>
        </w:rPr>
        <w:t>122</w:t>
      </w:r>
      <w:r w:rsidRPr="00D97807">
        <w:rPr>
          <w:rFonts w:eastAsiaTheme="minorEastAsia"/>
          <w:spacing w:val="-4"/>
        </w:rPr>
        <w:t>/D/</w:t>
      </w:r>
      <w:r w:rsidRPr="000233B9">
        <w:rPr>
          <w:rFonts w:eastAsiaTheme="minorEastAsia"/>
          <w:spacing w:val="-4"/>
        </w:rPr>
        <w:t>2252</w:t>
      </w:r>
      <w:r w:rsidRPr="00D97807">
        <w:rPr>
          <w:rFonts w:eastAsiaTheme="minorEastAsia"/>
          <w:spacing w:val="-4"/>
        </w:rPr>
        <w:t>/</w:t>
      </w:r>
      <w:r w:rsidRPr="000233B9">
        <w:rPr>
          <w:rFonts w:eastAsiaTheme="minorEastAsia"/>
          <w:spacing w:val="-4"/>
        </w:rPr>
        <w:t>2013</w:t>
      </w:r>
      <w:r w:rsidRPr="00D97807">
        <w:rPr>
          <w:rFonts w:eastAsiaTheme="minorEastAsia"/>
          <w:spacing w:val="-4"/>
          <w:rtl/>
        </w:rPr>
        <w:t xml:space="preserve">)، الفقرة </w:t>
      </w:r>
      <w:r w:rsidRPr="000233B9">
        <w:rPr>
          <w:rFonts w:eastAsiaTheme="minorEastAsia"/>
          <w:spacing w:val="-4"/>
          <w:rtl/>
        </w:rPr>
        <w:t>7</w:t>
      </w:r>
      <w:r w:rsidRPr="00D97807">
        <w:rPr>
          <w:rFonts w:eastAsiaTheme="minorEastAsia"/>
          <w:spacing w:val="-4"/>
          <w:rtl/>
        </w:rPr>
        <w:t>-</w:t>
      </w:r>
      <w:r w:rsidRPr="000233B9">
        <w:rPr>
          <w:rFonts w:eastAsiaTheme="minorEastAsia"/>
          <w:spacing w:val="-4"/>
          <w:rtl/>
        </w:rPr>
        <w:t>6</w:t>
      </w:r>
      <w:r w:rsidRPr="00D97807">
        <w:rPr>
          <w:rFonts w:eastAsiaTheme="minorEastAsia"/>
          <w:spacing w:val="-4"/>
          <w:rtl/>
        </w:rPr>
        <w:t>.</w:t>
      </w:r>
    </w:p>
  </w:footnote>
  <w:footnote w:id="43">
    <w:p w14:paraId="7E1500ED" w14:textId="3219CD73" w:rsidR="00C2559A" w:rsidRPr="00185168" w:rsidRDefault="00C2559A" w:rsidP="007D3E54">
      <w:pPr>
        <w:pStyle w:val="FootnoteText1"/>
        <w:textDirection w:val="tbRlV"/>
        <w:rPr>
          <w:rFonts w:eastAsiaTheme="minorEastAsia"/>
          <w:lang w:eastAsia="zh-TW" w:bidi="en-GB"/>
        </w:rPr>
      </w:pPr>
      <w:r>
        <w:rPr>
          <w:rFonts w:eastAsiaTheme="minorEastAsia"/>
          <w:rtl/>
        </w:rPr>
        <w:t>(</w:t>
      </w:r>
      <w:r w:rsidRPr="000233B9">
        <w:rPr>
          <w:rStyle w:val="FootnoteReference"/>
          <w:rFonts w:eastAsiaTheme="minorEastAsia"/>
          <w:vertAlign w:val="baseline"/>
        </w:rPr>
        <w:footnoteRef/>
      </w:r>
      <w:r w:rsidRPr="00C66A65">
        <w:rPr>
          <w:rStyle w:val="FootnoteReference"/>
          <w:rFonts w:eastAsiaTheme="minorEastAsia"/>
          <w:vertAlign w:val="baseline"/>
          <w:rtl/>
        </w:rPr>
        <w:t>)</w:t>
      </w:r>
      <w:r w:rsidRPr="00C66A65">
        <w:rPr>
          <w:rFonts w:eastAsiaTheme="minorEastAsia"/>
          <w:rtl/>
        </w:rPr>
        <w:tab/>
      </w:r>
      <w:r w:rsidRPr="00C66A65">
        <w:rPr>
          <w:rFonts w:eastAsiaTheme="minorEastAsia"/>
        </w:rPr>
        <w:t>CCPR/C/ESP/CO/</w:t>
      </w:r>
      <w:r w:rsidRPr="000233B9">
        <w:rPr>
          <w:rFonts w:eastAsiaTheme="minorEastAsia"/>
        </w:rPr>
        <w:t>6</w:t>
      </w:r>
      <w:r w:rsidRPr="00C66A65">
        <w:rPr>
          <w:rFonts w:eastAsiaTheme="minorEastAsia"/>
          <w:rtl/>
        </w:rPr>
        <w:t xml:space="preserve">، الفقرة </w:t>
      </w:r>
      <w:r w:rsidRPr="000233B9">
        <w:rPr>
          <w:rFonts w:eastAsiaTheme="minorEastAsia"/>
          <w:rtl/>
        </w:rPr>
        <w:t>21</w:t>
      </w:r>
      <w:r w:rsidRPr="00C66A65">
        <w:rPr>
          <w:rFonts w:eastAsiaTheme="minorEastAsia"/>
          <w:rtl/>
        </w:rPr>
        <w:t>؛ و</w:t>
      </w:r>
      <w:r w:rsidRPr="00C66A65">
        <w:rPr>
          <w:rFonts w:eastAsiaTheme="minorEastAsia"/>
        </w:rPr>
        <w:t>CCPR/C/ESP/CO/</w:t>
      </w:r>
      <w:r w:rsidRPr="000233B9">
        <w:rPr>
          <w:rFonts w:eastAsiaTheme="minorEastAsia"/>
        </w:rPr>
        <w:t>5</w:t>
      </w:r>
      <w:r w:rsidRPr="00C66A65">
        <w:rPr>
          <w:rFonts w:eastAsiaTheme="minorEastAsia"/>
          <w:rtl/>
        </w:rPr>
        <w:t xml:space="preserve">، الفقرة </w:t>
      </w:r>
      <w:r w:rsidRPr="000233B9">
        <w:rPr>
          <w:rFonts w:eastAsiaTheme="minorEastAsia"/>
          <w:rtl/>
        </w:rPr>
        <w:t>9</w:t>
      </w:r>
      <w:r w:rsidRPr="00C66A65">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78A4" w14:textId="40935602" w:rsidR="00C2559A" w:rsidRPr="00FA30BC" w:rsidRDefault="00C2559A" w:rsidP="00FA30B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269E0">
      <w:t>CCPR/C/130/D/3599/2019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1C90" w14:textId="07CDD3F0" w:rsidR="00C2559A" w:rsidRPr="00FA30BC" w:rsidRDefault="00C2559A" w:rsidP="00FA30B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269E0">
      <w:t>CCPR/C/130/D/3599/2019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AD0F" w14:textId="77777777" w:rsidR="00A67F09" w:rsidRDefault="00A67F09" w:rsidP="00A67F0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CE2A" w14:textId="359A4DA4" w:rsidR="00D34FEC" w:rsidRPr="00FA30BC" w:rsidRDefault="00D34FEC" w:rsidP="00A67F09">
    <w:pPr>
      <w:pStyle w:val="Header"/>
      <w:jc w:val="righ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269E0">
      <w:t>CCPR/C/130/D/3599/2019</w:t>
    </w:r>
    <w:r>
      <w:rPr>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D892" w14:textId="77A40268" w:rsidR="00C2559A" w:rsidRPr="00FA30BC" w:rsidRDefault="00C2559A" w:rsidP="00A67F09">
    <w:pPr>
      <w:pStyle w:val="Header"/>
      <w:jc w:val="righ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269E0">
      <w:t>CCPR/C/130/D/3599/2019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0E"/>
    <w:rsid w:val="000076D5"/>
    <w:rsid w:val="000233B9"/>
    <w:rsid w:val="00043663"/>
    <w:rsid w:val="000437B8"/>
    <w:rsid w:val="000505CF"/>
    <w:rsid w:val="000D701C"/>
    <w:rsid w:val="000E2A71"/>
    <w:rsid w:val="00145577"/>
    <w:rsid w:val="00160263"/>
    <w:rsid w:val="00181F96"/>
    <w:rsid w:val="00185168"/>
    <w:rsid w:val="001872B1"/>
    <w:rsid w:val="001A1371"/>
    <w:rsid w:val="001B043F"/>
    <w:rsid w:val="001B317A"/>
    <w:rsid w:val="001B346A"/>
    <w:rsid w:val="001E1CAD"/>
    <w:rsid w:val="001E290D"/>
    <w:rsid w:val="002144FA"/>
    <w:rsid w:val="0023469A"/>
    <w:rsid w:val="00243C8A"/>
    <w:rsid w:val="00267A0E"/>
    <w:rsid w:val="002901D9"/>
    <w:rsid w:val="002976C2"/>
    <w:rsid w:val="003068BC"/>
    <w:rsid w:val="00315B29"/>
    <w:rsid w:val="003260FF"/>
    <w:rsid w:val="00343D95"/>
    <w:rsid w:val="00363A18"/>
    <w:rsid w:val="00374341"/>
    <w:rsid w:val="003A4E38"/>
    <w:rsid w:val="003C0B55"/>
    <w:rsid w:val="003D1062"/>
    <w:rsid w:val="003D151B"/>
    <w:rsid w:val="00402051"/>
    <w:rsid w:val="00420D7B"/>
    <w:rsid w:val="00446F74"/>
    <w:rsid w:val="00450B21"/>
    <w:rsid w:val="00453B63"/>
    <w:rsid w:val="00455780"/>
    <w:rsid w:val="004B0A1C"/>
    <w:rsid w:val="004B27E0"/>
    <w:rsid w:val="004D298E"/>
    <w:rsid w:val="004F310E"/>
    <w:rsid w:val="00500AE5"/>
    <w:rsid w:val="00501AA8"/>
    <w:rsid w:val="005044B3"/>
    <w:rsid w:val="00517BC9"/>
    <w:rsid w:val="0054472E"/>
    <w:rsid w:val="005662A9"/>
    <w:rsid w:val="005827D4"/>
    <w:rsid w:val="0058508B"/>
    <w:rsid w:val="0059622A"/>
    <w:rsid w:val="005A3986"/>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05C56"/>
    <w:rsid w:val="00717FB3"/>
    <w:rsid w:val="00730446"/>
    <w:rsid w:val="00733704"/>
    <w:rsid w:val="0078071A"/>
    <w:rsid w:val="00787022"/>
    <w:rsid w:val="00787E1E"/>
    <w:rsid w:val="007A627B"/>
    <w:rsid w:val="007D3E54"/>
    <w:rsid w:val="00852A9A"/>
    <w:rsid w:val="008B5664"/>
    <w:rsid w:val="008C33D1"/>
    <w:rsid w:val="008F49E1"/>
    <w:rsid w:val="008F6D27"/>
    <w:rsid w:val="0090370F"/>
    <w:rsid w:val="009269D2"/>
    <w:rsid w:val="00942135"/>
    <w:rsid w:val="009521B0"/>
    <w:rsid w:val="00957437"/>
    <w:rsid w:val="009716A5"/>
    <w:rsid w:val="00982139"/>
    <w:rsid w:val="009867A8"/>
    <w:rsid w:val="00991F44"/>
    <w:rsid w:val="009A0CFB"/>
    <w:rsid w:val="009A7E9F"/>
    <w:rsid w:val="009C17EC"/>
    <w:rsid w:val="009E5018"/>
    <w:rsid w:val="00A03700"/>
    <w:rsid w:val="00A049FC"/>
    <w:rsid w:val="00A053F2"/>
    <w:rsid w:val="00A12B37"/>
    <w:rsid w:val="00A54828"/>
    <w:rsid w:val="00A67F09"/>
    <w:rsid w:val="00A83221"/>
    <w:rsid w:val="00A9033B"/>
    <w:rsid w:val="00A9036D"/>
    <w:rsid w:val="00A97E1F"/>
    <w:rsid w:val="00AB512E"/>
    <w:rsid w:val="00AB6758"/>
    <w:rsid w:val="00AB727F"/>
    <w:rsid w:val="00B13763"/>
    <w:rsid w:val="00B269E0"/>
    <w:rsid w:val="00B477A4"/>
    <w:rsid w:val="00B54045"/>
    <w:rsid w:val="00B63ADD"/>
    <w:rsid w:val="00BB09A0"/>
    <w:rsid w:val="00BD36A2"/>
    <w:rsid w:val="00BF67DB"/>
    <w:rsid w:val="00C175A6"/>
    <w:rsid w:val="00C2559A"/>
    <w:rsid w:val="00C41DCF"/>
    <w:rsid w:val="00C42AF7"/>
    <w:rsid w:val="00C438D7"/>
    <w:rsid w:val="00C513D1"/>
    <w:rsid w:val="00C62C20"/>
    <w:rsid w:val="00C66A65"/>
    <w:rsid w:val="00C81B50"/>
    <w:rsid w:val="00C902EF"/>
    <w:rsid w:val="00CB0011"/>
    <w:rsid w:val="00CB3F0C"/>
    <w:rsid w:val="00CB6622"/>
    <w:rsid w:val="00CD1801"/>
    <w:rsid w:val="00CF56F9"/>
    <w:rsid w:val="00CF65C6"/>
    <w:rsid w:val="00D00A89"/>
    <w:rsid w:val="00D10EF1"/>
    <w:rsid w:val="00D241A6"/>
    <w:rsid w:val="00D34FEC"/>
    <w:rsid w:val="00D42810"/>
    <w:rsid w:val="00D60DD5"/>
    <w:rsid w:val="00D76E53"/>
    <w:rsid w:val="00D914A7"/>
    <w:rsid w:val="00D97807"/>
    <w:rsid w:val="00DC4D4B"/>
    <w:rsid w:val="00DD13C3"/>
    <w:rsid w:val="00DD596E"/>
    <w:rsid w:val="00DD621E"/>
    <w:rsid w:val="00DE50B1"/>
    <w:rsid w:val="00DF0138"/>
    <w:rsid w:val="00DF0575"/>
    <w:rsid w:val="00E2228E"/>
    <w:rsid w:val="00E53BF3"/>
    <w:rsid w:val="00E660D4"/>
    <w:rsid w:val="00E70E04"/>
    <w:rsid w:val="00E77E6C"/>
    <w:rsid w:val="00E83ED5"/>
    <w:rsid w:val="00EC05A7"/>
    <w:rsid w:val="00EC4B6B"/>
    <w:rsid w:val="00EC68A5"/>
    <w:rsid w:val="00ED7442"/>
    <w:rsid w:val="00EF1EE5"/>
    <w:rsid w:val="00EF5C43"/>
    <w:rsid w:val="00F06572"/>
    <w:rsid w:val="00F10DAB"/>
    <w:rsid w:val="00F3404A"/>
    <w:rsid w:val="00F46D42"/>
    <w:rsid w:val="00F763B4"/>
    <w:rsid w:val="00F900C3"/>
    <w:rsid w:val="00FA30BC"/>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14B32DE5"/>
  <w15:docId w15:val="{B6990618-1C29-4E82-BC00-90F1FF09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7701</Words>
  <Characters>38840</Characters>
  <Application>Microsoft Office Word</Application>
  <DocSecurity>0</DocSecurity>
  <Lines>572</Lines>
  <Paragraphs>120</Paragraphs>
  <ScaleCrop>false</ScaleCrop>
  <HeadingPairs>
    <vt:vector size="2" baseType="variant">
      <vt:variant>
        <vt:lpstr>Title</vt:lpstr>
      </vt:variant>
      <vt:variant>
        <vt:i4>1</vt:i4>
      </vt:variant>
    </vt:vector>
  </HeadingPairs>
  <TitlesOfParts>
    <vt:vector size="1" baseType="lpstr">
      <vt:lpstr>CCPR/C/130/D/3599/2019</vt:lpstr>
    </vt:vector>
  </TitlesOfParts>
  <Company>DCM</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CCPR/C/130/D/3599/2019</dc:title>
  <dc:subject>GE.2106035(A)</dc:subject>
  <dc:creator>Muntaha BUHNAM - SOU</dc:creator>
  <cp:keywords>GE.2110333(A)</cp:keywords>
  <dc:description>Distr.: General_x000d_
6 May 2021_x000d_
English_x000d_
Original: Spanish</dc:description>
  <cp:lastModifiedBy>Ibrahim Balan</cp:lastModifiedBy>
  <cp:revision>3</cp:revision>
  <cp:lastPrinted>2021-06-01T14:55:00Z</cp:lastPrinted>
  <dcterms:created xsi:type="dcterms:W3CDTF">2021-06-01T14:55:00Z</dcterms:created>
  <dcterms:modified xsi:type="dcterms:W3CDTF">2021-06-01T14:56:00Z</dcterms:modified>
  <cp:category>Finale</cp:category>
</cp:coreProperties>
</file>