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F1DF30E" w14:textId="77777777" w:rsidTr="002B7BC7">
        <w:trPr>
          <w:trHeight w:hRule="exact" w:val="851"/>
        </w:trPr>
        <w:tc>
          <w:tcPr>
            <w:tcW w:w="1276" w:type="dxa"/>
            <w:tcBorders>
              <w:bottom w:val="single" w:sz="4" w:space="0" w:color="auto"/>
            </w:tcBorders>
          </w:tcPr>
          <w:p w14:paraId="7A0C9E81" w14:textId="77777777" w:rsidR="006F71EA" w:rsidRPr="00DB58B5" w:rsidRDefault="006F71EA" w:rsidP="00246B22"/>
        </w:tc>
        <w:tc>
          <w:tcPr>
            <w:tcW w:w="2268" w:type="dxa"/>
            <w:tcBorders>
              <w:bottom w:val="single" w:sz="4" w:space="0" w:color="auto"/>
            </w:tcBorders>
            <w:vAlign w:val="bottom"/>
          </w:tcPr>
          <w:p w14:paraId="5129A30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5F9683" w14:textId="77777777" w:rsidR="006F71EA" w:rsidRPr="00DB58B5" w:rsidRDefault="00246B22" w:rsidP="00246B22">
            <w:pPr>
              <w:jc w:val="right"/>
            </w:pPr>
            <w:r w:rsidRPr="00246B22">
              <w:rPr>
                <w:sz w:val="40"/>
              </w:rPr>
              <w:t>CCPR</w:t>
            </w:r>
            <w:r>
              <w:t>/C/130/D/2946/2017</w:t>
            </w:r>
          </w:p>
        </w:tc>
      </w:tr>
      <w:tr w:rsidR="006F71EA" w:rsidRPr="00DB58B5" w14:paraId="38906DF3" w14:textId="77777777" w:rsidTr="002B7BC7">
        <w:trPr>
          <w:trHeight w:hRule="exact" w:val="2835"/>
        </w:trPr>
        <w:tc>
          <w:tcPr>
            <w:tcW w:w="1276" w:type="dxa"/>
            <w:tcBorders>
              <w:top w:val="single" w:sz="4" w:space="0" w:color="auto"/>
              <w:bottom w:val="single" w:sz="12" w:space="0" w:color="auto"/>
            </w:tcBorders>
          </w:tcPr>
          <w:p w14:paraId="3B026DA0" w14:textId="77777777" w:rsidR="006F71EA" w:rsidRPr="00DB58B5" w:rsidRDefault="006F71EA" w:rsidP="002B7BC7">
            <w:pPr>
              <w:spacing w:before="120"/>
              <w:jc w:val="center"/>
            </w:pPr>
            <w:r>
              <w:rPr>
                <w:noProof/>
                <w:lang w:eastAsia="fr-CH"/>
              </w:rPr>
              <w:drawing>
                <wp:inline distT="0" distB="0" distL="0" distR="0" wp14:anchorId="6F9FB898" wp14:editId="5D7991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34719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1F74962" w14:textId="77777777" w:rsidR="006F71EA" w:rsidRDefault="00246B22" w:rsidP="002B7BC7">
            <w:pPr>
              <w:spacing w:before="240"/>
            </w:pPr>
            <w:proofErr w:type="spellStart"/>
            <w:r>
              <w:t>Distr</w:t>
            </w:r>
            <w:proofErr w:type="spellEnd"/>
            <w:r>
              <w:t>. générale</w:t>
            </w:r>
          </w:p>
          <w:p w14:paraId="66C71B07" w14:textId="77777777" w:rsidR="00246B22" w:rsidRDefault="00246B22" w:rsidP="00246B22">
            <w:pPr>
              <w:spacing w:line="240" w:lineRule="exact"/>
            </w:pPr>
            <w:r>
              <w:t>8 juin 2021</w:t>
            </w:r>
          </w:p>
          <w:p w14:paraId="7F64C0FE" w14:textId="77777777" w:rsidR="00246B22" w:rsidRDefault="00246B22" w:rsidP="00246B22">
            <w:pPr>
              <w:spacing w:line="240" w:lineRule="exact"/>
            </w:pPr>
            <w:r>
              <w:t>Français</w:t>
            </w:r>
          </w:p>
          <w:p w14:paraId="574CCE3A" w14:textId="77777777" w:rsidR="00246B22" w:rsidRPr="00DB58B5" w:rsidRDefault="00246B22" w:rsidP="00246B22">
            <w:pPr>
              <w:spacing w:line="240" w:lineRule="exact"/>
            </w:pPr>
            <w:r>
              <w:t>Original : anglais</w:t>
            </w:r>
          </w:p>
        </w:tc>
      </w:tr>
    </w:tbl>
    <w:p w14:paraId="17D6C5D1" w14:textId="77777777" w:rsidR="006F71EA" w:rsidRDefault="006F71EA" w:rsidP="006F71EA">
      <w:pPr>
        <w:spacing w:before="120"/>
        <w:rPr>
          <w:b/>
          <w:sz w:val="24"/>
          <w:szCs w:val="24"/>
        </w:rPr>
      </w:pPr>
      <w:r w:rsidRPr="00DF3BF1">
        <w:rPr>
          <w:b/>
          <w:sz w:val="24"/>
          <w:szCs w:val="24"/>
        </w:rPr>
        <w:t>Comité des droits de l’homme</w:t>
      </w:r>
    </w:p>
    <w:p w14:paraId="256FA1CB" w14:textId="77777777" w:rsidR="00D86915" w:rsidRPr="0027097B" w:rsidRDefault="00D86915" w:rsidP="001547B7">
      <w:pPr>
        <w:pStyle w:val="HChG"/>
        <w:rPr>
          <w:color w:val="000000" w:themeColor="text1"/>
        </w:rPr>
      </w:pPr>
      <w:r w:rsidRPr="0027097B">
        <w:rPr>
          <w:color w:val="000000" w:themeColor="text1"/>
          <w:szCs w:val="28"/>
        </w:rPr>
        <w:tab/>
      </w:r>
      <w:r w:rsidRPr="0027097B">
        <w:rPr>
          <w:color w:val="000000" w:themeColor="text1"/>
          <w:szCs w:val="28"/>
        </w:rPr>
        <w:tab/>
      </w:r>
      <w:r>
        <w:rPr>
          <w:color w:val="000000" w:themeColor="text1"/>
          <w:szCs w:val="28"/>
        </w:rPr>
        <w:t xml:space="preserve">Décision </w:t>
      </w:r>
      <w:r w:rsidRPr="006B73DA">
        <w:rPr>
          <w:lang w:val="fr-FR"/>
        </w:rPr>
        <w:t>adoptée par le Comité</w:t>
      </w:r>
      <w:r w:rsidRPr="00673767">
        <w:rPr>
          <w:lang w:val="fr-FR"/>
        </w:rPr>
        <w:t xml:space="preserve"> </w:t>
      </w:r>
      <w:r w:rsidRPr="00673767">
        <w:rPr>
          <w:bCs/>
          <w:lang w:val="fr-FR"/>
        </w:rPr>
        <w:t>en vertu du Protocole facultatif</w:t>
      </w:r>
      <w:r w:rsidRPr="006B73DA">
        <w:rPr>
          <w:lang w:val="fr-FR"/>
        </w:rPr>
        <w:t>, concernant l</w:t>
      </w:r>
      <w:r>
        <w:rPr>
          <w:lang w:val="fr-FR"/>
        </w:rPr>
        <w:t>a</w:t>
      </w:r>
      <w:r w:rsidRPr="006B73DA">
        <w:rPr>
          <w:lang w:val="fr-FR"/>
        </w:rPr>
        <w:t xml:space="preserve"> communication</w:t>
      </w:r>
      <w:r w:rsidRPr="0027097B">
        <w:rPr>
          <w:color w:val="000000" w:themeColor="text1"/>
          <w:szCs w:val="28"/>
        </w:rPr>
        <w:t xml:space="preserve"> </w:t>
      </w:r>
      <w:r w:rsidRPr="0027097B">
        <w:rPr>
          <w:rFonts w:eastAsia="MS Mincho"/>
          <w:color w:val="000000" w:themeColor="text1"/>
          <w:szCs w:val="28"/>
        </w:rPr>
        <w:t>n</w:t>
      </w:r>
      <w:r w:rsidRPr="0027097B">
        <w:rPr>
          <w:rFonts w:eastAsia="MS Mincho"/>
          <w:color w:val="000000" w:themeColor="text1"/>
          <w:szCs w:val="28"/>
          <w:vertAlign w:val="superscript"/>
        </w:rPr>
        <w:t>o</w:t>
      </w:r>
      <w:r w:rsidRPr="0027097B">
        <w:rPr>
          <w:color w:val="000000" w:themeColor="text1"/>
          <w:szCs w:val="28"/>
        </w:rPr>
        <w:t> 2946/2017</w:t>
      </w:r>
      <w:r w:rsidRPr="001547B7">
        <w:rPr>
          <w:rStyle w:val="Appelnotedebasdep"/>
          <w:b w:val="0"/>
          <w:bCs/>
          <w:sz w:val="20"/>
          <w:vertAlign w:val="baseline"/>
        </w:rPr>
        <w:footnoteReference w:customMarkFollows="1" w:id="2"/>
        <w:t>*</w:t>
      </w:r>
      <w:r w:rsidRPr="001547B7">
        <w:rPr>
          <w:b w:val="0"/>
          <w:position w:val="8"/>
          <w:sz w:val="20"/>
        </w:rPr>
        <w:t>,</w:t>
      </w:r>
      <w:r w:rsidRPr="006D0E9B">
        <w:rPr>
          <w:bCs/>
        </w:rPr>
        <w:t xml:space="preserve"> </w:t>
      </w:r>
      <w:r w:rsidRPr="001547B7">
        <w:rPr>
          <w:rStyle w:val="Appelnotedebasdep"/>
          <w:b w:val="0"/>
          <w:bCs/>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D86915" w:rsidRPr="0027097B" w14:paraId="7F10426E" w14:textId="77777777" w:rsidTr="001547B7">
        <w:tc>
          <w:tcPr>
            <w:tcW w:w="2835" w:type="dxa"/>
          </w:tcPr>
          <w:p w14:paraId="469EAB6F" w14:textId="77777777" w:rsidR="00D86915" w:rsidRPr="0027097B" w:rsidRDefault="00D86915" w:rsidP="001547B7">
            <w:pPr>
              <w:spacing w:after="120"/>
              <w:rPr>
                <w:i/>
                <w:color w:val="000000" w:themeColor="text1"/>
              </w:rPr>
            </w:pPr>
            <w:r w:rsidRPr="0027097B">
              <w:rPr>
                <w:i/>
                <w:color w:val="000000" w:themeColor="text1"/>
              </w:rPr>
              <w:t>Communication présentée par</w:t>
            </w:r>
            <w:r w:rsidRPr="0027097B">
              <w:rPr>
                <w:color w:val="000000" w:themeColor="text1"/>
              </w:rPr>
              <w:t> :</w:t>
            </w:r>
          </w:p>
        </w:tc>
        <w:tc>
          <w:tcPr>
            <w:tcW w:w="3969" w:type="dxa"/>
          </w:tcPr>
          <w:p w14:paraId="50238E20" w14:textId="77777777" w:rsidR="00D86915" w:rsidRPr="0027097B" w:rsidRDefault="00D86915" w:rsidP="001547B7">
            <w:pPr>
              <w:spacing w:after="120"/>
              <w:rPr>
                <w:color w:val="000000" w:themeColor="text1"/>
              </w:rPr>
            </w:pPr>
            <w:r w:rsidRPr="0027097B">
              <w:rPr>
                <w:color w:val="000000" w:themeColor="text1"/>
              </w:rPr>
              <w:t xml:space="preserve">F. M. </w:t>
            </w:r>
            <w:r w:rsidRPr="0027097B">
              <w:rPr>
                <w:color w:val="000000" w:themeColor="text1"/>
              </w:rPr>
              <w:br/>
              <w:t xml:space="preserve">(représenté par un conseil, Daniel </w:t>
            </w:r>
            <w:proofErr w:type="spellStart"/>
            <w:r w:rsidRPr="0027097B">
              <w:rPr>
                <w:color w:val="000000" w:themeColor="text1"/>
              </w:rPr>
              <w:t>Nørrung</w:t>
            </w:r>
            <w:proofErr w:type="spellEnd"/>
            <w:r w:rsidRPr="0027097B">
              <w:rPr>
                <w:color w:val="000000" w:themeColor="text1"/>
              </w:rPr>
              <w:t>)</w:t>
            </w:r>
          </w:p>
        </w:tc>
      </w:tr>
      <w:tr w:rsidR="00D86915" w:rsidRPr="0027097B" w14:paraId="49C45FA7" w14:textId="77777777" w:rsidTr="001547B7">
        <w:tc>
          <w:tcPr>
            <w:tcW w:w="2835" w:type="dxa"/>
          </w:tcPr>
          <w:p w14:paraId="2DD169E0" w14:textId="77777777" w:rsidR="00D86915" w:rsidRPr="0027097B" w:rsidRDefault="00D86915" w:rsidP="001547B7">
            <w:pPr>
              <w:spacing w:after="120"/>
              <w:rPr>
                <w:i/>
                <w:color w:val="000000" w:themeColor="text1"/>
              </w:rPr>
            </w:pPr>
            <w:r w:rsidRPr="0027097B">
              <w:rPr>
                <w:i/>
                <w:color w:val="000000" w:themeColor="text1"/>
              </w:rPr>
              <w:t>Victime(s) présumée(s)</w:t>
            </w:r>
            <w:r w:rsidRPr="0027097B">
              <w:rPr>
                <w:color w:val="000000" w:themeColor="text1"/>
              </w:rPr>
              <w:t> :</w:t>
            </w:r>
          </w:p>
        </w:tc>
        <w:tc>
          <w:tcPr>
            <w:tcW w:w="3969" w:type="dxa"/>
          </w:tcPr>
          <w:p w14:paraId="55D79037" w14:textId="77777777" w:rsidR="00D86915" w:rsidRPr="0027097B" w:rsidRDefault="00D86915" w:rsidP="001547B7">
            <w:pPr>
              <w:spacing w:after="120"/>
              <w:rPr>
                <w:color w:val="000000" w:themeColor="text1"/>
              </w:rPr>
            </w:pPr>
            <w:r w:rsidRPr="0027097B">
              <w:rPr>
                <w:color w:val="000000" w:themeColor="text1"/>
              </w:rPr>
              <w:t>L</w:t>
            </w:r>
            <w:r>
              <w:rPr>
                <w:color w:val="000000" w:themeColor="text1"/>
              </w:rPr>
              <w:t>’</w:t>
            </w:r>
            <w:r w:rsidRPr="0027097B">
              <w:rPr>
                <w:color w:val="000000" w:themeColor="text1"/>
              </w:rPr>
              <w:t>auteur</w:t>
            </w:r>
          </w:p>
        </w:tc>
      </w:tr>
      <w:tr w:rsidR="00D86915" w:rsidRPr="0027097B" w14:paraId="3AB72C9A" w14:textId="77777777" w:rsidTr="001547B7">
        <w:tc>
          <w:tcPr>
            <w:tcW w:w="2835" w:type="dxa"/>
          </w:tcPr>
          <w:p w14:paraId="0D966310" w14:textId="77777777" w:rsidR="00D86915" w:rsidRPr="0027097B" w:rsidRDefault="00D86915" w:rsidP="001547B7">
            <w:pPr>
              <w:spacing w:after="120"/>
              <w:rPr>
                <w:i/>
                <w:color w:val="000000" w:themeColor="text1"/>
              </w:rPr>
            </w:pPr>
            <w:r w:rsidRPr="0027097B">
              <w:rPr>
                <w:i/>
                <w:color w:val="000000" w:themeColor="text1"/>
              </w:rPr>
              <w:t>État partie</w:t>
            </w:r>
            <w:r w:rsidRPr="0027097B">
              <w:rPr>
                <w:color w:val="000000" w:themeColor="text1"/>
              </w:rPr>
              <w:t> :</w:t>
            </w:r>
          </w:p>
        </w:tc>
        <w:tc>
          <w:tcPr>
            <w:tcW w:w="3969" w:type="dxa"/>
          </w:tcPr>
          <w:p w14:paraId="5D6304AC" w14:textId="77777777" w:rsidR="00D86915" w:rsidRPr="0027097B" w:rsidRDefault="00D86915" w:rsidP="001547B7">
            <w:pPr>
              <w:spacing w:after="120"/>
              <w:rPr>
                <w:b/>
                <w:color w:val="000000" w:themeColor="text1"/>
              </w:rPr>
            </w:pPr>
            <w:r w:rsidRPr="0027097B">
              <w:rPr>
                <w:color w:val="000000" w:themeColor="text1"/>
              </w:rPr>
              <w:t>Danemark</w:t>
            </w:r>
          </w:p>
        </w:tc>
      </w:tr>
      <w:tr w:rsidR="00D86915" w:rsidRPr="0027097B" w14:paraId="549FFAEB" w14:textId="77777777" w:rsidTr="001547B7">
        <w:tc>
          <w:tcPr>
            <w:tcW w:w="2835" w:type="dxa"/>
          </w:tcPr>
          <w:p w14:paraId="2036DBED" w14:textId="77777777" w:rsidR="00D86915" w:rsidRPr="0027097B" w:rsidRDefault="00D86915" w:rsidP="001547B7">
            <w:pPr>
              <w:spacing w:after="120"/>
              <w:rPr>
                <w:i/>
                <w:color w:val="000000" w:themeColor="text1"/>
              </w:rPr>
            </w:pPr>
            <w:r w:rsidRPr="0027097B">
              <w:rPr>
                <w:i/>
                <w:color w:val="000000" w:themeColor="text1"/>
              </w:rPr>
              <w:t>Date de la communication</w:t>
            </w:r>
            <w:r w:rsidRPr="0027097B">
              <w:rPr>
                <w:color w:val="000000" w:themeColor="text1"/>
              </w:rPr>
              <w:t> :</w:t>
            </w:r>
          </w:p>
        </w:tc>
        <w:tc>
          <w:tcPr>
            <w:tcW w:w="3969" w:type="dxa"/>
          </w:tcPr>
          <w:p w14:paraId="739FCD9D" w14:textId="77777777" w:rsidR="00D86915" w:rsidRPr="0027097B" w:rsidRDefault="00D86915" w:rsidP="001547B7">
            <w:pPr>
              <w:spacing w:after="120"/>
              <w:rPr>
                <w:color w:val="000000" w:themeColor="text1"/>
              </w:rPr>
            </w:pPr>
            <w:r w:rsidRPr="0027097B">
              <w:rPr>
                <w:color w:val="000000" w:themeColor="text1"/>
              </w:rPr>
              <w:t>1</w:t>
            </w:r>
            <w:r w:rsidRPr="0027097B">
              <w:rPr>
                <w:color w:val="000000" w:themeColor="text1"/>
                <w:vertAlign w:val="superscript"/>
              </w:rPr>
              <w:t>er</w:t>
            </w:r>
            <w:r w:rsidRPr="0027097B">
              <w:rPr>
                <w:color w:val="000000" w:themeColor="text1"/>
              </w:rPr>
              <w:t> février 2017 (date de la lettre initiale)</w:t>
            </w:r>
          </w:p>
        </w:tc>
      </w:tr>
      <w:tr w:rsidR="00D86915" w:rsidRPr="0027097B" w14:paraId="2199A666" w14:textId="77777777" w:rsidTr="001547B7">
        <w:tc>
          <w:tcPr>
            <w:tcW w:w="2835" w:type="dxa"/>
          </w:tcPr>
          <w:p w14:paraId="1869DF04" w14:textId="77777777" w:rsidR="00D86915" w:rsidRPr="0027097B" w:rsidRDefault="00D86915" w:rsidP="001547B7">
            <w:pPr>
              <w:spacing w:after="120"/>
              <w:rPr>
                <w:i/>
                <w:color w:val="000000" w:themeColor="text1"/>
              </w:rPr>
            </w:pPr>
            <w:r w:rsidRPr="0027097B">
              <w:rPr>
                <w:i/>
                <w:color w:val="000000" w:themeColor="text1"/>
              </w:rPr>
              <w:t>Références</w:t>
            </w:r>
            <w:r w:rsidRPr="0027097B">
              <w:rPr>
                <w:color w:val="000000" w:themeColor="text1"/>
              </w:rPr>
              <w:t> :</w:t>
            </w:r>
          </w:p>
        </w:tc>
        <w:tc>
          <w:tcPr>
            <w:tcW w:w="3969" w:type="dxa"/>
          </w:tcPr>
          <w:p w14:paraId="309D6788" w14:textId="77777777" w:rsidR="00D86915" w:rsidRPr="0027097B" w:rsidRDefault="00D86915" w:rsidP="001547B7">
            <w:pPr>
              <w:spacing w:after="120"/>
              <w:rPr>
                <w:color w:val="000000" w:themeColor="text1"/>
              </w:rPr>
            </w:pPr>
            <w:r w:rsidRPr="0027097B">
              <w:rPr>
                <w:color w:val="000000" w:themeColor="text1"/>
              </w:rPr>
              <w:t>Décision prise en application de l</w:t>
            </w:r>
            <w:r>
              <w:rPr>
                <w:color w:val="000000" w:themeColor="text1"/>
              </w:rPr>
              <w:t>’</w:t>
            </w:r>
            <w:r w:rsidR="00834957">
              <w:rPr>
                <w:color w:val="000000" w:themeColor="text1"/>
              </w:rPr>
              <w:t>article </w:t>
            </w:r>
            <w:r w:rsidRPr="0027097B">
              <w:rPr>
                <w:color w:val="000000" w:themeColor="text1"/>
              </w:rPr>
              <w:t>9</w:t>
            </w:r>
            <w:r>
              <w:rPr>
                <w:color w:val="000000" w:themeColor="text1"/>
              </w:rPr>
              <w:t>2</w:t>
            </w:r>
            <w:r w:rsidRPr="0027097B">
              <w:rPr>
                <w:color w:val="000000" w:themeColor="text1"/>
              </w:rPr>
              <w:t xml:space="preserve"> du règlement intérieur</w:t>
            </w:r>
            <w:r>
              <w:rPr>
                <w:color w:val="000000" w:themeColor="text1"/>
              </w:rPr>
              <w:t xml:space="preserve"> du Comité</w:t>
            </w:r>
            <w:r w:rsidRPr="0027097B">
              <w:rPr>
                <w:color w:val="000000" w:themeColor="text1"/>
              </w:rPr>
              <w:t>, communiquée à l</w:t>
            </w:r>
            <w:r>
              <w:rPr>
                <w:color w:val="000000" w:themeColor="text1"/>
              </w:rPr>
              <w:t>’</w:t>
            </w:r>
            <w:r w:rsidRPr="0027097B">
              <w:rPr>
                <w:color w:val="000000" w:themeColor="text1"/>
              </w:rPr>
              <w:t>État partie le 3 février 2017 (non publiée sous forme de document)</w:t>
            </w:r>
          </w:p>
        </w:tc>
      </w:tr>
      <w:tr w:rsidR="00D86915" w:rsidRPr="0027097B" w14:paraId="0894533D" w14:textId="77777777" w:rsidTr="001547B7">
        <w:tc>
          <w:tcPr>
            <w:tcW w:w="2835" w:type="dxa"/>
          </w:tcPr>
          <w:p w14:paraId="1E91504D" w14:textId="77777777" w:rsidR="00D86915" w:rsidRPr="0027097B" w:rsidRDefault="00D86915" w:rsidP="001547B7">
            <w:pPr>
              <w:spacing w:after="120"/>
              <w:rPr>
                <w:i/>
                <w:color w:val="000000" w:themeColor="text1"/>
              </w:rPr>
            </w:pPr>
            <w:r w:rsidRPr="0027097B">
              <w:rPr>
                <w:i/>
                <w:color w:val="000000" w:themeColor="text1"/>
              </w:rPr>
              <w:t>Date de</w:t>
            </w:r>
            <w:r>
              <w:rPr>
                <w:i/>
                <w:color w:val="000000" w:themeColor="text1"/>
              </w:rPr>
              <w:t xml:space="preserve"> la décision</w:t>
            </w:r>
            <w:r w:rsidRPr="00673767">
              <w:rPr>
                <w:i/>
                <w:color w:val="000000" w:themeColor="text1"/>
              </w:rPr>
              <w:t> </w:t>
            </w:r>
            <w:r w:rsidRPr="0027097B">
              <w:rPr>
                <w:color w:val="000000" w:themeColor="text1"/>
              </w:rPr>
              <w:t>:</w:t>
            </w:r>
          </w:p>
        </w:tc>
        <w:tc>
          <w:tcPr>
            <w:tcW w:w="3969" w:type="dxa"/>
          </w:tcPr>
          <w:p w14:paraId="47C26B1F" w14:textId="77777777" w:rsidR="00D86915" w:rsidRPr="0027097B" w:rsidRDefault="00D86915" w:rsidP="001547B7">
            <w:pPr>
              <w:spacing w:after="120"/>
              <w:rPr>
                <w:color w:val="000000" w:themeColor="text1"/>
              </w:rPr>
            </w:pPr>
            <w:r>
              <w:rPr>
                <w:color w:val="000000" w:themeColor="text1"/>
              </w:rPr>
              <w:t xml:space="preserve">6 novembre </w:t>
            </w:r>
            <w:r w:rsidRPr="0027097B">
              <w:rPr>
                <w:color w:val="000000" w:themeColor="text1"/>
              </w:rPr>
              <w:t>2020</w:t>
            </w:r>
          </w:p>
        </w:tc>
      </w:tr>
      <w:tr w:rsidR="00D86915" w:rsidRPr="0027097B" w14:paraId="53CBF4B5" w14:textId="77777777" w:rsidTr="001547B7">
        <w:tc>
          <w:tcPr>
            <w:tcW w:w="2835" w:type="dxa"/>
          </w:tcPr>
          <w:p w14:paraId="3D4A0FDF" w14:textId="77777777" w:rsidR="00D86915" w:rsidRPr="0027097B" w:rsidRDefault="00D86915" w:rsidP="001547B7">
            <w:pPr>
              <w:spacing w:after="120"/>
              <w:rPr>
                <w:i/>
                <w:color w:val="000000" w:themeColor="text1"/>
              </w:rPr>
            </w:pPr>
            <w:r w:rsidRPr="0027097B">
              <w:rPr>
                <w:i/>
                <w:color w:val="000000" w:themeColor="text1"/>
              </w:rPr>
              <w:t>Objet</w:t>
            </w:r>
            <w:r w:rsidRPr="0027097B">
              <w:rPr>
                <w:color w:val="000000" w:themeColor="text1"/>
              </w:rPr>
              <w:t> :</w:t>
            </w:r>
          </w:p>
        </w:tc>
        <w:tc>
          <w:tcPr>
            <w:tcW w:w="3969" w:type="dxa"/>
          </w:tcPr>
          <w:p w14:paraId="5D4FA724" w14:textId="77777777" w:rsidR="00D86915" w:rsidRPr="0027097B" w:rsidRDefault="00D86915" w:rsidP="001547B7">
            <w:pPr>
              <w:spacing w:after="120"/>
              <w:rPr>
                <w:color w:val="000000" w:themeColor="text1"/>
              </w:rPr>
            </w:pPr>
            <w:r w:rsidRPr="0027097B">
              <w:rPr>
                <w:color w:val="000000" w:themeColor="text1"/>
              </w:rPr>
              <w:t>Expulsion vers l</w:t>
            </w:r>
            <w:r>
              <w:rPr>
                <w:color w:val="000000" w:themeColor="text1"/>
              </w:rPr>
              <w:t>’</w:t>
            </w:r>
            <w:r w:rsidRPr="0027097B">
              <w:rPr>
                <w:color w:val="000000" w:themeColor="text1"/>
              </w:rPr>
              <w:t>Afghanistan</w:t>
            </w:r>
          </w:p>
        </w:tc>
      </w:tr>
      <w:tr w:rsidR="00D86915" w:rsidRPr="0027097B" w14:paraId="73868263" w14:textId="77777777" w:rsidTr="001547B7">
        <w:tc>
          <w:tcPr>
            <w:tcW w:w="2835" w:type="dxa"/>
          </w:tcPr>
          <w:p w14:paraId="52779B6B" w14:textId="77777777" w:rsidR="00D86915" w:rsidRPr="0027097B" w:rsidRDefault="00D86915" w:rsidP="001547B7">
            <w:pPr>
              <w:spacing w:after="120"/>
              <w:rPr>
                <w:i/>
                <w:color w:val="000000" w:themeColor="text1"/>
              </w:rPr>
            </w:pPr>
            <w:r w:rsidRPr="0027097B">
              <w:rPr>
                <w:i/>
                <w:color w:val="000000" w:themeColor="text1"/>
              </w:rPr>
              <w:t>Question(s) de procédure</w:t>
            </w:r>
            <w:r w:rsidRPr="0027097B">
              <w:rPr>
                <w:color w:val="000000" w:themeColor="text1"/>
              </w:rPr>
              <w:t> :</w:t>
            </w:r>
          </w:p>
        </w:tc>
        <w:tc>
          <w:tcPr>
            <w:tcW w:w="3969" w:type="dxa"/>
          </w:tcPr>
          <w:p w14:paraId="519245A4" w14:textId="77777777" w:rsidR="00D86915" w:rsidRPr="0027097B" w:rsidRDefault="00D86915" w:rsidP="001547B7">
            <w:pPr>
              <w:spacing w:after="120"/>
              <w:rPr>
                <w:color w:val="000000" w:themeColor="text1"/>
              </w:rPr>
            </w:pPr>
            <w:r w:rsidRPr="0027097B">
              <w:rPr>
                <w:iCs/>
                <w:color w:val="000000" w:themeColor="text1"/>
              </w:rPr>
              <w:t>Fondement des griefs</w:t>
            </w:r>
          </w:p>
        </w:tc>
      </w:tr>
      <w:tr w:rsidR="00D86915" w:rsidRPr="0027097B" w14:paraId="0F91C650" w14:textId="77777777" w:rsidTr="001547B7">
        <w:tc>
          <w:tcPr>
            <w:tcW w:w="2835" w:type="dxa"/>
          </w:tcPr>
          <w:p w14:paraId="0A44F9B1" w14:textId="77777777" w:rsidR="00D86915" w:rsidRPr="0027097B" w:rsidRDefault="00D86915" w:rsidP="001547B7">
            <w:pPr>
              <w:spacing w:after="120"/>
              <w:rPr>
                <w:i/>
                <w:color w:val="000000" w:themeColor="text1"/>
              </w:rPr>
            </w:pPr>
            <w:r w:rsidRPr="0027097B">
              <w:rPr>
                <w:i/>
                <w:color w:val="000000" w:themeColor="text1"/>
              </w:rPr>
              <w:t>Question(s) de fond</w:t>
            </w:r>
            <w:r w:rsidRPr="0027097B">
              <w:rPr>
                <w:color w:val="000000" w:themeColor="text1"/>
              </w:rPr>
              <w:t> :</w:t>
            </w:r>
          </w:p>
        </w:tc>
        <w:tc>
          <w:tcPr>
            <w:tcW w:w="3969" w:type="dxa"/>
          </w:tcPr>
          <w:p w14:paraId="132BBA2B" w14:textId="77777777" w:rsidR="00D86915" w:rsidRPr="0027097B" w:rsidRDefault="00D86915" w:rsidP="001547B7">
            <w:pPr>
              <w:spacing w:after="120"/>
              <w:rPr>
                <w:color w:val="000000" w:themeColor="text1"/>
              </w:rPr>
            </w:pPr>
            <w:r w:rsidRPr="0027097B">
              <w:rPr>
                <w:iCs/>
                <w:color w:val="000000" w:themeColor="text1"/>
              </w:rPr>
              <w:t>Non-refoulement</w:t>
            </w:r>
          </w:p>
        </w:tc>
      </w:tr>
      <w:tr w:rsidR="00D86915" w:rsidRPr="0027097B" w14:paraId="2E2FF040" w14:textId="77777777" w:rsidTr="001547B7">
        <w:tc>
          <w:tcPr>
            <w:tcW w:w="2835" w:type="dxa"/>
          </w:tcPr>
          <w:p w14:paraId="66719180" w14:textId="77777777" w:rsidR="00D86915" w:rsidRPr="0027097B" w:rsidRDefault="00D86915" w:rsidP="001547B7">
            <w:pPr>
              <w:spacing w:after="120"/>
              <w:rPr>
                <w:i/>
                <w:color w:val="000000" w:themeColor="text1"/>
              </w:rPr>
            </w:pPr>
            <w:r w:rsidRPr="0027097B">
              <w:rPr>
                <w:i/>
                <w:color w:val="000000" w:themeColor="text1"/>
              </w:rPr>
              <w:t>Article(s) du Pacte</w:t>
            </w:r>
            <w:r w:rsidRPr="0027097B">
              <w:rPr>
                <w:color w:val="000000" w:themeColor="text1"/>
              </w:rPr>
              <w:t> :</w:t>
            </w:r>
          </w:p>
        </w:tc>
        <w:tc>
          <w:tcPr>
            <w:tcW w:w="3969" w:type="dxa"/>
          </w:tcPr>
          <w:p w14:paraId="2DE7BC4F" w14:textId="77777777" w:rsidR="00D86915" w:rsidRPr="0027097B" w:rsidRDefault="00D86915" w:rsidP="001547B7">
            <w:pPr>
              <w:spacing w:after="120"/>
              <w:rPr>
                <w:color w:val="000000" w:themeColor="text1"/>
              </w:rPr>
            </w:pPr>
            <w:r w:rsidRPr="0027097B">
              <w:rPr>
                <w:color w:val="000000" w:themeColor="text1"/>
              </w:rPr>
              <w:t>6 et 7</w:t>
            </w:r>
          </w:p>
        </w:tc>
      </w:tr>
      <w:tr w:rsidR="00D86915" w:rsidRPr="0027097B" w14:paraId="3B43990B" w14:textId="77777777" w:rsidTr="001547B7">
        <w:tc>
          <w:tcPr>
            <w:tcW w:w="2835" w:type="dxa"/>
          </w:tcPr>
          <w:p w14:paraId="0020A105" w14:textId="77777777" w:rsidR="00D86915" w:rsidRPr="0027097B" w:rsidRDefault="00D86915" w:rsidP="001547B7">
            <w:pPr>
              <w:spacing w:after="120"/>
              <w:rPr>
                <w:i/>
                <w:color w:val="000000" w:themeColor="text1"/>
              </w:rPr>
            </w:pPr>
            <w:r w:rsidRPr="0027097B">
              <w:rPr>
                <w:i/>
                <w:color w:val="000000" w:themeColor="text1"/>
              </w:rPr>
              <w:t>Article(s) du Protocole facultatif</w:t>
            </w:r>
            <w:r w:rsidRPr="0027097B">
              <w:rPr>
                <w:color w:val="000000" w:themeColor="text1"/>
              </w:rPr>
              <w:t> :</w:t>
            </w:r>
          </w:p>
        </w:tc>
        <w:tc>
          <w:tcPr>
            <w:tcW w:w="3969" w:type="dxa"/>
          </w:tcPr>
          <w:p w14:paraId="7ECDE127" w14:textId="77777777" w:rsidR="00D86915" w:rsidRPr="0027097B" w:rsidRDefault="00D86915" w:rsidP="001547B7">
            <w:pPr>
              <w:spacing w:after="120"/>
              <w:rPr>
                <w:color w:val="000000" w:themeColor="text1"/>
              </w:rPr>
            </w:pPr>
            <w:r w:rsidRPr="0027097B">
              <w:rPr>
                <w:color w:val="000000" w:themeColor="text1"/>
              </w:rPr>
              <w:t>2</w:t>
            </w:r>
          </w:p>
        </w:tc>
      </w:tr>
    </w:tbl>
    <w:p w14:paraId="2B53173C" w14:textId="77777777" w:rsidR="00D86915" w:rsidRPr="0027097B" w:rsidRDefault="00D86915" w:rsidP="007A1CC0">
      <w:pPr>
        <w:pStyle w:val="SingleTxtG"/>
        <w:keepLines/>
        <w:spacing w:before="120"/>
        <w:rPr>
          <w:color w:val="000000" w:themeColor="text1"/>
        </w:rPr>
      </w:pPr>
      <w:r w:rsidRPr="0027097B">
        <w:rPr>
          <w:color w:val="000000" w:themeColor="text1"/>
          <w:spacing w:val="-1"/>
        </w:rPr>
        <w:t>1.1</w:t>
      </w:r>
      <w:r w:rsidRPr="0027097B">
        <w:rPr>
          <w:color w:val="000000" w:themeColor="text1"/>
          <w:spacing w:val="-1"/>
        </w:rPr>
        <w:tab/>
      </w:r>
      <w:r w:rsidRPr="0027097B">
        <w:rPr>
          <w:color w:val="000000" w:themeColor="text1"/>
        </w:rPr>
        <w:t>L</w:t>
      </w:r>
      <w:r>
        <w:rPr>
          <w:color w:val="000000" w:themeColor="text1"/>
        </w:rPr>
        <w:t>’</w:t>
      </w:r>
      <w:r w:rsidRPr="0027097B">
        <w:rPr>
          <w:color w:val="000000" w:themeColor="text1"/>
        </w:rPr>
        <w:t xml:space="preserve">auteur </w:t>
      </w:r>
      <w:r w:rsidRPr="00E339A6">
        <w:rPr>
          <w:color w:val="000000" w:themeColor="text1"/>
        </w:rPr>
        <w:t>de la communication</w:t>
      </w:r>
      <w:r>
        <w:rPr>
          <w:color w:val="000000" w:themeColor="text1"/>
        </w:rPr>
        <w:t xml:space="preserve"> </w:t>
      </w:r>
      <w:r w:rsidRPr="0027097B">
        <w:rPr>
          <w:color w:val="000000" w:themeColor="text1"/>
        </w:rPr>
        <w:t>est F. M., de nationalité afghane</w:t>
      </w:r>
      <w:r w:rsidRPr="00673767">
        <w:rPr>
          <w:rStyle w:val="Appelnotedebasdep"/>
        </w:rPr>
        <w:footnoteReference w:id="4"/>
      </w:r>
      <w:r w:rsidRPr="0027097B">
        <w:rPr>
          <w:color w:val="000000" w:themeColor="text1"/>
        </w:rPr>
        <w:t>. Le Danemark ayant rejeté sa demande d</w:t>
      </w:r>
      <w:r>
        <w:rPr>
          <w:color w:val="000000" w:themeColor="text1"/>
        </w:rPr>
        <w:t>’</w:t>
      </w:r>
      <w:r w:rsidRPr="0027097B">
        <w:rPr>
          <w:color w:val="000000" w:themeColor="text1"/>
        </w:rPr>
        <w:t>asile, il risque d</w:t>
      </w:r>
      <w:r>
        <w:rPr>
          <w:color w:val="000000" w:themeColor="text1"/>
        </w:rPr>
        <w:t>’</w:t>
      </w:r>
      <w:r w:rsidRPr="0027097B">
        <w:rPr>
          <w:color w:val="000000" w:themeColor="text1"/>
        </w:rPr>
        <w:t>être expulsé vers l</w:t>
      </w:r>
      <w:r>
        <w:rPr>
          <w:color w:val="000000" w:themeColor="text1"/>
        </w:rPr>
        <w:t>’</w:t>
      </w:r>
      <w:r w:rsidRPr="0027097B">
        <w:rPr>
          <w:color w:val="000000" w:themeColor="text1"/>
        </w:rPr>
        <w:t>Afghanistan. Il affirme qu</w:t>
      </w:r>
      <w:r>
        <w:rPr>
          <w:color w:val="000000" w:themeColor="text1"/>
        </w:rPr>
        <w:t>’</w:t>
      </w:r>
      <w:r w:rsidRPr="0027097B">
        <w:rPr>
          <w:color w:val="000000" w:themeColor="text1"/>
        </w:rPr>
        <w:t>en l</w:t>
      </w:r>
      <w:r>
        <w:rPr>
          <w:color w:val="000000" w:themeColor="text1"/>
        </w:rPr>
        <w:t>’</w:t>
      </w:r>
      <w:r w:rsidRPr="0027097B">
        <w:rPr>
          <w:color w:val="000000" w:themeColor="text1"/>
        </w:rPr>
        <w:t xml:space="preserve">expulsant, le Danemark </w:t>
      </w:r>
      <w:r>
        <w:rPr>
          <w:color w:val="000000" w:themeColor="text1"/>
        </w:rPr>
        <w:t xml:space="preserve">violerait les </w:t>
      </w:r>
      <w:r w:rsidRPr="0027097B">
        <w:rPr>
          <w:color w:val="000000" w:themeColor="text1"/>
        </w:rPr>
        <w:t xml:space="preserve">droits </w:t>
      </w:r>
      <w:r>
        <w:rPr>
          <w:color w:val="000000" w:themeColor="text1"/>
        </w:rPr>
        <w:t xml:space="preserve">qu’il tient des </w:t>
      </w:r>
      <w:r w:rsidRPr="0027097B">
        <w:rPr>
          <w:color w:val="000000" w:themeColor="text1"/>
        </w:rPr>
        <w:t>articles</w:t>
      </w:r>
      <w:r>
        <w:rPr>
          <w:color w:val="000000" w:themeColor="text1"/>
        </w:rPr>
        <w:t> </w:t>
      </w:r>
      <w:r w:rsidRPr="0027097B">
        <w:rPr>
          <w:color w:val="000000" w:themeColor="text1"/>
        </w:rPr>
        <w:t>6 et 7 du Pacte. L</w:t>
      </w:r>
      <w:r>
        <w:rPr>
          <w:color w:val="000000" w:themeColor="text1"/>
        </w:rPr>
        <w:t>’</w:t>
      </w:r>
      <w:r w:rsidRPr="0027097B">
        <w:rPr>
          <w:color w:val="000000" w:themeColor="text1"/>
        </w:rPr>
        <w:t>auteur est représenté par un conseil.</w:t>
      </w:r>
    </w:p>
    <w:p w14:paraId="2DAF2347" w14:textId="77777777" w:rsidR="00D86915" w:rsidRPr="0027097B" w:rsidRDefault="00D86915" w:rsidP="00FE226B">
      <w:pPr>
        <w:pStyle w:val="SingleTxtG"/>
        <w:keepLines/>
        <w:rPr>
          <w:color w:val="000000" w:themeColor="text1"/>
        </w:rPr>
      </w:pPr>
      <w:r w:rsidRPr="0027097B">
        <w:rPr>
          <w:color w:val="000000" w:themeColor="text1"/>
        </w:rPr>
        <w:lastRenderedPageBreak/>
        <w:t>1.2</w:t>
      </w:r>
      <w:r w:rsidRPr="0027097B">
        <w:rPr>
          <w:color w:val="000000" w:themeColor="text1"/>
        </w:rPr>
        <w:tab/>
        <w:t>Le 3 février 2017, le Rapporteur spécial chargé des nouvelles communications et des mesures provisoires, agissant au nom du Comité, a demandé à l</w:t>
      </w:r>
      <w:r>
        <w:rPr>
          <w:color w:val="000000" w:themeColor="text1"/>
        </w:rPr>
        <w:t>’</w:t>
      </w:r>
      <w:r w:rsidRPr="0027097B">
        <w:rPr>
          <w:color w:val="000000" w:themeColor="text1"/>
        </w:rPr>
        <w:t xml:space="preserve">État partie de ne pas </w:t>
      </w:r>
      <w:r>
        <w:rPr>
          <w:color w:val="000000" w:themeColor="text1"/>
        </w:rPr>
        <w:t xml:space="preserve">expulser </w:t>
      </w:r>
      <w:r w:rsidRPr="0027097B">
        <w:rPr>
          <w:color w:val="000000" w:themeColor="text1"/>
        </w:rPr>
        <w:t>l</w:t>
      </w:r>
      <w:r>
        <w:rPr>
          <w:color w:val="000000" w:themeColor="text1"/>
        </w:rPr>
        <w:t>’</w:t>
      </w:r>
      <w:r w:rsidRPr="0027097B">
        <w:rPr>
          <w:color w:val="000000" w:themeColor="text1"/>
        </w:rPr>
        <w:t>auteur tant que sa communication serait à l</w:t>
      </w:r>
      <w:r>
        <w:rPr>
          <w:color w:val="000000" w:themeColor="text1"/>
        </w:rPr>
        <w:t>’</w:t>
      </w:r>
      <w:r w:rsidRPr="0027097B">
        <w:rPr>
          <w:color w:val="000000" w:themeColor="text1"/>
        </w:rPr>
        <w:t>examen. Le 6 février 2017, la Commission danoise de recours des réfugiés a suspendu jusqu</w:t>
      </w:r>
      <w:r>
        <w:rPr>
          <w:color w:val="000000" w:themeColor="text1"/>
        </w:rPr>
        <w:t>’</w:t>
      </w:r>
      <w:r w:rsidRPr="0027097B">
        <w:rPr>
          <w:color w:val="000000" w:themeColor="text1"/>
        </w:rPr>
        <w:t>à nouvel ordre le délai fixé pour le départ de l</w:t>
      </w:r>
      <w:r>
        <w:rPr>
          <w:color w:val="000000" w:themeColor="text1"/>
        </w:rPr>
        <w:t>’</w:t>
      </w:r>
      <w:r w:rsidRPr="0027097B">
        <w:rPr>
          <w:color w:val="000000" w:themeColor="text1"/>
        </w:rPr>
        <w:t>auteur du Danemark.</w:t>
      </w:r>
    </w:p>
    <w:p w14:paraId="32E92366" w14:textId="77777777" w:rsidR="00D86915" w:rsidRPr="0027097B" w:rsidRDefault="00D86915" w:rsidP="00FE226B">
      <w:pPr>
        <w:pStyle w:val="H23G"/>
      </w:pPr>
      <w:r w:rsidRPr="0027097B">
        <w:tab/>
      </w:r>
      <w:r w:rsidRPr="0027097B">
        <w:tab/>
        <w:t>Rappel des faits présentés par l</w:t>
      </w:r>
      <w:r>
        <w:t>’</w:t>
      </w:r>
      <w:r w:rsidRPr="0027097B">
        <w:t>auteur</w:t>
      </w:r>
    </w:p>
    <w:p w14:paraId="34FFDA45" w14:textId="77777777" w:rsidR="00D86915" w:rsidRPr="0027097B" w:rsidRDefault="00D86915" w:rsidP="00FE226B">
      <w:pPr>
        <w:pStyle w:val="SingleTxtG"/>
      </w:pPr>
      <w:r w:rsidRPr="0027097B">
        <w:t>2.1</w:t>
      </w:r>
      <w:r w:rsidRPr="0027097B">
        <w:tab/>
        <w:t>La famille de l</w:t>
      </w:r>
      <w:r>
        <w:t>’</w:t>
      </w:r>
      <w:r w:rsidRPr="0027097B">
        <w:t>auteur a fui l</w:t>
      </w:r>
      <w:r>
        <w:t>’</w:t>
      </w:r>
      <w:r w:rsidRPr="0027097B">
        <w:t xml:space="preserve">Afghanistan pour se réfugier en </w:t>
      </w:r>
      <w:r>
        <w:t>République islamique d’</w:t>
      </w:r>
      <w:r w:rsidRPr="0027097B">
        <w:t>Iran en raison d</w:t>
      </w:r>
      <w:r>
        <w:t>’</w:t>
      </w:r>
      <w:r w:rsidRPr="0027097B">
        <w:t xml:space="preserve">un conflit </w:t>
      </w:r>
      <w:r>
        <w:t>dans le cadre duquel le</w:t>
      </w:r>
      <w:r w:rsidRPr="0027097B">
        <w:t xml:space="preserve"> père de l</w:t>
      </w:r>
      <w:r>
        <w:t>’</w:t>
      </w:r>
      <w:r w:rsidRPr="0027097B">
        <w:t>auteur</w:t>
      </w:r>
      <w:r>
        <w:t xml:space="preserve"> a été</w:t>
      </w:r>
      <w:r w:rsidRPr="0027097B">
        <w:t xml:space="preserve"> enlevé, torturé et blessé par balle. L</w:t>
      </w:r>
      <w:r>
        <w:t>’</w:t>
      </w:r>
      <w:r w:rsidRPr="0027097B">
        <w:t xml:space="preserve">auteur est né en </w:t>
      </w:r>
      <w:r>
        <w:t>République islamique d’</w:t>
      </w:r>
      <w:r w:rsidRPr="0027097B">
        <w:t xml:space="preserve">Iran. La famille </w:t>
      </w:r>
      <w:r>
        <w:t xml:space="preserve">a déménagé </w:t>
      </w:r>
      <w:r w:rsidRPr="0027097B">
        <w:t xml:space="preserve">plusieurs fois </w:t>
      </w:r>
      <w:r>
        <w:t xml:space="preserve">puis </w:t>
      </w:r>
      <w:r w:rsidRPr="0027097B">
        <w:t>a fini par fuir le pays, le père de l</w:t>
      </w:r>
      <w:r>
        <w:t>’</w:t>
      </w:r>
      <w:r w:rsidRPr="0027097B">
        <w:t>auteur craignant d</w:t>
      </w:r>
      <w:r>
        <w:t>’</w:t>
      </w:r>
      <w:r w:rsidRPr="0027097B">
        <w:t xml:space="preserve">être retrouvé </w:t>
      </w:r>
      <w:r>
        <w:t xml:space="preserve">et maltraité </w:t>
      </w:r>
      <w:r w:rsidRPr="0027097B">
        <w:t xml:space="preserve">par </w:t>
      </w:r>
      <w:r>
        <w:t xml:space="preserve">ceux </w:t>
      </w:r>
      <w:r w:rsidRPr="0027097B">
        <w:t>qui l</w:t>
      </w:r>
      <w:r>
        <w:t>’</w:t>
      </w:r>
      <w:r w:rsidRPr="0027097B">
        <w:t xml:space="preserve">avaient </w:t>
      </w:r>
      <w:r>
        <w:t>déjà agressé</w:t>
      </w:r>
      <w:r w:rsidRPr="0027097B">
        <w:t xml:space="preserve">. </w:t>
      </w:r>
      <w:r>
        <w:t xml:space="preserve">Il n’a guère </w:t>
      </w:r>
      <w:r w:rsidRPr="0027097B">
        <w:t xml:space="preserve">donné de détails </w:t>
      </w:r>
      <w:r>
        <w:t xml:space="preserve">à l’auteur </w:t>
      </w:r>
      <w:r w:rsidRPr="0027097B">
        <w:t xml:space="preserve">sur le conflit auquel il </w:t>
      </w:r>
      <w:r>
        <w:t xml:space="preserve">avait été </w:t>
      </w:r>
      <w:r w:rsidRPr="0027097B">
        <w:t>mêlé en Afghanistan</w:t>
      </w:r>
      <w:r>
        <w:t xml:space="preserve"> et lui </w:t>
      </w:r>
      <w:r w:rsidRPr="0027097B">
        <w:t>a simplement expliqué qu</w:t>
      </w:r>
      <w:r>
        <w:t>’</w:t>
      </w:r>
      <w:r w:rsidRPr="0027097B">
        <w:t xml:space="preserve">il </w:t>
      </w:r>
      <w:r>
        <w:t xml:space="preserve">avait peur </w:t>
      </w:r>
      <w:r w:rsidRPr="0027097B">
        <w:t xml:space="preserve">de retourner </w:t>
      </w:r>
      <w:r>
        <w:t xml:space="preserve">dans ce pays </w:t>
      </w:r>
      <w:r w:rsidRPr="0027097B">
        <w:t xml:space="preserve">et que des individus étaient venus au domicile de la famille en </w:t>
      </w:r>
      <w:r>
        <w:t xml:space="preserve">République islamique d’Iran </w:t>
      </w:r>
      <w:r w:rsidRPr="0027097B">
        <w:t>pour tenter de le retrouver.</w:t>
      </w:r>
    </w:p>
    <w:p w14:paraId="56655737" w14:textId="77777777" w:rsidR="00D86915" w:rsidRPr="0027097B" w:rsidRDefault="00D86915" w:rsidP="00D62DF7">
      <w:pPr>
        <w:pStyle w:val="SingleTxtG"/>
      </w:pPr>
      <w:r w:rsidRPr="0027097B">
        <w:t>2.2</w:t>
      </w:r>
      <w:r w:rsidRPr="0027097B">
        <w:tab/>
        <w:t>L</w:t>
      </w:r>
      <w:r>
        <w:t>’</w:t>
      </w:r>
      <w:r w:rsidRPr="0027097B">
        <w:t xml:space="preserve">auteur ne sait pas exactement quand il a quitté </w:t>
      </w:r>
      <w:r>
        <w:t>la République islamique d’Iran</w:t>
      </w:r>
      <w:r w:rsidRPr="0027097B">
        <w:t xml:space="preserve"> avec sa famille</w:t>
      </w:r>
      <w:r>
        <w:t xml:space="preserve">. Ils ont </w:t>
      </w:r>
      <w:r w:rsidRPr="0027097B">
        <w:t xml:space="preserve">ensuite résidé en Turquie pendant environ </w:t>
      </w:r>
      <w:r w:rsidR="00381D46">
        <w:t xml:space="preserve">onze </w:t>
      </w:r>
      <w:r w:rsidRPr="0027097B">
        <w:t>mois. L</w:t>
      </w:r>
      <w:r>
        <w:t>’</w:t>
      </w:r>
      <w:r w:rsidRPr="0027097B">
        <w:t>auteur et son frère cadet ont perdu contact avec le reste de la famille lorsque, par manque de place, ils ont dû embarquer sur un autre bateau pour se rendre en Grèce. Ils ont été arrêtés au Danemark, où le frère cadet de l</w:t>
      </w:r>
      <w:r>
        <w:t>’</w:t>
      </w:r>
      <w:r w:rsidRPr="0027097B">
        <w:t>auteur, qui était mineur, s</w:t>
      </w:r>
      <w:r>
        <w:t>’</w:t>
      </w:r>
      <w:r w:rsidRPr="0027097B">
        <w:t>est vu accorder l</w:t>
      </w:r>
      <w:r>
        <w:t>’</w:t>
      </w:r>
      <w:r w:rsidRPr="0027097B">
        <w:t>asile.</w:t>
      </w:r>
    </w:p>
    <w:p w14:paraId="08CFC422" w14:textId="77777777" w:rsidR="00D86915" w:rsidRPr="0027097B" w:rsidRDefault="00D86915" w:rsidP="00D62DF7">
      <w:pPr>
        <w:pStyle w:val="SingleTxtG"/>
      </w:pPr>
      <w:r w:rsidRPr="0027097B">
        <w:t>2.3</w:t>
      </w:r>
      <w:r w:rsidRPr="0027097B">
        <w:tab/>
        <w:t>L</w:t>
      </w:r>
      <w:r>
        <w:t>’</w:t>
      </w:r>
      <w:r w:rsidRPr="0027097B">
        <w:t>auteur avait en Afghanistan un grand-père à qui il téléphonait une fois par an</w:t>
      </w:r>
      <w:r>
        <w:t xml:space="preserve">. L’auteur </w:t>
      </w:r>
      <w:r w:rsidRPr="0027097B">
        <w:t xml:space="preserve">ne sait </w:t>
      </w:r>
      <w:r>
        <w:t xml:space="preserve">plus </w:t>
      </w:r>
      <w:r w:rsidRPr="0027097B">
        <w:t>exactement où vit celui-ci ni même s</w:t>
      </w:r>
      <w:r>
        <w:t>’</w:t>
      </w:r>
      <w:r w:rsidRPr="0027097B">
        <w:t>il est encore en vie. Il a</w:t>
      </w:r>
      <w:r>
        <w:t>vait</w:t>
      </w:r>
      <w:r w:rsidRPr="0027097B">
        <w:t xml:space="preserve"> une grand</w:t>
      </w:r>
      <w:r w:rsidR="00381D46">
        <w:noBreakHyphen/>
      </w:r>
      <w:r w:rsidRPr="0027097B">
        <w:t xml:space="preserve">mère en </w:t>
      </w:r>
      <w:r>
        <w:t>République islamique d’Iran</w:t>
      </w:r>
      <w:r w:rsidRPr="0027097B">
        <w:t xml:space="preserve">, mais lorsque </w:t>
      </w:r>
      <w:r>
        <w:t>s</w:t>
      </w:r>
      <w:r w:rsidRPr="0027097B">
        <w:t xml:space="preserve">a famille </w:t>
      </w:r>
      <w:r>
        <w:t xml:space="preserve">et lui ont </w:t>
      </w:r>
      <w:r w:rsidRPr="0027097B">
        <w:t xml:space="preserve">quitté le pays, </w:t>
      </w:r>
      <w:r>
        <w:t>elle</w:t>
      </w:r>
      <w:r w:rsidRPr="0027097B">
        <w:t xml:space="preserve"> a dit qu</w:t>
      </w:r>
      <w:r>
        <w:t>’</w:t>
      </w:r>
      <w:r w:rsidRPr="0027097B">
        <w:t xml:space="preserve">elle </w:t>
      </w:r>
      <w:r>
        <w:t xml:space="preserve">rentrerait </w:t>
      </w:r>
      <w:r w:rsidRPr="0027097B">
        <w:t xml:space="preserve">peut-être en Afghanistan. </w:t>
      </w:r>
      <w:r>
        <w:t xml:space="preserve">L’auteur </w:t>
      </w:r>
      <w:r w:rsidRPr="0027097B">
        <w:t>n</w:t>
      </w:r>
      <w:r>
        <w:t>’</w:t>
      </w:r>
      <w:r w:rsidRPr="0027097B">
        <w:t xml:space="preserve">a aucun contact avec </w:t>
      </w:r>
      <w:r>
        <w:t>elle</w:t>
      </w:r>
      <w:r w:rsidRPr="0027097B">
        <w:t xml:space="preserve"> et ne sait pas où elle se trouve. Il n</w:t>
      </w:r>
      <w:r>
        <w:t>’</w:t>
      </w:r>
      <w:r w:rsidRPr="0027097B">
        <w:t>a pas d</w:t>
      </w:r>
      <w:r>
        <w:t>’</w:t>
      </w:r>
      <w:r w:rsidRPr="0027097B">
        <w:t>autre</w:t>
      </w:r>
      <w:r>
        <w:t>s</w:t>
      </w:r>
      <w:r w:rsidRPr="0027097B">
        <w:t xml:space="preserve"> parent</w:t>
      </w:r>
      <w:r>
        <w:t>s</w:t>
      </w:r>
      <w:r w:rsidRPr="0027097B">
        <w:t xml:space="preserve"> </w:t>
      </w:r>
      <w:r>
        <w:t xml:space="preserve">et ne connaît personne </w:t>
      </w:r>
      <w:r w:rsidRPr="0027097B">
        <w:t>en Afghanistan. Il n</w:t>
      </w:r>
      <w:r>
        <w:t xml:space="preserve">’y </w:t>
      </w:r>
      <w:r w:rsidRPr="0027097B">
        <w:t xml:space="preserve">est jamais allé et </w:t>
      </w:r>
      <w:r>
        <w:t xml:space="preserve">en </w:t>
      </w:r>
      <w:r w:rsidRPr="0027097B">
        <w:t xml:space="preserve">connaît </w:t>
      </w:r>
      <w:r>
        <w:t xml:space="preserve">mal </w:t>
      </w:r>
      <w:r w:rsidRPr="0027097B">
        <w:t xml:space="preserve">la langue et les traditions. Il ne fait pas la différence, par exemple, entre coutumes iraniennes et </w:t>
      </w:r>
      <w:r>
        <w:t xml:space="preserve">coutumes </w:t>
      </w:r>
      <w:r w:rsidRPr="0027097B">
        <w:t>afghanes.</w:t>
      </w:r>
    </w:p>
    <w:p w14:paraId="25A3F617" w14:textId="77777777" w:rsidR="00D86915" w:rsidRPr="0027097B" w:rsidRDefault="00D86915" w:rsidP="00D62DF7">
      <w:pPr>
        <w:pStyle w:val="SingleTxtG"/>
      </w:pPr>
      <w:r w:rsidRPr="0027097B">
        <w:t>2.4</w:t>
      </w:r>
      <w:r w:rsidRPr="0027097B">
        <w:tab/>
        <w:t>Le 17 juillet 2016, la demande d</w:t>
      </w:r>
      <w:r>
        <w:t>’</w:t>
      </w:r>
      <w:r w:rsidRPr="0027097B">
        <w:t>asile présentée par l</w:t>
      </w:r>
      <w:r>
        <w:t>’</w:t>
      </w:r>
      <w:r w:rsidRPr="0027097B">
        <w:t>auteur a été rejetée par le Service danois de l</w:t>
      </w:r>
      <w:r>
        <w:t>’</w:t>
      </w:r>
      <w:r w:rsidRPr="0027097B">
        <w:t>immigration. Le 5 janvier 2017, la Commission de recours des réfugiés a confirmé cette décision et l</w:t>
      </w:r>
      <w:r>
        <w:t>’</w:t>
      </w:r>
      <w:r w:rsidRPr="0027097B">
        <w:t xml:space="preserve">auteur a été placé en détention </w:t>
      </w:r>
      <w:r>
        <w:t>en attendant d’être expulsé</w:t>
      </w:r>
      <w:r w:rsidRPr="0027097B">
        <w:t>.</w:t>
      </w:r>
    </w:p>
    <w:p w14:paraId="1E248A81" w14:textId="77777777" w:rsidR="00D86915" w:rsidRPr="0027097B" w:rsidRDefault="00D86915" w:rsidP="00D62DF7">
      <w:pPr>
        <w:pStyle w:val="SingleTxtG"/>
      </w:pPr>
      <w:r w:rsidRPr="0027097B">
        <w:t>2.5</w:t>
      </w:r>
      <w:r w:rsidRPr="0027097B">
        <w:tab/>
        <w:t>Entre-temps, le 31 décembre 2016, l</w:t>
      </w:r>
      <w:r>
        <w:t>’</w:t>
      </w:r>
      <w:r w:rsidRPr="0027097B">
        <w:t>auteur s</w:t>
      </w:r>
      <w:r>
        <w:t>’</w:t>
      </w:r>
      <w:r w:rsidRPr="0027097B">
        <w:t>est fait tatouer une croix et une rose sur le bras. Il a expliqué qu</w:t>
      </w:r>
      <w:r>
        <w:t>’</w:t>
      </w:r>
      <w:r w:rsidRPr="0027097B">
        <w:t>il savait que la croix était un symbole chrétien, qu</w:t>
      </w:r>
      <w:r>
        <w:t>’</w:t>
      </w:r>
      <w:r w:rsidRPr="0027097B">
        <w:t xml:space="preserve">il </w:t>
      </w:r>
      <w:r>
        <w:t xml:space="preserve">était attiré par </w:t>
      </w:r>
      <w:r w:rsidRPr="0027097B">
        <w:t>la religion chrétienne, dont il savait qu</w:t>
      </w:r>
      <w:r>
        <w:t>’</w:t>
      </w:r>
      <w:r w:rsidRPr="0027097B">
        <w:t>elle prêchait l</w:t>
      </w:r>
      <w:r>
        <w:t>’</w:t>
      </w:r>
      <w:r w:rsidRPr="0027097B">
        <w:t>amour, mais qu</w:t>
      </w:r>
      <w:r>
        <w:t>’</w:t>
      </w:r>
      <w:r w:rsidRPr="0027097B">
        <w:t>il n</w:t>
      </w:r>
      <w:r>
        <w:t>’</w:t>
      </w:r>
      <w:r w:rsidRPr="0027097B">
        <w:t>en savait pas plus sur le christianisme et ne s</w:t>
      </w:r>
      <w:r>
        <w:t>’</w:t>
      </w:r>
      <w:r w:rsidRPr="0027097B">
        <w:t>était pas converti. Lorsqu</w:t>
      </w:r>
      <w:r>
        <w:t>’</w:t>
      </w:r>
      <w:r w:rsidRPr="0027097B">
        <w:t>on lui a demandé s</w:t>
      </w:r>
      <w:r>
        <w:t>’</w:t>
      </w:r>
      <w:r w:rsidRPr="0027097B">
        <w:t>il était conscient qu</w:t>
      </w:r>
      <w:r>
        <w:t>’</w:t>
      </w:r>
      <w:r w:rsidRPr="0027097B">
        <w:t>il était risqué d</w:t>
      </w:r>
      <w:r>
        <w:t>’</w:t>
      </w:r>
      <w:r w:rsidRPr="0027097B">
        <w:t>avoir une croix tatouée sur le bras en Afghanistan, il a expliqué qu</w:t>
      </w:r>
      <w:r>
        <w:t>’</w:t>
      </w:r>
      <w:r w:rsidRPr="0027097B">
        <w:t>il ne comprenait pas ce qu</w:t>
      </w:r>
      <w:r>
        <w:t>’</w:t>
      </w:r>
      <w:r w:rsidRPr="0027097B">
        <w:t>impliquait le fait d</w:t>
      </w:r>
      <w:r>
        <w:t>’</w:t>
      </w:r>
      <w:r w:rsidRPr="0027097B">
        <w:t>aller en Afghanistan, puisqu</w:t>
      </w:r>
      <w:r>
        <w:t>’</w:t>
      </w:r>
      <w:r w:rsidRPr="0027097B">
        <w:t>il n</w:t>
      </w:r>
      <w:r>
        <w:t>’</w:t>
      </w:r>
      <w:r w:rsidRPr="0027097B">
        <w:t>y était jamais allé, et qu</w:t>
      </w:r>
      <w:r>
        <w:t>’</w:t>
      </w:r>
      <w:r w:rsidRPr="0027097B">
        <w:t>il n</w:t>
      </w:r>
      <w:r>
        <w:t>’</w:t>
      </w:r>
      <w:r w:rsidRPr="0027097B">
        <w:t>avait donc pas tenu compte des risques. Lorsqu</w:t>
      </w:r>
      <w:r>
        <w:t>’</w:t>
      </w:r>
      <w:r w:rsidRPr="0027097B">
        <w:t>on lui a demandé s</w:t>
      </w:r>
      <w:r>
        <w:t>’</w:t>
      </w:r>
      <w:r w:rsidRPr="0027097B">
        <w:t xml:space="preserve">il </w:t>
      </w:r>
      <w:r>
        <w:t xml:space="preserve">se </w:t>
      </w:r>
      <w:r w:rsidRPr="0027097B">
        <w:t xml:space="preserve">ferait </w:t>
      </w:r>
      <w:r>
        <w:t xml:space="preserve">enlever </w:t>
      </w:r>
      <w:r w:rsidRPr="0027097B">
        <w:t xml:space="preserve">son tatouage </w:t>
      </w:r>
      <w:r>
        <w:t xml:space="preserve">s’il était expulsé </w:t>
      </w:r>
      <w:r w:rsidRPr="0027097B">
        <w:t>vers l</w:t>
      </w:r>
      <w:r>
        <w:t>’</w:t>
      </w:r>
      <w:r w:rsidRPr="0027097B">
        <w:t xml:space="preserve">Afghanistan, il a </w:t>
      </w:r>
      <w:r>
        <w:t xml:space="preserve">répondu </w:t>
      </w:r>
      <w:r w:rsidRPr="0027097B">
        <w:t>qu</w:t>
      </w:r>
      <w:r>
        <w:t>’</w:t>
      </w:r>
      <w:r w:rsidRPr="0027097B">
        <w:t xml:space="preserve">il ne pouvait pas </w:t>
      </w:r>
      <w:r>
        <w:t xml:space="preserve">et ne voulait pas enlever </w:t>
      </w:r>
      <w:r w:rsidRPr="0027097B">
        <w:t>ce qu</w:t>
      </w:r>
      <w:r>
        <w:t>’</w:t>
      </w:r>
      <w:r w:rsidRPr="0027097B">
        <w:t>il avait dans le cœur. Il a également expliqué qu</w:t>
      </w:r>
      <w:r>
        <w:t>’</w:t>
      </w:r>
      <w:r w:rsidRPr="0027097B">
        <w:t xml:space="preserve">en </w:t>
      </w:r>
      <w:r>
        <w:t>République islamique d’Iran</w:t>
      </w:r>
      <w:r w:rsidRPr="0027097B">
        <w:t>, il portait au cou, comme talisman, une croix qu</w:t>
      </w:r>
      <w:r>
        <w:t>’</w:t>
      </w:r>
      <w:r w:rsidRPr="0027097B">
        <w:t>il dissimulait aux yeux de tous à l</w:t>
      </w:r>
      <w:r>
        <w:t>’</w:t>
      </w:r>
      <w:r w:rsidRPr="0027097B">
        <w:t>exception de ses amis les plus proches. Il n</w:t>
      </w:r>
      <w:r>
        <w:t>’</w:t>
      </w:r>
      <w:r w:rsidRPr="0027097B">
        <w:t>avait pas informé plus tôt les autorités de l</w:t>
      </w:r>
      <w:r>
        <w:t>’</w:t>
      </w:r>
      <w:r w:rsidRPr="0027097B">
        <w:t>État partie de l</w:t>
      </w:r>
      <w:r>
        <w:t>’</w:t>
      </w:r>
      <w:r w:rsidRPr="0027097B">
        <w:t xml:space="preserve">existence de cette croix </w:t>
      </w:r>
      <w:r>
        <w:t xml:space="preserve">ou de ce </w:t>
      </w:r>
      <w:r w:rsidRPr="0027097B">
        <w:t xml:space="preserve">tatouage </w:t>
      </w:r>
      <w:r>
        <w:t xml:space="preserve">parce qu’il estimait qu’ils </w:t>
      </w:r>
      <w:r w:rsidRPr="0027097B">
        <w:t>étaient sans rapport avec sa demande d</w:t>
      </w:r>
      <w:r>
        <w:t>’</w:t>
      </w:r>
      <w:r w:rsidRPr="0027097B">
        <w:t>asile.</w:t>
      </w:r>
    </w:p>
    <w:p w14:paraId="7AE2288A" w14:textId="77777777" w:rsidR="00D86915" w:rsidRPr="0027097B" w:rsidRDefault="00D86915" w:rsidP="00D62DF7">
      <w:pPr>
        <w:pStyle w:val="SingleTxtG"/>
      </w:pPr>
      <w:r w:rsidRPr="0027097B">
        <w:t>2.6</w:t>
      </w:r>
      <w:r w:rsidRPr="0027097B">
        <w:tab/>
        <w:t>Sur la base de ces nouveaux éléments, l</w:t>
      </w:r>
      <w:r>
        <w:t>’</w:t>
      </w:r>
      <w:r w:rsidRPr="0027097B">
        <w:t>auteur a demandé la réouverture de son dossier d</w:t>
      </w:r>
      <w:r>
        <w:t>’</w:t>
      </w:r>
      <w:r w:rsidRPr="0027097B">
        <w:t xml:space="preserve">asile le 13 janvier 2017. Quatre jours plus tard, la Commission de recours des réfugiés a fait savoir </w:t>
      </w:r>
      <w:r>
        <w:t xml:space="preserve">à l’auteur </w:t>
      </w:r>
      <w:r w:rsidRPr="0027097B">
        <w:t xml:space="preserve">que </w:t>
      </w:r>
      <w:r>
        <w:t>s</w:t>
      </w:r>
      <w:r w:rsidRPr="0027097B">
        <w:t xml:space="preserve">a demande serait </w:t>
      </w:r>
      <w:r>
        <w:t xml:space="preserve">instruite </w:t>
      </w:r>
      <w:r w:rsidRPr="0027097B">
        <w:t xml:space="preserve">dans un délai </w:t>
      </w:r>
      <w:r w:rsidR="00D62DF7">
        <w:t xml:space="preserve">de dix à douze </w:t>
      </w:r>
      <w:r w:rsidRPr="0027097B">
        <w:t>mois et que la procédure n</w:t>
      </w:r>
      <w:r>
        <w:t>’</w:t>
      </w:r>
      <w:r w:rsidRPr="0027097B">
        <w:t>a</w:t>
      </w:r>
      <w:r>
        <w:t>v</w:t>
      </w:r>
      <w:r w:rsidRPr="0027097B">
        <w:t>ait pas d</w:t>
      </w:r>
      <w:r>
        <w:t>’</w:t>
      </w:r>
      <w:r w:rsidRPr="0027097B">
        <w:t>effet suspensif.</w:t>
      </w:r>
    </w:p>
    <w:p w14:paraId="513A2061" w14:textId="77777777" w:rsidR="00D86915" w:rsidRPr="0027097B" w:rsidRDefault="00D86915" w:rsidP="00D62DF7">
      <w:pPr>
        <w:pStyle w:val="SingleTxtG"/>
      </w:pPr>
      <w:r w:rsidRPr="0027097B">
        <w:t>2.7</w:t>
      </w:r>
      <w:r w:rsidRPr="0027097B">
        <w:tab/>
        <w:t>L</w:t>
      </w:r>
      <w:r>
        <w:t>’</w:t>
      </w:r>
      <w:r w:rsidRPr="0027097B">
        <w:t>auteur soutient qu</w:t>
      </w:r>
      <w:r>
        <w:t>’étant donné qu</w:t>
      </w:r>
      <w:r w:rsidRPr="0027097B">
        <w:t xml:space="preserve">e les décisions de la Commission de recours des réfugiés ne peuvent pas être contestées devant les tribunaux et que, </w:t>
      </w:r>
      <w:r>
        <w:t xml:space="preserve">de surcroît, </w:t>
      </w:r>
      <w:r w:rsidRPr="0027097B">
        <w:t xml:space="preserve">sa demande de réouverture </w:t>
      </w:r>
      <w:r>
        <w:t xml:space="preserve">de son dossier d’asile </w:t>
      </w:r>
      <w:r w:rsidRPr="0027097B">
        <w:t>n</w:t>
      </w:r>
      <w:r>
        <w:t>’</w:t>
      </w:r>
      <w:r w:rsidRPr="0027097B">
        <w:t>a pas d</w:t>
      </w:r>
      <w:r>
        <w:t>’</w:t>
      </w:r>
      <w:r w:rsidRPr="0027097B">
        <w:t>effet suspensif, il a épuisé tou</w:t>
      </w:r>
      <w:r>
        <w:t>s</w:t>
      </w:r>
      <w:r w:rsidRPr="0027097B">
        <w:t xml:space="preserve"> les recours internes </w:t>
      </w:r>
      <w:r>
        <w:t>disponibles</w:t>
      </w:r>
      <w:r w:rsidRPr="00673767">
        <w:rPr>
          <w:rStyle w:val="Appelnotedebasdep"/>
        </w:rPr>
        <w:footnoteReference w:id="5"/>
      </w:r>
      <w:r w:rsidRPr="0027097B">
        <w:t>.</w:t>
      </w:r>
    </w:p>
    <w:p w14:paraId="3DF918F5" w14:textId="77777777" w:rsidR="00D86915" w:rsidRPr="0027097B" w:rsidRDefault="00D86915" w:rsidP="00440941">
      <w:pPr>
        <w:pStyle w:val="H23G"/>
      </w:pPr>
      <w:r w:rsidRPr="0027097B">
        <w:lastRenderedPageBreak/>
        <w:tab/>
      </w:r>
      <w:r w:rsidRPr="0027097B">
        <w:tab/>
      </w:r>
      <w:r w:rsidRPr="00D22127">
        <w:t>Teneur de la plainte</w:t>
      </w:r>
    </w:p>
    <w:p w14:paraId="183F422D" w14:textId="20C53E57" w:rsidR="00D86915" w:rsidRPr="0027097B" w:rsidRDefault="00D86915" w:rsidP="00440941">
      <w:pPr>
        <w:pStyle w:val="SingleTxtG"/>
      </w:pPr>
      <w:r w:rsidRPr="0027097B">
        <w:t>3.</w:t>
      </w:r>
      <w:r w:rsidRPr="0027097B">
        <w:tab/>
        <w:t>L</w:t>
      </w:r>
      <w:r>
        <w:t>’</w:t>
      </w:r>
      <w:r w:rsidRPr="0027097B">
        <w:t xml:space="preserve">auteur affirme que son </w:t>
      </w:r>
      <w:r>
        <w:t>expulsion vers</w:t>
      </w:r>
      <w:r w:rsidRPr="0027097B">
        <w:t xml:space="preserve"> </w:t>
      </w:r>
      <w:r>
        <w:t>l’</w:t>
      </w:r>
      <w:r w:rsidRPr="0027097B">
        <w:t>Afghanistan l</w:t>
      </w:r>
      <w:r>
        <w:t>’</w:t>
      </w:r>
      <w:r w:rsidRPr="0027097B">
        <w:t xml:space="preserve">exposerait à un risque réel de subir </w:t>
      </w:r>
      <w:r>
        <w:t>un</w:t>
      </w:r>
      <w:r w:rsidRPr="0027097B">
        <w:t xml:space="preserve"> traitement contraire aux articles</w:t>
      </w:r>
      <w:r w:rsidR="00440941">
        <w:t> </w:t>
      </w:r>
      <w:r w:rsidRPr="0027097B">
        <w:t>6</w:t>
      </w:r>
      <w:r w:rsidRPr="00673767">
        <w:rPr>
          <w:rStyle w:val="Appelnotedebasdep"/>
        </w:rPr>
        <w:footnoteReference w:id="6"/>
      </w:r>
      <w:r w:rsidRPr="0027097B">
        <w:t xml:space="preserve"> et 7 du Pacte parce qu</w:t>
      </w:r>
      <w:r>
        <w:t>’</w:t>
      </w:r>
      <w:r w:rsidRPr="0027097B">
        <w:t>il n</w:t>
      </w:r>
      <w:r>
        <w:t>’</w:t>
      </w:r>
      <w:r w:rsidRPr="0027097B">
        <w:t>est pas né en Afghanistan et n</w:t>
      </w:r>
      <w:r>
        <w:t>’</w:t>
      </w:r>
      <w:r w:rsidRPr="0027097B">
        <w:t>y est jamais allé, parce qu</w:t>
      </w:r>
      <w:r>
        <w:t>’</w:t>
      </w:r>
      <w:r w:rsidRPr="0027097B">
        <w:t xml:space="preserve">il est jeune, ne connaît pas bien la langue et les traditions </w:t>
      </w:r>
      <w:r>
        <w:t>de ce pays</w:t>
      </w:r>
      <w:r w:rsidRPr="0027097B">
        <w:t xml:space="preserve"> et n</w:t>
      </w:r>
      <w:r>
        <w:t xml:space="preserve">’y </w:t>
      </w:r>
      <w:r w:rsidRPr="0027097B">
        <w:t>a ni famille ni réseau, parce que son plus jeune frère réside légalement au Danemark</w:t>
      </w:r>
      <w:r>
        <w:t xml:space="preserve"> (du fait qu’il y est arrivé mineur)</w:t>
      </w:r>
      <w:r w:rsidRPr="0027097B">
        <w:t xml:space="preserve"> et parce qu</w:t>
      </w:r>
      <w:r>
        <w:t>’</w:t>
      </w:r>
      <w:r w:rsidRPr="0027097B">
        <w:t>il n</w:t>
      </w:r>
      <w:r>
        <w:t>’</w:t>
      </w:r>
      <w:r w:rsidRPr="0027097B">
        <w:t>est pas un musulman</w:t>
      </w:r>
      <w:r>
        <w:t xml:space="preserve"> pratiquant</w:t>
      </w:r>
      <w:r w:rsidRPr="0027097B">
        <w:t xml:space="preserve">, </w:t>
      </w:r>
      <w:r>
        <w:t xml:space="preserve">qu’il </w:t>
      </w:r>
      <w:r w:rsidRPr="0027097B">
        <w:t xml:space="preserve">a une croix tatouée sur le bras et </w:t>
      </w:r>
      <w:r>
        <w:t xml:space="preserve">qu’il s’intéresse à </w:t>
      </w:r>
      <w:r w:rsidRPr="0027097B">
        <w:t>la religion chrétienne. Renvoyant aux constatations adoptées par le Comité en l</w:t>
      </w:r>
      <w:r>
        <w:t>’</w:t>
      </w:r>
      <w:r w:rsidRPr="0027097B">
        <w:t xml:space="preserve">affaire </w:t>
      </w:r>
      <w:r w:rsidRPr="0027097B">
        <w:rPr>
          <w:i/>
        </w:rPr>
        <w:t>A. A. S. c.</w:t>
      </w:r>
      <w:r w:rsidR="00440941">
        <w:rPr>
          <w:i/>
        </w:rPr>
        <w:t> </w:t>
      </w:r>
      <w:r w:rsidRPr="0027097B">
        <w:rPr>
          <w:i/>
        </w:rPr>
        <w:t>Danemark</w:t>
      </w:r>
      <w:r w:rsidRPr="0027097B">
        <w:t>,</w:t>
      </w:r>
      <w:r w:rsidRPr="0027097B">
        <w:rPr>
          <w:i/>
        </w:rPr>
        <w:t xml:space="preserve"> </w:t>
      </w:r>
      <w:r w:rsidRPr="0027097B">
        <w:t>il soutient que les autorités de l</w:t>
      </w:r>
      <w:r>
        <w:t>’</w:t>
      </w:r>
      <w:r w:rsidRPr="0027097B">
        <w:t>État partie n</w:t>
      </w:r>
      <w:r>
        <w:t>’</w:t>
      </w:r>
      <w:r w:rsidRPr="0027097B">
        <w:t>ont pas accordé suffisamment de poids à l</w:t>
      </w:r>
      <w:r>
        <w:t>’</w:t>
      </w:r>
      <w:r w:rsidRPr="0027097B">
        <w:t>effet cumul</w:t>
      </w:r>
      <w:r>
        <w:t>atif</w:t>
      </w:r>
      <w:r w:rsidRPr="0027097B">
        <w:t xml:space="preserve"> de ces</w:t>
      </w:r>
      <w:r w:rsidR="00D22127">
        <w:t xml:space="preserve"> </w:t>
      </w:r>
      <w:r w:rsidRPr="0027097B">
        <w:t>circonstances</w:t>
      </w:r>
      <w:r w:rsidRPr="00673767">
        <w:rPr>
          <w:rStyle w:val="Appelnotedebasdep"/>
        </w:rPr>
        <w:footnoteReference w:id="7"/>
      </w:r>
      <w:r w:rsidRPr="0027097B">
        <w:t>.</w:t>
      </w:r>
    </w:p>
    <w:p w14:paraId="4DDA83A6" w14:textId="77777777" w:rsidR="00D86915" w:rsidRPr="0027097B" w:rsidRDefault="00D86915" w:rsidP="00D22127">
      <w:pPr>
        <w:pStyle w:val="H23G"/>
      </w:pPr>
      <w:r w:rsidRPr="0027097B">
        <w:tab/>
      </w:r>
      <w:r w:rsidRPr="0027097B">
        <w:tab/>
        <w:t>Observations de l</w:t>
      </w:r>
      <w:r>
        <w:t>’</w:t>
      </w:r>
      <w:r w:rsidRPr="0027097B">
        <w:t>État partie sur la recevabilité et</w:t>
      </w:r>
      <w:r>
        <w:t xml:space="preserve"> sur</w:t>
      </w:r>
      <w:r w:rsidRPr="0027097B">
        <w:t xml:space="preserve"> le fond</w:t>
      </w:r>
    </w:p>
    <w:p w14:paraId="52F96633" w14:textId="77777777" w:rsidR="00D86915" w:rsidRPr="0027097B" w:rsidRDefault="00D86915" w:rsidP="00440941">
      <w:pPr>
        <w:pStyle w:val="SingleTxtG"/>
      </w:pPr>
      <w:r w:rsidRPr="0027097B">
        <w:t>4.1</w:t>
      </w:r>
      <w:r w:rsidRPr="0027097B">
        <w:tab/>
      </w:r>
      <w:r>
        <w:t xml:space="preserve">Dans </w:t>
      </w:r>
      <w:r w:rsidRPr="0027097B">
        <w:t>une note verbale datée du 1</w:t>
      </w:r>
      <w:r w:rsidRPr="0027097B">
        <w:rPr>
          <w:vertAlign w:val="superscript"/>
        </w:rPr>
        <w:t>er</w:t>
      </w:r>
      <w:r w:rsidRPr="0027097B">
        <w:t> août 2017, l</w:t>
      </w:r>
      <w:r>
        <w:t>’</w:t>
      </w:r>
      <w:r w:rsidRPr="0027097B">
        <w:t>État partie a présenté ses observations sur la recevabilité et</w:t>
      </w:r>
      <w:r>
        <w:t xml:space="preserve"> sur</w:t>
      </w:r>
      <w:r w:rsidRPr="0027097B">
        <w:t xml:space="preserve"> le fond. Il soutient que la communication est irrecevable pour défaut manifeste de fondement et que </w:t>
      </w:r>
      <w:r>
        <w:t xml:space="preserve">l’expulsion de </w:t>
      </w:r>
      <w:r w:rsidRPr="0027097B">
        <w:t>l</w:t>
      </w:r>
      <w:r>
        <w:t>’</w:t>
      </w:r>
      <w:r w:rsidRPr="0027097B">
        <w:t xml:space="preserve">auteur </w:t>
      </w:r>
      <w:r>
        <w:t>vers</w:t>
      </w:r>
      <w:r w:rsidRPr="0027097B">
        <w:t xml:space="preserve"> </w:t>
      </w:r>
      <w:r>
        <w:t>l’</w:t>
      </w:r>
      <w:r w:rsidRPr="0027097B">
        <w:t>Afghanistan ne constituerait pas une violation de l</w:t>
      </w:r>
      <w:r>
        <w:t>’</w:t>
      </w:r>
      <w:r w:rsidR="00834957">
        <w:t>article </w:t>
      </w:r>
      <w:r w:rsidRPr="0027097B">
        <w:t>7 du Pacte.</w:t>
      </w:r>
    </w:p>
    <w:p w14:paraId="44D285C6" w14:textId="514608BB" w:rsidR="00D86915" w:rsidRPr="0027097B" w:rsidRDefault="00D86915" w:rsidP="00440941">
      <w:pPr>
        <w:pStyle w:val="SingleTxtG"/>
      </w:pPr>
      <w:r w:rsidRPr="0027097B">
        <w:t>4.2</w:t>
      </w:r>
      <w:r w:rsidRPr="0027097B">
        <w:tab/>
        <w:t>L</w:t>
      </w:r>
      <w:r>
        <w:t>’</w:t>
      </w:r>
      <w:r w:rsidRPr="0027097B">
        <w:t>auteur est arrivé au Danemark et a demandé l</w:t>
      </w:r>
      <w:r>
        <w:t>’</w:t>
      </w:r>
      <w:r w:rsidRPr="0027097B">
        <w:t>asile le 7 septembre 2015. Le Service danois de l</w:t>
      </w:r>
      <w:r>
        <w:t>’</w:t>
      </w:r>
      <w:r w:rsidRPr="0027097B">
        <w:t>immigration a rejeté sa demande le 17 juillet 2016. Cette décision a été confirmée par la Commission de recours des réfugiés le 5 janvier 2017. La Commission a ajouté foi au récit fait par l</w:t>
      </w:r>
      <w:r>
        <w:t>’</w:t>
      </w:r>
      <w:r w:rsidRPr="0027097B">
        <w:t xml:space="preserve">auteur de ce qui lui </w:t>
      </w:r>
      <w:r>
        <w:t xml:space="preserve">était </w:t>
      </w:r>
      <w:r w:rsidRPr="0027097B">
        <w:t>arrivé</w:t>
      </w:r>
      <w:r>
        <w:t xml:space="preserve"> mais</w:t>
      </w:r>
      <w:r w:rsidRPr="0027097B">
        <w:t xml:space="preserve"> elle a noté </w:t>
      </w:r>
      <w:r>
        <w:t xml:space="preserve">qu’il </w:t>
      </w:r>
      <w:r w:rsidRPr="0027097B">
        <w:t>n</w:t>
      </w:r>
      <w:r>
        <w:t>’</w:t>
      </w:r>
      <w:r w:rsidRPr="0027097B">
        <w:t xml:space="preserve">avait jamais eu de conflit en Afghanistan et </w:t>
      </w:r>
      <w:r>
        <w:t xml:space="preserve">qu’affirmer </w:t>
      </w:r>
      <w:r w:rsidRPr="0027097B">
        <w:t>qu</w:t>
      </w:r>
      <w:r>
        <w:t>’</w:t>
      </w:r>
      <w:r w:rsidRPr="0027097B">
        <w:t xml:space="preserve">il </w:t>
      </w:r>
      <w:r>
        <w:t xml:space="preserve">y </w:t>
      </w:r>
      <w:r w:rsidRPr="0027097B">
        <w:t xml:space="preserve">serait persécuté en raison du conflit passé de son père, </w:t>
      </w:r>
      <w:r>
        <w:t xml:space="preserve">antérieur à </w:t>
      </w:r>
      <w:r w:rsidRPr="0027097B">
        <w:t xml:space="preserve">sa naissance, </w:t>
      </w:r>
      <w:r>
        <w:t xml:space="preserve">relevait d’une </w:t>
      </w:r>
      <w:r w:rsidRPr="0027097B">
        <w:t>supposition de sa part</w:t>
      </w:r>
      <w:r>
        <w:t>.</w:t>
      </w:r>
      <w:r w:rsidRPr="0027097B">
        <w:t xml:space="preserve"> </w:t>
      </w:r>
      <w:r>
        <w:t xml:space="preserve">De même, son affirmation selon laquelle </w:t>
      </w:r>
      <w:r w:rsidRPr="0027097B">
        <w:t>les inconnus qui s</w:t>
      </w:r>
      <w:r>
        <w:t>’</w:t>
      </w:r>
      <w:r w:rsidRPr="0027097B">
        <w:t xml:space="preserve">étaient présentés au domicile de sa famille en </w:t>
      </w:r>
      <w:r>
        <w:t xml:space="preserve">République islamique d’Iran </w:t>
      </w:r>
      <w:r w:rsidRPr="0027097B">
        <w:t>étaient ceux qui avaient enlevé son père</w:t>
      </w:r>
      <w:r>
        <w:t xml:space="preserve"> relevait d’une supposition. </w:t>
      </w:r>
      <w:r w:rsidRPr="0027097B">
        <w:t>Les</w:t>
      </w:r>
      <w:r w:rsidR="00317D97">
        <w:t> </w:t>
      </w:r>
      <w:r w:rsidRPr="0027097B">
        <w:t>circonstances socioéconomiques invoquées par l</w:t>
      </w:r>
      <w:r>
        <w:t>’</w:t>
      </w:r>
      <w:r w:rsidRPr="0027097B">
        <w:t>auteur, notamment la situation générale en Afghanistan, et le fait qu</w:t>
      </w:r>
      <w:r>
        <w:t>’</w:t>
      </w:r>
      <w:r w:rsidRPr="0027097B">
        <w:t>il n</w:t>
      </w:r>
      <w:r>
        <w:t>’y</w:t>
      </w:r>
      <w:r w:rsidRPr="0027097B">
        <w:t xml:space="preserve"> soit jamais allé </w:t>
      </w:r>
      <w:r>
        <w:t xml:space="preserve">et n’y </w:t>
      </w:r>
      <w:r w:rsidRPr="0027097B">
        <w:t>dispose pas d</w:t>
      </w:r>
      <w:r>
        <w:t>’</w:t>
      </w:r>
      <w:r w:rsidRPr="0027097B">
        <w:t>un réseau de connaissances</w:t>
      </w:r>
      <w:r w:rsidR="00317D97">
        <w:t>,</w:t>
      </w:r>
      <w:r w:rsidRPr="0027097B">
        <w:t xml:space="preserve"> </w:t>
      </w:r>
      <w:r>
        <w:t xml:space="preserve">ne justifiaient pas une évaluation différente, </w:t>
      </w:r>
      <w:r w:rsidRPr="0027097B">
        <w:t xml:space="preserve">la Commission ayant </w:t>
      </w:r>
      <w:r>
        <w:t xml:space="preserve">fait observer </w:t>
      </w:r>
      <w:r w:rsidRPr="0027097B">
        <w:t>que l</w:t>
      </w:r>
      <w:r>
        <w:t>’</w:t>
      </w:r>
      <w:r w:rsidRPr="0027097B">
        <w:t xml:space="preserve">intéressé était </w:t>
      </w:r>
      <w:r>
        <w:t xml:space="preserve">un homme </w:t>
      </w:r>
      <w:r w:rsidRPr="0027097B">
        <w:t>jeune, en bonne santé et apte à travailler, et que les circonstances qu</w:t>
      </w:r>
      <w:r>
        <w:t>’</w:t>
      </w:r>
      <w:r w:rsidRPr="0027097B">
        <w:t xml:space="preserve">il </w:t>
      </w:r>
      <w:r>
        <w:t xml:space="preserve">invoquait </w:t>
      </w:r>
      <w:r w:rsidRPr="0027097B">
        <w:t>n</w:t>
      </w:r>
      <w:r>
        <w:t>’</w:t>
      </w:r>
      <w:r w:rsidRPr="0027097B">
        <w:t>entraient pas dans le champ de l</w:t>
      </w:r>
      <w:r>
        <w:t>’</w:t>
      </w:r>
      <w:r w:rsidRPr="0027097B">
        <w:t>évaluation.</w:t>
      </w:r>
    </w:p>
    <w:p w14:paraId="5B62CF33" w14:textId="0AC18C38" w:rsidR="00D86915" w:rsidRPr="0027097B" w:rsidRDefault="00D86915" w:rsidP="00D86915">
      <w:pPr>
        <w:pStyle w:val="SingleTxtG"/>
        <w:rPr>
          <w:color w:val="000000" w:themeColor="text1"/>
        </w:rPr>
      </w:pPr>
      <w:r w:rsidRPr="0027097B">
        <w:rPr>
          <w:color w:val="000000" w:themeColor="text1"/>
        </w:rPr>
        <w:t>4.3</w:t>
      </w:r>
      <w:r w:rsidRPr="0027097B">
        <w:rPr>
          <w:color w:val="000000" w:themeColor="text1"/>
        </w:rPr>
        <w:tab/>
        <w:t>Le 11 avril 2017, la Commission de recours des réfugiés a rejeté la demande de réouverture de son dossier présentée par l</w:t>
      </w:r>
      <w:r>
        <w:rPr>
          <w:color w:val="000000" w:themeColor="text1"/>
        </w:rPr>
        <w:t>’</w:t>
      </w:r>
      <w:r w:rsidRPr="0027097B">
        <w:rPr>
          <w:color w:val="000000" w:themeColor="text1"/>
        </w:rPr>
        <w:t xml:space="preserve">auteur le 13 janvier 2017, demande dans laquelle il </w:t>
      </w:r>
      <w:r>
        <w:rPr>
          <w:color w:val="000000" w:themeColor="text1"/>
        </w:rPr>
        <w:t xml:space="preserve">indiquait qu’il s’était fait tatouer </w:t>
      </w:r>
      <w:r w:rsidRPr="0027097B">
        <w:rPr>
          <w:color w:val="000000" w:themeColor="text1"/>
        </w:rPr>
        <w:t xml:space="preserve">une rose et une croix sur </w:t>
      </w:r>
      <w:r>
        <w:rPr>
          <w:color w:val="000000" w:themeColor="text1"/>
        </w:rPr>
        <w:t xml:space="preserve">le </w:t>
      </w:r>
      <w:r w:rsidRPr="0027097B">
        <w:rPr>
          <w:color w:val="000000" w:themeColor="text1"/>
        </w:rPr>
        <w:t xml:space="preserve">bras et </w:t>
      </w:r>
      <w:r>
        <w:rPr>
          <w:color w:val="000000" w:themeColor="text1"/>
        </w:rPr>
        <w:t xml:space="preserve">qu’il était attiré par </w:t>
      </w:r>
      <w:r w:rsidRPr="0027097B">
        <w:rPr>
          <w:color w:val="000000" w:themeColor="text1"/>
        </w:rPr>
        <w:t>le christianisme. La Commission a estimé qu</w:t>
      </w:r>
      <w:r>
        <w:rPr>
          <w:color w:val="000000" w:themeColor="text1"/>
        </w:rPr>
        <w:t>’</w:t>
      </w:r>
      <w:r w:rsidRPr="0027097B">
        <w:rPr>
          <w:color w:val="000000" w:themeColor="text1"/>
        </w:rPr>
        <w:t>aucun nouvel élément essentiel n</w:t>
      </w:r>
      <w:r>
        <w:rPr>
          <w:color w:val="000000" w:themeColor="text1"/>
        </w:rPr>
        <w:t>’</w:t>
      </w:r>
      <w:r w:rsidRPr="0027097B">
        <w:rPr>
          <w:color w:val="000000" w:themeColor="text1"/>
        </w:rPr>
        <w:t xml:space="preserve">avait été présenté et que </w:t>
      </w:r>
      <w:r>
        <w:rPr>
          <w:color w:val="000000" w:themeColor="text1"/>
        </w:rPr>
        <w:t xml:space="preserve">l’attirance </w:t>
      </w:r>
      <w:r w:rsidRPr="0027097B">
        <w:rPr>
          <w:color w:val="000000" w:themeColor="text1"/>
        </w:rPr>
        <w:t xml:space="preserve">pour le christianisme et </w:t>
      </w:r>
      <w:r>
        <w:rPr>
          <w:color w:val="000000" w:themeColor="text1"/>
        </w:rPr>
        <w:t>le</w:t>
      </w:r>
      <w:r w:rsidRPr="0027097B">
        <w:rPr>
          <w:color w:val="000000" w:themeColor="text1"/>
        </w:rPr>
        <w:t xml:space="preserve"> tatouage de l</w:t>
      </w:r>
      <w:r>
        <w:rPr>
          <w:color w:val="000000" w:themeColor="text1"/>
        </w:rPr>
        <w:t>’</w:t>
      </w:r>
      <w:r w:rsidRPr="0027097B">
        <w:rPr>
          <w:color w:val="000000" w:themeColor="text1"/>
        </w:rPr>
        <w:t>auteur n</w:t>
      </w:r>
      <w:r>
        <w:rPr>
          <w:color w:val="000000" w:themeColor="text1"/>
        </w:rPr>
        <w:t>’</w:t>
      </w:r>
      <w:r w:rsidRPr="0027097B">
        <w:rPr>
          <w:color w:val="000000" w:themeColor="text1"/>
        </w:rPr>
        <w:t>étaient pas de nature à modifier ses conclusions. Elle a noté qu</w:t>
      </w:r>
      <w:r>
        <w:rPr>
          <w:color w:val="000000" w:themeColor="text1"/>
        </w:rPr>
        <w:t>’</w:t>
      </w:r>
      <w:r w:rsidRPr="0027097B">
        <w:rPr>
          <w:color w:val="000000" w:themeColor="text1"/>
        </w:rPr>
        <w:t>il avait déclaré, lorsqu</w:t>
      </w:r>
      <w:r>
        <w:rPr>
          <w:color w:val="000000" w:themeColor="text1"/>
        </w:rPr>
        <w:t>’</w:t>
      </w:r>
      <w:r w:rsidRPr="0027097B">
        <w:rPr>
          <w:color w:val="000000" w:themeColor="text1"/>
        </w:rPr>
        <w:t xml:space="preserve">il avait été entendu par les agents du Service </w:t>
      </w:r>
      <w:r>
        <w:rPr>
          <w:color w:val="000000" w:themeColor="text1"/>
        </w:rPr>
        <w:t xml:space="preserve">danois </w:t>
      </w:r>
      <w:r w:rsidRPr="0027097B">
        <w:rPr>
          <w:color w:val="000000" w:themeColor="text1"/>
        </w:rPr>
        <w:t>de l</w:t>
      </w:r>
      <w:r>
        <w:rPr>
          <w:color w:val="000000" w:themeColor="text1"/>
        </w:rPr>
        <w:t>’</w:t>
      </w:r>
      <w:r w:rsidRPr="0027097B">
        <w:rPr>
          <w:color w:val="000000" w:themeColor="text1"/>
        </w:rPr>
        <w:t>immigration le 13 novembre 2015, qu</w:t>
      </w:r>
      <w:r>
        <w:rPr>
          <w:color w:val="000000" w:themeColor="text1"/>
        </w:rPr>
        <w:t>’</w:t>
      </w:r>
      <w:r w:rsidRPr="0027097B">
        <w:rPr>
          <w:color w:val="000000" w:themeColor="text1"/>
        </w:rPr>
        <w:t xml:space="preserve">il était </w:t>
      </w:r>
      <w:r>
        <w:rPr>
          <w:color w:val="000000" w:themeColor="text1"/>
        </w:rPr>
        <w:t xml:space="preserve">musulman </w:t>
      </w:r>
      <w:r w:rsidRPr="0027097B">
        <w:rPr>
          <w:color w:val="000000" w:themeColor="text1"/>
        </w:rPr>
        <w:t>sunnite, qu</w:t>
      </w:r>
      <w:r>
        <w:rPr>
          <w:color w:val="000000" w:themeColor="text1"/>
        </w:rPr>
        <w:t>’</w:t>
      </w:r>
      <w:r w:rsidRPr="0027097B">
        <w:rPr>
          <w:color w:val="000000" w:themeColor="text1"/>
        </w:rPr>
        <w:t>il jeûnait pendant le ramadan, qu</w:t>
      </w:r>
      <w:r>
        <w:rPr>
          <w:color w:val="000000" w:themeColor="text1"/>
        </w:rPr>
        <w:t>’</w:t>
      </w:r>
      <w:r w:rsidRPr="0027097B">
        <w:rPr>
          <w:color w:val="000000" w:themeColor="text1"/>
        </w:rPr>
        <w:t>il ne priait pas beaucoup et qu</w:t>
      </w:r>
      <w:r>
        <w:rPr>
          <w:color w:val="000000" w:themeColor="text1"/>
        </w:rPr>
        <w:t>’</w:t>
      </w:r>
      <w:r w:rsidRPr="0027097B">
        <w:rPr>
          <w:color w:val="000000" w:themeColor="text1"/>
        </w:rPr>
        <w:t>il n</w:t>
      </w:r>
      <w:r>
        <w:rPr>
          <w:color w:val="000000" w:themeColor="text1"/>
        </w:rPr>
        <w:t>’</w:t>
      </w:r>
      <w:r w:rsidRPr="0027097B">
        <w:rPr>
          <w:color w:val="000000" w:themeColor="text1"/>
        </w:rPr>
        <w:t xml:space="preserve">avait pas de raison particulière de prier ou ne pas prier. La Commission a également noté </w:t>
      </w:r>
      <w:r>
        <w:rPr>
          <w:color w:val="000000" w:themeColor="text1"/>
        </w:rPr>
        <w:t xml:space="preserve">que lors </w:t>
      </w:r>
      <w:r w:rsidRPr="0027097B">
        <w:rPr>
          <w:color w:val="000000" w:themeColor="text1"/>
        </w:rPr>
        <w:t xml:space="preserve">de </w:t>
      </w:r>
      <w:r>
        <w:rPr>
          <w:color w:val="000000" w:themeColor="text1"/>
        </w:rPr>
        <w:t xml:space="preserve">cette </w:t>
      </w:r>
      <w:r w:rsidRPr="0027097B">
        <w:rPr>
          <w:color w:val="000000" w:themeColor="text1"/>
        </w:rPr>
        <w:t>audition</w:t>
      </w:r>
      <w:r w:rsidR="00F671FB">
        <w:rPr>
          <w:color w:val="000000" w:themeColor="text1"/>
        </w:rPr>
        <w:t>,</w:t>
      </w:r>
      <w:r>
        <w:rPr>
          <w:color w:val="000000" w:themeColor="text1"/>
        </w:rPr>
        <w:t xml:space="preserve"> il n’avait pas indiqué </w:t>
      </w:r>
      <w:r w:rsidRPr="0027097B">
        <w:rPr>
          <w:color w:val="000000" w:themeColor="text1"/>
        </w:rPr>
        <w:t>qu</w:t>
      </w:r>
      <w:r>
        <w:rPr>
          <w:color w:val="000000" w:themeColor="text1"/>
        </w:rPr>
        <w:t>’</w:t>
      </w:r>
      <w:r w:rsidRPr="0027097B">
        <w:rPr>
          <w:color w:val="000000" w:themeColor="text1"/>
        </w:rPr>
        <w:t>il s</w:t>
      </w:r>
      <w:r>
        <w:rPr>
          <w:color w:val="000000" w:themeColor="text1"/>
        </w:rPr>
        <w:t>’</w:t>
      </w:r>
      <w:r w:rsidRPr="0027097B">
        <w:rPr>
          <w:color w:val="000000" w:themeColor="text1"/>
        </w:rPr>
        <w:t>était fait tatouer ce qu</w:t>
      </w:r>
      <w:r>
        <w:rPr>
          <w:color w:val="000000" w:themeColor="text1"/>
        </w:rPr>
        <w:t>’</w:t>
      </w:r>
      <w:r w:rsidRPr="0027097B">
        <w:rPr>
          <w:color w:val="000000" w:themeColor="text1"/>
        </w:rPr>
        <w:t xml:space="preserve">il </w:t>
      </w:r>
      <w:r>
        <w:rPr>
          <w:color w:val="000000" w:themeColor="text1"/>
        </w:rPr>
        <w:t xml:space="preserve">déclare </w:t>
      </w:r>
      <w:r w:rsidRPr="0027097B">
        <w:rPr>
          <w:color w:val="000000" w:themeColor="text1"/>
        </w:rPr>
        <w:t>être un symbole chrétien et qu</w:t>
      </w:r>
      <w:r>
        <w:rPr>
          <w:color w:val="000000" w:themeColor="text1"/>
        </w:rPr>
        <w:t>’</w:t>
      </w:r>
      <w:r w:rsidRPr="0027097B">
        <w:rPr>
          <w:color w:val="000000" w:themeColor="text1"/>
        </w:rPr>
        <w:t>il n</w:t>
      </w:r>
      <w:r>
        <w:rPr>
          <w:color w:val="000000" w:themeColor="text1"/>
        </w:rPr>
        <w:t>’</w:t>
      </w:r>
      <w:r w:rsidRPr="0027097B">
        <w:rPr>
          <w:color w:val="000000" w:themeColor="text1"/>
        </w:rPr>
        <w:t xml:space="preserve">avait évoqué son intérêt pour le christianisme que dans </w:t>
      </w:r>
      <w:r>
        <w:rPr>
          <w:color w:val="000000" w:themeColor="text1"/>
        </w:rPr>
        <w:t>s</w:t>
      </w:r>
      <w:r w:rsidRPr="0027097B">
        <w:rPr>
          <w:color w:val="000000" w:themeColor="text1"/>
        </w:rPr>
        <w:t xml:space="preserve">a demande </w:t>
      </w:r>
      <w:r>
        <w:rPr>
          <w:color w:val="000000" w:themeColor="text1"/>
        </w:rPr>
        <w:t xml:space="preserve">de </w:t>
      </w:r>
      <w:r w:rsidRPr="0027097B">
        <w:rPr>
          <w:color w:val="000000" w:themeColor="text1"/>
        </w:rPr>
        <w:t>réouverture de son dossier. Étant donné que l</w:t>
      </w:r>
      <w:r>
        <w:rPr>
          <w:color w:val="000000" w:themeColor="text1"/>
        </w:rPr>
        <w:t>’</w:t>
      </w:r>
      <w:r w:rsidRPr="0027097B">
        <w:rPr>
          <w:color w:val="000000" w:themeColor="text1"/>
        </w:rPr>
        <w:t>auteur ne se considérait pas comme chrétien, la Commission a estimé que son tatouage</w:t>
      </w:r>
      <w:r>
        <w:rPr>
          <w:color w:val="000000" w:themeColor="text1"/>
        </w:rPr>
        <w:t xml:space="preserve"> de ce qu’il disait être </w:t>
      </w:r>
      <w:r w:rsidRPr="0027097B">
        <w:rPr>
          <w:color w:val="000000" w:themeColor="text1"/>
        </w:rPr>
        <w:t>une croix ne permettait pas en soi d</w:t>
      </w:r>
      <w:r>
        <w:rPr>
          <w:color w:val="000000" w:themeColor="text1"/>
        </w:rPr>
        <w:t>’</w:t>
      </w:r>
      <w:r w:rsidRPr="0027097B">
        <w:rPr>
          <w:color w:val="000000" w:themeColor="text1"/>
        </w:rPr>
        <w:t>affirmer qu</w:t>
      </w:r>
      <w:r>
        <w:rPr>
          <w:color w:val="000000" w:themeColor="text1"/>
        </w:rPr>
        <w:t>’</w:t>
      </w:r>
      <w:r w:rsidRPr="0027097B">
        <w:rPr>
          <w:color w:val="000000" w:themeColor="text1"/>
        </w:rPr>
        <w:t xml:space="preserve">il serait probablement </w:t>
      </w:r>
      <w:r>
        <w:rPr>
          <w:color w:val="000000" w:themeColor="text1"/>
        </w:rPr>
        <w:t xml:space="preserve">considéré </w:t>
      </w:r>
      <w:r w:rsidRPr="0027097B">
        <w:rPr>
          <w:color w:val="000000" w:themeColor="text1"/>
        </w:rPr>
        <w:t>comme chrétien en Afghanistan.</w:t>
      </w:r>
    </w:p>
    <w:p w14:paraId="78B3C24C" w14:textId="77777777" w:rsidR="00D86915" w:rsidRPr="0027097B" w:rsidRDefault="00D86915" w:rsidP="00D86915">
      <w:pPr>
        <w:pStyle w:val="SingleTxtG"/>
        <w:rPr>
          <w:color w:val="000000" w:themeColor="text1"/>
        </w:rPr>
      </w:pPr>
      <w:r w:rsidRPr="0027097B">
        <w:rPr>
          <w:color w:val="000000" w:themeColor="text1"/>
        </w:rPr>
        <w:t>4.4</w:t>
      </w:r>
      <w:r w:rsidRPr="0027097B">
        <w:rPr>
          <w:color w:val="000000" w:themeColor="text1"/>
        </w:rPr>
        <w:tab/>
        <w:t>L</w:t>
      </w:r>
      <w:r>
        <w:rPr>
          <w:color w:val="000000" w:themeColor="text1"/>
        </w:rPr>
        <w:t>’</w:t>
      </w:r>
      <w:r w:rsidRPr="0027097B">
        <w:rPr>
          <w:color w:val="000000" w:themeColor="text1"/>
        </w:rPr>
        <w:t>État partie fait observer que, selon l</w:t>
      </w:r>
      <w:r>
        <w:rPr>
          <w:color w:val="000000" w:themeColor="text1"/>
        </w:rPr>
        <w:t>’</w:t>
      </w:r>
      <w:r w:rsidR="00834957">
        <w:rPr>
          <w:color w:val="000000" w:themeColor="text1"/>
        </w:rPr>
        <w:t>article </w:t>
      </w:r>
      <w:r w:rsidRPr="0027097B">
        <w:rPr>
          <w:color w:val="000000" w:themeColor="text1"/>
        </w:rPr>
        <w:t>53 a) de la loi sur les étrangers</w:t>
      </w:r>
      <w:r>
        <w:rPr>
          <w:color w:val="000000" w:themeColor="text1"/>
        </w:rPr>
        <w:t xml:space="preserve">, </w:t>
      </w:r>
      <w:r w:rsidRPr="0027097B">
        <w:rPr>
          <w:color w:val="000000" w:themeColor="text1"/>
        </w:rPr>
        <w:t>les décisions de rejet des demandes d</w:t>
      </w:r>
      <w:r>
        <w:rPr>
          <w:color w:val="000000" w:themeColor="text1"/>
        </w:rPr>
        <w:t>’</w:t>
      </w:r>
      <w:r w:rsidRPr="0027097B">
        <w:rPr>
          <w:color w:val="000000" w:themeColor="text1"/>
        </w:rPr>
        <w:t xml:space="preserve">asile rendues par le Service </w:t>
      </w:r>
      <w:r>
        <w:rPr>
          <w:color w:val="000000" w:themeColor="text1"/>
        </w:rPr>
        <w:t xml:space="preserve">danois </w:t>
      </w:r>
      <w:r w:rsidRPr="0027097B">
        <w:rPr>
          <w:color w:val="000000" w:themeColor="text1"/>
        </w:rPr>
        <w:t>d</w:t>
      </w:r>
      <w:r>
        <w:rPr>
          <w:color w:val="000000" w:themeColor="text1"/>
        </w:rPr>
        <w:t>e l’</w:t>
      </w:r>
      <w:r w:rsidRPr="0027097B">
        <w:rPr>
          <w:color w:val="000000" w:themeColor="text1"/>
        </w:rPr>
        <w:t>immigration font automatiquement l</w:t>
      </w:r>
      <w:r>
        <w:rPr>
          <w:color w:val="000000" w:themeColor="text1"/>
        </w:rPr>
        <w:t>’</w:t>
      </w:r>
      <w:r w:rsidRPr="0027097B">
        <w:rPr>
          <w:color w:val="000000" w:themeColor="text1"/>
        </w:rPr>
        <w:t>objet de recours devant la Commission de recours des réfugiés, et que ces recours suspendent l</w:t>
      </w:r>
      <w:r>
        <w:rPr>
          <w:color w:val="000000" w:themeColor="text1"/>
        </w:rPr>
        <w:t>’</w:t>
      </w:r>
      <w:r w:rsidRPr="0027097B">
        <w:rPr>
          <w:color w:val="000000" w:themeColor="text1"/>
        </w:rPr>
        <w:t xml:space="preserve">exécution de la décision contestée. La Commission de recours des réfugiés est un organe quasi judiciaire indépendant. Son président et son vice-président sont </w:t>
      </w:r>
      <w:r>
        <w:rPr>
          <w:color w:val="000000" w:themeColor="text1"/>
        </w:rPr>
        <w:t xml:space="preserve">des magistrats </w:t>
      </w:r>
      <w:r w:rsidRPr="0027097B">
        <w:rPr>
          <w:color w:val="000000" w:themeColor="text1"/>
        </w:rPr>
        <w:t>et ses autres membres doivent être avocats ou occuper un poste au Ministère de l</w:t>
      </w:r>
      <w:r>
        <w:rPr>
          <w:color w:val="000000" w:themeColor="text1"/>
        </w:rPr>
        <w:t>’</w:t>
      </w:r>
      <w:r w:rsidRPr="0027097B">
        <w:rPr>
          <w:color w:val="000000" w:themeColor="text1"/>
        </w:rPr>
        <w:t>immigration et de l</w:t>
      </w:r>
      <w:r>
        <w:rPr>
          <w:color w:val="000000" w:themeColor="text1"/>
        </w:rPr>
        <w:t>’</w:t>
      </w:r>
      <w:r w:rsidRPr="0027097B">
        <w:rPr>
          <w:color w:val="000000" w:themeColor="text1"/>
        </w:rPr>
        <w:t xml:space="preserve">intégration. </w:t>
      </w:r>
      <w:r>
        <w:rPr>
          <w:color w:val="000000" w:themeColor="text1"/>
        </w:rPr>
        <w:t xml:space="preserve">Aux termes du </w:t>
      </w:r>
      <w:r w:rsidRPr="0027097B">
        <w:rPr>
          <w:color w:val="000000" w:themeColor="text1"/>
        </w:rPr>
        <w:t>paragraphe</w:t>
      </w:r>
      <w:r>
        <w:rPr>
          <w:color w:val="000000" w:themeColor="text1"/>
        </w:rPr>
        <w:t> </w:t>
      </w:r>
      <w:r w:rsidRPr="0027097B">
        <w:rPr>
          <w:color w:val="000000" w:themeColor="text1"/>
        </w:rPr>
        <w:t>1 de l</w:t>
      </w:r>
      <w:r>
        <w:rPr>
          <w:color w:val="000000" w:themeColor="text1"/>
        </w:rPr>
        <w:t>’</w:t>
      </w:r>
      <w:r w:rsidRPr="0027097B">
        <w:rPr>
          <w:color w:val="000000" w:themeColor="text1"/>
        </w:rPr>
        <w:t>article</w:t>
      </w:r>
      <w:r>
        <w:rPr>
          <w:color w:val="000000" w:themeColor="text1"/>
        </w:rPr>
        <w:t> </w:t>
      </w:r>
      <w:r w:rsidRPr="0027097B">
        <w:rPr>
          <w:color w:val="000000" w:themeColor="text1"/>
        </w:rPr>
        <w:t>53 de la loi sur les étrangers</w:t>
      </w:r>
      <w:r>
        <w:rPr>
          <w:color w:val="000000" w:themeColor="text1"/>
        </w:rPr>
        <w:t xml:space="preserve">, </w:t>
      </w:r>
      <w:r w:rsidRPr="0027097B">
        <w:rPr>
          <w:color w:val="000000" w:themeColor="text1"/>
        </w:rPr>
        <w:t xml:space="preserve">les membres de la Commission siègent en toute indépendance et ne peuvent accepter ni solliciter </w:t>
      </w:r>
      <w:r>
        <w:rPr>
          <w:color w:val="000000" w:themeColor="text1"/>
        </w:rPr>
        <w:t xml:space="preserve">d’instructions </w:t>
      </w:r>
      <w:r w:rsidRPr="0027097B">
        <w:rPr>
          <w:color w:val="000000" w:themeColor="text1"/>
        </w:rPr>
        <w:t xml:space="preserve">des autorités responsables de leur nomination, et ils ne </w:t>
      </w:r>
      <w:r w:rsidRPr="0027097B">
        <w:rPr>
          <w:color w:val="000000" w:themeColor="text1"/>
        </w:rPr>
        <w:lastRenderedPageBreak/>
        <w:t>peuvent être suspendus ou révoqués (à l</w:t>
      </w:r>
      <w:r>
        <w:rPr>
          <w:color w:val="000000" w:themeColor="text1"/>
        </w:rPr>
        <w:t>’</w:t>
      </w:r>
      <w:r w:rsidRPr="0027097B">
        <w:rPr>
          <w:color w:val="000000" w:themeColor="text1"/>
        </w:rPr>
        <w:t xml:space="preserve">instar des juges) que par la Cour spéciale de mise en accusation et de révision. Les décisions de la Commission sont définitives. Toutefois, en vertu des dispositions de la Constitution, les étrangers peuvent saisir les juridictions </w:t>
      </w:r>
      <w:r>
        <w:rPr>
          <w:color w:val="000000" w:themeColor="text1"/>
        </w:rPr>
        <w:t>de droit commun</w:t>
      </w:r>
      <w:r w:rsidRPr="0027097B">
        <w:rPr>
          <w:color w:val="000000" w:themeColor="text1"/>
        </w:rPr>
        <w:t xml:space="preserve">, </w:t>
      </w:r>
      <w:r>
        <w:rPr>
          <w:color w:val="000000" w:themeColor="text1"/>
        </w:rPr>
        <w:t xml:space="preserve">qui sont </w:t>
      </w:r>
      <w:r w:rsidRPr="0027097B">
        <w:rPr>
          <w:color w:val="000000" w:themeColor="text1"/>
        </w:rPr>
        <w:t xml:space="preserve">habilitées à statuer sur des questions relatives aux limites de la compétence des autorités publiques. Le contrôle juridictionnel des décisions de la Commission porte donc uniquement sur </w:t>
      </w:r>
      <w:r>
        <w:rPr>
          <w:color w:val="000000" w:themeColor="text1"/>
        </w:rPr>
        <w:t>l</w:t>
      </w:r>
      <w:r w:rsidRPr="0027097B">
        <w:rPr>
          <w:color w:val="000000" w:themeColor="text1"/>
        </w:rPr>
        <w:t>es points de droit.</w:t>
      </w:r>
    </w:p>
    <w:p w14:paraId="2331D798" w14:textId="2A4A0986" w:rsidR="00D86915" w:rsidRPr="0027097B" w:rsidRDefault="00D86915" w:rsidP="00D86915">
      <w:pPr>
        <w:pStyle w:val="SingleTxtG"/>
        <w:rPr>
          <w:color w:val="000000" w:themeColor="text1"/>
        </w:rPr>
      </w:pPr>
      <w:r w:rsidRPr="0027097B">
        <w:rPr>
          <w:color w:val="000000" w:themeColor="text1"/>
        </w:rPr>
        <w:t>4.5</w:t>
      </w:r>
      <w:r w:rsidRPr="0027097B">
        <w:rPr>
          <w:color w:val="000000" w:themeColor="text1"/>
        </w:rPr>
        <w:tab/>
        <w:t>L</w:t>
      </w:r>
      <w:r>
        <w:rPr>
          <w:color w:val="000000" w:themeColor="text1"/>
        </w:rPr>
        <w:t>’</w:t>
      </w:r>
      <w:r w:rsidRPr="0027097B">
        <w:rPr>
          <w:color w:val="000000" w:themeColor="text1"/>
        </w:rPr>
        <w:t xml:space="preserve">État partie fait observer que les étrangers se voient accorder un permis de séjour </w:t>
      </w:r>
      <w:r>
        <w:rPr>
          <w:color w:val="000000" w:themeColor="text1"/>
        </w:rPr>
        <w:t xml:space="preserve">en vertu </w:t>
      </w:r>
      <w:r w:rsidRPr="0027097B">
        <w:rPr>
          <w:color w:val="000000" w:themeColor="text1"/>
        </w:rPr>
        <w:t>de la loi sur les étrangers s</w:t>
      </w:r>
      <w:r>
        <w:rPr>
          <w:color w:val="000000" w:themeColor="text1"/>
        </w:rPr>
        <w:t>’</w:t>
      </w:r>
      <w:r w:rsidRPr="0027097B">
        <w:rPr>
          <w:color w:val="000000" w:themeColor="text1"/>
        </w:rPr>
        <w:t>ils ont le statut de réfugié au regard de la Convention relative au statut des réfugiés, ou s</w:t>
      </w:r>
      <w:r>
        <w:rPr>
          <w:color w:val="000000" w:themeColor="text1"/>
        </w:rPr>
        <w:t>’</w:t>
      </w:r>
      <w:r w:rsidRPr="0027097B">
        <w:rPr>
          <w:color w:val="000000" w:themeColor="text1"/>
        </w:rPr>
        <w:t>ils risquent la peine de mort ou d</w:t>
      </w:r>
      <w:r>
        <w:rPr>
          <w:color w:val="000000" w:themeColor="text1"/>
        </w:rPr>
        <w:t>’</w:t>
      </w:r>
      <w:r w:rsidRPr="0027097B">
        <w:rPr>
          <w:color w:val="000000" w:themeColor="text1"/>
        </w:rPr>
        <w:t xml:space="preserve">être </w:t>
      </w:r>
      <w:r>
        <w:rPr>
          <w:color w:val="000000" w:themeColor="text1"/>
        </w:rPr>
        <w:t xml:space="preserve">soumis à la </w:t>
      </w:r>
      <w:r w:rsidRPr="0027097B">
        <w:rPr>
          <w:color w:val="000000" w:themeColor="text1"/>
        </w:rPr>
        <w:t xml:space="preserve">torture ou </w:t>
      </w:r>
      <w:r>
        <w:rPr>
          <w:color w:val="000000" w:themeColor="text1"/>
        </w:rPr>
        <w:t>à d’</w:t>
      </w:r>
      <w:r w:rsidRPr="0027097B">
        <w:rPr>
          <w:color w:val="000000" w:themeColor="text1"/>
        </w:rPr>
        <w:t>autres peines ou traitements</w:t>
      </w:r>
      <w:r w:rsidR="00F0786E">
        <w:rPr>
          <w:color w:val="000000" w:themeColor="text1"/>
        </w:rPr>
        <w:t xml:space="preserve"> cruels,</w:t>
      </w:r>
      <w:r w:rsidRPr="0027097B">
        <w:rPr>
          <w:color w:val="000000" w:themeColor="text1"/>
        </w:rPr>
        <w:t xml:space="preserve"> inhumains ou dégradants. La loi sur les étrangers prévoit l</w:t>
      </w:r>
      <w:r>
        <w:rPr>
          <w:color w:val="000000" w:themeColor="text1"/>
        </w:rPr>
        <w:t>’</w:t>
      </w:r>
      <w:r w:rsidRPr="0027097B">
        <w:rPr>
          <w:color w:val="000000" w:themeColor="text1"/>
        </w:rPr>
        <w:t>application sans exception du principe d</w:t>
      </w:r>
      <w:r w:rsidR="00F0786E">
        <w:rPr>
          <w:color w:val="000000" w:themeColor="text1"/>
        </w:rPr>
        <w:t>e</w:t>
      </w:r>
      <w:r w:rsidRPr="0027097B">
        <w:rPr>
          <w:color w:val="000000" w:themeColor="text1"/>
        </w:rPr>
        <w:t xml:space="preserve"> </w:t>
      </w:r>
      <w:r w:rsidRPr="00673767">
        <w:rPr>
          <w:iCs/>
          <w:color w:val="000000" w:themeColor="text1"/>
        </w:rPr>
        <w:t>non-refoulement</w:t>
      </w:r>
      <w:r w:rsidRPr="0027097B">
        <w:rPr>
          <w:color w:val="000000" w:themeColor="text1"/>
        </w:rPr>
        <w:t xml:space="preserve">, et un certain nombre de </w:t>
      </w:r>
      <w:r>
        <w:rPr>
          <w:color w:val="000000" w:themeColor="text1"/>
        </w:rPr>
        <w:t xml:space="preserve">directives </w:t>
      </w:r>
      <w:r w:rsidRPr="0027097B">
        <w:rPr>
          <w:color w:val="000000" w:themeColor="text1"/>
        </w:rPr>
        <w:t>sur la protection juridique des demandeurs d</w:t>
      </w:r>
      <w:r>
        <w:rPr>
          <w:color w:val="000000" w:themeColor="text1"/>
        </w:rPr>
        <w:t>’</w:t>
      </w:r>
      <w:r w:rsidRPr="0027097B">
        <w:rPr>
          <w:color w:val="000000" w:themeColor="text1"/>
        </w:rPr>
        <w:t xml:space="preserve">asile </w:t>
      </w:r>
      <w:r>
        <w:rPr>
          <w:color w:val="000000" w:themeColor="text1"/>
        </w:rPr>
        <w:t xml:space="preserve">en </w:t>
      </w:r>
      <w:r w:rsidRPr="0027097B">
        <w:rPr>
          <w:color w:val="000000" w:themeColor="text1"/>
        </w:rPr>
        <w:t xml:space="preserve">droit international garantissent </w:t>
      </w:r>
      <w:r>
        <w:rPr>
          <w:color w:val="000000" w:themeColor="text1"/>
        </w:rPr>
        <w:t xml:space="preserve">la conformité des </w:t>
      </w:r>
      <w:r w:rsidRPr="0027097B">
        <w:rPr>
          <w:color w:val="000000" w:themeColor="text1"/>
        </w:rPr>
        <w:t>décisions des autorités aux obligations en la matière.</w:t>
      </w:r>
    </w:p>
    <w:p w14:paraId="4A28B0F8" w14:textId="3E9CAC2A" w:rsidR="00D86915" w:rsidRPr="0027097B" w:rsidRDefault="00D86915" w:rsidP="00D86915">
      <w:pPr>
        <w:pStyle w:val="SingleTxtG"/>
        <w:rPr>
          <w:color w:val="000000" w:themeColor="text1"/>
        </w:rPr>
      </w:pPr>
      <w:r w:rsidRPr="0027097B">
        <w:rPr>
          <w:color w:val="000000" w:themeColor="text1"/>
        </w:rPr>
        <w:t>4.6</w:t>
      </w:r>
      <w:r w:rsidRPr="0027097B">
        <w:rPr>
          <w:color w:val="000000" w:themeColor="text1"/>
        </w:rPr>
        <w:tab/>
        <w:t>L</w:t>
      </w:r>
      <w:r>
        <w:rPr>
          <w:color w:val="000000" w:themeColor="text1"/>
        </w:rPr>
        <w:t>’</w:t>
      </w:r>
      <w:r w:rsidRPr="0027097B">
        <w:rPr>
          <w:color w:val="000000" w:themeColor="text1"/>
        </w:rPr>
        <w:t xml:space="preserve">État partie </w:t>
      </w:r>
      <w:r>
        <w:rPr>
          <w:color w:val="000000" w:themeColor="text1"/>
        </w:rPr>
        <w:t xml:space="preserve">souligne qu’en </w:t>
      </w:r>
      <w:r w:rsidRPr="0027097B">
        <w:rPr>
          <w:color w:val="000000" w:themeColor="text1"/>
        </w:rPr>
        <w:t xml:space="preserve">pratique la Commission de recours des réfugiés commet </w:t>
      </w:r>
      <w:r>
        <w:rPr>
          <w:color w:val="000000" w:themeColor="text1"/>
        </w:rPr>
        <w:t xml:space="preserve">d’office, dans toutes les affaires </w:t>
      </w:r>
      <w:r w:rsidRPr="0027097B">
        <w:rPr>
          <w:color w:val="000000" w:themeColor="text1"/>
        </w:rPr>
        <w:t>d</w:t>
      </w:r>
      <w:r>
        <w:rPr>
          <w:color w:val="000000" w:themeColor="text1"/>
        </w:rPr>
        <w:t>’</w:t>
      </w:r>
      <w:r w:rsidRPr="0027097B">
        <w:rPr>
          <w:color w:val="000000" w:themeColor="text1"/>
        </w:rPr>
        <w:t>asile</w:t>
      </w:r>
      <w:r>
        <w:rPr>
          <w:color w:val="000000" w:themeColor="text1"/>
        </w:rPr>
        <w:t>,</w:t>
      </w:r>
      <w:r w:rsidRPr="0027097B">
        <w:rPr>
          <w:color w:val="000000" w:themeColor="text1"/>
        </w:rPr>
        <w:t xml:space="preserve"> un conseil </w:t>
      </w:r>
      <w:r>
        <w:rPr>
          <w:color w:val="000000" w:themeColor="text1"/>
        </w:rPr>
        <w:t xml:space="preserve">auquel </w:t>
      </w:r>
      <w:r w:rsidR="00F0786E">
        <w:rPr>
          <w:color w:val="000000" w:themeColor="text1"/>
        </w:rPr>
        <w:t xml:space="preserve">elle </w:t>
      </w:r>
      <w:r w:rsidRPr="0027097B">
        <w:rPr>
          <w:color w:val="000000" w:themeColor="text1"/>
        </w:rPr>
        <w:t xml:space="preserve">transmet le dossier </w:t>
      </w:r>
      <w:r>
        <w:rPr>
          <w:color w:val="000000" w:themeColor="text1"/>
        </w:rPr>
        <w:t xml:space="preserve">du demandeur d’asile </w:t>
      </w:r>
      <w:r w:rsidRPr="0027097B">
        <w:rPr>
          <w:color w:val="000000" w:themeColor="text1"/>
        </w:rPr>
        <w:t>bien avant la date de l</w:t>
      </w:r>
      <w:r>
        <w:rPr>
          <w:color w:val="000000" w:themeColor="text1"/>
        </w:rPr>
        <w:t>’</w:t>
      </w:r>
      <w:r w:rsidRPr="0027097B">
        <w:rPr>
          <w:color w:val="000000" w:themeColor="text1"/>
        </w:rPr>
        <w:t xml:space="preserve">audition. </w:t>
      </w:r>
      <w:r>
        <w:rPr>
          <w:color w:val="000000" w:themeColor="text1"/>
        </w:rPr>
        <w:t>En pratique</w:t>
      </w:r>
      <w:r w:rsidRPr="0027097B">
        <w:rPr>
          <w:color w:val="000000" w:themeColor="text1"/>
        </w:rPr>
        <w:t xml:space="preserve">, </w:t>
      </w:r>
      <w:r>
        <w:rPr>
          <w:color w:val="000000" w:themeColor="text1"/>
        </w:rPr>
        <w:t xml:space="preserve">avant d’être entendus, </w:t>
      </w:r>
      <w:r w:rsidRPr="0027097B">
        <w:rPr>
          <w:color w:val="000000" w:themeColor="text1"/>
        </w:rPr>
        <w:t xml:space="preserve">les </w:t>
      </w:r>
      <w:r>
        <w:rPr>
          <w:color w:val="000000" w:themeColor="text1"/>
        </w:rPr>
        <w:t xml:space="preserve">demandeurs d’asile s’entretiennent </w:t>
      </w:r>
      <w:r w:rsidRPr="0027097B">
        <w:rPr>
          <w:color w:val="000000" w:themeColor="text1"/>
        </w:rPr>
        <w:t xml:space="preserve">toujours </w:t>
      </w:r>
      <w:r>
        <w:rPr>
          <w:color w:val="000000" w:themeColor="text1"/>
        </w:rPr>
        <w:t xml:space="preserve">avec leur conseil, lequel dépose </w:t>
      </w:r>
      <w:r w:rsidRPr="0027097B">
        <w:rPr>
          <w:color w:val="000000" w:themeColor="text1"/>
        </w:rPr>
        <w:t xml:space="preserve">des </w:t>
      </w:r>
      <w:r>
        <w:rPr>
          <w:color w:val="000000" w:themeColor="text1"/>
        </w:rPr>
        <w:t xml:space="preserve">conclusions </w:t>
      </w:r>
      <w:r w:rsidRPr="0027097B">
        <w:rPr>
          <w:color w:val="000000" w:themeColor="text1"/>
        </w:rPr>
        <w:t>dans la grande majorité des cas. Sont présents aux auditions de la Commission le demandeur d</w:t>
      </w:r>
      <w:r>
        <w:rPr>
          <w:color w:val="000000" w:themeColor="text1"/>
        </w:rPr>
        <w:t>’</w:t>
      </w:r>
      <w:r w:rsidRPr="0027097B">
        <w:rPr>
          <w:color w:val="000000" w:themeColor="text1"/>
        </w:rPr>
        <w:t>asile et son conseil ainsi qu</w:t>
      </w:r>
      <w:r>
        <w:rPr>
          <w:color w:val="000000" w:themeColor="text1"/>
        </w:rPr>
        <w:t>’</w:t>
      </w:r>
      <w:r w:rsidRPr="0027097B">
        <w:rPr>
          <w:color w:val="000000" w:themeColor="text1"/>
        </w:rPr>
        <w:t xml:space="preserve">un interprète et un représentant du Service </w:t>
      </w:r>
      <w:r>
        <w:rPr>
          <w:color w:val="000000" w:themeColor="text1"/>
        </w:rPr>
        <w:t xml:space="preserve">danois </w:t>
      </w:r>
      <w:r w:rsidRPr="0027097B">
        <w:rPr>
          <w:color w:val="000000" w:themeColor="text1"/>
        </w:rPr>
        <w:t>de l</w:t>
      </w:r>
      <w:r>
        <w:rPr>
          <w:color w:val="000000" w:themeColor="text1"/>
        </w:rPr>
        <w:t>’</w:t>
      </w:r>
      <w:r w:rsidRPr="0027097B">
        <w:rPr>
          <w:color w:val="000000" w:themeColor="text1"/>
        </w:rPr>
        <w:t>immigration. Le demandeur d</w:t>
      </w:r>
      <w:r>
        <w:rPr>
          <w:color w:val="000000" w:themeColor="text1"/>
        </w:rPr>
        <w:t>’</w:t>
      </w:r>
      <w:r w:rsidRPr="0027097B">
        <w:rPr>
          <w:color w:val="000000" w:themeColor="text1"/>
        </w:rPr>
        <w:t xml:space="preserve">asile fait une déclaration et peut produire des éléments de preuve supplémentaires. Des questions lui sont posées, à la suite de quoi son conseil et le représentant du Service </w:t>
      </w:r>
      <w:r>
        <w:rPr>
          <w:color w:val="000000" w:themeColor="text1"/>
        </w:rPr>
        <w:t xml:space="preserve">danois </w:t>
      </w:r>
      <w:r w:rsidRPr="0027097B">
        <w:rPr>
          <w:color w:val="000000" w:themeColor="text1"/>
        </w:rPr>
        <w:t>de l</w:t>
      </w:r>
      <w:r>
        <w:rPr>
          <w:color w:val="000000" w:themeColor="text1"/>
        </w:rPr>
        <w:t>’</w:t>
      </w:r>
      <w:r w:rsidRPr="0027097B">
        <w:rPr>
          <w:color w:val="000000" w:themeColor="text1"/>
        </w:rPr>
        <w:t>immigration peuvent présenter oralement des arguments. Le demandeur d</w:t>
      </w:r>
      <w:r>
        <w:rPr>
          <w:color w:val="000000" w:themeColor="text1"/>
        </w:rPr>
        <w:t>’</w:t>
      </w:r>
      <w:r w:rsidRPr="0027097B">
        <w:rPr>
          <w:color w:val="000000" w:themeColor="text1"/>
        </w:rPr>
        <w:t xml:space="preserve">asile peut faire une déclaration finale. </w:t>
      </w:r>
      <w:r>
        <w:rPr>
          <w:color w:val="000000" w:themeColor="text1"/>
        </w:rPr>
        <w:t xml:space="preserve">En principe, la </w:t>
      </w:r>
      <w:r w:rsidRPr="0027097B">
        <w:rPr>
          <w:color w:val="000000" w:themeColor="text1"/>
        </w:rPr>
        <w:t>Commission se prononce immédiatement après l</w:t>
      </w:r>
      <w:r>
        <w:rPr>
          <w:color w:val="000000" w:themeColor="text1"/>
        </w:rPr>
        <w:t>’</w:t>
      </w:r>
      <w:r w:rsidRPr="0027097B">
        <w:rPr>
          <w:color w:val="000000" w:themeColor="text1"/>
        </w:rPr>
        <w:t>audition. Ses décisions se fondent sur une appréciation faite au cas par cas à la lumière de tous les éléments utiles, y compris des informations sur le pays d</w:t>
      </w:r>
      <w:r>
        <w:rPr>
          <w:color w:val="000000" w:themeColor="text1"/>
        </w:rPr>
        <w:t>’</w:t>
      </w:r>
      <w:r w:rsidRPr="0027097B">
        <w:rPr>
          <w:color w:val="000000" w:themeColor="text1"/>
        </w:rPr>
        <w:t>origine</w:t>
      </w:r>
      <w:r>
        <w:rPr>
          <w:color w:val="000000" w:themeColor="text1"/>
        </w:rPr>
        <w:t xml:space="preserve"> du demandeur d’asile</w:t>
      </w:r>
      <w:r w:rsidRPr="0027097B">
        <w:rPr>
          <w:color w:val="000000" w:themeColor="text1"/>
        </w:rPr>
        <w:t>.</w:t>
      </w:r>
    </w:p>
    <w:p w14:paraId="1619F044" w14:textId="77777777" w:rsidR="00D86915" w:rsidRPr="0027097B" w:rsidRDefault="00D86915" w:rsidP="00D86915">
      <w:pPr>
        <w:pStyle w:val="SingleTxtG"/>
        <w:rPr>
          <w:color w:val="000000" w:themeColor="text1"/>
          <w:spacing w:val="-1"/>
        </w:rPr>
      </w:pPr>
      <w:r w:rsidRPr="0027097B">
        <w:rPr>
          <w:color w:val="000000" w:themeColor="text1"/>
          <w:spacing w:val="-1"/>
        </w:rPr>
        <w:t>4.7</w:t>
      </w:r>
      <w:r w:rsidRPr="0027097B">
        <w:rPr>
          <w:color w:val="000000" w:themeColor="text1"/>
          <w:spacing w:val="-1"/>
        </w:rPr>
        <w:tab/>
        <w:t>L</w:t>
      </w:r>
      <w:r>
        <w:rPr>
          <w:color w:val="000000" w:themeColor="text1"/>
          <w:spacing w:val="-1"/>
        </w:rPr>
        <w:t>’</w:t>
      </w:r>
      <w:r w:rsidRPr="0027097B">
        <w:rPr>
          <w:color w:val="000000" w:themeColor="text1"/>
          <w:spacing w:val="-1"/>
        </w:rPr>
        <w:t>État partie fait observer que les demandeurs d</w:t>
      </w:r>
      <w:r>
        <w:rPr>
          <w:color w:val="000000" w:themeColor="text1"/>
          <w:spacing w:val="-1"/>
        </w:rPr>
        <w:t>’</w:t>
      </w:r>
      <w:r w:rsidRPr="0027097B">
        <w:rPr>
          <w:color w:val="000000" w:themeColor="text1"/>
          <w:spacing w:val="-1"/>
        </w:rPr>
        <w:t xml:space="preserve">asile </w:t>
      </w:r>
      <w:r>
        <w:rPr>
          <w:color w:val="000000" w:themeColor="text1"/>
          <w:spacing w:val="-1"/>
        </w:rPr>
        <w:t xml:space="preserve">sont informés qu’ils sont tenus de fournir </w:t>
      </w:r>
      <w:r w:rsidRPr="0027097B">
        <w:rPr>
          <w:color w:val="000000" w:themeColor="text1"/>
          <w:spacing w:val="-1"/>
        </w:rPr>
        <w:t xml:space="preserve">des informations détaillées et </w:t>
      </w:r>
      <w:r>
        <w:rPr>
          <w:color w:val="000000" w:themeColor="text1"/>
          <w:spacing w:val="-1"/>
        </w:rPr>
        <w:t>qu’il est important qu’ils le fassent</w:t>
      </w:r>
      <w:r w:rsidRPr="0027097B">
        <w:rPr>
          <w:color w:val="000000" w:themeColor="text1"/>
          <w:spacing w:val="-1"/>
        </w:rPr>
        <w:t>. La Commission de recours des réfugiés fonde son évaluation sur une appréciation générale des déclarations faites par le demandeur d</w:t>
      </w:r>
      <w:r>
        <w:rPr>
          <w:color w:val="000000" w:themeColor="text1"/>
          <w:spacing w:val="-1"/>
        </w:rPr>
        <w:t>’</w:t>
      </w:r>
      <w:r w:rsidRPr="0027097B">
        <w:rPr>
          <w:color w:val="000000" w:themeColor="text1"/>
          <w:spacing w:val="-1"/>
        </w:rPr>
        <w:t xml:space="preserve">asile et de son attitude au cours de son audition, ainsi que </w:t>
      </w:r>
      <w:r>
        <w:rPr>
          <w:color w:val="000000" w:themeColor="text1"/>
          <w:spacing w:val="-1"/>
        </w:rPr>
        <w:t xml:space="preserve">sur </w:t>
      </w:r>
      <w:r w:rsidRPr="0027097B">
        <w:rPr>
          <w:color w:val="000000" w:themeColor="text1"/>
          <w:spacing w:val="-1"/>
        </w:rPr>
        <w:t>d</w:t>
      </w:r>
      <w:r>
        <w:rPr>
          <w:color w:val="000000" w:themeColor="text1"/>
          <w:spacing w:val="-1"/>
        </w:rPr>
        <w:t>’</w:t>
      </w:r>
      <w:r w:rsidRPr="0027097B">
        <w:rPr>
          <w:color w:val="000000" w:themeColor="text1"/>
          <w:spacing w:val="-1"/>
        </w:rPr>
        <w:t>autres informations</w:t>
      </w:r>
      <w:r>
        <w:rPr>
          <w:color w:val="000000" w:themeColor="text1"/>
          <w:spacing w:val="-1"/>
        </w:rPr>
        <w:t xml:space="preserve"> </w:t>
      </w:r>
      <w:r w:rsidRPr="0027097B">
        <w:rPr>
          <w:color w:val="000000" w:themeColor="text1"/>
          <w:spacing w:val="-1"/>
        </w:rPr>
        <w:t>concernant notamment le pays d</w:t>
      </w:r>
      <w:r>
        <w:rPr>
          <w:color w:val="000000" w:themeColor="text1"/>
          <w:spacing w:val="-1"/>
        </w:rPr>
        <w:t>’</w:t>
      </w:r>
      <w:r w:rsidRPr="0027097B">
        <w:rPr>
          <w:color w:val="000000" w:themeColor="text1"/>
          <w:spacing w:val="-1"/>
        </w:rPr>
        <w:t>origine de l</w:t>
      </w:r>
      <w:r>
        <w:rPr>
          <w:color w:val="000000" w:themeColor="text1"/>
          <w:spacing w:val="-1"/>
        </w:rPr>
        <w:t>’</w:t>
      </w:r>
      <w:r w:rsidRPr="0027097B">
        <w:rPr>
          <w:color w:val="000000" w:themeColor="text1"/>
          <w:spacing w:val="-1"/>
        </w:rPr>
        <w:t>intéressé. La Commission dispose d</w:t>
      </w:r>
      <w:r>
        <w:rPr>
          <w:color w:val="000000" w:themeColor="text1"/>
          <w:spacing w:val="-1"/>
        </w:rPr>
        <w:t>’</w:t>
      </w:r>
      <w:r w:rsidRPr="0027097B">
        <w:rPr>
          <w:color w:val="000000" w:themeColor="text1"/>
          <w:spacing w:val="-1"/>
        </w:rPr>
        <w:t>un ensemble complet d</w:t>
      </w:r>
      <w:r>
        <w:rPr>
          <w:color w:val="000000" w:themeColor="text1"/>
          <w:spacing w:val="-1"/>
        </w:rPr>
        <w:t>’</w:t>
      </w:r>
      <w:r w:rsidRPr="0027097B">
        <w:rPr>
          <w:color w:val="000000" w:themeColor="text1"/>
          <w:spacing w:val="-1"/>
        </w:rPr>
        <w:t>informations, qu</w:t>
      </w:r>
      <w:r>
        <w:rPr>
          <w:color w:val="000000" w:themeColor="text1"/>
          <w:spacing w:val="-1"/>
        </w:rPr>
        <w:t>’</w:t>
      </w:r>
      <w:r w:rsidRPr="0027097B">
        <w:rPr>
          <w:color w:val="000000" w:themeColor="text1"/>
          <w:spacing w:val="-1"/>
        </w:rPr>
        <w:t>elle met constamment à jour en se fondant sur diverses sources. En principe, elle ajoute foi aux déclarations des demandeurs d</w:t>
      </w:r>
      <w:r>
        <w:rPr>
          <w:color w:val="000000" w:themeColor="text1"/>
          <w:spacing w:val="-1"/>
        </w:rPr>
        <w:t>’</w:t>
      </w:r>
      <w:r w:rsidRPr="0027097B">
        <w:rPr>
          <w:color w:val="000000" w:themeColor="text1"/>
          <w:spacing w:val="-1"/>
        </w:rPr>
        <w:t>asile si celles</w:t>
      </w:r>
      <w:r w:rsidR="00440941">
        <w:rPr>
          <w:color w:val="000000" w:themeColor="text1"/>
          <w:spacing w:val="-1"/>
        </w:rPr>
        <w:noBreakHyphen/>
      </w:r>
      <w:r w:rsidRPr="0027097B">
        <w:rPr>
          <w:color w:val="000000" w:themeColor="text1"/>
          <w:spacing w:val="-1"/>
        </w:rPr>
        <w:t xml:space="preserve">ci sont cohérentes et concordantes, et </w:t>
      </w:r>
      <w:r>
        <w:rPr>
          <w:color w:val="000000" w:themeColor="text1"/>
          <w:spacing w:val="-1"/>
        </w:rPr>
        <w:t xml:space="preserve">demande </w:t>
      </w:r>
      <w:r w:rsidRPr="0027097B">
        <w:rPr>
          <w:color w:val="000000" w:themeColor="text1"/>
          <w:spacing w:val="-1"/>
        </w:rPr>
        <w:t xml:space="preserve">des éclaircissements </w:t>
      </w:r>
      <w:r>
        <w:rPr>
          <w:color w:val="000000" w:themeColor="text1"/>
          <w:spacing w:val="-1"/>
        </w:rPr>
        <w:t xml:space="preserve">lorsqu’elles </w:t>
      </w:r>
      <w:r w:rsidRPr="0027097B">
        <w:rPr>
          <w:color w:val="000000" w:themeColor="text1"/>
          <w:spacing w:val="-1"/>
        </w:rPr>
        <w:t>comportent des</w:t>
      </w:r>
      <w:r w:rsidRPr="0027097B">
        <w:rPr>
          <w:color w:val="000000" w:themeColor="text1"/>
          <w:spacing w:val="-1"/>
          <w:shd w:val="clear" w:color="auto" w:fill="FFFFFF"/>
        </w:rPr>
        <w:t xml:space="preserve"> incohérences, des variations</w:t>
      </w:r>
      <w:r>
        <w:rPr>
          <w:color w:val="000000" w:themeColor="text1"/>
          <w:spacing w:val="-1"/>
          <w:shd w:val="clear" w:color="auto" w:fill="FFFFFF"/>
        </w:rPr>
        <w:t xml:space="preserve"> </w:t>
      </w:r>
      <w:r w:rsidRPr="0027097B">
        <w:rPr>
          <w:color w:val="000000" w:themeColor="text1"/>
          <w:spacing w:val="-1"/>
          <w:shd w:val="clear" w:color="auto" w:fill="FFFFFF"/>
        </w:rPr>
        <w:t>ou des omissions</w:t>
      </w:r>
      <w:r w:rsidRPr="0027097B">
        <w:rPr>
          <w:color w:val="000000" w:themeColor="text1"/>
          <w:spacing w:val="-1"/>
        </w:rPr>
        <w:t xml:space="preserve">. </w:t>
      </w:r>
      <w:r w:rsidRPr="0027097B">
        <w:rPr>
          <w:color w:val="000000" w:themeColor="text1"/>
          <w:spacing w:val="-1"/>
          <w:shd w:val="clear" w:color="auto" w:fill="FFFFFF"/>
        </w:rPr>
        <w:t>Toute incohérence au sujet d</w:t>
      </w:r>
      <w:r>
        <w:rPr>
          <w:color w:val="000000" w:themeColor="text1"/>
          <w:spacing w:val="-1"/>
          <w:shd w:val="clear" w:color="auto" w:fill="FFFFFF"/>
        </w:rPr>
        <w:t>’</w:t>
      </w:r>
      <w:r w:rsidRPr="0027097B">
        <w:rPr>
          <w:color w:val="000000" w:themeColor="text1"/>
          <w:spacing w:val="-1"/>
          <w:shd w:val="clear" w:color="auto" w:fill="FFFFFF"/>
        </w:rPr>
        <w:t xml:space="preserve">éléments </w:t>
      </w:r>
      <w:r>
        <w:rPr>
          <w:color w:val="000000" w:themeColor="text1"/>
          <w:spacing w:val="-1"/>
          <w:shd w:val="clear" w:color="auto" w:fill="FFFFFF"/>
        </w:rPr>
        <w:t xml:space="preserve">essentiels </w:t>
      </w:r>
      <w:r w:rsidRPr="0027097B">
        <w:rPr>
          <w:color w:val="000000" w:themeColor="text1"/>
          <w:spacing w:val="-1"/>
          <w:shd w:val="clear" w:color="auto" w:fill="FFFFFF"/>
        </w:rPr>
        <w:t>peut entamer la crédibilité du requérant ;</w:t>
      </w:r>
      <w:r w:rsidRPr="0027097B">
        <w:rPr>
          <w:color w:val="000000" w:themeColor="text1"/>
          <w:spacing w:val="-1"/>
        </w:rPr>
        <w:t xml:space="preserve"> en pareil cas, la Commission tient compte, entre autres, des explications du demandeur d</w:t>
      </w:r>
      <w:r>
        <w:rPr>
          <w:color w:val="000000" w:themeColor="text1"/>
          <w:spacing w:val="-1"/>
        </w:rPr>
        <w:t>’</w:t>
      </w:r>
      <w:r w:rsidRPr="0027097B">
        <w:rPr>
          <w:color w:val="000000" w:themeColor="text1"/>
          <w:spacing w:val="-1"/>
        </w:rPr>
        <w:t xml:space="preserve">asile, ainsi que de sa situation, notamment des différences culturelles, de son âge et de son état de santé. Dans certains cas, il </w:t>
      </w:r>
      <w:r>
        <w:rPr>
          <w:color w:val="000000" w:themeColor="text1"/>
          <w:spacing w:val="-1"/>
        </w:rPr>
        <w:t xml:space="preserve">peut être nécessaire </w:t>
      </w:r>
      <w:r w:rsidRPr="0027097B">
        <w:rPr>
          <w:color w:val="000000" w:themeColor="text1"/>
          <w:spacing w:val="-1"/>
        </w:rPr>
        <w:t>d</w:t>
      </w:r>
      <w:r>
        <w:rPr>
          <w:color w:val="000000" w:themeColor="text1"/>
          <w:spacing w:val="-1"/>
        </w:rPr>
        <w:t>’</w:t>
      </w:r>
      <w:r w:rsidRPr="0027097B">
        <w:rPr>
          <w:color w:val="000000" w:themeColor="text1"/>
          <w:spacing w:val="-1"/>
        </w:rPr>
        <w:t xml:space="preserve">accorder davantage </w:t>
      </w:r>
      <w:r>
        <w:rPr>
          <w:color w:val="000000" w:themeColor="text1"/>
          <w:spacing w:val="-1"/>
        </w:rPr>
        <w:t xml:space="preserve">de poids </w:t>
      </w:r>
      <w:r w:rsidRPr="0027097B">
        <w:rPr>
          <w:color w:val="000000" w:themeColor="text1"/>
          <w:spacing w:val="-1"/>
        </w:rPr>
        <w:t>aux éléments objectifs en raison de l</w:t>
      </w:r>
      <w:r>
        <w:rPr>
          <w:color w:val="000000" w:themeColor="text1"/>
          <w:spacing w:val="-1"/>
        </w:rPr>
        <w:t>’</w:t>
      </w:r>
      <w:r w:rsidRPr="0027097B">
        <w:rPr>
          <w:color w:val="000000" w:themeColor="text1"/>
          <w:spacing w:val="-1"/>
        </w:rPr>
        <w:t>âge du demandeur d</w:t>
      </w:r>
      <w:r>
        <w:rPr>
          <w:color w:val="000000" w:themeColor="text1"/>
          <w:spacing w:val="-1"/>
        </w:rPr>
        <w:t>’</w:t>
      </w:r>
      <w:r w:rsidRPr="0027097B">
        <w:rPr>
          <w:color w:val="000000" w:themeColor="text1"/>
          <w:spacing w:val="-1"/>
        </w:rPr>
        <w:t xml:space="preserve">asile ou de son état </w:t>
      </w:r>
      <w:r>
        <w:rPr>
          <w:color w:val="000000" w:themeColor="text1"/>
          <w:spacing w:val="-1"/>
        </w:rPr>
        <w:t>de santé mentale</w:t>
      </w:r>
      <w:r w:rsidRPr="0027097B">
        <w:rPr>
          <w:color w:val="000000" w:themeColor="text1"/>
          <w:spacing w:val="-1"/>
        </w:rPr>
        <w:t>.</w:t>
      </w:r>
    </w:p>
    <w:p w14:paraId="7C230FD4" w14:textId="30122FA1" w:rsidR="00D86915" w:rsidRPr="0027097B" w:rsidRDefault="00D86915" w:rsidP="00D86915">
      <w:pPr>
        <w:pStyle w:val="SingleTxtG"/>
        <w:rPr>
          <w:color w:val="000000" w:themeColor="text1"/>
        </w:rPr>
      </w:pPr>
      <w:r w:rsidRPr="0027097B">
        <w:rPr>
          <w:color w:val="000000" w:themeColor="text1"/>
        </w:rPr>
        <w:t>4.8</w:t>
      </w:r>
      <w:r w:rsidRPr="0027097B">
        <w:rPr>
          <w:color w:val="000000" w:themeColor="text1"/>
        </w:rPr>
        <w:tab/>
        <w:t>L</w:t>
      </w:r>
      <w:r>
        <w:rPr>
          <w:color w:val="000000" w:themeColor="text1"/>
        </w:rPr>
        <w:t>’</w:t>
      </w:r>
      <w:r w:rsidRPr="0027097B">
        <w:rPr>
          <w:color w:val="000000" w:themeColor="text1"/>
        </w:rPr>
        <w:t xml:space="preserve">État partie fait observer que la communication </w:t>
      </w:r>
      <w:r>
        <w:rPr>
          <w:color w:val="000000" w:themeColor="text1"/>
        </w:rPr>
        <w:t xml:space="preserve">à l’examen </w:t>
      </w:r>
      <w:r w:rsidRPr="0027097B">
        <w:rPr>
          <w:color w:val="000000" w:themeColor="text1"/>
        </w:rPr>
        <w:t xml:space="preserve">ne </w:t>
      </w:r>
      <w:r>
        <w:rPr>
          <w:color w:val="000000" w:themeColor="text1"/>
        </w:rPr>
        <w:t>contient aucun élément justifiant une remise</w:t>
      </w:r>
      <w:r w:rsidRPr="0027097B">
        <w:rPr>
          <w:color w:val="000000" w:themeColor="text1"/>
        </w:rPr>
        <w:t xml:space="preserve"> en question </w:t>
      </w:r>
      <w:r>
        <w:rPr>
          <w:color w:val="000000" w:themeColor="text1"/>
        </w:rPr>
        <w:t xml:space="preserve">de </w:t>
      </w:r>
      <w:r w:rsidRPr="0027097B">
        <w:rPr>
          <w:color w:val="000000" w:themeColor="text1"/>
        </w:rPr>
        <w:t>l</w:t>
      </w:r>
      <w:r>
        <w:rPr>
          <w:color w:val="000000" w:themeColor="text1"/>
        </w:rPr>
        <w:t>’</w:t>
      </w:r>
      <w:r w:rsidRPr="0027097B">
        <w:rPr>
          <w:color w:val="000000" w:themeColor="text1"/>
        </w:rPr>
        <w:t>appréciation de la Commission de recours des réfugiés. Il soutient que l</w:t>
      </w:r>
      <w:r>
        <w:rPr>
          <w:color w:val="000000" w:themeColor="text1"/>
        </w:rPr>
        <w:t>’</w:t>
      </w:r>
      <w:r w:rsidRPr="0027097B">
        <w:rPr>
          <w:color w:val="000000" w:themeColor="text1"/>
        </w:rPr>
        <w:t>auteur n</w:t>
      </w:r>
      <w:r>
        <w:rPr>
          <w:color w:val="000000" w:themeColor="text1"/>
        </w:rPr>
        <w:t>’</w:t>
      </w:r>
      <w:r w:rsidRPr="0027097B">
        <w:rPr>
          <w:color w:val="000000" w:themeColor="text1"/>
        </w:rPr>
        <w:t xml:space="preserve">a pas démontré que son </w:t>
      </w:r>
      <w:r>
        <w:rPr>
          <w:color w:val="000000" w:themeColor="text1"/>
        </w:rPr>
        <w:t>expulsion vers l’</w:t>
      </w:r>
      <w:r w:rsidRPr="0027097B">
        <w:rPr>
          <w:color w:val="000000" w:themeColor="text1"/>
        </w:rPr>
        <w:t xml:space="preserve">Afghanistan constituerait une violation des droits </w:t>
      </w:r>
      <w:r>
        <w:rPr>
          <w:color w:val="000000" w:themeColor="text1"/>
        </w:rPr>
        <w:t xml:space="preserve">qu’il tient de </w:t>
      </w:r>
      <w:r w:rsidRPr="0027097B">
        <w:rPr>
          <w:color w:val="000000" w:themeColor="text1"/>
        </w:rPr>
        <w:t>l</w:t>
      </w:r>
      <w:r>
        <w:rPr>
          <w:color w:val="000000" w:themeColor="text1"/>
        </w:rPr>
        <w:t>’</w:t>
      </w:r>
      <w:r w:rsidR="00834957">
        <w:rPr>
          <w:color w:val="000000" w:themeColor="text1"/>
        </w:rPr>
        <w:t>article </w:t>
      </w:r>
      <w:r w:rsidRPr="0027097B">
        <w:rPr>
          <w:color w:val="000000" w:themeColor="text1"/>
        </w:rPr>
        <w:t>7 du Pacte. Il rappelle que, selon le Comité, i</w:t>
      </w:r>
      <w:r w:rsidRPr="0027097B">
        <w:rPr>
          <w:color w:val="000000" w:themeColor="text1"/>
          <w:shd w:val="clear" w:color="auto" w:fill="FFFFFF"/>
        </w:rPr>
        <w:t xml:space="preserve">l faut des motifs sérieux </w:t>
      </w:r>
      <w:r>
        <w:rPr>
          <w:color w:val="000000" w:themeColor="text1"/>
          <w:shd w:val="clear" w:color="auto" w:fill="FFFFFF"/>
        </w:rPr>
        <w:t xml:space="preserve">pour </w:t>
      </w:r>
      <w:r w:rsidRPr="0027097B">
        <w:rPr>
          <w:color w:val="000000" w:themeColor="text1"/>
          <w:shd w:val="clear" w:color="auto" w:fill="FFFFFF"/>
        </w:rPr>
        <w:t>conclure à l</w:t>
      </w:r>
      <w:r>
        <w:rPr>
          <w:color w:val="000000" w:themeColor="text1"/>
          <w:shd w:val="clear" w:color="auto" w:fill="FFFFFF"/>
        </w:rPr>
        <w:t>’</w:t>
      </w:r>
      <w:r w:rsidRPr="0027097B">
        <w:rPr>
          <w:color w:val="000000" w:themeColor="text1"/>
          <w:shd w:val="clear" w:color="auto" w:fill="FFFFFF"/>
        </w:rPr>
        <w:t>existence d</w:t>
      </w:r>
      <w:r>
        <w:rPr>
          <w:color w:val="000000" w:themeColor="text1"/>
          <w:shd w:val="clear" w:color="auto" w:fill="FFFFFF"/>
        </w:rPr>
        <w:t>’</w:t>
      </w:r>
      <w:r w:rsidRPr="0027097B">
        <w:rPr>
          <w:color w:val="000000" w:themeColor="text1"/>
          <w:shd w:val="clear" w:color="auto" w:fill="FFFFFF"/>
        </w:rPr>
        <w:t>un risque réel de préjudice irréparable</w:t>
      </w:r>
      <w:r w:rsidRPr="00673767">
        <w:rPr>
          <w:rStyle w:val="Appelnotedebasdep"/>
        </w:rPr>
        <w:footnoteReference w:id="8"/>
      </w:r>
      <w:r w:rsidRPr="0027097B">
        <w:rPr>
          <w:color w:val="000000" w:themeColor="text1"/>
          <w:sz w:val="21"/>
          <w:szCs w:val="21"/>
          <w:shd w:val="clear" w:color="auto" w:fill="FFFFFF"/>
        </w:rPr>
        <w:t>.</w:t>
      </w:r>
      <w:r w:rsidRPr="0027097B">
        <w:rPr>
          <w:color w:val="000000" w:themeColor="text1"/>
        </w:rPr>
        <w:t xml:space="preserve"> Il </w:t>
      </w:r>
      <w:r>
        <w:rPr>
          <w:color w:val="000000" w:themeColor="text1"/>
        </w:rPr>
        <w:t xml:space="preserve">invoque </w:t>
      </w:r>
      <w:r w:rsidRPr="0027097B">
        <w:rPr>
          <w:color w:val="000000" w:themeColor="text1"/>
        </w:rPr>
        <w:t xml:space="preserve">également </w:t>
      </w:r>
      <w:r>
        <w:rPr>
          <w:color w:val="000000" w:themeColor="text1"/>
        </w:rPr>
        <w:t xml:space="preserve">la norme qu’applique le Comité lors de </w:t>
      </w:r>
      <w:r w:rsidRPr="0027097B">
        <w:rPr>
          <w:color w:val="000000" w:themeColor="text1"/>
        </w:rPr>
        <w:t>l</w:t>
      </w:r>
      <w:r>
        <w:rPr>
          <w:color w:val="000000" w:themeColor="text1"/>
        </w:rPr>
        <w:t>’</w:t>
      </w:r>
      <w:r w:rsidRPr="0027097B">
        <w:rPr>
          <w:color w:val="000000" w:themeColor="text1"/>
        </w:rPr>
        <w:t>examen de</w:t>
      </w:r>
      <w:r>
        <w:rPr>
          <w:color w:val="000000" w:themeColor="text1"/>
        </w:rPr>
        <w:t>s</w:t>
      </w:r>
      <w:r w:rsidRPr="0027097B">
        <w:rPr>
          <w:color w:val="000000" w:themeColor="text1"/>
        </w:rPr>
        <w:t xml:space="preserve"> communications, </w:t>
      </w:r>
      <w:r>
        <w:rPr>
          <w:color w:val="000000" w:themeColor="text1"/>
        </w:rPr>
        <w:t xml:space="preserve">à savoir qu’un poids considérable doit être accordé à l’évaluation </w:t>
      </w:r>
      <w:r w:rsidRPr="0027097B">
        <w:rPr>
          <w:color w:val="000000" w:themeColor="text1"/>
        </w:rPr>
        <w:t xml:space="preserve">faite </w:t>
      </w:r>
      <w:r>
        <w:rPr>
          <w:color w:val="000000" w:themeColor="text1"/>
        </w:rPr>
        <w:t xml:space="preserve">par </w:t>
      </w:r>
      <w:r w:rsidRPr="0027097B">
        <w:rPr>
          <w:color w:val="000000" w:themeColor="text1"/>
        </w:rPr>
        <w:t>l</w:t>
      </w:r>
      <w:r>
        <w:rPr>
          <w:color w:val="000000" w:themeColor="text1"/>
        </w:rPr>
        <w:t>’</w:t>
      </w:r>
      <w:r w:rsidRPr="0027097B">
        <w:rPr>
          <w:color w:val="000000" w:themeColor="text1"/>
        </w:rPr>
        <w:t xml:space="preserve">État partie et </w:t>
      </w:r>
      <w:r>
        <w:rPr>
          <w:color w:val="000000" w:themeColor="text1"/>
        </w:rPr>
        <w:t xml:space="preserve">que, d’une manière générale, c’est aux organes </w:t>
      </w:r>
      <w:r w:rsidRPr="0027097B">
        <w:rPr>
          <w:color w:val="000000" w:themeColor="text1"/>
        </w:rPr>
        <w:t xml:space="preserve">des États parties </w:t>
      </w:r>
      <w:r>
        <w:rPr>
          <w:color w:val="000000" w:themeColor="text1"/>
        </w:rPr>
        <w:t xml:space="preserve">qu’il appartient </w:t>
      </w:r>
      <w:r w:rsidRPr="0027097B">
        <w:rPr>
          <w:color w:val="000000" w:themeColor="text1"/>
        </w:rPr>
        <w:t>d</w:t>
      </w:r>
      <w:r>
        <w:rPr>
          <w:color w:val="000000" w:themeColor="text1"/>
        </w:rPr>
        <w:t>’</w:t>
      </w:r>
      <w:r w:rsidRPr="0027097B">
        <w:rPr>
          <w:color w:val="000000" w:themeColor="text1"/>
        </w:rPr>
        <w:t>apprécier les faits et les éléments de preuve dans une affaire donnée, sauf s</w:t>
      </w:r>
      <w:r>
        <w:rPr>
          <w:color w:val="000000" w:themeColor="text1"/>
        </w:rPr>
        <w:t>’</w:t>
      </w:r>
      <w:r w:rsidRPr="0027097B">
        <w:rPr>
          <w:color w:val="000000" w:themeColor="text1"/>
        </w:rPr>
        <w:t xml:space="preserve">il peut être établi que cette appréciation </w:t>
      </w:r>
      <w:r>
        <w:rPr>
          <w:color w:val="000000" w:themeColor="text1"/>
        </w:rPr>
        <w:t xml:space="preserve">a été </w:t>
      </w:r>
      <w:r w:rsidRPr="0027097B">
        <w:rPr>
          <w:color w:val="000000" w:themeColor="text1"/>
        </w:rPr>
        <w:t>manifestement arbitraire ou a représenté un déni de justice</w:t>
      </w:r>
      <w:r w:rsidRPr="00673767">
        <w:rPr>
          <w:rStyle w:val="Appelnotedebasdep"/>
        </w:rPr>
        <w:footnoteReference w:id="9"/>
      </w:r>
      <w:r w:rsidRPr="0027097B">
        <w:rPr>
          <w:color w:val="000000" w:themeColor="text1"/>
        </w:rPr>
        <w:t>. L</w:t>
      </w:r>
      <w:r>
        <w:rPr>
          <w:color w:val="000000" w:themeColor="text1"/>
        </w:rPr>
        <w:t>’</w:t>
      </w:r>
      <w:r w:rsidRPr="0027097B">
        <w:rPr>
          <w:color w:val="000000" w:themeColor="text1"/>
        </w:rPr>
        <w:t>État partie avance qu</w:t>
      </w:r>
      <w:r>
        <w:rPr>
          <w:color w:val="000000" w:themeColor="text1"/>
        </w:rPr>
        <w:t>’</w:t>
      </w:r>
      <w:r w:rsidRPr="0027097B">
        <w:rPr>
          <w:color w:val="000000" w:themeColor="text1"/>
        </w:rPr>
        <w:t>en l</w:t>
      </w:r>
      <w:r>
        <w:rPr>
          <w:color w:val="000000" w:themeColor="text1"/>
        </w:rPr>
        <w:t>’</w:t>
      </w:r>
      <w:r w:rsidRPr="0027097B">
        <w:rPr>
          <w:color w:val="000000" w:themeColor="text1"/>
        </w:rPr>
        <w:t xml:space="preserve">espèce, </w:t>
      </w:r>
      <w:r>
        <w:rPr>
          <w:color w:val="000000" w:themeColor="text1"/>
        </w:rPr>
        <w:t xml:space="preserve">l’auteur n’a pas établi que tel était le cas car </w:t>
      </w:r>
      <w:r>
        <w:rPr>
          <w:color w:val="000000" w:themeColor="text1"/>
        </w:rPr>
        <w:lastRenderedPageBreak/>
        <w:t xml:space="preserve">il s’est contenté de contester l’appréciation en cause et n’a relevé aucune irrégularité dans la procédure de </w:t>
      </w:r>
      <w:r w:rsidRPr="0027097B">
        <w:rPr>
          <w:color w:val="000000" w:themeColor="text1"/>
        </w:rPr>
        <w:t>prise de décision</w:t>
      </w:r>
      <w:r w:rsidR="00617649">
        <w:rPr>
          <w:color w:val="000000" w:themeColor="text1"/>
        </w:rPr>
        <w:t>s</w:t>
      </w:r>
      <w:r w:rsidRPr="0027097B">
        <w:rPr>
          <w:color w:val="000000" w:themeColor="text1"/>
        </w:rPr>
        <w:t xml:space="preserve"> </w:t>
      </w:r>
      <w:r>
        <w:rPr>
          <w:color w:val="000000" w:themeColor="text1"/>
        </w:rPr>
        <w:t xml:space="preserve">ni aucun </w:t>
      </w:r>
      <w:r w:rsidRPr="0027097B">
        <w:rPr>
          <w:color w:val="000000" w:themeColor="text1"/>
        </w:rPr>
        <w:t xml:space="preserve">facteur de risque </w:t>
      </w:r>
      <w:r>
        <w:rPr>
          <w:color w:val="000000" w:themeColor="text1"/>
        </w:rPr>
        <w:t xml:space="preserve">qui n’aurait </w:t>
      </w:r>
      <w:r w:rsidRPr="0027097B">
        <w:rPr>
          <w:color w:val="000000" w:themeColor="text1"/>
        </w:rPr>
        <w:t>pas été dûment pris en considération. Il soutient que l</w:t>
      </w:r>
      <w:r>
        <w:rPr>
          <w:color w:val="000000" w:themeColor="text1"/>
        </w:rPr>
        <w:t>’</w:t>
      </w:r>
      <w:r w:rsidRPr="0027097B">
        <w:rPr>
          <w:color w:val="000000" w:themeColor="text1"/>
        </w:rPr>
        <w:t>auteur cherche à utiliser le Comité comme une instance d</w:t>
      </w:r>
      <w:r>
        <w:rPr>
          <w:color w:val="000000" w:themeColor="text1"/>
        </w:rPr>
        <w:t>’</w:t>
      </w:r>
      <w:r w:rsidRPr="0027097B">
        <w:rPr>
          <w:color w:val="000000" w:themeColor="text1"/>
        </w:rPr>
        <w:t>appel pour obtenir le réexamen de son dossier, alors même que celui-ci a déjà été examiné deux fois au Danemark et que l</w:t>
      </w:r>
      <w:r>
        <w:rPr>
          <w:color w:val="000000" w:themeColor="text1"/>
        </w:rPr>
        <w:t>’</w:t>
      </w:r>
      <w:r w:rsidRPr="0027097B">
        <w:rPr>
          <w:color w:val="000000" w:themeColor="text1"/>
        </w:rPr>
        <w:t>auteur a eu la possibilité de présenter ses arguments oralement et par écrit avec l</w:t>
      </w:r>
      <w:r>
        <w:rPr>
          <w:color w:val="000000" w:themeColor="text1"/>
        </w:rPr>
        <w:t>’</w:t>
      </w:r>
      <w:r w:rsidRPr="0027097B">
        <w:rPr>
          <w:color w:val="000000" w:themeColor="text1"/>
        </w:rPr>
        <w:t>aide d</w:t>
      </w:r>
      <w:r>
        <w:rPr>
          <w:color w:val="000000" w:themeColor="text1"/>
        </w:rPr>
        <w:t>’</w:t>
      </w:r>
      <w:r w:rsidRPr="0027097B">
        <w:rPr>
          <w:color w:val="000000" w:themeColor="text1"/>
        </w:rPr>
        <w:t xml:space="preserve">un conseil, ce qui a permis à la Commission de recours des réfugiés de procéder à une </w:t>
      </w:r>
      <w:r>
        <w:rPr>
          <w:color w:val="000000" w:themeColor="text1"/>
        </w:rPr>
        <w:t xml:space="preserve">évaluation </w:t>
      </w:r>
      <w:r w:rsidRPr="0027097B">
        <w:rPr>
          <w:color w:val="000000" w:themeColor="text1"/>
        </w:rPr>
        <w:t>exhaustive et approfondie.</w:t>
      </w:r>
    </w:p>
    <w:p w14:paraId="682341E2" w14:textId="7D4434C8" w:rsidR="00D86915" w:rsidRPr="000A74B3" w:rsidRDefault="00D86915" w:rsidP="00D86915">
      <w:pPr>
        <w:pStyle w:val="SingleTxtG"/>
        <w:rPr>
          <w:color w:val="000000" w:themeColor="text1"/>
        </w:rPr>
      </w:pPr>
      <w:r w:rsidRPr="0027097B">
        <w:rPr>
          <w:color w:val="000000" w:themeColor="text1"/>
        </w:rPr>
        <w:t>4.9</w:t>
      </w:r>
      <w:r w:rsidRPr="0027097B">
        <w:rPr>
          <w:color w:val="000000" w:themeColor="text1"/>
        </w:rPr>
        <w:tab/>
        <w:t>L</w:t>
      </w:r>
      <w:r>
        <w:rPr>
          <w:color w:val="000000" w:themeColor="text1"/>
        </w:rPr>
        <w:t>’</w:t>
      </w:r>
      <w:r w:rsidRPr="0027097B">
        <w:rPr>
          <w:color w:val="000000" w:themeColor="text1"/>
        </w:rPr>
        <w:t>État partie fait observer que la communication ne contient aucun élément nouveau sur la situation de l</w:t>
      </w:r>
      <w:r>
        <w:rPr>
          <w:color w:val="000000" w:themeColor="text1"/>
        </w:rPr>
        <w:t>’</w:t>
      </w:r>
      <w:r w:rsidRPr="0027097B">
        <w:rPr>
          <w:color w:val="000000" w:themeColor="text1"/>
        </w:rPr>
        <w:t>auteur en Afghanistan. Il relève que la situation générale en Afghanistan n</w:t>
      </w:r>
      <w:r>
        <w:rPr>
          <w:color w:val="000000" w:themeColor="text1"/>
        </w:rPr>
        <w:t>’</w:t>
      </w:r>
      <w:r w:rsidRPr="0027097B">
        <w:rPr>
          <w:color w:val="000000" w:themeColor="text1"/>
        </w:rPr>
        <w:t>est pas de nature à justifier que l</w:t>
      </w:r>
      <w:r>
        <w:rPr>
          <w:color w:val="000000" w:themeColor="text1"/>
        </w:rPr>
        <w:t>’</w:t>
      </w:r>
      <w:r w:rsidRPr="0027097B">
        <w:rPr>
          <w:color w:val="000000" w:themeColor="text1"/>
        </w:rPr>
        <w:t>auteur se voie accorder l</w:t>
      </w:r>
      <w:r>
        <w:rPr>
          <w:color w:val="000000" w:themeColor="text1"/>
        </w:rPr>
        <w:t>’</w:t>
      </w:r>
      <w:r w:rsidRPr="0027097B">
        <w:rPr>
          <w:color w:val="000000" w:themeColor="text1"/>
        </w:rPr>
        <w:t>asile</w:t>
      </w:r>
      <w:r w:rsidRPr="00673767">
        <w:rPr>
          <w:rStyle w:val="Appelnotedebasdep"/>
        </w:rPr>
        <w:footnoteReference w:id="10"/>
      </w:r>
      <w:r w:rsidRPr="0027097B">
        <w:rPr>
          <w:color w:val="000000" w:themeColor="text1"/>
        </w:rPr>
        <w:t xml:space="preserve">. </w:t>
      </w:r>
      <w:r w:rsidRPr="000A74B3">
        <w:rPr>
          <w:color w:val="000000" w:themeColor="text1"/>
        </w:rPr>
        <w:t>S</w:t>
      </w:r>
      <w:r>
        <w:rPr>
          <w:color w:val="000000" w:themeColor="text1"/>
        </w:rPr>
        <w:t>’</w:t>
      </w:r>
      <w:r w:rsidRPr="000A74B3">
        <w:rPr>
          <w:color w:val="000000" w:themeColor="text1"/>
        </w:rPr>
        <w:t>agissant des conclusions de la Commission de recours des réfugiés, il fait remarquer que l</w:t>
      </w:r>
      <w:r>
        <w:rPr>
          <w:color w:val="000000" w:themeColor="text1"/>
        </w:rPr>
        <w:t>’</w:t>
      </w:r>
      <w:r w:rsidRPr="000A74B3">
        <w:rPr>
          <w:color w:val="000000" w:themeColor="text1"/>
        </w:rPr>
        <w:t>auteur n</w:t>
      </w:r>
      <w:r>
        <w:rPr>
          <w:color w:val="000000" w:themeColor="text1"/>
        </w:rPr>
        <w:t>’</w:t>
      </w:r>
      <w:r w:rsidRPr="000A74B3">
        <w:rPr>
          <w:color w:val="000000" w:themeColor="text1"/>
        </w:rPr>
        <w:t>a pas démontré qu</w:t>
      </w:r>
      <w:r>
        <w:rPr>
          <w:color w:val="000000" w:themeColor="text1"/>
        </w:rPr>
        <w:t>’</w:t>
      </w:r>
      <w:r w:rsidRPr="000A74B3">
        <w:rPr>
          <w:color w:val="000000" w:themeColor="text1"/>
        </w:rPr>
        <w:t xml:space="preserve">il </w:t>
      </w:r>
      <w:r w:rsidRPr="000A74B3">
        <w:rPr>
          <w:color w:val="000000" w:themeColor="text1"/>
          <w:shd w:val="clear" w:color="auto" w:fill="FFFFFF"/>
        </w:rPr>
        <w:t>courrait personnellement un risque particulier d</w:t>
      </w:r>
      <w:r>
        <w:rPr>
          <w:color w:val="000000" w:themeColor="text1"/>
          <w:shd w:val="clear" w:color="auto" w:fill="FFFFFF"/>
        </w:rPr>
        <w:t>’</w:t>
      </w:r>
      <w:r w:rsidRPr="000A74B3">
        <w:rPr>
          <w:color w:val="000000" w:themeColor="text1"/>
          <w:shd w:val="clear" w:color="auto" w:fill="FFFFFF"/>
        </w:rPr>
        <w:t>être victime de persécution</w:t>
      </w:r>
      <w:r w:rsidRPr="000A74B3">
        <w:rPr>
          <w:color w:val="000000" w:themeColor="text1"/>
        </w:rPr>
        <w:t xml:space="preserve"> ou de sévices en Afghanistan. </w:t>
      </w:r>
      <w:r>
        <w:rPr>
          <w:color w:val="000000" w:themeColor="text1"/>
        </w:rPr>
        <w:t xml:space="preserve">En soi, le </w:t>
      </w:r>
      <w:r w:rsidRPr="000A74B3">
        <w:rPr>
          <w:color w:val="000000" w:themeColor="text1"/>
        </w:rPr>
        <w:t>fait qu</w:t>
      </w:r>
      <w:r>
        <w:rPr>
          <w:color w:val="000000" w:themeColor="text1"/>
        </w:rPr>
        <w:t>’</w:t>
      </w:r>
      <w:r w:rsidRPr="000A74B3">
        <w:rPr>
          <w:color w:val="000000" w:themeColor="text1"/>
        </w:rPr>
        <w:t>il ne conna</w:t>
      </w:r>
      <w:r>
        <w:rPr>
          <w:color w:val="000000" w:themeColor="text1"/>
        </w:rPr>
        <w:t xml:space="preserve">isse </w:t>
      </w:r>
      <w:r w:rsidRPr="000A74B3">
        <w:rPr>
          <w:color w:val="000000" w:themeColor="text1"/>
        </w:rPr>
        <w:t xml:space="preserve">pas bien la société et les traditions afghanes et </w:t>
      </w:r>
      <w:r>
        <w:rPr>
          <w:color w:val="000000" w:themeColor="text1"/>
        </w:rPr>
        <w:t xml:space="preserve">qu’il </w:t>
      </w:r>
      <w:r w:rsidRPr="000A74B3">
        <w:rPr>
          <w:color w:val="000000" w:themeColor="text1"/>
        </w:rPr>
        <w:t>n</w:t>
      </w:r>
      <w:r>
        <w:rPr>
          <w:color w:val="000000" w:themeColor="text1"/>
        </w:rPr>
        <w:t>’</w:t>
      </w:r>
      <w:r w:rsidRPr="000A74B3">
        <w:rPr>
          <w:color w:val="000000" w:themeColor="text1"/>
        </w:rPr>
        <w:t>a</w:t>
      </w:r>
      <w:r>
        <w:rPr>
          <w:color w:val="000000" w:themeColor="text1"/>
        </w:rPr>
        <w:t>it</w:t>
      </w:r>
      <w:r w:rsidRPr="000A74B3">
        <w:rPr>
          <w:color w:val="000000" w:themeColor="text1"/>
        </w:rPr>
        <w:t xml:space="preserve"> </w:t>
      </w:r>
      <w:r>
        <w:rPr>
          <w:color w:val="000000" w:themeColor="text1"/>
        </w:rPr>
        <w:t xml:space="preserve">ni </w:t>
      </w:r>
      <w:r w:rsidRPr="000A74B3">
        <w:rPr>
          <w:color w:val="000000" w:themeColor="text1"/>
        </w:rPr>
        <w:t xml:space="preserve">famille ni connaissances sur place ne </w:t>
      </w:r>
      <w:r>
        <w:rPr>
          <w:color w:val="000000" w:themeColor="text1"/>
        </w:rPr>
        <w:t xml:space="preserve">justifie </w:t>
      </w:r>
      <w:r w:rsidRPr="000A74B3">
        <w:rPr>
          <w:color w:val="000000" w:themeColor="text1"/>
        </w:rPr>
        <w:t xml:space="preserve">pas </w:t>
      </w:r>
      <w:r>
        <w:rPr>
          <w:color w:val="000000" w:themeColor="text1"/>
        </w:rPr>
        <w:t xml:space="preserve">non plus </w:t>
      </w:r>
      <w:r w:rsidRPr="000A74B3">
        <w:rPr>
          <w:color w:val="000000" w:themeColor="text1"/>
        </w:rPr>
        <w:t>qu</w:t>
      </w:r>
      <w:r>
        <w:rPr>
          <w:color w:val="000000" w:themeColor="text1"/>
        </w:rPr>
        <w:t>’</w:t>
      </w:r>
      <w:r w:rsidRPr="000A74B3">
        <w:rPr>
          <w:color w:val="000000" w:themeColor="text1"/>
        </w:rPr>
        <w:t>on lui accorde l</w:t>
      </w:r>
      <w:r>
        <w:rPr>
          <w:color w:val="000000" w:themeColor="text1"/>
        </w:rPr>
        <w:t>’</w:t>
      </w:r>
      <w:r w:rsidRPr="000A74B3">
        <w:rPr>
          <w:color w:val="000000" w:themeColor="text1"/>
        </w:rPr>
        <w:t>asile. L</w:t>
      </w:r>
      <w:r>
        <w:rPr>
          <w:color w:val="000000" w:themeColor="text1"/>
        </w:rPr>
        <w:t>’</w:t>
      </w:r>
      <w:r w:rsidRPr="000A74B3">
        <w:rPr>
          <w:color w:val="000000" w:themeColor="text1"/>
        </w:rPr>
        <w:t xml:space="preserve">auteur est </w:t>
      </w:r>
      <w:r>
        <w:rPr>
          <w:color w:val="000000" w:themeColor="text1"/>
        </w:rPr>
        <w:t xml:space="preserve">un homme </w:t>
      </w:r>
      <w:r w:rsidRPr="000A74B3">
        <w:rPr>
          <w:color w:val="000000" w:themeColor="text1"/>
        </w:rPr>
        <w:t xml:space="preserve">jeune, en âge de travailler, </w:t>
      </w:r>
      <w:r>
        <w:rPr>
          <w:color w:val="000000" w:themeColor="text1"/>
        </w:rPr>
        <w:t xml:space="preserve">célibataire </w:t>
      </w:r>
      <w:r w:rsidRPr="000A74B3">
        <w:rPr>
          <w:color w:val="000000" w:themeColor="text1"/>
        </w:rPr>
        <w:t xml:space="preserve">et </w:t>
      </w:r>
      <w:r>
        <w:rPr>
          <w:color w:val="000000" w:themeColor="text1"/>
        </w:rPr>
        <w:t xml:space="preserve">qui </w:t>
      </w:r>
      <w:r w:rsidRPr="000A74B3">
        <w:rPr>
          <w:color w:val="000000" w:themeColor="text1"/>
        </w:rPr>
        <w:t>n</w:t>
      </w:r>
      <w:r>
        <w:rPr>
          <w:color w:val="000000" w:themeColor="text1"/>
        </w:rPr>
        <w:t>’</w:t>
      </w:r>
      <w:r w:rsidRPr="000A74B3">
        <w:rPr>
          <w:color w:val="000000" w:themeColor="text1"/>
        </w:rPr>
        <w:t>a pas de problème</w:t>
      </w:r>
      <w:r w:rsidR="005C1B1C">
        <w:rPr>
          <w:color w:val="000000" w:themeColor="text1"/>
        </w:rPr>
        <w:t>s</w:t>
      </w:r>
      <w:r w:rsidRPr="000A74B3">
        <w:rPr>
          <w:color w:val="000000" w:themeColor="text1"/>
        </w:rPr>
        <w:t xml:space="preserve"> de santé ; en outre, compte tenu de ses déclarations concernant ses grands</w:t>
      </w:r>
      <w:r w:rsidR="005C1B1C">
        <w:rPr>
          <w:color w:val="000000" w:themeColor="text1"/>
        </w:rPr>
        <w:noBreakHyphen/>
      </w:r>
      <w:r w:rsidRPr="000A74B3">
        <w:rPr>
          <w:color w:val="000000" w:themeColor="text1"/>
        </w:rPr>
        <w:t>parents, on ne saurait considérer qu</w:t>
      </w:r>
      <w:r>
        <w:rPr>
          <w:color w:val="000000" w:themeColor="text1"/>
        </w:rPr>
        <w:t>’</w:t>
      </w:r>
      <w:r w:rsidRPr="000A74B3">
        <w:rPr>
          <w:color w:val="000000" w:themeColor="text1"/>
        </w:rPr>
        <w:t>il n</w:t>
      </w:r>
      <w:r>
        <w:rPr>
          <w:color w:val="000000" w:themeColor="text1"/>
        </w:rPr>
        <w:t>’</w:t>
      </w:r>
      <w:r w:rsidRPr="000A74B3">
        <w:rPr>
          <w:color w:val="000000" w:themeColor="text1"/>
        </w:rPr>
        <w:t>a pas de famille en Afghanistan. Il n</w:t>
      </w:r>
      <w:r>
        <w:rPr>
          <w:color w:val="000000" w:themeColor="text1"/>
        </w:rPr>
        <w:t>’</w:t>
      </w:r>
      <w:r w:rsidRPr="000A74B3">
        <w:rPr>
          <w:color w:val="000000" w:themeColor="text1"/>
        </w:rPr>
        <w:t xml:space="preserve">a jamais eu de </w:t>
      </w:r>
      <w:r>
        <w:rPr>
          <w:color w:val="000000" w:themeColor="text1"/>
        </w:rPr>
        <w:t xml:space="preserve">conflit dans ce pays </w:t>
      </w:r>
      <w:r w:rsidRPr="000A74B3">
        <w:rPr>
          <w:color w:val="000000" w:themeColor="text1"/>
        </w:rPr>
        <w:t xml:space="preserve">et semble </w:t>
      </w:r>
      <w:r>
        <w:rPr>
          <w:color w:val="000000" w:themeColor="text1"/>
        </w:rPr>
        <w:t>être quelqu’un qui n’attire pas l’attention</w:t>
      </w:r>
      <w:r w:rsidRPr="000A74B3">
        <w:rPr>
          <w:color w:val="000000" w:themeColor="text1"/>
        </w:rPr>
        <w:t xml:space="preserve">. </w:t>
      </w:r>
      <w:r>
        <w:rPr>
          <w:color w:val="000000" w:themeColor="text1"/>
        </w:rPr>
        <w:t>Son</w:t>
      </w:r>
      <w:r w:rsidR="005C1B1C">
        <w:rPr>
          <w:color w:val="000000" w:themeColor="text1"/>
        </w:rPr>
        <w:t> </w:t>
      </w:r>
      <w:r>
        <w:rPr>
          <w:color w:val="000000" w:themeColor="text1"/>
        </w:rPr>
        <w:t xml:space="preserve">affirmation selon laquelle il </w:t>
      </w:r>
      <w:r w:rsidRPr="000A74B3">
        <w:rPr>
          <w:color w:val="000000" w:themeColor="text1"/>
        </w:rPr>
        <w:t xml:space="preserve">serait persécuté en Afghanistan en raison du conflit passé de son père </w:t>
      </w:r>
      <w:r>
        <w:rPr>
          <w:color w:val="000000" w:themeColor="text1"/>
        </w:rPr>
        <w:t xml:space="preserve">relève d’une </w:t>
      </w:r>
      <w:r w:rsidRPr="000A74B3">
        <w:rPr>
          <w:color w:val="000000" w:themeColor="text1"/>
        </w:rPr>
        <w:t>supposition de sa part.</w:t>
      </w:r>
    </w:p>
    <w:p w14:paraId="2BA35D56" w14:textId="77777777" w:rsidR="00D86915" w:rsidRPr="0027097B" w:rsidRDefault="00D86915" w:rsidP="00D86915">
      <w:pPr>
        <w:pStyle w:val="SingleTxtG"/>
        <w:rPr>
          <w:color w:val="000000" w:themeColor="text1"/>
        </w:rPr>
      </w:pPr>
      <w:r w:rsidRPr="0027097B">
        <w:rPr>
          <w:color w:val="000000" w:themeColor="text1"/>
        </w:rPr>
        <w:t>4.10</w:t>
      </w:r>
      <w:r w:rsidRPr="0027097B">
        <w:rPr>
          <w:color w:val="000000" w:themeColor="text1"/>
        </w:rPr>
        <w:tab/>
        <w:t xml:space="preserve">En ce qui concerne </w:t>
      </w:r>
      <w:r>
        <w:rPr>
          <w:color w:val="000000" w:themeColor="text1"/>
        </w:rPr>
        <w:t xml:space="preserve">son </w:t>
      </w:r>
      <w:r w:rsidRPr="0027097B">
        <w:rPr>
          <w:color w:val="000000" w:themeColor="text1"/>
        </w:rPr>
        <w:t xml:space="preserve">intérêt </w:t>
      </w:r>
      <w:r>
        <w:rPr>
          <w:color w:val="000000" w:themeColor="text1"/>
        </w:rPr>
        <w:t xml:space="preserve">pour le </w:t>
      </w:r>
      <w:r w:rsidRPr="0027097B">
        <w:rPr>
          <w:color w:val="000000" w:themeColor="text1"/>
        </w:rPr>
        <w:t>christianisme, son tatouage et la croix qu</w:t>
      </w:r>
      <w:r>
        <w:rPr>
          <w:color w:val="000000" w:themeColor="text1"/>
        </w:rPr>
        <w:t>’</w:t>
      </w:r>
      <w:r w:rsidRPr="0027097B">
        <w:rPr>
          <w:color w:val="000000" w:themeColor="text1"/>
        </w:rPr>
        <w:t>il port</w:t>
      </w:r>
      <w:r>
        <w:rPr>
          <w:color w:val="000000" w:themeColor="text1"/>
        </w:rPr>
        <w:t xml:space="preserve">e au </w:t>
      </w:r>
      <w:r w:rsidRPr="0027097B">
        <w:rPr>
          <w:color w:val="000000" w:themeColor="text1"/>
        </w:rPr>
        <w:t>cou, l</w:t>
      </w:r>
      <w:r>
        <w:rPr>
          <w:color w:val="000000" w:themeColor="text1"/>
        </w:rPr>
        <w:t>’</w:t>
      </w:r>
      <w:r w:rsidRPr="0027097B">
        <w:rPr>
          <w:color w:val="000000" w:themeColor="text1"/>
        </w:rPr>
        <w:t>auteur n</w:t>
      </w:r>
      <w:r>
        <w:rPr>
          <w:color w:val="000000" w:themeColor="text1"/>
        </w:rPr>
        <w:t xml:space="preserve">’en </w:t>
      </w:r>
      <w:r w:rsidRPr="0027097B">
        <w:rPr>
          <w:color w:val="000000" w:themeColor="text1"/>
        </w:rPr>
        <w:t xml:space="preserve">a fait état que dans </w:t>
      </w:r>
      <w:r>
        <w:rPr>
          <w:color w:val="000000" w:themeColor="text1"/>
        </w:rPr>
        <w:t xml:space="preserve">sa </w:t>
      </w:r>
      <w:r w:rsidRPr="0027097B">
        <w:rPr>
          <w:color w:val="000000" w:themeColor="text1"/>
        </w:rPr>
        <w:t xml:space="preserve">demande </w:t>
      </w:r>
      <w:r>
        <w:rPr>
          <w:color w:val="000000" w:themeColor="text1"/>
        </w:rPr>
        <w:t xml:space="preserve">de </w:t>
      </w:r>
      <w:r w:rsidRPr="0027097B">
        <w:rPr>
          <w:color w:val="000000" w:themeColor="text1"/>
        </w:rPr>
        <w:t>réouverture de son dossier, alors même qu</w:t>
      </w:r>
      <w:r>
        <w:rPr>
          <w:color w:val="000000" w:themeColor="text1"/>
        </w:rPr>
        <w:t>’</w:t>
      </w:r>
      <w:r w:rsidRPr="0027097B">
        <w:rPr>
          <w:color w:val="000000" w:themeColor="text1"/>
        </w:rPr>
        <w:t xml:space="preserve">il avait été informé </w:t>
      </w:r>
      <w:r>
        <w:rPr>
          <w:color w:val="000000" w:themeColor="text1"/>
        </w:rPr>
        <w:t>qu’il était important qu’il fournisse toutes les informations pertinentes ; il</w:t>
      </w:r>
      <w:r w:rsidRPr="0027097B">
        <w:rPr>
          <w:color w:val="000000" w:themeColor="text1"/>
        </w:rPr>
        <w:t xml:space="preserve"> aurait donc dû communiquer ces informations avant son audition </w:t>
      </w:r>
      <w:r>
        <w:rPr>
          <w:color w:val="000000" w:themeColor="text1"/>
        </w:rPr>
        <w:t xml:space="preserve">par </w:t>
      </w:r>
      <w:r w:rsidRPr="0027097B">
        <w:rPr>
          <w:color w:val="000000" w:themeColor="text1"/>
        </w:rPr>
        <w:t>la Commission le 5</w:t>
      </w:r>
      <w:r>
        <w:rPr>
          <w:color w:val="000000" w:themeColor="text1"/>
        </w:rPr>
        <w:t> </w:t>
      </w:r>
      <w:r w:rsidRPr="0027097B">
        <w:rPr>
          <w:color w:val="000000" w:themeColor="text1"/>
        </w:rPr>
        <w:t xml:space="preserve">janvier 2017. En outre, interrogé sur son appartenance religieuse </w:t>
      </w:r>
      <w:r>
        <w:rPr>
          <w:color w:val="000000" w:themeColor="text1"/>
        </w:rPr>
        <w:t xml:space="preserve">en </w:t>
      </w:r>
      <w:r w:rsidRPr="0027097B">
        <w:rPr>
          <w:color w:val="000000" w:themeColor="text1"/>
        </w:rPr>
        <w:t>plusieurs occasions au cours de la procédure</w:t>
      </w:r>
      <w:r>
        <w:rPr>
          <w:color w:val="000000" w:themeColor="text1"/>
        </w:rPr>
        <w:t>,</w:t>
      </w:r>
      <w:r w:rsidRPr="0027097B">
        <w:rPr>
          <w:color w:val="000000" w:themeColor="text1"/>
        </w:rPr>
        <w:t xml:space="preserve"> il a </w:t>
      </w:r>
      <w:r>
        <w:rPr>
          <w:color w:val="000000" w:themeColor="text1"/>
        </w:rPr>
        <w:t xml:space="preserve">répondu </w:t>
      </w:r>
      <w:r w:rsidRPr="0027097B">
        <w:rPr>
          <w:color w:val="000000" w:themeColor="text1"/>
        </w:rPr>
        <w:t>qu</w:t>
      </w:r>
      <w:r>
        <w:rPr>
          <w:color w:val="000000" w:themeColor="text1"/>
        </w:rPr>
        <w:t>’</w:t>
      </w:r>
      <w:r w:rsidRPr="0027097B">
        <w:rPr>
          <w:color w:val="000000" w:themeColor="text1"/>
        </w:rPr>
        <w:t xml:space="preserve">il était </w:t>
      </w:r>
      <w:r>
        <w:rPr>
          <w:color w:val="000000" w:themeColor="text1"/>
        </w:rPr>
        <w:t xml:space="preserve">musulman </w:t>
      </w:r>
      <w:r w:rsidRPr="0027097B">
        <w:rPr>
          <w:color w:val="000000" w:themeColor="text1"/>
        </w:rPr>
        <w:t xml:space="preserve">sunnite </w:t>
      </w:r>
      <w:r>
        <w:rPr>
          <w:color w:val="000000" w:themeColor="text1"/>
        </w:rPr>
        <w:t>sans toutefois être un croyant assidu</w:t>
      </w:r>
      <w:r w:rsidRPr="0027097B">
        <w:rPr>
          <w:color w:val="000000" w:themeColor="text1"/>
        </w:rPr>
        <w:t>. L</w:t>
      </w:r>
      <w:r>
        <w:rPr>
          <w:color w:val="000000" w:themeColor="text1"/>
        </w:rPr>
        <w:t>’</w:t>
      </w:r>
      <w:r w:rsidRPr="0027097B">
        <w:rPr>
          <w:color w:val="000000" w:themeColor="text1"/>
        </w:rPr>
        <w:t>État partie a jugé peu convaincante l</w:t>
      </w:r>
      <w:r>
        <w:rPr>
          <w:color w:val="000000" w:themeColor="text1"/>
        </w:rPr>
        <w:t>’</w:t>
      </w:r>
      <w:r w:rsidRPr="0027097B">
        <w:rPr>
          <w:color w:val="000000" w:themeColor="text1"/>
        </w:rPr>
        <w:t xml:space="preserve">explication </w:t>
      </w:r>
      <w:r>
        <w:rPr>
          <w:color w:val="000000" w:themeColor="text1"/>
        </w:rPr>
        <w:t xml:space="preserve">qu’il a </w:t>
      </w:r>
      <w:r w:rsidRPr="0027097B">
        <w:rPr>
          <w:color w:val="000000" w:themeColor="text1"/>
        </w:rPr>
        <w:t>donnée pour justifier la communication tardive de ces informations, à savoir qu</w:t>
      </w:r>
      <w:r>
        <w:rPr>
          <w:color w:val="000000" w:themeColor="text1"/>
        </w:rPr>
        <w:t>’</w:t>
      </w:r>
      <w:r w:rsidRPr="0027097B">
        <w:rPr>
          <w:color w:val="000000" w:themeColor="text1"/>
        </w:rPr>
        <w:t xml:space="preserve">il </w:t>
      </w:r>
      <w:r>
        <w:rPr>
          <w:color w:val="000000" w:themeColor="text1"/>
        </w:rPr>
        <w:t xml:space="preserve">estimait qu’elles </w:t>
      </w:r>
      <w:r w:rsidRPr="0027097B">
        <w:rPr>
          <w:color w:val="000000" w:themeColor="text1"/>
        </w:rPr>
        <w:t>étaient sans rapport avec son dossier. L</w:t>
      </w:r>
      <w:r>
        <w:rPr>
          <w:color w:val="000000" w:themeColor="text1"/>
        </w:rPr>
        <w:t>’</w:t>
      </w:r>
      <w:r w:rsidRPr="0027097B">
        <w:rPr>
          <w:color w:val="000000" w:themeColor="text1"/>
        </w:rPr>
        <w:t>État partie trouve étrange que l</w:t>
      </w:r>
      <w:r>
        <w:rPr>
          <w:color w:val="000000" w:themeColor="text1"/>
        </w:rPr>
        <w:t>’</w:t>
      </w:r>
      <w:r w:rsidRPr="0027097B">
        <w:rPr>
          <w:color w:val="000000" w:themeColor="text1"/>
        </w:rPr>
        <w:t>auteur ait décidé de se faire tatouer ce qu</w:t>
      </w:r>
      <w:r>
        <w:rPr>
          <w:color w:val="000000" w:themeColor="text1"/>
        </w:rPr>
        <w:t>’</w:t>
      </w:r>
      <w:r w:rsidRPr="0027097B">
        <w:rPr>
          <w:color w:val="000000" w:themeColor="text1"/>
        </w:rPr>
        <w:t xml:space="preserve">il dit être une croix quelques jours à peine avant </w:t>
      </w:r>
      <w:r>
        <w:rPr>
          <w:color w:val="000000" w:themeColor="text1"/>
        </w:rPr>
        <w:t xml:space="preserve">d’être entendu par </w:t>
      </w:r>
      <w:r w:rsidRPr="0027097B">
        <w:rPr>
          <w:color w:val="000000" w:themeColor="text1"/>
        </w:rPr>
        <w:t>la Commission de recours des réfugiés et n</w:t>
      </w:r>
      <w:r>
        <w:rPr>
          <w:color w:val="000000" w:themeColor="text1"/>
        </w:rPr>
        <w:t>’</w:t>
      </w:r>
      <w:r w:rsidRPr="0027097B">
        <w:rPr>
          <w:color w:val="000000" w:themeColor="text1"/>
        </w:rPr>
        <w:t>en ait informé ni son conseil ni la Commission, alors qu</w:t>
      </w:r>
      <w:r>
        <w:rPr>
          <w:color w:val="000000" w:themeColor="text1"/>
        </w:rPr>
        <w:t>’</w:t>
      </w:r>
      <w:r w:rsidRPr="0027097B">
        <w:rPr>
          <w:color w:val="000000" w:themeColor="text1"/>
        </w:rPr>
        <w:t xml:space="preserve">il </w:t>
      </w:r>
      <w:r>
        <w:rPr>
          <w:color w:val="000000" w:themeColor="text1"/>
        </w:rPr>
        <w:t xml:space="preserve">déclare que </w:t>
      </w:r>
      <w:r w:rsidRPr="0027097B">
        <w:rPr>
          <w:color w:val="000000" w:themeColor="text1"/>
        </w:rPr>
        <w:t xml:space="preserve">son intérêt pour le christianisme et </w:t>
      </w:r>
      <w:r>
        <w:rPr>
          <w:color w:val="000000" w:themeColor="text1"/>
        </w:rPr>
        <w:t>ce tatouage symbolique sont très importants pour lui</w:t>
      </w:r>
      <w:r w:rsidRPr="0027097B">
        <w:rPr>
          <w:color w:val="000000" w:themeColor="text1"/>
        </w:rPr>
        <w:t>. L</w:t>
      </w:r>
      <w:r>
        <w:rPr>
          <w:color w:val="000000" w:themeColor="text1"/>
        </w:rPr>
        <w:t>’</w:t>
      </w:r>
      <w:r w:rsidRPr="0027097B">
        <w:rPr>
          <w:color w:val="000000" w:themeColor="text1"/>
        </w:rPr>
        <w:t>État partie en conclut que l</w:t>
      </w:r>
      <w:r>
        <w:rPr>
          <w:color w:val="000000" w:themeColor="text1"/>
        </w:rPr>
        <w:t>’</w:t>
      </w:r>
      <w:r w:rsidRPr="0027097B">
        <w:rPr>
          <w:color w:val="000000" w:themeColor="text1"/>
        </w:rPr>
        <w:t>intérêt qu</w:t>
      </w:r>
      <w:r>
        <w:rPr>
          <w:color w:val="000000" w:themeColor="text1"/>
        </w:rPr>
        <w:t>’</w:t>
      </w:r>
      <w:r w:rsidRPr="0027097B">
        <w:rPr>
          <w:color w:val="000000" w:themeColor="text1"/>
        </w:rPr>
        <w:t xml:space="preserve">il prétend porter au christianisme est feint. </w:t>
      </w:r>
      <w:r>
        <w:rPr>
          <w:color w:val="000000" w:themeColor="text1"/>
        </w:rPr>
        <w:t xml:space="preserve">Il est peu probable qu’en raison de ce seul tatouage </w:t>
      </w:r>
      <w:r w:rsidRPr="0027097B">
        <w:rPr>
          <w:color w:val="000000" w:themeColor="text1"/>
        </w:rPr>
        <w:t>l</w:t>
      </w:r>
      <w:r>
        <w:rPr>
          <w:color w:val="000000" w:themeColor="text1"/>
        </w:rPr>
        <w:t>’</w:t>
      </w:r>
      <w:r w:rsidRPr="0027097B">
        <w:rPr>
          <w:color w:val="000000" w:themeColor="text1"/>
        </w:rPr>
        <w:t xml:space="preserve">auteur </w:t>
      </w:r>
      <w:r>
        <w:rPr>
          <w:color w:val="000000" w:themeColor="text1"/>
        </w:rPr>
        <w:t xml:space="preserve">soit considéré </w:t>
      </w:r>
      <w:r w:rsidRPr="0027097B">
        <w:rPr>
          <w:color w:val="000000" w:themeColor="text1"/>
        </w:rPr>
        <w:t>comme chrétien en Afghanistan ; lui</w:t>
      </w:r>
      <w:r>
        <w:rPr>
          <w:color w:val="000000" w:themeColor="text1"/>
        </w:rPr>
        <w:noBreakHyphen/>
      </w:r>
      <w:r w:rsidRPr="0027097B">
        <w:rPr>
          <w:color w:val="000000" w:themeColor="text1"/>
        </w:rPr>
        <w:t>même ne se considère pas comme tel</w:t>
      </w:r>
      <w:r>
        <w:rPr>
          <w:color w:val="000000" w:themeColor="text1"/>
        </w:rPr>
        <w:t xml:space="preserve">, et </w:t>
      </w:r>
      <w:r w:rsidRPr="0027097B">
        <w:rPr>
          <w:color w:val="000000" w:themeColor="text1"/>
        </w:rPr>
        <w:t xml:space="preserve">selon les informations </w:t>
      </w:r>
      <w:r>
        <w:rPr>
          <w:color w:val="000000" w:themeColor="text1"/>
        </w:rPr>
        <w:t xml:space="preserve">disponibles </w:t>
      </w:r>
      <w:r w:rsidRPr="0027097B">
        <w:rPr>
          <w:color w:val="000000" w:themeColor="text1"/>
        </w:rPr>
        <w:t xml:space="preserve">sur le pays, même </w:t>
      </w:r>
      <w:r>
        <w:rPr>
          <w:color w:val="000000" w:themeColor="text1"/>
        </w:rPr>
        <w:t xml:space="preserve">si l’on apprend </w:t>
      </w:r>
      <w:r w:rsidRPr="0027097B">
        <w:rPr>
          <w:color w:val="000000" w:themeColor="text1"/>
        </w:rPr>
        <w:t>qu</w:t>
      </w:r>
      <w:r>
        <w:rPr>
          <w:color w:val="000000" w:themeColor="text1"/>
        </w:rPr>
        <w:t>’</w:t>
      </w:r>
      <w:r w:rsidRPr="0027097B">
        <w:rPr>
          <w:color w:val="000000" w:themeColor="text1"/>
        </w:rPr>
        <w:t xml:space="preserve">une personne a invoqué sa conversion pour </w:t>
      </w:r>
      <w:r>
        <w:rPr>
          <w:color w:val="000000" w:themeColor="text1"/>
        </w:rPr>
        <w:t xml:space="preserve">demander </w:t>
      </w:r>
      <w:r w:rsidRPr="0027097B">
        <w:rPr>
          <w:color w:val="000000" w:themeColor="text1"/>
        </w:rPr>
        <w:t>l</w:t>
      </w:r>
      <w:r>
        <w:rPr>
          <w:color w:val="000000" w:themeColor="text1"/>
        </w:rPr>
        <w:t>’</w:t>
      </w:r>
      <w:r w:rsidRPr="0027097B">
        <w:rPr>
          <w:color w:val="000000" w:themeColor="text1"/>
        </w:rPr>
        <w:t xml:space="preserve">asile, cela ne signifie pas </w:t>
      </w:r>
      <w:r>
        <w:rPr>
          <w:color w:val="000000" w:themeColor="text1"/>
        </w:rPr>
        <w:t xml:space="preserve">qu’elle </w:t>
      </w:r>
      <w:r w:rsidRPr="0027097B">
        <w:rPr>
          <w:color w:val="000000" w:themeColor="text1"/>
        </w:rPr>
        <w:t>est en danger</w:t>
      </w:r>
      <w:r>
        <w:rPr>
          <w:color w:val="000000" w:themeColor="text1"/>
        </w:rPr>
        <w:t xml:space="preserve">, car les </w:t>
      </w:r>
      <w:r w:rsidRPr="0027097B">
        <w:rPr>
          <w:color w:val="000000" w:themeColor="text1"/>
        </w:rPr>
        <w:t xml:space="preserve">Afghans </w:t>
      </w:r>
      <w:r>
        <w:rPr>
          <w:color w:val="000000" w:themeColor="text1"/>
        </w:rPr>
        <w:t xml:space="preserve">se montrent très compréhensifs envers </w:t>
      </w:r>
      <w:r w:rsidRPr="0027097B">
        <w:rPr>
          <w:color w:val="000000" w:themeColor="text1"/>
        </w:rPr>
        <w:t xml:space="preserve">leurs compatriotes qui </w:t>
      </w:r>
      <w:r>
        <w:rPr>
          <w:color w:val="000000" w:themeColor="text1"/>
        </w:rPr>
        <w:t xml:space="preserve">sont prêts à tout pour </w:t>
      </w:r>
      <w:r w:rsidRPr="0027097B">
        <w:rPr>
          <w:color w:val="000000" w:themeColor="text1"/>
        </w:rPr>
        <w:t>obtenir un permis de séjour en Europe</w:t>
      </w:r>
      <w:r w:rsidRPr="00673767">
        <w:rPr>
          <w:rStyle w:val="Appelnotedebasdep"/>
        </w:rPr>
        <w:footnoteReference w:id="11"/>
      </w:r>
      <w:r w:rsidRPr="0027097B">
        <w:rPr>
          <w:color w:val="000000" w:themeColor="text1"/>
        </w:rPr>
        <w:t>.</w:t>
      </w:r>
    </w:p>
    <w:p w14:paraId="354064BD" w14:textId="77777777" w:rsidR="00D86915" w:rsidRPr="0027097B" w:rsidRDefault="00D86915" w:rsidP="003620D4">
      <w:pPr>
        <w:pStyle w:val="SingleTxtG"/>
      </w:pPr>
      <w:r w:rsidRPr="0027097B">
        <w:lastRenderedPageBreak/>
        <w:t>4.11</w:t>
      </w:r>
      <w:r w:rsidRPr="0027097B">
        <w:tab/>
        <w:t>L</w:t>
      </w:r>
      <w:r>
        <w:t>’</w:t>
      </w:r>
      <w:r w:rsidRPr="0027097B">
        <w:t>État partie fait observer que les constatations adoptées par le Comité en l</w:t>
      </w:r>
      <w:r>
        <w:t>’</w:t>
      </w:r>
      <w:r w:rsidRPr="0027097B">
        <w:t xml:space="preserve">affaire </w:t>
      </w:r>
      <w:r w:rsidRPr="0027097B">
        <w:rPr>
          <w:i/>
        </w:rPr>
        <w:t>A.</w:t>
      </w:r>
      <w:r>
        <w:rPr>
          <w:i/>
        </w:rPr>
        <w:t> </w:t>
      </w:r>
      <w:r w:rsidRPr="0027097B">
        <w:rPr>
          <w:i/>
        </w:rPr>
        <w:t>A.</w:t>
      </w:r>
      <w:r>
        <w:rPr>
          <w:i/>
        </w:rPr>
        <w:t> </w:t>
      </w:r>
      <w:r w:rsidRPr="0027097B">
        <w:rPr>
          <w:i/>
        </w:rPr>
        <w:t>S</w:t>
      </w:r>
      <w:r w:rsidRPr="000A74B3">
        <w:rPr>
          <w:i/>
        </w:rPr>
        <w:t>. c.</w:t>
      </w:r>
      <w:r w:rsidRPr="0027097B">
        <w:rPr>
          <w:i/>
        </w:rPr>
        <w:t xml:space="preserve"> Danemark</w:t>
      </w:r>
      <w:r w:rsidRPr="0027097B">
        <w:rPr>
          <w:iCs/>
        </w:rPr>
        <w:t>,</w:t>
      </w:r>
      <w:r w:rsidRPr="0027097B">
        <w:t xml:space="preserve"> auxquelles se réfère l</w:t>
      </w:r>
      <w:r>
        <w:t>’</w:t>
      </w:r>
      <w:r w:rsidRPr="0027097B">
        <w:t>auteur, et l</w:t>
      </w:r>
      <w:r>
        <w:t>’</w:t>
      </w:r>
      <w:r w:rsidRPr="0027097B">
        <w:t>argument de l</w:t>
      </w:r>
      <w:r>
        <w:t>’</w:t>
      </w:r>
      <w:r w:rsidRPr="0027097B">
        <w:t>auteur selon lequel les autorités n</w:t>
      </w:r>
      <w:r>
        <w:t>’</w:t>
      </w:r>
      <w:r w:rsidRPr="0027097B">
        <w:t>ont pas accordé suffisamment de poids à l</w:t>
      </w:r>
      <w:r>
        <w:t>’</w:t>
      </w:r>
      <w:r w:rsidRPr="0027097B">
        <w:t xml:space="preserve">effet </w:t>
      </w:r>
      <w:r>
        <w:t xml:space="preserve">cumulatif </w:t>
      </w:r>
      <w:r w:rsidRPr="0027097B">
        <w:t>de</w:t>
      </w:r>
      <w:r>
        <w:t>s</w:t>
      </w:r>
      <w:r w:rsidRPr="0027097B">
        <w:t xml:space="preserve"> </w:t>
      </w:r>
      <w:r>
        <w:t xml:space="preserve">particularités de sa situation individuelle </w:t>
      </w:r>
      <w:r w:rsidRPr="0027097B">
        <w:t xml:space="preserve">ne sauraient conduire à une appréciation différente, puisque la Commission de recours des réfugiés a procédé à une </w:t>
      </w:r>
      <w:r>
        <w:t xml:space="preserve">évaluation </w:t>
      </w:r>
      <w:r w:rsidRPr="0027097B">
        <w:t xml:space="preserve">globale </w:t>
      </w:r>
      <w:r>
        <w:t xml:space="preserve">fondée sur les </w:t>
      </w:r>
      <w:r w:rsidRPr="0027097B">
        <w:t>déclarations de l</w:t>
      </w:r>
      <w:r>
        <w:t>’</w:t>
      </w:r>
      <w:r w:rsidRPr="0027097B">
        <w:t xml:space="preserve">auteur </w:t>
      </w:r>
      <w:r>
        <w:t xml:space="preserve">et les </w:t>
      </w:r>
      <w:r w:rsidRPr="0027097B">
        <w:t xml:space="preserve">informations </w:t>
      </w:r>
      <w:r>
        <w:t xml:space="preserve">disponibles </w:t>
      </w:r>
      <w:r w:rsidRPr="0027097B">
        <w:t>sur le pays. L</w:t>
      </w:r>
      <w:r>
        <w:t>’</w:t>
      </w:r>
      <w:r w:rsidRPr="0027097B">
        <w:t xml:space="preserve">État partie soutient que cette </w:t>
      </w:r>
      <w:r>
        <w:t xml:space="preserve">évaluation </w:t>
      </w:r>
      <w:r w:rsidRPr="0027097B">
        <w:t>ne permet pas de conclure que l</w:t>
      </w:r>
      <w:r>
        <w:t>’</w:t>
      </w:r>
      <w:r w:rsidRPr="0027097B">
        <w:t>auteur courrait un risque de persécution ou de violences justifiant l</w:t>
      </w:r>
      <w:r>
        <w:t>’</w:t>
      </w:r>
      <w:r w:rsidRPr="0027097B">
        <w:t>octroi de l</w:t>
      </w:r>
      <w:r>
        <w:t>’</w:t>
      </w:r>
      <w:r w:rsidRPr="0027097B">
        <w:t>asile.</w:t>
      </w:r>
    </w:p>
    <w:p w14:paraId="02657EDB" w14:textId="77777777" w:rsidR="00D86915" w:rsidRPr="0027097B" w:rsidRDefault="00D86915" w:rsidP="006234F0">
      <w:pPr>
        <w:pStyle w:val="H23G"/>
        <w:spacing w:before="200"/>
      </w:pPr>
      <w:r w:rsidRPr="0027097B">
        <w:tab/>
      </w:r>
      <w:r w:rsidRPr="0027097B">
        <w:tab/>
        <w:t>Commentaires de l</w:t>
      </w:r>
      <w:r>
        <w:t>’</w:t>
      </w:r>
      <w:r w:rsidRPr="0027097B">
        <w:t>auteur sur les observations de l</w:t>
      </w:r>
      <w:r>
        <w:t>’</w:t>
      </w:r>
      <w:r w:rsidRPr="0027097B">
        <w:t xml:space="preserve">État partie </w:t>
      </w:r>
      <w:r w:rsidR="00285AED">
        <w:br/>
      </w:r>
      <w:r w:rsidRPr="0027097B">
        <w:t>concernant la</w:t>
      </w:r>
      <w:r w:rsidR="00285AED">
        <w:t xml:space="preserve"> </w:t>
      </w:r>
      <w:r w:rsidRPr="0027097B">
        <w:t>recevabilité et le fond</w:t>
      </w:r>
    </w:p>
    <w:p w14:paraId="0AC04305" w14:textId="77777777" w:rsidR="00D86915" w:rsidRPr="0027097B" w:rsidRDefault="00D86915" w:rsidP="00D86915">
      <w:pPr>
        <w:pStyle w:val="SingleTxtG"/>
        <w:rPr>
          <w:color w:val="000000" w:themeColor="text1"/>
        </w:rPr>
      </w:pPr>
      <w:r w:rsidRPr="0027097B">
        <w:rPr>
          <w:color w:val="000000" w:themeColor="text1"/>
        </w:rPr>
        <w:t>5.1</w:t>
      </w:r>
      <w:r w:rsidRPr="0027097B">
        <w:rPr>
          <w:color w:val="000000" w:themeColor="text1"/>
        </w:rPr>
        <w:tab/>
        <w:t>Le 15</w:t>
      </w:r>
      <w:r>
        <w:rPr>
          <w:color w:val="000000" w:themeColor="text1"/>
        </w:rPr>
        <w:t> </w:t>
      </w:r>
      <w:r w:rsidRPr="0027097B">
        <w:rPr>
          <w:color w:val="000000" w:themeColor="text1"/>
        </w:rPr>
        <w:t>janvier 2019, l</w:t>
      </w:r>
      <w:r>
        <w:rPr>
          <w:color w:val="000000" w:themeColor="text1"/>
        </w:rPr>
        <w:t>’</w:t>
      </w:r>
      <w:r w:rsidRPr="0027097B">
        <w:rPr>
          <w:color w:val="000000" w:themeColor="text1"/>
        </w:rPr>
        <w:t xml:space="preserve">auteur a </w:t>
      </w:r>
      <w:r>
        <w:rPr>
          <w:color w:val="000000" w:themeColor="text1"/>
        </w:rPr>
        <w:t xml:space="preserve">présenté, </w:t>
      </w:r>
      <w:r w:rsidRPr="0027097B">
        <w:rPr>
          <w:color w:val="000000" w:themeColor="text1"/>
        </w:rPr>
        <w:t>sur les observations de l</w:t>
      </w:r>
      <w:r>
        <w:rPr>
          <w:color w:val="000000" w:themeColor="text1"/>
        </w:rPr>
        <w:t>’</w:t>
      </w:r>
      <w:r w:rsidRPr="0027097B">
        <w:rPr>
          <w:color w:val="000000" w:themeColor="text1"/>
        </w:rPr>
        <w:t xml:space="preserve">État partie, </w:t>
      </w:r>
      <w:r>
        <w:rPr>
          <w:color w:val="000000" w:themeColor="text1"/>
        </w:rPr>
        <w:t>d</w:t>
      </w:r>
      <w:r w:rsidRPr="0027097B">
        <w:rPr>
          <w:color w:val="000000" w:themeColor="text1"/>
        </w:rPr>
        <w:t>es commentaires dans lesquels il reprend ses arguments initiaux (voir par</w:t>
      </w:r>
      <w:r>
        <w:rPr>
          <w:color w:val="000000" w:themeColor="text1"/>
        </w:rPr>
        <w:t>. </w:t>
      </w:r>
      <w:r w:rsidRPr="0027097B">
        <w:rPr>
          <w:color w:val="000000" w:themeColor="text1"/>
        </w:rPr>
        <w:t>2.1 à 2.3 ci</w:t>
      </w:r>
      <w:r>
        <w:rPr>
          <w:color w:val="000000" w:themeColor="text1"/>
        </w:rPr>
        <w:noBreakHyphen/>
      </w:r>
      <w:r w:rsidRPr="0027097B">
        <w:rPr>
          <w:color w:val="000000" w:themeColor="text1"/>
        </w:rPr>
        <w:t>dessus).</w:t>
      </w:r>
    </w:p>
    <w:p w14:paraId="0CD7D7C9" w14:textId="36D28CFC" w:rsidR="00D86915" w:rsidRPr="0027097B" w:rsidRDefault="00D86915" w:rsidP="00D86915">
      <w:pPr>
        <w:pStyle w:val="SingleTxtG"/>
        <w:rPr>
          <w:color w:val="000000" w:themeColor="text1"/>
        </w:rPr>
      </w:pPr>
      <w:r w:rsidRPr="0027097B">
        <w:rPr>
          <w:color w:val="000000" w:themeColor="text1"/>
        </w:rPr>
        <w:t>5.2</w:t>
      </w:r>
      <w:r w:rsidRPr="0027097B">
        <w:rPr>
          <w:color w:val="000000" w:themeColor="text1"/>
        </w:rPr>
        <w:tab/>
        <w:t>L</w:t>
      </w:r>
      <w:r>
        <w:rPr>
          <w:color w:val="000000" w:themeColor="text1"/>
        </w:rPr>
        <w:t>’</w:t>
      </w:r>
      <w:r w:rsidRPr="0027097B">
        <w:rPr>
          <w:color w:val="000000" w:themeColor="text1"/>
        </w:rPr>
        <w:t>auteur soutient que, dans le cadre de la procédure devant le Service danois de l</w:t>
      </w:r>
      <w:r>
        <w:rPr>
          <w:color w:val="000000" w:themeColor="text1"/>
        </w:rPr>
        <w:t>’</w:t>
      </w:r>
      <w:r w:rsidRPr="0027097B">
        <w:rPr>
          <w:color w:val="000000" w:themeColor="text1"/>
        </w:rPr>
        <w:t>immigration, les demandeurs d</w:t>
      </w:r>
      <w:r>
        <w:rPr>
          <w:color w:val="000000" w:themeColor="text1"/>
        </w:rPr>
        <w:t>’</w:t>
      </w:r>
      <w:r w:rsidRPr="0027097B">
        <w:rPr>
          <w:color w:val="000000" w:themeColor="text1"/>
        </w:rPr>
        <w:t>asile ne bénéficient pas obligatoirement de l</w:t>
      </w:r>
      <w:r>
        <w:rPr>
          <w:color w:val="000000" w:themeColor="text1"/>
        </w:rPr>
        <w:t>’</w:t>
      </w:r>
      <w:r w:rsidRPr="0027097B">
        <w:rPr>
          <w:color w:val="000000" w:themeColor="text1"/>
        </w:rPr>
        <w:t>aide d</w:t>
      </w:r>
      <w:r>
        <w:rPr>
          <w:color w:val="000000" w:themeColor="text1"/>
        </w:rPr>
        <w:t>’</w:t>
      </w:r>
      <w:r w:rsidRPr="0027097B">
        <w:rPr>
          <w:color w:val="000000" w:themeColor="text1"/>
        </w:rPr>
        <w:t>un conseil ou d</w:t>
      </w:r>
      <w:r>
        <w:rPr>
          <w:color w:val="000000" w:themeColor="text1"/>
        </w:rPr>
        <w:t>’</w:t>
      </w:r>
      <w:r w:rsidRPr="0027097B">
        <w:rPr>
          <w:color w:val="000000" w:themeColor="text1"/>
        </w:rPr>
        <w:t xml:space="preserve">une tierce partie indépendante. Il </w:t>
      </w:r>
      <w:r>
        <w:rPr>
          <w:color w:val="000000" w:themeColor="text1"/>
        </w:rPr>
        <w:t xml:space="preserve">réaffirme qu’en droit danois </w:t>
      </w:r>
      <w:r w:rsidRPr="0027097B">
        <w:rPr>
          <w:color w:val="000000" w:themeColor="text1"/>
        </w:rPr>
        <w:t xml:space="preserve">les décisions de la Commission de recours des réfugiés ne sont pas susceptibles de recours devant les juridictions </w:t>
      </w:r>
      <w:r>
        <w:rPr>
          <w:color w:val="000000" w:themeColor="text1"/>
        </w:rPr>
        <w:t>de droit commun bien qu’elles portent sur des questions cruciales</w:t>
      </w:r>
      <w:r w:rsidRPr="0027097B">
        <w:rPr>
          <w:color w:val="000000" w:themeColor="text1"/>
        </w:rPr>
        <w:t xml:space="preserve">. Il </w:t>
      </w:r>
      <w:r>
        <w:rPr>
          <w:color w:val="000000" w:themeColor="text1"/>
        </w:rPr>
        <w:t xml:space="preserve">fait valoir </w:t>
      </w:r>
      <w:r w:rsidRPr="0027097B">
        <w:rPr>
          <w:color w:val="000000" w:themeColor="text1"/>
        </w:rPr>
        <w:t>que la Commission n</w:t>
      </w:r>
      <w:r>
        <w:rPr>
          <w:color w:val="000000" w:themeColor="text1"/>
        </w:rPr>
        <w:t>’</w:t>
      </w:r>
      <w:r w:rsidRPr="0027097B">
        <w:rPr>
          <w:color w:val="000000" w:themeColor="text1"/>
        </w:rPr>
        <w:t xml:space="preserve">est pas une </w:t>
      </w:r>
      <w:r>
        <w:rPr>
          <w:color w:val="000000" w:themeColor="text1"/>
        </w:rPr>
        <w:t>juridiction</w:t>
      </w:r>
      <w:r w:rsidRPr="0027097B">
        <w:rPr>
          <w:color w:val="000000" w:themeColor="text1"/>
        </w:rPr>
        <w:t xml:space="preserve"> : </w:t>
      </w:r>
      <w:r>
        <w:rPr>
          <w:color w:val="000000" w:themeColor="text1"/>
        </w:rPr>
        <w:t xml:space="preserve">ses audiences ne sont pas publiques, elle </w:t>
      </w:r>
      <w:r w:rsidRPr="0027097B">
        <w:rPr>
          <w:color w:val="000000" w:themeColor="text1"/>
        </w:rPr>
        <w:t>n</w:t>
      </w:r>
      <w:r>
        <w:rPr>
          <w:color w:val="000000" w:themeColor="text1"/>
        </w:rPr>
        <w:t>’</w:t>
      </w:r>
      <w:r w:rsidRPr="0027097B">
        <w:rPr>
          <w:color w:val="000000" w:themeColor="text1"/>
        </w:rPr>
        <w:t>entend des témoins que dans des circonstances exceptionnelles et imprévisibles, et l</w:t>
      </w:r>
      <w:r>
        <w:rPr>
          <w:color w:val="000000" w:themeColor="text1"/>
        </w:rPr>
        <w:t>’</w:t>
      </w:r>
      <w:r w:rsidRPr="0027097B">
        <w:rPr>
          <w:color w:val="000000" w:themeColor="text1"/>
        </w:rPr>
        <w:t xml:space="preserve">un de ses membres est nommé et généralement employé par le </w:t>
      </w:r>
      <w:r>
        <w:rPr>
          <w:color w:val="000000" w:themeColor="text1"/>
        </w:rPr>
        <w:t>m</w:t>
      </w:r>
      <w:r w:rsidRPr="0027097B">
        <w:rPr>
          <w:color w:val="000000" w:themeColor="text1"/>
        </w:rPr>
        <w:t>inistère qui rend la décision initiale</w:t>
      </w:r>
      <w:r>
        <w:rPr>
          <w:color w:val="000000" w:themeColor="text1"/>
        </w:rPr>
        <w:t xml:space="preserve"> et dont </w:t>
      </w:r>
      <w:r w:rsidRPr="0027097B">
        <w:rPr>
          <w:color w:val="000000" w:themeColor="text1"/>
        </w:rPr>
        <w:t xml:space="preserve">le Service </w:t>
      </w:r>
      <w:r>
        <w:rPr>
          <w:color w:val="000000" w:themeColor="text1"/>
        </w:rPr>
        <w:t xml:space="preserve">danois </w:t>
      </w:r>
      <w:r w:rsidRPr="0027097B">
        <w:rPr>
          <w:color w:val="000000" w:themeColor="text1"/>
        </w:rPr>
        <w:t>de l</w:t>
      </w:r>
      <w:r>
        <w:rPr>
          <w:color w:val="000000" w:themeColor="text1"/>
        </w:rPr>
        <w:t>’</w:t>
      </w:r>
      <w:r w:rsidRPr="0027097B">
        <w:rPr>
          <w:color w:val="000000" w:themeColor="text1"/>
        </w:rPr>
        <w:t>immigration</w:t>
      </w:r>
      <w:r>
        <w:rPr>
          <w:color w:val="000000" w:themeColor="text1"/>
        </w:rPr>
        <w:t xml:space="preserve"> relève administrativement</w:t>
      </w:r>
      <w:r w:rsidRPr="0027097B">
        <w:rPr>
          <w:color w:val="000000" w:themeColor="text1"/>
        </w:rPr>
        <w:t>, ce qui compromet la neutralité de la</w:t>
      </w:r>
      <w:r w:rsidR="00B1459D">
        <w:rPr>
          <w:color w:val="000000" w:themeColor="text1"/>
        </w:rPr>
        <w:t xml:space="preserve"> </w:t>
      </w:r>
      <w:r w:rsidRPr="0027097B">
        <w:rPr>
          <w:color w:val="000000" w:themeColor="text1"/>
        </w:rPr>
        <w:t>Commission.</w:t>
      </w:r>
    </w:p>
    <w:p w14:paraId="4F7DF0A2" w14:textId="104A2CC4" w:rsidR="00D86915" w:rsidRPr="000A74B3" w:rsidRDefault="00D86915" w:rsidP="00D86915">
      <w:pPr>
        <w:pStyle w:val="SingleTxtG"/>
        <w:rPr>
          <w:color w:val="000000" w:themeColor="text1"/>
          <w:spacing w:val="-1"/>
        </w:rPr>
      </w:pPr>
      <w:r w:rsidRPr="000A74B3">
        <w:rPr>
          <w:color w:val="000000" w:themeColor="text1"/>
          <w:spacing w:val="-1"/>
        </w:rPr>
        <w:t>5.3</w:t>
      </w:r>
      <w:r w:rsidRPr="000A74B3">
        <w:rPr>
          <w:color w:val="000000" w:themeColor="text1"/>
          <w:spacing w:val="-1"/>
        </w:rPr>
        <w:tab/>
        <w:t>L</w:t>
      </w:r>
      <w:r>
        <w:rPr>
          <w:color w:val="000000" w:themeColor="text1"/>
          <w:spacing w:val="-1"/>
        </w:rPr>
        <w:t>’</w:t>
      </w:r>
      <w:r w:rsidRPr="000A74B3">
        <w:rPr>
          <w:color w:val="000000" w:themeColor="text1"/>
          <w:spacing w:val="-1"/>
        </w:rPr>
        <w:t>auteur avance que les faits de l</w:t>
      </w:r>
      <w:r>
        <w:rPr>
          <w:color w:val="000000" w:themeColor="text1"/>
          <w:spacing w:val="-1"/>
        </w:rPr>
        <w:t>’</w:t>
      </w:r>
      <w:r w:rsidRPr="000A74B3">
        <w:rPr>
          <w:color w:val="000000" w:themeColor="text1"/>
          <w:spacing w:val="-1"/>
        </w:rPr>
        <w:t>espèce l</w:t>
      </w:r>
      <w:r>
        <w:rPr>
          <w:color w:val="000000" w:themeColor="text1"/>
          <w:spacing w:val="-1"/>
        </w:rPr>
        <w:t>’</w:t>
      </w:r>
      <w:r w:rsidRPr="000A74B3">
        <w:rPr>
          <w:color w:val="000000" w:themeColor="text1"/>
          <w:spacing w:val="-1"/>
        </w:rPr>
        <w:t xml:space="preserve">exposeraient au risque de subir </w:t>
      </w:r>
      <w:r>
        <w:rPr>
          <w:color w:val="000000" w:themeColor="text1"/>
          <w:spacing w:val="-1"/>
        </w:rPr>
        <w:t xml:space="preserve">un </w:t>
      </w:r>
      <w:r w:rsidRPr="000A74B3">
        <w:rPr>
          <w:color w:val="000000" w:themeColor="text1"/>
          <w:spacing w:val="-1"/>
        </w:rPr>
        <w:t>traitement contraire aux articles</w:t>
      </w:r>
      <w:r w:rsidR="00834957">
        <w:rPr>
          <w:color w:val="000000" w:themeColor="text1"/>
          <w:spacing w:val="-1"/>
        </w:rPr>
        <w:t> </w:t>
      </w:r>
      <w:r w:rsidRPr="000A74B3">
        <w:rPr>
          <w:color w:val="000000" w:themeColor="text1"/>
          <w:spacing w:val="-1"/>
        </w:rPr>
        <w:t xml:space="preserve">6 et 7 du Pacte </w:t>
      </w:r>
      <w:r>
        <w:rPr>
          <w:color w:val="000000" w:themeColor="text1"/>
          <w:spacing w:val="-1"/>
        </w:rPr>
        <w:t>s’il était expulsé vers l’</w:t>
      </w:r>
      <w:r w:rsidRPr="000A74B3">
        <w:rPr>
          <w:color w:val="000000" w:themeColor="text1"/>
          <w:spacing w:val="-1"/>
        </w:rPr>
        <w:t>Afghanistan. Il soutient</w:t>
      </w:r>
      <w:r>
        <w:rPr>
          <w:color w:val="000000" w:themeColor="text1"/>
          <w:spacing w:val="-1"/>
        </w:rPr>
        <w:t>,</w:t>
      </w:r>
      <w:r w:rsidRPr="000A74B3">
        <w:rPr>
          <w:color w:val="000000" w:themeColor="text1"/>
          <w:spacing w:val="-1"/>
        </w:rPr>
        <w:t xml:space="preserve"> premièrement</w:t>
      </w:r>
      <w:r>
        <w:rPr>
          <w:color w:val="000000" w:themeColor="text1"/>
          <w:spacing w:val="-1"/>
        </w:rPr>
        <w:t>,</w:t>
      </w:r>
      <w:r w:rsidRPr="000A74B3">
        <w:rPr>
          <w:color w:val="000000" w:themeColor="text1"/>
          <w:spacing w:val="-1"/>
        </w:rPr>
        <w:t xml:space="preserve"> que l</w:t>
      </w:r>
      <w:r>
        <w:rPr>
          <w:color w:val="000000" w:themeColor="text1"/>
          <w:spacing w:val="-1"/>
        </w:rPr>
        <w:t>’</w:t>
      </w:r>
      <w:r w:rsidRPr="000A74B3">
        <w:rPr>
          <w:color w:val="000000" w:themeColor="text1"/>
          <w:spacing w:val="-1"/>
        </w:rPr>
        <w:t>État partie ajoute foi à son récit</w:t>
      </w:r>
      <w:r>
        <w:rPr>
          <w:color w:val="000000" w:themeColor="text1"/>
          <w:spacing w:val="-1"/>
        </w:rPr>
        <w:t> ;</w:t>
      </w:r>
      <w:r w:rsidRPr="000A74B3">
        <w:rPr>
          <w:color w:val="000000" w:themeColor="text1"/>
          <w:spacing w:val="-1"/>
        </w:rPr>
        <w:t xml:space="preserve"> </w:t>
      </w:r>
      <w:r>
        <w:rPr>
          <w:color w:val="000000" w:themeColor="text1"/>
          <w:spacing w:val="-1"/>
        </w:rPr>
        <w:t>d</w:t>
      </w:r>
      <w:r w:rsidRPr="000A74B3">
        <w:rPr>
          <w:color w:val="000000" w:themeColor="text1"/>
          <w:spacing w:val="-1"/>
        </w:rPr>
        <w:t xml:space="preserve">euxièmement, </w:t>
      </w:r>
      <w:r>
        <w:rPr>
          <w:color w:val="000000" w:themeColor="text1"/>
          <w:spacing w:val="-1"/>
        </w:rPr>
        <w:t xml:space="preserve">que </w:t>
      </w:r>
      <w:r w:rsidRPr="000A74B3">
        <w:rPr>
          <w:color w:val="000000" w:themeColor="text1"/>
          <w:spacing w:val="-1"/>
        </w:rPr>
        <w:t>l</w:t>
      </w:r>
      <w:r>
        <w:rPr>
          <w:color w:val="000000" w:themeColor="text1"/>
          <w:spacing w:val="-1"/>
        </w:rPr>
        <w:t>’</w:t>
      </w:r>
      <w:r w:rsidRPr="000A74B3">
        <w:rPr>
          <w:color w:val="000000" w:themeColor="text1"/>
          <w:spacing w:val="-1"/>
        </w:rPr>
        <w:t xml:space="preserve">État partie ne lui a pas accordé le bénéfice du doute pour ce qui est du conflit de son père </w:t>
      </w:r>
      <w:r>
        <w:rPr>
          <w:color w:val="000000" w:themeColor="text1"/>
          <w:spacing w:val="-1"/>
        </w:rPr>
        <w:t>et que nul</w:t>
      </w:r>
      <w:r w:rsidRPr="000A74B3">
        <w:rPr>
          <w:color w:val="000000" w:themeColor="text1"/>
          <w:spacing w:val="-1"/>
        </w:rPr>
        <w:t xml:space="preserve"> ne </w:t>
      </w:r>
      <w:r>
        <w:rPr>
          <w:color w:val="000000" w:themeColor="text1"/>
          <w:spacing w:val="-1"/>
        </w:rPr>
        <w:t xml:space="preserve">sait </w:t>
      </w:r>
      <w:r w:rsidRPr="000A74B3">
        <w:rPr>
          <w:color w:val="000000" w:themeColor="text1"/>
          <w:spacing w:val="-1"/>
        </w:rPr>
        <w:t xml:space="preserve">si </w:t>
      </w:r>
      <w:r>
        <w:rPr>
          <w:color w:val="000000" w:themeColor="text1"/>
          <w:spacing w:val="-1"/>
        </w:rPr>
        <w:t xml:space="preserve">ceux </w:t>
      </w:r>
      <w:r w:rsidRPr="000A74B3">
        <w:rPr>
          <w:color w:val="000000" w:themeColor="text1"/>
          <w:spacing w:val="-1"/>
        </w:rPr>
        <w:t xml:space="preserve">qui ont persécuté son père </w:t>
      </w:r>
      <w:r>
        <w:rPr>
          <w:color w:val="000000" w:themeColor="text1"/>
          <w:spacing w:val="-1"/>
        </w:rPr>
        <w:t>n’essaieront pas de le persécuter aussi ; t</w:t>
      </w:r>
      <w:r w:rsidRPr="000A74B3">
        <w:rPr>
          <w:color w:val="000000" w:themeColor="text1"/>
          <w:spacing w:val="-1"/>
        </w:rPr>
        <w:t xml:space="preserve">roisièmement, </w:t>
      </w:r>
      <w:r>
        <w:rPr>
          <w:color w:val="000000" w:themeColor="text1"/>
          <w:spacing w:val="-1"/>
        </w:rPr>
        <w:t xml:space="preserve">que sa jeunesse, le </w:t>
      </w:r>
      <w:r w:rsidRPr="000A74B3">
        <w:rPr>
          <w:color w:val="000000" w:themeColor="text1"/>
          <w:spacing w:val="-1"/>
        </w:rPr>
        <w:t>fait qu</w:t>
      </w:r>
      <w:r>
        <w:rPr>
          <w:color w:val="000000" w:themeColor="text1"/>
          <w:spacing w:val="-1"/>
        </w:rPr>
        <w:t>’</w:t>
      </w:r>
      <w:r w:rsidRPr="000A74B3">
        <w:rPr>
          <w:color w:val="000000" w:themeColor="text1"/>
          <w:spacing w:val="-1"/>
        </w:rPr>
        <w:t xml:space="preserve">il </w:t>
      </w:r>
      <w:r>
        <w:rPr>
          <w:color w:val="000000" w:themeColor="text1"/>
          <w:spacing w:val="-1"/>
        </w:rPr>
        <w:t xml:space="preserve">ne pratique pas assidûment </w:t>
      </w:r>
      <w:r w:rsidRPr="000A74B3">
        <w:rPr>
          <w:color w:val="000000" w:themeColor="text1"/>
          <w:spacing w:val="-1"/>
        </w:rPr>
        <w:t>l</w:t>
      </w:r>
      <w:r>
        <w:rPr>
          <w:color w:val="000000" w:themeColor="text1"/>
          <w:spacing w:val="-1"/>
        </w:rPr>
        <w:t>’</w:t>
      </w:r>
      <w:r w:rsidRPr="000A74B3">
        <w:rPr>
          <w:color w:val="000000" w:themeColor="text1"/>
          <w:spacing w:val="-1"/>
        </w:rPr>
        <w:t xml:space="preserve">islam, </w:t>
      </w:r>
      <w:r>
        <w:rPr>
          <w:color w:val="000000" w:themeColor="text1"/>
          <w:spacing w:val="-1"/>
        </w:rPr>
        <w:t>le fait que sa manière de parler rév</w:t>
      </w:r>
      <w:r w:rsidR="00834957">
        <w:rPr>
          <w:color w:val="000000" w:themeColor="text1"/>
          <w:spacing w:val="-1"/>
        </w:rPr>
        <w:t>é</w:t>
      </w:r>
      <w:r>
        <w:rPr>
          <w:color w:val="000000" w:themeColor="text1"/>
          <w:spacing w:val="-1"/>
        </w:rPr>
        <w:t xml:space="preserve">lera </w:t>
      </w:r>
      <w:r w:rsidRPr="000A74B3">
        <w:rPr>
          <w:color w:val="000000" w:themeColor="text1"/>
          <w:spacing w:val="-1"/>
        </w:rPr>
        <w:t>qu</w:t>
      </w:r>
      <w:r>
        <w:rPr>
          <w:color w:val="000000" w:themeColor="text1"/>
          <w:spacing w:val="-1"/>
        </w:rPr>
        <w:t>’</w:t>
      </w:r>
      <w:r w:rsidRPr="000A74B3">
        <w:rPr>
          <w:color w:val="000000" w:themeColor="text1"/>
          <w:spacing w:val="-1"/>
        </w:rPr>
        <w:t>il n</w:t>
      </w:r>
      <w:r>
        <w:rPr>
          <w:color w:val="000000" w:themeColor="text1"/>
          <w:spacing w:val="-1"/>
        </w:rPr>
        <w:t>’</w:t>
      </w:r>
      <w:r w:rsidRPr="000A74B3">
        <w:rPr>
          <w:color w:val="000000" w:themeColor="text1"/>
          <w:spacing w:val="-1"/>
        </w:rPr>
        <w:t xml:space="preserve">est jamais </w:t>
      </w:r>
      <w:r>
        <w:rPr>
          <w:color w:val="000000" w:themeColor="text1"/>
          <w:spacing w:val="-1"/>
        </w:rPr>
        <w:t xml:space="preserve">venu </w:t>
      </w:r>
      <w:r w:rsidRPr="000A74B3">
        <w:rPr>
          <w:color w:val="000000" w:themeColor="text1"/>
          <w:spacing w:val="-1"/>
        </w:rPr>
        <w:t xml:space="preserve">en Afghanistan et </w:t>
      </w:r>
      <w:r>
        <w:rPr>
          <w:color w:val="000000" w:themeColor="text1"/>
          <w:spacing w:val="-1"/>
        </w:rPr>
        <w:t xml:space="preserve">le fait </w:t>
      </w:r>
      <w:r w:rsidRPr="000A74B3">
        <w:rPr>
          <w:color w:val="000000" w:themeColor="text1"/>
          <w:spacing w:val="-1"/>
        </w:rPr>
        <w:t>qu</w:t>
      </w:r>
      <w:r>
        <w:rPr>
          <w:color w:val="000000" w:themeColor="text1"/>
          <w:spacing w:val="-1"/>
        </w:rPr>
        <w:t>’</w:t>
      </w:r>
      <w:r w:rsidRPr="000A74B3">
        <w:rPr>
          <w:color w:val="000000" w:themeColor="text1"/>
          <w:spacing w:val="-1"/>
        </w:rPr>
        <w:t>il n</w:t>
      </w:r>
      <w:r>
        <w:rPr>
          <w:color w:val="000000" w:themeColor="text1"/>
          <w:spacing w:val="-1"/>
        </w:rPr>
        <w:t>’</w:t>
      </w:r>
      <w:r w:rsidRPr="000A74B3">
        <w:rPr>
          <w:color w:val="000000" w:themeColor="text1"/>
          <w:spacing w:val="-1"/>
        </w:rPr>
        <w:t xml:space="preserve">a nulle part où aller pour trouver refuge </w:t>
      </w:r>
      <w:r>
        <w:rPr>
          <w:color w:val="000000" w:themeColor="text1"/>
          <w:spacing w:val="-1"/>
        </w:rPr>
        <w:t xml:space="preserve">dans ce pays sont autant d’éléments qui, pris ensemble, </w:t>
      </w:r>
      <w:r w:rsidRPr="000A74B3">
        <w:rPr>
          <w:color w:val="000000" w:themeColor="text1"/>
          <w:spacing w:val="-1"/>
        </w:rPr>
        <w:t>l</w:t>
      </w:r>
      <w:r>
        <w:rPr>
          <w:color w:val="000000" w:themeColor="text1"/>
          <w:spacing w:val="-1"/>
        </w:rPr>
        <w:t>’</w:t>
      </w:r>
      <w:r w:rsidRPr="000A74B3">
        <w:rPr>
          <w:color w:val="000000" w:themeColor="text1"/>
          <w:spacing w:val="-1"/>
        </w:rPr>
        <w:t>expose</w:t>
      </w:r>
      <w:r>
        <w:rPr>
          <w:color w:val="000000" w:themeColor="text1"/>
          <w:spacing w:val="-1"/>
        </w:rPr>
        <w:t>nt</w:t>
      </w:r>
      <w:r w:rsidRPr="000A74B3">
        <w:rPr>
          <w:color w:val="000000" w:themeColor="text1"/>
          <w:spacing w:val="-1"/>
        </w:rPr>
        <w:t xml:space="preserve"> à un risque de préjudice irréparable en cas </w:t>
      </w:r>
      <w:r>
        <w:rPr>
          <w:color w:val="000000" w:themeColor="text1"/>
          <w:spacing w:val="-1"/>
        </w:rPr>
        <w:t>d’expulsion ; et,</w:t>
      </w:r>
      <w:r w:rsidRPr="000A74B3">
        <w:rPr>
          <w:color w:val="000000" w:themeColor="text1"/>
          <w:spacing w:val="-1"/>
        </w:rPr>
        <w:t xml:space="preserve"> </w:t>
      </w:r>
      <w:r>
        <w:rPr>
          <w:color w:val="000000" w:themeColor="text1"/>
          <w:spacing w:val="-1"/>
        </w:rPr>
        <w:t>q</w:t>
      </w:r>
      <w:r w:rsidRPr="000A74B3">
        <w:rPr>
          <w:color w:val="000000" w:themeColor="text1"/>
          <w:spacing w:val="-1"/>
        </w:rPr>
        <w:t xml:space="preserve">uatrièmement, </w:t>
      </w:r>
      <w:r>
        <w:rPr>
          <w:color w:val="000000" w:themeColor="text1"/>
          <w:spacing w:val="-1"/>
        </w:rPr>
        <w:t xml:space="preserve">que son tatouage représentant une </w:t>
      </w:r>
      <w:r w:rsidRPr="000A74B3">
        <w:rPr>
          <w:color w:val="000000" w:themeColor="text1"/>
          <w:spacing w:val="-1"/>
        </w:rPr>
        <w:t>croix aggrave ce risque. L</w:t>
      </w:r>
      <w:r>
        <w:rPr>
          <w:color w:val="000000" w:themeColor="text1"/>
          <w:spacing w:val="-1"/>
        </w:rPr>
        <w:t>’</w:t>
      </w:r>
      <w:r w:rsidRPr="000A74B3">
        <w:rPr>
          <w:color w:val="000000" w:themeColor="text1"/>
          <w:spacing w:val="-1"/>
        </w:rPr>
        <w:t xml:space="preserve">auteur </w:t>
      </w:r>
      <w:r>
        <w:rPr>
          <w:color w:val="000000" w:themeColor="text1"/>
          <w:spacing w:val="-1"/>
        </w:rPr>
        <w:t xml:space="preserve">ne savait pas que ce </w:t>
      </w:r>
      <w:r w:rsidRPr="000A74B3">
        <w:rPr>
          <w:color w:val="000000" w:themeColor="text1"/>
          <w:spacing w:val="-1"/>
        </w:rPr>
        <w:t xml:space="preserve">tatouage </w:t>
      </w:r>
      <w:r>
        <w:rPr>
          <w:color w:val="000000" w:themeColor="text1"/>
          <w:spacing w:val="-1"/>
        </w:rPr>
        <w:t xml:space="preserve">était pertinent aux fins de </w:t>
      </w:r>
      <w:r w:rsidRPr="000A74B3">
        <w:rPr>
          <w:color w:val="000000" w:themeColor="text1"/>
          <w:spacing w:val="-1"/>
        </w:rPr>
        <w:t>sa demande d</w:t>
      </w:r>
      <w:r>
        <w:rPr>
          <w:color w:val="000000" w:themeColor="text1"/>
          <w:spacing w:val="-1"/>
        </w:rPr>
        <w:t>’</w:t>
      </w:r>
      <w:r w:rsidRPr="000A74B3">
        <w:rPr>
          <w:color w:val="000000" w:themeColor="text1"/>
          <w:spacing w:val="-1"/>
        </w:rPr>
        <w:t xml:space="preserve">asile et conteste par conséquent </w:t>
      </w:r>
      <w:r>
        <w:rPr>
          <w:color w:val="000000" w:themeColor="text1"/>
          <w:spacing w:val="-1"/>
        </w:rPr>
        <w:t>l’</w:t>
      </w:r>
      <w:r w:rsidRPr="000A74B3">
        <w:rPr>
          <w:color w:val="000000" w:themeColor="text1"/>
          <w:spacing w:val="-1"/>
        </w:rPr>
        <w:t>observation de l</w:t>
      </w:r>
      <w:r>
        <w:rPr>
          <w:color w:val="000000" w:themeColor="text1"/>
          <w:spacing w:val="-1"/>
        </w:rPr>
        <w:t>’</w:t>
      </w:r>
      <w:r w:rsidRPr="000A74B3">
        <w:rPr>
          <w:color w:val="000000" w:themeColor="text1"/>
          <w:spacing w:val="-1"/>
        </w:rPr>
        <w:t>État partie</w:t>
      </w:r>
      <w:r>
        <w:rPr>
          <w:color w:val="000000" w:themeColor="text1"/>
          <w:spacing w:val="-1"/>
        </w:rPr>
        <w:t xml:space="preserve"> selon laquelle </w:t>
      </w:r>
      <w:r w:rsidRPr="000A74B3">
        <w:rPr>
          <w:color w:val="000000" w:themeColor="text1"/>
          <w:spacing w:val="-1"/>
        </w:rPr>
        <w:t xml:space="preserve">le moment </w:t>
      </w:r>
      <w:r>
        <w:rPr>
          <w:color w:val="000000" w:themeColor="text1"/>
          <w:spacing w:val="-1"/>
        </w:rPr>
        <w:t xml:space="preserve">qu’il a </w:t>
      </w:r>
      <w:r w:rsidRPr="000A74B3">
        <w:rPr>
          <w:color w:val="000000" w:themeColor="text1"/>
          <w:spacing w:val="-1"/>
        </w:rPr>
        <w:t>choisi pour se faire tatouer</w:t>
      </w:r>
      <w:r>
        <w:rPr>
          <w:color w:val="000000" w:themeColor="text1"/>
          <w:spacing w:val="-1"/>
        </w:rPr>
        <w:t xml:space="preserve"> était « étrange »</w:t>
      </w:r>
      <w:r w:rsidRPr="000A74B3">
        <w:rPr>
          <w:color w:val="000000" w:themeColor="text1"/>
          <w:spacing w:val="-1"/>
        </w:rPr>
        <w:t>. Il a déclaré dans le cadre de la procédure d</w:t>
      </w:r>
      <w:r>
        <w:rPr>
          <w:color w:val="000000" w:themeColor="text1"/>
          <w:spacing w:val="-1"/>
        </w:rPr>
        <w:t>’</w:t>
      </w:r>
      <w:r w:rsidRPr="000A74B3">
        <w:rPr>
          <w:color w:val="000000" w:themeColor="text1"/>
          <w:spacing w:val="-1"/>
        </w:rPr>
        <w:t xml:space="preserve">asile </w:t>
      </w:r>
      <w:r>
        <w:rPr>
          <w:color w:val="000000" w:themeColor="text1"/>
          <w:spacing w:val="-1"/>
        </w:rPr>
        <w:t xml:space="preserve">que </w:t>
      </w:r>
      <w:r w:rsidRPr="000A74B3">
        <w:rPr>
          <w:color w:val="000000" w:themeColor="text1"/>
          <w:spacing w:val="-1"/>
        </w:rPr>
        <w:t xml:space="preserve">depuis son arrivée au Danemark </w:t>
      </w:r>
      <w:r>
        <w:rPr>
          <w:color w:val="000000" w:themeColor="text1"/>
          <w:spacing w:val="-1"/>
        </w:rPr>
        <w:t xml:space="preserve">sa pratique de </w:t>
      </w:r>
      <w:r w:rsidRPr="000A74B3">
        <w:rPr>
          <w:color w:val="000000" w:themeColor="text1"/>
          <w:spacing w:val="-1"/>
        </w:rPr>
        <w:t>l</w:t>
      </w:r>
      <w:r>
        <w:rPr>
          <w:color w:val="000000" w:themeColor="text1"/>
          <w:spacing w:val="-1"/>
        </w:rPr>
        <w:t>’</w:t>
      </w:r>
      <w:r w:rsidRPr="000A74B3">
        <w:rPr>
          <w:color w:val="000000" w:themeColor="text1"/>
          <w:spacing w:val="-1"/>
        </w:rPr>
        <w:t xml:space="preserve">islam </w:t>
      </w:r>
      <w:r>
        <w:rPr>
          <w:color w:val="000000" w:themeColor="text1"/>
          <w:spacing w:val="-1"/>
        </w:rPr>
        <w:t xml:space="preserve">avait été très limitée et que, </w:t>
      </w:r>
      <w:r w:rsidRPr="000A74B3">
        <w:rPr>
          <w:color w:val="000000" w:themeColor="text1"/>
          <w:spacing w:val="-1"/>
        </w:rPr>
        <w:t>s</w:t>
      </w:r>
      <w:r>
        <w:rPr>
          <w:color w:val="000000" w:themeColor="text1"/>
          <w:spacing w:val="-1"/>
        </w:rPr>
        <w:t>’</w:t>
      </w:r>
      <w:r w:rsidRPr="000A74B3">
        <w:rPr>
          <w:color w:val="000000" w:themeColor="text1"/>
          <w:spacing w:val="-1"/>
        </w:rPr>
        <w:t>il ne prétend</w:t>
      </w:r>
      <w:r>
        <w:rPr>
          <w:color w:val="000000" w:themeColor="text1"/>
          <w:spacing w:val="-1"/>
        </w:rPr>
        <w:t>ait</w:t>
      </w:r>
      <w:r w:rsidRPr="000A74B3">
        <w:rPr>
          <w:color w:val="000000" w:themeColor="text1"/>
          <w:spacing w:val="-1"/>
        </w:rPr>
        <w:t xml:space="preserve"> pas s</w:t>
      </w:r>
      <w:r>
        <w:rPr>
          <w:color w:val="000000" w:themeColor="text1"/>
          <w:spacing w:val="-1"/>
        </w:rPr>
        <w:t>’</w:t>
      </w:r>
      <w:r w:rsidRPr="000A74B3">
        <w:rPr>
          <w:color w:val="000000" w:themeColor="text1"/>
          <w:spacing w:val="-1"/>
        </w:rPr>
        <w:t>être converti au christianisme, son intérêt pour cette religion, attesté par son tatouage, ainsi que sa connaissance insuffisante des normes afghanes l</w:t>
      </w:r>
      <w:r>
        <w:rPr>
          <w:color w:val="000000" w:themeColor="text1"/>
          <w:spacing w:val="-1"/>
        </w:rPr>
        <w:t>’</w:t>
      </w:r>
      <w:r w:rsidRPr="000A74B3">
        <w:rPr>
          <w:color w:val="000000" w:themeColor="text1"/>
          <w:spacing w:val="-1"/>
        </w:rPr>
        <w:t>exposeraient à un risque sérieux qu</w:t>
      </w:r>
      <w:r>
        <w:rPr>
          <w:color w:val="000000" w:themeColor="text1"/>
          <w:spacing w:val="-1"/>
        </w:rPr>
        <w:t>’</w:t>
      </w:r>
      <w:r w:rsidRPr="000A74B3">
        <w:rPr>
          <w:color w:val="000000" w:themeColor="text1"/>
          <w:spacing w:val="-1"/>
        </w:rPr>
        <w:t>on le soupçonne de s</w:t>
      </w:r>
      <w:r>
        <w:rPr>
          <w:color w:val="000000" w:themeColor="text1"/>
          <w:spacing w:val="-1"/>
        </w:rPr>
        <w:t>’</w:t>
      </w:r>
      <w:r w:rsidRPr="000A74B3">
        <w:rPr>
          <w:color w:val="000000" w:themeColor="text1"/>
          <w:spacing w:val="-1"/>
        </w:rPr>
        <w:t>être converti s</w:t>
      </w:r>
      <w:r>
        <w:rPr>
          <w:color w:val="000000" w:themeColor="text1"/>
          <w:spacing w:val="-1"/>
        </w:rPr>
        <w:t>’</w:t>
      </w:r>
      <w:r w:rsidRPr="000A74B3">
        <w:rPr>
          <w:color w:val="000000" w:themeColor="text1"/>
          <w:spacing w:val="-1"/>
        </w:rPr>
        <w:t xml:space="preserve">il </w:t>
      </w:r>
      <w:r>
        <w:rPr>
          <w:color w:val="000000" w:themeColor="text1"/>
          <w:spacing w:val="-1"/>
        </w:rPr>
        <w:t>était</w:t>
      </w:r>
      <w:r w:rsidRPr="000A74B3">
        <w:rPr>
          <w:color w:val="000000" w:themeColor="text1"/>
          <w:spacing w:val="-1"/>
        </w:rPr>
        <w:t xml:space="preserve"> expulsé d</w:t>
      </w:r>
      <w:r>
        <w:rPr>
          <w:color w:val="000000" w:themeColor="text1"/>
          <w:spacing w:val="-1"/>
        </w:rPr>
        <w:t>’</w:t>
      </w:r>
      <w:r w:rsidRPr="000A74B3">
        <w:rPr>
          <w:color w:val="000000" w:themeColor="text1"/>
          <w:spacing w:val="-1"/>
        </w:rPr>
        <w:t xml:space="preserve">un pays </w:t>
      </w:r>
      <w:r>
        <w:rPr>
          <w:color w:val="000000" w:themeColor="text1"/>
          <w:spacing w:val="-1"/>
        </w:rPr>
        <w:t>européen</w:t>
      </w:r>
      <w:r w:rsidRPr="000A74B3">
        <w:rPr>
          <w:color w:val="000000" w:themeColor="text1"/>
          <w:spacing w:val="-1"/>
        </w:rPr>
        <w:t>.</w:t>
      </w:r>
    </w:p>
    <w:p w14:paraId="2D855165" w14:textId="77777777" w:rsidR="00D86915" w:rsidRPr="0027097B" w:rsidRDefault="00D86915" w:rsidP="006234F0">
      <w:pPr>
        <w:pStyle w:val="H23G"/>
        <w:spacing w:before="200"/>
      </w:pPr>
      <w:r w:rsidRPr="0027097B">
        <w:tab/>
      </w:r>
      <w:r w:rsidRPr="0027097B">
        <w:tab/>
        <w:t>Observations complémentaires de l</w:t>
      </w:r>
      <w:r>
        <w:t>’</w:t>
      </w:r>
      <w:r w:rsidRPr="0027097B">
        <w:t>État partie</w:t>
      </w:r>
    </w:p>
    <w:p w14:paraId="6E905AC4" w14:textId="77777777" w:rsidR="00D86915" w:rsidRPr="0027097B" w:rsidRDefault="00D86915" w:rsidP="006E009D">
      <w:pPr>
        <w:pStyle w:val="SingleTxtG"/>
      </w:pPr>
      <w:r w:rsidRPr="0027097B">
        <w:t>6.</w:t>
      </w:r>
      <w:r w:rsidRPr="0027097B">
        <w:tab/>
        <w:t>Le 8</w:t>
      </w:r>
      <w:r>
        <w:t> </w:t>
      </w:r>
      <w:r w:rsidRPr="0027097B">
        <w:t>février 2019, l</w:t>
      </w:r>
      <w:r>
        <w:t>’</w:t>
      </w:r>
      <w:r w:rsidRPr="0027097B">
        <w:t>État partie a fait savoir que les commentaires de l</w:t>
      </w:r>
      <w:r>
        <w:t>’</w:t>
      </w:r>
      <w:r w:rsidRPr="0027097B">
        <w:t xml:space="preserve">auteur ne modifiaient en rien ses précédentes observations. Il soutient que la communication devrait être déclarée irrecevable </w:t>
      </w:r>
      <w:r>
        <w:t xml:space="preserve">parce que manifestement dénuée </w:t>
      </w:r>
      <w:r w:rsidRPr="0027097B">
        <w:t xml:space="preserve">de fondement et, à titre subsidiaire, que </w:t>
      </w:r>
      <w:r>
        <w:t xml:space="preserve">l’expulsion </w:t>
      </w:r>
      <w:r w:rsidRPr="0027097B">
        <w:t>de l</w:t>
      </w:r>
      <w:r>
        <w:t>’</w:t>
      </w:r>
      <w:r w:rsidRPr="0027097B">
        <w:t>auteur vers l</w:t>
      </w:r>
      <w:r>
        <w:t>’</w:t>
      </w:r>
      <w:r w:rsidRPr="0027097B">
        <w:t>Afghanistan ne constituerait pas une violation de l</w:t>
      </w:r>
      <w:r>
        <w:t>’</w:t>
      </w:r>
      <w:r w:rsidRPr="0027097B">
        <w:t>article</w:t>
      </w:r>
      <w:r w:rsidR="00834957">
        <w:t> </w:t>
      </w:r>
      <w:r w:rsidRPr="0027097B">
        <w:t>7 du</w:t>
      </w:r>
      <w:r>
        <w:t> </w:t>
      </w:r>
      <w:r w:rsidRPr="0027097B">
        <w:t>Pacte.</w:t>
      </w:r>
    </w:p>
    <w:p w14:paraId="32F7118E" w14:textId="77777777" w:rsidR="00D86915" w:rsidRPr="0027097B" w:rsidRDefault="00D86915" w:rsidP="006234F0">
      <w:pPr>
        <w:pStyle w:val="H23G"/>
        <w:spacing w:before="200"/>
        <w:rPr>
          <w:i/>
        </w:rPr>
      </w:pPr>
      <w:r w:rsidRPr="0027097B">
        <w:tab/>
      </w:r>
      <w:r w:rsidRPr="0027097B">
        <w:tab/>
        <w:t>Délibérations du Comité</w:t>
      </w:r>
    </w:p>
    <w:p w14:paraId="4B695445" w14:textId="77777777" w:rsidR="00D86915" w:rsidRPr="0027097B" w:rsidRDefault="00D86915" w:rsidP="00F45CFB">
      <w:pPr>
        <w:pStyle w:val="H4G"/>
      </w:pPr>
      <w:r w:rsidRPr="0027097B">
        <w:tab/>
      </w:r>
      <w:r w:rsidRPr="0027097B">
        <w:tab/>
        <w:t>Examen de la recevabilité</w:t>
      </w:r>
    </w:p>
    <w:p w14:paraId="22D2B32F" w14:textId="77777777" w:rsidR="00D86915" w:rsidRPr="0027097B" w:rsidRDefault="00D86915" w:rsidP="006E009D">
      <w:pPr>
        <w:pStyle w:val="SingleTxtG"/>
      </w:pPr>
      <w:r w:rsidRPr="0027097B">
        <w:t>7.1</w:t>
      </w:r>
      <w:r w:rsidRPr="0027097B">
        <w:tab/>
        <w:t>Avant d</w:t>
      </w:r>
      <w:r>
        <w:t>’</w:t>
      </w:r>
      <w:r w:rsidRPr="0027097B">
        <w:t>examiner tout grief formulé dans une communication, le Comité doit, conformément à l</w:t>
      </w:r>
      <w:r>
        <w:t>’</w:t>
      </w:r>
      <w:r w:rsidR="00834957">
        <w:t>article </w:t>
      </w:r>
      <w:r w:rsidRPr="0027097B">
        <w:t>97 de son règlement intérieur, déterminer si la communication est recevable au regard du Protocole facultatif.</w:t>
      </w:r>
    </w:p>
    <w:p w14:paraId="0830DCEE" w14:textId="3B329B7A" w:rsidR="00D86915" w:rsidRPr="0027097B" w:rsidRDefault="00D86915" w:rsidP="006E009D">
      <w:pPr>
        <w:pStyle w:val="SingleTxtG"/>
      </w:pPr>
      <w:r w:rsidRPr="000A74B3">
        <w:rPr>
          <w:spacing w:val="-2"/>
        </w:rPr>
        <w:t>7.2</w:t>
      </w:r>
      <w:r w:rsidRPr="000A74B3">
        <w:rPr>
          <w:spacing w:val="-2"/>
        </w:rPr>
        <w:tab/>
        <w:t>Le Comité s</w:t>
      </w:r>
      <w:r>
        <w:rPr>
          <w:spacing w:val="-2"/>
        </w:rPr>
        <w:t>’</w:t>
      </w:r>
      <w:r w:rsidRPr="000A74B3">
        <w:rPr>
          <w:spacing w:val="-2"/>
        </w:rPr>
        <w:t>est assuré, comme il est tenu de le faire conformément au paragraphe</w:t>
      </w:r>
      <w:r w:rsidR="006E009D">
        <w:rPr>
          <w:spacing w:val="-2"/>
        </w:rPr>
        <w:t> </w:t>
      </w:r>
      <w:r w:rsidRPr="000A74B3">
        <w:rPr>
          <w:spacing w:val="-2"/>
        </w:rPr>
        <w:t>2 a)</w:t>
      </w:r>
      <w:r w:rsidRPr="0027097B">
        <w:t xml:space="preserve"> de l</w:t>
      </w:r>
      <w:r>
        <w:t>’</w:t>
      </w:r>
      <w:r w:rsidR="00834957">
        <w:t>article </w:t>
      </w:r>
      <w:r w:rsidRPr="0027097B">
        <w:t>5 du Protocole facultatif, que la même question n</w:t>
      </w:r>
      <w:r>
        <w:t>’</w:t>
      </w:r>
      <w:r w:rsidRPr="0027097B">
        <w:t>était pas déjà en cours d</w:t>
      </w:r>
      <w:r>
        <w:t>’</w:t>
      </w:r>
      <w:r w:rsidRPr="0027097B">
        <w:t>examen devant une autre instance internationale d</w:t>
      </w:r>
      <w:r>
        <w:t>’</w:t>
      </w:r>
      <w:r w:rsidRPr="0027097B">
        <w:t>enquête ou de règlement.</w:t>
      </w:r>
    </w:p>
    <w:p w14:paraId="55985B8B" w14:textId="24D4DB86" w:rsidR="00D86915" w:rsidRPr="00D320B0" w:rsidRDefault="00D86915" w:rsidP="006E009D">
      <w:pPr>
        <w:pStyle w:val="SingleTxtG"/>
      </w:pPr>
      <w:r w:rsidRPr="00D320B0">
        <w:lastRenderedPageBreak/>
        <w:t>7.3</w:t>
      </w:r>
      <w:r w:rsidRPr="00D320B0">
        <w:tab/>
        <w:t>Le Comité note que l</w:t>
      </w:r>
      <w:r>
        <w:t>’</w:t>
      </w:r>
      <w:r w:rsidRPr="00D320B0">
        <w:t xml:space="preserve">auteur </w:t>
      </w:r>
      <w:r>
        <w:t xml:space="preserve">affirme qu’il a </w:t>
      </w:r>
      <w:r w:rsidRPr="00D320B0">
        <w:t>épuisé tou</w:t>
      </w:r>
      <w:r>
        <w:t xml:space="preserve">s les </w:t>
      </w:r>
      <w:r w:rsidRPr="00D320B0">
        <w:t xml:space="preserve">recours internes utiles </w:t>
      </w:r>
      <w:r>
        <w:t xml:space="preserve">à sa disposition </w:t>
      </w:r>
      <w:r w:rsidRPr="00D320B0">
        <w:t>et que</w:t>
      </w:r>
      <w:r>
        <w:t xml:space="preserve"> </w:t>
      </w:r>
      <w:r w:rsidRPr="00D320B0">
        <w:t>les décisions de la Commission de recours des réfugiés ne peuvent pas être contestées devant les tribunaux. En l</w:t>
      </w:r>
      <w:r>
        <w:t>’</w:t>
      </w:r>
      <w:r w:rsidRPr="00D320B0">
        <w:t>absence d</w:t>
      </w:r>
      <w:r>
        <w:t>’</w:t>
      </w:r>
      <w:r w:rsidRPr="00D320B0">
        <w:t>objection de l</w:t>
      </w:r>
      <w:r>
        <w:t>’</w:t>
      </w:r>
      <w:r w:rsidRPr="00D320B0">
        <w:t xml:space="preserve">État partie sur ce point, le Comité considère que </w:t>
      </w:r>
      <w:r w:rsidRPr="00D320B0">
        <w:rPr>
          <w:shd w:val="clear" w:color="auto" w:fill="FFFFFF"/>
        </w:rPr>
        <w:t>les conditions énoncées au paragraphe2 b) de l</w:t>
      </w:r>
      <w:r>
        <w:rPr>
          <w:shd w:val="clear" w:color="auto" w:fill="FFFFFF"/>
        </w:rPr>
        <w:t>’</w:t>
      </w:r>
      <w:r w:rsidR="00834957">
        <w:rPr>
          <w:shd w:val="clear" w:color="auto" w:fill="FFFFFF"/>
        </w:rPr>
        <w:t>article </w:t>
      </w:r>
      <w:r w:rsidRPr="00D320B0">
        <w:rPr>
          <w:shd w:val="clear" w:color="auto" w:fill="FFFFFF"/>
        </w:rPr>
        <w:t>5 du Protocole facultatif sont remplies</w:t>
      </w:r>
      <w:r w:rsidRPr="00D320B0">
        <w:t>.</w:t>
      </w:r>
    </w:p>
    <w:p w14:paraId="50FCCF78" w14:textId="77777777" w:rsidR="00D86915" w:rsidRPr="0027097B" w:rsidRDefault="00D86915" w:rsidP="006E009D">
      <w:pPr>
        <w:pStyle w:val="SingleTxtG"/>
      </w:pPr>
      <w:r w:rsidRPr="0027097B">
        <w:t>7.4</w:t>
      </w:r>
      <w:r w:rsidRPr="0027097B">
        <w:tab/>
        <w:t xml:space="preserve">Le Comité note </w:t>
      </w:r>
      <w:r>
        <w:t xml:space="preserve">également </w:t>
      </w:r>
      <w:r w:rsidRPr="0027097B">
        <w:t>que, selon l</w:t>
      </w:r>
      <w:r>
        <w:t>’</w:t>
      </w:r>
      <w:r w:rsidRPr="0027097B">
        <w:t>auteur, les autorités de l</w:t>
      </w:r>
      <w:r>
        <w:t>’</w:t>
      </w:r>
      <w:r w:rsidRPr="0027097B">
        <w:t>État partie n</w:t>
      </w:r>
      <w:r>
        <w:t>’</w:t>
      </w:r>
      <w:r w:rsidRPr="0027097B">
        <w:t>ont pas accordé un poids suffisant à l</w:t>
      </w:r>
      <w:r>
        <w:t>’</w:t>
      </w:r>
      <w:r w:rsidRPr="0027097B">
        <w:t>effet cumul</w:t>
      </w:r>
      <w:r>
        <w:t>atif</w:t>
      </w:r>
      <w:r w:rsidRPr="0027097B">
        <w:t xml:space="preserve"> </w:t>
      </w:r>
      <w:r>
        <w:t xml:space="preserve">des circonstances découlant des faits suivants : </w:t>
      </w:r>
      <w:r w:rsidRPr="0027097B">
        <w:t>il n</w:t>
      </w:r>
      <w:r>
        <w:t>’</w:t>
      </w:r>
      <w:r w:rsidRPr="0027097B">
        <w:t>est pas né en Afghanistan et n</w:t>
      </w:r>
      <w:r>
        <w:t>’</w:t>
      </w:r>
      <w:r w:rsidRPr="0027097B">
        <w:t xml:space="preserve">y est jamais allé, </w:t>
      </w:r>
      <w:r>
        <w:t xml:space="preserve">il </w:t>
      </w:r>
      <w:r w:rsidRPr="0027097B">
        <w:t xml:space="preserve">est jeune, </w:t>
      </w:r>
      <w:r>
        <w:t xml:space="preserve">il </w:t>
      </w:r>
      <w:r w:rsidRPr="0027097B">
        <w:t xml:space="preserve">ne connaît pas bien la langue et les traditions </w:t>
      </w:r>
      <w:r>
        <w:t>de l’Afghanistan</w:t>
      </w:r>
      <w:r w:rsidRPr="0027097B">
        <w:t xml:space="preserve"> et n</w:t>
      </w:r>
      <w:r>
        <w:t>’</w:t>
      </w:r>
      <w:r w:rsidRPr="0027097B">
        <w:t xml:space="preserve">a </w:t>
      </w:r>
      <w:r>
        <w:t xml:space="preserve">pas de réseau familial ou autre dans ce </w:t>
      </w:r>
      <w:r w:rsidRPr="0027097B">
        <w:t>pays, son frère mineur réside légalement au Danemark, il n</w:t>
      </w:r>
      <w:r>
        <w:t>’</w:t>
      </w:r>
      <w:r w:rsidRPr="0027097B">
        <w:t>est pas un musulman</w:t>
      </w:r>
      <w:r>
        <w:t xml:space="preserve"> convaincu</w:t>
      </w:r>
      <w:r w:rsidRPr="0027097B">
        <w:t xml:space="preserve">, il a une croix tatouée sur le bras et </w:t>
      </w:r>
      <w:r>
        <w:t xml:space="preserve">il est attiré par le </w:t>
      </w:r>
      <w:r w:rsidRPr="0027097B">
        <w:t xml:space="preserve">christianisme. Le Comité </w:t>
      </w:r>
      <w:r>
        <w:t xml:space="preserve">considère </w:t>
      </w:r>
      <w:r w:rsidRPr="0027097B">
        <w:t>que ces arguments montrent que l</w:t>
      </w:r>
      <w:r>
        <w:t>’</w:t>
      </w:r>
      <w:r w:rsidRPr="0027097B">
        <w:t>auteur conteste l</w:t>
      </w:r>
      <w:r>
        <w:t>’</w:t>
      </w:r>
      <w:r w:rsidRPr="0027097B">
        <w:t xml:space="preserve">appréciation des autorités nationales compétentes mais </w:t>
      </w:r>
      <w:r>
        <w:t xml:space="preserve">n’établissent pas que des </w:t>
      </w:r>
      <w:r w:rsidRPr="0027097B">
        <w:t>erreur</w:t>
      </w:r>
      <w:r>
        <w:t>s</w:t>
      </w:r>
      <w:r w:rsidRPr="0027097B">
        <w:t xml:space="preserve"> </w:t>
      </w:r>
      <w:r>
        <w:t xml:space="preserve">aient été </w:t>
      </w:r>
      <w:r w:rsidRPr="0027097B">
        <w:t>commise</w:t>
      </w:r>
      <w:r>
        <w:t>s</w:t>
      </w:r>
      <w:r w:rsidRPr="0027097B">
        <w:t xml:space="preserve">. Il </w:t>
      </w:r>
      <w:r>
        <w:t xml:space="preserve">prend </w:t>
      </w:r>
      <w:r w:rsidRPr="0027097B">
        <w:t xml:space="preserve">note </w:t>
      </w:r>
      <w:r>
        <w:t xml:space="preserve">des arguments de </w:t>
      </w:r>
      <w:r w:rsidRPr="0027097B">
        <w:t>l</w:t>
      </w:r>
      <w:r>
        <w:t>’</w:t>
      </w:r>
      <w:r w:rsidRPr="0027097B">
        <w:t xml:space="preserve">État partie </w:t>
      </w:r>
      <w:r>
        <w:t xml:space="preserve">selon lesquels il a </w:t>
      </w:r>
      <w:r w:rsidRPr="0027097B">
        <w:t xml:space="preserve">tenu compte de toutes les </w:t>
      </w:r>
      <w:r>
        <w:t xml:space="preserve">particularités de la situation de l’auteur et </w:t>
      </w:r>
      <w:r w:rsidRPr="0027097B">
        <w:t xml:space="preserve">constaté que </w:t>
      </w:r>
      <w:r>
        <w:t xml:space="preserve">celui-ci </w:t>
      </w:r>
      <w:r w:rsidRPr="0027097B">
        <w:t>n</w:t>
      </w:r>
      <w:r>
        <w:t>’</w:t>
      </w:r>
      <w:r w:rsidRPr="0027097B">
        <w:t xml:space="preserve">avait </w:t>
      </w:r>
      <w:r>
        <w:t xml:space="preserve">jamais </w:t>
      </w:r>
      <w:r w:rsidRPr="0027097B">
        <w:t>eu de conflit avec qui</w:t>
      </w:r>
      <w:r>
        <w:t xml:space="preserve">conque </w:t>
      </w:r>
      <w:r w:rsidRPr="0027097B">
        <w:t xml:space="preserve">en Afghanistan et semblait </w:t>
      </w:r>
      <w:r>
        <w:t xml:space="preserve">être quelqu’un qui n’attire pas l’attention, </w:t>
      </w:r>
      <w:r w:rsidRPr="0027097B">
        <w:t>et qu</w:t>
      </w:r>
      <w:r>
        <w:t>’</w:t>
      </w:r>
      <w:r w:rsidRPr="0027097B">
        <w:t xml:space="preserve">il était </w:t>
      </w:r>
      <w:r>
        <w:t xml:space="preserve">un homme </w:t>
      </w:r>
      <w:r w:rsidRPr="0027097B">
        <w:t xml:space="preserve">jeune, </w:t>
      </w:r>
      <w:r>
        <w:t>célibataire</w:t>
      </w:r>
      <w:r w:rsidRPr="0027097B">
        <w:t xml:space="preserve">, en âge de travailler et </w:t>
      </w:r>
      <w:r>
        <w:t xml:space="preserve">qui </w:t>
      </w:r>
      <w:r w:rsidRPr="0027097B">
        <w:t>n</w:t>
      </w:r>
      <w:r>
        <w:t>’</w:t>
      </w:r>
      <w:r w:rsidRPr="0027097B">
        <w:t>avait pas de problème de santé. Le Comité note en outre que, selon les éléments versés au dossier, la langue maternelle de l</w:t>
      </w:r>
      <w:r>
        <w:t>’</w:t>
      </w:r>
      <w:r w:rsidRPr="0027097B">
        <w:t>auteur est le dari et qu</w:t>
      </w:r>
      <w:r>
        <w:t>’</w:t>
      </w:r>
      <w:r w:rsidRPr="0027097B">
        <w:t>il lit, écrit, parle et comprend cette langue.</w:t>
      </w:r>
    </w:p>
    <w:p w14:paraId="0DAFFE9F" w14:textId="77777777" w:rsidR="00D86915" w:rsidRPr="0027097B" w:rsidRDefault="00D86915" w:rsidP="00D86915">
      <w:pPr>
        <w:pStyle w:val="SingleTxtG"/>
        <w:rPr>
          <w:color w:val="000000" w:themeColor="text1"/>
        </w:rPr>
      </w:pPr>
      <w:r w:rsidRPr="0027097B">
        <w:rPr>
          <w:color w:val="000000" w:themeColor="text1"/>
        </w:rPr>
        <w:t>7.5</w:t>
      </w:r>
      <w:r w:rsidRPr="0027097B">
        <w:rPr>
          <w:color w:val="000000" w:themeColor="text1"/>
        </w:rPr>
        <w:tab/>
        <w:t>Si les autorités de l</w:t>
      </w:r>
      <w:r>
        <w:rPr>
          <w:color w:val="000000" w:themeColor="text1"/>
        </w:rPr>
        <w:t>’</w:t>
      </w:r>
      <w:r w:rsidRPr="0027097B">
        <w:rPr>
          <w:color w:val="000000" w:themeColor="text1"/>
        </w:rPr>
        <w:t>État partie ont ajouté foi au récit que l</w:t>
      </w:r>
      <w:r>
        <w:rPr>
          <w:color w:val="000000" w:themeColor="text1"/>
        </w:rPr>
        <w:t>’</w:t>
      </w:r>
      <w:r w:rsidRPr="0027097B">
        <w:rPr>
          <w:color w:val="000000" w:themeColor="text1"/>
        </w:rPr>
        <w:t>auteur a fait de son passé, le Comité note que l</w:t>
      </w:r>
      <w:r>
        <w:rPr>
          <w:color w:val="000000" w:themeColor="text1"/>
        </w:rPr>
        <w:t>’</w:t>
      </w:r>
      <w:r w:rsidRPr="0027097B">
        <w:rPr>
          <w:color w:val="000000" w:themeColor="text1"/>
        </w:rPr>
        <w:t>intéressé n</w:t>
      </w:r>
      <w:r>
        <w:rPr>
          <w:color w:val="000000" w:themeColor="text1"/>
        </w:rPr>
        <w:t>’</w:t>
      </w:r>
      <w:r w:rsidRPr="0027097B">
        <w:rPr>
          <w:color w:val="000000" w:themeColor="text1"/>
        </w:rPr>
        <w:t>explique pas pour</w:t>
      </w:r>
      <w:r>
        <w:rPr>
          <w:color w:val="000000" w:themeColor="text1"/>
        </w:rPr>
        <w:t xml:space="preserve">quoi </w:t>
      </w:r>
      <w:r w:rsidRPr="0027097B">
        <w:rPr>
          <w:color w:val="000000" w:themeColor="text1"/>
        </w:rPr>
        <w:t xml:space="preserve">elles auraient dû </w:t>
      </w:r>
      <w:r>
        <w:rPr>
          <w:color w:val="000000" w:themeColor="text1"/>
        </w:rPr>
        <w:t xml:space="preserve">le croire lorsqu’il affirme qu’il risque </w:t>
      </w:r>
      <w:r w:rsidRPr="0027097B">
        <w:rPr>
          <w:color w:val="000000" w:themeColor="text1"/>
        </w:rPr>
        <w:t>d</w:t>
      </w:r>
      <w:r>
        <w:rPr>
          <w:color w:val="000000" w:themeColor="text1"/>
        </w:rPr>
        <w:t>’</w:t>
      </w:r>
      <w:r w:rsidRPr="0027097B">
        <w:rPr>
          <w:color w:val="000000" w:themeColor="text1"/>
        </w:rPr>
        <w:t xml:space="preserve">être pris pour cible par </w:t>
      </w:r>
      <w:r>
        <w:rPr>
          <w:color w:val="000000" w:themeColor="text1"/>
        </w:rPr>
        <w:t xml:space="preserve">les </w:t>
      </w:r>
      <w:r w:rsidRPr="0027097B">
        <w:rPr>
          <w:color w:val="000000" w:themeColor="text1"/>
        </w:rPr>
        <w:t xml:space="preserve">inconnus qui </w:t>
      </w:r>
      <w:r>
        <w:rPr>
          <w:color w:val="000000" w:themeColor="text1"/>
        </w:rPr>
        <w:t xml:space="preserve">ont </w:t>
      </w:r>
      <w:r w:rsidRPr="0027097B">
        <w:rPr>
          <w:color w:val="000000" w:themeColor="text1"/>
        </w:rPr>
        <w:t>torturé son père et l</w:t>
      </w:r>
      <w:r>
        <w:rPr>
          <w:color w:val="000000" w:themeColor="text1"/>
        </w:rPr>
        <w:t xml:space="preserve">’ont </w:t>
      </w:r>
      <w:r w:rsidRPr="0027097B">
        <w:rPr>
          <w:color w:val="000000" w:themeColor="text1"/>
        </w:rPr>
        <w:t xml:space="preserve">blessé par balle en Afghanistan, </w:t>
      </w:r>
      <w:r>
        <w:rPr>
          <w:color w:val="000000" w:themeColor="text1"/>
        </w:rPr>
        <w:t xml:space="preserve">des </w:t>
      </w:r>
      <w:r w:rsidRPr="0027097B">
        <w:rPr>
          <w:color w:val="000000" w:themeColor="text1"/>
        </w:rPr>
        <w:t xml:space="preserve">faits </w:t>
      </w:r>
      <w:r>
        <w:rPr>
          <w:color w:val="000000" w:themeColor="text1"/>
        </w:rPr>
        <w:t xml:space="preserve">antérieurs à </w:t>
      </w:r>
      <w:r w:rsidRPr="0027097B">
        <w:rPr>
          <w:color w:val="000000" w:themeColor="text1"/>
        </w:rPr>
        <w:t>sa naissance. Il note aussi que l</w:t>
      </w:r>
      <w:r>
        <w:rPr>
          <w:color w:val="000000" w:themeColor="text1"/>
        </w:rPr>
        <w:t>’</w:t>
      </w:r>
      <w:r w:rsidRPr="0027097B">
        <w:rPr>
          <w:color w:val="000000" w:themeColor="text1"/>
        </w:rPr>
        <w:t>auteur n</w:t>
      </w:r>
      <w:r>
        <w:rPr>
          <w:color w:val="000000" w:themeColor="text1"/>
        </w:rPr>
        <w:t>’</w:t>
      </w:r>
      <w:r w:rsidRPr="0027097B">
        <w:rPr>
          <w:color w:val="000000" w:themeColor="text1"/>
        </w:rPr>
        <w:t>a pas démontré qu</w:t>
      </w:r>
      <w:r>
        <w:rPr>
          <w:color w:val="000000" w:themeColor="text1"/>
        </w:rPr>
        <w:t>’</w:t>
      </w:r>
      <w:r w:rsidRPr="0027097B">
        <w:rPr>
          <w:color w:val="000000" w:themeColor="text1"/>
        </w:rPr>
        <w:t xml:space="preserve">il était </w:t>
      </w:r>
      <w:r>
        <w:rPr>
          <w:color w:val="000000" w:themeColor="text1"/>
        </w:rPr>
        <w:t xml:space="preserve">déraisonnable de conclure, comme l’ont fait les autorités, que son affirmation selon laquelle </w:t>
      </w:r>
      <w:r w:rsidRPr="0027097B">
        <w:rPr>
          <w:color w:val="000000" w:themeColor="text1"/>
        </w:rPr>
        <w:t>il serait persécuté en raison de ce conflit n</w:t>
      </w:r>
      <w:r>
        <w:rPr>
          <w:color w:val="000000" w:themeColor="text1"/>
        </w:rPr>
        <w:t>’</w:t>
      </w:r>
      <w:r w:rsidRPr="0027097B">
        <w:rPr>
          <w:color w:val="000000" w:themeColor="text1"/>
        </w:rPr>
        <w:t>était qu</w:t>
      </w:r>
      <w:r>
        <w:rPr>
          <w:color w:val="000000" w:themeColor="text1"/>
        </w:rPr>
        <w:t>’</w:t>
      </w:r>
      <w:r w:rsidRPr="0027097B">
        <w:rPr>
          <w:color w:val="000000" w:themeColor="text1"/>
        </w:rPr>
        <w:t xml:space="preserve">une supposition de sa part, tout comme le fait que les inconnus qui étaient venus au domicile de sa famille en </w:t>
      </w:r>
      <w:r>
        <w:rPr>
          <w:color w:val="000000" w:themeColor="text1"/>
        </w:rPr>
        <w:t xml:space="preserve">République islamique d’Iran </w:t>
      </w:r>
      <w:r w:rsidRPr="0027097B">
        <w:rPr>
          <w:color w:val="000000" w:themeColor="text1"/>
        </w:rPr>
        <w:t xml:space="preserve">étaient ceux qui avaient </w:t>
      </w:r>
      <w:r>
        <w:rPr>
          <w:color w:val="000000" w:themeColor="text1"/>
        </w:rPr>
        <w:t xml:space="preserve">agressé </w:t>
      </w:r>
      <w:r w:rsidRPr="0027097B">
        <w:rPr>
          <w:color w:val="000000" w:themeColor="text1"/>
        </w:rPr>
        <w:t>son père.</w:t>
      </w:r>
    </w:p>
    <w:p w14:paraId="33C7CCF0" w14:textId="77777777" w:rsidR="00D86915" w:rsidRPr="0027097B" w:rsidRDefault="00D86915" w:rsidP="00D86915">
      <w:pPr>
        <w:pStyle w:val="SingleTxtG"/>
        <w:rPr>
          <w:color w:val="000000" w:themeColor="text1"/>
        </w:rPr>
      </w:pPr>
      <w:r w:rsidRPr="0027097B">
        <w:rPr>
          <w:color w:val="000000" w:themeColor="text1"/>
        </w:rPr>
        <w:t>7.6</w:t>
      </w:r>
      <w:r w:rsidRPr="0027097B">
        <w:rPr>
          <w:color w:val="000000" w:themeColor="text1"/>
        </w:rPr>
        <w:tab/>
        <w:t xml:space="preserve">Concernant son tatouage et son </w:t>
      </w:r>
      <w:r>
        <w:rPr>
          <w:color w:val="000000" w:themeColor="text1"/>
        </w:rPr>
        <w:t xml:space="preserve">attirance </w:t>
      </w:r>
      <w:r w:rsidRPr="0027097B">
        <w:rPr>
          <w:color w:val="000000" w:themeColor="text1"/>
        </w:rPr>
        <w:t>pour la religion chrétienne, le Comité note que l</w:t>
      </w:r>
      <w:r>
        <w:rPr>
          <w:color w:val="000000" w:themeColor="text1"/>
        </w:rPr>
        <w:t>’</w:t>
      </w:r>
      <w:r w:rsidRPr="0027097B">
        <w:rPr>
          <w:color w:val="000000" w:themeColor="text1"/>
        </w:rPr>
        <w:t xml:space="preserve">auteur se </w:t>
      </w:r>
      <w:r>
        <w:rPr>
          <w:color w:val="000000" w:themeColor="text1"/>
        </w:rPr>
        <w:t xml:space="preserve">déclare musulman </w:t>
      </w:r>
      <w:r w:rsidRPr="0027097B">
        <w:rPr>
          <w:color w:val="000000" w:themeColor="text1"/>
        </w:rPr>
        <w:t>sunnite et que, même s</w:t>
      </w:r>
      <w:r>
        <w:rPr>
          <w:color w:val="000000" w:themeColor="text1"/>
        </w:rPr>
        <w:t>’</w:t>
      </w:r>
      <w:r w:rsidRPr="0027097B">
        <w:rPr>
          <w:color w:val="000000" w:themeColor="text1"/>
        </w:rPr>
        <w:t xml:space="preserve">il a admis </w:t>
      </w:r>
      <w:r>
        <w:rPr>
          <w:color w:val="000000" w:themeColor="text1"/>
        </w:rPr>
        <w:t>que sa pratique n’était pas assidue</w:t>
      </w:r>
      <w:r w:rsidRPr="0027097B">
        <w:rPr>
          <w:color w:val="000000" w:themeColor="text1"/>
        </w:rPr>
        <w:t>, il pratique l</w:t>
      </w:r>
      <w:r>
        <w:rPr>
          <w:color w:val="000000" w:themeColor="text1"/>
        </w:rPr>
        <w:t>’</w:t>
      </w:r>
      <w:r w:rsidRPr="0027097B">
        <w:rPr>
          <w:color w:val="000000" w:themeColor="text1"/>
        </w:rPr>
        <w:t>islam et ne s</w:t>
      </w:r>
      <w:r>
        <w:rPr>
          <w:color w:val="000000" w:themeColor="text1"/>
        </w:rPr>
        <w:t>’</w:t>
      </w:r>
      <w:r w:rsidRPr="0027097B">
        <w:rPr>
          <w:color w:val="000000" w:themeColor="text1"/>
        </w:rPr>
        <w:t>est jamais converti au christianisme. Il note aussi que</w:t>
      </w:r>
      <w:r>
        <w:rPr>
          <w:color w:val="000000" w:themeColor="text1"/>
        </w:rPr>
        <w:t xml:space="preserve"> l’auteur</w:t>
      </w:r>
      <w:r w:rsidRPr="0027097B">
        <w:rPr>
          <w:color w:val="000000" w:themeColor="text1"/>
        </w:rPr>
        <w:t xml:space="preserve">, </w:t>
      </w:r>
      <w:r>
        <w:rPr>
          <w:color w:val="000000" w:themeColor="text1"/>
        </w:rPr>
        <w:t xml:space="preserve">tout en affirmant </w:t>
      </w:r>
      <w:r w:rsidRPr="0027097B">
        <w:rPr>
          <w:color w:val="000000" w:themeColor="text1"/>
        </w:rPr>
        <w:t>qu</w:t>
      </w:r>
      <w:r>
        <w:rPr>
          <w:color w:val="000000" w:themeColor="text1"/>
        </w:rPr>
        <w:t>’</w:t>
      </w:r>
      <w:r w:rsidRPr="0027097B">
        <w:rPr>
          <w:color w:val="000000" w:themeColor="text1"/>
        </w:rPr>
        <w:t>il risque d</w:t>
      </w:r>
      <w:r>
        <w:rPr>
          <w:color w:val="000000" w:themeColor="text1"/>
        </w:rPr>
        <w:t>’</w:t>
      </w:r>
      <w:r w:rsidRPr="0027097B">
        <w:rPr>
          <w:color w:val="000000" w:themeColor="text1"/>
        </w:rPr>
        <w:t xml:space="preserve">être </w:t>
      </w:r>
      <w:r>
        <w:rPr>
          <w:color w:val="000000" w:themeColor="text1"/>
        </w:rPr>
        <w:t xml:space="preserve">considéré </w:t>
      </w:r>
      <w:r w:rsidRPr="0027097B">
        <w:rPr>
          <w:color w:val="000000" w:themeColor="text1"/>
        </w:rPr>
        <w:t>comme un chrétien converti en Afghanistan, n</w:t>
      </w:r>
      <w:r>
        <w:rPr>
          <w:color w:val="000000" w:themeColor="text1"/>
        </w:rPr>
        <w:t>’</w:t>
      </w:r>
      <w:r w:rsidRPr="0027097B">
        <w:rPr>
          <w:color w:val="000000" w:themeColor="text1"/>
        </w:rPr>
        <w:t xml:space="preserve">a pas </w:t>
      </w:r>
      <w:r>
        <w:rPr>
          <w:color w:val="000000" w:themeColor="text1"/>
        </w:rPr>
        <w:t xml:space="preserve">répondu à l’argument de l’État partie selon lequel, d’après les </w:t>
      </w:r>
      <w:r w:rsidRPr="0027097B">
        <w:rPr>
          <w:color w:val="000000" w:themeColor="text1"/>
        </w:rPr>
        <w:t>informations sur le pays</w:t>
      </w:r>
      <w:r>
        <w:rPr>
          <w:color w:val="000000" w:themeColor="text1"/>
        </w:rPr>
        <w:t>,</w:t>
      </w:r>
      <w:r w:rsidRPr="0027097B">
        <w:rPr>
          <w:color w:val="000000" w:themeColor="text1"/>
        </w:rPr>
        <w:t xml:space="preserve"> les Afghans </w:t>
      </w:r>
      <w:r>
        <w:rPr>
          <w:color w:val="000000" w:themeColor="text1"/>
        </w:rPr>
        <w:t xml:space="preserve">se montrent très compréhensifs envers </w:t>
      </w:r>
      <w:r w:rsidRPr="0027097B">
        <w:rPr>
          <w:color w:val="000000" w:themeColor="text1"/>
        </w:rPr>
        <w:t xml:space="preserve">leurs compatriotes qui </w:t>
      </w:r>
      <w:r>
        <w:rPr>
          <w:color w:val="000000" w:themeColor="text1"/>
        </w:rPr>
        <w:t xml:space="preserve">sont prêts à tout pour </w:t>
      </w:r>
      <w:r w:rsidRPr="0027097B">
        <w:rPr>
          <w:color w:val="000000" w:themeColor="text1"/>
        </w:rPr>
        <w:t>obtenir un permis de séjour en Europe.</w:t>
      </w:r>
    </w:p>
    <w:p w14:paraId="130DEF5A" w14:textId="77777777" w:rsidR="00D86915" w:rsidRPr="0027097B" w:rsidRDefault="00D86915" w:rsidP="00D86915">
      <w:pPr>
        <w:pStyle w:val="SingleTxtG"/>
        <w:rPr>
          <w:color w:val="000000" w:themeColor="text1"/>
        </w:rPr>
      </w:pPr>
      <w:r w:rsidRPr="0027097B">
        <w:rPr>
          <w:color w:val="000000" w:themeColor="text1"/>
        </w:rPr>
        <w:t>7.7</w:t>
      </w:r>
      <w:r w:rsidRPr="0027097B">
        <w:rPr>
          <w:color w:val="000000" w:themeColor="text1"/>
        </w:rPr>
        <w:tab/>
        <w:t>Le Comité rappelle le paragraphe</w:t>
      </w:r>
      <w:r w:rsidR="00834957">
        <w:rPr>
          <w:color w:val="000000" w:themeColor="text1"/>
        </w:rPr>
        <w:t> </w:t>
      </w:r>
      <w:r w:rsidRPr="0027097B">
        <w:rPr>
          <w:color w:val="000000" w:themeColor="text1"/>
        </w:rPr>
        <w:t xml:space="preserve">12 de son observation générale </w:t>
      </w:r>
      <w:r w:rsidRPr="00D320B0">
        <w:rPr>
          <w:rFonts w:eastAsia="MS Mincho"/>
          <w:color w:val="000000" w:themeColor="text1"/>
        </w:rPr>
        <w:t>n</w:t>
      </w:r>
      <w:r w:rsidRPr="00D320B0">
        <w:rPr>
          <w:rFonts w:eastAsia="MS Mincho"/>
          <w:color w:val="000000" w:themeColor="text1"/>
          <w:vertAlign w:val="superscript"/>
        </w:rPr>
        <w:t>o</w:t>
      </w:r>
      <w:r>
        <w:rPr>
          <w:color w:val="000000" w:themeColor="text1"/>
        </w:rPr>
        <w:t> </w:t>
      </w:r>
      <w:r w:rsidRPr="0027097B">
        <w:rPr>
          <w:color w:val="000000" w:themeColor="text1"/>
        </w:rPr>
        <w:t>31 (2004)</w:t>
      </w:r>
      <w:r>
        <w:rPr>
          <w:color w:val="000000" w:themeColor="text1"/>
        </w:rPr>
        <w:t>,</w:t>
      </w:r>
      <w:r w:rsidRPr="0027097B">
        <w:rPr>
          <w:color w:val="000000" w:themeColor="text1"/>
        </w:rPr>
        <w:t xml:space="preserve"> </w:t>
      </w:r>
      <w:r>
        <w:rPr>
          <w:color w:val="000000" w:themeColor="text1"/>
        </w:rPr>
        <w:t xml:space="preserve">qui souligne </w:t>
      </w:r>
      <w:r w:rsidRPr="0027097B">
        <w:rPr>
          <w:color w:val="000000" w:themeColor="text1"/>
        </w:rPr>
        <w:t>l</w:t>
      </w:r>
      <w:r>
        <w:rPr>
          <w:color w:val="000000" w:themeColor="text1"/>
        </w:rPr>
        <w:t>’</w:t>
      </w:r>
      <w:r w:rsidRPr="0027097B">
        <w:rPr>
          <w:color w:val="000000" w:themeColor="text1"/>
        </w:rPr>
        <w:t xml:space="preserve">obligation </w:t>
      </w:r>
      <w:r>
        <w:rPr>
          <w:color w:val="000000" w:themeColor="text1"/>
        </w:rPr>
        <w:t xml:space="preserve">des </w:t>
      </w:r>
      <w:r w:rsidRPr="0027097B">
        <w:rPr>
          <w:color w:val="000000" w:themeColor="text1"/>
        </w:rPr>
        <w:t>États parties de ne pas extrader, déplacer, expulser ou transférer de toute autre manière une personne de leur territoire s</w:t>
      </w:r>
      <w:r>
        <w:rPr>
          <w:color w:val="000000" w:themeColor="text1"/>
        </w:rPr>
        <w:t>’</w:t>
      </w:r>
      <w:r w:rsidRPr="0027097B">
        <w:rPr>
          <w:color w:val="000000" w:themeColor="text1"/>
        </w:rPr>
        <w:t>il existe des motifs sérieux de croire qu</w:t>
      </w:r>
      <w:r>
        <w:rPr>
          <w:color w:val="000000" w:themeColor="text1"/>
        </w:rPr>
        <w:t>’</w:t>
      </w:r>
      <w:r w:rsidRPr="0027097B">
        <w:rPr>
          <w:color w:val="000000" w:themeColor="text1"/>
        </w:rPr>
        <w:t>elle court un risque réel de préjudice irréparable, tel celui envisagé aux articles</w:t>
      </w:r>
      <w:r w:rsidR="00834957">
        <w:rPr>
          <w:color w:val="000000" w:themeColor="text1"/>
        </w:rPr>
        <w:t> </w:t>
      </w:r>
      <w:r w:rsidRPr="0027097B">
        <w:rPr>
          <w:color w:val="000000" w:themeColor="text1"/>
        </w:rPr>
        <w:t xml:space="preserve">6 et 7 du Pacte. </w:t>
      </w:r>
      <w:r>
        <w:rPr>
          <w:color w:val="000000" w:themeColor="text1"/>
        </w:rPr>
        <w:t xml:space="preserve">Le Comité </w:t>
      </w:r>
      <w:r w:rsidRPr="0027097B">
        <w:rPr>
          <w:color w:val="000000" w:themeColor="text1"/>
        </w:rPr>
        <w:t xml:space="preserve">a aussi </w:t>
      </w:r>
      <w:r>
        <w:rPr>
          <w:color w:val="000000" w:themeColor="text1"/>
        </w:rPr>
        <w:t xml:space="preserve">indiqué </w:t>
      </w:r>
      <w:r w:rsidRPr="0027097B">
        <w:rPr>
          <w:color w:val="000000" w:themeColor="text1"/>
        </w:rPr>
        <w:t xml:space="preserve">que </w:t>
      </w:r>
      <w:r>
        <w:rPr>
          <w:color w:val="000000" w:themeColor="text1"/>
        </w:rPr>
        <w:t>c</w:t>
      </w:r>
      <w:r w:rsidRPr="0027097B">
        <w:rPr>
          <w:color w:val="000000" w:themeColor="text1"/>
        </w:rPr>
        <w:t>e risque devait être personnel et qu</w:t>
      </w:r>
      <w:r>
        <w:rPr>
          <w:color w:val="000000" w:themeColor="text1"/>
        </w:rPr>
        <w:t>’</w:t>
      </w:r>
      <w:r w:rsidRPr="0027097B">
        <w:rPr>
          <w:color w:val="000000" w:themeColor="text1"/>
        </w:rPr>
        <w:t xml:space="preserve">il fallait des motifs sérieux </w:t>
      </w:r>
      <w:r>
        <w:rPr>
          <w:color w:val="000000" w:themeColor="text1"/>
        </w:rPr>
        <w:t xml:space="preserve">pour </w:t>
      </w:r>
      <w:r w:rsidRPr="0027097B">
        <w:rPr>
          <w:color w:val="000000" w:themeColor="text1"/>
        </w:rPr>
        <w:t>conclure à l</w:t>
      </w:r>
      <w:r>
        <w:rPr>
          <w:color w:val="000000" w:themeColor="text1"/>
        </w:rPr>
        <w:t>’</w:t>
      </w:r>
      <w:r w:rsidRPr="0027097B">
        <w:rPr>
          <w:color w:val="000000" w:themeColor="text1"/>
        </w:rPr>
        <w:t>existence d</w:t>
      </w:r>
      <w:r>
        <w:rPr>
          <w:color w:val="000000" w:themeColor="text1"/>
        </w:rPr>
        <w:t>’</w:t>
      </w:r>
      <w:r w:rsidRPr="0027097B">
        <w:rPr>
          <w:color w:val="000000" w:themeColor="text1"/>
        </w:rPr>
        <w:t>un risque réel de dommage irréparable</w:t>
      </w:r>
      <w:r w:rsidRPr="00673767">
        <w:rPr>
          <w:rStyle w:val="Appelnotedebasdep"/>
        </w:rPr>
        <w:footnoteReference w:id="12"/>
      </w:r>
      <w:r w:rsidRPr="0027097B">
        <w:rPr>
          <w:color w:val="000000" w:themeColor="text1"/>
        </w:rPr>
        <w:t>. Pour évaluer l</w:t>
      </w:r>
      <w:r>
        <w:rPr>
          <w:color w:val="000000" w:themeColor="text1"/>
        </w:rPr>
        <w:t>’</w:t>
      </w:r>
      <w:r w:rsidRPr="0027097B">
        <w:rPr>
          <w:color w:val="000000" w:themeColor="text1"/>
        </w:rPr>
        <w:t>existence d</w:t>
      </w:r>
      <w:r>
        <w:rPr>
          <w:color w:val="000000" w:themeColor="text1"/>
        </w:rPr>
        <w:t>’</w:t>
      </w:r>
      <w:r w:rsidRPr="0027097B">
        <w:rPr>
          <w:color w:val="000000" w:themeColor="text1"/>
        </w:rPr>
        <w:t xml:space="preserve">un tel risque, il convient de tenir compte de tous les faits et </w:t>
      </w:r>
      <w:r>
        <w:rPr>
          <w:color w:val="000000" w:themeColor="text1"/>
        </w:rPr>
        <w:t>circonstances pertinents</w:t>
      </w:r>
      <w:r w:rsidRPr="0027097B">
        <w:rPr>
          <w:color w:val="000000" w:themeColor="text1"/>
        </w:rPr>
        <w:t xml:space="preserve">, </w:t>
      </w:r>
      <w:r>
        <w:rPr>
          <w:color w:val="000000" w:themeColor="text1"/>
        </w:rPr>
        <w:t xml:space="preserve">notamment </w:t>
      </w:r>
      <w:r w:rsidRPr="0027097B">
        <w:rPr>
          <w:color w:val="000000" w:themeColor="text1"/>
        </w:rPr>
        <w:t>la situation générale des droits de l</w:t>
      </w:r>
      <w:r>
        <w:rPr>
          <w:color w:val="000000" w:themeColor="text1"/>
        </w:rPr>
        <w:t>’</w:t>
      </w:r>
      <w:r w:rsidRPr="0027097B">
        <w:rPr>
          <w:color w:val="000000" w:themeColor="text1"/>
        </w:rPr>
        <w:t>homme dans le pays d</w:t>
      </w:r>
      <w:r>
        <w:rPr>
          <w:color w:val="000000" w:themeColor="text1"/>
        </w:rPr>
        <w:t>’</w:t>
      </w:r>
      <w:r w:rsidRPr="0027097B">
        <w:rPr>
          <w:color w:val="000000" w:themeColor="text1"/>
        </w:rPr>
        <w:t>origine de l</w:t>
      </w:r>
      <w:r>
        <w:rPr>
          <w:color w:val="000000" w:themeColor="text1"/>
        </w:rPr>
        <w:t>’</w:t>
      </w:r>
      <w:r w:rsidRPr="0027097B">
        <w:rPr>
          <w:color w:val="000000" w:themeColor="text1"/>
        </w:rPr>
        <w:t>auteur</w:t>
      </w:r>
      <w:r w:rsidRPr="00673767">
        <w:rPr>
          <w:rStyle w:val="Appelnotedebasdep"/>
        </w:rPr>
        <w:footnoteReference w:id="13"/>
      </w:r>
      <w:r w:rsidRPr="0027097B">
        <w:rPr>
          <w:color w:val="000000" w:themeColor="text1"/>
        </w:rPr>
        <w:t>. Le Comité rappelle sa jurisprudence</w:t>
      </w:r>
      <w:r>
        <w:rPr>
          <w:color w:val="000000" w:themeColor="text1"/>
        </w:rPr>
        <w:t xml:space="preserve"> selon laquelle un poids considérable doit être accordé à l’évaluation faite par </w:t>
      </w:r>
      <w:r w:rsidRPr="0027097B">
        <w:rPr>
          <w:color w:val="000000" w:themeColor="text1"/>
        </w:rPr>
        <w:t>l</w:t>
      </w:r>
      <w:r>
        <w:rPr>
          <w:color w:val="000000" w:themeColor="text1"/>
        </w:rPr>
        <w:t>’</w:t>
      </w:r>
      <w:r w:rsidRPr="0027097B">
        <w:rPr>
          <w:color w:val="000000" w:themeColor="text1"/>
        </w:rPr>
        <w:t>État partie</w:t>
      </w:r>
      <w:r>
        <w:rPr>
          <w:color w:val="000000" w:themeColor="text1"/>
        </w:rPr>
        <w:t xml:space="preserve"> et il réaffirme que</w:t>
      </w:r>
      <w:r w:rsidRPr="0027097B">
        <w:rPr>
          <w:color w:val="000000" w:themeColor="text1"/>
        </w:rPr>
        <w:t xml:space="preserve">, </w:t>
      </w:r>
      <w:r>
        <w:rPr>
          <w:color w:val="000000" w:themeColor="text1"/>
        </w:rPr>
        <w:t xml:space="preserve">d’une manière générale, l’appréciation des faits et des éléments de preuve dans une affaire donnée doit rester la prérogative des organes </w:t>
      </w:r>
      <w:r w:rsidRPr="0027097B">
        <w:rPr>
          <w:color w:val="000000" w:themeColor="text1"/>
        </w:rPr>
        <w:t>des États parties , sauf s</w:t>
      </w:r>
      <w:r>
        <w:rPr>
          <w:color w:val="000000" w:themeColor="text1"/>
        </w:rPr>
        <w:t>’</w:t>
      </w:r>
      <w:r w:rsidRPr="0027097B">
        <w:rPr>
          <w:color w:val="000000" w:themeColor="text1"/>
        </w:rPr>
        <w:t xml:space="preserve">il </w:t>
      </w:r>
      <w:r>
        <w:rPr>
          <w:color w:val="000000" w:themeColor="text1"/>
        </w:rPr>
        <w:t xml:space="preserve">est </w:t>
      </w:r>
      <w:r w:rsidRPr="0027097B">
        <w:rPr>
          <w:color w:val="000000" w:themeColor="text1"/>
        </w:rPr>
        <w:t xml:space="preserve">établi que cette appréciation </w:t>
      </w:r>
      <w:r>
        <w:rPr>
          <w:color w:val="000000" w:themeColor="text1"/>
        </w:rPr>
        <w:t xml:space="preserve">a été </w:t>
      </w:r>
      <w:r w:rsidRPr="0027097B">
        <w:rPr>
          <w:color w:val="000000" w:themeColor="text1"/>
        </w:rPr>
        <w:t xml:space="preserve">manifestement arbitraire ou a </w:t>
      </w:r>
      <w:r>
        <w:rPr>
          <w:color w:val="000000" w:themeColor="text1"/>
        </w:rPr>
        <w:t xml:space="preserve">constitué </w:t>
      </w:r>
      <w:r w:rsidRPr="0027097B">
        <w:rPr>
          <w:color w:val="000000" w:themeColor="text1"/>
        </w:rPr>
        <w:t>un déni de justice</w:t>
      </w:r>
      <w:r w:rsidRPr="00673767">
        <w:rPr>
          <w:rStyle w:val="Appelnotedebasdep"/>
        </w:rPr>
        <w:footnoteReference w:id="14"/>
      </w:r>
      <w:r w:rsidRPr="0027097B">
        <w:rPr>
          <w:color w:val="000000" w:themeColor="text1"/>
        </w:rPr>
        <w:t>.</w:t>
      </w:r>
    </w:p>
    <w:p w14:paraId="18A41335" w14:textId="4CC5E92D" w:rsidR="00D86915" w:rsidRPr="0027097B" w:rsidRDefault="00D86915" w:rsidP="00C6200E">
      <w:pPr>
        <w:pStyle w:val="NormalWeb"/>
        <w:keepLines/>
        <w:spacing w:before="0" w:beforeAutospacing="0" w:after="120" w:afterAutospacing="0" w:line="240" w:lineRule="atLeast"/>
        <w:ind w:left="1134" w:right="1134"/>
        <w:jc w:val="both"/>
        <w:rPr>
          <w:sz w:val="20"/>
          <w:szCs w:val="20"/>
          <w:lang w:val="fr-CH"/>
        </w:rPr>
      </w:pPr>
      <w:r w:rsidRPr="0027097B">
        <w:rPr>
          <w:sz w:val="20"/>
          <w:szCs w:val="20"/>
          <w:lang w:val="fr-CH"/>
        </w:rPr>
        <w:lastRenderedPageBreak/>
        <w:t>7.8</w:t>
      </w:r>
      <w:r w:rsidRPr="0027097B">
        <w:rPr>
          <w:sz w:val="20"/>
          <w:szCs w:val="20"/>
          <w:lang w:val="fr-CH"/>
        </w:rPr>
        <w:tab/>
        <w:t xml:space="preserve">Compte tenu de ce qui précède, le Comité </w:t>
      </w:r>
      <w:r>
        <w:rPr>
          <w:sz w:val="20"/>
          <w:szCs w:val="20"/>
          <w:lang w:val="fr-CH"/>
        </w:rPr>
        <w:t xml:space="preserve">fait </w:t>
      </w:r>
      <w:r w:rsidRPr="0027097B">
        <w:rPr>
          <w:sz w:val="20"/>
          <w:szCs w:val="20"/>
          <w:lang w:val="fr-CH"/>
        </w:rPr>
        <w:t>observe</w:t>
      </w:r>
      <w:r>
        <w:rPr>
          <w:sz w:val="20"/>
          <w:szCs w:val="20"/>
          <w:lang w:val="fr-CH"/>
        </w:rPr>
        <w:t>r</w:t>
      </w:r>
      <w:r w:rsidRPr="0027097B">
        <w:rPr>
          <w:sz w:val="20"/>
          <w:szCs w:val="20"/>
          <w:lang w:val="fr-CH"/>
        </w:rPr>
        <w:t xml:space="preserve"> que l</w:t>
      </w:r>
      <w:r>
        <w:rPr>
          <w:sz w:val="20"/>
          <w:szCs w:val="20"/>
          <w:lang w:val="fr-CH"/>
        </w:rPr>
        <w:t>’</w:t>
      </w:r>
      <w:r w:rsidRPr="0027097B">
        <w:rPr>
          <w:sz w:val="20"/>
          <w:szCs w:val="20"/>
          <w:lang w:val="fr-CH"/>
        </w:rPr>
        <w:t>auteur n</w:t>
      </w:r>
      <w:r>
        <w:rPr>
          <w:sz w:val="20"/>
          <w:szCs w:val="20"/>
          <w:lang w:val="fr-CH"/>
        </w:rPr>
        <w:t>’</w:t>
      </w:r>
      <w:r w:rsidRPr="0027097B">
        <w:rPr>
          <w:sz w:val="20"/>
          <w:szCs w:val="20"/>
          <w:lang w:val="fr-CH"/>
        </w:rPr>
        <w:t xml:space="preserve">a </w:t>
      </w:r>
      <w:r>
        <w:rPr>
          <w:sz w:val="20"/>
          <w:szCs w:val="20"/>
          <w:lang w:val="fr-CH"/>
        </w:rPr>
        <w:t xml:space="preserve">relevé aucune </w:t>
      </w:r>
      <w:r w:rsidRPr="0027097B">
        <w:rPr>
          <w:sz w:val="20"/>
          <w:szCs w:val="20"/>
          <w:lang w:val="fr-CH"/>
        </w:rPr>
        <w:t xml:space="preserve">irrégularité </w:t>
      </w:r>
      <w:r>
        <w:rPr>
          <w:sz w:val="20"/>
          <w:szCs w:val="20"/>
          <w:lang w:val="fr-CH"/>
        </w:rPr>
        <w:t xml:space="preserve">de cette nature dans la procédure de </w:t>
      </w:r>
      <w:r w:rsidRPr="0027097B">
        <w:rPr>
          <w:sz w:val="20"/>
          <w:szCs w:val="20"/>
          <w:lang w:val="fr-CH"/>
        </w:rPr>
        <w:t>prise de décision</w:t>
      </w:r>
      <w:r w:rsidR="00E73F1B">
        <w:rPr>
          <w:sz w:val="20"/>
          <w:szCs w:val="20"/>
          <w:lang w:val="fr-CH"/>
        </w:rPr>
        <w:t xml:space="preserve">s </w:t>
      </w:r>
      <w:r>
        <w:rPr>
          <w:sz w:val="20"/>
          <w:szCs w:val="20"/>
          <w:lang w:val="fr-CH"/>
        </w:rPr>
        <w:t xml:space="preserve">suivie </w:t>
      </w:r>
      <w:r w:rsidRPr="0027097B">
        <w:rPr>
          <w:sz w:val="20"/>
          <w:szCs w:val="20"/>
          <w:lang w:val="fr-CH"/>
        </w:rPr>
        <w:t>par les autorités danoises de l</w:t>
      </w:r>
      <w:r>
        <w:rPr>
          <w:sz w:val="20"/>
          <w:szCs w:val="20"/>
          <w:lang w:val="fr-CH"/>
        </w:rPr>
        <w:t>’</w:t>
      </w:r>
      <w:r w:rsidRPr="0027097B">
        <w:rPr>
          <w:sz w:val="20"/>
          <w:szCs w:val="20"/>
          <w:lang w:val="fr-CH"/>
        </w:rPr>
        <w:t>immigration dans le cadre de la procédure d</w:t>
      </w:r>
      <w:r>
        <w:rPr>
          <w:sz w:val="20"/>
          <w:szCs w:val="20"/>
          <w:lang w:val="fr-CH"/>
        </w:rPr>
        <w:t>’</w:t>
      </w:r>
      <w:r w:rsidRPr="0027097B">
        <w:rPr>
          <w:sz w:val="20"/>
          <w:szCs w:val="20"/>
          <w:lang w:val="fr-CH"/>
        </w:rPr>
        <w:t xml:space="preserve">asile et </w:t>
      </w:r>
      <w:r>
        <w:rPr>
          <w:sz w:val="20"/>
          <w:szCs w:val="20"/>
          <w:lang w:val="fr-CH"/>
        </w:rPr>
        <w:t xml:space="preserve">qu’il </w:t>
      </w:r>
      <w:r w:rsidRPr="0027097B">
        <w:rPr>
          <w:sz w:val="20"/>
          <w:szCs w:val="20"/>
          <w:lang w:val="fr-CH"/>
        </w:rPr>
        <w:t>n</w:t>
      </w:r>
      <w:r>
        <w:rPr>
          <w:sz w:val="20"/>
          <w:szCs w:val="20"/>
          <w:lang w:val="fr-CH"/>
        </w:rPr>
        <w:t>’</w:t>
      </w:r>
      <w:r w:rsidRPr="0027097B">
        <w:rPr>
          <w:sz w:val="20"/>
          <w:szCs w:val="20"/>
          <w:lang w:val="fr-CH"/>
        </w:rPr>
        <w:t xml:space="preserve">a pas suffisamment démontré </w:t>
      </w:r>
      <w:r>
        <w:rPr>
          <w:sz w:val="20"/>
          <w:szCs w:val="20"/>
          <w:lang w:val="fr-CH"/>
        </w:rPr>
        <w:t>que</w:t>
      </w:r>
      <w:r w:rsidR="00C6200E">
        <w:rPr>
          <w:sz w:val="20"/>
          <w:szCs w:val="20"/>
          <w:lang w:val="fr-CH"/>
        </w:rPr>
        <w:t xml:space="preserve"> </w:t>
      </w:r>
      <w:r w:rsidRPr="0027097B">
        <w:rPr>
          <w:sz w:val="20"/>
          <w:szCs w:val="20"/>
          <w:lang w:val="fr-CH"/>
        </w:rPr>
        <w:t xml:space="preserve">les décisions de ces autorités étaient manifestement arbitraires ou erronées </w:t>
      </w:r>
      <w:r>
        <w:rPr>
          <w:sz w:val="20"/>
          <w:szCs w:val="20"/>
          <w:lang w:val="fr-CH"/>
        </w:rPr>
        <w:t xml:space="preserve">ou constituaient </w:t>
      </w:r>
      <w:r w:rsidRPr="0027097B">
        <w:rPr>
          <w:sz w:val="20"/>
          <w:szCs w:val="20"/>
          <w:lang w:val="fr-CH"/>
        </w:rPr>
        <w:t xml:space="preserve">un déni de justice. </w:t>
      </w:r>
      <w:r>
        <w:rPr>
          <w:sz w:val="20"/>
          <w:szCs w:val="20"/>
          <w:lang w:val="fr-CH"/>
        </w:rPr>
        <w:t xml:space="preserve">S’agissant du renvoi de </w:t>
      </w:r>
      <w:r w:rsidRPr="0027097B">
        <w:rPr>
          <w:sz w:val="20"/>
          <w:szCs w:val="20"/>
          <w:lang w:val="fr-CH"/>
        </w:rPr>
        <w:t>l</w:t>
      </w:r>
      <w:r>
        <w:rPr>
          <w:sz w:val="20"/>
          <w:szCs w:val="20"/>
          <w:lang w:val="fr-CH"/>
        </w:rPr>
        <w:t>’</w:t>
      </w:r>
      <w:r w:rsidRPr="0027097B">
        <w:rPr>
          <w:sz w:val="20"/>
          <w:szCs w:val="20"/>
          <w:lang w:val="fr-CH"/>
        </w:rPr>
        <w:t xml:space="preserve">auteur aux constatations </w:t>
      </w:r>
      <w:r>
        <w:rPr>
          <w:sz w:val="20"/>
          <w:szCs w:val="20"/>
          <w:lang w:val="fr-CH"/>
        </w:rPr>
        <w:t xml:space="preserve">du </w:t>
      </w:r>
      <w:r w:rsidRPr="0027097B">
        <w:rPr>
          <w:sz w:val="20"/>
          <w:szCs w:val="20"/>
          <w:lang w:val="fr-CH"/>
        </w:rPr>
        <w:t>Comité en l</w:t>
      </w:r>
      <w:r>
        <w:rPr>
          <w:sz w:val="20"/>
          <w:szCs w:val="20"/>
          <w:lang w:val="fr-CH"/>
        </w:rPr>
        <w:t>’</w:t>
      </w:r>
      <w:r w:rsidRPr="0027097B">
        <w:rPr>
          <w:sz w:val="20"/>
          <w:szCs w:val="20"/>
          <w:lang w:val="fr-CH"/>
        </w:rPr>
        <w:t xml:space="preserve">affaire </w:t>
      </w:r>
      <w:r w:rsidRPr="0027097B">
        <w:rPr>
          <w:i/>
          <w:sz w:val="20"/>
          <w:szCs w:val="20"/>
          <w:lang w:val="fr-CH"/>
        </w:rPr>
        <w:t>A.</w:t>
      </w:r>
      <w:r>
        <w:rPr>
          <w:i/>
          <w:sz w:val="20"/>
          <w:szCs w:val="20"/>
          <w:lang w:val="fr-CH"/>
        </w:rPr>
        <w:t> </w:t>
      </w:r>
      <w:r w:rsidRPr="0027097B">
        <w:rPr>
          <w:i/>
          <w:sz w:val="20"/>
          <w:szCs w:val="20"/>
          <w:lang w:val="fr-CH"/>
        </w:rPr>
        <w:t>A.</w:t>
      </w:r>
      <w:r>
        <w:rPr>
          <w:i/>
          <w:sz w:val="20"/>
          <w:szCs w:val="20"/>
          <w:lang w:val="fr-CH"/>
        </w:rPr>
        <w:t> </w:t>
      </w:r>
      <w:r w:rsidRPr="0027097B">
        <w:rPr>
          <w:i/>
          <w:sz w:val="20"/>
          <w:szCs w:val="20"/>
          <w:lang w:val="fr-CH"/>
        </w:rPr>
        <w:t xml:space="preserve">S. </w:t>
      </w:r>
      <w:r w:rsidRPr="00D320B0">
        <w:rPr>
          <w:i/>
          <w:sz w:val="20"/>
          <w:szCs w:val="20"/>
          <w:lang w:val="fr-CH"/>
        </w:rPr>
        <w:t>c.</w:t>
      </w:r>
      <w:r w:rsidRPr="0027097B">
        <w:rPr>
          <w:i/>
          <w:sz w:val="20"/>
          <w:szCs w:val="20"/>
          <w:lang w:val="fr-CH"/>
        </w:rPr>
        <w:t xml:space="preserve"> Danemark</w:t>
      </w:r>
      <w:r w:rsidRPr="0027097B">
        <w:rPr>
          <w:sz w:val="20"/>
          <w:szCs w:val="20"/>
          <w:lang w:val="fr-CH"/>
        </w:rPr>
        <w:t xml:space="preserve">, </w:t>
      </w:r>
      <w:r>
        <w:rPr>
          <w:sz w:val="20"/>
          <w:szCs w:val="20"/>
          <w:lang w:val="fr-CH"/>
        </w:rPr>
        <w:t xml:space="preserve">le Comité </w:t>
      </w:r>
      <w:r w:rsidRPr="0027097B">
        <w:rPr>
          <w:sz w:val="20"/>
          <w:szCs w:val="20"/>
          <w:lang w:val="fr-CH"/>
        </w:rPr>
        <w:t>note qu</w:t>
      </w:r>
      <w:r>
        <w:rPr>
          <w:sz w:val="20"/>
          <w:szCs w:val="20"/>
          <w:lang w:val="fr-CH"/>
        </w:rPr>
        <w:t>’</w:t>
      </w:r>
      <w:r w:rsidRPr="0027097B">
        <w:rPr>
          <w:sz w:val="20"/>
          <w:szCs w:val="20"/>
          <w:lang w:val="fr-CH"/>
        </w:rPr>
        <w:t xml:space="preserve">en dépit de </w:t>
      </w:r>
      <w:r>
        <w:rPr>
          <w:sz w:val="20"/>
          <w:szCs w:val="20"/>
          <w:lang w:val="fr-CH"/>
        </w:rPr>
        <w:t xml:space="preserve">similarités </w:t>
      </w:r>
      <w:r w:rsidRPr="0027097B">
        <w:rPr>
          <w:sz w:val="20"/>
          <w:szCs w:val="20"/>
          <w:lang w:val="fr-CH"/>
        </w:rPr>
        <w:t>apparentes</w:t>
      </w:r>
      <w:r w:rsidRPr="0027097B">
        <w:rPr>
          <w:iCs/>
          <w:sz w:val="20"/>
          <w:szCs w:val="20"/>
          <w:lang w:val="fr-CH"/>
        </w:rPr>
        <w:t xml:space="preserve">, </w:t>
      </w:r>
      <w:r>
        <w:rPr>
          <w:iCs/>
          <w:sz w:val="20"/>
          <w:szCs w:val="20"/>
          <w:lang w:val="fr-CH"/>
        </w:rPr>
        <w:t xml:space="preserve">cette </w:t>
      </w:r>
      <w:r w:rsidRPr="0027097B">
        <w:rPr>
          <w:iCs/>
          <w:sz w:val="20"/>
          <w:szCs w:val="20"/>
          <w:lang w:val="fr-CH"/>
        </w:rPr>
        <w:t xml:space="preserve">affaire est fondamentalement différente </w:t>
      </w:r>
      <w:r>
        <w:rPr>
          <w:iCs/>
          <w:sz w:val="20"/>
          <w:szCs w:val="20"/>
          <w:lang w:val="fr-CH"/>
        </w:rPr>
        <w:t xml:space="preserve">de la présente espèce du fait qu’en raison </w:t>
      </w:r>
      <w:r w:rsidRPr="0027097B">
        <w:rPr>
          <w:iCs/>
          <w:sz w:val="20"/>
          <w:szCs w:val="20"/>
          <w:lang w:val="fr-CH"/>
        </w:rPr>
        <w:t xml:space="preserve">de la situation </w:t>
      </w:r>
      <w:r>
        <w:rPr>
          <w:iCs/>
          <w:sz w:val="20"/>
          <w:szCs w:val="20"/>
          <w:lang w:val="fr-CH"/>
        </w:rPr>
        <w:t xml:space="preserve">qui régnait </w:t>
      </w:r>
      <w:r w:rsidRPr="0027097B">
        <w:rPr>
          <w:iCs/>
          <w:sz w:val="20"/>
          <w:szCs w:val="20"/>
          <w:lang w:val="fr-CH"/>
        </w:rPr>
        <w:t>en Somalie au moment des faits et</w:t>
      </w:r>
      <w:r>
        <w:rPr>
          <w:iCs/>
          <w:sz w:val="20"/>
          <w:szCs w:val="20"/>
          <w:lang w:val="fr-CH"/>
        </w:rPr>
        <w:t xml:space="preserve"> de </w:t>
      </w:r>
      <w:r w:rsidRPr="0027097B">
        <w:rPr>
          <w:iCs/>
          <w:sz w:val="20"/>
          <w:szCs w:val="20"/>
          <w:lang w:val="fr-CH"/>
        </w:rPr>
        <w:t>la situation particulière de l</w:t>
      </w:r>
      <w:r>
        <w:rPr>
          <w:iCs/>
          <w:sz w:val="20"/>
          <w:szCs w:val="20"/>
          <w:lang w:val="fr-CH"/>
        </w:rPr>
        <w:t>’</w:t>
      </w:r>
      <w:r w:rsidRPr="0027097B">
        <w:rPr>
          <w:iCs/>
          <w:sz w:val="20"/>
          <w:szCs w:val="20"/>
          <w:lang w:val="fr-CH"/>
        </w:rPr>
        <w:t xml:space="preserve">auteur de </w:t>
      </w:r>
      <w:r>
        <w:rPr>
          <w:iCs/>
          <w:sz w:val="20"/>
          <w:szCs w:val="20"/>
          <w:lang w:val="fr-CH"/>
        </w:rPr>
        <w:t xml:space="preserve">la </w:t>
      </w:r>
      <w:r w:rsidRPr="0027097B">
        <w:rPr>
          <w:iCs/>
          <w:sz w:val="20"/>
          <w:szCs w:val="20"/>
          <w:lang w:val="fr-CH"/>
        </w:rPr>
        <w:t xml:space="preserve">communication, celui-ci </w:t>
      </w:r>
      <w:r>
        <w:rPr>
          <w:iCs/>
          <w:sz w:val="20"/>
          <w:szCs w:val="20"/>
          <w:lang w:val="fr-CH"/>
        </w:rPr>
        <w:t xml:space="preserve">était </w:t>
      </w:r>
      <w:r w:rsidRPr="0027097B">
        <w:rPr>
          <w:iCs/>
          <w:sz w:val="20"/>
          <w:szCs w:val="20"/>
          <w:lang w:val="fr-CH"/>
        </w:rPr>
        <w:t>particulièrement vulnérable</w:t>
      </w:r>
      <w:r>
        <w:rPr>
          <w:iCs/>
          <w:sz w:val="20"/>
          <w:szCs w:val="20"/>
          <w:lang w:val="fr-CH"/>
        </w:rPr>
        <w:t xml:space="preserve">, et il considère </w:t>
      </w:r>
      <w:r w:rsidRPr="0027097B">
        <w:rPr>
          <w:iCs/>
          <w:sz w:val="20"/>
          <w:szCs w:val="20"/>
          <w:lang w:val="fr-CH"/>
        </w:rPr>
        <w:t xml:space="preserve">par conséquent que cette affaire est </w:t>
      </w:r>
      <w:r>
        <w:rPr>
          <w:iCs/>
          <w:sz w:val="20"/>
          <w:szCs w:val="20"/>
          <w:lang w:val="fr-CH"/>
        </w:rPr>
        <w:t xml:space="preserve">dénuée de pertinence </w:t>
      </w:r>
      <w:r w:rsidRPr="0027097B">
        <w:rPr>
          <w:iCs/>
          <w:sz w:val="20"/>
          <w:szCs w:val="20"/>
          <w:lang w:val="fr-CH"/>
        </w:rPr>
        <w:t>en l</w:t>
      </w:r>
      <w:r>
        <w:rPr>
          <w:iCs/>
          <w:sz w:val="20"/>
          <w:szCs w:val="20"/>
          <w:lang w:val="fr-CH"/>
        </w:rPr>
        <w:t>’</w:t>
      </w:r>
      <w:r w:rsidRPr="0027097B">
        <w:rPr>
          <w:iCs/>
          <w:sz w:val="20"/>
          <w:szCs w:val="20"/>
          <w:lang w:val="fr-CH"/>
        </w:rPr>
        <w:t>espèce</w:t>
      </w:r>
      <w:r w:rsidRPr="0027097B">
        <w:rPr>
          <w:sz w:val="20"/>
          <w:szCs w:val="20"/>
          <w:lang w:val="fr-CH"/>
        </w:rPr>
        <w:t>.</w:t>
      </w:r>
    </w:p>
    <w:p w14:paraId="6981A4FA" w14:textId="29879917" w:rsidR="00D86915" w:rsidRPr="0027097B" w:rsidRDefault="00D86915" w:rsidP="00D86915">
      <w:pPr>
        <w:pStyle w:val="SingleTxtG"/>
        <w:rPr>
          <w:color w:val="000000" w:themeColor="text1"/>
        </w:rPr>
      </w:pPr>
      <w:r w:rsidRPr="0027097B">
        <w:rPr>
          <w:color w:val="000000" w:themeColor="text1"/>
        </w:rPr>
        <w:t>7.9</w:t>
      </w:r>
      <w:r w:rsidRPr="0027097B">
        <w:rPr>
          <w:color w:val="000000" w:themeColor="text1"/>
        </w:rPr>
        <w:tab/>
      </w:r>
      <w:r>
        <w:rPr>
          <w:color w:val="000000" w:themeColor="text1"/>
        </w:rPr>
        <w:t>S</w:t>
      </w:r>
      <w:r w:rsidRPr="0027097B">
        <w:rPr>
          <w:color w:val="000000" w:themeColor="text1"/>
        </w:rPr>
        <w:t>ans préjudice de la responsabilité qui incombe toujours à l</w:t>
      </w:r>
      <w:r>
        <w:rPr>
          <w:color w:val="000000" w:themeColor="text1"/>
        </w:rPr>
        <w:t>’</w:t>
      </w:r>
      <w:r w:rsidRPr="0027097B">
        <w:rPr>
          <w:color w:val="000000" w:themeColor="text1"/>
        </w:rPr>
        <w:t xml:space="preserve">État partie de prendre en considération la situation </w:t>
      </w:r>
      <w:r>
        <w:rPr>
          <w:color w:val="000000" w:themeColor="text1"/>
        </w:rPr>
        <w:t xml:space="preserve">dans le </w:t>
      </w:r>
      <w:r w:rsidRPr="0027097B">
        <w:rPr>
          <w:color w:val="000000" w:themeColor="text1"/>
        </w:rPr>
        <w:t>pays vers lequel l</w:t>
      </w:r>
      <w:r>
        <w:rPr>
          <w:color w:val="000000" w:themeColor="text1"/>
        </w:rPr>
        <w:t>’</w:t>
      </w:r>
      <w:r w:rsidRPr="0027097B">
        <w:rPr>
          <w:color w:val="000000" w:themeColor="text1"/>
        </w:rPr>
        <w:t>auteur serait expulsé, et sans sous</w:t>
      </w:r>
      <w:r w:rsidR="00532332">
        <w:rPr>
          <w:color w:val="000000" w:themeColor="text1"/>
        </w:rPr>
        <w:noBreakHyphen/>
      </w:r>
      <w:r w:rsidRPr="0027097B">
        <w:rPr>
          <w:color w:val="000000" w:themeColor="text1"/>
        </w:rPr>
        <w:t>estimer les préoccupations que peut légitimement susciter la situation générale des droits de l</w:t>
      </w:r>
      <w:r>
        <w:rPr>
          <w:color w:val="000000" w:themeColor="text1"/>
        </w:rPr>
        <w:t>’</w:t>
      </w:r>
      <w:r w:rsidRPr="0027097B">
        <w:rPr>
          <w:color w:val="000000" w:themeColor="text1"/>
        </w:rPr>
        <w:t xml:space="preserve">homme en Afghanistan, le Comité estime que, compte tenu de toutes les informations dont il dispose </w:t>
      </w:r>
      <w:r>
        <w:rPr>
          <w:color w:val="000000" w:themeColor="text1"/>
        </w:rPr>
        <w:t xml:space="preserve">sur </w:t>
      </w:r>
      <w:r w:rsidRPr="0027097B">
        <w:rPr>
          <w:color w:val="000000" w:themeColor="text1"/>
        </w:rPr>
        <w:t>la situation personnelle de l</w:t>
      </w:r>
      <w:r>
        <w:rPr>
          <w:color w:val="000000" w:themeColor="text1"/>
        </w:rPr>
        <w:t>’</w:t>
      </w:r>
      <w:r w:rsidRPr="0027097B">
        <w:rPr>
          <w:color w:val="000000" w:themeColor="text1"/>
        </w:rPr>
        <w:t xml:space="preserve">auteur, les griefs que celui-ci </w:t>
      </w:r>
      <w:r>
        <w:rPr>
          <w:color w:val="000000" w:themeColor="text1"/>
        </w:rPr>
        <w:t xml:space="preserve">tire </w:t>
      </w:r>
      <w:r w:rsidRPr="0027097B">
        <w:rPr>
          <w:color w:val="000000" w:themeColor="text1"/>
        </w:rPr>
        <w:t>des articles</w:t>
      </w:r>
      <w:r w:rsidR="004834D6">
        <w:rPr>
          <w:color w:val="000000" w:themeColor="text1"/>
        </w:rPr>
        <w:t> </w:t>
      </w:r>
      <w:r w:rsidRPr="0027097B">
        <w:rPr>
          <w:color w:val="000000" w:themeColor="text1"/>
        </w:rPr>
        <w:t>6 et 7 du Pacte sont insuffisamment étayés aux fins de la recevabilité et sont donc irrecevables au regard de l</w:t>
      </w:r>
      <w:r>
        <w:rPr>
          <w:color w:val="000000" w:themeColor="text1"/>
        </w:rPr>
        <w:t>’</w:t>
      </w:r>
      <w:r w:rsidR="00834957">
        <w:rPr>
          <w:color w:val="000000" w:themeColor="text1"/>
        </w:rPr>
        <w:t>article </w:t>
      </w:r>
      <w:r w:rsidRPr="0027097B">
        <w:rPr>
          <w:color w:val="000000" w:themeColor="text1"/>
        </w:rPr>
        <w:t>2 du Protocole facultatif.</w:t>
      </w:r>
    </w:p>
    <w:p w14:paraId="2DA30B06" w14:textId="77777777" w:rsidR="00D86915" w:rsidRPr="0027097B" w:rsidRDefault="00D86915" w:rsidP="00D86915">
      <w:pPr>
        <w:pStyle w:val="SingleTxtG"/>
        <w:keepNext/>
        <w:rPr>
          <w:color w:val="000000" w:themeColor="text1"/>
        </w:rPr>
      </w:pPr>
      <w:r w:rsidRPr="0027097B">
        <w:rPr>
          <w:color w:val="000000" w:themeColor="text1"/>
        </w:rPr>
        <w:t>8.</w:t>
      </w:r>
      <w:r w:rsidRPr="0027097B">
        <w:rPr>
          <w:color w:val="000000" w:themeColor="text1"/>
        </w:rPr>
        <w:tab/>
        <w:t>En conséquence, le Comité décide :</w:t>
      </w:r>
    </w:p>
    <w:p w14:paraId="62EAB6DA" w14:textId="77777777" w:rsidR="00D86915" w:rsidRPr="0027097B" w:rsidRDefault="00D86915" w:rsidP="00D86915">
      <w:pPr>
        <w:pStyle w:val="SingleTxtG"/>
        <w:ind w:firstLine="567"/>
        <w:rPr>
          <w:color w:val="000000" w:themeColor="text1"/>
        </w:rPr>
      </w:pPr>
      <w:r w:rsidRPr="0027097B">
        <w:rPr>
          <w:color w:val="000000" w:themeColor="text1"/>
        </w:rPr>
        <w:t>a)</w:t>
      </w:r>
      <w:r w:rsidRPr="0027097B">
        <w:rPr>
          <w:color w:val="000000" w:themeColor="text1"/>
        </w:rPr>
        <w:tab/>
        <w:t>Que la communication est irrecevable au regard de l</w:t>
      </w:r>
      <w:r>
        <w:rPr>
          <w:color w:val="000000" w:themeColor="text1"/>
        </w:rPr>
        <w:t>’</w:t>
      </w:r>
      <w:r w:rsidR="00834957">
        <w:rPr>
          <w:color w:val="000000" w:themeColor="text1"/>
        </w:rPr>
        <w:t>article </w:t>
      </w:r>
      <w:r w:rsidRPr="0027097B">
        <w:rPr>
          <w:color w:val="000000" w:themeColor="text1"/>
        </w:rPr>
        <w:t>2 du Protocole facultatif ;</w:t>
      </w:r>
    </w:p>
    <w:p w14:paraId="6175A295" w14:textId="77777777" w:rsidR="00E85C42" w:rsidRDefault="00D86915" w:rsidP="00D2595A">
      <w:pPr>
        <w:pStyle w:val="SingleTxtG"/>
        <w:ind w:firstLine="567"/>
        <w:rPr>
          <w:color w:val="000000" w:themeColor="text1"/>
        </w:rPr>
      </w:pPr>
      <w:r w:rsidRPr="0027097B">
        <w:rPr>
          <w:color w:val="000000" w:themeColor="text1"/>
        </w:rPr>
        <w:t>b)</w:t>
      </w:r>
      <w:r w:rsidRPr="0027097B">
        <w:rPr>
          <w:color w:val="000000" w:themeColor="text1"/>
        </w:rPr>
        <w:tab/>
        <w:t>Que la présente décision sera communiquée à l</w:t>
      </w:r>
      <w:r>
        <w:rPr>
          <w:color w:val="000000" w:themeColor="text1"/>
        </w:rPr>
        <w:t>’</w:t>
      </w:r>
      <w:r w:rsidRPr="0027097B">
        <w:rPr>
          <w:color w:val="000000" w:themeColor="text1"/>
        </w:rPr>
        <w:t>État partie et à l</w:t>
      </w:r>
      <w:r>
        <w:rPr>
          <w:color w:val="000000" w:themeColor="text1"/>
        </w:rPr>
        <w:t>’</w:t>
      </w:r>
      <w:r w:rsidRPr="0027097B">
        <w:rPr>
          <w:color w:val="000000" w:themeColor="text1"/>
        </w:rPr>
        <w:t>auteur.</w:t>
      </w:r>
    </w:p>
    <w:p w14:paraId="78EB22B7" w14:textId="77777777" w:rsidR="00D2595A" w:rsidRPr="00D2595A" w:rsidRDefault="00D2595A" w:rsidP="00D2595A">
      <w:pPr>
        <w:pStyle w:val="SingleTxtG"/>
        <w:spacing w:before="240" w:after="0"/>
        <w:jc w:val="center"/>
        <w:rPr>
          <w:u w:val="single"/>
        </w:rPr>
      </w:pPr>
      <w:r>
        <w:rPr>
          <w:u w:val="single"/>
        </w:rPr>
        <w:tab/>
      </w:r>
      <w:r>
        <w:rPr>
          <w:u w:val="single"/>
        </w:rPr>
        <w:tab/>
      </w:r>
      <w:r>
        <w:rPr>
          <w:u w:val="single"/>
        </w:rPr>
        <w:tab/>
      </w:r>
    </w:p>
    <w:sectPr w:rsidR="00D2595A" w:rsidRPr="00D2595A" w:rsidSect="00246B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D0BB9" w14:textId="77777777" w:rsidR="001547B7" w:rsidRDefault="001547B7" w:rsidP="00F95C08">
      <w:pPr>
        <w:spacing w:line="240" w:lineRule="auto"/>
      </w:pPr>
    </w:p>
  </w:endnote>
  <w:endnote w:type="continuationSeparator" w:id="0">
    <w:p w14:paraId="2EBC0E84" w14:textId="77777777" w:rsidR="001547B7" w:rsidRPr="00AC3823" w:rsidRDefault="001547B7" w:rsidP="00AC3823">
      <w:pPr>
        <w:pStyle w:val="Pieddepage"/>
      </w:pPr>
    </w:p>
  </w:endnote>
  <w:endnote w:type="continuationNotice" w:id="1">
    <w:p w14:paraId="4539B754" w14:textId="77777777" w:rsidR="001547B7" w:rsidRDefault="00154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3B859" w14:textId="77777777" w:rsidR="001547B7" w:rsidRPr="00246B22" w:rsidRDefault="001547B7" w:rsidP="00246B22">
    <w:pPr>
      <w:pStyle w:val="Pieddepage"/>
      <w:tabs>
        <w:tab w:val="right" w:pos="9638"/>
      </w:tabs>
    </w:pPr>
    <w:r w:rsidRPr="00246B22">
      <w:rPr>
        <w:b/>
        <w:sz w:val="18"/>
      </w:rPr>
      <w:fldChar w:fldCharType="begin"/>
    </w:r>
    <w:r w:rsidRPr="00246B22">
      <w:rPr>
        <w:b/>
        <w:sz w:val="18"/>
      </w:rPr>
      <w:instrText xml:space="preserve"> PAGE  \* MERGEFORMAT </w:instrText>
    </w:r>
    <w:r w:rsidRPr="00246B22">
      <w:rPr>
        <w:b/>
        <w:sz w:val="18"/>
      </w:rPr>
      <w:fldChar w:fldCharType="separate"/>
    </w:r>
    <w:r w:rsidRPr="00246B22">
      <w:rPr>
        <w:b/>
        <w:noProof/>
        <w:sz w:val="18"/>
      </w:rPr>
      <w:t>2</w:t>
    </w:r>
    <w:r w:rsidRPr="00246B22">
      <w:rPr>
        <w:b/>
        <w:sz w:val="18"/>
      </w:rPr>
      <w:fldChar w:fldCharType="end"/>
    </w:r>
    <w:r>
      <w:rPr>
        <w:b/>
        <w:sz w:val="18"/>
      </w:rPr>
      <w:tab/>
    </w:r>
    <w:r>
      <w:t>GE.21-07467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DA65" w14:textId="77777777" w:rsidR="001547B7" w:rsidRPr="00246B22" w:rsidRDefault="001547B7" w:rsidP="00246B22">
    <w:pPr>
      <w:pStyle w:val="Pieddepage"/>
      <w:tabs>
        <w:tab w:val="right" w:pos="9638"/>
      </w:tabs>
      <w:rPr>
        <w:b/>
        <w:sz w:val="18"/>
      </w:rPr>
    </w:pPr>
    <w:r>
      <w:t>GE.21-07467</w:t>
    </w:r>
    <w:r>
      <w:tab/>
    </w:r>
    <w:r w:rsidRPr="00246B22">
      <w:rPr>
        <w:b/>
        <w:sz w:val="18"/>
      </w:rPr>
      <w:fldChar w:fldCharType="begin"/>
    </w:r>
    <w:r w:rsidRPr="00246B22">
      <w:rPr>
        <w:b/>
        <w:sz w:val="18"/>
      </w:rPr>
      <w:instrText xml:space="preserve"> PAGE  \* MERGEFORMAT </w:instrText>
    </w:r>
    <w:r w:rsidRPr="00246B22">
      <w:rPr>
        <w:b/>
        <w:sz w:val="18"/>
      </w:rPr>
      <w:fldChar w:fldCharType="separate"/>
    </w:r>
    <w:r w:rsidRPr="00246B22">
      <w:rPr>
        <w:b/>
        <w:noProof/>
        <w:sz w:val="18"/>
      </w:rPr>
      <w:t>3</w:t>
    </w:r>
    <w:r w:rsidRPr="00246B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1497" w14:textId="77777777" w:rsidR="001547B7" w:rsidRPr="00246B22" w:rsidRDefault="001547B7" w:rsidP="00246B2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54F23F8" wp14:editId="4823861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21-07467  (F)</w:t>
    </w:r>
    <w:r>
      <w:rPr>
        <w:noProof/>
        <w:sz w:val="20"/>
      </w:rPr>
      <w:drawing>
        <wp:anchor distT="0" distB="0" distL="114300" distR="114300" simplePos="0" relativeHeight="251660288" behindDoc="0" locked="0" layoutInCell="1" allowOverlap="1" wp14:anchorId="15DCAFAC" wp14:editId="4E4C289C">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300522    310522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DBC8" w14:textId="77777777" w:rsidR="001547B7" w:rsidRPr="00AC3823" w:rsidRDefault="001547B7" w:rsidP="00AC3823">
      <w:pPr>
        <w:pStyle w:val="Pieddepage"/>
        <w:tabs>
          <w:tab w:val="right" w:pos="2155"/>
        </w:tabs>
        <w:spacing w:after="80" w:line="240" w:lineRule="atLeast"/>
        <w:ind w:left="680"/>
        <w:rPr>
          <w:u w:val="single"/>
        </w:rPr>
      </w:pPr>
      <w:r>
        <w:rPr>
          <w:u w:val="single"/>
        </w:rPr>
        <w:tab/>
      </w:r>
    </w:p>
  </w:footnote>
  <w:footnote w:type="continuationSeparator" w:id="0">
    <w:p w14:paraId="338A7D4B" w14:textId="77777777" w:rsidR="001547B7" w:rsidRPr="00AC3823" w:rsidRDefault="001547B7" w:rsidP="00AC3823">
      <w:pPr>
        <w:pStyle w:val="Pieddepage"/>
        <w:tabs>
          <w:tab w:val="right" w:pos="2155"/>
        </w:tabs>
        <w:spacing w:after="80" w:line="240" w:lineRule="atLeast"/>
        <w:ind w:left="680"/>
        <w:rPr>
          <w:u w:val="single"/>
        </w:rPr>
      </w:pPr>
      <w:r>
        <w:rPr>
          <w:u w:val="single"/>
        </w:rPr>
        <w:tab/>
      </w:r>
    </w:p>
  </w:footnote>
  <w:footnote w:type="continuationNotice" w:id="1">
    <w:p w14:paraId="7C909C92" w14:textId="77777777" w:rsidR="001547B7" w:rsidRPr="00AC3823" w:rsidRDefault="001547B7">
      <w:pPr>
        <w:spacing w:line="240" w:lineRule="auto"/>
        <w:rPr>
          <w:sz w:val="2"/>
          <w:szCs w:val="2"/>
        </w:rPr>
      </w:pPr>
    </w:p>
  </w:footnote>
  <w:footnote w:id="2">
    <w:p w14:paraId="5ABEBB51" w14:textId="77777777" w:rsidR="001547B7" w:rsidRPr="008069E5" w:rsidRDefault="001547B7" w:rsidP="00D86915">
      <w:pPr>
        <w:pStyle w:val="Notedebasdepage"/>
        <w:rPr>
          <w:lang w:val="fr-FR"/>
        </w:rPr>
      </w:pPr>
      <w:r w:rsidRPr="007A1CC0">
        <w:rPr>
          <w:rStyle w:val="Appelnotedebasdep"/>
          <w:vertAlign w:val="baseline"/>
          <w:lang w:val="fr-FR"/>
        </w:rPr>
        <w:tab/>
      </w:r>
      <w:r w:rsidRPr="007A1CC0">
        <w:rPr>
          <w:rStyle w:val="Appelnotedebasdep"/>
          <w:sz w:val="20"/>
          <w:vertAlign w:val="baseline"/>
          <w:lang w:val="fr-FR"/>
        </w:rPr>
        <w:t>*</w:t>
      </w:r>
      <w:r w:rsidRPr="008069E5">
        <w:rPr>
          <w:rStyle w:val="Appelnotedebasdep"/>
          <w:sz w:val="20"/>
          <w:lang w:val="fr-FR"/>
        </w:rPr>
        <w:tab/>
      </w:r>
      <w:r w:rsidRPr="006F395D">
        <w:rPr>
          <w:lang w:val="fr-FR"/>
        </w:rPr>
        <w:t>Adoptée par le Comité à sa 130</w:t>
      </w:r>
      <w:r w:rsidRPr="006F395D">
        <w:rPr>
          <w:vertAlign w:val="superscript"/>
          <w:lang w:val="fr-FR"/>
        </w:rPr>
        <w:t>e</w:t>
      </w:r>
      <w:r>
        <w:rPr>
          <w:lang w:val="fr-FR"/>
        </w:rPr>
        <w:t> </w:t>
      </w:r>
      <w:r w:rsidRPr="006F395D">
        <w:rPr>
          <w:lang w:val="fr-FR"/>
        </w:rPr>
        <w:t>session (12</w:t>
      </w:r>
      <w:r>
        <w:rPr>
          <w:lang w:val="fr-FR"/>
        </w:rPr>
        <w:t> octobre</w:t>
      </w:r>
      <w:r w:rsidR="00FE226B">
        <w:rPr>
          <w:lang w:val="fr-FR"/>
        </w:rPr>
        <w:t>-</w:t>
      </w:r>
      <w:r w:rsidRPr="006F395D">
        <w:rPr>
          <w:lang w:val="fr-FR"/>
        </w:rPr>
        <w:t>6</w:t>
      </w:r>
      <w:r>
        <w:rPr>
          <w:lang w:val="fr-FR"/>
        </w:rPr>
        <w:t> novembre</w:t>
      </w:r>
      <w:r w:rsidR="00D9140A">
        <w:rPr>
          <w:lang w:val="fr-FR"/>
        </w:rPr>
        <w:t xml:space="preserve"> </w:t>
      </w:r>
      <w:r w:rsidRPr="006F395D">
        <w:rPr>
          <w:lang w:val="fr-FR"/>
        </w:rPr>
        <w:t>2020).</w:t>
      </w:r>
    </w:p>
  </w:footnote>
  <w:footnote w:id="3">
    <w:p w14:paraId="6224F9AD" w14:textId="77777777" w:rsidR="001547B7" w:rsidRPr="008069E5" w:rsidRDefault="001547B7" w:rsidP="00D86915">
      <w:pPr>
        <w:pStyle w:val="Notedebasdepage"/>
        <w:rPr>
          <w:lang w:val="fr-FR"/>
        </w:rPr>
      </w:pPr>
      <w:r w:rsidRPr="007A1CC0">
        <w:rPr>
          <w:rStyle w:val="Appelnotedebasdep"/>
          <w:vertAlign w:val="baseline"/>
          <w:lang w:val="fr-FR"/>
        </w:rPr>
        <w:tab/>
      </w:r>
      <w:r w:rsidRPr="007A1CC0">
        <w:rPr>
          <w:rStyle w:val="Appelnotedebasdep"/>
          <w:sz w:val="20"/>
          <w:vertAlign w:val="baseline"/>
          <w:lang w:val="fr-FR"/>
        </w:rPr>
        <w:t>**</w:t>
      </w:r>
      <w:r w:rsidRPr="008069E5">
        <w:rPr>
          <w:rStyle w:val="Appelnotedebasdep"/>
          <w:sz w:val="20"/>
          <w:lang w:val="fr-FR"/>
        </w:rPr>
        <w:tab/>
      </w:r>
      <w:r w:rsidRPr="00793F60">
        <w:t xml:space="preserve">Les membres du </w:t>
      </w:r>
      <w:r>
        <w:t xml:space="preserve">Comité </w:t>
      </w:r>
      <w:r w:rsidRPr="00793F60">
        <w:t>dont le nom suit ont participé à l’examen de la communication :</w:t>
      </w:r>
      <w:r w:rsidRPr="008069E5">
        <w:rPr>
          <w:lang w:val="fr-FR"/>
        </w:rPr>
        <w:t xml:space="preserve"> </w:t>
      </w:r>
      <w:r w:rsidRPr="008069E5">
        <w:rPr>
          <w:bCs/>
          <w:lang w:val="fr-FR"/>
        </w:rPr>
        <w:t xml:space="preserve">Tania </w:t>
      </w:r>
      <w:r w:rsidRPr="008069E5">
        <w:rPr>
          <w:lang w:val="fr-FR"/>
        </w:rPr>
        <w:t xml:space="preserve">María </w:t>
      </w:r>
      <w:r w:rsidRPr="008069E5">
        <w:rPr>
          <w:bCs/>
          <w:lang w:val="fr-FR"/>
        </w:rPr>
        <w:t xml:space="preserve">Abdo </w:t>
      </w:r>
      <w:proofErr w:type="spellStart"/>
      <w:r w:rsidRPr="008069E5">
        <w:rPr>
          <w:bCs/>
          <w:lang w:val="fr-FR"/>
        </w:rPr>
        <w:t>Rocholl</w:t>
      </w:r>
      <w:proofErr w:type="spellEnd"/>
      <w:r w:rsidRPr="008069E5">
        <w:rPr>
          <w:lang w:val="fr-FR"/>
        </w:rPr>
        <w:t xml:space="preserve">, </w:t>
      </w:r>
      <w:proofErr w:type="spellStart"/>
      <w:r w:rsidRPr="008069E5">
        <w:rPr>
          <w:lang w:val="fr-FR"/>
        </w:rPr>
        <w:t>Yadh</w:t>
      </w:r>
      <w:proofErr w:type="spellEnd"/>
      <w:r w:rsidRPr="008069E5">
        <w:rPr>
          <w:lang w:val="fr-FR"/>
        </w:rPr>
        <w:t xml:space="preserve"> Ben Achour, Arif </w:t>
      </w:r>
      <w:proofErr w:type="spellStart"/>
      <w:r w:rsidRPr="008069E5">
        <w:rPr>
          <w:lang w:val="fr-FR"/>
        </w:rPr>
        <w:t>Bulkan</w:t>
      </w:r>
      <w:proofErr w:type="spellEnd"/>
      <w:r w:rsidRPr="008069E5">
        <w:rPr>
          <w:lang w:val="fr-FR"/>
        </w:rPr>
        <w:t xml:space="preserve">, Ahmed Amin </w:t>
      </w:r>
      <w:proofErr w:type="spellStart"/>
      <w:r w:rsidRPr="008069E5">
        <w:rPr>
          <w:lang w:val="fr-FR"/>
        </w:rPr>
        <w:t>Fathalla</w:t>
      </w:r>
      <w:proofErr w:type="spellEnd"/>
      <w:r w:rsidRPr="008069E5">
        <w:rPr>
          <w:lang w:val="fr-FR"/>
        </w:rPr>
        <w:t xml:space="preserve">, </w:t>
      </w:r>
      <w:proofErr w:type="spellStart"/>
      <w:r w:rsidRPr="008069E5">
        <w:rPr>
          <w:lang w:val="fr-FR"/>
        </w:rPr>
        <w:t>Furuya</w:t>
      </w:r>
      <w:proofErr w:type="spellEnd"/>
      <w:r w:rsidRPr="008069E5">
        <w:rPr>
          <w:lang w:val="fr-FR"/>
        </w:rPr>
        <w:t xml:space="preserve"> </w:t>
      </w:r>
      <w:proofErr w:type="spellStart"/>
      <w:r w:rsidRPr="008069E5">
        <w:rPr>
          <w:lang w:val="fr-FR"/>
        </w:rPr>
        <w:t>Shuichi</w:t>
      </w:r>
      <w:proofErr w:type="spellEnd"/>
      <w:r w:rsidRPr="008069E5">
        <w:rPr>
          <w:lang w:val="fr-FR"/>
        </w:rPr>
        <w:t xml:space="preserve">, Christoph </w:t>
      </w:r>
      <w:proofErr w:type="spellStart"/>
      <w:r w:rsidRPr="008069E5">
        <w:rPr>
          <w:lang w:val="fr-FR"/>
        </w:rPr>
        <w:t>Heyns</w:t>
      </w:r>
      <w:proofErr w:type="spellEnd"/>
      <w:r w:rsidRPr="008069E5">
        <w:rPr>
          <w:lang w:val="fr-FR"/>
        </w:rPr>
        <w:t xml:space="preserve">, </w:t>
      </w:r>
      <w:proofErr w:type="spellStart"/>
      <w:r w:rsidRPr="008069E5">
        <w:rPr>
          <w:bCs/>
          <w:lang w:val="fr-FR"/>
        </w:rPr>
        <w:t>Bamariam</w:t>
      </w:r>
      <w:proofErr w:type="spellEnd"/>
      <w:r w:rsidRPr="008069E5">
        <w:rPr>
          <w:bCs/>
          <w:lang w:val="fr-FR"/>
        </w:rPr>
        <w:t xml:space="preserve"> </w:t>
      </w:r>
      <w:proofErr w:type="spellStart"/>
      <w:r w:rsidRPr="008069E5">
        <w:rPr>
          <w:bCs/>
          <w:lang w:val="fr-FR"/>
        </w:rPr>
        <w:t>Koita</w:t>
      </w:r>
      <w:proofErr w:type="spellEnd"/>
      <w:r w:rsidRPr="008069E5">
        <w:rPr>
          <w:bCs/>
          <w:lang w:val="fr-FR"/>
        </w:rPr>
        <w:t>,</w:t>
      </w:r>
      <w:r w:rsidRPr="008069E5">
        <w:rPr>
          <w:lang w:val="fr-FR"/>
        </w:rPr>
        <w:t xml:space="preserve"> Marcia V.J. </w:t>
      </w:r>
      <w:proofErr w:type="spellStart"/>
      <w:r w:rsidRPr="008069E5">
        <w:rPr>
          <w:lang w:val="fr-FR"/>
        </w:rPr>
        <w:t>Kran</w:t>
      </w:r>
      <w:proofErr w:type="spellEnd"/>
      <w:r w:rsidRPr="008069E5">
        <w:rPr>
          <w:lang w:val="fr-FR"/>
        </w:rPr>
        <w:t>, David H. Moore,</w:t>
      </w:r>
      <w:r w:rsidRPr="008069E5">
        <w:rPr>
          <w:bCs/>
          <w:lang w:val="fr-FR"/>
        </w:rPr>
        <w:t xml:space="preserve"> </w:t>
      </w:r>
      <w:r w:rsidRPr="008069E5">
        <w:rPr>
          <w:lang w:val="fr-FR"/>
        </w:rPr>
        <w:t xml:space="preserve">Duncan Laki </w:t>
      </w:r>
      <w:proofErr w:type="spellStart"/>
      <w:r w:rsidRPr="008069E5">
        <w:rPr>
          <w:lang w:val="fr-FR"/>
        </w:rPr>
        <w:t>Muhumuza</w:t>
      </w:r>
      <w:proofErr w:type="spellEnd"/>
      <w:r w:rsidRPr="008069E5">
        <w:rPr>
          <w:lang w:val="fr-FR"/>
        </w:rPr>
        <w:t xml:space="preserve">, </w:t>
      </w:r>
      <w:proofErr w:type="spellStart"/>
      <w:r w:rsidRPr="008069E5">
        <w:rPr>
          <w:lang w:val="fr-FR"/>
        </w:rPr>
        <w:t>Photini</w:t>
      </w:r>
      <w:proofErr w:type="spellEnd"/>
      <w:r w:rsidRPr="008069E5">
        <w:rPr>
          <w:lang w:val="fr-FR"/>
        </w:rPr>
        <w:t xml:space="preserve"> </w:t>
      </w:r>
      <w:proofErr w:type="spellStart"/>
      <w:r w:rsidRPr="008069E5">
        <w:rPr>
          <w:lang w:val="fr-FR"/>
        </w:rPr>
        <w:t>Pazartzis</w:t>
      </w:r>
      <w:proofErr w:type="spellEnd"/>
      <w:r w:rsidRPr="008069E5">
        <w:rPr>
          <w:lang w:val="fr-FR"/>
        </w:rPr>
        <w:t xml:space="preserve">, Hernán </w:t>
      </w:r>
      <w:proofErr w:type="spellStart"/>
      <w:r w:rsidRPr="008069E5">
        <w:rPr>
          <w:lang w:val="fr-FR"/>
        </w:rPr>
        <w:t>Quezada</w:t>
      </w:r>
      <w:proofErr w:type="spellEnd"/>
      <w:r w:rsidRPr="008069E5">
        <w:rPr>
          <w:lang w:val="fr-FR"/>
        </w:rPr>
        <w:t xml:space="preserve"> Cabrera, </w:t>
      </w:r>
      <w:proofErr w:type="spellStart"/>
      <w:r w:rsidRPr="008069E5">
        <w:rPr>
          <w:lang w:val="fr-FR"/>
        </w:rPr>
        <w:t>Vasilka</w:t>
      </w:r>
      <w:proofErr w:type="spellEnd"/>
      <w:r w:rsidRPr="008069E5">
        <w:rPr>
          <w:lang w:val="fr-FR"/>
        </w:rPr>
        <w:t xml:space="preserve"> </w:t>
      </w:r>
      <w:proofErr w:type="spellStart"/>
      <w:r w:rsidRPr="008069E5">
        <w:rPr>
          <w:lang w:val="fr-FR"/>
        </w:rPr>
        <w:t>Sancin</w:t>
      </w:r>
      <w:proofErr w:type="spellEnd"/>
      <w:r w:rsidRPr="008069E5">
        <w:rPr>
          <w:lang w:val="fr-FR"/>
        </w:rPr>
        <w:t xml:space="preserve">, José Manuel Santos Pais, Yuval </w:t>
      </w:r>
      <w:proofErr w:type="spellStart"/>
      <w:r w:rsidRPr="008069E5">
        <w:rPr>
          <w:lang w:val="fr-FR"/>
        </w:rPr>
        <w:t>Shany</w:t>
      </w:r>
      <w:proofErr w:type="spellEnd"/>
      <w:r w:rsidRPr="008069E5">
        <w:rPr>
          <w:lang w:val="fr-FR"/>
        </w:rPr>
        <w:t xml:space="preserve">, Hélène </w:t>
      </w:r>
      <w:proofErr w:type="spellStart"/>
      <w:r w:rsidRPr="008069E5">
        <w:rPr>
          <w:lang w:val="fr-FR"/>
        </w:rPr>
        <w:t>Tigroudja</w:t>
      </w:r>
      <w:proofErr w:type="spellEnd"/>
      <w:r w:rsidRPr="008069E5">
        <w:rPr>
          <w:lang w:val="fr-FR"/>
        </w:rPr>
        <w:t xml:space="preserve">, Andreas Zimmermann </w:t>
      </w:r>
      <w:r>
        <w:rPr>
          <w:lang w:val="fr-FR"/>
        </w:rPr>
        <w:t>et</w:t>
      </w:r>
      <w:r w:rsidRPr="008069E5">
        <w:rPr>
          <w:lang w:val="fr-FR"/>
        </w:rPr>
        <w:t xml:space="preserve"> </w:t>
      </w:r>
      <w:proofErr w:type="spellStart"/>
      <w:r w:rsidRPr="008069E5">
        <w:rPr>
          <w:lang w:val="fr-FR"/>
        </w:rPr>
        <w:t>Gentian</w:t>
      </w:r>
      <w:proofErr w:type="spellEnd"/>
      <w:r w:rsidRPr="008069E5">
        <w:rPr>
          <w:lang w:val="fr-FR"/>
        </w:rPr>
        <w:t xml:space="preserve"> </w:t>
      </w:r>
      <w:proofErr w:type="spellStart"/>
      <w:r w:rsidRPr="008069E5">
        <w:rPr>
          <w:lang w:val="fr-FR"/>
        </w:rPr>
        <w:t>Zyberi</w:t>
      </w:r>
      <w:proofErr w:type="spellEnd"/>
      <w:r w:rsidRPr="008069E5">
        <w:rPr>
          <w:lang w:val="fr-FR"/>
        </w:rPr>
        <w:t>.</w:t>
      </w:r>
    </w:p>
  </w:footnote>
  <w:footnote w:id="4">
    <w:p w14:paraId="3F8B473A" w14:textId="77777777" w:rsidR="001547B7" w:rsidRPr="000A74B3" w:rsidRDefault="001547B7" w:rsidP="00D86915">
      <w:pPr>
        <w:pStyle w:val="Notedebasdepage"/>
      </w:pPr>
      <w:r w:rsidRPr="000A74B3">
        <w:tab/>
      </w:r>
      <w:r w:rsidRPr="00673767">
        <w:rPr>
          <w:rStyle w:val="Appelnotedebasdep"/>
        </w:rPr>
        <w:footnoteRef/>
      </w:r>
      <w:r w:rsidRPr="000A74B3">
        <w:tab/>
        <w:t xml:space="preserve">L’auteur dit être né en 1998. Le 26 novembre 2015, il a été conclu à l’issue d’un examen médical visant à déterminer son âge, examen pratiqué par les autorités de l’État partie, que l’auteur était très probablement âgé de 19 ans ou plus, mais qu’il était également possible, quoique moins probable, qu’il soit âgé de 17 ans. Le 3 février 2016, le Service </w:t>
      </w:r>
      <w:r>
        <w:t xml:space="preserve">danois </w:t>
      </w:r>
      <w:r w:rsidRPr="000A74B3">
        <w:t>de l’immigration a déterminé que l’auteur était né en 1996, ce qui a par la suite été confirmé par le Ministère de l’immigration, de l’intégration et du</w:t>
      </w:r>
      <w:r w:rsidR="004A0385">
        <w:t xml:space="preserve"> </w:t>
      </w:r>
      <w:r w:rsidRPr="000A74B3">
        <w:t>logement.</w:t>
      </w:r>
    </w:p>
  </w:footnote>
  <w:footnote w:id="5">
    <w:p w14:paraId="5D384CB1" w14:textId="77777777" w:rsidR="001547B7" w:rsidRPr="000A74B3" w:rsidRDefault="001547B7" w:rsidP="00D86915">
      <w:pPr>
        <w:pStyle w:val="Notedebasdepage"/>
      </w:pPr>
      <w:r w:rsidRPr="000A74B3">
        <w:tab/>
      </w:r>
      <w:r w:rsidRPr="00673767">
        <w:rPr>
          <w:rStyle w:val="Appelnotedebasdep"/>
        </w:rPr>
        <w:footnoteRef/>
      </w:r>
      <w:r w:rsidRPr="000A74B3">
        <w:tab/>
        <w:t xml:space="preserve">L’auteur renvoie aux </w:t>
      </w:r>
      <w:r>
        <w:t>i</w:t>
      </w:r>
      <w:r w:rsidRPr="000A74B3">
        <w:t>nformations communiquées par le Gouvernement danois concernant la suite donnée aux observations finales du Comité pour l’élimination de la discrimination raciale (CERD/C/DEN/CO/17/Add.1</w:t>
      </w:r>
      <w:r>
        <w:t>, par. 12</w:t>
      </w:r>
      <w:r w:rsidRPr="000A74B3">
        <w:t>).</w:t>
      </w:r>
    </w:p>
  </w:footnote>
  <w:footnote w:id="6">
    <w:p w14:paraId="53E30D39" w14:textId="77777777" w:rsidR="001547B7" w:rsidRPr="000A74B3" w:rsidRDefault="001547B7" w:rsidP="00D86915">
      <w:pPr>
        <w:pStyle w:val="Notedebasdepage"/>
      </w:pPr>
      <w:r w:rsidRPr="000A74B3">
        <w:tab/>
      </w:r>
      <w:r w:rsidRPr="00673767">
        <w:rPr>
          <w:rStyle w:val="Appelnotedebasdep"/>
        </w:rPr>
        <w:footnoteRef/>
      </w:r>
      <w:r w:rsidRPr="000A74B3">
        <w:tab/>
        <w:t>Il n’est pas question d’une violation de l’</w:t>
      </w:r>
      <w:r w:rsidR="00834957">
        <w:t>article </w:t>
      </w:r>
      <w:r w:rsidRPr="000A74B3">
        <w:t>6 du Pacte dans la lettre initiale ; l’auteur soulève pour la première fois ce grief dans ses commentaires sur les observations de l’État partie.</w:t>
      </w:r>
    </w:p>
  </w:footnote>
  <w:footnote w:id="7">
    <w:p w14:paraId="487F2543" w14:textId="77777777" w:rsidR="001547B7" w:rsidRPr="000A74B3" w:rsidRDefault="001547B7" w:rsidP="00D86915">
      <w:pPr>
        <w:pStyle w:val="Notedebasdepage"/>
      </w:pPr>
      <w:r w:rsidRPr="000A74B3">
        <w:tab/>
      </w:r>
      <w:r w:rsidRPr="00673767">
        <w:rPr>
          <w:rStyle w:val="Appelnotedebasdep"/>
        </w:rPr>
        <w:footnoteRef/>
      </w:r>
      <w:r w:rsidRPr="000A74B3">
        <w:tab/>
      </w:r>
      <w:r w:rsidRPr="000A74B3">
        <w:rPr>
          <w:color w:val="000000"/>
        </w:rPr>
        <w:t>CCPR/C/117/D/2464/2014</w:t>
      </w:r>
      <w:r w:rsidRPr="000A74B3">
        <w:t>.</w:t>
      </w:r>
    </w:p>
  </w:footnote>
  <w:footnote w:id="8">
    <w:p w14:paraId="50C56836" w14:textId="77777777" w:rsidR="001547B7" w:rsidRPr="000A74B3" w:rsidRDefault="001547B7" w:rsidP="00D86915">
      <w:pPr>
        <w:pStyle w:val="Notedebasdepage"/>
      </w:pPr>
      <w:r w:rsidRPr="000A74B3">
        <w:tab/>
      </w:r>
      <w:r w:rsidRPr="00673767">
        <w:rPr>
          <w:rStyle w:val="Appelnotedebasdep"/>
        </w:rPr>
        <w:footnoteRef/>
      </w:r>
      <w:r w:rsidRPr="000A74B3">
        <w:tab/>
      </w:r>
      <w:r w:rsidRPr="000A74B3">
        <w:rPr>
          <w:i/>
          <w:iCs/>
        </w:rPr>
        <w:t>A. A. I. et A. H. A. c. Danemark</w:t>
      </w:r>
      <w:r w:rsidRPr="000A74B3">
        <w:t xml:space="preserve"> (CCPR/C/116/D/2402/2014), par. 6.5 ; </w:t>
      </w:r>
      <w:r>
        <w:t xml:space="preserve">et </w:t>
      </w:r>
      <w:r>
        <w:rPr>
          <w:i/>
          <w:iCs/>
        </w:rPr>
        <w:t>X</w:t>
      </w:r>
      <w:r w:rsidRPr="000A74B3">
        <w:rPr>
          <w:i/>
          <w:iCs/>
        </w:rPr>
        <w:t>. c.</w:t>
      </w:r>
      <w:r w:rsidR="00285AED">
        <w:rPr>
          <w:i/>
          <w:iCs/>
        </w:rPr>
        <w:t> </w:t>
      </w:r>
      <w:r w:rsidRPr="000A74B3">
        <w:rPr>
          <w:i/>
          <w:iCs/>
        </w:rPr>
        <w:t>Danemark</w:t>
      </w:r>
      <w:r w:rsidRPr="000A74B3">
        <w:t xml:space="preserve"> (CCPR/C/110/D/2007/2010), par. 9.2.</w:t>
      </w:r>
    </w:p>
  </w:footnote>
  <w:footnote w:id="9">
    <w:p w14:paraId="403BB689" w14:textId="77777777" w:rsidR="001547B7" w:rsidRPr="000A74B3" w:rsidRDefault="001547B7" w:rsidP="00D86915">
      <w:pPr>
        <w:pStyle w:val="Notedebasdepage"/>
      </w:pPr>
      <w:r w:rsidRPr="000A74B3">
        <w:tab/>
      </w:r>
      <w:r w:rsidRPr="00673767">
        <w:rPr>
          <w:rStyle w:val="Appelnotedebasdep"/>
        </w:rPr>
        <w:footnoteRef/>
      </w:r>
      <w:r w:rsidRPr="000A74B3">
        <w:tab/>
      </w:r>
      <w:r w:rsidRPr="000A74B3">
        <w:rPr>
          <w:i/>
          <w:iCs/>
        </w:rPr>
        <w:t>A. S. M. et R. A. H. c. Danemark</w:t>
      </w:r>
      <w:r w:rsidRPr="000A74B3">
        <w:t xml:space="preserve"> (CCPR/C/117/D/2378/2014), par. 8.3 et 8.6 ; </w:t>
      </w:r>
      <w:r w:rsidRPr="000A74B3">
        <w:rPr>
          <w:i/>
          <w:iCs/>
        </w:rPr>
        <w:t>P. T. c.</w:t>
      </w:r>
      <w:r w:rsidR="00285AED">
        <w:rPr>
          <w:i/>
          <w:iCs/>
        </w:rPr>
        <w:t> </w:t>
      </w:r>
      <w:r w:rsidRPr="000A74B3">
        <w:rPr>
          <w:i/>
          <w:iCs/>
        </w:rPr>
        <w:t>Danemark</w:t>
      </w:r>
      <w:r w:rsidRPr="000A74B3">
        <w:t xml:space="preserve"> (CCPR/C/113/D/2272/2013), par. 7.3 ; </w:t>
      </w:r>
      <w:r w:rsidRPr="000A74B3">
        <w:rPr>
          <w:i/>
          <w:iCs/>
        </w:rPr>
        <w:t>N. c. Danemark</w:t>
      </w:r>
      <w:r w:rsidRPr="000A74B3">
        <w:t xml:space="preserve"> (CCPR/C/114/D/2426/2014), par. 6.6 ; </w:t>
      </w:r>
      <w:r w:rsidRPr="000A74B3">
        <w:rPr>
          <w:i/>
          <w:iCs/>
        </w:rPr>
        <w:t>K.</w:t>
      </w:r>
      <w:r w:rsidR="00285AED">
        <w:rPr>
          <w:i/>
          <w:iCs/>
        </w:rPr>
        <w:t> </w:t>
      </w:r>
      <w:r w:rsidRPr="000A74B3">
        <w:rPr>
          <w:i/>
          <w:iCs/>
        </w:rPr>
        <w:t>c.</w:t>
      </w:r>
      <w:r w:rsidR="00285AED">
        <w:rPr>
          <w:i/>
          <w:iCs/>
        </w:rPr>
        <w:t> </w:t>
      </w:r>
      <w:r w:rsidRPr="000A74B3">
        <w:rPr>
          <w:i/>
          <w:iCs/>
        </w:rPr>
        <w:t>Danemark</w:t>
      </w:r>
      <w:r w:rsidRPr="000A74B3">
        <w:t xml:space="preserve"> (CCPR/C/114/D/2393/2014), par. 7.4 et 7.5 ; </w:t>
      </w:r>
      <w:r w:rsidRPr="000A74B3">
        <w:rPr>
          <w:i/>
          <w:iCs/>
        </w:rPr>
        <w:t>M. X et M</w:t>
      </w:r>
      <w:r w:rsidRPr="000A74B3">
        <w:rPr>
          <w:i/>
          <w:iCs/>
          <w:vertAlign w:val="superscript"/>
        </w:rPr>
        <w:t>me</w:t>
      </w:r>
      <w:r w:rsidRPr="000A74B3">
        <w:rPr>
          <w:i/>
          <w:iCs/>
        </w:rPr>
        <w:t> X c. Danemark</w:t>
      </w:r>
      <w:r w:rsidRPr="000A74B3">
        <w:t xml:space="preserve"> (CCPR/C/112/D/2186/2012), par. 7.5 ; </w:t>
      </w:r>
      <w:r>
        <w:t xml:space="preserve">et </w:t>
      </w:r>
      <w:r w:rsidRPr="000A74B3">
        <w:rPr>
          <w:i/>
          <w:iCs/>
        </w:rPr>
        <w:t>Z. c. Danemark</w:t>
      </w:r>
      <w:r w:rsidRPr="000A74B3">
        <w:t xml:space="preserve"> (CCPR/C/114/D/2329/2014), par. 7.4.</w:t>
      </w:r>
    </w:p>
  </w:footnote>
  <w:footnote w:id="10">
    <w:p w14:paraId="4DD67438" w14:textId="2B2544F7" w:rsidR="001547B7" w:rsidRPr="000A74B3" w:rsidRDefault="001547B7" w:rsidP="00D86915">
      <w:pPr>
        <w:pStyle w:val="Notedebasdepage"/>
      </w:pPr>
      <w:r w:rsidRPr="000A74B3">
        <w:tab/>
      </w:r>
      <w:r w:rsidRPr="00673767">
        <w:rPr>
          <w:rStyle w:val="Appelnotedebasdep"/>
        </w:rPr>
        <w:footnoteRef/>
      </w:r>
      <w:r w:rsidRPr="000A74B3">
        <w:tab/>
        <w:t xml:space="preserve">L’État partie renvoie </w:t>
      </w:r>
      <w:r>
        <w:t xml:space="preserve">aux </w:t>
      </w:r>
      <w:r w:rsidRPr="00673767">
        <w:rPr>
          <w:i/>
          <w:iCs/>
        </w:rPr>
        <w:t>Principes directeurs du HCR relatifs à l’éligibilité dans le cadre de l’évaluation des besoins de protection internationale des demandeurs d’asile afghans</w:t>
      </w:r>
      <w:r>
        <w:t>, 30 août</w:t>
      </w:r>
      <w:r w:rsidR="00DD0E15">
        <w:t xml:space="preserve"> </w:t>
      </w:r>
      <w:r>
        <w:t>2018</w:t>
      </w:r>
      <w:r w:rsidRPr="000A74B3">
        <w:t xml:space="preserve"> (</w:t>
      </w:r>
      <w:r>
        <w:t xml:space="preserve">document </w:t>
      </w:r>
      <w:r w:rsidRPr="000A74B3">
        <w:t>HCR/EG/AFG/18/02</w:t>
      </w:r>
      <w:r>
        <w:t>)</w:t>
      </w:r>
      <w:r w:rsidRPr="000A74B3">
        <w:t xml:space="preserve"> ; </w:t>
      </w:r>
      <w:r>
        <w:t xml:space="preserve">et à l’affaire </w:t>
      </w:r>
      <w:r w:rsidRPr="000A74B3">
        <w:rPr>
          <w:i/>
          <w:iCs/>
        </w:rPr>
        <w:t>M. A. c. Danemark</w:t>
      </w:r>
      <w:r w:rsidRPr="000A74B3">
        <w:t xml:space="preserve"> (CCPR/C/119/D/2240/2013), par. 7.7</w:t>
      </w:r>
      <w:r>
        <w:t xml:space="preserve">. Voir également les jugements de la </w:t>
      </w:r>
      <w:r w:rsidRPr="000A74B3">
        <w:t>Cour européenne des droits de l’homme</w:t>
      </w:r>
      <w:r>
        <w:t xml:space="preserve"> dans les affaires</w:t>
      </w:r>
      <w:r w:rsidRPr="000A74B3">
        <w:t xml:space="preserve"> </w:t>
      </w:r>
      <w:r w:rsidRPr="000A74B3">
        <w:rPr>
          <w:i/>
          <w:iCs/>
        </w:rPr>
        <w:t xml:space="preserve">A. G. R. v. the </w:t>
      </w:r>
      <w:proofErr w:type="spellStart"/>
      <w:r w:rsidRPr="000A74B3">
        <w:rPr>
          <w:i/>
          <w:iCs/>
        </w:rPr>
        <w:t>Netherlands</w:t>
      </w:r>
      <w:proofErr w:type="spellEnd"/>
      <w:r w:rsidRPr="000A74B3">
        <w:t xml:space="preserve"> (requête </w:t>
      </w:r>
      <w:r w:rsidRPr="000A74B3">
        <w:rPr>
          <w:rFonts w:eastAsia="MS Mincho"/>
        </w:rPr>
        <w:t>n</w:t>
      </w:r>
      <w:r w:rsidRPr="000A74B3">
        <w:rPr>
          <w:rFonts w:eastAsia="MS Mincho"/>
          <w:vertAlign w:val="superscript"/>
        </w:rPr>
        <w:t>o</w:t>
      </w:r>
      <w:r w:rsidRPr="000A74B3">
        <w:t xml:space="preserve"> 13442/08), par. 59 ; </w:t>
      </w:r>
      <w:r w:rsidRPr="000A74B3">
        <w:rPr>
          <w:i/>
          <w:iCs/>
        </w:rPr>
        <w:t xml:space="preserve">M. R. A. and </w:t>
      </w:r>
      <w:proofErr w:type="spellStart"/>
      <w:r w:rsidRPr="000A74B3">
        <w:rPr>
          <w:i/>
          <w:iCs/>
        </w:rPr>
        <w:t>Others</w:t>
      </w:r>
      <w:proofErr w:type="spellEnd"/>
      <w:r w:rsidRPr="000A74B3">
        <w:rPr>
          <w:i/>
          <w:iCs/>
        </w:rPr>
        <w:t xml:space="preserve"> v. the </w:t>
      </w:r>
      <w:proofErr w:type="spellStart"/>
      <w:r w:rsidRPr="000A74B3">
        <w:rPr>
          <w:i/>
          <w:iCs/>
        </w:rPr>
        <w:t>Netherlands</w:t>
      </w:r>
      <w:proofErr w:type="spellEnd"/>
      <w:r w:rsidRPr="000A74B3">
        <w:rPr>
          <w:i/>
        </w:rPr>
        <w:t xml:space="preserve"> </w:t>
      </w:r>
      <w:r w:rsidRPr="000A74B3">
        <w:t xml:space="preserve">(requête </w:t>
      </w:r>
      <w:r w:rsidRPr="000A74B3">
        <w:rPr>
          <w:rFonts w:eastAsia="MS Mincho"/>
        </w:rPr>
        <w:t>n</w:t>
      </w:r>
      <w:r w:rsidRPr="000A74B3">
        <w:rPr>
          <w:rFonts w:eastAsia="MS Mincho"/>
          <w:vertAlign w:val="superscript"/>
        </w:rPr>
        <w:t>o</w:t>
      </w:r>
      <w:r w:rsidRPr="000A74B3">
        <w:t xml:space="preserve"> 46856/07), par. 112 ; </w:t>
      </w:r>
      <w:r w:rsidRPr="000A74B3">
        <w:rPr>
          <w:i/>
        </w:rPr>
        <w:t xml:space="preserve">S. S. v. the </w:t>
      </w:r>
      <w:proofErr w:type="spellStart"/>
      <w:r w:rsidRPr="000A74B3">
        <w:rPr>
          <w:i/>
        </w:rPr>
        <w:t>Netherlands</w:t>
      </w:r>
      <w:proofErr w:type="spellEnd"/>
      <w:r w:rsidRPr="000A74B3">
        <w:rPr>
          <w:i/>
        </w:rPr>
        <w:t xml:space="preserve"> </w:t>
      </w:r>
      <w:r w:rsidRPr="000A74B3">
        <w:t xml:space="preserve">(requête </w:t>
      </w:r>
      <w:r w:rsidRPr="000A74B3">
        <w:rPr>
          <w:rFonts w:eastAsia="MS Mincho"/>
        </w:rPr>
        <w:t>n</w:t>
      </w:r>
      <w:r w:rsidRPr="000A74B3">
        <w:rPr>
          <w:rFonts w:eastAsia="MS Mincho"/>
          <w:vertAlign w:val="superscript"/>
        </w:rPr>
        <w:t>o</w:t>
      </w:r>
      <w:r w:rsidRPr="000A74B3">
        <w:t xml:space="preserve"> 39575/06), par. 66 ; </w:t>
      </w:r>
      <w:r>
        <w:t xml:space="preserve">et </w:t>
      </w:r>
      <w:r w:rsidRPr="000A74B3">
        <w:rPr>
          <w:i/>
        </w:rPr>
        <w:t xml:space="preserve">A. W. Q. and D. H. v. the </w:t>
      </w:r>
      <w:proofErr w:type="spellStart"/>
      <w:r w:rsidRPr="000A74B3">
        <w:rPr>
          <w:i/>
        </w:rPr>
        <w:t>Netherlands</w:t>
      </w:r>
      <w:proofErr w:type="spellEnd"/>
      <w:r w:rsidRPr="000A74B3">
        <w:rPr>
          <w:i/>
        </w:rPr>
        <w:t xml:space="preserve"> </w:t>
      </w:r>
      <w:r w:rsidRPr="000A74B3">
        <w:t xml:space="preserve">(requête </w:t>
      </w:r>
      <w:r w:rsidRPr="000A74B3">
        <w:rPr>
          <w:rFonts w:eastAsia="MS Mincho"/>
        </w:rPr>
        <w:t>n</w:t>
      </w:r>
      <w:r w:rsidRPr="000A74B3">
        <w:rPr>
          <w:rFonts w:eastAsia="MS Mincho"/>
          <w:vertAlign w:val="superscript"/>
        </w:rPr>
        <w:t>o</w:t>
      </w:r>
      <w:r w:rsidRPr="000A74B3">
        <w:t> 25077/06), par. 71.</w:t>
      </w:r>
    </w:p>
  </w:footnote>
  <w:footnote w:id="11">
    <w:p w14:paraId="37356901" w14:textId="007398CD" w:rsidR="001547B7" w:rsidRPr="000A74B3" w:rsidRDefault="001547B7" w:rsidP="00D86915">
      <w:pPr>
        <w:pStyle w:val="Notedebasdepage"/>
      </w:pPr>
      <w:r w:rsidRPr="000A74B3">
        <w:tab/>
      </w:r>
      <w:r w:rsidRPr="00673767">
        <w:rPr>
          <w:rStyle w:val="Appelnotedebasdep"/>
        </w:rPr>
        <w:footnoteRef/>
      </w:r>
      <w:r w:rsidRPr="00A33CE4">
        <w:tab/>
      </w:r>
      <w:r w:rsidRPr="00673767">
        <w:t xml:space="preserve">L’attention du Comité est appelée sur un rapport du Centre norvégien d’information sur les pays d’origine </w:t>
      </w:r>
      <w:r>
        <w:t>(</w:t>
      </w:r>
      <w:proofErr w:type="spellStart"/>
      <w:r w:rsidRPr="00A33CE4">
        <w:t>Landinfo</w:t>
      </w:r>
      <w:proofErr w:type="spellEnd"/>
      <w:r>
        <w:t>)</w:t>
      </w:r>
      <w:r>
        <w:rPr>
          <w:i/>
        </w:rPr>
        <w:t xml:space="preserve"> </w:t>
      </w:r>
      <w:r>
        <w:t xml:space="preserve">relatif à la situation des chrétiens et des convertis en </w:t>
      </w:r>
      <w:r w:rsidRPr="00673767">
        <w:t>Afghanistan</w:t>
      </w:r>
      <w:r>
        <w:t xml:space="preserve"> publié (en norvégien) le 4 septembre</w:t>
      </w:r>
      <w:r w:rsidR="008A6AD2">
        <w:t xml:space="preserve"> </w:t>
      </w:r>
      <w:r w:rsidRPr="00A33CE4">
        <w:t>2013</w:t>
      </w:r>
      <w:r w:rsidRPr="00673767">
        <w:t>.</w:t>
      </w:r>
      <w:r w:rsidRPr="00A33CE4">
        <w:t xml:space="preserve"> </w:t>
      </w:r>
      <w:r w:rsidRPr="00B527A0">
        <w:t>L’État partie fait également observer qu’il est dit au paragraphe 36 des Principes directeurs du HCR sur la protection internationale : Demandes d’asile fondées sur la religion au sens de l’</w:t>
      </w:r>
      <w:r w:rsidR="00834957">
        <w:t>article </w:t>
      </w:r>
      <w:r w:rsidRPr="00B527A0">
        <w:t>1A(2) de la Convention de 1951 et/ou</w:t>
      </w:r>
      <w:r w:rsidRPr="000A74B3">
        <w:t xml:space="preserve"> du</w:t>
      </w:r>
      <w:r>
        <w:t xml:space="preserve"> </w:t>
      </w:r>
      <w:r w:rsidRPr="000A74B3">
        <w:t>Protocole de 1967 relatifs au statut des réfugiés (</w:t>
      </w:r>
      <w:r>
        <w:t xml:space="preserve">document </w:t>
      </w:r>
      <w:r w:rsidRPr="000A74B3">
        <w:t>HCR/GIP/04/06</w:t>
      </w:r>
      <w:r>
        <w:t xml:space="preserve"> du </w:t>
      </w:r>
      <w:r w:rsidRPr="000A74B3">
        <w:t>28</w:t>
      </w:r>
      <w:r>
        <w:t> </w:t>
      </w:r>
      <w:r w:rsidRPr="000A74B3">
        <w:t>avril 2004) que «</w:t>
      </w:r>
      <w:r>
        <w:t> </w:t>
      </w:r>
      <w:r w:rsidRPr="000A74B3">
        <w:t>[d]es activités soi-disant “intéressées” ne créent pas de crainte fondée de persécution pour un motif de la Convention dans le pays d’origine du demandeur si la nature opportuniste de ces activités est évidente pour tous, y</w:t>
      </w:r>
      <w:r w:rsidR="008A6AD2">
        <w:t> </w:t>
      </w:r>
      <w:r w:rsidRPr="000A74B3">
        <w:t>compris pour les autorités du pays, et que le retour de l’intéressé n’aurait pas des conséquences négatives graves</w:t>
      </w:r>
      <w:r>
        <w:t> </w:t>
      </w:r>
      <w:r w:rsidRPr="000A74B3">
        <w:t>».</w:t>
      </w:r>
    </w:p>
  </w:footnote>
  <w:footnote w:id="12">
    <w:p w14:paraId="170A0AFB" w14:textId="0C0A325E" w:rsidR="001547B7" w:rsidRPr="000A74B3" w:rsidRDefault="00F96E27" w:rsidP="00D86915">
      <w:pPr>
        <w:pStyle w:val="Notedebasdepage"/>
      </w:pPr>
      <w:r>
        <w:rPr>
          <w:lang w:val="fr-FR"/>
        </w:rPr>
        <w:tab/>
      </w:r>
      <w:r w:rsidR="001547B7" w:rsidRPr="00673767">
        <w:rPr>
          <w:rStyle w:val="Appelnotedebasdep"/>
        </w:rPr>
        <w:footnoteRef/>
      </w:r>
      <w:r w:rsidR="001547B7" w:rsidRPr="004C3A57">
        <w:rPr>
          <w:lang w:val="fr-FR"/>
        </w:rPr>
        <w:tab/>
        <w:t xml:space="preserve">Voir, par exemple, </w:t>
      </w:r>
      <w:r w:rsidR="001547B7" w:rsidRPr="004C3A57">
        <w:rPr>
          <w:i/>
          <w:lang w:val="fr-FR"/>
        </w:rPr>
        <w:t>X</w:t>
      </w:r>
      <w:r w:rsidR="001547B7">
        <w:rPr>
          <w:i/>
          <w:lang w:val="fr-FR"/>
        </w:rPr>
        <w:t>.</w:t>
      </w:r>
      <w:r w:rsidR="001547B7" w:rsidRPr="004C3A57">
        <w:rPr>
          <w:i/>
          <w:lang w:val="fr-FR"/>
        </w:rPr>
        <w:t xml:space="preserve"> </w:t>
      </w:r>
      <w:r w:rsidR="001547B7">
        <w:rPr>
          <w:i/>
          <w:lang w:val="fr-FR"/>
        </w:rPr>
        <w:t>c</w:t>
      </w:r>
      <w:r w:rsidR="001547B7" w:rsidRPr="004C3A57">
        <w:rPr>
          <w:i/>
          <w:lang w:val="fr-FR"/>
        </w:rPr>
        <w:t>. D</w:t>
      </w:r>
      <w:r w:rsidR="001547B7">
        <w:rPr>
          <w:i/>
          <w:lang w:val="fr-FR"/>
        </w:rPr>
        <w:t>ane</w:t>
      </w:r>
      <w:r w:rsidR="001547B7" w:rsidRPr="004C3A57">
        <w:rPr>
          <w:i/>
          <w:lang w:val="fr-FR"/>
        </w:rPr>
        <w:t>mark</w:t>
      </w:r>
      <w:r w:rsidR="001547B7" w:rsidRPr="004C3A57">
        <w:rPr>
          <w:lang w:val="fr-FR"/>
        </w:rPr>
        <w:t xml:space="preserve">, par. </w:t>
      </w:r>
      <w:r w:rsidR="001547B7" w:rsidRPr="00452122">
        <w:t>9.2</w:t>
      </w:r>
      <w:r w:rsidR="001547B7">
        <w:t> </w:t>
      </w:r>
      <w:r w:rsidR="001547B7" w:rsidRPr="00452122">
        <w:t xml:space="preserve">; </w:t>
      </w:r>
      <w:r w:rsidR="001547B7" w:rsidRPr="00452122">
        <w:rPr>
          <w:i/>
        </w:rPr>
        <w:t>V.</w:t>
      </w:r>
      <w:r w:rsidR="001547B7">
        <w:rPr>
          <w:i/>
        </w:rPr>
        <w:t> </w:t>
      </w:r>
      <w:r w:rsidR="001547B7" w:rsidRPr="00452122">
        <w:rPr>
          <w:i/>
        </w:rPr>
        <w:t xml:space="preserve">R. </w:t>
      </w:r>
      <w:r w:rsidR="001547B7">
        <w:rPr>
          <w:i/>
        </w:rPr>
        <w:t>et</w:t>
      </w:r>
      <w:r w:rsidR="001547B7" w:rsidRPr="00452122">
        <w:rPr>
          <w:i/>
        </w:rPr>
        <w:t xml:space="preserve"> N.</w:t>
      </w:r>
      <w:r w:rsidR="001547B7">
        <w:rPr>
          <w:i/>
        </w:rPr>
        <w:t> </w:t>
      </w:r>
      <w:r w:rsidR="001547B7" w:rsidRPr="00452122">
        <w:rPr>
          <w:i/>
        </w:rPr>
        <w:t xml:space="preserve">R. </w:t>
      </w:r>
      <w:r w:rsidR="001547B7">
        <w:rPr>
          <w:i/>
        </w:rPr>
        <w:t>c</w:t>
      </w:r>
      <w:r w:rsidR="001547B7" w:rsidRPr="00452122">
        <w:rPr>
          <w:i/>
        </w:rPr>
        <w:t>. D</w:t>
      </w:r>
      <w:r w:rsidR="001547B7">
        <w:rPr>
          <w:i/>
        </w:rPr>
        <w:t>ane</w:t>
      </w:r>
      <w:r w:rsidR="001547B7" w:rsidRPr="00452122">
        <w:rPr>
          <w:i/>
        </w:rPr>
        <w:t xml:space="preserve">mark </w:t>
      </w:r>
      <w:r w:rsidR="001547B7" w:rsidRPr="00452122">
        <w:t>(CCPR/C/117/D/</w:t>
      </w:r>
      <w:r w:rsidR="00D4557B">
        <w:t xml:space="preserve"> </w:t>
      </w:r>
      <w:r w:rsidR="001547B7" w:rsidRPr="00452122">
        <w:t>2745/2016), par.</w:t>
      </w:r>
      <w:r w:rsidR="001547B7">
        <w:t> </w:t>
      </w:r>
      <w:r w:rsidR="001547B7" w:rsidRPr="00E93402">
        <w:t>4.4</w:t>
      </w:r>
      <w:r w:rsidR="001547B7">
        <w:t> </w:t>
      </w:r>
      <w:r w:rsidR="001547B7" w:rsidRPr="00E93402">
        <w:t xml:space="preserve">; </w:t>
      </w:r>
      <w:r w:rsidR="001547B7" w:rsidRPr="00E93402">
        <w:rPr>
          <w:i/>
        </w:rPr>
        <w:t>J.</w:t>
      </w:r>
      <w:r w:rsidR="001547B7">
        <w:rPr>
          <w:i/>
        </w:rPr>
        <w:t> </w:t>
      </w:r>
      <w:r w:rsidR="001547B7" w:rsidRPr="00E93402">
        <w:rPr>
          <w:i/>
        </w:rPr>
        <w:t xml:space="preserve">I. </w:t>
      </w:r>
      <w:r w:rsidR="001547B7">
        <w:rPr>
          <w:i/>
        </w:rPr>
        <w:t>c</w:t>
      </w:r>
      <w:r w:rsidR="001547B7" w:rsidRPr="00E93402">
        <w:rPr>
          <w:i/>
        </w:rPr>
        <w:t>. S</w:t>
      </w:r>
      <w:r w:rsidR="001547B7">
        <w:rPr>
          <w:i/>
        </w:rPr>
        <w:t>uède</w:t>
      </w:r>
      <w:r w:rsidR="001547B7" w:rsidRPr="00E93402">
        <w:rPr>
          <w:i/>
        </w:rPr>
        <w:t xml:space="preserve"> </w:t>
      </w:r>
      <w:r w:rsidR="001547B7" w:rsidRPr="00E93402">
        <w:t>(</w:t>
      </w:r>
      <w:r w:rsidR="001547B7" w:rsidRPr="00E93402">
        <w:rPr>
          <w:color w:val="000000"/>
        </w:rPr>
        <w:t>CCPR/C/128/D/3032/2017</w:t>
      </w:r>
      <w:r w:rsidR="001547B7" w:rsidRPr="00E93402">
        <w:t>), par.</w:t>
      </w:r>
      <w:r w:rsidR="001547B7">
        <w:t> </w:t>
      </w:r>
      <w:r w:rsidR="001547B7" w:rsidRPr="00E93402">
        <w:t>7.3</w:t>
      </w:r>
      <w:r w:rsidR="001547B7">
        <w:t> </w:t>
      </w:r>
      <w:r w:rsidR="001547B7" w:rsidRPr="00E93402">
        <w:t xml:space="preserve">; </w:t>
      </w:r>
      <w:r w:rsidR="001547B7">
        <w:t>et</w:t>
      </w:r>
      <w:r w:rsidR="001547B7" w:rsidRPr="00E93402">
        <w:t xml:space="preserve"> </w:t>
      </w:r>
      <w:r w:rsidR="001547B7" w:rsidRPr="00E93402">
        <w:rPr>
          <w:i/>
        </w:rPr>
        <w:t>A.</w:t>
      </w:r>
      <w:r w:rsidR="001547B7">
        <w:rPr>
          <w:i/>
        </w:rPr>
        <w:t> </w:t>
      </w:r>
      <w:r w:rsidR="001547B7" w:rsidRPr="00E93402">
        <w:rPr>
          <w:i/>
        </w:rPr>
        <w:t>E.</w:t>
      </w:r>
      <w:r w:rsidR="001547B7">
        <w:rPr>
          <w:i/>
        </w:rPr>
        <w:t> c</w:t>
      </w:r>
      <w:r w:rsidR="001547B7" w:rsidRPr="00E93402">
        <w:rPr>
          <w:i/>
        </w:rPr>
        <w:t>.</w:t>
      </w:r>
      <w:r w:rsidR="001547B7">
        <w:rPr>
          <w:i/>
        </w:rPr>
        <w:t> </w:t>
      </w:r>
      <w:r w:rsidR="001547B7" w:rsidRPr="00E93402">
        <w:rPr>
          <w:i/>
        </w:rPr>
        <w:t>S</w:t>
      </w:r>
      <w:r w:rsidR="001547B7">
        <w:rPr>
          <w:i/>
        </w:rPr>
        <w:t>uède</w:t>
      </w:r>
      <w:r w:rsidR="001547B7" w:rsidRPr="00E93402">
        <w:rPr>
          <w:i/>
        </w:rPr>
        <w:t xml:space="preserve"> </w:t>
      </w:r>
      <w:r w:rsidR="001547B7" w:rsidRPr="00E93402">
        <w:t>(CCPR/C/128/D/3300/2019), par.</w:t>
      </w:r>
      <w:r w:rsidR="001547B7">
        <w:t> </w:t>
      </w:r>
      <w:r w:rsidR="001547B7" w:rsidRPr="00E93402">
        <w:t>9.3</w:t>
      </w:r>
      <w:r w:rsidR="001547B7" w:rsidRPr="000A74B3">
        <w:t>.</w:t>
      </w:r>
    </w:p>
  </w:footnote>
  <w:footnote w:id="13">
    <w:p w14:paraId="7753FAD3" w14:textId="77777777" w:rsidR="001547B7" w:rsidRPr="000A74B3" w:rsidRDefault="001547B7" w:rsidP="00D86915">
      <w:pPr>
        <w:pStyle w:val="Notedebasdepage"/>
      </w:pPr>
      <w:r w:rsidRPr="000A74B3">
        <w:tab/>
      </w:r>
      <w:r w:rsidRPr="00673767">
        <w:rPr>
          <w:rStyle w:val="Appelnotedebasdep"/>
        </w:rPr>
        <w:footnoteRef/>
      </w:r>
      <w:r w:rsidRPr="000A74B3">
        <w:tab/>
        <w:t>Ibid.</w:t>
      </w:r>
    </w:p>
  </w:footnote>
  <w:footnote w:id="14">
    <w:p w14:paraId="6BCA60F8" w14:textId="77777777" w:rsidR="001547B7" w:rsidRPr="000A74B3" w:rsidRDefault="001547B7" w:rsidP="00D86915">
      <w:pPr>
        <w:pStyle w:val="Notedebasdepage"/>
      </w:pPr>
      <w:r w:rsidRPr="000A74B3">
        <w:tab/>
      </w:r>
      <w:r w:rsidRPr="00673767">
        <w:rPr>
          <w:rStyle w:val="Appelnotedebasdep"/>
        </w:rPr>
        <w:footnoteRef/>
      </w:r>
      <w:r w:rsidRPr="000A74B3">
        <w:tab/>
      </w:r>
      <w:r w:rsidRPr="000A74B3">
        <w:rPr>
          <w:i/>
        </w:rPr>
        <w:t>V.</w:t>
      </w:r>
      <w:r>
        <w:rPr>
          <w:i/>
        </w:rPr>
        <w:t> </w:t>
      </w:r>
      <w:r w:rsidRPr="000A74B3">
        <w:rPr>
          <w:i/>
        </w:rPr>
        <w:t>R. et N.</w:t>
      </w:r>
      <w:r>
        <w:rPr>
          <w:i/>
        </w:rPr>
        <w:t> </w:t>
      </w:r>
      <w:r w:rsidRPr="000A74B3">
        <w:rPr>
          <w:i/>
        </w:rPr>
        <w:t>R. c. Danemark</w:t>
      </w:r>
      <w:r w:rsidRPr="000A74B3">
        <w:t xml:space="preserve"> (CCPR/C/117/D/2745/2016), par. 4.4 ; </w:t>
      </w:r>
      <w:r w:rsidRPr="000A74B3">
        <w:rPr>
          <w:i/>
        </w:rPr>
        <w:t>F.</w:t>
      </w:r>
      <w:r>
        <w:rPr>
          <w:i/>
        </w:rPr>
        <w:t> </w:t>
      </w:r>
      <w:r w:rsidRPr="000A74B3">
        <w:rPr>
          <w:i/>
        </w:rPr>
        <w:t>B.</w:t>
      </w:r>
      <w:r>
        <w:rPr>
          <w:i/>
        </w:rPr>
        <w:t> </w:t>
      </w:r>
      <w:r w:rsidRPr="000A74B3">
        <w:rPr>
          <w:i/>
        </w:rPr>
        <w:t xml:space="preserve">L. c. Costa Rica </w:t>
      </w:r>
      <w:r w:rsidRPr="000A74B3">
        <w:t xml:space="preserve">(CCPR/C/109/D/1612/2007), par. 4.2 ; </w:t>
      </w:r>
      <w:r w:rsidRPr="000A74B3">
        <w:rPr>
          <w:i/>
        </w:rPr>
        <w:t>Fernández Murcia c. Espagne</w:t>
      </w:r>
      <w:r w:rsidRPr="000A74B3">
        <w:t xml:space="preserve"> (CCPR/C/92/D/1528/2006), par. 4.3 ; </w:t>
      </w:r>
      <w:r>
        <w:t>et</w:t>
      </w:r>
      <w:r w:rsidRPr="00673767">
        <w:t xml:space="preserve"> </w:t>
      </w:r>
      <w:proofErr w:type="spellStart"/>
      <w:r w:rsidRPr="000A74B3">
        <w:rPr>
          <w:i/>
        </w:rPr>
        <w:t>Schedko</w:t>
      </w:r>
      <w:proofErr w:type="spellEnd"/>
      <w:r w:rsidRPr="000A74B3">
        <w:rPr>
          <w:i/>
        </w:rPr>
        <w:t xml:space="preserve"> c. Bélarus</w:t>
      </w:r>
      <w:r w:rsidRPr="000A74B3">
        <w:t xml:space="preserve"> (CCPR/C/77/D/886/1999), par.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69FA" w14:textId="77777777" w:rsidR="001547B7" w:rsidRPr="00246B22" w:rsidRDefault="00CD3A46">
    <w:pPr>
      <w:pStyle w:val="En-tte"/>
    </w:pPr>
    <w:r>
      <w:fldChar w:fldCharType="begin"/>
    </w:r>
    <w:r>
      <w:instrText xml:space="preserve"> TITLE  \* MERGEFORMAT </w:instrText>
    </w:r>
    <w:r>
      <w:fldChar w:fldCharType="separate"/>
    </w:r>
    <w:r w:rsidR="001547B7">
      <w:t>CCPR/C/130/D/2946/2017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0981" w14:textId="77777777" w:rsidR="001547B7" w:rsidRPr="00246B22" w:rsidRDefault="00CD3A46" w:rsidP="00246B22">
    <w:pPr>
      <w:pStyle w:val="En-tte"/>
      <w:jc w:val="right"/>
    </w:pPr>
    <w:r>
      <w:fldChar w:fldCharType="begin"/>
    </w:r>
    <w:r>
      <w:instrText xml:space="preserve"> TITLE  \* MERGEFORMAT </w:instrText>
    </w:r>
    <w:r>
      <w:fldChar w:fldCharType="separate"/>
    </w:r>
    <w:r w:rsidR="001547B7">
      <w:t>CCPR/C/130/D/2946/2017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F"/>
    <w:rsid w:val="00015DF7"/>
    <w:rsid w:val="00017F94"/>
    <w:rsid w:val="00023842"/>
    <w:rsid w:val="000334F9"/>
    <w:rsid w:val="0007796D"/>
    <w:rsid w:val="000919AD"/>
    <w:rsid w:val="000B7790"/>
    <w:rsid w:val="000C2225"/>
    <w:rsid w:val="000D26DF"/>
    <w:rsid w:val="00111F2F"/>
    <w:rsid w:val="0014365E"/>
    <w:rsid w:val="001547B7"/>
    <w:rsid w:val="00176178"/>
    <w:rsid w:val="001B379B"/>
    <w:rsid w:val="001D2CD2"/>
    <w:rsid w:val="001F525A"/>
    <w:rsid w:val="00223272"/>
    <w:rsid w:val="00246B22"/>
    <w:rsid w:val="0024779E"/>
    <w:rsid w:val="00273C50"/>
    <w:rsid w:val="00285AED"/>
    <w:rsid w:val="002B7BC7"/>
    <w:rsid w:val="002E2D46"/>
    <w:rsid w:val="00317D97"/>
    <w:rsid w:val="0032225A"/>
    <w:rsid w:val="003265B7"/>
    <w:rsid w:val="003402F1"/>
    <w:rsid w:val="00351332"/>
    <w:rsid w:val="003620D4"/>
    <w:rsid w:val="00381D46"/>
    <w:rsid w:val="003A6E96"/>
    <w:rsid w:val="003C5892"/>
    <w:rsid w:val="00440941"/>
    <w:rsid w:val="00446FE5"/>
    <w:rsid w:val="00452396"/>
    <w:rsid w:val="004523DE"/>
    <w:rsid w:val="004834D6"/>
    <w:rsid w:val="004A0385"/>
    <w:rsid w:val="00532332"/>
    <w:rsid w:val="005505B7"/>
    <w:rsid w:val="00573BE5"/>
    <w:rsid w:val="00586ED3"/>
    <w:rsid w:val="00596AA9"/>
    <w:rsid w:val="005C1B1C"/>
    <w:rsid w:val="00617649"/>
    <w:rsid w:val="006234F0"/>
    <w:rsid w:val="006D1448"/>
    <w:rsid w:val="006E009D"/>
    <w:rsid w:val="006F7144"/>
    <w:rsid w:val="006F71EA"/>
    <w:rsid w:val="0071601D"/>
    <w:rsid w:val="00793E85"/>
    <w:rsid w:val="007A1CC0"/>
    <w:rsid w:val="007A611C"/>
    <w:rsid w:val="007A62E6"/>
    <w:rsid w:val="007E2032"/>
    <w:rsid w:val="0080684C"/>
    <w:rsid w:val="00834957"/>
    <w:rsid w:val="008560DB"/>
    <w:rsid w:val="00871C75"/>
    <w:rsid w:val="008776DC"/>
    <w:rsid w:val="008A6AD2"/>
    <w:rsid w:val="0090015B"/>
    <w:rsid w:val="009705C8"/>
    <w:rsid w:val="009B1E6C"/>
    <w:rsid w:val="009E2C6A"/>
    <w:rsid w:val="00A57411"/>
    <w:rsid w:val="00A9151D"/>
    <w:rsid w:val="00A92823"/>
    <w:rsid w:val="00AA6A35"/>
    <w:rsid w:val="00AC3823"/>
    <w:rsid w:val="00AE323C"/>
    <w:rsid w:val="00B00181"/>
    <w:rsid w:val="00B1459D"/>
    <w:rsid w:val="00B765F7"/>
    <w:rsid w:val="00BA0CA9"/>
    <w:rsid w:val="00C01ACF"/>
    <w:rsid w:val="00C02897"/>
    <w:rsid w:val="00C6200E"/>
    <w:rsid w:val="00CA7BC4"/>
    <w:rsid w:val="00CD3A46"/>
    <w:rsid w:val="00D05667"/>
    <w:rsid w:val="00D22127"/>
    <w:rsid w:val="00D22C9C"/>
    <w:rsid w:val="00D2595A"/>
    <w:rsid w:val="00D3439C"/>
    <w:rsid w:val="00D4557B"/>
    <w:rsid w:val="00D62DF7"/>
    <w:rsid w:val="00D744E5"/>
    <w:rsid w:val="00D83177"/>
    <w:rsid w:val="00D86915"/>
    <w:rsid w:val="00D9140A"/>
    <w:rsid w:val="00DB1831"/>
    <w:rsid w:val="00DD0E15"/>
    <w:rsid w:val="00DD3BFD"/>
    <w:rsid w:val="00DF6678"/>
    <w:rsid w:val="00E73F1B"/>
    <w:rsid w:val="00E85C42"/>
    <w:rsid w:val="00EC2A9F"/>
    <w:rsid w:val="00EC30D5"/>
    <w:rsid w:val="00EE1BD4"/>
    <w:rsid w:val="00F0786E"/>
    <w:rsid w:val="00F12152"/>
    <w:rsid w:val="00F45CFB"/>
    <w:rsid w:val="00F660DF"/>
    <w:rsid w:val="00F671FB"/>
    <w:rsid w:val="00F95C08"/>
    <w:rsid w:val="00F96E27"/>
    <w:rsid w:val="00FD57A3"/>
    <w:rsid w:val="00FE22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466A8"/>
  <w15:docId w15:val="{F5D8057E-0DC6-415C-8E39-C1CF005F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E226B"/>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FE226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E226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86915"/>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D86915"/>
    <w:pPr>
      <w:suppressAutoHyphens w:val="0"/>
      <w:spacing w:before="100" w:beforeAutospacing="1" w:after="100" w:afterAutospacing="1" w:line="240" w:lineRule="auto"/>
    </w:pPr>
    <w:rPr>
      <w:color w:val="000000" w:themeColor="text1"/>
      <w:sz w:val="24"/>
      <w:szCs w:val="24"/>
      <w:lang w:val="nl-NL" w:eastAsia="nl-NL"/>
    </w:rPr>
  </w:style>
  <w:style w:type="paragraph" w:styleId="Rvision">
    <w:name w:val="Revision"/>
    <w:hidden/>
    <w:uiPriority w:val="99"/>
    <w:semiHidden/>
    <w:rsid w:val="00D86915"/>
    <w:pPr>
      <w:spacing w:after="0" w:line="240" w:lineRule="auto"/>
    </w:pPr>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D86915"/>
    <w:rPr>
      <w:sz w:val="16"/>
      <w:szCs w:val="16"/>
    </w:rPr>
  </w:style>
  <w:style w:type="paragraph" w:styleId="Commentaire">
    <w:name w:val="annotation text"/>
    <w:basedOn w:val="Normal"/>
    <w:link w:val="CommentaireCar"/>
    <w:uiPriority w:val="99"/>
    <w:semiHidden/>
    <w:unhideWhenUsed/>
    <w:rsid w:val="00D86915"/>
    <w:pPr>
      <w:spacing w:line="240" w:lineRule="auto"/>
    </w:pPr>
  </w:style>
  <w:style w:type="character" w:customStyle="1" w:styleId="CommentaireCar">
    <w:name w:val="Commentaire Car"/>
    <w:basedOn w:val="Policepardfaut"/>
    <w:link w:val="Commentaire"/>
    <w:uiPriority w:val="99"/>
    <w:semiHidden/>
    <w:rsid w:val="00D86915"/>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D86915"/>
    <w:pPr>
      <w:spacing w:line="240" w:lineRule="auto"/>
    </w:pPr>
    <w:rPr>
      <w:b/>
      <w:bCs/>
    </w:rPr>
  </w:style>
  <w:style w:type="character" w:customStyle="1" w:styleId="ObjetducommentaireCar">
    <w:name w:val="Objet du commentaire Car"/>
    <w:basedOn w:val="CommentaireCar"/>
    <w:link w:val="Objetducommentaire"/>
    <w:uiPriority w:val="99"/>
    <w:semiHidden/>
    <w:rsid w:val="00D86915"/>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4203</Words>
  <Characters>23962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CCPR/C/130/D/2946/2017</vt:lpstr>
    </vt:vector>
  </TitlesOfParts>
  <Company>DCM</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CCPR/C/130/D/2946/2017</dc:title>
  <dc:subject/>
  <dc:creator>Nathalie VITTOZ</dc:creator>
  <cp:keywords/>
  <cp:lastModifiedBy>Nathalie Vittoz</cp:lastModifiedBy>
  <cp:revision>2</cp:revision>
  <cp:lastPrinted>2014-05-14T10:59:00Z</cp:lastPrinted>
  <dcterms:created xsi:type="dcterms:W3CDTF">2022-05-31T09:20:00Z</dcterms:created>
  <dcterms:modified xsi:type="dcterms:W3CDTF">2022-05-31T09:20:00Z</dcterms:modified>
</cp:coreProperties>
</file>