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0A2DB27" w14:textId="77777777" w:rsidTr="005B51C4">
        <w:trPr>
          <w:trHeight w:hRule="exact" w:val="851"/>
        </w:trPr>
        <w:tc>
          <w:tcPr>
            <w:tcW w:w="1274" w:type="dxa"/>
            <w:tcBorders>
              <w:bottom w:val="single" w:sz="4" w:space="0" w:color="auto"/>
            </w:tcBorders>
            <w:shd w:val="clear" w:color="auto" w:fill="auto"/>
          </w:tcPr>
          <w:p w14:paraId="31A6CAEF" w14:textId="77777777" w:rsidR="006B3E27" w:rsidRPr="00C175A6" w:rsidRDefault="006B3E27" w:rsidP="007047F1">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66C3FFC6"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8383DAD" w14:textId="32427C12" w:rsidR="006B3E27" w:rsidRPr="008B3A85" w:rsidRDefault="008B3A85" w:rsidP="008B3A85">
            <w:pPr>
              <w:bidi w:val="0"/>
              <w:rPr>
                <w:szCs w:val="20"/>
              </w:rPr>
            </w:pPr>
            <w:r w:rsidRPr="001B2505">
              <w:rPr>
                <w:sz w:val="40"/>
                <w:szCs w:val="20"/>
              </w:rPr>
              <w:t>CCPR</w:t>
            </w:r>
            <w:r w:rsidRPr="001B2505">
              <w:rPr>
                <w:szCs w:val="20"/>
              </w:rPr>
              <w:t>/C/</w:t>
            </w:r>
            <w:r w:rsidRPr="00D858C6">
              <w:rPr>
                <w:szCs w:val="20"/>
              </w:rPr>
              <w:t>132</w:t>
            </w:r>
            <w:r w:rsidRPr="001B2505">
              <w:rPr>
                <w:szCs w:val="20"/>
              </w:rPr>
              <w:t>/D/</w:t>
            </w:r>
            <w:r w:rsidRPr="00D858C6">
              <w:rPr>
                <w:szCs w:val="20"/>
              </w:rPr>
              <w:t>3188</w:t>
            </w:r>
            <w:r w:rsidRPr="001B2505">
              <w:rPr>
                <w:szCs w:val="20"/>
              </w:rPr>
              <w:t>/</w:t>
            </w:r>
            <w:r w:rsidRPr="00D858C6">
              <w:rPr>
                <w:szCs w:val="20"/>
              </w:rPr>
              <w:t>2018</w:t>
            </w:r>
          </w:p>
        </w:tc>
      </w:tr>
      <w:tr w:rsidR="006B3E27" w:rsidRPr="00C175A6" w14:paraId="59A34A47" w14:textId="77777777" w:rsidTr="005B51C4">
        <w:trPr>
          <w:trHeight w:hRule="exact" w:val="2835"/>
        </w:trPr>
        <w:tc>
          <w:tcPr>
            <w:tcW w:w="1274" w:type="dxa"/>
            <w:tcBorders>
              <w:top w:val="single" w:sz="4" w:space="0" w:color="auto"/>
              <w:bottom w:val="single" w:sz="12" w:space="0" w:color="auto"/>
            </w:tcBorders>
            <w:shd w:val="clear" w:color="auto" w:fill="auto"/>
          </w:tcPr>
          <w:p w14:paraId="32BE680C"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8B5C61D" wp14:editId="107E11E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DAA5805" w14:textId="77777777" w:rsidR="006B3E27" w:rsidRPr="00D858C6" w:rsidRDefault="00ED7442" w:rsidP="00730446">
            <w:pPr>
              <w:spacing w:before="120" w:after="40" w:line="640" w:lineRule="exact"/>
              <w:ind w:left="57"/>
              <w:rPr>
                <w:b/>
                <w:bCs/>
                <w:sz w:val="46"/>
                <w:szCs w:val="46"/>
              </w:rPr>
            </w:pPr>
            <w:r w:rsidRPr="00D858C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0E3270D" w14:textId="37DC3868" w:rsidR="006B3E27" w:rsidRDefault="008B3A85" w:rsidP="004B27E0">
            <w:pPr>
              <w:bidi w:val="0"/>
              <w:spacing w:before="240"/>
              <w:rPr>
                <w:szCs w:val="20"/>
              </w:rPr>
            </w:pPr>
            <w:r>
              <w:rPr>
                <w:szCs w:val="20"/>
              </w:rPr>
              <w:t>Dist</w:t>
            </w:r>
            <w:r w:rsidR="001B2505" w:rsidRPr="001B2505">
              <w:rPr>
                <w:szCs w:val="20"/>
              </w:rPr>
              <w:t>r.:</w:t>
            </w:r>
            <w:r>
              <w:rPr>
                <w:szCs w:val="20"/>
              </w:rPr>
              <w:t xml:space="preserve"> General</w:t>
            </w:r>
          </w:p>
          <w:p w14:paraId="1A496D8D" w14:textId="304DD60B" w:rsidR="008B3A85" w:rsidRDefault="00854E0B" w:rsidP="008B3A85">
            <w:pPr>
              <w:bidi w:val="0"/>
              <w:spacing w:line="240" w:lineRule="exact"/>
              <w:jc w:val="left"/>
              <w:rPr>
                <w:szCs w:val="20"/>
              </w:rPr>
            </w:pPr>
            <w:r w:rsidRPr="00D858C6">
              <w:t>9</w:t>
            </w:r>
            <w:r w:rsidRPr="00FC693E">
              <w:t xml:space="preserve"> August </w:t>
            </w:r>
            <w:r w:rsidRPr="00D858C6">
              <w:t>2022</w:t>
            </w:r>
          </w:p>
          <w:p w14:paraId="75ECCF07" w14:textId="77777777" w:rsidR="008B3A85" w:rsidRDefault="008B3A85" w:rsidP="008B3A85">
            <w:pPr>
              <w:bidi w:val="0"/>
              <w:spacing w:line="240" w:lineRule="exact"/>
              <w:jc w:val="left"/>
              <w:rPr>
                <w:szCs w:val="20"/>
              </w:rPr>
            </w:pPr>
            <w:r>
              <w:rPr>
                <w:szCs w:val="20"/>
              </w:rPr>
              <w:t>Arabic</w:t>
            </w:r>
          </w:p>
          <w:p w14:paraId="1AFF927B" w14:textId="604024F7" w:rsidR="008B3A85" w:rsidRPr="008B3A85" w:rsidRDefault="008B3A85" w:rsidP="008B3A85">
            <w:pPr>
              <w:bidi w:val="0"/>
              <w:spacing w:line="240" w:lineRule="exact"/>
              <w:jc w:val="left"/>
              <w:rPr>
                <w:szCs w:val="20"/>
              </w:rPr>
            </w:pPr>
            <w:r>
              <w:rPr>
                <w:szCs w:val="20"/>
              </w:rPr>
              <w:t>Origina</w:t>
            </w:r>
            <w:r w:rsidR="001B2505" w:rsidRPr="001B2505">
              <w:rPr>
                <w:szCs w:val="20"/>
              </w:rPr>
              <w:t xml:space="preserve">l: </w:t>
            </w:r>
            <w:r>
              <w:rPr>
                <w:szCs w:val="20"/>
              </w:rPr>
              <w:t>English</w:t>
            </w:r>
          </w:p>
        </w:tc>
      </w:tr>
    </w:tbl>
    <w:p w14:paraId="07BD9C81" w14:textId="77777777" w:rsidR="000066C3" w:rsidRPr="00D858C6" w:rsidRDefault="000066C3" w:rsidP="0001217F">
      <w:pPr>
        <w:spacing w:before="120" w:line="360" w:lineRule="exact"/>
        <w:textDirection w:val="tbRlV"/>
        <w:rPr>
          <w:rFonts w:ascii="Traditional Arabic" w:hAnsi="Traditional Arabic"/>
          <w:b/>
          <w:sz w:val="26"/>
          <w:szCs w:val="26"/>
          <w:lang w:val="ar-SA" w:eastAsia="zh-TW" w:bidi="en-GB"/>
        </w:rPr>
      </w:pPr>
      <w:r w:rsidRPr="00D858C6">
        <w:rPr>
          <w:rFonts w:ascii="Traditional Arabic" w:hAnsi="Traditional Arabic"/>
          <w:b/>
          <w:bCs/>
          <w:sz w:val="26"/>
          <w:szCs w:val="26"/>
          <w:rtl/>
        </w:rPr>
        <w:t>اللجنة المعنية بحقوق الإنسان</w:t>
      </w:r>
    </w:p>
    <w:p w14:paraId="1029A38F" w14:textId="2334A185" w:rsidR="000066C3" w:rsidRPr="00D858C6" w:rsidRDefault="000066C3" w:rsidP="0001217F">
      <w:pPr>
        <w:pStyle w:val="HChGA"/>
        <w:rPr>
          <w:lang w:val="en-US" w:eastAsia="zh-TW" w:bidi="en-GB"/>
        </w:rPr>
      </w:pPr>
      <w:r w:rsidRPr="00D858C6">
        <w:rPr>
          <w:rtl/>
        </w:rPr>
        <w:tab/>
      </w:r>
      <w:r w:rsidRPr="00D858C6">
        <w:rPr>
          <w:rtl/>
        </w:rPr>
        <w:tab/>
        <w:t>آراء اعتمدتها اللجنة بموجب المادة 5(</w:t>
      </w:r>
      <w:r w:rsidR="001B2505" w:rsidRPr="00D858C6">
        <w:rPr>
          <w:rtl/>
        </w:rPr>
        <w:t xml:space="preserve">4) </w:t>
      </w:r>
      <w:r w:rsidRPr="00D858C6">
        <w:rPr>
          <w:rtl/>
        </w:rPr>
        <w:t>من البروتوكول الاختياري، بشأن البلاغ رقم 3188/2018</w:t>
      </w:r>
      <w:r w:rsidRPr="00D858C6">
        <w:rPr>
          <w:rStyle w:val="FootnoteReference"/>
          <w:rFonts w:ascii="Traditional Arabic" w:hAnsi="Traditional Arabic"/>
          <w:b w:val="0"/>
          <w:sz w:val="24"/>
          <w:szCs w:val="24"/>
          <w:vertAlign w:val="baseline"/>
          <w:rtl/>
        </w:rPr>
        <w:footnoteReference w:customMarkFollows="1" w:id="1"/>
        <w:t>*</w:t>
      </w:r>
      <w:r w:rsidR="006D1853" w:rsidRPr="00D858C6">
        <w:rPr>
          <w:sz w:val="22"/>
          <w:szCs w:val="22"/>
          <w:rtl/>
          <w:lang w:val="fr-CH"/>
        </w:rPr>
        <w:t xml:space="preserve"> </w:t>
      </w:r>
      <w:r w:rsidRPr="00D858C6">
        <w:rPr>
          <w:rStyle w:val="FootnoteReference"/>
          <w:rFonts w:ascii="Traditional Arabic" w:hAnsi="Traditional Arabic"/>
          <w:b w:val="0"/>
          <w:sz w:val="24"/>
          <w:szCs w:val="24"/>
          <w:vertAlign w:val="baseline"/>
          <w:rtl/>
        </w:rPr>
        <w:footnoteReference w:customMarkFollows="1" w:id="2"/>
        <w:t>**</w:t>
      </w:r>
    </w:p>
    <w:p w14:paraId="28745C40" w14:textId="482C66C0"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بلاغ مقدم من</w:t>
      </w:r>
      <w:r w:rsidR="00572543" w:rsidRPr="00D858C6">
        <w:rPr>
          <w:i/>
          <w:iCs/>
          <w:rtl/>
        </w:rPr>
        <w:t>:</w:t>
      </w:r>
      <w:r w:rsidR="00572543">
        <w:rPr>
          <w:rtl/>
        </w:rPr>
        <w:tab/>
      </w:r>
      <w:r w:rsidRPr="00572543">
        <w:rPr>
          <w:rtl/>
        </w:rPr>
        <w:t>م. ن. (يمثله المحامي نيلز - إيريك هانسن)</w:t>
      </w:r>
    </w:p>
    <w:p w14:paraId="1303B8AD" w14:textId="68D019BA"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الشخص المدعى أنه ضحية</w:t>
      </w:r>
      <w:r w:rsidR="00572543" w:rsidRPr="00D858C6">
        <w:rPr>
          <w:i/>
          <w:iCs/>
          <w:rtl/>
        </w:rPr>
        <w:t>:</w:t>
      </w:r>
      <w:r w:rsidR="00572543">
        <w:rPr>
          <w:rtl/>
        </w:rPr>
        <w:tab/>
      </w:r>
      <w:r w:rsidRPr="00572543">
        <w:rPr>
          <w:rtl/>
        </w:rPr>
        <w:t>صاحب البلاغ</w:t>
      </w:r>
    </w:p>
    <w:p w14:paraId="10D08BE2" w14:textId="016ECA5C"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الدولة الطرف</w:t>
      </w:r>
      <w:r w:rsidR="00572543" w:rsidRPr="00D858C6">
        <w:rPr>
          <w:i/>
          <w:iCs/>
          <w:rtl/>
        </w:rPr>
        <w:t>:</w:t>
      </w:r>
      <w:r w:rsidR="00572543">
        <w:rPr>
          <w:rtl/>
        </w:rPr>
        <w:tab/>
      </w:r>
      <w:r w:rsidRPr="00572543">
        <w:rPr>
          <w:rtl/>
        </w:rPr>
        <w:t>الدانمرك</w:t>
      </w:r>
    </w:p>
    <w:p w14:paraId="2B931812" w14:textId="6391149A"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تاريخ تقديم البلاغ</w:t>
      </w:r>
      <w:r w:rsidR="00572543" w:rsidRPr="00D858C6">
        <w:rPr>
          <w:i/>
          <w:iCs/>
          <w:rtl/>
        </w:rPr>
        <w:t>:</w:t>
      </w:r>
      <w:r w:rsidR="00572543">
        <w:rPr>
          <w:rtl/>
        </w:rPr>
        <w:tab/>
      </w:r>
      <w:r w:rsidRPr="00D858C6">
        <w:rPr>
          <w:rtl/>
        </w:rPr>
        <w:t>22</w:t>
      </w:r>
      <w:r w:rsidRPr="00572543">
        <w:rPr>
          <w:rtl/>
        </w:rPr>
        <w:t xml:space="preserve"> أيار/مايو </w:t>
      </w:r>
      <w:r w:rsidRPr="00D858C6">
        <w:rPr>
          <w:rtl/>
        </w:rPr>
        <w:t>2018</w:t>
      </w:r>
      <w:r w:rsidRPr="00572543">
        <w:rPr>
          <w:rtl/>
        </w:rPr>
        <w:t xml:space="preserve"> (تاريخ الرسالة الأولى)</w:t>
      </w:r>
    </w:p>
    <w:p w14:paraId="450F4281" w14:textId="2DA2141E"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الوثائق المرجعية</w:t>
      </w:r>
      <w:r w:rsidR="00572543" w:rsidRPr="00D858C6">
        <w:rPr>
          <w:i/>
          <w:iCs/>
          <w:rtl/>
        </w:rPr>
        <w:t>:</w:t>
      </w:r>
      <w:r w:rsidR="00572543">
        <w:rPr>
          <w:rtl/>
        </w:rPr>
        <w:tab/>
      </w:r>
      <w:r w:rsidRPr="00572543">
        <w:rPr>
          <w:rtl/>
        </w:rPr>
        <w:t xml:space="preserve">القرار المتخذ عملاً بالمادة </w:t>
      </w:r>
      <w:r w:rsidRPr="00D858C6">
        <w:rPr>
          <w:rtl/>
        </w:rPr>
        <w:t>92</w:t>
      </w:r>
      <w:r w:rsidRPr="00572543">
        <w:rPr>
          <w:rtl/>
        </w:rPr>
        <w:t xml:space="preserve"> من النظام الداخلي للجنة، الذي أحيل إلى الدولة الطرف في </w:t>
      </w:r>
      <w:r w:rsidRPr="00D858C6">
        <w:rPr>
          <w:rtl/>
        </w:rPr>
        <w:t>2</w:t>
      </w:r>
      <w:r w:rsidRPr="00572543">
        <w:rPr>
          <w:rtl/>
        </w:rPr>
        <w:t xml:space="preserve"> كانون الأول/ديسمبر </w:t>
      </w:r>
      <w:r w:rsidRPr="00D858C6">
        <w:rPr>
          <w:rtl/>
        </w:rPr>
        <w:t>2015</w:t>
      </w:r>
      <w:r w:rsidRPr="00572543">
        <w:rPr>
          <w:rtl/>
        </w:rPr>
        <w:t xml:space="preserve"> (لم يصدر في شكل وثيقة)</w:t>
      </w:r>
      <w:bookmarkStart w:id="0" w:name="_Hlk14967146"/>
      <w:bookmarkEnd w:id="0"/>
    </w:p>
    <w:p w14:paraId="75773224" w14:textId="3B0F9117"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تاريخ اعتماد الآراء</w:t>
      </w:r>
      <w:r w:rsidR="00572543" w:rsidRPr="00D858C6">
        <w:rPr>
          <w:i/>
          <w:iCs/>
          <w:rtl/>
        </w:rPr>
        <w:t>:</w:t>
      </w:r>
      <w:r w:rsidR="00572543">
        <w:rPr>
          <w:rtl/>
        </w:rPr>
        <w:tab/>
      </w:r>
      <w:r w:rsidRPr="00D858C6">
        <w:rPr>
          <w:rtl/>
        </w:rPr>
        <w:t>22</w:t>
      </w:r>
      <w:r w:rsidRPr="00572543">
        <w:rPr>
          <w:rtl/>
        </w:rPr>
        <w:t xml:space="preserve"> تموز/يوليه </w:t>
      </w:r>
      <w:r w:rsidRPr="00D858C6">
        <w:rPr>
          <w:rtl/>
        </w:rPr>
        <w:t>2021</w:t>
      </w:r>
    </w:p>
    <w:p w14:paraId="78CB82C4" w14:textId="23B88809"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الموضوع</w:t>
      </w:r>
      <w:r w:rsidR="00572543" w:rsidRPr="00D858C6">
        <w:rPr>
          <w:i/>
          <w:iCs/>
          <w:rtl/>
        </w:rPr>
        <w:t>:</w:t>
      </w:r>
      <w:r w:rsidR="00572543">
        <w:rPr>
          <w:rtl/>
        </w:rPr>
        <w:tab/>
      </w:r>
      <w:r w:rsidRPr="00572543">
        <w:rPr>
          <w:rtl/>
        </w:rPr>
        <w:t>الترحيل من الدنمارك إلى جمهورية إيران الإسلامية</w:t>
      </w:r>
    </w:p>
    <w:p w14:paraId="3264846D" w14:textId="77D64835"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المسائل الإجرائية</w:t>
      </w:r>
      <w:r w:rsidR="00572543" w:rsidRPr="00D858C6">
        <w:rPr>
          <w:i/>
          <w:iCs/>
          <w:rtl/>
        </w:rPr>
        <w:t>:</w:t>
      </w:r>
      <w:r w:rsidR="00572543">
        <w:rPr>
          <w:rtl/>
        </w:rPr>
        <w:tab/>
      </w:r>
      <w:r w:rsidRPr="00572543">
        <w:rPr>
          <w:rtl/>
        </w:rPr>
        <w:t xml:space="preserve">المقبولية؛ مسائل مثارة في إطار المادة </w:t>
      </w:r>
      <w:r w:rsidRPr="00D858C6">
        <w:rPr>
          <w:rtl/>
        </w:rPr>
        <w:t>18</w:t>
      </w:r>
    </w:p>
    <w:p w14:paraId="553920BD" w14:textId="0362467F"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المسائل الموضوعية</w:t>
      </w:r>
      <w:r w:rsidR="00572543" w:rsidRPr="00D858C6">
        <w:rPr>
          <w:i/>
          <w:iCs/>
          <w:rtl/>
        </w:rPr>
        <w:t>:</w:t>
      </w:r>
      <w:r w:rsidR="00572543">
        <w:rPr>
          <w:rtl/>
        </w:rPr>
        <w:tab/>
      </w:r>
      <w:r w:rsidRPr="00572543">
        <w:rPr>
          <w:rtl/>
        </w:rPr>
        <w:t xml:space="preserve">تعرّض الحياة للخطر؛ خطر التعرض للتعذيب؛ خطر </w:t>
      </w:r>
      <w:r w:rsidRPr="00A8078A">
        <w:rPr>
          <w:spacing w:val="-4"/>
          <w:rtl/>
        </w:rPr>
        <w:t xml:space="preserve">التعرض لضروب </w:t>
      </w:r>
      <w:proofErr w:type="gramStart"/>
      <w:r w:rsidRPr="00A8078A">
        <w:rPr>
          <w:spacing w:val="-4"/>
          <w:rtl/>
        </w:rPr>
        <w:t>المعاملة</w:t>
      </w:r>
      <w:proofErr w:type="gramEnd"/>
      <w:r w:rsidRPr="00A8078A">
        <w:rPr>
          <w:spacing w:val="-4"/>
          <w:rtl/>
        </w:rPr>
        <w:t xml:space="preserve"> أو العقوبة القاسية أو اللاإنسانية</w:t>
      </w:r>
      <w:r w:rsidRPr="00572543">
        <w:rPr>
          <w:rtl/>
        </w:rPr>
        <w:t xml:space="preserve"> أو المهينة؛ عدم الإعادة القسرية</w:t>
      </w:r>
    </w:p>
    <w:p w14:paraId="0BA9D605" w14:textId="5FFAE0B5"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مواد العهد</w:t>
      </w:r>
      <w:r w:rsidR="00572543" w:rsidRPr="00D858C6">
        <w:rPr>
          <w:i/>
          <w:iCs/>
          <w:rtl/>
        </w:rPr>
        <w:t>:</w:t>
      </w:r>
      <w:r w:rsidR="00572543">
        <w:rPr>
          <w:rtl/>
        </w:rPr>
        <w:tab/>
      </w:r>
      <w:r w:rsidRPr="00D858C6">
        <w:rPr>
          <w:rtl/>
        </w:rPr>
        <w:t>6</w:t>
      </w:r>
      <w:r w:rsidRPr="00572543">
        <w:rPr>
          <w:rtl/>
        </w:rPr>
        <w:t xml:space="preserve"> و</w:t>
      </w:r>
      <w:r w:rsidRPr="00D858C6">
        <w:rPr>
          <w:rtl/>
        </w:rPr>
        <w:t>7</w:t>
      </w:r>
    </w:p>
    <w:p w14:paraId="0D842BC0" w14:textId="0E3549BB" w:rsidR="000066C3" w:rsidRPr="00572543" w:rsidRDefault="000066C3" w:rsidP="00A8078A">
      <w:pPr>
        <w:pStyle w:val="SingleTxtGA"/>
        <w:tabs>
          <w:tab w:val="clear" w:pos="1928"/>
          <w:tab w:val="clear" w:pos="2608"/>
          <w:tab w:val="clear" w:pos="3289"/>
          <w:tab w:val="clear" w:pos="3969"/>
          <w:tab w:val="clear" w:pos="4649"/>
          <w:tab w:val="clear" w:pos="5330"/>
        </w:tabs>
        <w:spacing w:line="346" w:lineRule="exact"/>
        <w:ind w:left="4649" w:hanging="2721"/>
      </w:pPr>
      <w:r w:rsidRPr="00D858C6">
        <w:rPr>
          <w:i/>
          <w:iCs/>
          <w:rtl/>
        </w:rPr>
        <w:t>مادة البروتوكول الاختياري</w:t>
      </w:r>
      <w:r w:rsidR="00572543" w:rsidRPr="00D858C6">
        <w:rPr>
          <w:i/>
          <w:iCs/>
          <w:rtl/>
        </w:rPr>
        <w:t>:</w:t>
      </w:r>
      <w:r w:rsidR="00572543">
        <w:rPr>
          <w:rtl/>
        </w:rPr>
        <w:tab/>
      </w:r>
      <w:r w:rsidRPr="00D858C6">
        <w:rPr>
          <w:rtl/>
        </w:rPr>
        <w:t>5</w:t>
      </w:r>
      <w:r w:rsidRPr="00572543">
        <w:rPr>
          <w:rtl/>
        </w:rPr>
        <w:t>(</w:t>
      </w:r>
      <w:r w:rsidRPr="00D858C6">
        <w:rPr>
          <w:rtl/>
        </w:rPr>
        <w:t>2</w:t>
      </w:r>
      <w:r w:rsidRPr="00572543">
        <w:rPr>
          <w:rtl/>
        </w:rPr>
        <w:t>)(ب)</w:t>
      </w:r>
    </w:p>
    <w:p w14:paraId="228F257D" w14:textId="30B11BEE" w:rsidR="000066C3" w:rsidRPr="00AB589E" w:rsidRDefault="000066C3" w:rsidP="00A8078A">
      <w:pPr>
        <w:pStyle w:val="SingleTxtGA"/>
        <w:spacing w:line="346" w:lineRule="exact"/>
        <w:rPr>
          <w:rFonts w:eastAsia="Calibri"/>
          <w:lang w:val="ar-SA" w:eastAsia="zh-TW" w:bidi="en-GB"/>
        </w:rPr>
      </w:pPr>
      <w:r w:rsidRPr="00D858C6">
        <w:rPr>
          <w:rtl/>
        </w:rPr>
        <w:t>1</w:t>
      </w:r>
      <w:r w:rsidRPr="00AB589E">
        <w:rPr>
          <w:rtl/>
        </w:rPr>
        <w:t>-</w:t>
      </w:r>
      <w:r w:rsidRPr="00D858C6">
        <w:rPr>
          <w:rtl/>
        </w:rPr>
        <w:t>1</w:t>
      </w:r>
      <w:r w:rsidRPr="00AB589E">
        <w:rPr>
          <w:rtl/>
        </w:rPr>
        <w:tab/>
        <w:t>صاحب البلاغ هو م.</w:t>
      </w:r>
      <w:r>
        <w:rPr>
          <w:rtl/>
        </w:rPr>
        <w:t xml:space="preserve"> </w:t>
      </w:r>
      <w:r w:rsidRPr="00AB589E">
        <w:rPr>
          <w:rtl/>
        </w:rPr>
        <w:t>ن</w:t>
      </w:r>
      <w:r>
        <w:rPr>
          <w:rtl/>
        </w:rPr>
        <w:t>.</w:t>
      </w:r>
      <w:r w:rsidRPr="00AB589E">
        <w:rPr>
          <w:rtl/>
        </w:rPr>
        <w:t xml:space="preserve">، </w:t>
      </w:r>
      <w:r>
        <w:rPr>
          <w:rtl/>
          <w:lang w:val="fr-CH"/>
        </w:rPr>
        <w:t xml:space="preserve">وهو </w:t>
      </w:r>
      <w:r w:rsidRPr="00AB589E">
        <w:rPr>
          <w:rtl/>
        </w:rPr>
        <w:t>مواطن من جمهورية إيران الإسلامية</w:t>
      </w:r>
      <w:r>
        <w:rPr>
          <w:rtl/>
        </w:rPr>
        <w:t>،</w:t>
      </w:r>
      <w:r w:rsidRPr="00AB589E">
        <w:rPr>
          <w:rtl/>
        </w:rPr>
        <w:t xml:space="preserve"> من أصل فارسي، ولد في</w:t>
      </w:r>
      <w:r w:rsidR="00B653A4">
        <w:rPr>
          <w:rFonts w:hint="cs"/>
          <w:rtl/>
        </w:rPr>
        <w:t> </w:t>
      </w:r>
      <w:r w:rsidRPr="00D858C6">
        <w:rPr>
          <w:rtl/>
        </w:rPr>
        <w:t>23</w:t>
      </w:r>
      <w:r w:rsidRPr="00AB589E">
        <w:rPr>
          <w:rtl/>
        </w:rPr>
        <w:t xml:space="preserve"> شباط/فبراير </w:t>
      </w:r>
      <w:r w:rsidRPr="00D858C6">
        <w:rPr>
          <w:rtl/>
        </w:rPr>
        <w:t>1997</w:t>
      </w:r>
      <w:r w:rsidRPr="00AB589E">
        <w:rPr>
          <w:rtl/>
        </w:rPr>
        <w:t xml:space="preserve"> في أسرة مسلمة شيعية. وهو يدعي أن الدولة الطرف</w:t>
      </w:r>
      <w:r w:rsidR="00085D72">
        <w:rPr>
          <w:rFonts w:hint="cs"/>
          <w:rtl/>
        </w:rPr>
        <w:t xml:space="preserve"> </w:t>
      </w:r>
      <w:r>
        <w:rPr>
          <w:rtl/>
        </w:rPr>
        <w:t>س</w:t>
      </w:r>
      <w:r w:rsidRPr="00AB589E">
        <w:rPr>
          <w:rtl/>
        </w:rPr>
        <w:t xml:space="preserve">تنتهك حقوقه بموجب </w:t>
      </w:r>
      <w:r w:rsidRPr="00A8078A">
        <w:rPr>
          <w:spacing w:val="-4"/>
          <w:rtl/>
        </w:rPr>
        <w:t xml:space="preserve">المادتين </w:t>
      </w:r>
      <w:r w:rsidRPr="00D858C6">
        <w:rPr>
          <w:spacing w:val="-4"/>
          <w:rtl/>
        </w:rPr>
        <w:t>6</w:t>
      </w:r>
      <w:r w:rsidRPr="00A8078A">
        <w:rPr>
          <w:spacing w:val="-4"/>
          <w:rtl/>
        </w:rPr>
        <w:t xml:space="preserve"> و</w:t>
      </w:r>
      <w:r w:rsidRPr="00D858C6">
        <w:rPr>
          <w:spacing w:val="-4"/>
          <w:rtl/>
        </w:rPr>
        <w:t>7</w:t>
      </w:r>
      <w:r w:rsidRPr="00A8078A">
        <w:rPr>
          <w:spacing w:val="-4"/>
          <w:rtl/>
        </w:rPr>
        <w:t xml:space="preserve"> من العهد، مقروءتين بالاقتران مع المادة </w:t>
      </w:r>
      <w:r w:rsidRPr="00D858C6">
        <w:rPr>
          <w:spacing w:val="-4"/>
          <w:rtl/>
        </w:rPr>
        <w:t>18</w:t>
      </w:r>
      <w:r w:rsidRPr="00A8078A">
        <w:rPr>
          <w:spacing w:val="-4"/>
          <w:rtl/>
        </w:rPr>
        <w:t>، في حال ترحيله إلى جمهورية إيران الإسلامية.</w:t>
      </w:r>
      <w:r w:rsidRPr="00AB589E">
        <w:rPr>
          <w:rtl/>
        </w:rPr>
        <w:t xml:space="preserve"> </w:t>
      </w:r>
      <w:r w:rsidRPr="00AB589E">
        <w:rPr>
          <w:rtl/>
        </w:rPr>
        <w:lastRenderedPageBreak/>
        <w:t xml:space="preserve">وقد دخل البروتوكول الاختياري حيز النفاذ بالنسبة للدولة الطرف في </w:t>
      </w:r>
      <w:r w:rsidRPr="00D858C6">
        <w:rPr>
          <w:rtl/>
        </w:rPr>
        <w:t>6</w:t>
      </w:r>
      <w:r w:rsidRPr="00AB589E">
        <w:rPr>
          <w:rtl/>
        </w:rPr>
        <w:t xml:space="preserve"> كانون الثاني/</w:t>
      </w:r>
      <w:r w:rsidR="00E11EA3">
        <w:rPr>
          <w:rFonts w:hint="cs"/>
          <w:rtl/>
        </w:rPr>
        <w:t xml:space="preserve"> </w:t>
      </w:r>
      <w:r w:rsidRPr="00AB589E">
        <w:rPr>
          <w:rtl/>
        </w:rPr>
        <w:t>يناير</w:t>
      </w:r>
      <w:r w:rsidR="00E11EA3">
        <w:rPr>
          <w:rFonts w:hint="cs"/>
          <w:rtl/>
        </w:rPr>
        <w:t> </w:t>
      </w:r>
      <w:r w:rsidRPr="00D858C6">
        <w:rPr>
          <w:rtl/>
        </w:rPr>
        <w:t>197</w:t>
      </w:r>
      <w:r w:rsidR="001B2505" w:rsidRPr="00D858C6">
        <w:rPr>
          <w:rtl/>
        </w:rPr>
        <w:t>2</w:t>
      </w:r>
      <w:r w:rsidR="001B2505" w:rsidRPr="001B2505">
        <w:rPr>
          <w:rtl/>
        </w:rPr>
        <w:t xml:space="preserve">. </w:t>
      </w:r>
      <w:r w:rsidRPr="00AB589E">
        <w:rPr>
          <w:rtl/>
        </w:rPr>
        <w:t xml:space="preserve">ويمثل صاحبَ البلاغ محام. </w:t>
      </w:r>
    </w:p>
    <w:p w14:paraId="689E03D9" w14:textId="77777777" w:rsidR="000066C3" w:rsidRPr="00AB589E" w:rsidRDefault="000066C3" w:rsidP="0001217F">
      <w:pPr>
        <w:pStyle w:val="SingleTxtGA"/>
        <w:rPr>
          <w:rFonts w:eastAsia="Calibri"/>
          <w:lang w:val="ar-SA" w:eastAsia="zh-TW" w:bidi="en-GB"/>
        </w:rPr>
      </w:pPr>
      <w:r w:rsidRPr="00D858C6">
        <w:rPr>
          <w:rtl/>
        </w:rPr>
        <w:t>1</w:t>
      </w:r>
      <w:r w:rsidRPr="00AB589E">
        <w:rPr>
          <w:rtl/>
        </w:rPr>
        <w:t>-</w:t>
      </w:r>
      <w:r w:rsidRPr="00D858C6">
        <w:rPr>
          <w:rtl/>
        </w:rPr>
        <w:t>2</w:t>
      </w:r>
      <w:r w:rsidRPr="00AB589E">
        <w:rPr>
          <w:rtl/>
        </w:rPr>
        <w:tab/>
        <w:t xml:space="preserve">في </w:t>
      </w:r>
      <w:r w:rsidRPr="00D858C6">
        <w:rPr>
          <w:rtl/>
        </w:rPr>
        <w:t>24</w:t>
      </w:r>
      <w:r w:rsidRPr="00AB589E">
        <w:rPr>
          <w:rtl/>
        </w:rPr>
        <w:t xml:space="preserve"> أيار/مايو </w:t>
      </w:r>
      <w:r w:rsidRPr="00D858C6">
        <w:rPr>
          <w:rtl/>
        </w:rPr>
        <w:t>2018</w:t>
      </w:r>
      <w:r w:rsidRPr="00AB589E">
        <w:rPr>
          <w:rtl/>
        </w:rPr>
        <w:t>، طلبت اللجنة إلى الدولة الطرف</w:t>
      </w:r>
      <w:r>
        <w:rPr>
          <w:rtl/>
        </w:rPr>
        <w:t>،</w:t>
      </w:r>
      <w:r w:rsidRPr="00AB589E">
        <w:rPr>
          <w:rtl/>
        </w:rPr>
        <w:t xml:space="preserve"> عملاً بالمادة </w:t>
      </w:r>
      <w:r w:rsidRPr="00D858C6">
        <w:rPr>
          <w:rtl/>
        </w:rPr>
        <w:t>94</w:t>
      </w:r>
      <w:r w:rsidRPr="00AB589E">
        <w:rPr>
          <w:rtl/>
        </w:rPr>
        <w:t xml:space="preserve"> من نظامها الداخلي، عن طريق مقررها الخاص المعني بالبلاغات الجديدة والتدابير المؤقتة، الامتناع عن ترحيل صاحب البلاغ إلى جمهورية إيران الإسلامية أثناء نظر اللجنة في قضيته.</w:t>
      </w:r>
    </w:p>
    <w:p w14:paraId="11069B10" w14:textId="77777777" w:rsidR="000066C3" w:rsidRPr="00AB589E" w:rsidRDefault="000066C3" w:rsidP="0001217F">
      <w:pPr>
        <w:pStyle w:val="SingleTxtGA"/>
        <w:rPr>
          <w:rFonts w:eastAsia="Calibri"/>
          <w:lang w:val="ar-SA" w:eastAsia="zh-TW" w:bidi="en-GB"/>
        </w:rPr>
      </w:pPr>
      <w:r w:rsidRPr="00D858C6">
        <w:rPr>
          <w:rtl/>
        </w:rPr>
        <w:t>1</w:t>
      </w:r>
      <w:r w:rsidRPr="00AB589E">
        <w:rPr>
          <w:rtl/>
        </w:rPr>
        <w:t>-</w:t>
      </w:r>
      <w:r w:rsidRPr="00D858C6">
        <w:rPr>
          <w:rtl/>
        </w:rPr>
        <w:t>3</w:t>
      </w:r>
      <w:r w:rsidRPr="00AB589E">
        <w:rPr>
          <w:rtl/>
        </w:rPr>
        <w:tab/>
        <w:t xml:space="preserve">وفي </w:t>
      </w:r>
      <w:r w:rsidRPr="00D858C6">
        <w:rPr>
          <w:rtl/>
        </w:rPr>
        <w:t>28</w:t>
      </w:r>
      <w:r w:rsidRPr="00AB589E">
        <w:rPr>
          <w:rtl/>
        </w:rPr>
        <w:t xml:space="preserve"> أيار/مايو </w:t>
      </w:r>
      <w:r w:rsidRPr="00D858C6">
        <w:rPr>
          <w:rtl/>
        </w:rPr>
        <w:t>2018</w:t>
      </w:r>
      <w:r w:rsidRPr="00AB589E">
        <w:rPr>
          <w:rtl/>
        </w:rPr>
        <w:t xml:space="preserve">، أكد المجلس </w:t>
      </w:r>
      <w:proofErr w:type="spellStart"/>
      <w:r w:rsidRPr="00AB589E">
        <w:rPr>
          <w:rtl/>
        </w:rPr>
        <w:t>الدانمرك</w:t>
      </w:r>
      <w:r w:rsidRPr="00AB589E">
        <w:rPr>
          <w:rFonts w:hint="eastAsia"/>
          <w:rtl/>
        </w:rPr>
        <w:t>ي</w:t>
      </w:r>
      <w:proofErr w:type="spellEnd"/>
      <w:r w:rsidRPr="00AB589E">
        <w:rPr>
          <w:rtl/>
        </w:rPr>
        <w:t xml:space="preserve"> لطعون اللاجئين تعليق تنفيذ أمر ترحيل صاحب البلاغ حتى إشعار آخر.</w:t>
      </w:r>
    </w:p>
    <w:p w14:paraId="4577789F" w14:textId="77777777" w:rsidR="000066C3" w:rsidRPr="00D858C6" w:rsidRDefault="000066C3" w:rsidP="0001217F">
      <w:pPr>
        <w:pStyle w:val="H23GA"/>
        <w:rPr>
          <w:rFonts w:eastAsia="Calibri"/>
          <w:lang w:val="ar-SA" w:eastAsia="zh-TW" w:bidi="en-GB"/>
        </w:rPr>
      </w:pPr>
      <w:r w:rsidRPr="00D858C6">
        <w:rPr>
          <w:rtl/>
        </w:rPr>
        <w:tab/>
      </w:r>
      <w:r w:rsidRPr="00D858C6">
        <w:rPr>
          <w:rtl/>
        </w:rPr>
        <w:tab/>
        <w:t>الوقائع كما عرضها صاحب البلاغ</w:t>
      </w:r>
    </w:p>
    <w:p w14:paraId="7572D0BD" w14:textId="505DAD57" w:rsidR="001B2505" w:rsidRPr="001B2505" w:rsidRDefault="000066C3" w:rsidP="0001217F">
      <w:pPr>
        <w:pStyle w:val="SingleTxtGA"/>
        <w:rPr>
          <w:rFonts w:eastAsia="Calibri"/>
          <w:lang w:val="en-US" w:eastAsia="zh-TW" w:bidi="en-GB"/>
        </w:rPr>
      </w:pPr>
      <w:r w:rsidRPr="00D858C6">
        <w:rPr>
          <w:rtl/>
        </w:rPr>
        <w:t>2</w:t>
      </w:r>
      <w:r w:rsidRPr="00AB589E">
        <w:rPr>
          <w:rtl/>
        </w:rPr>
        <w:t>-</w:t>
      </w:r>
      <w:r w:rsidRPr="00D858C6">
        <w:rPr>
          <w:rtl/>
        </w:rPr>
        <w:t>1</w:t>
      </w:r>
      <w:r w:rsidRPr="00AB589E">
        <w:rPr>
          <w:rtl/>
        </w:rPr>
        <w:tab/>
        <w:t xml:space="preserve">اعتنق صاحب البلاغ المسيحية </w:t>
      </w:r>
      <w:r>
        <w:rPr>
          <w:rtl/>
          <w:lang w:val="fr-CH"/>
        </w:rPr>
        <w:t xml:space="preserve">وخرج </w:t>
      </w:r>
      <w:r w:rsidRPr="00AB589E">
        <w:rPr>
          <w:rtl/>
        </w:rPr>
        <w:t xml:space="preserve">عن الإسلام في عام </w:t>
      </w:r>
      <w:r w:rsidRPr="00D858C6">
        <w:rPr>
          <w:rtl/>
        </w:rPr>
        <w:t>2013</w:t>
      </w:r>
      <w:r w:rsidRPr="00AB589E">
        <w:rPr>
          <w:rtl/>
        </w:rPr>
        <w:t>، بينما كان لا يزال في جمهورية إيران الإسلامية. و</w:t>
      </w:r>
      <w:r>
        <w:rPr>
          <w:rtl/>
        </w:rPr>
        <w:t xml:space="preserve">بدأ اهتمامه </w:t>
      </w:r>
      <w:r w:rsidRPr="00AB589E">
        <w:rPr>
          <w:rtl/>
        </w:rPr>
        <w:t xml:space="preserve">بالمسيحية عن طريق والدته، التي </w:t>
      </w:r>
      <w:r>
        <w:rPr>
          <w:rtl/>
        </w:rPr>
        <w:t>أطلعته على</w:t>
      </w:r>
      <w:r w:rsidR="00364AD9">
        <w:rPr>
          <w:rtl/>
        </w:rPr>
        <w:t xml:space="preserve"> </w:t>
      </w:r>
      <w:r w:rsidRPr="00AB589E">
        <w:rPr>
          <w:rtl/>
        </w:rPr>
        <w:t xml:space="preserve">الكتاب المقدس، وبدأ في المشاركة في الاجتماعات الكنسية الأسبوعية التي تنظمها </w:t>
      </w:r>
      <w:r>
        <w:rPr>
          <w:rtl/>
        </w:rPr>
        <w:t xml:space="preserve">والدته </w:t>
      </w:r>
      <w:r w:rsidRPr="00AB589E">
        <w:rPr>
          <w:rtl/>
        </w:rPr>
        <w:t>في المنزل. وبدأ صاحب البلاغ يروي قصص</w:t>
      </w:r>
      <w:r w:rsidR="00C569AF">
        <w:rPr>
          <w:rtl/>
        </w:rPr>
        <w:t xml:space="preserve">اً </w:t>
      </w:r>
      <w:r w:rsidRPr="00AB589E">
        <w:rPr>
          <w:rtl/>
        </w:rPr>
        <w:t>تعلّمَها من الكتاب المقدس لعملاء خاله (المسيحي</w:t>
      </w:r>
      <w:r w:rsidR="001B2505" w:rsidRPr="001B2505">
        <w:rPr>
          <w:rtl/>
        </w:rPr>
        <w:t>).</w:t>
      </w:r>
    </w:p>
    <w:p w14:paraId="31C03D24" w14:textId="50BECE42" w:rsidR="000066C3" w:rsidRPr="00AB589E" w:rsidRDefault="000066C3" w:rsidP="0001217F">
      <w:pPr>
        <w:pStyle w:val="SingleTxtGA"/>
        <w:rPr>
          <w:rFonts w:eastAsia="Calibri"/>
          <w:lang w:val="ar-SA" w:eastAsia="zh-TW" w:bidi="en-GB"/>
        </w:rPr>
      </w:pPr>
      <w:r w:rsidRPr="00D858C6">
        <w:rPr>
          <w:rtl/>
        </w:rPr>
        <w:t>2</w:t>
      </w:r>
      <w:r w:rsidRPr="00AB589E">
        <w:rPr>
          <w:rtl/>
        </w:rPr>
        <w:t>-</w:t>
      </w:r>
      <w:r w:rsidRPr="00D858C6">
        <w:rPr>
          <w:rtl/>
        </w:rPr>
        <w:t>2</w:t>
      </w:r>
      <w:r w:rsidRPr="00AB589E">
        <w:rPr>
          <w:rtl/>
        </w:rPr>
        <w:tab/>
        <w:t xml:space="preserve">وخلال </w:t>
      </w:r>
      <w:r>
        <w:rPr>
          <w:rtl/>
        </w:rPr>
        <w:t xml:space="preserve">أحد تلك القداديس </w:t>
      </w:r>
      <w:r w:rsidRPr="00AB589E">
        <w:rPr>
          <w:rtl/>
        </w:rPr>
        <w:t>المنزلية، التقى صاحب البلاغ بامرأة تدعى س</w:t>
      </w:r>
      <w:r>
        <w:rPr>
          <w:rtl/>
        </w:rPr>
        <w:t>.</w:t>
      </w:r>
      <w:r w:rsidRPr="00AB589E">
        <w:rPr>
          <w:rtl/>
        </w:rPr>
        <w:t xml:space="preserve"> و</w:t>
      </w:r>
      <w:r>
        <w:rPr>
          <w:rtl/>
        </w:rPr>
        <w:t>دخل معها في</w:t>
      </w:r>
      <w:r w:rsidRPr="00AB589E">
        <w:rPr>
          <w:rtl/>
        </w:rPr>
        <w:t xml:space="preserve"> علاقة. ولم يكن يعلم في ذلك الوقت أنها متزوجة، على الرغم من أنها أشارت إلى أنها كانت متزوجة من قبل. </w:t>
      </w:r>
      <w:r>
        <w:rPr>
          <w:rtl/>
        </w:rPr>
        <w:t>و</w:t>
      </w:r>
      <w:r w:rsidRPr="00AB589E">
        <w:rPr>
          <w:rtl/>
        </w:rPr>
        <w:t>كانا ي</w:t>
      </w:r>
      <w:r>
        <w:rPr>
          <w:rtl/>
        </w:rPr>
        <w:t xml:space="preserve">لتقيان </w:t>
      </w:r>
      <w:r w:rsidRPr="00AB589E">
        <w:rPr>
          <w:rtl/>
        </w:rPr>
        <w:t xml:space="preserve">بانتظام في منزلها وكان </w:t>
      </w:r>
      <w:r>
        <w:rPr>
          <w:rtl/>
        </w:rPr>
        <w:t>بينهما</w:t>
      </w:r>
      <w:r w:rsidRPr="00AB589E">
        <w:rPr>
          <w:rtl/>
        </w:rPr>
        <w:t xml:space="preserve"> </w:t>
      </w:r>
      <w:r>
        <w:rPr>
          <w:rtl/>
        </w:rPr>
        <w:t xml:space="preserve">اتصال </w:t>
      </w:r>
      <w:r w:rsidRPr="00AB589E">
        <w:rPr>
          <w:rtl/>
        </w:rPr>
        <w:t xml:space="preserve">جسدي، على الرغم من أنه لم ير بعض أجزاء المنزل، </w:t>
      </w:r>
      <w:r>
        <w:rPr>
          <w:rtl/>
        </w:rPr>
        <w:t>قبل أن يفهم فيما بعد أنها كانت في الواقع لا تزال متزوجة</w:t>
      </w:r>
      <w:r w:rsidRPr="00AB589E">
        <w:rPr>
          <w:rtl/>
        </w:rPr>
        <w:t>.</w:t>
      </w:r>
    </w:p>
    <w:p w14:paraId="36F66140" w14:textId="01420048" w:rsidR="000066C3" w:rsidRPr="00A8078A" w:rsidRDefault="000066C3" w:rsidP="0001217F">
      <w:pPr>
        <w:pStyle w:val="SingleTxtGA"/>
        <w:rPr>
          <w:rFonts w:eastAsia="Calibri"/>
          <w:spacing w:val="-4"/>
          <w:lang w:val="en-US" w:eastAsia="zh-TW" w:bidi="en-GB"/>
        </w:rPr>
      </w:pPr>
      <w:r w:rsidRPr="00D858C6">
        <w:rPr>
          <w:spacing w:val="-4"/>
          <w:rtl/>
        </w:rPr>
        <w:t>2</w:t>
      </w:r>
      <w:r w:rsidRPr="00A8078A">
        <w:rPr>
          <w:spacing w:val="-4"/>
          <w:rtl/>
        </w:rPr>
        <w:t>-</w:t>
      </w:r>
      <w:r w:rsidRPr="00D858C6">
        <w:rPr>
          <w:spacing w:val="-4"/>
          <w:rtl/>
        </w:rPr>
        <w:t>3</w:t>
      </w:r>
      <w:r w:rsidRPr="00A8078A">
        <w:rPr>
          <w:spacing w:val="-4"/>
          <w:rtl/>
        </w:rPr>
        <w:tab/>
        <w:t xml:space="preserve">وفي أحد الأيام من عام </w:t>
      </w:r>
      <w:r w:rsidRPr="00D858C6">
        <w:rPr>
          <w:spacing w:val="-4"/>
          <w:rtl/>
        </w:rPr>
        <w:t>2015</w:t>
      </w:r>
      <w:r w:rsidRPr="00A8078A">
        <w:rPr>
          <w:spacing w:val="-4"/>
          <w:rtl/>
        </w:rPr>
        <w:t>، عاد صاحب البلاغ إلى المنزل ليعلم أن والدته قد قُبض عليها، عقب اتهامها بمخالفة الشريعة الإسلامية بسبب اعتناقها المسيحية. وألقى والده، المسلم، الذي لم يكن على علم باعتناقها المسيحية وأدائها العبادة في المنزل، إذ كان يعمل بعيدا</w:t>
      </w:r>
      <w:r w:rsidR="00364AD9" w:rsidRPr="00A8078A">
        <w:rPr>
          <w:rFonts w:hint="cs"/>
          <w:spacing w:val="-4"/>
          <w:rtl/>
        </w:rPr>
        <w:t>ً</w:t>
      </w:r>
      <w:r w:rsidRPr="00A8078A">
        <w:rPr>
          <w:spacing w:val="-4"/>
          <w:rtl/>
        </w:rPr>
        <w:t xml:space="preserve"> عن البيت معظم الوقت، باللوم على صاحب البلاغ لعدم إيقاف هذا عن النشاط، وضرَبه حتى أفقده الوعي. وعندما استعاد صاحب البلاغ وعيه، فرّ واتصل بالمدعوة س. التي لم ترد على الهاتف. واكتشف عن طريق صديق مشترك أن س. قد ألقي القبض عليها أيض</w:t>
      </w:r>
      <w:r w:rsidR="00364AD9" w:rsidRPr="00A8078A">
        <w:rPr>
          <w:spacing w:val="-4"/>
          <w:rtl/>
        </w:rPr>
        <w:t xml:space="preserve">اً </w:t>
      </w:r>
      <w:r w:rsidRPr="00A8078A">
        <w:rPr>
          <w:spacing w:val="-4"/>
          <w:rtl/>
        </w:rPr>
        <w:t>لأن زوجها، وهو مسؤول حكومي رفيع المستوى، عثر على صور لها ولصاحب البلاغ مع</w:t>
      </w:r>
      <w:r w:rsidR="00364AD9" w:rsidRPr="00A8078A">
        <w:rPr>
          <w:spacing w:val="-4"/>
          <w:rtl/>
        </w:rPr>
        <w:t xml:space="preserve">اً </w:t>
      </w:r>
      <w:r w:rsidRPr="00A8078A">
        <w:rPr>
          <w:spacing w:val="-4"/>
          <w:rtl/>
        </w:rPr>
        <w:t>في هاتفها.</w:t>
      </w:r>
    </w:p>
    <w:p w14:paraId="24FD9F8E" w14:textId="77777777" w:rsidR="000066C3" w:rsidRPr="00AB589E" w:rsidRDefault="000066C3" w:rsidP="0001217F">
      <w:pPr>
        <w:pStyle w:val="SingleTxtGA"/>
        <w:rPr>
          <w:rFonts w:eastAsia="Calibri"/>
          <w:lang w:val="ar-SA" w:eastAsia="zh-TW" w:bidi="en-GB"/>
        </w:rPr>
      </w:pPr>
      <w:r w:rsidRPr="00D858C6">
        <w:rPr>
          <w:rtl/>
        </w:rPr>
        <w:t>2</w:t>
      </w:r>
      <w:r w:rsidRPr="00AB589E">
        <w:rPr>
          <w:rtl/>
        </w:rPr>
        <w:t>-</w:t>
      </w:r>
      <w:r w:rsidRPr="00D858C6">
        <w:rPr>
          <w:rtl/>
        </w:rPr>
        <w:t>4</w:t>
      </w:r>
      <w:r w:rsidRPr="00AB589E">
        <w:rPr>
          <w:rtl/>
        </w:rPr>
        <w:tab/>
        <w:t>وبدأ صاحب البلاغ يتلقى مكالمات من زوج س</w:t>
      </w:r>
      <w:r>
        <w:rPr>
          <w:rtl/>
        </w:rPr>
        <w:t>.</w:t>
      </w:r>
      <w:r w:rsidRPr="00AB589E">
        <w:rPr>
          <w:rtl/>
        </w:rPr>
        <w:t xml:space="preserve"> يتهم فيها صاحب البلاغ بمحاولة ت</w:t>
      </w:r>
      <w:r>
        <w:rPr>
          <w:rtl/>
        </w:rPr>
        <w:t>نصير</w:t>
      </w:r>
      <w:r w:rsidRPr="00AB589E">
        <w:rPr>
          <w:rtl/>
        </w:rPr>
        <w:t xml:space="preserve"> س</w:t>
      </w:r>
      <w:r>
        <w:rPr>
          <w:rtl/>
        </w:rPr>
        <w:t>.</w:t>
      </w:r>
      <w:r w:rsidRPr="00AB589E">
        <w:rPr>
          <w:rtl/>
        </w:rPr>
        <w:t xml:space="preserve"> ويهدده</w:t>
      </w:r>
      <w:r>
        <w:rPr>
          <w:rtl/>
        </w:rPr>
        <w:t xml:space="preserve"> هو</w:t>
      </w:r>
      <w:r w:rsidRPr="00AB589E">
        <w:rPr>
          <w:rtl/>
        </w:rPr>
        <w:t xml:space="preserve"> وأسرته. واستمرت المضايقات حتى بعد أن غيّر صاحب البلاغ رقم هاتفه، </w:t>
      </w:r>
      <w:r>
        <w:rPr>
          <w:rtl/>
        </w:rPr>
        <w:t>وهو ما جعله يستنتج</w:t>
      </w:r>
      <w:r w:rsidRPr="00AB589E">
        <w:rPr>
          <w:rtl/>
        </w:rPr>
        <w:t xml:space="preserve"> أن الزوج كانت له صلات بأجهزة الاستخبارات الحكومية.</w:t>
      </w:r>
    </w:p>
    <w:p w14:paraId="30DED31E" w14:textId="547BDF9C" w:rsidR="000066C3" w:rsidRPr="00AB589E" w:rsidRDefault="000066C3" w:rsidP="0001217F">
      <w:pPr>
        <w:pStyle w:val="SingleTxtGA"/>
        <w:rPr>
          <w:rFonts w:eastAsia="Calibri"/>
          <w:lang w:val="ar-SA" w:eastAsia="zh-TW" w:bidi="en-GB"/>
        </w:rPr>
      </w:pPr>
      <w:r w:rsidRPr="00D858C6">
        <w:rPr>
          <w:rtl/>
        </w:rPr>
        <w:t>2</w:t>
      </w:r>
      <w:r w:rsidRPr="00AB589E">
        <w:rPr>
          <w:rtl/>
        </w:rPr>
        <w:t>-</w:t>
      </w:r>
      <w:r w:rsidRPr="00D858C6">
        <w:rPr>
          <w:rtl/>
        </w:rPr>
        <w:t>5</w:t>
      </w:r>
      <w:r w:rsidRPr="00AB589E">
        <w:rPr>
          <w:rtl/>
        </w:rPr>
        <w:tab/>
        <w:t xml:space="preserve">وأفرج عن والدة صاحب البلاغ بعد أسبوع. ولكن بعد يومين، صدمتها سيارة في الشارع وأصيبت بجروح بليغة. ونقلت إلى المستشفى وخرجت </w:t>
      </w:r>
      <w:r>
        <w:rPr>
          <w:rtl/>
        </w:rPr>
        <w:t>بعدها</w:t>
      </w:r>
      <w:r w:rsidRPr="00AB589E">
        <w:rPr>
          <w:rtl/>
        </w:rPr>
        <w:t xml:space="preserve"> متوجهة إلى منزل</w:t>
      </w:r>
      <w:r>
        <w:rPr>
          <w:rtl/>
        </w:rPr>
        <w:t xml:space="preserve"> بعض</w:t>
      </w:r>
      <w:r w:rsidRPr="00AB589E">
        <w:rPr>
          <w:rtl/>
        </w:rPr>
        <w:t xml:space="preserve"> أقاربها المتعاطفين معها لتلقي الرعاية المستمرة. وواصل زوج س</w:t>
      </w:r>
      <w:r>
        <w:rPr>
          <w:rtl/>
        </w:rPr>
        <w:t>.</w:t>
      </w:r>
      <w:r w:rsidRPr="00AB589E">
        <w:rPr>
          <w:rtl/>
        </w:rPr>
        <w:t xml:space="preserve"> الاتصال هاتفي</w:t>
      </w:r>
      <w:r w:rsidR="00364AD9">
        <w:rPr>
          <w:rtl/>
        </w:rPr>
        <w:t xml:space="preserve">اً </w:t>
      </w:r>
      <w:r w:rsidRPr="00AB589E">
        <w:rPr>
          <w:rtl/>
        </w:rPr>
        <w:t>بصاحب البلاغ، مدعي</w:t>
      </w:r>
      <w:r w:rsidR="00364AD9">
        <w:rPr>
          <w:rtl/>
        </w:rPr>
        <w:t xml:space="preserve">اً </w:t>
      </w:r>
      <w:r w:rsidRPr="00AB589E">
        <w:rPr>
          <w:rtl/>
        </w:rPr>
        <w:t>مسؤوليته عن إصابات والدته ومطالب</w:t>
      </w:r>
      <w:r w:rsidR="00364AD9">
        <w:rPr>
          <w:rtl/>
        </w:rPr>
        <w:t xml:space="preserve">اً </w:t>
      </w:r>
      <w:r w:rsidRPr="00AB589E">
        <w:rPr>
          <w:rtl/>
        </w:rPr>
        <w:t>صاحب البلاغ بمقابلته، مهدد</w:t>
      </w:r>
      <w:r w:rsidR="00364AD9">
        <w:rPr>
          <w:rtl/>
        </w:rPr>
        <w:t xml:space="preserve">اً </w:t>
      </w:r>
      <w:r w:rsidRPr="00AB589E">
        <w:rPr>
          <w:rtl/>
        </w:rPr>
        <w:t xml:space="preserve">إياه بالمزيد من الأذى إذا لم يمتثل. </w:t>
      </w:r>
    </w:p>
    <w:p w14:paraId="6F55F924" w14:textId="1101A162" w:rsidR="000066C3" w:rsidRPr="00AB589E" w:rsidRDefault="000066C3" w:rsidP="0001217F">
      <w:pPr>
        <w:pStyle w:val="SingleTxtGA"/>
        <w:rPr>
          <w:rFonts w:eastAsia="Calibri"/>
          <w:lang w:val="en-US" w:eastAsia="zh-TW" w:bidi="en-GB"/>
        </w:rPr>
      </w:pPr>
      <w:r w:rsidRPr="00D858C6">
        <w:rPr>
          <w:rtl/>
        </w:rPr>
        <w:t>2</w:t>
      </w:r>
      <w:r w:rsidRPr="00AB589E">
        <w:rPr>
          <w:rtl/>
        </w:rPr>
        <w:t>-</w:t>
      </w:r>
      <w:r w:rsidRPr="00D858C6">
        <w:rPr>
          <w:rtl/>
        </w:rPr>
        <w:t>6</w:t>
      </w:r>
      <w:r w:rsidRPr="00AB589E">
        <w:rPr>
          <w:rtl/>
        </w:rPr>
        <w:tab/>
        <w:t xml:space="preserve">وخاف صاحب البلاغ على حياة شقيقه الأصغر </w:t>
      </w:r>
      <w:r>
        <w:rPr>
          <w:rtl/>
        </w:rPr>
        <w:t>ف</w:t>
      </w:r>
      <w:r w:rsidRPr="00AB589E">
        <w:rPr>
          <w:rtl/>
        </w:rPr>
        <w:t xml:space="preserve">أخذه للإقامة مع أقاربه. وفي </w:t>
      </w:r>
      <w:r w:rsidRPr="00D858C6">
        <w:rPr>
          <w:rtl/>
        </w:rPr>
        <w:t>11</w:t>
      </w:r>
      <w:r w:rsidRPr="00AB589E">
        <w:rPr>
          <w:rtl/>
        </w:rPr>
        <w:t xml:space="preserve"> تشرين الأول/أكتوبر </w:t>
      </w:r>
      <w:r w:rsidRPr="00D858C6">
        <w:rPr>
          <w:rtl/>
        </w:rPr>
        <w:t>2015</w:t>
      </w:r>
      <w:r w:rsidRPr="00AB589E">
        <w:rPr>
          <w:rtl/>
        </w:rPr>
        <w:t>، فرّ من جمهورية إيران الإسلامية دون جواز سفر أو أي وثائق أخرى، متهرّب</w:t>
      </w:r>
      <w:r w:rsidR="00364AD9">
        <w:rPr>
          <w:rtl/>
        </w:rPr>
        <w:t xml:space="preserve">اً </w:t>
      </w:r>
      <w:r w:rsidRPr="00AB589E">
        <w:rPr>
          <w:rtl/>
        </w:rPr>
        <w:t>من الخدمة العسكرية الإلزامية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3"/>
      </w:r>
      <w:r w:rsidR="001B2505" w:rsidRPr="001B2505">
        <w:rPr>
          <w:rStyle w:val="FootnoteReference"/>
          <w:rFonts w:ascii="Traditional Arabic" w:eastAsia="Calibri" w:hAnsi="Traditional Arabic"/>
          <w:sz w:val="30"/>
          <w:rtl/>
        </w:rPr>
        <w:t>)</w:t>
      </w:r>
      <w:r w:rsidR="001B2505" w:rsidRPr="001B2505">
        <w:rPr>
          <w:rtl/>
        </w:rPr>
        <w:t xml:space="preserve">، </w:t>
      </w:r>
      <w:r>
        <w:rPr>
          <w:rtl/>
        </w:rPr>
        <w:t>و</w:t>
      </w:r>
      <w:r w:rsidRPr="00AB589E">
        <w:rPr>
          <w:rtl/>
        </w:rPr>
        <w:t>كان يبلغ</w:t>
      </w:r>
      <w:r>
        <w:rPr>
          <w:rtl/>
        </w:rPr>
        <w:t xml:space="preserve"> من العمر</w:t>
      </w:r>
      <w:r w:rsidRPr="00AB589E">
        <w:rPr>
          <w:rtl/>
        </w:rPr>
        <w:t xml:space="preserve"> آنذاك </w:t>
      </w:r>
      <w:r w:rsidRPr="00D858C6">
        <w:rPr>
          <w:rtl/>
        </w:rPr>
        <w:t>18</w:t>
      </w:r>
      <w:r w:rsidRPr="00AB589E">
        <w:rPr>
          <w:rtl/>
        </w:rPr>
        <w:t xml:space="preserve"> </w:t>
      </w:r>
      <w:r w:rsidR="003B6CFD">
        <w:rPr>
          <w:rtl/>
        </w:rPr>
        <w:t>عاماً</w:t>
      </w:r>
      <w:r w:rsidRPr="00AB589E">
        <w:rPr>
          <w:rtl/>
        </w:rPr>
        <w:t xml:space="preserve">. وبعد مغادرته، تلقّت والدته تهديدات أخرى، وحضر ثلاثة رجال إلى المنزل </w:t>
      </w:r>
      <w:r>
        <w:rPr>
          <w:rtl/>
          <w:lang w:val="fr-CH"/>
        </w:rPr>
        <w:t xml:space="preserve">ومعهم </w:t>
      </w:r>
      <w:r w:rsidRPr="00AB589E">
        <w:rPr>
          <w:rtl/>
        </w:rPr>
        <w:t>مذكرة توقيف.</w:t>
      </w:r>
      <w:r w:rsidR="00364AD9">
        <w:rPr>
          <w:rtl/>
        </w:rPr>
        <w:t xml:space="preserve"> </w:t>
      </w:r>
    </w:p>
    <w:p w14:paraId="5043D2B6" w14:textId="4E4BA6CC" w:rsidR="000066C3" w:rsidRPr="00AB589E" w:rsidRDefault="000066C3" w:rsidP="00A8078A">
      <w:pPr>
        <w:pStyle w:val="SingleTxtGA"/>
        <w:spacing w:line="340" w:lineRule="exact"/>
        <w:rPr>
          <w:rFonts w:eastAsia="Calibri"/>
          <w:lang w:val="en-US" w:eastAsia="zh-TW" w:bidi="en-GB"/>
        </w:rPr>
      </w:pPr>
      <w:r w:rsidRPr="00D858C6">
        <w:rPr>
          <w:rtl/>
        </w:rPr>
        <w:lastRenderedPageBreak/>
        <w:t>2</w:t>
      </w:r>
      <w:r w:rsidRPr="00AB589E">
        <w:rPr>
          <w:rtl/>
        </w:rPr>
        <w:t>-</w:t>
      </w:r>
      <w:r w:rsidRPr="00D858C6">
        <w:rPr>
          <w:rtl/>
        </w:rPr>
        <w:t>7</w:t>
      </w:r>
      <w:r w:rsidRPr="00AB589E">
        <w:rPr>
          <w:rtl/>
        </w:rPr>
        <w:tab/>
        <w:t xml:space="preserve">وفي </w:t>
      </w:r>
      <w:r w:rsidRPr="00D858C6">
        <w:rPr>
          <w:rtl/>
        </w:rPr>
        <w:t>16</w:t>
      </w:r>
      <w:r w:rsidRPr="00AB589E">
        <w:rPr>
          <w:rtl/>
        </w:rPr>
        <w:t xml:space="preserve"> كانون الأول/ديسمبر </w:t>
      </w:r>
      <w:r w:rsidRPr="00D858C6">
        <w:rPr>
          <w:rtl/>
        </w:rPr>
        <w:t>2015</w:t>
      </w:r>
      <w:r w:rsidRPr="00AB589E">
        <w:rPr>
          <w:rtl/>
        </w:rPr>
        <w:t xml:space="preserve">، وصل صاحب البلاغ إلى الدانمرك وطلب اللجوء في اليوم نفسه. واستند </w:t>
      </w:r>
      <w:r>
        <w:rPr>
          <w:rtl/>
        </w:rPr>
        <w:t>طلبه</w:t>
      </w:r>
      <w:r w:rsidRPr="00AB589E">
        <w:rPr>
          <w:rtl/>
        </w:rPr>
        <w:t xml:space="preserve"> إلى كل اعتناقه المسيحية وعلاقته بامرأة متزوجة. وفي </w:t>
      </w:r>
      <w:r w:rsidRPr="00D858C6">
        <w:rPr>
          <w:rtl/>
        </w:rPr>
        <w:t>27</w:t>
      </w:r>
      <w:r w:rsidRPr="00AB589E">
        <w:rPr>
          <w:rtl/>
        </w:rPr>
        <w:t xml:space="preserve"> آذار/مارس </w:t>
      </w:r>
      <w:r w:rsidRPr="00D858C6">
        <w:rPr>
          <w:rtl/>
        </w:rPr>
        <w:t>2017</w:t>
      </w:r>
      <w:r w:rsidRPr="00AB589E">
        <w:rPr>
          <w:rtl/>
        </w:rPr>
        <w:t xml:space="preserve">، رفضت دائرة الهجرة طلب صاحب البلاغ، وخلصت إلى أن روايته للأحداث التي وقعت في جمهورية إيران الإسلامية تفتقر إلى المصداقية، بسبب التصريحات غير المتسقة التي أدلى بها في </w:t>
      </w:r>
      <w:r>
        <w:rPr>
          <w:rtl/>
        </w:rPr>
        <w:t>مراحل</w:t>
      </w:r>
      <w:r w:rsidRPr="00AB589E">
        <w:rPr>
          <w:rtl/>
        </w:rPr>
        <w:t xml:space="preserve"> مختلفة أثناء إجراءات اللجوء فيما يتعلق بتوقيت الأحداث وبعض تفاصيلها. وفي </w:t>
      </w:r>
      <w:r w:rsidRPr="00D858C6">
        <w:rPr>
          <w:rtl/>
        </w:rPr>
        <w:t>27</w:t>
      </w:r>
      <w:r w:rsidRPr="00AB589E">
        <w:rPr>
          <w:rtl/>
        </w:rPr>
        <w:t xml:space="preserve"> آذار/مارس </w:t>
      </w:r>
      <w:r w:rsidRPr="00D858C6">
        <w:rPr>
          <w:rtl/>
        </w:rPr>
        <w:t>2018</w:t>
      </w:r>
      <w:r w:rsidRPr="00AB589E">
        <w:rPr>
          <w:rtl/>
        </w:rPr>
        <w:t>، رفض مجلس طعون اللاجئين طلب الاستئناف المقدم من صاحب البلاغ</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4"/>
      </w:r>
      <w:r w:rsidR="001B2505" w:rsidRPr="001B2505">
        <w:rPr>
          <w:rStyle w:val="FootnoteReference"/>
          <w:rFonts w:ascii="Traditional Arabic" w:eastAsia="Calibri" w:hAnsi="Traditional Arabic"/>
          <w:sz w:val="30"/>
          <w:rtl/>
        </w:rPr>
        <w:t>)</w:t>
      </w:r>
      <w:r w:rsidR="001B2505" w:rsidRPr="001B2505">
        <w:rPr>
          <w:rtl/>
        </w:rPr>
        <w:t xml:space="preserve">. </w:t>
      </w:r>
      <w:r w:rsidRPr="00AB589E">
        <w:rPr>
          <w:rtl/>
        </w:rPr>
        <w:t>ورأى المجلس أنه، نظر</w:t>
      </w:r>
      <w:r w:rsidR="00364AD9">
        <w:rPr>
          <w:rtl/>
        </w:rPr>
        <w:t xml:space="preserve">اً </w:t>
      </w:r>
      <w:r w:rsidRPr="00AB589E">
        <w:rPr>
          <w:rtl/>
        </w:rPr>
        <w:t xml:space="preserve">لإخفاق صاحب البلاغ في </w:t>
      </w:r>
      <w:r>
        <w:rPr>
          <w:rtl/>
        </w:rPr>
        <w:t>أن يثبت</w:t>
      </w:r>
      <w:r w:rsidRPr="00AB589E">
        <w:rPr>
          <w:rtl/>
        </w:rPr>
        <w:t xml:space="preserve">، بشكل موضوعي، اعتناقه المسيحية قبل دخوله الدانمرك، فإنه لا يمكن </w:t>
      </w:r>
      <w:r>
        <w:rPr>
          <w:rtl/>
        </w:rPr>
        <w:t>تصديق رواية تنصيره.</w:t>
      </w:r>
      <w:r w:rsidR="001B2505" w:rsidRPr="001B2505">
        <w:rPr>
          <w:rtl/>
        </w:rPr>
        <w:t>.</w:t>
      </w:r>
      <w:r w:rsidRPr="00AB589E">
        <w:rPr>
          <w:rtl/>
        </w:rPr>
        <w:t xml:space="preserve"> وطعن صاحب البلاغ في القرار، وطلب الإذن باستدعاء شاهد للإدلاء بشهادة شفوية من شأنها أن تدعم صحة اعتناقه المسيحية و</w:t>
      </w:r>
      <w:r>
        <w:rPr>
          <w:rtl/>
        </w:rPr>
        <w:t>تؤكد من ثم</w:t>
      </w:r>
      <w:r w:rsidR="00364AD9">
        <w:rPr>
          <w:rtl/>
        </w:rPr>
        <w:t xml:space="preserve"> </w:t>
      </w:r>
      <w:r w:rsidRPr="00AB589E">
        <w:rPr>
          <w:rtl/>
        </w:rPr>
        <w:t>مصداقيته. ورُفض الطلب دون إبداء أي سبب.</w:t>
      </w:r>
    </w:p>
    <w:p w14:paraId="54F77B0A" w14:textId="5456BF66" w:rsidR="000066C3" w:rsidRPr="00AB589E" w:rsidRDefault="000066C3" w:rsidP="00A8078A">
      <w:pPr>
        <w:pStyle w:val="SingleTxtGA"/>
        <w:spacing w:line="340" w:lineRule="exact"/>
        <w:rPr>
          <w:rFonts w:eastAsia="Calibri"/>
          <w:lang w:val="ar-SA" w:eastAsia="zh-TW" w:bidi="en-GB"/>
        </w:rPr>
      </w:pPr>
      <w:r w:rsidRPr="00D858C6">
        <w:rPr>
          <w:rtl/>
        </w:rPr>
        <w:t>2</w:t>
      </w:r>
      <w:r w:rsidRPr="00AB589E">
        <w:rPr>
          <w:rtl/>
        </w:rPr>
        <w:t>-</w:t>
      </w:r>
      <w:r w:rsidRPr="00D858C6">
        <w:rPr>
          <w:rtl/>
        </w:rPr>
        <w:t>8</w:t>
      </w:r>
      <w:r w:rsidRPr="00AB589E">
        <w:rPr>
          <w:rtl/>
        </w:rPr>
        <w:tab/>
        <w:t>و</w:t>
      </w:r>
      <w:r>
        <w:rPr>
          <w:rtl/>
        </w:rPr>
        <w:t xml:space="preserve">كان </w:t>
      </w:r>
      <w:r w:rsidRPr="00AB589E">
        <w:rPr>
          <w:rtl/>
        </w:rPr>
        <w:t>صاحب البلاغ</w:t>
      </w:r>
      <w:r>
        <w:rPr>
          <w:rtl/>
        </w:rPr>
        <w:t>،</w:t>
      </w:r>
      <w:r w:rsidRPr="006173EC">
        <w:rPr>
          <w:rtl/>
        </w:rPr>
        <w:t xml:space="preserve"> </w:t>
      </w:r>
      <w:r w:rsidRPr="00AB589E">
        <w:rPr>
          <w:rtl/>
        </w:rPr>
        <w:t>وأثناء وجوده في الدانمرك</w:t>
      </w:r>
      <w:r>
        <w:rPr>
          <w:rtl/>
        </w:rPr>
        <w:t>، يشارك</w:t>
      </w:r>
      <w:r w:rsidRPr="00AB589E">
        <w:rPr>
          <w:rtl/>
        </w:rPr>
        <w:t xml:space="preserve"> باستمرار في الشعائر الكنسية والتعليم </w:t>
      </w:r>
      <w:r w:rsidRPr="00E11EA3">
        <w:rPr>
          <w:spacing w:val="-6"/>
          <w:rtl/>
        </w:rPr>
        <w:t xml:space="preserve">الديني. وكان يشجع طالبي اللجوء الإيرانيين الآخرين على حضور الشعائر القداس. وفي </w:t>
      </w:r>
      <w:r w:rsidRPr="00D858C6">
        <w:rPr>
          <w:spacing w:val="-6"/>
          <w:rtl/>
        </w:rPr>
        <w:t>28</w:t>
      </w:r>
      <w:r w:rsidRPr="00E11EA3">
        <w:rPr>
          <w:spacing w:val="-6"/>
          <w:rtl/>
        </w:rPr>
        <w:t xml:space="preserve"> شباط/فبراير </w:t>
      </w:r>
      <w:r w:rsidRPr="00D858C6">
        <w:rPr>
          <w:spacing w:val="-6"/>
          <w:rtl/>
        </w:rPr>
        <w:t>2016</w:t>
      </w:r>
      <w:r w:rsidRPr="00AB589E">
        <w:rPr>
          <w:rtl/>
        </w:rPr>
        <w:t>، ت</w:t>
      </w:r>
      <w:r>
        <w:rPr>
          <w:rtl/>
        </w:rPr>
        <w:t>لقى</w:t>
      </w:r>
      <w:r w:rsidRPr="00AB589E">
        <w:rPr>
          <w:rtl/>
        </w:rPr>
        <w:t xml:space="preserve"> </w:t>
      </w:r>
      <w:r>
        <w:rPr>
          <w:rtl/>
        </w:rPr>
        <w:t>ال</w:t>
      </w:r>
      <w:r w:rsidRPr="00AB589E">
        <w:rPr>
          <w:rtl/>
        </w:rPr>
        <w:t>تعميد</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5"/>
      </w:r>
      <w:r w:rsidR="001B2505" w:rsidRPr="001B2505">
        <w:rPr>
          <w:rStyle w:val="FootnoteReference"/>
          <w:rFonts w:ascii="Traditional Arabic" w:eastAsia="Calibri" w:hAnsi="Traditional Arabic"/>
          <w:sz w:val="30"/>
          <w:rtl/>
        </w:rPr>
        <w:t>)</w:t>
      </w:r>
      <w:r w:rsidR="001B2505" w:rsidRPr="001B2505">
        <w:rPr>
          <w:rtl/>
        </w:rPr>
        <w:t xml:space="preserve">. </w:t>
      </w:r>
      <w:r w:rsidRPr="00AB589E">
        <w:rPr>
          <w:rtl/>
        </w:rPr>
        <w:t>و</w:t>
      </w:r>
      <w:r>
        <w:rPr>
          <w:rtl/>
        </w:rPr>
        <w:t>قد وشم</w:t>
      </w:r>
      <w:r w:rsidRPr="00AB589E">
        <w:rPr>
          <w:rtl/>
        </w:rPr>
        <w:t xml:space="preserve"> على جسد</w:t>
      </w:r>
      <w:r>
        <w:rPr>
          <w:rtl/>
        </w:rPr>
        <w:t>ه صورة</w:t>
      </w:r>
      <w:r w:rsidRPr="00AB589E">
        <w:rPr>
          <w:rtl/>
        </w:rPr>
        <w:t xml:space="preserve"> ملاك وصليب ومقتطف</w:t>
      </w:r>
      <w:r w:rsidR="00364AD9">
        <w:rPr>
          <w:rtl/>
        </w:rPr>
        <w:t xml:space="preserve">اً </w:t>
      </w:r>
      <w:r w:rsidRPr="00AB589E">
        <w:rPr>
          <w:rtl/>
        </w:rPr>
        <w:t xml:space="preserve">من الكتاب المقدس، باللغة الفارسية. كما نشر رسائل مسيحية </w:t>
      </w:r>
      <w:r>
        <w:rPr>
          <w:rtl/>
        </w:rPr>
        <w:t>في</w:t>
      </w:r>
      <w:r w:rsidRPr="00AB589E">
        <w:rPr>
          <w:rtl/>
        </w:rPr>
        <w:t xml:space="preserve"> صفحته على </w:t>
      </w:r>
      <w:r>
        <w:rPr>
          <w:rtl/>
        </w:rPr>
        <w:t xml:space="preserve">موقع </w:t>
      </w:r>
      <w:r w:rsidRPr="00AB589E">
        <w:rPr>
          <w:rtl/>
        </w:rPr>
        <w:t>فيسبوك، و</w:t>
      </w:r>
      <w:r>
        <w:rPr>
          <w:rtl/>
        </w:rPr>
        <w:t>قد</w:t>
      </w:r>
      <w:r w:rsidRPr="00AB589E">
        <w:rPr>
          <w:rtl/>
        </w:rPr>
        <w:t xml:space="preserve"> اط</w:t>
      </w:r>
      <w:r>
        <w:rPr>
          <w:rtl/>
        </w:rPr>
        <w:t>ُّ</w:t>
      </w:r>
      <w:r w:rsidRPr="00AB589E">
        <w:rPr>
          <w:rtl/>
        </w:rPr>
        <w:t>لع عليها واست</w:t>
      </w:r>
      <w:r>
        <w:rPr>
          <w:rtl/>
        </w:rPr>
        <w:t>ُ</w:t>
      </w:r>
      <w:r w:rsidRPr="00AB589E">
        <w:rPr>
          <w:rtl/>
        </w:rPr>
        <w:t>عرضت،</w:t>
      </w:r>
      <w:r w:rsidR="00364AD9">
        <w:rPr>
          <w:rFonts w:hint="cs"/>
          <w:rtl/>
        </w:rPr>
        <w:t xml:space="preserve"> </w:t>
      </w:r>
      <w:r w:rsidRPr="00AB589E">
        <w:rPr>
          <w:rtl/>
        </w:rPr>
        <w:t xml:space="preserve">خلال مقابلته الموضوعية </w:t>
      </w:r>
      <w:r>
        <w:rPr>
          <w:rtl/>
        </w:rPr>
        <w:t>في إطار إجراء</w:t>
      </w:r>
      <w:r w:rsidRPr="00AB589E">
        <w:rPr>
          <w:rtl/>
        </w:rPr>
        <w:t xml:space="preserve"> اللجو</w:t>
      </w:r>
      <w:r w:rsidRPr="00AB589E">
        <w:rPr>
          <w:rFonts w:hint="eastAsia"/>
          <w:rtl/>
        </w:rPr>
        <w:t>ء</w:t>
      </w:r>
      <w:r w:rsidRPr="00AB589E">
        <w:rPr>
          <w:rtl/>
        </w:rPr>
        <w:t xml:space="preserve"> كما هو مذكور في </w:t>
      </w:r>
      <w:r>
        <w:rPr>
          <w:rtl/>
        </w:rPr>
        <w:t>محضر</w:t>
      </w:r>
      <w:r w:rsidRPr="00AB589E">
        <w:rPr>
          <w:rtl/>
        </w:rPr>
        <w:t xml:space="preserve"> المقابلة. غير أنه لم تطرح عليه أي أسئلة أخرى بشأن أي من هذه المسائل.</w:t>
      </w:r>
    </w:p>
    <w:p w14:paraId="35381031" w14:textId="27829106" w:rsidR="000066C3" w:rsidRPr="00AB589E" w:rsidRDefault="000066C3" w:rsidP="00A8078A">
      <w:pPr>
        <w:pStyle w:val="SingleTxtGA"/>
        <w:spacing w:line="340" w:lineRule="exact"/>
        <w:rPr>
          <w:rFonts w:eastAsia="Calibri"/>
          <w:lang w:val="ar-SA" w:eastAsia="zh-TW" w:bidi="en-GB"/>
        </w:rPr>
      </w:pPr>
      <w:r w:rsidRPr="00D858C6">
        <w:rPr>
          <w:rtl/>
        </w:rPr>
        <w:t>2</w:t>
      </w:r>
      <w:r w:rsidRPr="00AB589E">
        <w:rPr>
          <w:rtl/>
        </w:rPr>
        <w:t>-</w:t>
      </w:r>
      <w:r w:rsidRPr="00D858C6">
        <w:rPr>
          <w:rtl/>
        </w:rPr>
        <w:t>9</w:t>
      </w:r>
      <w:r w:rsidRPr="00AB589E">
        <w:rPr>
          <w:rtl/>
        </w:rPr>
        <w:tab/>
        <w:t>وشارك صاحب البلاغ أيض</w:t>
      </w:r>
      <w:r w:rsidR="00364AD9">
        <w:rPr>
          <w:rtl/>
        </w:rPr>
        <w:t xml:space="preserve">اً </w:t>
      </w:r>
      <w:r w:rsidRPr="00AB589E">
        <w:rPr>
          <w:rtl/>
        </w:rPr>
        <w:t>في مظاهرة ضد النظام الإيراني، في الدانمرك، حيث التقطت له صور. وأبلغ الم</w:t>
      </w:r>
      <w:r>
        <w:rPr>
          <w:rtl/>
          <w:lang w:val="fr-CH"/>
        </w:rPr>
        <w:t xml:space="preserve">وظف الذي استجوبه في إطار إجراء </w:t>
      </w:r>
      <w:r w:rsidRPr="00AB589E">
        <w:rPr>
          <w:rtl/>
        </w:rPr>
        <w:t>اللجوء بذلك. ومرة أخرى، لم تطرح عليه أسئلة أخرى في هذا الاتجاه.</w:t>
      </w:r>
    </w:p>
    <w:p w14:paraId="42D1EE4F" w14:textId="77777777" w:rsidR="000066C3" w:rsidRPr="00D858C6" w:rsidRDefault="000066C3" w:rsidP="00A8078A">
      <w:pPr>
        <w:pStyle w:val="H23GA"/>
        <w:spacing w:line="340" w:lineRule="exact"/>
        <w:rPr>
          <w:rFonts w:eastAsia="Calibri"/>
          <w:lang w:val="ar-SA" w:eastAsia="zh-TW" w:bidi="en-GB"/>
        </w:rPr>
      </w:pPr>
      <w:r w:rsidRPr="00D858C6">
        <w:rPr>
          <w:rtl/>
        </w:rPr>
        <w:tab/>
      </w:r>
      <w:r w:rsidRPr="00D858C6">
        <w:rPr>
          <w:rtl/>
        </w:rPr>
        <w:tab/>
        <w:t xml:space="preserve">الشكوى </w:t>
      </w:r>
    </w:p>
    <w:p w14:paraId="0AB0239F" w14:textId="2DFAD094" w:rsidR="000066C3" w:rsidRPr="00AB589E" w:rsidRDefault="000066C3" w:rsidP="00A8078A">
      <w:pPr>
        <w:pStyle w:val="SingleTxtGA"/>
        <w:spacing w:line="340" w:lineRule="exact"/>
        <w:rPr>
          <w:rFonts w:eastAsia="Calibri"/>
          <w:lang w:val="ar-SA" w:eastAsia="zh-TW" w:bidi="en-GB"/>
        </w:rPr>
      </w:pPr>
      <w:r w:rsidRPr="00D858C6">
        <w:rPr>
          <w:rtl/>
        </w:rPr>
        <w:t>3</w:t>
      </w:r>
      <w:r w:rsidRPr="00AB589E">
        <w:rPr>
          <w:rtl/>
        </w:rPr>
        <w:t>-</w:t>
      </w:r>
      <w:r w:rsidRPr="00D858C6">
        <w:rPr>
          <w:rtl/>
        </w:rPr>
        <w:t>1</w:t>
      </w:r>
      <w:r w:rsidRPr="00AB589E">
        <w:rPr>
          <w:rtl/>
        </w:rPr>
        <w:tab/>
        <w:t xml:space="preserve">يدّعي صاحب البلاغ أن ترحيله إلى جمهورية إيران الإسلامية </w:t>
      </w:r>
      <w:r>
        <w:rPr>
          <w:rtl/>
        </w:rPr>
        <w:t>س</w:t>
      </w:r>
      <w:r w:rsidRPr="00AB589E">
        <w:rPr>
          <w:rtl/>
        </w:rPr>
        <w:t xml:space="preserve">ينتهك حقوقه المكفولة بموجب المادتين </w:t>
      </w:r>
      <w:r w:rsidRPr="00D858C6">
        <w:rPr>
          <w:rtl/>
        </w:rPr>
        <w:t>6</w:t>
      </w:r>
      <w:r w:rsidRPr="00AB589E">
        <w:rPr>
          <w:rtl/>
        </w:rPr>
        <w:t xml:space="preserve"> و</w:t>
      </w:r>
      <w:r w:rsidRPr="00D858C6">
        <w:rPr>
          <w:rtl/>
        </w:rPr>
        <w:t>7</w:t>
      </w:r>
      <w:r w:rsidRPr="00AB589E">
        <w:rPr>
          <w:rtl/>
        </w:rPr>
        <w:t xml:space="preserve"> من العهد. وب</w:t>
      </w:r>
      <w:r>
        <w:rPr>
          <w:rtl/>
        </w:rPr>
        <w:t>خصوص</w:t>
      </w:r>
      <w:r w:rsidRPr="00AB589E">
        <w:rPr>
          <w:rtl/>
        </w:rPr>
        <w:t xml:space="preserve"> المادة </w:t>
      </w:r>
      <w:r w:rsidRPr="00D858C6">
        <w:rPr>
          <w:rtl/>
        </w:rPr>
        <w:t>6</w:t>
      </w:r>
      <w:r w:rsidRPr="00AB589E">
        <w:rPr>
          <w:rtl/>
        </w:rPr>
        <w:t xml:space="preserve">، يخشى صاحب البلاغ أن تتعرض حياته للخطر لأن حدّ </w:t>
      </w:r>
      <w:r w:rsidRPr="00A8078A">
        <w:rPr>
          <w:spacing w:val="-4"/>
          <w:rtl/>
        </w:rPr>
        <w:t>الردة والزنا</w:t>
      </w:r>
      <w:r w:rsidRPr="00A8078A">
        <w:rPr>
          <w:spacing w:val="-4"/>
          <w:rtl/>
          <w:lang w:val="fr-CH"/>
        </w:rPr>
        <w:t xml:space="preserve"> كليهما</w:t>
      </w:r>
      <w:r w:rsidRPr="00A8078A">
        <w:rPr>
          <w:spacing w:val="-4"/>
          <w:rtl/>
        </w:rPr>
        <w:t xml:space="preserve"> هو الإعدام بموجب قانون الشريعة. ويخشى أن يتعرض للقتل على يد زوج س. أو مأموريه</w:t>
      </w:r>
      <w:r w:rsidRPr="00AB589E">
        <w:rPr>
          <w:rtl/>
        </w:rPr>
        <w:t xml:space="preserve">. </w:t>
      </w:r>
      <w:r>
        <w:rPr>
          <w:rtl/>
        </w:rPr>
        <w:t xml:space="preserve">أما بخصوص المادة </w:t>
      </w:r>
      <w:r w:rsidRPr="00D858C6">
        <w:rPr>
          <w:rtl/>
        </w:rPr>
        <w:t>7</w:t>
      </w:r>
      <w:r>
        <w:rPr>
          <w:rtl/>
        </w:rPr>
        <w:t>،</w:t>
      </w:r>
      <w:r w:rsidR="00364AD9">
        <w:rPr>
          <w:rtl/>
        </w:rPr>
        <w:t xml:space="preserve"> </w:t>
      </w:r>
      <w:r>
        <w:rPr>
          <w:rtl/>
        </w:rPr>
        <w:t xml:space="preserve">فهو </w:t>
      </w:r>
      <w:r w:rsidRPr="00AB589E">
        <w:rPr>
          <w:rtl/>
        </w:rPr>
        <w:t xml:space="preserve">يخشى أن يتعرض </w:t>
      </w:r>
      <w:proofErr w:type="gramStart"/>
      <w:r w:rsidRPr="00AB589E">
        <w:rPr>
          <w:rtl/>
        </w:rPr>
        <w:t>للتعذيب</w:t>
      </w:r>
      <w:proofErr w:type="gramEnd"/>
      <w:r w:rsidRPr="00AB589E">
        <w:rPr>
          <w:rtl/>
        </w:rPr>
        <w:t xml:space="preserve"> أو المعاملة أو العقوبة القاسية أو اللاإنسانية أو</w:t>
      </w:r>
      <w:r w:rsidR="00A8078A">
        <w:rPr>
          <w:rFonts w:hint="cs"/>
          <w:rtl/>
        </w:rPr>
        <w:t> </w:t>
      </w:r>
      <w:r w:rsidRPr="00AB589E">
        <w:rPr>
          <w:rtl/>
        </w:rPr>
        <w:t>المهينة بصفته محتجزا</w:t>
      </w:r>
      <w:r w:rsidR="00997F74">
        <w:rPr>
          <w:rFonts w:hint="cs"/>
          <w:rtl/>
        </w:rPr>
        <w:t>ً</w:t>
      </w:r>
      <w:r w:rsidRPr="00AB589E">
        <w:rPr>
          <w:rtl/>
        </w:rPr>
        <w:t xml:space="preserve">، </w:t>
      </w:r>
      <w:r>
        <w:rPr>
          <w:rtl/>
        </w:rPr>
        <w:t xml:space="preserve">إذ سيخضع </w:t>
      </w:r>
      <w:r w:rsidRPr="00AB589E">
        <w:rPr>
          <w:rtl/>
        </w:rPr>
        <w:t>للاستجواب فور وصوله إلى جمهورية إيران الإسلامية بسبب مغادرته</w:t>
      </w:r>
      <w:r>
        <w:rPr>
          <w:rtl/>
        </w:rPr>
        <w:t xml:space="preserve"> البلد</w:t>
      </w:r>
      <w:r w:rsidRPr="00AB589E">
        <w:rPr>
          <w:rtl/>
        </w:rPr>
        <w:t xml:space="preserve"> بصورة غير قانونية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6"/>
      </w:r>
      <w:r w:rsidR="001B2505" w:rsidRPr="001B2505">
        <w:rPr>
          <w:rStyle w:val="FootnoteReference"/>
          <w:rFonts w:ascii="Traditional Arabic" w:eastAsia="Calibri" w:hAnsi="Traditional Arabic"/>
          <w:sz w:val="30"/>
          <w:rtl/>
        </w:rPr>
        <w:t>)</w:t>
      </w:r>
      <w:r w:rsidR="001B2505" w:rsidRPr="001B2505">
        <w:rPr>
          <w:rtl/>
        </w:rPr>
        <w:t xml:space="preserve">، </w:t>
      </w:r>
      <w:r w:rsidRPr="00AB589E">
        <w:rPr>
          <w:rtl/>
        </w:rPr>
        <w:t>دون أي إذن أو تأشيرة أو وثائق هوية، وسيواجه تهما</w:t>
      </w:r>
      <w:r w:rsidR="00364AD9">
        <w:rPr>
          <w:rFonts w:hint="cs"/>
          <w:rtl/>
        </w:rPr>
        <w:t>ً</w:t>
      </w:r>
      <w:r w:rsidRPr="00AB589E">
        <w:rPr>
          <w:rtl/>
        </w:rPr>
        <w:t xml:space="preserve"> بالتهرب من </w:t>
      </w:r>
      <w:r w:rsidRPr="00A8078A">
        <w:rPr>
          <w:spacing w:val="-4"/>
          <w:rtl/>
        </w:rPr>
        <w:t>الخدمة العسكرية</w:t>
      </w:r>
      <w:r w:rsidR="001B2505" w:rsidRPr="00A8078A">
        <w:rPr>
          <w:rStyle w:val="FootnoteReference"/>
          <w:rFonts w:ascii="Traditional Arabic" w:eastAsia="Calibri" w:hAnsi="Traditional Arabic"/>
          <w:spacing w:val="-4"/>
          <w:sz w:val="30"/>
          <w:rtl/>
        </w:rPr>
        <w:t>(</w:t>
      </w:r>
      <w:r w:rsidR="001B2505" w:rsidRPr="00D858C6">
        <w:rPr>
          <w:rStyle w:val="FootnoteReference"/>
          <w:rFonts w:ascii="Traditional Arabic" w:eastAsia="Calibri" w:hAnsi="Traditional Arabic"/>
          <w:spacing w:val="-4"/>
          <w:sz w:val="30"/>
          <w:lang w:val="en-US"/>
        </w:rPr>
        <w:footnoteReference w:id="7"/>
      </w:r>
      <w:r w:rsidR="00DF12DF" w:rsidRPr="00A8078A">
        <w:rPr>
          <w:rStyle w:val="FootnoteReference"/>
          <w:rFonts w:ascii="Traditional Arabic" w:eastAsia="Calibri" w:hAnsi="Traditional Arabic"/>
          <w:spacing w:val="-4"/>
          <w:sz w:val="30"/>
          <w:rtl/>
        </w:rPr>
        <w:t>)</w:t>
      </w:r>
      <w:r w:rsidR="00A8078A">
        <w:rPr>
          <w:rFonts w:hint="cs"/>
          <w:spacing w:val="-4"/>
          <w:rtl/>
        </w:rPr>
        <w:t>.</w:t>
      </w:r>
      <w:r w:rsidRPr="00A8078A">
        <w:rPr>
          <w:spacing w:val="-4"/>
          <w:rtl/>
        </w:rPr>
        <w:t xml:space="preserve"> ويدعي أنه بمجرد احتجازه، سيخضع لتفتيش جسدي روتيني سيظهر خلاله وشمه بوضوح.</w:t>
      </w:r>
      <w:r w:rsidRPr="00AB589E">
        <w:rPr>
          <w:rtl/>
        </w:rPr>
        <w:t xml:space="preserve"> </w:t>
      </w:r>
      <w:r w:rsidRPr="00AB589E">
        <w:rPr>
          <w:rtl/>
        </w:rPr>
        <w:lastRenderedPageBreak/>
        <w:t xml:space="preserve">وسيثير </w:t>
      </w:r>
      <w:r>
        <w:rPr>
          <w:rtl/>
        </w:rPr>
        <w:t>ذلك</w:t>
      </w:r>
      <w:r w:rsidRPr="00AB589E">
        <w:rPr>
          <w:rtl/>
        </w:rPr>
        <w:t xml:space="preserve"> على الفور مسألة اعتناقه المسيحية وسيخضع للاستجواب وسيواجه الاضطهاد بتهمة الردة. و</w:t>
      </w:r>
      <w:r>
        <w:rPr>
          <w:rtl/>
        </w:rPr>
        <w:t xml:space="preserve">هو </w:t>
      </w:r>
      <w:r w:rsidRPr="00AB589E">
        <w:rPr>
          <w:rtl/>
        </w:rPr>
        <w:t>يخشى</w:t>
      </w:r>
      <w:r w:rsidR="00B67C1B">
        <w:rPr>
          <w:rFonts w:hint="cs"/>
          <w:rtl/>
        </w:rPr>
        <w:t xml:space="preserve"> </w:t>
      </w:r>
      <w:r>
        <w:rPr>
          <w:rtl/>
        </w:rPr>
        <w:t>توقيفه</w:t>
      </w:r>
      <w:r w:rsidRPr="00AB589E">
        <w:rPr>
          <w:rtl/>
        </w:rPr>
        <w:t xml:space="preserve"> واتهامه بالردة ومحاكمته في حال عدم رجوعه إلى الملّة. ويخشى كذلك</w:t>
      </w:r>
      <w:r>
        <w:rPr>
          <w:rtl/>
        </w:rPr>
        <w:t xml:space="preserve"> أن</w:t>
      </w:r>
      <w:r w:rsidR="00364AD9">
        <w:rPr>
          <w:rtl/>
        </w:rPr>
        <w:t xml:space="preserve"> </w:t>
      </w:r>
      <w:r>
        <w:rPr>
          <w:rtl/>
        </w:rPr>
        <w:t>يكشف الاستجواب</w:t>
      </w:r>
      <w:r w:rsidRPr="00AB589E">
        <w:rPr>
          <w:rtl/>
        </w:rPr>
        <w:t xml:space="preserve"> هويته فيما يتصل باحتجاز والدته وعلاقته بالمدعوة س</w:t>
      </w:r>
      <w:r>
        <w:rPr>
          <w:rtl/>
        </w:rPr>
        <w:t>.</w:t>
      </w:r>
      <w:r w:rsidRPr="00AB589E">
        <w:rPr>
          <w:rtl/>
        </w:rPr>
        <w:t xml:space="preserve"> نظر</w:t>
      </w:r>
      <w:r w:rsidR="00364AD9">
        <w:rPr>
          <w:rtl/>
        </w:rPr>
        <w:t xml:space="preserve">اً </w:t>
      </w:r>
      <w:r w:rsidRPr="00AB589E">
        <w:rPr>
          <w:rtl/>
        </w:rPr>
        <w:t>ل</w:t>
      </w:r>
      <w:r>
        <w:rPr>
          <w:rtl/>
        </w:rPr>
        <w:t>ارتباط</w:t>
      </w:r>
      <w:r w:rsidRPr="00AB589E">
        <w:rPr>
          <w:rtl/>
        </w:rPr>
        <w:t xml:space="preserve"> زوجها </w:t>
      </w:r>
      <w:r>
        <w:rPr>
          <w:rtl/>
        </w:rPr>
        <w:t>ب</w:t>
      </w:r>
      <w:r w:rsidRPr="00AB589E">
        <w:rPr>
          <w:rtl/>
        </w:rPr>
        <w:t xml:space="preserve">الحكومة، </w:t>
      </w:r>
      <w:r>
        <w:rPr>
          <w:rtl/>
        </w:rPr>
        <w:t xml:space="preserve">وهو </w:t>
      </w:r>
      <w:r w:rsidRPr="00AB589E">
        <w:rPr>
          <w:rtl/>
        </w:rPr>
        <w:t>ما يعرضه لخطر اتهامه بالزنا والتبشير فيما يتعلق بالمدعوة "س". كما يخشى كذلك الاضطهاد والملاحقة القضائية بصفته معارضا</w:t>
      </w:r>
      <w:r w:rsidR="00364AD9">
        <w:rPr>
          <w:rFonts w:hint="cs"/>
          <w:rtl/>
        </w:rPr>
        <w:t>ً</w:t>
      </w:r>
      <w:r w:rsidRPr="00AB589E">
        <w:rPr>
          <w:rtl/>
        </w:rPr>
        <w:t xml:space="preserve"> للنظام بسبب وجوده في مظاهرة سياسي</w:t>
      </w:r>
      <w:r>
        <w:rPr>
          <w:rtl/>
        </w:rPr>
        <w:t>ة</w:t>
      </w:r>
      <w:r w:rsidRPr="00AB589E">
        <w:rPr>
          <w:rtl/>
        </w:rPr>
        <w:t xml:space="preserve"> ضد النظام الإيراني في الدنمارك، و</w:t>
      </w:r>
      <w:r>
        <w:rPr>
          <w:rtl/>
        </w:rPr>
        <w:t>هي مظاهرة</w:t>
      </w:r>
      <w:r w:rsidRPr="00AB589E">
        <w:rPr>
          <w:rtl/>
        </w:rPr>
        <w:t xml:space="preserve"> ي</w:t>
      </w:r>
      <w:r>
        <w:rPr>
          <w:rtl/>
        </w:rPr>
        <w:t>علم</w:t>
      </w:r>
      <w:r w:rsidRPr="00AB589E">
        <w:rPr>
          <w:rtl/>
        </w:rPr>
        <w:t xml:space="preserve"> أنها كانت مراقبة عن كثب من لدن جهاز الأمن الإيراني. ويؤكد صاحب البلاغ أيض</w:t>
      </w:r>
      <w:r w:rsidR="00364AD9">
        <w:rPr>
          <w:rtl/>
        </w:rPr>
        <w:t xml:space="preserve">اً </w:t>
      </w:r>
      <w:r w:rsidRPr="00AB589E">
        <w:rPr>
          <w:rtl/>
        </w:rPr>
        <w:t xml:space="preserve">أنه سيجبر على أداء الخدمة العسكرية، وهو ما يتعارض مع معتقداته، وأنه سيجبر على أي حال على التكتم على عقيدته أو إنكارها، بما يتعارض مع حقوقه بموجب المادة </w:t>
      </w:r>
      <w:r w:rsidRPr="00D858C6">
        <w:rPr>
          <w:rtl/>
        </w:rPr>
        <w:t>18</w:t>
      </w:r>
      <w:r w:rsidRPr="00AB589E">
        <w:rPr>
          <w:rtl/>
        </w:rPr>
        <w:t xml:space="preserve"> من العهد. ويدعي صاحب البلاغ أنه يخشى أيض</w:t>
      </w:r>
      <w:r w:rsidR="00364AD9">
        <w:rPr>
          <w:rtl/>
        </w:rPr>
        <w:t xml:space="preserve">اً </w:t>
      </w:r>
      <w:r w:rsidRPr="00AB589E">
        <w:rPr>
          <w:rtl/>
        </w:rPr>
        <w:t>أن يقتله زوج س</w:t>
      </w:r>
      <w:r>
        <w:rPr>
          <w:rtl/>
        </w:rPr>
        <w:t>.</w:t>
      </w:r>
      <w:r w:rsidRPr="00AB589E">
        <w:rPr>
          <w:rtl/>
        </w:rPr>
        <w:t xml:space="preserve"> خارج نطاق القضاء بناءً على التهديدات المتكررة.</w:t>
      </w:r>
    </w:p>
    <w:p w14:paraId="225332DA" w14:textId="77777777" w:rsidR="000066C3" w:rsidRPr="00AB589E" w:rsidRDefault="000066C3" w:rsidP="0001217F">
      <w:pPr>
        <w:pStyle w:val="SingleTxtGA"/>
        <w:rPr>
          <w:rFonts w:eastAsia="Calibri"/>
          <w:rtl/>
          <w:lang w:val="en-US" w:eastAsia="zh-TW"/>
        </w:rPr>
      </w:pPr>
      <w:r w:rsidRPr="00D858C6">
        <w:rPr>
          <w:rtl/>
        </w:rPr>
        <w:t>3</w:t>
      </w:r>
      <w:r w:rsidRPr="00AB589E">
        <w:rPr>
          <w:rtl/>
        </w:rPr>
        <w:t>-</w:t>
      </w:r>
      <w:r w:rsidRPr="00D858C6">
        <w:rPr>
          <w:rtl/>
        </w:rPr>
        <w:t>2</w:t>
      </w:r>
      <w:r w:rsidRPr="00AB589E">
        <w:rPr>
          <w:rtl/>
        </w:rPr>
        <w:tab/>
        <w:t>ويدعي صاحب البلاغ أن الدولة الطرف لم تف بالتزاماتها الإجرائية بإ</w:t>
      </w:r>
      <w:r>
        <w:rPr>
          <w:rtl/>
        </w:rPr>
        <w:t>نجاز</w:t>
      </w:r>
      <w:r w:rsidRPr="00AB589E">
        <w:rPr>
          <w:rtl/>
        </w:rPr>
        <w:t xml:space="preserve"> تقييم شامل للمخاطر التي </w:t>
      </w:r>
      <w:proofErr w:type="spellStart"/>
      <w:r w:rsidRPr="00AB589E">
        <w:rPr>
          <w:rtl/>
        </w:rPr>
        <w:t>سيواجهها</w:t>
      </w:r>
      <w:proofErr w:type="spellEnd"/>
      <w:r w:rsidRPr="00AB589E">
        <w:rPr>
          <w:rtl/>
        </w:rPr>
        <w:t xml:space="preserve"> عند عودته، مع مراعاة العناصر الفردية الموضحة أعلاه أو أثرها التراكمي على بياناته بشأن المخاطر. ويدعي أن الدعوى القضائية تشوبها </w:t>
      </w:r>
      <w:r>
        <w:rPr>
          <w:rtl/>
        </w:rPr>
        <w:t>من ثم</w:t>
      </w:r>
      <w:r w:rsidRPr="00AB589E">
        <w:rPr>
          <w:rtl/>
        </w:rPr>
        <w:t xml:space="preserve"> اختلالات إجرائية تصل إلى حد إنكار العدالة. </w:t>
      </w:r>
    </w:p>
    <w:p w14:paraId="6CD28F7D" w14:textId="77777777" w:rsidR="000066C3" w:rsidRPr="00D858C6" w:rsidRDefault="000066C3" w:rsidP="0001217F">
      <w:pPr>
        <w:pStyle w:val="H23GA"/>
        <w:rPr>
          <w:rFonts w:eastAsia="Calibri"/>
          <w:lang w:val="ar-SA" w:eastAsia="zh-TW" w:bidi="en-GB"/>
        </w:rPr>
      </w:pPr>
      <w:r w:rsidRPr="00D858C6">
        <w:rPr>
          <w:rtl/>
        </w:rPr>
        <w:tab/>
      </w:r>
      <w:r w:rsidRPr="00D858C6">
        <w:rPr>
          <w:rtl/>
        </w:rPr>
        <w:tab/>
        <w:t>ملاحظات الدولة الطرف بشأن مقبولية البلاغ وأسسه الموضوعية</w:t>
      </w:r>
    </w:p>
    <w:p w14:paraId="64D79463" w14:textId="15DAF40E"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1</w:t>
      </w:r>
      <w:r w:rsidRPr="00AB589E">
        <w:rPr>
          <w:rtl/>
        </w:rPr>
        <w:tab/>
        <w:t xml:space="preserve">في </w:t>
      </w:r>
      <w:r w:rsidRPr="00D858C6">
        <w:rPr>
          <w:rtl/>
        </w:rPr>
        <w:t>26</w:t>
      </w:r>
      <w:r w:rsidRPr="00AB589E">
        <w:rPr>
          <w:rtl/>
        </w:rPr>
        <w:t xml:space="preserve"> تشرين الثاني/نوفمبر </w:t>
      </w:r>
      <w:r w:rsidRPr="00D858C6">
        <w:rPr>
          <w:rtl/>
        </w:rPr>
        <w:t>2018</w:t>
      </w:r>
      <w:r w:rsidRPr="00AB589E">
        <w:rPr>
          <w:rtl/>
        </w:rPr>
        <w:t>، قدمت الدولة الطرف ملاحظاتها بشأن مقبولية بلاغ صاحب البلاغ وأسسه الموضوعية، إلى جانب طلب رفع التدابير المؤقتة، وهو طلب</w:t>
      </w:r>
      <w:r>
        <w:rPr>
          <w:rtl/>
        </w:rPr>
        <w:t xml:space="preserve"> قوبل بالرفض</w:t>
      </w:r>
      <w:r w:rsidRPr="00AB589E">
        <w:rPr>
          <w:rtl/>
        </w:rPr>
        <w:t>. وفي</w:t>
      </w:r>
      <w:r w:rsidR="00E11EA3">
        <w:rPr>
          <w:rFonts w:hint="cs"/>
          <w:rtl/>
        </w:rPr>
        <w:t> </w:t>
      </w:r>
      <w:r w:rsidRPr="00D858C6">
        <w:rPr>
          <w:rtl/>
        </w:rPr>
        <w:t>11</w:t>
      </w:r>
      <w:r w:rsidRPr="00AB589E">
        <w:rPr>
          <w:rtl/>
        </w:rPr>
        <w:t xml:space="preserve"> آذار/مارس </w:t>
      </w:r>
      <w:r w:rsidRPr="00D858C6">
        <w:rPr>
          <w:rtl/>
        </w:rPr>
        <w:t>2021</w:t>
      </w:r>
      <w:r w:rsidRPr="00AB589E">
        <w:rPr>
          <w:rtl/>
        </w:rPr>
        <w:t>، قدمت الدولة الطرف ملاحظات إضافية.</w:t>
      </w:r>
    </w:p>
    <w:p w14:paraId="3D647C0C" w14:textId="1860EBF2"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2</w:t>
      </w:r>
      <w:r w:rsidRPr="00AB589E">
        <w:rPr>
          <w:rtl/>
        </w:rPr>
        <w:tab/>
        <w:t xml:space="preserve">وتؤكد الدولة الطرف أن بلاغ صاحب البلاغ غير مقبول. وتشير إلى التعليل الذي قدمه مجلس طعون اللاجئين في </w:t>
      </w:r>
      <w:r w:rsidRPr="00D858C6">
        <w:rPr>
          <w:rtl/>
        </w:rPr>
        <w:t>27</w:t>
      </w:r>
      <w:r w:rsidRPr="00AB589E">
        <w:rPr>
          <w:rtl/>
        </w:rPr>
        <w:t xml:space="preserve"> آذار/مارس </w:t>
      </w:r>
      <w:r w:rsidRPr="00D858C6">
        <w:rPr>
          <w:rtl/>
        </w:rPr>
        <w:t>2018</w:t>
      </w:r>
      <w:r w:rsidRPr="00AB589E">
        <w:rPr>
          <w:rtl/>
        </w:rPr>
        <w:t>، والذي ارتأى فيه عدم قبول رواية صاحب البلاغ، بسبب البيانات "غير المتسقة" التي أدلى بها في إطار إجراءات اللجوء. وتذكر أن صاحب البلاغ</w:t>
      </w:r>
      <w:r>
        <w:rPr>
          <w:rtl/>
        </w:rPr>
        <w:t xml:space="preserve"> رجّح،</w:t>
      </w:r>
      <w:r w:rsidRPr="00AB589E">
        <w:rPr>
          <w:rtl/>
        </w:rPr>
        <w:t xml:space="preserve"> أثناء مقابلة التحري الأولية،</w:t>
      </w:r>
      <w:r>
        <w:rPr>
          <w:rtl/>
        </w:rPr>
        <w:t xml:space="preserve"> أن تكون</w:t>
      </w:r>
      <w:r w:rsidR="00364AD9">
        <w:rPr>
          <w:rtl/>
        </w:rPr>
        <w:t xml:space="preserve"> </w:t>
      </w:r>
      <w:r w:rsidRPr="00AB589E">
        <w:rPr>
          <w:rtl/>
        </w:rPr>
        <w:t>الأحداث التي أدّت إلى فراره من جمهورية إيران الإسلامية</w:t>
      </w:r>
      <w:r>
        <w:rPr>
          <w:rtl/>
        </w:rPr>
        <w:t xml:space="preserve"> قد وقعت في </w:t>
      </w:r>
      <w:r w:rsidRPr="00AB589E">
        <w:rPr>
          <w:rtl/>
        </w:rPr>
        <w:t xml:space="preserve">أيلول/سبتمبر </w:t>
      </w:r>
      <w:r w:rsidRPr="00D858C6">
        <w:rPr>
          <w:rtl/>
        </w:rPr>
        <w:t>2015</w:t>
      </w:r>
      <w:r w:rsidRPr="00AB589E">
        <w:rPr>
          <w:rtl/>
        </w:rPr>
        <w:t xml:space="preserve">، إلا أنه ذكر في مقابلته الموضوعية أن الأحداث وقعت في آذار/مارس ونيسان/أبريل </w:t>
      </w:r>
      <w:r w:rsidRPr="00D858C6">
        <w:rPr>
          <w:rtl/>
        </w:rPr>
        <w:t>201</w:t>
      </w:r>
      <w:r w:rsidR="001B2505" w:rsidRPr="00D858C6">
        <w:rPr>
          <w:rtl/>
        </w:rPr>
        <w:t>5</w:t>
      </w:r>
      <w:r w:rsidR="001B2505" w:rsidRPr="001B2505">
        <w:rPr>
          <w:rtl/>
        </w:rPr>
        <w:t xml:space="preserve">. </w:t>
      </w:r>
      <w:r w:rsidRPr="00AB589E">
        <w:rPr>
          <w:rtl/>
        </w:rPr>
        <w:t xml:space="preserve">وتشير الدولة الطرف إلى ما خلص إليه مجلس طعون اللاجئين من </w:t>
      </w:r>
      <w:r>
        <w:rPr>
          <w:rtl/>
        </w:rPr>
        <w:t>تضارب في</w:t>
      </w:r>
      <w:r w:rsidRPr="00AB589E">
        <w:rPr>
          <w:rtl/>
        </w:rPr>
        <w:t xml:space="preserve"> </w:t>
      </w:r>
      <w:r>
        <w:rPr>
          <w:rtl/>
        </w:rPr>
        <w:t>ال</w:t>
      </w:r>
      <w:r w:rsidRPr="00AB589E">
        <w:rPr>
          <w:rtl/>
        </w:rPr>
        <w:t>أقوال</w:t>
      </w:r>
      <w:r w:rsidR="00364AD9">
        <w:rPr>
          <w:rFonts w:hint="cs"/>
          <w:rtl/>
          <w:lang w:val="fr-CH"/>
        </w:rPr>
        <w:t xml:space="preserve"> </w:t>
      </w:r>
      <w:r>
        <w:rPr>
          <w:rtl/>
          <w:lang w:val="fr-CH"/>
        </w:rPr>
        <w:t>فيما يتعلق ب</w:t>
      </w:r>
      <w:r w:rsidRPr="00AB589E">
        <w:rPr>
          <w:rtl/>
        </w:rPr>
        <w:t>وجود مذكرة توقيف في المرة الأولى التي داهم فيها أفراد من السلطات مقر إقامة صاحب البلاغ، وإلى أنه لم ي</w:t>
      </w:r>
      <w:r>
        <w:rPr>
          <w:rtl/>
        </w:rPr>
        <w:t>ُ</w:t>
      </w:r>
      <w:r w:rsidRPr="00AB589E">
        <w:rPr>
          <w:rtl/>
        </w:rPr>
        <w:t xml:space="preserve">ذكر إلا في </w:t>
      </w:r>
      <w:r>
        <w:rPr>
          <w:rtl/>
          <w:lang w:val="fr-CH"/>
        </w:rPr>
        <w:t xml:space="preserve">مرحلة متأخرة </w:t>
      </w:r>
      <w:r w:rsidRPr="00AB589E">
        <w:rPr>
          <w:rtl/>
        </w:rPr>
        <w:t>من إجراءات اللجوء أن والد</w:t>
      </w:r>
      <w:r>
        <w:rPr>
          <w:rtl/>
        </w:rPr>
        <w:t>ته اضطرت إلى</w:t>
      </w:r>
      <w:r w:rsidRPr="00AB589E">
        <w:rPr>
          <w:rtl/>
        </w:rPr>
        <w:t xml:space="preserve"> استخدام كرسي متحرك بعد أن صدمتها سيارة. وتشير الدولة الطرف أيض</w:t>
      </w:r>
      <w:r w:rsidR="00364AD9">
        <w:rPr>
          <w:rtl/>
        </w:rPr>
        <w:t xml:space="preserve">اً </w:t>
      </w:r>
      <w:r w:rsidRPr="00AB589E">
        <w:rPr>
          <w:rtl/>
        </w:rPr>
        <w:t>إلى استنتاج أن صاحب البلاغ أبلغ دائرة الهجرة بأن س</w:t>
      </w:r>
      <w:r>
        <w:rPr>
          <w:rtl/>
        </w:rPr>
        <w:t>.</w:t>
      </w:r>
      <w:r w:rsidRPr="00AB589E">
        <w:rPr>
          <w:rtl/>
        </w:rPr>
        <w:t xml:space="preserve"> كانت متزوجة</w:t>
      </w:r>
      <w:r w:rsidRPr="00AB589E">
        <w:rPr>
          <w:rFonts w:hint="eastAsia"/>
          <w:rtl/>
        </w:rPr>
        <w:t>،</w:t>
      </w:r>
      <w:r w:rsidRPr="00AB589E">
        <w:rPr>
          <w:rtl/>
        </w:rPr>
        <w:t xml:space="preserve"> ولكنها تطلقت قبل ستة أشهر</w:t>
      </w:r>
      <w:r>
        <w:rPr>
          <w:rtl/>
        </w:rPr>
        <w:t>، بينما ذكر،</w:t>
      </w:r>
      <w:r w:rsidRPr="00AB589E">
        <w:rPr>
          <w:rtl/>
        </w:rPr>
        <w:t xml:space="preserve"> وفي وقت لاحق، أمام مجلس طعون اللاجئين، أنها كانت متزوجة منذ ستة أشهر وأنه افترض أنها مطلقة. كما تشير إلى تعليقات غير متسقة فيما يتعلق بال</w:t>
      </w:r>
      <w:r>
        <w:rPr>
          <w:rtl/>
        </w:rPr>
        <w:t xml:space="preserve">ترتيب </w:t>
      </w:r>
      <w:r w:rsidRPr="00AB589E">
        <w:rPr>
          <w:rtl/>
        </w:rPr>
        <w:t xml:space="preserve">الزمني لتفاعلاته مع زوج س. </w:t>
      </w:r>
      <w:r>
        <w:rPr>
          <w:rtl/>
        </w:rPr>
        <w:t>ف</w:t>
      </w:r>
      <w:r w:rsidRPr="00AB589E">
        <w:rPr>
          <w:rtl/>
        </w:rPr>
        <w:t>في المقابلة الموضوعية مع دائرة الهجرة، ادعى</w:t>
      </w:r>
      <w:r>
        <w:rPr>
          <w:rtl/>
        </w:rPr>
        <w:t xml:space="preserve"> صاحب البلاغ</w:t>
      </w:r>
      <w:r w:rsidRPr="00AB589E">
        <w:rPr>
          <w:rtl/>
        </w:rPr>
        <w:t xml:space="preserve"> أنه غيّر رقم هاتفه بعد أن اكتشف أن س</w:t>
      </w:r>
      <w:r>
        <w:rPr>
          <w:rtl/>
        </w:rPr>
        <w:t>.</w:t>
      </w:r>
      <w:r w:rsidRPr="00AB589E">
        <w:rPr>
          <w:rtl/>
        </w:rPr>
        <w:t xml:space="preserve"> متزوجة، ولكن زوجها لم يتصل به إلا بعد ذلك. غير أنه ذكر أمام المجلس أنه تلقى مكالمة من الزوج أولا</w:t>
      </w:r>
      <w:r w:rsidR="00997F74">
        <w:rPr>
          <w:rFonts w:hint="cs"/>
          <w:rtl/>
        </w:rPr>
        <w:t>ً</w:t>
      </w:r>
      <w:r w:rsidRPr="00AB589E">
        <w:rPr>
          <w:rtl/>
        </w:rPr>
        <w:t>، ثم غير رقم هاتفه. وبالإضافة إلى ذلك، تشير الدولة الطرف إلى ملاحظة مجلس طعون اللاجئين أن صاحب البلاغ ذكر، في مقابلته الأولى مع دائرة الهجرة، أنه قبل مغادرته جمهورية إيران الإسلامية، جاء زوج المدعوة س</w:t>
      </w:r>
      <w:r>
        <w:rPr>
          <w:rtl/>
        </w:rPr>
        <w:t>.</w:t>
      </w:r>
      <w:r w:rsidRPr="00AB589E">
        <w:rPr>
          <w:rtl/>
        </w:rPr>
        <w:t xml:space="preserve"> برفقة ثلاثة رجال إلى منزل والدته. وفي مقابلته الثانية مع دائرة الهجرة، ذكر أن منزل والدته ف</w:t>
      </w:r>
      <w:r>
        <w:rPr>
          <w:rtl/>
        </w:rPr>
        <w:t>ُ</w:t>
      </w:r>
      <w:r w:rsidRPr="00AB589E">
        <w:rPr>
          <w:rtl/>
        </w:rPr>
        <w:t>تش لأول مرة بعد مغادرته البلد.</w:t>
      </w:r>
    </w:p>
    <w:p w14:paraId="52F7A948" w14:textId="77777777"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3</w:t>
      </w:r>
      <w:r w:rsidRPr="00AB589E">
        <w:rPr>
          <w:rtl/>
        </w:rPr>
        <w:tab/>
        <w:t>وبسبب أوجه التناقض هذه، خلص مجلس طعون اللاجئين، في تقي</w:t>
      </w:r>
      <w:r>
        <w:rPr>
          <w:rtl/>
          <w:lang w:val="fr-CH"/>
        </w:rPr>
        <w:t>يم</w:t>
      </w:r>
      <w:r w:rsidRPr="00AB589E">
        <w:rPr>
          <w:rtl/>
        </w:rPr>
        <w:t xml:space="preserve">ه، إلى عدم مصداقية صاحب البلاغ، </w:t>
      </w:r>
      <w:r>
        <w:rPr>
          <w:rtl/>
        </w:rPr>
        <w:t xml:space="preserve">ومن ثم إلى </w:t>
      </w:r>
      <w:r w:rsidRPr="00AB589E">
        <w:rPr>
          <w:rtl/>
        </w:rPr>
        <w:t>أن</w:t>
      </w:r>
      <w:r>
        <w:rPr>
          <w:rtl/>
        </w:rPr>
        <w:t>ه</w:t>
      </w:r>
      <w:r w:rsidRPr="00AB589E">
        <w:rPr>
          <w:rtl/>
        </w:rPr>
        <w:t xml:space="preserve"> لم </w:t>
      </w:r>
      <w:r>
        <w:rPr>
          <w:rtl/>
        </w:rPr>
        <w:t>ي</w:t>
      </w:r>
      <w:r w:rsidRPr="00AB589E">
        <w:rPr>
          <w:rtl/>
        </w:rPr>
        <w:t xml:space="preserve">ثبت </w:t>
      </w:r>
      <w:r w:rsidRPr="00AB589E">
        <w:rPr>
          <w:rtl/>
          <w:lang w:val="fr-CH"/>
        </w:rPr>
        <w:t>ما أكده بشأن</w:t>
      </w:r>
      <w:r w:rsidRPr="00AB589E">
        <w:rPr>
          <w:rtl/>
        </w:rPr>
        <w:t xml:space="preserve"> </w:t>
      </w:r>
      <w:r>
        <w:rPr>
          <w:rtl/>
        </w:rPr>
        <w:t xml:space="preserve">اعتناقه </w:t>
      </w:r>
      <w:r w:rsidRPr="00AB589E">
        <w:rPr>
          <w:rtl/>
        </w:rPr>
        <w:t>المسيحية قبل مغادرته جمهورية إيران الإسلامية. ورغم قبول مسألة تعميد صاحب البلاغ أثناء وجوده في الدانمرك، لم تقبل مسألة اعتناق</w:t>
      </w:r>
      <w:r>
        <w:rPr>
          <w:rtl/>
        </w:rPr>
        <w:t>ه</w:t>
      </w:r>
      <w:r w:rsidRPr="00AB589E">
        <w:rPr>
          <w:rtl/>
        </w:rPr>
        <w:t xml:space="preserve"> المسيحية في جمهورية إيران الإسلامية، و</w:t>
      </w:r>
      <w:r>
        <w:rPr>
          <w:rtl/>
        </w:rPr>
        <w:t>لم يُعتبر تغيير الدين من ثم خطوة صادقة.</w:t>
      </w:r>
      <w:r w:rsidRPr="00AB589E">
        <w:rPr>
          <w:rtl/>
        </w:rPr>
        <w:t>.</w:t>
      </w:r>
    </w:p>
    <w:p w14:paraId="02260F98" w14:textId="66A67EB6" w:rsidR="000066C3" w:rsidRPr="00AB589E" w:rsidRDefault="000066C3" w:rsidP="0001217F">
      <w:pPr>
        <w:pStyle w:val="SingleTxtGA"/>
        <w:rPr>
          <w:rFonts w:eastAsia="Calibri"/>
          <w:lang w:val="en-US" w:eastAsia="zh-TW" w:bidi="en-GB"/>
        </w:rPr>
      </w:pPr>
      <w:r w:rsidRPr="00D858C6">
        <w:rPr>
          <w:rtl/>
        </w:rPr>
        <w:lastRenderedPageBreak/>
        <w:t>4</w:t>
      </w:r>
      <w:r w:rsidRPr="00AB589E">
        <w:rPr>
          <w:rtl/>
        </w:rPr>
        <w:t>-</w:t>
      </w:r>
      <w:r w:rsidRPr="00D858C6">
        <w:rPr>
          <w:rtl/>
        </w:rPr>
        <w:t>4</w:t>
      </w:r>
      <w:r w:rsidRPr="00AB589E">
        <w:rPr>
          <w:rtl/>
        </w:rPr>
        <w:tab/>
        <w:t xml:space="preserve">وعلاوة على ذلك، تشير الدولة الطرف إلى تعليل مجلس طعون اللاجئين </w:t>
      </w:r>
      <w:r>
        <w:rPr>
          <w:rtl/>
        </w:rPr>
        <w:t xml:space="preserve">ومفاده </w:t>
      </w:r>
      <w:r w:rsidRPr="00AB589E">
        <w:rPr>
          <w:rtl/>
        </w:rPr>
        <w:t xml:space="preserve">بأن صاحب البلاغ </w:t>
      </w:r>
      <w:r>
        <w:rPr>
          <w:rtl/>
        </w:rPr>
        <w:t>ذكر</w:t>
      </w:r>
      <w:r w:rsidRPr="00AB589E">
        <w:rPr>
          <w:rtl/>
        </w:rPr>
        <w:t xml:space="preserve"> أنه يعتزم </w:t>
      </w:r>
      <w:r>
        <w:rPr>
          <w:rtl/>
        </w:rPr>
        <w:t>عدم المجاهرة</w:t>
      </w:r>
      <w:r w:rsidRPr="00AB589E">
        <w:rPr>
          <w:rtl/>
        </w:rPr>
        <w:t xml:space="preserve"> </w:t>
      </w:r>
      <w:r>
        <w:rPr>
          <w:rtl/>
        </w:rPr>
        <w:t>ب</w:t>
      </w:r>
      <w:r w:rsidRPr="00AB589E">
        <w:rPr>
          <w:rtl/>
        </w:rPr>
        <w:t>عقيدته</w:t>
      </w:r>
      <w:r w:rsidR="00364AD9">
        <w:rPr>
          <w:rtl/>
        </w:rPr>
        <w:t xml:space="preserve"> </w:t>
      </w:r>
      <w:r>
        <w:rPr>
          <w:rtl/>
        </w:rPr>
        <w:t>في حال</w:t>
      </w:r>
      <w:r w:rsidRPr="00AB589E">
        <w:rPr>
          <w:rtl/>
        </w:rPr>
        <w:t xml:space="preserve"> إعادته إلى جمهورية إيران الإسلامية، وأنه اعتمد </w:t>
      </w:r>
      <w:r>
        <w:rPr>
          <w:rtl/>
        </w:rPr>
        <w:t>من ثم</w:t>
      </w:r>
      <w:r w:rsidRPr="00AB589E">
        <w:rPr>
          <w:rtl/>
        </w:rPr>
        <w:t xml:space="preserve"> في المقام الأول على </w:t>
      </w:r>
      <w:r>
        <w:rPr>
          <w:rtl/>
        </w:rPr>
        <w:t>ال</w:t>
      </w:r>
      <w:r w:rsidRPr="00AB589E">
        <w:rPr>
          <w:rtl/>
        </w:rPr>
        <w:t>علاق</w:t>
      </w:r>
      <w:r>
        <w:rPr>
          <w:rtl/>
        </w:rPr>
        <w:t>ة التي أقامها</w:t>
      </w:r>
      <w:r w:rsidRPr="00AB589E">
        <w:rPr>
          <w:rtl/>
        </w:rPr>
        <w:t xml:space="preserve"> خارج إطار الزواج </w:t>
      </w:r>
      <w:r>
        <w:rPr>
          <w:rtl/>
        </w:rPr>
        <w:t xml:space="preserve">باعتبارها </w:t>
      </w:r>
      <w:r w:rsidRPr="00AB589E">
        <w:rPr>
          <w:rtl/>
        </w:rPr>
        <w:t>أساس طلب</w:t>
      </w:r>
      <w:r>
        <w:rPr>
          <w:rtl/>
        </w:rPr>
        <w:t>ه</w:t>
      </w:r>
      <w:r w:rsidRPr="00AB589E">
        <w:rPr>
          <w:rtl/>
        </w:rPr>
        <w:t xml:space="preserve"> </w:t>
      </w:r>
      <w:r>
        <w:rPr>
          <w:rtl/>
        </w:rPr>
        <w:t>ال</w:t>
      </w:r>
      <w:r w:rsidRPr="00AB589E">
        <w:rPr>
          <w:rtl/>
        </w:rPr>
        <w:t>لجو</w:t>
      </w:r>
      <w:r>
        <w:rPr>
          <w:rtl/>
        </w:rPr>
        <w:t>ء</w:t>
      </w:r>
      <w:r w:rsidRPr="00AB589E">
        <w:rPr>
          <w:rtl/>
        </w:rPr>
        <w:t>. ولم ت</w:t>
      </w:r>
      <w:r>
        <w:rPr>
          <w:rtl/>
        </w:rPr>
        <w:t>عتبر</w:t>
      </w:r>
      <w:r w:rsidRPr="00AB589E">
        <w:rPr>
          <w:rtl/>
        </w:rPr>
        <w:t xml:space="preserve"> الدولة الطرف </w:t>
      </w:r>
      <w:r>
        <w:rPr>
          <w:rtl/>
        </w:rPr>
        <w:t>مسألتي</w:t>
      </w:r>
      <w:r w:rsidR="00364AD9">
        <w:rPr>
          <w:rtl/>
        </w:rPr>
        <w:t xml:space="preserve"> </w:t>
      </w:r>
      <w:r>
        <w:rPr>
          <w:rtl/>
        </w:rPr>
        <w:t>تعمديه</w:t>
      </w:r>
      <w:r w:rsidRPr="00AB589E">
        <w:rPr>
          <w:rtl/>
        </w:rPr>
        <w:t xml:space="preserve"> أو معتقده الديني كافي</w:t>
      </w:r>
      <w:r>
        <w:rPr>
          <w:rtl/>
        </w:rPr>
        <w:t>ت</w:t>
      </w:r>
      <w:r w:rsidRPr="00AB589E">
        <w:rPr>
          <w:rtl/>
        </w:rPr>
        <w:t xml:space="preserve">ين لتفعيل التزاماتها بالحماية. </w:t>
      </w:r>
    </w:p>
    <w:p w14:paraId="0930E4EE" w14:textId="35A79627" w:rsidR="000066C3" w:rsidRPr="00A8078A" w:rsidRDefault="000066C3" w:rsidP="0001217F">
      <w:pPr>
        <w:pStyle w:val="SingleTxtGA"/>
        <w:rPr>
          <w:rFonts w:eastAsia="Calibri"/>
          <w:spacing w:val="-4"/>
          <w:lang w:val="ar-SA" w:eastAsia="zh-TW" w:bidi="en-GB"/>
        </w:rPr>
      </w:pPr>
      <w:r w:rsidRPr="00D858C6">
        <w:rPr>
          <w:rtl/>
        </w:rPr>
        <w:t>4</w:t>
      </w:r>
      <w:r w:rsidRPr="00AB589E">
        <w:rPr>
          <w:rtl/>
        </w:rPr>
        <w:t>-</w:t>
      </w:r>
      <w:r w:rsidRPr="00D858C6">
        <w:rPr>
          <w:rtl/>
        </w:rPr>
        <w:t>5</w:t>
      </w:r>
      <w:r w:rsidRPr="00AB589E">
        <w:rPr>
          <w:rtl/>
        </w:rPr>
        <w:tab/>
        <w:t xml:space="preserve">وتشير الدولة الطرف إلى تقييم مجلس طعون اللاجئين الذي يفيد بأن الوقائع التي أدت إلى مغادرة صاحب البلاغ جمهورية إيران الإسلامية </w:t>
      </w:r>
      <w:r>
        <w:rPr>
          <w:rtl/>
        </w:rPr>
        <w:t>لم تقبل</w:t>
      </w:r>
      <w:r w:rsidR="00364AD9">
        <w:rPr>
          <w:rtl/>
        </w:rPr>
        <w:t xml:space="preserve"> </w:t>
      </w:r>
      <w:r w:rsidRPr="00AB589E">
        <w:rPr>
          <w:rtl/>
        </w:rPr>
        <w:t>بناء على</w:t>
      </w:r>
      <w:r w:rsidR="00364AD9">
        <w:rPr>
          <w:rtl/>
        </w:rPr>
        <w:t xml:space="preserve"> </w:t>
      </w:r>
      <w:r>
        <w:rPr>
          <w:rtl/>
        </w:rPr>
        <w:t xml:space="preserve">استنتاج عدم </w:t>
      </w:r>
      <w:r w:rsidRPr="00AB589E">
        <w:rPr>
          <w:rtl/>
        </w:rPr>
        <w:t xml:space="preserve">المصداقية، </w:t>
      </w:r>
      <w:r>
        <w:rPr>
          <w:rtl/>
        </w:rPr>
        <w:t xml:space="preserve">وهكذا </w:t>
      </w:r>
      <w:r w:rsidRPr="00AB589E">
        <w:rPr>
          <w:rtl/>
        </w:rPr>
        <w:t xml:space="preserve">فإن صاحب البلاغ لم يثبت إمكانية التعرض لأذى محدد وفردي </w:t>
      </w:r>
      <w:r>
        <w:rPr>
          <w:rtl/>
        </w:rPr>
        <w:t>وفقا</w:t>
      </w:r>
      <w:r w:rsidR="00364AD9">
        <w:rPr>
          <w:rFonts w:hint="cs"/>
          <w:rtl/>
        </w:rPr>
        <w:t>ً</w:t>
      </w:r>
      <w:r w:rsidRPr="00AB589E">
        <w:rPr>
          <w:rtl/>
        </w:rPr>
        <w:t xml:space="preserve"> </w:t>
      </w:r>
      <w:r>
        <w:rPr>
          <w:rtl/>
        </w:rPr>
        <w:t>لل</w:t>
      </w:r>
      <w:r w:rsidRPr="00AB589E">
        <w:rPr>
          <w:rtl/>
        </w:rPr>
        <w:t>تعريف</w:t>
      </w:r>
      <w:r>
        <w:rPr>
          <w:rtl/>
        </w:rPr>
        <w:t xml:space="preserve"> الوارد</w:t>
      </w:r>
      <w:r w:rsidRPr="00AB589E">
        <w:rPr>
          <w:rtl/>
        </w:rPr>
        <w:t xml:space="preserve"> </w:t>
      </w:r>
      <w:r>
        <w:rPr>
          <w:rtl/>
        </w:rPr>
        <w:t xml:space="preserve">في </w:t>
      </w:r>
      <w:r w:rsidRPr="00AB589E">
        <w:rPr>
          <w:rtl/>
        </w:rPr>
        <w:t xml:space="preserve">المادة </w:t>
      </w:r>
      <w:r w:rsidRPr="00D858C6">
        <w:rPr>
          <w:rtl/>
        </w:rPr>
        <w:t>7</w:t>
      </w:r>
      <w:r w:rsidRPr="00AB589E">
        <w:rPr>
          <w:rtl/>
        </w:rPr>
        <w:t xml:space="preserve"> من قانون الأجانب في حال عودته إلى جمهورية إيران الإسلامية. ورأ</w:t>
      </w:r>
      <w:r>
        <w:rPr>
          <w:rtl/>
        </w:rPr>
        <w:t>ى مجلس طعون اللاجئين</w:t>
      </w:r>
      <w:r w:rsidRPr="00AB589E">
        <w:rPr>
          <w:rtl/>
        </w:rPr>
        <w:t xml:space="preserve"> أيض</w:t>
      </w:r>
      <w:r w:rsidR="00364AD9">
        <w:rPr>
          <w:rtl/>
        </w:rPr>
        <w:t xml:space="preserve">اً </w:t>
      </w:r>
      <w:r w:rsidRPr="00AB589E">
        <w:rPr>
          <w:rtl/>
        </w:rPr>
        <w:t>أن مغادرة البلد بصورة غير قانونية والتهرب من الخدمة العسكرية</w:t>
      </w:r>
      <w:r>
        <w:rPr>
          <w:rtl/>
        </w:rPr>
        <w:t xml:space="preserve"> حجتان ما كانت أي منهما</w:t>
      </w:r>
      <w:r w:rsidR="00364AD9">
        <w:rPr>
          <w:rtl/>
        </w:rPr>
        <w:t xml:space="preserve"> </w:t>
      </w:r>
      <w:r>
        <w:rPr>
          <w:rtl/>
        </w:rPr>
        <w:t xml:space="preserve">كافية </w:t>
      </w:r>
      <w:r w:rsidRPr="00AB589E">
        <w:rPr>
          <w:rtl/>
        </w:rPr>
        <w:t>ل</w:t>
      </w:r>
      <w:r>
        <w:rPr>
          <w:rtl/>
        </w:rPr>
        <w:t>ت</w:t>
      </w:r>
      <w:r w:rsidRPr="00AB589E">
        <w:rPr>
          <w:rtl/>
        </w:rPr>
        <w:t>غير</w:t>
      </w:r>
      <w:r>
        <w:rPr>
          <w:rtl/>
        </w:rPr>
        <w:t>، سواء أنُظر إليهما معا</w:t>
      </w:r>
      <w:r w:rsidR="00364AD9">
        <w:rPr>
          <w:rFonts w:hint="cs"/>
          <w:rtl/>
        </w:rPr>
        <w:t>ً</w:t>
      </w:r>
      <w:r>
        <w:rPr>
          <w:rtl/>
        </w:rPr>
        <w:t xml:space="preserve"> أم كل على حدة</w:t>
      </w:r>
      <w:r w:rsidR="001B2505" w:rsidRPr="001B2505">
        <w:rPr>
          <w:rtl/>
        </w:rPr>
        <w:t>.</w:t>
      </w:r>
      <w:r w:rsidRPr="00AB589E">
        <w:rPr>
          <w:rtl/>
        </w:rPr>
        <w:t xml:space="preserve"> ولذلك، تكرر الدولة الطرف التعليل الذي قدمه مجلس طعون اللاجئين </w:t>
      </w:r>
      <w:r w:rsidRPr="00A8078A">
        <w:rPr>
          <w:spacing w:val="-4"/>
          <w:rtl/>
        </w:rPr>
        <w:t>لتأييد القرار الأول، مشيرة إلى أن صاحب البلاغ لم يقدم أي وقائع جديدة تدفعها إلى التشكيك في قرار المجلس.</w:t>
      </w:r>
    </w:p>
    <w:p w14:paraId="33CB4678" w14:textId="74E06BCD" w:rsidR="000066C3" w:rsidRPr="00AB589E" w:rsidRDefault="000066C3" w:rsidP="0001217F">
      <w:pPr>
        <w:pStyle w:val="SingleTxtGA"/>
        <w:rPr>
          <w:rFonts w:eastAsia="Calibri"/>
          <w:lang w:val="en-US" w:eastAsia="zh-TW"/>
        </w:rPr>
      </w:pPr>
      <w:r w:rsidRPr="00D858C6">
        <w:rPr>
          <w:rtl/>
        </w:rPr>
        <w:t>4</w:t>
      </w:r>
      <w:r w:rsidRPr="00AB589E">
        <w:rPr>
          <w:rtl/>
        </w:rPr>
        <w:t>-</w:t>
      </w:r>
      <w:r w:rsidRPr="00D858C6">
        <w:rPr>
          <w:rtl/>
        </w:rPr>
        <w:t>6</w:t>
      </w:r>
      <w:r w:rsidRPr="00AB589E">
        <w:rPr>
          <w:rtl/>
        </w:rPr>
        <w:tab/>
        <w:t xml:space="preserve">وتؤكد الدولة الطرف أن صاحب البلاغ لم يثبت وجود دعوى ظاهرة الوجاهة تتعلق بانتهاك المادتين </w:t>
      </w:r>
      <w:r w:rsidRPr="00D858C6">
        <w:rPr>
          <w:rtl/>
        </w:rPr>
        <w:t>6</w:t>
      </w:r>
      <w:r w:rsidRPr="00AB589E">
        <w:rPr>
          <w:rtl/>
        </w:rPr>
        <w:t xml:space="preserve"> و</w:t>
      </w:r>
      <w:r w:rsidRPr="00D858C6">
        <w:rPr>
          <w:rtl/>
        </w:rPr>
        <w:t>7</w:t>
      </w:r>
      <w:r w:rsidRPr="00AB589E">
        <w:rPr>
          <w:rtl/>
        </w:rPr>
        <w:t xml:space="preserve"> من العهد، وتدعو اللجنة إلى إعلان عدم مقبولية البلاغ لعدم استناده </w:t>
      </w:r>
      <w:r>
        <w:rPr>
          <w:rtl/>
        </w:rPr>
        <w:t>بوضوح إلى</w:t>
      </w:r>
      <w:r w:rsidR="00364AD9">
        <w:rPr>
          <w:rtl/>
        </w:rPr>
        <w:t xml:space="preserve"> </w:t>
      </w:r>
      <w:r w:rsidRPr="00AB589E">
        <w:rPr>
          <w:rtl/>
        </w:rPr>
        <w:t>أسس</w:t>
      </w:r>
      <w:r>
        <w:rPr>
          <w:rtl/>
        </w:rPr>
        <w:t xml:space="preserve"> موضوعية</w:t>
      </w:r>
      <w:r w:rsidRPr="00AB589E">
        <w:rPr>
          <w:rtl/>
        </w:rPr>
        <w:t xml:space="preserve"> سليمة. </w:t>
      </w:r>
    </w:p>
    <w:p w14:paraId="74BA7EB2" w14:textId="21757C85" w:rsidR="001B2505" w:rsidRPr="001B2505" w:rsidRDefault="000066C3" w:rsidP="0001217F">
      <w:pPr>
        <w:pStyle w:val="SingleTxtGA"/>
        <w:rPr>
          <w:rFonts w:eastAsia="Calibri"/>
          <w:lang w:val="ar-SA" w:eastAsia="zh-TW" w:bidi="en-GB"/>
        </w:rPr>
      </w:pPr>
      <w:r w:rsidRPr="00D858C6">
        <w:rPr>
          <w:rtl/>
        </w:rPr>
        <w:t>4</w:t>
      </w:r>
      <w:r w:rsidRPr="00AB589E">
        <w:rPr>
          <w:rtl/>
        </w:rPr>
        <w:t>-</w:t>
      </w:r>
      <w:r w:rsidRPr="00D858C6">
        <w:rPr>
          <w:rtl/>
        </w:rPr>
        <w:t>7</w:t>
      </w:r>
      <w:r w:rsidRPr="00AB589E">
        <w:rPr>
          <w:rtl/>
        </w:rPr>
        <w:tab/>
        <w:t xml:space="preserve">وتشير الدولة الطرف إلى تعليق اللجنة العام رقم </w:t>
      </w:r>
      <w:r w:rsidRPr="00D858C6">
        <w:rPr>
          <w:rtl/>
        </w:rPr>
        <w:t>31</w:t>
      </w:r>
      <w:r w:rsidRPr="00AB589E">
        <w:rPr>
          <w:rtl/>
        </w:rPr>
        <w:t>(</w:t>
      </w:r>
      <w:r w:rsidRPr="00D858C6">
        <w:rPr>
          <w:rtl/>
        </w:rPr>
        <w:t>200</w:t>
      </w:r>
      <w:r w:rsidR="001B2505" w:rsidRPr="00D858C6">
        <w:rPr>
          <w:rtl/>
        </w:rPr>
        <w:t>4</w:t>
      </w:r>
      <w:r w:rsidR="001B2505" w:rsidRPr="001B2505">
        <w:rPr>
          <w:rtl/>
        </w:rPr>
        <w:t xml:space="preserve">) </w:t>
      </w:r>
      <w:r w:rsidRPr="00AB589E">
        <w:rPr>
          <w:rtl/>
        </w:rPr>
        <w:t xml:space="preserve">بشأن طبيعة الالتزام القانوني العام المفروض على الدول الأطراف في العهد. وتشير إلى أهمية إثبات أن يكون خطر وقوع الضرر بموجب المادتين </w:t>
      </w:r>
      <w:r w:rsidRPr="00D858C6">
        <w:rPr>
          <w:rtl/>
        </w:rPr>
        <w:t>6</w:t>
      </w:r>
      <w:r w:rsidRPr="00AB589E">
        <w:rPr>
          <w:rtl/>
        </w:rPr>
        <w:t xml:space="preserve"> و</w:t>
      </w:r>
      <w:r w:rsidRPr="00D858C6">
        <w:rPr>
          <w:rtl/>
        </w:rPr>
        <w:t>7</w:t>
      </w:r>
      <w:r w:rsidRPr="00AB589E">
        <w:rPr>
          <w:rtl/>
        </w:rPr>
        <w:t xml:space="preserve"> خطرا</w:t>
      </w:r>
      <w:r w:rsidR="00364AD9">
        <w:rPr>
          <w:rFonts w:hint="cs"/>
          <w:rtl/>
        </w:rPr>
        <w:t>ً</w:t>
      </w:r>
      <w:r w:rsidRPr="00AB589E">
        <w:rPr>
          <w:rtl/>
        </w:rPr>
        <w:t xml:space="preserve"> شخصيا</w:t>
      </w:r>
      <w:r w:rsidR="00364AD9">
        <w:rPr>
          <w:rFonts w:hint="cs"/>
          <w:rtl/>
        </w:rPr>
        <w:t>ً</w:t>
      </w:r>
      <w:r w:rsidRPr="00AB589E">
        <w:rPr>
          <w:rtl/>
        </w:rPr>
        <w:t>، وأن تكون</w:t>
      </w:r>
      <w:r>
        <w:rPr>
          <w:rtl/>
        </w:rPr>
        <w:t xml:space="preserve"> </w:t>
      </w:r>
      <w:r w:rsidRPr="00AB589E">
        <w:rPr>
          <w:rtl/>
        </w:rPr>
        <w:t>الأس</w:t>
      </w:r>
      <w:r>
        <w:rPr>
          <w:rtl/>
        </w:rPr>
        <w:t xml:space="preserve">س الجوهرية المطلوبة لإثبات </w:t>
      </w:r>
      <w:r w:rsidRPr="00AB589E">
        <w:rPr>
          <w:rtl/>
        </w:rPr>
        <w:t>وجود خطر حقيقي للتعرض لضرر لا يمكن جبره</w:t>
      </w:r>
      <w:r>
        <w:rPr>
          <w:rtl/>
        </w:rPr>
        <w:t xml:space="preserve"> عتبة عالية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8"/>
      </w:r>
      <w:r w:rsidR="001B2505" w:rsidRPr="001B2505">
        <w:rPr>
          <w:rStyle w:val="FootnoteReference"/>
          <w:rFonts w:ascii="Traditional Arabic" w:eastAsia="Calibri" w:hAnsi="Traditional Arabic"/>
          <w:sz w:val="30"/>
          <w:rtl/>
        </w:rPr>
        <w:t>)</w:t>
      </w:r>
      <w:r w:rsidR="001B2505" w:rsidRPr="001B2505">
        <w:rPr>
          <w:rtl/>
        </w:rPr>
        <w:t>.</w:t>
      </w:r>
    </w:p>
    <w:p w14:paraId="684860CB" w14:textId="6724C669" w:rsidR="001B2505" w:rsidRPr="001B2505" w:rsidRDefault="000066C3" w:rsidP="0001217F">
      <w:pPr>
        <w:pStyle w:val="SingleTxtGA"/>
        <w:rPr>
          <w:rFonts w:eastAsia="Calibri"/>
          <w:lang w:val="en-US" w:eastAsia="zh-TW" w:bidi="en-GB"/>
        </w:rPr>
      </w:pPr>
      <w:r w:rsidRPr="00D858C6">
        <w:rPr>
          <w:rtl/>
        </w:rPr>
        <w:t>4</w:t>
      </w:r>
      <w:r w:rsidRPr="00AB589E">
        <w:rPr>
          <w:rtl/>
        </w:rPr>
        <w:t>-</w:t>
      </w:r>
      <w:r w:rsidRPr="00D858C6">
        <w:rPr>
          <w:rtl/>
        </w:rPr>
        <w:t>8</w:t>
      </w:r>
      <w:r w:rsidRPr="00AB589E">
        <w:rPr>
          <w:rtl/>
        </w:rPr>
        <w:tab/>
        <w:t xml:space="preserve">وعلاوة على ذلك، تشير الدولة الطرف إلى تشريعاتها الوطنية، التي تعكس التزاماتها بموجب العهد فيما يتعلق بالمادتين </w:t>
      </w:r>
      <w:r w:rsidRPr="00D858C6">
        <w:rPr>
          <w:rtl/>
        </w:rPr>
        <w:t>6</w:t>
      </w:r>
      <w:r w:rsidRPr="00AB589E">
        <w:rPr>
          <w:rtl/>
        </w:rPr>
        <w:t xml:space="preserve"> و</w:t>
      </w:r>
      <w:r w:rsidRPr="00D858C6">
        <w:rPr>
          <w:rtl/>
        </w:rPr>
        <w:t>7</w:t>
      </w:r>
      <w:r w:rsidRPr="00AB589E">
        <w:rPr>
          <w:rtl/>
        </w:rPr>
        <w:t>، في ال</w:t>
      </w:r>
      <w:r>
        <w:rPr>
          <w:rtl/>
        </w:rPr>
        <w:t>فرعين</w:t>
      </w:r>
      <w:r w:rsidRPr="00AB589E">
        <w:rPr>
          <w:rtl/>
        </w:rPr>
        <w:t>ين</w:t>
      </w:r>
      <w:r w:rsidRPr="00D858C6">
        <w:rPr>
          <w:rtl/>
        </w:rPr>
        <w:t>7</w:t>
      </w:r>
      <w:r w:rsidRPr="00AB589E">
        <w:rPr>
          <w:rtl/>
        </w:rPr>
        <w:t>(</w:t>
      </w:r>
      <w:r w:rsidR="001B2505" w:rsidRPr="00D858C6">
        <w:rPr>
          <w:rtl/>
        </w:rPr>
        <w:t>1</w:t>
      </w:r>
      <w:r w:rsidR="001B2505" w:rsidRPr="001B2505">
        <w:rPr>
          <w:rtl/>
        </w:rPr>
        <w:t xml:space="preserve">) </w:t>
      </w:r>
      <w:r w:rsidRPr="00AB589E">
        <w:rPr>
          <w:rtl/>
        </w:rPr>
        <w:t>و</w:t>
      </w:r>
      <w:r w:rsidRPr="00D858C6">
        <w:rPr>
          <w:rtl/>
        </w:rPr>
        <w:t>7</w:t>
      </w:r>
      <w:r w:rsidRPr="00AB589E">
        <w:rPr>
          <w:rtl/>
        </w:rPr>
        <w:t>(</w:t>
      </w:r>
      <w:r w:rsidRPr="00D858C6">
        <w:rPr>
          <w:rtl/>
        </w:rPr>
        <w:t>2</w:t>
      </w:r>
      <w:r w:rsidRPr="00AB589E">
        <w:rPr>
          <w:rtl/>
        </w:rPr>
        <w:t>)</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9"/>
      </w:r>
      <w:r w:rsidR="00DF12DF">
        <w:rPr>
          <w:rStyle w:val="FootnoteReference"/>
          <w:rFonts w:ascii="Traditional Arabic" w:eastAsia="Calibri" w:hAnsi="Traditional Arabic"/>
          <w:sz w:val="30"/>
          <w:rtl/>
        </w:rPr>
        <w:t>)</w:t>
      </w:r>
      <w:r w:rsidR="00811024">
        <w:rPr>
          <w:rFonts w:hint="cs"/>
          <w:rtl/>
        </w:rPr>
        <w:t xml:space="preserve"> </w:t>
      </w:r>
      <w:r w:rsidRPr="00AB589E">
        <w:rPr>
          <w:rtl/>
        </w:rPr>
        <w:t>من قانون الأجانب، وتحيط علم</w:t>
      </w:r>
      <w:r w:rsidR="000F39A8">
        <w:rPr>
          <w:rtl/>
        </w:rPr>
        <w:t xml:space="preserve">اً </w:t>
      </w:r>
      <w:r w:rsidRPr="00AB589E">
        <w:rPr>
          <w:rtl/>
        </w:rPr>
        <w:t>بالاستنتاجات السابقة التي توصلت إليها اللجنة بشأن عدم وجود مخالفة في عملية صنع القرار في الدولة الطرف</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0"/>
      </w:r>
      <w:r w:rsidR="001B2505" w:rsidRPr="001B2505">
        <w:rPr>
          <w:rStyle w:val="FootnoteReference"/>
          <w:rFonts w:ascii="Traditional Arabic" w:eastAsia="Calibri" w:hAnsi="Traditional Arabic"/>
          <w:sz w:val="30"/>
          <w:rtl/>
        </w:rPr>
        <w:t>)</w:t>
      </w:r>
      <w:r w:rsidR="001B2505" w:rsidRPr="001B2505">
        <w:rPr>
          <w:rFonts w:hint="cs"/>
          <w:rtl/>
        </w:rPr>
        <w:t>.</w:t>
      </w:r>
      <w:r w:rsidR="001B2505" w:rsidRPr="001B2505">
        <w:rPr>
          <w:rtl/>
        </w:rPr>
        <w:t xml:space="preserve"> </w:t>
      </w:r>
      <w:r w:rsidRPr="00AB589E">
        <w:rPr>
          <w:rtl/>
        </w:rPr>
        <w:t xml:space="preserve">وتشير إلى موقف اللجنة الثابت </w:t>
      </w:r>
      <w:r>
        <w:rPr>
          <w:rtl/>
        </w:rPr>
        <w:t xml:space="preserve">ومفاده </w:t>
      </w:r>
      <w:r w:rsidRPr="00AB589E">
        <w:rPr>
          <w:rtl/>
        </w:rPr>
        <w:t xml:space="preserve">أن أجهزة الدول الأطراف هي المختصة عموماً </w:t>
      </w:r>
      <w:r>
        <w:rPr>
          <w:rtl/>
        </w:rPr>
        <w:t xml:space="preserve">في </w:t>
      </w:r>
      <w:r w:rsidRPr="00AB589E">
        <w:rPr>
          <w:rtl/>
        </w:rPr>
        <w:t xml:space="preserve">استعراض الوقائع والأدلة وتقييمها لتحديد احتمال وجود خطر حقيقي </w:t>
      </w:r>
      <w:r>
        <w:rPr>
          <w:rtl/>
        </w:rPr>
        <w:t>ل</w:t>
      </w:r>
      <w:r w:rsidRPr="00AB589E">
        <w:rPr>
          <w:rtl/>
        </w:rPr>
        <w:t>حدوث ضرر</w:t>
      </w:r>
      <w:r>
        <w:rPr>
          <w:rtl/>
        </w:rPr>
        <w:t xml:space="preserve"> ما</w:t>
      </w:r>
      <w:r w:rsidRPr="00AB589E">
        <w:rPr>
          <w:rtl/>
        </w:rPr>
        <w:t>، ما لم يتبين أن هذا التقييم كان تعسفياً بشكل واضح أو أنه بلغ حد إنكار العدالة. وت</w:t>
      </w:r>
      <w:r>
        <w:rPr>
          <w:rtl/>
        </w:rPr>
        <w:t xml:space="preserve">دعّم </w:t>
      </w:r>
      <w:r w:rsidRPr="00AB589E">
        <w:rPr>
          <w:rtl/>
        </w:rPr>
        <w:t xml:space="preserve">هذا الادعاء </w:t>
      </w:r>
      <w:r>
        <w:rPr>
          <w:rtl/>
        </w:rPr>
        <w:t>ب</w:t>
      </w:r>
      <w:r w:rsidRPr="00AB589E">
        <w:rPr>
          <w:rtl/>
        </w:rPr>
        <w:t>سابقة المحكمة الأوروبية لحقوق الإنسان</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1"/>
      </w:r>
      <w:r w:rsidR="001B2505" w:rsidRPr="001B2505">
        <w:rPr>
          <w:rStyle w:val="FootnoteReference"/>
          <w:rFonts w:ascii="Traditional Arabic" w:eastAsia="Calibri" w:hAnsi="Traditional Arabic"/>
          <w:sz w:val="30"/>
          <w:rtl/>
        </w:rPr>
        <w:t>)</w:t>
      </w:r>
      <w:r w:rsidR="001B2505" w:rsidRPr="001B2505">
        <w:rPr>
          <w:rtl/>
        </w:rPr>
        <w:t>.</w:t>
      </w:r>
    </w:p>
    <w:p w14:paraId="394F1807" w14:textId="3BB6491A"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9</w:t>
      </w:r>
      <w:r w:rsidRPr="00AB589E">
        <w:rPr>
          <w:rtl/>
        </w:rPr>
        <w:tab/>
      </w:r>
      <w:r w:rsidRPr="00A8078A">
        <w:rPr>
          <w:spacing w:val="-4"/>
          <w:rtl/>
        </w:rPr>
        <w:t xml:space="preserve">وتؤكد الدولة الطرف أن صاحب البلاغ لم يثبت أن التقييم الذي أجراه مجلس طعون اللاجئين كان تعسفياً أو بلغ حد الخطأ البيّن أو إنكار العدالة. وتدفع أيضاً بأن صاحب البلاغ لم يكشف عن وقوع أي مخالفة </w:t>
      </w:r>
      <w:r w:rsidRPr="00A8078A">
        <w:rPr>
          <w:spacing w:val="-5"/>
          <w:rtl/>
        </w:rPr>
        <w:t>في عملية اتخاذ القرار أو عن وجود أي عامل خطر لم يراعه المجلس على النحو الواجب في التوصل إلى</w:t>
      </w:r>
      <w:r w:rsidRPr="00A8078A">
        <w:rPr>
          <w:spacing w:val="-4"/>
          <w:rtl/>
        </w:rPr>
        <w:t xml:space="preserve"> قراره.</w:t>
      </w:r>
      <w:r w:rsidRPr="00AB589E">
        <w:rPr>
          <w:rtl/>
        </w:rPr>
        <w:t xml:space="preserve"> </w:t>
      </w:r>
      <w:r w:rsidRPr="00AB589E">
        <w:rPr>
          <w:rtl/>
        </w:rPr>
        <w:lastRenderedPageBreak/>
        <w:t xml:space="preserve">وتذكر أن صاحب البلاغ يطعن فقط في تقييم ملابسات قضيته والاستنتاجات </w:t>
      </w:r>
      <w:proofErr w:type="spellStart"/>
      <w:r w:rsidRPr="00AB589E">
        <w:rPr>
          <w:rtl/>
        </w:rPr>
        <w:t>الوقائعية</w:t>
      </w:r>
      <w:proofErr w:type="spellEnd"/>
      <w:r w:rsidRPr="00AB589E">
        <w:rPr>
          <w:rtl/>
        </w:rPr>
        <w:t xml:space="preserve"> ال</w:t>
      </w:r>
      <w:r>
        <w:rPr>
          <w:rtl/>
        </w:rPr>
        <w:t>م</w:t>
      </w:r>
      <w:r w:rsidRPr="00AB589E">
        <w:rPr>
          <w:rtl/>
        </w:rPr>
        <w:t xml:space="preserve">توصل إليها. وعليه، تدفع الدولة الطرف بأن صاحب البلاغ يحاول استخدام اللجنة لإعادة تقييم وقائع وملابسات طلب اللجوء الذي قدمه على أمل التوصل إلى نتيجة </w:t>
      </w:r>
      <w:r>
        <w:rPr>
          <w:rtl/>
        </w:rPr>
        <w:t>تخدم مصلحته بقدر أكبر</w:t>
      </w:r>
      <w:r w:rsidRPr="00AB589E">
        <w:rPr>
          <w:rtl/>
        </w:rPr>
        <w:t>.</w:t>
      </w:r>
    </w:p>
    <w:p w14:paraId="2A599834" w14:textId="715144EE" w:rsidR="000066C3" w:rsidRPr="00AB589E" w:rsidRDefault="000066C3" w:rsidP="0001217F">
      <w:pPr>
        <w:pStyle w:val="SingleTxtGA"/>
        <w:rPr>
          <w:rFonts w:eastAsia="Calibri"/>
          <w:lang w:val="en-US" w:eastAsia="zh-TW" w:bidi="en-GB"/>
        </w:rPr>
      </w:pPr>
      <w:r w:rsidRPr="00D858C6">
        <w:rPr>
          <w:rtl/>
        </w:rPr>
        <w:t>4</w:t>
      </w:r>
      <w:r w:rsidRPr="00AB589E">
        <w:rPr>
          <w:rtl/>
        </w:rPr>
        <w:t>-</w:t>
      </w:r>
      <w:r w:rsidRPr="00D858C6">
        <w:rPr>
          <w:rtl/>
        </w:rPr>
        <w:t>10</w:t>
      </w:r>
      <w:r w:rsidR="0001217F">
        <w:rPr>
          <w:rtl/>
        </w:rPr>
        <w:tab/>
      </w:r>
      <w:r w:rsidRPr="00AB589E">
        <w:rPr>
          <w:rtl/>
        </w:rPr>
        <w:t>وتلاحظ الدولة الطرف أن قضية صاحب البلاغ قد نظرت فيها هيئتان، وفي الحالة الثانية، سمح لصاحب البلاغ بتقديم أدلة شفوية وخطية فضل</w:t>
      </w:r>
      <w:r w:rsidR="000F39A8">
        <w:rPr>
          <w:rtl/>
        </w:rPr>
        <w:t xml:space="preserve">اً </w:t>
      </w:r>
      <w:r w:rsidRPr="00AB589E">
        <w:rPr>
          <w:rtl/>
        </w:rPr>
        <w:t>عن مدّه بخدمات مستشار قانوني. وتذكر أن مجلس طعون اللاجئين أجرى فحص</w:t>
      </w:r>
      <w:r w:rsidR="000F39A8">
        <w:rPr>
          <w:rtl/>
        </w:rPr>
        <w:t xml:space="preserve">اً </w:t>
      </w:r>
      <w:r w:rsidRPr="00AB589E">
        <w:rPr>
          <w:rtl/>
        </w:rPr>
        <w:t>شامل</w:t>
      </w:r>
      <w:r w:rsidR="000F39A8">
        <w:rPr>
          <w:rtl/>
        </w:rPr>
        <w:t xml:space="preserve">اً </w:t>
      </w:r>
      <w:r w:rsidRPr="00AB589E">
        <w:rPr>
          <w:rtl/>
        </w:rPr>
        <w:t>ودقيق</w:t>
      </w:r>
      <w:r w:rsidR="000F39A8">
        <w:rPr>
          <w:rtl/>
        </w:rPr>
        <w:t xml:space="preserve">اً </w:t>
      </w:r>
      <w:r w:rsidRPr="00AB589E">
        <w:rPr>
          <w:rtl/>
        </w:rPr>
        <w:t xml:space="preserve">لأقوال صاحب البلاغ إلى جانب جميع الأدلة الأخرى المقدمة في سياق القضية. </w:t>
      </w:r>
    </w:p>
    <w:p w14:paraId="4A30CD72" w14:textId="0EECF553"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11</w:t>
      </w:r>
      <w:r w:rsidR="0001217F">
        <w:rPr>
          <w:rtl/>
        </w:rPr>
        <w:tab/>
      </w:r>
      <w:r w:rsidRPr="00AB589E">
        <w:rPr>
          <w:rtl/>
        </w:rPr>
        <w:t>وتوضح أنه لما كانت قرارات مجلس طعون اللاجئين نهائية، فإن إعادة النظر القضائية في قراراته يمكن تطبيقها حيثما توجد أخطاء قانونية أو إجرائية أو ممارسة</w:t>
      </w:r>
      <w:r>
        <w:rPr>
          <w:rtl/>
        </w:rPr>
        <w:t xml:space="preserve"> غير قانونية</w:t>
      </w:r>
      <w:r w:rsidRPr="00AB589E">
        <w:rPr>
          <w:rtl/>
        </w:rPr>
        <w:t xml:space="preserve"> </w:t>
      </w:r>
      <w:r>
        <w:rPr>
          <w:rtl/>
        </w:rPr>
        <w:t>لل</w:t>
      </w:r>
      <w:r w:rsidRPr="00AB589E">
        <w:rPr>
          <w:rtl/>
        </w:rPr>
        <w:t xml:space="preserve">سلطة </w:t>
      </w:r>
      <w:r>
        <w:rPr>
          <w:rtl/>
        </w:rPr>
        <w:t>ال</w:t>
      </w:r>
      <w:r w:rsidRPr="00AB589E">
        <w:rPr>
          <w:rtl/>
        </w:rPr>
        <w:t>تقديرية.</w:t>
      </w:r>
    </w:p>
    <w:p w14:paraId="4D465DFD" w14:textId="5964855F" w:rsidR="000066C3" w:rsidRPr="000A2734" w:rsidRDefault="000066C3" w:rsidP="0001217F">
      <w:pPr>
        <w:pStyle w:val="SingleTxtGA"/>
        <w:rPr>
          <w:rFonts w:eastAsia="Times New Roman"/>
          <w:lang w:eastAsia="en-GB"/>
        </w:rPr>
      </w:pPr>
      <w:r w:rsidRPr="00D858C6">
        <w:rPr>
          <w:rtl/>
        </w:rPr>
        <w:t>4</w:t>
      </w:r>
      <w:r w:rsidRPr="00AB589E">
        <w:rPr>
          <w:rtl/>
        </w:rPr>
        <w:t>-</w:t>
      </w:r>
      <w:r w:rsidRPr="00D858C6">
        <w:rPr>
          <w:rtl/>
        </w:rPr>
        <w:t>12</w:t>
      </w:r>
      <w:r w:rsidR="0001217F">
        <w:rPr>
          <w:rtl/>
        </w:rPr>
        <w:tab/>
      </w:r>
      <w:r w:rsidRPr="00AB589E">
        <w:rPr>
          <w:rtl/>
        </w:rPr>
        <w:t>وتدعي الدولة الطرف أن تقييم مجلس طعون اللاجئين لمصداقية صاحب البلاغ تشمل تقييم</w:t>
      </w:r>
      <w:r w:rsidR="000F39A8">
        <w:rPr>
          <w:rtl/>
        </w:rPr>
        <w:t xml:space="preserve">اً </w:t>
      </w:r>
      <w:r w:rsidRPr="00AB589E">
        <w:rPr>
          <w:rtl/>
        </w:rPr>
        <w:t>شامل</w:t>
      </w:r>
      <w:r w:rsidR="000F39A8">
        <w:rPr>
          <w:rtl/>
        </w:rPr>
        <w:t xml:space="preserve">اً </w:t>
      </w:r>
      <w:r w:rsidRPr="00AB589E">
        <w:rPr>
          <w:rtl/>
        </w:rPr>
        <w:t>ضمني</w:t>
      </w:r>
      <w:r w:rsidR="000F39A8">
        <w:rPr>
          <w:rtl/>
        </w:rPr>
        <w:t xml:space="preserve">اً </w:t>
      </w:r>
      <w:r w:rsidRPr="00AB589E">
        <w:rPr>
          <w:rtl/>
        </w:rPr>
        <w:t>لأقوال ملتمس اللجوء وسلوكه أثناء الإجراءات أمام المجلس، فضل</w:t>
      </w:r>
      <w:r w:rsidR="000F39A8">
        <w:rPr>
          <w:rtl/>
        </w:rPr>
        <w:t xml:space="preserve">اً </w:t>
      </w:r>
      <w:r w:rsidRPr="00AB589E">
        <w:rPr>
          <w:rtl/>
        </w:rPr>
        <w:t>عن جميع ال</w:t>
      </w:r>
      <w:r>
        <w:rPr>
          <w:rtl/>
        </w:rPr>
        <w:t>عناصر المادية</w:t>
      </w:r>
      <w:r w:rsidRPr="00AB589E">
        <w:rPr>
          <w:rtl/>
        </w:rPr>
        <w:t xml:space="preserve"> الأخرى في القضية، بم</w:t>
      </w:r>
      <w:r w:rsidR="000F39A8">
        <w:rPr>
          <w:rtl/>
        </w:rPr>
        <w:t xml:space="preserve">اً </w:t>
      </w:r>
      <w:r w:rsidRPr="00AB589E">
        <w:rPr>
          <w:rtl/>
        </w:rPr>
        <w:t xml:space="preserve">في ذلك المعلومات القطرية. وتؤكد الدولة الطرف، </w:t>
      </w:r>
      <w:r>
        <w:rPr>
          <w:rtl/>
        </w:rPr>
        <w:t>بخصوص</w:t>
      </w:r>
      <w:r w:rsidRPr="00AB589E">
        <w:rPr>
          <w:rtl/>
        </w:rPr>
        <w:t xml:space="preserve"> تقييماتها، أن المجلس ينظر فيما إذا كانت ال</w:t>
      </w:r>
      <w:r>
        <w:rPr>
          <w:rtl/>
        </w:rPr>
        <w:t>أقوال</w:t>
      </w:r>
      <w:r w:rsidRPr="00AB589E">
        <w:rPr>
          <w:rtl/>
        </w:rPr>
        <w:t xml:space="preserve"> متماسكة ومحتملة ومتسقة. وإذا تبين</w:t>
      </w:r>
      <w:r>
        <w:rPr>
          <w:rtl/>
        </w:rPr>
        <w:t xml:space="preserve"> له</w:t>
      </w:r>
      <w:r w:rsidRPr="00AB589E">
        <w:rPr>
          <w:rtl/>
        </w:rPr>
        <w:t xml:space="preserve"> أن شرح </w:t>
      </w:r>
      <w:r>
        <w:rPr>
          <w:rtl/>
        </w:rPr>
        <w:t>طالب اللجوء</w:t>
      </w:r>
      <w:r w:rsidRPr="00AB589E">
        <w:rPr>
          <w:rtl/>
        </w:rPr>
        <w:t xml:space="preserve"> لا</w:t>
      </w:r>
      <w:r w:rsidR="00A8078A">
        <w:rPr>
          <w:rFonts w:hint="cs"/>
          <w:rtl/>
        </w:rPr>
        <w:t> </w:t>
      </w:r>
      <w:r w:rsidRPr="00AB589E">
        <w:rPr>
          <w:rtl/>
        </w:rPr>
        <w:t xml:space="preserve">يمكن اعتباره ذا مصداقية، فإنه يقدم عادة، في تعليله، أمثلة على بعض أوجه عدم الاتساق، التي </w:t>
      </w:r>
      <w:r>
        <w:rPr>
          <w:rtl/>
        </w:rPr>
        <w:t>وقف</w:t>
      </w:r>
      <w:r w:rsidRPr="00AB589E">
        <w:rPr>
          <w:rtl/>
        </w:rPr>
        <w:t xml:space="preserve"> عليها، وليس بالضرورة جميعها. </w:t>
      </w:r>
    </w:p>
    <w:p w14:paraId="72833D0D" w14:textId="1D0A5A13" w:rsidR="001B2505" w:rsidRPr="00A8078A" w:rsidRDefault="000066C3" w:rsidP="0001217F">
      <w:pPr>
        <w:pStyle w:val="SingleTxtGA"/>
        <w:rPr>
          <w:rFonts w:eastAsia="Calibri"/>
          <w:spacing w:val="2"/>
          <w:lang w:val="ar-SA" w:eastAsia="zh-TW" w:bidi="en-GB"/>
        </w:rPr>
      </w:pPr>
      <w:r w:rsidRPr="00D858C6">
        <w:rPr>
          <w:spacing w:val="2"/>
          <w:rtl/>
        </w:rPr>
        <w:t>4</w:t>
      </w:r>
      <w:r w:rsidRPr="00A8078A">
        <w:rPr>
          <w:spacing w:val="2"/>
          <w:rtl/>
        </w:rPr>
        <w:t>-</w:t>
      </w:r>
      <w:r w:rsidRPr="00D858C6">
        <w:rPr>
          <w:spacing w:val="2"/>
          <w:rtl/>
        </w:rPr>
        <w:t>13</w:t>
      </w:r>
      <w:r w:rsidR="0001217F" w:rsidRPr="00A8078A">
        <w:rPr>
          <w:spacing w:val="2"/>
          <w:rtl/>
        </w:rPr>
        <w:tab/>
      </w:r>
      <w:r w:rsidRPr="00A8078A">
        <w:rPr>
          <w:spacing w:val="2"/>
          <w:rtl/>
        </w:rPr>
        <w:t>وفيما يتعلق بأنشطة صاحب البلاغ في الدانمرك، بما في ذلك تعميده ووشمه الديني وتعليقاته على الفيسبوك، تؤيد</w:t>
      </w:r>
      <w:r w:rsidR="00364AD9" w:rsidRPr="00A8078A">
        <w:rPr>
          <w:spacing w:val="2"/>
          <w:rtl/>
        </w:rPr>
        <w:t xml:space="preserve"> </w:t>
      </w:r>
      <w:r w:rsidRPr="00A8078A">
        <w:rPr>
          <w:spacing w:val="2"/>
          <w:rtl/>
        </w:rPr>
        <w:t>الدولة الطرف تقييم مجلس طعون اللاجئين بأنه لا مجال للمخاطرة بجعل صاحب البلاغ عرضة لخطر المعاملة المخالفة للعهد، بالاستناد إلى ما خلص إليه المجلس من أن اعتناقه المسيحية ليس حقيقي</w:t>
      </w:r>
      <w:r w:rsidR="003B6CFD" w:rsidRPr="00A8078A">
        <w:rPr>
          <w:spacing w:val="2"/>
          <w:rtl/>
        </w:rPr>
        <w:t>اً.</w:t>
      </w:r>
      <w:r w:rsidRPr="00A8078A">
        <w:rPr>
          <w:spacing w:val="2"/>
          <w:rtl/>
        </w:rPr>
        <w:t xml:space="preserve"> ودعماً لذلك، تقتبس الدولة الطرف توجيهات صادرة عن مفوضية الأمم المتحدة السامية لشؤون اللاجئين بشأن إجراءات اللجوء، تنص على ما يلي: "إذا تحوَّل الفرد عن دينه بعد مغادرته بلده الأصلي، فقد ينشئ ذلك</w:t>
      </w:r>
      <w:r w:rsidR="00364AD9" w:rsidRPr="00A8078A">
        <w:rPr>
          <w:spacing w:val="2"/>
          <w:rtl/>
        </w:rPr>
        <w:t xml:space="preserve"> </w:t>
      </w:r>
      <w:r w:rsidRPr="00A8078A">
        <w:rPr>
          <w:spacing w:val="2"/>
          <w:rtl/>
        </w:rPr>
        <w:t>مطالبة في عين المكان. وفي مثل هذه الحالات، تُثار شواغل خاصة بشأن المصداقية ويلزم إجراء دراسة صارمة ومتعمقة لظروف تحوّل الشخص عن دينه ومدى</w:t>
      </w:r>
      <w:r w:rsidR="00A8078A">
        <w:rPr>
          <w:rFonts w:hint="cs"/>
          <w:spacing w:val="2"/>
          <w:rtl/>
        </w:rPr>
        <w:t> </w:t>
      </w:r>
      <w:r w:rsidRPr="00A8078A">
        <w:rPr>
          <w:spacing w:val="2"/>
          <w:rtl/>
        </w:rPr>
        <w:t>صحته"</w:t>
      </w:r>
      <w:r w:rsidR="001B2505" w:rsidRPr="00A8078A">
        <w:rPr>
          <w:rStyle w:val="FootnoteReference"/>
          <w:rFonts w:ascii="Traditional Arabic" w:eastAsia="Calibri" w:hAnsi="Traditional Arabic"/>
          <w:spacing w:val="2"/>
          <w:sz w:val="30"/>
          <w:rtl/>
        </w:rPr>
        <w:t>(</w:t>
      </w:r>
      <w:r w:rsidR="001B2505" w:rsidRPr="00D858C6">
        <w:rPr>
          <w:rStyle w:val="FootnoteReference"/>
          <w:rFonts w:ascii="Traditional Arabic" w:eastAsia="Calibri" w:hAnsi="Traditional Arabic"/>
          <w:spacing w:val="2"/>
          <w:sz w:val="30"/>
          <w:lang w:val="en-US"/>
        </w:rPr>
        <w:footnoteReference w:id="12"/>
      </w:r>
      <w:r w:rsidR="001B2505" w:rsidRPr="00A8078A">
        <w:rPr>
          <w:rStyle w:val="FootnoteReference"/>
          <w:rFonts w:ascii="Traditional Arabic" w:eastAsia="Calibri" w:hAnsi="Traditional Arabic"/>
          <w:spacing w:val="2"/>
          <w:sz w:val="30"/>
          <w:rtl/>
        </w:rPr>
        <w:t>)</w:t>
      </w:r>
      <w:r w:rsidR="001B2505" w:rsidRPr="00A8078A">
        <w:rPr>
          <w:spacing w:val="2"/>
          <w:rtl/>
        </w:rPr>
        <w:t>.</w:t>
      </w:r>
    </w:p>
    <w:p w14:paraId="06E4B9E4" w14:textId="235D5266"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14</w:t>
      </w:r>
      <w:r w:rsidR="0001217F">
        <w:rPr>
          <w:rtl/>
        </w:rPr>
        <w:tab/>
      </w:r>
      <w:r w:rsidRPr="00AB589E">
        <w:rPr>
          <w:rtl/>
        </w:rPr>
        <w:t>وفي هذا السياق، تؤكد الدولة الطرف أن مجلس طعون اللاجئين أجرى تقييم</w:t>
      </w:r>
      <w:r w:rsidR="000F39A8">
        <w:rPr>
          <w:rtl/>
        </w:rPr>
        <w:t xml:space="preserve">اً </w:t>
      </w:r>
      <w:r w:rsidRPr="00AB589E">
        <w:rPr>
          <w:rtl/>
        </w:rPr>
        <w:t>دقيق</w:t>
      </w:r>
      <w:r w:rsidR="000F39A8">
        <w:rPr>
          <w:rtl/>
        </w:rPr>
        <w:t xml:space="preserve">اً </w:t>
      </w:r>
      <w:r w:rsidRPr="00AB589E">
        <w:rPr>
          <w:rtl/>
        </w:rPr>
        <w:t>لأقوال صاحب البلاغ، فضل</w:t>
      </w:r>
      <w:r w:rsidR="000F39A8">
        <w:rPr>
          <w:rtl/>
        </w:rPr>
        <w:t xml:space="preserve">اً </w:t>
      </w:r>
      <w:r w:rsidRPr="00AB589E">
        <w:rPr>
          <w:rtl/>
        </w:rPr>
        <w:t>عن جميع الملابسات الأخرى في القضية، وفق</w:t>
      </w:r>
      <w:r w:rsidR="000F39A8">
        <w:rPr>
          <w:rtl/>
        </w:rPr>
        <w:t xml:space="preserve">اً </w:t>
      </w:r>
      <w:r w:rsidRPr="00AB589E">
        <w:rPr>
          <w:rtl/>
        </w:rPr>
        <w:t xml:space="preserve">للإجراءات التي رأت المحكمة الأوروبية لحقوق الإنسان أنها كافية في قضية </w:t>
      </w:r>
      <w:r w:rsidRPr="00D858C6">
        <w:rPr>
          <w:i/>
          <w:iCs/>
          <w:rtl/>
        </w:rPr>
        <w:t>م. إ</w:t>
      </w:r>
      <w:r w:rsidR="000F39A8" w:rsidRPr="00D858C6">
        <w:rPr>
          <w:rFonts w:hint="cs"/>
          <w:i/>
          <w:iCs/>
          <w:rtl/>
        </w:rPr>
        <w:t>.</w:t>
      </w:r>
      <w:r w:rsidRPr="00D858C6">
        <w:rPr>
          <w:i/>
          <w:iCs/>
          <w:rtl/>
        </w:rPr>
        <w:t xml:space="preserve"> ضد الدنمارك</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3"/>
      </w:r>
      <w:r w:rsidR="001B2505" w:rsidRPr="001B2505">
        <w:rPr>
          <w:rStyle w:val="FootnoteReference"/>
          <w:rFonts w:ascii="Traditional Arabic" w:eastAsia="Calibri" w:hAnsi="Traditional Arabic"/>
          <w:sz w:val="30"/>
          <w:rtl/>
        </w:rPr>
        <w:t>)</w:t>
      </w:r>
      <w:r w:rsidR="001B2505" w:rsidRPr="001B2505">
        <w:rPr>
          <w:rtl/>
        </w:rPr>
        <w:t xml:space="preserve">. </w:t>
      </w:r>
    </w:p>
    <w:p w14:paraId="0FBC2118" w14:textId="3E2D581D"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15</w:t>
      </w:r>
      <w:r w:rsidR="0001217F">
        <w:rPr>
          <w:rtl/>
        </w:rPr>
        <w:tab/>
      </w:r>
      <w:r w:rsidRPr="00AB589E">
        <w:rPr>
          <w:rtl/>
        </w:rPr>
        <w:t>وتؤكد الدولة الطرف من جديد أن</w:t>
      </w:r>
      <w:r>
        <w:rPr>
          <w:rtl/>
        </w:rPr>
        <w:t xml:space="preserve"> تقييم الأدلة الذي أجراه مجلس طعون اللاجئين</w:t>
      </w:r>
      <w:r w:rsidRPr="00AB589E">
        <w:rPr>
          <w:rtl/>
        </w:rPr>
        <w:t xml:space="preserve"> في حالة صاحب البلاغ، </w:t>
      </w:r>
      <w:r>
        <w:rPr>
          <w:rtl/>
        </w:rPr>
        <w:t>تضمن</w:t>
      </w:r>
      <w:r w:rsidR="00364AD9">
        <w:rPr>
          <w:rtl/>
        </w:rPr>
        <w:t xml:space="preserve"> </w:t>
      </w:r>
      <w:r w:rsidRPr="00AB589E">
        <w:rPr>
          <w:rtl/>
        </w:rPr>
        <w:t>مصداقيته العامة وظروف تحوله الديني المزعوم</w:t>
      </w:r>
      <w:r>
        <w:rPr>
          <w:rtl/>
        </w:rPr>
        <w:t>.</w:t>
      </w:r>
      <w:r w:rsidRPr="00AB589E">
        <w:rPr>
          <w:rtl/>
        </w:rPr>
        <w:t xml:space="preserve">. </w:t>
      </w:r>
    </w:p>
    <w:p w14:paraId="3F4E5136" w14:textId="6F7EB874"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16</w:t>
      </w:r>
      <w:r w:rsidR="0001217F">
        <w:rPr>
          <w:rtl/>
        </w:rPr>
        <w:tab/>
      </w:r>
      <w:r w:rsidRPr="00AB589E">
        <w:rPr>
          <w:rtl/>
        </w:rPr>
        <w:t>وفي هذا ال</w:t>
      </w:r>
      <w:r>
        <w:rPr>
          <w:rtl/>
        </w:rPr>
        <w:t>خصوص</w:t>
      </w:r>
      <w:r w:rsidRPr="00AB589E">
        <w:rPr>
          <w:rtl/>
        </w:rPr>
        <w:t>، توجّه الدولة الطرف انتباه اللجنة أيضاً إلى النقاش العام الدائر في الدانمرك عموم</w:t>
      </w:r>
      <w:r w:rsidR="000F39A8">
        <w:rPr>
          <w:rtl/>
        </w:rPr>
        <w:t xml:space="preserve">اً </w:t>
      </w:r>
      <w:r w:rsidRPr="00AB589E">
        <w:rPr>
          <w:rtl/>
        </w:rPr>
        <w:t xml:space="preserve">وفي أوساط </w:t>
      </w:r>
      <w:r>
        <w:rPr>
          <w:rtl/>
        </w:rPr>
        <w:t>ملتمسي</w:t>
      </w:r>
      <w:r w:rsidRPr="00AB589E">
        <w:rPr>
          <w:rtl/>
        </w:rPr>
        <w:t xml:space="preserve"> اللجوء خصوصا</w:t>
      </w:r>
      <w:r w:rsidR="00997F74">
        <w:rPr>
          <w:rFonts w:hint="cs"/>
          <w:rtl/>
        </w:rPr>
        <w:t>ً</w:t>
      </w:r>
      <w:r w:rsidRPr="00AB589E">
        <w:rPr>
          <w:rtl/>
        </w:rPr>
        <w:t xml:space="preserve">، </w:t>
      </w:r>
      <w:r>
        <w:rPr>
          <w:rtl/>
        </w:rPr>
        <w:t>الذي</w:t>
      </w:r>
      <w:r w:rsidRPr="00AB589E">
        <w:rPr>
          <w:rtl/>
        </w:rPr>
        <w:t xml:space="preserve"> </w:t>
      </w:r>
      <w:r>
        <w:rPr>
          <w:rtl/>
        </w:rPr>
        <w:t>ي</w:t>
      </w:r>
      <w:r w:rsidRPr="00AB589E">
        <w:rPr>
          <w:rtl/>
        </w:rPr>
        <w:t xml:space="preserve">ركز على أهمية التحوّل الديني، الذي يكون عادةً من الإسلام إلى المسيحية، </w:t>
      </w:r>
      <w:r>
        <w:rPr>
          <w:rtl/>
        </w:rPr>
        <w:t>وتأثيره الإيجابي على ال</w:t>
      </w:r>
      <w:r w:rsidRPr="00AB589E">
        <w:rPr>
          <w:rtl/>
        </w:rPr>
        <w:t>نتائج التي تسفر عنها قضايا اللجوء.</w:t>
      </w:r>
      <w:r w:rsidR="00364AD9">
        <w:rPr>
          <w:rtl/>
        </w:rPr>
        <w:t xml:space="preserve"> </w:t>
      </w:r>
    </w:p>
    <w:p w14:paraId="3A8E6700" w14:textId="5B499038" w:rsidR="000066C3" w:rsidRPr="00AB589E" w:rsidRDefault="000066C3" w:rsidP="0001217F">
      <w:pPr>
        <w:pStyle w:val="SingleTxtGA"/>
        <w:rPr>
          <w:rFonts w:eastAsia="Calibri"/>
          <w:lang w:val="ar-SA" w:eastAsia="zh-TW" w:bidi="en-GB"/>
        </w:rPr>
      </w:pPr>
      <w:r w:rsidRPr="00D858C6">
        <w:rPr>
          <w:rtl/>
        </w:rPr>
        <w:lastRenderedPageBreak/>
        <w:t>4</w:t>
      </w:r>
      <w:r w:rsidRPr="00AB589E">
        <w:rPr>
          <w:rtl/>
        </w:rPr>
        <w:t>-</w:t>
      </w:r>
      <w:r w:rsidRPr="00D858C6">
        <w:rPr>
          <w:rtl/>
        </w:rPr>
        <w:t>17</w:t>
      </w:r>
      <w:r w:rsidR="0001217F">
        <w:rPr>
          <w:rtl/>
        </w:rPr>
        <w:tab/>
      </w:r>
      <w:r w:rsidRPr="00AB589E">
        <w:rPr>
          <w:rtl/>
        </w:rPr>
        <w:t>وفيما يتعلق بادعاءات صاحب البلاغ بأنه سيتعين عليه إخفاء دينه في جمهورية إيران الإسلامية، تُكرر الدولة الطرف ما خلص إليه مجلس طعون اللاجئين</w:t>
      </w:r>
      <w:r>
        <w:rPr>
          <w:rtl/>
        </w:rPr>
        <w:t xml:space="preserve"> من</w:t>
      </w:r>
      <w:r w:rsidRPr="00AB589E">
        <w:rPr>
          <w:rtl/>
        </w:rPr>
        <w:t xml:space="preserve"> أن</w:t>
      </w:r>
      <w:r>
        <w:rPr>
          <w:rtl/>
        </w:rPr>
        <w:t xml:space="preserve"> صاحب البلاغ لم يثبت صحة اعتناقه</w:t>
      </w:r>
      <w:r w:rsidRPr="00AB589E">
        <w:rPr>
          <w:rtl/>
        </w:rPr>
        <w:t xml:space="preserve"> المسيحية، </w:t>
      </w:r>
      <w:r>
        <w:rPr>
          <w:rtl/>
        </w:rPr>
        <w:t>ولذا</w:t>
      </w:r>
      <w:r w:rsidRPr="00AB589E">
        <w:rPr>
          <w:rtl/>
        </w:rPr>
        <w:t xml:space="preserve"> لا يمكن افتراض أنه سيواجه الاضطهاد في جمهورية إيران الإسلامية</w:t>
      </w:r>
      <w:r>
        <w:rPr>
          <w:rtl/>
        </w:rPr>
        <w:t>،</w:t>
      </w:r>
      <w:r w:rsidRPr="00AB589E">
        <w:rPr>
          <w:rtl/>
        </w:rPr>
        <w:t xml:space="preserve"> وأن </w:t>
      </w:r>
      <w:r w:rsidRPr="009D0A61">
        <w:rPr>
          <w:spacing w:val="-2"/>
          <w:rtl/>
        </w:rPr>
        <w:t>لديه، علاوة على ذلك، ملف شخصي محفوظ لدى السلطات الإيرانية. وخلص المجلس إلى أن الوشم المسيحي لصاحب البلاغ وحده لا يكفي لتفعيل التزامات الدولة الطرف بالحماية، لأن صاحب البلاغ لم يقدم ما يثبت احتمال أن يجعله ذلك في مواجهة مع السلطات الإيرانية أو تعرضه لأي جزاءات مفرطة قد تترتب على</w:t>
      </w:r>
      <w:r w:rsidRPr="00AB589E">
        <w:rPr>
          <w:rtl/>
        </w:rPr>
        <w:t xml:space="preserve"> اكتشاف وشمه. وعلى أي حال، تلاحظ الدولة الطرف أنه بغض النظر عن صدق اعتناقه المسيحية، </w:t>
      </w:r>
      <w:r>
        <w:rPr>
          <w:rtl/>
        </w:rPr>
        <w:t xml:space="preserve">فقد </w:t>
      </w:r>
      <w:r w:rsidRPr="00AB589E">
        <w:rPr>
          <w:rtl/>
        </w:rPr>
        <w:t>قام المجلس ضمني</w:t>
      </w:r>
      <w:r w:rsidR="000F39A8">
        <w:rPr>
          <w:rtl/>
        </w:rPr>
        <w:t xml:space="preserve">اً </w:t>
      </w:r>
      <w:r w:rsidRPr="00AB589E">
        <w:rPr>
          <w:rtl/>
        </w:rPr>
        <w:t>بتقييم ما إذا كان سلوك صاحب البلاغ وأنشطته يمكن أن تترتب عليها، في ظل هذه الظروف، عواقب سلبية من شأنها أن تعرضه للخطر، وخلص إلى أن</w:t>
      </w:r>
      <w:r>
        <w:rPr>
          <w:rtl/>
        </w:rPr>
        <w:t xml:space="preserve"> الوضع</w:t>
      </w:r>
      <w:r w:rsidRPr="00AB589E">
        <w:rPr>
          <w:rtl/>
        </w:rPr>
        <w:t xml:space="preserve"> لن </w:t>
      </w:r>
      <w:r>
        <w:rPr>
          <w:rtl/>
        </w:rPr>
        <w:t>ي</w:t>
      </w:r>
      <w:r w:rsidRPr="00AB589E">
        <w:rPr>
          <w:rtl/>
        </w:rPr>
        <w:t xml:space="preserve">كون كذلك. </w:t>
      </w:r>
    </w:p>
    <w:p w14:paraId="0A22FFA7" w14:textId="1E3F2D3A" w:rsidR="001B2505" w:rsidRPr="001B2505" w:rsidRDefault="000066C3" w:rsidP="0001217F">
      <w:pPr>
        <w:pStyle w:val="SingleTxtGA"/>
        <w:rPr>
          <w:rFonts w:eastAsia="Calibri"/>
          <w:lang w:val="ar-SA" w:eastAsia="zh-TW" w:bidi="en-GB"/>
        </w:rPr>
      </w:pPr>
      <w:r w:rsidRPr="00D858C6">
        <w:rPr>
          <w:rtl/>
        </w:rPr>
        <w:t>4</w:t>
      </w:r>
      <w:r w:rsidRPr="00AB589E">
        <w:rPr>
          <w:rtl/>
        </w:rPr>
        <w:t>-</w:t>
      </w:r>
      <w:r w:rsidRPr="00D858C6">
        <w:rPr>
          <w:rtl/>
        </w:rPr>
        <w:t>18</w:t>
      </w:r>
      <w:r w:rsidR="0001217F">
        <w:rPr>
          <w:rtl/>
        </w:rPr>
        <w:tab/>
      </w:r>
      <w:r w:rsidRPr="00AB589E">
        <w:rPr>
          <w:rtl/>
        </w:rPr>
        <w:t xml:space="preserve">وتشير الدولة الطرف إلى المعلومات القطرية </w:t>
      </w:r>
      <w:r>
        <w:rPr>
          <w:rtl/>
        </w:rPr>
        <w:t>مدعية أن</w:t>
      </w:r>
      <w:r w:rsidRPr="00AB589E">
        <w:rPr>
          <w:rtl/>
        </w:rPr>
        <w:t xml:space="preserve">ها </w:t>
      </w:r>
      <w:r>
        <w:rPr>
          <w:rtl/>
        </w:rPr>
        <w:t>تفيد</w:t>
      </w:r>
      <w:r w:rsidRPr="00AB589E">
        <w:rPr>
          <w:rtl/>
        </w:rPr>
        <w:t xml:space="preserve"> </w:t>
      </w:r>
      <w:r>
        <w:rPr>
          <w:rtl/>
        </w:rPr>
        <w:t>ب</w:t>
      </w:r>
      <w:r w:rsidRPr="00AB589E">
        <w:rPr>
          <w:rtl/>
        </w:rPr>
        <w:t>أن السلطات الإيرانية تدرك أن المواطنين الإيرانيين يستخدمون اعتناق المسيحية أساس</w:t>
      </w:r>
      <w:r w:rsidR="000F39A8">
        <w:rPr>
          <w:rtl/>
        </w:rPr>
        <w:t xml:space="preserve">اً </w:t>
      </w:r>
      <w:r w:rsidRPr="00AB589E">
        <w:rPr>
          <w:rtl/>
        </w:rPr>
        <w:t>ل</w:t>
      </w:r>
      <w:r>
        <w:rPr>
          <w:rtl/>
        </w:rPr>
        <w:t>طلب ال</w:t>
      </w:r>
      <w:r w:rsidRPr="00AB589E">
        <w:rPr>
          <w:rtl/>
        </w:rPr>
        <w:t xml:space="preserve">لجوء، </w:t>
      </w:r>
      <w:r>
        <w:rPr>
          <w:rtl/>
        </w:rPr>
        <w:t>لكن</w:t>
      </w:r>
      <w:r w:rsidRPr="00AB589E">
        <w:rPr>
          <w:rtl/>
        </w:rPr>
        <w:t xml:space="preserve"> هذا الاعتناق في حد ذاته لا يؤدي إلى فرض جزاءات </w:t>
      </w:r>
      <w:r>
        <w:rPr>
          <w:rtl/>
        </w:rPr>
        <w:t>تصل</w:t>
      </w:r>
      <w:r w:rsidRPr="00AB589E">
        <w:rPr>
          <w:rtl/>
        </w:rPr>
        <w:t xml:space="preserve"> إلى حد الاضطهاد. وتلاحظ الدولة الطرف </w:t>
      </w:r>
      <w:r>
        <w:rPr>
          <w:rtl/>
        </w:rPr>
        <w:t>عدم إعدام</w:t>
      </w:r>
      <w:r w:rsidRPr="00AB589E">
        <w:rPr>
          <w:rtl/>
        </w:rPr>
        <w:t xml:space="preserve"> أي شخص في جمهورية إيران الإسلامية جراء تحوله عن دينه وأن السلطات تتحلّى ب</w:t>
      </w:r>
      <w:r>
        <w:rPr>
          <w:rtl/>
        </w:rPr>
        <w:t xml:space="preserve">قدر من </w:t>
      </w:r>
      <w:r w:rsidRPr="00AB589E">
        <w:rPr>
          <w:rtl/>
        </w:rPr>
        <w:t>المرونة إزاء هذه المسائل</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4"/>
      </w:r>
      <w:r w:rsidR="001B2505" w:rsidRPr="001B2505">
        <w:rPr>
          <w:rStyle w:val="FootnoteReference"/>
          <w:rFonts w:ascii="Traditional Arabic" w:eastAsia="Calibri" w:hAnsi="Traditional Arabic"/>
          <w:sz w:val="30"/>
          <w:rtl/>
        </w:rPr>
        <w:t>)</w:t>
      </w:r>
      <w:r w:rsidR="001B2505" w:rsidRPr="001B2505">
        <w:rPr>
          <w:rtl/>
        </w:rPr>
        <w:t>.</w:t>
      </w:r>
    </w:p>
    <w:p w14:paraId="48FF3F46" w14:textId="7BB6569F"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19</w:t>
      </w:r>
      <w:r w:rsidR="0001217F">
        <w:rPr>
          <w:rtl/>
        </w:rPr>
        <w:tab/>
      </w:r>
      <w:r w:rsidRPr="00AB589E">
        <w:rPr>
          <w:rtl/>
        </w:rPr>
        <w:t xml:space="preserve">وفيما يتعلق بالمظاهرة، تفترض الدولة الطرف أن هذا العنصر غير قادر على تغيير التقييم، حيث لا يبدو بأي حال من الأحوال أن السلطات الإيرانية قد </w:t>
      </w:r>
      <w:r>
        <w:rPr>
          <w:rtl/>
        </w:rPr>
        <w:t xml:space="preserve">رصدت </w:t>
      </w:r>
      <w:r w:rsidRPr="00AB589E">
        <w:rPr>
          <w:rtl/>
        </w:rPr>
        <w:t>ملامح صاحب البلاغ، ومن ثم فمن غير المرجح أن تكون مشاركته قد لفتت انتباه السلطات إليه.</w:t>
      </w:r>
    </w:p>
    <w:p w14:paraId="032B3301" w14:textId="086339EA" w:rsidR="000066C3" w:rsidRPr="00AB589E" w:rsidRDefault="000066C3" w:rsidP="0001217F">
      <w:pPr>
        <w:pStyle w:val="SingleTxtGA"/>
        <w:rPr>
          <w:rFonts w:eastAsia="Calibri"/>
          <w:lang w:val="en-US" w:eastAsia="zh-TW" w:bidi="en-GB"/>
        </w:rPr>
      </w:pPr>
      <w:r w:rsidRPr="00D858C6">
        <w:rPr>
          <w:rtl/>
        </w:rPr>
        <w:t>4</w:t>
      </w:r>
      <w:r w:rsidRPr="00AB589E">
        <w:rPr>
          <w:rtl/>
        </w:rPr>
        <w:t>-</w:t>
      </w:r>
      <w:r w:rsidRPr="00D858C6">
        <w:rPr>
          <w:rtl/>
        </w:rPr>
        <w:t>20</w:t>
      </w:r>
      <w:r w:rsidR="0001217F">
        <w:rPr>
          <w:rtl/>
        </w:rPr>
        <w:tab/>
      </w:r>
      <w:r w:rsidRPr="00AB589E">
        <w:rPr>
          <w:rtl/>
        </w:rPr>
        <w:t>وفيما يتعلق بمغادرته غير القانونية جمهورية إيران الإسلامية وافتقاره إلى جواز السفر، تؤكد الدولة الطرف أن هذا لا ي</w:t>
      </w:r>
      <w:r>
        <w:rPr>
          <w:rtl/>
        </w:rPr>
        <w:t>نطوي</w:t>
      </w:r>
      <w:r w:rsidRPr="00AB589E">
        <w:rPr>
          <w:rtl/>
        </w:rPr>
        <w:t xml:space="preserve"> في حد ذاته</w:t>
      </w:r>
      <w:r>
        <w:rPr>
          <w:rtl/>
        </w:rPr>
        <w:t xml:space="preserve"> على</w:t>
      </w:r>
      <w:r w:rsidRPr="00AB589E">
        <w:rPr>
          <w:rtl/>
        </w:rPr>
        <w:t xml:space="preserve"> خطر تعرض للاضطهاد. وتشير إلى قرار صادر عن المحكمة العليا للمملكة المتحدة لبريطانيا العظمى وأيرلندا الشمالية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5"/>
      </w:r>
      <w:r w:rsidR="00DF12DF">
        <w:rPr>
          <w:rStyle w:val="FootnoteReference"/>
          <w:rFonts w:ascii="Traditional Arabic" w:eastAsia="Calibri" w:hAnsi="Traditional Arabic"/>
          <w:sz w:val="30"/>
          <w:rtl/>
        </w:rPr>
        <w:t>)</w:t>
      </w:r>
      <w:r w:rsidR="000F39A8">
        <w:rPr>
          <w:rFonts w:hint="cs"/>
          <w:rtl/>
        </w:rPr>
        <w:t xml:space="preserve"> </w:t>
      </w:r>
      <w:r w:rsidRPr="00AB589E">
        <w:rPr>
          <w:rtl/>
        </w:rPr>
        <w:t xml:space="preserve">جاء فيه ما يلي: "(أ) يعاد الشخص الذكر الإيراني المطلوب عودته إلى إيران، والذي لا يحمل جواز سفر، باستخدام جواز مرور، يمكن الحصول عليه من السفارة الإيرانية بناء على إثبات الجنسية والهوية؛ </w:t>
      </w:r>
      <w:r>
        <w:rPr>
          <w:rtl/>
        </w:rPr>
        <w:t>و</w:t>
      </w:r>
      <w:r w:rsidRPr="00AB589E">
        <w:rPr>
          <w:rtl/>
        </w:rPr>
        <w:t>(ب) لا يواجه الشخص الذكر الإيراني، الذي لم تبد الدولة الإيرانية أي اهتمام سلبي بشأنه من قبل، خطر</w:t>
      </w:r>
      <w:r w:rsidR="000F39A8">
        <w:rPr>
          <w:rtl/>
        </w:rPr>
        <w:t xml:space="preserve">اً </w:t>
      </w:r>
      <w:r w:rsidRPr="00AB589E">
        <w:rPr>
          <w:rtl/>
        </w:rPr>
        <w:t>حقيقي</w:t>
      </w:r>
      <w:r w:rsidR="000F39A8">
        <w:rPr>
          <w:rtl/>
        </w:rPr>
        <w:t xml:space="preserve">اً </w:t>
      </w:r>
      <w:r w:rsidRPr="00AB589E">
        <w:rPr>
          <w:rtl/>
        </w:rPr>
        <w:t xml:space="preserve">بالاضطهاد/انتهاك الحقوق المنصوص عليها في المادة </w:t>
      </w:r>
      <w:r w:rsidRPr="00D858C6">
        <w:rPr>
          <w:rtl/>
        </w:rPr>
        <w:t>3</w:t>
      </w:r>
      <w:r w:rsidRPr="00AB589E">
        <w:rPr>
          <w:rtl/>
        </w:rPr>
        <w:t xml:space="preserve"> لدى عودته إلى إيران بسبب مغادرته بصورة غير قانونية أو بسبب رفض طلبه </w:t>
      </w:r>
      <w:r>
        <w:rPr>
          <w:rtl/>
        </w:rPr>
        <w:t>ا</w:t>
      </w:r>
      <w:r w:rsidRPr="00AB589E">
        <w:rPr>
          <w:rtl/>
        </w:rPr>
        <w:t xml:space="preserve">للجوء. ولم يثبت </w:t>
      </w:r>
      <w:r>
        <w:rPr>
          <w:rtl/>
        </w:rPr>
        <w:t>وجود</w:t>
      </w:r>
      <w:r w:rsidRPr="00AB589E">
        <w:rPr>
          <w:rtl/>
        </w:rPr>
        <w:t xml:space="preserve"> هذا الخطر، حتى تاريخ الاستجواب، لدى العودة إلى إيران ولا بعد الوقائع (أي الخروج غير القانوني ورفض طلب اللجوء</w:t>
      </w:r>
      <w:r w:rsidR="001B2505" w:rsidRPr="001B2505">
        <w:rPr>
          <w:rtl/>
        </w:rPr>
        <w:t xml:space="preserve">). </w:t>
      </w:r>
      <w:r w:rsidRPr="00AB589E">
        <w:rPr>
          <w:rtl/>
        </w:rPr>
        <w:t>وعلى وجه الخصوص، لا يوجد خطر حقيقي من أن تفضي الملاحقة القضائية إلى السجن".</w:t>
      </w:r>
    </w:p>
    <w:p w14:paraId="0C983A42" w14:textId="3F51435A" w:rsidR="001B2505" w:rsidRPr="001B2505" w:rsidRDefault="000066C3" w:rsidP="0001217F">
      <w:pPr>
        <w:pStyle w:val="SingleTxtGA"/>
        <w:rPr>
          <w:rFonts w:eastAsia="Calibri"/>
          <w:lang w:val="en-US" w:eastAsia="zh-TW" w:bidi="en-GB"/>
        </w:rPr>
      </w:pPr>
      <w:r w:rsidRPr="00D858C6">
        <w:rPr>
          <w:rtl/>
        </w:rPr>
        <w:t>4</w:t>
      </w:r>
      <w:r w:rsidRPr="00AB589E">
        <w:rPr>
          <w:rtl/>
        </w:rPr>
        <w:t>-</w:t>
      </w:r>
      <w:r w:rsidRPr="00D858C6">
        <w:rPr>
          <w:rtl/>
        </w:rPr>
        <w:t>21</w:t>
      </w:r>
      <w:r w:rsidR="0001217F">
        <w:rPr>
          <w:rtl/>
        </w:rPr>
        <w:tab/>
      </w:r>
      <w:r w:rsidRPr="00AB589E">
        <w:rPr>
          <w:rtl/>
        </w:rPr>
        <w:t>وأشارت الدولة الطرف كذلك إلى المعلومات الأساسية التي نشرتها وزارة الداخلية في المملكة المتحدة والتي تدعي فيها الدولة الطرف</w:t>
      </w:r>
      <w:r w:rsidR="000F39A8">
        <w:rPr>
          <w:rFonts w:hint="cs"/>
          <w:rtl/>
        </w:rPr>
        <w:t xml:space="preserve"> </w:t>
      </w:r>
      <w:r w:rsidRPr="00AB589E">
        <w:rPr>
          <w:rtl/>
        </w:rPr>
        <w:t>تأكد أن طلب اللجوء في الخارج غير مخالف للقانون في جمهورية إيران الإسلامية</w:t>
      </w:r>
      <w:r>
        <w:rPr>
          <w:rtl/>
        </w:rPr>
        <w:t>،</w:t>
      </w:r>
      <w:r w:rsidRPr="00AB589E">
        <w:rPr>
          <w:rtl/>
        </w:rPr>
        <w:t xml:space="preserve"> وأن الأشخاص الذين غادروا البلد بصورة غير قانونية، في حال عدم إدراجهم في قائمة الأشخاص الممنوعين من المغادرة، لن يواجهوا مشاكل مع السلطات عند عودتهم، على الرغم من أنهم قد يطالبون بدفع غرامة. وفي حال مغادرة البلد بعد ارتكاب جريمة، فلن يعاقبوا إلا على الجريمة نفسها</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6"/>
      </w:r>
      <w:r w:rsidR="001B2505" w:rsidRPr="001B2505">
        <w:rPr>
          <w:rStyle w:val="FootnoteReference"/>
          <w:rFonts w:ascii="Traditional Arabic" w:eastAsia="Calibri" w:hAnsi="Traditional Arabic"/>
          <w:sz w:val="30"/>
          <w:rtl/>
        </w:rPr>
        <w:t>)</w:t>
      </w:r>
      <w:r w:rsidR="001B2505" w:rsidRPr="001B2505">
        <w:rPr>
          <w:rtl/>
        </w:rPr>
        <w:t>.</w:t>
      </w:r>
    </w:p>
    <w:p w14:paraId="46971EA8" w14:textId="0123DB9E" w:rsidR="000066C3" w:rsidRPr="00AB589E" w:rsidRDefault="000066C3" w:rsidP="0001217F">
      <w:pPr>
        <w:pStyle w:val="SingleTxtGA"/>
        <w:rPr>
          <w:rFonts w:eastAsia="Calibri"/>
          <w:lang w:val="ar-SA" w:eastAsia="zh-TW" w:bidi="en-GB"/>
        </w:rPr>
      </w:pPr>
      <w:r w:rsidRPr="00D858C6">
        <w:rPr>
          <w:rtl/>
        </w:rPr>
        <w:lastRenderedPageBreak/>
        <w:t>4</w:t>
      </w:r>
      <w:r w:rsidRPr="00AB589E">
        <w:rPr>
          <w:rtl/>
        </w:rPr>
        <w:t>-</w:t>
      </w:r>
      <w:r w:rsidRPr="00D858C6">
        <w:rPr>
          <w:rtl/>
        </w:rPr>
        <w:t>22</w:t>
      </w:r>
      <w:r w:rsidR="0001217F">
        <w:rPr>
          <w:rtl/>
        </w:rPr>
        <w:tab/>
      </w:r>
      <w:r w:rsidRPr="00AB589E">
        <w:rPr>
          <w:rtl/>
        </w:rPr>
        <w:t>وفيما يتعلق بتأكيدات صاحب البلاغ بشأن الاستنكاف الضميري من الخدمة العسكرية على أساس معتقداته المسيحية، تشير الدولة الطرف إلى معلومات تفيد بأن العقوبات المفروضة على عدم الامتثال لتأدية الخدمة الوطنية الإلزامية تقتصر عموم</w:t>
      </w:r>
      <w:r w:rsidR="000F39A8">
        <w:rPr>
          <w:rtl/>
        </w:rPr>
        <w:t xml:space="preserve">اً </w:t>
      </w:r>
      <w:r w:rsidRPr="00AB589E">
        <w:rPr>
          <w:rtl/>
        </w:rPr>
        <w:t xml:space="preserve">على </w:t>
      </w:r>
      <w:r>
        <w:rPr>
          <w:rtl/>
        </w:rPr>
        <w:t xml:space="preserve">الحرمان من </w:t>
      </w:r>
      <w:r w:rsidRPr="00AB589E">
        <w:rPr>
          <w:rtl/>
        </w:rPr>
        <w:t>رخصة القيادة ولا تؤدي عادة إلى السجن</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7"/>
      </w:r>
      <w:r w:rsidR="001B2505" w:rsidRPr="001B2505">
        <w:rPr>
          <w:rStyle w:val="FootnoteReference"/>
          <w:rFonts w:ascii="Traditional Arabic" w:eastAsia="Calibri" w:hAnsi="Traditional Arabic"/>
          <w:sz w:val="30"/>
          <w:rtl/>
        </w:rPr>
        <w:t>)</w:t>
      </w:r>
      <w:r w:rsidR="001B2505" w:rsidRPr="001B2505">
        <w:rPr>
          <w:rtl/>
        </w:rPr>
        <w:t xml:space="preserve">. </w:t>
      </w:r>
      <w:r w:rsidRPr="00AB589E">
        <w:rPr>
          <w:rtl/>
        </w:rPr>
        <w:t>وعلاوة على ذلك، يلاح</w:t>
      </w:r>
      <w:r>
        <w:rPr>
          <w:rtl/>
        </w:rPr>
        <w:t>َ</w:t>
      </w:r>
      <w:r w:rsidRPr="00AB589E">
        <w:rPr>
          <w:rtl/>
        </w:rPr>
        <w:t>ظ أن</w:t>
      </w:r>
      <w:r>
        <w:rPr>
          <w:rtl/>
        </w:rPr>
        <w:t xml:space="preserve"> اقتران ذلك</w:t>
      </w:r>
      <w:r w:rsidRPr="00AB589E">
        <w:rPr>
          <w:rtl/>
        </w:rPr>
        <w:t xml:space="preserve"> </w:t>
      </w:r>
      <w:r>
        <w:rPr>
          <w:rtl/>
        </w:rPr>
        <w:t>ب</w:t>
      </w:r>
      <w:r w:rsidRPr="00AB589E">
        <w:rPr>
          <w:rtl/>
        </w:rPr>
        <w:t>المغادرة غير القانونية ليس له أي تأثير على العقوبة. وتدفع الدولة الطرف أيض</w:t>
      </w:r>
      <w:r w:rsidR="000F39A8">
        <w:rPr>
          <w:rtl/>
        </w:rPr>
        <w:t xml:space="preserve">اً </w:t>
      </w:r>
      <w:r w:rsidRPr="00AB589E">
        <w:rPr>
          <w:rtl/>
        </w:rPr>
        <w:t xml:space="preserve">بأن عدم </w:t>
      </w:r>
      <w:r>
        <w:rPr>
          <w:rtl/>
        </w:rPr>
        <w:t xml:space="preserve">تصديق </w:t>
      </w:r>
      <w:r w:rsidRPr="00AB589E">
        <w:rPr>
          <w:rtl/>
        </w:rPr>
        <w:t>صحة ت</w:t>
      </w:r>
      <w:r>
        <w:rPr>
          <w:rtl/>
        </w:rPr>
        <w:t>غيير</w:t>
      </w:r>
      <w:r w:rsidRPr="00AB589E">
        <w:rPr>
          <w:rtl/>
        </w:rPr>
        <w:t xml:space="preserve"> الدين</w:t>
      </w:r>
      <w:r>
        <w:rPr>
          <w:rtl/>
        </w:rPr>
        <w:t xml:space="preserve"> تحول دون اعتباره</w:t>
      </w:r>
      <w:r w:rsidRPr="00AB589E">
        <w:rPr>
          <w:rtl/>
        </w:rPr>
        <w:t xml:space="preserve"> أساس</w:t>
      </w:r>
      <w:r w:rsidR="000F39A8">
        <w:rPr>
          <w:rtl/>
        </w:rPr>
        <w:t xml:space="preserve">اً </w:t>
      </w:r>
      <w:r w:rsidRPr="00AB589E">
        <w:rPr>
          <w:rtl/>
        </w:rPr>
        <w:t>حقيقي</w:t>
      </w:r>
      <w:r w:rsidR="000F39A8">
        <w:rPr>
          <w:rtl/>
        </w:rPr>
        <w:t xml:space="preserve">اً </w:t>
      </w:r>
      <w:r w:rsidRPr="00AB589E">
        <w:rPr>
          <w:rtl/>
        </w:rPr>
        <w:t>لتجنب الخدمة العسكرية.</w:t>
      </w:r>
    </w:p>
    <w:p w14:paraId="2E7FFA49" w14:textId="6B773DF0" w:rsidR="000066C3" w:rsidRPr="00AB589E" w:rsidRDefault="000066C3" w:rsidP="0001217F">
      <w:pPr>
        <w:pStyle w:val="SingleTxtGA"/>
        <w:rPr>
          <w:rFonts w:eastAsia="Calibri"/>
          <w:lang w:val="en-US" w:eastAsia="zh-TW" w:bidi="en-GB"/>
        </w:rPr>
      </w:pPr>
      <w:r w:rsidRPr="00D858C6">
        <w:rPr>
          <w:rtl/>
        </w:rPr>
        <w:t>4</w:t>
      </w:r>
      <w:r w:rsidRPr="00AB589E">
        <w:rPr>
          <w:rtl/>
        </w:rPr>
        <w:t>-</w:t>
      </w:r>
      <w:r w:rsidRPr="00D858C6">
        <w:rPr>
          <w:rtl/>
        </w:rPr>
        <w:t>23</w:t>
      </w:r>
      <w:r w:rsidR="0001217F">
        <w:rPr>
          <w:rtl/>
        </w:rPr>
        <w:tab/>
      </w:r>
      <w:r w:rsidRPr="00AB589E">
        <w:rPr>
          <w:rtl/>
        </w:rPr>
        <w:t xml:space="preserve">وفيما يتعلق بادعاء صاحب البلاغ أن مجلس طعون اللاجئين لم ينظر في جميع عوامل الخطر </w:t>
      </w:r>
      <w:r>
        <w:rPr>
          <w:rtl/>
        </w:rPr>
        <w:t>معا</w:t>
      </w:r>
      <w:r w:rsidR="00997F74">
        <w:rPr>
          <w:rFonts w:hint="cs"/>
          <w:rtl/>
        </w:rPr>
        <w:t>ً</w:t>
      </w:r>
      <w:r w:rsidRPr="00AB589E">
        <w:rPr>
          <w:rtl/>
        </w:rPr>
        <w:t xml:space="preserve">، تشير الدولة الطرف إلى أن المجلس </w:t>
      </w:r>
      <w:r>
        <w:rPr>
          <w:rtl/>
        </w:rPr>
        <w:t xml:space="preserve">ينظر </w:t>
      </w:r>
      <w:r w:rsidRPr="00AB589E">
        <w:rPr>
          <w:rtl/>
        </w:rPr>
        <w:t>عموم</w:t>
      </w:r>
      <w:r w:rsidR="000F39A8">
        <w:rPr>
          <w:rtl/>
        </w:rPr>
        <w:t xml:space="preserve">اً </w:t>
      </w:r>
      <w:r>
        <w:rPr>
          <w:rtl/>
        </w:rPr>
        <w:t>ب</w:t>
      </w:r>
      <w:r w:rsidRPr="00AB589E">
        <w:rPr>
          <w:rtl/>
        </w:rPr>
        <w:t>يقظ</w:t>
      </w:r>
      <w:r>
        <w:rPr>
          <w:rtl/>
        </w:rPr>
        <w:t>ة</w:t>
      </w:r>
      <w:r w:rsidRPr="00AB589E">
        <w:rPr>
          <w:rtl/>
        </w:rPr>
        <w:t xml:space="preserve"> </w:t>
      </w:r>
      <w:r>
        <w:rPr>
          <w:rtl/>
        </w:rPr>
        <w:t>كبيرة في</w:t>
      </w:r>
      <w:r w:rsidRPr="00AB589E">
        <w:rPr>
          <w:rtl/>
        </w:rPr>
        <w:t xml:space="preserve"> الأهمية التراكمية لظروف كل حالة، وفق</w:t>
      </w:r>
      <w:r w:rsidR="000F39A8">
        <w:rPr>
          <w:rtl/>
        </w:rPr>
        <w:t xml:space="preserve">اً </w:t>
      </w:r>
      <w:r w:rsidRPr="00AB589E">
        <w:rPr>
          <w:rtl/>
        </w:rPr>
        <w:t>للمبادئ التوجيهية لمفوضية</w:t>
      </w:r>
      <w:r>
        <w:rPr>
          <w:rtl/>
        </w:rPr>
        <w:t xml:space="preserve"> شؤون اللاجئين</w:t>
      </w:r>
      <w:r w:rsidRPr="00AB589E">
        <w:rPr>
          <w:rtl/>
        </w:rPr>
        <w:t>، التي تشدد على أهمية النظر في العوامل التي قد لا تؤدي بمفردها إلى خطر التعرض للاضطهاد</w:t>
      </w:r>
      <w:r>
        <w:rPr>
          <w:rtl/>
        </w:rPr>
        <w:t>،</w:t>
      </w:r>
      <w:r w:rsidRPr="00AB589E">
        <w:rPr>
          <w:rtl/>
        </w:rPr>
        <w:t xml:space="preserve"> ولكن</w:t>
      </w:r>
      <w:r>
        <w:rPr>
          <w:rtl/>
        </w:rPr>
        <w:t xml:space="preserve"> تناولها</w:t>
      </w:r>
      <w:r w:rsidRPr="00AB589E">
        <w:rPr>
          <w:rtl/>
        </w:rPr>
        <w:t xml:space="preserve"> ضمن عناصر سلبية أخرى قد </w:t>
      </w:r>
      <w:r>
        <w:rPr>
          <w:rtl/>
        </w:rPr>
        <w:t>ي</w:t>
      </w:r>
      <w:r w:rsidRPr="00AB589E">
        <w:rPr>
          <w:rtl/>
        </w:rPr>
        <w:t>ؤدي إلى خوف</w:t>
      </w:r>
      <w:r>
        <w:rPr>
          <w:rtl/>
        </w:rPr>
        <w:t xml:space="preserve"> مبرر</w:t>
      </w:r>
      <w:r w:rsidRPr="00AB589E">
        <w:rPr>
          <w:rtl/>
        </w:rPr>
        <w:t xml:space="preserve"> من </w:t>
      </w:r>
      <w:r>
        <w:rPr>
          <w:rtl/>
        </w:rPr>
        <w:t>أن يكون ا</w:t>
      </w:r>
      <w:r w:rsidRPr="00AB589E">
        <w:rPr>
          <w:rtl/>
        </w:rPr>
        <w:t>لفرد</w:t>
      </w:r>
      <w:r>
        <w:rPr>
          <w:rtl/>
        </w:rPr>
        <w:t xml:space="preserve"> عرضة لذاك الاضطهاد</w:t>
      </w:r>
      <w:r w:rsidRPr="00AB589E">
        <w:rPr>
          <w:rtl/>
        </w:rPr>
        <w:t>.</w:t>
      </w:r>
      <w:r w:rsidRPr="00AB589E">
        <w:rPr>
          <w:rFonts w:eastAsia="Calibri"/>
          <w:lang w:val="en-US" w:eastAsia="zh-TW" w:bidi="en-GB"/>
        </w:rPr>
        <w:t xml:space="preserve"> </w:t>
      </w:r>
    </w:p>
    <w:p w14:paraId="7EB18188" w14:textId="35B4FF6E"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24</w:t>
      </w:r>
      <w:r w:rsidR="0001217F">
        <w:rPr>
          <w:rtl/>
        </w:rPr>
        <w:tab/>
      </w:r>
      <w:r w:rsidRPr="00AB589E">
        <w:rPr>
          <w:rtl/>
        </w:rPr>
        <w:t>وفيما يتعلق برفض مجلس طعون اللاجئين السماح لصاحب البلاغ باستدعاء شاهد وادعاءه عدم كفاية التعليل المقدم ل</w:t>
      </w:r>
      <w:r>
        <w:rPr>
          <w:rtl/>
        </w:rPr>
        <w:t>ت</w:t>
      </w:r>
      <w:r w:rsidRPr="00AB589E">
        <w:rPr>
          <w:rtl/>
        </w:rPr>
        <w:t>دع</w:t>
      </w:r>
      <w:r>
        <w:rPr>
          <w:rtl/>
        </w:rPr>
        <w:t>ي</w:t>
      </w:r>
      <w:r w:rsidRPr="00AB589E">
        <w:rPr>
          <w:rtl/>
        </w:rPr>
        <w:t xml:space="preserve">م الرفض الوارد في قرار المجلس المؤرخ </w:t>
      </w:r>
      <w:r w:rsidRPr="00D858C6">
        <w:rPr>
          <w:rtl/>
        </w:rPr>
        <w:t>27</w:t>
      </w:r>
      <w:r w:rsidRPr="00AB589E">
        <w:rPr>
          <w:rtl/>
        </w:rPr>
        <w:t xml:space="preserve"> آذار/مارس </w:t>
      </w:r>
      <w:r w:rsidRPr="00D858C6">
        <w:rPr>
          <w:rtl/>
        </w:rPr>
        <w:t>2018</w:t>
      </w:r>
      <w:r w:rsidRPr="00AB589E">
        <w:rPr>
          <w:rtl/>
        </w:rPr>
        <w:t>، تذكر الدولة الطرف بأنه وفق</w:t>
      </w:r>
      <w:r w:rsidR="000F39A8">
        <w:rPr>
          <w:rtl/>
        </w:rPr>
        <w:t xml:space="preserve">اً </w:t>
      </w:r>
      <w:r w:rsidRPr="00AB589E">
        <w:rPr>
          <w:rtl/>
        </w:rPr>
        <w:t xml:space="preserve">للمادة </w:t>
      </w:r>
      <w:r w:rsidRPr="00D858C6">
        <w:rPr>
          <w:rtl/>
        </w:rPr>
        <w:t>54</w:t>
      </w:r>
      <w:r w:rsidRPr="00AB589E">
        <w:rPr>
          <w:rtl/>
        </w:rPr>
        <w:t>(</w:t>
      </w:r>
      <w:r w:rsidR="001B2505" w:rsidRPr="00D858C6">
        <w:rPr>
          <w:rtl/>
        </w:rPr>
        <w:t>1</w:t>
      </w:r>
      <w:r w:rsidR="001B2505" w:rsidRPr="001B2505">
        <w:rPr>
          <w:rtl/>
        </w:rPr>
        <w:t xml:space="preserve">) </w:t>
      </w:r>
      <w:r w:rsidRPr="00AB589E">
        <w:rPr>
          <w:rtl/>
        </w:rPr>
        <w:t>من قانون الأجانب، فإن الأمر متروك للمجلس لاتخاذ قرار بشأن استجواب ملتمسي اللجوء والشهود وتقديم أدلة أخرى. وعلاوة على ذلك، تشير إلى السوابق القضائية للمجلس التي تفيد بأن الشهود لا يستدعون عموم</w:t>
      </w:r>
      <w:r w:rsidR="000F39A8">
        <w:rPr>
          <w:rtl/>
        </w:rPr>
        <w:t xml:space="preserve">اً </w:t>
      </w:r>
      <w:r w:rsidRPr="00AB589E">
        <w:rPr>
          <w:rtl/>
        </w:rPr>
        <w:t>إلا إذا كانت أدلتهم تتعلق بطلب اللجوء</w:t>
      </w:r>
      <w:r>
        <w:rPr>
          <w:rtl/>
        </w:rPr>
        <w:t xml:space="preserve"> في جوهره</w:t>
      </w:r>
      <w:r w:rsidRPr="00AB589E">
        <w:rPr>
          <w:rtl/>
        </w:rPr>
        <w:t xml:space="preserve">، وليس </w:t>
      </w:r>
      <w:r>
        <w:rPr>
          <w:rtl/>
        </w:rPr>
        <w:t>ت</w:t>
      </w:r>
      <w:r w:rsidRPr="00AB589E">
        <w:rPr>
          <w:rtl/>
        </w:rPr>
        <w:t>دع</w:t>
      </w:r>
      <w:r>
        <w:rPr>
          <w:rtl/>
        </w:rPr>
        <w:t>ي</w:t>
      </w:r>
      <w:r w:rsidRPr="00AB589E">
        <w:rPr>
          <w:rtl/>
        </w:rPr>
        <w:t>م</w:t>
      </w:r>
      <w:r w:rsidR="000F39A8">
        <w:rPr>
          <w:rtl/>
        </w:rPr>
        <w:t xml:space="preserve">اً </w:t>
      </w:r>
      <w:r w:rsidRPr="00AB589E">
        <w:rPr>
          <w:rtl/>
        </w:rPr>
        <w:t xml:space="preserve">للمصداقية العامة. وحتى في الحالات التي تكون فيها شهادتهم مؤيدة مباشرة </w:t>
      </w:r>
      <w:r w:rsidRPr="00AB589E">
        <w:rPr>
          <w:rtl/>
          <w:lang w:val="fr-CH"/>
        </w:rPr>
        <w:t>ل</w:t>
      </w:r>
      <w:r>
        <w:rPr>
          <w:rtl/>
          <w:lang w:val="fr-CH"/>
        </w:rPr>
        <w:t>جوهر ا</w:t>
      </w:r>
      <w:r w:rsidRPr="00AB589E">
        <w:rPr>
          <w:rtl/>
          <w:lang w:val="fr-CH"/>
        </w:rPr>
        <w:t>لطلب</w:t>
      </w:r>
      <w:r w:rsidRPr="00AB589E">
        <w:rPr>
          <w:rtl/>
        </w:rPr>
        <w:t xml:space="preserve">، </w:t>
      </w:r>
      <w:r>
        <w:rPr>
          <w:rtl/>
        </w:rPr>
        <w:t>ف</w:t>
      </w:r>
      <w:r w:rsidRPr="00AB589E">
        <w:rPr>
          <w:rtl/>
        </w:rPr>
        <w:t>قد يظل الطلب مرفوض</w:t>
      </w:r>
      <w:r w:rsidR="000F39A8">
        <w:rPr>
          <w:rtl/>
        </w:rPr>
        <w:t xml:space="preserve">اً </w:t>
      </w:r>
      <w:r w:rsidRPr="00AB589E">
        <w:rPr>
          <w:rtl/>
        </w:rPr>
        <w:t xml:space="preserve">إذا ارتأى المجلس أن الشهادة لن تكون </w:t>
      </w:r>
      <w:r>
        <w:rPr>
          <w:rtl/>
        </w:rPr>
        <w:t xml:space="preserve">مفيدة لاستخلاص </w:t>
      </w:r>
      <w:r w:rsidRPr="00AB589E">
        <w:rPr>
          <w:rtl/>
        </w:rPr>
        <w:t xml:space="preserve">النتيجة. وتلاحظ الدولة الطرف أن الشاهد المقترح كان قد قدم بالفعل شهادة خطية قبل جلسة الاستماع، </w:t>
      </w:r>
      <w:r>
        <w:rPr>
          <w:rtl/>
        </w:rPr>
        <w:t>و</w:t>
      </w:r>
      <w:r w:rsidRPr="00AB589E">
        <w:rPr>
          <w:rtl/>
        </w:rPr>
        <w:t>أدرجت</w:t>
      </w:r>
      <w:r>
        <w:rPr>
          <w:rtl/>
        </w:rPr>
        <w:t xml:space="preserve"> هذه الشهادة</w:t>
      </w:r>
      <w:r w:rsidRPr="00AB589E">
        <w:rPr>
          <w:rtl/>
        </w:rPr>
        <w:t xml:space="preserve"> في تقييم المجلس </w:t>
      </w:r>
      <w:r>
        <w:rPr>
          <w:rtl/>
        </w:rPr>
        <w:t>ل</w:t>
      </w:r>
      <w:r w:rsidRPr="00AB589E">
        <w:rPr>
          <w:rtl/>
        </w:rPr>
        <w:t>مصداقية صاحب البلاغ. وتخلص الدولة الطرف إلى أنه، وفق</w:t>
      </w:r>
      <w:r w:rsidR="000F39A8">
        <w:rPr>
          <w:rtl/>
        </w:rPr>
        <w:t xml:space="preserve">اً </w:t>
      </w:r>
      <w:r w:rsidRPr="00AB589E">
        <w:rPr>
          <w:rtl/>
        </w:rPr>
        <w:t>للمبادئ العامة لإ</w:t>
      </w:r>
      <w:r>
        <w:rPr>
          <w:rtl/>
        </w:rPr>
        <w:t>نفاذ</w:t>
      </w:r>
      <w:r w:rsidRPr="00AB589E">
        <w:rPr>
          <w:rtl/>
        </w:rPr>
        <w:t xml:space="preserve"> القانون و</w:t>
      </w:r>
      <w:r>
        <w:rPr>
          <w:rtl/>
        </w:rPr>
        <w:t xml:space="preserve">إقامة </w:t>
      </w:r>
      <w:r w:rsidRPr="00AB589E">
        <w:rPr>
          <w:rtl/>
        </w:rPr>
        <w:t>العدل فيما يتعلق بتقديم الأدلة، لا ت</w:t>
      </w:r>
      <w:r>
        <w:rPr>
          <w:rtl/>
        </w:rPr>
        <w:t xml:space="preserve">عطى </w:t>
      </w:r>
      <w:r w:rsidRPr="00AB589E">
        <w:rPr>
          <w:rtl/>
        </w:rPr>
        <w:t>أي أهمية للشاهد الذي يتوخى من شهادته إثبات صدق صاحب البلاغ ومصداقيته بوجه عام</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8"/>
      </w:r>
      <w:r w:rsidR="001B2505" w:rsidRPr="001B2505">
        <w:rPr>
          <w:rStyle w:val="FootnoteReference"/>
          <w:rFonts w:ascii="Traditional Arabic" w:eastAsia="Calibri" w:hAnsi="Traditional Arabic"/>
          <w:sz w:val="30"/>
          <w:rtl/>
        </w:rPr>
        <w:t>)</w:t>
      </w:r>
      <w:r w:rsidR="001B2505" w:rsidRPr="001B2505">
        <w:rPr>
          <w:rtl/>
        </w:rPr>
        <w:t xml:space="preserve">. </w:t>
      </w:r>
      <w:r w:rsidRPr="00AB589E">
        <w:rPr>
          <w:rtl/>
        </w:rPr>
        <w:t>و</w:t>
      </w:r>
      <w:r>
        <w:rPr>
          <w:rtl/>
        </w:rPr>
        <w:t>عليه</w:t>
      </w:r>
      <w:r w:rsidRPr="00AB589E">
        <w:rPr>
          <w:rtl/>
        </w:rPr>
        <w:t xml:space="preserve"> ي</w:t>
      </w:r>
      <w:r>
        <w:rPr>
          <w:rtl/>
        </w:rPr>
        <w:t>ُ</w:t>
      </w:r>
      <w:r w:rsidRPr="00AB589E">
        <w:rPr>
          <w:rtl/>
        </w:rPr>
        <w:t>زعم أن رفض الاستماع إلى الأدلة الشفوية للشاهد كان مبرر</w:t>
      </w:r>
      <w:r w:rsidR="000F39A8">
        <w:rPr>
          <w:rtl/>
        </w:rPr>
        <w:t xml:space="preserve">اً </w:t>
      </w:r>
      <w:r w:rsidRPr="00AB589E">
        <w:rPr>
          <w:rtl/>
        </w:rPr>
        <w:t>ومتسق</w:t>
      </w:r>
      <w:r w:rsidR="000F39A8">
        <w:rPr>
          <w:rtl/>
        </w:rPr>
        <w:t xml:space="preserve">اً </w:t>
      </w:r>
      <w:r w:rsidRPr="00AB589E">
        <w:rPr>
          <w:rtl/>
        </w:rPr>
        <w:t xml:space="preserve">مع القوانين والممارسات المعمول بها، بما في ذلك </w:t>
      </w:r>
      <w:r>
        <w:rPr>
          <w:rtl/>
        </w:rPr>
        <w:t>اجتهادات ا</w:t>
      </w:r>
      <w:r w:rsidRPr="00AB589E">
        <w:rPr>
          <w:rtl/>
        </w:rPr>
        <w:t>للجنة، وأن التعليل ي</w:t>
      </w:r>
      <w:r>
        <w:rPr>
          <w:rtl/>
        </w:rPr>
        <w:t>ُستشفّ</w:t>
      </w:r>
      <w:r w:rsidR="00364AD9">
        <w:rPr>
          <w:rtl/>
        </w:rPr>
        <w:t xml:space="preserve"> </w:t>
      </w:r>
      <w:r w:rsidRPr="00AB589E">
        <w:rPr>
          <w:rtl/>
        </w:rPr>
        <w:t>من قرار المجلس</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19"/>
      </w:r>
      <w:r w:rsidR="001B2505" w:rsidRPr="001B2505">
        <w:rPr>
          <w:rStyle w:val="FootnoteReference"/>
          <w:rFonts w:ascii="Traditional Arabic" w:eastAsia="Calibri" w:hAnsi="Traditional Arabic"/>
          <w:sz w:val="30"/>
          <w:rtl/>
        </w:rPr>
        <w:t>)</w:t>
      </w:r>
      <w:r w:rsidR="001B2505" w:rsidRPr="001B2505">
        <w:rPr>
          <w:rtl/>
        </w:rPr>
        <w:t xml:space="preserve">. </w:t>
      </w:r>
      <w:r w:rsidRPr="00AB589E">
        <w:rPr>
          <w:rtl/>
        </w:rPr>
        <w:t xml:space="preserve">وخلص المجلس إلى أن البيانات التي أدلى بها شخصان </w:t>
      </w:r>
      <w:r>
        <w:rPr>
          <w:rtl/>
        </w:rPr>
        <w:t xml:space="preserve">من معارف </w:t>
      </w:r>
      <w:r w:rsidRPr="00AB589E">
        <w:rPr>
          <w:rtl/>
        </w:rPr>
        <w:t>صاحب البلاغ في حزيران/</w:t>
      </w:r>
      <w:proofErr w:type="gramStart"/>
      <w:r w:rsidRPr="00AB589E">
        <w:rPr>
          <w:rtl/>
        </w:rPr>
        <w:t>يونيه</w:t>
      </w:r>
      <w:proofErr w:type="gramEnd"/>
      <w:r w:rsidRPr="00AB589E">
        <w:rPr>
          <w:rtl/>
        </w:rPr>
        <w:t xml:space="preserve"> </w:t>
      </w:r>
      <w:r w:rsidRPr="00D858C6">
        <w:rPr>
          <w:rtl/>
        </w:rPr>
        <w:t>2019</w:t>
      </w:r>
      <w:r w:rsidRPr="00AB589E">
        <w:rPr>
          <w:rtl/>
        </w:rPr>
        <w:t xml:space="preserve"> في إطار أنشطته المسيحية وحضوره الكنيسة لم تسعف بالضرورة تقييم صحة معتقداته بشكل أفضل بسبب السياق الذي التقيا فيه به. </w:t>
      </w:r>
    </w:p>
    <w:p w14:paraId="7AC33564" w14:textId="2658C56D"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25</w:t>
      </w:r>
      <w:r w:rsidR="0001217F">
        <w:rPr>
          <w:rtl/>
        </w:rPr>
        <w:tab/>
      </w:r>
      <w:r w:rsidRPr="00AB589E">
        <w:rPr>
          <w:rtl/>
        </w:rPr>
        <w:t>وتصف الدولة الطرف المخاوف التي أعرب عنها صاحب البلاغ بأنها ذات طابع عام وتقول إنها لا تستند إلى وقائع محددة من شأنها أن ت</w:t>
      </w:r>
      <w:r>
        <w:rPr>
          <w:rtl/>
        </w:rPr>
        <w:t>جعله عرضة</w:t>
      </w:r>
      <w:r w:rsidRPr="00AB589E">
        <w:rPr>
          <w:rtl/>
        </w:rPr>
        <w:t xml:space="preserve"> لخطر شخصي. ولذلك، فإنها تؤيد الاستنتاجات التي توصل إليها مجلس طعون اللاجئين بعد إجراء تقييم شامل.</w:t>
      </w:r>
    </w:p>
    <w:p w14:paraId="2B64235E" w14:textId="38F16C07" w:rsidR="001B2505" w:rsidRPr="001B2505" w:rsidRDefault="000066C3" w:rsidP="0001217F">
      <w:pPr>
        <w:pStyle w:val="SingleTxtGA"/>
      </w:pPr>
      <w:r w:rsidRPr="00D858C6">
        <w:rPr>
          <w:rtl/>
        </w:rPr>
        <w:lastRenderedPageBreak/>
        <w:t>4</w:t>
      </w:r>
      <w:r w:rsidRPr="00AB589E">
        <w:rPr>
          <w:rtl/>
        </w:rPr>
        <w:t>-</w:t>
      </w:r>
      <w:r w:rsidRPr="00D858C6">
        <w:rPr>
          <w:rtl/>
        </w:rPr>
        <w:t>26</w:t>
      </w:r>
      <w:r w:rsidR="0001217F">
        <w:rPr>
          <w:rtl/>
        </w:rPr>
        <w:tab/>
      </w:r>
      <w:r w:rsidRPr="00AB589E">
        <w:rPr>
          <w:rtl/>
        </w:rPr>
        <w:t>وي</w:t>
      </w:r>
      <w:r>
        <w:rPr>
          <w:rtl/>
        </w:rPr>
        <w:t>ُشار</w:t>
      </w:r>
      <w:r w:rsidRPr="00AB589E">
        <w:rPr>
          <w:rtl/>
        </w:rPr>
        <w:t xml:space="preserve"> أيض</w:t>
      </w:r>
      <w:r w:rsidR="000F39A8">
        <w:rPr>
          <w:rtl/>
        </w:rPr>
        <w:t xml:space="preserve">اً </w:t>
      </w:r>
      <w:r>
        <w:rPr>
          <w:rtl/>
        </w:rPr>
        <w:t>إلى</w:t>
      </w:r>
      <w:r w:rsidRPr="00AB589E">
        <w:rPr>
          <w:rtl/>
        </w:rPr>
        <w:t xml:space="preserve"> أن السوابق القضائية التي قدمها صاحب البلاغ دعم</w:t>
      </w:r>
      <w:r w:rsidR="000F39A8">
        <w:rPr>
          <w:rtl/>
        </w:rPr>
        <w:t xml:space="preserve">اً </w:t>
      </w:r>
      <w:r w:rsidRPr="00AB589E">
        <w:rPr>
          <w:rtl/>
        </w:rPr>
        <w:t>لادعائه أمام اللجنة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0"/>
      </w:r>
      <w:r w:rsidR="00DF12DF">
        <w:rPr>
          <w:rStyle w:val="FootnoteReference"/>
          <w:rFonts w:ascii="Traditional Arabic" w:eastAsia="Calibri" w:hAnsi="Traditional Arabic"/>
          <w:sz w:val="30"/>
          <w:rtl/>
        </w:rPr>
        <w:t>)</w:t>
      </w:r>
      <w:r w:rsidR="009D0A61">
        <w:rPr>
          <w:rFonts w:hint="cs"/>
          <w:rtl/>
        </w:rPr>
        <w:t xml:space="preserve"> </w:t>
      </w:r>
      <w:r w:rsidRPr="00AB589E">
        <w:rPr>
          <w:rtl/>
        </w:rPr>
        <w:t xml:space="preserve">لا صلة لها بالموضوع في سياقه الحالي، </w:t>
      </w:r>
      <w:r>
        <w:rPr>
          <w:rtl/>
        </w:rPr>
        <w:t>إذ</w:t>
      </w:r>
      <w:r w:rsidRPr="00AB589E">
        <w:rPr>
          <w:rtl/>
        </w:rPr>
        <w:t xml:space="preserve"> يمكن التمييز بين كل حالة على حدة بناءً على الوقائع والملابسات ويمكن مقابلتها بالعديد من الحالات</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1"/>
      </w:r>
      <w:r w:rsidR="00DF12DF">
        <w:rPr>
          <w:rStyle w:val="FootnoteReference"/>
          <w:rFonts w:ascii="Traditional Arabic" w:eastAsia="Calibri" w:hAnsi="Traditional Arabic"/>
          <w:sz w:val="30"/>
          <w:rtl/>
        </w:rPr>
        <w:t>)</w:t>
      </w:r>
      <w:r w:rsidR="000F39A8">
        <w:rPr>
          <w:rFonts w:hint="cs"/>
          <w:rtl/>
        </w:rPr>
        <w:t xml:space="preserve"> </w:t>
      </w:r>
      <w:r w:rsidRPr="00AB589E">
        <w:rPr>
          <w:rtl/>
        </w:rPr>
        <w:t>التي تبين فيها أن الدولة الطرف لم تنتهك العهد</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2"/>
      </w:r>
      <w:r w:rsidR="001B2505" w:rsidRPr="001B2505">
        <w:rPr>
          <w:rStyle w:val="FootnoteReference"/>
          <w:rFonts w:ascii="Traditional Arabic" w:eastAsia="Calibri" w:hAnsi="Traditional Arabic"/>
          <w:sz w:val="30"/>
          <w:rtl/>
        </w:rPr>
        <w:t>)</w:t>
      </w:r>
      <w:r w:rsidR="001B2505" w:rsidRPr="001B2505">
        <w:rPr>
          <w:rFonts w:hint="cs"/>
          <w:rtl/>
        </w:rPr>
        <w:t>.</w:t>
      </w:r>
    </w:p>
    <w:p w14:paraId="24E900E2" w14:textId="3BAD9528" w:rsidR="000066C3" w:rsidRPr="00AB589E" w:rsidRDefault="000066C3" w:rsidP="0001217F">
      <w:pPr>
        <w:pStyle w:val="SingleTxtGA"/>
        <w:rPr>
          <w:rFonts w:eastAsia="Calibri"/>
          <w:lang w:val="ar-SA" w:eastAsia="zh-TW" w:bidi="en-GB"/>
        </w:rPr>
      </w:pPr>
      <w:r w:rsidRPr="00D858C6">
        <w:rPr>
          <w:rtl/>
        </w:rPr>
        <w:t>4</w:t>
      </w:r>
      <w:r w:rsidRPr="00AB589E">
        <w:rPr>
          <w:rtl/>
        </w:rPr>
        <w:t>-</w:t>
      </w:r>
      <w:r w:rsidRPr="00D858C6">
        <w:rPr>
          <w:rtl/>
        </w:rPr>
        <w:t>27</w:t>
      </w:r>
      <w:r w:rsidR="0001217F">
        <w:rPr>
          <w:rtl/>
        </w:rPr>
        <w:tab/>
      </w:r>
      <w:r w:rsidRPr="00AB589E">
        <w:rPr>
          <w:rtl/>
        </w:rPr>
        <w:t xml:space="preserve">ولذلك، تؤكد الدولة الطرف من جديد </w:t>
      </w:r>
      <w:r>
        <w:rPr>
          <w:rtl/>
        </w:rPr>
        <w:t xml:space="preserve">دفعها، في حال </w:t>
      </w:r>
      <w:r w:rsidRPr="00AB589E">
        <w:rPr>
          <w:rtl/>
        </w:rPr>
        <w:t>رأت اللجنة أن البلاغ مقبول، بأن الادعاء يفتقر إلى الأسس الموضوعية لأن صاحب البلاغ لم يقدم أسباب</w:t>
      </w:r>
      <w:r w:rsidR="000F39A8">
        <w:rPr>
          <w:rtl/>
        </w:rPr>
        <w:t xml:space="preserve">اً </w:t>
      </w:r>
      <w:r w:rsidRPr="00AB589E">
        <w:rPr>
          <w:rtl/>
        </w:rPr>
        <w:t>موضوعية تسوّغ ادعا</w:t>
      </w:r>
      <w:r>
        <w:rPr>
          <w:rtl/>
        </w:rPr>
        <w:t>ء</w:t>
      </w:r>
      <w:r w:rsidRPr="00AB589E">
        <w:rPr>
          <w:rtl/>
        </w:rPr>
        <w:t>ه أن ترحيله إلى جمهورية إيران الإسلامية يشكل انتهاك</w:t>
      </w:r>
      <w:r w:rsidR="000F39A8">
        <w:rPr>
          <w:rtl/>
        </w:rPr>
        <w:t xml:space="preserve">اً </w:t>
      </w:r>
      <w:r w:rsidRPr="00AB589E">
        <w:rPr>
          <w:rtl/>
        </w:rPr>
        <w:t xml:space="preserve">للمادتين </w:t>
      </w:r>
      <w:r w:rsidRPr="00D858C6">
        <w:rPr>
          <w:rtl/>
        </w:rPr>
        <w:t>6</w:t>
      </w:r>
      <w:r w:rsidRPr="00AB589E">
        <w:rPr>
          <w:rtl/>
        </w:rPr>
        <w:t xml:space="preserve"> و</w:t>
      </w:r>
      <w:r w:rsidRPr="00D858C6">
        <w:rPr>
          <w:rtl/>
        </w:rPr>
        <w:t>7</w:t>
      </w:r>
      <w:r w:rsidRPr="00AB589E">
        <w:rPr>
          <w:rtl/>
        </w:rPr>
        <w:t xml:space="preserve"> من العهد.</w:t>
      </w:r>
    </w:p>
    <w:p w14:paraId="19D3AB94" w14:textId="77777777" w:rsidR="000066C3" w:rsidRPr="00D858C6" w:rsidRDefault="000066C3" w:rsidP="00F365B6">
      <w:pPr>
        <w:pStyle w:val="H23GA"/>
        <w:rPr>
          <w:rFonts w:eastAsia="Calibri"/>
          <w:lang w:val="ar-SA" w:eastAsia="zh-TW" w:bidi="en-GB"/>
        </w:rPr>
      </w:pPr>
      <w:r w:rsidRPr="00D858C6">
        <w:rPr>
          <w:rtl/>
        </w:rPr>
        <w:tab/>
      </w:r>
      <w:r w:rsidRPr="00D858C6">
        <w:rPr>
          <w:rtl/>
        </w:rPr>
        <w:tab/>
        <w:t>تعليقات صاحب البلاغ على ملاحظات الدولة الطرف بشأن المقبولية والأسس الموضوعية</w:t>
      </w:r>
    </w:p>
    <w:p w14:paraId="686A1F8F" w14:textId="77777777" w:rsidR="000066C3" w:rsidRPr="00AB589E" w:rsidRDefault="000066C3" w:rsidP="00F365B6">
      <w:pPr>
        <w:pStyle w:val="SingleTxtGA"/>
        <w:rPr>
          <w:rFonts w:eastAsia="Calibri"/>
          <w:lang w:val="ar-SA" w:eastAsia="zh-TW" w:bidi="en-GB"/>
        </w:rPr>
      </w:pPr>
      <w:r w:rsidRPr="00D858C6">
        <w:rPr>
          <w:rtl/>
        </w:rPr>
        <w:t>5</w:t>
      </w:r>
      <w:r w:rsidRPr="00AB589E">
        <w:rPr>
          <w:rtl/>
        </w:rPr>
        <w:t>-</w:t>
      </w:r>
      <w:r w:rsidRPr="00D858C6">
        <w:rPr>
          <w:rtl/>
        </w:rPr>
        <w:t>1</w:t>
      </w:r>
      <w:r w:rsidRPr="00AB589E">
        <w:rPr>
          <w:rtl/>
        </w:rPr>
        <w:tab/>
        <w:t xml:space="preserve">في </w:t>
      </w:r>
      <w:r w:rsidRPr="00D858C6">
        <w:rPr>
          <w:rtl/>
        </w:rPr>
        <w:t>30</w:t>
      </w:r>
      <w:r w:rsidRPr="00AB589E">
        <w:rPr>
          <w:rtl/>
        </w:rPr>
        <w:t xml:space="preserve"> كانون الأول/ديسمبر </w:t>
      </w:r>
      <w:r w:rsidRPr="00D858C6">
        <w:rPr>
          <w:rtl/>
        </w:rPr>
        <w:t>2019</w:t>
      </w:r>
      <w:r w:rsidRPr="00AB589E">
        <w:rPr>
          <w:rtl/>
        </w:rPr>
        <w:t>، قدم صاحب البلاغ تعليقاته على ملاحظات الدولة الطرف بشأن مقبولية البلاغ وأسسه الموضوعية.</w:t>
      </w:r>
    </w:p>
    <w:p w14:paraId="4A49A623" w14:textId="58900D82" w:rsidR="000066C3" w:rsidRPr="00AB589E" w:rsidRDefault="000066C3" w:rsidP="00F365B6">
      <w:pPr>
        <w:pStyle w:val="SingleTxtGA"/>
        <w:rPr>
          <w:rFonts w:eastAsia="Calibri"/>
          <w:lang w:val="ar-SA" w:eastAsia="zh-TW" w:bidi="en-GB"/>
        </w:rPr>
      </w:pPr>
      <w:r w:rsidRPr="00D858C6">
        <w:rPr>
          <w:rtl/>
        </w:rPr>
        <w:t>5</w:t>
      </w:r>
      <w:r w:rsidRPr="00AB589E">
        <w:rPr>
          <w:rtl/>
        </w:rPr>
        <w:t>-</w:t>
      </w:r>
      <w:r w:rsidRPr="00D858C6">
        <w:rPr>
          <w:rtl/>
        </w:rPr>
        <w:t>2</w:t>
      </w:r>
      <w:r w:rsidRPr="00AB589E">
        <w:rPr>
          <w:rtl/>
        </w:rPr>
        <w:tab/>
        <w:t>ورد</w:t>
      </w:r>
      <w:r w:rsidR="000F39A8">
        <w:rPr>
          <w:rtl/>
        </w:rPr>
        <w:t xml:space="preserve">اً </w:t>
      </w:r>
      <w:r w:rsidRPr="00AB589E">
        <w:rPr>
          <w:rtl/>
        </w:rPr>
        <w:t>على ادعاء الدولة الطرف أن البلاغ غير مقبول، يلاحظ صاحب البلاغ أنه حينما قبلت السلطات الدانمركية بصحة اعتناق طالب اللجوء المسيحية، قبلت أيضا</w:t>
      </w:r>
      <w:r w:rsidR="00997F74">
        <w:rPr>
          <w:rFonts w:hint="cs"/>
          <w:rtl/>
        </w:rPr>
        <w:t>ً</w:t>
      </w:r>
      <w:r w:rsidRPr="00AB589E">
        <w:rPr>
          <w:rtl/>
        </w:rPr>
        <w:t xml:space="preserve">، في حالات سابقة، ادعاء أن الشخص المعني </w:t>
      </w:r>
      <w:r>
        <w:rPr>
          <w:rtl/>
        </w:rPr>
        <w:t xml:space="preserve">أنه </w:t>
      </w:r>
      <w:r w:rsidRPr="00AB589E">
        <w:rPr>
          <w:rtl/>
        </w:rPr>
        <w:t>يواجه خطر</w:t>
      </w:r>
      <w:r w:rsidR="000F39A8">
        <w:rPr>
          <w:rtl/>
        </w:rPr>
        <w:t xml:space="preserve">اً </w:t>
      </w:r>
      <w:r w:rsidRPr="00AB589E">
        <w:rPr>
          <w:rtl/>
        </w:rPr>
        <w:t>جسيم</w:t>
      </w:r>
      <w:r w:rsidR="000F39A8">
        <w:rPr>
          <w:rtl/>
        </w:rPr>
        <w:t xml:space="preserve">اً </w:t>
      </w:r>
      <w:r w:rsidRPr="00AB589E">
        <w:rPr>
          <w:rtl/>
        </w:rPr>
        <w:t>لدى عودته إلى جمهورية إيران الإسلامية، و</w:t>
      </w:r>
      <w:r>
        <w:rPr>
          <w:rtl/>
        </w:rPr>
        <w:t xml:space="preserve">يؤكد </w:t>
      </w:r>
      <w:r w:rsidRPr="00AB589E">
        <w:rPr>
          <w:rtl/>
        </w:rPr>
        <w:t>أن الممارسة المتبعة هي منح</w:t>
      </w:r>
      <w:r>
        <w:rPr>
          <w:rtl/>
        </w:rPr>
        <w:t>ه</w:t>
      </w:r>
      <w:r w:rsidRPr="00AB589E">
        <w:rPr>
          <w:rtl/>
        </w:rPr>
        <w:t xml:space="preserve"> صفة </w:t>
      </w:r>
      <w:r>
        <w:rPr>
          <w:rtl/>
          <w:lang w:val="fr-CH"/>
        </w:rPr>
        <w:t>ال</w:t>
      </w:r>
      <w:r w:rsidRPr="00AB589E">
        <w:rPr>
          <w:rtl/>
        </w:rPr>
        <w:t xml:space="preserve">لاجئ. والسؤال الأساسي الذي تدور حوله القضية هو </w:t>
      </w:r>
      <w:r>
        <w:rPr>
          <w:rtl/>
        </w:rPr>
        <w:t>ما إذا كان</w:t>
      </w:r>
      <w:r w:rsidRPr="00AB589E">
        <w:rPr>
          <w:rtl/>
        </w:rPr>
        <w:t xml:space="preserve"> القرار الذي اتخذته سلطات الدولة الطرف بشأن صحة </w:t>
      </w:r>
      <w:r>
        <w:rPr>
          <w:rtl/>
        </w:rPr>
        <w:t>اعتناق</w:t>
      </w:r>
      <w:r w:rsidRPr="00AB589E">
        <w:rPr>
          <w:rtl/>
        </w:rPr>
        <w:t xml:space="preserve"> صاحب البلاغ المسيحية يستند إلى أسس سليمة، وهو ما لا يمكن تقييمه إلا </w:t>
      </w:r>
      <w:r>
        <w:rPr>
          <w:rtl/>
        </w:rPr>
        <w:t>بفحص</w:t>
      </w:r>
      <w:r w:rsidRPr="00AB589E">
        <w:rPr>
          <w:rtl/>
        </w:rPr>
        <w:t xml:space="preserve"> الأسس الموضوعية. وقد وضح صاحب البلاغ بالتفصيل طبيعة معتقداته و</w:t>
      </w:r>
      <w:r>
        <w:rPr>
          <w:rtl/>
        </w:rPr>
        <w:t>اعتناقه</w:t>
      </w:r>
      <w:r w:rsidRPr="00AB589E">
        <w:rPr>
          <w:rtl/>
        </w:rPr>
        <w:t xml:space="preserve"> المسيحية وعوامل الخطر الأخرى وحدد العناصر المنفصلة لمطالبته. وقد وضح </w:t>
      </w:r>
      <w:r>
        <w:rPr>
          <w:rtl/>
        </w:rPr>
        <w:t>أسباب اعتقاده</w:t>
      </w:r>
      <w:r w:rsidRPr="00AB589E">
        <w:rPr>
          <w:rtl/>
        </w:rPr>
        <w:t xml:space="preserve"> أن تلك العوامل لم تقيم </w:t>
      </w:r>
      <w:r>
        <w:rPr>
          <w:rtl/>
        </w:rPr>
        <w:t>تقييم</w:t>
      </w:r>
      <w:r w:rsidR="007C0F68">
        <w:rPr>
          <w:rtl/>
        </w:rPr>
        <w:t xml:space="preserve">اً </w:t>
      </w:r>
      <w:r w:rsidRPr="00AB589E">
        <w:rPr>
          <w:rtl/>
        </w:rPr>
        <w:t>كامل</w:t>
      </w:r>
      <w:r>
        <w:rPr>
          <w:rtl/>
        </w:rPr>
        <w:t>ا</w:t>
      </w:r>
      <w:r w:rsidR="000F39A8">
        <w:rPr>
          <w:rFonts w:hint="cs"/>
          <w:rtl/>
        </w:rPr>
        <w:t>ً</w:t>
      </w:r>
      <w:r w:rsidRPr="00AB589E">
        <w:rPr>
          <w:rtl/>
        </w:rPr>
        <w:t>، سواء</w:t>
      </w:r>
      <w:r>
        <w:rPr>
          <w:rtl/>
        </w:rPr>
        <w:t xml:space="preserve"> مجتمعة أم كل على حدة</w:t>
      </w:r>
      <w:r w:rsidRPr="00AB589E">
        <w:rPr>
          <w:rtl/>
        </w:rPr>
        <w:t xml:space="preserve">، مما أدى إلى عدم إجراء تقييم كامل للمخاطر التي </w:t>
      </w:r>
      <w:proofErr w:type="spellStart"/>
      <w:r w:rsidRPr="00AB589E">
        <w:rPr>
          <w:rtl/>
        </w:rPr>
        <w:t>يواجهها</w:t>
      </w:r>
      <w:proofErr w:type="spellEnd"/>
      <w:r w:rsidRPr="00AB589E">
        <w:rPr>
          <w:rtl/>
        </w:rPr>
        <w:t>، و</w:t>
      </w:r>
      <w:r>
        <w:rPr>
          <w:rtl/>
        </w:rPr>
        <w:t>من ثم إنكار</w:t>
      </w:r>
      <w:r w:rsidRPr="00AB589E">
        <w:rPr>
          <w:rtl/>
        </w:rPr>
        <w:t xml:space="preserve"> العدالة. ولذلك، يدفع صاحب البلاغ بأن البلاغ يستند إلى أساس سليم في الواقع و</w:t>
      </w:r>
      <w:r>
        <w:rPr>
          <w:rtl/>
        </w:rPr>
        <w:t>من ثم</w:t>
      </w:r>
      <w:r w:rsidRPr="00AB589E">
        <w:rPr>
          <w:rtl/>
        </w:rPr>
        <w:t xml:space="preserve"> فهو مقبول. </w:t>
      </w:r>
    </w:p>
    <w:p w14:paraId="067769DB" w14:textId="7668C118" w:rsidR="000066C3" w:rsidRPr="005B31A6" w:rsidRDefault="000066C3" w:rsidP="00F365B6">
      <w:pPr>
        <w:pStyle w:val="SingleTxtGA"/>
        <w:rPr>
          <w:rFonts w:eastAsia="Calibri"/>
          <w:rtl/>
          <w:lang w:val="en-US" w:eastAsia="zh-TW"/>
        </w:rPr>
      </w:pPr>
      <w:r w:rsidRPr="00D858C6">
        <w:rPr>
          <w:rtl/>
        </w:rPr>
        <w:t>5</w:t>
      </w:r>
      <w:r w:rsidRPr="00AB589E">
        <w:rPr>
          <w:rtl/>
        </w:rPr>
        <w:t>-</w:t>
      </w:r>
      <w:r w:rsidRPr="00D858C6">
        <w:rPr>
          <w:rtl/>
        </w:rPr>
        <w:t>3</w:t>
      </w:r>
      <w:r w:rsidRPr="00AB589E">
        <w:rPr>
          <w:rtl/>
        </w:rPr>
        <w:tab/>
        <w:t>ويؤكد صاحب البلاغ أن الدولة الطرف لم تقدم حججا</w:t>
      </w:r>
      <w:r w:rsidR="007C0F68">
        <w:rPr>
          <w:rFonts w:hint="cs"/>
          <w:rtl/>
        </w:rPr>
        <w:t>ً</w:t>
      </w:r>
      <w:r w:rsidRPr="00AB589E">
        <w:rPr>
          <w:rtl/>
        </w:rPr>
        <w:t xml:space="preserve"> محددة بشأن عدم مقبولية البلاغ، واكتفت بالقول إن البلاغ غير مقبول وأحالت القارئ إلى تعليلاتها الواردة في القسم اللاحق المتعلق بالأسس الموضوعية. ولذلك فإن صاحب البلاغ ي</w:t>
      </w:r>
      <w:r>
        <w:rPr>
          <w:rtl/>
        </w:rPr>
        <w:t>فهم</w:t>
      </w:r>
      <w:r w:rsidRPr="00AB589E">
        <w:rPr>
          <w:rtl/>
        </w:rPr>
        <w:t xml:space="preserve"> ذلك على أنه قبول ضمني بأن الجدل ال</w:t>
      </w:r>
      <w:r>
        <w:rPr>
          <w:rtl/>
        </w:rPr>
        <w:t>حاصل</w:t>
      </w:r>
      <w:r w:rsidRPr="00AB589E">
        <w:rPr>
          <w:rtl/>
        </w:rPr>
        <w:t xml:space="preserve"> في القضية يتعلق بالأسس الموضوعية فقط. وعليه، يدفع صاحب البلاغ بأن لديه قضية ظاهرة الوجاهة فيما يتعلق بادعائه أن الدولة الطرف قد انتهكت حقوقه بموجب المادتين </w:t>
      </w:r>
      <w:r w:rsidRPr="00D858C6">
        <w:rPr>
          <w:rtl/>
        </w:rPr>
        <w:t>6</w:t>
      </w:r>
      <w:r w:rsidRPr="00AB589E">
        <w:rPr>
          <w:rtl/>
        </w:rPr>
        <w:t xml:space="preserve"> و</w:t>
      </w:r>
      <w:r w:rsidRPr="00D858C6">
        <w:rPr>
          <w:rtl/>
        </w:rPr>
        <w:t>7</w:t>
      </w:r>
      <w:r w:rsidRPr="00AB589E">
        <w:rPr>
          <w:rtl/>
        </w:rPr>
        <w:t xml:space="preserve"> من العهد بسبب المخالفة الإجرائية الواضحة </w:t>
      </w:r>
      <w:r>
        <w:rPr>
          <w:rtl/>
        </w:rPr>
        <w:t xml:space="preserve">الناتجة عن </w:t>
      </w:r>
      <w:r w:rsidRPr="00AB589E">
        <w:rPr>
          <w:rtl/>
        </w:rPr>
        <w:t xml:space="preserve">عدم إجراء تقييم كامل للمخاطر التراكمية التي </w:t>
      </w:r>
      <w:proofErr w:type="spellStart"/>
      <w:r w:rsidRPr="00AB589E">
        <w:rPr>
          <w:rtl/>
        </w:rPr>
        <w:t>يواجهها</w:t>
      </w:r>
      <w:proofErr w:type="spellEnd"/>
      <w:r w:rsidRPr="00AB589E">
        <w:rPr>
          <w:rtl/>
        </w:rPr>
        <w:t xml:space="preserve"> لدى عودته إلى جمهورية إيران الإسلامية.</w:t>
      </w:r>
    </w:p>
    <w:p w14:paraId="079C4232" w14:textId="6CE48951" w:rsidR="001B2505" w:rsidRPr="001B2505" w:rsidRDefault="000066C3" w:rsidP="00F365B6">
      <w:pPr>
        <w:pStyle w:val="SingleTxtGA"/>
        <w:rPr>
          <w:rFonts w:eastAsia="Calibri"/>
          <w:lang w:val="ar-SA" w:eastAsia="zh-TW" w:bidi="en-GB"/>
        </w:rPr>
      </w:pPr>
      <w:r w:rsidRPr="00D858C6">
        <w:rPr>
          <w:rtl/>
        </w:rPr>
        <w:t>5</w:t>
      </w:r>
      <w:r w:rsidRPr="00AB589E">
        <w:rPr>
          <w:rtl/>
        </w:rPr>
        <w:t>-</w:t>
      </w:r>
      <w:r w:rsidRPr="00D858C6">
        <w:rPr>
          <w:rtl/>
        </w:rPr>
        <w:t>4</w:t>
      </w:r>
      <w:r w:rsidRPr="00AB589E">
        <w:rPr>
          <w:rtl/>
        </w:rPr>
        <w:tab/>
      </w:r>
      <w:r w:rsidRPr="009D0A61">
        <w:rPr>
          <w:spacing w:val="-2"/>
          <w:rtl/>
        </w:rPr>
        <w:t>ويؤكد صاحب البلاغ أيضا</w:t>
      </w:r>
      <w:r w:rsidR="00B10B08" w:rsidRPr="009D0A61">
        <w:rPr>
          <w:rFonts w:hint="cs"/>
          <w:spacing w:val="-2"/>
          <w:rtl/>
        </w:rPr>
        <w:t>ً</w:t>
      </w:r>
      <w:r w:rsidRPr="009D0A61">
        <w:rPr>
          <w:spacing w:val="-2"/>
          <w:rtl/>
        </w:rPr>
        <w:t xml:space="preserve"> أن سلطات الدولة الطرف رفضت النظر في أي من عوامل الخطر وآثارها بالاعتماد فقط على استنتاج عدم المصداقية واستخدامه أساسا</w:t>
      </w:r>
      <w:r w:rsidR="00243979" w:rsidRPr="009D0A61">
        <w:rPr>
          <w:rFonts w:hint="cs"/>
          <w:spacing w:val="-2"/>
          <w:rtl/>
        </w:rPr>
        <w:t>ً</w:t>
      </w:r>
      <w:r w:rsidRPr="009D0A61">
        <w:rPr>
          <w:spacing w:val="-2"/>
          <w:rtl/>
        </w:rPr>
        <w:t xml:space="preserve"> لرفض جميع ادعاءات صاحب البلاغ، بما في ذلك الوقائع الموضوعية والأنشطة التي حدثت </w:t>
      </w:r>
      <w:r w:rsidRPr="00D858C6">
        <w:rPr>
          <w:i/>
          <w:iCs/>
          <w:spacing w:val="-2"/>
          <w:rtl/>
        </w:rPr>
        <w:t>في عين المكان</w:t>
      </w:r>
      <w:r w:rsidRPr="009D0A61">
        <w:rPr>
          <w:spacing w:val="-2"/>
          <w:rtl/>
        </w:rPr>
        <w:t xml:space="preserve"> التي تعرضه للخطر، حتى وإن لم تصدق روايته للأحداث التي سبقت فراره من جمهورية إيران الإسلامية. ويذكر صاحب البلاغ أن سلطات الدولة الطرف لم تنظر في تفسيره الواضح والمفصل والمتسق بشأن صحة معتقداته وتحوله اللاحق إلى </w:t>
      </w:r>
      <w:r w:rsidRPr="009D0A61">
        <w:rPr>
          <w:spacing w:val="-4"/>
          <w:rtl/>
        </w:rPr>
        <w:t>المسيحية وعلاقته خارج إطار الزواج، وعلى أي حال، لم تنظر في الوقائع التي قدمها ولم تقيمها أو تطعن فيها،</w:t>
      </w:r>
      <w:r w:rsidRPr="00AB589E">
        <w:rPr>
          <w:rtl/>
        </w:rPr>
        <w:t xml:space="preserve"> </w:t>
      </w:r>
      <w:r w:rsidRPr="00AB589E">
        <w:rPr>
          <w:rtl/>
        </w:rPr>
        <w:lastRenderedPageBreak/>
        <w:t xml:space="preserve">بما في ذلك مغادرته جمهورية إيران الإسلامية بصورة غير قانونية، وعدم التحاقه بالخدمة العسكرية والاستنكاف الضميري منها، </w:t>
      </w:r>
      <w:r>
        <w:rPr>
          <w:rtl/>
        </w:rPr>
        <w:t>وتعميده</w:t>
      </w:r>
      <w:r w:rsidRPr="00AB589E">
        <w:rPr>
          <w:rtl/>
        </w:rPr>
        <w:t xml:space="preserve"> في الدانمرك، وتبشيره لملتمسي اللجوء الآخرين، </w:t>
      </w:r>
      <w:r>
        <w:rPr>
          <w:rtl/>
        </w:rPr>
        <w:t xml:space="preserve">بصورة </w:t>
      </w:r>
      <w:r w:rsidRPr="00AB589E">
        <w:rPr>
          <w:rtl/>
        </w:rPr>
        <w:t>مباشرة وعلى شبكة الإنترنت، وهو ما ستكون السلطات الإيرانية قد شاهدته وما استعرضه ال</w:t>
      </w:r>
      <w:r>
        <w:rPr>
          <w:rtl/>
        </w:rPr>
        <w:t>موظف الذي ا</w:t>
      </w:r>
      <w:r w:rsidRPr="00AB589E">
        <w:rPr>
          <w:rtl/>
        </w:rPr>
        <w:t>ستجوب</w:t>
      </w:r>
      <w:r>
        <w:rPr>
          <w:rtl/>
        </w:rPr>
        <w:t>ه</w:t>
      </w:r>
      <w:r w:rsidRPr="00AB589E">
        <w:rPr>
          <w:rtl/>
        </w:rPr>
        <w:t xml:space="preserve"> ولم</w:t>
      </w:r>
      <w:r w:rsidR="009D0A61">
        <w:rPr>
          <w:rFonts w:hint="cs"/>
          <w:rtl/>
        </w:rPr>
        <w:t> </w:t>
      </w:r>
      <w:r w:rsidRPr="00AB589E">
        <w:rPr>
          <w:rtl/>
        </w:rPr>
        <w:t xml:space="preserve">يطعن فيه، </w:t>
      </w:r>
      <w:r>
        <w:rPr>
          <w:rtl/>
        </w:rPr>
        <w:t xml:space="preserve">إضافة إلى استمرار </w:t>
      </w:r>
      <w:r w:rsidRPr="00AB589E">
        <w:rPr>
          <w:rtl/>
        </w:rPr>
        <w:t>التزامه بالمسيحية، و</w:t>
      </w:r>
      <w:r>
        <w:rPr>
          <w:rtl/>
        </w:rPr>
        <w:t xml:space="preserve">مواصلة </w:t>
      </w:r>
      <w:r w:rsidRPr="00AB589E">
        <w:rPr>
          <w:rtl/>
        </w:rPr>
        <w:t>تعليم</w:t>
      </w:r>
      <w:r>
        <w:rPr>
          <w:rtl/>
        </w:rPr>
        <w:t>ه</w:t>
      </w:r>
      <w:r w:rsidRPr="00AB589E">
        <w:rPr>
          <w:rtl/>
        </w:rPr>
        <w:t xml:space="preserve"> الديني وحضوره الكنيسة، وهو ما</w:t>
      </w:r>
      <w:r w:rsidR="009D0A61">
        <w:rPr>
          <w:rFonts w:hint="cs"/>
          <w:rtl/>
        </w:rPr>
        <w:t> </w:t>
      </w:r>
      <w:r w:rsidRPr="00AB589E">
        <w:rPr>
          <w:rtl/>
        </w:rPr>
        <w:t>كان يمكن أن يشهد عليه شاهده ويسأل عنه</w:t>
      </w:r>
      <w:r>
        <w:rPr>
          <w:rtl/>
        </w:rPr>
        <w:t>،</w:t>
      </w:r>
      <w:r w:rsidRPr="00AB589E">
        <w:rPr>
          <w:rtl/>
        </w:rPr>
        <w:t xml:space="preserve"> </w:t>
      </w:r>
      <w:r>
        <w:rPr>
          <w:rtl/>
        </w:rPr>
        <w:t>علاوة على</w:t>
      </w:r>
      <w:r w:rsidR="00364AD9">
        <w:rPr>
          <w:rtl/>
        </w:rPr>
        <w:t xml:space="preserve"> </w:t>
      </w:r>
      <w:r w:rsidRPr="00AB589E">
        <w:rPr>
          <w:rtl/>
        </w:rPr>
        <w:t>وشمه ذ</w:t>
      </w:r>
      <w:r>
        <w:rPr>
          <w:rtl/>
        </w:rPr>
        <w:t>ي</w:t>
      </w:r>
      <w:r w:rsidRPr="00AB589E">
        <w:rPr>
          <w:rtl/>
        </w:rPr>
        <w:t xml:space="preserve"> الطابع المسيحي</w:t>
      </w:r>
      <w:r>
        <w:rPr>
          <w:rtl/>
        </w:rPr>
        <w:t xml:space="preserve"> الواضح</w:t>
      </w:r>
      <w:r w:rsidRPr="00AB589E">
        <w:rPr>
          <w:rtl/>
        </w:rPr>
        <w:t>، الذي يمكن اكتشافه خلال ال</w:t>
      </w:r>
      <w:r>
        <w:rPr>
          <w:rtl/>
        </w:rPr>
        <w:t>تفتيش</w:t>
      </w:r>
      <w:r w:rsidR="00364AD9">
        <w:rPr>
          <w:rtl/>
        </w:rPr>
        <w:t xml:space="preserve"> </w:t>
      </w:r>
      <w:r w:rsidRPr="00AB589E">
        <w:rPr>
          <w:rtl/>
        </w:rPr>
        <w:t xml:space="preserve">المعتاد عند </w:t>
      </w:r>
      <w:r>
        <w:rPr>
          <w:rtl/>
        </w:rPr>
        <w:t>ال</w:t>
      </w:r>
      <w:r w:rsidRPr="00AB589E">
        <w:rPr>
          <w:rtl/>
        </w:rPr>
        <w:t>وصول، و</w:t>
      </w:r>
      <w:r>
        <w:rPr>
          <w:rtl/>
        </w:rPr>
        <w:t>هو تفتيش سيخضع له لا محالة</w:t>
      </w:r>
      <w:r w:rsidRPr="00AB589E">
        <w:rPr>
          <w:rtl/>
        </w:rPr>
        <w:t xml:space="preserve"> عند</w:t>
      </w:r>
      <w:r>
        <w:rPr>
          <w:rtl/>
        </w:rPr>
        <w:t xml:space="preserve"> الوصول</w:t>
      </w:r>
      <w:r w:rsidRPr="00AB589E">
        <w:rPr>
          <w:rtl/>
        </w:rPr>
        <w:t xml:space="preserve"> بجواز مرور</w:t>
      </w:r>
      <w:r>
        <w:rPr>
          <w:rtl/>
        </w:rPr>
        <w:t xml:space="preserve"> يدل ع</w:t>
      </w:r>
      <w:r w:rsidRPr="00AB589E">
        <w:rPr>
          <w:rtl/>
        </w:rPr>
        <w:t xml:space="preserve">لى مغادرته غير القانونية، وحضوره مظاهرة </w:t>
      </w:r>
      <w:r>
        <w:rPr>
          <w:rtl/>
        </w:rPr>
        <w:t xml:space="preserve">مصورة </w:t>
      </w:r>
      <w:r w:rsidRPr="00AB589E">
        <w:rPr>
          <w:rtl/>
        </w:rPr>
        <w:t>ضد النظام علم</w:t>
      </w:r>
      <w:r>
        <w:rPr>
          <w:rtl/>
        </w:rPr>
        <w:t xml:space="preserve"> بها </w:t>
      </w:r>
      <w:r w:rsidRPr="00AB589E">
        <w:rPr>
          <w:rtl/>
        </w:rPr>
        <w:t>المستجوب ولم يس</w:t>
      </w:r>
      <w:r>
        <w:rPr>
          <w:rtl/>
        </w:rPr>
        <w:t>أله عنها</w:t>
      </w:r>
      <w:r w:rsidRPr="00AB589E">
        <w:rPr>
          <w:rtl/>
        </w:rPr>
        <w:t xml:space="preserve"> للحصول على مزيد من التفاصيل. ويتبن من كل ما سبق ذكره، إذا ما أخذ في مجمله، أن</w:t>
      </w:r>
      <w:r>
        <w:rPr>
          <w:rtl/>
        </w:rPr>
        <w:t xml:space="preserve"> صاحب البلاغ</w:t>
      </w:r>
      <w:r w:rsidRPr="00AB589E">
        <w:rPr>
          <w:rtl/>
        </w:rPr>
        <w:t xml:space="preserve"> معرض لخطر حقيقي </w:t>
      </w:r>
      <w:r>
        <w:rPr>
          <w:rtl/>
        </w:rPr>
        <w:t>بتلقي</w:t>
      </w:r>
      <w:r w:rsidRPr="00AB589E">
        <w:rPr>
          <w:rtl/>
        </w:rPr>
        <w:t xml:space="preserve"> معاملة مخالفة للعهد. ولم تطعن الدولة الطرف في هذه العناصر</w:t>
      </w:r>
      <w:r w:rsidRPr="00AB589E">
        <w:rPr>
          <w:rFonts w:hint="eastAsia"/>
          <w:rtl/>
        </w:rPr>
        <w:t>،</w:t>
      </w:r>
      <w:r w:rsidRPr="00AB589E">
        <w:rPr>
          <w:rtl/>
        </w:rPr>
        <w:t xml:space="preserve"> ولكنها أيضا</w:t>
      </w:r>
      <w:r w:rsidR="00243979">
        <w:rPr>
          <w:rFonts w:hint="cs"/>
          <w:rtl/>
        </w:rPr>
        <w:t>ً</w:t>
      </w:r>
      <w:r w:rsidRPr="00AB589E">
        <w:rPr>
          <w:rtl/>
        </w:rPr>
        <w:t xml:space="preserve"> لم تنظر في </w:t>
      </w:r>
      <w:r>
        <w:rPr>
          <w:rtl/>
        </w:rPr>
        <w:t>سلسلة</w:t>
      </w:r>
      <w:r w:rsidRPr="00AB589E">
        <w:rPr>
          <w:rtl/>
        </w:rPr>
        <w:t xml:space="preserve"> الأحداث التي ستنشأ </w:t>
      </w:r>
      <w:r>
        <w:rPr>
          <w:rtl/>
        </w:rPr>
        <w:t>عن</w:t>
      </w:r>
      <w:r w:rsidRPr="00AB589E">
        <w:rPr>
          <w:rtl/>
        </w:rPr>
        <w:t xml:space="preserve"> وصوله إلى جمهورية إيران الإسلامية. وعند اكتشاف وشمه، لن تصرف السلطات نظرها عن تحوله إلى المسيحية باعتباره </w:t>
      </w:r>
      <w:r>
        <w:rPr>
          <w:rtl/>
        </w:rPr>
        <w:t>مجرد</w:t>
      </w:r>
      <w:r w:rsidRPr="00AB589E">
        <w:rPr>
          <w:rtl/>
        </w:rPr>
        <w:t xml:space="preserve"> ت</w:t>
      </w:r>
      <w:r>
        <w:rPr>
          <w:rtl/>
        </w:rPr>
        <w:t>علة</w:t>
      </w:r>
      <w:r w:rsidRPr="00AB589E">
        <w:rPr>
          <w:rtl/>
        </w:rPr>
        <w:t xml:space="preserve"> </w:t>
      </w:r>
      <w:r>
        <w:rPr>
          <w:rtl/>
        </w:rPr>
        <w:t>ل</w:t>
      </w:r>
      <w:r w:rsidRPr="00AB589E">
        <w:rPr>
          <w:rtl/>
        </w:rPr>
        <w:t xml:space="preserve">طلب اللجوء، بل </w:t>
      </w:r>
      <w:r>
        <w:rPr>
          <w:rtl/>
        </w:rPr>
        <w:t>س</w:t>
      </w:r>
      <w:r w:rsidRPr="00AB589E">
        <w:rPr>
          <w:rtl/>
        </w:rPr>
        <w:t>تجبره على التراجع عن دين</w:t>
      </w:r>
      <w:r>
        <w:rPr>
          <w:rtl/>
        </w:rPr>
        <w:t>ه الجديد</w:t>
      </w:r>
      <w:r w:rsidRPr="00AB589E">
        <w:rPr>
          <w:rtl/>
        </w:rPr>
        <w:t xml:space="preserve">. ولو شوهد فيما بعد وهو يمارس دينه، واقتضى إيمانه منه التبشير، فسينظر إليه على أنه انقلب على عقبيه ولتعرض للاضطهاد والمقاضاة. ويذكر صاحب البلاغ أن من المعروف </w:t>
      </w:r>
      <w:r>
        <w:rPr>
          <w:rtl/>
        </w:rPr>
        <w:t>وجود</w:t>
      </w:r>
      <w:r w:rsidRPr="00AB589E">
        <w:rPr>
          <w:rtl/>
        </w:rPr>
        <w:t xml:space="preserve"> مرافق للمحاكم في مطارات جمهورية إيران الإسلامية لمعالجة هذه القضايا على وجه السرعة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3"/>
      </w:r>
      <w:r w:rsidR="001B2505" w:rsidRPr="001B2505">
        <w:rPr>
          <w:rStyle w:val="FootnoteReference"/>
          <w:rFonts w:ascii="Traditional Arabic" w:eastAsia="Calibri" w:hAnsi="Traditional Arabic"/>
          <w:sz w:val="30"/>
          <w:rtl/>
        </w:rPr>
        <w:t>)</w:t>
      </w:r>
      <w:r w:rsidR="001B2505" w:rsidRPr="001B2505">
        <w:rPr>
          <w:rtl/>
        </w:rPr>
        <w:t>.</w:t>
      </w:r>
    </w:p>
    <w:p w14:paraId="4E571B8E" w14:textId="10A42F77" w:rsidR="000066C3" w:rsidRPr="00AB589E" w:rsidRDefault="000066C3" w:rsidP="00F365B6">
      <w:pPr>
        <w:pStyle w:val="SingleTxtGA"/>
        <w:rPr>
          <w:rFonts w:eastAsia="Calibri"/>
          <w:lang w:val="en-US" w:eastAsia="zh-TW" w:bidi="en-GB"/>
        </w:rPr>
      </w:pPr>
      <w:r w:rsidRPr="00D858C6">
        <w:rPr>
          <w:rtl/>
        </w:rPr>
        <w:t>5</w:t>
      </w:r>
      <w:r w:rsidRPr="00AB589E">
        <w:rPr>
          <w:rtl/>
        </w:rPr>
        <w:t>-</w:t>
      </w:r>
      <w:r w:rsidRPr="00D858C6">
        <w:rPr>
          <w:rtl/>
        </w:rPr>
        <w:t>5</w:t>
      </w:r>
      <w:r w:rsidRPr="00AB589E">
        <w:rPr>
          <w:rtl/>
        </w:rPr>
        <w:tab/>
        <w:t xml:space="preserve">ولذلك، يدعي صاحب البلاغ أن </w:t>
      </w:r>
      <w:r>
        <w:rPr>
          <w:rtl/>
        </w:rPr>
        <w:t xml:space="preserve">إخلال </w:t>
      </w:r>
      <w:r w:rsidRPr="00AB589E">
        <w:rPr>
          <w:rtl/>
        </w:rPr>
        <w:t xml:space="preserve">الدولة الطرف بتقييم هذه العوامل </w:t>
      </w:r>
      <w:r>
        <w:rPr>
          <w:rtl/>
        </w:rPr>
        <w:t>مجتمعة</w:t>
      </w:r>
      <w:r w:rsidRPr="00AB589E">
        <w:rPr>
          <w:rtl/>
        </w:rPr>
        <w:t>،</w:t>
      </w:r>
      <w:r w:rsidR="00DE5E07">
        <w:rPr>
          <w:rFonts w:hint="cs"/>
          <w:rtl/>
        </w:rPr>
        <w:t xml:space="preserve"> </w:t>
      </w:r>
      <w:r w:rsidRPr="00AB589E">
        <w:rPr>
          <w:rtl/>
        </w:rPr>
        <w:t xml:space="preserve">كما يتضح من </w:t>
      </w:r>
      <w:r>
        <w:rPr>
          <w:rtl/>
        </w:rPr>
        <w:t xml:space="preserve">غياب </w:t>
      </w:r>
      <w:r w:rsidRPr="00AB589E">
        <w:rPr>
          <w:rtl/>
        </w:rPr>
        <w:t>التعليل في قرار مجلس طعون اللاجئين وما يتكرر في تأييد الدولة الطرف له</w:t>
      </w:r>
      <w:r>
        <w:rPr>
          <w:rtl/>
        </w:rPr>
        <w:t>ذا القرار</w:t>
      </w:r>
      <w:r w:rsidRPr="00AB589E">
        <w:rPr>
          <w:rtl/>
        </w:rPr>
        <w:t xml:space="preserve"> في ملاحظاتها، </w:t>
      </w:r>
      <w:r>
        <w:rPr>
          <w:rtl/>
        </w:rPr>
        <w:t xml:space="preserve">وذلك </w:t>
      </w:r>
      <w:r w:rsidRPr="00AB589E">
        <w:rPr>
          <w:rtl/>
        </w:rPr>
        <w:t xml:space="preserve">مرة أخرى دون أي إشارة محددة إلى المخاطر التي عرضتها الوقائع، </w:t>
      </w:r>
      <w:r>
        <w:rPr>
          <w:rtl/>
        </w:rPr>
        <w:t>إخلال يشكل</w:t>
      </w:r>
      <w:r w:rsidRPr="00AB589E">
        <w:rPr>
          <w:rtl/>
        </w:rPr>
        <w:t xml:space="preserve"> خطأ إجرائيا</w:t>
      </w:r>
      <w:r w:rsidR="00DE5E07">
        <w:rPr>
          <w:rFonts w:hint="cs"/>
          <w:rtl/>
        </w:rPr>
        <w:t>ً</w:t>
      </w:r>
      <w:r w:rsidRPr="00AB589E">
        <w:rPr>
          <w:rtl/>
        </w:rPr>
        <w:t xml:space="preserve"> واضحا</w:t>
      </w:r>
      <w:r w:rsidR="00DE5E07">
        <w:rPr>
          <w:rFonts w:hint="cs"/>
          <w:rtl/>
        </w:rPr>
        <w:t>ً</w:t>
      </w:r>
      <w:r w:rsidRPr="00AB589E">
        <w:rPr>
          <w:rtl/>
        </w:rPr>
        <w:t xml:space="preserve">، بمعنى أن الخطر الذي </w:t>
      </w:r>
      <w:proofErr w:type="spellStart"/>
      <w:r w:rsidRPr="00AB589E">
        <w:rPr>
          <w:rtl/>
        </w:rPr>
        <w:t>يواجهه</w:t>
      </w:r>
      <w:proofErr w:type="spellEnd"/>
      <w:r w:rsidRPr="00AB589E">
        <w:rPr>
          <w:rtl/>
        </w:rPr>
        <w:t xml:space="preserve"> لم ينظر فيه على النحو الواجب، </w:t>
      </w:r>
      <w:r>
        <w:rPr>
          <w:rtl/>
        </w:rPr>
        <w:t xml:space="preserve">كما </w:t>
      </w:r>
      <w:r w:rsidRPr="00AB589E">
        <w:rPr>
          <w:rtl/>
        </w:rPr>
        <w:t xml:space="preserve">يشكل </w:t>
      </w:r>
      <w:r>
        <w:rPr>
          <w:rtl/>
        </w:rPr>
        <w:t>إنكارا</w:t>
      </w:r>
      <w:r w:rsidR="00DE5E07">
        <w:rPr>
          <w:rFonts w:hint="cs"/>
          <w:rtl/>
        </w:rPr>
        <w:t>ً</w:t>
      </w:r>
      <w:r>
        <w:rPr>
          <w:rtl/>
        </w:rPr>
        <w:t xml:space="preserve"> ل</w:t>
      </w:r>
      <w:r w:rsidRPr="00AB589E">
        <w:rPr>
          <w:rtl/>
        </w:rPr>
        <w:t>لعدالة وانتهاكا</w:t>
      </w:r>
      <w:r w:rsidR="00DE5E07">
        <w:rPr>
          <w:rFonts w:hint="cs"/>
          <w:rtl/>
        </w:rPr>
        <w:t>ً</w:t>
      </w:r>
      <w:r w:rsidRPr="00AB589E">
        <w:rPr>
          <w:rtl/>
        </w:rPr>
        <w:t xml:space="preserve"> لحقوقه بموجب المادتين </w:t>
      </w:r>
      <w:r w:rsidRPr="00D858C6">
        <w:rPr>
          <w:rtl/>
        </w:rPr>
        <w:t>6</w:t>
      </w:r>
      <w:r w:rsidRPr="00AB589E">
        <w:rPr>
          <w:rtl/>
        </w:rPr>
        <w:t xml:space="preserve"> و</w:t>
      </w:r>
      <w:r w:rsidRPr="00D858C6">
        <w:rPr>
          <w:rtl/>
        </w:rPr>
        <w:t>7</w:t>
      </w:r>
      <w:r w:rsidRPr="00AB589E">
        <w:rPr>
          <w:rtl/>
        </w:rPr>
        <w:t xml:space="preserve"> من العهد.</w:t>
      </w:r>
    </w:p>
    <w:p w14:paraId="7EC8F54B" w14:textId="77777777" w:rsidR="000066C3" w:rsidRPr="00D858C6" w:rsidRDefault="000066C3" w:rsidP="00F365B6">
      <w:pPr>
        <w:pStyle w:val="H23GA"/>
        <w:rPr>
          <w:rFonts w:eastAsia="Calibri"/>
          <w:lang w:val="ar-SA" w:eastAsia="zh-TW" w:bidi="en-GB"/>
        </w:rPr>
      </w:pPr>
      <w:r w:rsidRPr="00D858C6">
        <w:rPr>
          <w:rtl/>
        </w:rPr>
        <w:tab/>
      </w:r>
      <w:r w:rsidRPr="00D858C6">
        <w:rPr>
          <w:rtl/>
        </w:rPr>
        <w:tab/>
        <w:t>المسائل والإجراءات المعروضة على اللجنة</w:t>
      </w:r>
    </w:p>
    <w:p w14:paraId="7E772EDC" w14:textId="77777777" w:rsidR="000066C3" w:rsidRPr="00D858C6" w:rsidRDefault="000066C3" w:rsidP="00F365B6">
      <w:pPr>
        <w:pStyle w:val="H4GA"/>
        <w:rPr>
          <w:rFonts w:eastAsia="Calibri"/>
          <w:lang w:val="ar-SA" w:eastAsia="zh-TW" w:bidi="en-GB"/>
        </w:rPr>
      </w:pPr>
      <w:r w:rsidRPr="00D858C6">
        <w:rPr>
          <w:rtl/>
        </w:rPr>
        <w:tab/>
      </w:r>
      <w:r w:rsidRPr="00D858C6">
        <w:rPr>
          <w:rtl/>
        </w:rPr>
        <w:tab/>
        <w:t>النظر في المقبولية</w:t>
      </w:r>
    </w:p>
    <w:p w14:paraId="3D4DAE6D" w14:textId="77777777" w:rsidR="000066C3" w:rsidRPr="00AB589E" w:rsidRDefault="000066C3" w:rsidP="00F365B6">
      <w:pPr>
        <w:pStyle w:val="SingleTxtGA"/>
        <w:rPr>
          <w:rFonts w:eastAsia="Calibri"/>
          <w:lang w:val="ar-SA" w:eastAsia="zh-TW" w:bidi="en-GB"/>
        </w:rPr>
      </w:pPr>
      <w:r w:rsidRPr="00D858C6">
        <w:rPr>
          <w:rtl/>
        </w:rPr>
        <w:t>6</w:t>
      </w:r>
      <w:r w:rsidRPr="00AB589E">
        <w:rPr>
          <w:rtl/>
        </w:rPr>
        <w:t>-</w:t>
      </w:r>
      <w:r w:rsidRPr="00D858C6">
        <w:rPr>
          <w:rtl/>
        </w:rPr>
        <w:t>1</w:t>
      </w:r>
      <w:r w:rsidRPr="00AB589E">
        <w:rPr>
          <w:rtl/>
        </w:rPr>
        <w:tab/>
        <w:t xml:space="preserve">قبل النظر في أي ادعاء يرد في بلاغ ما، يجب على اللجنة أن تقرر، وفقاً للمادة </w:t>
      </w:r>
      <w:r w:rsidRPr="00D858C6">
        <w:rPr>
          <w:rtl/>
        </w:rPr>
        <w:t>97</w:t>
      </w:r>
      <w:r w:rsidRPr="00AB589E">
        <w:rPr>
          <w:rtl/>
        </w:rPr>
        <w:t xml:space="preserve"> من نظامها الداخلي، ما إن كان البلاغ مقبولاً أم لا بمقتضى البروتوكول الاختياري.</w:t>
      </w:r>
    </w:p>
    <w:p w14:paraId="682952DA" w14:textId="36C48489" w:rsidR="000066C3" w:rsidRPr="009D0A61" w:rsidRDefault="000066C3" w:rsidP="00F365B6">
      <w:pPr>
        <w:pStyle w:val="SingleTxtGA"/>
        <w:rPr>
          <w:rFonts w:eastAsia="Calibri"/>
          <w:lang w:val="ar-SA" w:eastAsia="zh-TW" w:bidi="en-GB"/>
        </w:rPr>
      </w:pPr>
      <w:r w:rsidRPr="00D858C6">
        <w:rPr>
          <w:rtl/>
        </w:rPr>
        <w:t>6</w:t>
      </w:r>
      <w:r w:rsidRPr="009D0A61">
        <w:rPr>
          <w:rtl/>
        </w:rPr>
        <w:t>-</w:t>
      </w:r>
      <w:r w:rsidRPr="00D858C6">
        <w:rPr>
          <w:rtl/>
        </w:rPr>
        <w:t>2</w:t>
      </w:r>
      <w:r w:rsidRPr="009D0A61">
        <w:rPr>
          <w:rtl/>
        </w:rPr>
        <w:tab/>
        <w:t xml:space="preserve">وقد تحققت اللجنة، وفقاً لما تقتضيه المادة </w:t>
      </w:r>
      <w:r w:rsidRPr="00D858C6">
        <w:rPr>
          <w:rtl/>
        </w:rPr>
        <w:t>5</w:t>
      </w:r>
      <w:r w:rsidRPr="009D0A61">
        <w:rPr>
          <w:rtl/>
        </w:rPr>
        <w:t>(</w:t>
      </w:r>
      <w:r w:rsidR="001B2505" w:rsidRPr="00D858C6">
        <w:rPr>
          <w:rtl/>
        </w:rPr>
        <w:t>2</w:t>
      </w:r>
      <w:r w:rsidR="001B2505" w:rsidRPr="009D0A61">
        <w:rPr>
          <w:rtl/>
        </w:rPr>
        <w:t>)</w:t>
      </w:r>
      <w:r w:rsidRPr="009D0A61">
        <w:rPr>
          <w:rtl/>
        </w:rPr>
        <w:t>(أ) من البروتوكول الاختياري، من أن المسألة نفسها ليست قيد البحث ولم تُبحث في إطار إجراء آخر من إجراءات التحقيق الدولي أو التسوية الدولية.</w:t>
      </w:r>
    </w:p>
    <w:p w14:paraId="145C6B6F" w14:textId="0BF9BCF6" w:rsidR="000066C3" w:rsidRPr="009D0A61" w:rsidRDefault="000066C3" w:rsidP="00F365B6">
      <w:pPr>
        <w:pStyle w:val="SingleTxtGA"/>
        <w:rPr>
          <w:rFonts w:eastAsia="Calibri"/>
          <w:spacing w:val="-5"/>
          <w:lang w:val="en-US" w:eastAsia="zh-TW" w:bidi="en-GB"/>
        </w:rPr>
      </w:pPr>
      <w:r w:rsidRPr="00D858C6">
        <w:rPr>
          <w:spacing w:val="-5"/>
          <w:rtl/>
        </w:rPr>
        <w:t>6</w:t>
      </w:r>
      <w:r w:rsidRPr="009D0A61">
        <w:rPr>
          <w:spacing w:val="-5"/>
          <w:rtl/>
        </w:rPr>
        <w:t>-</w:t>
      </w:r>
      <w:r w:rsidRPr="00D858C6">
        <w:rPr>
          <w:spacing w:val="-5"/>
          <w:rtl/>
        </w:rPr>
        <w:t>3</w:t>
      </w:r>
      <w:r w:rsidRPr="009D0A61">
        <w:rPr>
          <w:spacing w:val="-5"/>
          <w:rtl/>
        </w:rPr>
        <w:tab/>
        <w:t xml:space="preserve">وتلاحظ اللجنة أن الدولة الطرف لم تعترض على مقبولية البلاغ بموجب المادة </w:t>
      </w:r>
      <w:r w:rsidRPr="00D858C6">
        <w:rPr>
          <w:spacing w:val="-5"/>
          <w:rtl/>
        </w:rPr>
        <w:t>5</w:t>
      </w:r>
      <w:r w:rsidRPr="009D0A61">
        <w:rPr>
          <w:spacing w:val="-5"/>
          <w:rtl/>
        </w:rPr>
        <w:t>(</w:t>
      </w:r>
      <w:r w:rsidR="001B2505" w:rsidRPr="00D858C6">
        <w:rPr>
          <w:spacing w:val="-5"/>
          <w:rtl/>
        </w:rPr>
        <w:t>2</w:t>
      </w:r>
      <w:r w:rsidR="001B2505" w:rsidRPr="009D0A61">
        <w:rPr>
          <w:spacing w:val="-5"/>
          <w:rtl/>
        </w:rPr>
        <w:t>)</w:t>
      </w:r>
      <w:r w:rsidRPr="009D0A61">
        <w:rPr>
          <w:spacing w:val="-5"/>
          <w:rtl/>
        </w:rPr>
        <w:t xml:space="preserve">(ب) من البروتوكول الاختياري. وعليه، تعتبر اللجنة أن مقتضيات المادة </w:t>
      </w:r>
      <w:r w:rsidRPr="00D858C6">
        <w:rPr>
          <w:spacing w:val="-5"/>
          <w:rtl/>
        </w:rPr>
        <w:t>5</w:t>
      </w:r>
      <w:r w:rsidRPr="009D0A61">
        <w:rPr>
          <w:spacing w:val="-5"/>
          <w:rtl/>
        </w:rPr>
        <w:t>(</w:t>
      </w:r>
      <w:r w:rsidR="001B2505" w:rsidRPr="00D858C6">
        <w:rPr>
          <w:spacing w:val="-5"/>
          <w:rtl/>
        </w:rPr>
        <w:t>2</w:t>
      </w:r>
      <w:r w:rsidR="001B2505" w:rsidRPr="009D0A61">
        <w:rPr>
          <w:spacing w:val="-5"/>
          <w:rtl/>
        </w:rPr>
        <w:t>)</w:t>
      </w:r>
      <w:r w:rsidRPr="009D0A61">
        <w:rPr>
          <w:spacing w:val="-5"/>
          <w:rtl/>
        </w:rPr>
        <w:t xml:space="preserve">(ب) من البروتوكول الاختياري قد استُوفيت. </w:t>
      </w:r>
    </w:p>
    <w:p w14:paraId="38924CED" w14:textId="29F68215" w:rsidR="000066C3" w:rsidRPr="00AB589E" w:rsidRDefault="000066C3" w:rsidP="00F365B6">
      <w:pPr>
        <w:pStyle w:val="SingleTxtGA"/>
        <w:rPr>
          <w:rFonts w:eastAsia="Calibri"/>
          <w:lang w:val="ar-SA" w:eastAsia="zh-TW" w:bidi="en-GB"/>
        </w:rPr>
      </w:pPr>
      <w:r w:rsidRPr="00D858C6">
        <w:rPr>
          <w:rtl/>
        </w:rPr>
        <w:t>6</w:t>
      </w:r>
      <w:r w:rsidRPr="00AB589E">
        <w:rPr>
          <w:rtl/>
        </w:rPr>
        <w:t>-</w:t>
      </w:r>
      <w:r w:rsidRPr="00D858C6">
        <w:rPr>
          <w:rtl/>
        </w:rPr>
        <w:t>4</w:t>
      </w:r>
      <w:r w:rsidRPr="00AB589E">
        <w:rPr>
          <w:rtl/>
        </w:rPr>
        <w:tab/>
        <w:t>وتحيط اللجنة علما</w:t>
      </w:r>
      <w:r w:rsidR="005A2150">
        <w:rPr>
          <w:rFonts w:hint="cs"/>
          <w:rtl/>
        </w:rPr>
        <w:t>ً</w:t>
      </w:r>
      <w:r w:rsidRPr="00AB589E">
        <w:rPr>
          <w:rtl/>
        </w:rPr>
        <w:t xml:space="preserve"> بطعن الدولة الطرف في المقبولية على أساس أن ادعاءات صاحب البلاغ بموجب المادتين </w:t>
      </w:r>
      <w:r w:rsidRPr="00D858C6">
        <w:rPr>
          <w:rtl/>
        </w:rPr>
        <w:t>6</w:t>
      </w:r>
      <w:r w:rsidRPr="00AB589E">
        <w:rPr>
          <w:rtl/>
        </w:rPr>
        <w:t xml:space="preserve"> و</w:t>
      </w:r>
      <w:r w:rsidRPr="00D858C6">
        <w:rPr>
          <w:rtl/>
        </w:rPr>
        <w:t>7</w:t>
      </w:r>
      <w:r w:rsidRPr="00AB589E">
        <w:rPr>
          <w:rtl/>
        </w:rPr>
        <w:t xml:space="preserve"> من العهد ذات طابع عام وأنه لم يدع</w:t>
      </w:r>
      <w:r>
        <w:rPr>
          <w:rtl/>
        </w:rPr>
        <w:t>ّ</w:t>
      </w:r>
      <w:r w:rsidRPr="00AB589E">
        <w:rPr>
          <w:rtl/>
        </w:rPr>
        <w:t xml:space="preserve">م ادعاءه بما يثبت أن قرار مجلس طعون اللاجئين تعيبه أي مخالفة إجرائية </w:t>
      </w:r>
      <w:r>
        <w:rPr>
          <w:rtl/>
        </w:rPr>
        <w:t>بحيث يُستنتج وقوع</w:t>
      </w:r>
      <w:r w:rsidRPr="00AB589E">
        <w:rPr>
          <w:rtl/>
        </w:rPr>
        <w:t xml:space="preserve"> خطأ واضح. وتلاحظ أيضا</w:t>
      </w:r>
      <w:r w:rsidR="005A2150">
        <w:rPr>
          <w:rFonts w:hint="cs"/>
          <w:rtl/>
        </w:rPr>
        <w:t>ً</w:t>
      </w:r>
      <w:r w:rsidRPr="00AB589E">
        <w:rPr>
          <w:rtl/>
        </w:rPr>
        <w:t xml:space="preserve"> تأكيد صاحب البلاغ </w:t>
      </w:r>
      <w:r w:rsidRPr="00AB589E">
        <w:rPr>
          <w:rtl/>
        </w:rPr>
        <w:lastRenderedPageBreak/>
        <w:t>أن</w:t>
      </w:r>
      <w:r w:rsidR="009D0A61">
        <w:rPr>
          <w:rFonts w:hint="cs"/>
          <w:rtl/>
        </w:rPr>
        <w:t> </w:t>
      </w:r>
      <w:r w:rsidRPr="00AB589E">
        <w:rPr>
          <w:rtl/>
        </w:rPr>
        <w:t xml:space="preserve">الدولة الطرف لم تف بالتزامها الإجرائي بالنظر على النحو الواجب في جميع الأدلة في قضيته، ورفضت جميع الادعاءات على أساس استنتاج </w:t>
      </w:r>
      <w:r>
        <w:rPr>
          <w:rtl/>
        </w:rPr>
        <w:t>عدم</w:t>
      </w:r>
      <w:r w:rsidRPr="00AB589E">
        <w:rPr>
          <w:rtl/>
        </w:rPr>
        <w:t xml:space="preserve"> المصداقية، دون النظر في الأدلة الموضوعية، التي لم تطعن في وجودها أو صحتها، مثل وشمه، وعدم تعليلها أي تقييم أجريَ أو استنتاج </w:t>
      </w:r>
      <w:r>
        <w:rPr>
          <w:rtl/>
        </w:rPr>
        <w:t>م</w:t>
      </w:r>
      <w:r w:rsidRPr="00AB589E">
        <w:rPr>
          <w:rtl/>
        </w:rPr>
        <w:t xml:space="preserve">توصل إليه، </w:t>
      </w:r>
      <w:r w:rsidRPr="009D0A61">
        <w:rPr>
          <w:spacing w:val="-2"/>
          <w:rtl/>
        </w:rPr>
        <w:t>لا</w:t>
      </w:r>
      <w:r w:rsidR="009D0A61" w:rsidRPr="009D0A61">
        <w:rPr>
          <w:rFonts w:hint="cs"/>
          <w:spacing w:val="-2"/>
          <w:rtl/>
        </w:rPr>
        <w:t> </w:t>
      </w:r>
      <w:r w:rsidRPr="009D0A61">
        <w:rPr>
          <w:spacing w:val="-2"/>
          <w:rtl/>
        </w:rPr>
        <w:t>سيما تقديم</w:t>
      </w:r>
      <w:r w:rsidR="00364AD9" w:rsidRPr="009D0A61">
        <w:rPr>
          <w:spacing w:val="-2"/>
          <w:rtl/>
        </w:rPr>
        <w:t xml:space="preserve"> </w:t>
      </w:r>
      <w:r w:rsidRPr="009D0A61">
        <w:rPr>
          <w:spacing w:val="-2"/>
          <w:rtl/>
        </w:rPr>
        <w:t>أسباب لرفض الاستماع إلى شهادة شفوية تتعلق بجوهر أحد ادعاءاته الأساسية. وترى اللجنة</w:t>
      </w:r>
      <w:r w:rsidRPr="00AB589E">
        <w:rPr>
          <w:rtl/>
        </w:rPr>
        <w:t xml:space="preserve"> أن صاحب البلاغ دع</w:t>
      </w:r>
      <w:r>
        <w:rPr>
          <w:rtl/>
        </w:rPr>
        <w:t>ّ</w:t>
      </w:r>
      <w:r w:rsidRPr="00AB589E">
        <w:rPr>
          <w:rtl/>
        </w:rPr>
        <w:t xml:space="preserve">م ادعاءاته بما يكفي من الأدلة لأغراض المقبولية بموجب المادتين </w:t>
      </w:r>
      <w:r w:rsidRPr="00D858C6">
        <w:rPr>
          <w:rtl/>
        </w:rPr>
        <w:t>6</w:t>
      </w:r>
      <w:r w:rsidRPr="00AB589E">
        <w:rPr>
          <w:rtl/>
        </w:rPr>
        <w:t xml:space="preserve"> و</w:t>
      </w:r>
      <w:r w:rsidRPr="00D858C6">
        <w:rPr>
          <w:rtl/>
        </w:rPr>
        <w:t>7</w:t>
      </w:r>
      <w:r w:rsidRPr="00AB589E">
        <w:rPr>
          <w:rtl/>
        </w:rPr>
        <w:t xml:space="preserve"> من العهد. </w:t>
      </w:r>
    </w:p>
    <w:p w14:paraId="3A0EE7B6" w14:textId="54B38BCA" w:rsidR="001B2505" w:rsidRPr="001B2505" w:rsidRDefault="000066C3" w:rsidP="00F365B6">
      <w:pPr>
        <w:pStyle w:val="SingleTxtGA"/>
        <w:rPr>
          <w:rFonts w:eastAsia="Calibri"/>
          <w:lang w:val="ar-SA" w:eastAsia="zh-TW" w:bidi="en-GB"/>
        </w:rPr>
      </w:pPr>
      <w:r w:rsidRPr="00D858C6">
        <w:rPr>
          <w:rtl/>
        </w:rPr>
        <w:t>6</w:t>
      </w:r>
      <w:r w:rsidRPr="00AB589E">
        <w:rPr>
          <w:rtl/>
        </w:rPr>
        <w:t>-</w:t>
      </w:r>
      <w:r w:rsidRPr="00D858C6">
        <w:rPr>
          <w:rtl/>
        </w:rPr>
        <w:t>5</w:t>
      </w:r>
      <w:r w:rsidRPr="00AB589E">
        <w:rPr>
          <w:rtl/>
        </w:rPr>
        <w:tab/>
        <w:t>وتلاحظ اللجنة أن صاحب البلاغ قد احتج ضمنيا</w:t>
      </w:r>
      <w:r w:rsidR="005A2150">
        <w:rPr>
          <w:rFonts w:hint="cs"/>
          <w:rtl/>
        </w:rPr>
        <w:t>ً</w:t>
      </w:r>
      <w:r w:rsidRPr="00AB589E">
        <w:rPr>
          <w:rtl/>
        </w:rPr>
        <w:t xml:space="preserve"> بالمادة </w:t>
      </w:r>
      <w:r w:rsidRPr="00D858C6">
        <w:rPr>
          <w:rtl/>
        </w:rPr>
        <w:t>18</w:t>
      </w:r>
      <w:r w:rsidRPr="00AB589E">
        <w:rPr>
          <w:rtl/>
        </w:rPr>
        <w:t xml:space="preserve">، بالإضافة إلى ادعاءاته بموجب المادتين </w:t>
      </w:r>
      <w:r w:rsidRPr="00D858C6">
        <w:rPr>
          <w:rtl/>
        </w:rPr>
        <w:t>6</w:t>
      </w:r>
      <w:r w:rsidRPr="00AB589E">
        <w:rPr>
          <w:rtl/>
        </w:rPr>
        <w:t xml:space="preserve"> و</w:t>
      </w:r>
      <w:r w:rsidR="001B2505" w:rsidRPr="00D858C6">
        <w:rPr>
          <w:rtl/>
        </w:rPr>
        <w:t>7</w:t>
      </w:r>
      <w:r w:rsidR="001B2505" w:rsidRPr="001B2505">
        <w:rPr>
          <w:rtl/>
        </w:rPr>
        <w:t xml:space="preserve">. </w:t>
      </w:r>
      <w:r w:rsidRPr="00AB589E">
        <w:rPr>
          <w:rtl/>
        </w:rPr>
        <w:t>بيد أن اللجنة تلاحظ أيضا</w:t>
      </w:r>
      <w:r w:rsidR="005A2150">
        <w:rPr>
          <w:rFonts w:hint="cs"/>
          <w:rtl/>
        </w:rPr>
        <w:t>ً</w:t>
      </w:r>
      <w:r w:rsidRPr="00AB589E">
        <w:rPr>
          <w:rtl/>
        </w:rPr>
        <w:t xml:space="preserve"> أن صاحب البلاغ لم يقدم أي حجج منفصلة ل</w:t>
      </w:r>
      <w:r>
        <w:rPr>
          <w:rtl/>
        </w:rPr>
        <w:t>ت</w:t>
      </w:r>
      <w:r w:rsidRPr="00AB589E">
        <w:rPr>
          <w:rtl/>
        </w:rPr>
        <w:t>دع</w:t>
      </w:r>
      <w:r>
        <w:rPr>
          <w:rtl/>
        </w:rPr>
        <w:t>ي</w:t>
      </w:r>
      <w:r w:rsidRPr="00AB589E">
        <w:rPr>
          <w:rtl/>
        </w:rPr>
        <w:t>م هذا الادعاء. ولذلك، ترى اللجنة أن هذا ال</w:t>
      </w:r>
      <w:r>
        <w:rPr>
          <w:rtl/>
        </w:rPr>
        <w:t>جزء</w:t>
      </w:r>
      <w:r w:rsidRPr="00AB589E">
        <w:rPr>
          <w:rtl/>
        </w:rPr>
        <w:t xml:space="preserve"> من البلاغ ليس مدع</w:t>
      </w:r>
      <w:r>
        <w:rPr>
          <w:rtl/>
        </w:rPr>
        <w:t>ّ</w:t>
      </w:r>
      <w:r w:rsidRPr="00AB589E">
        <w:rPr>
          <w:rtl/>
        </w:rPr>
        <w:t xml:space="preserve">ماً بما يكفي من الأدلة باعتباره ادعاءً قائماً بذاته لأغراض المقبولية. وبناءً على ذلك، تعلن أن الادعاء </w:t>
      </w:r>
      <w:r>
        <w:rPr>
          <w:rtl/>
        </w:rPr>
        <w:t>المستند إلى</w:t>
      </w:r>
      <w:r w:rsidRPr="00AB589E">
        <w:rPr>
          <w:rtl/>
        </w:rPr>
        <w:t xml:space="preserve"> المادة </w:t>
      </w:r>
      <w:r w:rsidRPr="00D858C6">
        <w:rPr>
          <w:rtl/>
        </w:rPr>
        <w:t>18</w:t>
      </w:r>
      <w:r w:rsidRPr="00AB589E">
        <w:rPr>
          <w:rtl/>
        </w:rPr>
        <w:t xml:space="preserve"> غير مقبول بموجب المادة </w:t>
      </w:r>
      <w:r w:rsidRPr="00D858C6">
        <w:rPr>
          <w:rtl/>
        </w:rPr>
        <w:t>2</w:t>
      </w:r>
      <w:r w:rsidRPr="00AB589E">
        <w:rPr>
          <w:rtl/>
        </w:rPr>
        <w:t xml:space="preserve"> </w:t>
      </w:r>
      <w:r w:rsidRPr="009D0A61">
        <w:rPr>
          <w:spacing w:val="-2"/>
          <w:rtl/>
        </w:rPr>
        <w:t>من البروتوكول الاختياري. بيد أن هذا الجزء مرتبط ارتباطا</w:t>
      </w:r>
      <w:r w:rsidR="005A2150" w:rsidRPr="009D0A61">
        <w:rPr>
          <w:rFonts w:hint="cs"/>
          <w:spacing w:val="-2"/>
          <w:rtl/>
        </w:rPr>
        <w:t>ً</w:t>
      </w:r>
      <w:r w:rsidRPr="009D0A61">
        <w:rPr>
          <w:spacing w:val="-2"/>
          <w:rtl/>
        </w:rPr>
        <w:t xml:space="preserve"> وثيقا</w:t>
      </w:r>
      <w:r w:rsidR="005A2150" w:rsidRPr="009D0A61">
        <w:rPr>
          <w:rFonts w:hint="cs"/>
          <w:spacing w:val="-2"/>
          <w:rtl/>
        </w:rPr>
        <w:t>ً</w:t>
      </w:r>
      <w:r w:rsidRPr="009D0A61">
        <w:rPr>
          <w:spacing w:val="-2"/>
          <w:rtl/>
        </w:rPr>
        <w:t xml:space="preserve"> بادعاءات صاحب البلاغ بموجب</w:t>
      </w:r>
      <w:r w:rsidRPr="00AB589E">
        <w:rPr>
          <w:rtl/>
        </w:rPr>
        <w:t xml:space="preserve"> المادتين </w:t>
      </w:r>
      <w:r w:rsidRPr="00D858C6">
        <w:rPr>
          <w:rtl/>
        </w:rPr>
        <w:t>6</w:t>
      </w:r>
      <w:r w:rsidRPr="00AB589E">
        <w:rPr>
          <w:rtl/>
        </w:rPr>
        <w:t xml:space="preserve"> و</w:t>
      </w:r>
      <w:r w:rsidRPr="00D858C6">
        <w:rPr>
          <w:rtl/>
        </w:rPr>
        <w:t>7</w:t>
      </w:r>
      <w:r w:rsidRPr="00AB589E">
        <w:rPr>
          <w:rtl/>
        </w:rPr>
        <w:t xml:space="preserve">، </w:t>
      </w:r>
      <w:r>
        <w:rPr>
          <w:rtl/>
        </w:rPr>
        <w:t>لذا ستشرع</w:t>
      </w:r>
      <w:r w:rsidRPr="00AB589E">
        <w:rPr>
          <w:rtl/>
        </w:rPr>
        <w:t xml:space="preserve"> اللجنة في النظر في المسائل المثارة </w:t>
      </w:r>
      <w:r>
        <w:rPr>
          <w:rtl/>
        </w:rPr>
        <w:t>بقدر ما ترتبط</w:t>
      </w:r>
      <w:r w:rsidRPr="00AB589E">
        <w:rPr>
          <w:rtl/>
        </w:rPr>
        <w:t xml:space="preserve"> بالأسس الموضوعية لادعاءاته بموجب المادتين </w:t>
      </w:r>
      <w:r w:rsidRPr="00D858C6">
        <w:rPr>
          <w:rtl/>
        </w:rPr>
        <w:t>6</w:t>
      </w:r>
      <w:r w:rsidRPr="00AB589E">
        <w:rPr>
          <w:rtl/>
        </w:rPr>
        <w:t xml:space="preserve"> و</w:t>
      </w:r>
      <w:r w:rsidR="001B2505" w:rsidRPr="00D858C6">
        <w:rPr>
          <w:rtl/>
        </w:rPr>
        <w:t>7</w:t>
      </w:r>
      <w:r w:rsidR="001B2505" w:rsidRPr="001B2505">
        <w:rPr>
          <w:rtl/>
        </w:rPr>
        <w:t>.</w:t>
      </w:r>
    </w:p>
    <w:p w14:paraId="4C1F8BA0" w14:textId="68DC0868" w:rsidR="000066C3" w:rsidRPr="00AB589E" w:rsidRDefault="000066C3" w:rsidP="00F365B6">
      <w:pPr>
        <w:pStyle w:val="SingleTxtGA"/>
        <w:rPr>
          <w:rFonts w:eastAsia="Calibri"/>
          <w:lang w:val="ar-SA" w:eastAsia="zh-TW" w:bidi="en-GB"/>
        </w:rPr>
      </w:pPr>
      <w:r w:rsidRPr="00D858C6">
        <w:rPr>
          <w:rtl/>
        </w:rPr>
        <w:t>6</w:t>
      </w:r>
      <w:r w:rsidRPr="00AB589E">
        <w:rPr>
          <w:rtl/>
        </w:rPr>
        <w:t>-</w:t>
      </w:r>
      <w:r w:rsidRPr="00D858C6">
        <w:rPr>
          <w:rtl/>
        </w:rPr>
        <w:t>6</w:t>
      </w:r>
      <w:r w:rsidRPr="00AB589E">
        <w:rPr>
          <w:rtl/>
        </w:rPr>
        <w:tab/>
        <w:t xml:space="preserve">وفي ضوء ما ورد أعلاه، تعلن اللجنة مقبولية البلاغ بالنظر إلى أنه يثير مسائل مندرجة في إطار المادتين </w:t>
      </w:r>
      <w:r w:rsidRPr="00D858C6">
        <w:rPr>
          <w:rtl/>
        </w:rPr>
        <w:t>6</w:t>
      </w:r>
      <w:r w:rsidRPr="00AB589E">
        <w:rPr>
          <w:rtl/>
        </w:rPr>
        <w:t xml:space="preserve"> و</w:t>
      </w:r>
      <w:r w:rsidRPr="00D858C6">
        <w:rPr>
          <w:rtl/>
        </w:rPr>
        <w:t>7</w:t>
      </w:r>
      <w:r w:rsidRPr="00AB589E">
        <w:rPr>
          <w:rtl/>
        </w:rPr>
        <w:t>، وتشرع في النظر في أسسه الموضوعية.</w:t>
      </w:r>
    </w:p>
    <w:p w14:paraId="713C4CE4" w14:textId="77777777" w:rsidR="000066C3" w:rsidRPr="00D858C6" w:rsidRDefault="000066C3" w:rsidP="00F365B6">
      <w:pPr>
        <w:pStyle w:val="H4GA"/>
        <w:rPr>
          <w:rFonts w:eastAsia="Calibri"/>
          <w:b/>
          <w:lang w:val="ar-SA" w:eastAsia="zh-TW" w:bidi="en-GB"/>
        </w:rPr>
      </w:pPr>
      <w:r w:rsidRPr="00D858C6">
        <w:rPr>
          <w:rtl/>
        </w:rPr>
        <w:tab/>
      </w:r>
      <w:r w:rsidRPr="00D858C6">
        <w:rPr>
          <w:rtl/>
        </w:rPr>
        <w:tab/>
        <w:t>النظر في الأسس الموضوعية</w:t>
      </w:r>
    </w:p>
    <w:p w14:paraId="315EC9E1" w14:textId="5E2D4CF1" w:rsidR="000066C3" w:rsidRPr="00AB589E" w:rsidRDefault="000066C3" w:rsidP="00F365B6">
      <w:pPr>
        <w:pStyle w:val="SingleTxtGA"/>
        <w:rPr>
          <w:rFonts w:eastAsia="Calibri"/>
          <w:lang w:val="ar-SA" w:eastAsia="zh-TW" w:bidi="en-GB"/>
        </w:rPr>
      </w:pPr>
      <w:r w:rsidRPr="00D858C6">
        <w:rPr>
          <w:rtl/>
        </w:rPr>
        <w:t>7</w:t>
      </w:r>
      <w:r w:rsidRPr="00AB589E">
        <w:rPr>
          <w:rtl/>
        </w:rPr>
        <w:t>-</w:t>
      </w:r>
      <w:r w:rsidRPr="00D858C6">
        <w:rPr>
          <w:rtl/>
        </w:rPr>
        <w:t>1</w:t>
      </w:r>
      <w:r w:rsidRPr="00AB589E">
        <w:rPr>
          <w:rtl/>
        </w:rPr>
        <w:tab/>
        <w:t xml:space="preserve">نظرت اللجنة في البلاغ في ضوء جميع المعلومات التي أتاحها لها الطرفان، حسبما تقتضيه المادة </w:t>
      </w:r>
      <w:r w:rsidRPr="00D858C6">
        <w:rPr>
          <w:rtl/>
        </w:rPr>
        <w:t>5</w:t>
      </w:r>
      <w:r w:rsidRPr="00AB589E">
        <w:rPr>
          <w:rtl/>
        </w:rPr>
        <w:t>(</w:t>
      </w:r>
      <w:r w:rsidR="001B2505" w:rsidRPr="00D858C6">
        <w:rPr>
          <w:rtl/>
        </w:rPr>
        <w:t>1</w:t>
      </w:r>
      <w:r w:rsidR="001B2505" w:rsidRPr="001B2505">
        <w:rPr>
          <w:rtl/>
        </w:rPr>
        <w:t xml:space="preserve">) </w:t>
      </w:r>
      <w:r w:rsidRPr="00AB589E">
        <w:rPr>
          <w:rtl/>
        </w:rPr>
        <w:t>من البروتوكول الاختياري.</w:t>
      </w:r>
    </w:p>
    <w:p w14:paraId="1C738ABE" w14:textId="4F8434CE" w:rsidR="000066C3" w:rsidRPr="00AB589E" w:rsidRDefault="000066C3" w:rsidP="00F365B6">
      <w:pPr>
        <w:pStyle w:val="SingleTxtGA"/>
        <w:rPr>
          <w:rFonts w:eastAsia="Calibri"/>
          <w:lang w:val="ar-SA" w:eastAsia="zh-TW" w:bidi="en-GB"/>
        </w:rPr>
      </w:pPr>
      <w:r w:rsidRPr="00D858C6">
        <w:rPr>
          <w:rtl/>
        </w:rPr>
        <w:t>7</w:t>
      </w:r>
      <w:r w:rsidRPr="00AB589E">
        <w:rPr>
          <w:rtl/>
        </w:rPr>
        <w:t>-</w:t>
      </w:r>
      <w:r w:rsidRPr="00D858C6">
        <w:rPr>
          <w:rtl/>
        </w:rPr>
        <w:t>2</w:t>
      </w:r>
      <w:r w:rsidRPr="00AB589E">
        <w:rPr>
          <w:rtl/>
        </w:rPr>
        <w:tab/>
        <w:t xml:space="preserve">وتذكّر اللجنة بتعليقها العام رقم </w:t>
      </w:r>
      <w:r w:rsidRPr="00D858C6">
        <w:rPr>
          <w:rtl/>
        </w:rPr>
        <w:t>31</w:t>
      </w:r>
      <w:r w:rsidRPr="00AB589E">
        <w:rPr>
          <w:rtl/>
        </w:rPr>
        <w:t>(</w:t>
      </w:r>
      <w:r w:rsidRPr="00D858C6">
        <w:rPr>
          <w:rtl/>
        </w:rPr>
        <w:t>200</w:t>
      </w:r>
      <w:r w:rsidR="001B2505" w:rsidRPr="00D858C6">
        <w:rPr>
          <w:rtl/>
        </w:rPr>
        <w:t>4</w:t>
      </w:r>
      <w:r w:rsidR="001B2505" w:rsidRPr="001B2505">
        <w:rPr>
          <w:rtl/>
        </w:rPr>
        <w:t xml:space="preserve">) </w:t>
      </w:r>
      <w:r w:rsidRPr="00AB589E">
        <w:rPr>
          <w:rtl/>
        </w:rPr>
        <w:t xml:space="preserve">بشأن طبيعة الالتزام القانوني العام المفروض على الدول الأطراف في العهد، الذي تشير فيه إلى الالتزام بعدم تسليم </w:t>
      </w:r>
      <w:proofErr w:type="gramStart"/>
      <w:r w:rsidRPr="00AB589E">
        <w:rPr>
          <w:rtl/>
        </w:rPr>
        <w:t>شخص</w:t>
      </w:r>
      <w:proofErr w:type="gramEnd"/>
      <w:r w:rsidRPr="00AB589E">
        <w:rPr>
          <w:rtl/>
        </w:rPr>
        <w:t xml:space="preserve"> أو إبعاده أو طرده أو نقله بأي</w:t>
      </w:r>
      <w:r w:rsidR="001B0CB9">
        <w:rPr>
          <w:rFonts w:hint="cs"/>
          <w:rtl/>
        </w:rPr>
        <w:t> </w:t>
      </w:r>
      <w:r w:rsidRPr="00AB589E">
        <w:rPr>
          <w:rtl/>
        </w:rPr>
        <w:t>شكل من الأشكال من تراب إقليمها إلى بلد تتوفر</w:t>
      </w:r>
      <w:r>
        <w:rPr>
          <w:rtl/>
        </w:rPr>
        <w:t xml:space="preserve"> فيه</w:t>
      </w:r>
      <w:r w:rsidRPr="00AB589E">
        <w:rPr>
          <w:rtl/>
        </w:rPr>
        <w:t xml:space="preserve"> أسباب جوهرية تدعو </w:t>
      </w:r>
      <w:r>
        <w:rPr>
          <w:rtl/>
        </w:rPr>
        <w:t xml:space="preserve">إلى </w:t>
      </w:r>
      <w:r w:rsidRPr="00AB589E">
        <w:rPr>
          <w:rtl/>
        </w:rPr>
        <w:t xml:space="preserve">اعتقاد أن ثمة خطراً حقيقياً يعرضه لضرر لا يمكن جبره، على النحو المبيّن في المادتين </w:t>
      </w:r>
      <w:r w:rsidRPr="00D858C6">
        <w:rPr>
          <w:rtl/>
        </w:rPr>
        <w:t>6</w:t>
      </w:r>
      <w:r w:rsidRPr="00AB589E">
        <w:rPr>
          <w:rtl/>
        </w:rPr>
        <w:t xml:space="preserve"> و</w:t>
      </w:r>
      <w:r w:rsidRPr="00D858C6">
        <w:rPr>
          <w:rtl/>
        </w:rPr>
        <w:t>7</w:t>
      </w:r>
      <w:r w:rsidRPr="00AB589E">
        <w:rPr>
          <w:rtl/>
        </w:rPr>
        <w:t xml:space="preserve"> من العهد (الفقرة </w:t>
      </w:r>
      <w:r w:rsidRPr="00D858C6">
        <w:rPr>
          <w:rtl/>
        </w:rPr>
        <w:t>1</w:t>
      </w:r>
      <w:r w:rsidR="001B2505" w:rsidRPr="00D858C6">
        <w:rPr>
          <w:rtl/>
        </w:rPr>
        <w:t>2</w:t>
      </w:r>
      <w:r w:rsidR="001B2505" w:rsidRPr="001B2505">
        <w:rPr>
          <w:rtl/>
        </w:rPr>
        <w:t xml:space="preserve">). </w:t>
      </w:r>
      <w:r w:rsidRPr="00AB589E">
        <w:rPr>
          <w:rtl/>
        </w:rPr>
        <w:t>وأشارت اللجنة أيضاً إلى أن الخطر يجب أن يكون شخصياً وأن العتبة المحددة لإ</w:t>
      </w:r>
      <w:r>
        <w:rPr>
          <w:rtl/>
        </w:rPr>
        <w:t>ثبات</w:t>
      </w:r>
      <w:r w:rsidRPr="00AB589E">
        <w:rPr>
          <w:rtl/>
        </w:rPr>
        <w:t xml:space="preserve"> </w:t>
      </w:r>
      <w:r>
        <w:rPr>
          <w:rtl/>
        </w:rPr>
        <w:t>ال</w:t>
      </w:r>
      <w:r w:rsidRPr="00AB589E">
        <w:rPr>
          <w:rtl/>
        </w:rPr>
        <w:t xml:space="preserve">أسس </w:t>
      </w:r>
      <w:r>
        <w:rPr>
          <w:rtl/>
        </w:rPr>
        <w:t>الجوهرية</w:t>
      </w:r>
      <w:r w:rsidR="00364AD9">
        <w:rPr>
          <w:rtl/>
        </w:rPr>
        <w:t xml:space="preserve"> </w:t>
      </w:r>
      <w:r>
        <w:rPr>
          <w:rtl/>
        </w:rPr>
        <w:t>ل</w:t>
      </w:r>
      <w:r w:rsidRPr="00AB589E">
        <w:rPr>
          <w:rtl/>
        </w:rPr>
        <w:t>وجود </w:t>
      </w:r>
      <w:r>
        <w:rPr>
          <w:rtl/>
        </w:rPr>
        <w:t>هذا ال</w:t>
      </w:r>
      <w:r w:rsidRPr="00AB589E">
        <w:rPr>
          <w:rtl/>
        </w:rPr>
        <w:t>خطر،</w:t>
      </w:r>
      <w:r w:rsidR="005A2150">
        <w:rPr>
          <w:rFonts w:hint="cs"/>
          <w:rtl/>
        </w:rPr>
        <w:t xml:space="preserve"> </w:t>
      </w:r>
      <w:r w:rsidRPr="00AB589E">
        <w:rPr>
          <w:rtl/>
        </w:rPr>
        <w:t>عالية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4"/>
      </w:r>
      <w:r w:rsidR="001B2505" w:rsidRPr="001B2505">
        <w:rPr>
          <w:rStyle w:val="FootnoteReference"/>
          <w:rFonts w:ascii="Traditional Arabic" w:eastAsia="Calibri" w:hAnsi="Traditional Arabic"/>
          <w:sz w:val="30"/>
          <w:rtl/>
        </w:rPr>
        <w:t>)</w:t>
      </w:r>
      <w:r w:rsidR="001B2505" w:rsidRPr="001B2505">
        <w:rPr>
          <w:rFonts w:hint="cs"/>
          <w:rtl/>
        </w:rPr>
        <w:t>.</w:t>
      </w:r>
      <w:r w:rsidR="001B2505" w:rsidRPr="001B2505">
        <w:rPr>
          <w:rtl/>
        </w:rPr>
        <w:t xml:space="preserve"> </w:t>
      </w:r>
      <w:r w:rsidRPr="00AB589E">
        <w:rPr>
          <w:rtl/>
        </w:rPr>
        <w:t xml:space="preserve">لذا يجب النظر في جميع الوقائع والملابسات ذات الصلة، بما فيها الأوضاع العامة لحقوق الإنسان في </w:t>
      </w:r>
      <w:r>
        <w:rPr>
          <w:rtl/>
        </w:rPr>
        <w:t>ال</w:t>
      </w:r>
      <w:r w:rsidRPr="00AB589E">
        <w:rPr>
          <w:rtl/>
        </w:rPr>
        <w:t>بلد</w:t>
      </w:r>
      <w:r>
        <w:rPr>
          <w:rtl/>
        </w:rPr>
        <w:t xml:space="preserve"> الأصلي</w:t>
      </w:r>
      <w:r w:rsidRPr="00AB589E">
        <w:rPr>
          <w:rtl/>
        </w:rPr>
        <w:t xml:space="preserve"> </w:t>
      </w:r>
      <w:r>
        <w:rPr>
          <w:rtl/>
        </w:rPr>
        <w:t>ل</w:t>
      </w:r>
      <w:r w:rsidRPr="00AB589E">
        <w:rPr>
          <w:rtl/>
        </w:rPr>
        <w:t>صاحب البلاغ. وتذكّر اللجنة بأنها خلصت في اجتهاداتها السابقة إلى أنه ينبغي إعطاء أهمية كبيرة للتقييم الذي تُجريه الدولة المعنية، وأنه يعود إلى أجهزة الدولة عموماً اختصاص دراسة الوقائع والأدلة المتعلقة بالقضية لتحديد ما إذا كان هذا الخطر قائماً، ما لم ي</w:t>
      </w:r>
      <w:r>
        <w:rPr>
          <w:rtl/>
        </w:rPr>
        <w:t>َ</w:t>
      </w:r>
      <w:r w:rsidRPr="00AB589E">
        <w:rPr>
          <w:rtl/>
        </w:rPr>
        <w:t>ثبت أن التقييم كان تعسفياً بشكل واضح أو بلغ حد الخطأ البيِّن أو إنكار العدالة</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5"/>
      </w:r>
      <w:r w:rsidR="001B2505" w:rsidRPr="001B2505">
        <w:rPr>
          <w:rStyle w:val="FootnoteReference"/>
          <w:rFonts w:ascii="Traditional Arabic" w:eastAsia="Calibri" w:hAnsi="Traditional Arabic"/>
          <w:sz w:val="30"/>
          <w:rtl/>
        </w:rPr>
        <w:t>)</w:t>
      </w:r>
      <w:r w:rsidR="001B2505" w:rsidRPr="001B2505">
        <w:rPr>
          <w:rtl/>
        </w:rPr>
        <w:t xml:space="preserve">. </w:t>
      </w:r>
    </w:p>
    <w:p w14:paraId="179E51E0" w14:textId="5F5512C8" w:rsidR="000066C3" w:rsidRPr="00AB589E" w:rsidRDefault="000066C3" w:rsidP="00F365B6">
      <w:pPr>
        <w:pStyle w:val="SingleTxtGA"/>
        <w:rPr>
          <w:rFonts w:eastAsia="Calibri"/>
          <w:lang w:val="en-US" w:eastAsia="zh-TW" w:bidi="en-GB"/>
        </w:rPr>
      </w:pPr>
      <w:r w:rsidRPr="00D858C6">
        <w:rPr>
          <w:rtl/>
        </w:rPr>
        <w:t>7</w:t>
      </w:r>
      <w:r w:rsidRPr="00AB589E">
        <w:rPr>
          <w:rtl/>
        </w:rPr>
        <w:t>-</w:t>
      </w:r>
      <w:r w:rsidRPr="00D858C6">
        <w:rPr>
          <w:rtl/>
        </w:rPr>
        <w:t>3</w:t>
      </w:r>
      <w:r w:rsidRPr="00AB589E">
        <w:rPr>
          <w:rtl/>
        </w:rPr>
        <w:tab/>
      </w:r>
      <w:r w:rsidRPr="009D0A61">
        <w:rPr>
          <w:spacing w:val="-2"/>
          <w:rtl/>
        </w:rPr>
        <w:t>وتحيط اللجنة علما</w:t>
      </w:r>
      <w:r w:rsidR="005A2150" w:rsidRPr="009D0A61">
        <w:rPr>
          <w:rFonts w:hint="cs"/>
          <w:spacing w:val="-2"/>
          <w:rtl/>
        </w:rPr>
        <w:t>ً</w:t>
      </w:r>
      <w:r w:rsidRPr="009D0A61">
        <w:rPr>
          <w:spacing w:val="-2"/>
          <w:rtl/>
        </w:rPr>
        <w:t xml:space="preserve"> بادعاء صاحب البلاغ أنه سيواجه الاحتجاز والاستجواب المعمول بهما في المطار إن أعيد إلى جمهورية إيران الإسلامية، وأنه يخشى، بعد مغادرة البلد بدون وثائق أو تأشيرة خروج والتهرب من الخدمة العسكرية، أن يطول أمد احتجازه واستجوابه وتفتيشه وتوقيفه</w:t>
      </w:r>
      <w:r w:rsidR="00B67C1B" w:rsidRPr="009D0A61">
        <w:rPr>
          <w:rFonts w:hint="cs"/>
          <w:spacing w:val="-2"/>
          <w:rtl/>
        </w:rPr>
        <w:t xml:space="preserve"> </w:t>
      </w:r>
      <w:r w:rsidRPr="009D0A61">
        <w:rPr>
          <w:spacing w:val="-2"/>
          <w:rtl/>
        </w:rPr>
        <w:t>بسبب وشمه وبالتالي ومن ثم تحوله الظاهر إلى المسيحية، وملفه الاستخباراتي، المترتب على أنشطته على الإنترنت وفي عين المكان، وعلاقته بالكنيسة المنزلية لوالدته والعلاقة التي أقامها خارج إطار الزواج مع زوجة مسؤول حكومي. ويدعي أنه سيضطر إلى التخلي عن إيمانه أو مواجهة المحاكمة بتهمة الردة. وفي حالة اكتشفت علاقته مع س.،</w:t>
      </w:r>
      <w:r w:rsidRPr="00AB589E">
        <w:rPr>
          <w:rtl/>
        </w:rPr>
        <w:t xml:space="preserve"> </w:t>
      </w:r>
      <w:r w:rsidRPr="00AB589E">
        <w:rPr>
          <w:rtl/>
        </w:rPr>
        <w:lastRenderedPageBreak/>
        <w:t>فسيواجه أيضا</w:t>
      </w:r>
      <w:r w:rsidR="00C7297C">
        <w:rPr>
          <w:rFonts w:hint="cs"/>
          <w:rtl/>
        </w:rPr>
        <w:t>ً</w:t>
      </w:r>
      <w:r w:rsidRPr="00AB589E">
        <w:rPr>
          <w:rtl/>
        </w:rPr>
        <w:t xml:space="preserve"> اتهامات بالزنا والتبشير، إلى جانب تهم بالتهرب من أداء الخدمة العسكرية. ويؤكد أن هذه</w:t>
      </w:r>
      <w:r w:rsidR="009D0A61">
        <w:rPr>
          <w:rFonts w:hint="cs"/>
          <w:rtl/>
        </w:rPr>
        <w:t> </w:t>
      </w:r>
      <w:r w:rsidRPr="00AB589E">
        <w:rPr>
          <w:rtl/>
        </w:rPr>
        <w:t>العوامل، مجتمعة، تعرضه لخطر إساءة المعاملة أثناء الاحتجاز والاستجواب وأنه سيواجه عقوبة الإعدام و/أو المعاملة السيئة أو المهينة. ويخشى أيضا</w:t>
      </w:r>
      <w:r w:rsidR="005A2150">
        <w:rPr>
          <w:rFonts w:hint="cs"/>
          <w:rtl/>
        </w:rPr>
        <w:t>ً</w:t>
      </w:r>
      <w:r w:rsidRPr="00AB589E">
        <w:rPr>
          <w:rtl/>
        </w:rPr>
        <w:t xml:space="preserve"> أن ينفذ زوج س</w:t>
      </w:r>
      <w:r>
        <w:rPr>
          <w:rtl/>
        </w:rPr>
        <w:t>.</w:t>
      </w:r>
      <w:r w:rsidRPr="00AB589E">
        <w:rPr>
          <w:rtl/>
        </w:rPr>
        <w:t xml:space="preserve"> تهديداته المتكررة لحياة صاحب البلاغ وأسرته.</w:t>
      </w:r>
    </w:p>
    <w:p w14:paraId="2FB7B05A" w14:textId="29630EAB" w:rsidR="000066C3" w:rsidRPr="00AB589E" w:rsidRDefault="000066C3" w:rsidP="00F365B6">
      <w:pPr>
        <w:pStyle w:val="SingleTxtGA"/>
        <w:rPr>
          <w:rFonts w:eastAsia="Calibri"/>
          <w:lang w:val="ar-SA" w:eastAsia="zh-TW" w:bidi="en-GB"/>
        </w:rPr>
      </w:pPr>
      <w:r w:rsidRPr="00D858C6">
        <w:rPr>
          <w:rtl/>
        </w:rPr>
        <w:t>7</w:t>
      </w:r>
      <w:r w:rsidRPr="00AB589E">
        <w:rPr>
          <w:rtl/>
        </w:rPr>
        <w:t>-</w:t>
      </w:r>
      <w:r w:rsidRPr="00D858C6">
        <w:rPr>
          <w:rtl/>
        </w:rPr>
        <w:t>4</w:t>
      </w:r>
      <w:r w:rsidRPr="00AB589E">
        <w:rPr>
          <w:rtl/>
        </w:rPr>
        <w:tab/>
        <w:t>وتحيط اللجنة علما</w:t>
      </w:r>
      <w:r w:rsidR="00C57DA6">
        <w:rPr>
          <w:rFonts w:hint="cs"/>
          <w:rtl/>
        </w:rPr>
        <w:t>ً</w:t>
      </w:r>
      <w:r w:rsidRPr="00AB589E">
        <w:rPr>
          <w:rtl/>
        </w:rPr>
        <w:t xml:space="preserve"> بتأكيد الدولة الطرف أن الادعاءات المذكورة أعلاه ذات طابع عام وليست مدع</w:t>
      </w:r>
      <w:r>
        <w:rPr>
          <w:rtl/>
        </w:rPr>
        <w:t>ّ</w:t>
      </w:r>
      <w:r w:rsidRPr="00AB589E">
        <w:rPr>
          <w:rtl/>
        </w:rPr>
        <w:t>مة بأدلة كافية وأن ادعاءات صاحب البلاغ لا تتضمن أي دليل على وجود مخالفات إجرائية. و</w:t>
      </w:r>
      <w:r>
        <w:rPr>
          <w:rtl/>
        </w:rPr>
        <w:t>أفادت ا</w:t>
      </w:r>
      <w:r w:rsidRPr="00AB589E">
        <w:rPr>
          <w:rtl/>
        </w:rPr>
        <w:t>لدولة الطرف</w:t>
      </w:r>
      <w:r>
        <w:rPr>
          <w:rtl/>
        </w:rPr>
        <w:t xml:space="preserve"> بأن</w:t>
      </w:r>
      <w:r w:rsidRPr="00AB589E">
        <w:rPr>
          <w:rtl/>
        </w:rPr>
        <w:t xml:space="preserve"> التناقضات في أقوال صاحب البلاغ، بما في ذلك تباين التواريخ التي وقعت فيها الأحداث الرئيسية، وروايته لعلاقته بالمدعوة س</w:t>
      </w:r>
      <w:r>
        <w:rPr>
          <w:rtl/>
        </w:rPr>
        <w:t>.</w:t>
      </w:r>
      <w:r w:rsidRPr="00AB589E">
        <w:rPr>
          <w:rtl/>
        </w:rPr>
        <w:t xml:space="preserve"> وتعامله مع زوجها، وتفتيش منزل والدته والإصابات التي لحقت</w:t>
      </w:r>
      <w:r>
        <w:rPr>
          <w:rtl/>
        </w:rPr>
        <w:t>ها</w:t>
      </w:r>
      <w:r w:rsidRPr="00AB589E">
        <w:rPr>
          <w:rtl/>
        </w:rPr>
        <w:t xml:space="preserve"> بعد أن صدمتها سيارة، </w:t>
      </w:r>
      <w:r>
        <w:rPr>
          <w:rtl/>
        </w:rPr>
        <w:t>جعلت السلطات تخلص إلى</w:t>
      </w:r>
      <w:r w:rsidRPr="00AB589E">
        <w:rPr>
          <w:rtl/>
        </w:rPr>
        <w:t xml:space="preserve"> أنه غير موثوق، ولم ت</w:t>
      </w:r>
      <w:r>
        <w:rPr>
          <w:rtl/>
        </w:rPr>
        <w:t>عتبر من ثم</w:t>
      </w:r>
      <w:r w:rsidRPr="00AB589E">
        <w:rPr>
          <w:rtl/>
        </w:rPr>
        <w:t xml:space="preserve"> ادعاءاته الرئيسية </w:t>
      </w:r>
      <w:r>
        <w:rPr>
          <w:rtl/>
        </w:rPr>
        <w:t xml:space="preserve">فيما يتعلق </w:t>
      </w:r>
      <w:r w:rsidRPr="00AB589E">
        <w:rPr>
          <w:rtl/>
        </w:rPr>
        <w:t xml:space="preserve">باعتناق المسيحية وعلاقته خارج إطار الزواج </w:t>
      </w:r>
      <w:r>
        <w:rPr>
          <w:rtl/>
        </w:rPr>
        <w:t>ادعاءات</w:t>
      </w:r>
      <w:r w:rsidRPr="00AB589E">
        <w:rPr>
          <w:rtl/>
        </w:rPr>
        <w:t xml:space="preserve"> صحيحة. وتلاحظ أيضا</w:t>
      </w:r>
      <w:r w:rsidR="005A2150">
        <w:rPr>
          <w:rFonts w:hint="cs"/>
          <w:rtl/>
        </w:rPr>
        <w:t>ً</w:t>
      </w:r>
      <w:r w:rsidRPr="00AB589E">
        <w:rPr>
          <w:rtl/>
        </w:rPr>
        <w:t xml:space="preserve"> أن </w:t>
      </w:r>
      <w:r>
        <w:rPr>
          <w:rtl/>
        </w:rPr>
        <w:t>ال</w:t>
      </w:r>
      <w:r w:rsidRPr="00AB589E">
        <w:rPr>
          <w:rtl/>
        </w:rPr>
        <w:t>سلطات</w:t>
      </w:r>
      <w:r>
        <w:rPr>
          <w:rtl/>
        </w:rPr>
        <w:t xml:space="preserve"> صاحبة</w:t>
      </w:r>
      <w:r w:rsidRPr="00AB589E">
        <w:rPr>
          <w:rtl/>
        </w:rPr>
        <w:t xml:space="preserve"> القرار شرعت في تقييمها على أساس بعض المفاهيم الخاطئة التي لا تنعكس في الاستنتاجات المعروضة على اللجنة. </w:t>
      </w:r>
      <w:r>
        <w:rPr>
          <w:rtl/>
        </w:rPr>
        <w:t>و</w:t>
      </w:r>
      <w:r w:rsidRPr="00AB589E">
        <w:rPr>
          <w:rtl/>
        </w:rPr>
        <w:t xml:space="preserve">أولها أن ادعاء صاحب البلاغ </w:t>
      </w:r>
      <w:r>
        <w:rPr>
          <w:rtl/>
        </w:rPr>
        <w:t>اعتناق</w:t>
      </w:r>
      <w:r w:rsidRPr="00AB589E">
        <w:rPr>
          <w:rtl/>
        </w:rPr>
        <w:t xml:space="preserve"> المسيحية </w:t>
      </w:r>
      <w:r>
        <w:rPr>
          <w:rtl/>
        </w:rPr>
        <w:t>جاء بعد ادعائه المتصل</w:t>
      </w:r>
      <w:r w:rsidR="00364AD9">
        <w:rPr>
          <w:rtl/>
        </w:rPr>
        <w:t xml:space="preserve"> </w:t>
      </w:r>
      <w:r w:rsidRPr="00AB589E">
        <w:rPr>
          <w:rtl/>
        </w:rPr>
        <w:t>ب</w:t>
      </w:r>
      <w:r>
        <w:rPr>
          <w:rtl/>
        </w:rPr>
        <w:t>علاقته</w:t>
      </w:r>
      <w:r w:rsidRPr="00AB589E">
        <w:rPr>
          <w:rtl/>
        </w:rPr>
        <w:t xml:space="preserve"> مع س</w:t>
      </w:r>
      <w:r>
        <w:rPr>
          <w:rtl/>
        </w:rPr>
        <w:t>.،</w:t>
      </w:r>
      <w:r w:rsidRPr="00AB589E">
        <w:rPr>
          <w:rtl/>
        </w:rPr>
        <w:t xml:space="preserve"> والحال أنه يتضح من ملف القضية أن</w:t>
      </w:r>
      <w:r>
        <w:rPr>
          <w:rtl/>
        </w:rPr>
        <w:t xml:space="preserve"> مسألتي</w:t>
      </w:r>
      <w:r w:rsidRPr="00AB589E">
        <w:rPr>
          <w:rtl/>
        </w:rPr>
        <w:t xml:space="preserve"> </w:t>
      </w:r>
      <w:r>
        <w:rPr>
          <w:rtl/>
        </w:rPr>
        <w:t>تغيير الدين</w:t>
      </w:r>
      <w:r w:rsidRPr="00AB589E">
        <w:rPr>
          <w:rtl/>
        </w:rPr>
        <w:t xml:space="preserve"> والعلاقة قد أثيرتا </w:t>
      </w:r>
      <w:r>
        <w:rPr>
          <w:rtl/>
        </w:rPr>
        <w:t>معا</w:t>
      </w:r>
      <w:r w:rsidR="00997F74">
        <w:rPr>
          <w:rFonts w:hint="cs"/>
          <w:rtl/>
        </w:rPr>
        <w:t>ً</w:t>
      </w:r>
      <w:r w:rsidRPr="00AB589E">
        <w:rPr>
          <w:rtl/>
        </w:rPr>
        <w:t xml:space="preserve">، </w:t>
      </w:r>
      <w:r>
        <w:rPr>
          <w:rtl/>
        </w:rPr>
        <w:t>بل إن</w:t>
      </w:r>
      <w:r w:rsidR="00364AD9">
        <w:rPr>
          <w:rtl/>
        </w:rPr>
        <w:t xml:space="preserve"> </w:t>
      </w:r>
      <w:r w:rsidRPr="00AB589E">
        <w:rPr>
          <w:rtl/>
        </w:rPr>
        <w:t>الت</w:t>
      </w:r>
      <w:r>
        <w:rPr>
          <w:rtl/>
        </w:rPr>
        <w:t>غيير</w:t>
      </w:r>
      <w:r w:rsidRPr="00AB589E">
        <w:rPr>
          <w:rtl/>
        </w:rPr>
        <w:t xml:space="preserve"> أثير</w:t>
      </w:r>
      <w:r>
        <w:rPr>
          <w:rtl/>
        </w:rPr>
        <w:t xml:space="preserve"> أولا</w:t>
      </w:r>
      <w:r w:rsidR="005A2150">
        <w:rPr>
          <w:rFonts w:hint="cs"/>
          <w:rtl/>
        </w:rPr>
        <w:t>ً</w:t>
      </w:r>
      <w:r w:rsidRPr="00AB589E">
        <w:rPr>
          <w:rtl/>
        </w:rPr>
        <w:t xml:space="preserve"> في الواقع، منذ بداية إجراءات اللجوء. وفسرت</w:t>
      </w:r>
      <w:r>
        <w:rPr>
          <w:rtl/>
        </w:rPr>
        <w:t xml:space="preserve"> السلطات</w:t>
      </w:r>
      <w:r w:rsidRPr="00AB589E">
        <w:rPr>
          <w:rtl/>
        </w:rPr>
        <w:t xml:space="preserve"> أيضا</w:t>
      </w:r>
      <w:r w:rsidR="00C57DA6">
        <w:rPr>
          <w:rFonts w:hint="cs"/>
          <w:rtl/>
        </w:rPr>
        <w:t>ً</w:t>
      </w:r>
      <w:r w:rsidRPr="00AB589E">
        <w:rPr>
          <w:rtl/>
        </w:rPr>
        <w:t xml:space="preserve"> إفادة أدلى بها صاحب البلاغ بشأن مشاعره إزاء </w:t>
      </w:r>
      <w:r>
        <w:rPr>
          <w:rtl/>
        </w:rPr>
        <w:t>المجاهرة</w:t>
      </w:r>
      <w:r w:rsidRPr="00AB589E">
        <w:rPr>
          <w:rtl/>
        </w:rPr>
        <w:t xml:space="preserve"> </w:t>
      </w:r>
      <w:r>
        <w:rPr>
          <w:rtl/>
        </w:rPr>
        <w:t>ب</w:t>
      </w:r>
      <w:r w:rsidRPr="00AB589E">
        <w:rPr>
          <w:rtl/>
        </w:rPr>
        <w:t>ديانته المسيحية في الدانمرك أو قبل مغادرته جمهورية إيران الإسلامية على أنه ي</w:t>
      </w:r>
      <w:r>
        <w:rPr>
          <w:rtl/>
        </w:rPr>
        <w:t>نوي</w:t>
      </w:r>
      <w:r w:rsidRPr="00AB589E">
        <w:rPr>
          <w:rtl/>
        </w:rPr>
        <w:t xml:space="preserve"> </w:t>
      </w:r>
      <w:r>
        <w:rPr>
          <w:rtl/>
        </w:rPr>
        <w:t>التحفظ على الأمر</w:t>
      </w:r>
      <w:r w:rsidR="00C57DA6">
        <w:rPr>
          <w:rFonts w:hint="cs"/>
          <w:rtl/>
        </w:rPr>
        <w:t xml:space="preserve"> </w:t>
      </w:r>
      <w:r>
        <w:rPr>
          <w:rtl/>
        </w:rPr>
        <w:t xml:space="preserve">في حال </w:t>
      </w:r>
      <w:r w:rsidRPr="00AB589E">
        <w:rPr>
          <w:rtl/>
        </w:rPr>
        <w:t xml:space="preserve">إعادته إلى جمهورية إيران الإسلامية، وهو </w:t>
      </w:r>
      <w:r>
        <w:rPr>
          <w:rtl/>
        </w:rPr>
        <w:t>تفسير</w:t>
      </w:r>
      <w:r w:rsidRPr="00AB589E">
        <w:rPr>
          <w:rtl/>
        </w:rPr>
        <w:t xml:space="preserve"> يعارضه بوضوح</w:t>
      </w:r>
      <w:r w:rsidRPr="00AB589E">
        <w:rPr>
          <w:rFonts w:hint="eastAsia"/>
          <w:rtl/>
        </w:rPr>
        <w:t>،</w:t>
      </w:r>
      <w:r w:rsidRPr="00AB589E">
        <w:rPr>
          <w:rtl/>
        </w:rPr>
        <w:t xml:space="preserve"> لكنه لم تتح له الفرصة للتوسع فيه. ونتيجة لهذه الافتراضات، لم تقبل الدولة الطرف ادعاء صاحب البلاغ </w:t>
      </w:r>
      <w:r>
        <w:rPr>
          <w:rtl/>
        </w:rPr>
        <w:t>تعرضه</w:t>
      </w:r>
      <w:r w:rsidRPr="00AB589E">
        <w:rPr>
          <w:rtl/>
        </w:rPr>
        <w:t xml:space="preserve"> </w:t>
      </w:r>
      <w:r>
        <w:rPr>
          <w:rtl/>
        </w:rPr>
        <w:t>ل</w:t>
      </w:r>
      <w:r w:rsidRPr="00AB589E">
        <w:rPr>
          <w:rtl/>
        </w:rPr>
        <w:t xml:space="preserve">أي خطر جسيم لدى عودته. وخلصت إلى أن صاحب البلاغ لن يواجه عقوبة جسيمة </w:t>
      </w:r>
      <w:r>
        <w:rPr>
          <w:rtl/>
        </w:rPr>
        <w:t xml:space="preserve">على </w:t>
      </w:r>
      <w:r w:rsidRPr="00AB589E">
        <w:rPr>
          <w:rtl/>
        </w:rPr>
        <w:t>مغادرته جمهورية إيران الإسلامية بصورة غير قانونية، أو وجود وشم ذ</w:t>
      </w:r>
      <w:r>
        <w:rPr>
          <w:rtl/>
        </w:rPr>
        <w:t>ي</w:t>
      </w:r>
      <w:r w:rsidRPr="00AB589E">
        <w:rPr>
          <w:rtl/>
        </w:rPr>
        <w:t xml:space="preserve"> طابع مسيحي على جسده، أو حضوره مظاهرة، أو تهربه من الخدمة العسكرية. كما أن ادعاءه الاستنكاف الضميري لم </w:t>
      </w:r>
      <w:r>
        <w:rPr>
          <w:rtl/>
        </w:rPr>
        <w:t>ت</w:t>
      </w:r>
      <w:r w:rsidRPr="00AB589E">
        <w:rPr>
          <w:rtl/>
        </w:rPr>
        <w:t xml:space="preserve">قبل </w:t>
      </w:r>
      <w:r>
        <w:rPr>
          <w:rtl/>
        </w:rPr>
        <w:t>صحته</w:t>
      </w:r>
      <w:r w:rsidRPr="00AB589E">
        <w:rPr>
          <w:rtl/>
        </w:rPr>
        <w:t>، استنادا</w:t>
      </w:r>
      <w:r w:rsidR="005A2150">
        <w:rPr>
          <w:rFonts w:hint="cs"/>
          <w:rtl/>
        </w:rPr>
        <w:t>ً</w:t>
      </w:r>
      <w:r w:rsidRPr="00AB589E">
        <w:rPr>
          <w:rtl/>
        </w:rPr>
        <w:t xml:space="preserve"> إلى النتيجة السابقة بشأن المصداقية.</w:t>
      </w:r>
    </w:p>
    <w:p w14:paraId="34F54C74" w14:textId="69AC1917" w:rsidR="000066C3" w:rsidRPr="00AB589E" w:rsidRDefault="000066C3" w:rsidP="00F365B6">
      <w:pPr>
        <w:pStyle w:val="SingleTxtGA"/>
        <w:rPr>
          <w:rFonts w:eastAsia="Calibri"/>
          <w:lang w:val="ar-SA" w:eastAsia="zh-TW" w:bidi="en-GB"/>
        </w:rPr>
      </w:pPr>
      <w:r w:rsidRPr="00D858C6">
        <w:rPr>
          <w:rtl/>
        </w:rPr>
        <w:t>7</w:t>
      </w:r>
      <w:r w:rsidRPr="00AB589E">
        <w:rPr>
          <w:rtl/>
        </w:rPr>
        <w:t>-</w:t>
      </w:r>
      <w:r w:rsidRPr="00D858C6">
        <w:rPr>
          <w:rtl/>
        </w:rPr>
        <w:t>5</w:t>
      </w:r>
      <w:r w:rsidRPr="00AB589E">
        <w:rPr>
          <w:rtl/>
        </w:rPr>
        <w:tab/>
        <w:t>وتشير اللجنة إلى توجيهات مفوضية</w:t>
      </w:r>
      <w:r w:rsidR="00B67C1B">
        <w:rPr>
          <w:rFonts w:hint="cs"/>
          <w:rtl/>
        </w:rPr>
        <w:t xml:space="preserve"> </w:t>
      </w:r>
      <w:r w:rsidRPr="00AB589E">
        <w:rPr>
          <w:rtl/>
        </w:rPr>
        <w:t>شؤون اللاجئين التي تفيد بأن</w:t>
      </w:r>
      <w:r w:rsidR="00364AD9">
        <w:rPr>
          <w:rtl/>
        </w:rPr>
        <w:t xml:space="preserve"> </w:t>
      </w:r>
      <w:r w:rsidRPr="00AB589E">
        <w:rPr>
          <w:rtl/>
        </w:rPr>
        <w:t>عبء الإثبات</w:t>
      </w:r>
      <w:r>
        <w:rPr>
          <w:rtl/>
          <w:lang w:val="fr-CH"/>
        </w:rPr>
        <w:t xml:space="preserve"> يقع</w:t>
      </w:r>
      <w:r w:rsidRPr="00AB589E">
        <w:rPr>
          <w:rtl/>
        </w:rPr>
        <w:t xml:space="preserve"> على عاتق صاحب البلاغ، </w:t>
      </w:r>
      <w:r>
        <w:rPr>
          <w:rtl/>
        </w:rPr>
        <w:t>لكن</w:t>
      </w:r>
      <w:r w:rsidRPr="00AB589E">
        <w:rPr>
          <w:rtl/>
        </w:rPr>
        <w:t xml:space="preserve"> واجب التحقق من جميع الوقائع ذات الصلة وتقييمها يتشارك فيه، من حيث المبدأ، المدعي والجهة التي تدرس الملف. وفي الواقع، قد يتعين على الجهة التي تدرس الملف، في بعض الحالات، استخدام جميع الوسائل المتاحة لها من أجل استنباط الأدلة اللازمة لدعم الادعاء. ويجب أن يراعى الأثر التراكمي في تجربة المدعي، فقد لا يكفي حادث واحد، إلا أن جميع الحوادث، المرتبطة بالمدعي، مجتمعة، يمكن أن ت</w:t>
      </w:r>
      <w:r>
        <w:rPr>
          <w:rtl/>
        </w:rPr>
        <w:t>جعل</w:t>
      </w:r>
      <w:r w:rsidRPr="00AB589E">
        <w:rPr>
          <w:rtl/>
        </w:rPr>
        <w:t xml:space="preserve"> </w:t>
      </w:r>
      <w:r>
        <w:rPr>
          <w:rtl/>
        </w:rPr>
        <w:t>ا</w:t>
      </w:r>
      <w:r w:rsidRPr="00AB589E">
        <w:rPr>
          <w:rtl/>
        </w:rPr>
        <w:t>لخوف</w:t>
      </w:r>
      <w:r>
        <w:rPr>
          <w:rtl/>
        </w:rPr>
        <w:t xml:space="preserve"> مبررا</w:t>
      </w:r>
      <w:r w:rsidR="00D85B05">
        <w:rPr>
          <w:rFonts w:hint="cs"/>
          <w:rtl/>
        </w:rPr>
        <w:t>ً</w:t>
      </w:r>
      <w:r w:rsidR="001B2505">
        <w:rPr>
          <w:rStyle w:val="FootnoteReference"/>
          <w:rFonts w:ascii="Traditional Arabic" w:hAnsi="Traditional Arabic"/>
          <w:sz w:val="30"/>
          <w:rtl/>
        </w:rPr>
        <w:t>(</w:t>
      </w:r>
      <w:r w:rsidR="001B2505" w:rsidRPr="00D858C6">
        <w:rPr>
          <w:rStyle w:val="FootnoteReference"/>
          <w:rFonts w:ascii="Traditional Arabic" w:hAnsi="Traditional Arabic"/>
          <w:sz w:val="30"/>
          <w:lang w:val="en-US"/>
        </w:rPr>
        <w:footnoteReference w:id="26"/>
      </w:r>
      <w:r w:rsidR="001B2505" w:rsidRPr="001B2505">
        <w:rPr>
          <w:rStyle w:val="FootnoteReference"/>
          <w:rFonts w:ascii="Traditional Arabic" w:hAnsi="Traditional Arabic"/>
          <w:sz w:val="30"/>
          <w:rtl/>
        </w:rPr>
        <w:t>)</w:t>
      </w:r>
      <w:r w:rsidR="001B2505" w:rsidRPr="001B2505">
        <w:rPr>
          <w:rtl/>
        </w:rPr>
        <w:t xml:space="preserve">. </w:t>
      </w:r>
      <w:r w:rsidRPr="00AB589E">
        <w:rPr>
          <w:rtl/>
        </w:rPr>
        <w:t xml:space="preserve">وعلاوة على ذلك، وكما ورد في استنتاجات الدولة الطرف، </w:t>
      </w:r>
      <w:r>
        <w:rPr>
          <w:rtl/>
        </w:rPr>
        <w:t>ف</w:t>
      </w:r>
      <w:r w:rsidRPr="00AB589E">
        <w:rPr>
          <w:rtl/>
        </w:rPr>
        <w:t xml:space="preserve">حيثما تُثار شواغل معينة بشأن المصداقية، يلزم إجراء دراسة </w:t>
      </w:r>
      <w:r>
        <w:rPr>
          <w:rtl/>
        </w:rPr>
        <w:t>دقيق</w:t>
      </w:r>
      <w:r w:rsidRPr="00AB589E">
        <w:rPr>
          <w:rtl/>
        </w:rPr>
        <w:t xml:space="preserve">ة ومتعمقة لملابسات </w:t>
      </w:r>
      <w:r>
        <w:rPr>
          <w:rtl/>
        </w:rPr>
        <w:t>تغيير</w:t>
      </w:r>
      <w:r w:rsidRPr="00AB589E">
        <w:rPr>
          <w:rtl/>
        </w:rPr>
        <w:t xml:space="preserve"> الدين وحقيقته. وتنص التوجيهات أيضا</w:t>
      </w:r>
      <w:r w:rsidR="00C90BE5">
        <w:rPr>
          <w:rFonts w:hint="cs"/>
          <w:rtl/>
        </w:rPr>
        <w:t>ً</w:t>
      </w:r>
      <w:r w:rsidRPr="00AB589E">
        <w:rPr>
          <w:rtl/>
        </w:rPr>
        <w:t xml:space="preserve"> على أنه عندما يدعي طالب(ة) اللجوء أنه أصبح ملحدا</w:t>
      </w:r>
      <w:r w:rsidR="00997F74">
        <w:rPr>
          <w:rFonts w:hint="cs"/>
          <w:rtl/>
        </w:rPr>
        <w:t>ً</w:t>
      </w:r>
      <w:r w:rsidRPr="00AB589E">
        <w:rPr>
          <w:rtl/>
        </w:rPr>
        <w:t>، أو اعتنق دينا</w:t>
      </w:r>
      <w:r w:rsidR="00C90BE5">
        <w:rPr>
          <w:rFonts w:hint="cs"/>
          <w:rtl/>
        </w:rPr>
        <w:t>ً</w:t>
      </w:r>
      <w:r w:rsidRPr="00AB589E">
        <w:rPr>
          <w:rtl/>
        </w:rPr>
        <w:t xml:space="preserve"> آخر، حتى وإن حدث ذلك بعد رفض طلب لجوئه الأولي، فقد يكون من الصواب أن تجري السلطات دراسة معمقة لملابسات ت</w:t>
      </w:r>
      <w:r>
        <w:rPr>
          <w:rtl/>
        </w:rPr>
        <w:t>غييره</w:t>
      </w:r>
      <w:r w:rsidRPr="00AB589E">
        <w:rPr>
          <w:rtl/>
        </w:rPr>
        <w:t xml:space="preserve"> دين</w:t>
      </w:r>
      <w:r>
        <w:rPr>
          <w:rtl/>
        </w:rPr>
        <w:t>ه</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7"/>
      </w:r>
      <w:r w:rsidR="001B2505" w:rsidRPr="001B2505">
        <w:rPr>
          <w:rStyle w:val="FootnoteReference"/>
          <w:rFonts w:ascii="Traditional Arabic" w:eastAsia="Calibri" w:hAnsi="Traditional Arabic"/>
          <w:sz w:val="30"/>
          <w:rtl/>
        </w:rPr>
        <w:t>)</w:t>
      </w:r>
      <w:r w:rsidR="001B2505" w:rsidRPr="001B2505">
        <w:rPr>
          <w:rtl/>
        </w:rPr>
        <w:t xml:space="preserve">. </w:t>
      </w:r>
    </w:p>
    <w:p w14:paraId="4182DD3A" w14:textId="6C313752" w:rsidR="000066C3" w:rsidRPr="00AB589E" w:rsidRDefault="000066C3" w:rsidP="00F365B6">
      <w:pPr>
        <w:pStyle w:val="SingleTxtGA"/>
        <w:rPr>
          <w:rFonts w:eastAsia="Calibri"/>
          <w:lang w:val="ar-SA" w:eastAsia="zh-TW" w:bidi="en-GB"/>
        </w:rPr>
      </w:pPr>
      <w:r w:rsidRPr="00D858C6">
        <w:rPr>
          <w:rtl/>
        </w:rPr>
        <w:t>7</w:t>
      </w:r>
      <w:r w:rsidRPr="00AB589E">
        <w:rPr>
          <w:rtl/>
        </w:rPr>
        <w:t>-</w:t>
      </w:r>
      <w:r w:rsidRPr="00D858C6">
        <w:rPr>
          <w:rtl/>
        </w:rPr>
        <w:t>6</w:t>
      </w:r>
      <w:r w:rsidRPr="00AB589E">
        <w:rPr>
          <w:rtl/>
        </w:rPr>
        <w:tab/>
      </w:r>
      <w:r w:rsidRPr="009D0A61">
        <w:rPr>
          <w:spacing w:val="-2"/>
          <w:rtl/>
        </w:rPr>
        <w:t>وفيما يتعلق برفض طلب الاستماع إلى شهادة شفوية، تلاحظ اللجنة التناقضات في رواية صاحب</w:t>
      </w:r>
      <w:r w:rsidRPr="00AB589E">
        <w:rPr>
          <w:rtl/>
        </w:rPr>
        <w:t xml:space="preserve"> </w:t>
      </w:r>
      <w:r w:rsidRPr="009D0A61">
        <w:rPr>
          <w:spacing w:val="-2"/>
          <w:rtl/>
        </w:rPr>
        <w:t>البلاغ للأحداث، مما دفع الدولة الطرف إلى أن تخلص إلى أن رواية صاحب البلاغ للأحداث قبل مغادرته</w:t>
      </w:r>
      <w:r w:rsidRPr="00AB589E">
        <w:rPr>
          <w:rtl/>
        </w:rPr>
        <w:t xml:space="preserve"> جمهورية إيران الإسلامية لم تكن ذات مصداقية، ومن ثم </w:t>
      </w:r>
      <w:r>
        <w:rPr>
          <w:rtl/>
        </w:rPr>
        <w:t>استنتاجها</w:t>
      </w:r>
      <w:r w:rsidRPr="00AB589E">
        <w:rPr>
          <w:rtl/>
        </w:rPr>
        <w:t xml:space="preserve"> أن </w:t>
      </w:r>
      <w:r>
        <w:rPr>
          <w:rtl/>
        </w:rPr>
        <w:t>ادعاءه أ</w:t>
      </w:r>
      <w:r w:rsidRPr="00AB589E">
        <w:rPr>
          <w:rtl/>
        </w:rPr>
        <w:t>نه اعتنق المسيحية أثناء وجوده في جمهورية إيران الإسلامية و</w:t>
      </w:r>
      <w:r>
        <w:rPr>
          <w:rtl/>
        </w:rPr>
        <w:t>أ</w:t>
      </w:r>
      <w:r w:rsidRPr="00AB589E">
        <w:rPr>
          <w:rtl/>
        </w:rPr>
        <w:t xml:space="preserve">نه كان على علاقة بامرأة متزوجة </w:t>
      </w:r>
      <w:r>
        <w:rPr>
          <w:rtl/>
        </w:rPr>
        <w:t xml:space="preserve">ادعاء </w:t>
      </w:r>
      <w:r w:rsidRPr="00AB589E">
        <w:rPr>
          <w:rtl/>
        </w:rPr>
        <w:t xml:space="preserve">قد لا يكون </w:t>
      </w:r>
      <w:r>
        <w:rPr>
          <w:rtl/>
        </w:rPr>
        <w:t>صادقا</w:t>
      </w:r>
      <w:r w:rsidR="00520F3C">
        <w:rPr>
          <w:rFonts w:hint="cs"/>
          <w:rtl/>
        </w:rPr>
        <w:t>ً</w:t>
      </w:r>
      <w:r>
        <w:rPr>
          <w:rtl/>
        </w:rPr>
        <w:t xml:space="preserve"> أيضا</w:t>
      </w:r>
      <w:r w:rsidR="00520F3C">
        <w:rPr>
          <w:rFonts w:hint="cs"/>
          <w:rtl/>
        </w:rPr>
        <w:t>ً</w:t>
      </w:r>
      <w:r w:rsidRPr="00AB589E">
        <w:rPr>
          <w:rtl/>
        </w:rPr>
        <w:t>.</w:t>
      </w:r>
      <w:r w:rsidR="00364AD9">
        <w:rPr>
          <w:rtl/>
        </w:rPr>
        <w:t xml:space="preserve"> </w:t>
      </w:r>
      <w:r w:rsidRPr="00AB589E">
        <w:rPr>
          <w:rtl/>
        </w:rPr>
        <w:lastRenderedPageBreak/>
        <w:t>وفي ظل هذه الظروف،</w:t>
      </w:r>
      <w:r>
        <w:rPr>
          <w:rtl/>
        </w:rPr>
        <w:t xml:space="preserve"> كان عبء الإثبات،</w:t>
      </w:r>
      <w:r w:rsidRPr="00AB589E">
        <w:rPr>
          <w:rtl/>
        </w:rPr>
        <w:t xml:space="preserve"> </w:t>
      </w:r>
      <w:r>
        <w:rPr>
          <w:rtl/>
        </w:rPr>
        <w:t>في الرد على</w:t>
      </w:r>
      <w:r w:rsidR="00364AD9">
        <w:rPr>
          <w:rtl/>
        </w:rPr>
        <w:t xml:space="preserve"> </w:t>
      </w:r>
      <w:r w:rsidRPr="00AB589E">
        <w:rPr>
          <w:rtl/>
        </w:rPr>
        <w:t xml:space="preserve">استنتاج </w:t>
      </w:r>
      <w:r>
        <w:rPr>
          <w:rtl/>
        </w:rPr>
        <w:t xml:space="preserve">عدم </w:t>
      </w:r>
      <w:r w:rsidRPr="00AB589E">
        <w:rPr>
          <w:rtl/>
        </w:rPr>
        <w:t xml:space="preserve">المصداقية، يقع على صاحب البلاغ لشرح كيف يمكن لأدلة شفوية أن تعالج هذه العيوب. وتلاحظ اللجنة أن صاحب البلاغ لم يشرح كيف يمكن لهذه الأدلة الشفوية أن تعالج مسألة </w:t>
      </w:r>
      <w:r>
        <w:rPr>
          <w:rtl/>
        </w:rPr>
        <w:t>انعدام</w:t>
      </w:r>
      <w:r w:rsidRPr="00AB589E">
        <w:rPr>
          <w:rtl/>
        </w:rPr>
        <w:t xml:space="preserve"> المصداقية</w:t>
      </w:r>
      <w:r>
        <w:rPr>
          <w:rtl/>
        </w:rPr>
        <w:t xml:space="preserve"> الواضح</w:t>
      </w:r>
      <w:r w:rsidRPr="00AB589E">
        <w:rPr>
          <w:rtl/>
        </w:rPr>
        <w:t xml:space="preserve">، وتشير إلى </w:t>
      </w:r>
      <w:r>
        <w:rPr>
          <w:rtl/>
        </w:rPr>
        <w:t>احتجاج</w:t>
      </w:r>
      <w:r w:rsidRPr="00AB589E">
        <w:rPr>
          <w:rtl/>
        </w:rPr>
        <w:t xml:space="preserve"> الدولة الطرف بأن الشاهد نفسه قد قدم بالفعل إفادة مكتوبة. وتحيط اللجنة علما</w:t>
      </w:r>
      <w:r w:rsidR="00520F3C">
        <w:rPr>
          <w:rFonts w:hint="cs"/>
          <w:rtl/>
        </w:rPr>
        <w:t>ً</w:t>
      </w:r>
      <w:r w:rsidRPr="00AB589E">
        <w:rPr>
          <w:rtl/>
        </w:rPr>
        <w:t xml:space="preserve"> أيضا</w:t>
      </w:r>
      <w:r w:rsidR="00520F3C">
        <w:rPr>
          <w:rFonts w:hint="cs"/>
          <w:rtl/>
        </w:rPr>
        <w:t>ً</w:t>
      </w:r>
      <w:r w:rsidRPr="00AB589E">
        <w:rPr>
          <w:rtl/>
        </w:rPr>
        <w:t xml:space="preserve"> بتأكيد الدولة الطرف أن الاستماع إلى شهادة الشهود الشفوية لم يكن ليحدث فرقا</w:t>
      </w:r>
      <w:r w:rsidR="00520F3C">
        <w:rPr>
          <w:rFonts w:hint="cs"/>
          <w:rtl/>
        </w:rPr>
        <w:t>ً</w:t>
      </w:r>
      <w:r w:rsidRPr="00AB589E">
        <w:rPr>
          <w:rtl/>
        </w:rPr>
        <w:t xml:space="preserve"> في نتيجة الادعاء لأن الأمر لا يتعلق إلا</w:t>
      </w:r>
      <w:r w:rsidR="009D0A61">
        <w:rPr>
          <w:rFonts w:hint="cs"/>
          <w:rtl/>
        </w:rPr>
        <w:t> </w:t>
      </w:r>
      <w:r w:rsidRPr="00AB589E">
        <w:rPr>
          <w:rtl/>
        </w:rPr>
        <w:t>بمصداقية صاحب البلاغ. وفي حين أن الوقائع لا تدعم ذلك بوضوح، لأن الشهادة تتعلق في الواقع بالمسألة ال</w:t>
      </w:r>
      <w:r>
        <w:rPr>
          <w:rtl/>
        </w:rPr>
        <w:t>رئيسية</w:t>
      </w:r>
      <w:r w:rsidRPr="00AB589E">
        <w:rPr>
          <w:rtl/>
        </w:rPr>
        <w:t xml:space="preserve"> في الادعاء، فإن اللجنة ترى مع ذلك أن تعليل الدولة الطرف لرفض الاستماع إلى الشهادة كان كافيا</w:t>
      </w:r>
      <w:r w:rsidR="00D85B05">
        <w:rPr>
          <w:rFonts w:hint="cs"/>
          <w:rtl/>
        </w:rPr>
        <w:t>ً</w:t>
      </w:r>
      <w:r w:rsidRPr="00AB589E">
        <w:rPr>
          <w:rtl/>
        </w:rPr>
        <w:t xml:space="preserve"> للوفاء بالتزاماتها الإجرائية بموجب العهد. ولذلك، لا تسعى اللجنة إلى التدخل في النتائج التي توصلت إليها سلطات الدولة الطرف </w:t>
      </w:r>
      <w:r>
        <w:rPr>
          <w:rtl/>
        </w:rPr>
        <w:t>ب</w:t>
      </w:r>
      <w:r w:rsidRPr="00AB589E">
        <w:rPr>
          <w:rtl/>
        </w:rPr>
        <w:t>هذا ال</w:t>
      </w:r>
      <w:r>
        <w:rPr>
          <w:rtl/>
        </w:rPr>
        <w:t>خصوص</w:t>
      </w:r>
      <w:r w:rsidRPr="00AB589E">
        <w:rPr>
          <w:rtl/>
        </w:rPr>
        <w:t>.</w:t>
      </w:r>
    </w:p>
    <w:p w14:paraId="546DC0CD" w14:textId="7FA8D705" w:rsidR="000066C3" w:rsidRPr="00AB589E" w:rsidRDefault="000066C3" w:rsidP="00F365B6">
      <w:pPr>
        <w:pStyle w:val="SingleTxtGA"/>
        <w:rPr>
          <w:rFonts w:eastAsia="Calibri"/>
          <w:lang w:val="ar-SA" w:eastAsia="zh-TW" w:bidi="en-GB"/>
        </w:rPr>
      </w:pPr>
      <w:r w:rsidRPr="00D858C6">
        <w:rPr>
          <w:rtl/>
        </w:rPr>
        <w:t>7</w:t>
      </w:r>
      <w:r w:rsidRPr="00AB589E">
        <w:rPr>
          <w:rtl/>
        </w:rPr>
        <w:t>-</w:t>
      </w:r>
      <w:r w:rsidRPr="00D858C6">
        <w:rPr>
          <w:rtl/>
        </w:rPr>
        <w:t>7</w:t>
      </w:r>
      <w:r w:rsidRPr="00AB589E">
        <w:rPr>
          <w:rtl/>
        </w:rPr>
        <w:tab/>
        <w:t>بيد أنه بصرف النظر عن تقييم الدولة الطرف لمصداقية صاحب البلاغ أو الاستنتاج اللاحق أن رواية صاحب البلاغ للأحداث التي وقعت في جمهورية إيران الإسلامية تفتقد لعنصر الإثبات، فإن سلطات الدولة الطرف ملزمة ب</w:t>
      </w:r>
      <w:r>
        <w:rPr>
          <w:rtl/>
        </w:rPr>
        <w:t xml:space="preserve">أن </w:t>
      </w:r>
      <w:r w:rsidRPr="00AB589E">
        <w:rPr>
          <w:rtl/>
        </w:rPr>
        <w:t>تقيم، في كل ال</w:t>
      </w:r>
      <w:r>
        <w:rPr>
          <w:rtl/>
        </w:rPr>
        <w:t>حالات</w:t>
      </w:r>
      <w:r w:rsidRPr="00AB589E">
        <w:rPr>
          <w:rtl/>
        </w:rPr>
        <w:t>، ما إذا كان لسلوك صاحب البلاغ وأنشطته قبل وصوله إلى الدولة الطرف أو بعد</w:t>
      </w:r>
      <w:r>
        <w:rPr>
          <w:rtl/>
        </w:rPr>
        <w:t>ه</w:t>
      </w:r>
      <w:r w:rsidRPr="00AB589E">
        <w:rPr>
          <w:rtl/>
        </w:rPr>
        <w:t xml:space="preserve">، </w:t>
      </w:r>
      <w:r>
        <w:rPr>
          <w:rtl/>
        </w:rPr>
        <w:t>عند فحصها معا</w:t>
      </w:r>
      <w:r w:rsidR="00D85B05">
        <w:rPr>
          <w:rFonts w:hint="cs"/>
          <w:rtl/>
        </w:rPr>
        <w:t>ً</w:t>
      </w:r>
      <w:r>
        <w:rPr>
          <w:rtl/>
        </w:rPr>
        <w:t xml:space="preserve"> أو كل على حدة</w:t>
      </w:r>
      <w:r w:rsidRPr="00AB589E">
        <w:rPr>
          <w:rtl/>
        </w:rPr>
        <w:t>، عواقب وخيمة في حالة عودته إلى جمهورية إيران الإسلامية، بحيث تعرضه لخطر شخصي جسيم لا يمكن جبره.</w:t>
      </w:r>
    </w:p>
    <w:p w14:paraId="118A644C" w14:textId="63E14FE3" w:rsidR="000066C3" w:rsidRPr="00AB589E" w:rsidRDefault="000066C3" w:rsidP="00F365B6">
      <w:pPr>
        <w:pStyle w:val="SingleTxtGA"/>
        <w:rPr>
          <w:rFonts w:eastAsia="Calibri"/>
          <w:lang w:val="ar-SA" w:eastAsia="zh-TW" w:bidi="en-GB"/>
        </w:rPr>
      </w:pPr>
      <w:r w:rsidRPr="00D858C6">
        <w:rPr>
          <w:rtl/>
        </w:rPr>
        <w:t>7</w:t>
      </w:r>
      <w:r w:rsidRPr="00AB589E">
        <w:rPr>
          <w:rtl/>
        </w:rPr>
        <w:t>-</w:t>
      </w:r>
      <w:r w:rsidRPr="00D858C6">
        <w:rPr>
          <w:rtl/>
        </w:rPr>
        <w:t>8</w:t>
      </w:r>
      <w:r w:rsidRPr="00AB589E">
        <w:rPr>
          <w:rtl/>
        </w:rPr>
        <w:tab/>
        <w:t xml:space="preserve">وفي هذا الصدد، وبينما يقع على عاتق صاحب البلاغ </w:t>
      </w:r>
      <w:r>
        <w:rPr>
          <w:rtl/>
        </w:rPr>
        <w:t>ذكر</w:t>
      </w:r>
      <w:r w:rsidRPr="00AB589E">
        <w:rPr>
          <w:rtl/>
        </w:rPr>
        <w:t xml:space="preserve"> وقائع يمكن أن تؤدي إلى استنتاج </w:t>
      </w:r>
      <w:r>
        <w:rPr>
          <w:rtl/>
        </w:rPr>
        <w:t xml:space="preserve">احتمال </w:t>
      </w:r>
      <w:r w:rsidRPr="00AB589E">
        <w:rPr>
          <w:rtl/>
        </w:rPr>
        <w:t>انتهاك حقوقه لدى عودته، فإن من واجب الدولة الطرف أيضا</w:t>
      </w:r>
      <w:r w:rsidR="00FE188F">
        <w:rPr>
          <w:rFonts w:hint="cs"/>
          <w:rtl/>
        </w:rPr>
        <w:t>ً</w:t>
      </w:r>
      <w:r w:rsidRPr="00AB589E">
        <w:rPr>
          <w:rtl/>
        </w:rPr>
        <w:t xml:space="preserve"> أن تنظر في جميع عوامل الخطر المنفصلة، وأن ت</w:t>
      </w:r>
      <w:r>
        <w:rPr>
          <w:rtl/>
        </w:rPr>
        <w:t>سعى</w:t>
      </w:r>
      <w:r w:rsidRPr="00AB589E">
        <w:rPr>
          <w:rtl/>
        </w:rPr>
        <w:t xml:space="preserve">، في الحالات التي لا تكون فيها المعلومات متاحة بسهولة رغم بذل المدعي قصارى جهده، </w:t>
      </w:r>
      <w:r>
        <w:rPr>
          <w:rtl/>
        </w:rPr>
        <w:t xml:space="preserve">إلى </w:t>
      </w:r>
      <w:r w:rsidRPr="00AB589E">
        <w:rPr>
          <w:rtl/>
        </w:rPr>
        <w:t xml:space="preserve">جمع معلومات يمكن التحقق منها على نحو معقول من أجل الوفاء بالتزامها الإجرائي بإجراء تقييم شامل للمخاطر. وتلاحظ اللجنة أن صاحب البلاغ قدم </w:t>
      </w:r>
      <w:r>
        <w:rPr>
          <w:rtl/>
        </w:rPr>
        <w:t>شروحا</w:t>
      </w:r>
      <w:r w:rsidR="00C569AF">
        <w:rPr>
          <w:rFonts w:hint="cs"/>
          <w:rtl/>
        </w:rPr>
        <w:t>ً</w:t>
      </w:r>
      <w:r w:rsidRPr="00AB589E">
        <w:rPr>
          <w:rtl/>
        </w:rPr>
        <w:t xml:space="preserve"> مفصلة بما فيه الكفاية لإثبات ادعا</w:t>
      </w:r>
      <w:r>
        <w:rPr>
          <w:rtl/>
        </w:rPr>
        <w:t>ئه</w:t>
      </w:r>
      <w:r w:rsidRPr="00AB589E">
        <w:rPr>
          <w:rtl/>
        </w:rPr>
        <w:t xml:space="preserve"> أنه اعتنق المسيحية، و</w:t>
      </w:r>
      <w:r>
        <w:rPr>
          <w:rtl/>
        </w:rPr>
        <w:t>غادر</w:t>
      </w:r>
      <w:r w:rsidRPr="00AB589E">
        <w:rPr>
          <w:rtl/>
        </w:rPr>
        <w:t xml:space="preserve"> جمهورية إيران الإسلامية بصورة غير قانونية، وتهرب من الخدمة العسكرية، وع</w:t>
      </w:r>
      <w:r>
        <w:rPr>
          <w:rtl/>
        </w:rPr>
        <w:t>ُ</w:t>
      </w:r>
      <w:r w:rsidRPr="00AB589E">
        <w:rPr>
          <w:rtl/>
        </w:rPr>
        <w:t>مّد في الدانمرك، وشجع علنا</w:t>
      </w:r>
      <w:r w:rsidR="00C569AF">
        <w:rPr>
          <w:rFonts w:hint="cs"/>
          <w:rtl/>
        </w:rPr>
        <w:t>ً</w:t>
      </w:r>
      <w:r w:rsidRPr="00AB589E">
        <w:rPr>
          <w:rtl/>
        </w:rPr>
        <w:t xml:space="preserve"> إيرانيين آخرين على حضور قدا</w:t>
      </w:r>
      <w:r>
        <w:rPr>
          <w:rtl/>
        </w:rPr>
        <w:t>ديس</w:t>
      </w:r>
      <w:r w:rsidRPr="00AB589E">
        <w:rPr>
          <w:rtl/>
        </w:rPr>
        <w:t xml:space="preserve"> كنسية، و</w:t>
      </w:r>
      <w:r>
        <w:rPr>
          <w:rtl/>
        </w:rPr>
        <w:t xml:space="preserve">رسم </w:t>
      </w:r>
      <w:r w:rsidRPr="00AB589E">
        <w:rPr>
          <w:rtl/>
        </w:rPr>
        <w:t>على جسده أكثر من وشم لأيقونات مسيحية، وحضر مظاهرة مناهضة للنظام وص</w:t>
      </w:r>
      <w:r>
        <w:rPr>
          <w:rtl/>
        </w:rPr>
        <w:t>ُ</w:t>
      </w:r>
      <w:r w:rsidRPr="00AB589E">
        <w:rPr>
          <w:rtl/>
        </w:rPr>
        <w:t>وّر فيها، ونشر مرار</w:t>
      </w:r>
      <w:r w:rsidR="00C569AF">
        <w:rPr>
          <w:rtl/>
        </w:rPr>
        <w:t xml:space="preserve">اً </w:t>
      </w:r>
      <w:r w:rsidRPr="00AB589E">
        <w:rPr>
          <w:rtl/>
        </w:rPr>
        <w:t>وتكرار</w:t>
      </w:r>
      <w:r w:rsidR="00C569AF">
        <w:rPr>
          <w:rtl/>
        </w:rPr>
        <w:t xml:space="preserve">اً </w:t>
      </w:r>
      <w:r w:rsidRPr="00AB589E">
        <w:rPr>
          <w:rtl/>
        </w:rPr>
        <w:t xml:space="preserve">تدوينات بشأن معتقداته المسيحية على صفحته على </w:t>
      </w:r>
      <w:r>
        <w:rPr>
          <w:rtl/>
        </w:rPr>
        <w:t>ال</w:t>
      </w:r>
      <w:r w:rsidRPr="00AB589E">
        <w:rPr>
          <w:rtl/>
        </w:rPr>
        <w:t>فيسبوك. ولذلك، استلزمت هذه العوامل إجراء دراسة متعمقة لكل عامل على حدة وأخرى للعوامل مجتمعة، لتحديد ما إذا كان أي منها أو جميعها قادر</w:t>
      </w:r>
      <w:r w:rsidR="00C569AF">
        <w:rPr>
          <w:rtl/>
        </w:rPr>
        <w:t xml:space="preserve">اً </w:t>
      </w:r>
      <w:r w:rsidRPr="00AB589E">
        <w:rPr>
          <w:rtl/>
        </w:rPr>
        <w:t xml:space="preserve">على تعريض صاحب البلاغ لخطر المعاملة المخالفة للعهد. </w:t>
      </w:r>
    </w:p>
    <w:p w14:paraId="053679B3" w14:textId="1A5AFF7B" w:rsidR="000066C3" w:rsidRPr="009D0A61" w:rsidRDefault="000066C3" w:rsidP="00F365B6">
      <w:pPr>
        <w:pStyle w:val="SingleTxtGA"/>
        <w:rPr>
          <w:rFonts w:eastAsia="Calibri"/>
          <w:lang w:val="ar-SA" w:eastAsia="zh-TW" w:bidi="en-GB"/>
        </w:rPr>
      </w:pPr>
      <w:r w:rsidRPr="00D858C6">
        <w:rPr>
          <w:rtl/>
        </w:rPr>
        <w:t>7</w:t>
      </w:r>
      <w:r w:rsidRPr="009D0A61">
        <w:rPr>
          <w:rtl/>
        </w:rPr>
        <w:t>-</w:t>
      </w:r>
      <w:r w:rsidRPr="00D858C6">
        <w:rPr>
          <w:rtl/>
        </w:rPr>
        <w:t>9</w:t>
      </w:r>
      <w:r w:rsidRPr="009D0A61">
        <w:rPr>
          <w:rtl/>
        </w:rPr>
        <w:tab/>
        <w:t xml:space="preserve">ولا تقدم الدولة الطرف أي دليل على تحليلها للخطر الذي </w:t>
      </w:r>
      <w:proofErr w:type="spellStart"/>
      <w:r w:rsidRPr="009D0A61">
        <w:rPr>
          <w:rtl/>
        </w:rPr>
        <w:t>سيواجهه</w:t>
      </w:r>
      <w:proofErr w:type="spellEnd"/>
      <w:r w:rsidRPr="009D0A61">
        <w:rPr>
          <w:rtl/>
        </w:rPr>
        <w:t xml:space="preserve"> صاحب البلاغ إذا ما</w:t>
      </w:r>
      <w:r w:rsidR="009D0A61">
        <w:rPr>
          <w:rFonts w:hint="cs"/>
          <w:rtl/>
        </w:rPr>
        <w:t> </w:t>
      </w:r>
      <w:r w:rsidRPr="009D0A61">
        <w:rPr>
          <w:rtl/>
        </w:rPr>
        <w:t>اكتشف وشمه، على الرغم من أن المعلومات القطرية التي تعتمد عليها تشير إلى أنه "يمكن للسلطات أن تستجوب أي</w:t>
      </w:r>
      <w:r w:rsidR="009D0A61" w:rsidRPr="009D0A61">
        <w:rPr>
          <w:rFonts w:hint="cs"/>
          <w:rtl/>
        </w:rPr>
        <w:t> </w:t>
      </w:r>
      <w:r w:rsidRPr="009D0A61">
        <w:rPr>
          <w:rtl/>
        </w:rPr>
        <w:t xml:space="preserve">متحول عن دينه عند عودته، إذا علمت السلطات أنه تحول عن دينه. </w:t>
      </w:r>
      <w:r w:rsidR="001B2505" w:rsidRPr="009D0A61">
        <w:rPr>
          <w:rtl/>
        </w:rPr>
        <w:t>[..</w:t>
      </w:r>
      <w:r w:rsidRPr="009D0A61">
        <w:rPr>
          <w:rtl/>
        </w:rPr>
        <w:t xml:space="preserve">.] وفيما يتعلق بالتحول العلني، عادة ما تكون للنظام ردة فعل، ولكن الأرقام محدودة. </w:t>
      </w:r>
      <w:r w:rsidR="001B2505" w:rsidRPr="009D0A61">
        <w:rPr>
          <w:rtl/>
        </w:rPr>
        <w:t>[..</w:t>
      </w:r>
      <w:r w:rsidRPr="009D0A61">
        <w:rPr>
          <w:rtl/>
        </w:rPr>
        <w:t>.] وقد شُدد على عدم إعدام أي شخص في إيران بسبب تحوله الديني"</w:t>
      </w:r>
      <w:r w:rsidR="001B2505" w:rsidRPr="009D0A61">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8"/>
      </w:r>
      <w:r w:rsidR="001B2505" w:rsidRPr="009D0A61">
        <w:rPr>
          <w:rStyle w:val="FootnoteReference"/>
          <w:rFonts w:ascii="Traditional Arabic" w:eastAsia="Calibri" w:hAnsi="Traditional Arabic"/>
          <w:sz w:val="30"/>
          <w:rtl/>
        </w:rPr>
        <w:t>)</w:t>
      </w:r>
      <w:r w:rsidR="001B2505" w:rsidRPr="009D0A61">
        <w:rPr>
          <w:rtl/>
        </w:rPr>
        <w:t xml:space="preserve">. </w:t>
      </w:r>
      <w:r w:rsidRPr="009D0A61">
        <w:rPr>
          <w:rtl/>
        </w:rPr>
        <w:t>وتؤكد الدولة الطرف، استناد</w:t>
      </w:r>
      <w:r w:rsidR="00C569AF" w:rsidRPr="009D0A61">
        <w:rPr>
          <w:rtl/>
        </w:rPr>
        <w:t xml:space="preserve">اً </w:t>
      </w:r>
      <w:r w:rsidRPr="009D0A61">
        <w:rPr>
          <w:rtl/>
        </w:rPr>
        <w:t>إلى المقتطف أعلاه، أن صاحب البلاغ</w:t>
      </w:r>
      <w:r w:rsidRPr="009D0A61" w:rsidDel="0026412D">
        <w:rPr>
          <w:rtl/>
        </w:rPr>
        <w:t xml:space="preserve"> </w:t>
      </w:r>
      <w:r w:rsidRPr="009D0A61">
        <w:rPr>
          <w:rtl/>
        </w:rPr>
        <w:t xml:space="preserve">لن يكون في خطر. </w:t>
      </w:r>
    </w:p>
    <w:p w14:paraId="15E78373" w14:textId="053858DF" w:rsidR="000066C3" w:rsidRPr="00AB589E" w:rsidRDefault="000066C3" w:rsidP="00F365B6">
      <w:pPr>
        <w:pStyle w:val="SingleTxtGA"/>
      </w:pPr>
      <w:r w:rsidRPr="00D858C6">
        <w:rPr>
          <w:rtl/>
        </w:rPr>
        <w:t>7</w:t>
      </w:r>
      <w:r w:rsidRPr="00AB589E">
        <w:rPr>
          <w:rtl/>
        </w:rPr>
        <w:t>-</w:t>
      </w:r>
      <w:r w:rsidRPr="00D858C6">
        <w:rPr>
          <w:rtl/>
        </w:rPr>
        <w:t>10</w:t>
      </w:r>
      <w:r w:rsidR="00F365B6">
        <w:rPr>
          <w:rtl/>
        </w:rPr>
        <w:tab/>
      </w:r>
      <w:r w:rsidRPr="00AB589E">
        <w:rPr>
          <w:rtl/>
        </w:rPr>
        <w:t>وفيما يتعلق بالمعلومات المنشورة على شبكة الإنترنت، لا يوجد مرة أخرى أي تقييم واضح، رغم اقتباس الدولة الطرف من تقرير يفيد ب</w:t>
      </w:r>
      <w:r>
        <w:rPr>
          <w:rtl/>
        </w:rPr>
        <w:t>أن</w:t>
      </w:r>
      <w:r w:rsidRPr="00AB589E">
        <w:rPr>
          <w:rtl/>
        </w:rPr>
        <w:t xml:space="preserve"> </w:t>
      </w:r>
      <w:r>
        <w:rPr>
          <w:rtl/>
        </w:rPr>
        <w:t>ال</w:t>
      </w:r>
      <w:r w:rsidRPr="00AB589E">
        <w:rPr>
          <w:rtl/>
        </w:rPr>
        <w:t>صورة</w:t>
      </w:r>
      <w:r>
        <w:rPr>
          <w:rtl/>
        </w:rPr>
        <w:t xml:space="preserve"> التي تنشر على الإنترنت</w:t>
      </w:r>
      <w:r w:rsidRPr="00AB589E">
        <w:rPr>
          <w:rtl/>
        </w:rPr>
        <w:t xml:space="preserve"> </w:t>
      </w:r>
      <w:r>
        <w:rPr>
          <w:rtl/>
        </w:rPr>
        <w:t>و</w:t>
      </w:r>
      <w:r w:rsidRPr="00AB589E">
        <w:rPr>
          <w:rtl/>
        </w:rPr>
        <w:t xml:space="preserve">تشير إلى تحول </w:t>
      </w:r>
      <w:r>
        <w:rPr>
          <w:rtl/>
        </w:rPr>
        <w:t>طالب لجوء</w:t>
      </w:r>
      <w:r w:rsidRPr="00AB589E">
        <w:rPr>
          <w:rtl/>
        </w:rPr>
        <w:t xml:space="preserve"> عن دينه ت</w:t>
      </w:r>
      <w:r>
        <w:rPr>
          <w:rtl/>
        </w:rPr>
        <w:t>ُ</w:t>
      </w:r>
      <w:r w:rsidRPr="00AB589E">
        <w:rPr>
          <w:rtl/>
        </w:rPr>
        <w:t xml:space="preserve">قيّم إلى جانب ملفه الشخصي وأنشطته، </w:t>
      </w:r>
      <w:r>
        <w:rPr>
          <w:rtl/>
        </w:rPr>
        <w:t xml:space="preserve">وأن </w:t>
      </w:r>
      <w:r w:rsidRPr="00AB589E">
        <w:rPr>
          <w:rtl/>
        </w:rPr>
        <w:t xml:space="preserve">إغلاق صفحة </w:t>
      </w:r>
      <w:r>
        <w:rPr>
          <w:rtl/>
        </w:rPr>
        <w:t>ال</w:t>
      </w:r>
      <w:r w:rsidRPr="00AB589E">
        <w:rPr>
          <w:rtl/>
        </w:rPr>
        <w:t xml:space="preserve">فيسبوك أمام الجمهور أو </w:t>
      </w:r>
      <w:r>
        <w:rPr>
          <w:rtl/>
        </w:rPr>
        <w:t xml:space="preserve">حذف </w:t>
      </w:r>
      <w:r w:rsidRPr="00AB589E">
        <w:rPr>
          <w:rtl/>
        </w:rPr>
        <w:t xml:space="preserve">الصور </w:t>
      </w:r>
      <w:r>
        <w:rPr>
          <w:rtl/>
        </w:rPr>
        <w:t xml:space="preserve">بعد نشرها </w:t>
      </w:r>
      <w:r w:rsidRPr="00AB589E">
        <w:rPr>
          <w:rtl/>
        </w:rPr>
        <w:t>لفترة قصيرة، و</w:t>
      </w:r>
      <w:r>
        <w:rPr>
          <w:rtl/>
        </w:rPr>
        <w:t xml:space="preserve">عدم القيام </w:t>
      </w:r>
      <w:r w:rsidRPr="00AB589E">
        <w:rPr>
          <w:rtl/>
        </w:rPr>
        <w:t>بأي أنشطة أخرى تتعلق بالمسيحية</w:t>
      </w:r>
      <w:r>
        <w:rPr>
          <w:rtl/>
        </w:rPr>
        <w:t xml:space="preserve"> أمور تجعل الشخص </w:t>
      </w:r>
      <w:r>
        <w:rPr>
          <w:rtl/>
        </w:rPr>
        <w:lastRenderedPageBreak/>
        <w:t>خارج دائرة</w:t>
      </w:r>
      <w:r w:rsidRPr="00AB589E">
        <w:rPr>
          <w:rtl/>
        </w:rPr>
        <w:t xml:space="preserve"> </w:t>
      </w:r>
      <w:r>
        <w:rPr>
          <w:rtl/>
        </w:rPr>
        <w:t>ال</w:t>
      </w:r>
      <w:r w:rsidRPr="00AB589E">
        <w:rPr>
          <w:rtl/>
        </w:rPr>
        <w:t>اهتمام</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29"/>
      </w:r>
      <w:r w:rsidR="001B2505" w:rsidRPr="001B2505">
        <w:rPr>
          <w:rStyle w:val="FootnoteReference"/>
          <w:rFonts w:ascii="Traditional Arabic" w:eastAsia="Calibri" w:hAnsi="Traditional Arabic"/>
          <w:sz w:val="30"/>
          <w:rtl/>
        </w:rPr>
        <w:t>)</w:t>
      </w:r>
      <w:r w:rsidR="001B2505" w:rsidRPr="001B2505">
        <w:rPr>
          <w:rtl/>
        </w:rPr>
        <w:t xml:space="preserve">. </w:t>
      </w:r>
      <w:r w:rsidRPr="00AB589E">
        <w:rPr>
          <w:rtl/>
        </w:rPr>
        <w:t>ويبدو أن هذا يترك الباب مفتوحا</w:t>
      </w:r>
      <w:r w:rsidR="00C569AF">
        <w:rPr>
          <w:rFonts w:hint="cs"/>
          <w:rtl/>
        </w:rPr>
        <w:t>ً</w:t>
      </w:r>
      <w:r w:rsidRPr="00AB589E">
        <w:rPr>
          <w:rtl/>
        </w:rPr>
        <w:t xml:space="preserve"> أمام احتمال</w:t>
      </w:r>
      <w:r w:rsidRPr="003C31BE">
        <w:rPr>
          <w:rtl/>
        </w:rPr>
        <w:t xml:space="preserve"> </w:t>
      </w:r>
      <w:r w:rsidRPr="00AB589E">
        <w:rPr>
          <w:rtl/>
        </w:rPr>
        <w:t xml:space="preserve">أن يكون </w:t>
      </w:r>
      <w:r>
        <w:rPr>
          <w:rtl/>
        </w:rPr>
        <w:t xml:space="preserve">الشخص </w:t>
      </w:r>
      <w:r w:rsidRPr="00AB589E">
        <w:rPr>
          <w:rtl/>
        </w:rPr>
        <w:t xml:space="preserve">محل اهتمام </w:t>
      </w:r>
      <w:r>
        <w:rPr>
          <w:rtl/>
        </w:rPr>
        <w:t>إذا</w:t>
      </w:r>
      <w:r w:rsidR="009D0A61">
        <w:rPr>
          <w:rFonts w:hint="cs"/>
          <w:rtl/>
        </w:rPr>
        <w:t> </w:t>
      </w:r>
      <w:r>
        <w:rPr>
          <w:rtl/>
        </w:rPr>
        <w:t xml:space="preserve">كانت </w:t>
      </w:r>
      <w:r w:rsidRPr="00AB589E">
        <w:rPr>
          <w:rtl/>
        </w:rPr>
        <w:t>المنشورات متاحة للجمهور، أو</w:t>
      </w:r>
      <w:r w:rsidR="00364AD9">
        <w:rPr>
          <w:rtl/>
        </w:rPr>
        <w:t xml:space="preserve"> </w:t>
      </w:r>
      <w:r>
        <w:rPr>
          <w:rtl/>
        </w:rPr>
        <w:t xml:space="preserve">بقيت </w:t>
      </w:r>
      <w:r w:rsidRPr="00AB589E">
        <w:rPr>
          <w:rtl/>
        </w:rPr>
        <w:t>على الإنترنت لفترة طويلة أو نشر</w:t>
      </w:r>
      <w:r>
        <w:rPr>
          <w:rtl/>
        </w:rPr>
        <w:t>ت</w:t>
      </w:r>
      <w:r w:rsidRPr="00AB589E">
        <w:rPr>
          <w:rtl/>
        </w:rPr>
        <w:t xml:space="preserve"> بالاقتران مع أنشطة عامة أخرى. وهذ</w:t>
      </w:r>
      <w:r>
        <w:rPr>
          <w:rtl/>
        </w:rPr>
        <w:t>ا</w:t>
      </w:r>
      <w:r w:rsidRPr="00AB589E">
        <w:rPr>
          <w:rtl/>
        </w:rPr>
        <w:t xml:space="preserve"> ه</w:t>
      </w:r>
      <w:r>
        <w:rPr>
          <w:rtl/>
        </w:rPr>
        <w:t>و</w:t>
      </w:r>
      <w:r w:rsidRPr="00AB589E">
        <w:rPr>
          <w:rtl/>
        </w:rPr>
        <w:t xml:space="preserve"> الاحتمال ال</w:t>
      </w:r>
      <w:r>
        <w:rPr>
          <w:rtl/>
        </w:rPr>
        <w:t>ذ</w:t>
      </w:r>
      <w:r w:rsidRPr="00AB589E">
        <w:rPr>
          <w:rtl/>
        </w:rPr>
        <w:t xml:space="preserve">ي كان على الدولة الطرف استكشافه. وعلى الرغم من أن صاحب البلاغ كشف للمكلف بالاستجواب عن وشمه وتدويناته على </w:t>
      </w:r>
      <w:r>
        <w:rPr>
          <w:rtl/>
        </w:rPr>
        <w:t>ال</w:t>
      </w:r>
      <w:r w:rsidRPr="00AB589E">
        <w:rPr>
          <w:rtl/>
        </w:rPr>
        <w:t>فيسبوك أثناء مقابلته الموضوعية، إلا أنه لا يوجد في سجل المقابلة، سواء</w:t>
      </w:r>
      <w:r>
        <w:rPr>
          <w:rtl/>
        </w:rPr>
        <w:t xml:space="preserve"> </w:t>
      </w:r>
      <w:r w:rsidRPr="00AB589E">
        <w:rPr>
          <w:rtl/>
        </w:rPr>
        <w:t xml:space="preserve">في </w:t>
      </w:r>
      <w:r>
        <w:rPr>
          <w:rtl/>
        </w:rPr>
        <w:t>الدرجة</w:t>
      </w:r>
      <w:r w:rsidRPr="00AB589E">
        <w:rPr>
          <w:rtl/>
        </w:rPr>
        <w:t xml:space="preserve"> الأولى أ</w:t>
      </w:r>
      <w:r>
        <w:rPr>
          <w:rtl/>
        </w:rPr>
        <w:t>م</w:t>
      </w:r>
      <w:r w:rsidRPr="00AB589E">
        <w:rPr>
          <w:rtl/>
        </w:rPr>
        <w:t xml:space="preserve"> الثانية</w:t>
      </w:r>
      <w:r>
        <w:rPr>
          <w:rtl/>
        </w:rPr>
        <w:t>،</w:t>
      </w:r>
      <w:r w:rsidRPr="00AB589E">
        <w:rPr>
          <w:rtl/>
        </w:rPr>
        <w:t xml:space="preserve"> أو في أي موضع آخر في استنتاجات الدولة الطرف، ما يشير إلى طرح أي أسئلة أخرى </w:t>
      </w:r>
      <w:r>
        <w:rPr>
          <w:rtl/>
        </w:rPr>
        <w:t>ما عدا طلب</w:t>
      </w:r>
      <w:r w:rsidRPr="00AB589E">
        <w:rPr>
          <w:rtl/>
        </w:rPr>
        <w:t xml:space="preserve"> تأكيد ما إذا كان يبدو من تدويناته على </w:t>
      </w:r>
      <w:r>
        <w:rPr>
          <w:rtl/>
        </w:rPr>
        <w:t>ال</w:t>
      </w:r>
      <w:r w:rsidRPr="00AB589E">
        <w:rPr>
          <w:rtl/>
        </w:rPr>
        <w:t xml:space="preserve">فيسبوك أنه مسيحي، وهو ما ردّ عليه بالإيجاب. </w:t>
      </w:r>
    </w:p>
    <w:p w14:paraId="6DAA87D3" w14:textId="04704C49" w:rsidR="000066C3" w:rsidRPr="009D0A61" w:rsidRDefault="000066C3" w:rsidP="009D0A61">
      <w:pPr>
        <w:pStyle w:val="SingleTxtGA"/>
        <w:spacing w:line="350" w:lineRule="exact"/>
        <w:rPr>
          <w:rFonts w:eastAsia="Calibri"/>
          <w:spacing w:val="-2"/>
          <w:lang w:val="ar-SA" w:eastAsia="zh-TW" w:bidi="en-GB"/>
        </w:rPr>
      </w:pPr>
      <w:r w:rsidRPr="00D858C6">
        <w:rPr>
          <w:spacing w:val="-2"/>
          <w:rtl/>
        </w:rPr>
        <w:t>7</w:t>
      </w:r>
      <w:r w:rsidRPr="009D0A61">
        <w:rPr>
          <w:spacing w:val="-2"/>
          <w:rtl/>
        </w:rPr>
        <w:t>-</w:t>
      </w:r>
      <w:r w:rsidRPr="00D858C6">
        <w:rPr>
          <w:spacing w:val="-2"/>
          <w:rtl/>
        </w:rPr>
        <w:t>11</w:t>
      </w:r>
      <w:r w:rsidR="00F365B6" w:rsidRPr="009D0A61">
        <w:rPr>
          <w:spacing w:val="-2"/>
          <w:rtl/>
        </w:rPr>
        <w:tab/>
      </w:r>
      <w:r w:rsidRPr="009D0A61">
        <w:rPr>
          <w:spacing w:val="-2"/>
          <w:rtl/>
        </w:rPr>
        <w:t>وقد أحاط مجلس طعون اللاجئين علما</w:t>
      </w:r>
      <w:r w:rsidR="00CB308B" w:rsidRPr="009D0A61">
        <w:rPr>
          <w:rFonts w:hint="cs"/>
          <w:spacing w:val="-2"/>
          <w:rtl/>
        </w:rPr>
        <w:t>ً</w:t>
      </w:r>
      <w:r w:rsidRPr="009D0A61">
        <w:rPr>
          <w:spacing w:val="-2"/>
          <w:rtl/>
        </w:rPr>
        <w:t xml:space="preserve"> بادعاء صاحب البلاغ أنه شارك في مظاهرة في الدانمرك ضد النظام الإيراني وأنه التقطت له صور في هذا الحدث. بيد أن سلطة القرار لم تحاول في أي وقت من الأوقات إثبات صحة القول، أو طلب الاطلاع على الصور، أو السؤال عن مكان نشرها، أو الحصول على أي معلومات إضافية من صاحب البلاغ بشأن ما يحمله على اعتقاد أنه صُور في المظاهرة. </w:t>
      </w:r>
    </w:p>
    <w:p w14:paraId="42299A92" w14:textId="06E156CB" w:rsidR="000066C3" w:rsidRPr="00AB589E" w:rsidRDefault="000066C3" w:rsidP="009D0A61">
      <w:pPr>
        <w:pStyle w:val="SingleTxtGA"/>
        <w:spacing w:line="350" w:lineRule="exact"/>
        <w:rPr>
          <w:rFonts w:eastAsia="Calibri"/>
          <w:lang w:val="ar-SA" w:eastAsia="zh-TW" w:bidi="en-GB"/>
        </w:rPr>
      </w:pPr>
      <w:r w:rsidRPr="00D858C6">
        <w:rPr>
          <w:rtl/>
        </w:rPr>
        <w:t>7</w:t>
      </w:r>
      <w:r w:rsidRPr="00AB589E">
        <w:rPr>
          <w:rtl/>
        </w:rPr>
        <w:t>-</w:t>
      </w:r>
      <w:r w:rsidRPr="00D858C6">
        <w:rPr>
          <w:rtl/>
        </w:rPr>
        <w:t>12</w:t>
      </w:r>
      <w:r w:rsidR="00F365B6">
        <w:rPr>
          <w:rtl/>
        </w:rPr>
        <w:tab/>
      </w:r>
      <w:r w:rsidRPr="00AB589E">
        <w:rPr>
          <w:rtl/>
        </w:rPr>
        <w:t>وخلص مجلس طعون اللاجئين إلى أنه "استناد</w:t>
      </w:r>
      <w:r w:rsidR="00C569AF">
        <w:rPr>
          <w:rtl/>
        </w:rPr>
        <w:t xml:space="preserve">اً </w:t>
      </w:r>
      <w:r w:rsidRPr="00AB589E">
        <w:rPr>
          <w:rtl/>
        </w:rPr>
        <w:t xml:space="preserve">إلى تقييم شامل، </w:t>
      </w:r>
      <w:r>
        <w:rPr>
          <w:rtl/>
        </w:rPr>
        <w:t xml:space="preserve">فقد </w:t>
      </w:r>
      <w:r w:rsidRPr="00AB589E">
        <w:rPr>
          <w:rtl/>
        </w:rPr>
        <w:t xml:space="preserve">أخفق </w:t>
      </w:r>
      <w:r>
        <w:rPr>
          <w:rtl/>
          <w:lang w:val="fr-CH"/>
        </w:rPr>
        <w:t>طالب اللجوء</w:t>
      </w:r>
      <w:r w:rsidRPr="00AB589E">
        <w:rPr>
          <w:rtl/>
        </w:rPr>
        <w:t xml:space="preserve"> في </w:t>
      </w:r>
      <w:r w:rsidRPr="00CB308B">
        <w:rPr>
          <w:spacing w:val="-2"/>
          <w:rtl/>
        </w:rPr>
        <w:t>إثبات احتمال التعرض شخصي</w:t>
      </w:r>
      <w:r w:rsidR="00C569AF">
        <w:rPr>
          <w:spacing w:val="-2"/>
          <w:rtl/>
        </w:rPr>
        <w:t xml:space="preserve">اً </w:t>
      </w:r>
      <w:r w:rsidRPr="00CB308B">
        <w:rPr>
          <w:spacing w:val="-2"/>
          <w:rtl/>
        </w:rPr>
        <w:t xml:space="preserve">وعلى نحو محدد لخطر الاضطهاد أو سوء المعاملة المندرج ضمن المادة </w:t>
      </w:r>
      <w:r w:rsidRPr="00D858C6">
        <w:rPr>
          <w:spacing w:val="-2"/>
          <w:rtl/>
        </w:rPr>
        <w:t>7</w:t>
      </w:r>
      <w:r w:rsidRPr="00CB308B">
        <w:rPr>
          <w:spacing w:val="-2"/>
          <w:rtl/>
        </w:rPr>
        <w:t xml:space="preserve"> من قانون الأجانب في حال عودته إلى إيران. والمعلومات التي تفيد بأنه غادر البلد بشكل غير قانوني</w:t>
      </w:r>
      <w:r w:rsidRPr="00AB589E">
        <w:rPr>
          <w:rtl/>
        </w:rPr>
        <w:t xml:space="preserve"> وأنه تهرب من الخدمة العسكرية الإلزامية لا يمكن أن تؤدي إلى تقييم مختلف". بيد أن اللجنة تلاحظ أنه لا يوجد دليل على أن أي تقييم من هذا القبيل قد أجري بالفعل. وت</w:t>
      </w:r>
      <w:r>
        <w:rPr>
          <w:rtl/>
        </w:rPr>
        <w:t>ُ</w:t>
      </w:r>
      <w:r w:rsidRPr="00AB589E">
        <w:rPr>
          <w:rtl/>
        </w:rPr>
        <w:t xml:space="preserve">ذكر الوقائع التي تفيد بأن صاحب البلاغ غادر البلد بصورة غير قانونية وتهرب من الخدمة العسكرية بعد استكمال "التقييم العام"، دون أي </w:t>
      </w:r>
      <w:r w:rsidR="00B653A4" w:rsidRPr="00AB589E">
        <w:rPr>
          <w:rFonts w:hint="cs"/>
          <w:rtl/>
        </w:rPr>
        <w:t>مراعا</w:t>
      </w:r>
      <w:r w:rsidR="00B653A4" w:rsidRPr="00AB589E">
        <w:rPr>
          <w:rtl/>
        </w:rPr>
        <w:t>ة</w:t>
      </w:r>
      <w:r w:rsidRPr="00AB589E">
        <w:rPr>
          <w:rtl/>
        </w:rPr>
        <w:t xml:space="preserve"> ل</w:t>
      </w:r>
      <w:r>
        <w:rPr>
          <w:rtl/>
        </w:rPr>
        <w:t>إمكانية</w:t>
      </w:r>
      <w:r w:rsidR="00B653A4">
        <w:rPr>
          <w:rFonts w:hint="cs"/>
          <w:rtl/>
          <w:lang w:val="fr-CH"/>
        </w:rPr>
        <w:t xml:space="preserve"> </w:t>
      </w:r>
      <w:r>
        <w:rPr>
          <w:rtl/>
          <w:lang w:val="fr-CH"/>
        </w:rPr>
        <w:t>أن تتسبب هذه العوامل في</w:t>
      </w:r>
      <w:r w:rsidRPr="00AB589E">
        <w:rPr>
          <w:rtl/>
        </w:rPr>
        <w:t xml:space="preserve"> إطالة أمد الاحتجاز. وتأكيد الدولة الطرف، دون</w:t>
      </w:r>
      <w:r>
        <w:rPr>
          <w:rtl/>
        </w:rPr>
        <w:t>ما</w:t>
      </w:r>
      <w:r w:rsidRPr="00AB589E">
        <w:rPr>
          <w:rtl/>
        </w:rPr>
        <w:t xml:space="preserve"> إشارة إلى اليقظة في القضية قيد النظر، أن المجلس "</w:t>
      </w:r>
      <w:r>
        <w:rPr>
          <w:rtl/>
        </w:rPr>
        <w:t xml:space="preserve">ينظر </w:t>
      </w:r>
      <w:r w:rsidRPr="00AB589E">
        <w:rPr>
          <w:rtl/>
        </w:rPr>
        <w:t>عموم</w:t>
      </w:r>
      <w:r w:rsidR="00C569AF">
        <w:rPr>
          <w:rtl/>
        </w:rPr>
        <w:t xml:space="preserve">اً </w:t>
      </w:r>
      <w:r>
        <w:rPr>
          <w:rtl/>
        </w:rPr>
        <w:t>ب</w:t>
      </w:r>
      <w:r w:rsidRPr="00AB589E">
        <w:rPr>
          <w:rtl/>
        </w:rPr>
        <w:t>يقظ</w:t>
      </w:r>
      <w:r>
        <w:rPr>
          <w:rtl/>
        </w:rPr>
        <w:t>ة كبيرة</w:t>
      </w:r>
      <w:r w:rsidRPr="00AB589E">
        <w:rPr>
          <w:rtl/>
        </w:rPr>
        <w:t xml:space="preserve">" في العوامل التراكمية، وفقاً لتوجيهات المفوضية، لا </w:t>
      </w:r>
      <w:r>
        <w:rPr>
          <w:rtl/>
        </w:rPr>
        <w:t>ي</w:t>
      </w:r>
      <w:r w:rsidRPr="00AB589E">
        <w:rPr>
          <w:rtl/>
        </w:rPr>
        <w:t>قنع اللجنة بأن</w:t>
      </w:r>
      <w:r>
        <w:rPr>
          <w:rtl/>
        </w:rPr>
        <w:t xml:space="preserve"> السلطات قد أجرت</w:t>
      </w:r>
      <w:r w:rsidRPr="00AB589E">
        <w:rPr>
          <w:rtl/>
        </w:rPr>
        <w:t xml:space="preserve"> أي تقييم للعوامل التراكمية، استناد</w:t>
      </w:r>
      <w:r w:rsidR="00C569AF">
        <w:rPr>
          <w:rtl/>
        </w:rPr>
        <w:t xml:space="preserve">اً </w:t>
      </w:r>
      <w:r w:rsidRPr="00AB589E">
        <w:rPr>
          <w:rtl/>
        </w:rPr>
        <w:t>إلى المعلومات المعروضة عليه</w:t>
      </w:r>
      <w:r>
        <w:rPr>
          <w:rtl/>
          <w:lang w:val="fr-CH"/>
        </w:rPr>
        <w:t>ا</w:t>
      </w:r>
      <w:r w:rsidRPr="00AB589E">
        <w:rPr>
          <w:rtl/>
        </w:rPr>
        <w:t xml:space="preserve">، في هذه القضية. </w:t>
      </w:r>
    </w:p>
    <w:p w14:paraId="511BA2B0" w14:textId="5DA8AF20" w:rsidR="000066C3" w:rsidRPr="00AB589E" w:rsidRDefault="000066C3" w:rsidP="009D0A61">
      <w:pPr>
        <w:pStyle w:val="SingleTxtGA"/>
        <w:spacing w:line="350" w:lineRule="exact"/>
        <w:rPr>
          <w:rFonts w:eastAsia="Calibri"/>
          <w:lang w:val="en-US" w:eastAsia="zh-TW" w:bidi="en-GB"/>
        </w:rPr>
      </w:pPr>
      <w:r w:rsidRPr="00D858C6">
        <w:rPr>
          <w:rtl/>
        </w:rPr>
        <w:t>7</w:t>
      </w:r>
      <w:r w:rsidRPr="00AB589E">
        <w:rPr>
          <w:rtl/>
        </w:rPr>
        <w:t>-</w:t>
      </w:r>
      <w:r w:rsidRPr="00D858C6">
        <w:rPr>
          <w:rtl/>
        </w:rPr>
        <w:t>13</w:t>
      </w:r>
      <w:r>
        <w:rPr>
          <w:rtl/>
        </w:rPr>
        <w:tab/>
      </w:r>
      <w:r w:rsidRPr="00AB589E">
        <w:rPr>
          <w:rtl/>
        </w:rPr>
        <w:t>ولا ترى اللجنة أن موقف الدولة الطرف</w:t>
      </w:r>
      <w:r>
        <w:rPr>
          <w:rtl/>
        </w:rPr>
        <w:t xml:space="preserve"> مطمئن عندما تقول إن السلطات لم تعدم</w:t>
      </w:r>
      <w:r w:rsidRPr="00AB589E">
        <w:rPr>
          <w:rtl/>
        </w:rPr>
        <w:t xml:space="preserve"> أحد</w:t>
      </w:r>
      <w:r w:rsidR="00C569AF">
        <w:rPr>
          <w:rtl/>
        </w:rPr>
        <w:t xml:space="preserve">اً </w:t>
      </w:r>
      <w:r w:rsidRPr="00AB589E">
        <w:rPr>
          <w:rtl/>
        </w:rPr>
        <w:t xml:space="preserve">بسبب تحوله عن دينه. </w:t>
      </w:r>
      <w:r>
        <w:rPr>
          <w:rtl/>
        </w:rPr>
        <w:t>ف</w:t>
      </w:r>
      <w:r w:rsidRPr="00AB589E">
        <w:rPr>
          <w:rtl/>
        </w:rPr>
        <w:t>الإعدام ليس النتيجة الوحيدة التي من شأنها أن تفع</w:t>
      </w:r>
      <w:r>
        <w:rPr>
          <w:rtl/>
        </w:rPr>
        <w:t>ّ</w:t>
      </w:r>
      <w:r w:rsidRPr="00AB589E">
        <w:rPr>
          <w:rtl/>
        </w:rPr>
        <w:t xml:space="preserve">ل التزامات الدولة الطرف بالحماية بموجب قانون الأجانب أو اتفاقية الأمم المتحدة الخاصة بوضع اللاجئين أو العهد، كما أن </w:t>
      </w:r>
      <w:r>
        <w:rPr>
          <w:rtl/>
        </w:rPr>
        <w:t>تغيير</w:t>
      </w:r>
      <w:r w:rsidRPr="00AB589E">
        <w:rPr>
          <w:rtl/>
        </w:rPr>
        <w:t xml:space="preserve"> الدين ليس ال</w:t>
      </w:r>
      <w:r>
        <w:rPr>
          <w:rtl/>
        </w:rPr>
        <w:t>سبب</w:t>
      </w:r>
      <w:r w:rsidRPr="00AB589E">
        <w:rPr>
          <w:rtl/>
        </w:rPr>
        <w:t xml:space="preserve"> الوحيد الذي يمكن </w:t>
      </w:r>
      <w:r>
        <w:rPr>
          <w:rtl/>
        </w:rPr>
        <w:t>على أساسه</w:t>
      </w:r>
      <w:r w:rsidR="00364AD9">
        <w:rPr>
          <w:rtl/>
        </w:rPr>
        <w:t xml:space="preserve"> </w:t>
      </w:r>
      <w:r w:rsidRPr="00AB589E">
        <w:rPr>
          <w:rtl/>
        </w:rPr>
        <w:t>محاكمة من يتحول عن دينه</w:t>
      </w:r>
      <w:r w:rsidR="001B2505">
        <w:rPr>
          <w:rStyle w:val="FootnoteReference"/>
          <w:rFonts w:ascii="Traditional Arabic" w:eastAsia="Calibri" w:hAnsi="Traditional Arabic"/>
          <w:sz w:val="30"/>
          <w:rtl/>
        </w:rPr>
        <w:t>(</w:t>
      </w:r>
      <w:r w:rsidR="001B2505" w:rsidRPr="00D858C6">
        <w:rPr>
          <w:rStyle w:val="FootnoteReference"/>
          <w:rFonts w:ascii="Traditional Arabic" w:eastAsia="Calibri" w:hAnsi="Traditional Arabic"/>
          <w:sz w:val="30"/>
          <w:lang w:val="en-US"/>
        </w:rPr>
        <w:footnoteReference w:id="30"/>
      </w:r>
      <w:r w:rsidR="001B2505" w:rsidRPr="001B2505">
        <w:rPr>
          <w:rStyle w:val="FootnoteReference"/>
          <w:rFonts w:ascii="Traditional Arabic" w:eastAsia="Calibri" w:hAnsi="Traditional Arabic"/>
          <w:sz w:val="30"/>
          <w:rtl/>
        </w:rPr>
        <w:t>)</w:t>
      </w:r>
      <w:r w:rsidR="001B2505" w:rsidRPr="001B2505">
        <w:rPr>
          <w:rtl/>
        </w:rPr>
        <w:t xml:space="preserve">. </w:t>
      </w:r>
      <w:r>
        <w:rPr>
          <w:rtl/>
        </w:rPr>
        <w:t>ول</w:t>
      </w:r>
      <w:r w:rsidRPr="00AB589E">
        <w:rPr>
          <w:rtl/>
        </w:rPr>
        <w:t>أن الردة غير مح</w:t>
      </w:r>
      <w:r>
        <w:rPr>
          <w:rtl/>
        </w:rPr>
        <w:t>ظورة</w:t>
      </w:r>
      <w:r w:rsidRPr="00AB589E">
        <w:rPr>
          <w:rtl/>
        </w:rPr>
        <w:t xml:space="preserve"> صراحة في القانون الجنائي الإيراني، و</w:t>
      </w:r>
      <w:r>
        <w:rPr>
          <w:rtl/>
        </w:rPr>
        <w:t xml:space="preserve">إنما </w:t>
      </w:r>
      <w:r w:rsidRPr="00AB589E">
        <w:rPr>
          <w:rtl/>
        </w:rPr>
        <w:t xml:space="preserve">يعاقب عليها بموجب أحكام جرائم الحدود </w:t>
      </w:r>
      <w:r>
        <w:rPr>
          <w:rtl/>
        </w:rPr>
        <w:t xml:space="preserve">في إطار </w:t>
      </w:r>
      <w:r w:rsidRPr="00AB589E">
        <w:rPr>
          <w:rtl/>
        </w:rPr>
        <w:t>الشريعة الإسلامية والتفسيرات المختلفة</w:t>
      </w:r>
      <w:r>
        <w:rPr>
          <w:rtl/>
        </w:rPr>
        <w:t xml:space="preserve"> للردة</w:t>
      </w:r>
      <w:r w:rsidRPr="00AB589E">
        <w:rPr>
          <w:rtl/>
        </w:rPr>
        <w:t xml:space="preserve"> في الشريعة الإسلامية</w:t>
      </w:r>
      <w:r>
        <w:rPr>
          <w:rtl/>
        </w:rPr>
        <w:t xml:space="preserve"> فلا</w:t>
      </w:r>
      <w:r w:rsidRPr="00AB589E">
        <w:rPr>
          <w:rtl/>
        </w:rPr>
        <w:t xml:space="preserve"> وجود </w:t>
      </w:r>
      <w:r>
        <w:rPr>
          <w:rtl/>
        </w:rPr>
        <w:t>ل</w:t>
      </w:r>
      <w:r w:rsidRPr="00AB589E">
        <w:rPr>
          <w:rtl/>
        </w:rPr>
        <w:t xml:space="preserve">يقين قانوني بالنسبة للمتحولين عن دينهم، </w:t>
      </w:r>
      <w:r>
        <w:rPr>
          <w:rtl/>
        </w:rPr>
        <w:t xml:space="preserve">وهي </w:t>
      </w:r>
      <w:r w:rsidRPr="00AB589E">
        <w:rPr>
          <w:rtl/>
        </w:rPr>
        <w:t xml:space="preserve">فرصة لتجنب </w:t>
      </w:r>
      <w:r>
        <w:rPr>
          <w:rtl/>
        </w:rPr>
        <w:t>الاتهام ب</w:t>
      </w:r>
      <w:r w:rsidRPr="00AB589E">
        <w:rPr>
          <w:rtl/>
        </w:rPr>
        <w:t>الردة</w:t>
      </w:r>
      <w:r>
        <w:rPr>
          <w:rtl/>
        </w:rPr>
        <w:t xml:space="preserve"> </w:t>
      </w:r>
      <w:r w:rsidRPr="00AB589E">
        <w:rPr>
          <w:rtl/>
        </w:rPr>
        <w:t xml:space="preserve">حينما تقتضي </w:t>
      </w:r>
      <w:r>
        <w:rPr>
          <w:rtl/>
        </w:rPr>
        <w:t>ال</w:t>
      </w:r>
      <w:r w:rsidRPr="00AB589E">
        <w:rPr>
          <w:rtl/>
        </w:rPr>
        <w:t xml:space="preserve">مصلحة </w:t>
      </w:r>
      <w:r>
        <w:rPr>
          <w:rtl/>
        </w:rPr>
        <w:t>ال</w:t>
      </w:r>
      <w:r w:rsidRPr="00AB589E">
        <w:rPr>
          <w:rtl/>
        </w:rPr>
        <w:t xml:space="preserve">سياسية </w:t>
      </w:r>
      <w:r>
        <w:rPr>
          <w:rtl/>
        </w:rPr>
        <w:t>ذلك</w:t>
      </w:r>
      <w:r w:rsidRPr="00AB589E">
        <w:rPr>
          <w:rtl/>
        </w:rPr>
        <w:t xml:space="preserve">. ولم ينظر </w:t>
      </w:r>
      <w:r>
        <w:rPr>
          <w:rtl/>
        </w:rPr>
        <w:t>أصحاب</w:t>
      </w:r>
      <w:r w:rsidRPr="00AB589E">
        <w:rPr>
          <w:rtl/>
        </w:rPr>
        <w:t xml:space="preserve"> القرار في هذه العناصر، كما أن ملاحظات الدولة الطرف قد أغفلتها.</w:t>
      </w:r>
    </w:p>
    <w:p w14:paraId="2C3D1700" w14:textId="38F4DB99" w:rsidR="000066C3" w:rsidRPr="00AB589E" w:rsidRDefault="000066C3" w:rsidP="009D0A61">
      <w:pPr>
        <w:pStyle w:val="SingleTxtGA"/>
        <w:spacing w:line="350" w:lineRule="exact"/>
        <w:rPr>
          <w:rFonts w:eastAsia="Calibri"/>
          <w:strike/>
          <w:lang w:val="ar-SA" w:eastAsia="zh-TW" w:bidi="en-GB"/>
        </w:rPr>
      </w:pPr>
      <w:r w:rsidRPr="00D858C6">
        <w:rPr>
          <w:rtl/>
        </w:rPr>
        <w:t>7</w:t>
      </w:r>
      <w:r w:rsidRPr="00AB589E">
        <w:rPr>
          <w:rtl/>
        </w:rPr>
        <w:t>-</w:t>
      </w:r>
      <w:r w:rsidRPr="00D858C6">
        <w:rPr>
          <w:rtl/>
        </w:rPr>
        <w:t>14</w:t>
      </w:r>
      <w:r>
        <w:rPr>
          <w:rtl/>
        </w:rPr>
        <w:tab/>
      </w:r>
      <w:r w:rsidRPr="00AB589E">
        <w:rPr>
          <w:rtl/>
        </w:rPr>
        <w:t>وفي غياب تقييم يأخذ في الاعتبار عواقب جميع أنشطة صاحب البلاغ في عين المكان، ترى اللجنة أن الدولة الطرف لم تثبت أن السلطات الإدارية و/أو القضائية قد أجرت تقييم</w:t>
      </w:r>
      <w:r w:rsidR="00C569AF">
        <w:rPr>
          <w:rtl/>
        </w:rPr>
        <w:t xml:space="preserve">اً </w:t>
      </w:r>
      <w:r w:rsidRPr="00AB589E">
        <w:rPr>
          <w:rtl/>
        </w:rPr>
        <w:t>فردي</w:t>
      </w:r>
      <w:r w:rsidR="00C569AF">
        <w:rPr>
          <w:rtl/>
        </w:rPr>
        <w:t xml:space="preserve">اً </w:t>
      </w:r>
      <w:r w:rsidRPr="00AB589E">
        <w:rPr>
          <w:rtl/>
        </w:rPr>
        <w:t>لحالة صاحب البلاغ يكفي لتحديد ما إذا كانت هناك أسباب حقيقية تدعو إلى اعتقاد وجود خطر حقيقي بوقوع ضرر لا</w:t>
      </w:r>
      <w:r w:rsidR="009D0A61">
        <w:rPr>
          <w:rFonts w:hint="cs"/>
          <w:rtl/>
        </w:rPr>
        <w:t> </w:t>
      </w:r>
      <w:r w:rsidRPr="00AB589E">
        <w:rPr>
          <w:rtl/>
        </w:rPr>
        <w:t xml:space="preserve">يمكن جبره، على النحو المتوخى في المادتين </w:t>
      </w:r>
      <w:r w:rsidRPr="00D858C6">
        <w:rPr>
          <w:rtl/>
        </w:rPr>
        <w:t>6</w:t>
      </w:r>
      <w:r w:rsidRPr="00AB589E">
        <w:rPr>
          <w:rtl/>
        </w:rPr>
        <w:t xml:space="preserve"> و</w:t>
      </w:r>
      <w:r w:rsidRPr="00D858C6">
        <w:rPr>
          <w:rtl/>
        </w:rPr>
        <w:t>7</w:t>
      </w:r>
      <w:r w:rsidRPr="00AB589E">
        <w:rPr>
          <w:rtl/>
        </w:rPr>
        <w:t xml:space="preserve"> من العهد، في حال ترحيل صاحب البلاغ إلى جمهورية إيران الإسلامية. </w:t>
      </w:r>
    </w:p>
    <w:p w14:paraId="3EA82567" w14:textId="31AA1590" w:rsidR="000066C3" w:rsidRPr="00AB589E" w:rsidRDefault="000066C3" w:rsidP="000066C3">
      <w:pPr>
        <w:pStyle w:val="SingleTxtGA"/>
        <w:rPr>
          <w:rFonts w:eastAsia="Calibri"/>
          <w:rtl/>
          <w:lang w:val="en-US" w:eastAsia="zh-TW"/>
        </w:rPr>
      </w:pPr>
      <w:r w:rsidRPr="00D858C6">
        <w:rPr>
          <w:rtl/>
        </w:rPr>
        <w:lastRenderedPageBreak/>
        <w:t>8</w:t>
      </w:r>
      <w:r w:rsidRPr="00AB589E">
        <w:rPr>
          <w:rtl/>
        </w:rPr>
        <w:t>-</w:t>
      </w:r>
      <w:r>
        <w:rPr>
          <w:rtl/>
        </w:rPr>
        <w:tab/>
      </w:r>
      <w:r w:rsidRPr="00AB589E">
        <w:rPr>
          <w:rtl/>
        </w:rPr>
        <w:t xml:space="preserve">وترى اللجنة، </w:t>
      </w:r>
      <w:r>
        <w:rPr>
          <w:rtl/>
        </w:rPr>
        <w:t>إذ</w:t>
      </w:r>
      <w:r w:rsidRPr="00AB589E">
        <w:rPr>
          <w:rtl/>
        </w:rPr>
        <w:t xml:space="preserve"> تتصرف بموجب المادة </w:t>
      </w:r>
      <w:r w:rsidRPr="00D858C6">
        <w:rPr>
          <w:rtl/>
        </w:rPr>
        <w:t>5</w:t>
      </w:r>
      <w:r w:rsidRPr="00AB589E">
        <w:rPr>
          <w:rtl/>
        </w:rPr>
        <w:t>(</w:t>
      </w:r>
      <w:r w:rsidR="001B2505" w:rsidRPr="00D858C6">
        <w:rPr>
          <w:rtl/>
        </w:rPr>
        <w:t>4</w:t>
      </w:r>
      <w:r w:rsidR="001B2505" w:rsidRPr="001B2505">
        <w:rPr>
          <w:rtl/>
        </w:rPr>
        <w:t xml:space="preserve">) </w:t>
      </w:r>
      <w:r w:rsidRPr="00AB589E">
        <w:rPr>
          <w:rtl/>
        </w:rPr>
        <w:t xml:space="preserve">من البروتوكول الاختياري، أن ترحيل صاحب البلاغ إلى جمهورية إيران الإسلامية، إذا ما نُفذ في غياب إجراءٌ يضمن تقييماً سليماً للخطر الحقيقي والشخصي الذي قد </w:t>
      </w:r>
      <w:proofErr w:type="spellStart"/>
      <w:r w:rsidRPr="00AB589E">
        <w:rPr>
          <w:rtl/>
        </w:rPr>
        <w:t>يواجهه</w:t>
      </w:r>
      <w:proofErr w:type="spellEnd"/>
      <w:r w:rsidRPr="00AB589E">
        <w:rPr>
          <w:rtl/>
        </w:rPr>
        <w:t xml:space="preserve"> الشخص في حال ترحيله، </w:t>
      </w:r>
      <w:r>
        <w:rPr>
          <w:rtl/>
        </w:rPr>
        <w:t>س</w:t>
      </w:r>
      <w:r w:rsidRPr="00AB589E">
        <w:rPr>
          <w:rtl/>
        </w:rPr>
        <w:t xml:space="preserve">ينتهك حقوق صاحب البلاغ المنصوص عليها في المادتين </w:t>
      </w:r>
      <w:r w:rsidRPr="00D858C6">
        <w:rPr>
          <w:rtl/>
        </w:rPr>
        <w:t>6</w:t>
      </w:r>
      <w:r>
        <w:rPr>
          <w:rtl/>
        </w:rPr>
        <w:t xml:space="preserve"> </w:t>
      </w:r>
      <w:r w:rsidRPr="00AB589E">
        <w:rPr>
          <w:rtl/>
        </w:rPr>
        <w:t>و</w:t>
      </w:r>
      <w:r w:rsidRPr="00D858C6">
        <w:rPr>
          <w:rtl/>
        </w:rPr>
        <w:t>7</w:t>
      </w:r>
      <w:r w:rsidRPr="00AB589E">
        <w:rPr>
          <w:rtl/>
        </w:rPr>
        <w:t xml:space="preserve"> من العهد.</w:t>
      </w:r>
    </w:p>
    <w:p w14:paraId="53AFC86B" w14:textId="6C08A702" w:rsidR="000066C3" w:rsidRPr="00B653A4" w:rsidRDefault="000066C3" w:rsidP="000066C3">
      <w:pPr>
        <w:pStyle w:val="SingleTxtGA"/>
        <w:rPr>
          <w:rFonts w:eastAsia="Calibri"/>
          <w:lang w:val="en-US" w:eastAsia="zh-TW" w:bidi="en-GB"/>
        </w:rPr>
      </w:pPr>
      <w:r w:rsidRPr="00D858C6">
        <w:rPr>
          <w:rtl/>
        </w:rPr>
        <w:t>9</w:t>
      </w:r>
      <w:r w:rsidRPr="00AB589E">
        <w:rPr>
          <w:rtl/>
        </w:rPr>
        <w:t>-</w:t>
      </w:r>
      <w:r>
        <w:rPr>
          <w:rtl/>
        </w:rPr>
        <w:tab/>
      </w:r>
      <w:r w:rsidRPr="00AB589E">
        <w:rPr>
          <w:rtl/>
        </w:rPr>
        <w:t xml:space="preserve">والدولة الطرف ملزمة، وفقاً للمادة </w:t>
      </w:r>
      <w:r w:rsidRPr="00D858C6">
        <w:rPr>
          <w:rtl/>
        </w:rPr>
        <w:t>2</w:t>
      </w:r>
      <w:r w:rsidRPr="00AB589E">
        <w:rPr>
          <w:rtl/>
        </w:rPr>
        <w:t>(</w:t>
      </w:r>
      <w:r w:rsidR="001B2505" w:rsidRPr="00D858C6">
        <w:rPr>
          <w:rtl/>
        </w:rPr>
        <w:t>1</w:t>
      </w:r>
      <w:r w:rsidR="001B2505" w:rsidRPr="001B2505">
        <w:rPr>
          <w:rtl/>
        </w:rPr>
        <w:t xml:space="preserve">) </w:t>
      </w:r>
      <w:r w:rsidRPr="00AB589E">
        <w:rPr>
          <w:rtl/>
        </w:rPr>
        <w:t>من العهد، التي تنص على أن تتعهد الدول الأطراف باحترام الحقوق المعترف بها في العهد وبكفالة هذه الحقوق لجميع الأفراد الموجودين في إقليمها والخاضعين لولايتها، بأن تع</w:t>
      </w:r>
      <w:r>
        <w:rPr>
          <w:rtl/>
        </w:rPr>
        <w:t>يد</w:t>
      </w:r>
      <w:r w:rsidRPr="00AB589E">
        <w:rPr>
          <w:rtl/>
        </w:rPr>
        <w:t xml:space="preserve"> النظر في قضية صاحب البلاغ، مراعية الالتزامات الواقعة عليها بموجب العهد وآراء اللجنة هذه. ويُطلب إلى الدولة الطرف أيضاً أن تمتنع عن طرد صاحب البلاغ إلى جمهورية إيران الإسلامية أثناء إعادة النظر في طلبه.</w:t>
      </w:r>
    </w:p>
    <w:p w14:paraId="19A88F35" w14:textId="38348395" w:rsidR="000066C3" w:rsidRPr="00A43DC8" w:rsidRDefault="000066C3" w:rsidP="000066C3">
      <w:pPr>
        <w:pStyle w:val="SingleTxtGA"/>
        <w:rPr>
          <w:rtl/>
          <w:lang w:val="en-US" w:eastAsia="zh-TW"/>
        </w:rPr>
      </w:pPr>
      <w:r w:rsidRPr="00D858C6">
        <w:rPr>
          <w:rtl/>
        </w:rPr>
        <w:t>10</w:t>
      </w:r>
      <w:r w:rsidRPr="00AB589E">
        <w:rPr>
          <w:rtl/>
        </w:rPr>
        <w:t>-</w:t>
      </w:r>
      <w:r w:rsidRPr="00AB589E">
        <w:rPr>
          <w:rtl/>
        </w:rPr>
        <w:tab/>
      </w:r>
      <w:r w:rsidRPr="009D0A61">
        <w:rPr>
          <w:spacing w:val="-2"/>
          <w:rtl/>
        </w:rPr>
        <w:t>واللجنة إذ تضع في اعتبارها أن الدولة الطرف قد اعترفت، بانضمامها إلى البروتوكول الاختياري،</w:t>
      </w:r>
      <w:r w:rsidRPr="00AB589E">
        <w:rPr>
          <w:rtl/>
        </w:rPr>
        <w:t xml:space="preserve"> باختصاص اللجنة في البتّ فيما إذا كان العهد قد انتُهك أم لا، وتعهدت، بمقتضى المادة </w:t>
      </w:r>
      <w:r w:rsidRPr="00D858C6">
        <w:rPr>
          <w:rtl/>
        </w:rPr>
        <w:t>2</w:t>
      </w:r>
      <w:r w:rsidRPr="00AB589E">
        <w:rPr>
          <w:rtl/>
        </w:rPr>
        <w:t xml:space="preserve"> من العهد، بأن تكفل لجميع الأفراد الموجودين داخل إقليمها أو الخاضعين لولايتها الحقوق المعترف بها في العهد، وأن توفر لهم سبيل انتصاف فعالاً وقابلاً للإنفاذ في حال ثبوت الانتهاك، تود أن تتلقى من الدولة الطرف، في غضون </w:t>
      </w:r>
      <w:r w:rsidRPr="00D858C6">
        <w:rPr>
          <w:rtl/>
        </w:rPr>
        <w:t>180</w:t>
      </w:r>
      <w:r w:rsidRPr="00AB589E">
        <w:rPr>
          <w:rtl/>
        </w:rPr>
        <w:t xml:space="preserve"> يوما</w:t>
      </w:r>
      <w:r w:rsidR="00C569AF">
        <w:rPr>
          <w:rFonts w:hint="cs"/>
          <w:rtl/>
        </w:rPr>
        <w:t>ً</w:t>
      </w:r>
      <w:r w:rsidRPr="00AB589E">
        <w:rPr>
          <w:rtl/>
        </w:rPr>
        <w:t>، معلومات عن التدابير المتخذة لإنفاذ آرا</w:t>
      </w:r>
      <w:r>
        <w:rPr>
          <w:rtl/>
        </w:rPr>
        <w:t>ئها</w:t>
      </w:r>
      <w:r w:rsidRPr="00AB589E">
        <w:rPr>
          <w:rtl/>
        </w:rPr>
        <w:t>. وتطلب</w:t>
      </w:r>
      <w:r>
        <w:rPr>
          <w:rtl/>
        </w:rPr>
        <w:t xml:space="preserve"> اللجنة</w:t>
      </w:r>
      <w:r w:rsidRPr="00AB589E">
        <w:rPr>
          <w:rtl/>
        </w:rPr>
        <w:t xml:space="preserve"> إلى الدولة الطرف أيضاً أن تنشر هذه الآراء وتوزعها على نطاق واسع باللغة الرسمية للدولة الطرف.</w:t>
      </w:r>
    </w:p>
    <w:p w14:paraId="728AB207" w14:textId="77777777" w:rsidR="000066C3" w:rsidRPr="00D85B05" w:rsidRDefault="000066C3" w:rsidP="000066C3">
      <w:pPr>
        <w:pStyle w:val="SingleTxtG"/>
        <w:spacing w:before="240" w:after="0"/>
        <w:jc w:val="center"/>
        <w:rPr>
          <w:rFonts w:ascii="Traditional Arabic" w:hAnsi="Traditional Arabic"/>
          <w:sz w:val="30"/>
          <w:u w:val="single"/>
          <w:lang w:val="en-US"/>
        </w:rPr>
      </w:pPr>
      <w:r w:rsidRPr="009F1A57">
        <w:rPr>
          <w:rFonts w:ascii="Traditional Arabic" w:hAnsi="Traditional Arabic"/>
          <w:sz w:val="30"/>
          <w:u w:val="single"/>
        </w:rPr>
        <w:tab/>
      </w:r>
      <w:r w:rsidRPr="009F1A57">
        <w:rPr>
          <w:rFonts w:ascii="Traditional Arabic" w:hAnsi="Traditional Arabic"/>
          <w:sz w:val="30"/>
          <w:u w:val="single"/>
        </w:rPr>
        <w:tab/>
      </w:r>
      <w:r w:rsidRPr="009F1A57">
        <w:rPr>
          <w:rFonts w:ascii="Traditional Arabic" w:hAnsi="Traditional Arabic"/>
          <w:sz w:val="30"/>
          <w:u w:val="single"/>
        </w:rPr>
        <w:tab/>
      </w:r>
      <w:r w:rsidRPr="009F1A57">
        <w:rPr>
          <w:rFonts w:ascii="Traditional Arabic" w:hAnsi="Traditional Arabic"/>
          <w:sz w:val="30"/>
          <w:u w:val="single"/>
        </w:rPr>
        <w:tab/>
      </w:r>
    </w:p>
    <w:sectPr w:rsidR="000066C3" w:rsidRPr="00D85B05" w:rsidSect="008B3A8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FCF1" w14:textId="77777777" w:rsidR="007E0D3B" w:rsidRPr="002901D9" w:rsidRDefault="007E0D3B" w:rsidP="00DC4D4B">
      <w:pPr>
        <w:spacing w:after="60" w:line="240" w:lineRule="auto"/>
        <w:ind w:left="57"/>
        <w:rPr>
          <w:i/>
          <w:iCs/>
        </w:rPr>
      </w:pPr>
      <w:r>
        <w:rPr>
          <w:rFonts w:hint="cs"/>
          <w:i/>
          <w:iCs/>
          <w:rtl/>
        </w:rPr>
        <w:t>الحواشي</w:t>
      </w:r>
    </w:p>
  </w:endnote>
  <w:endnote w:type="continuationSeparator" w:id="0">
    <w:p w14:paraId="19751720" w14:textId="77777777" w:rsidR="007E0D3B" w:rsidRDefault="007E0D3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EC06" w14:textId="168ACCAB" w:rsidR="007047F1" w:rsidRPr="007047F1" w:rsidRDefault="007047F1" w:rsidP="007047F1">
    <w:pPr>
      <w:pStyle w:val="Footer"/>
      <w:tabs>
        <w:tab w:val="right" w:pos="9638"/>
      </w:tabs>
      <w:rPr>
        <w:b/>
        <w:sz w:val="18"/>
        <w:lang w:val="en-US"/>
      </w:rPr>
    </w:pPr>
    <w:r>
      <w:rPr>
        <w:lang w:val="en-US"/>
      </w:rPr>
      <w:t>GE.22-12407</w:t>
    </w:r>
    <w:r>
      <w:rPr>
        <w:lang w:val="en-US"/>
      </w:rPr>
      <w:tab/>
    </w:r>
    <w:r w:rsidRPr="007047F1">
      <w:rPr>
        <w:b/>
        <w:sz w:val="18"/>
        <w:lang w:val="en-US"/>
      </w:rPr>
      <w:fldChar w:fldCharType="begin"/>
    </w:r>
    <w:r w:rsidRPr="007047F1">
      <w:rPr>
        <w:b/>
        <w:sz w:val="18"/>
        <w:lang w:val="en-US"/>
      </w:rPr>
      <w:instrText xml:space="preserve"> PAGE  \* MERGEFORMAT </w:instrText>
    </w:r>
    <w:r w:rsidRPr="007047F1">
      <w:rPr>
        <w:b/>
        <w:sz w:val="18"/>
        <w:lang w:val="en-US"/>
      </w:rPr>
      <w:fldChar w:fldCharType="separate"/>
    </w:r>
    <w:r w:rsidRPr="007047F1">
      <w:rPr>
        <w:b/>
        <w:noProof/>
        <w:sz w:val="18"/>
        <w:lang w:val="en-US"/>
      </w:rPr>
      <w:t>2</w:t>
    </w:r>
    <w:r w:rsidRPr="007047F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FBCC" w14:textId="7ECE7113" w:rsidR="006959B0" w:rsidRPr="007047F1" w:rsidRDefault="007047F1" w:rsidP="007047F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GE.22-12407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12FF" w14:textId="3D9C659C" w:rsidR="00DE50B1" w:rsidRPr="007047F1" w:rsidRDefault="007047F1" w:rsidP="007047F1">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65CC4C6" wp14:editId="1707F87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22-12407 (A)</w:t>
    </w:r>
    <w:r>
      <w:rPr>
        <w:noProof/>
        <w:sz w:val="20"/>
        <w:lang w:val="en-US"/>
      </w:rPr>
      <w:drawing>
        <wp:anchor distT="0" distB="0" distL="114300" distR="114300" simplePos="0" relativeHeight="251659264" behindDoc="0" locked="0" layoutInCell="1" allowOverlap="1" wp14:anchorId="5D64DE71" wp14:editId="7AB2BCB4">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0D82" w14:textId="77777777" w:rsidR="007E0D3B" w:rsidRPr="000437B8" w:rsidRDefault="007E0D3B" w:rsidP="00F10DAB">
      <w:pPr>
        <w:pStyle w:val="Footer"/>
        <w:bidi/>
        <w:spacing w:after="80" w:line="200" w:lineRule="exact"/>
        <w:ind w:left="680"/>
      </w:pPr>
      <w:r>
        <w:rPr>
          <w:rtl/>
        </w:rPr>
        <w:t>__________</w:t>
      </w:r>
    </w:p>
  </w:footnote>
  <w:footnote w:type="continuationSeparator" w:id="0">
    <w:p w14:paraId="64866657" w14:textId="77777777" w:rsidR="007E0D3B" w:rsidRDefault="007E0D3B" w:rsidP="00656392">
      <w:pPr>
        <w:spacing w:line="240" w:lineRule="auto"/>
      </w:pPr>
      <w:r>
        <w:continuationSeparator/>
      </w:r>
    </w:p>
  </w:footnote>
  <w:footnote w:id="1">
    <w:p w14:paraId="6E17F1C2" w14:textId="0786A684" w:rsidR="000066C3" w:rsidRPr="00B4636A" w:rsidRDefault="000066C3" w:rsidP="009B292E">
      <w:pPr>
        <w:pStyle w:val="FootnoteText"/>
        <w:tabs>
          <w:tab w:val="clear" w:pos="1021"/>
        </w:tabs>
        <w:bidi/>
        <w:spacing w:after="60" w:line="280" w:lineRule="exact"/>
        <w:ind w:left="1247" w:right="1247" w:hanging="567"/>
        <w:jc w:val="lowKashida"/>
        <w:textDirection w:val="tbRlV"/>
        <w:rPr>
          <w:szCs w:val="18"/>
        </w:rPr>
      </w:pPr>
      <w:r w:rsidRPr="00B4636A">
        <w:rPr>
          <w:szCs w:val="18"/>
          <w:rtl/>
        </w:rPr>
        <w:t>*</w:t>
      </w:r>
      <w:r w:rsidR="009B292E" w:rsidRPr="00B4636A">
        <w:rPr>
          <w:szCs w:val="18"/>
        </w:rPr>
        <w:tab/>
      </w:r>
      <w:r w:rsidRPr="00B4636A">
        <w:rPr>
          <w:szCs w:val="18"/>
          <w:rtl/>
        </w:rPr>
        <w:t xml:space="preserve">اعتمدتها اللجنة في دورتها </w:t>
      </w:r>
      <w:r w:rsidRPr="00D858C6">
        <w:rPr>
          <w:szCs w:val="18"/>
          <w:rtl/>
        </w:rPr>
        <w:t>132</w:t>
      </w:r>
      <w:r w:rsidR="00B653A4" w:rsidRPr="00B4636A">
        <w:rPr>
          <w:rFonts w:hint="cs"/>
          <w:szCs w:val="18"/>
          <w:rtl/>
        </w:rPr>
        <w:t xml:space="preserve"> </w:t>
      </w:r>
      <w:r w:rsidRPr="00B4636A">
        <w:rPr>
          <w:szCs w:val="18"/>
          <w:rtl/>
        </w:rPr>
        <w:t>(</w:t>
      </w:r>
      <w:r w:rsidRPr="00D858C6">
        <w:rPr>
          <w:szCs w:val="18"/>
          <w:rtl/>
        </w:rPr>
        <w:t>28</w:t>
      </w:r>
      <w:r w:rsidRPr="00B4636A">
        <w:rPr>
          <w:szCs w:val="18"/>
          <w:rtl/>
        </w:rPr>
        <w:t xml:space="preserve"> حزيران/</w:t>
      </w:r>
      <w:proofErr w:type="gramStart"/>
      <w:r w:rsidRPr="00B4636A">
        <w:rPr>
          <w:szCs w:val="18"/>
          <w:rtl/>
        </w:rPr>
        <w:t>يونيه</w:t>
      </w:r>
      <w:proofErr w:type="gramEnd"/>
      <w:r w:rsidR="00085D72" w:rsidRPr="00B4636A">
        <w:rPr>
          <w:rFonts w:hint="cs"/>
          <w:szCs w:val="18"/>
          <w:rtl/>
        </w:rPr>
        <w:t xml:space="preserve"> </w:t>
      </w:r>
      <w:r w:rsidR="00377C1A">
        <w:rPr>
          <w:szCs w:val="18"/>
          <w:rtl/>
        </w:rPr>
        <w:t>–</w:t>
      </w:r>
      <w:r w:rsidRPr="00B4636A">
        <w:rPr>
          <w:szCs w:val="18"/>
          <w:rtl/>
        </w:rPr>
        <w:t xml:space="preserve"> </w:t>
      </w:r>
      <w:r w:rsidRPr="00D858C6">
        <w:rPr>
          <w:szCs w:val="18"/>
          <w:rtl/>
        </w:rPr>
        <w:t>23</w:t>
      </w:r>
      <w:r w:rsidR="00377C1A">
        <w:rPr>
          <w:rFonts w:hint="cs"/>
          <w:szCs w:val="18"/>
          <w:rtl/>
        </w:rPr>
        <w:t xml:space="preserve"> </w:t>
      </w:r>
      <w:r w:rsidRPr="00B4636A">
        <w:rPr>
          <w:szCs w:val="18"/>
          <w:rtl/>
        </w:rPr>
        <w:t xml:space="preserve">تموز/يوليه </w:t>
      </w:r>
      <w:r w:rsidRPr="00D858C6">
        <w:rPr>
          <w:szCs w:val="18"/>
          <w:rtl/>
        </w:rPr>
        <w:t>2021</w:t>
      </w:r>
      <w:r w:rsidRPr="00B4636A">
        <w:rPr>
          <w:szCs w:val="18"/>
          <w:rtl/>
        </w:rPr>
        <w:t>).</w:t>
      </w:r>
    </w:p>
  </w:footnote>
  <w:footnote w:id="2">
    <w:p w14:paraId="27A29B90" w14:textId="41D16EC2" w:rsidR="000066C3" w:rsidRPr="00B4636A" w:rsidRDefault="000066C3" w:rsidP="009B292E">
      <w:pPr>
        <w:pStyle w:val="FootnoteText"/>
        <w:tabs>
          <w:tab w:val="clear" w:pos="1021"/>
        </w:tabs>
        <w:bidi/>
        <w:spacing w:after="60" w:line="280" w:lineRule="exact"/>
        <w:ind w:left="1247" w:right="1247" w:hanging="567"/>
        <w:jc w:val="lowKashida"/>
        <w:textDirection w:val="tbRlV"/>
        <w:rPr>
          <w:szCs w:val="18"/>
        </w:rPr>
      </w:pPr>
      <w:r w:rsidRPr="00B4636A">
        <w:rPr>
          <w:szCs w:val="18"/>
          <w:rtl/>
        </w:rPr>
        <w:t>**</w:t>
      </w:r>
      <w:r w:rsidR="009B292E" w:rsidRPr="00B4636A">
        <w:rPr>
          <w:szCs w:val="18"/>
          <w:rtl/>
        </w:rPr>
        <w:tab/>
      </w:r>
      <w:r w:rsidRPr="00B4636A">
        <w:rPr>
          <w:szCs w:val="18"/>
          <w:rtl/>
        </w:rPr>
        <w:t xml:space="preserve">شارك في دراسة هذا البلاغ أعضاء اللجنة التالية أسماؤهم: تانيا ماريا عبدو </w:t>
      </w:r>
      <w:proofErr w:type="spellStart"/>
      <w:r w:rsidRPr="00B4636A">
        <w:rPr>
          <w:szCs w:val="18"/>
          <w:rtl/>
        </w:rPr>
        <w:t>روتشول</w:t>
      </w:r>
      <w:proofErr w:type="spellEnd"/>
      <w:r w:rsidRPr="00B4636A">
        <w:rPr>
          <w:szCs w:val="18"/>
          <w:rtl/>
        </w:rPr>
        <w:t>، ووفاء أشرف محرم بسيم، وعياض بن</w:t>
      </w:r>
      <w:r w:rsidR="00A8078A">
        <w:rPr>
          <w:rFonts w:hint="cs"/>
          <w:szCs w:val="18"/>
          <w:rtl/>
        </w:rPr>
        <w:t> </w:t>
      </w:r>
      <w:r w:rsidRPr="00B4636A">
        <w:rPr>
          <w:szCs w:val="18"/>
          <w:rtl/>
        </w:rPr>
        <w:t xml:space="preserve">عاشور، وعارف بلقان، ومحجوب الهيبة، </w:t>
      </w:r>
      <w:proofErr w:type="spellStart"/>
      <w:r w:rsidRPr="00B4636A">
        <w:rPr>
          <w:szCs w:val="18"/>
          <w:rtl/>
        </w:rPr>
        <w:t>وفورويا</w:t>
      </w:r>
      <w:proofErr w:type="spellEnd"/>
      <w:r w:rsidRPr="00B4636A">
        <w:rPr>
          <w:szCs w:val="18"/>
          <w:rtl/>
        </w:rPr>
        <w:t xml:space="preserve"> </w:t>
      </w:r>
      <w:proofErr w:type="spellStart"/>
      <w:r w:rsidRPr="00B4636A">
        <w:rPr>
          <w:szCs w:val="18"/>
          <w:rtl/>
        </w:rPr>
        <w:t>شويتشي</w:t>
      </w:r>
      <w:proofErr w:type="spellEnd"/>
      <w:r w:rsidRPr="00B4636A">
        <w:rPr>
          <w:szCs w:val="18"/>
          <w:rtl/>
        </w:rPr>
        <w:t xml:space="preserve">، وكارلوس </w:t>
      </w:r>
      <w:proofErr w:type="spellStart"/>
      <w:r w:rsidRPr="00B4636A">
        <w:rPr>
          <w:szCs w:val="18"/>
          <w:rtl/>
        </w:rPr>
        <w:t>غوميث</w:t>
      </w:r>
      <w:proofErr w:type="spellEnd"/>
      <w:r w:rsidRPr="00B4636A">
        <w:rPr>
          <w:szCs w:val="18"/>
          <w:rtl/>
        </w:rPr>
        <w:t xml:space="preserve"> </w:t>
      </w:r>
      <w:proofErr w:type="spellStart"/>
      <w:r w:rsidRPr="00B4636A">
        <w:rPr>
          <w:szCs w:val="18"/>
          <w:rtl/>
        </w:rPr>
        <w:t>مارتينيث</w:t>
      </w:r>
      <w:proofErr w:type="spellEnd"/>
      <w:r w:rsidRPr="00B4636A">
        <w:rPr>
          <w:szCs w:val="18"/>
          <w:rtl/>
        </w:rPr>
        <w:t xml:space="preserve">، </w:t>
      </w:r>
      <w:proofErr w:type="spellStart"/>
      <w:r w:rsidRPr="00B4636A">
        <w:rPr>
          <w:szCs w:val="18"/>
          <w:rtl/>
        </w:rPr>
        <w:t>ودنكان</w:t>
      </w:r>
      <w:proofErr w:type="spellEnd"/>
      <w:r w:rsidRPr="00B4636A">
        <w:rPr>
          <w:szCs w:val="18"/>
          <w:rtl/>
        </w:rPr>
        <w:t xml:space="preserve"> </w:t>
      </w:r>
      <w:proofErr w:type="spellStart"/>
      <w:r w:rsidRPr="00B4636A">
        <w:rPr>
          <w:szCs w:val="18"/>
          <w:rtl/>
        </w:rPr>
        <w:t>لاكي</w:t>
      </w:r>
      <w:proofErr w:type="spellEnd"/>
      <w:r w:rsidRPr="00B4636A">
        <w:rPr>
          <w:szCs w:val="18"/>
          <w:rtl/>
        </w:rPr>
        <w:t xml:space="preserve"> </w:t>
      </w:r>
      <w:proofErr w:type="spellStart"/>
      <w:r w:rsidRPr="00B4636A">
        <w:rPr>
          <w:szCs w:val="18"/>
          <w:rtl/>
        </w:rPr>
        <w:t>موهوموزا</w:t>
      </w:r>
      <w:proofErr w:type="spellEnd"/>
      <w:r w:rsidRPr="00B4636A">
        <w:rPr>
          <w:szCs w:val="18"/>
          <w:rtl/>
        </w:rPr>
        <w:t xml:space="preserve">، وفوتيني </w:t>
      </w:r>
      <w:proofErr w:type="spellStart"/>
      <w:r w:rsidRPr="00B4636A">
        <w:rPr>
          <w:szCs w:val="18"/>
          <w:rtl/>
        </w:rPr>
        <w:t>بازارتزيس</w:t>
      </w:r>
      <w:proofErr w:type="spellEnd"/>
      <w:r w:rsidRPr="00B4636A">
        <w:rPr>
          <w:szCs w:val="18"/>
          <w:rtl/>
        </w:rPr>
        <w:t xml:space="preserve">، </w:t>
      </w:r>
      <w:proofErr w:type="spellStart"/>
      <w:r w:rsidRPr="00B4636A">
        <w:rPr>
          <w:szCs w:val="18"/>
          <w:rtl/>
        </w:rPr>
        <w:t>وهيرنان</w:t>
      </w:r>
      <w:proofErr w:type="spellEnd"/>
      <w:r w:rsidRPr="00B4636A">
        <w:rPr>
          <w:szCs w:val="18"/>
          <w:rtl/>
        </w:rPr>
        <w:t xml:space="preserve"> </w:t>
      </w:r>
      <w:proofErr w:type="spellStart"/>
      <w:r w:rsidRPr="00B4636A">
        <w:rPr>
          <w:szCs w:val="18"/>
          <w:rtl/>
        </w:rPr>
        <w:t>كيسادا</w:t>
      </w:r>
      <w:proofErr w:type="spellEnd"/>
      <w:r w:rsidRPr="00B4636A">
        <w:rPr>
          <w:szCs w:val="18"/>
          <w:rtl/>
        </w:rPr>
        <w:t xml:space="preserve"> </w:t>
      </w:r>
      <w:proofErr w:type="spellStart"/>
      <w:r w:rsidRPr="00B4636A">
        <w:rPr>
          <w:szCs w:val="18"/>
          <w:rtl/>
        </w:rPr>
        <w:t>كابريرا</w:t>
      </w:r>
      <w:proofErr w:type="spellEnd"/>
      <w:r w:rsidRPr="00B4636A">
        <w:rPr>
          <w:szCs w:val="18"/>
          <w:rtl/>
        </w:rPr>
        <w:t xml:space="preserve">، </w:t>
      </w:r>
      <w:proofErr w:type="spellStart"/>
      <w:r w:rsidRPr="00B4636A">
        <w:rPr>
          <w:szCs w:val="18"/>
          <w:rtl/>
        </w:rPr>
        <w:t>وفاسيلكا</w:t>
      </w:r>
      <w:proofErr w:type="spellEnd"/>
      <w:r w:rsidRPr="00B4636A">
        <w:rPr>
          <w:szCs w:val="18"/>
          <w:rtl/>
        </w:rPr>
        <w:t xml:space="preserve"> </w:t>
      </w:r>
      <w:proofErr w:type="spellStart"/>
      <w:r w:rsidRPr="00B4636A">
        <w:rPr>
          <w:szCs w:val="18"/>
          <w:rtl/>
        </w:rPr>
        <w:t>سانسين</w:t>
      </w:r>
      <w:proofErr w:type="spellEnd"/>
      <w:r w:rsidRPr="00B4636A">
        <w:rPr>
          <w:szCs w:val="18"/>
          <w:rtl/>
        </w:rPr>
        <w:t xml:space="preserve">، وخوسيه مانويل سانتوس بيس، </w:t>
      </w:r>
      <w:proofErr w:type="spellStart"/>
      <w:r w:rsidRPr="00B4636A">
        <w:rPr>
          <w:szCs w:val="18"/>
          <w:rtl/>
        </w:rPr>
        <w:t>وسوه</w:t>
      </w:r>
      <w:proofErr w:type="spellEnd"/>
      <w:r w:rsidRPr="00B4636A">
        <w:rPr>
          <w:szCs w:val="18"/>
          <w:rtl/>
        </w:rPr>
        <w:t xml:space="preserve"> </w:t>
      </w:r>
      <w:proofErr w:type="spellStart"/>
      <w:r w:rsidRPr="00B4636A">
        <w:rPr>
          <w:szCs w:val="18"/>
          <w:rtl/>
        </w:rPr>
        <w:t>شانغروك</w:t>
      </w:r>
      <w:proofErr w:type="spellEnd"/>
      <w:r w:rsidRPr="00B4636A">
        <w:rPr>
          <w:szCs w:val="18"/>
          <w:rtl/>
        </w:rPr>
        <w:t xml:space="preserve">، </w:t>
      </w:r>
      <w:proofErr w:type="spellStart"/>
      <w:r w:rsidRPr="00B4636A">
        <w:rPr>
          <w:szCs w:val="18"/>
          <w:rtl/>
        </w:rPr>
        <w:t>وكوباوياه</w:t>
      </w:r>
      <w:proofErr w:type="spellEnd"/>
      <w:r w:rsidRPr="00B4636A">
        <w:rPr>
          <w:szCs w:val="18"/>
          <w:rtl/>
        </w:rPr>
        <w:t xml:space="preserve"> </w:t>
      </w:r>
      <w:proofErr w:type="spellStart"/>
      <w:r w:rsidRPr="00B4636A">
        <w:rPr>
          <w:szCs w:val="18"/>
          <w:rtl/>
        </w:rPr>
        <w:t>تشامدجا</w:t>
      </w:r>
      <w:proofErr w:type="spellEnd"/>
      <w:r w:rsidRPr="00B4636A">
        <w:rPr>
          <w:szCs w:val="18"/>
          <w:rtl/>
        </w:rPr>
        <w:t xml:space="preserve"> </w:t>
      </w:r>
      <w:proofErr w:type="spellStart"/>
      <w:r w:rsidRPr="00B4636A">
        <w:rPr>
          <w:szCs w:val="18"/>
          <w:rtl/>
        </w:rPr>
        <w:t>كباتشا</w:t>
      </w:r>
      <w:proofErr w:type="spellEnd"/>
      <w:r w:rsidRPr="00B4636A">
        <w:rPr>
          <w:szCs w:val="18"/>
          <w:rtl/>
        </w:rPr>
        <w:t xml:space="preserve">، وإيلين </w:t>
      </w:r>
      <w:proofErr w:type="spellStart"/>
      <w:r w:rsidRPr="00B4636A">
        <w:rPr>
          <w:szCs w:val="18"/>
          <w:rtl/>
        </w:rPr>
        <w:t>تيغرودجا</w:t>
      </w:r>
      <w:proofErr w:type="spellEnd"/>
      <w:r w:rsidRPr="00B4636A">
        <w:rPr>
          <w:szCs w:val="18"/>
          <w:rtl/>
        </w:rPr>
        <w:t xml:space="preserve">، </w:t>
      </w:r>
      <w:proofErr w:type="spellStart"/>
      <w:r w:rsidRPr="00B4636A">
        <w:rPr>
          <w:szCs w:val="18"/>
          <w:rtl/>
        </w:rPr>
        <w:t>وإيميرو</w:t>
      </w:r>
      <w:proofErr w:type="spellEnd"/>
      <w:r w:rsidRPr="00B4636A">
        <w:rPr>
          <w:szCs w:val="18"/>
          <w:rtl/>
        </w:rPr>
        <w:t xml:space="preserve"> </w:t>
      </w:r>
      <w:proofErr w:type="spellStart"/>
      <w:r w:rsidRPr="00B4636A">
        <w:rPr>
          <w:szCs w:val="18"/>
          <w:rtl/>
        </w:rPr>
        <w:t>تامرات</w:t>
      </w:r>
      <w:proofErr w:type="spellEnd"/>
      <w:r w:rsidRPr="00B4636A">
        <w:rPr>
          <w:szCs w:val="18"/>
          <w:rtl/>
        </w:rPr>
        <w:t xml:space="preserve"> </w:t>
      </w:r>
      <w:proofErr w:type="spellStart"/>
      <w:r w:rsidRPr="00B4636A">
        <w:rPr>
          <w:szCs w:val="18"/>
          <w:rtl/>
        </w:rPr>
        <w:t>إغيزو</w:t>
      </w:r>
      <w:proofErr w:type="spellEnd"/>
      <w:r w:rsidRPr="00B4636A">
        <w:rPr>
          <w:szCs w:val="18"/>
          <w:rtl/>
        </w:rPr>
        <w:t xml:space="preserve">، </w:t>
      </w:r>
      <w:proofErr w:type="spellStart"/>
      <w:r w:rsidRPr="00B4636A">
        <w:rPr>
          <w:szCs w:val="18"/>
          <w:rtl/>
        </w:rPr>
        <w:t>وجنتيان</w:t>
      </w:r>
      <w:proofErr w:type="spellEnd"/>
      <w:r w:rsidRPr="00B4636A">
        <w:rPr>
          <w:szCs w:val="18"/>
          <w:rtl/>
        </w:rPr>
        <w:t xml:space="preserve"> </w:t>
      </w:r>
      <w:proofErr w:type="spellStart"/>
      <w:r w:rsidRPr="00B4636A">
        <w:rPr>
          <w:szCs w:val="18"/>
          <w:rtl/>
        </w:rPr>
        <w:t>زيبيري</w:t>
      </w:r>
      <w:proofErr w:type="spellEnd"/>
      <w:r w:rsidRPr="00B4636A">
        <w:rPr>
          <w:szCs w:val="18"/>
          <w:rtl/>
        </w:rPr>
        <w:t>.</w:t>
      </w:r>
    </w:p>
  </w:footnote>
  <w:footnote w:id="3">
    <w:p w14:paraId="0698EE05"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في جمهورية إيران الإسلامية، يتمتع القُصّر بحرية مغادرة البلد حتى بلوغ سن </w:t>
      </w:r>
      <w:r w:rsidRPr="00D858C6">
        <w:rPr>
          <w:szCs w:val="18"/>
          <w:rtl/>
        </w:rPr>
        <w:t>18</w:t>
      </w:r>
      <w:r w:rsidRPr="00B4636A">
        <w:rPr>
          <w:szCs w:val="18"/>
          <w:rtl/>
        </w:rPr>
        <w:t xml:space="preserve"> </w:t>
      </w:r>
      <w:r>
        <w:rPr>
          <w:szCs w:val="18"/>
          <w:rtl/>
        </w:rPr>
        <w:t>عاماً</w:t>
      </w:r>
      <w:r w:rsidRPr="00B4636A">
        <w:rPr>
          <w:szCs w:val="18"/>
          <w:rtl/>
        </w:rPr>
        <w:t xml:space="preserve">، حينها يصادر جواز سفرهم ولا يستعيدونه إلا إذا أدوا </w:t>
      </w:r>
      <w:r w:rsidRPr="00D858C6">
        <w:rPr>
          <w:szCs w:val="18"/>
          <w:rtl/>
        </w:rPr>
        <w:t>24</w:t>
      </w:r>
      <w:r w:rsidRPr="00B4636A">
        <w:rPr>
          <w:szCs w:val="18"/>
          <w:rtl/>
        </w:rPr>
        <w:t xml:space="preserve"> شهرا</w:t>
      </w:r>
      <w:r>
        <w:rPr>
          <w:rFonts w:hint="cs"/>
          <w:szCs w:val="18"/>
          <w:rtl/>
        </w:rPr>
        <w:t>ً</w:t>
      </w:r>
      <w:r w:rsidRPr="00B4636A">
        <w:rPr>
          <w:szCs w:val="18"/>
          <w:rtl/>
        </w:rPr>
        <w:t xml:space="preserve"> من الخدمة العسكرية. </w:t>
      </w:r>
    </w:p>
  </w:footnote>
  <w:footnote w:id="4">
    <w:p w14:paraId="474AC8A2" w14:textId="77777777" w:rsidR="001B2505" w:rsidRPr="00B4636A" w:rsidRDefault="001B2505" w:rsidP="00A8078A">
      <w:pPr>
        <w:pStyle w:val="FootnoteText"/>
        <w:tabs>
          <w:tab w:val="clear" w:pos="1021"/>
        </w:tabs>
        <w:bidi/>
        <w:spacing w:after="60" w:line="26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يشير صاحب البلاغ إلى أن هذا القرار كان القرار المحلي النهائي. </w:t>
      </w:r>
    </w:p>
  </w:footnote>
  <w:footnote w:id="5">
    <w:p w14:paraId="1EF99003" w14:textId="77777777" w:rsidR="001B2505" w:rsidRPr="00B4636A" w:rsidRDefault="001B2505" w:rsidP="00A8078A">
      <w:pPr>
        <w:pStyle w:val="FootnoteText"/>
        <w:tabs>
          <w:tab w:val="clear" w:pos="1021"/>
        </w:tabs>
        <w:bidi/>
        <w:spacing w:after="60" w:line="26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في قرار مجلس طعون اللاجئين، تطعن الدولة الطرف في مصداقية صاحب البلاغ فيما يتعلق بتوقيت اعتناقه المسيحية. </w:t>
      </w:r>
    </w:p>
  </w:footnote>
  <w:footnote w:id="6">
    <w:p w14:paraId="1980E4AF" w14:textId="77777777" w:rsidR="001B2505" w:rsidRPr="00B4636A" w:rsidRDefault="001B2505" w:rsidP="00A8078A">
      <w:pPr>
        <w:pStyle w:val="FootnoteText"/>
        <w:tabs>
          <w:tab w:val="clear" w:pos="1021"/>
        </w:tabs>
        <w:bidi/>
        <w:spacing w:after="60" w:line="260" w:lineRule="exact"/>
        <w:ind w:left="1247" w:right="1247" w:hanging="567"/>
        <w:jc w:val="lowKashida"/>
        <w:textDirection w:val="tbRlV"/>
        <w:rPr>
          <w:szCs w:val="18"/>
          <w:rtl/>
        </w:rPr>
      </w:pPr>
      <w:r>
        <w:rPr>
          <w:szCs w:val="18"/>
          <w:rtl/>
        </w:rPr>
        <w:t>(</w:t>
      </w:r>
      <w:r w:rsidRPr="00D858C6">
        <w:rPr>
          <w:szCs w:val="18"/>
        </w:rPr>
        <w:footnoteRef/>
      </w:r>
      <w:r>
        <w:rPr>
          <w:szCs w:val="18"/>
          <w:rtl/>
        </w:rPr>
        <w:t>)</w:t>
      </w:r>
      <w:r w:rsidRPr="00B4636A">
        <w:rPr>
          <w:szCs w:val="18"/>
          <w:rtl/>
        </w:rPr>
        <w:tab/>
        <w:t>وفقا</w:t>
      </w:r>
      <w:r w:rsidRPr="00B4636A">
        <w:rPr>
          <w:rFonts w:hint="cs"/>
          <w:szCs w:val="18"/>
          <w:rtl/>
        </w:rPr>
        <w:t>ً</w:t>
      </w:r>
      <w:r w:rsidRPr="00B4636A">
        <w:rPr>
          <w:szCs w:val="18"/>
          <w:rtl/>
        </w:rPr>
        <w:t xml:space="preserve"> للمادة </w:t>
      </w:r>
      <w:r w:rsidRPr="00D858C6">
        <w:rPr>
          <w:szCs w:val="18"/>
          <w:rtl/>
        </w:rPr>
        <w:t>34</w:t>
      </w:r>
      <w:r w:rsidRPr="00B4636A">
        <w:rPr>
          <w:szCs w:val="18"/>
          <w:rtl/>
        </w:rPr>
        <w:t xml:space="preserve"> من قانون العقوبات، فإن عقوبة مغادرة البلاد من دون جواز سفر ساري المفعول (أو وثيقة سفر مماثلة) هي السجن لمدة تتراوح بين سنة وثلاث سنوات، أو غرامة تتراوح بين </w:t>
      </w:r>
      <w:r w:rsidRPr="00D858C6">
        <w:rPr>
          <w:szCs w:val="18"/>
          <w:rtl/>
        </w:rPr>
        <w:t>000</w:t>
      </w:r>
      <w:r w:rsidRPr="00B4636A">
        <w:rPr>
          <w:szCs w:val="18"/>
          <w:rtl/>
        </w:rPr>
        <w:t xml:space="preserve"> </w:t>
      </w:r>
      <w:r w:rsidRPr="00D858C6">
        <w:rPr>
          <w:szCs w:val="18"/>
          <w:rtl/>
        </w:rPr>
        <w:t>100</w:t>
      </w:r>
      <w:r w:rsidRPr="00B4636A">
        <w:rPr>
          <w:szCs w:val="18"/>
          <w:rtl/>
        </w:rPr>
        <w:t xml:space="preserve"> ريال و</w:t>
      </w:r>
      <w:r w:rsidRPr="00D858C6">
        <w:rPr>
          <w:szCs w:val="18"/>
          <w:rtl/>
        </w:rPr>
        <w:t>000</w:t>
      </w:r>
      <w:r w:rsidRPr="00B4636A">
        <w:rPr>
          <w:szCs w:val="18"/>
          <w:rtl/>
        </w:rPr>
        <w:t xml:space="preserve"> </w:t>
      </w:r>
      <w:r w:rsidRPr="00D858C6">
        <w:rPr>
          <w:szCs w:val="18"/>
          <w:rtl/>
        </w:rPr>
        <w:t>500</w:t>
      </w:r>
      <w:r w:rsidRPr="00B4636A">
        <w:rPr>
          <w:szCs w:val="18"/>
          <w:rtl/>
        </w:rPr>
        <w:t xml:space="preserve"> ريال. وتنظر محكمة خاصة تقع في مطار مهر أباد في طهران في قضايا الأشخاص الذين يغادرون البلد دون جواز سفر ساري المفعول أو وثيقة سفر مماثلة. وتقيّم المحكمة ظروف الفرد، وتاريخ مغادرته البلد، وسبب مغادرته غير القانونية، وصلته بأي منظمات أو جماعات، وأي ظروف أخرى. وينطبق هذا الإجراء أيضا</w:t>
      </w:r>
      <w:r w:rsidRPr="00B4636A">
        <w:rPr>
          <w:rFonts w:hint="cs"/>
          <w:szCs w:val="18"/>
          <w:rtl/>
        </w:rPr>
        <w:t>ً</w:t>
      </w:r>
      <w:r w:rsidRPr="00B4636A">
        <w:rPr>
          <w:szCs w:val="18"/>
          <w:rtl/>
        </w:rPr>
        <w:t xml:space="preserve"> على الأشخاص المرحلين إلى جمهورية إيران الإسلامية من الذين لا يحملون جواز سفر يحتوي على تأشيرة خروج (رضا مولوي ومحمد م. هدايتي – </w:t>
      </w:r>
      <w:proofErr w:type="spellStart"/>
      <w:r w:rsidRPr="00B4636A">
        <w:rPr>
          <w:szCs w:val="18"/>
          <w:rtl/>
        </w:rPr>
        <w:t>كاخكي</w:t>
      </w:r>
      <w:proofErr w:type="spellEnd"/>
      <w:r w:rsidRPr="00B4636A">
        <w:rPr>
          <w:szCs w:val="18"/>
          <w:rtl/>
        </w:rPr>
        <w:t xml:space="preserve">، تقييم تقرير معلومات بلد المنشأ الصادر بشأن إيران في آب/أغسطس </w:t>
      </w:r>
      <w:r w:rsidRPr="00D858C6">
        <w:rPr>
          <w:szCs w:val="18"/>
          <w:rtl/>
        </w:rPr>
        <w:t>2008</w:t>
      </w:r>
      <w:r w:rsidRPr="00B4636A">
        <w:rPr>
          <w:szCs w:val="18"/>
          <w:rtl/>
        </w:rPr>
        <w:t xml:space="preserve"> (لندن، الفريق الاستشاري المعني بالمعلومات القطرية، وزارة الداخلية في المملكة المتحدة لبريطانيا العظمى وأيرلندا الشمالية</w:t>
      </w:r>
      <w:r w:rsidRPr="001B2505">
        <w:rPr>
          <w:szCs w:val="18"/>
          <w:rtl/>
        </w:rPr>
        <w:t xml:space="preserve">)، </w:t>
      </w:r>
      <w:r w:rsidRPr="00B4636A">
        <w:rPr>
          <w:szCs w:val="18"/>
          <w:rtl/>
        </w:rPr>
        <w:t xml:space="preserve">الصفحة </w:t>
      </w:r>
      <w:r w:rsidRPr="00D858C6">
        <w:rPr>
          <w:szCs w:val="18"/>
          <w:rtl/>
        </w:rPr>
        <w:t>76</w:t>
      </w:r>
      <w:r w:rsidRPr="00B4636A">
        <w:rPr>
          <w:szCs w:val="18"/>
          <w:rtl/>
        </w:rPr>
        <w:t>، بالإنكليزية</w:t>
      </w:r>
      <w:r w:rsidRPr="001B2505">
        <w:rPr>
          <w:szCs w:val="18"/>
          <w:rtl/>
        </w:rPr>
        <w:t xml:space="preserve">). </w:t>
      </w:r>
      <w:r w:rsidRPr="00B4636A">
        <w:rPr>
          <w:szCs w:val="18"/>
          <w:rtl/>
        </w:rPr>
        <w:t>متاح في الصفحة الشبكية</w:t>
      </w:r>
      <w:r w:rsidRPr="00B4636A">
        <w:rPr>
          <w:szCs w:val="18"/>
        </w:rPr>
        <w:t>:</w:t>
      </w:r>
      <w:r w:rsidRPr="00B4636A">
        <w:rPr>
          <w:szCs w:val="18"/>
          <w:rtl/>
        </w:rPr>
        <w:t xml:space="preserve"> </w:t>
      </w:r>
      <w:hyperlink r:id="rId1" w:history="1">
        <w:r w:rsidRPr="001B2505">
          <w:rPr>
            <w:rStyle w:val="Hyperlink"/>
            <w:lang w:val="en-AU"/>
          </w:rPr>
          <w:t>https://webarchive.nationalarchives.gov.uk/</w:t>
        </w:r>
        <w:r w:rsidRPr="001B2505">
          <w:rPr>
            <w:rStyle w:val="Hyperlink"/>
            <w:lang w:val="en-AU"/>
          </w:rPr>
          <w:br/>
          <w:t>ukgwa/</w:t>
        </w:r>
        <w:r w:rsidRPr="00D858C6">
          <w:rPr>
            <w:rStyle w:val="Hyperlink"/>
            <w:lang w:val="en-AU"/>
          </w:rPr>
          <w:t>20090413205116</w:t>
        </w:r>
        <w:r w:rsidRPr="001B2505">
          <w:rPr>
            <w:rStyle w:val="Hyperlink"/>
            <w:lang w:val="en-AU"/>
          </w:rPr>
          <w:t>/http:/www.apci.org.uk/APCINEleventhMeeting.html</w:t>
        </w:r>
      </w:hyperlink>
      <w:r w:rsidRPr="00B4636A">
        <w:rPr>
          <w:szCs w:val="18"/>
          <w:rtl/>
        </w:rPr>
        <w:t>.</w:t>
      </w:r>
      <w:r>
        <w:rPr>
          <w:rFonts w:hint="cs"/>
          <w:szCs w:val="18"/>
          <w:rtl/>
        </w:rPr>
        <w:t xml:space="preserve"> </w:t>
      </w:r>
    </w:p>
  </w:footnote>
  <w:footnote w:id="7">
    <w:p w14:paraId="09C926F9" w14:textId="1EF3CBFB" w:rsidR="001B2505" w:rsidRPr="000B4A14" w:rsidRDefault="001B2505" w:rsidP="00A8078A">
      <w:pPr>
        <w:pStyle w:val="FootnoteText"/>
        <w:tabs>
          <w:tab w:val="clear" w:pos="1021"/>
        </w:tabs>
        <w:bidi/>
        <w:spacing w:after="60" w:line="260" w:lineRule="exact"/>
        <w:ind w:left="1247" w:right="1247" w:hanging="567"/>
        <w:jc w:val="lowKashida"/>
        <w:textDirection w:val="tbRlV"/>
        <w:rPr>
          <w:szCs w:val="18"/>
          <w:rtl/>
        </w:rPr>
      </w:pPr>
      <w:r>
        <w:rPr>
          <w:szCs w:val="18"/>
          <w:rtl/>
        </w:rPr>
        <w:t>(</w:t>
      </w:r>
      <w:r w:rsidRPr="00D858C6">
        <w:rPr>
          <w:szCs w:val="18"/>
        </w:rPr>
        <w:footnoteRef/>
      </w:r>
      <w:r>
        <w:rPr>
          <w:szCs w:val="18"/>
          <w:rtl/>
        </w:rPr>
        <w:t>)</w:t>
      </w:r>
      <w:r w:rsidRPr="00B4636A">
        <w:rPr>
          <w:szCs w:val="18"/>
          <w:rtl/>
        </w:rPr>
        <w:tab/>
        <w:t xml:space="preserve">أشير في التقرير الرسمي العام لوزارة خارجية هولندا الصادر في كانون الأول/ديسمبر </w:t>
      </w:r>
      <w:r w:rsidRPr="00D858C6">
        <w:rPr>
          <w:szCs w:val="18"/>
          <w:rtl/>
        </w:rPr>
        <w:t>2013</w:t>
      </w:r>
      <w:r w:rsidRPr="00B4636A">
        <w:rPr>
          <w:szCs w:val="18"/>
          <w:rtl/>
        </w:rPr>
        <w:t xml:space="preserve"> إلى أن التهرب من الخدمة العسكرية يعاقب عليه بموجب المادة </w:t>
      </w:r>
      <w:r w:rsidRPr="00D858C6">
        <w:rPr>
          <w:szCs w:val="18"/>
          <w:rtl/>
        </w:rPr>
        <w:t>40</w:t>
      </w:r>
      <w:r w:rsidRPr="00B4636A">
        <w:rPr>
          <w:szCs w:val="18"/>
          <w:rtl/>
        </w:rPr>
        <w:t xml:space="preserve"> من قانون العقوبات الخاص بالقوات المسلحة بالسجن لمدة تتراوح بين ستة أشهر وسنتين، أو بتمديد الخدمة </w:t>
      </w:r>
      <w:r w:rsidR="000B4A14" w:rsidRPr="00BB0AA8">
        <w:rPr>
          <w:szCs w:val="18"/>
        </w:rPr>
        <w:t xml:space="preserve">(Austrian Red Cross and Austrian Centre for Country of Origin and Asylum Research and Documentation, </w:t>
      </w:r>
      <w:r w:rsidR="000B4A14" w:rsidRPr="00D858C6">
        <w:rPr>
          <w:i/>
          <w:iCs/>
          <w:szCs w:val="18"/>
        </w:rPr>
        <w:t>Iran: Political Opposition Groups, Security Forces, Selected Human Rights Issues, Rule of Law – COI Compilation</w:t>
      </w:r>
      <w:r w:rsidR="000B4A14" w:rsidRPr="00BB0AA8">
        <w:rPr>
          <w:szCs w:val="18"/>
        </w:rPr>
        <w:t xml:space="preserve"> (Vienna, </w:t>
      </w:r>
      <w:proofErr w:type="gramStart"/>
      <w:r w:rsidR="000B4A14" w:rsidRPr="00D858C6">
        <w:rPr>
          <w:szCs w:val="18"/>
        </w:rPr>
        <w:t>2015</w:t>
      </w:r>
      <w:r w:rsidR="000B4A14" w:rsidRPr="00BB0AA8">
        <w:rPr>
          <w:szCs w:val="18"/>
        </w:rPr>
        <w:t>),</w:t>
      </w:r>
      <w:proofErr w:type="gramEnd"/>
      <w:r w:rsidR="000B4A14" w:rsidRPr="00BB0AA8">
        <w:rPr>
          <w:szCs w:val="18"/>
        </w:rPr>
        <w:t xml:space="preserve"> p. </w:t>
      </w:r>
      <w:r w:rsidR="000B4A14" w:rsidRPr="00D858C6">
        <w:rPr>
          <w:szCs w:val="18"/>
        </w:rPr>
        <w:t>211</w:t>
      </w:r>
      <w:r w:rsidR="000B4A14" w:rsidRPr="00BB0AA8">
        <w:rPr>
          <w:szCs w:val="18"/>
        </w:rPr>
        <w:t>)</w:t>
      </w:r>
      <w:r w:rsidR="000B4A14" w:rsidRPr="00BB0AA8">
        <w:rPr>
          <w:szCs w:val="18"/>
          <w:rtl/>
        </w:rPr>
        <w:t>.</w:t>
      </w:r>
    </w:p>
  </w:footnote>
  <w:footnote w:id="8">
    <w:p w14:paraId="3336AE2B" w14:textId="77777777" w:rsidR="001B2505" w:rsidRPr="00B4636A" w:rsidRDefault="001B2505" w:rsidP="001B2505">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r>
      <w:r w:rsidRPr="00D858C6">
        <w:rPr>
          <w:i/>
          <w:iCs/>
          <w:szCs w:val="18"/>
          <w:rtl/>
        </w:rPr>
        <w:t>س. ضد الدانمرك</w:t>
      </w:r>
      <w:r w:rsidRPr="00B4636A">
        <w:rPr>
          <w:szCs w:val="18"/>
          <w:rtl/>
        </w:rPr>
        <w:t xml:space="preserve"> (</w:t>
      </w:r>
      <w:hyperlink r:id="rId2" w:history="1">
        <w:r w:rsidRPr="001B2505">
          <w:rPr>
            <w:rStyle w:val="Hyperlink"/>
            <w:lang w:val="en-AU"/>
          </w:rPr>
          <w:t>CCPR/C/</w:t>
        </w:r>
        <w:r w:rsidRPr="00D858C6">
          <w:rPr>
            <w:rStyle w:val="Hyperlink"/>
            <w:lang w:val="en-AU"/>
          </w:rPr>
          <w:t>110</w:t>
        </w:r>
        <w:r w:rsidRPr="001B2505">
          <w:rPr>
            <w:rStyle w:val="Hyperlink"/>
            <w:lang w:val="en-AU"/>
          </w:rPr>
          <w:t>/D/</w:t>
        </w:r>
        <w:r w:rsidRPr="00D858C6">
          <w:rPr>
            <w:rStyle w:val="Hyperlink"/>
            <w:lang w:val="en-AU"/>
          </w:rPr>
          <w:t>2007</w:t>
        </w:r>
        <w:r w:rsidRPr="001B2505">
          <w:rPr>
            <w:rStyle w:val="Hyperlink"/>
            <w:lang w:val="en-AU"/>
          </w:rPr>
          <w:t>/</w:t>
        </w:r>
        <w:r w:rsidRPr="00D858C6">
          <w:rPr>
            <w:rStyle w:val="Hyperlink"/>
            <w:lang w:val="en-AU"/>
          </w:rPr>
          <w:t>2010</w:t>
        </w:r>
      </w:hyperlink>
      <w:r w:rsidRPr="001B2505">
        <w:rPr>
          <w:szCs w:val="18"/>
          <w:rtl/>
        </w:rPr>
        <w:t xml:space="preserve">)، </w:t>
      </w:r>
      <w:r w:rsidRPr="00B4636A">
        <w:rPr>
          <w:szCs w:val="18"/>
          <w:rtl/>
        </w:rPr>
        <w:t xml:space="preserve">الفقرة </w:t>
      </w:r>
      <w:r w:rsidRPr="00D858C6">
        <w:rPr>
          <w:szCs w:val="18"/>
          <w:rtl/>
        </w:rPr>
        <w:t>9</w:t>
      </w:r>
      <w:r w:rsidRPr="00B4636A">
        <w:rPr>
          <w:szCs w:val="18"/>
          <w:rtl/>
        </w:rPr>
        <w:t>-</w:t>
      </w:r>
      <w:r w:rsidRPr="00D858C6">
        <w:rPr>
          <w:szCs w:val="18"/>
          <w:rtl/>
        </w:rPr>
        <w:t>2</w:t>
      </w:r>
      <w:r w:rsidRPr="00B4636A">
        <w:rPr>
          <w:szCs w:val="18"/>
          <w:rtl/>
        </w:rPr>
        <w:t>.</w:t>
      </w:r>
    </w:p>
  </w:footnote>
  <w:footnote w:id="9">
    <w:p w14:paraId="4CDC74AC" w14:textId="77777777" w:rsidR="001B2505" w:rsidRPr="003119F3" w:rsidRDefault="001B2505" w:rsidP="009B292E">
      <w:pPr>
        <w:pStyle w:val="FootnoteText"/>
        <w:tabs>
          <w:tab w:val="clear" w:pos="1021"/>
        </w:tabs>
        <w:bidi/>
        <w:spacing w:after="60" w:line="280" w:lineRule="exact"/>
        <w:ind w:left="1247" w:right="1247" w:hanging="567"/>
        <w:jc w:val="lowKashida"/>
        <w:textDirection w:val="tbRlV"/>
        <w:rPr>
          <w:spacing w:val="-2"/>
          <w:szCs w:val="18"/>
        </w:rPr>
      </w:pPr>
      <w:r w:rsidRPr="003119F3">
        <w:rPr>
          <w:spacing w:val="-2"/>
          <w:szCs w:val="18"/>
          <w:rtl/>
        </w:rPr>
        <w:t>(</w:t>
      </w:r>
      <w:r w:rsidRPr="00D858C6">
        <w:rPr>
          <w:spacing w:val="-2"/>
          <w:szCs w:val="18"/>
        </w:rPr>
        <w:footnoteRef/>
      </w:r>
      <w:r w:rsidRPr="003119F3">
        <w:rPr>
          <w:spacing w:val="-2"/>
          <w:szCs w:val="18"/>
          <w:rtl/>
        </w:rPr>
        <w:t>)</w:t>
      </w:r>
      <w:r w:rsidRPr="003119F3">
        <w:rPr>
          <w:spacing w:val="-2"/>
          <w:szCs w:val="18"/>
          <w:rtl/>
        </w:rPr>
        <w:tab/>
        <w:t>عملا</w:t>
      </w:r>
      <w:r w:rsidRPr="003119F3">
        <w:rPr>
          <w:rFonts w:hint="cs"/>
          <w:spacing w:val="-2"/>
          <w:szCs w:val="18"/>
          <w:rtl/>
        </w:rPr>
        <w:t>ً</w:t>
      </w:r>
      <w:r w:rsidRPr="003119F3">
        <w:rPr>
          <w:spacing w:val="-2"/>
          <w:szCs w:val="18"/>
          <w:rtl/>
        </w:rPr>
        <w:t xml:space="preserve"> بالمادة </w:t>
      </w:r>
      <w:r w:rsidRPr="00D858C6">
        <w:rPr>
          <w:spacing w:val="-2"/>
          <w:szCs w:val="18"/>
          <w:rtl/>
        </w:rPr>
        <w:t>7</w:t>
      </w:r>
      <w:r w:rsidRPr="003119F3">
        <w:rPr>
          <w:spacing w:val="-2"/>
          <w:szCs w:val="18"/>
          <w:rtl/>
        </w:rPr>
        <w:t>(</w:t>
      </w:r>
      <w:r w:rsidRPr="00D858C6">
        <w:rPr>
          <w:spacing w:val="-2"/>
          <w:szCs w:val="18"/>
          <w:rtl/>
        </w:rPr>
        <w:t>1</w:t>
      </w:r>
      <w:r w:rsidRPr="003119F3">
        <w:rPr>
          <w:spacing w:val="-2"/>
          <w:szCs w:val="18"/>
          <w:rtl/>
        </w:rPr>
        <w:t xml:space="preserve">) من قانون الأجانب، يصدر تصريح إقامة للأجنبي بناء على طلبه إذا كان الأجنبي يندرج ضمن تعريف الشخص الذي يحتاج إلى الحماية بموجب الاتفاقية الخاصة بوضع اللاجئين. وبموجب المادة </w:t>
      </w:r>
      <w:r w:rsidRPr="00D858C6">
        <w:rPr>
          <w:spacing w:val="-2"/>
          <w:szCs w:val="18"/>
          <w:rtl/>
        </w:rPr>
        <w:t>7</w:t>
      </w:r>
      <w:r w:rsidRPr="003119F3">
        <w:rPr>
          <w:spacing w:val="-2"/>
          <w:szCs w:val="18"/>
          <w:rtl/>
        </w:rPr>
        <w:t>(</w:t>
      </w:r>
      <w:r w:rsidRPr="00D858C6">
        <w:rPr>
          <w:spacing w:val="-2"/>
          <w:szCs w:val="18"/>
          <w:rtl/>
        </w:rPr>
        <w:t>2</w:t>
      </w:r>
      <w:r w:rsidRPr="003119F3">
        <w:rPr>
          <w:spacing w:val="-2"/>
          <w:szCs w:val="18"/>
          <w:rtl/>
        </w:rPr>
        <w:t xml:space="preserve">)، يصدر تصريح إقامة للأجنبي إذا كان عرضة لخطر الإعدام، أو </w:t>
      </w:r>
      <w:proofErr w:type="gramStart"/>
      <w:r w:rsidRPr="003119F3">
        <w:rPr>
          <w:spacing w:val="-2"/>
          <w:szCs w:val="18"/>
          <w:rtl/>
        </w:rPr>
        <w:t>التعذيب</w:t>
      </w:r>
      <w:proofErr w:type="gramEnd"/>
      <w:r w:rsidRPr="003119F3">
        <w:rPr>
          <w:spacing w:val="-2"/>
          <w:szCs w:val="18"/>
          <w:rtl/>
        </w:rPr>
        <w:t xml:space="preserve"> أو المعاملة أو العقوبة اللاإنسانية أو المهينة في حال عودته إلى بلده الأصلي.</w:t>
      </w:r>
    </w:p>
  </w:footnote>
  <w:footnote w:id="10">
    <w:p w14:paraId="6C1288F4" w14:textId="77777777" w:rsidR="001B2505" w:rsidRPr="00B4636A" w:rsidRDefault="001B2505" w:rsidP="001B2505">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قضية </w:t>
      </w:r>
      <w:r w:rsidRPr="00D858C6">
        <w:rPr>
          <w:i/>
          <w:iCs/>
          <w:szCs w:val="18"/>
          <w:rtl/>
        </w:rPr>
        <w:t>أ.</w:t>
      </w:r>
      <w:r w:rsidRPr="00D858C6">
        <w:rPr>
          <w:rFonts w:hint="cs"/>
          <w:i/>
          <w:iCs/>
          <w:szCs w:val="18"/>
          <w:rtl/>
        </w:rPr>
        <w:t xml:space="preserve"> </w:t>
      </w:r>
      <w:r w:rsidRPr="00D858C6">
        <w:rPr>
          <w:i/>
          <w:iCs/>
          <w:szCs w:val="18"/>
          <w:rtl/>
        </w:rPr>
        <w:t>س.</w:t>
      </w:r>
      <w:r w:rsidRPr="00D858C6">
        <w:rPr>
          <w:rFonts w:hint="cs"/>
          <w:i/>
          <w:iCs/>
          <w:szCs w:val="18"/>
          <w:rtl/>
        </w:rPr>
        <w:t xml:space="preserve"> </w:t>
      </w:r>
      <w:r w:rsidRPr="00D858C6">
        <w:rPr>
          <w:i/>
          <w:iCs/>
          <w:szCs w:val="18"/>
          <w:rtl/>
        </w:rPr>
        <w:t>م</w:t>
      </w:r>
      <w:r w:rsidRPr="00D858C6">
        <w:rPr>
          <w:rFonts w:hint="cs"/>
          <w:i/>
          <w:iCs/>
          <w:szCs w:val="18"/>
          <w:rtl/>
        </w:rPr>
        <w:t>.</w:t>
      </w:r>
      <w:r w:rsidRPr="00D858C6">
        <w:rPr>
          <w:i/>
          <w:iCs/>
          <w:szCs w:val="18"/>
          <w:rtl/>
        </w:rPr>
        <w:t xml:space="preserve"> ور.</w:t>
      </w:r>
      <w:r w:rsidRPr="00D858C6">
        <w:rPr>
          <w:rFonts w:hint="cs"/>
          <w:i/>
          <w:iCs/>
          <w:szCs w:val="18"/>
          <w:rtl/>
        </w:rPr>
        <w:t xml:space="preserve"> </w:t>
      </w:r>
      <w:r w:rsidRPr="00D858C6">
        <w:rPr>
          <w:i/>
          <w:iCs/>
          <w:szCs w:val="18"/>
          <w:rtl/>
        </w:rPr>
        <w:t>أ.</w:t>
      </w:r>
      <w:r w:rsidRPr="00D858C6">
        <w:rPr>
          <w:rFonts w:hint="cs"/>
          <w:i/>
          <w:iCs/>
          <w:szCs w:val="18"/>
          <w:rtl/>
        </w:rPr>
        <w:t xml:space="preserve"> </w:t>
      </w:r>
      <w:r w:rsidRPr="00D858C6">
        <w:rPr>
          <w:i/>
          <w:iCs/>
          <w:szCs w:val="18"/>
          <w:rtl/>
        </w:rPr>
        <w:t>ه. ضد الدانمرك</w:t>
      </w:r>
      <w:r w:rsidRPr="00B4636A">
        <w:rPr>
          <w:szCs w:val="18"/>
          <w:rtl/>
        </w:rPr>
        <w:t xml:space="preserve"> (</w:t>
      </w:r>
      <w:hyperlink r:id="rId3" w:history="1">
        <w:r w:rsidRPr="001B2505">
          <w:rPr>
            <w:rStyle w:val="Hyperlink"/>
            <w:lang w:val="en-AU"/>
          </w:rPr>
          <w:t>CCPR/C/</w:t>
        </w:r>
        <w:r w:rsidRPr="00D858C6">
          <w:rPr>
            <w:rStyle w:val="Hyperlink"/>
            <w:lang w:val="en-AU"/>
          </w:rPr>
          <w:t>117</w:t>
        </w:r>
        <w:r w:rsidRPr="001B2505">
          <w:rPr>
            <w:rStyle w:val="Hyperlink"/>
            <w:lang w:val="en-AU"/>
          </w:rPr>
          <w:t>/D/</w:t>
        </w:r>
        <w:r w:rsidRPr="00D858C6">
          <w:rPr>
            <w:rStyle w:val="Hyperlink"/>
            <w:lang w:val="en-AU"/>
          </w:rPr>
          <w:t>2378</w:t>
        </w:r>
        <w:r w:rsidRPr="001B2505">
          <w:rPr>
            <w:rStyle w:val="Hyperlink"/>
            <w:lang w:val="en-AU"/>
          </w:rPr>
          <w:t>/</w:t>
        </w:r>
        <w:r w:rsidRPr="00D858C6">
          <w:rPr>
            <w:rStyle w:val="Hyperlink"/>
            <w:lang w:val="en-AU"/>
          </w:rPr>
          <w:t>2014</w:t>
        </w:r>
      </w:hyperlink>
      <w:r w:rsidRPr="001B2505">
        <w:rPr>
          <w:szCs w:val="18"/>
          <w:rtl/>
        </w:rPr>
        <w:t xml:space="preserve">)، </w:t>
      </w:r>
      <w:r w:rsidRPr="00B4636A">
        <w:rPr>
          <w:szCs w:val="18"/>
          <w:rtl/>
        </w:rPr>
        <w:t xml:space="preserve">الفقرتان </w:t>
      </w:r>
      <w:r w:rsidRPr="00D858C6">
        <w:rPr>
          <w:szCs w:val="18"/>
          <w:rtl/>
        </w:rPr>
        <w:t>8</w:t>
      </w:r>
      <w:r w:rsidRPr="00B4636A">
        <w:rPr>
          <w:szCs w:val="18"/>
          <w:rtl/>
        </w:rPr>
        <w:t>-</w:t>
      </w:r>
      <w:r w:rsidRPr="00D858C6">
        <w:rPr>
          <w:szCs w:val="18"/>
          <w:rtl/>
        </w:rPr>
        <w:t>3</w:t>
      </w:r>
      <w:r w:rsidRPr="00B4636A">
        <w:rPr>
          <w:szCs w:val="18"/>
          <w:rtl/>
        </w:rPr>
        <w:t xml:space="preserve"> و</w:t>
      </w:r>
      <w:r w:rsidRPr="00D858C6">
        <w:rPr>
          <w:szCs w:val="18"/>
          <w:rtl/>
        </w:rPr>
        <w:t>8</w:t>
      </w:r>
      <w:r w:rsidRPr="00B4636A">
        <w:rPr>
          <w:szCs w:val="18"/>
          <w:rtl/>
        </w:rPr>
        <w:t>-</w:t>
      </w:r>
      <w:r w:rsidRPr="00D858C6">
        <w:rPr>
          <w:szCs w:val="18"/>
          <w:rtl/>
        </w:rPr>
        <w:t>6</w:t>
      </w:r>
      <w:r w:rsidRPr="001B2505">
        <w:rPr>
          <w:szCs w:val="18"/>
          <w:rtl/>
        </w:rPr>
        <w:t xml:space="preserve">. </w:t>
      </w:r>
      <w:r w:rsidRPr="00B4636A">
        <w:rPr>
          <w:szCs w:val="18"/>
          <w:rtl/>
        </w:rPr>
        <w:t xml:space="preserve">قضية </w:t>
      </w:r>
      <w:r w:rsidRPr="00D858C6">
        <w:rPr>
          <w:i/>
          <w:iCs/>
          <w:szCs w:val="18"/>
          <w:rtl/>
        </w:rPr>
        <w:t>ب. ت. ضد الدانمرك</w:t>
      </w:r>
      <w:r w:rsidRPr="00B4636A">
        <w:rPr>
          <w:szCs w:val="18"/>
          <w:rtl/>
        </w:rPr>
        <w:t xml:space="preserve"> (</w:t>
      </w:r>
      <w:hyperlink r:id="rId4" w:history="1">
        <w:r w:rsidRPr="001B2505">
          <w:rPr>
            <w:rStyle w:val="Hyperlink"/>
            <w:lang w:val="en-AU"/>
          </w:rPr>
          <w:t>CCPR/C/</w:t>
        </w:r>
        <w:r w:rsidRPr="00D858C6">
          <w:rPr>
            <w:rStyle w:val="Hyperlink"/>
            <w:lang w:val="en-AU"/>
          </w:rPr>
          <w:t>113</w:t>
        </w:r>
        <w:r w:rsidRPr="001B2505">
          <w:rPr>
            <w:rStyle w:val="Hyperlink"/>
            <w:lang w:val="en-AU"/>
          </w:rPr>
          <w:t>/D/</w:t>
        </w:r>
        <w:r w:rsidRPr="00D858C6">
          <w:rPr>
            <w:rStyle w:val="Hyperlink"/>
            <w:lang w:val="en-AU"/>
          </w:rPr>
          <w:t>2272</w:t>
        </w:r>
        <w:r w:rsidRPr="001B2505">
          <w:rPr>
            <w:rStyle w:val="Hyperlink"/>
            <w:lang w:val="en-AU"/>
          </w:rPr>
          <w:t>/</w:t>
        </w:r>
        <w:r w:rsidRPr="00D858C6">
          <w:rPr>
            <w:rStyle w:val="Hyperlink"/>
            <w:lang w:val="en-AU"/>
          </w:rPr>
          <w:t>2013</w:t>
        </w:r>
      </w:hyperlink>
      <w:r w:rsidRPr="001B2505">
        <w:rPr>
          <w:szCs w:val="18"/>
          <w:rtl/>
        </w:rPr>
        <w:t xml:space="preserve">)، </w:t>
      </w:r>
      <w:r w:rsidRPr="00B4636A">
        <w:rPr>
          <w:szCs w:val="18"/>
          <w:rtl/>
        </w:rPr>
        <w:t xml:space="preserve">الفقرة </w:t>
      </w:r>
      <w:r w:rsidRPr="00D858C6">
        <w:rPr>
          <w:szCs w:val="18"/>
          <w:rtl/>
        </w:rPr>
        <w:t>7</w:t>
      </w:r>
      <w:r w:rsidRPr="00B4636A">
        <w:rPr>
          <w:szCs w:val="18"/>
          <w:rtl/>
        </w:rPr>
        <w:t>-</w:t>
      </w:r>
      <w:r w:rsidRPr="00D858C6">
        <w:rPr>
          <w:szCs w:val="18"/>
          <w:rtl/>
        </w:rPr>
        <w:t>3</w:t>
      </w:r>
      <w:r w:rsidRPr="00B4636A">
        <w:rPr>
          <w:szCs w:val="18"/>
          <w:rtl/>
        </w:rPr>
        <w:t xml:space="preserve">؛ قضية </w:t>
      </w:r>
      <w:r w:rsidRPr="00D858C6">
        <w:rPr>
          <w:i/>
          <w:iCs/>
          <w:szCs w:val="18"/>
          <w:rtl/>
        </w:rPr>
        <w:t>ن. ضد الدانمرك</w:t>
      </w:r>
      <w:r w:rsidRPr="00B4636A">
        <w:rPr>
          <w:szCs w:val="18"/>
          <w:rtl/>
        </w:rPr>
        <w:t xml:space="preserve"> (</w:t>
      </w:r>
      <w:hyperlink r:id="rId5" w:history="1">
        <w:r w:rsidRPr="001B2505">
          <w:rPr>
            <w:rStyle w:val="Hyperlink"/>
            <w:lang w:val="en-AU"/>
          </w:rPr>
          <w:t>CCPR/C/</w:t>
        </w:r>
        <w:r w:rsidRPr="00D858C6">
          <w:rPr>
            <w:rStyle w:val="Hyperlink"/>
            <w:lang w:val="en-AU"/>
          </w:rPr>
          <w:t>114</w:t>
        </w:r>
        <w:r w:rsidRPr="001B2505">
          <w:rPr>
            <w:rStyle w:val="Hyperlink"/>
            <w:lang w:val="en-AU"/>
          </w:rPr>
          <w:t>/</w:t>
        </w:r>
        <w:r w:rsidRPr="00D858C6">
          <w:rPr>
            <w:rStyle w:val="Hyperlink"/>
            <w:lang w:val="en-AU"/>
          </w:rPr>
          <w:t>2426</w:t>
        </w:r>
        <w:r w:rsidRPr="001B2505">
          <w:rPr>
            <w:rStyle w:val="Hyperlink"/>
            <w:lang w:val="en-AU"/>
          </w:rPr>
          <w:t>/</w:t>
        </w:r>
        <w:r w:rsidRPr="00D858C6">
          <w:rPr>
            <w:rStyle w:val="Hyperlink"/>
            <w:lang w:val="en-AU"/>
          </w:rPr>
          <w:t>2014</w:t>
        </w:r>
      </w:hyperlink>
      <w:r w:rsidRPr="001B2505">
        <w:rPr>
          <w:szCs w:val="18"/>
          <w:rtl/>
        </w:rPr>
        <w:t xml:space="preserve">). </w:t>
      </w:r>
      <w:r w:rsidRPr="00B4636A">
        <w:rPr>
          <w:szCs w:val="18"/>
          <w:rtl/>
        </w:rPr>
        <w:t xml:space="preserve">قضية </w:t>
      </w:r>
      <w:r w:rsidRPr="00D858C6">
        <w:rPr>
          <w:i/>
          <w:iCs/>
          <w:szCs w:val="18"/>
          <w:rtl/>
        </w:rPr>
        <w:t>ز. ضد الدانمرك</w:t>
      </w:r>
      <w:r w:rsidRPr="00B4636A">
        <w:rPr>
          <w:szCs w:val="18"/>
          <w:rtl/>
        </w:rPr>
        <w:t xml:space="preserve"> (</w:t>
      </w:r>
      <w:hyperlink r:id="rId6" w:history="1">
        <w:r w:rsidRPr="001B2505">
          <w:rPr>
            <w:rStyle w:val="Hyperlink"/>
            <w:lang w:val="en-AU"/>
          </w:rPr>
          <w:t>CCPR/C/</w:t>
        </w:r>
        <w:r w:rsidRPr="00D858C6">
          <w:rPr>
            <w:rStyle w:val="Hyperlink"/>
            <w:lang w:val="en-AU"/>
          </w:rPr>
          <w:t>114</w:t>
        </w:r>
        <w:r w:rsidRPr="001B2505">
          <w:rPr>
            <w:rStyle w:val="Hyperlink"/>
            <w:lang w:val="en-AU"/>
          </w:rPr>
          <w:t>/D/</w:t>
        </w:r>
        <w:r w:rsidRPr="00D858C6">
          <w:rPr>
            <w:rStyle w:val="Hyperlink"/>
            <w:lang w:val="en-AU"/>
          </w:rPr>
          <w:t>2329</w:t>
        </w:r>
        <w:r w:rsidRPr="001B2505">
          <w:rPr>
            <w:rStyle w:val="Hyperlink"/>
            <w:lang w:val="en-AU"/>
          </w:rPr>
          <w:t>/</w:t>
        </w:r>
        <w:r w:rsidRPr="00D858C6">
          <w:rPr>
            <w:rStyle w:val="Hyperlink"/>
            <w:lang w:val="en-AU"/>
          </w:rPr>
          <w:t>2014</w:t>
        </w:r>
      </w:hyperlink>
      <w:r w:rsidRPr="001B2505">
        <w:rPr>
          <w:szCs w:val="18"/>
          <w:rtl/>
        </w:rPr>
        <w:t xml:space="preserve">)، </w:t>
      </w:r>
      <w:r w:rsidRPr="00B4636A">
        <w:rPr>
          <w:szCs w:val="18"/>
          <w:rtl/>
        </w:rPr>
        <w:t xml:space="preserve">الفقرة </w:t>
      </w:r>
      <w:r w:rsidRPr="00D858C6">
        <w:rPr>
          <w:szCs w:val="18"/>
          <w:rtl/>
        </w:rPr>
        <w:t>7</w:t>
      </w:r>
      <w:r w:rsidRPr="00B4636A">
        <w:rPr>
          <w:szCs w:val="18"/>
          <w:rtl/>
        </w:rPr>
        <w:t>-</w:t>
      </w:r>
      <w:r w:rsidRPr="00D858C6">
        <w:rPr>
          <w:szCs w:val="18"/>
          <w:rtl/>
        </w:rPr>
        <w:t>4</w:t>
      </w:r>
      <w:r w:rsidRPr="001B2505">
        <w:rPr>
          <w:szCs w:val="18"/>
          <w:rtl/>
        </w:rPr>
        <w:t xml:space="preserve">. </w:t>
      </w:r>
      <w:r w:rsidRPr="00B4636A">
        <w:rPr>
          <w:szCs w:val="18"/>
          <w:rtl/>
        </w:rPr>
        <w:t xml:space="preserve">قضية </w:t>
      </w:r>
      <w:r w:rsidRPr="00D858C6">
        <w:rPr>
          <w:i/>
          <w:iCs/>
          <w:szCs w:val="18"/>
          <w:rtl/>
        </w:rPr>
        <w:t>السيد فلان والسيدة فلانة ضد الدانمرك</w:t>
      </w:r>
      <w:r w:rsidRPr="00B4636A">
        <w:rPr>
          <w:szCs w:val="18"/>
          <w:rtl/>
        </w:rPr>
        <w:t xml:space="preserve"> (</w:t>
      </w:r>
      <w:hyperlink r:id="rId7" w:history="1">
        <w:r w:rsidRPr="001B2505">
          <w:rPr>
            <w:rStyle w:val="Hyperlink"/>
            <w:lang w:val="en-AU"/>
          </w:rPr>
          <w:t>CCPR/C/</w:t>
        </w:r>
        <w:r w:rsidRPr="00D858C6">
          <w:rPr>
            <w:rStyle w:val="Hyperlink"/>
            <w:lang w:val="en-AU"/>
          </w:rPr>
          <w:t>112</w:t>
        </w:r>
        <w:r w:rsidRPr="001B2505">
          <w:rPr>
            <w:rStyle w:val="Hyperlink"/>
            <w:lang w:val="en-AU"/>
          </w:rPr>
          <w:t>/D/</w:t>
        </w:r>
        <w:r w:rsidRPr="00D858C6">
          <w:rPr>
            <w:rStyle w:val="Hyperlink"/>
            <w:lang w:val="en-AU"/>
          </w:rPr>
          <w:t>2186</w:t>
        </w:r>
        <w:r w:rsidRPr="001B2505">
          <w:rPr>
            <w:rStyle w:val="Hyperlink"/>
            <w:lang w:val="en-AU"/>
          </w:rPr>
          <w:t>/</w:t>
        </w:r>
        <w:r w:rsidRPr="00D858C6">
          <w:rPr>
            <w:rStyle w:val="Hyperlink"/>
            <w:lang w:val="en-AU"/>
          </w:rPr>
          <w:t>2012</w:t>
        </w:r>
      </w:hyperlink>
      <w:r w:rsidRPr="001B2505">
        <w:rPr>
          <w:szCs w:val="18"/>
          <w:rtl/>
        </w:rPr>
        <w:t xml:space="preserve">)، </w:t>
      </w:r>
      <w:r w:rsidRPr="00B4636A">
        <w:rPr>
          <w:szCs w:val="18"/>
          <w:rtl/>
        </w:rPr>
        <w:t xml:space="preserve">الفقرة </w:t>
      </w:r>
      <w:r w:rsidRPr="00D858C6">
        <w:rPr>
          <w:szCs w:val="18"/>
          <w:rtl/>
        </w:rPr>
        <w:t>7</w:t>
      </w:r>
      <w:r w:rsidRPr="00B4636A">
        <w:rPr>
          <w:szCs w:val="18"/>
          <w:rtl/>
        </w:rPr>
        <w:t>-</w:t>
      </w:r>
      <w:r w:rsidRPr="00D858C6">
        <w:rPr>
          <w:szCs w:val="18"/>
          <w:rtl/>
        </w:rPr>
        <w:t>5</w:t>
      </w:r>
      <w:r w:rsidRPr="00B4636A">
        <w:rPr>
          <w:szCs w:val="18"/>
          <w:rtl/>
        </w:rPr>
        <w:t xml:space="preserve">؛ قضية </w:t>
      </w:r>
      <w:r w:rsidRPr="00D858C6">
        <w:rPr>
          <w:i/>
          <w:iCs/>
          <w:szCs w:val="18"/>
          <w:rtl/>
        </w:rPr>
        <w:t>أ. ه. ضد الدانمرك</w:t>
      </w:r>
      <w:r w:rsidRPr="00B4636A">
        <w:rPr>
          <w:szCs w:val="18"/>
          <w:rtl/>
        </w:rPr>
        <w:t xml:space="preserve"> (</w:t>
      </w:r>
      <w:hyperlink r:id="rId8" w:history="1">
        <w:r w:rsidRPr="001B2505">
          <w:rPr>
            <w:rStyle w:val="Hyperlink"/>
            <w:lang w:val="en-AU"/>
          </w:rPr>
          <w:t>CCPR/C/</w:t>
        </w:r>
        <w:r w:rsidRPr="00D858C6">
          <w:rPr>
            <w:rStyle w:val="Hyperlink"/>
            <w:lang w:val="en-AU"/>
          </w:rPr>
          <w:t>123</w:t>
        </w:r>
        <w:r w:rsidRPr="001B2505">
          <w:rPr>
            <w:rStyle w:val="Hyperlink"/>
            <w:lang w:val="en-AU"/>
          </w:rPr>
          <w:t>/D/</w:t>
        </w:r>
        <w:r w:rsidRPr="00D858C6">
          <w:rPr>
            <w:rStyle w:val="Hyperlink"/>
            <w:lang w:val="en-AU"/>
          </w:rPr>
          <w:t>2328</w:t>
        </w:r>
        <w:r w:rsidRPr="001B2505">
          <w:rPr>
            <w:rStyle w:val="Hyperlink"/>
            <w:lang w:val="en-AU"/>
          </w:rPr>
          <w:t>/</w:t>
        </w:r>
        <w:r w:rsidRPr="00D858C6">
          <w:rPr>
            <w:rStyle w:val="Hyperlink"/>
            <w:lang w:val="en-AU"/>
          </w:rPr>
          <w:t>2014</w:t>
        </w:r>
        <w:r w:rsidRPr="001B2505">
          <w:rPr>
            <w:rStyle w:val="Hyperlink"/>
            <w:rtl/>
            <w:lang w:val="en-AU"/>
          </w:rPr>
          <w:t>).</w:t>
        </w:r>
      </w:hyperlink>
    </w:p>
  </w:footnote>
  <w:footnote w:id="11">
    <w:p w14:paraId="08DC9EBD"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المحكمة الأوروبية لحقوق الإنسان، قضية </w:t>
      </w:r>
      <w:r w:rsidRPr="00D858C6">
        <w:rPr>
          <w:i/>
          <w:iCs/>
          <w:szCs w:val="18"/>
          <w:rtl/>
        </w:rPr>
        <w:t>م. أ. ضد سويسرا</w:t>
      </w:r>
      <w:r w:rsidRPr="00B4636A">
        <w:rPr>
          <w:szCs w:val="18"/>
          <w:rtl/>
        </w:rPr>
        <w:t xml:space="preserve">، الشكوى رقم </w:t>
      </w:r>
      <w:r w:rsidRPr="00D858C6">
        <w:rPr>
          <w:szCs w:val="18"/>
          <w:rtl/>
        </w:rPr>
        <w:t>16</w:t>
      </w:r>
      <w:r w:rsidRPr="00B4636A">
        <w:rPr>
          <w:szCs w:val="18"/>
          <w:rtl/>
        </w:rPr>
        <w:t>/</w:t>
      </w:r>
      <w:r w:rsidRPr="00D858C6">
        <w:rPr>
          <w:szCs w:val="18"/>
          <w:rtl/>
        </w:rPr>
        <w:t>41282</w:t>
      </w:r>
      <w:r w:rsidRPr="00B4636A">
        <w:rPr>
          <w:szCs w:val="18"/>
          <w:rtl/>
        </w:rPr>
        <w:t xml:space="preserve">، الحكم الصادر في </w:t>
      </w:r>
      <w:r w:rsidRPr="00D858C6">
        <w:rPr>
          <w:szCs w:val="18"/>
          <w:rtl/>
        </w:rPr>
        <w:t>20</w:t>
      </w:r>
      <w:r w:rsidRPr="00B4636A">
        <w:rPr>
          <w:szCs w:val="18"/>
          <w:rtl/>
        </w:rPr>
        <w:t xml:space="preserve"> حزيران/</w:t>
      </w:r>
      <w:proofErr w:type="gramStart"/>
      <w:r w:rsidRPr="00B4636A">
        <w:rPr>
          <w:szCs w:val="18"/>
          <w:rtl/>
        </w:rPr>
        <w:t>يونيه</w:t>
      </w:r>
      <w:proofErr w:type="gramEnd"/>
      <w:r w:rsidRPr="00B4636A">
        <w:rPr>
          <w:szCs w:val="18"/>
          <w:rtl/>
        </w:rPr>
        <w:t xml:space="preserve"> </w:t>
      </w:r>
      <w:r w:rsidRPr="00D858C6">
        <w:rPr>
          <w:szCs w:val="18"/>
          <w:rtl/>
        </w:rPr>
        <w:t>2017</w:t>
      </w:r>
      <w:r w:rsidRPr="00B4636A">
        <w:rPr>
          <w:szCs w:val="18"/>
          <w:rtl/>
        </w:rPr>
        <w:t xml:space="preserve">، الفقرة </w:t>
      </w:r>
      <w:r w:rsidRPr="00D858C6">
        <w:rPr>
          <w:szCs w:val="18"/>
          <w:rtl/>
        </w:rPr>
        <w:t>80</w:t>
      </w:r>
      <w:r w:rsidRPr="00B4636A">
        <w:rPr>
          <w:szCs w:val="18"/>
          <w:rtl/>
        </w:rPr>
        <w:t>.</w:t>
      </w:r>
    </w:p>
  </w:footnote>
  <w:footnote w:id="12">
    <w:p w14:paraId="27A0CA80"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مفوضية الأمم المتحدة السامية لشؤون اللاجئين، دليل إجراءات ومعايير تحديد صفة اللاجئ والمبادئ التوجيهية بشأن الحماية الدولية بموجب اتفاقية عام </w:t>
      </w:r>
      <w:r w:rsidRPr="00D858C6">
        <w:rPr>
          <w:szCs w:val="18"/>
          <w:rtl/>
        </w:rPr>
        <w:t>1951</w:t>
      </w:r>
      <w:r w:rsidRPr="00B4636A">
        <w:rPr>
          <w:szCs w:val="18"/>
          <w:rtl/>
        </w:rPr>
        <w:t xml:space="preserve"> والبروتوكول الخاص بوضع اللاجئين لعام </w:t>
      </w:r>
      <w:r w:rsidRPr="00D858C6">
        <w:rPr>
          <w:szCs w:val="18"/>
          <w:rtl/>
        </w:rPr>
        <w:t>1967</w:t>
      </w:r>
      <w:r w:rsidRPr="00B4636A">
        <w:rPr>
          <w:szCs w:val="18"/>
          <w:rtl/>
        </w:rPr>
        <w:t xml:space="preserve">، الطبعة المنقحة (جنيف، </w:t>
      </w:r>
      <w:r w:rsidRPr="00D858C6">
        <w:rPr>
          <w:szCs w:val="18"/>
          <w:rtl/>
        </w:rPr>
        <w:t>2019</w:t>
      </w:r>
      <w:r w:rsidRPr="001B2505">
        <w:rPr>
          <w:szCs w:val="18"/>
          <w:rtl/>
        </w:rPr>
        <w:t xml:space="preserve">)، </w:t>
      </w:r>
      <w:r w:rsidRPr="00B4636A">
        <w:rPr>
          <w:szCs w:val="18"/>
          <w:rtl/>
        </w:rPr>
        <w:t xml:space="preserve">الصفحة </w:t>
      </w:r>
      <w:r w:rsidRPr="00D858C6">
        <w:rPr>
          <w:szCs w:val="18"/>
          <w:rtl/>
        </w:rPr>
        <w:t>131</w:t>
      </w:r>
      <w:r w:rsidRPr="00B4636A">
        <w:rPr>
          <w:szCs w:val="18"/>
          <w:rtl/>
        </w:rPr>
        <w:t xml:space="preserve"> (من النسخة الإنكليزية</w:t>
      </w:r>
      <w:r w:rsidRPr="001B2505">
        <w:rPr>
          <w:szCs w:val="18"/>
          <w:rtl/>
        </w:rPr>
        <w:t xml:space="preserve">). </w:t>
      </w:r>
      <w:r w:rsidRPr="00B4636A">
        <w:rPr>
          <w:szCs w:val="18"/>
          <w:rtl/>
        </w:rPr>
        <w:t xml:space="preserve">وانظر أيضاً المرجع نفسه، الصفحة </w:t>
      </w:r>
      <w:r w:rsidRPr="00D858C6">
        <w:rPr>
          <w:szCs w:val="18"/>
          <w:rtl/>
        </w:rPr>
        <w:t>26</w:t>
      </w:r>
      <w:r w:rsidRPr="00B4636A">
        <w:rPr>
          <w:szCs w:val="18"/>
          <w:rtl/>
        </w:rPr>
        <w:t xml:space="preserve"> (من النسخة الإنكليزية).</w:t>
      </w:r>
    </w:p>
  </w:footnote>
  <w:footnote w:id="13">
    <w:p w14:paraId="4E2EC75B"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الشكوى رقم </w:t>
      </w:r>
      <w:r w:rsidRPr="00D858C6">
        <w:rPr>
          <w:szCs w:val="18"/>
          <w:rtl/>
        </w:rPr>
        <w:t>58363</w:t>
      </w:r>
      <w:r w:rsidRPr="00B4636A">
        <w:rPr>
          <w:szCs w:val="18"/>
          <w:rtl/>
        </w:rPr>
        <w:t>/</w:t>
      </w:r>
      <w:r w:rsidRPr="00D858C6">
        <w:rPr>
          <w:szCs w:val="18"/>
          <w:rtl/>
        </w:rPr>
        <w:t>10</w:t>
      </w:r>
      <w:r w:rsidRPr="00B4636A">
        <w:rPr>
          <w:szCs w:val="18"/>
          <w:rtl/>
        </w:rPr>
        <w:t xml:space="preserve">، الحكم الصادر في </w:t>
      </w:r>
      <w:r w:rsidRPr="00D858C6">
        <w:rPr>
          <w:szCs w:val="18"/>
          <w:rtl/>
        </w:rPr>
        <w:t>8</w:t>
      </w:r>
      <w:r w:rsidRPr="00B4636A">
        <w:rPr>
          <w:szCs w:val="18"/>
          <w:rtl/>
        </w:rPr>
        <w:t xml:space="preserve"> تموز/يوليه </w:t>
      </w:r>
      <w:r w:rsidRPr="00D858C6">
        <w:rPr>
          <w:szCs w:val="18"/>
          <w:rtl/>
        </w:rPr>
        <w:t>2014</w:t>
      </w:r>
      <w:r w:rsidRPr="00B4636A">
        <w:rPr>
          <w:szCs w:val="18"/>
          <w:rtl/>
        </w:rPr>
        <w:t>.</w:t>
      </w:r>
    </w:p>
  </w:footnote>
  <w:footnote w:id="14">
    <w:p w14:paraId="78B6DCB7" w14:textId="77777777" w:rsidR="001B2505" w:rsidRPr="00B4636A" w:rsidRDefault="001B2505" w:rsidP="009B292E">
      <w:pPr>
        <w:pStyle w:val="FootnoteText"/>
        <w:tabs>
          <w:tab w:val="clear" w:pos="1021"/>
        </w:tabs>
        <w:bidi/>
        <w:spacing w:after="60" w:line="280" w:lineRule="exact"/>
        <w:ind w:left="1247" w:right="1247" w:hanging="567"/>
        <w:jc w:val="lowKashida"/>
        <w:rPr>
          <w:szCs w:val="18"/>
          <w:rtl/>
        </w:rPr>
      </w:pPr>
      <w:r>
        <w:rPr>
          <w:szCs w:val="18"/>
          <w:rtl/>
        </w:rPr>
        <w:t>(</w:t>
      </w:r>
      <w:r w:rsidRPr="00D858C6">
        <w:rPr>
          <w:szCs w:val="18"/>
        </w:rPr>
        <w:footnoteRef/>
      </w:r>
      <w:r>
        <w:rPr>
          <w:szCs w:val="18"/>
          <w:rtl/>
        </w:rPr>
        <w:t>)</w:t>
      </w:r>
      <w:r w:rsidRPr="00B4636A">
        <w:rPr>
          <w:szCs w:val="18"/>
          <w:rtl/>
        </w:rPr>
        <w:tab/>
      </w:r>
      <w:r w:rsidRPr="00B4636A">
        <w:rPr>
          <w:szCs w:val="18"/>
        </w:rPr>
        <w:t>Denmar</w:t>
      </w:r>
      <w:r w:rsidRPr="001B2505">
        <w:rPr>
          <w:szCs w:val="18"/>
        </w:rPr>
        <w:t xml:space="preserve">k, </w:t>
      </w:r>
      <w:r w:rsidRPr="00B4636A">
        <w:rPr>
          <w:szCs w:val="18"/>
        </w:rPr>
        <w:t>Ministry of Immigration and Integratio</w:t>
      </w:r>
      <w:r w:rsidRPr="001B2505">
        <w:rPr>
          <w:szCs w:val="18"/>
        </w:rPr>
        <w:t xml:space="preserve">n, </w:t>
      </w:r>
      <w:r w:rsidRPr="00B4636A">
        <w:rPr>
          <w:szCs w:val="18"/>
        </w:rPr>
        <w:t>Danish Immigration Servic</w:t>
      </w:r>
      <w:r w:rsidRPr="001B2505">
        <w:rPr>
          <w:szCs w:val="18"/>
        </w:rPr>
        <w:t xml:space="preserve">e, </w:t>
      </w:r>
      <w:r w:rsidRPr="00B4636A">
        <w:rPr>
          <w:szCs w:val="18"/>
        </w:rPr>
        <w:t>“Ira</w:t>
      </w:r>
      <w:r w:rsidRPr="001B2505">
        <w:rPr>
          <w:szCs w:val="18"/>
        </w:rPr>
        <w:t xml:space="preserve">n: </w:t>
      </w:r>
      <w:r w:rsidRPr="00B4636A">
        <w:rPr>
          <w:szCs w:val="18"/>
        </w:rPr>
        <w:t>house churches and converts” (Copenhage</w:t>
      </w:r>
      <w:r w:rsidRPr="001B2505">
        <w:rPr>
          <w:szCs w:val="18"/>
        </w:rPr>
        <w:t xml:space="preserve">n, </w:t>
      </w:r>
      <w:r w:rsidRPr="00D858C6">
        <w:rPr>
          <w:szCs w:val="18"/>
        </w:rPr>
        <w:t>2018</w:t>
      </w:r>
      <w:r w:rsidRPr="00B4636A">
        <w:rPr>
          <w:szCs w:val="18"/>
        </w:rPr>
        <w:t>)</w:t>
      </w:r>
      <w:r w:rsidRPr="00B4636A">
        <w:rPr>
          <w:szCs w:val="18"/>
          <w:rtl/>
        </w:rPr>
        <w:t>.</w:t>
      </w:r>
    </w:p>
  </w:footnote>
  <w:footnote w:id="15">
    <w:p w14:paraId="61B173B6"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tl/>
        </w:rPr>
      </w:pPr>
      <w:r>
        <w:rPr>
          <w:szCs w:val="18"/>
          <w:rtl/>
        </w:rPr>
        <w:t>(</w:t>
      </w:r>
      <w:r w:rsidRPr="00D858C6">
        <w:rPr>
          <w:szCs w:val="18"/>
        </w:rPr>
        <w:footnoteRef/>
      </w:r>
      <w:r>
        <w:rPr>
          <w:szCs w:val="18"/>
          <w:rtl/>
        </w:rPr>
        <w:t>)</w:t>
      </w:r>
      <w:r w:rsidRPr="00B4636A">
        <w:rPr>
          <w:szCs w:val="18"/>
          <w:rtl/>
        </w:rPr>
        <w:tab/>
        <w:t>المحكمة العليا (دائرة الهجرة واللجوء</w:t>
      </w:r>
      <w:r w:rsidRPr="001B2505">
        <w:rPr>
          <w:szCs w:val="18"/>
          <w:rtl/>
        </w:rPr>
        <w:t xml:space="preserve">)، </w:t>
      </w:r>
      <w:r w:rsidRPr="00B4636A">
        <w:rPr>
          <w:szCs w:val="18"/>
          <w:rtl/>
        </w:rPr>
        <w:t xml:space="preserve">قضية </w:t>
      </w:r>
      <w:r w:rsidRPr="00D858C6">
        <w:rPr>
          <w:i/>
          <w:iCs/>
          <w:szCs w:val="18"/>
          <w:rtl/>
        </w:rPr>
        <w:t>س.</w:t>
      </w:r>
      <w:r w:rsidRPr="00D858C6">
        <w:rPr>
          <w:rFonts w:hint="cs"/>
          <w:i/>
          <w:iCs/>
          <w:szCs w:val="18"/>
          <w:rtl/>
        </w:rPr>
        <w:t xml:space="preserve"> </w:t>
      </w:r>
      <w:r w:rsidRPr="00D858C6">
        <w:rPr>
          <w:i/>
          <w:iCs/>
          <w:szCs w:val="18"/>
          <w:rtl/>
        </w:rPr>
        <w:t>س.</w:t>
      </w:r>
      <w:r w:rsidRPr="00D858C6">
        <w:rPr>
          <w:rFonts w:hint="cs"/>
          <w:i/>
          <w:iCs/>
          <w:szCs w:val="18"/>
          <w:rtl/>
        </w:rPr>
        <w:t xml:space="preserve"> </w:t>
      </w:r>
      <w:r w:rsidRPr="00D858C6">
        <w:rPr>
          <w:i/>
          <w:iCs/>
          <w:szCs w:val="18"/>
          <w:rtl/>
        </w:rPr>
        <w:t>ه</w:t>
      </w:r>
      <w:r w:rsidRPr="00D858C6">
        <w:rPr>
          <w:rFonts w:hint="cs"/>
          <w:i/>
          <w:iCs/>
          <w:szCs w:val="18"/>
          <w:rtl/>
        </w:rPr>
        <w:t>.</w:t>
      </w:r>
      <w:r w:rsidRPr="00D858C6">
        <w:rPr>
          <w:i/>
          <w:iCs/>
          <w:szCs w:val="18"/>
          <w:rtl/>
        </w:rPr>
        <w:t xml:space="preserve"> &amp; ه.</w:t>
      </w:r>
      <w:r w:rsidRPr="00D858C6">
        <w:rPr>
          <w:rFonts w:hint="cs"/>
          <w:i/>
          <w:iCs/>
          <w:szCs w:val="18"/>
          <w:rtl/>
        </w:rPr>
        <w:t xml:space="preserve"> </w:t>
      </w:r>
      <w:r w:rsidRPr="00D858C6">
        <w:rPr>
          <w:i/>
          <w:iCs/>
          <w:szCs w:val="18"/>
          <w:rtl/>
        </w:rPr>
        <w:t>ر. ضد وزير الداخلية</w:t>
      </w:r>
      <w:r w:rsidRPr="00B4636A">
        <w:rPr>
          <w:szCs w:val="18"/>
          <w:rtl/>
        </w:rPr>
        <w:t xml:space="preserve">، القضية رقم </w:t>
      </w:r>
      <w:r w:rsidRPr="00D858C6">
        <w:rPr>
          <w:szCs w:val="18"/>
          <w:rtl/>
        </w:rPr>
        <w:t>00308</w:t>
      </w:r>
      <w:r w:rsidRPr="00B4636A">
        <w:rPr>
          <w:szCs w:val="18"/>
          <w:rtl/>
        </w:rPr>
        <w:t xml:space="preserve">، القرار والأسباب الصادرة، </w:t>
      </w:r>
      <w:r w:rsidRPr="00D858C6">
        <w:rPr>
          <w:szCs w:val="18"/>
          <w:rtl/>
        </w:rPr>
        <w:t>29</w:t>
      </w:r>
      <w:r w:rsidRPr="00B4636A">
        <w:rPr>
          <w:szCs w:val="18"/>
          <w:rtl/>
        </w:rPr>
        <w:t xml:space="preserve"> حزيران/</w:t>
      </w:r>
      <w:proofErr w:type="gramStart"/>
      <w:r w:rsidRPr="00B4636A">
        <w:rPr>
          <w:szCs w:val="18"/>
          <w:rtl/>
        </w:rPr>
        <w:t>يونيه</w:t>
      </w:r>
      <w:proofErr w:type="gramEnd"/>
      <w:r w:rsidRPr="00B4636A">
        <w:rPr>
          <w:szCs w:val="18"/>
          <w:rtl/>
        </w:rPr>
        <w:t xml:space="preserve"> </w:t>
      </w:r>
      <w:r w:rsidRPr="00D858C6">
        <w:rPr>
          <w:szCs w:val="18"/>
          <w:rtl/>
        </w:rPr>
        <w:t>2016</w:t>
      </w:r>
      <w:r w:rsidRPr="00B4636A">
        <w:rPr>
          <w:szCs w:val="18"/>
          <w:rtl/>
        </w:rPr>
        <w:t xml:space="preserve">، الفقرة </w:t>
      </w:r>
      <w:r w:rsidRPr="00D858C6">
        <w:rPr>
          <w:szCs w:val="18"/>
          <w:rtl/>
        </w:rPr>
        <w:t>33</w:t>
      </w:r>
      <w:r w:rsidRPr="001B2505">
        <w:rPr>
          <w:szCs w:val="18"/>
          <w:rtl/>
        </w:rPr>
        <w:t xml:space="preserve">. </w:t>
      </w:r>
    </w:p>
  </w:footnote>
  <w:footnote w:id="16">
    <w:p w14:paraId="2B91B5C7"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tl/>
        </w:rPr>
      </w:pPr>
      <w:r>
        <w:rPr>
          <w:szCs w:val="18"/>
          <w:rtl/>
        </w:rPr>
        <w:t>(</w:t>
      </w:r>
      <w:r w:rsidRPr="00D858C6">
        <w:rPr>
          <w:szCs w:val="18"/>
        </w:rPr>
        <w:footnoteRef/>
      </w:r>
      <w:r>
        <w:rPr>
          <w:szCs w:val="18"/>
          <w:rtl/>
        </w:rPr>
        <w:t>)</w:t>
      </w:r>
      <w:r w:rsidRPr="00B4636A">
        <w:rPr>
          <w:szCs w:val="18"/>
          <w:rtl/>
        </w:rPr>
        <w:tab/>
      </w:r>
      <w:r w:rsidRPr="00B4636A">
        <w:rPr>
          <w:szCs w:val="18"/>
        </w:rPr>
        <w:t>“Country policy and information not</w:t>
      </w:r>
      <w:r w:rsidRPr="001B2505">
        <w:rPr>
          <w:szCs w:val="18"/>
        </w:rPr>
        <w:t xml:space="preserve">e: </w:t>
      </w:r>
      <w:r w:rsidRPr="00B4636A">
        <w:rPr>
          <w:szCs w:val="18"/>
        </w:rPr>
        <w:t xml:space="preserve">Iran – Christians and Christian </w:t>
      </w:r>
      <w:proofErr w:type="gramStart"/>
      <w:r w:rsidRPr="00B4636A">
        <w:rPr>
          <w:szCs w:val="18"/>
        </w:rPr>
        <w:t>converts”,</w:t>
      </w:r>
      <w:proofErr w:type="gramEnd"/>
      <w:r w:rsidRPr="00B4636A">
        <w:rPr>
          <w:szCs w:val="18"/>
        </w:rPr>
        <w:t xml:space="preserve"> </w:t>
      </w:r>
      <w:r w:rsidRPr="00D858C6">
        <w:rPr>
          <w:szCs w:val="18"/>
        </w:rPr>
        <w:t>6</w:t>
      </w:r>
      <w:r w:rsidRPr="00B4636A">
        <w:rPr>
          <w:szCs w:val="18"/>
        </w:rPr>
        <w:t>th e</w:t>
      </w:r>
      <w:r w:rsidRPr="001B2505">
        <w:rPr>
          <w:szCs w:val="18"/>
        </w:rPr>
        <w:t xml:space="preserve">d. </w:t>
      </w:r>
      <w:r w:rsidRPr="00B4636A">
        <w:rPr>
          <w:szCs w:val="18"/>
        </w:rPr>
        <w:t>(Londo</w:t>
      </w:r>
      <w:r w:rsidRPr="001B2505">
        <w:rPr>
          <w:szCs w:val="18"/>
        </w:rPr>
        <w:t xml:space="preserve">n, </w:t>
      </w:r>
      <w:r w:rsidRPr="00D858C6">
        <w:rPr>
          <w:szCs w:val="18"/>
        </w:rPr>
        <w:t>2020</w:t>
      </w:r>
      <w:r w:rsidRPr="001B2505">
        <w:rPr>
          <w:szCs w:val="18"/>
        </w:rPr>
        <w:t xml:space="preserve">), </w:t>
      </w:r>
      <w:r w:rsidRPr="00B4636A">
        <w:rPr>
          <w:szCs w:val="18"/>
        </w:rPr>
        <w:t xml:space="preserve">para </w:t>
      </w:r>
      <w:r w:rsidRPr="00D858C6">
        <w:rPr>
          <w:szCs w:val="18"/>
        </w:rPr>
        <w:t>5</w:t>
      </w:r>
      <w:r w:rsidRPr="00B4636A">
        <w:rPr>
          <w:szCs w:val="18"/>
          <w:rtl/>
        </w:rPr>
        <w:t>.</w:t>
      </w:r>
    </w:p>
  </w:footnote>
  <w:footnote w:id="17">
    <w:p w14:paraId="57ACFE2F" w14:textId="0AE1F51D"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bookmarkStart w:id="1" w:name="_Hlk110868052"/>
      <w:r>
        <w:rPr>
          <w:szCs w:val="18"/>
          <w:rtl/>
        </w:rPr>
        <w:t>(</w:t>
      </w:r>
      <w:r w:rsidRPr="00D858C6">
        <w:rPr>
          <w:szCs w:val="18"/>
        </w:rPr>
        <w:footnoteRef/>
      </w:r>
      <w:r>
        <w:rPr>
          <w:szCs w:val="18"/>
          <w:rtl/>
        </w:rPr>
        <w:t>)</w:t>
      </w:r>
      <w:r w:rsidRPr="00B4636A">
        <w:rPr>
          <w:szCs w:val="18"/>
          <w:rtl/>
        </w:rPr>
        <w:tab/>
      </w:r>
      <w:r w:rsidRPr="00B4636A">
        <w:rPr>
          <w:szCs w:val="18"/>
        </w:rPr>
        <w:t>United Kingdo</w:t>
      </w:r>
      <w:r w:rsidRPr="001B2505">
        <w:rPr>
          <w:szCs w:val="18"/>
        </w:rPr>
        <w:t xml:space="preserve">m, </w:t>
      </w:r>
      <w:r w:rsidRPr="00B4636A">
        <w:rPr>
          <w:szCs w:val="18"/>
        </w:rPr>
        <w:t>Home Offic</w:t>
      </w:r>
      <w:r w:rsidRPr="001B2505">
        <w:rPr>
          <w:szCs w:val="18"/>
        </w:rPr>
        <w:t xml:space="preserve">e, </w:t>
      </w:r>
      <w:r w:rsidRPr="00B4636A">
        <w:rPr>
          <w:szCs w:val="18"/>
        </w:rPr>
        <w:t>“Country policy and information not</w:t>
      </w:r>
      <w:r w:rsidRPr="001B2505">
        <w:rPr>
          <w:szCs w:val="18"/>
        </w:rPr>
        <w:t xml:space="preserve">e: </w:t>
      </w:r>
      <w:r w:rsidRPr="00B4636A">
        <w:rPr>
          <w:szCs w:val="18"/>
        </w:rPr>
        <w:t xml:space="preserve">Iran – military </w:t>
      </w:r>
      <w:proofErr w:type="gramStart"/>
      <w:r w:rsidRPr="00B4636A">
        <w:rPr>
          <w:szCs w:val="18"/>
        </w:rPr>
        <w:t>service”,</w:t>
      </w:r>
      <w:proofErr w:type="gramEnd"/>
      <w:r w:rsidRPr="00B4636A">
        <w:rPr>
          <w:szCs w:val="18"/>
        </w:rPr>
        <w:t xml:space="preserve"> </w:t>
      </w:r>
      <w:r w:rsidRPr="00D858C6">
        <w:rPr>
          <w:szCs w:val="18"/>
        </w:rPr>
        <w:t>2</w:t>
      </w:r>
      <w:r w:rsidRPr="00B4636A">
        <w:rPr>
          <w:szCs w:val="18"/>
        </w:rPr>
        <w:t>nd e</w:t>
      </w:r>
      <w:r w:rsidRPr="001B2505">
        <w:rPr>
          <w:szCs w:val="18"/>
        </w:rPr>
        <w:t xml:space="preserve">d. </w:t>
      </w:r>
      <w:r w:rsidRPr="00B4636A">
        <w:rPr>
          <w:szCs w:val="18"/>
        </w:rPr>
        <w:t>(Londo</w:t>
      </w:r>
      <w:r w:rsidRPr="001B2505">
        <w:rPr>
          <w:szCs w:val="18"/>
        </w:rPr>
        <w:t xml:space="preserve">n, </w:t>
      </w:r>
      <w:r w:rsidRPr="00D858C6">
        <w:rPr>
          <w:szCs w:val="18"/>
        </w:rPr>
        <w:t>2020</w:t>
      </w:r>
      <w:r w:rsidRPr="001B2505">
        <w:rPr>
          <w:szCs w:val="18"/>
        </w:rPr>
        <w:t>)</w:t>
      </w:r>
      <w:r w:rsidRPr="001B2505">
        <w:rPr>
          <w:szCs w:val="18"/>
          <w:rtl/>
        </w:rPr>
        <w:t xml:space="preserve">. </w:t>
      </w:r>
      <w:r w:rsidRPr="00B4636A">
        <w:rPr>
          <w:szCs w:val="18"/>
          <w:rtl/>
        </w:rPr>
        <w:t>ويلاحظ أيضا</w:t>
      </w:r>
      <w:r w:rsidRPr="00B4636A">
        <w:rPr>
          <w:rFonts w:hint="cs"/>
          <w:szCs w:val="18"/>
          <w:rtl/>
        </w:rPr>
        <w:t>ً</w:t>
      </w:r>
      <w:r w:rsidRPr="00B4636A">
        <w:rPr>
          <w:szCs w:val="18"/>
          <w:rtl/>
        </w:rPr>
        <w:t xml:space="preserve"> في تلك الوثيقة أن التهرب من الخدمة العسكرية يعاقب عليه بموجب المادة </w:t>
      </w:r>
      <w:r w:rsidRPr="00D858C6">
        <w:rPr>
          <w:szCs w:val="18"/>
          <w:rtl/>
        </w:rPr>
        <w:t>40</w:t>
      </w:r>
      <w:r w:rsidRPr="00B4636A">
        <w:rPr>
          <w:szCs w:val="18"/>
          <w:rtl/>
        </w:rPr>
        <w:t xml:space="preserve"> من قانون عقوبات القوات المسلحة بالسجن لمدة تتراوح بين ستة أشهر وسنتين، أو تمديد الخدمة، وأن الشباب الذين تبلغ أعمارهم </w:t>
      </w:r>
      <w:r w:rsidRPr="00D858C6">
        <w:rPr>
          <w:szCs w:val="18"/>
          <w:rtl/>
        </w:rPr>
        <w:t>18</w:t>
      </w:r>
      <w:r w:rsidRPr="00B4636A">
        <w:rPr>
          <w:szCs w:val="18"/>
          <w:rtl/>
        </w:rPr>
        <w:t xml:space="preserve"> </w:t>
      </w:r>
      <w:r>
        <w:rPr>
          <w:szCs w:val="18"/>
          <w:rtl/>
        </w:rPr>
        <w:t>عاماً</w:t>
      </w:r>
      <w:r w:rsidRPr="00B4636A">
        <w:rPr>
          <w:szCs w:val="18"/>
          <w:rtl/>
        </w:rPr>
        <w:t xml:space="preserve"> والذين يدعون إلى الخدمة العسكرية ولا يلبون نداء السلطات يعتبرون متهربين من التجنيد. ولا توجد خدمة عسكرية بديلة في جمهورية إيران الإسلامية ولا يعترف بالاستنكاف الضميري. ويخضع التهرب من التجنيد للملاحقة القضائية (الفقرة </w:t>
      </w:r>
      <w:r w:rsidRPr="00D858C6">
        <w:rPr>
          <w:szCs w:val="18"/>
          <w:rtl/>
        </w:rPr>
        <w:t>6</w:t>
      </w:r>
      <w:r w:rsidRPr="00B4636A">
        <w:rPr>
          <w:szCs w:val="18"/>
          <w:rtl/>
        </w:rPr>
        <w:t>-</w:t>
      </w:r>
      <w:r w:rsidRPr="00D858C6">
        <w:rPr>
          <w:szCs w:val="18"/>
          <w:rtl/>
        </w:rPr>
        <w:t>1</w:t>
      </w:r>
      <w:r w:rsidRPr="00B4636A">
        <w:rPr>
          <w:szCs w:val="18"/>
          <w:rtl/>
        </w:rPr>
        <w:t>-</w:t>
      </w:r>
      <w:r w:rsidRPr="00D858C6">
        <w:rPr>
          <w:szCs w:val="18"/>
          <w:rtl/>
        </w:rPr>
        <w:t>4</w:t>
      </w:r>
      <w:r w:rsidRPr="001B2505">
        <w:rPr>
          <w:szCs w:val="18"/>
          <w:rtl/>
        </w:rPr>
        <w:t xml:space="preserve">). </w:t>
      </w:r>
    </w:p>
    <w:bookmarkEnd w:id="1"/>
  </w:footnote>
  <w:footnote w:id="18">
    <w:p w14:paraId="7EF5FBDA"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قانون إقامة العدل </w:t>
      </w:r>
      <w:r w:rsidRPr="00B4636A">
        <w:rPr>
          <w:szCs w:val="18"/>
        </w:rPr>
        <w:t>(</w:t>
      </w:r>
      <w:proofErr w:type="spellStart"/>
      <w:r w:rsidRPr="00B4636A">
        <w:rPr>
          <w:szCs w:val="18"/>
        </w:rPr>
        <w:t>Retsplejelove</w:t>
      </w:r>
      <w:r w:rsidRPr="001B2505">
        <w:rPr>
          <w:szCs w:val="18"/>
        </w:rPr>
        <w:t>n</w:t>
      </w:r>
      <w:proofErr w:type="spellEnd"/>
      <w:r w:rsidRPr="001B2505">
        <w:rPr>
          <w:szCs w:val="18"/>
        </w:rPr>
        <w:t>)</w:t>
      </w:r>
      <w:r w:rsidRPr="001B2505">
        <w:rPr>
          <w:szCs w:val="18"/>
          <w:rtl/>
        </w:rPr>
        <w:t xml:space="preserve"> </w:t>
      </w:r>
      <w:proofErr w:type="spellStart"/>
      <w:r w:rsidRPr="00B4636A">
        <w:rPr>
          <w:szCs w:val="18"/>
          <w:rtl/>
        </w:rPr>
        <w:t>الدانمركي</w:t>
      </w:r>
      <w:proofErr w:type="spellEnd"/>
      <w:r w:rsidRPr="00B4636A">
        <w:rPr>
          <w:szCs w:val="18"/>
          <w:rtl/>
        </w:rPr>
        <w:t xml:space="preserve">، المادة </w:t>
      </w:r>
      <w:r w:rsidRPr="00D858C6">
        <w:rPr>
          <w:szCs w:val="18"/>
          <w:rtl/>
        </w:rPr>
        <w:t>341</w:t>
      </w:r>
      <w:r w:rsidRPr="00B4636A">
        <w:rPr>
          <w:szCs w:val="18"/>
          <w:rtl/>
        </w:rPr>
        <w:t>.</w:t>
      </w:r>
    </w:p>
  </w:footnote>
  <w:footnote w:id="19">
    <w:p w14:paraId="7BB7DCD9" w14:textId="77777777" w:rsidR="001B2505" w:rsidRPr="00B4636A" w:rsidRDefault="001B2505" w:rsidP="001B2505">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r>
      <w:r w:rsidRPr="00D858C6">
        <w:rPr>
          <w:i/>
          <w:iCs/>
          <w:szCs w:val="18"/>
          <w:rtl/>
        </w:rPr>
        <w:t>س. ضد النرويج</w:t>
      </w:r>
      <w:r w:rsidRPr="00B4636A">
        <w:rPr>
          <w:szCs w:val="18"/>
          <w:rtl/>
        </w:rPr>
        <w:t xml:space="preserve"> (</w:t>
      </w:r>
      <w:hyperlink r:id="rId9" w:history="1">
        <w:r w:rsidRPr="001B2505">
          <w:rPr>
            <w:rStyle w:val="Hyperlink"/>
            <w:lang w:val="en-AU"/>
          </w:rPr>
          <w:t>CCPR/C/</w:t>
        </w:r>
        <w:r w:rsidRPr="00D858C6">
          <w:rPr>
            <w:rStyle w:val="Hyperlink"/>
            <w:lang w:val="en-AU"/>
          </w:rPr>
          <w:t>115</w:t>
        </w:r>
        <w:r w:rsidRPr="001B2505">
          <w:rPr>
            <w:rStyle w:val="Hyperlink"/>
            <w:lang w:val="en-AU"/>
          </w:rPr>
          <w:t>/D/</w:t>
        </w:r>
        <w:r w:rsidRPr="00D858C6">
          <w:rPr>
            <w:rStyle w:val="Hyperlink"/>
            <w:lang w:val="en-AU"/>
          </w:rPr>
          <w:t>2474</w:t>
        </w:r>
        <w:r w:rsidRPr="001B2505">
          <w:rPr>
            <w:rStyle w:val="Hyperlink"/>
            <w:lang w:val="en-AU"/>
          </w:rPr>
          <w:t>/</w:t>
        </w:r>
        <w:r w:rsidRPr="00D858C6">
          <w:rPr>
            <w:rStyle w:val="Hyperlink"/>
            <w:lang w:val="en-AU"/>
          </w:rPr>
          <w:t>2014</w:t>
        </w:r>
      </w:hyperlink>
      <w:r w:rsidRPr="001B2505">
        <w:rPr>
          <w:szCs w:val="18"/>
          <w:rtl/>
        </w:rPr>
        <w:t xml:space="preserve">)، </w:t>
      </w:r>
      <w:r w:rsidRPr="00B4636A">
        <w:rPr>
          <w:szCs w:val="18"/>
          <w:rtl/>
        </w:rPr>
        <w:t>الفقرات</w:t>
      </w:r>
      <w:r w:rsidRPr="00D858C6">
        <w:rPr>
          <w:szCs w:val="18"/>
          <w:rtl/>
        </w:rPr>
        <w:t>7</w:t>
      </w:r>
      <w:r w:rsidRPr="00B4636A">
        <w:rPr>
          <w:szCs w:val="18"/>
          <w:rtl/>
        </w:rPr>
        <w:t>-</w:t>
      </w:r>
      <w:r w:rsidRPr="00D858C6">
        <w:rPr>
          <w:szCs w:val="18"/>
          <w:rtl/>
        </w:rPr>
        <w:t>4</w:t>
      </w:r>
      <w:r w:rsidRPr="00B4636A">
        <w:rPr>
          <w:szCs w:val="18"/>
          <w:rtl/>
        </w:rPr>
        <w:t xml:space="preserve"> و</w:t>
      </w:r>
      <w:r w:rsidRPr="00D858C6">
        <w:rPr>
          <w:szCs w:val="18"/>
          <w:rtl/>
        </w:rPr>
        <w:t>7</w:t>
      </w:r>
      <w:r w:rsidRPr="00B4636A">
        <w:rPr>
          <w:szCs w:val="18"/>
          <w:rtl/>
        </w:rPr>
        <w:t>-</w:t>
      </w:r>
      <w:r w:rsidRPr="00D858C6">
        <w:rPr>
          <w:szCs w:val="18"/>
          <w:rtl/>
        </w:rPr>
        <w:t>5</w:t>
      </w:r>
      <w:r w:rsidRPr="00B4636A">
        <w:rPr>
          <w:szCs w:val="18"/>
          <w:rtl/>
        </w:rPr>
        <w:t xml:space="preserve"> و</w:t>
      </w:r>
      <w:r w:rsidRPr="00D858C6">
        <w:rPr>
          <w:szCs w:val="18"/>
          <w:rtl/>
        </w:rPr>
        <w:t>7</w:t>
      </w:r>
      <w:r w:rsidRPr="00B4636A">
        <w:rPr>
          <w:szCs w:val="18"/>
          <w:rtl/>
        </w:rPr>
        <w:t>-</w:t>
      </w:r>
      <w:r w:rsidRPr="00D858C6">
        <w:rPr>
          <w:szCs w:val="18"/>
          <w:rtl/>
        </w:rPr>
        <w:t>7</w:t>
      </w:r>
      <w:r w:rsidRPr="00B4636A">
        <w:rPr>
          <w:szCs w:val="18"/>
          <w:rtl/>
        </w:rPr>
        <w:t>.</w:t>
      </w:r>
    </w:p>
  </w:footnote>
  <w:footnote w:id="20">
    <w:p w14:paraId="6BDE27CF" w14:textId="77777777" w:rsidR="001B2505" w:rsidRPr="00B4636A" w:rsidRDefault="001B2505" w:rsidP="001B2505">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انظر </w:t>
      </w:r>
      <w:r w:rsidRPr="00D858C6">
        <w:rPr>
          <w:i/>
          <w:iCs/>
          <w:szCs w:val="18"/>
          <w:rtl/>
        </w:rPr>
        <w:t>أ. إ. ضد الدانمرك</w:t>
      </w:r>
      <w:r w:rsidRPr="00B4636A">
        <w:rPr>
          <w:szCs w:val="18"/>
          <w:rtl/>
        </w:rPr>
        <w:t xml:space="preserve"> (</w:t>
      </w:r>
      <w:hyperlink r:id="rId10" w:history="1">
        <w:r w:rsidRPr="001B2505">
          <w:rPr>
            <w:rStyle w:val="Hyperlink"/>
            <w:lang w:val="en-AU"/>
          </w:rPr>
          <w:t>CCPR/C/</w:t>
        </w:r>
        <w:r w:rsidRPr="00D858C6">
          <w:rPr>
            <w:rStyle w:val="Hyperlink"/>
            <w:lang w:val="en-AU"/>
          </w:rPr>
          <w:t>115</w:t>
        </w:r>
        <w:r w:rsidRPr="001B2505">
          <w:rPr>
            <w:rStyle w:val="Hyperlink"/>
            <w:lang w:val="en-AU"/>
          </w:rPr>
          <w:t>/D/</w:t>
        </w:r>
        <w:r w:rsidRPr="00D858C6">
          <w:rPr>
            <w:rStyle w:val="Hyperlink"/>
            <w:lang w:val="en-AU"/>
          </w:rPr>
          <w:t>2320</w:t>
        </w:r>
        <w:r w:rsidRPr="001B2505">
          <w:rPr>
            <w:rStyle w:val="Hyperlink"/>
            <w:lang w:val="en-AU"/>
          </w:rPr>
          <w:t>/</w:t>
        </w:r>
        <w:r w:rsidRPr="00D858C6">
          <w:rPr>
            <w:rStyle w:val="Hyperlink"/>
            <w:lang w:val="en-AU"/>
          </w:rPr>
          <w:t>2013</w:t>
        </w:r>
        <w:r w:rsidRPr="001B2505">
          <w:rPr>
            <w:rStyle w:val="Hyperlink"/>
            <w:rtl/>
            <w:lang w:val="en-AU"/>
          </w:rPr>
          <w:t>).</w:t>
        </w:r>
      </w:hyperlink>
    </w:p>
  </w:footnote>
  <w:footnote w:id="21">
    <w:p w14:paraId="0D60E33F" w14:textId="77777777" w:rsidR="001B2505" w:rsidRPr="00B4636A" w:rsidRDefault="001B2505" w:rsidP="001B2505">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على سبيل المثال، قضية </w:t>
      </w:r>
      <w:r w:rsidRPr="00D858C6">
        <w:rPr>
          <w:i/>
          <w:iCs/>
          <w:szCs w:val="18"/>
          <w:rtl/>
        </w:rPr>
        <w:t>إ. ك. ضد الدانمرك</w:t>
      </w:r>
      <w:r w:rsidRPr="00B4636A">
        <w:rPr>
          <w:szCs w:val="18"/>
          <w:rtl/>
        </w:rPr>
        <w:t xml:space="preserve"> (</w:t>
      </w:r>
      <w:hyperlink r:id="rId11" w:history="1">
        <w:r w:rsidRPr="001B2505">
          <w:rPr>
            <w:rStyle w:val="Hyperlink"/>
            <w:lang w:val="en-AU"/>
          </w:rPr>
          <w:t>CCPR/C/</w:t>
        </w:r>
        <w:r w:rsidRPr="00D858C6">
          <w:rPr>
            <w:rStyle w:val="Hyperlink"/>
            <w:lang w:val="en-AU"/>
          </w:rPr>
          <w:t>126</w:t>
        </w:r>
        <w:r w:rsidRPr="001B2505">
          <w:rPr>
            <w:rStyle w:val="Hyperlink"/>
            <w:lang w:val="en-AU"/>
          </w:rPr>
          <w:t>/D/</w:t>
        </w:r>
        <w:r w:rsidRPr="00D858C6">
          <w:rPr>
            <w:rStyle w:val="Hyperlink"/>
            <w:lang w:val="en-AU"/>
          </w:rPr>
          <w:t>2346</w:t>
        </w:r>
        <w:r w:rsidRPr="001B2505">
          <w:rPr>
            <w:rStyle w:val="Hyperlink"/>
            <w:lang w:val="en-AU"/>
          </w:rPr>
          <w:t>/</w:t>
        </w:r>
        <w:r w:rsidRPr="00D858C6">
          <w:rPr>
            <w:rStyle w:val="Hyperlink"/>
            <w:lang w:val="en-AU"/>
          </w:rPr>
          <w:t>2014</w:t>
        </w:r>
      </w:hyperlink>
      <w:r w:rsidRPr="001B2505">
        <w:rPr>
          <w:szCs w:val="18"/>
          <w:rtl/>
        </w:rPr>
        <w:t xml:space="preserve">)، </w:t>
      </w:r>
      <w:r w:rsidRPr="00B4636A">
        <w:rPr>
          <w:szCs w:val="18"/>
          <w:rtl/>
        </w:rPr>
        <w:t xml:space="preserve">وقضية </w:t>
      </w:r>
      <w:r w:rsidRPr="00D858C6">
        <w:rPr>
          <w:i/>
          <w:iCs/>
          <w:szCs w:val="18"/>
          <w:rtl/>
        </w:rPr>
        <w:t>إ. ك. ضد الدانمرك</w:t>
      </w:r>
      <w:r w:rsidRPr="00B4636A">
        <w:rPr>
          <w:szCs w:val="18"/>
          <w:rtl/>
        </w:rPr>
        <w:t xml:space="preserve"> (</w:t>
      </w:r>
      <w:hyperlink r:id="rId12" w:history="1">
        <w:r w:rsidRPr="001B2505">
          <w:rPr>
            <w:rStyle w:val="Hyperlink"/>
            <w:lang w:val="en-AU"/>
          </w:rPr>
          <w:t>CCPR/C/</w:t>
        </w:r>
        <w:r w:rsidRPr="00D858C6">
          <w:rPr>
            <w:rStyle w:val="Hyperlink"/>
            <w:lang w:val="en-AU"/>
          </w:rPr>
          <w:t>125</w:t>
        </w:r>
        <w:r w:rsidRPr="001B2505">
          <w:rPr>
            <w:rStyle w:val="Hyperlink"/>
            <w:lang w:val="en-AU"/>
          </w:rPr>
          <w:t>/D/</w:t>
        </w:r>
        <w:r w:rsidRPr="00D858C6">
          <w:rPr>
            <w:rStyle w:val="Hyperlink"/>
            <w:lang w:val="en-AU"/>
          </w:rPr>
          <w:t>2373</w:t>
        </w:r>
        <w:r w:rsidRPr="001B2505">
          <w:rPr>
            <w:rStyle w:val="Hyperlink"/>
            <w:lang w:val="en-AU"/>
          </w:rPr>
          <w:t>/</w:t>
        </w:r>
        <w:r w:rsidRPr="00D858C6">
          <w:rPr>
            <w:rStyle w:val="Hyperlink"/>
            <w:lang w:val="en-AU"/>
          </w:rPr>
          <w:t>2014</w:t>
        </w:r>
      </w:hyperlink>
      <w:r w:rsidRPr="001B2505">
        <w:rPr>
          <w:szCs w:val="18"/>
          <w:rtl/>
        </w:rPr>
        <w:t xml:space="preserve">)، </w:t>
      </w:r>
      <w:r w:rsidRPr="00D858C6">
        <w:rPr>
          <w:i/>
          <w:iCs/>
          <w:szCs w:val="18"/>
          <w:rtl/>
        </w:rPr>
        <w:t>م. ب. س. ضد الدانمرك</w:t>
      </w:r>
      <w:r w:rsidRPr="00B4636A">
        <w:rPr>
          <w:szCs w:val="18"/>
          <w:rtl/>
        </w:rPr>
        <w:t xml:space="preserve"> (</w:t>
      </w:r>
      <w:hyperlink r:id="rId13" w:history="1">
        <w:r w:rsidRPr="001B2505">
          <w:rPr>
            <w:rStyle w:val="Hyperlink"/>
            <w:lang w:val="en-AU"/>
          </w:rPr>
          <w:t>CCPR/C/</w:t>
        </w:r>
        <w:r w:rsidRPr="00D858C6">
          <w:rPr>
            <w:rStyle w:val="Hyperlink"/>
            <w:lang w:val="en-AU"/>
          </w:rPr>
          <w:t>125</w:t>
        </w:r>
        <w:r w:rsidRPr="001B2505">
          <w:rPr>
            <w:rStyle w:val="Hyperlink"/>
            <w:lang w:val="en-AU"/>
          </w:rPr>
          <w:t>/D/</w:t>
        </w:r>
        <w:r w:rsidRPr="00D858C6">
          <w:rPr>
            <w:rStyle w:val="Hyperlink"/>
            <w:lang w:val="en-AU"/>
          </w:rPr>
          <w:t>2439</w:t>
        </w:r>
        <w:r w:rsidRPr="001B2505">
          <w:rPr>
            <w:rStyle w:val="Hyperlink"/>
            <w:lang w:val="en-AU"/>
          </w:rPr>
          <w:t>/</w:t>
        </w:r>
        <w:r w:rsidRPr="00D858C6">
          <w:rPr>
            <w:rStyle w:val="Hyperlink"/>
            <w:lang w:val="en-AU"/>
          </w:rPr>
          <w:t>2014</w:t>
        </w:r>
      </w:hyperlink>
      <w:r w:rsidRPr="001B2505">
        <w:rPr>
          <w:szCs w:val="18"/>
          <w:rtl/>
        </w:rPr>
        <w:t xml:space="preserve">) </w:t>
      </w:r>
      <w:r w:rsidRPr="00B4636A">
        <w:rPr>
          <w:szCs w:val="18"/>
          <w:rtl/>
        </w:rPr>
        <w:t xml:space="preserve">وقضية </w:t>
      </w:r>
      <w:r w:rsidRPr="00D858C6">
        <w:rPr>
          <w:i/>
          <w:iCs/>
          <w:szCs w:val="18"/>
          <w:rtl/>
        </w:rPr>
        <w:t>س. ف. ضد الدانمرك</w:t>
      </w:r>
      <w:r w:rsidRPr="00B4636A">
        <w:rPr>
          <w:szCs w:val="18"/>
          <w:rtl/>
        </w:rPr>
        <w:t xml:space="preserve"> (</w:t>
      </w:r>
      <w:hyperlink r:id="rId14" w:history="1">
        <w:r w:rsidRPr="001B2505">
          <w:rPr>
            <w:rStyle w:val="Hyperlink"/>
            <w:lang w:val="en-AU"/>
          </w:rPr>
          <w:t>CCPR/C/</w:t>
        </w:r>
        <w:r w:rsidRPr="00D858C6">
          <w:rPr>
            <w:rStyle w:val="Hyperlink"/>
            <w:lang w:val="en-AU"/>
          </w:rPr>
          <w:t>125</w:t>
        </w:r>
        <w:r w:rsidRPr="001B2505">
          <w:rPr>
            <w:rStyle w:val="Hyperlink"/>
            <w:lang w:val="en-AU"/>
          </w:rPr>
          <w:t>/D/</w:t>
        </w:r>
        <w:r w:rsidRPr="00D858C6">
          <w:rPr>
            <w:rStyle w:val="Hyperlink"/>
            <w:lang w:val="en-AU"/>
          </w:rPr>
          <w:t>2494</w:t>
        </w:r>
        <w:r w:rsidRPr="001B2505">
          <w:rPr>
            <w:rStyle w:val="Hyperlink"/>
            <w:lang w:val="en-AU"/>
          </w:rPr>
          <w:t>/</w:t>
        </w:r>
        <w:r w:rsidRPr="00D858C6">
          <w:rPr>
            <w:rStyle w:val="Hyperlink"/>
            <w:lang w:val="en-AU"/>
          </w:rPr>
          <w:t>2014</w:t>
        </w:r>
        <w:r w:rsidRPr="001B2505">
          <w:rPr>
            <w:rStyle w:val="Hyperlink"/>
            <w:rtl/>
            <w:lang w:val="en-AU"/>
          </w:rPr>
          <w:t>).</w:t>
        </w:r>
      </w:hyperlink>
    </w:p>
  </w:footnote>
  <w:footnote w:id="22">
    <w:p w14:paraId="4A37B4AC" w14:textId="77777777" w:rsidR="001B2505" w:rsidRPr="00B4636A" w:rsidRDefault="001B2505" w:rsidP="001B2505">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قضية </w:t>
      </w:r>
      <w:r w:rsidRPr="00D858C6">
        <w:rPr>
          <w:i/>
          <w:iCs/>
          <w:szCs w:val="18"/>
          <w:rtl/>
        </w:rPr>
        <w:t>م.</w:t>
      </w:r>
      <w:r w:rsidRPr="00D858C6">
        <w:rPr>
          <w:rFonts w:hint="cs"/>
          <w:i/>
          <w:iCs/>
          <w:szCs w:val="18"/>
          <w:rtl/>
        </w:rPr>
        <w:t xml:space="preserve"> </w:t>
      </w:r>
      <w:r w:rsidRPr="00D858C6">
        <w:rPr>
          <w:i/>
          <w:iCs/>
          <w:szCs w:val="18"/>
          <w:rtl/>
        </w:rPr>
        <w:t>م</w:t>
      </w:r>
      <w:r w:rsidRPr="00D858C6">
        <w:rPr>
          <w:rFonts w:hint="cs"/>
          <w:i/>
          <w:iCs/>
          <w:szCs w:val="18"/>
          <w:rtl/>
        </w:rPr>
        <w:t>.</w:t>
      </w:r>
      <w:r w:rsidRPr="00D858C6">
        <w:rPr>
          <w:i/>
          <w:iCs/>
          <w:szCs w:val="18"/>
          <w:rtl/>
        </w:rPr>
        <w:t xml:space="preserve"> ضد الدانمرك</w:t>
      </w:r>
      <w:r w:rsidRPr="00B4636A">
        <w:rPr>
          <w:szCs w:val="18"/>
          <w:rtl/>
        </w:rPr>
        <w:t xml:space="preserve"> (</w:t>
      </w:r>
      <w:hyperlink r:id="rId15" w:history="1">
        <w:r w:rsidRPr="001B2505">
          <w:rPr>
            <w:rStyle w:val="Hyperlink"/>
            <w:lang w:val="en-AU"/>
          </w:rPr>
          <w:t>CCPR/C/</w:t>
        </w:r>
        <w:r w:rsidRPr="00D858C6">
          <w:rPr>
            <w:rStyle w:val="Hyperlink"/>
            <w:lang w:val="en-AU"/>
          </w:rPr>
          <w:t>125</w:t>
        </w:r>
        <w:r w:rsidRPr="001B2505">
          <w:rPr>
            <w:rStyle w:val="Hyperlink"/>
            <w:lang w:val="en-AU"/>
          </w:rPr>
          <w:t>/D/</w:t>
        </w:r>
        <w:r w:rsidRPr="00D858C6">
          <w:rPr>
            <w:rStyle w:val="Hyperlink"/>
            <w:lang w:val="en-AU"/>
          </w:rPr>
          <w:t>2345</w:t>
        </w:r>
        <w:r w:rsidRPr="001B2505">
          <w:rPr>
            <w:rStyle w:val="Hyperlink"/>
            <w:lang w:val="en-AU"/>
          </w:rPr>
          <w:t>/</w:t>
        </w:r>
        <w:r w:rsidRPr="00D858C6">
          <w:rPr>
            <w:rStyle w:val="Hyperlink"/>
            <w:lang w:val="en-AU"/>
          </w:rPr>
          <w:t>2014</w:t>
        </w:r>
        <w:r w:rsidRPr="001B2505">
          <w:rPr>
            <w:rStyle w:val="Hyperlink"/>
            <w:rtl/>
            <w:lang w:val="en-AU"/>
          </w:rPr>
          <w:t>).</w:t>
        </w:r>
      </w:hyperlink>
    </w:p>
  </w:footnote>
  <w:footnote w:id="23">
    <w:p w14:paraId="47FFB062"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تنظر محكمة خاصة تقع في مطار مهر أباد في طهران في قضايا الأشخاص الذين يغادرون البلد دون جواز سفر ساري المفعول أو وثيقة سفر مماثلة. وتقيّم المحكمة خلفية الفرد، وتاريخ مغادرته البلد، وسبب مغادرته غير القانونية، وصلته بأي منظمات أو جماعات، وأي ظروف أخرى. وينطبق هذا الإجراء أيضا</w:t>
      </w:r>
      <w:r w:rsidRPr="00B4636A">
        <w:rPr>
          <w:rFonts w:hint="cs"/>
          <w:szCs w:val="18"/>
          <w:rtl/>
        </w:rPr>
        <w:t>ً</w:t>
      </w:r>
      <w:r w:rsidRPr="00B4636A">
        <w:rPr>
          <w:szCs w:val="18"/>
          <w:rtl/>
        </w:rPr>
        <w:t xml:space="preserve"> على الأشخاص المرحلين إلى جمهورية إيران الإسلامية الذين لا يحملون جواز سفر يحتوي على تأشيرة خروج.</w:t>
      </w:r>
      <w:r w:rsidRPr="00B4636A">
        <w:rPr>
          <w:rFonts w:hint="cs"/>
          <w:szCs w:val="18"/>
          <w:rtl/>
        </w:rPr>
        <w:t xml:space="preserve"> </w:t>
      </w:r>
      <w:r w:rsidRPr="00B4636A">
        <w:rPr>
          <w:szCs w:val="18"/>
          <w:rtl/>
        </w:rPr>
        <w:t xml:space="preserve">(مولوي وهداياتي - </w:t>
      </w:r>
      <w:proofErr w:type="spellStart"/>
      <w:r w:rsidRPr="00B4636A">
        <w:rPr>
          <w:szCs w:val="18"/>
          <w:rtl/>
        </w:rPr>
        <w:t>كاخكي</w:t>
      </w:r>
      <w:proofErr w:type="spellEnd"/>
      <w:r w:rsidRPr="00B4636A">
        <w:rPr>
          <w:szCs w:val="18"/>
          <w:rtl/>
        </w:rPr>
        <w:t xml:space="preserve">، </w:t>
      </w:r>
      <w:r w:rsidRPr="00D858C6">
        <w:rPr>
          <w:i/>
          <w:iCs/>
          <w:szCs w:val="18"/>
          <w:rtl/>
        </w:rPr>
        <w:t>تقييم تقرير معلومات بلد المنشأ بشأن إيران الصادر في آب/أغسطس 2008</w:t>
      </w:r>
      <w:r w:rsidRPr="00B4636A">
        <w:rPr>
          <w:szCs w:val="18"/>
          <w:rtl/>
        </w:rPr>
        <w:t>).</w:t>
      </w:r>
    </w:p>
  </w:footnote>
  <w:footnote w:id="24">
    <w:p w14:paraId="1BA33710" w14:textId="77777777" w:rsidR="001B2505" w:rsidRPr="00B4636A" w:rsidRDefault="001B2505" w:rsidP="001B2505">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r>
      <w:r w:rsidRPr="00D858C6">
        <w:rPr>
          <w:i/>
          <w:iCs/>
          <w:szCs w:val="18"/>
          <w:rtl/>
        </w:rPr>
        <w:t>س. ضد الدانمرك</w:t>
      </w:r>
      <w:r w:rsidRPr="00B4636A">
        <w:rPr>
          <w:szCs w:val="18"/>
          <w:rtl/>
        </w:rPr>
        <w:t xml:space="preserve">، الفقرة </w:t>
      </w:r>
      <w:r w:rsidRPr="00D858C6">
        <w:rPr>
          <w:szCs w:val="18"/>
          <w:rtl/>
        </w:rPr>
        <w:t>9</w:t>
      </w:r>
      <w:r w:rsidRPr="00B4636A">
        <w:rPr>
          <w:szCs w:val="18"/>
          <w:rtl/>
        </w:rPr>
        <w:t>-</w:t>
      </w:r>
      <w:r w:rsidRPr="00D858C6">
        <w:rPr>
          <w:szCs w:val="18"/>
          <w:rtl/>
        </w:rPr>
        <w:t>2</w:t>
      </w:r>
      <w:r w:rsidRPr="00B4636A">
        <w:rPr>
          <w:szCs w:val="18"/>
          <w:rtl/>
        </w:rPr>
        <w:t xml:space="preserve">؛ </w:t>
      </w:r>
      <w:r w:rsidRPr="00D858C6">
        <w:rPr>
          <w:i/>
          <w:iCs/>
          <w:szCs w:val="18"/>
          <w:rtl/>
        </w:rPr>
        <w:t>أ. ر. ج. ضد أستراليا</w:t>
      </w:r>
      <w:r w:rsidRPr="00B4636A">
        <w:rPr>
          <w:szCs w:val="18"/>
          <w:rtl/>
        </w:rPr>
        <w:t xml:space="preserve"> (</w:t>
      </w:r>
      <w:hyperlink r:id="rId16" w:history="1">
        <w:r w:rsidRPr="001B2505">
          <w:rPr>
            <w:rStyle w:val="Hyperlink"/>
            <w:lang w:val="en-AU"/>
          </w:rPr>
          <w:t>CCPR/C/</w:t>
        </w:r>
        <w:r w:rsidRPr="00D858C6">
          <w:rPr>
            <w:rStyle w:val="Hyperlink"/>
            <w:lang w:val="en-AU"/>
          </w:rPr>
          <w:t>60</w:t>
        </w:r>
        <w:r w:rsidRPr="001B2505">
          <w:rPr>
            <w:rStyle w:val="Hyperlink"/>
            <w:lang w:val="en-AU"/>
          </w:rPr>
          <w:t>/D/</w:t>
        </w:r>
        <w:r w:rsidRPr="00D858C6">
          <w:rPr>
            <w:rStyle w:val="Hyperlink"/>
            <w:lang w:val="en-AU"/>
          </w:rPr>
          <w:t>692</w:t>
        </w:r>
        <w:r w:rsidRPr="001B2505">
          <w:rPr>
            <w:rStyle w:val="Hyperlink"/>
            <w:lang w:val="en-AU"/>
          </w:rPr>
          <w:t>/</w:t>
        </w:r>
        <w:r w:rsidRPr="00D858C6">
          <w:rPr>
            <w:rStyle w:val="Hyperlink"/>
            <w:lang w:val="en-AU"/>
          </w:rPr>
          <w:t>1996</w:t>
        </w:r>
      </w:hyperlink>
      <w:r w:rsidRPr="001B2505">
        <w:rPr>
          <w:szCs w:val="18"/>
          <w:rtl/>
        </w:rPr>
        <w:t xml:space="preserve">)، </w:t>
      </w:r>
      <w:r w:rsidRPr="00B4636A">
        <w:rPr>
          <w:szCs w:val="18"/>
          <w:rtl/>
        </w:rPr>
        <w:t xml:space="preserve">الفقرة </w:t>
      </w:r>
      <w:r w:rsidRPr="00D858C6">
        <w:rPr>
          <w:szCs w:val="18"/>
          <w:rtl/>
        </w:rPr>
        <w:t>6</w:t>
      </w:r>
      <w:r w:rsidRPr="00B4636A">
        <w:rPr>
          <w:szCs w:val="18"/>
          <w:rtl/>
        </w:rPr>
        <w:t>-</w:t>
      </w:r>
      <w:r w:rsidRPr="00D858C6">
        <w:rPr>
          <w:szCs w:val="18"/>
          <w:rtl/>
        </w:rPr>
        <w:t>10</w:t>
      </w:r>
      <w:r w:rsidRPr="00B4636A">
        <w:rPr>
          <w:szCs w:val="18"/>
          <w:rtl/>
        </w:rPr>
        <w:t xml:space="preserve">؛ </w:t>
      </w:r>
      <w:r w:rsidRPr="00D858C6">
        <w:rPr>
          <w:i/>
          <w:iCs/>
          <w:szCs w:val="18"/>
          <w:rtl/>
        </w:rPr>
        <w:t>س. ضد السويد</w:t>
      </w:r>
      <w:r w:rsidRPr="00B4636A">
        <w:rPr>
          <w:szCs w:val="18"/>
          <w:rtl/>
        </w:rPr>
        <w:t xml:space="preserve"> (</w:t>
      </w:r>
      <w:hyperlink r:id="rId17" w:history="1">
        <w:r w:rsidRPr="001B2505">
          <w:rPr>
            <w:rStyle w:val="Hyperlink"/>
            <w:lang w:val="en-AU"/>
          </w:rPr>
          <w:t>CCPR/C/</w:t>
        </w:r>
        <w:r w:rsidRPr="00D858C6">
          <w:rPr>
            <w:rStyle w:val="Hyperlink"/>
            <w:lang w:val="en-AU"/>
          </w:rPr>
          <w:t>103</w:t>
        </w:r>
        <w:r w:rsidRPr="001B2505">
          <w:rPr>
            <w:rStyle w:val="Hyperlink"/>
            <w:lang w:val="en-AU"/>
          </w:rPr>
          <w:t>/D/</w:t>
        </w:r>
        <w:r w:rsidRPr="00D858C6">
          <w:rPr>
            <w:rStyle w:val="Hyperlink"/>
            <w:lang w:val="en-AU"/>
          </w:rPr>
          <w:t>1833</w:t>
        </w:r>
        <w:r w:rsidRPr="001B2505">
          <w:rPr>
            <w:rStyle w:val="Hyperlink"/>
            <w:lang w:val="en-AU"/>
          </w:rPr>
          <w:t>/</w:t>
        </w:r>
        <w:r w:rsidRPr="00D858C6">
          <w:rPr>
            <w:rStyle w:val="Hyperlink"/>
            <w:lang w:val="en-AU"/>
          </w:rPr>
          <w:t>2008</w:t>
        </w:r>
      </w:hyperlink>
      <w:r w:rsidRPr="001B2505">
        <w:rPr>
          <w:szCs w:val="18"/>
          <w:rtl/>
        </w:rPr>
        <w:t xml:space="preserve">)، </w:t>
      </w:r>
      <w:r w:rsidRPr="00B4636A">
        <w:rPr>
          <w:szCs w:val="18"/>
          <w:rtl/>
        </w:rPr>
        <w:t xml:space="preserve">الفقرة </w:t>
      </w:r>
      <w:r w:rsidRPr="00D858C6">
        <w:rPr>
          <w:szCs w:val="18"/>
          <w:rtl/>
        </w:rPr>
        <w:t>5</w:t>
      </w:r>
      <w:r w:rsidRPr="00B4636A">
        <w:rPr>
          <w:szCs w:val="18"/>
          <w:rtl/>
        </w:rPr>
        <w:t>-</w:t>
      </w:r>
      <w:r w:rsidRPr="00D858C6">
        <w:rPr>
          <w:szCs w:val="18"/>
          <w:rtl/>
        </w:rPr>
        <w:t>18</w:t>
      </w:r>
      <w:r w:rsidRPr="00B4636A">
        <w:rPr>
          <w:szCs w:val="18"/>
          <w:rtl/>
        </w:rPr>
        <w:t>.</w:t>
      </w:r>
    </w:p>
  </w:footnote>
  <w:footnote w:id="25">
    <w:p w14:paraId="6C8992E3"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r>
      <w:r w:rsidRPr="00D858C6">
        <w:rPr>
          <w:i/>
          <w:iCs/>
          <w:szCs w:val="18"/>
          <w:rtl/>
        </w:rPr>
        <w:t>س. ضد الدانمرك</w:t>
      </w:r>
      <w:r w:rsidRPr="00B4636A">
        <w:rPr>
          <w:szCs w:val="18"/>
          <w:rtl/>
        </w:rPr>
        <w:t xml:space="preserve">، الفقرة </w:t>
      </w:r>
      <w:r w:rsidRPr="00D858C6">
        <w:rPr>
          <w:szCs w:val="18"/>
          <w:rtl/>
        </w:rPr>
        <w:t>9</w:t>
      </w:r>
      <w:r w:rsidRPr="00B4636A">
        <w:rPr>
          <w:szCs w:val="18"/>
          <w:rtl/>
        </w:rPr>
        <w:t>-</w:t>
      </w:r>
      <w:r w:rsidRPr="00D858C6">
        <w:rPr>
          <w:szCs w:val="18"/>
          <w:rtl/>
        </w:rPr>
        <w:t>3</w:t>
      </w:r>
      <w:r w:rsidRPr="00B4636A">
        <w:rPr>
          <w:szCs w:val="18"/>
          <w:rtl/>
        </w:rPr>
        <w:t xml:space="preserve">؛ </w:t>
      </w:r>
      <w:r w:rsidRPr="00D858C6">
        <w:rPr>
          <w:i/>
          <w:iCs/>
          <w:szCs w:val="18"/>
          <w:rtl/>
        </w:rPr>
        <w:t>س. ضد السويد</w:t>
      </w:r>
      <w:r w:rsidRPr="00B4636A">
        <w:rPr>
          <w:szCs w:val="18"/>
          <w:rtl/>
        </w:rPr>
        <w:t xml:space="preserve">، الفقرة </w:t>
      </w:r>
      <w:r w:rsidRPr="00D858C6">
        <w:rPr>
          <w:szCs w:val="18"/>
          <w:rtl/>
        </w:rPr>
        <w:t>5</w:t>
      </w:r>
      <w:r w:rsidRPr="00B4636A">
        <w:rPr>
          <w:szCs w:val="18"/>
          <w:rtl/>
        </w:rPr>
        <w:t>-</w:t>
      </w:r>
      <w:r w:rsidRPr="00D858C6">
        <w:rPr>
          <w:szCs w:val="18"/>
          <w:rtl/>
        </w:rPr>
        <w:t>18</w:t>
      </w:r>
      <w:r w:rsidRPr="00B4636A">
        <w:rPr>
          <w:szCs w:val="18"/>
          <w:rtl/>
        </w:rPr>
        <w:t>.</w:t>
      </w:r>
    </w:p>
  </w:footnote>
  <w:footnote w:id="26">
    <w:p w14:paraId="58787D83"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مفوضية الأمم المتحدة السامية لشؤون اللاجئين، دليل إجراءات ومعايير تحديد صفة اللاجئ والمبادئ التوجيهية </w:t>
      </w:r>
      <w:r w:rsidRPr="00B4636A">
        <w:rPr>
          <w:spacing w:val="-2"/>
          <w:szCs w:val="18"/>
          <w:rtl/>
        </w:rPr>
        <w:t xml:space="preserve">بشأن الحماية الدولية بموجب اتفاقية عام </w:t>
      </w:r>
      <w:r w:rsidRPr="00D858C6">
        <w:rPr>
          <w:spacing w:val="-2"/>
          <w:szCs w:val="18"/>
          <w:rtl/>
        </w:rPr>
        <w:t>1951</w:t>
      </w:r>
      <w:r w:rsidRPr="00B4636A">
        <w:rPr>
          <w:spacing w:val="-2"/>
          <w:szCs w:val="18"/>
          <w:rtl/>
        </w:rPr>
        <w:t xml:space="preserve"> والبروتوكول الخاص بوضع اللاجئين لعام </w:t>
      </w:r>
      <w:r w:rsidRPr="00D858C6">
        <w:rPr>
          <w:spacing w:val="-2"/>
          <w:szCs w:val="18"/>
          <w:rtl/>
        </w:rPr>
        <w:t>1967</w:t>
      </w:r>
      <w:r w:rsidRPr="00B4636A">
        <w:rPr>
          <w:spacing w:val="-2"/>
          <w:szCs w:val="18"/>
          <w:rtl/>
        </w:rPr>
        <w:t xml:space="preserve">، الصفحتان </w:t>
      </w:r>
      <w:r w:rsidRPr="00D858C6">
        <w:rPr>
          <w:spacing w:val="-2"/>
          <w:szCs w:val="18"/>
          <w:rtl/>
        </w:rPr>
        <w:t>43</w:t>
      </w:r>
      <w:r w:rsidRPr="00B4636A">
        <w:rPr>
          <w:spacing w:val="-2"/>
          <w:szCs w:val="18"/>
          <w:rtl/>
        </w:rPr>
        <w:t>-</w:t>
      </w:r>
      <w:r w:rsidRPr="00D858C6">
        <w:rPr>
          <w:szCs w:val="18"/>
          <w:rtl/>
        </w:rPr>
        <w:t>44</w:t>
      </w:r>
      <w:r w:rsidRPr="00B4636A">
        <w:rPr>
          <w:szCs w:val="18"/>
          <w:rtl/>
        </w:rPr>
        <w:t xml:space="preserve"> (في النسخة الإنكليزية).</w:t>
      </w:r>
    </w:p>
  </w:footnote>
  <w:footnote w:id="27">
    <w:p w14:paraId="0A4B7F9E"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المرجع نفسه، ص </w:t>
      </w:r>
      <w:r w:rsidRPr="00D858C6">
        <w:rPr>
          <w:szCs w:val="18"/>
          <w:rtl/>
        </w:rPr>
        <w:t>131</w:t>
      </w:r>
      <w:r w:rsidRPr="00B4636A">
        <w:rPr>
          <w:szCs w:val="18"/>
          <w:rtl/>
        </w:rPr>
        <w:t>.</w:t>
      </w:r>
    </w:p>
  </w:footnote>
  <w:footnote w:id="28">
    <w:p w14:paraId="219273B2"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r>
      <w:r w:rsidRPr="00B4636A">
        <w:rPr>
          <w:szCs w:val="18"/>
        </w:rPr>
        <w:t>“Danish Immigration Servic</w:t>
      </w:r>
      <w:r w:rsidRPr="001B2505">
        <w:rPr>
          <w:szCs w:val="18"/>
        </w:rPr>
        <w:t xml:space="preserve">e, </w:t>
      </w:r>
      <w:r w:rsidRPr="00B4636A">
        <w:rPr>
          <w:szCs w:val="18"/>
        </w:rPr>
        <w:t>Ira</w:t>
      </w:r>
      <w:r w:rsidRPr="001B2505">
        <w:rPr>
          <w:szCs w:val="18"/>
        </w:rPr>
        <w:t xml:space="preserve">n: </w:t>
      </w:r>
      <w:r w:rsidRPr="00B4636A">
        <w:rPr>
          <w:szCs w:val="18"/>
        </w:rPr>
        <w:t xml:space="preserve">house churches and </w:t>
      </w:r>
      <w:proofErr w:type="gramStart"/>
      <w:r w:rsidRPr="00B4636A">
        <w:rPr>
          <w:szCs w:val="18"/>
        </w:rPr>
        <w:t>converts”,</w:t>
      </w:r>
      <w:proofErr w:type="gramEnd"/>
      <w:r w:rsidRPr="00B4636A">
        <w:rPr>
          <w:szCs w:val="18"/>
        </w:rPr>
        <w:t xml:space="preserve"> para</w:t>
      </w:r>
      <w:r w:rsidRPr="001B2505">
        <w:rPr>
          <w:szCs w:val="18"/>
        </w:rPr>
        <w:t xml:space="preserve">s. </w:t>
      </w:r>
      <w:r w:rsidRPr="00D858C6">
        <w:rPr>
          <w:szCs w:val="18"/>
        </w:rPr>
        <w:t>82</w:t>
      </w:r>
      <w:r w:rsidRPr="00B4636A">
        <w:rPr>
          <w:szCs w:val="18"/>
        </w:rPr>
        <w:t xml:space="preserve"> and </w:t>
      </w:r>
      <w:r w:rsidRPr="00D858C6">
        <w:rPr>
          <w:szCs w:val="18"/>
        </w:rPr>
        <w:t>88</w:t>
      </w:r>
      <w:r w:rsidRPr="00B4636A">
        <w:rPr>
          <w:szCs w:val="18"/>
          <w:rtl/>
        </w:rPr>
        <w:t>.</w:t>
      </w:r>
    </w:p>
  </w:footnote>
  <w:footnote w:id="29">
    <w:p w14:paraId="358D386B"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Pr>
      </w:pPr>
      <w:r>
        <w:rPr>
          <w:szCs w:val="18"/>
          <w:rtl/>
        </w:rPr>
        <w:t>(</w:t>
      </w:r>
      <w:r w:rsidRPr="00D858C6">
        <w:rPr>
          <w:szCs w:val="18"/>
        </w:rPr>
        <w:footnoteRef/>
      </w:r>
      <w:r>
        <w:rPr>
          <w:szCs w:val="18"/>
          <w:rtl/>
        </w:rPr>
        <w:t>)</w:t>
      </w:r>
      <w:r w:rsidRPr="00B4636A">
        <w:rPr>
          <w:szCs w:val="18"/>
          <w:rtl/>
        </w:rPr>
        <w:tab/>
        <w:t xml:space="preserve">المرجع نفسه، الفقرة </w:t>
      </w:r>
      <w:r w:rsidRPr="00D858C6">
        <w:rPr>
          <w:szCs w:val="18"/>
          <w:rtl/>
        </w:rPr>
        <w:t>82</w:t>
      </w:r>
      <w:r w:rsidRPr="00B4636A">
        <w:rPr>
          <w:szCs w:val="18"/>
          <w:rtl/>
        </w:rPr>
        <w:t>.</w:t>
      </w:r>
    </w:p>
  </w:footnote>
  <w:footnote w:id="30">
    <w:p w14:paraId="2B534F3E" w14:textId="77777777" w:rsidR="001B2505" w:rsidRPr="00B4636A" w:rsidRDefault="001B2505" w:rsidP="009B292E">
      <w:pPr>
        <w:pStyle w:val="FootnoteText"/>
        <w:tabs>
          <w:tab w:val="clear" w:pos="1021"/>
        </w:tabs>
        <w:bidi/>
        <w:spacing w:after="60" w:line="280" w:lineRule="exact"/>
        <w:ind w:left="1247" w:right="1247" w:hanging="567"/>
        <w:jc w:val="lowKashida"/>
        <w:textDirection w:val="tbRlV"/>
        <w:rPr>
          <w:szCs w:val="18"/>
          <w:rtl/>
        </w:rPr>
      </w:pPr>
      <w:r>
        <w:rPr>
          <w:szCs w:val="18"/>
          <w:rtl/>
        </w:rPr>
        <w:t>(</w:t>
      </w:r>
      <w:r w:rsidRPr="00D858C6">
        <w:rPr>
          <w:szCs w:val="18"/>
        </w:rPr>
        <w:footnoteRef/>
      </w:r>
      <w:r>
        <w:rPr>
          <w:szCs w:val="18"/>
          <w:rtl/>
        </w:rPr>
        <w:t>)</w:t>
      </w:r>
      <w:r w:rsidRPr="00B4636A">
        <w:rPr>
          <w:szCs w:val="18"/>
          <w:rtl/>
        </w:rPr>
        <w:tab/>
        <w:t>"لا يتهم معتنقو المسيحية</w:t>
      </w:r>
      <w:r w:rsidRPr="00B4636A">
        <w:rPr>
          <w:szCs w:val="18"/>
        </w:rPr>
        <w:t xml:space="preserve"> </w:t>
      </w:r>
      <w:r w:rsidRPr="00B4636A">
        <w:rPr>
          <w:szCs w:val="18"/>
          <w:rtl/>
        </w:rPr>
        <w:t xml:space="preserve">في العادة بالردة. وعادة ما تعتبر قضايا التحول عن الدين مسائل تتصل بالأمن القومي، وتنظر فيها المحكمة الثورية. وأضاف مصدر أن السلطات تنظر إلى الأنشطة المتعلقة بالتحول عن الدين على أنها أنشطة سياسية". </w:t>
      </w:r>
      <w:r w:rsidRPr="00B4636A">
        <w:rPr>
          <w:szCs w:val="18"/>
        </w:rPr>
        <w:t>(“Ira</w:t>
      </w:r>
      <w:r w:rsidRPr="001B2505">
        <w:rPr>
          <w:szCs w:val="18"/>
        </w:rPr>
        <w:t xml:space="preserve">n: </w:t>
      </w:r>
      <w:r w:rsidRPr="00B4636A">
        <w:rPr>
          <w:szCs w:val="18"/>
        </w:rPr>
        <w:t xml:space="preserve">House Churches and Converts”, </w:t>
      </w:r>
      <w:r w:rsidRPr="001B2505">
        <w:rPr>
          <w:szCs w:val="18"/>
        </w:rPr>
        <w:t xml:space="preserve">p. </w:t>
      </w:r>
      <w:r w:rsidRPr="00D858C6">
        <w:rPr>
          <w:szCs w:val="18"/>
        </w:rPr>
        <w:t>9</w:t>
      </w:r>
      <w:r w:rsidRPr="001B2505">
        <w:rPr>
          <w:szCs w:val="18"/>
        </w:rPr>
        <w:t>)</w:t>
      </w:r>
      <w:r w:rsidRPr="001B2505">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0898" w14:textId="567DB1A8" w:rsidR="007047F1" w:rsidRPr="007047F1" w:rsidRDefault="007047F1" w:rsidP="007047F1">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CCPR/C/132/D/3188/2018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333B" w14:textId="26B84B86" w:rsidR="007047F1" w:rsidRPr="007047F1" w:rsidRDefault="007047F1" w:rsidP="007047F1">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CCPR/C/132/D/3188/2018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943420416">
    <w:abstractNumId w:val="2"/>
  </w:num>
  <w:num w:numId="2" w16cid:durableId="480195674">
    <w:abstractNumId w:val="7"/>
  </w:num>
  <w:num w:numId="3" w16cid:durableId="1110704260">
    <w:abstractNumId w:val="5"/>
  </w:num>
  <w:num w:numId="4" w16cid:durableId="1957833429">
    <w:abstractNumId w:val="4"/>
  </w:num>
  <w:num w:numId="5" w16cid:durableId="1622107501">
    <w:abstractNumId w:val="10"/>
  </w:num>
  <w:num w:numId="6" w16cid:durableId="281886818">
    <w:abstractNumId w:val="3"/>
  </w:num>
  <w:num w:numId="7" w16cid:durableId="202639297">
    <w:abstractNumId w:val="9"/>
  </w:num>
  <w:num w:numId="8" w16cid:durableId="3359477">
    <w:abstractNumId w:val="8"/>
  </w:num>
  <w:num w:numId="9" w16cid:durableId="1984120725">
    <w:abstractNumId w:val="1"/>
  </w:num>
  <w:num w:numId="10" w16cid:durableId="2005014508">
    <w:abstractNumId w:val="6"/>
  </w:num>
  <w:num w:numId="11" w16cid:durableId="1117599869">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3B"/>
    <w:rsid w:val="000066C3"/>
    <w:rsid w:val="000076D5"/>
    <w:rsid w:val="0001217F"/>
    <w:rsid w:val="00026DE5"/>
    <w:rsid w:val="00043663"/>
    <w:rsid w:val="000437B8"/>
    <w:rsid w:val="000505CF"/>
    <w:rsid w:val="00085D72"/>
    <w:rsid w:val="000B4A14"/>
    <w:rsid w:val="000D701C"/>
    <w:rsid w:val="000E2A71"/>
    <w:rsid w:val="000F39A8"/>
    <w:rsid w:val="00145577"/>
    <w:rsid w:val="00160263"/>
    <w:rsid w:val="00181F96"/>
    <w:rsid w:val="001872B1"/>
    <w:rsid w:val="001954EB"/>
    <w:rsid w:val="001A1371"/>
    <w:rsid w:val="001B043F"/>
    <w:rsid w:val="001B0CB9"/>
    <w:rsid w:val="001B2505"/>
    <w:rsid w:val="001B346A"/>
    <w:rsid w:val="001E1CAD"/>
    <w:rsid w:val="001E290D"/>
    <w:rsid w:val="002144FA"/>
    <w:rsid w:val="0023469A"/>
    <w:rsid w:val="00243979"/>
    <w:rsid w:val="00243C8A"/>
    <w:rsid w:val="00267A0E"/>
    <w:rsid w:val="002901D9"/>
    <w:rsid w:val="002976C2"/>
    <w:rsid w:val="003068BC"/>
    <w:rsid w:val="003119F3"/>
    <w:rsid w:val="003260FF"/>
    <w:rsid w:val="00343D95"/>
    <w:rsid w:val="00345ABD"/>
    <w:rsid w:val="00363A18"/>
    <w:rsid w:val="00364AD9"/>
    <w:rsid w:val="00374341"/>
    <w:rsid w:val="00377C1A"/>
    <w:rsid w:val="00382F45"/>
    <w:rsid w:val="00391A64"/>
    <w:rsid w:val="0039605A"/>
    <w:rsid w:val="003B6CFD"/>
    <w:rsid w:val="003C183F"/>
    <w:rsid w:val="003C7983"/>
    <w:rsid w:val="003D1062"/>
    <w:rsid w:val="003F1FD5"/>
    <w:rsid w:val="00402051"/>
    <w:rsid w:val="00420B14"/>
    <w:rsid w:val="00420D7B"/>
    <w:rsid w:val="00450B21"/>
    <w:rsid w:val="00453B63"/>
    <w:rsid w:val="00455780"/>
    <w:rsid w:val="004B0A1C"/>
    <w:rsid w:val="004B27E0"/>
    <w:rsid w:val="004D298E"/>
    <w:rsid w:val="004E2A74"/>
    <w:rsid w:val="004F0F69"/>
    <w:rsid w:val="005044B3"/>
    <w:rsid w:val="00517BC9"/>
    <w:rsid w:val="00520F3C"/>
    <w:rsid w:val="0054472E"/>
    <w:rsid w:val="005662A9"/>
    <w:rsid w:val="00572543"/>
    <w:rsid w:val="005827D4"/>
    <w:rsid w:val="0058508B"/>
    <w:rsid w:val="0059622A"/>
    <w:rsid w:val="005A2150"/>
    <w:rsid w:val="005B31A6"/>
    <w:rsid w:val="005B51C4"/>
    <w:rsid w:val="005C0061"/>
    <w:rsid w:val="005C5878"/>
    <w:rsid w:val="005C7CEA"/>
    <w:rsid w:val="005D3C0B"/>
    <w:rsid w:val="005E5217"/>
    <w:rsid w:val="005F0FA4"/>
    <w:rsid w:val="005F30EE"/>
    <w:rsid w:val="005F5271"/>
    <w:rsid w:val="0060473A"/>
    <w:rsid w:val="00617024"/>
    <w:rsid w:val="00644C85"/>
    <w:rsid w:val="00652221"/>
    <w:rsid w:val="00656392"/>
    <w:rsid w:val="006645EC"/>
    <w:rsid w:val="0068781D"/>
    <w:rsid w:val="006959B0"/>
    <w:rsid w:val="006B3E27"/>
    <w:rsid w:val="006B6507"/>
    <w:rsid w:val="006C104C"/>
    <w:rsid w:val="006C632E"/>
    <w:rsid w:val="006D1853"/>
    <w:rsid w:val="007047F1"/>
    <w:rsid w:val="00717FB3"/>
    <w:rsid w:val="00730446"/>
    <w:rsid w:val="00733704"/>
    <w:rsid w:val="0075698D"/>
    <w:rsid w:val="007734F9"/>
    <w:rsid w:val="00775073"/>
    <w:rsid w:val="0078071A"/>
    <w:rsid w:val="00787022"/>
    <w:rsid w:val="00787E1E"/>
    <w:rsid w:val="007C0F68"/>
    <w:rsid w:val="007E0D3B"/>
    <w:rsid w:val="00811024"/>
    <w:rsid w:val="00852A9A"/>
    <w:rsid w:val="00854E0B"/>
    <w:rsid w:val="008B3A85"/>
    <w:rsid w:val="008C622F"/>
    <w:rsid w:val="008F49E1"/>
    <w:rsid w:val="0090370F"/>
    <w:rsid w:val="009269D2"/>
    <w:rsid w:val="00942135"/>
    <w:rsid w:val="009521B0"/>
    <w:rsid w:val="00957437"/>
    <w:rsid w:val="00974DF9"/>
    <w:rsid w:val="00975DE6"/>
    <w:rsid w:val="00982139"/>
    <w:rsid w:val="009867A8"/>
    <w:rsid w:val="00991F44"/>
    <w:rsid w:val="00997F74"/>
    <w:rsid w:val="009A0CFB"/>
    <w:rsid w:val="009A7E9F"/>
    <w:rsid w:val="009B292E"/>
    <w:rsid w:val="009C17EC"/>
    <w:rsid w:val="009D0A61"/>
    <w:rsid w:val="009E5018"/>
    <w:rsid w:val="00A03700"/>
    <w:rsid w:val="00A053F2"/>
    <w:rsid w:val="00A12B37"/>
    <w:rsid w:val="00A36E3C"/>
    <w:rsid w:val="00A54828"/>
    <w:rsid w:val="00A8078A"/>
    <w:rsid w:val="00A97E1F"/>
    <w:rsid w:val="00AB512E"/>
    <w:rsid w:val="00AB6758"/>
    <w:rsid w:val="00AB727F"/>
    <w:rsid w:val="00B03DAD"/>
    <w:rsid w:val="00B10B08"/>
    <w:rsid w:val="00B13763"/>
    <w:rsid w:val="00B4636A"/>
    <w:rsid w:val="00B477A4"/>
    <w:rsid w:val="00B54045"/>
    <w:rsid w:val="00B63ADD"/>
    <w:rsid w:val="00B653A4"/>
    <w:rsid w:val="00B67C1B"/>
    <w:rsid w:val="00BB09A0"/>
    <w:rsid w:val="00C02D53"/>
    <w:rsid w:val="00C03EF8"/>
    <w:rsid w:val="00C175A6"/>
    <w:rsid w:val="00C41DCF"/>
    <w:rsid w:val="00C42AF7"/>
    <w:rsid w:val="00C438D7"/>
    <w:rsid w:val="00C569AF"/>
    <w:rsid w:val="00C57DA6"/>
    <w:rsid w:val="00C62C20"/>
    <w:rsid w:val="00C7297C"/>
    <w:rsid w:val="00C81B50"/>
    <w:rsid w:val="00C902EF"/>
    <w:rsid w:val="00C90BE5"/>
    <w:rsid w:val="00CB0011"/>
    <w:rsid w:val="00CB308B"/>
    <w:rsid w:val="00CB6622"/>
    <w:rsid w:val="00CC1580"/>
    <w:rsid w:val="00CD1801"/>
    <w:rsid w:val="00CF56F9"/>
    <w:rsid w:val="00CF65C6"/>
    <w:rsid w:val="00D00A89"/>
    <w:rsid w:val="00D10EF1"/>
    <w:rsid w:val="00D42810"/>
    <w:rsid w:val="00D60DD5"/>
    <w:rsid w:val="00D858C6"/>
    <w:rsid w:val="00D85B05"/>
    <w:rsid w:val="00D914A7"/>
    <w:rsid w:val="00DC4D4B"/>
    <w:rsid w:val="00DD13C3"/>
    <w:rsid w:val="00DD596E"/>
    <w:rsid w:val="00DD621E"/>
    <w:rsid w:val="00DE50B1"/>
    <w:rsid w:val="00DE5E07"/>
    <w:rsid w:val="00DF0138"/>
    <w:rsid w:val="00DF0575"/>
    <w:rsid w:val="00DF12DF"/>
    <w:rsid w:val="00E11EA3"/>
    <w:rsid w:val="00E2228E"/>
    <w:rsid w:val="00E35DD7"/>
    <w:rsid w:val="00E70E04"/>
    <w:rsid w:val="00E77E6C"/>
    <w:rsid w:val="00E83ED5"/>
    <w:rsid w:val="00EC05A7"/>
    <w:rsid w:val="00EC4B6B"/>
    <w:rsid w:val="00EC68A5"/>
    <w:rsid w:val="00ED470B"/>
    <w:rsid w:val="00ED7442"/>
    <w:rsid w:val="00EF1EE5"/>
    <w:rsid w:val="00EF5C43"/>
    <w:rsid w:val="00F10DAB"/>
    <w:rsid w:val="00F27BA1"/>
    <w:rsid w:val="00F365B6"/>
    <w:rsid w:val="00F46D42"/>
    <w:rsid w:val="00F60687"/>
    <w:rsid w:val="00F763B4"/>
    <w:rsid w:val="00F900C3"/>
    <w:rsid w:val="00FC6EDD"/>
    <w:rsid w:val="00FD46E2"/>
    <w:rsid w:val="00FE188F"/>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C426E"/>
  <w15:docId w15:val="{C7328E49-887A-477A-BADB-901EA65C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nhideWhenUsed/>
    <w:qFormat/>
    <w:rsid w:val="009C17EC"/>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9C17EC"/>
    <w:pPr>
      <w:keepNext/>
      <w:keepLines/>
      <w:spacing w:before="200"/>
      <w:outlineLvl w:val="2"/>
    </w:pPr>
    <w:rPr>
      <w:b/>
      <w:bCs/>
      <w:color w:val="4F81BD"/>
    </w:rPr>
  </w:style>
  <w:style w:type="paragraph" w:styleId="Heading4">
    <w:name w:val="heading 4"/>
    <w:basedOn w:val="Normal"/>
    <w:next w:val="Normal"/>
    <w:link w:val="Heading4Char"/>
    <w:unhideWhenUsed/>
    <w:qFormat/>
    <w:rsid w:val="009C17EC"/>
    <w:pPr>
      <w:keepNext/>
      <w:keepLines/>
      <w:spacing w:before="200"/>
      <w:outlineLvl w:val="3"/>
    </w:pPr>
    <w:rPr>
      <w:b/>
      <w:bCs/>
      <w:i/>
      <w:iCs/>
      <w:color w:val="4F81BD"/>
    </w:rPr>
  </w:style>
  <w:style w:type="paragraph" w:styleId="Heading5">
    <w:name w:val="heading 5"/>
    <w:basedOn w:val="Normal"/>
    <w:next w:val="Normal"/>
    <w:link w:val="Heading5Char"/>
    <w:unhideWhenUsed/>
    <w:qFormat/>
    <w:rsid w:val="009C17EC"/>
    <w:pPr>
      <w:keepNext/>
      <w:keepLines/>
      <w:spacing w:before="200"/>
      <w:outlineLvl w:val="4"/>
    </w:pPr>
    <w:rPr>
      <w:color w:val="243F60"/>
    </w:rPr>
  </w:style>
  <w:style w:type="paragraph" w:styleId="Heading6">
    <w:name w:val="heading 6"/>
    <w:basedOn w:val="Normal"/>
    <w:next w:val="Normal"/>
    <w:link w:val="Heading6Char"/>
    <w:unhideWhenUsed/>
    <w:qFormat/>
    <w:rsid w:val="009C17EC"/>
    <w:pPr>
      <w:keepNext/>
      <w:keepLines/>
      <w:spacing w:before="200"/>
      <w:outlineLvl w:val="5"/>
    </w:pPr>
    <w:rPr>
      <w:i/>
      <w:iCs/>
      <w:color w:val="243F60"/>
    </w:rPr>
  </w:style>
  <w:style w:type="paragraph" w:styleId="Heading7">
    <w:name w:val="heading 7"/>
    <w:basedOn w:val="Normal"/>
    <w:next w:val="Normal"/>
    <w:link w:val="Heading7Char"/>
    <w:unhideWhenUsed/>
    <w:qFormat/>
    <w:rsid w:val="009C17EC"/>
    <w:pPr>
      <w:keepNext/>
      <w:keepLines/>
      <w:spacing w:before="200"/>
      <w:outlineLvl w:val="6"/>
    </w:pPr>
    <w:rPr>
      <w:i/>
      <w:iCs/>
      <w:color w:val="404040"/>
    </w:rPr>
  </w:style>
  <w:style w:type="paragraph" w:styleId="Heading8">
    <w:name w:val="heading 8"/>
    <w:basedOn w:val="Normal"/>
    <w:next w:val="Normal"/>
    <w:link w:val="Heading8Char"/>
    <w:unhideWhenUsed/>
    <w:qFormat/>
    <w:rsid w:val="009C17EC"/>
    <w:pPr>
      <w:keepNext/>
      <w:keepLines/>
      <w:spacing w:before="200"/>
      <w:outlineLvl w:val="7"/>
    </w:pPr>
    <w:rPr>
      <w:color w:val="404040"/>
      <w:szCs w:val="20"/>
    </w:rPr>
  </w:style>
  <w:style w:type="paragraph" w:styleId="Heading9">
    <w:name w:val="heading 9"/>
    <w:basedOn w:val="Normal"/>
    <w:next w:val="Normal"/>
    <w:link w:val="Heading9Char"/>
    <w:unhideWhenUsed/>
    <w:qFormat/>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link w:val="Appelnotedebasde"/>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3"/>
      </w:numPr>
      <w:bidi w:val="0"/>
    </w:pPr>
    <w:rPr>
      <w:lang w:val="en-US"/>
    </w:rPr>
  </w:style>
  <w:style w:type="paragraph" w:customStyle="1" w:styleId="Roman1GA">
    <w:name w:val="_Roman 1_GA"/>
    <w:basedOn w:val="Bullet1GA"/>
    <w:qFormat/>
    <w:rsid w:val="009C17EC"/>
    <w:pPr>
      <w:numPr>
        <w:numId w:val="4"/>
      </w:numPr>
      <w:tabs>
        <w:tab w:val="clear" w:pos="2310"/>
        <w:tab w:val="left" w:pos="2486"/>
      </w:tabs>
      <w:ind w:left="2486" w:hanging="378"/>
    </w:pPr>
  </w:style>
  <w:style w:type="paragraph" w:customStyle="1" w:styleId="Roman2GA">
    <w:name w:val="_Roman 2_GA"/>
    <w:basedOn w:val="Bullet2GA"/>
    <w:qFormat/>
    <w:rsid w:val="009C17EC"/>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9C17EC"/>
    <w:pPr>
      <w:suppressAutoHyphens/>
      <w:bidi w:val="0"/>
      <w:spacing w:line="240" w:lineRule="auto"/>
    </w:pPr>
    <w:rPr>
      <w:sz w:val="16"/>
      <w:lang w:val="en-GB"/>
    </w:rPr>
  </w:style>
  <w:style w:type="character" w:customStyle="1" w:styleId="FooterChar">
    <w:name w:val="Footer Char"/>
    <w:aliases w:val="3_GA Char,3_G Char"/>
    <w:link w:val="Footer"/>
    <w:uiPriority w:val="99"/>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9C17EC"/>
    <w:rPr>
      <w:rFonts w:ascii="Times New Roman" w:eastAsia="PMingLiU" w:hAnsi="Times New Roman" w:cs="Simplified Arabic"/>
      <w:color w:val="404040"/>
      <w:lang w:eastAsia="en-US"/>
    </w:rPr>
  </w:style>
  <w:style w:type="character" w:customStyle="1" w:styleId="Heading9Char">
    <w:name w:val="Heading 9 Char"/>
    <w:link w:val="Heading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qFormat/>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9C17EC"/>
    <w:pPr>
      <w:spacing w:line="240" w:lineRule="auto"/>
    </w:pPr>
    <w:rPr>
      <w:sz w:val="16"/>
      <w:szCs w:val="16"/>
    </w:rPr>
  </w:style>
  <w:style w:type="character" w:customStyle="1" w:styleId="BalloonTextChar">
    <w:name w:val="Balloon Text Char"/>
    <w:link w:val="BalloonText"/>
    <w:uiPriority w:val="99"/>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9C17EC"/>
    <w:rPr>
      <w:i w:val="0"/>
      <w:color w:val="0000FF"/>
      <w:u w:val="none"/>
    </w:rPr>
  </w:style>
  <w:style w:type="paragraph" w:customStyle="1" w:styleId="Bullet1">
    <w:name w:val="Bullet 1"/>
    <w:basedOn w:val="Normal"/>
    <w:qFormat/>
    <w:rsid w:val="009C17EC"/>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7"/>
      </w:numPr>
      <w:spacing w:after="120" w:line="360" w:lineRule="exact"/>
      <w:ind w:right="1264"/>
    </w:pPr>
    <w:rPr>
      <w:kern w:val="14"/>
      <w:szCs w:val="28"/>
    </w:rPr>
  </w:style>
  <w:style w:type="paragraph" w:customStyle="1" w:styleId="Bullet3">
    <w:name w:val="Bullet 3"/>
    <w:basedOn w:val="SingleTxt"/>
    <w:qFormat/>
    <w:rsid w:val="009C17EC"/>
    <w:pPr>
      <w:numPr>
        <w:numId w:val="8"/>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unhideWhenUsed/>
    <w:rsid w:val="009C17EC"/>
    <w:pPr>
      <w:spacing w:line="240" w:lineRule="auto"/>
    </w:pPr>
    <w:rPr>
      <w:kern w:val="14"/>
    </w:rPr>
  </w:style>
  <w:style w:type="character" w:customStyle="1" w:styleId="CommentTextChar">
    <w:name w:val="Comment Text Char"/>
    <w:basedOn w:val="DefaultParagraphFont"/>
    <w:link w:val="CommentText"/>
    <w:uiPriority w:val="99"/>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unhideWhenUsed/>
    <w:rsid w:val="009C17EC"/>
    <w:rPr>
      <w:b/>
      <w:bCs/>
    </w:rPr>
  </w:style>
  <w:style w:type="character" w:customStyle="1" w:styleId="CommentSubjectChar">
    <w:name w:val="Comment Subject Char"/>
    <w:basedOn w:val="CommentTextChar"/>
    <w:link w:val="CommentSubject"/>
    <w:uiPriority w:val="99"/>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9"/>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11"/>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 w:type="character" w:customStyle="1" w:styleId="sb8d990e2">
    <w:name w:val="sb8d990e2"/>
    <w:rsid w:val="000066C3"/>
  </w:style>
  <w:style w:type="paragraph" w:styleId="NormalWeb">
    <w:name w:val="Normal (Web)"/>
    <w:basedOn w:val="Normal"/>
    <w:uiPriority w:val="99"/>
    <w:unhideWhenUsed/>
    <w:rsid w:val="000066C3"/>
    <w:pPr>
      <w:bidi w:val="0"/>
      <w:spacing w:before="100" w:beforeAutospacing="1" w:after="100" w:afterAutospacing="1" w:line="240" w:lineRule="auto"/>
      <w:jc w:val="left"/>
    </w:pPr>
    <w:rPr>
      <w:rFonts w:eastAsia="Times New Roman" w:cs="Traditional Arabic" w:hint="cs"/>
      <w:sz w:val="24"/>
      <w:szCs w:val="24"/>
      <w:lang w:val="en-GB" w:eastAsia="en-GB"/>
    </w:rPr>
  </w:style>
  <w:style w:type="paragraph" w:customStyle="1" w:styleId="MediumList2-Accent41">
    <w:name w:val="Medium List 2 - Accent 41"/>
    <w:basedOn w:val="Normal"/>
    <w:uiPriority w:val="34"/>
    <w:qFormat/>
    <w:rsid w:val="000066C3"/>
    <w:pPr>
      <w:suppressAutoHyphens/>
      <w:bidi w:val="0"/>
      <w:ind w:left="720"/>
      <w:jc w:val="left"/>
    </w:pPr>
    <w:rPr>
      <w:rFonts w:eastAsia="Times New Roman" w:cs="Traditional Arabic" w:hint="cs"/>
      <w:szCs w:val="30"/>
      <w:lang w:val="en-GB" w:eastAsia="en-GB"/>
    </w:rPr>
  </w:style>
  <w:style w:type="character" w:customStyle="1" w:styleId="style31">
    <w:name w:val="style31"/>
    <w:basedOn w:val="DefaultParagraphFont"/>
    <w:rsid w:val="000066C3"/>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0066C3"/>
    <w:rPr>
      <w:rFonts w:eastAsia="SimSun"/>
      <w:sz w:val="18"/>
      <w:szCs w:val="20"/>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0066C3"/>
    <w:pPr>
      <w:bidi w:val="0"/>
      <w:spacing w:before="120" w:after="120" w:line="240" w:lineRule="auto"/>
      <w:jc w:val="left"/>
    </w:pPr>
    <w:rPr>
      <w:rFonts w:ascii="Calibri" w:eastAsia="Times New Roman" w:hAnsi="Calibri" w:cs="Arial"/>
      <w:szCs w:val="18"/>
      <w:vertAlign w:val="superscript"/>
      <w:lang w:eastAsia="zh-TW"/>
    </w:rPr>
  </w:style>
  <w:style w:type="character" w:customStyle="1" w:styleId="hvr">
    <w:name w:val="hvr"/>
    <w:basedOn w:val="DefaultParagraphFont"/>
    <w:rsid w:val="000066C3"/>
  </w:style>
  <w:style w:type="character" w:customStyle="1" w:styleId="bitextlink">
    <w:name w:val="bitextlink"/>
    <w:basedOn w:val="DefaultParagraphFont"/>
    <w:rsid w:val="0000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3/D/2328/2014)." TargetMode="External"/><Relationship Id="rId13" Type="http://schemas.openxmlformats.org/officeDocument/2006/relationships/hyperlink" Target="https://undocs.org/ar/CCPR/C/125/D/2439/2014" TargetMode="External"/><Relationship Id="rId3" Type="http://schemas.openxmlformats.org/officeDocument/2006/relationships/hyperlink" Target="https://undocs.org/ar/CCPR/C/117/D/2378/2014" TargetMode="External"/><Relationship Id="rId7" Type="http://schemas.openxmlformats.org/officeDocument/2006/relationships/hyperlink" Target="https://undocs.org/ar/CCPR/C/112/D/2186/2012" TargetMode="External"/><Relationship Id="rId12" Type="http://schemas.openxmlformats.org/officeDocument/2006/relationships/hyperlink" Target="https://undocs.org/ar/CCPR/C/125/D/2373/2014" TargetMode="External"/><Relationship Id="rId17" Type="http://schemas.openxmlformats.org/officeDocument/2006/relationships/hyperlink" Target="https://undocs.org/ar/CCPR/C/103/D/1833/2008" TargetMode="External"/><Relationship Id="rId2" Type="http://schemas.openxmlformats.org/officeDocument/2006/relationships/hyperlink" Target="https://undocs.org/ar/CCPR/C/110/D/2007/2010" TargetMode="External"/><Relationship Id="rId16" Type="http://schemas.openxmlformats.org/officeDocument/2006/relationships/hyperlink" Target="https://undocs.org/ar/CCPR/C/60/D/692/1996" TargetMode="External"/><Relationship Id="rId1" Type="http://schemas.openxmlformats.org/officeDocument/2006/relationships/hyperlink" Target="https://webarchive.nationalarchives.gov.uk/ukgwa/20090413205116/http:/www.apci.org.uk/APCINEleventhMeeting.html" TargetMode="External"/><Relationship Id="rId6" Type="http://schemas.openxmlformats.org/officeDocument/2006/relationships/hyperlink" Target="https://undocs.org/ar/CCPR/C/114/D/2329/2014" TargetMode="External"/><Relationship Id="rId11" Type="http://schemas.openxmlformats.org/officeDocument/2006/relationships/hyperlink" Target="https://undocs.org/ar/CCPR/C/126/D/2346/2014" TargetMode="External"/><Relationship Id="rId5" Type="http://schemas.openxmlformats.org/officeDocument/2006/relationships/hyperlink" Target="https://undocs.org/ar/CCPR/C/114/2426/2014" TargetMode="External"/><Relationship Id="rId15" Type="http://schemas.openxmlformats.org/officeDocument/2006/relationships/hyperlink" Target="https://undocs.org/ar/CCPR/C/125/D/2345/2014)." TargetMode="External"/><Relationship Id="rId10" Type="http://schemas.openxmlformats.org/officeDocument/2006/relationships/hyperlink" Target="https://undocs.org/ar/CCPR/C/115/D/2320/2013)." TargetMode="External"/><Relationship Id="rId4" Type="http://schemas.openxmlformats.org/officeDocument/2006/relationships/hyperlink" Target="https://undocs.org/ar/CCPR/C/113/D/2272/2013" TargetMode="External"/><Relationship Id="rId9" Type="http://schemas.openxmlformats.org/officeDocument/2006/relationships/hyperlink" Target="https://undocs.org/ar/CCPR/C/115/D/2474/2014" TargetMode="External"/><Relationship Id="rId14" Type="http://schemas.openxmlformats.org/officeDocument/2006/relationships/hyperlink" Target="https://undocs.org/ar/CCPR/C/125/D/249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CCPR/C/132/D/3188/2018</vt:lpstr>
    </vt:vector>
  </TitlesOfParts>
  <Company>DCM</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CCPR/C/132/D/3188/2018</dc:title>
  <dc:subject>GE.2212407(A)</dc:subject>
  <dc:creator>Ihab RIZ - </dc:creator>
  <cp:keywords>GE.2244675(A)</cp:keywords>
  <dc:description>General_x000d_
_x000d_
Arabic_x000d_
English</dc:description>
  <cp:lastModifiedBy>Gamal Mohamed Abdelhamid Mahmoud</cp:lastModifiedBy>
  <cp:revision>2</cp:revision>
  <dcterms:created xsi:type="dcterms:W3CDTF">2022-10-13T15:59:00Z</dcterms:created>
  <dcterms:modified xsi:type="dcterms:W3CDTF">2022-10-13T15:59:00Z</dcterms:modified>
  <cp:category>Finale</cp:category>
</cp:coreProperties>
</file>