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CA41C8C" w14:textId="77777777" w:rsidTr="002B7BC7">
        <w:trPr>
          <w:trHeight w:hRule="exact" w:val="851"/>
        </w:trPr>
        <w:tc>
          <w:tcPr>
            <w:tcW w:w="1276" w:type="dxa"/>
            <w:tcBorders>
              <w:bottom w:val="single" w:sz="4" w:space="0" w:color="auto"/>
            </w:tcBorders>
          </w:tcPr>
          <w:p w14:paraId="17102B4F" w14:textId="77777777" w:rsidR="006F71EA" w:rsidRPr="00DB58B5" w:rsidRDefault="006F71EA" w:rsidP="00142598"/>
        </w:tc>
        <w:tc>
          <w:tcPr>
            <w:tcW w:w="2268" w:type="dxa"/>
            <w:tcBorders>
              <w:bottom w:val="single" w:sz="4" w:space="0" w:color="auto"/>
            </w:tcBorders>
            <w:vAlign w:val="bottom"/>
          </w:tcPr>
          <w:p w14:paraId="625A24D4"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743BC85" w14:textId="13783582" w:rsidR="006F71EA" w:rsidRPr="00DB58B5" w:rsidRDefault="00142598" w:rsidP="00142598">
            <w:pPr>
              <w:jc w:val="right"/>
            </w:pPr>
            <w:r w:rsidRPr="00142598">
              <w:rPr>
                <w:sz w:val="40"/>
              </w:rPr>
              <w:t>CCPR</w:t>
            </w:r>
            <w:r>
              <w:t>/C/134/D/3272/2018</w:t>
            </w:r>
          </w:p>
        </w:tc>
      </w:tr>
      <w:tr w:rsidR="006F71EA" w:rsidRPr="00DB58B5" w14:paraId="65C5F48D" w14:textId="77777777" w:rsidTr="002B7BC7">
        <w:trPr>
          <w:trHeight w:hRule="exact" w:val="2835"/>
        </w:trPr>
        <w:tc>
          <w:tcPr>
            <w:tcW w:w="1276" w:type="dxa"/>
            <w:tcBorders>
              <w:top w:val="single" w:sz="4" w:space="0" w:color="auto"/>
              <w:bottom w:val="single" w:sz="12" w:space="0" w:color="auto"/>
            </w:tcBorders>
          </w:tcPr>
          <w:p w14:paraId="7EE805B7" w14:textId="77777777" w:rsidR="006F71EA" w:rsidRPr="00DB58B5" w:rsidRDefault="006F71EA" w:rsidP="002B7BC7">
            <w:pPr>
              <w:spacing w:before="120"/>
              <w:jc w:val="center"/>
            </w:pPr>
            <w:r>
              <w:rPr>
                <w:noProof/>
                <w:lang w:eastAsia="fr-CH"/>
              </w:rPr>
              <w:drawing>
                <wp:inline distT="0" distB="0" distL="0" distR="0" wp14:anchorId="4F1AAB98" wp14:editId="4D35BD9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303C09"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E0A2751" w14:textId="77777777" w:rsidR="006F71EA" w:rsidRDefault="00142598" w:rsidP="002B7BC7">
            <w:pPr>
              <w:spacing w:before="240"/>
            </w:pPr>
            <w:r>
              <w:t>Distr. générale</w:t>
            </w:r>
          </w:p>
          <w:p w14:paraId="18514711" w14:textId="77777777" w:rsidR="00142598" w:rsidRDefault="00142598" w:rsidP="00142598">
            <w:pPr>
              <w:spacing w:line="240" w:lineRule="exact"/>
            </w:pPr>
            <w:r>
              <w:t>5 août 2022</w:t>
            </w:r>
          </w:p>
          <w:p w14:paraId="5F8BC406" w14:textId="77777777" w:rsidR="00142598" w:rsidRDefault="00142598" w:rsidP="00142598">
            <w:pPr>
              <w:spacing w:line="240" w:lineRule="exact"/>
            </w:pPr>
            <w:r>
              <w:t>Français</w:t>
            </w:r>
          </w:p>
          <w:p w14:paraId="237BF72B" w14:textId="6EC89E43" w:rsidR="00142598" w:rsidRPr="00DB58B5" w:rsidRDefault="00142598" w:rsidP="00142598">
            <w:pPr>
              <w:spacing w:line="240" w:lineRule="exact"/>
            </w:pPr>
            <w:r>
              <w:t>Original : anglais</w:t>
            </w:r>
          </w:p>
        </w:tc>
      </w:tr>
    </w:tbl>
    <w:p w14:paraId="7643AD72" w14:textId="77777777" w:rsidR="006F71EA" w:rsidRDefault="006F71EA" w:rsidP="006F71EA">
      <w:pPr>
        <w:spacing w:before="120"/>
        <w:rPr>
          <w:b/>
          <w:sz w:val="24"/>
          <w:szCs w:val="24"/>
        </w:rPr>
      </w:pPr>
      <w:r w:rsidRPr="00DF3BF1">
        <w:rPr>
          <w:b/>
          <w:sz w:val="24"/>
          <w:szCs w:val="24"/>
        </w:rPr>
        <w:t>Comité des droits de l’homme</w:t>
      </w:r>
    </w:p>
    <w:p w14:paraId="7A7B424B" w14:textId="1A661DCD" w:rsidR="00142598" w:rsidRPr="00054C58" w:rsidRDefault="00142598" w:rsidP="00142598">
      <w:pPr>
        <w:pStyle w:val="HChG"/>
        <w:rPr>
          <w:rFonts w:eastAsia="MS Mincho"/>
        </w:rPr>
      </w:pPr>
      <w:r>
        <w:rPr>
          <w:lang w:val="fr-FR"/>
        </w:rPr>
        <w:tab/>
      </w:r>
      <w:r>
        <w:rPr>
          <w:lang w:val="fr-FR"/>
        </w:rPr>
        <w:tab/>
      </w:r>
      <w:r>
        <w:rPr>
          <w:lang w:val="fr-FR"/>
        </w:rPr>
        <w:t>C</w:t>
      </w:r>
      <w:r w:rsidRPr="0052616F">
        <w:t>onstatations adoptées par le Comité au titre de l</w:t>
      </w:r>
      <w:r>
        <w:t>’</w:t>
      </w:r>
      <w:r w:rsidRPr="0052616F">
        <w:t>article</w:t>
      </w:r>
      <w:r>
        <w:t> </w:t>
      </w:r>
      <w:r w:rsidRPr="0052616F">
        <w:t>5 (par.</w:t>
      </w:r>
      <w:r>
        <w:t> </w:t>
      </w:r>
      <w:r w:rsidRPr="0052616F">
        <w:t>4) du Protocole facultatif, concernant la c</w:t>
      </w:r>
      <w:r>
        <w:rPr>
          <w:lang w:val="fr-FR"/>
        </w:rPr>
        <w:t>ommunication n</w:t>
      </w:r>
      <w:r>
        <w:rPr>
          <w:vertAlign w:val="superscript"/>
          <w:lang w:val="fr-FR"/>
        </w:rPr>
        <w:t>o</w:t>
      </w:r>
      <w:r>
        <w:rPr>
          <w:lang w:val="fr-FR"/>
        </w:rPr>
        <w:t> 3272/2018</w:t>
      </w:r>
      <w:r w:rsidRPr="00142598">
        <w:rPr>
          <w:rStyle w:val="Appelnotedebasdep"/>
          <w:b w:val="0"/>
          <w:bCs/>
          <w:sz w:val="20"/>
          <w:vertAlign w:val="baseline"/>
        </w:rPr>
        <w:footnoteReference w:customMarkFollows="1" w:id="2"/>
        <w:t>*</w:t>
      </w:r>
      <w:r w:rsidRPr="00142598">
        <w:rPr>
          <w:b w:val="0"/>
          <w:bCs/>
          <w:sz w:val="20"/>
          <w:vertAlign w:val="superscript"/>
        </w:rPr>
        <w:t>,</w:t>
      </w:r>
      <w:r w:rsidRPr="00142598">
        <w:rPr>
          <w:b w:val="0"/>
          <w:bCs/>
          <w:sz w:val="20"/>
        </w:rPr>
        <w:t xml:space="preserve"> </w:t>
      </w:r>
      <w:r w:rsidRPr="00142598">
        <w:rPr>
          <w:rStyle w:val="Appelnotedebasdep"/>
          <w:b w:val="0"/>
          <w:bCs/>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0"/>
      </w:tblGrid>
      <w:tr w:rsidR="00142598" w:rsidRPr="00BB77CD" w14:paraId="1EF4D0A7" w14:textId="77777777" w:rsidTr="00154AEB">
        <w:tc>
          <w:tcPr>
            <w:tcW w:w="2694" w:type="dxa"/>
          </w:tcPr>
          <w:p w14:paraId="65AB43F6" w14:textId="77777777" w:rsidR="00142598" w:rsidRPr="00BB77CD" w:rsidRDefault="00142598" w:rsidP="00154AEB">
            <w:pPr>
              <w:spacing w:after="120"/>
              <w:rPr>
                <w:i/>
              </w:rPr>
            </w:pPr>
            <w:r w:rsidRPr="00BB77CD">
              <w:rPr>
                <w:i/>
                <w:iCs/>
                <w:lang w:val="fr-FR"/>
              </w:rPr>
              <w:t xml:space="preserve">Communication présentée par </w:t>
            </w:r>
            <w:r w:rsidRPr="00BB77CD">
              <w:rPr>
                <w:lang w:val="fr-FR"/>
              </w:rPr>
              <w:t>:</w:t>
            </w:r>
          </w:p>
        </w:tc>
        <w:tc>
          <w:tcPr>
            <w:tcW w:w="4110" w:type="dxa"/>
          </w:tcPr>
          <w:p w14:paraId="765B1300" w14:textId="77777777" w:rsidR="00142598" w:rsidRPr="00BB77CD" w:rsidRDefault="00142598" w:rsidP="00154AEB">
            <w:pPr>
              <w:spacing w:after="120"/>
            </w:pPr>
            <w:r w:rsidRPr="00BB77CD">
              <w:rPr>
                <w:lang w:val="fr-FR"/>
              </w:rPr>
              <w:t>Arslan Begenchovich Begenchov (représenté par des conseils, Shane Brady et Haykaz Zoryan)</w:t>
            </w:r>
          </w:p>
        </w:tc>
      </w:tr>
      <w:tr w:rsidR="00142598" w:rsidRPr="00BB77CD" w14:paraId="4144E65D" w14:textId="77777777" w:rsidTr="00154AEB">
        <w:tc>
          <w:tcPr>
            <w:tcW w:w="2694" w:type="dxa"/>
          </w:tcPr>
          <w:p w14:paraId="30F54EA4" w14:textId="77777777" w:rsidR="00142598" w:rsidRPr="00BB77CD" w:rsidRDefault="00142598" w:rsidP="00154AEB">
            <w:pPr>
              <w:spacing w:after="120"/>
              <w:rPr>
                <w:i/>
              </w:rPr>
            </w:pPr>
            <w:r w:rsidRPr="00BB77CD">
              <w:rPr>
                <w:i/>
                <w:iCs/>
                <w:lang w:val="fr-FR"/>
              </w:rPr>
              <w:t xml:space="preserve">Victime(s) présumée(s) </w:t>
            </w:r>
            <w:r w:rsidRPr="00BB77CD">
              <w:rPr>
                <w:lang w:val="fr-FR"/>
              </w:rPr>
              <w:t>:</w:t>
            </w:r>
          </w:p>
        </w:tc>
        <w:tc>
          <w:tcPr>
            <w:tcW w:w="4110" w:type="dxa"/>
          </w:tcPr>
          <w:p w14:paraId="4DD6B75A" w14:textId="77777777" w:rsidR="00142598" w:rsidRPr="00BB77CD" w:rsidRDefault="00142598" w:rsidP="00154AEB">
            <w:pPr>
              <w:spacing w:after="120"/>
            </w:pPr>
            <w:r w:rsidRPr="00BB77CD">
              <w:rPr>
                <w:lang w:val="fr-FR"/>
              </w:rPr>
              <w:t>L</w:t>
            </w:r>
            <w:r>
              <w:rPr>
                <w:lang w:val="fr-FR"/>
              </w:rPr>
              <w:t>’</w:t>
            </w:r>
            <w:r w:rsidRPr="00BB77CD">
              <w:rPr>
                <w:lang w:val="fr-FR"/>
              </w:rPr>
              <w:t>auteur</w:t>
            </w:r>
          </w:p>
        </w:tc>
      </w:tr>
      <w:tr w:rsidR="00142598" w:rsidRPr="00BB77CD" w14:paraId="150273A6" w14:textId="77777777" w:rsidTr="00154AEB">
        <w:tc>
          <w:tcPr>
            <w:tcW w:w="2694" w:type="dxa"/>
          </w:tcPr>
          <w:p w14:paraId="0B46627E" w14:textId="77777777" w:rsidR="00142598" w:rsidRPr="00BB77CD" w:rsidRDefault="00142598" w:rsidP="00154AEB">
            <w:pPr>
              <w:spacing w:after="120"/>
              <w:rPr>
                <w:i/>
              </w:rPr>
            </w:pPr>
            <w:r w:rsidRPr="00BB77CD">
              <w:rPr>
                <w:i/>
                <w:iCs/>
                <w:lang w:val="fr-FR"/>
              </w:rPr>
              <w:t xml:space="preserve">État partie </w:t>
            </w:r>
            <w:r w:rsidRPr="00BB77CD">
              <w:rPr>
                <w:lang w:val="fr-FR"/>
              </w:rPr>
              <w:t>:</w:t>
            </w:r>
          </w:p>
        </w:tc>
        <w:tc>
          <w:tcPr>
            <w:tcW w:w="4110" w:type="dxa"/>
          </w:tcPr>
          <w:p w14:paraId="263D340C" w14:textId="77777777" w:rsidR="00142598" w:rsidRPr="00BB77CD" w:rsidRDefault="00142598" w:rsidP="00154AEB">
            <w:pPr>
              <w:spacing w:after="120"/>
            </w:pPr>
            <w:r w:rsidRPr="00BB77CD">
              <w:rPr>
                <w:lang w:val="fr-FR"/>
              </w:rPr>
              <w:t>Turkménistan</w:t>
            </w:r>
          </w:p>
        </w:tc>
      </w:tr>
      <w:tr w:rsidR="00142598" w:rsidRPr="00BB77CD" w14:paraId="26807991" w14:textId="77777777" w:rsidTr="00154AEB">
        <w:tc>
          <w:tcPr>
            <w:tcW w:w="2694" w:type="dxa"/>
          </w:tcPr>
          <w:p w14:paraId="1A1B5F21" w14:textId="77777777" w:rsidR="00142598" w:rsidRPr="00BB77CD" w:rsidRDefault="00142598" w:rsidP="00154AEB">
            <w:pPr>
              <w:spacing w:after="120"/>
              <w:rPr>
                <w:i/>
              </w:rPr>
            </w:pPr>
            <w:r w:rsidRPr="00BB77CD">
              <w:rPr>
                <w:i/>
                <w:iCs/>
                <w:lang w:val="fr-FR"/>
              </w:rPr>
              <w:t xml:space="preserve">Date de la communication </w:t>
            </w:r>
            <w:r w:rsidRPr="00BB77CD">
              <w:rPr>
                <w:lang w:val="fr-FR"/>
              </w:rPr>
              <w:t>:</w:t>
            </w:r>
          </w:p>
        </w:tc>
        <w:tc>
          <w:tcPr>
            <w:tcW w:w="4110" w:type="dxa"/>
          </w:tcPr>
          <w:p w14:paraId="271D34D4" w14:textId="77777777" w:rsidR="00142598" w:rsidRPr="00BB77CD" w:rsidRDefault="00142598" w:rsidP="00154AEB">
            <w:pPr>
              <w:spacing w:after="120"/>
            </w:pPr>
            <w:r w:rsidRPr="00BB77CD">
              <w:rPr>
                <w:lang w:val="fr-FR"/>
              </w:rPr>
              <w:t xml:space="preserve">19 juin 2018 (date de la lettre initiale) </w:t>
            </w:r>
          </w:p>
        </w:tc>
      </w:tr>
      <w:tr w:rsidR="00142598" w:rsidRPr="00BB77CD" w14:paraId="027508BD" w14:textId="77777777" w:rsidTr="00154AEB">
        <w:tc>
          <w:tcPr>
            <w:tcW w:w="2694" w:type="dxa"/>
          </w:tcPr>
          <w:p w14:paraId="29C46D45" w14:textId="77777777" w:rsidR="00142598" w:rsidRPr="00BB77CD" w:rsidRDefault="00142598" w:rsidP="00154AEB">
            <w:pPr>
              <w:spacing w:after="120"/>
              <w:rPr>
                <w:i/>
              </w:rPr>
            </w:pPr>
            <w:r w:rsidRPr="00BB77CD">
              <w:rPr>
                <w:i/>
                <w:iCs/>
                <w:lang w:val="fr-FR"/>
              </w:rPr>
              <w:t xml:space="preserve">Références </w:t>
            </w:r>
            <w:r w:rsidRPr="00BB77CD">
              <w:rPr>
                <w:lang w:val="fr-FR"/>
              </w:rPr>
              <w:t>:</w:t>
            </w:r>
          </w:p>
        </w:tc>
        <w:tc>
          <w:tcPr>
            <w:tcW w:w="4110" w:type="dxa"/>
          </w:tcPr>
          <w:p w14:paraId="6FA0AF61" w14:textId="77777777" w:rsidR="00142598" w:rsidRPr="00BB77CD" w:rsidRDefault="00142598" w:rsidP="00154AEB">
            <w:pPr>
              <w:spacing w:after="120"/>
            </w:pPr>
            <w:r w:rsidRPr="00BB77CD">
              <w:rPr>
                <w:lang w:val="fr-FR"/>
              </w:rPr>
              <w:t>Décision prise en application de l</w:t>
            </w:r>
            <w:r>
              <w:rPr>
                <w:lang w:val="fr-FR"/>
              </w:rPr>
              <w:t>’</w:t>
            </w:r>
            <w:r w:rsidRPr="00BB77CD">
              <w:rPr>
                <w:lang w:val="fr-FR"/>
              </w:rPr>
              <w:t xml:space="preserve">article 92 du </w:t>
            </w:r>
            <w:r>
              <w:rPr>
                <w:lang w:val="fr-FR"/>
              </w:rPr>
              <w:t>R</w:t>
            </w:r>
            <w:r w:rsidRPr="00BB77CD">
              <w:rPr>
                <w:lang w:val="fr-FR"/>
              </w:rPr>
              <w:t>èglement intérieur du Comité, communiquée à l</w:t>
            </w:r>
            <w:r>
              <w:rPr>
                <w:lang w:val="fr-FR"/>
              </w:rPr>
              <w:t>’</w:t>
            </w:r>
            <w:r w:rsidRPr="00BB77CD">
              <w:rPr>
                <w:lang w:val="fr-FR"/>
              </w:rPr>
              <w:t>État partie le 7 décembre 2018 (non publiée sous forme de document)</w:t>
            </w:r>
          </w:p>
        </w:tc>
      </w:tr>
      <w:tr w:rsidR="00142598" w:rsidRPr="00BB77CD" w14:paraId="3A6BC37C" w14:textId="77777777" w:rsidTr="00154AEB">
        <w:tc>
          <w:tcPr>
            <w:tcW w:w="2694" w:type="dxa"/>
          </w:tcPr>
          <w:p w14:paraId="5EDCEEBC" w14:textId="77777777" w:rsidR="00142598" w:rsidRPr="00BB77CD" w:rsidRDefault="00142598" w:rsidP="00154AEB">
            <w:pPr>
              <w:spacing w:after="120"/>
              <w:rPr>
                <w:i/>
              </w:rPr>
            </w:pPr>
            <w:r w:rsidRPr="00BB77CD">
              <w:rPr>
                <w:i/>
                <w:iCs/>
                <w:lang w:val="fr-FR"/>
              </w:rPr>
              <w:t xml:space="preserve">Date des constatations </w:t>
            </w:r>
            <w:r w:rsidRPr="00BB77CD">
              <w:rPr>
                <w:lang w:val="fr-FR"/>
              </w:rPr>
              <w:t>:</w:t>
            </w:r>
          </w:p>
        </w:tc>
        <w:tc>
          <w:tcPr>
            <w:tcW w:w="4110" w:type="dxa"/>
            <w:vAlign w:val="bottom"/>
          </w:tcPr>
          <w:p w14:paraId="5CBF855A" w14:textId="77777777" w:rsidR="00142598" w:rsidRPr="00BB77CD" w:rsidRDefault="00142598" w:rsidP="00154AEB">
            <w:pPr>
              <w:spacing w:after="120"/>
            </w:pPr>
            <w:r>
              <w:rPr>
                <w:lang w:val="fr-FR"/>
              </w:rPr>
              <w:t>11 mars</w:t>
            </w:r>
            <w:r w:rsidRPr="00BB77CD">
              <w:rPr>
                <w:lang w:val="fr-FR"/>
              </w:rPr>
              <w:t xml:space="preserve"> 2022</w:t>
            </w:r>
          </w:p>
        </w:tc>
      </w:tr>
      <w:tr w:rsidR="00142598" w:rsidRPr="00BB77CD" w14:paraId="654664E8" w14:textId="77777777" w:rsidTr="00154AEB">
        <w:tc>
          <w:tcPr>
            <w:tcW w:w="2694" w:type="dxa"/>
          </w:tcPr>
          <w:p w14:paraId="53373434" w14:textId="77777777" w:rsidR="00142598" w:rsidRPr="00BB77CD" w:rsidRDefault="00142598" w:rsidP="00154AEB">
            <w:pPr>
              <w:spacing w:after="120"/>
              <w:rPr>
                <w:i/>
              </w:rPr>
            </w:pPr>
            <w:r w:rsidRPr="00BB77CD">
              <w:rPr>
                <w:i/>
                <w:iCs/>
                <w:lang w:val="fr-FR"/>
              </w:rPr>
              <w:t xml:space="preserve">Objet </w:t>
            </w:r>
            <w:r w:rsidRPr="00BB77CD">
              <w:rPr>
                <w:lang w:val="fr-FR"/>
              </w:rPr>
              <w:t>:</w:t>
            </w:r>
          </w:p>
        </w:tc>
        <w:tc>
          <w:tcPr>
            <w:tcW w:w="4110" w:type="dxa"/>
          </w:tcPr>
          <w:p w14:paraId="07DA85A9" w14:textId="77777777" w:rsidR="00142598" w:rsidRPr="00BB77CD" w:rsidRDefault="00142598" w:rsidP="00154AEB">
            <w:pPr>
              <w:spacing w:after="120"/>
            </w:pPr>
            <w:r w:rsidRPr="00BB77CD">
              <w:rPr>
                <w:lang w:val="fr-FR"/>
              </w:rPr>
              <w:t>Objection de conscience au service militaire obligatoire</w:t>
            </w:r>
          </w:p>
        </w:tc>
      </w:tr>
      <w:tr w:rsidR="00142598" w:rsidRPr="00BB77CD" w14:paraId="63DEAE3C" w14:textId="77777777" w:rsidTr="00154AEB">
        <w:tc>
          <w:tcPr>
            <w:tcW w:w="2694" w:type="dxa"/>
          </w:tcPr>
          <w:p w14:paraId="589A012E" w14:textId="77777777" w:rsidR="00142598" w:rsidRPr="00BB77CD" w:rsidRDefault="00142598" w:rsidP="00154AEB">
            <w:pPr>
              <w:spacing w:after="120"/>
              <w:rPr>
                <w:i/>
                <w:iCs/>
              </w:rPr>
            </w:pPr>
            <w:r w:rsidRPr="00BB77CD">
              <w:rPr>
                <w:i/>
                <w:iCs/>
                <w:lang w:val="fr-FR"/>
              </w:rPr>
              <w:t xml:space="preserve">Question(s) de procédure </w:t>
            </w:r>
            <w:r w:rsidRPr="00BB77CD">
              <w:rPr>
                <w:lang w:val="fr-FR"/>
              </w:rPr>
              <w:t>:</w:t>
            </w:r>
          </w:p>
        </w:tc>
        <w:tc>
          <w:tcPr>
            <w:tcW w:w="4110" w:type="dxa"/>
          </w:tcPr>
          <w:p w14:paraId="272C26F1" w14:textId="77777777" w:rsidR="00142598" w:rsidRPr="00BB77CD" w:rsidRDefault="00142598" w:rsidP="00154AEB">
            <w:pPr>
              <w:spacing w:after="120"/>
            </w:pPr>
            <w:r w:rsidRPr="00BB77CD">
              <w:rPr>
                <w:lang w:val="fr-FR"/>
              </w:rPr>
              <w:t>Recevabilité : épuisement des recours internes ; défaut de coopération</w:t>
            </w:r>
          </w:p>
        </w:tc>
      </w:tr>
      <w:tr w:rsidR="00142598" w:rsidRPr="00BB77CD" w14:paraId="3A0C67E6" w14:textId="77777777" w:rsidTr="00154AEB">
        <w:tc>
          <w:tcPr>
            <w:tcW w:w="2694" w:type="dxa"/>
          </w:tcPr>
          <w:p w14:paraId="70CF26F6" w14:textId="77777777" w:rsidR="00142598" w:rsidRPr="00BB77CD" w:rsidRDefault="00142598" w:rsidP="00154AEB">
            <w:pPr>
              <w:spacing w:after="120"/>
              <w:rPr>
                <w:i/>
                <w:iCs/>
              </w:rPr>
            </w:pPr>
            <w:r w:rsidRPr="00BB77CD">
              <w:rPr>
                <w:i/>
                <w:iCs/>
                <w:lang w:val="fr-FR"/>
              </w:rPr>
              <w:t xml:space="preserve">Question(s) de fond </w:t>
            </w:r>
            <w:r w:rsidRPr="00BB77CD">
              <w:rPr>
                <w:lang w:val="fr-FR"/>
              </w:rPr>
              <w:t>:</w:t>
            </w:r>
          </w:p>
        </w:tc>
        <w:tc>
          <w:tcPr>
            <w:tcW w:w="4110" w:type="dxa"/>
          </w:tcPr>
          <w:p w14:paraId="56168C2C" w14:textId="77777777" w:rsidR="00142598" w:rsidRPr="00BB77CD" w:rsidRDefault="00142598" w:rsidP="00154AEB">
            <w:pPr>
              <w:spacing w:after="120"/>
            </w:pPr>
            <w:r w:rsidRPr="00BB77CD">
              <w:rPr>
                <w:lang w:val="fr-FR"/>
              </w:rPr>
              <w:t>Détention arbitraire; liberté de religion</w:t>
            </w:r>
          </w:p>
        </w:tc>
      </w:tr>
      <w:tr w:rsidR="00142598" w:rsidRPr="00BB77CD" w14:paraId="19DD9F49" w14:textId="77777777" w:rsidTr="00154AEB">
        <w:tc>
          <w:tcPr>
            <w:tcW w:w="2694" w:type="dxa"/>
          </w:tcPr>
          <w:p w14:paraId="08FABC53" w14:textId="77777777" w:rsidR="00142598" w:rsidRPr="00BB77CD" w:rsidRDefault="00142598" w:rsidP="00154AEB">
            <w:pPr>
              <w:spacing w:after="120"/>
              <w:rPr>
                <w:i/>
                <w:iCs/>
              </w:rPr>
            </w:pPr>
            <w:r w:rsidRPr="00BB77CD">
              <w:rPr>
                <w:i/>
                <w:iCs/>
                <w:lang w:val="fr-FR"/>
              </w:rPr>
              <w:t xml:space="preserve">Article(s) du Pacte </w:t>
            </w:r>
            <w:r w:rsidRPr="00BB77CD">
              <w:rPr>
                <w:lang w:val="fr-FR"/>
              </w:rPr>
              <w:t>:</w:t>
            </w:r>
          </w:p>
        </w:tc>
        <w:tc>
          <w:tcPr>
            <w:tcW w:w="4110" w:type="dxa"/>
          </w:tcPr>
          <w:p w14:paraId="1617607F" w14:textId="77777777" w:rsidR="00142598" w:rsidRPr="00BB77CD" w:rsidRDefault="00142598" w:rsidP="00154AEB">
            <w:pPr>
              <w:spacing w:after="120"/>
            </w:pPr>
            <w:r w:rsidRPr="00BB77CD">
              <w:rPr>
                <w:lang w:val="fr-FR"/>
              </w:rPr>
              <w:t>9 (</w:t>
            </w:r>
            <w:r>
              <w:rPr>
                <w:lang w:val="fr-FR"/>
              </w:rPr>
              <w:t>par. </w:t>
            </w:r>
            <w:r w:rsidRPr="00BB77CD">
              <w:rPr>
                <w:lang w:val="fr-FR"/>
              </w:rPr>
              <w:t>1 et 3) et 18 (</w:t>
            </w:r>
            <w:r>
              <w:rPr>
                <w:lang w:val="fr-FR"/>
              </w:rPr>
              <w:t>par. </w:t>
            </w:r>
            <w:r w:rsidRPr="00BB77CD">
              <w:rPr>
                <w:lang w:val="fr-FR"/>
              </w:rPr>
              <w:t>1 et 3)</w:t>
            </w:r>
          </w:p>
        </w:tc>
      </w:tr>
      <w:tr w:rsidR="00142598" w:rsidRPr="00BB77CD" w14:paraId="3916479A" w14:textId="77777777" w:rsidTr="00154AEB">
        <w:tc>
          <w:tcPr>
            <w:tcW w:w="2694" w:type="dxa"/>
          </w:tcPr>
          <w:p w14:paraId="6634815E" w14:textId="77777777" w:rsidR="00142598" w:rsidRPr="00BB77CD" w:rsidRDefault="00142598" w:rsidP="00154AEB">
            <w:pPr>
              <w:spacing w:after="120"/>
              <w:rPr>
                <w:i/>
                <w:iCs/>
              </w:rPr>
            </w:pPr>
            <w:r w:rsidRPr="00BB77CD">
              <w:rPr>
                <w:i/>
                <w:iCs/>
                <w:lang w:val="fr-FR"/>
              </w:rPr>
              <w:t xml:space="preserve">Article(s) du Protocole </w:t>
            </w:r>
            <w:r>
              <w:rPr>
                <w:i/>
                <w:iCs/>
                <w:lang w:val="fr-FR"/>
              </w:rPr>
              <w:br/>
            </w:r>
            <w:r w:rsidRPr="00BB77CD">
              <w:rPr>
                <w:i/>
                <w:iCs/>
                <w:lang w:val="fr-FR"/>
              </w:rPr>
              <w:t xml:space="preserve">facultatif </w:t>
            </w:r>
            <w:r w:rsidRPr="00BB77CD">
              <w:rPr>
                <w:lang w:val="fr-FR"/>
              </w:rPr>
              <w:t>:</w:t>
            </w:r>
          </w:p>
        </w:tc>
        <w:tc>
          <w:tcPr>
            <w:tcW w:w="4110" w:type="dxa"/>
          </w:tcPr>
          <w:p w14:paraId="0753E8CA" w14:textId="77777777" w:rsidR="00142598" w:rsidRPr="00BB77CD" w:rsidRDefault="00142598" w:rsidP="00154AEB">
            <w:pPr>
              <w:spacing w:after="120"/>
            </w:pPr>
            <w:r w:rsidRPr="00BB77CD">
              <w:rPr>
                <w:lang w:val="fr-FR"/>
              </w:rPr>
              <w:t>5 (</w:t>
            </w:r>
            <w:r>
              <w:rPr>
                <w:lang w:val="fr-FR"/>
              </w:rPr>
              <w:t>par. </w:t>
            </w:r>
            <w:r w:rsidRPr="00BB77CD">
              <w:rPr>
                <w:lang w:val="fr-FR"/>
              </w:rPr>
              <w:t>2 b))</w:t>
            </w:r>
          </w:p>
        </w:tc>
      </w:tr>
    </w:tbl>
    <w:p w14:paraId="0B151FC5" w14:textId="00D6FA77" w:rsidR="00142598" w:rsidRPr="00054C58" w:rsidRDefault="00142598" w:rsidP="00746214">
      <w:pPr>
        <w:pStyle w:val="SingleTxtG"/>
        <w:keepLines/>
        <w:spacing w:before="240"/>
      </w:pPr>
      <w:r>
        <w:rPr>
          <w:lang w:val="fr-FR"/>
        </w:rPr>
        <w:t>1</w:t>
      </w:r>
      <w:r w:rsidRPr="00413478">
        <w:rPr>
          <w:lang w:val="fr-FR"/>
        </w:rPr>
        <w:t>.</w:t>
      </w:r>
      <w:r w:rsidRPr="0013314E">
        <w:rPr>
          <w:lang w:val="fr-FR"/>
        </w:rPr>
        <w:tab/>
        <w:t>L</w:t>
      </w:r>
      <w:r>
        <w:rPr>
          <w:lang w:val="fr-FR"/>
        </w:rPr>
        <w:t>’</w:t>
      </w:r>
      <w:r w:rsidRPr="0013314E">
        <w:rPr>
          <w:lang w:val="fr-FR"/>
        </w:rPr>
        <w:t>auteur de la communication est Arslan Begenchovich Begenchov, de nationalité turkmène, né le 16</w:t>
      </w:r>
      <w:r>
        <w:rPr>
          <w:lang w:val="fr-FR"/>
        </w:rPr>
        <w:t> </w:t>
      </w:r>
      <w:r w:rsidRPr="0013314E">
        <w:rPr>
          <w:lang w:val="fr-FR"/>
        </w:rPr>
        <w:t>mai</w:t>
      </w:r>
      <w:r>
        <w:rPr>
          <w:lang w:val="fr-FR"/>
        </w:rPr>
        <w:t xml:space="preserve"> </w:t>
      </w:r>
      <w:r w:rsidRPr="0013314E">
        <w:rPr>
          <w:lang w:val="fr-FR"/>
        </w:rPr>
        <w:t>1999</w:t>
      </w:r>
      <w:r w:rsidRPr="00413478">
        <w:rPr>
          <w:lang w:val="fr-FR"/>
        </w:rPr>
        <w:t>.</w:t>
      </w:r>
      <w:r w:rsidRPr="0013314E">
        <w:rPr>
          <w:lang w:val="fr-FR"/>
        </w:rPr>
        <w:t xml:space="preserve"> Il affirme que l</w:t>
      </w:r>
      <w:r>
        <w:rPr>
          <w:lang w:val="fr-FR"/>
        </w:rPr>
        <w:t>’</w:t>
      </w:r>
      <w:r w:rsidRPr="0013314E">
        <w:rPr>
          <w:lang w:val="fr-FR"/>
        </w:rPr>
        <w:t>État partie a violé les droits qu</w:t>
      </w:r>
      <w:r>
        <w:rPr>
          <w:lang w:val="fr-FR"/>
        </w:rPr>
        <w:t>’</w:t>
      </w:r>
      <w:r w:rsidRPr="0013314E">
        <w:rPr>
          <w:lang w:val="fr-FR"/>
        </w:rPr>
        <w:t>il tient des articles</w:t>
      </w:r>
      <w:r>
        <w:rPr>
          <w:lang w:val="fr-FR"/>
        </w:rPr>
        <w:t> </w:t>
      </w:r>
      <w:r w:rsidRPr="0013314E">
        <w:rPr>
          <w:lang w:val="fr-FR"/>
        </w:rPr>
        <w:t>9 (par</w:t>
      </w:r>
      <w:r w:rsidRPr="00413478">
        <w:rPr>
          <w:lang w:val="fr-FR"/>
        </w:rPr>
        <w:t>.</w:t>
      </w:r>
      <w:r>
        <w:rPr>
          <w:lang w:val="fr-FR"/>
        </w:rPr>
        <w:t> </w:t>
      </w:r>
      <w:r w:rsidRPr="0013314E">
        <w:rPr>
          <w:lang w:val="fr-FR"/>
        </w:rPr>
        <w:t>1 et 3) et 18 (</w:t>
      </w:r>
      <w:r>
        <w:rPr>
          <w:lang w:val="fr-FR"/>
        </w:rPr>
        <w:t>par. </w:t>
      </w:r>
      <w:r w:rsidRPr="0013314E">
        <w:rPr>
          <w:lang w:val="fr-FR"/>
        </w:rPr>
        <w:t>1 et 3) du Pacte</w:t>
      </w:r>
      <w:r w:rsidRPr="00413478">
        <w:rPr>
          <w:lang w:val="fr-FR"/>
        </w:rPr>
        <w:t>.</w:t>
      </w:r>
      <w:r w:rsidRPr="0013314E">
        <w:rPr>
          <w:lang w:val="fr-FR"/>
        </w:rPr>
        <w:t xml:space="preserve"> Le Protocole facultatif est entré en vigueur pour l</w:t>
      </w:r>
      <w:r>
        <w:rPr>
          <w:lang w:val="fr-FR"/>
        </w:rPr>
        <w:t>’</w:t>
      </w:r>
      <w:r w:rsidRPr="0013314E">
        <w:rPr>
          <w:lang w:val="fr-FR"/>
        </w:rPr>
        <w:t>État partie le 1</w:t>
      </w:r>
      <w:r w:rsidRPr="0013314E">
        <w:rPr>
          <w:vertAlign w:val="superscript"/>
          <w:lang w:val="fr-FR"/>
        </w:rPr>
        <w:t>er</w:t>
      </w:r>
      <w:r>
        <w:rPr>
          <w:lang w:val="fr-FR"/>
        </w:rPr>
        <w:t> </w:t>
      </w:r>
      <w:r w:rsidRPr="0013314E">
        <w:rPr>
          <w:lang w:val="fr-FR"/>
        </w:rPr>
        <w:t>août 1997</w:t>
      </w:r>
      <w:r w:rsidRPr="00413478">
        <w:rPr>
          <w:lang w:val="fr-FR"/>
        </w:rPr>
        <w:t>.</w:t>
      </w:r>
      <w:r w:rsidRPr="0013314E">
        <w:rPr>
          <w:lang w:val="fr-FR"/>
        </w:rPr>
        <w:t xml:space="preserve"> L</w:t>
      </w:r>
      <w:r>
        <w:rPr>
          <w:lang w:val="fr-FR"/>
        </w:rPr>
        <w:t>’</w:t>
      </w:r>
      <w:r w:rsidRPr="0013314E">
        <w:rPr>
          <w:lang w:val="fr-FR"/>
        </w:rPr>
        <w:t xml:space="preserve">auteur est représenté par </w:t>
      </w:r>
      <w:r>
        <w:rPr>
          <w:lang w:val="fr-FR"/>
        </w:rPr>
        <w:t>des</w:t>
      </w:r>
      <w:r w:rsidRPr="0013314E">
        <w:rPr>
          <w:lang w:val="fr-FR"/>
        </w:rPr>
        <w:t xml:space="preserve"> conseil</w:t>
      </w:r>
      <w:r>
        <w:rPr>
          <w:lang w:val="fr-FR"/>
        </w:rPr>
        <w:t>s</w:t>
      </w:r>
      <w:r w:rsidRPr="00413478">
        <w:rPr>
          <w:lang w:val="fr-FR"/>
        </w:rPr>
        <w:t>.</w:t>
      </w:r>
    </w:p>
    <w:p w14:paraId="44709225" w14:textId="77777777" w:rsidR="00142598" w:rsidRPr="00054C58" w:rsidRDefault="00142598" w:rsidP="00746214">
      <w:pPr>
        <w:pStyle w:val="H23G"/>
      </w:pPr>
      <w:r w:rsidRPr="0013314E">
        <w:rPr>
          <w:lang w:val="fr-FR"/>
        </w:rPr>
        <w:lastRenderedPageBreak/>
        <w:tab/>
      </w:r>
      <w:r w:rsidRPr="0013314E">
        <w:rPr>
          <w:lang w:val="fr-FR"/>
        </w:rPr>
        <w:tab/>
        <w:t>Exposé des faits</w:t>
      </w:r>
    </w:p>
    <w:p w14:paraId="2DA37D85" w14:textId="77777777" w:rsidR="00142598" w:rsidRPr="00054C58" w:rsidRDefault="00142598" w:rsidP="00746214">
      <w:pPr>
        <w:pStyle w:val="SingleTxtG"/>
        <w:keepNext/>
        <w:keepLines/>
      </w:pPr>
      <w:r w:rsidRPr="0013314E">
        <w:rPr>
          <w:lang w:val="fr-FR"/>
        </w:rPr>
        <w:t>2</w:t>
      </w:r>
      <w:r w:rsidRPr="00413478">
        <w:rPr>
          <w:lang w:val="fr-FR"/>
        </w:rPr>
        <w:t>.</w:t>
      </w:r>
      <w:r w:rsidRPr="0013314E">
        <w:rPr>
          <w:lang w:val="fr-FR"/>
        </w:rPr>
        <w:t>1</w:t>
      </w:r>
      <w:r w:rsidRPr="0013314E">
        <w:rPr>
          <w:lang w:val="fr-FR"/>
        </w:rPr>
        <w:tab/>
      </w:r>
      <w:r>
        <w:rPr>
          <w:lang w:val="fr-FR"/>
        </w:rPr>
        <w:t>Au moment où</w:t>
      </w:r>
      <w:r w:rsidRPr="0013314E">
        <w:rPr>
          <w:lang w:val="fr-FR"/>
        </w:rPr>
        <w:t xml:space="preserve"> la communication</w:t>
      </w:r>
      <w:r>
        <w:rPr>
          <w:lang w:val="fr-FR"/>
        </w:rPr>
        <w:t xml:space="preserve"> a été soumise</w:t>
      </w:r>
      <w:r w:rsidRPr="0013314E">
        <w:rPr>
          <w:lang w:val="fr-FR"/>
        </w:rPr>
        <w:t>, l</w:t>
      </w:r>
      <w:r>
        <w:rPr>
          <w:lang w:val="fr-FR"/>
        </w:rPr>
        <w:t>’</w:t>
      </w:r>
      <w:r w:rsidRPr="0013314E">
        <w:rPr>
          <w:lang w:val="fr-FR"/>
        </w:rPr>
        <w:t xml:space="preserve">auteur </w:t>
      </w:r>
      <w:r>
        <w:rPr>
          <w:lang w:val="fr-FR"/>
        </w:rPr>
        <w:t>était âgé de</w:t>
      </w:r>
      <w:r w:rsidRPr="0013314E">
        <w:rPr>
          <w:lang w:val="fr-FR"/>
        </w:rPr>
        <w:t xml:space="preserve"> 19</w:t>
      </w:r>
      <w:r>
        <w:rPr>
          <w:lang w:val="fr-FR"/>
        </w:rPr>
        <w:t> </w:t>
      </w:r>
      <w:r w:rsidRPr="0013314E">
        <w:rPr>
          <w:lang w:val="fr-FR"/>
        </w:rPr>
        <w:t>ans</w:t>
      </w:r>
      <w:r w:rsidRPr="00413478">
        <w:rPr>
          <w:lang w:val="fr-FR"/>
        </w:rPr>
        <w:t>.</w:t>
      </w:r>
      <w:r w:rsidRPr="0013314E">
        <w:rPr>
          <w:lang w:val="fr-FR"/>
        </w:rPr>
        <w:t xml:space="preserve"> Il est membre des Témoins de Jéhovah</w:t>
      </w:r>
      <w:r w:rsidRPr="00413478">
        <w:rPr>
          <w:lang w:val="fr-FR"/>
        </w:rPr>
        <w:t>.</w:t>
      </w:r>
      <w:r w:rsidRPr="0013314E">
        <w:rPr>
          <w:lang w:val="fr-FR"/>
        </w:rPr>
        <w:t xml:space="preserve"> </w:t>
      </w:r>
      <w:r>
        <w:rPr>
          <w:lang w:val="fr-FR"/>
        </w:rPr>
        <w:t>Il a la ferme conviction, dictée par sa conscience religieuse,</w:t>
      </w:r>
      <w:r w:rsidRPr="0013314E">
        <w:rPr>
          <w:lang w:val="fr-FR"/>
        </w:rPr>
        <w:t xml:space="preserve"> que les Saintes Écritures interdisent d</w:t>
      </w:r>
      <w:r>
        <w:rPr>
          <w:lang w:val="fr-FR"/>
        </w:rPr>
        <w:t>’</w:t>
      </w:r>
      <w:r w:rsidRPr="0013314E">
        <w:rPr>
          <w:lang w:val="fr-FR"/>
        </w:rPr>
        <w:t>utiliser des armes et d</w:t>
      </w:r>
      <w:r>
        <w:rPr>
          <w:lang w:val="fr-FR"/>
        </w:rPr>
        <w:t>’effectue</w:t>
      </w:r>
      <w:r w:rsidRPr="0013314E">
        <w:rPr>
          <w:lang w:val="fr-FR"/>
        </w:rPr>
        <w:t>r le service militaire</w:t>
      </w:r>
      <w:r w:rsidRPr="00413478">
        <w:rPr>
          <w:lang w:val="fr-FR"/>
        </w:rPr>
        <w:t>.</w:t>
      </w:r>
      <w:r w:rsidRPr="0013314E">
        <w:rPr>
          <w:lang w:val="fr-FR"/>
        </w:rPr>
        <w:t xml:space="preserve"> Il est disposé à </w:t>
      </w:r>
      <w:r>
        <w:rPr>
          <w:lang w:val="fr-FR"/>
        </w:rPr>
        <w:t>accomplir</w:t>
      </w:r>
      <w:r w:rsidRPr="0013314E">
        <w:rPr>
          <w:lang w:val="fr-FR"/>
        </w:rPr>
        <w:t xml:space="preserve"> un service civil de remplacement pour autant qu</w:t>
      </w:r>
      <w:r>
        <w:rPr>
          <w:lang w:val="fr-FR"/>
        </w:rPr>
        <w:t>e celui-ci</w:t>
      </w:r>
      <w:r w:rsidRPr="0013314E">
        <w:rPr>
          <w:lang w:val="fr-FR"/>
        </w:rPr>
        <w:t xml:space="preserve"> n</w:t>
      </w:r>
      <w:r>
        <w:rPr>
          <w:lang w:val="fr-FR"/>
        </w:rPr>
        <w:t>’</w:t>
      </w:r>
      <w:r w:rsidRPr="0013314E">
        <w:rPr>
          <w:lang w:val="fr-FR"/>
        </w:rPr>
        <w:t xml:space="preserve">ait </w:t>
      </w:r>
      <w:r>
        <w:rPr>
          <w:lang w:val="fr-FR"/>
        </w:rPr>
        <w:t>véritablement</w:t>
      </w:r>
      <w:r w:rsidRPr="0013314E">
        <w:rPr>
          <w:lang w:val="fr-FR"/>
        </w:rPr>
        <w:t xml:space="preserve"> aucun caractère punitif ou dissuasif</w:t>
      </w:r>
      <w:r w:rsidRPr="00413478">
        <w:rPr>
          <w:lang w:val="fr-FR"/>
        </w:rPr>
        <w:t>.</w:t>
      </w:r>
    </w:p>
    <w:p w14:paraId="74131641" w14:textId="77777777" w:rsidR="00142598" w:rsidRPr="00054C58" w:rsidRDefault="00142598" w:rsidP="00142598">
      <w:pPr>
        <w:pStyle w:val="SingleTxtG"/>
      </w:pPr>
      <w:r w:rsidRPr="0013314E">
        <w:rPr>
          <w:lang w:val="fr-FR"/>
        </w:rPr>
        <w:t>2</w:t>
      </w:r>
      <w:r w:rsidRPr="00413478">
        <w:rPr>
          <w:lang w:val="fr-FR"/>
        </w:rPr>
        <w:t>.</w:t>
      </w:r>
      <w:r w:rsidRPr="0013314E">
        <w:rPr>
          <w:lang w:val="fr-FR"/>
        </w:rPr>
        <w:t>2</w:t>
      </w:r>
      <w:r w:rsidRPr="0013314E">
        <w:rPr>
          <w:lang w:val="fr-FR"/>
        </w:rPr>
        <w:tab/>
        <w:t>Au printemps 2017, l</w:t>
      </w:r>
      <w:r>
        <w:rPr>
          <w:lang w:val="fr-FR"/>
        </w:rPr>
        <w:t>’</w:t>
      </w:r>
      <w:r w:rsidRPr="0013314E">
        <w:rPr>
          <w:lang w:val="fr-FR"/>
        </w:rPr>
        <w:t xml:space="preserve">auteur a </w:t>
      </w:r>
      <w:r>
        <w:rPr>
          <w:lang w:val="fr-FR"/>
        </w:rPr>
        <w:t xml:space="preserve">été convoqué aux fins du </w:t>
      </w:r>
      <w:r w:rsidRPr="0013314E">
        <w:rPr>
          <w:lang w:val="fr-FR"/>
        </w:rPr>
        <w:t>service militaire</w:t>
      </w:r>
      <w:r w:rsidRPr="00413478">
        <w:rPr>
          <w:lang w:val="fr-FR"/>
        </w:rPr>
        <w:t>.</w:t>
      </w:r>
      <w:r w:rsidRPr="0013314E">
        <w:rPr>
          <w:lang w:val="fr-FR"/>
        </w:rPr>
        <w:t xml:space="preserve"> Il a répondu à la convocation et</w:t>
      </w:r>
      <w:r>
        <w:rPr>
          <w:lang w:val="fr-FR"/>
        </w:rPr>
        <w:t>, au cours de l’</w:t>
      </w:r>
      <w:r w:rsidRPr="0013314E">
        <w:rPr>
          <w:lang w:val="fr-FR"/>
        </w:rPr>
        <w:t>examen médical</w:t>
      </w:r>
      <w:r>
        <w:rPr>
          <w:lang w:val="fr-FR"/>
        </w:rPr>
        <w:t xml:space="preserve"> que </w:t>
      </w:r>
      <w:r w:rsidRPr="0013314E">
        <w:rPr>
          <w:lang w:val="fr-FR"/>
        </w:rPr>
        <w:t>l</w:t>
      </w:r>
      <w:r>
        <w:rPr>
          <w:lang w:val="fr-FR"/>
        </w:rPr>
        <w:t>’</w:t>
      </w:r>
      <w:r w:rsidRPr="0013314E">
        <w:rPr>
          <w:lang w:val="fr-FR"/>
        </w:rPr>
        <w:t>armée lui a demandé de passer</w:t>
      </w:r>
      <w:r>
        <w:rPr>
          <w:lang w:val="fr-FR"/>
        </w:rPr>
        <w:t xml:space="preserve">, </w:t>
      </w:r>
      <w:r w:rsidRPr="0013314E">
        <w:rPr>
          <w:lang w:val="fr-FR"/>
        </w:rPr>
        <w:t>on lui a diagnostiqué un prolapsus de la valve mitrale d</w:t>
      </w:r>
      <w:r>
        <w:rPr>
          <w:lang w:val="fr-FR"/>
        </w:rPr>
        <w:t>e</w:t>
      </w:r>
      <w:r w:rsidRPr="0013314E">
        <w:rPr>
          <w:lang w:val="fr-FR"/>
        </w:rPr>
        <w:t xml:space="preserve"> premier degré</w:t>
      </w:r>
      <w:r w:rsidRPr="00413478">
        <w:rPr>
          <w:lang w:val="fr-FR"/>
        </w:rPr>
        <w:t>.</w:t>
      </w:r>
      <w:r w:rsidRPr="0013314E">
        <w:rPr>
          <w:lang w:val="fr-FR"/>
        </w:rPr>
        <w:t xml:space="preserve"> </w:t>
      </w:r>
    </w:p>
    <w:p w14:paraId="1B49ABA2" w14:textId="77777777" w:rsidR="00142598" w:rsidRPr="00054C58" w:rsidRDefault="00142598" w:rsidP="00142598">
      <w:pPr>
        <w:pStyle w:val="SingleTxtG"/>
      </w:pPr>
      <w:r w:rsidRPr="0013314E">
        <w:rPr>
          <w:lang w:val="fr-FR"/>
        </w:rPr>
        <w:t>2</w:t>
      </w:r>
      <w:r w:rsidRPr="00413478">
        <w:rPr>
          <w:lang w:val="fr-FR"/>
        </w:rPr>
        <w:t>.</w:t>
      </w:r>
      <w:r w:rsidRPr="0013314E">
        <w:rPr>
          <w:lang w:val="fr-FR"/>
        </w:rPr>
        <w:t>3</w:t>
      </w:r>
      <w:r w:rsidRPr="0013314E">
        <w:rPr>
          <w:lang w:val="fr-FR"/>
        </w:rPr>
        <w:tab/>
        <w:t>Malgré ce diagnostic, en octobre 2017, l</w:t>
      </w:r>
      <w:r>
        <w:rPr>
          <w:lang w:val="fr-FR"/>
        </w:rPr>
        <w:t>’</w:t>
      </w:r>
      <w:r w:rsidRPr="0013314E">
        <w:rPr>
          <w:lang w:val="fr-FR"/>
        </w:rPr>
        <w:t>auteur a de nouveau</w:t>
      </w:r>
      <w:r>
        <w:rPr>
          <w:lang w:val="fr-FR"/>
        </w:rPr>
        <w:t xml:space="preserve"> été</w:t>
      </w:r>
      <w:r w:rsidRPr="0013314E">
        <w:rPr>
          <w:lang w:val="fr-FR"/>
        </w:rPr>
        <w:t xml:space="preserve"> </w:t>
      </w:r>
      <w:r>
        <w:rPr>
          <w:lang w:val="fr-FR"/>
        </w:rPr>
        <w:t xml:space="preserve">convoqué aux fins du </w:t>
      </w:r>
      <w:r w:rsidRPr="0013314E">
        <w:rPr>
          <w:lang w:val="fr-FR"/>
        </w:rPr>
        <w:t>service militaire</w:t>
      </w:r>
      <w:r w:rsidRPr="00413478">
        <w:rPr>
          <w:lang w:val="fr-FR"/>
        </w:rPr>
        <w:t>.</w:t>
      </w:r>
      <w:r w:rsidRPr="0013314E">
        <w:rPr>
          <w:lang w:val="fr-FR"/>
        </w:rPr>
        <w:t xml:space="preserve"> Il a répondu à la convocation, et l</w:t>
      </w:r>
      <w:r>
        <w:rPr>
          <w:lang w:val="fr-FR"/>
        </w:rPr>
        <w:t>’</w:t>
      </w:r>
      <w:r w:rsidRPr="0013314E">
        <w:rPr>
          <w:lang w:val="fr-FR"/>
        </w:rPr>
        <w:t>armée lui a demandé de passer un nouvel examen médical</w:t>
      </w:r>
      <w:r w:rsidRPr="00413478">
        <w:rPr>
          <w:lang w:val="fr-FR"/>
        </w:rPr>
        <w:t>.</w:t>
      </w:r>
      <w:r w:rsidRPr="0013314E">
        <w:rPr>
          <w:lang w:val="fr-FR"/>
        </w:rPr>
        <w:t xml:space="preserve"> Le 11 novembre 2017, une commission médicale a </w:t>
      </w:r>
      <w:r>
        <w:rPr>
          <w:lang w:val="fr-FR"/>
        </w:rPr>
        <w:t>déclaré</w:t>
      </w:r>
      <w:r w:rsidRPr="0013314E">
        <w:rPr>
          <w:lang w:val="fr-FR"/>
        </w:rPr>
        <w:t xml:space="preserve"> l</w:t>
      </w:r>
      <w:r>
        <w:rPr>
          <w:lang w:val="fr-FR"/>
        </w:rPr>
        <w:t>’</w:t>
      </w:r>
      <w:r w:rsidRPr="0013314E">
        <w:rPr>
          <w:lang w:val="fr-FR"/>
        </w:rPr>
        <w:t xml:space="preserve">auteur apte </w:t>
      </w:r>
      <w:r>
        <w:rPr>
          <w:lang w:val="fr-FR"/>
        </w:rPr>
        <w:t>au</w:t>
      </w:r>
      <w:r w:rsidRPr="0013314E">
        <w:rPr>
          <w:lang w:val="fr-FR"/>
        </w:rPr>
        <w:t xml:space="preserve"> service militaire</w:t>
      </w:r>
      <w:r>
        <w:rPr>
          <w:lang w:val="fr-FR"/>
        </w:rPr>
        <w:t>, sans tenir</w:t>
      </w:r>
      <w:r w:rsidRPr="0013314E">
        <w:rPr>
          <w:lang w:val="fr-FR"/>
        </w:rPr>
        <w:t xml:space="preserve"> aucun compte du diagnostic précédent </w:t>
      </w:r>
      <w:r>
        <w:rPr>
          <w:lang w:val="fr-FR"/>
        </w:rPr>
        <w:t>concernant le</w:t>
      </w:r>
      <w:r w:rsidRPr="0013314E">
        <w:rPr>
          <w:lang w:val="fr-FR"/>
        </w:rPr>
        <w:t xml:space="preserve"> prolapsus de la valve mitrale d</w:t>
      </w:r>
      <w:r>
        <w:rPr>
          <w:lang w:val="fr-FR"/>
        </w:rPr>
        <w:t>e</w:t>
      </w:r>
      <w:r w:rsidRPr="0013314E">
        <w:rPr>
          <w:lang w:val="fr-FR"/>
        </w:rPr>
        <w:t xml:space="preserve"> premier degré</w:t>
      </w:r>
      <w:r w:rsidRPr="00413478">
        <w:rPr>
          <w:lang w:val="fr-FR"/>
        </w:rPr>
        <w:t>.</w:t>
      </w:r>
    </w:p>
    <w:p w14:paraId="744A2E9B" w14:textId="77777777" w:rsidR="00142598" w:rsidRPr="00054C58" w:rsidRDefault="00142598" w:rsidP="00142598">
      <w:pPr>
        <w:pStyle w:val="SingleTxtG"/>
      </w:pPr>
      <w:r w:rsidRPr="0013314E">
        <w:rPr>
          <w:lang w:val="fr-FR"/>
        </w:rPr>
        <w:t>2</w:t>
      </w:r>
      <w:r w:rsidRPr="00413478">
        <w:rPr>
          <w:lang w:val="fr-FR"/>
        </w:rPr>
        <w:t>.</w:t>
      </w:r>
      <w:r w:rsidRPr="0013314E">
        <w:rPr>
          <w:lang w:val="fr-FR"/>
        </w:rPr>
        <w:t>4</w:t>
      </w:r>
      <w:r w:rsidRPr="0013314E">
        <w:rPr>
          <w:lang w:val="fr-FR"/>
        </w:rPr>
        <w:tab/>
      </w:r>
      <w:r>
        <w:rPr>
          <w:lang w:val="fr-FR"/>
        </w:rPr>
        <w:t>Le 11 novembre 2017 également</w:t>
      </w:r>
      <w:r w:rsidRPr="0013314E">
        <w:rPr>
          <w:lang w:val="fr-FR"/>
        </w:rPr>
        <w:t>, l</w:t>
      </w:r>
      <w:r>
        <w:rPr>
          <w:lang w:val="fr-FR"/>
        </w:rPr>
        <w:t>’</w:t>
      </w:r>
      <w:r w:rsidRPr="0013314E">
        <w:rPr>
          <w:lang w:val="fr-FR"/>
        </w:rPr>
        <w:t xml:space="preserve">auteur a </w:t>
      </w:r>
      <w:r>
        <w:rPr>
          <w:lang w:val="fr-FR"/>
        </w:rPr>
        <w:t>demandé par écrit aux</w:t>
      </w:r>
      <w:r w:rsidRPr="0013314E">
        <w:rPr>
          <w:lang w:val="fr-FR"/>
        </w:rPr>
        <w:t xml:space="preserve"> autorités militaires à pouvoir effectuer un service civil de remplacement en raison de son problème de santé</w:t>
      </w:r>
      <w:r w:rsidRPr="00413478">
        <w:rPr>
          <w:lang w:val="fr-FR"/>
        </w:rPr>
        <w:t>.</w:t>
      </w:r>
      <w:r w:rsidRPr="0013314E">
        <w:rPr>
          <w:lang w:val="fr-FR"/>
        </w:rPr>
        <w:t xml:space="preserve"> </w:t>
      </w:r>
      <w:r>
        <w:rPr>
          <w:lang w:val="fr-FR"/>
        </w:rPr>
        <w:t>Ignorant</w:t>
      </w:r>
      <w:r w:rsidRPr="0013314E">
        <w:rPr>
          <w:lang w:val="fr-FR"/>
        </w:rPr>
        <w:t xml:space="preserve"> cette demande</w:t>
      </w:r>
      <w:r>
        <w:rPr>
          <w:lang w:val="fr-FR"/>
        </w:rPr>
        <w:t>, l</w:t>
      </w:r>
      <w:r w:rsidRPr="0013314E">
        <w:rPr>
          <w:lang w:val="fr-FR"/>
        </w:rPr>
        <w:t>e commissariat militaire</w:t>
      </w:r>
      <w:r>
        <w:rPr>
          <w:lang w:val="fr-FR"/>
        </w:rPr>
        <w:t xml:space="preserve"> a</w:t>
      </w:r>
      <w:r w:rsidRPr="0013314E">
        <w:rPr>
          <w:lang w:val="fr-FR"/>
        </w:rPr>
        <w:t xml:space="preserve"> convoqué l</w:t>
      </w:r>
      <w:r>
        <w:rPr>
          <w:lang w:val="fr-FR"/>
        </w:rPr>
        <w:t>’</w:t>
      </w:r>
      <w:r w:rsidRPr="0013314E">
        <w:rPr>
          <w:lang w:val="fr-FR"/>
        </w:rPr>
        <w:t>auteur pour qu</w:t>
      </w:r>
      <w:r>
        <w:rPr>
          <w:lang w:val="fr-FR"/>
        </w:rPr>
        <w:t>’</w:t>
      </w:r>
      <w:r w:rsidRPr="0013314E">
        <w:rPr>
          <w:lang w:val="fr-FR"/>
        </w:rPr>
        <w:t xml:space="preserve">il </w:t>
      </w:r>
      <w:r>
        <w:rPr>
          <w:lang w:val="fr-FR"/>
        </w:rPr>
        <w:t>effectue</w:t>
      </w:r>
      <w:r w:rsidRPr="0013314E">
        <w:rPr>
          <w:lang w:val="fr-FR"/>
        </w:rPr>
        <w:t xml:space="preserve"> son service militaire à compter du</w:t>
      </w:r>
      <w:r>
        <w:rPr>
          <w:lang w:val="fr-FR"/>
        </w:rPr>
        <w:t xml:space="preserve"> </w:t>
      </w:r>
      <w:r w:rsidRPr="0013314E">
        <w:rPr>
          <w:lang w:val="fr-FR"/>
        </w:rPr>
        <w:t>16</w:t>
      </w:r>
      <w:r>
        <w:rPr>
          <w:lang w:val="fr-FR"/>
        </w:rPr>
        <w:t> </w:t>
      </w:r>
      <w:r w:rsidRPr="0013314E">
        <w:rPr>
          <w:lang w:val="fr-FR"/>
        </w:rPr>
        <w:t>novembre 2017</w:t>
      </w:r>
      <w:r w:rsidRPr="00413478">
        <w:rPr>
          <w:lang w:val="fr-FR"/>
        </w:rPr>
        <w:t>.</w:t>
      </w:r>
    </w:p>
    <w:p w14:paraId="5CEAD875" w14:textId="1386BFA2" w:rsidR="00142598" w:rsidRPr="00054C58" w:rsidRDefault="00142598" w:rsidP="00142598">
      <w:pPr>
        <w:pStyle w:val="SingleTxtG"/>
      </w:pPr>
      <w:r w:rsidRPr="0013314E">
        <w:rPr>
          <w:lang w:val="fr-FR"/>
        </w:rPr>
        <w:t>2</w:t>
      </w:r>
      <w:r w:rsidRPr="00413478">
        <w:rPr>
          <w:lang w:val="fr-FR"/>
        </w:rPr>
        <w:t>.</w:t>
      </w:r>
      <w:r w:rsidRPr="0013314E">
        <w:rPr>
          <w:lang w:val="fr-FR"/>
        </w:rPr>
        <w:t>5</w:t>
      </w:r>
      <w:r w:rsidRPr="0013314E">
        <w:rPr>
          <w:lang w:val="fr-FR"/>
        </w:rPr>
        <w:tab/>
      </w:r>
      <w:r>
        <w:rPr>
          <w:lang w:val="fr-FR"/>
        </w:rPr>
        <w:t>Le 16 novembre 2017</w:t>
      </w:r>
      <w:r w:rsidRPr="0013314E">
        <w:rPr>
          <w:lang w:val="fr-FR"/>
        </w:rPr>
        <w:t>, l</w:t>
      </w:r>
      <w:r>
        <w:rPr>
          <w:lang w:val="fr-FR"/>
        </w:rPr>
        <w:t>’</w:t>
      </w:r>
      <w:r w:rsidRPr="0013314E">
        <w:rPr>
          <w:lang w:val="fr-FR"/>
        </w:rPr>
        <w:t>auteur s</w:t>
      </w:r>
      <w:r>
        <w:rPr>
          <w:lang w:val="fr-FR"/>
        </w:rPr>
        <w:t>’</w:t>
      </w:r>
      <w:r w:rsidRPr="0013314E">
        <w:rPr>
          <w:lang w:val="fr-FR"/>
        </w:rPr>
        <w:t>est présenté au commissariat militaire en réponse à la convocation</w:t>
      </w:r>
      <w:r w:rsidRPr="00413478">
        <w:rPr>
          <w:lang w:val="fr-FR"/>
        </w:rPr>
        <w:t>.</w:t>
      </w:r>
      <w:r w:rsidRPr="0013314E">
        <w:rPr>
          <w:lang w:val="fr-FR"/>
        </w:rPr>
        <w:t xml:space="preserve"> Il a expliqué oralement aux </w:t>
      </w:r>
      <w:r>
        <w:rPr>
          <w:lang w:val="fr-FR"/>
        </w:rPr>
        <w:t>autorités militaires</w:t>
      </w:r>
      <w:r w:rsidRPr="0013314E">
        <w:rPr>
          <w:lang w:val="fr-FR"/>
        </w:rPr>
        <w:t xml:space="preserve"> que sa conscience religieuse</w:t>
      </w:r>
      <w:r>
        <w:rPr>
          <w:lang w:val="fr-FR"/>
        </w:rPr>
        <w:t xml:space="preserve"> de T</w:t>
      </w:r>
      <w:r w:rsidRPr="0013314E">
        <w:rPr>
          <w:lang w:val="fr-FR"/>
        </w:rPr>
        <w:t>émoin de Jéhovah lui interdisait d</w:t>
      </w:r>
      <w:r>
        <w:rPr>
          <w:lang w:val="fr-FR"/>
        </w:rPr>
        <w:t>’effectue</w:t>
      </w:r>
      <w:r w:rsidRPr="0013314E">
        <w:rPr>
          <w:lang w:val="fr-FR"/>
        </w:rPr>
        <w:t>r son service militaire</w:t>
      </w:r>
      <w:r w:rsidRPr="00413478">
        <w:rPr>
          <w:lang w:val="fr-FR"/>
        </w:rPr>
        <w:t>.</w:t>
      </w:r>
      <w:r w:rsidRPr="0013314E">
        <w:rPr>
          <w:lang w:val="fr-FR"/>
        </w:rPr>
        <w:t xml:space="preserve"> Il leur a également remis </w:t>
      </w:r>
      <w:r>
        <w:rPr>
          <w:lang w:val="fr-FR"/>
        </w:rPr>
        <w:t>une</w:t>
      </w:r>
      <w:r w:rsidRPr="0013314E">
        <w:rPr>
          <w:lang w:val="fr-FR"/>
        </w:rPr>
        <w:t xml:space="preserve"> déclaration manuscrite </w:t>
      </w:r>
      <w:r>
        <w:rPr>
          <w:lang w:val="fr-FR"/>
        </w:rPr>
        <w:t>rédigée en ces termes </w:t>
      </w:r>
      <w:r w:rsidRPr="0013314E">
        <w:rPr>
          <w:lang w:val="fr-FR"/>
        </w:rPr>
        <w:t xml:space="preserve">: </w:t>
      </w:r>
      <w:r>
        <w:rPr>
          <w:lang w:val="fr-FR"/>
        </w:rPr>
        <w:t>« </w:t>
      </w:r>
      <w:r w:rsidRPr="0013314E">
        <w:rPr>
          <w:lang w:val="fr-FR"/>
        </w:rPr>
        <w:t>Je soussigné, Arslan Begenchov, refuse</w:t>
      </w:r>
      <w:r>
        <w:rPr>
          <w:lang w:val="fr-FR"/>
        </w:rPr>
        <w:t xml:space="preserve">, </w:t>
      </w:r>
      <w:r w:rsidRPr="0013314E">
        <w:rPr>
          <w:lang w:val="fr-FR"/>
        </w:rPr>
        <w:t>pour des motifs d</w:t>
      </w:r>
      <w:r>
        <w:rPr>
          <w:lang w:val="fr-FR"/>
        </w:rPr>
        <w:t>’</w:t>
      </w:r>
      <w:r w:rsidRPr="0013314E">
        <w:rPr>
          <w:lang w:val="fr-FR"/>
        </w:rPr>
        <w:t>objection de conscience</w:t>
      </w:r>
      <w:r>
        <w:rPr>
          <w:lang w:val="fr-FR"/>
        </w:rPr>
        <w:t>,</w:t>
      </w:r>
      <w:r w:rsidRPr="0013314E">
        <w:rPr>
          <w:lang w:val="fr-FR"/>
        </w:rPr>
        <w:t xml:space="preserve"> d</w:t>
      </w:r>
      <w:r>
        <w:rPr>
          <w:lang w:val="fr-FR"/>
        </w:rPr>
        <w:t>’effectuer mon service militaire</w:t>
      </w:r>
      <w:r w:rsidRPr="0013314E">
        <w:rPr>
          <w:lang w:val="fr-FR"/>
        </w:rPr>
        <w:t>, parce qu</w:t>
      </w:r>
      <w:r>
        <w:rPr>
          <w:lang w:val="fr-FR"/>
        </w:rPr>
        <w:t>e, à</w:t>
      </w:r>
      <w:r w:rsidRPr="0013314E">
        <w:rPr>
          <w:lang w:val="fr-FR"/>
        </w:rPr>
        <w:t xml:space="preserve"> </w:t>
      </w:r>
      <w:r>
        <w:rPr>
          <w:lang w:val="fr-FR"/>
        </w:rPr>
        <w:t>l’armée, on</w:t>
      </w:r>
      <w:r w:rsidRPr="0013314E">
        <w:rPr>
          <w:lang w:val="fr-FR"/>
        </w:rPr>
        <w:t xml:space="preserve"> apprend à se battre une arme à la main</w:t>
      </w:r>
      <w:r w:rsidRPr="00413478">
        <w:rPr>
          <w:lang w:val="fr-FR"/>
        </w:rPr>
        <w:t>.</w:t>
      </w:r>
      <w:r w:rsidRPr="0013314E">
        <w:rPr>
          <w:lang w:val="fr-FR"/>
        </w:rPr>
        <w:t xml:space="preserve"> Tuer des gens ou faire du mal à autrui, de quelque manière que ce soit, </w:t>
      </w:r>
      <w:r>
        <w:rPr>
          <w:lang w:val="fr-FR"/>
        </w:rPr>
        <w:t>est contraire à</w:t>
      </w:r>
      <w:r w:rsidRPr="0013314E">
        <w:rPr>
          <w:lang w:val="fr-FR"/>
        </w:rPr>
        <w:t xml:space="preserve"> mes convictions</w:t>
      </w:r>
      <w:r w:rsidRPr="00413478">
        <w:rPr>
          <w:lang w:val="fr-FR"/>
        </w:rPr>
        <w:t>.</w:t>
      </w:r>
      <w:r w:rsidRPr="0013314E">
        <w:rPr>
          <w:lang w:val="fr-FR"/>
        </w:rPr>
        <w:t xml:space="preserve"> Une autre raison tient au fait que si je tue </w:t>
      </w:r>
      <w:r>
        <w:rPr>
          <w:lang w:val="fr-FR"/>
        </w:rPr>
        <w:t>quelqu’un</w:t>
      </w:r>
      <w:r w:rsidRPr="0013314E">
        <w:rPr>
          <w:lang w:val="fr-FR"/>
        </w:rPr>
        <w:t xml:space="preserve"> ou lui fais du mal, je devrai en répondre devant la </w:t>
      </w:r>
      <w:r>
        <w:rPr>
          <w:lang w:val="fr-FR"/>
        </w:rPr>
        <w:t>l</w:t>
      </w:r>
      <w:r w:rsidRPr="0013314E">
        <w:rPr>
          <w:lang w:val="fr-FR"/>
        </w:rPr>
        <w:t>oi</w:t>
      </w:r>
      <w:r w:rsidRPr="00413478">
        <w:rPr>
          <w:lang w:val="fr-FR"/>
        </w:rPr>
        <w:t>.</w:t>
      </w:r>
      <w:r w:rsidRPr="0013314E">
        <w:rPr>
          <w:lang w:val="fr-FR"/>
        </w:rPr>
        <w:t xml:space="preserve"> L</w:t>
      </w:r>
      <w:r>
        <w:rPr>
          <w:lang w:val="fr-FR"/>
        </w:rPr>
        <w:t>’</w:t>
      </w:r>
      <w:r w:rsidRPr="0013314E">
        <w:rPr>
          <w:lang w:val="fr-FR"/>
        </w:rPr>
        <w:t>article</w:t>
      </w:r>
      <w:r>
        <w:rPr>
          <w:lang w:val="fr-FR"/>
        </w:rPr>
        <w:t> </w:t>
      </w:r>
      <w:r w:rsidRPr="0013314E">
        <w:rPr>
          <w:lang w:val="fr-FR"/>
        </w:rPr>
        <w:t>4 de la Constitution turkmène dispose que les pouvoirs public</w:t>
      </w:r>
      <w:r>
        <w:rPr>
          <w:lang w:val="fr-FR"/>
        </w:rPr>
        <w:t>s ont comme objectifs principaux de</w:t>
      </w:r>
      <w:r w:rsidRPr="0013314E">
        <w:rPr>
          <w:lang w:val="fr-FR"/>
        </w:rPr>
        <w:t xml:space="preserve"> protéger la population, </w:t>
      </w:r>
      <w:r>
        <w:rPr>
          <w:lang w:val="fr-FR"/>
        </w:rPr>
        <w:t>de</w:t>
      </w:r>
      <w:r w:rsidRPr="0013314E">
        <w:rPr>
          <w:lang w:val="fr-FR"/>
        </w:rPr>
        <w:t xml:space="preserve"> lui venir en aide et </w:t>
      </w:r>
      <w:r>
        <w:rPr>
          <w:lang w:val="fr-FR"/>
        </w:rPr>
        <w:t>de</w:t>
      </w:r>
      <w:r w:rsidRPr="0013314E">
        <w:rPr>
          <w:lang w:val="fr-FR"/>
        </w:rPr>
        <w:t xml:space="preserve"> lui fournir des services</w:t>
      </w:r>
      <w:r w:rsidRPr="00413478">
        <w:rPr>
          <w:lang w:val="fr-FR"/>
        </w:rPr>
        <w:t>.</w:t>
      </w:r>
      <w:r w:rsidRPr="0013314E">
        <w:rPr>
          <w:lang w:val="fr-FR"/>
        </w:rPr>
        <w:t xml:space="preserve"> En outre, les articles</w:t>
      </w:r>
      <w:r>
        <w:rPr>
          <w:lang w:val="fr-FR"/>
        </w:rPr>
        <w:t> </w:t>
      </w:r>
      <w:r w:rsidRPr="0013314E">
        <w:rPr>
          <w:lang w:val="fr-FR"/>
        </w:rPr>
        <w:t>18 et 42 reconnaiss</w:t>
      </w:r>
      <w:r>
        <w:rPr>
          <w:lang w:val="fr-FR"/>
        </w:rPr>
        <w:t>e</w:t>
      </w:r>
      <w:r w:rsidRPr="0013314E">
        <w:rPr>
          <w:lang w:val="fr-FR"/>
        </w:rPr>
        <w:t>nt à chacun le droit à la liberté de pensée et d</w:t>
      </w:r>
      <w:r>
        <w:rPr>
          <w:lang w:val="fr-FR"/>
        </w:rPr>
        <w:t>’</w:t>
      </w:r>
      <w:r w:rsidRPr="0013314E">
        <w:rPr>
          <w:lang w:val="fr-FR"/>
        </w:rPr>
        <w:t>expression</w:t>
      </w:r>
      <w:r>
        <w:rPr>
          <w:lang w:val="fr-FR"/>
        </w:rPr>
        <w:t> </w:t>
      </w:r>
      <w:r w:rsidRPr="0013314E">
        <w:rPr>
          <w:lang w:val="fr-FR"/>
        </w:rPr>
        <w:t xml:space="preserve">; </w:t>
      </w:r>
      <w:r>
        <w:rPr>
          <w:lang w:val="fr-FR"/>
        </w:rPr>
        <w:t>voilà pourquoi</w:t>
      </w:r>
      <w:r w:rsidRPr="0013314E">
        <w:rPr>
          <w:lang w:val="fr-FR"/>
        </w:rPr>
        <w:t xml:space="preserve"> je refuse de faire mon service militair</w:t>
      </w:r>
      <w:r>
        <w:rPr>
          <w:lang w:val="fr-FR"/>
        </w:rPr>
        <w:t>e »</w:t>
      </w:r>
      <w:r w:rsidRPr="00413478">
        <w:rPr>
          <w:lang w:val="fr-FR"/>
        </w:rPr>
        <w:t>.</w:t>
      </w:r>
    </w:p>
    <w:p w14:paraId="387EECED" w14:textId="77777777" w:rsidR="00142598" w:rsidRPr="00054C58" w:rsidRDefault="00142598" w:rsidP="00142598">
      <w:pPr>
        <w:pStyle w:val="SingleTxtG"/>
      </w:pPr>
      <w:r w:rsidRPr="0013314E">
        <w:rPr>
          <w:lang w:val="fr-FR"/>
        </w:rPr>
        <w:t>2</w:t>
      </w:r>
      <w:r w:rsidRPr="00413478">
        <w:rPr>
          <w:lang w:val="fr-FR"/>
        </w:rPr>
        <w:t>.</w:t>
      </w:r>
      <w:r w:rsidRPr="0013314E">
        <w:rPr>
          <w:lang w:val="fr-FR"/>
        </w:rPr>
        <w:t>6</w:t>
      </w:r>
      <w:r w:rsidRPr="0013314E">
        <w:rPr>
          <w:lang w:val="fr-FR"/>
        </w:rPr>
        <w:tab/>
        <w:t xml:space="preserve">Les </w:t>
      </w:r>
      <w:r>
        <w:rPr>
          <w:lang w:val="fr-FR"/>
        </w:rPr>
        <w:t>responsables du commissariat militaire</w:t>
      </w:r>
      <w:r w:rsidRPr="0013314E">
        <w:rPr>
          <w:lang w:val="fr-FR"/>
        </w:rPr>
        <w:t xml:space="preserve"> ont refusé de donner suite à la déclaration de l</w:t>
      </w:r>
      <w:r>
        <w:rPr>
          <w:lang w:val="fr-FR"/>
        </w:rPr>
        <w:t>’</w:t>
      </w:r>
      <w:r w:rsidRPr="0013314E">
        <w:rPr>
          <w:lang w:val="fr-FR"/>
        </w:rPr>
        <w:t xml:space="preserve">auteur et </w:t>
      </w:r>
      <w:r>
        <w:rPr>
          <w:lang w:val="fr-FR"/>
        </w:rPr>
        <w:t>ont conduit</w:t>
      </w:r>
      <w:r w:rsidRPr="0013314E">
        <w:rPr>
          <w:lang w:val="fr-FR"/>
        </w:rPr>
        <w:t xml:space="preserve"> celui-ci au Bureau du Procureur pour </w:t>
      </w:r>
      <w:r>
        <w:rPr>
          <w:lang w:val="fr-FR"/>
        </w:rPr>
        <w:t xml:space="preserve">un </w:t>
      </w:r>
      <w:r w:rsidRPr="0013314E">
        <w:rPr>
          <w:lang w:val="fr-FR"/>
        </w:rPr>
        <w:t>interrog</w:t>
      </w:r>
      <w:r>
        <w:rPr>
          <w:lang w:val="fr-FR"/>
        </w:rPr>
        <w:t>atoire</w:t>
      </w:r>
      <w:r w:rsidRPr="00413478">
        <w:rPr>
          <w:lang w:val="fr-FR"/>
        </w:rPr>
        <w:t>.</w:t>
      </w:r>
      <w:r w:rsidRPr="0013314E">
        <w:rPr>
          <w:lang w:val="fr-FR"/>
        </w:rPr>
        <w:t xml:space="preserve"> L</w:t>
      </w:r>
      <w:r>
        <w:rPr>
          <w:lang w:val="fr-FR"/>
        </w:rPr>
        <w:t>’</w:t>
      </w:r>
      <w:r w:rsidRPr="0013314E">
        <w:rPr>
          <w:lang w:val="fr-FR"/>
        </w:rPr>
        <w:t>auteur a expliqué</w:t>
      </w:r>
      <w:r>
        <w:rPr>
          <w:lang w:val="fr-FR"/>
        </w:rPr>
        <w:t xml:space="preserve"> aux membres du parquet</w:t>
      </w:r>
      <w:r w:rsidRPr="0013314E">
        <w:rPr>
          <w:lang w:val="fr-FR"/>
        </w:rPr>
        <w:t xml:space="preserve"> qu</w:t>
      </w:r>
      <w:r>
        <w:rPr>
          <w:lang w:val="fr-FR"/>
        </w:rPr>
        <w:t>’</w:t>
      </w:r>
      <w:r w:rsidRPr="0013314E">
        <w:rPr>
          <w:lang w:val="fr-FR"/>
        </w:rPr>
        <w:t>il refusait d</w:t>
      </w:r>
      <w:r>
        <w:rPr>
          <w:lang w:val="fr-FR"/>
        </w:rPr>
        <w:t>’</w:t>
      </w:r>
      <w:r w:rsidRPr="0013314E">
        <w:rPr>
          <w:lang w:val="fr-FR"/>
        </w:rPr>
        <w:t xml:space="preserve">accomplir </w:t>
      </w:r>
      <w:r>
        <w:rPr>
          <w:lang w:val="fr-FR"/>
        </w:rPr>
        <w:t>son</w:t>
      </w:r>
      <w:r w:rsidRPr="0013314E">
        <w:rPr>
          <w:lang w:val="fr-FR"/>
        </w:rPr>
        <w:t xml:space="preserve"> service militaire pour des motifs religieux et demandé </w:t>
      </w:r>
      <w:r>
        <w:rPr>
          <w:lang w:val="fr-FR"/>
        </w:rPr>
        <w:t xml:space="preserve">à </w:t>
      </w:r>
      <w:r w:rsidRPr="0013314E">
        <w:rPr>
          <w:lang w:val="fr-FR"/>
        </w:rPr>
        <w:t>effectuer un service civil de remplacement</w:t>
      </w:r>
      <w:r w:rsidRPr="00413478">
        <w:rPr>
          <w:lang w:val="fr-FR"/>
        </w:rPr>
        <w:t>.</w:t>
      </w:r>
      <w:r w:rsidRPr="0013314E">
        <w:rPr>
          <w:lang w:val="fr-FR"/>
        </w:rPr>
        <w:t xml:space="preserve"> Le 17</w:t>
      </w:r>
      <w:r>
        <w:rPr>
          <w:lang w:val="fr-FR"/>
        </w:rPr>
        <w:t> </w:t>
      </w:r>
      <w:r w:rsidRPr="0013314E">
        <w:rPr>
          <w:lang w:val="fr-FR"/>
        </w:rPr>
        <w:t>novembre 2017, l</w:t>
      </w:r>
      <w:r>
        <w:rPr>
          <w:lang w:val="fr-FR"/>
        </w:rPr>
        <w:t>’</w:t>
      </w:r>
      <w:r w:rsidRPr="0013314E">
        <w:rPr>
          <w:lang w:val="fr-FR"/>
        </w:rPr>
        <w:t>auteur s</w:t>
      </w:r>
      <w:r>
        <w:rPr>
          <w:lang w:val="fr-FR"/>
        </w:rPr>
        <w:t>’</w:t>
      </w:r>
      <w:r w:rsidRPr="0013314E">
        <w:rPr>
          <w:lang w:val="fr-FR"/>
        </w:rPr>
        <w:t xml:space="preserve">est rendu </w:t>
      </w:r>
      <w:r>
        <w:rPr>
          <w:lang w:val="fr-FR"/>
        </w:rPr>
        <w:t>de son plein gré</w:t>
      </w:r>
      <w:r w:rsidRPr="0013314E">
        <w:rPr>
          <w:lang w:val="fr-FR"/>
        </w:rPr>
        <w:t xml:space="preserve"> au Bureau du Procureur pour </w:t>
      </w:r>
      <w:r>
        <w:rPr>
          <w:lang w:val="fr-FR"/>
        </w:rPr>
        <w:t xml:space="preserve">y remettre </w:t>
      </w:r>
      <w:r w:rsidRPr="0013314E">
        <w:rPr>
          <w:lang w:val="fr-FR"/>
        </w:rPr>
        <w:t xml:space="preserve">une déclaration écrite dans laquelle il </w:t>
      </w:r>
      <w:r>
        <w:rPr>
          <w:lang w:val="fr-FR"/>
        </w:rPr>
        <w:t xml:space="preserve">faisait part de </w:t>
      </w:r>
      <w:r w:rsidRPr="0013314E">
        <w:rPr>
          <w:lang w:val="fr-FR"/>
        </w:rPr>
        <w:t>son refus d</w:t>
      </w:r>
      <w:r>
        <w:rPr>
          <w:lang w:val="fr-FR"/>
        </w:rPr>
        <w:t>’accomplir son</w:t>
      </w:r>
      <w:r w:rsidRPr="0013314E">
        <w:rPr>
          <w:lang w:val="fr-FR"/>
        </w:rPr>
        <w:t xml:space="preserve"> service militaire et demandait à effectuer un service civil de remplacement</w:t>
      </w:r>
      <w:r w:rsidRPr="00413478">
        <w:rPr>
          <w:lang w:val="fr-FR"/>
        </w:rPr>
        <w:t>.</w:t>
      </w:r>
    </w:p>
    <w:p w14:paraId="78541391" w14:textId="77777777" w:rsidR="00142598" w:rsidRPr="00054C58" w:rsidRDefault="00142598" w:rsidP="00746214">
      <w:pPr>
        <w:pStyle w:val="SingleTxtG"/>
        <w:keepLines/>
      </w:pPr>
      <w:r w:rsidRPr="0013314E">
        <w:rPr>
          <w:lang w:val="fr-FR"/>
        </w:rPr>
        <w:t>2</w:t>
      </w:r>
      <w:r w:rsidRPr="00413478">
        <w:rPr>
          <w:lang w:val="fr-FR"/>
        </w:rPr>
        <w:t>.</w:t>
      </w:r>
      <w:r w:rsidRPr="0013314E">
        <w:rPr>
          <w:lang w:val="fr-FR"/>
        </w:rPr>
        <w:t>7</w:t>
      </w:r>
      <w:r w:rsidRPr="0013314E">
        <w:rPr>
          <w:lang w:val="fr-FR"/>
        </w:rPr>
        <w:tab/>
        <w:t>Le 14</w:t>
      </w:r>
      <w:r>
        <w:rPr>
          <w:lang w:val="fr-FR"/>
        </w:rPr>
        <w:t> </w:t>
      </w:r>
      <w:r w:rsidRPr="0013314E">
        <w:rPr>
          <w:lang w:val="fr-FR"/>
        </w:rPr>
        <w:t>décembre 2017, l</w:t>
      </w:r>
      <w:r>
        <w:rPr>
          <w:lang w:val="fr-FR"/>
        </w:rPr>
        <w:t>’</w:t>
      </w:r>
      <w:r w:rsidRPr="0013314E">
        <w:rPr>
          <w:lang w:val="fr-FR"/>
        </w:rPr>
        <w:t>auteur a été convoqué au Bureau du Procureur pour savoir s</w:t>
      </w:r>
      <w:r>
        <w:rPr>
          <w:lang w:val="fr-FR"/>
        </w:rPr>
        <w:t>’</w:t>
      </w:r>
      <w:r w:rsidRPr="0013314E">
        <w:rPr>
          <w:lang w:val="fr-FR"/>
        </w:rPr>
        <w:t>il avait changé d</w:t>
      </w:r>
      <w:r>
        <w:rPr>
          <w:lang w:val="fr-FR"/>
        </w:rPr>
        <w:t>’</w:t>
      </w:r>
      <w:r w:rsidRPr="0013314E">
        <w:rPr>
          <w:lang w:val="fr-FR"/>
        </w:rPr>
        <w:t>avis</w:t>
      </w:r>
      <w:r w:rsidRPr="00413478">
        <w:rPr>
          <w:lang w:val="fr-FR"/>
        </w:rPr>
        <w:t>.</w:t>
      </w:r>
      <w:r w:rsidRPr="0013314E">
        <w:rPr>
          <w:lang w:val="fr-FR"/>
        </w:rPr>
        <w:t xml:space="preserve"> Il a réaffirmé qu</w:t>
      </w:r>
      <w:r>
        <w:rPr>
          <w:lang w:val="fr-FR"/>
        </w:rPr>
        <w:t>’</w:t>
      </w:r>
      <w:r w:rsidRPr="0013314E">
        <w:rPr>
          <w:lang w:val="fr-FR"/>
        </w:rPr>
        <w:t>en raison de motifs religieux, il refusait d</w:t>
      </w:r>
      <w:r>
        <w:rPr>
          <w:lang w:val="fr-FR"/>
        </w:rPr>
        <w:t>’effectue</w:t>
      </w:r>
      <w:r w:rsidRPr="0013314E">
        <w:rPr>
          <w:lang w:val="fr-FR"/>
        </w:rPr>
        <w:t>r son service militaire</w:t>
      </w:r>
      <w:r w:rsidRPr="00413478">
        <w:rPr>
          <w:lang w:val="fr-FR"/>
        </w:rPr>
        <w:t>.</w:t>
      </w:r>
      <w:r w:rsidRPr="0013314E">
        <w:rPr>
          <w:lang w:val="fr-FR"/>
        </w:rPr>
        <w:t xml:space="preserve"> Le Procureur </w:t>
      </w:r>
      <w:r>
        <w:rPr>
          <w:lang w:val="fr-FR"/>
        </w:rPr>
        <w:t xml:space="preserve">lui </w:t>
      </w:r>
      <w:r w:rsidRPr="0013314E">
        <w:rPr>
          <w:lang w:val="fr-FR"/>
        </w:rPr>
        <w:t>a répondu qu</w:t>
      </w:r>
      <w:r>
        <w:rPr>
          <w:lang w:val="fr-FR"/>
        </w:rPr>
        <w:t xml:space="preserve">e l’accusation de </w:t>
      </w:r>
      <w:r w:rsidRPr="0013314E">
        <w:rPr>
          <w:lang w:val="fr-FR"/>
        </w:rPr>
        <w:t>viol</w:t>
      </w:r>
      <w:r>
        <w:rPr>
          <w:lang w:val="fr-FR"/>
        </w:rPr>
        <w:t>ation de</w:t>
      </w:r>
      <w:r w:rsidRPr="0013314E">
        <w:rPr>
          <w:lang w:val="fr-FR"/>
        </w:rPr>
        <w:t xml:space="preserve"> l</w:t>
      </w:r>
      <w:r>
        <w:rPr>
          <w:lang w:val="fr-FR"/>
        </w:rPr>
        <w:t>’</w:t>
      </w:r>
      <w:r w:rsidRPr="0013314E">
        <w:rPr>
          <w:lang w:val="fr-FR"/>
        </w:rPr>
        <w:t>article</w:t>
      </w:r>
      <w:r>
        <w:rPr>
          <w:lang w:val="fr-FR"/>
        </w:rPr>
        <w:t> </w:t>
      </w:r>
      <w:r w:rsidRPr="0013314E">
        <w:rPr>
          <w:lang w:val="fr-FR"/>
        </w:rPr>
        <w:t>219 (</w:t>
      </w:r>
      <w:r>
        <w:rPr>
          <w:lang w:val="fr-FR"/>
        </w:rPr>
        <w:t>par. </w:t>
      </w:r>
      <w:r w:rsidRPr="0013314E">
        <w:rPr>
          <w:lang w:val="fr-FR"/>
        </w:rPr>
        <w:t>1) du Code pénal</w:t>
      </w:r>
      <w:r>
        <w:rPr>
          <w:lang w:val="fr-FR"/>
        </w:rPr>
        <w:t xml:space="preserve"> qui avait été retenue</w:t>
      </w:r>
      <w:r w:rsidRPr="00901F87">
        <w:rPr>
          <w:rStyle w:val="Appelnotedebasdep"/>
        </w:rPr>
        <w:footnoteReference w:id="4"/>
      </w:r>
      <w:r>
        <w:rPr>
          <w:lang w:val="fr-FR"/>
        </w:rPr>
        <w:t xml:space="preserve"> lui vaudrait d’être</w:t>
      </w:r>
      <w:r w:rsidRPr="0013314E">
        <w:rPr>
          <w:lang w:val="fr-FR"/>
        </w:rPr>
        <w:t xml:space="preserve"> poursuivi pénalement</w:t>
      </w:r>
      <w:r w:rsidRPr="00413478">
        <w:rPr>
          <w:lang w:val="fr-FR"/>
        </w:rPr>
        <w:t>.</w:t>
      </w:r>
      <w:r w:rsidRPr="0013314E">
        <w:rPr>
          <w:lang w:val="fr-FR"/>
        </w:rPr>
        <w:t xml:space="preserve"> Après avoir été autorisé à quitter les lieux, l</w:t>
      </w:r>
      <w:r>
        <w:rPr>
          <w:lang w:val="fr-FR"/>
        </w:rPr>
        <w:t>’</w:t>
      </w:r>
      <w:r w:rsidRPr="0013314E">
        <w:rPr>
          <w:lang w:val="fr-FR"/>
        </w:rPr>
        <w:t>auteur est rentré chez lui</w:t>
      </w:r>
      <w:r w:rsidRPr="00413478">
        <w:rPr>
          <w:lang w:val="fr-FR"/>
        </w:rPr>
        <w:t>.</w:t>
      </w:r>
    </w:p>
    <w:p w14:paraId="4C7F88DA" w14:textId="77777777" w:rsidR="00142598" w:rsidRPr="00054C58" w:rsidRDefault="00142598" w:rsidP="00142598">
      <w:pPr>
        <w:pStyle w:val="SingleTxtG"/>
      </w:pPr>
      <w:r w:rsidRPr="0013314E">
        <w:rPr>
          <w:lang w:val="fr-FR"/>
        </w:rPr>
        <w:t>2</w:t>
      </w:r>
      <w:r w:rsidRPr="00413478">
        <w:rPr>
          <w:lang w:val="fr-FR"/>
        </w:rPr>
        <w:t>.</w:t>
      </w:r>
      <w:r w:rsidRPr="0013314E">
        <w:rPr>
          <w:lang w:val="fr-FR"/>
        </w:rPr>
        <w:t>8</w:t>
      </w:r>
      <w:r w:rsidRPr="0013314E">
        <w:rPr>
          <w:lang w:val="fr-FR"/>
        </w:rPr>
        <w:tab/>
        <w:t>Le 30</w:t>
      </w:r>
      <w:r>
        <w:rPr>
          <w:lang w:val="fr-FR"/>
        </w:rPr>
        <w:t> </w:t>
      </w:r>
      <w:r w:rsidRPr="0013314E">
        <w:rPr>
          <w:lang w:val="fr-FR"/>
        </w:rPr>
        <w:t>décembre 2017, l</w:t>
      </w:r>
      <w:r>
        <w:rPr>
          <w:lang w:val="fr-FR"/>
        </w:rPr>
        <w:t>’</w:t>
      </w:r>
      <w:r w:rsidRPr="0013314E">
        <w:rPr>
          <w:lang w:val="fr-FR"/>
        </w:rPr>
        <w:t>auteur a saisi le Bureau du Procureur de Türkmenabat d</w:t>
      </w:r>
      <w:r>
        <w:rPr>
          <w:lang w:val="fr-FR"/>
        </w:rPr>
        <w:t>’</w:t>
      </w:r>
      <w:r w:rsidRPr="0013314E">
        <w:rPr>
          <w:lang w:val="fr-FR"/>
        </w:rPr>
        <w:t>une plainte</w:t>
      </w:r>
      <w:r>
        <w:rPr>
          <w:lang w:val="fr-FR"/>
        </w:rPr>
        <w:t>, dans laquelle il</w:t>
      </w:r>
      <w:r w:rsidRPr="0013314E">
        <w:rPr>
          <w:lang w:val="fr-FR"/>
        </w:rPr>
        <w:t xml:space="preserve"> affirm</w:t>
      </w:r>
      <w:r>
        <w:rPr>
          <w:lang w:val="fr-FR"/>
        </w:rPr>
        <w:t>ait</w:t>
      </w:r>
      <w:r w:rsidRPr="0013314E">
        <w:rPr>
          <w:lang w:val="fr-FR"/>
        </w:rPr>
        <w:t xml:space="preserve"> que les informations sur son état de santé fournies par la </w:t>
      </w:r>
      <w:r>
        <w:rPr>
          <w:lang w:val="fr-FR"/>
        </w:rPr>
        <w:t>C</w:t>
      </w:r>
      <w:r w:rsidRPr="0013314E">
        <w:rPr>
          <w:lang w:val="fr-FR"/>
        </w:rPr>
        <w:t>ommission médicale du bureau d</w:t>
      </w:r>
      <w:r>
        <w:rPr>
          <w:lang w:val="fr-FR"/>
        </w:rPr>
        <w:t>’</w:t>
      </w:r>
      <w:r w:rsidRPr="0013314E">
        <w:rPr>
          <w:lang w:val="fr-FR"/>
        </w:rPr>
        <w:t>enregistrement et de recrutement de l</w:t>
      </w:r>
      <w:r>
        <w:rPr>
          <w:lang w:val="fr-FR"/>
        </w:rPr>
        <w:t>’</w:t>
      </w:r>
      <w:r w:rsidRPr="0013314E">
        <w:rPr>
          <w:lang w:val="fr-FR"/>
        </w:rPr>
        <w:t xml:space="preserve">armée </w:t>
      </w:r>
      <w:r>
        <w:rPr>
          <w:lang w:val="fr-FR"/>
        </w:rPr>
        <w:t>étaient</w:t>
      </w:r>
      <w:r w:rsidRPr="0013314E">
        <w:rPr>
          <w:lang w:val="fr-FR"/>
        </w:rPr>
        <w:t xml:space="preserve"> fausses, et que la décision finale </w:t>
      </w:r>
      <w:r>
        <w:rPr>
          <w:lang w:val="fr-FR"/>
        </w:rPr>
        <w:t>par</w:t>
      </w:r>
      <w:r w:rsidRPr="0013314E">
        <w:rPr>
          <w:lang w:val="fr-FR"/>
        </w:rPr>
        <w:t xml:space="preserve"> laquelle la </w:t>
      </w:r>
      <w:r>
        <w:rPr>
          <w:lang w:val="fr-FR"/>
        </w:rPr>
        <w:t>C</w:t>
      </w:r>
      <w:r w:rsidRPr="0013314E">
        <w:rPr>
          <w:lang w:val="fr-FR"/>
        </w:rPr>
        <w:t xml:space="preserve">ommission de conscription </w:t>
      </w:r>
      <w:r>
        <w:rPr>
          <w:lang w:val="fr-FR"/>
        </w:rPr>
        <w:t>l’avait déclaré</w:t>
      </w:r>
      <w:r w:rsidRPr="0013314E">
        <w:rPr>
          <w:lang w:val="fr-FR"/>
        </w:rPr>
        <w:t xml:space="preserve"> apte au service</w:t>
      </w:r>
      <w:r>
        <w:rPr>
          <w:lang w:val="fr-FR"/>
        </w:rPr>
        <w:t xml:space="preserve"> militaire</w:t>
      </w:r>
      <w:r w:rsidRPr="0013314E">
        <w:rPr>
          <w:lang w:val="fr-FR"/>
        </w:rPr>
        <w:t xml:space="preserve"> </w:t>
      </w:r>
      <w:r>
        <w:rPr>
          <w:lang w:val="fr-FR"/>
        </w:rPr>
        <w:t>était</w:t>
      </w:r>
      <w:r w:rsidRPr="0013314E">
        <w:rPr>
          <w:lang w:val="fr-FR"/>
        </w:rPr>
        <w:t xml:space="preserve"> illégale</w:t>
      </w:r>
      <w:r w:rsidRPr="00413478">
        <w:rPr>
          <w:lang w:val="fr-FR"/>
        </w:rPr>
        <w:t>.</w:t>
      </w:r>
    </w:p>
    <w:p w14:paraId="53B1F1AE" w14:textId="77777777" w:rsidR="00142598" w:rsidRPr="00054C58" w:rsidRDefault="00142598" w:rsidP="00746214">
      <w:pPr>
        <w:pStyle w:val="SingleTxtG"/>
        <w:keepNext/>
        <w:keepLines/>
      </w:pPr>
      <w:r w:rsidRPr="0013314E">
        <w:rPr>
          <w:lang w:val="fr-FR"/>
        </w:rPr>
        <w:t>2</w:t>
      </w:r>
      <w:r w:rsidRPr="00413478">
        <w:rPr>
          <w:lang w:val="fr-FR"/>
        </w:rPr>
        <w:t>.</w:t>
      </w:r>
      <w:r w:rsidRPr="0013314E">
        <w:rPr>
          <w:lang w:val="fr-FR"/>
        </w:rPr>
        <w:t>9</w:t>
      </w:r>
      <w:r w:rsidRPr="0013314E">
        <w:rPr>
          <w:lang w:val="fr-FR"/>
        </w:rPr>
        <w:tab/>
      </w:r>
      <w:r>
        <w:rPr>
          <w:lang w:val="fr-FR"/>
        </w:rPr>
        <w:t>L</w:t>
      </w:r>
      <w:r w:rsidRPr="0013314E">
        <w:rPr>
          <w:lang w:val="fr-FR"/>
        </w:rPr>
        <w:t>e 2 janvier 2018, un fonctionnaire du Bureau du Procureur s</w:t>
      </w:r>
      <w:r>
        <w:rPr>
          <w:lang w:val="fr-FR"/>
        </w:rPr>
        <w:t>’</w:t>
      </w:r>
      <w:r w:rsidRPr="0013314E">
        <w:rPr>
          <w:lang w:val="fr-FR"/>
        </w:rPr>
        <w:t>est présenté au domicile de l</w:t>
      </w:r>
      <w:r>
        <w:rPr>
          <w:lang w:val="fr-FR"/>
        </w:rPr>
        <w:t>’</w:t>
      </w:r>
      <w:r w:rsidRPr="0013314E">
        <w:rPr>
          <w:lang w:val="fr-FR"/>
        </w:rPr>
        <w:t xml:space="preserve">auteur et </w:t>
      </w:r>
      <w:r>
        <w:rPr>
          <w:lang w:val="fr-FR"/>
        </w:rPr>
        <w:t>a</w:t>
      </w:r>
      <w:r w:rsidRPr="0013314E">
        <w:rPr>
          <w:lang w:val="fr-FR"/>
        </w:rPr>
        <w:t xml:space="preserve"> </w:t>
      </w:r>
      <w:r>
        <w:rPr>
          <w:lang w:val="fr-FR"/>
        </w:rPr>
        <w:t xml:space="preserve">conduit celui-ci </w:t>
      </w:r>
      <w:r w:rsidRPr="0013314E">
        <w:rPr>
          <w:lang w:val="fr-FR"/>
        </w:rPr>
        <w:t>à un poste de police, où l</w:t>
      </w:r>
      <w:r>
        <w:rPr>
          <w:lang w:val="fr-FR"/>
        </w:rPr>
        <w:t>’</w:t>
      </w:r>
      <w:r w:rsidRPr="0013314E">
        <w:rPr>
          <w:lang w:val="fr-FR"/>
        </w:rPr>
        <w:t xml:space="preserve">intéressé a été arrêté et placé en </w:t>
      </w:r>
      <w:r w:rsidRPr="0013314E">
        <w:rPr>
          <w:lang w:val="fr-FR"/>
        </w:rPr>
        <w:lastRenderedPageBreak/>
        <w:t>détention provisoire</w:t>
      </w:r>
      <w:r w:rsidRPr="00413478">
        <w:rPr>
          <w:lang w:val="fr-FR"/>
        </w:rPr>
        <w:t>.</w:t>
      </w:r>
      <w:r w:rsidRPr="0013314E">
        <w:rPr>
          <w:lang w:val="fr-FR"/>
        </w:rPr>
        <w:t xml:space="preserve"> Les agents des forces de l</w:t>
      </w:r>
      <w:r>
        <w:rPr>
          <w:lang w:val="fr-FR"/>
        </w:rPr>
        <w:t>’</w:t>
      </w:r>
      <w:r w:rsidRPr="0013314E">
        <w:rPr>
          <w:lang w:val="fr-FR"/>
        </w:rPr>
        <w:t xml:space="preserve">ordre </w:t>
      </w:r>
      <w:r>
        <w:rPr>
          <w:lang w:val="fr-FR"/>
        </w:rPr>
        <w:t>n’</w:t>
      </w:r>
      <w:r w:rsidRPr="0013314E">
        <w:rPr>
          <w:lang w:val="fr-FR"/>
        </w:rPr>
        <w:t>ont pas expliqué en quoi ce</w:t>
      </w:r>
      <w:r>
        <w:rPr>
          <w:lang w:val="fr-FR"/>
        </w:rPr>
        <w:t xml:space="preserve">tte </w:t>
      </w:r>
      <w:r w:rsidRPr="0013314E">
        <w:rPr>
          <w:lang w:val="fr-FR"/>
        </w:rPr>
        <w:t>détention provisoire était nécessaire</w:t>
      </w:r>
      <w:r w:rsidRPr="00413478">
        <w:rPr>
          <w:lang w:val="fr-FR"/>
        </w:rPr>
        <w:t>.</w:t>
      </w:r>
      <w:r w:rsidRPr="0013314E">
        <w:rPr>
          <w:lang w:val="fr-FR"/>
        </w:rPr>
        <w:t xml:space="preserve"> L</w:t>
      </w:r>
      <w:r>
        <w:rPr>
          <w:lang w:val="fr-FR"/>
        </w:rPr>
        <w:t>’</w:t>
      </w:r>
      <w:r w:rsidRPr="0013314E">
        <w:rPr>
          <w:lang w:val="fr-FR"/>
        </w:rPr>
        <w:t>auteur n</w:t>
      </w:r>
      <w:r>
        <w:rPr>
          <w:lang w:val="fr-FR"/>
        </w:rPr>
        <w:t>’</w:t>
      </w:r>
      <w:r w:rsidRPr="0013314E">
        <w:rPr>
          <w:lang w:val="fr-FR"/>
        </w:rPr>
        <w:t>avait jamais manqué de répondre à toutes les demandes et convocations précédentes et n</w:t>
      </w:r>
      <w:r>
        <w:rPr>
          <w:lang w:val="fr-FR"/>
        </w:rPr>
        <w:t>’</w:t>
      </w:r>
      <w:r w:rsidRPr="0013314E">
        <w:rPr>
          <w:lang w:val="fr-FR"/>
        </w:rPr>
        <w:t>avait à aucun moment tenté de fuir ou de nuire au bon déroulement de l</w:t>
      </w:r>
      <w:r>
        <w:rPr>
          <w:lang w:val="fr-FR"/>
        </w:rPr>
        <w:t>’</w:t>
      </w:r>
      <w:r w:rsidRPr="0013314E">
        <w:rPr>
          <w:lang w:val="fr-FR"/>
        </w:rPr>
        <w:t>enquête</w:t>
      </w:r>
      <w:r w:rsidRPr="00413478">
        <w:rPr>
          <w:lang w:val="fr-FR"/>
        </w:rPr>
        <w:t>.</w:t>
      </w:r>
    </w:p>
    <w:p w14:paraId="6C917BEC" w14:textId="77777777" w:rsidR="00142598" w:rsidRPr="00C03466" w:rsidRDefault="00142598" w:rsidP="00142598">
      <w:pPr>
        <w:pStyle w:val="SingleTxtG"/>
        <w:rPr>
          <w:lang w:val="fr-FR"/>
        </w:rPr>
      </w:pPr>
      <w:r w:rsidRPr="0013314E">
        <w:rPr>
          <w:lang w:val="fr-FR"/>
        </w:rPr>
        <w:t>2</w:t>
      </w:r>
      <w:r w:rsidRPr="00413478">
        <w:rPr>
          <w:lang w:val="fr-FR"/>
        </w:rPr>
        <w:t>.</w:t>
      </w:r>
      <w:r w:rsidRPr="0013314E">
        <w:rPr>
          <w:lang w:val="fr-FR"/>
        </w:rPr>
        <w:t>10</w:t>
      </w:r>
      <w:r w:rsidRPr="0013314E">
        <w:rPr>
          <w:lang w:val="fr-FR"/>
        </w:rPr>
        <w:tab/>
        <w:t>Le 6 janvier 2018, le père de l</w:t>
      </w:r>
      <w:r>
        <w:rPr>
          <w:lang w:val="fr-FR"/>
        </w:rPr>
        <w:t>’</w:t>
      </w:r>
      <w:r w:rsidRPr="0013314E">
        <w:rPr>
          <w:lang w:val="fr-FR"/>
        </w:rPr>
        <w:t xml:space="preserve">auteur a déposé une plainte administrative auprès du Bureau du Procureur du district de Tchardjev </w:t>
      </w:r>
      <w:r>
        <w:rPr>
          <w:lang w:val="fr-FR"/>
        </w:rPr>
        <w:t>(</w:t>
      </w:r>
      <w:r w:rsidRPr="0013314E">
        <w:rPr>
          <w:lang w:val="fr-FR"/>
        </w:rPr>
        <w:t>Türkmenabat</w:t>
      </w:r>
      <w:r>
        <w:rPr>
          <w:lang w:val="fr-FR"/>
        </w:rPr>
        <w:t>), dans laquelle il</w:t>
      </w:r>
      <w:r w:rsidRPr="0013314E">
        <w:rPr>
          <w:lang w:val="fr-FR"/>
        </w:rPr>
        <w:t xml:space="preserve"> affirm</w:t>
      </w:r>
      <w:r>
        <w:rPr>
          <w:lang w:val="fr-FR"/>
        </w:rPr>
        <w:t>ait</w:t>
      </w:r>
      <w:r w:rsidRPr="0013314E">
        <w:rPr>
          <w:lang w:val="fr-FR"/>
        </w:rPr>
        <w:t xml:space="preserve"> que la détention de l</w:t>
      </w:r>
      <w:r>
        <w:rPr>
          <w:lang w:val="fr-FR"/>
        </w:rPr>
        <w:t>’</w:t>
      </w:r>
      <w:r w:rsidRPr="0013314E">
        <w:rPr>
          <w:lang w:val="fr-FR"/>
        </w:rPr>
        <w:t xml:space="preserve">auteur </w:t>
      </w:r>
      <w:r>
        <w:rPr>
          <w:lang w:val="fr-FR"/>
        </w:rPr>
        <w:t>était</w:t>
      </w:r>
      <w:r w:rsidRPr="0013314E">
        <w:rPr>
          <w:lang w:val="fr-FR"/>
        </w:rPr>
        <w:t xml:space="preserve"> dénuée de fondement légal et demand</w:t>
      </w:r>
      <w:r>
        <w:rPr>
          <w:lang w:val="fr-FR"/>
        </w:rPr>
        <w:t>ait</w:t>
      </w:r>
      <w:r w:rsidRPr="0013314E">
        <w:rPr>
          <w:lang w:val="fr-FR"/>
        </w:rPr>
        <w:t xml:space="preserve"> au Procureur de </w:t>
      </w:r>
      <w:r>
        <w:rPr>
          <w:lang w:val="fr-FR"/>
        </w:rPr>
        <w:t>remettre son fils en liberté</w:t>
      </w:r>
      <w:r w:rsidRPr="0013314E">
        <w:rPr>
          <w:lang w:val="fr-FR"/>
        </w:rPr>
        <w:t xml:space="preserve"> et de prononcer </w:t>
      </w:r>
      <w:r>
        <w:rPr>
          <w:lang w:val="fr-FR"/>
        </w:rPr>
        <w:t xml:space="preserve">à son encontre </w:t>
      </w:r>
      <w:r w:rsidRPr="0013314E">
        <w:rPr>
          <w:lang w:val="fr-FR"/>
        </w:rPr>
        <w:t xml:space="preserve">une mesure de contrainte </w:t>
      </w:r>
      <w:r>
        <w:rPr>
          <w:lang w:val="fr-FR"/>
        </w:rPr>
        <w:t>non</w:t>
      </w:r>
      <w:r w:rsidRPr="0013314E">
        <w:rPr>
          <w:lang w:val="fr-FR"/>
        </w:rPr>
        <w:t xml:space="preserve"> privati</w:t>
      </w:r>
      <w:r>
        <w:rPr>
          <w:lang w:val="fr-FR"/>
        </w:rPr>
        <w:t>ve</w:t>
      </w:r>
      <w:r w:rsidRPr="0013314E">
        <w:rPr>
          <w:lang w:val="fr-FR"/>
        </w:rPr>
        <w:t xml:space="preserve"> de liberté</w:t>
      </w:r>
      <w:r w:rsidRPr="00413478">
        <w:rPr>
          <w:lang w:val="fr-FR"/>
        </w:rPr>
        <w:t>.</w:t>
      </w:r>
      <w:r w:rsidRPr="0013314E">
        <w:rPr>
          <w:lang w:val="fr-FR"/>
        </w:rPr>
        <w:t xml:space="preserve"> Il a également adressé des copies de </w:t>
      </w:r>
      <w:r>
        <w:rPr>
          <w:lang w:val="fr-FR"/>
        </w:rPr>
        <w:t>s</w:t>
      </w:r>
      <w:r w:rsidRPr="0013314E">
        <w:rPr>
          <w:lang w:val="fr-FR"/>
        </w:rPr>
        <w:t>a plainte au Bureau du Procureur général du Turkménistan et aux représentants de l</w:t>
      </w:r>
      <w:r>
        <w:rPr>
          <w:lang w:val="fr-FR"/>
        </w:rPr>
        <w:t>’</w:t>
      </w:r>
      <w:r w:rsidRPr="0013314E">
        <w:rPr>
          <w:lang w:val="fr-FR"/>
        </w:rPr>
        <w:t>Institut national pour la démocratie et les droits de l</w:t>
      </w:r>
      <w:r>
        <w:rPr>
          <w:lang w:val="fr-FR"/>
        </w:rPr>
        <w:t>’</w:t>
      </w:r>
      <w:r w:rsidRPr="0013314E">
        <w:rPr>
          <w:lang w:val="fr-FR"/>
        </w:rPr>
        <w:t>homme</w:t>
      </w:r>
      <w:r w:rsidRPr="00413478">
        <w:rPr>
          <w:lang w:val="fr-FR"/>
        </w:rPr>
        <w:t>.</w:t>
      </w:r>
      <w:r w:rsidRPr="0013314E">
        <w:rPr>
          <w:lang w:val="fr-FR"/>
        </w:rPr>
        <w:t xml:space="preserve"> Le 16</w:t>
      </w:r>
      <w:r>
        <w:rPr>
          <w:lang w:val="fr-FR"/>
        </w:rPr>
        <w:t> </w:t>
      </w:r>
      <w:r w:rsidRPr="0013314E">
        <w:rPr>
          <w:lang w:val="fr-FR"/>
        </w:rPr>
        <w:t>janvier 2018, le Bureau du Procureur général a transmis la plainte de l</w:t>
      </w:r>
      <w:r>
        <w:rPr>
          <w:lang w:val="fr-FR"/>
        </w:rPr>
        <w:t>’</w:t>
      </w:r>
      <w:r w:rsidRPr="0013314E">
        <w:rPr>
          <w:lang w:val="fr-FR"/>
        </w:rPr>
        <w:t>auteur à un procureur de la région de Lebap</w:t>
      </w:r>
      <w:r>
        <w:rPr>
          <w:lang w:val="fr-FR"/>
        </w:rPr>
        <w:t xml:space="preserve"> et </w:t>
      </w:r>
      <w:r w:rsidRPr="0013314E">
        <w:rPr>
          <w:lang w:val="fr-FR"/>
        </w:rPr>
        <w:t xml:space="preserve">lui </w:t>
      </w:r>
      <w:r>
        <w:rPr>
          <w:lang w:val="fr-FR"/>
        </w:rPr>
        <w:t xml:space="preserve">a </w:t>
      </w:r>
      <w:r w:rsidRPr="0013314E">
        <w:rPr>
          <w:lang w:val="fr-FR"/>
        </w:rPr>
        <w:t>demand</w:t>
      </w:r>
      <w:r>
        <w:rPr>
          <w:lang w:val="fr-FR"/>
        </w:rPr>
        <w:t>é</w:t>
      </w:r>
      <w:r w:rsidRPr="0013314E">
        <w:rPr>
          <w:lang w:val="fr-FR"/>
        </w:rPr>
        <w:t xml:space="preserve"> d</w:t>
      </w:r>
      <w:r>
        <w:rPr>
          <w:lang w:val="fr-FR"/>
        </w:rPr>
        <w:t>’</w:t>
      </w:r>
      <w:r w:rsidRPr="0013314E">
        <w:rPr>
          <w:lang w:val="fr-FR"/>
        </w:rPr>
        <w:t>y répondre le 25</w:t>
      </w:r>
      <w:r>
        <w:rPr>
          <w:lang w:val="fr-FR"/>
        </w:rPr>
        <w:t> </w:t>
      </w:r>
      <w:r w:rsidRPr="0013314E">
        <w:rPr>
          <w:lang w:val="fr-FR"/>
        </w:rPr>
        <w:t>janvier 2018 au plus tard</w:t>
      </w:r>
      <w:r w:rsidRPr="00413478">
        <w:rPr>
          <w:lang w:val="fr-FR"/>
        </w:rPr>
        <w:t>.</w:t>
      </w:r>
      <w:r>
        <w:rPr>
          <w:lang w:val="fr-FR"/>
        </w:rPr>
        <w:t xml:space="preserve"> À cette même date, </w:t>
      </w:r>
      <w:r w:rsidRPr="0013314E">
        <w:rPr>
          <w:lang w:val="fr-FR"/>
        </w:rPr>
        <w:t>le Bureau du Procureur d</w:t>
      </w:r>
      <w:r>
        <w:rPr>
          <w:lang w:val="fr-FR"/>
        </w:rPr>
        <w:t>u</w:t>
      </w:r>
      <w:r w:rsidRPr="0013314E">
        <w:rPr>
          <w:lang w:val="fr-FR"/>
        </w:rPr>
        <w:t xml:space="preserve"> district de Tchardjev</w:t>
      </w:r>
      <w:r>
        <w:rPr>
          <w:lang w:val="fr-FR"/>
        </w:rPr>
        <w:t xml:space="preserve"> (</w:t>
      </w:r>
      <w:r w:rsidRPr="0013314E">
        <w:rPr>
          <w:lang w:val="fr-FR"/>
        </w:rPr>
        <w:t>Türkmenabat</w:t>
      </w:r>
      <w:r>
        <w:rPr>
          <w:lang w:val="fr-FR"/>
        </w:rPr>
        <w:t xml:space="preserve">) a informé le père de l’auteur </w:t>
      </w:r>
      <w:r w:rsidRPr="0013314E">
        <w:rPr>
          <w:lang w:val="fr-FR"/>
        </w:rPr>
        <w:t>que l</w:t>
      </w:r>
      <w:r>
        <w:rPr>
          <w:lang w:val="fr-FR"/>
        </w:rPr>
        <w:t>’</w:t>
      </w:r>
      <w:r w:rsidRPr="0013314E">
        <w:rPr>
          <w:lang w:val="fr-FR"/>
        </w:rPr>
        <w:t>enquête sur sa plainte avait été close car il avait été établi que, bien qu</w:t>
      </w:r>
      <w:r>
        <w:rPr>
          <w:lang w:val="fr-FR"/>
        </w:rPr>
        <w:t>’</w:t>
      </w:r>
      <w:r w:rsidRPr="0013314E">
        <w:rPr>
          <w:lang w:val="fr-FR"/>
        </w:rPr>
        <w:t xml:space="preserve">ayant été </w:t>
      </w:r>
      <w:r>
        <w:rPr>
          <w:lang w:val="fr-FR"/>
        </w:rPr>
        <w:t>déclaré</w:t>
      </w:r>
      <w:r w:rsidRPr="0013314E">
        <w:rPr>
          <w:lang w:val="fr-FR"/>
        </w:rPr>
        <w:t xml:space="preserve"> apte au service militaire à la suite d</w:t>
      </w:r>
      <w:r>
        <w:rPr>
          <w:lang w:val="fr-FR"/>
        </w:rPr>
        <w:t>’</w:t>
      </w:r>
      <w:r w:rsidRPr="0013314E">
        <w:rPr>
          <w:lang w:val="fr-FR"/>
        </w:rPr>
        <w:t>examens médicaux,</w:t>
      </w:r>
      <w:r>
        <w:rPr>
          <w:lang w:val="fr-FR"/>
        </w:rPr>
        <w:t xml:space="preserve"> </w:t>
      </w:r>
      <w:r w:rsidRPr="009B01D6">
        <w:rPr>
          <w:lang w:val="fr-FR"/>
        </w:rPr>
        <w:t>l</w:t>
      </w:r>
      <w:r>
        <w:rPr>
          <w:lang w:val="fr-FR"/>
        </w:rPr>
        <w:t>’</w:t>
      </w:r>
      <w:r w:rsidRPr="009B01D6">
        <w:rPr>
          <w:lang w:val="fr-FR"/>
        </w:rPr>
        <w:t xml:space="preserve">auteur </w:t>
      </w:r>
      <w:r w:rsidRPr="0013314E">
        <w:rPr>
          <w:lang w:val="fr-FR"/>
        </w:rPr>
        <w:t xml:space="preserve">avait </w:t>
      </w:r>
      <w:r>
        <w:rPr>
          <w:lang w:val="fr-FR"/>
        </w:rPr>
        <w:t>opposé un refus de servir</w:t>
      </w:r>
      <w:r w:rsidRPr="0013314E">
        <w:rPr>
          <w:lang w:val="fr-FR"/>
        </w:rPr>
        <w:t xml:space="preserve"> et avait été inculpé </w:t>
      </w:r>
      <w:r>
        <w:rPr>
          <w:lang w:val="fr-FR"/>
        </w:rPr>
        <w:t>au titre de</w:t>
      </w:r>
      <w:r w:rsidRPr="0013314E">
        <w:rPr>
          <w:lang w:val="fr-FR"/>
        </w:rPr>
        <w:t xml:space="preserve"> l</w:t>
      </w:r>
      <w:r>
        <w:rPr>
          <w:lang w:val="fr-FR"/>
        </w:rPr>
        <w:t>’</w:t>
      </w:r>
      <w:r w:rsidRPr="0013314E">
        <w:rPr>
          <w:lang w:val="fr-FR"/>
        </w:rPr>
        <w:t>article</w:t>
      </w:r>
      <w:r>
        <w:rPr>
          <w:lang w:val="fr-FR"/>
        </w:rPr>
        <w:t> </w:t>
      </w:r>
      <w:r w:rsidRPr="0013314E">
        <w:rPr>
          <w:lang w:val="fr-FR"/>
        </w:rPr>
        <w:t>219 (par</w:t>
      </w:r>
      <w:r w:rsidRPr="00413478">
        <w:rPr>
          <w:lang w:val="fr-FR"/>
        </w:rPr>
        <w:t>.</w:t>
      </w:r>
      <w:r>
        <w:rPr>
          <w:lang w:val="fr-FR"/>
        </w:rPr>
        <w:t> </w:t>
      </w:r>
      <w:r w:rsidRPr="0013314E">
        <w:rPr>
          <w:lang w:val="fr-FR"/>
        </w:rPr>
        <w:t>1) du Code pénal</w:t>
      </w:r>
      <w:r w:rsidRPr="00413478">
        <w:rPr>
          <w:lang w:val="fr-FR"/>
        </w:rPr>
        <w:t>.</w:t>
      </w:r>
    </w:p>
    <w:p w14:paraId="244BF32A" w14:textId="77777777" w:rsidR="00142598" w:rsidRPr="00054C58" w:rsidRDefault="00142598" w:rsidP="00142598">
      <w:pPr>
        <w:pStyle w:val="SingleTxtG"/>
      </w:pPr>
      <w:r w:rsidRPr="0013314E">
        <w:rPr>
          <w:lang w:val="fr-FR"/>
        </w:rPr>
        <w:t>2</w:t>
      </w:r>
      <w:r w:rsidRPr="00413478">
        <w:rPr>
          <w:lang w:val="fr-FR"/>
        </w:rPr>
        <w:t>.</w:t>
      </w:r>
      <w:r w:rsidRPr="0013314E">
        <w:rPr>
          <w:lang w:val="fr-FR"/>
        </w:rPr>
        <w:t>11</w:t>
      </w:r>
      <w:r w:rsidRPr="0013314E">
        <w:rPr>
          <w:lang w:val="fr-FR"/>
        </w:rPr>
        <w:tab/>
        <w:t>Dans l</w:t>
      </w:r>
      <w:r>
        <w:rPr>
          <w:lang w:val="fr-FR"/>
        </w:rPr>
        <w:t>’</w:t>
      </w:r>
      <w:r w:rsidRPr="0013314E">
        <w:rPr>
          <w:lang w:val="fr-FR"/>
        </w:rPr>
        <w:t>intervalle, le 17</w:t>
      </w:r>
      <w:r>
        <w:rPr>
          <w:lang w:val="fr-FR"/>
        </w:rPr>
        <w:t> </w:t>
      </w:r>
      <w:r w:rsidRPr="0013314E">
        <w:rPr>
          <w:lang w:val="fr-FR"/>
        </w:rPr>
        <w:t>janvier 2018, l</w:t>
      </w:r>
      <w:r>
        <w:rPr>
          <w:lang w:val="fr-FR"/>
        </w:rPr>
        <w:t>’</w:t>
      </w:r>
      <w:r w:rsidRPr="0013314E">
        <w:rPr>
          <w:lang w:val="fr-FR"/>
        </w:rPr>
        <w:t>auteur a comparu devant le tribunal d</w:t>
      </w:r>
      <w:r>
        <w:rPr>
          <w:lang w:val="fr-FR"/>
        </w:rPr>
        <w:t>e</w:t>
      </w:r>
      <w:r w:rsidRPr="0013314E">
        <w:rPr>
          <w:lang w:val="fr-FR"/>
        </w:rPr>
        <w:t xml:space="preserve"> district de Tchardjev, dans la région de Lebap, pour y être jugé</w:t>
      </w:r>
      <w:r w:rsidRPr="00413478">
        <w:rPr>
          <w:lang w:val="fr-FR"/>
        </w:rPr>
        <w:t>.</w:t>
      </w:r>
      <w:r w:rsidRPr="0013314E">
        <w:rPr>
          <w:lang w:val="fr-FR"/>
        </w:rPr>
        <w:t xml:space="preserve"> Le même jour, le tribunal a déclaré l</w:t>
      </w:r>
      <w:r>
        <w:rPr>
          <w:lang w:val="fr-FR"/>
        </w:rPr>
        <w:t>’</w:t>
      </w:r>
      <w:r w:rsidRPr="0013314E">
        <w:rPr>
          <w:lang w:val="fr-FR"/>
        </w:rPr>
        <w:t>auteur coupable d</w:t>
      </w:r>
      <w:r>
        <w:rPr>
          <w:lang w:val="fr-FR"/>
        </w:rPr>
        <w:t>’</w:t>
      </w:r>
      <w:r w:rsidRPr="0013314E">
        <w:rPr>
          <w:lang w:val="fr-FR"/>
        </w:rPr>
        <w:t>avoir enfreint l</w:t>
      </w:r>
      <w:r>
        <w:rPr>
          <w:lang w:val="fr-FR"/>
        </w:rPr>
        <w:t>’</w:t>
      </w:r>
      <w:r w:rsidRPr="0013314E">
        <w:rPr>
          <w:lang w:val="fr-FR"/>
        </w:rPr>
        <w:t>article</w:t>
      </w:r>
      <w:r>
        <w:rPr>
          <w:lang w:val="fr-FR"/>
        </w:rPr>
        <w:t> </w:t>
      </w:r>
      <w:r w:rsidRPr="0013314E">
        <w:rPr>
          <w:lang w:val="fr-FR"/>
        </w:rPr>
        <w:t>219 (par</w:t>
      </w:r>
      <w:r w:rsidRPr="00413478">
        <w:rPr>
          <w:lang w:val="fr-FR"/>
        </w:rPr>
        <w:t>.</w:t>
      </w:r>
      <w:r>
        <w:rPr>
          <w:lang w:val="fr-FR"/>
        </w:rPr>
        <w:t> </w:t>
      </w:r>
      <w:r w:rsidRPr="0013314E">
        <w:rPr>
          <w:lang w:val="fr-FR"/>
        </w:rPr>
        <w:t>1) du Code pénal et l</w:t>
      </w:r>
      <w:r>
        <w:rPr>
          <w:lang w:val="fr-FR"/>
        </w:rPr>
        <w:t>’</w:t>
      </w:r>
      <w:r w:rsidRPr="0013314E">
        <w:rPr>
          <w:lang w:val="fr-FR"/>
        </w:rPr>
        <w:t>a condamné pour objection de conscience au service militaire à une peine d</w:t>
      </w:r>
      <w:r>
        <w:rPr>
          <w:lang w:val="fr-FR"/>
        </w:rPr>
        <w:t>’</w:t>
      </w:r>
      <w:r w:rsidRPr="0013314E">
        <w:rPr>
          <w:lang w:val="fr-FR"/>
        </w:rPr>
        <w:t>un an d</w:t>
      </w:r>
      <w:r>
        <w:rPr>
          <w:lang w:val="fr-FR"/>
        </w:rPr>
        <w:t>’</w:t>
      </w:r>
      <w:r w:rsidRPr="0013314E">
        <w:rPr>
          <w:lang w:val="fr-FR"/>
        </w:rPr>
        <w:t>emprisonnement à purger dans une colonie pénitentiaire à régime ordinaire</w:t>
      </w:r>
      <w:r w:rsidRPr="00413478">
        <w:rPr>
          <w:lang w:val="fr-FR"/>
        </w:rPr>
        <w:t>.</w:t>
      </w:r>
      <w:r w:rsidRPr="0013314E">
        <w:rPr>
          <w:lang w:val="fr-FR"/>
        </w:rPr>
        <w:t xml:space="preserve"> Dans sa décision, le tribunal de district a </w:t>
      </w:r>
      <w:r>
        <w:rPr>
          <w:lang w:val="fr-FR"/>
        </w:rPr>
        <w:t>considér</w:t>
      </w:r>
      <w:r w:rsidRPr="0013314E">
        <w:rPr>
          <w:lang w:val="fr-FR"/>
        </w:rPr>
        <w:t>é que l</w:t>
      </w:r>
      <w:r>
        <w:rPr>
          <w:lang w:val="fr-FR"/>
        </w:rPr>
        <w:t>’</w:t>
      </w:r>
      <w:r w:rsidRPr="0013314E">
        <w:rPr>
          <w:lang w:val="fr-FR"/>
        </w:rPr>
        <w:t xml:space="preserve">auteur avait été </w:t>
      </w:r>
      <w:r>
        <w:rPr>
          <w:lang w:val="fr-FR"/>
        </w:rPr>
        <w:t>déclaré</w:t>
      </w:r>
      <w:r w:rsidRPr="0013314E">
        <w:rPr>
          <w:lang w:val="fr-FR"/>
        </w:rPr>
        <w:t xml:space="preserve"> médicalement apte </w:t>
      </w:r>
      <w:r>
        <w:rPr>
          <w:lang w:val="fr-FR"/>
        </w:rPr>
        <w:t xml:space="preserve">au </w:t>
      </w:r>
      <w:r w:rsidRPr="0013314E">
        <w:rPr>
          <w:lang w:val="fr-FR"/>
        </w:rPr>
        <w:t xml:space="preserve">service militaire mais avait </w:t>
      </w:r>
      <w:r>
        <w:rPr>
          <w:lang w:val="fr-FR"/>
        </w:rPr>
        <w:t xml:space="preserve">opposé un </w:t>
      </w:r>
      <w:r w:rsidRPr="0013314E">
        <w:rPr>
          <w:lang w:val="fr-FR"/>
        </w:rPr>
        <w:t xml:space="preserve">refus </w:t>
      </w:r>
      <w:r>
        <w:rPr>
          <w:lang w:val="fr-FR"/>
        </w:rPr>
        <w:t>de servir</w:t>
      </w:r>
      <w:r w:rsidRPr="0013314E">
        <w:rPr>
          <w:lang w:val="fr-FR"/>
        </w:rPr>
        <w:t xml:space="preserve"> sans aucun motif légitime</w:t>
      </w:r>
      <w:r w:rsidRPr="00413478">
        <w:rPr>
          <w:lang w:val="fr-FR"/>
        </w:rPr>
        <w:t>.</w:t>
      </w:r>
      <w:r w:rsidRPr="0013314E">
        <w:rPr>
          <w:lang w:val="fr-FR"/>
        </w:rPr>
        <w:t xml:space="preserve"> Selon le tribunal de district, l</w:t>
      </w:r>
      <w:r>
        <w:rPr>
          <w:lang w:val="fr-FR"/>
        </w:rPr>
        <w:t>’</w:t>
      </w:r>
      <w:r w:rsidRPr="0013314E">
        <w:rPr>
          <w:lang w:val="fr-FR"/>
        </w:rPr>
        <w:t xml:space="preserve">auteur </w:t>
      </w:r>
      <w:r>
        <w:rPr>
          <w:lang w:val="fr-FR"/>
        </w:rPr>
        <w:t>se disait</w:t>
      </w:r>
      <w:r w:rsidRPr="0013314E">
        <w:rPr>
          <w:lang w:val="fr-FR"/>
        </w:rPr>
        <w:t xml:space="preserve"> Témoin de Jéhovah et affirmait que les Saintes Écritures interdisaient d</w:t>
      </w:r>
      <w:r>
        <w:rPr>
          <w:lang w:val="fr-FR"/>
        </w:rPr>
        <w:t>’</w:t>
      </w:r>
      <w:r w:rsidRPr="0013314E">
        <w:rPr>
          <w:lang w:val="fr-FR"/>
        </w:rPr>
        <w:t>utiliser des armes et d</w:t>
      </w:r>
      <w:r>
        <w:rPr>
          <w:lang w:val="fr-FR"/>
        </w:rPr>
        <w:t>’effectue</w:t>
      </w:r>
      <w:r w:rsidRPr="0013314E">
        <w:rPr>
          <w:lang w:val="fr-FR"/>
        </w:rPr>
        <w:t>r le service militaire</w:t>
      </w:r>
      <w:r w:rsidRPr="00413478">
        <w:rPr>
          <w:lang w:val="fr-FR"/>
        </w:rPr>
        <w:t>.</w:t>
      </w:r>
      <w:r w:rsidRPr="0013314E">
        <w:rPr>
          <w:lang w:val="fr-FR"/>
        </w:rPr>
        <w:t xml:space="preserve"> </w:t>
      </w:r>
    </w:p>
    <w:p w14:paraId="10BC516D" w14:textId="77777777" w:rsidR="00142598" w:rsidRPr="00054C58" w:rsidRDefault="00142598" w:rsidP="00142598">
      <w:pPr>
        <w:pStyle w:val="SingleTxtG"/>
        <w:keepNext/>
        <w:keepLines/>
      </w:pPr>
      <w:r w:rsidRPr="0013314E">
        <w:rPr>
          <w:lang w:val="fr-FR"/>
        </w:rPr>
        <w:t>2</w:t>
      </w:r>
      <w:r w:rsidRPr="00413478">
        <w:rPr>
          <w:lang w:val="fr-FR"/>
        </w:rPr>
        <w:t>.</w:t>
      </w:r>
      <w:r w:rsidRPr="0013314E">
        <w:rPr>
          <w:lang w:val="fr-FR"/>
        </w:rPr>
        <w:t>12</w:t>
      </w:r>
      <w:r w:rsidRPr="0013314E">
        <w:rPr>
          <w:lang w:val="fr-FR"/>
        </w:rPr>
        <w:tab/>
        <w:t>Le 29 janvier 2018, l</w:t>
      </w:r>
      <w:r>
        <w:rPr>
          <w:lang w:val="fr-FR"/>
        </w:rPr>
        <w:t>’</w:t>
      </w:r>
      <w:r w:rsidRPr="0013314E">
        <w:rPr>
          <w:lang w:val="fr-FR"/>
        </w:rPr>
        <w:t>auteur a formé un recours en cassation contre la décision du tribunal d</w:t>
      </w:r>
      <w:r>
        <w:rPr>
          <w:lang w:val="fr-FR"/>
        </w:rPr>
        <w:t>e</w:t>
      </w:r>
      <w:r w:rsidRPr="0013314E">
        <w:rPr>
          <w:lang w:val="fr-FR"/>
        </w:rPr>
        <w:t xml:space="preserve"> district de Tchardjev</w:t>
      </w:r>
      <w:r w:rsidRPr="00413478">
        <w:rPr>
          <w:lang w:val="fr-FR"/>
        </w:rPr>
        <w:t>.</w:t>
      </w:r>
      <w:r w:rsidRPr="0013314E">
        <w:rPr>
          <w:lang w:val="fr-FR"/>
        </w:rPr>
        <w:t xml:space="preserve"> Le 13</w:t>
      </w:r>
      <w:r>
        <w:rPr>
          <w:lang w:val="fr-FR"/>
        </w:rPr>
        <w:t> </w:t>
      </w:r>
      <w:r w:rsidRPr="0013314E">
        <w:rPr>
          <w:lang w:val="fr-FR"/>
        </w:rPr>
        <w:t xml:space="preserve">février 2018, le tribunal régional de Lebap a rejeté </w:t>
      </w:r>
      <w:r>
        <w:rPr>
          <w:lang w:val="fr-FR"/>
        </w:rPr>
        <w:t xml:space="preserve">son </w:t>
      </w:r>
      <w:r w:rsidRPr="0013314E">
        <w:rPr>
          <w:lang w:val="fr-FR"/>
        </w:rPr>
        <w:t xml:space="preserve">appel au motif que </w:t>
      </w:r>
      <w:r>
        <w:rPr>
          <w:lang w:val="fr-FR"/>
        </w:rPr>
        <w:t>s</w:t>
      </w:r>
      <w:r w:rsidRPr="0013314E">
        <w:rPr>
          <w:lang w:val="fr-FR"/>
        </w:rPr>
        <w:t xml:space="preserve">a culpabilité avait été pleinement établie </w:t>
      </w:r>
      <w:r>
        <w:rPr>
          <w:lang w:val="fr-FR"/>
        </w:rPr>
        <w:t>grâce aux</w:t>
      </w:r>
      <w:r w:rsidRPr="0013314E">
        <w:rPr>
          <w:lang w:val="fr-FR"/>
        </w:rPr>
        <w:t xml:space="preserve"> dépositions des témoins interrogés pendant le procès et </w:t>
      </w:r>
      <w:r>
        <w:rPr>
          <w:lang w:val="fr-FR"/>
        </w:rPr>
        <w:t xml:space="preserve">à </w:t>
      </w:r>
      <w:r w:rsidRPr="0013314E">
        <w:rPr>
          <w:lang w:val="fr-FR"/>
        </w:rPr>
        <w:t>d</w:t>
      </w:r>
      <w:r>
        <w:rPr>
          <w:lang w:val="fr-FR"/>
        </w:rPr>
        <w:t>’</w:t>
      </w:r>
      <w:r w:rsidRPr="0013314E">
        <w:rPr>
          <w:lang w:val="fr-FR"/>
        </w:rPr>
        <w:t>autres éléments du dossier non précisés</w:t>
      </w:r>
      <w:r w:rsidRPr="00413478">
        <w:rPr>
          <w:lang w:val="fr-FR"/>
        </w:rPr>
        <w:t>.</w:t>
      </w:r>
      <w:r w:rsidRPr="0013314E">
        <w:rPr>
          <w:lang w:val="fr-FR"/>
        </w:rPr>
        <w:t xml:space="preserve"> Le tribunal régional de Lebap a considéré que le comportement de l</w:t>
      </w:r>
      <w:r>
        <w:rPr>
          <w:lang w:val="fr-FR"/>
        </w:rPr>
        <w:t>’</w:t>
      </w:r>
      <w:r w:rsidRPr="0013314E">
        <w:rPr>
          <w:lang w:val="fr-FR"/>
        </w:rPr>
        <w:t>auteur avait été correctement qualifié par le tribunal de première instance de violation de l</w:t>
      </w:r>
      <w:r>
        <w:rPr>
          <w:lang w:val="fr-FR"/>
        </w:rPr>
        <w:t>’</w:t>
      </w:r>
      <w:r w:rsidRPr="0013314E">
        <w:rPr>
          <w:lang w:val="fr-FR"/>
        </w:rPr>
        <w:t>article 219 (par</w:t>
      </w:r>
      <w:r w:rsidRPr="00413478">
        <w:rPr>
          <w:lang w:val="fr-FR"/>
        </w:rPr>
        <w:t>.</w:t>
      </w:r>
      <w:r>
        <w:rPr>
          <w:lang w:val="fr-FR"/>
        </w:rPr>
        <w:t> </w:t>
      </w:r>
      <w:r w:rsidRPr="0013314E">
        <w:rPr>
          <w:lang w:val="fr-FR"/>
        </w:rPr>
        <w:t>1) du Code pénal</w:t>
      </w:r>
      <w:r w:rsidRPr="00413478">
        <w:rPr>
          <w:lang w:val="fr-FR"/>
        </w:rPr>
        <w:t>.</w:t>
      </w:r>
      <w:r w:rsidRPr="0013314E">
        <w:rPr>
          <w:lang w:val="fr-FR"/>
        </w:rPr>
        <w:t xml:space="preserve"> Il a également estimé que la sanction infligée, qui emportait une peine privative de liberté, était légale et tenait compte de la nature de l</w:t>
      </w:r>
      <w:r>
        <w:rPr>
          <w:lang w:val="fr-FR"/>
        </w:rPr>
        <w:t>’</w:t>
      </w:r>
      <w:r w:rsidRPr="0013314E">
        <w:rPr>
          <w:lang w:val="fr-FR"/>
        </w:rPr>
        <w:t>infraction, de la dangerosité de l</w:t>
      </w:r>
      <w:r>
        <w:rPr>
          <w:lang w:val="fr-FR"/>
        </w:rPr>
        <w:t>’</w:t>
      </w:r>
      <w:r w:rsidRPr="0013314E">
        <w:rPr>
          <w:lang w:val="fr-FR"/>
        </w:rPr>
        <w:t>infraction pour le public</w:t>
      </w:r>
      <w:r>
        <w:rPr>
          <w:lang w:val="fr-FR"/>
        </w:rPr>
        <w:t>,</w:t>
      </w:r>
      <w:r w:rsidRPr="0013314E">
        <w:rPr>
          <w:lang w:val="fr-FR"/>
        </w:rPr>
        <w:t xml:space="preserve"> ainsi que des circonstances atténuantes et aggravantes retenues</w:t>
      </w:r>
      <w:r w:rsidRPr="00413478">
        <w:rPr>
          <w:lang w:val="fr-FR"/>
        </w:rPr>
        <w:t>.</w:t>
      </w:r>
      <w:r w:rsidRPr="0013314E">
        <w:rPr>
          <w:lang w:val="fr-FR"/>
        </w:rPr>
        <w:t xml:space="preserve"> </w:t>
      </w:r>
      <w:r>
        <w:rPr>
          <w:lang w:val="fr-FR"/>
        </w:rPr>
        <w:t>Il</w:t>
      </w:r>
      <w:r w:rsidRPr="0013314E">
        <w:rPr>
          <w:lang w:val="fr-FR"/>
        </w:rPr>
        <w:t xml:space="preserve"> a en outre considéré que, conformément à la loi, le tribunal d</w:t>
      </w:r>
      <w:r>
        <w:rPr>
          <w:lang w:val="fr-FR"/>
        </w:rPr>
        <w:t>e</w:t>
      </w:r>
      <w:r w:rsidRPr="0013314E">
        <w:rPr>
          <w:lang w:val="fr-FR"/>
        </w:rPr>
        <w:t xml:space="preserve"> district de Tchardjev avait déjà examiné les arguments soulevés en appel</w:t>
      </w:r>
      <w:r w:rsidRPr="00413478">
        <w:rPr>
          <w:lang w:val="fr-FR"/>
        </w:rPr>
        <w:t>.</w:t>
      </w:r>
    </w:p>
    <w:p w14:paraId="238C7ACC" w14:textId="77777777" w:rsidR="00142598" w:rsidRPr="00054C58" w:rsidRDefault="00142598" w:rsidP="00142598">
      <w:pPr>
        <w:pStyle w:val="SingleTxtG"/>
      </w:pPr>
      <w:r w:rsidRPr="0013314E">
        <w:rPr>
          <w:lang w:val="fr-FR"/>
        </w:rPr>
        <w:t>2</w:t>
      </w:r>
      <w:r w:rsidRPr="00413478">
        <w:rPr>
          <w:lang w:val="fr-FR"/>
        </w:rPr>
        <w:t>.</w:t>
      </w:r>
      <w:r w:rsidRPr="0013314E">
        <w:rPr>
          <w:lang w:val="fr-FR"/>
        </w:rPr>
        <w:t>13</w:t>
      </w:r>
      <w:r w:rsidRPr="0013314E">
        <w:rPr>
          <w:lang w:val="fr-FR"/>
        </w:rPr>
        <w:tab/>
        <w:t>L</w:t>
      </w:r>
      <w:r>
        <w:rPr>
          <w:lang w:val="fr-FR"/>
        </w:rPr>
        <w:t>’</w:t>
      </w:r>
      <w:r w:rsidRPr="0013314E">
        <w:rPr>
          <w:lang w:val="fr-FR"/>
        </w:rPr>
        <w:t>auteur soutient qu</w:t>
      </w:r>
      <w:r>
        <w:rPr>
          <w:lang w:val="fr-FR"/>
        </w:rPr>
        <w:t>’</w:t>
      </w:r>
      <w:r w:rsidRPr="0013314E">
        <w:rPr>
          <w:lang w:val="fr-FR"/>
        </w:rPr>
        <w:t>il a épuisé tous les recours internes pour contester la déclaration de culpabilité et l</w:t>
      </w:r>
      <w:r>
        <w:rPr>
          <w:lang w:val="fr-FR"/>
        </w:rPr>
        <w:t>’incarcération dont il a fait l’objet</w:t>
      </w:r>
      <w:r w:rsidRPr="00413478">
        <w:rPr>
          <w:lang w:val="fr-FR"/>
        </w:rPr>
        <w:t>.</w:t>
      </w:r>
      <w:r w:rsidRPr="0013314E">
        <w:rPr>
          <w:lang w:val="fr-FR"/>
        </w:rPr>
        <w:t xml:space="preserve"> Dans une autre </w:t>
      </w:r>
      <w:r>
        <w:rPr>
          <w:lang w:val="fr-FR"/>
        </w:rPr>
        <w:t>lettre,</w:t>
      </w:r>
      <w:r w:rsidRPr="0013314E">
        <w:rPr>
          <w:lang w:val="fr-FR"/>
        </w:rPr>
        <w:t xml:space="preserve"> datée du 21</w:t>
      </w:r>
      <w:r>
        <w:rPr>
          <w:lang w:val="fr-FR"/>
        </w:rPr>
        <w:t> </w:t>
      </w:r>
      <w:r w:rsidRPr="0013314E">
        <w:rPr>
          <w:lang w:val="fr-FR"/>
        </w:rPr>
        <w:t xml:space="preserve">septembre 2018, </w:t>
      </w:r>
      <w:r>
        <w:rPr>
          <w:lang w:val="fr-FR"/>
        </w:rPr>
        <w:t>il</w:t>
      </w:r>
      <w:r w:rsidRPr="0013314E">
        <w:rPr>
          <w:lang w:val="fr-FR"/>
        </w:rPr>
        <w:t xml:space="preserve"> a indiqué que le Code pénal turkmène ne prévoyait qu</w:t>
      </w:r>
      <w:r>
        <w:rPr>
          <w:lang w:val="fr-FR"/>
        </w:rPr>
        <w:t>’</w:t>
      </w:r>
      <w:r w:rsidRPr="0013314E">
        <w:rPr>
          <w:lang w:val="fr-FR"/>
        </w:rPr>
        <w:t>un seul degré d</w:t>
      </w:r>
      <w:r>
        <w:rPr>
          <w:lang w:val="fr-FR"/>
        </w:rPr>
        <w:t>’</w:t>
      </w:r>
      <w:r w:rsidRPr="0013314E">
        <w:rPr>
          <w:lang w:val="fr-FR"/>
        </w:rPr>
        <w:t>appel, et que si une demande de réexamen au titre de la procédure de contrôle pouvait également être déposée, elle constituait un recours extraordinaire et discrétionnaire</w:t>
      </w:r>
      <w:r w:rsidRPr="00413478">
        <w:rPr>
          <w:lang w:val="fr-FR"/>
        </w:rPr>
        <w:t>.</w:t>
      </w:r>
      <w:r w:rsidRPr="0013314E">
        <w:rPr>
          <w:lang w:val="fr-FR"/>
        </w:rPr>
        <w:t xml:space="preserve"> À cet égard, la procédure de contrôle </w:t>
      </w:r>
      <w:r>
        <w:rPr>
          <w:lang w:val="fr-FR"/>
        </w:rPr>
        <w:t>était</w:t>
      </w:r>
      <w:r w:rsidRPr="0013314E">
        <w:rPr>
          <w:lang w:val="fr-FR"/>
        </w:rPr>
        <w:t xml:space="preserve"> analogue à celles dont la Cour européenne des droits de l</w:t>
      </w:r>
      <w:r>
        <w:rPr>
          <w:lang w:val="fr-FR"/>
        </w:rPr>
        <w:t>’</w:t>
      </w:r>
      <w:r w:rsidRPr="0013314E">
        <w:rPr>
          <w:lang w:val="fr-FR"/>
        </w:rPr>
        <w:t xml:space="preserve">homme </w:t>
      </w:r>
      <w:r>
        <w:rPr>
          <w:lang w:val="fr-FR"/>
        </w:rPr>
        <w:t>avait</w:t>
      </w:r>
      <w:r w:rsidRPr="0013314E">
        <w:rPr>
          <w:lang w:val="fr-FR"/>
        </w:rPr>
        <w:t xml:space="preserve"> dit qu</w:t>
      </w:r>
      <w:r>
        <w:rPr>
          <w:lang w:val="fr-FR"/>
        </w:rPr>
        <w:t>’</w:t>
      </w:r>
      <w:r w:rsidRPr="0013314E">
        <w:rPr>
          <w:lang w:val="fr-FR"/>
        </w:rPr>
        <w:t>elles ne constituaient pas des recours utiles</w:t>
      </w:r>
      <w:r w:rsidRPr="00901F87">
        <w:rPr>
          <w:rStyle w:val="Appelnotedebasdep"/>
        </w:rPr>
        <w:footnoteReference w:id="5"/>
      </w:r>
      <w:r w:rsidRPr="00413478">
        <w:rPr>
          <w:lang w:val="fr-FR"/>
        </w:rPr>
        <w:t>.</w:t>
      </w:r>
      <w:r w:rsidRPr="0013314E">
        <w:rPr>
          <w:lang w:val="fr-FR"/>
        </w:rPr>
        <w:t xml:space="preserve"> En outre, à ce jour, les tribunaux de l</w:t>
      </w:r>
      <w:r>
        <w:rPr>
          <w:lang w:val="fr-FR"/>
        </w:rPr>
        <w:t>’</w:t>
      </w:r>
      <w:r w:rsidRPr="0013314E">
        <w:rPr>
          <w:lang w:val="fr-FR"/>
        </w:rPr>
        <w:t>État partie n</w:t>
      </w:r>
      <w:r>
        <w:rPr>
          <w:lang w:val="fr-FR"/>
        </w:rPr>
        <w:t>’</w:t>
      </w:r>
      <w:r w:rsidRPr="0013314E">
        <w:rPr>
          <w:lang w:val="fr-FR"/>
        </w:rPr>
        <w:t>ont fait droit à aucun recours déposé par un objecteur de conscience</w:t>
      </w:r>
      <w:r w:rsidRPr="00413478">
        <w:rPr>
          <w:lang w:val="fr-FR"/>
        </w:rPr>
        <w:t>.</w:t>
      </w:r>
    </w:p>
    <w:p w14:paraId="5F4FA06D" w14:textId="77777777" w:rsidR="00142598" w:rsidRPr="00054C58" w:rsidRDefault="00142598" w:rsidP="00142598">
      <w:pPr>
        <w:pStyle w:val="SingleTxtG"/>
      </w:pPr>
      <w:r w:rsidRPr="0013314E">
        <w:rPr>
          <w:lang w:val="fr-FR"/>
        </w:rPr>
        <w:t>2</w:t>
      </w:r>
      <w:r w:rsidRPr="00413478">
        <w:rPr>
          <w:lang w:val="fr-FR"/>
        </w:rPr>
        <w:t>.</w:t>
      </w:r>
      <w:r w:rsidRPr="0013314E">
        <w:rPr>
          <w:lang w:val="fr-FR"/>
        </w:rPr>
        <w:t>14</w:t>
      </w:r>
      <w:r w:rsidRPr="0013314E">
        <w:rPr>
          <w:lang w:val="fr-FR"/>
        </w:rPr>
        <w:tab/>
        <w:t>L</w:t>
      </w:r>
      <w:r>
        <w:rPr>
          <w:lang w:val="fr-FR"/>
        </w:rPr>
        <w:t>’</w:t>
      </w:r>
      <w:r w:rsidRPr="0013314E">
        <w:rPr>
          <w:lang w:val="fr-FR"/>
        </w:rPr>
        <w:t>auteur affirme ne pas avoir saisi d</w:t>
      </w:r>
      <w:r>
        <w:rPr>
          <w:lang w:val="fr-FR"/>
        </w:rPr>
        <w:t>’</w:t>
      </w:r>
      <w:r w:rsidRPr="0013314E">
        <w:rPr>
          <w:lang w:val="fr-FR"/>
        </w:rPr>
        <w:t>autre instance internationale d</w:t>
      </w:r>
      <w:r>
        <w:rPr>
          <w:lang w:val="fr-FR"/>
        </w:rPr>
        <w:t>’</w:t>
      </w:r>
      <w:r w:rsidRPr="0013314E">
        <w:rPr>
          <w:lang w:val="fr-FR"/>
        </w:rPr>
        <w:t>enquête ou de règlement</w:t>
      </w:r>
      <w:r w:rsidRPr="00413478">
        <w:rPr>
          <w:lang w:val="fr-FR"/>
        </w:rPr>
        <w:t>.</w:t>
      </w:r>
      <w:r w:rsidRPr="0013314E">
        <w:rPr>
          <w:lang w:val="fr-FR"/>
        </w:rPr>
        <w:t xml:space="preserve"> </w:t>
      </w:r>
      <w:r>
        <w:rPr>
          <w:lang w:val="fr-FR"/>
        </w:rPr>
        <w:t>Au moment où</w:t>
      </w:r>
      <w:r w:rsidRPr="0013314E">
        <w:rPr>
          <w:lang w:val="fr-FR"/>
        </w:rPr>
        <w:t xml:space="preserve"> la communication</w:t>
      </w:r>
      <w:r>
        <w:rPr>
          <w:lang w:val="fr-FR"/>
        </w:rPr>
        <w:t xml:space="preserve"> a été soumise</w:t>
      </w:r>
      <w:r w:rsidRPr="0013314E">
        <w:rPr>
          <w:lang w:val="fr-FR"/>
        </w:rPr>
        <w:t>, il purgeait sa peine dans la colonie pénitentiaire LBK-12 de Seýdi</w:t>
      </w:r>
      <w:r w:rsidRPr="00413478">
        <w:rPr>
          <w:lang w:val="fr-FR"/>
        </w:rPr>
        <w:t>.</w:t>
      </w:r>
      <w:r w:rsidRPr="0013314E">
        <w:rPr>
          <w:lang w:val="fr-FR"/>
        </w:rPr>
        <w:t xml:space="preserve"> En dehors de l</w:t>
      </w:r>
      <w:r>
        <w:rPr>
          <w:lang w:val="fr-FR"/>
        </w:rPr>
        <w:t>’</w:t>
      </w:r>
      <w:r w:rsidRPr="0013314E">
        <w:rPr>
          <w:lang w:val="fr-FR"/>
        </w:rPr>
        <w:t>accusation mentionnée ci-dessus, l</w:t>
      </w:r>
      <w:r>
        <w:rPr>
          <w:lang w:val="fr-FR"/>
        </w:rPr>
        <w:t>’</w:t>
      </w:r>
      <w:r w:rsidRPr="0013314E">
        <w:rPr>
          <w:lang w:val="fr-FR"/>
        </w:rPr>
        <w:t>auteur n</w:t>
      </w:r>
      <w:r>
        <w:rPr>
          <w:lang w:val="fr-FR"/>
        </w:rPr>
        <w:t>’</w:t>
      </w:r>
      <w:r w:rsidRPr="0013314E">
        <w:rPr>
          <w:lang w:val="fr-FR"/>
        </w:rPr>
        <w:t>a jamais été poursuivi pénalement ni accusé d</w:t>
      </w:r>
      <w:r>
        <w:rPr>
          <w:lang w:val="fr-FR"/>
        </w:rPr>
        <w:t>’</w:t>
      </w:r>
      <w:r w:rsidRPr="0013314E">
        <w:rPr>
          <w:lang w:val="fr-FR"/>
        </w:rPr>
        <w:t>une infraction administrative</w:t>
      </w:r>
      <w:r w:rsidRPr="00413478">
        <w:rPr>
          <w:lang w:val="fr-FR"/>
        </w:rPr>
        <w:t>.</w:t>
      </w:r>
    </w:p>
    <w:p w14:paraId="0CCA57E8" w14:textId="77777777" w:rsidR="00142598" w:rsidRPr="00054C58" w:rsidRDefault="00142598" w:rsidP="00142598">
      <w:pPr>
        <w:pStyle w:val="H23G"/>
      </w:pPr>
      <w:r w:rsidRPr="0013314E">
        <w:rPr>
          <w:lang w:val="fr-FR"/>
        </w:rPr>
        <w:lastRenderedPageBreak/>
        <w:tab/>
      </w:r>
      <w:r w:rsidRPr="0013314E">
        <w:rPr>
          <w:lang w:val="fr-FR"/>
        </w:rPr>
        <w:tab/>
        <w:t>Teneur de la plainte</w:t>
      </w:r>
    </w:p>
    <w:p w14:paraId="499B1EBF" w14:textId="77777777" w:rsidR="00142598" w:rsidRPr="00054C58" w:rsidRDefault="00142598" w:rsidP="00142598">
      <w:pPr>
        <w:pStyle w:val="SingleTxtG"/>
      </w:pPr>
      <w:r w:rsidRPr="0013314E">
        <w:rPr>
          <w:lang w:val="fr-FR"/>
        </w:rPr>
        <w:t>3</w:t>
      </w:r>
      <w:r w:rsidRPr="00413478">
        <w:rPr>
          <w:lang w:val="fr-FR"/>
        </w:rPr>
        <w:t>.</w:t>
      </w:r>
      <w:r w:rsidRPr="0013314E">
        <w:rPr>
          <w:lang w:val="fr-FR"/>
        </w:rPr>
        <w:t>1</w:t>
      </w:r>
      <w:r w:rsidRPr="0013314E">
        <w:rPr>
          <w:lang w:val="fr-FR"/>
        </w:rPr>
        <w:tab/>
        <w:t>L</w:t>
      </w:r>
      <w:r>
        <w:rPr>
          <w:lang w:val="fr-FR"/>
        </w:rPr>
        <w:t>’</w:t>
      </w:r>
      <w:r w:rsidRPr="0013314E">
        <w:rPr>
          <w:lang w:val="fr-FR"/>
        </w:rPr>
        <w:t>auteur affirme que l</w:t>
      </w:r>
      <w:r>
        <w:rPr>
          <w:lang w:val="fr-FR"/>
        </w:rPr>
        <w:t>’</w:t>
      </w:r>
      <w:r w:rsidRPr="0013314E">
        <w:rPr>
          <w:lang w:val="fr-FR"/>
        </w:rPr>
        <w:t>arrestation, la détention et l</w:t>
      </w:r>
      <w:r>
        <w:rPr>
          <w:lang w:val="fr-FR"/>
        </w:rPr>
        <w:t>’</w:t>
      </w:r>
      <w:r w:rsidRPr="0013314E">
        <w:rPr>
          <w:lang w:val="fr-FR"/>
        </w:rPr>
        <w:t>incarcération arbitraires dont il a fait l</w:t>
      </w:r>
      <w:r>
        <w:rPr>
          <w:lang w:val="fr-FR"/>
        </w:rPr>
        <w:t>’</w:t>
      </w:r>
      <w:r w:rsidRPr="0013314E">
        <w:rPr>
          <w:lang w:val="fr-FR"/>
        </w:rPr>
        <w:t>objet pour avoir refusé d</w:t>
      </w:r>
      <w:r>
        <w:rPr>
          <w:lang w:val="fr-FR"/>
        </w:rPr>
        <w:t>’effectue</w:t>
      </w:r>
      <w:r w:rsidRPr="0013314E">
        <w:rPr>
          <w:lang w:val="fr-FR"/>
        </w:rPr>
        <w:t xml:space="preserve">r le service militaire obligatoire en raison de </w:t>
      </w:r>
      <w:r>
        <w:rPr>
          <w:lang w:val="fr-FR"/>
        </w:rPr>
        <w:t xml:space="preserve">ses </w:t>
      </w:r>
      <w:r w:rsidRPr="0013314E">
        <w:rPr>
          <w:lang w:val="fr-FR"/>
        </w:rPr>
        <w:t>convictions religieuses ont constitué une violation par l</w:t>
      </w:r>
      <w:r>
        <w:rPr>
          <w:lang w:val="fr-FR"/>
        </w:rPr>
        <w:t>’</w:t>
      </w:r>
      <w:r w:rsidRPr="0013314E">
        <w:rPr>
          <w:lang w:val="fr-FR"/>
        </w:rPr>
        <w:t>État partie des droits qu</w:t>
      </w:r>
      <w:r>
        <w:rPr>
          <w:lang w:val="fr-FR"/>
        </w:rPr>
        <w:t>’</w:t>
      </w:r>
      <w:r w:rsidRPr="0013314E">
        <w:rPr>
          <w:lang w:val="fr-FR"/>
        </w:rPr>
        <w:t>il tient des articles</w:t>
      </w:r>
      <w:r>
        <w:rPr>
          <w:lang w:val="fr-FR"/>
        </w:rPr>
        <w:t> </w:t>
      </w:r>
      <w:r w:rsidRPr="0013314E">
        <w:rPr>
          <w:lang w:val="fr-FR"/>
        </w:rPr>
        <w:t>9 (par</w:t>
      </w:r>
      <w:r w:rsidRPr="00413478">
        <w:rPr>
          <w:lang w:val="fr-FR"/>
        </w:rPr>
        <w:t>.</w:t>
      </w:r>
      <w:r>
        <w:rPr>
          <w:lang w:val="fr-FR"/>
        </w:rPr>
        <w:t> </w:t>
      </w:r>
      <w:r w:rsidRPr="0013314E">
        <w:rPr>
          <w:lang w:val="fr-FR"/>
        </w:rPr>
        <w:t>1 et 3) et 18 (par</w:t>
      </w:r>
      <w:r w:rsidRPr="00413478">
        <w:rPr>
          <w:lang w:val="fr-FR"/>
        </w:rPr>
        <w:t>.</w:t>
      </w:r>
      <w:r>
        <w:rPr>
          <w:lang w:val="fr-FR"/>
        </w:rPr>
        <w:t> </w:t>
      </w:r>
      <w:r w:rsidRPr="0013314E">
        <w:rPr>
          <w:lang w:val="fr-FR"/>
        </w:rPr>
        <w:t>1 et 3) du Pacte</w:t>
      </w:r>
      <w:r w:rsidRPr="00413478">
        <w:rPr>
          <w:lang w:val="fr-FR"/>
        </w:rPr>
        <w:t>.</w:t>
      </w:r>
      <w:r w:rsidRPr="0013314E">
        <w:rPr>
          <w:lang w:val="fr-FR"/>
        </w:rPr>
        <w:t xml:space="preserve"> En ce qui concerne l</w:t>
      </w:r>
      <w:r>
        <w:rPr>
          <w:lang w:val="fr-FR"/>
        </w:rPr>
        <w:t>’</w:t>
      </w:r>
      <w:r w:rsidRPr="0013314E">
        <w:rPr>
          <w:lang w:val="fr-FR"/>
        </w:rPr>
        <w:t>article</w:t>
      </w:r>
      <w:r>
        <w:rPr>
          <w:lang w:val="fr-FR"/>
        </w:rPr>
        <w:t> </w:t>
      </w:r>
      <w:r w:rsidRPr="0013314E">
        <w:rPr>
          <w:lang w:val="fr-FR"/>
        </w:rPr>
        <w:t>9 (par</w:t>
      </w:r>
      <w:r w:rsidRPr="00413478">
        <w:rPr>
          <w:lang w:val="fr-FR"/>
        </w:rPr>
        <w:t>.</w:t>
      </w:r>
      <w:r>
        <w:rPr>
          <w:lang w:val="fr-FR"/>
        </w:rPr>
        <w:t> </w:t>
      </w:r>
      <w:r w:rsidRPr="0013314E">
        <w:rPr>
          <w:lang w:val="fr-FR"/>
        </w:rPr>
        <w:t>1) du Pacte, l</w:t>
      </w:r>
      <w:r>
        <w:rPr>
          <w:lang w:val="fr-FR"/>
        </w:rPr>
        <w:t>’</w:t>
      </w:r>
      <w:r w:rsidRPr="0013314E">
        <w:rPr>
          <w:lang w:val="fr-FR"/>
        </w:rPr>
        <w:t>auteur a été appréhendé à son domicile par un fonctionnaire du Bureau du Procureur, le 2</w:t>
      </w:r>
      <w:r>
        <w:rPr>
          <w:lang w:val="fr-FR"/>
        </w:rPr>
        <w:t> </w:t>
      </w:r>
      <w:r w:rsidRPr="0013314E">
        <w:rPr>
          <w:lang w:val="fr-FR"/>
        </w:rPr>
        <w:t xml:space="preserve">janvier 2018, puis arrêté et placé en détention provisoire de manière arbitraire </w:t>
      </w:r>
      <w:r>
        <w:rPr>
          <w:lang w:val="fr-FR"/>
        </w:rPr>
        <w:t>au seul motif</w:t>
      </w:r>
      <w:r w:rsidRPr="0013314E">
        <w:rPr>
          <w:lang w:val="fr-FR"/>
        </w:rPr>
        <w:t xml:space="preserve"> de son objection de conscience au service militaire obligatoire</w:t>
      </w:r>
      <w:r>
        <w:rPr>
          <w:lang w:val="fr-FR"/>
        </w:rPr>
        <w:t xml:space="preserve">, qui était </w:t>
      </w:r>
      <w:r w:rsidRPr="0013314E">
        <w:rPr>
          <w:lang w:val="fr-FR"/>
        </w:rPr>
        <w:t xml:space="preserve">fondée sur </w:t>
      </w:r>
      <w:r>
        <w:rPr>
          <w:lang w:val="fr-FR"/>
        </w:rPr>
        <w:t>s</w:t>
      </w:r>
      <w:r w:rsidRPr="0013314E">
        <w:rPr>
          <w:lang w:val="fr-FR"/>
        </w:rPr>
        <w:t>es convictions religieuses sincères de Témoin de Jéhovah</w:t>
      </w:r>
      <w:r w:rsidRPr="00413478">
        <w:rPr>
          <w:lang w:val="fr-FR"/>
        </w:rPr>
        <w:t>.</w:t>
      </w:r>
      <w:r w:rsidRPr="0013314E">
        <w:rPr>
          <w:lang w:val="fr-FR"/>
        </w:rPr>
        <w:t xml:space="preserve"> L</w:t>
      </w:r>
      <w:r>
        <w:rPr>
          <w:lang w:val="fr-FR"/>
        </w:rPr>
        <w:t>’</w:t>
      </w:r>
      <w:r w:rsidRPr="0013314E">
        <w:rPr>
          <w:lang w:val="fr-FR"/>
        </w:rPr>
        <w:t xml:space="preserve">arrestation </w:t>
      </w:r>
      <w:r>
        <w:rPr>
          <w:lang w:val="fr-FR"/>
        </w:rPr>
        <w:t>n’</w:t>
      </w:r>
      <w:r w:rsidRPr="0013314E">
        <w:rPr>
          <w:lang w:val="fr-FR"/>
        </w:rPr>
        <w:t>était</w:t>
      </w:r>
      <w:r>
        <w:rPr>
          <w:lang w:val="fr-FR"/>
        </w:rPr>
        <w:t xml:space="preserve"> donc</w:t>
      </w:r>
      <w:r w:rsidRPr="0013314E">
        <w:rPr>
          <w:lang w:val="fr-FR"/>
        </w:rPr>
        <w:t xml:space="preserve"> </w:t>
      </w:r>
      <w:r>
        <w:rPr>
          <w:lang w:val="fr-FR"/>
        </w:rPr>
        <w:t>pas justifiable</w:t>
      </w:r>
      <w:r w:rsidRPr="00413478">
        <w:rPr>
          <w:lang w:val="fr-FR"/>
        </w:rPr>
        <w:t>.</w:t>
      </w:r>
      <w:r w:rsidRPr="0013314E">
        <w:rPr>
          <w:lang w:val="fr-FR"/>
        </w:rPr>
        <w:t xml:space="preserve"> Le Comité a </w:t>
      </w:r>
      <w:r>
        <w:rPr>
          <w:lang w:val="fr-FR"/>
        </w:rPr>
        <w:t xml:space="preserve">précédemment </w:t>
      </w:r>
      <w:r w:rsidRPr="0013314E">
        <w:rPr>
          <w:lang w:val="fr-FR"/>
        </w:rPr>
        <w:t>estimé que l</w:t>
      </w:r>
      <w:r>
        <w:rPr>
          <w:lang w:val="fr-FR"/>
        </w:rPr>
        <w:t>’</w:t>
      </w:r>
      <w:r w:rsidRPr="0013314E">
        <w:rPr>
          <w:lang w:val="fr-FR"/>
        </w:rPr>
        <w:t>incarcération d</w:t>
      </w:r>
      <w:r>
        <w:rPr>
          <w:lang w:val="fr-FR"/>
        </w:rPr>
        <w:t>’</w:t>
      </w:r>
      <w:r w:rsidRPr="0013314E">
        <w:rPr>
          <w:lang w:val="fr-FR"/>
        </w:rPr>
        <w:t>un objecteur de conscience qui refus</w:t>
      </w:r>
      <w:r>
        <w:rPr>
          <w:lang w:val="fr-FR"/>
        </w:rPr>
        <w:t>ait</w:t>
      </w:r>
      <w:r w:rsidRPr="0013314E">
        <w:rPr>
          <w:lang w:val="fr-FR"/>
        </w:rPr>
        <w:t xml:space="preserve"> d</w:t>
      </w:r>
      <w:r>
        <w:rPr>
          <w:lang w:val="fr-FR"/>
        </w:rPr>
        <w:t>’effectuer son</w:t>
      </w:r>
      <w:r w:rsidRPr="0013314E">
        <w:rPr>
          <w:lang w:val="fr-FR"/>
        </w:rPr>
        <w:t xml:space="preserve"> service militaire pour des motifs religieux constituait une violation de l</w:t>
      </w:r>
      <w:r>
        <w:rPr>
          <w:lang w:val="fr-FR"/>
        </w:rPr>
        <w:t>’</w:t>
      </w:r>
      <w:r w:rsidRPr="0013314E">
        <w:rPr>
          <w:lang w:val="fr-FR"/>
        </w:rPr>
        <w:t>article 9 du Pacte</w:t>
      </w:r>
      <w:r w:rsidRPr="00901F87">
        <w:rPr>
          <w:rStyle w:val="Appelnotedebasdep"/>
        </w:rPr>
        <w:footnoteReference w:id="6"/>
      </w:r>
      <w:r w:rsidRPr="00413478">
        <w:rPr>
          <w:lang w:val="fr-FR"/>
        </w:rPr>
        <w:t>.</w:t>
      </w:r>
      <w:r w:rsidRPr="0013314E">
        <w:rPr>
          <w:lang w:val="fr-FR"/>
        </w:rPr>
        <w:t xml:space="preserve"> En effet, il ressort de la jurisprudence bien établie du Comité que l</w:t>
      </w:r>
      <w:r>
        <w:rPr>
          <w:lang w:val="fr-FR"/>
        </w:rPr>
        <w:t>’</w:t>
      </w:r>
      <w:r w:rsidRPr="0013314E">
        <w:rPr>
          <w:lang w:val="fr-FR"/>
        </w:rPr>
        <w:t>article 18 «</w:t>
      </w:r>
      <w:r>
        <w:rPr>
          <w:lang w:val="fr-FR"/>
        </w:rPr>
        <w:t> </w:t>
      </w:r>
      <w:r w:rsidRPr="0013314E">
        <w:rPr>
          <w:lang w:val="fr-FR"/>
        </w:rPr>
        <w:t>permet à tout individu d</w:t>
      </w:r>
      <w:r>
        <w:rPr>
          <w:lang w:val="fr-FR"/>
        </w:rPr>
        <w:t>’</w:t>
      </w:r>
      <w:r w:rsidRPr="0013314E">
        <w:rPr>
          <w:lang w:val="fr-FR"/>
        </w:rPr>
        <w:t>être exempté du service militaire obligatoire si un tel service ne peut pas être concilié avec sa religion ou ses convictions</w:t>
      </w:r>
      <w:r w:rsidRPr="00413478">
        <w:rPr>
          <w:lang w:val="fr-FR"/>
        </w:rPr>
        <w:t>.</w:t>
      </w:r>
      <w:r w:rsidRPr="0013314E">
        <w:rPr>
          <w:lang w:val="fr-FR"/>
        </w:rPr>
        <w:t xml:space="preserve"> L</w:t>
      </w:r>
      <w:r>
        <w:rPr>
          <w:lang w:val="fr-FR"/>
        </w:rPr>
        <w:t>’</w:t>
      </w:r>
      <w:r w:rsidRPr="0013314E">
        <w:rPr>
          <w:lang w:val="fr-FR"/>
        </w:rPr>
        <w:t>exercice de ce droit ne doit pas être entravé par des mesures coercitives</w:t>
      </w:r>
      <w:r w:rsidRPr="00901F87">
        <w:rPr>
          <w:rStyle w:val="Appelnotedebasdep"/>
        </w:rPr>
        <w:footnoteReference w:id="7"/>
      </w:r>
      <w:r>
        <w:rPr>
          <w:lang w:val="fr-FR"/>
        </w:rPr>
        <w:t> »</w:t>
      </w:r>
      <w:r w:rsidRPr="00413478">
        <w:rPr>
          <w:lang w:val="fr-FR"/>
        </w:rPr>
        <w:t>.</w:t>
      </w:r>
      <w:r w:rsidRPr="0013314E">
        <w:rPr>
          <w:lang w:val="fr-FR"/>
        </w:rPr>
        <w:t xml:space="preserve"> L</w:t>
      </w:r>
      <w:r>
        <w:rPr>
          <w:lang w:val="fr-FR"/>
        </w:rPr>
        <w:t>’</w:t>
      </w:r>
      <w:r w:rsidRPr="0013314E">
        <w:rPr>
          <w:lang w:val="fr-FR"/>
        </w:rPr>
        <w:t>auteur s</w:t>
      </w:r>
      <w:r>
        <w:rPr>
          <w:lang w:val="fr-FR"/>
        </w:rPr>
        <w:t>’</w:t>
      </w:r>
      <w:r w:rsidRPr="0013314E">
        <w:rPr>
          <w:lang w:val="fr-FR"/>
        </w:rPr>
        <w:t xml:space="preserve">appuie </w:t>
      </w:r>
      <w:r w:rsidRPr="0013314E">
        <w:rPr>
          <w:i/>
          <w:iCs/>
          <w:lang w:val="fr-FR"/>
        </w:rPr>
        <w:t>mutatis mutandis</w:t>
      </w:r>
      <w:r w:rsidRPr="0013314E">
        <w:rPr>
          <w:lang w:val="fr-FR"/>
        </w:rPr>
        <w:t xml:space="preserve"> sur les arguments </w:t>
      </w:r>
      <w:r>
        <w:rPr>
          <w:lang w:val="fr-FR"/>
        </w:rPr>
        <w:t>ci-après, soulevés au titre de</w:t>
      </w:r>
      <w:r w:rsidRPr="0013314E">
        <w:rPr>
          <w:lang w:val="fr-FR"/>
        </w:rPr>
        <w:t xml:space="preserve"> l</w:t>
      </w:r>
      <w:r>
        <w:rPr>
          <w:lang w:val="fr-FR"/>
        </w:rPr>
        <w:t>’</w:t>
      </w:r>
      <w:r w:rsidRPr="0013314E">
        <w:rPr>
          <w:lang w:val="fr-FR"/>
        </w:rPr>
        <w:t>article</w:t>
      </w:r>
      <w:r>
        <w:rPr>
          <w:lang w:val="fr-FR"/>
        </w:rPr>
        <w:t> </w:t>
      </w:r>
      <w:r w:rsidRPr="0013314E">
        <w:rPr>
          <w:lang w:val="fr-FR"/>
        </w:rPr>
        <w:t>18 du Pacte</w:t>
      </w:r>
      <w:r w:rsidRPr="00413478">
        <w:rPr>
          <w:lang w:val="fr-FR"/>
        </w:rPr>
        <w:t>.</w:t>
      </w:r>
    </w:p>
    <w:p w14:paraId="5EF75974" w14:textId="77777777" w:rsidR="00142598" w:rsidRPr="00054C58" w:rsidRDefault="00142598" w:rsidP="00142598">
      <w:pPr>
        <w:pStyle w:val="SingleTxtG"/>
      </w:pPr>
      <w:r w:rsidRPr="0092455A">
        <w:rPr>
          <w:lang w:val="fr-FR"/>
        </w:rPr>
        <w:t>3</w:t>
      </w:r>
      <w:r w:rsidRPr="00413478">
        <w:rPr>
          <w:lang w:val="fr-FR"/>
        </w:rPr>
        <w:t>.</w:t>
      </w:r>
      <w:r w:rsidRPr="0092455A">
        <w:rPr>
          <w:lang w:val="fr-FR"/>
        </w:rPr>
        <w:t>2</w:t>
      </w:r>
      <w:r w:rsidRPr="0092455A">
        <w:rPr>
          <w:lang w:val="fr-FR"/>
        </w:rPr>
        <w:tab/>
        <w:t>L</w:t>
      </w:r>
      <w:r>
        <w:rPr>
          <w:lang w:val="fr-FR"/>
        </w:rPr>
        <w:t>’</w:t>
      </w:r>
      <w:r w:rsidRPr="0092455A">
        <w:rPr>
          <w:lang w:val="fr-FR"/>
        </w:rPr>
        <w:t>auteur a été arbitrairement placé en garde à vue du 2 au 17 janvier 2018, en violation de l</w:t>
      </w:r>
      <w:r>
        <w:rPr>
          <w:lang w:val="fr-FR"/>
        </w:rPr>
        <w:t>’</w:t>
      </w:r>
      <w:r w:rsidRPr="0092455A">
        <w:rPr>
          <w:lang w:val="fr-FR"/>
        </w:rPr>
        <w:t>article</w:t>
      </w:r>
      <w:r>
        <w:rPr>
          <w:lang w:val="fr-FR"/>
        </w:rPr>
        <w:t> </w:t>
      </w:r>
      <w:r w:rsidRPr="0092455A">
        <w:rPr>
          <w:lang w:val="fr-FR"/>
        </w:rPr>
        <w:t>9 (par</w:t>
      </w:r>
      <w:r w:rsidRPr="00413478">
        <w:rPr>
          <w:lang w:val="fr-FR"/>
        </w:rPr>
        <w:t>.</w:t>
      </w:r>
      <w:r>
        <w:rPr>
          <w:lang w:val="fr-FR"/>
        </w:rPr>
        <w:t> </w:t>
      </w:r>
      <w:r w:rsidRPr="0092455A">
        <w:rPr>
          <w:lang w:val="fr-FR"/>
        </w:rPr>
        <w:t>3) du Pacte</w:t>
      </w:r>
      <w:r w:rsidRPr="00413478">
        <w:rPr>
          <w:lang w:val="fr-FR"/>
        </w:rPr>
        <w:t>.</w:t>
      </w:r>
      <w:r w:rsidRPr="0092455A">
        <w:rPr>
          <w:lang w:val="fr-FR"/>
        </w:rPr>
        <w:t xml:space="preserve"> L</w:t>
      </w:r>
      <w:r>
        <w:rPr>
          <w:lang w:val="fr-FR"/>
        </w:rPr>
        <w:t>’</w:t>
      </w:r>
      <w:r w:rsidRPr="0092455A">
        <w:rPr>
          <w:lang w:val="fr-FR"/>
        </w:rPr>
        <w:t>incarcération d</w:t>
      </w:r>
      <w:r>
        <w:rPr>
          <w:lang w:val="fr-FR"/>
        </w:rPr>
        <w:t>’</w:t>
      </w:r>
      <w:r w:rsidRPr="0092455A">
        <w:rPr>
          <w:lang w:val="fr-FR"/>
        </w:rPr>
        <w:t>un objecteur de conscience qui refuse d</w:t>
      </w:r>
      <w:r>
        <w:rPr>
          <w:lang w:val="fr-FR"/>
        </w:rPr>
        <w:t>’</w:t>
      </w:r>
      <w:r w:rsidRPr="0092455A">
        <w:rPr>
          <w:lang w:val="fr-FR"/>
        </w:rPr>
        <w:t>effectuer son service militaire pour des motifs religieux constitue une violation de l</w:t>
      </w:r>
      <w:r>
        <w:rPr>
          <w:lang w:val="fr-FR"/>
        </w:rPr>
        <w:t>’</w:t>
      </w:r>
      <w:r w:rsidRPr="0092455A">
        <w:rPr>
          <w:lang w:val="fr-FR"/>
        </w:rPr>
        <w:t>article</w:t>
      </w:r>
      <w:r>
        <w:rPr>
          <w:lang w:val="fr-FR"/>
        </w:rPr>
        <w:t> </w:t>
      </w:r>
      <w:r w:rsidRPr="0092455A">
        <w:rPr>
          <w:lang w:val="fr-FR"/>
        </w:rPr>
        <w:t>9 du Pacte</w:t>
      </w:r>
      <w:r w:rsidRPr="00413478">
        <w:rPr>
          <w:lang w:val="fr-FR"/>
        </w:rPr>
        <w:t>.</w:t>
      </w:r>
      <w:r w:rsidRPr="0092455A">
        <w:rPr>
          <w:lang w:val="fr-FR"/>
        </w:rPr>
        <w:t xml:space="preserve"> Le Bureau du Procureur n</w:t>
      </w:r>
      <w:r>
        <w:rPr>
          <w:lang w:val="fr-FR"/>
        </w:rPr>
        <w:t>’</w:t>
      </w:r>
      <w:r w:rsidRPr="0092455A">
        <w:rPr>
          <w:lang w:val="fr-FR"/>
        </w:rPr>
        <w:t>a aucun</w:t>
      </w:r>
      <w:r>
        <w:rPr>
          <w:lang w:val="fr-FR"/>
        </w:rPr>
        <w:t>ement</w:t>
      </w:r>
      <w:r w:rsidRPr="0092455A">
        <w:rPr>
          <w:lang w:val="fr-FR"/>
        </w:rPr>
        <w:t xml:space="preserve"> justifi</w:t>
      </w:r>
      <w:r>
        <w:rPr>
          <w:lang w:val="fr-FR"/>
        </w:rPr>
        <w:t>é</w:t>
      </w:r>
      <w:r w:rsidRPr="0092455A">
        <w:rPr>
          <w:lang w:val="fr-FR"/>
        </w:rPr>
        <w:t xml:space="preserve"> la détention provisoire de l</w:t>
      </w:r>
      <w:r>
        <w:rPr>
          <w:lang w:val="fr-FR"/>
        </w:rPr>
        <w:t>’</w:t>
      </w:r>
      <w:r w:rsidRPr="0092455A">
        <w:rPr>
          <w:lang w:val="fr-FR"/>
        </w:rPr>
        <w:t>auteur</w:t>
      </w:r>
      <w:r w:rsidRPr="00413478">
        <w:rPr>
          <w:lang w:val="fr-FR"/>
        </w:rPr>
        <w:t>.</w:t>
      </w:r>
      <w:r w:rsidRPr="0092455A">
        <w:rPr>
          <w:lang w:val="fr-FR"/>
        </w:rPr>
        <w:t xml:space="preserve"> Le Comité a considéré que </w:t>
      </w:r>
      <w:r>
        <w:rPr>
          <w:lang w:val="fr-FR"/>
        </w:rPr>
        <w:t>« </w:t>
      </w:r>
      <w:r w:rsidRPr="0092455A">
        <w:rPr>
          <w:lang w:val="fr-FR"/>
        </w:rPr>
        <w:t xml:space="preserve">la détention avant jugement </w:t>
      </w:r>
      <w:r>
        <w:rPr>
          <w:lang w:val="fr-FR"/>
        </w:rPr>
        <w:t>[</w:t>
      </w:r>
      <w:r w:rsidRPr="0092455A">
        <w:rPr>
          <w:lang w:val="fr-FR"/>
        </w:rPr>
        <w:t>devait</w:t>
      </w:r>
      <w:r>
        <w:rPr>
          <w:lang w:val="fr-FR"/>
        </w:rPr>
        <w:t>]</w:t>
      </w:r>
      <w:r w:rsidRPr="0092455A">
        <w:rPr>
          <w:lang w:val="fr-FR"/>
        </w:rPr>
        <w:t xml:space="preserve"> être l</w:t>
      </w:r>
      <w:r>
        <w:rPr>
          <w:lang w:val="fr-FR"/>
        </w:rPr>
        <w:t>’</w:t>
      </w:r>
      <w:r w:rsidRPr="0092455A">
        <w:rPr>
          <w:lang w:val="fr-FR"/>
        </w:rPr>
        <w:t xml:space="preserve">exception et que la libération sous caution </w:t>
      </w:r>
      <w:r>
        <w:rPr>
          <w:lang w:val="fr-FR"/>
        </w:rPr>
        <w:t>[</w:t>
      </w:r>
      <w:r w:rsidRPr="0092455A">
        <w:rPr>
          <w:lang w:val="fr-FR"/>
        </w:rPr>
        <w:t>devait</w:t>
      </w:r>
      <w:r>
        <w:rPr>
          <w:lang w:val="fr-FR"/>
        </w:rPr>
        <w:t>]</w:t>
      </w:r>
      <w:r w:rsidRPr="0092455A">
        <w:rPr>
          <w:lang w:val="fr-FR"/>
        </w:rPr>
        <w:t xml:space="preserve"> être accordée, sauf dans les cas où le suspect risqu</w:t>
      </w:r>
      <w:r>
        <w:rPr>
          <w:lang w:val="fr-FR"/>
        </w:rPr>
        <w:t>[</w:t>
      </w:r>
      <w:r w:rsidRPr="0092455A">
        <w:rPr>
          <w:lang w:val="fr-FR"/>
        </w:rPr>
        <w:t>ait</w:t>
      </w:r>
      <w:r>
        <w:rPr>
          <w:lang w:val="fr-FR"/>
        </w:rPr>
        <w:t>]</w:t>
      </w:r>
      <w:r w:rsidRPr="0092455A">
        <w:rPr>
          <w:lang w:val="fr-FR"/>
        </w:rPr>
        <w:t xml:space="preserve"> de se cacher ou de détruire des preuves, de faire pression sur les témoins ou de quitter le territoire de l</w:t>
      </w:r>
      <w:r>
        <w:rPr>
          <w:lang w:val="fr-FR"/>
        </w:rPr>
        <w:t>’É</w:t>
      </w:r>
      <w:r w:rsidRPr="0092455A">
        <w:rPr>
          <w:lang w:val="fr-FR"/>
        </w:rPr>
        <w:t>tat partie</w:t>
      </w:r>
      <w:r w:rsidRPr="00901F87">
        <w:rPr>
          <w:rStyle w:val="Appelnotedebasdep"/>
        </w:rPr>
        <w:footnoteReference w:id="8"/>
      </w:r>
      <w:r>
        <w:rPr>
          <w:lang w:val="fr-FR"/>
        </w:rPr>
        <w:t> »</w:t>
      </w:r>
      <w:r w:rsidRPr="00413478">
        <w:rPr>
          <w:lang w:val="fr-FR"/>
        </w:rPr>
        <w:t>.</w:t>
      </w:r>
      <w:r w:rsidRPr="0092455A">
        <w:rPr>
          <w:lang w:val="fr-FR"/>
        </w:rPr>
        <w:t xml:space="preserve"> L</w:t>
      </w:r>
      <w:r>
        <w:rPr>
          <w:lang w:val="fr-FR"/>
        </w:rPr>
        <w:t>’</w:t>
      </w:r>
      <w:r w:rsidRPr="0092455A">
        <w:rPr>
          <w:lang w:val="fr-FR"/>
        </w:rPr>
        <w:t>État partie doit fournir des éléments de preuve établissant que la détention provisoire est nécessaire, car une simple conjecture ne justifie pas de faire exception à l</w:t>
      </w:r>
      <w:r>
        <w:rPr>
          <w:lang w:val="fr-FR"/>
        </w:rPr>
        <w:t>’</w:t>
      </w:r>
      <w:r w:rsidRPr="0092455A">
        <w:rPr>
          <w:lang w:val="fr-FR"/>
        </w:rPr>
        <w:t>article 9 (</w:t>
      </w:r>
      <w:r>
        <w:rPr>
          <w:lang w:val="fr-FR"/>
        </w:rPr>
        <w:t>par. </w:t>
      </w:r>
      <w:r w:rsidRPr="0092455A">
        <w:rPr>
          <w:lang w:val="fr-FR"/>
        </w:rPr>
        <w:t>3) du Pacte</w:t>
      </w:r>
      <w:r w:rsidRPr="00901F87">
        <w:rPr>
          <w:rStyle w:val="Appelnotedebasdep"/>
        </w:rPr>
        <w:footnoteReference w:id="9"/>
      </w:r>
      <w:r w:rsidRPr="00413478">
        <w:rPr>
          <w:lang w:val="fr-FR"/>
        </w:rPr>
        <w:t>.</w:t>
      </w:r>
      <w:r w:rsidRPr="0092455A">
        <w:rPr>
          <w:lang w:val="fr-FR"/>
        </w:rPr>
        <w:t xml:space="preserve"> En l</w:t>
      </w:r>
      <w:r>
        <w:rPr>
          <w:lang w:val="fr-FR"/>
        </w:rPr>
        <w:t>’</w:t>
      </w:r>
      <w:r w:rsidRPr="0092455A">
        <w:rPr>
          <w:lang w:val="fr-FR"/>
        </w:rPr>
        <w:t>espèce, l</w:t>
      </w:r>
      <w:r>
        <w:rPr>
          <w:lang w:val="fr-FR"/>
        </w:rPr>
        <w:t>’</w:t>
      </w:r>
      <w:r w:rsidRPr="0092455A">
        <w:rPr>
          <w:lang w:val="fr-FR"/>
        </w:rPr>
        <w:t>État partie n</w:t>
      </w:r>
      <w:r>
        <w:rPr>
          <w:lang w:val="fr-FR"/>
        </w:rPr>
        <w:t>’</w:t>
      </w:r>
      <w:r w:rsidRPr="0092455A">
        <w:rPr>
          <w:lang w:val="fr-FR"/>
        </w:rPr>
        <w:t>a fourni aucun élément de preuve ni avancé aucun motif visant à démontrer que la détention de l</w:t>
      </w:r>
      <w:r>
        <w:rPr>
          <w:lang w:val="fr-FR"/>
        </w:rPr>
        <w:t>’</w:t>
      </w:r>
      <w:r w:rsidRPr="0092455A">
        <w:rPr>
          <w:lang w:val="fr-FR"/>
        </w:rPr>
        <w:t>auteur était nécessaire</w:t>
      </w:r>
      <w:r w:rsidRPr="00413478">
        <w:rPr>
          <w:lang w:val="fr-FR"/>
        </w:rPr>
        <w:t>.</w:t>
      </w:r>
      <w:r w:rsidRPr="0092455A">
        <w:rPr>
          <w:lang w:val="fr-FR"/>
        </w:rPr>
        <w:t xml:space="preserve"> </w:t>
      </w:r>
      <w:r>
        <w:rPr>
          <w:lang w:val="fr-FR"/>
        </w:rPr>
        <w:t>D’ailleurs</w:t>
      </w:r>
      <w:r w:rsidRPr="0092455A">
        <w:rPr>
          <w:lang w:val="fr-FR"/>
        </w:rPr>
        <w:t xml:space="preserve">, </w:t>
      </w:r>
      <w:r>
        <w:rPr>
          <w:lang w:val="fr-FR"/>
        </w:rPr>
        <w:t xml:space="preserve">il n’existait </w:t>
      </w:r>
      <w:r w:rsidRPr="0092455A">
        <w:rPr>
          <w:lang w:val="fr-FR"/>
        </w:rPr>
        <w:t xml:space="preserve">aucun </w:t>
      </w:r>
      <w:r w:rsidRPr="00C75B1F">
        <w:rPr>
          <w:lang w:val="fr-FR"/>
        </w:rPr>
        <w:t xml:space="preserve">motif </w:t>
      </w:r>
      <w:r>
        <w:rPr>
          <w:lang w:val="fr-FR"/>
        </w:rPr>
        <w:t>de ce type</w:t>
      </w:r>
      <w:r w:rsidRPr="00C75B1F">
        <w:rPr>
          <w:lang w:val="fr-FR"/>
        </w:rPr>
        <w:t>.</w:t>
      </w:r>
    </w:p>
    <w:p w14:paraId="522FAFB3" w14:textId="77777777" w:rsidR="00142598" w:rsidRPr="00054C58" w:rsidRDefault="00142598" w:rsidP="00142598">
      <w:pPr>
        <w:pStyle w:val="SingleTxtG"/>
      </w:pPr>
      <w:r w:rsidRPr="0013314E">
        <w:rPr>
          <w:lang w:val="fr-FR"/>
        </w:rPr>
        <w:t>3</w:t>
      </w:r>
      <w:r w:rsidRPr="00413478">
        <w:rPr>
          <w:lang w:val="fr-FR"/>
        </w:rPr>
        <w:t>.</w:t>
      </w:r>
      <w:r w:rsidRPr="0013314E">
        <w:rPr>
          <w:lang w:val="fr-FR"/>
        </w:rPr>
        <w:t>3</w:t>
      </w:r>
      <w:r w:rsidRPr="0013314E">
        <w:rPr>
          <w:lang w:val="fr-FR"/>
        </w:rPr>
        <w:tab/>
      </w:r>
      <w:r>
        <w:rPr>
          <w:lang w:val="fr-FR"/>
        </w:rPr>
        <w:t>Par ailleurs</w:t>
      </w:r>
      <w:r w:rsidRPr="0013314E">
        <w:rPr>
          <w:lang w:val="fr-FR"/>
        </w:rPr>
        <w:t>, le Comité a affirmé à maintes reprises que le droit à l</w:t>
      </w:r>
      <w:r>
        <w:rPr>
          <w:lang w:val="fr-FR"/>
        </w:rPr>
        <w:t>’</w:t>
      </w:r>
      <w:r w:rsidRPr="0013314E">
        <w:rPr>
          <w:lang w:val="fr-FR"/>
        </w:rPr>
        <w:t>objection de conscience était inhérent aux droits garantis par l</w:t>
      </w:r>
      <w:r>
        <w:rPr>
          <w:lang w:val="fr-FR"/>
        </w:rPr>
        <w:t>’</w:t>
      </w:r>
      <w:r w:rsidRPr="0013314E">
        <w:rPr>
          <w:lang w:val="fr-FR"/>
        </w:rPr>
        <w:t>article</w:t>
      </w:r>
      <w:r>
        <w:rPr>
          <w:lang w:val="fr-FR"/>
        </w:rPr>
        <w:t> </w:t>
      </w:r>
      <w:r w:rsidRPr="0013314E">
        <w:rPr>
          <w:lang w:val="fr-FR"/>
        </w:rPr>
        <w:t>18 (par</w:t>
      </w:r>
      <w:r w:rsidRPr="00413478">
        <w:rPr>
          <w:lang w:val="fr-FR"/>
        </w:rPr>
        <w:t>.</w:t>
      </w:r>
      <w:r>
        <w:rPr>
          <w:lang w:val="fr-FR"/>
        </w:rPr>
        <w:t> </w:t>
      </w:r>
      <w:r w:rsidRPr="0013314E">
        <w:rPr>
          <w:lang w:val="fr-FR"/>
        </w:rPr>
        <w:t xml:space="preserve">1) du Pacte et </w:t>
      </w:r>
      <w:r w:rsidRPr="00D46B45">
        <w:rPr>
          <w:lang w:val="fr-FR"/>
        </w:rPr>
        <w:t>n</w:t>
      </w:r>
      <w:r>
        <w:rPr>
          <w:lang w:val="fr-FR"/>
        </w:rPr>
        <w:t>’</w:t>
      </w:r>
      <w:r w:rsidRPr="00D46B45">
        <w:rPr>
          <w:lang w:val="fr-FR"/>
        </w:rPr>
        <w:t xml:space="preserve">avait pas à être justifié au regard </w:t>
      </w:r>
      <w:r w:rsidRPr="0013314E">
        <w:rPr>
          <w:lang w:val="fr-FR"/>
        </w:rPr>
        <w:t>de l</w:t>
      </w:r>
      <w:r>
        <w:rPr>
          <w:lang w:val="fr-FR"/>
        </w:rPr>
        <w:t>’</w:t>
      </w:r>
      <w:r w:rsidRPr="0013314E">
        <w:rPr>
          <w:lang w:val="fr-FR"/>
        </w:rPr>
        <w:t>article</w:t>
      </w:r>
      <w:r>
        <w:rPr>
          <w:lang w:val="fr-FR"/>
        </w:rPr>
        <w:t> </w:t>
      </w:r>
      <w:r w:rsidRPr="0013314E">
        <w:rPr>
          <w:lang w:val="fr-FR"/>
        </w:rPr>
        <w:t>18</w:t>
      </w:r>
      <w:r>
        <w:rPr>
          <w:lang w:val="fr-FR"/>
        </w:rPr>
        <w:t xml:space="preserve"> </w:t>
      </w:r>
      <w:r w:rsidRPr="0013314E">
        <w:rPr>
          <w:lang w:val="fr-FR"/>
        </w:rPr>
        <w:t>(par</w:t>
      </w:r>
      <w:r w:rsidRPr="00413478">
        <w:rPr>
          <w:lang w:val="fr-FR"/>
        </w:rPr>
        <w:t>.</w:t>
      </w:r>
      <w:r>
        <w:rPr>
          <w:lang w:val="fr-FR"/>
        </w:rPr>
        <w:t> </w:t>
      </w:r>
      <w:r w:rsidRPr="0013314E">
        <w:rPr>
          <w:lang w:val="fr-FR"/>
        </w:rPr>
        <w:t>3) du Pacte</w:t>
      </w:r>
      <w:r w:rsidRPr="00901F87">
        <w:rPr>
          <w:rStyle w:val="Appelnotedebasdep"/>
        </w:rPr>
        <w:footnoteReference w:id="10"/>
      </w:r>
      <w:r w:rsidRPr="00413478">
        <w:rPr>
          <w:lang w:val="fr-FR"/>
        </w:rPr>
        <w:t>.</w:t>
      </w:r>
      <w:r w:rsidRPr="0013314E">
        <w:rPr>
          <w:lang w:val="fr-FR"/>
        </w:rPr>
        <w:t xml:space="preserve"> Dans huit arrêts au moins, la Cour européenne des droits de l</w:t>
      </w:r>
      <w:r>
        <w:rPr>
          <w:lang w:val="fr-FR"/>
        </w:rPr>
        <w:t>’</w:t>
      </w:r>
      <w:r w:rsidRPr="0013314E">
        <w:rPr>
          <w:lang w:val="fr-FR"/>
        </w:rPr>
        <w:t xml:space="preserve">homme a </w:t>
      </w:r>
      <w:r>
        <w:rPr>
          <w:lang w:val="fr-FR"/>
        </w:rPr>
        <w:t>reconnu</w:t>
      </w:r>
      <w:r w:rsidRPr="0013314E">
        <w:rPr>
          <w:lang w:val="fr-FR"/>
        </w:rPr>
        <w:t xml:space="preserve"> le droit des objecteurs de conscience de s</w:t>
      </w:r>
      <w:r>
        <w:rPr>
          <w:lang w:val="fr-FR"/>
        </w:rPr>
        <w:t>’</w:t>
      </w:r>
      <w:r w:rsidRPr="0013314E">
        <w:rPr>
          <w:lang w:val="fr-FR"/>
        </w:rPr>
        <w:t>opposer au service militaire</w:t>
      </w:r>
      <w:r w:rsidRPr="00901F87">
        <w:rPr>
          <w:rStyle w:val="Appelnotedebasdep"/>
        </w:rPr>
        <w:footnoteReference w:id="11"/>
      </w:r>
      <w:r w:rsidRPr="00413478">
        <w:rPr>
          <w:lang w:val="fr-FR"/>
        </w:rPr>
        <w:t>.</w:t>
      </w:r>
    </w:p>
    <w:p w14:paraId="0A7449D6" w14:textId="77777777" w:rsidR="00142598" w:rsidRPr="00054C58" w:rsidRDefault="00142598" w:rsidP="00142598">
      <w:pPr>
        <w:pStyle w:val="SingleTxtG"/>
      </w:pPr>
      <w:r w:rsidRPr="0013314E">
        <w:rPr>
          <w:lang w:val="fr-FR"/>
        </w:rPr>
        <w:t>3</w:t>
      </w:r>
      <w:r w:rsidRPr="00413478">
        <w:rPr>
          <w:lang w:val="fr-FR"/>
        </w:rPr>
        <w:t>.</w:t>
      </w:r>
      <w:r w:rsidRPr="0013314E">
        <w:rPr>
          <w:lang w:val="fr-FR"/>
        </w:rPr>
        <w:t>4</w:t>
      </w:r>
      <w:r w:rsidRPr="0013314E">
        <w:rPr>
          <w:lang w:val="fr-FR"/>
        </w:rPr>
        <w:tab/>
        <w:t>L</w:t>
      </w:r>
      <w:r>
        <w:rPr>
          <w:lang w:val="fr-FR"/>
        </w:rPr>
        <w:t>’</w:t>
      </w:r>
      <w:r w:rsidRPr="0013314E">
        <w:rPr>
          <w:lang w:val="fr-FR"/>
        </w:rPr>
        <w:t>auteur a informé à plusieurs reprises les autorités de l</w:t>
      </w:r>
      <w:r>
        <w:rPr>
          <w:lang w:val="fr-FR"/>
        </w:rPr>
        <w:t>’</w:t>
      </w:r>
      <w:r w:rsidRPr="0013314E">
        <w:rPr>
          <w:lang w:val="fr-FR"/>
        </w:rPr>
        <w:t>État partie qu</w:t>
      </w:r>
      <w:r>
        <w:rPr>
          <w:lang w:val="fr-FR"/>
        </w:rPr>
        <w:t>’</w:t>
      </w:r>
      <w:r w:rsidRPr="0013314E">
        <w:rPr>
          <w:lang w:val="fr-FR"/>
        </w:rPr>
        <w:t>il était disposé à effectuer un véritable service civil de remplacement en lieu et place du service militaire</w:t>
      </w:r>
      <w:r w:rsidRPr="00413478">
        <w:rPr>
          <w:lang w:val="fr-FR"/>
        </w:rPr>
        <w:t>.</w:t>
      </w:r>
      <w:r w:rsidRPr="0013314E">
        <w:rPr>
          <w:lang w:val="fr-FR"/>
        </w:rPr>
        <w:t xml:space="preserve"> Ce</w:t>
      </w:r>
      <w:r>
        <w:rPr>
          <w:lang w:val="fr-FR"/>
        </w:rPr>
        <w:t>tte solution</w:t>
      </w:r>
      <w:r w:rsidRPr="0013314E">
        <w:rPr>
          <w:lang w:val="fr-FR"/>
        </w:rPr>
        <w:t xml:space="preserve"> serait compatible avec ses devoirs civiques, conformément aux décisions rendues par le Comité dans de nombreuses affaires dans lesquelles des objecteurs de conscience ont été poursuivis et déclarés coupables par l</w:t>
      </w:r>
      <w:r>
        <w:rPr>
          <w:lang w:val="fr-FR"/>
        </w:rPr>
        <w:t>’</w:t>
      </w:r>
      <w:r w:rsidRPr="0013314E">
        <w:rPr>
          <w:lang w:val="fr-FR"/>
        </w:rPr>
        <w:t>État partie</w:t>
      </w:r>
      <w:r w:rsidRPr="00901F87">
        <w:rPr>
          <w:rStyle w:val="Appelnotedebasdep"/>
        </w:rPr>
        <w:footnoteReference w:id="12"/>
      </w:r>
      <w:r w:rsidRPr="00413478">
        <w:rPr>
          <w:lang w:val="fr-FR"/>
        </w:rPr>
        <w:t>.</w:t>
      </w:r>
      <w:r w:rsidRPr="0013314E">
        <w:rPr>
          <w:lang w:val="fr-FR"/>
        </w:rPr>
        <w:t xml:space="preserve"> Dans chacune de ces affaires, le Comité a conclu que l</w:t>
      </w:r>
      <w:r>
        <w:rPr>
          <w:lang w:val="fr-FR"/>
        </w:rPr>
        <w:t>’</w:t>
      </w:r>
      <w:r w:rsidRPr="0013314E">
        <w:rPr>
          <w:lang w:val="fr-FR"/>
        </w:rPr>
        <w:t xml:space="preserve">État partie était tenu de veiller à ce que des violations analogues ne se reproduisent pas et </w:t>
      </w:r>
      <w:r>
        <w:rPr>
          <w:lang w:val="fr-FR"/>
        </w:rPr>
        <w:t>devait</w:t>
      </w:r>
      <w:r w:rsidRPr="0013314E">
        <w:rPr>
          <w:lang w:val="fr-FR"/>
        </w:rPr>
        <w:t xml:space="preserve"> </w:t>
      </w:r>
      <w:r>
        <w:rPr>
          <w:lang w:val="fr-FR"/>
        </w:rPr>
        <w:t>réviser</w:t>
      </w:r>
      <w:r w:rsidRPr="0013314E">
        <w:rPr>
          <w:lang w:val="fr-FR"/>
        </w:rPr>
        <w:t xml:space="preserve"> sa législation </w:t>
      </w:r>
      <w:r>
        <w:rPr>
          <w:lang w:val="fr-FR"/>
        </w:rPr>
        <w:t>eu égard à</w:t>
      </w:r>
      <w:r w:rsidRPr="0013314E">
        <w:rPr>
          <w:lang w:val="fr-FR"/>
        </w:rPr>
        <w:t xml:space="preserve"> l</w:t>
      </w:r>
      <w:r>
        <w:rPr>
          <w:lang w:val="fr-FR"/>
        </w:rPr>
        <w:t>’</w:t>
      </w:r>
      <w:r w:rsidRPr="0013314E">
        <w:rPr>
          <w:lang w:val="fr-FR"/>
        </w:rPr>
        <w:t>obligation qui lui incombait au titre de l</w:t>
      </w:r>
      <w:r>
        <w:rPr>
          <w:lang w:val="fr-FR"/>
        </w:rPr>
        <w:t>’</w:t>
      </w:r>
      <w:r w:rsidRPr="0013314E">
        <w:rPr>
          <w:lang w:val="fr-FR"/>
        </w:rPr>
        <w:t>article</w:t>
      </w:r>
      <w:r>
        <w:rPr>
          <w:lang w:val="fr-FR"/>
        </w:rPr>
        <w:t> </w:t>
      </w:r>
      <w:r w:rsidRPr="0013314E">
        <w:rPr>
          <w:lang w:val="fr-FR"/>
        </w:rPr>
        <w:t>2 (</w:t>
      </w:r>
      <w:r>
        <w:rPr>
          <w:lang w:val="fr-FR"/>
        </w:rPr>
        <w:t>par. </w:t>
      </w:r>
      <w:r w:rsidRPr="0013314E">
        <w:rPr>
          <w:lang w:val="fr-FR"/>
        </w:rPr>
        <w:t>2) du Pacte, et en particulier la loi relative au service militaire et aux obligations militaires, modifiée le 25 septembre 2010, afin de garantir le droit à l</w:t>
      </w:r>
      <w:r>
        <w:rPr>
          <w:lang w:val="fr-FR"/>
        </w:rPr>
        <w:t>’</w:t>
      </w:r>
      <w:r w:rsidRPr="0013314E">
        <w:rPr>
          <w:lang w:val="fr-FR"/>
        </w:rPr>
        <w:t xml:space="preserve">objection de conscience consacré </w:t>
      </w:r>
      <w:r>
        <w:rPr>
          <w:lang w:val="fr-FR"/>
        </w:rPr>
        <w:t>par</w:t>
      </w:r>
      <w:r w:rsidRPr="0013314E">
        <w:rPr>
          <w:lang w:val="fr-FR"/>
        </w:rPr>
        <w:t xml:space="preserve"> l</w:t>
      </w:r>
      <w:r>
        <w:rPr>
          <w:lang w:val="fr-FR"/>
        </w:rPr>
        <w:t>’</w:t>
      </w:r>
      <w:r w:rsidRPr="0013314E">
        <w:rPr>
          <w:lang w:val="fr-FR"/>
        </w:rPr>
        <w:t>article 18 (</w:t>
      </w:r>
      <w:r>
        <w:rPr>
          <w:lang w:val="fr-FR"/>
        </w:rPr>
        <w:t>par. </w:t>
      </w:r>
      <w:r w:rsidRPr="0013314E">
        <w:rPr>
          <w:lang w:val="fr-FR"/>
        </w:rPr>
        <w:t>1) du Pacte</w:t>
      </w:r>
      <w:r w:rsidRPr="00413478">
        <w:rPr>
          <w:lang w:val="fr-FR"/>
        </w:rPr>
        <w:t>.</w:t>
      </w:r>
      <w:r w:rsidRPr="0013314E">
        <w:rPr>
          <w:lang w:val="fr-FR"/>
        </w:rPr>
        <w:t xml:space="preserve"> À ce jour, l</w:t>
      </w:r>
      <w:r>
        <w:rPr>
          <w:lang w:val="fr-FR"/>
        </w:rPr>
        <w:t>’</w:t>
      </w:r>
      <w:r w:rsidRPr="0013314E">
        <w:rPr>
          <w:lang w:val="fr-FR"/>
        </w:rPr>
        <w:t>État partie n</w:t>
      </w:r>
      <w:r>
        <w:rPr>
          <w:lang w:val="fr-FR"/>
        </w:rPr>
        <w:t>’</w:t>
      </w:r>
      <w:r w:rsidRPr="0013314E">
        <w:rPr>
          <w:lang w:val="fr-FR"/>
        </w:rPr>
        <w:t>a tenu aucun compte de la requête du Comité</w:t>
      </w:r>
      <w:r w:rsidRPr="00413478">
        <w:rPr>
          <w:lang w:val="fr-FR"/>
        </w:rPr>
        <w:t>.</w:t>
      </w:r>
    </w:p>
    <w:p w14:paraId="2A41481F" w14:textId="405D4D11" w:rsidR="00142598" w:rsidRPr="00054C58" w:rsidRDefault="00142598" w:rsidP="00142598">
      <w:pPr>
        <w:pStyle w:val="SingleTxtG"/>
      </w:pPr>
      <w:r w:rsidRPr="0013314E">
        <w:rPr>
          <w:lang w:val="fr-FR"/>
        </w:rPr>
        <w:lastRenderedPageBreak/>
        <w:t>3</w:t>
      </w:r>
      <w:r w:rsidRPr="00413478">
        <w:rPr>
          <w:lang w:val="fr-FR"/>
        </w:rPr>
        <w:t>.</w:t>
      </w:r>
      <w:r w:rsidRPr="0013314E">
        <w:rPr>
          <w:lang w:val="fr-FR"/>
        </w:rPr>
        <w:t>5</w:t>
      </w:r>
      <w:r w:rsidRPr="0013314E">
        <w:rPr>
          <w:lang w:val="fr-FR"/>
        </w:rPr>
        <w:tab/>
        <w:t>À titre de réparation, l</w:t>
      </w:r>
      <w:r>
        <w:rPr>
          <w:lang w:val="fr-FR"/>
        </w:rPr>
        <w:t>’</w:t>
      </w:r>
      <w:r w:rsidRPr="0013314E">
        <w:rPr>
          <w:lang w:val="fr-FR"/>
        </w:rPr>
        <w:t xml:space="preserve">auteur </w:t>
      </w:r>
      <w:r>
        <w:rPr>
          <w:lang w:val="fr-FR"/>
        </w:rPr>
        <w:t>prie le</w:t>
      </w:r>
      <w:r w:rsidRPr="0013314E">
        <w:rPr>
          <w:lang w:val="fr-FR"/>
        </w:rPr>
        <w:t xml:space="preserve"> Comité de rendre un jugement déclaratoire et de demander à l</w:t>
      </w:r>
      <w:r>
        <w:rPr>
          <w:lang w:val="fr-FR"/>
        </w:rPr>
        <w:t>’</w:t>
      </w:r>
      <w:r w:rsidRPr="0013314E">
        <w:rPr>
          <w:lang w:val="fr-FR"/>
        </w:rPr>
        <w:t>État partie de lever les accusations portées contre lui au titre</w:t>
      </w:r>
      <w:r>
        <w:rPr>
          <w:lang w:val="fr-FR"/>
        </w:rPr>
        <w:t xml:space="preserve"> de</w:t>
      </w:r>
      <w:r w:rsidRPr="0013314E">
        <w:rPr>
          <w:lang w:val="fr-FR"/>
        </w:rPr>
        <w:t xml:space="preserve"> l</w:t>
      </w:r>
      <w:r>
        <w:rPr>
          <w:lang w:val="fr-FR"/>
        </w:rPr>
        <w:t>’</w:t>
      </w:r>
      <w:r w:rsidRPr="0013314E">
        <w:rPr>
          <w:lang w:val="fr-FR"/>
        </w:rPr>
        <w:t>article</w:t>
      </w:r>
      <w:r w:rsidR="00D9258B">
        <w:rPr>
          <w:lang w:val="fr-FR"/>
        </w:rPr>
        <w:t> </w:t>
      </w:r>
      <w:r w:rsidRPr="0013314E">
        <w:rPr>
          <w:lang w:val="fr-FR"/>
        </w:rPr>
        <w:t>219 (</w:t>
      </w:r>
      <w:r>
        <w:rPr>
          <w:lang w:val="fr-FR"/>
        </w:rPr>
        <w:t>par. </w:t>
      </w:r>
      <w:r w:rsidRPr="0013314E">
        <w:rPr>
          <w:lang w:val="fr-FR"/>
        </w:rPr>
        <w:t>1) du Code pénal, d</w:t>
      </w:r>
      <w:r>
        <w:rPr>
          <w:lang w:val="fr-FR"/>
        </w:rPr>
        <w:t>’</w:t>
      </w:r>
      <w:r w:rsidRPr="0013314E">
        <w:rPr>
          <w:lang w:val="fr-FR"/>
        </w:rPr>
        <w:t>effacer son casier judiciaire</w:t>
      </w:r>
      <w:r>
        <w:rPr>
          <w:lang w:val="fr-FR"/>
        </w:rPr>
        <w:t>,</w:t>
      </w:r>
      <w:r w:rsidRPr="0013314E">
        <w:rPr>
          <w:lang w:val="fr-FR"/>
        </w:rPr>
        <w:t xml:space="preserve"> d</w:t>
      </w:r>
      <w:r>
        <w:rPr>
          <w:lang w:val="fr-FR"/>
        </w:rPr>
        <w:t>e l’</w:t>
      </w:r>
      <w:r w:rsidRPr="0013314E">
        <w:rPr>
          <w:lang w:val="fr-FR"/>
        </w:rPr>
        <w:t>indemniser à raison du préjudice moral subi et de lui rembourser les frais de justice engagés</w:t>
      </w:r>
      <w:r w:rsidRPr="00413478">
        <w:rPr>
          <w:lang w:val="fr-FR"/>
        </w:rPr>
        <w:t>.</w:t>
      </w:r>
    </w:p>
    <w:p w14:paraId="25789BA3" w14:textId="77777777" w:rsidR="00142598" w:rsidRPr="00054C58" w:rsidRDefault="00142598" w:rsidP="00142598">
      <w:pPr>
        <w:pStyle w:val="H23G"/>
      </w:pPr>
      <w:r w:rsidRPr="0013314E">
        <w:rPr>
          <w:lang w:val="fr-FR"/>
        </w:rPr>
        <w:tab/>
      </w:r>
      <w:r w:rsidRPr="0013314E">
        <w:rPr>
          <w:lang w:val="fr-FR"/>
        </w:rPr>
        <w:tab/>
        <w:t>Défaut de coopération de l</w:t>
      </w:r>
      <w:r>
        <w:rPr>
          <w:lang w:val="fr-FR"/>
        </w:rPr>
        <w:t>’</w:t>
      </w:r>
      <w:r w:rsidRPr="0013314E">
        <w:rPr>
          <w:lang w:val="fr-FR"/>
        </w:rPr>
        <w:t xml:space="preserve">État partie </w:t>
      </w:r>
    </w:p>
    <w:p w14:paraId="1EF795E8" w14:textId="77777777" w:rsidR="00142598" w:rsidRPr="00054C58" w:rsidRDefault="00142598" w:rsidP="00142598">
      <w:pPr>
        <w:pStyle w:val="SingleTxtG"/>
      </w:pPr>
      <w:r w:rsidRPr="0013314E">
        <w:rPr>
          <w:lang w:val="fr-FR"/>
        </w:rPr>
        <w:t>4</w:t>
      </w:r>
      <w:r w:rsidRPr="0013314E">
        <w:rPr>
          <w:lang w:val="fr-FR"/>
        </w:rPr>
        <w:tab/>
        <w:t>Les 7 décembre 2018, 23 novembre 2020 et 27 janvier 2021, le Comité a prié l</w:t>
      </w:r>
      <w:r>
        <w:rPr>
          <w:lang w:val="fr-FR"/>
        </w:rPr>
        <w:t>’</w:t>
      </w:r>
      <w:r w:rsidRPr="0013314E">
        <w:rPr>
          <w:lang w:val="fr-FR"/>
        </w:rPr>
        <w:t>État partie de présenter des observations détaillées concernant la recevabilité et le fond de la communication</w:t>
      </w:r>
      <w:r w:rsidRPr="00413478">
        <w:rPr>
          <w:lang w:val="fr-FR"/>
        </w:rPr>
        <w:t>.</w:t>
      </w:r>
      <w:r w:rsidRPr="0013314E">
        <w:rPr>
          <w:lang w:val="fr-FR"/>
        </w:rPr>
        <w:t xml:space="preserve"> </w:t>
      </w:r>
      <w:r>
        <w:rPr>
          <w:lang w:val="fr-FR"/>
        </w:rPr>
        <w:t>Il</w:t>
      </w:r>
      <w:r w:rsidRPr="0013314E">
        <w:rPr>
          <w:lang w:val="fr-FR"/>
        </w:rPr>
        <w:t xml:space="preserve"> </w:t>
      </w:r>
      <w:r>
        <w:rPr>
          <w:lang w:val="fr-FR"/>
        </w:rPr>
        <w:t>note</w:t>
      </w:r>
      <w:r w:rsidRPr="0013314E">
        <w:rPr>
          <w:lang w:val="fr-FR"/>
        </w:rPr>
        <w:t xml:space="preserve"> toutefois qu</w:t>
      </w:r>
      <w:r>
        <w:rPr>
          <w:lang w:val="fr-FR"/>
        </w:rPr>
        <w:t>’</w:t>
      </w:r>
      <w:r w:rsidRPr="0013314E">
        <w:rPr>
          <w:lang w:val="fr-FR"/>
        </w:rPr>
        <w:t>à ce jour, il n</w:t>
      </w:r>
      <w:r>
        <w:rPr>
          <w:lang w:val="fr-FR"/>
        </w:rPr>
        <w:t>’</w:t>
      </w:r>
      <w:r w:rsidRPr="0013314E">
        <w:rPr>
          <w:lang w:val="fr-FR"/>
        </w:rPr>
        <w:t>a pas reçu les observations demandées</w:t>
      </w:r>
      <w:r w:rsidRPr="00413478">
        <w:rPr>
          <w:lang w:val="fr-FR"/>
        </w:rPr>
        <w:t>.</w:t>
      </w:r>
      <w:r w:rsidRPr="0013314E">
        <w:rPr>
          <w:lang w:val="fr-FR"/>
        </w:rPr>
        <w:t xml:space="preserve"> Il regrette que l</w:t>
      </w:r>
      <w:r>
        <w:rPr>
          <w:lang w:val="fr-FR"/>
        </w:rPr>
        <w:t>’</w:t>
      </w:r>
      <w:r w:rsidRPr="0013314E">
        <w:rPr>
          <w:lang w:val="fr-FR"/>
        </w:rPr>
        <w:t>État partie n</w:t>
      </w:r>
      <w:r>
        <w:rPr>
          <w:lang w:val="fr-FR"/>
        </w:rPr>
        <w:t>’</w:t>
      </w:r>
      <w:r w:rsidRPr="0013314E">
        <w:rPr>
          <w:lang w:val="fr-FR"/>
        </w:rPr>
        <w:t>ait apporté aucune information sur la recevabilité ou sur le fond des griefs de l</w:t>
      </w:r>
      <w:r>
        <w:rPr>
          <w:lang w:val="fr-FR"/>
        </w:rPr>
        <w:t>’</w:t>
      </w:r>
      <w:r w:rsidRPr="0013314E">
        <w:rPr>
          <w:lang w:val="fr-FR"/>
        </w:rPr>
        <w:t>auteur</w:t>
      </w:r>
      <w:r w:rsidRPr="00413478">
        <w:rPr>
          <w:lang w:val="fr-FR"/>
        </w:rPr>
        <w:t>.</w:t>
      </w:r>
      <w:r w:rsidRPr="0013314E">
        <w:rPr>
          <w:lang w:val="fr-FR"/>
        </w:rPr>
        <w:t xml:space="preserve"> Il rappelle que, conformément à l</w:t>
      </w:r>
      <w:r>
        <w:rPr>
          <w:lang w:val="fr-FR"/>
        </w:rPr>
        <w:t>’</w:t>
      </w:r>
      <w:r w:rsidRPr="0013314E">
        <w:rPr>
          <w:lang w:val="fr-FR"/>
        </w:rPr>
        <w:t>article 4 (par</w:t>
      </w:r>
      <w:r w:rsidRPr="00413478">
        <w:rPr>
          <w:lang w:val="fr-FR"/>
        </w:rPr>
        <w:t>.</w:t>
      </w:r>
      <w:r>
        <w:rPr>
          <w:lang w:val="fr-FR"/>
        </w:rPr>
        <w:t> </w:t>
      </w:r>
      <w:r w:rsidRPr="0013314E">
        <w:rPr>
          <w:lang w:val="fr-FR"/>
        </w:rPr>
        <w:t>2) du Protocole facultatif, l</w:t>
      </w:r>
      <w:r>
        <w:rPr>
          <w:lang w:val="fr-FR"/>
        </w:rPr>
        <w:t>’</w:t>
      </w:r>
      <w:r w:rsidRPr="0013314E">
        <w:rPr>
          <w:lang w:val="fr-FR"/>
        </w:rPr>
        <w:t>État partie est tenu de soumettre par écrit au Comité des explications ou déclarations éclaircissant la question et indiquant, le cas échéant, les mesures prises pour remédier à la situation</w:t>
      </w:r>
      <w:r w:rsidRPr="00413478">
        <w:rPr>
          <w:lang w:val="fr-FR"/>
        </w:rPr>
        <w:t>.</w:t>
      </w:r>
      <w:r w:rsidRPr="0013314E">
        <w:rPr>
          <w:lang w:val="fr-FR"/>
        </w:rPr>
        <w:t xml:space="preserve"> En l</w:t>
      </w:r>
      <w:r>
        <w:rPr>
          <w:lang w:val="fr-FR"/>
        </w:rPr>
        <w:t>’</w:t>
      </w:r>
      <w:r w:rsidRPr="0013314E">
        <w:rPr>
          <w:lang w:val="fr-FR"/>
        </w:rPr>
        <w:t>absence de réponse de l</w:t>
      </w:r>
      <w:r>
        <w:rPr>
          <w:lang w:val="fr-FR"/>
        </w:rPr>
        <w:t>’</w:t>
      </w:r>
      <w:r w:rsidRPr="0013314E">
        <w:rPr>
          <w:lang w:val="fr-FR"/>
        </w:rPr>
        <w:t>État partie, il y a lieu d</w:t>
      </w:r>
      <w:r>
        <w:rPr>
          <w:lang w:val="fr-FR"/>
        </w:rPr>
        <w:t>’</w:t>
      </w:r>
      <w:r w:rsidRPr="0013314E">
        <w:rPr>
          <w:lang w:val="fr-FR"/>
        </w:rPr>
        <w:t>accorder le crédit voulu aux allégations de l</w:t>
      </w:r>
      <w:r>
        <w:rPr>
          <w:lang w:val="fr-FR"/>
        </w:rPr>
        <w:t>’</w:t>
      </w:r>
      <w:r w:rsidRPr="0013314E">
        <w:rPr>
          <w:lang w:val="fr-FR"/>
        </w:rPr>
        <w:t>auteur, pour autant que celles-ci aient été suffisamment étayées</w:t>
      </w:r>
      <w:r w:rsidRPr="00901F87">
        <w:rPr>
          <w:rStyle w:val="Appelnotedebasdep"/>
        </w:rPr>
        <w:footnoteReference w:id="13"/>
      </w:r>
      <w:r w:rsidRPr="00413478">
        <w:rPr>
          <w:lang w:val="fr-FR"/>
        </w:rPr>
        <w:t>.</w:t>
      </w:r>
    </w:p>
    <w:p w14:paraId="1B3EA905" w14:textId="77777777" w:rsidR="00142598" w:rsidRPr="00054C58" w:rsidRDefault="00142598" w:rsidP="00142598">
      <w:pPr>
        <w:pStyle w:val="H23G"/>
      </w:pPr>
      <w:r w:rsidRPr="0013314E">
        <w:rPr>
          <w:lang w:val="fr-FR"/>
        </w:rPr>
        <w:tab/>
      </w:r>
      <w:r w:rsidRPr="0013314E">
        <w:rPr>
          <w:lang w:val="fr-FR"/>
        </w:rPr>
        <w:tab/>
        <w:t>Délibérations du Comité</w:t>
      </w:r>
    </w:p>
    <w:p w14:paraId="4DE6E016" w14:textId="77777777" w:rsidR="00142598" w:rsidRPr="00054C58" w:rsidRDefault="00142598" w:rsidP="00142598">
      <w:pPr>
        <w:pStyle w:val="H4G"/>
      </w:pPr>
      <w:r w:rsidRPr="0013314E">
        <w:rPr>
          <w:lang w:val="fr-FR"/>
        </w:rPr>
        <w:tab/>
      </w:r>
      <w:r w:rsidRPr="0013314E">
        <w:rPr>
          <w:lang w:val="fr-FR"/>
        </w:rPr>
        <w:tab/>
        <w:t>Examen de la recevabilité</w:t>
      </w:r>
    </w:p>
    <w:p w14:paraId="2D2F7978" w14:textId="77777777" w:rsidR="00142598" w:rsidRPr="00054C58" w:rsidRDefault="00142598" w:rsidP="00142598">
      <w:pPr>
        <w:pStyle w:val="SingleTxtG"/>
      </w:pPr>
      <w:r w:rsidRPr="0013314E">
        <w:rPr>
          <w:lang w:val="fr-FR"/>
        </w:rPr>
        <w:t>5</w:t>
      </w:r>
      <w:r w:rsidRPr="00413478">
        <w:rPr>
          <w:lang w:val="fr-FR"/>
        </w:rPr>
        <w:t>.</w:t>
      </w:r>
      <w:r w:rsidRPr="0013314E">
        <w:rPr>
          <w:lang w:val="fr-FR"/>
        </w:rPr>
        <w:t>1</w:t>
      </w:r>
      <w:r w:rsidRPr="0013314E">
        <w:rPr>
          <w:lang w:val="fr-FR"/>
        </w:rPr>
        <w:tab/>
        <w:t>Avant d</w:t>
      </w:r>
      <w:r>
        <w:rPr>
          <w:lang w:val="fr-FR"/>
        </w:rPr>
        <w:t>’</w:t>
      </w:r>
      <w:r w:rsidRPr="0013314E">
        <w:rPr>
          <w:lang w:val="fr-FR"/>
        </w:rPr>
        <w:t>examiner tout grief formulé dans une communication, le Comité doit, conformément à l</w:t>
      </w:r>
      <w:r>
        <w:rPr>
          <w:lang w:val="fr-FR"/>
        </w:rPr>
        <w:t>’</w:t>
      </w:r>
      <w:r w:rsidRPr="0013314E">
        <w:rPr>
          <w:lang w:val="fr-FR"/>
        </w:rPr>
        <w:t>article 97 de son règlement intérieur, déterminer si la communication est recevable au regard du Protocole facultatif</w:t>
      </w:r>
      <w:r w:rsidRPr="00413478">
        <w:rPr>
          <w:lang w:val="fr-FR"/>
        </w:rPr>
        <w:t>.</w:t>
      </w:r>
    </w:p>
    <w:p w14:paraId="1153C365" w14:textId="3FA761A7" w:rsidR="00142598" w:rsidRPr="00054C58" w:rsidRDefault="00142598" w:rsidP="00142598">
      <w:pPr>
        <w:pStyle w:val="SingleTxtG"/>
      </w:pPr>
      <w:r w:rsidRPr="0013314E">
        <w:rPr>
          <w:lang w:val="fr-FR"/>
        </w:rPr>
        <w:t>5</w:t>
      </w:r>
      <w:r w:rsidRPr="00413478">
        <w:rPr>
          <w:lang w:val="fr-FR"/>
        </w:rPr>
        <w:t>.</w:t>
      </w:r>
      <w:r w:rsidRPr="0013314E">
        <w:rPr>
          <w:lang w:val="fr-FR"/>
        </w:rPr>
        <w:t>2</w:t>
      </w:r>
      <w:r w:rsidRPr="0013314E">
        <w:rPr>
          <w:lang w:val="fr-FR"/>
        </w:rPr>
        <w:tab/>
        <w:t>Le Comité s</w:t>
      </w:r>
      <w:r>
        <w:rPr>
          <w:lang w:val="fr-FR"/>
        </w:rPr>
        <w:t>’</w:t>
      </w:r>
      <w:r w:rsidRPr="0013314E">
        <w:rPr>
          <w:lang w:val="fr-FR"/>
        </w:rPr>
        <w:t>est assuré, comme il est tenu de le faire conformément à l</w:t>
      </w:r>
      <w:r>
        <w:rPr>
          <w:lang w:val="fr-FR"/>
        </w:rPr>
        <w:t>’</w:t>
      </w:r>
      <w:r w:rsidRPr="0013314E">
        <w:rPr>
          <w:lang w:val="fr-FR"/>
        </w:rPr>
        <w:t>article</w:t>
      </w:r>
      <w:r w:rsidR="00D9258B">
        <w:rPr>
          <w:lang w:val="fr-FR"/>
        </w:rPr>
        <w:t> </w:t>
      </w:r>
      <w:r w:rsidRPr="0013314E">
        <w:rPr>
          <w:lang w:val="fr-FR"/>
        </w:rPr>
        <w:t>5 (par</w:t>
      </w:r>
      <w:r w:rsidRPr="00413478">
        <w:rPr>
          <w:lang w:val="fr-FR"/>
        </w:rPr>
        <w:t>.</w:t>
      </w:r>
      <w:r>
        <w:rPr>
          <w:lang w:val="fr-FR"/>
        </w:rPr>
        <w:t> </w:t>
      </w:r>
      <w:r w:rsidRPr="0013314E">
        <w:rPr>
          <w:lang w:val="fr-FR"/>
        </w:rPr>
        <w:t>2</w:t>
      </w:r>
      <w:r>
        <w:rPr>
          <w:lang w:val="fr-FR"/>
        </w:rPr>
        <w:t> </w:t>
      </w:r>
      <w:r w:rsidRPr="0013314E">
        <w:rPr>
          <w:lang w:val="fr-FR"/>
        </w:rPr>
        <w:t>a)) du Protocole facultatif, que la même question n</w:t>
      </w:r>
      <w:r>
        <w:rPr>
          <w:lang w:val="fr-FR"/>
        </w:rPr>
        <w:t>’</w:t>
      </w:r>
      <w:r w:rsidRPr="0013314E">
        <w:rPr>
          <w:lang w:val="fr-FR"/>
        </w:rPr>
        <w:t>était pas déjà en cours d</w:t>
      </w:r>
      <w:r>
        <w:rPr>
          <w:lang w:val="fr-FR"/>
        </w:rPr>
        <w:t>’</w:t>
      </w:r>
      <w:r w:rsidRPr="0013314E">
        <w:rPr>
          <w:lang w:val="fr-FR"/>
        </w:rPr>
        <w:t>examen devant une autre instance internationale d</w:t>
      </w:r>
      <w:r>
        <w:rPr>
          <w:lang w:val="fr-FR"/>
        </w:rPr>
        <w:t>’</w:t>
      </w:r>
      <w:r w:rsidRPr="0013314E">
        <w:rPr>
          <w:lang w:val="fr-FR"/>
        </w:rPr>
        <w:t>enquête ou de règlement</w:t>
      </w:r>
      <w:r w:rsidRPr="00413478">
        <w:rPr>
          <w:lang w:val="fr-FR"/>
        </w:rPr>
        <w:t>.</w:t>
      </w:r>
    </w:p>
    <w:p w14:paraId="557BA227" w14:textId="77777777" w:rsidR="00142598" w:rsidRPr="00054C58" w:rsidRDefault="00142598" w:rsidP="00142598">
      <w:pPr>
        <w:pStyle w:val="SingleTxtG"/>
      </w:pPr>
      <w:r w:rsidRPr="0013314E">
        <w:rPr>
          <w:lang w:val="fr-FR"/>
        </w:rPr>
        <w:t>5</w:t>
      </w:r>
      <w:r w:rsidRPr="00413478">
        <w:rPr>
          <w:lang w:val="fr-FR"/>
        </w:rPr>
        <w:t>.</w:t>
      </w:r>
      <w:r w:rsidRPr="0013314E">
        <w:rPr>
          <w:lang w:val="fr-FR"/>
        </w:rPr>
        <w:t>3</w:t>
      </w:r>
      <w:r w:rsidRPr="0013314E">
        <w:rPr>
          <w:lang w:val="fr-FR"/>
        </w:rPr>
        <w:tab/>
        <w:t xml:space="preserve">Le Comité </w:t>
      </w:r>
      <w:r w:rsidRPr="001464BA">
        <w:t>note que l</w:t>
      </w:r>
      <w:r>
        <w:t>’</w:t>
      </w:r>
      <w:r w:rsidRPr="001464BA">
        <w:t>auteur dit avoir épuisé tous les recours internes utiles qui lui étaient ouverts</w:t>
      </w:r>
      <w:r>
        <w:rPr>
          <w:lang w:val="fr-FR"/>
        </w:rPr>
        <w:t xml:space="preserve">. </w:t>
      </w:r>
      <w:r>
        <w:t>En l’absence d’objection de l’État partie sur ce point, le Comité considère que les conditions énoncées au paragraphe 2 b) de l’article 5 du Protocole facultatif sont réunies.</w:t>
      </w:r>
    </w:p>
    <w:p w14:paraId="03088F4F" w14:textId="2AAAD4F9" w:rsidR="00142598" w:rsidRPr="00054C58" w:rsidRDefault="00142598" w:rsidP="00142598">
      <w:pPr>
        <w:pStyle w:val="SingleTxtG"/>
      </w:pPr>
      <w:bookmarkStart w:id="0" w:name="_Hlk87598382"/>
      <w:r w:rsidRPr="0013314E">
        <w:rPr>
          <w:lang w:val="fr-FR"/>
        </w:rPr>
        <w:t>5</w:t>
      </w:r>
      <w:r w:rsidRPr="00413478">
        <w:rPr>
          <w:lang w:val="fr-FR"/>
        </w:rPr>
        <w:t>.</w:t>
      </w:r>
      <w:r>
        <w:rPr>
          <w:lang w:val="fr-FR"/>
        </w:rPr>
        <w:t>4</w:t>
      </w:r>
      <w:r w:rsidRPr="0013314E">
        <w:rPr>
          <w:lang w:val="fr-FR"/>
        </w:rPr>
        <w:tab/>
        <w:t>Le Comité considère que l</w:t>
      </w:r>
      <w:r>
        <w:rPr>
          <w:lang w:val="fr-FR"/>
        </w:rPr>
        <w:t>’</w:t>
      </w:r>
      <w:r w:rsidRPr="0013314E">
        <w:rPr>
          <w:lang w:val="fr-FR"/>
        </w:rPr>
        <w:t>auteur a suffisamment étayé, aux fins de la recevabilité, les griefs qu</w:t>
      </w:r>
      <w:r>
        <w:rPr>
          <w:lang w:val="fr-FR"/>
        </w:rPr>
        <w:t>’</w:t>
      </w:r>
      <w:r w:rsidRPr="0013314E">
        <w:rPr>
          <w:lang w:val="fr-FR"/>
        </w:rPr>
        <w:t>il tire des articles 9 (</w:t>
      </w:r>
      <w:r>
        <w:rPr>
          <w:lang w:val="fr-FR"/>
        </w:rPr>
        <w:t>par. </w:t>
      </w:r>
      <w:r w:rsidRPr="0013314E">
        <w:rPr>
          <w:lang w:val="fr-FR"/>
        </w:rPr>
        <w:t xml:space="preserve">1 et 3) </w:t>
      </w:r>
      <w:r w:rsidRPr="003505D8">
        <w:rPr>
          <w:lang w:val="fr-FR"/>
        </w:rPr>
        <w:t>et 18 du</w:t>
      </w:r>
      <w:r w:rsidRPr="0013314E">
        <w:rPr>
          <w:lang w:val="fr-FR"/>
        </w:rPr>
        <w:t xml:space="preserve"> Pacte</w:t>
      </w:r>
      <w:r w:rsidRPr="00413478">
        <w:rPr>
          <w:lang w:val="fr-FR"/>
        </w:rPr>
        <w:t>.</w:t>
      </w:r>
      <w:r w:rsidRPr="0013314E">
        <w:rPr>
          <w:lang w:val="fr-FR"/>
        </w:rPr>
        <w:t xml:space="preserve"> Il déclare donc ces griefs recevables et </w:t>
      </w:r>
      <w:r>
        <w:rPr>
          <w:lang w:val="fr-FR"/>
        </w:rPr>
        <w:t>passe</w:t>
      </w:r>
      <w:r w:rsidRPr="0013314E">
        <w:rPr>
          <w:lang w:val="fr-FR"/>
        </w:rPr>
        <w:t xml:space="preserve"> à leur examen au fond</w:t>
      </w:r>
      <w:r w:rsidRPr="00413478">
        <w:rPr>
          <w:lang w:val="fr-FR"/>
        </w:rPr>
        <w:t>.</w:t>
      </w:r>
    </w:p>
    <w:bookmarkEnd w:id="0"/>
    <w:p w14:paraId="7A6E74B4" w14:textId="77777777" w:rsidR="00142598" w:rsidRPr="00054C58" w:rsidRDefault="00142598" w:rsidP="00142598">
      <w:pPr>
        <w:pStyle w:val="H4G"/>
      </w:pPr>
      <w:r w:rsidRPr="0013314E">
        <w:rPr>
          <w:lang w:val="fr-FR"/>
        </w:rPr>
        <w:tab/>
      </w:r>
      <w:r w:rsidRPr="0013314E">
        <w:rPr>
          <w:lang w:val="fr-FR"/>
        </w:rPr>
        <w:tab/>
        <w:t xml:space="preserve">Examen au fond </w:t>
      </w:r>
    </w:p>
    <w:p w14:paraId="7A8027A2" w14:textId="77777777" w:rsidR="00142598" w:rsidRPr="00054C58" w:rsidRDefault="00142598" w:rsidP="00142598">
      <w:pPr>
        <w:pStyle w:val="SingleTxtG"/>
        <w:rPr>
          <w:bCs/>
          <w:iCs/>
        </w:rPr>
      </w:pPr>
      <w:r w:rsidRPr="0013314E">
        <w:rPr>
          <w:lang w:val="fr-FR"/>
        </w:rPr>
        <w:t>6</w:t>
      </w:r>
      <w:r w:rsidRPr="00413478">
        <w:rPr>
          <w:lang w:val="fr-FR"/>
        </w:rPr>
        <w:t>.</w:t>
      </w:r>
      <w:r w:rsidRPr="0013314E">
        <w:rPr>
          <w:lang w:val="fr-FR"/>
        </w:rPr>
        <w:t>1</w:t>
      </w:r>
      <w:r w:rsidRPr="0013314E">
        <w:rPr>
          <w:lang w:val="fr-FR"/>
        </w:rPr>
        <w:tab/>
        <w:t>Conformément à l</w:t>
      </w:r>
      <w:r>
        <w:rPr>
          <w:lang w:val="fr-FR"/>
        </w:rPr>
        <w:t>’</w:t>
      </w:r>
      <w:r w:rsidRPr="0013314E">
        <w:rPr>
          <w:lang w:val="fr-FR"/>
        </w:rPr>
        <w:t>article 5 (</w:t>
      </w:r>
      <w:r>
        <w:rPr>
          <w:lang w:val="fr-FR"/>
        </w:rPr>
        <w:t>par. </w:t>
      </w:r>
      <w:r w:rsidRPr="0013314E">
        <w:rPr>
          <w:lang w:val="fr-FR"/>
        </w:rPr>
        <w:t>1) du Protocole facultatif, le Comité a examiné la</w:t>
      </w:r>
      <w:r>
        <w:rPr>
          <w:lang w:val="fr-FR"/>
        </w:rPr>
        <w:t xml:space="preserve"> </w:t>
      </w:r>
      <w:r w:rsidRPr="0013314E">
        <w:rPr>
          <w:lang w:val="fr-FR"/>
        </w:rPr>
        <w:t>communication en tenant compte de toutes les informations que lui ont communiquées les parties</w:t>
      </w:r>
      <w:r w:rsidRPr="00413478">
        <w:rPr>
          <w:lang w:val="fr-FR"/>
        </w:rPr>
        <w:t>.</w:t>
      </w:r>
    </w:p>
    <w:p w14:paraId="217D6791" w14:textId="77777777" w:rsidR="00142598" w:rsidRPr="00054C58" w:rsidRDefault="00142598" w:rsidP="00142598">
      <w:pPr>
        <w:pStyle w:val="SingleTxtG"/>
      </w:pPr>
      <w:r w:rsidRPr="0013314E">
        <w:rPr>
          <w:lang w:val="fr-FR"/>
        </w:rPr>
        <w:t>6</w:t>
      </w:r>
      <w:r w:rsidRPr="00413478">
        <w:rPr>
          <w:lang w:val="fr-FR"/>
        </w:rPr>
        <w:t>.</w:t>
      </w:r>
      <w:r w:rsidRPr="0013314E">
        <w:rPr>
          <w:lang w:val="fr-FR"/>
        </w:rPr>
        <w:t>2</w:t>
      </w:r>
      <w:r w:rsidRPr="0013314E">
        <w:rPr>
          <w:lang w:val="fr-FR"/>
        </w:rPr>
        <w:tab/>
        <w:t>Le Comité note que l</w:t>
      </w:r>
      <w:r>
        <w:rPr>
          <w:lang w:val="fr-FR"/>
        </w:rPr>
        <w:t>’</w:t>
      </w:r>
      <w:r w:rsidRPr="0013314E">
        <w:rPr>
          <w:lang w:val="fr-FR"/>
        </w:rPr>
        <w:t>auteur affirme que les droits qu</w:t>
      </w:r>
      <w:r>
        <w:rPr>
          <w:lang w:val="fr-FR"/>
        </w:rPr>
        <w:t>’</w:t>
      </w:r>
      <w:r w:rsidRPr="0013314E">
        <w:rPr>
          <w:lang w:val="fr-FR"/>
        </w:rPr>
        <w:t>il tient de l</w:t>
      </w:r>
      <w:r>
        <w:rPr>
          <w:lang w:val="fr-FR"/>
        </w:rPr>
        <w:t>’</w:t>
      </w:r>
      <w:r w:rsidRPr="0013314E">
        <w:rPr>
          <w:lang w:val="fr-FR"/>
        </w:rPr>
        <w:t>article</w:t>
      </w:r>
      <w:r>
        <w:rPr>
          <w:lang w:val="fr-FR"/>
        </w:rPr>
        <w:t> </w:t>
      </w:r>
      <w:r w:rsidRPr="0013314E">
        <w:rPr>
          <w:lang w:val="fr-FR"/>
        </w:rPr>
        <w:t>18 du Pacte ont été violés du fait de l</w:t>
      </w:r>
      <w:r>
        <w:rPr>
          <w:lang w:val="fr-FR"/>
        </w:rPr>
        <w:t>’</w:t>
      </w:r>
      <w:r w:rsidRPr="0013314E">
        <w:rPr>
          <w:lang w:val="fr-FR"/>
        </w:rPr>
        <w:t>absence, dans l</w:t>
      </w:r>
      <w:r>
        <w:rPr>
          <w:lang w:val="fr-FR"/>
        </w:rPr>
        <w:t>’</w:t>
      </w:r>
      <w:r w:rsidRPr="0013314E">
        <w:rPr>
          <w:lang w:val="fr-FR"/>
        </w:rPr>
        <w:t>État partie, d</w:t>
      </w:r>
      <w:r>
        <w:rPr>
          <w:lang w:val="fr-FR"/>
        </w:rPr>
        <w:t>’</w:t>
      </w:r>
      <w:r w:rsidRPr="0013314E">
        <w:rPr>
          <w:lang w:val="fr-FR"/>
        </w:rPr>
        <w:t xml:space="preserve">un service </w:t>
      </w:r>
      <w:r>
        <w:rPr>
          <w:lang w:val="fr-FR"/>
        </w:rPr>
        <w:t>qui se substitue</w:t>
      </w:r>
      <w:r w:rsidRPr="0013314E">
        <w:rPr>
          <w:lang w:val="fr-FR"/>
        </w:rPr>
        <w:t xml:space="preserve"> au service militaire obligatoire, de sorte que son refus </w:t>
      </w:r>
      <w:r>
        <w:rPr>
          <w:lang w:val="fr-FR"/>
        </w:rPr>
        <w:t>de servir</w:t>
      </w:r>
      <w:r w:rsidRPr="0013314E">
        <w:rPr>
          <w:lang w:val="fr-FR"/>
        </w:rPr>
        <w:t xml:space="preserve"> en raison de ses convictions religieuses lui a valu d</w:t>
      </w:r>
      <w:r>
        <w:rPr>
          <w:lang w:val="fr-FR"/>
        </w:rPr>
        <w:t>’</w:t>
      </w:r>
      <w:r w:rsidRPr="0013314E">
        <w:rPr>
          <w:lang w:val="fr-FR"/>
        </w:rPr>
        <w:t xml:space="preserve">être poursuivi au pénal, reconnu coupable et </w:t>
      </w:r>
      <w:r>
        <w:rPr>
          <w:lang w:val="fr-FR"/>
        </w:rPr>
        <w:t>incarcér</w:t>
      </w:r>
      <w:r w:rsidRPr="0013314E">
        <w:rPr>
          <w:lang w:val="fr-FR"/>
        </w:rPr>
        <w:t>é</w:t>
      </w:r>
      <w:r w:rsidRPr="00413478">
        <w:rPr>
          <w:lang w:val="fr-FR"/>
        </w:rPr>
        <w:t>.</w:t>
      </w:r>
      <w:r w:rsidRPr="0013314E">
        <w:rPr>
          <w:lang w:val="fr-FR"/>
        </w:rPr>
        <w:t xml:space="preserve"> </w:t>
      </w:r>
      <w:r>
        <w:rPr>
          <w:lang w:val="fr-FR"/>
        </w:rPr>
        <w:t>Le Comité</w:t>
      </w:r>
      <w:r w:rsidRPr="0013314E">
        <w:rPr>
          <w:lang w:val="fr-FR"/>
        </w:rPr>
        <w:t xml:space="preserve"> fait observer que, sur le territoire de l</w:t>
      </w:r>
      <w:r>
        <w:rPr>
          <w:lang w:val="fr-FR"/>
        </w:rPr>
        <w:t>’</w:t>
      </w:r>
      <w:r w:rsidRPr="0013314E">
        <w:rPr>
          <w:lang w:val="fr-FR"/>
        </w:rPr>
        <w:t>État partie, le service militaire est obligatoire pour les citoyens de sexe masculin</w:t>
      </w:r>
      <w:r>
        <w:rPr>
          <w:lang w:val="fr-FR"/>
        </w:rPr>
        <w:t>,</w:t>
      </w:r>
      <w:r w:rsidRPr="0013314E">
        <w:rPr>
          <w:lang w:val="fr-FR"/>
        </w:rPr>
        <w:t xml:space="preserve"> et qu</w:t>
      </w:r>
      <w:r>
        <w:rPr>
          <w:lang w:val="fr-FR"/>
        </w:rPr>
        <w:t>’</w:t>
      </w:r>
      <w:r w:rsidRPr="0013314E">
        <w:rPr>
          <w:lang w:val="fr-FR"/>
        </w:rPr>
        <w:t>en l</w:t>
      </w:r>
      <w:r>
        <w:rPr>
          <w:lang w:val="fr-FR"/>
        </w:rPr>
        <w:t>’</w:t>
      </w:r>
      <w:r w:rsidRPr="0013314E">
        <w:rPr>
          <w:lang w:val="fr-FR"/>
        </w:rPr>
        <w:t>absence de motifs légaux d</w:t>
      </w:r>
      <w:r>
        <w:rPr>
          <w:lang w:val="fr-FR"/>
        </w:rPr>
        <w:t>’</w:t>
      </w:r>
      <w:r w:rsidRPr="0013314E">
        <w:rPr>
          <w:lang w:val="fr-FR"/>
        </w:rPr>
        <w:t xml:space="preserve">exemption, la soustraction aux obligations militaires est </w:t>
      </w:r>
      <w:r>
        <w:rPr>
          <w:lang w:val="fr-FR"/>
        </w:rPr>
        <w:t>sanctionnée</w:t>
      </w:r>
      <w:r w:rsidRPr="0013314E">
        <w:rPr>
          <w:lang w:val="fr-FR"/>
        </w:rPr>
        <w:t xml:space="preserve"> par l</w:t>
      </w:r>
      <w:r>
        <w:rPr>
          <w:lang w:val="fr-FR"/>
        </w:rPr>
        <w:t>’</w:t>
      </w:r>
      <w:r w:rsidRPr="0013314E">
        <w:rPr>
          <w:lang w:val="fr-FR"/>
        </w:rPr>
        <w:t>article</w:t>
      </w:r>
      <w:r>
        <w:rPr>
          <w:lang w:val="fr-FR"/>
        </w:rPr>
        <w:t> </w:t>
      </w:r>
      <w:r w:rsidRPr="0013314E">
        <w:rPr>
          <w:lang w:val="fr-FR"/>
        </w:rPr>
        <w:t>219 (par</w:t>
      </w:r>
      <w:r w:rsidRPr="00413478">
        <w:rPr>
          <w:lang w:val="fr-FR"/>
        </w:rPr>
        <w:t>.</w:t>
      </w:r>
      <w:r>
        <w:rPr>
          <w:lang w:val="fr-FR"/>
        </w:rPr>
        <w:t> </w:t>
      </w:r>
      <w:r w:rsidRPr="0013314E">
        <w:rPr>
          <w:lang w:val="fr-FR"/>
        </w:rPr>
        <w:t>1) du Code pénal</w:t>
      </w:r>
      <w:r w:rsidRPr="00413478">
        <w:rPr>
          <w:lang w:val="fr-FR"/>
        </w:rPr>
        <w:t>.</w:t>
      </w:r>
    </w:p>
    <w:p w14:paraId="62FAE6F0" w14:textId="4A56CED1" w:rsidR="00142598" w:rsidRPr="00054C58" w:rsidRDefault="00142598" w:rsidP="00142598">
      <w:pPr>
        <w:pStyle w:val="SingleTxtG"/>
        <w:rPr>
          <w:bCs/>
          <w:iCs/>
        </w:rPr>
      </w:pPr>
      <w:r w:rsidRPr="0013314E">
        <w:rPr>
          <w:lang w:val="fr-FR"/>
        </w:rPr>
        <w:t>6</w:t>
      </w:r>
      <w:r w:rsidRPr="00413478">
        <w:rPr>
          <w:lang w:val="fr-FR"/>
        </w:rPr>
        <w:t>.</w:t>
      </w:r>
      <w:r w:rsidRPr="0013314E">
        <w:rPr>
          <w:lang w:val="fr-FR"/>
        </w:rPr>
        <w:t>3</w:t>
      </w:r>
      <w:r w:rsidRPr="0013314E">
        <w:rPr>
          <w:lang w:val="fr-FR"/>
        </w:rPr>
        <w:tab/>
        <w:t xml:space="preserve">Le Comité rappelle son observation générale </w:t>
      </w:r>
      <w:r w:rsidR="00D9258B" w:rsidRPr="00D9258B">
        <w:rPr>
          <w:rFonts w:eastAsia="MS Mincho"/>
          <w:szCs w:val="22"/>
          <w:lang w:val="fr-FR"/>
        </w:rPr>
        <w:t>n</w:t>
      </w:r>
      <w:r w:rsidR="00D9258B" w:rsidRPr="00D9258B">
        <w:rPr>
          <w:rFonts w:eastAsia="MS Mincho"/>
          <w:szCs w:val="22"/>
          <w:vertAlign w:val="superscript"/>
          <w:lang w:val="fr-FR"/>
        </w:rPr>
        <w:t>o</w:t>
      </w:r>
      <w:r w:rsidR="00D9258B">
        <w:rPr>
          <w:lang w:val="fr-FR"/>
        </w:rPr>
        <w:t> </w:t>
      </w:r>
      <w:r w:rsidRPr="0013314E">
        <w:rPr>
          <w:lang w:val="fr-FR"/>
        </w:rPr>
        <w:t xml:space="preserve">22 (1993) dans laquelle il a dit que le caractère fondamental des libertés consacrées </w:t>
      </w:r>
      <w:r>
        <w:rPr>
          <w:lang w:val="fr-FR"/>
        </w:rPr>
        <w:t>par</w:t>
      </w:r>
      <w:r w:rsidRPr="0013314E">
        <w:rPr>
          <w:lang w:val="fr-FR"/>
        </w:rPr>
        <w:t xml:space="preserve"> l</w:t>
      </w:r>
      <w:r>
        <w:rPr>
          <w:lang w:val="fr-FR"/>
        </w:rPr>
        <w:t>’</w:t>
      </w:r>
      <w:r w:rsidRPr="0013314E">
        <w:rPr>
          <w:lang w:val="fr-FR"/>
        </w:rPr>
        <w:t>article 18 (</w:t>
      </w:r>
      <w:r>
        <w:rPr>
          <w:lang w:val="fr-FR"/>
        </w:rPr>
        <w:t>par. </w:t>
      </w:r>
      <w:r w:rsidRPr="0013314E">
        <w:rPr>
          <w:lang w:val="fr-FR"/>
        </w:rPr>
        <w:t>1) du Pacte était reflété dans le fait que l</w:t>
      </w:r>
      <w:r>
        <w:rPr>
          <w:lang w:val="fr-FR"/>
        </w:rPr>
        <w:t>’</w:t>
      </w:r>
      <w:r w:rsidRPr="0013314E">
        <w:rPr>
          <w:lang w:val="fr-FR"/>
        </w:rPr>
        <w:t>article 4 (</w:t>
      </w:r>
      <w:r>
        <w:rPr>
          <w:lang w:val="fr-FR"/>
        </w:rPr>
        <w:t>par. </w:t>
      </w:r>
      <w:r w:rsidRPr="0013314E">
        <w:rPr>
          <w:lang w:val="fr-FR"/>
        </w:rPr>
        <w:t>2) du Pacte interdi</w:t>
      </w:r>
      <w:r>
        <w:rPr>
          <w:lang w:val="fr-FR"/>
        </w:rPr>
        <w:t>sai</w:t>
      </w:r>
      <w:r w:rsidRPr="0013314E">
        <w:rPr>
          <w:lang w:val="fr-FR"/>
        </w:rPr>
        <w:t>t toute dérogation à l</w:t>
      </w:r>
      <w:r>
        <w:rPr>
          <w:lang w:val="fr-FR"/>
        </w:rPr>
        <w:t>’</w:t>
      </w:r>
      <w:r w:rsidRPr="0013314E">
        <w:rPr>
          <w:lang w:val="fr-FR"/>
        </w:rPr>
        <w:t>article</w:t>
      </w:r>
      <w:r w:rsidR="00D9258B">
        <w:rPr>
          <w:lang w:val="fr-FR"/>
        </w:rPr>
        <w:t> </w:t>
      </w:r>
      <w:r w:rsidRPr="0013314E">
        <w:rPr>
          <w:lang w:val="fr-FR"/>
        </w:rPr>
        <w:t>18, même en cas de danger public exceptionnel</w:t>
      </w:r>
      <w:r>
        <w:rPr>
          <w:lang w:val="fr-FR"/>
        </w:rPr>
        <w:t xml:space="preserve"> (par. 1)</w:t>
      </w:r>
      <w:r w:rsidRPr="00901F87">
        <w:rPr>
          <w:rStyle w:val="Appelnotedebasdep"/>
        </w:rPr>
        <w:footnoteReference w:id="14"/>
      </w:r>
      <w:r w:rsidRPr="00413478">
        <w:rPr>
          <w:lang w:val="fr-FR"/>
        </w:rPr>
        <w:t>.</w:t>
      </w:r>
      <w:r w:rsidRPr="0013314E">
        <w:rPr>
          <w:lang w:val="fr-FR"/>
        </w:rPr>
        <w:t xml:space="preserve"> Il rappelle également qu</w:t>
      </w:r>
      <w:r>
        <w:rPr>
          <w:lang w:val="fr-FR"/>
        </w:rPr>
        <w:t>’</w:t>
      </w:r>
      <w:r w:rsidRPr="0013314E">
        <w:rPr>
          <w:lang w:val="fr-FR"/>
        </w:rPr>
        <w:t>il ressort de sa jurisprudence que, si le Pacte ne mentionne pas expressément le droit à l</w:t>
      </w:r>
      <w:r>
        <w:rPr>
          <w:lang w:val="fr-FR"/>
        </w:rPr>
        <w:t>’</w:t>
      </w:r>
      <w:r w:rsidRPr="0013314E">
        <w:rPr>
          <w:lang w:val="fr-FR"/>
        </w:rPr>
        <w:t xml:space="preserve">objection de </w:t>
      </w:r>
      <w:r w:rsidRPr="0013314E">
        <w:rPr>
          <w:lang w:val="fr-FR"/>
        </w:rPr>
        <w:lastRenderedPageBreak/>
        <w:t>conscience, ce droit se déduit néanmoins de l</w:t>
      </w:r>
      <w:r>
        <w:rPr>
          <w:lang w:val="fr-FR"/>
        </w:rPr>
        <w:t>’</w:t>
      </w:r>
      <w:r w:rsidRPr="0013314E">
        <w:rPr>
          <w:lang w:val="fr-FR"/>
        </w:rPr>
        <w:t>article 18 en ce que l</w:t>
      </w:r>
      <w:r>
        <w:rPr>
          <w:lang w:val="fr-FR"/>
        </w:rPr>
        <w:t>’</w:t>
      </w:r>
      <w:r w:rsidRPr="0013314E">
        <w:rPr>
          <w:lang w:val="fr-FR"/>
        </w:rPr>
        <w:t>obligation d</w:t>
      </w:r>
      <w:r>
        <w:rPr>
          <w:lang w:val="fr-FR"/>
        </w:rPr>
        <w:t>’</w:t>
      </w:r>
      <w:r w:rsidRPr="0013314E">
        <w:rPr>
          <w:lang w:val="fr-FR"/>
        </w:rPr>
        <w:t>utiliser la force meurtrière peut être gravement en conflit avec la liberté de pensée, de conscience et de religion</w:t>
      </w:r>
      <w:r w:rsidRPr="00901F87">
        <w:rPr>
          <w:rStyle w:val="Appelnotedebasdep"/>
        </w:rPr>
        <w:footnoteReference w:id="15"/>
      </w:r>
      <w:r w:rsidRPr="00413478">
        <w:rPr>
          <w:lang w:val="fr-FR"/>
        </w:rPr>
        <w:t>.</w:t>
      </w:r>
      <w:r w:rsidRPr="0013314E">
        <w:rPr>
          <w:lang w:val="fr-FR"/>
        </w:rPr>
        <w:t xml:space="preserve"> Le droit à l</w:t>
      </w:r>
      <w:r>
        <w:rPr>
          <w:lang w:val="fr-FR"/>
        </w:rPr>
        <w:t>’</w:t>
      </w:r>
      <w:r w:rsidRPr="0013314E">
        <w:rPr>
          <w:lang w:val="fr-FR"/>
        </w:rPr>
        <w:t>objection de conscience au service militaire est inhérent au droit à la liberté de pensée, de conscience et de religion</w:t>
      </w:r>
      <w:r w:rsidRPr="00413478">
        <w:rPr>
          <w:lang w:val="fr-FR"/>
        </w:rPr>
        <w:t>.</w:t>
      </w:r>
      <w:r w:rsidRPr="0013314E">
        <w:rPr>
          <w:lang w:val="fr-FR"/>
        </w:rPr>
        <w:t xml:space="preserve"> Il permet à toute personne d</w:t>
      </w:r>
      <w:r>
        <w:rPr>
          <w:lang w:val="fr-FR"/>
        </w:rPr>
        <w:t>’</w:t>
      </w:r>
      <w:r w:rsidRPr="0013314E">
        <w:rPr>
          <w:lang w:val="fr-FR"/>
        </w:rPr>
        <w:t>être exemptée du service militaire obligatoire si celui-ci ne peut être concilié avec sa religion ou ses convictions</w:t>
      </w:r>
      <w:r w:rsidRPr="00413478">
        <w:rPr>
          <w:lang w:val="fr-FR"/>
        </w:rPr>
        <w:t>.</w:t>
      </w:r>
      <w:r w:rsidRPr="0013314E">
        <w:rPr>
          <w:lang w:val="fr-FR"/>
        </w:rPr>
        <w:t xml:space="preserve"> L</w:t>
      </w:r>
      <w:r>
        <w:rPr>
          <w:lang w:val="fr-FR"/>
        </w:rPr>
        <w:t>’</w:t>
      </w:r>
      <w:r w:rsidRPr="0013314E">
        <w:rPr>
          <w:lang w:val="fr-FR"/>
        </w:rPr>
        <w:t>exercice de ce droit ne doit pas être entravé par des mesures coercitives</w:t>
      </w:r>
      <w:r w:rsidRPr="00413478">
        <w:rPr>
          <w:lang w:val="fr-FR"/>
        </w:rPr>
        <w:t>.</w:t>
      </w:r>
      <w:r w:rsidRPr="0013314E">
        <w:rPr>
          <w:lang w:val="fr-FR"/>
        </w:rPr>
        <w:t xml:space="preserve"> Un État peut néanmoins, s</w:t>
      </w:r>
      <w:r>
        <w:rPr>
          <w:lang w:val="fr-FR"/>
        </w:rPr>
        <w:t>’</w:t>
      </w:r>
      <w:r w:rsidRPr="0013314E">
        <w:rPr>
          <w:lang w:val="fr-FR"/>
        </w:rPr>
        <w:t>il le souhaite, obliger l</w:t>
      </w:r>
      <w:r>
        <w:rPr>
          <w:lang w:val="fr-FR"/>
        </w:rPr>
        <w:t>’</w:t>
      </w:r>
      <w:r w:rsidRPr="0013314E">
        <w:rPr>
          <w:lang w:val="fr-FR"/>
        </w:rPr>
        <w:t>objecteur de conscience à effectuer un service de remplacement dans un cadre civil, dans lequel l</w:t>
      </w:r>
      <w:r>
        <w:rPr>
          <w:lang w:val="fr-FR"/>
        </w:rPr>
        <w:t>’</w:t>
      </w:r>
      <w:r w:rsidRPr="0013314E">
        <w:rPr>
          <w:lang w:val="fr-FR"/>
        </w:rPr>
        <w:t>intéressé ne serait pas soumis à l</w:t>
      </w:r>
      <w:r>
        <w:rPr>
          <w:lang w:val="fr-FR"/>
        </w:rPr>
        <w:t>’</w:t>
      </w:r>
      <w:r w:rsidRPr="0013314E">
        <w:rPr>
          <w:lang w:val="fr-FR"/>
        </w:rPr>
        <w:t>autorité militaire</w:t>
      </w:r>
      <w:r w:rsidRPr="00413478">
        <w:rPr>
          <w:lang w:val="fr-FR"/>
        </w:rPr>
        <w:t>.</w:t>
      </w:r>
      <w:r w:rsidRPr="0013314E">
        <w:rPr>
          <w:lang w:val="fr-FR"/>
        </w:rPr>
        <w:t xml:space="preserve"> Le service de remplacement ne doit pas revêtir un caractère punitif</w:t>
      </w:r>
      <w:r w:rsidRPr="00413478">
        <w:rPr>
          <w:lang w:val="fr-FR"/>
        </w:rPr>
        <w:t>.</w:t>
      </w:r>
      <w:r w:rsidRPr="0013314E">
        <w:rPr>
          <w:lang w:val="fr-FR"/>
        </w:rPr>
        <w:t xml:space="preserve"> Il doit présenter un véritable intérêt pour la collectivité et être compatible avec le respect des droits de l</w:t>
      </w:r>
      <w:r>
        <w:rPr>
          <w:lang w:val="fr-FR"/>
        </w:rPr>
        <w:t>’</w:t>
      </w:r>
      <w:r w:rsidRPr="0013314E">
        <w:rPr>
          <w:lang w:val="fr-FR"/>
        </w:rPr>
        <w:t>homme</w:t>
      </w:r>
      <w:r w:rsidRPr="00901F87">
        <w:rPr>
          <w:rStyle w:val="Appelnotedebasdep"/>
        </w:rPr>
        <w:footnoteReference w:id="16"/>
      </w:r>
      <w:r w:rsidRPr="00413478">
        <w:rPr>
          <w:lang w:val="fr-FR"/>
        </w:rPr>
        <w:t>.</w:t>
      </w:r>
    </w:p>
    <w:p w14:paraId="4E7A670B" w14:textId="77777777" w:rsidR="00142598" w:rsidRPr="00054C58" w:rsidRDefault="00142598" w:rsidP="00142598">
      <w:pPr>
        <w:pStyle w:val="SingleTxtG"/>
        <w:rPr>
          <w:bCs/>
          <w:iCs/>
        </w:rPr>
      </w:pPr>
      <w:r w:rsidRPr="0013314E">
        <w:rPr>
          <w:lang w:val="fr-FR"/>
        </w:rPr>
        <w:t>6</w:t>
      </w:r>
      <w:r w:rsidRPr="00413478">
        <w:rPr>
          <w:lang w:val="fr-FR"/>
        </w:rPr>
        <w:t>.</w:t>
      </w:r>
      <w:r w:rsidRPr="0013314E">
        <w:rPr>
          <w:lang w:val="fr-FR"/>
        </w:rPr>
        <w:t>4</w:t>
      </w:r>
      <w:r w:rsidRPr="0013314E">
        <w:rPr>
          <w:lang w:val="fr-FR"/>
        </w:rPr>
        <w:tab/>
        <w:t>En l</w:t>
      </w:r>
      <w:r>
        <w:rPr>
          <w:lang w:val="fr-FR"/>
        </w:rPr>
        <w:t>’</w:t>
      </w:r>
      <w:r w:rsidRPr="0013314E">
        <w:rPr>
          <w:lang w:val="fr-FR"/>
        </w:rPr>
        <w:t>espèce, le Comité note que l</w:t>
      </w:r>
      <w:r>
        <w:rPr>
          <w:lang w:val="fr-FR"/>
        </w:rPr>
        <w:t>’</w:t>
      </w:r>
      <w:r w:rsidRPr="0013314E">
        <w:rPr>
          <w:lang w:val="fr-FR"/>
        </w:rPr>
        <w:t xml:space="preserve">auteur a été condamné à une peine de </w:t>
      </w:r>
      <w:r>
        <w:rPr>
          <w:lang w:val="fr-FR"/>
        </w:rPr>
        <w:t>douze</w:t>
      </w:r>
      <w:r w:rsidRPr="0013314E">
        <w:rPr>
          <w:lang w:val="fr-FR"/>
        </w:rPr>
        <w:t xml:space="preserve"> mois d</w:t>
      </w:r>
      <w:r>
        <w:rPr>
          <w:lang w:val="fr-FR"/>
        </w:rPr>
        <w:t>’</w:t>
      </w:r>
      <w:r w:rsidRPr="0013314E">
        <w:rPr>
          <w:lang w:val="fr-FR"/>
        </w:rPr>
        <w:t xml:space="preserve">emprisonnement, </w:t>
      </w:r>
      <w:r>
        <w:rPr>
          <w:lang w:val="fr-FR"/>
        </w:rPr>
        <w:t>bien</w:t>
      </w:r>
      <w:r w:rsidRPr="0013314E">
        <w:rPr>
          <w:lang w:val="fr-FR"/>
        </w:rPr>
        <w:t xml:space="preserve"> qu</w:t>
      </w:r>
      <w:r>
        <w:rPr>
          <w:lang w:val="fr-FR"/>
        </w:rPr>
        <w:t>’</w:t>
      </w:r>
      <w:r w:rsidRPr="0013314E">
        <w:rPr>
          <w:lang w:val="fr-FR"/>
        </w:rPr>
        <w:t>il ait informé les autorités de l</w:t>
      </w:r>
      <w:r>
        <w:rPr>
          <w:lang w:val="fr-FR"/>
        </w:rPr>
        <w:t>’</w:t>
      </w:r>
      <w:r w:rsidRPr="0013314E">
        <w:rPr>
          <w:lang w:val="fr-FR"/>
        </w:rPr>
        <w:t>État partie de sa volonté d</w:t>
      </w:r>
      <w:r>
        <w:rPr>
          <w:lang w:val="fr-FR"/>
        </w:rPr>
        <w:t>’</w:t>
      </w:r>
      <w:r w:rsidRPr="0013314E">
        <w:rPr>
          <w:lang w:val="fr-FR"/>
        </w:rPr>
        <w:t xml:space="preserve">effectuer un service </w:t>
      </w:r>
      <w:r>
        <w:rPr>
          <w:lang w:val="fr-FR"/>
        </w:rPr>
        <w:t xml:space="preserve">civil </w:t>
      </w:r>
      <w:r w:rsidRPr="0013314E">
        <w:rPr>
          <w:lang w:val="fr-FR"/>
        </w:rPr>
        <w:t>de remplacement</w:t>
      </w:r>
      <w:r w:rsidRPr="00413478">
        <w:rPr>
          <w:lang w:val="fr-FR"/>
        </w:rPr>
        <w:t>.</w:t>
      </w:r>
      <w:r w:rsidRPr="0013314E">
        <w:rPr>
          <w:lang w:val="fr-FR"/>
        </w:rPr>
        <w:t xml:space="preserve"> </w:t>
      </w:r>
      <w:r>
        <w:rPr>
          <w:lang w:val="fr-FR"/>
        </w:rPr>
        <w:t>Il</w:t>
      </w:r>
      <w:r w:rsidRPr="0013314E">
        <w:rPr>
          <w:lang w:val="fr-FR"/>
        </w:rPr>
        <w:t xml:space="preserve"> considère que le refus de l</w:t>
      </w:r>
      <w:r>
        <w:rPr>
          <w:lang w:val="fr-FR"/>
        </w:rPr>
        <w:t>’</w:t>
      </w:r>
      <w:r w:rsidRPr="0013314E">
        <w:rPr>
          <w:lang w:val="fr-FR"/>
        </w:rPr>
        <w:t>auteur d</w:t>
      </w:r>
      <w:r>
        <w:rPr>
          <w:lang w:val="fr-FR"/>
        </w:rPr>
        <w:t>’</w:t>
      </w:r>
      <w:r w:rsidRPr="0013314E">
        <w:rPr>
          <w:lang w:val="fr-FR"/>
        </w:rPr>
        <w:t>être enrôlé aux fins du service militaire obligatoire découle de ses convictions religieuses, dont celui-ci affirme qu</w:t>
      </w:r>
      <w:r>
        <w:rPr>
          <w:lang w:val="fr-FR"/>
        </w:rPr>
        <w:t>’</w:t>
      </w:r>
      <w:r w:rsidRPr="0013314E">
        <w:rPr>
          <w:lang w:val="fr-FR"/>
        </w:rPr>
        <w:t xml:space="preserve">elles </w:t>
      </w:r>
      <w:r>
        <w:rPr>
          <w:lang w:val="fr-FR"/>
        </w:rPr>
        <w:t>sont</w:t>
      </w:r>
      <w:r w:rsidRPr="0013314E">
        <w:rPr>
          <w:lang w:val="fr-FR"/>
        </w:rPr>
        <w:t xml:space="preserve"> sincère</w:t>
      </w:r>
      <w:r>
        <w:rPr>
          <w:lang w:val="fr-FR"/>
        </w:rPr>
        <w:t>s</w:t>
      </w:r>
      <w:r w:rsidRPr="00413478">
        <w:rPr>
          <w:lang w:val="fr-FR"/>
        </w:rPr>
        <w:t>.</w:t>
      </w:r>
      <w:r w:rsidRPr="0013314E">
        <w:rPr>
          <w:lang w:val="fr-FR"/>
        </w:rPr>
        <w:t xml:space="preserve"> Il rappelle que réprimer le refus d</w:t>
      </w:r>
      <w:r>
        <w:rPr>
          <w:lang w:val="fr-FR"/>
        </w:rPr>
        <w:t>’</w:t>
      </w:r>
      <w:r w:rsidRPr="0013314E">
        <w:rPr>
          <w:lang w:val="fr-FR"/>
        </w:rPr>
        <w:t>effectuer le service militaire obligatoire dans le cas de personnes dont la conscience ou la religion interdit l</w:t>
      </w:r>
      <w:r>
        <w:rPr>
          <w:lang w:val="fr-FR"/>
        </w:rPr>
        <w:t>’</w:t>
      </w:r>
      <w:r w:rsidRPr="0013314E">
        <w:rPr>
          <w:lang w:val="fr-FR"/>
        </w:rPr>
        <w:t>usage des armes est incompatible avec l</w:t>
      </w:r>
      <w:r>
        <w:rPr>
          <w:lang w:val="fr-FR"/>
        </w:rPr>
        <w:t>’</w:t>
      </w:r>
      <w:r w:rsidRPr="0013314E">
        <w:rPr>
          <w:lang w:val="fr-FR"/>
        </w:rPr>
        <w:t>article 18 (</w:t>
      </w:r>
      <w:r>
        <w:rPr>
          <w:lang w:val="fr-FR"/>
        </w:rPr>
        <w:t>par. </w:t>
      </w:r>
      <w:r w:rsidRPr="0013314E">
        <w:rPr>
          <w:lang w:val="fr-FR"/>
        </w:rPr>
        <w:t>1) du Pacte</w:t>
      </w:r>
      <w:r w:rsidRPr="00901F87">
        <w:rPr>
          <w:rStyle w:val="Appelnotedebasdep"/>
        </w:rPr>
        <w:footnoteReference w:id="17"/>
      </w:r>
      <w:r w:rsidRPr="00413478">
        <w:rPr>
          <w:lang w:val="fr-FR"/>
        </w:rPr>
        <w:t>.</w:t>
      </w:r>
      <w:r w:rsidRPr="0013314E">
        <w:rPr>
          <w:lang w:val="fr-FR"/>
        </w:rPr>
        <w:t xml:space="preserve"> En conséquence, il considère que le fait que l</w:t>
      </w:r>
      <w:r>
        <w:rPr>
          <w:lang w:val="fr-FR"/>
        </w:rPr>
        <w:t>’</w:t>
      </w:r>
      <w:r w:rsidRPr="0013314E">
        <w:rPr>
          <w:lang w:val="fr-FR"/>
        </w:rPr>
        <w:t>auteur ait été poursuivi, déclaré coupable et incarcéré pour avoir refusé d</w:t>
      </w:r>
      <w:r>
        <w:rPr>
          <w:lang w:val="fr-FR"/>
        </w:rPr>
        <w:t>’</w:t>
      </w:r>
      <w:r w:rsidRPr="0013314E">
        <w:rPr>
          <w:lang w:val="fr-FR"/>
        </w:rPr>
        <w:t xml:space="preserve">effectuer son service militaire en raison de ses convictions religieuses et de son objection de conscience </w:t>
      </w:r>
      <w:r>
        <w:rPr>
          <w:lang w:val="fr-FR"/>
        </w:rPr>
        <w:t xml:space="preserve">a </w:t>
      </w:r>
      <w:r w:rsidRPr="0013314E">
        <w:rPr>
          <w:lang w:val="fr-FR"/>
        </w:rPr>
        <w:t>constitu</w:t>
      </w:r>
      <w:r>
        <w:rPr>
          <w:lang w:val="fr-FR"/>
        </w:rPr>
        <w:t>é</w:t>
      </w:r>
      <w:r w:rsidRPr="0013314E">
        <w:rPr>
          <w:lang w:val="fr-FR"/>
        </w:rPr>
        <w:t xml:space="preserve"> une atteinte à son droit à la liberté de pensée, de conscience et de religion, en violation de l</w:t>
      </w:r>
      <w:r>
        <w:rPr>
          <w:lang w:val="fr-FR"/>
        </w:rPr>
        <w:t>’</w:t>
      </w:r>
      <w:r w:rsidRPr="0013314E">
        <w:rPr>
          <w:lang w:val="fr-FR"/>
        </w:rPr>
        <w:t>article 18 (</w:t>
      </w:r>
      <w:r>
        <w:rPr>
          <w:lang w:val="fr-FR"/>
        </w:rPr>
        <w:t>par. </w:t>
      </w:r>
      <w:r w:rsidRPr="0013314E">
        <w:rPr>
          <w:lang w:val="fr-FR"/>
        </w:rPr>
        <w:t>1) du Pacte</w:t>
      </w:r>
      <w:r w:rsidRPr="00413478">
        <w:rPr>
          <w:lang w:val="fr-FR"/>
        </w:rPr>
        <w:t>.</w:t>
      </w:r>
    </w:p>
    <w:p w14:paraId="48CFF360" w14:textId="2417CE31" w:rsidR="00142598" w:rsidRPr="00054C58" w:rsidRDefault="00142598" w:rsidP="00746214">
      <w:pPr>
        <w:pStyle w:val="SingleTxtG"/>
        <w:spacing w:line="250" w:lineRule="atLeast"/>
      </w:pPr>
      <w:r w:rsidRPr="0013314E">
        <w:rPr>
          <w:lang w:val="fr-FR"/>
        </w:rPr>
        <w:t>6</w:t>
      </w:r>
      <w:r w:rsidRPr="00413478">
        <w:rPr>
          <w:lang w:val="fr-FR"/>
        </w:rPr>
        <w:t>.</w:t>
      </w:r>
      <w:r w:rsidRPr="0013314E">
        <w:rPr>
          <w:lang w:val="fr-FR"/>
        </w:rPr>
        <w:t>5</w:t>
      </w:r>
      <w:r w:rsidRPr="0013314E">
        <w:rPr>
          <w:lang w:val="fr-FR"/>
        </w:rPr>
        <w:tab/>
        <w:t>Le Comité note que l</w:t>
      </w:r>
      <w:r>
        <w:rPr>
          <w:lang w:val="fr-FR"/>
        </w:rPr>
        <w:t>’</w:t>
      </w:r>
      <w:r w:rsidRPr="0013314E">
        <w:rPr>
          <w:lang w:val="fr-FR"/>
        </w:rPr>
        <w:t>auteur affirme que l</w:t>
      </w:r>
      <w:r>
        <w:rPr>
          <w:lang w:val="fr-FR"/>
        </w:rPr>
        <w:t>’</w:t>
      </w:r>
      <w:r w:rsidRPr="0013314E">
        <w:rPr>
          <w:lang w:val="fr-FR"/>
        </w:rPr>
        <w:t>incarcération dont il a fait l</w:t>
      </w:r>
      <w:r>
        <w:rPr>
          <w:lang w:val="fr-FR"/>
        </w:rPr>
        <w:t>’</w:t>
      </w:r>
      <w:r w:rsidRPr="0013314E">
        <w:rPr>
          <w:lang w:val="fr-FR"/>
        </w:rPr>
        <w:t>objet pour avoir refusé d</w:t>
      </w:r>
      <w:r>
        <w:rPr>
          <w:lang w:val="fr-FR"/>
        </w:rPr>
        <w:t>’</w:t>
      </w:r>
      <w:r w:rsidRPr="0013314E">
        <w:rPr>
          <w:lang w:val="fr-FR"/>
        </w:rPr>
        <w:t>effectuer son service militaire constitue une détention arbitraire au regard de l</w:t>
      </w:r>
      <w:r>
        <w:rPr>
          <w:lang w:val="fr-FR"/>
        </w:rPr>
        <w:t>’</w:t>
      </w:r>
      <w:r w:rsidRPr="0013314E">
        <w:rPr>
          <w:lang w:val="fr-FR"/>
        </w:rPr>
        <w:t>article</w:t>
      </w:r>
      <w:r>
        <w:rPr>
          <w:lang w:val="fr-FR"/>
        </w:rPr>
        <w:t> </w:t>
      </w:r>
      <w:r w:rsidRPr="0013314E">
        <w:rPr>
          <w:lang w:val="fr-FR"/>
        </w:rPr>
        <w:t>9 du Pacte</w:t>
      </w:r>
      <w:r>
        <w:rPr>
          <w:lang w:val="fr-FR"/>
        </w:rPr>
        <w:t xml:space="preserve">, qui dispose, en son paragraphe premier, </w:t>
      </w:r>
      <w:r w:rsidRPr="0013314E">
        <w:rPr>
          <w:lang w:val="fr-FR"/>
        </w:rPr>
        <w:t>que nul ne peut faire l</w:t>
      </w:r>
      <w:r>
        <w:rPr>
          <w:lang w:val="fr-FR"/>
        </w:rPr>
        <w:t>’</w:t>
      </w:r>
      <w:r w:rsidRPr="0013314E">
        <w:rPr>
          <w:lang w:val="fr-FR"/>
        </w:rPr>
        <w:t>objet d</w:t>
      </w:r>
      <w:r>
        <w:rPr>
          <w:lang w:val="fr-FR"/>
        </w:rPr>
        <w:t>’</w:t>
      </w:r>
      <w:r w:rsidRPr="0013314E">
        <w:rPr>
          <w:lang w:val="fr-FR"/>
        </w:rPr>
        <w:t>une arrestation ou d</w:t>
      </w:r>
      <w:r>
        <w:rPr>
          <w:lang w:val="fr-FR"/>
        </w:rPr>
        <w:t>’</w:t>
      </w:r>
      <w:r w:rsidRPr="0013314E">
        <w:rPr>
          <w:lang w:val="fr-FR"/>
        </w:rPr>
        <w:t>une détention arbitraire</w:t>
      </w:r>
      <w:r w:rsidRPr="00413478">
        <w:rPr>
          <w:lang w:val="fr-FR"/>
        </w:rPr>
        <w:t>.</w:t>
      </w:r>
      <w:r w:rsidRPr="0013314E">
        <w:rPr>
          <w:lang w:val="fr-FR"/>
        </w:rPr>
        <w:t xml:space="preserve"> </w:t>
      </w:r>
      <w:r>
        <w:rPr>
          <w:lang w:val="fr-FR"/>
        </w:rPr>
        <w:t>Il</w:t>
      </w:r>
      <w:r w:rsidRPr="0013314E">
        <w:rPr>
          <w:lang w:val="fr-FR"/>
        </w:rPr>
        <w:t xml:space="preserve"> rappelle que l</w:t>
      </w:r>
      <w:r>
        <w:rPr>
          <w:lang w:val="fr-FR"/>
        </w:rPr>
        <w:t>’</w:t>
      </w:r>
      <w:r w:rsidRPr="0013314E">
        <w:rPr>
          <w:lang w:val="fr-FR"/>
        </w:rPr>
        <w:t>adjectif « arbitraire » n</w:t>
      </w:r>
      <w:r>
        <w:rPr>
          <w:lang w:val="fr-FR"/>
        </w:rPr>
        <w:t>’</w:t>
      </w:r>
      <w:r w:rsidRPr="0013314E">
        <w:rPr>
          <w:lang w:val="fr-FR"/>
        </w:rPr>
        <w:t>est pas synonyme de « contraire à la loi »</w:t>
      </w:r>
      <w:r>
        <w:rPr>
          <w:lang w:val="fr-FR"/>
        </w:rPr>
        <w:t>,</w:t>
      </w:r>
      <w:r w:rsidRPr="0013314E">
        <w:rPr>
          <w:lang w:val="fr-FR"/>
        </w:rPr>
        <w:t xml:space="preserve"> mais qu</w:t>
      </w:r>
      <w:r>
        <w:rPr>
          <w:lang w:val="fr-FR"/>
        </w:rPr>
        <w:t>’</w:t>
      </w:r>
      <w:r w:rsidRPr="0013314E">
        <w:rPr>
          <w:lang w:val="fr-FR"/>
        </w:rPr>
        <w:t>il doit recevoir une interprétation plus large qui englobe le caractère inapproprié, l</w:t>
      </w:r>
      <w:r>
        <w:rPr>
          <w:lang w:val="fr-FR"/>
        </w:rPr>
        <w:t>’</w:t>
      </w:r>
      <w:r w:rsidRPr="0013314E">
        <w:rPr>
          <w:lang w:val="fr-FR"/>
        </w:rPr>
        <w:t>injustice, l</w:t>
      </w:r>
      <w:r>
        <w:rPr>
          <w:lang w:val="fr-FR"/>
        </w:rPr>
        <w:t>’</w:t>
      </w:r>
      <w:r w:rsidRPr="0013314E">
        <w:rPr>
          <w:lang w:val="fr-FR"/>
        </w:rPr>
        <w:t>absence de prévisibilité et le non-respect des garanties judiciaires</w:t>
      </w:r>
      <w:r w:rsidRPr="00901F87">
        <w:rPr>
          <w:rStyle w:val="Appelnotedebasdep"/>
        </w:rPr>
        <w:footnoteReference w:id="18"/>
      </w:r>
      <w:r w:rsidRPr="00413478">
        <w:rPr>
          <w:lang w:val="fr-FR"/>
        </w:rPr>
        <w:t>.</w:t>
      </w:r>
      <w:r w:rsidRPr="0013314E">
        <w:rPr>
          <w:lang w:val="fr-FR"/>
        </w:rPr>
        <w:t xml:space="preserve"> Il rappelle également que priver quelqu</w:t>
      </w:r>
      <w:r>
        <w:rPr>
          <w:lang w:val="fr-FR"/>
        </w:rPr>
        <w:t>’</w:t>
      </w:r>
      <w:r w:rsidRPr="0013314E">
        <w:rPr>
          <w:lang w:val="fr-FR"/>
        </w:rPr>
        <w:t>un de liberté pour le punir d</w:t>
      </w:r>
      <w:r>
        <w:rPr>
          <w:lang w:val="fr-FR"/>
        </w:rPr>
        <w:t>’</w:t>
      </w:r>
      <w:r w:rsidRPr="0013314E">
        <w:rPr>
          <w:lang w:val="fr-FR"/>
        </w:rPr>
        <w:t>avoir exercé légitimement un droit protégé par le Pacte, notamment le droit à la liberté de religion et de conscience tel q</w:t>
      </w:r>
      <w:r>
        <w:rPr>
          <w:lang w:val="fr-FR"/>
        </w:rPr>
        <w:t xml:space="preserve">ue </w:t>
      </w:r>
      <w:r w:rsidRPr="0013314E">
        <w:rPr>
          <w:lang w:val="fr-FR"/>
        </w:rPr>
        <w:t xml:space="preserve">garanti </w:t>
      </w:r>
      <w:r>
        <w:rPr>
          <w:lang w:val="fr-FR"/>
        </w:rPr>
        <w:t>par</w:t>
      </w:r>
      <w:r w:rsidRPr="0013314E">
        <w:rPr>
          <w:lang w:val="fr-FR"/>
        </w:rPr>
        <w:t xml:space="preserve"> l</w:t>
      </w:r>
      <w:r>
        <w:rPr>
          <w:lang w:val="fr-FR"/>
        </w:rPr>
        <w:t>’</w:t>
      </w:r>
      <w:r w:rsidRPr="0013314E">
        <w:rPr>
          <w:lang w:val="fr-FR"/>
        </w:rPr>
        <w:t xml:space="preserve">article 18 du Pacte, est </w:t>
      </w:r>
      <w:r w:rsidRPr="0013314E">
        <w:rPr>
          <w:i/>
          <w:iCs/>
          <w:lang w:val="fr-FR"/>
        </w:rPr>
        <w:t>ipso facto</w:t>
      </w:r>
      <w:r w:rsidRPr="0013314E">
        <w:rPr>
          <w:lang w:val="fr-FR"/>
        </w:rPr>
        <w:t xml:space="preserve"> arbitraire par nature</w:t>
      </w:r>
      <w:r w:rsidRPr="00901F87">
        <w:rPr>
          <w:rStyle w:val="Appelnotedebasdep"/>
        </w:rPr>
        <w:footnoteReference w:id="19"/>
      </w:r>
      <w:r w:rsidRPr="00413478">
        <w:rPr>
          <w:lang w:val="fr-FR"/>
        </w:rPr>
        <w:t>.</w:t>
      </w:r>
      <w:r w:rsidRPr="0013314E">
        <w:rPr>
          <w:lang w:val="fr-FR"/>
        </w:rPr>
        <w:t xml:space="preserve"> </w:t>
      </w:r>
      <w:r>
        <w:rPr>
          <w:lang w:val="fr-FR"/>
        </w:rPr>
        <w:t>En l’espèce, le Comité constate que le tribunal de district d</w:t>
      </w:r>
      <w:r>
        <w:t xml:space="preserve">e Tchardjev, dans la région de Lebap, a </w:t>
      </w:r>
      <w:r w:rsidRPr="002C306E">
        <w:t>déclaré l</w:t>
      </w:r>
      <w:r>
        <w:t>’</w:t>
      </w:r>
      <w:r w:rsidRPr="002C306E">
        <w:t>auteur coupable d</w:t>
      </w:r>
      <w:r>
        <w:t>’</w:t>
      </w:r>
      <w:r w:rsidRPr="002C306E">
        <w:t>avoir enfreint l</w:t>
      </w:r>
      <w:r>
        <w:t>’</w:t>
      </w:r>
      <w:r w:rsidRPr="002C306E">
        <w:t>article 219 (</w:t>
      </w:r>
      <w:r>
        <w:t>par. </w:t>
      </w:r>
      <w:r w:rsidRPr="002C306E">
        <w:t>1) du Code pénal et l</w:t>
      </w:r>
      <w:r>
        <w:t>’</w:t>
      </w:r>
      <w:r w:rsidRPr="002C306E">
        <w:t xml:space="preserve">a condamné pour objection de conscience au service militaire à une peine </w:t>
      </w:r>
      <w:r>
        <w:t xml:space="preserve">de </w:t>
      </w:r>
      <w:r w:rsidR="00181A8D">
        <w:t xml:space="preserve">douze </w:t>
      </w:r>
      <w:r>
        <w:t>mois</w:t>
      </w:r>
      <w:r w:rsidRPr="002C306E">
        <w:t xml:space="preserve"> d</w:t>
      </w:r>
      <w:r>
        <w:t>’</w:t>
      </w:r>
      <w:r w:rsidRPr="002C306E">
        <w:t>emprisonnement</w:t>
      </w:r>
      <w:r>
        <w:t xml:space="preserve">, tout en prenant acte que l’auteur se disait Témoin de Jéhovah et </w:t>
      </w:r>
      <w:r>
        <w:lastRenderedPageBreak/>
        <w:t xml:space="preserve">affirmait que les Saintes Écritures interdisaient d’utiliser des armes et d’effectuer le service militaire (par. 2.11 ci-dessus). </w:t>
      </w:r>
      <w:r w:rsidRPr="00FB518C">
        <w:t>En</w:t>
      </w:r>
      <w:r w:rsidRPr="0013314E">
        <w:rPr>
          <w:lang w:val="fr-FR"/>
        </w:rPr>
        <w:t xml:space="preserve"> conséquence, le Comité considère également que l</w:t>
      </w:r>
      <w:r>
        <w:rPr>
          <w:lang w:val="fr-FR"/>
        </w:rPr>
        <w:t>’</w:t>
      </w:r>
      <w:r w:rsidRPr="0013314E">
        <w:rPr>
          <w:lang w:val="fr-FR"/>
        </w:rPr>
        <w:t>État partie a violé les droits que l</w:t>
      </w:r>
      <w:r>
        <w:rPr>
          <w:lang w:val="fr-FR"/>
        </w:rPr>
        <w:t>’</w:t>
      </w:r>
      <w:r w:rsidRPr="0013314E">
        <w:rPr>
          <w:lang w:val="fr-FR"/>
        </w:rPr>
        <w:t>auteur tient de l</w:t>
      </w:r>
      <w:r>
        <w:rPr>
          <w:lang w:val="fr-FR"/>
        </w:rPr>
        <w:t>’</w:t>
      </w:r>
      <w:r w:rsidRPr="0013314E">
        <w:rPr>
          <w:lang w:val="fr-FR"/>
        </w:rPr>
        <w:t>article 9 (</w:t>
      </w:r>
      <w:r>
        <w:rPr>
          <w:lang w:val="fr-FR"/>
        </w:rPr>
        <w:t>par. </w:t>
      </w:r>
      <w:r w:rsidRPr="0013314E">
        <w:rPr>
          <w:lang w:val="fr-FR"/>
        </w:rPr>
        <w:t>1) du Pacte</w:t>
      </w:r>
      <w:r w:rsidRPr="00413478">
        <w:rPr>
          <w:lang w:val="fr-FR"/>
        </w:rPr>
        <w:t>.</w:t>
      </w:r>
    </w:p>
    <w:p w14:paraId="6CB896AB" w14:textId="230E3ECE" w:rsidR="00142598" w:rsidRPr="00054C58" w:rsidRDefault="00142598" w:rsidP="00746214">
      <w:pPr>
        <w:pStyle w:val="SingleTxtG"/>
        <w:keepLines/>
        <w:spacing w:line="250" w:lineRule="atLeast"/>
      </w:pPr>
      <w:r w:rsidRPr="0013314E">
        <w:rPr>
          <w:lang w:val="fr-FR"/>
        </w:rPr>
        <w:t>6</w:t>
      </w:r>
      <w:r w:rsidRPr="00413478">
        <w:rPr>
          <w:lang w:val="fr-FR"/>
        </w:rPr>
        <w:t>.</w:t>
      </w:r>
      <w:r w:rsidRPr="0013314E">
        <w:rPr>
          <w:lang w:val="fr-FR"/>
        </w:rPr>
        <w:t>6</w:t>
      </w:r>
      <w:r w:rsidRPr="0013314E">
        <w:rPr>
          <w:lang w:val="fr-FR"/>
        </w:rPr>
        <w:tab/>
        <w:t>Le Comité note que l</w:t>
      </w:r>
      <w:r>
        <w:rPr>
          <w:lang w:val="fr-FR"/>
        </w:rPr>
        <w:t>’</w:t>
      </w:r>
      <w:r w:rsidRPr="0013314E">
        <w:rPr>
          <w:lang w:val="fr-FR"/>
        </w:rPr>
        <w:t>auteur affirme que la détention provisoire dont il a fait l</w:t>
      </w:r>
      <w:r>
        <w:rPr>
          <w:lang w:val="fr-FR"/>
        </w:rPr>
        <w:t>’</w:t>
      </w:r>
      <w:r w:rsidRPr="0013314E">
        <w:rPr>
          <w:lang w:val="fr-FR"/>
        </w:rPr>
        <w:t>objet sans que cette mesure soit nécessaire a constitué une violation par l</w:t>
      </w:r>
      <w:r>
        <w:rPr>
          <w:lang w:val="fr-FR"/>
        </w:rPr>
        <w:t>’</w:t>
      </w:r>
      <w:r w:rsidRPr="0013314E">
        <w:rPr>
          <w:lang w:val="fr-FR"/>
        </w:rPr>
        <w:t>État partie des droits qu</w:t>
      </w:r>
      <w:r>
        <w:rPr>
          <w:lang w:val="fr-FR"/>
        </w:rPr>
        <w:t>’</w:t>
      </w:r>
      <w:r w:rsidRPr="0013314E">
        <w:rPr>
          <w:lang w:val="fr-FR"/>
        </w:rPr>
        <w:t>il tient de l</w:t>
      </w:r>
      <w:r>
        <w:rPr>
          <w:lang w:val="fr-FR"/>
        </w:rPr>
        <w:t>’</w:t>
      </w:r>
      <w:r w:rsidRPr="0013314E">
        <w:rPr>
          <w:lang w:val="fr-FR"/>
        </w:rPr>
        <w:t>article 9 (</w:t>
      </w:r>
      <w:r>
        <w:rPr>
          <w:lang w:val="fr-FR"/>
        </w:rPr>
        <w:t>par. </w:t>
      </w:r>
      <w:r w:rsidRPr="0013314E">
        <w:rPr>
          <w:lang w:val="fr-FR"/>
        </w:rPr>
        <w:t>3) du Pacte</w:t>
      </w:r>
      <w:r w:rsidRPr="00413478">
        <w:rPr>
          <w:lang w:val="fr-FR"/>
        </w:rPr>
        <w:t>.</w:t>
      </w:r>
      <w:r w:rsidRPr="0013314E">
        <w:rPr>
          <w:lang w:val="fr-FR"/>
        </w:rPr>
        <w:t xml:space="preserve"> Il rappelle son observation générale </w:t>
      </w:r>
      <w:r w:rsidR="00746214" w:rsidRPr="00746214">
        <w:rPr>
          <w:rFonts w:eastAsia="MS Mincho"/>
          <w:szCs w:val="22"/>
          <w:lang w:val="fr-FR"/>
        </w:rPr>
        <w:t>n</w:t>
      </w:r>
      <w:r w:rsidR="00746214" w:rsidRPr="00746214">
        <w:rPr>
          <w:rFonts w:eastAsia="MS Mincho"/>
          <w:szCs w:val="22"/>
          <w:vertAlign w:val="superscript"/>
          <w:lang w:val="fr-FR"/>
        </w:rPr>
        <w:t>o</w:t>
      </w:r>
      <w:r w:rsidR="00746214">
        <w:rPr>
          <w:lang w:val="fr-FR"/>
        </w:rPr>
        <w:t> </w:t>
      </w:r>
      <w:r w:rsidRPr="0013314E">
        <w:rPr>
          <w:lang w:val="fr-FR"/>
        </w:rPr>
        <w:t>35 (2014), dans laquelle il a souligné que la détention avant jugement dev</w:t>
      </w:r>
      <w:r>
        <w:rPr>
          <w:lang w:val="fr-FR"/>
        </w:rPr>
        <w:t>a</w:t>
      </w:r>
      <w:r w:rsidRPr="0013314E">
        <w:rPr>
          <w:lang w:val="fr-FR"/>
        </w:rPr>
        <w:t>it être</w:t>
      </w:r>
      <w:r>
        <w:rPr>
          <w:lang w:val="fr-FR"/>
        </w:rPr>
        <w:t xml:space="preserve"> l’exception et non la règle</w:t>
      </w:r>
      <w:r w:rsidRPr="0013314E">
        <w:rPr>
          <w:lang w:val="fr-FR"/>
        </w:rPr>
        <w:t xml:space="preserve"> (</w:t>
      </w:r>
      <w:r>
        <w:rPr>
          <w:lang w:val="fr-FR"/>
        </w:rPr>
        <w:t>par. </w:t>
      </w:r>
      <w:r w:rsidRPr="0013314E">
        <w:rPr>
          <w:lang w:val="fr-FR"/>
        </w:rPr>
        <w:t>38)</w:t>
      </w:r>
      <w:r w:rsidRPr="00901F87">
        <w:rPr>
          <w:rStyle w:val="Appelnotedebasdep"/>
        </w:rPr>
        <w:footnoteReference w:id="20"/>
      </w:r>
      <w:r w:rsidRPr="00413478">
        <w:rPr>
          <w:lang w:val="fr-FR"/>
        </w:rPr>
        <w:t>.</w:t>
      </w:r>
      <w:r w:rsidRPr="0013314E">
        <w:rPr>
          <w:lang w:val="fr-FR"/>
        </w:rPr>
        <w:t xml:space="preserve"> La détention avant jugement ne doit pas être obligatoire pour tous les défendeurs inculpés d</w:t>
      </w:r>
      <w:r>
        <w:rPr>
          <w:lang w:val="fr-FR"/>
        </w:rPr>
        <w:t>’</w:t>
      </w:r>
      <w:r w:rsidRPr="0013314E">
        <w:rPr>
          <w:lang w:val="fr-FR"/>
        </w:rPr>
        <w:t>une infraction précise, mais doit reposer sur une évaluation au cas par cas déterminant qu</w:t>
      </w:r>
      <w:r>
        <w:rPr>
          <w:lang w:val="fr-FR"/>
        </w:rPr>
        <w:t>’</w:t>
      </w:r>
      <w:r w:rsidRPr="0013314E">
        <w:rPr>
          <w:lang w:val="fr-FR"/>
        </w:rPr>
        <w:t>elle est raisonnable et nécessaire au regard de toutes les circonstances, par exemple pour éviter que l</w:t>
      </w:r>
      <w:r>
        <w:rPr>
          <w:lang w:val="fr-FR"/>
        </w:rPr>
        <w:t>’</w:t>
      </w:r>
      <w:r w:rsidRPr="0013314E">
        <w:rPr>
          <w:lang w:val="fr-FR"/>
        </w:rPr>
        <w:t>intéressé ne prenne la fuite, ne modifie des preuves ou ne commette une nouvelle infraction</w:t>
      </w:r>
      <w:r w:rsidRPr="00413478">
        <w:rPr>
          <w:lang w:val="fr-FR"/>
        </w:rPr>
        <w:t>.</w:t>
      </w:r>
      <w:r w:rsidRPr="0013314E">
        <w:rPr>
          <w:lang w:val="fr-FR"/>
        </w:rPr>
        <w:t xml:space="preserve"> La loi doit préciser les facteurs qui peuvent justifier la détention et ne doit pas prévoir des motifs imprécis et vastes comme «</w:t>
      </w:r>
      <w:r w:rsidR="00746214">
        <w:rPr>
          <w:lang w:val="fr-FR"/>
        </w:rPr>
        <w:t> </w:t>
      </w:r>
      <w:r w:rsidRPr="0013314E">
        <w:rPr>
          <w:lang w:val="fr-FR"/>
        </w:rPr>
        <w:t>la sécurité publique</w:t>
      </w:r>
      <w:r w:rsidR="00746214">
        <w:rPr>
          <w:lang w:val="fr-FR"/>
        </w:rPr>
        <w:t> </w:t>
      </w:r>
      <w:r w:rsidRPr="0013314E">
        <w:rPr>
          <w:lang w:val="fr-FR"/>
        </w:rPr>
        <w:t>»</w:t>
      </w:r>
      <w:r w:rsidRPr="00901F87">
        <w:rPr>
          <w:rStyle w:val="Appelnotedebasdep"/>
        </w:rPr>
        <w:footnoteReference w:id="21"/>
      </w:r>
      <w:r w:rsidRPr="00413478">
        <w:rPr>
          <w:lang w:val="fr-FR"/>
        </w:rPr>
        <w:t>.</w:t>
      </w:r>
    </w:p>
    <w:p w14:paraId="00791470" w14:textId="4C5642C4" w:rsidR="00142598" w:rsidRPr="00054C58" w:rsidRDefault="00142598" w:rsidP="00746214">
      <w:pPr>
        <w:pStyle w:val="SingleTxtG"/>
        <w:spacing w:line="250" w:lineRule="atLeast"/>
        <w:rPr>
          <w:bCs/>
          <w:iCs/>
        </w:rPr>
      </w:pPr>
      <w:r w:rsidRPr="0013314E">
        <w:rPr>
          <w:lang w:val="fr-FR"/>
        </w:rPr>
        <w:t>6</w:t>
      </w:r>
      <w:r w:rsidRPr="00413478">
        <w:rPr>
          <w:lang w:val="fr-FR"/>
        </w:rPr>
        <w:t>.</w:t>
      </w:r>
      <w:r w:rsidRPr="0013314E">
        <w:rPr>
          <w:lang w:val="fr-FR"/>
        </w:rPr>
        <w:t>7</w:t>
      </w:r>
      <w:r w:rsidRPr="0013314E">
        <w:rPr>
          <w:lang w:val="fr-FR"/>
        </w:rPr>
        <w:tab/>
        <w:t>Selon les informations mises à la disposition du Comité, l</w:t>
      </w:r>
      <w:r>
        <w:rPr>
          <w:lang w:val="fr-FR"/>
        </w:rPr>
        <w:t>’</w:t>
      </w:r>
      <w:r w:rsidRPr="0013314E">
        <w:rPr>
          <w:lang w:val="fr-FR"/>
        </w:rPr>
        <w:t>auteur a été placé en détention provisoire le 2</w:t>
      </w:r>
      <w:r w:rsidR="00746214">
        <w:rPr>
          <w:lang w:val="fr-FR"/>
        </w:rPr>
        <w:t> </w:t>
      </w:r>
      <w:r w:rsidRPr="0013314E">
        <w:rPr>
          <w:lang w:val="fr-FR"/>
        </w:rPr>
        <w:t xml:space="preserve">janvier </w:t>
      </w:r>
      <w:r>
        <w:rPr>
          <w:lang w:val="fr-FR"/>
        </w:rPr>
        <w:t xml:space="preserve">2018 </w:t>
      </w:r>
      <w:r w:rsidRPr="0013314E">
        <w:rPr>
          <w:lang w:val="fr-FR"/>
        </w:rPr>
        <w:t>et libéré le 17</w:t>
      </w:r>
      <w:r w:rsidR="00746214">
        <w:rPr>
          <w:lang w:val="fr-FR"/>
        </w:rPr>
        <w:t> </w:t>
      </w:r>
      <w:r w:rsidRPr="0013314E">
        <w:rPr>
          <w:lang w:val="fr-FR"/>
        </w:rPr>
        <w:t>janvier 2018, date à laquelle il a comparu devant le tribunal de district de Tchardjev pour violation de l</w:t>
      </w:r>
      <w:r>
        <w:rPr>
          <w:lang w:val="fr-FR"/>
        </w:rPr>
        <w:t>’</w:t>
      </w:r>
      <w:r w:rsidRPr="0013314E">
        <w:rPr>
          <w:lang w:val="fr-FR"/>
        </w:rPr>
        <w:t>article 219 (</w:t>
      </w:r>
      <w:r>
        <w:rPr>
          <w:lang w:val="fr-FR"/>
        </w:rPr>
        <w:t>par. </w:t>
      </w:r>
      <w:r w:rsidRPr="0013314E">
        <w:rPr>
          <w:lang w:val="fr-FR"/>
        </w:rPr>
        <w:t>1) du Code pénal</w:t>
      </w:r>
      <w:r w:rsidRPr="00413478">
        <w:rPr>
          <w:lang w:val="fr-FR"/>
        </w:rPr>
        <w:t>.</w:t>
      </w:r>
      <w:r w:rsidRPr="0013314E">
        <w:rPr>
          <w:lang w:val="fr-FR"/>
        </w:rPr>
        <w:t xml:space="preserve"> Le Comité note en outre que, le 6</w:t>
      </w:r>
      <w:r>
        <w:rPr>
          <w:lang w:val="fr-FR"/>
        </w:rPr>
        <w:t> </w:t>
      </w:r>
      <w:r w:rsidRPr="0013314E">
        <w:rPr>
          <w:lang w:val="fr-FR"/>
        </w:rPr>
        <w:t>janvier 2018, le père de l</w:t>
      </w:r>
      <w:r>
        <w:rPr>
          <w:lang w:val="fr-FR"/>
        </w:rPr>
        <w:t>’</w:t>
      </w:r>
      <w:r w:rsidRPr="0013314E">
        <w:rPr>
          <w:lang w:val="fr-FR"/>
        </w:rPr>
        <w:t xml:space="preserve">auteur a </w:t>
      </w:r>
      <w:r>
        <w:rPr>
          <w:lang w:val="fr-FR"/>
        </w:rPr>
        <w:t>adressé</w:t>
      </w:r>
      <w:r w:rsidRPr="0013314E">
        <w:rPr>
          <w:lang w:val="fr-FR"/>
        </w:rPr>
        <w:t xml:space="preserve"> une plainte détaillée au Bureau du Procureur du district de Tchardjev</w:t>
      </w:r>
      <w:r>
        <w:rPr>
          <w:lang w:val="fr-FR"/>
        </w:rPr>
        <w:t xml:space="preserve"> (</w:t>
      </w:r>
      <w:r w:rsidRPr="0013314E">
        <w:rPr>
          <w:lang w:val="fr-FR"/>
        </w:rPr>
        <w:t>Türkmenabat</w:t>
      </w:r>
      <w:r>
        <w:rPr>
          <w:lang w:val="fr-FR"/>
        </w:rPr>
        <w:t>)</w:t>
      </w:r>
      <w:r w:rsidRPr="0013314E">
        <w:rPr>
          <w:lang w:val="fr-FR"/>
        </w:rPr>
        <w:t>, dans laquelle il alléguait que la détention de l</w:t>
      </w:r>
      <w:r>
        <w:rPr>
          <w:lang w:val="fr-FR"/>
        </w:rPr>
        <w:t>’</w:t>
      </w:r>
      <w:r w:rsidRPr="0013314E">
        <w:rPr>
          <w:lang w:val="fr-FR"/>
        </w:rPr>
        <w:t xml:space="preserve">auteur était dénuée de fondement juridique et demandait </w:t>
      </w:r>
      <w:r>
        <w:rPr>
          <w:lang w:val="fr-FR"/>
        </w:rPr>
        <w:t>au</w:t>
      </w:r>
      <w:r w:rsidRPr="0013314E">
        <w:rPr>
          <w:lang w:val="fr-FR"/>
        </w:rPr>
        <w:t xml:space="preserve"> Procureur </w:t>
      </w:r>
      <w:r>
        <w:rPr>
          <w:lang w:val="fr-FR"/>
        </w:rPr>
        <w:t xml:space="preserve">de </w:t>
      </w:r>
      <w:r w:rsidRPr="0013314E">
        <w:rPr>
          <w:lang w:val="fr-FR"/>
        </w:rPr>
        <w:t>remett</w:t>
      </w:r>
      <w:r>
        <w:rPr>
          <w:lang w:val="fr-FR"/>
        </w:rPr>
        <w:t>r</w:t>
      </w:r>
      <w:r w:rsidRPr="0013314E">
        <w:rPr>
          <w:lang w:val="fr-FR"/>
        </w:rPr>
        <w:t xml:space="preserve">e celui-ci en liberté et </w:t>
      </w:r>
      <w:r>
        <w:rPr>
          <w:lang w:val="fr-FR"/>
        </w:rPr>
        <w:t>d’envisager une solution</w:t>
      </w:r>
      <w:r w:rsidRPr="0013314E">
        <w:rPr>
          <w:lang w:val="fr-FR"/>
        </w:rPr>
        <w:t xml:space="preserve"> de substitution</w:t>
      </w:r>
      <w:r>
        <w:rPr>
          <w:lang w:val="fr-FR"/>
        </w:rPr>
        <w:t xml:space="preserve"> sous la forme d’une mesure de contrainte</w:t>
      </w:r>
      <w:r w:rsidRPr="0013314E">
        <w:rPr>
          <w:lang w:val="fr-FR"/>
        </w:rPr>
        <w:t xml:space="preserve"> non privative de liberté</w:t>
      </w:r>
      <w:r w:rsidRPr="00413478">
        <w:rPr>
          <w:lang w:val="fr-FR"/>
        </w:rPr>
        <w:t>.</w:t>
      </w:r>
      <w:r w:rsidRPr="0013314E">
        <w:rPr>
          <w:lang w:val="fr-FR"/>
        </w:rPr>
        <w:t xml:space="preserve"> Le 25 janvier 2018, le Bureau du Procureur a </w:t>
      </w:r>
      <w:r>
        <w:rPr>
          <w:lang w:val="fr-FR"/>
        </w:rPr>
        <w:t>informé le</w:t>
      </w:r>
      <w:r w:rsidRPr="0013314E">
        <w:rPr>
          <w:lang w:val="fr-FR"/>
        </w:rPr>
        <w:t xml:space="preserve"> père de l</w:t>
      </w:r>
      <w:r>
        <w:rPr>
          <w:lang w:val="fr-FR"/>
        </w:rPr>
        <w:t>’</w:t>
      </w:r>
      <w:r w:rsidRPr="0013314E">
        <w:rPr>
          <w:lang w:val="fr-FR"/>
        </w:rPr>
        <w:t>auteur que l</w:t>
      </w:r>
      <w:r>
        <w:rPr>
          <w:lang w:val="fr-FR"/>
        </w:rPr>
        <w:t>’</w:t>
      </w:r>
      <w:r w:rsidRPr="0013314E">
        <w:rPr>
          <w:lang w:val="fr-FR"/>
        </w:rPr>
        <w:t>enquête sur sa plainte avait été close car il avait été établi que, bien qu</w:t>
      </w:r>
      <w:r>
        <w:rPr>
          <w:lang w:val="fr-FR"/>
        </w:rPr>
        <w:t>’</w:t>
      </w:r>
      <w:r w:rsidRPr="0013314E">
        <w:rPr>
          <w:lang w:val="fr-FR"/>
        </w:rPr>
        <w:t xml:space="preserve">ayant été </w:t>
      </w:r>
      <w:r>
        <w:rPr>
          <w:lang w:val="fr-FR"/>
        </w:rPr>
        <w:t>déclaré</w:t>
      </w:r>
      <w:r w:rsidRPr="0013314E">
        <w:rPr>
          <w:lang w:val="fr-FR"/>
        </w:rPr>
        <w:t xml:space="preserve"> apte au service militaire à la suite d</w:t>
      </w:r>
      <w:r>
        <w:rPr>
          <w:lang w:val="fr-FR"/>
        </w:rPr>
        <w:t>’</w:t>
      </w:r>
      <w:r w:rsidRPr="0013314E">
        <w:rPr>
          <w:lang w:val="fr-FR"/>
        </w:rPr>
        <w:t>examens médicaux, l</w:t>
      </w:r>
      <w:r>
        <w:rPr>
          <w:lang w:val="fr-FR"/>
        </w:rPr>
        <w:t>’</w:t>
      </w:r>
      <w:r w:rsidRPr="0013314E">
        <w:rPr>
          <w:lang w:val="fr-FR"/>
        </w:rPr>
        <w:t xml:space="preserve">auteur avait </w:t>
      </w:r>
      <w:r>
        <w:rPr>
          <w:lang w:val="fr-FR"/>
        </w:rPr>
        <w:t>opposé un refus de servir</w:t>
      </w:r>
      <w:r w:rsidRPr="0013314E">
        <w:rPr>
          <w:lang w:val="fr-FR"/>
        </w:rPr>
        <w:t xml:space="preserve"> et avait été inculpé au titre de l</w:t>
      </w:r>
      <w:r>
        <w:rPr>
          <w:lang w:val="fr-FR"/>
        </w:rPr>
        <w:t>’</w:t>
      </w:r>
      <w:r w:rsidRPr="0013314E">
        <w:rPr>
          <w:lang w:val="fr-FR"/>
        </w:rPr>
        <w:t>article</w:t>
      </w:r>
      <w:r>
        <w:rPr>
          <w:lang w:val="fr-FR"/>
        </w:rPr>
        <w:t> </w:t>
      </w:r>
      <w:r w:rsidRPr="0013314E">
        <w:rPr>
          <w:lang w:val="fr-FR"/>
        </w:rPr>
        <w:t>219 (par</w:t>
      </w:r>
      <w:r w:rsidRPr="00413478">
        <w:rPr>
          <w:lang w:val="fr-FR"/>
        </w:rPr>
        <w:t>.</w:t>
      </w:r>
      <w:r>
        <w:rPr>
          <w:lang w:val="fr-FR"/>
        </w:rPr>
        <w:t> </w:t>
      </w:r>
      <w:r w:rsidRPr="0013314E">
        <w:rPr>
          <w:lang w:val="fr-FR"/>
        </w:rPr>
        <w:t>1) du Code pénal</w:t>
      </w:r>
      <w:r w:rsidRPr="00413478">
        <w:rPr>
          <w:lang w:val="fr-FR"/>
        </w:rPr>
        <w:t>.</w:t>
      </w:r>
      <w:r w:rsidRPr="0013314E">
        <w:rPr>
          <w:lang w:val="fr-FR"/>
        </w:rPr>
        <w:t xml:space="preserve"> Le Comité note que ni le Bureau du Procureur ni aucun agent des forces de l</w:t>
      </w:r>
      <w:r>
        <w:rPr>
          <w:lang w:val="fr-FR"/>
        </w:rPr>
        <w:t>’</w:t>
      </w:r>
      <w:r w:rsidRPr="0013314E">
        <w:rPr>
          <w:lang w:val="fr-FR"/>
        </w:rPr>
        <w:t>ordre n</w:t>
      </w:r>
      <w:r>
        <w:rPr>
          <w:lang w:val="fr-FR"/>
        </w:rPr>
        <w:t>’</w:t>
      </w:r>
      <w:r w:rsidRPr="0013314E">
        <w:rPr>
          <w:lang w:val="fr-FR"/>
        </w:rPr>
        <w:t>a indiqué en quoi il avait été nécessaire de placer l</w:t>
      </w:r>
      <w:r>
        <w:rPr>
          <w:lang w:val="fr-FR"/>
        </w:rPr>
        <w:t>’</w:t>
      </w:r>
      <w:r w:rsidRPr="0013314E">
        <w:rPr>
          <w:lang w:val="fr-FR"/>
        </w:rPr>
        <w:t>auteur en détention, ou si des solutions de substitution à la privation de liberté avaient été envisagées</w:t>
      </w:r>
      <w:r w:rsidRPr="00413478">
        <w:rPr>
          <w:lang w:val="fr-FR"/>
        </w:rPr>
        <w:t>.</w:t>
      </w:r>
      <w:r w:rsidRPr="0013314E">
        <w:rPr>
          <w:lang w:val="fr-FR"/>
        </w:rPr>
        <w:t xml:space="preserve"> Il note également que l</w:t>
      </w:r>
      <w:r>
        <w:rPr>
          <w:lang w:val="fr-FR"/>
        </w:rPr>
        <w:t>’</w:t>
      </w:r>
      <w:r w:rsidRPr="0013314E">
        <w:rPr>
          <w:lang w:val="fr-FR"/>
        </w:rPr>
        <w:t>auteur a répondu à la convocation à effectuer le service militaire qui lui avait été adressée et s</w:t>
      </w:r>
      <w:r>
        <w:rPr>
          <w:lang w:val="fr-FR"/>
        </w:rPr>
        <w:t>’</w:t>
      </w:r>
      <w:r w:rsidRPr="0013314E">
        <w:rPr>
          <w:lang w:val="fr-FR"/>
        </w:rPr>
        <w:t>est présenté devant les autorités comme celles-ci le lui avaient demandé</w:t>
      </w:r>
      <w:r w:rsidRPr="00413478">
        <w:rPr>
          <w:lang w:val="fr-FR"/>
        </w:rPr>
        <w:t>.</w:t>
      </w:r>
      <w:r w:rsidRPr="0013314E">
        <w:rPr>
          <w:lang w:val="fr-FR"/>
        </w:rPr>
        <w:t xml:space="preserve"> Il considère que les informations dont il dispose n</w:t>
      </w:r>
      <w:r>
        <w:rPr>
          <w:lang w:val="fr-FR"/>
        </w:rPr>
        <w:t>’</w:t>
      </w:r>
      <w:r w:rsidRPr="0013314E">
        <w:rPr>
          <w:lang w:val="fr-FR"/>
        </w:rPr>
        <w:t>indiquent pas que l</w:t>
      </w:r>
      <w:r>
        <w:rPr>
          <w:lang w:val="fr-FR"/>
        </w:rPr>
        <w:t>’</w:t>
      </w:r>
      <w:r w:rsidRPr="0013314E">
        <w:rPr>
          <w:lang w:val="fr-FR"/>
        </w:rPr>
        <w:t>auteur était susceptible de prendre la fuite ou d</w:t>
      </w:r>
      <w:r>
        <w:rPr>
          <w:lang w:val="fr-FR"/>
        </w:rPr>
        <w:t>’</w:t>
      </w:r>
      <w:r w:rsidRPr="0013314E">
        <w:rPr>
          <w:lang w:val="fr-FR"/>
        </w:rPr>
        <w:t>entraver de quelque autre manière les activités des forces de l</w:t>
      </w:r>
      <w:r>
        <w:rPr>
          <w:lang w:val="fr-FR"/>
        </w:rPr>
        <w:t>’</w:t>
      </w:r>
      <w:r w:rsidRPr="0013314E">
        <w:rPr>
          <w:lang w:val="fr-FR"/>
        </w:rPr>
        <w:t>ordre</w:t>
      </w:r>
      <w:r w:rsidRPr="00413478">
        <w:rPr>
          <w:lang w:val="fr-FR"/>
        </w:rPr>
        <w:t>.</w:t>
      </w:r>
      <w:r w:rsidRPr="0013314E">
        <w:rPr>
          <w:lang w:val="fr-FR"/>
        </w:rPr>
        <w:t xml:space="preserve"> En l</w:t>
      </w:r>
      <w:r>
        <w:rPr>
          <w:lang w:val="fr-FR"/>
        </w:rPr>
        <w:t>’</w:t>
      </w:r>
      <w:r w:rsidRPr="0013314E">
        <w:rPr>
          <w:lang w:val="fr-FR"/>
        </w:rPr>
        <w:t>absence d</w:t>
      </w:r>
      <w:r>
        <w:rPr>
          <w:lang w:val="fr-FR"/>
        </w:rPr>
        <w:t>’</w:t>
      </w:r>
      <w:r w:rsidRPr="0013314E">
        <w:rPr>
          <w:lang w:val="fr-FR"/>
        </w:rPr>
        <w:t>informations contraires de la part de l</w:t>
      </w:r>
      <w:r>
        <w:rPr>
          <w:lang w:val="fr-FR"/>
        </w:rPr>
        <w:t>’</w:t>
      </w:r>
      <w:r w:rsidRPr="0013314E">
        <w:rPr>
          <w:lang w:val="fr-FR"/>
        </w:rPr>
        <w:t xml:space="preserve">État partie, </w:t>
      </w:r>
      <w:r>
        <w:rPr>
          <w:lang w:val="fr-FR"/>
        </w:rPr>
        <w:t>le Comité</w:t>
      </w:r>
      <w:r w:rsidRPr="0013314E">
        <w:rPr>
          <w:lang w:val="fr-FR"/>
        </w:rPr>
        <w:t xml:space="preserve"> considère également que la détention provisoire de l</w:t>
      </w:r>
      <w:r>
        <w:rPr>
          <w:lang w:val="fr-FR"/>
        </w:rPr>
        <w:t>’</w:t>
      </w:r>
      <w:r w:rsidRPr="0013314E">
        <w:rPr>
          <w:lang w:val="fr-FR"/>
        </w:rPr>
        <w:t xml:space="preserve">auteur </w:t>
      </w:r>
      <w:r>
        <w:rPr>
          <w:lang w:val="fr-FR"/>
        </w:rPr>
        <w:t xml:space="preserve">a constitué une violation des droits que l’auteur </w:t>
      </w:r>
      <w:r w:rsidRPr="0013314E">
        <w:rPr>
          <w:lang w:val="fr-FR"/>
        </w:rPr>
        <w:t>tient de l</w:t>
      </w:r>
      <w:r>
        <w:rPr>
          <w:lang w:val="fr-FR"/>
        </w:rPr>
        <w:t>’</w:t>
      </w:r>
      <w:r w:rsidRPr="0013314E">
        <w:rPr>
          <w:lang w:val="fr-FR"/>
        </w:rPr>
        <w:t>article</w:t>
      </w:r>
      <w:r>
        <w:rPr>
          <w:lang w:val="fr-FR"/>
        </w:rPr>
        <w:t> </w:t>
      </w:r>
      <w:r w:rsidRPr="0013314E">
        <w:rPr>
          <w:lang w:val="fr-FR"/>
        </w:rPr>
        <w:t>9 (par</w:t>
      </w:r>
      <w:r w:rsidRPr="00413478">
        <w:rPr>
          <w:lang w:val="fr-FR"/>
        </w:rPr>
        <w:t>.</w:t>
      </w:r>
      <w:r>
        <w:rPr>
          <w:lang w:val="fr-FR"/>
        </w:rPr>
        <w:t> </w:t>
      </w:r>
      <w:r w:rsidRPr="0013314E">
        <w:rPr>
          <w:lang w:val="fr-FR"/>
        </w:rPr>
        <w:t>3) du Pacte</w:t>
      </w:r>
      <w:r w:rsidRPr="00413478">
        <w:rPr>
          <w:lang w:val="fr-FR"/>
        </w:rPr>
        <w:t>.</w:t>
      </w:r>
    </w:p>
    <w:p w14:paraId="4011B8F8" w14:textId="77777777" w:rsidR="00142598" w:rsidRPr="00054C58" w:rsidRDefault="00142598" w:rsidP="00746214">
      <w:pPr>
        <w:pStyle w:val="SingleTxtG"/>
        <w:spacing w:line="250" w:lineRule="atLeast"/>
      </w:pPr>
      <w:r w:rsidRPr="0013314E">
        <w:rPr>
          <w:lang w:val="fr-FR"/>
        </w:rPr>
        <w:t>7</w:t>
      </w:r>
      <w:r w:rsidRPr="00413478">
        <w:rPr>
          <w:lang w:val="fr-FR"/>
        </w:rPr>
        <w:t>.</w:t>
      </w:r>
      <w:r w:rsidRPr="0013314E">
        <w:rPr>
          <w:lang w:val="fr-FR"/>
        </w:rPr>
        <w:tab/>
        <w:t>Le Comité, agissant en vertu de l</w:t>
      </w:r>
      <w:r>
        <w:rPr>
          <w:lang w:val="fr-FR"/>
        </w:rPr>
        <w:t>’</w:t>
      </w:r>
      <w:r w:rsidRPr="0013314E">
        <w:rPr>
          <w:lang w:val="fr-FR"/>
        </w:rPr>
        <w:t>article 5 (</w:t>
      </w:r>
      <w:r>
        <w:rPr>
          <w:lang w:val="fr-FR"/>
        </w:rPr>
        <w:t>par. </w:t>
      </w:r>
      <w:r w:rsidRPr="0013314E">
        <w:rPr>
          <w:lang w:val="fr-FR"/>
        </w:rPr>
        <w:t xml:space="preserve">4) du Protocole facultatif, constate que les faits dont il est saisi font apparaître une violation des </w:t>
      </w:r>
      <w:r>
        <w:rPr>
          <w:lang w:val="fr-FR"/>
        </w:rPr>
        <w:t xml:space="preserve">droits que l’auteur tient des </w:t>
      </w:r>
      <w:r w:rsidRPr="0013314E">
        <w:rPr>
          <w:lang w:val="fr-FR"/>
        </w:rPr>
        <w:t>articles</w:t>
      </w:r>
      <w:r>
        <w:rPr>
          <w:lang w:val="fr-FR"/>
        </w:rPr>
        <w:t> </w:t>
      </w:r>
      <w:r w:rsidRPr="0013314E">
        <w:rPr>
          <w:lang w:val="fr-FR"/>
        </w:rPr>
        <w:t>9 (par</w:t>
      </w:r>
      <w:r w:rsidRPr="00413478">
        <w:rPr>
          <w:lang w:val="fr-FR"/>
        </w:rPr>
        <w:t>.</w:t>
      </w:r>
      <w:r>
        <w:rPr>
          <w:lang w:val="fr-FR"/>
        </w:rPr>
        <w:t> </w:t>
      </w:r>
      <w:r w:rsidRPr="0013314E">
        <w:rPr>
          <w:lang w:val="fr-FR"/>
        </w:rPr>
        <w:t>1 et 3) et 18 (</w:t>
      </w:r>
      <w:r>
        <w:rPr>
          <w:lang w:val="fr-FR"/>
        </w:rPr>
        <w:t>par. </w:t>
      </w:r>
      <w:r w:rsidRPr="0013314E">
        <w:rPr>
          <w:lang w:val="fr-FR"/>
        </w:rPr>
        <w:t>1) du Pacte</w:t>
      </w:r>
      <w:r w:rsidRPr="00413478">
        <w:rPr>
          <w:lang w:val="fr-FR"/>
        </w:rPr>
        <w:t>.</w:t>
      </w:r>
    </w:p>
    <w:p w14:paraId="02F1E95A" w14:textId="77777777" w:rsidR="00142598" w:rsidRPr="00054C58" w:rsidRDefault="00142598" w:rsidP="00746214">
      <w:pPr>
        <w:pStyle w:val="SingleTxtG"/>
        <w:spacing w:line="250" w:lineRule="atLeast"/>
      </w:pPr>
      <w:r w:rsidRPr="0013314E">
        <w:rPr>
          <w:lang w:val="fr-FR"/>
        </w:rPr>
        <w:t>8</w:t>
      </w:r>
      <w:r w:rsidRPr="00413478">
        <w:rPr>
          <w:lang w:val="fr-FR"/>
        </w:rPr>
        <w:t>.</w:t>
      </w:r>
      <w:r w:rsidRPr="0013314E">
        <w:rPr>
          <w:lang w:val="fr-FR"/>
        </w:rPr>
        <w:tab/>
        <w:t>Conformément à l</w:t>
      </w:r>
      <w:r>
        <w:rPr>
          <w:lang w:val="fr-FR"/>
        </w:rPr>
        <w:t>’</w:t>
      </w:r>
      <w:r w:rsidRPr="0013314E">
        <w:rPr>
          <w:lang w:val="fr-FR"/>
        </w:rPr>
        <w:t>article</w:t>
      </w:r>
      <w:r>
        <w:rPr>
          <w:lang w:val="fr-FR"/>
        </w:rPr>
        <w:t> </w:t>
      </w:r>
      <w:r w:rsidRPr="0013314E">
        <w:rPr>
          <w:lang w:val="fr-FR"/>
        </w:rPr>
        <w:t>2 (par</w:t>
      </w:r>
      <w:r w:rsidRPr="00413478">
        <w:rPr>
          <w:lang w:val="fr-FR"/>
        </w:rPr>
        <w:t>.</w:t>
      </w:r>
      <w:r>
        <w:rPr>
          <w:lang w:val="fr-FR"/>
        </w:rPr>
        <w:t> </w:t>
      </w:r>
      <w:r w:rsidRPr="0013314E">
        <w:rPr>
          <w:lang w:val="fr-FR"/>
        </w:rPr>
        <w:t>3</w:t>
      </w:r>
      <w:r>
        <w:rPr>
          <w:lang w:val="fr-FR"/>
        </w:rPr>
        <w:t> </w:t>
      </w:r>
      <w:r w:rsidRPr="0013314E">
        <w:rPr>
          <w:lang w:val="fr-FR"/>
        </w:rPr>
        <w:t>a)) du Pacte, l</w:t>
      </w:r>
      <w:r>
        <w:rPr>
          <w:lang w:val="fr-FR"/>
        </w:rPr>
        <w:t>’</w:t>
      </w:r>
      <w:r w:rsidRPr="0013314E">
        <w:rPr>
          <w:lang w:val="fr-FR"/>
        </w:rPr>
        <w:t>État partie est tenu d</w:t>
      </w:r>
      <w:r>
        <w:rPr>
          <w:lang w:val="fr-FR"/>
        </w:rPr>
        <w:t>’</w:t>
      </w:r>
      <w:r w:rsidRPr="0013314E">
        <w:rPr>
          <w:lang w:val="fr-FR"/>
        </w:rPr>
        <w:t>assurer à l</w:t>
      </w:r>
      <w:r>
        <w:rPr>
          <w:lang w:val="fr-FR"/>
        </w:rPr>
        <w:t>’</w:t>
      </w:r>
      <w:r w:rsidRPr="0013314E">
        <w:rPr>
          <w:lang w:val="fr-FR"/>
        </w:rPr>
        <w:t>auteur un recours utile et une réparation effective</w:t>
      </w:r>
      <w:r w:rsidRPr="00413478">
        <w:rPr>
          <w:lang w:val="fr-FR"/>
        </w:rPr>
        <w:t>.</w:t>
      </w:r>
      <w:r w:rsidRPr="0013314E">
        <w:rPr>
          <w:lang w:val="fr-FR"/>
        </w:rPr>
        <w:t xml:space="preserve"> Il a l</w:t>
      </w:r>
      <w:r>
        <w:rPr>
          <w:lang w:val="fr-FR"/>
        </w:rPr>
        <w:t>’</w:t>
      </w:r>
      <w:r w:rsidRPr="0013314E">
        <w:rPr>
          <w:lang w:val="fr-FR"/>
        </w:rPr>
        <w:t>obligation d</w:t>
      </w:r>
      <w:r>
        <w:rPr>
          <w:lang w:val="fr-FR"/>
        </w:rPr>
        <w:t>’</w:t>
      </w:r>
      <w:r w:rsidRPr="0013314E">
        <w:rPr>
          <w:lang w:val="fr-FR"/>
        </w:rPr>
        <w:t>accorder une réparation intégrale aux individus dont les droits garantis par le Pacte ont été violés</w:t>
      </w:r>
      <w:r w:rsidRPr="00413478">
        <w:rPr>
          <w:lang w:val="fr-FR"/>
        </w:rPr>
        <w:t>.</w:t>
      </w:r>
      <w:r w:rsidRPr="0013314E">
        <w:rPr>
          <w:lang w:val="fr-FR"/>
        </w:rPr>
        <w:t xml:space="preserve"> En conséquence, l</w:t>
      </w:r>
      <w:r>
        <w:rPr>
          <w:lang w:val="fr-FR"/>
        </w:rPr>
        <w:t>’</w:t>
      </w:r>
      <w:r w:rsidRPr="0013314E">
        <w:rPr>
          <w:lang w:val="fr-FR"/>
        </w:rPr>
        <w:t>État partie est tenu, entre autres, d</w:t>
      </w:r>
      <w:r>
        <w:rPr>
          <w:lang w:val="fr-FR"/>
        </w:rPr>
        <w:t>’</w:t>
      </w:r>
      <w:r w:rsidRPr="0013314E">
        <w:rPr>
          <w:lang w:val="fr-FR"/>
        </w:rPr>
        <w:t>effacer le casier judiciaire de l</w:t>
      </w:r>
      <w:r>
        <w:rPr>
          <w:lang w:val="fr-FR"/>
        </w:rPr>
        <w:t>’</w:t>
      </w:r>
      <w:r w:rsidRPr="0013314E">
        <w:rPr>
          <w:lang w:val="fr-FR"/>
        </w:rPr>
        <w:t>auteur et de lui accorder une indemnisation adéquate, notamment en lui remboursant le montant des frais de justice engagés</w:t>
      </w:r>
      <w:r w:rsidRPr="00413478">
        <w:rPr>
          <w:lang w:val="fr-FR"/>
        </w:rPr>
        <w:t>.</w:t>
      </w:r>
      <w:r w:rsidRPr="0013314E">
        <w:rPr>
          <w:lang w:val="fr-FR"/>
        </w:rPr>
        <w:t xml:space="preserve"> Il est également tenu de veiller à ce que des violations analogues ne se reproduisent pas</w:t>
      </w:r>
      <w:r w:rsidRPr="00413478">
        <w:rPr>
          <w:lang w:val="fr-FR"/>
        </w:rPr>
        <w:t>.</w:t>
      </w:r>
      <w:r w:rsidRPr="0013314E">
        <w:rPr>
          <w:lang w:val="fr-FR"/>
        </w:rPr>
        <w:t xml:space="preserve"> À cet égard, le Comité réaffirme que l</w:t>
      </w:r>
      <w:r>
        <w:rPr>
          <w:lang w:val="fr-FR"/>
        </w:rPr>
        <w:t>’</w:t>
      </w:r>
      <w:r w:rsidRPr="0013314E">
        <w:rPr>
          <w:lang w:val="fr-FR"/>
        </w:rPr>
        <w:t>État partie devrait réviser sa législation, conformément à l</w:t>
      </w:r>
      <w:r>
        <w:rPr>
          <w:lang w:val="fr-FR"/>
        </w:rPr>
        <w:t>’</w:t>
      </w:r>
      <w:r w:rsidRPr="0013314E">
        <w:rPr>
          <w:lang w:val="fr-FR"/>
        </w:rPr>
        <w:t>obligation qui lui incombe au titre de l</w:t>
      </w:r>
      <w:r>
        <w:rPr>
          <w:lang w:val="fr-FR"/>
        </w:rPr>
        <w:t>’</w:t>
      </w:r>
      <w:r w:rsidRPr="0013314E">
        <w:rPr>
          <w:lang w:val="fr-FR"/>
        </w:rPr>
        <w:t>article 2 (</w:t>
      </w:r>
      <w:r>
        <w:rPr>
          <w:lang w:val="fr-FR"/>
        </w:rPr>
        <w:t>par. </w:t>
      </w:r>
      <w:r w:rsidRPr="0013314E">
        <w:rPr>
          <w:lang w:val="fr-FR"/>
        </w:rPr>
        <w:t>2) du Pacte, afin de garantir effectivement le droit à l</w:t>
      </w:r>
      <w:r>
        <w:rPr>
          <w:lang w:val="fr-FR"/>
        </w:rPr>
        <w:t>’</w:t>
      </w:r>
      <w:r w:rsidRPr="0013314E">
        <w:rPr>
          <w:lang w:val="fr-FR"/>
        </w:rPr>
        <w:t>objection de conscience consacré par l</w:t>
      </w:r>
      <w:r>
        <w:rPr>
          <w:lang w:val="fr-FR"/>
        </w:rPr>
        <w:t>’</w:t>
      </w:r>
      <w:r w:rsidRPr="0013314E">
        <w:rPr>
          <w:lang w:val="fr-FR"/>
        </w:rPr>
        <w:t>article</w:t>
      </w:r>
      <w:r>
        <w:rPr>
          <w:lang w:val="fr-FR"/>
        </w:rPr>
        <w:t> </w:t>
      </w:r>
      <w:r w:rsidRPr="0013314E">
        <w:rPr>
          <w:lang w:val="fr-FR"/>
        </w:rPr>
        <w:t>18 (</w:t>
      </w:r>
      <w:r>
        <w:rPr>
          <w:lang w:val="fr-FR"/>
        </w:rPr>
        <w:t>par. </w:t>
      </w:r>
      <w:r w:rsidRPr="0013314E">
        <w:rPr>
          <w:lang w:val="fr-FR"/>
        </w:rPr>
        <w:t>1) du Pacte, par exemple en prévoyant la possibilité d</w:t>
      </w:r>
      <w:r>
        <w:rPr>
          <w:lang w:val="fr-FR"/>
        </w:rPr>
        <w:t>’</w:t>
      </w:r>
      <w:r w:rsidRPr="0013314E">
        <w:rPr>
          <w:lang w:val="fr-FR"/>
        </w:rPr>
        <w:t>effectuer un service civil de remplacement</w:t>
      </w:r>
      <w:r w:rsidRPr="00413478">
        <w:rPr>
          <w:lang w:val="fr-FR"/>
        </w:rPr>
        <w:t>.</w:t>
      </w:r>
    </w:p>
    <w:p w14:paraId="535F9A8F" w14:textId="3FF345D8" w:rsidR="00E85C42" w:rsidRDefault="00142598" w:rsidP="00142598">
      <w:pPr>
        <w:pStyle w:val="SingleTxtG"/>
        <w:rPr>
          <w:lang w:val="fr-FR"/>
        </w:rPr>
      </w:pPr>
      <w:r w:rsidRPr="0013314E">
        <w:rPr>
          <w:lang w:val="fr-FR"/>
        </w:rPr>
        <w:t>9</w:t>
      </w:r>
      <w:r w:rsidRPr="00413478">
        <w:rPr>
          <w:lang w:val="fr-FR"/>
        </w:rPr>
        <w:t>.</w:t>
      </w:r>
      <w:r w:rsidRPr="0013314E">
        <w:rPr>
          <w:lang w:val="fr-FR"/>
        </w:rPr>
        <w:tab/>
        <w:t>Étant donné qu</w:t>
      </w:r>
      <w:r>
        <w:rPr>
          <w:lang w:val="fr-FR"/>
        </w:rPr>
        <w:t>’</w:t>
      </w:r>
      <w:r w:rsidRPr="0013314E">
        <w:rPr>
          <w:lang w:val="fr-FR"/>
        </w:rPr>
        <w:t>en adhérant au Protocole facultatif, l</w:t>
      </w:r>
      <w:r>
        <w:rPr>
          <w:lang w:val="fr-FR"/>
        </w:rPr>
        <w:t>’</w:t>
      </w:r>
      <w:r w:rsidRPr="0013314E">
        <w:rPr>
          <w:lang w:val="fr-FR"/>
        </w:rPr>
        <w:t>État partie a reconnu que le Comité a</w:t>
      </w:r>
      <w:r>
        <w:rPr>
          <w:lang w:val="fr-FR"/>
        </w:rPr>
        <w:t>vait</w:t>
      </w:r>
      <w:r w:rsidRPr="0013314E">
        <w:rPr>
          <w:lang w:val="fr-FR"/>
        </w:rPr>
        <w:t xml:space="preserve"> compétence pour déterminer s</w:t>
      </w:r>
      <w:r>
        <w:rPr>
          <w:lang w:val="fr-FR"/>
        </w:rPr>
        <w:t>’</w:t>
      </w:r>
      <w:r w:rsidRPr="0013314E">
        <w:rPr>
          <w:lang w:val="fr-FR"/>
        </w:rPr>
        <w:t>il y a</w:t>
      </w:r>
      <w:r>
        <w:rPr>
          <w:lang w:val="fr-FR"/>
        </w:rPr>
        <w:t>vait eu</w:t>
      </w:r>
      <w:r w:rsidRPr="0013314E">
        <w:rPr>
          <w:lang w:val="fr-FR"/>
        </w:rPr>
        <w:t xml:space="preserve"> ou non violation du Pacte et que, conformément à l</w:t>
      </w:r>
      <w:r>
        <w:rPr>
          <w:lang w:val="fr-FR"/>
        </w:rPr>
        <w:t>’</w:t>
      </w:r>
      <w:r w:rsidRPr="0013314E">
        <w:rPr>
          <w:lang w:val="fr-FR"/>
        </w:rPr>
        <w:t>article 2 du Pacte, il s</w:t>
      </w:r>
      <w:r>
        <w:rPr>
          <w:lang w:val="fr-FR"/>
        </w:rPr>
        <w:t>’</w:t>
      </w:r>
      <w:r w:rsidRPr="0013314E">
        <w:rPr>
          <w:lang w:val="fr-FR"/>
        </w:rPr>
        <w:t xml:space="preserve">est engagé à garantir à tous les individus se trouvant sur son territoire et relevant de sa juridiction les droits reconnus dans le Pacte et à assurer un </w:t>
      </w:r>
      <w:r w:rsidRPr="0013314E">
        <w:rPr>
          <w:lang w:val="fr-FR"/>
        </w:rPr>
        <w:lastRenderedPageBreak/>
        <w:t xml:space="preserve">recours utile </w:t>
      </w:r>
      <w:r w:rsidRPr="00212F19">
        <w:t>et une réparation exécutoire</w:t>
      </w:r>
      <w:r w:rsidRPr="00212F19">
        <w:rPr>
          <w:lang w:val="fr-FR"/>
        </w:rPr>
        <w:t xml:space="preserve"> </w:t>
      </w:r>
      <w:r w:rsidRPr="0013314E">
        <w:rPr>
          <w:lang w:val="fr-FR"/>
        </w:rPr>
        <w:t>lorsqu</w:t>
      </w:r>
      <w:r>
        <w:rPr>
          <w:lang w:val="fr-FR"/>
        </w:rPr>
        <w:t>e la réalité d’</w:t>
      </w:r>
      <w:r w:rsidRPr="0013314E">
        <w:rPr>
          <w:lang w:val="fr-FR"/>
        </w:rPr>
        <w:t>une violation a été établie, le Comité souhaite recevoir de l</w:t>
      </w:r>
      <w:r>
        <w:rPr>
          <w:lang w:val="fr-FR"/>
        </w:rPr>
        <w:t>’</w:t>
      </w:r>
      <w:r w:rsidRPr="0013314E">
        <w:rPr>
          <w:lang w:val="fr-FR"/>
        </w:rPr>
        <w:t>État partie, dans un délai de cent quatre-vingts jours, des renseignements sur les mesures prises pour donner effet aux présentes constatations</w:t>
      </w:r>
      <w:r w:rsidRPr="00413478">
        <w:rPr>
          <w:lang w:val="fr-FR"/>
        </w:rPr>
        <w:t>.</w:t>
      </w:r>
      <w:r w:rsidRPr="0013314E">
        <w:rPr>
          <w:lang w:val="fr-FR"/>
        </w:rPr>
        <w:t xml:space="preserve"> L</w:t>
      </w:r>
      <w:r>
        <w:rPr>
          <w:lang w:val="fr-FR"/>
        </w:rPr>
        <w:t>’</w:t>
      </w:r>
      <w:r w:rsidRPr="0013314E">
        <w:rPr>
          <w:lang w:val="fr-FR"/>
        </w:rPr>
        <w:t>État partie est invité en outre à rendre celles</w:t>
      </w:r>
      <w:r>
        <w:rPr>
          <w:lang w:val="fr-FR"/>
        </w:rPr>
        <w:noBreakHyphen/>
      </w:r>
      <w:r w:rsidRPr="0013314E">
        <w:rPr>
          <w:lang w:val="fr-FR"/>
        </w:rPr>
        <w:t>ci publiques et à les diffuser largement dans ses langues officielles</w:t>
      </w:r>
      <w:r w:rsidRPr="00413478">
        <w:rPr>
          <w:lang w:val="fr-FR"/>
        </w:rPr>
        <w:t>.</w:t>
      </w:r>
    </w:p>
    <w:p w14:paraId="72CB48DB" w14:textId="7BB6EE25" w:rsidR="00142598" w:rsidRPr="00142598" w:rsidRDefault="00142598" w:rsidP="00142598">
      <w:pPr>
        <w:pStyle w:val="SingleTxtG"/>
        <w:spacing w:before="240" w:after="0"/>
        <w:jc w:val="center"/>
        <w:rPr>
          <w:u w:val="single"/>
        </w:rPr>
      </w:pPr>
      <w:r>
        <w:rPr>
          <w:u w:val="single"/>
        </w:rPr>
        <w:tab/>
      </w:r>
      <w:r>
        <w:rPr>
          <w:u w:val="single"/>
        </w:rPr>
        <w:tab/>
      </w:r>
      <w:r>
        <w:rPr>
          <w:u w:val="single"/>
        </w:rPr>
        <w:tab/>
      </w:r>
    </w:p>
    <w:sectPr w:rsidR="00142598" w:rsidRPr="00142598" w:rsidSect="0014259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419C" w14:textId="77777777" w:rsidR="00B071A1" w:rsidRDefault="00B071A1" w:rsidP="00F95C08">
      <w:pPr>
        <w:spacing w:line="240" w:lineRule="auto"/>
      </w:pPr>
    </w:p>
  </w:endnote>
  <w:endnote w:type="continuationSeparator" w:id="0">
    <w:p w14:paraId="41D7EE98" w14:textId="77777777" w:rsidR="00B071A1" w:rsidRPr="00AC3823" w:rsidRDefault="00B071A1" w:rsidP="00AC3823">
      <w:pPr>
        <w:pStyle w:val="Pieddepage"/>
      </w:pPr>
    </w:p>
  </w:endnote>
  <w:endnote w:type="continuationNotice" w:id="1">
    <w:p w14:paraId="6F407677" w14:textId="77777777" w:rsidR="00B071A1" w:rsidRDefault="00B071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E6FE" w14:textId="5071CA5E" w:rsidR="00142598" w:rsidRPr="00142598" w:rsidRDefault="00142598" w:rsidP="00142598">
    <w:pPr>
      <w:pStyle w:val="Pieddepage"/>
      <w:tabs>
        <w:tab w:val="right" w:pos="9638"/>
      </w:tabs>
    </w:pPr>
    <w:r w:rsidRPr="00142598">
      <w:rPr>
        <w:b/>
        <w:sz w:val="18"/>
      </w:rPr>
      <w:fldChar w:fldCharType="begin"/>
    </w:r>
    <w:r w:rsidRPr="00142598">
      <w:rPr>
        <w:b/>
        <w:sz w:val="18"/>
      </w:rPr>
      <w:instrText xml:space="preserve"> PAGE  \* MERGEFORMAT </w:instrText>
    </w:r>
    <w:r w:rsidRPr="00142598">
      <w:rPr>
        <w:b/>
        <w:sz w:val="18"/>
      </w:rPr>
      <w:fldChar w:fldCharType="separate"/>
    </w:r>
    <w:r w:rsidRPr="00142598">
      <w:rPr>
        <w:b/>
        <w:noProof/>
        <w:sz w:val="18"/>
      </w:rPr>
      <w:t>2</w:t>
    </w:r>
    <w:r w:rsidRPr="00142598">
      <w:rPr>
        <w:b/>
        <w:sz w:val="18"/>
      </w:rPr>
      <w:fldChar w:fldCharType="end"/>
    </w:r>
    <w:r>
      <w:rPr>
        <w:b/>
        <w:sz w:val="18"/>
      </w:rPr>
      <w:tab/>
    </w:r>
    <w:r>
      <w:t>GE.22-12244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2ACB" w14:textId="2BF995AF" w:rsidR="00142598" w:rsidRPr="00142598" w:rsidRDefault="00142598" w:rsidP="00142598">
    <w:pPr>
      <w:pStyle w:val="Pieddepage"/>
      <w:tabs>
        <w:tab w:val="right" w:pos="9638"/>
      </w:tabs>
      <w:rPr>
        <w:b/>
        <w:sz w:val="18"/>
      </w:rPr>
    </w:pPr>
    <w:r>
      <w:t>GE.22-12244</w:t>
    </w:r>
    <w:r>
      <w:tab/>
    </w:r>
    <w:r w:rsidRPr="00142598">
      <w:rPr>
        <w:b/>
        <w:sz w:val="18"/>
      </w:rPr>
      <w:fldChar w:fldCharType="begin"/>
    </w:r>
    <w:r w:rsidRPr="00142598">
      <w:rPr>
        <w:b/>
        <w:sz w:val="18"/>
      </w:rPr>
      <w:instrText xml:space="preserve"> PAGE  \* MERGEFORMAT </w:instrText>
    </w:r>
    <w:r w:rsidRPr="00142598">
      <w:rPr>
        <w:b/>
        <w:sz w:val="18"/>
      </w:rPr>
      <w:fldChar w:fldCharType="separate"/>
    </w:r>
    <w:r w:rsidRPr="00142598">
      <w:rPr>
        <w:b/>
        <w:noProof/>
        <w:sz w:val="18"/>
      </w:rPr>
      <w:t>3</w:t>
    </w:r>
    <w:r w:rsidRPr="001425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56C0" w14:textId="7C474145" w:rsidR="001B379B" w:rsidRPr="00142598" w:rsidRDefault="00142598" w:rsidP="00142598">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7BEDC804" wp14:editId="744CED1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22-12244  (F)</w:t>
    </w:r>
    <w:r>
      <w:rPr>
        <w:noProof/>
        <w:sz w:val="20"/>
      </w:rPr>
      <w:drawing>
        <wp:anchor distT="0" distB="0" distL="114300" distR="114300" simplePos="0" relativeHeight="251660288" behindDoc="0" locked="0" layoutInCell="1" allowOverlap="1" wp14:anchorId="10357DCD" wp14:editId="0FA631EE">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191222    191222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F564" w14:textId="77777777" w:rsidR="00B071A1" w:rsidRPr="00AC3823" w:rsidRDefault="00B071A1" w:rsidP="00AC3823">
      <w:pPr>
        <w:pStyle w:val="Pieddepage"/>
        <w:tabs>
          <w:tab w:val="right" w:pos="2155"/>
        </w:tabs>
        <w:spacing w:after="80" w:line="240" w:lineRule="atLeast"/>
        <w:ind w:left="680"/>
        <w:rPr>
          <w:u w:val="single"/>
        </w:rPr>
      </w:pPr>
      <w:r>
        <w:rPr>
          <w:u w:val="single"/>
        </w:rPr>
        <w:tab/>
      </w:r>
    </w:p>
  </w:footnote>
  <w:footnote w:type="continuationSeparator" w:id="0">
    <w:p w14:paraId="69CC5D33" w14:textId="77777777" w:rsidR="00B071A1" w:rsidRPr="00AC3823" w:rsidRDefault="00B071A1" w:rsidP="00AC3823">
      <w:pPr>
        <w:pStyle w:val="Pieddepage"/>
        <w:tabs>
          <w:tab w:val="right" w:pos="2155"/>
        </w:tabs>
        <w:spacing w:after="80" w:line="240" w:lineRule="atLeast"/>
        <w:ind w:left="680"/>
        <w:rPr>
          <w:u w:val="single"/>
        </w:rPr>
      </w:pPr>
      <w:r>
        <w:rPr>
          <w:u w:val="single"/>
        </w:rPr>
        <w:tab/>
      </w:r>
    </w:p>
  </w:footnote>
  <w:footnote w:type="continuationNotice" w:id="1">
    <w:p w14:paraId="552D3DFB" w14:textId="77777777" w:rsidR="00B071A1" w:rsidRPr="00AC3823" w:rsidRDefault="00B071A1">
      <w:pPr>
        <w:spacing w:line="240" w:lineRule="auto"/>
        <w:rPr>
          <w:sz w:val="2"/>
          <w:szCs w:val="2"/>
        </w:rPr>
      </w:pPr>
    </w:p>
  </w:footnote>
  <w:footnote w:id="2">
    <w:p w14:paraId="5A91EFED" w14:textId="0DB0F766" w:rsidR="00142598" w:rsidRPr="00142598" w:rsidRDefault="00142598">
      <w:pPr>
        <w:pStyle w:val="Notedebasdepage"/>
      </w:pPr>
      <w:r>
        <w:rPr>
          <w:rStyle w:val="Appelnotedebasdep"/>
        </w:rPr>
        <w:tab/>
      </w:r>
      <w:r w:rsidRPr="00142598">
        <w:rPr>
          <w:rStyle w:val="Appelnotedebasdep"/>
          <w:sz w:val="20"/>
          <w:vertAlign w:val="baseline"/>
        </w:rPr>
        <w:t>*</w:t>
      </w:r>
      <w:r>
        <w:rPr>
          <w:rStyle w:val="Appelnotedebasdep"/>
          <w:sz w:val="20"/>
          <w:vertAlign w:val="baseline"/>
        </w:rPr>
        <w:tab/>
      </w:r>
      <w:r w:rsidRPr="009D39A1">
        <w:rPr>
          <w:szCs w:val="18"/>
        </w:rPr>
        <w:t>Adoptées par le Comité à sa 1</w:t>
      </w:r>
      <w:r>
        <w:rPr>
          <w:szCs w:val="18"/>
        </w:rPr>
        <w:t>3</w:t>
      </w:r>
      <w:r w:rsidRPr="009D39A1">
        <w:rPr>
          <w:szCs w:val="18"/>
        </w:rPr>
        <w:t>4</w:t>
      </w:r>
      <w:r w:rsidRPr="009D39A1">
        <w:rPr>
          <w:szCs w:val="18"/>
          <w:vertAlign w:val="superscript"/>
        </w:rPr>
        <w:t>e</w:t>
      </w:r>
      <w:r>
        <w:rPr>
          <w:szCs w:val="18"/>
        </w:rPr>
        <w:t> </w:t>
      </w:r>
      <w:r w:rsidRPr="009D39A1">
        <w:rPr>
          <w:szCs w:val="18"/>
        </w:rPr>
        <w:t>session</w:t>
      </w:r>
      <w:r>
        <w:rPr>
          <w:szCs w:val="18"/>
        </w:rPr>
        <w:t xml:space="preserve"> (</w:t>
      </w:r>
      <w:r w:rsidRPr="007740C0">
        <w:rPr>
          <w:szCs w:val="18"/>
          <w:lang w:val="fr-FR"/>
        </w:rPr>
        <w:t>28 février</w:t>
      </w:r>
      <w:r w:rsidRPr="00DC688E">
        <w:rPr>
          <w:lang w:val="fr-FR"/>
        </w:rPr>
        <w:t>-25 mars 2022</w:t>
      </w:r>
      <w:r>
        <w:rPr>
          <w:lang w:val="fr-FR"/>
        </w:rPr>
        <w:t>)</w:t>
      </w:r>
      <w:r>
        <w:rPr>
          <w:lang w:val="fr-FR"/>
        </w:rPr>
        <w:t>.</w:t>
      </w:r>
    </w:p>
  </w:footnote>
  <w:footnote w:id="3">
    <w:p w14:paraId="1C8790E9" w14:textId="480D9F34" w:rsidR="00142598" w:rsidRPr="00142598" w:rsidRDefault="00142598">
      <w:pPr>
        <w:pStyle w:val="Notedebasdepage"/>
      </w:pPr>
      <w:r>
        <w:rPr>
          <w:rStyle w:val="Appelnotedebasdep"/>
        </w:rPr>
        <w:tab/>
      </w:r>
      <w:r w:rsidRPr="00142598">
        <w:rPr>
          <w:rStyle w:val="Appelnotedebasdep"/>
          <w:sz w:val="20"/>
          <w:vertAlign w:val="baseline"/>
        </w:rPr>
        <w:t>**</w:t>
      </w:r>
      <w:r>
        <w:rPr>
          <w:rStyle w:val="Appelnotedebasdep"/>
          <w:sz w:val="20"/>
          <w:vertAlign w:val="baseline"/>
        </w:rPr>
        <w:tab/>
      </w:r>
      <w:r w:rsidRPr="00BB77CD">
        <w:rPr>
          <w:szCs w:val="18"/>
        </w:rPr>
        <w:t>Les membres du Comité dont le nom suit ont participé à l</w:t>
      </w:r>
      <w:r w:rsidR="00D9258B">
        <w:rPr>
          <w:szCs w:val="18"/>
        </w:rPr>
        <w:t>’</w:t>
      </w:r>
      <w:r w:rsidRPr="00BB77CD">
        <w:rPr>
          <w:szCs w:val="18"/>
        </w:rPr>
        <w:t>examen de la communication</w:t>
      </w:r>
      <w:r>
        <w:rPr>
          <w:szCs w:val="18"/>
        </w:rPr>
        <w:t xml:space="preserve"> : </w:t>
      </w:r>
      <w:hyperlink r:id="rId1" w:history="1">
        <w:proofErr w:type="spellStart"/>
        <w:r>
          <w:t>Wafaa</w:t>
        </w:r>
        <w:proofErr w:type="spellEnd"/>
        <w:r>
          <w:t xml:space="preserve"> Ashraf </w:t>
        </w:r>
        <w:proofErr w:type="spellStart"/>
        <w:r>
          <w:t>Moharram</w:t>
        </w:r>
        <w:proofErr w:type="spellEnd"/>
        <w:r>
          <w:t xml:space="preserve"> </w:t>
        </w:r>
        <w:proofErr w:type="spellStart"/>
        <w:r>
          <w:t>Bassim</w:t>
        </w:r>
        <w:proofErr w:type="spellEnd"/>
      </w:hyperlink>
      <w:r>
        <w:t xml:space="preserve">, </w:t>
      </w:r>
      <w:hyperlink r:id="rId2" w:history="1">
        <w:proofErr w:type="spellStart"/>
        <w:r>
          <w:t>Yadh</w:t>
        </w:r>
        <w:proofErr w:type="spellEnd"/>
        <w:r>
          <w:t xml:space="preserve"> Ben Achour</w:t>
        </w:r>
      </w:hyperlink>
      <w:r>
        <w:t xml:space="preserve">, </w:t>
      </w:r>
      <w:hyperlink r:id="rId3" w:history="1">
        <w:r>
          <w:t>Arif Bulkan, Mahjoub El Haiba</w:t>
        </w:r>
      </w:hyperlink>
      <w:r>
        <w:t xml:space="preserve">, Furuya Shuichi, Carlos Gómez Martínez, Marcia V.J. Kran, Photini Pazartzis, Vasilka Sancin, José Manuel Santos Pais, </w:t>
      </w:r>
      <w:proofErr w:type="spellStart"/>
      <w:r>
        <w:t>Soh</w:t>
      </w:r>
      <w:proofErr w:type="spellEnd"/>
      <w:r>
        <w:t xml:space="preserve"> </w:t>
      </w:r>
      <w:proofErr w:type="spellStart"/>
      <w:r>
        <w:t>Changrok</w:t>
      </w:r>
      <w:proofErr w:type="spellEnd"/>
      <w:r>
        <w:t xml:space="preserve">, </w:t>
      </w:r>
      <w:hyperlink r:id="rId4" w:history="1">
        <w:proofErr w:type="spellStart"/>
        <w:r>
          <w:t>Kobauyah</w:t>
        </w:r>
        <w:proofErr w:type="spellEnd"/>
        <w:r>
          <w:t xml:space="preserve"> </w:t>
        </w:r>
        <w:proofErr w:type="spellStart"/>
        <w:r>
          <w:t>Tchamdja</w:t>
        </w:r>
        <w:proofErr w:type="spellEnd"/>
        <w:r>
          <w:t xml:space="preserve"> </w:t>
        </w:r>
        <w:proofErr w:type="spellStart"/>
        <w:r>
          <w:t>Kpatcha</w:t>
        </w:r>
        <w:proofErr w:type="spellEnd"/>
      </w:hyperlink>
      <w:r>
        <w:t>, Hélène Tigroudja, Imeru Tamerat Yigezu et Gentian Zyberi</w:t>
      </w:r>
      <w:r w:rsidRPr="00BB77CD">
        <w:rPr>
          <w:szCs w:val="18"/>
        </w:rPr>
        <w:t>.</w:t>
      </w:r>
    </w:p>
  </w:footnote>
  <w:footnote w:id="4">
    <w:p w14:paraId="532B0430" w14:textId="70675635" w:rsidR="00142598" w:rsidRPr="00054C58" w:rsidRDefault="00142598" w:rsidP="00142598">
      <w:pPr>
        <w:pStyle w:val="Notedebasdepage"/>
      </w:pPr>
      <w:r w:rsidRPr="0013314E">
        <w:rPr>
          <w:lang w:val="fr-FR"/>
        </w:rPr>
        <w:tab/>
      </w:r>
      <w:r w:rsidRPr="00901F87">
        <w:rPr>
          <w:rStyle w:val="Appelnotedebasdep"/>
        </w:rPr>
        <w:footnoteRef/>
      </w:r>
      <w:r w:rsidRPr="0013314E">
        <w:rPr>
          <w:lang w:val="fr-FR"/>
        </w:rPr>
        <w:tab/>
        <w:t>En application de l</w:t>
      </w:r>
      <w:r w:rsidR="00D9258B">
        <w:rPr>
          <w:lang w:val="fr-FR"/>
        </w:rPr>
        <w:t>’</w:t>
      </w:r>
      <w:r w:rsidRPr="0013314E">
        <w:rPr>
          <w:lang w:val="fr-FR"/>
        </w:rPr>
        <w:t>article 219 (par</w:t>
      </w:r>
      <w:r w:rsidRPr="00413478">
        <w:rPr>
          <w:lang w:val="fr-FR"/>
        </w:rPr>
        <w:t>.</w:t>
      </w:r>
      <w:r>
        <w:rPr>
          <w:lang w:val="fr-FR"/>
        </w:rPr>
        <w:t> </w:t>
      </w:r>
      <w:r w:rsidRPr="0013314E">
        <w:rPr>
          <w:lang w:val="fr-FR"/>
        </w:rPr>
        <w:t>1) du Code pénal, le refus de servir dans les forces armées en</w:t>
      </w:r>
      <w:r w:rsidR="003C76FF">
        <w:rPr>
          <w:lang w:val="fr-FR"/>
        </w:rPr>
        <w:t> </w:t>
      </w:r>
      <w:r w:rsidRPr="0013314E">
        <w:rPr>
          <w:lang w:val="fr-FR"/>
        </w:rPr>
        <w:t>temps de paix sans motif légal d</w:t>
      </w:r>
      <w:r w:rsidR="00D9258B">
        <w:rPr>
          <w:lang w:val="fr-FR"/>
        </w:rPr>
        <w:t>’</w:t>
      </w:r>
      <w:r w:rsidRPr="0013314E">
        <w:rPr>
          <w:lang w:val="fr-FR"/>
        </w:rPr>
        <w:t>exemption est puni</w:t>
      </w:r>
      <w:r>
        <w:rPr>
          <w:lang w:val="fr-FR"/>
        </w:rPr>
        <w:t>ssable</w:t>
      </w:r>
      <w:r w:rsidRPr="0013314E">
        <w:rPr>
          <w:lang w:val="fr-FR"/>
        </w:rPr>
        <w:t xml:space="preserve"> d</w:t>
      </w:r>
      <w:r w:rsidR="00D9258B">
        <w:rPr>
          <w:lang w:val="fr-FR"/>
        </w:rPr>
        <w:t>’</w:t>
      </w:r>
      <w:r w:rsidRPr="0013314E">
        <w:rPr>
          <w:lang w:val="fr-FR"/>
        </w:rPr>
        <w:t>une peine maximale de deux ans d</w:t>
      </w:r>
      <w:r w:rsidR="00D9258B">
        <w:rPr>
          <w:lang w:val="fr-FR"/>
        </w:rPr>
        <w:t>’</w:t>
      </w:r>
      <w:r w:rsidRPr="0013314E">
        <w:rPr>
          <w:lang w:val="fr-FR"/>
        </w:rPr>
        <w:t>emprisonnement ou de rééducation par le travail</w:t>
      </w:r>
      <w:r w:rsidRPr="00413478">
        <w:rPr>
          <w:lang w:val="fr-FR"/>
        </w:rPr>
        <w:t>.</w:t>
      </w:r>
      <w:r w:rsidRPr="0013314E">
        <w:rPr>
          <w:lang w:val="fr-FR"/>
        </w:rPr>
        <w:t xml:space="preserve"> La loi relative au service militaire et aux obligations militaires ne fait pas de l</w:t>
      </w:r>
      <w:r w:rsidR="00D9258B">
        <w:rPr>
          <w:lang w:val="fr-FR"/>
        </w:rPr>
        <w:t>’</w:t>
      </w:r>
      <w:r w:rsidRPr="0013314E">
        <w:rPr>
          <w:lang w:val="fr-FR"/>
        </w:rPr>
        <w:t>objection de conscience un motif légal d</w:t>
      </w:r>
      <w:r w:rsidR="00D9258B">
        <w:rPr>
          <w:lang w:val="fr-FR"/>
        </w:rPr>
        <w:t>’</w:t>
      </w:r>
      <w:r w:rsidRPr="0013314E">
        <w:rPr>
          <w:lang w:val="fr-FR"/>
        </w:rPr>
        <w:t>exemption du service militaire</w:t>
      </w:r>
      <w:r w:rsidRPr="00413478">
        <w:rPr>
          <w:lang w:val="fr-FR"/>
        </w:rPr>
        <w:t>.</w:t>
      </w:r>
    </w:p>
  </w:footnote>
  <w:footnote w:id="5">
    <w:p w14:paraId="344C9169" w14:textId="60DEAA83" w:rsidR="00142598" w:rsidRPr="00054C58" w:rsidRDefault="00142598" w:rsidP="00142598">
      <w:pPr>
        <w:pStyle w:val="Notedebasdepage"/>
      </w:pPr>
      <w:r w:rsidRPr="0013314E">
        <w:rPr>
          <w:lang w:val="fr-FR"/>
        </w:rPr>
        <w:tab/>
      </w:r>
      <w:r w:rsidRPr="00901F87">
        <w:rPr>
          <w:rStyle w:val="Appelnotedebasdep"/>
        </w:rPr>
        <w:footnoteRef/>
      </w:r>
      <w:r w:rsidRPr="0013314E">
        <w:rPr>
          <w:lang w:val="fr-FR"/>
        </w:rPr>
        <w:tab/>
        <w:t>Cour européenne des droits de l</w:t>
      </w:r>
      <w:r w:rsidR="00D9258B">
        <w:rPr>
          <w:lang w:val="fr-FR"/>
        </w:rPr>
        <w:t>’</w:t>
      </w:r>
      <w:r w:rsidRPr="0013314E">
        <w:rPr>
          <w:lang w:val="fr-FR"/>
        </w:rPr>
        <w:t>homme</w:t>
      </w:r>
      <w:r>
        <w:rPr>
          <w:lang w:val="fr-FR"/>
        </w:rPr>
        <w:t xml:space="preserve">, </w:t>
      </w:r>
      <w:r w:rsidRPr="0013314E">
        <w:rPr>
          <w:i/>
          <w:iCs/>
          <w:lang w:val="fr-FR"/>
        </w:rPr>
        <w:t>Kashlan c</w:t>
      </w:r>
      <w:r w:rsidRPr="00413478">
        <w:rPr>
          <w:i/>
          <w:iCs/>
          <w:lang w:val="fr-FR"/>
        </w:rPr>
        <w:t>.</w:t>
      </w:r>
      <w:r w:rsidRPr="0013314E">
        <w:rPr>
          <w:i/>
          <w:iCs/>
          <w:lang w:val="fr-FR"/>
        </w:rPr>
        <w:t xml:space="preserve"> Fédération de Russie</w:t>
      </w:r>
      <w:r>
        <w:rPr>
          <w:i/>
          <w:iCs/>
          <w:lang w:val="fr-FR"/>
        </w:rPr>
        <w:t xml:space="preserve"> </w:t>
      </w:r>
      <w:r>
        <w:rPr>
          <w:lang w:val="fr-FR"/>
        </w:rPr>
        <w:t>(</w:t>
      </w:r>
      <w:r w:rsidRPr="0013314E">
        <w:rPr>
          <w:lang w:val="fr-FR"/>
        </w:rPr>
        <w:t>requête n</w:t>
      </w:r>
      <w:r w:rsidRPr="0013314E">
        <w:rPr>
          <w:vertAlign w:val="superscript"/>
          <w:lang w:val="fr-FR"/>
        </w:rPr>
        <w:t>o</w:t>
      </w:r>
      <w:r>
        <w:rPr>
          <w:lang w:val="fr-FR"/>
        </w:rPr>
        <w:t> </w:t>
      </w:r>
      <w:r w:rsidRPr="0013314E">
        <w:rPr>
          <w:lang w:val="fr-FR"/>
        </w:rPr>
        <w:t>60189/15</w:t>
      </w:r>
      <w:r>
        <w:rPr>
          <w:lang w:val="fr-FR"/>
        </w:rPr>
        <w:t>)</w:t>
      </w:r>
      <w:r w:rsidRPr="0013314E">
        <w:rPr>
          <w:lang w:val="fr-FR"/>
        </w:rPr>
        <w:t xml:space="preserve">, </w:t>
      </w:r>
      <w:r>
        <w:rPr>
          <w:lang w:val="fr-FR"/>
        </w:rPr>
        <w:t xml:space="preserve">décision du </w:t>
      </w:r>
      <w:r w:rsidRPr="0013314E">
        <w:rPr>
          <w:lang w:val="fr-FR"/>
        </w:rPr>
        <w:t>19 avril 2016</w:t>
      </w:r>
      <w:r>
        <w:rPr>
          <w:lang w:val="fr-FR"/>
        </w:rPr>
        <w:t>, par. </w:t>
      </w:r>
      <w:r w:rsidRPr="0013314E">
        <w:rPr>
          <w:lang w:val="fr-FR"/>
        </w:rPr>
        <w:t>28 à 30</w:t>
      </w:r>
      <w:r w:rsidRPr="00413478">
        <w:rPr>
          <w:lang w:val="fr-FR"/>
        </w:rPr>
        <w:t>.</w:t>
      </w:r>
    </w:p>
  </w:footnote>
  <w:footnote w:id="6">
    <w:p w14:paraId="7873392A" w14:textId="5CFA6144" w:rsidR="00142598" w:rsidRPr="00054C58" w:rsidRDefault="00142598" w:rsidP="00142598">
      <w:pPr>
        <w:pStyle w:val="Notedebasdepage"/>
      </w:pPr>
      <w:r w:rsidRPr="0013314E">
        <w:rPr>
          <w:lang w:val="fr-FR"/>
        </w:rPr>
        <w:tab/>
      </w:r>
      <w:r w:rsidRPr="00901F87">
        <w:rPr>
          <w:rStyle w:val="Appelnotedebasdep"/>
        </w:rPr>
        <w:footnoteRef/>
      </w:r>
      <w:r w:rsidRPr="0013314E">
        <w:rPr>
          <w:lang w:val="fr-FR"/>
        </w:rPr>
        <w:tab/>
      </w:r>
      <w:r w:rsidRPr="0013314E">
        <w:rPr>
          <w:i/>
          <w:iCs/>
          <w:lang w:val="fr-FR"/>
        </w:rPr>
        <w:t>Young-kwan Kim et consorts c</w:t>
      </w:r>
      <w:r w:rsidRPr="00413478">
        <w:rPr>
          <w:i/>
          <w:iCs/>
          <w:lang w:val="fr-FR"/>
        </w:rPr>
        <w:t>.</w:t>
      </w:r>
      <w:r w:rsidRPr="0013314E">
        <w:rPr>
          <w:i/>
          <w:iCs/>
          <w:lang w:val="fr-FR"/>
        </w:rPr>
        <w:t xml:space="preserve"> République de Corée</w:t>
      </w:r>
      <w:r w:rsidRPr="0013314E">
        <w:rPr>
          <w:lang w:val="fr-FR"/>
        </w:rPr>
        <w:t xml:space="preserve"> (</w:t>
      </w:r>
      <w:hyperlink r:id="rId5" w:history="1">
        <w:r w:rsidRPr="00746214">
          <w:rPr>
            <w:rStyle w:val="Lienhypertexte"/>
            <w:lang w:val="fr-FR"/>
          </w:rPr>
          <w:t>CCPR/C/112/D/2179/2012</w:t>
        </w:r>
      </w:hyperlink>
      <w:r w:rsidRPr="0013314E">
        <w:rPr>
          <w:lang w:val="fr-FR"/>
        </w:rPr>
        <w:t xml:space="preserve">), </w:t>
      </w:r>
      <w:r>
        <w:rPr>
          <w:lang w:val="fr-FR"/>
        </w:rPr>
        <w:t>par. </w:t>
      </w:r>
      <w:r w:rsidRPr="0013314E">
        <w:rPr>
          <w:lang w:val="fr-FR"/>
        </w:rPr>
        <w:t>7</w:t>
      </w:r>
      <w:r w:rsidRPr="00413478">
        <w:rPr>
          <w:lang w:val="fr-FR"/>
        </w:rPr>
        <w:t>.</w:t>
      </w:r>
      <w:r w:rsidRPr="0013314E">
        <w:rPr>
          <w:lang w:val="fr-FR"/>
        </w:rPr>
        <w:t>5</w:t>
      </w:r>
      <w:r w:rsidRPr="00413478">
        <w:rPr>
          <w:lang w:val="fr-FR"/>
        </w:rPr>
        <w:t>.</w:t>
      </w:r>
    </w:p>
  </w:footnote>
  <w:footnote w:id="7">
    <w:p w14:paraId="77650028" w14:textId="5FFEDA66" w:rsidR="00142598" w:rsidRPr="00054C58" w:rsidRDefault="00142598" w:rsidP="00142598">
      <w:pPr>
        <w:pStyle w:val="Notedebasdepage"/>
      </w:pPr>
      <w:r w:rsidRPr="0013314E">
        <w:rPr>
          <w:lang w:val="fr-FR"/>
        </w:rPr>
        <w:tab/>
      </w:r>
      <w:r w:rsidRPr="00901F87">
        <w:rPr>
          <w:rStyle w:val="Appelnotedebasdep"/>
        </w:rPr>
        <w:footnoteRef/>
      </w:r>
      <w:r w:rsidRPr="0013314E">
        <w:rPr>
          <w:lang w:val="fr-FR"/>
        </w:rPr>
        <w:tab/>
      </w:r>
      <w:r w:rsidRPr="0013314E">
        <w:rPr>
          <w:i/>
          <w:iCs/>
          <w:lang w:val="fr-FR"/>
        </w:rPr>
        <w:t>Abdullayev c</w:t>
      </w:r>
      <w:r w:rsidRPr="00413478">
        <w:rPr>
          <w:i/>
          <w:iCs/>
          <w:lang w:val="fr-FR"/>
        </w:rPr>
        <w:t>.</w:t>
      </w:r>
      <w:r w:rsidRPr="0013314E">
        <w:rPr>
          <w:i/>
          <w:iCs/>
          <w:lang w:val="fr-FR"/>
        </w:rPr>
        <w:t xml:space="preserve"> Turkménistan </w:t>
      </w:r>
      <w:r w:rsidRPr="0013314E">
        <w:rPr>
          <w:lang w:val="fr-FR"/>
        </w:rPr>
        <w:t>(</w:t>
      </w:r>
      <w:hyperlink r:id="rId6" w:history="1">
        <w:r w:rsidRPr="00746214">
          <w:rPr>
            <w:rStyle w:val="Lienhypertexte"/>
            <w:lang w:val="fr-FR"/>
          </w:rPr>
          <w:t>CCPR/C/113/D/2218/2012</w:t>
        </w:r>
      </w:hyperlink>
      <w:r w:rsidRPr="0013314E">
        <w:rPr>
          <w:lang w:val="fr-FR"/>
        </w:rPr>
        <w:t xml:space="preserve">), </w:t>
      </w:r>
      <w:r>
        <w:rPr>
          <w:lang w:val="fr-FR"/>
        </w:rPr>
        <w:t>par. </w:t>
      </w:r>
      <w:r w:rsidRPr="0013314E">
        <w:rPr>
          <w:lang w:val="fr-FR"/>
        </w:rPr>
        <w:t>7</w:t>
      </w:r>
      <w:r w:rsidRPr="00413478">
        <w:rPr>
          <w:lang w:val="fr-FR"/>
        </w:rPr>
        <w:t>.</w:t>
      </w:r>
      <w:r w:rsidRPr="0013314E">
        <w:rPr>
          <w:lang w:val="fr-FR"/>
        </w:rPr>
        <w:t>7</w:t>
      </w:r>
      <w:r w:rsidRPr="00413478">
        <w:rPr>
          <w:lang w:val="fr-FR"/>
        </w:rPr>
        <w:t>.</w:t>
      </w:r>
    </w:p>
  </w:footnote>
  <w:footnote w:id="8">
    <w:p w14:paraId="78C40121" w14:textId="227C4DF7" w:rsidR="00142598" w:rsidRPr="00054C58" w:rsidRDefault="00142598" w:rsidP="00142598">
      <w:pPr>
        <w:pStyle w:val="Notedebasdepage"/>
      </w:pPr>
      <w:r w:rsidRPr="0013314E">
        <w:rPr>
          <w:lang w:val="fr-FR"/>
        </w:rPr>
        <w:tab/>
      </w:r>
      <w:r w:rsidRPr="00901F87">
        <w:rPr>
          <w:rStyle w:val="Appelnotedebasdep"/>
        </w:rPr>
        <w:footnoteRef/>
      </w:r>
      <w:r w:rsidRPr="0013314E">
        <w:rPr>
          <w:lang w:val="fr-FR"/>
        </w:rPr>
        <w:tab/>
      </w:r>
      <w:r w:rsidRPr="0013314E">
        <w:rPr>
          <w:i/>
          <w:iCs/>
          <w:lang w:val="fr-FR"/>
        </w:rPr>
        <w:t>Hill c</w:t>
      </w:r>
      <w:r w:rsidRPr="00413478">
        <w:rPr>
          <w:i/>
          <w:iCs/>
          <w:lang w:val="fr-FR"/>
        </w:rPr>
        <w:t>.</w:t>
      </w:r>
      <w:r w:rsidRPr="0013314E">
        <w:rPr>
          <w:i/>
          <w:iCs/>
          <w:lang w:val="fr-FR"/>
        </w:rPr>
        <w:t xml:space="preserve"> Espagne </w:t>
      </w:r>
      <w:r w:rsidRPr="0013314E">
        <w:rPr>
          <w:lang w:val="fr-FR"/>
        </w:rPr>
        <w:t>(</w:t>
      </w:r>
      <w:hyperlink r:id="rId7" w:history="1">
        <w:r w:rsidRPr="00746214">
          <w:rPr>
            <w:rStyle w:val="Lienhypertexte"/>
            <w:lang w:val="fr-FR"/>
          </w:rPr>
          <w:t>CCPR/C/59/D/526/1993</w:t>
        </w:r>
      </w:hyperlink>
      <w:r w:rsidRPr="0013314E">
        <w:rPr>
          <w:lang w:val="fr-FR"/>
        </w:rPr>
        <w:t xml:space="preserve">), </w:t>
      </w:r>
      <w:r>
        <w:rPr>
          <w:lang w:val="fr-FR"/>
        </w:rPr>
        <w:t>par. </w:t>
      </w:r>
      <w:r w:rsidRPr="0013314E">
        <w:rPr>
          <w:lang w:val="fr-FR"/>
        </w:rPr>
        <w:t>12</w:t>
      </w:r>
      <w:r w:rsidRPr="00413478">
        <w:rPr>
          <w:lang w:val="fr-FR"/>
        </w:rPr>
        <w:t>.</w:t>
      </w:r>
      <w:r w:rsidRPr="0013314E">
        <w:rPr>
          <w:lang w:val="fr-FR"/>
        </w:rPr>
        <w:t>3</w:t>
      </w:r>
      <w:r w:rsidRPr="00413478">
        <w:rPr>
          <w:lang w:val="fr-FR"/>
        </w:rPr>
        <w:t>.</w:t>
      </w:r>
    </w:p>
  </w:footnote>
  <w:footnote w:id="9">
    <w:p w14:paraId="126C3FE9" w14:textId="77777777" w:rsidR="00142598" w:rsidRPr="00054C58" w:rsidRDefault="00142598" w:rsidP="00142598">
      <w:pPr>
        <w:pStyle w:val="Notedebasdepage"/>
      </w:pPr>
      <w:r w:rsidRPr="0013314E">
        <w:rPr>
          <w:lang w:val="fr-FR"/>
        </w:rPr>
        <w:tab/>
      </w:r>
      <w:r w:rsidRPr="00901F87">
        <w:rPr>
          <w:rStyle w:val="Appelnotedebasdep"/>
        </w:rPr>
        <w:footnoteRef/>
      </w:r>
      <w:r w:rsidRPr="0013314E">
        <w:rPr>
          <w:lang w:val="fr-FR"/>
        </w:rPr>
        <w:tab/>
      </w:r>
      <w:r>
        <w:rPr>
          <w:lang w:val="fr-FR"/>
        </w:rPr>
        <w:t>Ibid</w:t>
      </w:r>
      <w:r w:rsidRPr="00413478">
        <w:rPr>
          <w:lang w:val="fr-FR"/>
        </w:rPr>
        <w:t>.</w:t>
      </w:r>
    </w:p>
  </w:footnote>
  <w:footnote w:id="10">
    <w:p w14:paraId="5DDC76EE" w14:textId="677618B0" w:rsidR="00142598" w:rsidRPr="00054C58" w:rsidRDefault="00142598" w:rsidP="00142598">
      <w:pPr>
        <w:pStyle w:val="Notedebasdepage"/>
      </w:pPr>
      <w:r w:rsidRPr="0013314E">
        <w:rPr>
          <w:lang w:val="fr-FR"/>
        </w:rPr>
        <w:tab/>
      </w:r>
      <w:r w:rsidRPr="00901F87">
        <w:rPr>
          <w:rStyle w:val="Appelnotedebasdep"/>
        </w:rPr>
        <w:footnoteRef/>
      </w:r>
      <w:r w:rsidRPr="0013314E">
        <w:rPr>
          <w:lang w:val="fr-FR"/>
        </w:rPr>
        <w:tab/>
      </w:r>
      <w:r>
        <w:rPr>
          <w:lang w:val="fr-FR"/>
        </w:rPr>
        <w:t>P</w:t>
      </w:r>
      <w:r w:rsidRPr="0013314E">
        <w:rPr>
          <w:lang w:val="fr-FR"/>
        </w:rPr>
        <w:t xml:space="preserve">ar exemple, </w:t>
      </w:r>
      <w:r w:rsidRPr="0013314E">
        <w:rPr>
          <w:i/>
          <w:iCs/>
          <w:lang w:val="fr-FR"/>
        </w:rPr>
        <w:t>Young-kwan Kim et consorts c</w:t>
      </w:r>
      <w:r w:rsidRPr="00413478">
        <w:rPr>
          <w:i/>
          <w:iCs/>
          <w:lang w:val="fr-FR"/>
        </w:rPr>
        <w:t>.</w:t>
      </w:r>
      <w:r w:rsidRPr="0013314E">
        <w:rPr>
          <w:i/>
          <w:iCs/>
          <w:lang w:val="fr-FR"/>
        </w:rPr>
        <w:t xml:space="preserve"> République de Corée</w:t>
      </w:r>
      <w:r w:rsidRPr="0013314E">
        <w:rPr>
          <w:lang w:val="fr-FR"/>
        </w:rPr>
        <w:t xml:space="preserve">, </w:t>
      </w:r>
      <w:r>
        <w:rPr>
          <w:lang w:val="fr-FR"/>
        </w:rPr>
        <w:t>par. </w:t>
      </w:r>
      <w:r w:rsidRPr="0013314E">
        <w:rPr>
          <w:lang w:val="fr-FR"/>
        </w:rPr>
        <w:t>7</w:t>
      </w:r>
      <w:r w:rsidRPr="00413478">
        <w:rPr>
          <w:lang w:val="fr-FR"/>
        </w:rPr>
        <w:t>.</w:t>
      </w:r>
      <w:r w:rsidRPr="0013314E">
        <w:rPr>
          <w:lang w:val="fr-FR"/>
        </w:rPr>
        <w:t xml:space="preserve">3, et </w:t>
      </w:r>
      <w:r w:rsidRPr="0013314E">
        <w:rPr>
          <w:i/>
          <w:iCs/>
          <w:lang w:val="fr-FR"/>
        </w:rPr>
        <w:t>Atasoy et Sarkut c</w:t>
      </w:r>
      <w:r w:rsidRPr="00413478">
        <w:rPr>
          <w:i/>
          <w:iCs/>
          <w:lang w:val="fr-FR"/>
        </w:rPr>
        <w:t>.</w:t>
      </w:r>
      <w:r w:rsidR="00D9258B">
        <w:rPr>
          <w:i/>
          <w:iCs/>
          <w:lang w:val="fr-FR"/>
        </w:rPr>
        <w:t> </w:t>
      </w:r>
      <w:r w:rsidRPr="0013314E">
        <w:rPr>
          <w:i/>
          <w:iCs/>
          <w:lang w:val="fr-FR"/>
        </w:rPr>
        <w:t>Turquie</w:t>
      </w:r>
      <w:r w:rsidRPr="0013314E">
        <w:rPr>
          <w:lang w:val="fr-FR"/>
        </w:rPr>
        <w:t xml:space="preserve"> (</w:t>
      </w:r>
      <w:hyperlink r:id="rId8" w:history="1">
        <w:r w:rsidRPr="00746214">
          <w:rPr>
            <w:rStyle w:val="Lienhypertexte"/>
            <w:lang w:val="fr-FR"/>
          </w:rPr>
          <w:t>CCPR/C/104/D/1853-1854/2008</w:t>
        </w:r>
      </w:hyperlink>
      <w:r w:rsidRPr="0013314E">
        <w:rPr>
          <w:lang w:val="fr-FR"/>
        </w:rPr>
        <w:t xml:space="preserve">), </w:t>
      </w:r>
      <w:r>
        <w:rPr>
          <w:lang w:val="fr-FR"/>
        </w:rPr>
        <w:t>par. </w:t>
      </w:r>
      <w:r w:rsidRPr="0013314E">
        <w:rPr>
          <w:lang w:val="fr-FR"/>
        </w:rPr>
        <w:t>10</w:t>
      </w:r>
      <w:r w:rsidRPr="00413478">
        <w:rPr>
          <w:lang w:val="fr-FR"/>
        </w:rPr>
        <w:t>.</w:t>
      </w:r>
      <w:r w:rsidRPr="0013314E">
        <w:rPr>
          <w:lang w:val="fr-FR"/>
        </w:rPr>
        <w:t>4</w:t>
      </w:r>
      <w:r w:rsidRPr="00413478">
        <w:rPr>
          <w:lang w:val="fr-FR"/>
        </w:rPr>
        <w:t>.</w:t>
      </w:r>
    </w:p>
  </w:footnote>
  <w:footnote w:id="11">
    <w:p w14:paraId="6DCB6585" w14:textId="0EA8D181" w:rsidR="00142598" w:rsidRPr="00054C58" w:rsidRDefault="00142598" w:rsidP="00142598">
      <w:pPr>
        <w:pStyle w:val="Notedebasdepage"/>
      </w:pPr>
      <w:r w:rsidRPr="0013314E">
        <w:rPr>
          <w:lang w:val="fr-FR"/>
        </w:rPr>
        <w:tab/>
      </w:r>
      <w:r w:rsidRPr="00901F87">
        <w:rPr>
          <w:rStyle w:val="Appelnotedebasdep"/>
        </w:rPr>
        <w:footnoteRef/>
      </w:r>
      <w:r w:rsidRPr="0013314E">
        <w:rPr>
          <w:lang w:val="fr-FR"/>
        </w:rPr>
        <w:tab/>
      </w:r>
      <w:r>
        <w:rPr>
          <w:lang w:val="fr-FR"/>
        </w:rPr>
        <w:t>P</w:t>
      </w:r>
      <w:r w:rsidRPr="0013314E">
        <w:rPr>
          <w:lang w:val="fr-FR"/>
        </w:rPr>
        <w:t>ar exemple</w:t>
      </w:r>
      <w:r>
        <w:rPr>
          <w:lang w:val="fr-FR"/>
        </w:rPr>
        <w:t xml:space="preserve">, </w:t>
      </w:r>
      <w:r w:rsidRPr="0013314E">
        <w:rPr>
          <w:lang w:val="fr-FR"/>
        </w:rPr>
        <w:t>Cour européenne des droits de l</w:t>
      </w:r>
      <w:r w:rsidR="00D9258B">
        <w:rPr>
          <w:lang w:val="fr-FR"/>
        </w:rPr>
        <w:t>’</w:t>
      </w:r>
      <w:r w:rsidRPr="0013314E">
        <w:rPr>
          <w:lang w:val="fr-FR"/>
        </w:rPr>
        <w:t>homme</w:t>
      </w:r>
      <w:r>
        <w:rPr>
          <w:lang w:val="fr-FR"/>
        </w:rPr>
        <w:t xml:space="preserve">, </w:t>
      </w:r>
      <w:r w:rsidRPr="0013314E">
        <w:rPr>
          <w:i/>
          <w:iCs/>
          <w:lang w:val="fr-FR"/>
        </w:rPr>
        <w:t>Bayatyan c</w:t>
      </w:r>
      <w:r w:rsidRPr="00413478">
        <w:rPr>
          <w:i/>
          <w:iCs/>
          <w:lang w:val="fr-FR"/>
        </w:rPr>
        <w:t>.</w:t>
      </w:r>
      <w:r w:rsidRPr="0013314E">
        <w:rPr>
          <w:i/>
          <w:iCs/>
          <w:lang w:val="fr-FR"/>
        </w:rPr>
        <w:t xml:space="preserve"> Arménie</w:t>
      </w:r>
      <w:r>
        <w:rPr>
          <w:lang w:val="fr-FR"/>
        </w:rPr>
        <w:t xml:space="preserve"> (</w:t>
      </w:r>
      <w:r w:rsidRPr="0013314E">
        <w:rPr>
          <w:lang w:val="fr-FR"/>
        </w:rPr>
        <w:t>requête n</w:t>
      </w:r>
      <w:r w:rsidRPr="0013314E">
        <w:rPr>
          <w:vertAlign w:val="superscript"/>
          <w:lang w:val="fr-FR"/>
        </w:rPr>
        <w:t>o</w:t>
      </w:r>
      <w:r w:rsidR="00D9258B">
        <w:rPr>
          <w:lang w:val="fr-FR"/>
        </w:rPr>
        <w:t> </w:t>
      </w:r>
      <w:r w:rsidRPr="0013314E">
        <w:rPr>
          <w:lang w:val="fr-FR"/>
        </w:rPr>
        <w:t>23459/03</w:t>
      </w:r>
      <w:r>
        <w:rPr>
          <w:lang w:val="fr-FR"/>
        </w:rPr>
        <w:t>),</w:t>
      </w:r>
      <w:r w:rsidRPr="0013314E">
        <w:rPr>
          <w:lang w:val="fr-FR"/>
        </w:rPr>
        <w:t xml:space="preserve"> </w:t>
      </w:r>
      <w:r w:rsidRPr="003C6689">
        <w:rPr>
          <w:lang w:val="fr-FR"/>
        </w:rPr>
        <w:t>arrêt</w:t>
      </w:r>
      <w:r>
        <w:rPr>
          <w:lang w:val="fr-FR"/>
        </w:rPr>
        <w:t xml:space="preserve"> du </w:t>
      </w:r>
      <w:r w:rsidRPr="0013314E">
        <w:rPr>
          <w:lang w:val="fr-FR"/>
        </w:rPr>
        <w:t>7</w:t>
      </w:r>
      <w:r w:rsidR="003C6689">
        <w:rPr>
          <w:lang w:val="fr-FR"/>
        </w:rPr>
        <w:t> </w:t>
      </w:r>
      <w:r w:rsidRPr="0013314E">
        <w:rPr>
          <w:lang w:val="fr-FR"/>
        </w:rPr>
        <w:t>juillet 2011</w:t>
      </w:r>
      <w:r>
        <w:rPr>
          <w:lang w:val="fr-FR"/>
        </w:rPr>
        <w:t>, par. </w:t>
      </w:r>
      <w:r w:rsidRPr="0013314E">
        <w:rPr>
          <w:lang w:val="fr-FR"/>
        </w:rPr>
        <w:t>111 et 124 à 127</w:t>
      </w:r>
      <w:r w:rsidRPr="00413478">
        <w:rPr>
          <w:lang w:val="fr-FR"/>
        </w:rPr>
        <w:t>.</w:t>
      </w:r>
    </w:p>
  </w:footnote>
  <w:footnote w:id="12">
    <w:p w14:paraId="2F029016" w14:textId="316838A5" w:rsidR="00142598" w:rsidRPr="00054C58" w:rsidRDefault="00142598" w:rsidP="00142598">
      <w:pPr>
        <w:pStyle w:val="Notedebasdepage"/>
      </w:pPr>
      <w:r w:rsidRPr="0013314E">
        <w:rPr>
          <w:lang w:val="fr-FR"/>
        </w:rPr>
        <w:tab/>
      </w:r>
      <w:r w:rsidRPr="00901F87">
        <w:rPr>
          <w:rStyle w:val="Appelnotedebasdep"/>
        </w:rPr>
        <w:footnoteRef/>
      </w:r>
      <w:r w:rsidRPr="0013314E">
        <w:rPr>
          <w:lang w:val="fr-FR"/>
        </w:rPr>
        <w:tab/>
      </w:r>
      <w:r>
        <w:rPr>
          <w:lang w:val="fr-FR"/>
        </w:rPr>
        <w:t>Par exemple</w:t>
      </w:r>
      <w:r w:rsidRPr="0013314E">
        <w:rPr>
          <w:lang w:val="fr-FR"/>
        </w:rPr>
        <w:t xml:space="preserve">, </w:t>
      </w:r>
      <w:r w:rsidRPr="0013314E">
        <w:rPr>
          <w:i/>
          <w:iCs/>
          <w:lang w:val="fr-FR"/>
        </w:rPr>
        <w:t>Nasyrlayev c</w:t>
      </w:r>
      <w:r w:rsidRPr="00413478">
        <w:rPr>
          <w:i/>
          <w:iCs/>
          <w:lang w:val="fr-FR"/>
        </w:rPr>
        <w:t>.</w:t>
      </w:r>
      <w:r w:rsidRPr="0013314E">
        <w:rPr>
          <w:i/>
          <w:iCs/>
          <w:lang w:val="fr-FR"/>
        </w:rPr>
        <w:t xml:space="preserve"> Turkménistan</w:t>
      </w:r>
      <w:r w:rsidRPr="0013314E">
        <w:rPr>
          <w:lang w:val="fr-FR"/>
        </w:rPr>
        <w:t xml:space="preserve"> (</w:t>
      </w:r>
      <w:hyperlink r:id="rId9" w:history="1">
        <w:r w:rsidRPr="00746214">
          <w:rPr>
            <w:rStyle w:val="Lienhypertexte"/>
            <w:lang w:val="fr-FR"/>
          </w:rPr>
          <w:t>CCPR/C/117/D/2219/2012</w:t>
        </w:r>
      </w:hyperlink>
      <w:r w:rsidRPr="0013314E">
        <w:rPr>
          <w:lang w:val="fr-FR"/>
        </w:rPr>
        <w:t xml:space="preserve">), </w:t>
      </w:r>
      <w:r>
        <w:rPr>
          <w:lang w:val="fr-FR"/>
        </w:rPr>
        <w:t>par. </w:t>
      </w:r>
      <w:r w:rsidRPr="0013314E">
        <w:rPr>
          <w:lang w:val="fr-FR"/>
        </w:rPr>
        <w:t>10</w:t>
      </w:r>
      <w:r>
        <w:rPr>
          <w:lang w:val="fr-FR"/>
        </w:rPr>
        <w:t xml:space="preserve">, </w:t>
      </w:r>
      <w:r w:rsidRPr="0013314E">
        <w:rPr>
          <w:i/>
          <w:iCs/>
          <w:lang w:val="fr-FR"/>
        </w:rPr>
        <w:t>Matyakubov c</w:t>
      </w:r>
      <w:r w:rsidRPr="00413478">
        <w:rPr>
          <w:i/>
          <w:iCs/>
          <w:lang w:val="fr-FR"/>
        </w:rPr>
        <w:t>.</w:t>
      </w:r>
      <w:r w:rsidR="00D9258B">
        <w:rPr>
          <w:i/>
          <w:iCs/>
          <w:lang w:val="fr-FR"/>
        </w:rPr>
        <w:t> </w:t>
      </w:r>
      <w:r w:rsidRPr="0013314E">
        <w:rPr>
          <w:i/>
          <w:iCs/>
          <w:lang w:val="fr-FR"/>
        </w:rPr>
        <w:t>Turkménistan</w:t>
      </w:r>
      <w:r w:rsidRPr="0013314E">
        <w:rPr>
          <w:lang w:val="fr-FR"/>
        </w:rPr>
        <w:t xml:space="preserve"> (</w:t>
      </w:r>
      <w:hyperlink r:id="rId10" w:history="1">
        <w:r w:rsidRPr="00746214">
          <w:rPr>
            <w:rStyle w:val="Lienhypertexte"/>
            <w:lang w:val="fr-FR"/>
          </w:rPr>
          <w:t>CCPR/C/117/D/2224/2012</w:t>
        </w:r>
      </w:hyperlink>
      <w:r w:rsidRPr="0013314E">
        <w:rPr>
          <w:lang w:val="fr-FR"/>
        </w:rPr>
        <w:t>), par</w:t>
      </w:r>
      <w:r w:rsidRPr="00413478">
        <w:rPr>
          <w:lang w:val="fr-FR"/>
        </w:rPr>
        <w:t>.</w:t>
      </w:r>
      <w:r>
        <w:rPr>
          <w:lang w:val="fr-FR"/>
        </w:rPr>
        <w:t> </w:t>
      </w:r>
      <w:r w:rsidRPr="0013314E">
        <w:rPr>
          <w:lang w:val="fr-FR"/>
        </w:rPr>
        <w:t xml:space="preserve">9 et </w:t>
      </w:r>
      <w:r w:rsidRPr="0013314E">
        <w:rPr>
          <w:i/>
          <w:iCs/>
          <w:lang w:val="fr-FR"/>
        </w:rPr>
        <w:t>Nurjanov</w:t>
      </w:r>
      <w:r>
        <w:rPr>
          <w:i/>
          <w:iCs/>
          <w:lang w:val="fr-FR"/>
        </w:rPr>
        <w:t> </w:t>
      </w:r>
      <w:r w:rsidRPr="0013314E">
        <w:rPr>
          <w:i/>
          <w:iCs/>
          <w:lang w:val="fr-FR"/>
        </w:rPr>
        <w:t>c</w:t>
      </w:r>
      <w:r w:rsidRPr="00413478">
        <w:rPr>
          <w:i/>
          <w:iCs/>
          <w:lang w:val="fr-FR"/>
        </w:rPr>
        <w:t>.</w:t>
      </w:r>
      <w:r>
        <w:rPr>
          <w:i/>
          <w:iCs/>
          <w:lang w:val="fr-FR"/>
        </w:rPr>
        <w:t> </w:t>
      </w:r>
      <w:r w:rsidRPr="0013314E">
        <w:rPr>
          <w:i/>
          <w:iCs/>
          <w:lang w:val="fr-FR"/>
        </w:rPr>
        <w:t>Turkménistan</w:t>
      </w:r>
      <w:r w:rsidRPr="0013314E">
        <w:rPr>
          <w:lang w:val="fr-FR"/>
        </w:rPr>
        <w:t xml:space="preserve"> (</w:t>
      </w:r>
      <w:hyperlink r:id="rId11" w:history="1">
        <w:r w:rsidRPr="00746214">
          <w:rPr>
            <w:rStyle w:val="Lienhypertexte"/>
            <w:lang w:val="fr-FR"/>
          </w:rPr>
          <w:t>CCPR/C/117/D/2225/2012</w:t>
        </w:r>
      </w:hyperlink>
      <w:r w:rsidRPr="0013314E">
        <w:rPr>
          <w:lang w:val="fr-FR"/>
        </w:rPr>
        <w:t>), par</w:t>
      </w:r>
      <w:r w:rsidRPr="00413478">
        <w:rPr>
          <w:lang w:val="fr-FR"/>
        </w:rPr>
        <w:t>.</w:t>
      </w:r>
      <w:r>
        <w:rPr>
          <w:lang w:val="fr-FR"/>
        </w:rPr>
        <w:t> </w:t>
      </w:r>
      <w:r w:rsidRPr="0013314E">
        <w:rPr>
          <w:lang w:val="fr-FR"/>
        </w:rPr>
        <w:t>11</w:t>
      </w:r>
      <w:r w:rsidRPr="00413478">
        <w:rPr>
          <w:lang w:val="fr-FR"/>
        </w:rPr>
        <w:t>.</w:t>
      </w:r>
    </w:p>
  </w:footnote>
  <w:footnote w:id="13">
    <w:p w14:paraId="105E5DB5" w14:textId="1211CE04" w:rsidR="00142598" w:rsidRPr="00054C58" w:rsidRDefault="00142598" w:rsidP="00142598">
      <w:pPr>
        <w:pStyle w:val="Notedebasdepage"/>
      </w:pPr>
      <w:r w:rsidRPr="0013314E">
        <w:rPr>
          <w:lang w:val="fr-FR"/>
        </w:rPr>
        <w:tab/>
      </w:r>
      <w:r w:rsidRPr="00901F87">
        <w:rPr>
          <w:rStyle w:val="Appelnotedebasdep"/>
        </w:rPr>
        <w:footnoteRef/>
      </w:r>
      <w:r w:rsidRPr="0013314E">
        <w:rPr>
          <w:lang w:val="fr-FR"/>
        </w:rPr>
        <w:tab/>
      </w:r>
      <w:r w:rsidRPr="003505D8">
        <w:rPr>
          <w:lang w:val="fr-FR"/>
        </w:rPr>
        <w:t xml:space="preserve">Voir, par exemple, </w:t>
      </w:r>
      <w:r w:rsidRPr="003505D8">
        <w:rPr>
          <w:i/>
          <w:iCs/>
          <w:lang w:val="fr-FR"/>
        </w:rPr>
        <w:t>Nazarov et consorts c. Turkménistan</w:t>
      </w:r>
      <w:r w:rsidR="003505D8" w:rsidRPr="003505D8">
        <w:rPr>
          <w:lang w:val="fr-FR"/>
        </w:rPr>
        <w:t xml:space="preserve"> </w:t>
      </w:r>
      <w:r w:rsidR="003505D8" w:rsidRPr="003505D8">
        <w:rPr>
          <w:lang w:val="fr-FR"/>
        </w:rPr>
        <w:t>(</w:t>
      </w:r>
      <w:hyperlink r:id="rId12" w:history="1">
        <w:r w:rsidR="003505D8" w:rsidRPr="003505D8">
          <w:rPr>
            <w:rStyle w:val="Lienhypertexte"/>
            <w:lang w:val="fr-FR"/>
          </w:rPr>
          <w:t>CCPR/C/126/D/2302/2013</w:t>
        </w:r>
      </w:hyperlink>
      <w:r w:rsidR="003505D8" w:rsidRPr="003505D8">
        <w:rPr>
          <w:lang w:val="fr-FR"/>
        </w:rPr>
        <w:t xml:space="preserve">) </w:t>
      </w:r>
      <w:r w:rsidRPr="003505D8">
        <w:rPr>
          <w:lang w:val="fr-FR"/>
        </w:rPr>
        <w:t xml:space="preserve"> par. 5.</w:t>
      </w:r>
    </w:p>
  </w:footnote>
  <w:footnote w:id="14">
    <w:p w14:paraId="0F3DA7B2" w14:textId="2235F17F" w:rsidR="00142598" w:rsidRPr="00054C58" w:rsidRDefault="00142598" w:rsidP="00142598">
      <w:pPr>
        <w:pStyle w:val="Notedebasdepage"/>
      </w:pPr>
      <w:r w:rsidRPr="0013314E">
        <w:rPr>
          <w:lang w:val="fr-FR"/>
        </w:rPr>
        <w:tab/>
      </w:r>
      <w:r w:rsidRPr="00901F87">
        <w:rPr>
          <w:rStyle w:val="Appelnotedebasdep"/>
        </w:rPr>
        <w:footnoteRef/>
      </w:r>
      <w:r w:rsidRPr="0013314E">
        <w:rPr>
          <w:lang w:val="fr-FR"/>
        </w:rPr>
        <w:tab/>
        <w:t>Voir, par exemple,</w:t>
      </w:r>
      <w:r w:rsidRPr="0013314E">
        <w:rPr>
          <w:i/>
          <w:iCs/>
          <w:lang w:val="fr-FR"/>
        </w:rPr>
        <w:t xml:space="preserve"> Nazarov et consorts c</w:t>
      </w:r>
      <w:r w:rsidRPr="00413478">
        <w:rPr>
          <w:i/>
          <w:iCs/>
          <w:lang w:val="fr-FR"/>
        </w:rPr>
        <w:t>.</w:t>
      </w:r>
      <w:r w:rsidRPr="0013314E">
        <w:rPr>
          <w:i/>
          <w:iCs/>
          <w:lang w:val="fr-FR"/>
        </w:rPr>
        <w:t xml:space="preserve"> Turkménistan</w:t>
      </w:r>
      <w:r w:rsidRPr="0013314E">
        <w:rPr>
          <w:lang w:val="fr-FR"/>
        </w:rPr>
        <w:t xml:space="preserve"> </w:t>
      </w:r>
      <w:r>
        <w:rPr>
          <w:lang w:val="fr-FR"/>
        </w:rPr>
        <w:t>par. </w:t>
      </w:r>
      <w:r w:rsidRPr="0013314E">
        <w:rPr>
          <w:lang w:val="fr-FR"/>
        </w:rPr>
        <w:t>7</w:t>
      </w:r>
      <w:r w:rsidRPr="00413478">
        <w:rPr>
          <w:lang w:val="fr-FR"/>
        </w:rPr>
        <w:t>.</w:t>
      </w:r>
      <w:r w:rsidRPr="0013314E">
        <w:rPr>
          <w:lang w:val="fr-FR"/>
        </w:rPr>
        <w:t xml:space="preserve">3, </w:t>
      </w:r>
      <w:r w:rsidRPr="0013314E">
        <w:rPr>
          <w:i/>
          <w:iCs/>
          <w:lang w:val="fr-FR"/>
        </w:rPr>
        <w:t>Durdyyev c</w:t>
      </w:r>
      <w:r w:rsidRPr="00413478">
        <w:rPr>
          <w:i/>
          <w:iCs/>
          <w:lang w:val="fr-FR"/>
        </w:rPr>
        <w:t>.</w:t>
      </w:r>
      <w:r w:rsidRPr="0013314E">
        <w:rPr>
          <w:i/>
          <w:iCs/>
          <w:lang w:val="fr-FR"/>
        </w:rPr>
        <w:t xml:space="preserve"> Turkménistan</w:t>
      </w:r>
      <w:r w:rsidRPr="0013314E">
        <w:rPr>
          <w:lang w:val="fr-FR"/>
        </w:rPr>
        <w:t xml:space="preserve"> (</w:t>
      </w:r>
      <w:hyperlink r:id="rId13" w:history="1">
        <w:r w:rsidRPr="00746214">
          <w:rPr>
            <w:rStyle w:val="Lienhypertexte"/>
            <w:lang w:val="fr-FR"/>
          </w:rPr>
          <w:t>CCPR/C/124/D/2268/2013</w:t>
        </w:r>
      </w:hyperlink>
      <w:r w:rsidRPr="0013314E">
        <w:rPr>
          <w:lang w:val="fr-FR"/>
        </w:rPr>
        <w:t xml:space="preserve">), </w:t>
      </w:r>
      <w:r>
        <w:rPr>
          <w:lang w:val="fr-FR"/>
        </w:rPr>
        <w:t>par. </w:t>
      </w:r>
      <w:r w:rsidRPr="0013314E">
        <w:rPr>
          <w:lang w:val="fr-FR"/>
        </w:rPr>
        <w:t>7</w:t>
      </w:r>
      <w:r w:rsidRPr="00413478">
        <w:rPr>
          <w:lang w:val="fr-FR"/>
        </w:rPr>
        <w:t>.</w:t>
      </w:r>
      <w:r w:rsidRPr="0013314E">
        <w:rPr>
          <w:lang w:val="fr-FR"/>
        </w:rPr>
        <w:t xml:space="preserve">2, </w:t>
      </w:r>
      <w:r w:rsidRPr="0013314E">
        <w:rPr>
          <w:i/>
          <w:iCs/>
          <w:lang w:val="fr-FR"/>
        </w:rPr>
        <w:t>Petromelidis c</w:t>
      </w:r>
      <w:r w:rsidRPr="00413478">
        <w:rPr>
          <w:i/>
          <w:iCs/>
          <w:lang w:val="fr-FR"/>
        </w:rPr>
        <w:t>.</w:t>
      </w:r>
      <w:r w:rsidRPr="0013314E">
        <w:rPr>
          <w:i/>
          <w:iCs/>
          <w:lang w:val="fr-FR"/>
        </w:rPr>
        <w:t xml:space="preserve"> Grèce</w:t>
      </w:r>
      <w:r w:rsidRPr="0013314E">
        <w:rPr>
          <w:lang w:val="fr-FR"/>
        </w:rPr>
        <w:t xml:space="preserve"> (</w:t>
      </w:r>
      <w:hyperlink r:id="rId14" w:history="1">
        <w:r w:rsidRPr="00746214">
          <w:rPr>
            <w:rStyle w:val="Lienhypertexte"/>
            <w:lang w:val="fr-FR"/>
          </w:rPr>
          <w:t>CCPR/C/132/D/3065/2017</w:t>
        </w:r>
      </w:hyperlink>
      <w:r w:rsidRPr="0013314E">
        <w:rPr>
          <w:lang w:val="fr-FR"/>
        </w:rPr>
        <w:t xml:space="preserve">), </w:t>
      </w:r>
      <w:r>
        <w:rPr>
          <w:lang w:val="fr-FR"/>
        </w:rPr>
        <w:t>par. </w:t>
      </w:r>
      <w:r w:rsidRPr="0013314E">
        <w:rPr>
          <w:lang w:val="fr-FR"/>
        </w:rPr>
        <w:t>9</w:t>
      </w:r>
      <w:r w:rsidRPr="00413478">
        <w:rPr>
          <w:lang w:val="fr-FR"/>
        </w:rPr>
        <w:t>.</w:t>
      </w:r>
      <w:r w:rsidRPr="0013314E">
        <w:rPr>
          <w:lang w:val="fr-FR"/>
        </w:rPr>
        <w:t>3</w:t>
      </w:r>
      <w:r>
        <w:rPr>
          <w:lang w:val="fr-FR"/>
        </w:rPr>
        <w:t xml:space="preserve"> et</w:t>
      </w:r>
      <w:r w:rsidRPr="0013314E">
        <w:rPr>
          <w:lang w:val="fr-FR"/>
        </w:rPr>
        <w:t xml:space="preserve"> </w:t>
      </w:r>
      <w:r w:rsidRPr="0013314E">
        <w:rPr>
          <w:i/>
          <w:iCs/>
          <w:lang w:val="fr-FR"/>
        </w:rPr>
        <w:t>Bae et consorts c</w:t>
      </w:r>
      <w:r w:rsidRPr="00413478">
        <w:rPr>
          <w:i/>
          <w:iCs/>
          <w:lang w:val="fr-FR"/>
        </w:rPr>
        <w:t>.</w:t>
      </w:r>
      <w:r w:rsidRPr="0013314E">
        <w:rPr>
          <w:i/>
          <w:iCs/>
          <w:lang w:val="fr-FR"/>
        </w:rPr>
        <w:t xml:space="preserve"> République de Corée</w:t>
      </w:r>
      <w:r w:rsidRPr="0013314E">
        <w:rPr>
          <w:lang w:val="fr-FR"/>
        </w:rPr>
        <w:t xml:space="preserve"> (</w:t>
      </w:r>
      <w:hyperlink r:id="rId15" w:history="1">
        <w:r w:rsidRPr="00746214">
          <w:rPr>
            <w:rStyle w:val="Lienhypertexte"/>
            <w:lang w:val="fr-FR"/>
          </w:rPr>
          <w:t>CCPR/C/128/D/2846/2016</w:t>
        </w:r>
      </w:hyperlink>
      <w:r w:rsidRPr="0013314E">
        <w:rPr>
          <w:lang w:val="fr-FR"/>
        </w:rPr>
        <w:t xml:space="preserve">), </w:t>
      </w:r>
      <w:r>
        <w:rPr>
          <w:lang w:val="fr-FR"/>
        </w:rPr>
        <w:t>par. </w:t>
      </w:r>
      <w:r w:rsidRPr="0013314E">
        <w:rPr>
          <w:lang w:val="fr-FR"/>
        </w:rPr>
        <w:t>7</w:t>
      </w:r>
      <w:r w:rsidRPr="00413478">
        <w:rPr>
          <w:lang w:val="fr-FR"/>
        </w:rPr>
        <w:t>.</w:t>
      </w:r>
      <w:r w:rsidRPr="0013314E">
        <w:rPr>
          <w:lang w:val="fr-FR"/>
        </w:rPr>
        <w:t>3</w:t>
      </w:r>
      <w:r w:rsidRPr="00413478">
        <w:rPr>
          <w:lang w:val="fr-FR"/>
        </w:rPr>
        <w:t>.</w:t>
      </w:r>
    </w:p>
  </w:footnote>
  <w:footnote w:id="15">
    <w:p w14:paraId="4B572151" w14:textId="5E1E3EA7" w:rsidR="00142598" w:rsidRPr="00054C58" w:rsidRDefault="00142598" w:rsidP="00142598">
      <w:pPr>
        <w:pStyle w:val="Notedebasdepage"/>
        <w:rPr>
          <w:lang w:val="fr-FR"/>
        </w:rPr>
      </w:pPr>
      <w:r w:rsidRPr="0013314E">
        <w:rPr>
          <w:lang w:val="fr-FR"/>
        </w:rPr>
        <w:tab/>
      </w:r>
      <w:r w:rsidRPr="00901F87">
        <w:rPr>
          <w:rStyle w:val="Appelnotedebasdep"/>
        </w:rPr>
        <w:footnoteRef/>
      </w:r>
      <w:r w:rsidRPr="0013314E">
        <w:rPr>
          <w:lang w:val="fr-FR"/>
        </w:rPr>
        <w:tab/>
      </w:r>
      <w:r w:rsidRPr="0013314E">
        <w:rPr>
          <w:i/>
          <w:iCs/>
          <w:lang w:val="fr-FR"/>
        </w:rPr>
        <w:t>Nazarov et consorts c</w:t>
      </w:r>
      <w:r w:rsidRPr="00413478">
        <w:rPr>
          <w:i/>
          <w:iCs/>
          <w:lang w:val="fr-FR"/>
        </w:rPr>
        <w:t>.</w:t>
      </w:r>
      <w:r w:rsidRPr="0013314E">
        <w:rPr>
          <w:i/>
          <w:iCs/>
          <w:lang w:val="fr-FR"/>
        </w:rPr>
        <w:t xml:space="preserve"> Turkménistan</w:t>
      </w:r>
      <w:r>
        <w:rPr>
          <w:lang w:val="fr-FR"/>
        </w:rPr>
        <w:t>,</w:t>
      </w:r>
      <w:r w:rsidRPr="0013314E">
        <w:rPr>
          <w:lang w:val="fr-FR"/>
        </w:rPr>
        <w:t xml:space="preserve"> </w:t>
      </w:r>
      <w:r>
        <w:rPr>
          <w:lang w:val="fr-FR"/>
        </w:rPr>
        <w:t>par. </w:t>
      </w:r>
      <w:r w:rsidRPr="0013314E">
        <w:rPr>
          <w:lang w:val="fr-FR"/>
        </w:rPr>
        <w:t>7</w:t>
      </w:r>
      <w:r w:rsidRPr="00413478">
        <w:rPr>
          <w:lang w:val="fr-FR"/>
        </w:rPr>
        <w:t>.</w:t>
      </w:r>
      <w:r w:rsidRPr="0013314E">
        <w:rPr>
          <w:lang w:val="fr-FR"/>
        </w:rPr>
        <w:t>3</w:t>
      </w:r>
      <w:r>
        <w:rPr>
          <w:lang w:val="fr-FR"/>
        </w:rPr>
        <w:t> ;</w:t>
      </w:r>
      <w:r w:rsidRPr="0013314E">
        <w:rPr>
          <w:lang w:val="fr-FR"/>
        </w:rPr>
        <w:t xml:space="preserve"> </w:t>
      </w:r>
      <w:r w:rsidRPr="0013314E">
        <w:rPr>
          <w:i/>
          <w:iCs/>
          <w:lang w:val="fr-FR"/>
        </w:rPr>
        <w:t>Durdyyev</w:t>
      </w:r>
      <w:r>
        <w:rPr>
          <w:i/>
          <w:iCs/>
          <w:lang w:val="fr-FR"/>
        </w:rPr>
        <w:t> </w:t>
      </w:r>
      <w:r w:rsidRPr="0013314E">
        <w:rPr>
          <w:i/>
          <w:iCs/>
          <w:lang w:val="fr-FR"/>
        </w:rPr>
        <w:t>c</w:t>
      </w:r>
      <w:r w:rsidRPr="00413478">
        <w:rPr>
          <w:i/>
          <w:iCs/>
          <w:lang w:val="fr-FR"/>
        </w:rPr>
        <w:t>.</w:t>
      </w:r>
      <w:r>
        <w:rPr>
          <w:i/>
          <w:iCs/>
          <w:lang w:val="fr-FR"/>
        </w:rPr>
        <w:t> </w:t>
      </w:r>
      <w:r w:rsidRPr="0013314E">
        <w:rPr>
          <w:i/>
          <w:iCs/>
          <w:lang w:val="fr-FR"/>
        </w:rPr>
        <w:t>Turkménistan</w:t>
      </w:r>
      <w:r w:rsidRPr="0013314E">
        <w:rPr>
          <w:lang w:val="fr-FR"/>
        </w:rPr>
        <w:t xml:space="preserve">, </w:t>
      </w:r>
      <w:r>
        <w:rPr>
          <w:lang w:val="fr-FR"/>
        </w:rPr>
        <w:t>par. </w:t>
      </w:r>
      <w:r w:rsidRPr="0013314E">
        <w:rPr>
          <w:lang w:val="fr-FR"/>
        </w:rPr>
        <w:t>7</w:t>
      </w:r>
      <w:r w:rsidRPr="00413478">
        <w:rPr>
          <w:lang w:val="fr-FR"/>
        </w:rPr>
        <w:t>.</w:t>
      </w:r>
      <w:r w:rsidRPr="0013314E">
        <w:rPr>
          <w:lang w:val="fr-FR"/>
        </w:rPr>
        <w:t>3</w:t>
      </w:r>
      <w:r>
        <w:rPr>
          <w:lang w:val="fr-FR"/>
        </w:rPr>
        <w:t> ;</w:t>
      </w:r>
      <w:r w:rsidRPr="0013314E">
        <w:rPr>
          <w:lang w:val="fr-FR"/>
        </w:rPr>
        <w:t xml:space="preserve"> </w:t>
      </w:r>
      <w:r w:rsidRPr="0013314E">
        <w:rPr>
          <w:i/>
          <w:iCs/>
          <w:lang w:val="fr-FR"/>
        </w:rPr>
        <w:t>Petromelidis c</w:t>
      </w:r>
      <w:r w:rsidRPr="00413478">
        <w:rPr>
          <w:i/>
          <w:iCs/>
          <w:lang w:val="fr-FR"/>
        </w:rPr>
        <w:t>.</w:t>
      </w:r>
      <w:r w:rsidRPr="0013314E">
        <w:rPr>
          <w:i/>
          <w:iCs/>
          <w:lang w:val="fr-FR"/>
        </w:rPr>
        <w:t xml:space="preserve"> Grèce</w:t>
      </w:r>
      <w:r w:rsidRPr="0013314E">
        <w:rPr>
          <w:lang w:val="fr-FR"/>
        </w:rPr>
        <w:t xml:space="preserve">, </w:t>
      </w:r>
      <w:r>
        <w:rPr>
          <w:lang w:val="fr-FR"/>
        </w:rPr>
        <w:t>par. </w:t>
      </w:r>
      <w:r w:rsidRPr="0013314E">
        <w:rPr>
          <w:lang w:val="fr-FR"/>
        </w:rPr>
        <w:t>9</w:t>
      </w:r>
      <w:r w:rsidRPr="00413478">
        <w:rPr>
          <w:lang w:val="fr-FR"/>
        </w:rPr>
        <w:t>.</w:t>
      </w:r>
      <w:r w:rsidRPr="0013314E">
        <w:rPr>
          <w:lang w:val="fr-FR"/>
        </w:rPr>
        <w:t>3</w:t>
      </w:r>
      <w:r>
        <w:rPr>
          <w:lang w:val="fr-FR"/>
        </w:rPr>
        <w:t> ;</w:t>
      </w:r>
      <w:r w:rsidRPr="0013314E">
        <w:rPr>
          <w:lang w:val="fr-FR"/>
        </w:rPr>
        <w:t xml:space="preserve"> </w:t>
      </w:r>
      <w:r w:rsidRPr="0013314E">
        <w:rPr>
          <w:i/>
          <w:iCs/>
          <w:lang w:val="fr-FR"/>
        </w:rPr>
        <w:t>Yoon et Choi c</w:t>
      </w:r>
      <w:r w:rsidRPr="00413478">
        <w:rPr>
          <w:i/>
          <w:iCs/>
          <w:lang w:val="fr-FR"/>
        </w:rPr>
        <w:t>.</w:t>
      </w:r>
      <w:r w:rsidRPr="0013314E">
        <w:rPr>
          <w:i/>
          <w:iCs/>
          <w:lang w:val="fr-FR"/>
        </w:rPr>
        <w:t xml:space="preserve"> République de Corée</w:t>
      </w:r>
      <w:r w:rsidRPr="0013314E">
        <w:rPr>
          <w:lang w:val="fr-FR"/>
        </w:rPr>
        <w:t xml:space="preserve"> (</w:t>
      </w:r>
      <w:hyperlink r:id="rId16" w:history="1">
        <w:r w:rsidRPr="00746214">
          <w:rPr>
            <w:rStyle w:val="Lienhypertexte"/>
            <w:lang w:val="fr-FR"/>
          </w:rPr>
          <w:t>CCPR/C/88/D/1321-1322/2004</w:t>
        </w:r>
      </w:hyperlink>
      <w:r w:rsidRPr="0013314E">
        <w:rPr>
          <w:lang w:val="fr-FR"/>
        </w:rPr>
        <w:t>), par 8</w:t>
      </w:r>
      <w:r w:rsidRPr="00413478">
        <w:rPr>
          <w:lang w:val="fr-FR"/>
        </w:rPr>
        <w:t>.</w:t>
      </w:r>
      <w:r w:rsidRPr="0013314E">
        <w:rPr>
          <w:lang w:val="fr-FR"/>
        </w:rPr>
        <w:t>3</w:t>
      </w:r>
      <w:r>
        <w:rPr>
          <w:lang w:val="fr-FR"/>
        </w:rPr>
        <w:t> ;</w:t>
      </w:r>
      <w:r w:rsidRPr="0013314E">
        <w:rPr>
          <w:lang w:val="fr-FR"/>
        </w:rPr>
        <w:t xml:space="preserve"> </w:t>
      </w:r>
      <w:r w:rsidRPr="00731D35">
        <w:rPr>
          <w:i/>
          <w:iCs/>
        </w:rPr>
        <w:t>Jong-nam</w:t>
      </w:r>
      <w:r>
        <w:t xml:space="preserve"> </w:t>
      </w:r>
      <w:r w:rsidRPr="0013314E">
        <w:rPr>
          <w:i/>
          <w:iCs/>
          <w:lang w:val="fr-FR"/>
        </w:rPr>
        <w:t>Kim</w:t>
      </w:r>
      <w:r>
        <w:rPr>
          <w:i/>
          <w:iCs/>
          <w:lang w:val="fr-FR"/>
        </w:rPr>
        <w:t> </w:t>
      </w:r>
      <w:r w:rsidRPr="0013314E">
        <w:rPr>
          <w:i/>
          <w:iCs/>
          <w:lang w:val="fr-FR"/>
        </w:rPr>
        <w:t>et</w:t>
      </w:r>
      <w:r>
        <w:rPr>
          <w:i/>
          <w:iCs/>
          <w:lang w:val="fr-FR"/>
        </w:rPr>
        <w:t> </w:t>
      </w:r>
      <w:r w:rsidRPr="0013314E">
        <w:rPr>
          <w:i/>
          <w:iCs/>
          <w:lang w:val="fr-FR"/>
        </w:rPr>
        <w:t>consorts</w:t>
      </w:r>
      <w:r>
        <w:rPr>
          <w:i/>
          <w:iCs/>
          <w:lang w:val="fr-FR"/>
        </w:rPr>
        <w:t> </w:t>
      </w:r>
      <w:r w:rsidRPr="0013314E">
        <w:rPr>
          <w:i/>
          <w:iCs/>
          <w:lang w:val="fr-FR"/>
        </w:rPr>
        <w:t>c</w:t>
      </w:r>
      <w:r w:rsidRPr="00413478">
        <w:rPr>
          <w:i/>
          <w:iCs/>
          <w:lang w:val="fr-FR"/>
        </w:rPr>
        <w:t>.</w:t>
      </w:r>
      <w:r>
        <w:rPr>
          <w:i/>
          <w:iCs/>
          <w:lang w:val="fr-FR"/>
        </w:rPr>
        <w:t> </w:t>
      </w:r>
      <w:r w:rsidRPr="0013314E">
        <w:rPr>
          <w:i/>
          <w:iCs/>
          <w:lang w:val="fr-FR"/>
        </w:rPr>
        <w:t xml:space="preserve">République de Corée </w:t>
      </w:r>
      <w:r w:rsidRPr="0013314E">
        <w:rPr>
          <w:lang w:val="fr-FR"/>
        </w:rPr>
        <w:t>(</w:t>
      </w:r>
      <w:hyperlink r:id="rId17" w:history="1">
        <w:r w:rsidRPr="00746214">
          <w:rPr>
            <w:rStyle w:val="Lienhypertexte"/>
            <w:lang w:val="fr-FR"/>
          </w:rPr>
          <w:t>CCPR/C/106/D/1786/2008</w:t>
        </w:r>
      </w:hyperlink>
      <w:r w:rsidRPr="0013314E">
        <w:rPr>
          <w:lang w:val="fr-FR"/>
        </w:rPr>
        <w:t xml:space="preserve">), </w:t>
      </w:r>
      <w:r>
        <w:rPr>
          <w:lang w:val="fr-FR"/>
        </w:rPr>
        <w:t>par. </w:t>
      </w:r>
      <w:r w:rsidRPr="0013314E">
        <w:rPr>
          <w:lang w:val="fr-FR"/>
        </w:rPr>
        <w:t>7</w:t>
      </w:r>
      <w:r w:rsidRPr="00413478">
        <w:rPr>
          <w:lang w:val="fr-FR"/>
        </w:rPr>
        <w:t>.</w:t>
      </w:r>
      <w:r w:rsidRPr="0013314E">
        <w:rPr>
          <w:lang w:val="fr-FR"/>
        </w:rPr>
        <w:t>3</w:t>
      </w:r>
      <w:r>
        <w:rPr>
          <w:lang w:val="fr-FR"/>
        </w:rPr>
        <w:t> ;</w:t>
      </w:r>
      <w:r w:rsidRPr="0013314E">
        <w:rPr>
          <w:lang w:val="fr-FR"/>
        </w:rPr>
        <w:t xml:space="preserve"> </w:t>
      </w:r>
      <w:r w:rsidRPr="0013314E">
        <w:rPr>
          <w:i/>
          <w:iCs/>
          <w:lang w:val="fr-FR"/>
        </w:rPr>
        <w:t>Atasoy</w:t>
      </w:r>
      <w:r>
        <w:rPr>
          <w:i/>
          <w:iCs/>
          <w:lang w:val="fr-FR"/>
        </w:rPr>
        <w:t> </w:t>
      </w:r>
      <w:r w:rsidRPr="0013314E">
        <w:rPr>
          <w:i/>
          <w:iCs/>
          <w:lang w:val="fr-FR"/>
        </w:rPr>
        <w:t>et</w:t>
      </w:r>
      <w:r>
        <w:rPr>
          <w:i/>
          <w:iCs/>
          <w:lang w:val="fr-FR"/>
        </w:rPr>
        <w:t> </w:t>
      </w:r>
      <w:r w:rsidRPr="0013314E">
        <w:rPr>
          <w:i/>
          <w:iCs/>
          <w:lang w:val="fr-FR"/>
        </w:rPr>
        <w:t>Sarkut</w:t>
      </w:r>
      <w:r>
        <w:rPr>
          <w:i/>
          <w:iCs/>
          <w:lang w:val="fr-FR"/>
        </w:rPr>
        <w:t> </w:t>
      </w:r>
      <w:r w:rsidRPr="0013314E">
        <w:rPr>
          <w:i/>
          <w:iCs/>
          <w:lang w:val="fr-FR"/>
        </w:rPr>
        <w:t>c</w:t>
      </w:r>
      <w:r w:rsidRPr="00413478">
        <w:rPr>
          <w:i/>
          <w:iCs/>
          <w:lang w:val="fr-FR"/>
        </w:rPr>
        <w:t>.</w:t>
      </w:r>
      <w:r>
        <w:rPr>
          <w:i/>
          <w:iCs/>
          <w:lang w:val="fr-FR"/>
        </w:rPr>
        <w:t> </w:t>
      </w:r>
      <w:r w:rsidRPr="0013314E">
        <w:rPr>
          <w:i/>
          <w:iCs/>
          <w:lang w:val="fr-FR"/>
        </w:rPr>
        <w:t>Turquie</w:t>
      </w:r>
      <w:r w:rsidRPr="0013314E">
        <w:rPr>
          <w:lang w:val="fr-FR"/>
        </w:rPr>
        <w:t xml:space="preserve">, </w:t>
      </w:r>
      <w:r>
        <w:rPr>
          <w:lang w:val="fr-FR"/>
        </w:rPr>
        <w:t>par. </w:t>
      </w:r>
      <w:r w:rsidRPr="0013314E">
        <w:rPr>
          <w:lang w:val="fr-FR"/>
        </w:rPr>
        <w:t>10</w:t>
      </w:r>
      <w:r w:rsidRPr="00413478">
        <w:rPr>
          <w:lang w:val="fr-FR"/>
        </w:rPr>
        <w:t>.</w:t>
      </w:r>
      <w:r w:rsidRPr="0013314E">
        <w:rPr>
          <w:lang w:val="fr-FR"/>
        </w:rPr>
        <w:t>4</w:t>
      </w:r>
      <w:r>
        <w:rPr>
          <w:lang w:val="fr-FR"/>
        </w:rPr>
        <w:t> ;</w:t>
      </w:r>
      <w:r w:rsidRPr="0013314E">
        <w:rPr>
          <w:lang w:val="fr-FR"/>
        </w:rPr>
        <w:t xml:space="preserve"> </w:t>
      </w:r>
      <w:r w:rsidRPr="00731D35">
        <w:rPr>
          <w:i/>
          <w:iCs/>
        </w:rPr>
        <w:t>Young-kwan</w:t>
      </w:r>
      <w:r>
        <w:t xml:space="preserve"> </w:t>
      </w:r>
      <w:r w:rsidRPr="0013314E">
        <w:rPr>
          <w:i/>
          <w:iCs/>
          <w:lang w:val="fr-FR"/>
        </w:rPr>
        <w:t>Kim</w:t>
      </w:r>
      <w:r>
        <w:rPr>
          <w:i/>
          <w:iCs/>
          <w:lang w:val="fr-FR"/>
        </w:rPr>
        <w:t> </w:t>
      </w:r>
      <w:r w:rsidRPr="0013314E">
        <w:rPr>
          <w:i/>
          <w:iCs/>
          <w:lang w:val="fr-FR"/>
        </w:rPr>
        <w:t>et</w:t>
      </w:r>
      <w:r>
        <w:rPr>
          <w:i/>
          <w:iCs/>
          <w:lang w:val="fr-FR"/>
        </w:rPr>
        <w:t> </w:t>
      </w:r>
      <w:r w:rsidRPr="0013314E">
        <w:rPr>
          <w:i/>
          <w:iCs/>
          <w:lang w:val="fr-FR"/>
        </w:rPr>
        <w:t>consorts</w:t>
      </w:r>
      <w:r>
        <w:rPr>
          <w:i/>
          <w:iCs/>
          <w:lang w:val="fr-FR"/>
        </w:rPr>
        <w:t> </w:t>
      </w:r>
      <w:r w:rsidRPr="0013314E">
        <w:rPr>
          <w:i/>
          <w:iCs/>
          <w:lang w:val="fr-FR"/>
        </w:rPr>
        <w:t>c</w:t>
      </w:r>
      <w:r w:rsidRPr="00413478">
        <w:rPr>
          <w:i/>
          <w:iCs/>
          <w:lang w:val="fr-FR"/>
        </w:rPr>
        <w:t>.</w:t>
      </w:r>
      <w:r>
        <w:rPr>
          <w:i/>
          <w:iCs/>
          <w:lang w:val="fr-FR"/>
        </w:rPr>
        <w:t> </w:t>
      </w:r>
      <w:r w:rsidRPr="0013314E">
        <w:rPr>
          <w:i/>
          <w:iCs/>
          <w:lang w:val="fr-FR"/>
        </w:rPr>
        <w:t>République de Corée</w:t>
      </w:r>
      <w:r w:rsidRPr="0013314E">
        <w:rPr>
          <w:lang w:val="fr-FR"/>
        </w:rPr>
        <w:t xml:space="preserve">, </w:t>
      </w:r>
      <w:r>
        <w:rPr>
          <w:lang w:val="fr-FR"/>
        </w:rPr>
        <w:t>par. </w:t>
      </w:r>
      <w:r w:rsidRPr="0013314E">
        <w:rPr>
          <w:lang w:val="fr-FR"/>
        </w:rPr>
        <w:t>7</w:t>
      </w:r>
      <w:r w:rsidRPr="00413478">
        <w:rPr>
          <w:lang w:val="fr-FR"/>
        </w:rPr>
        <w:t>.</w:t>
      </w:r>
      <w:r w:rsidRPr="0013314E">
        <w:rPr>
          <w:lang w:val="fr-FR"/>
        </w:rPr>
        <w:t>4</w:t>
      </w:r>
      <w:r>
        <w:rPr>
          <w:lang w:val="fr-FR"/>
        </w:rPr>
        <w:t> ;</w:t>
      </w:r>
      <w:r w:rsidRPr="0013314E">
        <w:rPr>
          <w:lang w:val="fr-FR"/>
        </w:rPr>
        <w:t xml:space="preserve"> </w:t>
      </w:r>
      <w:r w:rsidRPr="0013314E">
        <w:rPr>
          <w:i/>
          <w:iCs/>
          <w:lang w:val="fr-FR"/>
        </w:rPr>
        <w:t>Abdullayev</w:t>
      </w:r>
      <w:r>
        <w:rPr>
          <w:i/>
          <w:iCs/>
          <w:lang w:val="fr-FR"/>
        </w:rPr>
        <w:t> </w:t>
      </w:r>
      <w:r w:rsidRPr="0013314E">
        <w:rPr>
          <w:i/>
          <w:iCs/>
          <w:lang w:val="fr-FR"/>
        </w:rPr>
        <w:t>c</w:t>
      </w:r>
      <w:r w:rsidRPr="00413478">
        <w:rPr>
          <w:i/>
          <w:iCs/>
          <w:lang w:val="fr-FR"/>
        </w:rPr>
        <w:t>.</w:t>
      </w:r>
      <w:r>
        <w:rPr>
          <w:i/>
          <w:iCs/>
          <w:lang w:val="fr-FR"/>
        </w:rPr>
        <w:t> </w:t>
      </w:r>
      <w:r w:rsidRPr="0013314E">
        <w:rPr>
          <w:i/>
          <w:iCs/>
          <w:lang w:val="fr-FR"/>
        </w:rPr>
        <w:t>Turkménistan</w:t>
      </w:r>
      <w:r w:rsidRPr="0013314E">
        <w:rPr>
          <w:lang w:val="fr-FR"/>
        </w:rPr>
        <w:t>, par</w:t>
      </w:r>
      <w:r w:rsidRPr="00413478">
        <w:rPr>
          <w:lang w:val="fr-FR"/>
        </w:rPr>
        <w:t>.</w:t>
      </w:r>
      <w:r>
        <w:rPr>
          <w:lang w:val="fr-FR"/>
        </w:rPr>
        <w:t> </w:t>
      </w:r>
      <w:r w:rsidRPr="0013314E">
        <w:rPr>
          <w:lang w:val="fr-FR"/>
        </w:rPr>
        <w:t>7</w:t>
      </w:r>
      <w:r w:rsidRPr="00413478">
        <w:rPr>
          <w:lang w:val="fr-FR"/>
        </w:rPr>
        <w:t>.</w:t>
      </w:r>
      <w:r w:rsidRPr="0013314E">
        <w:rPr>
          <w:lang w:val="fr-FR"/>
        </w:rPr>
        <w:t>7</w:t>
      </w:r>
      <w:r>
        <w:rPr>
          <w:lang w:val="fr-FR"/>
        </w:rPr>
        <w:t> ;</w:t>
      </w:r>
      <w:r w:rsidRPr="0013314E">
        <w:rPr>
          <w:lang w:val="fr-FR"/>
        </w:rPr>
        <w:t xml:space="preserve"> </w:t>
      </w:r>
      <w:r w:rsidRPr="00731D35">
        <w:rPr>
          <w:i/>
          <w:iCs/>
        </w:rPr>
        <w:t xml:space="preserve">Mahmud </w:t>
      </w:r>
      <w:r w:rsidRPr="0013314E">
        <w:rPr>
          <w:i/>
          <w:iCs/>
          <w:lang w:val="fr-FR"/>
        </w:rPr>
        <w:t>Hudaybergenov c</w:t>
      </w:r>
      <w:r w:rsidRPr="00413478">
        <w:rPr>
          <w:i/>
          <w:iCs/>
          <w:lang w:val="fr-FR"/>
        </w:rPr>
        <w:t>.</w:t>
      </w:r>
      <w:r w:rsidRPr="0013314E">
        <w:rPr>
          <w:i/>
          <w:iCs/>
          <w:lang w:val="fr-FR"/>
        </w:rPr>
        <w:t xml:space="preserve"> Turkménistan</w:t>
      </w:r>
      <w:r w:rsidRPr="0013314E">
        <w:rPr>
          <w:lang w:val="fr-FR"/>
        </w:rPr>
        <w:t xml:space="preserve"> (</w:t>
      </w:r>
      <w:hyperlink r:id="rId18" w:history="1">
        <w:r w:rsidRPr="00746214">
          <w:rPr>
            <w:rStyle w:val="Lienhypertexte"/>
            <w:lang w:val="fr-FR"/>
          </w:rPr>
          <w:t>CCPR/C/115/D/2221/2012</w:t>
        </w:r>
      </w:hyperlink>
      <w:r w:rsidRPr="0013314E">
        <w:rPr>
          <w:lang w:val="fr-FR"/>
        </w:rPr>
        <w:t xml:space="preserve">), </w:t>
      </w:r>
      <w:r>
        <w:rPr>
          <w:lang w:val="fr-FR"/>
        </w:rPr>
        <w:t>par. </w:t>
      </w:r>
      <w:r w:rsidRPr="0013314E">
        <w:rPr>
          <w:lang w:val="fr-FR"/>
        </w:rPr>
        <w:t>7</w:t>
      </w:r>
      <w:r w:rsidRPr="00413478">
        <w:rPr>
          <w:lang w:val="fr-FR"/>
        </w:rPr>
        <w:t>.</w:t>
      </w:r>
      <w:r w:rsidRPr="0013314E">
        <w:rPr>
          <w:lang w:val="fr-FR"/>
        </w:rPr>
        <w:t>5</w:t>
      </w:r>
      <w:r>
        <w:rPr>
          <w:lang w:val="fr-FR"/>
        </w:rPr>
        <w:t> ;</w:t>
      </w:r>
      <w:r w:rsidRPr="0013314E">
        <w:rPr>
          <w:lang w:val="fr-FR"/>
        </w:rPr>
        <w:t xml:space="preserve"> </w:t>
      </w:r>
      <w:r w:rsidRPr="009D39A1">
        <w:rPr>
          <w:i/>
          <w:iCs/>
          <w:lang w:val="fr-FR"/>
        </w:rPr>
        <w:t xml:space="preserve">Ahmet </w:t>
      </w:r>
      <w:r w:rsidRPr="0013314E">
        <w:rPr>
          <w:i/>
          <w:iCs/>
          <w:lang w:val="fr-FR"/>
        </w:rPr>
        <w:t>Hudaybergenov c</w:t>
      </w:r>
      <w:r w:rsidRPr="00413478">
        <w:rPr>
          <w:i/>
          <w:iCs/>
          <w:lang w:val="fr-FR"/>
        </w:rPr>
        <w:t>.</w:t>
      </w:r>
      <w:r>
        <w:rPr>
          <w:i/>
          <w:iCs/>
          <w:lang w:val="fr-FR"/>
        </w:rPr>
        <w:t> </w:t>
      </w:r>
      <w:r w:rsidRPr="0013314E">
        <w:rPr>
          <w:i/>
          <w:iCs/>
          <w:lang w:val="fr-FR"/>
        </w:rPr>
        <w:t>Turkménistan</w:t>
      </w:r>
      <w:r w:rsidRPr="0013314E">
        <w:rPr>
          <w:lang w:val="fr-FR"/>
        </w:rPr>
        <w:t xml:space="preserve"> (</w:t>
      </w:r>
      <w:hyperlink r:id="rId19" w:history="1">
        <w:r w:rsidRPr="00746214">
          <w:rPr>
            <w:rStyle w:val="Lienhypertexte"/>
            <w:lang w:val="fr-FR"/>
          </w:rPr>
          <w:t>CCPR/C/115/D/2222/2012</w:t>
        </w:r>
      </w:hyperlink>
      <w:r w:rsidRPr="0013314E">
        <w:rPr>
          <w:lang w:val="fr-FR"/>
        </w:rPr>
        <w:t xml:space="preserve">), </w:t>
      </w:r>
      <w:r>
        <w:rPr>
          <w:lang w:val="fr-FR"/>
        </w:rPr>
        <w:t>par. </w:t>
      </w:r>
      <w:r w:rsidRPr="0013314E">
        <w:rPr>
          <w:lang w:val="fr-FR"/>
        </w:rPr>
        <w:t>7</w:t>
      </w:r>
      <w:r w:rsidRPr="00413478">
        <w:rPr>
          <w:lang w:val="fr-FR"/>
        </w:rPr>
        <w:t>.</w:t>
      </w:r>
      <w:r w:rsidRPr="0013314E">
        <w:rPr>
          <w:lang w:val="fr-FR"/>
        </w:rPr>
        <w:t>5</w:t>
      </w:r>
      <w:r>
        <w:rPr>
          <w:lang w:val="fr-FR"/>
        </w:rPr>
        <w:t> ;</w:t>
      </w:r>
      <w:r w:rsidRPr="0013314E">
        <w:rPr>
          <w:lang w:val="fr-FR"/>
        </w:rPr>
        <w:t xml:space="preserve"> </w:t>
      </w:r>
      <w:r w:rsidRPr="0013314E">
        <w:rPr>
          <w:i/>
          <w:iCs/>
          <w:lang w:val="fr-FR"/>
        </w:rPr>
        <w:t>Japparow c</w:t>
      </w:r>
      <w:r w:rsidRPr="00413478">
        <w:rPr>
          <w:i/>
          <w:iCs/>
          <w:lang w:val="fr-FR"/>
        </w:rPr>
        <w:t>.</w:t>
      </w:r>
      <w:r w:rsidRPr="0013314E">
        <w:rPr>
          <w:i/>
          <w:iCs/>
          <w:lang w:val="fr-FR"/>
        </w:rPr>
        <w:t xml:space="preserve"> Turkménistan</w:t>
      </w:r>
      <w:r w:rsidRPr="0013314E">
        <w:rPr>
          <w:lang w:val="fr-FR"/>
        </w:rPr>
        <w:t xml:space="preserve"> (</w:t>
      </w:r>
      <w:hyperlink r:id="rId20" w:history="1">
        <w:r w:rsidRPr="00746214">
          <w:rPr>
            <w:rStyle w:val="Lienhypertexte"/>
            <w:lang w:val="fr-FR"/>
          </w:rPr>
          <w:t>CCPR/C/115/D/2223/2012</w:t>
        </w:r>
      </w:hyperlink>
      <w:r w:rsidRPr="0013314E">
        <w:rPr>
          <w:lang w:val="fr-FR"/>
        </w:rPr>
        <w:t xml:space="preserve">), </w:t>
      </w:r>
      <w:r>
        <w:rPr>
          <w:lang w:val="fr-FR"/>
        </w:rPr>
        <w:t>par. </w:t>
      </w:r>
      <w:r w:rsidRPr="0013314E">
        <w:rPr>
          <w:lang w:val="fr-FR"/>
        </w:rPr>
        <w:t>7</w:t>
      </w:r>
      <w:r w:rsidRPr="00413478">
        <w:rPr>
          <w:lang w:val="fr-FR"/>
        </w:rPr>
        <w:t>.</w:t>
      </w:r>
      <w:r w:rsidRPr="0013314E">
        <w:rPr>
          <w:lang w:val="fr-FR"/>
        </w:rPr>
        <w:t>6</w:t>
      </w:r>
      <w:r>
        <w:rPr>
          <w:lang w:val="fr-FR"/>
        </w:rPr>
        <w:t> ;</w:t>
      </w:r>
      <w:r w:rsidRPr="0013314E">
        <w:rPr>
          <w:lang w:val="fr-FR"/>
        </w:rPr>
        <w:t xml:space="preserve"> </w:t>
      </w:r>
      <w:r w:rsidRPr="0013314E">
        <w:rPr>
          <w:i/>
          <w:iCs/>
          <w:lang w:val="fr-FR"/>
        </w:rPr>
        <w:t>Nurjanov</w:t>
      </w:r>
      <w:r>
        <w:rPr>
          <w:i/>
          <w:iCs/>
          <w:lang w:val="fr-FR"/>
        </w:rPr>
        <w:t> </w:t>
      </w:r>
      <w:r w:rsidRPr="0013314E">
        <w:rPr>
          <w:i/>
          <w:iCs/>
          <w:lang w:val="fr-FR"/>
        </w:rPr>
        <w:t>c</w:t>
      </w:r>
      <w:r w:rsidRPr="00413478">
        <w:rPr>
          <w:i/>
          <w:iCs/>
          <w:lang w:val="fr-FR"/>
        </w:rPr>
        <w:t>.</w:t>
      </w:r>
      <w:r>
        <w:rPr>
          <w:i/>
          <w:iCs/>
          <w:lang w:val="fr-FR"/>
        </w:rPr>
        <w:t> </w:t>
      </w:r>
      <w:r w:rsidRPr="0013314E">
        <w:rPr>
          <w:i/>
          <w:iCs/>
          <w:lang w:val="fr-FR"/>
        </w:rPr>
        <w:t>Turkménistan</w:t>
      </w:r>
      <w:r w:rsidRPr="0013314E">
        <w:rPr>
          <w:lang w:val="fr-FR"/>
        </w:rPr>
        <w:t xml:space="preserve">, </w:t>
      </w:r>
      <w:r>
        <w:rPr>
          <w:lang w:val="fr-FR"/>
        </w:rPr>
        <w:t>par. </w:t>
      </w:r>
      <w:r w:rsidRPr="0013314E">
        <w:rPr>
          <w:lang w:val="fr-FR"/>
        </w:rPr>
        <w:t>9</w:t>
      </w:r>
      <w:r w:rsidRPr="00413478">
        <w:rPr>
          <w:lang w:val="fr-FR"/>
        </w:rPr>
        <w:t>.</w:t>
      </w:r>
      <w:r w:rsidRPr="0013314E">
        <w:rPr>
          <w:lang w:val="fr-FR"/>
        </w:rPr>
        <w:t>3</w:t>
      </w:r>
      <w:r>
        <w:rPr>
          <w:lang w:val="fr-FR"/>
        </w:rPr>
        <w:t> ;</w:t>
      </w:r>
      <w:r w:rsidRPr="0013314E">
        <w:rPr>
          <w:lang w:val="fr-FR"/>
        </w:rPr>
        <w:t xml:space="preserve"> </w:t>
      </w:r>
      <w:r w:rsidRPr="0013314E">
        <w:rPr>
          <w:i/>
          <w:iCs/>
          <w:lang w:val="fr-FR"/>
        </w:rPr>
        <w:t>Uchetov c</w:t>
      </w:r>
      <w:r w:rsidRPr="00413478">
        <w:rPr>
          <w:i/>
          <w:iCs/>
          <w:lang w:val="fr-FR"/>
        </w:rPr>
        <w:t>.</w:t>
      </w:r>
      <w:r w:rsidRPr="0013314E">
        <w:rPr>
          <w:i/>
          <w:iCs/>
          <w:lang w:val="fr-FR"/>
        </w:rPr>
        <w:t xml:space="preserve"> Turkménistan</w:t>
      </w:r>
      <w:r w:rsidRPr="0013314E">
        <w:rPr>
          <w:lang w:val="fr-FR"/>
        </w:rPr>
        <w:t xml:space="preserve"> (</w:t>
      </w:r>
      <w:hyperlink r:id="rId21" w:history="1">
        <w:r w:rsidRPr="00746214">
          <w:rPr>
            <w:rStyle w:val="Lienhypertexte"/>
            <w:lang w:val="fr-FR"/>
          </w:rPr>
          <w:t>CCPR/C/117/D/2226/2012</w:t>
        </w:r>
      </w:hyperlink>
      <w:r w:rsidRPr="0013314E">
        <w:rPr>
          <w:lang w:val="fr-FR"/>
        </w:rPr>
        <w:t>), par</w:t>
      </w:r>
      <w:r w:rsidRPr="00413478">
        <w:rPr>
          <w:lang w:val="fr-FR"/>
        </w:rPr>
        <w:t>.</w:t>
      </w:r>
      <w:r>
        <w:rPr>
          <w:lang w:val="fr-FR"/>
        </w:rPr>
        <w:t> </w:t>
      </w:r>
      <w:r w:rsidRPr="0013314E">
        <w:rPr>
          <w:lang w:val="fr-FR"/>
        </w:rPr>
        <w:t>7</w:t>
      </w:r>
      <w:r w:rsidRPr="00413478">
        <w:rPr>
          <w:lang w:val="fr-FR"/>
        </w:rPr>
        <w:t>.</w:t>
      </w:r>
      <w:r w:rsidRPr="0013314E">
        <w:rPr>
          <w:lang w:val="fr-FR"/>
        </w:rPr>
        <w:t>6</w:t>
      </w:r>
      <w:r w:rsidRPr="00413478">
        <w:rPr>
          <w:lang w:val="fr-FR"/>
        </w:rPr>
        <w:t>.</w:t>
      </w:r>
    </w:p>
  </w:footnote>
  <w:footnote w:id="16">
    <w:p w14:paraId="68A60F78" w14:textId="304A3F1E" w:rsidR="00142598" w:rsidRPr="00414123" w:rsidRDefault="00142598" w:rsidP="00142598">
      <w:pPr>
        <w:pStyle w:val="Notedebasdepage"/>
        <w:rPr>
          <w:lang w:val="fr-FR"/>
        </w:rPr>
      </w:pPr>
      <w:r w:rsidRPr="0013314E">
        <w:rPr>
          <w:lang w:val="fr-FR"/>
        </w:rPr>
        <w:tab/>
      </w:r>
      <w:r w:rsidRPr="00901F87">
        <w:rPr>
          <w:rStyle w:val="Appelnotedebasdep"/>
        </w:rPr>
        <w:footnoteRef/>
      </w:r>
      <w:r w:rsidRPr="0013314E">
        <w:rPr>
          <w:lang w:val="fr-FR"/>
        </w:rPr>
        <w:tab/>
      </w:r>
      <w:r w:rsidRPr="00414123">
        <w:rPr>
          <w:i/>
          <w:iCs/>
          <w:lang w:val="fr-FR"/>
        </w:rPr>
        <w:t>Nazarov et consorts c. Turkménistan</w:t>
      </w:r>
      <w:r w:rsidRPr="00414123">
        <w:rPr>
          <w:lang w:val="fr-FR"/>
        </w:rPr>
        <w:t xml:space="preserve">, par. 7.3 ; </w:t>
      </w:r>
      <w:r w:rsidRPr="00414123">
        <w:rPr>
          <w:i/>
          <w:iCs/>
          <w:lang w:val="fr-FR"/>
        </w:rPr>
        <w:t>Yegendurdyyew c. Turkménistan</w:t>
      </w:r>
      <w:r w:rsidRPr="00414123">
        <w:rPr>
          <w:lang w:val="fr-FR"/>
        </w:rPr>
        <w:t xml:space="preserve"> (</w:t>
      </w:r>
      <w:hyperlink r:id="rId22" w:history="1">
        <w:r w:rsidRPr="00746214">
          <w:rPr>
            <w:rStyle w:val="Lienhypertexte"/>
            <w:lang w:val="fr-FR"/>
          </w:rPr>
          <w:t>CCPR/C/117/D/2227/2012</w:t>
        </w:r>
      </w:hyperlink>
      <w:r w:rsidRPr="00414123">
        <w:rPr>
          <w:lang w:val="fr-FR"/>
        </w:rPr>
        <w:t xml:space="preserve">), par. 7.5 ; </w:t>
      </w:r>
      <w:r w:rsidRPr="00414123">
        <w:rPr>
          <w:i/>
          <w:iCs/>
          <w:lang w:val="fr-FR"/>
        </w:rPr>
        <w:t>Petromelidis c. Grèce</w:t>
      </w:r>
      <w:r w:rsidRPr="00414123">
        <w:rPr>
          <w:lang w:val="fr-FR"/>
        </w:rPr>
        <w:t xml:space="preserve">, par. 9.5 ; </w:t>
      </w:r>
      <w:r w:rsidRPr="00414123">
        <w:rPr>
          <w:i/>
          <w:iCs/>
          <w:lang w:val="fr-FR"/>
        </w:rPr>
        <w:t>Jeong et consorts c.</w:t>
      </w:r>
      <w:r w:rsidR="00181A8D" w:rsidRPr="00414123">
        <w:rPr>
          <w:i/>
          <w:iCs/>
          <w:lang w:val="fr-FR"/>
        </w:rPr>
        <w:t> </w:t>
      </w:r>
      <w:r w:rsidRPr="00414123">
        <w:rPr>
          <w:i/>
          <w:iCs/>
          <w:lang w:val="fr-FR"/>
        </w:rPr>
        <w:t>République de Corée</w:t>
      </w:r>
      <w:r w:rsidRPr="00414123">
        <w:rPr>
          <w:lang w:val="fr-FR"/>
        </w:rPr>
        <w:t xml:space="preserve"> (</w:t>
      </w:r>
      <w:hyperlink r:id="rId23" w:history="1">
        <w:r w:rsidRPr="00746214">
          <w:rPr>
            <w:rStyle w:val="Lienhypertexte"/>
            <w:lang w:val="fr-FR"/>
          </w:rPr>
          <w:t>CCPR/C/101/D/1642-1741/2007</w:t>
        </w:r>
      </w:hyperlink>
      <w:r w:rsidRPr="00414123">
        <w:rPr>
          <w:lang w:val="fr-FR"/>
        </w:rPr>
        <w:t xml:space="preserve">), par. 7.3 ; </w:t>
      </w:r>
      <w:r w:rsidRPr="00414123">
        <w:rPr>
          <w:i/>
          <w:iCs/>
        </w:rPr>
        <w:t>Jong-nam</w:t>
      </w:r>
      <w:r w:rsidRPr="00414123">
        <w:t xml:space="preserve"> </w:t>
      </w:r>
      <w:r w:rsidRPr="00414123">
        <w:rPr>
          <w:i/>
          <w:iCs/>
          <w:lang w:val="fr-FR"/>
        </w:rPr>
        <w:t>Kim et consorts c. République de Corée</w:t>
      </w:r>
      <w:r w:rsidRPr="00414123">
        <w:rPr>
          <w:lang w:val="fr-FR"/>
        </w:rPr>
        <w:t xml:space="preserve">, par. 7.4 ; </w:t>
      </w:r>
      <w:r w:rsidRPr="00414123">
        <w:rPr>
          <w:i/>
          <w:iCs/>
          <w:lang w:val="fr-FR"/>
        </w:rPr>
        <w:t>Abdullayev c. Turkménistan</w:t>
      </w:r>
      <w:r w:rsidRPr="00414123">
        <w:rPr>
          <w:lang w:val="fr-FR"/>
        </w:rPr>
        <w:t xml:space="preserve">, par. 7.7 ; </w:t>
      </w:r>
      <w:r w:rsidRPr="00414123">
        <w:rPr>
          <w:i/>
          <w:iCs/>
        </w:rPr>
        <w:t xml:space="preserve">Mahmud </w:t>
      </w:r>
      <w:r w:rsidRPr="00414123">
        <w:rPr>
          <w:i/>
          <w:iCs/>
          <w:lang w:val="fr-FR"/>
        </w:rPr>
        <w:t>Hudaybergenov c.</w:t>
      </w:r>
      <w:r w:rsidR="00181A8D" w:rsidRPr="00414123">
        <w:rPr>
          <w:i/>
          <w:iCs/>
          <w:lang w:val="fr-FR"/>
        </w:rPr>
        <w:t> </w:t>
      </w:r>
      <w:r w:rsidRPr="00414123">
        <w:rPr>
          <w:i/>
          <w:iCs/>
          <w:lang w:val="fr-FR"/>
        </w:rPr>
        <w:t>Turkménistan</w:t>
      </w:r>
      <w:r w:rsidRPr="00414123">
        <w:rPr>
          <w:lang w:val="fr-FR"/>
        </w:rPr>
        <w:t xml:space="preserve">, par. 7.5 ; </w:t>
      </w:r>
      <w:r w:rsidRPr="00414123">
        <w:rPr>
          <w:i/>
          <w:iCs/>
          <w:lang w:val="fr-FR"/>
        </w:rPr>
        <w:t>Ahmet Hudaybergenov c. Turkménistan</w:t>
      </w:r>
      <w:r w:rsidRPr="00414123">
        <w:rPr>
          <w:lang w:val="fr-FR"/>
        </w:rPr>
        <w:t xml:space="preserve">, par. 7.5 ; </w:t>
      </w:r>
      <w:r w:rsidRPr="00414123">
        <w:rPr>
          <w:i/>
          <w:iCs/>
          <w:lang w:val="fr-FR"/>
        </w:rPr>
        <w:t>Japparow c. Turkménistan</w:t>
      </w:r>
      <w:r w:rsidRPr="00414123">
        <w:rPr>
          <w:lang w:val="fr-FR"/>
        </w:rPr>
        <w:t xml:space="preserve">, par. 7.6 ; </w:t>
      </w:r>
      <w:r w:rsidRPr="00414123">
        <w:rPr>
          <w:i/>
          <w:iCs/>
          <w:lang w:val="fr-FR"/>
        </w:rPr>
        <w:t>Nurjanov c. Turkménistan</w:t>
      </w:r>
      <w:r w:rsidRPr="00414123">
        <w:rPr>
          <w:lang w:val="fr-FR"/>
        </w:rPr>
        <w:t xml:space="preserve">, par. 9.3 ; </w:t>
      </w:r>
      <w:r w:rsidRPr="00414123">
        <w:rPr>
          <w:i/>
          <w:iCs/>
          <w:lang w:val="fr-FR"/>
        </w:rPr>
        <w:t>Uchetov c. Turkménistan</w:t>
      </w:r>
      <w:r w:rsidRPr="00414123">
        <w:rPr>
          <w:lang w:val="fr-FR"/>
        </w:rPr>
        <w:t>, par. 7.6.</w:t>
      </w:r>
    </w:p>
  </w:footnote>
  <w:footnote w:id="17">
    <w:p w14:paraId="45AC4FC7" w14:textId="17619D9C" w:rsidR="00142598" w:rsidRPr="00054C58" w:rsidRDefault="00142598" w:rsidP="00142598">
      <w:pPr>
        <w:pStyle w:val="Notedebasdepage"/>
      </w:pPr>
      <w:r w:rsidRPr="00414123">
        <w:rPr>
          <w:lang w:val="fr-FR"/>
        </w:rPr>
        <w:tab/>
      </w:r>
      <w:r w:rsidRPr="00414123">
        <w:rPr>
          <w:rStyle w:val="Appelnotedebasdep"/>
        </w:rPr>
        <w:footnoteRef/>
      </w:r>
      <w:r w:rsidRPr="00414123">
        <w:rPr>
          <w:lang w:val="fr-FR"/>
        </w:rPr>
        <w:tab/>
      </w:r>
      <w:r w:rsidRPr="00414123">
        <w:rPr>
          <w:i/>
          <w:iCs/>
          <w:lang w:val="fr-FR"/>
        </w:rPr>
        <w:t>Nazarov et consorts c. Turkménistan</w:t>
      </w:r>
      <w:r w:rsidRPr="00414123">
        <w:rPr>
          <w:lang w:val="fr-FR"/>
        </w:rPr>
        <w:t xml:space="preserve">, par. 7.4 ; </w:t>
      </w:r>
      <w:r w:rsidRPr="00414123">
        <w:rPr>
          <w:i/>
          <w:iCs/>
          <w:lang w:val="fr-FR"/>
        </w:rPr>
        <w:t>Durdyyev c. Turkménistan</w:t>
      </w:r>
      <w:r w:rsidRPr="00414123">
        <w:rPr>
          <w:lang w:val="fr-FR"/>
        </w:rPr>
        <w:t xml:space="preserve">, par. 7.3 ; </w:t>
      </w:r>
      <w:r w:rsidRPr="00414123">
        <w:rPr>
          <w:i/>
          <w:iCs/>
          <w:lang w:val="fr-FR"/>
        </w:rPr>
        <w:t>Bae et consorts c. République de Corée</w:t>
      </w:r>
      <w:r w:rsidRPr="00414123">
        <w:rPr>
          <w:lang w:val="fr-FR"/>
        </w:rPr>
        <w:t xml:space="preserve">, par. 7.5 ; </w:t>
      </w:r>
      <w:r w:rsidRPr="00414123">
        <w:rPr>
          <w:i/>
          <w:iCs/>
          <w:lang w:val="fr-FR"/>
        </w:rPr>
        <w:t>Atasoy et Sarkut c. Turquie</w:t>
      </w:r>
      <w:r w:rsidRPr="00414123">
        <w:rPr>
          <w:lang w:val="fr-FR"/>
        </w:rPr>
        <w:t xml:space="preserve">, par. 10.5 ; </w:t>
      </w:r>
      <w:r w:rsidRPr="00414123">
        <w:rPr>
          <w:i/>
          <w:iCs/>
          <w:lang w:val="fr-FR"/>
        </w:rPr>
        <w:t>Jeong et consorts c. République de Corée</w:t>
      </w:r>
      <w:r w:rsidRPr="00414123">
        <w:rPr>
          <w:lang w:val="fr-FR"/>
        </w:rPr>
        <w:t xml:space="preserve">, par. 7.4 ; </w:t>
      </w:r>
      <w:r w:rsidRPr="00414123">
        <w:rPr>
          <w:i/>
          <w:iCs/>
        </w:rPr>
        <w:t>Jong-nam</w:t>
      </w:r>
      <w:r w:rsidRPr="00414123">
        <w:t xml:space="preserve"> </w:t>
      </w:r>
      <w:r w:rsidRPr="00414123">
        <w:rPr>
          <w:i/>
          <w:iCs/>
          <w:lang w:val="fr-FR"/>
        </w:rPr>
        <w:t>Kim et consorts c. République de Corée</w:t>
      </w:r>
      <w:r w:rsidRPr="00414123">
        <w:rPr>
          <w:lang w:val="fr-FR"/>
        </w:rPr>
        <w:t xml:space="preserve">, par. 7.5 ; </w:t>
      </w:r>
      <w:r w:rsidRPr="00414123">
        <w:rPr>
          <w:i/>
          <w:iCs/>
        </w:rPr>
        <w:t>Young-kwan</w:t>
      </w:r>
      <w:r w:rsidRPr="00414123">
        <w:t xml:space="preserve"> </w:t>
      </w:r>
      <w:r w:rsidRPr="00414123">
        <w:rPr>
          <w:i/>
          <w:iCs/>
          <w:lang w:val="fr-FR"/>
        </w:rPr>
        <w:t>Kim et consorts c. République de Corée</w:t>
      </w:r>
      <w:r w:rsidRPr="00414123">
        <w:rPr>
          <w:lang w:val="fr-FR"/>
        </w:rPr>
        <w:t xml:space="preserve">, par. 7.4 ; </w:t>
      </w:r>
      <w:r w:rsidRPr="00414123">
        <w:rPr>
          <w:i/>
          <w:iCs/>
          <w:lang w:val="fr-FR"/>
        </w:rPr>
        <w:t>Abdullayev c. Turkménistan</w:t>
      </w:r>
      <w:r w:rsidRPr="00414123">
        <w:rPr>
          <w:lang w:val="fr-FR"/>
        </w:rPr>
        <w:t xml:space="preserve">, par. 7.8 ; </w:t>
      </w:r>
      <w:r w:rsidRPr="00414123">
        <w:rPr>
          <w:i/>
          <w:iCs/>
        </w:rPr>
        <w:t xml:space="preserve">Mahmud </w:t>
      </w:r>
      <w:r w:rsidRPr="00414123">
        <w:rPr>
          <w:i/>
          <w:iCs/>
          <w:lang w:val="fr-FR"/>
        </w:rPr>
        <w:t>Hudaybergenov c. Turkménistan</w:t>
      </w:r>
      <w:r w:rsidRPr="00414123">
        <w:rPr>
          <w:lang w:val="fr-FR"/>
        </w:rPr>
        <w:t xml:space="preserve">, par. 7.6 ; </w:t>
      </w:r>
      <w:r w:rsidRPr="00414123">
        <w:rPr>
          <w:i/>
          <w:iCs/>
        </w:rPr>
        <w:t xml:space="preserve">Ahmet </w:t>
      </w:r>
      <w:r w:rsidRPr="00414123">
        <w:rPr>
          <w:i/>
          <w:iCs/>
          <w:lang w:val="fr-FR"/>
        </w:rPr>
        <w:t>Hudaybergenov c. Turkménistan</w:t>
      </w:r>
      <w:r w:rsidRPr="00414123">
        <w:rPr>
          <w:lang w:val="fr-FR"/>
        </w:rPr>
        <w:t xml:space="preserve">, par. 7.6 ; </w:t>
      </w:r>
      <w:r w:rsidRPr="00414123">
        <w:rPr>
          <w:i/>
          <w:iCs/>
          <w:lang w:val="fr-FR"/>
        </w:rPr>
        <w:t>Japparow c. Turkménistan</w:t>
      </w:r>
      <w:r w:rsidRPr="00414123">
        <w:rPr>
          <w:lang w:val="fr-FR"/>
        </w:rPr>
        <w:t xml:space="preserve">, par. 7.7 ; </w:t>
      </w:r>
      <w:r w:rsidRPr="00414123">
        <w:rPr>
          <w:i/>
          <w:iCs/>
          <w:lang w:val="fr-FR"/>
        </w:rPr>
        <w:t>Nurjanov c. Turkménistan</w:t>
      </w:r>
      <w:r w:rsidRPr="00414123">
        <w:rPr>
          <w:lang w:val="fr-FR"/>
        </w:rPr>
        <w:t xml:space="preserve">, par. 9.4 ; </w:t>
      </w:r>
      <w:r w:rsidRPr="00414123">
        <w:rPr>
          <w:i/>
          <w:iCs/>
          <w:lang w:val="fr-FR"/>
        </w:rPr>
        <w:t>Uchetov c. Turkménistan</w:t>
      </w:r>
      <w:r w:rsidRPr="00414123">
        <w:rPr>
          <w:lang w:val="fr-FR"/>
        </w:rPr>
        <w:t>, par. 7.7</w:t>
      </w:r>
      <w:r w:rsidRPr="00414123">
        <w:rPr>
          <w:b/>
          <w:bCs/>
          <w:lang w:val="fr-FR"/>
        </w:rPr>
        <w:t xml:space="preserve">. </w:t>
      </w:r>
    </w:p>
  </w:footnote>
  <w:footnote w:id="18">
    <w:p w14:paraId="7E7D4F52" w14:textId="77777777" w:rsidR="00142598" w:rsidRPr="00054C58" w:rsidRDefault="00142598" w:rsidP="00142598">
      <w:pPr>
        <w:pStyle w:val="Notedebasdepage"/>
      </w:pPr>
      <w:r w:rsidRPr="0013314E">
        <w:rPr>
          <w:lang w:val="fr-FR"/>
        </w:rPr>
        <w:tab/>
      </w:r>
      <w:r w:rsidRPr="00901F87">
        <w:rPr>
          <w:rStyle w:val="Appelnotedebasdep"/>
        </w:rPr>
        <w:footnoteRef/>
      </w:r>
      <w:r w:rsidRPr="0013314E">
        <w:rPr>
          <w:lang w:val="fr-FR"/>
        </w:rPr>
        <w:tab/>
      </w:r>
      <w:r w:rsidRPr="0013314E">
        <w:rPr>
          <w:i/>
          <w:iCs/>
          <w:lang w:val="fr-FR"/>
        </w:rPr>
        <w:t>Bae et consorts c</w:t>
      </w:r>
      <w:r w:rsidRPr="00413478">
        <w:rPr>
          <w:i/>
          <w:iCs/>
          <w:lang w:val="fr-FR"/>
        </w:rPr>
        <w:t>.</w:t>
      </w:r>
      <w:r w:rsidRPr="0013314E">
        <w:rPr>
          <w:i/>
          <w:iCs/>
          <w:lang w:val="fr-FR"/>
        </w:rPr>
        <w:t xml:space="preserve"> République de Corée</w:t>
      </w:r>
      <w:r w:rsidRPr="0013314E">
        <w:rPr>
          <w:lang w:val="fr-FR"/>
        </w:rPr>
        <w:t xml:space="preserve">, </w:t>
      </w:r>
      <w:r>
        <w:rPr>
          <w:lang w:val="fr-FR"/>
        </w:rPr>
        <w:t>par. </w:t>
      </w:r>
      <w:r w:rsidRPr="0013314E">
        <w:rPr>
          <w:lang w:val="fr-FR"/>
        </w:rPr>
        <w:t>7</w:t>
      </w:r>
      <w:r w:rsidRPr="00413478">
        <w:rPr>
          <w:lang w:val="fr-FR"/>
        </w:rPr>
        <w:t>.</w:t>
      </w:r>
      <w:r w:rsidRPr="0013314E">
        <w:rPr>
          <w:lang w:val="fr-FR"/>
        </w:rPr>
        <w:t>6</w:t>
      </w:r>
      <w:r w:rsidRPr="00413478">
        <w:rPr>
          <w:lang w:val="fr-FR"/>
        </w:rPr>
        <w:t>.</w:t>
      </w:r>
    </w:p>
  </w:footnote>
  <w:footnote w:id="19">
    <w:p w14:paraId="2858E850" w14:textId="77777777" w:rsidR="00142598" w:rsidRPr="00054C58" w:rsidRDefault="00142598" w:rsidP="00142598">
      <w:pPr>
        <w:pStyle w:val="Notedebasdepage"/>
      </w:pPr>
      <w:r w:rsidRPr="0013314E">
        <w:rPr>
          <w:lang w:val="fr-FR"/>
        </w:rPr>
        <w:tab/>
      </w:r>
      <w:r w:rsidRPr="00901F87">
        <w:rPr>
          <w:rStyle w:val="Appelnotedebasdep"/>
        </w:rPr>
        <w:footnoteRef/>
      </w:r>
      <w:r w:rsidRPr="0013314E">
        <w:rPr>
          <w:lang w:val="fr-FR"/>
        </w:rPr>
        <w:tab/>
      </w:r>
      <w:r w:rsidRPr="004E28BF">
        <w:rPr>
          <w:lang w:val="fr-FR"/>
        </w:rPr>
        <w:t>Ibid</w:t>
      </w:r>
      <w:r w:rsidRPr="00413478">
        <w:rPr>
          <w:i/>
          <w:iCs/>
          <w:lang w:val="fr-FR"/>
        </w:rPr>
        <w:t>.</w:t>
      </w:r>
      <w:r w:rsidRPr="0013314E">
        <w:rPr>
          <w:lang w:val="fr-FR"/>
        </w:rPr>
        <w:t xml:space="preserve"> </w:t>
      </w:r>
      <w:r>
        <w:rPr>
          <w:lang w:val="fr-FR"/>
        </w:rPr>
        <w:t>V</w:t>
      </w:r>
      <w:r w:rsidRPr="0013314E">
        <w:rPr>
          <w:lang w:val="fr-FR"/>
        </w:rPr>
        <w:t xml:space="preserve">oir aussi </w:t>
      </w:r>
      <w:r w:rsidRPr="0013314E">
        <w:rPr>
          <w:i/>
          <w:iCs/>
          <w:lang w:val="fr-FR"/>
        </w:rPr>
        <w:t>Petromelidis c</w:t>
      </w:r>
      <w:r w:rsidRPr="00413478">
        <w:rPr>
          <w:i/>
          <w:iCs/>
          <w:lang w:val="fr-FR"/>
        </w:rPr>
        <w:t>.</w:t>
      </w:r>
      <w:r w:rsidRPr="0013314E">
        <w:rPr>
          <w:i/>
          <w:iCs/>
          <w:lang w:val="fr-FR"/>
        </w:rPr>
        <w:t xml:space="preserve"> Grèce</w:t>
      </w:r>
      <w:r w:rsidRPr="0013314E">
        <w:rPr>
          <w:lang w:val="fr-FR"/>
        </w:rPr>
        <w:t xml:space="preserve">, </w:t>
      </w:r>
      <w:r>
        <w:rPr>
          <w:lang w:val="fr-FR"/>
        </w:rPr>
        <w:t>par. </w:t>
      </w:r>
      <w:r w:rsidRPr="0013314E">
        <w:rPr>
          <w:lang w:val="fr-FR"/>
        </w:rPr>
        <w:t>9</w:t>
      </w:r>
      <w:r w:rsidRPr="00413478">
        <w:rPr>
          <w:lang w:val="fr-FR"/>
        </w:rPr>
        <w:t>.</w:t>
      </w:r>
      <w:r w:rsidRPr="0013314E">
        <w:rPr>
          <w:lang w:val="fr-FR"/>
        </w:rPr>
        <w:t>8</w:t>
      </w:r>
      <w:r w:rsidRPr="00413478">
        <w:rPr>
          <w:lang w:val="fr-FR"/>
        </w:rPr>
        <w:t>.</w:t>
      </w:r>
    </w:p>
  </w:footnote>
  <w:footnote w:id="20">
    <w:p w14:paraId="75D511B6" w14:textId="036475EA" w:rsidR="00142598" w:rsidRPr="00054C58" w:rsidRDefault="00142598" w:rsidP="00142598">
      <w:pPr>
        <w:pStyle w:val="Notedebasdepage"/>
      </w:pPr>
      <w:r w:rsidRPr="0013314E">
        <w:rPr>
          <w:lang w:val="fr-FR"/>
        </w:rPr>
        <w:tab/>
      </w:r>
      <w:r w:rsidRPr="00901F87">
        <w:rPr>
          <w:rStyle w:val="Appelnotedebasdep"/>
        </w:rPr>
        <w:footnoteRef/>
      </w:r>
      <w:r w:rsidRPr="0013314E">
        <w:rPr>
          <w:lang w:val="fr-FR"/>
        </w:rPr>
        <w:tab/>
      </w:r>
      <w:r w:rsidRPr="0013314E">
        <w:rPr>
          <w:i/>
          <w:iCs/>
          <w:lang w:val="fr-FR"/>
        </w:rPr>
        <w:t>Marino Demonte c</w:t>
      </w:r>
      <w:r w:rsidRPr="00413478">
        <w:rPr>
          <w:i/>
          <w:iCs/>
          <w:lang w:val="fr-FR"/>
        </w:rPr>
        <w:t>.</w:t>
      </w:r>
      <w:r w:rsidRPr="0013314E">
        <w:rPr>
          <w:i/>
          <w:iCs/>
          <w:lang w:val="fr-FR"/>
        </w:rPr>
        <w:t xml:space="preserve"> Argentine </w:t>
      </w:r>
      <w:r w:rsidRPr="0013314E">
        <w:rPr>
          <w:lang w:val="fr-FR"/>
        </w:rPr>
        <w:t>(</w:t>
      </w:r>
      <w:hyperlink r:id="rId24" w:history="1">
        <w:r w:rsidRPr="00746214">
          <w:rPr>
            <w:rStyle w:val="Lienhypertexte"/>
            <w:lang w:val="fr-FR"/>
          </w:rPr>
          <w:t>CCPR/C/123/D/2424/2014</w:t>
        </w:r>
      </w:hyperlink>
      <w:r w:rsidRPr="0013314E">
        <w:rPr>
          <w:lang w:val="fr-FR"/>
        </w:rPr>
        <w:t xml:space="preserve">), </w:t>
      </w:r>
      <w:r>
        <w:rPr>
          <w:lang w:val="fr-FR"/>
        </w:rPr>
        <w:t>par. </w:t>
      </w:r>
      <w:r w:rsidRPr="0013314E">
        <w:rPr>
          <w:lang w:val="fr-FR"/>
        </w:rPr>
        <w:t>11</w:t>
      </w:r>
      <w:r w:rsidRPr="00413478">
        <w:rPr>
          <w:lang w:val="fr-FR"/>
        </w:rPr>
        <w:t>.</w:t>
      </w:r>
      <w:r w:rsidRPr="0013314E">
        <w:rPr>
          <w:lang w:val="fr-FR"/>
        </w:rPr>
        <w:t>4</w:t>
      </w:r>
      <w:r>
        <w:rPr>
          <w:lang w:val="fr-FR"/>
        </w:rPr>
        <w:t> </w:t>
      </w:r>
      <w:r w:rsidRPr="0013314E">
        <w:rPr>
          <w:lang w:val="fr-FR"/>
        </w:rPr>
        <w:t xml:space="preserve">; </w:t>
      </w:r>
      <w:r w:rsidRPr="0013314E">
        <w:rPr>
          <w:i/>
          <w:iCs/>
          <w:lang w:val="fr-FR"/>
        </w:rPr>
        <w:t>Smantser c</w:t>
      </w:r>
      <w:r w:rsidRPr="00413478">
        <w:rPr>
          <w:i/>
          <w:iCs/>
          <w:lang w:val="fr-FR"/>
        </w:rPr>
        <w:t>.</w:t>
      </w:r>
      <w:r w:rsidRPr="0013314E">
        <w:rPr>
          <w:i/>
          <w:iCs/>
          <w:lang w:val="fr-FR"/>
        </w:rPr>
        <w:t xml:space="preserve"> Bélarus</w:t>
      </w:r>
      <w:r w:rsidRPr="0013314E">
        <w:rPr>
          <w:lang w:val="fr-FR"/>
        </w:rPr>
        <w:t xml:space="preserve"> (</w:t>
      </w:r>
      <w:hyperlink r:id="rId25" w:history="1">
        <w:r w:rsidRPr="00746214">
          <w:rPr>
            <w:rStyle w:val="Lienhypertexte"/>
            <w:lang w:val="fr-FR"/>
          </w:rPr>
          <w:t>CCPR/C/94/D/1178/2003</w:t>
        </w:r>
      </w:hyperlink>
      <w:r w:rsidRPr="0013314E">
        <w:rPr>
          <w:lang w:val="fr-FR"/>
        </w:rPr>
        <w:t xml:space="preserve">), </w:t>
      </w:r>
      <w:r>
        <w:rPr>
          <w:lang w:val="fr-FR"/>
        </w:rPr>
        <w:t>par. </w:t>
      </w:r>
      <w:r w:rsidRPr="0013314E">
        <w:rPr>
          <w:lang w:val="fr-FR"/>
        </w:rPr>
        <w:t>10</w:t>
      </w:r>
      <w:r w:rsidRPr="00413478">
        <w:rPr>
          <w:lang w:val="fr-FR"/>
        </w:rPr>
        <w:t>.</w:t>
      </w:r>
      <w:r w:rsidRPr="0013314E">
        <w:rPr>
          <w:lang w:val="fr-FR"/>
        </w:rPr>
        <w:t>3</w:t>
      </w:r>
      <w:r>
        <w:rPr>
          <w:lang w:val="fr-FR"/>
        </w:rPr>
        <w:t> </w:t>
      </w:r>
      <w:r w:rsidRPr="0013314E">
        <w:rPr>
          <w:lang w:val="fr-FR"/>
        </w:rPr>
        <w:t xml:space="preserve">; </w:t>
      </w:r>
      <w:r w:rsidRPr="0013314E">
        <w:rPr>
          <w:i/>
          <w:iCs/>
          <w:lang w:val="fr-FR"/>
        </w:rPr>
        <w:t>Marinich c</w:t>
      </w:r>
      <w:r w:rsidRPr="00413478">
        <w:rPr>
          <w:i/>
          <w:iCs/>
          <w:lang w:val="fr-FR"/>
        </w:rPr>
        <w:t>.</w:t>
      </w:r>
      <w:r w:rsidRPr="0013314E">
        <w:rPr>
          <w:i/>
          <w:iCs/>
          <w:lang w:val="fr-FR"/>
        </w:rPr>
        <w:t xml:space="preserve"> Bélarus</w:t>
      </w:r>
      <w:r w:rsidRPr="0013314E">
        <w:rPr>
          <w:lang w:val="fr-FR"/>
        </w:rPr>
        <w:t xml:space="preserve"> (</w:t>
      </w:r>
      <w:hyperlink r:id="rId26" w:history="1">
        <w:r w:rsidRPr="00746214">
          <w:rPr>
            <w:rStyle w:val="Lienhypertexte"/>
            <w:lang w:val="fr-FR"/>
          </w:rPr>
          <w:t>CCPR/C/99/D/1502/2006</w:t>
        </w:r>
      </w:hyperlink>
      <w:r w:rsidRPr="0013314E">
        <w:rPr>
          <w:lang w:val="fr-FR"/>
        </w:rPr>
        <w:t xml:space="preserve">), </w:t>
      </w:r>
      <w:r>
        <w:rPr>
          <w:lang w:val="fr-FR"/>
        </w:rPr>
        <w:t>par. </w:t>
      </w:r>
      <w:r w:rsidRPr="0013314E">
        <w:rPr>
          <w:lang w:val="fr-FR"/>
        </w:rPr>
        <w:t>10</w:t>
      </w:r>
      <w:r w:rsidRPr="00413478">
        <w:rPr>
          <w:lang w:val="fr-FR"/>
        </w:rPr>
        <w:t>.</w:t>
      </w:r>
      <w:r w:rsidRPr="0013314E">
        <w:rPr>
          <w:lang w:val="fr-FR"/>
        </w:rPr>
        <w:t>4</w:t>
      </w:r>
      <w:r>
        <w:rPr>
          <w:lang w:val="fr-FR"/>
        </w:rPr>
        <w:t> </w:t>
      </w:r>
      <w:r w:rsidRPr="0013314E">
        <w:rPr>
          <w:lang w:val="fr-FR"/>
        </w:rPr>
        <w:t xml:space="preserve">; </w:t>
      </w:r>
      <w:r w:rsidRPr="0013314E">
        <w:rPr>
          <w:i/>
          <w:iCs/>
          <w:lang w:val="fr-FR"/>
        </w:rPr>
        <w:t>Cedeño c</w:t>
      </w:r>
      <w:r w:rsidRPr="00413478">
        <w:rPr>
          <w:i/>
          <w:iCs/>
          <w:lang w:val="fr-FR"/>
        </w:rPr>
        <w:t>.</w:t>
      </w:r>
      <w:r w:rsidRPr="0013314E">
        <w:rPr>
          <w:i/>
          <w:iCs/>
          <w:lang w:val="fr-FR"/>
        </w:rPr>
        <w:t xml:space="preserve"> République bolivarienne du Venezuela</w:t>
      </w:r>
      <w:r w:rsidRPr="0013314E">
        <w:rPr>
          <w:lang w:val="fr-FR"/>
        </w:rPr>
        <w:t>, (</w:t>
      </w:r>
      <w:hyperlink r:id="rId27" w:history="1">
        <w:r w:rsidRPr="00746214">
          <w:rPr>
            <w:rStyle w:val="Lienhypertexte"/>
            <w:lang w:val="fr-FR"/>
          </w:rPr>
          <w:t>CCPR/C/106/D/1940/2010</w:t>
        </w:r>
      </w:hyperlink>
      <w:r w:rsidRPr="0013314E">
        <w:rPr>
          <w:lang w:val="fr-FR"/>
        </w:rPr>
        <w:t xml:space="preserve">), </w:t>
      </w:r>
      <w:r>
        <w:rPr>
          <w:lang w:val="fr-FR"/>
        </w:rPr>
        <w:t>par. </w:t>
      </w:r>
      <w:r w:rsidRPr="0013314E">
        <w:rPr>
          <w:lang w:val="fr-FR"/>
        </w:rPr>
        <w:t>7</w:t>
      </w:r>
      <w:r w:rsidRPr="00413478">
        <w:rPr>
          <w:lang w:val="fr-FR"/>
        </w:rPr>
        <w:t>.</w:t>
      </w:r>
      <w:r w:rsidRPr="0013314E">
        <w:rPr>
          <w:lang w:val="fr-FR"/>
        </w:rPr>
        <w:t>10</w:t>
      </w:r>
      <w:r w:rsidRPr="00413478">
        <w:rPr>
          <w:lang w:val="fr-FR"/>
        </w:rPr>
        <w:t>.</w:t>
      </w:r>
    </w:p>
  </w:footnote>
  <w:footnote w:id="21">
    <w:p w14:paraId="0A156C5B" w14:textId="2A7D1B11" w:rsidR="00142598" w:rsidRPr="00054C58" w:rsidRDefault="00142598" w:rsidP="00142598">
      <w:pPr>
        <w:pStyle w:val="Notedebasdepage"/>
        <w:rPr>
          <w:i/>
        </w:rPr>
      </w:pPr>
      <w:r w:rsidRPr="0013314E">
        <w:rPr>
          <w:lang w:val="fr-FR"/>
        </w:rPr>
        <w:tab/>
      </w:r>
      <w:r w:rsidRPr="00901F87">
        <w:rPr>
          <w:rStyle w:val="Appelnotedebasdep"/>
        </w:rPr>
        <w:footnoteRef/>
      </w:r>
      <w:r w:rsidRPr="0013314E">
        <w:rPr>
          <w:lang w:val="fr-FR"/>
        </w:rPr>
        <w:tab/>
      </w:r>
      <w:r>
        <w:rPr>
          <w:lang w:val="fr-FR"/>
        </w:rPr>
        <w:t xml:space="preserve">Observation générale </w:t>
      </w:r>
      <w:r w:rsidRPr="0001222A">
        <w:rPr>
          <w:lang w:val="fr-FR"/>
        </w:rPr>
        <w:t>n</w:t>
      </w:r>
      <w:r w:rsidRPr="0001222A">
        <w:rPr>
          <w:vertAlign w:val="superscript"/>
          <w:lang w:val="fr-FR"/>
        </w:rPr>
        <w:t>o</w:t>
      </w:r>
      <w:r>
        <w:rPr>
          <w:lang w:val="fr-FR"/>
        </w:rPr>
        <w:t> 35 (2014), par.</w:t>
      </w:r>
      <w:r w:rsidR="00746214">
        <w:rPr>
          <w:lang w:val="fr-FR"/>
        </w:rPr>
        <w:t> </w:t>
      </w:r>
      <w:r>
        <w:rPr>
          <w:lang w:val="fr-FR"/>
        </w:rPr>
        <w:t>38</w:t>
      </w:r>
      <w:r w:rsidRPr="00413478">
        <w:rPr>
          <w:i/>
          <w:iCs/>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9955" w14:textId="60B520EB" w:rsidR="00142598" w:rsidRPr="00142598" w:rsidRDefault="00142598">
    <w:pPr>
      <w:pStyle w:val="En-tte"/>
    </w:pPr>
    <w:fldSimple w:instr=" TITLE  \* MERGEFORMAT ">
      <w:r w:rsidR="00651091">
        <w:t>CCPR/C/134/D/3272/2018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F15B" w14:textId="29CC7DE8" w:rsidR="00142598" w:rsidRPr="00142598" w:rsidRDefault="00142598" w:rsidP="00142598">
    <w:pPr>
      <w:pStyle w:val="En-tte"/>
      <w:jc w:val="right"/>
    </w:pPr>
    <w:fldSimple w:instr=" TITLE  \* MERGEFORMAT ">
      <w:r w:rsidR="00651091">
        <w:t>CCPR/C/134/D/3272/2018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4A470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97497"/>
    <w:multiLevelType w:val="hybridMultilevel"/>
    <w:tmpl w:val="1E42311E"/>
    <w:lvl w:ilvl="0" w:tplc="AF9C6A1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751F93"/>
    <w:multiLevelType w:val="hybridMultilevel"/>
    <w:tmpl w:val="AEB28D32"/>
    <w:lvl w:ilvl="0" w:tplc="97CA9902">
      <w:start w:val="1"/>
      <w:numFmt w:val="upperRoman"/>
      <w:lvlText w:val="%1."/>
      <w:lvlJc w:val="right"/>
      <w:pPr>
        <w:ind w:left="1080" w:hanging="720"/>
      </w:pPr>
      <w:rPr>
        <w:rFonts w:hint="default"/>
      </w:rPr>
    </w:lvl>
    <w:lvl w:ilvl="1" w:tplc="8214CF12" w:tentative="1">
      <w:start w:val="1"/>
      <w:numFmt w:val="lowerLetter"/>
      <w:lvlText w:val="%2."/>
      <w:lvlJc w:val="left"/>
      <w:pPr>
        <w:ind w:left="1440" w:hanging="360"/>
      </w:pPr>
    </w:lvl>
    <w:lvl w:ilvl="2" w:tplc="627E0E0A" w:tentative="1">
      <w:start w:val="1"/>
      <w:numFmt w:val="lowerRoman"/>
      <w:lvlText w:val="%3."/>
      <w:lvlJc w:val="right"/>
      <w:pPr>
        <w:ind w:left="2160" w:hanging="180"/>
      </w:pPr>
    </w:lvl>
    <w:lvl w:ilvl="3" w:tplc="DDFEDCE0">
      <w:start w:val="1"/>
      <w:numFmt w:val="decimal"/>
      <w:lvlText w:val="%4."/>
      <w:lvlJc w:val="left"/>
      <w:pPr>
        <w:ind w:left="2880" w:hanging="360"/>
      </w:pPr>
    </w:lvl>
    <w:lvl w:ilvl="4" w:tplc="374CD9B6">
      <w:start w:val="1"/>
      <w:numFmt w:val="decimal"/>
      <w:lvlText w:val="%5."/>
      <w:lvlJc w:val="left"/>
      <w:pPr>
        <w:ind w:left="3600" w:hanging="360"/>
      </w:pPr>
      <w:rPr>
        <w:b w:val="0"/>
      </w:rPr>
    </w:lvl>
    <w:lvl w:ilvl="5" w:tplc="B82A9738">
      <w:start w:val="1"/>
      <w:numFmt w:val="lowerRoman"/>
      <w:lvlText w:val="%6."/>
      <w:lvlJc w:val="right"/>
      <w:pPr>
        <w:ind w:left="4320" w:hanging="180"/>
      </w:pPr>
    </w:lvl>
    <w:lvl w:ilvl="6" w:tplc="BAFC07BE" w:tentative="1">
      <w:start w:val="1"/>
      <w:numFmt w:val="decimal"/>
      <w:lvlText w:val="%7."/>
      <w:lvlJc w:val="left"/>
      <w:pPr>
        <w:ind w:left="5040" w:hanging="360"/>
      </w:pPr>
    </w:lvl>
    <w:lvl w:ilvl="7" w:tplc="55E490D6" w:tentative="1">
      <w:start w:val="1"/>
      <w:numFmt w:val="lowerLetter"/>
      <w:lvlText w:val="%8."/>
      <w:lvlJc w:val="left"/>
      <w:pPr>
        <w:ind w:left="5760" w:hanging="360"/>
      </w:pPr>
    </w:lvl>
    <w:lvl w:ilvl="8" w:tplc="E6807BF8"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4371BE7"/>
    <w:multiLevelType w:val="multilevel"/>
    <w:tmpl w:val="9AB81B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FC577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8"/>
  </w:num>
  <w:num w:numId="16">
    <w:abstractNumId w:val="11"/>
  </w:num>
  <w:num w:numId="17">
    <w:abstractNumId w:val="21"/>
  </w:num>
  <w:num w:numId="18">
    <w:abstractNumId w:val="18"/>
  </w:num>
  <w:num w:numId="19">
    <w:abstractNumId w:val="11"/>
  </w:num>
  <w:num w:numId="20">
    <w:abstractNumId w:val="17"/>
  </w:num>
  <w:num w:numId="21">
    <w:abstractNumId w:val="14"/>
  </w:num>
  <w:num w:numId="22">
    <w:abstractNumId w:val="10"/>
  </w:num>
  <w:num w:numId="23">
    <w:abstractNumId w:val="20"/>
  </w:num>
  <w:num w:numId="24">
    <w:abstractNumId w:val="12"/>
  </w:num>
  <w:num w:numId="25">
    <w:abstractNumId w:val="23"/>
  </w:num>
  <w:num w:numId="26">
    <w:abstractNumId w:val="13"/>
  </w:num>
  <w:num w:numId="27">
    <w:abstractNumId w:val="22"/>
  </w:num>
  <w:num w:numId="28">
    <w:abstractNumId w:val="19"/>
  </w:num>
  <w:num w:numId="29">
    <w:abstractNumId w:val="1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A1"/>
    <w:rsid w:val="00017F94"/>
    <w:rsid w:val="00023842"/>
    <w:rsid w:val="000334F9"/>
    <w:rsid w:val="0007796D"/>
    <w:rsid w:val="000919AD"/>
    <w:rsid w:val="000B7790"/>
    <w:rsid w:val="000C2225"/>
    <w:rsid w:val="00111F2F"/>
    <w:rsid w:val="00142598"/>
    <w:rsid w:val="0014365E"/>
    <w:rsid w:val="00176178"/>
    <w:rsid w:val="00181A8D"/>
    <w:rsid w:val="001B379B"/>
    <w:rsid w:val="001F525A"/>
    <w:rsid w:val="00223272"/>
    <w:rsid w:val="0024779E"/>
    <w:rsid w:val="002B7BC7"/>
    <w:rsid w:val="002E2D46"/>
    <w:rsid w:val="0032225A"/>
    <w:rsid w:val="003265B7"/>
    <w:rsid w:val="003402F1"/>
    <w:rsid w:val="003505D8"/>
    <w:rsid w:val="00351332"/>
    <w:rsid w:val="003A6E96"/>
    <w:rsid w:val="003C6689"/>
    <w:rsid w:val="003C76FF"/>
    <w:rsid w:val="00414123"/>
    <w:rsid w:val="00446FE5"/>
    <w:rsid w:val="00452396"/>
    <w:rsid w:val="005505B7"/>
    <w:rsid w:val="00573BE5"/>
    <w:rsid w:val="00586ED3"/>
    <w:rsid w:val="00596AA9"/>
    <w:rsid w:val="00651091"/>
    <w:rsid w:val="006D1448"/>
    <w:rsid w:val="006F7144"/>
    <w:rsid w:val="006F71EA"/>
    <w:rsid w:val="0071601D"/>
    <w:rsid w:val="00746214"/>
    <w:rsid w:val="00793E85"/>
    <w:rsid w:val="007A611C"/>
    <w:rsid w:val="007A62E6"/>
    <w:rsid w:val="007E2032"/>
    <w:rsid w:val="0080684C"/>
    <w:rsid w:val="008560DB"/>
    <w:rsid w:val="00871C75"/>
    <w:rsid w:val="008776DC"/>
    <w:rsid w:val="00931A99"/>
    <w:rsid w:val="009705C8"/>
    <w:rsid w:val="009B1E6C"/>
    <w:rsid w:val="009E2C6A"/>
    <w:rsid w:val="00A57411"/>
    <w:rsid w:val="00A9151D"/>
    <w:rsid w:val="00A92823"/>
    <w:rsid w:val="00AA6A35"/>
    <w:rsid w:val="00AC3823"/>
    <w:rsid w:val="00AE323C"/>
    <w:rsid w:val="00B00181"/>
    <w:rsid w:val="00B071A1"/>
    <w:rsid w:val="00B765F7"/>
    <w:rsid w:val="00BA0CA9"/>
    <w:rsid w:val="00C01ACF"/>
    <w:rsid w:val="00C02897"/>
    <w:rsid w:val="00CA7BC4"/>
    <w:rsid w:val="00D05667"/>
    <w:rsid w:val="00D22C9C"/>
    <w:rsid w:val="00D3439C"/>
    <w:rsid w:val="00D744E5"/>
    <w:rsid w:val="00D83177"/>
    <w:rsid w:val="00D9258B"/>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B07F6"/>
  <w15:docId w15:val="{4FEAA74B-664E-448D-A60D-84DFA9A9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Rvision">
    <w:name w:val="Revision"/>
    <w:hidden/>
    <w:uiPriority w:val="99"/>
    <w:semiHidden/>
    <w:rsid w:val="00142598"/>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746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CPR/C/104/D/1853-1854/2008" TargetMode="External"/><Relationship Id="rId13" Type="http://schemas.openxmlformats.org/officeDocument/2006/relationships/hyperlink" Target="http://undocs.org/fr/CCPR/C/124/D/2268/2013" TargetMode="External"/><Relationship Id="rId18" Type="http://schemas.openxmlformats.org/officeDocument/2006/relationships/hyperlink" Target="http://undocs.org/fr/CCPR/C/115/D/2221/2012" TargetMode="External"/><Relationship Id="rId26" Type="http://schemas.openxmlformats.org/officeDocument/2006/relationships/hyperlink" Target="http://undocs.org/fr/CCPR/C/99/D/1502/2006" TargetMode="External"/><Relationship Id="rId3" Type="http://schemas.openxmlformats.org/officeDocument/2006/relationships/hyperlink" Target="https://www.ohchr.org/Documents/HRBodies/CCPR/Membership/CV_El_Haiba.pdf" TargetMode="External"/><Relationship Id="rId21" Type="http://schemas.openxmlformats.org/officeDocument/2006/relationships/hyperlink" Target="http://undocs.org/fr/CCPR/C/117/D/2226/2012" TargetMode="External"/><Relationship Id="rId7" Type="http://schemas.openxmlformats.org/officeDocument/2006/relationships/hyperlink" Target="http://undocs.org/fr/CCPR/C/59/D/526/1993" TargetMode="External"/><Relationship Id="rId12" Type="http://schemas.openxmlformats.org/officeDocument/2006/relationships/hyperlink" Target="http://undocs.org/fr/CCPR/C/126/D/2302/2013" TargetMode="External"/><Relationship Id="rId17" Type="http://schemas.openxmlformats.org/officeDocument/2006/relationships/hyperlink" Target="http://undocs.org/fr/CCPR/C/106/D/1786/2008" TargetMode="External"/><Relationship Id="rId25" Type="http://schemas.openxmlformats.org/officeDocument/2006/relationships/hyperlink" Target="http://undocs.org/fr/CCPR/C/94/D/1178/2003" TargetMode="External"/><Relationship Id="rId2" Type="http://schemas.openxmlformats.org/officeDocument/2006/relationships/hyperlink" Target="https://www.ohchr.org/Documents/HRBodies/CCPR/Membership/CV_BEN_ACHOUR_FRE.docx" TargetMode="External"/><Relationship Id="rId16" Type="http://schemas.openxmlformats.org/officeDocument/2006/relationships/hyperlink" Target="http://undocs.org/fr/CCPR/C/88/D/1321-1322/2004" TargetMode="External"/><Relationship Id="rId20" Type="http://schemas.openxmlformats.org/officeDocument/2006/relationships/hyperlink" Target="http://undocs.org/fr/CCPR/C/115/D/2223/2012" TargetMode="External"/><Relationship Id="rId1" Type="http://schemas.openxmlformats.org/officeDocument/2006/relationships/hyperlink" Target="https://www.ohchr.org/Documents/HRBodies/CCPR/Membership/Bassim_ENG.pdf" TargetMode="External"/><Relationship Id="rId6" Type="http://schemas.openxmlformats.org/officeDocument/2006/relationships/hyperlink" Target="http://undocs.org/fr/CCPR/C/113/D/2218/2012" TargetMode="External"/><Relationship Id="rId11" Type="http://schemas.openxmlformats.org/officeDocument/2006/relationships/hyperlink" Target="http://undocs.org/fr/CCPR/C/117/D/2225/2012" TargetMode="External"/><Relationship Id="rId24" Type="http://schemas.openxmlformats.org/officeDocument/2006/relationships/hyperlink" Target="http://undocs.org/fr/CCPR/C/123/D/2424/2014" TargetMode="External"/><Relationship Id="rId5" Type="http://schemas.openxmlformats.org/officeDocument/2006/relationships/hyperlink" Target="http://undocs.org/fr/CCPR/C/112/D/2179/2012" TargetMode="External"/><Relationship Id="rId15" Type="http://schemas.openxmlformats.org/officeDocument/2006/relationships/hyperlink" Target="http://undocs.org/fr/CCPR/C/128/D/2846/2016" TargetMode="External"/><Relationship Id="rId23" Type="http://schemas.openxmlformats.org/officeDocument/2006/relationships/hyperlink" Target="http://undocs.org/fr/CCPR/C/101/D/1642-1741/2007" TargetMode="External"/><Relationship Id="rId10" Type="http://schemas.openxmlformats.org/officeDocument/2006/relationships/hyperlink" Target="http://undocs.org/fr/CCPR/C/117/D/2224/2012" TargetMode="External"/><Relationship Id="rId19" Type="http://schemas.openxmlformats.org/officeDocument/2006/relationships/hyperlink" Target="http://undocs.org/fr/CCPR/C/115/D/2222/2012" TargetMode="External"/><Relationship Id="rId4" Type="http://schemas.openxmlformats.org/officeDocument/2006/relationships/hyperlink" Target="https://www.ohchr.org/Documents/HRBodies/CCPR/Membership/Tchamda_FRE.pdf" TargetMode="External"/><Relationship Id="rId9" Type="http://schemas.openxmlformats.org/officeDocument/2006/relationships/hyperlink" Target="http://undocs.org/fr/CCPR/C/117/D/2219/2012" TargetMode="External"/><Relationship Id="rId14" Type="http://schemas.openxmlformats.org/officeDocument/2006/relationships/hyperlink" Target="http://undocs.org/fr/CCPR/C/132/D/3065/2017" TargetMode="External"/><Relationship Id="rId22" Type="http://schemas.openxmlformats.org/officeDocument/2006/relationships/hyperlink" Target="http://undocs.org/fr/CCPR/C/117/D/2227/2012" TargetMode="External"/><Relationship Id="rId27" Type="http://schemas.openxmlformats.org/officeDocument/2006/relationships/hyperlink" Target="http://undocs.org/fr/CCPR/C/106/D/1940/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4</TotalTime>
  <Pages>8</Pages>
  <Words>4172</Words>
  <Characters>21366</Characters>
  <Application>Microsoft Office Word</Application>
  <DocSecurity>0</DocSecurity>
  <Lines>333</Lines>
  <Paragraphs>85</Paragraphs>
  <ScaleCrop>false</ScaleCrop>
  <HeadingPairs>
    <vt:vector size="2" baseType="variant">
      <vt:variant>
        <vt:lpstr>Titre</vt:lpstr>
      </vt:variant>
      <vt:variant>
        <vt:i4>1</vt:i4>
      </vt:variant>
    </vt:vector>
  </HeadingPairs>
  <TitlesOfParts>
    <vt:vector size="1" baseType="lpstr">
      <vt:lpstr>CCPR/C/134/D/3272/2018</vt:lpstr>
    </vt:vector>
  </TitlesOfParts>
  <Company>DCM</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CCPR/C/134/D/3272/2018</dc:title>
  <dc:subject/>
  <dc:creator>Valerie BERTIN</dc:creator>
  <cp:keywords/>
  <cp:lastModifiedBy>Valerie Bertin</cp:lastModifiedBy>
  <cp:revision>3</cp:revision>
  <cp:lastPrinted>2022-12-19T14:11:00Z</cp:lastPrinted>
  <dcterms:created xsi:type="dcterms:W3CDTF">2022-12-19T14:11:00Z</dcterms:created>
  <dcterms:modified xsi:type="dcterms:W3CDTF">2022-12-19T14:12:00Z</dcterms:modified>
</cp:coreProperties>
</file>