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71E84680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DF87C27" w14:textId="77777777" w:rsidR="002D5AAC" w:rsidRDefault="002D5AAC" w:rsidP="009C34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0BFCCEA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09252AD1" w14:textId="470C7B9C" w:rsidR="002D5AAC" w:rsidRDefault="009C34FA" w:rsidP="009C34FA">
            <w:pPr>
              <w:jc w:val="right"/>
            </w:pPr>
            <w:r w:rsidRPr="009C34FA">
              <w:rPr>
                <w:sz w:val="40"/>
              </w:rPr>
              <w:t>CCPR</w:t>
            </w:r>
            <w:r w:rsidRPr="009C34FA">
              <w:t>/C/136/2/Add.4</w:t>
            </w:r>
          </w:p>
        </w:tc>
      </w:tr>
      <w:tr w:rsidR="002D5AAC" w:rsidRPr="00100DC0" w14:paraId="6916A602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E58DA4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D9DAE63" wp14:editId="253813F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77B135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007EA78" w14:textId="77777777" w:rsidR="002D5AAC" w:rsidRPr="00100DC0" w:rsidRDefault="009C34FA" w:rsidP="00BC3629">
            <w:pPr>
              <w:spacing w:before="240"/>
              <w:rPr>
                <w:lang w:val="en-US"/>
              </w:rPr>
            </w:pPr>
            <w:r w:rsidRPr="00100DC0">
              <w:rPr>
                <w:lang w:val="en-US"/>
              </w:rPr>
              <w:t>Distr.: General</w:t>
            </w:r>
          </w:p>
          <w:p w14:paraId="30F41DF8" w14:textId="77777777" w:rsidR="009C34FA" w:rsidRPr="00100DC0" w:rsidRDefault="009C34FA" w:rsidP="009C34FA">
            <w:pPr>
              <w:spacing w:line="240" w:lineRule="exact"/>
              <w:rPr>
                <w:lang w:val="en-US"/>
              </w:rPr>
            </w:pPr>
            <w:r w:rsidRPr="00100DC0">
              <w:rPr>
                <w:lang w:val="en-US"/>
              </w:rPr>
              <w:t>5 December 2022</w:t>
            </w:r>
          </w:p>
          <w:p w14:paraId="4C603A3B" w14:textId="77777777" w:rsidR="009C34FA" w:rsidRPr="00100DC0" w:rsidRDefault="009C34FA" w:rsidP="009C34FA">
            <w:pPr>
              <w:spacing w:line="240" w:lineRule="exact"/>
              <w:rPr>
                <w:lang w:val="en-US"/>
              </w:rPr>
            </w:pPr>
            <w:r w:rsidRPr="00100DC0">
              <w:rPr>
                <w:lang w:val="en-US"/>
              </w:rPr>
              <w:t>Russian</w:t>
            </w:r>
          </w:p>
          <w:p w14:paraId="0DD61600" w14:textId="73FFB631" w:rsidR="009C34FA" w:rsidRPr="00100DC0" w:rsidRDefault="009C34FA" w:rsidP="009C34FA">
            <w:pPr>
              <w:spacing w:line="240" w:lineRule="exact"/>
              <w:rPr>
                <w:lang w:val="en-US"/>
              </w:rPr>
            </w:pPr>
            <w:r w:rsidRPr="00100DC0">
              <w:rPr>
                <w:lang w:val="en-US"/>
              </w:rPr>
              <w:t>Original: English</w:t>
            </w:r>
          </w:p>
        </w:tc>
      </w:tr>
    </w:tbl>
    <w:p w14:paraId="037C25A8" w14:textId="77777777" w:rsidR="009C34FA" w:rsidRPr="00B1063F" w:rsidRDefault="009C34FA" w:rsidP="009C34FA">
      <w:pPr>
        <w:spacing w:before="120"/>
        <w:rPr>
          <w:b/>
          <w:bCs/>
          <w:color w:val="000000" w:themeColor="text1"/>
          <w:sz w:val="24"/>
          <w:szCs w:val="24"/>
        </w:rPr>
      </w:pPr>
      <w:r w:rsidRPr="00B1063F">
        <w:rPr>
          <w:b/>
          <w:bCs/>
          <w:sz w:val="24"/>
          <w:szCs w:val="24"/>
        </w:rPr>
        <w:t>Комитет по правам человека</w:t>
      </w:r>
    </w:p>
    <w:p w14:paraId="4CBD4C30" w14:textId="44EEDC19" w:rsidR="009C34FA" w:rsidRPr="009E564F" w:rsidRDefault="009C34FA" w:rsidP="009C34FA">
      <w:pPr>
        <w:pStyle w:val="HChG"/>
      </w:pPr>
      <w:r>
        <w:tab/>
      </w:r>
      <w:r>
        <w:tab/>
      </w:r>
      <w:r>
        <w:rPr>
          <w:bCs/>
        </w:rPr>
        <w:t>Доклад о последующей деятельности в связи с</w:t>
      </w:r>
      <w:r>
        <w:rPr>
          <w:bCs/>
          <w:lang w:val="en-US"/>
        </w:rPr>
        <w:t> </w:t>
      </w:r>
      <w:r>
        <w:rPr>
          <w:bCs/>
        </w:rPr>
        <w:t xml:space="preserve">заключительными замечаниями Комитета </w:t>
      </w:r>
      <w:r>
        <w:rPr>
          <w:bCs/>
        </w:rPr>
        <w:br/>
        <w:t>по правам человека</w:t>
      </w:r>
      <w:r w:rsidRPr="00B73A7C">
        <w:rPr>
          <w:b w:val="0"/>
          <w:bCs/>
          <w:sz w:val="20"/>
          <w:szCs w:val="14"/>
        </w:rPr>
        <w:footnoteReference w:customMarkFollows="1" w:id="1"/>
        <w:t>*</w:t>
      </w:r>
      <w:bookmarkStart w:id="0" w:name="_Toc506807534"/>
      <w:bookmarkEnd w:id="0"/>
    </w:p>
    <w:p w14:paraId="1520A315" w14:textId="77777777" w:rsidR="009C34FA" w:rsidRPr="009E564F" w:rsidRDefault="009C34FA" w:rsidP="009C34FA">
      <w:pPr>
        <w:pStyle w:val="H23G"/>
        <w:rPr>
          <w:rFonts w:eastAsia="SimSun"/>
        </w:rPr>
      </w:pPr>
      <w:r>
        <w:tab/>
      </w:r>
      <w:r>
        <w:tab/>
      </w:r>
      <w:r>
        <w:rPr>
          <w:bCs/>
        </w:rPr>
        <w:t>Добавление</w:t>
      </w:r>
    </w:p>
    <w:p w14:paraId="201D27B6" w14:textId="31FB6A15" w:rsidR="009C34FA" w:rsidRDefault="009C34FA" w:rsidP="009C34FA">
      <w:pPr>
        <w:pStyle w:val="HChG"/>
        <w:rPr>
          <w:bCs/>
        </w:rPr>
      </w:pPr>
      <w:r>
        <w:tab/>
      </w:r>
      <w:r>
        <w:tab/>
      </w:r>
      <w:r>
        <w:rPr>
          <w:bCs/>
        </w:rPr>
        <w:t>Оценка информации о последующей деятельности в</w:t>
      </w:r>
      <w:r>
        <w:rPr>
          <w:bCs/>
          <w:lang w:val="en-US"/>
        </w:rPr>
        <w:t> </w:t>
      </w:r>
      <w:r>
        <w:rPr>
          <w:bCs/>
        </w:rPr>
        <w:t>связи с заключительными замечаниями по Вьетнаму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827"/>
      </w:tblGrid>
      <w:tr w:rsidR="009C34FA" w:rsidRPr="000D1ED1" w14:paraId="1DFAD8CF" w14:textId="77777777" w:rsidTr="009C34FA">
        <w:tc>
          <w:tcPr>
            <w:tcW w:w="2977" w:type="dxa"/>
            <w:shd w:val="clear" w:color="auto" w:fill="auto"/>
          </w:tcPr>
          <w:p w14:paraId="40E0F0BB" w14:textId="79C112A2" w:rsidR="009C34FA" w:rsidRPr="00B03EE9" w:rsidRDefault="009C34FA" w:rsidP="00A85105">
            <w:pPr>
              <w:spacing w:after="120"/>
              <w:ind w:left="49"/>
              <w:rPr>
                <w:i/>
              </w:rPr>
            </w:pPr>
            <w:r>
              <w:rPr>
                <w:i/>
                <w:iCs/>
              </w:rPr>
              <w:t xml:space="preserve">Заключительные замечания </w:t>
            </w:r>
            <w:r>
              <w:rPr>
                <w:i/>
                <w:iCs/>
              </w:rPr>
              <w:br/>
              <w:t>(сто двадцать пятая сессия):</w:t>
            </w:r>
          </w:p>
        </w:tc>
        <w:tc>
          <w:tcPr>
            <w:tcW w:w="3827" w:type="dxa"/>
            <w:shd w:val="clear" w:color="auto" w:fill="auto"/>
          </w:tcPr>
          <w:p w14:paraId="10801D90" w14:textId="6F134631" w:rsidR="009C34FA" w:rsidRPr="000D1ED1" w:rsidRDefault="00100DC0" w:rsidP="00A85105">
            <w:pPr>
              <w:spacing w:after="120"/>
            </w:pPr>
            <w:hyperlink r:id="rId8" w:history="1">
              <w:r w:rsidR="009C34FA" w:rsidRPr="009C34FA">
                <w:rPr>
                  <w:rStyle w:val="af1"/>
                </w:rPr>
                <w:t>CCPR/C/VNM/CO/3</w:t>
              </w:r>
            </w:hyperlink>
            <w:r w:rsidR="009C34FA">
              <w:t>, 25 марта 2019 года</w:t>
            </w:r>
          </w:p>
        </w:tc>
      </w:tr>
      <w:tr w:rsidR="009C34FA" w14:paraId="4E94A53E" w14:textId="77777777" w:rsidTr="009C34FA">
        <w:tc>
          <w:tcPr>
            <w:tcW w:w="2977" w:type="dxa"/>
            <w:shd w:val="clear" w:color="auto" w:fill="auto"/>
          </w:tcPr>
          <w:p w14:paraId="3B5C3938" w14:textId="4CB82FD8" w:rsidR="009C34FA" w:rsidRPr="00B03EE9" w:rsidRDefault="009C34FA" w:rsidP="00A85105">
            <w:pPr>
              <w:spacing w:after="120"/>
              <w:ind w:left="49"/>
              <w:rPr>
                <w:i/>
              </w:rPr>
            </w:pPr>
            <w:r>
              <w:rPr>
                <w:i/>
                <w:iCs/>
              </w:rPr>
              <w:t>Пункты, предусматривающие последующую деятельность:</w:t>
            </w:r>
          </w:p>
        </w:tc>
        <w:tc>
          <w:tcPr>
            <w:tcW w:w="3827" w:type="dxa"/>
            <w:shd w:val="clear" w:color="auto" w:fill="auto"/>
          </w:tcPr>
          <w:p w14:paraId="5C0BDFC6" w14:textId="2E7C228F" w:rsidR="009C34FA" w:rsidRDefault="009C34FA" w:rsidP="00A85105">
            <w:pPr>
              <w:spacing w:after="120"/>
            </w:pPr>
            <w:r>
              <w:t>24, 46 и 52</w:t>
            </w:r>
          </w:p>
        </w:tc>
      </w:tr>
      <w:tr w:rsidR="009C34FA" w14:paraId="4593DC80" w14:textId="77777777" w:rsidTr="009C34FA">
        <w:tc>
          <w:tcPr>
            <w:tcW w:w="2977" w:type="dxa"/>
            <w:shd w:val="clear" w:color="auto" w:fill="auto"/>
          </w:tcPr>
          <w:p w14:paraId="37940E18" w14:textId="689AA1E0" w:rsidR="009C34FA" w:rsidRPr="00FD511F" w:rsidRDefault="009C34FA" w:rsidP="00A85105">
            <w:pPr>
              <w:spacing w:after="120"/>
              <w:ind w:left="49"/>
            </w:pPr>
            <w:r>
              <w:rPr>
                <w:i/>
                <w:iCs/>
              </w:rPr>
              <w:t xml:space="preserve">Информация, полученная </w:t>
            </w:r>
            <w:r>
              <w:rPr>
                <w:i/>
                <w:iCs/>
              </w:rPr>
              <w:br/>
              <w:t>от государства-участника:</w:t>
            </w:r>
          </w:p>
        </w:tc>
        <w:tc>
          <w:tcPr>
            <w:tcW w:w="3827" w:type="dxa"/>
            <w:shd w:val="clear" w:color="auto" w:fill="auto"/>
          </w:tcPr>
          <w:p w14:paraId="45ED8F00" w14:textId="4AE4A4D8" w:rsidR="009C34FA" w:rsidRDefault="009C34FA" w:rsidP="00A85105">
            <w:pPr>
              <w:spacing w:after="120"/>
            </w:pPr>
            <w:hyperlink r:id="rId9" w:history="1">
              <w:r w:rsidRPr="009C34FA">
                <w:rPr>
                  <w:rStyle w:val="af1"/>
                </w:rPr>
                <w:t>CCPR/C/VNM/FCO/3</w:t>
              </w:r>
            </w:hyperlink>
            <w:r>
              <w:t>, 29 марта 2021 года</w:t>
            </w:r>
          </w:p>
        </w:tc>
      </w:tr>
      <w:tr w:rsidR="009C34FA" w14:paraId="449AAE2D" w14:textId="77777777" w:rsidTr="009C34FA">
        <w:tc>
          <w:tcPr>
            <w:tcW w:w="2977" w:type="dxa"/>
            <w:shd w:val="clear" w:color="auto" w:fill="auto"/>
          </w:tcPr>
          <w:p w14:paraId="547EEABF" w14:textId="0F40F062" w:rsidR="009C34FA" w:rsidRPr="00FD511F" w:rsidRDefault="009C34FA" w:rsidP="00A85105">
            <w:pPr>
              <w:spacing w:after="120"/>
              <w:ind w:left="49"/>
            </w:pPr>
            <w:r>
              <w:rPr>
                <w:i/>
                <w:iCs/>
              </w:rPr>
              <w:t xml:space="preserve">Информация, полученная </w:t>
            </w:r>
            <w:r>
              <w:rPr>
                <w:i/>
                <w:iCs/>
              </w:rPr>
              <w:br/>
              <w:t>от заинтересованных сторон:</w:t>
            </w:r>
          </w:p>
        </w:tc>
        <w:tc>
          <w:tcPr>
            <w:tcW w:w="3827" w:type="dxa"/>
            <w:shd w:val="clear" w:color="auto" w:fill="auto"/>
          </w:tcPr>
          <w:p w14:paraId="24008FD5" w14:textId="4B00611E" w:rsidR="009C34FA" w:rsidRDefault="00100DC0" w:rsidP="00A85105">
            <w:pPr>
              <w:spacing w:after="120"/>
            </w:pPr>
            <w:hyperlink r:id="rId10" w:history="1">
              <w:r w:rsidR="009C34FA" w:rsidRPr="009C34FA">
                <w:rPr>
                  <w:rStyle w:val="af1"/>
                </w:rPr>
                <w:t>Международная федерация за права человека и Комитет по правам человека Вьетнама</w:t>
              </w:r>
            </w:hyperlink>
            <w:r w:rsidR="009C34FA">
              <w:t>, 18 июля 2022 года</w:t>
            </w:r>
          </w:p>
        </w:tc>
      </w:tr>
      <w:tr w:rsidR="009C34FA" w14:paraId="48BA42AC" w14:textId="77777777" w:rsidTr="009C34FA">
        <w:tc>
          <w:tcPr>
            <w:tcW w:w="2977" w:type="dxa"/>
            <w:shd w:val="clear" w:color="auto" w:fill="auto"/>
          </w:tcPr>
          <w:p w14:paraId="5A70FC85" w14:textId="06B62FB1" w:rsidR="009C34FA" w:rsidRDefault="009C34FA" w:rsidP="00A85105">
            <w:pPr>
              <w:spacing w:after="120"/>
              <w:ind w:left="49"/>
              <w:rPr>
                <w:i/>
                <w:iCs/>
              </w:rPr>
            </w:pPr>
            <w:r>
              <w:rPr>
                <w:i/>
                <w:iCs/>
              </w:rPr>
              <w:t>Оценка Комитета:</w:t>
            </w:r>
          </w:p>
        </w:tc>
        <w:tc>
          <w:tcPr>
            <w:tcW w:w="3827" w:type="dxa"/>
            <w:shd w:val="clear" w:color="auto" w:fill="auto"/>
          </w:tcPr>
          <w:p w14:paraId="3B9470DB" w14:textId="484B065B" w:rsidR="009C34FA" w:rsidRDefault="009C34FA" w:rsidP="00A85105">
            <w:pPr>
              <w:spacing w:after="120"/>
            </w:pPr>
            <w:r>
              <w:t>24 [C][E], 46 [E] и 52 [C]</w:t>
            </w:r>
          </w:p>
        </w:tc>
      </w:tr>
    </w:tbl>
    <w:p w14:paraId="404EFB89" w14:textId="77777777" w:rsidR="009C34FA" w:rsidRPr="009E564F" w:rsidRDefault="009C34FA" w:rsidP="009C34FA">
      <w:pPr>
        <w:pStyle w:val="H1G"/>
      </w:pPr>
      <w:r>
        <w:tab/>
      </w:r>
      <w:r>
        <w:tab/>
      </w:r>
      <w:r>
        <w:tab/>
      </w:r>
      <w:r>
        <w:rPr>
          <w:bCs/>
        </w:rPr>
        <w:t>Пункт 24: смертная казнь</w:t>
      </w:r>
    </w:p>
    <w:p w14:paraId="31149B66" w14:textId="46E7E7BA" w:rsidR="009C34FA" w:rsidRPr="009E564F" w:rsidRDefault="009C34FA" w:rsidP="009C34FA">
      <w:pPr>
        <w:pStyle w:val="SingleTxtG"/>
        <w:rPr>
          <w:b/>
          <w:bCs/>
        </w:rPr>
      </w:pPr>
      <w:r>
        <w:rPr>
          <w:b/>
          <w:bCs/>
        </w:rPr>
        <w:t>Комитет вновь рекомендует государству-участнику</w:t>
      </w:r>
      <w:r w:rsidRPr="009506EB">
        <w:rPr>
          <w:rStyle w:val="aa"/>
        </w:rPr>
        <w:footnoteReference w:id="2"/>
      </w:r>
      <w:r>
        <w:rPr>
          <w:b/>
          <w:bCs/>
        </w:rPr>
        <w:t>:</w:t>
      </w:r>
    </w:p>
    <w:p w14:paraId="7E9A6FB8" w14:textId="16505CE4" w:rsidR="009C34FA" w:rsidRPr="009C34FA" w:rsidRDefault="009C34FA" w:rsidP="009C34FA">
      <w:pPr>
        <w:pStyle w:val="SingleTxtG"/>
        <w:rPr>
          <w:b/>
          <w:bCs/>
        </w:rPr>
      </w:pPr>
      <w:r>
        <w:tab/>
      </w:r>
      <w:r w:rsidRPr="009C34FA">
        <w:rPr>
          <w:b/>
          <w:bCs/>
        </w:rPr>
        <w:t>a)</w:t>
      </w:r>
      <w:r w:rsidRPr="009C34FA">
        <w:rPr>
          <w:b/>
          <w:bCs/>
        </w:rPr>
        <w:tab/>
        <w:t>рассмотреть возможность введения моратория на применение смертной казни и ратификации второго Факультативного протокола к Пакту, направленного на отмену смертной казни, или присоединения к нему;</w:t>
      </w:r>
    </w:p>
    <w:p w14:paraId="05BCD39E" w14:textId="58962F13" w:rsidR="009C34FA" w:rsidRPr="009C34FA" w:rsidRDefault="009C34FA" w:rsidP="009C34FA">
      <w:pPr>
        <w:pStyle w:val="SingleTxtG"/>
        <w:rPr>
          <w:b/>
          <w:bCs/>
        </w:rPr>
      </w:pPr>
      <w:r w:rsidRPr="009C34FA">
        <w:rPr>
          <w:b/>
          <w:bCs/>
        </w:rPr>
        <w:tab/>
        <w:t>b)</w:t>
      </w:r>
      <w:r w:rsidRPr="009C34FA">
        <w:rPr>
          <w:b/>
          <w:bCs/>
        </w:rPr>
        <w:tab/>
        <w:t>до введения моратория внести изменения в Уголовный кодекс, чтобы еще больше сократить число преступлений, подлежащих смертной казни, и обеспечить сохранение такого наказания только наиболее тяжкие преступления, т</w:t>
      </w:r>
      <w:r w:rsidR="00302FF0" w:rsidRPr="00302FF0">
        <w:rPr>
          <w:b/>
          <w:bCs/>
        </w:rPr>
        <w:t>.</w:t>
      </w:r>
      <w:r w:rsidR="00302FF0">
        <w:rPr>
          <w:b/>
          <w:bCs/>
          <w:lang w:val="en-US"/>
        </w:rPr>
        <w:t> </w:t>
      </w:r>
      <w:r w:rsidRPr="009C34FA">
        <w:rPr>
          <w:b/>
          <w:bCs/>
        </w:rPr>
        <w:t>е</w:t>
      </w:r>
      <w:r w:rsidR="00302FF0" w:rsidRPr="00302FF0">
        <w:rPr>
          <w:b/>
          <w:bCs/>
        </w:rPr>
        <w:t>.</w:t>
      </w:r>
      <w:r w:rsidRPr="009C34FA">
        <w:rPr>
          <w:b/>
          <w:bCs/>
        </w:rPr>
        <w:t xml:space="preserve"> за особо тяжкие преступления, связанные с умышленным убийством;</w:t>
      </w:r>
    </w:p>
    <w:p w14:paraId="380F0BEC" w14:textId="54A92FEA" w:rsidR="009C34FA" w:rsidRDefault="009C34FA" w:rsidP="009C34FA">
      <w:pPr>
        <w:pStyle w:val="SingleTxtG"/>
      </w:pPr>
      <w:r w:rsidRPr="009C34FA">
        <w:rPr>
          <w:b/>
          <w:bCs/>
        </w:rPr>
        <w:tab/>
        <w:t>c)</w:t>
      </w:r>
      <w:r w:rsidRPr="009C34FA">
        <w:rPr>
          <w:b/>
          <w:bCs/>
        </w:rPr>
        <w:tab/>
      </w:r>
      <w:r>
        <w:rPr>
          <w:b/>
          <w:bCs/>
        </w:rPr>
        <w:t xml:space="preserve">обеспечить, чтобы смертная казнь не являлась обязательным приговором за какие-либо преступления и в случае ее вынесения никогда не нарушала положений Пакта, в том числе в отношении процедур справедливого судебного разбирательства, и заранее уведомлять приговоренных к смертной </w:t>
      </w:r>
      <w:r>
        <w:rPr>
          <w:b/>
          <w:bCs/>
        </w:rPr>
        <w:lastRenderedPageBreak/>
        <w:t>казни и их семьи о намеченных дне и времени приведения смертных приговоров в исполнение;</w:t>
      </w:r>
    </w:p>
    <w:p w14:paraId="34492710" w14:textId="474DA8AF" w:rsidR="009C34FA" w:rsidRPr="009C34FA" w:rsidRDefault="009C34FA" w:rsidP="009C34FA">
      <w:pPr>
        <w:pStyle w:val="SingleTxtG"/>
        <w:rPr>
          <w:b/>
          <w:bCs/>
        </w:rPr>
      </w:pPr>
      <w:r w:rsidRPr="009C34FA">
        <w:rPr>
          <w:b/>
          <w:bCs/>
        </w:rPr>
        <w:tab/>
        <w:t>d)</w:t>
      </w:r>
      <w:r w:rsidRPr="009C34FA">
        <w:rPr>
          <w:b/>
          <w:bCs/>
        </w:rPr>
        <w:tab/>
        <w:t>обеспечить эффективную возможность помилования или смягчения приговоров к смертной казни во всех случаях, независимо от совершенных преступлений;</w:t>
      </w:r>
    </w:p>
    <w:p w14:paraId="756C71D7" w14:textId="094D168C" w:rsidR="009C34FA" w:rsidRPr="009E564F" w:rsidRDefault="009C34FA" w:rsidP="009C34FA">
      <w:pPr>
        <w:pStyle w:val="SingleTxtG"/>
        <w:rPr>
          <w:b/>
          <w:bCs/>
        </w:rPr>
      </w:pPr>
      <w:r w:rsidRPr="009C34FA">
        <w:rPr>
          <w:b/>
          <w:bCs/>
        </w:rPr>
        <w:tab/>
        <w:t>e)</w:t>
      </w:r>
      <w:r w:rsidRPr="009C34FA">
        <w:rPr>
          <w:b/>
          <w:bCs/>
        </w:rPr>
        <w:tab/>
      </w:r>
      <w:r>
        <w:rPr>
          <w:b/>
          <w:bCs/>
        </w:rPr>
        <w:t>публиковать официальные данные о смертных приговорах и казнях в разбивке по полу, возрасту, этнической принадлежности, религии и преступности.</w:t>
      </w:r>
    </w:p>
    <w:p w14:paraId="5C584DEC" w14:textId="77777777" w:rsidR="009C34FA" w:rsidRPr="009E564F" w:rsidRDefault="009C34FA" w:rsidP="009C34FA">
      <w:pPr>
        <w:pStyle w:val="H23G"/>
        <w:rPr>
          <w:rFonts w:eastAsiaTheme="minorEastAsia"/>
        </w:rPr>
      </w:pPr>
      <w:r>
        <w:tab/>
      </w:r>
      <w:r>
        <w:tab/>
      </w:r>
      <w:r>
        <w:rPr>
          <w:bCs/>
        </w:rPr>
        <w:t>Резюме информации, полученной от государства-участника</w:t>
      </w:r>
    </w:p>
    <w:p w14:paraId="42B24AA6" w14:textId="6D66AB95" w:rsidR="009C34FA" w:rsidRPr="009E564F" w:rsidRDefault="009C34FA" w:rsidP="009C34FA">
      <w:pPr>
        <w:pStyle w:val="SingleTxtG"/>
      </w:pPr>
      <w:r>
        <w:tab/>
        <w:t>a)</w:t>
      </w:r>
      <w:r>
        <w:tab/>
        <w:t>Вьетнам сохраняет смертную казнь за особо тяжкие преступления и считает ее необходимой мерой для сдерживания таких преступлений. Она изучает вопросы сохранения и отмены смертной казни в других странах и возможность ратификации второго Факультативного протокола к Пакту, направленного на отмену смертной казни.</w:t>
      </w:r>
    </w:p>
    <w:p w14:paraId="4CE69C11" w14:textId="16D17236" w:rsidR="009C34FA" w:rsidRPr="009E564F" w:rsidRDefault="009C34FA" w:rsidP="009C34FA">
      <w:pPr>
        <w:pStyle w:val="SingleTxtG"/>
      </w:pPr>
      <w:r>
        <w:tab/>
        <w:t>b)</w:t>
      </w:r>
      <w:r>
        <w:tab/>
        <w:t>Политика сокращения применения смертной казни отражена в измененном Уголовном кодексе, Уголовно-процессуальном кодексе и законе об исполнении приговоров по уголовным делам. Исследование, касающееся сокращения числа преступлений, караемых смертной казнью, завершится в 2022 году.</w:t>
      </w:r>
    </w:p>
    <w:p w14:paraId="45FE293E" w14:textId="3C393C91" w:rsidR="009C34FA" w:rsidRDefault="009C34FA" w:rsidP="009C34FA">
      <w:pPr>
        <w:pStyle w:val="SingleTxtG"/>
      </w:pPr>
      <w:r>
        <w:tab/>
        <w:t>c)</w:t>
      </w:r>
      <w:r>
        <w:tab/>
        <w:t>Смертная казнь не является обязательной в применении закона. Защитник должен назначаться обвиняемыми в преступлении, которое карается 20</w:t>
      </w:r>
      <w:r w:rsidR="0095796B">
        <w:rPr>
          <w:lang w:val="en-US"/>
        </w:rPr>
        <w:t> </w:t>
      </w:r>
      <w:r>
        <w:t>годами лишения свободы, пожизненным заключением или смертной казнью в качестве максимальной меры наказания. Родственник или представитель лиц, приговоренного к смертной казни, должен уведомляться о приговоре в трехдневный срок. Вьетнам изучит рекомендацию Комитета о заблаговременном уведомлении заключенных, приговоренных к смертной казни, и рассмотрит поправки к законодательству.</w:t>
      </w:r>
    </w:p>
    <w:p w14:paraId="42810D09" w14:textId="21B8A741" w:rsidR="009C34FA" w:rsidRPr="009E564F" w:rsidRDefault="009C34FA" w:rsidP="009C34FA">
      <w:pPr>
        <w:pStyle w:val="SingleTxtG"/>
      </w:pPr>
      <w:r>
        <w:tab/>
        <w:t>d)</w:t>
      </w:r>
      <w:r>
        <w:tab/>
        <w:t>В соответствии со статьей 367 Уголовно-процессуального кодекса все смертные приговоры пересматриваются Председателем Верховного народного суда или Главным прокурором Верховной народной прокуратуры. Осужденный имеет право подать прошение о смягчении наказания. Многие смертные приговоры были заменены пожизненным заключением.</w:t>
      </w:r>
    </w:p>
    <w:p w14:paraId="6BDDE01E" w14:textId="43F5315E" w:rsidR="009C34FA" w:rsidRDefault="009C34FA" w:rsidP="009C34FA">
      <w:pPr>
        <w:pStyle w:val="SingleTxtG"/>
      </w:pPr>
      <w:r>
        <w:tab/>
        <w:t>e)</w:t>
      </w:r>
      <w:r>
        <w:tab/>
        <w:t>Данные о смертных приговорах публикуются в соответствии с законом.</w:t>
      </w:r>
    </w:p>
    <w:p w14:paraId="39EBD489" w14:textId="77777777" w:rsidR="009C34FA" w:rsidRPr="009E564F" w:rsidRDefault="009C34FA" w:rsidP="009C34FA">
      <w:pPr>
        <w:pStyle w:val="H23G"/>
        <w:rPr>
          <w:rFonts w:eastAsiaTheme="minorEastAsia"/>
        </w:rPr>
      </w:pPr>
      <w:r>
        <w:tab/>
      </w:r>
      <w:r>
        <w:tab/>
      </w:r>
      <w:r>
        <w:rPr>
          <w:bCs/>
        </w:rPr>
        <w:t>Резюме информации, полученной от заинтересованных сторон</w:t>
      </w:r>
    </w:p>
    <w:p w14:paraId="27456C81" w14:textId="77777777" w:rsidR="009C34FA" w:rsidRPr="009E564F" w:rsidRDefault="009C34FA" w:rsidP="009C34FA">
      <w:pPr>
        <w:pStyle w:val="H4G"/>
        <w:rPr>
          <w:rFonts w:eastAsiaTheme="minorEastAsia"/>
        </w:rPr>
      </w:pPr>
      <w:r>
        <w:tab/>
      </w:r>
      <w:r>
        <w:tab/>
      </w:r>
      <w:r>
        <w:rPr>
          <w:iCs/>
        </w:rPr>
        <w:t>Международная федерация за права человека и Комитет по правам человека Вьетнама</w:t>
      </w:r>
    </w:p>
    <w:p w14:paraId="2D605772" w14:textId="313502B2" w:rsidR="009C34FA" w:rsidRPr="009E564F" w:rsidRDefault="009C34FA" w:rsidP="009C34FA">
      <w:pPr>
        <w:pStyle w:val="SingleTxtG"/>
      </w:pPr>
      <w:r>
        <w:tab/>
        <w:t>a)</w:t>
      </w:r>
      <w:r>
        <w:tab/>
        <w:t xml:space="preserve">Вьетнам не ввел мораторий на смертную казнь. Вьетнам воздержался при голосовании по принятой Генеральной Ассамблеей 16 декабря 2020 года резолюции о моратории на применение смертной казни (резолюция № 75/183). В период с 1 октября 2020 года по 31 июля 2021 года количество смертных приговоров увеличилось на </w:t>
      </w:r>
      <w:r w:rsidR="008E4851">
        <w:br/>
      </w:r>
      <w:r>
        <w:t>34</w:t>
      </w:r>
      <w:r w:rsidR="008E4851">
        <w:rPr>
          <w:lang w:val="en-US"/>
        </w:rPr>
        <w:t> </w:t>
      </w:r>
      <w:r w:rsidR="008E4851" w:rsidRPr="008E4851">
        <w:t>%</w:t>
      </w:r>
      <w:r>
        <w:t>, что на 440 смертных приговоров больше, чем в 2019 году. Сообщается, что помещения для содержания заключенных, ожидающих смертной казни, переполнены.</w:t>
      </w:r>
    </w:p>
    <w:p w14:paraId="64078E4C" w14:textId="654B0EE1" w:rsidR="009C34FA" w:rsidRPr="009E564F" w:rsidRDefault="009C34FA" w:rsidP="009C34FA">
      <w:pPr>
        <w:pStyle w:val="SingleTxtG"/>
      </w:pPr>
      <w:r>
        <w:tab/>
        <w:t>b)</w:t>
      </w:r>
      <w:r>
        <w:tab/>
        <w:t>Смертная казнь применяется за преступления, которые не являются самыми тяжкими. Шесть преступлений против национальной безопасности, перечисленные в Уголовном кодексе, включая государственную измену и шпионаж, по-прежнему караются смертной казнью, как и создание организации с намерением свергнуть правительство или вступление в нее.</w:t>
      </w:r>
    </w:p>
    <w:p w14:paraId="10EAEA4E" w14:textId="0B86B9A3" w:rsidR="009C34FA" w:rsidRPr="009E564F" w:rsidRDefault="009C34FA" w:rsidP="009C34FA">
      <w:pPr>
        <w:pStyle w:val="SingleTxtG"/>
      </w:pPr>
      <w:r>
        <w:tab/>
        <w:t>c)</w:t>
      </w:r>
      <w:r>
        <w:tab/>
        <w:t>Отсутствие надлежащей правовой процедуры и прозрачности в отношении смертных приговоров, казней и условий содержания заключенных, приговоренных к смертной казни, по-прежнему является системным явлением.</w:t>
      </w:r>
    </w:p>
    <w:p w14:paraId="1F2B6D02" w14:textId="4A8C6B45" w:rsidR="009C34FA" w:rsidRDefault="009C34FA" w:rsidP="009C34FA">
      <w:pPr>
        <w:pStyle w:val="SingleTxtG"/>
      </w:pPr>
      <w:r>
        <w:tab/>
        <w:t>d)</w:t>
      </w:r>
      <w:r>
        <w:tab/>
        <w:t>Никакой информации представлено не было.</w:t>
      </w:r>
    </w:p>
    <w:p w14:paraId="6001A1D1" w14:textId="07FC13BB" w:rsidR="009C34FA" w:rsidRPr="009E564F" w:rsidRDefault="009C34FA" w:rsidP="009C34FA">
      <w:pPr>
        <w:pStyle w:val="SingleTxtG"/>
      </w:pPr>
      <w:r>
        <w:lastRenderedPageBreak/>
        <w:tab/>
        <w:t>e)</w:t>
      </w:r>
      <w:r>
        <w:tab/>
        <w:t>Информация о смертных приговорах и казнях остается государственной тайной в соответствии с законом о государственной тайне от 2018 года.</w:t>
      </w:r>
    </w:p>
    <w:p w14:paraId="39A9C2B1" w14:textId="77777777" w:rsidR="009C34FA" w:rsidRPr="009E564F" w:rsidRDefault="009C34FA" w:rsidP="009C34FA">
      <w:pPr>
        <w:pStyle w:val="H23G"/>
        <w:rPr>
          <w:rFonts w:eastAsiaTheme="minorEastAsia"/>
        </w:rPr>
      </w:pPr>
      <w:r>
        <w:tab/>
      </w:r>
      <w:r>
        <w:tab/>
      </w:r>
      <w:r>
        <w:rPr>
          <w:bCs/>
        </w:rPr>
        <w:t>Оценка Комитета</w:t>
      </w:r>
    </w:p>
    <w:p w14:paraId="409ECC21" w14:textId="77777777" w:rsidR="009C34FA" w:rsidRPr="009E564F" w:rsidRDefault="009C34FA" w:rsidP="009C34FA">
      <w:pPr>
        <w:pStyle w:val="SingleTxtG"/>
      </w:pPr>
      <w:r>
        <w:t>[C]: a) и b)</w:t>
      </w:r>
    </w:p>
    <w:p w14:paraId="2709E0F0" w14:textId="2B533182" w:rsidR="009C34FA" w:rsidRDefault="009C34FA" w:rsidP="009C34FA">
      <w:pPr>
        <w:pStyle w:val="SingleTxtG"/>
      </w:pPr>
      <w:r>
        <w:t>Принимая к сведению проведенные исследования по вопросам сохранения и отмены смертной казни и возможной ратификации второго Факультативного протокола к Пакту, направленного на отмену смертной казни, Комитет по-прежнему обеспокоен сообщениями о росте числа смертных приговоров и приговоренных к смертной казни в последние годы. Он повторяет свою рекомендацию.</w:t>
      </w:r>
    </w:p>
    <w:p w14:paraId="41070D96" w14:textId="31E4A323" w:rsidR="009C34FA" w:rsidRPr="009E564F" w:rsidDel="004129DA" w:rsidRDefault="009C34FA" w:rsidP="009C34FA">
      <w:pPr>
        <w:pStyle w:val="SingleTxtG"/>
      </w:pPr>
      <w:r>
        <w:t>Принимая также к сведению политику государства-участника по сокращению числа преступлений, наказуемых смертной казнью, и проводимое в этой связи исследование, Комитет сожалеет об отсутствии информации о сокращении числа таких преступлений и о любых мерах, принятых для обеспечения того, чтобы смертная казнь применялась только за особо тяжкие преступления, связанные с умышленным убийством.</w:t>
      </w:r>
    </w:p>
    <w:p w14:paraId="46A10863" w14:textId="77777777" w:rsidR="009C34FA" w:rsidRPr="009E564F" w:rsidRDefault="009C34FA" w:rsidP="009C34FA">
      <w:pPr>
        <w:pStyle w:val="SingleTxtG"/>
        <w:keepNext/>
      </w:pPr>
      <w:r>
        <w:t>[E]: c), d) и e)</w:t>
      </w:r>
    </w:p>
    <w:p w14:paraId="2ACB9016" w14:textId="193F7127" w:rsidR="009C34FA" w:rsidRDefault="009C34FA" w:rsidP="009C34FA">
      <w:pPr>
        <w:pStyle w:val="SingleTxtG"/>
      </w:pPr>
      <w:r>
        <w:t>Отмечая, что смертная казнь не является обязательным приговором за какие-либо преступления, Комитет по-прежнему обеспокоен сообщениями о систематическом несоблюдении гарантий надлежащей правовой процедуры в делах о смертной казни. Он повторяет свою рекомендацию и просит предоставить дополнительную информацию о плане изучения и внесения в законодательство поправок, касающихся заблаговременного уведомления заключенных, приговоренных к смертной казни, об исполнении приговора.</w:t>
      </w:r>
    </w:p>
    <w:p w14:paraId="5E6378D4" w14:textId="59B52A19" w:rsidR="009C34FA" w:rsidRDefault="009C34FA" w:rsidP="009C34FA">
      <w:pPr>
        <w:pStyle w:val="SingleTxtG"/>
      </w:pPr>
      <w:r>
        <w:t xml:space="preserve">Комитет также сожалеет об отсутствии конкретной информации о мерах, принятых для эффективного смягчения наказания во всех случаях, особенно учитывая сообщения о росте числа смертных приговоров и приговоренных к смертной казни. </w:t>
      </w:r>
      <w:r w:rsidR="008E4851">
        <w:br/>
      </w:r>
      <w:r>
        <w:t>Он повторяет свою рекомендацию и просит предоставить информацию о количестве смягченных наказаний за отчетный период.</w:t>
      </w:r>
    </w:p>
    <w:p w14:paraId="291F38E1" w14:textId="40445A0D" w:rsidR="009C34FA" w:rsidRPr="00FF4728" w:rsidRDefault="009C34FA" w:rsidP="009C34FA">
      <w:pPr>
        <w:pStyle w:val="SingleTxtG"/>
      </w:pPr>
      <w:r>
        <w:t>Принимая к сведению заявление государства-участника, Комитет получил информацию о том, что официальные данные о смертных приговорах остаются недоступными для общественности. Поэтому он повторяет свою рекомендацию.</w:t>
      </w:r>
    </w:p>
    <w:p w14:paraId="2DD5DDBD" w14:textId="77777777" w:rsidR="009C34FA" w:rsidRPr="00FF4728" w:rsidRDefault="009C34FA" w:rsidP="009C34FA">
      <w:pPr>
        <w:pStyle w:val="H1G"/>
      </w:pPr>
      <w:r>
        <w:tab/>
      </w:r>
      <w:r>
        <w:tab/>
      </w:r>
      <w:r>
        <w:rPr>
          <w:bCs/>
        </w:rPr>
        <w:t>Пункт 46: свобода выражения мнений</w:t>
      </w:r>
    </w:p>
    <w:p w14:paraId="00A878E0" w14:textId="683A332F" w:rsidR="009C34FA" w:rsidRPr="009E564F" w:rsidRDefault="009C34FA" w:rsidP="009C34FA">
      <w:pPr>
        <w:pStyle w:val="SingleTxtG"/>
        <w:rPr>
          <w:b/>
          <w:bCs/>
        </w:rPr>
      </w:pPr>
      <w:r>
        <w:rPr>
          <w:b/>
          <w:bCs/>
        </w:rPr>
        <w:t>Государству-участнику следует в срочном порядке предпринять все необходимые шаги, включая пересмотр законодательства, с целью положить конец нарушениям права на свободу выражения мнений офлайн и онлайн и обеспечить, чтобы эти ограничения не выходили за рамки строго определенных ограничений, изложенных в статье 19 Пакта, с учетом принятого Комитетом замечания общего порядка № 34 (2011) о свободе мнений и их выражения.</w:t>
      </w:r>
      <w:r>
        <w:t xml:space="preserve"> </w:t>
      </w:r>
      <w:r>
        <w:rPr>
          <w:b/>
          <w:bCs/>
        </w:rPr>
        <w:t>Ему также следует поощрять плюралистические СМИ, которые могут работать без неправомерного вмешательства со стороны государства.</w:t>
      </w:r>
    </w:p>
    <w:p w14:paraId="5A31DB5A" w14:textId="77777777" w:rsidR="009C34FA" w:rsidRPr="009E564F" w:rsidRDefault="009C34FA" w:rsidP="009C34FA">
      <w:pPr>
        <w:pStyle w:val="H23G"/>
        <w:rPr>
          <w:rFonts w:eastAsiaTheme="minorEastAsia"/>
        </w:rPr>
      </w:pPr>
      <w:r>
        <w:tab/>
      </w:r>
      <w:r>
        <w:tab/>
      </w:r>
      <w:r>
        <w:rPr>
          <w:bCs/>
        </w:rPr>
        <w:t>Резюме информации, полученной от государства-участника</w:t>
      </w:r>
    </w:p>
    <w:p w14:paraId="45B8EB74" w14:textId="2465960D" w:rsidR="009C34FA" w:rsidRPr="009E564F" w:rsidRDefault="009C34FA" w:rsidP="009C34FA">
      <w:pPr>
        <w:pStyle w:val="SingleTxtG"/>
      </w:pPr>
      <w:r>
        <w:t>Правительство издало указ 119/2020/ND-CP, согласно которому лица, незаконно препятствующие деятельности прессы, могут быть оштрафованы или привлечены к уголовной ответственности. Оно усовершенствовало свои законы и нормативные акты по кибербезопасности и обнародовало указ 15/2020/ND-CP, который регулирует использование услуг социальных сетей и информационную безопасность в Интернете. Оно рассматривает возможность внесения поправок в указ 72/2013/ND-CP об эффективном управлении Интернетом и онлайн-информацией.</w:t>
      </w:r>
    </w:p>
    <w:p w14:paraId="622DABB0" w14:textId="167A2001" w:rsidR="009C34FA" w:rsidRDefault="009C34FA" w:rsidP="009C34FA">
      <w:pPr>
        <w:pStyle w:val="SingleTxtG"/>
      </w:pPr>
      <w:r>
        <w:lastRenderedPageBreak/>
        <w:t xml:space="preserve">В 2020 году насчитывалось 87 радиоканалов и 196 телеканалов, а также </w:t>
      </w:r>
      <w:r w:rsidR="008E4851">
        <w:br/>
      </w:r>
      <w:r>
        <w:t>68</w:t>
      </w:r>
      <w:r w:rsidR="008E4851">
        <w:t> млн</w:t>
      </w:r>
      <w:r>
        <w:t xml:space="preserve"> пользователей Интернета. Радио- и телеканалы обеспечивали прямую трансляцию заседаний Национального собрания.</w:t>
      </w:r>
    </w:p>
    <w:p w14:paraId="0D206405" w14:textId="179AB02E" w:rsidR="009C34FA" w:rsidRPr="009E564F" w:rsidRDefault="009C34FA" w:rsidP="009C34FA">
      <w:pPr>
        <w:pStyle w:val="SingleTxtG"/>
      </w:pPr>
      <w:r>
        <w:t>В период пандемии коронавирусной инфекции (COVID-19) населению была предоставлена информация о карантинных мероприятиях, передаче и лечении и доступе к бесплатному Интернету в местах карантина. Любое злоупотребление правом на свободу слова преследуется в соответствии с законом. Некоторые организации и отдельные лица злоупотребляют правом на свободу выражения мнений для подстрекательства к беспорядкам или насильственному терроризму. Уголовный кодекс предусматривает механизм предотвращения таких злоупотреблений.</w:t>
      </w:r>
    </w:p>
    <w:p w14:paraId="2EA9C891" w14:textId="77777777" w:rsidR="009C34FA" w:rsidRDefault="009C34FA" w:rsidP="009C34FA">
      <w:pPr>
        <w:pStyle w:val="SingleTxtG"/>
      </w:pPr>
      <w:r>
        <w:t>Вьетнам предоставил Рабочей группе по произвольным задержаниям достаточную информацию по делу Нгуен Нгок Ню Куиня.</w:t>
      </w:r>
    </w:p>
    <w:p w14:paraId="428037B8" w14:textId="77777777" w:rsidR="009C34FA" w:rsidRPr="009E564F" w:rsidRDefault="009C34FA" w:rsidP="009C34FA">
      <w:pPr>
        <w:pStyle w:val="H23G"/>
        <w:rPr>
          <w:rFonts w:eastAsiaTheme="minorEastAsia"/>
        </w:rPr>
      </w:pPr>
      <w:r>
        <w:tab/>
      </w:r>
      <w:r>
        <w:tab/>
      </w:r>
      <w:r>
        <w:rPr>
          <w:bCs/>
        </w:rPr>
        <w:t>Резюме информации, полученной от заинтересованных сторон</w:t>
      </w:r>
    </w:p>
    <w:p w14:paraId="4BE66DE7" w14:textId="77777777" w:rsidR="009C34FA" w:rsidRDefault="009C34FA" w:rsidP="009C34FA">
      <w:pPr>
        <w:pStyle w:val="H4G"/>
      </w:pPr>
      <w:r>
        <w:tab/>
      </w:r>
      <w:r>
        <w:tab/>
      </w:r>
      <w:r>
        <w:rPr>
          <w:iCs/>
        </w:rPr>
        <w:t>Международная федерация за права человека и Комитет по правам человека Вьетнама</w:t>
      </w:r>
    </w:p>
    <w:p w14:paraId="62130B83" w14:textId="0A17962C" w:rsidR="009C34FA" w:rsidRPr="009E564F" w:rsidRDefault="009C34FA" w:rsidP="009C34FA">
      <w:pPr>
        <w:pStyle w:val="SingleTxtG"/>
      </w:pPr>
      <w:r>
        <w:t>Были приняты новые законы, ограничивающие свободу слова, а именно указ</w:t>
      </w:r>
      <w:r w:rsidR="008E4851">
        <w:t> </w:t>
      </w:r>
      <w:r>
        <w:t>119/2020/ND-CP о наказаниях за административные нарушения в журналистской и издательской деятельности и указ 15/2020/ND-CP о наказаниях за административные нарушения в сфере телекоммуникаций, почтовых услуг и информационных технологий. Эти указы наказывают за размещение новостей, фотографий и информации, которые якобы не отвечают интересам страны или оскорбляют нацию, известных людей или национальных героев. В апреле 2022 года правительство находилось в процессе внесения поправок в указ 72/2013-ND-CP, чтобы еще больше ограничить высказывания в сети, в том числе обязав социальные сети удалять контент, который оно посчитает незаконным, в течение 24 часов. Средства массовой информации по-прежнему контролируются правительством, а закон о печати продолжает ограничивать свободу прессы.</w:t>
      </w:r>
    </w:p>
    <w:p w14:paraId="0FAD7D34" w14:textId="77777777" w:rsidR="009C34FA" w:rsidRPr="009E564F" w:rsidRDefault="009C34FA" w:rsidP="009C34FA">
      <w:pPr>
        <w:pStyle w:val="H23G"/>
      </w:pPr>
      <w:r>
        <w:tab/>
      </w:r>
      <w:r>
        <w:tab/>
      </w:r>
      <w:r>
        <w:rPr>
          <w:bCs/>
        </w:rPr>
        <w:t>Оценка Комитета</w:t>
      </w:r>
    </w:p>
    <w:p w14:paraId="0DA8FADA" w14:textId="77777777" w:rsidR="009C34FA" w:rsidRPr="009E564F" w:rsidRDefault="009C34FA" w:rsidP="009C34FA">
      <w:pPr>
        <w:pStyle w:val="SingleTxtG"/>
      </w:pPr>
      <w:r>
        <w:t>[E]</w:t>
      </w:r>
    </w:p>
    <w:p w14:paraId="26AC3133" w14:textId="411E4EBE" w:rsidR="009C34FA" w:rsidRPr="009E564F" w:rsidRDefault="009C34FA" w:rsidP="009C34FA">
      <w:pPr>
        <w:pStyle w:val="SingleTxtG"/>
      </w:pPr>
      <w:r>
        <w:t xml:space="preserve">Принимая к сведению информацию государства-участника о законодательных мерах, принятых для выполнения рекомендаций Комитета, Комитет по-прежнему </w:t>
      </w:r>
      <w:r w:rsidR="008E4851">
        <w:br/>
      </w:r>
      <w:r>
        <w:t xml:space="preserve">обеспокоен сообщениями о том, что, напротив, принятие указов 119/2020/ND-CP </w:t>
      </w:r>
      <w:r w:rsidR="008E4851">
        <w:br/>
      </w:r>
      <w:r>
        <w:t xml:space="preserve">и 15/2020/ND-CP еще больше ограничивает право на свободу выражения мнений. Принимая к сведению информацию о количестве радио- и телеканалов и пользователей Интернета, Комитет сожалеет об отсутствии конкретной информации о шагах, предпринятых для развития плюралистических СМИ, свободных от вмешательства государства. Он повторяет свою рекомендацию и просит </w:t>
      </w:r>
      <w:r w:rsidR="008E4851">
        <w:br/>
      </w:r>
      <w:r>
        <w:t>предоставить дополнительную информацию о мерах, принятых для приведения указов</w:t>
      </w:r>
      <w:r w:rsidR="008E4851">
        <w:t> </w:t>
      </w:r>
      <w:r>
        <w:t>119/2020/ND-CP и 15/2020/ND-CP в соответствие с Пактом, а также о любых поправках, предусмотренных для внесения в указ 72/2013/ND-CP.</w:t>
      </w:r>
    </w:p>
    <w:p w14:paraId="36E82740" w14:textId="77777777" w:rsidR="009C34FA" w:rsidRPr="009E789E" w:rsidRDefault="009C34FA" w:rsidP="009C34FA">
      <w:pPr>
        <w:pStyle w:val="H1G"/>
      </w:pPr>
      <w:r>
        <w:tab/>
      </w:r>
      <w:r>
        <w:tab/>
      </w:r>
      <w:r>
        <w:rPr>
          <w:bCs/>
        </w:rPr>
        <w:t>Пункт 52: правозащитники</w:t>
      </w:r>
    </w:p>
    <w:p w14:paraId="0336A529" w14:textId="30AC2A43" w:rsidR="009C34FA" w:rsidRPr="009E564F" w:rsidRDefault="009C34FA" w:rsidP="009C34FA">
      <w:pPr>
        <w:pStyle w:val="SingleTxtG"/>
        <w:rPr>
          <w:b/>
          <w:bCs/>
        </w:rPr>
      </w:pPr>
      <w:r>
        <w:rPr>
          <w:b/>
          <w:bCs/>
        </w:rPr>
        <w:t>Государству-участнику следует обеспечить защиту правозащитников и других представителей гражданского общества от угроз, запугивания и физических нападений, а также расследовать, преследовать и осуждать виновных в таких действиях.</w:t>
      </w:r>
      <w:r>
        <w:t xml:space="preserve"> </w:t>
      </w:r>
      <w:r>
        <w:rPr>
          <w:b/>
          <w:bCs/>
        </w:rPr>
        <w:t>Оно также должно предоставить им необходимую свободу действий для осуществления своей деятельности, включая взаимодействие с Организацией Объединенных Наций, не опасаясь ограничений или репрессий.</w:t>
      </w:r>
    </w:p>
    <w:p w14:paraId="626AC061" w14:textId="77777777" w:rsidR="009C34FA" w:rsidRPr="009E564F" w:rsidRDefault="009C34FA" w:rsidP="009C34FA">
      <w:pPr>
        <w:pStyle w:val="H23G"/>
        <w:rPr>
          <w:rFonts w:eastAsiaTheme="minorEastAsia"/>
        </w:rPr>
      </w:pPr>
      <w:r>
        <w:lastRenderedPageBreak/>
        <w:tab/>
      </w:r>
      <w:r>
        <w:tab/>
      </w:r>
      <w:r>
        <w:rPr>
          <w:bCs/>
        </w:rPr>
        <w:t>Резюме информации, полученной от государства-участника</w:t>
      </w:r>
    </w:p>
    <w:p w14:paraId="346322B5" w14:textId="77EF4161" w:rsidR="009C34FA" w:rsidRPr="009E564F" w:rsidRDefault="009C34FA" w:rsidP="009C34FA">
      <w:pPr>
        <w:pStyle w:val="SingleTxtG"/>
      </w:pPr>
      <w:r>
        <w:t>Право на свободу слова, собраний, ассоциаций, передвижения и демонстраций может быть ограничено только в соответствии со статьей 14 (2) Конституции 2013 года. Никто не должен подвергаться угрозам, запугиванию или нападениям за контакты или сотрудничество с Организацией Объединенных Наций. Что касается деятельности иностранных неправительственных организаций, то в настоящее время разрабатывается новый указ, который заменит указ 12/2012/ND-CP.</w:t>
      </w:r>
    </w:p>
    <w:p w14:paraId="5A373F96" w14:textId="4C3FA928" w:rsidR="009C34FA" w:rsidRDefault="009C34FA" w:rsidP="009C34FA">
      <w:pPr>
        <w:pStyle w:val="SingleTxtG"/>
      </w:pPr>
      <w:r>
        <w:t>Вьетнам запрещает только незаконные собрания, которые нарушают общественную безопасность и порядок или ущемляют права других людей, как, например, собрание 2018 года в провинции Биньтхуан. Лица, нарушающие закон, в том числе совершающие преступления против национальной безопасности, подвергаются аресту, расследованию, уголовному преследованию, судебному преследованию и допросу в соответствии с национальным законодательством и процедурами и статьей</w:t>
      </w:r>
      <w:r w:rsidR="008E4851">
        <w:t> </w:t>
      </w:r>
      <w:r>
        <w:t>26 Пакта.</w:t>
      </w:r>
    </w:p>
    <w:p w14:paraId="148F426C" w14:textId="77777777" w:rsidR="009C34FA" w:rsidRPr="009E564F" w:rsidRDefault="009C34FA" w:rsidP="009C34FA">
      <w:pPr>
        <w:pStyle w:val="H23G"/>
        <w:rPr>
          <w:rFonts w:eastAsiaTheme="minorEastAsia"/>
        </w:rPr>
      </w:pPr>
      <w:r>
        <w:tab/>
      </w:r>
      <w:r>
        <w:tab/>
      </w:r>
      <w:r>
        <w:rPr>
          <w:bCs/>
        </w:rPr>
        <w:t>Резюме информации, полученной от заинтересованных сторон</w:t>
      </w:r>
    </w:p>
    <w:p w14:paraId="56F3F669" w14:textId="77777777" w:rsidR="009C34FA" w:rsidRPr="009E564F" w:rsidRDefault="009C34FA" w:rsidP="009C34FA">
      <w:pPr>
        <w:pStyle w:val="H4G"/>
        <w:rPr>
          <w:rFonts w:eastAsiaTheme="minorEastAsia"/>
        </w:rPr>
      </w:pPr>
      <w:r>
        <w:tab/>
      </w:r>
      <w:r>
        <w:tab/>
      </w:r>
      <w:r>
        <w:rPr>
          <w:iCs/>
        </w:rPr>
        <w:t>Международная федерация за права человека и Комитет по правам человека Вьетнама</w:t>
      </w:r>
    </w:p>
    <w:p w14:paraId="6840F76E" w14:textId="0B1416BE" w:rsidR="009C34FA" w:rsidRDefault="009C34FA" w:rsidP="009C34FA">
      <w:pPr>
        <w:pStyle w:val="SingleTxtG"/>
      </w:pPr>
      <w:r>
        <w:t>Правительство продолжает подвергать правозащитников запугиванию, угрозам, физическим нападениям, произвольным арестам и тюремному заключению. В период с апреля 2019 по июль 2022 года не менее 95 активистов, критиков правительства и правозащитников были арестованы, а 113 человек приговорены к лишению свободы на срок до 15 лет. Большинство из них по-прежнему содержатся под стражей в соответствии с положениями Уголовного кодекса, касающимися национальной безопасности. С января 2022 года четыре видных защитника экологических прав</w:t>
      </w:r>
      <w:r w:rsidR="008E4851">
        <w:t xml:space="preserve"> </w:t>
      </w:r>
      <w:r w:rsidR="008E4851">
        <w:br/>
      </w:r>
      <w:r>
        <w:t>Май Фан Лой, Бать Хюнг Дыонг, Данг Динь Бать и Нгуи Тхи Кхань были приговорены к тюремному заключению на срок от двух до пяти лет по обвинению в уклонении от уплаты налогов, которое часто используется</w:t>
      </w:r>
      <w:r w:rsidR="008E4851">
        <w:t>,</w:t>
      </w:r>
      <w:r>
        <w:t xml:space="preserve"> для того чтобы заставить критиков замолчать. Данг Динь Батю было отказано в доступе к его адвокату во время содержания под стражей, его семье не разрешили присутствовать на судебном заседании, а доказательства, представленные его адвокатами, были проигнорированы судом.</w:t>
      </w:r>
    </w:p>
    <w:p w14:paraId="1F611646" w14:textId="4D1D5999" w:rsidR="009C34FA" w:rsidRPr="009E564F" w:rsidRDefault="009C34FA" w:rsidP="009C34FA">
      <w:pPr>
        <w:pStyle w:val="SingleTxtG"/>
      </w:pPr>
      <w:r>
        <w:t>Правозащитники и представители гражданского общества часто подвергаются преследованиям за взаимодействие с международными органами. В ноябре 2019 года независимый журналист Фам Ти Дунг был приговорен к 15 годам лишения свободы по обвинению в написании «антигосударственных» статей и сотрудничестве с иностранными СМИ с целью распространения искаженной информации после отправки обращения в Европейский парламент по поводу соглашения о свободной торговле между Европейским союзом и Вьетнамом.</w:t>
      </w:r>
    </w:p>
    <w:p w14:paraId="6AA030B4" w14:textId="5D1A1826" w:rsidR="009C34FA" w:rsidRPr="009E564F" w:rsidRDefault="009C34FA" w:rsidP="009C34FA">
      <w:pPr>
        <w:pStyle w:val="SingleTxtG"/>
      </w:pPr>
      <w:r>
        <w:t>Деятельность организаций гражданского общества была еще больше ограничена двумя новыми указами (80/2020/ND-CP и 56/2020/ND-CP), которые установили необоснованно обременительные требования к их отчетности, регистрации финансирования и проектов, собраниям и другой общественной деятельности, особенно по вопросам, касающимся прав человека. Постановление премьер-министра 06/2020/QD-Ttg от 21 февраля 2020 года ввело новые требования к организации международных конференций по таким вопросам, как свобода религии и права человека.</w:t>
      </w:r>
    </w:p>
    <w:p w14:paraId="1E7948DA" w14:textId="77777777" w:rsidR="009C34FA" w:rsidRPr="009E789E" w:rsidRDefault="009C34FA" w:rsidP="009C34FA">
      <w:pPr>
        <w:pStyle w:val="H23G"/>
      </w:pPr>
      <w:r>
        <w:tab/>
      </w:r>
      <w:r>
        <w:tab/>
      </w:r>
      <w:r>
        <w:rPr>
          <w:bCs/>
        </w:rPr>
        <w:t>Оценка Комитета</w:t>
      </w:r>
    </w:p>
    <w:p w14:paraId="2DEC9668" w14:textId="77777777" w:rsidR="009C34FA" w:rsidRPr="009E789E" w:rsidRDefault="009C34FA" w:rsidP="009C34FA">
      <w:pPr>
        <w:pStyle w:val="SingleTxtG"/>
      </w:pPr>
      <w:r>
        <w:t>[C]</w:t>
      </w:r>
    </w:p>
    <w:p w14:paraId="6852EAFF" w14:textId="0B2E7704" w:rsidR="009C34FA" w:rsidRDefault="009C34FA" w:rsidP="009C34FA">
      <w:pPr>
        <w:pStyle w:val="SingleTxtG"/>
      </w:pPr>
      <w:r>
        <w:t xml:space="preserve">Принимая к сведению предоставленную информацию, в том числе о разрабатываемом законе об иностранных неправительственных организациях, Комитет сожалеет об отсутствии конкретной информации о мерах, принятых для обеспечения защиты правозащитников и представителей гражданского общества. Комитет повторяет свою рекомендацию и просит предоставить дополнительную информацию: a) о делах, </w:t>
      </w:r>
      <w:r>
        <w:lastRenderedPageBreak/>
        <w:t>касающихся четырех защитников экологических прав</w:t>
      </w:r>
      <w:r w:rsidR="008E4851">
        <w:t xml:space="preserve"> </w:t>
      </w:r>
      <w:r>
        <w:t>Май Фан Лоя, Бать Хюнг Дыонга, Данг Динь Батя и Нгуи Тхи Кханя, в том числе о соблюдении гарантий справедливого судебного разбирательства в ходе их разбирательства; и b) совместимости с Пактом, в частности статьи 22, указов 80/2020/ND-CP и 56/2020/ND-CP и постановления премьер-министра 06/2020/QD-Ttg.</w:t>
      </w:r>
    </w:p>
    <w:p w14:paraId="500E22F6" w14:textId="77777777" w:rsidR="009C34FA" w:rsidRPr="009E564F" w:rsidRDefault="009C34FA" w:rsidP="009C34FA">
      <w:pPr>
        <w:pStyle w:val="SingleTxtG"/>
      </w:pPr>
      <w:r>
        <w:rPr>
          <w:b/>
          <w:bCs/>
        </w:rPr>
        <w:t>Рекомендуемые действия</w:t>
      </w:r>
      <w:r>
        <w:t>: следует направить письмо, извещающее государство-участник о прекращении процедуры последующей деятельности. Запрашиваемая информация должна быть включена в следующий периодический доклад государства-участника.</w:t>
      </w:r>
    </w:p>
    <w:p w14:paraId="4960078A" w14:textId="77777777" w:rsidR="009C34FA" w:rsidRPr="009E564F" w:rsidRDefault="009C34FA" w:rsidP="009C34FA">
      <w:pPr>
        <w:pStyle w:val="SingleTxtG"/>
      </w:pPr>
      <w:r>
        <w:rPr>
          <w:b/>
          <w:bCs/>
        </w:rPr>
        <w:t>Дата представления следующего периодического доклада</w:t>
      </w:r>
      <w:r>
        <w:t>: 29 марта 2023 года.</w:t>
      </w:r>
    </w:p>
    <w:p w14:paraId="040E209D" w14:textId="77777777" w:rsidR="009C34FA" w:rsidRPr="009E564F" w:rsidRDefault="009C34FA" w:rsidP="009C34FA">
      <w:pPr>
        <w:spacing w:before="240"/>
        <w:jc w:val="center"/>
        <w:rPr>
          <w:u w:val="single"/>
        </w:rPr>
      </w:pPr>
      <w:r w:rsidRPr="009E564F">
        <w:rPr>
          <w:u w:val="single"/>
        </w:rPr>
        <w:tab/>
      </w:r>
      <w:r w:rsidRPr="009E564F">
        <w:rPr>
          <w:u w:val="single"/>
        </w:rPr>
        <w:tab/>
      </w:r>
      <w:r w:rsidRPr="009E564F">
        <w:rPr>
          <w:u w:val="single"/>
        </w:rPr>
        <w:tab/>
      </w:r>
    </w:p>
    <w:p w14:paraId="24EB9AC8" w14:textId="4A9B9B7E" w:rsidR="009C34FA" w:rsidRDefault="009C34FA" w:rsidP="0075523D"/>
    <w:p w14:paraId="5915F163" w14:textId="77777777" w:rsidR="00381C24" w:rsidRPr="00BC18B2" w:rsidRDefault="00381C24" w:rsidP="0075523D"/>
    <w:sectPr w:rsidR="00381C24" w:rsidRPr="00BC18B2" w:rsidSect="009C34F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A63B" w14:textId="77777777" w:rsidR="001C2D66" w:rsidRPr="00A312BC" w:rsidRDefault="001C2D66" w:rsidP="00A312BC"/>
  </w:endnote>
  <w:endnote w:type="continuationSeparator" w:id="0">
    <w:p w14:paraId="327F20D4" w14:textId="77777777" w:rsidR="001C2D66" w:rsidRPr="00A312BC" w:rsidRDefault="001C2D6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E2E7" w14:textId="2D979B49" w:rsidR="009C34FA" w:rsidRPr="009C34FA" w:rsidRDefault="009C34FA">
    <w:pPr>
      <w:pStyle w:val="a8"/>
    </w:pPr>
    <w:r w:rsidRPr="009C34FA">
      <w:rPr>
        <w:b/>
        <w:sz w:val="18"/>
      </w:rPr>
      <w:fldChar w:fldCharType="begin"/>
    </w:r>
    <w:r w:rsidRPr="009C34FA">
      <w:rPr>
        <w:b/>
        <w:sz w:val="18"/>
      </w:rPr>
      <w:instrText xml:space="preserve"> PAGE  \* MERGEFORMAT </w:instrText>
    </w:r>
    <w:r w:rsidRPr="009C34FA">
      <w:rPr>
        <w:b/>
        <w:sz w:val="18"/>
      </w:rPr>
      <w:fldChar w:fldCharType="separate"/>
    </w:r>
    <w:r w:rsidRPr="009C34FA">
      <w:rPr>
        <w:b/>
        <w:noProof/>
        <w:sz w:val="18"/>
      </w:rPr>
      <w:t>2</w:t>
    </w:r>
    <w:r w:rsidRPr="009C34FA">
      <w:rPr>
        <w:b/>
        <w:sz w:val="18"/>
      </w:rPr>
      <w:fldChar w:fldCharType="end"/>
    </w:r>
    <w:r>
      <w:rPr>
        <w:b/>
        <w:sz w:val="18"/>
      </w:rPr>
      <w:tab/>
    </w:r>
    <w:r>
      <w:t>GE.22-25662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CD77" w14:textId="7F0A13D9" w:rsidR="009C34FA" w:rsidRPr="009C34FA" w:rsidRDefault="009C34FA" w:rsidP="009C34FA">
    <w:pPr>
      <w:pStyle w:val="a8"/>
      <w:tabs>
        <w:tab w:val="clear" w:pos="9639"/>
        <w:tab w:val="right" w:pos="9638"/>
      </w:tabs>
      <w:rPr>
        <w:b/>
        <w:sz w:val="18"/>
      </w:rPr>
    </w:pPr>
    <w:r>
      <w:t>GE.22-25662</w:t>
    </w:r>
    <w:r>
      <w:tab/>
    </w:r>
    <w:r w:rsidRPr="009C34FA">
      <w:rPr>
        <w:b/>
        <w:sz w:val="18"/>
      </w:rPr>
      <w:fldChar w:fldCharType="begin"/>
    </w:r>
    <w:r w:rsidRPr="009C34FA">
      <w:rPr>
        <w:b/>
        <w:sz w:val="18"/>
      </w:rPr>
      <w:instrText xml:space="preserve"> PAGE  \* MERGEFORMAT </w:instrText>
    </w:r>
    <w:r w:rsidRPr="009C34FA">
      <w:rPr>
        <w:b/>
        <w:sz w:val="18"/>
      </w:rPr>
      <w:fldChar w:fldCharType="separate"/>
    </w:r>
    <w:r w:rsidRPr="009C34FA">
      <w:rPr>
        <w:b/>
        <w:noProof/>
        <w:sz w:val="18"/>
      </w:rPr>
      <w:t>3</w:t>
    </w:r>
    <w:r w:rsidRPr="009C34F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4538" w14:textId="68A28056" w:rsidR="00042B72" w:rsidRPr="009C34FA" w:rsidRDefault="009C34FA" w:rsidP="009C34F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D36D101" wp14:editId="7F985BA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22-25662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33BA3A3" wp14:editId="34FC409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170223  170223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91EA" w14:textId="77777777" w:rsidR="001C2D66" w:rsidRPr="001075E9" w:rsidRDefault="001C2D6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7F0F92" w14:textId="77777777" w:rsidR="001C2D66" w:rsidRDefault="001C2D6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D05D498" w14:textId="2D50C1A9" w:rsidR="009C34FA" w:rsidRPr="009E564F" w:rsidRDefault="009C34FA" w:rsidP="009C34FA">
      <w:pPr>
        <w:pStyle w:val="ad"/>
      </w:pPr>
      <w:r>
        <w:tab/>
      </w:r>
      <w:r w:rsidRPr="009C34FA">
        <w:rPr>
          <w:sz w:val="20"/>
        </w:rPr>
        <w:t>*</w:t>
      </w:r>
      <w:r>
        <w:tab/>
        <w:t xml:space="preserve">Принят Комитетом на </w:t>
      </w:r>
      <w:r w:rsidR="00302FF0">
        <w:t>сто тридцать шестой</w:t>
      </w:r>
      <w:r>
        <w:t xml:space="preserve"> сессии (10 октября</w:t>
      </w:r>
      <w:r>
        <w:rPr>
          <w:lang w:val="fr-FR"/>
        </w:rPr>
        <w:t> </w:t>
      </w:r>
      <w:r w:rsidRPr="00FF4728">
        <w:t>—</w:t>
      </w:r>
      <w:r>
        <w:t xml:space="preserve"> 4 ноября 2022 года).</w:t>
      </w:r>
    </w:p>
  </w:footnote>
  <w:footnote w:id="2">
    <w:p w14:paraId="10C2275F" w14:textId="2D47E3C6" w:rsidR="009C34FA" w:rsidRPr="0006680F" w:rsidRDefault="009C34FA" w:rsidP="009C34FA">
      <w:pPr>
        <w:pStyle w:val="ad"/>
      </w:pPr>
      <w:r>
        <w:tab/>
      </w:r>
      <w:r w:rsidRPr="009506EB">
        <w:rPr>
          <w:rStyle w:val="aa"/>
        </w:rPr>
        <w:footnoteRef/>
      </w:r>
      <w:r>
        <w:tab/>
      </w:r>
      <w:hyperlink r:id="rId1" w:history="1">
        <w:r w:rsidRPr="009C34FA">
          <w:rPr>
            <w:rStyle w:val="af1"/>
          </w:rPr>
          <w:t>CCPR/CO/75/VNM</w:t>
        </w:r>
      </w:hyperlink>
      <w:r>
        <w:t>, п. 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1919" w14:textId="51EFCFBC" w:rsidR="009C34FA" w:rsidRPr="009C34FA" w:rsidRDefault="00100DC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CCPR/C/136/2/Add.4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7860" w14:textId="61C327D8" w:rsidR="009C34FA" w:rsidRPr="009C34FA" w:rsidRDefault="00100DC0" w:rsidP="009C34F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CCPR/C/136/2/Add.4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96568265">
    <w:abstractNumId w:val="16"/>
  </w:num>
  <w:num w:numId="2" w16cid:durableId="36400455">
    <w:abstractNumId w:val="11"/>
  </w:num>
  <w:num w:numId="3" w16cid:durableId="1990017626">
    <w:abstractNumId w:val="10"/>
  </w:num>
  <w:num w:numId="4" w16cid:durableId="2052799636">
    <w:abstractNumId w:val="17"/>
  </w:num>
  <w:num w:numId="5" w16cid:durableId="1706560251">
    <w:abstractNumId w:val="13"/>
  </w:num>
  <w:num w:numId="6" w16cid:durableId="1738087973">
    <w:abstractNumId w:val="8"/>
  </w:num>
  <w:num w:numId="7" w16cid:durableId="393699974">
    <w:abstractNumId w:val="3"/>
  </w:num>
  <w:num w:numId="8" w16cid:durableId="1666350652">
    <w:abstractNumId w:val="2"/>
  </w:num>
  <w:num w:numId="9" w16cid:durableId="1000700979">
    <w:abstractNumId w:val="1"/>
  </w:num>
  <w:num w:numId="10" w16cid:durableId="1854958480">
    <w:abstractNumId w:val="0"/>
  </w:num>
  <w:num w:numId="11" w16cid:durableId="657147265">
    <w:abstractNumId w:val="9"/>
  </w:num>
  <w:num w:numId="12" w16cid:durableId="2052224119">
    <w:abstractNumId w:val="7"/>
  </w:num>
  <w:num w:numId="13" w16cid:durableId="841554582">
    <w:abstractNumId w:val="6"/>
  </w:num>
  <w:num w:numId="14" w16cid:durableId="1499423963">
    <w:abstractNumId w:val="5"/>
  </w:num>
  <w:num w:numId="15" w16cid:durableId="1657109197">
    <w:abstractNumId w:val="4"/>
  </w:num>
  <w:num w:numId="16" w16cid:durableId="1916666106">
    <w:abstractNumId w:val="15"/>
  </w:num>
  <w:num w:numId="17" w16cid:durableId="1683244443">
    <w:abstractNumId w:val="12"/>
  </w:num>
  <w:num w:numId="18" w16cid:durableId="1239169938">
    <w:abstractNumId w:val="14"/>
  </w:num>
  <w:num w:numId="19" w16cid:durableId="1030226499">
    <w:abstractNumId w:val="15"/>
  </w:num>
  <w:num w:numId="20" w16cid:durableId="806313843">
    <w:abstractNumId w:val="12"/>
  </w:num>
  <w:num w:numId="21" w16cid:durableId="37119986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66"/>
    <w:rsid w:val="000155DF"/>
    <w:rsid w:val="00033EE1"/>
    <w:rsid w:val="000358F2"/>
    <w:rsid w:val="00042B72"/>
    <w:rsid w:val="000558BD"/>
    <w:rsid w:val="000B57E7"/>
    <w:rsid w:val="000B6373"/>
    <w:rsid w:val="000F09DF"/>
    <w:rsid w:val="000F61B2"/>
    <w:rsid w:val="00100DC0"/>
    <w:rsid w:val="001075E9"/>
    <w:rsid w:val="00180183"/>
    <w:rsid w:val="0018024D"/>
    <w:rsid w:val="0018649F"/>
    <w:rsid w:val="00196389"/>
    <w:rsid w:val="001B3EF6"/>
    <w:rsid w:val="001C2D66"/>
    <w:rsid w:val="001C7A89"/>
    <w:rsid w:val="00254812"/>
    <w:rsid w:val="0026030D"/>
    <w:rsid w:val="002A2EFC"/>
    <w:rsid w:val="002C0E18"/>
    <w:rsid w:val="002D5AAC"/>
    <w:rsid w:val="002E00F0"/>
    <w:rsid w:val="002E5067"/>
    <w:rsid w:val="002F405F"/>
    <w:rsid w:val="002F7EEC"/>
    <w:rsid w:val="00301299"/>
    <w:rsid w:val="00302FF0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84FD9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7C6F92"/>
    <w:rsid w:val="00825F8D"/>
    <w:rsid w:val="00834B71"/>
    <w:rsid w:val="0086445C"/>
    <w:rsid w:val="00894693"/>
    <w:rsid w:val="008A08D7"/>
    <w:rsid w:val="008B6909"/>
    <w:rsid w:val="008E4851"/>
    <w:rsid w:val="00906890"/>
    <w:rsid w:val="00911BE4"/>
    <w:rsid w:val="00931A71"/>
    <w:rsid w:val="00951972"/>
    <w:rsid w:val="0095796B"/>
    <w:rsid w:val="009608F3"/>
    <w:rsid w:val="00967A5C"/>
    <w:rsid w:val="009918E2"/>
    <w:rsid w:val="009A24AC"/>
    <w:rsid w:val="009C34FA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42B44"/>
  <w15:docId w15:val="{E87C5135-071D-414D-A942-52491EC0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9C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CCPR/C/VNM/CO/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tbinternet.ohchr.org/_layouts/15/treatybodyexternal/Download.aspx?symbolno=INT%2fCCPR%2fNGS%2fVNM%2f49195&amp;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docs.org/en/CCPR/C/VNM/FCO/3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ru/CCPR/CO/75/VN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34</TotalTime>
  <Pages>6</Pages>
  <Words>1903</Words>
  <Characters>13626</Characters>
  <Application>Microsoft Office Word</Application>
  <DocSecurity>0</DocSecurity>
  <Lines>1514</Lines>
  <Paragraphs>398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CCPR/C/136/2/Add.4</vt:lpstr>
      <vt:lpstr>A/</vt:lpstr>
      <vt:lpstr>A/</vt:lpstr>
    </vt:vector>
  </TitlesOfParts>
  <Company>DCM</Company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CCPR/C/136/2/Add.4</dc:title>
  <dc:subject/>
  <dc:creator>Elena IZOTOVA</dc:creator>
  <cp:keywords/>
  <cp:lastModifiedBy>Elena Izotova</cp:lastModifiedBy>
  <cp:revision>3</cp:revision>
  <cp:lastPrinted>2023-02-17T11:31:00Z</cp:lastPrinted>
  <dcterms:created xsi:type="dcterms:W3CDTF">2023-02-17T11:31:00Z</dcterms:created>
  <dcterms:modified xsi:type="dcterms:W3CDTF">2023-02-17T11:31:00Z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