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32391F6" w14:textId="77777777" w:rsidTr="002B7BC7">
        <w:trPr>
          <w:trHeight w:hRule="exact" w:val="851"/>
        </w:trPr>
        <w:tc>
          <w:tcPr>
            <w:tcW w:w="1276" w:type="dxa"/>
            <w:tcBorders>
              <w:bottom w:val="single" w:sz="4" w:space="0" w:color="auto"/>
            </w:tcBorders>
          </w:tcPr>
          <w:p w14:paraId="04AAC49E" w14:textId="77777777" w:rsidR="006F71EA" w:rsidRPr="00DB58B5" w:rsidRDefault="006F71EA" w:rsidP="0093603C"/>
        </w:tc>
        <w:tc>
          <w:tcPr>
            <w:tcW w:w="2268" w:type="dxa"/>
            <w:tcBorders>
              <w:bottom w:val="single" w:sz="4" w:space="0" w:color="auto"/>
            </w:tcBorders>
            <w:vAlign w:val="bottom"/>
          </w:tcPr>
          <w:p w14:paraId="2645865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3F8023" w14:textId="6A5EC79C" w:rsidR="006F71EA" w:rsidRPr="00DB58B5" w:rsidRDefault="0093603C" w:rsidP="0093603C">
            <w:pPr>
              <w:jc w:val="right"/>
            </w:pPr>
            <w:r w:rsidRPr="0093603C">
              <w:rPr>
                <w:sz w:val="40"/>
              </w:rPr>
              <w:t>CCPR</w:t>
            </w:r>
            <w:r>
              <w:t>/C/136/2/Add.4</w:t>
            </w:r>
          </w:p>
        </w:tc>
      </w:tr>
      <w:tr w:rsidR="006F71EA" w:rsidRPr="00DB58B5" w14:paraId="043AF429" w14:textId="77777777" w:rsidTr="002B7BC7">
        <w:trPr>
          <w:trHeight w:hRule="exact" w:val="2835"/>
        </w:trPr>
        <w:tc>
          <w:tcPr>
            <w:tcW w:w="1276" w:type="dxa"/>
            <w:tcBorders>
              <w:top w:val="single" w:sz="4" w:space="0" w:color="auto"/>
              <w:bottom w:val="single" w:sz="12" w:space="0" w:color="auto"/>
            </w:tcBorders>
          </w:tcPr>
          <w:p w14:paraId="26A35CA4" w14:textId="77777777" w:rsidR="006F71EA" w:rsidRPr="00DB58B5" w:rsidRDefault="006F71EA" w:rsidP="002B7BC7">
            <w:pPr>
              <w:spacing w:before="120"/>
              <w:jc w:val="center"/>
            </w:pPr>
            <w:r>
              <w:rPr>
                <w:noProof/>
                <w:lang w:eastAsia="fr-CH"/>
              </w:rPr>
              <w:drawing>
                <wp:inline distT="0" distB="0" distL="0" distR="0" wp14:anchorId="6F8C11D2" wp14:editId="6B9487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25C3F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D1C4A05" w14:textId="77777777" w:rsidR="006F71EA" w:rsidRDefault="0093603C" w:rsidP="002B7BC7">
            <w:pPr>
              <w:spacing w:before="240"/>
            </w:pPr>
            <w:r>
              <w:t>Distr. générale</w:t>
            </w:r>
          </w:p>
          <w:p w14:paraId="64DD136F" w14:textId="77777777" w:rsidR="0093603C" w:rsidRDefault="0093603C" w:rsidP="0093603C">
            <w:pPr>
              <w:spacing w:line="240" w:lineRule="exact"/>
            </w:pPr>
            <w:r>
              <w:t>5 décembre 2022</w:t>
            </w:r>
          </w:p>
          <w:p w14:paraId="13AC3C2F" w14:textId="77777777" w:rsidR="0093603C" w:rsidRDefault="0093603C" w:rsidP="0093603C">
            <w:pPr>
              <w:spacing w:line="240" w:lineRule="exact"/>
            </w:pPr>
            <w:r>
              <w:t>Français</w:t>
            </w:r>
          </w:p>
          <w:p w14:paraId="17DC9488" w14:textId="4161AE5B" w:rsidR="0093603C" w:rsidRPr="00DB58B5" w:rsidRDefault="0093603C" w:rsidP="0093603C">
            <w:pPr>
              <w:spacing w:line="240" w:lineRule="exact"/>
            </w:pPr>
            <w:r>
              <w:t>Original : anglais</w:t>
            </w:r>
          </w:p>
        </w:tc>
      </w:tr>
    </w:tbl>
    <w:p w14:paraId="64B578B2" w14:textId="77777777" w:rsidR="006F71EA" w:rsidRDefault="006F71EA" w:rsidP="006F71EA">
      <w:pPr>
        <w:spacing w:before="120"/>
        <w:rPr>
          <w:b/>
          <w:sz w:val="24"/>
          <w:szCs w:val="24"/>
        </w:rPr>
      </w:pPr>
      <w:r w:rsidRPr="00DF3BF1">
        <w:rPr>
          <w:b/>
          <w:sz w:val="24"/>
          <w:szCs w:val="24"/>
        </w:rPr>
        <w:t>Comité des droits de l’homme</w:t>
      </w:r>
    </w:p>
    <w:p w14:paraId="526C928E" w14:textId="641DB4F2" w:rsidR="0093603C" w:rsidRPr="00235D4C" w:rsidRDefault="0093603C" w:rsidP="0093603C">
      <w:pPr>
        <w:pStyle w:val="HChG"/>
        <w:rPr>
          <w:lang w:val="fr-FR"/>
        </w:rPr>
      </w:pPr>
      <w:r w:rsidRPr="00235D4C">
        <w:rPr>
          <w:lang w:val="fr-FR"/>
        </w:rPr>
        <w:tab/>
      </w:r>
      <w:r w:rsidRPr="00235D4C">
        <w:rPr>
          <w:lang w:val="fr-FR"/>
        </w:rPr>
        <w:tab/>
        <w:t xml:space="preserve">Rapport sur le suivi des observations finales du Comité </w:t>
      </w:r>
      <w:r w:rsidR="0047439B">
        <w:rPr>
          <w:lang w:val="fr-FR"/>
        </w:rPr>
        <w:br/>
      </w:r>
      <w:r w:rsidRPr="00235D4C">
        <w:rPr>
          <w:lang w:val="fr-FR"/>
        </w:rPr>
        <w:t>des droits de l</w:t>
      </w:r>
      <w:r>
        <w:rPr>
          <w:lang w:val="fr-FR"/>
        </w:rPr>
        <w:t>’</w:t>
      </w:r>
      <w:r w:rsidRPr="00235D4C">
        <w:rPr>
          <w:lang w:val="fr-FR"/>
        </w:rPr>
        <w:t>homme</w:t>
      </w:r>
      <w:r w:rsidRPr="0047439B">
        <w:rPr>
          <w:b w:val="0"/>
          <w:bCs/>
          <w:sz w:val="20"/>
          <w:szCs w:val="14"/>
          <w:lang w:val="fr-FR"/>
        </w:rPr>
        <w:footnoteReference w:customMarkFollows="1" w:id="2"/>
        <w:t>*</w:t>
      </w:r>
      <w:bookmarkStart w:id="0" w:name="_Toc506807534"/>
      <w:bookmarkEnd w:id="0"/>
    </w:p>
    <w:p w14:paraId="2A3F3278" w14:textId="77777777" w:rsidR="0093603C" w:rsidRPr="00235D4C" w:rsidRDefault="0093603C" w:rsidP="0093603C">
      <w:pPr>
        <w:pStyle w:val="H23G"/>
        <w:rPr>
          <w:rFonts w:eastAsia="SimSun"/>
          <w:lang w:val="fr-FR"/>
        </w:rPr>
      </w:pPr>
      <w:r w:rsidRPr="00235D4C">
        <w:rPr>
          <w:lang w:val="fr-FR"/>
        </w:rPr>
        <w:tab/>
      </w:r>
      <w:r w:rsidRPr="00235D4C">
        <w:rPr>
          <w:lang w:val="fr-FR"/>
        </w:rPr>
        <w:tab/>
        <w:t>Additif</w:t>
      </w:r>
    </w:p>
    <w:p w14:paraId="557FFA1D" w14:textId="7D037674" w:rsidR="0093603C" w:rsidRPr="00235D4C" w:rsidRDefault="0093603C" w:rsidP="0093603C">
      <w:pPr>
        <w:pStyle w:val="HChG"/>
        <w:rPr>
          <w:lang w:val="fr-FR"/>
        </w:rPr>
      </w:pPr>
      <w:r w:rsidRPr="00235D4C">
        <w:rPr>
          <w:lang w:val="fr-FR"/>
        </w:rPr>
        <w:tab/>
      </w:r>
      <w:r w:rsidRPr="00235D4C">
        <w:rPr>
          <w:lang w:val="fr-FR"/>
        </w:rPr>
        <w:tab/>
        <w:t xml:space="preserve">Évaluation des renseignements sur la suite donnée </w:t>
      </w:r>
      <w:r w:rsidR="0047439B">
        <w:rPr>
          <w:lang w:val="fr-FR"/>
        </w:rPr>
        <w:br/>
      </w:r>
      <w:r w:rsidRPr="00235D4C">
        <w:rPr>
          <w:lang w:val="fr-FR"/>
        </w:rPr>
        <w:t>aux observations finales concernant le Viet Nam</w:t>
      </w:r>
    </w:p>
    <w:p w14:paraId="29AB002E" w14:textId="4FC3B2A7" w:rsidR="0093603C" w:rsidRPr="00235D4C" w:rsidRDefault="0093603C" w:rsidP="0093603C">
      <w:pPr>
        <w:pStyle w:val="SingleTxtG"/>
        <w:tabs>
          <w:tab w:val="clear" w:pos="2268"/>
        </w:tabs>
        <w:ind w:left="4820" w:hanging="3686"/>
        <w:jc w:val="left"/>
        <w:rPr>
          <w:lang w:val="fr-FR"/>
        </w:rPr>
      </w:pPr>
      <w:r w:rsidRPr="00235D4C">
        <w:rPr>
          <w:i/>
          <w:iCs/>
          <w:lang w:val="fr-FR"/>
        </w:rPr>
        <w:t>Observations finales (125</w:t>
      </w:r>
      <w:r w:rsidRPr="00187C4F">
        <w:rPr>
          <w:i/>
          <w:iCs/>
          <w:vertAlign w:val="superscript"/>
          <w:lang w:val="fr-FR"/>
        </w:rPr>
        <w:t>e</w:t>
      </w:r>
      <w:r w:rsidRPr="00235D4C">
        <w:rPr>
          <w:i/>
          <w:iCs/>
          <w:lang w:val="fr-FR"/>
        </w:rPr>
        <w:t xml:space="preserve"> session)</w:t>
      </w:r>
      <w:r>
        <w:rPr>
          <w:i/>
          <w:iCs/>
          <w:lang w:val="fr-FR"/>
        </w:rPr>
        <w:t> </w:t>
      </w:r>
      <w:r w:rsidRPr="00235D4C">
        <w:rPr>
          <w:i/>
          <w:iCs/>
          <w:lang w:val="fr-FR"/>
        </w:rPr>
        <w:t>:</w:t>
      </w:r>
      <w:r w:rsidRPr="00235D4C">
        <w:rPr>
          <w:lang w:val="fr-FR"/>
        </w:rPr>
        <w:tab/>
      </w:r>
      <w:hyperlink r:id="rId9" w:history="1">
        <w:r w:rsidRPr="0093603C">
          <w:rPr>
            <w:rStyle w:val="Lienhypertexte"/>
            <w:lang w:val="fr-FR"/>
          </w:rPr>
          <w:t>CCPR/C/VNM/CO/3</w:t>
        </w:r>
      </w:hyperlink>
      <w:r w:rsidRPr="00235D4C">
        <w:rPr>
          <w:lang w:val="fr-FR"/>
        </w:rPr>
        <w:t>, 25</w:t>
      </w:r>
      <w:r w:rsidR="00374461">
        <w:rPr>
          <w:lang w:val="fr-FR"/>
        </w:rPr>
        <w:t> </w:t>
      </w:r>
      <w:r w:rsidRPr="00235D4C">
        <w:rPr>
          <w:lang w:val="fr-FR"/>
        </w:rPr>
        <w:t>mars 2019</w:t>
      </w:r>
    </w:p>
    <w:p w14:paraId="2032AFCB" w14:textId="77777777" w:rsidR="0093603C" w:rsidRPr="00235D4C" w:rsidRDefault="0093603C" w:rsidP="0093603C">
      <w:pPr>
        <w:pStyle w:val="SingleTxtG"/>
        <w:tabs>
          <w:tab w:val="clear" w:pos="2268"/>
        </w:tabs>
        <w:ind w:left="4820" w:hanging="3686"/>
        <w:jc w:val="left"/>
        <w:rPr>
          <w:lang w:val="fr-FR"/>
        </w:rPr>
      </w:pPr>
      <w:r w:rsidRPr="00235D4C">
        <w:rPr>
          <w:i/>
          <w:iCs/>
          <w:lang w:val="fr-FR"/>
        </w:rPr>
        <w:t>Paragraphes faisant l</w:t>
      </w:r>
      <w:r>
        <w:rPr>
          <w:i/>
          <w:iCs/>
          <w:lang w:val="fr-FR"/>
        </w:rPr>
        <w:t>’</w:t>
      </w:r>
      <w:r w:rsidRPr="00235D4C">
        <w:rPr>
          <w:i/>
          <w:iCs/>
          <w:lang w:val="fr-FR"/>
        </w:rPr>
        <w:t>objet d</w:t>
      </w:r>
      <w:r>
        <w:rPr>
          <w:i/>
          <w:iCs/>
          <w:lang w:val="fr-FR"/>
        </w:rPr>
        <w:t>’</w:t>
      </w:r>
      <w:r w:rsidRPr="00235D4C">
        <w:rPr>
          <w:i/>
          <w:iCs/>
          <w:lang w:val="fr-FR"/>
        </w:rPr>
        <w:t>un suivi</w:t>
      </w:r>
      <w:r>
        <w:rPr>
          <w:i/>
          <w:iCs/>
          <w:lang w:val="fr-FR"/>
        </w:rPr>
        <w:t> </w:t>
      </w:r>
      <w:r w:rsidRPr="00235D4C">
        <w:rPr>
          <w:i/>
          <w:iCs/>
          <w:lang w:val="fr-FR"/>
        </w:rPr>
        <w:t>:</w:t>
      </w:r>
      <w:r w:rsidRPr="00235D4C">
        <w:rPr>
          <w:lang w:val="fr-FR"/>
        </w:rPr>
        <w:tab/>
        <w:t xml:space="preserve">24, 46 et 52 </w:t>
      </w:r>
    </w:p>
    <w:p w14:paraId="538EB25F" w14:textId="3B59AA0C" w:rsidR="0093603C" w:rsidRPr="00235D4C" w:rsidRDefault="0093603C" w:rsidP="0093603C">
      <w:pPr>
        <w:pStyle w:val="SingleTxtG"/>
        <w:tabs>
          <w:tab w:val="clear" w:pos="2268"/>
        </w:tabs>
        <w:ind w:left="4820" w:hanging="3686"/>
        <w:jc w:val="left"/>
        <w:rPr>
          <w:lang w:val="fr-FR"/>
        </w:rPr>
      </w:pPr>
      <w:r w:rsidRPr="00235D4C">
        <w:rPr>
          <w:i/>
          <w:iCs/>
          <w:lang w:val="fr-FR"/>
        </w:rPr>
        <w:t>Renseignements reçus de l</w:t>
      </w:r>
      <w:r>
        <w:rPr>
          <w:i/>
          <w:iCs/>
          <w:lang w:val="fr-FR"/>
        </w:rPr>
        <w:t>’</w:t>
      </w:r>
      <w:r w:rsidRPr="00235D4C">
        <w:rPr>
          <w:i/>
          <w:iCs/>
          <w:lang w:val="fr-FR"/>
        </w:rPr>
        <w:t>État partie</w:t>
      </w:r>
      <w:r>
        <w:rPr>
          <w:i/>
          <w:iCs/>
          <w:lang w:val="fr-FR"/>
        </w:rPr>
        <w:t> </w:t>
      </w:r>
      <w:r w:rsidRPr="00235D4C">
        <w:rPr>
          <w:i/>
          <w:iCs/>
          <w:lang w:val="fr-FR"/>
        </w:rPr>
        <w:t>:</w:t>
      </w:r>
      <w:r w:rsidRPr="00235D4C">
        <w:rPr>
          <w:lang w:val="fr-FR"/>
        </w:rPr>
        <w:tab/>
      </w:r>
      <w:hyperlink r:id="rId10" w:history="1">
        <w:r w:rsidRPr="0093603C">
          <w:rPr>
            <w:rStyle w:val="Lienhypertexte"/>
            <w:lang w:val="fr-FR"/>
          </w:rPr>
          <w:t>CCPR/C/VNM/FCO/3</w:t>
        </w:r>
      </w:hyperlink>
      <w:r w:rsidRPr="00235D4C">
        <w:rPr>
          <w:lang w:val="fr-FR"/>
        </w:rPr>
        <w:t>, 29</w:t>
      </w:r>
      <w:r w:rsidR="00374461">
        <w:rPr>
          <w:lang w:val="fr-FR"/>
        </w:rPr>
        <w:t> </w:t>
      </w:r>
      <w:r w:rsidRPr="00235D4C">
        <w:rPr>
          <w:lang w:val="fr-FR"/>
        </w:rPr>
        <w:t>mars 2021</w:t>
      </w:r>
    </w:p>
    <w:p w14:paraId="245DC61F" w14:textId="39245087" w:rsidR="0093603C" w:rsidRPr="00235D4C" w:rsidRDefault="0093603C" w:rsidP="0093603C">
      <w:pPr>
        <w:pStyle w:val="SingleTxtG"/>
        <w:tabs>
          <w:tab w:val="clear" w:pos="2268"/>
        </w:tabs>
        <w:ind w:left="4820" w:hanging="3686"/>
        <w:jc w:val="left"/>
        <w:rPr>
          <w:lang w:val="fr-FR"/>
        </w:rPr>
      </w:pPr>
      <w:r w:rsidRPr="00235D4C">
        <w:rPr>
          <w:i/>
          <w:iCs/>
          <w:lang w:val="fr-FR"/>
        </w:rPr>
        <w:t>Renseignements reçus des parties prenantes</w:t>
      </w:r>
      <w:r>
        <w:rPr>
          <w:i/>
          <w:iCs/>
          <w:lang w:val="fr-FR"/>
        </w:rPr>
        <w:t> </w:t>
      </w:r>
      <w:r w:rsidRPr="00235D4C">
        <w:rPr>
          <w:i/>
          <w:iCs/>
          <w:lang w:val="fr-FR"/>
        </w:rPr>
        <w:t>:</w:t>
      </w:r>
      <w:r w:rsidRPr="00235D4C">
        <w:rPr>
          <w:lang w:val="fr-FR"/>
        </w:rPr>
        <w:tab/>
      </w:r>
      <w:hyperlink r:id="rId11" w:history="1">
        <w:r w:rsidRPr="00C56F03">
          <w:rPr>
            <w:rStyle w:val="Lienhypertexte"/>
            <w:lang w:val="fr-FR"/>
          </w:rPr>
          <w:t>Fédération internationale des ligues des droits de l’homme</w:t>
        </w:r>
      </w:hyperlink>
      <w:r w:rsidRPr="00235D4C">
        <w:rPr>
          <w:lang w:val="fr-FR"/>
        </w:rPr>
        <w:t xml:space="preserve"> et </w:t>
      </w:r>
      <w:hyperlink r:id="rId12" w:history="1">
        <w:r w:rsidRPr="00C56F03">
          <w:rPr>
            <w:rStyle w:val="Lienhypertexte"/>
            <w:lang w:val="fr-FR"/>
          </w:rPr>
          <w:t>Comité Vietnam pour la défense des droits de l’homme</w:t>
        </w:r>
      </w:hyperlink>
      <w:r w:rsidRPr="00235D4C">
        <w:rPr>
          <w:lang w:val="fr-FR"/>
        </w:rPr>
        <w:t>, 18</w:t>
      </w:r>
      <w:r w:rsidR="00374461">
        <w:rPr>
          <w:lang w:val="fr-FR"/>
        </w:rPr>
        <w:t> </w:t>
      </w:r>
      <w:r w:rsidRPr="00235D4C">
        <w:rPr>
          <w:lang w:val="fr-FR"/>
        </w:rPr>
        <w:t>juillet 2022</w:t>
      </w:r>
    </w:p>
    <w:p w14:paraId="3C866469" w14:textId="7358C39C" w:rsidR="0093603C" w:rsidRPr="00235D4C" w:rsidRDefault="0093603C" w:rsidP="0093603C">
      <w:pPr>
        <w:pStyle w:val="SingleTxtG"/>
        <w:tabs>
          <w:tab w:val="clear" w:pos="2268"/>
        </w:tabs>
        <w:ind w:left="4820" w:hanging="3686"/>
        <w:jc w:val="left"/>
        <w:rPr>
          <w:lang w:val="fr-FR"/>
        </w:rPr>
      </w:pPr>
      <w:r w:rsidRPr="00235D4C">
        <w:rPr>
          <w:i/>
          <w:iCs/>
          <w:lang w:val="fr-FR"/>
        </w:rPr>
        <w:t>Évaluation du Comité</w:t>
      </w:r>
      <w:r>
        <w:rPr>
          <w:i/>
          <w:iCs/>
          <w:lang w:val="fr-FR"/>
        </w:rPr>
        <w:t> </w:t>
      </w:r>
      <w:r w:rsidRPr="00235D4C">
        <w:rPr>
          <w:i/>
          <w:iCs/>
          <w:lang w:val="fr-FR"/>
        </w:rPr>
        <w:t>:</w:t>
      </w:r>
      <w:r w:rsidRPr="00235D4C">
        <w:rPr>
          <w:lang w:val="fr-FR"/>
        </w:rPr>
        <w:tab/>
        <w:t>24 [C][E], 46 [E] et 52 [C]</w:t>
      </w:r>
    </w:p>
    <w:p w14:paraId="0AC6DF1F" w14:textId="77777777" w:rsidR="0093603C" w:rsidRPr="00235D4C" w:rsidRDefault="0093603C" w:rsidP="0093603C">
      <w:pPr>
        <w:pStyle w:val="H1G"/>
        <w:rPr>
          <w:lang w:val="fr-FR"/>
        </w:rPr>
      </w:pPr>
      <w:r w:rsidRPr="00235D4C">
        <w:rPr>
          <w:lang w:val="fr-FR"/>
        </w:rPr>
        <w:tab/>
      </w:r>
      <w:r w:rsidRPr="00235D4C">
        <w:rPr>
          <w:lang w:val="fr-FR"/>
        </w:rPr>
        <w:tab/>
      </w:r>
      <w:r w:rsidRPr="00235D4C">
        <w:rPr>
          <w:lang w:val="fr-FR"/>
        </w:rPr>
        <w:tab/>
        <w:t>Paragraphe 24</w:t>
      </w:r>
      <w:r>
        <w:rPr>
          <w:lang w:val="fr-FR"/>
        </w:rPr>
        <w:t> </w:t>
      </w:r>
      <w:r w:rsidRPr="00235D4C">
        <w:rPr>
          <w:lang w:val="fr-FR"/>
        </w:rPr>
        <w:t>: Peine de mort</w:t>
      </w:r>
    </w:p>
    <w:p w14:paraId="0A6A6CF9" w14:textId="77777777" w:rsidR="0093603C" w:rsidRPr="00EB0160" w:rsidRDefault="0093603C" w:rsidP="0093603C">
      <w:pPr>
        <w:pStyle w:val="SingleTxtG"/>
        <w:rPr>
          <w:b/>
          <w:bCs/>
          <w:lang w:val="fr-FR"/>
        </w:rPr>
      </w:pPr>
      <w:r>
        <w:rPr>
          <w:b/>
          <w:bCs/>
          <w:lang w:val="fr-FR"/>
        </w:rPr>
        <w:tab/>
      </w:r>
      <w:r w:rsidRPr="00EB0160">
        <w:rPr>
          <w:b/>
          <w:bCs/>
          <w:lang w:val="fr-FR"/>
        </w:rPr>
        <w:t>Le Comité recommande</w:t>
      </w:r>
      <w:r w:rsidRPr="0047439B">
        <w:rPr>
          <w:rStyle w:val="Appelnotedebasdep"/>
          <w:lang w:val="fr-FR"/>
        </w:rPr>
        <w:footnoteReference w:id="3"/>
      </w:r>
      <w:r w:rsidRPr="00EB0160">
        <w:rPr>
          <w:b/>
          <w:bCs/>
          <w:lang w:val="fr-FR"/>
        </w:rPr>
        <w:t xml:space="preserve"> de nouveau à l’État partie</w:t>
      </w:r>
      <w:r>
        <w:rPr>
          <w:b/>
          <w:bCs/>
          <w:lang w:val="fr-FR"/>
        </w:rPr>
        <w:t> </w:t>
      </w:r>
      <w:r w:rsidRPr="00EB0160">
        <w:rPr>
          <w:b/>
          <w:bCs/>
          <w:lang w:val="fr-FR"/>
        </w:rPr>
        <w:t>:</w:t>
      </w:r>
    </w:p>
    <w:p w14:paraId="2FE35597" w14:textId="0F464399" w:rsidR="0093603C" w:rsidRPr="00235D4C" w:rsidRDefault="0093603C" w:rsidP="0093603C">
      <w:pPr>
        <w:pStyle w:val="SingleTxtG"/>
        <w:rPr>
          <w:b/>
          <w:bCs/>
          <w:lang w:val="fr-FR"/>
        </w:rPr>
      </w:pPr>
      <w:r>
        <w:rPr>
          <w:b/>
          <w:bCs/>
          <w:lang w:val="fr-FR"/>
        </w:rPr>
        <w:tab/>
      </w:r>
      <w:r w:rsidRPr="00EB0160">
        <w:rPr>
          <w:b/>
          <w:bCs/>
          <w:lang w:val="fr-FR"/>
        </w:rPr>
        <w:t>a)</w:t>
      </w:r>
      <w:r w:rsidRPr="00235D4C">
        <w:rPr>
          <w:lang w:val="fr-FR"/>
        </w:rPr>
        <w:tab/>
      </w:r>
      <w:r w:rsidRPr="00235D4C">
        <w:rPr>
          <w:b/>
          <w:bCs/>
          <w:lang w:val="fr-FR"/>
        </w:rPr>
        <w:t>D</w:t>
      </w:r>
      <w:r>
        <w:rPr>
          <w:b/>
          <w:bCs/>
          <w:lang w:val="fr-FR"/>
        </w:rPr>
        <w:t>’</w:t>
      </w:r>
      <w:r w:rsidRPr="00235D4C">
        <w:rPr>
          <w:b/>
          <w:bCs/>
          <w:lang w:val="fr-FR"/>
        </w:rPr>
        <w:t>envisager d</w:t>
      </w:r>
      <w:r>
        <w:rPr>
          <w:b/>
          <w:bCs/>
          <w:lang w:val="fr-FR"/>
        </w:rPr>
        <w:t>’</w:t>
      </w:r>
      <w:r w:rsidRPr="00235D4C">
        <w:rPr>
          <w:b/>
          <w:bCs/>
          <w:lang w:val="fr-FR"/>
        </w:rPr>
        <w:t>instaurer un moratoire sur l</w:t>
      </w:r>
      <w:r>
        <w:rPr>
          <w:b/>
          <w:bCs/>
          <w:lang w:val="fr-FR"/>
        </w:rPr>
        <w:t>’</w:t>
      </w:r>
      <w:r w:rsidRPr="00235D4C">
        <w:rPr>
          <w:b/>
          <w:bCs/>
          <w:lang w:val="fr-FR"/>
        </w:rPr>
        <w:t>application de la peine de mort et de ratifier le deuxième Protocole facultatif se rapportant au Pacte, visant à abolir la peine de mort, ou d</w:t>
      </w:r>
      <w:r>
        <w:rPr>
          <w:b/>
          <w:bCs/>
          <w:lang w:val="fr-FR"/>
        </w:rPr>
        <w:t>’</w:t>
      </w:r>
      <w:r w:rsidRPr="00235D4C">
        <w:rPr>
          <w:b/>
          <w:bCs/>
          <w:lang w:val="fr-FR"/>
        </w:rPr>
        <w:t>y adhérer</w:t>
      </w:r>
      <w:r w:rsidR="00374461">
        <w:rPr>
          <w:b/>
          <w:bCs/>
          <w:lang w:val="fr-FR"/>
        </w:rPr>
        <w:t> </w:t>
      </w:r>
      <w:r w:rsidRPr="00235D4C">
        <w:rPr>
          <w:b/>
          <w:bCs/>
          <w:lang w:val="fr-FR"/>
        </w:rPr>
        <w:t>;</w:t>
      </w:r>
      <w:r w:rsidRPr="00235D4C">
        <w:rPr>
          <w:lang w:val="fr-FR"/>
        </w:rPr>
        <w:t xml:space="preserve"> </w:t>
      </w:r>
    </w:p>
    <w:p w14:paraId="3F57401F" w14:textId="77777777" w:rsidR="0093603C" w:rsidRPr="00235D4C" w:rsidRDefault="0093603C" w:rsidP="0093603C">
      <w:pPr>
        <w:pStyle w:val="SingleTxtG"/>
        <w:rPr>
          <w:b/>
          <w:bCs/>
          <w:lang w:val="fr-FR"/>
        </w:rPr>
      </w:pPr>
      <w:r>
        <w:rPr>
          <w:b/>
          <w:bCs/>
          <w:lang w:val="fr-FR"/>
        </w:rPr>
        <w:tab/>
      </w:r>
      <w:r w:rsidRPr="00EB0160">
        <w:rPr>
          <w:b/>
          <w:bCs/>
          <w:lang w:val="fr-FR"/>
        </w:rPr>
        <w:t>b)</w:t>
      </w:r>
      <w:r w:rsidRPr="00235D4C">
        <w:rPr>
          <w:lang w:val="fr-FR"/>
        </w:rPr>
        <w:tab/>
      </w:r>
      <w:r w:rsidRPr="00235D4C">
        <w:rPr>
          <w:b/>
          <w:bCs/>
          <w:lang w:val="fr-FR"/>
        </w:rPr>
        <w:t>En attendant le moratoire, de modifier le Code pénal de sorte à réduire encore le nombre de crimes passibles de la peine de mort et de faire en sorte que cette peine soit maintenue uniquement pour les crimes les plus graves, à savoir les crimes d</w:t>
      </w:r>
      <w:r>
        <w:rPr>
          <w:b/>
          <w:bCs/>
          <w:lang w:val="fr-FR"/>
        </w:rPr>
        <w:t>’</w:t>
      </w:r>
      <w:r w:rsidRPr="00235D4C">
        <w:rPr>
          <w:b/>
          <w:bCs/>
          <w:lang w:val="fr-FR"/>
        </w:rPr>
        <w:t xml:space="preserve">une extrême gravité </w:t>
      </w:r>
      <w:r w:rsidRPr="00187C4F">
        <w:rPr>
          <w:b/>
          <w:lang w:val="fr-FR"/>
        </w:rPr>
        <w:t>comprenant la commission d</w:t>
      </w:r>
      <w:r>
        <w:rPr>
          <w:b/>
          <w:lang w:val="fr-FR"/>
        </w:rPr>
        <w:t>’</w:t>
      </w:r>
      <w:r w:rsidRPr="00187C4F">
        <w:rPr>
          <w:b/>
          <w:lang w:val="fr-FR"/>
        </w:rPr>
        <w:t>un homicide volontaire </w:t>
      </w:r>
      <w:r w:rsidRPr="00235D4C">
        <w:rPr>
          <w:b/>
          <w:bCs/>
          <w:lang w:val="fr-FR"/>
        </w:rPr>
        <w:t>;</w:t>
      </w:r>
    </w:p>
    <w:p w14:paraId="1143BCEE" w14:textId="33B01093" w:rsidR="0093603C" w:rsidRPr="00235D4C" w:rsidRDefault="0093603C" w:rsidP="0093603C">
      <w:pPr>
        <w:pStyle w:val="SingleTxtG"/>
        <w:rPr>
          <w:b/>
          <w:bCs/>
          <w:lang w:val="fr-FR"/>
        </w:rPr>
      </w:pPr>
      <w:r>
        <w:rPr>
          <w:b/>
          <w:bCs/>
          <w:lang w:val="fr-FR"/>
        </w:rPr>
        <w:tab/>
      </w:r>
      <w:r w:rsidRPr="00EB0160">
        <w:rPr>
          <w:b/>
          <w:bCs/>
          <w:lang w:val="fr-FR"/>
        </w:rPr>
        <w:t>c)</w:t>
      </w:r>
      <w:r w:rsidRPr="00235D4C">
        <w:rPr>
          <w:lang w:val="fr-FR"/>
        </w:rPr>
        <w:tab/>
      </w:r>
      <w:r w:rsidRPr="00235D4C">
        <w:rPr>
          <w:b/>
          <w:bCs/>
          <w:lang w:val="fr-FR"/>
        </w:rPr>
        <w:t>De faire en sorte que la peine de mort ne soit obligatoire pour aucun crime et, que si elle est prononcée, elle ne le soit jamais en violation des dispositions du Pacte, notamment celles qui concernent les garanties d</w:t>
      </w:r>
      <w:r>
        <w:rPr>
          <w:b/>
          <w:bCs/>
          <w:lang w:val="fr-FR"/>
        </w:rPr>
        <w:t>’</w:t>
      </w:r>
      <w:r w:rsidRPr="00235D4C">
        <w:rPr>
          <w:b/>
          <w:bCs/>
          <w:lang w:val="fr-FR"/>
        </w:rPr>
        <w:t>un procès équitable</w:t>
      </w:r>
      <w:r w:rsidR="00374461">
        <w:rPr>
          <w:b/>
          <w:bCs/>
          <w:lang w:val="fr-FR"/>
        </w:rPr>
        <w:t> </w:t>
      </w:r>
      <w:r w:rsidRPr="00235D4C">
        <w:rPr>
          <w:b/>
          <w:bCs/>
          <w:lang w:val="fr-FR"/>
        </w:rPr>
        <w:t>; et d</w:t>
      </w:r>
      <w:r>
        <w:rPr>
          <w:b/>
          <w:bCs/>
          <w:lang w:val="fr-FR"/>
        </w:rPr>
        <w:t>’</w:t>
      </w:r>
      <w:r w:rsidRPr="00235D4C">
        <w:rPr>
          <w:b/>
          <w:bCs/>
          <w:lang w:val="fr-FR"/>
        </w:rPr>
        <w:t>informer suffisamment tôt les condamnés à mort et leur famille de la date et de l</w:t>
      </w:r>
      <w:r>
        <w:rPr>
          <w:b/>
          <w:bCs/>
          <w:lang w:val="fr-FR"/>
        </w:rPr>
        <w:t>’</w:t>
      </w:r>
      <w:r w:rsidRPr="00235D4C">
        <w:rPr>
          <w:b/>
          <w:bCs/>
          <w:lang w:val="fr-FR"/>
        </w:rPr>
        <w:t>heure prévues pour l</w:t>
      </w:r>
      <w:r>
        <w:rPr>
          <w:b/>
          <w:bCs/>
          <w:lang w:val="fr-FR"/>
        </w:rPr>
        <w:t>’</w:t>
      </w:r>
      <w:r w:rsidRPr="00235D4C">
        <w:rPr>
          <w:b/>
          <w:bCs/>
          <w:lang w:val="fr-FR"/>
        </w:rPr>
        <w:t>exécution</w:t>
      </w:r>
      <w:r w:rsidR="00374461">
        <w:rPr>
          <w:b/>
          <w:bCs/>
          <w:lang w:val="fr-FR"/>
        </w:rPr>
        <w:t> </w:t>
      </w:r>
      <w:r w:rsidRPr="00235D4C">
        <w:rPr>
          <w:b/>
          <w:bCs/>
          <w:lang w:val="fr-FR"/>
        </w:rPr>
        <w:t>;</w:t>
      </w:r>
      <w:r w:rsidRPr="00235D4C">
        <w:rPr>
          <w:lang w:val="fr-FR"/>
        </w:rPr>
        <w:t xml:space="preserve"> </w:t>
      </w:r>
    </w:p>
    <w:p w14:paraId="6EB3BDDD" w14:textId="28EE1B56" w:rsidR="0093603C" w:rsidRPr="00235D4C" w:rsidRDefault="0093603C" w:rsidP="0093603C">
      <w:pPr>
        <w:pStyle w:val="SingleTxtG"/>
        <w:rPr>
          <w:b/>
          <w:bCs/>
          <w:lang w:val="fr-FR"/>
        </w:rPr>
      </w:pPr>
      <w:r>
        <w:rPr>
          <w:b/>
          <w:bCs/>
          <w:lang w:val="fr-FR"/>
        </w:rPr>
        <w:tab/>
      </w:r>
      <w:r w:rsidRPr="00EB0160">
        <w:rPr>
          <w:b/>
          <w:bCs/>
          <w:lang w:val="fr-FR"/>
        </w:rPr>
        <w:t>d)</w:t>
      </w:r>
      <w:r w:rsidRPr="00235D4C">
        <w:rPr>
          <w:lang w:val="fr-FR"/>
        </w:rPr>
        <w:tab/>
      </w:r>
      <w:r w:rsidRPr="00235D4C">
        <w:rPr>
          <w:b/>
          <w:bCs/>
          <w:lang w:val="fr-FR"/>
        </w:rPr>
        <w:t>De faire en sorte que la grâce ou une commutation de la peine de mort puissent dans tous les cas être effectivement accordées, indépendamment du crime commis</w:t>
      </w:r>
      <w:r w:rsidR="00374461">
        <w:rPr>
          <w:b/>
          <w:bCs/>
          <w:lang w:val="fr-FR"/>
        </w:rPr>
        <w:t> </w:t>
      </w:r>
      <w:r w:rsidRPr="00235D4C">
        <w:rPr>
          <w:b/>
          <w:bCs/>
          <w:lang w:val="fr-FR"/>
        </w:rPr>
        <w:t>;</w:t>
      </w:r>
    </w:p>
    <w:p w14:paraId="0087CB76" w14:textId="77777777" w:rsidR="0093603C" w:rsidRPr="00235D4C" w:rsidRDefault="0093603C" w:rsidP="0093603C">
      <w:pPr>
        <w:pStyle w:val="SingleTxtG"/>
        <w:rPr>
          <w:b/>
          <w:bCs/>
          <w:lang w:val="fr-FR"/>
        </w:rPr>
      </w:pPr>
      <w:r>
        <w:rPr>
          <w:b/>
          <w:bCs/>
          <w:lang w:val="fr-FR"/>
        </w:rPr>
        <w:lastRenderedPageBreak/>
        <w:tab/>
      </w:r>
      <w:r w:rsidRPr="00EB0160">
        <w:rPr>
          <w:b/>
          <w:bCs/>
          <w:lang w:val="fr-FR"/>
        </w:rPr>
        <w:t>e)</w:t>
      </w:r>
      <w:r w:rsidRPr="00235D4C">
        <w:rPr>
          <w:lang w:val="fr-FR"/>
        </w:rPr>
        <w:tab/>
      </w:r>
      <w:r w:rsidRPr="00235D4C">
        <w:rPr>
          <w:b/>
          <w:bCs/>
          <w:lang w:val="fr-FR"/>
        </w:rPr>
        <w:t>De publier des chiffres officiels concernant les condamnations à mort et les exécutions, ventilés par sexe, âge, origine ethnique, religion et crime commis.</w:t>
      </w:r>
    </w:p>
    <w:p w14:paraId="7495313A" w14:textId="77777777" w:rsidR="0093603C" w:rsidRPr="00235D4C" w:rsidRDefault="0093603C" w:rsidP="0093603C">
      <w:pPr>
        <w:pStyle w:val="H23G"/>
        <w:rPr>
          <w:rFonts w:eastAsiaTheme="minorEastAsia"/>
          <w:lang w:val="fr-FR"/>
        </w:rPr>
      </w:pPr>
      <w:r w:rsidRPr="00235D4C">
        <w:rPr>
          <w:lang w:val="fr-FR"/>
        </w:rPr>
        <w:tab/>
      </w:r>
      <w:r w:rsidRPr="00235D4C">
        <w:rPr>
          <w:lang w:val="fr-FR"/>
        </w:rPr>
        <w:tab/>
        <w:t>Résumé des renseignements reçus de l</w:t>
      </w:r>
      <w:r>
        <w:rPr>
          <w:lang w:val="fr-FR"/>
        </w:rPr>
        <w:t>’</w:t>
      </w:r>
      <w:r w:rsidRPr="00235D4C">
        <w:rPr>
          <w:lang w:val="fr-FR"/>
        </w:rPr>
        <w:t>État partie</w:t>
      </w:r>
    </w:p>
    <w:p w14:paraId="1A8E633A" w14:textId="77777777" w:rsidR="0093603C" w:rsidRPr="00235D4C" w:rsidRDefault="0093603C" w:rsidP="0093603C">
      <w:pPr>
        <w:pStyle w:val="SingleTxtG"/>
        <w:rPr>
          <w:lang w:val="fr-FR"/>
        </w:rPr>
      </w:pPr>
      <w:r>
        <w:rPr>
          <w:lang w:val="fr-FR"/>
        </w:rPr>
        <w:tab/>
      </w:r>
      <w:r w:rsidRPr="00235D4C">
        <w:rPr>
          <w:lang w:val="fr-FR"/>
        </w:rPr>
        <w:t>a)</w:t>
      </w:r>
      <w:r w:rsidRPr="00235D4C">
        <w:rPr>
          <w:lang w:val="fr-FR"/>
        </w:rPr>
        <w:tab/>
        <w:t>Le Viet Nam maintient la peine de mort pour les crimes extrêmement graves et considère que cette mesure</w:t>
      </w:r>
      <w:r>
        <w:rPr>
          <w:lang w:val="fr-FR"/>
        </w:rPr>
        <w:t>, par sa nature dissuasive,</w:t>
      </w:r>
      <w:r w:rsidRPr="00235D4C">
        <w:rPr>
          <w:lang w:val="fr-FR"/>
        </w:rPr>
        <w:t xml:space="preserve"> </w:t>
      </w:r>
      <w:r>
        <w:rPr>
          <w:lang w:val="fr-FR"/>
        </w:rPr>
        <w:t xml:space="preserve">est nécessaire </w:t>
      </w:r>
      <w:r w:rsidRPr="00235D4C">
        <w:rPr>
          <w:lang w:val="fr-FR"/>
        </w:rPr>
        <w:t xml:space="preserve">pour </w:t>
      </w:r>
      <w:r>
        <w:rPr>
          <w:lang w:val="fr-FR"/>
        </w:rPr>
        <w:t>prévenir</w:t>
      </w:r>
      <w:r w:rsidRPr="00235D4C">
        <w:rPr>
          <w:lang w:val="fr-FR"/>
        </w:rPr>
        <w:t xml:space="preserve"> la commission de tels crimes. Il a étudié l</w:t>
      </w:r>
      <w:r>
        <w:rPr>
          <w:lang w:val="fr-FR"/>
        </w:rPr>
        <w:t>’</w:t>
      </w:r>
      <w:r w:rsidRPr="00235D4C">
        <w:rPr>
          <w:lang w:val="fr-FR"/>
        </w:rPr>
        <w:t>approche d</w:t>
      </w:r>
      <w:r>
        <w:rPr>
          <w:lang w:val="fr-FR"/>
        </w:rPr>
        <w:t>’</w:t>
      </w:r>
      <w:r w:rsidRPr="00235D4C">
        <w:rPr>
          <w:lang w:val="fr-FR"/>
        </w:rPr>
        <w:t>autres pays pour ce qui est du maintien et de l</w:t>
      </w:r>
      <w:r>
        <w:rPr>
          <w:lang w:val="fr-FR"/>
        </w:rPr>
        <w:t>’</w:t>
      </w:r>
      <w:r w:rsidRPr="00235D4C">
        <w:rPr>
          <w:lang w:val="fr-FR"/>
        </w:rPr>
        <w:t xml:space="preserve">abolition de la peine de mort, et a réfléchi à la </w:t>
      </w:r>
      <w:r>
        <w:rPr>
          <w:lang w:val="fr-FR"/>
        </w:rPr>
        <w:t>possibilité de ratifier le</w:t>
      </w:r>
      <w:r w:rsidRPr="00235D4C">
        <w:rPr>
          <w:lang w:val="fr-FR"/>
        </w:rPr>
        <w:t xml:space="preserve"> deuxième Protocole facultatif se rapportant au Pacte, visant à abolir la peine de mort.</w:t>
      </w:r>
    </w:p>
    <w:p w14:paraId="63816F53" w14:textId="77777777" w:rsidR="0093603C" w:rsidRPr="00235D4C" w:rsidRDefault="0093603C" w:rsidP="0093603C">
      <w:pPr>
        <w:pStyle w:val="SingleTxtG"/>
        <w:rPr>
          <w:lang w:val="fr-FR"/>
        </w:rPr>
      </w:pPr>
      <w:r>
        <w:rPr>
          <w:lang w:val="fr-FR"/>
        </w:rPr>
        <w:tab/>
      </w:r>
      <w:r w:rsidRPr="00235D4C">
        <w:rPr>
          <w:lang w:val="fr-FR"/>
        </w:rPr>
        <w:t>b)</w:t>
      </w:r>
      <w:r w:rsidRPr="00235D4C">
        <w:rPr>
          <w:lang w:val="fr-FR"/>
        </w:rPr>
        <w:tab/>
        <w:t>La politique de réduction de l</w:t>
      </w:r>
      <w:r>
        <w:rPr>
          <w:lang w:val="fr-FR"/>
        </w:rPr>
        <w:t>’</w:t>
      </w:r>
      <w:r w:rsidRPr="00235D4C">
        <w:rPr>
          <w:lang w:val="fr-FR"/>
        </w:rPr>
        <w:t>application de la peine de mort se reflète dans le Code pénal modifié, le Code de procédure pénale et la loi sur l</w:t>
      </w:r>
      <w:r>
        <w:rPr>
          <w:lang w:val="fr-FR"/>
        </w:rPr>
        <w:t>’</w:t>
      </w:r>
      <w:r w:rsidRPr="00235D4C">
        <w:rPr>
          <w:lang w:val="fr-FR"/>
        </w:rPr>
        <w:t>exécution des décisions pénales. Une étude sur la réduction du nombre de crimes passibles de la peine de mort sera achevée en 2022.</w:t>
      </w:r>
    </w:p>
    <w:p w14:paraId="7798B963" w14:textId="44E0180E" w:rsidR="0093603C" w:rsidRPr="00235D4C" w:rsidRDefault="0093603C" w:rsidP="0093603C">
      <w:pPr>
        <w:pStyle w:val="SingleTxtG"/>
        <w:rPr>
          <w:lang w:val="fr-FR"/>
        </w:rPr>
      </w:pPr>
      <w:r>
        <w:rPr>
          <w:lang w:val="fr-FR"/>
        </w:rPr>
        <w:tab/>
      </w:r>
      <w:r w:rsidRPr="00235D4C">
        <w:rPr>
          <w:lang w:val="fr-FR"/>
        </w:rPr>
        <w:t>c)</w:t>
      </w:r>
      <w:r w:rsidRPr="00235D4C">
        <w:rPr>
          <w:lang w:val="fr-FR"/>
        </w:rPr>
        <w:tab/>
        <w:t>La loi prévoit la peine de mort</w:t>
      </w:r>
      <w:r>
        <w:rPr>
          <w:lang w:val="fr-FR"/>
        </w:rPr>
        <w:t>,</w:t>
      </w:r>
      <w:r w:rsidRPr="00235D4C">
        <w:rPr>
          <w:lang w:val="fr-FR"/>
        </w:rPr>
        <w:t xml:space="preserve"> mais il n</w:t>
      </w:r>
      <w:r>
        <w:rPr>
          <w:lang w:val="fr-FR"/>
        </w:rPr>
        <w:t>’</w:t>
      </w:r>
      <w:r w:rsidRPr="00235D4C">
        <w:rPr>
          <w:lang w:val="fr-FR"/>
        </w:rPr>
        <w:t>y a aucune obligation de l</w:t>
      </w:r>
      <w:r>
        <w:rPr>
          <w:lang w:val="fr-FR"/>
        </w:rPr>
        <w:t>’</w:t>
      </w:r>
      <w:r w:rsidRPr="00235D4C">
        <w:rPr>
          <w:lang w:val="fr-FR"/>
        </w:rPr>
        <w:t>appliquer. Un avocat de la défense doit être désigné pour assister les personnes accusées d</w:t>
      </w:r>
      <w:r>
        <w:rPr>
          <w:lang w:val="fr-FR"/>
        </w:rPr>
        <w:t>’</w:t>
      </w:r>
      <w:r w:rsidRPr="00235D4C">
        <w:rPr>
          <w:lang w:val="fr-FR"/>
        </w:rPr>
        <w:t>une infraction passible d</w:t>
      </w:r>
      <w:r>
        <w:rPr>
          <w:lang w:val="fr-FR"/>
        </w:rPr>
        <w:t>’</w:t>
      </w:r>
      <w:r w:rsidRPr="00235D4C">
        <w:rPr>
          <w:lang w:val="fr-FR"/>
        </w:rPr>
        <w:t xml:space="preserve">une peine maximale de </w:t>
      </w:r>
      <w:r w:rsidR="00703E8E">
        <w:rPr>
          <w:lang w:val="fr-FR"/>
        </w:rPr>
        <w:t>vingt</w:t>
      </w:r>
      <w:r w:rsidRPr="00235D4C">
        <w:rPr>
          <w:lang w:val="fr-FR"/>
        </w:rPr>
        <w:t xml:space="preserve"> ans d</w:t>
      </w:r>
      <w:r>
        <w:rPr>
          <w:lang w:val="fr-FR"/>
        </w:rPr>
        <w:t>’</w:t>
      </w:r>
      <w:r w:rsidRPr="00235D4C">
        <w:rPr>
          <w:lang w:val="fr-FR"/>
        </w:rPr>
        <w:t xml:space="preserve">emprisonnement, de la réclusion criminelle à perpétuité ou de la peine de mort. En cas de condamnation à la peine de mort, un parent ou un représentant du condamné doit être informé </w:t>
      </w:r>
      <w:r>
        <w:rPr>
          <w:lang w:val="fr-FR"/>
        </w:rPr>
        <w:t xml:space="preserve">de la peine prononcée </w:t>
      </w:r>
      <w:r w:rsidRPr="00235D4C">
        <w:rPr>
          <w:lang w:val="fr-FR"/>
        </w:rPr>
        <w:t>dans les trois jours. Le Viet</w:t>
      </w:r>
      <w:r w:rsidR="00703E8E">
        <w:rPr>
          <w:lang w:val="fr-FR"/>
        </w:rPr>
        <w:t> </w:t>
      </w:r>
      <w:r w:rsidRPr="00235D4C">
        <w:rPr>
          <w:lang w:val="fr-FR"/>
        </w:rPr>
        <w:t>Nam étudiera la recommandation du Comité tendant à ce que les condamnés à mort soient informés à l</w:t>
      </w:r>
      <w:r>
        <w:rPr>
          <w:lang w:val="fr-FR"/>
        </w:rPr>
        <w:t>’</w:t>
      </w:r>
      <w:r w:rsidRPr="00235D4C">
        <w:rPr>
          <w:lang w:val="fr-FR"/>
        </w:rPr>
        <w:t xml:space="preserve">avance et envisagera de modifier sa législation. </w:t>
      </w:r>
    </w:p>
    <w:p w14:paraId="390CFCEE" w14:textId="77777777" w:rsidR="0093603C" w:rsidRPr="00235D4C" w:rsidRDefault="0093603C" w:rsidP="0093603C">
      <w:pPr>
        <w:pStyle w:val="SingleTxtG"/>
        <w:rPr>
          <w:lang w:val="fr-FR"/>
        </w:rPr>
      </w:pPr>
      <w:r>
        <w:rPr>
          <w:lang w:val="fr-FR"/>
        </w:rPr>
        <w:tab/>
      </w:r>
      <w:r w:rsidRPr="00235D4C">
        <w:rPr>
          <w:lang w:val="fr-FR"/>
        </w:rPr>
        <w:t>d)</w:t>
      </w:r>
      <w:r w:rsidRPr="00235D4C">
        <w:rPr>
          <w:lang w:val="fr-FR"/>
        </w:rPr>
        <w:tab/>
        <w:t>Conformément à l</w:t>
      </w:r>
      <w:r>
        <w:rPr>
          <w:lang w:val="fr-FR"/>
        </w:rPr>
        <w:t>’</w:t>
      </w:r>
      <w:r w:rsidRPr="00235D4C">
        <w:rPr>
          <w:lang w:val="fr-FR"/>
        </w:rPr>
        <w:t>article 367 du Code de procédure pénale, toutes les condamnations à mort sont examinées par le Président de la Cour populaire suprême ou le Procureur général du parquet populaire suprême. Tout condamné à mort a le droit de solliciter la commutation de la peine. De nombreuses condamnations à mort sont commuées en peines d</w:t>
      </w:r>
      <w:r>
        <w:rPr>
          <w:lang w:val="fr-FR"/>
        </w:rPr>
        <w:t>’</w:t>
      </w:r>
      <w:r w:rsidRPr="00235D4C">
        <w:rPr>
          <w:lang w:val="fr-FR"/>
        </w:rPr>
        <w:t>emprisonnement à vie.</w:t>
      </w:r>
    </w:p>
    <w:p w14:paraId="42501AF1" w14:textId="77777777" w:rsidR="0093603C" w:rsidRPr="00235D4C" w:rsidRDefault="0093603C" w:rsidP="0093603C">
      <w:pPr>
        <w:pStyle w:val="SingleTxtG"/>
        <w:rPr>
          <w:lang w:val="fr-FR"/>
        </w:rPr>
      </w:pPr>
      <w:r>
        <w:rPr>
          <w:lang w:val="fr-FR"/>
        </w:rPr>
        <w:tab/>
      </w:r>
      <w:r w:rsidRPr="00235D4C">
        <w:rPr>
          <w:lang w:val="fr-FR"/>
        </w:rPr>
        <w:t>e)</w:t>
      </w:r>
      <w:r w:rsidRPr="00235D4C">
        <w:rPr>
          <w:lang w:val="fr-FR"/>
        </w:rPr>
        <w:tab/>
        <w:t xml:space="preserve">Les données sur les condamnations à mort sont publiées conformément à la loi. </w:t>
      </w:r>
    </w:p>
    <w:p w14:paraId="16265948" w14:textId="77777777" w:rsidR="0093603C" w:rsidRPr="00235D4C" w:rsidRDefault="0093603C" w:rsidP="0093603C">
      <w:pPr>
        <w:pStyle w:val="H23G"/>
        <w:rPr>
          <w:rFonts w:eastAsiaTheme="minorEastAsia"/>
          <w:lang w:val="fr-FR"/>
        </w:rPr>
      </w:pPr>
      <w:r w:rsidRPr="00235D4C">
        <w:rPr>
          <w:lang w:val="fr-FR"/>
        </w:rPr>
        <w:tab/>
      </w:r>
      <w:r w:rsidRPr="00235D4C">
        <w:rPr>
          <w:lang w:val="fr-FR"/>
        </w:rPr>
        <w:tab/>
        <w:t>Résumé des renseignements reçus des parties prenantes</w:t>
      </w:r>
    </w:p>
    <w:p w14:paraId="583BEECE" w14:textId="6407AC7F" w:rsidR="0093603C" w:rsidRPr="00235D4C" w:rsidRDefault="0093603C" w:rsidP="0093603C">
      <w:pPr>
        <w:pStyle w:val="H4G"/>
        <w:rPr>
          <w:rFonts w:eastAsiaTheme="minorEastAsia"/>
          <w:lang w:val="fr-FR"/>
        </w:rPr>
      </w:pPr>
      <w:r w:rsidRPr="00235D4C">
        <w:rPr>
          <w:lang w:val="fr-FR"/>
        </w:rPr>
        <w:tab/>
      </w:r>
      <w:r w:rsidRPr="00235D4C">
        <w:rPr>
          <w:lang w:val="fr-FR"/>
        </w:rPr>
        <w:tab/>
        <w:t>Fédération internationale des ligues des droits de l</w:t>
      </w:r>
      <w:r>
        <w:rPr>
          <w:lang w:val="fr-FR"/>
        </w:rPr>
        <w:t>’</w:t>
      </w:r>
      <w:r w:rsidRPr="00235D4C">
        <w:rPr>
          <w:lang w:val="fr-FR"/>
        </w:rPr>
        <w:t xml:space="preserve">homme et Comité Vietnam </w:t>
      </w:r>
      <w:r w:rsidR="00703E8E">
        <w:rPr>
          <w:lang w:val="fr-FR"/>
        </w:rPr>
        <w:br/>
      </w:r>
      <w:r w:rsidRPr="00235D4C">
        <w:rPr>
          <w:lang w:val="fr-FR"/>
        </w:rPr>
        <w:t>pour la défense des droits de l</w:t>
      </w:r>
      <w:r>
        <w:rPr>
          <w:lang w:val="fr-FR"/>
        </w:rPr>
        <w:t>’</w:t>
      </w:r>
      <w:r w:rsidRPr="00235D4C">
        <w:rPr>
          <w:lang w:val="fr-FR"/>
        </w:rPr>
        <w:t>homme</w:t>
      </w:r>
    </w:p>
    <w:p w14:paraId="0E4531E6" w14:textId="0E04C199" w:rsidR="0093603C" w:rsidRPr="00235D4C" w:rsidRDefault="0093603C" w:rsidP="0093603C">
      <w:pPr>
        <w:pStyle w:val="SingleTxtG"/>
        <w:rPr>
          <w:lang w:val="fr-FR"/>
        </w:rPr>
      </w:pPr>
      <w:r>
        <w:rPr>
          <w:lang w:val="fr-FR"/>
        </w:rPr>
        <w:tab/>
      </w:r>
      <w:r w:rsidRPr="00235D4C">
        <w:rPr>
          <w:lang w:val="fr-FR"/>
        </w:rPr>
        <w:t>a)</w:t>
      </w:r>
      <w:r w:rsidRPr="00235D4C">
        <w:rPr>
          <w:lang w:val="fr-FR"/>
        </w:rPr>
        <w:tab/>
        <w:t>Le Viet Nam n</w:t>
      </w:r>
      <w:r>
        <w:rPr>
          <w:lang w:val="fr-FR"/>
        </w:rPr>
        <w:t>’</w:t>
      </w:r>
      <w:r w:rsidRPr="00235D4C">
        <w:rPr>
          <w:lang w:val="fr-FR"/>
        </w:rPr>
        <w:t>a pas instauré de moratoire sur l</w:t>
      </w:r>
      <w:r>
        <w:rPr>
          <w:lang w:val="fr-FR"/>
        </w:rPr>
        <w:t>’</w:t>
      </w:r>
      <w:r w:rsidRPr="00235D4C">
        <w:rPr>
          <w:lang w:val="fr-FR"/>
        </w:rPr>
        <w:t>application de la peine de mort. Il s</w:t>
      </w:r>
      <w:r>
        <w:rPr>
          <w:lang w:val="fr-FR"/>
        </w:rPr>
        <w:t>’</w:t>
      </w:r>
      <w:r w:rsidRPr="00235D4C">
        <w:rPr>
          <w:lang w:val="fr-FR"/>
        </w:rPr>
        <w:t>est abstenu lors de l</w:t>
      </w:r>
      <w:r>
        <w:rPr>
          <w:lang w:val="fr-FR"/>
        </w:rPr>
        <w:t>’</w:t>
      </w:r>
      <w:r w:rsidRPr="00235D4C">
        <w:rPr>
          <w:lang w:val="fr-FR"/>
        </w:rPr>
        <w:t>adoption, par l</w:t>
      </w:r>
      <w:r>
        <w:rPr>
          <w:lang w:val="fr-FR"/>
        </w:rPr>
        <w:t>’</w:t>
      </w:r>
      <w:r w:rsidRPr="00235D4C">
        <w:rPr>
          <w:lang w:val="fr-FR"/>
        </w:rPr>
        <w:t>Assemblée générale le 16</w:t>
      </w:r>
      <w:r w:rsidR="00374461">
        <w:rPr>
          <w:lang w:val="fr-FR"/>
        </w:rPr>
        <w:t> </w:t>
      </w:r>
      <w:r w:rsidRPr="00235D4C">
        <w:rPr>
          <w:lang w:val="fr-FR"/>
        </w:rPr>
        <w:t>décembre 2020, de la résolution (n</w:t>
      </w:r>
      <w:r w:rsidRPr="00187C4F">
        <w:rPr>
          <w:vertAlign w:val="superscript"/>
          <w:lang w:val="fr-FR"/>
        </w:rPr>
        <w:t>o</w:t>
      </w:r>
      <w:r w:rsidRPr="00235D4C">
        <w:rPr>
          <w:lang w:val="fr-FR"/>
        </w:rPr>
        <w:t xml:space="preserve"> 75/183) concernant le moratoire sur l</w:t>
      </w:r>
      <w:r>
        <w:rPr>
          <w:lang w:val="fr-FR"/>
        </w:rPr>
        <w:t>’</w:t>
      </w:r>
      <w:r w:rsidRPr="00235D4C">
        <w:rPr>
          <w:lang w:val="fr-FR"/>
        </w:rPr>
        <w:t>application de la peine de mort. Entre le 1</w:t>
      </w:r>
      <w:r w:rsidRPr="00161BA6">
        <w:rPr>
          <w:vertAlign w:val="superscript"/>
          <w:lang w:val="fr-FR"/>
        </w:rPr>
        <w:t>er</w:t>
      </w:r>
      <w:r w:rsidR="00374461">
        <w:rPr>
          <w:lang w:val="fr-FR"/>
        </w:rPr>
        <w:t> </w:t>
      </w:r>
      <w:r w:rsidRPr="00235D4C">
        <w:rPr>
          <w:lang w:val="fr-FR"/>
        </w:rPr>
        <w:t>octobre 2020 et le 31</w:t>
      </w:r>
      <w:r w:rsidR="00374461">
        <w:rPr>
          <w:lang w:val="fr-FR"/>
        </w:rPr>
        <w:t> </w:t>
      </w:r>
      <w:r w:rsidRPr="00235D4C">
        <w:rPr>
          <w:lang w:val="fr-FR"/>
        </w:rPr>
        <w:t>juillet 2021, le nombre de condamnations à mort a augmenté de 34</w:t>
      </w:r>
      <w:r w:rsidR="00374461">
        <w:rPr>
          <w:lang w:val="fr-FR"/>
        </w:rPr>
        <w:t> </w:t>
      </w:r>
      <w:r w:rsidRPr="00235D4C">
        <w:rPr>
          <w:lang w:val="fr-FR"/>
        </w:rPr>
        <w:t>%, ce qui représente 440 condamnations supplémentaires par rapport à 2019. Les quartiers des condamnés à mort seraient surpeuplés.</w:t>
      </w:r>
    </w:p>
    <w:p w14:paraId="0F980EF6" w14:textId="77777777" w:rsidR="0093603C" w:rsidRPr="00235D4C" w:rsidRDefault="0093603C" w:rsidP="0093603C">
      <w:pPr>
        <w:pStyle w:val="SingleTxtG"/>
        <w:rPr>
          <w:lang w:val="fr-FR"/>
        </w:rPr>
      </w:pPr>
      <w:r>
        <w:rPr>
          <w:lang w:val="fr-FR"/>
        </w:rPr>
        <w:tab/>
      </w:r>
      <w:r w:rsidRPr="00235D4C">
        <w:rPr>
          <w:lang w:val="fr-FR"/>
        </w:rPr>
        <w:t>b)</w:t>
      </w:r>
      <w:r w:rsidRPr="00235D4C">
        <w:rPr>
          <w:lang w:val="fr-FR"/>
        </w:rPr>
        <w:tab/>
        <w:t>La peine de mort est appliquée pour des infractions qui ne figurent pas parmi les crimes les plus graves. Dans le Code pénal, six infractions relatives à la sécurité nationale, dont la haute trahison et l</w:t>
      </w:r>
      <w:r>
        <w:rPr>
          <w:lang w:val="fr-FR"/>
        </w:rPr>
        <w:t>’</w:t>
      </w:r>
      <w:r w:rsidRPr="00235D4C">
        <w:rPr>
          <w:lang w:val="fr-FR"/>
        </w:rPr>
        <w:t xml:space="preserve">espionnage, restent passibles de </w:t>
      </w:r>
      <w:r>
        <w:rPr>
          <w:lang w:val="fr-FR"/>
        </w:rPr>
        <w:t>cette</w:t>
      </w:r>
      <w:r w:rsidRPr="00235D4C">
        <w:rPr>
          <w:lang w:val="fr-FR"/>
        </w:rPr>
        <w:t xml:space="preserve"> peine, tout comme l</w:t>
      </w:r>
      <w:r>
        <w:rPr>
          <w:lang w:val="fr-FR"/>
        </w:rPr>
        <w:t>’</w:t>
      </w:r>
      <w:r w:rsidRPr="00235D4C">
        <w:rPr>
          <w:lang w:val="fr-FR"/>
        </w:rPr>
        <w:t>est le fait de créer ou de rejoindre une organisation dans le but de renverser le Gouvernement.</w:t>
      </w:r>
    </w:p>
    <w:p w14:paraId="5782B501" w14:textId="77777777" w:rsidR="0093603C" w:rsidRPr="00235D4C" w:rsidRDefault="0093603C" w:rsidP="0093603C">
      <w:pPr>
        <w:pStyle w:val="SingleTxtG"/>
        <w:rPr>
          <w:lang w:val="fr-FR"/>
        </w:rPr>
      </w:pPr>
      <w:r>
        <w:rPr>
          <w:lang w:val="fr-FR"/>
        </w:rPr>
        <w:tab/>
      </w:r>
      <w:r w:rsidRPr="00235D4C">
        <w:rPr>
          <w:lang w:val="fr-FR"/>
        </w:rPr>
        <w:t>c)</w:t>
      </w:r>
      <w:r w:rsidRPr="00235D4C">
        <w:rPr>
          <w:lang w:val="fr-FR"/>
        </w:rPr>
        <w:tab/>
        <w:t>L</w:t>
      </w:r>
      <w:r>
        <w:rPr>
          <w:lang w:val="fr-FR"/>
        </w:rPr>
        <w:t>’</w:t>
      </w:r>
      <w:r w:rsidRPr="00235D4C">
        <w:rPr>
          <w:lang w:val="fr-FR"/>
        </w:rPr>
        <w:t xml:space="preserve">absence de </w:t>
      </w:r>
      <w:r>
        <w:rPr>
          <w:lang w:val="fr-FR"/>
        </w:rPr>
        <w:t xml:space="preserve">respect des </w:t>
      </w:r>
      <w:r w:rsidRPr="00235D4C">
        <w:rPr>
          <w:lang w:val="fr-FR"/>
        </w:rPr>
        <w:t>garanties d</w:t>
      </w:r>
      <w:r>
        <w:rPr>
          <w:lang w:val="fr-FR"/>
        </w:rPr>
        <w:t>’</w:t>
      </w:r>
      <w:r w:rsidRPr="00235D4C">
        <w:rPr>
          <w:lang w:val="fr-FR"/>
        </w:rPr>
        <w:t>un procès équitable et de transparence en ce qui concerne les condamnations à mort, les exécutions et les conditions de détention des condamnés à mort reste un phénomène systémique.</w:t>
      </w:r>
    </w:p>
    <w:p w14:paraId="4C66C5B3" w14:textId="77777777" w:rsidR="0093603C" w:rsidRPr="00235D4C" w:rsidRDefault="0093603C" w:rsidP="0093603C">
      <w:pPr>
        <w:pStyle w:val="SingleTxtG"/>
        <w:rPr>
          <w:lang w:val="fr-FR"/>
        </w:rPr>
      </w:pPr>
      <w:r>
        <w:rPr>
          <w:lang w:val="fr-FR"/>
        </w:rPr>
        <w:tab/>
      </w:r>
      <w:r w:rsidRPr="00235D4C">
        <w:rPr>
          <w:lang w:val="fr-FR"/>
        </w:rPr>
        <w:t>d)</w:t>
      </w:r>
      <w:r w:rsidRPr="00235D4C">
        <w:rPr>
          <w:lang w:val="fr-FR"/>
        </w:rPr>
        <w:tab/>
        <w:t>Aucun renseignement n</w:t>
      </w:r>
      <w:r>
        <w:rPr>
          <w:lang w:val="fr-FR"/>
        </w:rPr>
        <w:t>’</w:t>
      </w:r>
      <w:r w:rsidRPr="00235D4C">
        <w:rPr>
          <w:lang w:val="fr-FR"/>
        </w:rPr>
        <w:t xml:space="preserve">est fourni. </w:t>
      </w:r>
    </w:p>
    <w:p w14:paraId="1DBB31CE" w14:textId="77777777" w:rsidR="0093603C" w:rsidRPr="00235D4C" w:rsidRDefault="0093603C" w:rsidP="0093603C">
      <w:pPr>
        <w:pStyle w:val="SingleTxtG"/>
        <w:rPr>
          <w:lang w:val="fr-FR"/>
        </w:rPr>
      </w:pPr>
      <w:r>
        <w:rPr>
          <w:lang w:val="fr-FR"/>
        </w:rPr>
        <w:tab/>
      </w:r>
      <w:r w:rsidRPr="00235D4C">
        <w:rPr>
          <w:lang w:val="fr-FR"/>
        </w:rPr>
        <w:t>e)</w:t>
      </w:r>
      <w:r w:rsidRPr="00235D4C">
        <w:rPr>
          <w:lang w:val="fr-FR"/>
        </w:rPr>
        <w:tab/>
        <w:t>Les informations sur les condamnations à mort et les exécutions continuent de relever du secret d</w:t>
      </w:r>
      <w:r>
        <w:rPr>
          <w:lang w:val="fr-FR"/>
        </w:rPr>
        <w:t>’</w:t>
      </w:r>
      <w:r w:rsidRPr="00235D4C">
        <w:rPr>
          <w:lang w:val="fr-FR"/>
        </w:rPr>
        <w:t>État, conformément à la loi de 2018 sur les secrets d</w:t>
      </w:r>
      <w:r>
        <w:rPr>
          <w:lang w:val="fr-FR"/>
        </w:rPr>
        <w:t>’</w:t>
      </w:r>
      <w:r w:rsidRPr="00235D4C">
        <w:rPr>
          <w:lang w:val="fr-FR"/>
        </w:rPr>
        <w:t>État.</w:t>
      </w:r>
    </w:p>
    <w:p w14:paraId="31727425" w14:textId="77777777" w:rsidR="0093603C" w:rsidRPr="00235D4C" w:rsidRDefault="0093603C" w:rsidP="0093603C">
      <w:pPr>
        <w:pStyle w:val="H23G"/>
        <w:rPr>
          <w:rFonts w:eastAsiaTheme="minorEastAsia"/>
          <w:lang w:val="fr-FR"/>
        </w:rPr>
      </w:pPr>
      <w:r w:rsidRPr="00235D4C">
        <w:rPr>
          <w:lang w:val="fr-FR"/>
        </w:rPr>
        <w:tab/>
      </w:r>
      <w:r w:rsidRPr="00235D4C">
        <w:rPr>
          <w:lang w:val="fr-FR"/>
        </w:rPr>
        <w:tab/>
        <w:t>Évaluation du Comité</w:t>
      </w:r>
    </w:p>
    <w:p w14:paraId="0EDE6DC9" w14:textId="28A41284" w:rsidR="0093603C" w:rsidRPr="00235D4C" w:rsidRDefault="0093603C" w:rsidP="0093603C">
      <w:pPr>
        <w:pStyle w:val="SingleTxtG"/>
        <w:rPr>
          <w:lang w:val="fr-FR"/>
        </w:rPr>
      </w:pPr>
      <w:r w:rsidRPr="00235D4C">
        <w:rPr>
          <w:lang w:val="fr-FR"/>
        </w:rPr>
        <w:t>[C]</w:t>
      </w:r>
      <w:r w:rsidR="00374461">
        <w:rPr>
          <w:lang w:val="fr-FR"/>
        </w:rPr>
        <w:t> </w:t>
      </w:r>
      <w:r w:rsidRPr="00235D4C">
        <w:rPr>
          <w:lang w:val="fr-FR"/>
        </w:rPr>
        <w:t>: a) et b)</w:t>
      </w:r>
    </w:p>
    <w:p w14:paraId="0626704B" w14:textId="1571750E" w:rsidR="0093603C" w:rsidRPr="00235D4C" w:rsidRDefault="00703E8E" w:rsidP="0093603C">
      <w:pPr>
        <w:pStyle w:val="SingleTxtG"/>
        <w:rPr>
          <w:lang w:val="fr-FR"/>
        </w:rPr>
      </w:pPr>
      <w:r>
        <w:rPr>
          <w:lang w:val="fr-FR"/>
        </w:rPr>
        <w:tab/>
      </w:r>
      <w:r w:rsidR="0093603C" w:rsidRPr="00235D4C">
        <w:rPr>
          <w:lang w:val="fr-FR"/>
        </w:rPr>
        <w:t>Le Comité prend note des études menées sur le maintien et l</w:t>
      </w:r>
      <w:r w:rsidR="0093603C">
        <w:rPr>
          <w:lang w:val="fr-FR"/>
        </w:rPr>
        <w:t>’</w:t>
      </w:r>
      <w:r w:rsidR="0093603C" w:rsidRPr="00235D4C">
        <w:rPr>
          <w:lang w:val="fr-FR"/>
        </w:rPr>
        <w:t xml:space="preserve">abolition de la peine de mort et sur la ratification éventuelle du deuxième Protocole facultatif se rapportant au Pacte, visant </w:t>
      </w:r>
      <w:r w:rsidR="0093603C" w:rsidRPr="00235D4C">
        <w:rPr>
          <w:lang w:val="fr-FR"/>
        </w:rPr>
        <w:lastRenderedPageBreak/>
        <w:t xml:space="preserve">à abolir la peine de mort, mais reste préoccupé par les informations selon lesquelles le nombre de condamnations à mort et de condamnés à mort a augmenté ces dernières années. Il renouvelle sa recommandation. </w:t>
      </w:r>
    </w:p>
    <w:p w14:paraId="0BAEB089" w14:textId="3CA469A9" w:rsidR="0093603C" w:rsidRPr="00235D4C" w:rsidDel="004129DA" w:rsidRDefault="00703E8E" w:rsidP="0093603C">
      <w:pPr>
        <w:pStyle w:val="SingleTxtG"/>
        <w:rPr>
          <w:lang w:val="fr-FR"/>
        </w:rPr>
      </w:pPr>
      <w:r>
        <w:rPr>
          <w:lang w:val="fr-FR"/>
        </w:rPr>
        <w:tab/>
      </w:r>
      <w:r w:rsidR="0093603C" w:rsidRPr="00235D4C">
        <w:rPr>
          <w:lang w:val="fr-FR"/>
        </w:rPr>
        <w:t>Il prend également note de la politique de l</w:t>
      </w:r>
      <w:r w:rsidR="0093603C">
        <w:rPr>
          <w:lang w:val="fr-FR"/>
        </w:rPr>
        <w:t>’</w:t>
      </w:r>
      <w:r w:rsidR="0093603C" w:rsidRPr="00235D4C">
        <w:rPr>
          <w:lang w:val="fr-FR"/>
        </w:rPr>
        <w:t>État partie consistant à réduire le nombre d</w:t>
      </w:r>
      <w:r w:rsidR="0093603C">
        <w:rPr>
          <w:lang w:val="fr-FR"/>
        </w:rPr>
        <w:t>’</w:t>
      </w:r>
      <w:r w:rsidR="0093603C" w:rsidRPr="00235D4C">
        <w:rPr>
          <w:lang w:val="fr-FR"/>
        </w:rPr>
        <w:t>infractions passibles de la peine de mort, ainsi que de l</w:t>
      </w:r>
      <w:r w:rsidR="0093603C">
        <w:rPr>
          <w:lang w:val="fr-FR"/>
        </w:rPr>
        <w:t>’</w:t>
      </w:r>
      <w:r w:rsidR="0093603C" w:rsidRPr="00235D4C">
        <w:rPr>
          <w:lang w:val="fr-FR"/>
        </w:rPr>
        <w:t>étude menée à cet égard, mais regrette l</w:t>
      </w:r>
      <w:r w:rsidR="0093603C">
        <w:rPr>
          <w:lang w:val="fr-FR"/>
        </w:rPr>
        <w:t>’</w:t>
      </w:r>
      <w:r w:rsidR="0093603C" w:rsidRPr="00235D4C">
        <w:rPr>
          <w:lang w:val="fr-FR"/>
        </w:rPr>
        <w:t>absence d</w:t>
      </w:r>
      <w:r w:rsidR="0093603C">
        <w:rPr>
          <w:lang w:val="fr-FR"/>
        </w:rPr>
        <w:t>’</w:t>
      </w:r>
      <w:r w:rsidR="0093603C" w:rsidRPr="00235D4C">
        <w:rPr>
          <w:lang w:val="fr-FR"/>
        </w:rPr>
        <w:t xml:space="preserve">informations sur la réduction du nombre </w:t>
      </w:r>
      <w:r w:rsidR="0093603C">
        <w:rPr>
          <w:lang w:val="fr-FR"/>
        </w:rPr>
        <w:t xml:space="preserve">de </w:t>
      </w:r>
      <w:r w:rsidR="0093603C" w:rsidRPr="00235D4C">
        <w:rPr>
          <w:lang w:val="fr-FR"/>
        </w:rPr>
        <w:t>ces infractions et sur toute mesure prise pour que la peine de mort ne soit appliquée que pour les crimes d</w:t>
      </w:r>
      <w:r w:rsidR="0093603C">
        <w:rPr>
          <w:lang w:val="fr-FR"/>
        </w:rPr>
        <w:t>’</w:t>
      </w:r>
      <w:r w:rsidR="0093603C" w:rsidRPr="00235D4C">
        <w:rPr>
          <w:lang w:val="fr-FR"/>
        </w:rPr>
        <w:t xml:space="preserve">une extrême gravité </w:t>
      </w:r>
      <w:r w:rsidR="0093603C">
        <w:rPr>
          <w:lang w:val="fr-FR"/>
        </w:rPr>
        <w:t>comprenant la commission d’</w:t>
      </w:r>
      <w:r w:rsidR="0093603C" w:rsidRPr="00235D4C">
        <w:rPr>
          <w:lang w:val="fr-FR"/>
        </w:rPr>
        <w:t>un homicide volontaire.</w:t>
      </w:r>
    </w:p>
    <w:p w14:paraId="47B72F97" w14:textId="1909D861" w:rsidR="0093603C" w:rsidRPr="00235D4C" w:rsidRDefault="0093603C" w:rsidP="0093603C">
      <w:pPr>
        <w:pStyle w:val="SingleTxtG"/>
        <w:rPr>
          <w:lang w:val="fr-FR"/>
        </w:rPr>
      </w:pPr>
      <w:r w:rsidRPr="00235D4C">
        <w:rPr>
          <w:lang w:val="fr-FR"/>
        </w:rPr>
        <w:t>[E]</w:t>
      </w:r>
      <w:r w:rsidR="00374461">
        <w:rPr>
          <w:lang w:val="fr-FR"/>
        </w:rPr>
        <w:t> </w:t>
      </w:r>
      <w:r w:rsidRPr="00235D4C">
        <w:rPr>
          <w:lang w:val="fr-FR"/>
        </w:rPr>
        <w:t>: c), d) et e)</w:t>
      </w:r>
    </w:p>
    <w:p w14:paraId="59A99A0E" w14:textId="0A764E7E" w:rsidR="0093603C" w:rsidRPr="00235D4C" w:rsidRDefault="00703E8E" w:rsidP="0093603C">
      <w:pPr>
        <w:pStyle w:val="SingleTxtG"/>
        <w:rPr>
          <w:lang w:val="fr-FR"/>
        </w:rPr>
      </w:pPr>
      <w:r>
        <w:rPr>
          <w:lang w:val="fr-FR"/>
        </w:rPr>
        <w:tab/>
      </w:r>
      <w:r w:rsidR="0093603C" w:rsidRPr="00235D4C">
        <w:rPr>
          <w:lang w:val="fr-FR"/>
        </w:rPr>
        <w:t>Le Comité note que la peine de mort n</w:t>
      </w:r>
      <w:r w:rsidR="0093603C">
        <w:rPr>
          <w:lang w:val="fr-FR"/>
        </w:rPr>
        <w:t>’</w:t>
      </w:r>
      <w:r w:rsidR="0093603C" w:rsidRPr="00235D4C">
        <w:rPr>
          <w:lang w:val="fr-FR"/>
        </w:rPr>
        <w:t>est obligatoire pour aucun crime, mais reste préoccupé par les informations selon lesquelles le manquement à l</w:t>
      </w:r>
      <w:r w:rsidR="0093603C">
        <w:rPr>
          <w:lang w:val="fr-FR"/>
        </w:rPr>
        <w:t>’</w:t>
      </w:r>
      <w:r w:rsidR="0093603C" w:rsidRPr="00235D4C">
        <w:rPr>
          <w:lang w:val="fr-FR"/>
        </w:rPr>
        <w:t>obligation de respecter les garanties d</w:t>
      </w:r>
      <w:r w:rsidR="0093603C">
        <w:rPr>
          <w:lang w:val="fr-FR"/>
        </w:rPr>
        <w:t>’</w:t>
      </w:r>
      <w:r w:rsidR="0093603C" w:rsidRPr="00235D4C">
        <w:rPr>
          <w:lang w:val="fr-FR"/>
        </w:rPr>
        <w:t>un procès équitable serait un phénomène systémique dans les affaires susceptibles d</w:t>
      </w:r>
      <w:r w:rsidR="0093603C">
        <w:rPr>
          <w:lang w:val="fr-FR"/>
        </w:rPr>
        <w:t>’</w:t>
      </w:r>
      <w:r w:rsidR="0093603C" w:rsidRPr="00235D4C">
        <w:rPr>
          <w:lang w:val="fr-FR"/>
        </w:rPr>
        <w:t>aboutir à une condamnation à mort. Il renouvelle sa recommandation et souhaite obtenir des renseignements complémentaires sur le projet de l</w:t>
      </w:r>
      <w:r w:rsidR="0093603C">
        <w:rPr>
          <w:lang w:val="fr-FR"/>
        </w:rPr>
        <w:t>’</w:t>
      </w:r>
      <w:r w:rsidR="0093603C" w:rsidRPr="00235D4C">
        <w:rPr>
          <w:lang w:val="fr-FR"/>
        </w:rPr>
        <w:t>État partie d</w:t>
      </w:r>
      <w:r w:rsidR="0093603C">
        <w:rPr>
          <w:lang w:val="fr-FR"/>
        </w:rPr>
        <w:t>’</w:t>
      </w:r>
      <w:r w:rsidR="0093603C" w:rsidRPr="00235D4C">
        <w:rPr>
          <w:lang w:val="fr-FR"/>
        </w:rPr>
        <w:t>envisager d</w:t>
      </w:r>
      <w:r w:rsidR="0093603C">
        <w:rPr>
          <w:lang w:val="fr-FR"/>
        </w:rPr>
        <w:t>’</w:t>
      </w:r>
      <w:r w:rsidR="0093603C" w:rsidRPr="00235D4C">
        <w:rPr>
          <w:lang w:val="fr-FR"/>
        </w:rPr>
        <w:t>informer à l</w:t>
      </w:r>
      <w:r w:rsidR="0093603C">
        <w:rPr>
          <w:lang w:val="fr-FR"/>
        </w:rPr>
        <w:t>’</w:t>
      </w:r>
      <w:r w:rsidR="0093603C" w:rsidRPr="00235D4C">
        <w:rPr>
          <w:lang w:val="fr-FR"/>
        </w:rPr>
        <w:t>avance les condamnés de l</w:t>
      </w:r>
      <w:r w:rsidR="0093603C">
        <w:rPr>
          <w:lang w:val="fr-FR"/>
        </w:rPr>
        <w:t>’</w:t>
      </w:r>
      <w:r w:rsidR="0093603C" w:rsidRPr="00235D4C">
        <w:rPr>
          <w:lang w:val="fr-FR"/>
        </w:rPr>
        <w:t xml:space="preserve">exécution et de modifier la législation en ce sens. </w:t>
      </w:r>
    </w:p>
    <w:p w14:paraId="5A8801FF" w14:textId="77ADDFEF" w:rsidR="0093603C" w:rsidRPr="00235D4C" w:rsidRDefault="00703E8E" w:rsidP="0093603C">
      <w:pPr>
        <w:pStyle w:val="SingleTxtG"/>
        <w:rPr>
          <w:lang w:val="fr-FR"/>
        </w:rPr>
      </w:pPr>
      <w:r>
        <w:rPr>
          <w:lang w:val="fr-FR"/>
        </w:rPr>
        <w:tab/>
      </w:r>
      <w:r w:rsidR="0093603C" w:rsidRPr="00235D4C">
        <w:rPr>
          <w:lang w:val="fr-FR"/>
        </w:rPr>
        <w:t>Le Comité regrette également l</w:t>
      </w:r>
      <w:r w:rsidR="0093603C">
        <w:rPr>
          <w:lang w:val="fr-FR"/>
        </w:rPr>
        <w:t>’</w:t>
      </w:r>
      <w:r w:rsidR="0093603C" w:rsidRPr="00235D4C">
        <w:rPr>
          <w:lang w:val="fr-FR"/>
        </w:rPr>
        <w:t xml:space="preserve">absence de renseignements précis sur les mesures prises pour que la commutation puisse dans tous les cas être effectivement accordée, eu égard en particulier au nombre de condamnations à mort et de condamnés à mort, qui serait en augmentation. Il renouvelle sa recommandation et souhaite obtenir des renseignements sur le nombre de peines commuées pendant la période considérée. </w:t>
      </w:r>
    </w:p>
    <w:p w14:paraId="2EC17798" w14:textId="6474BB73" w:rsidR="0093603C" w:rsidRPr="00235D4C" w:rsidRDefault="00703E8E" w:rsidP="0093603C">
      <w:pPr>
        <w:pStyle w:val="SingleTxtG"/>
        <w:rPr>
          <w:lang w:val="fr-FR"/>
        </w:rPr>
      </w:pPr>
      <w:r>
        <w:rPr>
          <w:lang w:val="fr-FR"/>
        </w:rPr>
        <w:tab/>
      </w:r>
      <w:r w:rsidR="0093603C" w:rsidRPr="00235D4C">
        <w:rPr>
          <w:lang w:val="fr-FR"/>
        </w:rPr>
        <w:t>Le Comité prend note de la déclaration de l</w:t>
      </w:r>
      <w:r w:rsidR="0093603C">
        <w:rPr>
          <w:lang w:val="fr-FR"/>
        </w:rPr>
        <w:t>’</w:t>
      </w:r>
      <w:r w:rsidR="0093603C" w:rsidRPr="00235D4C">
        <w:rPr>
          <w:lang w:val="fr-FR"/>
        </w:rPr>
        <w:t>État partie, mais a reçu des informations selon lesquelles les données officielles sur les condamnations à mort ne sont toujours pas rendues publiques. Il renouvelle donc sa recommandation.</w:t>
      </w:r>
    </w:p>
    <w:p w14:paraId="4F15C188" w14:textId="252EED89" w:rsidR="0093603C" w:rsidRPr="00235D4C" w:rsidRDefault="0093603C" w:rsidP="0093603C">
      <w:pPr>
        <w:pStyle w:val="H1G"/>
        <w:rPr>
          <w:lang w:val="fr-FR"/>
        </w:rPr>
      </w:pPr>
      <w:r w:rsidRPr="00235D4C">
        <w:rPr>
          <w:lang w:val="fr-FR"/>
        </w:rPr>
        <w:tab/>
      </w:r>
      <w:r w:rsidRPr="00235D4C">
        <w:rPr>
          <w:lang w:val="fr-FR"/>
        </w:rPr>
        <w:tab/>
        <w:t>Paragraphe 46</w:t>
      </w:r>
      <w:r w:rsidR="00374461">
        <w:rPr>
          <w:lang w:val="fr-FR"/>
        </w:rPr>
        <w:t> </w:t>
      </w:r>
      <w:r w:rsidRPr="00235D4C">
        <w:rPr>
          <w:lang w:val="fr-FR"/>
        </w:rPr>
        <w:t>: Liberté d</w:t>
      </w:r>
      <w:r>
        <w:rPr>
          <w:lang w:val="fr-FR"/>
        </w:rPr>
        <w:t>’</w:t>
      </w:r>
      <w:r w:rsidRPr="00235D4C">
        <w:rPr>
          <w:lang w:val="fr-FR"/>
        </w:rPr>
        <w:t>expression</w:t>
      </w:r>
    </w:p>
    <w:p w14:paraId="10AE6AE8" w14:textId="2D2363B6" w:rsidR="0093603C" w:rsidRPr="00EB0160" w:rsidRDefault="00703E8E" w:rsidP="0093603C">
      <w:pPr>
        <w:pStyle w:val="SingleTxtG"/>
        <w:rPr>
          <w:b/>
          <w:bCs/>
          <w:lang w:val="fr-FR"/>
        </w:rPr>
      </w:pPr>
      <w:r>
        <w:rPr>
          <w:b/>
          <w:bCs/>
          <w:lang w:val="fr-FR"/>
        </w:rPr>
        <w:tab/>
      </w:r>
      <w:r w:rsidR="0093603C" w:rsidRPr="00EB0160">
        <w:rPr>
          <w:b/>
          <w:bCs/>
          <w:lang w:val="fr-FR"/>
        </w:rPr>
        <w:t>L’État partie devrait prendre d’urgence toutes les mesures nécessaires, y</w:t>
      </w:r>
      <w:r>
        <w:rPr>
          <w:b/>
          <w:bCs/>
          <w:lang w:val="fr-FR"/>
        </w:rPr>
        <w:t> </w:t>
      </w:r>
      <w:r w:rsidR="0093603C" w:rsidRPr="00EB0160">
        <w:rPr>
          <w:b/>
          <w:bCs/>
          <w:lang w:val="fr-FR"/>
        </w:rPr>
        <w:t>compris revoir sa législation, pour mettre un terme aux violations du droit à la liberté d’expression en ligne et hors ligne, et veiller à ce que les restrictions n’aillent pas au</w:t>
      </w:r>
      <w:r>
        <w:rPr>
          <w:b/>
          <w:bCs/>
          <w:lang w:val="fr-FR"/>
        </w:rPr>
        <w:noBreakHyphen/>
      </w:r>
      <w:r w:rsidR="0093603C" w:rsidRPr="00EB0160">
        <w:rPr>
          <w:b/>
          <w:bCs/>
          <w:lang w:val="fr-FR"/>
        </w:rPr>
        <w:t>delà des limites strictement définies à l’article 19 du Pacte, compte tenu de l’observation générale n</w:t>
      </w:r>
      <w:r w:rsidR="0093603C" w:rsidRPr="00EB0160">
        <w:rPr>
          <w:b/>
          <w:bCs/>
          <w:vertAlign w:val="superscript"/>
          <w:lang w:val="fr-FR"/>
        </w:rPr>
        <w:t>o</w:t>
      </w:r>
      <w:r w:rsidR="0093603C" w:rsidRPr="00EB0160">
        <w:rPr>
          <w:b/>
          <w:bCs/>
          <w:lang w:val="fr-FR"/>
        </w:rPr>
        <w:t xml:space="preserve"> 34 (2011) du Comité sur la liberté d’opinion et la liberté d’expression. Il devrait aussi promouvoir des médias pluralistes qui puissent mener leur activité à l’abri de toute ingérence injustifiée de l’État.</w:t>
      </w:r>
    </w:p>
    <w:p w14:paraId="0E47FA5C" w14:textId="77777777" w:rsidR="0093603C" w:rsidRPr="00235D4C" w:rsidRDefault="0093603C" w:rsidP="0093603C">
      <w:pPr>
        <w:pStyle w:val="H23G"/>
        <w:rPr>
          <w:rFonts w:eastAsiaTheme="minorEastAsia"/>
          <w:lang w:val="fr-FR"/>
        </w:rPr>
      </w:pPr>
      <w:r w:rsidRPr="00235D4C">
        <w:rPr>
          <w:lang w:val="fr-FR"/>
        </w:rPr>
        <w:tab/>
      </w:r>
      <w:r w:rsidRPr="00235D4C">
        <w:rPr>
          <w:lang w:val="fr-FR"/>
        </w:rPr>
        <w:tab/>
        <w:t>Résumé des renseignements reçus de l</w:t>
      </w:r>
      <w:r>
        <w:rPr>
          <w:lang w:val="fr-FR"/>
        </w:rPr>
        <w:t>’</w:t>
      </w:r>
      <w:r w:rsidRPr="00235D4C">
        <w:rPr>
          <w:lang w:val="fr-FR"/>
        </w:rPr>
        <w:t>État partie</w:t>
      </w:r>
    </w:p>
    <w:p w14:paraId="7A5C581C" w14:textId="5BEAF0CE" w:rsidR="0093603C" w:rsidRPr="00235D4C" w:rsidRDefault="00703E8E" w:rsidP="0093603C">
      <w:pPr>
        <w:pStyle w:val="SingleTxtG"/>
        <w:rPr>
          <w:lang w:val="fr-FR"/>
        </w:rPr>
      </w:pPr>
      <w:r>
        <w:rPr>
          <w:lang w:val="fr-FR"/>
        </w:rPr>
        <w:tab/>
      </w:r>
      <w:r w:rsidR="0093603C" w:rsidRPr="00235D4C">
        <w:rPr>
          <w:lang w:val="fr-FR"/>
        </w:rPr>
        <w:t>Le Gouvernement a pris le décret n</w:t>
      </w:r>
      <w:r w:rsidR="0093603C" w:rsidRPr="001D670D">
        <w:rPr>
          <w:vertAlign w:val="superscript"/>
          <w:lang w:val="fr-FR"/>
        </w:rPr>
        <w:t>o</w:t>
      </w:r>
      <w:r w:rsidR="0093603C" w:rsidRPr="00235D4C">
        <w:rPr>
          <w:lang w:val="fr-FR"/>
        </w:rPr>
        <w:t xml:space="preserve"> 119/2020/ND-CP, en vertu duquel quiconque entrave illégalement les activités de la presse est passible d</w:t>
      </w:r>
      <w:r w:rsidR="0093603C">
        <w:rPr>
          <w:lang w:val="fr-FR"/>
        </w:rPr>
        <w:t>’</w:t>
      </w:r>
      <w:r w:rsidR="0093603C" w:rsidRPr="00235D4C">
        <w:rPr>
          <w:lang w:val="fr-FR"/>
        </w:rPr>
        <w:t>une amende ou de poursuites pénales. Il a renforcé ses lois et règlements relatifs à la cybersécurité et a pris le décret n</w:t>
      </w:r>
      <w:r w:rsidR="0093603C" w:rsidRPr="001D670D">
        <w:rPr>
          <w:vertAlign w:val="superscript"/>
          <w:lang w:val="fr-FR"/>
        </w:rPr>
        <w:t>o</w:t>
      </w:r>
      <w:r>
        <w:rPr>
          <w:lang w:val="fr-FR"/>
        </w:rPr>
        <w:t> </w:t>
      </w:r>
      <w:r w:rsidR="0093603C" w:rsidRPr="00235D4C">
        <w:rPr>
          <w:lang w:val="fr-FR"/>
        </w:rPr>
        <w:t>15/2020/ND-CP, qui régit l</w:t>
      </w:r>
      <w:r w:rsidR="0093603C">
        <w:rPr>
          <w:lang w:val="fr-FR"/>
        </w:rPr>
        <w:t>’</w:t>
      </w:r>
      <w:r w:rsidR="0093603C" w:rsidRPr="00235D4C">
        <w:rPr>
          <w:lang w:val="fr-FR"/>
        </w:rPr>
        <w:t>utilisation des services de réseaux sociaux et la sécurité des informations en ligne. Il envisage de modifier le décret n</w:t>
      </w:r>
      <w:r w:rsidR="0093603C" w:rsidRPr="001D670D">
        <w:rPr>
          <w:vertAlign w:val="superscript"/>
          <w:lang w:val="fr-FR"/>
        </w:rPr>
        <w:t>o</w:t>
      </w:r>
      <w:r w:rsidR="0093603C" w:rsidRPr="00235D4C">
        <w:rPr>
          <w:lang w:val="fr-FR"/>
        </w:rPr>
        <w:t xml:space="preserve"> 72/2013/ND-CP relatif à la gestion efficace de l</w:t>
      </w:r>
      <w:r w:rsidR="0093603C">
        <w:rPr>
          <w:lang w:val="fr-FR"/>
        </w:rPr>
        <w:t>’</w:t>
      </w:r>
      <w:r w:rsidR="0093603C" w:rsidRPr="00235D4C">
        <w:rPr>
          <w:lang w:val="fr-FR"/>
        </w:rPr>
        <w:t>Internet et des informations en ligne.</w:t>
      </w:r>
    </w:p>
    <w:p w14:paraId="43AD2F52" w14:textId="5F24F51D" w:rsidR="0093603C" w:rsidRPr="00235D4C" w:rsidRDefault="00703E8E" w:rsidP="0093603C">
      <w:pPr>
        <w:pStyle w:val="SingleTxtG"/>
        <w:rPr>
          <w:lang w:val="fr-FR"/>
        </w:rPr>
      </w:pPr>
      <w:r>
        <w:rPr>
          <w:lang w:val="fr-FR"/>
        </w:rPr>
        <w:tab/>
      </w:r>
      <w:r w:rsidR="0093603C" w:rsidRPr="00235D4C">
        <w:rPr>
          <w:lang w:val="fr-FR"/>
        </w:rPr>
        <w:t>En 2020, on comptait 87 chaînes de radio et 196 chaînes de télévision, et 68 millions d</w:t>
      </w:r>
      <w:r w:rsidR="0093603C">
        <w:rPr>
          <w:lang w:val="fr-FR"/>
        </w:rPr>
        <w:t>’</w:t>
      </w:r>
      <w:r w:rsidR="0093603C" w:rsidRPr="00235D4C">
        <w:rPr>
          <w:lang w:val="fr-FR"/>
        </w:rPr>
        <w:t>internautes. Les chaînes de radio et de télévision ont diffusé en direct les séances de l</w:t>
      </w:r>
      <w:r w:rsidR="0093603C">
        <w:rPr>
          <w:lang w:val="fr-FR"/>
        </w:rPr>
        <w:t>’</w:t>
      </w:r>
      <w:r w:rsidR="0093603C" w:rsidRPr="00235D4C">
        <w:rPr>
          <w:lang w:val="fr-FR"/>
        </w:rPr>
        <w:t xml:space="preserve">Assemblée nationale. </w:t>
      </w:r>
    </w:p>
    <w:p w14:paraId="65FD2E16" w14:textId="27DC310E" w:rsidR="0093603C" w:rsidRPr="00235D4C" w:rsidRDefault="00703E8E" w:rsidP="0093603C">
      <w:pPr>
        <w:pStyle w:val="SingleTxtG"/>
        <w:rPr>
          <w:lang w:val="fr-FR"/>
        </w:rPr>
      </w:pPr>
      <w:r>
        <w:rPr>
          <w:lang w:val="fr-FR"/>
        </w:rPr>
        <w:tab/>
      </w:r>
      <w:r w:rsidR="0093603C" w:rsidRPr="00235D4C">
        <w:rPr>
          <w:lang w:val="fr-FR"/>
        </w:rPr>
        <w:t>Pendant la pandémie de maladie à coronavirus (COVID-19), le public a été informé des mesures de quarantaine, des modes de transmission et des traitements disponibles, et a pu accéder gratuitement à l</w:t>
      </w:r>
      <w:r w:rsidR="0093603C">
        <w:rPr>
          <w:lang w:val="fr-FR"/>
        </w:rPr>
        <w:t>’</w:t>
      </w:r>
      <w:r w:rsidR="0093603C" w:rsidRPr="00235D4C">
        <w:rPr>
          <w:lang w:val="fr-FR"/>
        </w:rPr>
        <w:t>Internet à partir des lieux de quarantaine. Tout abus du droit à la liberté d</w:t>
      </w:r>
      <w:r w:rsidR="0093603C">
        <w:rPr>
          <w:lang w:val="fr-FR"/>
        </w:rPr>
        <w:t>’</w:t>
      </w:r>
      <w:r w:rsidR="0093603C" w:rsidRPr="00235D4C">
        <w:rPr>
          <w:lang w:val="fr-FR"/>
        </w:rPr>
        <w:t>expression est puni conformément à la loi. Certaines organisations et certaines personnes ont abusé de ce droit pour encourager le déclenchement d</w:t>
      </w:r>
      <w:r w:rsidR="0093603C">
        <w:rPr>
          <w:lang w:val="fr-FR"/>
        </w:rPr>
        <w:t>’</w:t>
      </w:r>
      <w:r w:rsidR="0093603C" w:rsidRPr="00235D4C">
        <w:rPr>
          <w:lang w:val="fr-FR"/>
        </w:rPr>
        <w:t>émeutes ou la commission d</w:t>
      </w:r>
      <w:r w:rsidR="0093603C">
        <w:rPr>
          <w:lang w:val="fr-FR"/>
        </w:rPr>
        <w:t>’</w:t>
      </w:r>
      <w:r w:rsidR="0093603C" w:rsidRPr="00235D4C">
        <w:rPr>
          <w:lang w:val="fr-FR"/>
        </w:rPr>
        <w:t xml:space="preserve">actes de violence terroriste. Le Code pénal prévoit un mécanisme qui </w:t>
      </w:r>
      <w:r w:rsidR="0093603C">
        <w:rPr>
          <w:lang w:val="fr-FR"/>
        </w:rPr>
        <w:t>permet de lutter contre</w:t>
      </w:r>
      <w:r w:rsidR="0093603C" w:rsidRPr="00235D4C">
        <w:rPr>
          <w:lang w:val="fr-FR"/>
        </w:rPr>
        <w:t xml:space="preserve"> </w:t>
      </w:r>
      <w:r w:rsidR="0093603C">
        <w:rPr>
          <w:lang w:val="fr-FR"/>
        </w:rPr>
        <w:t xml:space="preserve">ces </w:t>
      </w:r>
      <w:r w:rsidR="0093603C" w:rsidRPr="00235D4C">
        <w:rPr>
          <w:lang w:val="fr-FR"/>
        </w:rPr>
        <w:t>abus.</w:t>
      </w:r>
    </w:p>
    <w:p w14:paraId="3CDDDEE7" w14:textId="45529F8E" w:rsidR="0093603C" w:rsidRPr="00235D4C" w:rsidRDefault="00703E8E" w:rsidP="0093603C">
      <w:pPr>
        <w:pStyle w:val="SingleTxtG"/>
        <w:rPr>
          <w:lang w:val="fr-FR"/>
        </w:rPr>
      </w:pPr>
      <w:r>
        <w:rPr>
          <w:lang w:val="fr-FR"/>
        </w:rPr>
        <w:tab/>
      </w:r>
      <w:r w:rsidR="0093603C" w:rsidRPr="00235D4C">
        <w:rPr>
          <w:lang w:val="fr-FR"/>
        </w:rPr>
        <w:t xml:space="preserve">En ce qui concerne le cas de </w:t>
      </w:r>
      <w:proofErr w:type="spellStart"/>
      <w:r w:rsidR="0093603C" w:rsidRPr="00235D4C">
        <w:rPr>
          <w:lang w:val="fr-FR"/>
        </w:rPr>
        <w:t>Nguyễn</w:t>
      </w:r>
      <w:proofErr w:type="spellEnd"/>
      <w:r w:rsidR="0093603C" w:rsidRPr="00235D4C">
        <w:rPr>
          <w:lang w:val="fr-FR"/>
        </w:rPr>
        <w:t xml:space="preserve"> </w:t>
      </w:r>
      <w:proofErr w:type="spellStart"/>
      <w:r w:rsidR="0093603C" w:rsidRPr="00235D4C">
        <w:rPr>
          <w:lang w:val="fr-FR"/>
        </w:rPr>
        <w:t>Ngọc</w:t>
      </w:r>
      <w:proofErr w:type="spellEnd"/>
      <w:r w:rsidR="0093603C" w:rsidRPr="00235D4C">
        <w:rPr>
          <w:lang w:val="fr-FR"/>
        </w:rPr>
        <w:t xml:space="preserve"> </w:t>
      </w:r>
      <w:proofErr w:type="spellStart"/>
      <w:r w:rsidR="0093603C" w:rsidRPr="00235D4C">
        <w:rPr>
          <w:lang w:val="fr-FR"/>
        </w:rPr>
        <w:t>Như</w:t>
      </w:r>
      <w:proofErr w:type="spellEnd"/>
      <w:r w:rsidR="0093603C" w:rsidRPr="00235D4C">
        <w:rPr>
          <w:lang w:val="fr-FR"/>
        </w:rPr>
        <w:t xml:space="preserve"> </w:t>
      </w:r>
      <w:proofErr w:type="spellStart"/>
      <w:r w:rsidR="0093603C" w:rsidRPr="00235D4C">
        <w:rPr>
          <w:lang w:val="fr-FR"/>
        </w:rPr>
        <w:t>Quỳnh</w:t>
      </w:r>
      <w:proofErr w:type="spellEnd"/>
      <w:r w:rsidR="0093603C" w:rsidRPr="00235D4C">
        <w:rPr>
          <w:lang w:val="fr-FR"/>
        </w:rPr>
        <w:t xml:space="preserve">, le Viet Nam a fourni des informations suffisantes au Groupe de travail sur la détention arbitraire. </w:t>
      </w:r>
    </w:p>
    <w:p w14:paraId="26BD26C0" w14:textId="77777777" w:rsidR="0093603C" w:rsidRPr="00235D4C" w:rsidRDefault="0093603C" w:rsidP="0093603C">
      <w:pPr>
        <w:pStyle w:val="H23G"/>
        <w:rPr>
          <w:rFonts w:eastAsiaTheme="minorEastAsia"/>
          <w:lang w:val="fr-FR"/>
        </w:rPr>
      </w:pPr>
      <w:r w:rsidRPr="00235D4C">
        <w:rPr>
          <w:lang w:val="fr-FR"/>
        </w:rPr>
        <w:lastRenderedPageBreak/>
        <w:tab/>
      </w:r>
      <w:r w:rsidRPr="00235D4C">
        <w:rPr>
          <w:lang w:val="fr-FR"/>
        </w:rPr>
        <w:tab/>
        <w:t>Résumé des renseignements reçus des parties prenantes</w:t>
      </w:r>
    </w:p>
    <w:p w14:paraId="41845DA1" w14:textId="0DBFF0A4" w:rsidR="0093603C" w:rsidRPr="00235D4C" w:rsidRDefault="0093603C" w:rsidP="0093603C">
      <w:pPr>
        <w:pStyle w:val="H4G"/>
        <w:rPr>
          <w:rFonts w:eastAsiaTheme="minorEastAsia"/>
          <w:lang w:val="fr-FR"/>
        </w:rPr>
      </w:pPr>
      <w:r w:rsidRPr="00235D4C">
        <w:rPr>
          <w:lang w:val="fr-FR"/>
        </w:rPr>
        <w:tab/>
      </w:r>
      <w:r w:rsidRPr="00235D4C">
        <w:rPr>
          <w:lang w:val="fr-FR"/>
        </w:rPr>
        <w:tab/>
        <w:t>Fédération internationale des ligues des droits de l</w:t>
      </w:r>
      <w:r>
        <w:rPr>
          <w:lang w:val="fr-FR"/>
        </w:rPr>
        <w:t>’</w:t>
      </w:r>
      <w:r w:rsidRPr="00235D4C">
        <w:rPr>
          <w:lang w:val="fr-FR"/>
        </w:rPr>
        <w:t xml:space="preserve">homme et Comité Vietnam </w:t>
      </w:r>
      <w:r w:rsidR="00703E8E">
        <w:rPr>
          <w:lang w:val="fr-FR"/>
        </w:rPr>
        <w:br/>
      </w:r>
      <w:r w:rsidRPr="00235D4C">
        <w:rPr>
          <w:lang w:val="fr-FR"/>
        </w:rPr>
        <w:t>pour la défense des droits de l</w:t>
      </w:r>
      <w:r>
        <w:rPr>
          <w:lang w:val="fr-FR"/>
        </w:rPr>
        <w:t>’</w:t>
      </w:r>
      <w:r w:rsidRPr="00235D4C">
        <w:rPr>
          <w:lang w:val="fr-FR"/>
        </w:rPr>
        <w:t xml:space="preserve">homme </w:t>
      </w:r>
    </w:p>
    <w:p w14:paraId="0E08C714" w14:textId="4D8721FA" w:rsidR="0093603C" w:rsidRPr="00235D4C" w:rsidRDefault="00703E8E" w:rsidP="0093603C">
      <w:pPr>
        <w:pStyle w:val="SingleTxtG"/>
        <w:rPr>
          <w:lang w:val="fr-FR"/>
        </w:rPr>
      </w:pPr>
      <w:r>
        <w:rPr>
          <w:lang w:val="fr-FR"/>
        </w:rPr>
        <w:tab/>
      </w:r>
      <w:r w:rsidR="0093603C" w:rsidRPr="00235D4C">
        <w:rPr>
          <w:lang w:val="fr-FR"/>
        </w:rPr>
        <w:t>De nouvelles lois restreignant la liberté d</w:t>
      </w:r>
      <w:r w:rsidR="0093603C">
        <w:rPr>
          <w:lang w:val="fr-FR"/>
        </w:rPr>
        <w:t>’</w:t>
      </w:r>
      <w:r w:rsidR="0093603C" w:rsidRPr="00235D4C">
        <w:rPr>
          <w:lang w:val="fr-FR"/>
        </w:rPr>
        <w:t>expression ont été adoptées, à savoir le</w:t>
      </w:r>
      <w:r w:rsidR="0093603C">
        <w:rPr>
          <w:lang w:val="fr-FR"/>
        </w:rPr>
        <w:t>s</w:t>
      </w:r>
      <w:r w:rsidR="0093603C" w:rsidRPr="00235D4C">
        <w:rPr>
          <w:lang w:val="fr-FR"/>
        </w:rPr>
        <w:t xml:space="preserve"> décret</w:t>
      </w:r>
      <w:r w:rsidR="0093603C">
        <w:rPr>
          <w:lang w:val="fr-FR"/>
        </w:rPr>
        <w:t>s</w:t>
      </w:r>
      <w:r w:rsidR="0093603C" w:rsidRPr="00235D4C">
        <w:rPr>
          <w:lang w:val="fr-FR"/>
        </w:rPr>
        <w:t xml:space="preserve"> n</w:t>
      </w:r>
      <w:r w:rsidR="0093603C" w:rsidRPr="001D670D">
        <w:rPr>
          <w:vertAlign w:val="superscript"/>
          <w:lang w:val="fr-FR"/>
        </w:rPr>
        <w:t>o</w:t>
      </w:r>
      <w:r>
        <w:rPr>
          <w:vertAlign w:val="superscript"/>
          <w:lang w:val="fr-FR"/>
        </w:rPr>
        <w:t>s</w:t>
      </w:r>
      <w:r w:rsidR="0093603C">
        <w:rPr>
          <w:lang w:val="fr-FR"/>
        </w:rPr>
        <w:t> </w:t>
      </w:r>
      <w:r w:rsidR="0093603C" w:rsidRPr="00235D4C">
        <w:rPr>
          <w:lang w:val="fr-FR"/>
        </w:rPr>
        <w:t>119/2020/ND-CP</w:t>
      </w:r>
      <w:r w:rsidR="0093603C">
        <w:rPr>
          <w:lang w:val="fr-FR"/>
        </w:rPr>
        <w:t xml:space="preserve"> et</w:t>
      </w:r>
      <w:r w:rsidR="0093603C" w:rsidRPr="001D670D">
        <w:rPr>
          <w:lang w:val="fr-FR"/>
        </w:rPr>
        <w:t xml:space="preserve"> </w:t>
      </w:r>
      <w:r w:rsidR="0093603C" w:rsidRPr="00235D4C">
        <w:rPr>
          <w:lang w:val="fr-FR"/>
        </w:rPr>
        <w:t>15/2020/ND-CP</w:t>
      </w:r>
      <w:r w:rsidR="0093603C">
        <w:rPr>
          <w:lang w:val="fr-FR"/>
        </w:rPr>
        <w:t>,</w:t>
      </w:r>
      <w:r w:rsidR="0093603C" w:rsidRPr="00235D4C">
        <w:rPr>
          <w:lang w:val="fr-FR"/>
        </w:rPr>
        <w:t xml:space="preserve"> </w:t>
      </w:r>
      <w:r w:rsidR="0093603C">
        <w:rPr>
          <w:lang w:val="fr-FR"/>
        </w:rPr>
        <w:t>qui précisent les peines encourues en cas d’</w:t>
      </w:r>
      <w:r w:rsidR="0093603C" w:rsidRPr="00235D4C">
        <w:rPr>
          <w:lang w:val="fr-FR"/>
        </w:rPr>
        <w:t xml:space="preserve">infractions administratives commises </w:t>
      </w:r>
      <w:r w:rsidR="0093603C">
        <w:rPr>
          <w:lang w:val="fr-FR"/>
        </w:rPr>
        <w:t xml:space="preserve">respectivement </w:t>
      </w:r>
      <w:r w:rsidR="0093603C" w:rsidRPr="00235D4C">
        <w:rPr>
          <w:lang w:val="fr-FR"/>
        </w:rPr>
        <w:t>dans le cadre d</w:t>
      </w:r>
      <w:r w:rsidR="0093603C">
        <w:rPr>
          <w:lang w:val="fr-FR"/>
        </w:rPr>
        <w:t>’</w:t>
      </w:r>
      <w:r w:rsidR="0093603C" w:rsidRPr="00235D4C">
        <w:rPr>
          <w:lang w:val="fr-FR"/>
        </w:rPr>
        <w:t>activités de journalisme et d</w:t>
      </w:r>
      <w:r w:rsidR="0093603C">
        <w:rPr>
          <w:lang w:val="fr-FR"/>
        </w:rPr>
        <w:t>’</w:t>
      </w:r>
      <w:r w:rsidR="0093603C" w:rsidRPr="00235D4C">
        <w:rPr>
          <w:lang w:val="fr-FR"/>
        </w:rPr>
        <w:t>édition et dans les domaine</w:t>
      </w:r>
      <w:r w:rsidR="0093603C">
        <w:rPr>
          <w:lang w:val="fr-FR"/>
        </w:rPr>
        <w:t>s</w:t>
      </w:r>
      <w:r w:rsidR="0093603C" w:rsidRPr="00235D4C">
        <w:rPr>
          <w:lang w:val="fr-FR"/>
        </w:rPr>
        <w:t xml:space="preserve"> des télécommunications, des services postaux et des technologies de l</w:t>
      </w:r>
      <w:r w:rsidR="0093603C">
        <w:rPr>
          <w:lang w:val="fr-FR"/>
        </w:rPr>
        <w:t>’</w:t>
      </w:r>
      <w:r w:rsidR="0093603C" w:rsidRPr="00235D4C">
        <w:rPr>
          <w:lang w:val="fr-FR"/>
        </w:rPr>
        <w:t>information. Ces décrets répriment la publication de nouvelles, de photographies et d</w:t>
      </w:r>
      <w:r w:rsidR="0093603C">
        <w:rPr>
          <w:lang w:val="fr-FR"/>
        </w:rPr>
        <w:t>’</w:t>
      </w:r>
      <w:r w:rsidR="0093603C" w:rsidRPr="00235D4C">
        <w:rPr>
          <w:lang w:val="fr-FR"/>
        </w:rPr>
        <w:t>informations qui ne seraient pas dans l</w:t>
      </w:r>
      <w:r w:rsidR="0093603C">
        <w:rPr>
          <w:lang w:val="fr-FR"/>
        </w:rPr>
        <w:t>’</w:t>
      </w:r>
      <w:r w:rsidR="0093603C" w:rsidRPr="00235D4C">
        <w:rPr>
          <w:lang w:val="fr-FR"/>
        </w:rPr>
        <w:t>intérêt du pays ou qui seraient offensantes pour la nation, les personnes célèbres ou les héros nationaux. En avril 2022, le Gouvernement a modifié le décret n</w:t>
      </w:r>
      <w:r w:rsidR="0093603C" w:rsidRPr="00B436E5">
        <w:rPr>
          <w:vertAlign w:val="superscript"/>
          <w:lang w:val="fr-FR"/>
        </w:rPr>
        <w:t>o</w:t>
      </w:r>
      <w:r w:rsidR="0093603C" w:rsidRPr="00235D4C">
        <w:rPr>
          <w:lang w:val="fr-FR"/>
        </w:rPr>
        <w:t xml:space="preserve"> 72/2013-ND-CP </w:t>
      </w:r>
      <w:r w:rsidR="0093603C">
        <w:rPr>
          <w:lang w:val="fr-FR"/>
        </w:rPr>
        <w:t xml:space="preserve">de sorte à </w:t>
      </w:r>
      <w:r w:rsidR="0093603C" w:rsidRPr="00235D4C">
        <w:rPr>
          <w:lang w:val="fr-FR"/>
        </w:rPr>
        <w:t>restreindre davantage les discours en ligne, notamment en exigeant des entreprises de médias sociaux qu</w:t>
      </w:r>
      <w:r w:rsidR="0093603C">
        <w:rPr>
          <w:lang w:val="fr-FR"/>
        </w:rPr>
        <w:t>’</w:t>
      </w:r>
      <w:r w:rsidR="0093603C" w:rsidRPr="00235D4C">
        <w:rPr>
          <w:lang w:val="fr-FR"/>
        </w:rPr>
        <w:t xml:space="preserve">elles retirent dans les </w:t>
      </w:r>
      <w:r>
        <w:rPr>
          <w:lang w:val="fr-FR"/>
        </w:rPr>
        <w:t>vingt-quatre</w:t>
      </w:r>
      <w:r w:rsidR="0093603C" w:rsidRPr="00235D4C">
        <w:rPr>
          <w:lang w:val="fr-FR"/>
        </w:rPr>
        <w:t xml:space="preserve"> heures les contenus qu</w:t>
      </w:r>
      <w:r w:rsidR="0093603C">
        <w:rPr>
          <w:lang w:val="fr-FR"/>
        </w:rPr>
        <w:t>’</w:t>
      </w:r>
      <w:r w:rsidR="0093603C" w:rsidRPr="00235D4C">
        <w:rPr>
          <w:lang w:val="fr-FR"/>
        </w:rPr>
        <w:t>il juge illégaux. Les médias continuent d</w:t>
      </w:r>
      <w:r w:rsidR="0093603C">
        <w:rPr>
          <w:lang w:val="fr-FR"/>
        </w:rPr>
        <w:t>’</w:t>
      </w:r>
      <w:r w:rsidR="0093603C" w:rsidRPr="00235D4C">
        <w:rPr>
          <w:lang w:val="fr-FR"/>
        </w:rPr>
        <w:t>être contrôlés par le Gouvernement et la loi sur la presse continue de restreindre la liberté de la presse.</w:t>
      </w:r>
    </w:p>
    <w:p w14:paraId="01C9F8BA" w14:textId="77777777" w:rsidR="0093603C" w:rsidRPr="00235D4C" w:rsidRDefault="0093603C" w:rsidP="0093603C">
      <w:pPr>
        <w:pStyle w:val="H23G"/>
        <w:rPr>
          <w:lang w:val="fr-FR"/>
        </w:rPr>
      </w:pPr>
      <w:r w:rsidRPr="00235D4C">
        <w:rPr>
          <w:lang w:val="fr-FR"/>
        </w:rPr>
        <w:tab/>
      </w:r>
      <w:r w:rsidRPr="00235D4C">
        <w:rPr>
          <w:lang w:val="fr-FR"/>
        </w:rPr>
        <w:tab/>
        <w:t>Évaluation du Comité</w:t>
      </w:r>
    </w:p>
    <w:p w14:paraId="3C579C5C" w14:textId="77777777" w:rsidR="0093603C" w:rsidRPr="00235D4C" w:rsidRDefault="0093603C" w:rsidP="0093603C">
      <w:pPr>
        <w:pStyle w:val="SingleTxtG"/>
        <w:rPr>
          <w:lang w:val="fr-FR"/>
        </w:rPr>
      </w:pPr>
      <w:r w:rsidRPr="00235D4C">
        <w:rPr>
          <w:lang w:val="fr-FR"/>
        </w:rPr>
        <w:t>[E]</w:t>
      </w:r>
    </w:p>
    <w:p w14:paraId="08165663" w14:textId="4EDDA4AB" w:rsidR="0093603C" w:rsidRPr="00235D4C" w:rsidRDefault="00703E8E" w:rsidP="0093603C">
      <w:pPr>
        <w:pStyle w:val="SingleTxtG"/>
        <w:rPr>
          <w:lang w:val="fr-FR"/>
        </w:rPr>
      </w:pPr>
      <w:r>
        <w:rPr>
          <w:lang w:val="fr-FR"/>
        </w:rPr>
        <w:tab/>
      </w:r>
      <w:r w:rsidR="0093603C" w:rsidRPr="00235D4C">
        <w:rPr>
          <w:lang w:val="fr-FR"/>
        </w:rPr>
        <w:t>Le Comité prend note des renseignements communiqués par l</w:t>
      </w:r>
      <w:r w:rsidR="0093603C">
        <w:rPr>
          <w:lang w:val="fr-FR"/>
        </w:rPr>
        <w:t>’</w:t>
      </w:r>
      <w:r w:rsidR="0093603C" w:rsidRPr="00235D4C">
        <w:rPr>
          <w:lang w:val="fr-FR"/>
        </w:rPr>
        <w:t>État partie au sujet des mesures législatives prises pour donner suite aux recommandations qu</w:t>
      </w:r>
      <w:r w:rsidR="0093603C">
        <w:rPr>
          <w:lang w:val="fr-FR"/>
        </w:rPr>
        <w:t>’</w:t>
      </w:r>
      <w:r w:rsidR="0093603C" w:rsidRPr="00235D4C">
        <w:rPr>
          <w:lang w:val="fr-FR"/>
        </w:rPr>
        <w:t>il a formulé</w:t>
      </w:r>
      <w:r w:rsidR="0093603C">
        <w:rPr>
          <w:lang w:val="fr-FR"/>
        </w:rPr>
        <w:t>es</w:t>
      </w:r>
      <w:r w:rsidR="0093603C" w:rsidRPr="00235D4C">
        <w:rPr>
          <w:lang w:val="fr-FR"/>
        </w:rPr>
        <w:t>, mais reste préoccupé par les informations selon lesquelles, au contraire, l</w:t>
      </w:r>
      <w:r w:rsidR="0093603C">
        <w:rPr>
          <w:lang w:val="fr-FR"/>
        </w:rPr>
        <w:t>’</w:t>
      </w:r>
      <w:r w:rsidR="0093603C" w:rsidRPr="00235D4C">
        <w:rPr>
          <w:lang w:val="fr-FR"/>
        </w:rPr>
        <w:t>adoption des décrets n</w:t>
      </w:r>
      <w:r w:rsidR="0093603C" w:rsidRPr="00876E3C">
        <w:rPr>
          <w:vertAlign w:val="superscript"/>
          <w:lang w:val="fr-FR"/>
        </w:rPr>
        <w:t>o</w:t>
      </w:r>
      <w:r w:rsidR="006258B7">
        <w:rPr>
          <w:vertAlign w:val="superscript"/>
          <w:lang w:val="fr-FR"/>
        </w:rPr>
        <w:t>s</w:t>
      </w:r>
      <w:r w:rsidR="0093603C">
        <w:rPr>
          <w:lang w:val="fr-FR"/>
        </w:rPr>
        <w:t> </w:t>
      </w:r>
      <w:r w:rsidR="0093603C" w:rsidRPr="00235D4C">
        <w:rPr>
          <w:lang w:val="fr-FR"/>
        </w:rPr>
        <w:t>119/2020/ND-CP et 15/2020/ND-CP restreindrait davantage le droit à la liberté d</w:t>
      </w:r>
      <w:r w:rsidR="0093603C">
        <w:rPr>
          <w:lang w:val="fr-FR"/>
        </w:rPr>
        <w:t>’</w:t>
      </w:r>
      <w:r w:rsidR="0093603C" w:rsidRPr="00235D4C">
        <w:rPr>
          <w:lang w:val="fr-FR"/>
        </w:rPr>
        <w:t>expression. Il prend également note des renseignements concernant le nombre de chaînes de radio et de télévision et d</w:t>
      </w:r>
      <w:r w:rsidR="0093603C">
        <w:rPr>
          <w:lang w:val="fr-FR"/>
        </w:rPr>
        <w:t>’</w:t>
      </w:r>
      <w:r w:rsidR="0093603C" w:rsidRPr="00235D4C">
        <w:rPr>
          <w:lang w:val="fr-FR"/>
        </w:rPr>
        <w:t>internautes, mais regrette l</w:t>
      </w:r>
      <w:r w:rsidR="0093603C">
        <w:rPr>
          <w:lang w:val="fr-FR"/>
        </w:rPr>
        <w:t>’</w:t>
      </w:r>
      <w:r w:rsidR="0093603C" w:rsidRPr="00235D4C">
        <w:rPr>
          <w:lang w:val="fr-FR"/>
        </w:rPr>
        <w:t>absence d</w:t>
      </w:r>
      <w:r w:rsidR="0093603C">
        <w:rPr>
          <w:lang w:val="fr-FR"/>
        </w:rPr>
        <w:t>’</w:t>
      </w:r>
      <w:r w:rsidR="0093603C" w:rsidRPr="00235D4C">
        <w:rPr>
          <w:lang w:val="fr-FR"/>
        </w:rPr>
        <w:t>informations précises sur les mesures prises pour promouvoir des médias pluralistes libres qui puissent mener leurs activités sans ingérence de l</w:t>
      </w:r>
      <w:r w:rsidR="0093603C">
        <w:rPr>
          <w:lang w:val="fr-FR"/>
        </w:rPr>
        <w:t>’</w:t>
      </w:r>
      <w:r w:rsidR="0093603C" w:rsidRPr="00235D4C">
        <w:rPr>
          <w:lang w:val="fr-FR"/>
        </w:rPr>
        <w:t>État. Il renouvelle sa recommandation et souhaite obtenir des renseignements complémentaires sur les mesures prises pour mettre les décrets n</w:t>
      </w:r>
      <w:r w:rsidR="0093603C" w:rsidRPr="00876E3C">
        <w:rPr>
          <w:vertAlign w:val="superscript"/>
          <w:lang w:val="fr-FR"/>
        </w:rPr>
        <w:t>o</w:t>
      </w:r>
      <w:r w:rsidR="006258B7">
        <w:rPr>
          <w:vertAlign w:val="superscript"/>
          <w:lang w:val="fr-FR"/>
        </w:rPr>
        <w:t>s</w:t>
      </w:r>
      <w:r w:rsidR="006258B7">
        <w:rPr>
          <w:lang w:val="fr-FR"/>
        </w:rPr>
        <w:t> </w:t>
      </w:r>
      <w:r w:rsidR="0093603C" w:rsidRPr="00235D4C">
        <w:rPr>
          <w:lang w:val="fr-FR"/>
        </w:rPr>
        <w:t>119/2020/ND-CP et 15/2020/ND-CP</w:t>
      </w:r>
      <w:r w:rsidR="0093603C">
        <w:rPr>
          <w:lang w:val="fr-FR"/>
        </w:rPr>
        <w:t xml:space="preserve"> en conformité </w:t>
      </w:r>
      <w:r w:rsidR="0093603C" w:rsidRPr="00235D4C">
        <w:rPr>
          <w:lang w:val="fr-FR"/>
        </w:rPr>
        <w:t xml:space="preserve">avec le Pacte, ainsi que </w:t>
      </w:r>
      <w:r w:rsidR="0093603C">
        <w:rPr>
          <w:lang w:val="fr-FR"/>
        </w:rPr>
        <w:t xml:space="preserve">sur </w:t>
      </w:r>
      <w:r w:rsidR="0093603C" w:rsidRPr="00235D4C">
        <w:rPr>
          <w:lang w:val="fr-FR"/>
        </w:rPr>
        <w:t>toute modification envisagée du décret n</w:t>
      </w:r>
      <w:r w:rsidR="0093603C" w:rsidRPr="00876E3C">
        <w:rPr>
          <w:vertAlign w:val="superscript"/>
          <w:lang w:val="fr-FR"/>
        </w:rPr>
        <w:t>o</w:t>
      </w:r>
      <w:r w:rsidR="0093603C" w:rsidRPr="00235D4C">
        <w:rPr>
          <w:lang w:val="fr-FR"/>
        </w:rPr>
        <w:t xml:space="preserve"> 72/2013/ND-CP.</w:t>
      </w:r>
    </w:p>
    <w:p w14:paraId="5BFCB9BA" w14:textId="3EF391D6" w:rsidR="0093603C" w:rsidRPr="00235D4C" w:rsidRDefault="0093603C" w:rsidP="0093603C">
      <w:pPr>
        <w:pStyle w:val="H1G"/>
        <w:rPr>
          <w:lang w:val="fr-FR"/>
        </w:rPr>
      </w:pPr>
      <w:r w:rsidRPr="00235D4C">
        <w:rPr>
          <w:lang w:val="fr-FR"/>
        </w:rPr>
        <w:tab/>
      </w:r>
      <w:r w:rsidRPr="00235D4C">
        <w:rPr>
          <w:lang w:val="fr-FR"/>
        </w:rPr>
        <w:tab/>
        <w:t>Paragraphe 52</w:t>
      </w:r>
      <w:r w:rsidR="00374461">
        <w:rPr>
          <w:lang w:val="fr-FR"/>
        </w:rPr>
        <w:t> </w:t>
      </w:r>
      <w:r w:rsidRPr="00235D4C">
        <w:rPr>
          <w:lang w:val="fr-FR"/>
        </w:rPr>
        <w:t>: Défenseurs des droits de l</w:t>
      </w:r>
      <w:r>
        <w:rPr>
          <w:lang w:val="fr-FR"/>
        </w:rPr>
        <w:t>’</w:t>
      </w:r>
      <w:r w:rsidRPr="00235D4C">
        <w:rPr>
          <w:lang w:val="fr-FR"/>
        </w:rPr>
        <w:t>homme</w:t>
      </w:r>
    </w:p>
    <w:p w14:paraId="096E0365" w14:textId="28030C77" w:rsidR="0093603C" w:rsidRPr="00EB0160" w:rsidRDefault="006258B7" w:rsidP="0093603C">
      <w:pPr>
        <w:pStyle w:val="SingleTxtG"/>
        <w:rPr>
          <w:b/>
          <w:bCs/>
          <w:lang w:val="fr-FR"/>
        </w:rPr>
      </w:pPr>
      <w:r>
        <w:rPr>
          <w:b/>
          <w:bCs/>
          <w:lang w:val="fr-FR"/>
        </w:rPr>
        <w:tab/>
      </w:r>
      <w:r w:rsidR="0093603C" w:rsidRPr="00EB0160">
        <w:rPr>
          <w:b/>
          <w:bCs/>
          <w:lang w:val="fr-FR"/>
        </w:rPr>
        <w:t>L’État partie devrait veiller à ce que les défenseurs des droits de l’homme et les autres acteurs de la société civile soient protégés contre les menaces, les intimidations et les atteintes physiques, et enquêter sur les actes de cette nature et poursuivre et condamner leurs auteurs. Il devrait leur laisser la latitude de mener leurs activités, notamment de coopérer avec l’ONU, sans qu’ils aient à craindre de faire l’objet de restrictions ou de représailles.</w:t>
      </w:r>
    </w:p>
    <w:p w14:paraId="5C84DF9B" w14:textId="77777777" w:rsidR="0093603C" w:rsidRPr="00235D4C" w:rsidRDefault="0093603C" w:rsidP="0093603C">
      <w:pPr>
        <w:pStyle w:val="H23G"/>
        <w:rPr>
          <w:rFonts w:eastAsiaTheme="minorEastAsia"/>
          <w:lang w:val="fr-FR"/>
        </w:rPr>
      </w:pPr>
      <w:r w:rsidRPr="00235D4C">
        <w:rPr>
          <w:lang w:val="fr-FR"/>
        </w:rPr>
        <w:tab/>
      </w:r>
      <w:r w:rsidRPr="00235D4C">
        <w:rPr>
          <w:lang w:val="fr-FR"/>
        </w:rPr>
        <w:tab/>
        <w:t>Résumé des renseignements reçus de l</w:t>
      </w:r>
      <w:r>
        <w:rPr>
          <w:lang w:val="fr-FR"/>
        </w:rPr>
        <w:t>’</w:t>
      </w:r>
      <w:r w:rsidRPr="00235D4C">
        <w:rPr>
          <w:lang w:val="fr-FR"/>
        </w:rPr>
        <w:t>État partie</w:t>
      </w:r>
    </w:p>
    <w:p w14:paraId="708313B3" w14:textId="1801EAA1" w:rsidR="0093603C" w:rsidRPr="00235D4C" w:rsidRDefault="006258B7" w:rsidP="0093603C">
      <w:pPr>
        <w:pStyle w:val="SingleTxtG"/>
        <w:rPr>
          <w:lang w:val="fr-FR"/>
        </w:rPr>
      </w:pPr>
      <w:r>
        <w:rPr>
          <w:lang w:val="fr-FR"/>
        </w:rPr>
        <w:tab/>
      </w:r>
      <w:r w:rsidR="0093603C" w:rsidRPr="00235D4C">
        <w:rPr>
          <w:lang w:val="fr-FR"/>
        </w:rPr>
        <w:t>Le droit à la liberté d</w:t>
      </w:r>
      <w:r w:rsidR="0093603C">
        <w:rPr>
          <w:lang w:val="fr-FR"/>
        </w:rPr>
        <w:t>’</w:t>
      </w:r>
      <w:r w:rsidR="0093603C" w:rsidRPr="00235D4C">
        <w:rPr>
          <w:lang w:val="fr-FR"/>
        </w:rPr>
        <w:t>expression, le droit de réunion, le droit d</w:t>
      </w:r>
      <w:r w:rsidR="0093603C">
        <w:rPr>
          <w:lang w:val="fr-FR"/>
        </w:rPr>
        <w:t>’</w:t>
      </w:r>
      <w:r w:rsidR="0093603C" w:rsidRPr="00235D4C">
        <w:rPr>
          <w:lang w:val="fr-FR"/>
        </w:rPr>
        <w:t>association, le droit de circulation et le droit de manifestation ne peuvent être restreints que dans la mesure prévue par l</w:t>
      </w:r>
      <w:r w:rsidR="0093603C">
        <w:rPr>
          <w:lang w:val="fr-FR"/>
        </w:rPr>
        <w:t>’</w:t>
      </w:r>
      <w:r w:rsidR="0093603C" w:rsidRPr="00235D4C">
        <w:rPr>
          <w:lang w:val="fr-FR"/>
        </w:rPr>
        <w:t>article 14 (par. 2) de la Constitution de 2013. Nul ne peut être menacé, intimidé ou agressé pour avoir pris contact ou collaboré avec l</w:t>
      </w:r>
      <w:r w:rsidR="0093603C">
        <w:rPr>
          <w:lang w:val="fr-FR"/>
        </w:rPr>
        <w:t>’</w:t>
      </w:r>
      <w:r w:rsidR="0093603C" w:rsidRPr="00235D4C">
        <w:rPr>
          <w:lang w:val="fr-FR"/>
        </w:rPr>
        <w:t xml:space="preserve">Organisation des Nations Unies. En ce qui concerne les activités des organisations non gouvernementales étrangères, un nouveau décret est en cours de rédaction, </w:t>
      </w:r>
      <w:r w:rsidR="0093603C">
        <w:rPr>
          <w:lang w:val="fr-FR"/>
        </w:rPr>
        <w:t>qui remplacera le</w:t>
      </w:r>
      <w:r w:rsidR="0093603C" w:rsidRPr="00235D4C">
        <w:rPr>
          <w:lang w:val="fr-FR"/>
        </w:rPr>
        <w:t xml:space="preserve"> décret n</w:t>
      </w:r>
      <w:r w:rsidR="0093603C" w:rsidRPr="00BB106C">
        <w:rPr>
          <w:vertAlign w:val="superscript"/>
          <w:lang w:val="fr-FR"/>
        </w:rPr>
        <w:t>o</w:t>
      </w:r>
      <w:r w:rsidR="0093603C" w:rsidRPr="00235D4C">
        <w:rPr>
          <w:lang w:val="fr-FR"/>
        </w:rPr>
        <w:t xml:space="preserve"> 12/2012/ND-CP.</w:t>
      </w:r>
    </w:p>
    <w:p w14:paraId="6F97A46C" w14:textId="1C92DB36" w:rsidR="0093603C" w:rsidRPr="00235D4C" w:rsidRDefault="006258B7" w:rsidP="0093603C">
      <w:pPr>
        <w:pStyle w:val="SingleTxtG"/>
        <w:rPr>
          <w:lang w:val="fr-FR"/>
        </w:rPr>
      </w:pPr>
      <w:r>
        <w:rPr>
          <w:lang w:val="fr-FR"/>
        </w:rPr>
        <w:tab/>
      </w:r>
      <w:r w:rsidR="0093603C" w:rsidRPr="00235D4C">
        <w:rPr>
          <w:lang w:val="fr-FR"/>
        </w:rPr>
        <w:t>Le Viet Nam n</w:t>
      </w:r>
      <w:r w:rsidR="0093603C">
        <w:rPr>
          <w:lang w:val="fr-FR"/>
        </w:rPr>
        <w:t>’</w:t>
      </w:r>
      <w:r w:rsidR="0093603C" w:rsidRPr="00235D4C">
        <w:rPr>
          <w:lang w:val="fr-FR"/>
        </w:rPr>
        <w:t>interdit que les rassemblements illégaux qui troublent la sécurité et l</w:t>
      </w:r>
      <w:r w:rsidR="0093603C">
        <w:rPr>
          <w:lang w:val="fr-FR"/>
        </w:rPr>
        <w:t>’</w:t>
      </w:r>
      <w:r w:rsidR="0093603C" w:rsidRPr="00235D4C">
        <w:rPr>
          <w:lang w:val="fr-FR"/>
        </w:rPr>
        <w:t>ordre publics ou portent atteinte aux droits d</w:t>
      </w:r>
      <w:r w:rsidR="0093603C">
        <w:rPr>
          <w:lang w:val="fr-FR"/>
        </w:rPr>
        <w:t>’</w:t>
      </w:r>
      <w:r w:rsidR="0093603C" w:rsidRPr="00235D4C">
        <w:rPr>
          <w:lang w:val="fr-FR"/>
        </w:rPr>
        <w:t xml:space="preserve">autrui, comme ce fut le cas de celui tenu en 2018 dans la province de </w:t>
      </w:r>
      <w:proofErr w:type="spellStart"/>
      <w:r w:rsidR="0093603C" w:rsidRPr="00235D4C">
        <w:rPr>
          <w:lang w:val="fr-FR"/>
        </w:rPr>
        <w:t>Bình</w:t>
      </w:r>
      <w:proofErr w:type="spellEnd"/>
      <w:r w:rsidR="0093603C" w:rsidRPr="00235D4C">
        <w:rPr>
          <w:lang w:val="fr-FR"/>
        </w:rPr>
        <w:t xml:space="preserve"> </w:t>
      </w:r>
      <w:proofErr w:type="spellStart"/>
      <w:r w:rsidR="0093603C" w:rsidRPr="00235D4C">
        <w:rPr>
          <w:lang w:val="fr-FR"/>
        </w:rPr>
        <w:t>Thuận</w:t>
      </w:r>
      <w:proofErr w:type="spellEnd"/>
      <w:r w:rsidR="0093603C" w:rsidRPr="00235D4C">
        <w:rPr>
          <w:lang w:val="fr-FR"/>
        </w:rPr>
        <w:t>. Quiconque enfreint la loi, y compris en portant atteinte à la sécurité nationale, est arrêté, fait l</w:t>
      </w:r>
      <w:r w:rsidR="0093603C">
        <w:rPr>
          <w:lang w:val="fr-FR"/>
        </w:rPr>
        <w:t>’</w:t>
      </w:r>
      <w:r w:rsidR="0093603C" w:rsidRPr="00235D4C">
        <w:rPr>
          <w:lang w:val="fr-FR"/>
        </w:rPr>
        <w:t>objet d</w:t>
      </w:r>
      <w:r w:rsidR="0093603C">
        <w:rPr>
          <w:lang w:val="fr-FR"/>
        </w:rPr>
        <w:t>’</w:t>
      </w:r>
      <w:r w:rsidR="0093603C" w:rsidRPr="00235D4C">
        <w:rPr>
          <w:lang w:val="fr-FR"/>
        </w:rPr>
        <w:t>une enquête et est poursuivi, jugé et entendu conformément à la législation et aux procédures nationales et à l</w:t>
      </w:r>
      <w:r w:rsidR="0093603C">
        <w:rPr>
          <w:lang w:val="fr-FR"/>
        </w:rPr>
        <w:t>’</w:t>
      </w:r>
      <w:r w:rsidR="0093603C" w:rsidRPr="00235D4C">
        <w:rPr>
          <w:lang w:val="fr-FR"/>
        </w:rPr>
        <w:t xml:space="preserve">article 26 du Pacte. </w:t>
      </w:r>
    </w:p>
    <w:p w14:paraId="278BC0BE" w14:textId="77777777" w:rsidR="0093603C" w:rsidRPr="00235D4C" w:rsidRDefault="0093603C" w:rsidP="0093603C">
      <w:pPr>
        <w:pStyle w:val="H23G"/>
        <w:rPr>
          <w:rFonts w:eastAsiaTheme="minorEastAsia"/>
          <w:lang w:val="fr-FR"/>
        </w:rPr>
      </w:pPr>
      <w:r w:rsidRPr="00235D4C">
        <w:rPr>
          <w:lang w:val="fr-FR"/>
        </w:rPr>
        <w:lastRenderedPageBreak/>
        <w:tab/>
      </w:r>
      <w:r w:rsidRPr="00235D4C">
        <w:rPr>
          <w:lang w:val="fr-FR"/>
        </w:rPr>
        <w:tab/>
        <w:t>Résumé des renseignements reçus des parties prenantes</w:t>
      </w:r>
    </w:p>
    <w:p w14:paraId="376DF617" w14:textId="48F06D59" w:rsidR="0093603C" w:rsidRPr="00235D4C" w:rsidRDefault="0093603C" w:rsidP="0093603C">
      <w:pPr>
        <w:pStyle w:val="H4G"/>
        <w:rPr>
          <w:rFonts w:eastAsiaTheme="minorEastAsia"/>
          <w:lang w:val="fr-FR"/>
        </w:rPr>
      </w:pPr>
      <w:r w:rsidRPr="00235D4C">
        <w:rPr>
          <w:lang w:val="fr-FR"/>
        </w:rPr>
        <w:tab/>
      </w:r>
      <w:r w:rsidRPr="00235D4C">
        <w:rPr>
          <w:lang w:val="fr-FR"/>
        </w:rPr>
        <w:tab/>
        <w:t>Fédération internationale des ligues des droits de l</w:t>
      </w:r>
      <w:r>
        <w:rPr>
          <w:lang w:val="fr-FR"/>
        </w:rPr>
        <w:t>’</w:t>
      </w:r>
      <w:r w:rsidRPr="00235D4C">
        <w:rPr>
          <w:lang w:val="fr-FR"/>
        </w:rPr>
        <w:t xml:space="preserve">homme et Comité Vietnam </w:t>
      </w:r>
      <w:r w:rsidR="006258B7">
        <w:rPr>
          <w:lang w:val="fr-FR"/>
        </w:rPr>
        <w:br/>
      </w:r>
      <w:r w:rsidRPr="00235D4C">
        <w:rPr>
          <w:lang w:val="fr-FR"/>
        </w:rPr>
        <w:t>pour la défense des droits de l</w:t>
      </w:r>
      <w:r>
        <w:rPr>
          <w:lang w:val="fr-FR"/>
        </w:rPr>
        <w:t>’</w:t>
      </w:r>
      <w:r w:rsidRPr="00235D4C">
        <w:rPr>
          <w:lang w:val="fr-FR"/>
        </w:rPr>
        <w:t>homme</w:t>
      </w:r>
    </w:p>
    <w:p w14:paraId="1086AB9F" w14:textId="290DEE4E" w:rsidR="0093603C" w:rsidRPr="00235D4C" w:rsidRDefault="006258B7" w:rsidP="0093603C">
      <w:pPr>
        <w:pStyle w:val="SingleTxtG"/>
        <w:rPr>
          <w:lang w:val="fr-FR"/>
        </w:rPr>
      </w:pPr>
      <w:r>
        <w:rPr>
          <w:lang w:val="fr-FR"/>
        </w:rPr>
        <w:tab/>
      </w:r>
      <w:r w:rsidR="0093603C" w:rsidRPr="00235D4C">
        <w:rPr>
          <w:lang w:val="fr-FR"/>
        </w:rPr>
        <w:t>Les défenseurs des droits de l</w:t>
      </w:r>
      <w:r w:rsidR="0093603C">
        <w:rPr>
          <w:lang w:val="fr-FR"/>
        </w:rPr>
        <w:t>’</w:t>
      </w:r>
      <w:r w:rsidR="0093603C" w:rsidRPr="00235D4C">
        <w:rPr>
          <w:lang w:val="fr-FR"/>
        </w:rPr>
        <w:t>homme continuent de faire l</w:t>
      </w:r>
      <w:r w:rsidR="0093603C">
        <w:rPr>
          <w:lang w:val="fr-FR"/>
        </w:rPr>
        <w:t>’</w:t>
      </w:r>
      <w:r w:rsidR="0093603C" w:rsidRPr="00235D4C">
        <w:rPr>
          <w:lang w:val="fr-FR"/>
        </w:rPr>
        <w:t>objet, de la part des autorités, d</w:t>
      </w:r>
      <w:r w:rsidR="0093603C">
        <w:rPr>
          <w:lang w:val="fr-FR"/>
        </w:rPr>
        <w:t>’</w:t>
      </w:r>
      <w:r w:rsidR="0093603C" w:rsidRPr="00235D4C">
        <w:rPr>
          <w:lang w:val="fr-FR"/>
        </w:rPr>
        <w:t>actes d</w:t>
      </w:r>
      <w:r w:rsidR="0093603C">
        <w:rPr>
          <w:lang w:val="fr-FR"/>
        </w:rPr>
        <w:t>’</w:t>
      </w:r>
      <w:r w:rsidR="0093603C" w:rsidRPr="00235D4C">
        <w:rPr>
          <w:lang w:val="fr-FR"/>
        </w:rPr>
        <w:t>intimidation, de menaces, d</w:t>
      </w:r>
      <w:r w:rsidR="0093603C">
        <w:rPr>
          <w:lang w:val="fr-FR"/>
        </w:rPr>
        <w:t>’</w:t>
      </w:r>
      <w:r w:rsidR="0093603C" w:rsidRPr="00235D4C">
        <w:rPr>
          <w:lang w:val="fr-FR"/>
        </w:rPr>
        <w:t>agressions physiques, d</w:t>
      </w:r>
      <w:r w:rsidR="0093603C">
        <w:rPr>
          <w:lang w:val="fr-FR"/>
        </w:rPr>
        <w:t>’</w:t>
      </w:r>
      <w:r w:rsidR="0093603C" w:rsidRPr="00235D4C">
        <w:rPr>
          <w:lang w:val="fr-FR"/>
        </w:rPr>
        <w:t>arrestations et de détentions arbitraires. Entre avril 2019 et juillet 2022, au moins 95 militants, détracteurs du Gouvernement et défenseurs des droits de l</w:t>
      </w:r>
      <w:r w:rsidR="0093603C">
        <w:rPr>
          <w:lang w:val="fr-FR"/>
        </w:rPr>
        <w:t>’</w:t>
      </w:r>
      <w:r w:rsidR="0093603C" w:rsidRPr="00235D4C">
        <w:rPr>
          <w:lang w:val="fr-FR"/>
        </w:rPr>
        <w:t>homme ont été arrêtés, et 113 ont été condamnés à des peines d</w:t>
      </w:r>
      <w:r w:rsidR="0093603C">
        <w:rPr>
          <w:lang w:val="fr-FR"/>
        </w:rPr>
        <w:t>’</w:t>
      </w:r>
      <w:r w:rsidR="0093603C" w:rsidRPr="00235D4C">
        <w:rPr>
          <w:lang w:val="fr-FR"/>
        </w:rPr>
        <w:t>emprisonnement allant jusqu</w:t>
      </w:r>
      <w:r w:rsidR="0093603C">
        <w:rPr>
          <w:lang w:val="fr-FR"/>
        </w:rPr>
        <w:t>’</w:t>
      </w:r>
      <w:r w:rsidR="0093603C" w:rsidRPr="00235D4C">
        <w:rPr>
          <w:lang w:val="fr-FR"/>
        </w:rPr>
        <w:t xml:space="preserve">à </w:t>
      </w:r>
      <w:r>
        <w:rPr>
          <w:lang w:val="fr-FR"/>
        </w:rPr>
        <w:t>quinze</w:t>
      </w:r>
      <w:r w:rsidR="0093603C" w:rsidRPr="00235D4C">
        <w:rPr>
          <w:lang w:val="fr-FR"/>
        </w:rPr>
        <w:t xml:space="preserve"> ans. La plupart d</w:t>
      </w:r>
      <w:r w:rsidR="0093603C">
        <w:rPr>
          <w:lang w:val="fr-FR"/>
        </w:rPr>
        <w:t>’</w:t>
      </w:r>
      <w:r w:rsidR="0093603C" w:rsidRPr="00235D4C">
        <w:rPr>
          <w:lang w:val="fr-FR"/>
        </w:rPr>
        <w:t xml:space="preserve">entre eux sont toujours détenus en application des dispositions du Code pénal relatives à la sécurité nationale. Depuis janvier 2022, quatre éminents défenseurs des droits environnementaux </w:t>
      </w:r>
      <w:r>
        <w:rPr>
          <w:lang w:val="fr-FR"/>
        </w:rPr>
        <w:t>−</w:t>
      </w:r>
      <w:r w:rsidR="0093603C" w:rsidRPr="00235D4C">
        <w:rPr>
          <w:lang w:val="fr-FR"/>
        </w:rPr>
        <w:t xml:space="preserve"> Mai Phan </w:t>
      </w:r>
      <w:proofErr w:type="spellStart"/>
      <w:r w:rsidRPr="009E789E">
        <w:t>Lợi</w:t>
      </w:r>
      <w:proofErr w:type="spellEnd"/>
      <w:r w:rsidR="0093603C" w:rsidRPr="00235D4C">
        <w:rPr>
          <w:lang w:val="fr-FR"/>
        </w:rPr>
        <w:t xml:space="preserve">, </w:t>
      </w:r>
      <w:proofErr w:type="spellStart"/>
      <w:r w:rsidR="0093603C" w:rsidRPr="00235D4C">
        <w:rPr>
          <w:lang w:val="fr-FR"/>
        </w:rPr>
        <w:t>Bạch</w:t>
      </w:r>
      <w:proofErr w:type="spellEnd"/>
      <w:r>
        <w:rPr>
          <w:lang w:val="fr-FR"/>
        </w:rPr>
        <w:t> </w:t>
      </w:r>
      <w:proofErr w:type="spellStart"/>
      <w:r w:rsidR="0093603C" w:rsidRPr="00235D4C">
        <w:rPr>
          <w:lang w:val="fr-FR"/>
        </w:rPr>
        <w:t>Hùng</w:t>
      </w:r>
      <w:proofErr w:type="spellEnd"/>
      <w:r w:rsidR="0093603C" w:rsidRPr="00235D4C">
        <w:rPr>
          <w:lang w:val="fr-FR"/>
        </w:rPr>
        <w:t xml:space="preserve"> </w:t>
      </w:r>
      <w:proofErr w:type="spellStart"/>
      <w:r w:rsidR="0093603C" w:rsidRPr="00235D4C">
        <w:rPr>
          <w:lang w:val="fr-FR"/>
        </w:rPr>
        <w:t>Dương</w:t>
      </w:r>
      <w:proofErr w:type="spellEnd"/>
      <w:r w:rsidR="0093603C" w:rsidRPr="00235D4C">
        <w:rPr>
          <w:lang w:val="fr-FR"/>
        </w:rPr>
        <w:t xml:space="preserve">, </w:t>
      </w:r>
      <w:proofErr w:type="spellStart"/>
      <w:r w:rsidR="0093603C" w:rsidRPr="00235D4C">
        <w:rPr>
          <w:lang w:val="fr-FR"/>
        </w:rPr>
        <w:t>Đặng</w:t>
      </w:r>
      <w:proofErr w:type="spellEnd"/>
      <w:r w:rsidR="0093603C" w:rsidRPr="00235D4C">
        <w:rPr>
          <w:lang w:val="fr-FR"/>
        </w:rPr>
        <w:t xml:space="preserve"> </w:t>
      </w:r>
      <w:proofErr w:type="spellStart"/>
      <w:r w:rsidR="0093603C" w:rsidRPr="00235D4C">
        <w:rPr>
          <w:lang w:val="fr-FR"/>
        </w:rPr>
        <w:t>Đình</w:t>
      </w:r>
      <w:proofErr w:type="spellEnd"/>
      <w:r w:rsidR="0093603C" w:rsidRPr="00235D4C">
        <w:rPr>
          <w:lang w:val="fr-FR"/>
        </w:rPr>
        <w:t xml:space="preserve"> </w:t>
      </w:r>
      <w:proofErr w:type="spellStart"/>
      <w:r w:rsidR="0093603C" w:rsidRPr="00235D4C">
        <w:rPr>
          <w:lang w:val="fr-FR"/>
        </w:rPr>
        <w:t>Bách</w:t>
      </w:r>
      <w:proofErr w:type="spellEnd"/>
      <w:r w:rsidR="0093603C" w:rsidRPr="00235D4C">
        <w:rPr>
          <w:lang w:val="fr-FR"/>
        </w:rPr>
        <w:t xml:space="preserve"> et </w:t>
      </w:r>
      <w:proofErr w:type="spellStart"/>
      <w:r w:rsidR="0093603C" w:rsidRPr="00235D4C">
        <w:rPr>
          <w:lang w:val="fr-FR"/>
        </w:rPr>
        <w:t>Ngụy</w:t>
      </w:r>
      <w:proofErr w:type="spellEnd"/>
      <w:r w:rsidR="0093603C" w:rsidRPr="00235D4C">
        <w:rPr>
          <w:lang w:val="fr-FR"/>
        </w:rPr>
        <w:t xml:space="preserve"> </w:t>
      </w:r>
      <w:proofErr w:type="spellStart"/>
      <w:r w:rsidR="0093603C" w:rsidRPr="00235D4C">
        <w:rPr>
          <w:lang w:val="fr-FR"/>
        </w:rPr>
        <w:t>Thị</w:t>
      </w:r>
      <w:proofErr w:type="spellEnd"/>
      <w:r w:rsidR="0093603C" w:rsidRPr="00235D4C">
        <w:rPr>
          <w:lang w:val="fr-FR"/>
        </w:rPr>
        <w:t xml:space="preserve"> </w:t>
      </w:r>
      <w:proofErr w:type="spellStart"/>
      <w:r w:rsidR="0093603C" w:rsidRPr="00235D4C">
        <w:rPr>
          <w:lang w:val="fr-FR"/>
        </w:rPr>
        <w:t>Khanh</w:t>
      </w:r>
      <w:proofErr w:type="spellEnd"/>
      <w:r w:rsidR="0093603C" w:rsidRPr="00235D4C">
        <w:rPr>
          <w:lang w:val="fr-FR"/>
        </w:rPr>
        <w:t xml:space="preserve"> </w:t>
      </w:r>
      <w:r>
        <w:rPr>
          <w:lang w:val="fr-FR"/>
        </w:rPr>
        <w:t>−</w:t>
      </w:r>
      <w:r w:rsidR="0093603C" w:rsidRPr="00235D4C">
        <w:rPr>
          <w:lang w:val="fr-FR"/>
        </w:rPr>
        <w:t xml:space="preserve"> ont été condamnés à des peines de deux à cinq ans de prison </w:t>
      </w:r>
      <w:r w:rsidR="0093603C">
        <w:rPr>
          <w:lang w:val="fr-FR"/>
        </w:rPr>
        <w:t xml:space="preserve">pour </w:t>
      </w:r>
      <w:r w:rsidR="0093603C" w:rsidRPr="00235D4C">
        <w:rPr>
          <w:lang w:val="fr-FR"/>
        </w:rPr>
        <w:t xml:space="preserve">fraude fiscale, </w:t>
      </w:r>
      <w:r w:rsidR="0093603C">
        <w:rPr>
          <w:lang w:val="fr-FR"/>
        </w:rPr>
        <w:t xml:space="preserve">une accusation </w:t>
      </w:r>
      <w:r w:rsidR="0093603C" w:rsidRPr="00235D4C">
        <w:rPr>
          <w:lang w:val="fr-FR"/>
        </w:rPr>
        <w:t>souvent utilisé</w:t>
      </w:r>
      <w:r w:rsidR="0093603C">
        <w:rPr>
          <w:lang w:val="fr-FR"/>
        </w:rPr>
        <w:t>e</w:t>
      </w:r>
      <w:r w:rsidR="0093603C" w:rsidRPr="00235D4C">
        <w:rPr>
          <w:lang w:val="fr-FR"/>
        </w:rPr>
        <w:t xml:space="preserve"> pour réduire au silence les détracteurs. </w:t>
      </w:r>
      <w:proofErr w:type="spellStart"/>
      <w:r w:rsidR="0093603C" w:rsidRPr="00235D4C">
        <w:rPr>
          <w:lang w:val="fr-FR"/>
        </w:rPr>
        <w:t>Đặng</w:t>
      </w:r>
      <w:proofErr w:type="spellEnd"/>
      <w:r w:rsidR="0093603C" w:rsidRPr="00235D4C">
        <w:rPr>
          <w:lang w:val="fr-FR"/>
        </w:rPr>
        <w:t xml:space="preserve"> </w:t>
      </w:r>
      <w:proofErr w:type="spellStart"/>
      <w:r w:rsidR="0093603C" w:rsidRPr="00235D4C">
        <w:rPr>
          <w:lang w:val="fr-FR"/>
        </w:rPr>
        <w:t>Đình</w:t>
      </w:r>
      <w:proofErr w:type="spellEnd"/>
      <w:r w:rsidR="0093603C" w:rsidRPr="00235D4C">
        <w:rPr>
          <w:lang w:val="fr-FR"/>
        </w:rPr>
        <w:t xml:space="preserve"> </w:t>
      </w:r>
      <w:proofErr w:type="spellStart"/>
      <w:r w:rsidR="0093603C" w:rsidRPr="00235D4C">
        <w:rPr>
          <w:lang w:val="fr-FR"/>
        </w:rPr>
        <w:t>Bách</w:t>
      </w:r>
      <w:proofErr w:type="spellEnd"/>
      <w:r w:rsidR="0093603C" w:rsidRPr="00235D4C">
        <w:rPr>
          <w:lang w:val="fr-FR"/>
        </w:rPr>
        <w:t xml:space="preserve"> s</w:t>
      </w:r>
      <w:r w:rsidR="0093603C">
        <w:rPr>
          <w:lang w:val="fr-FR"/>
        </w:rPr>
        <w:t>’</w:t>
      </w:r>
      <w:r w:rsidR="0093603C" w:rsidRPr="00235D4C">
        <w:rPr>
          <w:lang w:val="fr-FR"/>
        </w:rPr>
        <w:t>est vu refuser l</w:t>
      </w:r>
      <w:r w:rsidR="0093603C">
        <w:rPr>
          <w:lang w:val="fr-FR"/>
        </w:rPr>
        <w:t>’</w:t>
      </w:r>
      <w:r w:rsidR="0093603C" w:rsidRPr="00235D4C">
        <w:rPr>
          <w:lang w:val="fr-FR"/>
        </w:rPr>
        <w:t>accès à son avocat pendant sa détention, sa famille n</w:t>
      </w:r>
      <w:r w:rsidR="0093603C">
        <w:rPr>
          <w:lang w:val="fr-FR"/>
        </w:rPr>
        <w:t>’</w:t>
      </w:r>
      <w:r w:rsidR="0093603C" w:rsidRPr="00235D4C">
        <w:rPr>
          <w:lang w:val="fr-FR"/>
        </w:rPr>
        <w:t>a pas été autorisée à assister à l</w:t>
      </w:r>
      <w:r w:rsidR="0093603C">
        <w:rPr>
          <w:lang w:val="fr-FR"/>
        </w:rPr>
        <w:t>’</w:t>
      </w:r>
      <w:r w:rsidR="0093603C" w:rsidRPr="00235D4C">
        <w:rPr>
          <w:lang w:val="fr-FR"/>
        </w:rPr>
        <w:t>audience et l</w:t>
      </w:r>
      <w:r w:rsidR="0093603C">
        <w:rPr>
          <w:lang w:val="fr-FR"/>
        </w:rPr>
        <w:t>es juges n’ont</w:t>
      </w:r>
      <w:r w:rsidR="0093603C" w:rsidRPr="00235D4C">
        <w:rPr>
          <w:lang w:val="fr-FR"/>
        </w:rPr>
        <w:t xml:space="preserve"> pas tenu compte des éléments de preuve produits par ses avocats. </w:t>
      </w:r>
    </w:p>
    <w:p w14:paraId="1972AF62" w14:textId="0C856FEE" w:rsidR="0093603C" w:rsidRPr="00235D4C" w:rsidRDefault="006258B7" w:rsidP="0093603C">
      <w:pPr>
        <w:pStyle w:val="SingleTxtG"/>
        <w:rPr>
          <w:lang w:val="fr-FR"/>
        </w:rPr>
      </w:pPr>
      <w:r>
        <w:rPr>
          <w:lang w:val="fr-FR"/>
        </w:rPr>
        <w:tab/>
      </w:r>
      <w:r w:rsidR="0093603C" w:rsidRPr="00235D4C">
        <w:rPr>
          <w:lang w:val="fr-FR"/>
        </w:rPr>
        <w:t>Les défenseurs des droits de l</w:t>
      </w:r>
      <w:r w:rsidR="0093603C">
        <w:rPr>
          <w:lang w:val="fr-FR"/>
        </w:rPr>
        <w:t>’</w:t>
      </w:r>
      <w:r w:rsidR="0093603C" w:rsidRPr="00235D4C">
        <w:rPr>
          <w:lang w:val="fr-FR"/>
        </w:rPr>
        <w:t>homme et les acteurs de la société civile sont fréquemment harcelés parce qu</w:t>
      </w:r>
      <w:r w:rsidR="0093603C">
        <w:rPr>
          <w:lang w:val="fr-FR"/>
        </w:rPr>
        <w:t>’</w:t>
      </w:r>
      <w:r w:rsidR="0093603C" w:rsidRPr="00235D4C">
        <w:rPr>
          <w:lang w:val="fr-FR"/>
        </w:rPr>
        <w:t xml:space="preserve">ils collaborent avec des organismes internationaux. En novembre 2019, un journaliste indépendant, </w:t>
      </w:r>
      <w:proofErr w:type="spellStart"/>
      <w:r w:rsidR="0093603C" w:rsidRPr="00235D4C">
        <w:rPr>
          <w:lang w:val="fr-FR"/>
        </w:rPr>
        <w:t>Phạm</w:t>
      </w:r>
      <w:proofErr w:type="spellEnd"/>
      <w:r w:rsidR="0093603C" w:rsidRPr="00235D4C">
        <w:rPr>
          <w:lang w:val="fr-FR"/>
        </w:rPr>
        <w:t xml:space="preserve"> </w:t>
      </w:r>
      <w:proofErr w:type="spellStart"/>
      <w:r w:rsidR="0093603C" w:rsidRPr="00235D4C">
        <w:rPr>
          <w:lang w:val="fr-FR"/>
        </w:rPr>
        <w:t>Chí</w:t>
      </w:r>
      <w:proofErr w:type="spellEnd"/>
      <w:r w:rsidR="0093603C" w:rsidRPr="00235D4C">
        <w:rPr>
          <w:lang w:val="fr-FR"/>
        </w:rPr>
        <w:t xml:space="preserve"> </w:t>
      </w:r>
      <w:proofErr w:type="spellStart"/>
      <w:r w:rsidR="0093603C" w:rsidRPr="00235D4C">
        <w:rPr>
          <w:lang w:val="fr-FR"/>
        </w:rPr>
        <w:t>Dũng</w:t>
      </w:r>
      <w:proofErr w:type="spellEnd"/>
      <w:r w:rsidR="0093603C" w:rsidRPr="00235D4C">
        <w:rPr>
          <w:lang w:val="fr-FR"/>
        </w:rPr>
        <w:t xml:space="preserve">, a été condamné à </w:t>
      </w:r>
      <w:r>
        <w:rPr>
          <w:lang w:val="fr-FR"/>
        </w:rPr>
        <w:t>quinze</w:t>
      </w:r>
      <w:r w:rsidR="0093603C" w:rsidRPr="00235D4C">
        <w:rPr>
          <w:lang w:val="fr-FR"/>
        </w:rPr>
        <w:t xml:space="preserve"> ans d</w:t>
      </w:r>
      <w:r w:rsidR="0093603C">
        <w:rPr>
          <w:lang w:val="fr-FR"/>
        </w:rPr>
        <w:t>’</w:t>
      </w:r>
      <w:r w:rsidR="0093603C" w:rsidRPr="00235D4C">
        <w:rPr>
          <w:lang w:val="fr-FR"/>
        </w:rPr>
        <w:t>emprisonnement pour avoir écrit des articles « contre l</w:t>
      </w:r>
      <w:r w:rsidR="0093603C">
        <w:rPr>
          <w:lang w:val="fr-FR"/>
        </w:rPr>
        <w:t>’</w:t>
      </w:r>
      <w:r w:rsidR="0093603C" w:rsidRPr="00235D4C">
        <w:rPr>
          <w:lang w:val="fr-FR"/>
        </w:rPr>
        <w:t>État » et coopéré avec des médias étrangers en vue de publier des informations déformées, après avoir lancé un appel au Parlement européen au sujet de l</w:t>
      </w:r>
      <w:r w:rsidR="0093603C">
        <w:rPr>
          <w:lang w:val="fr-FR"/>
        </w:rPr>
        <w:t>’</w:t>
      </w:r>
      <w:r w:rsidR="0093603C" w:rsidRPr="00235D4C">
        <w:rPr>
          <w:lang w:val="fr-FR"/>
        </w:rPr>
        <w:t>accord de libre-échange entre l</w:t>
      </w:r>
      <w:r w:rsidR="0093603C">
        <w:rPr>
          <w:lang w:val="fr-FR"/>
        </w:rPr>
        <w:t>’</w:t>
      </w:r>
      <w:r w:rsidR="0093603C" w:rsidRPr="00235D4C">
        <w:rPr>
          <w:lang w:val="fr-FR"/>
        </w:rPr>
        <w:t>Union européenne et le Vi</w:t>
      </w:r>
      <w:r w:rsidR="0093603C">
        <w:rPr>
          <w:lang w:val="fr-FR"/>
        </w:rPr>
        <w:t>e</w:t>
      </w:r>
      <w:r w:rsidR="0093603C" w:rsidRPr="00235D4C">
        <w:rPr>
          <w:lang w:val="fr-FR"/>
        </w:rPr>
        <w:t>t</w:t>
      </w:r>
      <w:r>
        <w:rPr>
          <w:lang w:val="fr-FR"/>
        </w:rPr>
        <w:t> </w:t>
      </w:r>
      <w:r w:rsidR="0093603C" w:rsidRPr="00235D4C">
        <w:rPr>
          <w:lang w:val="fr-FR"/>
        </w:rPr>
        <w:t>Nam.</w:t>
      </w:r>
    </w:p>
    <w:p w14:paraId="5FBEF40D" w14:textId="4BCA36D9" w:rsidR="0093603C" w:rsidRPr="00235D4C" w:rsidRDefault="006258B7" w:rsidP="0093603C">
      <w:pPr>
        <w:pStyle w:val="SingleTxtG"/>
        <w:rPr>
          <w:lang w:val="fr-FR"/>
        </w:rPr>
      </w:pPr>
      <w:r>
        <w:rPr>
          <w:lang w:val="fr-FR"/>
        </w:rPr>
        <w:tab/>
      </w:r>
      <w:r w:rsidR="0093603C" w:rsidRPr="00235D4C">
        <w:rPr>
          <w:lang w:val="fr-FR"/>
        </w:rPr>
        <w:t>Les activités de la société civile ont encore été restreintes par deux nouveaux décrets (n</w:t>
      </w:r>
      <w:r w:rsidR="0093603C" w:rsidRPr="0051299E">
        <w:rPr>
          <w:vertAlign w:val="superscript"/>
          <w:lang w:val="fr-FR"/>
        </w:rPr>
        <w:t>o</w:t>
      </w:r>
      <w:r>
        <w:rPr>
          <w:vertAlign w:val="superscript"/>
          <w:lang w:val="fr-FR"/>
        </w:rPr>
        <w:t>s</w:t>
      </w:r>
      <w:r w:rsidR="0093603C">
        <w:rPr>
          <w:lang w:val="fr-FR"/>
        </w:rPr>
        <w:t> </w:t>
      </w:r>
      <w:r w:rsidR="0093603C" w:rsidRPr="00235D4C">
        <w:rPr>
          <w:lang w:val="fr-FR"/>
        </w:rPr>
        <w:t xml:space="preserve">80/2020/ND-CP et 56/2020/ND-CP), qui imposent </w:t>
      </w:r>
      <w:r w:rsidR="0093603C">
        <w:rPr>
          <w:lang w:val="fr-FR"/>
        </w:rPr>
        <w:t xml:space="preserve">aux organisations de la société civile de rendre compte de leurs activités, de leurs financements, de </w:t>
      </w:r>
      <w:r w:rsidR="0093603C" w:rsidRPr="00235D4C">
        <w:rPr>
          <w:lang w:val="fr-FR"/>
        </w:rPr>
        <w:t xml:space="preserve">la gestion de </w:t>
      </w:r>
      <w:r w:rsidR="0093603C">
        <w:rPr>
          <w:lang w:val="fr-FR"/>
        </w:rPr>
        <w:t xml:space="preserve">leurs </w:t>
      </w:r>
      <w:r w:rsidR="0093603C" w:rsidRPr="00235D4C">
        <w:rPr>
          <w:lang w:val="fr-FR"/>
        </w:rPr>
        <w:t xml:space="preserve">projets et </w:t>
      </w:r>
      <w:r w:rsidR="0093603C">
        <w:rPr>
          <w:lang w:val="fr-FR"/>
        </w:rPr>
        <w:t xml:space="preserve">de </w:t>
      </w:r>
      <w:r w:rsidR="0093603C" w:rsidRPr="00235D4C">
        <w:rPr>
          <w:lang w:val="fr-FR"/>
        </w:rPr>
        <w:t>l</w:t>
      </w:r>
      <w:r w:rsidR="0093603C">
        <w:rPr>
          <w:lang w:val="fr-FR"/>
        </w:rPr>
        <w:t>’</w:t>
      </w:r>
      <w:r w:rsidR="0093603C" w:rsidRPr="00235D4C">
        <w:rPr>
          <w:lang w:val="fr-FR"/>
        </w:rPr>
        <w:t>organisation de réunions et d</w:t>
      </w:r>
      <w:r w:rsidR="0093603C">
        <w:rPr>
          <w:lang w:val="fr-FR"/>
        </w:rPr>
        <w:t>’</w:t>
      </w:r>
      <w:r w:rsidR="0093603C" w:rsidRPr="00235D4C">
        <w:rPr>
          <w:lang w:val="fr-FR"/>
        </w:rPr>
        <w:t>autres activités publiques</w:t>
      </w:r>
      <w:r w:rsidR="0093603C">
        <w:rPr>
          <w:lang w:val="fr-FR"/>
        </w:rPr>
        <w:t xml:space="preserve"> en suivant des procédures déraisonnablement contraignantes</w:t>
      </w:r>
      <w:r w:rsidR="0093603C" w:rsidRPr="00235D4C">
        <w:rPr>
          <w:lang w:val="fr-FR"/>
        </w:rPr>
        <w:t>, en particulier lorsqu</w:t>
      </w:r>
      <w:r w:rsidR="0093603C">
        <w:rPr>
          <w:lang w:val="fr-FR"/>
        </w:rPr>
        <w:t>’</w:t>
      </w:r>
      <w:r w:rsidR="0093603C" w:rsidRPr="00235D4C">
        <w:rPr>
          <w:lang w:val="fr-FR"/>
        </w:rPr>
        <w:t xml:space="preserve">elles </w:t>
      </w:r>
      <w:r>
        <w:rPr>
          <w:lang w:val="fr-FR"/>
        </w:rPr>
        <w:t>œuvre</w:t>
      </w:r>
      <w:r w:rsidR="0093603C">
        <w:rPr>
          <w:lang w:val="fr-FR"/>
        </w:rPr>
        <w:t>nt en faveur des</w:t>
      </w:r>
      <w:r w:rsidR="0093603C" w:rsidRPr="00235D4C">
        <w:rPr>
          <w:lang w:val="fr-FR"/>
        </w:rPr>
        <w:t xml:space="preserve"> droits de l</w:t>
      </w:r>
      <w:r w:rsidR="0093603C">
        <w:rPr>
          <w:lang w:val="fr-FR"/>
        </w:rPr>
        <w:t>’</w:t>
      </w:r>
      <w:r w:rsidR="0093603C" w:rsidRPr="00235D4C">
        <w:rPr>
          <w:lang w:val="fr-FR"/>
        </w:rPr>
        <w:t>homme. La décision n</w:t>
      </w:r>
      <w:r w:rsidR="0093603C" w:rsidRPr="0051299E">
        <w:rPr>
          <w:vertAlign w:val="superscript"/>
          <w:lang w:val="fr-FR"/>
        </w:rPr>
        <w:t>o</w:t>
      </w:r>
      <w:r w:rsidR="0093603C" w:rsidRPr="00235D4C">
        <w:rPr>
          <w:lang w:val="fr-FR"/>
        </w:rPr>
        <w:t xml:space="preserve"> 06/2020/QD-</w:t>
      </w:r>
      <w:proofErr w:type="spellStart"/>
      <w:r w:rsidR="0093603C" w:rsidRPr="00235D4C">
        <w:rPr>
          <w:lang w:val="fr-FR"/>
        </w:rPr>
        <w:t>Ttg</w:t>
      </w:r>
      <w:proofErr w:type="spellEnd"/>
      <w:r w:rsidR="0093603C" w:rsidRPr="00235D4C">
        <w:rPr>
          <w:lang w:val="fr-FR"/>
        </w:rPr>
        <w:t xml:space="preserve"> du Premier </w:t>
      </w:r>
      <w:r w:rsidRPr="00235D4C">
        <w:rPr>
          <w:lang w:val="fr-FR"/>
        </w:rPr>
        <w:t>M</w:t>
      </w:r>
      <w:r w:rsidR="0093603C" w:rsidRPr="00235D4C">
        <w:rPr>
          <w:lang w:val="fr-FR"/>
        </w:rPr>
        <w:t>inistre datée du 21</w:t>
      </w:r>
      <w:r w:rsidR="00374461">
        <w:rPr>
          <w:lang w:val="fr-FR"/>
        </w:rPr>
        <w:t> </w:t>
      </w:r>
      <w:r w:rsidR="0093603C" w:rsidRPr="00235D4C">
        <w:rPr>
          <w:lang w:val="fr-FR"/>
        </w:rPr>
        <w:t xml:space="preserve">février 2020 fixe de nouvelles conditions </w:t>
      </w:r>
      <w:r w:rsidR="0093603C">
        <w:rPr>
          <w:lang w:val="fr-FR"/>
        </w:rPr>
        <w:t>à</w:t>
      </w:r>
      <w:r w:rsidR="0093603C" w:rsidRPr="00235D4C">
        <w:rPr>
          <w:lang w:val="fr-FR"/>
        </w:rPr>
        <w:t xml:space="preserve"> l</w:t>
      </w:r>
      <w:r w:rsidR="0093603C">
        <w:rPr>
          <w:lang w:val="fr-FR"/>
        </w:rPr>
        <w:t>’</w:t>
      </w:r>
      <w:r w:rsidR="0093603C" w:rsidRPr="00235D4C">
        <w:rPr>
          <w:lang w:val="fr-FR"/>
        </w:rPr>
        <w:t xml:space="preserve">organisation de conférences internationales </w:t>
      </w:r>
      <w:r w:rsidR="0093603C">
        <w:rPr>
          <w:lang w:val="fr-FR"/>
        </w:rPr>
        <w:t xml:space="preserve">portant </w:t>
      </w:r>
      <w:r w:rsidR="0093603C" w:rsidRPr="00235D4C">
        <w:rPr>
          <w:lang w:val="fr-FR"/>
        </w:rPr>
        <w:t>sur des sujets tels que la liberté de religion et les droits de l</w:t>
      </w:r>
      <w:r w:rsidR="0093603C">
        <w:rPr>
          <w:lang w:val="fr-FR"/>
        </w:rPr>
        <w:t>’</w:t>
      </w:r>
      <w:r w:rsidR="0093603C" w:rsidRPr="00235D4C">
        <w:rPr>
          <w:lang w:val="fr-FR"/>
        </w:rPr>
        <w:t>homme.</w:t>
      </w:r>
    </w:p>
    <w:p w14:paraId="3BA5926E" w14:textId="77777777" w:rsidR="0093603C" w:rsidRPr="00235D4C" w:rsidRDefault="0093603C" w:rsidP="0093603C">
      <w:pPr>
        <w:pStyle w:val="H23G"/>
        <w:rPr>
          <w:lang w:val="fr-FR"/>
        </w:rPr>
      </w:pPr>
      <w:r w:rsidRPr="00235D4C">
        <w:rPr>
          <w:lang w:val="fr-FR"/>
        </w:rPr>
        <w:tab/>
      </w:r>
      <w:r w:rsidRPr="00235D4C">
        <w:rPr>
          <w:lang w:val="fr-FR"/>
        </w:rPr>
        <w:tab/>
        <w:t>Évaluation du Comité</w:t>
      </w:r>
    </w:p>
    <w:p w14:paraId="59EF5B87" w14:textId="77777777" w:rsidR="0093603C" w:rsidRPr="00235D4C" w:rsidRDefault="0093603C" w:rsidP="0093603C">
      <w:pPr>
        <w:pStyle w:val="SingleTxtG"/>
        <w:rPr>
          <w:lang w:val="fr-FR"/>
        </w:rPr>
      </w:pPr>
      <w:r w:rsidRPr="00235D4C">
        <w:rPr>
          <w:lang w:val="fr-FR"/>
        </w:rPr>
        <w:t>[C]</w:t>
      </w:r>
    </w:p>
    <w:p w14:paraId="4E973484" w14:textId="563E117C" w:rsidR="0093603C" w:rsidRPr="00235D4C" w:rsidRDefault="006258B7" w:rsidP="0093603C">
      <w:pPr>
        <w:pStyle w:val="SingleTxtG"/>
        <w:rPr>
          <w:lang w:val="fr-FR"/>
        </w:rPr>
      </w:pPr>
      <w:r>
        <w:rPr>
          <w:lang w:val="fr-FR"/>
        </w:rPr>
        <w:tab/>
      </w:r>
      <w:r w:rsidR="0093603C" w:rsidRPr="00235D4C">
        <w:rPr>
          <w:lang w:val="fr-FR"/>
        </w:rPr>
        <w:t>Le Comité prend note des informations fournies, notamment sur l</w:t>
      </w:r>
      <w:r w:rsidR="0093603C">
        <w:rPr>
          <w:lang w:val="fr-FR"/>
        </w:rPr>
        <w:t>’</w:t>
      </w:r>
      <w:r w:rsidR="0093603C" w:rsidRPr="00235D4C">
        <w:rPr>
          <w:lang w:val="fr-FR"/>
        </w:rPr>
        <w:t>élaboration d</w:t>
      </w:r>
      <w:r w:rsidR="0093603C">
        <w:rPr>
          <w:lang w:val="fr-FR"/>
        </w:rPr>
        <w:t>’</w:t>
      </w:r>
      <w:r w:rsidR="0093603C" w:rsidRPr="00235D4C">
        <w:rPr>
          <w:lang w:val="fr-FR"/>
        </w:rPr>
        <w:t>une loi relative aux organisations non gouvernementales étrangères, mais regrette l</w:t>
      </w:r>
      <w:r w:rsidR="0093603C">
        <w:rPr>
          <w:lang w:val="fr-FR"/>
        </w:rPr>
        <w:t>’</w:t>
      </w:r>
      <w:r w:rsidR="0093603C" w:rsidRPr="00235D4C">
        <w:rPr>
          <w:lang w:val="fr-FR"/>
        </w:rPr>
        <w:t>absence de renseignements précis sur les mesures prises pour garantir la protection des défenseurs des droits de l</w:t>
      </w:r>
      <w:r w:rsidR="0093603C">
        <w:rPr>
          <w:lang w:val="fr-FR"/>
        </w:rPr>
        <w:t>’</w:t>
      </w:r>
      <w:r w:rsidR="0093603C" w:rsidRPr="00235D4C">
        <w:rPr>
          <w:lang w:val="fr-FR"/>
        </w:rPr>
        <w:t>homme et des acteurs de la société civile. Il renouvelle sa recommandation et souhaite obtenir des renseignements complémentaires sur</w:t>
      </w:r>
      <w:r w:rsidR="00374461">
        <w:rPr>
          <w:lang w:val="fr-FR"/>
        </w:rPr>
        <w:t> </w:t>
      </w:r>
      <w:r w:rsidR="0093603C" w:rsidRPr="00235D4C">
        <w:rPr>
          <w:lang w:val="fr-FR"/>
        </w:rPr>
        <w:t xml:space="preserve">: a) la situation de quatre défenseurs des droits environnementaux, à savoir Mai Phan </w:t>
      </w:r>
      <w:proofErr w:type="spellStart"/>
      <w:r w:rsidR="0093603C" w:rsidRPr="00235D4C">
        <w:rPr>
          <w:lang w:val="fr-FR"/>
        </w:rPr>
        <w:t>Lợi</w:t>
      </w:r>
      <w:proofErr w:type="spellEnd"/>
      <w:r w:rsidR="0093603C" w:rsidRPr="00235D4C">
        <w:rPr>
          <w:lang w:val="fr-FR"/>
        </w:rPr>
        <w:t xml:space="preserve">, </w:t>
      </w:r>
      <w:proofErr w:type="spellStart"/>
      <w:r w:rsidR="0093603C" w:rsidRPr="00235D4C">
        <w:rPr>
          <w:lang w:val="fr-FR"/>
        </w:rPr>
        <w:t>Bạch</w:t>
      </w:r>
      <w:proofErr w:type="spellEnd"/>
      <w:r w:rsidR="0093603C" w:rsidRPr="00235D4C">
        <w:rPr>
          <w:lang w:val="fr-FR"/>
        </w:rPr>
        <w:t xml:space="preserve"> </w:t>
      </w:r>
      <w:proofErr w:type="spellStart"/>
      <w:r w:rsidR="0093603C" w:rsidRPr="00235D4C">
        <w:rPr>
          <w:lang w:val="fr-FR"/>
        </w:rPr>
        <w:t>Hùng</w:t>
      </w:r>
      <w:proofErr w:type="spellEnd"/>
      <w:r w:rsidR="0093603C" w:rsidRPr="00235D4C">
        <w:rPr>
          <w:lang w:val="fr-FR"/>
        </w:rPr>
        <w:t xml:space="preserve"> </w:t>
      </w:r>
      <w:proofErr w:type="spellStart"/>
      <w:r w:rsidR="0093603C" w:rsidRPr="00235D4C">
        <w:rPr>
          <w:lang w:val="fr-FR"/>
        </w:rPr>
        <w:t>Dương</w:t>
      </w:r>
      <w:proofErr w:type="spellEnd"/>
      <w:r w:rsidR="0093603C" w:rsidRPr="00235D4C">
        <w:rPr>
          <w:lang w:val="fr-FR"/>
        </w:rPr>
        <w:t xml:space="preserve">, </w:t>
      </w:r>
      <w:proofErr w:type="spellStart"/>
      <w:r w:rsidR="0093603C" w:rsidRPr="00235D4C">
        <w:rPr>
          <w:lang w:val="fr-FR"/>
        </w:rPr>
        <w:t>Đặng</w:t>
      </w:r>
      <w:proofErr w:type="spellEnd"/>
      <w:r w:rsidR="0093603C" w:rsidRPr="00235D4C">
        <w:rPr>
          <w:lang w:val="fr-FR"/>
        </w:rPr>
        <w:t xml:space="preserve"> </w:t>
      </w:r>
      <w:proofErr w:type="spellStart"/>
      <w:r w:rsidR="0093603C" w:rsidRPr="00235D4C">
        <w:rPr>
          <w:lang w:val="fr-FR"/>
        </w:rPr>
        <w:t>Đình</w:t>
      </w:r>
      <w:proofErr w:type="spellEnd"/>
      <w:r w:rsidR="0093603C" w:rsidRPr="00235D4C">
        <w:rPr>
          <w:lang w:val="fr-FR"/>
        </w:rPr>
        <w:t xml:space="preserve"> </w:t>
      </w:r>
      <w:proofErr w:type="spellStart"/>
      <w:r w:rsidR="0093603C" w:rsidRPr="00235D4C">
        <w:rPr>
          <w:lang w:val="fr-FR"/>
        </w:rPr>
        <w:t>Bách</w:t>
      </w:r>
      <w:proofErr w:type="spellEnd"/>
      <w:r w:rsidR="0093603C" w:rsidRPr="00235D4C">
        <w:rPr>
          <w:lang w:val="fr-FR"/>
        </w:rPr>
        <w:t xml:space="preserve"> et </w:t>
      </w:r>
      <w:proofErr w:type="spellStart"/>
      <w:r w:rsidR="0093603C" w:rsidRPr="00235D4C">
        <w:rPr>
          <w:lang w:val="fr-FR"/>
        </w:rPr>
        <w:t>Ngụy</w:t>
      </w:r>
      <w:proofErr w:type="spellEnd"/>
      <w:r w:rsidR="0093603C" w:rsidRPr="00235D4C">
        <w:rPr>
          <w:lang w:val="fr-FR"/>
        </w:rPr>
        <w:t xml:space="preserve"> </w:t>
      </w:r>
      <w:proofErr w:type="spellStart"/>
      <w:r w:rsidR="0093603C" w:rsidRPr="00235D4C">
        <w:rPr>
          <w:lang w:val="fr-FR"/>
        </w:rPr>
        <w:t>Thị</w:t>
      </w:r>
      <w:proofErr w:type="spellEnd"/>
      <w:r w:rsidR="0093603C" w:rsidRPr="00235D4C">
        <w:rPr>
          <w:lang w:val="fr-FR"/>
        </w:rPr>
        <w:t xml:space="preserve"> </w:t>
      </w:r>
      <w:proofErr w:type="spellStart"/>
      <w:r w:rsidR="0093603C" w:rsidRPr="00235D4C">
        <w:rPr>
          <w:lang w:val="fr-FR"/>
        </w:rPr>
        <w:t>Khanh</w:t>
      </w:r>
      <w:proofErr w:type="spellEnd"/>
      <w:r w:rsidR="0093603C" w:rsidRPr="00235D4C">
        <w:rPr>
          <w:lang w:val="fr-FR"/>
        </w:rPr>
        <w:t xml:space="preserve">, notamment </w:t>
      </w:r>
      <w:r w:rsidR="0093603C">
        <w:rPr>
          <w:lang w:val="fr-FR"/>
        </w:rPr>
        <w:t xml:space="preserve">pour ce qui est </w:t>
      </w:r>
      <w:r w:rsidR="0093603C" w:rsidRPr="00235D4C">
        <w:rPr>
          <w:lang w:val="fr-FR"/>
        </w:rPr>
        <w:t>du respect des garanties d</w:t>
      </w:r>
      <w:r w:rsidR="0093603C">
        <w:rPr>
          <w:lang w:val="fr-FR"/>
        </w:rPr>
        <w:t>’</w:t>
      </w:r>
      <w:r w:rsidR="0093603C" w:rsidRPr="00235D4C">
        <w:rPr>
          <w:lang w:val="fr-FR"/>
        </w:rPr>
        <w:t>un procès équitable dans les procédures les concernant ; b) la compatibilité avec le Pacte, en particulier de l</w:t>
      </w:r>
      <w:r w:rsidR="0093603C">
        <w:rPr>
          <w:lang w:val="fr-FR"/>
        </w:rPr>
        <w:t>’</w:t>
      </w:r>
      <w:r w:rsidR="0093603C" w:rsidRPr="00235D4C">
        <w:rPr>
          <w:lang w:val="fr-FR"/>
        </w:rPr>
        <w:t>article 22, des décrets n</w:t>
      </w:r>
      <w:r w:rsidR="0093603C" w:rsidRPr="0051299E">
        <w:rPr>
          <w:vertAlign w:val="superscript"/>
          <w:lang w:val="fr-FR"/>
        </w:rPr>
        <w:t>o</w:t>
      </w:r>
      <w:r>
        <w:rPr>
          <w:vertAlign w:val="superscript"/>
          <w:lang w:val="fr-FR"/>
        </w:rPr>
        <w:t>s</w:t>
      </w:r>
      <w:r w:rsidR="0093603C" w:rsidRPr="00235D4C">
        <w:rPr>
          <w:lang w:val="fr-FR"/>
        </w:rPr>
        <w:t xml:space="preserve"> 80/2020/ND-CP et 56/2020/ND-CP et de la décision n</w:t>
      </w:r>
      <w:r w:rsidR="0093603C" w:rsidRPr="0051299E">
        <w:rPr>
          <w:vertAlign w:val="superscript"/>
          <w:lang w:val="fr-FR"/>
        </w:rPr>
        <w:t>o</w:t>
      </w:r>
      <w:r>
        <w:rPr>
          <w:lang w:val="fr-FR"/>
        </w:rPr>
        <w:t> </w:t>
      </w:r>
      <w:r w:rsidR="0093603C" w:rsidRPr="00235D4C">
        <w:rPr>
          <w:lang w:val="fr-FR"/>
        </w:rPr>
        <w:t>06/2020/QD-</w:t>
      </w:r>
      <w:proofErr w:type="spellStart"/>
      <w:r w:rsidR="0093603C" w:rsidRPr="00235D4C">
        <w:rPr>
          <w:lang w:val="fr-FR"/>
        </w:rPr>
        <w:t>Ttg</w:t>
      </w:r>
      <w:proofErr w:type="spellEnd"/>
      <w:r w:rsidR="0093603C" w:rsidRPr="00235D4C">
        <w:rPr>
          <w:lang w:val="fr-FR"/>
        </w:rPr>
        <w:t xml:space="preserve"> du Premier Ministre. </w:t>
      </w:r>
    </w:p>
    <w:p w14:paraId="19C68A11" w14:textId="77777777" w:rsidR="0093603C" w:rsidRPr="00235D4C" w:rsidRDefault="0093603C" w:rsidP="0093603C">
      <w:pPr>
        <w:pStyle w:val="SingleTxtG"/>
        <w:rPr>
          <w:lang w:val="fr-FR"/>
        </w:rPr>
      </w:pPr>
      <w:r w:rsidRPr="00235D4C">
        <w:rPr>
          <w:b/>
          <w:bCs/>
          <w:lang w:val="fr-FR"/>
        </w:rPr>
        <w:t>Mesures recommandées :</w:t>
      </w:r>
      <w:r w:rsidRPr="00235D4C">
        <w:rPr>
          <w:lang w:val="fr-FR"/>
        </w:rPr>
        <w:t xml:space="preserve"> Une lettre devrait être adressée à l</w:t>
      </w:r>
      <w:r>
        <w:rPr>
          <w:lang w:val="fr-FR"/>
        </w:rPr>
        <w:t>’</w:t>
      </w:r>
      <w:r w:rsidRPr="00235D4C">
        <w:rPr>
          <w:lang w:val="fr-FR"/>
        </w:rPr>
        <w:t>État partie pour l</w:t>
      </w:r>
      <w:r>
        <w:rPr>
          <w:lang w:val="fr-FR"/>
        </w:rPr>
        <w:t>’</w:t>
      </w:r>
      <w:r w:rsidRPr="00235D4C">
        <w:rPr>
          <w:lang w:val="fr-FR"/>
        </w:rPr>
        <w:t>informer de l</w:t>
      </w:r>
      <w:r>
        <w:rPr>
          <w:lang w:val="fr-FR"/>
        </w:rPr>
        <w:t>’</w:t>
      </w:r>
      <w:r w:rsidRPr="00235D4C">
        <w:rPr>
          <w:lang w:val="fr-FR"/>
        </w:rPr>
        <w:t>arrêt de la procédure de suivi. Les renseignements demandés devraient être communiqués par l</w:t>
      </w:r>
      <w:r>
        <w:rPr>
          <w:lang w:val="fr-FR"/>
        </w:rPr>
        <w:t>’</w:t>
      </w:r>
      <w:r w:rsidRPr="00235D4C">
        <w:rPr>
          <w:lang w:val="fr-FR"/>
        </w:rPr>
        <w:t>État partie dans son prochain rapport périodique.</w:t>
      </w:r>
    </w:p>
    <w:p w14:paraId="70AB670B" w14:textId="4A40F022" w:rsidR="0093603C" w:rsidRPr="00235D4C" w:rsidRDefault="0093603C" w:rsidP="0093603C">
      <w:pPr>
        <w:pStyle w:val="SingleTxtG"/>
        <w:rPr>
          <w:lang w:val="fr-FR"/>
        </w:rPr>
      </w:pPr>
      <w:r w:rsidRPr="00235D4C">
        <w:rPr>
          <w:b/>
          <w:bCs/>
          <w:lang w:val="fr-FR"/>
        </w:rPr>
        <w:t>Prochain rapport périodique attendu le</w:t>
      </w:r>
      <w:r w:rsidR="00374461">
        <w:rPr>
          <w:b/>
          <w:bCs/>
          <w:lang w:val="fr-FR"/>
        </w:rPr>
        <w:t> </w:t>
      </w:r>
      <w:r w:rsidRPr="00235D4C">
        <w:rPr>
          <w:b/>
          <w:bCs/>
          <w:lang w:val="fr-FR"/>
        </w:rPr>
        <w:t>:</w:t>
      </w:r>
      <w:r w:rsidRPr="00235D4C">
        <w:rPr>
          <w:lang w:val="fr-FR"/>
        </w:rPr>
        <w:t xml:space="preserve"> 29</w:t>
      </w:r>
      <w:r w:rsidR="00374461">
        <w:rPr>
          <w:lang w:val="fr-FR"/>
        </w:rPr>
        <w:t> </w:t>
      </w:r>
      <w:r w:rsidRPr="00235D4C">
        <w:rPr>
          <w:lang w:val="fr-FR"/>
        </w:rPr>
        <w:t>mars 2023.</w:t>
      </w:r>
    </w:p>
    <w:p w14:paraId="22616FB6" w14:textId="341B3799" w:rsidR="00E85C42" w:rsidRPr="0093603C" w:rsidRDefault="0093603C" w:rsidP="0093603C">
      <w:pPr>
        <w:spacing w:before="240"/>
        <w:jc w:val="center"/>
        <w:rPr>
          <w:u w:val="single"/>
          <w:lang w:val="fr-FR"/>
        </w:rPr>
      </w:pPr>
      <w:r w:rsidRPr="00235D4C">
        <w:rPr>
          <w:u w:val="single"/>
          <w:lang w:val="fr-FR"/>
        </w:rPr>
        <w:tab/>
      </w:r>
      <w:r w:rsidRPr="00235D4C">
        <w:rPr>
          <w:u w:val="single"/>
          <w:lang w:val="fr-FR"/>
        </w:rPr>
        <w:tab/>
      </w:r>
      <w:r w:rsidRPr="00235D4C">
        <w:rPr>
          <w:u w:val="single"/>
          <w:lang w:val="fr-FR"/>
        </w:rPr>
        <w:tab/>
      </w:r>
    </w:p>
    <w:sectPr w:rsidR="00E85C42" w:rsidRPr="0093603C" w:rsidSect="0093603C">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7490" w14:textId="77777777" w:rsidR="000F21BF" w:rsidRDefault="000F21BF" w:rsidP="00F95C08">
      <w:pPr>
        <w:spacing w:line="240" w:lineRule="auto"/>
      </w:pPr>
    </w:p>
  </w:endnote>
  <w:endnote w:type="continuationSeparator" w:id="0">
    <w:p w14:paraId="204F800E" w14:textId="77777777" w:rsidR="000F21BF" w:rsidRPr="00AC3823" w:rsidRDefault="000F21BF" w:rsidP="00AC3823">
      <w:pPr>
        <w:pStyle w:val="Pieddepage"/>
      </w:pPr>
    </w:p>
  </w:endnote>
  <w:endnote w:type="continuationNotice" w:id="1">
    <w:p w14:paraId="34E39464" w14:textId="77777777" w:rsidR="000F21BF" w:rsidRDefault="000F21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4963" w14:textId="0AFF071E" w:rsidR="0093603C" w:rsidRPr="0093603C" w:rsidRDefault="0093603C" w:rsidP="0093603C">
    <w:pPr>
      <w:pStyle w:val="Pieddepage"/>
      <w:tabs>
        <w:tab w:val="right" w:pos="9638"/>
      </w:tabs>
    </w:pPr>
    <w:r w:rsidRPr="0093603C">
      <w:rPr>
        <w:b/>
        <w:sz w:val="18"/>
      </w:rPr>
      <w:fldChar w:fldCharType="begin"/>
    </w:r>
    <w:r w:rsidRPr="0093603C">
      <w:rPr>
        <w:b/>
        <w:sz w:val="18"/>
      </w:rPr>
      <w:instrText xml:space="preserve"> PAGE  \* MERGEFORMAT </w:instrText>
    </w:r>
    <w:r w:rsidRPr="0093603C">
      <w:rPr>
        <w:b/>
        <w:sz w:val="18"/>
      </w:rPr>
      <w:fldChar w:fldCharType="separate"/>
    </w:r>
    <w:r w:rsidRPr="0093603C">
      <w:rPr>
        <w:b/>
        <w:noProof/>
        <w:sz w:val="18"/>
      </w:rPr>
      <w:t>2</w:t>
    </w:r>
    <w:r w:rsidRPr="0093603C">
      <w:rPr>
        <w:b/>
        <w:sz w:val="18"/>
      </w:rPr>
      <w:fldChar w:fldCharType="end"/>
    </w:r>
    <w:r>
      <w:rPr>
        <w:b/>
        <w:sz w:val="18"/>
      </w:rPr>
      <w:tab/>
    </w:r>
    <w:r>
      <w:t>GE.22-25662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9F5" w14:textId="2E5E2EF7" w:rsidR="0093603C" w:rsidRPr="0093603C" w:rsidRDefault="0093603C" w:rsidP="0093603C">
    <w:pPr>
      <w:pStyle w:val="Pieddepage"/>
      <w:tabs>
        <w:tab w:val="right" w:pos="9638"/>
      </w:tabs>
      <w:rPr>
        <w:b/>
        <w:sz w:val="18"/>
      </w:rPr>
    </w:pPr>
    <w:r>
      <w:t>GE.22-25662</w:t>
    </w:r>
    <w:r>
      <w:tab/>
    </w:r>
    <w:r w:rsidRPr="0093603C">
      <w:rPr>
        <w:b/>
        <w:sz w:val="18"/>
      </w:rPr>
      <w:fldChar w:fldCharType="begin"/>
    </w:r>
    <w:r w:rsidRPr="0093603C">
      <w:rPr>
        <w:b/>
        <w:sz w:val="18"/>
      </w:rPr>
      <w:instrText xml:space="preserve"> PAGE  \* MERGEFORMAT </w:instrText>
    </w:r>
    <w:r w:rsidRPr="0093603C">
      <w:rPr>
        <w:b/>
        <w:sz w:val="18"/>
      </w:rPr>
      <w:fldChar w:fldCharType="separate"/>
    </w:r>
    <w:r w:rsidRPr="0093603C">
      <w:rPr>
        <w:b/>
        <w:noProof/>
        <w:sz w:val="18"/>
      </w:rPr>
      <w:t>3</w:t>
    </w:r>
    <w:r w:rsidRPr="009360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E03C" w14:textId="50B93A84" w:rsidR="001B379B" w:rsidRPr="0093603C" w:rsidRDefault="0093603C" w:rsidP="0093603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EE22A4B" wp14:editId="23CAD1A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22-25662  (F)</w:t>
    </w:r>
    <w:r>
      <w:rPr>
        <w:noProof/>
        <w:sz w:val="20"/>
      </w:rPr>
      <w:drawing>
        <wp:anchor distT="0" distB="0" distL="114300" distR="114300" simplePos="0" relativeHeight="251660288" behindDoc="0" locked="0" layoutInCell="1" allowOverlap="1" wp14:anchorId="62A42B1D" wp14:editId="4702336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191222    191222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D840" w14:textId="77777777" w:rsidR="000F21BF" w:rsidRPr="00AC3823" w:rsidRDefault="000F21BF" w:rsidP="00AC3823">
      <w:pPr>
        <w:pStyle w:val="Pieddepage"/>
        <w:tabs>
          <w:tab w:val="right" w:pos="2155"/>
        </w:tabs>
        <w:spacing w:after="80" w:line="240" w:lineRule="atLeast"/>
        <w:ind w:left="680"/>
        <w:rPr>
          <w:u w:val="single"/>
        </w:rPr>
      </w:pPr>
      <w:r>
        <w:rPr>
          <w:u w:val="single"/>
        </w:rPr>
        <w:tab/>
      </w:r>
    </w:p>
  </w:footnote>
  <w:footnote w:type="continuationSeparator" w:id="0">
    <w:p w14:paraId="2744DFB8" w14:textId="77777777" w:rsidR="000F21BF" w:rsidRPr="00AC3823" w:rsidRDefault="000F21BF" w:rsidP="00AC3823">
      <w:pPr>
        <w:pStyle w:val="Pieddepage"/>
        <w:tabs>
          <w:tab w:val="right" w:pos="2155"/>
        </w:tabs>
        <w:spacing w:after="80" w:line="240" w:lineRule="atLeast"/>
        <w:ind w:left="680"/>
        <w:rPr>
          <w:u w:val="single"/>
        </w:rPr>
      </w:pPr>
      <w:r>
        <w:rPr>
          <w:u w:val="single"/>
        </w:rPr>
        <w:tab/>
      </w:r>
    </w:p>
  </w:footnote>
  <w:footnote w:type="continuationNotice" w:id="1">
    <w:p w14:paraId="034A4FA7" w14:textId="77777777" w:rsidR="000F21BF" w:rsidRPr="00AC3823" w:rsidRDefault="000F21BF">
      <w:pPr>
        <w:spacing w:line="240" w:lineRule="auto"/>
        <w:rPr>
          <w:sz w:val="2"/>
          <w:szCs w:val="2"/>
        </w:rPr>
      </w:pPr>
    </w:p>
  </w:footnote>
  <w:footnote w:id="2">
    <w:p w14:paraId="75E34C45" w14:textId="0E7BC7EE" w:rsidR="0093603C" w:rsidRPr="00235D4C" w:rsidRDefault="0093603C" w:rsidP="0093603C">
      <w:pPr>
        <w:pStyle w:val="Notedebasdepage"/>
        <w:rPr>
          <w:lang w:val="fr-FR"/>
        </w:rPr>
      </w:pPr>
      <w:r>
        <w:rPr>
          <w:lang w:val="fr-FR"/>
        </w:rPr>
        <w:tab/>
      </w:r>
      <w:r w:rsidRPr="0047439B">
        <w:rPr>
          <w:sz w:val="20"/>
          <w:lang w:val="fr-FR"/>
        </w:rPr>
        <w:t>*</w:t>
      </w:r>
      <w:r>
        <w:rPr>
          <w:lang w:val="fr-FR"/>
        </w:rPr>
        <w:tab/>
        <w:t>Adopté par le Comité à sa 136</w:t>
      </w:r>
      <w:r w:rsidRPr="0047439B">
        <w:rPr>
          <w:vertAlign w:val="superscript"/>
          <w:lang w:val="fr-FR"/>
        </w:rPr>
        <w:t>e</w:t>
      </w:r>
      <w:r w:rsidR="0047439B">
        <w:rPr>
          <w:lang w:val="fr-FR"/>
        </w:rPr>
        <w:t xml:space="preserve"> </w:t>
      </w:r>
      <w:r>
        <w:rPr>
          <w:lang w:val="fr-FR"/>
        </w:rPr>
        <w:t>session (10 octobre-4 novembre 2022).</w:t>
      </w:r>
    </w:p>
  </w:footnote>
  <w:footnote w:id="3">
    <w:p w14:paraId="2BF1EA47" w14:textId="1C68E598" w:rsidR="0093603C" w:rsidRPr="0006680F" w:rsidRDefault="0093603C" w:rsidP="0093603C">
      <w:pPr>
        <w:pStyle w:val="Notedebasdepage"/>
      </w:pPr>
      <w:r>
        <w:rPr>
          <w:lang w:val="fr-FR"/>
        </w:rPr>
        <w:tab/>
      </w:r>
      <w:r w:rsidRPr="009506EB">
        <w:rPr>
          <w:rStyle w:val="Appelnotedebasdep"/>
          <w:lang w:val="fr-FR"/>
        </w:rPr>
        <w:footnoteRef/>
      </w:r>
      <w:r>
        <w:rPr>
          <w:lang w:val="fr-FR"/>
        </w:rPr>
        <w:tab/>
      </w:r>
      <w:hyperlink r:id="rId1" w:history="1">
        <w:r w:rsidRPr="0093603C">
          <w:rPr>
            <w:rStyle w:val="Lienhypertexte"/>
            <w:lang w:val="fr-FR"/>
          </w:rPr>
          <w:t>CCPR/CO/75/VNM</w:t>
        </w:r>
      </w:hyperlink>
      <w:r>
        <w:rPr>
          <w:lang w:val="fr-FR"/>
        </w:rPr>
        <w:t xml:space="preserve">, par.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893" w14:textId="1DFE4ECF" w:rsidR="0093603C" w:rsidRPr="0093603C" w:rsidRDefault="0093603C">
    <w:pPr>
      <w:pStyle w:val="En-tte"/>
    </w:pPr>
    <w:fldSimple w:instr=" TITLE  \* MERGEFORMAT ">
      <w:r>
        <w:t>CCPR/C/136/2/Add.4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540B" w14:textId="6DF18DE1" w:rsidR="0093603C" w:rsidRPr="0093603C" w:rsidRDefault="0093603C" w:rsidP="0093603C">
    <w:pPr>
      <w:pStyle w:val="En-tte"/>
      <w:jc w:val="right"/>
    </w:pPr>
    <w:fldSimple w:instr=" TITLE  \* MERGEFORMAT ">
      <w:r>
        <w:t>CCPR/C/136/2/Add.4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BF"/>
    <w:rsid w:val="00017F94"/>
    <w:rsid w:val="00023842"/>
    <w:rsid w:val="000334F9"/>
    <w:rsid w:val="0007796D"/>
    <w:rsid w:val="000919AD"/>
    <w:rsid w:val="000B7790"/>
    <w:rsid w:val="000C2225"/>
    <w:rsid w:val="000F21BF"/>
    <w:rsid w:val="00111F2F"/>
    <w:rsid w:val="0014365E"/>
    <w:rsid w:val="00176178"/>
    <w:rsid w:val="001B379B"/>
    <w:rsid w:val="001F525A"/>
    <w:rsid w:val="00223272"/>
    <w:rsid w:val="0024779E"/>
    <w:rsid w:val="002B7BC7"/>
    <w:rsid w:val="002E2D46"/>
    <w:rsid w:val="0032225A"/>
    <w:rsid w:val="003265B7"/>
    <w:rsid w:val="003402F1"/>
    <w:rsid w:val="00351332"/>
    <w:rsid w:val="00374461"/>
    <w:rsid w:val="003A6E96"/>
    <w:rsid w:val="003F6979"/>
    <w:rsid w:val="00446FE5"/>
    <w:rsid w:val="00452396"/>
    <w:rsid w:val="0047439B"/>
    <w:rsid w:val="005505B7"/>
    <w:rsid w:val="00573BE5"/>
    <w:rsid w:val="00586ED3"/>
    <w:rsid w:val="00596AA9"/>
    <w:rsid w:val="006258B7"/>
    <w:rsid w:val="006D1448"/>
    <w:rsid w:val="006F7144"/>
    <w:rsid w:val="006F71EA"/>
    <w:rsid w:val="00703E8E"/>
    <w:rsid w:val="0071601D"/>
    <w:rsid w:val="00793E85"/>
    <w:rsid w:val="007A611C"/>
    <w:rsid w:val="007A62E6"/>
    <w:rsid w:val="007E2032"/>
    <w:rsid w:val="0080684C"/>
    <w:rsid w:val="008560DB"/>
    <w:rsid w:val="00871C75"/>
    <w:rsid w:val="008776DC"/>
    <w:rsid w:val="0093603C"/>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56F03"/>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19548"/>
  <w15:docId w15:val="{9BA30E47-D835-4157-9809-21D9AF7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93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dh.org/fr/regions/asie/vietnam/Resolution-urgente-du-Comit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h.org/fr/regions/asie/vietnam/Conversation-avec-Vo-Van-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fr/CCPR/C/VNM/FCO/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fr/CCPR/C/VNM/CO/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CPR/CO/75/VN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491C-3CC2-4601-ADCD-ACBA20D6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2706</Words>
  <Characters>14398</Characters>
  <Application>Microsoft Office Word</Application>
  <DocSecurity>0</DocSecurity>
  <Lines>239</Lines>
  <Paragraphs>87</Paragraphs>
  <ScaleCrop>false</ScaleCrop>
  <HeadingPairs>
    <vt:vector size="2" baseType="variant">
      <vt:variant>
        <vt:lpstr>Titre</vt:lpstr>
      </vt:variant>
      <vt:variant>
        <vt:i4>1</vt:i4>
      </vt:variant>
    </vt:vector>
  </HeadingPairs>
  <TitlesOfParts>
    <vt:vector size="1" baseType="lpstr">
      <vt:lpstr>CCPR/C/136/2/Add.4</vt:lpstr>
    </vt:vector>
  </TitlesOfParts>
  <Company>DCM</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CCPR/C/136/2/Add.4</dc:title>
  <dc:subject/>
  <dc:creator>Sandrine CLERE</dc:creator>
  <cp:keywords/>
  <cp:lastModifiedBy>Sandrine Clere</cp:lastModifiedBy>
  <cp:revision>2</cp:revision>
  <cp:lastPrinted>2014-05-14T10:59:00Z</cp:lastPrinted>
  <dcterms:created xsi:type="dcterms:W3CDTF">2022-12-19T12:57:00Z</dcterms:created>
  <dcterms:modified xsi:type="dcterms:W3CDTF">2022-12-19T12:57:00Z</dcterms:modified>
</cp:coreProperties>
</file>