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77A7F016" w14:textId="77777777" w:rsidTr="005B51C4">
        <w:trPr>
          <w:trHeight w:hRule="exact" w:val="851"/>
        </w:trPr>
        <w:tc>
          <w:tcPr>
            <w:tcW w:w="1274" w:type="dxa"/>
            <w:tcBorders>
              <w:bottom w:val="single" w:sz="4" w:space="0" w:color="auto"/>
            </w:tcBorders>
            <w:shd w:val="clear" w:color="auto" w:fill="auto"/>
          </w:tcPr>
          <w:p w14:paraId="49A0BD25" w14:textId="77777777" w:rsidR="006B3E27" w:rsidRPr="00C175A6" w:rsidRDefault="006B3E27" w:rsidP="00BA0EB7">
            <w:pPr>
              <w:kinsoku w:val="0"/>
              <w:overflowPunct w:val="0"/>
              <w:autoSpaceDE w:val="0"/>
              <w:autoSpaceDN w:val="0"/>
              <w:adjustRightInd w:val="0"/>
              <w:snapToGrid w:val="0"/>
              <w:jc w:val="center"/>
              <w:rPr>
                <w:rFonts w:hint="cs"/>
                <w:sz w:val="56"/>
                <w:szCs w:val="56"/>
              </w:rPr>
            </w:pPr>
          </w:p>
        </w:tc>
        <w:tc>
          <w:tcPr>
            <w:tcW w:w="4537" w:type="dxa"/>
            <w:tcBorders>
              <w:bottom w:val="single" w:sz="4" w:space="0" w:color="auto"/>
            </w:tcBorders>
            <w:shd w:val="clear" w:color="auto" w:fill="auto"/>
            <w:vAlign w:val="bottom"/>
          </w:tcPr>
          <w:p w14:paraId="36850597"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283440D5" w14:textId="77777777" w:rsidR="006B3E27" w:rsidRPr="00D22B8F" w:rsidRDefault="00D22B8F" w:rsidP="00D22B8F">
            <w:pPr>
              <w:bidi w:val="0"/>
              <w:rPr>
                <w:szCs w:val="20"/>
              </w:rPr>
            </w:pPr>
            <w:r w:rsidRPr="00D22B8F">
              <w:rPr>
                <w:sz w:val="40"/>
                <w:szCs w:val="20"/>
              </w:rPr>
              <w:t>CCPR</w:t>
            </w:r>
            <w:r>
              <w:rPr>
                <w:szCs w:val="20"/>
              </w:rPr>
              <w:t>/C/</w:t>
            </w:r>
            <w:r w:rsidRPr="00222C20">
              <w:t>130</w:t>
            </w:r>
            <w:r>
              <w:rPr>
                <w:szCs w:val="20"/>
              </w:rPr>
              <w:t>/D/</w:t>
            </w:r>
            <w:r w:rsidRPr="00222C20">
              <w:t>2547</w:t>
            </w:r>
            <w:r>
              <w:rPr>
                <w:szCs w:val="20"/>
              </w:rPr>
              <w:t>/</w:t>
            </w:r>
            <w:r w:rsidRPr="00222C20">
              <w:t>2015</w:t>
            </w:r>
          </w:p>
        </w:tc>
      </w:tr>
      <w:tr w:rsidR="006B3E27" w:rsidRPr="00C175A6" w14:paraId="61AC55B5" w14:textId="77777777" w:rsidTr="005B51C4">
        <w:trPr>
          <w:trHeight w:hRule="exact" w:val="2835"/>
        </w:trPr>
        <w:tc>
          <w:tcPr>
            <w:tcW w:w="1274" w:type="dxa"/>
            <w:tcBorders>
              <w:top w:val="single" w:sz="4" w:space="0" w:color="auto"/>
              <w:bottom w:val="single" w:sz="12" w:space="0" w:color="auto"/>
            </w:tcBorders>
            <w:shd w:val="clear" w:color="auto" w:fill="auto"/>
          </w:tcPr>
          <w:p w14:paraId="00B26B7D"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78BEB032" wp14:editId="467A7689">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57D258AD" w14:textId="77777777" w:rsidR="006B3E27" w:rsidRPr="00C175A6" w:rsidRDefault="00ED7442" w:rsidP="00730446">
            <w:pPr>
              <w:spacing w:before="120" w:after="40" w:line="640" w:lineRule="exact"/>
              <w:ind w:left="57"/>
              <w:rPr>
                <w:b/>
                <w:bCs/>
                <w:sz w:val="46"/>
                <w:szCs w:val="46"/>
              </w:rPr>
            </w:pPr>
            <w:r w:rsidRPr="00C175A6">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3BA0BC84" w14:textId="4CA5322A" w:rsidR="006B3E27" w:rsidRDefault="00D22B8F" w:rsidP="004B27E0">
            <w:pPr>
              <w:bidi w:val="0"/>
              <w:spacing w:before="240"/>
              <w:rPr>
                <w:szCs w:val="20"/>
              </w:rPr>
            </w:pPr>
            <w:r>
              <w:rPr>
                <w:szCs w:val="20"/>
              </w:rPr>
              <w:t xml:space="preserve">Distr.: </w:t>
            </w:r>
            <w:r w:rsidR="00FF1E5B">
              <w:rPr>
                <w:szCs w:val="20"/>
              </w:rPr>
              <w:t>General</w:t>
            </w:r>
          </w:p>
          <w:p w14:paraId="206CE6D3" w14:textId="395B0DCC" w:rsidR="00D22B8F" w:rsidRDefault="00FF1E5B" w:rsidP="00D22B8F">
            <w:pPr>
              <w:bidi w:val="0"/>
              <w:spacing w:line="240" w:lineRule="exact"/>
              <w:jc w:val="left"/>
              <w:rPr>
                <w:szCs w:val="20"/>
              </w:rPr>
            </w:pPr>
            <w:r w:rsidRPr="00611DC6">
              <w:t>3 February 2021</w:t>
            </w:r>
          </w:p>
          <w:p w14:paraId="0CE00273" w14:textId="77777777" w:rsidR="00D22B8F" w:rsidRDefault="00D22B8F" w:rsidP="00D22B8F">
            <w:pPr>
              <w:bidi w:val="0"/>
              <w:spacing w:line="240" w:lineRule="exact"/>
              <w:jc w:val="left"/>
              <w:rPr>
                <w:szCs w:val="20"/>
              </w:rPr>
            </w:pPr>
            <w:r>
              <w:rPr>
                <w:szCs w:val="20"/>
              </w:rPr>
              <w:t>Arabic</w:t>
            </w:r>
          </w:p>
          <w:p w14:paraId="08CAA86F" w14:textId="0874C3C8" w:rsidR="00D22B8F" w:rsidRPr="00D22B8F" w:rsidRDefault="00D22B8F" w:rsidP="00D22B8F">
            <w:pPr>
              <w:bidi w:val="0"/>
              <w:spacing w:line="240" w:lineRule="exact"/>
              <w:jc w:val="left"/>
              <w:rPr>
                <w:szCs w:val="20"/>
              </w:rPr>
            </w:pPr>
            <w:r>
              <w:rPr>
                <w:szCs w:val="20"/>
              </w:rPr>
              <w:t xml:space="preserve">Original: </w:t>
            </w:r>
            <w:r w:rsidR="00FF1E5B">
              <w:rPr>
                <w:szCs w:val="20"/>
              </w:rPr>
              <w:t>English</w:t>
            </w:r>
          </w:p>
        </w:tc>
      </w:tr>
    </w:tbl>
    <w:p w14:paraId="2B60E11D" w14:textId="77777777" w:rsidR="000718A2" w:rsidRPr="00EA5EE0" w:rsidRDefault="000718A2" w:rsidP="00EA5EE0">
      <w:pPr>
        <w:spacing w:before="120" w:line="360" w:lineRule="exact"/>
        <w:textDirection w:val="tbRlV"/>
        <w:rPr>
          <w:b/>
          <w:bCs/>
          <w:sz w:val="26"/>
          <w:szCs w:val="26"/>
          <w:rtl/>
          <w:lang w:val="ar-SA" w:eastAsia="zh-TW"/>
        </w:rPr>
      </w:pPr>
      <w:r w:rsidRPr="00EA5EE0">
        <w:rPr>
          <w:b/>
          <w:bCs/>
          <w:sz w:val="26"/>
          <w:szCs w:val="26"/>
          <w:rtl/>
        </w:rPr>
        <w:t>اللجنة المعنية بحقوق الإنسان</w:t>
      </w:r>
    </w:p>
    <w:p w14:paraId="3EA8DFA4" w14:textId="2858124C" w:rsidR="000718A2" w:rsidRPr="00222C20" w:rsidRDefault="000718A2" w:rsidP="00FD2D33">
      <w:pPr>
        <w:pStyle w:val="HChGA"/>
        <w:rPr>
          <w:lang w:val="en-US" w:eastAsia="zh-TW" w:bidi="en-GB"/>
        </w:rPr>
      </w:pPr>
      <w:r w:rsidRPr="00726680">
        <w:rPr>
          <w:rtl/>
        </w:rPr>
        <w:tab/>
      </w:r>
      <w:r w:rsidRPr="00726680">
        <w:rPr>
          <w:rtl/>
        </w:rPr>
        <w:tab/>
      </w:r>
      <w:r w:rsidRPr="00666BD1">
        <w:rPr>
          <w:rtl/>
        </w:rPr>
        <w:t xml:space="preserve">الآراء التي اعتمدتها اللجنة بموجب المادة </w:t>
      </w:r>
      <w:r w:rsidRPr="00222C20">
        <w:rPr>
          <w:rtl/>
        </w:rPr>
        <w:t>5</w:t>
      </w:r>
      <w:r w:rsidRPr="00666BD1">
        <w:rPr>
          <w:rFonts w:ascii="Traditional Arabic"/>
          <w:rtl/>
        </w:rPr>
        <w:t>(</w:t>
      </w:r>
      <w:r w:rsidRPr="00222C20">
        <w:rPr>
          <w:rtl/>
        </w:rPr>
        <w:t>4</w:t>
      </w:r>
      <w:r w:rsidRPr="00666BD1">
        <w:rPr>
          <w:rFonts w:ascii="Traditional Arabic"/>
          <w:rtl/>
        </w:rPr>
        <w:t>)</w:t>
      </w:r>
      <w:r w:rsidRPr="00666BD1">
        <w:rPr>
          <w:rtl/>
        </w:rPr>
        <w:t xml:space="preserve"> من البروتوكول الاختياري، بشأن البلاغ رقم </w:t>
      </w:r>
      <w:r w:rsidRPr="00222C20">
        <w:rPr>
          <w:rtl/>
        </w:rPr>
        <w:t>2547</w:t>
      </w:r>
      <w:r w:rsidRPr="00666BD1">
        <w:rPr>
          <w:rFonts w:ascii="Traditional Arabic"/>
          <w:rtl/>
        </w:rPr>
        <w:t>/</w:t>
      </w:r>
      <w:r w:rsidRPr="00222C20">
        <w:rPr>
          <w:rtl/>
        </w:rPr>
        <w:t>2015</w:t>
      </w:r>
      <w:r w:rsidRPr="00222C20">
        <w:rPr>
          <w:rStyle w:val="FootnoteReference"/>
          <w:rFonts w:ascii="Simplified Arabic" w:hAnsi="Simplified Arabic"/>
          <w:b w:val="0"/>
          <w:sz w:val="26"/>
          <w:szCs w:val="26"/>
          <w:vertAlign w:val="baseline"/>
        </w:rPr>
        <w:footnoteReference w:customMarkFollows="1" w:id="1"/>
        <w:t>*</w:t>
      </w:r>
      <w:r w:rsidRPr="00222C20">
        <w:rPr>
          <w:rFonts w:ascii="Simplified Arabic" w:hAnsi="Simplified Arabic"/>
          <w:sz w:val="26"/>
          <w:szCs w:val="26"/>
          <w:rtl/>
        </w:rPr>
        <w:t xml:space="preserve"> </w:t>
      </w:r>
      <w:r w:rsidR="00222C20" w:rsidRPr="00222C20">
        <w:rPr>
          <w:rStyle w:val="FootnoteReference"/>
          <w:rFonts w:ascii="Simplified Arabic" w:hAnsi="Simplified Arabic"/>
          <w:b w:val="0"/>
          <w:sz w:val="26"/>
          <w:szCs w:val="26"/>
          <w:vertAlign w:val="baseline"/>
        </w:rPr>
        <w:footnoteReference w:customMarkFollows="1" w:id="2"/>
        <w:t>**</w:t>
      </w:r>
    </w:p>
    <w:p w14:paraId="6F9862B4" w14:textId="29ACA42C" w:rsidR="000718A2" w:rsidRPr="00726680" w:rsidRDefault="000718A2" w:rsidP="0013789C">
      <w:pPr>
        <w:pStyle w:val="SingleTxtGA"/>
        <w:tabs>
          <w:tab w:val="clear" w:pos="1928"/>
          <w:tab w:val="clear" w:pos="2608"/>
          <w:tab w:val="clear" w:pos="3289"/>
          <w:tab w:val="clear" w:pos="3969"/>
          <w:tab w:val="clear" w:pos="4649"/>
          <w:tab w:val="clear" w:pos="5330"/>
        </w:tabs>
        <w:ind w:left="4252" w:hanging="2324"/>
        <w:rPr>
          <w:lang w:val="ar-SA" w:eastAsia="zh-TW" w:bidi="en-GB"/>
        </w:rPr>
      </w:pPr>
      <w:r w:rsidRPr="00726680">
        <w:rPr>
          <w:i/>
          <w:iCs/>
          <w:rtl/>
        </w:rPr>
        <w:t>المقدم من:</w:t>
      </w:r>
      <w:r>
        <w:rPr>
          <w:rtl/>
        </w:rPr>
        <w:tab/>
      </w:r>
      <w:r w:rsidRPr="00726680">
        <w:rPr>
          <w:rtl/>
        </w:rPr>
        <w:t>أرمان كولومبيتوف (يمثله محامٍ من المنظمة غير الحكومية "مؤسسة</w:t>
      </w:r>
      <w:r>
        <w:rPr>
          <w:rtl/>
        </w:rPr>
        <w:t xml:space="preserve"> الروح حق</w:t>
      </w:r>
      <w:r w:rsidRPr="00726680">
        <w:rPr>
          <w:rtl/>
        </w:rPr>
        <w:t>"</w:t>
      </w:r>
      <w:r>
        <w:rPr>
          <w:rtl/>
        </w:rPr>
        <w:t xml:space="preserve"> </w:t>
      </w:r>
      <w:r>
        <w:rPr>
          <w:lang w:val="en-US"/>
        </w:rPr>
        <w:t>(</w:t>
      </w:r>
      <w:r w:rsidRPr="00611DC6">
        <w:rPr>
          <w:spacing w:val="-2"/>
        </w:rPr>
        <w:t>Ar.Rukh.Khak</w:t>
      </w:r>
      <w:r>
        <w:rPr>
          <w:spacing w:val="-2"/>
        </w:rPr>
        <w:t>)</w:t>
      </w:r>
      <w:r w:rsidRPr="00726680">
        <w:rPr>
          <w:rtl/>
        </w:rPr>
        <w:t>)</w:t>
      </w:r>
    </w:p>
    <w:p w14:paraId="440F8236" w14:textId="77777777" w:rsidR="000718A2" w:rsidRPr="00726680" w:rsidRDefault="000718A2" w:rsidP="0013789C">
      <w:pPr>
        <w:pStyle w:val="SingleTxtGA"/>
        <w:tabs>
          <w:tab w:val="clear" w:pos="1928"/>
          <w:tab w:val="clear" w:pos="2608"/>
          <w:tab w:val="clear" w:pos="3289"/>
          <w:tab w:val="clear" w:pos="3969"/>
          <w:tab w:val="clear" w:pos="4649"/>
          <w:tab w:val="clear" w:pos="5330"/>
        </w:tabs>
        <w:ind w:left="4252" w:hanging="2324"/>
        <w:rPr>
          <w:lang w:val="ar-SA" w:eastAsia="zh-TW" w:bidi="en-GB"/>
        </w:rPr>
      </w:pPr>
      <w:r w:rsidRPr="0013789C">
        <w:rPr>
          <w:i/>
          <w:iCs/>
          <w:rtl/>
        </w:rPr>
        <w:t>الشخص المدعى أنه ضحية:</w:t>
      </w:r>
      <w:r w:rsidRPr="00726680">
        <w:rPr>
          <w:rtl/>
        </w:rPr>
        <w:tab/>
        <w:t>صاحب البلاغ</w:t>
      </w:r>
    </w:p>
    <w:p w14:paraId="22031DF9" w14:textId="77777777" w:rsidR="000718A2" w:rsidRPr="00726680" w:rsidRDefault="000718A2" w:rsidP="0013789C">
      <w:pPr>
        <w:pStyle w:val="SingleTxtGA"/>
        <w:tabs>
          <w:tab w:val="clear" w:pos="1928"/>
          <w:tab w:val="clear" w:pos="2608"/>
          <w:tab w:val="clear" w:pos="3289"/>
          <w:tab w:val="clear" w:pos="3969"/>
          <w:tab w:val="clear" w:pos="4649"/>
          <w:tab w:val="clear" w:pos="5330"/>
        </w:tabs>
        <w:ind w:left="4252" w:hanging="2324"/>
        <w:rPr>
          <w:lang w:val="ar-SA" w:eastAsia="zh-TW" w:bidi="en-GB"/>
        </w:rPr>
      </w:pPr>
      <w:r w:rsidRPr="0013789C">
        <w:rPr>
          <w:i/>
          <w:iCs/>
          <w:rtl/>
        </w:rPr>
        <w:t>الدولة الطرف:</w:t>
      </w:r>
      <w:r w:rsidRPr="00726680">
        <w:rPr>
          <w:rtl/>
        </w:rPr>
        <w:tab/>
        <w:t>كازاخستان</w:t>
      </w:r>
    </w:p>
    <w:p w14:paraId="6CA19074" w14:textId="77777777" w:rsidR="000718A2" w:rsidRPr="00726680" w:rsidRDefault="000718A2" w:rsidP="0013789C">
      <w:pPr>
        <w:pStyle w:val="SingleTxtGA"/>
        <w:tabs>
          <w:tab w:val="clear" w:pos="1928"/>
          <w:tab w:val="clear" w:pos="2608"/>
          <w:tab w:val="clear" w:pos="3289"/>
          <w:tab w:val="clear" w:pos="3969"/>
          <w:tab w:val="clear" w:pos="4649"/>
          <w:tab w:val="clear" w:pos="5330"/>
        </w:tabs>
        <w:ind w:left="4252" w:hanging="2324"/>
        <w:rPr>
          <w:lang w:val="ar-SA" w:eastAsia="zh-TW" w:bidi="en-GB"/>
        </w:rPr>
      </w:pPr>
      <w:r w:rsidRPr="00726680">
        <w:rPr>
          <w:i/>
          <w:iCs/>
          <w:rtl/>
        </w:rPr>
        <w:t>تاريخ تقديم البلاغ:</w:t>
      </w:r>
      <w:r w:rsidRPr="00726680">
        <w:rPr>
          <w:rtl/>
        </w:rPr>
        <w:tab/>
      </w:r>
      <w:r w:rsidRPr="00222C20">
        <w:rPr>
          <w:rtl/>
        </w:rPr>
        <w:t>2</w:t>
      </w:r>
      <w:r w:rsidRPr="00726680">
        <w:rPr>
          <w:rtl/>
        </w:rPr>
        <w:t xml:space="preserve"> أيلول/سبتمبر </w:t>
      </w:r>
      <w:r w:rsidRPr="00222C20">
        <w:rPr>
          <w:rtl/>
        </w:rPr>
        <w:t>2014</w:t>
      </w:r>
      <w:r w:rsidRPr="00726680">
        <w:rPr>
          <w:rFonts w:ascii="Traditional Arabic"/>
          <w:rtl/>
        </w:rPr>
        <w:t xml:space="preserve"> (</w:t>
      </w:r>
      <w:r w:rsidRPr="00726680">
        <w:rPr>
          <w:rtl/>
        </w:rPr>
        <w:t>تاريخ تقديم الرسالة الأولى</w:t>
      </w:r>
      <w:r w:rsidRPr="00726680">
        <w:rPr>
          <w:rFonts w:ascii="Traditional Arabic"/>
          <w:rtl/>
        </w:rPr>
        <w:t>)</w:t>
      </w:r>
    </w:p>
    <w:p w14:paraId="0D2F986C" w14:textId="77777777" w:rsidR="000718A2" w:rsidRPr="00726680" w:rsidRDefault="000718A2" w:rsidP="0013789C">
      <w:pPr>
        <w:pStyle w:val="SingleTxtGA"/>
        <w:tabs>
          <w:tab w:val="clear" w:pos="1928"/>
          <w:tab w:val="clear" w:pos="2608"/>
          <w:tab w:val="clear" w:pos="3289"/>
          <w:tab w:val="clear" w:pos="3969"/>
          <w:tab w:val="clear" w:pos="4649"/>
          <w:tab w:val="clear" w:pos="5330"/>
        </w:tabs>
        <w:ind w:left="4252" w:hanging="2324"/>
        <w:rPr>
          <w:lang w:val="ar-SA" w:eastAsia="zh-TW" w:bidi="en-GB"/>
        </w:rPr>
      </w:pPr>
      <w:r w:rsidRPr="00726680">
        <w:rPr>
          <w:i/>
          <w:iCs/>
          <w:rtl/>
        </w:rPr>
        <w:t>الوثائق المرجعية:</w:t>
      </w:r>
      <w:r w:rsidRPr="00726680">
        <w:rPr>
          <w:rtl/>
        </w:rPr>
        <w:tab/>
        <w:t xml:space="preserve">القرار المتخذ عملاً بالمادة </w:t>
      </w:r>
      <w:r w:rsidRPr="00222C20">
        <w:rPr>
          <w:rtl/>
        </w:rPr>
        <w:t>92</w:t>
      </w:r>
      <w:r w:rsidRPr="00726680">
        <w:rPr>
          <w:rtl/>
        </w:rPr>
        <w:t xml:space="preserve"> من نظام </w:t>
      </w:r>
      <w:r>
        <w:rPr>
          <w:rtl/>
        </w:rPr>
        <w:t xml:space="preserve">اللجنة </w:t>
      </w:r>
      <w:r w:rsidRPr="00726680">
        <w:rPr>
          <w:rtl/>
        </w:rPr>
        <w:t xml:space="preserve">الداخلي والمحال إلى الدولة الطرف في </w:t>
      </w:r>
      <w:r w:rsidRPr="00222C20">
        <w:rPr>
          <w:rtl/>
        </w:rPr>
        <w:t>11</w:t>
      </w:r>
      <w:r w:rsidRPr="00726680">
        <w:rPr>
          <w:rtl/>
        </w:rPr>
        <w:t xml:space="preserve"> كانون الأول/ديسمبر </w:t>
      </w:r>
      <w:r w:rsidRPr="00222C20">
        <w:rPr>
          <w:rtl/>
        </w:rPr>
        <w:t>2014</w:t>
      </w:r>
      <w:r w:rsidRPr="00726680">
        <w:rPr>
          <w:rFonts w:ascii="Traditional Arabic"/>
          <w:rtl/>
        </w:rPr>
        <w:t xml:space="preserve"> (</w:t>
      </w:r>
      <w:r w:rsidRPr="00726680">
        <w:rPr>
          <w:rtl/>
        </w:rPr>
        <w:t>لم يصدر في شكل وثيقة</w:t>
      </w:r>
      <w:r w:rsidRPr="00726680">
        <w:rPr>
          <w:rFonts w:ascii="Traditional Arabic"/>
          <w:rtl/>
        </w:rPr>
        <w:t>)</w:t>
      </w:r>
    </w:p>
    <w:p w14:paraId="75F71876" w14:textId="77777777" w:rsidR="000718A2" w:rsidRPr="00726680" w:rsidRDefault="000718A2" w:rsidP="0013789C">
      <w:pPr>
        <w:pStyle w:val="SingleTxtGA"/>
        <w:tabs>
          <w:tab w:val="clear" w:pos="1928"/>
          <w:tab w:val="clear" w:pos="2608"/>
          <w:tab w:val="clear" w:pos="3289"/>
          <w:tab w:val="clear" w:pos="3969"/>
          <w:tab w:val="clear" w:pos="4649"/>
          <w:tab w:val="clear" w:pos="5330"/>
        </w:tabs>
        <w:ind w:left="4252" w:hanging="2324"/>
        <w:rPr>
          <w:lang w:val="ar-SA" w:eastAsia="zh-TW" w:bidi="en-GB"/>
        </w:rPr>
      </w:pPr>
      <w:r w:rsidRPr="00726680">
        <w:rPr>
          <w:i/>
          <w:iCs/>
          <w:rtl/>
        </w:rPr>
        <w:t>تاريخ اعتماد الآراء:</w:t>
      </w:r>
      <w:r w:rsidRPr="00726680">
        <w:rPr>
          <w:rtl/>
        </w:rPr>
        <w:tab/>
      </w:r>
      <w:r w:rsidRPr="00222C20">
        <w:rPr>
          <w:rtl/>
        </w:rPr>
        <w:t>6</w:t>
      </w:r>
      <w:r w:rsidRPr="00726680">
        <w:rPr>
          <w:rtl/>
        </w:rPr>
        <w:t xml:space="preserve"> تشرين الثاني/نوفمبر </w:t>
      </w:r>
      <w:r w:rsidRPr="00222C20">
        <w:rPr>
          <w:rtl/>
        </w:rPr>
        <w:t>2020</w:t>
      </w:r>
    </w:p>
    <w:p w14:paraId="23724DAC" w14:textId="77777777" w:rsidR="000718A2" w:rsidRPr="00726680" w:rsidRDefault="000718A2" w:rsidP="0013789C">
      <w:pPr>
        <w:pStyle w:val="SingleTxtGA"/>
        <w:tabs>
          <w:tab w:val="clear" w:pos="1928"/>
          <w:tab w:val="clear" w:pos="2608"/>
          <w:tab w:val="clear" w:pos="3289"/>
          <w:tab w:val="clear" w:pos="3969"/>
          <w:tab w:val="clear" w:pos="4649"/>
          <w:tab w:val="clear" w:pos="5330"/>
        </w:tabs>
        <w:ind w:left="4252" w:hanging="2324"/>
        <w:rPr>
          <w:lang w:val="ar-SA" w:eastAsia="zh-TW" w:bidi="en-GB"/>
        </w:rPr>
      </w:pPr>
      <w:r w:rsidRPr="00726680">
        <w:rPr>
          <w:i/>
          <w:iCs/>
          <w:rtl/>
        </w:rPr>
        <w:t>الموضوع:</w:t>
      </w:r>
      <w:r w:rsidRPr="00726680">
        <w:rPr>
          <w:rtl/>
        </w:rPr>
        <w:tab/>
      </w:r>
      <w:r>
        <w:rPr>
          <w:rtl/>
        </w:rPr>
        <w:tab/>
      </w:r>
      <w:r w:rsidRPr="00726680">
        <w:rPr>
          <w:rtl/>
        </w:rPr>
        <w:t>معاقبة صاحب البلاغ على التعبير عن رأيه؛ والمحاكمة غير العادلة</w:t>
      </w:r>
    </w:p>
    <w:p w14:paraId="731A7B0D" w14:textId="77777777" w:rsidR="000718A2" w:rsidRPr="00726680" w:rsidRDefault="000718A2" w:rsidP="0013789C">
      <w:pPr>
        <w:pStyle w:val="SingleTxtGA"/>
        <w:tabs>
          <w:tab w:val="clear" w:pos="1928"/>
          <w:tab w:val="clear" w:pos="2608"/>
          <w:tab w:val="clear" w:pos="3289"/>
          <w:tab w:val="clear" w:pos="3969"/>
          <w:tab w:val="clear" w:pos="4649"/>
          <w:tab w:val="clear" w:pos="5330"/>
        </w:tabs>
        <w:ind w:left="4252" w:hanging="2324"/>
        <w:rPr>
          <w:lang w:val="ar-SA" w:eastAsia="zh-TW" w:bidi="en-GB"/>
        </w:rPr>
      </w:pPr>
      <w:r w:rsidRPr="00726680">
        <w:rPr>
          <w:i/>
          <w:iCs/>
          <w:rtl/>
        </w:rPr>
        <w:t>المسائل الإجرائية:</w:t>
      </w:r>
      <w:r w:rsidRPr="00726680">
        <w:rPr>
          <w:rtl/>
        </w:rPr>
        <w:tab/>
        <w:t>استنفاد سبل الانتصاف الداخلية؛ ومدى إثبات الادعاءات</w:t>
      </w:r>
    </w:p>
    <w:p w14:paraId="59EF8B12" w14:textId="77777777" w:rsidR="000718A2" w:rsidRPr="00726680" w:rsidRDefault="000718A2" w:rsidP="0013789C">
      <w:pPr>
        <w:pStyle w:val="SingleTxtGA"/>
        <w:tabs>
          <w:tab w:val="clear" w:pos="1928"/>
          <w:tab w:val="clear" w:pos="2608"/>
          <w:tab w:val="clear" w:pos="3289"/>
          <w:tab w:val="clear" w:pos="3969"/>
          <w:tab w:val="clear" w:pos="4649"/>
          <w:tab w:val="clear" w:pos="5330"/>
        </w:tabs>
        <w:ind w:left="4252" w:hanging="2324"/>
        <w:rPr>
          <w:lang w:val="ar-SA" w:eastAsia="zh-TW" w:bidi="en-GB"/>
        </w:rPr>
      </w:pPr>
      <w:r w:rsidRPr="00726680">
        <w:rPr>
          <w:i/>
          <w:iCs/>
          <w:rtl/>
        </w:rPr>
        <w:t>المسائل الموضوعية:</w:t>
      </w:r>
      <w:r w:rsidRPr="00726680">
        <w:rPr>
          <w:rtl/>
        </w:rPr>
        <w:tab/>
        <w:t>حرية التجمع؛ وحرية التعبير؛ والمحاكمة العادلة</w:t>
      </w:r>
    </w:p>
    <w:p w14:paraId="55B71A5D" w14:textId="6A768A89" w:rsidR="000718A2" w:rsidRPr="00726680" w:rsidRDefault="000718A2" w:rsidP="0013789C">
      <w:pPr>
        <w:pStyle w:val="SingleTxtGA"/>
        <w:tabs>
          <w:tab w:val="clear" w:pos="1928"/>
          <w:tab w:val="clear" w:pos="2608"/>
          <w:tab w:val="clear" w:pos="3289"/>
          <w:tab w:val="clear" w:pos="3969"/>
          <w:tab w:val="clear" w:pos="4649"/>
          <w:tab w:val="clear" w:pos="5330"/>
        </w:tabs>
        <w:ind w:left="4252" w:hanging="2324"/>
        <w:rPr>
          <w:lang w:val="ar-SA" w:eastAsia="zh-TW" w:bidi="en-GB"/>
        </w:rPr>
      </w:pPr>
      <w:r w:rsidRPr="00726680">
        <w:rPr>
          <w:i/>
          <w:iCs/>
          <w:rtl/>
        </w:rPr>
        <w:t>مواد العهد:</w:t>
      </w:r>
      <w:r>
        <w:rPr>
          <w:i/>
          <w:iCs/>
          <w:rtl/>
        </w:rPr>
        <w:tab/>
      </w:r>
      <w:r w:rsidRPr="00222C20">
        <w:rPr>
          <w:rtl/>
        </w:rPr>
        <w:t>14</w:t>
      </w:r>
      <w:r w:rsidRPr="00726680">
        <w:rPr>
          <w:rFonts w:ascii="Traditional Arabic"/>
          <w:rtl/>
        </w:rPr>
        <w:t>(</w:t>
      </w:r>
      <w:r w:rsidRPr="00222C20">
        <w:rPr>
          <w:rtl/>
        </w:rPr>
        <w:t>3</w:t>
      </w:r>
      <w:r w:rsidRPr="00726680">
        <w:rPr>
          <w:rFonts w:ascii="Traditional Arabic"/>
          <w:rtl/>
        </w:rPr>
        <w:t>)(</w:t>
      </w:r>
      <w:r w:rsidRPr="00726680">
        <w:rPr>
          <w:rtl/>
        </w:rPr>
        <w:t>د</w:t>
      </w:r>
      <w:r w:rsidRPr="00726680">
        <w:rPr>
          <w:rFonts w:ascii="Traditional Arabic"/>
          <w:rtl/>
        </w:rPr>
        <w:t>)</w:t>
      </w:r>
      <w:r w:rsidRPr="00726680">
        <w:rPr>
          <w:rtl/>
        </w:rPr>
        <w:t xml:space="preserve"> و(ز) و</w:t>
      </w:r>
      <w:r w:rsidRPr="00222C20">
        <w:rPr>
          <w:rtl/>
        </w:rPr>
        <w:t>19</w:t>
      </w:r>
      <w:r w:rsidRPr="00726680">
        <w:rPr>
          <w:rtl/>
        </w:rPr>
        <w:t xml:space="preserve"> و</w:t>
      </w:r>
      <w:r w:rsidRPr="00222C20">
        <w:rPr>
          <w:rtl/>
        </w:rPr>
        <w:t>21</w:t>
      </w:r>
      <w:r w:rsidRPr="00726680">
        <w:rPr>
          <w:rtl/>
        </w:rPr>
        <w:t>.</w:t>
      </w:r>
    </w:p>
    <w:p w14:paraId="6C7B400B" w14:textId="77777777" w:rsidR="000718A2" w:rsidRPr="00726680" w:rsidRDefault="000718A2" w:rsidP="0013789C">
      <w:pPr>
        <w:pStyle w:val="SingleTxtGA"/>
        <w:tabs>
          <w:tab w:val="clear" w:pos="1928"/>
          <w:tab w:val="clear" w:pos="2608"/>
          <w:tab w:val="clear" w:pos="3289"/>
          <w:tab w:val="clear" w:pos="3969"/>
          <w:tab w:val="clear" w:pos="4649"/>
          <w:tab w:val="clear" w:pos="5330"/>
        </w:tabs>
        <w:ind w:left="4252" w:hanging="2324"/>
        <w:rPr>
          <w:lang w:val="ar-SA" w:eastAsia="zh-TW" w:bidi="en-GB"/>
        </w:rPr>
      </w:pPr>
      <w:r w:rsidRPr="00216711">
        <w:rPr>
          <w:i/>
          <w:iCs/>
          <w:rtl/>
        </w:rPr>
        <w:t>مواد البروتوكول الاختياري:</w:t>
      </w:r>
      <w:r w:rsidRPr="00726680">
        <w:rPr>
          <w:rtl/>
        </w:rPr>
        <w:tab/>
      </w:r>
      <w:r w:rsidRPr="00222C20">
        <w:rPr>
          <w:rtl/>
        </w:rPr>
        <w:t>2</w:t>
      </w:r>
      <w:r w:rsidRPr="00726680">
        <w:rPr>
          <w:rtl/>
        </w:rPr>
        <w:t xml:space="preserve"> و</w:t>
      </w:r>
      <w:r w:rsidRPr="00222C20">
        <w:rPr>
          <w:rtl/>
        </w:rPr>
        <w:t>5</w:t>
      </w:r>
      <w:r w:rsidRPr="00726680">
        <w:rPr>
          <w:rFonts w:ascii="Traditional Arabic"/>
          <w:rtl/>
        </w:rPr>
        <w:t>(</w:t>
      </w:r>
      <w:r w:rsidRPr="00222C20">
        <w:rPr>
          <w:rtl/>
        </w:rPr>
        <w:t>2</w:t>
      </w:r>
      <w:r w:rsidRPr="00726680">
        <w:rPr>
          <w:rFonts w:ascii="Traditional Arabic"/>
          <w:rtl/>
        </w:rPr>
        <w:t>)(</w:t>
      </w:r>
      <w:r w:rsidRPr="00726680">
        <w:rPr>
          <w:rtl/>
        </w:rPr>
        <w:t>ب</w:t>
      </w:r>
      <w:r w:rsidRPr="00726680">
        <w:rPr>
          <w:rFonts w:ascii="Traditional Arabic"/>
          <w:rtl/>
        </w:rPr>
        <w:t>)</w:t>
      </w:r>
    </w:p>
    <w:p w14:paraId="4F54D32A" w14:textId="77777777" w:rsidR="000718A2" w:rsidRPr="00726680" w:rsidRDefault="000718A2" w:rsidP="00FD2D33">
      <w:pPr>
        <w:pStyle w:val="SingleTxtGA"/>
        <w:rPr>
          <w:lang w:val="ar-SA" w:eastAsia="zh-TW" w:bidi="en-GB"/>
        </w:rPr>
      </w:pPr>
      <w:r w:rsidRPr="00222C20">
        <w:rPr>
          <w:rtl/>
        </w:rPr>
        <w:lastRenderedPageBreak/>
        <w:t>1</w:t>
      </w:r>
      <w:r w:rsidRPr="00726680">
        <w:rPr>
          <w:rFonts w:ascii="Traditional Arabic"/>
          <w:rtl/>
        </w:rPr>
        <w:t>-</w:t>
      </w:r>
      <w:r w:rsidRPr="00726680">
        <w:rPr>
          <w:rtl/>
        </w:rPr>
        <w:tab/>
        <w:t xml:space="preserve">صاحب البلاغ هو أرمان كولومبيتوف، وهو مواطن كازاخستاني وُلد عام </w:t>
      </w:r>
      <w:r w:rsidRPr="00222C20">
        <w:rPr>
          <w:rtl/>
        </w:rPr>
        <w:t>1984</w:t>
      </w:r>
      <w:r w:rsidRPr="00726680">
        <w:rPr>
          <w:rFonts w:ascii="Traditional Arabic"/>
          <w:rtl/>
        </w:rPr>
        <w:t>.</w:t>
      </w:r>
      <w:r w:rsidRPr="00726680">
        <w:rPr>
          <w:rtl/>
        </w:rPr>
        <w:t xml:space="preserve"> ويدعي أن الدولة الطرف انتهكت حقوقه بموجب المواد </w:t>
      </w:r>
      <w:r w:rsidRPr="00222C20">
        <w:rPr>
          <w:rtl/>
        </w:rPr>
        <w:t>14</w:t>
      </w:r>
      <w:r w:rsidRPr="00726680">
        <w:rPr>
          <w:rFonts w:ascii="Traditional Arabic"/>
          <w:rtl/>
        </w:rPr>
        <w:t>(</w:t>
      </w:r>
      <w:r w:rsidRPr="00222C20">
        <w:rPr>
          <w:rtl/>
        </w:rPr>
        <w:t>3</w:t>
      </w:r>
      <w:r w:rsidRPr="00726680">
        <w:rPr>
          <w:rFonts w:ascii="Traditional Arabic"/>
          <w:rtl/>
        </w:rPr>
        <w:t>)(</w:t>
      </w:r>
      <w:r w:rsidRPr="00726680">
        <w:rPr>
          <w:rtl/>
        </w:rPr>
        <w:t>د</w:t>
      </w:r>
      <w:r w:rsidRPr="00726680">
        <w:rPr>
          <w:rFonts w:ascii="Traditional Arabic"/>
          <w:rtl/>
        </w:rPr>
        <w:t>)</w:t>
      </w:r>
      <w:r w:rsidRPr="00726680">
        <w:rPr>
          <w:rtl/>
        </w:rPr>
        <w:t xml:space="preserve"> و(ز) و</w:t>
      </w:r>
      <w:r w:rsidRPr="00222C20">
        <w:rPr>
          <w:rtl/>
        </w:rPr>
        <w:t>19</w:t>
      </w:r>
      <w:r w:rsidRPr="00726680">
        <w:rPr>
          <w:rtl/>
        </w:rPr>
        <w:t xml:space="preserve"> و</w:t>
      </w:r>
      <w:r w:rsidRPr="00222C20">
        <w:rPr>
          <w:rtl/>
        </w:rPr>
        <w:t>21</w:t>
      </w:r>
      <w:r w:rsidRPr="00726680">
        <w:rPr>
          <w:rtl/>
        </w:rPr>
        <w:t xml:space="preserve"> من العهد. و</w:t>
      </w:r>
      <w:r>
        <w:rPr>
          <w:rtl/>
        </w:rPr>
        <w:t xml:space="preserve">قد </w:t>
      </w:r>
      <w:r w:rsidRPr="00726680">
        <w:rPr>
          <w:rtl/>
        </w:rPr>
        <w:t xml:space="preserve">بدأ نفاذ البروتوكول الاختياري بالنسبة لكازاخستان في </w:t>
      </w:r>
      <w:r w:rsidRPr="00222C20">
        <w:rPr>
          <w:rtl/>
        </w:rPr>
        <w:t>30</w:t>
      </w:r>
      <w:r w:rsidRPr="00726680">
        <w:rPr>
          <w:rtl/>
        </w:rPr>
        <w:t xml:space="preserve"> حزيران/يونيه </w:t>
      </w:r>
      <w:r w:rsidRPr="00222C20">
        <w:rPr>
          <w:rtl/>
        </w:rPr>
        <w:t>2009</w:t>
      </w:r>
      <w:r w:rsidRPr="00726680">
        <w:rPr>
          <w:rFonts w:ascii="Traditional Arabic"/>
          <w:rtl/>
        </w:rPr>
        <w:t>.</w:t>
      </w:r>
      <w:r w:rsidRPr="00726680">
        <w:rPr>
          <w:rtl/>
        </w:rPr>
        <w:t xml:space="preserve"> ويمثل صاحبَ البلاغ</w:t>
      </w:r>
      <w:r>
        <w:rPr>
          <w:rtl/>
        </w:rPr>
        <w:t xml:space="preserve"> محام</w:t>
      </w:r>
      <w:r w:rsidRPr="00726680">
        <w:rPr>
          <w:rtl/>
        </w:rPr>
        <w:t>.</w:t>
      </w:r>
    </w:p>
    <w:p w14:paraId="0435E520" w14:textId="77777777" w:rsidR="000718A2" w:rsidRPr="00E41FA4" w:rsidRDefault="000718A2" w:rsidP="00FD2D33">
      <w:pPr>
        <w:pStyle w:val="H23GA"/>
        <w:rPr>
          <w:rFonts w:eastAsia="Verdana"/>
          <w:lang w:eastAsia="zh-TW" w:bidi="en-GB"/>
        </w:rPr>
      </w:pPr>
      <w:r w:rsidRPr="00726680">
        <w:rPr>
          <w:rtl/>
        </w:rPr>
        <w:tab/>
      </w:r>
      <w:r w:rsidRPr="00726680">
        <w:rPr>
          <w:rtl/>
        </w:rPr>
        <w:tab/>
        <w:t>الوقائع كما عرضها صاحب البلاغ</w:t>
      </w:r>
    </w:p>
    <w:p w14:paraId="22A3C190" w14:textId="77777777" w:rsidR="000718A2" w:rsidRPr="00726680" w:rsidRDefault="000718A2" w:rsidP="00FD2D33">
      <w:pPr>
        <w:pStyle w:val="SingleTxtGA"/>
        <w:rPr>
          <w:lang w:eastAsia="zh-TW" w:bidi="en-GB"/>
        </w:rPr>
      </w:pPr>
      <w:r w:rsidRPr="00222C20">
        <w:rPr>
          <w:rtl/>
        </w:rPr>
        <w:t>2</w:t>
      </w:r>
      <w:r>
        <w:rPr>
          <w:rFonts w:ascii="Traditional Arabic"/>
          <w:rtl/>
        </w:rPr>
        <w:t>-</w:t>
      </w:r>
      <w:r w:rsidRPr="00222C20">
        <w:rPr>
          <w:rtl/>
        </w:rPr>
        <w:t>1</w:t>
      </w:r>
      <w:r w:rsidRPr="00726680">
        <w:rPr>
          <w:rtl/>
        </w:rPr>
        <w:tab/>
        <w:t xml:space="preserve">صاحب البلاغ </w:t>
      </w:r>
      <w:r>
        <w:rPr>
          <w:rtl/>
        </w:rPr>
        <w:t>رائد</w:t>
      </w:r>
      <w:r w:rsidRPr="00726680">
        <w:rPr>
          <w:rtl/>
        </w:rPr>
        <w:t xml:space="preserve"> أعمال خاص يعيش في ألماتي. وفي </w:t>
      </w:r>
      <w:r w:rsidRPr="00222C20">
        <w:rPr>
          <w:rtl/>
        </w:rPr>
        <w:t>15</w:t>
      </w:r>
      <w:r w:rsidRPr="00726680">
        <w:rPr>
          <w:rtl/>
        </w:rPr>
        <w:t xml:space="preserve"> شباط/فبراير </w:t>
      </w:r>
      <w:r w:rsidRPr="00222C20">
        <w:rPr>
          <w:rtl/>
        </w:rPr>
        <w:t>2014</w:t>
      </w:r>
      <w:r w:rsidRPr="00726680">
        <w:rPr>
          <w:rtl/>
        </w:rPr>
        <w:t xml:space="preserve">، شارك في مظاهرة سلمية في ألماتي احتجاجاً على تخفيض قيمة العملة الوطنية الكازاخستانية (تنغي) بنسبة </w:t>
      </w:r>
      <w:r w:rsidRPr="00222C20">
        <w:rPr>
          <w:rtl/>
        </w:rPr>
        <w:t>30</w:t>
      </w:r>
      <w:r w:rsidRPr="00726680">
        <w:rPr>
          <w:rtl/>
        </w:rPr>
        <w:t xml:space="preserve"> في المائة</w:t>
      </w:r>
      <w:r w:rsidRPr="007E4C5C">
        <w:rPr>
          <w:rtl/>
        </w:rPr>
        <w:t>. واتَّفَق أنه كان على مقربة</w:t>
      </w:r>
      <w:r w:rsidRPr="0080050F">
        <w:rPr>
          <w:rtl/>
        </w:rPr>
        <w:t xml:space="preserve"> من</w:t>
      </w:r>
      <w:r w:rsidRPr="00726680">
        <w:rPr>
          <w:rtl/>
        </w:rPr>
        <w:t xml:space="preserve"> المظاهرة، وعندما اكتشف أمرها، قرر عفوياً الانضمام إليها، دون أن يخطط لذلك مسبقاً. وألقت الشرطة القبض على مشاركين في المظاهرة، </w:t>
      </w:r>
      <w:r>
        <w:rPr>
          <w:rtl/>
        </w:rPr>
        <w:t>من بينهم</w:t>
      </w:r>
      <w:r w:rsidRPr="00726680">
        <w:rPr>
          <w:rtl/>
        </w:rPr>
        <w:t xml:space="preserve"> صاحب البلاغ.</w:t>
      </w:r>
    </w:p>
    <w:p w14:paraId="7F4568FB" w14:textId="224998C1" w:rsidR="000718A2" w:rsidRPr="00726680" w:rsidRDefault="000718A2" w:rsidP="00FD2D33">
      <w:pPr>
        <w:pStyle w:val="SingleTxtGA"/>
        <w:rPr>
          <w:lang w:eastAsia="zh-TW" w:bidi="en-GB"/>
        </w:rPr>
      </w:pPr>
      <w:r w:rsidRPr="00222C20">
        <w:rPr>
          <w:rtl/>
        </w:rPr>
        <w:t>2</w:t>
      </w:r>
      <w:r>
        <w:rPr>
          <w:rFonts w:ascii="Traditional Arabic"/>
          <w:rtl/>
        </w:rPr>
        <w:t>-</w:t>
      </w:r>
      <w:r w:rsidRPr="00222C20">
        <w:rPr>
          <w:rtl/>
        </w:rPr>
        <w:t>2</w:t>
      </w:r>
      <w:r w:rsidRPr="00726680">
        <w:rPr>
          <w:rtl/>
        </w:rPr>
        <w:tab/>
        <w:t xml:space="preserve">وفي اليوم نفسه أدانت محكمة ألماتي الإدارية المتخصصة المشتركة بين المقاطعات صاحبَ البلاغ بمقتضى المادة </w:t>
      </w:r>
      <w:r w:rsidRPr="00222C20">
        <w:rPr>
          <w:rtl/>
        </w:rPr>
        <w:t>373</w:t>
      </w:r>
      <w:r w:rsidRPr="00726680">
        <w:rPr>
          <w:rFonts w:ascii="Traditional Arabic"/>
          <w:rtl/>
        </w:rPr>
        <w:t>(</w:t>
      </w:r>
      <w:r w:rsidRPr="00222C20">
        <w:rPr>
          <w:rtl/>
        </w:rPr>
        <w:t>1</w:t>
      </w:r>
      <w:r w:rsidRPr="00726680">
        <w:rPr>
          <w:rFonts w:ascii="Traditional Arabic"/>
          <w:rtl/>
        </w:rPr>
        <w:t>)</w:t>
      </w:r>
      <w:r w:rsidRPr="00726680">
        <w:rPr>
          <w:rtl/>
        </w:rPr>
        <w:t xml:space="preserve"> من مدونة المخالفات الإدارية بانتهاكه التشريعات المتعلقة بتنظيم التجمعات والمسيرات والاجتماعات والمواكب والاعتصامات والمظاهرات السلمية وتسييرها، وغرّمته بمبلغ</w:t>
      </w:r>
      <w:r w:rsidR="00216711">
        <w:rPr>
          <w:rFonts w:hint="cs"/>
          <w:rtl/>
        </w:rPr>
        <w:t> </w:t>
      </w:r>
      <w:r w:rsidRPr="00222C20">
        <w:rPr>
          <w:rtl/>
        </w:rPr>
        <w:t>040</w:t>
      </w:r>
      <w:r w:rsidRPr="00726680">
        <w:rPr>
          <w:rFonts w:ascii="Traditional Arabic"/>
          <w:rtl/>
        </w:rPr>
        <w:t xml:space="preserve"> </w:t>
      </w:r>
      <w:r w:rsidRPr="00222C20">
        <w:rPr>
          <w:rtl/>
        </w:rPr>
        <w:t>37</w:t>
      </w:r>
      <w:r w:rsidRPr="00726680">
        <w:rPr>
          <w:rtl/>
        </w:rPr>
        <w:t xml:space="preserve"> تنغي (نحو </w:t>
      </w:r>
      <w:r w:rsidRPr="00222C20">
        <w:rPr>
          <w:rtl/>
        </w:rPr>
        <w:t>200</w:t>
      </w:r>
      <w:r w:rsidRPr="00726680">
        <w:rPr>
          <w:rtl/>
        </w:rPr>
        <w:t xml:space="preserve"> دولار أمريكي). ويدعي أنه لم يُوكَّل له محام بعد اعتقاله</w:t>
      </w:r>
      <w:r w:rsidRPr="007E4C5C">
        <w:rPr>
          <w:rtl/>
        </w:rPr>
        <w:t>، رغم طلبه إياه، وأن أفراد أسرته والصحفيين والمراقبين من منظمات حقوق الإنسان مُنعوا حضور جلسة</w:t>
      </w:r>
      <w:r w:rsidRPr="00726680">
        <w:rPr>
          <w:rtl/>
        </w:rPr>
        <w:t xml:space="preserve"> الاستماع.</w:t>
      </w:r>
    </w:p>
    <w:p w14:paraId="24D963D0" w14:textId="77777777" w:rsidR="000718A2" w:rsidRPr="00E41FA4" w:rsidRDefault="000718A2" w:rsidP="00FD2D33">
      <w:pPr>
        <w:pStyle w:val="SingleTxtGA"/>
        <w:rPr>
          <w:lang w:eastAsia="zh-TW" w:bidi="en-GB"/>
        </w:rPr>
      </w:pPr>
      <w:r w:rsidRPr="00222C20">
        <w:rPr>
          <w:rtl/>
        </w:rPr>
        <w:t>2</w:t>
      </w:r>
      <w:r>
        <w:rPr>
          <w:rFonts w:ascii="Traditional Arabic"/>
          <w:rtl/>
        </w:rPr>
        <w:t>-</w:t>
      </w:r>
      <w:r w:rsidRPr="00222C20">
        <w:rPr>
          <w:rtl/>
        </w:rPr>
        <w:t>3</w:t>
      </w:r>
      <w:r w:rsidRPr="00726680">
        <w:rPr>
          <w:rtl/>
        </w:rPr>
        <w:tab/>
        <w:t xml:space="preserve">واستأنف صاحب البلاغ الحكم أمام محكمة مدينة ألماتي في </w:t>
      </w:r>
      <w:r w:rsidRPr="00222C20">
        <w:rPr>
          <w:rtl/>
        </w:rPr>
        <w:t>25</w:t>
      </w:r>
      <w:r w:rsidRPr="00726680">
        <w:rPr>
          <w:rtl/>
        </w:rPr>
        <w:t xml:space="preserve"> شباط/فبراير </w:t>
      </w:r>
      <w:r w:rsidRPr="00222C20">
        <w:rPr>
          <w:rtl/>
        </w:rPr>
        <w:t>2014</w:t>
      </w:r>
      <w:r w:rsidRPr="00726680">
        <w:rPr>
          <w:rtl/>
        </w:rPr>
        <w:t xml:space="preserve">، لكن استئنافه رُفض في </w:t>
      </w:r>
      <w:r w:rsidRPr="00222C20">
        <w:rPr>
          <w:rtl/>
        </w:rPr>
        <w:t>6</w:t>
      </w:r>
      <w:r w:rsidRPr="00726680">
        <w:rPr>
          <w:rtl/>
        </w:rPr>
        <w:t xml:space="preserve"> آذار/مارس </w:t>
      </w:r>
      <w:r w:rsidRPr="00222C20">
        <w:rPr>
          <w:rtl/>
        </w:rPr>
        <w:t>2014</w:t>
      </w:r>
      <w:r w:rsidRPr="00726680">
        <w:rPr>
          <w:rtl/>
        </w:rPr>
        <w:t>.</w:t>
      </w:r>
    </w:p>
    <w:p w14:paraId="42D6FB81" w14:textId="0D3656B9" w:rsidR="000718A2" w:rsidRPr="00726680" w:rsidRDefault="000718A2" w:rsidP="00FD2D33">
      <w:pPr>
        <w:pStyle w:val="SingleTxtGA"/>
        <w:rPr>
          <w:lang w:val="ar-SA" w:eastAsia="zh-TW" w:bidi="en-GB"/>
        </w:rPr>
      </w:pPr>
      <w:r w:rsidRPr="00222C20">
        <w:rPr>
          <w:rtl/>
        </w:rPr>
        <w:t>2</w:t>
      </w:r>
      <w:r>
        <w:rPr>
          <w:rFonts w:ascii="Traditional Arabic"/>
          <w:rtl/>
        </w:rPr>
        <w:t>-</w:t>
      </w:r>
      <w:r w:rsidRPr="00222C20">
        <w:rPr>
          <w:rtl/>
        </w:rPr>
        <w:t>4</w:t>
      </w:r>
      <w:r w:rsidRPr="00726680">
        <w:rPr>
          <w:rtl/>
        </w:rPr>
        <w:tab/>
        <w:t xml:space="preserve">وقدم صاحب البلاغ طلباً لإجراء مراجعة قضائية رقابية لقرار المحكمة الابتدائية إلى مكتب المدعي العام في ألماتي في </w:t>
      </w:r>
      <w:r w:rsidRPr="00222C20">
        <w:rPr>
          <w:rtl/>
        </w:rPr>
        <w:t>31</w:t>
      </w:r>
      <w:r w:rsidRPr="00726680">
        <w:rPr>
          <w:rtl/>
        </w:rPr>
        <w:t xml:space="preserve"> آذار/مارس </w:t>
      </w:r>
      <w:r w:rsidRPr="00222C20">
        <w:rPr>
          <w:rtl/>
        </w:rPr>
        <w:t>2014</w:t>
      </w:r>
      <w:r w:rsidRPr="00726680">
        <w:rPr>
          <w:rtl/>
        </w:rPr>
        <w:t xml:space="preserve"> وإلى النيابة العامة لكازاخستان في </w:t>
      </w:r>
      <w:r w:rsidRPr="00222C20">
        <w:rPr>
          <w:rtl/>
        </w:rPr>
        <w:t>5</w:t>
      </w:r>
      <w:r w:rsidRPr="00726680">
        <w:rPr>
          <w:rtl/>
        </w:rPr>
        <w:t xml:space="preserve"> أيار/</w:t>
      </w:r>
      <w:r w:rsidR="007B49CF">
        <w:rPr>
          <w:rFonts w:hint="cs"/>
          <w:rtl/>
        </w:rPr>
        <w:t xml:space="preserve"> </w:t>
      </w:r>
      <w:r w:rsidRPr="00726680">
        <w:rPr>
          <w:rtl/>
        </w:rPr>
        <w:t>مايو</w:t>
      </w:r>
      <w:r w:rsidR="007B49CF">
        <w:rPr>
          <w:rFonts w:hint="cs"/>
          <w:rtl/>
        </w:rPr>
        <w:t> </w:t>
      </w:r>
      <w:r w:rsidRPr="00222C20">
        <w:rPr>
          <w:rtl/>
        </w:rPr>
        <w:t>2014</w:t>
      </w:r>
      <w:r w:rsidRPr="00726680">
        <w:rPr>
          <w:rFonts w:ascii="Traditional Arabic"/>
          <w:rtl/>
        </w:rPr>
        <w:t>.</w:t>
      </w:r>
      <w:r w:rsidRPr="00726680">
        <w:rPr>
          <w:rtl/>
        </w:rPr>
        <w:t xml:space="preserve"> لكن الطلبين رُفضا يومي </w:t>
      </w:r>
      <w:r w:rsidRPr="00222C20">
        <w:rPr>
          <w:rtl/>
        </w:rPr>
        <w:t>11</w:t>
      </w:r>
      <w:r w:rsidRPr="00726680">
        <w:rPr>
          <w:rtl/>
        </w:rPr>
        <w:t xml:space="preserve"> نيسان/أبريل </w:t>
      </w:r>
      <w:r w:rsidRPr="00222C20">
        <w:rPr>
          <w:rtl/>
        </w:rPr>
        <w:t>2014</w:t>
      </w:r>
      <w:r w:rsidRPr="00726680">
        <w:rPr>
          <w:rtl/>
        </w:rPr>
        <w:t xml:space="preserve"> و</w:t>
      </w:r>
      <w:r w:rsidRPr="00222C20">
        <w:rPr>
          <w:rtl/>
        </w:rPr>
        <w:t>10</w:t>
      </w:r>
      <w:r w:rsidRPr="00726680">
        <w:rPr>
          <w:rtl/>
        </w:rPr>
        <w:t xml:space="preserve"> حزيران/يونيه </w:t>
      </w:r>
      <w:r w:rsidRPr="00222C20">
        <w:rPr>
          <w:rtl/>
        </w:rPr>
        <w:t>2014</w:t>
      </w:r>
      <w:r w:rsidRPr="00726680">
        <w:rPr>
          <w:rtl/>
        </w:rPr>
        <w:t xml:space="preserve"> على التوالي.</w:t>
      </w:r>
    </w:p>
    <w:p w14:paraId="4C7B4EA4" w14:textId="77777777" w:rsidR="000718A2" w:rsidRPr="00726680" w:rsidRDefault="000718A2" w:rsidP="00FD2D33">
      <w:pPr>
        <w:pStyle w:val="H23GA"/>
        <w:rPr>
          <w:rFonts w:eastAsia="Verdana"/>
          <w:lang w:eastAsia="zh-TW" w:bidi="en-GB"/>
        </w:rPr>
      </w:pPr>
      <w:r w:rsidRPr="00726680">
        <w:rPr>
          <w:rtl/>
        </w:rPr>
        <w:tab/>
      </w:r>
      <w:r w:rsidRPr="00726680">
        <w:rPr>
          <w:rtl/>
        </w:rPr>
        <w:tab/>
        <w:t>الشكوى</w:t>
      </w:r>
    </w:p>
    <w:p w14:paraId="3184CE0F" w14:textId="77777777" w:rsidR="000718A2" w:rsidRPr="00726680" w:rsidRDefault="000718A2" w:rsidP="00FD2D33">
      <w:pPr>
        <w:pStyle w:val="SingleTxtGA"/>
        <w:rPr>
          <w:lang w:val="ar-SA" w:eastAsia="zh-TW" w:bidi="en-GB"/>
        </w:rPr>
      </w:pPr>
      <w:r w:rsidRPr="00222C20">
        <w:rPr>
          <w:rtl/>
        </w:rPr>
        <w:t>3</w:t>
      </w:r>
      <w:r>
        <w:rPr>
          <w:rFonts w:ascii="Traditional Arabic"/>
          <w:rtl/>
        </w:rPr>
        <w:t>-</w:t>
      </w:r>
      <w:r w:rsidRPr="00222C20">
        <w:rPr>
          <w:rtl/>
        </w:rPr>
        <w:t>1</w:t>
      </w:r>
      <w:r w:rsidRPr="00726680">
        <w:rPr>
          <w:rtl/>
        </w:rPr>
        <w:tab/>
        <w:t xml:space="preserve">يدعي صاحب البلاغ أن الدولة الطرف انتهكت حقوقه بموجب المادتين </w:t>
      </w:r>
      <w:r w:rsidRPr="00222C20">
        <w:rPr>
          <w:rtl/>
        </w:rPr>
        <w:t>19</w:t>
      </w:r>
      <w:r w:rsidRPr="00726680">
        <w:rPr>
          <w:rtl/>
        </w:rPr>
        <w:t xml:space="preserve"> و</w:t>
      </w:r>
      <w:r w:rsidRPr="00222C20">
        <w:rPr>
          <w:rtl/>
        </w:rPr>
        <w:t>21</w:t>
      </w:r>
      <w:r w:rsidRPr="00726680">
        <w:rPr>
          <w:rtl/>
        </w:rPr>
        <w:t xml:space="preserve"> من العهد بسبب العقوبات المفروضة عليه نتيجة مشاركته في مظاهرة سلمية احتجاجاً على تخفيض قيمة العملة.</w:t>
      </w:r>
    </w:p>
    <w:p w14:paraId="4EE1DF2E" w14:textId="5C1706B4" w:rsidR="000718A2" w:rsidRPr="00530A41" w:rsidRDefault="000718A2" w:rsidP="00FD2D33">
      <w:pPr>
        <w:pStyle w:val="SingleTxtGA"/>
        <w:rPr>
          <w:lang w:eastAsia="zh-TW" w:bidi="en-GB"/>
        </w:rPr>
      </w:pPr>
      <w:r w:rsidRPr="00222C20">
        <w:rPr>
          <w:rtl/>
        </w:rPr>
        <w:t>3</w:t>
      </w:r>
      <w:r>
        <w:rPr>
          <w:rFonts w:ascii="Traditional Arabic"/>
          <w:rtl/>
        </w:rPr>
        <w:t>-</w:t>
      </w:r>
      <w:r w:rsidRPr="00222C20">
        <w:rPr>
          <w:rtl/>
        </w:rPr>
        <w:t>2</w:t>
      </w:r>
      <w:r w:rsidRPr="00726680">
        <w:rPr>
          <w:rtl/>
        </w:rPr>
        <w:tab/>
        <w:t xml:space="preserve">ويدعي أن حقوقه بموجب المادة </w:t>
      </w:r>
      <w:r w:rsidRPr="00222C20">
        <w:rPr>
          <w:rtl/>
        </w:rPr>
        <w:t>14</w:t>
      </w:r>
      <w:r w:rsidRPr="00726680">
        <w:rPr>
          <w:rFonts w:ascii="Traditional Arabic"/>
          <w:rtl/>
        </w:rPr>
        <w:t>(</w:t>
      </w:r>
      <w:r w:rsidRPr="00222C20">
        <w:rPr>
          <w:rtl/>
        </w:rPr>
        <w:t>3</w:t>
      </w:r>
      <w:r w:rsidRPr="00726680">
        <w:rPr>
          <w:rFonts w:ascii="Traditional Arabic"/>
          <w:rtl/>
        </w:rPr>
        <w:t>)(</w:t>
      </w:r>
      <w:r w:rsidRPr="00726680">
        <w:rPr>
          <w:rtl/>
        </w:rPr>
        <w:t>د</w:t>
      </w:r>
      <w:r w:rsidRPr="00726680">
        <w:rPr>
          <w:rFonts w:ascii="Traditional Arabic"/>
          <w:rtl/>
        </w:rPr>
        <w:t>)</w:t>
      </w:r>
      <w:r w:rsidRPr="00726680">
        <w:rPr>
          <w:rtl/>
        </w:rPr>
        <w:t xml:space="preserve"> من العهد انتُهكت لأنه لم يوكَّل له محام بعد اعتقاله، و</w:t>
      </w:r>
      <w:r>
        <w:rPr>
          <w:rtl/>
        </w:rPr>
        <w:t>ل</w:t>
      </w:r>
      <w:r w:rsidRPr="00726680">
        <w:rPr>
          <w:rtl/>
        </w:rPr>
        <w:t xml:space="preserve">أن أفراد أسرته والصحفيين والمراقبين من منظمات حقوق </w:t>
      </w:r>
      <w:r w:rsidRPr="00EB7721">
        <w:rPr>
          <w:rtl/>
        </w:rPr>
        <w:t xml:space="preserve">الإنسان </w:t>
      </w:r>
      <w:r w:rsidRPr="00D90D52">
        <w:rPr>
          <w:rtl/>
        </w:rPr>
        <w:t>مُنعوا حضور جلسة</w:t>
      </w:r>
      <w:r w:rsidRPr="00726680">
        <w:rPr>
          <w:rtl/>
        </w:rPr>
        <w:t xml:space="preserve"> الاستماع. ويدعي </w:t>
      </w:r>
      <w:r w:rsidR="00FF1E5B">
        <w:rPr>
          <w:rtl/>
        </w:rPr>
        <w:t>أيضاً</w:t>
      </w:r>
      <w:r w:rsidRPr="00726680">
        <w:rPr>
          <w:rtl/>
        </w:rPr>
        <w:t xml:space="preserve">، دون أن يقدم تفاصيل، أن حقوقه بموجب المادة </w:t>
      </w:r>
      <w:r w:rsidRPr="00222C20">
        <w:rPr>
          <w:rtl/>
        </w:rPr>
        <w:t>14</w:t>
      </w:r>
      <w:r w:rsidRPr="00726680">
        <w:rPr>
          <w:rFonts w:ascii="Traditional Arabic"/>
          <w:rtl/>
        </w:rPr>
        <w:t>(</w:t>
      </w:r>
      <w:r w:rsidRPr="00222C20">
        <w:rPr>
          <w:rtl/>
        </w:rPr>
        <w:t>3</w:t>
      </w:r>
      <w:r w:rsidRPr="00726680">
        <w:rPr>
          <w:rFonts w:ascii="Traditional Arabic"/>
          <w:rtl/>
        </w:rPr>
        <w:t>)(</w:t>
      </w:r>
      <w:r w:rsidRPr="00726680">
        <w:rPr>
          <w:rtl/>
        </w:rPr>
        <w:t>ز</w:t>
      </w:r>
      <w:r w:rsidRPr="00726680">
        <w:rPr>
          <w:rFonts w:ascii="Traditional Arabic"/>
          <w:rtl/>
        </w:rPr>
        <w:t>)</w:t>
      </w:r>
      <w:r w:rsidRPr="00726680">
        <w:rPr>
          <w:rtl/>
        </w:rPr>
        <w:t xml:space="preserve"> من العهد انتُهكت.</w:t>
      </w:r>
    </w:p>
    <w:p w14:paraId="4A3BB75C" w14:textId="045D85C8" w:rsidR="000718A2" w:rsidRPr="00326A15" w:rsidRDefault="000718A2" w:rsidP="00FD2D33">
      <w:pPr>
        <w:pStyle w:val="SingleTxtGA"/>
        <w:rPr>
          <w:lang w:eastAsia="zh-TW" w:bidi="en-GB"/>
        </w:rPr>
      </w:pPr>
      <w:r w:rsidRPr="00222C20">
        <w:rPr>
          <w:rtl/>
        </w:rPr>
        <w:t>3</w:t>
      </w:r>
      <w:r>
        <w:rPr>
          <w:rFonts w:ascii="Traditional Arabic"/>
          <w:rtl/>
        </w:rPr>
        <w:t>-</w:t>
      </w:r>
      <w:r w:rsidRPr="00222C20">
        <w:rPr>
          <w:rtl/>
        </w:rPr>
        <w:t>3</w:t>
      </w:r>
      <w:r w:rsidRPr="00726680">
        <w:rPr>
          <w:rtl/>
        </w:rPr>
        <w:tab/>
        <w:t>ويطلب صاحب البلاغ إلى اللجنة أن توصي الدولة الطرف بما يلي: أن تقدم إلى العدالة من انتهكوا حقوقه</w:t>
      </w:r>
      <w:r w:rsidR="00222C20">
        <w:rPr>
          <w:rStyle w:val="FootnoteReference"/>
          <w:sz w:val="30"/>
          <w:rtl/>
        </w:rPr>
        <w:t>(</w:t>
      </w:r>
      <w:r w:rsidR="00222C20" w:rsidRPr="00726680">
        <w:rPr>
          <w:rStyle w:val="FootnoteReference"/>
          <w:sz w:val="30"/>
          <w:rtl/>
        </w:rPr>
        <w:footnoteReference w:id="3"/>
      </w:r>
      <w:r w:rsidR="00222C20">
        <w:rPr>
          <w:rStyle w:val="FootnoteReference"/>
          <w:sz w:val="30"/>
          <w:rtl/>
        </w:rPr>
        <w:t>)</w:t>
      </w:r>
      <w:r w:rsidRPr="00726680">
        <w:rPr>
          <w:rtl/>
        </w:rPr>
        <w:t>؛ وأن تعوضه عما لحقه من أضرار معنوية ومادية، بما في ذلك مبلغ الغرامة؛ وأن تعتمد تدابير لرفع القيود المفروضة على الحق في حرية التجمع السلمي في تشريعات الدولة الطرف، ووضع حد لانتهاكات الحق في محاكمة عادلة بم</w:t>
      </w:r>
      <w:r>
        <w:rPr>
          <w:rtl/>
        </w:rPr>
        <w:t>قتضى</w:t>
      </w:r>
      <w:r w:rsidRPr="00726680">
        <w:rPr>
          <w:rtl/>
        </w:rPr>
        <w:t xml:space="preserve"> المادتين </w:t>
      </w:r>
      <w:r w:rsidRPr="00222C20">
        <w:rPr>
          <w:rtl/>
        </w:rPr>
        <w:t>14</w:t>
      </w:r>
      <w:r w:rsidRPr="00726680">
        <w:rPr>
          <w:rFonts w:ascii="Traditional Arabic"/>
          <w:rtl/>
        </w:rPr>
        <w:t>(</w:t>
      </w:r>
      <w:r w:rsidRPr="00222C20">
        <w:rPr>
          <w:rtl/>
        </w:rPr>
        <w:t>3</w:t>
      </w:r>
      <w:r w:rsidRPr="00726680">
        <w:rPr>
          <w:rFonts w:ascii="Traditional Arabic"/>
          <w:rtl/>
        </w:rPr>
        <w:t>)(</w:t>
      </w:r>
      <w:r w:rsidRPr="00726680">
        <w:rPr>
          <w:rtl/>
        </w:rPr>
        <w:t>د</w:t>
      </w:r>
      <w:r w:rsidRPr="00726680">
        <w:rPr>
          <w:rFonts w:ascii="Traditional Arabic"/>
          <w:rtl/>
        </w:rPr>
        <w:t>)</w:t>
      </w:r>
      <w:r w:rsidRPr="00726680">
        <w:rPr>
          <w:rtl/>
        </w:rPr>
        <w:t xml:space="preserve"> و</w:t>
      </w:r>
      <w:r w:rsidRPr="00222C20">
        <w:rPr>
          <w:rtl/>
        </w:rPr>
        <w:t>14</w:t>
      </w:r>
      <w:r w:rsidRPr="00726680">
        <w:rPr>
          <w:rFonts w:ascii="Traditional Arabic"/>
          <w:rtl/>
        </w:rPr>
        <w:t>(</w:t>
      </w:r>
      <w:r w:rsidRPr="00222C20">
        <w:rPr>
          <w:rtl/>
        </w:rPr>
        <w:t>3</w:t>
      </w:r>
      <w:r w:rsidRPr="00726680">
        <w:rPr>
          <w:rFonts w:ascii="Traditional Arabic"/>
          <w:rtl/>
        </w:rPr>
        <w:t>)(</w:t>
      </w:r>
      <w:r w:rsidRPr="00726680">
        <w:rPr>
          <w:rtl/>
        </w:rPr>
        <w:t>ز</w:t>
      </w:r>
      <w:r w:rsidRPr="00726680">
        <w:rPr>
          <w:rFonts w:ascii="Traditional Arabic"/>
          <w:rtl/>
        </w:rPr>
        <w:t>)</w:t>
      </w:r>
      <w:r w:rsidRPr="00726680">
        <w:rPr>
          <w:rtl/>
        </w:rPr>
        <w:t xml:space="preserve"> من العهد؛ وأن تضمن، على سبيل الاستعجال، ألا يعقُب الاحتجاجات السلمية تدخل غير مبرر</w:t>
      </w:r>
      <w:r>
        <w:rPr>
          <w:rtl/>
        </w:rPr>
        <w:t xml:space="preserve"> من سلطات الدولة</w:t>
      </w:r>
      <w:r w:rsidRPr="00726680">
        <w:rPr>
          <w:rtl/>
        </w:rPr>
        <w:t xml:space="preserve"> في </w:t>
      </w:r>
      <w:r>
        <w:rPr>
          <w:rtl/>
        </w:rPr>
        <w:t xml:space="preserve">شؤون </w:t>
      </w:r>
      <w:r w:rsidRPr="00726680">
        <w:rPr>
          <w:rtl/>
        </w:rPr>
        <w:t>المشاركين في الاحتجاجات ومقاضاته</w:t>
      </w:r>
      <w:r>
        <w:rPr>
          <w:rtl/>
        </w:rPr>
        <w:t>ا إياه</w:t>
      </w:r>
      <w:r w:rsidRPr="00726680">
        <w:rPr>
          <w:rtl/>
        </w:rPr>
        <w:t>م .</w:t>
      </w:r>
    </w:p>
    <w:p w14:paraId="6FF6217B" w14:textId="77777777" w:rsidR="000718A2" w:rsidRPr="007E518F" w:rsidRDefault="000718A2" w:rsidP="00FD2D33">
      <w:pPr>
        <w:pStyle w:val="H23GA"/>
        <w:rPr>
          <w:lang w:eastAsia="zh-TW" w:bidi="en-GB"/>
        </w:rPr>
      </w:pPr>
      <w:r w:rsidRPr="00726680">
        <w:rPr>
          <w:rtl/>
        </w:rPr>
        <w:lastRenderedPageBreak/>
        <w:tab/>
      </w:r>
      <w:r w:rsidRPr="00726680">
        <w:rPr>
          <w:rtl/>
        </w:rPr>
        <w:tab/>
        <w:t>ملاحظات الدولة الطرف بشأن المقبولية</w:t>
      </w:r>
    </w:p>
    <w:p w14:paraId="506F5C73" w14:textId="77777777" w:rsidR="000718A2" w:rsidRPr="00326A15" w:rsidRDefault="000718A2" w:rsidP="00FD2D33">
      <w:pPr>
        <w:pStyle w:val="SingleTxtGA"/>
        <w:rPr>
          <w:lang w:eastAsia="zh-TW" w:bidi="en-GB"/>
        </w:rPr>
      </w:pPr>
      <w:r w:rsidRPr="00222C20">
        <w:rPr>
          <w:rtl/>
        </w:rPr>
        <w:t>4</w:t>
      </w:r>
      <w:r>
        <w:rPr>
          <w:rFonts w:ascii="Traditional Arabic"/>
          <w:rtl/>
        </w:rPr>
        <w:t>-</w:t>
      </w:r>
      <w:r w:rsidRPr="00222C20">
        <w:rPr>
          <w:rtl/>
        </w:rPr>
        <w:t>1</w:t>
      </w:r>
      <w:r w:rsidRPr="00726680">
        <w:rPr>
          <w:rtl/>
        </w:rPr>
        <w:tab/>
        <w:t xml:space="preserve">في مذكرة شفوية مؤرخة </w:t>
      </w:r>
      <w:r w:rsidRPr="00222C20">
        <w:rPr>
          <w:rtl/>
        </w:rPr>
        <w:t>26</w:t>
      </w:r>
      <w:r w:rsidRPr="00726680">
        <w:rPr>
          <w:rtl/>
        </w:rPr>
        <w:t xml:space="preserve"> آذار/مارس </w:t>
      </w:r>
      <w:r w:rsidRPr="00222C20">
        <w:rPr>
          <w:rtl/>
        </w:rPr>
        <w:t>2015</w:t>
      </w:r>
      <w:r w:rsidRPr="00726680">
        <w:rPr>
          <w:rtl/>
        </w:rPr>
        <w:t xml:space="preserve">، قدمت الدولة الطرف ملاحظاتها بشأن مقبولية البلاغ وطلبت إلى اللجنة اعتباره </w:t>
      </w:r>
      <w:r>
        <w:rPr>
          <w:rtl/>
        </w:rPr>
        <w:t>غير مقبول و</w:t>
      </w:r>
      <w:r w:rsidRPr="00726680">
        <w:rPr>
          <w:rtl/>
        </w:rPr>
        <w:t>غير مدعوم بأدلة.</w:t>
      </w:r>
    </w:p>
    <w:p w14:paraId="5B3A8FDA" w14:textId="77777777" w:rsidR="000718A2" w:rsidRPr="00726680" w:rsidRDefault="000718A2" w:rsidP="00FD2D33">
      <w:pPr>
        <w:pStyle w:val="SingleTxtGA"/>
        <w:rPr>
          <w:lang w:val="ar-SA" w:eastAsia="zh-TW" w:bidi="en-GB"/>
        </w:rPr>
      </w:pPr>
      <w:r w:rsidRPr="00222C20">
        <w:rPr>
          <w:rtl/>
        </w:rPr>
        <w:t>4</w:t>
      </w:r>
      <w:r>
        <w:rPr>
          <w:rFonts w:ascii="Traditional Arabic"/>
          <w:rtl/>
        </w:rPr>
        <w:t>-</w:t>
      </w:r>
      <w:r w:rsidRPr="00222C20">
        <w:rPr>
          <w:rtl/>
        </w:rPr>
        <w:t>2</w:t>
      </w:r>
      <w:r w:rsidRPr="00726680">
        <w:rPr>
          <w:rtl/>
        </w:rPr>
        <w:tab/>
        <w:t>وتذكّر الدولة الطرف بوقائع القضية وتلاحظ أن صاحب البلاغ شارك في حدث جماهيري غير مرخص فيه</w:t>
      </w:r>
      <w:r w:rsidRPr="007E4C5C">
        <w:rPr>
          <w:rtl/>
        </w:rPr>
        <w:t xml:space="preserve">. وكان المشاركون </w:t>
      </w:r>
      <w:r w:rsidRPr="00027A0B">
        <w:rPr>
          <w:rtl/>
        </w:rPr>
        <w:t>يعكّرون صفو غيرهم</w:t>
      </w:r>
      <w:r w:rsidRPr="0080050F">
        <w:rPr>
          <w:rtl/>
        </w:rPr>
        <w:t xml:space="preserve"> ويرددون</w:t>
      </w:r>
      <w:r w:rsidRPr="00726680">
        <w:rPr>
          <w:rtl/>
        </w:rPr>
        <w:t xml:space="preserve"> الشعارات ويحثون الآخرين على الانضمام إليهم. وطلبت الشرطة من المشاركين وقف الحدث غير المرخص فيه، لكنهم تجاهلو</w:t>
      </w:r>
      <w:r>
        <w:rPr>
          <w:rtl/>
        </w:rPr>
        <w:t>ا الطلب</w:t>
      </w:r>
      <w:r w:rsidRPr="00726680">
        <w:rPr>
          <w:rtl/>
        </w:rPr>
        <w:t>.</w:t>
      </w:r>
    </w:p>
    <w:p w14:paraId="70AD837F" w14:textId="28A06EC6" w:rsidR="000718A2" w:rsidRPr="00326A15" w:rsidRDefault="000718A2" w:rsidP="00FD2D33">
      <w:pPr>
        <w:pStyle w:val="SingleTxtGA"/>
        <w:rPr>
          <w:lang w:eastAsia="zh-TW"/>
        </w:rPr>
      </w:pPr>
      <w:r w:rsidRPr="00222C20">
        <w:rPr>
          <w:rtl/>
        </w:rPr>
        <w:t>4</w:t>
      </w:r>
      <w:r>
        <w:rPr>
          <w:rFonts w:ascii="Traditional Arabic"/>
          <w:rtl/>
        </w:rPr>
        <w:t>-</w:t>
      </w:r>
      <w:r w:rsidRPr="00222C20">
        <w:rPr>
          <w:rtl/>
        </w:rPr>
        <w:t>3</w:t>
      </w:r>
      <w:r w:rsidRPr="00726680">
        <w:rPr>
          <w:rtl/>
        </w:rPr>
        <w:tab/>
        <w:t xml:space="preserve">وتدفع الدولة الطرف بأن صاحب البلاغ عوقب على انتهاكه </w:t>
      </w:r>
      <w:r>
        <w:rPr>
          <w:rtl/>
        </w:rPr>
        <w:t>ال</w:t>
      </w:r>
      <w:r w:rsidRPr="00726680">
        <w:rPr>
          <w:rtl/>
        </w:rPr>
        <w:t xml:space="preserve">أمر </w:t>
      </w:r>
      <w:r>
        <w:rPr>
          <w:rtl/>
        </w:rPr>
        <w:t>المتعلق ب</w:t>
      </w:r>
      <w:r w:rsidRPr="00726680">
        <w:rPr>
          <w:rtl/>
        </w:rPr>
        <w:t xml:space="preserve">تنظيم الأحداث الجماهيرية، </w:t>
      </w:r>
      <w:r>
        <w:rPr>
          <w:rtl/>
        </w:rPr>
        <w:t>وهو ما</w:t>
      </w:r>
      <w:r w:rsidRPr="00726680">
        <w:rPr>
          <w:rtl/>
        </w:rPr>
        <w:t xml:space="preserve"> يشكل مخالفة إدارية بمقتضى المادة </w:t>
      </w:r>
      <w:r w:rsidRPr="00222C20">
        <w:rPr>
          <w:rtl/>
        </w:rPr>
        <w:t>373</w:t>
      </w:r>
      <w:r w:rsidRPr="00726680">
        <w:rPr>
          <w:rFonts w:ascii="Traditional Arabic"/>
          <w:rtl/>
        </w:rPr>
        <w:t>(</w:t>
      </w:r>
      <w:r w:rsidRPr="00222C20">
        <w:rPr>
          <w:rtl/>
        </w:rPr>
        <w:t>1</w:t>
      </w:r>
      <w:r w:rsidRPr="00726680">
        <w:rPr>
          <w:rFonts w:ascii="Traditional Arabic"/>
          <w:rtl/>
        </w:rPr>
        <w:t>)</w:t>
      </w:r>
      <w:r w:rsidRPr="00726680">
        <w:rPr>
          <w:rtl/>
        </w:rPr>
        <w:t xml:space="preserve"> من مدونة المخالفات الإدارية. وتدفع </w:t>
      </w:r>
      <w:r w:rsidR="00FF1E5B">
        <w:rPr>
          <w:rtl/>
        </w:rPr>
        <w:t>أيضاً</w:t>
      </w:r>
      <w:r w:rsidRPr="00726680">
        <w:rPr>
          <w:rtl/>
        </w:rPr>
        <w:t xml:space="preserve"> بأنه لم يطلب محامياً أو أي ممثل آخر.</w:t>
      </w:r>
    </w:p>
    <w:p w14:paraId="4B9A8F27" w14:textId="235B86D7" w:rsidR="000718A2" w:rsidRPr="00326A15" w:rsidRDefault="000718A2" w:rsidP="00FD2D33">
      <w:pPr>
        <w:pStyle w:val="SingleTxtGA"/>
        <w:rPr>
          <w:lang w:eastAsia="zh-TW" w:bidi="en-GB"/>
        </w:rPr>
      </w:pPr>
      <w:r w:rsidRPr="00222C20">
        <w:rPr>
          <w:rtl/>
        </w:rPr>
        <w:t>4</w:t>
      </w:r>
      <w:r>
        <w:rPr>
          <w:rFonts w:ascii="Traditional Arabic"/>
          <w:rtl/>
        </w:rPr>
        <w:t>-</w:t>
      </w:r>
      <w:r w:rsidRPr="00222C20">
        <w:rPr>
          <w:rtl/>
        </w:rPr>
        <w:t>4</w:t>
      </w:r>
      <w:r w:rsidRPr="00726680">
        <w:rPr>
          <w:rtl/>
        </w:rPr>
        <w:tab/>
        <w:t xml:space="preserve">ولا توافق الدولة الطرف على حجج صاحب البلاغ، وهي أن أفعاله لم تشكل جريمة لأن الحدث كان عفويا وأنه لم يتمكن من ثم من الحصول على ترخيص مسبق، وأنه تَصادف أنه كان على مقربة من المظاهرة وقرر الانضمام إليها. وتدفع بأن الحقوق المكرسة في المادتين </w:t>
      </w:r>
      <w:r w:rsidRPr="00222C20">
        <w:rPr>
          <w:rtl/>
        </w:rPr>
        <w:t>19</w:t>
      </w:r>
      <w:r w:rsidRPr="00726680">
        <w:rPr>
          <w:rtl/>
        </w:rPr>
        <w:t xml:space="preserve"> و</w:t>
      </w:r>
      <w:r w:rsidRPr="00222C20">
        <w:rPr>
          <w:rtl/>
        </w:rPr>
        <w:t>21</w:t>
      </w:r>
      <w:r w:rsidRPr="00726680">
        <w:rPr>
          <w:rtl/>
        </w:rPr>
        <w:t xml:space="preserve"> من العهد تخضع لبعض القيود. وتفيد بأن حرية التجمع السلمي غير محظورة في كازاخستان، لكنها </w:t>
      </w:r>
      <w:r w:rsidRPr="007E4C5C">
        <w:rPr>
          <w:rtl/>
        </w:rPr>
        <w:t xml:space="preserve">توضح أن </w:t>
      </w:r>
      <w:r w:rsidRPr="0080050F">
        <w:rPr>
          <w:rtl/>
        </w:rPr>
        <w:t>تنظيم التجمعات يستوجب اتباع إجراءات</w:t>
      </w:r>
      <w:r w:rsidRPr="00DD16A3">
        <w:rPr>
          <w:rtl/>
        </w:rPr>
        <w:t xml:space="preserve"> معينة. وتشير</w:t>
      </w:r>
      <w:r w:rsidRPr="00726680">
        <w:rPr>
          <w:rtl/>
        </w:rPr>
        <w:t xml:space="preserve"> في هذا الصدد إلى المادة </w:t>
      </w:r>
      <w:r w:rsidRPr="00222C20">
        <w:rPr>
          <w:rtl/>
        </w:rPr>
        <w:t>32</w:t>
      </w:r>
      <w:r w:rsidRPr="00726680">
        <w:rPr>
          <w:rtl/>
        </w:rPr>
        <w:t xml:space="preserve"> من الدستور وإلى المادتين</w:t>
      </w:r>
      <w:r w:rsidR="007B49CF">
        <w:rPr>
          <w:rFonts w:hint="cs"/>
          <w:rtl/>
        </w:rPr>
        <w:t> </w:t>
      </w:r>
      <w:r w:rsidRPr="00222C20">
        <w:rPr>
          <w:rtl/>
        </w:rPr>
        <w:t>2</w:t>
      </w:r>
      <w:r w:rsidRPr="00726680">
        <w:rPr>
          <w:rtl/>
        </w:rPr>
        <w:t xml:space="preserve"> و</w:t>
      </w:r>
      <w:r w:rsidRPr="00222C20">
        <w:rPr>
          <w:rtl/>
        </w:rPr>
        <w:t>9</w:t>
      </w:r>
      <w:r w:rsidRPr="00726680">
        <w:rPr>
          <w:rtl/>
        </w:rPr>
        <w:t xml:space="preserve"> من القانون المتعلق بتنظيم التجمعات والاجتماعات والمسيرات والمواكب والاعتصامات والمظاهرات السلمية وتسييرها، التي يتعين على المنظمين بمقتضاها أن يطلبوا ترخيصا من السلطات المحلية لتنظيم تجمع، وإلا تعرّض</w:t>
      </w:r>
      <w:r>
        <w:rPr>
          <w:rtl/>
        </w:rPr>
        <w:t xml:space="preserve"> من يخالفون الأمر</w:t>
      </w:r>
      <w:r w:rsidRPr="00726680">
        <w:rPr>
          <w:rtl/>
        </w:rPr>
        <w:t xml:space="preserve"> للمساءلة.</w:t>
      </w:r>
    </w:p>
    <w:p w14:paraId="0372BA4A" w14:textId="77777777" w:rsidR="000718A2" w:rsidRPr="00326A15" w:rsidRDefault="000718A2" w:rsidP="00FD2D33">
      <w:pPr>
        <w:pStyle w:val="SingleTxtGA"/>
        <w:rPr>
          <w:lang w:eastAsia="zh-TW" w:bidi="en-GB"/>
        </w:rPr>
      </w:pPr>
      <w:r w:rsidRPr="00222C20">
        <w:rPr>
          <w:rtl/>
        </w:rPr>
        <w:t>4</w:t>
      </w:r>
      <w:r>
        <w:rPr>
          <w:rFonts w:ascii="Traditional Arabic"/>
          <w:rtl/>
        </w:rPr>
        <w:t>-</w:t>
      </w:r>
      <w:r w:rsidRPr="00222C20">
        <w:rPr>
          <w:rtl/>
        </w:rPr>
        <w:t>5</w:t>
      </w:r>
      <w:r w:rsidRPr="00726680">
        <w:rPr>
          <w:rtl/>
        </w:rPr>
        <w:tab/>
        <w:t>وترى الدولة الطرف من الضروري فرض قيود معينة على الحق في حرية التجمع. وتبين التجربة الأوروبية الأخيرة أن إعمال جزء معين من المجتمع الحقّ في حرية التجمع قد يؤدي إلى إلحاق الضرر بالدولة والممتلكات الخاصة والنقل، ضمن أمور أخرى، حتى وإن بدأت الأحداث الجماهيرية سلميا. ولذلك من الضروري تنظيم (وليس حظر) تسيير الأحداث الجماهيرية.</w:t>
      </w:r>
    </w:p>
    <w:p w14:paraId="63616AAB" w14:textId="749F351C" w:rsidR="000718A2" w:rsidRPr="00F2088C" w:rsidRDefault="000718A2" w:rsidP="00FD2D33">
      <w:pPr>
        <w:pStyle w:val="SingleTxtGA"/>
        <w:rPr>
          <w:spacing w:val="-2"/>
          <w:lang w:eastAsia="zh-TW" w:bidi="en-GB"/>
        </w:rPr>
      </w:pPr>
      <w:r w:rsidRPr="00F2088C">
        <w:rPr>
          <w:spacing w:val="-2"/>
          <w:rtl/>
        </w:rPr>
        <w:t>4</w:t>
      </w:r>
      <w:r w:rsidRPr="00F2088C">
        <w:rPr>
          <w:rFonts w:ascii="Traditional Arabic"/>
          <w:spacing w:val="-2"/>
          <w:rtl/>
        </w:rPr>
        <w:t>-</w:t>
      </w:r>
      <w:r w:rsidRPr="00F2088C">
        <w:rPr>
          <w:spacing w:val="-2"/>
          <w:rtl/>
        </w:rPr>
        <w:t>6</w:t>
      </w:r>
      <w:r w:rsidRPr="00F2088C">
        <w:rPr>
          <w:spacing w:val="-2"/>
          <w:rtl/>
        </w:rPr>
        <w:tab/>
        <w:t>وتوضح الدولة الطرف أن الحدث الذي شارك فيه صاحب البلاغ كان يمكن أن يثير ردود فعل من أشخاص آخرين لم يرغبوا في أن تُفرض عليهم وجهات نظر غيرهم. وقد تسبب هذا الحدث في الإخلال بالسلم والسلامة العامة وعرقل عمل النقل العام والبنية التحتية لأنه أقيم في مكان غير ملائم حيث يرتاح الناس ويعمل فيه النقل العام. وتقع على من يرغبون في ممارسة حقهم في المشاركة في هذه الأحداث التزامات ومسؤوليات محددة لأن أفعالهم قد تكون لها عواقب وخيمة. لذا، فإن القيود المفروضة تشكل استجابة مناسبة قانوناً. وفي القضية محل النظر، تمكنت الشرطة من قمع الأفعال غير القانونية</w:t>
      </w:r>
      <w:r w:rsidR="007B49CF" w:rsidRPr="00F2088C">
        <w:rPr>
          <w:rFonts w:hint="cs"/>
          <w:spacing w:val="-2"/>
          <w:rtl/>
        </w:rPr>
        <w:t> </w:t>
      </w:r>
      <w:r w:rsidRPr="00F2088C">
        <w:rPr>
          <w:spacing w:val="-2"/>
          <w:rtl/>
        </w:rPr>
        <w:t>التي ارتكبها صاحب البلاغ وأشخاص آخرون في الوقت المناسب. ونتيجة لذلك، مُنع حدوث تَبِعات خطيرة.</w:t>
      </w:r>
    </w:p>
    <w:p w14:paraId="2B460E65" w14:textId="77777777" w:rsidR="000718A2" w:rsidRPr="00326A15" w:rsidRDefault="000718A2" w:rsidP="00FD2D33">
      <w:pPr>
        <w:pStyle w:val="SingleTxtGA"/>
        <w:rPr>
          <w:lang w:eastAsia="zh-TW" w:bidi="en-GB"/>
        </w:rPr>
      </w:pPr>
      <w:r w:rsidRPr="00222C20">
        <w:rPr>
          <w:rtl/>
        </w:rPr>
        <w:t>4</w:t>
      </w:r>
      <w:r>
        <w:rPr>
          <w:rFonts w:ascii="Traditional Arabic"/>
          <w:rtl/>
        </w:rPr>
        <w:t>-</w:t>
      </w:r>
      <w:r w:rsidRPr="00222C20">
        <w:rPr>
          <w:rtl/>
        </w:rPr>
        <w:t>7</w:t>
      </w:r>
      <w:r w:rsidRPr="00726680">
        <w:rPr>
          <w:rtl/>
        </w:rPr>
        <w:tab/>
        <w:t>وتدفع الدولة الطرف بأن أماكن محددة خُصصت لإقامة أحداث عامة لضمان حماية حقوق الآخرين وحرياتهم، وسلام</w:t>
      </w:r>
      <w:r>
        <w:rPr>
          <w:rtl/>
        </w:rPr>
        <w:t>تهم</w:t>
      </w:r>
      <w:r w:rsidRPr="00726680">
        <w:rPr>
          <w:rtl/>
        </w:rPr>
        <w:t>، وسير العمل الطبيعي للنقل العام والبنية التحتية، وحماية المساحات الخضراء والمعالم المعمارية. وتذكّر بأن القانون الدولي لحقوق الإنسان يقر بضرورة فرض بعض القيود على حرية التجمع.</w:t>
      </w:r>
    </w:p>
    <w:p w14:paraId="39A2FE3A" w14:textId="77777777" w:rsidR="000718A2" w:rsidRPr="00726680" w:rsidRDefault="000718A2" w:rsidP="00FD2D33">
      <w:pPr>
        <w:pStyle w:val="SingleTxtGA"/>
        <w:rPr>
          <w:lang w:val="ar-SA" w:eastAsia="zh-TW" w:bidi="en-GB"/>
        </w:rPr>
      </w:pPr>
      <w:r w:rsidRPr="00222C20">
        <w:rPr>
          <w:rtl/>
        </w:rPr>
        <w:t>4</w:t>
      </w:r>
      <w:r>
        <w:rPr>
          <w:rFonts w:ascii="Traditional Arabic"/>
          <w:rtl/>
        </w:rPr>
        <w:t>-</w:t>
      </w:r>
      <w:r w:rsidRPr="00222C20">
        <w:rPr>
          <w:rtl/>
        </w:rPr>
        <w:t>8</w:t>
      </w:r>
      <w:r w:rsidRPr="00726680">
        <w:rPr>
          <w:rtl/>
        </w:rPr>
        <w:tab/>
        <w:t>وعلى هذا، تدّعي الدولة الطرف أن إعمال الحق في حرية التجمع في كازاخستان يتوافق تماماً مع الإعلان العالمي لحقوق الإنسان والعهد الدولي الخاص بالحقوق المدنية والسياسية.</w:t>
      </w:r>
    </w:p>
    <w:p w14:paraId="3CFFC020" w14:textId="77777777" w:rsidR="000718A2" w:rsidRPr="00326A15" w:rsidRDefault="000718A2" w:rsidP="00FD2D33">
      <w:pPr>
        <w:pStyle w:val="SingleTxtGA"/>
        <w:rPr>
          <w:lang w:eastAsia="zh-TW" w:bidi="en-GB"/>
        </w:rPr>
      </w:pPr>
      <w:r w:rsidRPr="00222C20">
        <w:rPr>
          <w:rtl/>
        </w:rPr>
        <w:t>4</w:t>
      </w:r>
      <w:r>
        <w:rPr>
          <w:rFonts w:ascii="Traditional Arabic"/>
          <w:rtl/>
        </w:rPr>
        <w:t>-</w:t>
      </w:r>
      <w:r w:rsidRPr="00222C20">
        <w:rPr>
          <w:rtl/>
        </w:rPr>
        <w:t>9</w:t>
      </w:r>
      <w:r w:rsidRPr="00726680">
        <w:rPr>
          <w:rtl/>
        </w:rPr>
        <w:tab/>
        <w:t>وتدفع الدولة الطرف بأن صاحب البلاغ لم يُعتبر مسؤولا بسبب تعبيره عن رأيه، بل بسبب انتهاكه الأمر المتعلق بتنظيم حدث جماهيري عُبر فيه عن هذا الرأي.</w:t>
      </w:r>
    </w:p>
    <w:p w14:paraId="3A7A6949" w14:textId="278D6746" w:rsidR="000718A2" w:rsidRPr="00326A15" w:rsidRDefault="000718A2" w:rsidP="00FD2D33">
      <w:pPr>
        <w:pStyle w:val="SingleTxtGA"/>
        <w:rPr>
          <w:lang w:eastAsia="zh-TW" w:bidi="en-GB"/>
        </w:rPr>
      </w:pPr>
      <w:r w:rsidRPr="00222C20">
        <w:rPr>
          <w:rtl/>
        </w:rPr>
        <w:lastRenderedPageBreak/>
        <w:t>4</w:t>
      </w:r>
      <w:r>
        <w:rPr>
          <w:rFonts w:ascii="Traditional Arabic"/>
          <w:rtl/>
        </w:rPr>
        <w:t>-</w:t>
      </w:r>
      <w:r w:rsidRPr="00222C20">
        <w:rPr>
          <w:rtl/>
        </w:rPr>
        <w:t>10</w:t>
      </w:r>
      <w:r w:rsidRPr="00726680">
        <w:rPr>
          <w:rtl/>
        </w:rPr>
        <w:tab/>
        <w:t xml:space="preserve">وتدفع الدولة الطرف بأن حجج صاحب البلاغ بشأن انتهاك حقوقه بموجب المادة </w:t>
      </w:r>
      <w:r w:rsidRPr="00222C20">
        <w:rPr>
          <w:rtl/>
        </w:rPr>
        <w:t>14</w:t>
      </w:r>
      <w:r w:rsidRPr="00726680">
        <w:rPr>
          <w:rtl/>
        </w:rPr>
        <w:t xml:space="preserve"> من العهد</w:t>
      </w:r>
      <w:r w:rsidR="00FF1E5B">
        <w:rPr>
          <w:rtl/>
        </w:rPr>
        <w:t xml:space="preserve"> </w:t>
      </w:r>
      <w:r w:rsidRPr="00726680">
        <w:rPr>
          <w:rtl/>
        </w:rPr>
        <w:t>ب</w:t>
      </w:r>
      <w:r>
        <w:rPr>
          <w:rtl/>
        </w:rPr>
        <w:t>ُ</w:t>
      </w:r>
      <w:r w:rsidRPr="00726680">
        <w:rPr>
          <w:rtl/>
        </w:rPr>
        <w:t>حث</w:t>
      </w:r>
      <w:r>
        <w:rPr>
          <w:rtl/>
        </w:rPr>
        <w:t>ت</w:t>
      </w:r>
      <w:r w:rsidRPr="00726680">
        <w:rPr>
          <w:rtl/>
        </w:rPr>
        <w:t xml:space="preserve"> وتَبيّن أن لا أساس لها من الصحة. وأُبلغ جميعَ حقوقه، وقد أكد هذ</w:t>
      </w:r>
      <w:r>
        <w:rPr>
          <w:rtl/>
        </w:rPr>
        <w:t>ا</w:t>
      </w:r>
      <w:r w:rsidRPr="00726680">
        <w:rPr>
          <w:rtl/>
        </w:rPr>
        <w:t xml:space="preserve"> </w:t>
      </w:r>
      <w:r>
        <w:rPr>
          <w:rtl/>
        </w:rPr>
        <w:t>الأمر</w:t>
      </w:r>
      <w:r w:rsidRPr="00726680">
        <w:rPr>
          <w:rtl/>
        </w:rPr>
        <w:t xml:space="preserve"> بتوقيعه. وإضافة إلى ذلك، لا يوجد في الملف الإداري سجلات للمحكمة تتضمن طلب صاحب البلاغ السماح بحضور ممثليه أو مراقبين.</w:t>
      </w:r>
    </w:p>
    <w:p w14:paraId="0525F150" w14:textId="2DDB3C0A" w:rsidR="000718A2" w:rsidRPr="00326A15" w:rsidRDefault="000718A2" w:rsidP="00FD2D33">
      <w:pPr>
        <w:pStyle w:val="SingleTxtGA"/>
        <w:rPr>
          <w:lang w:eastAsia="zh-TW" w:bidi="en-GB"/>
        </w:rPr>
      </w:pPr>
      <w:r w:rsidRPr="00222C20">
        <w:rPr>
          <w:rtl/>
        </w:rPr>
        <w:t>4</w:t>
      </w:r>
      <w:r>
        <w:rPr>
          <w:rFonts w:ascii="Traditional Arabic"/>
          <w:rtl/>
        </w:rPr>
        <w:t>-</w:t>
      </w:r>
      <w:r w:rsidRPr="00222C20">
        <w:rPr>
          <w:rtl/>
        </w:rPr>
        <w:t>11</w:t>
      </w:r>
      <w:r w:rsidRPr="00726680">
        <w:rPr>
          <w:rtl/>
        </w:rPr>
        <w:tab/>
        <w:t xml:space="preserve">وتدفع الدولة الطرف </w:t>
      </w:r>
      <w:r w:rsidR="00FF1E5B">
        <w:rPr>
          <w:rtl/>
        </w:rPr>
        <w:t>أيضاً</w:t>
      </w:r>
      <w:r w:rsidRPr="00726680">
        <w:rPr>
          <w:rtl/>
        </w:rPr>
        <w:t xml:space="preserve"> بأن إجراءات الشرطة تجاه المشاركين في الحدث الجماهيري كانت مشروعة لأنها كانت تهدف إلى وقف انتهاك القانون.</w:t>
      </w:r>
    </w:p>
    <w:p w14:paraId="1BA72ABC" w14:textId="77777777" w:rsidR="000718A2" w:rsidRPr="00726680" w:rsidRDefault="000718A2" w:rsidP="00FD2D33">
      <w:pPr>
        <w:pStyle w:val="SingleTxtGA"/>
        <w:rPr>
          <w:lang w:val="ar-SA" w:eastAsia="zh-TW" w:bidi="en-GB"/>
        </w:rPr>
      </w:pPr>
      <w:r w:rsidRPr="00222C20">
        <w:rPr>
          <w:rtl/>
        </w:rPr>
        <w:t>4</w:t>
      </w:r>
      <w:r>
        <w:rPr>
          <w:rFonts w:ascii="Traditional Arabic"/>
          <w:rtl/>
        </w:rPr>
        <w:t>-</w:t>
      </w:r>
      <w:r w:rsidRPr="00222C20">
        <w:rPr>
          <w:rtl/>
        </w:rPr>
        <w:t>12</w:t>
      </w:r>
      <w:r w:rsidRPr="00726680">
        <w:rPr>
          <w:rtl/>
        </w:rPr>
        <w:tab/>
        <w:t>وتدفع الدولة الطرف، إضافة إلى ذلك، بأن تشريعات كازاخستان لا تعترف بمفهوم الأحداث الجماهيرية العفوية. فكل هذه الأحداث يجب أن تنظَّم وتقام وفق القانون المتعلق بتنظيم التجمعات والاجتماعات والمسيرات والمواكب والاعتصامات والمظاهرات السلمية وتسييرها.</w:t>
      </w:r>
    </w:p>
    <w:p w14:paraId="771F2943" w14:textId="7FBA7D4D" w:rsidR="000718A2" w:rsidRPr="00F2088C" w:rsidRDefault="000718A2" w:rsidP="00FD2D33">
      <w:pPr>
        <w:pStyle w:val="SingleTxtGA"/>
        <w:rPr>
          <w:spacing w:val="-2"/>
          <w:lang w:eastAsia="zh-TW" w:bidi="en-GB"/>
        </w:rPr>
      </w:pPr>
      <w:r w:rsidRPr="00F2088C">
        <w:rPr>
          <w:spacing w:val="-2"/>
          <w:rtl/>
        </w:rPr>
        <w:t>4</w:t>
      </w:r>
      <w:r w:rsidRPr="00F2088C">
        <w:rPr>
          <w:rFonts w:ascii="Traditional Arabic"/>
          <w:spacing w:val="-2"/>
          <w:rtl/>
        </w:rPr>
        <w:t>-</w:t>
      </w:r>
      <w:r w:rsidRPr="00F2088C">
        <w:rPr>
          <w:spacing w:val="-2"/>
          <w:rtl/>
        </w:rPr>
        <w:t>13</w:t>
      </w:r>
      <w:r w:rsidRPr="00F2088C">
        <w:rPr>
          <w:spacing w:val="-2"/>
          <w:rtl/>
        </w:rPr>
        <w:tab/>
        <w:t xml:space="preserve">وتدفع الدولة الطرف </w:t>
      </w:r>
      <w:r w:rsidR="00FF1E5B" w:rsidRPr="00F2088C">
        <w:rPr>
          <w:spacing w:val="-2"/>
          <w:rtl/>
        </w:rPr>
        <w:t>أيضاً</w:t>
      </w:r>
      <w:r w:rsidRPr="00F2088C">
        <w:rPr>
          <w:spacing w:val="-2"/>
          <w:rtl/>
        </w:rPr>
        <w:t xml:space="preserve"> بأنها درست الممارسة المتبعة في بلدان أخرى عدة، وخلصت إلى أن القيود المفروضة على الأحداث العامة في بعض البلدان أكثر صرامة من مثيلتها في كازاخستان. ففي مدينة نيويورك، مثلاً، من الضروري طلب الإذن 45 يوماً قبل الحدث وبيان الطريق الذي يسلكه. ويحق لسلطات المدينة نقل موقعه. ولدى سلطات أخرى، مثل السلطات السويدية، قائمة سوداء بأسماء منظمي المظاهرات التي سبق حظرها أو تفريقها. وفي فرنسا، يحق للسلطات المحلية أن تحظر أي مظاهرة؛ وفي المملكة المتحدة لبريطانيا العظمى وأيرلندا الشمالية، يحق للسلطات أن تعتمد الحظر المؤقت. وفي المملكة المتحدة </w:t>
      </w:r>
      <w:r w:rsidR="00FF1E5B" w:rsidRPr="00F2088C">
        <w:rPr>
          <w:spacing w:val="-2"/>
          <w:rtl/>
        </w:rPr>
        <w:t>أيضاً</w:t>
      </w:r>
      <w:r w:rsidRPr="00F2088C">
        <w:rPr>
          <w:spacing w:val="-2"/>
          <w:rtl/>
        </w:rPr>
        <w:t>، لا يُسمح بأحداث الشوارع إلا بعد الحصول على إذن من سلطات الشرطة. وفي ألمانيا، يجب أن يحصل منظمو أي حدث جماهيري أو اجتماع أو مظاهرة، في الداخل أو الخارج، على إذن من السلطات.</w:t>
      </w:r>
    </w:p>
    <w:p w14:paraId="017EEDAC" w14:textId="77777777" w:rsidR="000718A2" w:rsidRPr="00726680" w:rsidRDefault="000718A2" w:rsidP="00FD2D33">
      <w:pPr>
        <w:pStyle w:val="SingleTxtGA"/>
        <w:rPr>
          <w:lang w:val="ar-SA" w:eastAsia="zh-TW" w:bidi="en-GB"/>
        </w:rPr>
      </w:pPr>
      <w:r w:rsidRPr="00222C20">
        <w:rPr>
          <w:rtl/>
        </w:rPr>
        <w:t>4</w:t>
      </w:r>
      <w:r>
        <w:rPr>
          <w:rFonts w:ascii="Traditional Arabic"/>
          <w:rtl/>
        </w:rPr>
        <w:t>-</w:t>
      </w:r>
      <w:r w:rsidRPr="00222C20">
        <w:rPr>
          <w:rtl/>
        </w:rPr>
        <w:t>14</w:t>
      </w:r>
      <w:r w:rsidRPr="00726680">
        <w:rPr>
          <w:rtl/>
        </w:rPr>
        <w:tab/>
        <w:t>وتدعي الدولة الطرف أن صاحب البلاغ لم يطلب من النيابة العامة أن تقدم طلباً لإجراء مراجعة قضائية رقابية في قضيته؛ ومن ثم فهو لم يستنفد سبل الانتصاف المحلية.</w:t>
      </w:r>
    </w:p>
    <w:p w14:paraId="7D709C8C" w14:textId="77777777" w:rsidR="000718A2" w:rsidRPr="00326A15" w:rsidRDefault="000718A2" w:rsidP="00FD2D33">
      <w:pPr>
        <w:pStyle w:val="H23GA"/>
        <w:rPr>
          <w:lang w:eastAsia="zh-TW" w:bidi="en-GB"/>
        </w:rPr>
      </w:pPr>
      <w:r w:rsidRPr="00726680">
        <w:rPr>
          <w:rtl/>
        </w:rPr>
        <w:tab/>
      </w:r>
      <w:r w:rsidRPr="00726680">
        <w:rPr>
          <w:rtl/>
        </w:rPr>
        <w:tab/>
        <w:t>تعليقات صاحب البلاغ على ملاحظات الدولة الطرف بشأن المقبولية</w:t>
      </w:r>
    </w:p>
    <w:p w14:paraId="6432A87C" w14:textId="51711FA1" w:rsidR="000718A2" w:rsidRPr="00726680" w:rsidRDefault="000718A2" w:rsidP="00FD2D33">
      <w:pPr>
        <w:pStyle w:val="SingleTxtGA"/>
        <w:rPr>
          <w:lang w:val="ar-SA" w:eastAsia="zh-TW" w:bidi="en-GB"/>
        </w:rPr>
      </w:pPr>
      <w:r w:rsidRPr="00222C20">
        <w:rPr>
          <w:rtl/>
        </w:rPr>
        <w:t>5</w:t>
      </w:r>
      <w:r>
        <w:rPr>
          <w:rFonts w:ascii="Traditional Arabic"/>
          <w:rtl/>
        </w:rPr>
        <w:t>-</w:t>
      </w:r>
      <w:r w:rsidRPr="00222C20">
        <w:rPr>
          <w:rtl/>
        </w:rPr>
        <w:t>1</w:t>
      </w:r>
      <w:r w:rsidRPr="00726680">
        <w:rPr>
          <w:rtl/>
        </w:rPr>
        <w:tab/>
        <w:t xml:space="preserve">في </w:t>
      </w:r>
      <w:r w:rsidRPr="00222C20">
        <w:rPr>
          <w:rtl/>
        </w:rPr>
        <w:t>4</w:t>
      </w:r>
      <w:r w:rsidRPr="00726680">
        <w:rPr>
          <w:rtl/>
        </w:rPr>
        <w:t xml:space="preserve"> نيسان/أبريل </w:t>
      </w:r>
      <w:r w:rsidRPr="00222C20">
        <w:rPr>
          <w:rtl/>
        </w:rPr>
        <w:t>2015</w:t>
      </w:r>
      <w:r w:rsidRPr="00726680">
        <w:rPr>
          <w:rtl/>
        </w:rPr>
        <w:t xml:space="preserve">، قدم صاحب البلاغ تعليقات على ملاحظات الدولة الطرف. فهو يدفع بأن الدولة الطرف لم توضح لماذا كان من الضروري أن تفرض عليه غرامة إدارية رغم أن الحقوق المنصوص عليها في المادتين </w:t>
      </w:r>
      <w:r w:rsidRPr="00222C20">
        <w:rPr>
          <w:rtl/>
        </w:rPr>
        <w:t>19</w:t>
      </w:r>
      <w:r w:rsidRPr="00726680">
        <w:rPr>
          <w:rtl/>
        </w:rPr>
        <w:t xml:space="preserve"> و</w:t>
      </w:r>
      <w:r w:rsidRPr="00222C20">
        <w:rPr>
          <w:rtl/>
        </w:rPr>
        <w:t>21</w:t>
      </w:r>
      <w:r w:rsidRPr="00726680">
        <w:rPr>
          <w:rtl/>
        </w:rPr>
        <w:t xml:space="preserve"> من العهد مكفولة في كازاخستان ولا يجوز تقييدها إلا في ظروف معينة. ويكرر أن حقه في محاكمة عادلة قد انتهك، وأنه لم يوكَّل له محام، رغم طلبه، عندما ألقي القبض عليه. ويدفع </w:t>
      </w:r>
      <w:r w:rsidR="00FF1E5B">
        <w:rPr>
          <w:rtl/>
        </w:rPr>
        <w:t>أيضاً</w:t>
      </w:r>
      <w:r w:rsidRPr="00726680">
        <w:rPr>
          <w:rtl/>
        </w:rPr>
        <w:t xml:space="preserve"> بأنه لم يتمكن من تقديم أي التماسات خطية في المحكمة، وأن التماساته الشفوية أُغفلت. وإضافة إلى ذلك، لم تحتفظ المحكمة بنسخة من محاضر الجلسات.</w:t>
      </w:r>
    </w:p>
    <w:p w14:paraId="06768B92" w14:textId="0CD6DFFE" w:rsidR="000718A2" w:rsidRPr="00326A15" w:rsidRDefault="000718A2" w:rsidP="00FD2D33">
      <w:pPr>
        <w:pStyle w:val="SingleTxtGA"/>
        <w:rPr>
          <w:lang w:eastAsia="zh-TW" w:bidi="en-GB"/>
        </w:rPr>
      </w:pPr>
      <w:r w:rsidRPr="00222C20">
        <w:rPr>
          <w:rtl/>
        </w:rPr>
        <w:t>5</w:t>
      </w:r>
      <w:r>
        <w:rPr>
          <w:rFonts w:ascii="Traditional Arabic"/>
          <w:rtl/>
        </w:rPr>
        <w:t>-</w:t>
      </w:r>
      <w:r w:rsidRPr="00222C20">
        <w:rPr>
          <w:rtl/>
        </w:rPr>
        <w:t>2</w:t>
      </w:r>
      <w:r w:rsidRPr="00726680">
        <w:rPr>
          <w:rtl/>
        </w:rPr>
        <w:tab/>
        <w:t xml:space="preserve">ويدّعي صاحب البلاغ أن الالتزامات الدولية التي تعهدت بها الدولة الطرف تقضي بتوخي التناسب في أية قيود تفرض على حرية التجمع وتطبيقها وفق ما تستلزمه الظروف الخاصة بكل حالة، وأنه ينبغي تقليص تدخل السلطات في عملية تنظيم الأحداث العامة إلى أدنى حد. ويدعي </w:t>
      </w:r>
      <w:r w:rsidR="00FF1E5B">
        <w:rPr>
          <w:rtl/>
        </w:rPr>
        <w:t>أيضاً</w:t>
      </w:r>
      <w:r w:rsidRPr="00726680">
        <w:rPr>
          <w:rtl/>
        </w:rPr>
        <w:t xml:space="preserve"> أن الدولة الطرف تجاهلت هذه المبادئ وانتهكتها.</w:t>
      </w:r>
    </w:p>
    <w:p w14:paraId="0CD51072" w14:textId="77777777" w:rsidR="000718A2" w:rsidRPr="00E41FA4" w:rsidRDefault="000718A2" w:rsidP="00FD2D33">
      <w:pPr>
        <w:pStyle w:val="SingleTxtGA"/>
        <w:rPr>
          <w:rFonts w:eastAsiaTheme="minorEastAsia"/>
          <w:lang w:eastAsia="zh-TW" w:bidi="en-GB"/>
        </w:rPr>
      </w:pPr>
      <w:r w:rsidRPr="00222C20">
        <w:rPr>
          <w:rtl/>
        </w:rPr>
        <w:t>5</w:t>
      </w:r>
      <w:r>
        <w:rPr>
          <w:rFonts w:ascii="Traditional Arabic"/>
          <w:rtl/>
        </w:rPr>
        <w:t>-</w:t>
      </w:r>
      <w:r w:rsidRPr="00222C20">
        <w:rPr>
          <w:rtl/>
        </w:rPr>
        <w:t>3</w:t>
      </w:r>
      <w:r w:rsidRPr="00726680">
        <w:rPr>
          <w:rtl/>
        </w:rPr>
        <w:tab/>
        <w:t>وفيما يتعلق بحجة الدولة الطرف القائلة إن</w:t>
      </w:r>
      <w:r>
        <w:rPr>
          <w:rtl/>
        </w:rPr>
        <w:t xml:space="preserve"> صاحب البلاغ</w:t>
      </w:r>
      <w:r w:rsidRPr="00726680">
        <w:rPr>
          <w:rtl/>
        </w:rPr>
        <w:t xml:space="preserve"> لم يستنفد سبل الانتصاف المحلية، يدعي </w:t>
      </w:r>
      <w:r>
        <w:rPr>
          <w:rtl/>
        </w:rPr>
        <w:t xml:space="preserve">هذا الأخير </w:t>
      </w:r>
      <w:r w:rsidRPr="00726680">
        <w:rPr>
          <w:rtl/>
        </w:rPr>
        <w:t>أن تقديم طلب إجراء مراجعة قضائية رقابية إلى المدعي العام لا يشكل سبيل انتصاف محلياً فعالاً. ويشير إلى أنه قدم طلبين من هذا القبيل إلى مكتب المدعي العام لألماتي وإلى النيابة العامة، لكن الطلبين رُفضا.</w:t>
      </w:r>
    </w:p>
    <w:p w14:paraId="64E4A5ED" w14:textId="1AC5570E" w:rsidR="000718A2" w:rsidRPr="00726680" w:rsidRDefault="000718A2" w:rsidP="00FD2D33">
      <w:pPr>
        <w:pStyle w:val="SingleTxtGA"/>
        <w:rPr>
          <w:bCs/>
          <w:lang w:val="ar-SA" w:eastAsia="zh-TW" w:bidi="en-GB"/>
        </w:rPr>
      </w:pPr>
      <w:r w:rsidRPr="00222C20">
        <w:rPr>
          <w:rtl/>
        </w:rPr>
        <w:t>5</w:t>
      </w:r>
      <w:r>
        <w:rPr>
          <w:rFonts w:ascii="Traditional Arabic"/>
          <w:rtl/>
        </w:rPr>
        <w:t>-</w:t>
      </w:r>
      <w:r w:rsidRPr="00222C20">
        <w:rPr>
          <w:rtl/>
        </w:rPr>
        <w:t>4</w:t>
      </w:r>
      <w:r w:rsidRPr="00726680">
        <w:rPr>
          <w:rtl/>
        </w:rPr>
        <w:tab/>
        <w:t xml:space="preserve">ويحيل صاحب البلاغ إلى التقرير الذي أصدره المقرر الخاص المعني بالحق في حرية التجمع السلمي والحق في حرية تكوين جمعيات عقب زيارته كازاخستان في كانون الثاني/يناير </w:t>
      </w:r>
      <w:r w:rsidRPr="00222C20">
        <w:rPr>
          <w:rtl/>
        </w:rPr>
        <w:t>2015</w:t>
      </w:r>
      <w:r w:rsidRPr="00726680">
        <w:rPr>
          <w:rtl/>
        </w:rPr>
        <w:t xml:space="preserve"> حيث انتقد </w:t>
      </w:r>
      <w:r w:rsidRPr="00726680">
        <w:rPr>
          <w:rtl/>
        </w:rPr>
        <w:lastRenderedPageBreak/>
        <w:t>النهج التقييدي للحق في حرية التجمع في البلد</w:t>
      </w:r>
      <w:r w:rsidR="00222C20">
        <w:rPr>
          <w:rStyle w:val="FootnoteReference"/>
          <w:sz w:val="30"/>
          <w:rtl/>
        </w:rPr>
        <w:t>(</w:t>
      </w:r>
      <w:r w:rsidR="00222C20" w:rsidRPr="00726680">
        <w:rPr>
          <w:rStyle w:val="FootnoteReference"/>
          <w:sz w:val="30"/>
          <w:rtl/>
        </w:rPr>
        <w:footnoteReference w:id="4"/>
      </w:r>
      <w:r w:rsidR="00222C20">
        <w:rPr>
          <w:rStyle w:val="FootnoteReference"/>
          <w:sz w:val="30"/>
          <w:rtl/>
        </w:rPr>
        <w:t>)</w:t>
      </w:r>
      <w:r w:rsidRPr="00726680">
        <w:rPr>
          <w:rtl/>
        </w:rPr>
        <w:t xml:space="preserve">. ويحيل </w:t>
      </w:r>
      <w:r w:rsidR="00FF1E5B">
        <w:rPr>
          <w:rtl/>
        </w:rPr>
        <w:t>أيضاً</w:t>
      </w:r>
      <w:r w:rsidRPr="00726680">
        <w:rPr>
          <w:rtl/>
        </w:rPr>
        <w:t xml:space="preserve"> إلى </w:t>
      </w:r>
      <w:r w:rsidRPr="002E1B78">
        <w:rPr>
          <w:i/>
          <w:iCs/>
          <w:rtl/>
        </w:rPr>
        <w:t>المبادئ التوجيهية المتعلقة بحرية التجمع السلمي</w:t>
      </w:r>
      <w:r w:rsidR="00222C20">
        <w:rPr>
          <w:rStyle w:val="FootnoteReference"/>
          <w:sz w:val="30"/>
          <w:rtl/>
        </w:rPr>
        <w:t>(</w:t>
      </w:r>
      <w:r w:rsidR="00222C20" w:rsidRPr="00726680">
        <w:rPr>
          <w:rStyle w:val="FootnoteReference"/>
          <w:sz w:val="30"/>
          <w:rtl/>
        </w:rPr>
        <w:footnoteReference w:id="5"/>
      </w:r>
      <w:r w:rsidR="00222C20">
        <w:rPr>
          <w:rStyle w:val="FootnoteReference"/>
          <w:sz w:val="30"/>
          <w:rtl/>
        </w:rPr>
        <w:t>)</w:t>
      </w:r>
      <w:r w:rsidRPr="00726680">
        <w:rPr>
          <w:rtl/>
        </w:rPr>
        <w:t xml:space="preserve"> التي وضعتها منظمة الأمن والتعاون في أوروبا في عام </w:t>
      </w:r>
      <w:r w:rsidRPr="00222C20">
        <w:rPr>
          <w:rtl/>
        </w:rPr>
        <w:t>2007</w:t>
      </w:r>
      <w:r w:rsidRPr="00726680">
        <w:rPr>
          <w:rtl/>
        </w:rPr>
        <w:t xml:space="preserve">، ويشير إلى التزام الدولة الطرف باتباعها. ويدفع بأنه إن كانت المادة </w:t>
      </w:r>
      <w:r w:rsidRPr="00222C20">
        <w:rPr>
          <w:rtl/>
        </w:rPr>
        <w:t>10</w:t>
      </w:r>
      <w:r w:rsidRPr="00726680">
        <w:rPr>
          <w:rtl/>
        </w:rPr>
        <w:t xml:space="preserve"> من القانون المتعلق بتنظيم التجمعات والاجتماعات والمسيرات والمواكب والاعتصامات والمظاهرات السلمية وتسييرها تجيز للسلطات المحلية تنظيم الإجراءات المتصلة بالتجمع السلمي، فإنها لا تمنحها سلطة تحديد الأماكن الدائمة التي تقام فيها التجمعات، ولا تجيز، على وجه الخصوص، حصرها في مكان واحد. ويضيف في هذا السياق أن أي قيْد يُفرض على الحق في حرية التجمع ينبغي أن يكون متناسبا</w:t>
      </w:r>
      <w:r w:rsidR="007B49CF">
        <w:rPr>
          <w:rFonts w:hint="cs"/>
          <w:rtl/>
        </w:rPr>
        <w:t>ً</w:t>
      </w:r>
      <w:r w:rsidRPr="00726680">
        <w:rPr>
          <w:rtl/>
        </w:rPr>
        <w:t>، وينبغي ألا يكون تطبيقه تلقائياً بل يجب أن يخضع للمراجعة حسب كل حدث على حِدة، مع مراعاة الظروف المحيطة.</w:t>
      </w:r>
    </w:p>
    <w:p w14:paraId="32BE5E00" w14:textId="77777777" w:rsidR="000718A2" w:rsidRPr="00326A15" w:rsidRDefault="000718A2" w:rsidP="00FD2D33">
      <w:pPr>
        <w:pStyle w:val="H23GA"/>
        <w:rPr>
          <w:lang w:eastAsia="zh-TW" w:bidi="en-GB"/>
        </w:rPr>
      </w:pPr>
      <w:r w:rsidRPr="00726680">
        <w:rPr>
          <w:rtl/>
        </w:rPr>
        <w:tab/>
      </w:r>
      <w:r w:rsidRPr="00726680">
        <w:rPr>
          <w:rtl/>
        </w:rPr>
        <w:tab/>
        <w:t>ملاحظات الدولة الطرف بشأن الأسس الموضوعية</w:t>
      </w:r>
    </w:p>
    <w:p w14:paraId="4C28E4DD" w14:textId="77777777" w:rsidR="000718A2" w:rsidRPr="00326A15" w:rsidRDefault="000718A2" w:rsidP="00FD2D33">
      <w:pPr>
        <w:pStyle w:val="SingleTxtGA"/>
        <w:rPr>
          <w:lang w:eastAsia="zh-TW" w:bidi="en-GB"/>
        </w:rPr>
      </w:pPr>
      <w:r w:rsidRPr="00222C20">
        <w:rPr>
          <w:rtl/>
        </w:rPr>
        <w:t>6</w:t>
      </w:r>
      <w:r>
        <w:rPr>
          <w:rFonts w:ascii="Traditional Arabic"/>
          <w:rtl/>
        </w:rPr>
        <w:t>-</w:t>
      </w:r>
      <w:r w:rsidRPr="00222C20">
        <w:rPr>
          <w:rtl/>
        </w:rPr>
        <w:t>1</w:t>
      </w:r>
      <w:r w:rsidRPr="00726680">
        <w:rPr>
          <w:rtl/>
        </w:rPr>
        <w:tab/>
        <w:t xml:space="preserve">قدمت الدولة الطرف، في مذكرة شفوية مؤرخة </w:t>
      </w:r>
      <w:r w:rsidRPr="00222C20">
        <w:rPr>
          <w:rtl/>
        </w:rPr>
        <w:t>31</w:t>
      </w:r>
      <w:r w:rsidRPr="00726680">
        <w:rPr>
          <w:rtl/>
        </w:rPr>
        <w:t xml:space="preserve"> آذار/مارس </w:t>
      </w:r>
      <w:r w:rsidRPr="00222C20">
        <w:rPr>
          <w:rtl/>
        </w:rPr>
        <w:t>2016</w:t>
      </w:r>
      <w:r w:rsidRPr="00726680">
        <w:rPr>
          <w:rtl/>
        </w:rPr>
        <w:t xml:space="preserve">، ملاحظاتها بشأن الأسس الموضوعية. </w:t>
      </w:r>
      <w:r>
        <w:rPr>
          <w:rtl/>
        </w:rPr>
        <w:t xml:space="preserve">فهي </w:t>
      </w:r>
      <w:r w:rsidRPr="00726680">
        <w:rPr>
          <w:rtl/>
        </w:rPr>
        <w:t xml:space="preserve">تدعي أنه لم يحدث أي انتهاك للحقوق المكفولة لصاحب البلاغ بموجب المادة </w:t>
      </w:r>
      <w:r w:rsidRPr="00222C20">
        <w:rPr>
          <w:rtl/>
        </w:rPr>
        <w:t>21</w:t>
      </w:r>
      <w:r w:rsidRPr="00726680">
        <w:rPr>
          <w:rtl/>
        </w:rPr>
        <w:t xml:space="preserve"> من العهد. وتكرر حججها المت</w:t>
      </w:r>
      <w:r>
        <w:rPr>
          <w:rtl/>
        </w:rPr>
        <w:t>صل</w:t>
      </w:r>
      <w:r w:rsidRPr="00726680">
        <w:rPr>
          <w:rtl/>
        </w:rPr>
        <w:t>ة بعدم المقبولية، وتشدد على أن حرية التجمع غير محظورة في كازاخستان، لكنها تخضع لبعض القيود.</w:t>
      </w:r>
    </w:p>
    <w:p w14:paraId="57E0DB55" w14:textId="77777777" w:rsidR="000718A2" w:rsidRPr="00726680" w:rsidRDefault="000718A2" w:rsidP="00FD2D33">
      <w:pPr>
        <w:pStyle w:val="SingleTxtGA"/>
        <w:rPr>
          <w:lang w:val="ar-SA" w:eastAsia="zh-TW" w:bidi="en-GB"/>
        </w:rPr>
      </w:pPr>
      <w:r w:rsidRPr="00222C20">
        <w:rPr>
          <w:rtl/>
        </w:rPr>
        <w:t>6</w:t>
      </w:r>
      <w:r>
        <w:rPr>
          <w:rFonts w:ascii="Traditional Arabic"/>
          <w:rtl/>
        </w:rPr>
        <w:t>-</w:t>
      </w:r>
      <w:r w:rsidRPr="00222C20">
        <w:rPr>
          <w:rtl/>
        </w:rPr>
        <w:t>2</w:t>
      </w:r>
      <w:r w:rsidRPr="00726680">
        <w:rPr>
          <w:rtl/>
        </w:rPr>
        <w:tab/>
        <w:t xml:space="preserve">وتدحض الدولة الطرف ما ورد في أقوال صاحب البلاغ من أنها لم توضح ضرورة تقييد حقوقه. وتذكّر بأن الحقوق المكرسة في المادتين </w:t>
      </w:r>
      <w:r w:rsidRPr="00222C20">
        <w:rPr>
          <w:rtl/>
        </w:rPr>
        <w:t>19</w:t>
      </w:r>
      <w:r w:rsidRPr="00726680">
        <w:rPr>
          <w:rtl/>
        </w:rPr>
        <w:t xml:space="preserve"> و</w:t>
      </w:r>
      <w:r w:rsidRPr="00222C20">
        <w:rPr>
          <w:rtl/>
        </w:rPr>
        <w:t>21</w:t>
      </w:r>
      <w:r w:rsidRPr="00726680">
        <w:rPr>
          <w:rtl/>
        </w:rPr>
        <w:t xml:space="preserve"> من العهد </w:t>
      </w:r>
      <w:r>
        <w:rPr>
          <w:rtl/>
        </w:rPr>
        <w:t>خاضعة لقيود</w:t>
      </w:r>
      <w:r w:rsidRPr="00726680">
        <w:rPr>
          <w:rtl/>
        </w:rPr>
        <w:t>. فمع أن حرية التجمع غير محظورة في كازاخستان، فإنه يمكن تقييدها لحفظ الأمن الوطني أو السلامة العامة أو النظام العام أو لحماية الصحة العامة أو الآداب العامة أو لحماية حقوق الآخرين وحرياتهم. وفي كازاخستان، يعدّ الحفاظ على النظام العام أهم عنصر من عناصر احترام حقوق الإنسان التي يكفلها القانون. ويتعين على الموظفين المفوّضين أن يوقفوا انتهاكات النظام العام والمخالفات الإدارية.</w:t>
      </w:r>
      <w:bookmarkStart w:id="0" w:name="_Hlk62739828"/>
      <w:bookmarkEnd w:id="0"/>
    </w:p>
    <w:p w14:paraId="684B3F0B" w14:textId="6FB82CC5" w:rsidR="000718A2" w:rsidRPr="00326A15" w:rsidRDefault="000718A2" w:rsidP="00FD2D33">
      <w:pPr>
        <w:pStyle w:val="SingleTxtGA"/>
        <w:rPr>
          <w:lang w:eastAsia="zh-TW" w:bidi="en-GB"/>
        </w:rPr>
      </w:pPr>
      <w:r w:rsidRPr="00222C20">
        <w:rPr>
          <w:rtl/>
        </w:rPr>
        <w:t>6</w:t>
      </w:r>
      <w:r>
        <w:rPr>
          <w:rFonts w:ascii="Traditional Arabic"/>
          <w:rtl/>
        </w:rPr>
        <w:t>-</w:t>
      </w:r>
      <w:r w:rsidRPr="00222C20">
        <w:rPr>
          <w:rtl/>
        </w:rPr>
        <w:t>3</w:t>
      </w:r>
      <w:r w:rsidRPr="00726680">
        <w:rPr>
          <w:rtl/>
        </w:rPr>
        <w:tab/>
        <w:t xml:space="preserve">وتلاحظ الدولة الطرف أن القيود المفروضة على الحق في حرية التجمع، لا سيما فيما </w:t>
      </w:r>
      <w:r>
        <w:rPr>
          <w:rtl/>
        </w:rPr>
        <w:t>يتعلق</w:t>
      </w:r>
      <w:r w:rsidRPr="00726680">
        <w:rPr>
          <w:rtl/>
        </w:rPr>
        <w:t xml:space="preserve"> </w:t>
      </w:r>
      <w:r>
        <w:rPr>
          <w:rtl/>
        </w:rPr>
        <w:t>ب</w:t>
      </w:r>
      <w:r w:rsidRPr="00726680">
        <w:rPr>
          <w:rtl/>
        </w:rPr>
        <w:t xml:space="preserve">مكان الأحداث الجماهيرية، تتوافق مع أحكام العهد. </w:t>
      </w:r>
      <w:r>
        <w:rPr>
          <w:rtl/>
        </w:rPr>
        <w:t>و</w:t>
      </w:r>
      <w:r w:rsidRPr="00726680">
        <w:rPr>
          <w:rtl/>
        </w:rPr>
        <w:t xml:space="preserve">القرار رقم </w:t>
      </w:r>
      <w:r w:rsidRPr="00222C20">
        <w:rPr>
          <w:rtl/>
        </w:rPr>
        <w:t>167</w:t>
      </w:r>
      <w:r w:rsidRPr="00726680">
        <w:rPr>
          <w:rtl/>
        </w:rPr>
        <w:t xml:space="preserve"> الصادر عن </w:t>
      </w:r>
      <w:r w:rsidRPr="00FF1E5B">
        <w:rPr>
          <w:i/>
          <w:iCs/>
          <w:rtl/>
        </w:rPr>
        <w:t>"الأكيمات</w:t>
      </w:r>
      <w:r w:rsidRPr="00FF1E5B">
        <w:rPr>
          <w:rFonts w:ascii="Traditional Arabic"/>
          <w:i/>
          <w:iCs/>
        </w:rPr>
        <w:t>"</w:t>
      </w:r>
      <w:r w:rsidR="00FF1E5B">
        <w:rPr>
          <w:rFonts w:ascii="Traditional Arabic" w:hint="cs"/>
          <w:rtl/>
        </w:rPr>
        <w:t xml:space="preserve"> </w:t>
      </w:r>
      <w:r w:rsidRPr="00726680">
        <w:rPr>
          <w:rFonts w:ascii="Traditional Arabic"/>
          <w:rtl/>
        </w:rPr>
        <w:t>(</w:t>
      </w:r>
      <w:r w:rsidRPr="00326A15">
        <w:rPr>
          <w:rFonts w:cs="Times New Roman"/>
          <w:i/>
          <w:iCs/>
        </w:rPr>
        <w:t>Akimat</w:t>
      </w:r>
      <w:r w:rsidRPr="00726680">
        <w:rPr>
          <w:rFonts w:ascii="Traditional Arabic"/>
          <w:rtl/>
        </w:rPr>
        <w:t>)</w:t>
      </w:r>
      <w:r w:rsidR="00222C20">
        <w:rPr>
          <w:rStyle w:val="FootnoteReference"/>
          <w:sz w:val="30"/>
          <w:rtl/>
        </w:rPr>
        <w:t>(</w:t>
      </w:r>
      <w:r w:rsidR="00222C20" w:rsidRPr="00726680">
        <w:rPr>
          <w:rStyle w:val="FootnoteReference"/>
          <w:sz w:val="30"/>
          <w:rtl/>
        </w:rPr>
        <w:footnoteReference w:id="6"/>
      </w:r>
      <w:r w:rsidR="00222C20">
        <w:rPr>
          <w:rStyle w:val="FootnoteReference"/>
          <w:sz w:val="30"/>
          <w:rtl/>
        </w:rPr>
        <w:t>)</w:t>
      </w:r>
      <w:r>
        <w:rPr>
          <w:rFonts w:ascii="Traditional Arabic"/>
          <w:rtl/>
        </w:rPr>
        <w:t xml:space="preserve"> قرار اعتمدته </w:t>
      </w:r>
      <w:r w:rsidRPr="00726680">
        <w:rPr>
          <w:rtl/>
        </w:rPr>
        <w:t xml:space="preserve">هيئة شرعية في نطاق اختصاصها. وتدفع الدولة الطرف بأن القرار لا يبيح التمييز على أساس سياسي؛ فهو يكتفي بالتوصية بأماكن الأحداث الجماهيرية. لذا، يمكن </w:t>
      </w:r>
      <w:r w:rsidRPr="007E4C5C">
        <w:rPr>
          <w:i/>
          <w:iCs/>
          <w:rtl/>
        </w:rPr>
        <w:t>للأكيمات</w:t>
      </w:r>
      <w:r w:rsidRPr="00726680">
        <w:rPr>
          <w:rtl/>
        </w:rPr>
        <w:t xml:space="preserve"> تحديد المكان -</w:t>
      </w:r>
      <w:r w:rsidR="00FF1E5B">
        <w:rPr>
          <w:rFonts w:hint="cs"/>
          <w:rtl/>
        </w:rPr>
        <w:t xml:space="preserve"> </w:t>
      </w:r>
      <w:r w:rsidRPr="00726680">
        <w:rPr>
          <w:rtl/>
        </w:rPr>
        <w:t>الساحة خلف سينما "ساري</w:t>
      </w:r>
      <w:r w:rsidR="00FF1E5B">
        <w:rPr>
          <w:rFonts w:hint="cs"/>
          <w:rtl/>
        </w:rPr>
        <w:t xml:space="preserve"> </w:t>
      </w:r>
      <w:r w:rsidRPr="00726680">
        <w:rPr>
          <w:rtl/>
        </w:rPr>
        <w:t>-</w:t>
      </w:r>
      <w:r w:rsidR="00FF1E5B">
        <w:rPr>
          <w:rFonts w:hint="cs"/>
          <w:rtl/>
        </w:rPr>
        <w:t xml:space="preserve"> </w:t>
      </w:r>
      <w:r w:rsidRPr="00726680">
        <w:rPr>
          <w:rtl/>
        </w:rPr>
        <w:t xml:space="preserve">أرْكا" </w:t>
      </w:r>
      <w:r w:rsidRPr="00726680">
        <w:rPr>
          <w:rFonts w:ascii="Traditional Arabic"/>
          <w:rtl/>
        </w:rPr>
        <w:t>(</w:t>
      </w:r>
      <w:r w:rsidRPr="00326A15">
        <w:rPr>
          <w:rFonts w:cs="Times New Roman"/>
        </w:rPr>
        <w:t>Sary-Arka</w:t>
      </w:r>
      <w:r w:rsidRPr="00726680">
        <w:rPr>
          <w:rFonts w:ascii="Traditional Arabic"/>
          <w:rtl/>
        </w:rPr>
        <w:t>)</w:t>
      </w:r>
      <w:r w:rsidRPr="00726680">
        <w:rPr>
          <w:rFonts w:ascii="Traditional Arabic"/>
        </w:rPr>
        <w:t>-</w:t>
      </w:r>
      <w:r w:rsidRPr="00726680">
        <w:rPr>
          <w:rtl/>
        </w:rPr>
        <w:t xml:space="preserve"> المخصص للأحداث الرسمية وجميع الأحداث الأخرى حسب الظروف.</w:t>
      </w:r>
      <w:bookmarkStart w:id="1" w:name="_Hlk62740933"/>
      <w:bookmarkEnd w:id="1"/>
    </w:p>
    <w:p w14:paraId="29BE69CE" w14:textId="54103AFA" w:rsidR="000718A2" w:rsidRPr="00326A15" w:rsidRDefault="000718A2" w:rsidP="00FD2D33">
      <w:pPr>
        <w:pStyle w:val="SingleTxtGA"/>
        <w:rPr>
          <w:lang w:eastAsia="zh-TW" w:bidi="en-GB"/>
        </w:rPr>
      </w:pPr>
      <w:r w:rsidRPr="00222C20">
        <w:rPr>
          <w:rtl/>
        </w:rPr>
        <w:t>6</w:t>
      </w:r>
      <w:r>
        <w:rPr>
          <w:rFonts w:ascii="Traditional Arabic"/>
          <w:rtl/>
        </w:rPr>
        <w:t>-</w:t>
      </w:r>
      <w:r w:rsidRPr="00222C20">
        <w:rPr>
          <w:rtl/>
        </w:rPr>
        <w:t>4</w:t>
      </w:r>
      <w:r w:rsidRPr="00726680">
        <w:rPr>
          <w:rtl/>
        </w:rPr>
        <w:tab/>
        <w:t xml:space="preserve">وتدفع الدولة الطرف </w:t>
      </w:r>
      <w:r w:rsidR="00FF1E5B">
        <w:rPr>
          <w:rtl/>
        </w:rPr>
        <w:t>أيضاً</w:t>
      </w:r>
      <w:r w:rsidRPr="00726680">
        <w:rPr>
          <w:rtl/>
        </w:rPr>
        <w:t xml:space="preserve"> بأنه ينبغي اعتبار شكوى صاحب البلاغ غير مقبولة لتنافيها مع أحكام العهد، لأن الانتهاك المزعوم في شكوى من الشكاوى ينبغي أن يتعلق بالحقوق التي يحميها العهد. واللجنة عموماً ليست مخوَّلةً إعادةَ النظر في حكم صادر عن المحاكم الوطنية، ولا إعادة النظر في مسألة البراءة أو الإدانة. وهي </w:t>
      </w:r>
      <w:r w:rsidR="00FF1E5B">
        <w:rPr>
          <w:rtl/>
        </w:rPr>
        <w:t>أيضاً</w:t>
      </w:r>
      <w:r w:rsidRPr="00726680">
        <w:rPr>
          <w:rtl/>
        </w:rPr>
        <w:t xml:space="preserve"> ليست مخوّلة عموماً استعراض تقييم الوقائع والأدلة التي تجريها المحاكم والسلطات الوطنية، ولا إعادة النظر في تفسير القانون الوطني، ما لم يتمكن صاحب البلاغ من أن يثبت أن هذا التقييم تعسفي أو يبلغ حد الخطأ البيّن أو </w:t>
      </w:r>
      <w:r>
        <w:rPr>
          <w:rtl/>
        </w:rPr>
        <w:t>إساءة تطبيق أحكام</w:t>
      </w:r>
      <w:r w:rsidRPr="00726680">
        <w:rPr>
          <w:rtl/>
        </w:rPr>
        <w:t xml:space="preserve"> العدالة، أو أن المحاكم لم تف بواجبها المتمثل في التحلي بالاستقلالية والنزاهة.</w:t>
      </w:r>
    </w:p>
    <w:p w14:paraId="08EDD164" w14:textId="77777777" w:rsidR="000718A2" w:rsidRPr="00326A15" w:rsidRDefault="000718A2" w:rsidP="00FD2D33">
      <w:pPr>
        <w:pStyle w:val="SingleTxtGA"/>
        <w:rPr>
          <w:lang w:eastAsia="zh-TW" w:bidi="en-GB"/>
        </w:rPr>
      </w:pPr>
      <w:r w:rsidRPr="00222C20">
        <w:rPr>
          <w:rtl/>
        </w:rPr>
        <w:lastRenderedPageBreak/>
        <w:t>6</w:t>
      </w:r>
      <w:r>
        <w:rPr>
          <w:rFonts w:ascii="Traditional Arabic"/>
          <w:rtl/>
        </w:rPr>
        <w:t>-</w:t>
      </w:r>
      <w:r w:rsidRPr="00222C20">
        <w:rPr>
          <w:rtl/>
        </w:rPr>
        <w:t>5</w:t>
      </w:r>
      <w:r w:rsidRPr="00726680">
        <w:rPr>
          <w:rtl/>
        </w:rPr>
        <w:tab/>
        <w:t xml:space="preserve">وتدفع الدولة الطرف بأن ادعاءات صاحب البلاغ تتعارض مع المبادئ المذكورة أعلاه. فقد طلب صاحب البلاغ إلى اللجنة أن تتجاوز نطاق اختصاصها وأن تتدخل في الشؤون الداخلية لدولة مستقلة وأن تؤثر في السياسات العامة في مجال حقوق الإنسان تأثيراً مباشراً. وفي الوقت نفسه، لم يقدم أي استنتاجات مدعومة بأدلة </w:t>
      </w:r>
      <w:r>
        <w:rPr>
          <w:rtl/>
        </w:rPr>
        <w:t xml:space="preserve">أو استنتاجات </w:t>
      </w:r>
      <w:r w:rsidRPr="00726680">
        <w:rPr>
          <w:rtl/>
        </w:rPr>
        <w:t>من خبراء تثبت أن القانون الوطني المت</w:t>
      </w:r>
      <w:r>
        <w:rPr>
          <w:rtl/>
        </w:rPr>
        <w:t>صل</w:t>
      </w:r>
      <w:r w:rsidRPr="00726680">
        <w:rPr>
          <w:rtl/>
        </w:rPr>
        <w:t xml:space="preserve"> بحرية تكوين الجمعيات وحرية التعبير يتعارض مع المعايير الدولية.</w:t>
      </w:r>
    </w:p>
    <w:p w14:paraId="26869CBB" w14:textId="77777777" w:rsidR="000718A2" w:rsidRPr="00811D06" w:rsidRDefault="000718A2" w:rsidP="00FD2D33">
      <w:pPr>
        <w:pStyle w:val="SingleTxtGA"/>
        <w:rPr>
          <w:lang w:eastAsia="zh-TW" w:bidi="en-GB"/>
        </w:rPr>
      </w:pPr>
      <w:r w:rsidRPr="00222C20">
        <w:rPr>
          <w:rtl/>
        </w:rPr>
        <w:t>6</w:t>
      </w:r>
      <w:r>
        <w:rPr>
          <w:rFonts w:ascii="Traditional Arabic"/>
          <w:rtl/>
        </w:rPr>
        <w:t>-</w:t>
      </w:r>
      <w:r w:rsidRPr="00222C20">
        <w:rPr>
          <w:rtl/>
        </w:rPr>
        <w:t>6</w:t>
      </w:r>
      <w:r w:rsidRPr="00726680">
        <w:rPr>
          <w:rtl/>
        </w:rPr>
        <w:tab/>
        <w:t>وتدفع الدولة الطرف، إضافة إلى ذلك، بأن الاستئناف لدى النيابة العامة سبيل انتصاف فعال. وتضرب ثلاثة أمثلة على استئنافات لدى النيابة العامة تكللت بالنجاح.</w:t>
      </w:r>
    </w:p>
    <w:p w14:paraId="15377CA4" w14:textId="347E0ED8" w:rsidR="000718A2" w:rsidRPr="00326A15" w:rsidRDefault="000718A2" w:rsidP="00FD2D33">
      <w:pPr>
        <w:pStyle w:val="SingleTxtGA"/>
        <w:rPr>
          <w:lang w:eastAsia="zh-TW" w:bidi="en-GB"/>
        </w:rPr>
      </w:pPr>
      <w:r w:rsidRPr="00222C20">
        <w:rPr>
          <w:rtl/>
        </w:rPr>
        <w:t>6</w:t>
      </w:r>
      <w:r>
        <w:rPr>
          <w:rFonts w:ascii="Traditional Arabic"/>
          <w:rtl/>
        </w:rPr>
        <w:t>-</w:t>
      </w:r>
      <w:r w:rsidRPr="00222C20">
        <w:rPr>
          <w:rtl/>
        </w:rPr>
        <w:t>7</w:t>
      </w:r>
      <w:r w:rsidRPr="00726680">
        <w:rPr>
          <w:rtl/>
        </w:rPr>
        <w:tab/>
        <w:t xml:space="preserve">وتدفع الدولة الطرف </w:t>
      </w:r>
      <w:r w:rsidR="00FF1E5B">
        <w:rPr>
          <w:rtl/>
        </w:rPr>
        <w:t>أيضاً</w:t>
      </w:r>
      <w:r w:rsidRPr="00726680">
        <w:rPr>
          <w:rtl/>
        </w:rPr>
        <w:t xml:space="preserve"> بأنه ينبغي اعتبار الشكوى غير مقبولة بم</w:t>
      </w:r>
      <w:r>
        <w:rPr>
          <w:rtl/>
        </w:rPr>
        <w:t>قتضى</w:t>
      </w:r>
      <w:r w:rsidRPr="00726680">
        <w:rPr>
          <w:rtl/>
        </w:rPr>
        <w:t xml:space="preserve"> المادة </w:t>
      </w:r>
      <w:r w:rsidRPr="00222C20">
        <w:rPr>
          <w:rtl/>
        </w:rPr>
        <w:t>3</w:t>
      </w:r>
      <w:r w:rsidRPr="00726680">
        <w:rPr>
          <w:rtl/>
        </w:rPr>
        <w:t xml:space="preserve"> من البروتوكول الاختياري والمادة </w:t>
      </w:r>
      <w:r w:rsidRPr="00222C20">
        <w:rPr>
          <w:rtl/>
        </w:rPr>
        <w:t>99</w:t>
      </w:r>
      <w:r w:rsidRPr="00726680">
        <w:rPr>
          <w:rFonts w:ascii="Traditional Arabic"/>
          <w:rtl/>
        </w:rPr>
        <w:t>(</w:t>
      </w:r>
      <w:r w:rsidRPr="00726680">
        <w:rPr>
          <w:rtl/>
        </w:rPr>
        <w:t>ب</w:t>
      </w:r>
      <w:r w:rsidRPr="00726680">
        <w:rPr>
          <w:rFonts w:ascii="Traditional Arabic"/>
          <w:rtl/>
        </w:rPr>
        <w:t>)</w:t>
      </w:r>
      <w:r w:rsidRPr="00726680">
        <w:rPr>
          <w:rtl/>
        </w:rPr>
        <w:t xml:space="preserve"> من النظام الداخلي لأن صاحب البلاغ لم يقدم أي معلومات عن سبب عدم تمكّنه من رفع شكواه شخصياً.</w:t>
      </w:r>
    </w:p>
    <w:p w14:paraId="0CB556BB" w14:textId="77777777" w:rsidR="000718A2" w:rsidRPr="00326A15" w:rsidRDefault="000718A2" w:rsidP="00FD2D33">
      <w:pPr>
        <w:pStyle w:val="SingleTxtGA"/>
        <w:rPr>
          <w:lang w:eastAsia="zh-TW" w:bidi="en-GB"/>
        </w:rPr>
      </w:pPr>
      <w:r w:rsidRPr="00222C20">
        <w:rPr>
          <w:rtl/>
        </w:rPr>
        <w:t>6</w:t>
      </w:r>
      <w:r>
        <w:rPr>
          <w:rFonts w:ascii="Traditional Arabic"/>
          <w:rtl/>
        </w:rPr>
        <w:t>-</w:t>
      </w:r>
      <w:r w:rsidRPr="00222C20">
        <w:rPr>
          <w:rtl/>
        </w:rPr>
        <w:t>8</w:t>
      </w:r>
      <w:r w:rsidRPr="00726680">
        <w:rPr>
          <w:rtl/>
        </w:rPr>
        <w:tab/>
        <w:t>وتكرر الدولة الطرف أن صاحب البلاغ لم يُعتبر مسؤولاً بسبب إعماله حقه في حرية التجمع وإنما بسبب انتهاكه الأمر المتعلق بإعمال هذا الحق على النحو الذي ينص عليه القانون. فقد انتهك الحدث الجماهيري الذي شارك فيه صاحب البلاغ النظام العام؛ ولهذا السبب كانت التدابير المطبقة متناسبة ومبررة.</w:t>
      </w:r>
    </w:p>
    <w:p w14:paraId="23CCEB6C" w14:textId="77777777" w:rsidR="000718A2" w:rsidRPr="00726680" w:rsidRDefault="000718A2" w:rsidP="00FD2D33">
      <w:pPr>
        <w:pStyle w:val="H23GA"/>
        <w:rPr>
          <w:lang w:val="ar-SA" w:eastAsia="zh-TW" w:bidi="en-GB"/>
        </w:rPr>
      </w:pPr>
      <w:r w:rsidRPr="00726680">
        <w:rPr>
          <w:rtl/>
        </w:rPr>
        <w:tab/>
      </w:r>
      <w:r w:rsidRPr="00726680">
        <w:rPr>
          <w:rtl/>
        </w:rPr>
        <w:tab/>
        <w:t>المسائل والإجراءات المعروضة على اللجنة</w:t>
      </w:r>
    </w:p>
    <w:p w14:paraId="07705D83" w14:textId="77777777" w:rsidR="000718A2" w:rsidRPr="00726680" w:rsidRDefault="000718A2" w:rsidP="00FD2D33">
      <w:pPr>
        <w:pStyle w:val="H4GA"/>
        <w:rPr>
          <w:lang w:val="ar-SA" w:eastAsia="zh-TW" w:bidi="en-GB"/>
        </w:rPr>
      </w:pPr>
      <w:r w:rsidRPr="00726680">
        <w:rPr>
          <w:rtl/>
        </w:rPr>
        <w:tab/>
      </w:r>
      <w:r w:rsidRPr="00726680">
        <w:rPr>
          <w:rtl/>
        </w:rPr>
        <w:tab/>
        <w:t>النظر في المقبولية</w:t>
      </w:r>
    </w:p>
    <w:p w14:paraId="7CC024CE" w14:textId="77777777" w:rsidR="000718A2" w:rsidRPr="00726680" w:rsidRDefault="000718A2" w:rsidP="00FD2D33">
      <w:pPr>
        <w:pStyle w:val="SingleTxtGA"/>
        <w:rPr>
          <w:lang w:val="ar-SA" w:eastAsia="zh-TW" w:bidi="en-GB"/>
        </w:rPr>
      </w:pPr>
      <w:r w:rsidRPr="00222C20">
        <w:rPr>
          <w:rtl/>
        </w:rPr>
        <w:t>7</w:t>
      </w:r>
      <w:r>
        <w:rPr>
          <w:rFonts w:ascii="Traditional Arabic"/>
          <w:rtl/>
        </w:rPr>
        <w:t>-</w:t>
      </w:r>
      <w:r w:rsidRPr="00222C20">
        <w:rPr>
          <w:rtl/>
        </w:rPr>
        <w:t>1</w:t>
      </w:r>
      <w:r w:rsidRPr="00726680">
        <w:rPr>
          <w:rtl/>
        </w:rPr>
        <w:tab/>
        <w:t xml:space="preserve">قبل النظر في أي ادعاء يرد في بلاغ ما، يجب على اللجنة أن تقرر، وفقاً للمادة </w:t>
      </w:r>
      <w:r w:rsidRPr="00222C20">
        <w:rPr>
          <w:rtl/>
        </w:rPr>
        <w:t>97</w:t>
      </w:r>
      <w:r w:rsidRPr="00726680">
        <w:rPr>
          <w:rtl/>
        </w:rPr>
        <w:t xml:space="preserve"> من نظامها الداخلي، ما إذا كان البلاغ مقبولاً أم لا بموجب البروتوكول الاختياري.</w:t>
      </w:r>
    </w:p>
    <w:p w14:paraId="7250F835" w14:textId="77777777" w:rsidR="000718A2" w:rsidRPr="00726680" w:rsidRDefault="000718A2" w:rsidP="00FD2D33">
      <w:pPr>
        <w:pStyle w:val="SingleTxtGA"/>
        <w:rPr>
          <w:lang w:val="ar-SA" w:eastAsia="zh-TW" w:bidi="en-GB"/>
        </w:rPr>
      </w:pPr>
      <w:r w:rsidRPr="00222C20">
        <w:rPr>
          <w:rtl/>
        </w:rPr>
        <w:t>7</w:t>
      </w:r>
      <w:r>
        <w:rPr>
          <w:rFonts w:ascii="Traditional Arabic"/>
          <w:rtl/>
        </w:rPr>
        <w:t>-</w:t>
      </w:r>
      <w:r w:rsidRPr="00222C20">
        <w:rPr>
          <w:rtl/>
        </w:rPr>
        <w:t>2</w:t>
      </w:r>
      <w:r w:rsidRPr="00726680">
        <w:rPr>
          <w:rtl/>
        </w:rPr>
        <w:tab/>
        <w:t xml:space="preserve">وقد استيقنت اللجنة، وفقاً لما تنص عليه المادة </w:t>
      </w:r>
      <w:r w:rsidRPr="00222C20">
        <w:rPr>
          <w:rtl/>
        </w:rPr>
        <w:t>5</w:t>
      </w:r>
      <w:r w:rsidRPr="00726680">
        <w:rPr>
          <w:rFonts w:ascii="Traditional Arabic"/>
          <w:rtl/>
        </w:rPr>
        <w:t>(</w:t>
      </w:r>
      <w:r w:rsidRPr="00222C20">
        <w:rPr>
          <w:rtl/>
        </w:rPr>
        <w:t>2</w:t>
      </w:r>
      <w:r w:rsidRPr="00726680">
        <w:rPr>
          <w:rFonts w:ascii="Traditional Arabic"/>
          <w:rtl/>
        </w:rPr>
        <w:t>)(</w:t>
      </w:r>
      <w:r w:rsidRPr="00726680">
        <w:rPr>
          <w:rtl/>
        </w:rPr>
        <w:t>أ</w:t>
      </w:r>
      <w:r w:rsidRPr="00726680">
        <w:rPr>
          <w:rFonts w:ascii="Traditional Arabic"/>
          <w:rtl/>
        </w:rPr>
        <w:t>)</w:t>
      </w:r>
      <w:r w:rsidRPr="00726680">
        <w:rPr>
          <w:rtl/>
        </w:rPr>
        <w:t xml:space="preserve"> من البروتوكول الاختياري، من أن المسألة نفسها ليست قيد النظر في إطار إجراء آخر من إجراءات التحقيق الدولي أو التسوية الدولية.</w:t>
      </w:r>
    </w:p>
    <w:p w14:paraId="274EEF62" w14:textId="60E696D3" w:rsidR="000718A2" w:rsidRPr="00F2088C" w:rsidRDefault="000718A2" w:rsidP="00FD2D33">
      <w:pPr>
        <w:pStyle w:val="SingleTxtGA"/>
        <w:rPr>
          <w:spacing w:val="-2"/>
          <w:lang w:eastAsia="zh-TW" w:bidi="en-GB"/>
        </w:rPr>
      </w:pPr>
      <w:r w:rsidRPr="00F2088C">
        <w:rPr>
          <w:spacing w:val="-2"/>
          <w:rtl/>
        </w:rPr>
        <w:t>7</w:t>
      </w:r>
      <w:r w:rsidRPr="00F2088C">
        <w:rPr>
          <w:rFonts w:ascii="Traditional Arabic"/>
          <w:spacing w:val="-2"/>
          <w:rtl/>
        </w:rPr>
        <w:t>-</w:t>
      </w:r>
      <w:r w:rsidRPr="00F2088C">
        <w:rPr>
          <w:spacing w:val="-2"/>
          <w:rtl/>
        </w:rPr>
        <w:t>3</w:t>
      </w:r>
      <w:r w:rsidRPr="00F2088C">
        <w:rPr>
          <w:spacing w:val="-2"/>
          <w:rtl/>
        </w:rPr>
        <w:tab/>
        <w:t xml:space="preserve">وتلاحظ اللجنة أن الدولة الطرف تعترض على مقبولية البلاغ لأن صاحبه، في رأي الدولة الطرف، لم يقدم التماساً إلى النيابة العامة لإجراء مراجعة قضائية رقابية للقرارات التي أصدرتها المحاكم في القضية. بيد أنها تلاحظ </w:t>
      </w:r>
      <w:r w:rsidR="00FF1E5B" w:rsidRPr="00F2088C">
        <w:rPr>
          <w:spacing w:val="-2"/>
          <w:rtl/>
        </w:rPr>
        <w:t>أيضاً</w:t>
      </w:r>
      <w:r w:rsidRPr="00F2088C">
        <w:rPr>
          <w:spacing w:val="-2"/>
          <w:rtl/>
        </w:rPr>
        <w:t xml:space="preserve"> أن صاحب البلاغ قدم في 5 أيار/مايو 2014 التماساً إلى النيابة العامة لإجراء مراجعة قضائية رقابية لقضيته الإدارية. غير أن نائب المدعي العام لكازاخستان رفض طلبه في 10 حزيران/</w:t>
      </w:r>
      <w:r w:rsidR="00F2088C">
        <w:rPr>
          <w:rFonts w:hint="cs"/>
          <w:spacing w:val="-2"/>
          <w:rtl/>
        </w:rPr>
        <w:t xml:space="preserve"> </w:t>
      </w:r>
      <w:proofErr w:type="gramStart"/>
      <w:r w:rsidRPr="00F2088C">
        <w:rPr>
          <w:spacing w:val="-2"/>
          <w:rtl/>
        </w:rPr>
        <w:t>يونيه</w:t>
      </w:r>
      <w:proofErr w:type="gramEnd"/>
      <w:r w:rsidR="00F2088C">
        <w:rPr>
          <w:rFonts w:hint="cs"/>
          <w:spacing w:val="-2"/>
          <w:rtl/>
        </w:rPr>
        <w:t> </w:t>
      </w:r>
      <w:r w:rsidRPr="00F2088C">
        <w:rPr>
          <w:spacing w:val="-2"/>
          <w:rtl/>
        </w:rPr>
        <w:t>2014</w:t>
      </w:r>
      <w:r w:rsidRPr="00F2088C">
        <w:rPr>
          <w:rFonts w:ascii="Traditional Arabic"/>
          <w:spacing w:val="-2"/>
          <w:rtl/>
        </w:rPr>
        <w:t>.</w:t>
      </w:r>
      <w:r w:rsidRPr="00F2088C">
        <w:rPr>
          <w:spacing w:val="-2"/>
          <w:rtl/>
        </w:rPr>
        <w:t xml:space="preserve"> وتذكّر اللجنة باجتهاداتها السابقة ومفادها أن تقديم التماس إلى مكتب المدعي العام بإجراء مراجعة لقرارات قضائية أصبحت نافذة، وهو أمر يتوقف على سلطة المدعي العام التقديرية، لا يشكل سبيل انتصاف يتعين استنفاده لأغراض المادة 5</w:t>
      </w:r>
      <w:r w:rsidRPr="00F2088C">
        <w:rPr>
          <w:rFonts w:ascii="Traditional Arabic"/>
          <w:spacing w:val="-2"/>
          <w:rtl/>
        </w:rPr>
        <w:t>(</w:t>
      </w:r>
      <w:r w:rsidRPr="00F2088C">
        <w:rPr>
          <w:spacing w:val="-2"/>
          <w:rtl/>
        </w:rPr>
        <w:t>2</w:t>
      </w:r>
      <w:r w:rsidRPr="00F2088C">
        <w:rPr>
          <w:rFonts w:ascii="Traditional Arabic"/>
          <w:spacing w:val="-2"/>
          <w:rtl/>
        </w:rPr>
        <w:t>)(</w:t>
      </w:r>
      <w:r w:rsidRPr="00F2088C">
        <w:rPr>
          <w:spacing w:val="-2"/>
          <w:rtl/>
        </w:rPr>
        <w:t>ب</w:t>
      </w:r>
      <w:r w:rsidRPr="00F2088C">
        <w:rPr>
          <w:rFonts w:ascii="Traditional Arabic"/>
          <w:spacing w:val="-2"/>
          <w:rtl/>
        </w:rPr>
        <w:t>)</w:t>
      </w:r>
      <w:r w:rsidRPr="00F2088C">
        <w:rPr>
          <w:spacing w:val="-2"/>
          <w:rtl/>
        </w:rPr>
        <w:t xml:space="preserve"> من البروتوكول الاختياري</w:t>
      </w:r>
      <w:r w:rsidR="00222C20" w:rsidRPr="00F2088C">
        <w:rPr>
          <w:rStyle w:val="FootnoteReference"/>
          <w:spacing w:val="-2"/>
          <w:sz w:val="30"/>
          <w:rtl/>
        </w:rPr>
        <w:t>(</w:t>
      </w:r>
      <w:r w:rsidR="00222C20" w:rsidRPr="00F2088C">
        <w:rPr>
          <w:rStyle w:val="FootnoteReference"/>
          <w:spacing w:val="-2"/>
          <w:sz w:val="30"/>
          <w:rtl/>
        </w:rPr>
        <w:footnoteReference w:id="7"/>
      </w:r>
      <w:r w:rsidR="00222C20" w:rsidRPr="00F2088C">
        <w:rPr>
          <w:rStyle w:val="FootnoteReference"/>
          <w:spacing w:val="-2"/>
          <w:sz w:val="30"/>
          <w:rtl/>
        </w:rPr>
        <w:t>)</w:t>
      </w:r>
      <w:r w:rsidRPr="00F2088C">
        <w:rPr>
          <w:spacing w:val="-2"/>
          <w:rtl/>
        </w:rPr>
        <w:t>. وبناءً على ذلك، تخلص اللجنة إلى أن المادة 5</w:t>
      </w:r>
      <w:r w:rsidRPr="00F2088C">
        <w:rPr>
          <w:rFonts w:ascii="Traditional Arabic"/>
          <w:spacing w:val="-2"/>
          <w:rtl/>
        </w:rPr>
        <w:t>(</w:t>
      </w:r>
      <w:r w:rsidRPr="00F2088C">
        <w:rPr>
          <w:spacing w:val="-2"/>
          <w:rtl/>
        </w:rPr>
        <w:t>2</w:t>
      </w:r>
      <w:r w:rsidRPr="00F2088C">
        <w:rPr>
          <w:rFonts w:ascii="Traditional Arabic"/>
          <w:spacing w:val="-2"/>
          <w:rtl/>
        </w:rPr>
        <w:t>)(</w:t>
      </w:r>
      <w:r w:rsidRPr="00F2088C">
        <w:rPr>
          <w:spacing w:val="-2"/>
          <w:rtl/>
        </w:rPr>
        <w:t>ب</w:t>
      </w:r>
      <w:r w:rsidRPr="00F2088C">
        <w:rPr>
          <w:rFonts w:ascii="Traditional Arabic"/>
          <w:spacing w:val="-2"/>
          <w:rtl/>
        </w:rPr>
        <w:t>)</w:t>
      </w:r>
      <w:r w:rsidRPr="00F2088C">
        <w:rPr>
          <w:spacing w:val="-2"/>
          <w:rtl/>
        </w:rPr>
        <w:t xml:space="preserve"> من البروتوكول الاختياري لا تمنعها من النظر في البلاغ.</w:t>
      </w:r>
    </w:p>
    <w:p w14:paraId="1A424C42" w14:textId="77777777" w:rsidR="000718A2" w:rsidRPr="00CC6894" w:rsidRDefault="000718A2" w:rsidP="00FD2D33">
      <w:pPr>
        <w:pStyle w:val="SingleTxtGA"/>
        <w:rPr>
          <w:lang w:eastAsia="zh-TW" w:bidi="en-GB"/>
        </w:rPr>
      </w:pPr>
      <w:r w:rsidRPr="00222C20">
        <w:rPr>
          <w:rtl/>
        </w:rPr>
        <w:t>7</w:t>
      </w:r>
      <w:r>
        <w:rPr>
          <w:rFonts w:ascii="Traditional Arabic"/>
          <w:rtl/>
        </w:rPr>
        <w:t>-</w:t>
      </w:r>
      <w:r w:rsidRPr="00222C20">
        <w:rPr>
          <w:rtl/>
        </w:rPr>
        <w:t>4</w:t>
      </w:r>
      <w:r w:rsidRPr="00726680">
        <w:rPr>
          <w:rtl/>
        </w:rPr>
        <w:tab/>
        <w:t xml:space="preserve">وتحيط اللجنة علماً بحجة الدولة الطرف ومؤداها أن البلاغ غير مقبول لأن الذي قدمه إلى اللجنة إنما هو محامي صاحب البلاغ. وتذكّر اللجنة في هذا الخصوص بأن المادة </w:t>
      </w:r>
      <w:r w:rsidRPr="00222C20">
        <w:rPr>
          <w:rtl/>
        </w:rPr>
        <w:t>99</w:t>
      </w:r>
      <w:r w:rsidRPr="00726680">
        <w:rPr>
          <w:rFonts w:ascii="Traditional Arabic"/>
          <w:rtl/>
        </w:rPr>
        <w:t>(</w:t>
      </w:r>
      <w:r w:rsidRPr="00726680">
        <w:rPr>
          <w:rtl/>
        </w:rPr>
        <w:t>ب</w:t>
      </w:r>
      <w:r w:rsidRPr="00726680">
        <w:rPr>
          <w:rFonts w:ascii="Traditional Arabic"/>
          <w:rtl/>
        </w:rPr>
        <w:t>)</w:t>
      </w:r>
      <w:r w:rsidRPr="00726680">
        <w:rPr>
          <w:rtl/>
        </w:rPr>
        <w:t xml:space="preserve"> من نظامها الداخلي تنص على أن أي بلاغ ينبغي أن يقدمه عادةً الفرد المعني شخصياً أو ممثله؛ أما البلاغ الذي يقدم نيابة عن ضحية مزعومة فيجوز قبوله متى اتضح أن الشخص المعني لا يمكنه تقديم البلاغ بنفسه. </w:t>
      </w:r>
      <w:r w:rsidRPr="00726680">
        <w:rPr>
          <w:rtl/>
        </w:rPr>
        <w:lastRenderedPageBreak/>
        <w:t>وفي القضية موضع النظر، تلاحظ اللجنة أن الضحية المزعومة قدّم شكواه بنفسه. وتمكّن صاحب البلاغ لاحقاً من توكيل محام</w:t>
      </w:r>
      <w:r>
        <w:rPr>
          <w:rtl/>
        </w:rPr>
        <w:t xml:space="preserve"> </w:t>
      </w:r>
      <w:r w:rsidRPr="00726680">
        <w:rPr>
          <w:rtl/>
        </w:rPr>
        <w:t xml:space="preserve">قدم تفويضاً موقَّعاً وفق الأصول للتصرف نيابةً عنه أمام اللجنة. وبناءً على ذلك، ترى اللجنة أن المادة </w:t>
      </w:r>
      <w:r w:rsidRPr="00222C20">
        <w:rPr>
          <w:rtl/>
        </w:rPr>
        <w:t>1</w:t>
      </w:r>
      <w:r w:rsidRPr="00726680">
        <w:rPr>
          <w:rtl/>
        </w:rPr>
        <w:t xml:space="preserve"> من البروتوكول الاختياري لا تمنعها من النظر في البلاغ.</w:t>
      </w:r>
    </w:p>
    <w:p w14:paraId="7C7448A7" w14:textId="77777777" w:rsidR="000718A2" w:rsidRPr="00CC6894" w:rsidRDefault="000718A2" w:rsidP="00FD2D33">
      <w:pPr>
        <w:pStyle w:val="SingleTxtGA"/>
        <w:rPr>
          <w:lang w:eastAsia="zh-TW" w:bidi="en-GB"/>
        </w:rPr>
      </w:pPr>
      <w:r w:rsidRPr="00222C20">
        <w:rPr>
          <w:rtl/>
        </w:rPr>
        <w:t>7</w:t>
      </w:r>
      <w:r>
        <w:rPr>
          <w:rFonts w:ascii="Traditional Arabic"/>
          <w:rtl/>
        </w:rPr>
        <w:t>-</w:t>
      </w:r>
      <w:r w:rsidRPr="00222C20">
        <w:rPr>
          <w:rtl/>
        </w:rPr>
        <w:t>5</w:t>
      </w:r>
      <w:r w:rsidRPr="00726680">
        <w:rPr>
          <w:rtl/>
        </w:rPr>
        <w:tab/>
        <w:t xml:space="preserve">وفيما يتعلق بادعاء صاحب البلاغ، الذي سِيق في إطار المادة </w:t>
      </w:r>
      <w:r w:rsidRPr="00222C20">
        <w:rPr>
          <w:rtl/>
        </w:rPr>
        <w:t>14</w:t>
      </w:r>
      <w:r w:rsidRPr="00726680">
        <w:rPr>
          <w:rFonts w:ascii="Traditional Arabic"/>
          <w:rtl/>
        </w:rPr>
        <w:t>(</w:t>
      </w:r>
      <w:r w:rsidRPr="00222C20">
        <w:rPr>
          <w:rtl/>
        </w:rPr>
        <w:t>3</w:t>
      </w:r>
      <w:r w:rsidRPr="00726680">
        <w:rPr>
          <w:rFonts w:ascii="Traditional Arabic"/>
          <w:rtl/>
        </w:rPr>
        <w:t>)(</w:t>
      </w:r>
      <w:r w:rsidRPr="00726680">
        <w:rPr>
          <w:rtl/>
        </w:rPr>
        <w:t>د</w:t>
      </w:r>
      <w:r w:rsidRPr="00726680">
        <w:rPr>
          <w:rFonts w:ascii="Traditional Arabic"/>
          <w:rtl/>
        </w:rPr>
        <w:t>)</w:t>
      </w:r>
      <w:r w:rsidRPr="00726680">
        <w:rPr>
          <w:rtl/>
        </w:rPr>
        <w:t xml:space="preserve">، أنه لم يُسمح لممثليه القانونيين بدخول قاعة المحكمة، تحيط اللجنة علماً بحجة الدولة الطرف التي تفيد بأن صاحب البلاغ لم يطلب أن يمثله محام لا في مركز الشرطة ولا في المحكمة. وترى اللجنة، في ضوء المعلومات المعروضة عليها، أن صاحب البلاغ لم يثبت هذا </w:t>
      </w:r>
      <w:r>
        <w:rPr>
          <w:rtl/>
        </w:rPr>
        <w:t>الجزء من البلاغ</w:t>
      </w:r>
      <w:r w:rsidRPr="00726680">
        <w:rPr>
          <w:rtl/>
        </w:rPr>
        <w:t xml:space="preserve"> بأدلة كافية لأغراض المقبولية وتعتبره من ثم غير مقبول بم</w:t>
      </w:r>
      <w:r>
        <w:rPr>
          <w:rtl/>
        </w:rPr>
        <w:t>قتضى</w:t>
      </w:r>
      <w:r w:rsidRPr="00726680">
        <w:rPr>
          <w:rtl/>
        </w:rPr>
        <w:t xml:space="preserve"> المادة </w:t>
      </w:r>
      <w:r w:rsidRPr="00222C20">
        <w:rPr>
          <w:rtl/>
        </w:rPr>
        <w:t>2</w:t>
      </w:r>
      <w:r w:rsidRPr="00726680">
        <w:rPr>
          <w:rtl/>
        </w:rPr>
        <w:t xml:space="preserve"> من البروتوكول الاختياري.</w:t>
      </w:r>
      <w:r w:rsidRPr="00726680">
        <w:rPr>
          <w:rFonts w:cs="Times New Roman" w:hint="cs"/>
          <w:rtl/>
        </w:rPr>
        <w:t>‬</w:t>
      </w:r>
      <w:r w:rsidRPr="00726680">
        <w:rPr>
          <w:rtl/>
        </w:rPr>
        <w:t xml:space="preserve"> </w:t>
      </w:r>
      <w:r w:rsidRPr="00726680">
        <w:rPr>
          <w:rFonts w:cs="Times New Roman" w:hint="cs"/>
          <w:rtl/>
        </w:rPr>
        <w:t>‬</w:t>
      </w:r>
    </w:p>
    <w:p w14:paraId="14143637" w14:textId="77777777" w:rsidR="000718A2" w:rsidRPr="00726680" w:rsidRDefault="000718A2" w:rsidP="00FD2D33">
      <w:pPr>
        <w:pStyle w:val="SingleTxtGA"/>
        <w:rPr>
          <w:rFonts w:eastAsiaTheme="minorEastAsia"/>
          <w:lang w:val="ar-SA" w:eastAsia="zh-TW" w:bidi="en-GB"/>
        </w:rPr>
      </w:pPr>
      <w:r w:rsidRPr="00222C20">
        <w:rPr>
          <w:rtl/>
        </w:rPr>
        <w:t>7</w:t>
      </w:r>
      <w:r>
        <w:rPr>
          <w:rFonts w:ascii="Traditional Arabic"/>
          <w:rtl/>
        </w:rPr>
        <w:t>-</w:t>
      </w:r>
      <w:r w:rsidRPr="00222C20">
        <w:rPr>
          <w:rtl/>
        </w:rPr>
        <w:t>6</w:t>
      </w:r>
      <w:r w:rsidRPr="00726680">
        <w:rPr>
          <w:rtl/>
        </w:rPr>
        <w:tab/>
        <w:t xml:space="preserve">وتلاحظ اللجنة أن صاحب البلاغ لم يقدم أي معلومات تدعم ادعاءاته بموجب المادة </w:t>
      </w:r>
      <w:r w:rsidRPr="00222C20">
        <w:rPr>
          <w:rtl/>
        </w:rPr>
        <w:t>14</w:t>
      </w:r>
      <w:r w:rsidRPr="00726680">
        <w:rPr>
          <w:rFonts w:ascii="Traditional Arabic"/>
          <w:rtl/>
        </w:rPr>
        <w:t>(</w:t>
      </w:r>
      <w:r w:rsidRPr="00222C20">
        <w:rPr>
          <w:rtl/>
        </w:rPr>
        <w:t>3</w:t>
      </w:r>
      <w:r w:rsidRPr="00726680">
        <w:rPr>
          <w:rFonts w:ascii="Traditional Arabic"/>
          <w:rtl/>
        </w:rPr>
        <w:t>)(</w:t>
      </w:r>
      <w:r w:rsidRPr="00726680">
        <w:rPr>
          <w:rtl/>
        </w:rPr>
        <w:t>ز</w:t>
      </w:r>
      <w:r w:rsidRPr="00726680">
        <w:rPr>
          <w:rFonts w:ascii="Traditional Arabic"/>
          <w:rtl/>
        </w:rPr>
        <w:t>)</w:t>
      </w:r>
      <w:r w:rsidRPr="00726680">
        <w:rPr>
          <w:rtl/>
        </w:rPr>
        <w:t xml:space="preserve"> من العهد. وبناء عليه، ترى أن هذا الجزء من البلاغ غير مثبت بأدلة كافية لأغراض المقبولية وتعلن من ثم أنه غير مقبول ب</w:t>
      </w:r>
      <w:r>
        <w:rPr>
          <w:rtl/>
        </w:rPr>
        <w:t>مقتضى</w:t>
      </w:r>
      <w:r w:rsidRPr="00726680">
        <w:rPr>
          <w:rtl/>
        </w:rPr>
        <w:t xml:space="preserve"> المادة </w:t>
      </w:r>
      <w:r w:rsidRPr="00222C20">
        <w:rPr>
          <w:rtl/>
        </w:rPr>
        <w:t>2</w:t>
      </w:r>
      <w:r w:rsidRPr="00726680">
        <w:rPr>
          <w:rtl/>
        </w:rPr>
        <w:t xml:space="preserve"> من البروتوكول الاختياري.</w:t>
      </w:r>
    </w:p>
    <w:p w14:paraId="6670A615" w14:textId="77777777" w:rsidR="000718A2" w:rsidRPr="00CC6894" w:rsidRDefault="000718A2" w:rsidP="00FD2D33">
      <w:pPr>
        <w:pStyle w:val="SingleTxtGA"/>
        <w:rPr>
          <w:rFonts w:eastAsiaTheme="minorEastAsia"/>
          <w:lang w:eastAsia="zh-TW" w:bidi="en-GB"/>
        </w:rPr>
      </w:pPr>
      <w:r w:rsidRPr="00222C20">
        <w:rPr>
          <w:rtl/>
        </w:rPr>
        <w:t>7</w:t>
      </w:r>
      <w:r>
        <w:rPr>
          <w:rFonts w:ascii="Traditional Arabic"/>
          <w:rtl/>
        </w:rPr>
        <w:t>-</w:t>
      </w:r>
      <w:r w:rsidRPr="00222C20">
        <w:rPr>
          <w:rtl/>
        </w:rPr>
        <w:t>7</w:t>
      </w:r>
      <w:r w:rsidRPr="00726680">
        <w:rPr>
          <w:rtl/>
        </w:rPr>
        <w:tab/>
        <w:t xml:space="preserve">وتشير اللجنة إلى أن ادعاءات صاحب البلاغ المتبقية، التي تثير قضايا في إطار المادتين </w:t>
      </w:r>
      <w:r w:rsidRPr="00222C20">
        <w:rPr>
          <w:rtl/>
        </w:rPr>
        <w:t>19</w:t>
      </w:r>
      <w:r w:rsidRPr="00726680">
        <w:rPr>
          <w:rtl/>
        </w:rPr>
        <w:t xml:space="preserve"> و</w:t>
      </w:r>
      <w:r w:rsidRPr="00222C20">
        <w:rPr>
          <w:rtl/>
        </w:rPr>
        <w:t>21</w:t>
      </w:r>
      <w:r w:rsidRPr="00726680">
        <w:rPr>
          <w:rtl/>
        </w:rPr>
        <w:t xml:space="preserve"> من العهد، قد أُثبتت بأدلة كافية لأغراض المقبولية. وبناء عليه، تعلن مقبوليتها وتمضي إلى النظر في الأسس الموضوعية.</w:t>
      </w:r>
    </w:p>
    <w:p w14:paraId="0AA0661F" w14:textId="77777777" w:rsidR="000718A2" w:rsidRPr="00726680" w:rsidRDefault="000718A2" w:rsidP="00FD2D33">
      <w:pPr>
        <w:pStyle w:val="H4GA"/>
        <w:rPr>
          <w:lang w:val="ar-SA" w:eastAsia="zh-TW" w:bidi="en-GB"/>
        </w:rPr>
      </w:pPr>
      <w:r w:rsidRPr="00726680">
        <w:rPr>
          <w:rtl/>
        </w:rPr>
        <w:tab/>
      </w:r>
      <w:r w:rsidRPr="00726680">
        <w:rPr>
          <w:rtl/>
        </w:rPr>
        <w:tab/>
        <w:t>النظر في الأسس الموضوعية</w:t>
      </w:r>
    </w:p>
    <w:p w14:paraId="467A7BB8" w14:textId="77777777" w:rsidR="000718A2" w:rsidRPr="00326A15" w:rsidRDefault="000718A2" w:rsidP="000718A2">
      <w:pPr>
        <w:pStyle w:val="SingleTxtGA"/>
        <w:rPr>
          <w:lang w:eastAsia="zh-TW" w:bidi="en-GB"/>
        </w:rPr>
      </w:pPr>
      <w:r w:rsidRPr="00222C20">
        <w:rPr>
          <w:rtl/>
        </w:rPr>
        <w:t>8</w:t>
      </w:r>
      <w:r>
        <w:rPr>
          <w:rFonts w:ascii="Traditional Arabic"/>
          <w:rtl/>
        </w:rPr>
        <w:t>-</w:t>
      </w:r>
      <w:r w:rsidRPr="00222C20">
        <w:rPr>
          <w:rtl/>
        </w:rPr>
        <w:t>1</w:t>
      </w:r>
      <w:r w:rsidRPr="00726680">
        <w:rPr>
          <w:rtl/>
        </w:rPr>
        <w:tab/>
        <w:t xml:space="preserve">نظرت اللجنة في هذا البلاغ في ضوء جميع المعلومات التي أتاحها لها الطرفان، على النحو المنصوص عليه في المادة </w:t>
      </w:r>
      <w:r w:rsidRPr="00222C20">
        <w:rPr>
          <w:rtl/>
        </w:rPr>
        <w:t>5</w:t>
      </w:r>
      <w:r w:rsidRPr="00726680">
        <w:rPr>
          <w:rFonts w:ascii="Traditional Arabic"/>
          <w:rtl/>
        </w:rPr>
        <w:t>(</w:t>
      </w:r>
      <w:r w:rsidRPr="00222C20">
        <w:rPr>
          <w:rtl/>
        </w:rPr>
        <w:t>1</w:t>
      </w:r>
      <w:r w:rsidRPr="00726680">
        <w:rPr>
          <w:rFonts w:ascii="Traditional Arabic"/>
          <w:rtl/>
        </w:rPr>
        <w:t>)</w:t>
      </w:r>
      <w:r w:rsidRPr="00726680">
        <w:rPr>
          <w:rtl/>
        </w:rPr>
        <w:t xml:space="preserve"> من البروتوكول الاختياري.</w:t>
      </w:r>
    </w:p>
    <w:p w14:paraId="63E90E1E" w14:textId="1FA96C82" w:rsidR="000718A2" w:rsidRPr="000E70FE" w:rsidRDefault="000718A2" w:rsidP="000718A2">
      <w:pPr>
        <w:pStyle w:val="SingleTxtGA"/>
        <w:rPr>
          <w:lang w:eastAsia="zh-TW" w:bidi="en-GB"/>
        </w:rPr>
      </w:pPr>
      <w:r w:rsidRPr="00222C20">
        <w:rPr>
          <w:rtl/>
        </w:rPr>
        <w:t>8</w:t>
      </w:r>
      <w:r>
        <w:rPr>
          <w:rFonts w:ascii="Traditional Arabic"/>
          <w:rtl/>
        </w:rPr>
        <w:t>-</w:t>
      </w:r>
      <w:r w:rsidRPr="00222C20">
        <w:rPr>
          <w:rtl/>
        </w:rPr>
        <w:t>2</w:t>
      </w:r>
      <w:r w:rsidRPr="00726680">
        <w:rPr>
          <w:rtl/>
        </w:rPr>
        <w:tab/>
        <w:t>وتحيط اللجنة علما</w:t>
      </w:r>
      <w:r w:rsidR="007B49CF">
        <w:rPr>
          <w:rFonts w:hint="cs"/>
          <w:rtl/>
        </w:rPr>
        <w:t>ً</w:t>
      </w:r>
      <w:r w:rsidRPr="00726680">
        <w:rPr>
          <w:rtl/>
        </w:rPr>
        <w:t xml:space="preserve"> بادعاء صاحب البلاغ أن حقه في حرية التجمع بموجب المادة </w:t>
      </w:r>
      <w:r w:rsidRPr="00222C20">
        <w:rPr>
          <w:rtl/>
        </w:rPr>
        <w:t>21</w:t>
      </w:r>
      <w:r w:rsidRPr="00726680">
        <w:rPr>
          <w:rtl/>
        </w:rPr>
        <w:t xml:space="preserve"> من العهد انتُهك لأنه ألقي عليه القبض وحوكم وغُرّم في </w:t>
      </w:r>
      <w:r w:rsidRPr="00222C20">
        <w:rPr>
          <w:rtl/>
        </w:rPr>
        <w:t>15</w:t>
      </w:r>
      <w:r w:rsidRPr="00726680">
        <w:rPr>
          <w:rtl/>
        </w:rPr>
        <w:t xml:space="preserve"> شباط/فبراير </w:t>
      </w:r>
      <w:r w:rsidRPr="00222C20">
        <w:rPr>
          <w:rtl/>
        </w:rPr>
        <w:t>2014</w:t>
      </w:r>
      <w:r w:rsidRPr="00726680">
        <w:rPr>
          <w:rtl/>
        </w:rPr>
        <w:t xml:space="preserve"> بسبب مشاركته في حدث جماهيري غير مرخص فيه احتجاجاً على تخفيض الحكومة قيمةَ العملة الوطنية. وتذكّر اللجنة بأن الحق في التجمع السلمي، الذي تكفله المادة </w:t>
      </w:r>
      <w:r w:rsidRPr="00222C20">
        <w:rPr>
          <w:rtl/>
        </w:rPr>
        <w:t>21</w:t>
      </w:r>
      <w:r w:rsidRPr="00726680">
        <w:rPr>
          <w:rtl/>
        </w:rPr>
        <w:t xml:space="preserve"> من العهد، حق أساسي من حقوق الإنسان لا بد منه ليعبر الفرد علناً عن آرائه ووجهات نظره ولا غنى عنه في مجتمع ديمقراطي. ويمكّن الأفراد من التعبير عن أنفسهم جماعياً والمشاركة في تشكيل مجتمعاتهم. والحق في التجمع السلمي مهم في حد ذاته لأنه يحمي قدرة الناس على ممارسة الاستقلال الذاتي الفردي في تضامن مع الآخرين. وهو يشكل </w:t>
      </w:r>
      <w:r w:rsidR="00FF1E5B">
        <w:rPr>
          <w:rtl/>
        </w:rPr>
        <w:t>أيضاً</w:t>
      </w:r>
      <w:r w:rsidRPr="00726680">
        <w:rPr>
          <w:rtl/>
        </w:rPr>
        <w:t>، إلى جانب حقوق أخرى ذات صلة، الأساس ذاته لنظام الحوك</w:t>
      </w:r>
      <w:r>
        <w:rPr>
          <w:rtl/>
        </w:rPr>
        <w:t>م</w:t>
      </w:r>
      <w:r w:rsidRPr="00726680">
        <w:rPr>
          <w:rtl/>
        </w:rPr>
        <w:t>ة القائمة على المشاركة استناداً إلى الديمقراطية وحقوق الإنسان وسيادة القانون والتعددية</w:t>
      </w:r>
      <w:r w:rsidR="00222C20">
        <w:rPr>
          <w:rStyle w:val="FootnoteReference"/>
          <w:sz w:val="30"/>
          <w:rtl/>
        </w:rPr>
        <w:t>(</w:t>
      </w:r>
      <w:r w:rsidR="00222C20" w:rsidRPr="00726680">
        <w:rPr>
          <w:rStyle w:val="FootnoteReference"/>
          <w:sz w:val="30"/>
          <w:rtl/>
        </w:rPr>
        <w:footnoteReference w:id="8"/>
      </w:r>
      <w:r w:rsidR="00222C20">
        <w:rPr>
          <w:rStyle w:val="FootnoteReference"/>
          <w:sz w:val="30"/>
          <w:rtl/>
        </w:rPr>
        <w:t>)</w:t>
      </w:r>
      <w:r w:rsidRPr="00726680">
        <w:rPr>
          <w:rtl/>
        </w:rPr>
        <w:t>. وبالنظر إلى الطابع التعبيري للتجمعات، يجب، قدر المستطاع، تمكين المشاركين من تسييرها على مرأى ومسمع</w:t>
      </w:r>
      <w:r>
        <w:rPr>
          <w:rtl/>
        </w:rPr>
        <w:t xml:space="preserve"> من</w:t>
      </w:r>
      <w:r w:rsidRPr="00726680">
        <w:rPr>
          <w:rtl/>
        </w:rPr>
        <w:t xml:space="preserve"> الجمهور المستهدف</w:t>
      </w:r>
      <w:r w:rsidR="00222C20">
        <w:rPr>
          <w:rStyle w:val="FootnoteReference"/>
          <w:sz w:val="30"/>
          <w:rtl/>
        </w:rPr>
        <w:t>(</w:t>
      </w:r>
      <w:r w:rsidR="00222C20" w:rsidRPr="00726680">
        <w:rPr>
          <w:rStyle w:val="FootnoteReference"/>
          <w:sz w:val="30"/>
          <w:rtl/>
        </w:rPr>
        <w:footnoteReference w:id="9"/>
      </w:r>
      <w:r w:rsidR="00222C20">
        <w:rPr>
          <w:rStyle w:val="FootnoteReference"/>
          <w:sz w:val="30"/>
          <w:rtl/>
        </w:rPr>
        <w:t>)</w:t>
      </w:r>
      <w:r w:rsidRPr="00726680">
        <w:rPr>
          <w:rtl/>
        </w:rPr>
        <w:t xml:space="preserve">، ولا يجوز تقييد هذا الحق إلا إن فُرض وفقاً للقانون وكان ضرورياً في مجتمع ديمقراطي </w:t>
      </w:r>
      <w:r>
        <w:rPr>
          <w:rtl/>
        </w:rPr>
        <w:t>لدواعي</w:t>
      </w:r>
      <w:r w:rsidRPr="00726680">
        <w:rPr>
          <w:rtl/>
        </w:rPr>
        <w:t xml:space="preserve"> الأمن الوطني أو السلامة العامة أو النظام العام أو حماية الصحة العامة أو الآداب العامة أو حماية حقوق الآخرين وحرياتهم. ولئن كان يجوز أحياناً تقييد الحق في التجمع السلمي، فإن مسؤولية تبرير أي قيود تقع على عاتق السلطات</w:t>
      </w:r>
      <w:r w:rsidR="00222C20">
        <w:rPr>
          <w:rStyle w:val="FootnoteReference"/>
          <w:sz w:val="30"/>
          <w:rtl/>
        </w:rPr>
        <w:t>(</w:t>
      </w:r>
      <w:r w:rsidR="00222C20" w:rsidRPr="00726680">
        <w:rPr>
          <w:rStyle w:val="FootnoteReference"/>
          <w:sz w:val="30"/>
          <w:rtl/>
        </w:rPr>
        <w:footnoteReference w:id="10"/>
      </w:r>
      <w:r w:rsidR="00222C20">
        <w:rPr>
          <w:rStyle w:val="FootnoteReference"/>
          <w:sz w:val="30"/>
          <w:rtl/>
        </w:rPr>
        <w:t>)</w:t>
      </w:r>
      <w:r w:rsidRPr="00726680">
        <w:rPr>
          <w:rtl/>
        </w:rPr>
        <w:t xml:space="preserve">. ويجب أن تكون السلطات قادرة على إثبات استيفاء أي قيود شرط الشرعية، وإثبات أنها ضرورية لسبب واحد على الأقل من الأسباب المباحة لفرض القيود المذكورة في المادة </w:t>
      </w:r>
      <w:r w:rsidRPr="00222C20">
        <w:rPr>
          <w:rtl/>
        </w:rPr>
        <w:t>21</w:t>
      </w:r>
      <w:r w:rsidRPr="00726680">
        <w:rPr>
          <w:rtl/>
        </w:rPr>
        <w:t xml:space="preserve"> من العهد ومتناسبة مع هذا </w:t>
      </w:r>
      <w:r w:rsidRPr="00726680">
        <w:rPr>
          <w:rtl/>
        </w:rPr>
        <w:lastRenderedPageBreak/>
        <w:t xml:space="preserve">السبب. ويمثل عدم الوفاء بهذا الواجب انتهاكاً للمادة </w:t>
      </w:r>
      <w:r w:rsidRPr="00222C20">
        <w:rPr>
          <w:rtl/>
        </w:rPr>
        <w:t>21</w:t>
      </w:r>
      <w:r w:rsidR="00222C20">
        <w:rPr>
          <w:rStyle w:val="FootnoteReference"/>
          <w:sz w:val="30"/>
          <w:rtl/>
        </w:rPr>
        <w:t>(</w:t>
      </w:r>
      <w:r w:rsidR="00222C20" w:rsidRPr="00726680">
        <w:rPr>
          <w:rStyle w:val="FootnoteReference"/>
          <w:sz w:val="30"/>
          <w:rtl/>
        </w:rPr>
        <w:footnoteReference w:id="11"/>
      </w:r>
      <w:r w:rsidR="00222C20">
        <w:rPr>
          <w:rStyle w:val="FootnoteReference"/>
          <w:sz w:val="30"/>
          <w:rtl/>
        </w:rPr>
        <w:t>)</w:t>
      </w:r>
      <w:r w:rsidRPr="00726680">
        <w:rPr>
          <w:rtl/>
        </w:rPr>
        <w:t>. وينبغي أن يستهدي فرض أي قيود بهدف تيسير هذا الحق بدلاً من السعي إلى تقييده تقييداً غير ضروري وغير متناسب</w:t>
      </w:r>
      <w:r w:rsidR="00222C20">
        <w:rPr>
          <w:rStyle w:val="FootnoteReference"/>
          <w:sz w:val="30"/>
          <w:rtl/>
        </w:rPr>
        <w:t>(</w:t>
      </w:r>
      <w:r w:rsidR="00222C20" w:rsidRPr="00726680">
        <w:rPr>
          <w:rStyle w:val="FootnoteReference"/>
          <w:sz w:val="30"/>
          <w:rtl/>
        </w:rPr>
        <w:footnoteReference w:id="12"/>
      </w:r>
      <w:r w:rsidR="00222C20">
        <w:rPr>
          <w:rStyle w:val="FootnoteReference"/>
          <w:sz w:val="30"/>
          <w:rtl/>
        </w:rPr>
        <w:t>)</w:t>
      </w:r>
      <w:r w:rsidRPr="00726680">
        <w:rPr>
          <w:rtl/>
        </w:rPr>
        <w:t>. ويجب ألا تكون القيود تمييزية أو مخلة بجوهر الحق أو هادفة إلى ردع المشاركة في التجمعات أو ذات أثر مثبط</w:t>
      </w:r>
      <w:r w:rsidR="00222C20">
        <w:rPr>
          <w:rStyle w:val="FootnoteReference"/>
          <w:sz w:val="30"/>
          <w:rtl/>
        </w:rPr>
        <w:t>(</w:t>
      </w:r>
      <w:r w:rsidR="00222C20" w:rsidRPr="00726680">
        <w:rPr>
          <w:rStyle w:val="FootnoteReference"/>
          <w:sz w:val="30"/>
          <w:rtl/>
        </w:rPr>
        <w:footnoteReference w:id="13"/>
      </w:r>
      <w:r w:rsidR="00222C20">
        <w:rPr>
          <w:rStyle w:val="FootnoteReference"/>
          <w:sz w:val="30"/>
          <w:rtl/>
        </w:rPr>
        <w:t>)</w:t>
      </w:r>
      <w:r w:rsidRPr="00726680">
        <w:rPr>
          <w:rtl/>
        </w:rPr>
        <w:t>.</w:t>
      </w:r>
    </w:p>
    <w:p w14:paraId="7ECF91A7" w14:textId="6C5C8540" w:rsidR="000718A2" w:rsidRPr="00726680" w:rsidRDefault="000718A2" w:rsidP="000718A2">
      <w:pPr>
        <w:pStyle w:val="SingleTxtGA"/>
        <w:rPr>
          <w:lang w:val="ar-SA" w:eastAsia="zh-TW" w:bidi="en-GB"/>
        </w:rPr>
      </w:pPr>
      <w:r w:rsidRPr="00222C20">
        <w:rPr>
          <w:rtl/>
        </w:rPr>
        <w:t>8</w:t>
      </w:r>
      <w:r>
        <w:rPr>
          <w:rFonts w:ascii="Traditional Arabic"/>
          <w:rtl/>
        </w:rPr>
        <w:t>-</w:t>
      </w:r>
      <w:r w:rsidRPr="00222C20">
        <w:rPr>
          <w:rtl/>
        </w:rPr>
        <w:t>3</w:t>
      </w:r>
      <w:r w:rsidRPr="00726680">
        <w:rPr>
          <w:rtl/>
        </w:rPr>
        <w:tab/>
        <w:t>وتلاحظ اللجنة أن ن</w:t>
      </w:r>
      <w:r>
        <w:rPr>
          <w:rtl/>
        </w:rPr>
        <w:t>ُ</w:t>
      </w:r>
      <w:r w:rsidRPr="00726680">
        <w:rPr>
          <w:rtl/>
        </w:rPr>
        <w:t>ظم الترخيص، حيث يتعين على الراغبين في التجمع أن يطلبوا إذناً (أو رخصة) من السلطات، تقوض فكرة كون التجمع السلمي حقا أساسيا</w:t>
      </w:r>
      <w:r w:rsidR="00222C20">
        <w:rPr>
          <w:rStyle w:val="FootnoteReference"/>
          <w:sz w:val="30"/>
          <w:rtl/>
        </w:rPr>
        <w:t>(</w:t>
      </w:r>
      <w:r w:rsidR="00222C20" w:rsidRPr="00726680">
        <w:rPr>
          <w:rStyle w:val="FootnoteReference"/>
          <w:sz w:val="30"/>
          <w:rtl/>
        </w:rPr>
        <w:footnoteReference w:id="14"/>
      </w:r>
      <w:r w:rsidR="00222C20">
        <w:rPr>
          <w:rStyle w:val="FootnoteReference"/>
          <w:sz w:val="30"/>
          <w:rtl/>
        </w:rPr>
        <w:t>)</w:t>
      </w:r>
      <w:r w:rsidRPr="00726680">
        <w:rPr>
          <w:rtl/>
        </w:rPr>
        <w:t>. وحيثما استمر</w:t>
      </w:r>
      <w:r>
        <w:rPr>
          <w:rtl/>
        </w:rPr>
        <w:t xml:space="preserve"> فرض</w:t>
      </w:r>
      <w:r w:rsidRPr="00726680">
        <w:rPr>
          <w:rtl/>
        </w:rPr>
        <w:t xml:space="preserve"> هذه المقتضيات، وجب أن تعمل من الناحية التطبيقية عملَ نظام </w:t>
      </w:r>
      <w:r>
        <w:rPr>
          <w:rtl/>
        </w:rPr>
        <w:t>ا</w:t>
      </w:r>
      <w:r w:rsidRPr="00726680">
        <w:rPr>
          <w:rtl/>
        </w:rPr>
        <w:t xml:space="preserve">لإخطار، إذ إن الترخيص ينبغي أن يُمنح تلقائيا إن لم توجَد أسباب قاهرة تحول دون ذلك. وينبغي </w:t>
      </w:r>
      <w:r w:rsidR="00FF1E5B">
        <w:rPr>
          <w:rtl/>
        </w:rPr>
        <w:t>أيضاً</w:t>
      </w:r>
      <w:r w:rsidRPr="00726680">
        <w:rPr>
          <w:rtl/>
        </w:rPr>
        <w:t xml:space="preserve"> ألا تشتمل هذه النظم </w:t>
      </w:r>
      <w:r w:rsidR="00FF1E5B">
        <w:rPr>
          <w:rtl/>
        </w:rPr>
        <w:t>أيضاً</w:t>
      </w:r>
      <w:r w:rsidRPr="00726680">
        <w:rPr>
          <w:rtl/>
        </w:rPr>
        <w:t xml:space="preserve"> على إجراءات مفرطة في البيروقراطية</w:t>
      </w:r>
      <w:r w:rsidR="00222C20">
        <w:rPr>
          <w:rStyle w:val="FootnoteReference"/>
          <w:sz w:val="30"/>
          <w:rtl/>
        </w:rPr>
        <w:t>(</w:t>
      </w:r>
      <w:r w:rsidR="00222C20" w:rsidRPr="00726680">
        <w:rPr>
          <w:rStyle w:val="FootnoteReference"/>
          <w:sz w:val="30"/>
          <w:rtl/>
        </w:rPr>
        <w:footnoteReference w:id="15"/>
      </w:r>
      <w:r w:rsidR="00222C20">
        <w:rPr>
          <w:rStyle w:val="FootnoteReference"/>
          <w:sz w:val="30"/>
          <w:rtl/>
        </w:rPr>
        <w:t>)</w:t>
      </w:r>
      <w:r w:rsidRPr="00726680">
        <w:rPr>
          <w:rtl/>
        </w:rPr>
        <w:t xml:space="preserve">. أما نظم الإخطار، فيجب ألا تعمل من الناحية التطبيقية عملَ نظم </w:t>
      </w:r>
      <w:r>
        <w:rPr>
          <w:rtl/>
        </w:rPr>
        <w:t>ا</w:t>
      </w:r>
      <w:r w:rsidRPr="00726680">
        <w:rPr>
          <w:rtl/>
        </w:rPr>
        <w:t>لترخيص</w:t>
      </w:r>
      <w:r w:rsidR="00222C20">
        <w:rPr>
          <w:rStyle w:val="FootnoteReference"/>
          <w:sz w:val="30"/>
          <w:rtl/>
        </w:rPr>
        <w:t>(</w:t>
      </w:r>
      <w:r w:rsidR="00222C20" w:rsidRPr="00726680">
        <w:rPr>
          <w:rStyle w:val="FootnoteReference"/>
          <w:sz w:val="30"/>
          <w:rtl/>
        </w:rPr>
        <w:footnoteReference w:id="16"/>
      </w:r>
      <w:r w:rsidR="00222C20">
        <w:rPr>
          <w:rStyle w:val="FootnoteReference"/>
          <w:sz w:val="30"/>
          <w:rtl/>
        </w:rPr>
        <w:t>)</w:t>
      </w:r>
      <w:r w:rsidRPr="00726680">
        <w:rPr>
          <w:rtl/>
        </w:rPr>
        <w:t xml:space="preserve">. وتلاحظ اللجنة </w:t>
      </w:r>
      <w:r w:rsidR="00FF1E5B">
        <w:rPr>
          <w:rtl/>
        </w:rPr>
        <w:t>أيضاً</w:t>
      </w:r>
      <w:r w:rsidRPr="00726680">
        <w:rPr>
          <w:rtl/>
        </w:rPr>
        <w:t xml:space="preserve"> أن التجمعات العفوية، التي تكون في العادة رداً مباشراً على أحداث راهنة، سواء أكانت منسقة أم لا، تحظى هي الأخرى بالحماية بموجب المادة </w:t>
      </w:r>
      <w:r w:rsidRPr="00222C20">
        <w:rPr>
          <w:rtl/>
        </w:rPr>
        <w:t>21</w:t>
      </w:r>
      <w:r w:rsidR="00222C20">
        <w:rPr>
          <w:rStyle w:val="FootnoteReference"/>
          <w:sz w:val="30"/>
          <w:rtl/>
        </w:rPr>
        <w:t>(</w:t>
      </w:r>
      <w:r w:rsidR="00222C20" w:rsidRPr="00726680">
        <w:rPr>
          <w:rStyle w:val="FootnoteReference"/>
          <w:sz w:val="30"/>
          <w:rtl/>
        </w:rPr>
        <w:footnoteReference w:id="17"/>
      </w:r>
      <w:r w:rsidR="00222C20">
        <w:rPr>
          <w:rStyle w:val="FootnoteReference"/>
          <w:sz w:val="30"/>
          <w:rtl/>
        </w:rPr>
        <w:t>)</w:t>
      </w:r>
      <w:r w:rsidRPr="00726680">
        <w:rPr>
          <w:rtl/>
        </w:rPr>
        <w:t>.</w:t>
      </w:r>
    </w:p>
    <w:p w14:paraId="7C139E10" w14:textId="495BEA39" w:rsidR="000718A2" w:rsidRPr="00726680" w:rsidRDefault="000718A2" w:rsidP="000718A2">
      <w:pPr>
        <w:pStyle w:val="SingleTxtGA"/>
        <w:rPr>
          <w:lang w:val="ar-SA" w:eastAsia="zh-TW" w:bidi="en-GB"/>
        </w:rPr>
      </w:pPr>
      <w:r w:rsidRPr="00222C20">
        <w:rPr>
          <w:rtl/>
        </w:rPr>
        <w:t>8</w:t>
      </w:r>
      <w:r>
        <w:rPr>
          <w:rFonts w:ascii="Traditional Arabic"/>
          <w:rtl/>
        </w:rPr>
        <w:t>-</w:t>
      </w:r>
      <w:r w:rsidRPr="00222C20">
        <w:rPr>
          <w:rtl/>
        </w:rPr>
        <w:t>4</w:t>
      </w:r>
      <w:r w:rsidRPr="00726680">
        <w:rPr>
          <w:rtl/>
        </w:rPr>
        <w:tab/>
        <w:t>وتلاحظ اللجنة أن الالتزام القاضي باحترام التجمعات السلمية وتأمينها يفرض واجبات سلبية وإيجابية على الدول قبل التجمعات وأثناءها وبعدها. ويستلزم الواجب السلبي عدم التدخل غير المبرر في التجمعات السلمية. فالدول ملزمة، مثلاً، بعدم حظر التجمعات السلمية أو تقييدها أو منعها أو تفريقها أو عرقلتها دون مبرّر مقنع، وبعدم معاقبة المشاركين أو المنظّمين دون سبب مشروع</w:t>
      </w:r>
      <w:r w:rsidR="00222C20">
        <w:rPr>
          <w:rStyle w:val="FootnoteReference"/>
          <w:sz w:val="30"/>
          <w:rtl/>
        </w:rPr>
        <w:t>(</w:t>
      </w:r>
      <w:r w:rsidR="00222C20" w:rsidRPr="00726680">
        <w:rPr>
          <w:rStyle w:val="FootnoteReference"/>
          <w:sz w:val="30"/>
          <w:rtl/>
        </w:rPr>
        <w:footnoteReference w:id="18"/>
      </w:r>
      <w:r w:rsidR="00222C20">
        <w:rPr>
          <w:rStyle w:val="FootnoteReference"/>
          <w:sz w:val="30"/>
          <w:rtl/>
        </w:rPr>
        <w:t>)</w:t>
      </w:r>
      <w:r w:rsidRPr="00726680">
        <w:rPr>
          <w:rtl/>
        </w:rPr>
        <w:t>. وإضافة إلى ذلك، على الدول الأطراف واجبات إيجابية معيّنة لتيسير التجمعات السلمية ومساعدة المشاركين على تحقيق أهدافهم. وعلى هذا، يجب على الدول أن تهيئ بيئة مواتية لممارسة الحق في التجمع السلمي دون تمييز، وأن تضع إطاراً قانونياً ومؤسسياً يسمح بممارسة هذا الحق فعليا. وقد يلزم أحيانا أن تتخذ السلطات تدابير محددة. فعلى سبيل المثال، قد تحتاج إلى إغلاق الشوارع أو إعادة توجيه حركة المرور أو توفير الأمن. وعند الاقتضاء، يجب على الدول أيضاً حماية المشاركين من إساءة المعاملة التي قد ترتكبها جهات فاعلة من غير الدول، مثل التدخل أو العنف الذي يمارسه أفراد آخرون من الجمهور والمتظاهرون المضادون ومقدمو الخدمات الأمنية</w:t>
      </w:r>
      <w:r w:rsidR="00222C20">
        <w:rPr>
          <w:rStyle w:val="FootnoteReference"/>
          <w:sz w:val="30"/>
          <w:rtl/>
        </w:rPr>
        <w:t>(</w:t>
      </w:r>
      <w:r w:rsidR="00222C20" w:rsidRPr="00726680">
        <w:rPr>
          <w:rStyle w:val="FootnoteReference"/>
          <w:sz w:val="30"/>
          <w:rtl/>
        </w:rPr>
        <w:footnoteReference w:id="19"/>
      </w:r>
      <w:r w:rsidR="00222C20">
        <w:rPr>
          <w:rStyle w:val="FootnoteReference"/>
          <w:sz w:val="30"/>
          <w:rtl/>
        </w:rPr>
        <w:t>)</w:t>
      </w:r>
      <w:r w:rsidRPr="00726680">
        <w:rPr>
          <w:rtl/>
        </w:rPr>
        <w:t>. ويضاف إلى ذلك أن من واجب الدول أن تحمي المشاركين من جميع أشكال إساءة المعاملة والاعتداءات التي تنطوي على تمييز</w:t>
      </w:r>
      <w:r w:rsidR="00222C20">
        <w:rPr>
          <w:rStyle w:val="FootnoteReference"/>
          <w:sz w:val="30"/>
          <w:rtl/>
        </w:rPr>
        <w:t>(</w:t>
      </w:r>
      <w:r w:rsidR="00222C20" w:rsidRPr="00726680">
        <w:rPr>
          <w:rStyle w:val="FootnoteReference"/>
          <w:sz w:val="30"/>
          <w:rtl/>
        </w:rPr>
        <w:footnoteReference w:id="20"/>
      </w:r>
      <w:r w:rsidR="00222C20">
        <w:rPr>
          <w:rStyle w:val="FootnoteReference"/>
          <w:sz w:val="30"/>
          <w:rtl/>
        </w:rPr>
        <w:t>)</w:t>
      </w:r>
      <w:r w:rsidRPr="00726680">
        <w:rPr>
          <w:rtl/>
        </w:rPr>
        <w:t>. ولا يعدّ احتمال أن يثير تجمع سلمي ردود فعل سلبية أو حتى عنيفة من بعض أفراد الجمهور سبباً كافياً لحظر التجمع أو تقييده. والدول ملزمة باتخاذ جميع التدابير المعقولة التي لا تحمّلها أعباء غير متناسبة لحماية جميع المشاركين والسماح بهذه التجمعات دون انقطاع</w:t>
      </w:r>
      <w:r w:rsidR="00222C20">
        <w:rPr>
          <w:rStyle w:val="FootnoteReference"/>
          <w:sz w:val="30"/>
          <w:rtl/>
        </w:rPr>
        <w:t>(</w:t>
      </w:r>
      <w:r w:rsidR="00222C20" w:rsidRPr="00726680">
        <w:rPr>
          <w:rStyle w:val="FootnoteReference"/>
          <w:sz w:val="30"/>
          <w:rtl/>
        </w:rPr>
        <w:footnoteReference w:id="21"/>
      </w:r>
      <w:r w:rsidR="00222C20">
        <w:rPr>
          <w:rStyle w:val="FootnoteReference"/>
          <w:sz w:val="30"/>
          <w:rtl/>
        </w:rPr>
        <w:t>)</w:t>
      </w:r>
      <w:r w:rsidRPr="00726680">
        <w:rPr>
          <w:rtl/>
        </w:rPr>
        <w:t>.</w:t>
      </w:r>
    </w:p>
    <w:p w14:paraId="17A3C952" w14:textId="77777777" w:rsidR="000718A2" w:rsidRPr="00726680" w:rsidRDefault="000718A2" w:rsidP="000718A2">
      <w:pPr>
        <w:pStyle w:val="SingleTxtGA"/>
        <w:rPr>
          <w:lang w:val="ar-SA" w:eastAsia="zh-TW" w:bidi="en-GB"/>
        </w:rPr>
      </w:pPr>
      <w:r w:rsidRPr="00222C20">
        <w:rPr>
          <w:rtl/>
        </w:rPr>
        <w:lastRenderedPageBreak/>
        <w:t>8</w:t>
      </w:r>
      <w:r>
        <w:rPr>
          <w:rFonts w:ascii="Traditional Arabic"/>
          <w:rtl/>
        </w:rPr>
        <w:t>-</w:t>
      </w:r>
      <w:r w:rsidRPr="00222C20">
        <w:rPr>
          <w:rtl/>
        </w:rPr>
        <w:t>5</w:t>
      </w:r>
      <w:r w:rsidRPr="00726680">
        <w:rPr>
          <w:rtl/>
        </w:rPr>
        <w:tab/>
        <w:t>وتحيط اللجنة علماً بادعاء صاحب البلاغ أن سلطات الدولة الطرف أو محاكمها لم تبرر فرض غرامة إدارية عليه بسبب مشاركته في تجمع سلمي وإن كان غير مرخص فيه. وتحيط علماً أيضاً بدفع الدولة الطرف بأن القيد فُرض على صاحب البلاغ وفقاً لمدونة المخالفات الإدارية وأحكام قانون تنظيم التجمعات والاجتماعات والمسيرات والمواكب والاعتصامات والمظاهرات السلمية</w:t>
      </w:r>
      <w:r>
        <w:rPr>
          <w:rtl/>
        </w:rPr>
        <w:t xml:space="preserve"> وتسييرها</w:t>
      </w:r>
      <w:r w:rsidRPr="00726680">
        <w:rPr>
          <w:rtl/>
        </w:rPr>
        <w:t>. وتحيط اللجنة علماً، إضافة إلى ذلك، بحجة الدولة الطرف التي تفيد بأن الهدف من شرط تقديم الطلب هو حماية النظام العام، وكذلك حقوق الآخرين وحرياتهم. وتحيط اللجنة علماً أيضاً بادعاء صاحب البلاغ أن فرض القيود قد يكون قانونياً بم</w:t>
      </w:r>
      <w:r>
        <w:rPr>
          <w:rtl/>
        </w:rPr>
        <w:t>قتضى</w:t>
      </w:r>
      <w:r w:rsidRPr="00726680">
        <w:rPr>
          <w:rtl/>
        </w:rPr>
        <w:t xml:space="preserve"> القانون الوطني، لكن القبض عليه وإدانته لم يكونا ضروريين في مجتمع ديمقراطي من أجل تحقيق الأهداف المشروعة التي احتجت بها الدولة الطرف. ويدفع صاحب البلاغ بأن الاحتجاج، ردّاً على قضية هامة تتمثل في تخفيض قيمة عملة كازاخستان الوطنية بنسبة </w:t>
      </w:r>
      <w:r w:rsidRPr="00222C20">
        <w:rPr>
          <w:rtl/>
        </w:rPr>
        <w:t>30</w:t>
      </w:r>
      <w:r w:rsidRPr="00726680">
        <w:rPr>
          <w:rtl/>
        </w:rPr>
        <w:t xml:space="preserve"> في المائة، كان سلمياً ولم يكن فيه ضرر أو تهديد لأي شخص أو أي شيء.</w:t>
      </w:r>
    </w:p>
    <w:p w14:paraId="016F0BDC" w14:textId="685395C0" w:rsidR="000718A2" w:rsidRPr="0089551E" w:rsidRDefault="000718A2" w:rsidP="000718A2">
      <w:pPr>
        <w:pStyle w:val="SingleTxtGA"/>
        <w:rPr>
          <w:lang w:eastAsia="zh-TW" w:bidi="en-GB"/>
        </w:rPr>
      </w:pPr>
      <w:r w:rsidRPr="00222C20">
        <w:rPr>
          <w:rtl/>
        </w:rPr>
        <w:t>8</w:t>
      </w:r>
      <w:r>
        <w:rPr>
          <w:rFonts w:ascii="Traditional Arabic"/>
          <w:rtl/>
        </w:rPr>
        <w:t>-</w:t>
      </w:r>
      <w:r w:rsidRPr="00222C20">
        <w:rPr>
          <w:rtl/>
        </w:rPr>
        <w:t>6</w:t>
      </w:r>
      <w:r w:rsidRPr="00726680">
        <w:rPr>
          <w:rtl/>
        </w:rPr>
        <w:tab/>
        <w:t>وتلاحظ اللجنة أن الدولة الطرف استندت إلى أحكام قانون الأحداث العامة الذي يشترط تقديم طلب قبل عقد الحدث بعشرة أيام والحصول على ترخيص من السلطات التنفيذية المحلية</w:t>
      </w:r>
      <w:r>
        <w:rPr>
          <w:rtl/>
        </w:rPr>
        <w:t>؛</w:t>
      </w:r>
      <w:r w:rsidRPr="00726680">
        <w:rPr>
          <w:rtl/>
        </w:rPr>
        <w:t xml:space="preserve"> وكلا الشرطين يفرضان قيوداً على الحق في التجمع السلمي. وتذكّر اللجنة بأن حرية التجمع حق وليست امتيازاً. ويقتضي امتثال العهد أن تستوفي القيود المفروضة على هذا الحق المعايير الواردة في الجملة الثانية من المادة </w:t>
      </w:r>
      <w:r w:rsidRPr="00222C20">
        <w:rPr>
          <w:rtl/>
        </w:rPr>
        <w:t>21</w:t>
      </w:r>
      <w:r w:rsidRPr="00726680">
        <w:rPr>
          <w:rtl/>
        </w:rPr>
        <w:t xml:space="preserve"> من العهد، حتى إن كانت القوانين الوطنية تجيز هذه القيود. وتحيط اللجنة علماً بملاحظة الدولة الطرف ومؤداها أن إلقاء القبض على صاحب البلاغ كان ضرورياً لحماية النظام العام، لأن المشاركين في التجمع أزعجوا الناس وسير عمل النقل العام. وتلاحظ في هذا الصدد أن القيود المفروضة لحماية "حقوق الآخرين وحرياتهم" قد ترتبط بحماية الحقوق التي يكفلها العهد أو حقوق الإنسان الأخرى المكفولة للأشخاص غير المشاركين في التجمع. وتشكل التجمعات، في الوقت نفسه، استخداماً مشروعاً للأماكن العامة وغير العامة</w:t>
      </w:r>
      <w:r>
        <w:rPr>
          <w:rtl/>
        </w:rPr>
        <w:t>،</w:t>
      </w:r>
      <w:r w:rsidRPr="00726680">
        <w:rPr>
          <w:rtl/>
        </w:rPr>
        <w:t xml:space="preserve"> ولأنها قد تتسبب بطبيعتها في اضطرابات معينة للحياة العادية، فإنه يتعين مراعاة هذه الاضطرابات ما لم تفرض عبئاً غير متناسب، إذ سيتعين على السلطات حينها أن تكون قادرة على تقديم مبررات مفصلة لأي قيود</w:t>
      </w:r>
      <w:r w:rsidR="00222C20">
        <w:rPr>
          <w:rStyle w:val="FootnoteReference"/>
          <w:sz w:val="30"/>
          <w:rtl/>
        </w:rPr>
        <w:t>(</w:t>
      </w:r>
      <w:r w:rsidR="00222C20" w:rsidRPr="00726680">
        <w:rPr>
          <w:rStyle w:val="FootnoteReference"/>
          <w:sz w:val="30"/>
          <w:rtl/>
        </w:rPr>
        <w:footnoteReference w:id="22"/>
      </w:r>
      <w:r w:rsidR="00222C20">
        <w:rPr>
          <w:rStyle w:val="FootnoteReference"/>
          <w:sz w:val="30"/>
          <w:rtl/>
        </w:rPr>
        <w:t>)</w:t>
      </w:r>
      <w:r w:rsidRPr="00726680">
        <w:rPr>
          <w:rtl/>
        </w:rPr>
        <w:t>. وتلاحظ اللجنة أيضاً أن مصطلح "النظام العام" يشير إلى مجموع القواعد التي تكفل حسن سير المجتمع، أو مجموعة المبادئ الأساسية التي يقوم عليها المجتمع، وهو ما يعني أيضاً احترام حقوق الإنسان، بما فيها الحق في التجمع السلمي</w:t>
      </w:r>
      <w:r w:rsidR="00222C20">
        <w:rPr>
          <w:rStyle w:val="FootnoteReference"/>
          <w:sz w:val="30"/>
          <w:rtl/>
        </w:rPr>
        <w:t>(</w:t>
      </w:r>
      <w:r w:rsidR="00222C20" w:rsidRPr="00726680">
        <w:rPr>
          <w:rStyle w:val="FootnoteReference"/>
          <w:sz w:val="30"/>
          <w:rtl/>
        </w:rPr>
        <w:footnoteReference w:id="23"/>
      </w:r>
      <w:r w:rsidR="00222C20">
        <w:rPr>
          <w:rStyle w:val="FootnoteReference"/>
          <w:sz w:val="30"/>
          <w:rtl/>
        </w:rPr>
        <w:t>)</w:t>
      </w:r>
      <w:r w:rsidRPr="00726680">
        <w:rPr>
          <w:rtl/>
        </w:rPr>
        <w:t>. وينبغي ألا تعتمد الدول الأطراف على تعريف غامض لمصطلح "النظام العام" لتبرير فرض قيود مفرطة على الحق في التجمع السلمي</w:t>
      </w:r>
      <w:r w:rsidR="00222C20">
        <w:rPr>
          <w:rStyle w:val="FootnoteReference"/>
          <w:sz w:val="30"/>
          <w:rtl/>
        </w:rPr>
        <w:t>(</w:t>
      </w:r>
      <w:r w:rsidR="00222C20" w:rsidRPr="00726680">
        <w:rPr>
          <w:rStyle w:val="FootnoteReference"/>
          <w:sz w:val="30"/>
          <w:rtl/>
        </w:rPr>
        <w:footnoteReference w:id="24"/>
      </w:r>
      <w:r w:rsidR="00222C20">
        <w:rPr>
          <w:rStyle w:val="FootnoteReference"/>
          <w:sz w:val="30"/>
          <w:rtl/>
        </w:rPr>
        <w:t>)</w:t>
      </w:r>
      <w:r w:rsidRPr="00726680">
        <w:rPr>
          <w:rtl/>
        </w:rPr>
        <w:t>. وقد تكون التجمعات السلمية أحياناً مخلّة بالنظام بطبيعتها أو قصداً وتتطلب التحلي بدرجة كبيرة من التسامح. ومصطلح "النظام العام" ليس مرادفاً لـمصطلح "القانون والنظام"، وينبغي عدم استخدام حظر "الفوضى العامة" في القانون المحلي استخداماً غير ملائم لتقييد التجمعات السلمية.</w:t>
      </w:r>
      <w:r w:rsidR="00222C20">
        <w:rPr>
          <w:rStyle w:val="FootnoteReference"/>
          <w:sz w:val="30"/>
          <w:rtl/>
        </w:rPr>
        <w:t>(</w:t>
      </w:r>
      <w:r w:rsidR="00222C20" w:rsidRPr="00726680">
        <w:rPr>
          <w:rStyle w:val="FootnoteReference"/>
          <w:sz w:val="30"/>
          <w:rtl/>
        </w:rPr>
        <w:footnoteReference w:id="25"/>
      </w:r>
      <w:r w:rsidR="00222C20">
        <w:rPr>
          <w:rStyle w:val="FootnoteReference"/>
          <w:sz w:val="30"/>
          <w:rtl/>
        </w:rPr>
        <w:t>)</w:t>
      </w:r>
      <w:r w:rsidRPr="00726680">
        <w:rPr>
          <w:rtl/>
        </w:rPr>
        <w:t xml:space="preserve"> وتلاحظ اللجنة </w:t>
      </w:r>
      <w:r w:rsidR="00FF1E5B">
        <w:rPr>
          <w:rtl/>
        </w:rPr>
        <w:t>أيضاً</w:t>
      </w:r>
      <w:r w:rsidRPr="00726680">
        <w:rPr>
          <w:rtl/>
        </w:rPr>
        <w:t xml:space="preserve"> أن الدولة الطرف لم تقدم أي توضيح لطبيعة الاضطرابات التي تسبب فيها التجمع المعني، ولا هي قدمت أي معلومات عن كيفية تجاوزها عتبة الاضطراب المسموح به.</w:t>
      </w:r>
    </w:p>
    <w:p w14:paraId="1C26ABD3" w14:textId="3E2CEA7A" w:rsidR="000718A2" w:rsidRPr="00F2088C" w:rsidRDefault="000718A2" w:rsidP="000718A2">
      <w:pPr>
        <w:pStyle w:val="SingleTxtGA"/>
        <w:rPr>
          <w:color w:val="000000"/>
          <w:spacing w:val="-3"/>
          <w:w w:val="105"/>
          <w:lang w:val="en-US" w:eastAsia="zh-TW" w:bidi="en-GB"/>
        </w:rPr>
      </w:pPr>
      <w:r w:rsidRPr="00222C20">
        <w:rPr>
          <w:rtl/>
        </w:rPr>
        <w:t>8</w:t>
      </w:r>
      <w:r>
        <w:rPr>
          <w:rFonts w:ascii="Traditional Arabic"/>
          <w:rtl/>
        </w:rPr>
        <w:t>-</w:t>
      </w:r>
      <w:r w:rsidRPr="00222C20">
        <w:rPr>
          <w:rtl/>
        </w:rPr>
        <w:t>7</w:t>
      </w:r>
      <w:r w:rsidRPr="00726680">
        <w:rPr>
          <w:rtl/>
        </w:rPr>
        <w:tab/>
        <w:t xml:space="preserve">وتذكّر اللجنة بأن المادة </w:t>
      </w:r>
      <w:r w:rsidRPr="00222C20">
        <w:rPr>
          <w:rtl/>
        </w:rPr>
        <w:t>21</w:t>
      </w:r>
      <w:r w:rsidRPr="00726680">
        <w:rPr>
          <w:rtl/>
        </w:rPr>
        <w:t xml:space="preserve"> من العهد تنص على وجوب أن تشكل القيود تدابير "ضرورية في مجتمع ديمقراطي". ولذلك يجب أن تكون القيود ضرورية ومتناسبة في سياق مجتمع قائم على الديمقراطية </w:t>
      </w:r>
      <w:r w:rsidRPr="00726680">
        <w:rPr>
          <w:rtl/>
        </w:rPr>
        <w:lastRenderedPageBreak/>
        <w:t xml:space="preserve">وسيادة القانون والتعددية السياسية وحقوق الإنسان، </w:t>
      </w:r>
      <w:r>
        <w:rPr>
          <w:rtl/>
        </w:rPr>
        <w:t>لا مجرد</w:t>
      </w:r>
      <w:r w:rsidRPr="00726680">
        <w:rPr>
          <w:rtl/>
        </w:rPr>
        <w:t xml:space="preserve"> أن تكون معقولة أو مناسبة</w:t>
      </w:r>
      <w:r w:rsidR="00222C20">
        <w:rPr>
          <w:rStyle w:val="FootnoteReference"/>
          <w:sz w:val="30"/>
          <w:rtl/>
        </w:rPr>
        <w:t>(</w:t>
      </w:r>
      <w:r w:rsidR="00222C20" w:rsidRPr="00726680">
        <w:rPr>
          <w:rStyle w:val="FootnoteReference"/>
          <w:sz w:val="30"/>
          <w:rtl/>
        </w:rPr>
        <w:footnoteReference w:id="26"/>
      </w:r>
      <w:r w:rsidR="00222C20">
        <w:rPr>
          <w:rStyle w:val="FootnoteReference"/>
          <w:sz w:val="30"/>
          <w:rtl/>
        </w:rPr>
        <w:t>)</w:t>
      </w:r>
      <w:r w:rsidRPr="00726680">
        <w:rPr>
          <w:rtl/>
        </w:rPr>
        <w:t xml:space="preserve">. ويجب أن تشكل هذه القيود استجابات مناسبة لضرورة اجتماعية ملحة تتصل بأحد الأسباب التي تبيحها المادة </w:t>
      </w:r>
      <w:r w:rsidRPr="00222C20">
        <w:rPr>
          <w:rtl/>
        </w:rPr>
        <w:t>21</w:t>
      </w:r>
      <w:r w:rsidRPr="00726680">
        <w:rPr>
          <w:rFonts w:ascii="Traditional Arabic"/>
          <w:rtl/>
        </w:rPr>
        <w:t>.</w:t>
      </w:r>
      <w:r w:rsidRPr="00726680">
        <w:rPr>
          <w:rtl/>
        </w:rPr>
        <w:t xml:space="preserve"> ويجب </w:t>
      </w:r>
      <w:r w:rsidR="00FF1E5B">
        <w:rPr>
          <w:rtl/>
        </w:rPr>
        <w:t>أيضاً</w:t>
      </w:r>
      <w:r w:rsidRPr="00726680">
        <w:rPr>
          <w:rtl/>
        </w:rPr>
        <w:t xml:space="preserve"> أن تكون الأقل تدخلاً من بين التدابير التي قد تؤدي وظيفة الحماية ذات الصلة</w:t>
      </w:r>
      <w:r w:rsidR="00222C20">
        <w:rPr>
          <w:rStyle w:val="FootnoteReference"/>
          <w:sz w:val="30"/>
          <w:rtl/>
        </w:rPr>
        <w:t>(</w:t>
      </w:r>
      <w:r w:rsidR="00222C20" w:rsidRPr="00726680">
        <w:rPr>
          <w:rStyle w:val="FootnoteReference"/>
          <w:sz w:val="30"/>
          <w:rtl/>
        </w:rPr>
        <w:footnoteReference w:id="27"/>
      </w:r>
      <w:r w:rsidR="00222C20">
        <w:rPr>
          <w:rStyle w:val="FootnoteReference"/>
          <w:sz w:val="30"/>
          <w:rtl/>
        </w:rPr>
        <w:t>)</w:t>
      </w:r>
      <w:r w:rsidRPr="00726680">
        <w:rPr>
          <w:rtl/>
        </w:rPr>
        <w:t>. و</w:t>
      </w:r>
      <w:r>
        <w:rPr>
          <w:rtl/>
        </w:rPr>
        <w:t>إضافة إ</w:t>
      </w:r>
      <w:r w:rsidRPr="00726680">
        <w:rPr>
          <w:rtl/>
        </w:rPr>
        <w:t>لى ذلك، يجب أن تكون متناسبة، وهو ما يتطلب تحديد قيمتها من خلال الموازنة بين طبيعة التدخل وتأثيره الضار على ممارسة الحق، من جهة، والفائدة المترتبة على أحد أسباب التدخل، من جهة أخرى</w:t>
      </w:r>
      <w:r w:rsidR="00222C20">
        <w:rPr>
          <w:rStyle w:val="FootnoteReference"/>
          <w:sz w:val="30"/>
          <w:rtl/>
        </w:rPr>
        <w:t>(</w:t>
      </w:r>
      <w:r w:rsidR="00222C20" w:rsidRPr="00726680">
        <w:rPr>
          <w:rStyle w:val="FootnoteReference"/>
          <w:sz w:val="30"/>
          <w:rtl/>
        </w:rPr>
        <w:footnoteReference w:id="28"/>
      </w:r>
      <w:r w:rsidR="00222C20">
        <w:rPr>
          <w:rStyle w:val="FootnoteReference"/>
          <w:sz w:val="30"/>
          <w:rtl/>
        </w:rPr>
        <w:t>)</w:t>
      </w:r>
      <w:r w:rsidRPr="00726680">
        <w:rPr>
          <w:rtl/>
        </w:rPr>
        <w:t xml:space="preserve">. وفي حال رجحان الضرر على الفائدة، يكون التقييد غير متناسب، ومن ثم غير مباح. وتلاحظ اللجنة </w:t>
      </w:r>
      <w:r w:rsidR="00FF1E5B">
        <w:rPr>
          <w:rtl/>
        </w:rPr>
        <w:t>أيضاً</w:t>
      </w:r>
      <w:r w:rsidRPr="00726680">
        <w:rPr>
          <w:rtl/>
        </w:rPr>
        <w:t xml:space="preserve"> أن الدولة الطرف لم تثبت أن فرض غرامة إدارية على صاحب البلاغ بسبب مشاركته في احتجاج عام سلمي ضروريٌ في مجتمع ديمقراطي لتحقيق غرض مشروع أو يتناسب مع هذا الهدف وفقاً للشروط الصارمة الواردة في الجملة الثانية من المادة </w:t>
      </w:r>
      <w:r w:rsidRPr="00222C20">
        <w:rPr>
          <w:rtl/>
        </w:rPr>
        <w:t>21</w:t>
      </w:r>
      <w:r w:rsidRPr="00726680">
        <w:rPr>
          <w:rtl/>
        </w:rPr>
        <w:t xml:space="preserve"> من العهد. وتذكّر اللجنة بأن أي قيود تفرض على المشاركة في التجمعات السلمية ينبغي أن تستند إلى تقييم متمايز أو فردي لسلوك المشاركين في التجمع المعني. وي</w:t>
      </w:r>
      <w:r>
        <w:rPr>
          <w:rtl/>
        </w:rPr>
        <w:t>ُ</w:t>
      </w:r>
      <w:r w:rsidRPr="00726680">
        <w:rPr>
          <w:rtl/>
        </w:rPr>
        <w:t>فترض أن من غير المتناسب فرض قيود شاملة على التجمعات السلمية</w:t>
      </w:r>
      <w:r w:rsidR="00222C20">
        <w:rPr>
          <w:rStyle w:val="FootnoteReference"/>
          <w:sz w:val="30"/>
          <w:rtl/>
        </w:rPr>
        <w:t>(</w:t>
      </w:r>
      <w:r w:rsidR="00222C20" w:rsidRPr="00726680">
        <w:rPr>
          <w:rStyle w:val="FootnoteReference"/>
          <w:sz w:val="30"/>
          <w:rtl/>
        </w:rPr>
        <w:footnoteReference w:id="29"/>
      </w:r>
      <w:r w:rsidR="00222C20">
        <w:rPr>
          <w:rStyle w:val="FootnoteReference"/>
          <w:sz w:val="30"/>
          <w:rtl/>
        </w:rPr>
        <w:t>)</w:t>
      </w:r>
      <w:r w:rsidRPr="00726680">
        <w:rPr>
          <w:rtl/>
        </w:rPr>
        <w:t xml:space="preserve">. ولهذه الأسباب تخلص اللجنة إلى أن الدولة الطرف لم توفَّق في تبرير تقييد حق صاحب البلاغ. وبذلك تكون قد انتهكت المادة </w:t>
      </w:r>
      <w:r w:rsidRPr="00222C20">
        <w:rPr>
          <w:rtl/>
        </w:rPr>
        <w:t>21</w:t>
      </w:r>
      <w:r w:rsidRPr="00726680">
        <w:rPr>
          <w:rtl/>
        </w:rPr>
        <w:t xml:space="preserve"> من العهد.</w:t>
      </w:r>
    </w:p>
    <w:p w14:paraId="129A7A46" w14:textId="23C4B275" w:rsidR="000718A2" w:rsidRPr="00726680" w:rsidRDefault="000718A2" w:rsidP="000718A2">
      <w:pPr>
        <w:pStyle w:val="SingleTxtGA"/>
        <w:rPr>
          <w:lang w:val="ar-SA" w:eastAsia="zh-TW" w:bidi="en-GB"/>
        </w:rPr>
      </w:pPr>
      <w:r w:rsidRPr="00222C20">
        <w:rPr>
          <w:rtl/>
        </w:rPr>
        <w:t>8</w:t>
      </w:r>
      <w:r>
        <w:rPr>
          <w:rFonts w:ascii="Traditional Arabic"/>
          <w:rtl/>
        </w:rPr>
        <w:t>-</w:t>
      </w:r>
      <w:r w:rsidRPr="00222C20">
        <w:rPr>
          <w:rtl/>
        </w:rPr>
        <w:t>8</w:t>
      </w:r>
      <w:r w:rsidRPr="00726680">
        <w:rPr>
          <w:rtl/>
        </w:rPr>
        <w:tab/>
        <w:t xml:space="preserve">وتحيط اللجنة علماً </w:t>
      </w:r>
      <w:r w:rsidR="00FF1E5B">
        <w:rPr>
          <w:rtl/>
        </w:rPr>
        <w:t>أيضاً</w:t>
      </w:r>
      <w:r w:rsidRPr="00726680">
        <w:rPr>
          <w:rtl/>
        </w:rPr>
        <w:t xml:space="preserve"> بادعاء صاحب البلاغ أن حقه في حرية التعبير بموجب المادة </w:t>
      </w:r>
      <w:r w:rsidRPr="00222C20">
        <w:rPr>
          <w:rtl/>
        </w:rPr>
        <w:t>19</w:t>
      </w:r>
      <w:r w:rsidRPr="00726680">
        <w:rPr>
          <w:rtl/>
        </w:rPr>
        <w:t xml:space="preserve"> من العهد قد انتهك. لذا، يجب أن تقرر ما إذا كانت القيود التي فرضت على صاحب البلاغ </w:t>
      </w:r>
      <w:r>
        <w:rPr>
          <w:rtl/>
        </w:rPr>
        <w:t>جائزة</w:t>
      </w:r>
      <w:r w:rsidRPr="00726680">
        <w:rPr>
          <w:rtl/>
        </w:rPr>
        <w:t xml:space="preserve"> بسبب قيد واحد من القيود التي تبيحها المادة </w:t>
      </w:r>
      <w:r w:rsidRPr="00222C20">
        <w:rPr>
          <w:rtl/>
        </w:rPr>
        <w:t>19</w:t>
      </w:r>
      <w:r w:rsidRPr="00726680">
        <w:rPr>
          <w:rFonts w:ascii="Traditional Arabic"/>
          <w:rtl/>
        </w:rPr>
        <w:t>(</w:t>
      </w:r>
      <w:r w:rsidRPr="00222C20">
        <w:rPr>
          <w:rtl/>
        </w:rPr>
        <w:t>3</w:t>
      </w:r>
      <w:r w:rsidRPr="00726680">
        <w:rPr>
          <w:rFonts w:ascii="Traditional Arabic"/>
          <w:rtl/>
        </w:rPr>
        <w:t>)</w:t>
      </w:r>
      <w:r w:rsidRPr="00726680">
        <w:rPr>
          <w:rtl/>
        </w:rPr>
        <w:t xml:space="preserve"> من العهد.</w:t>
      </w:r>
    </w:p>
    <w:p w14:paraId="4B518C62" w14:textId="1DE6BEFE" w:rsidR="000718A2" w:rsidRPr="00726680" w:rsidRDefault="000718A2" w:rsidP="000718A2">
      <w:pPr>
        <w:pStyle w:val="SingleTxtGA"/>
        <w:rPr>
          <w:lang w:val="ar-SA" w:eastAsia="zh-TW" w:bidi="en-GB"/>
        </w:rPr>
      </w:pPr>
      <w:r w:rsidRPr="00222C20">
        <w:rPr>
          <w:rtl/>
        </w:rPr>
        <w:t>8</w:t>
      </w:r>
      <w:r>
        <w:rPr>
          <w:rFonts w:ascii="Traditional Arabic"/>
          <w:rtl/>
        </w:rPr>
        <w:t>-</w:t>
      </w:r>
      <w:r w:rsidRPr="00222C20">
        <w:rPr>
          <w:rtl/>
        </w:rPr>
        <w:t>9</w:t>
      </w:r>
      <w:r w:rsidRPr="00726680">
        <w:rPr>
          <w:rtl/>
        </w:rPr>
        <w:tab/>
        <w:t>وتلاحظ اللجنة أن فرض عقوبة على صاحب البلاغ بسبب تعبيره عن آرائه عن طريق المشاركة في احتجاج عام هو تدخّل في حقه في نقل مختلف ضروب المعلومات والأفكار الذي تحميه المادة</w:t>
      </w:r>
      <w:r w:rsidR="007B49CF">
        <w:rPr>
          <w:rFonts w:hint="cs"/>
          <w:rtl/>
        </w:rPr>
        <w:t> </w:t>
      </w:r>
      <w:r w:rsidRPr="00222C20">
        <w:rPr>
          <w:rtl/>
        </w:rPr>
        <w:t>19</w:t>
      </w:r>
      <w:r w:rsidRPr="00726680">
        <w:rPr>
          <w:rFonts w:ascii="Traditional Arabic"/>
          <w:rtl/>
        </w:rPr>
        <w:t>(</w:t>
      </w:r>
      <w:r w:rsidRPr="00222C20">
        <w:rPr>
          <w:rtl/>
        </w:rPr>
        <w:t>2</w:t>
      </w:r>
      <w:r w:rsidRPr="00726680">
        <w:rPr>
          <w:rFonts w:ascii="Traditional Arabic"/>
          <w:rtl/>
        </w:rPr>
        <w:t>)</w:t>
      </w:r>
      <w:r w:rsidRPr="00726680">
        <w:rPr>
          <w:rtl/>
        </w:rPr>
        <w:t xml:space="preserve"> من العهد. وتذكّر بأن المادة </w:t>
      </w:r>
      <w:r w:rsidRPr="00222C20">
        <w:rPr>
          <w:rtl/>
        </w:rPr>
        <w:t>19</w:t>
      </w:r>
      <w:r w:rsidRPr="00726680">
        <w:rPr>
          <w:rFonts w:ascii="Traditional Arabic"/>
          <w:rtl/>
        </w:rPr>
        <w:t>(</w:t>
      </w:r>
      <w:r w:rsidRPr="00222C20">
        <w:rPr>
          <w:rtl/>
        </w:rPr>
        <w:t>3</w:t>
      </w:r>
      <w:r w:rsidRPr="00726680">
        <w:rPr>
          <w:rFonts w:ascii="Traditional Arabic"/>
          <w:rtl/>
        </w:rPr>
        <w:t>)</w:t>
      </w:r>
      <w:r w:rsidRPr="00726680">
        <w:rPr>
          <w:rtl/>
        </w:rPr>
        <w:t xml:space="preserve"> من العهد تجيز فرض بعض القيود شريطة أن تقتصر على ما ينص عليه القانون، وتكون ضرورية لاحترام حقوق الآخرين أو سمعتهم ولحماية الأمن الوطني أو النظام العام أو الصحة العامة أو الآداب العامة. وذكرت اللجنة في تعليقها العام رقم </w:t>
      </w:r>
      <w:r w:rsidRPr="00222C20">
        <w:rPr>
          <w:rtl/>
        </w:rPr>
        <w:t>34</w:t>
      </w:r>
      <w:r w:rsidRPr="00726680">
        <w:rPr>
          <w:rFonts w:ascii="Traditional Arabic"/>
          <w:rtl/>
        </w:rPr>
        <w:t>(</w:t>
      </w:r>
      <w:r w:rsidRPr="00222C20">
        <w:rPr>
          <w:rtl/>
        </w:rPr>
        <w:t>2011</w:t>
      </w:r>
      <w:r w:rsidRPr="00726680">
        <w:rPr>
          <w:rFonts w:ascii="Traditional Arabic"/>
          <w:rtl/>
        </w:rPr>
        <w:t>)</w:t>
      </w:r>
      <w:r w:rsidRPr="00726680">
        <w:rPr>
          <w:rtl/>
        </w:rPr>
        <w:t xml:space="preserve"> بشأن حرية الرأي وحرية التعبير أن هاتين الحريتين شرطان لا غنى عنهما لتحقيق النمو الكامل للفرد وأنهما عنصران أساسيان من عناصر أي مجتمع. و</w:t>
      </w:r>
      <w:r>
        <w:rPr>
          <w:rtl/>
        </w:rPr>
        <w:t xml:space="preserve">ذكرت </w:t>
      </w:r>
      <w:r w:rsidR="00FF1E5B">
        <w:rPr>
          <w:rtl/>
        </w:rPr>
        <w:t>أيضاً</w:t>
      </w:r>
      <w:r>
        <w:rPr>
          <w:rtl/>
        </w:rPr>
        <w:t xml:space="preserve"> أنهما </w:t>
      </w:r>
      <w:r w:rsidRPr="00726680">
        <w:rPr>
          <w:rtl/>
        </w:rPr>
        <w:t xml:space="preserve">تشكلان حجر الأساس لكل مجتمع تسوده الحرية والديمقراطية. ويجب أن يتوافق أي تقييد لهما مع معياريْ الضرورة والتناسب الصارمين. ولا يجوز تطبيق القيود إلا للأغراض التي وُضعت لأجلها، ويجب أن تتعلق مباشرة بالغرض المحدد الذي تأسست عليه. وتُذكّر اللجنة بأن الدولة الطرف هي التي يجب أن تُثبت وجه الضرورة والتناسب في القيود المفروضة على حقوق صاحب البلاغ المكفولة بموجب المادة </w:t>
      </w:r>
      <w:r w:rsidRPr="00222C20">
        <w:rPr>
          <w:rtl/>
        </w:rPr>
        <w:t>19</w:t>
      </w:r>
      <w:r w:rsidRPr="00726680">
        <w:rPr>
          <w:rtl/>
        </w:rPr>
        <w:t xml:space="preserve"> من العهد</w:t>
      </w:r>
      <w:r w:rsidR="00222C20">
        <w:rPr>
          <w:rStyle w:val="FootnoteReference"/>
          <w:sz w:val="30"/>
          <w:rtl/>
        </w:rPr>
        <w:t>(</w:t>
      </w:r>
      <w:r w:rsidR="00222C20" w:rsidRPr="00726680">
        <w:rPr>
          <w:rStyle w:val="FootnoteReference"/>
          <w:sz w:val="30"/>
          <w:rtl/>
        </w:rPr>
        <w:footnoteReference w:id="30"/>
      </w:r>
      <w:r w:rsidR="00222C20">
        <w:rPr>
          <w:rStyle w:val="FootnoteReference"/>
          <w:sz w:val="30"/>
          <w:rtl/>
        </w:rPr>
        <w:t>)</w:t>
      </w:r>
      <w:r w:rsidRPr="00726680">
        <w:rPr>
          <w:rtl/>
        </w:rPr>
        <w:t>.</w:t>
      </w:r>
    </w:p>
    <w:p w14:paraId="12836F99" w14:textId="2CD4D975" w:rsidR="000718A2" w:rsidRPr="001504F1" w:rsidRDefault="000718A2" w:rsidP="000718A2">
      <w:pPr>
        <w:pStyle w:val="SingleTxtGA"/>
        <w:rPr>
          <w:lang w:eastAsia="zh-TW" w:bidi="en-GB"/>
        </w:rPr>
      </w:pPr>
      <w:r w:rsidRPr="00222C20">
        <w:rPr>
          <w:rtl/>
        </w:rPr>
        <w:t>8</w:t>
      </w:r>
      <w:r>
        <w:rPr>
          <w:rFonts w:ascii="Traditional Arabic"/>
          <w:rtl/>
        </w:rPr>
        <w:t>-</w:t>
      </w:r>
      <w:r w:rsidRPr="00222C20">
        <w:rPr>
          <w:rtl/>
        </w:rPr>
        <w:t>10</w:t>
      </w:r>
      <w:r w:rsidRPr="00726680">
        <w:rPr>
          <w:rtl/>
        </w:rPr>
        <w:tab/>
        <w:t>وفيما يتعلق بتقييد حرية صاحب البلاغ في التعبير، تذكّر اللجنة بأن الخطاب السياسي يحظى بكثير من التيسير والحماية بوصفه شكلا</w:t>
      </w:r>
      <w:r w:rsidR="001B3BAE">
        <w:rPr>
          <w:rFonts w:hint="cs"/>
          <w:rtl/>
        </w:rPr>
        <w:t>ً</w:t>
      </w:r>
      <w:r w:rsidRPr="00726680">
        <w:rPr>
          <w:rtl/>
        </w:rPr>
        <w:t xml:space="preserve"> من أشكال التعبير</w:t>
      </w:r>
      <w:r w:rsidR="00222C20">
        <w:rPr>
          <w:rStyle w:val="FootnoteReference"/>
          <w:sz w:val="30"/>
          <w:rtl/>
        </w:rPr>
        <w:t>(</w:t>
      </w:r>
      <w:r w:rsidR="00222C20" w:rsidRPr="00726680">
        <w:rPr>
          <w:rStyle w:val="FootnoteReference"/>
          <w:sz w:val="30"/>
          <w:rtl/>
        </w:rPr>
        <w:footnoteReference w:id="31"/>
      </w:r>
      <w:r w:rsidR="00222C20">
        <w:rPr>
          <w:rStyle w:val="FootnoteReference"/>
          <w:sz w:val="30"/>
          <w:rtl/>
        </w:rPr>
        <w:t>)</w:t>
      </w:r>
      <w:r w:rsidRPr="00726680">
        <w:rPr>
          <w:rtl/>
        </w:rPr>
        <w:t xml:space="preserve">. وتحيط علماً بادعاء صاحب البلاغ أن هدف التجمع كان احتجاجاً على تخفيض الحكومة قيمة العملة الوطنية بنسبة </w:t>
      </w:r>
      <w:r w:rsidRPr="00222C20">
        <w:rPr>
          <w:rtl/>
        </w:rPr>
        <w:t>30</w:t>
      </w:r>
      <w:r w:rsidRPr="00726680">
        <w:rPr>
          <w:rtl/>
        </w:rPr>
        <w:t xml:space="preserve"> في المائة. ونظراً لعدم </w:t>
      </w:r>
      <w:r w:rsidRPr="00726680">
        <w:rPr>
          <w:rtl/>
        </w:rPr>
        <w:lastRenderedPageBreak/>
        <w:t xml:space="preserve">ورود أي معلومات وجيهة من الدولة الطرف توضح كيفية تَوافُق التقييد مع أحكام المادة </w:t>
      </w:r>
      <w:r w:rsidRPr="00222C20">
        <w:rPr>
          <w:rtl/>
        </w:rPr>
        <w:t>19</w:t>
      </w:r>
      <w:r w:rsidRPr="00726680">
        <w:rPr>
          <w:rFonts w:ascii="Traditional Arabic"/>
          <w:rtl/>
        </w:rPr>
        <w:t>(</w:t>
      </w:r>
      <w:r w:rsidRPr="00222C20">
        <w:rPr>
          <w:rtl/>
        </w:rPr>
        <w:t>3</w:t>
      </w:r>
      <w:r w:rsidRPr="00726680">
        <w:rPr>
          <w:rFonts w:ascii="Traditional Arabic"/>
          <w:rtl/>
        </w:rPr>
        <w:t>)</w:t>
      </w:r>
      <w:r w:rsidRPr="00726680">
        <w:rPr>
          <w:rtl/>
        </w:rPr>
        <w:t xml:space="preserve"> من العهد، تخلص اللجنة إلى حدوث انتهاك لحقوق صاحب البلاغ بموجب المادة </w:t>
      </w:r>
      <w:r w:rsidRPr="00222C20">
        <w:rPr>
          <w:rtl/>
        </w:rPr>
        <w:t>19</w:t>
      </w:r>
      <w:r w:rsidRPr="00726680">
        <w:rPr>
          <w:rFonts w:ascii="Traditional Arabic"/>
          <w:rtl/>
        </w:rPr>
        <w:t>(</w:t>
      </w:r>
      <w:r w:rsidRPr="00222C20">
        <w:rPr>
          <w:rtl/>
        </w:rPr>
        <w:t>2</w:t>
      </w:r>
      <w:r w:rsidRPr="00726680">
        <w:rPr>
          <w:rFonts w:ascii="Traditional Arabic"/>
          <w:rtl/>
        </w:rPr>
        <w:t>)</w:t>
      </w:r>
      <w:r w:rsidRPr="00726680">
        <w:rPr>
          <w:rtl/>
        </w:rPr>
        <w:t xml:space="preserve"> من العهد.</w:t>
      </w:r>
    </w:p>
    <w:p w14:paraId="575CF03C" w14:textId="77777777" w:rsidR="000718A2" w:rsidRPr="00F1756C" w:rsidRDefault="000718A2" w:rsidP="000718A2">
      <w:pPr>
        <w:pStyle w:val="SingleTxtGA"/>
        <w:rPr>
          <w:lang w:eastAsia="zh-TW" w:bidi="en-GB"/>
        </w:rPr>
      </w:pPr>
      <w:r w:rsidRPr="00222C20">
        <w:rPr>
          <w:rtl/>
        </w:rPr>
        <w:t>9</w:t>
      </w:r>
      <w:r w:rsidRPr="00726680">
        <w:rPr>
          <w:rFonts w:ascii="Traditional Arabic"/>
          <w:rtl/>
        </w:rPr>
        <w:t>-</w:t>
      </w:r>
      <w:r w:rsidRPr="00726680">
        <w:rPr>
          <w:rtl/>
        </w:rPr>
        <w:tab/>
        <w:t>واللجنة، إذ تتصرف بم</w:t>
      </w:r>
      <w:r>
        <w:rPr>
          <w:rtl/>
        </w:rPr>
        <w:t>قتضى</w:t>
      </w:r>
      <w:r w:rsidRPr="00726680">
        <w:rPr>
          <w:rtl/>
        </w:rPr>
        <w:t xml:space="preserve"> المادة </w:t>
      </w:r>
      <w:r w:rsidRPr="00222C20">
        <w:rPr>
          <w:rtl/>
        </w:rPr>
        <w:t>5</w:t>
      </w:r>
      <w:r w:rsidRPr="00726680">
        <w:rPr>
          <w:rFonts w:ascii="Traditional Arabic"/>
          <w:rtl/>
        </w:rPr>
        <w:t>(</w:t>
      </w:r>
      <w:r w:rsidRPr="00222C20">
        <w:rPr>
          <w:rtl/>
        </w:rPr>
        <w:t>4</w:t>
      </w:r>
      <w:r w:rsidRPr="00726680">
        <w:rPr>
          <w:rFonts w:ascii="Traditional Arabic"/>
          <w:rtl/>
        </w:rPr>
        <w:t>)</w:t>
      </w:r>
      <w:r w:rsidRPr="00726680">
        <w:rPr>
          <w:rtl/>
        </w:rPr>
        <w:t xml:space="preserve"> من البروتوكول الاختياري، ترى أن الوقائع المعروضة عليها تكشف عن انتهاك الدولة الطرف المادتين </w:t>
      </w:r>
      <w:r w:rsidRPr="00222C20">
        <w:rPr>
          <w:rtl/>
        </w:rPr>
        <w:t>19</w:t>
      </w:r>
      <w:r w:rsidRPr="00726680">
        <w:rPr>
          <w:rtl/>
        </w:rPr>
        <w:t xml:space="preserve"> و</w:t>
      </w:r>
      <w:r w:rsidRPr="00222C20">
        <w:rPr>
          <w:rtl/>
        </w:rPr>
        <w:t>21</w:t>
      </w:r>
      <w:r w:rsidRPr="00726680">
        <w:rPr>
          <w:rtl/>
        </w:rPr>
        <w:t xml:space="preserve"> من العهد.</w:t>
      </w:r>
    </w:p>
    <w:p w14:paraId="23791BB8" w14:textId="594799AB" w:rsidR="000718A2" w:rsidRPr="00726680" w:rsidRDefault="000718A2" w:rsidP="000718A2">
      <w:pPr>
        <w:pStyle w:val="SingleTxtGA"/>
        <w:rPr>
          <w:lang w:val="ar-SA" w:eastAsia="zh-TW" w:bidi="en-GB"/>
        </w:rPr>
      </w:pPr>
      <w:r w:rsidRPr="00222C20">
        <w:rPr>
          <w:rtl/>
        </w:rPr>
        <w:t>10</w:t>
      </w:r>
      <w:r w:rsidRPr="00726680">
        <w:rPr>
          <w:rFonts w:ascii="Traditional Arabic"/>
          <w:rtl/>
        </w:rPr>
        <w:t>-</w:t>
      </w:r>
      <w:r w:rsidRPr="00726680">
        <w:rPr>
          <w:rtl/>
        </w:rPr>
        <w:tab/>
        <w:t xml:space="preserve">وعملاً بأحكام المادة </w:t>
      </w:r>
      <w:r w:rsidRPr="00222C20">
        <w:rPr>
          <w:rtl/>
        </w:rPr>
        <w:t>2</w:t>
      </w:r>
      <w:r w:rsidRPr="00726680">
        <w:rPr>
          <w:rFonts w:ascii="Traditional Arabic"/>
          <w:rtl/>
        </w:rPr>
        <w:t>(</w:t>
      </w:r>
      <w:r w:rsidRPr="00222C20">
        <w:rPr>
          <w:rtl/>
        </w:rPr>
        <w:t>3</w:t>
      </w:r>
      <w:r w:rsidRPr="00726680">
        <w:rPr>
          <w:rFonts w:ascii="Traditional Arabic"/>
          <w:rtl/>
        </w:rPr>
        <w:t>)(</w:t>
      </w:r>
      <w:r w:rsidRPr="00726680">
        <w:rPr>
          <w:rtl/>
        </w:rPr>
        <w:t>أ</w:t>
      </w:r>
      <w:r w:rsidRPr="00726680">
        <w:rPr>
          <w:rFonts w:ascii="Traditional Arabic"/>
          <w:rtl/>
        </w:rPr>
        <w:t>)</w:t>
      </w:r>
      <w:r w:rsidRPr="00726680">
        <w:rPr>
          <w:rtl/>
        </w:rPr>
        <w:t xml:space="preserve"> من العهد، يقع على عاتق الدولة الطرف التزام بتوفير سبيل انتصاف فعال لصاحب البلاغ. ويقتضي منها ذلك جبر الضرر جبراً تاماً لمن انتُهِكت حقوقهم التي يكفلها العهد. وبناءً على ذلك، فإن الدولة الطرف ملزمة، في جملة أمور، باتخاذ الإجراءات المناسبة لتقديم تعويض كاف لصاحب البلاغ ورد قيمة الغرامة التي فُرضت عليه وأي تكاليف قانونية تكبدها. والدولة الطرف ملزمة </w:t>
      </w:r>
      <w:r w:rsidR="00FF1E5B">
        <w:rPr>
          <w:rtl/>
        </w:rPr>
        <w:t>أيضاً</w:t>
      </w:r>
      <w:r w:rsidRPr="00726680">
        <w:rPr>
          <w:rtl/>
        </w:rPr>
        <w:t xml:space="preserve"> باتخاذ جميع الإجراءات اللازمة لمنع حدوث انتهاكات مماثلة في المستقبل. وتكرر اللجنة في هذا الصدد أنه ينبغي للدولة الطرف، وفقاً لالتزاماتها بموجب المادة </w:t>
      </w:r>
      <w:r w:rsidRPr="00222C20">
        <w:rPr>
          <w:rtl/>
        </w:rPr>
        <w:t>2</w:t>
      </w:r>
      <w:r w:rsidRPr="00726680">
        <w:rPr>
          <w:rFonts w:ascii="Traditional Arabic"/>
          <w:rtl/>
        </w:rPr>
        <w:t>(</w:t>
      </w:r>
      <w:r w:rsidRPr="00222C20">
        <w:rPr>
          <w:rtl/>
        </w:rPr>
        <w:t>2</w:t>
      </w:r>
      <w:r w:rsidRPr="00726680">
        <w:rPr>
          <w:rFonts w:ascii="Traditional Arabic"/>
          <w:rtl/>
        </w:rPr>
        <w:t>)</w:t>
      </w:r>
      <w:r w:rsidRPr="00726680">
        <w:rPr>
          <w:rtl/>
        </w:rPr>
        <w:t xml:space="preserve"> من العهد، أن تراجع تشريعاتها وممارساتها مراجعةً تكفل التمتع الكامل فيها بالحقوق التي تنص عليها المادتان </w:t>
      </w:r>
      <w:r w:rsidRPr="00222C20">
        <w:rPr>
          <w:rtl/>
        </w:rPr>
        <w:t>19</w:t>
      </w:r>
      <w:r w:rsidRPr="00726680">
        <w:rPr>
          <w:rtl/>
        </w:rPr>
        <w:t xml:space="preserve"> و</w:t>
      </w:r>
      <w:r w:rsidRPr="00222C20">
        <w:rPr>
          <w:rtl/>
        </w:rPr>
        <w:t>21</w:t>
      </w:r>
      <w:r w:rsidRPr="00726680">
        <w:rPr>
          <w:rtl/>
        </w:rPr>
        <w:t xml:space="preserve"> من العهد، بما في ذلك تنظيم التجمعات والاجتماعات والمسيرات والمواكب والاعتصامات والمظاهرات السلمية في الدولة الطرف وتسييرها.</w:t>
      </w:r>
    </w:p>
    <w:p w14:paraId="78292739" w14:textId="4B7BA5D8" w:rsidR="000718A2" w:rsidRPr="00611DC6" w:rsidRDefault="000718A2" w:rsidP="000718A2">
      <w:pPr>
        <w:pStyle w:val="SingleTxtGA"/>
        <w:rPr>
          <w:szCs w:val="20"/>
          <w:lang w:val="ar-SA" w:eastAsia="zh-TW" w:bidi="en-GB"/>
        </w:rPr>
      </w:pPr>
      <w:r w:rsidRPr="00222C20">
        <w:rPr>
          <w:rtl/>
        </w:rPr>
        <w:t>11</w:t>
      </w:r>
      <w:r w:rsidRPr="00726680">
        <w:rPr>
          <w:rFonts w:ascii="Traditional Arabic"/>
          <w:rtl/>
        </w:rPr>
        <w:t>-</w:t>
      </w:r>
      <w:r w:rsidRPr="00726680">
        <w:rPr>
          <w:rtl/>
        </w:rPr>
        <w:tab/>
        <w:t xml:space="preserve">وإذ تضع اللجنة في اعتبارها أن الدولة الطرف قد اعترفت، بانضمامها إلى البروتوكول الاختياري، باختصاص اللجنة في البتّ في مسألة وقوع انتهاك لأحكام العهد من عدمه، وأنها تعهدت، عملاً بالمادة </w:t>
      </w:r>
      <w:r w:rsidRPr="00222C20">
        <w:rPr>
          <w:rtl/>
        </w:rPr>
        <w:t>2</w:t>
      </w:r>
      <w:r w:rsidRPr="00726680">
        <w:rPr>
          <w:rtl/>
        </w:rPr>
        <w:t xml:space="preserve"> منه، بأن تكفل تمتع جميع الأفراد المقيمين في إقليمها والخاضعين لولايتها بالحقوق المعترف بها في العهد وتوفر لهم سبل انتصاف فعالة متى ثبت وقوع انتهاك، تودّ أن تتلقى من الدولة الطرف، في غضون </w:t>
      </w:r>
      <w:r w:rsidRPr="00222C20">
        <w:rPr>
          <w:rtl/>
        </w:rPr>
        <w:t>180</w:t>
      </w:r>
      <w:r w:rsidRPr="00726680">
        <w:rPr>
          <w:rtl/>
        </w:rPr>
        <w:t xml:space="preserve"> يوماً، معلومات عن التدابير المتخذة لإنفاذ آراء اللجنة. ويُطلب إلى الدولة الطرف </w:t>
      </w:r>
      <w:r w:rsidR="00FF1E5B">
        <w:rPr>
          <w:rtl/>
        </w:rPr>
        <w:t>أيضاً</w:t>
      </w:r>
      <w:r w:rsidRPr="00726680">
        <w:rPr>
          <w:rtl/>
        </w:rPr>
        <w:t xml:space="preserve"> نشر هذه الآراء وتعميمها على نطاق واسع بلغاتها الرسمية.</w:t>
      </w:r>
    </w:p>
    <w:p w14:paraId="5DD2BD8D" w14:textId="77777777" w:rsidR="000718A2" w:rsidRPr="00611DC6" w:rsidRDefault="000718A2" w:rsidP="000718A2">
      <w:pPr>
        <w:spacing w:before="240"/>
        <w:jc w:val="center"/>
        <w:rPr>
          <w:u w:val="single"/>
        </w:rPr>
      </w:pPr>
      <w:r w:rsidRPr="00611DC6">
        <w:rPr>
          <w:u w:val="single"/>
        </w:rPr>
        <w:tab/>
      </w:r>
      <w:r w:rsidRPr="00611DC6">
        <w:rPr>
          <w:u w:val="single"/>
        </w:rPr>
        <w:tab/>
      </w:r>
      <w:r w:rsidRPr="00611DC6">
        <w:rPr>
          <w:u w:val="single"/>
        </w:rPr>
        <w:tab/>
      </w:r>
    </w:p>
    <w:sectPr w:rsidR="000718A2" w:rsidRPr="00611DC6" w:rsidSect="00D22B8F">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38957" w14:textId="77777777" w:rsidR="0011320C" w:rsidRPr="002901D9" w:rsidRDefault="0011320C" w:rsidP="00DC4D4B">
      <w:pPr>
        <w:spacing w:after="60" w:line="240" w:lineRule="auto"/>
        <w:ind w:left="57"/>
        <w:rPr>
          <w:i/>
          <w:iCs/>
        </w:rPr>
      </w:pPr>
      <w:r>
        <w:rPr>
          <w:rFonts w:hint="cs"/>
          <w:i/>
          <w:iCs/>
          <w:rtl/>
        </w:rPr>
        <w:t>الحواشي</w:t>
      </w:r>
    </w:p>
  </w:endnote>
  <w:endnote w:type="continuationSeparator" w:id="0">
    <w:p w14:paraId="02A354EA" w14:textId="77777777" w:rsidR="0011320C" w:rsidRDefault="0011320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C7FA2" w14:textId="77777777" w:rsidR="00BA0EB7" w:rsidRPr="00BA0EB7" w:rsidRDefault="00BA0EB7" w:rsidP="00BA0EB7">
    <w:pPr>
      <w:pStyle w:val="Footer"/>
      <w:tabs>
        <w:tab w:val="right" w:pos="9638"/>
      </w:tabs>
      <w:rPr>
        <w:b/>
        <w:sz w:val="18"/>
        <w:lang w:val="en-US"/>
      </w:rPr>
    </w:pPr>
    <w:r>
      <w:rPr>
        <w:lang w:val="en-US"/>
      </w:rPr>
      <w:t>GE.21-01385</w:t>
    </w:r>
    <w:r>
      <w:rPr>
        <w:lang w:val="en-US"/>
      </w:rPr>
      <w:tab/>
    </w:r>
    <w:r w:rsidRPr="00BA0EB7">
      <w:rPr>
        <w:b/>
        <w:sz w:val="18"/>
        <w:lang w:val="en-US"/>
      </w:rPr>
      <w:fldChar w:fldCharType="begin"/>
    </w:r>
    <w:r w:rsidRPr="00BA0EB7">
      <w:rPr>
        <w:b/>
        <w:sz w:val="18"/>
        <w:lang w:val="en-US"/>
      </w:rPr>
      <w:instrText xml:space="preserve"> PAGE  \* MERGEFORMAT </w:instrText>
    </w:r>
    <w:r w:rsidRPr="00BA0EB7">
      <w:rPr>
        <w:b/>
        <w:sz w:val="18"/>
        <w:lang w:val="en-US"/>
      </w:rPr>
      <w:fldChar w:fldCharType="separate"/>
    </w:r>
    <w:r w:rsidRPr="00BA0EB7">
      <w:rPr>
        <w:b/>
        <w:noProof/>
        <w:sz w:val="18"/>
        <w:lang w:val="en-US"/>
      </w:rPr>
      <w:t>2</w:t>
    </w:r>
    <w:r w:rsidRPr="00BA0EB7">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786A0" w14:textId="77777777" w:rsidR="006959B0" w:rsidRPr="00BA0EB7" w:rsidRDefault="00BA0EB7" w:rsidP="00BA0EB7">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GE.21-01385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29552" w14:textId="77777777" w:rsidR="00DE50B1" w:rsidRPr="00BA0EB7" w:rsidRDefault="00BA0EB7" w:rsidP="00BA0EB7">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7E7267D1" wp14:editId="0605A5C1">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21-01385 (A)</w:t>
    </w:r>
    <w:r>
      <w:rPr>
        <w:noProof/>
        <w:sz w:val="20"/>
        <w:lang w:val="en-US"/>
      </w:rPr>
      <w:drawing>
        <wp:anchor distT="0" distB="0" distL="114300" distR="114300" simplePos="0" relativeHeight="251659264" behindDoc="0" locked="0" layoutInCell="1" allowOverlap="1" wp14:anchorId="21B49516" wp14:editId="27C83AC5">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4CCBE" w14:textId="77777777" w:rsidR="0011320C" w:rsidRPr="000437B8" w:rsidRDefault="0011320C" w:rsidP="00F10DAB">
      <w:pPr>
        <w:pStyle w:val="Footer"/>
        <w:bidi/>
        <w:spacing w:after="80" w:line="200" w:lineRule="exact"/>
        <w:ind w:left="680"/>
      </w:pPr>
      <w:r>
        <w:rPr>
          <w:rtl/>
        </w:rPr>
        <w:t>__________</w:t>
      </w:r>
    </w:p>
  </w:footnote>
  <w:footnote w:type="continuationSeparator" w:id="0">
    <w:p w14:paraId="17D5F78C" w14:textId="77777777" w:rsidR="0011320C" w:rsidRDefault="0011320C" w:rsidP="00656392">
      <w:pPr>
        <w:spacing w:line="240" w:lineRule="auto"/>
      </w:pPr>
      <w:r>
        <w:continuationSeparator/>
      </w:r>
    </w:p>
  </w:footnote>
  <w:footnote w:id="1">
    <w:p w14:paraId="6A206B38" w14:textId="18120A30" w:rsidR="000718A2" w:rsidRPr="007C0907" w:rsidRDefault="000718A2" w:rsidP="00F2088C">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7C0907">
        <w:rPr>
          <w:rFonts w:ascii="Simplified Arabic" w:hAnsi="Simplified Arabic"/>
          <w:szCs w:val="18"/>
        </w:rPr>
        <w:t>*</w:t>
      </w:r>
      <w:r w:rsidRPr="007C0907">
        <w:rPr>
          <w:rFonts w:ascii="Simplified Arabic" w:hAnsi="Simplified Arabic"/>
          <w:szCs w:val="18"/>
          <w:rtl/>
        </w:rPr>
        <w:tab/>
        <w:t xml:space="preserve">اعتمدتها اللجنة في دورتها </w:t>
      </w:r>
      <w:r w:rsidRPr="007C0907">
        <w:rPr>
          <w:szCs w:val="18"/>
          <w:rtl/>
        </w:rPr>
        <w:t>130</w:t>
      </w:r>
      <w:r w:rsidRPr="007C0907">
        <w:rPr>
          <w:rFonts w:ascii="Simplified Arabic" w:hAnsi="Simplified Arabic"/>
          <w:szCs w:val="18"/>
          <w:rtl/>
        </w:rPr>
        <w:t xml:space="preserve"> (</w:t>
      </w:r>
      <w:r w:rsidRPr="007C0907">
        <w:rPr>
          <w:szCs w:val="18"/>
          <w:rtl/>
        </w:rPr>
        <w:t>12</w:t>
      </w:r>
      <w:r w:rsidRPr="007C0907">
        <w:rPr>
          <w:rFonts w:ascii="Simplified Arabic" w:hAnsi="Simplified Arabic"/>
          <w:szCs w:val="18"/>
          <w:rtl/>
        </w:rPr>
        <w:t xml:space="preserve"> تشرين الأول/أكتوبر - </w:t>
      </w:r>
      <w:r w:rsidRPr="007C0907">
        <w:rPr>
          <w:szCs w:val="18"/>
          <w:rtl/>
        </w:rPr>
        <w:t>6</w:t>
      </w:r>
      <w:r w:rsidRPr="007C0907">
        <w:rPr>
          <w:rFonts w:ascii="Simplified Arabic" w:hAnsi="Simplified Arabic"/>
          <w:szCs w:val="18"/>
          <w:rtl/>
        </w:rPr>
        <w:t xml:space="preserve"> تشرين الثاني/نوفمبر </w:t>
      </w:r>
      <w:r w:rsidRPr="007C0907">
        <w:rPr>
          <w:szCs w:val="18"/>
          <w:rtl/>
        </w:rPr>
        <w:t>2020</w:t>
      </w:r>
      <w:r w:rsidRPr="007C0907">
        <w:rPr>
          <w:rFonts w:ascii="Simplified Arabic" w:hAnsi="Simplified Arabic"/>
          <w:szCs w:val="18"/>
          <w:rtl/>
        </w:rPr>
        <w:t>).</w:t>
      </w:r>
    </w:p>
  </w:footnote>
  <w:footnote w:id="2">
    <w:p w14:paraId="55C2A9ED" w14:textId="77777777" w:rsidR="00222C20" w:rsidRPr="007C0907" w:rsidRDefault="00222C20" w:rsidP="00F2088C">
      <w:pPr>
        <w:pStyle w:val="FootnoteText"/>
        <w:tabs>
          <w:tab w:val="clear" w:pos="1021"/>
        </w:tabs>
        <w:bidi/>
        <w:spacing w:after="60" w:line="280" w:lineRule="exact"/>
        <w:ind w:left="1247" w:right="1247" w:hanging="567"/>
        <w:jc w:val="lowKashida"/>
        <w:textDirection w:val="tbRlV"/>
        <w:rPr>
          <w:szCs w:val="18"/>
          <w:lang w:eastAsia="zh-TW" w:bidi="en-GB"/>
        </w:rPr>
      </w:pPr>
      <w:r w:rsidRPr="007C0907">
        <w:rPr>
          <w:rFonts w:ascii="Simplified Arabic" w:hAnsi="Simplified Arabic"/>
          <w:szCs w:val="18"/>
        </w:rPr>
        <w:t>**</w:t>
      </w:r>
      <w:r w:rsidRPr="007C0907">
        <w:rPr>
          <w:rFonts w:ascii="Simplified Arabic" w:hAnsi="Simplified Arabic"/>
          <w:szCs w:val="18"/>
          <w:rtl/>
        </w:rPr>
        <w:tab/>
        <w:t>شارك في دراسة هذا البلاغ أعضاء اللجنة التالية أسماؤهم: تانيا ماريا عبدو روشول، وعياض بن عاشور، وعارف بلقان، وأحمد أمين فتح الله، وفورويا شويتشي، وكريستوف هينز، وبا مريم كويتا، وديفيد ه. مور، ودنكان لاكي موهوموزا، وفوتيني بازارتزيس، وهيرنان كيزادا كابريرا، وفاسيلكا سانسين، وخوسيه مانويل سانتوس باييس، ويوفال شاني، وإيلين تيغرودجا، وأندرياس زيمرمان، وجينتيان زبيري.</w:t>
      </w:r>
    </w:p>
  </w:footnote>
  <w:footnote w:id="3">
    <w:p w14:paraId="12E2036E" w14:textId="32D63B30" w:rsidR="00222C20" w:rsidRPr="007C0907" w:rsidRDefault="00222C20" w:rsidP="00F2088C">
      <w:pPr>
        <w:pStyle w:val="FootnoteText"/>
        <w:tabs>
          <w:tab w:val="clear" w:pos="1021"/>
        </w:tabs>
        <w:bidi/>
        <w:spacing w:after="60" w:line="280" w:lineRule="exact"/>
        <w:ind w:left="1247" w:right="1247" w:hanging="567"/>
        <w:jc w:val="lowKashida"/>
        <w:textDirection w:val="tbRlV"/>
        <w:rPr>
          <w:szCs w:val="18"/>
          <w:lang w:eastAsia="zh-TW" w:bidi="en-GB"/>
        </w:rPr>
      </w:pPr>
      <w:r w:rsidRPr="007C0907">
        <w:rPr>
          <w:rStyle w:val="FootnoteReference"/>
          <w:vertAlign w:val="baseline"/>
          <w:rtl/>
        </w:rPr>
        <w:t>(</w:t>
      </w:r>
      <w:r w:rsidRPr="007C0907">
        <w:rPr>
          <w:rStyle w:val="FootnoteReference"/>
          <w:vertAlign w:val="baseline"/>
          <w:rtl/>
        </w:rPr>
        <w:footnoteRef/>
      </w:r>
      <w:r w:rsidRPr="007C0907">
        <w:rPr>
          <w:rStyle w:val="FootnoteReference"/>
          <w:vertAlign w:val="baseline"/>
          <w:rtl/>
        </w:rPr>
        <w:t>)</w:t>
      </w:r>
      <w:r w:rsidRPr="007C0907">
        <w:rPr>
          <w:szCs w:val="18"/>
          <w:rtl/>
        </w:rPr>
        <w:tab/>
        <w:t xml:space="preserve">لم يحدد صاحب البلاغ من هم هؤلاء الأشخاص. </w:t>
      </w:r>
      <w:r w:rsidRPr="007C0907">
        <w:rPr>
          <w:szCs w:val="18"/>
          <w:rtl/>
        </w:rPr>
        <w:t>‬</w:t>
      </w:r>
    </w:p>
  </w:footnote>
  <w:footnote w:id="4">
    <w:p w14:paraId="47BC2CBC" w14:textId="618C68AD" w:rsidR="00222C20" w:rsidRPr="007C0907" w:rsidRDefault="00222C20" w:rsidP="00F2088C">
      <w:pPr>
        <w:pStyle w:val="FootnoteText"/>
        <w:tabs>
          <w:tab w:val="clear" w:pos="1021"/>
        </w:tabs>
        <w:bidi/>
        <w:spacing w:after="60" w:line="280" w:lineRule="exact"/>
        <w:ind w:left="1247" w:right="1247" w:hanging="567"/>
        <w:jc w:val="lowKashida"/>
        <w:textDirection w:val="tbRlV"/>
        <w:rPr>
          <w:szCs w:val="18"/>
          <w:rtl/>
          <w:lang w:eastAsia="zh-TW" w:bidi="en-GB"/>
        </w:rPr>
      </w:pPr>
      <w:r w:rsidRPr="007C0907">
        <w:rPr>
          <w:rStyle w:val="FootnoteReference"/>
          <w:vertAlign w:val="baseline"/>
          <w:rtl/>
        </w:rPr>
        <w:t>(</w:t>
      </w:r>
      <w:r w:rsidRPr="007C0907">
        <w:rPr>
          <w:rStyle w:val="FootnoteReference"/>
          <w:vertAlign w:val="baseline"/>
          <w:rtl/>
        </w:rPr>
        <w:footnoteRef/>
      </w:r>
      <w:r w:rsidRPr="007C0907">
        <w:rPr>
          <w:rStyle w:val="FootnoteReference"/>
          <w:vertAlign w:val="baseline"/>
          <w:rtl/>
        </w:rPr>
        <w:t>)</w:t>
      </w:r>
      <w:r w:rsidRPr="007C0907">
        <w:rPr>
          <w:szCs w:val="18"/>
        </w:rPr>
        <w:tab/>
      </w:r>
      <w:r w:rsidRPr="007C0907">
        <w:rPr>
          <w:rFonts w:cs="Times New Roman"/>
          <w:szCs w:val="18"/>
        </w:rPr>
        <w:t>A/HRC/</w:t>
      </w:r>
      <w:r w:rsidRPr="007C0907">
        <w:rPr>
          <w:szCs w:val="18"/>
        </w:rPr>
        <w:t>29</w:t>
      </w:r>
      <w:r w:rsidRPr="007C0907">
        <w:rPr>
          <w:rFonts w:cs="Times New Roman"/>
          <w:szCs w:val="18"/>
        </w:rPr>
        <w:t>/</w:t>
      </w:r>
      <w:r w:rsidRPr="007C0907">
        <w:rPr>
          <w:szCs w:val="18"/>
        </w:rPr>
        <w:t>25</w:t>
      </w:r>
      <w:r w:rsidRPr="007C0907">
        <w:rPr>
          <w:rFonts w:cs="Times New Roman"/>
          <w:szCs w:val="18"/>
        </w:rPr>
        <w:t>/Add.</w:t>
      </w:r>
      <w:r w:rsidRPr="007C0907">
        <w:rPr>
          <w:szCs w:val="18"/>
        </w:rPr>
        <w:t>2</w:t>
      </w:r>
      <w:r w:rsidRPr="007C0907">
        <w:rPr>
          <w:rFonts w:cs="Times New Roman" w:hint="cs"/>
          <w:szCs w:val="18"/>
          <w:rtl/>
        </w:rPr>
        <w:t>.</w:t>
      </w:r>
    </w:p>
  </w:footnote>
  <w:footnote w:id="5">
    <w:p w14:paraId="30A8C5E9" w14:textId="0E9BBEC5" w:rsidR="00222C20" w:rsidRPr="007C0907" w:rsidRDefault="00222C20" w:rsidP="00F2088C">
      <w:pPr>
        <w:pStyle w:val="FootnoteText"/>
        <w:tabs>
          <w:tab w:val="clear" w:pos="1021"/>
        </w:tabs>
        <w:bidi/>
        <w:spacing w:after="60" w:line="280" w:lineRule="exact"/>
        <w:ind w:left="1247" w:right="1247" w:hanging="567"/>
        <w:jc w:val="lowKashida"/>
        <w:textDirection w:val="tbRlV"/>
        <w:rPr>
          <w:szCs w:val="18"/>
          <w:lang w:eastAsia="zh-TW" w:bidi="en-GB"/>
        </w:rPr>
      </w:pPr>
      <w:r w:rsidRPr="007C0907">
        <w:rPr>
          <w:rStyle w:val="FootnoteReference"/>
          <w:vertAlign w:val="baseline"/>
          <w:rtl/>
        </w:rPr>
        <w:t>(</w:t>
      </w:r>
      <w:r w:rsidRPr="007C0907">
        <w:rPr>
          <w:rStyle w:val="FootnoteReference"/>
          <w:vertAlign w:val="baseline"/>
          <w:rtl/>
        </w:rPr>
        <w:footnoteRef/>
      </w:r>
      <w:r w:rsidRPr="007C0907">
        <w:rPr>
          <w:rStyle w:val="FootnoteReference"/>
          <w:vertAlign w:val="baseline"/>
          <w:rtl/>
        </w:rPr>
        <w:t>)</w:t>
      </w:r>
      <w:r w:rsidRPr="007C0907">
        <w:rPr>
          <w:szCs w:val="18"/>
        </w:rPr>
        <w:tab/>
      </w:r>
      <w:r w:rsidRPr="007C0907">
        <w:rPr>
          <w:rFonts w:cs="Times New Roman"/>
          <w:szCs w:val="18"/>
        </w:rPr>
        <w:t xml:space="preserve">Office for Democratic Institutions and Human Rights of the Organization for Security and Cooperation in Europe, </w:t>
      </w:r>
      <w:r w:rsidRPr="007C0907">
        <w:rPr>
          <w:rFonts w:cs="Times New Roman"/>
          <w:i/>
          <w:iCs/>
          <w:szCs w:val="18"/>
        </w:rPr>
        <w:t>Guidelines on Freedom of Peaceful Assembly</w:t>
      </w:r>
      <w:r w:rsidRPr="007C0907">
        <w:rPr>
          <w:rFonts w:cs="Times New Roman"/>
          <w:szCs w:val="18"/>
        </w:rPr>
        <w:t xml:space="preserve">, </w:t>
      </w:r>
      <w:r w:rsidRPr="007C0907">
        <w:rPr>
          <w:szCs w:val="18"/>
        </w:rPr>
        <w:t>2</w:t>
      </w:r>
      <w:r w:rsidRPr="007C0907">
        <w:rPr>
          <w:rFonts w:cs="Times New Roman"/>
          <w:szCs w:val="18"/>
        </w:rPr>
        <w:t xml:space="preserve">nd ed. (Warsaw/Strasbourg, </w:t>
      </w:r>
      <w:r w:rsidRPr="007C0907">
        <w:rPr>
          <w:szCs w:val="18"/>
        </w:rPr>
        <w:t>2010</w:t>
      </w:r>
      <w:r w:rsidRPr="007C0907">
        <w:rPr>
          <w:rFonts w:cs="Times New Roman"/>
          <w:szCs w:val="18"/>
        </w:rPr>
        <w:t>)</w:t>
      </w:r>
      <w:r w:rsidRPr="007C0907">
        <w:rPr>
          <w:szCs w:val="18"/>
          <w:rtl/>
        </w:rPr>
        <w:t>.</w:t>
      </w:r>
    </w:p>
  </w:footnote>
  <w:footnote w:id="6">
    <w:p w14:paraId="51976C02" w14:textId="37F0031A" w:rsidR="00222C20" w:rsidRPr="007C0907" w:rsidRDefault="00222C20" w:rsidP="00F2088C">
      <w:pPr>
        <w:pStyle w:val="FootnoteText"/>
        <w:tabs>
          <w:tab w:val="clear" w:pos="1021"/>
        </w:tabs>
        <w:bidi/>
        <w:spacing w:after="60" w:line="280" w:lineRule="exact"/>
        <w:ind w:left="1247" w:right="1247" w:hanging="567"/>
        <w:jc w:val="lowKashida"/>
        <w:textDirection w:val="tbRlV"/>
        <w:rPr>
          <w:szCs w:val="18"/>
          <w:lang w:val="ar-SA" w:eastAsia="zh-TW" w:bidi="en-GB"/>
        </w:rPr>
      </w:pPr>
      <w:r w:rsidRPr="007C0907">
        <w:rPr>
          <w:rStyle w:val="FootnoteReference"/>
          <w:vertAlign w:val="baseline"/>
          <w:rtl/>
        </w:rPr>
        <w:t>(</w:t>
      </w:r>
      <w:r w:rsidRPr="007C0907">
        <w:rPr>
          <w:rStyle w:val="FootnoteReference"/>
          <w:vertAlign w:val="baseline"/>
          <w:rtl/>
        </w:rPr>
        <w:footnoteRef/>
      </w:r>
      <w:r w:rsidRPr="007C0907">
        <w:rPr>
          <w:rStyle w:val="FootnoteReference"/>
          <w:vertAlign w:val="baseline"/>
          <w:rtl/>
        </w:rPr>
        <w:t>)</w:t>
      </w:r>
      <w:r w:rsidRPr="007C0907">
        <w:rPr>
          <w:szCs w:val="18"/>
          <w:rtl/>
        </w:rPr>
        <w:tab/>
        <w:t>تُعادل مكتب العمدة (سلطات البلدية أو الدائرة أو المقاطعة).</w:t>
      </w:r>
    </w:p>
  </w:footnote>
  <w:footnote w:id="7">
    <w:p w14:paraId="0A25F012" w14:textId="4FB5756E" w:rsidR="00222C20" w:rsidRPr="007C0907" w:rsidRDefault="00222C20" w:rsidP="00F2088C">
      <w:pPr>
        <w:pStyle w:val="FootnoteText"/>
        <w:tabs>
          <w:tab w:val="clear" w:pos="1021"/>
        </w:tabs>
        <w:bidi/>
        <w:spacing w:after="60" w:line="280" w:lineRule="exact"/>
        <w:ind w:left="1247" w:right="1247" w:hanging="567"/>
        <w:jc w:val="lowKashida"/>
        <w:textDirection w:val="tbRlV"/>
        <w:rPr>
          <w:szCs w:val="18"/>
          <w:lang w:eastAsia="zh-TW" w:bidi="en-GB"/>
        </w:rPr>
      </w:pPr>
      <w:r w:rsidRPr="007C0907">
        <w:rPr>
          <w:rStyle w:val="FootnoteReference"/>
          <w:vertAlign w:val="baseline"/>
          <w:rtl/>
        </w:rPr>
        <w:t>(</w:t>
      </w:r>
      <w:r w:rsidRPr="007C0907">
        <w:rPr>
          <w:rStyle w:val="FootnoteReference"/>
          <w:vertAlign w:val="baseline"/>
          <w:rtl/>
        </w:rPr>
        <w:footnoteRef/>
      </w:r>
      <w:r w:rsidRPr="007C0907">
        <w:rPr>
          <w:rStyle w:val="FootnoteReference"/>
          <w:vertAlign w:val="baseline"/>
          <w:rtl/>
        </w:rPr>
        <w:t>)</w:t>
      </w:r>
      <w:r w:rsidRPr="007C0907">
        <w:rPr>
          <w:szCs w:val="18"/>
          <w:rtl/>
        </w:rPr>
        <w:tab/>
        <w:t xml:space="preserve">انظر، على سبيل المثال، </w:t>
      </w:r>
      <w:r w:rsidRPr="007C0907">
        <w:rPr>
          <w:i/>
          <w:iCs/>
          <w:szCs w:val="18"/>
          <w:rtl/>
        </w:rPr>
        <w:t>ألكسييف ضد الاتحاد الروسي</w:t>
      </w:r>
      <w:r w:rsidRPr="007C0907">
        <w:rPr>
          <w:szCs w:val="18"/>
          <w:rtl/>
        </w:rPr>
        <w:t xml:space="preserve"> </w:t>
      </w:r>
      <w:r w:rsidRPr="007C0907">
        <w:rPr>
          <w:rFonts w:ascii="Traditional Arabic"/>
          <w:szCs w:val="18"/>
          <w:rtl/>
        </w:rPr>
        <w:t>(</w:t>
      </w:r>
      <w:r w:rsidRPr="007C0907">
        <w:rPr>
          <w:rFonts w:cs="Times New Roman"/>
          <w:szCs w:val="18"/>
        </w:rPr>
        <w:t>CCPR/C/</w:t>
      </w:r>
      <w:r w:rsidRPr="007C0907">
        <w:rPr>
          <w:szCs w:val="18"/>
        </w:rPr>
        <w:t>109</w:t>
      </w:r>
      <w:r w:rsidRPr="007C0907">
        <w:rPr>
          <w:rFonts w:cs="Times New Roman"/>
          <w:szCs w:val="18"/>
        </w:rPr>
        <w:t>/D/</w:t>
      </w:r>
      <w:r w:rsidRPr="007C0907">
        <w:rPr>
          <w:szCs w:val="18"/>
        </w:rPr>
        <w:t>1873</w:t>
      </w:r>
      <w:r w:rsidRPr="007C0907">
        <w:rPr>
          <w:rFonts w:cs="Times New Roman"/>
          <w:szCs w:val="18"/>
        </w:rPr>
        <w:t>/</w:t>
      </w:r>
      <w:r w:rsidRPr="007C0907">
        <w:rPr>
          <w:szCs w:val="18"/>
        </w:rPr>
        <w:t>2009</w:t>
      </w:r>
      <w:r w:rsidRPr="007C0907">
        <w:rPr>
          <w:rFonts w:ascii="Traditional Arabic"/>
          <w:szCs w:val="18"/>
          <w:rtl/>
        </w:rPr>
        <w:t>)</w:t>
      </w:r>
      <w:r w:rsidRPr="007C0907">
        <w:rPr>
          <w:szCs w:val="18"/>
          <w:rtl/>
        </w:rPr>
        <w:t>، الفقرة 8</w:t>
      </w:r>
      <w:r w:rsidRPr="007C0907">
        <w:rPr>
          <w:rFonts w:ascii="Traditional Arabic"/>
          <w:szCs w:val="18"/>
          <w:rtl/>
        </w:rPr>
        <w:t>-</w:t>
      </w:r>
      <w:r w:rsidRPr="007C0907">
        <w:rPr>
          <w:szCs w:val="18"/>
          <w:rtl/>
        </w:rPr>
        <w:t xml:space="preserve">4؛ </w:t>
      </w:r>
      <w:proofErr w:type="spellStart"/>
      <w:r w:rsidRPr="007C0907">
        <w:rPr>
          <w:szCs w:val="18"/>
          <w:rtl/>
        </w:rPr>
        <w:t>و</w:t>
      </w:r>
      <w:r w:rsidRPr="007C0907">
        <w:rPr>
          <w:i/>
          <w:iCs/>
          <w:szCs w:val="18"/>
          <w:rtl/>
        </w:rPr>
        <w:t>لوزينكو</w:t>
      </w:r>
      <w:proofErr w:type="spellEnd"/>
      <w:r w:rsidRPr="007C0907">
        <w:rPr>
          <w:i/>
          <w:iCs/>
          <w:szCs w:val="18"/>
          <w:rtl/>
        </w:rPr>
        <w:t xml:space="preserve"> ضد بيلاروس</w:t>
      </w:r>
      <w:r w:rsidRPr="007C0907">
        <w:rPr>
          <w:szCs w:val="18"/>
          <w:rtl/>
        </w:rPr>
        <w:t xml:space="preserve"> </w:t>
      </w:r>
      <w:r w:rsidRPr="007C0907">
        <w:rPr>
          <w:rFonts w:ascii="Traditional Arabic"/>
          <w:szCs w:val="18"/>
          <w:rtl/>
        </w:rPr>
        <w:t>(</w:t>
      </w:r>
      <w:r w:rsidRPr="007C0907">
        <w:rPr>
          <w:rFonts w:cs="Times New Roman"/>
          <w:szCs w:val="18"/>
        </w:rPr>
        <w:t>CCPR/C/</w:t>
      </w:r>
      <w:r w:rsidRPr="007C0907">
        <w:rPr>
          <w:szCs w:val="18"/>
        </w:rPr>
        <w:t>112</w:t>
      </w:r>
      <w:r w:rsidRPr="007C0907">
        <w:rPr>
          <w:rFonts w:cs="Times New Roman"/>
          <w:szCs w:val="18"/>
        </w:rPr>
        <w:t>/D/</w:t>
      </w:r>
      <w:r w:rsidRPr="007C0907">
        <w:rPr>
          <w:szCs w:val="18"/>
        </w:rPr>
        <w:t>1929</w:t>
      </w:r>
      <w:r w:rsidRPr="007C0907">
        <w:rPr>
          <w:rFonts w:cs="Times New Roman"/>
          <w:szCs w:val="18"/>
        </w:rPr>
        <w:t>/</w:t>
      </w:r>
      <w:r w:rsidRPr="007C0907">
        <w:rPr>
          <w:szCs w:val="18"/>
        </w:rPr>
        <w:t>2010</w:t>
      </w:r>
      <w:r w:rsidRPr="007C0907">
        <w:rPr>
          <w:rFonts w:ascii="Traditional Arabic"/>
          <w:szCs w:val="18"/>
          <w:rtl/>
        </w:rPr>
        <w:t>)</w:t>
      </w:r>
      <w:r w:rsidRPr="007C0907">
        <w:rPr>
          <w:szCs w:val="18"/>
          <w:rtl/>
        </w:rPr>
        <w:t>، الفقرة 6</w:t>
      </w:r>
      <w:r w:rsidRPr="007C0907">
        <w:rPr>
          <w:rFonts w:ascii="Traditional Arabic"/>
          <w:szCs w:val="18"/>
          <w:rtl/>
        </w:rPr>
        <w:t>-</w:t>
      </w:r>
      <w:r w:rsidRPr="007C0907">
        <w:rPr>
          <w:szCs w:val="18"/>
          <w:rtl/>
        </w:rPr>
        <w:t xml:space="preserve">3؛ </w:t>
      </w:r>
      <w:proofErr w:type="spellStart"/>
      <w:r w:rsidRPr="007C0907">
        <w:rPr>
          <w:szCs w:val="18"/>
          <w:rtl/>
        </w:rPr>
        <w:t>و</w:t>
      </w:r>
      <w:r w:rsidRPr="007C0907">
        <w:rPr>
          <w:i/>
          <w:iCs/>
          <w:szCs w:val="18"/>
          <w:rtl/>
        </w:rPr>
        <w:t>سودالينكو</w:t>
      </w:r>
      <w:proofErr w:type="spellEnd"/>
      <w:r w:rsidRPr="007C0907">
        <w:rPr>
          <w:i/>
          <w:iCs/>
          <w:szCs w:val="18"/>
          <w:rtl/>
        </w:rPr>
        <w:t xml:space="preserve"> ضد بيلاروس</w:t>
      </w:r>
      <w:r w:rsidRPr="007C0907">
        <w:rPr>
          <w:szCs w:val="18"/>
          <w:rtl/>
        </w:rPr>
        <w:t xml:space="preserve"> </w:t>
      </w:r>
      <w:r w:rsidRPr="007C0907">
        <w:rPr>
          <w:rFonts w:ascii="Traditional Arabic"/>
          <w:szCs w:val="18"/>
          <w:rtl/>
        </w:rPr>
        <w:t>(</w:t>
      </w:r>
      <w:r w:rsidRPr="007C0907">
        <w:rPr>
          <w:rFonts w:cs="Times New Roman"/>
          <w:szCs w:val="18"/>
        </w:rPr>
        <w:t>CCPR/C/</w:t>
      </w:r>
      <w:r w:rsidRPr="007C0907">
        <w:rPr>
          <w:szCs w:val="18"/>
        </w:rPr>
        <w:t>115</w:t>
      </w:r>
      <w:r w:rsidRPr="007C0907">
        <w:rPr>
          <w:rFonts w:cs="Times New Roman"/>
          <w:szCs w:val="18"/>
        </w:rPr>
        <w:t>/D/</w:t>
      </w:r>
      <w:r w:rsidRPr="007C0907">
        <w:rPr>
          <w:szCs w:val="18"/>
        </w:rPr>
        <w:t>2016</w:t>
      </w:r>
      <w:r w:rsidRPr="007C0907">
        <w:rPr>
          <w:rFonts w:cs="Times New Roman"/>
          <w:szCs w:val="18"/>
        </w:rPr>
        <w:t>/</w:t>
      </w:r>
      <w:r w:rsidRPr="007C0907">
        <w:rPr>
          <w:szCs w:val="18"/>
        </w:rPr>
        <w:t>2010</w:t>
      </w:r>
      <w:r w:rsidRPr="007C0907">
        <w:rPr>
          <w:rFonts w:ascii="Traditional Arabic"/>
          <w:szCs w:val="18"/>
          <w:rtl/>
        </w:rPr>
        <w:t>)</w:t>
      </w:r>
      <w:r w:rsidRPr="007C0907">
        <w:rPr>
          <w:szCs w:val="18"/>
          <w:rtl/>
        </w:rPr>
        <w:t>، الفقرة 7</w:t>
      </w:r>
      <w:r w:rsidRPr="007C0907">
        <w:rPr>
          <w:rFonts w:ascii="Traditional Arabic"/>
          <w:szCs w:val="18"/>
          <w:rtl/>
        </w:rPr>
        <w:t>-</w:t>
      </w:r>
      <w:r w:rsidRPr="007C0907">
        <w:rPr>
          <w:szCs w:val="18"/>
          <w:rtl/>
        </w:rPr>
        <w:t xml:space="preserve">3؛ </w:t>
      </w:r>
      <w:proofErr w:type="spellStart"/>
      <w:r w:rsidRPr="007C0907">
        <w:rPr>
          <w:szCs w:val="18"/>
          <w:rtl/>
        </w:rPr>
        <w:t>و</w:t>
      </w:r>
      <w:r w:rsidRPr="007C0907">
        <w:rPr>
          <w:i/>
          <w:iCs/>
          <w:szCs w:val="18"/>
          <w:rtl/>
        </w:rPr>
        <w:t>بوبلافني</w:t>
      </w:r>
      <w:proofErr w:type="spellEnd"/>
      <w:r w:rsidRPr="007C0907">
        <w:rPr>
          <w:i/>
          <w:iCs/>
          <w:szCs w:val="18"/>
          <w:rtl/>
        </w:rPr>
        <w:t xml:space="preserve"> </w:t>
      </w:r>
      <w:proofErr w:type="spellStart"/>
      <w:r w:rsidRPr="007C0907">
        <w:rPr>
          <w:i/>
          <w:iCs/>
          <w:szCs w:val="18"/>
          <w:rtl/>
        </w:rPr>
        <w:t>وسودالينكو</w:t>
      </w:r>
      <w:proofErr w:type="spellEnd"/>
      <w:r w:rsidRPr="007C0907">
        <w:rPr>
          <w:i/>
          <w:iCs/>
          <w:szCs w:val="18"/>
          <w:rtl/>
        </w:rPr>
        <w:t xml:space="preserve"> ضد بيلاروس</w:t>
      </w:r>
      <w:r w:rsidRPr="007C0907">
        <w:rPr>
          <w:szCs w:val="18"/>
          <w:rtl/>
        </w:rPr>
        <w:t xml:space="preserve"> </w:t>
      </w:r>
      <w:r w:rsidRPr="007C0907">
        <w:rPr>
          <w:rFonts w:ascii="Traditional Arabic"/>
          <w:szCs w:val="18"/>
          <w:rtl/>
        </w:rPr>
        <w:t>(</w:t>
      </w:r>
      <w:r w:rsidRPr="007C0907">
        <w:rPr>
          <w:rFonts w:cs="Times New Roman"/>
          <w:szCs w:val="18"/>
        </w:rPr>
        <w:t>CCPR/C/</w:t>
      </w:r>
      <w:r w:rsidRPr="007C0907">
        <w:rPr>
          <w:szCs w:val="18"/>
        </w:rPr>
        <w:t>118</w:t>
      </w:r>
      <w:r w:rsidRPr="007C0907">
        <w:rPr>
          <w:rFonts w:cs="Times New Roman"/>
          <w:szCs w:val="18"/>
        </w:rPr>
        <w:t>/D/</w:t>
      </w:r>
      <w:r w:rsidRPr="007C0907">
        <w:rPr>
          <w:szCs w:val="18"/>
        </w:rPr>
        <w:t>2139</w:t>
      </w:r>
      <w:r w:rsidRPr="007C0907">
        <w:rPr>
          <w:rFonts w:cs="Times New Roman"/>
          <w:szCs w:val="18"/>
        </w:rPr>
        <w:t>/</w:t>
      </w:r>
      <w:r w:rsidRPr="007C0907">
        <w:rPr>
          <w:szCs w:val="18"/>
        </w:rPr>
        <w:t>2012</w:t>
      </w:r>
      <w:r w:rsidRPr="007C0907">
        <w:rPr>
          <w:rFonts w:ascii="Traditional Arabic"/>
          <w:szCs w:val="18"/>
          <w:rtl/>
        </w:rPr>
        <w:t>)</w:t>
      </w:r>
      <w:r w:rsidRPr="007C0907">
        <w:rPr>
          <w:szCs w:val="18"/>
          <w:rtl/>
        </w:rPr>
        <w:t>، الفقرة 7</w:t>
      </w:r>
      <w:r w:rsidRPr="007C0907">
        <w:rPr>
          <w:rFonts w:ascii="Traditional Arabic"/>
          <w:szCs w:val="18"/>
          <w:rtl/>
        </w:rPr>
        <w:t>-</w:t>
      </w:r>
      <w:r w:rsidRPr="007C0907">
        <w:rPr>
          <w:szCs w:val="18"/>
          <w:rtl/>
        </w:rPr>
        <w:t>3.</w:t>
      </w:r>
    </w:p>
  </w:footnote>
  <w:footnote w:id="8">
    <w:p w14:paraId="10228193" w14:textId="45B9EAEF" w:rsidR="00222C20" w:rsidRPr="007C0907" w:rsidRDefault="00222C20" w:rsidP="00F2088C">
      <w:pPr>
        <w:pStyle w:val="FootnoteText"/>
        <w:tabs>
          <w:tab w:val="clear" w:pos="1021"/>
        </w:tabs>
        <w:bidi/>
        <w:spacing w:after="60" w:line="280" w:lineRule="exact"/>
        <w:ind w:left="1247" w:right="1247" w:hanging="567"/>
        <w:jc w:val="lowKashida"/>
        <w:textDirection w:val="tbRlV"/>
        <w:rPr>
          <w:szCs w:val="18"/>
          <w:lang w:eastAsia="zh-TW" w:bidi="en-GB"/>
        </w:rPr>
      </w:pPr>
      <w:r w:rsidRPr="007C0907">
        <w:rPr>
          <w:rStyle w:val="FootnoteReference"/>
          <w:vertAlign w:val="baseline"/>
          <w:rtl/>
        </w:rPr>
        <w:t>(</w:t>
      </w:r>
      <w:r w:rsidRPr="007C0907">
        <w:rPr>
          <w:rStyle w:val="FootnoteReference"/>
          <w:vertAlign w:val="baseline"/>
          <w:rtl/>
        </w:rPr>
        <w:footnoteRef/>
      </w:r>
      <w:r w:rsidRPr="007C0907">
        <w:rPr>
          <w:rStyle w:val="FootnoteReference"/>
          <w:vertAlign w:val="baseline"/>
          <w:rtl/>
        </w:rPr>
        <w:t>)</w:t>
      </w:r>
      <w:r w:rsidRPr="007C0907">
        <w:rPr>
          <w:szCs w:val="18"/>
          <w:rtl/>
        </w:rPr>
        <w:tab/>
        <w:t>اللجنة المعنية بحقوق الإنسان، التعليق العام رقم 37</w:t>
      </w:r>
      <w:r w:rsidRPr="007C0907">
        <w:rPr>
          <w:rFonts w:ascii="Traditional Arabic"/>
          <w:szCs w:val="18"/>
          <w:rtl/>
        </w:rPr>
        <w:t>(</w:t>
      </w:r>
      <w:r w:rsidRPr="007C0907">
        <w:rPr>
          <w:szCs w:val="18"/>
          <w:rtl/>
        </w:rPr>
        <w:t>2020</w:t>
      </w:r>
      <w:r w:rsidRPr="007C0907">
        <w:rPr>
          <w:rFonts w:ascii="Traditional Arabic"/>
          <w:szCs w:val="18"/>
          <w:rtl/>
        </w:rPr>
        <w:t>)</w:t>
      </w:r>
      <w:r w:rsidRPr="007C0907">
        <w:rPr>
          <w:szCs w:val="18"/>
          <w:rtl/>
        </w:rPr>
        <w:t xml:space="preserve"> بشأن الحق في التجمع السلمي، الفقرة 1.</w:t>
      </w:r>
      <w:bookmarkStart w:id="2" w:name="_Hlk62643876"/>
      <w:bookmarkEnd w:id="2"/>
    </w:p>
  </w:footnote>
  <w:footnote w:id="9">
    <w:p w14:paraId="6B63CD01" w14:textId="400484E0" w:rsidR="00222C20" w:rsidRPr="007C0907" w:rsidRDefault="00222C20" w:rsidP="00F2088C">
      <w:pPr>
        <w:pStyle w:val="FootnoteText"/>
        <w:tabs>
          <w:tab w:val="clear" w:pos="1021"/>
        </w:tabs>
        <w:bidi/>
        <w:spacing w:after="60" w:line="280" w:lineRule="exact"/>
        <w:ind w:left="1247" w:right="1247" w:hanging="567"/>
        <w:jc w:val="lowKashida"/>
        <w:textDirection w:val="tbRlV"/>
        <w:rPr>
          <w:szCs w:val="18"/>
          <w:lang w:eastAsia="zh-TW" w:bidi="en-GB"/>
        </w:rPr>
      </w:pPr>
      <w:r w:rsidRPr="007C0907">
        <w:rPr>
          <w:rStyle w:val="FootnoteReference"/>
          <w:vertAlign w:val="baseline"/>
          <w:rtl/>
        </w:rPr>
        <w:t>(</w:t>
      </w:r>
      <w:r w:rsidRPr="007C0907">
        <w:rPr>
          <w:rStyle w:val="FootnoteReference"/>
          <w:vertAlign w:val="baseline"/>
          <w:rtl/>
        </w:rPr>
        <w:footnoteRef/>
      </w:r>
      <w:r w:rsidRPr="007C0907">
        <w:rPr>
          <w:rStyle w:val="FootnoteReference"/>
          <w:vertAlign w:val="baseline"/>
          <w:rtl/>
        </w:rPr>
        <w:t>)</w:t>
      </w:r>
      <w:r w:rsidRPr="007C0907">
        <w:rPr>
          <w:szCs w:val="18"/>
          <w:rtl/>
        </w:rPr>
        <w:tab/>
        <w:t>المرجع نفسه، الفقرة</w:t>
      </w:r>
      <w:r w:rsidRPr="007C0907">
        <w:rPr>
          <w:rFonts w:ascii="Traditional Arabic"/>
          <w:szCs w:val="18"/>
          <w:rtl/>
        </w:rPr>
        <w:t xml:space="preserve"> </w:t>
      </w:r>
      <w:r w:rsidRPr="007C0907">
        <w:rPr>
          <w:szCs w:val="18"/>
          <w:rtl/>
        </w:rPr>
        <w:t xml:space="preserve">22. انظر </w:t>
      </w:r>
      <w:r w:rsidR="00FF1E5B">
        <w:rPr>
          <w:szCs w:val="18"/>
          <w:rtl/>
        </w:rPr>
        <w:t>أيضاً</w:t>
      </w:r>
      <w:r w:rsidRPr="007C0907">
        <w:rPr>
          <w:szCs w:val="18"/>
          <w:rtl/>
        </w:rPr>
        <w:t xml:space="preserve"> </w:t>
      </w:r>
      <w:proofErr w:type="spellStart"/>
      <w:r w:rsidRPr="007C0907">
        <w:rPr>
          <w:i/>
          <w:iCs/>
          <w:szCs w:val="18"/>
          <w:rtl/>
        </w:rPr>
        <w:t>ستريجاك</w:t>
      </w:r>
      <w:proofErr w:type="spellEnd"/>
      <w:r w:rsidRPr="007C0907">
        <w:rPr>
          <w:i/>
          <w:iCs/>
          <w:szCs w:val="18"/>
          <w:rtl/>
        </w:rPr>
        <w:t xml:space="preserve"> ضد بيلاروس</w:t>
      </w:r>
      <w:r w:rsidRPr="007C0907">
        <w:rPr>
          <w:szCs w:val="18"/>
          <w:rtl/>
        </w:rPr>
        <w:t xml:space="preserve"> </w:t>
      </w:r>
      <w:r w:rsidRPr="007C0907">
        <w:rPr>
          <w:rFonts w:cs="Times New Roman"/>
          <w:szCs w:val="18"/>
          <w:rtl/>
        </w:rPr>
        <w:t>(</w:t>
      </w:r>
      <w:r w:rsidRPr="007C0907">
        <w:rPr>
          <w:rFonts w:cs="Times New Roman"/>
          <w:szCs w:val="18"/>
        </w:rPr>
        <w:t>CCPR/C/</w:t>
      </w:r>
      <w:r w:rsidRPr="007C0907">
        <w:rPr>
          <w:szCs w:val="18"/>
        </w:rPr>
        <w:t>124</w:t>
      </w:r>
      <w:r w:rsidRPr="007C0907">
        <w:rPr>
          <w:rFonts w:cs="Times New Roman"/>
          <w:szCs w:val="18"/>
        </w:rPr>
        <w:t>/D/</w:t>
      </w:r>
      <w:r w:rsidRPr="007C0907">
        <w:rPr>
          <w:szCs w:val="18"/>
        </w:rPr>
        <w:t>2260</w:t>
      </w:r>
      <w:r w:rsidRPr="007C0907">
        <w:rPr>
          <w:rFonts w:cs="Times New Roman"/>
          <w:szCs w:val="18"/>
        </w:rPr>
        <w:t>/</w:t>
      </w:r>
      <w:r w:rsidRPr="007C0907">
        <w:rPr>
          <w:szCs w:val="18"/>
        </w:rPr>
        <w:t>2013</w:t>
      </w:r>
      <w:r w:rsidRPr="007C0907">
        <w:rPr>
          <w:rFonts w:ascii="Traditional Arabic"/>
          <w:szCs w:val="18"/>
          <w:rtl/>
        </w:rPr>
        <w:t>)</w:t>
      </w:r>
      <w:r w:rsidRPr="007C0907">
        <w:rPr>
          <w:szCs w:val="18"/>
          <w:rtl/>
        </w:rPr>
        <w:t>، الفقرة</w:t>
      </w:r>
      <w:r w:rsidRPr="007C0907">
        <w:rPr>
          <w:rFonts w:ascii="Traditional Arabic"/>
          <w:szCs w:val="18"/>
          <w:rtl/>
        </w:rPr>
        <w:t xml:space="preserve"> </w:t>
      </w:r>
      <w:r w:rsidRPr="007C0907">
        <w:rPr>
          <w:szCs w:val="18"/>
          <w:rtl/>
        </w:rPr>
        <w:t>6</w:t>
      </w:r>
      <w:r w:rsidRPr="007C0907">
        <w:rPr>
          <w:rFonts w:ascii="Traditional Arabic"/>
          <w:szCs w:val="18"/>
          <w:rtl/>
        </w:rPr>
        <w:t>-</w:t>
      </w:r>
      <w:r w:rsidRPr="007C0907">
        <w:rPr>
          <w:szCs w:val="18"/>
          <w:rtl/>
        </w:rPr>
        <w:t>5</w:t>
      </w:r>
      <w:r w:rsidRPr="007C0907">
        <w:rPr>
          <w:rFonts w:ascii="Traditional Arabic"/>
          <w:szCs w:val="18"/>
          <w:rtl/>
        </w:rPr>
        <w:t>.</w:t>
      </w:r>
    </w:p>
  </w:footnote>
  <w:footnote w:id="10">
    <w:p w14:paraId="111CFC3A" w14:textId="3AF6D2FB" w:rsidR="00222C20" w:rsidRPr="007C0907" w:rsidRDefault="00222C20" w:rsidP="00F2088C">
      <w:pPr>
        <w:pStyle w:val="FootnoteText"/>
        <w:tabs>
          <w:tab w:val="clear" w:pos="1021"/>
        </w:tabs>
        <w:bidi/>
        <w:spacing w:after="60" w:line="280" w:lineRule="exact"/>
        <w:ind w:left="1247" w:right="1247" w:hanging="567"/>
        <w:jc w:val="lowKashida"/>
        <w:textDirection w:val="tbRlV"/>
        <w:rPr>
          <w:szCs w:val="18"/>
          <w:lang w:eastAsia="zh-TW" w:bidi="en-GB"/>
        </w:rPr>
      </w:pPr>
      <w:r w:rsidRPr="007C0907">
        <w:rPr>
          <w:rStyle w:val="FootnoteReference"/>
          <w:vertAlign w:val="baseline"/>
          <w:rtl/>
        </w:rPr>
        <w:t>(</w:t>
      </w:r>
      <w:r w:rsidRPr="007C0907">
        <w:rPr>
          <w:rStyle w:val="FootnoteReference"/>
          <w:vertAlign w:val="baseline"/>
          <w:rtl/>
        </w:rPr>
        <w:footnoteRef/>
      </w:r>
      <w:r w:rsidRPr="007C0907">
        <w:rPr>
          <w:rStyle w:val="FootnoteReference"/>
          <w:vertAlign w:val="baseline"/>
          <w:rtl/>
        </w:rPr>
        <w:t>)</w:t>
      </w:r>
      <w:r w:rsidRPr="007C0907">
        <w:rPr>
          <w:szCs w:val="18"/>
          <w:rtl/>
        </w:rPr>
        <w:tab/>
      </w:r>
      <w:r w:rsidRPr="007C0907">
        <w:rPr>
          <w:i/>
          <w:iCs/>
          <w:szCs w:val="18"/>
          <w:rtl/>
        </w:rPr>
        <w:t>غريب ضد بيلاروس</w:t>
      </w:r>
      <w:r w:rsidRPr="007C0907">
        <w:rPr>
          <w:szCs w:val="18"/>
          <w:rtl/>
        </w:rPr>
        <w:t xml:space="preserve"> </w:t>
      </w:r>
      <w:r w:rsidRPr="007C0907">
        <w:rPr>
          <w:rFonts w:cs="Times New Roman"/>
          <w:szCs w:val="18"/>
          <w:rtl/>
        </w:rPr>
        <w:t>(</w:t>
      </w:r>
      <w:r w:rsidRPr="007C0907">
        <w:rPr>
          <w:rFonts w:cs="Times New Roman"/>
          <w:szCs w:val="18"/>
        </w:rPr>
        <w:t>CCPR/C/</w:t>
      </w:r>
      <w:r w:rsidRPr="007C0907">
        <w:rPr>
          <w:szCs w:val="18"/>
        </w:rPr>
        <w:t>103</w:t>
      </w:r>
      <w:r w:rsidRPr="007C0907">
        <w:rPr>
          <w:rFonts w:cs="Times New Roman"/>
          <w:szCs w:val="18"/>
        </w:rPr>
        <w:t>/D/</w:t>
      </w:r>
      <w:r w:rsidRPr="007C0907">
        <w:rPr>
          <w:szCs w:val="18"/>
        </w:rPr>
        <w:t>1316</w:t>
      </w:r>
      <w:r w:rsidRPr="007C0907">
        <w:rPr>
          <w:rFonts w:cs="Times New Roman"/>
          <w:szCs w:val="18"/>
        </w:rPr>
        <w:t>/</w:t>
      </w:r>
      <w:r w:rsidRPr="007C0907">
        <w:rPr>
          <w:szCs w:val="18"/>
        </w:rPr>
        <w:t>2004</w:t>
      </w:r>
      <w:r w:rsidRPr="007C0907">
        <w:rPr>
          <w:rFonts w:ascii="Traditional Arabic"/>
          <w:szCs w:val="18"/>
          <w:rtl/>
        </w:rPr>
        <w:t>)</w:t>
      </w:r>
      <w:r w:rsidRPr="007C0907">
        <w:rPr>
          <w:szCs w:val="18"/>
          <w:rtl/>
        </w:rPr>
        <w:t>، الفقرة</w:t>
      </w:r>
      <w:r w:rsidRPr="007C0907">
        <w:rPr>
          <w:rFonts w:ascii="Traditional Arabic"/>
          <w:szCs w:val="18"/>
          <w:rtl/>
        </w:rPr>
        <w:t xml:space="preserve"> </w:t>
      </w:r>
      <w:r w:rsidRPr="007C0907">
        <w:rPr>
          <w:szCs w:val="18"/>
          <w:rtl/>
        </w:rPr>
        <w:t>13</w:t>
      </w:r>
      <w:r w:rsidRPr="007C0907">
        <w:rPr>
          <w:rFonts w:ascii="Traditional Arabic"/>
          <w:szCs w:val="18"/>
          <w:rtl/>
        </w:rPr>
        <w:t>-</w:t>
      </w:r>
      <w:r w:rsidRPr="007C0907">
        <w:rPr>
          <w:szCs w:val="18"/>
          <w:rtl/>
        </w:rPr>
        <w:t>4</w:t>
      </w:r>
      <w:r w:rsidRPr="007C0907">
        <w:rPr>
          <w:rFonts w:ascii="Traditional Arabic"/>
          <w:szCs w:val="18"/>
          <w:rtl/>
        </w:rPr>
        <w:t>.</w:t>
      </w:r>
    </w:p>
  </w:footnote>
  <w:footnote w:id="11">
    <w:p w14:paraId="369908A9" w14:textId="3F12AB16" w:rsidR="00222C20" w:rsidRPr="007C0907" w:rsidRDefault="00222C20" w:rsidP="00F2088C">
      <w:pPr>
        <w:pStyle w:val="FootnoteText"/>
        <w:tabs>
          <w:tab w:val="clear" w:pos="1021"/>
        </w:tabs>
        <w:bidi/>
        <w:spacing w:after="60" w:line="280" w:lineRule="exact"/>
        <w:ind w:left="1247" w:right="1247" w:hanging="567"/>
        <w:jc w:val="lowKashida"/>
        <w:textDirection w:val="tbRlV"/>
        <w:rPr>
          <w:szCs w:val="18"/>
          <w:lang w:eastAsia="zh-TW" w:bidi="en-GB"/>
        </w:rPr>
      </w:pPr>
      <w:r w:rsidRPr="007C0907">
        <w:rPr>
          <w:rStyle w:val="FootnoteReference"/>
          <w:vertAlign w:val="baseline"/>
          <w:rtl/>
        </w:rPr>
        <w:t>(</w:t>
      </w:r>
      <w:r w:rsidRPr="007C0907">
        <w:rPr>
          <w:rStyle w:val="FootnoteReference"/>
          <w:vertAlign w:val="baseline"/>
          <w:rtl/>
        </w:rPr>
        <w:footnoteRef/>
      </w:r>
      <w:r w:rsidRPr="007C0907">
        <w:rPr>
          <w:rStyle w:val="FootnoteReference"/>
          <w:vertAlign w:val="baseline"/>
          <w:rtl/>
        </w:rPr>
        <w:t>)</w:t>
      </w:r>
      <w:r w:rsidRPr="007C0907">
        <w:rPr>
          <w:szCs w:val="18"/>
          <w:rtl/>
        </w:rPr>
        <w:tab/>
      </w:r>
      <w:proofErr w:type="spellStart"/>
      <w:r w:rsidRPr="007C0907">
        <w:rPr>
          <w:i/>
          <w:iCs/>
          <w:szCs w:val="18"/>
          <w:rtl/>
        </w:rPr>
        <w:t>تشيبوتاريفا</w:t>
      </w:r>
      <w:proofErr w:type="spellEnd"/>
      <w:r w:rsidRPr="007C0907">
        <w:rPr>
          <w:i/>
          <w:iCs/>
          <w:szCs w:val="18"/>
          <w:rtl/>
        </w:rPr>
        <w:t xml:space="preserve"> ضد الاتحاد الروسي</w:t>
      </w:r>
      <w:r w:rsidRPr="007C0907">
        <w:rPr>
          <w:szCs w:val="18"/>
          <w:rtl/>
        </w:rPr>
        <w:t xml:space="preserve"> </w:t>
      </w:r>
      <w:r w:rsidRPr="007C0907">
        <w:rPr>
          <w:rFonts w:cs="Times New Roman"/>
          <w:szCs w:val="18"/>
          <w:rtl/>
        </w:rPr>
        <w:t>(</w:t>
      </w:r>
      <w:r w:rsidRPr="007C0907">
        <w:rPr>
          <w:rFonts w:cs="Times New Roman"/>
          <w:szCs w:val="18"/>
        </w:rPr>
        <w:t>CCPR/C/</w:t>
      </w:r>
      <w:r w:rsidRPr="007C0907">
        <w:rPr>
          <w:szCs w:val="18"/>
        </w:rPr>
        <w:t>104</w:t>
      </w:r>
      <w:r w:rsidRPr="007C0907">
        <w:rPr>
          <w:rFonts w:cs="Times New Roman"/>
          <w:szCs w:val="18"/>
        </w:rPr>
        <w:t>/D/</w:t>
      </w:r>
      <w:r w:rsidRPr="007C0907">
        <w:rPr>
          <w:szCs w:val="18"/>
        </w:rPr>
        <w:t>1866</w:t>
      </w:r>
      <w:r w:rsidRPr="007C0907">
        <w:rPr>
          <w:rFonts w:cs="Times New Roman"/>
          <w:szCs w:val="18"/>
        </w:rPr>
        <w:t>/</w:t>
      </w:r>
      <w:r w:rsidRPr="007C0907">
        <w:rPr>
          <w:szCs w:val="18"/>
        </w:rPr>
        <w:t>2009</w:t>
      </w:r>
      <w:r w:rsidRPr="007C0907">
        <w:rPr>
          <w:rFonts w:ascii="Traditional Arabic"/>
          <w:szCs w:val="18"/>
          <w:rtl/>
        </w:rPr>
        <w:t>)</w:t>
      </w:r>
      <w:r w:rsidRPr="007C0907">
        <w:rPr>
          <w:szCs w:val="18"/>
          <w:rtl/>
        </w:rPr>
        <w:t>، الفقرة</w:t>
      </w:r>
      <w:r w:rsidRPr="007C0907">
        <w:rPr>
          <w:rFonts w:ascii="Traditional Arabic"/>
          <w:szCs w:val="18"/>
          <w:rtl/>
        </w:rPr>
        <w:t xml:space="preserve"> </w:t>
      </w:r>
      <w:r w:rsidRPr="007C0907">
        <w:rPr>
          <w:szCs w:val="18"/>
          <w:rtl/>
        </w:rPr>
        <w:t>9</w:t>
      </w:r>
      <w:r w:rsidRPr="007C0907">
        <w:rPr>
          <w:rFonts w:ascii="Traditional Arabic"/>
          <w:szCs w:val="18"/>
          <w:rtl/>
        </w:rPr>
        <w:t>-</w:t>
      </w:r>
      <w:r w:rsidRPr="007C0907">
        <w:rPr>
          <w:szCs w:val="18"/>
          <w:rtl/>
        </w:rPr>
        <w:t>3</w:t>
      </w:r>
      <w:r w:rsidRPr="007C0907">
        <w:rPr>
          <w:rFonts w:ascii="Traditional Arabic"/>
          <w:szCs w:val="18"/>
          <w:rtl/>
        </w:rPr>
        <w:t>.</w:t>
      </w:r>
    </w:p>
  </w:footnote>
  <w:footnote w:id="12">
    <w:p w14:paraId="1A0A3190" w14:textId="1C03BC22" w:rsidR="00222C20" w:rsidRPr="007C0907" w:rsidRDefault="00222C20" w:rsidP="00F2088C">
      <w:pPr>
        <w:pStyle w:val="FootnoteText"/>
        <w:tabs>
          <w:tab w:val="clear" w:pos="1021"/>
        </w:tabs>
        <w:bidi/>
        <w:spacing w:after="60" w:line="280" w:lineRule="exact"/>
        <w:ind w:left="1247" w:right="1247" w:hanging="567"/>
        <w:jc w:val="lowKashida"/>
        <w:textDirection w:val="tbRlV"/>
        <w:rPr>
          <w:szCs w:val="18"/>
          <w:lang w:eastAsia="zh-TW" w:bidi="en-GB"/>
        </w:rPr>
      </w:pPr>
      <w:r w:rsidRPr="007C0907">
        <w:rPr>
          <w:rStyle w:val="FootnoteReference"/>
          <w:vertAlign w:val="baseline"/>
          <w:rtl/>
        </w:rPr>
        <w:t>(</w:t>
      </w:r>
      <w:r w:rsidRPr="007C0907">
        <w:rPr>
          <w:rStyle w:val="FootnoteReference"/>
          <w:vertAlign w:val="baseline"/>
          <w:rtl/>
        </w:rPr>
        <w:footnoteRef/>
      </w:r>
      <w:r w:rsidRPr="007C0907">
        <w:rPr>
          <w:rStyle w:val="FootnoteReference"/>
          <w:vertAlign w:val="baseline"/>
          <w:rtl/>
        </w:rPr>
        <w:t>)</w:t>
      </w:r>
      <w:r w:rsidR="007B49CF">
        <w:rPr>
          <w:i/>
          <w:iCs/>
          <w:szCs w:val="18"/>
          <w:rtl/>
        </w:rPr>
        <w:tab/>
      </w:r>
      <w:proofErr w:type="spellStart"/>
      <w:r w:rsidRPr="007C0907">
        <w:rPr>
          <w:i/>
          <w:iCs/>
          <w:szCs w:val="18"/>
          <w:rtl/>
        </w:rPr>
        <w:t>تورشنياك</w:t>
      </w:r>
      <w:proofErr w:type="spellEnd"/>
      <w:r w:rsidRPr="007C0907">
        <w:rPr>
          <w:i/>
          <w:iCs/>
          <w:szCs w:val="18"/>
          <w:rtl/>
        </w:rPr>
        <w:t xml:space="preserve"> وآخرون ضد بيلاروس</w:t>
      </w:r>
      <w:r w:rsidRPr="007C0907">
        <w:rPr>
          <w:szCs w:val="18"/>
          <w:rtl/>
        </w:rPr>
        <w:t xml:space="preserve"> </w:t>
      </w:r>
      <w:r w:rsidRPr="007C0907">
        <w:rPr>
          <w:rFonts w:cs="Times New Roman"/>
          <w:szCs w:val="18"/>
          <w:rtl/>
        </w:rPr>
        <w:t>(</w:t>
      </w:r>
      <w:r w:rsidRPr="007C0907">
        <w:rPr>
          <w:rFonts w:cs="Times New Roman"/>
          <w:szCs w:val="18"/>
        </w:rPr>
        <w:t>CCPR/C/</w:t>
      </w:r>
      <w:r w:rsidRPr="007C0907">
        <w:rPr>
          <w:szCs w:val="18"/>
        </w:rPr>
        <w:t>108</w:t>
      </w:r>
      <w:r w:rsidRPr="007C0907">
        <w:rPr>
          <w:rFonts w:cs="Times New Roman"/>
          <w:szCs w:val="18"/>
        </w:rPr>
        <w:t>/D/</w:t>
      </w:r>
      <w:r w:rsidRPr="007C0907">
        <w:rPr>
          <w:szCs w:val="18"/>
        </w:rPr>
        <w:t>1948</w:t>
      </w:r>
      <w:r w:rsidRPr="007C0907">
        <w:rPr>
          <w:rFonts w:cs="Times New Roman"/>
          <w:szCs w:val="18"/>
        </w:rPr>
        <w:t>/</w:t>
      </w:r>
      <w:r w:rsidRPr="007C0907">
        <w:rPr>
          <w:szCs w:val="18"/>
        </w:rPr>
        <w:t>2010</w:t>
      </w:r>
      <w:r w:rsidRPr="007C0907">
        <w:rPr>
          <w:rFonts w:ascii="Traditional Arabic"/>
          <w:szCs w:val="18"/>
          <w:rtl/>
        </w:rPr>
        <w:t>)</w:t>
      </w:r>
      <w:r w:rsidRPr="007C0907">
        <w:rPr>
          <w:szCs w:val="18"/>
          <w:rtl/>
        </w:rPr>
        <w:t>، الفقرة</w:t>
      </w:r>
      <w:r w:rsidRPr="007C0907">
        <w:rPr>
          <w:rFonts w:ascii="Traditional Arabic"/>
          <w:szCs w:val="18"/>
          <w:rtl/>
        </w:rPr>
        <w:t xml:space="preserve"> </w:t>
      </w:r>
      <w:r w:rsidRPr="007C0907">
        <w:rPr>
          <w:szCs w:val="18"/>
          <w:rtl/>
        </w:rPr>
        <w:t>7</w:t>
      </w:r>
      <w:r w:rsidRPr="007C0907">
        <w:rPr>
          <w:rFonts w:ascii="Traditional Arabic"/>
          <w:szCs w:val="18"/>
          <w:rtl/>
        </w:rPr>
        <w:t>-</w:t>
      </w:r>
      <w:r w:rsidRPr="007C0907">
        <w:rPr>
          <w:szCs w:val="18"/>
          <w:rtl/>
        </w:rPr>
        <w:t>4</w:t>
      </w:r>
      <w:r w:rsidRPr="007C0907">
        <w:rPr>
          <w:rFonts w:ascii="Traditional Arabic"/>
          <w:szCs w:val="18"/>
          <w:rtl/>
        </w:rPr>
        <w:t>.</w:t>
      </w:r>
    </w:p>
  </w:footnote>
  <w:footnote w:id="13">
    <w:p w14:paraId="65F69EC5" w14:textId="3C0D64E9" w:rsidR="00222C20" w:rsidRPr="007C0907" w:rsidRDefault="00222C20" w:rsidP="00F2088C">
      <w:pPr>
        <w:pStyle w:val="FootnoteText"/>
        <w:tabs>
          <w:tab w:val="clear" w:pos="1021"/>
        </w:tabs>
        <w:bidi/>
        <w:spacing w:after="60" w:line="280" w:lineRule="exact"/>
        <w:ind w:left="1247" w:right="1247" w:hanging="567"/>
        <w:jc w:val="lowKashida"/>
        <w:textDirection w:val="tbRlV"/>
        <w:rPr>
          <w:szCs w:val="18"/>
          <w:lang w:val="ar-SA" w:eastAsia="zh-TW" w:bidi="en-GB"/>
        </w:rPr>
      </w:pPr>
      <w:r w:rsidRPr="007C0907">
        <w:rPr>
          <w:rStyle w:val="FootnoteReference"/>
          <w:vertAlign w:val="baseline"/>
          <w:rtl/>
        </w:rPr>
        <w:t>(</w:t>
      </w:r>
      <w:r w:rsidRPr="007C0907">
        <w:rPr>
          <w:rStyle w:val="FootnoteReference"/>
          <w:vertAlign w:val="baseline"/>
          <w:rtl/>
        </w:rPr>
        <w:footnoteRef/>
      </w:r>
      <w:r w:rsidRPr="007C0907">
        <w:rPr>
          <w:rStyle w:val="FootnoteReference"/>
          <w:vertAlign w:val="baseline"/>
          <w:rtl/>
        </w:rPr>
        <w:t>)</w:t>
      </w:r>
      <w:r w:rsidRPr="007C0907">
        <w:rPr>
          <w:szCs w:val="18"/>
          <w:rtl/>
        </w:rPr>
        <w:tab/>
        <w:t>اللجنة المعنية بحقوق الإنسان، التعليق العام رقم 37، الفقرة 36.</w:t>
      </w:r>
    </w:p>
  </w:footnote>
  <w:footnote w:id="14">
    <w:p w14:paraId="663F0DCD" w14:textId="30C139F6" w:rsidR="00222C20" w:rsidRPr="007C0907" w:rsidRDefault="00222C20" w:rsidP="00F2088C">
      <w:pPr>
        <w:pStyle w:val="FootnoteText"/>
        <w:tabs>
          <w:tab w:val="clear" w:pos="1021"/>
        </w:tabs>
        <w:bidi/>
        <w:spacing w:after="60" w:line="280" w:lineRule="exact"/>
        <w:ind w:left="1247" w:right="1247" w:hanging="567"/>
        <w:jc w:val="lowKashida"/>
        <w:textDirection w:val="tbRlV"/>
        <w:rPr>
          <w:szCs w:val="18"/>
          <w:lang w:val="ar-SA" w:eastAsia="zh-TW" w:bidi="en-GB"/>
        </w:rPr>
      </w:pPr>
      <w:r w:rsidRPr="007C0907">
        <w:rPr>
          <w:rStyle w:val="FootnoteReference"/>
          <w:vertAlign w:val="baseline"/>
          <w:rtl/>
        </w:rPr>
        <w:t>(</w:t>
      </w:r>
      <w:r w:rsidRPr="007C0907">
        <w:rPr>
          <w:rStyle w:val="FootnoteReference"/>
          <w:vertAlign w:val="baseline"/>
          <w:rtl/>
        </w:rPr>
        <w:footnoteRef/>
      </w:r>
      <w:r w:rsidRPr="007C0907">
        <w:rPr>
          <w:rStyle w:val="FootnoteReference"/>
          <w:vertAlign w:val="baseline"/>
          <w:rtl/>
        </w:rPr>
        <w:t>)</w:t>
      </w:r>
      <w:r w:rsidRPr="007C0907">
        <w:rPr>
          <w:szCs w:val="18"/>
          <w:rtl/>
        </w:rPr>
        <w:tab/>
      </w:r>
      <w:r w:rsidRPr="007C0907">
        <w:rPr>
          <w:rFonts w:cs="Times New Roman"/>
          <w:szCs w:val="18"/>
        </w:rPr>
        <w:t>CCPR/C/MAR/CO/</w:t>
      </w:r>
      <w:r w:rsidRPr="007C0907">
        <w:rPr>
          <w:szCs w:val="18"/>
        </w:rPr>
        <w:t>6</w:t>
      </w:r>
      <w:r w:rsidRPr="007C0907">
        <w:rPr>
          <w:szCs w:val="18"/>
          <w:rtl/>
        </w:rPr>
        <w:t>، الفقرة</w:t>
      </w:r>
      <w:r w:rsidRPr="007C0907">
        <w:rPr>
          <w:rFonts w:ascii="Traditional Arabic"/>
          <w:szCs w:val="18"/>
          <w:rtl/>
        </w:rPr>
        <w:t xml:space="preserve"> </w:t>
      </w:r>
      <w:r w:rsidRPr="007C0907">
        <w:rPr>
          <w:szCs w:val="18"/>
          <w:rtl/>
        </w:rPr>
        <w:t>45؛ و</w:t>
      </w:r>
      <w:r w:rsidRPr="007C0907">
        <w:rPr>
          <w:szCs w:val="18"/>
        </w:rPr>
        <w:t>CCPR/C/GMB/CO/2</w:t>
      </w:r>
      <w:r w:rsidRPr="007C0907">
        <w:rPr>
          <w:szCs w:val="18"/>
          <w:rtl/>
        </w:rPr>
        <w:t>، الفقرة</w:t>
      </w:r>
      <w:r w:rsidRPr="007C0907">
        <w:rPr>
          <w:rFonts w:ascii="Traditional Arabic"/>
          <w:szCs w:val="18"/>
          <w:rtl/>
        </w:rPr>
        <w:t xml:space="preserve"> </w:t>
      </w:r>
      <w:r w:rsidRPr="007C0907">
        <w:rPr>
          <w:szCs w:val="18"/>
          <w:rtl/>
        </w:rPr>
        <w:t>41؛</w:t>
      </w:r>
      <w:r w:rsidR="00FF1E5B">
        <w:rPr>
          <w:szCs w:val="18"/>
          <w:rtl/>
        </w:rPr>
        <w:t xml:space="preserve"> و</w:t>
      </w:r>
      <w:r w:rsidRPr="007C0907">
        <w:rPr>
          <w:rFonts w:cs="Times New Roman"/>
          <w:szCs w:val="18"/>
        </w:rPr>
        <w:t xml:space="preserve">African Commission on Human and Peoples’ Rights, </w:t>
      </w:r>
      <w:r w:rsidRPr="007C0907">
        <w:rPr>
          <w:rFonts w:cs="Times New Roman"/>
          <w:i/>
          <w:iCs/>
          <w:szCs w:val="18"/>
        </w:rPr>
        <w:t>Guidelines on Freedom of Association and Assembly in Africa</w:t>
      </w:r>
      <w:r w:rsidRPr="007C0907">
        <w:rPr>
          <w:rFonts w:cs="Times New Roman"/>
          <w:szCs w:val="18"/>
        </w:rPr>
        <w:t xml:space="preserve">, para. </w:t>
      </w:r>
      <w:r w:rsidRPr="007C0907">
        <w:rPr>
          <w:szCs w:val="18"/>
        </w:rPr>
        <w:t>71</w:t>
      </w:r>
      <w:r w:rsidRPr="007C0907">
        <w:rPr>
          <w:rFonts w:ascii="Traditional Arabic"/>
          <w:szCs w:val="18"/>
          <w:rtl/>
        </w:rPr>
        <w:t>.</w:t>
      </w:r>
      <w:bookmarkStart w:id="3" w:name="_Hlk62644030"/>
      <w:bookmarkEnd w:id="3"/>
    </w:p>
  </w:footnote>
  <w:footnote w:id="15">
    <w:p w14:paraId="1D36E59A" w14:textId="3AFE8466" w:rsidR="00222C20" w:rsidRPr="007C0907" w:rsidRDefault="00222C20" w:rsidP="00F2088C">
      <w:pPr>
        <w:pStyle w:val="FootnoteText"/>
        <w:tabs>
          <w:tab w:val="clear" w:pos="1021"/>
        </w:tabs>
        <w:bidi/>
        <w:spacing w:after="60" w:line="280" w:lineRule="exact"/>
        <w:ind w:left="1247" w:right="1247" w:hanging="567"/>
        <w:jc w:val="lowKashida"/>
        <w:textDirection w:val="tbRlV"/>
        <w:rPr>
          <w:szCs w:val="18"/>
          <w:lang w:val="ar-SA" w:eastAsia="zh-TW" w:bidi="en-GB"/>
        </w:rPr>
      </w:pPr>
      <w:r w:rsidRPr="007C0907">
        <w:rPr>
          <w:rStyle w:val="FootnoteReference"/>
          <w:vertAlign w:val="baseline"/>
          <w:rtl/>
        </w:rPr>
        <w:t>(</w:t>
      </w:r>
      <w:r w:rsidRPr="007C0907">
        <w:rPr>
          <w:rStyle w:val="FootnoteReference"/>
          <w:vertAlign w:val="baseline"/>
          <w:rtl/>
        </w:rPr>
        <w:footnoteRef/>
      </w:r>
      <w:r w:rsidRPr="007C0907">
        <w:rPr>
          <w:rStyle w:val="FootnoteReference"/>
          <w:vertAlign w:val="baseline"/>
          <w:rtl/>
        </w:rPr>
        <w:t>)</w:t>
      </w:r>
      <w:r w:rsidRPr="007C0907">
        <w:rPr>
          <w:szCs w:val="18"/>
          <w:rtl/>
        </w:rPr>
        <w:tab/>
      </w:r>
      <w:proofErr w:type="spellStart"/>
      <w:r w:rsidRPr="007C0907">
        <w:rPr>
          <w:i/>
          <w:iCs/>
          <w:szCs w:val="18"/>
          <w:rtl/>
        </w:rPr>
        <w:t>بولياكوف</w:t>
      </w:r>
      <w:proofErr w:type="spellEnd"/>
      <w:r w:rsidRPr="007C0907">
        <w:rPr>
          <w:i/>
          <w:iCs/>
          <w:szCs w:val="18"/>
          <w:rtl/>
        </w:rPr>
        <w:t xml:space="preserve"> ضد بيلاروس</w:t>
      </w:r>
      <w:r w:rsidRPr="007C0907">
        <w:rPr>
          <w:szCs w:val="18"/>
          <w:rtl/>
        </w:rPr>
        <w:t xml:space="preserve"> </w:t>
      </w:r>
      <w:r w:rsidRPr="007C0907">
        <w:rPr>
          <w:rFonts w:cs="Times New Roman"/>
          <w:szCs w:val="18"/>
          <w:rtl/>
        </w:rPr>
        <w:t>(</w:t>
      </w:r>
      <w:r w:rsidRPr="007C0907">
        <w:rPr>
          <w:rFonts w:cs="Times New Roman"/>
          <w:szCs w:val="18"/>
        </w:rPr>
        <w:t>CCPR/C/</w:t>
      </w:r>
      <w:r w:rsidRPr="007C0907">
        <w:rPr>
          <w:szCs w:val="18"/>
        </w:rPr>
        <w:t>111</w:t>
      </w:r>
      <w:r w:rsidRPr="007C0907">
        <w:rPr>
          <w:rFonts w:cs="Times New Roman"/>
          <w:szCs w:val="18"/>
        </w:rPr>
        <w:t>/D/</w:t>
      </w:r>
      <w:r w:rsidRPr="007C0907">
        <w:rPr>
          <w:szCs w:val="18"/>
        </w:rPr>
        <w:t>2030</w:t>
      </w:r>
      <w:r w:rsidRPr="007C0907">
        <w:rPr>
          <w:rFonts w:cs="Times New Roman"/>
          <w:szCs w:val="18"/>
        </w:rPr>
        <w:t>/</w:t>
      </w:r>
      <w:r w:rsidRPr="007C0907">
        <w:rPr>
          <w:szCs w:val="18"/>
        </w:rPr>
        <w:t>2011</w:t>
      </w:r>
      <w:r w:rsidRPr="007C0907">
        <w:rPr>
          <w:rFonts w:ascii="Traditional Arabic"/>
          <w:szCs w:val="18"/>
          <w:rtl/>
        </w:rPr>
        <w:t>)</w:t>
      </w:r>
      <w:r w:rsidRPr="007C0907">
        <w:rPr>
          <w:szCs w:val="18"/>
          <w:rtl/>
        </w:rPr>
        <w:t>، الفقرة</w:t>
      </w:r>
      <w:r w:rsidRPr="007C0907">
        <w:rPr>
          <w:rFonts w:ascii="Traditional Arabic"/>
          <w:szCs w:val="18"/>
          <w:rtl/>
        </w:rPr>
        <w:t xml:space="preserve"> </w:t>
      </w:r>
      <w:r w:rsidRPr="007C0907">
        <w:rPr>
          <w:szCs w:val="18"/>
          <w:rtl/>
        </w:rPr>
        <w:t>8</w:t>
      </w:r>
      <w:r w:rsidRPr="007C0907">
        <w:rPr>
          <w:rFonts w:ascii="Traditional Arabic"/>
          <w:szCs w:val="18"/>
          <w:rtl/>
        </w:rPr>
        <w:t>-</w:t>
      </w:r>
      <w:r w:rsidRPr="007C0907">
        <w:rPr>
          <w:szCs w:val="18"/>
          <w:rtl/>
        </w:rPr>
        <w:t>3</w:t>
      </w:r>
      <w:r w:rsidRPr="007C0907">
        <w:rPr>
          <w:rFonts w:ascii="Traditional Arabic"/>
          <w:szCs w:val="18"/>
          <w:rtl/>
        </w:rPr>
        <w:t>.</w:t>
      </w:r>
      <w:bookmarkStart w:id="4" w:name="_Hlk62644095"/>
      <w:bookmarkEnd w:id="4"/>
    </w:p>
  </w:footnote>
  <w:footnote w:id="16">
    <w:p w14:paraId="03AE1DF3" w14:textId="30468322" w:rsidR="00222C20" w:rsidRPr="007C0907" w:rsidRDefault="00222C20" w:rsidP="00F2088C">
      <w:pPr>
        <w:pStyle w:val="FootnoteText"/>
        <w:tabs>
          <w:tab w:val="clear" w:pos="1021"/>
        </w:tabs>
        <w:bidi/>
        <w:spacing w:after="60" w:line="280" w:lineRule="exact"/>
        <w:ind w:left="1247" w:right="1247" w:hanging="567"/>
        <w:jc w:val="lowKashida"/>
        <w:textDirection w:val="tbRlV"/>
        <w:rPr>
          <w:szCs w:val="18"/>
          <w:lang w:eastAsia="zh-TW" w:bidi="en-GB"/>
        </w:rPr>
      </w:pPr>
      <w:r w:rsidRPr="007C0907">
        <w:rPr>
          <w:rStyle w:val="FootnoteReference"/>
          <w:vertAlign w:val="baseline"/>
          <w:rtl/>
        </w:rPr>
        <w:t>(</w:t>
      </w:r>
      <w:r w:rsidRPr="007C0907">
        <w:rPr>
          <w:rStyle w:val="FootnoteReference"/>
          <w:vertAlign w:val="baseline"/>
          <w:rtl/>
        </w:rPr>
        <w:footnoteRef/>
      </w:r>
      <w:r w:rsidRPr="007C0907">
        <w:rPr>
          <w:rStyle w:val="FootnoteReference"/>
          <w:vertAlign w:val="baseline"/>
          <w:rtl/>
        </w:rPr>
        <w:t>)</w:t>
      </w:r>
      <w:r w:rsidRPr="007C0907">
        <w:rPr>
          <w:szCs w:val="18"/>
          <w:rtl/>
        </w:rPr>
        <w:tab/>
        <w:t>اللجنة المعنية بحقوق الإنسان، التعليق العام رقم</w:t>
      </w:r>
      <w:r w:rsidRPr="007C0907">
        <w:rPr>
          <w:rFonts w:ascii="Traditional Arabic"/>
          <w:szCs w:val="18"/>
          <w:rtl/>
        </w:rPr>
        <w:t xml:space="preserve"> </w:t>
      </w:r>
      <w:r w:rsidRPr="007C0907">
        <w:rPr>
          <w:szCs w:val="18"/>
          <w:rtl/>
        </w:rPr>
        <w:t>37، الفقرة</w:t>
      </w:r>
      <w:r w:rsidRPr="007C0907">
        <w:rPr>
          <w:rFonts w:ascii="Traditional Arabic"/>
          <w:szCs w:val="18"/>
          <w:rtl/>
        </w:rPr>
        <w:t xml:space="preserve"> </w:t>
      </w:r>
      <w:r w:rsidRPr="007C0907">
        <w:rPr>
          <w:szCs w:val="18"/>
          <w:rtl/>
        </w:rPr>
        <w:t>73؛ و</w:t>
      </w:r>
      <w:r w:rsidRPr="007C0907">
        <w:rPr>
          <w:rFonts w:asciiTheme="majorBidi" w:hAnsiTheme="majorBidi" w:cstheme="majorBidi"/>
          <w:szCs w:val="18"/>
        </w:rPr>
        <w:t>CCPR/C/JOR/CO/</w:t>
      </w:r>
      <w:r w:rsidRPr="007C0907">
        <w:rPr>
          <w:szCs w:val="18"/>
        </w:rPr>
        <w:t>5</w:t>
      </w:r>
      <w:r w:rsidRPr="007C0907">
        <w:rPr>
          <w:szCs w:val="18"/>
          <w:rtl/>
        </w:rPr>
        <w:t>، الفقرة</w:t>
      </w:r>
      <w:r w:rsidRPr="007C0907">
        <w:rPr>
          <w:rFonts w:ascii="Traditional Arabic"/>
          <w:szCs w:val="18"/>
          <w:rtl/>
        </w:rPr>
        <w:t xml:space="preserve"> </w:t>
      </w:r>
      <w:r w:rsidRPr="007C0907">
        <w:rPr>
          <w:szCs w:val="18"/>
          <w:rtl/>
        </w:rPr>
        <w:t>32</w:t>
      </w:r>
      <w:r w:rsidRPr="007C0907">
        <w:rPr>
          <w:rFonts w:ascii="Traditional Arabic"/>
          <w:szCs w:val="18"/>
          <w:rtl/>
        </w:rPr>
        <w:t>.</w:t>
      </w:r>
    </w:p>
  </w:footnote>
  <w:footnote w:id="17">
    <w:p w14:paraId="0A1BDCED" w14:textId="0B9C3790" w:rsidR="00222C20" w:rsidRPr="007C0907" w:rsidRDefault="00222C20" w:rsidP="00F2088C">
      <w:pPr>
        <w:pStyle w:val="FootnoteText"/>
        <w:tabs>
          <w:tab w:val="clear" w:pos="1021"/>
        </w:tabs>
        <w:bidi/>
        <w:spacing w:after="60" w:line="280" w:lineRule="exact"/>
        <w:ind w:left="1247" w:right="1247" w:hanging="567"/>
        <w:jc w:val="lowKashida"/>
        <w:textDirection w:val="tbRlV"/>
        <w:rPr>
          <w:szCs w:val="18"/>
          <w:lang w:eastAsia="zh-TW" w:bidi="en-GB"/>
        </w:rPr>
      </w:pPr>
      <w:r w:rsidRPr="007C0907">
        <w:rPr>
          <w:rStyle w:val="FootnoteReference"/>
          <w:vertAlign w:val="baseline"/>
          <w:rtl/>
        </w:rPr>
        <w:t>(</w:t>
      </w:r>
      <w:r w:rsidRPr="007C0907">
        <w:rPr>
          <w:rStyle w:val="FootnoteReference"/>
          <w:vertAlign w:val="baseline"/>
          <w:rtl/>
        </w:rPr>
        <w:footnoteRef/>
      </w:r>
      <w:r w:rsidRPr="007C0907">
        <w:rPr>
          <w:rStyle w:val="FootnoteReference"/>
          <w:vertAlign w:val="baseline"/>
          <w:rtl/>
        </w:rPr>
        <w:t>)</w:t>
      </w:r>
      <w:r w:rsidRPr="007C0907">
        <w:rPr>
          <w:szCs w:val="18"/>
          <w:rtl/>
        </w:rPr>
        <w:tab/>
        <w:t>اللجنة المعنية بحقوق الإنسان، التعليق العام رقم 37، الفقرة 14.</w:t>
      </w:r>
    </w:p>
  </w:footnote>
  <w:footnote w:id="18">
    <w:p w14:paraId="71C585AE" w14:textId="66DBB172" w:rsidR="00222C20" w:rsidRPr="007C0907" w:rsidRDefault="00222C20" w:rsidP="00F2088C">
      <w:pPr>
        <w:pStyle w:val="FootnoteText"/>
        <w:tabs>
          <w:tab w:val="clear" w:pos="1021"/>
        </w:tabs>
        <w:bidi/>
        <w:spacing w:after="60" w:line="280" w:lineRule="exact"/>
        <w:ind w:left="1247" w:right="1247" w:hanging="567"/>
        <w:jc w:val="lowKashida"/>
        <w:textDirection w:val="tbRlV"/>
        <w:rPr>
          <w:szCs w:val="18"/>
          <w:lang w:eastAsia="zh-TW" w:bidi="en-GB"/>
        </w:rPr>
      </w:pPr>
      <w:r w:rsidRPr="007C0907">
        <w:rPr>
          <w:rStyle w:val="FootnoteReference"/>
          <w:vertAlign w:val="baseline"/>
          <w:rtl/>
        </w:rPr>
        <w:t>(</w:t>
      </w:r>
      <w:r w:rsidRPr="007C0907">
        <w:rPr>
          <w:rStyle w:val="FootnoteReference"/>
          <w:vertAlign w:val="baseline"/>
          <w:rtl/>
        </w:rPr>
        <w:footnoteRef/>
      </w:r>
      <w:r w:rsidRPr="007C0907">
        <w:rPr>
          <w:rStyle w:val="FootnoteReference"/>
          <w:vertAlign w:val="baseline"/>
          <w:rtl/>
        </w:rPr>
        <w:t>)</w:t>
      </w:r>
      <w:r w:rsidRPr="007C0907">
        <w:rPr>
          <w:szCs w:val="18"/>
          <w:rtl/>
        </w:rPr>
        <w:tab/>
        <w:t>المرجع نفسه، الفقرة 23.</w:t>
      </w:r>
    </w:p>
  </w:footnote>
  <w:footnote w:id="19">
    <w:p w14:paraId="6A0D7C9E" w14:textId="3154DC2E" w:rsidR="00222C20" w:rsidRPr="007C0907" w:rsidRDefault="00222C20" w:rsidP="00F2088C">
      <w:pPr>
        <w:pStyle w:val="FootnoteText"/>
        <w:tabs>
          <w:tab w:val="clear" w:pos="1021"/>
        </w:tabs>
        <w:bidi/>
        <w:spacing w:after="60" w:line="280" w:lineRule="exact"/>
        <w:ind w:left="1247" w:right="1247" w:hanging="567"/>
        <w:jc w:val="lowKashida"/>
        <w:textDirection w:val="tbRlV"/>
        <w:rPr>
          <w:szCs w:val="18"/>
          <w:lang w:val="ar-SA" w:eastAsia="zh-TW" w:bidi="en-GB"/>
        </w:rPr>
      </w:pPr>
      <w:r w:rsidRPr="007C0907">
        <w:rPr>
          <w:rStyle w:val="FootnoteReference"/>
          <w:vertAlign w:val="baseline"/>
          <w:rtl/>
        </w:rPr>
        <w:t>(</w:t>
      </w:r>
      <w:r w:rsidRPr="007C0907">
        <w:rPr>
          <w:rStyle w:val="FootnoteReference"/>
          <w:vertAlign w:val="baseline"/>
          <w:rtl/>
        </w:rPr>
        <w:footnoteRef/>
      </w:r>
      <w:r w:rsidRPr="007C0907">
        <w:rPr>
          <w:rStyle w:val="FootnoteReference"/>
          <w:vertAlign w:val="baseline"/>
          <w:rtl/>
        </w:rPr>
        <w:t>)</w:t>
      </w:r>
      <w:r w:rsidRPr="007C0907">
        <w:rPr>
          <w:szCs w:val="18"/>
          <w:rtl/>
        </w:rPr>
        <w:tab/>
        <w:t>المرجع نفسه، الفقرة 24.</w:t>
      </w:r>
    </w:p>
  </w:footnote>
  <w:footnote w:id="20">
    <w:p w14:paraId="1EE5A24A" w14:textId="56543D99" w:rsidR="00222C20" w:rsidRPr="007C0907" w:rsidRDefault="00222C20" w:rsidP="00F2088C">
      <w:pPr>
        <w:pStyle w:val="FootnoteText"/>
        <w:tabs>
          <w:tab w:val="clear" w:pos="1021"/>
        </w:tabs>
        <w:bidi/>
        <w:spacing w:after="60" w:line="280" w:lineRule="exact"/>
        <w:ind w:left="1247" w:right="1247" w:hanging="567"/>
        <w:jc w:val="lowKashida"/>
        <w:textDirection w:val="tbRlV"/>
        <w:rPr>
          <w:szCs w:val="18"/>
          <w:lang w:val="ar-SA" w:eastAsia="zh-TW" w:bidi="en-GB"/>
        </w:rPr>
      </w:pPr>
      <w:r w:rsidRPr="007C0907">
        <w:rPr>
          <w:rStyle w:val="FootnoteReference"/>
          <w:vertAlign w:val="baseline"/>
          <w:rtl/>
        </w:rPr>
        <w:t>(</w:t>
      </w:r>
      <w:r w:rsidRPr="007C0907">
        <w:rPr>
          <w:rStyle w:val="FootnoteReference"/>
          <w:vertAlign w:val="baseline"/>
          <w:rtl/>
        </w:rPr>
        <w:footnoteRef/>
      </w:r>
      <w:r w:rsidRPr="007C0907">
        <w:rPr>
          <w:rStyle w:val="FootnoteReference"/>
          <w:vertAlign w:val="baseline"/>
          <w:rtl/>
        </w:rPr>
        <w:t>)</w:t>
      </w:r>
      <w:r w:rsidRPr="007C0907">
        <w:rPr>
          <w:szCs w:val="18"/>
          <w:rtl/>
        </w:rPr>
        <w:tab/>
        <w:t>المرجع نفسه، الفقرة</w:t>
      </w:r>
      <w:r w:rsidRPr="007C0907">
        <w:rPr>
          <w:rFonts w:ascii="Traditional Arabic"/>
          <w:szCs w:val="18"/>
          <w:rtl/>
        </w:rPr>
        <w:t xml:space="preserve"> </w:t>
      </w:r>
      <w:r w:rsidRPr="007C0907">
        <w:rPr>
          <w:szCs w:val="18"/>
          <w:rtl/>
        </w:rPr>
        <w:t>25</w:t>
      </w:r>
      <w:r w:rsidRPr="007C0907">
        <w:rPr>
          <w:rFonts w:ascii="Traditional Arabic"/>
          <w:szCs w:val="18"/>
          <w:rtl/>
        </w:rPr>
        <w:t>.</w:t>
      </w:r>
    </w:p>
  </w:footnote>
  <w:footnote w:id="21">
    <w:p w14:paraId="6635693E" w14:textId="3A8313D6" w:rsidR="00222C20" w:rsidRPr="007C0907" w:rsidRDefault="00222C20" w:rsidP="00F2088C">
      <w:pPr>
        <w:pStyle w:val="FootnoteText"/>
        <w:tabs>
          <w:tab w:val="clear" w:pos="1021"/>
        </w:tabs>
        <w:bidi/>
        <w:spacing w:after="60" w:line="280" w:lineRule="exact"/>
        <w:ind w:left="1247" w:right="1247" w:hanging="567"/>
        <w:jc w:val="lowKashida"/>
        <w:textDirection w:val="tbRlV"/>
        <w:rPr>
          <w:szCs w:val="18"/>
          <w:lang w:val="ar-SA" w:eastAsia="zh-TW" w:bidi="en-GB"/>
        </w:rPr>
      </w:pPr>
      <w:r w:rsidRPr="007C0907">
        <w:rPr>
          <w:rStyle w:val="FootnoteReference"/>
          <w:vertAlign w:val="baseline"/>
          <w:rtl/>
        </w:rPr>
        <w:t>(</w:t>
      </w:r>
      <w:r w:rsidRPr="007C0907">
        <w:rPr>
          <w:rStyle w:val="FootnoteReference"/>
          <w:vertAlign w:val="baseline"/>
          <w:rtl/>
        </w:rPr>
        <w:footnoteRef/>
      </w:r>
      <w:r w:rsidRPr="007C0907">
        <w:rPr>
          <w:rStyle w:val="FootnoteReference"/>
          <w:vertAlign w:val="baseline"/>
          <w:rtl/>
        </w:rPr>
        <w:t>)</w:t>
      </w:r>
      <w:r w:rsidRPr="007C0907">
        <w:rPr>
          <w:szCs w:val="18"/>
          <w:rtl/>
        </w:rPr>
        <w:tab/>
        <w:t>المرجع نفسه، الفقرة</w:t>
      </w:r>
      <w:r w:rsidRPr="007C0907">
        <w:rPr>
          <w:rFonts w:ascii="Traditional Arabic"/>
          <w:szCs w:val="18"/>
          <w:rtl/>
        </w:rPr>
        <w:t xml:space="preserve"> </w:t>
      </w:r>
      <w:r w:rsidRPr="007C0907">
        <w:rPr>
          <w:szCs w:val="18"/>
          <w:rtl/>
        </w:rPr>
        <w:t>27</w:t>
      </w:r>
      <w:r w:rsidRPr="007C0907">
        <w:rPr>
          <w:rFonts w:ascii="Traditional Arabic"/>
          <w:szCs w:val="18"/>
          <w:rtl/>
        </w:rPr>
        <w:t>.</w:t>
      </w:r>
    </w:p>
  </w:footnote>
  <w:footnote w:id="22">
    <w:p w14:paraId="772B1C1E" w14:textId="752103A6" w:rsidR="00222C20" w:rsidRPr="007C0907" w:rsidRDefault="00222C20" w:rsidP="00F2088C">
      <w:pPr>
        <w:pStyle w:val="FootnoteText"/>
        <w:tabs>
          <w:tab w:val="clear" w:pos="1021"/>
        </w:tabs>
        <w:bidi/>
        <w:spacing w:after="60" w:line="280" w:lineRule="exact"/>
        <w:ind w:left="1247" w:right="1247" w:hanging="567"/>
        <w:jc w:val="lowKashida"/>
        <w:textDirection w:val="tbRlV"/>
        <w:rPr>
          <w:szCs w:val="18"/>
          <w:lang w:eastAsia="zh-TW" w:bidi="en-GB"/>
        </w:rPr>
      </w:pPr>
      <w:r w:rsidRPr="007C0907">
        <w:rPr>
          <w:rStyle w:val="FootnoteReference"/>
          <w:vertAlign w:val="baseline"/>
          <w:rtl/>
        </w:rPr>
        <w:t>(</w:t>
      </w:r>
      <w:r w:rsidRPr="007C0907">
        <w:rPr>
          <w:rStyle w:val="FootnoteReference"/>
          <w:vertAlign w:val="baseline"/>
          <w:rtl/>
        </w:rPr>
        <w:footnoteRef/>
      </w:r>
      <w:r w:rsidRPr="007C0907">
        <w:rPr>
          <w:rStyle w:val="FootnoteReference"/>
          <w:vertAlign w:val="baseline"/>
          <w:rtl/>
        </w:rPr>
        <w:t>)</w:t>
      </w:r>
      <w:r w:rsidRPr="007C0907">
        <w:rPr>
          <w:szCs w:val="18"/>
          <w:rtl/>
        </w:rPr>
        <w:tab/>
        <w:t>المرجع نفسه، الفقرة</w:t>
      </w:r>
      <w:r w:rsidRPr="007C0907">
        <w:rPr>
          <w:rFonts w:ascii="Traditional Arabic"/>
          <w:szCs w:val="18"/>
          <w:rtl/>
        </w:rPr>
        <w:t xml:space="preserve"> </w:t>
      </w:r>
      <w:r w:rsidRPr="007C0907">
        <w:rPr>
          <w:szCs w:val="18"/>
          <w:rtl/>
        </w:rPr>
        <w:t xml:space="preserve">47. انظر </w:t>
      </w:r>
      <w:r w:rsidR="00FF1E5B">
        <w:rPr>
          <w:szCs w:val="18"/>
          <w:rtl/>
        </w:rPr>
        <w:t>أيضاً</w:t>
      </w:r>
      <w:r w:rsidRPr="007C0907">
        <w:rPr>
          <w:szCs w:val="18"/>
          <w:rtl/>
        </w:rPr>
        <w:t xml:space="preserve"> </w:t>
      </w:r>
      <w:proofErr w:type="spellStart"/>
      <w:r w:rsidRPr="007C0907">
        <w:rPr>
          <w:i/>
          <w:iCs/>
          <w:szCs w:val="18"/>
          <w:rtl/>
        </w:rPr>
        <w:t>ستامبروفسكي</w:t>
      </w:r>
      <w:proofErr w:type="spellEnd"/>
      <w:r w:rsidRPr="007C0907">
        <w:rPr>
          <w:i/>
          <w:iCs/>
          <w:szCs w:val="18"/>
          <w:rtl/>
        </w:rPr>
        <w:t xml:space="preserve"> ضد بيلاروس</w:t>
      </w:r>
      <w:r w:rsidRPr="007C0907">
        <w:rPr>
          <w:szCs w:val="18"/>
          <w:rtl/>
        </w:rPr>
        <w:t xml:space="preserve"> </w:t>
      </w:r>
      <w:r w:rsidRPr="007C0907">
        <w:rPr>
          <w:rFonts w:cs="Times New Roman"/>
          <w:szCs w:val="18"/>
          <w:rtl/>
        </w:rPr>
        <w:t>(</w:t>
      </w:r>
      <w:r w:rsidRPr="007C0907">
        <w:rPr>
          <w:rFonts w:cs="Times New Roman"/>
          <w:szCs w:val="18"/>
        </w:rPr>
        <w:t>CCPR/C/</w:t>
      </w:r>
      <w:r w:rsidRPr="007C0907">
        <w:rPr>
          <w:szCs w:val="18"/>
        </w:rPr>
        <w:t>112</w:t>
      </w:r>
      <w:r w:rsidRPr="007C0907">
        <w:rPr>
          <w:rFonts w:cs="Times New Roman"/>
          <w:szCs w:val="18"/>
        </w:rPr>
        <w:t>/D/</w:t>
      </w:r>
      <w:r w:rsidRPr="007C0907">
        <w:rPr>
          <w:szCs w:val="18"/>
        </w:rPr>
        <w:t>1987</w:t>
      </w:r>
      <w:r w:rsidRPr="007C0907">
        <w:rPr>
          <w:rFonts w:cs="Times New Roman"/>
          <w:szCs w:val="18"/>
        </w:rPr>
        <w:t>/</w:t>
      </w:r>
      <w:r w:rsidRPr="007C0907">
        <w:rPr>
          <w:szCs w:val="18"/>
        </w:rPr>
        <w:t>2010</w:t>
      </w:r>
      <w:r w:rsidRPr="007C0907">
        <w:rPr>
          <w:rFonts w:ascii="Traditional Arabic"/>
          <w:szCs w:val="18"/>
          <w:rtl/>
        </w:rPr>
        <w:t>)</w:t>
      </w:r>
      <w:r w:rsidRPr="007C0907">
        <w:rPr>
          <w:szCs w:val="18"/>
          <w:rtl/>
        </w:rPr>
        <w:t>، الفقرة</w:t>
      </w:r>
      <w:r w:rsidRPr="007C0907">
        <w:rPr>
          <w:rFonts w:ascii="Traditional Arabic"/>
          <w:szCs w:val="18"/>
          <w:rtl/>
        </w:rPr>
        <w:t xml:space="preserve"> </w:t>
      </w:r>
      <w:r w:rsidRPr="007C0907">
        <w:rPr>
          <w:szCs w:val="18"/>
          <w:rtl/>
        </w:rPr>
        <w:t>7</w:t>
      </w:r>
      <w:r w:rsidRPr="007C0907">
        <w:rPr>
          <w:rFonts w:ascii="Traditional Arabic"/>
          <w:szCs w:val="18"/>
          <w:rtl/>
        </w:rPr>
        <w:t>-</w:t>
      </w:r>
      <w:r w:rsidRPr="007C0907">
        <w:rPr>
          <w:szCs w:val="18"/>
          <w:rtl/>
        </w:rPr>
        <w:t xml:space="preserve">6؛ </w:t>
      </w:r>
      <w:proofErr w:type="spellStart"/>
      <w:r w:rsidRPr="007C0907">
        <w:rPr>
          <w:szCs w:val="18"/>
          <w:rtl/>
        </w:rPr>
        <w:t>و</w:t>
      </w:r>
      <w:r w:rsidRPr="007C0907">
        <w:rPr>
          <w:i/>
          <w:iCs/>
          <w:szCs w:val="18"/>
          <w:rtl/>
        </w:rPr>
        <w:t>بوغاش</w:t>
      </w:r>
      <w:proofErr w:type="spellEnd"/>
      <w:r w:rsidRPr="007C0907">
        <w:rPr>
          <w:i/>
          <w:iCs/>
          <w:szCs w:val="18"/>
          <w:rtl/>
        </w:rPr>
        <w:t xml:space="preserve"> ضد بيلاروس</w:t>
      </w:r>
      <w:r w:rsidRPr="007C0907">
        <w:rPr>
          <w:szCs w:val="18"/>
          <w:rtl/>
        </w:rPr>
        <w:t xml:space="preserve"> </w:t>
      </w:r>
      <w:r w:rsidRPr="007C0907">
        <w:rPr>
          <w:rFonts w:cs="Times New Roman"/>
          <w:szCs w:val="18"/>
          <w:rtl/>
        </w:rPr>
        <w:t>(</w:t>
      </w:r>
      <w:r w:rsidRPr="007C0907">
        <w:rPr>
          <w:rFonts w:cs="Times New Roman"/>
          <w:szCs w:val="18"/>
        </w:rPr>
        <w:t>CCPR/C/</w:t>
      </w:r>
      <w:r w:rsidRPr="007C0907">
        <w:rPr>
          <w:szCs w:val="18"/>
        </w:rPr>
        <w:t>114</w:t>
      </w:r>
      <w:r w:rsidRPr="007C0907">
        <w:rPr>
          <w:rFonts w:cs="Times New Roman"/>
          <w:szCs w:val="18"/>
        </w:rPr>
        <w:t>/D/</w:t>
      </w:r>
      <w:r w:rsidRPr="007C0907">
        <w:rPr>
          <w:szCs w:val="18"/>
        </w:rPr>
        <w:t>1984</w:t>
      </w:r>
      <w:r w:rsidRPr="007C0907">
        <w:rPr>
          <w:rFonts w:cs="Times New Roman"/>
          <w:szCs w:val="18"/>
        </w:rPr>
        <w:t>/</w:t>
      </w:r>
      <w:r w:rsidRPr="007C0907">
        <w:rPr>
          <w:szCs w:val="18"/>
        </w:rPr>
        <w:t>2010</w:t>
      </w:r>
      <w:r w:rsidRPr="007C0907">
        <w:rPr>
          <w:rFonts w:ascii="Traditional Arabic"/>
          <w:szCs w:val="18"/>
          <w:rtl/>
        </w:rPr>
        <w:t>)</w:t>
      </w:r>
      <w:r w:rsidRPr="007C0907">
        <w:rPr>
          <w:szCs w:val="18"/>
          <w:rtl/>
        </w:rPr>
        <w:t>، الفقرة</w:t>
      </w:r>
      <w:r w:rsidRPr="007C0907">
        <w:rPr>
          <w:rFonts w:ascii="Traditional Arabic"/>
          <w:szCs w:val="18"/>
          <w:rtl/>
        </w:rPr>
        <w:t xml:space="preserve"> </w:t>
      </w:r>
      <w:r w:rsidRPr="007C0907">
        <w:rPr>
          <w:szCs w:val="18"/>
          <w:rtl/>
        </w:rPr>
        <w:t>7</w:t>
      </w:r>
      <w:r w:rsidRPr="007C0907">
        <w:rPr>
          <w:rFonts w:ascii="Traditional Arabic"/>
          <w:szCs w:val="18"/>
          <w:rtl/>
        </w:rPr>
        <w:t>-</w:t>
      </w:r>
      <w:r w:rsidRPr="007C0907">
        <w:rPr>
          <w:szCs w:val="18"/>
          <w:rtl/>
        </w:rPr>
        <w:t>8</w:t>
      </w:r>
      <w:r w:rsidRPr="007C0907">
        <w:rPr>
          <w:rFonts w:ascii="Traditional Arabic"/>
          <w:szCs w:val="18"/>
          <w:rtl/>
        </w:rPr>
        <w:t>.</w:t>
      </w:r>
      <w:r w:rsidRPr="007C0907">
        <w:rPr>
          <w:rFonts w:ascii="Traditional Arabic"/>
          <w:szCs w:val="18"/>
          <w:rtl/>
        </w:rPr>
        <w:t>‬</w:t>
      </w:r>
    </w:p>
  </w:footnote>
  <w:footnote w:id="23">
    <w:p w14:paraId="7FED7B35" w14:textId="381DAE9F" w:rsidR="00222C20" w:rsidRPr="007C0907" w:rsidRDefault="00222C20" w:rsidP="00F2088C">
      <w:pPr>
        <w:pStyle w:val="FootnoteText"/>
        <w:tabs>
          <w:tab w:val="clear" w:pos="1021"/>
        </w:tabs>
        <w:bidi/>
        <w:spacing w:after="60" w:line="280" w:lineRule="exact"/>
        <w:ind w:left="1247" w:right="1247" w:hanging="567"/>
        <w:jc w:val="lowKashida"/>
        <w:textDirection w:val="tbRlV"/>
        <w:rPr>
          <w:szCs w:val="18"/>
          <w:lang w:eastAsia="zh-TW" w:bidi="en-GB"/>
        </w:rPr>
      </w:pPr>
      <w:r w:rsidRPr="007C0907">
        <w:rPr>
          <w:rStyle w:val="FootnoteReference"/>
          <w:vertAlign w:val="baseline"/>
          <w:rtl/>
        </w:rPr>
        <w:t>(</w:t>
      </w:r>
      <w:r w:rsidRPr="007C0907">
        <w:rPr>
          <w:rStyle w:val="FootnoteReference"/>
          <w:vertAlign w:val="baseline"/>
          <w:rtl/>
        </w:rPr>
        <w:footnoteRef/>
      </w:r>
      <w:r w:rsidRPr="007C0907">
        <w:rPr>
          <w:rStyle w:val="FootnoteReference"/>
          <w:vertAlign w:val="baseline"/>
          <w:rtl/>
        </w:rPr>
        <w:t>)</w:t>
      </w:r>
      <w:r w:rsidRPr="007C0907">
        <w:rPr>
          <w:szCs w:val="18"/>
          <w:rtl/>
        </w:rPr>
        <w:tab/>
        <w:t xml:space="preserve">مبادئ </w:t>
      </w:r>
      <w:proofErr w:type="spellStart"/>
      <w:r w:rsidRPr="007C0907">
        <w:rPr>
          <w:szCs w:val="18"/>
          <w:rtl/>
        </w:rPr>
        <w:t>سيراكوزا</w:t>
      </w:r>
      <w:proofErr w:type="spellEnd"/>
      <w:r w:rsidRPr="007C0907">
        <w:rPr>
          <w:szCs w:val="18"/>
          <w:rtl/>
        </w:rPr>
        <w:t xml:space="preserve"> المتعلقة بأحكام التقييد وعدم التقيد الواردة في العهد الدولي الخاص بالحقوق المدنية والسياسية، الفقرة</w:t>
      </w:r>
      <w:r w:rsidRPr="007C0907">
        <w:rPr>
          <w:rFonts w:ascii="Traditional Arabic"/>
          <w:szCs w:val="18"/>
          <w:rtl/>
        </w:rPr>
        <w:t xml:space="preserve"> </w:t>
      </w:r>
      <w:r w:rsidRPr="007C0907">
        <w:rPr>
          <w:szCs w:val="18"/>
          <w:rtl/>
        </w:rPr>
        <w:t>22</w:t>
      </w:r>
      <w:r w:rsidRPr="007C0907">
        <w:rPr>
          <w:rFonts w:ascii="Traditional Arabic"/>
          <w:szCs w:val="18"/>
          <w:rtl/>
        </w:rPr>
        <w:t>.</w:t>
      </w:r>
    </w:p>
  </w:footnote>
  <w:footnote w:id="24">
    <w:p w14:paraId="755D561B" w14:textId="45EB1DE5" w:rsidR="00222C20" w:rsidRPr="007C0907" w:rsidRDefault="00222C20" w:rsidP="00F2088C">
      <w:pPr>
        <w:pStyle w:val="FootnoteText"/>
        <w:tabs>
          <w:tab w:val="clear" w:pos="1021"/>
        </w:tabs>
        <w:bidi/>
        <w:spacing w:after="60" w:line="280" w:lineRule="exact"/>
        <w:ind w:left="1247" w:right="1247" w:hanging="567"/>
        <w:jc w:val="lowKashida"/>
        <w:textDirection w:val="tbRlV"/>
        <w:rPr>
          <w:szCs w:val="18"/>
          <w:lang w:val="ar-SA" w:eastAsia="zh-TW" w:bidi="en-GB"/>
        </w:rPr>
      </w:pPr>
      <w:r w:rsidRPr="007C0907">
        <w:rPr>
          <w:rStyle w:val="FootnoteReference"/>
          <w:vertAlign w:val="baseline"/>
          <w:rtl/>
        </w:rPr>
        <w:t>(</w:t>
      </w:r>
      <w:r w:rsidRPr="007C0907">
        <w:rPr>
          <w:rStyle w:val="FootnoteReference"/>
          <w:vertAlign w:val="baseline"/>
          <w:rtl/>
        </w:rPr>
        <w:footnoteRef/>
      </w:r>
      <w:r w:rsidRPr="007C0907">
        <w:rPr>
          <w:rStyle w:val="FootnoteReference"/>
          <w:vertAlign w:val="baseline"/>
          <w:rtl/>
        </w:rPr>
        <w:t>)</w:t>
      </w:r>
      <w:r w:rsidRPr="007C0907">
        <w:rPr>
          <w:szCs w:val="18"/>
          <w:rtl/>
        </w:rPr>
        <w:tab/>
      </w:r>
      <w:r w:rsidRPr="007C0907">
        <w:rPr>
          <w:rFonts w:cs="Times New Roman"/>
          <w:szCs w:val="18"/>
        </w:rPr>
        <w:t>CCPR/C/KAZ/CO/</w:t>
      </w:r>
      <w:r w:rsidRPr="007C0907">
        <w:rPr>
          <w:szCs w:val="18"/>
        </w:rPr>
        <w:t>1</w:t>
      </w:r>
      <w:r w:rsidRPr="007C0907">
        <w:rPr>
          <w:szCs w:val="18"/>
          <w:rtl/>
        </w:rPr>
        <w:t>، الفقرة</w:t>
      </w:r>
      <w:r w:rsidRPr="007C0907">
        <w:rPr>
          <w:rFonts w:ascii="Traditional Arabic"/>
          <w:szCs w:val="18"/>
          <w:rtl/>
        </w:rPr>
        <w:t xml:space="preserve"> </w:t>
      </w:r>
      <w:r w:rsidRPr="007C0907">
        <w:rPr>
          <w:szCs w:val="18"/>
          <w:rtl/>
        </w:rPr>
        <w:t>26؛ و</w:t>
      </w:r>
      <w:r w:rsidRPr="007C0907">
        <w:rPr>
          <w:szCs w:val="18"/>
        </w:rPr>
        <w:t>CCPR/C/DZA/CO/4</w:t>
      </w:r>
      <w:r w:rsidRPr="007C0907">
        <w:rPr>
          <w:szCs w:val="18"/>
          <w:rtl/>
        </w:rPr>
        <w:t>، الفقرة</w:t>
      </w:r>
      <w:r w:rsidRPr="007C0907">
        <w:rPr>
          <w:rFonts w:ascii="Traditional Arabic"/>
          <w:szCs w:val="18"/>
          <w:rtl/>
        </w:rPr>
        <w:t xml:space="preserve"> </w:t>
      </w:r>
      <w:r w:rsidRPr="007C0907">
        <w:rPr>
          <w:szCs w:val="18"/>
          <w:rtl/>
        </w:rPr>
        <w:t>45</w:t>
      </w:r>
      <w:r w:rsidRPr="007C0907">
        <w:rPr>
          <w:rFonts w:ascii="Traditional Arabic"/>
          <w:szCs w:val="18"/>
          <w:rtl/>
        </w:rPr>
        <w:t>.</w:t>
      </w:r>
    </w:p>
  </w:footnote>
  <w:footnote w:id="25">
    <w:p w14:paraId="3409A4F4" w14:textId="03BE0815" w:rsidR="00222C20" w:rsidRPr="007C0907" w:rsidRDefault="00222C20" w:rsidP="00F2088C">
      <w:pPr>
        <w:pStyle w:val="FootnoteText"/>
        <w:tabs>
          <w:tab w:val="clear" w:pos="1021"/>
        </w:tabs>
        <w:bidi/>
        <w:spacing w:after="60" w:line="280" w:lineRule="exact"/>
        <w:ind w:left="1247" w:right="1247" w:hanging="567"/>
        <w:jc w:val="lowKashida"/>
        <w:textDirection w:val="tbRlV"/>
        <w:rPr>
          <w:szCs w:val="18"/>
          <w:lang w:val="ar-SA" w:eastAsia="zh-TW" w:bidi="en-GB"/>
        </w:rPr>
      </w:pPr>
      <w:r w:rsidRPr="007C0907">
        <w:rPr>
          <w:rStyle w:val="FootnoteReference"/>
          <w:vertAlign w:val="baseline"/>
          <w:rtl/>
        </w:rPr>
        <w:t>(</w:t>
      </w:r>
      <w:r w:rsidRPr="007C0907">
        <w:rPr>
          <w:rStyle w:val="FootnoteReference"/>
          <w:vertAlign w:val="baseline"/>
          <w:rtl/>
        </w:rPr>
        <w:footnoteRef/>
      </w:r>
      <w:r w:rsidRPr="007C0907">
        <w:rPr>
          <w:rStyle w:val="FootnoteReference"/>
          <w:vertAlign w:val="baseline"/>
          <w:rtl/>
        </w:rPr>
        <w:t>)</w:t>
      </w:r>
      <w:r w:rsidRPr="007C0907">
        <w:rPr>
          <w:szCs w:val="18"/>
          <w:rtl/>
        </w:rPr>
        <w:tab/>
        <w:t>اللجنة المعنية بحقوق الإنسان، التعليق العام رقم 37، الفقرة 44.</w:t>
      </w:r>
    </w:p>
  </w:footnote>
  <w:footnote w:id="26">
    <w:p w14:paraId="4850243B" w14:textId="53DA57DC" w:rsidR="00222C20" w:rsidRPr="007C0907" w:rsidRDefault="00222C20" w:rsidP="00F2088C">
      <w:pPr>
        <w:pStyle w:val="FootnoteText"/>
        <w:tabs>
          <w:tab w:val="clear" w:pos="1021"/>
        </w:tabs>
        <w:bidi/>
        <w:spacing w:after="60" w:line="280" w:lineRule="exact"/>
        <w:ind w:left="1247" w:right="1247" w:hanging="567"/>
        <w:jc w:val="lowKashida"/>
        <w:textDirection w:val="tbRlV"/>
        <w:rPr>
          <w:szCs w:val="18"/>
          <w:lang w:eastAsia="zh-TW" w:bidi="en-GB"/>
        </w:rPr>
      </w:pPr>
      <w:r w:rsidRPr="007C0907">
        <w:rPr>
          <w:rStyle w:val="FootnoteReference"/>
          <w:vertAlign w:val="baseline"/>
          <w:rtl/>
        </w:rPr>
        <w:t>(</w:t>
      </w:r>
      <w:r w:rsidRPr="007C0907">
        <w:rPr>
          <w:rStyle w:val="FootnoteReference"/>
          <w:vertAlign w:val="baseline"/>
          <w:rtl/>
        </w:rPr>
        <w:footnoteRef/>
      </w:r>
      <w:r w:rsidRPr="007C0907">
        <w:rPr>
          <w:rStyle w:val="FootnoteReference"/>
          <w:vertAlign w:val="baseline"/>
          <w:rtl/>
        </w:rPr>
        <w:t>)</w:t>
      </w:r>
      <w:r w:rsidRPr="007C0907">
        <w:rPr>
          <w:szCs w:val="18"/>
          <w:rtl/>
        </w:rPr>
        <w:tab/>
        <w:t>المرجع نفسه، الفقرة</w:t>
      </w:r>
      <w:r w:rsidRPr="007C0907">
        <w:rPr>
          <w:rFonts w:ascii="Traditional Arabic"/>
          <w:szCs w:val="18"/>
          <w:rtl/>
        </w:rPr>
        <w:t xml:space="preserve"> </w:t>
      </w:r>
      <w:r w:rsidRPr="007C0907">
        <w:rPr>
          <w:szCs w:val="18"/>
          <w:rtl/>
        </w:rPr>
        <w:t>40</w:t>
      </w:r>
      <w:r w:rsidRPr="007C0907">
        <w:rPr>
          <w:rFonts w:ascii="Traditional Arabic"/>
          <w:szCs w:val="18"/>
          <w:rtl/>
        </w:rPr>
        <w:t>.</w:t>
      </w:r>
    </w:p>
  </w:footnote>
  <w:footnote w:id="27">
    <w:p w14:paraId="0A084F83" w14:textId="42EBC47B" w:rsidR="00222C20" w:rsidRPr="007C0907" w:rsidRDefault="00222C20" w:rsidP="00F2088C">
      <w:pPr>
        <w:pStyle w:val="FootnoteText"/>
        <w:tabs>
          <w:tab w:val="clear" w:pos="1021"/>
        </w:tabs>
        <w:bidi/>
        <w:spacing w:after="60" w:line="280" w:lineRule="exact"/>
        <w:ind w:left="1247" w:right="1247" w:hanging="567"/>
        <w:jc w:val="lowKashida"/>
        <w:textDirection w:val="tbRlV"/>
        <w:rPr>
          <w:szCs w:val="18"/>
          <w:lang w:val="ar-SA" w:eastAsia="zh-TW" w:bidi="en-GB"/>
        </w:rPr>
      </w:pPr>
      <w:r w:rsidRPr="007C0907">
        <w:rPr>
          <w:rStyle w:val="FootnoteReference"/>
          <w:vertAlign w:val="baseline"/>
          <w:rtl/>
        </w:rPr>
        <w:t>(</w:t>
      </w:r>
      <w:r w:rsidRPr="007C0907">
        <w:rPr>
          <w:rStyle w:val="FootnoteReference"/>
          <w:vertAlign w:val="baseline"/>
          <w:rtl/>
        </w:rPr>
        <w:footnoteRef/>
      </w:r>
      <w:r w:rsidRPr="007C0907">
        <w:rPr>
          <w:rStyle w:val="FootnoteReference"/>
          <w:vertAlign w:val="baseline"/>
          <w:rtl/>
        </w:rPr>
        <w:t>)</w:t>
      </w:r>
      <w:r w:rsidRPr="007C0907">
        <w:rPr>
          <w:szCs w:val="18"/>
          <w:rtl/>
        </w:rPr>
        <w:tab/>
      </w:r>
      <w:proofErr w:type="spellStart"/>
      <w:r w:rsidRPr="007C0907">
        <w:rPr>
          <w:i/>
          <w:iCs/>
          <w:szCs w:val="18"/>
          <w:rtl/>
        </w:rPr>
        <w:t>توريغوزينا</w:t>
      </w:r>
      <w:proofErr w:type="spellEnd"/>
      <w:r w:rsidRPr="007C0907">
        <w:rPr>
          <w:i/>
          <w:iCs/>
          <w:szCs w:val="18"/>
          <w:rtl/>
        </w:rPr>
        <w:t xml:space="preserve"> ضد كازاخستان</w:t>
      </w:r>
      <w:r w:rsidRPr="007C0907">
        <w:rPr>
          <w:szCs w:val="18"/>
          <w:rtl/>
        </w:rPr>
        <w:t xml:space="preserve"> </w:t>
      </w:r>
      <w:r w:rsidRPr="007C0907">
        <w:rPr>
          <w:rFonts w:cs="Times New Roman"/>
          <w:szCs w:val="18"/>
          <w:rtl/>
        </w:rPr>
        <w:t>(</w:t>
      </w:r>
      <w:r w:rsidRPr="007C0907">
        <w:rPr>
          <w:rFonts w:cs="Times New Roman"/>
          <w:szCs w:val="18"/>
        </w:rPr>
        <w:t>CCPR/C/</w:t>
      </w:r>
      <w:r w:rsidRPr="007C0907">
        <w:rPr>
          <w:szCs w:val="18"/>
        </w:rPr>
        <w:t>112</w:t>
      </w:r>
      <w:r w:rsidRPr="007C0907">
        <w:rPr>
          <w:rFonts w:cs="Times New Roman"/>
          <w:szCs w:val="18"/>
        </w:rPr>
        <w:t>/D/</w:t>
      </w:r>
      <w:r w:rsidRPr="007C0907">
        <w:rPr>
          <w:szCs w:val="18"/>
        </w:rPr>
        <w:t>2137</w:t>
      </w:r>
      <w:r w:rsidRPr="007C0907">
        <w:rPr>
          <w:rFonts w:cs="Times New Roman"/>
          <w:szCs w:val="18"/>
        </w:rPr>
        <w:t>/</w:t>
      </w:r>
      <w:r w:rsidRPr="007C0907">
        <w:rPr>
          <w:szCs w:val="18"/>
        </w:rPr>
        <w:t>2012</w:t>
      </w:r>
      <w:r w:rsidRPr="007C0907">
        <w:rPr>
          <w:rFonts w:ascii="Traditional Arabic"/>
          <w:szCs w:val="18"/>
          <w:rtl/>
        </w:rPr>
        <w:t>)</w:t>
      </w:r>
      <w:r w:rsidRPr="007C0907">
        <w:rPr>
          <w:szCs w:val="18"/>
          <w:rtl/>
        </w:rPr>
        <w:t>، الفقرة</w:t>
      </w:r>
      <w:r w:rsidRPr="007C0907">
        <w:rPr>
          <w:rFonts w:ascii="Traditional Arabic"/>
          <w:szCs w:val="18"/>
          <w:rtl/>
        </w:rPr>
        <w:t xml:space="preserve"> </w:t>
      </w:r>
      <w:r w:rsidRPr="007C0907">
        <w:rPr>
          <w:szCs w:val="18"/>
          <w:rtl/>
        </w:rPr>
        <w:t>7</w:t>
      </w:r>
      <w:r w:rsidRPr="007C0907">
        <w:rPr>
          <w:rFonts w:ascii="Traditional Arabic"/>
          <w:szCs w:val="18"/>
          <w:rtl/>
        </w:rPr>
        <w:t>-</w:t>
      </w:r>
      <w:r w:rsidRPr="007C0907">
        <w:rPr>
          <w:szCs w:val="18"/>
          <w:rtl/>
        </w:rPr>
        <w:t>4</w:t>
      </w:r>
      <w:r w:rsidRPr="007C0907">
        <w:rPr>
          <w:rFonts w:ascii="Traditional Arabic"/>
          <w:szCs w:val="18"/>
          <w:rtl/>
        </w:rPr>
        <w:t>.</w:t>
      </w:r>
    </w:p>
  </w:footnote>
  <w:footnote w:id="28">
    <w:p w14:paraId="7FDB1EAB" w14:textId="6263EBEF" w:rsidR="00222C20" w:rsidRPr="007C0907" w:rsidRDefault="00222C20" w:rsidP="00F2088C">
      <w:pPr>
        <w:pStyle w:val="FootnoteText"/>
        <w:tabs>
          <w:tab w:val="clear" w:pos="1021"/>
        </w:tabs>
        <w:bidi/>
        <w:spacing w:after="60" w:line="280" w:lineRule="exact"/>
        <w:ind w:left="1247" w:right="1247" w:hanging="567"/>
        <w:jc w:val="lowKashida"/>
        <w:textDirection w:val="tbRlV"/>
        <w:rPr>
          <w:szCs w:val="18"/>
          <w:lang w:eastAsia="zh-TW" w:bidi="en-GB"/>
        </w:rPr>
      </w:pPr>
      <w:r w:rsidRPr="007C0907">
        <w:rPr>
          <w:rStyle w:val="FootnoteReference"/>
          <w:vertAlign w:val="baseline"/>
          <w:rtl/>
        </w:rPr>
        <w:t>(</w:t>
      </w:r>
      <w:r w:rsidRPr="007C0907">
        <w:rPr>
          <w:rStyle w:val="FootnoteReference"/>
          <w:vertAlign w:val="baseline"/>
          <w:rtl/>
        </w:rPr>
        <w:footnoteRef/>
      </w:r>
      <w:r w:rsidRPr="007C0907">
        <w:rPr>
          <w:rStyle w:val="FootnoteReference"/>
          <w:vertAlign w:val="baseline"/>
          <w:rtl/>
        </w:rPr>
        <w:t>)</w:t>
      </w:r>
      <w:r w:rsidRPr="007C0907">
        <w:rPr>
          <w:szCs w:val="18"/>
          <w:rtl/>
        </w:rPr>
        <w:tab/>
        <w:t>اللجنة المعنية بحقوق الإنسان، التعليق العام رقم</w:t>
      </w:r>
      <w:r w:rsidRPr="007C0907">
        <w:rPr>
          <w:rFonts w:ascii="Traditional Arabic"/>
          <w:szCs w:val="18"/>
          <w:rtl/>
        </w:rPr>
        <w:t xml:space="preserve"> </w:t>
      </w:r>
      <w:r w:rsidRPr="007C0907">
        <w:rPr>
          <w:szCs w:val="18"/>
          <w:rtl/>
        </w:rPr>
        <w:t>37، الفقرة</w:t>
      </w:r>
      <w:r w:rsidRPr="007C0907">
        <w:rPr>
          <w:rFonts w:ascii="Traditional Arabic"/>
          <w:szCs w:val="18"/>
          <w:rtl/>
        </w:rPr>
        <w:t xml:space="preserve"> </w:t>
      </w:r>
      <w:r w:rsidRPr="007C0907">
        <w:rPr>
          <w:szCs w:val="18"/>
          <w:rtl/>
        </w:rPr>
        <w:t>40</w:t>
      </w:r>
      <w:r w:rsidRPr="007C0907">
        <w:rPr>
          <w:rFonts w:ascii="Traditional Arabic"/>
          <w:szCs w:val="18"/>
          <w:rtl/>
        </w:rPr>
        <w:t>.</w:t>
      </w:r>
    </w:p>
  </w:footnote>
  <w:footnote w:id="29">
    <w:p w14:paraId="3A825E8A" w14:textId="38342C4A" w:rsidR="00222C20" w:rsidRPr="007C0907" w:rsidRDefault="00222C20" w:rsidP="00F2088C">
      <w:pPr>
        <w:pStyle w:val="FootnoteText"/>
        <w:tabs>
          <w:tab w:val="clear" w:pos="1021"/>
        </w:tabs>
        <w:bidi/>
        <w:spacing w:after="60" w:line="280" w:lineRule="exact"/>
        <w:ind w:left="1247" w:right="1247" w:hanging="567"/>
        <w:jc w:val="lowKashida"/>
        <w:textDirection w:val="tbRlV"/>
        <w:rPr>
          <w:szCs w:val="18"/>
          <w:lang w:eastAsia="zh-TW" w:bidi="en-GB"/>
        </w:rPr>
      </w:pPr>
      <w:r w:rsidRPr="007C0907">
        <w:rPr>
          <w:rStyle w:val="FootnoteReference"/>
          <w:vertAlign w:val="baseline"/>
          <w:rtl/>
        </w:rPr>
        <w:t>(</w:t>
      </w:r>
      <w:r w:rsidRPr="007C0907">
        <w:rPr>
          <w:rStyle w:val="FootnoteReference"/>
          <w:vertAlign w:val="baseline"/>
          <w:rtl/>
        </w:rPr>
        <w:footnoteRef/>
      </w:r>
      <w:r w:rsidRPr="007C0907">
        <w:rPr>
          <w:rStyle w:val="FootnoteReference"/>
          <w:vertAlign w:val="baseline"/>
          <w:rtl/>
        </w:rPr>
        <w:t>)</w:t>
      </w:r>
      <w:r w:rsidRPr="007C0907">
        <w:rPr>
          <w:szCs w:val="18"/>
          <w:rtl/>
        </w:rPr>
        <w:tab/>
        <w:t>المرجع نفسه، الفقرة</w:t>
      </w:r>
      <w:r w:rsidRPr="007C0907">
        <w:rPr>
          <w:rFonts w:ascii="Traditional Arabic"/>
          <w:szCs w:val="18"/>
          <w:rtl/>
        </w:rPr>
        <w:t xml:space="preserve"> </w:t>
      </w:r>
      <w:r w:rsidRPr="007C0907">
        <w:rPr>
          <w:szCs w:val="18"/>
          <w:rtl/>
        </w:rPr>
        <w:t>38</w:t>
      </w:r>
      <w:r w:rsidRPr="007C0907">
        <w:rPr>
          <w:rFonts w:ascii="Traditional Arabic"/>
          <w:szCs w:val="18"/>
          <w:rtl/>
        </w:rPr>
        <w:t>.</w:t>
      </w:r>
    </w:p>
  </w:footnote>
  <w:footnote w:id="30">
    <w:p w14:paraId="56B09FB3" w14:textId="7959F889" w:rsidR="00222C20" w:rsidRPr="007C0907" w:rsidRDefault="00222C20" w:rsidP="00F2088C">
      <w:pPr>
        <w:pStyle w:val="FootnoteText"/>
        <w:tabs>
          <w:tab w:val="clear" w:pos="1021"/>
        </w:tabs>
        <w:bidi/>
        <w:spacing w:after="60" w:line="280" w:lineRule="exact"/>
        <w:ind w:left="1247" w:right="1247" w:hanging="567"/>
        <w:jc w:val="lowKashida"/>
        <w:textDirection w:val="tbRlV"/>
        <w:rPr>
          <w:szCs w:val="18"/>
          <w:lang w:eastAsia="zh-TW" w:bidi="en-GB"/>
        </w:rPr>
      </w:pPr>
      <w:r w:rsidRPr="007C0907">
        <w:rPr>
          <w:rStyle w:val="FootnoteReference"/>
          <w:vertAlign w:val="baseline"/>
          <w:rtl/>
        </w:rPr>
        <w:t>(</w:t>
      </w:r>
      <w:r w:rsidRPr="007C0907">
        <w:rPr>
          <w:rStyle w:val="FootnoteReference"/>
          <w:vertAlign w:val="baseline"/>
          <w:rtl/>
        </w:rPr>
        <w:footnoteRef/>
      </w:r>
      <w:r w:rsidRPr="007C0907">
        <w:rPr>
          <w:rStyle w:val="FootnoteReference"/>
          <w:vertAlign w:val="baseline"/>
          <w:rtl/>
        </w:rPr>
        <w:t>)</w:t>
      </w:r>
      <w:r w:rsidRPr="007C0907">
        <w:rPr>
          <w:szCs w:val="18"/>
          <w:rtl/>
        </w:rPr>
        <w:tab/>
        <w:t xml:space="preserve">انظر، مثلاً، </w:t>
      </w:r>
      <w:proofErr w:type="spellStart"/>
      <w:r w:rsidRPr="007C0907">
        <w:rPr>
          <w:i/>
          <w:iCs/>
          <w:szCs w:val="18"/>
          <w:rtl/>
        </w:rPr>
        <w:t>بيفونوس</w:t>
      </w:r>
      <w:proofErr w:type="spellEnd"/>
      <w:r w:rsidRPr="007C0907">
        <w:rPr>
          <w:i/>
          <w:iCs/>
          <w:szCs w:val="18"/>
          <w:rtl/>
        </w:rPr>
        <w:t xml:space="preserve"> ضد بيلاروس</w:t>
      </w:r>
      <w:r w:rsidRPr="007C0907">
        <w:rPr>
          <w:szCs w:val="18"/>
          <w:rtl/>
        </w:rPr>
        <w:t xml:space="preserve"> </w:t>
      </w:r>
      <w:r w:rsidRPr="007C0907">
        <w:rPr>
          <w:rFonts w:cs="Times New Roman"/>
          <w:szCs w:val="18"/>
          <w:rtl/>
        </w:rPr>
        <w:t>(</w:t>
      </w:r>
      <w:r w:rsidRPr="007C0907">
        <w:rPr>
          <w:rFonts w:cs="Times New Roman"/>
          <w:szCs w:val="18"/>
        </w:rPr>
        <w:t>CCPR/C/</w:t>
      </w:r>
      <w:r w:rsidRPr="007C0907">
        <w:rPr>
          <w:szCs w:val="18"/>
        </w:rPr>
        <w:t>106</w:t>
      </w:r>
      <w:r w:rsidRPr="007C0907">
        <w:rPr>
          <w:rFonts w:cs="Times New Roman"/>
          <w:szCs w:val="18"/>
        </w:rPr>
        <w:t>/D/</w:t>
      </w:r>
      <w:r w:rsidRPr="007C0907">
        <w:rPr>
          <w:szCs w:val="18"/>
        </w:rPr>
        <w:t>1830</w:t>
      </w:r>
      <w:r w:rsidRPr="007C0907">
        <w:rPr>
          <w:rFonts w:cs="Times New Roman"/>
          <w:szCs w:val="18"/>
        </w:rPr>
        <w:t>/</w:t>
      </w:r>
      <w:r w:rsidRPr="007C0907">
        <w:rPr>
          <w:szCs w:val="18"/>
        </w:rPr>
        <w:t>2008</w:t>
      </w:r>
      <w:r w:rsidRPr="007C0907">
        <w:rPr>
          <w:rFonts w:ascii="Traditional Arabic"/>
          <w:szCs w:val="18"/>
          <w:rtl/>
        </w:rPr>
        <w:t>)</w:t>
      </w:r>
      <w:r w:rsidRPr="007C0907">
        <w:rPr>
          <w:szCs w:val="18"/>
          <w:rtl/>
        </w:rPr>
        <w:t>، الفقرة</w:t>
      </w:r>
      <w:r w:rsidRPr="007C0907">
        <w:rPr>
          <w:rFonts w:ascii="Traditional Arabic"/>
          <w:szCs w:val="18"/>
          <w:rtl/>
        </w:rPr>
        <w:t xml:space="preserve"> </w:t>
      </w:r>
      <w:r w:rsidRPr="007C0907">
        <w:rPr>
          <w:szCs w:val="18"/>
          <w:rtl/>
        </w:rPr>
        <w:t>9</w:t>
      </w:r>
      <w:r w:rsidRPr="007C0907">
        <w:rPr>
          <w:rFonts w:ascii="Traditional Arabic"/>
          <w:szCs w:val="18"/>
          <w:rtl/>
        </w:rPr>
        <w:t>-</w:t>
      </w:r>
      <w:r w:rsidRPr="007C0907">
        <w:rPr>
          <w:szCs w:val="18"/>
          <w:rtl/>
        </w:rPr>
        <w:t xml:space="preserve">3؛ </w:t>
      </w:r>
      <w:proofErr w:type="spellStart"/>
      <w:r w:rsidRPr="007C0907">
        <w:rPr>
          <w:szCs w:val="18"/>
          <w:rtl/>
        </w:rPr>
        <w:t>و</w:t>
      </w:r>
      <w:r w:rsidRPr="007C0907">
        <w:rPr>
          <w:i/>
          <w:iCs/>
          <w:szCs w:val="18"/>
          <w:rtl/>
        </w:rPr>
        <w:t>أولسكيفيتش</w:t>
      </w:r>
      <w:proofErr w:type="spellEnd"/>
      <w:r w:rsidRPr="007C0907">
        <w:rPr>
          <w:i/>
          <w:iCs/>
          <w:szCs w:val="18"/>
          <w:rtl/>
        </w:rPr>
        <w:t xml:space="preserve"> ضد بيلاروس</w:t>
      </w:r>
      <w:r w:rsidRPr="007C0907">
        <w:rPr>
          <w:szCs w:val="18"/>
          <w:rtl/>
        </w:rPr>
        <w:t xml:space="preserve"> </w:t>
      </w:r>
      <w:r w:rsidRPr="007C0907">
        <w:rPr>
          <w:rFonts w:cs="Times New Roman"/>
          <w:szCs w:val="18"/>
          <w:rtl/>
        </w:rPr>
        <w:t>(</w:t>
      </w:r>
      <w:r w:rsidRPr="007C0907">
        <w:rPr>
          <w:rFonts w:cs="Times New Roman"/>
          <w:szCs w:val="18"/>
        </w:rPr>
        <w:t>CCPR/C/</w:t>
      </w:r>
      <w:r w:rsidRPr="007C0907">
        <w:rPr>
          <w:szCs w:val="18"/>
        </w:rPr>
        <w:t>107</w:t>
      </w:r>
      <w:r w:rsidRPr="007C0907">
        <w:rPr>
          <w:rFonts w:cs="Times New Roman"/>
          <w:szCs w:val="18"/>
        </w:rPr>
        <w:t>/D/</w:t>
      </w:r>
      <w:r w:rsidRPr="007C0907">
        <w:rPr>
          <w:szCs w:val="18"/>
        </w:rPr>
        <w:t>1785</w:t>
      </w:r>
      <w:r w:rsidRPr="007C0907">
        <w:rPr>
          <w:rFonts w:cs="Times New Roman"/>
          <w:szCs w:val="18"/>
        </w:rPr>
        <w:t>/</w:t>
      </w:r>
      <w:r w:rsidRPr="007C0907">
        <w:rPr>
          <w:szCs w:val="18"/>
        </w:rPr>
        <w:t>2008</w:t>
      </w:r>
      <w:r w:rsidRPr="007C0907">
        <w:rPr>
          <w:rFonts w:ascii="Traditional Arabic"/>
          <w:szCs w:val="18"/>
          <w:rtl/>
        </w:rPr>
        <w:t>)</w:t>
      </w:r>
      <w:r w:rsidRPr="007C0907">
        <w:rPr>
          <w:szCs w:val="18"/>
          <w:rtl/>
        </w:rPr>
        <w:t>، الفقرة</w:t>
      </w:r>
      <w:r w:rsidRPr="007C0907">
        <w:rPr>
          <w:rFonts w:ascii="Traditional Arabic"/>
          <w:szCs w:val="18"/>
          <w:rtl/>
        </w:rPr>
        <w:t xml:space="preserve"> </w:t>
      </w:r>
      <w:r w:rsidRPr="007C0907">
        <w:rPr>
          <w:szCs w:val="18"/>
          <w:rtl/>
        </w:rPr>
        <w:t>8</w:t>
      </w:r>
      <w:r w:rsidRPr="007C0907">
        <w:rPr>
          <w:rFonts w:ascii="Traditional Arabic"/>
          <w:szCs w:val="18"/>
          <w:rtl/>
        </w:rPr>
        <w:t>-</w:t>
      </w:r>
      <w:r w:rsidRPr="007C0907">
        <w:rPr>
          <w:szCs w:val="18"/>
          <w:rtl/>
        </w:rPr>
        <w:t>5</w:t>
      </w:r>
      <w:r w:rsidRPr="007C0907">
        <w:rPr>
          <w:rFonts w:ascii="Traditional Arabic"/>
          <w:szCs w:val="18"/>
          <w:rtl/>
        </w:rPr>
        <w:t>.</w:t>
      </w:r>
      <w:r w:rsidRPr="007C0907">
        <w:rPr>
          <w:rFonts w:ascii="Traditional Arabic"/>
          <w:szCs w:val="18"/>
          <w:rtl/>
        </w:rPr>
        <w:t>‬</w:t>
      </w:r>
    </w:p>
  </w:footnote>
  <w:footnote w:id="31">
    <w:p w14:paraId="7CA7207D" w14:textId="6D19C52A" w:rsidR="00222C20" w:rsidRPr="007C0907" w:rsidRDefault="00222C20" w:rsidP="00F2088C">
      <w:pPr>
        <w:pStyle w:val="FootnoteText"/>
        <w:tabs>
          <w:tab w:val="clear" w:pos="1021"/>
        </w:tabs>
        <w:bidi/>
        <w:spacing w:after="60" w:line="280" w:lineRule="exact"/>
        <w:ind w:left="1247" w:right="1247" w:hanging="567"/>
        <w:jc w:val="lowKashida"/>
        <w:textDirection w:val="tbRlV"/>
        <w:rPr>
          <w:szCs w:val="18"/>
          <w:lang w:val="ar-SA" w:eastAsia="zh-TW" w:bidi="en-GB"/>
        </w:rPr>
      </w:pPr>
      <w:r w:rsidRPr="007C0907">
        <w:rPr>
          <w:rStyle w:val="FootnoteReference"/>
          <w:vertAlign w:val="baseline"/>
          <w:rtl/>
        </w:rPr>
        <w:t>(</w:t>
      </w:r>
      <w:r w:rsidRPr="007C0907">
        <w:rPr>
          <w:rStyle w:val="FootnoteReference"/>
          <w:vertAlign w:val="baseline"/>
          <w:rtl/>
        </w:rPr>
        <w:footnoteRef/>
      </w:r>
      <w:r w:rsidRPr="007C0907">
        <w:rPr>
          <w:rStyle w:val="FootnoteReference"/>
          <w:vertAlign w:val="baseline"/>
          <w:rtl/>
        </w:rPr>
        <w:t>)</w:t>
      </w:r>
      <w:r w:rsidRPr="007C0907">
        <w:rPr>
          <w:szCs w:val="18"/>
          <w:rtl/>
        </w:rPr>
        <w:tab/>
        <w:t>اللجنة المعنية بحقوق الإنسان، التعليق العام رقم 34</w:t>
      </w:r>
      <w:r w:rsidRPr="007C0907">
        <w:rPr>
          <w:rFonts w:ascii="Traditional Arabic"/>
          <w:szCs w:val="18"/>
          <w:rtl/>
        </w:rPr>
        <w:t>(</w:t>
      </w:r>
      <w:r w:rsidRPr="007C0907">
        <w:rPr>
          <w:szCs w:val="18"/>
          <w:rtl/>
        </w:rPr>
        <w:t>2011</w:t>
      </w:r>
      <w:r w:rsidRPr="007C0907">
        <w:rPr>
          <w:rFonts w:ascii="Traditional Arabic"/>
          <w:szCs w:val="18"/>
          <w:rtl/>
        </w:rPr>
        <w:t>)</w:t>
      </w:r>
      <w:r w:rsidRPr="007C0907">
        <w:rPr>
          <w:szCs w:val="18"/>
          <w:rtl/>
        </w:rPr>
        <w:t>، الفقرات 34 و37</w:t>
      </w:r>
      <w:r w:rsidRPr="007C0907">
        <w:rPr>
          <w:rFonts w:ascii="Traditional Arabic"/>
          <w:szCs w:val="18"/>
          <w:rtl/>
        </w:rPr>
        <w:t>-</w:t>
      </w:r>
      <w:r w:rsidRPr="007C0907">
        <w:rPr>
          <w:szCs w:val="18"/>
          <w:rtl/>
        </w:rPr>
        <w:t>38 و42</w:t>
      </w:r>
      <w:r w:rsidRPr="007C0907">
        <w:rPr>
          <w:rFonts w:ascii="Traditional Arabic"/>
          <w:szCs w:val="18"/>
          <w:rtl/>
        </w:rPr>
        <w:t>-</w:t>
      </w:r>
      <w:r w:rsidRPr="007C0907">
        <w:rPr>
          <w:szCs w:val="18"/>
          <w:rtl/>
        </w:rPr>
        <w:t>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5B50E" w14:textId="449016E4" w:rsidR="00BA0EB7" w:rsidRPr="00BA0EB7" w:rsidRDefault="00BA0EB7" w:rsidP="00BA0EB7">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B06D1D">
      <w:t>CCPR/C/130/D/2547/2015</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BA462" w14:textId="123E2DCF" w:rsidR="00BA0EB7" w:rsidRPr="00BA0EB7" w:rsidRDefault="00BA0EB7" w:rsidP="00BA0EB7">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B06D1D">
      <w:t>CCPR/C/130/D/2547/2015</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20C"/>
    <w:rsid w:val="000076D5"/>
    <w:rsid w:val="00043663"/>
    <w:rsid w:val="000437B8"/>
    <w:rsid w:val="000505CF"/>
    <w:rsid w:val="000718A2"/>
    <w:rsid w:val="000D701C"/>
    <w:rsid w:val="000E2A71"/>
    <w:rsid w:val="0011320C"/>
    <w:rsid w:val="0013789C"/>
    <w:rsid w:val="00145577"/>
    <w:rsid w:val="00160263"/>
    <w:rsid w:val="00181F96"/>
    <w:rsid w:val="001872B1"/>
    <w:rsid w:val="001A1371"/>
    <w:rsid w:val="001B043F"/>
    <w:rsid w:val="001B346A"/>
    <w:rsid w:val="001B3BAE"/>
    <w:rsid w:val="001E1CAD"/>
    <w:rsid w:val="001E290D"/>
    <w:rsid w:val="002144FA"/>
    <w:rsid w:val="00216711"/>
    <w:rsid w:val="00222C20"/>
    <w:rsid w:val="0023469A"/>
    <w:rsid w:val="00243C8A"/>
    <w:rsid w:val="00267A0E"/>
    <w:rsid w:val="002901D9"/>
    <w:rsid w:val="002976C2"/>
    <w:rsid w:val="002C2A50"/>
    <w:rsid w:val="003068BC"/>
    <w:rsid w:val="003260FF"/>
    <w:rsid w:val="00343D95"/>
    <w:rsid w:val="00363A18"/>
    <w:rsid w:val="00374341"/>
    <w:rsid w:val="003C7C69"/>
    <w:rsid w:val="003D1062"/>
    <w:rsid w:val="00402051"/>
    <w:rsid w:val="00420D7B"/>
    <w:rsid w:val="00450B21"/>
    <w:rsid w:val="00453B63"/>
    <w:rsid w:val="00455780"/>
    <w:rsid w:val="004B0A1C"/>
    <w:rsid w:val="004B27E0"/>
    <w:rsid w:val="004D298E"/>
    <w:rsid w:val="005044B3"/>
    <w:rsid w:val="0051020B"/>
    <w:rsid w:val="00517BC9"/>
    <w:rsid w:val="0054472E"/>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52221"/>
    <w:rsid w:val="00656392"/>
    <w:rsid w:val="006645EC"/>
    <w:rsid w:val="0068781D"/>
    <w:rsid w:val="006959B0"/>
    <w:rsid w:val="006B3E27"/>
    <w:rsid w:val="006B6507"/>
    <w:rsid w:val="006C104C"/>
    <w:rsid w:val="006C632E"/>
    <w:rsid w:val="00717FB3"/>
    <w:rsid w:val="00730446"/>
    <w:rsid w:val="00733704"/>
    <w:rsid w:val="0078071A"/>
    <w:rsid w:val="00787022"/>
    <w:rsid w:val="00787E1E"/>
    <w:rsid w:val="007B49CF"/>
    <w:rsid w:val="007C0907"/>
    <w:rsid w:val="007F3E81"/>
    <w:rsid w:val="00852A9A"/>
    <w:rsid w:val="008F49E1"/>
    <w:rsid w:val="0090370F"/>
    <w:rsid w:val="009269D2"/>
    <w:rsid w:val="00942135"/>
    <w:rsid w:val="009521B0"/>
    <w:rsid w:val="00957437"/>
    <w:rsid w:val="00982139"/>
    <w:rsid w:val="009867A8"/>
    <w:rsid w:val="00991F44"/>
    <w:rsid w:val="009A0CFB"/>
    <w:rsid w:val="009A7E9F"/>
    <w:rsid w:val="009C17EC"/>
    <w:rsid w:val="009C5D7D"/>
    <w:rsid w:val="009E5018"/>
    <w:rsid w:val="00A03700"/>
    <w:rsid w:val="00A053F2"/>
    <w:rsid w:val="00A12B37"/>
    <w:rsid w:val="00A54828"/>
    <w:rsid w:val="00A97E1F"/>
    <w:rsid w:val="00AB512E"/>
    <w:rsid w:val="00AB6758"/>
    <w:rsid w:val="00AB727F"/>
    <w:rsid w:val="00B06D1D"/>
    <w:rsid w:val="00B13763"/>
    <w:rsid w:val="00B477A4"/>
    <w:rsid w:val="00B54045"/>
    <w:rsid w:val="00B63ADD"/>
    <w:rsid w:val="00BA0EB7"/>
    <w:rsid w:val="00BB09A0"/>
    <w:rsid w:val="00C175A6"/>
    <w:rsid w:val="00C41DCF"/>
    <w:rsid w:val="00C42AF7"/>
    <w:rsid w:val="00C438D7"/>
    <w:rsid w:val="00C62C20"/>
    <w:rsid w:val="00C81B50"/>
    <w:rsid w:val="00C902EF"/>
    <w:rsid w:val="00CB0011"/>
    <w:rsid w:val="00CB6622"/>
    <w:rsid w:val="00CD1801"/>
    <w:rsid w:val="00CF56F9"/>
    <w:rsid w:val="00CF65C6"/>
    <w:rsid w:val="00D00A89"/>
    <w:rsid w:val="00D10EF1"/>
    <w:rsid w:val="00D22B8F"/>
    <w:rsid w:val="00D42810"/>
    <w:rsid w:val="00D60DD5"/>
    <w:rsid w:val="00D914A7"/>
    <w:rsid w:val="00DC4D4B"/>
    <w:rsid w:val="00DD13C3"/>
    <w:rsid w:val="00DD596E"/>
    <w:rsid w:val="00DD621E"/>
    <w:rsid w:val="00DE50B1"/>
    <w:rsid w:val="00DF0138"/>
    <w:rsid w:val="00DF0575"/>
    <w:rsid w:val="00E2228E"/>
    <w:rsid w:val="00E379C8"/>
    <w:rsid w:val="00E70E04"/>
    <w:rsid w:val="00E77E6C"/>
    <w:rsid w:val="00E83ED5"/>
    <w:rsid w:val="00EA5EE0"/>
    <w:rsid w:val="00EC05A7"/>
    <w:rsid w:val="00EC4B6B"/>
    <w:rsid w:val="00EC68A5"/>
    <w:rsid w:val="00ED7442"/>
    <w:rsid w:val="00EF1EE5"/>
    <w:rsid w:val="00EF5C43"/>
    <w:rsid w:val="00F10DAB"/>
    <w:rsid w:val="00F2088C"/>
    <w:rsid w:val="00F4279E"/>
    <w:rsid w:val="00F46D42"/>
    <w:rsid w:val="00F763B4"/>
    <w:rsid w:val="00F86745"/>
    <w:rsid w:val="00F900C3"/>
    <w:rsid w:val="00FC6EDD"/>
    <w:rsid w:val="00FD2D33"/>
    <w:rsid w:val="00FD46E2"/>
    <w:rsid w:val="00FE502A"/>
    <w:rsid w:val="00FF1E5B"/>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48CEC5"/>
  <w15:docId w15:val="{F39F9D7D-08BA-4C56-9067-4DFF01FD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EC"/>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9C17EC"/>
    <w:pPr>
      <w:bidi w:val="0"/>
      <w:outlineLvl w:val="0"/>
    </w:pPr>
  </w:style>
  <w:style w:type="paragraph" w:styleId="Heading2">
    <w:name w:val="heading 2"/>
    <w:basedOn w:val="Normal"/>
    <w:next w:val="Normal"/>
    <w:link w:val="Heading2Char"/>
    <w:uiPriority w:val="9"/>
    <w:unhideWhenUsed/>
    <w:rsid w:val="009C17EC"/>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C17EC"/>
    <w:pPr>
      <w:keepNext/>
      <w:keepLines/>
      <w:spacing w:before="200"/>
      <w:outlineLvl w:val="2"/>
    </w:pPr>
    <w:rPr>
      <w:b/>
      <w:bCs/>
      <w:color w:val="4F81BD"/>
    </w:rPr>
  </w:style>
  <w:style w:type="paragraph" w:styleId="Heading4">
    <w:name w:val="heading 4"/>
    <w:basedOn w:val="Normal"/>
    <w:next w:val="Normal"/>
    <w:link w:val="Heading4Char"/>
    <w:uiPriority w:val="9"/>
    <w:unhideWhenUsed/>
    <w:rsid w:val="009C17EC"/>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C17EC"/>
    <w:pPr>
      <w:keepNext/>
      <w:keepLines/>
      <w:spacing w:before="200"/>
      <w:outlineLvl w:val="4"/>
    </w:pPr>
    <w:rPr>
      <w:color w:val="243F60"/>
    </w:rPr>
  </w:style>
  <w:style w:type="paragraph" w:styleId="Heading6">
    <w:name w:val="heading 6"/>
    <w:basedOn w:val="Normal"/>
    <w:next w:val="Normal"/>
    <w:link w:val="Heading6Char"/>
    <w:uiPriority w:val="9"/>
    <w:unhideWhenUsed/>
    <w:rsid w:val="009C17EC"/>
    <w:pPr>
      <w:keepNext/>
      <w:keepLines/>
      <w:spacing w:before="200"/>
      <w:outlineLvl w:val="5"/>
    </w:pPr>
    <w:rPr>
      <w:i/>
      <w:iCs/>
      <w:color w:val="243F60"/>
    </w:rPr>
  </w:style>
  <w:style w:type="paragraph" w:styleId="Heading7">
    <w:name w:val="heading 7"/>
    <w:basedOn w:val="Normal"/>
    <w:next w:val="Normal"/>
    <w:link w:val="Heading7Char"/>
    <w:uiPriority w:val="9"/>
    <w:unhideWhenUsed/>
    <w:rsid w:val="009C17EC"/>
    <w:pPr>
      <w:keepNext/>
      <w:keepLines/>
      <w:spacing w:before="200"/>
      <w:outlineLvl w:val="6"/>
    </w:pPr>
    <w:rPr>
      <w:i/>
      <w:iCs/>
      <w:color w:val="404040"/>
    </w:rPr>
  </w:style>
  <w:style w:type="paragraph" w:styleId="Heading8">
    <w:name w:val="heading 8"/>
    <w:basedOn w:val="Normal"/>
    <w:next w:val="Normal"/>
    <w:link w:val="Heading8Char"/>
    <w:uiPriority w:val="9"/>
    <w:unhideWhenUsed/>
    <w:rsid w:val="009C17EC"/>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C17EC"/>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9C17EC"/>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9C17EC"/>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qFormat/>
    <w:rsid w:val="009C17EC"/>
    <w:rPr>
      <w:szCs w:val="18"/>
      <w:vertAlign w:val="superscript"/>
    </w:rPr>
  </w:style>
  <w:style w:type="paragraph" w:customStyle="1" w:styleId="HMGA">
    <w:name w:val="_ H __M_GA"/>
    <w:basedOn w:val="Normal"/>
    <w:next w:val="SingleTxtGA"/>
    <w:qFormat/>
    <w:rsid w:val="009C17EC"/>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C17EC"/>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C17EC"/>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C17EC"/>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C17EC"/>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C17EC"/>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C17EC"/>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C17EC"/>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C17EC"/>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C17EC"/>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C17EC"/>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C17EC"/>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C17EC"/>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C17EC"/>
    <w:pPr>
      <w:numPr>
        <w:numId w:val="5"/>
      </w:numPr>
      <w:bidi w:val="0"/>
    </w:pPr>
    <w:rPr>
      <w:lang w:val="en-US"/>
    </w:rPr>
  </w:style>
  <w:style w:type="paragraph" w:customStyle="1" w:styleId="Roman1GA">
    <w:name w:val="_Roman 1_GA"/>
    <w:basedOn w:val="Bullet1GA"/>
    <w:qFormat/>
    <w:rsid w:val="009C17EC"/>
    <w:pPr>
      <w:numPr>
        <w:numId w:val="6"/>
      </w:numPr>
      <w:tabs>
        <w:tab w:val="clear" w:pos="2310"/>
        <w:tab w:val="left" w:pos="2486"/>
      </w:tabs>
      <w:ind w:left="2486" w:hanging="378"/>
    </w:pPr>
  </w:style>
  <w:style w:type="paragraph" w:customStyle="1" w:styleId="Roman2GA">
    <w:name w:val="_Roman 2_GA"/>
    <w:basedOn w:val="Bullet2GA"/>
    <w:qFormat/>
    <w:rsid w:val="009C17EC"/>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C17EC"/>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C17EC"/>
    <w:rPr>
      <w:rFonts w:ascii="Times New Roman" w:eastAsia="PMingLiU" w:hAnsi="Times New Roman" w:cs="Simplified Arabic"/>
      <w:sz w:val="18"/>
      <w:lang w:val="en-GB" w:eastAsia="en-US"/>
    </w:rPr>
  </w:style>
  <w:style w:type="character" w:customStyle="1" w:styleId="EndtnoteReference">
    <w:name w:val="Endtnote Reference"/>
    <w:aliases w:val="1_GA"/>
    <w:qFormat/>
    <w:rsid w:val="009C17EC"/>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C17EC"/>
    <w:pPr>
      <w:suppressAutoHyphens/>
      <w:bidi w:val="0"/>
      <w:spacing w:line="240" w:lineRule="auto"/>
    </w:pPr>
    <w:rPr>
      <w:sz w:val="16"/>
      <w:lang w:val="en-GB"/>
    </w:rPr>
  </w:style>
  <w:style w:type="character" w:customStyle="1" w:styleId="FooterChar">
    <w:name w:val="Footer Char"/>
    <w:aliases w:val="3_GA Char,3_G Char"/>
    <w:link w:val="Footer"/>
    <w:rsid w:val="009C17EC"/>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9C17EC"/>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C17EC"/>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9C17EC"/>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9C17EC"/>
    <w:rPr>
      <w:rFonts w:ascii="Times New Roman" w:eastAsia="PMingLiU" w:hAnsi="Times New Roman" w:cs="Simplified Arabic"/>
      <w:sz w:val="22"/>
      <w:szCs w:val="22"/>
      <w:lang w:val="en-GB" w:eastAsia="en-US"/>
    </w:rPr>
  </w:style>
  <w:style w:type="character" w:styleId="PageNumber">
    <w:name w:val="page number"/>
    <w:aliases w:val="7_GA,7_G"/>
    <w:qFormat/>
    <w:rsid w:val="009C17EC"/>
    <w:rPr>
      <w:rFonts w:ascii="Times New Roman Bold" w:hAnsi="Times New Roman Bold"/>
      <w:b/>
      <w:i w:val="0"/>
      <w:sz w:val="18"/>
      <w:szCs w:val="18"/>
    </w:rPr>
  </w:style>
  <w:style w:type="paragraph" w:customStyle="1" w:styleId="XXLargeGA">
    <w:name w:val="XXLarge_GA"/>
    <w:basedOn w:val="Normal"/>
    <w:next w:val="SingleTxtGA"/>
    <w:qFormat/>
    <w:rsid w:val="009C17EC"/>
    <w:pPr>
      <w:suppressAutoHyphens/>
      <w:spacing w:line="820" w:lineRule="exact"/>
    </w:pPr>
    <w:rPr>
      <w:spacing w:val="-8"/>
      <w:w w:val="96"/>
      <w:sz w:val="57"/>
      <w:szCs w:val="86"/>
      <w:lang w:val="en-GB"/>
    </w:rPr>
  </w:style>
  <w:style w:type="character" w:customStyle="1" w:styleId="Heading2Char">
    <w:name w:val="Heading 2 Char"/>
    <w:link w:val="Heading2"/>
    <w:uiPriority w:val="9"/>
    <w:rsid w:val="009C17EC"/>
    <w:rPr>
      <w:rFonts w:ascii="Times New Roman" w:eastAsia="PMingLiU" w:hAnsi="Times New Roman" w:cs="Simplified Arabic"/>
      <w:b/>
      <w:bCs/>
      <w:color w:val="4F81BD"/>
      <w:sz w:val="26"/>
      <w:szCs w:val="26"/>
      <w:lang w:eastAsia="en-US"/>
    </w:rPr>
  </w:style>
  <w:style w:type="character" w:styleId="BookTitle">
    <w:name w:val="Book Title"/>
    <w:uiPriority w:val="33"/>
    <w:rsid w:val="009C17EC"/>
    <w:rPr>
      <w:b/>
      <w:bCs/>
      <w:smallCaps/>
      <w:spacing w:val="5"/>
    </w:rPr>
  </w:style>
  <w:style w:type="character" w:customStyle="1" w:styleId="Heading3Char">
    <w:name w:val="Heading 3 Char"/>
    <w:link w:val="Heading3"/>
    <w:uiPriority w:val="9"/>
    <w:rsid w:val="009C17EC"/>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9C17EC"/>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9C17EC"/>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9C17EC"/>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9C17EC"/>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9C17EC"/>
    <w:rPr>
      <w:rFonts w:ascii="Times New Roman" w:eastAsia="PMingLiU" w:hAnsi="Times New Roman" w:cs="Simplified Arabic"/>
      <w:color w:val="404040"/>
      <w:lang w:eastAsia="en-US"/>
    </w:rPr>
  </w:style>
  <w:style w:type="character" w:customStyle="1" w:styleId="Heading9Char">
    <w:name w:val="Heading 9 Char"/>
    <w:link w:val="Heading9"/>
    <w:uiPriority w:val="9"/>
    <w:rsid w:val="009C17EC"/>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9C17E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C17EC"/>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9C17EC"/>
    <w:pPr>
      <w:numPr>
        <w:ilvl w:val="1"/>
      </w:numPr>
    </w:pPr>
    <w:rPr>
      <w:i/>
      <w:iCs/>
      <w:color w:val="4F81BD"/>
      <w:spacing w:val="15"/>
      <w:sz w:val="24"/>
      <w:szCs w:val="24"/>
    </w:rPr>
  </w:style>
  <w:style w:type="character" w:customStyle="1" w:styleId="SubtitleChar">
    <w:name w:val="Subtitle Char"/>
    <w:link w:val="Subtitle"/>
    <w:uiPriority w:val="11"/>
    <w:rsid w:val="009C17EC"/>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9C17EC"/>
    <w:rPr>
      <w:i/>
      <w:iCs/>
      <w:color w:val="808080"/>
    </w:rPr>
  </w:style>
  <w:style w:type="table" w:styleId="ColorfulGrid-Accent6">
    <w:name w:val="Colorful Grid Accent 6"/>
    <w:basedOn w:val="TableNormal"/>
    <w:uiPriority w:val="73"/>
    <w:rsid w:val="009C17EC"/>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C17EC"/>
    <w:rPr>
      <w:i/>
      <w:iCs/>
    </w:rPr>
  </w:style>
  <w:style w:type="character" w:styleId="IntenseEmphasis">
    <w:name w:val="Intense Emphasis"/>
    <w:uiPriority w:val="21"/>
    <w:rsid w:val="009C17EC"/>
    <w:rPr>
      <w:b/>
      <w:bCs/>
      <w:i/>
      <w:iCs/>
      <w:color w:val="4F81BD"/>
    </w:rPr>
  </w:style>
  <w:style w:type="character" w:styleId="Strong">
    <w:name w:val="Strong"/>
    <w:uiPriority w:val="22"/>
    <w:rsid w:val="009C17EC"/>
    <w:rPr>
      <w:b/>
      <w:bCs/>
    </w:rPr>
  </w:style>
  <w:style w:type="paragraph" w:styleId="Quote">
    <w:name w:val="Quote"/>
    <w:basedOn w:val="Normal"/>
    <w:next w:val="Normal"/>
    <w:link w:val="QuoteChar"/>
    <w:uiPriority w:val="29"/>
    <w:rsid w:val="009C17EC"/>
    <w:rPr>
      <w:i/>
      <w:iCs/>
      <w:color w:val="000000"/>
    </w:rPr>
  </w:style>
  <w:style w:type="character" w:customStyle="1" w:styleId="QuoteChar">
    <w:name w:val="Quote Char"/>
    <w:link w:val="Quote"/>
    <w:uiPriority w:val="29"/>
    <w:rsid w:val="009C17EC"/>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9C17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C17EC"/>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9C17EC"/>
    <w:rPr>
      <w:smallCaps/>
      <w:color w:val="C0504D"/>
      <w:u w:val="single"/>
    </w:rPr>
  </w:style>
  <w:style w:type="character" w:styleId="IntenseReference">
    <w:name w:val="Intense Reference"/>
    <w:uiPriority w:val="32"/>
    <w:rsid w:val="009C17EC"/>
    <w:rPr>
      <w:b/>
      <w:bCs/>
      <w:smallCaps/>
      <w:color w:val="C0504D"/>
      <w:spacing w:val="5"/>
      <w:u w:val="single"/>
    </w:rPr>
  </w:style>
  <w:style w:type="paragraph" w:styleId="ListParagraph">
    <w:name w:val="List Paragraph"/>
    <w:basedOn w:val="Normal"/>
    <w:uiPriority w:val="34"/>
    <w:rsid w:val="009C17EC"/>
    <w:pPr>
      <w:ind w:left="720"/>
      <w:contextualSpacing/>
    </w:pPr>
  </w:style>
  <w:style w:type="table" w:styleId="MediumShading1-Accent4">
    <w:name w:val="Medium Shading 1 Accent 4"/>
    <w:basedOn w:val="TableNormal"/>
    <w:uiPriority w:val="63"/>
    <w:rsid w:val="009C17EC"/>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C17EC"/>
    <w:rPr>
      <w:rFonts w:eastAsia="MS Mincho"/>
      <w:sz w:val="18"/>
      <w:vertAlign w:val="superscript"/>
    </w:rPr>
  </w:style>
  <w:style w:type="table" w:styleId="TableGrid">
    <w:name w:val="Table Grid"/>
    <w:basedOn w:val="TableNormal"/>
    <w:rsid w:val="009C17EC"/>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7EC"/>
    <w:pPr>
      <w:spacing w:line="240" w:lineRule="auto"/>
    </w:pPr>
    <w:rPr>
      <w:sz w:val="16"/>
      <w:szCs w:val="16"/>
    </w:rPr>
  </w:style>
  <w:style w:type="character" w:customStyle="1" w:styleId="BalloonTextChar">
    <w:name w:val="Balloon Text Char"/>
    <w:link w:val="BalloonText"/>
    <w:uiPriority w:val="99"/>
    <w:semiHidden/>
    <w:rsid w:val="009C17EC"/>
    <w:rPr>
      <w:rFonts w:ascii="Times New Roman" w:eastAsia="PMingLiU" w:hAnsi="Times New Roman" w:cs="Simplified Arabic"/>
      <w:sz w:val="16"/>
      <w:szCs w:val="16"/>
      <w:lang w:eastAsia="en-US"/>
    </w:rPr>
  </w:style>
  <w:style w:type="character" w:styleId="Hyperlink">
    <w:name w:val="Hyperlink"/>
    <w:uiPriority w:val="99"/>
    <w:unhideWhenUsed/>
    <w:rsid w:val="009C17EC"/>
    <w:rPr>
      <w:color w:val="0000FF"/>
      <w:u w:val="none"/>
    </w:rPr>
  </w:style>
  <w:style w:type="paragraph" w:styleId="TOC1">
    <w:name w:val="toc 1"/>
    <w:basedOn w:val="Normal"/>
    <w:link w:val="TOC1Char"/>
    <w:autoRedefine/>
    <w:uiPriority w:val="39"/>
    <w:unhideWhenUsed/>
    <w:rsid w:val="009C17EC"/>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C17EC"/>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C17EC"/>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C17EC"/>
    <w:rPr>
      <w:rFonts w:eastAsia="DengXian"/>
      <w:color w:val="auto"/>
      <w:sz w:val="20"/>
      <w:szCs w:val="20"/>
      <w:u w:val="none"/>
      <w:lang w:eastAsia="zh-CN" w:bidi="ar-EG"/>
    </w:rPr>
  </w:style>
  <w:style w:type="paragraph" w:styleId="TOC4">
    <w:name w:val="toc 4"/>
    <w:basedOn w:val="Normal"/>
    <w:link w:val="TOC4Char"/>
    <w:autoRedefine/>
    <w:uiPriority w:val="39"/>
    <w:unhideWhenUsed/>
    <w:rsid w:val="009C17EC"/>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C17EC"/>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C17EC"/>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C17EC"/>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9C17EC"/>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C17EC"/>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9C17EC"/>
    <w:rPr>
      <w:color w:val="605E5C"/>
      <w:shd w:val="clear" w:color="auto" w:fill="E1DFDD"/>
    </w:rPr>
  </w:style>
  <w:style w:type="character" w:customStyle="1" w:styleId="TOC1Char">
    <w:name w:val="TOC 1 Char"/>
    <w:basedOn w:val="DefaultParagraphFont"/>
    <w:link w:val="TOC1"/>
    <w:uiPriority w:val="39"/>
    <w:rsid w:val="009C17EC"/>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9C17EC"/>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9C17EC"/>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9C17EC"/>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9C17EC"/>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9C17EC"/>
    <w:rPr>
      <w:rFonts w:ascii="Times New Roman" w:eastAsia="PMingLiU" w:hAnsi="Times New Roman" w:cs="Simplified Arabic"/>
      <w:lang w:val="en-GB" w:eastAsia="en-US"/>
    </w:rPr>
  </w:style>
  <w:style w:type="paragraph" w:customStyle="1" w:styleId="SessionDate">
    <w:name w:val="Session_Date"/>
    <w:basedOn w:val="Normal"/>
    <w:qFormat/>
    <w:rsid w:val="009C17EC"/>
    <w:pPr>
      <w:spacing w:before="240" w:after="240" w:line="460" w:lineRule="exact"/>
      <w:ind w:left="1247"/>
    </w:pPr>
    <w:rPr>
      <w:b/>
      <w:bCs/>
      <w:sz w:val="32"/>
      <w:szCs w:val="44"/>
    </w:rPr>
  </w:style>
  <w:style w:type="paragraph" w:customStyle="1" w:styleId="SessionNumber">
    <w:name w:val="Session_Number"/>
    <w:basedOn w:val="Normal"/>
    <w:qFormat/>
    <w:rsid w:val="009C17EC"/>
    <w:pPr>
      <w:spacing w:line="480" w:lineRule="exact"/>
      <w:ind w:left="1247"/>
    </w:pPr>
    <w:rPr>
      <w:b/>
      <w:bCs/>
      <w:sz w:val="28"/>
      <w:szCs w:val="38"/>
    </w:rPr>
  </w:style>
  <w:style w:type="paragraph" w:customStyle="1" w:styleId="CityandYear">
    <w:name w:val="City and Year"/>
    <w:basedOn w:val="SingleTxtGA"/>
    <w:qFormat/>
    <w:rsid w:val="009C17EC"/>
    <w:pPr>
      <w:spacing w:line="480" w:lineRule="exact"/>
    </w:pPr>
    <w:rPr>
      <w:b/>
      <w:bCs/>
      <w:sz w:val="30"/>
      <w:szCs w:val="38"/>
      <w:lang w:eastAsia="ar-SA"/>
    </w:rPr>
  </w:style>
  <w:style w:type="paragraph" w:customStyle="1" w:styleId="NormalA">
    <w:name w:val="Normal_A"/>
    <w:basedOn w:val="Normal"/>
    <w:qFormat/>
    <w:rsid w:val="009C17EC"/>
  </w:style>
  <w:style w:type="paragraph" w:customStyle="1" w:styleId="H1G">
    <w:name w:val="_ H_1_G"/>
    <w:basedOn w:val="Normal"/>
    <w:next w:val="Normal"/>
    <w:qFormat/>
    <w:rsid w:val="009C17E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C17EC"/>
    <w:pPr>
      <w:suppressAutoHyphens/>
      <w:bidi w:val="0"/>
      <w:spacing w:after="120"/>
      <w:ind w:left="1134" w:right="1134"/>
      <w:jc w:val="both"/>
    </w:pPr>
    <w:rPr>
      <w:szCs w:val="20"/>
      <w:lang w:val="en-GB"/>
    </w:rPr>
  </w:style>
  <w:style w:type="paragraph" w:customStyle="1" w:styleId="HChG">
    <w:name w:val="_ H _Ch_G"/>
    <w:basedOn w:val="Normal"/>
    <w:next w:val="Normal"/>
    <w:qFormat/>
    <w:rsid w:val="009C17E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9C17E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C17E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C17EC"/>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C17EC"/>
    <w:rPr>
      <w:sz w:val="44"/>
      <w:szCs w:val="44"/>
      <w:lang w:val="en-US" w:bidi="ar-DZ"/>
    </w:rPr>
  </w:style>
  <w:style w:type="paragraph" w:customStyle="1" w:styleId="FootnoteGA0">
    <w:name w:val="Footnote_GA"/>
    <w:basedOn w:val="Normal"/>
    <w:qFormat/>
    <w:rsid w:val="009C17EC"/>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C17EC"/>
    <w:pPr>
      <w:keepNext/>
      <w:keepLines/>
      <w:spacing w:after="120" w:line="400" w:lineRule="exact"/>
      <w:outlineLvl w:val="0"/>
    </w:pPr>
    <w:rPr>
      <w:b/>
      <w:bCs/>
      <w:kern w:val="14"/>
      <w:sz w:val="24"/>
      <w:szCs w:val="32"/>
    </w:rPr>
  </w:style>
  <w:style w:type="paragraph" w:customStyle="1" w:styleId="HCh">
    <w:name w:val="_ H _Ch"/>
    <w:basedOn w:val="H1"/>
    <w:next w:val="SingleTxt"/>
    <w:qFormat/>
    <w:rsid w:val="009C17EC"/>
    <w:pPr>
      <w:spacing w:line="440" w:lineRule="exact"/>
    </w:pPr>
    <w:rPr>
      <w:spacing w:val="-2"/>
      <w:sz w:val="28"/>
      <w:szCs w:val="36"/>
    </w:rPr>
  </w:style>
  <w:style w:type="character" w:styleId="CommentReference">
    <w:name w:val="annotation reference"/>
    <w:uiPriority w:val="99"/>
    <w:semiHidden/>
    <w:rsid w:val="009C17EC"/>
    <w:rPr>
      <w:sz w:val="6"/>
      <w:szCs w:val="9"/>
    </w:rPr>
  </w:style>
  <w:style w:type="paragraph" w:customStyle="1" w:styleId="HM">
    <w:name w:val="_ H __M"/>
    <w:basedOn w:val="HCh"/>
    <w:next w:val="Normal"/>
    <w:qFormat/>
    <w:rsid w:val="009C17EC"/>
    <w:pPr>
      <w:suppressAutoHyphens/>
      <w:spacing w:line="520" w:lineRule="exact"/>
    </w:pPr>
    <w:rPr>
      <w:spacing w:val="-3"/>
      <w:sz w:val="34"/>
      <w:szCs w:val="48"/>
    </w:rPr>
  </w:style>
  <w:style w:type="paragraph" w:customStyle="1" w:styleId="SingleTxt">
    <w:name w:val="__Single Txt"/>
    <w:basedOn w:val="Normal"/>
    <w:qFormat/>
    <w:rsid w:val="009C17EC"/>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C17EC"/>
    <w:pPr>
      <w:suppressAutoHyphens/>
      <w:spacing w:line="360" w:lineRule="exact"/>
      <w:outlineLvl w:val="1"/>
    </w:pPr>
    <w:rPr>
      <w:spacing w:val="2"/>
      <w:sz w:val="20"/>
      <w:szCs w:val="28"/>
    </w:rPr>
  </w:style>
  <w:style w:type="paragraph" w:customStyle="1" w:styleId="H4">
    <w:name w:val="_ H_4"/>
    <w:basedOn w:val="Normal"/>
    <w:next w:val="Normal"/>
    <w:qFormat/>
    <w:rsid w:val="009C17EC"/>
    <w:pPr>
      <w:keepNext/>
      <w:keepLines/>
      <w:spacing w:after="120" w:line="360" w:lineRule="exact"/>
      <w:outlineLvl w:val="3"/>
    </w:pPr>
    <w:rPr>
      <w:i/>
      <w:iCs/>
      <w:kern w:val="14"/>
      <w:szCs w:val="28"/>
    </w:rPr>
  </w:style>
  <w:style w:type="paragraph" w:customStyle="1" w:styleId="H56">
    <w:name w:val="_ H_5/6"/>
    <w:basedOn w:val="Normal"/>
    <w:next w:val="Normal"/>
    <w:qFormat/>
    <w:rsid w:val="009C17EC"/>
    <w:pPr>
      <w:keepNext/>
      <w:keepLines/>
      <w:spacing w:after="120" w:line="360" w:lineRule="exact"/>
      <w:outlineLvl w:val="4"/>
    </w:pPr>
    <w:rPr>
      <w:kern w:val="14"/>
      <w:szCs w:val="28"/>
    </w:rPr>
  </w:style>
  <w:style w:type="paragraph" w:customStyle="1" w:styleId="DualTxt">
    <w:name w:val="__Dual Txt"/>
    <w:basedOn w:val="Normal"/>
    <w:qFormat/>
    <w:rsid w:val="009C17EC"/>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C17EC"/>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C17EC"/>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C17EC"/>
    <w:pPr>
      <w:spacing w:after="120" w:line="440" w:lineRule="exact"/>
      <w:jc w:val="center"/>
    </w:pPr>
    <w:rPr>
      <w:b/>
      <w:bCs/>
      <w:sz w:val="25"/>
      <w:szCs w:val="38"/>
    </w:rPr>
  </w:style>
  <w:style w:type="paragraph" w:customStyle="1" w:styleId="JH1">
    <w:name w:val="J_H_1"/>
    <w:basedOn w:val="JCH"/>
    <w:qFormat/>
    <w:rsid w:val="009C17EC"/>
    <w:pPr>
      <w:spacing w:line="420" w:lineRule="exact"/>
    </w:pPr>
    <w:rPr>
      <w:sz w:val="23"/>
      <w:szCs w:val="34"/>
    </w:rPr>
  </w:style>
  <w:style w:type="paragraph" w:customStyle="1" w:styleId="JH2">
    <w:name w:val="J_H_2"/>
    <w:basedOn w:val="JH1"/>
    <w:qFormat/>
    <w:rsid w:val="009C17EC"/>
    <w:pPr>
      <w:spacing w:line="400" w:lineRule="exact"/>
    </w:pPr>
    <w:rPr>
      <w:sz w:val="20"/>
      <w:szCs w:val="30"/>
    </w:rPr>
  </w:style>
  <w:style w:type="paragraph" w:customStyle="1" w:styleId="JSmall">
    <w:name w:val="J_Small"/>
    <w:basedOn w:val="JSingleTxt"/>
    <w:next w:val="JSingleTxt"/>
    <w:qFormat/>
    <w:rsid w:val="009C17E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C17EC"/>
    <w:pPr>
      <w:tabs>
        <w:tab w:val="right" w:leader="dot" w:pos="360"/>
      </w:tabs>
      <w:spacing w:line="310" w:lineRule="exact"/>
      <w:jc w:val="right"/>
    </w:pPr>
    <w:rPr>
      <w:spacing w:val="5"/>
      <w:w w:val="104"/>
      <w:kern w:val="14"/>
      <w:sz w:val="17"/>
      <w:szCs w:val="25"/>
    </w:rPr>
  </w:style>
  <w:style w:type="character" w:styleId="LineNumber">
    <w:name w:val="line number"/>
    <w:qFormat/>
    <w:rsid w:val="009C17EC"/>
    <w:rPr>
      <w:sz w:val="14"/>
      <w:szCs w:val="16"/>
    </w:rPr>
  </w:style>
  <w:style w:type="paragraph" w:customStyle="1" w:styleId="SmallX">
    <w:name w:val="SmallX"/>
    <w:basedOn w:val="Small"/>
    <w:next w:val="Normal"/>
    <w:qFormat/>
    <w:rsid w:val="009C17EC"/>
    <w:pPr>
      <w:spacing w:line="240" w:lineRule="exact"/>
    </w:pPr>
    <w:rPr>
      <w:spacing w:val="6"/>
      <w:w w:val="106"/>
      <w:sz w:val="14"/>
      <w:szCs w:val="21"/>
    </w:rPr>
  </w:style>
  <w:style w:type="paragraph" w:customStyle="1" w:styleId="XLarge">
    <w:name w:val="XLarge"/>
    <w:basedOn w:val="HM"/>
    <w:qFormat/>
    <w:rsid w:val="009C17E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C17EC"/>
    <w:pPr>
      <w:spacing w:line="820" w:lineRule="exact"/>
    </w:pPr>
    <w:rPr>
      <w:spacing w:val="-8"/>
      <w:w w:val="96"/>
      <w:sz w:val="57"/>
      <w:szCs w:val="86"/>
    </w:rPr>
  </w:style>
  <w:style w:type="paragraph" w:customStyle="1" w:styleId="Distribution">
    <w:name w:val="Distribu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C17EC"/>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9C17EC"/>
    <w:pPr>
      <w:tabs>
        <w:tab w:val="left" w:pos="662"/>
        <w:tab w:val="left" w:pos="1267"/>
        <w:tab w:val="left" w:pos="1987"/>
        <w:tab w:val="left" w:pos="2650"/>
      </w:tabs>
      <w:spacing w:after="0"/>
      <w:ind w:left="662" w:hanging="662"/>
    </w:pPr>
  </w:style>
  <w:style w:type="paragraph" w:customStyle="1" w:styleId="Committee">
    <w:name w:val="Committee"/>
    <w:basedOn w:val="H1"/>
    <w:qFormat/>
    <w:rsid w:val="009C17EC"/>
    <w:pPr>
      <w:tabs>
        <w:tab w:val="left" w:pos="662"/>
        <w:tab w:val="left" w:pos="1267"/>
        <w:tab w:val="left" w:pos="1987"/>
        <w:tab w:val="left" w:pos="2650"/>
      </w:tabs>
      <w:ind w:right="1264"/>
    </w:pPr>
  </w:style>
  <w:style w:type="paragraph" w:customStyle="1" w:styleId="AgendaItemNormal">
    <w:name w:val="Agenda_Item_Normal"/>
    <w:next w:val="Normal"/>
    <w:qFormat/>
    <w:rsid w:val="009C17EC"/>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9C17E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C17E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C17E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C17E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C17EC"/>
    <w:rPr>
      <w:i w:val="0"/>
      <w:color w:val="0000FF"/>
      <w:u w:val="none"/>
    </w:rPr>
  </w:style>
  <w:style w:type="paragraph" w:customStyle="1" w:styleId="Bullet1">
    <w:name w:val="Bullet 1"/>
    <w:basedOn w:val="Normal"/>
    <w:qFormat/>
    <w:rsid w:val="009C17EC"/>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C17EC"/>
    <w:pPr>
      <w:numPr>
        <w:numId w:val="19"/>
      </w:numPr>
      <w:spacing w:after="120" w:line="360" w:lineRule="exact"/>
      <w:ind w:right="1264"/>
    </w:pPr>
    <w:rPr>
      <w:kern w:val="14"/>
      <w:szCs w:val="28"/>
    </w:rPr>
  </w:style>
  <w:style w:type="paragraph" w:customStyle="1" w:styleId="Bullet3">
    <w:name w:val="Bullet 3"/>
    <w:basedOn w:val="SingleTxt"/>
    <w:qFormat/>
    <w:rsid w:val="009C17EC"/>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C17EC"/>
    <w:pPr>
      <w:ind w:right="5760"/>
      <w:outlineLvl w:val="1"/>
    </w:pPr>
    <w:rPr>
      <w:spacing w:val="2"/>
      <w:sz w:val="20"/>
      <w:szCs w:val="28"/>
    </w:rPr>
  </w:style>
  <w:style w:type="paragraph" w:customStyle="1" w:styleId="STitleM">
    <w:name w:val="S_Title_M"/>
    <w:basedOn w:val="Normal"/>
    <w:next w:val="Normal"/>
    <w:qFormat/>
    <w:rsid w:val="009C17EC"/>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C17EC"/>
    <w:pPr>
      <w:spacing w:line="600" w:lineRule="exact"/>
      <w:ind w:left="1267" w:right="1267"/>
    </w:pPr>
    <w:rPr>
      <w:w w:val="103"/>
      <w:sz w:val="60"/>
      <w:szCs w:val="60"/>
    </w:rPr>
  </w:style>
  <w:style w:type="paragraph" w:customStyle="1" w:styleId="STitleL">
    <w:name w:val="S_Title_L"/>
    <w:basedOn w:val="XLarge"/>
    <w:next w:val="Normal"/>
    <w:qFormat/>
    <w:rsid w:val="009C17EC"/>
    <w:rPr>
      <w:spacing w:val="-8"/>
      <w:w w:val="96"/>
      <w:sz w:val="57"/>
    </w:rPr>
  </w:style>
  <w:style w:type="paragraph" w:styleId="CommentText">
    <w:name w:val="annotation text"/>
    <w:basedOn w:val="Normal"/>
    <w:link w:val="CommentTextChar"/>
    <w:uiPriority w:val="99"/>
    <w:semiHidden/>
    <w:unhideWhenUsed/>
    <w:rsid w:val="009C17EC"/>
    <w:pPr>
      <w:spacing w:line="240" w:lineRule="auto"/>
    </w:pPr>
    <w:rPr>
      <w:kern w:val="14"/>
    </w:rPr>
  </w:style>
  <w:style w:type="character" w:customStyle="1" w:styleId="CommentTextChar">
    <w:name w:val="Comment Text Char"/>
    <w:basedOn w:val="DefaultParagraphFont"/>
    <w:link w:val="CommentText"/>
    <w:uiPriority w:val="99"/>
    <w:semiHidden/>
    <w:rsid w:val="009C17EC"/>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9C17EC"/>
    <w:rPr>
      <w:b/>
      <w:bCs/>
    </w:rPr>
  </w:style>
  <w:style w:type="character" w:customStyle="1" w:styleId="CommentSubjectChar">
    <w:name w:val="Comment Subject Char"/>
    <w:basedOn w:val="CommentTextChar"/>
    <w:link w:val="CommentSubject"/>
    <w:uiPriority w:val="99"/>
    <w:semiHidden/>
    <w:rsid w:val="009C17EC"/>
    <w:rPr>
      <w:rFonts w:ascii="Times New Roman" w:eastAsia="PMingLiU" w:hAnsi="Times New Roman" w:cs="Simplified Arabic"/>
      <w:b/>
      <w:bCs/>
      <w:kern w:val="14"/>
      <w:szCs w:val="22"/>
      <w:lang w:eastAsia="en-US"/>
    </w:rPr>
  </w:style>
  <w:style w:type="paragraph" w:customStyle="1" w:styleId="Bullet1G">
    <w:name w:val="_Bullet 1_G"/>
    <w:basedOn w:val="Normal"/>
    <w:qFormat/>
    <w:rsid w:val="009C17EC"/>
    <w:pPr>
      <w:numPr>
        <w:numId w:val="21"/>
      </w:numPr>
      <w:bidi w:val="0"/>
      <w:spacing w:after="120"/>
      <w:ind w:right="1134"/>
      <w:jc w:val="both"/>
    </w:pPr>
    <w:rPr>
      <w:sz w:val="22"/>
    </w:rPr>
  </w:style>
  <w:style w:type="character" w:customStyle="1" w:styleId="SingleTxtGChar">
    <w:name w:val="_ Single Txt_G Char"/>
    <w:link w:val="SingleTxtG"/>
    <w:rsid w:val="009C17EC"/>
    <w:rPr>
      <w:rFonts w:ascii="Times New Roman" w:eastAsia="PMingLiU" w:hAnsi="Times New Roman" w:cs="Simplified Arabic"/>
      <w:lang w:val="en-GB" w:eastAsia="en-US"/>
    </w:rPr>
  </w:style>
  <w:style w:type="paragraph" w:customStyle="1" w:styleId="Preparedby">
    <w:name w:val="Prepared by:"/>
    <w:basedOn w:val="H23GA"/>
    <w:qFormat/>
    <w:rsid w:val="009C17EC"/>
    <w:rPr>
      <w:sz w:val="32"/>
      <w:szCs w:val="32"/>
    </w:rPr>
  </w:style>
  <w:style w:type="paragraph" w:customStyle="1" w:styleId="ParaNoG">
    <w:name w:val="_ParaNo._G"/>
    <w:basedOn w:val="SingleTxtG"/>
    <w:rsid w:val="009C17EC"/>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C17EC"/>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C17EC"/>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C17EC"/>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C17EC"/>
    <w:rPr>
      <w:rFonts w:asciiTheme="minorHAnsi" w:eastAsiaTheme="minorEastAsia" w:hAnsiTheme="minorHAnsi" w:cstheme="minorBidi"/>
      <w:sz w:val="24"/>
      <w:szCs w:val="24"/>
      <w:lang w:val="fr-FR" w:eastAsia="fr-FR"/>
    </w:rPr>
  </w:style>
  <w:style w:type="paragraph" w:customStyle="1" w:styleId="Default">
    <w:name w:val="Default"/>
    <w:semiHidden/>
    <w:rsid w:val="009C17EC"/>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C17EC"/>
  </w:style>
  <w:style w:type="character" w:customStyle="1" w:styleId="preferred">
    <w:name w:val="preferred"/>
    <w:basedOn w:val="DefaultParagraphFont"/>
    <w:rsid w:val="009C17EC"/>
  </w:style>
  <w:style w:type="character" w:customStyle="1" w:styleId="admitted">
    <w:name w:val="admitted"/>
    <w:basedOn w:val="DefaultParagraphFont"/>
    <w:rsid w:val="009C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133CF-ABC6-4A29-B7ED-F718989EE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4473</Words>
  <Characters>22042</Characters>
  <Application>Microsoft Office Word</Application>
  <DocSecurity>0</DocSecurity>
  <Lines>333</Lines>
  <Paragraphs>82</Paragraphs>
  <ScaleCrop>false</ScaleCrop>
  <HeadingPairs>
    <vt:vector size="2" baseType="variant">
      <vt:variant>
        <vt:lpstr>Title</vt:lpstr>
      </vt:variant>
      <vt:variant>
        <vt:i4>1</vt:i4>
      </vt:variant>
    </vt:vector>
  </HeadingPairs>
  <TitlesOfParts>
    <vt:vector size="1" baseType="lpstr">
      <vt:lpstr>CCPR/C/130/D/2547/2015</vt:lpstr>
    </vt:vector>
  </TitlesOfParts>
  <Company>DCM</Company>
  <LinksUpToDate>false</LinksUpToDate>
  <CharactersWithSpaces>26426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CCPR/C/130/D/2547/2015</dc:title>
  <dc:subject>GE.2101385(A)</dc:subject>
  <dc:creator>Ihab RIZ - </dc:creator>
  <cp:keywords>GE.2102617(A)</cp:keywords>
  <dc:description>_x000d_
_x000d_
Arabic_x000d_
</dc:description>
  <cp:lastModifiedBy>Ibrahim Balan</cp:lastModifiedBy>
  <cp:revision>3</cp:revision>
  <cp:lastPrinted>2021-03-31T12:46:00Z</cp:lastPrinted>
  <dcterms:created xsi:type="dcterms:W3CDTF">2021-03-31T12:46:00Z</dcterms:created>
  <dcterms:modified xsi:type="dcterms:W3CDTF">2021-03-31T12:46:00Z</dcterms:modified>
  <cp:category>Finale</cp:category>
</cp:coreProperties>
</file>