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55F54C67" w14:textId="77777777" w:rsidTr="005B51C4">
        <w:trPr>
          <w:trHeight w:hRule="exact" w:val="851"/>
        </w:trPr>
        <w:tc>
          <w:tcPr>
            <w:tcW w:w="1274" w:type="dxa"/>
            <w:tcBorders>
              <w:bottom w:val="single" w:sz="4" w:space="0" w:color="auto"/>
            </w:tcBorders>
            <w:shd w:val="clear" w:color="auto" w:fill="auto"/>
          </w:tcPr>
          <w:p w14:paraId="69AF69BF" w14:textId="77777777" w:rsidR="006B3E27" w:rsidRPr="00C175A6" w:rsidRDefault="006B3E27" w:rsidP="00AA68CA">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0978ABF1"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7568F113" w14:textId="3393EFC5" w:rsidR="006B3E27" w:rsidRPr="00572CEC" w:rsidRDefault="00572CEC" w:rsidP="00572CEC">
            <w:pPr>
              <w:bidi w:val="0"/>
              <w:rPr>
                <w:szCs w:val="20"/>
              </w:rPr>
            </w:pPr>
            <w:r w:rsidRPr="001F30F1">
              <w:rPr>
                <w:sz w:val="40"/>
                <w:szCs w:val="20"/>
              </w:rPr>
              <w:t>CCPR</w:t>
            </w:r>
            <w:r w:rsidRPr="001F30F1">
              <w:rPr>
                <w:szCs w:val="20"/>
              </w:rPr>
              <w:t>/C/132/D/2702/2015</w:t>
            </w:r>
          </w:p>
        </w:tc>
      </w:tr>
      <w:tr w:rsidR="006B3E27" w:rsidRPr="00C175A6" w14:paraId="0120F841" w14:textId="77777777" w:rsidTr="005B51C4">
        <w:trPr>
          <w:trHeight w:hRule="exact" w:val="2835"/>
        </w:trPr>
        <w:tc>
          <w:tcPr>
            <w:tcW w:w="1274" w:type="dxa"/>
            <w:tcBorders>
              <w:top w:val="single" w:sz="4" w:space="0" w:color="auto"/>
              <w:bottom w:val="single" w:sz="12" w:space="0" w:color="auto"/>
            </w:tcBorders>
            <w:shd w:val="clear" w:color="auto" w:fill="auto"/>
          </w:tcPr>
          <w:p w14:paraId="3E80F7D7"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093FE5CD" wp14:editId="735F8DA9">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74B0C693" w14:textId="77777777" w:rsidR="006B3E27" w:rsidRPr="001F30F1" w:rsidRDefault="00ED7442" w:rsidP="00730446">
            <w:pPr>
              <w:spacing w:before="120" w:after="40" w:line="640" w:lineRule="exact"/>
              <w:ind w:left="57"/>
              <w:rPr>
                <w:b/>
                <w:bCs/>
                <w:sz w:val="46"/>
                <w:szCs w:val="46"/>
              </w:rPr>
            </w:pPr>
            <w:r w:rsidRPr="001F30F1">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768DE8E1" w14:textId="0EBADC95" w:rsidR="006B3E27" w:rsidRDefault="00572CEC" w:rsidP="004B27E0">
            <w:pPr>
              <w:bidi w:val="0"/>
              <w:spacing w:before="240"/>
              <w:rPr>
                <w:szCs w:val="20"/>
              </w:rPr>
            </w:pPr>
            <w:r>
              <w:rPr>
                <w:szCs w:val="20"/>
              </w:rPr>
              <w:t>Dist</w:t>
            </w:r>
            <w:r w:rsidR="001F30F1" w:rsidRPr="001F30F1">
              <w:rPr>
                <w:szCs w:val="20"/>
              </w:rPr>
              <w:t>r.:</w:t>
            </w:r>
            <w:r>
              <w:rPr>
                <w:szCs w:val="20"/>
              </w:rPr>
              <w:t xml:space="preserve"> General </w:t>
            </w:r>
          </w:p>
          <w:p w14:paraId="7F5985D6" w14:textId="77777777" w:rsidR="00572CEC" w:rsidRDefault="00572CEC" w:rsidP="00572CEC">
            <w:pPr>
              <w:bidi w:val="0"/>
              <w:spacing w:line="240" w:lineRule="exact"/>
              <w:jc w:val="left"/>
              <w:rPr>
                <w:szCs w:val="20"/>
              </w:rPr>
            </w:pPr>
            <w:r w:rsidRPr="001F30F1">
              <w:rPr>
                <w:szCs w:val="20"/>
              </w:rPr>
              <w:t>12</w:t>
            </w:r>
            <w:r>
              <w:rPr>
                <w:szCs w:val="20"/>
              </w:rPr>
              <w:t xml:space="preserve"> August </w:t>
            </w:r>
            <w:r w:rsidRPr="001F30F1">
              <w:rPr>
                <w:szCs w:val="20"/>
              </w:rPr>
              <w:t>2022</w:t>
            </w:r>
          </w:p>
          <w:p w14:paraId="1FBBC919" w14:textId="77777777" w:rsidR="00572CEC" w:rsidRDefault="00572CEC" w:rsidP="00572CEC">
            <w:pPr>
              <w:bidi w:val="0"/>
              <w:spacing w:line="240" w:lineRule="exact"/>
              <w:jc w:val="left"/>
              <w:rPr>
                <w:szCs w:val="20"/>
              </w:rPr>
            </w:pPr>
            <w:r>
              <w:rPr>
                <w:szCs w:val="20"/>
              </w:rPr>
              <w:t>Arabic</w:t>
            </w:r>
          </w:p>
          <w:p w14:paraId="3CBEDC94" w14:textId="422EFA17" w:rsidR="00572CEC" w:rsidRPr="00572CEC" w:rsidRDefault="00572CEC" w:rsidP="00572CEC">
            <w:pPr>
              <w:bidi w:val="0"/>
              <w:spacing w:line="240" w:lineRule="exact"/>
              <w:jc w:val="left"/>
              <w:rPr>
                <w:szCs w:val="20"/>
              </w:rPr>
            </w:pPr>
            <w:r>
              <w:rPr>
                <w:szCs w:val="20"/>
              </w:rPr>
              <w:t>Origina</w:t>
            </w:r>
            <w:r w:rsidR="001F30F1" w:rsidRPr="001F30F1">
              <w:rPr>
                <w:szCs w:val="20"/>
              </w:rPr>
              <w:t xml:space="preserve">l: </w:t>
            </w:r>
            <w:r>
              <w:rPr>
                <w:szCs w:val="20"/>
              </w:rPr>
              <w:t xml:space="preserve">English </w:t>
            </w:r>
          </w:p>
        </w:tc>
      </w:tr>
    </w:tbl>
    <w:p w14:paraId="4E4D1E36" w14:textId="77777777" w:rsidR="002929DE" w:rsidRPr="001F30F1" w:rsidRDefault="002929DE" w:rsidP="002929DE">
      <w:pPr>
        <w:spacing w:before="120" w:after="120" w:line="360" w:lineRule="exact"/>
        <w:rPr>
          <w:b/>
          <w:bCs/>
          <w:sz w:val="24"/>
          <w:szCs w:val="26"/>
        </w:rPr>
      </w:pPr>
      <w:r w:rsidRPr="001F30F1">
        <w:rPr>
          <w:b/>
          <w:bCs/>
          <w:sz w:val="24"/>
          <w:szCs w:val="26"/>
          <w:rtl/>
        </w:rPr>
        <w:t>اللجنة المعنية بحقوق الإنسان</w:t>
      </w:r>
    </w:p>
    <w:p w14:paraId="7F8CDA00" w14:textId="6025DA6D" w:rsidR="002929DE" w:rsidRPr="001F30F1" w:rsidRDefault="002929DE" w:rsidP="002929DE">
      <w:pPr>
        <w:pStyle w:val="HChGA"/>
        <w:rPr>
          <w:rtl/>
        </w:rPr>
      </w:pPr>
      <w:r w:rsidRPr="001F30F1">
        <w:rPr>
          <w:rtl/>
        </w:rPr>
        <w:tab/>
      </w:r>
      <w:r w:rsidRPr="001F30F1">
        <w:rPr>
          <w:rtl/>
        </w:rPr>
        <w:tab/>
        <w:t>آراء اعتمدتها اللجنة بموجب المادة 5(</w:t>
      </w:r>
      <w:r w:rsidR="001F30F1" w:rsidRPr="001F30F1">
        <w:rPr>
          <w:rtl/>
        </w:rPr>
        <w:t xml:space="preserve">4) </w:t>
      </w:r>
      <w:r w:rsidRPr="001F30F1">
        <w:rPr>
          <w:rtl/>
        </w:rPr>
        <w:t>من البروتوكول الاختياري، بشأن البلاغ رقم 2702/2015</w:t>
      </w:r>
      <w:r w:rsidRPr="001F30F1">
        <w:rPr>
          <w:rStyle w:val="FootnoteReference"/>
          <w:sz w:val="22"/>
          <w:szCs w:val="22"/>
          <w:vertAlign w:val="baseline"/>
          <w:rtl/>
        </w:rPr>
        <w:footnoteReference w:customMarkFollows="1" w:id="1"/>
        <w:t>*</w:t>
      </w:r>
      <w:r w:rsidRPr="001F30F1">
        <w:rPr>
          <w:rFonts w:hint="cs"/>
          <w:rtl/>
        </w:rPr>
        <w:t xml:space="preserve"> </w:t>
      </w:r>
      <w:r w:rsidRPr="001F30F1">
        <w:rPr>
          <w:rStyle w:val="FootnoteReference"/>
          <w:sz w:val="22"/>
          <w:szCs w:val="22"/>
          <w:vertAlign w:val="baseline"/>
          <w:rtl/>
        </w:rPr>
        <w:footnoteReference w:customMarkFollows="1" w:id="2"/>
        <w:t>**</w:t>
      </w:r>
    </w:p>
    <w:p w14:paraId="599430C7" w14:textId="4EB0754F" w:rsidR="002929DE" w:rsidRPr="002929DE" w:rsidRDefault="002929DE" w:rsidP="002929DE">
      <w:pPr>
        <w:pStyle w:val="SingleTxtGA"/>
        <w:tabs>
          <w:tab w:val="clear" w:pos="1928"/>
          <w:tab w:val="clear" w:pos="2608"/>
          <w:tab w:val="clear" w:pos="3289"/>
          <w:tab w:val="clear" w:pos="3969"/>
          <w:tab w:val="clear" w:pos="4649"/>
          <w:tab w:val="clear" w:pos="5330"/>
        </w:tabs>
        <w:ind w:left="4649" w:hanging="2721"/>
        <w:rPr>
          <w:rtl/>
        </w:rPr>
      </w:pPr>
      <w:r w:rsidRPr="001F30F1">
        <w:rPr>
          <w:i/>
          <w:iCs/>
          <w:rtl/>
        </w:rPr>
        <w:t>بلاغ مقدم من:</w:t>
      </w:r>
      <w:r>
        <w:rPr>
          <w:rtl/>
        </w:rPr>
        <w:tab/>
      </w:r>
      <w:proofErr w:type="spellStart"/>
      <w:r w:rsidRPr="002929DE">
        <w:rPr>
          <w:rtl/>
        </w:rPr>
        <w:t>أليكساندر</w:t>
      </w:r>
      <w:proofErr w:type="spellEnd"/>
      <w:r w:rsidRPr="002929DE">
        <w:rPr>
          <w:rtl/>
        </w:rPr>
        <w:t xml:space="preserve"> </w:t>
      </w:r>
      <w:proofErr w:type="spellStart"/>
      <w:r w:rsidRPr="002929DE">
        <w:rPr>
          <w:rtl/>
        </w:rPr>
        <w:t>أبراموفيتش</w:t>
      </w:r>
      <w:proofErr w:type="spellEnd"/>
      <w:r w:rsidRPr="002929DE">
        <w:rPr>
          <w:rtl/>
        </w:rPr>
        <w:t xml:space="preserve"> (لا يمثّله محامٍ) </w:t>
      </w:r>
    </w:p>
    <w:p w14:paraId="25202906" w14:textId="4690F6E3" w:rsidR="002929DE" w:rsidRPr="002929DE" w:rsidRDefault="002929DE" w:rsidP="002929DE">
      <w:pPr>
        <w:pStyle w:val="SingleTxtGA"/>
        <w:tabs>
          <w:tab w:val="clear" w:pos="1928"/>
          <w:tab w:val="clear" w:pos="2608"/>
          <w:tab w:val="clear" w:pos="3289"/>
          <w:tab w:val="clear" w:pos="3969"/>
          <w:tab w:val="clear" w:pos="4649"/>
          <w:tab w:val="clear" w:pos="5330"/>
        </w:tabs>
        <w:ind w:left="4649" w:hanging="2721"/>
      </w:pPr>
      <w:r w:rsidRPr="001F30F1">
        <w:rPr>
          <w:i/>
          <w:iCs/>
          <w:rtl/>
        </w:rPr>
        <w:t>الشخص المدعى أنه ضحية:</w:t>
      </w:r>
      <w:r>
        <w:rPr>
          <w:rtl/>
        </w:rPr>
        <w:tab/>
      </w:r>
      <w:r w:rsidRPr="002929DE">
        <w:rPr>
          <w:rtl/>
        </w:rPr>
        <w:t>صاحب البلاغ</w:t>
      </w:r>
    </w:p>
    <w:p w14:paraId="5DD27FC7" w14:textId="1B8B9F5B" w:rsidR="002929DE" w:rsidRPr="002929DE" w:rsidRDefault="002929DE" w:rsidP="002929DE">
      <w:pPr>
        <w:pStyle w:val="SingleTxtGA"/>
        <w:tabs>
          <w:tab w:val="clear" w:pos="1928"/>
          <w:tab w:val="clear" w:pos="2608"/>
          <w:tab w:val="clear" w:pos="3289"/>
          <w:tab w:val="clear" w:pos="3969"/>
          <w:tab w:val="clear" w:pos="4649"/>
          <w:tab w:val="clear" w:pos="5330"/>
        </w:tabs>
        <w:ind w:left="4649" w:hanging="2721"/>
      </w:pPr>
      <w:r w:rsidRPr="001F30F1">
        <w:rPr>
          <w:i/>
          <w:iCs/>
          <w:rtl/>
        </w:rPr>
        <w:t>الدولة الطرف:</w:t>
      </w:r>
      <w:r>
        <w:rPr>
          <w:rtl/>
        </w:rPr>
        <w:tab/>
      </w:r>
      <w:r w:rsidRPr="002929DE">
        <w:rPr>
          <w:rtl/>
        </w:rPr>
        <w:t>بيلاروس</w:t>
      </w:r>
    </w:p>
    <w:p w14:paraId="6F7CE2C3" w14:textId="7A4ED4A1" w:rsidR="002929DE" w:rsidRPr="002929DE" w:rsidRDefault="002929DE" w:rsidP="002929DE">
      <w:pPr>
        <w:pStyle w:val="SingleTxtGA"/>
        <w:tabs>
          <w:tab w:val="clear" w:pos="1928"/>
          <w:tab w:val="clear" w:pos="2608"/>
          <w:tab w:val="clear" w:pos="3289"/>
          <w:tab w:val="clear" w:pos="3969"/>
          <w:tab w:val="clear" w:pos="4649"/>
          <w:tab w:val="clear" w:pos="5330"/>
        </w:tabs>
        <w:ind w:left="4649" w:hanging="2721"/>
      </w:pPr>
      <w:r w:rsidRPr="001F30F1">
        <w:rPr>
          <w:i/>
          <w:iCs/>
          <w:rtl/>
        </w:rPr>
        <w:t>تاريخ تقديم البلاغ:</w:t>
      </w:r>
      <w:r>
        <w:rPr>
          <w:rtl/>
        </w:rPr>
        <w:tab/>
      </w:r>
      <w:r w:rsidRPr="001F30F1">
        <w:rPr>
          <w:rtl/>
        </w:rPr>
        <w:t>23</w:t>
      </w:r>
      <w:r w:rsidRPr="002929DE">
        <w:rPr>
          <w:rtl/>
        </w:rPr>
        <w:t xml:space="preserve"> أيار/مايو </w:t>
      </w:r>
      <w:r w:rsidRPr="001F30F1">
        <w:rPr>
          <w:rtl/>
        </w:rPr>
        <w:t>2011</w:t>
      </w:r>
      <w:r w:rsidRPr="002929DE">
        <w:rPr>
          <w:rtl/>
        </w:rPr>
        <w:t xml:space="preserve"> (تاريخ الرسالة الأولى) </w:t>
      </w:r>
    </w:p>
    <w:p w14:paraId="25143B24" w14:textId="3867B1DE" w:rsidR="002929DE" w:rsidRPr="002929DE" w:rsidRDefault="002929DE" w:rsidP="002929DE">
      <w:pPr>
        <w:pStyle w:val="SingleTxtGA"/>
        <w:tabs>
          <w:tab w:val="clear" w:pos="1928"/>
          <w:tab w:val="clear" w:pos="2608"/>
          <w:tab w:val="clear" w:pos="3289"/>
          <w:tab w:val="clear" w:pos="3969"/>
          <w:tab w:val="clear" w:pos="4649"/>
          <w:tab w:val="clear" w:pos="5330"/>
        </w:tabs>
        <w:ind w:left="4649" w:hanging="2721"/>
      </w:pPr>
      <w:r w:rsidRPr="001F30F1">
        <w:rPr>
          <w:i/>
          <w:iCs/>
          <w:rtl/>
        </w:rPr>
        <w:t>الوثائق المرجعية:</w:t>
      </w:r>
      <w:r>
        <w:rPr>
          <w:rtl/>
        </w:rPr>
        <w:tab/>
      </w:r>
      <w:r w:rsidRPr="002929DE">
        <w:rPr>
          <w:rtl/>
        </w:rPr>
        <w:t xml:space="preserve">القرار المتخذ عملاً بالمادة </w:t>
      </w:r>
      <w:r w:rsidRPr="001F30F1">
        <w:rPr>
          <w:rtl/>
        </w:rPr>
        <w:t>92</w:t>
      </w:r>
      <w:r w:rsidRPr="002929DE">
        <w:rPr>
          <w:rtl/>
        </w:rPr>
        <w:t xml:space="preserve"> من النظام الداخلي للجنة، والمحال إلى الدولة الطرف في </w:t>
      </w:r>
      <w:r w:rsidRPr="001F30F1">
        <w:rPr>
          <w:rtl/>
        </w:rPr>
        <w:t>10</w:t>
      </w:r>
      <w:r w:rsidRPr="002929DE">
        <w:rPr>
          <w:rtl/>
        </w:rPr>
        <w:t xml:space="preserve"> كانون الأول/</w:t>
      </w:r>
      <w:r w:rsidR="006D7887">
        <w:rPr>
          <w:rFonts w:hint="cs"/>
          <w:rtl/>
        </w:rPr>
        <w:t xml:space="preserve"> </w:t>
      </w:r>
      <w:r w:rsidRPr="002929DE">
        <w:rPr>
          <w:rtl/>
        </w:rPr>
        <w:t xml:space="preserve">ديسمبر </w:t>
      </w:r>
      <w:r w:rsidRPr="001F30F1">
        <w:rPr>
          <w:rtl/>
        </w:rPr>
        <w:t>2015</w:t>
      </w:r>
      <w:r w:rsidRPr="002929DE">
        <w:rPr>
          <w:rtl/>
        </w:rPr>
        <w:t xml:space="preserve"> (لم يصدر في شكل وثيقة)</w:t>
      </w:r>
    </w:p>
    <w:p w14:paraId="142DA7ED" w14:textId="6EAB33FB" w:rsidR="002929DE" w:rsidRPr="002929DE" w:rsidRDefault="002929DE" w:rsidP="002929DE">
      <w:pPr>
        <w:pStyle w:val="SingleTxtGA"/>
        <w:tabs>
          <w:tab w:val="clear" w:pos="1928"/>
          <w:tab w:val="clear" w:pos="2608"/>
          <w:tab w:val="clear" w:pos="3289"/>
          <w:tab w:val="clear" w:pos="3969"/>
          <w:tab w:val="clear" w:pos="4649"/>
          <w:tab w:val="clear" w:pos="5330"/>
        </w:tabs>
        <w:ind w:left="4649" w:hanging="2721"/>
        <w:rPr>
          <w:rtl/>
        </w:rPr>
      </w:pPr>
      <w:r w:rsidRPr="001F30F1">
        <w:rPr>
          <w:i/>
          <w:iCs/>
          <w:rtl/>
        </w:rPr>
        <w:t>تاريخ اعتماد الآراء:</w:t>
      </w:r>
      <w:r>
        <w:rPr>
          <w:rtl/>
        </w:rPr>
        <w:tab/>
      </w:r>
      <w:r w:rsidRPr="001F30F1">
        <w:rPr>
          <w:rtl/>
        </w:rPr>
        <w:t>23</w:t>
      </w:r>
      <w:r w:rsidRPr="002929DE">
        <w:rPr>
          <w:rtl/>
        </w:rPr>
        <w:t xml:space="preserve"> تموز/يوليه </w:t>
      </w:r>
      <w:r w:rsidRPr="001F30F1">
        <w:rPr>
          <w:rtl/>
        </w:rPr>
        <w:t>2021</w:t>
      </w:r>
    </w:p>
    <w:p w14:paraId="368FEC64" w14:textId="6A65A80E" w:rsidR="002929DE" w:rsidRPr="006D7887" w:rsidRDefault="002929DE" w:rsidP="002929DE">
      <w:pPr>
        <w:pStyle w:val="SingleTxtGA"/>
        <w:tabs>
          <w:tab w:val="clear" w:pos="1928"/>
          <w:tab w:val="clear" w:pos="2608"/>
          <w:tab w:val="clear" w:pos="3289"/>
          <w:tab w:val="clear" w:pos="3969"/>
          <w:tab w:val="clear" w:pos="4649"/>
          <w:tab w:val="clear" w:pos="5330"/>
        </w:tabs>
        <w:ind w:left="4649" w:hanging="2721"/>
        <w:rPr>
          <w:spacing w:val="-4"/>
          <w:rtl/>
        </w:rPr>
      </w:pPr>
      <w:r w:rsidRPr="001F30F1">
        <w:rPr>
          <w:i/>
          <w:iCs/>
          <w:spacing w:val="-4"/>
          <w:rtl/>
        </w:rPr>
        <w:t>الموضوع:</w:t>
      </w:r>
      <w:r w:rsidRPr="006D7887">
        <w:rPr>
          <w:spacing w:val="-4"/>
          <w:rtl/>
        </w:rPr>
        <w:tab/>
        <w:t>رفض الترخيص بتنظيم احتجاج؛ معاقبة صاحب البلاغ على تنظيمه احتجاجاً غير مرخَّص به وعلى المشاركة فيه</w:t>
      </w:r>
    </w:p>
    <w:p w14:paraId="4A6C8222" w14:textId="511B9A5D" w:rsidR="002929DE" w:rsidRPr="002929DE" w:rsidRDefault="002929DE" w:rsidP="002929DE">
      <w:pPr>
        <w:pStyle w:val="SingleTxtGA"/>
        <w:tabs>
          <w:tab w:val="clear" w:pos="1928"/>
          <w:tab w:val="clear" w:pos="2608"/>
          <w:tab w:val="clear" w:pos="3289"/>
          <w:tab w:val="clear" w:pos="3969"/>
          <w:tab w:val="clear" w:pos="4649"/>
          <w:tab w:val="clear" w:pos="5330"/>
        </w:tabs>
        <w:ind w:left="4649" w:hanging="2721"/>
        <w:rPr>
          <w:rtl/>
        </w:rPr>
      </w:pPr>
      <w:r w:rsidRPr="001F30F1">
        <w:rPr>
          <w:i/>
          <w:iCs/>
          <w:rtl/>
        </w:rPr>
        <w:t>المسائل الإجرائية:</w:t>
      </w:r>
      <w:r>
        <w:rPr>
          <w:rtl/>
        </w:rPr>
        <w:tab/>
      </w:r>
      <w:r w:rsidRPr="002929DE">
        <w:rPr>
          <w:rtl/>
        </w:rPr>
        <w:t>استنفاد سبل الانتصاف الداخلية</w:t>
      </w:r>
    </w:p>
    <w:p w14:paraId="3FC928F8" w14:textId="6545225B" w:rsidR="002929DE" w:rsidRPr="002929DE" w:rsidRDefault="002929DE" w:rsidP="002929DE">
      <w:pPr>
        <w:pStyle w:val="SingleTxtGA"/>
        <w:tabs>
          <w:tab w:val="clear" w:pos="1928"/>
          <w:tab w:val="clear" w:pos="2608"/>
          <w:tab w:val="clear" w:pos="3289"/>
          <w:tab w:val="clear" w:pos="3969"/>
          <w:tab w:val="clear" w:pos="4649"/>
          <w:tab w:val="clear" w:pos="5330"/>
        </w:tabs>
        <w:ind w:left="4649" w:hanging="2721"/>
      </w:pPr>
      <w:r w:rsidRPr="001F30F1">
        <w:rPr>
          <w:i/>
          <w:iCs/>
          <w:rtl/>
        </w:rPr>
        <w:t>المسائل الموضوعية:</w:t>
      </w:r>
      <w:r>
        <w:rPr>
          <w:rtl/>
        </w:rPr>
        <w:tab/>
      </w:r>
      <w:r w:rsidRPr="002929DE">
        <w:rPr>
          <w:rtl/>
        </w:rPr>
        <w:t>حرية التجمع؛ حرية الرأي والتعبير</w:t>
      </w:r>
    </w:p>
    <w:p w14:paraId="23358B09" w14:textId="68C8D5CC" w:rsidR="002929DE" w:rsidRPr="002929DE" w:rsidRDefault="002929DE" w:rsidP="002929DE">
      <w:pPr>
        <w:pStyle w:val="SingleTxtGA"/>
        <w:tabs>
          <w:tab w:val="clear" w:pos="1928"/>
          <w:tab w:val="clear" w:pos="2608"/>
          <w:tab w:val="clear" w:pos="3289"/>
          <w:tab w:val="clear" w:pos="3969"/>
          <w:tab w:val="clear" w:pos="4649"/>
          <w:tab w:val="clear" w:pos="5330"/>
        </w:tabs>
        <w:ind w:left="4649" w:hanging="2721"/>
        <w:rPr>
          <w:rtl/>
        </w:rPr>
      </w:pPr>
      <w:r w:rsidRPr="001F30F1">
        <w:rPr>
          <w:i/>
          <w:iCs/>
          <w:rtl/>
        </w:rPr>
        <w:t>مواد العهد:</w:t>
      </w:r>
      <w:r>
        <w:rPr>
          <w:rtl/>
        </w:rPr>
        <w:tab/>
      </w:r>
      <w:r w:rsidRPr="001F30F1">
        <w:rPr>
          <w:rtl/>
        </w:rPr>
        <w:t>19</w:t>
      </w:r>
      <w:r w:rsidRPr="002929DE">
        <w:rPr>
          <w:rtl/>
        </w:rPr>
        <w:t xml:space="preserve"> و</w:t>
      </w:r>
      <w:r w:rsidRPr="001F30F1">
        <w:rPr>
          <w:rtl/>
        </w:rPr>
        <w:t>21</w:t>
      </w:r>
      <w:r w:rsidRPr="002929DE">
        <w:rPr>
          <w:rtl/>
        </w:rPr>
        <w:t xml:space="preserve"> </w:t>
      </w:r>
    </w:p>
    <w:p w14:paraId="5823A30C" w14:textId="1A41B1FC" w:rsidR="002929DE" w:rsidRPr="002929DE" w:rsidRDefault="002929DE" w:rsidP="002929DE">
      <w:pPr>
        <w:pStyle w:val="SingleTxtGA"/>
        <w:tabs>
          <w:tab w:val="clear" w:pos="1928"/>
          <w:tab w:val="clear" w:pos="2608"/>
          <w:tab w:val="clear" w:pos="3289"/>
          <w:tab w:val="clear" w:pos="3969"/>
          <w:tab w:val="clear" w:pos="4649"/>
          <w:tab w:val="clear" w:pos="5330"/>
        </w:tabs>
        <w:ind w:left="4649" w:hanging="2721"/>
      </w:pPr>
      <w:r w:rsidRPr="001F30F1">
        <w:rPr>
          <w:i/>
          <w:iCs/>
          <w:rtl/>
        </w:rPr>
        <w:t>مواد البروتوكول الاختياري:</w:t>
      </w:r>
      <w:r>
        <w:rPr>
          <w:rtl/>
        </w:rPr>
        <w:tab/>
      </w:r>
      <w:r w:rsidR="006D7887">
        <w:rPr>
          <w:rFonts w:hint="cs"/>
          <w:rtl/>
        </w:rPr>
        <w:t>2</w:t>
      </w:r>
      <w:r w:rsidRPr="002929DE">
        <w:rPr>
          <w:rtl/>
        </w:rPr>
        <w:t>، و</w:t>
      </w:r>
      <w:r w:rsidRPr="001F30F1">
        <w:rPr>
          <w:rtl/>
        </w:rPr>
        <w:t>3</w:t>
      </w:r>
      <w:r w:rsidRPr="002929DE">
        <w:rPr>
          <w:rtl/>
        </w:rPr>
        <w:t>، و</w:t>
      </w:r>
      <w:r w:rsidRPr="001F30F1">
        <w:rPr>
          <w:rtl/>
        </w:rPr>
        <w:t>5</w:t>
      </w:r>
      <w:r w:rsidRPr="002929DE">
        <w:rPr>
          <w:rtl/>
        </w:rPr>
        <w:t>(</w:t>
      </w:r>
      <w:r w:rsidRPr="001F30F1">
        <w:rPr>
          <w:rtl/>
        </w:rPr>
        <w:t>2</w:t>
      </w:r>
      <w:r w:rsidRPr="002929DE">
        <w:rPr>
          <w:rtl/>
        </w:rPr>
        <w:t>)(ب)</w:t>
      </w:r>
    </w:p>
    <w:p w14:paraId="6A32E7D6" w14:textId="521061C2" w:rsidR="002929DE" w:rsidRPr="002929DE" w:rsidRDefault="002929DE" w:rsidP="002929DE">
      <w:pPr>
        <w:pStyle w:val="SingleTxtGA"/>
      </w:pPr>
      <w:r w:rsidRPr="001F30F1">
        <w:rPr>
          <w:rtl/>
        </w:rPr>
        <w:t>1</w:t>
      </w:r>
      <w:r w:rsidRPr="002929DE">
        <w:rPr>
          <w:rtl/>
        </w:rPr>
        <w:t>-</w:t>
      </w:r>
      <w:r w:rsidRPr="002929DE">
        <w:rPr>
          <w:rtl/>
        </w:rPr>
        <w:tab/>
        <w:t xml:space="preserve">صاحب البلاغ هو ألكسندر </w:t>
      </w:r>
      <w:proofErr w:type="spellStart"/>
      <w:r w:rsidRPr="002929DE">
        <w:rPr>
          <w:rtl/>
        </w:rPr>
        <w:t>أبراموفيتش</w:t>
      </w:r>
      <w:proofErr w:type="spellEnd"/>
      <w:r w:rsidRPr="002929DE">
        <w:rPr>
          <w:rtl/>
        </w:rPr>
        <w:t xml:space="preserve">، وهو مواطن بيلاروسي وُلد في عام </w:t>
      </w:r>
      <w:r w:rsidRPr="001F30F1">
        <w:rPr>
          <w:rtl/>
        </w:rPr>
        <w:t>196</w:t>
      </w:r>
      <w:r w:rsidR="001F30F1" w:rsidRPr="001F30F1">
        <w:rPr>
          <w:rtl/>
        </w:rPr>
        <w:t xml:space="preserve">0. </w:t>
      </w:r>
      <w:r w:rsidRPr="002929DE">
        <w:rPr>
          <w:rtl/>
        </w:rPr>
        <w:t xml:space="preserve">ويدَّعي صاحب البلاغ أن الدولة الطرف قد انتهكت حقوقه المكفولة بموجب المادتين </w:t>
      </w:r>
      <w:r w:rsidRPr="001F30F1">
        <w:rPr>
          <w:rtl/>
        </w:rPr>
        <w:t>19</w:t>
      </w:r>
      <w:r w:rsidRPr="002929DE">
        <w:rPr>
          <w:rtl/>
        </w:rPr>
        <w:t xml:space="preserve"> و</w:t>
      </w:r>
      <w:r w:rsidRPr="001F30F1">
        <w:rPr>
          <w:rtl/>
        </w:rPr>
        <w:t>21</w:t>
      </w:r>
      <w:r w:rsidRPr="002929DE">
        <w:rPr>
          <w:rtl/>
        </w:rPr>
        <w:t xml:space="preserve"> من العهد. ودخل البروتوكول الاختياري حيز النفاذ بالنسبة إلى بيلاروس في </w:t>
      </w:r>
      <w:r w:rsidRPr="001F30F1">
        <w:rPr>
          <w:rtl/>
        </w:rPr>
        <w:t>30</w:t>
      </w:r>
      <w:r w:rsidRPr="002929DE">
        <w:rPr>
          <w:rtl/>
        </w:rPr>
        <w:t xml:space="preserve"> كانون الأول/ديسمبر </w:t>
      </w:r>
      <w:r w:rsidRPr="001F30F1">
        <w:rPr>
          <w:rtl/>
        </w:rPr>
        <w:t>199</w:t>
      </w:r>
      <w:r w:rsidR="001F30F1" w:rsidRPr="001F30F1">
        <w:rPr>
          <w:rtl/>
        </w:rPr>
        <w:t xml:space="preserve">2. </w:t>
      </w:r>
      <w:r w:rsidRPr="002929DE">
        <w:rPr>
          <w:rtl/>
        </w:rPr>
        <w:t>وصاحب البلاغ لا يمثله محام.</w:t>
      </w:r>
    </w:p>
    <w:p w14:paraId="3DF4ECD6" w14:textId="27C18899" w:rsidR="002929DE" w:rsidRPr="001F30F1" w:rsidRDefault="002929DE" w:rsidP="002929DE">
      <w:pPr>
        <w:pStyle w:val="H23GA"/>
        <w:rPr>
          <w:rtl/>
        </w:rPr>
      </w:pPr>
      <w:r w:rsidRPr="001F30F1">
        <w:rPr>
          <w:rtl/>
        </w:rPr>
        <w:lastRenderedPageBreak/>
        <w:tab/>
      </w:r>
      <w:r w:rsidRPr="001F30F1">
        <w:rPr>
          <w:rtl/>
        </w:rPr>
        <w:tab/>
        <w:t>الوقائع كما عرضها صاحب البلاغ</w:t>
      </w:r>
    </w:p>
    <w:p w14:paraId="782E9D63" w14:textId="77777777" w:rsidR="002929DE" w:rsidRPr="002929DE" w:rsidRDefault="002929DE" w:rsidP="002929DE">
      <w:pPr>
        <w:pStyle w:val="SingleTxtGA"/>
        <w:rPr>
          <w:rtl/>
        </w:rPr>
      </w:pPr>
      <w:r w:rsidRPr="001F30F1">
        <w:rPr>
          <w:rtl/>
        </w:rPr>
        <w:t>2</w:t>
      </w:r>
      <w:r w:rsidRPr="002929DE">
        <w:rPr>
          <w:rtl/>
        </w:rPr>
        <w:t>-</w:t>
      </w:r>
      <w:r w:rsidRPr="001F30F1">
        <w:rPr>
          <w:rtl/>
        </w:rPr>
        <w:t>1</w:t>
      </w:r>
      <w:r w:rsidRPr="002929DE">
        <w:rPr>
          <w:rtl/>
        </w:rPr>
        <w:tab/>
        <w:t xml:space="preserve">في </w:t>
      </w:r>
      <w:r w:rsidRPr="001F30F1">
        <w:rPr>
          <w:rtl/>
        </w:rPr>
        <w:t>28</w:t>
      </w:r>
      <w:r w:rsidRPr="002929DE">
        <w:rPr>
          <w:rtl/>
        </w:rPr>
        <w:t xml:space="preserve"> أيار/مايو </w:t>
      </w:r>
      <w:r w:rsidRPr="001F30F1">
        <w:rPr>
          <w:rtl/>
        </w:rPr>
        <w:t>2010</w:t>
      </w:r>
      <w:r w:rsidRPr="002929DE">
        <w:rPr>
          <w:rtl/>
        </w:rPr>
        <w:t xml:space="preserve">، قدم صاحب البلاغ طلباً إلى اللجنة التنفيذية لمقاطعة </w:t>
      </w:r>
      <w:proofErr w:type="spellStart"/>
      <w:r w:rsidRPr="002929DE">
        <w:rPr>
          <w:rtl/>
        </w:rPr>
        <w:t>بوريسوف</w:t>
      </w:r>
      <w:proofErr w:type="spellEnd"/>
      <w:r w:rsidRPr="002929DE">
        <w:rPr>
          <w:rtl/>
        </w:rPr>
        <w:t xml:space="preserve"> للسماح له بتنظيم احتجاج سلمي، بالمشاركة مع عشرات المشاركين، ضد بناء محطة وقود في مدينة </w:t>
      </w:r>
      <w:proofErr w:type="spellStart"/>
      <w:r w:rsidRPr="002929DE">
        <w:rPr>
          <w:rtl/>
        </w:rPr>
        <w:t>بوريسوف</w:t>
      </w:r>
      <w:proofErr w:type="spellEnd"/>
      <w:r w:rsidRPr="002929DE">
        <w:rPr>
          <w:rtl/>
        </w:rPr>
        <w:t xml:space="preserve">. وفي </w:t>
      </w:r>
      <w:r w:rsidRPr="001F30F1">
        <w:rPr>
          <w:rtl/>
        </w:rPr>
        <w:t>14</w:t>
      </w:r>
      <w:r w:rsidRPr="002929DE">
        <w:rPr>
          <w:rtl/>
        </w:rPr>
        <w:t xml:space="preserve"> حزيران/يونيه </w:t>
      </w:r>
      <w:r w:rsidRPr="001F30F1">
        <w:rPr>
          <w:rtl/>
        </w:rPr>
        <w:t>2010</w:t>
      </w:r>
      <w:r w:rsidRPr="002929DE">
        <w:rPr>
          <w:rtl/>
        </w:rPr>
        <w:t>، وهو يوم الاحتجاج، وجد صاحب البلاغ رسالة في صندوق بريده تُخطره بأنه توجد رسالة مسجلة موجهة إليه تنتظره في مكتب البريد. ولم يُشَر إلى مرسل الرسالة. ولم يعتقد صاحب البلاغ أن الرسالة يمكن أن تكون رداً من اللجنة التنفيذية للمقاطعة على طلبه ولم يذهب إلى مكتب البريد لاستلامها.</w:t>
      </w:r>
    </w:p>
    <w:p w14:paraId="2F58E264" w14:textId="77777777" w:rsidR="002929DE" w:rsidRPr="002929DE" w:rsidRDefault="002929DE" w:rsidP="002929DE">
      <w:pPr>
        <w:pStyle w:val="SingleTxtGA"/>
        <w:rPr>
          <w:rtl/>
        </w:rPr>
      </w:pPr>
      <w:r w:rsidRPr="001F30F1">
        <w:rPr>
          <w:rtl/>
        </w:rPr>
        <w:t>2</w:t>
      </w:r>
      <w:r w:rsidRPr="002929DE">
        <w:rPr>
          <w:rtl/>
        </w:rPr>
        <w:t>-</w:t>
      </w:r>
      <w:r w:rsidRPr="001F30F1">
        <w:rPr>
          <w:rtl/>
        </w:rPr>
        <w:t>2</w:t>
      </w:r>
      <w:r w:rsidRPr="002929DE">
        <w:rPr>
          <w:rtl/>
        </w:rPr>
        <w:tab/>
        <w:t xml:space="preserve">ونُظم الاحتجاج على النحو المخطط له، إلى أن وصل بعض رجال الشرطة وطلبوا من المشاركين التفرق، بمن فيهم صاحب البلاغ. وطُلب من صاحب البلاغ إبراز إذن بتنظيم الاحتجاج. وعندما رفض وَقْف الاحتجاج ولم يُبرز الإذن، اقتيد إلى مركز شرطة مقاطعة </w:t>
      </w:r>
      <w:proofErr w:type="spellStart"/>
      <w:r w:rsidRPr="002929DE">
        <w:rPr>
          <w:rtl/>
        </w:rPr>
        <w:t>بوريسوف</w:t>
      </w:r>
      <w:proofErr w:type="spellEnd"/>
      <w:r w:rsidRPr="002929DE">
        <w:rPr>
          <w:rtl/>
        </w:rPr>
        <w:t xml:space="preserve">. وهناك، وجهت إليه تهمة انتهاك المادتين </w:t>
      </w:r>
      <w:r w:rsidRPr="001F30F1">
        <w:rPr>
          <w:rtl/>
        </w:rPr>
        <w:t>23</w:t>
      </w:r>
      <w:r w:rsidRPr="002929DE">
        <w:rPr>
          <w:rtl/>
        </w:rPr>
        <w:t>-</w:t>
      </w:r>
      <w:r w:rsidRPr="001F30F1">
        <w:rPr>
          <w:rtl/>
        </w:rPr>
        <w:t>4</w:t>
      </w:r>
      <w:r w:rsidRPr="002929DE">
        <w:rPr>
          <w:rtl/>
        </w:rPr>
        <w:t xml:space="preserve"> (بشأن عدم الامتثال لطلب قانوني موجَّه من موظف حكومي) و</w:t>
      </w:r>
      <w:r w:rsidRPr="001F30F1">
        <w:rPr>
          <w:rtl/>
        </w:rPr>
        <w:t>23</w:t>
      </w:r>
      <w:r w:rsidRPr="002929DE">
        <w:rPr>
          <w:rtl/>
        </w:rPr>
        <w:t>-</w:t>
      </w:r>
      <w:r w:rsidRPr="001F30F1">
        <w:rPr>
          <w:rtl/>
        </w:rPr>
        <w:t>34</w:t>
      </w:r>
      <w:r w:rsidRPr="002929DE">
        <w:rPr>
          <w:rtl/>
        </w:rPr>
        <w:t xml:space="preserve"> (بشأن إجراءات تنظيم أو عقد أحداث جماهيرية) من قانون المخالفات الإدارية.</w:t>
      </w:r>
    </w:p>
    <w:p w14:paraId="5E23611E" w14:textId="34483B0F" w:rsidR="001F30F1" w:rsidRPr="001F30F1" w:rsidRDefault="002929DE" w:rsidP="002929DE">
      <w:pPr>
        <w:pStyle w:val="SingleTxtGA"/>
        <w:rPr>
          <w:rtl/>
        </w:rPr>
      </w:pPr>
      <w:r w:rsidRPr="001F30F1">
        <w:rPr>
          <w:rtl/>
        </w:rPr>
        <w:t>2</w:t>
      </w:r>
      <w:r w:rsidRPr="002929DE">
        <w:rPr>
          <w:rtl/>
        </w:rPr>
        <w:t>-</w:t>
      </w:r>
      <w:r w:rsidRPr="001F30F1">
        <w:rPr>
          <w:rtl/>
        </w:rPr>
        <w:t>3</w:t>
      </w:r>
      <w:r w:rsidRPr="002929DE">
        <w:rPr>
          <w:rtl/>
        </w:rPr>
        <w:tab/>
        <w:t xml:space="preserve">وفي </w:t>
      </w:r>
      <w:r w:rsidRPr="001F30F1">
        <w:rPr>
          <w:rtl/>
        </w:rPr>
        <w:t>25</w:t>
      </w:r>
      <w:r w:rsidRPr="002929DE">
        <w:rPr>
          <w:rtl/>
        </w:rPr>
        <w:t xml:space="preserve"> حزيران/يونيه </w:t>
      </w:r>
      <w:r w:rsidRPr="001F30F1">
        <w:rPr>
          <w:rtl/>
        </w:rPr>
        <w:t>2010</w:t>
      </w:r>
      <w:r w:rsidRPr="002929DE">
        <w:rPr>
          <w:rtl/>
        </w:rPr>
        <w:t xml:space="preserve">، وجدت محكمة مقاطعة </w:t>
      </w:r>
      <w:proofErr w:type="spellStart"/>
      <w:r w:rsidRPr="002929DE">
        <w:rPr>
          <w:rtl/>
        </w:rPr>
        <w:t>بوريسوف</w:t>
      </w:r>
      <w:proofErr w:type="spellEnd"/>
      <w:r w:rsidRPr="002929DE">
        <w:rPr>
          <w:rtl/>
        </w:rPr>
        <w:t xml:space="preserve"> أن صاحب البلاغ مذنب بارتكاب مخالفة إدارية بموجب المادة </w:t>
      </w:r>
      <w:r w:rsidRPr="001F30F1">
        <w:rPr>
          <w:rtl/>
        </w:rPr>
        <w:t>23</w:t>
      </w:r>
      <w:r w:rsidRPr="002929DE">
        <w:rPr>
          <w:rtl/>
        </w:rPr>
        <w:t>-</w:t>
      </w:r>
      <w:r w:rsidRPr="001F30F1">
        <w:rPr>
          <w:rtl/>
        </w:rPr>
        <w:t>34</w:t>
      </w:r>
      <w:r w:rsidRPr="002929DE">
        <w:rPr>
          <w:rtl/>
        </w:rPr>
        <w:t xml:space="preserve"> من قانون المخالفات الإدارية وغرمته مبلغ </w:t>
      </w:r>
      <w:r w:rsidRPr="001F30F1">
        <w:rPr>
          <w:rtl/>
        </w:rPr>
        <w:t>000</w:t>
      </w:r>
      <w:r w:rsidRPr="002929DE">
        <w:rPr>
          <w:rtl/>
        </w:rPr>
        <w:t xml:space="preserve"> </w:t>
      </w:r>
      <w:r w:rsidRPr="001F30F1">
        <w:rPr>
          <w:rtl/>
        </w:rPr>
        <w:t>875</w:t>
      </w:r>
      <w:r w:rsidRPr="002929DE">
        <w:rPr>
          <w:rtl/>
        </w:rPr>
        <w:t xml:space="preserve"> روبل بيلاروسي (ما يعادل نحو </w:t>
      </w:r>
      <w:r w:rsidRPr="001F30F1">
        <w:rPr>
          <w:rtl/>
        </w:rPr>
        <w:t>235</w:t>
      </w:r>
      <w:r w:rsidRPr="002929DE">
        <w:rPr>
          <w:rtl/>
        </w:rPr>
        <w:t xml:space="preserve"> يورو</w:t>
      </w:r>
      <w:r w:rsidR="001F30F1" w:rsidRPr="001F30F1">
        <w:rPr>
          <w:rtl/>
        </w:rPr>
        <w:t xml:space="preserve">). </w:t>
      </w:r>
      <w:r w:rsidRPr="002929DE">
        <w:rPr>
          <w:rtl/>
        </w:rPr>
        <w:t xml:space="preserve">كما وجدت المحكمة أن اللجنة التنفيذية للمقاطعة قد رفضت في </w:t>
      </w:r>
      <w:r w:rsidRPr="001F30F1">
        <w:rPr>
          <w:rtl/>
        </w:rPr>
        <w:t>8</w:t>
      </w:r>
      <w:r w:rsidRPr="002929DE">
        <w:rPr>
          <w:rtl/>
        </w:rPr>
        <w:t xml:space="preserve"> حزيران/يونيه </w:t>
      </w:r>
      <w:r w:rsidRPr="001F30F1">
        <w:rPr>
          <w:rtl/>
        </w:rPr>
        <w:t>2010</w:t>
      </w:r>
      <w:r w:rsidRPr="002929DE">
        <w:rPr>
          <w:rtl/>
        </w:rPr>
        <w:t xml:space="preserve"> الإذن بتنظيم الاحتجاج في </w:t>
      </w:r>
      <w:r w:rsidRPr="001F30F1">
        <w:rPr>
          <w:rtl/>
        </w:rPr>
        <w:t>14</w:t>
      </w:r>
      <w:r w:rsidRPr="002929DE">
        <w:rPr>
          <w:rtl/>
        </w:rPr>
        <w:t xml:space="preserve"> حزيران/يونيه </w:t>
      </w:r>
      <w:r w:rsidRPr="001F30F1">
        <w:rPr>
          <w:rtl/>
        </w:rPr>
        <w:t>2010</w:t>
      </w:r>
      <w:r w:rsidRPr="002929DE">
        <w:rPr>
          <w:rtl/>
        </w:rPr>
        <w:t xml:space="preserve"> لأن صاحب البلاغ لم يقدّم ضمانات الحفاظ على النظام العام فيما يتعلق بالاجتماع المخطط له، على النحو المطلوب بموجب القانون رقم </w:t>
      </w:r>
      <w:r w:rsidRPr="001F30F1">
        <w:t>214</w:t>
      </w:r>
      <w:r w:rsidRPr="002929DE">
        <w:t>-Z</w:t>
      </w:r>
      <w:r w:rsidRPr="002929DE">
        <w:rPr>
          <w:rtl/>
        </w:rPr>
        <w:t xml:space="preserve"> المؤرخ </w:t>
      </w:r>
      <w:r w:rsidRPr="001F30F1">
        <w:rPr>
          <w:rtl/>
        </w:rPr>
        <w:t>26</w:t>
      </w:r>
      <w:r w:rsidRPr="002929DE">
        <w:rPr>
          <w:rtl/>
        </w:rPr>
        <w:t xml:space="preserve"> حزيران/يونيه </w:t>
      </w:r>
      <w:r w:rsidRPr="001F30F1">
        <w:rPr>
          <w:rtl/>
        </w:rPr>
        <w:t>2003</w:t>
      </w:r>
      <w:r w:rsidRPr="002929DE">
        <w:rPr>
          <w:rtl/>
        </w:rPr>
        <w:t xml:space="preserve"> بشأن مشاركة المواطنين في حماية القانون والنظام</w:t>
      </w:r>
      <w:r w:rsidR="001F30F1" w:rsidRPr="001F30F1">
        <w:rPr>
          <w:vertAlign w:val="superscript"/>
          <w:rtl/>
        </w:rPr>
        <w:t>(</w:t>
      </w:r>
      <w:r w:rsidR="001F30F1" w:rsidRPr="001F30F1">
        <w:rPr>
          <w:vertAlign w:val="superscript"/>
          <w:lang w:val="en-US"/>
        </w:rPr>
        <w:footnoteReference w:id="3"/>
      </w:r>
      <w:r w:rsidR="001F30F1" w:rsidRPr="001F30F1">
        <w:rPr>
          <w:vertAlign w:val="superscript"/>
          <w:rtl/>
        </w:rPr>
        <w:t>)</w:t>
      </w:r>
      <w:r w:rsidR="001F30F1" w:rsidRPr="001F30F1">
        <w:rPr>
          <w:rtl/>
        </w:rPr>
        <w:t xml:space="preserve">. </w:t>
      </w:r>
      <w:r w:rsidRPr="002929DE">
        <w:rPr>
          <w:rtl/>
        </w:rPr>
        <w:t xml:space="preserve">ولاحظت المحكمة أن قرار اللجنة التنفيذية للمقاطعة قد أُرسل إلى صاحب البلاغ في الوقت المحدد وأن صاحب البلاغ لم يحاول التحقق من حالة طلبه لدى اللجنة التنفيذية للمقاطعة. بيد أن المحكمة برّأت صاحب البلاغ من التهم الموجَّهة إليه بموجب المادة </w:t>
      </w:r>
      <w:r w:rsidRPr="001F30F1">
        <w:rPr>
          <w:rtl/>
        </w:rPr>
        <w:t>23</w:t>
      </w:r>
      <w:r w:rsidRPr="002929DE">
        <w:rPr>
          <w:rtl/>
        </w:rPr>
        <w:t>-</w:t>
      </w:r>
      <w:r w:rsidRPr="001F30F1">
        <w:rPr>
          <w:rtl/>
        </w:rPr>
        <w:t>4</w:t>
      </w:r>
      <w:r w:rsidRPr="002929DE">
        <w:rPr>
          <w:rtl/>
        </w:rPr>
        <w:t xml:space="preserve"> من قانون المخالفات الإدارية بسبب خطأ في السجل الإداري للشرطة</w:t>
      </w:r>
      <w:r w:rsidR="001F30F1" w:rsidRPr="001F30F1">
        <w:rPr>
          <w:vertAlign w:val="superscript"/>
          <w:rtl/>
        </w:rPr>
        <w:t>(</w:t>
      </w:r>
      <w:r w:rsidR="001F30F1" w:rsidRPr="001F30F1">
        <w:rPr>
          <w:vertAlign w:val="superscript"/>
          <w:lang w:val="en-US"/>
        </w:rPr>
        <w:footnoteReference w:id="4"/>
      </w:r>
      <w:r w:rsidR="001F30F1" w:rsidRPr="001F30F1">
        <w:rPr>
          <w:vertAlign w:val="superscript"/>
          <w:rtl/>
        </w:rPr>
        <w:t>)</w:t>
      </w:r>
      <w:r w:rsidR="001F30F1" w:rsidRPr="001F30F1">
        <w:rPr>
          <w:rtl/>
        </w:rPr>
        <w:t>.</w:t>
      </w:r>
    </w:p>
    <w:p w14:paraId="7D4D0DAC" w14:textId="73C06F5B" w:rsidR="002929DE" w:rsidRPr="002929DE" w:rsidRDefault="002929DE" w:rsidP="002929DE">
      <w:pPr>
        <w:pStyle w:val="SingleTxtGA"/>
        <w:rPr>
          <w:rtl/>
        </w:rPr>
      </w:pPr>
      <w:r w:rsidRPr="001F30F1">
        <w:rPr>
          <w:rtl/>
        </w:rPr>
        <w:t>2</w:t>
      </w:r>
      <w:r w:rsidRPr="002929DE">
        <w:rPr>
          <w:rtl/>
        </w:rPr>
        <w:t>-</w:t>
      </w:r>
      <w:r w:rsidRPr="001F30F1">
        <w:rPr>
          <w:rtl/>
        </w:rPr>
        <w:t>4</w:t>
      </w:r>
      <w:r w:rsidRPr="002929DE">
        <w:rPr>
          <w:rtl/>
        </w:rPr>
        <w:tab/>
        <w:t xml:space="preserve">وفي تاريخ غير محدد، استأنف صاحب البلاغ المسألة أمام محكمة مينسك الإقليمية. ورُفض استئنافه في </w:t>
      </w:r>
      <w:r w:rsidRPr="001F30F1">
        <w:rPr>
          <w:rtl/>
        </w:rPr>
        <w:t>20</w:t>
      </w:r>
      <w:r w:rsidRPr="002929DE">
        <w:rPr>
          <w:rtl/>
        </w:rPr>
        <w:t xml:space="preserve"> تموز/يوليه </w:t>
      </w:r>
      <w:r w:rsidRPr="001F30F1">
        <w:rPr>
          <w:rtl/>
        </w:rPr>
        <w:t>201</w:t>
      </w:r>
      <w:r w:rsidR="001F30F1" w:rsidRPr="001F30F1">
        <w:rPr>
          <w:rtl/>
        </w:rPr>
        <w:t xml:space="preserve">0. </w:t>
      </w:r>
      <w:r w:rsidRPr="002929DE">
        <w:rPr>
          <w:rtl/>
        </w:rPr>
        <w:t>ولم يقدم صاحب البلاغ استئنافاً بموجب إجراء المراجعة القضائية الرقابية. ويحتج بأنه، وفقاً للاجتهادات القانونية للجنة، لا تعتبر هذه المراجعة وسيلة انتصاف فعالة.</w:t>
      </w:r>
    </w:p>
    <w:p w14:paraId="10127C18" w14:textId="5302C1F2" w:rsidR="002929DE" w:rsidRPr="001F30F1" w:rsidRDefault="002929DE" w:rsidP="002929DE">
      <w:pPr>
        <w:pStyle w:val="H23GA"/>
        <w:rPr>
          <w:rtl/>
        </w:rPr>
      </w:pPr>
      <w:r w:rsidRPr="001F30F1">
        <w:rPr>
          <w:rtl/>
        </w:rPr>
        <w:tab/>
      </w:r>
      <w:r w:rsidRPr="001F30F1">
        <w:rPr>
          <w:rtl/>
        </w:rPr>
        <w:tab/>
        <w:t>الشكوى</w:t>
      </w:r>
    </w:p>
    <w:p w14:paraId="302F5AE5" w14:textId="77777777" w:rsidR="002929DE" w:rsidRPr="002929DE" w:rsidRDefault="002929DE" w:rsidP="002929DE">
      <w:pPr>
        <w:pStyle w:val="SingleTxtGA"/>
        <w:rPr>
          <w:rtl/>
        </w:rPr>
      </w:pPr>
      <w:r w:rsidRPr="001F30F1">
        <w:rPr>
          <w:rtl/>
        </w:rPr>
        <w:t>3</w:t>
      </w:r>
      <w:r w:rsidRPr="002929DE">
        <w:rPr>
          <w:rtl/>
        </w:rPr>
        <w:t>-</w:t>
      </w:r>
      <w:r w:rsidRPr="001F30F1">
        <w:rPr>
          <w:rtl/>
        </w:rPr>
        <w:t>1</w:t>
      </w:r>
      <w:r w:rsidRPr="002929DE">
        <w:rPr>
          <w:rtl/>
        </w:rPr>
        <w:tab/>
        <w:t xml:space="preserve">يدَّعي صاحب البلاغ أن رفض الإذن بالاحتجاج السلمي هو والغرامة المفروضة عليه بسبب عقد هذا الاحتجاج يشكلان انتهاكاً لحقوقه بموجب المادتين </w:t>
      </w:r>
      <w:r w:rsidRPr="001F30F1">
        <w:rPr>
          <w:rtl/>
        </w:rPr>
        <w:t>19</w:t>
      </w:r>
      <w:r w:rsidRPr="002929DE">
        <w:rPr>
          <w:rtl/>
        </w:rPr>
        <w:t xml:space="preserve"> و</w:t>
      </w:r>
      <w:r w:rsidRPr="001F30F1">
        <w:rPr>
          <w:rtl/>
        </w:rPr>
        <w:t>21</w:t>
      </w:r>
      <w:r w:rsidRPr="002929DE">
        <w:rPr>
          <w:rtl/>
        </w:rPr>
        <w:t xml:space="preserve"> من العهد. كما يدَّعي صاحب البلاغ أن السبب الذي قدمته اللجنة التنفيذية للمقاطعة لرفض منح الإذن - أي أن صاحب البلاغ لم يُدرج في طلبه ضماناً بالحفاظ على النظام العام - ليس أحد الأسباب التي يجوز الاستناد إليها للسماح بفرض قيود بموجب المادتين </w:t>
      </w:r>
      <w:r w:rsidRPr="001F30F1">
        <w:rPr>
          <w:rtl/>
        </w:rPr>
        <w:t>19</w:t>
      </w:r>
      <w:r w:rsidRPr="002929DE">
        <w:rPr>
          <w:rtl/>
        </w:rPr>
        <w:t xml:space="preserve"> و</w:t>
      </w:r>
      <w:r w:rsidRPr="001F30F1">
        <w:rPr>
          <w:rtl/>
        </w:rPr>
        <w:t>21</w:t>
      </w:r>
      <w:r w:rsidRPr="002929DE">
        <w:rPr>
          <w:rtl/>
        </w:rPr>
        <w:t xml:space="preserve"> من العهد.</w:t>
      </w:r>
    </w:p>
    <w:p w14:paraId="23BEC32F" w14:textId="77777777" w:rsidR="002929DE" w:rsidRPr="002929DE" w:rsidRDefault="002929DE" w:rsidP="002929DE">
      <w:pPr>
        <w:pStyle w:val="SingleTxtGA"/>
        <w:rPr>
          <w:rtl/>
        </w:rPr>
      </w:pPr>
      <w:r w:rsidRPr="001F30F1">
        <w:rPr>
          <w:rtl/>
        </w:rPr>
        <w:lastRenderedPageBreak/>
        <w:t>3</w:t>
      </w:r>
      <w:r w:rsidRPr="002929DE">
        <w:rPr>
          <w:rtl/>
        </w:rPr>
        <w:t>-</w:t>
      </w:r>
      <w:r w:rsidRPr="001F30F1">
        <w:rPr>
          <w:rtl/>
        </w:rPr>
        <w:t>2</w:t>
      </w:r>
      <w:r w:rsidRPr="002929DE">
        <w:rPr>
          <w:rtl/>
        </w:rPr>
        <w:tab/>
        <w:t xml:space="preserve">ويطلب صاحب البلاغ من اللجنة أن تخلص إلى حدوث انتهاكات للمادتين </w:t>
      </w:r>
      <w:r w:rsidRPr="001F30F1">
        <w:rPr>
          <w:rtl/>
        </w:rPr>
        <w:t>19</w:t>
      </w:r>
      <w:r w:rsidRPr="002929DE">
        <w:rPr>
          <w:rtl/>
        </w:rPr>
        <w:t xml:space="preserve"> و</w:t>
      </w:r>
      <w:r w:rsidRPr="001F30F1">
        <w:rPr>
          <w:rtl/>
        </w:rPr>
        <w:t>21</w:t>
      </w:r>
      <w:r w:rsidRPr="002929DE">
        <w:rPr>
          <w:rtl/>
        </w:rPr>
        <w:t xml:space="preserve"> من العهد وأن توصي الدولة الطرف بأن توفر له سبيل انتصاف فعالاً وأن تدفع إليه تعويضاً مناسباً.</w:t>
      </w:r>
    </w:p>
    <w:p w14:paraId="68529A32" w14:textId="7C490085" w:rsidR="002929DE" w:rsidRPr="001F30F1" w:rsidRDefault="002929DE" w:rsidP="002929DE">
      <w:pPr>
        <w:pStyle w:val="H23GA"/>
        <w:rPr>
          <w:rtl/>
        </w:rPr>
      </w:pPr>
      <w:r w:rsidRPr="001F30F1">
        <w:rPr>
          <w:rtl/>
        </w:rPr>
        <w:tab/>
      </w:r>
      <w:r w:rsidRPr="001F30F1">
        <w:rPr>
          <w:rtl/>
        </w:rPr>
        <w:tab/>
        <w:t>ملاحظات الدولة الطرف بشأن المقبولية</w:t>
      </w:r>
    </w:p>
    <w:p w14:paraId="43F24BE0" w14:textId="2A4A30C8" w:rsidR="002929DE" w:rsidRPr="002929DE" w:rsidRDefault="002929DE" w:rsidP="002929DE">
      <w:pPr>
        <w:pStyle w:val="SingleTxtGA"/>
        <w:rPr>
          <w:rtl/>
        </w:rPr>
      </w:pPr>
      <w:r w:rsidRPr="001F30F1">
        <w:rPr>
          <w:rtl/>
        </w:rPr>
        <w:t>4</w:t>
      </w:r>
      <w:r w:rsidRPr="002929DE">
        <w:rPr>
          <w:rtl/>
        </w:rPr>
        <w:t>-</w:t>
      </w:r>
      <w:r w:rsidRPr="002929DE">
        <w:rPr>
          <w:rtl/>
        </w:rPr>
        <w:tab/>
        <w:t xml:space="preserve">قدمت الدولة الطرف ملاحظاتها بمذكرة شفوية مؤرخة </w:t>
      </w:r>
      <w:r w:rsidRPr="001F30F1">
        <w:rPr>
          <w:rtl/>
        </w:rPr>
        <w:t>4</w:t>
      </w:r>
      <w:r w:rsidRPr="002929DE">
        <w:rPr>
          <w:rtl/>
        </w:rPr>
        <w:t xml:space="preserve"> شباط/فبراير </w:t>
      </w:r>
      <w:r w:rsidRPr="001F30F1">
        <w:rPr>
          <w:rtl/>
        </w:rPr>
        <w:t>201</w:t>
      </w:r>
      <w:r w:rsidR="001F30F1" w:rsidRPr="001F30F1">
        <w:rPr>
          <w:rtl/>
        </w:rPr>
        <w:t xml:space="preserve">6. </w:t>
      </w:r>
      <w:r w:rsidRPr="002929DE">
        <w:rPr>
          <w:rtl/>
        </w:rPr>
        <w:t xml:space="preserve">ووفقاً للدولة الطرف، لم يقدم صاحب البلاغ إلى رئيس محكمة مينسك الإقليمية وإلى المحكمة العليا استئنافات لإجراء مراجعة قضائية رقابية. وتكفل المادة </w:t>
      </w:r>
      <w:r w:rsidRPr="001F30F1">
        <w:rPr>
          <w:rtl/>
        </w:rPr>
        <w:t>12</w:t>
      </w:r>
      <w:r w:rsidRPr="002929DE">
        <w:rPr>
          <w:rtl/>
        </w:rPr>
        <w:t>-</w:t>
      </w:r>
      <w:r w:rsidRPr="001F30F1">
        <w:rPr>
          <w:rtl/>
        </w:rPr>
        <w:t>11</w:t>
      </w:r>
      <w:r w:rsidRPr="002929DE">
        <w:rPr>
          <w:rtl/>
        </w:rPr>
        <w:t xml:space="preserve"> من قانون تنفيذ إجراءات المخالفات الإدارية سبل الانتصاف هذه. وتخلص الدولة الطرف إلى أنه ينبغي اعتبار البلاغ غير مقبول بموجب المادتين </w:t>
      </w:r>
      <w:r w:rsidRPr="001F30F1">
        <w:rPr>
          <w:rtl/>
        </w:rPr>
        <w:t>2</w:t>
      </w:r>
      <w:r w:rsidRPr="002929DE">
        <w:rPr>
          <w:rtl/>
        </w:rPr>
        <w:t xml:space="preserve"> و</w:t>
      </w:r>
      <w:r w:rsidRPr="001F30F1">
        <w:rPr>
          <w:rtl/>
        </w:rPr>
        <w:t>3</w:t>
      </w:r>
      <w:r w:rsidRPr="002929DE">
        <w:rPr>
          <w:rtl/>
        </w:rPr>
        <w:t xml:space="preserve"> من البروتوكول الاختياري بسبب عدم استنفاد صاحب البلاغ سبل الانتصاف المحلية وإساءة استخدامه لإجراء تقديم البلاغات.</w:t>
      </w:r>
    </w:p>
    <w:p w14:paraId="4155B6CD" w14:textId="5588215F" w:rsidR="002929DE" w:rsidRPr="001F30F1" w:rsidRDefault="002929DE" w:rsidP="002929DE">
      <w:pPr>
        <w:pStyle w:val="H23GA"/>
        <w:rPr>
          <w:rtl/>
        </w:rPr>
      </w:pPr>
      <w:r w:rsidRPr="001F30F1">
        <w:rPr>
          <w:rtl/>
        </w:rPr>
        <w:tab/>
      </w:r>
      <w:r w:rsidRPr="001F30F1">
        <w:rPr>
          <w:rtl/>
        </w:rPr>
        <w:tab/>
        <w:t>تعليقات صاحب البلاغ على ملاحظات الدولة الطرف</w:t>
      </w:r>
    </w:p>
    <w:p w14:paraId="6E95B6DC" w14:textId="7996515E" w:rsidR="001F30F1" w:rsidRPr="001F30F1" w:rsidRDefault="002929DE" w:rsidP="002929DE">
      <w:pPr>
        <w:pStyle w:val="SingleTxtGA"/>
        <w:rPr>
          <w:rtl/>
        </w:rPr>
      </w:pPr>
      <w:r w:rsidRPr="001F30F1">
        <w:rPr>
          <w:rtl/>
        </w:rPr>
        <w:t>5</w:t>
      </w:r>
      <w:r w:rsidRPr="002929DE">
        <w:rPr>
          <w:rtl/>
        </w:rPr>
        <w:t>-</w:t>
      </w:r>
      <w:r w:rsidRPr="002929DE">
        <w:rPr>
          <w:rtl/>
        </w:rPr>
        <w:tab/>
        <w:t xml:space="preserve">في </w:t>
      </w:r>
      <w:r w:rsidRPr="001F30F1">
        <w:rPr>
          <w:rtl/>
        </w:rPr>
        <w:t>7</w:t>
      </w:r>
      <w:r w:rsidRPr="002929DE">
        <w:rPr>
          <w:rtl/>
        </w:rPr>
        <w:t xml:space="preserve"> آذار/مارس </w:t>
      </w:r>
      <w:r w:rsidRPr="001F30F1">
        <w:rPr>
          <w:rtl/>
        </w:rPr>
        <w:t>2016</w:t>
      </w:r>
      <w:r w:rsidRPr="002929DE">
        <w:rPr>
          <w:rtl/>
        </w:rPr>
        <w:t xml:space="preserve">، قدم صاحب البلاغ تعليقاته على ملاحظات الدولة الطرف. وهو يدَّعي أن إجراء المراجعة القضائية الرقابية هو تقديري بطبيعته ولا يضمن إحالة الاستئناف إلى محكمة للنظر فيه. وإذا جرى قبوله للنظر فيه، فلن تراجع المحكمة القضية من حيث الأُسس الموضوعية. ويدَّعي صاحب البلاغ أن شرط الاستنفاد المنصوص عليه في المادة </w:t>
      </w:r>
      <w:r w:rsidRPr="001F30F1">
        <w:rPr>
          <w:rtl/>
        </w:rPr>
        <w:t>5</w:t>
      </w:r>
      <w:r w:rsidRPr="002929DE">
        <w:rPr>
          <w:rtl/>
        </w:rPr>
        <w:t>(</w:t>
      </w:r>
      <w:r w:rsidRPr="001F30F1">
        <w:rPr>
          <w:rtl/>
        </w:rPr>
        <w:t>2</w:t>
      </w:r>
      <w:r w:rsidRPr="002929DE">
        <w:rPr>
          <w:rtl/>
        </w:rPr>
        <w:t>)(ب) لا ينطبق إلا على سبل الانتصاف التي تكون فعالة ومتاحة. ويؤكد أن اللجنة لا تعتبر إجراء المراجعة القضائية الرقابية في بيلاروس وسيلة انتصاف فعالة</w:t>
      </w:r>
      <w:r w:rsidR="001F30F1" w:rsidRPr="001F30F1">
        <w:rPr>
          <w:vertAlign w:val="superscript"/>
          <w:rtl/>
        </w:rPr>
        <w:t>(</w:t>
      </w:r>
      <w:r w:rsidR="001F30F1" w:rsidRPr="001F30F1">
        <w:rPr>
          <w:vertAlign w:val="superscript"/>
          <w:lang w:val="en-US"/>
        </w:rPr>
        <w:footnoteReference w:id="5"/>
      </w:r>
      <w:r w:rsidR="001F30F1" w:rsidRPr="001F30F1">
        <w:rPr>
          <w:vertAlign w:val="superscript"/>
          <w:rtl/>
        </w:rPr>
        <w:t>)</w:t>
      </w:r>
      <w:r w:rsidR="001F30F1" w:rsidRPr="001F30F1">
        <w:rPr>
          <w:rtl/>
        </w:rPr>
        <w:t>.</w:t>
      </w:r>
    </w:p>
    <w:p w14:paraId="51004AB0" w14:textId="0094F8E8" w:rsidR="002929DE" w:rsidRPr="001F30F1" w:rsidRDefault="002929DE" w:rsidP="002929DE">
      <w:pPr>
        <w:pStyle w:val="H23GA"/>
        <w:rPr>
          <w:rtl/>
        </w:rPr>
      </w:pPr>
      <w:r w:rsidRPr="001F30F1">
        <w:rPr>
          <w:rtl/>
        </w:rPr>
        <w:tab/>
      </w:r>
      <w:r w:rsidRPr="001F30F1">
        <w:rPr>
          <w:rtl/>
        </w:rPr>
        <w:tab/>
        <w:t>المسائل والإجراءات المعروضة على اللجنة</w:t>
      </w:r>
    </w:p>
    <w:p w14:paraId="133E28BE" w14:textId="47141A88" w:rsidR="002929DE" w:rsidRPr="001F30F1" w:rsidRDefault="002929DE" w:rsidP="002929DE">
      <w:pPr>
        <w:pStyle w:val="H4GA"/>
        <w:rPr>
          <w:rtl/>
        </w:rPr>
      </w:pPr>
      <w:r w:rsidRPr="001F30F1">
        <w:rPr>
          <w:rtl/>
        </w:rPr>
        <w:tab/>
      </w:r>
      <w:r w:rsidRPr="001F30F1">
        <w:rPr>
          <w:rtl/>
        </w:rPr>
        <w:tab/>
        <w:t>النظر في المقبولية</w:t>
      </w:r>
    </w:p>
    <w:p w14:paraId="52ADBC97" w14:textId="77777777" w:rsidR="002929DE" w:rsidRPr="002929DE" w:rsidRDefault="002929DE" w:rsidP="002929DE">
      <w:pPr>
        <w:pStyle w:val="SingleTxtGA"/>
        <w:rPr>
          <w:rtl/>
        </w:rPr>
      </w:pPr>
      <w:r w:rsidRPr="001F30F1">
        <w:rPr>
          <w:rtl/>
        </w:rPr>
        <w:t>6</w:t>
      </w:r>
      <w:r w:rsidRPr="002929DE">
        <w:rPr>
          <w:rtl/>
        </w:rPr>
        <w:t>-</w:t>
      </w:r>
      <w:r w:rsidRPr="001F30F1">
        <w:rPr>
          <w:rtl/>
        </w:rPr>
        <w:t>1</w:t>
      </w:r>
      <w:r w:rsidRPr="002929DE">
        <w:rPr>
          <w:rtl/>
        </w:rPr>
        <w:tab/>
        <w:t xml:space="preserve">قبل النظر في أي ادعاء يرد في بلاغ ما، يجب على اللجنة، وفقاً للمادة </w:t>
      </w:r>
      <w:r w:rsidRPr="001F30F1">
        <w:rPr>
          <w:rtl/>
        </w:rPr>
        <w:t>97</w:t>
      </w:r>
      <w:r w:rsidRPr="002929DE">
        <w:rPr>
          <w:rtl/>
        </w:rPr>
        <w:t xml:space="preserve"> من نظامها الداخلي، أن تقرر ما إذا كان البلاغ مقبولاً أم لا بموجب البروتوكول الاختياري.</w:t>
      </w:r>
    </w:p>
    <w:p w14:paraId="6E28D634" w14:textId="646A0758" w:rsidR="002929DE" w:rsidRPr="002929DE" w:rsidRDefault="002929DE" w:rsidP="002929DE">
      <w:pPr>
        <w:pStyle w:val="SingleTxtGA"/>
        <w:rPr>
          <w:rtl/>
        </w:rPr>
      </w:pPr>
      <w:r w:rsidRPr="001F30F1">
        <w:rPr>
          <w:rtl/>
        </w:rPr>
        <w:t>6</w:t>
      </w:r>
      <w:r w:rsidRPr="002929DE">
        <w:rPr>
          <w:rtl/>
        </w:rPr>
        <w:t>-</w:t>
      </w:r>
      <w:r w:rsidRPr="001F30F1">
        <w:rPr>
          <w:rtl/>
        </w:rPr>
        <w:t>2</w:t>
      </w:r>
      <w:r w:rsidRPr="002929DE">
        <w:rPr>
          <w:rtl/>
        </w:rPr>
        <w:tab/>
        <w:t xml:space="preserve">وقد تحققت اللجنة، على النحو المطلوب بموجب المادة </w:t>
      </w:r>
      <w:r w:rsidRPr="001F30F1">
        <w:rPr>
          <w:rtl/>
        </w:rPr>
        <w:t>5</w:t>
      </w:r>
      <w:r w:rsidRPr="002929DE">
        <w:rPr>
          <w:rtl/>
        </w:rPr>
        <w:t>(</w:t>
      </w:r>
      <w:r w:rsidRPr="001F30F1">
        <w:rPr>
          <w:rtl/>
        </w:rPr>
        <w:t>2</w:t>
      </w:r>
      <w:r w:rsidRPr="002929DE">
        <w:rPr>
          <w:rtl/>
        </w:rPr>
        <w:t>)(أ) من البروتوكول الاختياري، من أن المسألة نفسها ليست قيد البحث بموجب إجراء آخر من إجراءات التحقيق الدولي أو التسوية الدولية.</w:t>
      </w:r>
    </w:p>
    <w:p w14:paraId="2FAE7191" w14:textId="572AC6AA" w:rsidR="002929DE" w:rsidRPr="002929DE" w:rsidRDefault="002929DE" w:rsidP="002929DE">
      <w:pPr>
        <w:pStyle w:val="SingleTxtGA"/>
        <w:rPr>
          <w:rtl/>
        </w:rPr>
      </w:pPr>
      <w:r w:rsidRPr="001F30F1">
        <w:rPr>
          <w:rtl/>
        </w:rPr>
        <w:t>6</w:t>
      </w:r>
      <w:r w:rsidRPr="002929DE">
        <w:rPr>
          <w:rtl/>
        </w:rPr>
        <w:t>-</w:t>
      </w:r>
      <w:r w:rsidRPr="001F30F1">
        <w:rPr>
          <w:rtl/>
        </w:rPr>
        <w:t>3</w:t>
      </w:r>
      <w:r w:rsidRPr="002929DE">
        <w:rPr>
          <w:rtl/>
        </w:rPr>
        <w:tab/>
        <w:t>وتحيط اللجنة علماً بملاحظة الدولة الطرف أن صاحب البلاغ لم يستنفد سبل الانتصاف المحلية لأنه لم يقدم إلى رئيس محكمة مينسك الإقليمية أو إلى المحكمة العليا استئنافات لإجراء مراجعة قضائية رقابية. وتلاحظ اللجنة أيضاً حجة صاحب البلاغ القائلة بأن هذه الاستئنافات لا تشكل سبيل انتصاف فعالاً. وتُذكِّر اللجنة باجتهاداتها القانونية التي مفادها أن تقديم طلبات المراجعة القضائية الرقابية إلى رئيس محكمة ضد قرارات محكمة دخلت حيز التنفيذ وتعتمد على السلطة التقديرية للقاضي هو أمر يشكل سبيل انتصاف غير عادي وأنه يجب على الدولة الطرف أن تبين وجود احتمال معقول بأن مثل هذه الطلبات ستتيح سبيل انتصاف فعالاً في ظروف القضية المعنية</w:t>
      </w:r>
      <w:r w:rsidR="001F30F1" w:rsidRPr="001F30F1">
        <w:rPr>
          <w:vertAlign w:val="superscript"/>
          <w:rtl/>
        </w:rPr>
        <w:t>(</w:t>
      </w:r>
      <w:r w:rsidR="001F30F1" w:rsidRPr="001F30F1">
        <w:rPr>
          <w:vertAlign w:val="superscript"/>
          <w:lang w:val="en-US"/>
        </w:rPr>
        <w:footnoteReference w:id="6"/>
      </w:r>
      <w:r w:rsidR="001F30F1" w:rsidRPr="001F30F1">
        <w:rPr>
          <w:vertAlign w:val="superscript"/>
          <w:rtl/>
        </w:rPr>
        <w:t>)</w:t>
      </w:r>
      <w:r w:rsidR="001F30F1" w:rsidRPr="001F30F1">
        <w:rPr>
          <w:rtl/>
        </w:rPr>
        <w:t xml:space="preserve">. </w:t>
      </w:r>
      <w:r w:rsidRPr="002929DE">
        <w:rPr>
          <w:rtl/>
        </w:rPr>
        <w:t xml:space="preserve">وفي غياب هذه المعلومات في هذه القضية، ترى اللجنة أن المادة </w:t>
      </w:r>
      <w:r w:rsidRPr="001F30F1">
        <w:rPr>
          <w:rtl/>
        </w:rPr>
        <w:t>5</w:t>
      </w:r>
      <w:r w:rsidRPr="002929DE">
        <w:rPr>
          <w:rtl/>
        </w:rPr>
        <w:t>(</w:t>
      </w:r>
      <w:r w:rsidRPr="001F30F1">
        <w:rPr>
          <w:rtl/>
        </w:rPr>
        <w:t>2</w:t>
      </w:r>
      <w:r w:rsidRPr="002929DE">
        <w:rPr>
          <w:rtl/>
        </w:rPr>
        <w:t>)(ب) من البروتوكول الاختياري لا تمنعها من بحث البلاغ.</w:t>
      </w:r>
    </w:p>
    <w:p w14:paraId="52479813" w14:textId="77777777" w:rsidR="002929DE" w:rsidRPr="002929DE" w:rsidRDefault="002929DE" w:rsidP="002929DE">
      <w:pPr>
        <w:pStyle w:val="SingleTxtGA"/>
        <w:rPr>
          <w:rtl/>
        </w:rPr>
      </w:pPr>
      <w:r w:rsidRPr="001F30F1">
        <w:rPr>
          <w:rtl/>
        </w:rPr>
        <w:lastRenderedPageBreak/>
        <w:t>6</w:t>
      </w:r>
      <w:r w:rsidRPr="002929DE">
        <w:rPr>
          <w:rtl/>
        </w:rPr>
        <w:t>-</w:t>
      </w:r>
      <w:r w:rsidRPr="001F30F1">
        <w:rPr>
          <w:rtl/>
        </w:rPr>
        <w:t>4</w:t>
      </w:r>
      <w:r w:rsidRPr="002929DE">
        <w:rPr>
          <w:rtl/>
        </w:rPr>
        <w:tab/>
        <w:t xml:space="preserve">وترى اللجنة أن صاحب البلاغ قد قدم أدلة كافية لدعم ادعاءاته المقدَّمة بموجب المادتين </w:t>
      </w:r>
      <w:r w:rsidRPr="001F30F1">
        <w:rPr>
          <w:rtl/>
        </w:rPr>
        <w:t>19</w:t>
      </w:r>
      <w:r w:rsidRPr="002929DE">
        <w:rPr>
          <w:rtl/>
        </w:rPr>
        <w:t xml:space="preserve"> و</w:t>
      </w:r>
      <w:r w:rsidRPr="001F30F1">
        <w:rPr>
          <w:rtl/>
        </w:rPr>
        <w:t>21</w:t>
      </w:r>
      <w:r w:rsidRPr="002929DE">
        <w:rPr>
          <w:rtl/>
        </w:rPr>
        <w:t xml:space="preserve"> من العهد لأغراض المقبولية وتشرع في النظر في الأسس الموضوعية.</w:t>
      </w:r>
    </w:p>
    <w:p w14:paraId="1FA1E6EC" w14:textId="73889D2A" w:rsidR="002929DE" w:rsidRPr="001F30F1" w:rsidRDefault="002929DE" w:rsidP="002929DE">
      <w:pPr>
        <w:pStyle w:val="H4GA"/>
        <w:rPr>
          <w:rtl/>
        </w:rPr>
      </w:pPr>
      <w:r w:rsidRPr="001F30F1">
        <w:rPr>
          <w:rtl/>
        </w:rPr>
        <w:tab/>
      </w:r>
      <w:r w:rsidRPr="001F30F1">
        <w:rPr>
          <w:rtl/>
        </w:rPr>
        <w:tab/>
        <w:t>النظر في الأسس الموضوعية</w:t>
      </w:r>
    </w:p>
    <w:p w14:paraId="2124B34B" w14:textId="4CE37D31" w:rsidR="002929DE" w:rsidRPr="002929DE" w:rsidRDefault="002929DE" w:rsidP="002929DE">
      <w:pPr>
        <w:pStyle w:val="SingleTxtGA"/>
        <w:rPr>
          <w:rtl/>
        </w:rPr>
      </w:pPr>
      <w:r w:rsidRPr="001F30F1">
        <w:rPr>
          <w:rtl/>
        </w:rPr>
        <w:t>7</w:t>
      </w:r>
      <w:r w:rsidRPr="002929DE">
        <w:rPr>
          <w:rtl/>
        </w:rPr>
        <w:t>-</w:t>
      </w:r>
      <w:r w:rsidRPr="001F30F1">
        <w:rPr>
          <w:rtl/>
        </w:rPr>
        <w:t>1</w:t>
      </w:r>
      <w:r w:rsidRPr="002929DE">
        <w:rPr>
          <w:rtl/>
        </w:rPr>
        <w:tab/>
        <w:t xml:space="preserve">نظرت اللجنة في البلاغ في ضوء جميع المعلومات التي أتاحها لها الطرفان، على النحو المنصوص عليه في المادة </w:t>
      </w:r>
      <w:r w:rsidRPr="001F30F1">
        <w:rPr>
          <w:rtl/>
        </w:rPr>
        <w:t>5</w:t>
      </w:r>
      <w:r w:rsidRPr="002929DE">
        <w:rPr>
          <w:rtl/>
        </w:rPr>
        <w:t>(</w:t>
      </w:r>
      <w:r w:rsidR="001F30F1" w:rsidRPr="001F30F1">
        <w:rPr>
          <w:rtl/>
        </w:rPr>
        <w:t xml:space="preserve">1) </w:t>
      </w:r>
      <w:r w:rsidRPr="002929DE">
        <w:rPr>
          <w:rtl/>
        </w:rPr>
        <w:t>من البروتوكول الاختياري.</w:t>
      </w:r>
    </w:p>
    <w:p w14:paraId="17FF09A2" w14:textId="77777777" w:rsidR="002929DE" w:rsidRPr="002929DE" w:rsidRDefault="002929DE" w:rsidP="002929DE">
      <w:pPr>
        <w:pStyle w:val="SingleTxtGA"/>
        <w:rPr>
          <w:rtl/>
        </w:rPr>
      </w:pPr>
      <w:r w:rsidRPr="001F30F1">
        <w:rPr>
          <w:rtl/>
        </w:rPr>
        <w:t>7</w:t>
      </w:r>
      <w:r w:rsidRPr="002929DE">
        <w:rPr>
          <w:rtl/>
        </w:rPr>
        <w:t>-</w:t>
      </w:r>
      <w:r w:rsidRPr="001F30F1">
        <w:rPr>
          <w:rtl/>
        </w:rPr>
        <w:t>2</w:t>
      </w:r>
      <w:r w:rsidRPr="002929DE">
        <w:rPr>
          <w:rtl/>
        </w:rPr>
        <w:tab/>
        <w:t xml:space="preserve">وتحيط اللجنة علماً بادعاءات صاحب البلاغ بأن حقوقه في حرية التعبير والتجمع قد قُيدت انتهاكاً للمادتين </w:t>
      </w:r>
      <w:r w:rsidRPr="001F30F1">
        <w:rPr>
          <w:rtl/>
        </w:rPr>
        <w:t>19</w:t>
      </w:r>
      <w:r w:rsidRPr="002929DE">
        <w:rPr>
          <w:rtl/>
        </w:rPr>
        <w:t xml:space="preserve"> و</w:t>
      </w:r>
      <w:r w:rsidRPr="001F30F1">
        <w:rPr>
          <w:rtl/>
        </w:rPr>
        <w:t>21</w:t>
      </w:r>
      <w:r w:rsidRPr="002929DE">
        <w:rPr>
          <w:rtl/>
        </w:rPr>
        <w:t xml:space="preserve"> من العهد، لأنه حُرم من الإذن بتنظيم احتجاج. وتلاحظ أيضاً ادعاءات صاحب البلاغ القائلة بأن السلطات تذرعت، كأساس للرفض، بعدم تقديمه ضمانات بالحفاظ على النظام العام وذلك في طلبه الإذن بتنظيم الاحتجاج وأن هذا السبب ليس من بين الأسباب المسموح بها لتقييد الحقوق المنصوص عليها في المادتين </w:t>
      </w:r>
      <w:r w:rsidRPr="001F30F1">
        <w:rPr>
          <w:rtl/>
        </w:rPr>
        <w:t>19</w:t>
      </w:r>
      <w:r w:rsidRPr="002929DE">
        <w:rPr>
          <w:rtl/>
        </w:rPr>
        <w:t xml:space="preserve"> و</w:t>
      </w:r>
      <w:r w:rsidRPr="001F30F1">
        <w:rPr>
          <w:rtl/>
        </w:rPr>
        <w:t>21</w:t>
      </w:r>
      <w:r w:rsidRPr="002929DE">
        <w:rPr>
          <w:rtl/>
        </w:rPr>
        <w:t xml:space="preserve"> من العهد.</w:t>
      </w:r>
    </w:p>
    <w:p w14:paraId="44E9FD73" w14:textId="106A3579" w:rsidR="001F30F1" w:rsidRPr="001F30F1" w:rsidRDefault="002929DE" w:rsidP="002929DE">
      <w:pPr>
        <w:pStyle w:val="SingleTxtGA"/>
        <w:rPr>
          <w:rtl/>
        </w:rPr>
      </w:pPr>
      <w:r w:rsidRPr="001F30F1">
        <w:rPr>
          <w:rtl/>
        </w:rPr>
        <w:t>7</w:t>
      </w:r>
      <w:r w:rsidRPr="002929DE">
        <w:rPr>
          <w:rtl/>
        </w:rPr>
        <w:t>-</w:t>
      </w:r>
      <w:r w:rsidRPr="001F30F1">
        <w:rPr>
          <w:rtl/>
        </w:rPr>
        <w:t>3</w:t>
      </w:r>
      <w:r w:rsidRPr="002929DE">
        <w:rPr>
          <w:rtl/>
        </w:rPr>
        <w:tab/>
        <w:t>وفيما يتعلق بادعاء صاحب البلاغ أن عدم تقديمه ضمانات الحفاظ على النظام العام أثناء الاحتجاج قد اعتُبر أساساً لرفض اللجنة التنفيذية للمقاطعة لطلبه، تلاحظ اللجنة أن متطلبات قيام المشاركين أو المنظمين إما بترتيب تكاليف أعمال الشرطة أو الأمن أو المساعدة الطبية أو التنظيف أو الخدمات العامة الأخرى المرتبطة بالتجمعات السلمية أو بالإسهام في هذه التكاليف هي متطلبات لا</w:t>
      </w:r>
      <w:r w:rsidR="00D4122E">
        <w:rPr>
          <w:rFonts w:hint="cs"/>
          <w:rtl/>
        </w:rPr>
        <w:t> </w:t>
      </w:r>
      <w:r w:rsidRPr="002929DE">
        <w:rPr>
          <w:rtl/>
        </w:rPr>
        <w:t xml:space="preserve">تتوافق بصورة عامة مع المادة </w:t>
      </w:r>
      <w:r w:rsidRPr="001F30F1">
        <w:rPr>
          <w:rtl/>
        </w:rPr>
        <w:t>21</w:t>
      </w:r>
      <w:r w:rsidRPr="002929DE">
        <w:rPr>
          <w:rtl/>
        </w:rPr>
        <w:t xml:space="preserve"> من العهد</w:t>
      </w:r>
      <w:r w:rsidR="001F30F1" w:rsidRPr="001F30F1">
        <w:rPr>
          <w:vertAlign w:val="superscript"/>
          <w:rtl/>
        </w:rPr>
        <w:t>(</w:t>
      </w:r>
      <w:r w:rsidR="001F30F1" w:rsidRPr="001F30F1">
        <w:rPr>
          <w:vertAlign w:val="superscript"/>
          <w:lang w:val="en-US"/>
        </w:rPr>
        <w:footnoteReference w:id="7"/>
      </w:r>
      <w:r w:rsidR="001F30F1" w:rsidRPr="001F30F1">
        <w:rPr>
          <w:vertAlign w:val="superscript"/>
          <w:rtl/>
        </w:rPr>
        <w:t>)</w:t>
      </w:r>
      <w:r w:rsidR="001F30F1" w:rsidRPr="001F30F1">
        <w:rPr>
          <w:rtl/>
        </w:rPr>
        <w:t>.</w:t>
      </w:r>
    </w:p>
    <w:p w14:paraId="6EDFC4E8" w14:textId="3D8960CD" w:rsidR="001F30F1" w:rsidRPr="001F30F1" w:rsidRDefault="002929DE" w:rsidP="002929DE">
      <w:pPr>
        <w:pStyle w:val="SingleTxtGA"/>
        <w:rPr>
          <w:spacing w:val="-1"/>
          <w:rtl/>
        </w:rPr>
      </w:pPr>
      <w:r w:rsidRPr="001F30F1">
        <w:rPr>
          <w:spacing w:val="-1"/>
          <w:rtl/>
        </w:rPr>
        <w:t>7</w:t>
      </w:r>
      <w:r w:rsidRPr="00D4122E">
        <w:rPr>
          <w:spacing w:val="-1"/>
          <w:rtl/>
        </w:rPr>
        <w:t>-</w:t>
      </w:r>
      <w:r w:rsidRPr="001F30F1">
        <w:rPr>
          <w:spacing w:val="-1"/>
          <w:rtl/>
        </w:rPr>
        <w:t>4</w:t>
      </w:r>
      <w:r w:rsidRPr="00D4122E">
        <w:rPr>
          <w:spacing w:val="-1"/>
          <w:rtl/>
        </w:rPr>
        <w:tab/>
        <w:t xml:space="preserve">وفضلاً عن ذلك، تذكِّر اللجنة بأن الحق في حرية التجمع السلمي، على النحو المكفول بموجب المادة </w:t>
      </w:r>
      <w:r w:rsidRPr="001F30F1">
        <w:rPr>
          <w:spacing w:val="-1"/>
          <w:rtl/>
        </w:rPr>
        <w:t>21</w:t>
      </w:r>
      <w:r w:rsidRPr="00D4122E">
        <w:rPr>
          <w:spacing w:val="-1"/>
          <w:rtl/>
        </w:rPr>
        <w:t xml:space="preserve"> من العهد، هو حق أساسي من حقوق الإنسان لا بد منه للتعبير العلني عن آراء الفرد وآرائه ولا</w:t>
      </w:r>
      <w:r w:rsidR="00D4122E" w:rsidRPr="00D4122E">
        <w:rPr>
          <w:rFonts w:hint="cs"/>
          <w:spacing w:val="-1"/>
          <w:rtl/>
        </w:rPr>
        <w:t> </w:t>
      </w:r>
      <w:r w:rsidRPr="00D4122E">
        <w:rPr>
          <w:spacing w:val="-1"/>
          <w:rtl/>
        </w:rPr>
        <w:t xml:space="preserve">غنى عنه في مجتمع ديمقراطي. وقد تتخذ هذه التجمعات أشكالاً كثيرة، بما في ذلك المظاهرات، والاحتجاجات، والاجتماعات، والمسيرات، والتجمّعات، والاعتصامات، والوقفات الاحتجاجية على ضوء الشموع، والتجمّعات الخاطفة. وهي مشمولة بالحماية بموجب المادة </w:t>
      </w:r>
      <w:r w:rsidRPr="001F30F1">
        <w:rPr>
          <w:spacing w:val="-1"/>
          <w:rtl/>
        </w:rPr>
        <w:t>21</w:t>
      </w:r>
      <w:r w:rsidRPr="00D4122E">
        <w:rPr>
          <w:spacing w:val="-1"/>
          <w:rtl/>
        </w:rPr>
        <w:t xml:space="preserve"> سواء كانت ثابتة المكان، مثل الاعتصامات، أو متنقلة، مثل المواكب أو المسيرات</w:t>
      </w:r>
      <w:r w:rsidR="001F30F1" w:rsidRPr="001F30F1">
        <w:rPr>
          <w:spacing w:val="-1"/>
          <w:vertAlign w:val="superscript"/>
          <w:rtl/>
        </w:rPr>
        <w:t>(</w:t>
      </w:r>
      <w:r w:rsidR="001F30F1" w:rsidRPr="001F30F1">
        <w:rPr>
          <w:spacing w:val="-1"/>
          <w:vertAlign w:val="superscript"/>
          <w:lang w:val="en-US"/>
        </w:rPr>
        <w:footnoteReference w:id="8"/>
      </w:r>
      <w:r w:rsidR="001F30F1" w:rsidRPr="001F30F1">
        <w:rPr>
          <w:spacing w:val="-1"/>
          <w:vertAlign w:val="superscript"/>
          <w:rtl/>
        </w:rPr>
        <w:t>)</w:t>
      </w:r>
      <w:r w:rsidR="001F30F1" w:rsidRPr="001F30F1">
        <w:rPr>
          <w:spacing w:val="-1"/>
          <w:rtl/>
        </w:rPr>
        <w:t xml:space="preserve">. </w:t>
      </w:r>
      <w:r w:rsidRPr="00D4122E">
        <w:rPr>
          <w:spacing w:val="-1"/>
          <w:rtl/>
        </w:rPr>
        <w:t>ولا يُسمَح بأي قيد على هذا الحق إلا إذا كان: (أ)</w:t>
      </w:r>
      <w:r w:rsidR="00D4122E" w:rsidRPr="00D4122E">
        <w:rPr>
          <w:rFonts w:hint="cs"/>
          <w:spacing w:val="-1"/>
          <w:rtl/>
        </w:rPr>
        <w:t> </w:t>
      </w:r>
      <w:r w:rsidRPr="00D4122E">
        <w:rPr>
          <w:spacing w:val="-1"/>
          <w:rtl/>
        </w:rPr>
        <w:t>مفروضاً طبقاً للقانون؛ و(ب) ضرورياُ في مجتمع ديمقراطي لصالح الأمن القومي أو السلامة العامة أو النظام العام أو حماية الصحة العامة أو الآداب العامة أو حماية حقوق الآخرين وحرياتهم. وعندما تفرض دولة طرف قيوداً بهدف التوفيق بين حق الفرد في التجمع والمصالح المذكورة أعلاه التي تحظى باهتمام عام، فإنها ينبغي أن تسترشد بهدف تيسير الحق، بدلاً من السعي إلى فرض قيود غير ضرورية أو غير متناسبة عليه</w:t>
      </w:r>
      <w:r w:rsidR="001F30F1" w:rsidRPr="001F30F1">
        <w:rPr>
          <w:spacing w:val="-1"/>
          <w:vertAlign w:val="superscript"/>
          <w:rtl/>
        </w:rPr>
        <w:t>(</w:t>
      </w:r>
      <w:r w:rsidR="001F30F1" w:rsidRPr="001F30F1">
        <w:rPr>
          <w:spacing w:val="-1"/>
          <w:vertAlign w:val="superscript"/>
          <w:lang w:val="en-US"/>
        </w:rPr>
        <w:footnoteReference w:id="9"/>
      </w:r>
      <w:r w:rsidR="001F30F1" w:rsidRPr="001F30F1">
        <w:rPr>
          <w:spacing w:val="-1"/>
          <w:vertAlign w:val="superscript"/>
          <w:rtl/>
        </w:rPr>
        <w:t>)</w:t>
      </w:r>
      <w:r w:rsidR="001F30F1" w:rsidRPr="001F30F1">
        <w:rPr>
          <w:spacing w:val="-1"/>
          <w:rtl/>
        </w:rPr>
        <w:t xml:space="preserve">. </w:t>
      </w:r>
      <w:r w:rsidRPr="00D4122E">
        <w:rPr>
          <w:spacing w:val="-1"/>
          <w:rtl/>
        </w:rPr>
        <w:t xml:space="preserve">وهكذا فإن الدولة الطرف ملزمة بتبرير تقييد الحق الذي تحميه المادة </w:t>
      </w:r>
      <w:r w:rsidRPr="001F30F1">
        <w:rPr>
          <w:spacing w:val="-1"/>
          <w:rtl/>
        </w:rPr>
        <w:t>21</w:t>
      </w:r>
      <w:r w:rsidRPr="00D4122E">
        <w:rPr>
          <w:spacing w:val="-1"/>
          <w:rtl/>
        </w:rPr>
        <w:t xml:space="preserve"> من العهد</w:t>
      </w:r>
      <w:r w:rsidR="001F30F1" w:rsidRPr="001F30F1">
        <w:rPr>
          <w:spacing w:val="-1"/>
          <w:vertAlign w:val="superscript"/>
          <w:rtl/>
        </w:rPr>
        <w:t>(</w:t>
      </w:r>
      <w:r w:rsidR="001F30F1" w:rsidRPr="001F30F1">
        <w:rPr>
          <w:spacing w:val="-1"/>
          <w:vertAlign w:val="superscript"/>
          <w:lang w:val="en-US"/>
        </w:rPr>
        <w:footnoteReference w:id="10"/>
      </w:r>
      <w:r w:rsidR="001F30F1" w:rsidRPr="001F30F1">
        <w:rPr>
          <w:spacing w:val="-1"/>
          <w:vertAlign w:val="superscript"/>
          <w:rtl/>
        </w:rPr>
        <w:t>)</w:t>
      </w:r>
      <w:r w:rsidR="001F30F1" w:rsidRPr="001F30F1">
        <w:rPr>
          <w:spacing w:val="-1"/>
          <w:rtl/>
        </w:rPr>
        <w:t>.</w:t>
      </w:r>
    </w:p>
    <w:p w14:paraId="6D6A7AAC" w14:textId="1991D7F8" w:rsidR="002929DE" w:rsidRPr="002929DE" w:rsidRDefault="002929DE" w:rsidP="002929DE">
      <w:pPr>
        <w:pStyle w:val="SingleTxtGA"/>
        <w:rPr>
          <w:rtl/>
        </w:rPr>
      </w:pPr>
      <w:r w:rsidRPr="001F30F1">
        <w:rPr>
          <w:rtl/>
        </w:rPr>
        <w:t>7</w:t>
      </w:r>
      <w:r w:rsidRPr="002929DE">
        <w:rPr>
          <w:rtl/>
        </w:rPr>
        <w:t>-</w:t>
      </w:r>
      <w:r w:rsidRPr="001F30F1">
        <w:rPr>
          <w:rtl/>
        </w:rPr>
        <w:t>5</w:t>
      </w:r>
      <w:r w:rsidRPr="002929DE">
        <w:rPr>
          <w:rtl/>
        </w:rPr>
        <w:tab/>
        <w:t xml:space="preserve">وفي هذه القضية، يجب على اللجنة أن تنظر فيما إذا كانت القيود المفروضة على حق صاحب البلاغ في التجمع السلمي لها ما يُبررها بموجب أي من المعايير المنصوص عليها في الجملة الثانية من المادة </w:t>
      </w:r>
      <w:r w:rsidRPr="001F30F1">
        <w:rPr>
          <w:rtl/>
        </w:rPr>
        <w:t>21</w:t>
      </w:r>
      <w:r w:rsidRPr="002929DE">
        <w:rPr>
          <w:rtl/>
        </w:rPr>
        <w:t xml:space="preserve"> من العهد. وفي ضوء المعلومات المتاحة في الملف، رُفض طلب صاحب البلاغ تنظيم احتجاج سلمي لأنه لم يقدم في طلبه ضمانات بالحفاظ على النظام العام. وفي هذا السياق، تلاحظ اللجنة أنه لا</w:t>
      </w:r>
      <w:r w:rsidR="00D4122E">
        <w:rPr>
          <w:rFonts w:hint="cs"/>
          <w:rtl/>
        </w:rPr>
        <w:t> </w:t>
      </w:r>
      <w:r w:rsidRPr="002929DE">
        <w:rPr>
          <w:rtl/>
        </w:rPr>
        <w:t xml:space="preserve">اللجنة التنفيذية للمقاطعة ولا المحاكم المحلية قدمت أي تبرير أو أي شرح مفصل للكيفية التي كان يمكن بها، من الناحية العملية، أن يشكل الحدث الذي ينظمه صاحب البلاغ انتهاكاً لمصالح الأمن </w:t>
      </w:r>
      <w:r w:rsidRPr="002929DE">
        <w:rPr>
          <w:rtl/>
        </w:rPr>
        <w:lastRenderedPageBreak/>
        <w:t xml:space="preserve">القومي أو السلامة العامة أو النظام العام أو حماية الصحة العامة أو الآداب العامة أو حماية حقوق الآخرين وحرياتهم على النحو المنصوص عليه في المادة </w:t>
      </w:r>
      <w:r w:rsidRPr="001F30F1">
        <w:rPr>
          <w:rtl/>
        </w:rPr>
        <w:t>21</w:t>
      </w:r>
      <w:r w:rsidRPr="002929DE">
        <w:rPr>
          <w:rtl/>
        </w:rPr>
        <w:t xml:space="preserve"> من العهد.</w:t>
      </w:r>
    </w:p>
    <w:p w14:paraId="28F10CED" w14:textId="77777777" w:rsidR="002929DE" w:rsidRPr="002929DE" w:rsidRDefault="002929DE" w:rsidP="002929DE">
      <w:pPr>
        <w:pStyle w:val="SingleTxtGA"/>
        <w:rPr>
          <w:rtl/>
        </w:rPr>
      </w:pPr>
      <w:r w:rsidRPr="001F30F1">
        <w:rPr>
          <w:rtl/>
        </w:rPr>
        <w:t>7</w:t>
      </w:r>
      <w:r w:rsidRPr="002929DE">
        <w:rPr>
          <w:rtl/>
        </w:rPr>
        <w:t>-</w:t>
      </w:r>
      <w:r w:rsidRPr="001F30F1">
        <w:rPr>
          <w:rtl/>
        </w:rPr>
        <w:t>6</w:t>
      </w:r>
      <w:r w:rsidRPr="002929DE">
        <w:rPr>
          <w:rtl/>
        </w:rPr>
        <w:tab/>
        <w:t xml:space="preserve">وتلاحظ اللجنة أنها تناولت حالات مماثلة فيما يتعلق بنفس قوانين وممارسات الدولة الطرف في عدد من البلاغات السابقة. وفي غياب أي شرح إضافي من الدولة الطرف بشأن هذه المسألة، تخلص اللجنة إلى أن الدولة الطرف قد انتهكت حقوق صاحب البلاغ بموجب المادة </w:t>
      </w:r>
      <w:r w:rsidRPr="001F30F1">
        <w:rPr>
          <w:rtl/>
        </w:rPr>
        <w:t>21</w:t>
      </w:r>
      <w:r w:rsidRPr="002929DE">
        <w:rPr>
          <w:rtl/>
        </w:rPr>
        <w:t xml:space="preserve"> من العهد.</w:t>
      </w:r>
    </w:p>
    <w:p w14:paraId="42899E10" w14:textId="77777777" w:rsidR="002929DE" w:rsidRPr="002929DE" w:rsidRDefault="002929DE" w:rsidP="002929DE">
      <w:pPr>
        <w:pStyle w:val="SingleTxtGA"/>
        <w:rPr>
          <w:rtl/>
        </w:rPr>
      </w:pPr>
      <w:r w:rsidRPr="001F30F1">
        <w:rPr>
          <w:rtl/>
        </w:rPr>
        <w:t>7</w:t>
      </w:r>
      <w:r w:rsidRPr="002929DE">
        <w:rPr>
          <w:rtl/>
        </w:rPr>
        <w:t>-</w:t>
      </w:r>
      <w:r w:rsidRPr="001F30F1">
        <w:rPr>
          <w:rtl/>
        </w:rPr>
        <w:t>7</w:t>
      </w:r>
      <w:r w:rsidRPr="002929DE">
        <w:rPr>
          <w:rtl/>
        </w:rPr>
        <w:tab/>
        <w:t xml:space="preserve">وتحيط اللجنة علماً أيضاً بادعاء صاحب البلاغ أن حقه في حرية التعبير قد قُيد بصورة غير قانونية، إذ رُفض السماح له بتنظيم احتجاج سلمي من أجل مناقشة تشييد محطة وقود جديدة في مدينة </w:t>
      </w:r>
      <w:proofErr w:type="spellStart"/>
      <w:r w:rsidRPr="002929DE">
        <w:rPr>
          <w:rtl/>
        </w:rPr>
        <w:t>بوريسوف</w:t>
      </w:r>
      <w:proofErr w:type="spellEnd"/>
      <w:r w:rsidRPr="002929DE">
        <w:rPr>
          <w:rtl/>
        </w:rPr>
        <w:t xml:space="preserve"> مناقشة علنية والتعبير عن معارضته لتشييد هذه المحطة. وتحيط اللجنة علماً أيضاً بادعاء صاحب البلاغ أنه أدين بارتكاب مخالفة إدارية وغُرم مبلغ </w:t>
      </w:r>
      <w:r w:rsidRPr="001F30F1">
        <w:rPr>
          <w:rtl/>
        </w:rPr>
        <w:t>000</w:t>
      </w:r>
      <w:r w:rsidRPr="002929DE">
        <w:rPr>
          <w:rtl/>
        </w:rPr>
        <w:t xml:space="preserve"> </w:t>
      </w:r>
      <w:r w:rsidRPr="001F30F1">
        <w:rPr>
          <w:rtl/>
        </w:rPr>
        <w:t>875</w:t>
      </w:r>
      <w:r w:rsidRPr="002929DE">
        <w:rPr>
          <w:rtl/>
        </w:rPr>
        <w:t xml:space="preserve"> روبل بيلاروسي (ما يعادل </w:t>
      </w:r>
      <w:r w:rsidRPr="001F30F1">
        <w:rPr>
          <w:rtl/>
        </w:rPr>
        <w:t>235</w:t>
      </w:r>
      <w:r w:rsidRPr="002929DE">
        <w:rPr>
          <w:rtl/>
        </w:rPr>
        <w:t xml:space="preserve"> يورو) لتنظيمه الاحتجاج العام. ولذلك، فإن المسألة المعروضة على اللجنة هي تحديد ما إذا كان الحظر الذي فرضته سلطات الدولة الطرف على صاحب البلاغ بشأن تنظيم احتجاج سلمي والعقوبة ذات الصلة يشكلان انتهاكاً للمادة </w:t>
      </w:r>
      <w:r w:rsidRPr="001F30F1">
        <w:rPr>
          <w:rtl/>
        </w:rPr>
        <w:t>19</w:t>
      </w:r>
      <w:r w:rsidRPr="002929DE">
        <w:rPr>
          <w:rtl/>
        </w:rPr>
        <w:t xml:space="preserve"> من العهد.</w:t>
      </w:r>
    </w:p>
    <w:p w14:paraId="09F9919D" w14:textId="67ADAE81" w:rsidR="001F30F1" w:rsidRPr="001F30F1" w:rsidRDefault="002929DE" w:rsidP="002929DE">
      <w:pPr>
        <w:pStyle w:val="SingleTxtGA"/>
        <w:rPr>
          <w:rtl/>
        </w:rPr>
      </w:pPr>
      <w:r w:rsidRPr="001F30F1">
        <w:rPr>
          <w:rtl/>
        </w:rPr>
        <w:t>7</w:t>
      </w:r>
      <w:r w:rsidRPr="002929DE">
        <w:rPr>
          <w:rtl/>
        </w:rPr>
        <w:t>-</w:t>
      </w:r>
      <w:r w:rsidRPr="001F30F1">
        <w:rPr>
          <w:rtl/>
        </w:rPr>
        <w:t>8</w:t>
      </w:r>
      <w:r w:rsidRPr="002929DE">
        <w:rPr>
          <w:rtl/>
        </w:rPr>
        <w:tab/>
        <w:t xml:space="preserve">وتذكّر اللجنة بتعليقها العام رقم </w:t>
      </w:r>
      <w:r w:rsidRPr="001F30F1">
        <w:rPr>
          <w:rtl/>
        </w:rPr>
        <w:t>34</w:t>
      </w:r>
      <w:r w:rsidRPr="002929DE">
        <w:rPr>
          <w:rtl/>
        </w:rPr>
        <w:t>(</w:t>
      </w:r>
      <w:r w:rsidRPr="001F30F1">
        <w:rPr>
          <w:rtl/>
        </w:rPr>
        <w:t>201</w:t>
      </w:r>
      <w:r w:rsidR="001F30F1" w:rsidRPr="001F30F1">
        <w:rPr>
          <w:rtl/>
        </w:rPr>
        <w:t xml:space="preserve">1) </w:t>
      </w:r>
      <w:r w:rsidRPr="002929DE">
        <w:rPr>
          <w:rtl/>
        </w:rPr>
        <w:t>الذي ذكرت فيه، في جملة أمور، أن حرية التعبير ضرورية لأي مجتمع وتشكل حجر الأساس لكل مجتمع حر وديمقراطي</w:t>
      </w:r>
      <w:r w:rsidR="001F30F1" w:rsidRPr="001F30F1">
        <w:rPr>
          <w:vertAlign w:val="superscript"/>
          <w:rtl/>
        </w:rPr>
        <w:t>(</w:t>
      </w:r>
      <w:r w:rsidR="001F30F1" w:rsidRPr="001F30F1">
        <w:rPr>
          <w:vertAlign w:val="superscript"/>
          <w:lang w:val="en-US"/>
        </w:rPr>
        <w:footnoteReference w:id="11"/>
      </w:r>
      <w:r w:rsidR="001F30F1" w:rsidRPr="001F30F1">
        <w:rPr>
          <w:vertAlign w:val="superscript"/>
          <w:rtl/>
        </w:rPr>
        <w:t>)</w:t>
      </w:r>
      <w:r w:rsidR="001F30F1" w:rsidRPr="001F30F1">
        <w:rPr>
          <w:rtl/>
        </w:rPr>
        <w:t xml:space="preserve">. </w:t>
      </w:r>
      <w:r w:rsidRPr="002929DE">
        <w:rPr>
          <w:rtl/>
        </w:rPr>
        <w:t xml:space="preserve">وتسمح المادة </w:t>
      </w:r>
      <w:r w:rsidRPr="001F30F1">
        <w:rPr>
          <w:rtl/>
        </w:rPr>
        <w:t>19</w:t>
      </w:r>
      <w:r w:rsidRPr="002929DE">
        <w:rPr>
          <w:rtl/>
        </w:rPr>
        <w:t>(</w:t>
      </w:r>
      <w:r w:rsidR="001F30F1" w:rsidRPr="001F30F1">
        <w:rPr>
          <w:rtl/>
        </w:rPr>
        <w:t xml:space="preserve">3) </w:t>
      </w:r>
      <w:r w:rsidRPr="002929DE">
        <w:rPr>
          <w:rtl/>
        </w:rPr>
        <w:t>من الاتفاقية بفرض قيود معينة على حرية التعبير، بما في ذلك حرية نقل المعلومات والأفكار، ولكن فقط في حدود ما ينص عليه القانون، وفقط إذا كانت هذه القيود ضرورية: (أ) لاحترام حقوق الغيْر أو سمعتهم؛ أو (ب) لحماية الأمن القومي أو النظام العام أو الصحة العامة أو الآداب العامة. وأخيراً، يجب ألا يكون أي تقييد لحرية التعبير مُفرطاً بطبيعته - أي يجب أن يكون أقل التدابير تدخلاً من بين التدابير التي يمكن أن تحقق وظيفة الحماية ذات الصلة وأن يكون متناسباً مع المصلحة التي يجري حمايتها</w:t>
      </w:r>
      <w:r w:rsidR="001F30F1" w:rsidRPr="001F30F1">
        <w:rPr>
          <w:vertAlign w:val="superscript"/>
          <w:rtl/>
        </w:rPr>
        <w:t>(</w:t>
      </w:r>
      <w:r w:rsidR="001F30F1" w:rsidRPr="001F30F1">
        <w:rPr>
          <w:vertAlign w:val="superscript"/>
          <w:lang w:val="en-US"/>
        </w:rPr>
        <w:footnoteReference w:id="12"/>
      </w:r>
      <w:r w:rsidR="001F30F1" w:rsidRPr="001F30F1">
        <w:rPr>
          <w:vertAlign w:val="superscript"/>
          <w:rtl/>
        </w:rPr>
        <w:t>)</w:t>
      </w:r>
      <w:r w:rsidR="001F30F1" w:rsidRPr="001F30F1">
        <w:rPr>
          <w:rtl/>
        </w:rPr>
        <w:t xml:space="preserve">. </w:t>
      </w:r>
      <w:r w:rsidRPr="002929DE">
        <w:rPr>
          <w:rtl/>
        </w:rPr>
        <w:t xml:space="preserve">وتذكّر اللجنة بأنه يقع على عاتق الدولة الطرف مسؤولية إثبات أن القيود المفروضة على حقوق صاحب البلاغ بموجب المادة </w:t>
      </w:r>
      <w:r w:rsidRPr="001F30F1">
        <w:rPr>
          <w:rtl/>
        </w:rPr>
        <w:t>19</w:t>
      </w:r>
      <w:r w:rsidRPr="002929DE">
        <w:rPr>
          <w:rtl/>
        </w:rPr>
        <w:t xml:space="preserve"> من العهد كانت ضرورية ومتناسبة</w:t>
      </w:r>
      <w:r w:rsidR="001F30F1" w:rsidRPr="001F30F1">
        <w:rPr>
          <w:vertAlign w:val="superscript"/>
          <w:rtl/>
        </w:rPr>
        <w:t>(</w:t>
      </w:r>
      <w:r w:rsidR="001F30F1" w:rsidRPr="001F30F1">
        <w:rPr>
          <w:vertAlign w:val="superscript"/>
          <w:lang w:val="en-US"/>
        </w:rPr>
        <w:footnoteReference w:id="13"/>
      </w:r>
      <w:r w:rsidR="001F30F1" w:rsidRPr="001F30F1">
        <w:rPr>
          <w:vertAlign w:val="superscript"/>
          <w:rtl/>
        </w:rPr>
        <w:t>)</w:t>
      </w:r>
      <w:r w:rsidR="001F30F1" w:rsidRPr="001F30F1">
        <w:rPr>
          <w:rtl/>
        </w:rPr>
        <w:t>.</w:t>
      </w:r>
    </w:p>
    <w:p w14:paraId="73F5B9DC" w14:textId="37F48C51" w:rsidR="001F30F1" w:rsidRPr="001F30F1" w:rsidRDefault="002929DE" w:rsidP="002929DE">
      <w:pPr>
        <w:pStyle w:val="SingleTxtGA"/>
        <w:rPr>
          <w:rtl/>
        </w:rPr>
      </w:pPr>
      <w:r w:rsidRPr="001F30F1">
        <w:rPr>
          <w:rtl/>
        </w:rPr>
        <w:t>7</w:t>
      </w:r>
      <w:r w:rsidRPr="002929DE">
        <w:rPr>
          <w:rtl/>
        </w:rPr>
        <w:t>-</w:t>
      </w:r>
      <w:r w:rsidRPr="001F30F1">
        <w:rPr>
          <w:rtl/>
        </w:rPr>
        <w:t>9</w:t>
      </w:r>
      <w:r w:rsidRPr="002929DE">
        <w:rPr>
          <w:rtl/>
        </w:rPr>
        <w:tab/>
        <w:t xml:space="preserve">وتلاحظ اللجنة أن فرض اشتراط غامض وعام مفاده تقديم ضمانات بالحفاظ على النظام العام من أجل الحصول على إذن باحتجاج سلمي، فضلاً عن فرض غرامة كبيرة على صاحب البلاغ لعقده هذا الاحتجاج الذي كان سلمياً وإن كان غير مأذون به، يثير شكوكاً جدية فيما يتعلق بضرورة وتناسب القيود المفروضة على حقوق صاحب البلاغ بموجب المادة </w:t>
      </w:r>
      <w:r w:rsidRPr="001F30F1">
        <w:rPr>
          <w:rtl/>
        </w:rPr>
        <w:t>19</w:t>
      </w:r>
      <w:r w:rsidRPr="002929DE">
        <w:rPr>
          <w:rtl/>
        </w:rPr>
        <w:t xml:space="preserve"> من العهد. وتلاحظ اللجنة في هذا الصدد أن الدولة الطرف لم تتذرع بأية أسباب محددة لدعم ضرورة فرض هذه القيود على النحو المطلوب بموجب المادة </w:t>
      </w:r>
      <w:r w:rsidRPr="001F30F1">
        <w:rPr>
          <w:rtl/>
        </w:rPr>
        <w:t>19</w:t>
      </w:r>
      <w:r w:rsidRPr="002929DE">
        <w:rPr>
          <w:rtl/>
        </w:rPr>
        <w:t>(</w:t>
      </w:r>
      <w:r w:rsidR="001F30F1" w:rsidRPr="001F30F1">
        <w:rPr>
          <w:rtl/>
        </w:rPr>
        <w:t xml:space="preserve">3) </w:t>
      </w:r>
      <w:r w:rsidRPr="002929DE">
        <w:rPr>
          <w:rtl/>
        </w:rPr>
        <w:t>من العهد</w:t>
      </w:r>
      <w:r w:rsidR="001F30F1" w:rsidRPr="001F30F1">
        <w:rPr>
          <w:vertAlign w:val="superscript"/>
          <w:rtl/>
        </w:rPr>
        <w:t>(</w:t>
      </w:r>
      <w:r w:rsidR="001F30F1" w:rsidRPr="001F30F1">
        <w:rPr>
          <w:vertAlign w:val="superscript"/>
          <w:lang w:val="en-US"/>
        </w:rPr>
        <w:footnoteReference w:id="14"/>
      </w:r>
      <w:r w:rsidR="001F30F1" w:rsidRPr="001F30F1">
        <w:rPr>
          <w:vertAlign w:val="superscript"/>
          <w:rtl/>
        </w:rPr>
        <w:t>)</w:t>
      </w:r>
      <w:r w:rsidR="001F30F1" w:rsidRPr="001F30F1">
        <w:rPr>
          <w:rtl/>
        </w:rPr>
        <w:t xml:space="preserve">. </w:t>
      </w:r>
      <w:r w:rsidRPr="002929DE">
        <w:rPr>
          <w:rtl/>
        </w:rPr>
        <w:t xml:space="preserve">كما لم تثبت الدولة الطرف أن التدابير المختارة كانت هي أقل التدابير تدخليةً في طبيعتها أو أنها كانت متناسبة مع المصلحة التي سعت إلى حمايتها. وترى اللجنة، في ظل ظروف القضية، أن القيود التي فُرضت على صاحب البلاغ، رغم استنادها إلى القانون المحلي، لم تكن مبرَّرة عملاً بالشروط المنصوص عليها في المادة </w:t>
      </w:r>
      <w:r w:rsidRPr="001F30F1">
        <w:rPr>
          <w:rtl/>
        </w:rPr>
        <w:t>19</w:t>
      </w:r>
      <w:r w:rsidRPr="002929DE">
        <w:rPr>
          <w:rtl/>
        </w:rPr>
        <w:t>(</w:t>
      </w:r>
      <w:r w:rsidR="001F30F1" w:rsidRPr="001F30F1">
        <w:rPr>
          <w:rtl/>
        </w:rPr>
        <w:t xml:space="preserve">3) </w:t>
      </w:r>
      <w:r w:rsidRPr="002929DE">
        <w:rPr>
          <w:rtl/>
        </w:rPr>
        <w:t xml:space="preserve">من العهد. وعليه، تخلص اللجنة إلى أن حقوق صاحب البلاغ بموجب المادة </w:t>
      </w:r>
      <w:r w:rsidRPr="001F30F1">
        <w:rPr>
          <w:rtl/>
        </w:rPr>
        <w:t>19</w:t>
      </w:r>
      <w:r w:rsidRPr="002929DE">
        <w:rPr>
          <w:rtl/>
        </w:rPr>
        <w:t xml:space="preserve"> من العهد قد انتُهكت</w:t>
      </w:r>
      <w:r w:rsidR="001F30F1" w:rsidRPr="001F30F1">
        <w:rPr>
          <w:vertAlign w:val="superscript"/>
          <w:rtl/>
        </w:rPr>
        <w:t>(</w:t>
      </w:r>
      <w:r w:rsidR="001F30F1" w:rsidRPr="001F30F1">
        <w:rPr>
          <w:vertAlign w:val="superscript"/>
          <w:lang w:val="en-US"/>
        </w:rPr>
        <w:footnoteReference w:id="15"/>
      </w:r>
      <w:r w:rsidR="001F30F1" w:rsidRPr="001F30F1">
        <w:rPr>
          <w:vertAlign w:val="superscript"/>
          <w:rtl/>
        </w:rPr>
        <w:t>)</w:t>
      </w:r>
      <w:r w:rsidR="001F30F1" w:rsidRPr="001F30F1">
        <w:rPr>
          <w:rtl/>
        </w:rPr>
        <w:t>.</w:t>
      </w:r>
    </w:p>
    <w:p w14:paraId="720CD1DB" w14:textId="01FDD1AA" w:rsidR="002929DE" w:rsidRPr="002929DE" w:rsidRDefault="002929DE" w:rsidP="002929DE">
      <w:pPr>
        <w:pStyle w:val="SingleTxtGA"/>
        <w:rPr>
          <w:rtl/>
        </w:rPr>
      </w:pPr>
      <w:r w:rsidRPr="001F30F1">
        <w:rPr>
          <w:rtl/>
        </w:rPr>
        <w:lastRenderedPageBreak/>
        <w:t>8</w:t>
      </w:r>
      <w:r w:rsidRPr="002929DE">
        <w:rPr>
          <w:rtl/>
        </w:rPr>
        <w:t>-</w:t>
      </w:r>
      <w:r w:rsidRPr="002929DE">
        <w:rPr>
          <w:rtl/>
        </w:rPr>
        <w:tab/>
        <w:t xml:space="preserve">وإن اللجنة، إذ تتصرف بموجب المادة </w:t>
      </w:r>
      <w:r w:rsidRPr="001F30F1">
        <w:rPr>
          <w:rtl/>
        </w:rPr>
        <w:t>5</w:t>
      </w:r>
      <w:r w:rsidRPr="002929DE">
        <w:rPr>
          <w:rtl/>
        </w:rPr>
        <w:t>(</w:t>
      </w:r>
      <w:r w:rsidR="001F30F1" w:rsidRPr="001F30F1">
        <w:rPr>
          <w:rtl/>
        </w:rPr>
        <w:t xml:space="preserve">4) </w:t>
      </w:r>
      <w:r w:rsidRPr="002929DE">
        <w:rPr>
          <w:rtl/>
        </w:rPr>
        <w:t xml:space="preserve">من البروتوكول الاختياري، ترى أن الوقائع المعروضة عليها تكشف عن حدوث انتهاك من جانب الدولة الطرف لحقوق صاحب البلاغ بموجب المادتين </w:t>
      </w:r>
      <w:r w:rsidRPr="001F30F1">
        <w:rPr>
          <w:rtl/>
        </w:rPr>
        <w:t>19</w:t>
      </w:r>
      <w:r w:rsidRPr="002929DE">
        <w:rPr>
          <w:rtl/>
        </w:rPr>
        <w:t xml:space="preserve"> و</w:t>
      </w:r>
      <w:r w:rsidRPr="001F30F1">
        <w:rPr>
          <w:rtl/>
        </w:rPr>
        <w:t>21</w:t>
      </w:r>
      <w:r w:rsidRPr="002929DE">
        <w:rPr>
          <w:rtl/>
        </w:rPr>
        <w:t xml:space="preserve"> من العهد.</w:t>
      </w:r>
    </w:p>
    <w:p w14:paraId="5CA711C1" w14:textId="5FFAAEFF" w:rsidR="001F30F1" w:rsidRPr="001F30F1" w:rsidRDefault="002929DE" w:rsidP="002929DE">
      <w:pPr>
        <w:pStyle w:val="SingleTxtGA"/>
        <w:rPr>
          <w:rtl/>
        </w:rPr>
      </w:pPr>
      <w:r w:rsidRPr="001F30F1">
        <w:rPr>
          <w:rtl/>
        </w:rPr>
        <w:t>9</w:t>
      </w:r>
      <w:r w:rsidRPr="002929DE">
        <w:rPr>
          <w:rtl/>
        </w:rPr>
        <w:t>-</w:t>
      </w:r>
      <w:r w:rsidRPr="002929DE">
        <w:rPr>
          <w:rtl/>
        </w:rPr>
        <w:tab/>
        <w:t xml:space="preserve">وعملاً بالمادة </w:t>
      </w:r>
      <w:r w:rsidRPr="001F30F1">
        <w:rPr>
          <w:rtl/>
        </w:rPr>
        <w:t>2</w:t>
      </w:r>
      <w:r w:rsidRPr="002929DE">
        <w:rPr>
          <w:rtl/>
        </w:rPr>
        <w:t>(</w:t>
      </w:r>
      <w:r w:rsidRPr="001F30F1">
        <w:rPr>
          <w:rtl/>
        </w:rPr>
        <w:t>3</w:t>
      </w:r>
      <w:r w:rsidRPr="002929DE">
        <w:rPr>
          <w:rtl/>
        </w:rPr>
        <w:t xml:space="preserve">)(أ) من العهد، فإن الدولة الطرف ملزمة بتوفير سبيل انتصاف فعال لصاحب البلاغ. وهذا يتطلب منها تقديم جبر كامل للضرر الذي لحق بالأفراد الذين انتُهكت حقوقهم. وتبعاً لذلك، فإن الدولة الطرف ملزمة، في جملة أمور، بمنح صاحب البلاغ تعويضاً مناسباً، بما في ذلك سداد الغرامة وأية تكاليف قانونية تكبدها صاحب البلاغ فيما يتصل بالدعاوى المحلية. والدولة الطرف ملزمة أيضاً باتخاذ جميع الخطوات اللازمة لمنع حدوث انتهاكات مماثلة في المستقبل، وبخاصة عن طريق مراجعة تشريعاتها الوطنية بشأن تنظيم الأحداث العامة وتنفيذها لجعلها متوافقة مع التزاماتها بموجب المادة </w:t>
      </w:r>
      <w:r w:rsidRPr="001F30F1">
        <w:rPr>
          <w:rtl/>
        </w:rPr>
        <w:t>2</w:t>
      </w:r>
      <w:r w:rsidRPr="002929DE">
        <w:rPr>
          <w:rtl/>
        </w:rPr>
        <w:t>(</w:t>
      </w:r>
      <w:r w:rsidR="001F30F1" w:rsidRPr="001F30F1">
        <w:rPr>
          <w:rtl/>
        </w:rPr>
        <w:t xml:space="preserve">2) </w:t>
      </w:r>
      <w:r w:rsidRPr="002929DE">
        <w:rPr>
          <w:rtl/>
        </w:rPr>
        <w:t xml:space="preserve">وذلك باعتماد تدابير تمكِّن من إعمال الحقوق التي تعترف بها المادتان </w:t>
      </w:r>
      <w:r w:rsidRPr="001F30F1">
        <w:rPr>
          <w:rtl/>
        </w:rPr>
        <w:t>19</w:t>
      </w:r>
      <w:r w:rsidRPr="002929DE">
        <w:rPr>
          <w:rtl/>
        </w:rPr>
        <w:t xml:space="preserve"> و</w:t>
      </w:r>
      <w:r w:rsidRPr="001F30F1">
        <w:rPr>
          <w:rtl/>
        </w:rPr>
        <w:t>2</w:t>
      </w:r>
      <w:r w:rsidR="001F30F1" w:rsidRPr="001F30F1">
        <w:rPr>
          <w:rtl/>
        </w:rPr>
        <w:t>1.</w:t>
      </w:r>
    </w:p>
    <w:p w14:paraId="37F01F12" w14:textId="1060F774" w:rsidR="002929DE" w:rsidRDefault="002929DE" w:rsidP="002929DE">
      <w:pPr>
        <w:pStyle w:val="SingleTxtGA"/>
        <w:rPr>
          <w:rtl/>
        </w:rPr>
      </w:pPr>
      <w:r w:rsidRPr="001F30F1">
        <w:rPr>
          <w:rtl/>
        </w:rPr>
        <w:t>10</w:t>
      </w:r>
      <w:r w:rsidRPr="002929DE">
        <w:rPr>
          <w:rtl/>
        </w:rPr>
        <w:t>-</w:t>
      </w:r>
      <w:r w:rsidRPr="002929DE">
        <w:rPr>
          <w:rtl/>
        </w:rPr>
        <w:tab/>
        <w:t>واللجنة، إذ تضع في اعتبارها أن الدولة الطرف، بانضمامها إلى البروتوكول الاختياري، تكون قد اعترفت باختصاص اللجنة بتحديد ما إذا كان قد حدث انتهاك ما للعهد، وأن الدولة الطرف، عملاً بالمادة</w:t>
      </w:r>
      <w:r w:rsidR="000D7E80">
        <w:rPr>
          <w:rFonts w:hint="cs"/>
          <w:rtl/>
        </w:rPr>
        <w:t> </w:t>
      </w:r>
      <w:r w:rsidRPr="001F30F1">
        <w:rPr>
          <w:rtl/>
        </w:rPr>
        <w:t>2</w:t>
      </w:r>
      <w:r w:rsidRPr="002929DE">
        <w:rPr>
          <w:rtl/>
        </w:rPr>
        <w:t xml:space="preserve"> من العهد، قد تعهدت بضمان الحقوق المعترف بها في العهد لجميع الأفراد الموجودين في إقليمها والخاضعين لولايتها القضائية وبتوفير سبيل انتصاف فعال وقابل للإنفاذ عندما يكون قد تقرر حدوث انتهاك، تود أن تتلقّى من الدولة الطرف، في غضون </w:t>
      </w:r>
      <w:r w:rsidRPr="001F30F1">
        <w:rPr>
          <w:rtl/>
        </w:rPr>
        <w:t>180</w:t>
      </w:r>
      <w:r w:rsidRPr="002929DE">
        <w:rPr>
          <w:rtl/>
        </w:rPr>
        <w:t xml:space="preserve"> يوماً، معلومات عن التدابير التي اتخذتها لإنفاذ آراء اللجنة. كما يُطلب أيضاً من الدولة الطرف أن تنشر هذه الآراء وتعممها على نطاق واسع بلغاتها الرسمية.</w:t>
      </w:r>
    </w:p>
    <w:p w14:paraId="69DCFBD3" w14:textId="5DB5CFF3" w:rsidR="002929DE" w:rsidRPr="002929DE" w:rsidRDefault="002929DE" w:rsidP="002929DE">
      <w:pPr>
        <w:pStyle w:val="SingleTxtGA"/>
        <w:jc w:val="center"/>
        <w:rPr>
          <w:u w:val="single"/>
          <w:rtl/>
        </w:rPr>
      </w:pPr>
      <w:r>
        <w:rPr>
          <w:u w:val="single"/>
          <w:rtl/>
        </w:rPr>
        <w:tab/>
      </w:r>
      <w:r>
        <w:rPr>
          <w:u w:val="single"/>
          <w:rtl/>
        </w:rPr>
        <w:tab/>
      </w:r>
      <w:r>
        <w:rPr>
          <w:u w:val="single"/>
          <w:rtl/>
        </w:rPr>
        <w:tab/>
      </w:r>
    </w:p>
    <w:sectPr w:rsidR="002929DE" w:rsidRPr="002929DE" w:rsidSect="00572CEC">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C535" w14:textId="77777777" w:rsidR="004E0494" w:rsidRPr="002901D9" w:rsidRDefault="004E0494" w:rsidP="00DC4D4B">
      <w:pPr>
        <w:spacing w:after="60" w:line="240" w:lineRule="auto"/>
        <w:ind w:left="57"/>
        <w:rPr>
          <w:i/>
          <w:iCs/>
        </w:rPr>
      </w:pPr>
      <w:r>
        <w:rPr>
          <w:rFonts w:hint="cs"/>
          <w:i/>
          <w:iCs/>
          <w:rtl/>
        </w:rPr>
        <w:t>الحواشي</w:t>
      </w:r>
    </w:p>
  </w:endnote>
  <w:endnote w:type="continuationSeparator" w:id="0">
    <w:p w14:paraId="7D9E643E" w14:textId="77777777" w:rsidR="004E0494" w:rsidRDefault="004E049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F98A" w14:textId="1DABF70E" w:rsidR="00AA68CA" w:rsidRPr="00AA68CA" w:rsidRDefault="00AA68CA" w:rsidP="00AA68CA">
    <w:pPr>
      <w:pStyle w:val="Footer"/>
      <w:tabs>
        <w:tab w:val="right" w:pos="9638"/>
      </w:tabs>
      <w:rPr>
        <w:b/>
        <w:sz w:val="18"/>
        <w:lang w:val="en-US"/>
      </w:rPr>
    </w:pPr>
    <w:r>
      <w:rPr>
        <w:lang w:val="en-US"/>
      </w:rPr>
      <w:t>GE.22-12579</w:t>
    </w:r>
    <w:r>
      <w:rPr>
        <w:lang w:val="en-US"/>
      </w:rPr>
      <w:tab/>
    </w:r>
    <w:r w:rsidRPr="00AA68CA">
      <w:rPr>
        <w:b/>
        <w:sz w:val="18"/>
        <w:lang w:val="en-US"/>
      </w:rPr>
      <w:fldChar w:fldCharType="begin"/>
    </w:r>
    <w:r w:rsidRPr="00AA68CA">
      <w:rPr>
        <w:b/>
        <w:sz w:val="18"/>
        <w:lang w:val="en-US"/>
      </w:rPr>
      <w:instrText xml:space="preserve"> PAGE  \* MERGEFORMAT </w:instrText>
    </w:r>
    <w:r w:rsidRPr="00AA68CA">
      <w:rPr>
        <w:b/>
        <w:sz w:val="18"/>
        <w:lang w:val="en-US"/>
      </w:rPr>
      <w:fldChar w:fldCharType="separate"/>
    </w:r>
    <w:r w:rsidRPr="00AA68CA">
      <w:rPr>
        <w:b/>
        <w:noProof/>
        <w:sz w:val="18"/>
        <w:lang w:val="en-US"/>
      </w:rPr>
      <w:t>2</w:t>
    </w:r>
    <w:r w:rsidRPr="00AA68CA">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2E13" w14:textId="4A9AB243" w:rsidR="006959B0" w:rsidRPr="00AA68CA" w:rsidRDefault="00AA68CA" w:rsidP="00AA68CA">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GE.22-12579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EB97" w14:textId="21BEC324" w:rsidR="00DE50B1" w:rsidRPr="00AA68CA" w:rsidRDefault="00AA68CA" w:rsidP="00AA68CA">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57EE7089" wp14:editId="407F044E">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22-12579 (A)</w:t>
    </w:r>
    <w:r>
      <w:rPr>
        <w:noProof/>
        <w:sz w:val="20"/>
        <w:lang w:val="en-US"/>
      </w:rPr>
      <w:drawing>
        <wp:anchor distT="0" distB="0" distL="114300" distR="114300" simplePos="0" relativeHeight="251659264" behindDoc="0" locked="0" layoutInCell="1" allowOverlap="1" wp14:anchorId="5D72A2B4" wp14:editId="6D02A520">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8255" w14:textId="77777777" w:rsidR="004E0494" w:rsidRPr="008A49D2" w:rsidRDefault="004E0494"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6927FAB9" w14:textId="77777777" w:rsidR="004E0494" w:rsidRDefault="004E0494" w:rsidP="00656392">
      <w:pPr>
        <w:spacing w:line="240" w:lineRule="auto"/>
      </w:pPr>
      <w:r>
        <w:continuationSeparator/>
      </w:r>
    </w:p>
  </w:footnote>
  <w:footnote w:id="1">
    <w:p w14:paraId="4DAE0A23" w14:textId="04045B19" w:rsidR="002929DE" w:rsidRPr="002929DE" w:rsidRDefault="002929DE" w:rsidP="002929DE">
      <w:pPr>
        <w:pStyle w:val="FootnoteText1"/>
        <w:rPr>
          <w:rtl/>
        </w:rPr>
      </w:pPr>
      <w:r>
        <w:rPr>
          <w:rtl/>
        </w:rPr>
        <w:t>*</w:t>
      </w:r>
      <w:r>
        <w:rPr>
          <w:rtl/>
        </w:rPr>
        <w:tab/>
      </w:r>
      <w:r w:rsidRPr="002929DE">
        <w:rPr>
          <w:rtl/>
        </w:rPr>
        <w:t xml:space="preserve">اعتمدتها اللجنة في دورتها </w:t>
      </w:r>
      <w:r w:rsidRPr="001F30F1">
        <w:rPr>
          <w:rtl/>
        </w:rPr>
        <w:t>132</w:t>
      </w:r>
      <w:r w:rsidRPr="002929DE">
        <w:rPr>
          <w:rtl/>
        </w:rPr>
        <w:t xml:space="preserve"> (</w:t>
      </w:r>
      <w:r w:rsidRPr="001F30F1">
        <w:rPr>
          <w:rtl/>
        </w:rPr>
        <w:t>28</w:t>
      </w:r>
      <w:r w:rsidRPr="002929DE">
        <w:rPr>
          <w:rtl/>
        </w:rPr>
        <w:t xml:space="preserve"> حزيران/يونيه - </w:t>
      </w:r>
      <w:r w:rsidRPr="001F30F1">
        <w:rPr>
          <w:rtl/>
        </w:rPr>
        <w:t>23</w:t>
      </w:r>
      <w:r w:rsidRPr="002929DE">
        <w:rPr>
          <w:rtl/>
        </w:rPr>
        <w:t xml:space="preserve"> تموز/يوليه </w:t>
      </w:r>
      <w:r w:rsidRPr="001F30F1">
        <w:rPr>
          <w:rtl/>
        </w:rPr>
        <w:t>2021</w:t>
      </w:r>
      <w:r w:rsidR="001F30F1" w:rsidRPr="001F30F1">
        <w:rPr>
          <w:rtl/>
        </w:rPr>
        <w:t xml:space="preserve">). </w:t>
      </w:r>
    </w:p>
  </w:footnote>
  <w:footnote w:id="2">
    <w:p w14:paraId="123D5AC9" w14:textId="3EDC6DDA" w:rsidR="002929DE" w:rsidRPr="002929DE" w:rsidRDefault="002929DE" w:rsidP="002929DE">
      <w:pPr>
        <w:pStyle w:val="FootnoteText1"/>
        <w:rPr>
          <w:spacing w:val="-1"/>
          <w:rtl/>
        </w:rPr>
      </w:pPr>
      <w:r w:rsidRPr="002929DE">
        <w:rPr>
          <w:spacing w:val="-1"/>
          <w:rtl/>
        </w:rPr>
        <w:t>**</w:t>
      </w:r>
      <w:r w:rsidRPr="002929DE">
        <w:rPr>
          <w:spacing w:val="-1"/>
          <w:rtl/>
        </w:rPr>
        <w:tab/>
        <w:t xml:space="preserve">شارك في دراسة البلاغ أعضاء اللجنة التالية أسماؤهم: وفاء أشرف محرم </w:t>
      </w:r>
      <w:proofErr w:type="gramStart"/>
      <w:r w:rsidRPr="002929DE">
        <w:rPr>
          <w:spacing w:val="-1"/>
          <w:rtl/>
        </w:rPr>
        <w:t>بسيم,</w:t>
      </w:r>
      <w:proofErr w:type="gramEnd"/>
      <w:r w:rsidRPr="002929DE">
        <w:rPr>
          <w:spacing w:val="-1"/>
          <w:rtl/>
        </w:rPr>
        <w:t xml:space="preserve"> وعياض بن عاشور, وعارف بلقان, والمحجوب الهيبة, وكارلوس </w:t>
      </w:r>
      <w:proofErr w:type="spellStart"/>
      <w:r w:rsidRPr="002929DE">
        <w:rPr>
          <w:spacing w:val="-1"/>
          <w:rtl/>
        </w:rPr>
        <w:t>غوميث</w:t>
      </w:r>
      <w:proofErr w:type="spellEnd"/>
      <w:r w:rsidRPr="002929DE">
        <w:rPr>
          <w:spacing w:val="-1"/>
          <w:rtl/>
        </w:rPr>
        <w:t xml:space="preserve"> </w:t>
      </w:r>
      <w:proofErr w:type="spellStart"/>
      <w:r w:rsidRPr="002929DE">
        <w:rPr>
          <w:spacing w:val="-1"/>
          <w:rtl/>
        </w:rPr>
        <w:t>مارتينيث</w:t>
      </w:r>
      <w:proofErr w:type="spellEnd"/>
      <w:r w:rsidRPr="002929DE">
        <w:rPr>
          <w:spacing w:val="-1"/>
          <w:rtl/>
        </w:rPr>
        <w:t xml:space="preserve">, </w:t>
      </w:r>
      <w:proofErr w:type="spellStart"/>
      <w:r w:rsidRPr="002929DE">
        <w:rPr>
          <w:spacing w:val="-1"/>
          <w:rtl/>
        </w:rPr>
        <w:t>ودانكان</w:t>
      </w:r>
      <w:proofErr w:type="spellEnd"/>
      <w:r w:rsidRPr="002929DE">
        <w:rPr>
          <w:spacing w:val="-1"/>
          <w:rtl/>
        </w:rPr>
        <w:t xml:space="preserve"> </w:t>
      </w:r>
      <w:proofErr w:type="spellStart"/>
      <w:r w:rsidRPr="002929DE">
        <w:rPr>
          <w:spacing w:val="-1"/>
          <w:rtl/>
        </w:rPr>
        <w:t>لاكي</w:t>
      </w:r>
      <w:proofErr w:type="spellEnd"/>
      <w:r w:rsidRPr="002929DE">
        <w:rPr>
          <w:spacing w:val="-1"/>
          <w:rtl/>
        </w:rPr>
        <w:t xml:space="preserve"> </w:t>
      </w:r>
      <w:proofErr w:type="spellStart"/>
      <w:r w:rsidRPr="002929DE">
        <w:rPr>
          <w:spacing w:val="-1"/>
          <w:rtl/>
        </w:rPr>
        <w:t>موهوموزا</w:t>
      </w:r>
      <w:proofErr w:type="spellEnd"/>
      <w:r w:rsidRPr="002929DE">
        <w:rPr>
          <w:spacing w:val="-1"/>
          <w:rtl/>
        </w:rPr>
        <w:t xml:space="preserve">، وفوتيني </w:t>
      </w:r>
      <w:proofErr w:type="spellStart"/>
      <w:r w:rsidRPr="002929DE">
        <w:rPr>
          <w:spacing w:val="-1"/>
          <w:rtl/>
        </w:rPr>
        <w:t>بازارتزيس</w:t>
      </w:r>
      <w:proofErr w:type="spellEnd"/>
      <w:r w:rsidRPr="002929DE">
        <w:rPr>
          <w:spacing w:val="-1"/>
          <w:rtl/>
        </w:rPr>
        <w:t xml:space="preserve">, </w:t>
      </w:r>
      <w:proofErr w:type="spellStart"/>
      <w:r w:rsidRPr="002929DE">
        <w:rPr>
          <w:spacing w:val="-1"/>
          <w:rtl/>
        </w:rPr>
        <w:t>وهيرنان</w:t>
      </w:r>
      <w:proofErr w:type="spellEnd"/>
      <w:r w:rsidRPr="002929DE">
        <w:rPr>
          <w:spacing w:val="-1"/>
          <w:rtl/>
        </w:rPr>
        <w:t xml:space="preserve"> </w:t>
      </w:r>
      <w:proofErr w:type="spellStart"/>
      <w:r w:rsidRPr="002929DE">
        <w:rPr>
          <w:spacing w:val="-1"/>
          <w:rtl/>
        </w:rPr>
        <w:t>كيسادا</w:t>
      </w:r>
      <w:proofErr w:type="spellEnd"/>
      <w:r w:rsidRPr="002929DE">
        <w:rPr>
          <w:spacing w:val="-1"/>
          <w:rtl/>
        </w:rPr>
        <w:t xml:space="preserve"> </w:t>
      </w:r>
      <w:proofErr w:type="spellStart"/>
      <w:r w:rsidRPr="002929DE">
        <w:rPr>
          <w:spacing w:val="-1"/>
          <w:rtl/>
        </w:rPr>
        <w:t>كابريرا</w:t>
      </w:r>
      <w:proofErr w:type="spellEnd"/>
      <w:r w:rsidRPr="002929DE">
        <w:rPr>
          <w:spacing w:val="-1"/>
          <w:rtl/>
        </w:rPr>
        <w:t xml:space="preserve">, </w:t>
      </w:r>
      <w:proofErr w:type="spellStart"/>
      <w:r w:rsidRPr="002929DE">
        <w:rPr>
          <w:spacing w:val="-1"/>
          <w:rtl/>
        </w:rPr>
        <w:t>وفاسيلكا</w:t>
      </w:r>
      <w:proofErr w:type="spellEnd"/>
      <w:r w:rsidRPr="002929DE">
        <w:rPr>
          <w:spacing w:val="-1"/>
          <w:rtl/>
        </w:rPr>
        <w:t xml:space="preserve"> </w:t>
      </w:r>
      <w:proofErr w:type="spellStart"/>
      <w:r w:rsidRPr="002929DE">
        <w:rPr>
          <w:spacing w:val="-1"/>
          <w:rtl/>
        </w:rPr>
        <w:t>سانسين</w:t>
      </w:r>
      <w:proofErr w:type="spellEnd"/>
      <w:r w:rsidRPr="002929DE">
        <w:rPr>
          <w:spacing w:val="-1"/>
          <w:rtl/>
        </w:rPr>
        <w:t xml:space="preserve">, وخوسيه مانويل سانتوس </w:t>
      </w:r>
      <w:proofErr w:type="spellStart"/>
      <w:r w:rsidRPr="002929DE">
        <w:rPr>
          <w:spacing w:val="-1"/>
          <w:rtl/>
        </w:rPr>
        <w:t>باييس</w:t>
      </w:r>
      <w:proofErr w:type="spellEnd"/>
      <w:r w:rsidRPr="002929DE">
        <w:rPr>
          <w:spacing w:val="-1"/>
          <w:rtl/>
        </w:rPr>
        <w:t xml:space="preserve">، </w:t>
      </w:r>
      <w:proofErr w:type="spellStart"/>
      <w:r w:rsidRPr="002929DE">
        <w:rPr>
          <w:spacing w:val="-1"/>
          <w:rtl/>
        </w:rPr>
        <w:t>وسوه</w:t>
      </w:r>
      <w:proofErr w:type="spellEnd"/>
      <w:r w:rsidRPr="002929DE">
        <w:rPr>
          <w:spacing w:val="-1"/>
          <w:rtl/>
        </w:rPr>
        <w:t xml:space="preserve"> </w:t>
      </w:r>
      <w:proofErr w:type="spellStart"/>
      <w:r w:rsidRPr="002929DE">
        <w:rPr>
          <w:spacing w:val="-1"/>
          <w:rtl/>
        </w:rPr>
        <w:t>تشانغروك</w:t>
      </w:r>
      <w:proofErr w:type="spellEnd"/>
      <w:r w:rsidRPr="002929DE">
        <w:rPr>
          <w:spacing w:val="-1"/>
          <w:rtl/>
        </w:rPr>
        <w:t xml:space="preserve">، </w:t>
      </w:r>
      <w:proofErr w:type="spellStart"/>
      <w:r w:rsidRPr="002929DE">
        <w:rPr>
          <w:spacing w:val="-1"/>
          <w:rtl/>
        </w:rPr>
        <w:t>وكوباوياه</w:t>
      </w:r>
      <w:proofErr w:type="spellEnd"/>
      <w:r w:rsidRPr="002929DE">
        <w:rPr>
          <w:spacing w:val="-1"/>
          <w:rtl/>
        </w:rPr>
        <w:t xml:space="preserve"> </w:t>
      </w:r>
      <w:proofErr w:type="spellStart"/>
      <w:r w:rsidRPr="002929DE">
        <w:rPr>
          <w:spacing w:val="-1"/>
          <w:rtl/>
        </w:rPr>
        <w:t>تشامدجا</w:t>
      </w:r>
      <w:proofErr w:type="spellEnd"/>
      <w:r w:rsidRPr="002929DE">
        <w:rPr>
          <w:spacing w:val="-1"/>
          <w:rtl/>
        </w:rPr>
        <w:t xml:space="preserve"> </w:t>
      </w:r>
      <w:proofErr w:type="spellStart"/>
      <w:r w:rsidRPr="002929DE">
        <w:rPr>
          <w:spacing w:val="-1"/>
          <w:rtl/>
        </w:rPr>
        <w:t>كباتشا</w:t>
      </w:r>
      <w:proofErr w:type="spellEnd"/>
      <w:r w:rsidRPr="002929DE">
        <w:rPr>
          <w:spacing w:val="-1"/>
          <w:rtl/>
        </w:rPr>
        <w:t xml:space="preserve">, وهيلين </w:t>
      </w:r>
      <w:proofErr w:type="spellStart"/>
      <w:r w:rsidRPr="002929DE">
        <w:rPr>
          <w:spacing w:val="-1"/>
          <w:rtl/>
        </w:rPr>
        <w:t>تيغرودجا</w:t>
      </w:r>
      <w:proofErr w:type="spellEnd"/>
      <w:r w:rsidRPr="002929DE">
        <w:rPr>
          <w:spacing w:val="-1"/>
          <w:rtl/>
        </w:rPr>
        <w:t xml:space="preserve">, </w:t>
      </w:r>
      <w:proofErr w:type="spellStart"/>
      <w:r w:rsidRPr="002929DE">
        <w:rPr>
          <w:spacing w:val="-1"/>
          <w:rtl/>
        </w:rPr>
        <w:t>وإيميرو</w:t>
      </w:r>
      <w:proofErr w:type="spellEnd"/>
      <w:r w:rsidRPr="002929DE">
        <w:rPr>
          <w:spacing w:val="-1"/>
          <w:rtl/>
        </w:rPr>
        <w:t xml:space="preserve"> </w:t>
      </w:r>
      <w:proofErr w:type="spellStart"/>
      <w:r w:rsidRPr="002929DE">
        <w:rPr>
          <w:spacing w:val="-1"/>
          <w:rtl/>
        </w:rPr>
        <w:t>تاميرات</w:t>
      </w:r>
      <w:proofErr w:type="spellEnd"/>
      <w:r w:rsidRPr="002929DE">
        <w:rPr>
          <w:spacing w:val="-1"/>
          <w:rtl/>
        </w:rPr>
        <w:t xml:space="preserve"> </w:t>
      </w:r>
      <w:proofErr w:type="spellStart"/>
      <w:r w:rsidRPr="002929DE">
        <w:rPr>
          <w:spacing w:val="-1"/>
          <w:rtl/>
        </w:rPr>
        <w:t>إغيزو</w:t>
      </w:r>
      <w:proofErr w:type="spellEnd"/>
      <w:r w:rsidRPr="002929DE">
        <w:rPr>
          <w:spacing w:val="-1"/>
          <w:rtl/>
        </w:rPr>
        <w:t>،</w:t>
      </w:r>
      <w:r w:rsidRPr="002929DE">
        <w:rPr>
          <w:rFonts w:hint="cs"/>
          <w:spacing w:val="-1"/>
        </w:rPr>
        <w:t xml:space="preserve"> </w:t>
      </w:r>
      <w:proofErr w:type="spellStart"/>
      <w:r w:rsidRPr="002929DE">
        <w:rPr>
          <w:spacing w:val="-1"/>
          <w:rtl/>
        </w:rPr>
        <w:t>وجينتيان</w:t>
      </w:r>
      <w:proofErr w:type="spellEnd"/>
      <w:r w:rsidRPr="002929DE">
        <w:rPr>
          <w:spacing w:val="-1"/>
          <w:rtl/>
        </w:rPr>
        <w:t xml:space="preserve"> زبيري</w:t>
      </w:r>
      <w:r w:rsidR="001F30F1">
        <w:rPr>
          <w:spacing w:val="-1"/>
          <w:rtl/>
        </w:rPr>
        <w:t xml:space="preserve">. </w:t>
      </w:r>
    </w:p>
  </w:footnote>
  <w:footnote w:id="3">
    <w:p w14:paraId="00399F02" w14:textId="77777777" w:rsidR="001F30F1" w:rsidRDefault="001F30F1" w:rsidP="004469E3">
      <w:pPr>
        <w:pStyle w:val="FootnoteText1"/>
      </w:pPr>
      <w:r w:rsidRPr="004469E3">
        <w:rPr>
          <w:rtl/>
        </w:rPr>
        <w:t>(</w:t>
      </w:r>
      <w:r w:rsidRPr="001F30F1">
        <w:footnoteRef/>
      </w:r>
      <w:r w:rsidRPr="004469E3">
        <w:rPr>
          <w:rtl/>
        </w:rPr>
        <w:t>)</w:t>
      </w:r>
      <w:r>
        <w:rPr>
          <w:rtl/>
        </w:rPr>
        <w:tab/>
        <w:t>لا تحدد المذكرات المقدَّمة، بما في ذلك قرارات المحكمة، المستندات التي كان مطلوباً من صاحب البلاغ أن يقدّمها مع طلبه للحصول على إذن لتنظيم الاحتجاج</w:t>
      </w:r>
      <w:r>
        <w:t>.</w:t>
      </w:r>
      <w:r>
        <w:rPr>
          <w:rtl/>
        </w:rPr>
        <w:t xml:space="preserve"> </w:t>
      </w:r>
    </w:p>
  </w:footnote>
  <w:footnote w:id="4">
    <w:p w14:paraId="520E75EE" w14:textId="77777777" w:rsidR="001F30F1" w:rsidRDefault="001F30F1" w:rsidP="004469E3">
      <w:pPr>
        <w:pStyle w:val="FootnoteText1"/>
      </w:pPr>
      <w:r w:rsidRPr="004469E3">
        <w:rPr>
          <w:rtl/>
        </w:rPr>
        <w:t>(</w:t>
      </w:r>
      <w:r w:rsidRPr="001F30F1">
        <w:footnoteRef/>
      </w:r>
      <w:r w:rsidRPr="004469E3">
        <w:rPr>
          <w:rtl/>
        </w:rPr>
        <w:t>)</w:t>
      </w:r>
      <w:r>
        <w:rPr>
          <w:rtl/>
        </w:rPr>
        <w:tab/>
        <w:t xml:space="preserve">أشار السجل الإداري إلى أن صاحب البلاغ رفض الامتثال لأمر أفراد الشرطة في </w:t>
      </w:r>
      <w:r w:rsidRPr="001F30F1">
        <w:rPr>
          <w:rtl/>
        </w:rPr>
        <w:t>25</w:t>
      </w:r>
      <w:r>
        <w:rPr>
          <w:rtl/>
        </w:rPr>
        <w:t xml:space="preserve"> حزيران/يونيه </w:t>
      </w:r>
      <w:r w:rsidRPr="001F30F1">
        <w:rPr>
          <w:rtl/>
        </w:rPr>
        <w:t>2010</w:t>
      </w:r>
      <w:r>
        <w:rPr>
          <w:rtl/>
        </w:rPr>
        <w:t xml:space="preserve">، وليس في </w:t>
      </w:r>
      <w:r w:rsidRPr="001F30F1">
        <w:rPr>
          <w:rtl/>
        </w:rPr>
        <w:t>14</w:t>
      </w:r>
      <w:r>
        <w:rPr>
          <w:rtl/>
        </w:rPr>
        <w:t xml:space="preserve"> حزيران/يونيه </w:t>
      </w:r>
      <w:r w:rsidRPr="001F30F1">
        <w:rPr>
          <w:rtl/>
        </w:rPr>
        <w:t xml:space="preserve">2010. </w:t>
      </w:r>
    </w:p>
  </w:footnote>
  <w:footnote w:id="5">
    <w:p w14:paraId="16BC871A" w14:textId="77777777" w:rsidR="001F30F1" w:rsidRDefault="001F30F1" w:rsidP="001F30F1">
      <w:pPr>
        <w:pStyle w:val="FootnoteText1"/>
        <w:rPr>
          <w:rtl/>
        </w:rPr>
      </w:pPr>
      <w:r w:rsidRPr="004469E3">
        <w:rPr>
          <w:rtl/>
        </w:rPr>
        <w:t>(</w:t>
      </w:r>
      <w:r w:rsidRPr="001F30F1">
        <w:footnoteRef/>
      </w:r>
      <w:r w:rsidRPr="004469E3">
        <w:rPr>
          <w:rtl/>
        </w:rPr>
        <w:t>)</w:t>
      </w:r>
      <w:r>
        <w:rPr>
          <w:rtl/>
        </w:rPr>
        <w:tab/>
        <w:t xml:space="preserve">يشير صاحب البلاغ إلى البلاغين المقدمين من: </w:t>
      </w:r>
      <w:proofErr w:type="spellStart"/>
      <w:r w:rsidRPr="001F30F1">
        <w:rPr>
          <w:i/>
          <w:iCs/>
          <w:rtl/>
        </w:rPr>
        <w:t>تولجينكوفا</w:t>
      </w:r>
      <w:proofErr w:type="spellEnd"/>
      <w:r w:rsidRPr="001F30F1">
        <w:rPr>
          <w:i/>
          <w:iCs/>
          <w:rtl/>
        </w:rPr>
        <w:t xml:space="preserve"> ضد بيلاروس</w:t>
      </w:r>
      <w:r w:rsidRPr="004469E3">
        <w:rPr>
          <w:rtl/>
        </w:rPr>
        <w:t>،</w:t>
      </w:r>
      <w:r>
        <w:rPr>
          <w:rtl/>
        </w:rPr>
        <w:t xml:space="preserve"> الوثيقة </w:t>
      </w:r>
      <w:r>
        <w:rPr>
          <w:rFonts w:hint="cs"/>
          <w:rtl/>
        </w:rPr>
        <w:t>(</w:t>
      </w:r>
      <w:hyperlink r:id="rId1" w:history="1">
        <w:r w:rsidRPr="001F30F1">
          <w:rPr>
            <w:rStyle w:val="Hyperlink"/>
            <w:lang w:val="en-AU"/>
          </w:rPr>
          <w:t>CCPR/C/103/D/1838/2008</w:t>
        </w:r>
      </w:hyperlink>
      <w:r w:rsidRPr="001F30F1">
        <w:rPr>
          <w:rFonts w:hint="cs"/>
          <w:rtl/>
        </w:rPr>
        <w:t>)</w:t>
      </w:r>
      <w:r w:rsidRPr="001F30F1">
        <w:rPr>
          <w:rtl/>
        </w:rPr>
        <w:t xml:space="preserve">؛ </w:t>
      </w:r>
      <w:r>
        <w:rPr>
          <w:rtl/>
        </w:rPr>
        <w:t xml:space="preserve">ومن </w:t>
      </w:r>
      <w:proofErr w:type="spellStart"/>
      <w:r w:rsidRPr="001F30F1">
        <w:rPr>
          <w:i/>
          <w:iCs/>
          <w:rtl/>
        </w:rPr>
        <w:t>شوميلين</w:t>
      </w:r>
      <w:proofErr w:type="spellEnd"/>
      <w:r w:rsidRPr="001F30F1">
        <w:rPr>
          <w:i/>
          <w:iCs/>
          <w:rtl/>
        </w:rPr>
        <w:t xml:space="preserve"> ضد بيلاروس</w:t>
      </w:r>
      <w:r w:rsidRPr="004469E3">
        <w:rPr>
          <w:rtl/>
        </w:rPr>
        <w:t>،</w:t>
      </w:r>
      <w:r>
        <w:rPr>
          <w:rtl/>
        </w:rPr>
        <w:t xml:space="preserve"> الوثيقة </w:t>
      </w:r>
      <w:r>
        <w:rPr>
          <w:rFonts w:hint="cs"/>
          <w:rtl/>
        </w:rPr>
        <w:t>(</w:t>
      </w:r>
      <w:hyperlink r:id="rId2" w:history="1">
        <w:r w:rsidRPr="001F30F1">
          <w:rPr>
            <w:rStyle w:val="Hyperlink"/>
            <w:lang w:val="en-AU"/>
          </w:rPr>
          <w:t>CCPR/C/105/D/1784/2008</w:t>
        </w:r>
      </w:hyperlink>
      <w:r w:rsidRPr="001F30F1">
        <w:rPr>
          <w:rFonts w:hint="cs"/>
          <w:rtl/>
        </w:rPr>
        <w:t>)</w:t>
      </w:r>
      <w:r w:rsidRPr="001F30F1">
        <w:rPr>
          <w:rtl/>
        </w:rPr>
        <w:t xml:space="preserve">. </w:t>
      </w:r>
    </w:p>
  </w:footnote>
  <w:footnote w:id="6">
    <w:p w14:paraId="1F14401A" w14:textId="77777777" w:rsidR="001F30F1" w:rsidRDefault="001F30F1" w:rsidP="001F30F1">
      <w:pPr>
        <w:pStyle w:val="FootnoteText1"/>
      </w:pPr>
      <w:r w:rsidRPr="004469E3">
        <w:rPr>
          <w:rtl/>
        </w:rPr>
        <w:t>(</w:t>
      </w:r>
      <w:r w:rsidRPr="001F30F1">
        <w:footnoteRef/>
      </w:r>
      <w:r w:rsidRPr="004469E3">
        <w:rPr>
          <w:rtl/>
        </w:rPr>
        <w:t>)</w:t>
      </w:r>
      <w:r>
        <w:rPr>
          <w:rtl/>
        </w:rPr>
        <w:tab/>
        <w:t xml:space="preserve">انظر البلاغات المقدمة من </w:t>
      </w:r>
      <w:proofErr w:type="spellStart"/>
      <w:r w:rsidRPr="001F30F1">
        <w:rPr>
          <w:i/>
          <w:iCs/>
          <w:rtl/>
        </w:rPr>
        <w:t>غيلازاوسكاس</w:t>
      </w:r>
      <w:proofErr w:type="spellEnd"/>
      <w:r w:rsidRPr="001F30F1">
        <w:rPr>
          <w:i/>
          <w:iCs/>
          <w:rtl/>
        </w:rPr>
        <w:t xml:space="preserve"> ضد ليتوانيا</w:t>
      </w:r>
      <w:r>
        <w:rPr>
          <w:rtl/>
        </w:rPr>
        <w:t xml:space="preserve">، الوثيقة </w:t>
      </w:r>
      <w:r>
        <w:rPr>
          <w:rFonts w:hint="cs"/>
          <w:rtl/>
        </w:rPr>
        <w:t>(</w:t>
      </w:r>
      <w:hyperlink r:id="rId3" w:history="1">
        <w:r w:rsidRPr="001F30F1">
          <w:rPr>
            <w:rStyle w:val="Hyperlink"/>
            <w:lang w:val="en-AU"/>
          </w:rPr>
          <w:t>CCPR/C/77/D/836/1998</w:t>
        </w:r>
      </w:hyperlink>
      <w:r w:rsidRPr="001F30F1">
        <w:rPr>
          <w:rFonts w:hint="cs"/>
          <w:rtl/>
        </w:rPr>
        <w:t>)</w:t>
      </w:r>
      <w:r w:rsidRPr="001F30F1">
        <w:rPr>
          <w:rtl/>
        </w:rPr>
        <w:t xml:space="preserve">، </w:t>
      </w:r>
      <w:r>
        <w:rPr>
          <w:rtl/>
        </w:rPr>
        <w:t xml:space="preserve">الفقرة </w:t>
      </w:r>
      <w:r w:rsidRPr="001F30F1">
        <w:rPr>
          <w:rtl/>
        </w:rPr>
        <w:t>7</w:t>
      </w:r>
      <w:r>
        <w:rPr>
          <w:rtl/>
        </w:rPr>
        <w:t>-</w:t>
      </w:r>
      <w:r w:rsidRPr="001F30F1">
        <w:rPr>
          <w:rtl/>
        </w:rPr>
        <w:t>4</w:t>
      </w:r>
      <w:r>
        <w:rPr>
          <w:rtl/>
        </w:rPr>
        <w:t xml:space="preserve">؛ ومن </w:t>
      </w:r>
      <w:proofErr w:type="spellStart"/>
      <w:r w:rsidRPr="001F30F1">
        <w:rPr>
          <w:i/>
          <w:iCs/>
          <w:rtl/>
        </w:rPr>
        <w:t>سيكيركو</w:t>
      </w:r>
      <w:proofErr w:type="spellEnd"/>
      <w:r w:rsidRPr="001F30F1">
        <w:rPr>
          <w:i/>
          <w:iCs/>
          <w:rtl/>
        </w:rPr>
        <w:t xml:space="preserve"> ضد بلغاريا</w:t>
      </w:r>
      <w:r>
        <w:rPr>
          <w:rtl/>
        </w:rPr>
        <w:t xml:space="preserve">، الوثيقة </w:t>
      </w:r>
      <w:r>
        <w:rPr>
          <w:rFonts w:hint="cs"/>
          <w:rtl/>
        </w:rPr>
        <w:t>(</w:t>
      </w:r>
      <w:hyperlink r:id="rId4" w:history="1">
        <w:r w:rsidRPr="001F30F1">
          <w:rPr>
            <w:rStyle w:val="Hyperlink"/>
            <w:lang w:val="en-AU"/>
          </w:rPr>
          <w:t>CCPR/C/109/D/1851/2008</w:t>
        </w:r>
      </w:hyperlink>
      <w:r w:rsidRPr="001F30F1">
        <w:rPr>
          <w:rFonts w:hint="cs"/>
          <w:rtl/>
        </w:rPr>
        <w:t>)</w:t>
      </w:r>
      <w:r w:rsidRPr="001F30F1">
        <w:rPr>
          <w:rtl/>
        </w:rPr>
        <w:t xml:space="preserve">، </w:t>
      </w:r>
      <w:r>
        <w:rPr>
          <w:rtl/>
        </w:rPr>
        <w:t xml:space="preserve">الفقرة </w:t>
      </w:r>
      <w:r w:rsidRPr="001F30F1">
        <w:rPr>
          <w:rtl/>
        </w:rPr>
        <w:t>8</w:t>
      </w:r>
      <w:r>
        <w:rPr>
          <w:rtl/>
        </w:rPr>
        <w:t>-</w:t>
      </w:r>
      <w:r w:rsidRPr="001F30F1">
        <w:rPr>
          <w:rtl/>
        </w:rPr>
        <w:t>3</w:t>
      </w:r>
      <w:r>
        <w:rPr>
          <w:rtl/>
        </w:rPr>
        <w:t xml:space="preserve">؛ ومن </w:t>
      </w:r>
      <w:proofErr w:type="spellStart"/>
      <w:r w:rsidRPr="001F30F1">
        <w:rPr>
          <w:i/>
          <w:iCs/>
          <w:rtl/>
        </w:rPr>
        <w:t>شوميلين</w:t>
      </w:r>
      <w:proofErr w:type="spellEnd"/>
      <w:r w:rsidRPr="001F30F1">
        <w:rPr>
          <w:i/>
          <w:iCs/>
          <w:rtl/>
        </w:rPr>
        <w:t xml:space="preserve"> ضد </w:t>
      </w:r>
      <w:proofErr w:type="spellStart"/>
      <w:r w:rsidRPr="001F30F1">
        <w:rPr>
          <w:i/>
          <w:iCs/>
          <w:rtl/>
        </w:rPr>
        <w:t>بيلاورس</w:t>
      </w:r>
      <w:proofErr w:type="spellEnd"/>
      <w:r>
        <w:rPr>
          <w:rtl/>
        </w:rPr>
        <w:t xml:space="preserve">، الفقرة </w:t>
      </w:r>
      <w:r w:rsidRPr="001F30F1">
        <w:rPr>
          <w:rtl/>
        </w:rPr>
        <w:t>8</w:t>
      </w:r>
      <w:r>
        <w:rPr>
          <w:rtl/>
        </w:rPr>
        <w:t>-</w:t>
      </w:r>
      <w:r w:rsidRPr="001F30F1">
        <w:rPr>
          <w:rtl/>
        </w:rPr>
        <w:t xml:space="preserve">3. </w:t>
      </w:r>
    </w:p>
  </w:footnote>
  <w:footnote w:id="7">
    <w:p w14:paraId="55921FCC" w14:textId="77777777" w:rsidR="001F30F1" w:rsidRDefault="001F30F1" w:rsidP="004469E3">
      <w:pPr>
        <w:pStyle w:val="FootnoteText1"/>
      </w:pPr>
      <w:r w:rsidRPr="004469E3">
        <w:rPr>
          <w:rtl/>
        </w:rPr>
        <w:t>(</w:t>
      </w:r>
      <w:r w:rsidRPr="001F30F1">
        <w:footnoteRef/>
      </w:r>
      <w:r w:rsidRPr="004469E3">
        <w:rPr>
          <w:rtl/>
        </w:rPr>
        <w:t>)</w:t>
      </w:r>
      <w:r>
        <w:rPr>
          <w:rtl/>
        </w:rPr>
        <w:tab/>
        <w:t xml:space="preserve">التعليق العام رقم </w:t>
      </w:r>
      <w:r w:rsidRPr="001F30F1">
        <w:rPr>
          <w:rtl/>
        </w:rPr>
        <w:t>37</w:t>
      </w:r>
      <w:r>
        <w:rPr>
          <w:rtl/>
        </w:rPr>
        <w:t>(</w:t>
      </w:r>
      <w:r w:rsidRPr="001F30F1">
        <w:rPr>
          <w:rtl/>
        </w:rPr>
        <w:t xml:space="preserve">2020)، </w:t>
      </w:r>
      <w:r>
        <w:rPr>
          <w:rtl/>
        </w:rPr>
        <w:t xml:space="preserve">الفقرة </w:t>
      </w:r>
      <w:r w:rsidRPr="001F30F1">
        <w:rPr>
          <w:rtl/>
        </w:rPr>
        <w:t xml:space="preserve">64. </w:t>
      </w:r>
    </w:p>
  </w:footnote>
  <w:footnote w:id="8">
    <w:p w14:paraId="190294C6" w14:textId="77777777" w:rsidR="001F30F1" w:rsidRDefault="001F30F1" w:rsidP="004469E3">
      <w:pPr>
        <w:pStyle w:val="FootnoteText1"/>
      </w:pPr>
      <w:r w:rsidRPr="004469E3">
        <w:rPr>
          <w:rtl/>
        </w:rPr>
        <w:t>(</w:t>
      </w:r>
      <w:r w:rsidRPr="001F30F1">
        <w:footnoteRef/>
      </w:r>
      <w:r w:rsidRPr="004469E3">
        <w:rPr>
          <w:rtl/>
        </w:rPr>
        <w:t>)</w:t>
      </w:r>
      <w:r>
        <w:rPr>
          <w:rtl/>
        </w:rPr>
        <w:tab/>
        <w:t xml:space="preserve">المرجع نفسه، الفقرة </w:t>
      </w:r>
      <w:r w:rsidRPr="001F30F1">
        <w:rPr>
          <w:rtl/>
        </w:rPr>
        <w:t xml:space="preserve">6. </w:t>
      </w:r>
    </w:p>
  </w:footnote>
  <w:footnote w:id="9">
    <w:p w14:paraId="1E4904D1" w14:textId="77777777" w:rsidR="001F30F1" w:rsidRDefault="001F30F1" w:rsidP="004469E3">
      <w:pPr>
        <w:pStyle w:val="FootnoteText1"/>
      </w:pPr>
      <w:r w:rsidRPr="004469E3">
        <w:rPr>
          <w:rtl/>
        </w:rPr>
        <w:t>(</w:t>
      </w:r>
      <w:r w:rsidRPr="001F30F1">
        <w:footnoteRef/>
      </w:r>
      <w:r w:rsidRPr="004469E3">
        <w:rPr>
          <w:rtl/>
        </w:rPr>
        <w:t>)</w:t>
      </w:r>
      <w:r>
        <w:rPr>
          <w:rtl/>
        </w:rPr>
        <w:tab/>
        <w:t xml:space="preserve">المرجع نفسه، الفقرة </w:t>
      </w:r>
      <w:r w:rsidRPr="001F30F1">
        <w:rPr>
          <w:rtl/>
        </w:rPr>
        <w:t xml:space="preserve">36. </w:t>
      </w:r>
    </w:p>
  </w:footnote>
  <w:footnote w:id="10">
    <w:p w14:paraId="5A536C51" w14:textId="77777777" w:rsidR="001F30F1" w:rsidRDefault="001F30F1" w:rsidP="001F30F1">
      <w:pPr>
        <w:pStyle w:val="FootnoteText1"/>
      </w:pPr>
      <w:r w:rsidRPr="004469E3">
        <w:rPr>
          <w:rtl/>
        </w:rPr>
        <w:t>(</w:t>
      </w:r>
      <w:r w:rsidRPr="001F30F1">
        <w:footnoteRef/>
      </w:r>
      <w:r w:rsidRPr="004469E3">
        <w:rPr>
          <w:rtl/>
        </w:rPr>
        <w:t>)</w:t>
      </w:r>
      <w:r>
        <w:rPr>
          <w:rtl/>
        </w:rPr>
        <w:tab/>
        <w:t xml:space="preserve">انظر البلاغ المقدم من </w:t>
      </w:r>
      <w:proofErr w:type="spellStart"/>
      <w:r w:rsidRPr="001F30F1">
        <w:rPr>
          <w:i/>
          <w:iCs/>
          <w:rtl/>
        </w:rPr>
        <w:t>بوبلافني</w:t>
      </w:r>
      <w:proofErr w:type="spellEnd"/>
      <w:r w:rsidRPr="001F30F1">
        <w:rPr>
          <w:i/>
          <w:iCs/>
          <w:rtl/>
        </w:rPr>
        <w:t xml:space="preserve"> ضد بيلاروس</w:t>
      </w:r>
      <w:r>
        <w:rPr>
          <w:rtl/>
        </w:rPr>
        <w:t xml:space="preserve">، الوثيقة </w:t>
      </w:r>
      <w:r>
        <w:rPr>
          <w:rFonts w:hint="cs"/>
          <w:rtl/>
        </w:rPr>
        <w:t>(</w:t>
      </w:r>
      <w:hyperlink r:id="rId5" w:history="1">
        <w:r w:rsidRPr="001F30F1">
          <w:rPr>
            <w:rStyle w:val="Hyperlink"/>
            <w:lang w:val="en-AU"/>
          </w:rPr>
          <w:t>CCPR/C/115/D/2019/2010</w:t>
        </w:r>
      </w:hyperlink>
      <w:r w:rsidRPr="001F30F1">
        <w:rPr>
          <w:rFonts w:hint="cs"/>
          <w:rtl/>
        </w:rPr>
        <w:t>)</w:t>
      </w:r>
      <w:r w:rsidRPr="001F30F1">
        <w:rPr>
          <w:rtl/>
        </w:rPr>
        <w:t xml:space="preserve">، </w:t>
      </w:r>
      <w:r>
        <w:rPr>
          <w:rtl/>
        </w:rPr>
        <w:t xml:space="preserve">الفقرة </w:t>
      </w:r>
      <w:r w:rsidRPr="001F30F1">
        <w:rPr>
          <w:rtl/>
        </w:rPr>
        <w:t>8</w:t>
      </w:r>
      <w:r>
        <w:rPr>
          <w:rtl/>
        </w:rPr>
        <w:t>-</w:t>
      </w:r>
      <w:r w:rsidRPr="001F30F1">
        <w:rPr>
          <w:rtl/>
        </w:rPr>
        <w:t xml:space="preserve">4. </w:t>
      </w:r>
    </w:p>
  </w:footnote>
  <w:footnote w:id="11">
    <w:p w14:paraId="06293420" w14:textId="77777777" w:rsidR="001F30F1" w:rsidRDefault="001F30F1" w:rsidP="004469E3">
      <w:pPr>
        <w:pStyle w:val="FootnoteText1"/>
      </w:pPr>
      <w:r w:rsidRPr="004469E3">
        <w:rPr>
          <w:rtl/>
        </w:rPr>
        <w:t>(</w:t>
      </w:r>
      <w:r w:rsidRPr="001F30F1">
        <w:footnoteRef/>
      </w:r>
      <w:r w:rsidRPr="004469E3">
        <w:rPr>
          <w:rtl/>
        </w:rPr>
        <w:t>)</w:t>
      </w:r>
      <w:r>
        <w:rPr>
          <w:rtl/>
        </w:rPr>
        <w:tab/>
        <w:t xml:space="preserve">التعليق العام رقم </w:t>
      </w:r>
      <w:r w:rsidRPr="001F30F1">
        <w:rPr>
          <w:rtl/>
        </w:rPr>
        <w:t>34</w:t>
      </w:r>
      <w:r>
        <w:rPr>
          <w:rtl/>
        </w:rPr>
        <w:t>(</w:t>
      </w:r>
      <w:r w:rsidRPr="001F30F1">
        <w:rPr>
          <w:rtl/>
        </w:rPr>
        <w:t xml:space="preserve">2011)، </w:t>
      </w:r>
      <w:r>
        <w:rPr>
          <w:rtl/>
        </w:rPr>
        <w:t xml:space="preserve">الفقرة </w:t>
      </w:r>
      <w:r w:rsidRPr="001F30F1">
        <w:rPr>
          <w:rtl/>
        </w:rPr>
        <w:t xml:space="preserve">2. </w:t>
      </w:r>
    </w:p>
  </w:footnote>
  <w:footnote w:id="12">
    <w:p w14:paraId="0785434D" w14:textId="77777777" w:rsidR="001F30F1" w:rsidRDefault="001F30F1" w:rsidP="004469E3">
      <w:pPr>
        <w:pStyle w:val="FootnoteText1"/>
      </w:pPr>
      <w:r w:rsidRPr="004469E3">
        <w:rPr>
          <w:rtl/>
        </w:rPr>
        <w:t>(</w:t>
      </w:r>
      <w:r w:rsidRPr="001F30F1">
        <w:footnoteRef/>
      </w:r>
      <w:r w:rsidRPr="004469E3">
        <w:rPr>
          <w:rtl/>
        </w:rPr>
        <w:t>)</w:t>
      </w:r>
      <w:r>
        <w:rPr>
          <w:rtl/>
        </w:rPr>
        <w:tab/>
        <w:t xml:space="preserve">المرجع نفسه، الفقرة </w:t>
      </w:r>
      <w:r w:rsidRPr="001F30F1">
        <w:rPr>
          <w:rtl/>
        </w:rPr>
        <w:t xml:space="preserve">34. </w:t>
      </w:r>
    </w:p>
  </w:footnote>
  <w:footnote w:id="13">
    <w:p w14:paraId="0D0C6993" w14:textId="77777777" w:rsidR="001F30F1" w:rsidRDefault="001F30F1" w:rsidP="001F30F1">
      <w:pPr>
        <w:pStyle w:val="FootnoteText1"/>
      </w:pPr>
      <w:r w:rsidRPr="004469E3">
        <w:rPr>
          <w:rtl/>
        </w:rPr>
        <w:t>(</w:t>
      </w:r>
      <w:r w:rsidRPr="001F30F1">
        <w:footnoteRef/>
      </w:r>
      <w:r w:rsidRPr="004469E3">
        <w:rPr>
          <w:rtl/>
        </w:rPr>
        <w:t>)</w:t>
      </w:r>
      <w:r>
        <w:rPr>
          <w:rtl/>
        </w:rPr>
        <w:tab/>
        <w:t xml:space="preserve">البلاغ المقدم من </w:t>
      </w:r>
      <w:proofErr w:type="spellStart"/>
      <w:r w:rsidRPr="001F30F1">
        <w:rPr>
          <w:i/>
          <w:iCs/>
          <w:rtl/>
        </w:rPr>
        <w:t>أندروسينكو</w:t>
      </w:r>
      <w:proofErr w:type="spellEnd"/>
      <w:r w:rsidRPr="001F30F1">
        <w:rPr>
          <w:i/>
          <w:iCs/>
          <w:rtl/>
        </w:rPr>
        <w:t xml:space="preserve"> ضد بيلاروس</w:t>
      </w:r>
      <w:r w:rsidRPr="004469E3">
        <w:rPr>
          <w:rtl/>
        </w:rPr>
        <w:t>،</w:t>
      </w:r>
      <w:r>
        <w:rPr>
          <w:rtl/>
        </w:rPr>
        <w:t xml:space="preserve"> الوثيقة </w:t>
      </w:r>
      <w:r>
        <w:rPr>
          <w:rFonts w:hint="cs"/>
          <w:rtl/>
        </w:rPr>
        <w:t>(</w:t>
      </w:r>
      <w:hyperlink r:id="rId6" w:history="1">
        <w:r w:rsidRPr="001F30F1">
          <w:rPr>
            <w:rStyle w:val="Hyperlink"/>
            <w:lang w:val="en-AU"/>
          </w:rPr>
          <w:t>CCPR/C/116/D/2092/2011</w:t>
        </w:r>
      </w:hyperlink>
      <w:r w:rsidRPr="001F30F1">
        <w:rPr>
          <w:rFonts w:hint="cs"/>
          <w:rtl/>
        </w:rPr>
        <w:t>)</w:t>
      </w:r>
      <w:r w:rsidRPr="001F30F1">
        <w:rPr>
          <w:rtl/>
        </w:rPr>
        <w:t xml:space="preserve">، </w:t>
      </w:r>
      <w:r>
        <w:rPr>
          <w:rtl/>
        </w:rPr>
        <w:t xml:space="preserve">الفقرة </w:t>
      </w:r>
      <w:r w:rsidRPr="001F30F1">
        <w:rPr>
          <w:rtl/>
        </w:rPr>
        <w:t>7</w:t>
      </w:r>
      <w:r>
        <w:rPr>
          <w:rtl/>
        </w:rPr>
        <w:t>-</w:t>
      </w:r>
      <w:r w:rsidRPr="001F30F1">
        <w:rPr>
          <w:rtl/>
        </w:rPr>
        <w:t xml:space="preserve">3. </w:t>
      </w:r>
    </w:p>
  </w:footnote>
  <w:footnote w:id="14">
    <w:p w14:paraId="7C02E42B" w14:textId="77777777" w:rsidR="001F30F1" w:rsidRDefault="001F30F1" w:rsidP="001F30F1">
      <w:pPr>
        <w:pStyle w:val="FootnoteText1"/>
      </w:pPr>
      <w:r w:rsidRPr="004469E3">
        <w:rPr>
          <w:rtl/>
        </w:rPr>
        <w:t>(</w:t>
      </w:r>
      <w:r w:rsidRPr="001F30F1">
        <w:footnoteRef/>
      </w:r>
      <w:r w:rsidRPr="004469E3">
        <w:rPr>
          <w:rtl/>
        </w:rPr>
        <w:t>)</w:t>
      </w:r>
      <w:r>
        <w:rPr>
          <w:rtl/>
        </w:rPr>
        <w:tab/>
        <w:t xml:space="preserve">انظر، على سبيل المثال، البلاغ المقدم من </w:t>
      </w:r>
      <w:proofErr w:type="spellStart"/>
      <w:r w:rsidRPr="001F30F1">
        <w:rPr>
          <w:i/>
          <w:iCs/>
          <w:rtl/>
        </w:rPr>
        <w:t>زاليسكايا</w:t>
      </w:r>
      <w:proofErr w:type="spellEnd"/>
      <w:r w:rsidRPr="001F30F1">
        <w:rPr>
          <w:i/>
          <w:iCs/>
          <w:rtl/>
        </w:rPr>
        <w:t xml:space="preserve"> ضد بيلاروس</w:t>
      </w:r>
      <w:r w:rsidRPr="004469E3">
        <w:rPr>
          <w:rtl/>
        </w:rPr>
        <w:t>،</w:t>
      </w:r>
      <w:r>
        <w:rPr>
          <w:rtl/>
        </w:rPr>
        <w:t xml:space="preserve"> الوثيقة </w:t>
      </w:r>
      <w:r>
        <w:rPr>
          <w:rFonts w:hint="cs"/>
          <w:rtl/>
        </w:rPr>
        <w:t>(</w:t>
      </w:r>
      <w:hyperlink r:id="rId7" w:history="1">
        <w:r w:rsidRPr="001F30F1">
          <w:rPr>
            <w:rStyle w:val="Hyperlink"/>
            <w:lang w:val="en-AU"/>
          </w:rPr>
          <w:t>CCPR/C/101/D/1604/2007</w:t>
        </w:r>
      </w:hyperlink>
      <w:r w:rsidRPr="001F30F1">
        <w:rPr>
          <w:rFonts w:hint="cs"/>
          <w:rtl/>
        </w:rPr>
        <w:t>)</w:t>
      </w:r>
      <w:r w:rsidRPr="001F30F1">
        <w:rPr>
          <w:rtl/>
        </w:rPr>
        <w:t xml:space="preserve">، </w:t>
      </w:r>
      <w:r>
        <w:rPr>
          <w:rtl/>
        </w:rPr>
        <w:t xml:space="preserve">الفقرة </w:t>
      </w:r>
      <w:r w:rsidRPr="001F30F1">
        <w:rPr>
          <w:rtl/>
        </w:rPr>
        <w:t>10</w:t>
      </w:r>
      <w:r>
        <w:rPr>
          <w:rtl/>
        </w:rPr>
        <w:t>-</w:t>
      </w:r>
      <w:r w:rsidRPr="001F30F1">
        <w:rPr>
          <w:rtl/>
        </w:rPr>
        <w:t xml:space="preserve">5. </w:t>
      </w:r>
    </w:p>
  </w:footnote>
  <w:footnote w:id="15">
    <w:p w14:paraId="3BB7C45C" w14:textId="77777777" w:rsidR="001F30F1" w:rsidRDefault="001F30F1" w:rsidP="001F30F1">
      <w:pPr>
        <w:pStyle w:val="FootnoteText1"/>
        <w:rPr>
          <w:rtl/>
        </w:rPr>
      </w:pPr>
      <w:r w:rsidRPr="004469E3">
        <w:rPr>
          <w:rtl/>
        </w:rPr>
        <w:t>(</w:t>
      </w:r>
      <w:r w:rsidRPr="001F30F1">
        <w:footnoteRef/>
      </w:r>
      <w:r w:rsidRPr="004469E3">
        <w:rPr>
          <w:rtl/>
        </w:rPr>
        <w:t>)</w:t>
      </w:r>
      <w:r>
        <w:rPr>
          <w:rtl/>
        </w:rPr>
        <w:tab/>
        <w:t xml:space="preserve">انظر، على سبيل المثال، البلاغيْن المقدميْن من </w:t>
      </w:r>
      <w:proofErr w:type="spellStart"/>
      <w:r w:rsidRPr="001F30F1">
        <w:rPr>
          <w:i/>
          <w:iCs/>
          <w:rtl/>
        </w:rPr>
        <w:t>سفيتيك</w:t>
      </w:r>
      <w:proofErr w:type="spellEnd"/>
      <w:r w:rsidRPr="001F30F1">
        <w:rPr>
          <w:i/>
          <w:iCs/>
          <w:rtl/>
        </w:rPr>
        <w:t xml:space="preserve"> ضد بيلاروس</w:t>
      </w:r>
      <w:r w:rsidRPr="004469E3">
        <w:rPr>
          <w:rtl/>
        </w:rPr>
        <w:t>،</w:t>
      </w:r>
      <w:r>
        <w:rPr>
          <w:rtl/>
        </w:rPr>
        <w:t xml:space="preserve"> الوثيقة </w:t>
      </w:r>
      <w:r>
        <w:rPr>
          <w:rFonts w:hint="cs"/>
          <w:rtl/>
        </w:rPr>
        <w:t>(</w:t>
      </w:r>
      <w:hyperlink r:id="rId8" w:history="1">
        <w:r w:rsidRPr="001F30F1">
          <w:rPr>
            <w:rStyle w:val="Hyperlink"/>
            <w:lang w:val="en-AU"/>
          </w:rPr>
          <w:t>CCPR/C/81/D/927/2000</w:t>
        </w:r>
      </w:hyperlink>
      <w:r w:rsidRPr="001F30F1">
        <w:rPr>
          <w:rFonts w:hint="cs"/>
          <w:rtl/>
        </w:rPr>
        <w:t>)</w:t>
      </w:r>
      <w:r w:rsidRPr="001F30F1">
        <w:rPr>
          <w:rtl/>
        </w:rPr>
        <w:t xml:space="preserve">، </w:t>
      </w:r>
      <w:r>
        <w:rPr>
          <w:rtl/>
        </w:rPr>
        <w:t xml:space="preserve">الفقرة </w:t>
      </w:r>
      <w:r w:rsidRPr="001F30F1">
        <w:rPr>
          <w:rtl/>
        </w:rPr>
        <w:t>7</w:t>
      </w:r>
      <w:r>
        <w:rPr>
          <w:rtl/>
        </w:rPr>
        <w:t>-</w:t>
      </w:r>
      <w:r w:rsidRPr="001F30F1">
        <w:rPr>
          <w:rtl/>
        </w:rPr>
        <w:t>3</w:t>
      </w:r>
      <w:r>
        <w:rPr>
          <w:rtl/>
        </w:rPr>
        <w:t xml:space="preserve">؛ ومن </w:t>
      </w:r>
      <w:proofErr w:type="spellStart"/>
      <w:r w:rsidRPr="001F30F1">
        <w:rPr>
          <w:i/>
          <w:iCs/>
          <w:rtl/>
        </w:rPr>
        <w:t>شيشيتكو</w:t>
      </w:r>
      <w:proofErr w:type="spellEnd"/>
      <w:r w:rsidRPr="001F30F1">
        <w:rPr>
          <w:i/>
          <w:iCs/>
          <w:rtl/>
        </w:rPr>
        <w:t xml:space="preserve"> </w:t>
      </w:r>
      <w:proofErr w:type="spellStart"/>
      <w:r w:rsidRPr="001F30F1">
        <w:rPr>
          <w:i/>
          <w:iCs/>
          <w:rtl/>
        </w:rPr>
        <w:t>وشيشيتكو</w:t>
      </w:r>
      <w:proofErr w:type="spellEnd"/>
      <w:r w:rsidRPr="001F30F1">
        <w:rPr>
          <w:i/>
          <w:iCs/>
          <w:rtl/>
        </w:rPr>
        <w:t xml:space="preserve"> ضد بيلاروس</w:t>
      </w:r>
      <w:r w:rsidRPr="004469E3">
        <w:rPr>
          <w:rtl/>
        </w:rPr>
        <w:t>،</w:t>
      </w:r>
      <w:r>
        <w:rPr>
          <w:rtl/>
        </w:rPr>
        <w:t xml:space="preserve"> الوثيقة </w:t>
      </w:r>
      <w:r>
        <w:rPr>
          <w:rFonts w:hint="cs"/>
          <w:rtl/>
        </w:rPr>
        <w:t>(</w:t>
      </w:r>
      <w:hyperlink r:id="rId9" w:history="1">
        <w:r w:rsidRPr="001F30F1">
          <w:rPr>
            <w:rStyle w:val="Hyperlink"/>
            <w:lang w:val="en-AU"/>
          </w:rPr>
          <w:t>CCPR/C/87/D/1009/2001</w:t>
        </w:r>
      </w:hyperlink>
      <w:r w:rsidRPr="001F30F1">
        <w:rPr>
          <w:rFonts w:hint="cs"/>
          <w:rtl/>
        </w:rPr>
        <w:t>)</w:t>
      </w:r>
      <w:r w:rsidRPr="001F30F1">
        <w:rPr>
          <w:rtl/>
        </w:rPr>
        <w:t xml:space="preserve">، </w:t>
      </w:r>
      <w:r>
        <w:rPr>
          <w:rtl/>
        </w:rPr>
        <w:t xml:space="preserve">الفقرة </w:t>
      </w:r>
      <w:r w:rsidRPr="001F30F1">
        <w:rPr>
          <w:rtl/>
        </w:rPr>
        <w:t>7</w:t>
      </w:r>
      <w:r>
        <w:rPr>
          <w:rtl/>
        </w:rPr>
        <w:t>-</w:t>
      </w:r>
      <w:r w:rsidRPr="001F30F1">
        <w:rPr>
          <w:rtl/>
        </w:rPr>
        <w:t xml:space="preserve">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3063" w14:textId="3445F825" w:rsidR="00AA68CA" w:rsidRPr="00AA68CA" w:rsidRDefault="00AA68CA" w:rsidP="00AA68CA">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9359C">
      <w:t>CCPR/C/132/D/2702/2015</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DC9F" w14:textId="66C64516" w:rsidR="00AA68CA" w:rsidRPr="00AA68CA" w:rsidRDefault="00AA68CA" w:rsidP="00AA68CA">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89359C">
      <w:t>CCPR/C/132/D/2702/2015</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1898591172">
    <w:abstractNumId w:val="15"/>
  </w:num>
  <w:num w:numId="2" w16cid:durableId="60060410">
    <w:abstractNumId w:val="12"/>
  </w:num>
  <w:num w:numId="3" w16cid:durableId="136991320">
    <w:abstractNumId w:val="2"/>
  </w:num>
  <w:num w:numId="4" w16cid:durableId="371274604">
    <w:abstractNumId w:val="11"/>
  </w:num>
  <w:num w:numId="5" w16cid:durableId="875654490">
    <w:abstractNumId w:val="8"/>
  </w:num>
  <w:num w:numId="6" w16cid:durableId="420030682">
    <w:abstractNumId w:val="5"/>
  </w:num>
  <w:num w:numId="7" w16cid:durableId="1743407101">
    <w:abstractNumId w:val="17"/>
  </w:num>
  <w:num w:numId="8" w16cid:durableId="1333415972">
    <w:abstractNumId w:val="2"/>
  </w:num>
  <w:num w:numId="9" w16cid:durableId="456148838">
    <w:abstractNumId w:val="11"/>
  </w:num>
  <w:num w:numId="10" w16cid:durableId="582955408">
    <w:abstractNumId w:val="5"/>
  </w:num>
  <w:num w:numId="11" w16cid:durableId="632057288">
    <w:abstractNumId w:val="17"/>
  </w:num>
  <w:num w:numId="12" w16cid:durableId="1178348767">
    <w:abstractNumId w:val="2"/>
  </w:num>
  <w:num w:numId="13" w16cid:durableId="1363507884">
    <w:abstractNumId w:val="11"/>
  </w:num>
  <w:num w:numId="14" w16cid:durableId="1335257324">
    <w:abstractNumId w:val="8"/>
  </w:num>
  <w:num w:numId="15" w16cid:durableId="771625660">
    <w:abstractNumId w:val="5"/>
  </w:num>
  <w:num w:numId="16" w16cid:durableId="1817915093">
    <w:abstractNumId w:val="17"/>
  </w:num>
  <w:num w:numId="17" w16cid:durableId="519315860">
    <w:abstractNumId w:val="4"/>
  </w:num>
  <w:num w:numId="18" w16cid:durableId="1761681562">
    <w:abstractNumId w:val="3"/>
  </w:num>
  <w:num w:numId="19" w16cid:durableId="1998070284">
    <w:abstractNumId w:val="16"/>
  </w:num>
  <w:num w:numId="20" w16cid:durableId="262610097">
    <w:abstractNumId w:val="13"/>
  </w:num>
  <w:num w:numId="21" w16cid:durableId="2091194972">
    <w:abstractNumId w:val="1"/>
  </w:num>
  <w:num w:numId="22" w16cid:durableId="280381845">
    <w:abstractNumId w:val="14"/>
  </w:num>
  <w:num w:numId="23" w16cid:durableId="930511146">
    <w:abstractNumId w:val="0"/>
  </w:num>
  <w:num w:numId="24" w16cid:durableId="1410543987">
    <w:abstractNumId w:val="9"/>
  </w:num>
  <w:num w:numId="25" w16cid:durableId="376054846">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16cid:durableId="3037072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4001311">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900360956">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16cid:durableId="1286228167">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16cid:durableId="48457717">
    <w:abstractNumId w:val="7"/>
  </w:num>
  <w:num w:numId="31" w16cid:durableId="171160888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16cid:durableId="696781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94"/>
    <w:rsid w:val="000076D5"/>
    <w:rsid w:val="00043663"/>
    <w:rsid w:val="000437B8"/>
    <w:rsid w:val="000505CF"/>
    <w:rsid w:val="000D701C"/>
    <w:rsid w:val="000D7E80"/>
    <w:rsid w:val="000E2A71"/>
    <w:rsid w:val="00145577"/>
    <w:rsid w:val="00160263"/>
    <w:rsid w:val="00181F96"/>
    <w:rsid w:val="001872B1"/>
    <w:rsid w:val="001A1371"/>
    <w:rsid w:val="001B043F"/>
    <w:rsid w:val="001B346A"/>
    <w:rsid w:val="001E1CAD"/>
    <w:rsid w:val="001E290D"/>
    <w:rsid w:val="001F30F1"/>
    <w:rsid w:val="002144FA"/>
    <w:rsid w:val="0023469A"/>
    <w:rsid w:val="00243C8A"/>
    <w:rsid w:val="00267A0E"/>
    <w:rsid w:val="002901D9"/>
    <w:rsid w:val="002929DE"/>
    <w:rsid w:val="002976C2"/>
    <w:rsid w:val="003068BC"/>
    <w:rsid w:val="003260FF"/>
    <w:rsid w:val="00343D95"/>
    <w:rsid w:val="00363A18"/>
    <w:rsid w:val="00374341"/>
    <w:rsid w:val="003D1062"/>
    <w:rsid w:val="00402051"/>
    <w:rsid w:val="00420D7B"/>
    <w:rsid w:val="004469E3"/>
    <w:rsid w:val="00450B21"/>
    <w:rsid w:val="00453B63"/>
    <w:rsid w:val="00455780"/>
    <w:rsid w:val="0046323F"/>
    <w:rsid w:val="004B0A1C"/>
    <w:rsid w:val="004B27E0"/>
    <w:rsid w:val="004D298E"/>
    <w:rsid w:val="004E0494"/>
    <w:rsid w:val="005044B3"/>
    <w:rsid w:val="00517BC9"/>
    <w:rsid w:val="0054472E"/>
    <w:rsid w:val="005662A9"/>
    <w:rsid w:val="00572CEC"/>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781D"/>
    <w:rsid w:val="006959B0"/>
    <w:rsid w:val="006B3E27"/>
    <w:rsid w:val="006B6507"/>
    <w:rsid w:val="006C104C"/>
    <w:rsid w:val="006C632E"/>
    <w:rsid w:val="006D7887"/>
    <w:rsid w:val="00717FB3"/>
    <w:rsid w:val="00730446"/>
    <w:rsid w:val="00733704"/>
    <w:rsid w:val="0078071A"/>
    <w:rsid w:val="00787022"/>
    <w:rsid w:val="00787E1E"/>
    <w:rsid w:val="00852A9A"/>
    <w:rsid w:val="0089359C"/>
    <w:rsid w:val="008A49D2"/>
    <w:rsid w:val="008F49E1"/>
    <w:rsid w:val="0090370F"/>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54828"/>
    <w:rsid w:val="00A97E1F"/>
    <w:rsid w:val="00AA68CA"/>
    <w:rsid w:val="00AB512E"/>
    <w:rsid w:val="00AB6758"/>
    <w:rsid w:val="00AB727F"/>
    <w:rsid w:val="00B13763"/>
    <w:rsid w:val="00B477A4"/>
    <w:rsid w:val="00B54045"/>
    <w:rsid w:val="00B63ADD"/>
    <w:rsid w:val="00BB09A0"/>
    <w:rsid w:val="00C175A6"/>
    <w:rsid w:val="00C41DCF"/>
    <w:rsid w:val="00C42AF7"/>
    <w:rsid w:val="00C438D7"/>
    <w:rsid w:val="00C6106F"/>
    <w:rsid w:val="00C62C20"/>
    <w:rsid w:val="00C81B50"/>
    <w:rsid w:val="00C902EF"/>
    <w:rsid w:val="00CB0011"/>
    <w:rsid w:val="00CB6622"/>
    <w:rsid w:val="00CD1801"/>
    <w:rsid w:val="00CF56F9"/>
    <w:rsid w:val="00CF65C6"/>
    <w:rsid w:val="00D00A89"/>
    <w:rsid w:val="00D10EF1"/>
    <w:rsid w:val="00D4122E"/>
    <w:rsid w:val="00D42810"/>
    <w:rsid w:val="00D60DD5"/>
    <w:rsid w:val="00D914A7"/>
    <w:rsid w:val="00DC4D4B"/>
    <w:rsid w:val="00DD13C3"/>
    <w:rsid w:val="00DD596E"/>
    <w:rsid w:val="00DD621E"/>
    <w:rsid w:val="00DE50B1"/>
    <w:rsid w:val="00DF0138"/>
    <w:rsid w:val="00DF0575"/>
    <w:rsid w:val="00E2228E"/>
    <w:rsid w:val="00E24E04"/>
    <w:rsid w:val="00E70E04"/>
    <w:rsid w:val="00E77E6C"/>
    <w:rsid w:val="00E83ED5"/>
    <w:rsid w:val="00EC05A7"/>
    <w:rsid w:val="00EC0C61"/>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2A1814"/>
  <w15:docId w15:val="{120C970E-4D30-44E0-9EC8-B5A4918B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4780">
      <w:bodyDiv w:val="1"/>
      <w:marLeft w:val="0"/>
      <w:marRight w:val="0"/>
      <w:marTop w:val="0"/>
      <w:marBottom w:val="0"/>
      <w:divBdr>
        <w:top w:val="none" w:sz="0" w:space="0" w:color="auto"/>
        <w:left w:val="none" w:sz="0" w:space="0" w:color="auto"/>
        <w:bottom w:val="none" w:sz="0" w:space="0" w:color="auto"/>
        <w:right w:val="none" w:sz="0" w:space="0" w:color="auto"/>
      </w:divBdr>
    </w:div>
    <w:div w:id="1165130491">
      <w:bodyDiv w:val="1"/>
      <w:marLeft w:val="0"/>
      <w:marRight w:val="0"/>
      <w:marTop w:val="0"/>
      <w:marBottom w:val="0"/>
      <w:divBdr>
        <w:top w:val="none" w:sz="0" w:space="0" w:color="auto"/>
        <w:left w:val="none" w:sz="0" w:space="0" w:color="auto"/>
        <w:bottom w:val="none" w:sz="0" w:space="0" w:color="auto"/>
        <w:right w:val="none" w:sz="0" w:space="0" w:color="auto"/>
      </w:divBdr>
    </w:div>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CCPR/C/81/D/927/2000" TargetMode="External"/><Relationship Id="rId3" Type="http://schemas.openxmlformats.org/officeDocument/2006/relationships/hyperlink" Target="https://undocs.org/ar/CCPR/C/77/D/836/1998" TargetMode="External"/><Relationship Id="rId7" Type="http://schemas.openxmlformats.org/officeDocument/2006/relationships/hyperlink" Target="https://undocs.org/ar/CCPR/C/101/D/1604/2007" TargetMode="External"/><Relationship Id="rId2" Type="http://schemas.openxmlformats.org/officeDocument/2006/relationships/hyperlink" Target="https://undocs.org/ar/CCPR/C/105/D/1784/2008" TargetMode="External"/><Relationship Id="rId1" Type="http://schemas.openxmlformats.org/officeDocument/2006/relationships/hyperlink" Target="https://undocs.org/ar/CCPR/C/103/D/1838/2008" TargetMode="External"/><Relationship Id="rId6" Type="http://schemas.openxmlformats.org/officeDocument/2006/relationships/hyperlink" Target="https://undocs.org/ar/CCPR/C/116/D/2092/2011" TargetMode="External"/><Relationship Id="rId5" Type="http://schemas.openxmlformats.org/officeDocument/2006/relationships/hyperlink" Target="https://undocs.org/ar/CCPR/C/115/D/2019/2010" TargetMode="External"/><Relationship Id="rId4" Type="http://schemas.openxmlformats.org/officeDocument/2006/relationships/hyperlink" Target="https://undocs.org/ar/CCPR/C/109/D/1851/2008" TargetMode="External"/><Relationship Id="rId9" Type="http://schemas.openxmlformats.org/officeDocument/2006/relationships/hyperlink" Target="https://undocs.org/ar/CCPR/C/87/D/1009/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1573</Words>
  <Characters>11185</Characters>
  <Application>Microsoft Office Word</Application>
  <DocSecurity>0</DocSecurity>
  <Lines>932</Lines>
  <Paragraphs>708</Paragraphs>
  <ScaleCrop>false</ScaleCrop>
  <HeadingPairs>
    <vt:vector size="2" baseType="variant">
      <vt:variant>
        <vt:lpstr>Title</vt:lpstr>
      </vt:variant>
      <vt:variant>
        <vt:i4>1</vt:i4>
      </vt:variant>
    </vt:vector>
  </HeadingPairs>
  <TitlesOfParts>
    <vt:vector size="1" baseType="lpstr">
      <vt:lpstr>CCPR/C/132/D/2702/2015</vt:lpstr>
    </vt:vector>
  </TitlesOfParts>
  <Company>DCM</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CCPR/C/132/D/2702/2015</dc:title>
  <dc:subject>GE.2212579(A)</dc:subject>
  <dc:creator>Sayed Mohamed ALY - ARAD87</dc:creator>
  <cp:keywords>GE.2244852(A)</cp:keywords>
  <dc:description>General _x000d_
12 August 2022_x000d_
Arabic_x000d_
English </dc:description>
  <cp:lastModifiedBy>Sayed Aly</cp:lastModifiedBy>
  <cp:revision>3</cp:revision>
  <cp:lastPrinted>2022-08-26T16:56:00Z</cp:lastPrinted>
  <dcterms:created xsi:type="dcterms:W3CDTF">2022-08-26T16:56:00Z</dcterms:created>
  <dcterms:modified xsi:type="dcterms:W3CDTF">2022-08-26T16:56:00Z</dcterms:modified>
  <cp:category>Finale</cp:category>
</cp:coreProperties>
</file>