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88B3D7F" w14:textId="77777777" w:rsidTr="002B7BC7">
        <w:trPr>
          <w:trHeight w:hRule="exact" w:val="851"/>
        </w:trPr>
        <w:tc>
          <w:tcPr>
            <w:tcW w:w="1276" w:type="dxa"/>
            <w:tcBorders>
              <w:bottom w:val="single" w:sz="4" w:space="0" w:color="auto"/>
            </w:tcBorders>
          </w:tcPr>
          <w:p w14:paraId="51786D75" w14:textId="77777777" w:rsidR="006F71EA" w:rsidRPr="00DB58B5" w:rsidRDefault="006F71EA" w:rsidP="00571F5C"/>
        </w:tc>
        <w:tc>
          <w:tcPr>
            <w:tcW w:w="2268" w:type="dxa"/>
            <w:tcBorders>
              <w:bottom w:val="single" w:sz="4" w:space="0" w:color="auto"/>
            </w:tcBorders>
            <w:vAlign w:val="bottom"/>
          </w:tcPr>
          <w:p w14:paraId="140C0CC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53F282" w14:textId="44EF7B88" w:rsidR="006F71EA" w:rsidRPr="00DB58B5" w:rsidRDefault="00571F5C" w:rsidP="00571F5C">
            <w:pPr>
              <w:jc w:val="right"/>
            </w:pPr>
            <w:r w:rsidRPr="00571F5C">
              <w:rPr>
                <w:sz w:val="40"/>
              </w:rPr>
              <w:t>CCPR</w:t>
            </w:r>
            <w:r>
              <w:t>/C/134/D/3327/2019</w:t>
            </w:r>
          </w:p>
        </w:tc>
      </w:tr>
      <w:tr w:rsidR="006F71EA" w:rsidRPr="00DB58B5" w14:paraId="17D0F7D5" w14:textId="77777777" w:rsidTr="002B7BC7">
        <w:trPr>
          <w:trHeight w:hRule="exact" w:val="2835"/>
        </w:trPr>
        <w:tc>
          <w:tcPr>
            <w:tcW w:w="1276" w:type="dxa"/>
            <w:tcBorders>
              <w:top w:val="single" w:sz="4" w:space="0" w:color="auto"/>
              <w:bottom w:val="single" w:sz="12" w:space="0" w:color="auto"/>
            </w:tcBorders>
          </w:tcPr>
          <w:p w14:paraId="60C2E390" w14:textId="77777777" w:rsidR="006F71EA" w:rsidRPr="00DB58B5" w:rsidRDefault="006F71EA" w:rsidP="002B7BC7">
            <w:pPr>
              <w:spacing w:before="120"/>
              <w:jc w:val="center"/>
            </w:pPr>
            <w:r>
              <w:rPr>
                <w:noProof/>
                <w:lang w:eastAsia="fr-CH"/>
              </w:rPr>
              <w:drawing>
                <wp:inline distT="0" distB="0" distL="0" distR="0" wp14:anchorId="1F09696B" wp14:editId="471DEC5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A0EE8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BE05D87" w14:textId="77777777" w:rsidR="006F71EA" w:rsidRDefault="00571F5C" w:rsidP="002B7BC7">
            <w:pPr>
              <w:spacing w:before="240"/>
            </w:pPr>
            <w:r>
              <w:t>Distr. générale</w:t>
            </w:r>
          </w:p>
          <w:p w14:paraId="3A36DD7F" w14:textId="77777777" w:rsidR="00571F5C" w:rsidRDefault="00571F5C" w:rsidP="00571F5C">
            <w:pPr>
              <w:spacing w:line="240" w:lineRule="exact"/>
            </w:pPr>
            <w:r>
              <w:t>22 août 2022</w:t>
            </w:r>
          </w:p>
          <w:p w14:paraId="69CA7920" w14:textId="77777777" w:rsidR="00571F5C" w:rsidRDefault="00571F5C" w:rsidP="00571F5C">
            <w:pPr>
              <w:spacing w:line="240" w:lineRule="exact"/>
            </w:pPr>
            <w:r>
              <w:t>Français</w:t>
            </w:r>
          </w:p>
          <w:p w14:paraId="4BEB2AAC" w14:textId="62E326ED" w:rsidR="00571F5C" w:rsidRPr="00DB58B5" w:rsidRDefault="00571F5C" w:rsidP="00571F5C">
            <w:pPr>
              <w:spacing w:line="240" w:lineRule="exact"/>
            </w:pPr>
            <w:r>
              <w:t>Original : anglais</w:t>
            </w:r>
          </w:p>
        </w:tc>
      </w:tr>
    </w:tbl>
    <w:p w14:paraId="46C056B5" w14:textId="77777777" w:rsidR="006F71EA" w:rsidRDefault="006F71EA" w:rsidP="006F71EA">
      <w:pPr>
        <w:spacing w:before="120"/>
        <w:rPr>
          <w:b/>
          <w:sz w:val="24"/>
          <w:szCs w:val="24"/>
        </w:rPr>
      </w:pPr>
      <w:r w:rsidRPr="00DF3BF1">
        <w:rPr>
          <w:b/>
          <w:sz w:val="24"/>
          <w:szCs w:val="24"/>
        </w:rPr>
        <w:t>Comité des droits de l’homme</w:t>
      </w:r>
    </w:p>
    <w:p w14:paraId="78E6019F" w14:textId="1D214452" w:rsidR="00571F5C" w:rsidRDefault="00571F5C" w:rsidP="00571F5C">
      <w:pPr>
        <w:pStyle w:val="HChG"/>
        <w:rPr>
          <w:bCs/>
          <w:sz w:val="20"/>
          <w:lang w:val="fr-FR"/>
        </w:rPr>
      </w:pPr>
      <w:r>
        <w:rPr>
          <w:lang w:val="fr-FR"/>
        </w:rPr>
        <w:tab/>
      </w:r>
      <w:r>
        <w:rPr>
          <w:lang w:val="fr-FR"/>
        </w:rPr>
        <w:tab/>
      </w:r>
      <w:r w:rsidRPr="007A718D">
        <w:t>C</w:t>
      </w:r>
      <w:r w:rsidRPr="008476AC">
        <w:t>onstatations adoptées par le Comité au titre de l</w:t>
      </w:r>
      <w:r>
        <w:t>’</w:t>
      </w:r>
      <w:r w:rsidRPr="008476AC">
        <w:t>article 5 (par.</w:t>
      </w:r>
      <w:r>
        <w:t> </w:t>
      </w:r>
      <w:r w:rsidRPr="008476AC">
        <w:t>4) du Protocole facultatif, concernant la c</w:t>
      </w:r>
      <w:r w:rsidRPr="007A718D">
        <w:t>ommunication</w:t>
      </w:r>
      <w:r>
        <w:rPr>
          <w:lang w:val="fr-FR"/>
        </w:rPr>
        <w:t xml:space="preserve"> </w:t>
      </w:r>
      <w:r w:rsidRPr="007A718D">
        <w:rPr>
          <w:rFonts w:eastAsia="MS Mincho"/>
          <w:szCs w:val="22"/>
          <w:lang w:val="fr-FR"/>
        </w:rPr>
        <w:t>n</w:t>
      </w:r>
      <w:r w:rsidRPr="007A718D">
        <w:rPr>
          <w:rFonts w:eastAsia="MS Mincho"/>
          <w:szCs w:val="22"/>
          <w:vertAlign w:val="superscript"/>
          <w:lang w:val="fr-FR"/>
        </w:rPr>
        <w:t>o</w:t>
      </w:r>
      <w:r>
        <w:rPr>
          <w:lang w:val="fr-FR"/>
        </w:rPr>
        <w:t> 3327/2019</w:t>
      </w:r>
      <w:r w:rsidRPr="00571F5C">
        <w:rPr>
          <w:rStyle w:val="Appelnotedebasdep"/>
          <w:b w:val="0"/>
          <w:bCs/>
          <w:sz w:val="20"/>
          <w:vertAlign w:val="baseline"/>
        </w:rPr>
        <w:footnoteReference w:customMarkFollows="1" w:id="2"/>
        <w:t>*</w:t>
      </w:r>
      <w:r w:rsidRPr="00571F5C">
        <w:rPr>
          <w:b w:val="0"/>
          <w:bCs/>
          <w:sz w:val="20"/>
          <w:vertAlign w:val="superscript"/>
        </w:rPr>
        <w:t>,</w:t>
      </w:r>
      <w:r>
        <w:rPr>
          <w:b w:val="0"/>
          <w:bCs/>
          <w:sz w:val="20"/>
        </w:rPr>
        <w:t xml:space="preserve"> </w:t>
      </w:r>
      <w:r w:rsidRPr="00571F5C">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571F5C" w14:paraId="2D63CA0B" w14:textId="77777777" w:rsidTr="00571F5C">
        <w:tc>
          <w:tcPr>
            <w:tcW w:w="2835" w:type="dxa"/>
          </w:tcPr>
          <w:p w14:paraId="2AD91AC9" w14:textId="77777777" w:rsidR="00571F5C" w:rsidRDefault="00571F5C" w:rsidP="00E3565C">
            <w:pPr>
              <w:pStyle w:val="SingleTxtG"/>
              <w:ind w:left="0" w:right="0"/>
              <w:jc w:val="left"/>
              <w:rPr>
                <w:i/>
              </w:rPr>
            </w:pPr>
            <w:r>
              <w:rPr>
                <w:i/>
              </w:rPr>
              <w:t>Communication soumise par</w:t>
            </w:r>
            <w:r>
              <w:t> :</w:t>
            </w:r>
          </w:p>
        </w:tc>
        <w:tc>
          <w:tcPr>
            <w:tcW w:w="3970" w:type="dxa"/>
          </w:tcPr>
          <w:p w14:paraId="65E56BC1" w14:textId="77777777" w:rsidR="00571F5C" w:rsidRDefault="00571F5C" w:rsidP="00E3565C">
            <w:pPr>
              <w:pStyle w:val="SingleTxtG"/>
              <w:ind w:left="0" w:right="0"/>
              <w:jc w:val="left"/>
            </w:pPr>
            <w:r>
              <w:rPr>
                <w:lang w:val="fr-FR"/>
              </w:rPr>
              <w:t xml:space="preserve">D. Č.(représenté par </w:t>
            </w:r>
            <w:proofErr w:type="spellStart"/>
            <w:r>
              <w:rPr>
                <w:lang w:val="fr-FR"/>
              </w:rPr>
              <w:t>Stanislovas</w:t>
            </w:r>
            <w:proofErr w:type="spellEnd"/>
            <w:r>
              <w:rPr>
                <w:lang w:val="fr-FR"/>
              </w:rPr>
              <w:t xml:space="preserve"> Tomas)</w:t>
            </w:r>
          </w:p>
        </w:tc>
      </w:tr>
      <w:tr w:rsidR="00571F5C" w14:paraId="57A928BC" w14:textId="77777777" w:rsidTr="00571F5C">
        <w:tc>
          <w:tcPr>
            <w:tcW w:w="2835" w:type="dxa"/>
          </w:tcPr>
          <w:p w14:paraId="684AD64B" w14:textId="3C2100D1" w:rsidR="00571F5C" w:rsidRDefault="00571F5C" w:rsidP="00E3565C">
            <w:pPr>
              <w:pStyle w:val="SingleTxtG"/>
              <w:ind w:left="0" w:right="0"/>
              <w:jc w:val="left"/>
              <w:rPr>
                <w:i/>
              </w:rPr>
            </w:pPr>
            <w:r>
              <w:rPr>
                <w:i/>
                <w:iCs/>
                <w:lang w:val="fr-FR"/>
              </w:rPr>
              <w:t>Victime(s) présumée(s)</w:t>
            </w:r>
            <w:r>
              <w:rPr>
                <w:i/>
                <w:iCs/>
                <w:lang w:val="fr-FR"/>
              </w:rPr>
              <w:t> </w:t>
            </w:r>
            <w:r>
              <w:t>:</w:t>
            </w:r>
          </w:p>
        </w:tc>
        <w:tc>
          <w:tcPr>
            <w:tcW w:w="3970" w:type="dxa"/>
          </w:tcPr>
          <w:p w14:paraId="1A0BF455" w14:textId="77777777" w:rsidR="00571F5C" w:rsidRDefault="00571F5C" w:rsidP="00E3565C">
            <w:pPr>
              <w:pStyle w:val="SingleTxtG"/>
              <w:ind w:left="0" w:right="0"/>
              <w:jc w:val="left"/>
            </w:pPr>
            <w:r>
              <w:rPr>
                <w:lang w:val="fr-FR"/>
              </w:rPr>
              <w:t>L’auteur</w:t>
            </w:r>
          </w:p>
        </w:tc>
      </w:tr>
      <w:tr w:rsidR="00571F5C" w14:paraId="3077F088" w14:textId="77777777" w:rsidTr="00571F5C">
        <w:tc>
          <w:tcPr>
            <w:tcW w:w="2835" w:type="dxa"/>
          </w:tcPr>
          <w:p w14:paraId="0F8C958F" w14:textId="77777777" w:rsidR="00571F5C" w:rsidRDefault="00571F5C" w:rsidP="00E3565C">
            <w:pPr>
              <w:pStyle w:val="SingleTxtG"/>
              <w:ind w:left="0" w:right="0"/>
              <w:jc w:val="left"/>
              <w:rPr>
                <w:i/>
              </w:rPr>
            </w:pPr>
            <w:r>
              <w:rPr>
                <w:i/>
              </w:rPr>
              <w:t>État partie</w:t>
            </w:r>
            <w:r>
              <w:t> :</w:t>
            </w:r>
          </w:p>
        </w:tc>
        <w:tc>
          <w:tcPr>
            <w:tcW w:w="3970" w:type="dxa"/>
          </w:tcPr>
          <w:p w14:paraId="1F523996" w14:textId="77777777" w:rsidR="00571F5C" w:rsidRDefault="00571F5C" w:rsidP="00E3565C">
            <w:pPr>
              <w:pStyle w:val="SingleTxtG"/>
              <w:ind w:left="0" w:right="0"/>
              <w:jc w:val="left"/>
            </w:pPr>
            <w:r>
              <w:rPr>
                <w:lang w:val="fr-FR"/>
              </w:rPr>
              <w:t>Lituanie</w:t>
            </w:r>
          </w:p>
        </w:tc>
      </w:tr>
      <w:tr w:rsidR="00571F5C" w14:paraId="79331F24" w14:textId="77777777" w:rsidTr="00571F5C">
        <w:tc>
          <w:tcPr>
            <w:tcW w:w="2835" w:type="dxa"/>
          </w:tcPr>
          <w:p w14:paraId="04535E5D" w14:textId="77777777" w:rsidR="00571F5C" w:rsidRDefault="00571F5C" w:rsidP="00E3565C">
            <w:pPr>
              <w:pStyle w:val="SingleTxtG"/>
              <w:ind w:left="0" w:right="0"/>
              <w:jc w:val="left"/>
              <w:rPr>
                <w:i/>
              </w:rPr>
            </w:pPr>
            <w:r>
              <w:rPr>
                <w:i/>
              </w:rPr>
              <w:t>Date de la communication</w:t>
            </w:r>
            <w:r>
              <w:t> :</w:t>
            </w:r>
          </w:p>
        </w:tc>
        <w:tc>
          <w:tcPr>
            <w:tcW w:w="3970" w:type="dxa"/>
          </w:tcPr>
          <w:p w14:paraId="0D57B7CE" w14:textId="77777777" w:rsidR="00571F5C" w:rsidRDefault="00571F5C" w:rsidP="00E3565C">
            <w:pPr>
              <w:pStyle w:val="SingleTxtG"/>
              <w:ind w:left="0" w:right="0"/>
              <w:jc w:val="left"/>
            </w:pPr>
            <w:r>
              <w:rPr>
                <w:lang w:val="fr-FR"/>
              </w:rPr>
              <w:t>12 septembre 2018 (date de la lettre initiale)</w:t>
            </w:r>
          </w:p>
        </w:tc>
      </w:tr>
      <w:tr w:rsidR="00571F5C" w14:paraId="60758E6B" w14:textId="77777777" w:rsidTr="00571F5C">
        <w:tc>
          <w:tcPr>
            <w:tcW w:w="2835" w:type="dxa"/>
          </w:tcPr>
          <w:p w14:paraId="393EA8F5" w14:textId="77777777" w:rsidR="00571F5C" w:rsidRPr="007A718D" w:rsidRDefault="00571F5C" w:rsidP="00E3565C">
            <w:pPr>
              <w:pStyle w:val="SingleTxtG"/>
              <w:ind w:left="0" w:right="0"/>
              <w:jc w:val="left"/>
            </w:pPr>
            <w:r>
              <w:rPr>
                <w:i/>
              </w:rPr>
              <w:t>Références </w:t>
            </w:r>
            <w:r>
              <w:t>:</w:t>
            </w:r>
          </w:p>
        </w:tc>
        <w:tc>
          <w:tcPr>
            <w:tcW w:w="3970" w:type="dxa"/>
          </w:tcPr>
          <w:p w14:paraId="33E482AA" w14:textId="3CDA85B3" w:rsidR="00571F5C" w:rsidRDefault="00571F5C" w:rsidP="00E3565C">
            <w:pPr>
              <w:pStyle w:val="SingleTxtG"/>
              <w:ind w:left="0" w:right="0"/>
              <w:jc w:val="left"/>
            </w:pPr>
            <w:r>
              <w:rPr>
                <w:lang w:val="fr-FR"/>
              </w:rPr>
              <w:t xml:space="preserve">Décision prise en application de l’article 92 du </w:t>
            </w:r>
            <w:r>
              <w:rPr>
                <w:lang w:val="fr-FR"/>
              </w:rPr>
              <w:t>r</w:t>
            </w:r>
            <w:r>
              <w:rPr>
                <w:lang w:val="fr-FR"/>
              </w:rPr>
              <w:t>èglement intérieur du Comité, communiquée à l’État partie le 26 mars 2019 (non publiée sous forme de document)</w:t>
            </w:r>
          </w:p>
        </w:tc>
      </w:tr>
      <w:tr w:rsidR="00571F5C" w14:paraId="147AF9D2" w14:textId="77777777" w:rsidTr="00571F5C">
        <w:tc>
          <w:tcPr>
            <w:tcW w:w="2835" w:type="dxa"/>
          </w:tcPr>
          <w:p w14:paraId="18E596D6" w14:textId="77777777" w:rsidR="00571F5C" w:rsidRDefault="00571F5C" w:rsidP="00E3565C">
            <w:pPr>
              <w:pStyle w:val="SingleTxtG"/>
              <w:ind w:left="0" w:right="0"/>
              <w:jc w:val="left"/>
              <w:rPr>
                <w:i/>
              </w:rPr>
            </w:pPr>
            <w:r>
              <w:rPr>
                <w:i/>
              </w:rPr>
              <w:t>Date de la décision</w:t>
            </w:r>
            <w:r>
              <w:t> :</w:t>
            </w:r>
          </w:p>
        </w:tc>
        <w:tc>
          <w:tcPr>
            <w:tcW w:w="3970" w:type="dxa"/>
            <w:vAlign w:val="bottom"/>
          </w:tcPr>
          <w:p w14:paraId="3AD83BCD" w14:textId="77777777" w:rsidR="00571F5C" w:rsidRDefault="00571F5C" w:rsidP="00E3565C">
            <w:pPr>
              <w:pStyle w:val="SingleTxtG"/>
              <w:ind w:left="0" w:right="0"/>
              <w:jc w:val="left"/>
            </w:pPr>
            <w:r>
              <w:rPr>
                <w:lang w:val="fr-FR"/>
              </w:rPr>
              <w:t>24 mars 2022</w:t>
            </w:r>
          </w:p>
        </w:tc>
      </w:tr>
      <w:tr w:rsidR="00571F5C" w14:paraId="60BB6DE2" w14:textId="77777777" w:rsidTr="00571F5C">
        <w:tc>
          <w:tcPr>
            <w:tcW w:w="2835" w:type="dxa"/>
          </w:tcPr>
          <w:p w14:paraId="4CCEB8AB" w14:textId="77777777" w:rsidR="00571F5C" w:rsidRDefault="00571F5C" w:rsidP="00E3565C">
            <w:pPr>
              <w:pStyle w:val="SingleTxtG"/>
              <w:ind w:left="0" w:right="0"/>
              <w:jc w:val="left"/>
            </w:pPr>
            <w:r>
              <w:rPr>
                <w:i/>
              </w:rPr>
              <w:t>Objet</w:t>
            </w:r>
            <w:r>
              <w:t> :</w:t>
            </w:r>
          </w:p>
        </w:tc>
        <w:tc>
          <w:tcPr>
            <w:tcW w:w="3970" w:type="dxa"/>
            <w:vAlign w:val="bottom"/>
          </w:tcPr>
          <w:p w14:paraId="318F479F" w14:textId="77777777" w:rsidR="00571F5C" w:rsidRDefault="00571F5C" w:rsidP="00E3565C">
            <w:pPr>
              <w:pStyle w:val="SingleTxtG"/>
              <w:ind w:left="0" w:right="0"/>
              <w:jc w:val="left"/>
            </w:pPr>
            <w:r>
              <w:rPr>
                <w:lang w:val="fr-FR"/>
              </w:rPr>
              <w:t>Mesures restrictives imposées au cours d’une enquête préliminaire</w:t>
            </w:r>
          </w:p>
        </w:tc>
      </w:tr>
      <w:tr w:rsidR="00571F5C" w14:paraId="775C199C" w14:textId="77777777" w:rsidTr="00571F5C">
        <w:tc>
          <w:tcPr>
            <w:tcW w:w="2835" w:type="dxa"/>
          </w:tcPr>
          <w:p w14:paraId="1173701D" w14:textId="77777777" w:rsidR="00571F5C" w:rsidRDefault="00571F5C" w:rsidP="00E3565C">
            <w:pPr>
              <w:pStyle w:val="SingleTxtG"/>
              <w:ind w:left="0" w:right="0"/>
              <w:jc w:val="left"/>
            </w:pPr>
            <w:r>
              <w:rPr>
                <w:i/>
              </w:rPr>
              <w:t>Question(s) de procédure</w:t>
            </w:r>
            <w:r>
              <w:t> :</w:t>
            </w:r>
          </w:p>
        </w:tc>
        <w:tc>
          <w:tcPr>
            <w:tcW w:w="3970" w:type="dxa"/>
            <w:vAlign w:val="bottom"/>
          </w:tcPr>
          <w:p w14:paraId="14A0C96D" w14:textId="77777777" w:rsidR="00571F5C" w:rsidRDefault="00571F5C" w:rsidP="00E3565C">
            <w:pPr>
              <w:pStyle w:val="SingleTxtG"/>
              <w:ind w:left="0" w:right="0"/>
              <w:jc w:val="left"/>
            </w:pPr>
            <w:r>
              <w:rPr>
                <w:lang w:val="fr-FR"/>
              </w:rPr>
              <w:t>Abus du droit de présenter une communication ; épuisement des recours internes ; fondement des griefs ; recevabilité</w:t>
            </w:r>
            <w:r>
              <w:rPr>
                <w:i/>
                <w:iCs/>
                <w:lang w:val="fr-FR"/>
              </w:rPr>
              <w:t xml:space="preserve"> ratione materiae</w:t>
            </w:r>
          </w:p>
        </w:tc>
      </w:tr>
      <w:tr w:rsidR="00571F5C" w14:paraId="0F899933" w14:textId="77777777" w:rsidTr="00571F5C">
        <w:tc>
          <w:tcPr>
            <w:tcW w:w="2835" w:type="dxa"/>
          </w:tcPr>
          <w:p w14:paraId="234F6CA9" w14:textId="77777777" w:rsidR="00571F5C" w:rsidRDefault="00571F5C" w:rsidP="00E3565C">
            <w:pPr>
              <w:pStyle w:val="SingleTxtG"/>
              <w:ind w:left="0" w:right="0"/>
              <w:jc w:val="left"/>
            </w:pPr>
            <w:r>
              <w:rPr>
                <w:i/>
              </w:rPr>
              <w:t>Question(s) de fond</w:t>
            </w:r>
            <w:r>
              <w:t> :</w:t>
            </w:r>
          </w:p>
        </w:tc>
        <w:tc>
          <w:tcPr>
            <w:tcW w:w="3970" w:type="dxa"/>
            <w:vAlign w:val="bottom"/>
          </w:tcPr>
          <w:p w14:paraId="390853F4" w14:textId="77777777" w:rsidR="00571F5C" w:rsidRDefault="00571F5C" w:rsidP="00E3565C">
            <w:pPr>
              <w:pStyle w:val="SingleTxtG"/>
              <w:ind w:left="0" w:right="0"/>
              <w:jc w:val="left"/>
            </w:pPr>
            <w:r>
              <w:rPr>
                <w:lang w:val="fr-FR"/>
              </w:rPr>
              <w:t>Recours utile ; procès équitable ; liberté de circulation ; présomption d’innocence</w:t>
            </w:r>
          </w:p>
        </w:tc>
      </w:tr>
      <w:tr w:rsidR="00571F5C" w14:paraId="1D9A6FE4" w14:textId="77777777" w:rsidTr="00571F5C">
        <w:tc>
          <w:tcPr>
            <w:tcW w:w="2835" w:type="dxa"/>
          </w:tcPr>
          <w:p w14:paraId="2CC70009" w14:textId="77777777" w:rsidR="00571F5C" w:rsidRDefault="00571F5C" w:rsidP="00E3565C">
            <w:pPr>
              <w:pStyle w:val="SingleTxtG"/>
              <w:ind w:left="0" w:right="0"/>
              <w:jc w:val="left"/>
            </w:pPr>
            <w:r>
              <w:rPr>
                <w:i/>
              </w:rPr>
              <w:t>Article(s) du Pacte</w:t>
            </w:r>
            <w:r>
              <w:t> :</w:t>
            </w:r>
          </w:p>
        </w:tc>
        <w:tc>
          <w:tcPr>
            <w:tcW w:w="3970" w:type="dxa"/>
            <w:vAlign w:val="bottom"/>
          </w:tcPr>
          <w:p w14:paraId="6959302F" w14:textId="77777777" w:rsidR="00571F5C" w:rsidRDefault="00571F5C" w:rsidP="00E3565C">
            <w:pPr>
              <w:pStyle w:val="SingleTxtG"/>
              <w:ind w:left="0" w:right="0"/>
              <w:jc w:val="left"/>
            </w:pPr>
            <w:r>
              <w:rPr>
                <w:lang w:val="fr-FR"/>
              </w:rPr>
              <w:t>2 (par</w:t>
            </w:r>
            <w:r w:rsidRPr="006473EF">
              <w:rPr>
                <w:lang w:val="fr-FR"/>
              </w:rPr>
              <w:t>.</w:t>
            </w:r>
            <w:r>
              <w:rPr>
                <w:lang w:val="fr-FR"/>
              </w:rPr>
              <w:t xml:space="preserve"> 2), lu seul et conjointement avec les articles 12 et 14 (par</w:t>
            </w:r>
            <w:r w:rsidRPr="006473EF">
              <w:rPr>
                <w:lang w:val="fr-FR"/>
              </w:rPr>
              <w:t>.</w:t>
            </w:r>
            <w:r>
              <w:rPr>
                <w:lang w:val="fr-FR"/>
              </w:rPr>
              <w:t xml:space="preserve"> 1 et 2), et 12 et 14 (par</w:t>
            </w:r>
            <w:r w:rsidRPr="006473EF">
              <w:rPr>
                <w:lang w:val="fr-FR"/>
              </w:rPr>
              <w:t>.</w:t>
            </w:r>
            <w:r>
              <w:rPr>
                <w:lang w:val="fr-FR"/>
              </w:rPr>
              <w:t xml:space="preserve"> 1 et 2), lus séparément</w:t>
            </w:r>
          </w:p>
        </w:tc>
      </w:tr>
      <w:tr w:rsidR="00571F5C" w14:paraId="14B67D2B" w14:textId="77777777" w:rsidTr="00571F5C">
        <w:tc>
          <w:tcPr>
            <w:tcW w:w="2835" w:type="dxa"/>
          </w:tcPr>
          <w:p w14:paraId="48C3381F" w14:textId="77777777" w:rsidR="00571F5C" w:rsidRDefault="00571F5C" w:rsidP="00E3565C">
            <w:pPr>
              <w:pStyle w:val="SingleTxtG"/>
              <w:ind w:left="0" w:right="0"/>
              <w:jc w:val="left"/>
              <w:rPr>
                <w:i/>
              </w:rPr>
            </w:pPr>
            <w:r>
              <w:rPr>
                <w:i/>
                <w:iCs/>
                <w:lang w:val="fr-FR"/>
              </w:rPr>
              <w:t>Article(s) du Protocole facultatif </w:t>
            </w:r>
            <w:r w:rsidRPr="007A718D">
              <w:rPr>
                <w:lang w:val="fr-FR"/>
              </w:rPr>
              <w:t>:</w:t>
            </w:r>
          </w:p>
        </w:tc>
        <w:tc>
          <w:tcPr>
            <w:tcW w:w="3970" w:type="dxa"/>
            <w:vAlign w:val="bottom"/>
          </w:tcPr>
          <w:p w14:paraId="044CE33E" w14:textId="1944D514" w:rsidR="00571F5C" w:rsidRDefault="00571F5C" w:rsidP="00E3565C">
            <w:pPr>
              <w:pStyle w:val="SingleTxtG"/>
              <w:ind w:left="0" w:right="0"/>
              <w:jc w:val="left"/>
            </w:pPr>
            <w:r>
              <w:rPr>
                <w:lang w:val="fr-FR"/>
              </w:rPr>
              <w:t>2, 3 et 5 (par</w:t>
            </w:r>
            <w:r w:rsidRPr="006473EF">
              <w:rPr>
                <w:lang w:val="fr-FR"/>
              </w:rPr>
              <w:t>.</w:t>
            </w:r>
            <w:r>
              <w:rPr>
                <w:lang w:val="fr-FR"/>
              </w:rPr>
              <w:t xml:space="preserve"> 2</w:t>
            </w:r>
            <w:r>
              <w:rPr>
                <w:lang w:val="fr-FR"/>
              </w:rPr>
              <w:t> </w:t>
            </w:r>
            <w:r>
              <w:rPr>
                <w:lang w:val="fr-FR"/>
              </w:rPr>
              <w:t>b))</w:t>
            </w:r>
          </w:p>
        </w:tc>
      </w:tr>
    </w:tbl>
    <w:p w14:paraId="0C727FF6" w14:textId="77777777" w:rsidR="00571F5C" w:rsidRPr="007A718D" w:rsidRDefault="00571F5C" w:rsidP="00571F5C">
      <w:pPr>
        <w:pStyle w:val="SingleTxtG"/>
      </w:pPr>
      <w:r w:rsidRPr="007A718D">
        <w:rPr>
          <w:lang w:val="fr-FR"/>
        </w:rPr>
        <w:t>1</w:t>
      </w:r>
      <w:r w:rsidRPr="006473EF">
        <w:rPr>
          <w:lang w:val="fr-FR"/>
        </w:rPr>
        <w:t>.</w:t>
      </w:r>
      <w:r w:rsidRPr="007A718D">
        <w:rPr>
          <w:lang w:val="fr-FR"/>
        </w:rPr>
        <w:tab/>
        <w:t>L</w:t>
      </w:r>
      <w:r>
        <w:rPr>
          <w:lang w:val="fr-FR"/>
        </w:rPr>
        <w:t>’</w:t>
      </w:r>
      <w:r w:rsidRPr="007A718D">
        <w:rPr>
          <w:lang w:val="fr-FR"/>
        </w:rPr>
        <w:t>auteur de la communication est D</w:t>
      </w:r>
      <w:r>
        <w:rPr>
          <w:lang w:val="fr-FR"/>
        </w:rPr>
        <w:t>.</w:t>
      </w:r>
      <w:r w:rsidRPr="007A718D">
        <w:rPr>
          <w:lang w:val="fr-FR"/>
        </w:rPr>
        <w:t xml:space="preserve"> Č</w:t>
      </w:r>
      <w:r>
        <w:rPr>
          <w:lang w:val="fr-FR"/>
        </w:rPr>
        <w:t>.</w:t>
      </w:r>
      <w:r w:rsidRPr="007A718D">
        <w:rPr>
          <w:lang w:val="fr-FR"/>
        </w:rPr>
        <w:t>, de nationalité lituanienne, né en 1974</w:t>
      </w:r>
      <w:r w:rsidRPr="006473EF">
        <w:rPr>
          <w:lang w:val="fr-FR"/>
        </w:rPr>
        <w:t>.</w:t>
      </w:r>
      <w:r w:rsidRPr="007A718D">
        <w:rPr>
          <w:lang w:val="fr-FR"/>
        </w:rPr>
        <w:t xml:space="preserve"> Il affirme que l</w:t>
      </w:r>
      <w:r>
        <w:rPr>
          <w:lang w:val="fr-FR"/>
        </w:rPr>
        <w:t>’</w:t>
      </w:r>
      <w:r w:rsidRPr="007A718D">
        <w:rPr>
          <w:lang w:val="fr-FR"/>
        </w:rPr>
        <w:t>État partie a violé les droits qu</w:t>
      </w:r>
      <w:r>
        <w:rPr>
          <w:lang w:val="fr-FR"/>
        </w:rPr>
        <w:t>’</w:t>
      </w:r>
      <w:r w:rsidRPr="007A718D">
        <w:rPr>
          <w:lang w:val="fr-FR"/>
        </w:rPr>
        <w:t>il tient de l</w:t>
      </w:r>
      <w:r>
        <w:rPr>
          <w:lang w:val="fr-FR"/>
        </w:rPr>
        <w:t>’</w:t>
      </w:r>
      <w:r w:rsidRPr="007A718D">
        <w:rPr>
          <w:lang w:val="fr-FR"/>
        </w:rPr>
        <w:t>article 2 (par</w:t>
      </w:r>
      <w:r w:rsidRPr="006473EF">
        <w:rPr>
          <w:lang w:val="fr-FR"/>
        </w:rPr>
        <w:t>.</w:t>
      </w:r>
      <w:r w:rsidRPr="007A718D">
        <w:rPr>
          <w:lang w:val="fr-FR"/>
        </w:rPr>
        <w:t xml:space="preserve"> 2)</w:t>
      </w:r>
      <w:r>
        <w:rPr>
          <w:lang w:val="fr-FR"/>
        </w:rPr>
        <w:t xml:space="preserve"> du Pacte</w:t>
      </w:r>
      <w:r w:rsidRPr="007A718D">
        <w:rPr>
          <w:lang w:val="fr-FR"/>
        </w:rPr>
        <w:t>, lu seul et conjointement avec les articles 12 et 14 (par</w:t>
      </w:r>
      <w:r w:rsidRPr="006473EF">
        <w:rPr>
          <w:lang w:val="fr-FR"/>
        </w:rPr>
        <w:t>.</w:t>
      </w:r>
      <w:r w:rsidRPr="007A718D">
        <w:rPr>
          <w:lang w:val="fr-FR"/>
        </w:rPr>
        <w:t xml:space="preserve"> 1 et 2)</w:t>
      </w:r>
      <w:r w:rsidRPr="006473EF">
        <w:rPr>
          <w:lang w:val="fr-FR"/>
        </w:rPr>
        <w:t>.</w:t>
      </w:r>
      <w:r w:rsidRPr="007A718D">
        <w:rPr>
          <w:lang w:val="fr-FR"/>
        </w:rPr>
        <w:t xml:space="preserve"> Il affirme qu</w:t>
      </w:r>
      <w:r>
        <w:rPr>
          <w:lang w:val="fr-FR"/>
        </w:rPr>
        <w:t>’</w:t>
      </w:r>
      <w:r w:rsidRPr="007A718D">
        <w:rPr>
          <w:lang w:val="fr-FR"/>
        </w:rPr>
        <w:t>il y a également eu violation par l</w:t>
      </w:r>
      <w:r>
        <w:rPr>
          <w:lang w:val="fr-FR"/>
        </w:rPr>
        <w:t>’</w:t>
      </w:r>
      <w:r w:rsidRPr="007A718D">
        <w:rPr>
          <w:lang w:val="fr-FR"/>
        </w:rPr>
        <w:t>État partie des articles 12 et 14 (par</w:t>
      </w:r>
      <w:r w:rsidRPr="006473EF">
        <w:rPr>
          <w:lang w:val="fr-FR"/>
        </w:rPr>
        <w:t>.</w:t>
      </w:r>
      <w:r w:rsidRPr="007A718D">
        <w:rPr>
          <w:lang w:val="fr-FR"/>
        </w:rPr>
        <w:t xml:space="preserve"> 1 et 2)</w:t>
      </w:r>
      <w:r>
        <w:rPr>
          <w:lang w:val="fr-FR"/>
        </w:rPr>
        <w:t>, lus séparément</w:t>
      </w:r>
      <w:r w:rsidRPr="006473EF">
        <w:rPr>
          <w:lang w:val="fr-FR"/>
        </w:rPr>
        <w:t>.</w:t>
      </w:r>
      <w:r w:rsidRPr="007A718D">
        <w:rPr>
          <w:lang w:val="fr-FR"/>
        </w:rPr>
        <w:t xml:space="preserve"> Le Protocole facultatif se </w:t>
      </w:r>
      <w:r w:rsidRPr="007A718D">
        <w:rPr>
          <w:lang w:val="fr-FR"/>
        </w:rPr>
        <w:lastRenderedPageBreak/>
        <w:t>rapportant au Pacte est entré en vigueur pour l</w:t>
      </w:r>
      <w:r>
        <w:rPr>
          <w:lang w:val="fr-FR"/>
        </w:rPr>
        <w:t>’</w:t>
      </w:r>
      <w:r w:rsidRPr="007A718D">
        <w:rPr>
          <w:lang w:val="fr-FR"/>
        </w:rPr>
        <w:t>État partie le 20</w:t>
      </w:r>
      <w:r>
        <w:rPr>
          <w:lang w:val="fr-FR"/>
        </w:rPr>
        <w:t> </w:t>
      </w:r>
      <w:r w:rsidRPr="007A718D">
        <w:rPr>
          <w:lang w:val="fr-FR"/>
        </w:rPr>
        <w:t>février 1992</w:t>
      </w:r>
      <w:r w:rsidRPr="006473EF">
        <w:rPr>
          <w:lang w:val="fr-FR"/>
        </w:rPr>
        <w:t>.</w:t>
      </w:r>
      <w:r w:rsidRPr="007A718D">
        <w:rPr>
          <w:lang w:val="fr-FR"/>
        </w:rPr>
        <w:t xml:space="preserve"> L</w:t>
      </w:r>
      <w:r>
        <w:rPr>
          <w:lang w:val="fr-FR"/>
        </w:rPr>
        <w:t>’</w:t>
      </w:r>
      <w:r w:rsidRPr="007A718D">
        <w:rPr>
          <w:lang w:val="fr-FR"/>
        </w:rPr>
        <w:t>auteur est représenté par un conseil</w:t>
      </w:r>
      <w:r w:rsidRPr="006473EF">
        <w:rPr>
          <w:lang w:val="fr-FR"/>
        </w:rPr>
        <w:t>.</w:t>
      </w:r>
    </w:p>
    <w:p w14:paraId="1FA3AAB4" w14:textId="77777777" w:rsidR="00571F5C" w:rsidRPr="007A718D" w:rsidRDefault="00571F5C" w:rsidP="00571F5C">
      <w:pPr>
        <w:pStyle w:val="H23G"/>
      </w:pPr>
      <w:r w:rsidRPr="007A718D">
        <w:rPr>
          <w:lang w:val="fr-FR"/>
        </w:rPr>
        <w:tab/>
      </w:r>
      <w:r w:rsidRPr="007A718D">
        <w:rPr>
          <w:lang w:val="fr-FR"/>
        </w:rPr>
        <w:tab/>
        <w:t>Rappel des faits présentés par l</w:t>
      </w:r>
      <w:r>
        <w:rPr>
          <w:lang w:val="fr-FR"/>
        </w:rPr>
        <w:t>’</w:t>
      </w:r>
      <w:r w:rsidRPr="007A718D">
        <w:rPr>
          <w:lang w:val="fr-FR"/>
        </w:rPr>
        <w:t>auteur</w:t>
      </w:r>
    </w:p>
    <w:p w14:paraId="64D886EB" w14:textId="77777777" w:rsidR="00571F5C" w:rsidRPr="007A718D" w:rsidRDefault="00571F5C" w:rsidP="00571F5C">
      <w:pPr>
        <w:pStyle w:val="SingleTxtG"/>
      </w:pPr>
      <w:r w:rsidRPr="007A718D">
        <w:rPr>
          <w:lang w:val="fr-FR"/>
        </w:rPr>
        <w:t>2</w:t>
      </w:r>
      <w:r w:rsidRPr="006473EF">
        <w:rPr>
          <w:lang w:val="fr-FR"/>
        </w:rPr>
        <w:t>.</w:t>
      </w:r>
      <w:r w:rsidRPr="007A718D">
        <w:rPr>
          <w:lang w:val="fr-FR"/>
        </w:rPr>
        <w:t>1</w:t>
      </w:r>
      <w:r w:rsidRPr="007A718D">
        <w:rPr>
          <w:lang w:val="fr-FR"/>
        </w:rPr>
        <w:tab/>
        <w:t>L</w:t>
      </w:r>
      <w:r>
        <w:rPr>
          <w:lang w:val="fr-FR"/>
        </w:rPr>
        <w:t>’</w:t>
      </w:r>
      <w:r w:rsidRPr="007A718D">
        <w:rPr>
          <w:lang w:val="fr-FR"/>
        </w:rPr>
        <w:t>auteur affirme que lorsqu</w:t>
      </w:r>
      <w:r>
        <w:rPr>
          <w:lang w:val="fr-FR"/>
        </w:rPr>
        <w:t>’</w:t>
      </w:r>
      <w:r w:rsidRPr="007A718D">
        <w:rPr>
          <w:lang w:val="fr-FR"/>
        </w:rPr>
        <w:t>il était mineur, en Lituanie, il a été violé à plusieurs reprises par un prêtre de l</w:t>
      </w:r>
      <w:r>
        <w:rPr>
          <w:lang w:val="fr-FR"/>
        </w:rPr>
        <w:t>’</w:t>
      </w:r>
      <w:r w:rsidRPr="007A718D">
        <w:rPr>
          <w:lang w:val="fr-FR"/>
        </w:rPr>
        <w:t>Église catholique romaine</w:t>
      </w:r>
      <w:r w:rsidRPr="00571F5C">
        <w:rPr>
          <w:rStyle w:val="Appelnotedebasdep"/>
        </w:rPr>
        <w:footnoteReference w:id="4"/>
      </w:r>
      <w:r>
        <w:rPr>
          <w:lang w:val="fr-FR"/>
        </w:rPr>
        <w:t>. Le prêtre</w:t>
      </w:r>
      <w:r w:rsidRPr="007A718D">
        <w:rPr>
          <w:lang w:val="fr-FR"/>
        </w:rPr>
        <w:t xml:space="preserve"> conteste cette allégation</w:t>
      </w:r>
      <w:r w:rsidRPr="006473EF">
        <w:rPr>
          <w:lang w:val="fr-FR"/>
        </w:rPr>
        <w:t>.</w:t>
      </w:r>
      <w:r w:rsidRPr="007A718D">
        <w:rPr>
          <w:lang w:val="fr-FR"/>
        </w:rPr>
        <w:t xml:space="preserve"> Devenu adulte, il a envoyé une série de courriels audit prêtre entre juin et décembre 2007, puis en septembre 2009 et en mai 2010</w:t>
      </w:r>
      <w:r w:rsidRPr="006473EF">
        <w:rPr>
          <w:lang w:val="fr-FR"/>
        </w:rPr>
        <w:t>.</w:t>
      </w:r>
      <w:r w:rsidRPr="007A718D">
        <w:rPr>
          <w:lang w:val="fr-FR"/>
        </w:rPr>
        <w:t xml:space="preserve"> Il y demandait au prêtre de l</w:t>
      </w:r>
      <w:r>
        <w:rPr>
          <w:lang w:val="fr-FR"/>
        </w:rPr>
        <w:t>’</w:t>
      </w:r>
      <w:r w:rsidRPr="007A718D">
        <w:rPr>
          <w:lang w:val="fr-FR"/>
        </w:rPr>
        <w:t>indemniser pour les actes de</w:t>
      </w:r>
      <w:r>
        <w:rPr>
          <w:lang w:val="fr-FR"/>
        </w:rPr>
        <w:t> </w:t>
      </w:r>
      <w:r w:rsidRPr="007A718D">
        <w:rPr>
          <w:lang w:val="fr-FR"/>
        </w:rPr>
        <w:t>viol</w:t>
      </w:r>
      <w:r w:rsidRPr="006473EF">
        <w:rPr>
          <w:lang w:val="fr-FR"/>
        </w:rPr>
        <w:t>.</w:t>
      </w:r>
    </w:p>
    <w:p w14:paraId="61BCC2CE" w14:textId="77777777" w:rsidR="00571F5C" w:rsidRPr="007A718D" w:rsidRDefault="00571F5C" w:rsidP="00571F5C">
      <w:pPr>
        <w:pStyle w:val="SingleTxtG"/>
      </w:pPr>
      <w:r w:rsidRPr="007A718D">
        <w:rPr>
          <w:lang w:val="fr-FR"/>
        </w:rPr>
        <w:t>2</w:t>
      </w:r>
      <w:r w:rsidRPr="006473EF">
        <w:rPr>
          <w:lang w:val="fr-FR"/>
        </w:rPr>
        <w:t>.</w:t>
      </w:r>
      <w:r w:rsidRPr="007A718D">
        <w:rPr>
          <w:lang w:val="fr-FR"/>
        </w:rPr>
        <w:t>2</w:t>
      </w:r>
      <w:r w:rsidRPr="007A718D">
        <w:rPr>
          <w:lang w:val="fr-FR"/>
        </w:rPr>
        <w:tab/>
        <w:t>Le 31</w:t>
      </w:r>
      <w:r>
        <w:rPr>
          <w:lang w:val="fr-FR"/>
        </w:rPr>
        <w:t> </w:t>
      </w:r>
      <w:r w:rsidRPr="007A718D">
        <w:rPr>
          <w:lang w:val="fr-FR"/>
        </w:rPr>
        <w:t>mars 2010, le prêtre a déposé une plainte pénale contre l</w:t>
      </w:r>
      <w:r>
        <w:rPr>
          <w:lang w:val="fr-FR"/>
        </w:rPr>
        <w:t>’</w:t>
      </w:r>
      <w:r w:rsidRPr="007A718D">
        <w:rPr>
          <w:lang w:val="fr-FR"/>
        </w:rPr>
        <w:t>auteur pour harcèlement</w:t>
      </w:r>
      <w:r w:rsidRPr="006473EF">
        <w:rPr>
          <w:lang w:val="fr-FR"/>
        </w:rPr>
        <w:t>.</w:t>
      </w:r>
      <w:r w:rsidRPr="007A718D">
        <w:rPr>
          <w:lang w:val="fr-FR"/>
        </w:rPr>
        <w:t xml:space="preserve"> Pendant l</w:t>
      </w:r>
      <w:r>
        <w:rPr>
          <w:lang w:val="fr-FR"/>
        </w:rPr>
        <w:t>’</w:t>
      </w:r>
      <w:r w:rsidRPr="007A718D">
        <w:rPr>
          <w:lang w:val="fr-FR"/>
        </w:rPr>
        <w:t>enquête préliminaire, l</w:t>
      </w:r>
      <w:r>
        <w:rPr>
          <w:lang w:val="fr-FR"/>
        </w:rPr>
        <w:t>’</w:t>
      </w:r>
      <w:r w:rsidRPr="007A718D">
        <w:rPr>
          <w:lang w:val="fr-FR"/>
        </w:rPr>
        <w:t>auteur a été informé de son statut de suspect le 12</w:t>
      </w:r>
      <w:r>
        <w:rPr>
          <w:lang w:val="fr-FR"/>
        </w:rPr>
        <w:t> </w:t>
      </w:r>
      <w:r w:rsidRPr="007A718D">
        <w:rPr>
          <w:lang w:val="fr-FR"/>
        </w:rPr>
        <w:t>août 2010</w:t>
      </w:r>
      <w:r w:rsidRPr="00571F5C">
        <w:rPr>
          <w:rStyle w:val="Appelnotedebasdep"/>
        </w:rPr>
        <w:footnoteReference w:id="5"/>
      </w:r>
      <w:r w:rsidRPr="006473EF">
        <w:rPr>
          <w:lang w:val="fr-FR"/>
        </w:rPr>
        <w:t>.</w:t>
      </w:r>
    </w:p>
    <w:p w14:paraId="218A4615" w14:textId="77777777" w:rsidR="00571F5C" w:rsidRPr="007A718D" w:rsidRDefault="00571F5C" w:rsidP="00571F5C">
      <w:pPr>
        <w:pStyle w:val="SingleTxtG"/>
      </w:pPr>
      <w:r w:rsidRPr="007A718D">
        <w:rPr>
          <w:lang w:val="fr-FR"/>
        </w:rPr>
        <w:t>2</w:t>
      </w:r>
      <w:r w:rsidRPr="006473EF">
        <w:rPr>
          <w:lang w:val="fr-FR"/>
        </w:rPr>
        <w:t>.</w:t>
      </w:r>
      <w:r w:rsidRPr="007A718D">
        <w:rPr>
          <w:lang w:val="fr-FR"/>
        </w:rPr>
        <w:t>3</w:t>
      </w:r>
      <w:r w:rsidRPr="007A718D">
        <w:rPr>
          <w:lang w:val="fr-FR"/>
        </w:rPr>
        <w:tab/>
        <w:t>Pendant l</w:t>
      </w:r>
      <w:r>
        <w:rPr>
          <w:lang w:val="fr-FR"/>
        </w:rPr>
        <w:t>’</w:t>
      </w:r>
      <w:r w:rsidRPr="007A718D">
        <w:rPr>
          <w:lang w:val="fr-FR"/>
        </w:rPr>
        <w:t>enquête préliminaire, le bureau du procureur du district de Šiauliai a</w:t>
      </w:r>
      <w:r w:rsidRPr="00CA4DC0">
        <w:rPr>
          <w:lang w:val="fr-FR"/>
        </w:rPr>
        <w:t xml:space="preserve"> </w:t>
      </w:r>
      <w:r w:rsidRPr="007A718D">
        <w:rPr>
          <w:lang w:val="fr-FR"/>
        </w:rPr>
        <w:t>soumis l</w:t>
      </w:r>
      <w:r>
        <w:rPr>
          <w:lang w:val="fr-FR"/>
        </w:rPr>
        <w:t>’</w:t>
      </w:r>
      <w:r w:rsidRPr="007A718D">
        <w:rPr>
          <w:lang w:val="fr-FR"/>
        </w:rPr>
        <w:t>auteur à</w:t>
      </w:r>
      <w:r w:rsidRPr="007A718D">
        <w:rPr>
          <w:b/>
          <w:bCs/>
          <w:lang w:val="fr-FR"/>
        </w:rPr>
        <w:t xml:space="preserve"> </w:t>
      </w:r>
      <w:r w:rsidRPr="007A718D">
        <w:rPr>
          <w:lang w:val="fr-FR"/>
        </w:rPr>
        <w:t>une mesure de restriction de ses déplacements et lui a interdit de quitter le pays du 8</w:t>
      </w:r>
      <w:r>
        <w:rPr>
          <w:lang w:val="fr-FR"/>
        </w:rPr>
        <w:t> </w:t>
      </w:r>
      <w:r w:rsidRPr="007A718D">
        <w:rPr>
          <w:lang w:val="fr-FR"/>
        </w:rPr>
        <w:t>septembre 2010 au 7</w:t>
      </w:r>
      <w:r>
        <w:rPr>
          <w:lang w:val="fr-FR"/>
        </w:rPr>
        <w:t> </w:t>
      </w:r>
      <w:r w:rsidRPr="007A718D">
        <w:rPr>
          <w:lang w:val="fr-FR"/>
        </w:rPr>
        <w:t>janvier 2011</w:t>
      </w:r>
      <w:r w:rsidRPr="006473EF">
        <w:rPr>
          <w:lang w:val="fr-FR"/>
        </w:rPr>
        <w:t>.</w:t>
      </w:r>
      <w:r w:rsidRPr="007A718D">
        <w:rPr>
          <w:lang w:val="fr-FR"/>
        </w:rPr>
        <w:t xml:space="preserve"> L</w:t>
      </w:r>
      <w:r>
        <w:rPr>
          <w:lang w:val="fr-FR"/>
        </w:rPr>
        <w:t>’</w:t>
      </w:r>
      <w:r w:rsidRPr="007A718D">
        <w:rPr>
          <w:lang w:val="fr-FR"/>
        </w:rPr>
        <w:t>auteur était tenu de se présenter au poste de police tous les mardis et les vendredis</w:t>
      </w:r>
      <w:r w:rsidRPr="006473EF">
        <w:rPr>
          <w:lang w:val="fr-FR"/>
        </w:rPr>
        <w:t>.</w:t>
      </w:r>
      <w:r w:rsidRPr="007A718D">
        <w:rPr>
          <w:lang w:val="fr-FR"/>
        </w:rPr>
        <w:t xml:space="preserve"> La </w:t>
      </w:r>
      <w:r>
        <w:rPr>
          <w:lang w:val="fr-FR"/>
        </w:rPr>
        <w:t xml:space="preserve">mesure de </w:t>
      </w:r>
      <w:r w:rsidRPr="007A718D">
        <w:rPr>
          <w:lang w:val="fr-FR"/>
        </w:rPr>
        <w:t>restriction de ses déplacements a contrarié ses</w:t>
      </w:r>
      <w:r w:rsidRPr="007A718D">
        <w:rPr>
          <w:b/>
          <w:bCs/>
          <w:lang w:val="fr-FR"/>
        </w:rPr>
        <w:t xml:space="preserve"> </w:t>
      </w:r>
      <w:r w:rsidRPr="007A718D">
        <w:rPr>
          <w:lang w:val="fr-FR"/>
        </w:rPr>
        <w:t>projets d</w:t>
      </w:r>
      <w:r>
        <w:rPr>
          <w:lang w:val="fr-FR"/>
        </w:rPr>
        <w:t>’</w:t>
      </w:r>
      <w:r w:rsidRPr="007A718D">
        <w:rPr>
          <w:lang w:val="fr-FR"/>
        </w:rPr>
        <w:t>études universitaires au Danemark</w:t>
      </w:r>
      <w:r w:rsidRPr="006473EF">
        <w:rPr>
          <w:lang w:val="fr-FR"/>
        </w:rPr>
        <w:t>.</w:t>
      </w:r>
      <w:r w:rsidRPr="007A718D">
        <w:rPr>
          <w:lang w:val="fr-FR"/>
        </w:rPr>
        <w:t xml:space="preserve"> Par la suite, du 7</w:t>
      </w:r>
      <w:r>
        <w:rPr>
          <w:lang w:val="fr-FR"/>
        </w:rPr>
        <w:t> </w:t>
      </w:r>
      <w:r w:rsidRPr="007A718D">
        <w:rPr>
          <w:lang w:val="fr-FR"/>
        </w:rPr>
        <w:t>janvier 2011 au 7</w:t>
      </w:r>
      <w:r>
        <w:rPr>
          <w:lang w:val="fr-FR"/>
        </w:rPr>
        <w:t> </w:t>
      </w:r>
      <w:r w:rsidRPr="007A718D">
        <w:rPr>
          <w:lang w:val="fr-FR"/>
        </w:rPr>
        <w:t>juin 2011, l</w:t>
      </w:r>
      <w:r>
        <w:rPr>
          <w:lang w:val="fr-FR"/>
        </w:rPr>
        <w:t>’</w:t>
      </w:r>
      <w:r w:rsidRPr="007A718D">
        <w:rPr>
          <w:lang w:val="fr-FR"/>
        </w:rPr>
        <w:t>auteur a été soumis à une mesure de cautionnement, ce qui a restreint sa liberté de circulation</w:t>
      </w:r>
      <w:r w:rsidRPr="006473EF">
        <w:rPr>
          <w:lang w:val="fr-FR"/>
        </w:rPr>
        <w:t>.</w:t>
      </w:r>
      <w:r w:rsidRPr="007A718D">
        <w:rPr>
          <w:lang w:val="fr-FR"/>
        </w:rPr>
        <w:t xml:space="preserve"> S</w:t>
      </w:r>
      <w:r>
        <w:rPr>
          <w:lang w:val="fr-FR"/>
        </w:rPr>
        <w:t>’</w:t>
      </w:r>
      <w:r w:rsidRPr="007A718D">
        <w:rPr>
          <w:lang w:val="fr-FR"/>
        </w:rPr>
        <w:t>il ne répondait pas aux convocations des enquêteurs, il perdait une partie ou la totalité de la caution</w:t>
      </w:r>
      <w:r w:rsidRPr="00571F5C">
        <w:rPr>
          <w:rStyle w:val="Appelnotedebasdep"/>
        </w:rPr>
        <w:footnoteReference w:id="6"/>
      </w:r>
      <w:r w:rsidRPr="006473EF">
        <w:rPr>
          <w:lang w:val="fr-FR"/>
        </w:rPr>
        <w:t>.</w:t>
      </w:r>
    </w:p>
    <w:p w14:paraId="50AF6706" w14:textId="77777777" w:rsidR="00571F5C" w:rsidRPr="007A718D" w:rsidRDefault="00571F5C" w:rsidP="00571F5C">
      <w:pPr>
        <w:pStyle w:val="SingleTxtG"/>
        <w:tabs>
          <w:tab w:val="clear" w:pos="1701"/>
          <w:tab w:val="clear" w:pos="2268"/>
          <w:tab w:val="clear" w:pos="2835"/>
        </w:tabs>
        <w:rPr>
          <w:lang w:val="x-none"/>
        </w:rPr>
      </w:pPr>
      <w:r w:rsidRPr="007A718D">
        <w:rPr>
          <w:lang w:val="fr-FR"/>
        </w:rPr>
        <w:t>2</w:t>
      </w:r>
      <w:r w:rsidRPr="006473EF">
        <w:rPr>
          <w:lang w:val="fr-FR"/>
        </w:rPr>
        <w:t>.</w:t>
      </w:r>
      <w:r w:rsidRPr="007A718D">
        <w:rPr>
          <w:lang w:val="fr-FR"/>
        </w:rPr>
        <w:t>4</w:t>
      </w:r>
      <w:r w:rsidRPr="007A718D">
        <w:rPr>
          <w:lang w:val="fr-FR"/>
        </w:rPr>
        <w:tab/>
        <w:t>Le 7</w:t>
      </w:r>
      <w:r>
        <w:rPr>
          <w:lang w:val="fr-FR"/>
        </w:rPr>
        <w:t> </w:t>
      </w:r>
      <w:r w:rsidRPr="007A718D">
        <w:rPr>
          <w:lang w:val="fr-FR"/>
        </w:rPr>
        <w:t>juin 2011, le bureau du procureur du district de Šiauliai a mis fin à l</w:t>
      </w:r>
      <w:r>
        <w:rPr>
          <w:lang w:val="fr-FR"/>
        </w:rPr>
        <w:t>’</w:t>
      </w:r>
      <w:r w:rsidRPr="007A718D">
        <w:rPr>
          <w:lang w:val="fr-FR"/>
        </w:rPr>
        <w:t>enquête, aucune infraction n</w:t>
      </w:r>
      <w:r>
        <w:rPr>
          <w:lang w:val="fr-FR"/>
        </w:rPr>
        <w:t>’</w:t>
      </w:r>
      <w:r w:rsidRPr="007A718D">
        <w:rPr>
          <w:lang w:val="fr-FR"/>
        </w:rPr>
        <w:t>ayant été constatée</w:t>
      </w:r>
      <w:r w:rsidRPr="006473EF">
        <w:rPr>
          <w:lang w:val="fr-FR"/>
        </w:rPr>
        <w:t>.</w:t>
      </w:r>
      <w:r w:rsidRPr="007A718D">
        <w:rPr>
          <w:lang w:val="fr-FR"/>
        </w:rPr>
        <w:t xml:space="preserve"> Par la suite, l</w:t>
      </w:r>
      <w:r>
        <w:rPr>
          <w:lang w:val="fr-FR"/>
        </w:rPr>
        <w:t>’</w:t>
      </w:r>
      <w:r w:rsidRPr="007A718D">
        <w:rPr>
          <w:lang w:val="fr-FR"/>
        </w:rPr>
        <w:t>auteur a déposé plainte pour le préjudice causé par les mesures de surveillance</w:t>
      </w:r>
      <w:r w:rsidRPr="007A718D">
        <w:rPr>
          <w:b/>
          <w:bCs/>
          <w:lang w:val="fr-FR"/>
        </w:rPr>
        <w:t xml:space="preserve"> </w:t>
      </w:r>
      <w:r w:rsidRPr="007A718D">
        <w:rPr>
          <w:lang w:val="fr-FR"/>
        </w:rPr>
        <w:t>qui avaient restreint sa liberté de circulation</w:t>
      </w:r>
      <w:r w:rsidRPr="006473EF">
        <w:rPr>
          <w:lang w:val="fr-FR"/>
        </w:rPr>
        <w:t>.</w:t>
      </w:r>
      <w:r w:rsidRPr="007A718D">
        <w:rPr>
          <w:lang w:val="fr-FR"/>
        </w:rPr>
        <w:t xml:space="preserve"> Le 23</w:t>
      </w:r>
      <w:r>
        <w:rPr>
          <w:lang w:val="fr-FR"/>
        </w:rPr>
        <w:t> </w:t>
      </w:r>
      <w:r w:rsidRPr="007A718D">
        <w:rPr>
          <w:lang w:val="fr-FR"/>
        </w:rPr>
        <w:t>janvier 2017, le tribunal de district de Vilnius a rejeté la demande de dommages</w:t>
      </w:r>
      <w:r>
        <w:rPr>
          <w:lang w:val="fr-FR"/>
        </w:rPr>
        <w:noBreakHyphen/>
      </w:r>
      <w:r w:rsidRPr="007A718D">
        <w:rPr>
          <w:lang w:val="fr-FR"/>
        </w:rPr>
        <w:t>intérêts de l</w:t>
      </w:r>
      <w:r>
        <w:rPr>
          <w:lang w:val="fr-FR"/>
        </w:rPr>
        <w:t>’</w:t>
      </w:r>
      <w:r w:rsidRPr="007A718D">
        <w:rPr>
          <w:lang w:val="fr-FR"/>
        </w:rPr>
        <w:t>auteur</w:t>
      </w:r>
      <w:r w:rsidRPr="00571F5C">
        <w:rPr>
          <w:rStyle w:val="Appelnotedebasdep"/>
        </w:rPr>
        <w:footnoteReference w:id="7"/>
      </w:r>
      <w:r w:rsidRPr="006473EF">
        <w:rPr>
          <w:lang w:val="fr-FR"/>
        </w:rPr>
        <w:t>.</w:t>
      </w:r>
      <w:r w:rsidRPr="007A718D">
        <w:rPr>
          <w:lang w:val="fr-FR"/>
        </w:rPr>
        <w:t xml:space="preserve"> Le 5</w:t>
      </w:r>
      <w:r>
        <w:rPr>
          <w:lang w:val="fr-FR"/>
        </w:rPr>
        <w:t> </w:t>
      </w:r>
      <w:r w:rsidRPr="007A718D">
        <w:rPr>
          <w:lang w:val="fr-FR"/>
        </w:rPr>
        <w:t>avril 2018, le tribunal régional de Vilnius a rejeté le recours formé par l</w:t>
      </w:r>
      <w:r>
        <w:rPr>
          <w:lang w:val="fr-FR"/>
        </w:rPr>
        <w:t>’</w:t>
      </w:r>
      <w:r w:rsidRPr="007A718D">
        <w:rPr>
          <w:lang w:val="fr-FR"/>
        </w:rPr>
        <w:t>auteur contre la décision du tribunal de district</w:t>
      </w:r>
      <w:r w:rsidRPr="00571F5C">
        <w:rPr>
          <w:rStyle w:val="Appelnotedebasdep"/>
        </w:rPr>
        <w:footnoteReference w:id="8"/>
      </w:r>
      <w:r w:rsidRPr="006473EF">
        <w:rPr>
          <w:lang w:val="fr-FR"/>
        </w:rPr>
        <w:t>.</w:t>
      </w:r>
      <w:r w:rsidRPr="007A718D">
        <w:rPr>
          <w:lang w:val="fr-FR"/>
        </w:rPr>
        <w:t xml:space="preserve"> L</w:t>
      </w:r>
      <w:r>
        <w:rPr>
          <w:lang w:val="fr-FR"/>
        </w:rPr>
        <w:t>’</w:t>
      </w:r>
      <w:r w:rsidRPr="007A718D">
        <w:rPr>
          <w:lang w:val="fr-FR"/>
        </w:rPr>
        <w:t>auteur a alors</w:t>
      </w:r>
      <w:r w:rsidRPr="007A718D">
        <w:rPr>
          <w:b/>
          <w:bCs/>
          <w:lang w:val="fr-FR"/>
        </w:rPr>
        <w:t xml:space="preserve"> </w:t>
      </w:r>
      <w:r w:rsidRPr="007A718D">
        <w:rPr>
          <w:lang w:val="fr-FR"/>
        </w:rPr>
        <w:t>formé un recours en cassation contre la décision du tribunal régional</w:t>
      </w:r>
      <w:r w:rsidRPr="006473EF">
        <w:rPr>
          <w:lang w:val="fr-FR"/>
        </w:rPr>
        <w:t>.</w:t>
      </w:r>
      <w:r w:rsidRPr="007A718D">
        <w:rPr>
          <w:lang w:val="fr-FR"/>
        </w:rPr>
        <w:t xml:space="preserve"> Le 4</w:t>
      </w:r>
      <w:r>
        <w:rPr>
          <w:lang w:val="fr-FR"/>
        </w:rPr>
        <w:t> </w:t>
      </w:r>
      <w:r w:rsidRPr="007A718D">
        <w:rPr>
          <w:lang w:val="fr-FR"/>
        </w:rPr>
        <w:t>juillet 2018, la Cour suprême a déclaré le recours irrecevable</w:t>
      </w:r>
      <w:r w:rsidRPr="006473EF">
        <w:rPr>
          <w:lang w:val="fr-FR"/>
        </w:rPr>
        <w:t>.</w:t>
      </w:r>
    </w:p>
    <w:p w14:paraId="74103162" w14:textId="77777777" w:rsidR="00571F5C" w:rsidRPr="007A718D" w:rsidRDefault="00571F5C" w:rsidP="00571F5C">
      <w:pPr>
        <w:pStyle w:val="SingleTxtG"/>
        <w:rPr>
          <w:lang w:val="x-none"/>
        </w:rPr>
      </w:pPr>
      <w:r w:rsidRPr="007A718D">
        <w:rPr>
          <w:lang w:val="fr-FR"/>
        </w:rPr>
        <w:t>2</w:t>
      </w:r>
      <w:r w:rsidRPr="006473EF">
        <w:rPr>
          <w:lang w:val="fr-FR"/>
        </w:rPr>
        <w:t>.</w:t>
      </w:r>
      <w:r w:rsidRPr="007A718D">
        <w:rPr>
          <w:lang w:val="fr-FR"/>
        </w:rPr>
        <w:t>5</w:t>
      </w:r>
      <w:r w:rsidRPr="007A718D">
        <w:rPr>
          <w:lang w:val="fr-FR"/>
        </w:rPr>
        <w:tab/>
        <w:t>L</w:t>
      </w:r>
      <w:r>
        <w:rPr>
          <w:lang w:val="fr-FR"/>
        </w:rPr>
        <w:t>’</w:t>
      </w:r>
      <w:r w:rsidRPr="007A718D">
        <w:rPr>
          <w:lang w:val="fr-FR"/>
        </w:rPr>
        <w:t>auteur précise qu</w:t>
      </w:r>
      <w:r>
        <w:rPr>
          <w:lang w:val="fr-FR"/>
        </w:rPr>
        <w:t>’</w:t>
      </w:r>
      <w:r w:rsidRPr="007A718D">
        <w:rPr>
          <w:lang w:val="fr-FR"/>
        </w:rPr>
        <w:t>il n</w:t>
      </w:r>
      <w:r>
        <w:rPr>
          <w:lang w:val="fr-FR"/>
        </w:rPr>
        <w:t>’</w:t>
      </w:r>
      <w:r w:rsidRPr="007A718D">
        <w:rPr>
          <w:lang w:val="fr-FR"/>
        </w:rPr>
        <w:t>a pas soumis la même question à une autre instance internationale d</w:t>
      </w:r>
      <w:r>
        <w:rPr>
          <w:lang w:val="fr-FR"/>
        </w:rPr>
        <w:t>’</w:t>
      </w:r>
      <w:r w:rsidRPr="007A718D">
        <w:rPr>
          <w:lang w:val="fr-FR"/>
        </w:rPr>
        <w:t>enquête ou de règlement</w:t>
      </w:r>
      <w:r w:rsidRPr="006473EF">
        <w:rPr>
          <w:lang w:val="fr-FR"/>
        </w:rPr>
        <w:t>.</w:t>
      </w:r>
    </w:p>
    <w:p w14:paraId="2C43857F" w14:textId="77777777" w:rsidR="00571F5C" w:rsidRPr="007A718D" w:rsidRDefault="00571F5C" w:rsidP="00352B4E">
      <w:pPr>
        <w:pStyle w:val="H23G"/>
      </w:pPr>
      <w:r w:rsidRPr="007A718D">
        <w:rPr>
          <w:lang w:val="fr-FR"/>
        </w:rPr>
        <w:tab/>
      </w:r>
      <w:r w:rsidRPr="007A718D">
        <w:rPr>
          <w:lang w:val="fr-FR"/>
        </w:rPr>
        <w:tab/>
        <w:t>Teneur de la plainte</w:t>
      </w:r>
    </w:p>
    <w:p w14:paraId="35652D95" w14:textId="77777777" w:rsidR="00571F5C" w:rsidRPr="007A718D" w:rsidRDefault="00571F5C" w:rsidP="00571F5C">
      <w:pPr>
        <w:pStyle w:val="SingleTxtG"/>
        <w:rPr>
          <w:lang w:val="x-none"/>
        </w:rPr>
      </w:pPr>
      <w:r w:rsidRPr="007A718D">
        <w:rPr>
          <w:lang w:val="fr-FR"/>
        </w:rPr>
        <w:t>3</w:t>
      </w:r>
      <w:r w:rsidRPr="006473EF">
        <w:rPr>
          <w:lang w:val="fr-FR"/>
        </w:rPr>
        <w:t>.</w:t>
      </w:r>
      <w:r w:rsidRPr="007A718D">
        <w:rPr>
          <w:lang w:val="fr-FR"/>
        </w:rPr>
        <w:t>1</w:t>
      </w:r>
      <w:r w:rsidRPr="007A718D">
        <w:rPr>
          <w:lang w:val="fr-FR"/>
        </w:rPr>
        <w:tab/>
        <w:t>L</w:t>
      </w:r>
      <w:r>
        <w:rPr>
          <w:lang w:val="fr-FR"/>
        </w:rPr>
        <w:t>’</w:t>
      </w:r>
      <w:r w:rsidRPr="007A718D">
        <w:rPr>
          <w:lang w:val="fr-FR"/>
        </w:rPr>
        <w:t>auteur affirme que l</w:t>
      </w:r>
      <w:r>
        <w:rPr>
          <w:lang w:val="fr-FR"/>
        </w:rPr>
        <w:t>’</w:t>
      </w:r>
      <w:r w:rsidRPr="007A718D">
        <w:rPr>
          <w:lang w:val="fr-FR"/>
        </w:rPr>
        <w:t>État partie a violé les droits qu</w:t>
      </w:r>
      <w:r>
        <w:rPr>
          <w:lang w:val="fr-FR"/>
        </w:rPr>
        <w:t>’</w:t>
      </w:r>
      <w:r w:rsidRPr="007A718D">
        <w:rPr>
          <w:lang w:val="fr-FR"/>
        </w:rPr>
        <w:t>il tient des articles 2 (par</w:t>
      </w:r>
      <w:r w:rsidRPr="006473EF">
        <w:rPr>
          <w:lang w:val="fr-FR"/>
        </w:rPr>
        <w:t>.</w:t>
      </w:r>
      <w:r w:rsidRPr="007A718D">
        <w:rPr>
          <w:lang w:val="fr-FR"/>
        </w:rPr>
        <w:t xml:space="preserve"> 2), 12 et 14 (par</w:t>
      </w:r>
      <w:r w:rsidRPr="006473EF">
        <w:rPr>
          <w:lang w:val="fr-FR"/>
        </w:rPr>
        <w:t>.</w:t>
      </w:r>
      <w:r w:rsidRPr="007A718D">
        <w:rPr>
          <w:lang w:val="fr-FR"/>
        </w:rPr>
        <w:t xml:space="preserve"> 2) du Pacte</w:t>
      </w:r>
      <w:r w:rsidRPr="00571F5C">
        <w:rPr>
          <w:rStyle w:val="Appelnotedebasdep"/>
        </w:rPr>
        <w:footnoteReference w:id="9"/>
      </w:r>
      <w:r w:rsidRPr="006473EF">
        <w:rPr>
          <w:lang w:val="fr-FR"/>
        </w:rPr>
        <w:t>.</w:t>
      </w:r>
      <w:r w:rsidRPr="007A718D">
        <w:rPr>
          <w:lang w:val="fr-FR"/>
        </w:rPr>
        <w:t xml:space="preserve"> En ce qui concerne l</w:t>
      </w:r>
      <w:r>
        <w:rPr>
          <w:lang w:val="fr-FR"/>
        </w:rPr>
        <w:t>’</w:t>
      </w:r>
      <w:r w:rsidRPr="007A718D">
        <w:rPr>
          <w:lang w:val="fr-FR"/>
        </w:rPr>
        <w:t>article 12 du Pacte, il indique que l</w:t>
      </w:r>
      <w:r>
        <w:rPr>
          <w:lang w:val="fr-FR"/>
        </w:rPr>
        <w:t>’</w:t>
      </w:r>
      <w:r w:rsidRPr="007A718D">
        <w:rPr>
          <w:lang w:val="fr-FR"/>
        </w:rPr>
        <w:t>État partie lui a interdit de quitter la Lituanie et l</w:t>
      </w:r>
      <w:r>
        <w:rPr>
          <w:lang w:val="fr-FR"/>
        </w:rPr>
        <w:t>’</w:t>
      </w:r>
      <w:r w:rsidRPr="007A718D">
        <w:rPr>
          <w:lang w:val="fr-FR"/>
        </w:rPr>
        <w:t>a obligé à se présenter au poste de police deux fois par semaine pendant une période de quatre mois</w:t>
      </w:r>
      <w:r w:rsidRPr="006473EF">
        <w:rPr>
          <w:lang w:val="fr-FR"/>
        </w:rPr>
        <w:t>.</w:t>
      </w:r>
      <w:r w:rsidRPr="007A718D">
        <w:rPr>
          <w:lang w:val="fr-FR"/>
        </w:rPr>
        <w:t xml:space="preserve"> </w:t>
      </w:r>
      <w:r w:rsidRPr="00D8113D">
        <w:rPr>
          <w:lang w:val="fr-FR"/>
        </w:rPr>
        <w:t>La mesure de cautionnement à laquelle il a ensuite été soumis pour une période de cinq mois a également restreint sa liberté de circulation, étant donné qu</w:t>
      </w:r>
      <w:r>
        <w:rPr>
          <w:lang w:val="fr-FR"/>
        </w:rPr>
        <w:t>’</w:t>
      </w:r>
      <w:r w:rsidRPr="00D8113D">
        <w:rPr>
          <w:lang w:val="fr-FR"/>
        </w:rPr>
        <w:t>il aurait perdu une partie ou la</w:t>
      </w:r>
      <w:r w:rsidRPr="007A718D">
        <w:rPr>
          <w:lang w:val="fr-FR"/>
        </w:rPr>
        <w:t xml:space="preserve"> totalité de la caution s</w:t>
      </w:r>
      <w:r>
        <w:rPr>
          <w:lang w:val="fr-FR"/>
        </w:rPr>
        <w:t>’</w:t>
      </w:r>
      <w:r w:rsidRPr="007A718D">
        <w:rPr>
          <w:lang w:val="fr-FR"/>
        </w:rPr>
        <w:t>il ne s</w:t>
      </w:r>
      <w:r>
        <w:rPr>
          <w:lang w:val="fr-FR"/>
        </w:rPr>
        <w:t>’</w:t>
      </w:r>
      <w:r w:rsidRPr="007A718D">
        <w:rPr>
          <w:lang w:val="fr-FR"/>
        </w:rPr>
        <w:t xml:space="preserve">était </w:t>
      </w:r>
      <w:r w:rsidRPr="007A718D">
        <w:rPr>
          <w:lang w:val="fr-FR"/>
        </w:rPr>
        <w:lastRenderedPageBreak/>
        <w:t>pas présenté aux autorités comme il y était tenu</w:t>
      </w:r>
      <w:r w:rsidRPr="006473EF">
        <w:rPr>
          <w:lang w:val="fr-FR"/>
        </w:rPr>
        <w:t>.</w:t>
      </w:r>
      <w:r w:rsidRPr="007A718D">
        <w:rPr>
          <w:lang w:val="fr-FR"/>
        </w:rPr>
        <w:t xml:space="preserve"> En outre, bien que l</w:t>
      </w:r>
      <w:r>
        <w:rPr>
          <w:lang w:val="fr-FR"/>
        </w:rPr>
        <w:t>’</w:t>
      </w:r>
      <w:r w:rsidRPr="007A718D">
        <w:rPr>
          <w:lang w:val="fr-FR"/>
        </w:rPr>
        <w:t xml:space="preserve">enquête préliminaire le concernant ait </w:t>
      </w:r>
      <w:r>
        <w:rPr>
          <w:lang w:val="fr-FR"/>
        </w:rPr>
        <w:t xml:space="preserve">par la suite </w:t>
      </w:r>
      <w:r w:rsidRPr="007A718D">
        <w:rPr>
          <w:lang w:val="fr-FR"/>
        </w:rPr>
        <w:t>été abandonnée, il n</w:t>
      </w:r>
      <w:r>
        <w:rPr>
          <w:lang w:val="fr-FR"/>
        </w:rPr>
        <w:t>’</w:t>
      </w:r>
      <w:r w:rsidRPr="007A718D">
        <w:rPr>
          <w:lang w:val="fr-FR"/>
        </w:rPr>
        <w:t>a pas été indemnisé par l</w:t>
      </w:r>
      <w:r>
        <w:rPr>
          <w:lang w:val="fr-FR"/>
        </w:rPr>
        <w:t>’</w:t>
      </w:r>
      <w:r w:rsidRPr="007A718D">
        <w:rPr>
          <w:lang w:val="fr-FR"/>
        </w:rPr>
        <w:t>État partie pour la restriction de sa liberté de circulation</w:t>
      </w:r>
      <w:r w:rsidRPr="006473EF">
        <w:rPr>
          <w:lang w:val="fr-FR"/>
        </w:rPr>
        <w:t>.</w:t>
      </w:r>
    </w:p>
    <w:p w14:paraId="05927BCF" w14:textId="77777777" w:rsidR="00571F5C" w:rsidRPr="007A718D" w:rsidRDefault="00571F5C" w:rsidP="00571F5C">
      <w:pPr>
        <w:pStyle w:val="SingleTxtG"/>
        <w:rPr>
          <w:lang w:val="x-none"/>
        </w:rPr>
      </w:pPr>
      <w:r w:rsidRPr="007A718D">
        <w:rPr>
          <w:lang w:val="fr-FR"/>
        </w:rPr>
        <w:t>3</w:t>
      </w:r>
      <w:r w:rsidRPr="006473EF">
        <w:rPr>
          <w:lang w:val="fr-FR"/>
        </w:rPr>
        <w:t>.</w:t>
      </w:r>
      <w:r w:rsidRPr="007A718D">
        <w:rPr>
          <w:lang w:val="fr-FR"/>
        </w:rPr>
        <w:t>2</w:t>
      </w:r>
      <w:r w:rsidRPr="007A718D">
        <w:rPr>
          <w:lang w:val="fr-FR"/>
        </w:rPr>
        <w:tab/>
        <w:t>L</w:t>
      </w:r>
      <w:r>
        <w:rPr>
          <w:lang w:val="fr-FR"/>
        </w:rPr>
        <w:t>’</w:t>
      </w:r>
      <w:r w:rsidRPr="007A718D">
        <w:rPr>
          <w:lang w:val="fr-FR"/>
        </w:rPr>
        <w:t>auteur affirme qu</w:t>
      </w:r>
      <w:r>
        <w:rPr>
          <w:lang w:val="fr-FR"/>
        </w:rPr>
        <w:t>’</w:t>
      </w:r>
      <w:r w:rsidRPr="007A718D">
        <w:rPr>
          <w:lang w:val="fr-FR"/>
        </w:rPr>
        <w:t>en ne respectant pas la présomption d</w:t>
      </w:r>
      <w:r>
        <w:rPr>
          <w:lang w:val="fr-FR"/>
        </w:rPr>
        <w:t>’</w:t>
      </w:r>
      <w:r w:rsidRPr="007A718D">
        <w:rPr>
          <w:lang w:val="fr-FR"/>
        </w:rPr>
        <w:t>innocence, l</w:t>
      </w:r>
      <w:r>
        <w:rPr>
          <w:lang w:val="fr-FR"/>
        </w:rPr>
        <w:t>’</w:t>
      </w:r>
      <w:r w:rsidRPr="007A718D">
        <w:rPr>
          <w:lang w:val="fr-FR"/>
        </w:rPr>
        <w:t>État partie a violé les droits qu</w:t>
      </w:r>
      <w:r>
        <w:rPr>
          <w:lang w:val="fr-FR"/>
        </w:rPr>
        <w:t>’</w:t>
      </w:r>
      <w:r w:rsidRPr="007A718D">
        <w:rPr>
          <w:lang w:val="fr-FR"/>
        </w:rPr>
        <w:t>il tient de l</w:t>
      </w:r>
      <w:r>
        <w:rPr>
          <w:lang w:val="fr-FR"/>
        </w:rPr>
        <w:t>’</w:t>
      </w:r>
      <w:r w:rsidRPr="007A718D">
        <w:rPr>
          <w:lang w:val="fr-FR"/>
        </w:rPr>
        <w:t>article 14 (par</w:t>
      </w:r>
      <w:r w:rsidRPr="006473EF">
        <w:rPr>
          <w:lang w:val="fr-FR"/>
        </w:rPr>
        <w:t>.</w:t>
      </w:r>
      <w:r w:rsidRPr="007A718D">
        <w:rPr>
          <w:lang w:val="fr-FR"/>
        </w:rPr>
        <w:t xml:space="preserve"> 2) du Pacte, puisqu</w:t>
      </w:r>
      <w:r>
        <w:rPr>
          <w:lang w:val="fr-FR"/>
        </w:rPr>
        <w:t>’</w:t>
      </w:r>
      <w:r w:rsidRPr="007A718D">
        <w:rPr>
          <w:lang w:val="fr-FR"/>
        </w:rPr>
        <w:t xml:space="preserve">il </w:t>
      </w:r>
      <w:r>
        <w:rPr>
          <w:lang w:val="fr-FR"/>
        </w:rPr>
        <w:t>« </w:t>
      </w:r>
      <w:r w:rsidRPr="007A718D">
        <w:rPr>
          <w:lang w:val="fr-FR"/>
        </w:rPr>
        <w:t>est resté innocent après la clôture de l</w:t>
      </w:r>
      <w:r>
        <w:rPr>
          <w:lang w:val="fr-FR"/>
        </w:rPr>
        <w:t>’</w:t>
      </w:r>
      <w:r w:rsidRPr="007A718D">
        <w:rPr>
          <w:lang w:val="fr-FR"/>
        </w:rPr>
        <w:t>enquête préliminaire, tout en restant aussi partiellement puni par la restriction de</w:t>
      </w:r>
      <w:r w:rsidRPr="00D8113D">
        <w:rPr>
          <w:lang w:val="fr-FR"/>
        </w:rPr>
        <w:t xml:space="preserve"> </w:t>
      </w:r>
      <w:r w:rsidRPr="007A718D">
        <w:rPr>
          <w:lang w:val="fr-FR"/>
        </w:rPr>
        <w:t>sa liberté de circulation</w:t>
      </w:r>
      <w:r>
        <w:rPr>
          <w:lang w:val="fr-FR"/>
        </w:rPr>
        <w:t> »</w:t>
      </w:r>
      <w:r w:rsidRPr="006473EF">
        <w:rPr>
          <w:lang w:val="fr-FR"/>
        </w:rPr>
        <w:t>.</w:t>
      </w:r>
    </w:p>
    <w:p w14:paraId="5FA45D09" w14:textId="77777777" w:rsidR="00571F5C" w:rsidRPr="007A718D" w:rsidRDefault="00571F5C" w:rsidP="00571F5C">
      <w:pPr>
        <w:pStyle w:val="SingleTxtG"/>
        <w:rPr>
          <w:lang w:val="x-none"/>
        </w:rPr>
      </w:pPr>
      <w:r w:rsidRPr="007A718D">
        <w:rPr>
          <w:lang w:val="fr-FR"/>
        </w:rPr>
        <w:t>3</w:t>
      </w:r>
      <w:r w:rsidRPr="006473EF">
        <w:rPr>
          <w:lang w:val="fr-FR"/>
        </w:rPr>
        <w:t>.</w:t>
      </w:r>
      <w:r w:rsidRPr="007A718D">
        <w:rPr>
          <w:lang w:val="fr-FR"/>
        </w:rPr>
        <w:t>3</w:t>
      </w:r>
      <w:r w:rsidRPr="007A718D">
        <w:rPr>
          <w:lang w:val="fr-FR"/>
        </w:rPr>
        <w:tab/>
        <w:t>L</w:t>
      </w:r>
      <w:r>
        <w:rPr>
          <w:lang w:val="fr-FR"/>
        </w:rPr>
        <w:t>’</w:t>
      </w:r>
      <w:r w:rsidRPr="007A718D">
        <w:rPr>
          <w:lang w:val="fr-FR"/>
        </w:rPr>
        <w:t>auteur fait valoir qu</w:t>
      </w:r>
      <w:r>
        <w:rPr>
          <w:lang w:val="fr-FR"/>
        </w:rPr>
        <w:t>’</w:t>
      </w:r>
      <w:r w:rsidRPr="007A718D">
        <w:rPr>
          <w:lang w:val="fr-FR"/>
        </w:rPr>
        <w:t>en violation du droit à un recours utile que lui reconnaît l</w:t>
      </w:r>
      <w:r>
        <w:rPr>
          <w:lang w:val="fr-FR"/>
        </w:rPr>
        <w:t>’</w:t>
      </w:r>
      <w:r w:rsidRPr="007A718D">
        <w:rPr>
          <w:lang w:val="fr-FR"/>
        </w:rPr>
        <w:t>article</w:t>
      </w:r>
      <w:r>
        <w:rPr>
          <w:lang w:val="fr-FR"/>
        </w:rPr>
        <w:t> </w:t>
      </w:r>
      <w:r w:rsidRPr="007A718D">
        <w:rPr>
          <w:lang w:val="fr-FR"/>
        </w:rPr>
        <w:t>2 (par</w:t>
      </w:r>
      <w:r w:rsidRPr="006473EF">
        <w:rPr>
          <w:lang w:val="fr-FR"/>
        </w:rPr>
        <w:t>.</w:t>
      </w:r>
      <w:r w:rsidRPr="007A718D">
        <w:rPr>
          <w:lang w:val="fr-FR"/>
        </w:rPr>
        <w:t xml:space="preserve"> 2) du Pacte, l</w:t>
      </w:r>
      <w:r>
        <w:rPr>
          <w:lang w:val="fr-FR"/>
        </w:rPr>
        <w:t>’</w:t>
      </w:r>
      <w:r w:rsidRPr="007A718D">
        <w:rPr>
          <w:lang w:val="fr-FR"/>
        </w:rPr>
        <w:t>État partie ne l</w:t>
      </w:r>
      <w:r>
        <w:rPr>
          <w:lang w:val="fr-FR"/>
        </w:rPr>
        <w:t>’</w:t>
      </w:r>
      <w:r w:rsidRPr="007A718D">
        <w:rPr>
          <w:lang w:val="fr-FR"/>
        </w:rPr>
        <w:t>a jamais indemnisé pour le préjudice causé par les mesures de surveillance, bien qu</w:t>
      </w:r>
      <w:r>
        <w:rPr>
          <w:lang w:val="fr-FR"/>
        </w:rPr>
        <w:t>’</w:t>
      </w:r>
      <w:r w:rsidRPr="007A718D">
        <w:rPr>
          <w:lang w:val="fr-FR"/>
        </w:rPr>
        <w:t>il ait été reconnu innocent</w:t>
      </w:r>
      <w:r w:rsidRPr="006473EF">
        <w:rPr>
          <w:lang w:val="fr-FR"/>
        </w:rPr>
        <w:t>.</w:t>
      </w:r>
      <w:r w:rsidRPr="007A718D">
        <w:rPr>
          <w:lang w:val="fr-FR"/>
        </w:rPr>
        <w:t xml:space="preserve"> L</w:t>
      </w:r>
      <w:r>
        <w:rPr>
          <w:lang w:val="fr-FR"/>
        </w:rPr>
        <w:t>’</w:t>
      </w:r>
      <w:r w:rsidRPr="007A718D">
        <w:rPr>
          <w:lang w:val="fr-FR"/>
        </w:rPr>
        <w:t>État partie ne verse jamais de dommages-intérêts aux personnes qui ont été soupçonnées d</w:t>
      </w:r>
      <w:r>
        <w:rPr>
          <w:lang w:val="fr-FR"/>
        </w:rPr>
        <w:t>’</w:t>
      </w:r>
      <w:r w:rsidRPr="007A718D">
        <w:rPr>
          <w:lang w:val="fr-FR"/>
        </w:rPr>
        <w:t>infractions pénales puis reconnues innocentes, pour leur avoir imposé des mesures ayant restreint leur liberté de circulation</w:t>
      </w:r>
      <w:r w:rsidRPr="006473EF">
        <w:rPr>
          <w:lang w:val="fr-FR"/>
        </w:rPr>
        <w:t>.</w:t>
      </w:r>
    </w:p>
    <w:p w14:paraId="3F91FBE2" w14:textId="431EF5B1" w:rsidR="00571F5C" w:rsidRPr="007A718D" w:rsidRDefault="00571F5C" w:rsidP="00571F5C">
      <w:pPr>
        <w:pStyle w:val="SingleTxtG"/>
        <w:rPr>
          <w:lang w:val="x-none"/>
        </w:rPr>
      </w:pPr>
      <w:r w:rsidRPr="007A718D">
        <w:rPr>
          <w:lang w:val="fr-FR"/>
        </w:rPr>
        <w:t>3</w:t>
      </w:r>
      <w:r w:rsidRPr="006473EF">
        <w:rPr>
          <w:lang w:val="fr-FR"/>
        </w:rPr>
        <w:t>.</w:t>
      </w:r>
      <w:r w:rsidRPr="007A718D">
        <w:rPr>
          <w:lang w:val="fr-FR"/>
        </w:rPr>
        <w:t>4</w:t>
      </w:r>
      <w:r w:rsidRPr="007A718D">
        <w:rPr>
          <w:lang w:val="fr-FR"/>
        </w:rPr>
        <w:tab/>
      </w:r>
      <w:r>
        <w:rPr>
          <w:lang w:val="fr-FR"/>
        </w:rPr>
        <w:t>À</w:t>
      </w:r>
      <w:r w:rsidRPr="007A718D">
        <w:rPr>
          <w:lang w:val="fr-FR"/>
        </w:rPr>
        <w:t xml:space="preserve"> titre de réparation, l</w:t>
      </w:r>
      <w:r>
        <w:rPr>
          <w:lang w:val="fr-FR"/>
        </w:rPr>
        <w:t>’</w:t>
      </w:r>
      <w:r w:rsidRPr="007A718D">
        <w:rPr>
          <w:lang w:val="fr-FR"/>
        </w:rPr>
        <w:t>auteur demande à l</w:t>
      </w:r>
      <w:r>
        <w:rPr>
          <w:lang w:val="fr-FR"/>
        </w:rPr>
        <w:t>’</w:t>
      </w:r>
      <w:r w:rsidRPr="007A718D">
        <w:rPr>
          <w:lang w:val="fr-FR"/>
        </w:rPr>
        <w:t>État partie</w:t>
      </w:r>
      <w:r>
        <w:rPr>
          <w:lang w:val="fr-FR"/>
        </w:rPr>
        <w:t> </w:t>
      </w:r>
      <w:r w:rsidRPr="007A718D">
        <w:rPr>
          <w:lang w:val="fr-FR"/>
        </w:rPr>
        <w:t>: a) soit de lui verser des dommages-intérêts d</w:t>
      </w:r>
      <w:r>
        <w:rPr>
          <w:lang w:val="fr-FR"/>
        </w:rPr>
        <w:t>’</w:t>
      </w:r>
      <w:r w:rsidRPr="007A718D">
        <w:rPr>
          <w:lang w:val="fr-FR"/>
        </w:rPr>
        <w:t>un montant de 30 000</w:t>
      </w:r>
      <w:r>
        <w:rPr>
          <w:lang w:val="fr-FR"/>
        </w:rPr>
        <w:t> </w:t>
      </w:r>
      <w:r w:rsidRPr="007A718D">
        <w:rPr>
          <w:lang w:val="fr-FR"/>
        </w:rPr>
        <w:t>euros, soit de rouvrir son dossier</w:t>
      </w:r>
      <w:r>
        <w:rPr>
          <w:lang w:val="fr-FR"/>
        </w:rPr>
        <w:t> </w:t>
      </w:r>
      <w:r w:rsidRPr="007A718D">
        <w:rPr>
          <w:lang w:val="fr-FR"/>
        </w:rPr>
        <w:t>; b)</w:t>
      </w:r>
      <w:r>
        <w:rPr>
          <w:lang w:val="fr-FR"/>
        </w:rPr>
        <w:t> </w:t>
      </w:r>
      <w:r w:rsidRPr="007A718D">
        <w:rPr>
          <w:lang w:val="fr-FR"/>
        </w:rPr>
        <w:t>de</w:t>
      </w:r>
      <w:r>
        <w:rPr>
          <w:lang w:val="fr-FR"/>
        </w:rPr>
        <w:t> </w:t>
      </w:r>
      <w:r w:rsidRPr="007A718D">
        <w:rPr>
          <w:lang w:val="fr-FR"/>
        </w:rPr>
        <w:t>rembourser les frais d</w:t>
      </w:r>
      <w:r>
        <w:rPr>
          <w:lang w:val="fr-FR"/>
        </w:rPr>
        <w:t>’</w:t>
      </w:r>
      <w:r w:rsidRPr="007A718D">
        <w:rPr>
          <w:lang w:val="fr-FR"/>
        </w:rPr>
        <w:t>un montant de 10 000</w:t>
      </w:r>
      <w:r>
        <w:rPr>
          <w:lang w:val="fr-FR"/>
        </w:rPr>
        <w:t> </w:t>
      </w:r>
      <w:r w:rsidRPr="007A718D">
        <w:rPr>
          <w:lang w:val="fr-FR"/>
        </w:rPr>
        <w:t>euros ; c) de sensibiliser les fonctionnaires et les juges au Pacte et à son caractère contraignant ; d) de révoquer les fonctionnaires qui</w:t>
      </w:r>
      <w:r w:rsidRPr="007A718D">
        <w:rPr>
          <w:b/>
          <w:bCs/>
          <w:lang w:val="fr-FR"/>
        </w:rPr>
        <w:t xml:space="preserve"> </w:t>
      </w:r>
      <w:r w:rsidRPr="007A718D">
        <w:rPr>
          <w:lang w:val="fr-FR"/>
        </w:rPr>
        <w:t>nient le caractère contraignant</w:t>
      </w:r>
      <w:r w:rsidRPr="007A718D">
        <w:rPr>
          <w:b/>
          <w:bCs/>
          <w:lang w:val="fr-FR"/>
        </w:rPr>
        <w:t xml:space="preserve"> </w:t>
      </w:r>
      <w:r w:rsidRPr="007A718D">
        <w:rPr>
          <w:lang w:val="fr-FR"/>
        </w:rPr>
        <w:t>du Pacte et des constatations et observations finales du Comité ; e) de veiller à ce que les violations du Pacte fassent sans délai l</w:t>
      </w:r>
      <w:r>
        <w:rPr>
          <w:lang w:val="fr-FR"/>
        </w:rPr>
        <w:t>’</w:t>
      </w:r>
      <w:r w:rsidRPr="007A718D">
        <w:rPr>
          <w:lang w:val="fr-FR"/>
        </w:rPr>
        <w:t>objet d</w:t>
      </w:r>
      <w:r>
        <w:rPr>
          <w:lang w:val="fr-FR"/>
        </w:rPr>
        <w:t>’</w:t>
      </w:r>
      <w:r w:rsidRPr="007A718D">
        <w:rPr>
          <w:lang w:val="fr-FR"/>
        </w:rPr>
        <w:t>une enquête approfondie et impartiale, et que les auteurs de ces violations aient à répondre de leurs actes ; f) de veiller à ce que des violations analogues ne se reproduisent pas</w:t>
      </w:r>
      <w:r w:rsidRPr="006473EF">
        <w:rPr>
          <w:lang w:val="fr-FR"/>
        </w:rPr>
        <w:t>.</w:t>
      </w:r>
    </w:p>
    <w:p w14:paraId="5E78F03B" w14:textId="77777777" w:rsidR="00571F5C" w:rsidRPr="007A718D" w:rsidRDefault="00571F5C" w:rsidP="005E2EF4">
      <w:pPr>
        <w:pStyle w:val="H23G"/>
      </w:pPr>
      <w:r w:rsidRPr="007A718D">
        <w:rPr>
          <w:lang w:val="fr-FR"/>
        </w:rPr>
        <w:tab/>
      </w:r>
      <w:r w:rsidRPr="007A718D">
        <w:rPr>
          <w:lang w:val="fr-FR"/>
        </w:rPr>
        <w:tab/>
        <w:t>Observations de l</w:t>
      </w:r>
      <w:r>
        <w:rPr>
          <w:lang w:val="fr-FR"/>
        </w:rPr>
        <w:t>’</w:t>
      </w:r>
      <w:r w:rsidRPr="007A718D">
        <w:rPr>
          <w:lang w:val="fr-FR"/>
        </w:rPr>
        <w:t>État partie sur la recevabilité et sur le fond</w:t>
      </w:r>
    </w:p>
    <w:p w14:paraId="60A4ED2F"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1</w:t>
      </w:r>
      <w:r w:rsidRPr="007A718D">
        <w:rPr>
          <w:lang w:val="fr-FR"/>
        </w:rPr>
        <w:tab/>
        <w:t>Dans ses observations en date du 18</w:t>
      </w:r>
      <w:r>
        <w:rPr>
          <w:lang w:val="fr-FR"/>
        </w:rPr>
        <w:t> </w:t>
      </w:r>
      <w:r w:rsidRPr="007A718D">
        <w:rPr>
          <w:lang w:val="fr-FR"/>
        </w:rPr>
        <w:t>septembre 2019, l</w:t>
      </w:r>
      <w:r>
        <w:rPr>
          <w:lang w:val="fr-FR"/>
        </w:rPr>
        <w:t>’</w:t>
      </w:r>
      <w:r w:rsidRPr="007A718D">
        <w:rPr>
          <w:lang w:val="fr-FR"/>
        </w:rPr>
        <w:t>État partie affirme que tous les griefs de l</w:t>
      </w:r>
      <w:r>
        <w:rPr>
          <w:lang w:val="fr-FR"/>
        </w:rPr>
        <w:t>’</w:t>
      </w:r>
      <w:r w:rsidRPr="007A718D">
        <w:rPr>
          <w:lang w:val="fr-FR"/>
        </w:rPr>
        <w:t>auteur sont irrecevables parce qu</w:t>
      </w:r>
      <w:r>
        <w:rPr>
          <w:lang w:val="fr-FR"/>
        </w:rPr>
        <w:t>’</w:t>
      </w:r>
      <w:r w:rsidRPr="007A718D">
        <w:rPr>
          <w:lang w:val="fr-FR"/>
        </w:rPr>
        <w:t>insuffisamment étayés et que l</w:t>
      </w:r>
      <w:r>
        <w:rPr>
          <w:lang w:val="fr-FR"/>
        </w:rPr>
        <w:t>’</w:t>
      </w:r>
      <w:r w:rsidRPr="007A718D">
        <w:rPr>
          <w:lang w:val="fr-FR"/>
        </w:rPr>
        <w:t>auteur n</w:t>
      </w:r>
      <w:r>
        <w:rPr>
          <w:lang w:val="fr-FR"/>
        </w:rPr>
        <w:t>’</w:t>
      </w:r>
      <w:r w:rsidRPr="007A718D">
        <w:rPr>
          <w:lang w:val="fr-FR"/>
        </w:rPr>
        <w:t>a pas épuisé les recours internes disponibles</w:t>
      </w:r>
      <w:r w:rsidRPr="006473EF">
        <w:rPr>
          <w:lang w:val="fr-FR"/>
        </w:rPr>
        <w:t>.</w:t>
      </w:r>
      <w:r w:rsidRPr="007A718D">
        <w:rPr>
          <w:lang w:val="fr-FR"/>
        </w:rPr>
        <w:t xml:space="preserve"> Il ajoute que les griefs que l</w:t>
      </w:r>
      <w:r>
        <w:rPr>
          <w:lang w:val="fr-FR"/>
        </w:rPr>
        <w:t>’</w:t>
      </w:r>
      <w:r w:rsidRPr="007A718D">
        <w:rPr>
          <w:lang w:val="fr-FR"/>
        </w:rPr>
        <w:t>auteur tire des articles 2 (par</w:t>
      </w:r>
      <w:r w:rsidRPr="006473EF">
        <w:rPr>
          <w:lang w:val="fr-FR"/>
        </w:rPr>
        <w:t>.</w:t>
      </w:r>
      <w:r w:rsidRPr="007A718D">
        <w:rPr>
          <w:lang w:val="fr-FR"/>
        </w:rPr>
        <w:t xml:space="preserve"> 2) et 12 du Pacte sont irrecevables </w:t>
      </w:r>
      <w:r w:rsidRPr="007A718D">
        <w:rPr>
          <w:i/>
          <w:iCs/>
          <w:lang w:val="fr-FR"/>
        </w:rPr>
        <w:t>ratione materiae</w:t>
      </w:r>
      <w:r w:rsidRPr="006473EF">
        <w:rPr>
          <w:lang w:val="fr-FR"/>
        </w:rPr>
        <w:t>.</w:t>
      </w:r>
      <w:r w:rsidRPr="007A718D">
        <w:rPr>
          <w:lang w:val="fr-FR"/>
        </w:rPr>
        <w:t xml:space="preserve"> Les griefs de l</w:t>
      </w:r>
      <w:r>
        <w:rPr>
          <w:lang w:val="fr-FR"/>
        </w:rPr>
        <w:t>’</w:t>
      </w:r>
      <w:r w:rsidRPr="007A718D">
        <w:rPr>
          <w:lang w:val="fr-FR"/>
        </w:rPr>
        <w:t>auteur sont également sans fondement</w:t>
      </w:r>
      <w:r w:rsidRPr="006473EF">
        <w:rPr>
          <w:lang w:val="fr-FR"/>
        </w:rPr>
        <w:t>.</w:t>
      </w:r>
    </w:p>
    <w:p w14:paraId="322C178A" w14:textId="77777777" w:rsidR="00571F5C" w:rsidRPr="007A718D" w:rsidRDefault="00571F5C" w:rsidP="00571F5C">
      <w:pPr>
        <w:pStyle w:val="H4G"/>
      </w:pPr>
      <w:r w:rsidRPr="007A718D">
        <w:rPr>
          <w:lang w:val="fr-FR"/>
        </w:rPr>
        <w:tab/>
      </w:r>
      <w:r w:rsidRPr="007A718D">
        <w:rPr>
          <w:lang w:val="fr-FR"/>
        </w:rPr>
        <w:tab/>
        <w:t>Éléments</w:t>
      </w:r>
      <w:r w:rsidRPr="007A718D">
        <w:rPr>
          <w:b/>
          <w:bCs/>
          <w:lang w:val="fr-FR"/>
        </w:rPr>
        <w:t xml:space="preserve"> </w:t>
      </w:r>
      <w:r w:rsidRPr="007A718D">
        <w:rPr>
          <w:lang w:val="fr-FR"/>
        </w:rPr>
        <w:t>factuels</w:t>
      </w:r>
    </w:p>
    <w:p w14:paraId="608FDF73"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2</w:t>
      </w:r>
      <w:r w:rsidRPr="007A718D">
        <w:rPr>
          <w:lang w:val="fr-FR"/>
        </w:rPr>
        <w:tab/>
        <w:t>Selon l</w:t>
      </w:r>
      <w:r>
        <w:rPr>
          <w:lang w:val="fr-FR"/>
        </w:rPr>
        <w:t>’</w:t>
      </w:r>
      <w:r w:rsidRPr="007A718D">
        <w:rPr>
          <w:lang w:val="fr-FR"/>
        </w:rPr>
        <w:t>État partie, en 2004 et 2008, l</w:t>
      </w:r>
      <w:r>
        <w:rPr>
          <w:lang w:val="fr-FR"/>
        </w:rPr>
        <w:t>’</w:t>
      </w:r>
      <w:r w:rsidRPr="007A718D">
        <w:rPr>
          <w:lang w:val="fr-FR"/>
        </w:rPr>
        <w:t>auteur a demandé à un évêque d</w:t>
      </w:r>
      <w:r>
        <w:rPr>
          <w:lang w:val="fr-FR"/>
        </w:rPr>
        <w:t>’</w:t>
      </w:r>
      <w:r w:rsidRPr="007A718D">
        <w:rPr>
          <w:lang w:val="fr-FR"/>
        </w:rPr>
        <w:t xml:space="preserve">enquêter sur des actes </w:t>
      </w:r>
      <w:r>
        <w:rPr>
          <w:lang w:val="fr-FR"/>
        </w:rPr>
        <w:t>qu’</w:t>
      </w:r>
      <w:r w:rsidRPr="007A718D">
        <w:rPr>
          <w:lang w:val="fr-FR"/>
        </w:rPr>
        <w:t xml:space="preserve">un prêtre </w:t>
      </w:r>
      <w:r>
        <w:rPr>
          <w:lang w:val="fr-FR"/>
        </w:rPr>
        <w:t xml:space="preserve">aurait </w:t>
      </w:r>
      <w:r w:rsidRPr="007A718D">
        <w:rPr>
          <w:lang w:val="fr-FR"/>
        </w:rPr>
        <w:t>commis à son encontre</w:t>
      </w:r>
      <w:r w:rsidRPr="006473EF">
        <w:rPr>
          <w:lang w:val="fr-FR"/>
        </w:rPr>
        <w:t>.</w:t>
      </w:r>
      <w:r w:rsidRPr="007A718D">
        <w:rPr>
          <w:lang w:val="fr-FR"/>
        </w:rPr>
        <w:t xml:space="preserve"> En décembre 2007, l</w:t>
      </w:r>
      <w:r>
        <w:rPr>
          <w:lang w:val="fr-FR"/>
        </w:rPr>
        <w:t>’</w:t>
      </w:r>
      <w:r w:rsidRPr="007A718D">
        <w:rPr>
          <w:lang w:val="fr-FR"/>
        </w:rPr>
        <w:t>auteur a demandé à un procureur d</w:t>
      </w:r>
      <w:r>
        <w:rPr>
          <w:lang w:val="fr-FR"/>
        </w:rPr>
        <w:t>’</w:t>
      </w:r>
      <w:r w:rsidRPr="007A718D">
        <w:rPr>
          <w:lang w:val="fr-FR"/>
        </w:rPr>
        <w:t>ouvrir une enquête préliminaire visant le prêtre, et a affirmé que celui-ci avait tenté de l</w:t>
      </w:r>
      <w:r>
        <w:rPr>
          <w:lang w:val="fr-FR"/>
        </w:rPr>
        <w:t>’</w:t>
      </w:r>
      <w:r w:rsidRPr="007A718D">
        <w:rPr>
          <w:lang w:val="fr-FR"/>
        </w:rPr>
        <w:t>agresser sexuellement à deux reprises au début des années 1990</w:t>
      </w:r>
      <w:r w:rsidRPr="006473EF">
        <w:rPr>
          <w:lang w:val="fr-FR"/>
        </w:rPr>
        <w:t>.</w:t>
      </w:r>
      <w:r w:rsidRPr="007A718D">
        <w:rPr>
          <w:lang w:val="fr-FR"/>
        </w:rPr>
        <w:t xml:space="preserve"> Plus précisément, l</w:t>
      </w:r>
      <w:r>
        <w:rPr>
          <w:lang w:val="fr-FR"/>
        </w:rPr>
        <w:t>’</w:t>
      </w:r>
      <w:r w:rsidRPr="007A718D">
        <w:rPr>
          <w:lang w:val="fr-FR"/>
        </w:rPr>
        <w:t>auteur a affirmé que le prêtre avait tenté d</w:t>
      </w:r>
      <w:r>
        <w:rPr>
          <w:lang w:val="fr-FR"/>
        </w:rPr>
        <w:t>’</w:t>
      </w:r>
      <w:r w:rsidRPr="007A718D">
        <w:rPr>
          <w:lang w:val="fr-FR"/>
        </w:rPr>
        <w:t>introduire sa langue dans sa bouche et l</w:t>
      </w:r>
      <w:r>
        <w:rPr>
          <w:lang w:val="fr-FR"/>
        </w:rPr>
        <w:t>’</w:t>
      </w:r>
      <w:r w:rsidRPr="007A718D">
        <w:rPr>
          <w:lang w:val="fr-FR"/>
        </w:rPr>
        <w:t>avait forcé à ouvrir la bouche</w:t>
      </w:r>
      <w:r w:rsidRPr="006473EF">
        <w:rPr>
          <w:lang w:val="fr-FR"/>
        </w:rPr>
        <w:t>.</w:t>
      </w:r>
      <w:r w:rsidRPr="007A718D">
        <w:rPr>
          <w:lang w:val="fr-FR"/>
        </w:rPr>
        <w:t xml:space="preserve"> En janvier 2008, le procureur a rejeté la demande d</w:t>
      </w:r>
      <w:r>
        <w:rPr>
          <w:lang w:val="fr-FR"/>
        </w:rPr>
        <w:t>’</w:t>
      </w:r>
      <w:r w:rsidRPr="007A718D">
        <w:rPr>
          <w:lang w:val="fr-FR"/>
        </w:rPr>
        <w:t>ouverture d</w:t>
      </w:r>
      <w:r>
        <w:rPr>
          <w:lang w:val="fr-FR"/>
        </w:rPr>
        <w:t>’</w:t>
      </w:r>
      <w:r w:rsidRPr="007A718D">
        <w:rPr>
          <w:lang w:val="fr-FR"/>
        </w:rPr>
        <w:t>une enquête préliminaire</w:t>
      </w:r>
      <w:r w:rsidRPr="006473EF">
        <w:rPr>
          <w:lang w:val="fr-FR"/>
        </w:rPr>
        <w:t>.</w:t>
      </w:r>
      <w:r w:rsidRPr="007A718D">
        <w:rPr>
          <w:lang w:val="fr-FR"/>
        </w:rPr>
        <w:t xml:space="preserve"> Il a fondé cette décision sur l</w:t>
      </w:r>
      <w:r>
        <w:rPr>
          <w:lang w:val="fr-FR"/>
        </w:rPr>
        <w:t>’</w:t>
      </w:r>
      <w:r w:rsidRPr="007A718D">
        <w:rPr>
          <w:lang w:val="fr-FR"/>
        </w:rPr>
        <w:t>expiration du délai légal de dix</w:t>
      </w:r>
      <w:r>
        <w:rPr>
          <w:lang w:val="fr-FR"/>
        </w:rPr>
        <w:t> </w:t>
      </w:r>
      <w:r w:rsidRPr="007A718D">
        <w:rPr>
          <w:lang w:val="fr-FR"/>
        </w:rPr>
        <w:t>ans pour signaler une infraction pénale (l</w:t>
      </w:r>
      <w:r>
        <w:rPr>
          <w:lang w:val="fr-FR"/>
        </w:rPr>
        <w:t>’</w:t>
      </w:r>
      <w:r w:rsidRPr="007A718D">
        <w:rPr>
          <w:lang w:val="fr-FR"/>
        </w:rPr>
        <w:t>infraction a</w:t>
      </w:r>
      <w:r>
        <w:rPr>
          <w:lang w:val="fr-FR"/>
        </w:rPr>
        <w:t>ur</w:t>
      </w:r>
      <w:r w:rsidRPr="007A718D">
        <w:rPr>
          <w:lang w:val="fr-FR"/>
        </w:rPr>
        <w:t>ait été commise entre 14 et 17</w:t>
      </w:r>
      <w:r>
        <w:rPr>
          <w:lang w:val="fr-FR"/>
        </w:rPr>
        <w:t> </w:t>
      </w:r>
      <w:r w:rsidRPr="007A718D">
        <w:rPr>
          <w:lang w:val="fr-FR"/>
        </w:rPr>
        <w:t>ans avant que l</w:t>
      </w:r>
      <w:r>
        <w:rPr>
          <w:lang w:val="fr-FR"/>
        </w:rPr>
        <w:t>’</w:t>
      </w:r>
      <w:r w:rsidRPr="007A718D">
        <w:rPr>
          <w:lang w:val="fr-FR"/>
        </w:rPr>
        <w:t>auteur ne la signale), et sur le refus de l</w:t>
      </w:r>
      <w:r>
        <w:rPr>
          <w:lang w:val="fr-FR"/>
        </w:rPr>
        <w:t>’</w:t>
      </w:r>
      <w:r w:rsidRPr="007A718D">
        <w:rPr>
          <w:lang w:val="fr-FR"/>
        </w:rPr>
        <w:t>auteur de fournir au procureur toute la correspondance qu</w:t>
      </w:r>
      <w:r>
        <w:rPr>
          <w:lang w:val="fr-FR"/>
        </w:rPr>
        <w:t>’</w:t>
      </w:r>
      <w:r w:rsidRPr="007A718D">
        <w:rPr>
          <w:lang w:val="fr-FR"/>
        </w:rPr>
        <w:t>il avait envoyée à l</w:t>
      </w:r>
      <w:r>
        <w:rPr>
          <w:lang w:val="fr-FR"/>
        </w:rPr>
        <w:t>’</w:t>
      </w:r>
      <w:r w:rsidRPr="007A718D">
        <w:rPr>
          <w:lang w:val="fr-FR"/>
        </w:rPr>
        <w:t>évêque</w:t>
      </w:r>
      <w:r w:rsidRPr="006473EF">
        <w:rPr>
          <w:lang w:val="fr-FR"/>
        </w:rPr>
        <w:t>.</w:t>
      </w:r>
    </w:p>
    <w:p w14:paraId="0A7C2236" w14:textId="22A3408B"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3</w:t>
      </w:r>
      <w:r w:rsidRPr="007A718D">
        <w:rPr>
          <w:lang w:val="fr-FR"/>
        </w:rPr>
        <w:tab/>
        <w:t>En avril 2010, le prêtre accusé a demandé au procureur d</w:t>
      </w:r>
      <w:r>
        <w:rPr>
          <w:lang w:val="fr-FR"/>
        </w:rPr>
        <w:t>’</w:t>
      </w:r>
      <w:r w:rsidRPr="007A718D">
        <w:rPr>
          <w:lang w:val="fr-FR"/>
        </w:rPr>
        <w:t>ouvrir une enquête préliminaire visant l</w:t>
      </w:r>
      <w:r>
        <w:rPr>
          <w:lang w:val="fr-FR"/>
        </w:rPr>
        <w:t>’</w:t>
      </w:r>
      <w:r w:rsidRPr="007A718D">
        <w:rPr>
          <w:lang w:val="fr-FR"/>
        </w:rPr>
        <w:t>auteur, pour extorsion et informations mensongères concernant une infraction présumée</w:t>
      </w:r>
      <w:r w:rsidRPr="006473EF">
        <w:rPr>
          <w:lang w:val="fr-FR"/>
        </w:rPr>
        <w:t>.</w:t>
      </w:r>
      <w:r w:rsidRPr="007A718D">
        <w:rPr>
          <w:lang w:val="fr-FR"/>
        </w:rPr>
        <w:t xml:space="preserve"> </w:t>
      </w:r>
      <w:r w:rsidRPr="00C44CB3">
        <w:rPr>
          <w:lang w:val="fr-FR"/>
        </w:rPr>
        <w:t>Le prêtre a déclaré qu</w:t>
      </w:r>
      <w:r>
        <w:rPr>
          <w:lang w:val="fr-FR"/>
        </w:rPr>
        <w:t>’</w:t>
      </w:r>
      <w:r w:rsidRPr="00C44CB3">
        <w:rPr>
          <w:lang w:val="fr-FR"/>
        </w:rPr>
        <w:t>à plusieurs reprises en 2007, 2009 et 2010, l</w:t>
      </w:r>
      <w:r>
        <w:rPr>
          <w:lang w:val="fr-FR"/>
        </w:rPr>
        <w:t>’</w:t>
      </w:r>
      <w:r w:rsidRPr="00C44CB3">
        <w:rPr>
          <w:lang w:val="fr-FR"/>
        </w:rPr>
        <w:t>auteur avait envoyé plusieurs courriels à un évêque</w:t>
      </w:r>
      <w:r>
        <w:rPr>
          <w:lang w:val="fr-FR"/>
        </w:rPr>
        <w:t>,</w:t>
      </w:r>
      <w:r w:rsidRPr="00C44CB3">
        <w:rPr>
          <w:lang w:val="fr-FR"/>
        </w:rPr>
        <w:t xml:space="preserve"> demandant sa suspension du sacerdoce, et réclamant une indemnisation</w:t>
      </w:r>
      <w:r w:rsidRPr="007A718D">
        <w:rPr>
          <w:lang w:val="fr-FR"/>
        </w:rPr>
        <w:t xml:space="preserve"> d</w:t>
      </w:r>
      <w:r>
        <w:rPr>
          <w:lang w:val="fr-FR"/>
        </w:rPr>
        <w:t>’</w:t>
      </w:r>
      <w:r w:rsidRPr="007A718D">
        <w:rPr>
          <w:lang w:val="fr-FR"/>
        </w:rPr>
        <w:t>un montant de 6 000 000</w:t>
      </w:r>
      <w:r>
        <w:rPr>
          <w:lang w:val="fr-FR"/>
        </w:rPr>
        <w:t> </w:t>
      </w:r>
      <w:r w:rsidRPr="007A718D">
        <w:rPr>
          <w:lang w:val="fr-FR"/>
        </w:rPr>
        <w:t>litas (environ 1 737</w:t>
      </w:r>
      <w:r>
        <w:rPr>
          <w:lang w:val="fr-FR"/>
        </w:rPr>
        <w:t> </w:t>
      </w:r>
      <w:r w:rsidRPr="007A718D">
        <w:rPr>
          <w:lang w:val="fr-FR"/>
        </w:rPr>
        <w:t>720</w:t>
      </w:r>
      <w:r>
        <w:rPr>
          <w:lang w:val="fr-FR"/>
        </w:rPr>
        <w:t> euros</w:t>
      </w:r>
      <w:r w:rsidRPr="00963892">
        <w:rPr>
          <w:lang w:val="fr-FR"/>
        </w:rPr>
        <w:t>)</w:t>
      </w:r>
      <w:r w:rsidRPr="006473EF">
        <w:rPr>
          <w:lang w:val="fr-FR"/>
        </w:rPr>
        <w:t>.</w:t>
      </w:r>
      <w:r w:rsidRPr="00963892">
        <w:rPr>
          <w:lang w:val="fr-FR"/>
        </w:rPr>
        <w:t xml:space="preserve"> L</w:t>
      </w:r>
      <w:r>
        <w:rPr>
          <w:lang w:val="fr-FR"/>
        </w:rPr>
        <w:t>’</w:t>
      </w:r>
      <w:r w:rsidRPr="00963892">
        <w:rPr>
          <w:lang w:val="fr-FR"/>
        </w:rPr>
        <w:t>auteur avait également menacé de communiquer aux médias des informations compromettantes sur le prêtre et</w:t>
      </w:r>
      <w:r>
        <w:rPr>
          <w:lang w:val="fr-FR"/>
        </w:rPr>
        <w:t>, à une occasion,</w:t>
      </w:r>
      <w:r w:rsidRPr="00963892">
        <w:rPr>
          <w:lang w:val="fr-FR"/>
        </w:rPr>
        <w:t xml:space="preserve"> de lui infliger des violences physiques qui l</w:t>
      </w:r>
      <w:r>
        <w:rPr>
          <w:lang w:val="fr-FR"/>
        </w:rPr>
        <w:t>’</w:t>
      </w:r>
      <w:r w:rsidRPr="00963892">
        <w:rPr>
          <w:lang w:val="fr-FR"/>
        </w:rPr>
        <w:t>auraient obligé à se faire soigner d</w:t>
      </w:r>
      <w:r>
        <w:rPr>
          <w:lang w:val="fr-FR"/>
        </w:rPr>
        <w:t>’</w:t>
      </w:r>
      <w:r w:rsidRPr="00963892">
        <w:rPr>
          <w:lang w:val="fr-FR"/>
        </w:rPr>
        <w:t>urgence le matin de Noël</w:t>
      </w:r>
      <w:r w:rsidRPr="006473EF">
        <w:rPr>
          <w:lang w:val="fr-FR"/>
        </w:rPr>
        <w:t>.</w:t>
      </w:r>
      <w:r w:rsidRPr="00963892">
        <w:rPr>
          <w:lang w:val="fr-FR"/>
        </w:rPr>
        <w:t xml:space="preserve"> Dans ses courriels, il traitait le prêtre de divers</w:t>
      </w:r>
      <w:r w:rsidRPr="007A718D">
        <w:rPr>
          <w:lang w:val="fr-FR"/>
        </w:rPr>
        <w:t xml:space="preserve"> noms inconvenants</w:t>
      </w:r>
      <w:r w:rsidRPr="007A718D">
        <w:rPr>
          <w:b/>
          <w:bCs/>
          <w:lang w:val="fr-FR"/>
        </w:rPr>
        <w:t xml:space="preserve"> </w:t>
      </w:r>
      <w:r w:rsidRPr="007A718D">
        <w:rPr>
          <w:lang w:val="fr-FR"/>
        </w:rPr>
        <w:t>et déclarait que celui-ci l</w:t>
      </w:r>
      <w:r>
        <w:rPr>
          <w:lang w:val="fr-FR"/>
        </w:rPr>
        <w:t>’</w:t>
      </w:r>
      <w:r w:rsidRPr="007A718D">
        <w:rPr>
          <w:lang w:val="fr-FR"/>
        </w:rPr>
        <w:t>avait harcelé sexuellement</w:t>
      </w:r>
      <w:r w:rsidRPr="006473EF">
        <w:rPr>
          <w:lang w:val="fr-FR"/>
        </w:rPr>
        <w:t>.</w:t>
      </w:r>
      <w:r w:rsidRPr="007A718D">
        <w:rPr>
          <w:lang w:val="fr-FR"/>
        </w:rPr>
        <w:t xml:space="preserve"> </w:t>
      </w:r>
      <w:r>
        <w:rPr>
          <w:lang w:val="fr-FR"/>
        </w:rPr>
        <w:t>I</w:t>
      </w:r>
      <w:r w:rsidRPr="007A718D">
        <w:rPr>
          <w:lang w:val="fr-FR"/>
        </w:rPr>
        <w:t xml:space="preserve">l menaçait </w:t>
      </w:r>
      <w:r>
        <w:rPr>
          <w:lang w:val="fr-FR"/>
        </w:rPr>
        <w:t xml:space="preserve">aussi </w:t>
      </w:r>
      <w:r w:rsidRPr="007A718D">
        <w:rPr>
          <w:lang w:val="fr-FR"/>
        </w:rPr>
        <w:t>d</w:t>
      </w:r>
      <w:r>
        <w:rPr>
          <w:lang w:val="fr-FR"/>
        </w:rPr>
        <w:t>’</w:t>
      </w:r>
      <w:r w:rsidRPr="007A718D">
        <w:rPr>
          <w:lang w:val="fr-FR"/>
        </w:rPr>
        <w:t>engager une procédure civile, et joignait quelques articles de presse sur la castration</w:t>
      </w:r>
      <w:r w:rsidRPr="006473EF">
        <w:rPr>
          <w:lang w:val="fr-FR"/>
        </w:rPr>
        <w:t>.</w:t>
      </w:r>
      <w:r w:rsidRPr="007A718D">
        <w:rPr>
          <w:lang w:val="fr-FR"/>
        </w:rPr>
        <w:t xml:space="preserve"> Il mentionnait en outre un incident qui se serait produit quelques années auparavant, au cours duquel un individu en Lituanie avait agressé un prêtre catholique</w:t>
      </w:r>
      <w:r w:rsidRPr="006473EF">
        <w:rPr>
          <w:lang w:val="fr-FR"/>
        </w:rPr>
        <w:t>.</w:t>
      </w:r>
      <w:r w:rsidRPr="007A718D">
        <w:rPr>
          <w:lang w:val="fr-FR"/>
        </w:rPr>
        <w:t xml:space="preserve"> Il ajoutait que ce dernier aurait pu être le prêtre qu</w:t>
      </w:r>
      <w:r>
        <w:rPr>
          <w:lang w:val="fr-FR"/>
        </w:rPr>
        <w:t>’</w:t>
      </w:r>
      <w:r w:rsidRPr="007A718D">
        <w:rPr>
          <w:lang w:val="fr-FR"/>
        </w:rPr>
        <w:t xml:space="preserve">il accusait, car il lui rappelait un </w:t>
      </w:r>
      <w:r>
        <w:rPr>
          <w:lang w:val="fr-FR"/>
        </w:rPr>
        <w:t>certain « </w:t>
      </w:r>
      <w:r w:rsidRPr="007A718D">
        <w:rPr>
          <w:lang w:val="fr-FR"/>
        </w:rPr>
        <w:t>M</w:t>
      </w:r>
      <w:r w:rsidRPr="006473EF">
        <w:rPr>
          <w:lang w:val="fr-FR"/>
        </w:rPr>
        <w:t>.</w:t>
      </w:r>
      <w:r w:rsidR="005E2EF4">
        <w:rPr>
          <w:lang w:val="fr-FR"/>
        </w:rPr>
        <w:t> </w:t>
      </w:r>
      <w:r w:rsidRPr="007A718D">
        <w:rPr>
          <w:lang w:val="fr-FR"/>
        </w:rPr>
        <w:t>[nom du prêtre accusé par l</w:t>
      </w:r>
      <w:r>
        <w:rPr>
          <w:lang w:val="fr-FR"/>
        </w:rPr>
        <w:t>’</w:t>
      </w:r>
      <w:r w:rsidRPr="007A718D">
        <w:rPr>
          <w:lang w:val="fr-FR"/>
        </w:rPr>
        <w:t>auteur]</w:t>
      </w:r>
      <w:r>
        <w:rPr>
          <w:lang w:val="fr-FR"/>
        </w:rPr>
        <w:t>,</w:t>
      </w:r>
      <w:r w:rsidRPr="007A718D">
        <w:rPr>
          <w:lang w:val="fr-FR"/>
        </w:rPr>
        <w:t xml:space="preserve"> pédophile</w:t>
      </w:r>
      <w:r>
        <w:rPr>
          <w:lang w:val="fr-FR"/>
        </w:rPr>
        <w:t> »</w:t>
      </w:r>
      <w:r w:rsidRPr="006473EF">
        <w:rPr>
          <w:lang w:val="fr-FR"/>
        </w:rPr>
        <w:t>.</w:t>
      </w:r>
      <w:r w:rsidRPr="007A718D">
        <w:rPr>
          <w:lang w:val="fr-FR"/>
        </w:rPr>
        <w:t xml:space="preserve"> L</w:t>
      </w:r>
      <w:r>
        <w:rPr>
          <w:lang w:val="fr-FR"/>
        </w:rPr>
        <w:t>’</w:t>
      </w:r>
      <w:r w:rsidRPr="007A718D">
        <w:rPr>
          <w:lang w:val="fr-FR"/>
        </w:rPr>
        <w:t>auteur a également envoyé des SMS directement au prêtre qu</w:t>
      </w:r>
      <w:r>
        <w:rPr>
          <w:lang w:val="fr-FR"/>
        </w:rPr>
        <w:t>’</w:t>
      </w:r>
      <w:r w:rsidRPr="007A718D">
        <w:rPr>
          <w:lang w:val="fr-FR"/>
        </w:rPr>
        <w:t>il accusait, lui demandant de quitter la prêtrise et de lui verser une indemnisation</w:t>
      </w:r>
      <w:r w:rsidRPr="006473EF">
        <w:rPr>
          <w:lang w:val="fr-FR"/>
        </w:rPr>
        <w:t>.</w:t>
      </w:r>
    </w:p>
    <w:p w14:paraId="57392684" w14:textId="77777777" w:rsidR="00571F5C" w:rsidRPr="007A718D" w:rsidRDefault="00571F5C" w:rsidP="00571F5C">
      <w:pPr>
        <w:pStyle w:val="SingleTxtG"/>
        <w:rPr>
          <w:lang w:val="x-none"/>
        </w:rPr>
      </w:pPr>
      <w:r w:rsidRPr="007A718D">
        <w:rPr>
          <w:lang w:val="fr-FR"/>
        </w:rPr>
        <w:lastRenderedPageBreak/>
        <w:t>4</w:t>
      </w:r>
      <w:r w:rsidRPr="006473EF">
        <w:rPr>
          <w:lang w:val="fr-FR"/>
        </w:rPr>
        <w:t>.</w:t>
      </w:r>
      <w:r w:rsidRPr="007A718D">
        <w:rPr>
          <w:lang w:val="fr-FR"/>
        </w:rPr>
        <w:t>4</w:t>
      </w:r>
      <w:r w:rsidRPr="007A718D">
        <w:rPr>
          <w:lang w:val="fr-FR"/>
        </w:rPr>
        <w:tab/>
        <w:t>Le 8</w:t>
      </w:r>
      <w:r>
        <w:rPr>
          <w:lang w:val="fr-FR"/>
        </w:rPr>
        <w:t> </w:t>
      </w:r>
      <w:r w:rsidRPr="007A718D">
        <w:rPr>
          <w:lang w:val="fr-FR"/>
        </w:rPr>
        <w:t>septembre 2010, l</w:t>
      </w:r>
      <w:r>
        <w:rPr>
          <w:lang w:val="fr-FR"/>
        </w:rPr>
        <w:t>’</w:t>
      </w:r>
      <w:r w:rsidRPr="007A718D">
        <w:rPr>
          <w:lang w:val="fr-FR"/>
        </w:rPr>
        <w:t>auteur a été notifié de son statut de suspect et, le même jour, il a été interrogé par des agents de la force publique</w:t>
      </w:r>
      <w:r w:rsidRPr="006473EF">
        <w:rPr>
          <w:lang w:val="fr-FR"/>
        </w:rPr>
        <w:t>.</w:t>
      </w:r>
      <w:r w:rsidRPr="007A718D">
        <w:rPr>
          <w:lang w:val="fr-FR"/>
        </w:rPr>
        <w:t xml:space="preserve"> Il a refusé de faire une déclaration tant qu</w:t>
      </w:r>
      <w:r>
        <w:rPr>
          <w:lang w:val="fr-FR"/>
        </w:rPr>
        <w:t>’</w:t>
      </w:r>
      <w:r w:rsidRPr="007A718D">
        <w:rPr>
          <w:lang w:val="fr-FR"/>
        </w:rPr>
        <w:t>il n</w:t>
      </w:r>
      <w:r>
        <w:rPr>
          <w:lang w:val="fr-FR"/>
        </w:rPr>
        <w:t>’</w:t>
      </w:r>
      <w:r w:rsidRPr="007A718D">
        <w:rPr>
          <w:lang w:val="fr-FR"/>
        </w:rPr>
        <w:t>aurait pas reçu le dossier relatif à l</w:t>
      </w:r>
      <w:r>
        <w:rPr>
          <w:lang w:val="fr-FR"/>
        </w:rPr>
        <w:t>’</w:t>
      </w:r>
      <w:r w:rsidRPr="007A718D">
        <w:rPr>
          <w:lang w:val="fr-FR"/>
        </w:rPr>
        <w:t>enquête menée par l</w:t>
      </w:r>
      <w:r>
        <w:rPr>
          <w:lang w:val="fr-FR"/>
        </w:rPr>
        <w:t>’</w:t>
      </w:r>
      <w:r w:rsidRPr="007A718D">
        <w:rPr>
          <w:lang w:val="fr-FR"/>
        </w:rPr>
        <w:t>église sur ses allégations concernant le prêtre</w:t>
      </w:r>
      <w:r w:rsidRPr="006473EF">
        <w:rPr>
          <w:lang w:val="fr-FR"/>
        </w:rPr>
        <w:t>.</w:t>
      </w:r>
      <w:r w:rsidRPr="007A718D">
        <w:rPr>
          <w:lang w:val="fr-FR"/>
        </w:rPr>
        <w:t xml:space="preserve"> Le même jour également, l</w:t>
      </w:r>
      <w:r>
        <w:rPr>
          <w:lang w:val="fr-FR"/>
        </w:rPr>
        <w:t>’</w:t>
      </w:r>
      <w:r w:rsidRPr="007A718D">
        <w:rPr>
          <w:lang w:val="fr-FR"/>
        </w:rPr>
        <w:t>auteur a été soumis à des mesures restrictives</w:t>
      </w:r>
      <w:r w:rsidRPr="006473EF">
        <w:rPr>
          <w:lang w:val="fr-FR"/>
        </w:rPr>
        <w:t>.</w:t>
      </w:r>
      <w:r w:rsidRPr="007A718D">
        <w:rPr>
          <w:lang w:val="fr-FR"/>
        </w:rPr>
        <w:t xml:space="preserve"> Plus précisément, il a reçu l</w:t>
      </w:r>
      <w:r>
        <w:rPr>
          <w:lang w:val="fr-FR"/>
        </w:rPr>
        <w:t>’</w:t>
      </w:r>
      <w:r w:rsidRPr="007A718D">
        <w:rPr>
          <w:lang w:val="fr-FR"/>
        </w:rPr>
        <w:t>ordre de ne pas quitter l</w:t>
      </w:r>
      <w:r>
        <w:rPr>
          <w:lang w:val="fr-FR"/>
        </w:rPr>
        <w:t>’</w:t>
      </w:r>
      <w:r w:rsidRPr="007A718D">
        <w:rPr>
          <w:lang w:val="fr-FR"/>
        </w:rPr>
        <w:t>appartement de sa mère sans autorisation, ses papiers (passeport et carte d</w:t>
      </w:r>
      <w:r>
        <w:rPr>
          <w:lang w:val="fr-FR"/>
        </w:rPr>
        <w:t>’</w:t>
      </w:r>
      <w:r w:rsidRPr="007A718D">
        <w:rPr>
          <w:lang w:val="fr-FR"/>
        </w:rPr>
        <w:t>identité) ont été confisqués et il a</w:t>
      </w:r>
      <w:r w:rsidRPr="007A718D">
        <w:rPr>
          <w:b/>
          <w:bCs/>
          <w:lang w:val="fr-FR"/>
        </w:rPr>
        <w:t xml:space="preserve"> </w:t>
      </w:r>
      <w:r w:rsidRPr="007A718D">
        <w:rPr>
          <w:lang w:val="fr-FR"/>
        </w:rPr>
        <w:t>reçu l</w:t>
      </w:r>
      <w:r>
        <w:rPr>
          <w:lang w:val="fr-FR"/>
        </w:rPr>
        <w:t>’</w:t>
      </w:r>
      <w:r w:rsidRPr="007A718D">
        <w:rPr>
          <w:lang w:val="fr-FR"/>
        </w:rPr>
        <w:t>ordre</w:t>
      </w:r>
      <w:r w:rsidRPr="007A718D">
        <w:rPr>
          <w:b/>
          <w:bCs/>
          <w:lang w:val="fr-FR"/>
        </w:rPr>
        <w:t xml:space="preserve"> </w:t>
      </w:r>
      <w:r w:rsidRPr="007A718D">
        <w:rPr>
          <w:lang w:val="fr-FR"/>
        </w:rPr>
        <w:t>de se présenter à un poste de police chaque mardi et chaque vendredi</w:t>
      </w:r>
      <w:r w:rsidRPr="006473EF">
        <w:rPr>
          <w:lang w:val="fr-FR"/>
        </w:rPr>
        <w:t>.</w:t>
      </w:r>
    </w:p>
    <w:p w14:paraId="468778EF"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5</w:t>
      </w:r>
      <w:r w:rsidRPr="007A718D">
        <w:rPr>
          <w:lang w:val="fr-FR"/>
        </w:rPr>
        <w:tab/>
        <w:t>Le 9</w:t>
      </w:r>
      <w:r>
        <w:rPr>
          <w:lang w:val="fr-FR"/>
        </w:rPr>
        <w:t> </w:t>
      </w:r>
      <w:r w:rsidRPr="007A718D">
        <w:rPr>
          <w:lang w:val="fr-FR"/>
        </w:rPr>
        <w:t>septembre 2010, l</w:t>
      </w:r>
      <w:r>
        <w:rPr>
          <w:lang w:val="fr-FR"/>
        </w:rPr>
        <w:t>’</w:t>
      </w:r>
      <w:r w:rsidRPr="007A718D">
        <w:rPr>
          <w:lang w:val="fr-FR"/>
        </w:rPr>
        <w:t>avocat de l</w:t>
      </w:r>
      <w:r>
        <w:rPr>
          <w:lang w:val="fr-FR"/>
        </w:rPr>
        <w:t>’</w:t>
      </w:r>
      <w:r w:rsidRPr="007A718D">
        <w:rPr>
          <w:lang w:val="fr-FR"/>
        </w:rPr>
        <w:t>auteur a demandé au procureur, entre autres</w:t>
      </w:r>
      <w:r>
        <w:rPr>
          <w:lang w:val="fr-FR"/>
        </w:rPr>
        <w:t xml:space="preserve"> choses</w:t>
      </w:r>
      <w:r w:rsidRPr="007A718D">
        <w:rPr>
          <w:lang w:val="fr-FR"/>
        </w:rPr>
        <w:t>, de modifier les mesures restrictives imposées à son client et de les remplacer par une mesure de cautionnement, étant donné que l</w:t>
      </w:r>
      <w:r>
        <w:rPr>
          <w:lang w:val="fr-FR"/>
        </w:rPr>
        <w:t>’</w:t>
      </w:r>
      <w:r w:rsidRPr="007A718D">
        <w:rPr>
          <w:lang w:val="fr-FR"/>
        </w:rPr>
        <w:t>auteur étudiait et vivait au Danemark</w:t>
      </w:r>
      <w:r w:rsidRPr="006473EF">
        <w:rPr>
          <w:lang w:val="fr-FR"/>
        </w:rPr>
        <w:t>.</w:t>
      </w:r>
      <w:r w:rsidRPr="007A718D">
        <w:rPr>
          <w:lang w:val="fr-FR"/>
        </w:rPr>
        <w:t xml:space="preserve"> Le 13</w:t>
      </w:r>
      <w:r>
        <w:rPr>
          <w:lang w:val="fr-FR"/>
        </w:rPr>
        <w:t> </w:t>
      </w:r>
      <w:r w:rsidRPr="007A718D">
        <w:rPr>
          <w:lang w:val="fr-FR"/>
        </w:rPr>
        <w:t>octobre 2010, le bureau du procureur régional de Šiauliai a rejeté cette demande au motif que l</w:t>
      </w:r>
      <w:r>
        <w:rPr>
          <w:lang w:val="fr-FR"/>
        </w:rPr>
        <w:t>’</w:t>
      </w:r>
      <w:r w:rsidRPr="007A718D">
        <w:rPr>
          <w:lang w:val="fr-FR"/>
        </w:rPr>
        <w:t>auteur n</w:t>
      </w:r>
      <w:r>
        <w:rPr>
          <w:lang w:val="fr-FR"/>
        </w:rPr>
        <w:t>’</w:t>
      </w:r>
      <w:r w:rsidRPr="007A718D">
        <w:rPr>
          <w:lang w:val="fr-FR"/>
        </w:rPr>
        <w:t>avait pas fourni d</w:t>
      </w:r>
      <w:r>
        <w:rPr>
          <w:lang w:val="fr-FR"/>
        </w:rPr>
        <w:t>’</w:t>
      </w:r>
      <w:r w:rsidRPr="007A718D">
        <w:rPr>
          <w:lang w:val="fr-FR"/>
        </w:rPr>
        <w:t>informations indiquant qu</w:t>
      </w:r>
      <w:r>
        <w:rPr>
          <w:lang w:val="fr-FR"/>
        </w:rPr>
        <w:t>’</w:t>
      </w:r>
      <w:r w:rsidRPr="007A718D">
        <w:rPr>
          <w:lang w:val="fr-FR"/>
        </w:rPr>
        <w:t>il étudiait et vivait à l</w:t>
      </w:r>
      <w:r>
        <w:rPr>
          <w:lang w:val="fr-FR"/>
        </w:rPr>
        <w:t>’</w:t>
      </w:r>
      <w:r w:rsidRPr="007A718D">
        <w:rPr>
          <w:lang w:val="fr-FR"/>
        </w:rPr>
        <w:t>étranger, en l</w:t>
      </w:r>
      <w:r>
        <w:rPr>
          <w:lang w:val="fr-FR"/>
        </w:rPr>
        <w:t>’</w:t>
      </w:r>
      <w:r w:rsidRPr="007A718D">
        <w:rPr>
          <w:lang w:val="fr-FR"/>
        </w:rPr>
        <w:t>occurrence</w:t>
      </w:r>
      <w:r w:rsidRPr="007A718D">
        <w:rPr>
          <w:b/>
          <w:bCs/>
          <w:lang w:val="fr-FR"/>
        </w:rPr>
        <w:t xml:space="preserve"> </w:t>
      </w:r>
      <w:r w:rsidRPr="007A718D">
        <w:rPr>
          <w:lang w:val="fr-FR"/>
        </w:rPr>
        <w:t>au Danemark</w:t>
      </w:r>
      <w:r w:rsidRPr="006473EF">
        <w:rPr>
          <w:lang w:val="fr-FR"/>
        </w:rPr>
        <w:t>.</w:t>
      </w:r>
      <w:r w:rsidRPr="007A718D">
        <w:rPr>
          <w:lang w:val="fr-FR"/>
        </w:rPr>
        <w:t xml:space="preserve"> L</w:t>
      </w:r>
      <w:r>
        <w:rPr>
          <w:lang w:val="fr-FR"/>
        </w:rPr>
        <w:t>’</w:t>
      </w:r>
      <w:r w:rsidRPr="007A718D">
        <w:rPr>
          <w:lang w:val="fr-FR"/>
        </w:rPr>
        <w:t>auteur n</w:t>
      </w:r>
      <w:r>
        <w:rPr>
          <w:lang w:val="fr-FR"/>
        </w:rPr>
        <w:t>’</w:t>
      </w:r>
      <w:r w:rsidRPr="007A718D">
        <w:rPr>
          <w:lang w:val="fr-FR"/>
        </w:rPr>
        <w:t>a pas contesté cet aspect de la décision</w:t>
      </w:r>
      <w:r w:rsidRPr="006473EF">
        <w:rPr>
          <w:lang w:val="fr-FR"/>
        </w:rPr>
        <w:t>.</w:t>
      </w:r>
    </w:p>
    <w:p w14:paraId="563740A4"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6</w:t>
      </w:r>
      <w:r w:rsidRPr="007A718D">
        <w:rPr>
          <w:lang w:val="fr-FR"/>
        </w:rPr>
        <w:tab/>
        <w:t>Le 29</w:t>
      </w:r>
      <w:r>
        <w:rPr>
          <w:lang w:val="fr-FR"/>
        </w:rPr>
        <w:t> </w:t>
      </w:r>
      <w:r w:rsidRPr="007A718D">
        <w:rPr>
          <w:lang w:val="fr-FR"/>
        </w:rPr>
        <w:t>octobre 2010, le procureur a noté que puisque les documents soumis par l</w:t>
      </w:r>
      <w:r>
        <w:rPr>
          <w:lang w:val="fr-FR"/>
        </w:rPr>
        <w:t>’</w:t>
      </w:r>
      <w:r w:rsidRPr="007A718D">
        <w:rPr>
          <w:lang w:val="fr-FR"/>
        </w:rPr>
        <w:t>auteur étaient des copies et non des originaux, qu</w:t>
      </w:r>
      <w:r>
        <w:rPr>
          <w:lang w:val="fr-FR"/>
        </w:rPr>
        <w:t>’</w:t>
      </w:r>
      <w:r w:rsidRPr="007A718D">
        <w:rPr>
          <w:lang w:val="fr-FR"/>
        </w:rPr>
        <w:t xml:space="preserve">ils étaient en anglais et de mauvaise qualité et </w:t>
      </w:r>
      <w:r>
        <w:rPr>
          <w:lang w:val="fr-FR"/>
        </w:rPr>
        <w:t xml:space="preserve">qu’ils </w:t>
      </w:r>
      <w:r w:rsidRPr="007A718D">
        <w:rPr>
          <w:lang w:val="fr-FR"/>
        </w:rPr>
        <w:t>n</w:t>
      </w:r>
      <w:r>
        <w:rPr>
          <w:lang w:val="fr-FR"/>
        </w:rPr>
        <w:t>’</w:t>
      </w:r>
      <w:r w:rsidRPr="007A718D">
        <w:rPr>
          <w:lang w:val="fr-FR"/>
        </w:rPr>
        <w:t>avaient pas été visés par les autorités compétentes, il n</w:t>
      </w:r>
      <w:r>
        <w:rPr>
          <w:lang w:val="fr-FR"/>
        </w:rPr>
        <w:t>’</w:t>
      </w:r>
      <w:r w:rsidRPr="007A718D">
        <w:rPr>
          <w:lang w:val="fr-FR"/>
        </w:rPr>
        <w:t>était pas possible d</w:t>
      </w:r>
      <w:r>
        <w:rPr>
          <w:lang w:val="fr-FR"/>
        </w:rPr>
        <w:t>’</w:t>
      </w:r>
      <w:r w:rsidRPr="007A718D">
        <w:rPr>
          <w:lang w:val="fr-FR"/>
        </w:rPr>
        <w:t>en évaluer le contenu et l</w:t>
      </w:r>
      <w:r>
        <w:rPr>
          <w:lang w:val="fr-FR"/>
        </w:rPr>
        <w:t>’</w:t>
      </w:r>
      <w:r w:rsidRPr="007A718D">
        <w:rPr>
          <w:lang w:val="fr-FR"/>
        </w:rPr>
        <w:t>authenticité</w:t>
      </w:r>
      <w:r w:rsidRPr="006473EF">
        <w:rPr>
          <w:lang w:val="fr-FR"/>
        </w:rPr>
        <w:t>.</w:t>
      </w:r>
      <w:r w:rsidRPr="007A718D">
        <w:rPr>
          <w:lang w:val="fr-FR"/>
        </w:rPr>
        <w:t xml:space="preserve"> Il a toutefois décidé d</w:t>
      </w:r>
      <w:r>
        <w:rPr>
          <w:lang w:val="fr-FR"/>
        </w:rPr>
        <w:t>’</w:t>
      </w:r>
      <w:r w:rsidRPr="007A718D">
        <w:rPr>
          <w:lang w:val="fr-FR"/>
        </w:rPr>
        <w:t>autoriser l</w:t>
      </w:r>
      <w:r>
        <w:rPr>
          <w:lang w:val="fr-FR"/>
        </w:rPr>
        <w:t>’</w:t>
      </w:r>
      <w:r w:rsidRPr="007A718D">
        <w:rPr>
          <w:lang w:val="fr-FR"/>
        </w:rPr>
        <w:t>auteur à se rendre au Danemark et à y passer trois semaines afin de rassembler les documents dont il avait besoin pour prouver qu</w:t>
      </w:r>
      <w:r>
        <w:rPr>
          <w:lang w:val="fr-FR"/>
        </w:rPr>
        <w:t>’</w:t>
      </w:r>
      <w:r w:rsidRPr="007A718D">
        <w:rPr>
          <w:lang w:val="fr-FR"/>
        </w:rPr>
        <w:t>il y faisait des études</w:t>
      </w:r>
      <w:r w:rsidRPr="006473EF">
        <w:rPr>
          <w:lang w:val="fr-FR"/>
        </w:rPr>
        <w:t>.</w:t>
      </w:r>
    </w:p>
    <w:p w14:paraId="20B7A8EC" w14:textId="3114861E"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7</w:t>
      </w:r>
      <w:r w:rsidRPr="007A718D">
        <w:rPr>
          <w:lang w:val="fr-FR"/>
        </w:rPr>
        <w:tab/>
        <w:t>Le 31</w:t>
      </w:r>
      <w:r>
        <w:rPr>
          <w:lang w:val="fr-FR"/>
        </w:rPr>
        <w:t> </w:t>
      </w:r>
      <w:r w:rsidRPr="007A718D">
        <w:rPr>
          <w:lang w:val="fr-FR"/>
        </w:rPr>
        <w:t>décembre 2010, l</w:t>
      </w:r>
      <w:r>
        <w:rPr>
          <w:lang w:val="fr-FR"/>
        </w:rPr>
        <w:t>’</w:t>
      </w:r>
      <w:r w:rsidRPr="007A718D">
        <w:rPr>
          <w:lang w:val="fr-FR"/>
        </w:rPr>
        <w:t>avocat de l</w:t>
      </w:r>
      <w:r>
        <w:rPr>
          <w:lang w:val="fr-FR"/>
        </w:rPr>
        <w:t>’</w:t>
      </w:r>
      <w:r w:rsidRPr="007A718D">
        <w:rPr>
          <w:lang w:val="fr-FR"/>
        </w:rPr>
        <w:t>auteur a demandé l</w:t>
      </w:r>
      <w:r>
        <w:rPr>
          <w:lang w:val="fr-FR"/>
        </w:rPr>
        <w:t>’</w:t>
      </w:r>
      <w:r w:rsidRPr="007A718D">
        <w:rPr>
          <w:lang w:val="fr-FR"/>
        </w:rPr>
        <w:t>annulation des mesures restrictives</w:t>
      </w:r>
      <w:r w:rsidRPr="006473EF">
        <w:rPr>
          <w:lang w:val="fr-FR"/>
        </w:rPr>
        <w:t>.</w:t>
      </w:r>
      <w:r w:rsidRPr="007A718D">
        <w:rPr>
          <w:lang w:val="fr-FR"/>
        </w:rPr>
        <w:t xml:space="preserve"> Le 7</w:t>
      </w:r>
      <w:r>
        <w:rPr>
          <w:lang w:val="fr-FR"/>
        </w:rPr>
        <w:t> </w:t>
      </w:r>
      <w:r w:rsidRPr="007A718D">
        <w:rPr>
          <w:lang w:val="fr-FR"/>
        </w:rPr>
        <w:t>janvier 2011, la restriction de déplacement a été levée</w:t>
      </w:r>
      <w:r>
        <w:rPr>
          <w:lang w:val="fr-FR"/>
        </w:rPr>
        <w:t xml:space="preserve">, </w:t>
      </w:r>
      <w:r w:rsidRPr="007A718D">
        <w:rPr>
          <w:lang w:val="fr-FR"/>
        </w:rPr>
        <w:t>compte tenu des informations que l</w:t>
      </w:r>
      <w:r>
        <w:rPr>
          <w:lang w:val="fr-FR"/>
        </w:rPr>
        <w:t>’</w:t>
      </w:r>
      <w:r w:rsidRPr="007A718D">
        <w:rPr>
          <w:lang w:val="fr-FR"/>
        </w:rPr>
        <w:t>auteur avait fournies concernant son permis de séjour et ses études au Danemark, et il a été demandé à l</w:t>
      </w:r>
      <w:r>
        <w:rPr>
          <w:lang w:val="fr-FR"/>
        </w:rPr>
        <w:t>’</w:t>
      </w:r>
      <w:r w:rsidRPr="007A718D">
        <w:rPr>
          <w:lang w:val="fr-FR"/>
        </w:rPr>
        <w:t>auteur de verser</w:t>
      </w:r>
      <w:r w:rsidRPr="007A718D">
        <w:rPr>
          <w:b/>
          <w:bCs/>
          <w:lang w:val="fr-FR"/>
        </w:rPr>
        <w:t xml:space="preserve"> </w:t>
      </w:r>
      <w:r w:rsidRPr="007A718D">
        <w:rPr>
          <w:lang w:val="fr-FR"/>
        </w:rPr>
        <w:t>une caution d</w:t>
      </w:r>
      <w:r>
        <w:rPr>
          <w:lang w:val="fr-FR"/>
        </w:rPr>
        <w:t>’</w:t>
      </w:r>
      <w:r w:rsidRPr="007A718D">
        <w:rPr>
          <w:lang w:val="fr-FR"/>
        </w:rPr>
        <w:t>un montant de 1</w:t>
      </w:r>
      <w:r>
        <w:rPr>
          <w:lang w:val="fr-FR"/>
        </w:rPr>
        <w:t> </w:t>
      </w:r>
      <w:r w:rsidRPr="007A718D">
        <w:rPr>
          <w:lang w:val="fr-FR"/>
        </w:rPr>
        <w:t>448</w:t>
      </w:r>
      <w:r>
        <w:rPr>
          <w:lang w:val="fr-FR"/>
        </w:rPr>
        <w:t> </w:t>
      </w:r>
      <w:r w:rsidRPr="007A718D">
        <w:rPr>
          <w:lang w:val="fr-FR"/>
        </w:rPr>
        <w:t>euros</w:t>
      </w:r>
      <w:r w:rsidRPr="006473EF">
        <w:rPr>
          <w:lang w:val="fr-FR"/>
        </w:rPr>
        <w:t>.</w:t>
      </w:r>
      <w:r w:rsidRPr="007A718D">
        <w:rPr>
          <w:lang w:val="fr-FR"/>
        </w:rPr>
        <w:t xml:space="preserve"> L</w:t>
      </w:r>
      <w:r>
        <w:rPr>
          <w:lang w:val="fr-FR"/>
        </w:rPr>
        <w:t>’</w:t>
      </w:r>
      <w:r w:rsidRPr="007A718D">
        <w:rPr>
          <w:lang w:val="fr-FR"/>
        </w:rPr>
        <w:t>auteur n</w:t>
      </w:r>
      <w:r>
        <w:rPr>
          <w:lang w:val="fr-FR"/>
        </w:rPr>
        <w:t>’</w:t>
      </w:r>
      <w:r w:rsidRPr="007A718D">
        <w:rPr>
          <w:lang w:val="fr-FR"/>
        </w:rPr>
        <w:t>a pas fait appel de la décision de transformer la restriction de déplacement en cautionnement</w:t>
      </w:r>
      <w:r w:rsidRPr="006473EF">
        <w:rPr>
          <w:lang w:val="fr-FR"/>
        </w:rPr>
        <w:t>.</w:t>
      </w:r>
    </w:p>
    <w:p w14:paraId="40D83B4E"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8</w:t>
      </w:r>
      <w:r w:rsidRPr="007A718D">
        <w:rPr>
          <w:lang w:val="fr-FR"/>
        </w:rPr>
        <w:tab/>
        <w:t>Le 7</w:t>
      </w:r>
      <w:r>
        <w:rPr>
          <w:lang w:val="fr-FR"/>
        </w:rPr>
        <w:t> </w:t>
      </w:r>
      <w:r w:rsidRPr="007A718D">
        <w:rPr>
          <w:lang w:val="fr-FR"/>
        </w:rPr>
        <w:t xml:space="preserve">juin 2011, </w:t>
      </w:r>
      <w:r>
        <w:rPr>
          <w:lang w:val="fr-FR"/>
        </w:rPr>
        <w:t xml:space="preserve">il a été mis fin à </w:t>
      </w:r>
      <w:r w:rsidRPr="007A718D">
        <w:rPr>
          <w:lang w:val="fr-FR"/>
        </w:rPr>
        <w:t>l</w:t>
      </w:r>
      <w:r>
        <w:rPr>
          <w:lang w:val="fr-FR"/>
        </w:rPr>
        <w:t>’</w:t>
      </w:r>
      <w:r w:rsidRPr="007A718D">
        <w:rPr>
          <w:lang w:val="fr-FR"/>
        </w:rPr>
        <w:t xml:space="preserve">enquête </w:t>
      </w:r>
      <w:r w:rsidRPr="00BB2734">
        <w:rPr>
          <w:lang w:val="fr-FR"/>
        </w:rPr>
        <w:t xml:space="preserve">préliminaire </w:t>
      </w:r>
      <w:r w:rsidRPr="007A718D">
        <w:rPr>
          <w:lang w:val="fr-FR"/>
        </w:rPr>
        <w:t>au motif qu</w:t>
      </w:r>
      <w:r>
        <w:rPr>
          <w:lang w:val="fr-FR"/>
        </w:rPr>
        <w:t>’</w:t>
      </w:r>
      <w:r w:rsidRPr="007A718D">
        <w:rPr>
          <w:lang w:val="fr-FR"/>
        </w:rPr>
        <w:t>aucune infraction n</w:t>
      </w:r>
      <w:r>
        <w:rPr>
          <w:lang w:val="fr-FR"/>
        </w:rPr>
        <w:t>’</w:t>
      </w:r>
      <w:r w:rsidRPr="007A718D">
        <w:rPr>
          <w:lang w:val="fr-FR"/>
        </w:rPr>
        <w:t>avait été commise, et le montant que l</w:t>
      </w:r>
      <w:r>
        <w:rPr>
          <w:lang w:val="fr-FR"/>
        </w:rPr>
        <w:t>’</w:t>
      </w:r>
      <w:r w:rsidRPr="007A718D">
        <w:rPr>
          <w:lang w:val="fr-FR"/>
        </w:rPr>
        <w:t>auteur avait versé à titre de caution lui a été restitué</w:t>
      </w:r>
      <w:r w:rsidRPr="006473EF">
        <w:rPr>
          <w:lang w:val="fr-FR"/>
        </w:rPr>
        <w:t>.</w:t>
      </w:r>
    </w:p>
    <w:p w14:paraId="4267E372"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9</w:t>
      </w:r>
      <w:r w:rsidRPr="007A718D">
        <w:rPr>
          <w:lang w:val="fr-FR"/>
        </w:rPr>
        <w:tab/>
        <w:t>Le 9</w:t>
      </w:r>
      <w:r>
        <w:rPr>
          <w:lang w:val="fr-FR"/>
        </w:rPr>
        <w:t> </w:t>
      </w:r>
      <w:r w:rsidRPr="007A718D">
        <w:rPr>
          <w:lang w:val="fr-FR"/>
        </w:rPr>
        <w:t>juin 2011, la plainte déposée par l</w:t>
      </w:r>
      <w:r>
        <w:rPr>
          <w:lang w:val="fr-FR"/>
        </w:rPr>
        <w:t>’</w:t>
      </w:r>
      <w:r w:rsidRPr="007A718D">
        <w:rPr>
          <w:lang w:val="fr-FR"/>
        </w:rPr>
        <w:t>avocat de l</w:t>
      </w:r>
      <w:r>
        <w:rPr>
          <w:lang w:val="fr-FR"/>
        </w:rPr>
        <w:t>’</w:t>
      </w:r>
      <w:r w:rsidRPr="007A718D">
        <w:rPr>
          <w:lang w:val="fr-FR"/>
        </w:rPr>
        <w:t>auteur concernant la durée de l</w:t>
      </w:r>
      <w:r>
        <w:rPr>
          <w:lang w:val="fr-FR"/>
        </w:rPr>
        <w:t>’</w:t>
      </w:r>
      <w:r w:rsidRPr="007A718D">
        <w:rPr>
          <w:lang w:val="fr-FR"/>
        </w:rPr>
        <w:t>enquête préliminaire le visant a été rejetée, et l</w:t>
      </w:r>
      <w:r>
        <w:rPr>
          <w:lang w:val="fr-FR"/>
        </w:rPr>
        <w:t>’</w:t>
      </w:r>
      <w:r w:rsidRPr="007A718D">
        <w:rPr>
          <w:lang w:val="fr-FR"/>
        </w:rPr>
        <w:t>auteur n</w:t>
      </w:r>
      <w:r>
        <w:rPr>
          <w:lang w:val="fr-FR"/>
        </w:rPr>
        <w:t>’</w:t>
      </w:r>
      <w:r w:rsidRPr="007A718D">
        <w:rPr>
          <w:lang w:val="fr-FR"/>
        </w:rPr>
        <w:t>a pas fait appel de cette décision</w:t>
      </w:r>
      <w:r w:rsidRPr="006473EF">
        <w:rPr>
          <w:lang w:val="fr-FR"/>
        </w:rPr>
        <w:t>.</w:t>
      </w:r>
    </w:p>
    <w:p w14:paraId="268D6A87"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10</w:t>
      </w:r>
      <w:r w:rsidRPr="007A718D">
        <w:rPr>
          <w:lang w:val="fr-FR"/>
        </w:rPr>
        <w:tab/>
        <w:t>En 2012, à la demande de l</w:t>
      </w:r>
      <w:r>
        <w:rPr>
          <w:lang w:val="fr-FR"/>
        </w:rPr>
        <w:t>’</w:t>
      </w:r>
      <w:r w:rsidRPr="007A718D">
        <w:rPr>
          <w:lang w:val="fr-FR"/>
        </w:rPr>
        <w:t>intéressé, l</w:t>
      </w:r>
      <w:r>
        <w:rPr>
          <w:lang w:val="fr-FR"/>
        </w:rPr>
        <w:t xml:space="preserve">e VIA </w:t>
      </w:r>
      <w:proofErr w:type="spellStart"/>
      <w:r>
        <w:rPr>
          <w:lang w:val="fr-FR"/>
        </w:rPr>
        <w:t>U</w:t>
      </w:r>
      <w:r w:rsidRPr="007A718D">
        <w:rPr>
          <w:lang w:val="fr-FR"/>
        </w:rPr>
        <w:t>niversit</w:t>
      </w:r>
      <w:r>
        <w:rPr>
          <w:lang w:val="fr-FR"/>
        </w:rPr>
        <w:t>y</w:t>
      </w:r>
      <w:proofErr w:type="spellEnd"/>
      <w:r>
        <w:rPr>
          <w:lang w:val="fr-FR"/>
        </w:rPr>
        <w:t xml:space="preserve"> </w:t>
      </w:r>
      <w:proofErr w:type="spellStart"/>
      <w:r>
        <w:rPr>
          <w:lang w:val="fr-FR"/>
        </w:rPr>
        <w:t>College</w:t>
      </w:r>
      <w:proofErr w:type="spellEnd"/>
      <w:r w:rsidRPr="007A718D">
        <w:rPr>
          <w:lang w:val="fr-FR"/>
        </w:rPr>
        <w:t xml:space="preserve"> au Danemark a retiré l</w:t>
      </w:r>
      <w:r>
        <w:rPr>
          <w:lang w:val="fr-FR"/>
        </w:rPr>
        <w:t>’</w:t>
      </w:r>
      <w:r w:rsidRPr="007A718D">
        <w:rPr>
          <w:lang w:val="fr-FR"/>
        </w:rPr>
        <w:t xml:space="preserve">auteur de </w:t>
      </w:r>
      <w:r>
        <w:rPr>
          <w:lang w:val="fr-FR"/>
        </w:rPr>
        <w:t>l</w:t>
      </w:r>
      <w:r w:rsidRPr="007A718D">
        <w:rPr>
          <w:lang w:val="fr-FR"/>
        </w:rPr>
        <w:t>a liste d</w:t>
      </w:r>
      <w:r>
        <w:rPr>
          <w:lang w:val="fr-FR"/>
        </w:rPr>
        <w:t xml:space="preserve">e ses </w:t>
      </w:r>
      <w:r w:rsidRPr="007A718D">
        <w:rPr>
          <w:lang w:val="fr-FR"/>
        </w:rPr>
        <w:t>étudiants</w:t>
      </w:r>
      <w:r w:rsidRPr="006473EF">
        <w:rPr>
          <w:lang w:val="fr-FR"/>
        </w:rPr>
        <w:t>.</w:t>
      </w:r>
    </w:p>
    <w:p w14:paraId="1A3C75EB" w14:textId="1EFE409C"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11</w:t>
      </w:r>
      <w:r w:rsidRPr="007A718D">
        <w:rPr>
          <w:lang w:val="fr-FR"/>
        </w:rPr>
        <w:tab/>
        <w:t>Le 18</w:t>
      </w:r>
      <w:r>
        <w:rPr>
          <w:lang w:val="fr-FR"/>
        </w:rPr>
        <w:t> </w:t>
      </w:r>
      <w:r w:rsidRPr="007A718D">
        <w:rPr>
          <w:lang w:val="fr-FR"/>
        </w:rPr>
        <w:t>juin 2014, l</w:t>
      </w:r>
      <w:r>
        <w:rPr>
          <w:lang w:val="fr-FR"/>
        </w:rPr>
        <w:t>’</w:t>
      </w:r>
      <w:r w:rsidRPr="007A718D">
        <w:rPr>
          <w:lang w:val="fr-FR"/>
        </w:rPr>
        <w:t>auteur a engagé une action au civil devant le tribunal de district de la ville de Vilnius pour demander une indemnisation d</w:t>
      </w:r>
      <w:r>
        <w:rPr>
          <w:lang w:val="fr-FR"/>
        </w:rPr>
        <w:t>’</w:t>
      </w:r>
      <w:r w:rsidRPr="007A718D">
        <w:rPr>
          <w:lang w:val="fr-FR"/>
        </w:rPr>
        <w:t>un montant de 621 453</w:t>
      </w:r>
      <w:r>
        <w:rPr>
          <w:lang w:val="fr-FR"/>
        </w:rPr>
        <w:t> </w:t>
      </w:r>
      <w:r w:rsidRPr="007A718D">
        <w:rPr>
          <w:lang w:val="fr-FR"/>
        </w:rPr>
        <w:t>euros pour le préjudice non pécuniaire subi, ainsi que le remboursement des frais de justice, d</w:t>
      </w:r>
      <w:r>
        <w:rPr>
          <w:lang w:val="fr-FR"/>
        </w:rPr>
        <w:t>’</w:t>
      </w:r>
      <w:r w:rsidRPr="007A718D">
        <w:rPr>
          <w:lang w:val="fr-FR"/>
        </w:rPr>
        <w:t>un montant de 36 822,46</w:t>
      </w:r>
      <w:r>
        <w:rPr>
          <w:lang w:val="fr-FR"/>
        </w:rPr>
        <w:t> </w:t>
      </w:r>
      <w:r w:rsidRPr="007A718D">
        <w:rPr>
          <w:lang w:val="fr-FR"/>
        </w:rPr>
        <w:t>euros, à raison des actes illégaux et incompétents des services du procureur</w:t>
      </w:r>
      <w:r w:rsidRPr="006473EF">
        <w:rPr>
          <w:lang w:val="fr-FR"/>
        </w:rPr>
        <w:t>.</w:t>
      </w:r>
      <w:r w:rsidRPr="007A718D">
        <w:rPr>
          <w:lang w:val="fr-FR"/>
        </w:rPr>
        <w:t xml:space="preserve"> En mai 2015, l</w:t>
      </w:r>
      <w:r>
        <w:rPr>
          <w:lang w:val="fr-FR"/>
        </w:rPr>
        <w:t>’</w:t>
      </w:r>
      <w:r w:rsidRPr="007A718D">
        <w:rPr>
          <w:lang w:val="fr-FR"/>
        </w:rPr>
        <w:t xml:space="preserve">auteur a </w:t>
      </w:r>
      <w:r>
        <w:rPr>
          <w:lang w:val="fr-FR"/>
        </w:rPr>
        <w:t>fourni des informations complémentaires précises concernant</w:t>
      </w:r>
      <w:r w:rsidRPr="007A718D">
        <w:rPr>
          <w:lang w:val="fr-FR"/>
        </w:rPr>
        <w:t xml:space="preserve"> ses griefs, affirmant que l</w:t>
      </w:r>
      <w:r>
        <w:rPr>
          <w:lang w:val="fr-FR"/>
        </w:rPr>
        <w:t>’</w:t>
      </w:r>
      <w:r w:rsidRPr="007A718D">
        <w:rPr>
          <w:lang w:val="fr-FR"/>
        </w:rPr>
        <w:t>église n</w:t>
      </w:r>
      <w:r>
        <w:rPr>
          <w:lang w:val="fr-FR"/>
        </w:rPr>
        <w:t>’</w:t>
      </w:r>
      <w:r w:rsidRPr="007A718D">
        <w:rPr>
          <w:lang w:val="fr-FR"/>
        </w:rPr>
        <w:t>avait pas le droit de transférer ses courriels au procureur parce qu</w:t>
      </w:r>
      <w:r>
        <w:rPr>
          <w:lang w:val="fr-FR"/>
        </w:rPr>
        <w:t>’</w:t>
      </w:r>
      <w:r w:rsidRPr="007A718D">
        <w:rPr>
          <w:lang w:val="fr-FR"/>
        </w:rPr>
        <w:t>ils relevaient du secret de la confession et que le procureur avait prévu d</w:t>
      </w:r>
      <w:r>
        <w:rPr>
          <w:lang w:val="fr-FR"/>
        </w:rPr>
        <w:t>’</w:t>
      </w:r>
      <w:r w:rsidRPr="007A718D">
        <w:rPr>
          <w:lang w:val="fr-FR"/>
        </w:rPr>
        <w:t>effectuer une perquisition et d</w:t>
      </w:r>
      <w:r>
        <w:rPr>
          <w:lang w:val="fr-FR"/>
        </w:rPr>
        <w:t>’</w:t>
      </w:r>
      <w:r w:rsidRPr="007A718D">
        <w:rPr>
          <w:lang w:val="fr-FR"/>
        </w:rPr>
        <w:t>autres actes de procédure en mai 2010, ce qui montrait qu</w:t>
      </w:r>
      <w:r>
        <w:rPr>
          <w:lang w:val="fr-FR"/>
        </w:rPr>
        <w:t>’</w:t>
      </w:r>
      <w:r w:rsidRPr="007A718D">
        <w:rPr>
          <w:lang w:val="fr-FR"/>
        </w:rPr>
        <w:t>il avait un a priori négatif à son égard</w:t>
      </w:r>
      <w:r w:rsidRPr="006473EF">
        <w:rPr>
          <w:lang w:val="fr-FR"/>
        </w:rPr>
        <w:t>.</w:t>
      </w:r>
      <w:r w:rsidRPr="007A718D">
        <w:rPr>
          <w:lang w:val="fr-FR"/>
        </w:rPr>
        <w:t xml:space="preserve"> L</w:t>
      </w:r>
      <w:r>
        <w:rPr>
          <w:lang w:val="fr-FR"/>
        </w:rPr>
        <w:t>’</w:t>
      </w:r>
      <w:r w:rsidRPr="007A718D">
        <w:rPr>
          <w:lang w:val="fr-FR"/>
        </w:rPr>
        <w:t>auteur a également affirmé que les mesures restrictives imposées lui avaient fait perdre sa source de revenus car il vivait et travaillait alors au Danemark</w:t>
      </w:r>
      <w:r w:rsidRPr="006473EF">
        <w:rPr>
          <w:lang w:val="fr-FR"/>
        </w:rPr>
        <w:t>.</w:t>
      </w:r>
      <w:r w:rsidRPr="007A718D">
        <w:rPr>
          <w:lang w:val="fr-FR"/>
        </w:rPr>
        <w:t xml:space="preserve"> Il a ajouté qu</w:t>
      </w:r>
      <w:r>
        <w:rPr>
          <w:lang w:val="fr-FR"/>
        </w:rPr>
        <w:t>’</w:t>
      </w:r>
      <w:r w:rsidRPr="007A718D">
        <w:rPr>
          <w:lang w:val="fr-FR"/>
        </w:rPr>
        <w:t>il avait été empêché de poursuivre ses études au Danemark, et qu</w:t>
      </w:r>
      <w:r>
        <w:rPr>
          <w:lang w:val="fr-FR"/>
        </w:rPr>
        <w:t>’</w:t>
      </w:r>
      <w:r w:rsidRPr="007A718D">
        <w:rPr>
          <w:lang w:val="fr-FR"/>
        </w:rPr>
        <w:t>une arrestation aurait été une meilleure solution que l</w:t>
      </w:r>
      <w:r>
        <w:rPr>
          <w:lang w:val="fr-FR"/>
        </w:rPr>
        <w:t>’</w:t>
      </w:r>
      <w:r w:rsidRPr="007A718D">
        <w:rPr>
          <w:lang w:val="fr-FR"/>
        </w:rPr>
        <w:t>imposition de ces mesures</w:t>
      </w:r>
      <w:r w:rsidRPr="006473EF">
        <w:rPr>
          <w:lang w:val="fr-FR"/>
        </w:rPr>
        <w:t>.</w:t>
      </w:r>
    </w:p>
    <w:p w14:paraId="1C8466AE" w14:textId="77777777" w:rsidR="00571F5C" w:rsidRPr="007A718D" w:rsidRDefault="00571F5C" w:rsidP="00571F5C">
      <w:pPr>
        <w:pStyle w:val="SingleTxtG"/>
        <w:rPr>
          <w:lang w:val="x-none"/>
        </w:rPr>
      </w:pPr>
      <w:r w:rsidRPr="00963892">
        <w:rPr>
          <w:lang w:val="fr-FR"/>
        </w:rPr>
        <w:t>4</w:t>
      </w:r>
      <w:r w:rsidRPr="006473EF">
        <w:rPr>
          <w:lang w:val="fr-FR"/>
        </w:rPr>
        <w:t>.</w:t>
      </w:r>
      <w:r w:rsidRPr="00963892">
        <w:rPr>
          <w:lang w:val="fr-FR"/>
        </w:rPr>
        <w:t>12</w:t>
      </w:r>
      <w:r w:rsidRPr="00963892">
        <w:rPr>
          <w:lang w:val="fr-FR"/>
        </w:rPr>
        <w:tab/>
        <w:t>Le 23 janvier 2017, le tribunal de district de la ville de Vilnius a rejeté la plainte</w:t>
      </w:r>
      <w:r w:rsidRPr="00963892">
        <w:rPr>
          <w:b/>
          <w:bCs/>
          <w:lang w:val="fr-FR"/>
        </w:rPr>
        <w:t xml:space="preserve"> </w:t>
      </w:r>
      <w:r w:rsidRPr="00963892">
        <w:rPr>
          <w:lang w:val="fr-FR"/>
        </w:rPr>
        <w:t>de l</w:t>
      </w:r>
      <w:r>
        <w:rPr>
          <w:lang w:val="fr-FR"/>
        </w:rPr>
        <w:t>’</w:t>
      </w:r>
      <w:r w:rsidRPr="00963892">
        <w:rPr>
          <w:lang w:val="fr-FR"/>
        </w:rPr>
        <w:t>auteur au motif que la responsabilité civile de l</w:t>
      </w:r>
      <w:r>
        <w:rPr>
          <w:lang w:val="fr-FR"/>
        </w:rPr>
        <w:t>’</w:t>
      </w:r>
      <w:r w:rsidRPr="00963892">
        <w:rPr>
          <w:lang w:val="fr-FR"/>
        </w:rPr>
        <w:t>État n</w:t>
      </w:r>
      <w:r>
        <w:rPr>
          <w:lang w:val="fr-FR"/>
        </w:rPr>
        <w:t>’</w:t>
      </w:r>
      <w:r w:rsidRPr="00963892">
        <w:rPr>
          <w:lang w:val="fr-FR"/>
        </w:rPr>
        <w:t>était engagée que si trois critères étaient remplis</w:t>
      </w:r>
      <w:r>
        <w:rPr>
          <w:lang w:val="fr-FR"/>
        </w:rPr>
        <w:t> </w:t>
      </w:r>
      <w:r w:rsidRPr="00963892">
        <w:rPr>
          <w:lang w:val="fr-FR"/>
        </w:rPr>
        <w:t>: il fallait que des actes illégaux (ou omissions) aient été commis par les autorités, que ces actes (ou omissions) aient entraîné un préjudice et qu</w:t>
      </w:r>
      <w:r>
        <w:rPr>
          <w:lang w:val="fr-FR"/>
        </w:rPr>
        <w:t>’</w:t>
      </w:r>
      <w:r w:rsidRPr="00963892">
        <w:rPr>
          <w:lang w:val="fr-FR"/>
        </w:rPr>
        <w:t>il existe un lien de causalité entre les actes</w:t>
      </w:r>
      <w:r w:rsidRPr="007A718D">
        <w:rPr>
          <w:lang w:val="fr-FR"/>
        </w:rPr>
        <w:t xml:space="preserve"> illégaux (ou omissions) et le préjudice</w:t>
      </w:r>
      <w:r w:rsidRPr="006473EF">
        <w:rPr>
          <w:lang w:val="fr-FR"/>
        </w:rPr>
        <w:t>.</w:t>
      </w:r>
      <w:r w:rsidRPr="007A718D">
        <w:rPr>
          <w:lang w:val="fr-FR"/>
        </w:rPr>
        <w:t xml:space="preserve"> Il pouvait être établi que des actes étaient illégaux lorsque les agents chargés de l</w:t>
      </w:r>
      <w:r>
        <w:rPr>
          <w:lang w:val="fr-FR"/>
        </w:rPr>
        <w:t>’</w:t>
      </w:r>
      <w:r w:rsidRPr="007A718D">
        <w:rPr>
          <w:lang w:val="fr-FR"/>
        </w:rPr>
        <w:t>enquête préliminaire, les procureurs ou le tribunal avaient commis une erreur qui avait eu une incidence majeure sur la violation des droits du demandeur dans le cadre d</w:t>
      </w:r>
      <w:r>
        <w:rPr>
          <w:lang w:val="fr-FR"/>
        </w:rPr>
        <w:t>’</w:t>
      </w:r>
      <w:r w:rsidRPr="007A718D">
        <w:rPr>
          <w:lang w:val="fr-FR"/>
        </w:rPr>
        <w:t>une procédure pénale</w:t>
      </w:r>
      <w:r w:rsidRPr="006473EF">
        <w:rPr>
          <w:lang w:val="fr-FR"/>
        </w:rPr>
        <w:t>.</w:t>
      </w:r>
      <w:r w:rsidRPr="007A718D">
        <w:rPr>
          <w:lang w:val="fr-FR"/>
        </w:rPr>
        <w:t xml:space="preserve"> Le tribunal de district a rappelé la jurisprudence de la Cour suprême selon laquelle un jugement d</w:t>
      </w:r>
      <w:r>
        <w:rPr>
          <w:lang w:val="fr-FR"/>
        </w:rPr>
        <w:t>’</w:t>
      </w:r>
      <w:r w:rsidRPr="007A718D">
        <w:rPr>
          <w:lang w:val="fr-FR"/>
        </w:rPr>
        <w:t>acquittement ou la clôture d</w:t>
      </w:r>
      <w:r>
        <w:rPr>
          <w:lang w:val="fr-FR"/>
        </w:rPr>
        <w:t>’</w:t>
      </w:r>
      <w:r w:rsidRPr="007A718D">
        <w:rPr>
          <w:lang w:val="fr-FR"/>
        </w:rPr>
        <w:t>une enquête préliminaire ne signifiait pas nécessairement que tous les actes posés dans le cadre de la procédure étaient illégaux</w:t>
      </w:r>
      <w:r w:rsidRPr="006473EF">
        <w:rPr>
          <w:lang w:val="fr-FR"/>
        </w:rPr>
        <w:t>.</w:t>
      </w:r>
      <w:r w:rsidRPr="007A718D">
        <w:rPr>
          <w:lang w:val="fr-FR"/>
        </w:rPr>
        <w:t xml:space="preserve"> En d</w:t>
      </w:r>
      <w:r>
        <w:rPr>
          <w:lang w:val="fr-FR"/>
        </w:rPr>
        <w:t>’</w:t>
      </w:r>
      <w:r w:rsidRPr="007A718D">
        <w:rPr>
          <w:lang w:val="fr-FR"/>
        </w:rPr>
        <w:t>autres termes, l</w:t>
      </w:r>
      <w:r>
        <w:rPr>
          <w:lang w:val="fr-FR"/>
        </w:rPr>
        <w:t>’</w:t>
      </w:r>
      <w:r w:rsidRPr="007A718D">
        <w:rPr>
          <w:lang w:val="fr-FR"/>
        </w:rPr>
        <w:t>acquittement d</w:t>
      </w:r>
      <w:r>
        <w:rPr>
          <w:lang w:val="fr-FR"/>
        </w:rPr>
        <w:t>’</w:t>
      </w:r>
      <w:r w:rsidRPr="007A718D">
        <w:rPr>
          <w:lang w:val="fr-FR"/>
        </w:rPr>
        <w:t>une personne poursuivie au pénal ne signifiait pas que l</w:t>
      </w:r>
      <w:r>
        <w:rPr>
          <w:lang w:val="fr-FR"/>
        </w:rPr>
        <w:t>’</w:t>
      </w:r>
      <w:r w:rsidRPr="007A718D">
        <w:rPr>
          <w:lang w:val="fr-FR"/>
        </w:rPr>
        <w:t xml:space="preserve">application de mesures civiles restrictives était </w:t>
      </w:r>
      <w:r w:rsidRPr="007A718D">
        <w:rPr>
          <w:lang w:val="fr-FR"/>
        </w:rPr>
        <w:lastRenderedPageBreak/>
        <w:t xml:space="preserve">illégale </w:t>
      </w:r>
      <w:r w:rsidRPr="00B13C41">
        <w:rPr>
          <w:i/>
          <w:iCs/>
          <w:lang w:val="fr-FR"/>
        </w:rPr>
        <w:t>ab initio</w:t>
      </w:r>
      <w:r w:rsidRPr="006473EF">
        <w:rPr>
          <w:lang w:val="fr-FR"/>
        </w:rPr>
        <w:t>.</w:t>
      </w:r>
      <w:r w:rsidRPr="007A718D">
        <w:rPr>
          <w:lang w:val="fr-FR"/>
        </w:rPr>
        <w:t xml:space="preserve"> Le tribunal de district a également fait référence à la jurisprudence de la Cour européenne des droits de l</w:t>
      </w:r>
      <w:r>
        <w:rPr>
          <w:lang w:val="fr-FR"/>
        </w:rPr>
        <w:t>’</w:t>
      </w:r>
      <w:r w:rsidRPr="007A718D">
        <w:rPr>
          <w:lang w:val="fr-FR"/>
        </w:rPr>
        <w:t>homme, selon laquelle l</w:t>
      </w:r>
      <w:r>
        <w:rPr>
          <w:lang w:val="fr-FR"/>
        </w:rPr>
        <w:t>’</w:t>
      </w:r>
      <w:r w:rsidRPr="007A718D">
        <w:rPr>
          <w:lang w:val="fr-FR"/>
        </w:rPr>
        <w:t>acquittement d</w:t>
      </w:r>
      <w:r>
        <w:rPr>
          <w:lang w:val="fr-FR"/>
        </w:rPr>
        <w:t>’</w:t>
      </w:r>
      <w:r w:rsidRPr="007A718D">
        <w:rPr>
          <w:lang w:val="fr-FR"/>
        </w:rPr>
        <w:t xml:space="preserve">une personne ne signifiait pas en soi que les poursuites engagées contre elle </w:t>
      </w:r>
      <w:r>
        <w:rPr>
          <w:lang w:val="fr-FR"/>
        </w:rPr>
        <w:t xml:space="preserve">avaient </w:t>
      </w:r>
      <w:r w:rsidRPr="007A718D">
        <w:rPr>
          <w:lang w:val="fr-FR"/>
        </w:rPr>
        <w:t>ét</w:t>
      </w:r>
      <w:r>
        <w:rPr>
          <w:lang w:val="fr-FR"/>
        </w:rPr>
        <w:t>é</w:t>
      </w:r>
      <w:r w:rsidRPr="007A718D">
        <w:rPr>
          <w:lang w:val="fr-FR"/>
        </w:rPr>
        <w:t xml:space="preserve"> illégales ou autrement entachées d</w:t>
      </w:r>
      <w:r>
        <w:rPr>
          <w:lang w:val="fr-FR"/>
        </w:rPr>
        <w:t>’</w:t>
      </w:r>
      <w:r w:rsidRPr="007A718D">
        <w:rPr>
          <w:lang w:val="fr-FR"/>
        </w:rPr>
        <w:t>erreur</w:t>
      </w:r>
      <w:r w:rsidRPr="00571F5C">
        <w:rPr>
          <w:rStyle w:val="Appelnotedebasdep"/>
        </w:rPr>
        <w:footnoteReference w:id="10"/>
      </w:r>
      <w:r w:rsidRPr="006473EF">
        <w:rPr>
          <w:lang w:val="fr-FR"/>
        </w:rPr>
        <w:t>.</w:t>
      </w:r>
    </w:p>
    <w:p w14:paraId="1E63DE6E"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13</w:t>
      </w:r>
      <w:r w:rsidRPr="007A718D">
        <w:rPr>
          <w:lang w:val="fr-FR"/>
        </w:rPr>
        <w:tab/>
        <w:t>Le tribunal de district de la ville de Vilnius a expliqué</w:t>
      </w:r>
      <w:r w:rsidRPr="007A718D">
        <w:rPr>
          <w:b/>
          <w:bCs/>
          <w:lang w:val="fr-FR"/>
        </w:rPr>
        <w:t xml:space="preserve"> </w:t>
      </w:r>
      <w:r w:rsidRPr="007A718D">
        <w:rPr>
          <w:lang w:val="fr-FR"/>
        </w:rPr>
        <w:t>que les facteurs à prendre en compte pour établir la responsabilité civile de l</w:t>
      </w:r>
      <w:r>
        <w:rPr>
          <w:lang w:val="fr-FR"/>
        </w:rPr>
        <w:t>’</w:t>
      </w:r>
      <w:r w:rsidRPr="007A718D">
        <w:rPr>
          <w:lang w:val="fr-FR"/>
        </w:rPr>
        <w:t>État étaient notamment les suivants</w:t>
      </w:r>
      <w:r>
        <w:rPr>
          <w:lang w:val="fr-FR"/>
        </w:rPr>
        <w:t> </w:t>
      </w:r>
      <w:r w:rsidRPr="007A718D">
        <w:rPr>
          <w:lang w:val="fr-FR"/>
        </w:rPr>
        <w:t>: le point de savoir si le ministère public</w:t>
      </w:r>
      <w:r w:rsidRPr="007A718D">
        <w:rPr>
          <w:b/>
          <w:bCs/>
          <w:lang w:val="fr-FR"/>
        </w:rPr>
        <w:t xml:space="preserve"> </w:t>
      </w:r>
      <w:r w:rsidRPr="007A718D">
        <w:rPr>
          <w:lang w:val="fr-FR"/>
        </w:rPr>
        <w:t>était initialement en possession d</w:t>
      </w:r>
      <w:r>
        <w:rPr>
          <w:lang w:val="fr-FR"/>
        </w:rPr>
        <w:t>’</w:t>
      </w:r>
      <w:r w:rsidRPr="007A718D">
        <w:rPr>
          <w:lang w:val="fr-FR"/>
        </w:rPr>
        <w:t>informations suffisantes indiquant que le suspect avait commis une infraction ; la raison pour laquelle il était mis fin à l</w:t>
      </w:r>
      <w:r>
        <w:rPr>
          <w:lang w:val="fr-FR"/>
        </w:rPr>
        <w:t>’</w:t>
      </w:r>
      <w:r w:rsidRPr="007A718D">
        <w:rPr>
          <w:lang w:val="fr-FR"/>
        </w:rPr>
        <w:t>enquête préliminaire ; la légalité des actes posés pendant l</w:t>
      </w:r>
      <w:r>
        <w:rPr>
          <w:lang w:val="fr-FR"/>
        </w:rPr>
        <w:t>’</w:t>
      </w:r>
      <w:r w:rsidRPr="007A718D">
        <w:rPr>
          <w:lang w:val="fr-FR"/>
        </w:rPr>
        <w:t>enquête préliminaire</w:t>
      </w:r>
      <w:r w:rsidRPr="006473EF">
        <w:rPr>
          <w:lang w:val="fr-FR"/>
        </w:rPr>
        <w:t>.</w:t>
      </w:r>
      <w:r w:rsidRPr="007A718D">
        <w:rPr>
          <w:lang w:val="fr-FR"/>
        </w:rPr>
        <w:t xml:space="preserve"> Dans le cas de l</w:t>
      </w:r>
      <w:r>
        <w:rPr>
          <w:lang w:val="fr-FR"/>
        </w:rPr>
        <w:t>’</w:t>
      </w:r>
      <w:r w:rsidRPr="007A718D">
        <w:rPr>
          <w:lang w:val="fr-FR"/>
        </w:rPr>
        <w:t>auteur, les éléments des infractions visées aux articles 181 et 294 du Code pénal étaient présents</w:t>
      </w:r>
      <w:r w:rsidRPr="006473EF">
        <w:rPr>
          <w:lang w:val="fr-FR"/>
        </w:rPr>
        <w:t>.</w:t>
      </w:r>
      <w:r w:rsidRPr="007A718D">
        <w:rPr>
          <w:lang w:val="fr-FR"/>
        </w:rPr>
        <w:t xml:space="preserve"> Le ministère public avait mis fin à l</w:t>
      </w:r>
      <w:r>
        <w:rPr>
          <w:lang w:val="fr-FR"/>
        </w:rPr>
        <w:t>’</w:t>
      </w:r>
      <w:r w:rsidRPr="007A718D">
        <w:rPr>
          <w:lang w:val="fr-FR"/>
        </w:rPr>
        <w:t>enquête préliminaire visant l</w:t>
      </w:r>
      <w:r>
        <w:rPr>
          <w:lang w:val="fr-FR"/>
        </w:rPr>
        <w:t>’</w:t>
      </w:r>
      <w:r w:rsidRPr="007A718D">
        <w:rPr>
          <w:lang w:val="fr-FR"/>
        </w:rPr>
        <w:t>auteur parce que les courriels que celui-ci avait adressés à l</w:t>
      </w:r>
      <w:r>
        <w:rPr>
          <w:lang w:val="fr-FR"/>
        </w:rPr>
        <w:t>’</w:t>
      </w:r>
      <w:r w:rsidRPr="007A718D">
        <w:rPr>
          <w:lang w:val="fr-FR"/>
        </w:rPr>
        <w:t>église ne constituaient pas une diffusion illégale d</w:t>
      </w:r>
      <w:r>
        <w:rPr>
          <w:lang w:val="fr-FR"/>
        </w:rPr>
        <w:t>’</w:t>
      </w:r>
      <w:r w:rsidRPr="007A718D">
        <w:rPr>
          <w:lang w:val="fr-FR"/>
        </w:rPr>
        <w:t>informations et qu</w:t>
      </w:r>
      <w:r>
        <w:rPr>
          <w:lang w:val="fr-FR"/>
        </w:rPr>
        <w:t>’</w:t>
      </w:r>
      <w:r w:rsidRPr="007A718D">
        <w:rPr>
          <w:lang w:val="fr-FR"/>
        </w:rPr>
        <w:t>aucune preuve incontestable de sa culpabilité n</w:t>
      </w:r>
      <w:r>
        <w:rPr>
          <w:lang w:val="fr-FR"/>
        </w:rPr>
        <w:t>’</w:t>
      </w:r>
      <w:r w:rsidRPr="007A718D">
        <w:rPr>
          <w:lang w:val="fr-FR"/>
        </w:rPr>
        <w:t>avait été reçue</w:t>
      </w:r>
      <w:r w:rsidRPr="006473EF">
        <w:rPr>
          <w:lang w:val="fr-FR"/>
        </w:rPr>
        <w:t>.</w:t>
      </w:r>
      <w:r w:rsidRPr="007A718D">
        <w:rPr>
          <w:lang w:val="fr-FR"/>
        </w:rPr>
        <w:t xml:space="preserve"> Toutefois, cela ne signifiait pas que l</w:t>
      </w:r>
      <w:r>
        <w:rPr>
          <w:lang w:val="fr-FR"/>
        </w:rPr>
        <w:t>’</w:t>
      </w:r>
      <w:r w:rsidRPr="007A718D">
        <w:rPr>
          <w:lang w:val="fr-FR"/>
        </w:rPr>
        <w:t>ouverture de l</w:t>
      </w:r>
      <w:r>
        <w:rPr>
          <w:lang w:val="fr-FR"/>
        </w:rPr>
        <w:t>’</w:t>
      </w:r>
      <w:r w:rsidRPr="007A718D">
        <w:rPr>
          <w:lang w:val="fr-FR"/>
        </w:rPr>
        <w:t>enquête préliminaire était illégale</w:t>
      </w:r>
      <w:r w:rsidRPr="006473EF">
        <w:rPr>
          <w:lang w:val="fr-FR"/>
        </w:rPr>
        <w:t>.</w:t>
      </w:r>
      <w:r w:rsidRPr="007A718D">
        <w:rPr>
          <w:lang w:val="fr-FR"/>
        </w:rPr>
        <w:t xml:space="preserve"> Les agents du ministère public n</w:t>
      </w:r>
      <w:r>
        <w:rPr>
          <w:lang w:val="fr-FR"/>
        </w:rPr>
        <w:t>’</w:t>
      </w:r>
      <w:r w:rsidRPr="007A718D">
        <w:rPr>
          <w:lang w:val="fr-FR"/>
        </w:rPr>
        <w:t>avaient décidé de clore l</w:t>
      </w:r>
      <w:r>
        <w:rPr>
          <w:lang w:val="fr-FR"/>
        </w:rPr>
        <w:t>’</w:t>
      </w:r>
      <w:r w:rsidRPr="007A718D">
        <w:rPr>
          <w:lang w:val="fr-FR"/>
        </w:rPr>
        <w:t>enquête qu</w:t>
      </w:r>
      <w:r>
        <w:rPr>
          <w:lang w:val="fr-FR"/>
        </w:rPr>
        <w:t>’</w:t>
      </w:r>
      <w:r w:rsidRPr="007A718D">
        <w:rPr>
          <w:lang w:val="fr-FR"/>
        </w:rPr>
        <w:t>après avoir accompli différents actes de procédure, et notamment interrogé l</w:t>
      </w:r>
      <w:r>
        <w:rPr>
          <w:lang w:val="fr-FR"/>
        </w:rPr>
        <w:t>’</w:t>
      </w:r>
      <w:r w:rsidRPr="007A718D">
        <w:rPr>
          <w:lang w:val="fr-FR"/>
        </w:rPr>
        <w:t>auteur</w:t>
      </w:r>
      <w:r w:rsidRPr="006473EF">
        <w:rPr>
          <w:lang w:val="fr-FR"/>
        </w:rPr>
        <w:t>.</w:t>
      </w:r>
      <w:r w:rsidRPr="007A718D">
        <w:rPr>
          <w:lang w:val="fr-FR"/>
        </w:rPr>
        <w:t xml:space="preserve"> Le tribunal de district a également estimé que l</w:t>
      </w:r>
      <w:r>
        <w:rPr>
          <w:lang w:val="fr-FR"/>
        </w:rPr>
        <w:t>’</w:t>
      </w:r>
      <w:r w:rsidRPr="007A718D">
        <w:rPr>
          <w:lang w:val="fr-FR"/>
        </w:rPr>
        <w:t>enquête préliminaire n</w:t>
      </w:r>
      <w:r>
        <w:rPr>
          <w:lang w:val="fr-FR"/>
        </w:rPr>
        <w:t>’</w:t>
      </w:r>
      <w:r w:rsidRPr="007A718D">
        <w:rPr>
          <w:lang w:val="fr-FR"/>
        </w:rPr>
        <w:t>avait pas été excessivement longue</w:t>
      </w:r>
      <w:r w:rsidRPr="006473EF">
        <w:rPr>
          <w:lang w:val="fr-FR"/>
        </w:rPr>
        <w:t>.</w:t>
      </w:r>
      <w:r w:rsidRPr="007A718D">
        <w:rPr>
          <w:lang w:val="fr-FR"/>
        </w:rPr>
        <w:t xml:space="preserve"> En ce qui concerne les mesures restrictives, il a exprimé son désaccord avec l</w:t>
      </w:r>
      <w:r>
        <w:rPr>
          <w:lang w:val="fr-FR"/>
        </w:rPr>
        <w:t>’</w:t>
      </w:r>
      <w:r w:rsidRPr="007A718D">
        <w:rPr>
          <w:lang w:val="fr-FR"/>
        </w:rPr>
        <w:t>auteur, qui affirmait que des mesures plus clémentes auraient pu être appliquées, et a considéré que les mesures les plus clémentes avaient été appliquées</w:t>
      </w:r>
      <w:r w:rsidRPr="006473EF">
        <w:rPr>
          <w:lang w:val="fr-FR"/>
        </w:rPr>
        <w:t>.</w:t>
      </w:r>
      <w:r w:rsidRPr="007A718D">
        <w:rPr>
          <w:lang w:val="fr-FR"/>
        </w:rPr>
        <w:t xml:space="preserve"> Entre outre, c</w:t>
      </w:r>
      <w:r>
        <w:rPr>
          <w:lang w:val="fr-FR"/>
        </w:rPr>
        <w:t>’</w:t>
      </w:r>
      <w:r w:rsidRPr="007A718D">
        <w:rPr>
          <w:lang w:val="fr-FR"/>
        </w:rPr>
        <w:t>étaient l</w:t>
      </w:r>
      <w:r>
        <w:rPr>
          <w:lang w:val="fr-FR"/>
        </w:rPr>
        <w:t>’</w:t>
      </w:r>
      <w:r w:rsidRPr="007A718D">
        <w:rPr>
          <w:lang w:val="fr-FR"/>
        </w:rPr>
        <w:t>auteur et son avocat qui avaient ralenti le processus de modification de ces mesures</w:t>
      </w:r>
      <w:r w:rsidRPr="006473EF">
        <w:rPr>
          <w:lang w:val="fr-FR"/>
        </w:rPr>
        <w:t>.</w:t>
      </w:r>
      <w:r w:rsidRPr="007A718D">
        <w:rPr>
          <w:lang w:val="fr-FR"/>
        </w:rPr>
        <w:t xml:space="preserve"> Lorsque l</w:t>
      </w:r>
      <w:r>
        <w:rPr>
          <w:lang w:val="fr-FR"/>
        </w:rPr>
        <w:t>’</w:t>
      </w:r>
      <w:r w:rsidRPr="007A718D">
        <w:rPr>
          <w:lang w:val="fr-FR"/>
        </w:rPr>
        <w:t>auteur avait demandé à se rendre au Danemark afin de réunir des documents, le procureur lui en avait donné l</w:t>
      </w:r>
      <w:r>
        <w:rPr>
          <w:lang w:val="fr-FR"/>
        </w:rPr>
        <w:t>’</w:t>
      </w:r>
      <w:r w:rsidRPr="007A718D">
        <w:rPr>
          <w:lang w:val="fr-FR"/>
        </w:rPr>
        <w:t>autorisation pour trois semaines</w:t>
      </w:r>
      <w:r w:rsidRPr="006473EF">
        <w:rPr>
          <w:lang w:val="fr-FR"/>
        </w:rPr>
        <w:t>.</w:t>
      </w:r>
      <w:r w:rsidRPr="007A718D">
        <w:rPr>
          <w:lang w:val="fr-FR"/>
        </w:rPr>
        <w:t xml:space="preserve"> Le tribunal de district a également estimé que l</w:t>
      </w:r>
      <w:r>
        <w:rPr>
          <w:lang w:val="fr-FR"/>
        </w:rPr>
        <w:t>’</w:t>
      </w:r>
      <w:r w:rsidRPr="007A718D">
        <w:rPr>
          <w:lang w:val="fr-FR"/>
        </w:rPr>
        <w:t>auteur n</w:t>
      </w:r>
      <w:r>
        <w:rPr>
          <w:lang w:val="fr-FR"/>
        </w:rPr>
        <w:t>’</w:t>
      </w:r>
      <w:r w:rsidRPr="007A718D">
        <w:rPr>
          <w:lang w:val="fr-FR"/>
        </w:rPr>
        <w:t>avait pas prouvé que les actes posés dans le cadre de l</w:t>
      </w:r>
      <w:r>
        <w:rPr>
          <w:lang w:val="fr-FR"/>
        </w:rPr>
        <w:t>’</w:t>
      </w:r>
      <w:r w:rsidRPr="007A718D">
        <w:rPr>
          <w:lang w:val="fr-FR"/>
        </w:rPr>
        <w:t>enquête préliminaire indiquaient que les autorités chargées de l</w:t>
      </w:r>
      <w:r>
        <w:rPr>
          <w:lang w:val="fr-FR"/>
        </w:rPr>
        <w:t>’</w:t>
      </w:r>
      <w:r w:rsidRPr="007A718D">
        <w:rPr>
          <w:lang w:val="fr-FR"/>
        </w:rPr>
        <w:t>enquête étaient mal disposées à son égard</w:t>
      </w:r>
      <w:r w:rsidRPr="006473EF">
        <w:rPr>
          <w:lang w:val="fr-FR"/>
        </w:rPr>
        <w:t>.</w:t>
      </w:r>
      <w:r w:rsidRPr="007A718D">
        <w:rPr>
          <w:lang w:val="fr-FR"/>
        </w:rPr>
        <w:t xml:space="preserve"> En ce qui concerne l</w:t>
      </w:r>
      <w:r>
        <w:rPr>
          <w:lang w:val="fr-FR"/>
        </w:rPr>
        <w:t>’</w:t>
      </w:r>
      <w:r w:rsidRPr="007A718D">
        <w:rPr>
          <w:lang w:val="fr-FR"/>
        </w:rPr>
        <w:t>indemnisation pour préjudice non pécuniaire, il a estimé que l</w:t>
      </w:r>
      <w:r>
        <w:rPr>
          <w:lang w:val="fr-FR"/>
        </w:rPr>
        <w:t>’</w:t>
      </w:r>
      <w:r w:rsidRPr="007A718D">
        <w:rPr>
          <w:lang w:val="fr-FR"/>
        </w:rPr>
        <w:t>auteur n</w:t>
      </w:r>
      <w:r>
        <w:rPr>
          <w:lang w:val="fr-FR"/>
        </w:rPr>
        <w:t>’</w:t>
      </w:r>
      <w:r w:rsidRPr="007A718D">
        <w:rPr>
          <w:lang w:val="fr-FR"/>
        </w:rPr>
        <w:t>avait pas fourni d</w:t>
      </w:r>
      <w:r>
        <w:rPr>
          <w:lang w:val="fr-FR"/>
        </w:rPr>
        <w:t>’</w:t>
      </w:r>
      <w:r w:rsidRPr="007A718D">
        <w:rPr>
          <w:lang w:val="fr-FR"/>
        </w:rPr>
        <w:t>éléments permettant de justifier le montant demandé</w:t>
      </w:r>
      <w:r w:rsidRPr="006473EF">
        <w:rPr>
          <w:lang w:val="fr-FR"/>
        </w:rPr>
        <w:t>.</w:t>
      </w:r>
      <w:r w:rsidRPr="007A718D">
        <w:rPr>
          <w:lang w:val="fr-FR"/>
        </w:rPr>
        <w:t xml:space="preserve"> Il était en outre d</w:t>
      </w:r>
      <w:r>
        <w:rPr>
          <w:lang w:val="fr-FR"/>
        </w:rPr>
        <w:t>’</w:t>
      </w:r>
      <w:r w:rsidRPr="007A718D">
        <w:rPr>
          <w:lang w:val="fr-FR"/>
        </w:rPr>
        <w:t>avis que le comportement de l</w:t>
      </w:r>
      <w:r>
        <w:rPr>
          <w:lang w:val="fr-FR"/>
        </w:rPr>
        <w:t>’</w:t>
      </w:r>
      <w:r w:rsidRPr="007A718D">
        <w:rPr>
          <w:lang w:val="fr-FR"/>
        </w:rPr>
        <w:t>auteur avait eu un effet sur la durée de l</w:t>
      </w:r>
      <w:r>
        <w:rPr>
          <w:lang w:val="fr-FR"/>
        </w:rPr>
        <w:t>’</w:t>
      </w:r>
      <w:r w:rsidRPr="007A718D">
        <w:rPr>
          <w:lang w:val="fr-FR"/>
        </w:rPr>
        <w:t>enquête préliminaire</w:t>
      </w:r>
      <w:r w:rsidRPr="006473EF">
        <w:rPr>
          <w:lang w:val="fr-FR"/>
        </w:rPr>
        <w:t>.</w:t>
      </w:r>
      <w:r w:rsidRPr="007A718D">
        <w:rPr>
          <w:lang w:val="fr-FR"/>
        </w:rPr>
        <w:t xml:space="preserve"> Dès que l</w:t>
      </w:r>
      <w:r>
        <w:rPr>
          <w:lang w:val="fr-FR"/>
        </w:rPr>
        <w:t>’</w:t>
      </w:r>
      <w:r w:rsidRPr="007A718D">
        <w:rPr>
          <w:lang w:val="fr-FR"/>
        </w:rPr>
        <w:t>auteur avait fourni les documents pertinents au procureur, ce dernier avait transformé la mesure restrictive en cautionnement</w:t>
      </w:r>
      <w:r w:rsidRPr="006473EF">
        <w:rPr>
          <w:lang w:val="fr-FR"/>
        </w:rPr>
        <w:t>.</w:t>
      </w:r>
      <w:r w:rsidRPr="007A718D">
        <w:rPr>
          <w:lang w:val="fr-FR"/>
        </w:rPr>
        <w:t xml:space="preserve"> Le tribunal de district a débouté l</w:t>
      </w:r>
      <w:r>
        <w:rPr>
          <w:lang w:val="fr-FR"/>
        </w:rPr>
        <w:t>’</w:t>
      </w:r>
      <w:r w:rsidRPr="007A718D">
        <w:rPr>
          <w:lang w:val="fr-FR"/>
        </w:rPr>
        <w:t>auteur au motif qu</w:t>
      </w:r>
      <w:r>
        <w:rPr>
          <w:lang w:val="fr-FR"/>
        </w:rPr>
        <w:t>’</w:t>
      </w:r>
      <w:r w:rsidRPr="007A718D">
        <w:rPr>
          <w:lang w:val="fr-FR"/>
        </w:rPr>
        <w:t>il n</w:t>
      </w:r>
      <w:r>
        <w:rPr>
          <w:lang w:val="fr-FR"/>
        </w:rPr>
        <w:t>’</w:t>
      </w:r>
      <w:r w:rsidRPr="007A718D">
        <w:rPr>
          <w:lang w:val="fr-FR"/>
        </w:rPr>
        <w:t>y avait aucune preuve d</w:t>
      </w:r>
      <w:r>
        <w:rPr>
          <w:lang w:val="fr-FR"/>
        </w:rPr>
        <w:t>’</w:t>
      </w:r>
      <w:r w:rsidRPr="007A718D">
        <w:rPr>
          <w:lang w:val="fr-FR"/>
        </w:rPr>
        <w:t>actes illégaux de la part des autorités et que le délai accordé pour déposer une demande de dommages-intérêts en vertu de l</w:t>
      </w:r>
      <w:r>
        <w:rPr>
          <w:lang w:val="fr-FR"/>
        </w:rPr>
        <w:t>’</w:t>
      </w:r>
      <w:r w:rsidRPr="007A718D">
        <w:rPr>
          <w:lang w:val="fr-FR"/>
        </w:rPr>
        <w:t>article 1</w:t>
      </w:r>
      <w:r w:rsidRPr="006473EF">
        <w:rPr>
          <w:lang w:val="fr-FR"/>
        </w:rPr>
        <w:t>.</w:t>
      </w:r>
      <w:r w:rsidRPr="007A718D">
        <w:rPr>
          <w:lang w:val="fr-FR"/>
        </w:rPr>
        <w:t>125 (par</w:t>
      </w:r>
      <w:r w:rsidRPr="006473EF">
        <w:rPr>
          <w:lang w:val="fr-FR"/>
        </w:rPr>
        <w:t>.</w:t>
      </w:r>
      <w:r w:rsidRPr="007A718D">
        <w:rPr>
          <w:lang w:val="fr-FR"/>
        </w:rPr>
        <w:t xml:space="preserve"> 8) du Code civil avait été dépassé</w:t>
      </w:r>
      <w:r w:rsidRPr="006473EF">
        <w:rPr>
          <w:lang w:val="fr-FR"/>
        </w:rPr>
        <w:t>.</w:t>
      </w:r>
      <w:r w:rsidRPr="007A718D">
        <w:rPr>
          <w:lang w:val="fr-FR"/>
        </w:rPr>
        <w:t xml:space="preserve"> Le 7</w:t>
      </w:r>
      <w:r>
        <w:rPr>
          <w:lang w:val="fr-FR"/>
        </w:rPr>
        <w:t> </w:t>
      </w:r>
      <w:r w:rsidRPr="007A718D">
        <w:rPr>
          <w:lang w:val="fr-FR"/>
        </w:rPr>
        <w:t>juin 2011, le procureur a rendu la décision de clôture de l</w:t>
      </w:r>
      <w:r>
        <w:rPr>
          <w:lang w:val="fr-FR"/>
        </w:rPr>
        <w:t>’</w:t>
      </w:r>
      <w:r w:rsidRPr="007A718D">
        <w:rPr>
          <w:lang w:val="fr-FR"/>
        </w:rPr>
        <w:t>enquête préliminaire visant l</w:t>
      </w:r>
      <w:r>
        <w:rPr>
          <w:lang w:val="fr-FR"/>
        </w:rPr>
        <w:t>’</w:t>
      </w:r>
      <w:r w:rsidRPr="007A718D">
        <w:rPr>
          <w:lang w:val="fr-FR"/>
        </w:rPr>
        <w:t>auteur, et le 9</w:t>
      </w:r>
      <w:r>
        <w:rPr>
          <w:lang w:val="fr-FR"/>
        </w:rPr>
        <w:t> </w:t>
      </w:r>
      <w:r w:rsidRPr="007A718D">
        <w:rPr>
          <w:lang w:val="fr-FR"/>
        </w:rPr>
        <w:t>juin 2011, le tribunal de district de Šiauliai a rejeté la plainte de l</w:t>
      </w:r>
      <w:r>
        <w:rPr>
          <w:lang w:val="fr-FR"/>
        </w:rPr>
        <w:t>’</w:t>
      </w:r>
      <w:r w:rsidRPr="007A718D">
        <w:rPr>
          <w:lang w:val="fr-FR"/>
        </w:rPr>
        <w:t>auteur concernant l</w:t>
      </w:r>
      <w:r>
        <w:rPr>
          <w:lang w:val="fr-FR"/>
        </w:rPr>
        <w:t>’</w:t>
      </w:r>
      <w:r w:rsidRPr="007A718D">
        <w:rPr>
          <w:lang w:val="fr-FR"/>
        </w:rPr>
        <w:t>enquête préliminaire</w:t>
      </w:r>
      <w:r w:rsidRPr="006473EF">
        <w:rPr>
          <w:lang w:val="fr-FR"/>
        </w:rPr>
        <w:t>.</w:t>
      </w:r>
      <w:r w:rsidRPr="007A718D">
        <w:rPr>
          <w:lang w:val="fr-FR"/>
        </w:rPr>
        <w:t xml:space="preserve"> Ainsi, le délai de trois ans applicable à la demande de dommages-intérêts relative à l</w:t>
      </w:r>
      <w:r>
        <w:rPr>
          <w:lang w:val="fr-FR"/>
        </w:rPr>
        <w:t>’</w:t>
      </w:r>
      <w:r w:rsidRPr="007A718D">
        <w:rPr>
          <w:lang w:val="fr-FR"/>
        </w:rPr>
        <w:t>enquête préliminaire a commencé à courir le 9</w:t>
      </w:r>
      <w:r>
        <w:rPr>
          <w:lang w:val="fr-FR"/>
        </w:rPr>
        <w:t> </w:t>
      </w:r>
      <w:r w:rsidRPr="007A718D">
        <w:rPr>
          <w:lang w:val="fr-FR"/>
        </w:rPr>
        <w:t>juin 2011</w:t>
      </w:r>
      <w:r w:rsidRPr="006473EF">
        <w:rPr>
          <w:lang w:val="fr-FR"/>
        </w:rPr>
        <w:t>.</w:t>
      </w:r>
      <w:r w:rsidRPr="007A718D">
        <w:rPr>
          <w:lang w:val="fr-FR"/>
        </w:rPr>
        <w:t xml:space="preserve"> L</w:t>
      </w:r>
      <w:r>
        <w:rPr>
          <w:lang w:val="fr-FR"/>
        </w:rPr>
        <w:t>’</w:t>
      </w:r>
      <w:r w:rsidRPr="007A718D">
        <w:rPr>
          <w:lang w:val="fr-FR"/>
        </w:rPr>
        <w:t>auteur a présenté sa demande de dommages-intérêts après l</w:t>
      </w:r>
      <w:r>
        <w:rPr>
          <w:lang w:val="fr-FR"/>
        </w:rPr>
        <w:t>’</w:t>
      </w:r>
      <w:r w:rsidRPr="007A718D">
        <w:rPr>
          <w:lang w:val="fr-FR"/>
        </w:rPr>
        <w:t>expiration de ce délai, le 18</w:t>
      </w:r>
      <w:r>
        <w:rPr>
          <w:lang w:val="fr-FR"/>
        </w:rPr>
        <w:t> </w:t>
      </w:r>
      <w:r w:rsidRPr="007A718D">
        <w:rPr>
          <w:lang w:val="fr-FR"/>
        </w:rPr>
        <w:t>juin 2014</w:t>
      </w:r>
      <w:r w:rsidRPr="006473EF">
        <w:rPr>
          <w:lang w:val="fr-FR"/>
        </w:rPr>
        <w:t>.</w:t>
      </w:r>
    </w:p>
    <w:p w14:paraId="7858E4CB" w14:textId="77777777" w:rsidR="00571F5C" w:rsidRPr="007A718D" w:rsidRDefault="00571F5C" w:rsidP="00571F5C">
      <w:pPr>
        <w:pStyle w:val="SingleTxtG"/>
        <w:rPr>
          <w:lang w:val="x-none"/>
        </w:rPr>
      </w:pPr>
      <w:r w:rsidRPr="008F1B7C">
        <w:rPr>
          <w:lang w:val="fr-FR"/>
        </w:rPr>
        <w:t>4</w:t>
      </w:r>
      <w:r w:rsidRPr="006473EF">
        <w:rPr>
          <w:lang w:val="fr-FR"/>
        </w:rPr>
        <w:t>.</w:t>
      </w:r>
      <w:r w:rsidRPr="008F1B7C">
        <w:rPr>
          <w:lang w:val="fr-FR"/>
        </w:rPr>
        <w:t>14</w:t>
      </w:r>
      <w:r w:rsidRPr="008F1B7C">
        <w:rPr>
          <w:lang w:val="fr-FR"/>
        </w:rPr>
        <w:tab/>
        <w:t>Le 5 avril 2018, le tribunal régional de Vilnius a rejeté l</w:t>
      </w:r>
      <w:r>
        <w:rPr>
          <w:lang w:val="fr-FR"/>
        </w:rPr>
        <w:t>’</w:t>
      </w:r>
      <w:r w:rsidRPr="008F1B7C">
        <w:rPr>
          <w:lang w:val="fr-FR"/>
        </w:rPr>
        <w:t>appel de l</w:t>
      </w:r>
      <w:r>
        <w:rPr>
          <w:lang w:val="fr-FR"/>
        </w:rPr>
        <w:t>’</w:t>
      </w:r>
      <w:r w:rsidRPr="008F1B7C">
        <w:rPr>
          <w:lang w:val="fr-FR"/>
        </w:rPr>
        <w:t>auteur au motif que le tribunal de district avait déjà examiné de manière approfondie les mêmes arguments que ceux avancés par l</w:t>
      </w:r>
      <w:r>
        <w:rPr>
          <w:lang w:val="fr-FR"/>
        </w:rPr>
        <w:t>’</w:t>
      </w:r>
      <w:r w:rsidRPr="008F1B7C">
        <w:rPr>
          <w:lang w:val="fr-FR"/>
        </w:rPr>
        <w:t>auteur en appel</w:t>
      </w:r>
      <w:r w:rsidRPr="006473EF">
        <w:rPr>
          <w:lang w:val="fr-FR"/>
        </w:rPr>
        <w:t>.</w:t>
      </w:r>
      <w:r w:rsidRPr="008F1B7C">
        <w:rPr>
          <w:lang w:val="fr-FR"/>
        </w:rPr>
        <w:t xml:space="preserve"> Le 4 juillet 2018, la Cour suprême a rejeté le pourvoi de l</w:t>
      </w:r>
      <w:r>
        <w:rPr>
          <w:lang w:val="fr-FR"/>
        </w:rPr>
        <w:t>’</w:t>
      </w:r>
      <w:r w:rsidRPr="008F1B7C">
        <w:rPr>
          <w:lang w:val="fr-FR"/>
        </w:rPr>
        <w:t>auteur</w:t>
      </w:r>
      <w:r w:rsidRPr="007A718D">
        <w:rPr>
          <w:lang w:val="fr-FR"/>
        </w:rPr>
        <w:t xml:space="preserve"> en raison de l</w:t>
      </w:r>
      <w:r>
        <w:rPr>
          <w:lang w:val="fr-FR"/>
        </w:rPr>
        <w:t>’</w:t>
      </w:r>
      <w:r w:rsidRPr="007A718D">
        <w:rPr>
          <w:lang w:val="fr-FR"/>
        </w:rPr>
        <w:t>absence de moyens de cassation</w:t>
      </w:r>
      <w:r w:rsidRPr="006473EF">
        <w:rPr>
          <w:lang w:val="fr-FR"/>
        </w:rPr>
        <w:t>.</w:t>
      </w:r>
    </w:p>
    <w:p w14:paraId="054E40DA" w14:textId="77777777" w:rsidR="00571F5C" w:rsidRPr="007A718D" w:rsidRDefault="00571F5C" w:rsidP="00571F5C">
      <w:pPr>
        <w:pStyle w:val="H4G"/>
      </w:pPr>
      <w:r w:rsidRPr="007A718D">
        <w:rPr>
          <w:lang w:val="fr-FR"/>
        </w:rPr>
        <w:tab/>
      </w:r>
      <w:r w:rsidRPr="007A718D">
        <w:rPr>
          <w:lang w:val="fr-FR"/>
        </w:rPr>
        <w:tab/>
        <w:t>Réponse aux griefs de l</w:t>
      </w:r>
      <w:r>
        <w:rPr>
          <w:lang w:val="fr-FR"/>
        </w:rPr>
        <w:t>’</w:t>
      </w:r>
      <w:r w:rsidRPr="007A718D">
        <w:rPr>
          <w:lang w:val="fr-FR"/>
        </w:rPr>
        <w:t>auteur</w:t>
      </w:r>
    </w:p>
    <w:p w14:paraId="261A9D79"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15</w:t>
      </w:r>
      <w:r w:rsidRPr="007A718D">
        <w:rPr>
          <w:lang w:val="fr-FR"/>
        </w:rPr>
        <w:tab/>
        <w:t>Les griefs que l</w:t>
      </w:r>
      <w:r>
        <w:rPr>
          <w:lang w:val="fr-FR"/>
        </w:rPr>
        <w:t>’</w:t>
      </w:r>
      <w:r w:rsidRPr="007A718D">
        <w:rPr>
          <w:lang w:val="fr-FR"/>
        </w:rPr>
        <w:t>auteur tire des articles 2 (par</w:t>
      </w:r>
      <w:r w:rsidRPr="006473EF">
        <w:rPr>
          <w:lang w:val="fr-FR"/>
        </w:rPr>
        <w:t>.</w:t>
      </w:r>
      <w:r w:rsidRPr="007A718D">
        <w:rPr>
          <w:lang w:val="fr-FR"/>
        </w:rPr>
        <w:t xml:space="preserve"> 2), 12 et 14 (par</w:t>
      </w:r>
      <w:r w:rsidRPr="006473EF">
        <w:rPr>
          <w:lang w:val="fr-FR"/>
        </w:rPr>
        <w:t>.</w:t>
      </w:r>
      <w:r w:rsidRPr="007A718D">
        <w:rPr>
          <w:lang w:val="fr-FR"/>
        </w:rPr>
        <w:t xml:space="preserve"> 2) du Pacte sont tous irrecevables parce que l</w:t>
      </w:r>
      <w:r>
        <w:rPr>
          <w:lang w:val="fr-FR"/>
        </w:rPr>
        <w:t>’</w:t>
      </w:r>
      <w:r w:rsidRPr="007A718D">
        <w:rPr>
          <w:lang w:val="fr-FR"/>
        </w:rPr>
        <w:t>auteur n</w:t>
      </w:r>
      <w:r>
        <w:rPr>
          <w:lang w:val="fr-FR"/>
        </w:rPr>
        <w:t>’</w:t>
      </w:r>
      <w:r w:rsidRPr="007A718D">
        <w:rPr>
          <w:lang w:val="fr-FR"/>
        </w:rPr>
        <w:t>a pas épuisé les recours internes</w:t>
      </w:r>
      <w:r w:rsidRPr="006473EF">
        <w:rPr>
          <w:lang w:val="fr-FR"/>
        </w:rPr>
        <w:t>.</w:t>
      </w:r>
      <w:r w:rsidRPr="007A718D">
        <w:rPr>
          <w:lang w:val="fr-FR"/>
        </w:rPr>
        <w:t xml:space="preserve"> Plus précisément, il n</w:t>
      </w:r>
      <w:r>
        <w:rPr>
          <w:lang w:val="fr-FR"/>
        </w:rPr>
        <w:t>’</w:t>
      </w:r>
      <w:r w:rsidRPr="007A718D">
        <w:rPr>
          <w:lang w:val="fr-FR"/>
        </w:rPr>
        <w:t>a pas engagé d</w:t>
      </w:r>
      <w:r>
        <w:rPr>
          <w:lang w:val="fr-FR"/>
        </w:rPr>
        <w:t>’</w:t>
      </w:r>
      <w:r w:rsidRPr="007A718D">
        <w:rPr>
          <w:lang w:val="fr-FR"/>
        </w:rPr>
        <w:t>action civile en dommages-intérêts dans le délai prévu par la loi</w:t>
      </w:r>
      <w:r w:rsidRPr="006473EF">
        <w:rPr>
          <w:lang w:val="fr-FR"/>
        </w:rPr>
        <w:t>.</w:t>
      </w:r>
      <w:r w:rsidRPr="007A718D">
        <w:rPr>
          <w:lang w:val="fr-FR"/>
        </w:rPr>
        <w:t xml:space="preserve"> En vertu de l</w:t>
      </w:r>
      <w:r>
        <w:rPr>
          <w:lang w:val="fr-FR"/>
        </w:rPr>
        <w:t>’</w:t>
      </w:r>
      <w:r w:rsidRPr="007A718D">
        <w:rPr>
          <w:lang w:val="fr-FR"/>
        </w:rPr>
        <w:t>article 1</w:t>
      </w:r>
      <w:r w:rsidRPr="006473EF">
        <w:rPr>
          <w:lang w:val="fr-FR"/>
        </w:rPr>
        <w:t>.</w:t>
      </w:r>
      <w:r w:rsidRPr="007A718D">
        <w:rPr>
          <w:lang w:val="fr-FR"/>
        </w:rPr>
        <w:t>125 (par</w:t>
      </w:r>
      <w:r w:rsidRPr="006473EF">
        <w:rPr>
          <w:lang w:val="fr-FR"/>
        </w:rPr>
        <w:t>.</w:t>
      </w:r>
      <w:r w:rsidRPr="007A718D">
        <w:rPr>
          <w:lang w:val="fr-FR"/>
        </w:rPr>
        <w:t xml:space="preserve"> 8) du Code civil, un délai de prescription de trois ans s</w:t>
      </w:r>
      <w:r>
        <w:rPr>
          <w:lang w:val="fr-FR"/>
        </w:rPr>
        <w:t>’</w:t>
      </w:r>
      <w:r w:rsidRPr="007A718D">
        <w:rPr>
          <w:lang w:val="fr-FR"/>
        </w:rPr>
        <w:t>applique aux demandes de dommages-intérêts et, comme expliqué au paragraphe 4</w:t>
      </w:r>
      <w:r w:rsidRPr="006473EF">
        <w:rPr>
          <w:lang w:val="fr-FR"/>
        </w:rPr>
        <w:t>.</w:t>
      </w:r>
      <w:r w:rsidRPr="007A718D">
        <w:rPr>
          <w:lang w:val="fr-FR"/>
        </w:rPr>
        <w:t>13 ci-dessus, l</w:t>
      </w:r>
      <w:r>
        <w:rPr>
          <w:lang w:val="fr-FR"/>
        </w:rPr>
        <w:t>’</w:t>
      </w:r>
      <w:r w:rsidRPr="007A718D">
        <w:rPr>
          <w:lang w:val="fr-FR"/>
        </w:rPr>
        <w:t>auteur a présenté sa demande après l</w:t>
      </w:r>
      <w:r>
        <w:rPr>
          <w:lang w:val="fr-FR"/>
        </w:rPr>
        <w:t>’</w:t>
      </w:r>
      <w:r w:rsidRPr="007A718D">
        <w:rPr>
          <w:lang w:val="fr-FR"/>
        </w:rPr>
        <w:t>expiration de ce délai, le 18</w:t>
      </w:r>
      <w:r>
        <w:rPr>
          <w:lang w:val="fr-FR"/>
        </w:rPr>
        <w:t> </w:t>
      </w:r>
      <w:r w:rsidRPr="007A718D">
        <w:rPr>
          <w:lang w:val="fr-FR"/>
        </w:rPr>
        <w:t>juin 2014</w:t>
      </w:r>
      <w:r w:rsidRPr="00571F5C">
        <w:rPr>
          <w:rStyle w:val="Appelnotedebasdep"/>
        </w:rPr>
        <w:footnoteReference w:id="11"/>
      </w:r>
      <w:r w:rsidRPr="006473EF">
        <w:rPr>
          <w:lang w:val="fr-FR"/>
        </w:rPr>
        <w:t>.</w:t>
      </w:r>
      <w:r w:rsidRPr="007A718D">
        <w:rPr>
          <w:lang w:val="fr-FR"/>
        </w:rPr>
        <w:t xml:space="preserve"> Le délai commence à courir à partir de la date à laquelle le droit d</w:t>
      </w:r>
      <w:r>
        <w:rPr>
          <w:lang w:val="fr-FR"/>
        </w:rPr>
        <w:t>’</w:t>
      </w:r>
      <w:r w:rsidRPr="007A718D">
        <w:rPr>
          <w:lang w:val="fr-FR"/>
        </w:rPr>
        <w:t>intenter une action prend naissance</w:t>
      </w:r>
      <w:r w:rsidRPr="006473EF">
        <w:rPr>
          <w:lang w:val="fr-FR"/>
        </w:rPr>
        <w:t>.</w:t>
      </w:r>
      <w:r w:rsidRPr="007A718D">
        <w:rPr>
          <w:lang w:val="fr-FR"/>
        </w:rPr>
        <w:t xml:space="preserve"> Les </w:t>
      </w:r>
      <w:r w:rsidRPr="007A718D">
        <w:rPr>
          <w:lang w:val="fr-FR"/>
        </w:rPr>
        <w:lastRenderedPageBreak/>
        <w:t>personnes ont le droit d</w:t>
      </w:r>
      <w:r>
        <w:rPr>
          <w:lang w:val="fr-FR"/>
        </w:rPr>
        <w:t>’</w:t>
      </w:r>
      <w:r w:rsidRPr="007A718D">
        <w:rPr>
          <w:lang w:val="fr-FR"/>
        </w:rPr>
        <w:t>intenter une action à compter de la date à laquelle elles ont eu connaissance, ou auraient dû avoir connaissance, d</w:t>
      </w:r>
      <w:r>
        <w:rPr>
          <w:lang w:val="fr-FR"/>
        </w:rPr>
        <w:t>’</w:t>
      </w:r>
      <w:r w:rsidRPr="007A718D">
        <w:rPr>
          <w:lang w:val="fr-FR"/>
        </w:rPr>
        <w:t>une violation de leurs droits</w:t>
      </w:r>
      <w:r w:rsidRPr="00571F5C">
        <w:rPr>
          <w:rStyle w:val="Appelnotedebasdep"/>
        </w:rPr>
        <w:footnoteReference w:id="12"/>
      </w:r>
      <w:r w:rsidRPr="006473EF">
        <w:rPr>
          <w:lang w:val="fr-FR"/>
        </w:rPr>
        <w:t>.</w:t>
      </w:r>
    </w:p>
    <w:p w14:paraId="66180039"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16</w:t>
      </w:r>
      <w:r w:rsidRPr="007A718D">
        <w:rPr>
          <w:lang w:val="fr-FR"/>
        </w:rPr>
        <w:tab/>
        <w:t>En outre, le grief que l</w:t>
      </w:r>
      <w:r>
        <w:rPr>
          <w:lang w:val="fr-FR"/>
        </w:rPr>
        <w:t>’</w:t>
      </w:r>
      <w:r w:rsidRPr="007A718D">
        <w:rPr>
          <w:lang w:val="fr-FR"/>
        </w:rPr>
        <w:t>auteur tire de l</w:t>
      </w:r>
      <w:r>
        <w:rPr>
          <w:lang w:val="fr-FR"/>
        </w:rPr>
        <w:t>’</w:t>
      </w:r>
      <w:r w:rsidRPr="007A718D">
        <w:rPr>
          <w:lang w:val="fr-FR"/>
        </w:rPr>
        <w:t>article 2 (par</w:t>
      </w:r>
      <w:r w:rsidRPr="006473EF">
        <w:rPr>
          <w:lang w:val="fr-FR"/>
        </w:rPr>
        <w:t>.</w:t>
      </w:r>
      <w:r w:rsidRPr="007A718D">
        <w:rPr>
          <w:lang w:val="fr-FR"/>
        </w:rPr>
        <w:t xml:space="preserve"> 2) du Pacte est irrecevable </w:t>
      </w:r>
      <w:r w:rsidRPr="007A718D">
        <w:rPr>
          <w:i/>
          <w:iCs/>
          <w:lang w:val="fr-FR"/>
        </w:rPr>
        <w:t>ratione</w:t>
      </w:r>
      <w:r>
        <w:rPr>
          <w:i/>
          <w:iCs/>
          <w:lang w:val="fr-FR"/>
        </w:rPr>
        <w:t> </w:t>
      </w:r>
      <w:r w:rsidRPr="007A718D">
        <w:rPr>
          <w:i/>
          <w:iCs/>
          <w:lang w:val="fr-FR"/>
        </w:rPr>
        <w:t>materiae</w:t>
      </w:r>
      <w:r w:rsidRPr="007A718D">
        <w:rPr>
          <w:lang w:val="fr-FR"/>
        </w:rPr>
        <w:t xml:space="preserve"> au regard de l</w:t>
      </w:r>
      <w:r>
        <w:rPr>
          <w:lang w:val="fr-FR"/>
        </w:rPr>
        <w:t>’</w:t>
      </w:r>
      <w:r w:rsidRPr="007A718D">
        <w:rPr>
          <w:lang w:val="fr-FR"/>
        </w:rPr>
        <w:t>article 3 du Protocole facultatif</w:t>
      </w:r>
      <w:r w:rsidRPr="006473EF">
        <w:rPr>
          <w:lang w:val="fr-FR"/>
        </w:rPr>
        <w:t>.</w:t>
      </w:r>
      <w:r w:rsidRPr="007A718D">
        <w:rPr>
          <w:lang w:val="fr-FR"/>
        </w:rPr>
        <w:t xml:space="preserve"> Selon la jurisprudence du Comité, les dispositions de l</w:t>
      </w:r>
      <w:r>
        <w:rPr>
          <w:lang w:val="fr-FR"/>
        </w:rPr>
        <w:t>’</w:t>
      </w:r>
      <w:r w:rsidRPr="007A718D">
        <w:rPr>
          <w:lang w:val="fr-FR"/>
        </w:rPr>
        <w:t>article 2 du Pacte ne peuvent pas être invoquées isolément dans une communication soumise en vertu du Protocole facultatif</w:t>
      </w:r>
      <w:r w:rsidRPr="006473EF">
        <w:rPr>
          <w:lang w:val="fr-FR"/>
        </w:rPr>
        <w:t>.</w:t>
      </w:r>
      <w:r w:rsidRPr="007A718D">
        <w:rPr>
          <w:lang w:val="fr-FR"/>
        </w:rPr>
        <w:t xml:space="preserve"> En ce qui concerne le fond du grief que l</w:t>
      </w:r>
      <w:r>
        <w:rPr>
          <w:lang w:val="fr-FR"/>
        </w:rPr>
        <w:t>’</w:t>
      </w:r>
      <w:r w:rsidRPr="007A718D">
        <w:rPr>
          <w:lang w:val="fr-FR"/>
        </w:rPr>
        <w:t>auteur tire de l</w:t>
      </w:r>
      <w:r>
        <w:rPr>
          <w:lang w:val="fr-FR"/>
        </w:rPr>
        <w:t>’</w:t>
      </w:r>
      <w:r w:rsidRPr="007A718D">
        <w:rPr>
          <w:lang w:val="fr-FR"/>
        </w:rPr>
        <w:t>article 2 (par</w:t>
      </w:r>
      <w:r w:rsidRPr="006473EF">
        <w:rPr>
          <w:lang w:val="fr-FR"/>
        </w:rPr>
        <w:t>.</w:t>
      </w:r>
      <w:r w:rsidRPr="007A718D">
        <w:rPr>
          <w:lang w:val="fr-FR"/>
        </w:rPr>
        <w:t xml:space="preserve"> 2), l</w:t>
      </w:r>
      <w:r>
        <w:rPr>
          <w:lang w:val="fr-FR"/>
        </w:rPr>
        <w:t>’</w:t>
      </w:r>
      <w:r w:rsidRPr="007A718D">
        <w:rPr>
          <w:lang w:val="fr-FR"/>
        </w:rPr>
        <w:t>État partie cite de nombreux exemples de décisions de ses juridictions internes montrant que celles-ci accordent effectivement une indemnisation pour préjudice non pécuniaire à des personnes acquittées lorsque des mesures restrictives ont été appliquées sans motif raisonnable ou que leur durée a été excessive</w:t>
      </w:r>
      <w:r w:rsidRPr="006473EF">
        <w:rPr>
          <w:lang w:val="fr-FR"/>
        </w:rPr>
        <w:t>.</w:t>
      </w:r>
      <w:r w:rsidRPr="007A718D">
        <w:rPr>
          <w:lang w:val="fr-FR"/>
        </w:rPr>
        <w:t xml:space="preserve"> La législation de l</w:t>
      </w:r>
      <w:r>
        <w:rPr>
          <w:lang w:val="fr-FR"/>
        </w:rPr>
        <w:t>’</w:t>
      </w:r>
      <w:r w:rsidRPr="007A718D">
        <w:rPr>
          <w:lang w:val="fr-FR"/>
        </w:rPr>
        <w:t>État partie offre donc bel et bien</w:t>
      </w:r>
      <w:r w:rsidRPr="007A718D">
        <w:rPr>
          <w:b/>
          <w:bCs/>
          <w:lang w:val="fr-FR"/>
        </w:rPr>
        <w:t xml:space="preserve"> </w:t>
      </w:r>
      <w:r w:rsidRPr="007A718D">
        <w:rPr>
          <w:lang w:val="fr-FR"/>
        </w:rPr>
        <w:t>un recours utile</w:t>
      </w:r>
      <w:r w:rsidRPr="006473EF">
        <w:rPr>
          <w:lang w:val="fr-FR"/>
        </w:rPr>
        <w:t>.</w:t>
      </w:r>
      <w:r w:rsidRPr="007A718D">
        <w:rPr>
          <w:lang w:val="fr-FR"/>
        </w:rPr>
        <w:t xml:space="preserve"> Le simple fait qu</w:t>
      </w:r>
      <w:r>
        <w:rPr>
          <w:lang w:val="fr-FR"/>
        </w:rPr>
        <w:t>’il a été mis fin à</w:t>
      </w:r>
      <w:r w:rsidRPr="007A718D">
        <w:rPr>
          <w:lang w:val="fr-FR"/>
        </w:rPr>
        <w:t xml:space="preserve"> l</w:t>
      </w:r>
      <w:r>
        <w:rPr>
          <w:lang w:val="fr-FR"/>
        </w:rPr>
        <w:t>’</w:t>
      </w:r>
      <w:r w:rsidRPr="007A718D">
        <w:rPr>
          <w:lang w:val="fr-FR"/>
        </w:rPr>
        <w:t>enquête préliminaire visant l</w:t>
      </w:r>
      <w:r>
        <w:rPr>
          <w:lang w:val="fr-FR"/>
        </w:rPr>
        <w:t>’</w:t>
      </w:r>
      <w:r w:rsidRPr="007A718D">
        <w:rPr>
          <w:lang w:val="fr-FR"/>
        </w:rPr>
        <w:t>auteur ne signifie pas qu</w:t>
      </w:r>
      <w:r>
        <w:rPr>
          <w:lang w:val="fr-FR"/>
        </w:rPr>
        <w:t>’</w:t>
      </w:r>
      <w:r w:rsidRPr="007A718D">
        <w:rPr>
          <w:lang w:val="fr-FR"/>
        </w:rPr>
        <w:t>elle avait été ouverte sans motif raisonnable</w:t>
      </w:r>
      <w:r w:rsidRPr="006473EF">
        <w:rPr>
          <w:lang w:val="fr-FR"/>
        </w:rPr>
        <w:t>.</w:t>
      </w:r>
      <w:r w:rsidRPr="007A718D">
        <w:rPr>
          <w:lang w:val="fr-FR"/>
        </w:rPr>
        <w:t xml:space="preserve"> L</w:t>
      </w:r>
      <w:r>
        <w:rPr>
          <w:lang w:val="fr-FR"/>
        </w:rPr>
        <w:t>’</w:t>
      </w:r>
      <w:r w:rsidRPr="007A718D">
        <w:rPr>
          <w:lang w:val="fr-FR"/>
        </w:rPr>
        <w:t>utilité d</w:t>
      </w:r>
      <w:r>
        <w:rPr>
          <w:lang w:val="fr-FR"/>
        </w:rPr>
        <w:t>’</w:t>
      </w:r>
      <w:r w:rsidRPr="007A718D">
        <w:rPr>
          <w:lang w:val="fr-FR"/>
        </w:rPr>
        <w:t>un recours ne dépend pas de la certitude d</w:t>
      </w:r>
      <w:r>
        <w:rPr>
          <w:lang w:val="fr-FR"/>
        </w:rPr>
        <w:t>’</w:t>
      </w:r>
      <w:r w:rsidRPr="007A718D">
        <w:rPr>
          <w:lang w:val="fr-FR"/>
        </w:rPr>
        <w:t>une issue favorable pour l</w:t>
      </w:r>
      <w:r>
        <w:rPr>
          <w:lang w:val="fr-FR"/>
        </w:rPr>
        <w:t>’</w:t>
      </w:r>
      <w:r w:rsidRPr="007A718D">
        <w:rPr>
          <w:lang w:val="fr-FR"/>
        </w:rPr>
        <w:t>auteur, et de simples doutes quant à l</w:t>
      </w:r>
      <w:r>
        <w:rPr>
          <w:lang w:val="fr-FR"/>
        </w:rPr>
        <w:t>’</w:t>
      </w:r>
      <w:r w:rsidRPr="007A718D">
        <w:rPr>
          <w:lang w:val="fr-FR"/>
        </w:rPr>
        <w:t>utilité d</w:t>
      </w:r>
      <w:r>
        <w:rPr>
          <w:lang w:val="fr-FR"/>
        </w:rPr>
        <w:t>’</w:t>
      </w:r>
      <w:r w:rsidRPr="007A718D">
        <w:rPr>
          <w:lang w:val="fr-FR"/>
        </w:rPr>
        <w:t>un recours ne dispensent pas de l</w:t>
      </w:r>
      <w:r>
        <w:rPr>
          <w:lang w:val="fr-FR"/>
        </w:rPr>
        <w:t>’</w:t>
      </w:r>
      <w:r w:rsidRPr="007A718D">
        <w:rPr>
          <w:lang w:val="fr-FR"/>
        </w:rPr>
        <w:t>obligation de</w:t>
      </w:r>
      <w:r w:rsidRPr="002703CE">
        <w:rPr>
          <w:lang w:val="fr-FR"/>
        </w:rPr>
        <w:t xml:space="preserve"> </w:t>
      </w:r>
      <w:r w:rsidRPr="007A718D">
        <w:rPr>
          <w:lang w:val="fr-FR"/>
        </w:rPr>
        <w:t>s</w:t>
      </w:r>
      <w:r>
        <w:rPr>
          <w:lang w:val="fr-FR"/>
        </w:rPr>
        <w:t>’</w:t>
      </w:r>
      <w:r w:rsidRPr="007A718D">
        <w:rPr>
          <w:lang w:val="fr-FR"/>
        </w:rPr>
        <w:t>en prévaloir</w:t>
      </w:r>
      <w:r w:rsidRPr="00571F5C">
        <w:rPr>
          <w:rStyle w:val="Appelnotedebasdep"/>
        </w:rPr>
        <w:footnoteReference w:id="13"/>
      </w:r>
      <w:r w:rsidRPr="006473EF">
        <w:rPr>
          <w:lang w:val="fr-FR"/>
        </w:rPr>
        <w:t>.</w:t>
      </w:r>
      <w:r w:rsidRPr="007A718D">
        <w:rPr>
          <w:lang w:val="fr-FR"/>
        </w:rPr>
        <w:t xml:space="preserve"> Enfin, le grief que l</w:t>
      </w:r>
      <w:r>
        <w:rPr>
          <w:lang w:val="fr-FR"/>
        </w:rPr>
        <w:t>’</w:t>
      </w:r>
      <w:r w:rsidRPr="007A718D">
        <w:rPr>
          <w:lang w:val="fr-FR"/>
        </w:rPr>
        <w:t>auteur tire de l</w:t>
      </w:r>
      <w:r>
        <w:rPr>
          <w:lang w:val="fr-FR"/>
        </w:rPr>
        <w:t>’</w:t>
      </w:r>
      <w:r w:rsidRPr="007A718D">
        <w:rPr>
          <w:lang w:val="fr-FR"/>
        </w:rPr>
        <w:t>article 2 (par</w:t>
      </w:r>
      <w:r w:rsidRPr="006473EF">
        <w:rPr>
          <w:lang w:val="fr-FR"/>
        </w:rPr>
        <w:t>.</w:t>
      </w:r>
      <w:r w:rsidRPr="007A718D">
        <w:rPr>
          <w:lang w:val="fr-FR"/>
        </w:rPr>
        <w:t xml:space="preserve"> 2) du Pacte est trop large, abstrait</w:t>
      </w:r>
      <w:r>
        <w:rPr>
          <w:lang w:val="fr-FR"/>
        </w:rPr>
        <w:t>,</w:t>
      </w:r>
      <w:r w:rsidRPr="007A718D">
        <w:rPr>
          <w:lang w:val="fr-FR"/>
        </w:rPr>
        <w:t xml:space="preserve"> général et </w:t>
      </w:r>
      <w:r>
        <w:rPr>
          <w:lang w:val="fr-FR"/>
        </w:rPr>
        <w:t>in</w:t>
      </w:r>
      <w:r w:rsidRPr="007A718D">
        <w:rPr>
          <w:lang w:val="fr-FR"/>
        </w:rPr>
        <w:t>suffisamment étayé</w:t>
      </w:r>
      <w:r w:rsidRPr="006473EF">
        <w:rPr>
          <w:lang w:val="fr-FR"/>
        </w:rPr>
        <w:t>.</w:t>
      </w:r>
    </w:p>
    <w:p w14:paraId="41CD7FAC"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17</w:t>
      </w:r>
      <w:r w:rsidRPr="007A718D">
        <w:rPr>
          <w:lang w:val="fr-FR"/>
        </w:rPr>
        <w:tab/>
        <w:t>Le grief que l</w:t>
      </w:r>
      <w:r>
        <w:rPr>
          <w:lang w:val="fr-FR"/>
        </w:rPr>
        <w:t>’</w:t>
      </w:r>
      <w:r w:rsidRPr="007A718D">
        <w:rPr>
          <w:lang w:val="fr-FR"/>
        </w:rPr>
        <w:t>auteur tire de l</w:t>
      </w:r>
      <w:r>
        <w:rPr>
          <w:lang w:val="fr-FR"/>
        </w:rPr>
        <w:t>’</w:t>
      </w:r>
      <w:r w:rsidRPr="007A718D">
        <w:rPr>
          <w:lang w:val="fr-FR"/>
        </w:rPr>
        <w:t>article 12 (par</w:t>
      </w:r>
      <w:r w:rsidRPr="006473EF">
        <w:rPr>
          <w:lang w:val="fr-FR"/>
        </w:rPr>
        <w:t>.</w:t>
      </w:r>
      <w:r w:rsidRPr="007A718D">
        <w:rPr>
          <w:lang w:val="fr-FR"/>
        </w:rPr>
        <w:t xml:space="preserve"> 2) est également irrecevable parce qu</w:t>
      </w:r>
      <w:r>
        <w:rPr>
          <w:lang w:val="fr-FR"/>
        </w:rPr>
        <w:t>’</w:t>
      </w:r>
      <w:r w:rsidRPr="007A718D">
        <w:rPr>
          <w:lang w:val="fr-FR"/>
        </w:rPr>
        <w:t>il n</w:t>
      </w:r>
      <w:r>
        <w:rPr>
          <w:lang w:val="fr-FR"/>
        </w:rPr>
        <w:t>’</w:t>
      </w:r>
      <w:r w:rsidRPr="007A718D">
        <w:rPr>
          <w:lang w:val="fr-FR"/>
        </w:rPr>
        <w:t>est pas suffisamment étayé</w:t>
      </w:r>
      <w:r w:rsidRPr="00571F5C">
        <w:rPr>
          <w:rStyle w:val="Appelnotedebasdep"/>
        </w:rPr>
        <w:footnoteReference w:id="14"/>
      </w:r>
      <w:r w:rsidRPr="006473EF">
        <w:rPr>
          <w:lang w:val="fr-FR"/>
        </w:rPr>
        <w:t>.</w:t>
      </w:r>
      <w:r w:rsidRPr="007A718D">
        <w:rPr>
          <w:lang w:val="fr-FR"/>
        </w:rPr>
        <w:t xml:space="preserve"> Les droits énoncés à l</w:t>
      </w:r>
      <w:r>
        <w:rPr>
          <w:lang w:val="fr-FR"/>
        </w:rPr>
        <w:t>’</w:t>
      </w:r>
      <w:r w:rsidRPr="007A718D">
        <w:rPr>
          <w:lang w:val="fr-FR"/>
        </w:rPr>
        <w:t>article 12 (par</w:t>
      </w:r>
      <w:r w:rsidRPr="006473EF">
        <w:rPr>
          <w:lang w:val="fr-FR"/>
        </w:rPr>
        <w:t>.</w:t>
      </w:r>
      <w:r w:rsidRPr="007A718D">
        <w:rPr>
          <w:lang w:val="fr-FR"/>
        </w:rPr>
        <w:t xml:space="preserve"> 2) du Pacte ne sont pas absolus, car certaines restrictions sont autorisées par l</w:t>
      </w:r>
      <w:r>
        <w:rPr>
          <w:lang w:val="fr-FR"/>
        </w:rPr>
        <w:t>’</w:t>
      </w:r>
      <w:r w:rsidRPr="007A718D">
        <w:rPr>
          <w:lang w:val="fr-FR"/>
        </w:rPr>
        <w:t>article 12 (par</w:t>
      </w:r>
      <w:r w:rsidRPr="006473EF">
        <w:rPr>
          <w:lang w:val="fr-FR"/>
        </w:rPr>
        <w:t>.</w:t>
      </w:r>
      <w:r w:rsidRPr="007A718D">
        <w:rPr>
          <w:lang w:val="fr-FR"/>
        </w:rPr>
        <w:t xml:space="preserve"> 3) du Pacte</w:t>
      </w:r>
      <w:r w:rsidRPr="006473EF">
        <w:rPr>
          <w:lang w:val="fr-FR"/>
        </w:rPr>
        <w:t>.</w:t>
      </w:r>
      <w:r w:rsidRPr="007A718D">
        <w:rPr>
          <w:lang w:val="fr-FR"/>
        </w:rPr>
        <w:t xml:space="preserve"> Selon la jurisprudence du Comité, les procédures judiciaires en cours peuvent justifier des restrictions au droit des personnes de quitter leur pays</w:t>
      </w:r>
      <w:r w:rsidRPr="006473EF">
        <w:rPr>
          <w:lang w:val="fr-FR"/>
        </w:rPr>
        <w:t>.</w:t>
      </w:r>
      <w:r w:rsidRPr="007A718D">
        <w:rPr>
          <w:lang w:val="fr-FR"/>
        </w:rPr>
        <w:t xml:space="preserve"> En l</w:t>
      </w:r>
      <w:r>
        <w:rPr>
          <w:lang w:val="fr-FR"/>
        </w:rPr>
        <w:t>’</w:t>
      </w:r>
      <w:r w:rsidRPr="007A718D">
        <w:rPr>
          <w:lang w:val="fr-FR"/>
        </w:rPr>
        <w:t>espèce, des mesures restrictives ont été imposées le 8</w:t>
      </w:r>
      <w:r>
        <w:rPr>
          <w:lang w:val="fr-FR"/>
        </w:rPr>
        <w:t> </w:t>
      </w:r>
      <w:r w:rsidRPr="007A718D">
        <w:rPr>
          <w:lang w:val="fr-FR"/>
        </w:rPr>
        <w:t>septembre 2010 dans le cadre d</w:t>
      </w:r>
      <w:r>
        <w:rPr>
          <w:lang w:val="fr-FR"/>
        </w:rPr>
        <w:t>’</w:t>
      </w:r>
      <w:r w:rsidRPr="007A718D">
        <w:rPr>
          <w:lang w:val="fr-FR"/>
        </w:rPr>
        <w:t>une procédure pénale contre l</w:t>
      </w:r>
      <w:r>
        <w:rPr>
          <w:lang w:val="fr-FR"/>
        </w:rPr>
        <w:t>’</w:t>
      </w:r>
      <w:r w:rsidRPr="007A718D">
        <w:rPr>
          <w:lang w:val="fr-FR"/>
        </w:rPr>
        <w:t>auteur</w:t>
      </w:r>
      <w:r w:rsidRPr="006473EF">
        <w:rPr>
          <w:lang w:val="fr-FR"/>
        </w:rPr>
        <w:t>.</w:t>
      </w:r>
      <w:r w:rsidRPr="007A718D">
        <w:rPr>
          <w:lang w:val="fr-FR"/>
        </w:rPr>
        <w:t xml:space="preserve"> Ces mesures étaient légales, dans la mesure où elles étaient conformes au Code de procédure pénale</w:t>
      </w:r>
      <w:r w:rsidRPr="00571F5C">
        <w:rPr>
          <w:rStyle w:val="Appelnotedebasdep"/>
        </w:rPr>
        <w:footnoteReference w:id="15"/>
      </w:r>
      <w:r w:rsidRPr="006473EF">
        <w:rPr>
          <w:lang w:val="fr-FR"/>
        </w:rPr>
        <w:t>.</w:t>
      </w:r>
      <w:r w:rsidRPr="007A718D">
        <w:rPr>
          <w:lang w:val="fr-FR"/>
        </w:rPr>
        <w:t xml:space="preserve"> Elles servaient le but légitime de protéger l</w:t>
      </w:r>
      <w:r>
        <w:rPr>
          <w:lang w:val="fr-FR"/>
        </w:rPr>
        <w:t>’</w:t>
      </w:r>
      <w:r w:rsidRPr="007A718D">
        <w:rPr>
          <w:lang w:val="fr-FR"/>
        </w:rPr>
        <w:t>ordre public et les droits et libertés d</w:t>
      </w:r>
      <w:r>
        <w:rPr>
          <w:lang w:val="fr-FR"/>
        </w:rPr>
        <w:t>’</w:t>
      </w:r>
      <w:r w:rsidRPr="007A718D">
        <w:rPr>
          <w:lang w:val="fr-FR"/>
        </w:rPr>
        <w:t>autrui, en faisant en sorte que l</w:t>
      </w:r>
      <w:r>
        <w:rPr>
          <w:lang w:val="fr-FR"/>
        </w:rPr>
        <w:t>’</w:t>
      </w:r>
      <w:r w:rsidRPr="007A718D">
        <w:rPr>
          <w:lang w:val="fr-FR"/>
        </w:rPr>
        <w:t>auteur soit disponible pour l</w:t>
      </w:r>
      <w:r>
        <w:rPr>
          <w:lang w:val="fr-FR"/>
        </w:rPr>
        <w:t>’</w:t>
      </w:r>
      <w:r w:rsidRPr="007A718D">
        <w:rPr>
          <w:lang w:val="fr-FR"/>
        </w:rPr>
        <w:t>enquête préliminaire</w:t>
      </w:r>
      <w:r w:rsidRPr="006473EF">
        <w:rPr>
          <w:lang w:val="fr-FR"/>
        </w:rPr>
        <w:t>.</w:t>
      </w:r>
      <w:r w:rsidRPr="007A718D">
        <w:rPr>
          <w:lang w:val="fr-FR"/>
        </w:rPr>
        <w:t xml:space="preserve"> De plus, elles étaient proportionnées, étant donné que l</w:t>
      </w:r>
      <w:r>
        <w:rPr>
          <w:lang w:val="fr-FR"/>
        </w:rPr>
        <w:t>’</w:t>
      </w:r>
      <w:r w:rsidRPr="007A718D">
        <w:rPr>
          <w:lang w:val="fr-FR"/>
        </w:rPr>
        <w:t>auteur était soupçonné d</w:t>
      </w:r>
      <w:r>
        <w:rPr>
          <w:lang w:val="fr-FR"/>
        </w:rPr>
        <w:t>’</w:t>
      </w:r>
      <w:r w:rsidRPr="007A718D">
        <w:rPr>
          <w:lang w:val="fr-FR"/>
        </w:rPr>
        <w:t>avoir commis deux infractions pénales emportant des peines d</w:t>
      </w:r>
      <w:r>
        <w:rPr>
          <w:lang w:val="fr-FR"/>
        </w:rPr>
        <w:t>’</w:t>
      </w:r>
      <w:r w:rsidRPr="007A718D">
        <w:rPr>
          <w:lang w:val="fr-FR"/>
        </w:rPr>
        <w:t>emprisonnement</w:t>
      </w:r>
      <w:r w:rsidRPr="006473EF">
        <w:rPr>
          <w:lang w:val="fr-FR"/>
        </w:rPr>
        <w:t>.</w:t>
      </w:r>
      <w:r w:rsidRPr="007A718D">
        <w:rPr>
          <w:lang w:val="fr-FR"/>
        </w:rPr>
        <w:t xml:space="preserve"> En effet, selon la jurisprudence de la Cour européenne des droits de l</w:t>
      </w:r>
      <w:r>
        <w:rPr>
          <w:lang w:val="fr-FR"/>
        </w:rPr>
        <w:t>’</w:t>
      </w:r>
      <w:r w:rsidRPr="007A718D">
        <w:rPr>
          <w:lang w:val="fr-FR"/>
        </w:rPr>
        <w:t>homme, un État partie peut appliquer diverses mesures préventives qui restreignent la liberté d</w:t>
      </w:r>
      <w:r>
        <w:rPr>
          <w:lang w:val="fr-FR"/>
        </w:rPr>
        <w:t>’</w:t>
      </w:r>
      <w:r w:rsidRPr="007A718D">
        <w:rPr>
          <w:lang w:val="fr-FR"/>
        </w:rPr>
        <w:t>un accusé afin d</w:t>
      </w:r>
      <w:r>
        <w:rPr>
          <w:lang w:val="fr-FR"/>
        </w:rPr>
        <w:t>’</w:t>
      </w:r>
      <w:r w:rsidRPr="007A718D">
        <w:rPr>
          <w:lang w:val="fr-FR"/>
        </w:rPr>
        <w:t>assurer le bon déroulement d</w:t>
      </w:r>
      <w:r>
        <w:rPr>
          <w:lang w:val="fr-FR"/>
        </w:rPr>
        <w:t>’</w:t>
      </w:r>
      <w:r w:rsidRPr="007A718D">
        <w:rPr>
          <w:lang w:val="fr-FR"/>
        </w:rPr>
        <w:t>une procédure pénale</w:t>
      </w:r>
      <w:r w:rsidRPr="00571F5C">
        <w:rPr>
          <w:rStyle w:val="Appelnotedebasdep"/>
        </w:rPr>
        <w:footnoteReference w:id="16"/>
      </w:r>
      <w:r w:rsidRPr="006473EF">
        <w:rPr>
          <w:lang w:val="fr-FR"/>
        </w:rPr>
        <w:t>.</w:t>
      </w:r>
    </w:p>
    <w:p w14:paraId="03A7B1B8" w14:textId="2E5A82A4" w:rsidR="00571F5C" w:rsidRPr="007A718D" w:rsidRDefault="00571F5C" w:rsidP="00571F5C">
      <w:pPr>
        <w:pStyle w:val="SingleTxtG"/>
        <w:rPr>
          <w:lang w:val="x-none"/>
        </w:rPr>
      </w:pPr>
      <w:r w:rsidRPr="001A5E02">
        <w:rPr>
          <w:lang w:val="fr-FR"/>
        </w:rPr>
        <w:t>4</w:t>
      </w:r>
      <w:r w:rsidRPr="006473EF">
        <w:rPr>
          <w:lang w:val="fr-FR"/>
        </w:rPr>
        <w:t>.</w:t>
      </w:r>
      <w:r w:rsidRPr="001A5E02">
        <w:rPr>
          <w:lang w:val="fr-FR"/>
        </w:rPr>
        <w:t>18</w:t>
      </w:r>
      <w:r w:rsidRPr="001A5E02">
        <w:rPr>
          <w:lang w:val="fr-FR"/>
        </w:rPr>
        <w:tab/>
        <w:t>Les mesures restrictives ont été imposées par un procureur</w:t>
      </w:r>
      <w:r w:rsidRPr="006473EF">
        <w:rPr>
          <w:lang w:val="fr-FR"/>
        </w:rPr>
        <w:t>.</w:t>
      </w:r>
      <w:r w:rsidRPr="001A5E02">
        <w:rPr>
          <w:lang w:val="fr-FR"/>
        </w:rPr>
        <w:t xml:space="preserve"> Lorsque l</w:t>
      </w:r>
      <w:r>
        <w:rPr>
          <w:lang w:val="fr-FR"/>
        </w:rPr>
        <w:t>’</w:t>
      </w:r>
      <w:r w:rsidRPr="001A5E02">
        <w:rPr>
          <w:lang w:val="fr-FR"/>
        </w:rPr>
        <w:t>auteur a demandé pour la première fois que celles-ci soient transformées en une mesure de cautionnement, sa demande a été rejetée par un procureur de rang supérieur le 13 octobre 2010, au motif qu</w:t>
      </w:r>
      <w:r>
        <w:rPr>
          <w:lang w:val="fr-FR"/>
        </w:rPr>
        <w:t>’</w:t>
      </w:r>
      <w:r w:rsidRPr="001A5E02">
        <w:rPr>
          <w:lang w:val="fr-FR"/>
        </w:rPr>
        <w:t>il n</w:t>
      </w:r>
      <w:r>
        <w:rPr>
          <w:lang w:val="fr-FR"/>
        </w:rPr>
        <w:t>’</w:t>
      </w:r>
      <w:r w:rsidRPr="001A5E02">
        <w:rPr>
          <w:lang w:val="fr-FR"/>
        </w:rPr>
        <w:t>avait pas fourni de documents prouvant qu</w:t>
      </w:r>
      <w:r>
        <w:rPr>
          <w:lang w:val="fr-FR"/>
        </w:rPr>
        <w:t>’</w:t>
      </w:r>
      <w:r w:rsidRPr="001A5E02">
        <w:rPr>
          <w:lang w:val="fr-FR"/>
        </w:rPr>
        <w:t>il vivait et étudiait au Danemark</w:t>
      </w:r>
      <w:r w:rsidRPr="006473EF">
        <w:rPr>
          <w:lang w:val="fr-FR"/>
        </w:rPr>
        <w:t>.</w:t>
      </w:r>
      <w:r w:rsidRPr="001A5E02">
        <w:rPr>
          <w:lang w:val="fr-FR"/>
        </w:rPr>
        <w:t xml:space="preserve"> L</w:t>
      </w:r>
      <w:r>
        <w:rPr>
          <w:lang w:val="fr-FR"/>
        </w:rPr>
        <w:t>’</w:t>
      </w:r>
      <w:r w:rsidRPr="001A5E02">
        <w:rPr>
          <w:lang w:val="fr-FR"/>
        </w:rPr>
        <w:t>auteur n</w:t>
      </w:r>
      <w:r>
        <w:rPr>
          <w:lang w:val="fr-FR"/>
        </w:rPr>
        <w:t>’</w:t>
      </w:r>
      <w:r w:rsidRPr="001A5E02">
        <w:rPr>
          <w:lang w:val="fr-FR"/>
        </w:rPr>
        <w:t>a pas fait appel de cette décision</w:t>
      </w:r>
      <w:r w:rsidRPr="006473EF">
        <w:rPr>
          <w:lang w:val="fr-FR"/>
        </w:rPr>
        <w:t>.</w:t>
      </w:r>
      <w:r w:rsidRPr="001A5E02">
        <w:rPr>
          <w:lang w:val="fr-FR"/>
        </w:rPr>
        <w:t xml:space="preserve"> Le procureur de rang supérieur a indiqué que le rejet</w:t>
      </w:r>
      <w:r w:rsidRPr="007A718D">
        <w:rPr>
          <w:lang w:val="fr-FR"/>
        </w:rPr>
        <w:t xml:space="preserve"> de la demande initiale n</w:t>
      </w:r>
      <w:r>
        <w:rPr>
          <w:lang w:val="fr-FR"/>
        </w:rPr>
        <w:t>’</w:t>
      </w:r>
      <w:r w:rsidRPr="007A718D">
        <w:rPr>
          <w:lang w:val="fr-FR"/>
        </w:rPr>
        <w:t>empêchait pas l</w:t>
      </w:r>
      <w:r>
        <w:rPr>
          <w:lang w:val="fr-FR"/>
        </w:rPr>
        <w:t>’</w:t>
      </w:r>
      <w:r w:rsidRPr="007A718D">
        <w:rPr>
          <w:lang w:val="fr-FR"/>
        </w:rPr>
        <w:t>auteur de présenter une nouvelle demande accompagnée desdits documents</w:t>
      </w:r>
      <w:r w:rsidRPr="006473EF">
        <w:rPr>
          <w:lang w:val="fr-FR"/>
        </w:rPr>
        <w:t>.</w:t>
      </w:r>
      <w:r w:rsidRPr="007A718D">
        <w:rPr>
          <w:lang w:val="fr-FR"/>
        </w:rPr>
        <w:t xml:space="preserve"> Le 29</w:t>
      </w:r>
      <w:r>
        <w:rPr>
          <w:lang w:val="fr-FR"/>
        </w:rPr>
        <w:t> </w:t>
      </w:r>
      <w:r w:rsidRPr="007A718D">
        <w:rPr>
          <w:lang w:val="fr-FR"/>
        </w:rPr>
        <w:t>octobre 2010, malgré l</w:t>
      </w:r>
      <w:r>
        <w:rPr>
          <w:lang w:val="fr-FR"/>
        </w:rPr>
        <w:t>’</w:t>
      </w:r>
      <w:r w:rsidRPr="007A718D">
        <w:rPr>
          <w:lang w:val="fr-FR"/>
        </w:rPr>
        <w:t>absence de ces documents, le procureur a autorisé l</w:t>
      </w:r>
      <w:r>
        <w:rPr>
          <w:lang w:val="fr-FR"/>
        </w:rPr>
        <w:t>’</w:t>
      </w:r>
      <w:r w:rsidRPr="007A718D">
        <w:rPr>
          <w:lang w:val="fr-FR"/>
        </w:rPr>
        <w:t>auteur à se rendre au Danemark pour trois semaines</w:t>
      </w:r>
      <w:r w:rsidRPr="006473EF">
        <w:rPr>
          <w:lang w:val="fr-FR"/>
        </w:rPr>
        <w:t>.</w:t>
      </w:r>
      <w:r w:rsidRPr="007A718D">
        <w:rPr>
          <w:lang w:val="fr-FR"/>
        </w:rPr>
        <w:t xml:space="preserve"> Le 31</w:t>
      </w:r>
      <w:r>
        <w:rPr>
          <w:lang w:val="fr-FR"/>
        </w:rPr>
        <w:t> </w:t>
      </w:r>
      <w:r w:rsidRPr="007A718D">
        <w:rPr>
          <w:lang w:val="fr-FR"/>
        </w:rPr>
        <w:t>décembre 2010, l</w:t>
      </w:r>
      <w:r>
        <w:rPr>
          <w:lang w:val="fr-FR"/>
        </w:rPr>
        <w:t>’</w:t>
      </w:r>
      <w:r w:rsidRPr="007A718D">
        <w:rPr>
          <w:lang w:val="fr-FR"/>
        </w:rPr>
        <w:t>avocat de l</w:t>
      </w:r>
      <w:r>
        <w:rPr>
          <w:lang w:val="fr-FR"/>
        </w:rPr>
        <w:t>’</w:t>
      </w:r>
      <w:r w:rsidRPr="007A718D">
        <w:rPr>
          <w:lang w:val="fr-FR"/>
        </w:rPr>
        <w:t>auteur a de nouveau demandé l</w:t>
      </w:r>
      <w:r>
        <w:rPr>
          <w:lang w:val="fr-FR"/>
        </w:rPr>
        <w:t>’</w:t>
      </w:r>
      <w:r w:rsidRPr="007A718D">
        <w:rPr>
          <w:lang w:val="fr-FR"/>
        </w:rPr>
        <w:t xml:space="preserve">annulation des mesures restrictives, qui ont été </w:t>
      </w:r>
      <w:r w:rsidRPr="00C35476">
        <w:rPr>
          <w:lang w:val="fr-FR"/>
        </w:rPr>
        <w:t xml:space="preserve">transformées en mesure </w:t>
      </w:r>
      <w:r w:rsidR="00C35476" w:rsidRPr="00C35476">
        <w:rPr>
          <w:lang w:val="fr-FR"/>
        </w:rPr>
        <w:t xml:space="preserve">de </w:t>
      </w:r>
      <w:r w:rsidRPr="00C35476">
        <w:rPr>
          <w:lang w:val="fr-FR"/>
        </w:rPr>
        <w:t>cautionnement le 7 janvier</w:t>
      </w:r>
      <w:r w:rsidRPr="007A718D">
        <w:rPr>
          <w:lang w:val="fr-FR"/>
        </w:rPr>
        <w:t xml:space="preserve"> 2011</w:t>
      </w:r>
      <w:r w:rsidRPr="006473EF">
        <w:rPr>
          <w:lang w:val="fr-FR"/>
        </w:rPr>
        <w:t>.</w:t>
      </w:r>
      <w:r w:rsidRPr="007A718D">
        <w:rPr>
          <w:lang w:val="fr-FR"/>
        </w:rPr>
        <w:t xml:space="preserve"> Dans sa décision, le procureur a constaté que l</w:t>
      </w:r>
      <w:r>
        <w:rPr>
          <w:lang w:val="fr-FR"/>
        </w:rPr>
        <w:t>’</w:t>
      </w:r>
      <w:r w:rsidRPr="007A718D">
        <w:rPr>
          <w:lang w:val="fr-FR"/>
        </w:rPr>
        <w:t>auteur était titulaire d</w:t>
      </w:r>
      <w:r>
        <w:rPr>
          <w:lang w:val="fr-FR"/>
        </w:rPr>
        <w:t>’</w:t>
      </w:r>
      <w:r w:rsidRPr="007A718D">
        <w:rPr>
          <w:lang w:val="fr-FR"/>
        </w:rPr>
        <w:t xml:space="preserve">un permis de séjour et avait </w:t>
      </w:r>
      <w:r w:rsidRPr="007A718D">
        <w:rPr>
          <w:lang w:val="fr-FR"/>
        </w:rPr>
        <w:lastRenderedPageBreak/>
        <w:t>étudié dans une université au Danemark</w:t>
      </w:r>
      <w:r w:rsidRPr="006473EF">
        <w:rPr>
          <w:lang w:val="fr-FR"/>
        </w:rPr>
        <w:t>.</w:t>
      </w:r>
      <w:r w:rsidRPr="007A718D">
        <w:rPr>
          <w:lang w:val="fr-FR"/>
        </w:rPr>
        <w:t xml:space="preserve"> Les mesures restrictives ont donc été rapidement modifiées après que l</w:t>
      </w:r>
      <w:r>
        <w:rPr>
          <w:lang w:val="fr-FR"/>
        </w:rPr>
        <w:t>’</w:t>
      </w:r>
      <w:r w:rsidRPr="007A718D">
        <w:rPr>
          <w:lang w:val="fr-FR"/>
        </w:rPr>
        <w:t>auteur a soumis les documents requis</w:t>
      </w:r>
      <w:r w:rsidRPr="006473EF">
        <w:rPr>
          <w:lang w:val="fr-FR"/>
        </w:rPr>
        <w:t>.</w:t>
      </w:r>
      <w:r w:rsidRPr="007A718D">
        <w:rPr>
          <w:lang w:val="fr-FR"/>
        </w:rPr>
        <w:t xml:space="preserve"> Ces mesures ne limitaient pas de manière disproportionnée la liberté de circulation de l</w:t>
      </w:r>
      <w:r>
        <w:rPr>
          <w:lang w:val="fr-FR"/>
        </w:rPr>
        <w:t>’</w:t>
      </w:r>
      <w:r w:rsidRPr="007A718D">
        <w:rPr>
          <w:lang w:val="fr-FR"/>
        </w:rPr>
        <w:t>auteur et étaient raisonnables, étant donné qu</w:t>
      </w:r>
      <w:r>
        <w:rPr>
          <w:lang w:val="fr-FR"/>
        </w:rPr>
        <w:t>’</w:t>
      </w:r>
      <w:r w:rsidRPr="007A718D">
        <w:rPr>
          <w:lang w:val="fr-FR"/>
        </w:rPr>
        <w:t>elles avaient été imposées dans le cadre d</w:t>
      </w:r>
      <w:r>
        <w:rPr>
          <w:lang w:val="fr-FR"/>
        </w:rPr>
        <w:t>’</w:t>
      </w:r>
      <w:r w:rsidRPr="007A718D">
        <w:rPr>
          <w:lang w:val="fr-FR"/>
        </w:rPr>
        <w:t>une procédure pénale visant l</w:t>
      </w:r>
      <w:r>
        <w:rPr>
          <w:lang w:val="fr-FR"/>
        </w:rPr>
        <w:t>’</w:t>
      </w:r>
      <w:r w:rsidRPr="007A718D">
        <w:rPr>
          <w:lang w:val="fr-FR"/>
        </w:rPr>
        <w:t>auteur, qui était soupçonné d</w:t>
      </w:r>
      <w:r>
        <w:rPr>
          <w:lang w:val="fr-FR"/>
        </w:rPr>
        <w:t>’</w:t>
      </w:r>
      <w:r w:rsidRPr="007A718D">
        <w:rPr>
          <w:lang w:val="fr-FR"/>
        </w:rPr>
        <w:t>avoir commis deux infractions pénales</w:t>
      </w:r>
      <w:r w:rsidRPr="006473EF">
        <w:rPr>
          <w:lang w:val="fr-FR"/>
        </w:rPr>
        <w:t>.</w:t>
      </w:r>
    </w:p>
    <w:p w14:paraId="53599737" w14:textId="77777777" w:rsidR="00571F5C" w:rsidRPr="007A718D" w:rsidRDefault="00571F5C" w:rsidP="00571F5C">
      <w:pPr>
        <w:pStyle w:val="SingleTxtG"/>
        <w:rPr>
          <w:lang w:val="x-none"/>
        </w:rPr>
      </w:pPr>
      <w:r w:rsidRPr="001A5E02">
        <w:rPr>
          <w:lang w:val="fr-FR"/>
        </w:rPr>
        <w:t>4</w:t>
      </w:r>
      <w:r w:rsidRPr="006473EF">
        <w:rPr>
          <w:lang w:val="fr-FR"/>
        </w:rPr>
        <w:t>.</w:t>
      </w:r>
      <w:r w:rsidRPr="001A5E02">
        <w:rPr>
          <w:lang w:val="fr-FR"/>
        </w:rPr>
        <w:t>19</w:t>
      </w:r>
      <w:r w:rsidRPr="001A5E02">
        <w:rPr>
          <w:lang w:val="fr-FR"/>
        </w:rPr>
        <w:tab/>
        <w:t>L</w:t>
      </w:r>
      <w:r>
        <w:rPr>
          <w:lang w:val="fr-FR"/>
        </w:rPr>
        <w:t>’</w:t>
      </w:r>
      <w:r w:rsidRPr="001A5E02">
        <w:rPr>
          <w:lang w:val="fr-FR"/>
        </w:rPr>
        <w:t>État partie n</w:t>
      </w:r>
      <w:r>
        <w:rPr>
          <w:lang w:val="fr-FR"/>
        </w:rPr>
        <w:t>’</w:t>
      </w:r>
      <w:r w:rsidRPr="001A5E02">
        <w:rPr>
          <w:lang w:val="fr-FR"/>
        </w:rPr>
        <w:t>est pas d</w:t>
      </w:r>
      <w:r>
        <w:rPr>
          <w:lang w:val="fr-FR"/>
        </w:rPr>
        <w:t>’</w:t>
      </w:r>
      <w:r w:rsidRPr="001A5E02">
        <w:rPr>
          <w:lang w:val="fr-FR"/>
        </w:rPr>
        <w:t>accord avec l</w:t>
      </w:r>
      <w:r>
        <w:rPr>
          <w:lang w:val="fr-FR"/>
        </w:rPr>
        <w:t>’</w:t>
      </w:r>
      <w:r w:rsidRPr="001A5E02">
        <w:rPr>
          <w:lang w:val="fr-FR"/>
        </w:rPr>
        <w:t>affirmation selon laquelle les mesures restrictives ont empêché l</w:t>
      </w:r>
      <w:r>
        <w:rPr>
          <w:lang w:val="fr-FR"/>
        </w:rPr>
        <w:t>’</w:t>
      </w:r>
      <w:r w:rsidRPr="001A5E02">
        <w:rPr>
          <w:lang w:val="fr-FR"/>
        </w:rPr>
        <w:t xml:space="preserve">auteur de terminer ses études au Danemark, car </w:t>
      </w:r>
      <w:r>
        <w:rPr>
          <w:lang w:val="fr-FR"/>
        </w:rPr>
        <w:t xml:space="preserve">il a été mis fin à </w:t>
      </w:r>
      <w:r w:rsidRPr="001A5E02">
        <w:rPr>
          <w:lang w:val="fr-FR"/>
        </w:rPr>
        <w:t>l</w:t>
      </w:r>
      <w:r>
        <w:rPr>
          <w:lang w:val="fr-FR"/>
        </w:rPr>
        <w:t>’</w:t>
      </w:r>
      <w:r w:rsidRPr="001A5E02">
        <w:rPr>
          <w:lang w:val="fr-FR"/>
        </w:rPr>
        <w:t>enquête préliminaire en juin 2011 et l</w:t>
      </w:r>
      <w:r>
        <w:rPr>
          <w:lang w:val="fr-FR"/>
        </w:rPr>
        <w:t>’</w:t>
      </w:r>
      <w:r w:rsidRPr="001A5E02">
        <w:rPr>
          <w:lang w:val="fr-FR"/>
        </w:rPr>
        <w:t>auteur ét</w:t>
      </w:r>
      <w:r>
        <w:rPr>
          <w:lang w:val="fr-FR"/>
        </w:rPr>
        <w:t>ait</w:t>
      </w:r>
      <w:r w:rsidRPr="001A5E02">
        <w:rPr>
          <w:lang w:val="fr-FR"/>
        </w:rPr>
        <w:t xml:space="preserve"> autorisé à terminer ses études </w:t>
      </w:r>
      <w:r>
        <w:rPr>
          <w:lang w:val="fr-FR"/>
        </w:rPr>
        <w:t>jusqu’en</w:t>
      </w:r>
      <w:r w:rsidRPr="001A5E02">
        <w:rPr>
          <w:lang w:val="fr-FR"/>
        </w:rPr>
        <w:t xml:space="preserve"> janvier 2013</w:t>
      </w:r>
      <w:r>
        <w:rPr>
          <w:lang w:val="fr-FR"/>
        </w:rPr>
        <w:t>. Cependant,</w:t>
      </w:r>
      <w:r w:rsidRPr="001A5E02">
        <w:rPr>
          <w:lang w:val="fr-FR"/>
        </w:rPr>
        <w:t xml:space="preserve"> l</w:t>
      </w:r>
      <w:r>
        <w:rPr>
          <w:lang w:val="fr-FR"/>
        </w:rPr>
        <w:t>’</w:t>
      </w:r>
      <w:r w:rsidRPr="001A5E02">
        <w:rPr>
          <w:lang w:val="fr-FR"/>
        </w:rPr>
        <w:t>auteur a informé l</w:t>
      </w:r>
      <w:r>
        <w:rPr>
          <w:lang w:val="fr-FR"/>
        </w:rPr>
        <w:t>’</w:t>
      </w:r>
      <w:r w:rsidRPr="001A5E02">
        <w:rPr>
          <w:lang w:val="fr-FR"/>
        </w:rPr>
        <w:t>université qu</w:t>
      </w:r>
      <w:r>
        <w:rPr>
          <w:lang w:val="fr-FR"/>
        </w:rPr>
        <w:t>’</w:t>
      </w:r>
      <w:r w:rsidRPr="001A5E02">
        <w:rPr>
          <w:lang w:val="fr-FR"/>
        </w:rPr>
        <w:t>il renonçait à s</w:t>
      </w:r>
      <w:r>
        <w:rPr>
          <w:lang w:val="fr-FR"/>
        </w:rPr>
        <w:t>’</w:t>
      </w:r>
      <w:r w:rsidRPr="001A5E02">
        <w:rPr>
          <w:lang w:val="fr-FR"/>
        </w:rPr>
        <w:t>inscrire en 2012</w:t>
      </w:r>
      <w:r w:rsidRPr="006473EF">
        <w:rPr>
          <w:lang w:val="fr-FR"/>
        </w:rPr>
        <w:t>.</w:t>
      </w:r>
      <w:r w:rsidRPr="001A5E02">
        <w:rPr>
          <w:lang w:val="fr-FR"/>
        </w:rPr>
        <w:t xml:space="preserve"> Les décisions des juridictions internes de ne pas accorder à l</w:t>
      </w:r>
      <w:r>
        <w:rPr>
          <w:lang w:val="fr-FR"/>
        </w:rPr>
        <w:t>’</w:t>
      </w:r>
      <w:r w:rsidRPr="001A5E02">
        <w:rPr>
          <w:lang w:val="fr-FR"/>
        </w:rPr>
        <w:t>auteur une indemnisation pour l</w:t>
      </w:r>
      <w:r>
        <w:rPr>
          <w:lang w:val="fr-FR"/>
        </w:rPr>
        <w:t>’</w:t>
      </w:r>
      <w:r w:rsidRPr="001A5E02">
        <w:rPr>
          <w:lang w:val="fr-FR"/>
        </w:rPr>
        <w:t>application de</w:t>
      </w:r>
      <w:r w:rsidRPr="007A718D">
        <w:rPr>
          <w:lang w:val="fr-FR"/>
        </w:rPr>
        <w:t xml:space="preserve"> mesures restrictives étaient légales et raisonnables</w:t>
      </w:r>
      <w:r w:rsidRPr="006473EF">
        <w:rPr>
          <w:lang w:val="fr-FR"/>
        </w:rPr>
        <w:t>.</w:t>
      </w:r>
      <w:r w:rsidRPr="007A718D">
        <w:rPr>
          <w:lang w:val="fr-FR"/>
        </w:rPr>
        <w:t xml:space="preserve"> La communication est donc dénuée de fondement</w:t>
      </w:r>
      <w:r w:rsidRPr="006473EF">
        <w:rPr>
          <w:lang w:val="fr-FR"/>
        </w:rPr>
        <w:t>.</w:t>
      </w:r>
      <w:r w:rsidRPr="007A718D">
        <w:rPr>
          <w:lang w:val="fr-FR"/>
        </w:rPr>
        <w:t xml:space="preserve"> L</w:t>
      </w:r>
      <w:r>
        <w:rPr>
          <w:lang w:val="fr-FR"/>
        </w:rPr>
        <w:t>’</w:t>
      </w:r>
      <w:r w:rsidRPr="007A718D">
        <w:rPr>
          <w:lang w:val="fr-FR"/>
        </w:rPr>
        <w:t>État partie réaffirme que la demande de dommages-intérêts pour préjudice non pécuniaire a été présentée par l</w:t>
      </w:r>
      <w:r>
        <w:rPr>
          <w:lang w:val="fr-FR"/>
        </w:rPr>
        <w:t>’</w:t>
      </w:r>
      <w:r w:rsidRPr="007A718D">
        <w:rPr>
          <w:lang w:val="fr-FR"/>
        </w:rPr>
        <w:t>auteur après l</w:t>
      </w:r>
      <w:r>
        <w:rPr>
          <w:lang w:val="fr-FR"/>
        </w:rPr>
        <w:t>’</w:t>
      </w:r>
      <w:r w:rsidRPr="007A718D">
        <w:rPr>
          <w:lang w:val="fr-FR"/>
        </w:rPr>
        <w:t>expiration du délai de prescription de trois ans</w:t>
      </w:r>
      <w:r w:rsidRPr="006473EF">
        <w:rPr>
          <w:lang w:val="fr-FR"/>
        </w:rPr>
        <w:t>.</w:t>
      </w:r>
    </w:p>
    <w:p w14:paraId="2F0AFBBD"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20</w:t>
      </w:r>
      <w:r w:rsidRPr="007A718D">
        <w:rPr>
          <w:lang w:val="fr-FR"/>
        </w:rPr>
        <w:tab/>
        <w:t>Le grief que l</w:t>
      </w:r>
      <w:r>
        <w:rPr>
          <w:lang w:val="fr-FR"/>
        </w:rPr>
        <w:t>’</w:t>
      </w:r>
      <w:r w:rsidRPr="007A718D">
        <w:rPr>
          <w:lang w:val="fr-FR"/>
        </w:rPr>
        <w:t>auteur tire de l</w:t>
      </w:r>
      <w:r>
        <w:rPr>
          <w:lang w:val="fr-FR"/>
        </w:rPr>
        <w:t>’</w:t>
      </w:r>
      <w:r w:rsidRPr="007A718D">
        <w:rPr>
          <w:lang w:val="fr-FR"/>
        </w:rPr>
        <w:t>article 14 (par</w:t>
      </w:r>
      <w:r w:rsidRPr="006473EF">
        <w:rPr>
          <w:lang w:val="fr-FR"/>
        </w:rPr>
        <w:t>.</w:t>
      </w:r>
      <w:r w:rsidRPr="007A718D">
        <w:rPr>
          <w:lang w:val="fr-FR"/>
        </w:rPr>
        <w:t xml:space="preserve"> 2) est irrecevable </w:t>
      </w:r>
      <w:r w:rsidRPr="007A718D">
        <w:rPr>
          <w:i/>
          <w:iCs/>
          <w:lang w:val="fr-FR"/>
        </w:rPr>
        <w:t>ratione materiae</w:t>
      </w:r>
      <w:r w:rsidRPr="007A718D">
        <w:rPr>
          <w:lang w:val="fr-FR"/>
        </w:rPr>
        <w:t>, car les dispositions relatives à la présomption d</w:t>
      </w:r>
      <w:r>
        <w:rPr>
          <w:lang w:val="fr-FR"/>
        </w:rPr>
        <w:t>’</w:t>
      </w:r>
      <w:r w:rsidRPr="007A718D">
        <w:rPr>
          <w:lang w:val="fr-FR"/>
        </w:rPr>
        <w:t>innocence s</w:t>
      </w:r>
      <w:r>
        <w:rPr>
          <w:lang w:val="fr-FR"/>
        </w:rPr>
        <w:t>’</w:t>
      </w:r>
      <w:r w:rsidRPr="007A718D">
        <w:rPr>
          <w:lang w:val="fr-FR"/>
        </w:rPr>
        <w:t>appliquent aux personnes qui font l</w:t>
      </w:r>
      <w:r>
        <w:rPr>
          <w:lang w:val="fr-FR"/>
        </w:rPr>
        <w:t>’</w:t>
      </w:r>
      <w:r w:rsidRPr="007A718D">
        <w:rPr>
          <w:lang w:val="fr-FR"/>
        </w:rPr>
        <w:t>objet d</w:t>
      </w:r>
      <w:r>
        <w:rPr>
          <w:lang w:val="fr-FR"/>
        </w:rPr>
        <w:t>’</w:t>
      </w:r>
      <w:r w:rsidRPr="007A718D">
        <w:rPr>
          <w:lang w:val="fr-FR"/>
        </w:rPr>
        <w:t>une accusation en matière pénale, alors qu</w:t>
      </w:r>
      <w:r>
        <w:rPr>
          <w:lang w:val="fr-FR"/>
        </w:rPr>
        <w:t>’</w:t>
      </w:r>
      <w:r w:rsidRPr="007A718D">
        <w:rPr>
          <w:lang w:val="fr-FR"/>
        </w:rPr>
        <w:t>en l</w:t>
      </w:r>
      <w:r>
        <w:rPr>
          <w:lang w:val="fr-FR"/>
        </w:rPr>
        <w:t>’</w:t>
      </w:r>
      <w:r w:rsidRPr="007A718D">
        <w:rPr>
          <w:lang w:val="fr-FR"/>
        </w:rPr>
        <w:t>espèce, l</w:t>
      </w:r>
      <w:r>
        <w:rPr>
          <w:lang w:val="fr-FR"/>
        </w:rPr>
        <w:t>’</w:t>
      </w:r>
      <w:r w:rsidRPr="007A718D">
        <w:rPr>
          <w:lang w:val="fr-FR"/>
        </w:rPr>
        <w:t>auteur n</w:t>
      </w:r>
      <w:r>
        <w:rPr>
          <w:lang w:val="fr-FR"/>
        </w:rPr>
        <w:t>’</w:t>
      </w:r>
      <w:r w:rsidRPr="007A718D">
        <w:rPr>
          <w:lang w:val="fr-FR"/>
        </w:rPr>
        <w:t>a pas été accusé d</w:t>
      </w:r>
      <w:r>
        <w:rPr>
          <w:lang w:val="fr-FR"/>
        </w:rPr>
        <w:t>’</w:t>
      </w:r>
      <w:r w:rsidRPr="007A718D">
        <w:rPr>
          <w:lang w:val="fr-FR"/>
        </w:rPr>
        <w:t>une infraction pénale</w:t>
      </w:r>
      <w:r w:rsidRPr="00571F5C">
        <w:rPr>
          <w:rStyle w:val="Appelnotedebasdep"/>
        </w:rPr>
        <w:footnoteReference w:id="17"/>
      </w:r>
      <w:r w:rsidRPr="006473EF">
        <w:rPr>
          <w:lang w:val="fr-FR"/>
        </w:rPr>
        <w:t>.</w:t>
      </w:r>
    </w:p>
    <w:p w14:paraId="53684492" w14:textId="77777777" w:rsidR="00571F5C" w:rsidRPr="007A718D" w:rsidRDefault="00571F5C" w:rsidP="00571F5C">
      <w:pPr>
        <w:pStyle w:val="SingleTxtG"/>
        <w:rPr>
          <w:lang w:val="x-none"/>
        </w:rPr>
      </w:pPr>
      <w:r w:rsidRPr="007A718D">
        <w:rPr>
          <w:lang w:val="fr-FR"/>
        </w:rPr>
        <w:t>4</w:t>
      </w:r>
      <w:r w:rsidRPr="006473EF">
        <w:rPr>
          <w:lang w:val="fr-FR"/>
        </w:rPr>
        <w:t>.</w:t>
      </w:r>
      <w:r w:rsidRPr="007A718D">
        <w:rPr>
          <w:lang w:val="fr-FR"/>
        </w:rPr>
        <w:t>21</w:t>
      </w:r>
      <w:r w:rsidRPr="007A718D">
        <w:rPr>
          <w:lang w:val="fr-FR"/>
        </w:rPr>
        <w:tab/>
        <w:t>Le grief tiré de l</w:t>
      </w:r>
      <w:r>
        <w:rPr>
          <w:lang w:val="fr-FR"/>
        </w:rPr>
        <w:t>’</w:t>
      </w:r>
      <w:r w:rsidRPr="007A718D">
        <w:rPr>
          <w:lang w:val="fr-FR"/>
        </w:rPr>
        <w:t>article 14 (par</w:t>
      </w:r>
      <w:r w:rsidRPr="006473EF">
        <w:rPr>
          <w:lang w:val="fr-FR"/>
        </w:rPr>
        <w:t>.</w:t>
      </w:r>
      <w:r w:rsidRPr="007A718D">
        <w:rPr>
          <w:lang w:val="fr-FR"/>
        </w:rPr>
        <w:t xml:space="preserve"> 2) est également irrecevable parce qu</w:t>
      </w:r>
      <w:r>
        <w:rPr>
          <w:lang w:val="fr-FR"/>
        </w:rPr>
        <w:t>’</w:t>
      </w:r>
      <w:r w:rsidRPr="007A718D">
        <w:rPr>
          <w:lang w:val="fr-FR"/>
        </w:rPr>
        <w:t>il n</w:t>
      </w:r>
      <w:r>
        <w:rPr>
          <w:lang w:val="fr-FR"/>
        </w:rPr>
        <w:t>’</w:t>
      </w:r>
      <w:r w:rsidRPr="007A718D">
        <w:rPr>
          <w:lang w:val="fr-FR"/>
        </w:rPr>
        <w:t>est pas étayé</w:t>
      </w:r>
      <w:r w:rsidRPr="006473EF">
        <w:rPr>
          <w:lang w:val="fr-FR"/>
        </w:rPr>
        <w:t>.</w:t>
      </w:r>
      <w:r w:rsidRPr="007A718D">
        <w:rPr>
          <w:lang w:val="fr-FR"/>
        </w:rPr>
        <w:t xml:space="preserve"> Au cours de la procédure civile, les juridictions nationales n</w:t>
      </w:r>
      <w:r>
        <w:rPr>
          <w:lang w:val="fr-FR"/>
        </w:rPr>
        <w:t>’</w:t>
      </w:r>
      <w:r w:rsidRPr="007A718D">
        <w:rPr>
          <w:lang w:val="fr-FR"/>
        </w:rPr>
        <w:t>ont jamais exprimé d</w:t>
      </w:r>
      <w:r>
        <w:rPr>
          <w:lang w:val="fr-FR"/>
        </w:rPr>
        <w:t>’</w:t>
      </w:r>
      <w:r w:rsidRPr="007A718D">
        <w:rPr>
          <w:lang w:val="fr-FR"/>
        </w:rPr>
        <w:t>avis laissant entendre que l</w:t>
      </w:r>
      <w:r>
        <w:rPr>
          <w:lang w:val="fr-FR"/>
        </w:rPr>
        <w:t>’</w:t>
      </w:r>
      <w:r w:rsidRPr="007A718D">
        <w:rPr>
          <w:lang w:val="fr-FR"/>
        </w:rPr>
        <w:t>auteur était coupable</w:t>
      </w:r>
      <w:r w:rsidRPr="006473EF">
        <w:rPr>
          <w:lang w:val="fr-FR"/>
        </w:rPr>
        <w:t>.</w:t>
      </w:r>
      <w:r w:rsidRPr="007A718D">
        <w:rPr>
          <w:lang w:val="fr-FR"/>
        </w:rPr>
        <w:t xml:space="preserve"> Il n</w:t>
      </w:r>
      <w:r>
        <w:rPr>
          <w:lang w:val="fr-FR"/>
        </w:rPr>
        <w:t>’</w:t>
      </w:r>
      <w:r w:rsidRPr="007A718D">
        <w:rPr>
          <w:lang w:val="fr-FR"/>
        </w:rPr>
        <w:t>était pas déraisonnable pour elles de considérer qu</w:t>
      </w:r>
      <w:r>
        <w:rPr>
          <w:lang w:val="fr-FR"/>
        </w:rPr>
        <w:t>’</w:t>
      </w:r>
      <w:r w:rsidRPr="007A718D">
        <w:rPr>
          <w:lang w:val="fr-FR"/>
        </w:rPr>
        <w:t>il existait un commencement de preuve permettant à l</w:t>
      </w:r>
      <w:r>
        <w:rPr>
          <w:lang w:val="fr-FR"/>
        </w:rPr>
        <w:t>’</w:t>
      </w:r>
      <w:r w:rsidRPr="007A718D">
        <w:rPr>
          <w:lang w:val="fr-FR"/>
        </w:rPr>
        <w:t>État d</w:t>
      </w:r>
      <w:r>
        <w:rPr>
          <w:lang w:val="fr-FR"/>
        </w:rPr>
        <w:t>’</w:t>
      </w:r>
      <w:r w:rsidRPr="007A718D">
        <w:rPr>
          <w:lang w:val="fr-FR"/>
        </w:rPr>
        <w:t>ouvrir une enquête pénale contre l</w:t>
      </w:r>
      <w:r>
        <w:rPr>
          <w:lang w:val="fr-FR"/>
        </w:rPr>
        <w:t>’</w:t>
      </w:r>
      <w:r w:rsidRPr="007A718D">
        <w:rPr>
          <w:lang w:val="fr-FR"/>
        </w:rPr>
        <w:t>auteur</w:t>
      </w:r>
      <w:r w:rsidRPr="006473EF">
        <w:rPr>
          <w:lang w:val="fr-FR"/>
        </w:rPr>
        <w:t>.</w:t>
      </w:r>
      <w:r w:rsidRPr="007A718D">
        <w:rPr>
          <w:lang w:val="fr-FR"/>
        </w:rPr>
        <w:t xml:space="preserve"> La clôture de l</w:t>
      </w:r>
      <w:r>
        <w:rPr>
          <w:lang w:val="fr-FR"/>
        </w:rPr>
        <w:t>’</w:t>
      </w:r>
      <w:r w:rsidRPr="007A718D">
        <w:rPr>
          <w:lang w:val="fr-FR"/>
        </w:rPr>
        <w:t>enquête était fondée sur les circonstances exposées plus haut, et ne signifiait pas que l</w:t>
      </w:r>
      <w:r>
        <w:rPr>
          <w:lang w:val="fr-FR"/>
        </w:rPr>
        <w:t>’</w:t>
      </w:r>
      <w:r w:rsidRPr="007A718D">
        <w:rPr>
          <w:lang w:val="fr-FR"/>
        </w:rPr>
        <w:t>auteur était dispensé de l</w:t>
      </w:r>
      <w:r>
        <w:rPr>
          <w:lang w:val="fr-FR"/>
        </w:rPr>
        <w:t>’</w:t>
      </w:r>
      <w:r w:rsidRPr="007A718D">
        <w:rPr>
          <w:lang w:val="fr-FR"/>
        </w:rPr>
        <w:t>obligation de fournir des éléments à l</w:t>
      </w:r>
      <w:r>
        <w:rPr>
          <w:lang w:val="fr-FR"/>
        </w:rPr>
        <w:t>’</w:t>
      </w:r>
      <w:r w:rsidRPr="007A718D">
        <w:rPr>
          <w:lang w:val="fr-FR"/>
        </w:rPr>
        <w:t>appui de sa demande de dommages-intérêts</w:t>
      </w:r>
      <w:r w:rsidRPr="006473EF">
        <w:rPr>
          <w:lang w:val="fr-FR"/>
        </w:rPr>
        <w:t>.</w:t>
      </w:r>
      <w:r w:rsidRPr="007A718D">
        <w:rPr>
          <w:lang w:val="fr-FR"/>
        </w:rPr>
        <w:t xml:space="preserve"> Les juridictions internes étaient</w:t>
      </w:r>
      <w:r w:rsidRPr="00116C17">
        <w:rPr>
          <w:lang w:val="fr-FR"/>
        </w:rPr>
        <w:t xml:space="preserve"> </w:t>
      </w:r>
      <w:r w:rsidRPr="007A718D">
        <w:rPr>
          <w:lang w:val="fr-FR"/>
        </w:rPr>
        <w:t>tenues de déterminer, et donc habilitées à décider, si l</w:t>
      </w:r>
      <w:r>
        <w:rPr>
          <w:lang w:val="fr-FR"/>
        </w:rPr>
        <w:t>’</w:t>
      </w:r>
      <w:r w:rsidRPr="007A718D">
        <w:rPr>
          <w:lang w:val="fr-FR"/>
        </w:rPr>
        <w:t>auteur s</w:t>
      </w:r>
      <w:r>
        <w:rPr>
          <w:lang w:val="fr-FR"/>
        </w:rPr>
        <w:t>’</w:t>
      </w:r>
      <w:r w:rsidRPr="007A718D">
        <w:rPr>
          <w:lang w:val="fr-FR"/>
        </w:rPr>
        <w:t>était acquitté de la charge de la preuve qui lui incombait</w:t>
      </w:r>
      <w:r w:rsidRPr="006473EF">
        <w:rPr>
          <w:lang w:val="fr-FR"/>
        </w:rPr>
        <w:t>.</w:t>
      </w:r>
      <w:r w:rsidRPr="007A718D">
        <w:rPr>
          <w:lang w:val="fr-FR"/>
        </w:rPr>
        <w:t xml:space="preserve"> En outre, le fait que les juridictions civiles aient refusé d</w:t>
      </w:r>
      <w:r>
        <w:rPr>
          <w:lang w:val="fr-FR"/>
        </w:rPr>
        <w:t>’</w:t>
      </w:r>
      <w:r w:rsidRPr="007A718D">
        <w:rPr>
          <w:lang w:val="fr-FR"/>
        </w:rPr>
        <w:t>accorder à l</w:t>
      </w:r>
      <w:r>
        <w:rPr>
          <w:lang w:val="fr-FR"/>
        </w:rPr>
        <w:t>’</w:t>
      </w:r>
      <w:r w:rsidRPr="007A718D">
        <w:rPr>
          <w:lang w:val="fr-FR"/>
        </w:rPr>
        <w:t>auteur une indemnisation pour préjudice non pécuniaire ne peut être interprété comme indiquant qu</w:t>
      </w:r>
      <w:r>
        <w:rPr>
          <w:lang w:val="fr-FR"/>
        </w:rPr>
        <w:t>’</w:t>
      </w:r>
      <w:r w:rsidRPr="007A718D">
        <w:rPr>
          <w:lang w:val="fr-FR"/>
        </w:rPr>
        <w:t>elles ont préjugé de la question de la culpabilité de l</w:t>
      </w:r>
      <w:r>
        <w:rPr>
          <w:lang w:val="fr-FR"/>
        </w:rPr>
        <w:t>’</w:t>
      </w:r>
      <w:r w:rsidRPr="007A718D">
        <w:rPr>
          <w:lang w:val="fr-FR"/>
        </w:rPr>
        <w:t>auteur en matière pénale</w:t>
      </w:r>
      <w:r w:rsidRPr="006473EF">
        <w:rPr>
          <w:lang w:val="fr-FR"/>
        </w:rPr>
        <w:t>.</w:t>
      </w:r>
      <w:r w:rsidRPr="007A718D">
        <w:rPr>
          <w:lang w:val="fr-FR"/>
        </w:rPr>
        <w:t xml:space="preserve"> Les juridictions nationales qui ont statué au civil ne se sont pas prononcées sur la question de la culpabilité de l</w:t>
      </w:r>
      <w:r>
        <w:rPr>
          <w:lang w:val="fr-FR"/>
        </w:rPr>
        <w:t>’</w:t>
      </w:r>
      <w:r w:rsidRPr="007A718D">
        <w:rPr>
          <w:lang w:val="fr-FR"/>
        </w:rPr>
        <w:t>auteur</w:t>
      </w:r>
      <w:r w:rsidRPr="006473EF">
        <w:rPr>
          <w:lang w:val="fr-FR"/>
        </w:rPr>
        <w:t>.</w:t>
      </w:r>
    </w:p>
    <w:p w14:paraId="621B76BE" w14:textId="77777777" w:rsidR="00571F5C" w:rsidRPr="007A718D" w:rsidRDefault="00571F5C" w:rsidP="00571F5C">
      <w:pPr>
        <w:pStyle w:val="H23G"/>
      </w:pPr>
      <w:r w:rsidRPr="007A718D">
        <w:rPr>
          <w:lang w:val="fr-FR"/>
        </w:rPr>
        <w:tab/>
      </w:r>
      <w:r w:rsidRPr="007A718D">
        <w:rPr>
          <w:lang w:val="fr-FR"/>
        </w:rPr>
        <w:tab/>
        <w:t>Commentaires de l</w:t>
      </w:r>
      <w:r>
        <w:rPr>
          <w:lang w:val="fr-FR"/>
        </w:rPr>
        <w:t>’</w:t>
      </w:r>
      <w:r w:rsidRPr="007A718D">
        <w:rPr>
          <w:lang w:val="fr-FR"/>
        </w:rPr>
        <w:t>auteur sur les observations de l</w:t>
      </w:r>
      <w:r>
        <w:rPr>
          <w:lang w:val="fr-FR"/>
        </w:rPr>
        <w:t>’</w:t>
      </w:r>
      <w:r w:rsidRPr="007A718D">
        <w:rPr>
          <w:lang w:val="fr-FR"/>
        </w:rPr>
        <w:t xml:space="preserve">État partie concernant </w:t>
      </w:r>
      <w:r>
        <w:rPr>
          <w:lang w:val="fr-FR"/>
        </w:rPr>
        <w:br/>
      </w:r>
      <w:r w:rsidRPr="007A718D">
        <w:rPr>
          <w:lang w:val="fr-FR"/>
        </w:rPr>
        <w:t>la recevabilité et le fond</w:t>
      </w:r>
    </w:p>
    <w:p w14:paraId="52A751D5" w14:textId="77777777" w:rsidR="00571F5C" w:rsidRPr="007A718D" w:rsidRDefault="00571F5C" w:rsidP="00571F5C">
      <w:pPr>
        <w:pStyle w:val="SingleTxtG"/>
        <w:rPr>
          <w:iCs/>
          <w:lang w:val="x-none"/>
        </w:rPr>
      </w:pPr>
      <w:r w:rsidRPr="007A718D">
        <w:rPr>
          <w:lang w:val="fr-FR"/>
        </w:rPr>
        <w:t>5</w:t>
      </w:r>
      <w:r w:rsidRPr="006473EF">
        <w:rPr>
          <w:lang w:val="fr-FR"/>
        </w:rPr>
        <w:t>.</w:t>
      </w:r>
      <w:r w:rsidRPr="007A718D">
        <w:rPr>
          <w:lang w:val="fr-FR"/>
        </w:rPr>
        <w:t>1</w:t>
      </w:r>
      <w:r w:rsidRPr="007A718D">
        <w:rPr>
          <w:lang w:val="fr-FR"/>
        </w:rPr>
        <w:tab/>
        <w:t xml:space="preserve">Dans ses commentaires </w:t>
      </w:r>
      <w:r>
        <w:rPr>
          <w:lang w:val="fr-FR"/>
        </w:rPr>
        <w:t>datés</w:t>
      </w:r>
      <w:r w:rsidRPr="007A718D">
        <w:rPr>
          <w:lang w:val="fr-FR"/>
        </w:rPr>
        <w:t xml:space="preserve"> du 19</w:t>
      </w:r>
      <w:r>
        <w:rPr>
          <w:lang w:val="fr-FR"/>
        </w:rPr>
        <w:t> </w:t>
      </w:r>
      <w:r w:rsidRPr="007A718D">
        <w:rPr>
          <w:lang w:val="fr-FR"/>
        </w:rPr>
        <w:t>novembre 2019, l</w:t>
      </w:r>
      <w:r>
        <w:rPr>
          <w:lang w:val="fr-FR"/>
        </w:rPr>
        <w:t>’</w:t>
      </w:r>
      <w:r w:rsidRPr="007A718D">
        <w:rPr>
          <w:lang w:val="fr-FR"/>
        </w:rPr>
        <w:t>auteur fait observer, en réponse à l</w:t>
      </w:r>
      <w:r>
        <w:rPr>
          <w:lang w:val="fr-FR"/>
        </w:rPr>
        <w:t>’</w:t>
      </w:r>
      <w:r w:rsidRPr="007A718D">
        <w:rPr>
          <w:lang w:val="fr-FR"/>
        </w:rPr>
        <w:t>affirmation de l</w:t>
      </w:r>
      <w:r>
        <w:rPr>
          <w:lang w:val="fr-FR"/>
        </w:rPr>
        <w:t>’</w:t>
      </w:r>
      <w:r w:rsidRPr="007A718D">
        <w:rPr>
          <w:lang w:val="fr-FR"/>
        </w:rPr>
        <w:t>État partie selon laquelle il a dépassé le délai légal de trois ans pour déposer une demande de dommages-intérêts, que ses griefs ont fait l</w:t>
      </w:r>
      <w:r>
        <w:rPr>
          <w:lang w:val="fr-FR"/>
        </w:rPr>
        <w:t>’</w:t>
      </w:r>
      <w:r w:rsidRPr="007A718D">
        <w:rPr>
          <w:lang w:val="fr-FR"/>
        </w:rPr>
        <w:t>objet d</w:t>
      </w:r>
      <w:r>
        <w:rPr>
          <w:lang w:val="fr-FR"/>
        </w:rPr>
        <w:t>’</w:t>
      </w:r>
      <w:r w:rsidRPr="007A718D">
        <w:rPr>
          <w:lang w:val="fr-FR"/>
        </w:rPr>
        <w:t>un examen au fond par les autorités nationales</w:t>
      </w:r>
      <w:r w:rsidRPr="006473EF">
        <w:rPr>
          <w:lang w:val="fr-FR"/>
        </w:rPr>
        <w:t>.</w:t>
      </w:r>
      <w:r w:rsidRPr="007A718D">
        <w:rPr>
          <w:lang w:val="fr-FR"/>
        </w:rPr>
        <w:t xml:space="preserve"> En outre, il n</w:t>
      </w:r>
      <w:r>
        <w:rPr>
          <w:lang w:val="fr-FR"/>
        </w:rPr>
        <w:t>’</w:t>
      </w:r>
      <w:r w:rsidRPr="007A718D">
        <w:rPr>
          <w:lang w:val="fr-FR"/>
        </w:rPr>
        <w:t>y a pas eu de période d</w:t>
      </w:r>
      <w:r>
        <w:rPr>
          <w:lang w:val="fr-FR"/>
        </w:rPr>
        <w:t>’</w:t>
      </w:r>
      <w:r w:rsidRPr="007A718D">
        <w:rPr>
          <w:lang w:val="fr-FR"/>
        </w:rPr>
        <w:t>inaction, étant donné qu</w:t>
      </w:r>
      <w:r>
        <w:rPr>
          <w:lang w:val="fr-FR"/>
        </w:rPr>
        <w:t>’</w:t>
      </w:r>
      <w:r w:rsidRPr="007A718D">
        <w:rPr>
          <w:lang w:val="fr-FR"/>
        </w:rPr>
        <w:t>il a tenté d</w:t>
      </w:r>
      <w:r>
        <w:rPr>
          <w:lang w:val="fr-FR"/>
        </w:rPr>
        <w:t>’</w:t>
      </w:r>
      <w:r w:rsidRPr="007A718D">
        <w:rPr>
          <w:lang w:val="fr-FR"/>
        </w:rPr>
        <w:t>engager une action contre l</w:t>
      </w:r>
      <w:r>
        <w:rPr>
          <w:lang w:val="fr-FR"/>
        </w:rPr>
        <w:t>’</w:t>
      </w:r>
      <w:r w:rsidRPr="007A718D">
        <w:rPr>
          <w:lang w:val="fr-FR"/>
        </w:rPr>
        <w:t>État partie devant les tribunaux danois avant de recourir aux tribunaux de l</w:t>
      </w:r>
      <w:r>
        <w:rPr>
          <w:lang w:val="fr-FR"/>
        </w:rPr>
        <w:t>’</w:t>
      </w:r>
      <w:r w:rsidRPr="007A718D">
        <w:rPr>
          <w:lang w:val="fr-FR"/>
        </w:rPr>
        <w:t>État partie</w:t>
      </w:r>
      <w:r w:rsidRPr="006473EF">
        <w:rPr>
          <w:lang w:val="fr-FR"/>
        </w:rPr>
        <w:t>.</w:t>
      </w:r>
    </w:p>
    <w:p w14:paraId="77FB270D" w14:textId="77777777" w:rsidR="00571F5C" w:rsidRPr="007A718D" w:rsidRDefault="00571F5C" w:rsidP="00571F5C">
      <w:pPr>
        <w:pStyle w:val="SingleTxtG"/>
        <w:rPr>
          <w:lang w:val="x-none"/>
        </w:rPr>
      </w:pPr>
      <w:r w:rsidRPr="007A718D">
        <w:rPr>
          <w:lang w:val="fr-FR"/>
        </w:rPr>
        <w:t>5</w:t>
      </w:r>
      <w:r w:rsidRPr="006473EF">
        <w:rPr>
          <w:lang w:val="fr-FR"/>
        </w:rPr>
        <w:t>.</w:t>
      </w:r>
      <w:r w:rsidRPr="007A718D">
        <w:rPr>
          <w:lang w:val="fr-FR"/>
        </w:rPr>
        <w:t>2</w:t>
      </w:r>
      <w:r w:rsidRPr="007A718D">
        <w:rPr>
          <w:lang w:val="fr-FR"/>
        </w:rPr>
        <w:tab/>
        <w:t>L</w:t>
      </w:r>
      <w:r>
        <w:rPr>
          <w:lang w:val="fr-FR"/>
        </w:rPr>
        <w:t>’</w:t>
      </w:r>
      <w:r w:rsidRPr="007A718D">
        <w:rPr>
          <w:lang w:val="fr-FR"/>
        </w:rPr>
        <w:t>État partie devrait se considérer comme une autorité publique neutre ayant l</w:t>
      </w:r>
      <w:r>
        <w:rPr>
          <w:lang w:val="fr-FR"/>
        </w:rPr>
        <w:t>’</w:t>
      </w:r>
      <w:r w:rsidRPr="007A718D">
        <w:rPr>
          <w:lang w:val="fr-FR"/>
        </w:rPr>
        <w:t>obligation positive de réparer tout préjudice, y compris les préjudices causés par l</w:t>
      </w:r>
      <w:r>
        <w:rPr>
          <w:lang w:val="fr-FR"/>
        </w:rPr>
        <w:t>’</w:t>
      </w:r>
      <w:r w:rsidRPr="007A718D">
        <w:rPr>
          <w:lang w:val="fr-FR"/>
        </w:rPr>
        <w:t>État</w:t>
      </w:r>
      <w:r w:rsidRPr="006473EF">
        <w:rPr>
          <w:lang w:val="fr-FR"/>
        </w:rPr>
        <w:t>.</w:t>
      </w:r>
    </w:p>
    <w:p w14:paraId="79161348" w14:textId="77777777" w:rsidR="00571F5C" w:rsidRPr="007A718D" w:rsidRDefault="00571F5C" w:rsidP="00571F5C">
      <w:pPr>
        <w:pStyle w:val="SingleTxtG"/>
        <w:rPr>
          <w:lang w:val="x-none"/>
        </w:rPr>
      </w:pPr>
      <w:r w:rsidRPr="007A718D">
        <w:rPr>
          <w:lang w:val="fr-FR"/>
        </w:rPr>
        <w:t>5</w:t>
      </w:r>
      <w:r w:rsidRPr="006473EF">
        <w:rPr>
          <w:lang w:val="fr-FR"/>
        </w:rPr>
        <w:t>.</w:t>
      </w:r>
      <w:r w:rsidRPr="007A718D">
        <w:rPr>
          <w:lang w:val="fr-FR"/>
        </w:rPr>
        <w:t>3</w:t>
      </w:r>
      <w:r w:rsidRPr="007A718D">
        <w:rPr>
          <w:lang w:val="fr-FR"/>
        </w:rPr>
        <w:tab/>
        <w:t>L</w:t>
      </w:r>
      <w:r>
        <w:rPr>
          <w:lang w:val="fr-FR"/>
        </w:rPr>
        <w:t>’</w:t>
      </w:r>
      <w:r w:rsidRPr="007A718D">
        <w:rPr>
          <w:lang w:val="fr-FR"/>
        </w:rPr>
        <w:t>auteur affirme qu</w:t>
      </w:r>
      <w:r>
        <w:rPr>
          <w:lang w:val="fr-FR"/>
        </w:rPr>
        <w:t>’</w:t>
      </w:r>
      <w:r w:rsidRPr="007A718D">
        <w:rPr>
          <w:lang w:val="fr-FR"/>
        </w:rPr>
        <w:t>il a interrompu ses études universitaires après la fin de l</w:t>
      </w:r>
      <w:r>
        <w:rPr>
          <w:lang w:val="fr-FR"/>
        </w:rPr>
        <w:t>’</w:t>
      </w:r>
      <w:r w:rsidRPr="007A718D">
        <w:rPr>
          <w:lang w:val="fr-FR"/>
        </w:rPr>
        <w:t>enquête préliminaire car il a dû travailler pour payer les frais de justice y afférents</w:t>
      </w:r>
      <w:r w:rsidRPr="006473EF">
        <w:rPr>
          <w:lang w:val="fr-FR"/>
        </w:rPr>
        <w:t>.</w:t>
      </w:r>
      <w:r w:rsidRPr="007A718D">
        <w:rPr>
          <w:lang w:val="fr-FR"/>
        </w:rPr>
        <w:t xml:space="preserve"> L</w:t>
      </w:r>
      <w:r>
        <w:rPr>
          <w:lang w:val="fr-FR"/>
        </w:rPr>
        <w:t>’</w:t>
      </w:r>
      <w:r w:rsidRPr="007A718D">
        <w:rPr>
          <w:lang w:val="fr-FR"/>
        </w:rPr>
        <w:t>État partie est donc aussi responsable du fait que l</w:t>
      </w:r>
      <w:r>
        <w:rPr>
          <w:lang w:val="fr-FR"/>
        </w:rPr>
        <w:t>’</w:t>
      </w:r>
      <w:r w:rsidRPr="007A718D">
        <w:rPr>
          <w:lang w:val="fr-FR"/>
        </w:rPr>
        <w:t>auteur a été privé de la possibilité de poursuivre des études et d</w:t>
      </w:r>
      <w:r>
        <w:rPr>
          <w:lang w:val="fr-FR"/>
        </w:rPr>
        <w:t>’</w:t>
      </w:r>
      <w:r w:rsidRPr="007A718D">
        <w:rPr>
          <w:lang w:val="fr-FR"/>
        </w:rPr>
        <w:t>obtenir un diplôme universitaire</w:t>
      </w:r>
      <w:r w:rsidRPr="006473EF">
        <w:rPr>
          <w:lang w:val="fr-FR"/>
        </w:rPr>
        <w:t>.</w:t>
      </w:r>
      <w:r w:rsidRPr="007A718D">
        <w:rPr>
          <w:lang w:val="fr-FR"/>
        </w:rPr>
        <w:t xml:space="preserve"> Si ses études n</w:t>
      </w:r>
      <w:r>
        <w:rPr>
          <w:lang w:val="fr-FR"/>
        </w:rPr>
        <w:t>’</w:t>
      </w:r>
      <w:r w:rsidRPr="007A718D">
        <w:rPr>
          <w:lang w:val="fr-FR"/>
        </w:rPr>
        <w:t>avaient pas été interrompues, l</w:t>
      </w:r>
      <w:r>
        <w:rPr>
          <w:lang w:val="fr-FR"/>
        </w:rPr>
        <w:t>’</w:t>
      </w:r>
      <w:r w:rsidRPr="007A718D">
        <w:rPr>
          <w:lang w:val="fr-FR"/>
        </w:rPr>
        <w:t>auteur aurait eu une chance d</w:t>
      </w:r>
      <w:r>
        <w:rPr>
          <w:lang w:val="fr-FR"/>
        </w:rPr>
        <w:t>’</w:t>
      </w:r>
      <w:r w:rsidRPr="007A718D">
        <w:rPr>
          <w:lang w:val="fr-FR"/>
        </w:rPr>
        <w:t>obtenir un emploi mieux rémunéré à l</w:t>
      </w:r>
      <w:r>
        <w:rPr>
          <w:lang w:val="fr-FR"/>
        </w:rPr>
        <w:t>’</w:t>
      </w:r>
      <w:r w:rsidRPr="007A718D">
        <w:rPr>
          <w:lang w:val="fr-FR"/>
        </w:rPr>
        <w:t>avenir</w:t>
      </w:r>
      <w:r w:rsidRPr="006473EF">
        <w:rPr>
          <w:lang w:val="fr-FR"/>
        </w:rPr>
        <w:t>.</w:t>
      </w:r>
    </w:p>
    <w:p w14:paraId="5EEEB135" w14:textId="77777777" w:rsidR="00571F5C" w:rsidRPr="007A718D" w:rsidRDefault="00571F5C" w:rsidP="00571F5C">
      <w:pPr>
        <w:pStyle w:val="SingleTxtG"/>
        <w:rPr>
          <w:lang w:val="x-none"/>
        </w:rPr>
      </w:pPr>
      <w:r w:rsidRPr="007A718D">
        <w:rPr>
          <w:lang w:val="fr-FR"/>
        </w:rPr>
        <w:t>5</w:t>
      </w:r>
      <w:r w:rsidRPr="006473EF">
        <w:rPr>
          <w:lang w:val="fr-FR"/>
        </w:rPr>
        <w:t>.</w:t>
      </w:r>
      <w:r w:rsidRPr="007A718D">
        <w:rPr>
          <w:lang w:val="fr-FR"/>
        </w:rPr>
        <w:t>4</w:t>
      </w:r>
      <w:r w:rsidRPr="007A718D">
        <w:rPr>
          <w:lang w:val="fr-FR"/>
        </w:rPr>
        <w:tab/>
        <w:t>L</w:t>
      </w:r>
      <w:r>
        <w:rPr>
          <w:lang w:val="fr-FR"/>
        </w:rPr>
        <w:t>’</w:t>
      </w:r>
      <w:r w:rsidRPr="007A718D">
        <w:rPr>
          <w:lang w:val="fr-FR"/>
        </w:rPr>
        <w:t>auteur soulève un nouveau grief au titre de l</w:t>
      </w:r>
      <w:r>
        <w:rPr>
          <w:lang w:val="fr-FR"/>
        </w:rPr>
        <w:t>’</w:t>
      </w:r>
      <w:r w:rsidRPr="007A718D">
        <w:rPr>
          <w:lang w:val="fr-FR"/>
        </w:rPr>
        <w:t>article 14 (par</w:t>
      </w:r>
      <w:r w:rsidRPr="006473EF">
        <w:rPr>
          <w:lang w:val="fr-FR"/>
        </w:rPr>
        <w:t>.</w:t>
      </w:r>
      <w:r w:rsidRPr="007A718D">
        <w:rPr>
          <w:lang w:val="fr-FR"/>
        </w:rPr>
        <w:t xml:space="preserve"> 1) du Pacte et fait valoir que, conformément au principe de l</w:t>
      </w:r>
      <w:r>
        <w:rPr>
          <w:lang w:val="fr-FR"/>
        </w:rPr>
        <w:t>’</w:t>
      </w:r>
      <w:r w:rsidRPr="007A718D">
        <w:rPr>
          <w:lang w:val="fr-FR"/>
        </w:rPr>
        <w:t>égalité devant les tribunaux, l</w:t>
      </w:r>
      <w:r>
        <w:rPr>
          <w:lang w:val="fr-FR"/>
        </w:rPr>
        <w:t>’</w:t>
      </w:r>
      <w:r w:rsidRPr="007A718D">
        <w:rPr>
          <w:lang w:val="fr-FR"/>
        </w:rPr>
        <w:t>État partie devrait payer les frais de justice liés à l</w:t>
      </w:r>
      <w:r>
        <w:rPr>
          <w:lang w:val="fr-FR"/>
        </w:rPr>
        <w:t>’</w:t>
      </w:r>
      <w:r w:rsidRPr="007A718D">
        <w:rPr>
          <w:lang w:val="fr-FR"/>
        </w:rPr>
        <w:t>enquête préliminaire, étant donné que la partie perdante dans une procédure civile doit prendre à sa charge les frais de la partie gagnante</w:t>
      </w:r>
      <w:r w:rsidRPr="006473EF">
        <w:rPr>
          <w:lang w:val="fr-FR"/>
        </w:rPr>
        <w:t>.</w:t>
      </w:r>
      <w:r w:rsidRPr="007A718D">
        <w:rPr>
          <w:lang w:val="fr-FR"/>
        </w:rPr>
        <w:t xml:space="preserve"> En outre, l</w:t>
      </w:r>
      <w:r>
        <w:rPr>
          <w:lang w:val="fr-FR"/>
        </w:rPr>
        <w:t>’</w:t>
      </w:r>
      <w:r w:rsidRPr="007A718D">
        <w:rPr>
          <w:lang w:val="fr-FR"/>
        </w:rPr>
        <w:t>enquête a été excessivement longue, étant donné qu</w:t>
      </w:r>
      <w:r>
        <w:rPr>
          <w:lang w:val="fr-FR"/>
        </w:rPr>
        <w:t>’</w:t>
      </w:r>
      <w:r w:rsidRPr="007A718D">
        <w:rPr>
          <w:lang w:val="fr-FR"/>
        </w:rPr>
        <w:t>elle s</w:t>
      </w:r>
      <w:r>
        <w:rPr>
          <w:lang w:val="fr-FR"/>
        </w:rPr>
        <w:t>’</w:t>
      </w:r>
      <w:r w:rsidRPr="007A718D">
        <w:rPr>
          <w:lang w:val="fr-FR"/>
        </w:rPr>
        <w:t>est terminée en septembre 2010</w:t>
      </w:r>
      <w:r w:rsidRPr="006473EF">
        <w:rPr>
          <w:lang w:val="fr-FR"/>
        </w:rPr>
        <w:t>.</w:t>
      </w:r>
    </w:p>
    <w:p w14:paraId="0611286E" w14:textId="5914A3E2" w:rsidR="00571F5C" w:rsidRPr="007A718D" w:rsidRDefault="00571F5C" w:rsidP="00571F5C">
      <w:pPr>
        <w:pStyle w:val="SingleTxtG"/>
        <w:rPr>
          <w:lang w:val="x-none"/>
        </w:rPr>
      </w:pPr>
      <w:r w:rsidRPr="007A718D">
        <w:rPr>
          <w:lang w:val="fr-FR"/>
        </w:rPr>
        <w:lastRenderedPageBreak/>
        <w:t>5</w:t>
      </w:r>
      <w:r w:rsidRPr="006473EF">
        <w:rPr>
          <w:lang w:val="fr-FR"/>
        </w:rPr>
        <w:t>.</w:t>
      </w:r>
      <w:r w:rsidRPr="007A718D">
        <w:rPr>
          <w:lang w:val="fr-FR"/>
        </w:rPr>
        <w:t>5</w:t>
      </w:r>
      <w:r w:rsidRPr="007A718D">
        <w:rPr>
          <w:lang w:val="fr-FR"/>
        </w:rPr>
        <w:tab/>
        <w:t>Réaffirmant le grief qu</w:t>
      </w:r>
      <w:r>
        <w:rPr>
          <w:lang w:val="fr-FR"/>
        </w:rPr>
        <w:t>’</w:t>
      </w:r>
      <w:r w:rsidRPr="007A718D">
        <w:rPr>
          <w:lang w:val="fr-FR"/>
        </w:rPr>
        <w:t>il tire de l</w:t>
      </w:r>
      <w:r>
        <w:rPr>
          <w:lang w:val="fr-FR"/>
        </w:rPr>
        <w:t>’</w:t>
      </w:r>
      <w:r w:rsidRPr="007A718D">
        <w:rPr>
          <w:lang w:val="fr-FR"/>
        </w:rPr>
        <w:t>article 14 (par</w:t>
      </w:r>
      <w:r w:rsidRPr="006473EF">
        <w:rPr>
          <w:lang w:val="fr-FR"/>
        </w:rPr>
        <w:t>.</w:t>
      </w:r>
      <w:r w:rsidRPr="007A718D">
        <w:rPr>
          <w:lang w:val="fr-FR"/>
        </w:rPr>
        <w:t xml:space="preserve"> 2) du Pacte, l</w:t>
      </w:r>
      <w:r>
        <w:rPr>
          <w:lang w:val="fr-FR"/>
        </w:rPr>
        <w:t>’</w:t>
      </w:r>
      <w:r w:rsidRPr="007A718D">
        <w:rPr>
          <w:lang w:val="fr-FR"/>
        </w:rPr>
        <w:t>auteur soutient que l</w:t>
      </w:r>
      <w:r>
        <w:rPr>
          <w:lang w:val="fr-FR"/>
        </w:rPr>
        <w:t>’</w:t>
      </w:r>
      <w:r w:rsidRPr="007A718D">
        <w:rPr>
          <w:lang w:val="fr-FR"/>
        </w:rPr>
        <w:t>État partie a mal compris son argument</w:t>
      </w:r>
      <w:r w:rsidRPr="006473EF">
        <w:rPr>
          <w:lang w:val="fr-FR"/>
        </w:rPr>
        <w:t>.</w:t>
      </w:r>
      <w:r w:rsidRPr="007A718D">
        <w:rPr>
          <w:lang w:val="fr-FR"/>
        </w:rPr>
        <w:t xml:space="preserve"> Il fait valoir qu</w:t>
      </w:r>
      <w:r>
        <w:rPr>
          <w:lang w:val="fr-FR"/>
        </w:rPr>
        <w:t>’</w:t>
      </w:r>
      <w:r w:rsidRPr="007A718D">
        <w:rPr>
          <w:lang w:val="fr-FR"/>
        </w:rPr>
        <w:t>en vertu dudit article, l</w:t>
      </w:r>
      <w:r>
        <w:rPr>
          <w:lang w:val="fr-FR"/>
        </w:rPr>
        <w:t>’</w:t>
      </w:r>
      <w:r w:rsidRPr="007A718D">
        <w:rPr>
          <w:lang w:val="fr-FR"/>
        </w:rPr>
        <w:t>État partie est tenu de l</w:t>
      </w:r>
      <w:r>
        <w:rPr>
          <w:lang w:val="fr-FR"/>
        </w:rPr>
        <w:t>’</w:t>
      </w:r>
      <w:r w:rsidRPr="007A718D">
        <w:rPr>
          <w:lang w:val="fr-FR"/>
        </w:rPr>
        <w:t>indemniser pour les mesures restrictives qui lui ont fait perdre son emploi au Danemark et l</w:t>
      </w:r>
      <w:r>
        <w:rPr>
          <w:lang w:val="fr-FR"/>
        </w:rPr>
        <w:t>’</w:t>
      </w:r>
      <w:r w:rsidRPr="007A718D">
        <w:rPr>
          <w:lang w:val="fr-FR"/>
        </w:rPr>
        <w:t xml:space="preserve">ont contraint </w:t>
      </w:r>
      <w:r>
        <w:rPr>
          <w:lang w:val="fr-FR"/>
        </w:rPr>
        <w:t xml:space="preserve">à </w:t>
      </w:r>
      <w:r w:rsidRPr="007A718D">
        <w:rPr>
          <w:lang w:val="fr-FR"/>
        </w:rPr>
        <w:t>engager des dépenses pour recevoir des soins psychiatriques et bénéficier de services juridiques</w:t>
      </w:r>
      <w:r w:rsidRPr="006473EF">
        <w:rPr>
          <w:lang w:val="fr-FR"/>
        </w:rPr>
        <w:t>.</w:t>
      </w:r>
      <w:r w:rsidRPr="007A718D">
        <w:rPr>
          <w:lang w:val="fr-FR"/>
        </w:rPr>
        <w:t xml:space="preserve"> Il fournit un relevé détaillé des frais occasionnés par l</w:t>
      </w:r>
      <w:r>
        <w:rPr>
          <w:lang w:val="fr-FR"/>
        </w:rPr>
        <w:t>’</w:t>
      </w:r>
      <w:r w:rsidRPr="007A718D">
        <w:rPr>
          <w:lang w:val="fr-FR"/>
        </w:rPr>
        <w:t>enquête, et affirme que l</w:t>
      </w:r>
      <w:r>
        <w:rPr>
          <w:lang w:val="fr-FR"/>
        </w:rPr>
        <w:t>’</w:t>
      </w:r>
      <w:r w:rsidRPr="007A718D">
        <w:rPr>
          <w:lang w:val="fr-FR"/>
        </w:rPr>
        <w:t>État partie doit rembourser ces frais (y compris ceux relatifs à la présente communication) avec intérêts</w:t>
      </w:r>
      <w:r w:rsidRPr="006473EF">
        <w:rPr>
          <w:lang w:val="fr-FR"/>
        </w:rPr>
        <w:t>.</w:t>
      </w:r>
      <w:r w:rsidRPr="007A718D">
        <w:rPr>
          <w:lang w:val="fr-FR"/>
        </w:rPr>
        <w:t xml:space="preserve"> Il révise comme suit les montants demandés à ce titre</w:t>
      </w:r>
      <w:r>
        <w:rPr>
          <w:lang w:val="fr-FR"/>
        </w:rPr>
        <w:t> </w:t>
      </w:r>
      <w:r w:rsidRPr="007A718D">
        <w:rPr>
          <w:lang w:val="fr-FR"/>
        </w:rPr>
        <w:t>: 109 908,55</w:t>
      </w:r>
      <w:r>
        <w:rPr>
          <w:lang w:val="fr-FR"/>
        </w:rPr>
        <w:t> </w:t>
      </w:r>
      <w:r w:rsidRPr="007A718D">
        <w:rPr>
          <w:lang w:val="fr-FR"/>
        </w:rPr>
        <w:t xml:space="preserve">euros pour le préjudice pécuniaire, </w:t>
      </w:r>
      <w:r>
        <w:rPr>
          <w:lang w:val="fr-FR"/>
        </w:rPr>
        <w:t>« </w:t>
      </w:r>
      <w:r w:rsidRPr="007A718D">
        <w:rPr>
          <w:lang w:val="fr-FR"/>
        </w:rPr>
        <w:t>au moins 60 salaires bruts moyens danois au niveau de 2020</w:t>
      </w:r>
      <w:r>
        <w:rPr>
          <w:lang w:val="fr-FR"/>
        </w:rPr>
        <w:t> »</w:t>
      </w:r>
      <w:r w:rsidRPr="007A718D">
        <w:rPr>
          <w:lang w:val="fr-FR"/>
        </w:rPr>
        <w:t xml:space="preserve"> pour le préjudice non pécuniaire, et 12 566</w:t>
      </w:r>
      <w:r>
        <w:rPr>
          <w:lang w:val="fr-FR"/>
        </w:rPr>
        <w:t> </w:t>
      </w:r>
      <w:r w:rsidRPr="007A718D">
        <w:rPr>
          <w:lang w:val="fr-FR"/>
        </w:rPr>
        <w:t>euros pour les dépens</w:t>
      </w:r>
      <w:r w:rsidRPr="006473EF">
        <w:rPr>
          <w:lang w:val="fr-FR"/>
        </w:rPr>
        <w:t>.</w:t>
      </w:r>
    </w:p>
    <w:p w14:paraId="5B48C632" w14:textId="77777777" w:rsidR="00571F5C" w:rsidRPr="007A718D" w:rsidRDefault="00571F5C" w:rsidP="00571F5C">
      <w:pPr>
        <w:pStyle w:val="SingleTxtG"/>
        <w:rPr>
          <w:lang w:val="x-none"/>
        </w:rPr>
      </w:pPr>
      <w:r w:rsidRPr="007A718D">
        <w:rPr>
          <w:lang w:val="fr-FR"/>
        </w:rPr>
        <w:t>5</w:t>
      </w:r>
      <w:r w:rsidRPr="006473EF">
        <w:rPr>
          <w:lang w:val="fr-FR"/>
        </w:rPr>
        <w:t>.</w:t>
      </w:r>
      <w:r w:rsidRPr="007A718D">
        <w:rPr>
          <w:lang w:val="fr-FR"/>
        </w:rPr>
        <w:t>6</w:t>
      </w:r>
      <w:r w:rsidRPr="007A718D">
        <w:rPr>
          <w:lang w:val="fr-FR"/>
        </w:rPr>
        <w:tab/>
        <w:t>En ce qui concerne l</w:t>
      </w:r>
      <w:r>
        <w:rPr>
          <w:lang w:val="fr-FR"/>
        </w:rPr>
        <w:t>’</w:t>
      </w:r>
      <w:r w:rsidRPr="007A718D">
        <w:rPr>
          <w:lang w:val="fr-FR"/>
        </w:rPr>
        <w:t>article 2 (par</w:t>
      </w:r>
      <w:r w:rsidRPr="006473EF">
        <w:rPr>
          <w:lang w:val="fr-FR"/>
        </w:rPr>
        <w:t>.</w:t>
      </w:r>
      <w:r w:rsidRPr="007A718D">
        <w:rPr>
          <w:lang w:val="fr-FR"/>
        </w:rPr>
        <w:t xml:space="preserve"> 2) du Pacte, l</w:t>
      </w:r>
      <w:r>
        <w:rPr>
          <w:lang w:val="fr-FR"/>
        </w:rPr>
        <w:t>’</w:t>
      </w:r>
      <w:r w:rsidRPr="007A718D">
        <w:rPr>
          <w:lang w:val="fr-FR"/>
        </w:rPr>
        <w:t>auteur soutient que l</w:t>
      </w:r>
      <w:r>
        <w:rPr>
          <w:lang w:val="fr-FR"/>
        </w:rPr>
        <w:t>’</w:t>
      </w:r>
      <w:r w:rsidRPr="007A718D">
        <w:rPr>
          <w:lang w:val="fr-FR"/>
        </w:rPr>
        <w:t>État partie a mal compris son argument</w:t>
      </w:r>
      <w:r w:rsidRPr="006473EF">
        <w:rPr>
          <w:lang w:val="fr-FR"/>
        </w:rPr>
        <w:t>.</w:t>
      </w:r>
      <w:r w:rsidRPr="007A718D">
        <w:rPr>
          <w:lang w:val="fr-FR"/>
        </w:rPr>
        <w:t xml:space="preserve"> La violation de cette disposition par l</w:t>
      </w:r>
      <w:r>
        <w:rPr>
          <w:lang w:val="fr-FR"/>
        </w:rPr>
        <w:t>’</w:t>
      </w:r>
      <w:r w:rsidRPr="007A718D">
        <w:rPr>
          <w:lang w:val="fr-FR"/>
        </w:rPr>
        <w:t xml:space="preserve">État partie est </w:t>
      </w:r>
      <w:r>
        <w:rPr>
          <w:lang w:val="fr-FR"/>
        </w:rPr>
        <w:t>« </w:t>
      </w:r>
      <w:r w:rsidRPr="007A718D">
        <w:rPr>
          <w:lang w:val="fr-FR"/>
        </w:rPr>
        <w:t>une</w:t>
      </w:r>
      <w:r>
        <w:rPr>
          <w:lang w:val="fr-FR"/>
        </w:rPr>
        <w:t> </w:t>
      </w:r>
      <w:r w:rsidRPr="007A718D">
        <w:rPr>
          <w:lang w:val="fr-FR"/>
        </w:rPr>
        <w:t>conséquence de la violation des articles 12 (par</w:t>
      </w:r>
      <w:r w:rsidRPr="006473EF">
        <w:rPr>
          <w:lang w:val="fr-FR"/>
        </w:rPr>
        <w:t>.</w:t>
      </w:r>
      <w:r w:rsidRPr="007A718D">
        <w:rPr>
          <w:lang w:val="fr-FR"/>
        </w:rPr>
        <w:t xml:space="preserve"> 1 et 2) et 14 (par</w:t>
      </w:r>
      <w:r w:rsidRPr="006473EF">
        <w:rPr>
          <w:lang w:val="fr-FR"/>
        </w:rPr>
        <w:t>.</w:t>
      </w:r>
      <w:r w:rsidRPr="007A718D">
        <w:rPr>
          <w:lang w:val="fr-FR"/>
        </w:rPr>
        <w:t xml:space="preserve"> 1 et 2)</w:t>
      </w:r>
      <w:r>
        <w:rPr>
          <w:lang w:val="fr-FR"/>
        </w:rPr>
        <w:t> »</w:t>
      </w:r>
      <w:r w:rsidRPr="00571F5C">
        <w:rPr>
          <w:rStyle w:val="Appelnotedebasdep"/>
        </w:rPr>
        <w:footnoteReference w:id="18"/>
      </w:r>
      <w:r w:rsidRPr="006473EF">
        <w:rPr>
          <w:lang w:val="fr-FR"/>
        </w:rPr>
        <w:t>.</w:t>
      </w:r>
      <w:r w:rsidRPr="007A718D">
        <w:rPr>
          <w:lang w:val="fr-FR"/>
        </w:rPr>
        <w:t xml:space="preserve"> L</w:t>
      </w:r>
      <w:r>
        <w:rPr>
          <w:lang w:val="fr-FR"/>
        </w:rPr>
        <w:t>’</w:t>
      </w:r>
      <w:r w:rsidRPr="007A718D">
        <w:rPr>
          <w:lang w:val="fr-FR"/>
        </w:rPr>
        <w:t>État partie n</w:t>
      </w:r>
      <w:r>
        <w:rPr>
          <w:lang w:val="fr-FR"/>
        </w:rPr>
        <w:t>’</w:t>
      </w:r>
      <w:r w:rsidRPr="007A718D">
        <w:rPr>
          <w:lang w:val="fr-FR"/>
        </w:rPr>
        <w:t>a jamais accepté sa responsabilité pour les préjudices causés par des mesures restrictives telles que l</w:t>
      </w:r>
      <w:r>
        <w:rPr>
          <w:lang w:val="fr-FR"/>
        </w:rPr>
        <w:t>’</w:t>
      </w:r>
      <w:r w:rsidRPr="007A718D">
        <w:rPr>
          <w:lang w:val="fr-FR"/>
        </w:rPr>
        <w:t>interdiction de quitter le pays ou le cautionnement</w:t>
      </w:r>
      <w:r w:rsidRPr="006473EF">
        <w:rPr>
          <w:lang w:val="fr-FR"/>
        </w:rPr>
        <w:t>.</w:t>
      </w:r>
    </w:p>
    <w:p w14:paraId="11E85BE3" w14:textId="77777777" w:rsidR="00571F5C" w:rsidRPr="007A718D" w:rsidRDefault="00571F5C" w:rsidP="00571F5C">
      <w:pPr>
        <w:pStyle w:val="H23G"/>
      </w:pPr>
      <w:r w:rsidRPr="007A718D">
        <w:rPr>
          <w:lang w:val="fr-FR"/>
        </w:rPr>
        <w:tab/>
      </w:r>
      <w:r w:rsidRPr="007A718D">
        <w:rPr>
          <w:lang w:val="fr-FR"/>
        </w:rPr>
        <w:tab/>
        <w:t>Observations complémentaires de l</w:t>
      </w:r>
      <w:r>
        <w:rPr>
          <w:lang w:val="fr-FR"/>
        </w:rPr>
        <w:t>’</w:t>
      </w:r>
      <w:r w:rsidRPr="007A718D">
        <w:rPr>
          <w:lang w:val="fr-FR"/>
        </w:rPr>
        <w:t>État partie</w:t>
      </w:r>
    </w:p>
    <w:p w14:paraId="1A19C046" w14:textId="77777777" w:rsidR="00571F5C" w:rsidRPr="007A718D" w:rsidRDefault="00571F5C" w:rsidP="00571F5C">
      <w:pPr>
        <w:pStyle w:val="SingleTxtG"/>
        <w:rPr>
          <w:lang w:val="x-none"/>
        </w:rPr>
      </w:pPr>
      <w:r w:rsidRPr="007A718D">
        <w:rPr>
          <w:lang w:val="fr-FR"/>
        </w:rPr>
        <w:t>6</w:t>
      </w:r>
      <w:r w:rsidRPr="006473EF">
        <w:rPr>
          <w:lang w:val="fr-FR"/>
        </w:rPr>
        <w:t>.</w:t>
      </w:r>
      <w:r w:rsidRPr="007A718D">
        <w:rPr>
          <w:lang w:val="fr-FR"/>
        </w:rPr>
        <w:t>1</w:t>
      </w:r>
      <w:r w:rsidRPr="007A718D">
        <w:rPr>
          <w:lang w:val="fr-FR"/>
        </w:rPr>
        <w:tab/>
        <w:t>Dans ses observations complémentaires en date du 11</w:t>
      </w:r>
      <w:r>
        <w:rPr>
          <w:lang w:val="fr-FR"/>
        </w:rPr>
        <w:t> </w:t>
      </w:r>
      <w:r w:rsidRPr="007A718D">
        <w:rPr>
          <w:lang w:val="fr-FR"/>
        </w:rPr>
        <w:t>février 2020, l</w:t>
      </w:r>
      <w:r>
        <w:rPr>
          <w:lang w:val="fr-FR"/>
        </w:rPr>
        <w:t>’</w:t>
      </w:r>
      <w:r w:rsidRPr="007A718D">
        <w:rPr>
          <w:lang w:val="fr-FR"/>
        </w:rPr>
        <w:t>État partie répète ses différents arguments et soulève une objection de procédure</w:t>
      </w:r>
      <w:r w:rsidRPr="006473EF">
        <w:rPr>
          <w:lang w:val="fr-FR"/>
        </w:rPr>
        <w:t>.</w:t>
      </w:r>
      <w:r w:rsidRPr="007A718D">
        <w:rPr>
          <w:lang w:val="fr-FR"/>
        </w:rPr>
        <w:t xml:space="preserve"> Le nouveau grief que l</w:t>
      </w:r>
      <w:r>
        <w:rPr>
          <w:lang w:val="fr-FR"/>
        </w:rPr>
        <w:t>’</w:t>
      </w:r>
      <w:r w:rsidRPr="007A718D">
        <w:rPr>
          <w:lang w:val="fr-FR"/>
        </w:rPr>
        <w:t>auteur tire de l</w:t>
      </w:r>
      <w:r>
        <w:rPr>
          <w:lang w:val="fr-FR"/>
        </w:rPr>
        <w:t>’</w:t>
      </w:r>
      <w:r w:rsidRPr="007A718D">
        <w:rPr>
          <w:lang w:val="fr-FR"/>
        </w:rPr>
        <w:t>article 14 (par</w:t>
      </w:r>
      <w:r w:rsidRPr="006473EF">
        <w:rPr>
          <w:lang w:val="fr-FR"/>
        </w:rPr>
        <w:t>.</w:t>
      </w:r>
      <w:r w:rsidRPr="007A718D">
        <w:rPr>
          <w:lang w:val="fr-FR"/>
        </w:rPr>
        <w:t xml:space="preserve"> 1) du Pacte n</w:t>
      </w:r>
      <w:r>
        <w:rPr>
          <w:lang w:val="fr-FR"/>
        </w:rPr>
        <w:t>’</w:t>
      </w:r>
      <w:r w:rsidRPr="007A718D">
        <w:rPr>
          <w:lang w:val="fr-FR"/>
        </w:rPr>
        <w:t>a en aucune manière été soulevé dans la communication initiale</w:t>
      </w:r>
      <w:r>
        <w:rPr>
          <w:lang w:val="fr-FR"/>
        </w:rPr>
        <w:t xml:space="preserve"> et, dès lors,</w:t>
      </w:r>
      <w:r w:rsidRPr="007A718D">
        <w:rPr>
          <w:lang w:val="fr-FR"/>
        </w:rPr>
        <w:t xml:space="preserve"> le Comité ne devrait pas l</w:t>
      </w:r>
      <w:r>
        <w:rPr>
          <w:lang w:val="fr-FR"/>
        </w:rPr>
        <w:t>’</w:t>
      </w:r>
      <w:r w:rsidRPr="007A718D">
        <w:rPr>
          <w:lang w:val="fr-FR"/>
        </w:rPr>
        <w:t>examiner</w:t>
      </w:r>
      <w:r w:rsidRPr="006473EF">
        <w:rPr>
          <w:lang w:val="fr-FR"/>
        </w:rPr>
        <w:t>.</w:t>
      </w:r>
    </w:p>
    <w:p w14:paraId="68F208BB" w14:textId="77777777" w:rsidR="00571F5C" w:rsidRPr="007A718D" w:rsidRDefault="00571F5C" w:rsidP="00571F5C">
      <w:pPr>
        <w:pStyle w:val="SingleTxtG"/>
        <w:rPr>
          <w:lang w:val="x-none"/>
        </w:rPr>
      </w:pPr>
      <w:r w:rsidRPr="007A718D">
        <w:rPr>
          <w:lang w:val="fr-FR"/>
        </w:rPr>
        <w:t>6</w:t>
      </w:r>
      <w:r w:rsidRPr="006473EF">
        <w:rPr>
          <w:lang w:val="fr-FR"/>
        </w:rPr>
        <w:t>.</w:t>
      </w:r>
      <w:r w:rsidRPr="007A718D">
        <w:rPr>
          <w:lang w:val="fr-FR"/>
        </w:rPr>
        <w:t>2</w:t>
      </w:r>
      <w:r w:rsidRPr="007A718D">
        <w:rPr>
          <w:lang w:val="fr-FR"/>
        </w:rPr>
        <w:tab/>
        <w:t>Contrairement à ce qu</w:t>
      </w:r>
      <w:r>
        <w:rPr>
          <w:lang w:val="fr-FR"/>
        </w:rPr>
        <w:t>’</w:t>
      </w:r>
      <w:r w:rsidRPr="007A718D">
        <w:rPr>
          <w:lang w:val="fr-FR"/>
        </w:rPr>
        <w:t>affirme l</w:t>
      </w:r>
      <w:r>
        <w:rPr>
          <w:lang w:val="fr-FR"/>
        </w:rPr>
        <w:t>’</w:t>
      </w:r>
      <w:r w:rsidRPr="007A718D">
        <w:rPr>
          <w:lang w:val="fr-FR"/>
        </w:rPr>
        <w:t>auteur, l</w:t>
      </w:r>
      <w:r>
        <w:rPr>
          <w:lang w:val="fr-FR"/>
        </w:rPr>
        <w:t>’</w:t>
      </w:r>
      <w:r w:rsidRPr="007A718D">
        <w:rPr>
          <w:lang w:val="fr-FR"/>
        </w:rPr>
        <w:t>État partie verse effectivement des dommages-intérêts aux personnes ayant fait l</w:t>
      </w:r>
      <w:r>
        <w:rPr>
          <w:lang w:val="fr-FR"/>
        </w:rPr>
        <w:t>’</w:t>
      </w:r>
      <w:r w:rsidRPr="007A718D">
        <w:rPr>
          <w:lang w:val="fr-FR"/>
        </w:rPr>
        <w:t>objet de mesures restrictives illégales</w:t>
      </w:r>
      <w:r w:rsidRPr="006473EF">
        <w:rPr>
          <w:lang w:val="fr-FR"/>
        </w:rPr>
        <w:t>.</w:t>
      </w:r>
      <w:r w:rsidRPr="007A718D">
        <w:rPr>
          <w:lang w:val="fr-FR"/>
        </w:rPr>
        <w:t xml:space="preserve"> Il existe une jurisprudence bien établie concernant des actions civiles en réparation pour de telles </w:t>
      </w:r>
      <w:r w:rsidRPr="007B0ABD">
        <w:rPr>
          <w:lang w:val="fr-FR"/>
        </w:rPr>
        <w:t>mesures</w:t>
      </w:r>
      <w:r w:rsidRPr="006473EF">
        <w:rPr>
          <w:lang w:val="fr-FR"/>
        </w:rPr>
        <w:t>.</w:t>
      </w:r>
      <w:r w:rsidRPr="007B0ABD">
        <w:rPr>
          <w:lang w:val="fr-FR"/>
        </w:rPr>
        <w:t xml:space="preserve"> L</w:t>
      </w:r>
      <w:r>
        <w:rPr>
          <w:lang w:val="fr-FR"/>
        </w:rPr>
        <w:t>’</w:t>
      </w:r>
      <w:r w:rsidRPr="007B0ABD">
        <w:rPr>
          <w:lang w:val="fr-FR"/>
        </w:rPr>
        <w:t>État partie réaffirme que sa législation</w:t>
      </w:r>
      <w:r w:rsidRPr="007B0ABD">
        <w:rPr>
          <w:b/>
          <w:bCs/>
          <w:lang w:val="fr-FR"/>
        </w:rPr>
        <w:t xml:space="preserve"> </w:t>
      </w:r>
      <w:r w:rsidRPr="007B0ABD">
        <w:rPr>
          <w:lang w:val="fr-FR"/>
        </w:rPr>
        <w:t>contient des dispositions relatives à la responsabilité pour les préjudices causés par des actes illégaux des agents chargés de l</w:t>
      </w:r>
      <w:r>
        <w:rPr>
          <w:lang w:val="fr-FR"/>
        </w:rPr>
        <w:t>’</w:t>
      </w:r>
      <w:r w:rsidRPr="007B0ABD">
        <w:rPr>
          <w:lang w:val="fr-FR"/>
        </w:rPr>
        <w:t>enquête préliminaire, des procureurs, des juges et des tribunaux</w:t>
      </w:r>
      <w:r w:rsidRPr="006473EF">
        <w:rPr>
          <w:lang w:val="fr-FR"/>
        </w:rPr>
        <w:t>.</w:t>
      </w:r>
      <w:r w:rsidRPr="007B0ABD">
        <w:rPr>
          <w:lang w:val="fr-FR"/>
        </w:rPr>
        <w:t xml:space="preserve"> Cependant, la détention illégale ou injustifiée représente une mesure beaucoup plus lourde que les mesures appliquées à l</w:t>
      </w:r>
      <w:r>
        <w:rPr>
          <w:lang w:val="fr-FR"/>
        </w:rPr>
        <w:t>’</w:t>
      </w:r>
      <w:r w:rsidRPr="007B0ABD">
        <w:rPr>
          <w:lang w:val="fr-FR"/>
        </w:rPr>
        <w:t>auteur, qui étaient les</w:t>
      </w:r>
      <w:r w:rsidRPr="007A718D">
        <w:rPr>
          <w:lang w:val="fr-FR"/>
        </w:rPr>
        <w:t xml:space="preserve"> mesures restrictives les plus clémentes prévues par le droit interne et avaient un caractère légal, raison pour laquelle l</w:t>
      </w:r>
      <w:r>
        <w:rPr>
          <w:lang w:val="fr-FR"/>
        </w:rPr>
        <w:t>’</w:t>
      </w:r>
      <w:r w:rsidRPr="007A718D">
        <w:rPr>
          <w:lang w:val="fr-FR"/>
        </w:rPr>
        <w:t>État partie n</w:t>
      </w:r>
      <w:r>
        <w:rPr>
          <w:lang w:val="fr-FR"/>
        </w:rPr>
        <w:t>’</w:t>
      </w:r>
      <w:r w:rsidRPr="007A718D">
        <w:rPr>
          <w:lang w:val="fr-FR"/>
        </w:rPr>
        <w:t>a pas accordé de dommages</w:t>
      </w:r>
      <w:r>
        <w:rPr>
          <w:lang w:val="fr-FR"/>
        </w:rPr>
        <w:noBreakHyphen/>
      </w:r>
      <w:r w:rsidRPr="007A718D">
        <w:rPr>
          <w:lang w:val="fr-FR"/>
        </w:rPr>
        <w:t>intérêts à l</w:t>
      </w:r>
      <w:r>
        <w:rPr>
          <w:lang w:val="fr-FR"/>
        </w:rPr>
        <w:t>’</w:t>
      </w:r>
      <w:r w:rsidRPr="007A718D">
        <w:rPr>
          <w:lang w:val="fr-FR"/>
        </w:rPr>
        <w:t>auteur</w:t>
      </w:r>
      <w:r w:rsidRPr="006473EF">
        <w:rPr>
          <w:lang w:val="fr-FR"/>
        </w:rPr>
        <w:t>.</w:t>
      </w:r>
    </w:p>
    <w:p w14:paraId="2845DCD4" w14:textId="77777777" w:rsidR="00571F5C" w:rsidRPr="007A718D" w:rsidRDefault="00571F5C" w:rsidP="00571F5C">
      <w:pPr>
        <w:pStyle w:val="SingleTxtG"/>
        <w:rPr>
          <w:lang w:val="x-none"/>
        </w:rPr>
      </w:pPr>
      <w:r w:rsidRPr="007A718D">
        <w:rPr>
          <w:lang w:val="fr-FR"/>
        </w:rPr>
        <w:t>6</w:t>
      </w:r>
      <w:r w:rsidRPr="006473EF">
        <w:rPr>
          <w:lang w:val="fr-FR"/>
        </w:rPr>
        <w:t>.</w:t>
      </w:r>
      <w:r w:rsidRPr="007A718D">
        <w:rPr>
          <w:lang w:val="fr-FR"/>
        </w:rPr>
        <w:t>3</w:t>
      </w:r>
      <w:r w:rsidRPr="007A718D">
        <w:rPr>
          <w:lang w:val="fr-FR"/>
        </w:rPr>
        <w:tab/>
        <w:t>En ce qui concerne l</w:t>
      </w:r>
      <w:r>
        <w:rPr>
          <w:lang w:val="fr-FR"/>
        </w:rPr>
        <w:t>’</w:t>
      </w:r>
      <w:r w:rsidRPr="007A718D">
        <w:rPr>
          <w:lang w:val="fr-FR"/>
        </w:rPr>
        <w:t xml:space="preserve">article 12 (par </w:t>
      </w:r>
      <w:r w:rsidRPr="006473EF">
        <w:rPr>
          <w:lang w:val="fr-FR"/>
        </w:rPr>
        <w:t>.</w:t>
      </w:r>
      <w:r w:rsidRPr="007A718D">
        <w:rPr>
          <w:lang w:val="fr-FR"/>
        </w:rPr>
        <w:t>2) du Pacte, l</w:t>
      </w:r>
      <w:r>
        <w:rPr>
          <w:lang w:val="fr-FR"/>
        </w:rPr>
        <w:t>’</w:t>
      </w:r>
      <w:r w:rsidRPr="007A718D">
        <w:rPr>
          <w:lang w:val="fr-FR"/>
        </w:rPr>
        <w:t>État partie n</w:t>
      </w:r>
      <w:r>
        <w:rPr>
          <w:lang w:val="fr-FR"/>
        </w:rPr>
        <w:t>’</w:t>
      </w:r>
      <w:r w:rsidRPr="007A718D">
        <w:rPr>
          <w:lang w:val="fr-FR"/>
        </w:rPr>
        <w:t>accorde aucun crédit à l</w:t>
      </w:r>
      <w:r>
        <w:rPr>
          <w:lang w:val="fr-FR"/>
        </w:rPr>
        <w:t>’</w:t>
      </w:r>
      <w:r w:rsidRPr="007A718D">
        <w:rPr>
          <w:lang w:val="fr-FR"/>
        </w:rPr>
        <w:t>argument de l</w:t>
      </w:r>
      <w:r>
        <w:rPr>
          <w:lang w:val="fr-FR"/>
        </w:rPr>
        <w:t>’</w:t>
      </w:r>
      <w:r w:rsidRPr="007A718D">
        <w:rPr>
          <w:lang w:val="fr-FR"/>
        </w:rPr>
        <w:t>auteur selon lequel celui-ci a essayé d</w:t>
      </w:r>
      <w:r>
        <w:rPr>
          <w:lang w:val="fr-FR"/>
        </w:rPr>
        <w:t>’</w:t>
      </w:r>
      <w:r w:rsidRPr="007A718D">
        <w:rPr>
          <w:lang w:val="fr-FR"/>
        </w:rPr>
        <w:t>engager une action contre lui au Danemark</w:t>
      </w:r>
      <w:r w:rsidRPr="006473EF">
        <w:rPr>
          <w:lang w:val="fr-FR"/>
        </w:rPr>
        <w:t>.</w:t>
      </w:r>
      <w:r w:rsidRPr="007A718D">
        <w:rPr>
          <w:lang w:val="fr-FR"/>
        </w:rPr>
        <w:t xml:space="preserve"> Les plaintes et réclamations concernant les actes ou les omissions des autorités de l</w:t>
      </w:r>
      <w:r>
        <w:rPr>
          <w:lang w:val="fr-FR"/>
        </w:rPr>
        <w:t>’</w:t>
      </w:r>
      <w:r w:rsidRPr="007A718D">
        <w:rPr>
          <w:lang w:val="fr-FR"/>
        </w:rPr>
        <w:t>État partie doivent être déposées en Lituanie, et non au Danemark</w:t>
      </w:r>
      <w:r w:rsidRPr="006473EF">
        <w:rPr>
          <w:lang w:val="fr-FR"/>
        </w:rPr>
        <w:t>.</w:t>
      </w:r>
      <w:r w:rsidRPr="007A718D">
        <w:rPr>
          <w:lang w:val="fr-FR"/>
        </w:rPr>
        <w:t xml:space="preserve"> L</w:t>
      </w:r>
      <w:r>
        <w:rPr>
          <w:lang w:val="fr-FR"/>
        </w:rPr>
        <w:t>’</w:t>
      </w:r>
      <w:r w:rsidRPr="007A718D">
        <w:rPr>
          <w:lang w:val="fr-FR"/>
        </w:rPr>
        <w:t>État partie conteste les allégations de l</w:t>
      </w:r>
      <w:r>
        <w:rPr>
          <w:lang w:val="fr-FR"/>
        </w:rPr>
        <w:t>’</w:t>
      </w:r>
      <w:r w:rsidRPr="007A718D">
        <w:rPr>
          <w:lang w:val="fr-FR"/>
        </w:rPr>
        <w:t>auteur sur plusieurs points</w:t>
      </w:r>
      <w:r w:rsidRPr="006473EF">
        <w:rPr>
          <w:lang w:val="fr-FR"/>
        </w:rPr>
        <w:t>.</w:t>
      </w:r>
      <w:r w:rsidRPr="007A718D">
        <w:rPr>
          <w:lang w:val="fr-FR"/>
        </w:rPr>
        <w:t xml:space="preserve"> Conformément au droit interne, l</w:t>
      </w:r>
      <w:r>
        <w:rPr>
          <w:lang w:val="fr-FR"/>
        </w:rPr>
        <w:t>’</w:t>
      </w:r>
      <w:r w:rsidRPr="007A718D">
        <w:rPr>
          <w:lang w:val="fr-FR"/>
        </w:rPr>
        <w:t>État partie a l</w:t>
      </w:r>
      <w:r>
        <w:rPr>
          <w:lang w:val="fr-FR"/>
        </w:rPr>
        <w:t>’</w:t>
      </w:r>
      <w:r w:rsidRPr="007A718D">
        <w:rPr>
          <w:lang w:val="fr-FR"/>
        </w:rPr>
        <w:t>obligation d</w:t>
      </w:r>
      <w:r>
        <w:rPr>
          <w:lang w:val="fr-FR"/>
        </w:rPr>
        <w:t>’</w:t>
      </w:r>
      <w:r w:rsidRPr="007A718D">
        <w:rPr>
          <w:lang w:val="fr-FR"/>
        </w:rPr>
        <w:t>ouvrir une enquête préliminaire lorsqu</w:t>
      </w:r>
      <w:r>
        <w:rPr>
          <w:lang w:val="fr-FR"/>
        </w:rPr>
        <w:t>’</w:t>
      </w:r>
      <w:r w:rsidRPr="007A718D">
        <w:rPr>
          <w:lang w:val="fr-FR"/>
        </w:rPr>
        <w:t>il reçoit une plainte, une requête ou un avis concernant une infraction présumée</w:t>
      </w:r>
      <w:r w:rsidRPr="006473EF">
        <w:rPr>
          <w:lang w:val="fr-FR"/>
        </w:rPr>
        <w:t>.</w:t>
      </w:r>
      <w:r w:rsidRPr="007A718D">
        <w:rPr>
          <w:lang w:val="fr-FR"/>
        </w:rPr>
        <w:t xml:space="preserve"> En l</w:t>
      </w:r>
      <w:r>
        <w:rPr>
          <w:lang w:val="fr-FR"/>
        </w:rPr>
        <w:t>’</w:t>
      </w:r>
      <w:r w:rsidRPr="007A718D">
        <w:rPr>
          <w:lang w:val="fr-FR"/>
        </w:rPr>
        <w:t>espèce, l</w:t>
      </w:r>
      <w:r>
        <w:rPr>
          <w:lang w:val="fr-FR"/>
        </w:rPr>
        <w:t>’</w:t>
      </w:r>
      <w:r w:rsidRPr="007A718D">
        <w:rPr>
          <w:lang w:val="fr-FR"/>
        </w:rPr>
        <w:t>enquête préliminaire a été ouverte à la demande du prêtre</w:t>
      </w:r>
      <w:r w:rsidRPr="006473EF">
        <w:rPr>
          <w:lang w:val="fr-FR"/>
        </w:rPr>
        <w:t>.</w:t>
      </w:r>
    </w:p>
    <w:p w14:paraId="1B358443" w14:textId="33CA71A4" w:rsidR="00571F5C" w:rsidRPr="007A718D" w:rsidRDefault="00571F5C" w:rsidP="00571F5C">
      <w:pPr>
        <w:pStyle w:val="SingleTxtG"/>
        <w:rPr>
          <w:lang w:val="x-none"/>
        </w:rPr>
      </w:pPr>
      <w:r w:rsidRPr="007A718D">
        <w:rPr>
          <w:lang w:val="fr-FR"/>
        </w:rPr>
        <w:t>6</w:t>
      </w:r>
      <w:r w:rsidRPr="006473EF">
        <w:rPr>
          <w:lang w:val="fr-FR"/>
        </w:rPr>
        <w:t>.</w:t>
      </w:r>
      <w:r w:rsidRPr="007A718D">
        <w:rPr>
          <w:lang w:val="fr-FR"/>
        </w:rPr>
        <w:t>4</w:t>
      </w:r>
      <w:r w:rsidRPr="007A718D">
        <w:rPr>
          <w:lang w:val="fr-FR"/>
        </w:rPr>
        <w:tab/>
        <w:t>En ce qui concerne l</w:t>
      </w:r>
      <w:r>
        <w:rPr>
          <w:lang w:val="fr-FR"/>
        </w:rPr>
        <w:t>’</w:t>
      </w:r>
      <w:r w:rsidRPr="007A718D">
        <w:rPr>
          <w:lang w:val="fr-FR"/>
        </w:rPr>
        <w:t>article 14 (par</w:t>
      </w:r>
      <w:r w:rsidRPr="006473EF">
        <w:rPr>
          <w:lang w:val="fr-FR"/>
        </w:rPr>
        <w:t>.</w:t>
      </w:r>
      <w:r>
        <w:rPr>
          <w:lang w:val="fr-FR"/>
        </w:rPr>
        <w:t xml:space="preserve"> </w:t>
      </w:r>
      <w:r w:rsidRPr="007A718D">
        <w:rPr>
          <w:lang w:val="fr-FR"/>
        </w:rPr>
        <w:t>2) du Pacte, les mesures restrictives appliquées ne constituaient pas une peine, mais avaient pour but de garantir la disponibilité de l</w:t>
      </w:r>
      <w:r>
        <w:rPr>
          <w:lang w:val="fr-FR"/>
        </w:rPr>
        <w:t>’</w:t>
      </w:r>
      <w:r w:rsidRPr="007A718D">
        <w:rPr>
          <w:lang w:val="fr-FR"/>
        </w:rPr>
        <w:t>auteur aux fins de l</w:t>
      </w:r>
      <w:r>
        <w:rPr>
          <w:lang w:val="fr-FR"/>
        </w:rPr>
        <w:t>’</w:t>
      </w:r>
      <w:r w:rsidRPr="007A718D">
        <w:rPr>
          <w:lang w:val="fr-FR"/>
        </w:rPr>
        <w:t>enquête préliminaire</w:t>
      </w:r>
      <w:r w:rsidRPr="006473EF">
        <w:rPr>
          <w:lang w:val="fr-FR"/>
        </w:rPr>
        <w:t>.</w:t>
      </w:r>
      <w:r w:rsidRPr="007A718D">
        <w:rPr>
          <w:lang w:val="fr-FR"/>
        </w:rPr>
        <w:t xml:space="preserve"> L</w:t>
      </w:r>
      <w:r>
        <w:rPr>
          <w:lang w:val="fr-FR"/>
        </w:rPr>
        <w:t>’</w:t>
      </w:r>
      <w:r w:rsidRPr="007A718D">
        <w:rPr>
          <w:lang w:val="fr-FR"/>
        </w:rPr>
        <w:t>État partie ne devrait pas avoir à indemniser l</w:t>
      </w:r>
      <w:r>
        <w:rPr>
          <w:lang w:val="fr-FR"/>
        </w:rPr>
        <w:t>’</w:t>
      </w:r>
      <w:r w:rsidRPr="007A718D">
        <w:rPr>
          <w:lang w:val="fr-FR"/>
        </w:rPr>
        <w:t>auteur pour les frais de justice ou pour l</w:t>
      </w:r>
      <w:r>
        <w:rPr>
          <w:lang w:val="fr-FR"/>
        </w:rPr>
        <w:t>’</w:t>
      </w:r>
      <w:r w:rsidRPr="007A718D">
        <w:rPr>
          <w:lang w:val="fr-FR"/>
        </w:rPr>
        <w:t>examen psychiatrique, qui a été réalisé exclusivement à l</w:t>
      </w:r>
      <w:r>
        <w:rPr>
          <w:lang w:val="fr-FR"/>
        </w:rPr>
        <w:t>’</w:t>
      </w:r>
      <w:r w:rsidRPr="007A718D">
        <w:rPr>
          <w:lang w:val="fr-FR"/>
        </w:rPr>
        <w:t>initiative de l</w:t>
      </w:r>
      <w:r>
        <w:rPr>
          <w:lang w:val="fr-FR"/>
        </w:rPr>
        <w:t>’</w:t>
      </w:r>
      <w:r w:rsidRPr="007A718D">
        <w:rPr>
          <w:lang w:val="fr-FR"/>
        </w:rPr>
        <w:t>auteur et n</w:t>
      </w:r>
      <w:r>
        <w:rPr>
          <w:lang w:val="fr-FR"/>
        </w:rPr>
        <w:t>’</w:t>
      </w:r>
      <w:r w:rsidRPr="007A718D">
        <w:rPr>
          <w:lang w:val="fr-FR"/>
        </w:rPr>
        <w:t>était pas exigé par les autorités de l</w:t>
      </w:r>
      <w:r>
        <w:rPr>
          <w:lang w:val="fr-FR"/>
        </w:rPr>
        <w:t>’</w:t>
      </w:r>
      <w:r w:rsidRPr="007A718D">
        <w:rPr>
          <w:lang w:val="fr-FR"/>
        </w:rPr>
        <w:t>État partie</w:t>
      </w:r>
      <w:r w:rsidRPr="006473EF">
        <w:rPr>
          <w:lang w:val="fr-FR"/>
        </w:rPr>
        <w:t>.</w:t>
      </w:r>
      <w:r w:rsidRPr="007A718D">
        <w:rPr>
          <w:lang w:val="fr-FR"/>
        </w:rPr>
        <w:t xml:space="preserve"> L</w:t>
      </w:r>
      <w:r>
        <w:rPr>
          <w:lang w:val="fr-FR"/>
        </w:rPr>
        <w:t>’</w:t>
      </w:r>
      <w:r w:rsidRPr="007A718D">
        <w:rPr>
          <w:lang w:val="fr-FR"/>
        </w:rPr>
        <w:t>auteur a en outre choisi l</w:t>
      </w:r>
      <w:r>
        <w:rPr>
          <w:lang w:val="fr-FR"/>
        </w:rPr>
        <w:t>’</w:t>
      </w:r>
      <w:r w:rsidRPr="007A718D">
        <w:rPr>
          <w:lang w:val="fr-FR"/>
        </w:rPr>
        <w:t>avocat par lequel il était représenté, et la clôture de l</w:t>
      </w:r>
      <w:r>
        <w:rPr>
          <w:lang w:val="fr-FR"/>
        </w:rPr>
        <w:t>’</w:t>
      </w:r>
      <w:r w:rsidRPr="007A718D">
        <w:rPr>
          <w:lang w:val="fr-FR"/>
        </w:rPr>
        <w:t>enquête ne signifie pas que l</w:t>
      </w:r>
      <w:r>
        <w:rPr>
          <w:lang w:val="fr-FR"/>
        </w:rPr>
        <w:t>’</w:t>
      </w:r>
      <w:r w:rsidRPr="007A718D">
        <w:rPr>
          <w:lang w:val="fr-FR"/>
        </w:rPr>
        <w:t>État partie doive prendre à sa charge les frais de justice engagés</w:t>
      </w:r>
      <w:r>
        <w:rPr>
          <w:lang w:val="fr-FR"/>
        </w:rPr>
        <w:t xml:space="preserve"> par l’auteur</w:t>
      </w:r>
      <w:r w:rsidRPr="006473EF">
        <w:rPr>
          <w:lang w:val="fr-FR"/>
        </w:rPr>
        <w:t>.</w:t>
      </w:r>
    </w:p>
    <w:p w14:paraId="6F1FD09C" w14:textId="77777777" w:rsidR="00571F5C" w:rsidRPr="007A718D" w:rsidRDefault="00571F5C" w:rsidP="00571F5C">
      <w:pPr>
        <w:pStyle w:val="H23G"/>
      </w:pPr>
      <w:r w:rsidRPr="007A718D">
        <w:rPr>
          <w:lang w:val="fr-FR"/>
        </w:rPr>
        <w:tab/>
      </w:r>
      <w:r w:rsidRPr="007A718D">
        <w:rPr>
          <w:lang w:val="fr-FR"/>
        </w:rPr>
        <w:tab/>
        <w:t>Observations complémentaires de l</w:t>
      </w:r>
      <w:r>
        <w:rPr>
          <w:lang w:val="fr-FR"/>
        </w:rPr>
        <w:t>’</w:t>
      </w:r>
      <w:r w:rsidRPr="007A718D">
        <w:rPr>
          <w:lang w:val="fr-FR"/>
        </w:rPr>
        <w:t>auteur</w:t>
      </w:r>
    </w:p>
    <w:p w14:paraId="3292DB72" w14:textId="77777777" w:rsidR="00571F5C" w:rsidRPr="007A718D" w:rsidRDefault="00571F5C" w:rsidP="00571F5C">
      <w:pPr>
        <w:pStyle w:val="SingleTxtG"/>
        <w:rPr>
          <w:lang w:val="x-none"/>
        </w:rPr>
      </w:pPr>
      <w:r w:rsidRPr="007A718D">
        <w:rPr>
          <w:lang w:val="fr-FR"/>
        </w:rPr>
        <w:t>7</w:t>
      </w:r>
      <w:r w:rsidRPr="006473EF">
        <w:rPr>
          <w:lang w:val="fr-FR"/>
        </w:rPr>
        <w:t>.</w:t>
      </w:r>
      <w:r w:rsidRPr="007A718D">
        <w:rPr>
          <w:lang w:val="fr-FR"/>
        </w:rPr>
        <w:t>1</w:t>
      </w:r>
      <w:r w:rsidRPr="007A718D">
        <w:rPr>
          <w:lang w:val="fr-FR"/>
        </w:rPr>
        <w:tab/>
        <w:t>Dans ses observations en date du 27</w:t>
      </w:r>
      <w:r>
        <w:rPr>
          <w:lang w:val="fr-FR"/>
        </w:rPr>
        <w:t> </w:t>
      </w:r>
      <w:r w:rsidRPr="007A718D">
        <w:rPr>
          <w:lang w:val="fr-FR"/>
        </w:rPr>
        <w:t>février 2020, l</w:t>
      </w:r>
      <w:r>
        <w:rPr>
          <w:lang w:val="fr-FR"/>
        </w:rPr>
        <w:t>’</w:t>
      </w:r>
      <w:r w:rsidRPr="007A718D">
        <w:rPr>
          <w:lang w:val="fr-FR"/>
        </w:rPr>
        <w:t>auteur fait référence à la procédure du Comité concernant le délai de présentation d</w:t>
      </w:r>
      <w:r>
        <w:rPr>
          <w:lang w:val="fr-FR"/>
        </w:rPr>
        <w:t>’</w:t>
      </w:r>
      <w:r w:rsidRPr="007A718D">
        <w:rPr>
          <w:lang w:val="fr-FR"/>
        </w:rPr>
        <w:t>une communication</w:t>
      </w:r>
      <w:r w:rsidRPr="006473EF">
        <w:rPr>
          <w:lang w:val="fr-FR"/>
        </w:rPr>
        <w:t>.</w:t>
      </w:r>
      <w:r w:rsidRPr="007A718D">
        <w:rPr>
          <w:lang w:val="fr-FR"/>
        </w:rPr>
        <w:t xml:space="preserve"> Étant donné qu</w:t>
      </w:r>
      <w:r>
        <w:rPr>
          <w:lang w:val="fr-FR"/>
        </w:rPr>
        <w:t>’</w:t>
      </w:r>
      <w:r w:rsidRPr="007A718D">
        <w:rPr>
          <w:lang w:val="fr-FR"/>
        </w:rPr>
        <w:t>il a fait parvenir ses observations au Comité dans un délai de cinq ans à compter de la date à laquelle il a</w:t>
      </w:r>
      <w:r>
        <w:rPr>
          <w:lang w:val="fr-FR"/>
        </w:rPr>
        <w:t>vait</w:t>
      </w:r>
      <w:r w:rsidRPr="007A718D">
        <w:rPr>
          <w:lang w:val="fr-FR"/>
        </w:rPr>
        <w:t xml:space="preserve"> épuisé les recours internes, il peut soulever de nouveaux griefs au regard du Pacte jusqu</w:t>
      </w:r>
      <w:r>
        <w:rPr>
          <w:lang w:val="fr-FR"/>
        </w:rPr>
        <w:t>’</w:t>
      </w:r>
      <w:r w:rsidRPr="007A718D">
        <w:rPr>
          <w:lang w:val="fr-FR"/>
        </w:rPr>
        <w:t>à la fin de cette période de cinq ans</w:t>
      </w:r>
      <w:r w:rsidRPr="006473EF">
        <w:rPr>
          <w:lang w:val="fr-FR"/>
        </w:rPr>
        <w:t>.</w:t>
      </w:r>
      <w:r w:rsidRPr="007A718D">
        <w:rPr>
          <w:lang w:val="fr-FR"/>
        </w:rPr>
        <w:t xml:space="preserve"> Plus précisément, comme l</w:t>
      </w:r>
      <w:r>
        <w:rPr>
          <w:lang w:val="fr-FR"/>
        </w:rPr>
        <w:t>’</w:t>
      </w:r>
      <w:r w:rsidRPr="007A718D">
        <w:rPr>
          <w:lang w:val="fr-FR"/>
        </w:rPr>
        <w:t>auteur a épuisé les recours internes le 4</w:t>
      </w:r>
      <w:r>
        <w:rPr>
          <w:lang w:val="fr-FR"/>
        </w:rPr>
        <w:t> </w:t>
      </w:r>
      <w:r w:rsidRPr="007A718D">
        <w:rPr>
          <w:lang w:val="fr-FR"/>
        </w:rPr>
        <w:t>juillet 2018, il peut soulever de nouveaux griefs au regard du Pacte jusqu</w:t>
      </w:r>
      <w:r>
        <w:rPr>
          <w:lang w:val="fr-FR"/>
        </w:rPr>
        <w:t>’</w:t>
      </w:r>
      <w:r w:rsidRPr="007A718D">
        <w:rPr>
          <w:lang w:val="fr-FR"/>
        </w:rPr>
        <w:t>au 4</w:t>
      </w:r>
      <w:r>
        <w:rPr>
          <w:lang w:val="fr-FR"/>
        </w:rPr>
        <w:t> </w:t>
      </w:r>
      <w:r w:rsidRPr="007A718D">
        <w:rPr>
          <w:lang w:val="fr-FR"/>
        </w:rPr>
        <w:t>juillet 2023</w:t>
      </w:r>
      <w:r w:rsidRPr="006473EF">
        <w:rPr>
          <w:lang w:val="fr-FR"/>
        </w:rPr>
        <w:t>.</w:t>
      </w:r>
      <w:r w:rsidRPr="007A718D">
        <w:rPr>
          <w:lang w:val="fr-FR"/>
        </w:rPr>
        <w:t xml:space="preserve"> Il pourrait également soumettre une communication entièrement </w:t>
      </w:r>
      <w:r w:rsidRPr="007A718D">
        <w:rPr>
          <w:lang w:val="fr-FR"/>
        </w:rPr>
        <w:lastRenderedPageBreak/>
        <w:t>nouvelle, mais il a choisi de formuler de nouveaux griefs dans le cadre de l</w:t>
      </w:r>
      <w:r>
        <w:rPr>
          <w:lang w:val="fr-FR"/>
        </w:rPr>
        <w:t>’</w:t>
      </w:r>
      <w:r w:rsidRPr="007A718D">
        <w:rPr>
          <w:lang w:val="fr-FR"/>
        </w:rPr>
        <w:t>examen de la présente communication par souci d</w:t>
      </w:r>
      <w:r>
        <w:rPr>
          <w:lang w:val="fr-FR"/>
        </w:rPr>
        <w:t>’</w:t>
      </w:r>
      <w:r w:rsidRPr="007A718D">
        <w:rPr>
          <w:lang w:val="fr-FR"/>
        </w:rPr>
        <w:t>économie</w:t>
      </w:r>
      <w:r w:rsidRPr="006473EF">
        <w:rPr>
          <w:lang w:val="fr-FR"/>
        </w:rPr>
        <w:t>.</w:t>
      </w:r>
      <w:r w:rsidRPr="007A718D">
        <w:rPr>
          <w:lang w:val="fr-FR"/>
        </w:rPr>
        <w:t xml:space="preserve"> Même après la fin de la période de cinq ans, il aurait le droit de formuler des griefs supplémentaires, étant donné que toutes les circonstances pertinentes devraient être prises en compte pour évaluer les raisons du retard dans la présentation</w:t>
      </w:r>
      <w:r w:rsidRPr="006473EF">
        <w:rPr>
          <w:lang w:val="fr-FR"/>
        </w:rPr>
        <w:t>.</w:t>
      </w:r>
      <w:r w:rsidRPr="007A718D">
        <w:rPr>
          <w:lang w:val="fr-FR"/>
        </w:rPr>
        <w:t xml:space="preserve"> L</w:t>
      </w:r>
      <w:r>
        <w:rPr>
          <w:lang w:val="fr-FR"/>
        </w:rPr>
        <w:t>’</w:t>
      </w:r>
      <w:r w:rsidRPr="007A718D">
        <w:rPr>
          <w:lang w:val="fr-FR"/>
        </w:rPr>
        <w:t>argument de l</w:t>
      </w:r>
      <w:r>
        <w:rPr>
          <w:lang w:val="fr-FR"/>
        </w:rPr>
        <w:t>’</w:t>
      </w:r>
      <w:r w:rsidRPr="007A718D">
        <w:rPr>
          <w:lang w:val="fr-FR"/>
        </w:rPr>
        <w:t>État partie selon lequel les nouveaux griefs de l</w:t>
      </w:r>
      <w:r>
        <w:rPr>
          <w:lang w:val="fr-FR"/>
        </w:rPr>
        <w:t>’</w:t>
      </w:r>
      <w:r w:rsidRPr="007A718D">
        <w:rPr>
          <w:lang w:val="fr-FR"/>
        </w:rPr>
        <w:t>auteur sont irrecevables parce qu</w:t>
      </w:r>
      <w:r>
        <w:rPr>
          <w:lang w:val="fr-FR"/>
        </w:rPr>
        <w:t>’</w:t>
      </w:r>
      <w:r w:rsidRPr="007A718D">
        <w:rPr>
          <w:lang w:val="fr-FR"/>
        </w:rPr>
        <w:t>ils n</w:t>
      </w:r>
      <w:r>
        <w:rPr>
          <w:lang w:val="fr-FR"/>
        </w:rPr>
        <w:t>’</w:t>
      </w:r>
      <w:r w:rsidRPr="007A718D">
        <w:rPr>
          <w:lang w:val="fr-FR"/>
        </w:rPr>
        <w:t>ont pas été mentionnés dans la communication initiale ne sert pas les intérêts de la justice et constitue un abus de procédure</w:t>
      </w:r>
      <w:r w:rsidRPr="006473EF">
        <w:rPr>
          <w:lang w:val="fr-FR"/>
        </w:rPr>
        <w:t>.</w:t>
      </w:r>
    </w:p>
    <w:p w14:paraId="46F9781C" w14:textId="77777777" w:rsidR="00571F5C" w:rsidRPr="007A718D" w:rsidRDefault="00571F5C" w:rsidP="00571F5C">
      <w:pPr>
        <w:pStyle w:val="SingleTxtG"/>
        <w:rPr>
          <w:lang w:val="x-none"/>
        </w:rPr>
      </w:pPr>
      <w:r w:rsidRPr="007A718D">
        <w:rPr>
          <w:lang w:val="fr-FR"/>
        </w:rPr>
        <w:t>7</w:t>
      </w:r>
      <w:r w:rsidRPr="006473EF">
        <w:rPr>
          <w:lang w:val="fr-FR"/>
        </w:rPr>
        <w:t>.</w:t>
      </w:r>
      <w:r w:rsidRPr="007A718D">
        <w:rPr>
          <w:lang w:val="fr-FR"/>
        </w:rPr>
        <w:t>2</w:t>
      </w:r>
      <w:r w:rsidRPr="007A718D">
        <w:rPr>
          <w:lang w:val="fr-FR"/>
        </w:rPr>
        <w:tab/>
        <w:t>L</w:t>
      </w:r>
      <w:r>
        <w:rPr>
          <w:lang w:val="fr-FR"/>
        </w:rPr>
        <w:t>’</w:t>
      </w:r>
      <w:r w:rsidRPr="007A718D">
        <w:rPr>
          <w:lang w:val="fr-FR"/>
        </w:rPr>
        <w:t>auteur affirme que l</w:t>
      </w:r>
      <w:r>
        <w:rPr>
          <w:lang w:val="fr-FR"/>
        </w:rPr>
        <w:t>’</w:t>
      </w:r>
      <w:r w:rsidRPr="007A718D">
        <w:rPr>
          <w:lang w:val="fr-FR"/>
        </w:rPr>
        <w:t>État partie a porté atteinte aux droits qu</w:t>
      </w:r>
      <w:r>
        <w:rPr>
          <w:lang w:val="fr-FR"/>
        </w:rPr>
        <w:t>’</w:t>
      </w:r>
      <w:r w:rsidRPr="007A718D">
        <w:rPr>
          <w:lang w:val="fr-FR"/>
        </w:rPr>
        <w:t>il tient de l</w:t>
      </w:r>
      <w:r>
        <w:rPr>
          <w:lang w:val="fr-FR"/>
        </w:rPr>
        <w:t>’</w:t>
      </w:r>
      <w:r w:rsidRPr="007A718D">
        <w:rPr>
          <w:lang w:val="fr-FR"/>
        </w:rPr>
        <w:t>article 2 (par</w:t>
      </w:r>
      <w:r w:rsidRPr="006473EF">
        <w:rPr>
          <w:lang w:val="fr-FR"/>
        </w:rPr>
        <w:t>.</w:t>
      </w:r>
      <w:r w:rsidRPr="007A718D">
        <w:rPr>
          <w:lang w:val="fr-FR"/>
        </w:rPr>
        <w:t xml:space="preserve"> 2) du Pacte, lu conjointement avec les articles 12 et 14 (par</w:t>
      </w:r>
      <w:r w:rsidRPr="006473EF">
        <w:rPr>
          <w:lang w:val="fr-FR"/>
        </w:rPr>
        <w:t>.</w:t>
      </w:r>
      <w:r w:rsidRPr="007A718D">
        <w:rPr>
          <w:lang w:val="fr-FR"/>
        </w:rPr>
        <w:t xml:space="preserve"> 1 et 2)</w:t>
      </w:r>
      <w:r w:rsidRPr="006473EF">
        <w:rPr>
          <w:lang w:val="fr-FR"/>
        </w:rPr>
        <w:t>.</w:t>
      </w:r>
      <w:r w:rsidRPr="007A718D">
        <w:rPr>
          <w:lang w:val="fr-FR"/>
        </w:rPr>
        <w:t xml:space="preserve"> Il précise que le grief qu</w:t>
      </w:r>
      <w:r>
        <w:rPr>
          <w:lang w:val="fr-FR"/>
        </w:rPr>
        <w:t>’</w:t>
      </w:r>
      <w:r w:rsidRPr="007A718D">
        <w:rPr>
          <w:lang w:val="fr-FR"/>
        </w:rPr>
        <w:t>il tire de l</w:t>
      </w:r>
      <w:r>
        <w:rPr>
          <w:lang w:val="fr-FR"/>
        </w:rPr>
        <w:t>’</w:t>
      </w:r>
      <w:r w:rsidRPr="007A718D">
        <w:rPr>
          <w:lang w:val="fr-FR"/>
        </w:rPr>
        <w:t>article 2 (par</w:t>
      </w:r>
      <w:r w:rsidRPr="006473EF">
        <w:rPr>
          <w:lang w:val="fr-FR"/>
        </w:rPr>
        <w:t>.</w:t>
      </w:r>
      <w:r w:rsidRPr="007A718D">
        <w:rPr>
          <w:lang w:val="fr-FR"/>
        </w:rPr>
        <w:t xml:space="preserve"> 2) du Pacte porte sur le fait que l</w:t>
      </w:r>
      <w:r>
        <w:rPr>
          <w:lang w:val="fr-FR"/>
        </w:rPr>
        <w:t>’</w:t>
      </w:r>
      <w:r w:rsidRPr="007A718D">
        <w:rPr>
          <w:lang w:val="fr-FR"/>
        </w:rPr>
        <w:t>État partie ne lui a pas versé d</w:t>
      </w:r>
      <w:r>
        <w:rPr>
          <w:lang w:val="fr-FR"/>
        </w:rPr>
        <w:t>’</w:t>
      </w:r>
      <w:r w:rsidRPr="007A718D">
        <w:rPr>
          <w:lang w:val="fr-FR"/>
        </w:rPr>
        <w:t>indemnisation pour les restrictions à sa liberté de circulation et pour la violation des droits qu</w:t>
      </w:r>
      <w:r>
        <w:rPr>
          <w:lang w:val="fr-FR"/>
        </w:rPr>
        <w:t>’</w:t>
      </w:r>
      <w:r w:rsidRPr="007A718D">
        <w:rPr>
          <w:lang w:val="fr-FR"/>
        </w:rPr>
        <w:t>il tient de l</w:t>
      </w:r>
      <w:r>
        <w:rPr>
          <w:lang w:val="fr-FR"/>
        </w:rPr>
        <w:t>’</w:t>
      </w:r>
      <w:r w:rsidRPr="007A718D">
        <w:rPr>
          <w:lang w:val="fr-FR"/>
        </w:rPr>
        <w:t>article 14 (par</w:t>
      </w:r>
      <w:r w:rsidRPr="006473EF">
        <w:rPr>
          <w:lang w:val="fr-FR"/>
        </w:rPr>
        <w:t>.</w:t>
      </w:r>
      <w:r w:rsidRPr="007A718D">
        <w:rPr>
          <w:lang w:val="fr-FR"/>
        </w:rPr>
        <w:t xml:space="preserve"> 1 et 2) du Pacte</w:t>
      </w:r>
      <w:r w:rsidRPr="006473EF">
        <w:rPr>
          <w:lang w:val="fr-FR"/>
        </w:rPr>
        <w:t>.</w:t>
      </w:r>
      <w:r w:rsidRPr="007A718D">
        <w:rPr>
          <w:lang w:val="fr-FR"/>
        </w:rPr>
        <w:t xml:space="preserve"> Dans ses observations, l</w:t>
      </w:r>
      <w:r>
        <w:rPr>
          <w:lang w:val="fr-FR"/>
        </w:rPr>
        <w:t>’</w:t>
      </w:r>
      <w:r w:rsidRPr="007A718D">
        <w:rPr>
          <w:lang w:val="fr-FR"/>
        </w:rPr>
        <w:t>État partie a délibérément mal interprété les arguments relatifs à ce grief</w:t>
      </w:r>
      <w:r w:rsidRPr="006473EF">
        <w:rPr>
          <w:lang w:val="fr-FR"/>
        </w:rPr>
        <w:t>.</w:t>
      </w:r>
    </w:p>
    <w:p w14:paraId="6B819FE3" w14:textId="77777777" w:rsidR="00571F5C" w:rsidRPr="007A718D" w:rsidRDefault="00571F5C" w:rsidP="00571F5C">
      <w:pPr>
        <w:pStyle w:val="SingleTxtG"/>
        <w:rPr>
          <w:lang w:val="x-none"/>
        </w:rPr>
      </w:pPr>
      <w:r w:rsidRPr="007A718D">
        <w:rPr>
          <w:lang w:val="fr-FR"/>
        </w:rPr>
        <w:t>7</w:t>
      </w:r>
      <w:r w:rsidRPr="006473EF">
        <w:rPr>
          <w:lang w:val="fr-FR"/>
        </w:rPr>
        <w:t>.</w:t>
      </w:r>
      <w:r w:rsidRPr="007A718D">
        <w:rPr>
          <w:lang w:val="fr-FR"/>
        </w:rPr>
        <w:t>3</w:t>
      </w:r>
      <w:r w:rsidRPr="007A718D">
        <w:rPr>
          <w:lang w:val="fr-FR"/>
        </w:rPr>
        <w:tab/>
        <w:t>L</w:t>
      </w:r>
      <w:r>
        <w:rPr>
          <w:lang w:val="fr-FR"/>
        </w:rPr>
        <w:t>’</w:t>
      </w:r>
      <w:r w:rsidRPr="007A718D">
        <w:rPr>
          <w:lang w:val="fr-FR"/>
        </w:rPr>
        <w:t>auteur a manqué deux semestres de cours à l</w:t>
      </w:r>
      <w:r>
        <w:rPr>
          <w:lang w:val="fr-FR"/>
        </w:rPr>
        <w:t>’</w:t>
      </w:r>
      <w:r w:rsidRPr="007A718D">
        <w:rPr>
          <w:lang w:val="fr-FR"/>
        </w:rPr>
        <w:t>université du fait qu</w:t>
      </w:r>
      <w:r>
        <w:rPr>
          <w:lang w:val="fr-FR"/>
        </w:rPr>
        <w:t>’</w:t>
      </w:r>
      <w:r w:rsidRPr="007A718D">
        <w:rPr>
          <w:lang w:val="fr-FR"/>
        </w:rPr>
        <w:t>il ne pouvait pas se rendre au Danemark</w:t>
      </w:r>
      <w:r w:rsidRPr="006473EF">
        <w:rPr>
          <w:lang w:val="fr-FR"/>
        </w:rPr>
        <w:t>.</w:t>
      </w:r>
      <w:r w:rsidRPr="007A718D">
        <w:rPr>
          <w:lang w:val="fr-FR"/>
        </w:rPr>
        <w:t xml:space="preserve"> Il a dû payer une caution et les services d</w:t>
      </w:r>
      <w:r>
        <w:rPr>
          <w:lang w:val="fr-FR"/>
        </w:rPr>
        <w:t>’</w:t>
      </w:r>
      <w:r w:rsidRPr="007A718D">
        <w:rPr>
          <w:lang w:val="fr-FR"/>
        </w:rPr>
        <w:t>un défenseur</w:t>
      </w:r>
      <w:r w:rsidRPr="006473EF">
        <w:rPr>
          <w:lang w:val="fr-FR"/>
        </w:rPr>
        <w:t>.</w:t>
      </w:r>
      <w:r w:rsidRPr="007A718D">
        <w:rPr>
          <w:lang w:val="fr-FR"/>
        </w:rPr>
        <w:t xml:space="preserve"> Il a dû interrompre ses études universitaires pour travailler afin de pouvoir s</w:t>
      </w:r>
      <w:r>
        <w:rPr>
          <w:lang w:val="fr-FR"/>
        </w:rPr>
        <w:t>’</w:t>
      </w:r>
      <w:r w:rsidRPr="007A718D">
        <w:rPr>
          <w:lang w:val="fr-FR"/>
        </w:rPr>
        <w:t>acquitter des frais de justice, et n</w:t>
      </w:r>
      <w:r>
        <w:rPr>
          <w:lang w:val="fr-FR"/>
        </w:rPr>
        <w:t>’</w:t>
      </w:r>
      <w:r w:rsidRPr="007A718D">
        <w:rPr>
          <w:lang w:val="fr-FR"/>
        </w:rPr>
        <w:t>a pas pu payer deux semestres de cours dans son université</w:t>
      </w:r>
      <w:r w:rsidRPr="006473EF">
        <w:rPr>
          <w:lang w:val="fr-FR"/>
        </w:rPr>
        <w:t>.</w:t>
      </w:r>
      <w:r w:rsidRPr="007A718D">
        <w:rPr>
          <w:lang w:val="fr-FR"/>
        </w:rPr>
        <w:t xml:space="preserve"> Les mesures restrictives ont donc entraîné un préjudice grave pour l</w:t>
      </w:r>
      <w:r>
        <w:rPr>
          <w:lang w:val="fr-FR"/>
        </w:rPr>
        <w:t>’</w:t>
      </w:r>
      <w:r w:rsidRPr="007A718D">
        <w:rPr>
          <w:lang w:val="fr-FR"/>
        </w:rPr>
        <w:t>auteur</w:t>
      </w:r>
      <w:r w:rsidRPr="006473EF">
        <w:rPr>
          <w:lang w:val="fr-FR"/>
        </w:rPr>
        <w:t>.</w:t>
      </w:r>
    </w:p>
    <w:p w14:paraId="66DFBFDF" w14:textId="77777777" w:rsidR="00571F5C" w:rsidRPr="007A718D" w:rsidRDefault="00571F5C" w:rsidP="00571F5C">
      <w:pPr>
        <w:pStyle w:val="SingleTxtG"/>
        <w:rPr>
          <w:lang w:val="x-none"/>
        </w:rPr>
      </w:pPr>
      <w:r w:rsidRPr="007A718D">
        <w:rPr>
          <w:lang w:val="fr-FR"/>
        </w:rPr>
        <w:t>7</w:t>
      </w:r>
      <w:r w:rsidRPr="006473EF">
        <w:rPr>
          <w:lang w:val="fr-FR"/>
        </w:rPr>
        <w:t>.</w:t>
      </w:r>
      <w:r w:rsidRPr="007A718D">
        <w:rPr>
          <w:lang w:val="fr-FR"/>
        </w:rPr>
        <w:t>4</w:t>
      </w:r>
      <w:r w:rsidRPr="007A718D">
        <w:rPr>
          <w:lang w:val="fr-FR"/>
        </w:rPr>
        <w:tab/>
        <w:t>En ce qui concerne le coût de l</w:t>
      </w:r>
      <w:r>
        <w:rPr>
          <w:lang w:val="fr-FR"/>
        </w:rPr>
        <w:t>’</w:t>
      </w:r>
      <w:r w:rsidRPr="007A718D">
        <w:rPr>
          <w:lang w:val="fr-FR"/>
        </w:rPr>
        <w:t>examen de l</w:t>
      </w:r>
      <w:r>
        <w:rPr>
          <w:lang w:val="fr-FR"/>
        </w:rPr>
        <w:t>’</w:t>
      </w:r>
      <w:r w:rsidRPr="007A718D">
        <w:rPr>
          <w:lang w:val="fr-FR"/>
        </w:rPr>
        <w:t>auteur par un psychiatre, l</w:t>
      </w:r>
      <w:r>
        <w:rPr>
          <w:lang w:val="fr-FR"/>
        </w:rPr>
        <w:t>’</w:t>
      </w:r>
      <w:r w:rsidRPr="007A718D">
        <w:rPr>
          <w:lang w:val="fr-FR"/>
        </w:rPr>
        <w:t xml:space="preserve">auteur ayant été examiné par un psychiatre au Danemark, le Service </w:t>
      </w:r>
      <w:r>
        <w:rPr>
          <w:lang w:val="fr-FR"/>
        </w:rPr>
        <w:t>lituanien</w:t>
      </w:r>
      <w:r w:rsidRPr="007A718D">
        <w:rPr>
          <w:lang w:val="fr-FR"/>
        </w:rPr>
        <w:t xml:space="preserve"> de psychiatrie légale a </w:t>
      </w:r>
      <w:r>
        <w:rPr>
          <w:lang w:val="fr-FR"/>
        </w:rPr>
        <w:t>jug</w:t>
      </w:r>
      <w:r w:rsidRPr="007A718D">
        <w:rPr>
          <w:lang w:val="fr-FR"/>
        </w:rPr>
        <w:t>é qu</w:t>
      </w:r>
      <w:r>
        <w:rPr>
          <w:lang w:val="fr-FR"/>
        </w:rPr>
        <w:t>’</w:t>
      </w:r>
      <w:r w:rsidRPr="007A718D">
        <w:rPr>
          <w:lang w:val="fr-FR"/>
        </w:rPr>
        <w:t>il n</w:t>
      </w:r>
      <w:r>
        <w:rPr>
          <w:lang w:val="fr-FR"/>
        </w:rPr>
        <w:t>’</w:t>
      </w:r>
      <w:r w:rsidRPr="007A718D">
        <w:rPr>
          <w:lang w:val="fr-FR"/>
        </w:rPr>
        <w:t>était pas nécessaire de réexaminer l</w:t>
      </w:r>
      <w:r>
        <w:rPr>
          <w:lang w:val="fr-FR"/>
        </w:rPr>
        <w:t>’</w:t>
      </w:r>
      <w:r w:rsidRPr="007A718D">
        <w:rPr>
          <w:lang w:val="fr-FR"/>
        </w:rPr>
        <w:t>auteur</w:t>
      </w:r>
      <w:r w:rsidRPr="006473EF">
        <w:rPr>
          <w:lang w:val="fr-FR"/>
        </w:rPr>
        <w:t>.</w:t>
      </w:r>
    </w:p>
    <w:p w14:paraId="30D0CA52" w14:textId="0D9A0F2E" w:rsidR="00571F5C" w:rsidRPr="007A718D" w:rsidRDefault="00571F5C" w:rsidP="00571F5C">
      <w:pPr>
        <w:pStyle w:val="SingleTxtG"/>
        <w:rPr>
          <w:lang w:val="x-none"/>
        </w:rPr>
      </w:pPr>
      <w:r w:rsidRPr="007A718D">
        <w:rPr>
          <w:lang w:val="fr-FR"/>
        </w:rPr>
        <w:t>7</w:t>
      </w:r>
      <w:r w:rsidRPr="006473EF">
        <w:rPr>
          <w:lang w:val="fr-FR"/>
        </w:rPr>
        <w:t>.</w:t>
      </w:r>
      <w:r w:rsidRPr="007A718D">
        <w:rPr>
          <w:lang w:val="fr-FR"/>
        </w:rPr>
        <w:t>5</w:t>
      </w:r>
      <w:r w:rsidRPr="007A718D">
        <w:rPr>
          <w:lang w:val="fr-FR"/>
        </w:rPr>
        <w:tab/>
        <w:t>L</w:t>
      </w:r>
      <w:r>
        <w:rPr>
          <w:lang w:val="fr-FR"/>
        </w:rPr>
        <w:t>’</w:t>
      </w:r>
      <w:r w:rsidRPr="007A718D">
        <w:rPr>
          <w:lang w:val="fr-FR"/>
        </w:rPr>
        <w:t>auteur demande que le Comité établisse une formule mathématique universelle pour l</w:t>
      </w:r>
      <w:r>
        <w:rPr>
          <w:lang w:val="fr-FR"/>
        </w:rPr>
        <w:t>’</w:t>
      </w:r>
      <w:r w:rsidRPr="007A718D">
        <w:rPr>
          <w:lang w:val="fr-FR"/>
        </w:rPr>
        <w:t>évaluation du préjudice</w:t>
      </w:r>
      <w:r w:rsidRPr="006473EF">
        <w:rPr>
          <w:lang w:val="fr-FR"/>
        </w:rPr>
        <w:t>.</w:t>
      </w:r>
      <w:r w:rsidRPr="007A718D">
        <w:rPr>
          <w:lang w:val="fr-FR"/>
        </w:rPr>
        <w:t xml:space="preserve"> Une telle formule devrait être fonction du salaire national moyen plutôt que d</w:t>
      </w:r>
      <w:r>
        <w:rPr>
          <w:lang w:val="fr-FR"/>
        </w:rPr>
        <w:t>’</w:t>
      </w:r>
      <w:r w:rsidRPr="007A718D">
        <w:rPr>
          <w:lang w:val="fr-FR"/>
        </w:rPr>
        <w:t>un salaire minimum</w:t>
      </w:r>
      <w:r w:rsidRPr="006473EF">
        <w:rPr>
          <w:lang w:val="fr-FR"/>
        </w:rPr>
        <w:t>.</w:t>
      </w:r>
      <w:r w:rsidRPr="007A718D">
        <w:rPr>
          <w:lang w:val="fr-FR"/>
        </w:rPr>
        <w:t xml:space="preserve"> Ainsi, compte tenu du fait que l</w:t>
      </w:r>
      <w:r>
        <w:rPr>
          <w:lang w:val="fr-FR"/>
        </w:rPr>
        <w:t>’</w:t>
      </w:r>
      <w:r w:rsidRPr="007A718D">
        <w:rPr>
          <w:lang w:val="fr-FR"/>
        </w:rPr>
        <w:t>auteur résidait au Danemark, le montant des dommages-intérêts qu</w:t>
      </w:r>
      <w:r>
        <w:rPr>
          <w:lang w:val="fr-FR"/>
        </w:rPr>
        <w:t>’</w:t>
      </w:r>
      <w:r w:rsidRPr="007A718D">
        <w:rPr>
          <w:lang w:val="fr-FR"/>
        </w:rPr>
        <w:t xml:space="preserve">il demande pour le préjudice non pécuniaire subi est égal à 60 fois le salaire moyen au Danemark </w:t>
      </w:r>
      <w:r>
        <w:rPr>
          <w:lang w:val="fr-FR"/>
        </w:rPr>
        <w:t>en</w:t>
      </w:r>
      <w:r w:rsidRPr="007A718D">
        <w:rPr>
          <w:lang w:val="fr-FR"/>
        </w:rPr>
        <w:t xml:space="preserve"> 2020</w:t>
      </w:r>
      <w:r w:rsidRPr="006473EF">
        <w:rPr>
          <w:lang w:val="fr-FR"/>
        </w:rPr>
        <w:t>.</w:t>
      </w:r>
      <w:r w:rsidRPr="007A718D">
        <w:rPr>
          <w:lang w:val="fr-FR"/>
        </w:rPr>
        <w:t xml:space="preserve"> L</w:t>
      </w:r>
      <w:r>
        <w:rPr>
          <w:lang w:val="fr-FR"/>
        </w:rPr>
        <w:t>’</w:t>
      </w:r>
      <w:r w:rsidRPr="007A718D">
        <w:rPr>
          <w:lang w:val="fr-FR"/>
        </w:rPr>
        <w:t>auteur renouvelle sa demande de dommages-intérêts d</w:t>
      </w:r>
      <w:r>
        <w:rPr>
          <w:lang w:val="fr-FR"/>
        </w:rPr>
        <w:t>’</w:t>
      </w:r>
      <w:r w:rsidRPr="007A718D">
        <w:rPr>
          <w:lang w:val="fr-FR"/>
        </w:rPr>
        <w:t>un montant de 109 908,55</w:t>
      </w:r>
      <w:r>
        <w:rPr>
          <w:lang w:val="fr-FR"/>
        </w:rPr>
        <w:t> </w:t>
      </w:r>
      <w:r w:rsidRPr="007A718D">
        <w:rPr>
          <w:lang w:val="fr-FR"/>
        </w:rPr>
        <w:t>euros pour le préjudice pécuniaire subi, avec intérêts calculés au taux de 6</w:t>
      </w:r>
      <w:r>
        <w:rPr>
          <w:lang w:val="fr-FR"/>
        </w:rPr>
        <w:t> </w:t>
      </w:r>
      <w:r w:rsidRPr="007A718D">
        <w:rPr>
          <w:lang w:val="fr-FR"/>
        </w:rPr>
        <w:t>%, ajusté sur une base annuelle à compter du 19</w:t>
      </w:r>
      <w:r>
        <w:rPr>
          <w:lang w:val="fr-FR"/>
        </w:rPr>
        <w:t> </w:t>
      </w:r>
      <w:r w:rsidRPr="007A718D">
        <w:rPr>
          <w:lang w:val="fr-FR"/>
        </w:rPr>
        <w:t>novembre 2019</w:t>
      </w:r>
      <w:r w:rsidRPr="006473EF">
        <w:rPr>
          <w:lang w:val="fr-FR"/>
        </w:rPr>
        <w:t>.</w:t>
      </w:r>
      <w:r w:rsidRPr="007A718D">
        <w:rPr>
          <w:lang w:val="fr-FR"/>
        </w:rPr>
        <w:t xml:space="preserve"> Les requérants qui obtiennent gain de cause</w:t>
      </w:r>
      <w:r w:rsidRPr="007C1EAF">
        <w:rPr>
          <w:lang w:val="fr-FR"/>
        </w:rPr>
        <w:t xml:space="preserve"> </w:t>
      </w:r>
      <w:r w:rsidRPr="007A718D">
        <w:rPr>
          <w:lang w:val="fr-FR"/>
        </w:rPr>
        <w:t>peuvent obtenir 1</w:t>
      </w:r>
      <w:r>
        <w:rPr>
          <w:lang w:val="fr-FR"/>
        </w:rPr>
        <w:t> </w:t>
      </w:r>
      <w:r w:rsidRPr="007A718D">
        <w:rPr>
          <w:lang w:val="fr-FR"/>
        </w:rPr>
        <w:t>500</w:t>
      </w:r>
      <w:r>
        <w:rPr>
          <w:lang w:val="fr-FR"/>
        </w:rPr>
        <w:t> </w:t>
      </w:r>
      <w:r w:rsidRPr="007A718D">
        <w:rPr>
          <w:lang w:val="fr-FR"/>
        </w:rPr>
        <w:t>euros de dommages-intérêts pour préjudice non pécuniaire et 2 900</w:t>
      </w:r>
      <w:r>
        <w:rPr>
          <w:lang w:val="fr-FR"/>
        </w:rPr>
        <w:t> </w:t>
      </w:r>
      <w:r w:rsidRPr="007A718D">
        <w:rPr>
          <w:lang w:val="fr-FR"/>
        </w:rPr>
        <w:t>euros pour préjudice pécuniaire en vertu de la législation de l</w:t>
      </w:r>
      <w:r>
        <w:rPr>
          <w:lang w:val="fr-FR"/>
        </w:rPr>
        <w:t>’</w:t>
      </w:r>
      <w:r w:rsidRPr="007A718D">
        <w:rPr>
          <w:lang w:val="fr-FR"/>
        </w:rPr>
        <w:t>État partie, mais ces montants sont insuffisants</w:t>
      </w:r>
      <w:r w:rsidRPr="006473EF">
        <w:rPr>
          <w:lang w:val="fr-FR"/>
        </w:rPr>
        <w:t>.</w:t>
      </w:r>
      <w:r w:rsidRPr="007A718D">
        <w:rPr>
          <w:lang w:val="fr-FR"/>
        </w:rPr>
        <w:t xml:space="preserve"> Le Comité devrait en outre demander à l</w:t>
      </w:r>
      <w:r>
        <w:rPr>
          <w:lang w:val="fr-FR"/>
        </w:rPr>
        <w:t>’</w:t>
      </w:r>
      <w:r w:rsidRPr="007A718D">
        <w:rPr>
          <w:lang w:val="fr-FR"/>
        </w:rPr>
        <w:t>État partie d</w:t>
      </w:r>
      <w:r>
        <w:rPr>
          <w:lang w:val="fr-FR"/>
        </w:rPr>
        <w:t>’</w:t>
      </w:r>
      <w:r w:rsidRPr="007A718D">
        <w:rPr>
          <w:lang w:val="fr-FR"/>
        </w:rPr>
        <w:t>indemniser l</w:t>
      </w:r>
      <w:r>
        <w:rPr>
          <w:lang w:val="fr-FR"/>
        </w:rPr>
        <w:t>’</w:t>
      </w:r>
      <w:r w:rsidRPr="007A718D">
        <w:rPr>
          <w:lang w:val="fr-FR"/>
        </w:rPr>
        <w:t>auteur pour les nouveaux frais de justice liés à</w:t>
      </w:r>
      <w:r w:rsidRPr="007A718D">
        <w:rPr>
          <w:b/>
          <w:bCs/>
          <w:lang w:val="fr-FR"/>
        </w:rPr>
        <w:t xml:space="preserve"> </w:t>
      </w:r>
      <w:r w:rsidRPr="007A718D">
        <w:rPr>
          <w:lang w:val="fr-FR"/>
        </w:rPr>
        <w:t>la présentation de ses commentaires supplémentaires sur les observations complémentaires de l</w:t>
      </w:r>
      <w:r>
        <w:rPr>
          <w:lang w:val="fr-FR"/>
        </w:rPr>
        <w:t>’</w:t>
      </w:r>
      <w:r w:rsidRPr="007A718D">
        <w:rPr>
          <w:lang w:val="fr-FR"/>
        </w:rPr>
        <w:t>État partie</w:t>
      </w:r>
      <w:r w:rsidRPr="006473EF">
        <w:rPr>
          <w:lang w:val="fr-FR"/>
        </w:rPr>
        <w:t>.</w:t>
      </w:r>
    </w:p>
    <w:p w14:paraId="54EE6C60" w14:textId="77777777" w:rsidR="00571F5C" w:rsidRPr="007A718D" w:rsidRDefault="00571F5C" w:rsidP="00571F5C">
      <w:pPr>
        <w:pStyle w:val="H23G"/>
      </w:pPr>
      <w:r w:rsidRPr="007A718D">
        <w:rPr>
          <w:lang w:val="fr-FR"/>
        </w:rPr>
        <w:tab/>
      </w:r>
      <w:r w:rsidRPr="007A718D">
        <w:rPr>
          <w:lang w:val="fr-FR"/>
        </w:rPr>
        <w:tab/>
        <w:t>Délibérations du Comité</w:t>
      </w:r>
    </w:p>
    <w:p w14:paraId="59C08EBE" w14:textId="77777777" w:rsidR="00571F5C" w:rsidRPr="007A718D" w:rsidRDefault="00571F5C" w:rsidP="00571F5C">
      <w:pPr>
        <w:pStyle w:val="H4G"/>
      </w:pPr>
      <w:r w:rsidRPr="007A718D">
        <w:rPr>
          <w:lang w:val="fr-FR"/>
        </w:rPr>
        <w:tab/>
      </w:r>
      <w:r w:rsidRPr="007A718D">
        <w:rPr>
          <w:lang w:val="fr-FR"/>
        </w:rPr>
        <w:tab/>
        <w:t>Examen de la recevabilité</w:t>
      </w:r>
    </w:p>
    <w:p w14:paraId="4B30F021" w14:textId="77777777" w:rsidR="00571F5C" w:rsidRPr="007A718D" w:rsidRDefault="00571F5C" w:rsidP="00571F5C">
      <w:pPr>
        <w:pStyle w:val="SingleTxtG"/>
        <w:rPr>
          <w:lang w:val="x-none"/>
        </w:rPr>
      </w:pPr>
      <w:r w:rsidRPr="007A718D">
        <w:rPr>
          <w:lang w:val="fr-FR"/>
        </w:rPr>
        <w:t>8</w:t>
      </w:r>
      <w:r w:rsidRPr="006473EF">
        <w:rPr>
          <w:lang w:val="fr-FR"/>
        </w:rPr>
        <w:t>.</w:t>
      </w:r>
      <w:r w:rsidRPr="007A718D">
        <w:rPr>
          <w:lang w:val="fr-FR"/>
        </w:rPr>
        <w:t>1</w:t>
      </w:r>
      <w:r w:rsidRPr="007A718D">
        <w:rPr>
          <w:lang w:val="fr-FR"/>
        </w:rPr>
        <w:tab/>
        <w:t>Avant d</w:t>
      </w:r>
      <w:r>
        <w:rPr>
          <w:lang w:val="fr-FR"/>
        </w:rPr>
        <w:t>’</w:t>
      </w:r>
      <w:r w:rsidRPr="007A718D">
        <w:rPr>
          <w:lang w:val="fr-FR"/>
        </w:rPr>
        <w:t>examiner tout grief formulé dans une communication, le Comité doit, conformément à l</w:t>
      </w:r>
      <w:r>
        <w:rPr>
          <w:lang w:val="fr-FR"/>
        </w:rPr>
        <w:t>’</w:t>
      </w:r>
      <w:r w:rsidRPr="007A718D">
        <w:rPr>
          <w:lang w:val="fr-FR"/>
        </w:rPr>
        <w:t>article 97 de son règlement intérieur, déterminer si la communication est recevable au regard du Protocole facultatif</w:t>
      </w:r>
      <w:r w:rsidRPr="006473EF">
        <w:rPr>
          <w:lang w:val="fr-FR"/>
        </w:rPr>
        <w:t>.</w:t>
      </w:r>
    </w:p>
    <w:p w14:paraId="2F790B6A" w14:textId="466AA31D" w:rsidR="00571F5C" w:rsidRPr="007A718D" w:rsidRDefault="00571F5C" w:rsidP="00571F5C">
      <w:pPr>
        <w:pStyle w:val="SingleTxtG"/>
        <w:rPr>
          <w:lang w:val="x-none"/>
        </w:rPr>
      </w:pPr>
      <w:r w:rsidRPr="007A718D">
        <w:rPr>
          <w:lang w:val="fr-FR"/>
        </w:rPr>
        <w:t>8</w:t>
      </w:r>
      <w:r w:rsidRPr="006473EF">
        <w:rPr>
          <w:lang w:val="fr-FR"/>
        </w:rPr>
        <w:t>.</w:t>
      </w:r>
      <w:r w:rsidRPr="007A718D">
        <w:rPr>
          <w:lang w:val="fr-FR"/>
        </w:rPr>
        <w:t>2</w:t>
      </w:r>
      <w:r w:rsidRPr="007A718D">
        <w:rPr>
          <w:lang w:val="fr-FR"/>
        </w:rPr>
        <w:tab/>
        <w:t>Le Comité s</w:t>
      </w:r>
      <w:r>
        <w:rPr>
          <w:lang w:val="fr-FR"/>
        </w:rPr>
        <w:t>’</w:t>
      </w:r>
      <w:r w:rsidRPr="007A718D">
        <w:rPr>
          <w:lang w:val="fr-FR"/>
        </w:rPr>
        <w:t>est assuré, comme il est tenu de le faire conformément à l</w:t>
      </w:r>
      <w:r>
        <w:rPr>
          <w:lang w:val="fr-FR"/>
        </w:rPr>
        <w:t>’</w:t>
      </w:r>
      <w:r w:rsidRPr="007A718D">
        <w:rPr>
          <w:lang w:val="fr-FR"/>
        </w:rPr>
        <w:t>article 5 (par</w:t>
      </w:r>
      <w:r w:rsidRPr="006473EF">
        <w:rPr>
          <w:lang w:val="fr-FR"/>
        </w:rPr>
        <w:t>.</w:t>
      </w:r>
      <w:r w:rsidR="00C35476">
        <w:rPr>
          <w:lang w:val="fr-FR"/>
        </w:rPr>
        <w:t> </w:t>
      </w:r>
      <w:r w:rsidRPr="007A718D">
        <w:rPr>
          <w:lang w:val="fr-FR"/>
        </w:rPr>
        <w:t>2</w:t>
      </w:r>
      <w:r>
        <w:rPr>
          <w:lang w:val="fr-FR"/>
        </w:rPr>
        <w:t> </w:t>
      </w:r>
      <w:r w:rsidRPr="007A718D">
        <w:rPr>
          <w:lang w:val="fr-FR"/>
        </w:rPr>
        <w:t>a)) du Protocole facultatif, que la même question n</w:t>
      </w:r>
      <w:r>
        <w:rPr>
          <w:lang w:val="fr-FR"/>
        </w:rPr>
        <w:t>’</w:t>
      </w:r>
      <w:r w:rsidRPr="007A718D">
        <w:rPr>
          <w:lang w:val="fr-FR"/>
        </w:rPr>
        <w:t>était pas déjà en cours d</w:t>
      </w:r>
      <w:r>
        <w:rPr>
          <w:lang w:val="fr-FR"/>
        </w:rPr>
        <w:t>’</w:t>
      </w:r>
      <w:r w:rsidRPr="007A718D">
        <w:rPr>
          <w:lang w:val="fr-FR"/>
        </w:rPr>
        <w:t>examen devant une autre instance internationale d</w:t>
      </w:r>
      <w:r>
        <w:rPr>
          <w:lang w:val="fr-FR"/>
        </w:rPr>
        <w:t>’</w:t>
      </w:r>
      <w:r w:rsidRPr="007A718D">
        <w:rPr>
          <w:lang w:val="fr-FR"/>
        </w:rPr>
        <w:t>enquête ou de règlement</w:t>
      </w:r>
      <w:r w:rsidRPr="006473EF">
        <w:rPr>
          <w:lang w:val="fr-FR"/>
        </w:rPr>
        <w:t>.</w:t>
      </w:r>
    </w:p>
    <w:p w14:paraId="51B7AAC9" w14:textId="6287F113" w:rsidR="00571F5C" w:rsidRPr="007A718D" w:rsidRDefault="00571F5C" w:rsidP="00571F5C">
      <w:pPr>
        <w:pStyle w:val="SingleTxtG"/>
        <w:rPr>
          <w:lang w:val="x-none"/>
        </w:rPr>
      </w:pPr>
      <w:r w:rsidRPr="007A718D">
        <w:rPr>
          <w:lang w:val="fr-FR"/>
        </w:rPr>
        <w:t>8</w:t>
      </w:r>
      <w:r w:rsidRPr="006473EF">
        <w:rPr>
          <w:lang w:val="fr-FR"/>
        </w:rPr>
        <w:t>.</w:t>
      </w:r>
      <w:r w:rsidRPr="007A718D">
        <w:rPr>
          <w:lang w:val="fr-FR"/>
        </w:rPr>
        <w:t>3</w:t>
      </w:r>
      <w:r w:rsidRPr="007A718D">
        <w:rPr>
          <w:lang w:val="fr-FR"/>
        </w:rPr>
        <w:tab/>
        <w:t>Le Comité note que l</w:t>
      </w:r>
      <w:r>
        <w:rPr>
          <w:lang w:val="fr-FR"/>
        </w:rPr>
        <w:t>’</w:t>
      </w:r>
      <w:r w:rsidRPr="007A718D">
        <w:rPr>
          <w:lang w:val="fr-FR"/>
        </w:rPr>
        <w:t>État partie affirme que l</w:t>
      </w:r>
      <w:r>
        <w:rPr>
          <w:lang w:val="fr-FR"/>
        </w:rPr>
        <w:t>’</w:t>
      </w:r>
      <w:r w:rsidRPr="007A718D">
        <w:rPr>
          <w:lang w:val="fr-FR"/>
        </w:rPr>
        <w:t>auteur n</w:t>
      </w:r>
      <w:r>
        <w:rPr>
          <w:lang w:val="fr-FR"/>
        </w:rPr>
        <w:t>’</w:t>
      </w:r>
      <w:r w:rsidRPr="007A718D">
        <w:rPr>
          <w:lang w:val="fr-FR"/>
        </w:rPr>
        <w:t>a pas épuisé les recours internes comme l</w:t>
      </w:r>
      <w:r>
        <w:rPr>
          <w:lang w:val="fr-FR"/>
        </w:rPr>
        <w:t>’</w:t>
      </w:r>
      <w:r w:rsidRPr="007A718D">
        <w:rPr>
          <w:lang w:val="fr-FR"/>
        </w:rPr>
        <w:t>exige l</w:t>
      </w:r>
      <w:r>
        <w:rPr>
          <w:lang w:val="fr-FR"/>
        </w:rPr>
        <w:t>’</w:t>
      </w:r>
      <w:r w:rsidRPr="007A718D">
        <w:rPr>
          <w:lang w:val="fr-FR"/>
        </w:rPr>
        <w:t>article 5 (par</w:t>
      </w:r>
      <w:r w:rsidRPr="006473EF">
        <w:rPr>
          <w:lang w:val="fr-FR"/>
        </w:rPr>
        <w:t>.</w:t>
      </w:r>
      <w:r w:rsidRPr="007A718D">
        <w:rPr>
          <w:lang w:val="fr-FR"/>
        </w:rPr>
        <w:t xml:space="preserve"> 2</w:t>
      </w:r>
      <w:r>
        <w:rPr>
          <w:lang w:val="fr-FR"/>
        </w:rPr>
        <w:t> </w:t>
      </w:r>
      <w:r w:rsidRPr="007A718D">
        <w:rPr>
          <w:lang w:val="fr-FR"/>
        </w:rPr>
        <w:t>b)) du Protocole facultatif</w:t>
      </w:r>
      <w:r w:rsidRPr="006473EF">
        <w:rPr>
          <w:lang w:val="fr-FR"/>
        </w:rPr>
        <w:t>.</w:t>
      </w:r>
      <w:r w:rsidRPr="007A718D">
        <w:rPr>
          <w:lang w:val="fr-FR"/>
        </w:rPr>
        <w:t xml:space="preserve"> Renvoyant à sa jurisprudence, il rappelle que, même s</w:t>
      </w:r>
      <w:r>
        <w:rPr>
          <w:lang w:val="fr-FR"/>
        </w:rPr>
        <w:t>’</w:t>
      </w:r>
      <w:r w:rsidRPr="007A718D">
        <w:rPr>
          <w:lang w:val="fr-FR"/>
        </w:rPr>
        <w:t>il n</w:t>
      </w:r>
      <w:r>
        <w:rPr>
          <w:lang w:val="fr-FR"/>
        </w:rPr>
        <w:t>’</w:t>
      </w:r>
      <w:r w:rsidRPr="007A718D">
        <w:rPr>
          <w:lang w:val="fr-FR"/>
        </w:rPr>
        <w:t>existe pas d</w:t>
      </w:r>
      <w:r>
        <w:rPr>
          <w:lang w:val="fr-FR"/>
        </w:rPr>
        <w:t>’</w:t>
      </w:r>
      <w:r w:rsidRPr="007A718D">
        <w:rPr>
          <w:lang w:val="fr-FR"/>
        </w:rPr>
        <w:t>obligation d</w:t>
      </w:r>
      <w:r>
        <w:rPr>
          <w:lang w:val="fr-FR"/>
        </w:rPr>
        <w:t>’</w:t>
      </w:r>
      <w:r w:rsidRPr="007A718D">
        <w:rPr>
          <w:lang w:val="fr-FR"/>
        </w:rPr>
        <w:t>épuiser les recours internes lorsque ceux-ci n</w:t>
      </w:r>
      <w:r>
        <w:rPr>
          <w:lang w:val="fr-FR"/>
        </w:rPr>
        <w:t>’</w:t>
      </w:r>
      <w:r w:rsidRPr="007A718D">
        <w:rPr>
          <w:lang w:val="fr-FR"/>
        </w:rPr>
        <w:t>ont aucune chance d</w:t>
      </w:r>
      <w:r>
        <w:rPr>
          <w:lang w:val="fr-FR"/>
        </w:rPr>
        <w:t>’</w:t>
      </w:r>
      <w:r w:rsidRPr="007A718D">
        <w:rPr>
          <w:lang w:val="fr-FR"/>
        </w:rPr>
        <w:t>aboutir, les auteurs de communications doivent faire preuve de diligence pour exercer les recours disponibles et de simples doutes ou supputations quant à l</w:t>
      </w:r>
      <w:r>
        <w:rPr>
          <w:lang w:val="fr-FR"/>
        </w:rPr>
        <w:t>’</w:t>
      </w:r>
      <w:r w:rsidRPr="007A718D">
        <w:rPr>
          <w:lang w:val="fr-FR"/>
        </w:rPr>
        <w:t>utilité d</w:t>
      </w:r>
      <w:r>
        <w:rPr>
          <w:lang w:val="fr-FR"/>
        </w:rPr>
        <w:t>’</w:t>
      </w:r>
      <w:r w:rsidRPr="007A718D">
        <w:rPr>
          <w:lang w:val="fr-FR"/>
        </w:rPr>
        <w:t>un recours ne dispensent pas l</w:t>
      </w:r>
      <w:r>
        <w:rPr>
          <w:lang w:val="fr-FR"/>
        </w:rPr>
        <w:t>’</w:t>
      </w:r>
      <w:r w:rsidRPr="007A718D">
        <w:rPr>
          <w:lang w:val="fr-FR"/>
        </w:rPr>
        <w:t>auteur d</w:t>
      </w:r>
      <w:r>
        <w:rPr>
          <w:lang w:val="fr-FR"/>
        </w:rPr>
        <w:t>’</w:t>
      </w:r>
      <w:r w:rsidRPr="007A718D">
        <w:rPr>
          <w:lang w:val="fr-FR"/>
        </w:rPr>
        <w:t>une communication de s</w:t>
      </w:r>
      <w:r>
        <w:rPr>
          <w:lang w:val="fr-FR"/>
        </w:rPr>
        <w:t>’</w:t>
      </w:r>
      <w:r w:rsidRPr="007A718D">
        <w:rPr>
          <w:lang w:val="fr-FR"/>
        </w:rPr>
        <w:t>en prévaloir</w:t>
      </w:r>
      <w:r w:rsidRPr="00571F5C">
        <w:rPr>
          <w:rStyle w:val="Appelnotedebasdep"/>
        </w:rPr>
        <w:footnoteReference w:id="19"/>
      </w:r>
      <w:r w:rsidRPr="006473EF">
        <w:rPr>
          <w:lang w:val="fr-FR"/>
        </w:rPr>
        <w:t>.</w:t>
      </w:r>
      <w:r w:rsidRPr="00C10269">
        <w:rPr>
          <w:lang w:val="fr-FR"/>
        </w:rPr>
        <w:t xml:space="preserve"> En ce qui concerne le grief de l</w:t>
      </w:r>
      <w:r>
        <w:rPr>
          <w:lang w:val="fr-FR"/>
        </w:rPr>
        <w:t>’</w:t>
      </w:r>
      <w:r w:rsidRPr="00C10269">
        <w:rPr>
          <w:lang w:val="fr-FR"/>
        </w:rPr>
        <w:t>auteur selon lequel l</w:t>
      </w:r>
      <w:r>
        <w:rPr>
          <w:lang w:val="fr-FR"/>
        </w:rPr>
        <w:t>’</w:t>
      </w:r>
      <w:r w:rsidRPr="00C10269">
        <w:rPr>
          <w:lang w:val="fr-FR"/>
        </w:rPr>
        <w:t>imposition d</w:t>
      </w:r>
      <w:r>
        <w:rPr>
          <w:lang w:val="fr-FR"/>
        </w:rPr>
        <w:t>’</w:t>
      </w:r>
      <w:r w:rsidRPr="00C10269">
        <w:rPr>
          <w:lang w:val="fr-FR"/>
        </w:rPr>
        <w:t>une caution constitue une violation de l</w:t>
      </w:r>
      <w:r>
        <w:rPr>
          <w:lang w:val="fr-FR"/>
        </w:rPr>
        <w:t>’</w:t>
      </w:r>
      <w:r w:rsidRPr="00C10269">
        <w:rPr>
          <w:lang w:val="fr-FR"/>
        </w:rPr>
        <w:t>article 12 du Pacte, le Comité fait observer que si l</w:t>
      </w:r>
      <w:r>
        <w:rPr>
          <w:lang w:val="fr-FR"/>
        </w:rPr>
        <w:t>’</w:t>
      </w:r>
      <w:r w:rsidRPr="00C10269">
        <w:rPr>
          <w:lang w:val="fr-FR"/>
        </w:rPr>
        <w:t xml:space="preserve">auteur </w:t>
      </w:r>
      <w:r w:rsidRPr="00C10269">
        <w:rPr>
          <w:lang w:val="fr-FR"/>
        </w:rPr>
        <w:lastRenderedPageBreak/>
        <w:t>a introduit une demande</w:t>
      </w:r>
      <w:r w:rsidRPr="007A718D">
        <w:rPr>
          <w:lang w:val="fr-FR"/>
        </w:rPr>
        <w:t xml:space="preserve"> d</w:t>
      </w:r>
      <w:r>
        <w:rPr>
          <w:lang w:val="fr-FR"/>
        </w:rPr>
        <w:t>’</w:t>
      </w:r>
      <w:r w:rsidRPr="007A718D">
        <w:rPr>
          <w:lang w:val="fr-FR"/>
        </w:rPr>
        <w:t>indemnisation et des recours connexes après la clôture de l</w:t>
      </w:r>
      <w:r>
        <w:rPr>
          <w:lang w:val="fr-FR"/>
        </w:rPr>
        <w:t>’</w:t>
      </w:r>
      <w:r w:rsidRPr="007A718D">
        <w:rPr>
          <w:lang w:val="fr-FR"/>
        </w:rPr>
        <w:t>enquête préliminaire, il ne s</w:t>
      </w:r>
      <w:r>
        <w:rPr>
          <w:lang w:val="fr-FR"/>
        </w:rPr>
        <w:t>’</w:t>
      </w:r>
      <w:r w:rsidRPr="007A718D">
        <w:rPr>
          <w:lang w:val="fr-FR"/>
        </w:rPr>
        <w:t>est pas opposé à l</w:t>
      </w:r>
      <w:r>
        <w:rPr>
          <w:lang w:val="fr-FR"/>
        </w:rPr>
        <w:t>’</w:t>
      </w:r>
      <w:r w:rsidRPr="007A718D">
        <w:rPr>
          <w:lang w:val="fr-FR"/>
        </w:rPr>
        <w:t>imposition d</w:t>
      </w:r>
      <w:r>
        <w:rPr>
          <w:lang w:val="fr-FR"/>
        </w:rPr>
        <w:t>’</w:t>
      </w:r>
      <w:r w:rsidRPr="007A718D">
        <w:rPr>
          <w:lang w:val="fr-FR"/>
        </w:rPr>
        <w:t>une caution devant les juridictions internes</w:t>
      </w:r>
      <w:r w:rsidRPr="00571F5C">
        <w:rPr>
          <w:rStyle w:val="Appelnotedebasdep"/>
        </w:rPr>
        <w:footnoteReference w:id="20"/>
      </w:r>
      <w:r w:rsidRPr="006473EF">
        <w:rPr>
          <w:lang w:val="fr-FR"/>
        </w:rPr>
        <w:t>.</w:t>
      </w:r>
      <w:r w:rsidRPr="007A718D">
        <w:rPr>
          <w:lang w:val="fr-FR"/>
        </w:rPr>
        <w:t xml:space="preserve"> Le Comité note que l</w:t>
      </w:r>
      <w:r>
        <w:rPr>
          <w:lang w:val="fr-FR"/>
        </w:rPr>
        <w:t>’</w:t>
      </w:r>
      <w:r w:rsidRPr="007A718D">
        <w:rPr>
          <w:lang w:val="fr-FR"/>
        </w:rPr>
        <w:t>auteur a lui-même demandé aux autorités de modifier la mesure de restriction des déplacements en une mesure de cautionnement, et que cette demande a été acceptée peu après qu</w:t>
      </w:r>
      <w:r>
        <w:rPr>
          <w:lang w:val="fr-FR"/>
        </w:rPr>
        <w:t>’</w:t>
      </w:r>
      <w:r w:rsidRPr="007A718D">
        <w:rPr>
          <w:lang w:val="fr-FR"/>
        </w:rPr>
        <w:t>il a fourni les documents prouvant qu</w:t>
      </w:r>
      <w:r>
        <w:rPr>
          <w:lang w:val="fr-FR"/>
        </w:rPr>
        <w:t>’</w:t>
      </w:r>
      <w:r w:rsidRPr="007A718D">
        <w:rPr>
          <w:lang w:val="fr-FR"/>
        </w:rPr>
        <w:t>il étudiait à l</w:t>
      </w:r>
      <w:r>
        <w:rPr>
          <w:lang w:val="fr-FR"/>
        </w:rPr>
        <w:t>’</w:t>
      </w:r>
      <w:r w:rsidRPr="007A718D">
        <w:rPr>
          <w:lang w:val="fr-FR"/>
        </w:rPr>
        <w:t>étranger</w:t>
      </w:r>
      <w:r w:rsidRPr="006473EF">
        <w:rPr>
          <w:lang w:val="fr-FR"/>
        </w:rPr>
        <w:t>.</w:t>
      </w:r>
      <w:r w:rsidRPr="007A718D">
        <w:rPr>
          <w:lang w:val="fr-FR"/>
        </w:rPr>
        <w:t xml:space="preserve"> Il constate que l</w:t>
      </w:r>
      <w:r>
        <w:rPr>
          <w:lang w:val="fr-FR"/>
        </w:rPr>
        <w:t>’</w:t>
      </w:r>
      <w:r w:rsidRPr="007A718D">
        <w:rPr>
          <w:lang w:val="fr-FR"/>
        </w:rPr>
        <w:t>auteur n</w:t>
      </w:r>
      <w:r>
        <w:rPr>
          <w:lang w:val="fr-FR"/>
        </w:rPr>
        <w:t>’</w:t>
      </w:r>
      <w:r w:rsidRPr="007A718D">
        <w:rPr>
          <w:lang w:val="fr-FR"/>
        </w:rPr>
        <w:t>a pas répondu à l</w:t>
      </w:r>
      <w:r>
        <w:rPr>
          <w:lang w:val="fr-FR"/>
        </w:rPr>
        <w:t>’</w:t>
      </w:r>
      <w:r w:rsidRPr="007A718D">
        <w:rPr>
          <w:lang w:val="fr-FR"/>
        </w:rPr>
        <w:t>affirmation de l</w:t>
      </w:r>
      <w:r>
        <w:rPr>
          <w:lang w:val="fr-FR"/>
        </w:rPr>
        <w:t>’</w:t>
      </w:r>
      <w:r w:rsidRPr="007A718D">
        <w:rPr>
          <w:lang w:val="fr-FR"/>
        </w:rPr>
        <w:t>État partie selon laquelle il n</w:t>
      </w:r>
      <w:r>
        <w:rPr>
          <w:lang w:val="fr-FR"/>
        </w:rPr>
        <w:t>’</w:t>
      </w:r>
      <w:r w:rsidRPr="007A718D">
        <w:rPr>
          <w:lang w:val="fr-FR"/>
        </w:rPr>
        <w:t>a pas contesté la décision du Procureur d</w:t>
      </w:r>
      <w:r>
        <w:rPr>
          <w:lang w:val="fr-FR"/>
        </w:rPr>
        <w:t>’</w:t>
      </w:r>
      <w:r w:rsidRPr="007A718D">
        <w:rPr>
          <w:lang w:val="fr-FR"/>
        </w:rPr>
        <w:t>imposer une caution</w:t>
      </w:r>
      <w:r w:rsidRPr="006473EF">
        <w:rPr>
          <w:lang w:val="fr-FR"/>
        </w:rPr>
        <w:t>.</w:t>
      </w:r>
      <w:r w:rsidRPr="007A718D">
        <w:rPr>
          <w:lang w:val="fr-FR"/>
        </w:rPr>
        <w:t xml:space="preserve"> Il note que si l</w:t>
      </w:r>
      <w:r>
        <w:rPr>
          <w:lang w:val="fr-FR"/>
        </w:rPr>
        <w:t>’</w:t>
      </w:r>
      <w:r w:rsidRPr="007A718D">
        <w:rPr>
          <w:lang w:val="fr-FR"/>
        </w:rPr>
        <w:t>auteur a fait valoir, lorsqu</w:t>
      </w:r>
      <w:r>
        <w:rPr>
          <w:lang w:val="fr-FR"/>
        </w:rPr>
        <w:t>’</w:t>
      </w:r>
      <w:r w:rsidRPr="007A718D">
        <w:rPr>
          <w:lang w:val="fr-FR"/>
        </w:rPr>
        <w:t>il a précisé sa demande d</w:t>
      </w:r>
      <w:r>
        <w:rPr>
          <w:lang w:val="fr-FR"/>
        </w:rPr>
        <w:t>’</w:t>
      </w:r>
      <w:r w:rsidRPr="007A718D">
        <w:rPr>
          <w:lang w:val="fr-FR"/>
        </w:rPr>
        <w:t>indemnisation après la clôture de l</w:t>
      </w:r>
      <w:r>
        <w:rPr>
          <w:lang w:val="fr-FR"/>
        </w:rPr>
        <w:t>’</w:t>
      </w:r>
      <w:r w:rsidRPr="007A718D">
        <w:rPr>
          <w:lang w:val="fr-FR"/>
        </w:rPr>
        <w:t>enquête, qu</w:t>
      </w:r>
      <w:r>
        <w:rPr>
          <w:lang w:val="fr-FR"/>
        </w:rPr>
        <w:t>’</w:t>
      </w:r>
      <w:r w:rsidRPr="007A718D">
        <w:rPr>
          <w:lang w:val="fr-FR"/>
        </w:rPr>
        <w:t>il aurait préféré être placé en détention plutôt que d</w:t>
      </w:r>
      <w:r>
        <w:rPr>
          <w:lang w:val="fr-FR"/>
        </w:rPr>
        <w:t>’</w:t>
      </w:r>
      <w:r w:rsidRPr="007A718D">
        <w:rPr>
          <w:lang w:val="fr-FR"/>
        </w:rPr>
        <w:t>être soumis à une caution</w:t>
      </w:r>
      <w:r w:rsidRPr="00571F5C">
        <w:rPr>
          <w:rStyle w:val="Appelnotedebasdep"/>
        </w:rPr>
        <w:footnoteReference w:id="21"/>
      </w:r>
      <w:r w:rsidRPr="007A718D">
        <w:rPr>
          <w:lang w:val="fr-FR"/>
        </w:rPr>
        <w:t>, il ne prétend pas avoir soulevé ce grief devant une autorité quelconque pendant l</w:t>
      </w:r>
      <w:r>
        <w:rPr>
          <w:lang w:val="fr-FR"/>
        </w:rPr>
        <w:t>’</w:t>
      </w:r>
      <w:r w:rsidRPr="007A718D">
        <w:rPr>
          <w:lang w:val="fr-FR"/>
        </w:rPr>
        <w:t>enquête préliminaire</w:t>
      </w:r>
      <w:r w:rsidRPr="006473EF">
        <w:rPr>
          <w:lang w:val="fr-FR"/>
        </w:rPr>
        <w:t>.</w:t>
      </w:r>
      <w:r w:rsidRPr="007A718D">
        <w:rPr>
          <w:lang w:val="fr-FR"/>
        </w:rPr>
        <w:t xml:space="preserve"> Par conséquent, le Comité estime que le grief de l</w:t>
      </w:r>
      <w:r>
        <w:rPr>
          <w:lang w:val="fr-FR"/>
        </w:rPr>
        <w:t>’</w:t>
      </w:r>
      <w:r w:rsidRPr="007A718D">
        <w:rPr>
          <w:lang w:val="fr-FR"/>
        </w:rPr>
        <w:t>auteur selon lequel l</w:t>
      </w:r>
      <w:r>
        <w:rPr>
          <w:lang w:val="fr-FR"/>
        </w:rPr>
        <w:t>’</w:t>
      </w:r>
      <w:r w:rsidRPr="007A718D">
        <w:rPr>
          <w:lang w:val="fr-FR"/>
        </w:rPr>
        <w:t>imposition d</w:t>
      </w:r>
      <w:r>
        <w:rPr>
          <w:lang w:val="fr-FR"/>
        </w:rPr>
        <w:t>’</w:t>
      </w:r>
      <w:r w:rsidRPr="007A718D">
        <w:rPr>
          <w:lang w:val="fr-FR"/>
        </w:rPr>
        <w:t>une caution a violé les droits qu</w:t>
      </w:r>
      <w:r>
        <w:rPr>
          <w:lang w:val="fr-FR"/>
        </w:rPr>
        <w:t>’</w:t>
      </w:r>
      <w:r w:rsidRPr="007A718D">
        <w:rPr>
          <w:lang w:val="fr-FR"/>
        </w:rPr>
        <w:t>il tient de l</w:t>
      </w:r>
      <w:r>
        <w:rPr>
          <w:lang w:val="fr-FR"/>
        </w:rPr>
        <w:t>’</w:t>
      </w:r>
      <w:r w:rsidRPr="007A718D">
        <w:rPr>
          <w:lang w:val="fr-FR"/>
        </w:rPr>
        <w:t>article 12 du Pacte est irrecevable parce que l</w:t>
      </w:r>
      <w:r>
        <w:rPr>
          <w:lang w:val="fr-FR"/>
        </w:rPr>
        <w:t>’</w:t>
      </w:r>
      <w:r w:rsidRPr="007A718D">
        <w:rPr>
          <w:lang w:val="fr-FR"/>
        </w:rPr>
        <w:t>auteur n</w:t>
      </w:r>
      <w:r>
        <w:rPr>
          <w:lang w:val="fr-FR"/>
        </w:rPr>
        <w:t>’</w:t>
      </w:r>
      <w:r w:rsidRPr="007A718D">
        <w:rPr>
          <w:lang w:val="fr-FR"/>
        </w:rPr>
        <w:t>a pas épuisé les recours internes, comme l</w:t>
      </w:r>
      <w:r>
        <w:rPr>
          <w:lang w:val="fr-FR"/>
        </w:rPr>
        <w:t>’</w:t>
      </w:r>
      <w:r w:rsidRPr="007A718D">
        <w:rPr>
          <w:lang w:val="fr-FR"/>
        </w:rPr>
        <w:t>exige l</w:t>
      </w:r>
      <w:r>
        <w:rPr>
          <w:lang w:val="fr-FR"/>
        </w:rPr>
        <w:t>’</w:t>
      </w:r>
      <w:r w:rsidRPr="007A718D">
        <w:rPr>
          <w:lang w:val="fr-FR"/>
        </w:rPr>
        <w:t>article 5 (par</w:t>
      </w:r>
      <w:r w:rsidRPr="006473EF">
        <w:rPr>
          <w:lang w:val="fr-FR"/>
        </w:rPr>
        <w:t>.</w:t>
      </w:r>
      <w:r w:rsidRPr="007A718D">
        <w:rPr>
          <w:lang w:val="fr-FR"/>
        </w:rPr>
        <w:t xml:space="preserve"> 2</w:t>
      </w:r>
      <w:r>
        <w:rPr>
          <w:lang w:val="fr-FR"/>
        </w:rPr>
        <w:t> </w:t>
      </w:r>
      <w:r w:rsidRPr="007A718D">
        <w:rPr>
          <w:lang w:val="fr-FR"/>
        </w:rPr>
        <w:t>b)) du Protocole facultatif</w:t>
      </w:r>
      <w:r w:rsidRPr="006473EF">
        <w:rPr>
          <w:lang w:val="fr-FR"/>
        </w:rPr>
        <w:t>.</w:t>
      </w:r>
    </w:p>
    <w:p w14:paraId="0E1FD397" w14:textId="0B580858" w:rsidR="00571F5C" w:rsidRPr="007A718D" w:rsidRDefault="00571F5C" w:rsidP="00571F5C">
      <w:pPr>
        <w:pStyle w:val="SingleTxtG"/>
        <w:rPr>
          <w:bCs/>
          <w:iCs/>
          <w:lang w:val="x-none"/>
        </w:rPr>
      </w:pPr>
      <w:r w:rsidRPr="007A718D">
        <w:rPr>
          <w:lang w:val="fr-FR"/>
        </w:rPr>
        <w:t>8</w:t>
      </w:r>
      <w:r w:rsidRPr="006473EF">
        <w:rPr>
          <w:lang w:val="fr-FR"/>
        </w:rPr>
        <w:t>.</w:t>
      </w:r>
      <w:r w:rsidRPr="007A718D">
        <w:rPr>
          <w:lang w:val="fr-FR"/>
        </w:rPr>
        <w:t>4</w:t>
      </w:r>
      <w:r w:rsidRPr="007A718D">
        <w:rPr>
          <w:lang w:val="fr-FR"/>
        </w:rPr>
        <w:tab/>
        <w:t>Le Comité note que dans ses commentaires en date du 19</w:t>
      </w:r>
      <w:r>
        <w:rPr>
          <w:lang w:val="fr-FR"/>
        </w:rPr>
        <w:t> </w:t>
      </w:r>
      <w:r w:rsidRPr="007A718D">
        <w:rPr>
          <w:lang w:val="fr-FR"/>
        </w:rPr>
        <w:t>novembre 2019, l</w:t>
      </w:r>
      <w:r>
        <w:rPr>
          <w:lang w:val="fr-FR"/>
        </w:rPr>
        <w:t>’</w:t>
      </w:r>
      <w:r w:rsidRPr="007A718D">
        <w:rPr>
          <w:lang w:val="fr-FR"/>
        </w:rPr>
        <w:t>auteur a soulevé des griefs qu</w:t>
      </w:r>
      <w:r>
        <w:rPr>
          <w:lang w:val="fr-FR"/>
        </w:rPr>
        <w:t>’</w:t>
      </w:r>
      <w:r w:rsidRPr="007A718D">
        <w:rPr>
          <w:lang w:val="fr-FR"/>
        </w:rPr>
        <w:t>il n</w:t>
      </w:r>
      <w:r>
        <w:rPr>
          <w:lang w:val="fr-FR"/>
        </w:rPr>
        <w:t>’</w:t>
      </w:r>
      <w:r w:rsidRPr="007A718D">
        <w:rPr>
          <w:lang w:val="fr-FR"/>
        </w:rPr>
        <w:t>avait pas formulés dans sa communication initiale, au titre de l</w:t>
      </w:r>
      <w:r>
        <w:rPr>
          <w:lang w:val="fr-FR"/>
        </w:rPr>
        <w:t>’</w:t>
      </w:r>
      <w:r w:rsidRPr="007A718D">
        <w:rPr>
          <w:lang w:val="fr-FR"/>
        </w:rPr>
        <w:t>article 14 (par</w:t>
      </w:r>
      <w:r w:rsidRPr="006473EF">
        <w:rPr>
          <w:lang w:val="fr-FR"/>
        </w:rPr>
        <w:t>.</w:t>
      </w:r>
      <w:r w:rsidRPr="007A718D">
        <w:rPr>
          <w:lang w:val="fr-FR"/>
        </w:rPr>
        <w:t xml:space="preserve"> 1)</w:t>
      </w:r>
      <w:r>
        <w:rPr>
          <w:lang w:val="fr-FR"/>
        </w:rPr>
        <w:t xml:space="preserve"> du Pacte</w:t>
      </w:r>
      <w:r w:rsidRPr="007A718D">
        <w:rPr>
          <w:lang w:val="fr-FR"/>
        </w:rPr>
        <w:t>, lu seul et conjointement avec l</w:t>
      </w:r>
      <w:r>
        <w:rPr>
          <w:lang w:val="fr-FR"/>
        </w:rPr>
        <w:t>’</w:t>
      </w:r>
      <w:r w:rsidRPr="007A718D">
        <w:rPr>
          <w:lang w:val="fr-FR"/>
        </w:rPr>
        <w:t>article 2 (par</w:t>
      </w:r>
      <w:r w:rsidRPr="006473EF">
        <w:rPr>
          <w:lang w:val="fr-FR"/>
        </w:rPr>
        <w:t>.</w:t>
      </w:r>
      <w:r>
        <w:rPr>
          <w:lang w:val="fr-FR"/>
        </w:rPr>
        <w:t xml:space="preserve"> </w:t>
      </w:r>
      <w:r w:rsidRPr="007A718D">
        <w:rPr>
          <w:lang w:val="fr-FR"/>
        </w:rPr>
        <w:t>2)</w:t>
      </w:r>
      <w:r w:rsidRPr="006473EF">
        <w:rPr>
          <w:lang w:val="fr-FR"/>
        </w:rPr>
        <w:t>.</w:t>
      </w:r>
      <w:r w:rsidRPr="007A718D">
        <w:rPr>
          <w:lang w:val="fr-FR"/>
        </w:rPr>
        <w:t xml:space="preserve"> Il renvoie à sa jurisprudence, dont il ressort que les auteurs de communications doivent exposer tous leurs griefs dans leur lettre initiale, avant que l</w:t>
      </w:r>
      <w:r>
        <w:rPr>
          <w:lang w:val="fr-FR"/>
        </w:rPr>
        <w:t>’</w:t>
      </w:r>
      <w:r w:rsidRPr="007A718D">
        <w:rPr>
          <w:lang w:val="fr-FR"/>
        </w:rPr>
        <w:t>État partie soit invité à adresser ses observations sur la recevabilité et le fond de la communication, sauf s</w:t>
      </w:r>
      <w:r>
        <w:rPr>
          <w:lang w:val="fr-FR"/>
        </w:rPr>
        <w:t>’</w:t>
      </w:r>
      <w:r w:rsidRPr="007A718D">
        <w:rPr>
          <w:lang w:val="fr-FR"/>
        </w:rPr>
        <w:t>ils peuvent expliquer pourquoi ils n</w:t>
      </w:r>
      <w:r>
        <w:rPr>
          <w:lang w:val="fr-FR"/>
        </w:rPr>
        <w:t>’</w:t>
      </w:r>
      <w:r w:rsidRPr="007A718D">
        <w:rPr>
          <w:lang w:val="fr-FR"/>
        </w:rPr>
        <w:t xml:space="preserve">ont pas été en mesure de soulever </w:t>
      </w:r>
      <w:r>
        <w:rPr>
          <w:lang w:val="fr-FR"/>
        </w:rPr>
        <w:t xml:space="preserve">simultanément </w:t>
      </w:r>
      <w:r w:rsidRPr="007A718D">
        <w:rPr>
          <w:lang w:val="fr-FR"/>
        </w:rPr>
        <w:t>tous le</w:t>
      </w:r>
      <w:r>
        <w:rPr>
          <w:lang w:val="fr-FR"/>
        </w:rPr>
        <w:t>ur</w:t>
      </w:r>
      <w:r w:rsidRPr="007A718D">
        <w:rPr>
          <w:lang w:val="fr-FR"/>
        </w:rPr>
        <w:t>s griefs</w:t>
      </w:r>
      <w:r w:rsidRPr="006473EF">
        <w:rPr>
          <w:lang w:val="fr-FR"/>
        </w:rPr>
        <w:t>.</w:t>
      </w:r>
      <w:r w:rsidRPr="007A718D">
        <w:rPr>
          <w:lang w:val="fr-FR"/>
        </w:rPr>
        <w:t xml:space="preserve"> En l</w:t>
      </w:r>
      <w:r>
        <w:rPr>
          <w:lang w:val="fr-FR"/>
        </w:rPr>
        <w:t>’</w:t>
      </w:r>
      <w:r w:rsidRPr="007A718D">
        <w:rPr>
          <w:lang w:val="fr-FR"/>
        </w:rPr>
        <w:t>espèce, comme l</w:t>
      </w:r>
      <w:r>
        <w:rPr>
          <w:lang w:val="fr-FR"/>
        </w:rPr>
        <w:t>’</w:t>
      </w:r>
      <w:r w:rsidRPr="007A718D">
        <w:rPr>
          <w:lang w:val="fr-FR"/>
        </w:rPr>
        <w:t>auteur n</w:t>
      </w:r>
      <w:r>
        <w:rPr>
          <w:lang w:val="fr-FR"/>
        </w:rPr>
        <w:t>’</w:t>
      </w:r>
      <w:r w:rsidRPr="007A718D">
        <w:rPr>
          <w:lang w:val="fr-FR"/>
        </w:rPr>
        <w:t>a pas indiqué pourquoi il n</w:t>
      </w:r>
      <w:r>
        <w:rPr>
          <w:lang w:val="fr-FR"/>
        </w:rPr>
        <w:t>’</w:t>
      </w:r>
      <w:r w:rsidRPr="007A718D">
        <w:rPr>
          <w:lang w:val="fr-FR"/>
        </w:rPr>
        <w:t>aurait pas pu exposer dans sa lettre initiale les griefs qu</w:t>
      </w:r>
      <w:r>
        <w:rPr>
          <w:lang w:val="fr-FR"/>
        </w:rPr>
        <w:t>’</w:t>
      </w:r>
      <w:r w:rsidRPr="007A718D">
        <w:rPr>
          <w:lang w:val="fr-FR"/>
        </w:rPr>
        <w:t>il tire de l</w:t>
      </w:r>
      <w:r>
        <w:rPr>
          <w:lang w:val="fr-FR"/>
        </w:rPr>
        <w:t>’</w:t>
      </w:r>
      <w:r w:rsidRPr="007A718D">
        <w:rPr>
          <w:lang w:val="fr-FR"/>
        </w:rPr>
        <w:t>article 14 (par</w:t>
      </w:r>
      <w:r w:rsidRPr="006473EF">
        <w:rPr>
          <w:lang w:val="fr-FR"/>
        </w:rPr>
        <w:t>.</w:t>
      </w:r>
      <w:r w:rsidRPr="007A718D">
        <w:rPr>
          <w:lang w:val="fr-FR"/>
        </w:rPr>
        <w:t xml:space="preserve"> 1)</w:t>
      </w:r>
      <w:r>
        <w:rPr>
          <w:lang w:val="fr-FR"/>
        </w:rPr>
        <w:t xml:space="preserve"> </w:t>
      </w:r>
      <w:r w:rsidRPr="007A718D">
        <w:rPr>
          <w:lang w:val="fr-FR"/>
        </w:rPr>
        <w:t>du Pacte, lu seul et conjointement avec l</w:t>
      </w:r>
      <w:r>
        <w:rPr>
          <w:lang w:val="fr-FR"/>
        </w:rPr>
        <w:t>’</w:t>
      </w:r>
      <w:r w:rsidRPr="007A718D">
        <w:rPr>
          <w:lang w:val="fr-FR"/>
        </w:rPr>
        <w:t>article 2 (par</w:t>
      </w:r>
      <w:r w:rsidRPr="006473EF">
        <w:rPr>
          <w:lang w:val="fr-FR"/>
        </w:rPr>
        <w:t>.</w:t>
      </w:r>
      <w:r>
        <w:rPr>
          <w:lang w:val="fr-FR"/>
        </w:rPr>
        <w:t xml:space="preserve"> </w:t>
      </w:r>
      <w:r w:rsidRPr="007A718D">
        <w:rPr>
          <w:lang w:val="fr-FR"/>
        </w:rPr>
        <w:t>2), le Comité considère que ceux-ci constituent un abus du droit de présenter des observations et sont donc irrecevables au regard de l</w:t>
      </w:r>
      <w:r>
        <w:rPr>
          <w:lang w:val="fr-FR"/>
        </w:rPr>
        <w:t>’</w:t>
      </w:r>
      <w:r w:rsidRPr="007A718D">
        <w:rPr>
          <w:lang w:val="fr-FR"/>
        </w:rPr>
        <w:t>article 3 du Protocole facultatif</w:t>
      </w:r>
      <w:r w:rsidRPr="006473EF">
        <w:rPr>
          <w:lang w:val="fr-FR"/>
        </w:rPr>
        <w:t>.</w:t>
      </w:r>
    </w:p>
    <w:p w14:paraId="7604F0EA" w14:textId="77777777" w:rsidR="00571F5C" w:rsidRPr="0094597F" w:rsidRDefault="00571F5C" w:rsidP="00571F5C">
      <w:pPr>
        <w:pStyle w:val="SingleTxtG"/>
        <w:rPr>
          <w:bCs/>
          <w:iCs/>
          <w:lang w:val="x-none"/>
        </w:rPr>
      </w:pPr>
      <w:r w:rsidRPr="007A718D">
        <w:rPr>
          <w:lang w:val="fr-FR"/>
        </w:rPr>
        <w:t>8</w:t>
      </w:r>
      <w:r w:rsidRPr="006473EF">
        <w:rPr>
          <w:lang w:val="fr-FR"/>
        </w:rPr>
        <w:t>.</w:t>
      </w:r>
      <w:r w:rsidRPr="007A718D">
        <w:rPr>
          <w:lang w:val="fr-FR"/>
        </w:rPr>
        <w:t>5</w:t>
      </w:r>
      <w:r w:rsidRPr="007A718D">
        <w:rPr>
          <w:lang w:val="fr-FR"/>
        </w:rPr>
        <w:tab/>
        <w:t>Le Comité prend note de l</w:t>
      </w:r>
      <w:r>
        <w:rPr>
          <w:lang w:val="fr-FR"/>
        </w:rPr>
        <w:t>’</w:t>
      </w:r>
      <w:r w:rsidRPr="007A718D">
        <w:rPr>
          <w:lang w:val="fr-FR"/>
        </w:rPr>
        <w:t>argument de l</w:t>
      </w:r>
      <w:r>
        <w:rPr>
          <w:lang w:val="fr-FR"/>
        </w:rPr>
        <w:t>’</w:t>
      </w:r>
      <w:r w:rsidRPr="007A718D">
        <w:rPr>
          <w:lang w:val="fr-FR"/>
        </w:rPr>
        <w:t>État partie selon le grief que l</w:t>
      </w:r>
      <w:r>
        <w:rPr>
          <w:lang w:val="fr-FR"/>
        </w:rPr>
        <w:t>’</w:t>
      </w:r>
      <w:r w:rsidRPr="007A718D">
        <w:rPr>
          <w:lang w:val="fr-FR"/>
        </w:rPr>
        <w:t>auteur tire de l</w:t>
      </w:r>
      <w:r>
        <w:rPr>
          <w:lang w:val="fr-FR"/>
        </w:rPr>
        <w:t>’</w:t>
      </w:r>
      <w:r w:rsidRPr="007A718D">
        <w:rPr>
          <w:lang w:val="fr-FR"/>
        </w:rPr>
        <w:t>article 2 (par</w:t>
      </w:r>
      <w:r w:rsidRPr="006473EF">
        <w:rPr>
          <w:lang w:val="fr-FR"/>
        </w:rPr>
        <w:t>.</w:t>
      </w:r>
      <w:r w:rsidRPr="007A718D">
        <w:rPr>
          <w:lang w:val="fr-FR"/>
        </w:rPr>
        <w:t xml:space="preserve"> 2) du Pacte est irrecevable </w:t>
      </w:r>
      <w:r w:rsidRPr="007A718D">
        <w:rPr>
          <w:i/>
          <w:iCs/>
          <w:lang w:val="fr-FR"/>
        </w:rPr>
        <w:t>ratione materiae</w:t>
      </w:r>
      <w:r w:rsidRPr="006473EF">
        <w:rPr>
          <w:lang w:val="fr-FR"/>
        </w:rPr>
        <w:t>.</w:t>
      </w:r>
      <w:r w:rsidRPr="007A718D">
        <w:rPr>
          <w:lang w:val="fr-FR"/>
        </w:rPr>
        <w:t xml:space="preserve"> Il renvoie à sa jurisprudence, selon laquelle les dispositions de l</w:t>
      </w:r>
      <w:r>
        <w:rPr>
          <w:lang w:val="fr-FR"/>
        </w:rPr>
        <w:t>’</w:t>
      </w:r>
      <w:r w:rsidRPr="007A718D">
        <w:rPr>
          <w:lang w:val="fr-FR"/>
        </w:rPr>
        <w:t>article 2 du Pacte énoncent des obligations générales à la charge des États parties et ne peuvent être invoquées isolément dans une communication soumise en vertu du Protocole facultatif</w:t>
      </w:r>
      <w:r w:rsidRPr="00571F5C">
        <w:rPr>
          <w:rStyle w:val="Appelnotedebasdep"/>
        </w:rPr>
        <w:footnoteReference w:id="22"/>
      </w:r>
      <w:r w:rsidRPr="006473EF">
        <w:rPr>
          <w:lang w:val="fr-FR"/>
        </w:rPr>
        <w:t>.</w:t>
      </w:r>
      <w:r w:rsidRPr="007A718D">
        <w:rPr>
          <w:lang w:val="fr-FR"/>
        </w:rPr>
        <w:t xml:space="preserve"> Pour cette raison, dans la mesure où l</w:t>
      </w:r>
      <w:r>
        <w:rPr>
          <w:lang w:val="fr-FR"/>
        </w:rPr>
        <w:t>’</w:t>
      </w:r>
      <w:r w:rsidRPr="007A718D">
        <w:rPr>
          <w:lang w:val="fr-FR"/>
        </w:rPr>
        <w:t>auteur invoque l</w:t>
      </w:r>
      <w:r>
        <w:rPr>
          <w:lang w:val="fr-FR"/>
        </w:rPr>
        <w:t>’</w:t>
      </w:r>
      <w:r w:rsidRPr="007A718D">
        <w:rPr>
          <w:lang w:val="fr-FR"/>
        </w:rPr>
        <w:t>article 2 (par</w:t>
      </w:r>
      <w:r w:rsidRPr="006473EF">
        <w:rPr>
          <w:lang w:val="fr-FR"/>
        </w:rPr>
        <w:t>.</w:t>
      </w:r>
      <w:r w:rsidRPr="007A718D">
        <w:rPr>
          <w:lang w:val="fr-FR"/>
        </w:rPr>
        <w:t xml:space="preserve"> 2) du Pacte, lu seul, le Comité estime que ce grief est irrecevable </w:t>
      </w:r>
      <w:r w:rsidRPr="007A718D">
        <w:rPr>
          <w:i/>
          <w:iCs/>
          <w:lang w:val="fr-FR"/>
        </w:rPr>
        <w:t>ratione materiae</w:t>
      </w:r>
      <w:r w:rsidRPr="007A718D">
        <w:rPr>
          <w:lang w:val="fr-FR"/>
        </w:rPr>
        <w:t xml:space="preserve"> au regard de l</w:t>
      </w:r>
      <w:r>
        <w:rPr>
          <w:lang w:val="fr-FR"/>
        </w:rPr>
        <w:t>’</w:t>
      </w:r>
      <w:r w:rsidRPr="007A718D">
        <w:rPr>
          <w:lang w:val="fr-FR"/>
        </w:rPr>
        <w:t>article 3 du Protocole facultatif</w:t>
      </w:r>
      <w:r w:rsidRPr="006473EF">
        <w:rPr>
          <w:lang w:val="fr-FR"/>
        </w:rPr>
        <w:t>.</w:t>
      </w:r>
    </w:p>
    <w:p w14:paraId="369B2F87" w14:textId="77777777" w:rsidR="00571F5C" w:rsidRPr="007A718D" w:rsidRDefault="00571F5C" w:rsidP="00571F5C">
      <w:pPr>
        <w:pStyle w:val="SingleTxtG"/>
        <w:rPr>
          <w:lang w:val="x-none"/>
        </w:rPr>
      </w:pPr>
      <w:r w:rsidRPr="007A718D">
        <w:rPr>
          <w:lang w:val="fr-FR"/>
        </w:rPr>
        <w:t>8</w:t>
      </w:r>
      <w:r w:rsidRPr="006473EF">
        <w:rPr>
          <w:lang w:val="fr-FR"/>
        </w:rPr>
        <w:t>.</w:t>
      </w:r>
      <w:r w:rsidRPr="007A718D">
        <w:rPr>
          <w:lang w:val="fr-FR"/>
        </w:rPr>
        <w:t>6</w:t>
      </w:r>
      <w:r w:rsidRPr="007A718D">
        <w:rPr>
          <w:lang w:val="fr-FR"/>
        </w:rPr>
        <w:tab/>
        <w:t>En ce qui concerne l</w:t>
      </w:r>
      <w:r>
        <w:rPr>
          <w:lang w:val="fr-FR"/>
        </w:rPr>
        <w:t>’</w:t>
      </w:r>
      <w:r w:rsidRPr="007A718D">
        <w:rPr>
          <w:lang w:val="fr-FR"/>
        </w:rPr>
        <w:t>argument de l</w:t>
      </w:r>
      <w:r>
        <w:rPr>
          <w:lang w:val="fr-FR"/>
        </w:rPr>
        <w:t>’</w:t>
      </w:r>
      <w:r w:rsidRPr="007A718D">
        <w:rPr>
          <w:lang w:val="fr-FR"/>
        </w:rPr>
        <w:t>État partie selon lequel le grief que l</w:t>
      </w:r>
      <w:r>
        <w:rPr>
          <w:lang w:val="fr-FR"/>
        </w:rPr>
        <w:t>’</w:t>
      </w:r>
      <w:r w:rsidRPr="007A718D">
        <w:rPr>
          <w:lang w:val="fr-FR"/>
        </w:rPr>
        <w:t>auteur tire de l</w:t>
      </w:r>
      <w:r>
        <w:rPr>
          <w:lang w:val="fr-FR"/>
        </w:rPr>
        <w:t>’</w:t>
      </w:r>
      <w:r w:rsidRPr="007A718D">
        <w:rPr>
          <w:lang w:val="fr-FR"/>
        </w:rPr>
        <w:t>article 14 (par</w:t>
      </w:r>
      <w:r w:rsidRPr="006473EF">
        <w:rPr>
          <w:lang w:val="fr-FR"/>
        </w:rPr>
        <w:t>.</w:t>
      </w:r>
      <w:r w:rsidRPr="007A718D">
        <w:rPr>
          <w:lang w:val="fr-FR"/>
        </w:rPr>
        <w:t xml:space="preserve"> 2) du Pacte est irrecevable </w:t>
      </w:r>
      <w:r w:rsidRPr="007A718D">
        <w:rPr>
          <w:i/>
          <w:iCs/>
          <w:lang w:val="fr-FR"/>
        </w:rPr>
        <w:t>ratione materiae</w:t>
      </w:r>
      <w:r w:rsidRPr="007A718D">
        <w:rPr>
          <w:lang w:val="fr-FR"/>
        </w:rPr>
        <w:t>, le Comité fait observer que ladite disposition s</w:t>
      </w:r>
      <w:r>
        <w:rPr>
          <w:lang w:val="fr-FR"/>
        </w:rPr>
        <w:t>’</w:t>
      </w:r>
      <w:r w:rsidRPr="007A718D">
        <w:rPr>
          <w:lang w:val="fr-FR"/>
        </w:rPr>
        <w:t>applique aux personnes accusées d</w:t>
      </w:r>
      <w:r>
        <w:rPr>
          <w:lang w:val="fr-FR"/>
        </w:rPr>
        <w:t>’</w:t>
      </w:r>
      <w:r w:rsidRPr="007A718D">
        <w:rPr>
          <w:lang w:val="fr-FR"/>
        </w:rPr>
        <w:t>une infraction pénale</w:t>
      </w:r>
      <w:r w:rsidRPr="00571F5C">
        <w:rPr>
          <w:rStyle w:val="Appelnotedebasdep"/>
        </w:rPr>
        <w:footnoteReference w:id="23"/>
      </w:r>
      <w:r w:rsidRPr="006473EF">
        <w:rPr>
          <w:lang w:val="fr-FR"/>
        </w:rPr>
        <w:t>.</w:t>
      </w:r>
      <w:r w:rsidRPr="007A718D">
        <w:rPr>
          <w:lang w:val="fr-FR"/>
        </w:rPr>
        <w:t xml:space="preserve"> Il rappelle que la notion de mesures de nature pénale peut être étendue à des sanctions qui, indépendamment de leur qualification en droit interne, doivent être considérées comme pénales en raison de leur finalité, de leur caractère ou de leur sévérité</w:t>
      </w:r>
      <w:r w:rsidRPr="00571F5C">
        <w:rPr>
          <w:rStyle w:val="Appelnotedebasdep"/>
        </w:rPr>
        <w:footnoteReference w:id="24"/>
      </w:r>
      <w:r w:rsidRPr="006473EF">
        <w:rPr>
          <w:lang w:val="fr-FR"/>
        </w:rPr>
        <w:t>.</w:t>
      </w:r>
      <w:r w:rsidRPr="00A471AF">
        <w:rPr>
          <w:lang w:val="fr-FR"/>
        </w:rPr>
        <w:t xml:space="preserve"> En ce qui concerne l</w:t>
      </w:r>
      <w:r>
        <w:rPr>
          <w:lang w:val="fr-FR"/>
        </w:rPr>
        <w:t>’</w:t>
      </w:r>
      <w:r w:rsidRPr="00A471AF">
        <w:rPr>
          <w:lang w:val="fr-FR"/>
        </w:rPr>
        <w:t>ensemble des faits qui lui ont été présentés, il constate que l</w:t>
      </w:r>
      <w:r>
        <w:rPr>
          <w:lang w:val="fr-FR"/>
        </w:rPr>
        <w:t>’</w:t>
      </w:r>
      <w:r w:rsidRPr="00A471AF">
        <w:rPr>
          <w:lang w:val="fr-FR"/>
        </w:rPr>
        <w:t>auteur n</w:t>
      </w:r>
      <w:r>
        <w:rPr>
          <w:lang w:val="fr-FR"/>
        </w:rPr>
        <w:t>’</w:t>
      </w:r>
      <w:r w:rsidRPr="00A471AF">
        <w:rPr>
          <w:lang w:val="fr-FR"/>
        </w:rPr>
        <w:t xml:space="preserve">a jamais été accusé ou </w:t>
      </w:r>
      <w:r>
        <w:rPr>
          <w:lang w:val="fr-FR"/>
        </w:rPr>
        <w:t>déclaré</w:t>
      </w:r>
      <w:r w:rsidRPr="00A471AF">
        <w:rPr>
          <w:lang w:val="fr-FR"/>
        </w:rPr>
        <w:t xml:space="preserve"> coupable d</w:t>
      </w:r>
      <w:r>
        <w:rPr>
          <w:lang w:val="fr-FR"/>
        </w:rPr>
        <w:t>’</w:t>
      </w:r>
      <w:r w:rsidRPr="00A471AF">
        <w:rPr>
          <w:lang w:val="fr-FR"/>
        </w:rPr>
        <w:t>une infraction pénale ou autre</w:t>
      </w:r>
      <w:r w:rsidRPr="006473EF">
        <w:rPr>
          <w:lang w:val="fr-FR"/>
        </w:rPr>
        <w:t>.</w:t>
      </w:r>
      <w:r w:rsidRPr="00A471AF">
        <w:rPr>
          <w:lang w:val="fr-FR"/>
        </w:rPr>
        <w:t xml:space="preserve"> Il considère donc que le grief de l</w:t>
      </w:r>
      <w:r>
        <w:rPr>
          <w:lang w:val="fr-FR"/>
        </w:rPr>
        <w:t>’</w:t>
      </w:r>
      <w:r w:rsidRPr="00A471AF">
        <w:rPr>
          <w:lang w:val="fr-FR"/>
        </w:rPr>
        <w:t>auteur n</w:t>
      </w:r>
      <w:r>
        <w:rPr>
          <w:lang w:val="fr-FR"/>
        </w:rPr>
        <w:t>’</w:t>
      </w:r>
      <w:r w:rsidRPr="00A471AF">
        <w:rPr>
          <w:lang w:val="fr-FR"/>
        </w:rPr>
        <w:t>entre pas dans le champ de la protection conférée par l</w:t>
      </w:r>
      <w:r>
        <w:rPr>
          <w:lang w:val="fr-FR"/>
        </w:rPr>
        <w:t>’</w:t>
      </w:r>
      <w:r w:rsidRPr="00A471AF">
        <w:rPr>
          <w:lang w:val="fr-FR"/>
        </w:rPr>
        <w:t>article 14 (par</w:t>
      </w:r>
      <w:r w:rsidRPr="006473EF">
        <w:rPr>
          <w:lang w:val="fr-FR"/>
        </w:rPr>
        <w:t>.</w:t>
      </w:r>
      <w:r w:rsidRPr="00A471AF">
        <w:rPr>
          <w:lang w:val="fr-FR"/>
        </w:rPr>
        <w:t xml:space="preserve"> 2) du Pacte et conclut que les griefs que l</w:t>
      </w:r>
      <w:r>
        <w:rPr>
          <w:lang w:val="fr-FR"/>
        </w:rPr>
        <w:t>’</w:t>
      </w:r>
      <w:r w:rsidRPr="00A471AF">
        <w:rPr>
          <w:lang w:val="fr-FR"/>
        </w:rPr>
        <w:t>auteur tire de l</w:t>
      </w:r>
      <w:r>
        <w:rPr>
          <w:lang w:val="fr-FR"/>
        </w:rPr>
        <w:t>’</w:t>
      </w:r>
      <w:r w:rsidRPr="00A471AF">
        <w:rPr>
          <w:lang w:val="fr-FR"/>
        </w:rPr>
        <w:t>article 14 (par</w:t>
      </w:r>
      <w:r w:rsidRPr="006473EF">
        <w:rPr>
          <w:lang w:val="fr-FR"/>
        </w:rPr>
        <w:t>.</w:t>
      </w:r>
      <w:r w:rsidRPr="00A471AF">
        <w:rPr>
          <w:lang w:val="fr-FR"/>
        </w:rPr>
        <w:t xml:space="preserve"> 2), lu seul et conjointement</w:t>
      </w:r>
      <w:r w:rsidRPr="007A718D">
        <w:rPr>
          <w:lang w:val="fr-FR"/>
        </w:rPr>
        <w:t xml:space="preserve"> avec l</w:t>
      </w:r>
      <w:r>
        <w:rPr>
          <w:lang w:val="fr-FR"/>
        </w:rPr>
        <w:t>’</w:t>
      </w:r>
      <w:r w:rsidRPr="007A718D">
        <w:rPr>
          <w:lang w:val="fr-FR"/>
        </w:rPr>
        <w:t>article 2 (par</w:t>
      </w:r>
      <w:r w:rsidRPr="006473EF">
        <w:rPr>
          <w:lang w:val="fr-FR"/>
        </w:rPr>
        <w:t>.</w:t>
      </w:r>
      <w:r w:rsidRPr="007A718D">
        <w:rPr>
          <w:lang w:val="fr-FR"/>
        </w:rPr>
        <w:t xml:space="preserve"> 2), sont incompatibles </w:t>
      </w:r>
      <w:r w:rsidRPr="007A718D">
        <w:rPr>
          <w:i/>
          <w:iCs/>
          <w:lang w:val="fr-FR"/>
        </w:rPr>
        <w:t>ratione materiae</w:t>
      </w:r>
      <w:r w:rsidRPr="007A718D">
        <w:rPr>
          <w:lang w:val="fr-FR"/>
        </w:rPr>
        <w:t xml:space="preserve"> avec les dispositions du Pacte et sont donc irrecevables au regard de l</w:t>
      </w:r>
      <w:r>
        <w:rPr>
          <w:lang w:val="fr-FR"/>
        </w:rPr>
        <w:t>’</w:t>
      </w:r>
      <w:r w:rsidRPr="007A718D">
        <w:rPr>
          <w:lang w:val="fr-FR"/>
        </w:rPr>
        <w:t>article 3 du Protocole facultatif</w:t>
      </w:r>
      <w:r w:rsidRPr="006473EF">
        <w:rPr>
          <w:lang w:val="fr-FR"/>
        </w:rPr>
        <w:t>.</w:t>
      </w:r>
    </w:p>
    <w:p w14:paraId="7A7B24E2" w14:textId="77777777" w:rsidR="00571F5C" w:rsidRPr="007A718D" w:rsidRDefault="00571F5C" w:rsidP="00571F5C">
      <w:pPr>
        <w:pStyle w:val="SingleTxtG"/>
        <w:rPr>
          <w:bCs/>
          <w:iCs/>
          <w:lang w:val="x-none"/>
        </w:rPr>
      </w:pPr>
      <w:r w:rsidRPr="007A718D">
        <w:rPr>
          <w:lang w:val="fr-FR"/>
        </w:rPr>
        <w:t>8</w:t>
      </w:r>
      <w:r w:rsidRPr="006473EF">
        <w:rPr>
          <w:lang w:val="fr-FR"/>
        </w:rPr>
        <w:t>.</w:t>
      </w:r>
      <w:r w:rsidRPr="007A718D">
        <w:rPr>
          <w:lang w:val="fr-FR"/>
        </w:rPr>
        <w:t>7</w:t>
      </w:r>
      <w:r w:rsidRPr="007A718D">
        <w:rPr>
          <w:lang w:val="fr-FR"/>
        </w:rPr>
        <w:tab/>
        <w:t>Le Comité prend note de l</w:t>
      </w:r>
      <w:r>
        <w:rPr>
          <w:lang w:val="fr-FR"/>
        </w:rPr>
        <w:t>’</w:t>
      </w:r>
      <w:r w:rsidRPr="007A718D">
        <w:rPr>
          <w:lang w:val="fr-FR"/>
        </w:rPr>
        <w:t>argument de l</w:t>
      </w:r>
      <w:r>
        <w:rPr>
          <w:lang w:val="fr-FR"/>
        </w:rPr>
        <w:t>’</w:t>
      </w:r>
      <w:r w:rsidRPr="007A718D">
        <w:rPr>
          <w:lang w:val="fr-FR"/>
        </w:rPr>
        <w:t>auteur selon lequel la restriction de déplacement qui lui a été imposée constitue une violation du droit à la liberté de circulation que lui reconna</w:t>
      </w:r>
      <w:r>
        <w:rPr>
          <w:lang w:val="fr-FR"/>
        </w:rPr>
        <w:t>î</w:t>
      </w:r>
      <w:r w:rsidRPr="007A718D">
        <w:rPr>
          <w:lang w:val="fr-FR"/>
        </w:rPr>
        <w:t>t l</w:t>
      </w:r>
      <w:r>
        <w:rPr>
          <w:lang w:val="fr-FR"/>
        </w:rPr>
        <w:t>’</w:t>
      </w:r>
      <w:r w:rsidRPr="007A718D">
        <w:rPr>
          <w:lang w:val="fr-FR"/>
        </w:rPr>
        <w:t>article 12 du Pacte, parce qu</w:t>
      </w:r>
      <w:r>
        <w:rPr>
          <w:lang w:val="fr-FR"/>
        </w:rPr>
        <w:t>’</w:t>
      </w:r>
      <w:r w:rsidRPr="007A718D">
        <w:rPr>
          <w:lang w:val="fr-FR"/>
        </w:rPr>
        <w:t>elle l</w:t>
      </w:r>
      <w:r>
        <w:rPr>
          <w:lang w:val="fr-FR"/>
        </w:rPr>
        <w:t>’</w:t>
      </w:r>
      <w:r w:rsidRPr="007A718D">
        <w:rPr>
          <w:lang w:val="fr-FR"/>
        </w:rPr>
        <w:t>a empêché de poursuivre ses études au Danemark et l</w:t>
      </w:r>
      <w:r>
        <w:rPr>
          <w:lang w:val="fr-FR"/>
        </w:rPr>
        <w:t>’</w:t>
      </w:r>
      <w:r w:rsidRPr="007A718D">
        <w:rPr>
          <w:lang w:val="fr-FR"/>
        </w:rPr>
        <w:t>a obligé à se présenter à la police deux fois par semaine pendant quatre mois</w:t>
      </w:r>
      <w:r w:rsidRPr="006473EF">
        <w:rPr>
          <w:lang w:val="fr-FR"/>
        </w:rPr>
        <w:t>.</w:t>
      </w:r>
      <w:r w:rsidRPr="007A718D">
        <w:rPr>
          <w:lang w:val="fr-FR"/>
        </w:rPr>
        <w:t xml:space="preserve"> </w:t>
      </w:r>
      <w:r w:rsidRPr="007A718D">
        <w:rPr>
          <w:lang w:val="fr-FR"/>
        </w:rPr>
        <w:lastRenderedPageBreak/>
        <w:t>Il prend aussi note de l</w:t>
      </w:r>
      <w:r>
        <w:rPr>
          <w:lang w:val="fr-FR"/>
        </w:rPr>
        <w:t>’</w:t>
      </w:r>
      <w:r w:rsidRPr="007A718D">
        <w:rPr>
          <w:lang w:val="fr-FR"/>
        </w:rPr>
        <w:t>affirmation de l</w:t>
      </w:r>
      <w:r>
        <w:rPr>
          <w:lang w:val="fr-FR"/>
        </w:rPr>
        <w:t>’</w:t>
      </w:r>
      <w:r w:rsidRPr="007A718D">
        <w:rPr>
          <w:lang w:val="fr-FR"/>
        </w:rPr>
        <w:t>auteur selon laquelle il n</w:t>
      </w:r>
      <w:r>
        <w:rPr>
          <w:lang w:val="fr-FR"/>
        </w:rPr>
        <w:t>’</w:t>
      </w:r>
      <w:r w:rsidRPr="007A718D">
        <w:rPr>
          <w:lang w:val="fr-FR"/>
        </w:rPr>
        <w:t>a pas eu accès à un recours utile, en violation de l</w:t>
      </w:r>
      <w:r>
        <w:rPr>
          <w:lang w:val="fr-FR"/>
        </w:rPr>
        <w:t>’</w:t>
      </w:r>
      <w:r w:rsidRPr="007A718D">
        <w:rPr>
          <w:lang w:val="fr-FR"/>
        </w:rPr>
        <w:t>article 2 (par</w:t>
      </w:r>
      <w:r w:rsidRPr="006473EF">
        <w:rPr>
          <w:lang w:val="fr-FR"/>
        </w:rPr>
        <w:t>.</w:t>
      </w:r>
      <w:r w:rsidRPr="007A718D">
        <w:rPr>
          <w:lang w:val="fr-FR"/>
        </w:rPr>
        <w:t xml:space="preserve"> 2)</w:t>
      </w:r>
      <w:r>
        <w:rPr>
          <w:lang w:val="fr-FR"/>
        </w:rPr>
        <w:t xml:space="preserve"> du Pacte</w:t>
      </w:r>
      <w:r w:rsidRPr="007A718D">
        <w:rPr>
          <w:lang w:val="fr-FR"/>
        </w:rPr>
        <w:t>, lu conjointement avec l</w:t>
      </w:r>
      <w:r>
        <w:rPr>
          <w:lang w:val="fr-FR"/>
        </w:rPr>
        <w:t>’</w:t>
      </w:r>
      <w:r w:rsidRPr="007A718D">
        <w:rPr>
          <w:lang w:val="fr-FR"/>
        </w:rPr>
        <w:t>article 12</w:t>
      </w:r>
      <w:r>
        <w:rPr>
          <w:lang w:val="fr-FR"/>
        </w:rPr>
        <w:t xml:space="preserve"> (voir note 7 ci-dessus)</w:t>
      </w:r>
      <w:r w:rsidRPr="006473EF">
        <w:rPr>
          <w:lang w:val="fr-FR"/>
        </w:rPr>
        <w:t>.</w:t>
      </w:r>
      <w:r w:rsidRPr="007A718D">
        <w:rPr>
          <w:lang w:val="fr-FR"/>
        </w:rPr>
        <w:t xml:space="preserve"> Il note que l</w:t>
      </w:r>
      <w:r>
        <w:rPr>
          <w:lang w:val="fr-FR"/>
        </w:rPr>
        <w:t>’</w:t>
      </w:r>
      <w:r w:rsidRPr="007A718D">
        <w:rPr>
          <w:lang w:val="fr-FR"/>
        </w:rPr>
        <w:t>État partie affirme que ces griefs ne sont pas fondés et sont donc irrecevables</w:t>
      </w:r>
      <w:r w:rsidRPr="006473EF">
        <w:rPr>
          <w:lang w:val="fr-FR"/>
        </w:rPr>
        <w:t>.</w:t>
      </w:r>
      <w:r w:rsidRPr="007A718D">
        <w:rPr>
          <w:lang w:val="fr-FR"/>
        </w:rPr>
        <w:t xml:space="preserve"> Il rappelle que les droits énoncés à l</w:t>
      </w:r>
      <w:r>
        <w:rPr>
          <w:lang w:val="fr-FR"/>
        </w:rPr>
        <w:t>’</w:t>
      </w:r>
      <w:r w:rsidRPr="007A718D">
        <w:rPr>
          <w:lang w:val="fr-FR"/>
        </w:rPr>
        <w:t>article 12 du Pacte ne sont pas absolus</w:t>
      </w:r>
      <w:r w:rsidRPr="00571F5C">
        <w:rPr>
          <w:rStyle w:val="Appelnotedebasdep"/>
        </w:rPr>
        <w:footnoteReference w:id="25"/>
      </w:r>
      <w:r w:rsidRPr="007A718D">
        <w:rPr>
          <w:lang w:val="fr-FR"/>
        </w:rPr>
        <w:t xml:space="preserve"> et que l</w:t>
      </w:r>
      <w:r>
        <w:rPr>
          <w:lang w:val="fr-FR"/>
        </w:rPr>
        <w:t>’</w:t>
      </w:r>
      <w:r w:rsidRPr="007A718D">
        <w:rPr>
          <w:lang w:val="fr-FR"/>
        </w:rPr>
        <w:t>existence de procédures judiciaires en cours peut justifier de restreindre le droit d</w:t>
      </w:r>
      <w:r>
        <w:rPr>
          <w:lang w:val="fr-FR"/>
        </w:rPr>
        <w:t>’</w:t>
      </w:r>
      <w:r w:rsidRPr="007A718D">
        <w:rPr>
          <w:lang w:val="fr-FR"/>
        </w:rPr>
        <w:t>un individu de quitter son pays</w:t>
      </w:r>
      <w:r w:rsidRPr="00571F5C">
        <w:rPr>
          <w:rStyle w:val="Appelnotedebasdep"/>
        </w:rPr>
        <w:footnoteReference w:id="26"/>
      </w:r>
      <w:r w:rsidRPr="006473EF">
        <w:rPr>
          <w:lang w:val="fr-FR"/>
        </w:rPr>
        <w:t>.</w:t>
      </w:r>
      <w:r w:rsidRPr="007A718D">
        <w:rPr>
          <w:lang w:val="fr-FR"/>
        </w:rPr>
        <w:t xml:space="preserve"> L</w:t>
      </w:r>
      <w:r>
        <w:rPr>
          <w:lang w:val="fr-FR"/>
        </w:rPr>
        <w:t>’</w:t>
      </w:r>
      <w:r w:rsidRPr="007A718D">
        <w:rPr>
          <w:lang w:val="fr-FR"/>
        </w:rPr>
        <w:t>article 12 (par</w:t>
      </w:r>
      <w:r w:rsidRPr="006473EF">
        <w:rPr>
          <w:lang w:val="fr-FR"/>
        </w:rPr>
        <w:t>.</w:t>
      </w:r>
      <w:r w:rsidRPr="007A718D">
        <w:rPr>
          <w:lang w:val="fr-FR"/>
        </w:rPr>
        <w:t xml:space="preserve"> 3) du Pacte autorise certaines restrictions lorsque celles-ci sont prévues par la loi, nécessaires pour protéger la sécurité nationale, l</w:t>
      </w:r>
      <w:r>
        <w:rPr>
          <w:lang w:val="fr-FR"/>
        </w:rPr>
        <w:t>’</w:t>
      </w:r>
      <w:r w:rsidRPr="007A718D">
        <w:rPr>
          <w:lang w:val="fr-FR"/>
        </w:rPr>
        <w:t>ordre public, la santé ou la moralité publiques, ou les droits et libertés d</w:t>
      </w:r>
      <w:r>
        <w:rPr>
          <w:lang w:val="fr-FR"/>
        </w:rPr>
        <w:t>’</w:t>
      </w:r>
      <w:r w:rsidRPr="007A718D">
        <w:rPr>
          <w:lang w:val="fr-FR"/>
        </w:rPr>
        <w:t>autrui, et compatibles avec les autres droits reconnus par le Pacte</w:t>
      </w:r>
      <w:r w:rsidRPr="006473EF">
        <w:rPr>
          <w:lang w:val="fr-FR"/>
        </w:rPr>
        <w:t>.</w:t>
      </w:r>
      <w:r w:rsidRPr="007A718D">
        <w:rPr>
          <w:lang w:val="fr-FR"/>
        </w:rPr>
        <w:t xml:space="preserve"> </w:t>
      </w:r>
      <w:r w:rsidRPr="0043601E">
        <w:rPr>
          <w:lang w:val="fr-FR"/>
        </w:rPr>
        <w:t>Le Comité prend note de l</w:t>
      </w:r>
      <w:r>
        <w:rPr>
          <w:lang w:val="fr-FR"/>
        </w:rPr>
        <w:t>’</w:t>
      </w:r>
      <w:r w:rsidRPr="0043601E">
        <w:rPr>
          <w:lang w:val="fr-FR"/>
        </w:rPr>
        <w:t>argument de l</w:t>
      </w:r>
      <w:r>
        <w:rPr>
          <w:lang w:val="fr-FR"/>
        </w:rPr>
        <w:t>’</w:t>
      </w:r>
      <w:r w:rsidRPr="0043601E">
        <w:rPr>
          <w:lang w:val="fr-FR"/>
        </w:rPr>
        <w:t xml:space="preserve">État partie selon lequel les mesures </w:t>
      </w:r>
      <w:r>
        <w:rPr>
          <w:lang w:val="fr-FR"/>
        </w:rPr>
        <w:t xml:space="preserve">de </w:t>
      </w:r>
      <w:r w:rsidRPr="0043601E">
        <w:rPr>
          <w:lang w:val="fr-FR"/>
        </w:rPr>
        <w:t>restricti</w:t>
      </w:r>
      <w:r>
        <w:rPr>
          <w:lang w:val="fr-FR"/>
        </w:rPr>
        <w:t>on des déplacements</w:t>
      </w:r>
      <w:r w:rsidRPr="0043601E">
        <w:rPr>
          <w:lang w:val="fr-FR"/>
        </w:rPr>
        <w:t xml:space="preserve"> ont été imposées dans le cadre d</w:t>
      </w:r>
      <w:r>
        <w:rPr>
          <w:lang w:val="fr-FR"/>
        </w:rPr>
        <w:t>’</w:t>
      </w:r>
      <w:r w:rsidRPr="0043601E">
        <w:rPr>
          <w:lang w:val="fr-FR"/>
        </w:rPr>
        <w:t>une procédure pénale contre l</w:t>
      </w:r>
      <w:r>
        <w:rPr>
          <w:lang w:val="fr-FR"/>
        </w:rPr>
        <w:t>’</w:t>
      </w:r>
      <w:r w:rsidRPr="0043601E">
        <w:rPr>
          <w:lang w:val="fr-FR"/>
        </w:rPr>
        <w:t>auteur et étaient de ce fait légales au regard du Code de procédure pénale, servaient le but légitime de protéger l</w:t>
      </w:r>
      <w:r>
        <w:rPr>
          <w:lang w:val="fr-FR"/>
        </w:rPr>
        <w:t>’</w:t>
      </w:r>
      <w:r w:rsidRPr="0043601E">
        <w:rPr>
          <w:lang w:val="fr-FR"/>
        </w:rPr>
        <w:t>ordre public et les droits et libertés d</w:t>
      </w:r>
      <w:r>
        <w:rPr>
          <w:lang w:val="fr-FR"/>
        </w:rPr>
        <w:t>’</w:t>
      </w:r>
      <w:r w:rsidRPr="0043601E">
        <w:rPr>
          <w:lang w:val="fr-FR"/>
        </w:rPr>
        <w:t>autrui en faisant en sorte que l</w:t>
      </w:r>
      <w:r>
        <w:rPr>
          <w:lang w:val="fr-FR"/>
        </w:rPr>
        <w:t>’</w:t>
      </w:r>
      <w:r w:rsidRPr="0043601E">
        <w:rPr>
          <w:lang w:val="fr-FR"/>
        </w:rPr>
        <w:t>auteur soit disponible pour l</w:t>
      </w:r>
      <w:r>
        <w:rPr>
          <w:lang w:val="fr-FR"/>
        </w:rPr>
        <w:t>’</w:t>
      </w:r>
      <w:r w:rsidRPr="0043601E">
        <w:rPr>
          <w:lang w:val="fr-FR"/>
        </w:rPr>
        <w:t>enquête préliminaire, et étaient proportionnées.</w:t>
      </w:r>
      <w:r>
        <w:rPr>
          <w:lang w:val="fr-FR"/>
        </w:rPr>
        <w:t xml:space="preserve"> Il </w:t>
      </w:r>
      <w:r w:rsidRPr="007A718D">
        <w:rPr>
          <w:lang w:val="fr-FR"/>
        </w:rPr>
        <w:t xml:space="preserve">constate </w:t>
      </w:r>
      <w:r>
        <w:rPr>
          <w:lang w:val="fr-FR"/>
        </w:rPr>
        <w:t xml:space="preserve">par ailleurs </w:t>
      </w:r>
      <w:r w:rsidRPr="007A718D">
        <w:rPr>
          <w:lang w:val="fr-FR"/>
        </w:rPr>
        <w:t>que l</w:t>
      </w:r>
      <w:r>
        <w:rPr>
          <w:lang w:val="fr-FR"/>
        </w:rPr>
        <w:t>’</w:t>
      </w:r>
      <w:r w:rsidRPr="007A718D">
        <w:rPr>
          <w:lang w:val="fr-FR"/>
        </w:rPr>
        <w:t>auteur n</w:t>
      </w:r>
      <w:r>
        <w:rPr>
          <w:lang w:val="fr-FR"/>
        </w:rPr>
        <w:t>’</w:t>
      </w:r>
      <w:r w:rsidRPr="007A718D">
        <w:rPr>
          <w:lang w:val="fr-FR"/>
        </w:rPr>
        <w:t>a pas tenté d</w:t>
      </w:r>
      <w:r>
        <w:rPr>
          <w:lang w:val="fr-FR"/>
        </w:rPr>
        <w:t>’</w:t>
      </w:r>
      <w:r w:rsidRPr="007A718D">
        <w:rPr>
          <w:lang w:val="fr-FR"/>
        </w:rPr>
        <w:t>expliquer pourquoi il estime que les critères énoncés à l</w:t>
      </w:r>
      <w:r>
        <w:rPr>
          <w:lang w:val="fr-FR"/>
        </w:rPr>
        <w:t>’</w:t>
      </w:r>
      <w:r w:rsidRPr="007A718D">
        <w:rPr>
          <w:lang w:val="fr-FR"/>
        </w:rPr>
        <w:t>article</w:t>
      </w:r>
      <w:r>
        <w:rPr>
          <w:lang w:val="fr-FR"/>
        </w:rPr>
        <w:t> </w:t>
      </w:r>
      <w:r w:rsidRPr="007A718D">
        <w:rPr>
          <w:lang w:val="fr-FR"/>
        </w:rPr>
        <w:t>12 (par</w:t>
      </w:r>
      <w:r w:rsidRPr="006473EF">
        <w:rPr>
          <w:lang w:val="fr-FR"/>
        </w:rPr>
        <w:t>.</w:t>
      </w:r>
      <w:r w:rsidRPr="007A718D">
        <w:rPr>
          <w:lang w:val="fr-FR"/>
        </w:rPr>
        <w:t xml:space="preserve"> 3) du Pacte ne s</w:t>
      </w:r>
      <w:r>
        <w:rPr>
          <w:lang w:val="fr-FR"/>
        </w:rPr>
        <w:t>’</w:t>
      </w:r>
      <w:r w:rsidRPr="007A718D">
        <w:rPr>
          <w:lang w:val="fr-FR"/>
        </w:rPr>
        <w:t>appliquent pas à son cas, n</w:t>
      </w:r>
      <w:r>
        <w:rPr>
          <w:lang w:val="fr-FR"/>
        </w:rPr>
        <w:t>’</w:t>
      </w:r>
      <w:r w:rsidRPr="007A718D">
        <w:rPr>
          <w:lang w:val="fr-FR"/>
        </w:rPr>
        <w:t>a pas répondu à l</w:t>
      </w:r>
      <w:r>
        <w:rPr>
          <w:lang w:val="fr-FR"/>
        </w:rPr>
        <w:t>’</w:t>
      </w:r>
      <w:r w:rsidRPr="007A718D">
        <w:rPr>
          <w:lang w:val="fr-FR"/>
        </w:rPr>
        <w:t>affirmation de l</w:t>
      </w:r>
      <w:r>
        <w:rPr>
          <w:lang w:val="fr-FR"/>
        </w:rPr>
        <w:t>’</w:t>
      </w:r>
      <w:r w:rsidRPr="007A718D">
        <w:rPr>
          <w:lang w:val="fr-FR"/>
        </w:rPr>
        <w:t>État partie selon laquelle il avait adressé au prêtre des menaces écrites, notamment des menaces de coups et blessures imminents</w:t>
      </w:r>
      <w:r w:rsidRPr="00A471AF">
        <w:rPr>
          <w:lang w:val="fr-FR"/>
        </w:rPr>
        <w:t xml:space="preserve"> </w:t>
      </w:r>
      <w:r w:rsidRPr="007A718D">
        <w:rPr>
          <w:lang w:val="fr-FR"/>
        </w:rPr>
        <w:t>et graves, et lui avait demandé une somme importante en échange de laquelle il s</w:t>
      </w:r>
      <w:r>
        <w:rPr>
          <w:lang w:val="fr-FR"/>
        </w:rPr>
        <w:t>’</w:t>
      </w:r>
      <w:r w:rsidRPr="007A718D">
        <w:rPr>
          <w:lang w:val="fr-FR"/>
        </w:rPr>
        <w:t>engageait à ne pas l</w:t>
      </w:r>
      <w:r>
        <w:rPr>
          <w:lang w:val="fr-FR"/>
        </w:rPr>
        <w:t>’</w:t>
      </w:r>
      <w:r w:rsidRPr="007A718D">
        <w:rPr>
          <w:lang w:val="fr-FR"/>
        </w:rPr>
        <w:t xml:space="preserve">accuser devant les médias </w:t>
      </w:r>
      <w:r>
        <w:rPr>
          <w:lang w:val="fr-FR"/>
        </w:rPr>
        <w:t>−</w:t>
      </w:r>
      <w:r w:rsidRPr="007A718D">
        <w:rPr>
          <w:lang w:val="fr-FR"/>
        </w:rPr>
        <w:t xml:space="preserve"> raisons pour lesquelles il avait été soupçonné de deux infractions graves emportant une peine d</w:t>
      </w:r>
      <w:r>
        <w:rPr>
          <w:lang w:val="fr-FR"/>
        </w:rPr>
        <w:t>’</w:t>
      </w:r>
      <w:r w:rsidRPr="007A718D">
        <w:rPr>
          <w:lang w:val="fr-FR"/>
        </w:rPr>
        <w:t>emprisonnement</w:t>
      </w:r>
      <w:r>
        <w:rPr>
          <w:lang w:val="fr-FR"/>
        </w:rPr>
        <w:t xml:space="preserve"> −</w:t>
      </w:r>
      <w:r w:rsidRPr="007A718D">
        <w:rPr>
          <w:lang w:val="fr-FR"/>
        </w:rPr>
        <w:t xml:space="preserve"> et n</w:t>
      </w:r>
      <w:r>
        <w:rPr>
          <w:lang w:val="fr-FR"/>
        </w:rPr>
        <w:t>’</w:t>
      </w:r>
      <w:r w:rsidRPr="007A718D">
        <w:rPr>
          <w:lang w:val="fr-FR"/>
        </w:rPr>
        <w:t xml:space="preserve">a avancé aucun argument précis pour démontrer que la </w:t>
      </w:r>
      <w:r>
        <w:rPr>
          <w:lang w:val="fr-FR"/>
        </w:rPr>
        <w:t xml:space="preserve">mesure de </w:t>
      </w:r>
      <w:r w:rsidRPr="007A718D">
        <w:rPr>
          <w:lang w:val="fr-FR"/>
        </w:rPr>
        <w:t xml:space="preserve">restriction de </w:t>
      </w:r>
      <w:r>
        <w:rPr>
          <w:lang w:val="fr-FR"/>
        </w:rPr>
        <w:t xml:space="preserve">ses </w:t>
      </w:r>
      <w:r w:rsidRPr="007A718D">
        <w:rPr>
          <w:lang w:val="fr-FR"/>
        </w:rPr>
        <w:t>déplacement</w:t>
      </w:r>
      <w:r>
        <w:rPr>
          <w:lang w:val="fr-FR"/>
        </w:rPr>
        <w:t>s</w:t>
      </w:r>
      <w:r w:rsidRPr="007A718D">
        <w:rPr>
          <w:lang w:val="fr-FR"/>
        </w:rPr>
        <w:t xml:space="preserve"> et l</w:t>
      </w:r>
      <w:r>
        <w:rPr>
          <w:lang w:val="fr-FR"/>
        </w:rPr>
        <w:t>’</w:t>
      </w:r>
      <w:r w:rsidRPr="007A718D">
        <w:rPr>
          <w:lang w:val="fr-FR"/>
        </w:rPr>
        <w:t>obligation de se présenter devant les autorités étaient illégales, inutiles ou disproportionnées dans les circonstances de l</w:t>
      </w:r>
      <w:r>
        <w:rPr>
          <w:lang w:val="fr-FR"/>
        </w:rPr>
        <w:t>’</w:t>
      </w:r>
      <w:r w:rsidRPr="007A718D">
        <w:rPr>
          <w:lang w:val="fr-FR"/>
        </w:rPr>
        <w:t>espèce</w:t>
      </w:r>
      <w:r w:rsidRPr="006473EF">
        <w:rPr>
          <w:lang w:val="fr-FR"/>
        </w:rPr>
        <w:t>.</w:t>
      </w:r>
      <w:r w:rsidRPr="007A718D">
        <w:rPr>
          <w:lang w:val="fr-FR"/>
        </w:rPr>
        <w:t xml:space="preserve"> En outre, le Comité rappelle qu</w:t>
      </w:r>
      <w:r>
        <w:rPr>
          <w:lang w:val="fr-FR"/>
        </w:rPr>
        <w:t>’</w:t>
      </w:r>
      <w:r w:rsidRPr="007A718D">
        <w:rPr>
          <w:lang w:val="fr-FR"/>
        </w:rPr>
        <w:t>à la demande de l</w:t>
      </w:r>
      <w:r>
        <w:rPr>
          <w:lang w:val="fr-FR"/>
        </w:rPr>
        <w:t>’</w:t>
      </w:r>
      <w:r w:rsidRPr="007A718D">
        <w:rPr>
          <w:lang w:val="fr-FR"/>
        </w:rPr>
        <w:t xml:space="preserve">auteur, les autorités ont levé la </w:t>
      </w:r>
      <w:r>
        <w:rPr>
          <w:lang w:val="fr-FR"/>
        </w:rPr>
        <w:t xml:space="preserve">mesure de </w:t>
      </w:r>
      <w:r w:rsidRPr="007A718D">
        <w:rPr>
          <w:lang w:val="fr-FR"/>
        </w:rPr>
        <w:t xml:space="preserve">restriction de </w:t>
      </w:r>
      <w:r>
        <w:rPr>
          <w:lang w:val="fr-FR"/>
        </w:rPr>
        <w:t xml:space="preserve">ses </w:t>
      </w:r>
      <w:r w:rsidRPr="007A718D">
        <w:rPr>
          <w:lang w:val="fr-FR"/>
        </w:rPr>
        <w:t>déplacement</w:t>
      </w:r>
      <w:r>
        <w:rPr>
          <w:lang w:val="fr-FR"/>
        </w:rPr>
        <w:t>s</w:t>
      </w:r>
      <w:r w:rsidRPr="007A718D">
        <w:rPr>
          <w:lang w:val="fr-FR"/>
        </w:rPr>
        <w:t xml:space="preserve"> et remplacé celle-ci par une mesure de cautionnement, peu après que l</w:t>
      </w:r>
      <w:r>
        <w:rPr>
          <w:lang w:val="fr-FR"/>
        </w:rPr>
        <w:t>’</w:t>
      </w:r>
      <w:r w:rsidRPr="007A718D">
        <w:rPr>
          <w:lang w:val="fr-FR"/>
        </w:rPr>
        <w:t>auteur eut fourni les documents qui lui avaient été demandés</w:t>
      </w:r>
      <w:r w:rsidRPr="006473EF">
        <w:rPr>
          <w:lang w:val="fr-FR"/>
        </w:rPr>
        <w:t>.</w:t>
      </w:r>
      <w:r w:rsidRPr="007A718D">
        <w:rPr>
          <w:lang w:val="fr-FR"/>
        </w:rPr>
        <w:t xml:space="preserve"> En conséquence, le Comité considère que l</w:t>
      </w:r>
      <w:r>
        <w:rPr>
          <w:lang w:val="fr-FR"/>
        </w:rPr>
        <w:t>’</w:t>
      </w:r>
      <w:r w:rsidRPr="007A718D">
        <w:rPr>
          <w:lang w:val="fr-FR"/>
        </w:rPr>
        <w:t>auteur n</w:t>
      </w:r>
      <w:r>
        <w:rPr>
          <w:lang w:val="fr-FR"/>
        </w:rPr>
        <w:t>’</w:t>
      </w:r>
      <w:r w:rsidRPr="007A718D">
        <w:rPr>
          <w:lang w:val="fr-FR"/>
        </w:rPr>
        <w:t>a pas suffisamment étayé ses arguments concernant la violation de l</w:t>
      </w:r>
      <w:r>
        <w:rPr>
          <w:lang w:val="fr-FR"/>
        </w:rPr>
        <w:t>’</w:t>
      </w:r>
      <w:r w:rsidRPr="007A718D">
        <w:rPr>
          <w:lang w:val="fr-FR"/>
        </w:rPr>
        <w:t>article 12</w:t>
      </w:r>
      <w:r>
        <w:rPr>
          <w:lang w:val="fr-FR"/>
        </w:rPr>
        <w:t xml:space="preserve"> du Pacte</w:t>
      </w:r>
      <w:r w:rsidRPr="007A718D">
        <w:rPr>
          <w:lang w:val="fr-FR"/>
        </w:rPr>
        <w:t>, lu seul et conjointement avec l</w:t>
      </w:r>
      <w:r>
        <w:rPr>
          <w:lang w:val="fr-FR"/>
        </w:rPr>
        <w:t>’</w:t>
      </w:r>
      <w:r w:rsidRPr="007A718D">
        <w:rPr>
          <w:lang w:val="fr-FR"/>
        </w:rPr>
        <w:t>article 2 (par</w:t>
      </w:r>
      <w:r w:rsidRPr="006473EF">
        <w:rPr>
          <w:lang w:val="fr-FR"/>
        </w:rPr>
        <w:t>.</w:t>
      </w:r>
      <w:r w:rsidRPr="007A718D">
        <w:rPr>
          <w:lang w:val="fr-FR"/>
        </w:rPr>
        <w:t xml:space="preserve"> 2), qu</w:t>
      </w:r>
      <w:r>
        <w:rPr>
          <w:lang w:val="fr-FR"/>
        </w:rPr>
        <w:t>’</w:t>
      </w:r>
      <w:r w:rsidRPr="007A718D">
        <w:rPr>
          <w:lang w:val="fr-FR"/>
        </w:rPr>
        <w:t>aurait commise l</w:t>
      </w:r>
      <w:r>
        <w:rPr>
          <w:lang w:val="fr-FR"/>
        </w:rPr>
        <w:t>’</w:t>
      </w:r>
      <w:r w:rsidRPr="007A718D">
        <w:rPr>
          <w:lang w:val="fr-FR"/>
        </w:rPr>
        <w:t xml:space="preserve">État partie en lui imposant la </w:t>
      </w:r>
      <w:r>
        <w:rPr>
          <w:lang w:val="fr-FR"/>
        </w:rPr>
        <w:t xml:space="preserve">mesure de </w:t>
      </w:r>
      <w:r w:rsidRPr="007A718D">
        <w:rPr>
          <w:lang w:val="fr-FR"/>
        </w:rPr>
        <w:t xml:space="preserve">restriction de </w:t>
      </w:r>
      <w:r>
        <w:rPr>
          <w:lang w:val="fr-FR"/>
        </w:rPr>
        <w:t xml:space="preserve">ses </w:t>
      </w:r>
      <w:r w:rsidRPr="007A718D">
        <w:rPr>
          <w:lang w:val="fr-FR"/>
        </w:rPr>
        <w:t>déplacement</w:t>
      </w:r>
      <w:r>
        <w:rPr>
          <w:lang w:val="fr-FR"/>
        </w:rPr>
        <w:t>s</w:t>
      </w:r>
      <w:r w:rsidRPr="007A718D">
        <w:rPr>
          <w:lang w:val="fr-FR"/>
        </w:rPr>
        <w:t xml:space="preserve"> et l</w:t>
      </w:r>
      <w:r>
        <w:rPr>
          <w:lang w:val="fr-FR"/>
        </w:rPr>
        <w:t>’</w:t>
      </w:r>
      <w:r w:rsidRPr="007A718D">
        <w:rPr>
          <w:lang w:val="fr-FR"/>
        </w:rPr>
        <w:t>obligation de se présenter devant les autorités, et conclut donc que ces griefs sont irrecevables au regard de l</w:t>
      </w:r>
      <w:r>
        <w:rPr>
          <w:lang w:val="fr-FR"/>
        </w:rPr>
        <w:t>’</w:t>
      </w:r>
      <w:r w:rsidRPr="007A718D">
        <w:rPr>
          <w:lang w:val="fr-FR"/>
        </w:rPr>
        <w:t>article 2 du Protocole facultatif</w:t>
      </w:r>
      <w:r w:rsidRPr="006473EF">
        <w:rPr>
          <w:lang w:val="fr-FR"/>
        </w:rPr>
        <w:t>.</w:t>
      </w:r>
    </w:p>
    <w:p w14:paraId="6142DFF2" w14:textId="77777777" w:rsidR="00571F5C" w:rsidRPr="007A718D" w:rsidRDefault="00571F5C" w:rsidP="00571F5C">
      <w:pPr>
        <w:pStyle w:val="SingleTxtG"/>
        <w:rPr>
          <w:lang w:val="x-none"/>
        </w:rPr>
      </w:pPr>
      <w:r w:rsidRPr="007A718D">
        <w:rPr>
          <w:lang w:val="fr-FR"/>
        </w:rPr>
        <w:t>9</w:t>
      </w:r>
      <w:r w:rsidRPr="006473EF">
        <w:rPr>
          <w:lang w:val="fr-FR"/>
        </w:rPr>
        <w:t>.</w:t>
      </w:r>
      <w:r w:rsidRPr="007A718D">
        <w:rPr>
          <w:lang w:val="fr-FR"/>
        </w:rPr>
        <w:tab/>
        <w:t>En conséquence, le Comité décide</w:t>
      </w:r>
      <w:r>
        <w:rPr>
          <w:lang w:val="fr-FR"/>
        </w:rPr>
        <w:t> </w:t>
      </w:r>
      <w:r w:rsidRPr="007A718D">
        <w:rPr>
          <w:lang w:val="fr-FR"/>
        </w:rPr>
        <w:t>:</w:t>
      </w:r>
    </w:p>
    <w:p w14:paraId="5D962BD7" w14:textId="280FD3AB" w:rsidR="00571F5C" w:rsidRPr="007A718D" w:rsidRDefault="00571F5C" w:rsidP="00571F5C">
      <w:pPr>
        <w:pStyle w:val="SingleTxtG"/>
        <w:ind w:firstLine="567"/>
        <w:rPr>
          <w:lang w:val="x-none"/>
        </w:rPr>
      </w:pPr>
      <w:r w:rsidRPr="007A718D">
        <w:rPr>
          <w:lang w:val="fr-FR"/>
        </w:rPr>
        <w:t>a)</w:t>
      </w:r>
      <w:r w:rsidRPr="007A718D">
        <w:rPr>
          <w:lang w:val="fr-FR"/>
        </w:rPr>
        <w:tab/>
        <w:t>Que la communication est irrecevable au regard des articles 2, 3 et 5 (par</w:t>
      </w:r>
      <w:r w:rsidRPr="006473EF">
        <w:rPr>
          <w:lang w:val="fr-FR"/>
        </w:rPr>
        <w:t>.</w:t>
      </w:r>
      <w:r w:rsidRPr="007A718D">
        <w:rPr>
          <w:lang w:val="fr-FR"/>
        </w:rPr>
        <w:t xml:space="preserve"> 2</w:t>
      </w:r>
      <w:r>
        <w:rPr>
          <w:lang w:val="fr-FR"/>
        </w:rPr>
        <w:t> </w:t>
      </w:r>
      <w:r w:rsidRPr="007A718D">
        <w:rPr>
          <w:lang w:val="fr-FR"/>
        </w:rPr>
        <w:t>b)) du Protocole facultatif</w:t>
      </w:r>
      <w:r>
        <w:rPr>
          <w:lang w:val="fr-FR"/>
        </w:rPr>
        <w:t> </w:t>
      </w:r>
      <w:r w:rsidRPr="007A718D">
        <w:rPr>
          <w:lang w:val="fr-FR"/>
        </w:rPr>
        <w:t>;</w:t>
      </w:r>
    </w:p>
    <w:p w14:paraId="651CCAA5" w14:textId="77777777" w:rsidR="00571F5C" w:rsidRDefault="00571F5C" w:rsidP="00571F5C">
      <w:pPr>
        <w:pStyle w:val="SingleTxtG"/>
        <w:ind w:firstLine="567"/>
        <w:rPr>
          <w:lang w:val="fr-FR"/>
        </w:rPr>
      </w:pPr>
      <w:r w:rsidRPr="007A718D">
        <w:rPr>
          <w:lang w:val="fr-FR"/>
        </w:rPr>
        <w:t>b)</w:t>
      </w:r>
      <w:r w:rsidRPr="007A718D">
        <w:rPr>
          <w:lang w:val="fr-FR"/>
        </w:rPr>
        <w:tab/>
        <w:t>Que la présente décision sera communiquée à l</w:t>
      </w:r>
      <w:r>
        <w:rPr>
          <w:lang w:val="fr-FR"/>
        </w:rPr>
        <w:t>’</w:t>
      </w:r>
      <w:r w:rsidRPr="007A718D">
        <w:rPr>
          <w:lang w:val="fr-FR"/>
        </w:rPr>
        <w:t>État partie et à l</w:t>
      </w:r>
      <w:r>
        <w:rPr>
          <w:lang w:val="fr-FR"/>
        </w:rPr>
        <w:t>’</w:t>
      </w:r>
      <w:r w:rsidRPr="007A718D">
        <w:rPr>
          <w:lang w:val="fr-FR"/>
        </w:rPr>
        <w:t>auteur</w:t>
      </w:r>
      <w:r w:rsidRPr="006473EF">
        <w:rPr>
          <w:lang w:val="fr-FR"/>
        </w:rPr>
        <w:t>.</w:t>
      </w:r>
    </w:p>
    <w:p w14:paraId="01FD0E0A" w14:textId="04006C60" w:rsidR="00E85C42" w:rsidRPr="00C35476" w:rsidRDefault="00571F5C" w:rsidP="00C35476">
      <w:pPr>
        <w:pStyle w:val="SingleTxtG"/>
        <w:spacing w:before="240" w:after="0"/>
        <w:jc w:val="center"/>
        <w:rPr>
          <w:u w:val="single"/>
        </w:rPr>
      </w:pPr>
      <w:r>
        <w:rPr>
          <w:u w:val="single"/>
        </w:rPr>
        <w:tab/>
      </w:r>
      <w:r>
        <w:rPr>
          <w:u w:val="single"/>
        </w:rPr>
        <w:tab/>
      </w:r>
      <w:r>
        <w:rPr>
          <w:u w:val="single"/>
        </w:rPr>
        <w:tab/>
      </w:r>
    </w:p>
    <w:sectPr w:rsidR="00E85C42" w:rsidRPr="00C35476" w:rsidSect="00571F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BCAE" w14:textId="77777777" w:rsidR="004C1461" w:rsidRDefault="004C1461" w:rsidP="00F95C08">
      <w:pPr>
        <w:spacing w:line="240" w:lineRule="auto"/>
      </w:pPr>
    </w:p>
  </w:endnote>
  <w:endnote w:type="continuationSeparator" w:id="0">
    <w:p w14:paraId="75FB2BC2" w14:textId="77777777" w:rsidR="004C1461" w:rsidRPr="00AC3823" w:rsidRDefault="004C1461" w:rsidP="00AC3823">
      <w:pPr>
        <w:pStyle w:val="Pieddepage"/>
      </w:pPr>
    </w:p>
  </w:endnote>
  <w:endnote w:type="continuationNotice" w:id="1">
    <w:p w14:paraId="5CD02BC7" w14:textId="77777777" w:rsidR="004C1461" w:rsidRDefault="004C14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98E7" w14:textId="478ACED7" w:rsidR="00571F5C" w:rsidRPr="00571F5C" w:rsidRDefault="00571F5C" w:rsidP="00571F5C">
    <w:pPr>
      <w:pStyle w:val="Pieddepage"/>
      <w:tabs>
        <w:tab w:val="right" w:pos="9638"/>
      </w:tabs>
    </w:pPr>
    <w:r w:rsidRPr="00571F5C">
      <w:rPr>
        <w:b/>
        <w:sz w:val="18"/>
      </w:rPr>
      <w:fldChar w:fldCharType="begin"/>
    </w:r>
    <w:r w:rsidRPr="00571F5C">
      <w:rPr>
        <w:b/>
        <w:sz w:val="18"/>
      </w:rPr>
      <w:instrText xml:space="preserve"> PAGE  \* MERGEFORMAT </w:instrText>
    </w:r>
    <w:r w:rsidRPr="00571F5C">
      <w:rPr>
        <w:b/>
        <w:sz w:val="18"/>
      </w:rPr>
      <w:fldChar w:fldCharType="separate"/>
    </w:r>
    <w:r w:rsidRPr="00571F5C">
      <w:rPr>
        <w:b/>
        <w:noProof/>
        <w:sz w:val="18"/>
      </w:rPr>
      <w:t>2</w:t>
    </w:r>
    <w:r w:rsidRPr="00571F5C">
      <w:rPr>
        <w:b/>
        <w:sz w:val="18"/>
      </w:rPr>
      <w:fldChar w:fldCharType="end"/>
    </w:r>
    <w:r>
      <w:rPr>
        <w:b/>
        <w:sz w:val="18"/>
      </w:rPr>
      <w:tab/>
    </w:r>
    <w:r>
      <w:t>GE.22-13023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E56E" w14:textId="3FAB1DE5" w:rsidR="00571F5C" w:rsidRPr="00571F5C" w:rsidRDefault="00571F5C" w:rsidP="00571F5C">
    <w:pPr>
      <w:pStyle w:val="Pieddepage"/>
      <w:tabs>
        <w:tab w:val="right" w:pos="9638"/>
      </w:tabs>
      <w:rPr>
        <w:b/>
        <w:sz w:val="18"/>
      </w:rPr>
    </w:pPr>
    <w:r>
      <w:t>GE.22-13023</w:t>
    </w:r>
    <w:r>
      <w:tab/>
    </w:r>
    <w:r w:rsidRPr="00571F5C">
      <w:rPr>
        <w:b/>
        <w:sz w:val="18"/>
      </w:rPr>
      <w:fldChar w:fldCharType="begin"/>
    </w:r>
    <w:r w:rsidRPr="00571F5C">
      <w:rPr>
        <w:b/>
        <w:sz w:val="18"/>
      </w:rPr>
      <w:instrText xml:space="preserve"> PAGE  \* MERGEFORMAT </w:instrText>
    </w:r>
    <w:r w:rsidRPr="00571F5C">
      <w:rPr>
        <w:b/>
        <w:sz w:val="18"/>
      </w:rPr>
      <w:fldChar w:fldCharType="separate"/>
    </w:r>
    <w:r w:rsidRPr="00571F5C">
      <w:rPr>
        <w:b/>
        <w:noProof/>
        <w:sz w:val="18"/>
      </w:rPr>
      <w:t>3</w:t>
    </w:r>
    <w:r w:rsidRPr="00571F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0A7" w14:textId="1656F819" w:rsidR="001B379B" w:rsidRPr="00571F5C" w:rsidRDefault="00571F5C" w:rsidP="00571F5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DEC706D" wp14:editId="1C11359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22-13023  (F)</w:t>
    </w:r>
    <w:r>
      <w:rPr>
        <w:noProof/>
        <w:sz w:val="20"/>
      </w:rPr>
      <w:drawing>
        <wp:anchor distT="0" distB="0" distL="114300" distR="114300" simplePos="0" relativeHeight="251660288" behindDoc="0" locked="0" layoutInCell="1" allowOverlap="1" wp14:anchorId="7751EF8B" wp14:editId="17E3D07B">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281122    281122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71FE" w14:textId="77777777" w:rsidR="004C1461" w:rsidRPr="00AC3823" w:rsidRDefault="004C1461" w:rsidP="00AC3823">
      <w:pPr>
        <w:pStyle w:val="Pieddepage"/>
        <w:tabs>
          <w:tab w:val="right" w:pos="2155"/>
        </w:tabs>
        <w:spacing w:after="80" w:line="240" w:lineRule="atLeast"/>
        <w:ind w:left="680"/>
        <w:rPr>
          <w:u w:val="single"/>
        </w:rPr>
      </w:pPr>
      <w:r>
        <w:rPr>
          <w:u w:val="single"/>
        </w:rPr>
        <w:tab/>
      </w:r>
    </w:p>
  </w:footnote>
  <w:footnote w:type="continuationSeparator" w:id="0">
    <w:p w14:paraId="5EFD3825" w14:textId="77777777" w:rsidR="004C1461" w:rsidRPr="00AC3823" w:rsidRDefault="004C1461" w:rsidP="00AC3823">
      <w:pPr>
        <w:pStyle w:val="Pieddepage"/>
        <w:tabs>
          <w:tab w:val="right" w:pos="2155"/>
        </w:tabs>
        <w:spacing w:after="80" w:line="240" w:lineRule="atLeast"/>
        <w:ind w:left="680"/>
        <w:rPr>
          <w:u w:val="single"/>
        </w:rPr>
      </w:pPr>
      <w:r>
        <w:rPr>
          <w:u w:val="single"/>
        </w:rPr>
        <w:tab/>
      </w:r>
    </w:p>
  </w:footnote>
  <w:footnote w:type="continuationNotice" w:id="1">
    <w:p w14:paraId="7BBC3B83" w14:textId="77777777" w:rsidR="004C1461" w:rsidRPr="00AC3823" w:rsidRDefault="004C1461">
      <w:pPr>
        <w:spacing w:line="240" w:lineRule="auto"/>
        <w:rPr>
          <w:sz w:val="2"/>
          <w:szCs w:val="2"/>
        </w:rPr>
      </w:pPr>
    </w:p>
  </w:footnote>
  <w:footnote w:id="2">
    <w:p w14:paraId="66E40561" w14:textId="77777777" w:rsidR="00571F5C" w:rsidRPr="00291889" w:rsidRDefault="00571F5C" w:rsidP="00571F5C">
      <w:pPr>
        <w:pStyle w:val="Notedebasdepage"/>
      </w:pPr>
      <w:r>
        <w:rPr>
          <w:rStyle w:val="Appelnotedebasdep"/>
        </w:rPr>
        <w:tab/>
      </w:r>
      <w:r w:rsidRPr="00291889">
        <w:rPr>
          <w:rStyle w:val="Appelnotedebasdep"/>
          <w:sz w:val="20"/>
          <w:vertAlign w:val="baseline"/>
        </w:rPr>
        <w:t>*</w:t>
      </w:r>
      <w:r>
        <w:rPr>
          <w:rStyle w:val="Appelnotedebasdep"/>
          <w:sz w:val="20"/>
          <w:vertAlign w:val="baseline"/>
        </w:rPr>
        <w:tab/>
      </w:r>
      <w:r>
        <w:t>Adoptées par le Comité à sa 134</w:t>
      </w:r>
      <w:r w:rsidRPr="00390B89">
        <w:rPr>
          <w:vertAlign w:val="superscript"/>
        </w:rPr>
        <w:t>e</w:t>
      </w:r>
      <w:r>
        <w:t> session (</w:t>
      </w:r>
      <w:r>
        <w:rPr>
          <w:lang w:val="fr-FR"/>
        </w:rPr>
        <w:t>28 février-25 mars 2022)</w:t>
      </w:r>
      <w:r>
        <w:t>.</w:t>
      </w:r>
    </w:p>
  </w:footnote>
  <w:footnote w:id="3">
    <w:p w14:paraId="54AF35E0" w14:textId="1CA36311" w:rsidR="00571F5C" w:rsidRPr="00291889" w:rsidRDefault="00571F5C" w:rsidP="00571F5C">
      <w:pPr>
        <w:pStyle w:val="Notedebasdepage"/>
      </w:pPr>
      <w:r>
        <w:rPr>
          <w:rStyle w:val="Appelnotedebasdep"/>
        </w:rPr>
        <w:tab/>
      </w:r>
      <w:r w:rsidRPr="00291889">
        <w:rPr>
          <w:rStyle w:val="Appelnotedebasdep"/>
          <w:sz w:val="20"/>
          <w:vertAlign w:val="baseline"/>
        </w:rPr>
        <w:t>**</w:t>
      </w:r>
      <w:r>
        <w:rPr>
          <w:rStyle w:val="Appelnotedebasdep"/>
          <w:sz w:val="20"/>
          <w:vertAlign w:val="baseline"/>
        </w:rPr>
        <w:tab/>
      </w:r>
      <w:r w:rsidRPr="00E711E9">
        <w:t>Les membres du Comité dont le nom suit ont participé à l</w:t>
      </w:r>
      <w:r w:rsidR="00A455DE">
        <w:t>’</w:t>
      </w:r>
      <w:r w:rsidRPr="00E711E9">
        <w:t>examen de la communication</w:t>
      </w:r>
      <w:r>
        <w:t> </w:t>
      </w:r>
      <w:r w:rsidRPr="00E711E9">
        <w:t>:</w:t>
      </w:r>
      <w:r>
        <w:t xml:space="preserve"> </w:t>
      </w:r>
      <w:r w:rsidRPr="00076466">
        <w:t xml:space="preserve">Tania María </w:t>
      </w:r>
      <w:r w:rsidRPr="00A455DE">
        <w:t xml:space="preserve">Abdo </w:t>
      </w:r>
      <w:proofErr w:type="spellStart"/>
      <w:r w:rsidRPr="00A455DE">
        <w:t>Rocholl</w:t>
      </w:r>
      <w:proofErr w:type="spellEnd"/>
      <w:r w:rsidRPr="00A455DE">
        <w:t xml:space="preserve">, </w:t>
      </w:r>
      <w:hyperlink r:id="rId1" w:history="1">
        <w:proofErr w:type="spellStart"/>
        <w:r w:rsidRPr="00A455DE">
          <w:rPr>
            <w:rStyle w:val="Lienhypertexte"/>
            <w:color w:val="auto"/>
          </w:rPr>
          <w:t>Wafaa</w:t>
        </w:r>
        <w:proofErr w:type="spellEnd"/>
        <w:r w:rsidRPr="00A455DE">
          <w:rPr>
            <w:rStyle w:val="Lienhypertexte"/>
            <w:color w:val="auto"/>
          </w:rPr>
          <w:t xml:space="preserve"> Ashraf </w:t>
        </w:r>
        <w:proofErr w:type="spellStart"/>
        <w:r w:rsidRPr="00A455DE">
          <w:rPr>
            <w:rStyle w:val="Lienhypertexte"/>
            <w:color w:val="auto"/>
          </w:rPr>
          <w:t>Moharram</w:t>
        </w:r>
        <w:proofErr w:type="spellEnd"/>
        <w:r w:rsidRPr="00A455DE">
          <w:rPr>
            <w:rStyle w:val="Lienhypertexte"/>
            <w:color w:val="auto"/>
          </w:rPr>
          <w:t xml:space="preserve"> </w:t>
        </w:r>
        <w:proofErr w:type="spellStart"/>
        <w:r w:rsidRPr="00A455DE">
          <w:rPr>
            <w:rStyle w:val="Lienhypertexte"/>
            <w:color w:val="auto"/>
          </w:rPr>
          <w:t>Bassim</w:t>
        </w:r>
        <w:proofErr w:type="spellEnd"/>
      </w:hyperlink>
      <w:r w:rsidRPr="00A455DE">
        <w:t xml:space="preserve">, </w:t>
      </w:r>
      <w:hyperlink r:id="rId2" w:history="1">
        <w:proofErr w:type="spellStart"/>
        <w:r w:rsidRPr="00A455DE">
          <w:rPr>
            <w:rStyle w:val="Lienhypertexte"/>
            <w:color w:val="auto"/>
          </w:rPr>
          <w:t>Yadh</w:t>
        </w:r>
        <w:proofErr w:type="spellEnd"/>
        <w:r w:rsidRPr="00A455DE">
          <w:rPr>
            <w:rStyle w:val="Lienhypertexte"/>
            <w:color w:val="auto"/>
          </w:rPr>
          <w:t xml:space="preserve"> Ben Achour</w:t>
        </w:r>
      </w:hyperlink>
      <w:r w:rsidRPr="00A455DE">
        <w:t xml:space="preserve">, </w:t>
      </w:r>
      <w:hyperlink r:id="rId3" w:history="1">
        <w:r w:rsidRPr="00A455DE">
          <w:rPr>
            <w:rStyle w:val="Lienhypertexte"/>
            <w:color w:val="auto"/>
          </w:rPr>
          <w:t xml:space="preserve">Arif </w:t>
        </w:r>
        <w:proofErr w:type="spellStart"/>
        <w:r w:rsidRPr="00A455DE">
          <w:rPr>
            <w:rStyle w:val="Lienhypertexte"/>
            <w:color w:val="auto"/>
          </w:rPr>
          <w:t>Bulkan</w:t>
        </w:r>
        <w:proofErr w:type="spellEnd"/>
        <w:r w:rsidRPr="00A455DE">
          <w:rPr>
            <w:rStyle w:val="Lienhypertexte"/>
            <w:color w:val="auto"/>
          </w:rPr>
          <w:t xml:space="preserve">, Mahjoub El </w:t>
        </w:r>
        <w:proofErr w:type="spellStart"/>
        <w:r w:rsidRPr="00A455DE">
          <w:rPr>
            <w:rStyle w:val="Lienhypertexte"/>
            <w:color w:val="auto"/>
          </w:rPr>
          <w:t>Haiba</w:t>
        </w:r>
        <w:proofErr w:type="spellEnd"/>
      </w:hyperlink>
      <w:r w:rsidRPr="00A455DE">
        <w:t xml:space="preserve">, </w:t>
      </w:r>
      <w:proofErr w:type="spellStart"/>
      <w:r w:rsidRPr="00A455DE">
        <w:t>Furuya</w:t>
      </w:r>
      <w:proofErr w:type="spellEnd"/>
      <w:r w:rsidRPr="00A455DE">
        <w:t xml:space="preserve"> </w:t>
      </w:r>
      <w:proofErr w:type="spellStart"/>
      <w:r w:rsidRPr="00A455DE">
        <w:t>Shuichi</w:t>
      </w:r>
      <w:proofErr w:type="spellEnd"/>
      <w:r w:rsidRPr="00A455DE">
        <w:t xml:space="preserve">, Carlos Gómez </w:t>
      </w:r>
      <w:proofErr w:type="spellStart"/>
      <w:r w:rsidRPr="00A455DE">
        <w:t>Martínez</w:t>
      </w:r>
      <w:proofErr w:type="spellEnd"/>
      <w:r w:rsidRPr="00A455DE">
        <w:t>, Marcia V.</w:t>
      </w:r>
      <w:r w:rsidR="00A455DE" w:rsidRPr="00A455DE">
        <w:t xml:space="preserve"> </w:t>
      </w:r>
      <w:r w:rsidRPr="00A455DE">
        <w:t xml:space="preserve">J. </w:t>
      </w:r>
      <w:proofErr w:type="spellStart"/>
      <w:r w:rsidRPr="00A455DE">
        <w:t>Kran</w:t>
      </w:r>
      <w:proofErr w:type="spellEnd"/>
      <w:r w:rsidRPr="00A455DE">
        <w:t xml:space="preserve">, Duncan Laki </w:t>
      </w:r>
      <w:proofErr w:type="spellStart"/>
      <w:r w:rsidRPr="00A455DE">
        <w:t>Muhumuza</w:t>
      </w:r>
      <w:proofErr w:type="spellEnd"/>
      <w:r w:rsidRPr="00A455DE">
        <w:t xml:space="preserve">, </w:t>
      </w:r>
      <w:proofErr w:type="spellStart"/>
      <w:r w:rsidRPr="00A455DE">
        <w:t>Photini</w:t>
      </w:r>
      <w:proofErr w:type="spellEnd"/>
      <w:r w:rsidR="00A455DE" w:rsidRPr="00A455DE">
        <w:t> </w:t>
      </w:r>
      <w:proofErr w:type="spellStart"/>
      <w:r w:rsidRPr="00A455DE">
        <w:t>Pazartzis</w:t>
      </w:r>
      <w:proofErr w:type="spellEnd"/>
      <w:r w:rsidRPr="00A455DE">
        <w:t xml:space="preserve">, Hernán </w:t>
      </w:r>
      <w:proofErr w:type="spellStart"/>
      <w:r w:rsidRPr="00A455DE">
        <w:t>Quezada</w:t>
      </w:r>
      <w:proofErr w:type="spellEnd"/>
      <w:r w:rsidRPr="00A455DE">
        <w:t xml:space="preserve"> Cabrera, </w:t>
      </w:r>
      <w:proofErr w:type="spellStart"/>
      <w:r w:rsidRPr="00A455DE">
        <w:t>Vasilka</w:t>
      </w:r>
      <w:proofErr w:type="spellEnd"/>
      <w:r w:rsidRPr="00A455DE">
        <w:t xml:space="preserve"> </w:t>
      </w:r>
      <w:proofErr w:type="spellStart"/>
      <w:r w:rsidRPr="00A455DE">
        <w:t>Sancin</w:t>
      </w:r>
      <w:proofErr w:type="spellEnd"/>
      <w:r w:rsidRPr="00A455DE">
        <w:t xml:space="preserve">, José Manuel Santos Pais, </w:t>
      </w:r>
      <w:proofErr w:type="spellStart"/>
      <w:r w:rsidRPr="00A455DE">
        <w:t>Soh</w:t>
      </w:r>
      <w:proofErr w:type="spellEnd"/>
      <w:r w:rsidRPr="00A455DE">
        <w:t xml:space="preserve"> </w:t>
      </w:r>
      <w:proofErr w:type="spellStart"/>
      <w:r w:rsidRPr="00A455DE">
        <w:t>Changrok</w:t>
      </w:r>
      <w:proofErr w:type="spellEnd"/>
      <w:r w:rsidRPr="00A455DE">
        <w:t xml:space="preserve">, </w:t>
      </w:r>
      <w:hyperlink r:id="rId4" w:history="1">
        <w:proofErr w:type="spellStart"/>
        <w:r w:rsidRPr="00A455DE">
          <w:rPr>
            <w:rStyle w:val="Lienhypertexte"/>
            <w:color w:val="auto"/>
          </w:rPr>
          <w:t>Kobauyah</w:t>
        </w:r>
        <w:proofErr w:type="spellEnd"/>
        <w:r w:rsidRPr="00A455DE">
          <w:rPr>
            <w:rStyle w:val="Lienhypertexte"/>
            <w:color w:val="auto"/>
          </w:rPr>
          <w:t xml:space="preserve"> </w:t>
        </w:r>
        <w:proofErr w:type="spellStart"/>
        <w:r w:rsidRPr="00A455DE">
          <w:rPr>
            <w:rStyle w:val="Lienhypertexte"/>
            <w:color w:val="auto"/>
          </w:rPr>
          <w:t>Tchamdja</w:t>
        </w:r>
        <w:proofErr w:type="spellEnd"/>
        <w:r w:rsidRPr="00A455DE">
          <w:rPr>
            <w:rStyle w:val="Lienhypertexte"/>
            <w:color w:val="auto"/>
          </w:rPr>
          <w:t xml:space="preserve"> </w:t>
        </w:r>
        <w:proofErr w:type="spellStart"/>
        <w:r w:rsidRPr="00A455DE">
          <w:rPr>
            <w:rStyle w:val="Lienhypertexte"/>
            <w:color w:val="auto"/>
          </w:rPr>
          <w:t>Kpatcha</w:t>
        </w:r>
        <w:proofErr w:type="spellEnd"/>
      </w:hyperlink>
      <w:r w:rsidRPr="00A455DE">
        <w:t xml:space="preserve">, Hélène </w:t>
      </w:r>
      <w:proofErr w:type="spellStart"/>
      <w:r w:rsidRPr="00076466">
        <w:t>Tigroudja</w:t>
      </w:r>
      <w:proofErr w:type="spellEnd"/>
      <w:r w:rsidRPr="00076466">
        <w:t xml:space="preserve">, </w:t>
      </w:r>
      <w:proofErr w:type="spellStart"/>
      <w:r w:rsidRPr="00076466">
        <w:t>Imeru</w:t>
      </w:r>
      <w:proofErr w:type="spellEnd"/>
      <w:r w:rsidRPr="00076466">
        <w:t xml:space="preserve"> </w:t>
      </w:r>
      <w:proofErr w:type="spellStart"/>
      <w:r w:rsidRPr="00076466">
        <w:t>Tamerat</w:t>
      </w:r>
      <w:proofErr w:type="spellEnd"/>
      <w:r w:rsidRPr="00076466">
        <w:t xml:space="preserve"> </w:t>
      </w:r>
      <w:proofErr w:type="spellStart"/>
      <w:r w:rsidRPr="00076466">
        <w:t>Yigezu</w:t>
      </w:r>
      <w:proofErr w:type="spellEnd"/>
      <w:r w:rsidRPr="00076466">
        <w:t xml:space="preserve"> </w:t>
      </w:r>
      <w:r>
        <w:t>et</w:t>
      </w:r>
      <w:r w:rsidRPr="00076466">
        <w:t xml:space="preserve"> </w:t>
      </w:r>
      <w:proofErr w:type="spellStart"/>
      <w:r w:rsidRPr="00076466">
        <w:t>Gentian</w:t>
      </w:r>
      <w:proofErr w:type="spellEnd"/>
      <w:r w:rsidRPr="00076466">
        <w:t xml:space="preserve"> </w:t>
      </w:r>
      <w:proofErr w:type="spellStart"/>
      <w:r w:rsidRPr="00076466">
        <w:t>Zyberi</w:t>
      </w:r>
      <w:proofErr w:type="spellEnd"/>
      <w:r w:rsidRPr="006473EF">
        <w:rPr>
          <w:lang w:val="fr-FR"/>
        </w:rPr>
        <w:t>.</w:t>
      </w:r>
    </w:p>
  </w:footnote>
  <w:footnote w:id="4">
    <w:p w14:paraId="60B2B1D5" w14:textId="2E100355" w:rsidR="00571F5C" w:rsidRPr="00CA1DA8" w:rsidRDefault="00571F5C" w:rsidP="00571F5C">
      <w:pPr>
        <w:pStyle w:val="Notedebasdepage"/>
      </w:pPr>
      <w:r>
        <w:rPr>
          <w:lang w:val="fr-FR"/>
        </w:rPr>
        <w:tab/>
      </w:r>
      <w:r w:rsidRPr="00571F5C">
        <w:rPr>
          <w:rStyle w:val="Appelnotedebasdep"/>
        </w:rPr>
        <w:footnoteRef/>
      </w:r>
      <w:r>
        <w:rPr>
          <w:lang w:val="fr-FR"/>
        </w:rPr>
        <w:tab/>
        <w:t>L</w:t>
      </w:r>
      <w:r w:rsidR="00A455DE">
        <w:rPr>
          <w:lang w:val="fr-FR"/>
        </w:rPr>
        <w:t>’</w:t>
      </w:r>
      <w:r>
        <w:rPr>
          <w:lang w:val="fr-FR"/>
        </w:rPr>
        <w:t>auteur ne donne pas de précisions sur les actes de violence sexuelle subis, ne dit pas quand ils ont été commis et ne fournit pas de copies des courriels</w:t>
      </w:r>
      <w:r w:rsidRPr="006473EF">
        <w:rPr>
          <w:lang w:val="fr-FR"/>
        </w:rPr>
        <w:t>.</w:t>
      </w:r>
    </w:p>
  </w:footnote>
  <w:footnote w:id="5">
    <w:p w14:paraId="425D21F4" w14:textId="74E3D2AA" w:rsidR="00571F5C" w:rsidRPr="00CA1DA8" w:rsidRDefault="00571F5C" w:rsidP="00571F5C">
      <w:pPr>
        <w:pStyle w:val="Notedebasdepage"/>
      </w:pPr>
      <w:r>
        <w:rPr>
          <w:lang w:val="fr-FR"/>
        </w:rPr>
        <w:tab/>
      </w:r>
      <w:r w:rsidRPr="00571F5C">
        <w:rPr>
          <w:rStyle w:val="Appelnotedebasdep"/>
        </w:rPr>
        <w:footnoteRef/>
      </w:r>
      <w:r>
        <w:rPr>
          <w:lang w:val="fr-FR"/>
        </w:rPr>
        <w:tab/>
        <w:t>L</w:t>
      </w:r>
      <w:r w:rsidR="00A455DE">
        <w:rPr>
          <w:lang w:val="fr-FR"/>
        </w:rPr>
        <w:t>’</w:t>
      </w:r>
      <w:r>
        <w:rPr>
          <w:lang w:val="fr-FR"/>
        </w:rPr>
        <w:t>auteur ne donne aucune autre précision à ce sujet</w:t>
      </w:r>
      <w:r w:rsidRPr="006473EF">
        <w:rPr>
          <w:lang w:val="fr-FR"/>
        </w:rPr>
        <w:t>.</w:t>
      </w:r>
    </w:p>
  </w:footnote>
  <w:footnote w:id="6">
    <w:p w14:paraId="09EC64DC" w14:textId="192B5196" w:rsidR="00571F5C" w:rsidRPr="00CA1DA8" w:rsidRDefault="00571F5C" w:rsidP="00571F5C">
      <w:pPr>
        <w:pStyle w:val="Notedebasdepage"/>
      </w:pPr>
      <w:r>
        <w:rPr>
          <w:lang w:val="fr-FR"/>
        </w:rPr>
        <w:tab/>
      </w:r>
      <w:r w:rsidRPr="00571F5C">
        <w:rPr>
          <w:rStyle w:val="Appelnotedebasdep"/>
        </w:rPr>
        <w:footnoteRef/>
      </w:r>
      <w:r>
        <w:rPr>
          <w:lang w:val="fr-FR"/>
        </w:rPr>
        <w:tab/>
        <w:t>L</w:t>
      </w:r>
      <w:r w:rsidR="00A455DE">
        <w:rPr>
          <w:lang w:val="fr-FR"/>
        </w:rPr>
        <w:t>’</w:t>
      </w:r>
      <w:r>
        <w:rPr>
          <w:lang w:val="fr-FR"/>
        </w:rPr>
        <w:t>auteur n</w:t>
      </w:r>
      <w:r w:rsidR="00A455DE">
        <w:rPr>
          <w:lang w:val="fr-FR"/>
        </w:rPr>
        <w:t>’</w:t>
      </w:r>
      <w:r>
        <w:rPr>
          <w:lang w:val="fr-FR"/>
        </w:rPr>
        <w:t>indique pas quand ni à quelle fréquence il a été tenu de se présenter devant un enquêteur pendant la période pour laquelle la caution a été imposée</w:t>
      </w:r>
      <w:r w:rsidRPr="006473EF">
        <w:rPr>
          <w:lang w:val="fr-FR"/>
        </w:rPr>
        <w:t>.</w:t>
      </w:r>
      <w:r>
        <w:rPr>
          <w:lang w:val="fr-FR"/>
        </w:rPr>
        <w:t xml:space="preserve"> Comme mentionné au paragraphe 4</w:t>
      </w:r>
      <w:r w:rsidRPr="006473EF">
        <w:rPr>
          <w:lang w:val="fr-FR"/>
        </w:rPr>
        <w:t>.</w:t>
      </w:r>
      <w:r>
        <w:rPr>
          <w:lang w:val="fr-FR"/>
        </w:rPr>
        <w:t>7, selon l</w:t>
      </w:r>
      <w:r w:rsidR="00A455DE">
        <w:rPr>
          <w:lang w:val="fr-FR"/>
        </w:rPr>
        <w:t>’</w:t>
      </w:r>
      <w:r>
        <w:rPr>
          <w:lang w:val="fr-FR"/>
        </w:rPr>
        <w:t>État partie, le montant de la caution était de 1 448</w:t>
      </w:r>
      <w:r>
        <w:rPr>
          <w:lang w:val="fr-FR"/>
        </w:rPr>
        <w:t> </w:t>
      </w:r>
      <w:r>
        <w:rPr>
          <w:lang w:val="fr-FR"/>
        </w:rPr>
        <w:t>euros</w:t>
      </w:r>
      <w:r w:rsidRPr="006473EF">
        <w:rPr>
          <w:lang w:val="fr-FR"/>
        </w:rPr>
        <w:t>.</w:t>
      </w:r>
    </w:p>
  </w:footnote>
  <w:footnote w:id="7">
    <w:p w14:paraId="4CE60FE2" w14:textId="2C3D83F8" w:rsidR="00571F5C" w:rsidRPr="00CA1DA8" w:rsidRDefault="00571F5C" w:rsidP="00571F5C">
      <w:pPr>
        <w:pStyle w:val="Notedebasdepage"/>
      </w:pPr>
      <w:r>
        <w:rPr>
          <w:lang w:val="fr-FR"/>
        </w:rPr>
        <w:tab/>
      </w:r>
      <w:r w:rsidRPr="00571F5C">
        <w:rPr>
          <w:rStyle w:val="Appelnotedebasdep"/>
        </w:rPr>
        <w:footnoteRef/>
      </w:r>
      <w:r>
        <w:rPr>
          <w:lang w:val="fr-FR"/>
        </w:rPr>
        <w:tab/>
        <w:t>L</w:t>
      </w:r>
      <w:r w:rsidR="00A455DE">
        <w:rPr>
          <w:lang w:val="fr-FR"/>
        </w:rPr>
        <w:t>’</w:t>
      </w:r>
      <w:r>
        <w:rPr>
          <w:lang w:val="fr-FR"/>
        </w:rPr>
        <w:t>auteur a fourni une traduction d</w:t>
      </w:r>
      <w:r w:rsidR="00A455DE">
        <w:rPr>
          <w:lang w:val="fr-FR"/>
        </w:rPr>
        <w:t>’</w:t>
      </w:r>
      <w:r>
        <w:rPr>
          <w:lang w:val="fr-FR"/>
        </w:rPr>
        <w:t>un court extrait de la décision du tribunal de district de Vilnius</w:t>
      </w:r>
      <w:r w:rsidRPr="006473EF">
        <w:rPr>
          <w:lang w:val="fr-FR"/>
        </w:rPr>
        <w:t>.</w:t>
      </w:r>
      <w:r>
        <w:rPr>
          <w:lang w:val="fr-FR"/>
        </w:rPr>
        <w:t xml:space="preserve"> Selon cet extrait, le tribunal de district a estimé que les actes illégaux ou l</w:t>
      </w:r>
      <w:r w:rsidR="00A455DE">
        <w:rPr>
          <w:lang w:val="fr-FR"/>
        </w:rPr>
        <w:t>’</w:t>
      </w:r>
      <w:r>
        <w:rPr>
          <w:lang w:val="fr-FR"/>
        </w:rPr>
        <w:t>inaction des institutions chargées de l</w:t>
      </w:r>
      <w:r w:rsidR="00A455DE">
        <w:rPr>
          <w:lang w:val="fr-FR"/>
        </w:rPr>
        <w:t>’</w:t>
      </w:r>
      <w:r>
        <w:rPr>
          <w:lang w:val="fr-FR"/>
        </w:rPr>
        <w:t>application des lois n</w:t>
      </w:r>
      <w:r w:rsidR="00A455DE">
        <w:rPr>
          <w:lang w:val="fr-FR"/>
        </w:rPr>
        <w:t>’</w:t>
      </w:r>
      <w:r>
        <w:rPr>
          <w:lang w:val="fr-FR"/>
        </w:rPr>
        <w:t>avaient pas été prouvés</w:t>
      </w:r>
      <w:r w:rsidRPr="006473EF">
        <w:rPr>
          <w:lang w:val="fr-FR"/>
        </w:rPr>
        <w:t>.</w:t>
      </w:r>
      <w:r>
        <w:rPr>
          <w:lang w:val="fr-FR"/>
        </w:rPr>
        <w:t xml:space="preserve"> Il a en outre fait observer que lorsque le demandeur avait produit les documents </w:t>
      </w:r>
      <w:r w:rsidRPr="00086F1B">
        <w:rPr>
          <w:lang w:val="fr-FR"/>
        </w:rPr>
        <w:t>attendus</w:t>
      </w:r>
      <w:r>
        <w:rPr>
          <w:lang w:val="fr-FR"/>
        </w:rPr>
        <w:t>, la mesure de surveillance qui lui était imposée avait été convertie en une autre, qui ne l</w:t>
      </w:r>
      <w:r w:rsidR="00A455DE">
        <w:rPr>
          <w:lang w:val="fr-FR"/>
        </w:rPr>
        <w:t>’</w:t>
      </w:r>
      <w:r>
        <w:rPr>
          <w:lang w:val="fr-FR"/>
        </w:rPr>
        <w:t>empêchait pas d</w:t>
      </w:r>
      <w:r w:rsidR="00A455DE">
        <w:rPr>
          <w:lang w:val="fr-FR"/>
        </w:rPr>
        <w:t>’</w:t>
      </w:r>
      <w:r>
        <w:rPr>
          <w:lang w:val="fr-FR"/>
        </w:rPr>
        <w:t>étudier au Danemark</w:t>
      </w:r>
      <w:r w:rsidRPr="006473EF">
        <w:rPr>
          <w:lang w:val="fr-FR"/>
        </w:rPr>
        <w:t>.</w:t>
      </w:r>
    </w:p>
  </w:footnote>
  <w:footnote w:id="8">
    <w:p w14:paraId="30FC2147" w14:textId="5D3D44D7" w:rsidR="00571F5C" w:rsidRPr="00CA1DA8" w:rsidRDefault="00571F5C" w:rsidP="00571F5C">
      <w:pPr>
        <w:pStyle w:val="Notedebasdepage"/>
      </w:pPr>
      <w:r>
        <w:rPr>
          <w:lang w:val="fr-FR"/>
        </w:rPr>
        <w:tab/>
      </w:r>
      <w:r w:rsidRPr="00571F5C">
        <w:rPr>
          <w:rStyle w:val="Appelnotedebasdep"/>
        </w:rPr>
        <w:footnoteRef/>
      </w:r>
      <w:r>
        <w:rPr>
          <w:lang w:val="fr-FR"/>
        </w:rPr>
        <w:tab/>
        <w:t>L</w:t>
      </w:r>
      <w:r w:rsidR="00A455DE">
        <w:rPr>
          <w:lang w:val="fr-FR"/>
        </w:rPr>
        <w:t>’</w:t>
      </w:r>
      <w:r>
        <w:rPr>
          <w:lang w:val="fr-FR"/>
        </w:rPr>
        <w:t>auteur a fourni une traduction d</w:t>
      </w:r>
      <w:r w:rsidR="00A455DE">
        <w:rPr>
          <w:lang w:val="fr-FR"/>
        </w:rPr>
        <w:t>’</w:t>
      </w:r>
      <w:r>
        <w:rPr>
          <w:lang w:val="fr-FR"/>
        </w:rPr>
        <w:t>un court extrait de la décision du tribunal régional de Vilnius</w:t>
      </w:r>
      <w:r w:rsidRPr="006473EF">
        <w:rPr>
          <w:lang w:val="fr-FR"/>
        </w:rPr>
        <w:t>.</w:t>
      </w:r>
      <w:r>
        <w:rPr>
          <w:lang w:val="fr-FR"/>
        </w:rPr>
        <w:t xml:space="preserve"> Selon cet extrait, le tribunal régional a estimé qu</w:t>
      </w:r>
      <w:r w:rsidR="00A455DE">
        <w:rPr>
          <w:lang w:val="fr-FR"/>
        </w:rPr>
        <w:t>’</w:t>
      </w:r>
      <w:r>
        <w:rPr>
          <w:lang w:val="fr-FR"/>
        </w:rPr>
        <w:t>il n</w:t>
      </w:r>
      <w:r w:rsidR="00A455DE">
        <w:rPr>
          <w:lang w:val="fr-FR"/>
        </w:rPr>
        <w:t>’</w:t>
      </w:r>
      <w:r>
        <w:rPr>
          <w:lang w:val="fr-FR"/>
        </w:rPr>
        <w:t>y avait aucune donnée permettant d</w:t>
      </w:r>
      <w:r w:rsidR="00A455DE">
        <w:rPr>
          <w:lang w:val="fr-FR"/>
        </w:rPr>
        <w:t>’</w:t>
      </w:r>
      <w:r>
        <w:rPr>
          <w:lang w:val="fr-FR"/>
        </w:rPr>
        <w:t>établir l</w:t>
      </w:r>
      <w:r w:rsidR="00A455DE">
        <w:rPr>
          <w:lang w:val="fr-FR"/>
        </w:rPr>
        <w:t>’</w:t>
      </w:r>
      <w:r>
        <w:rPr>
          <w:lang w:val="fr-FR"/>
        </w:rPr>
        <w:t>existence d</w:t>
      </w:r>
      <w:r w:rsidR="00A455DE">
        <w:rPr>
          <w:lang w:val="fr-FR"/>
        </w:rPr>
        <w:t>’</w:t>
      </w:r>
      <w:r>
        <w:rPr>
          <w:lang w:val="fr-FR"/>
        </w:rPr>
        <w:t>actes illégaux des agents à l</w:t>
      </w:r>
      <w:r w:rsidR="00A455DE">
        <w:rPr>
          <w:lang w:val="fr-FR"/>
        </w:rPr>
        <w:t>’</w:t>
      </w:r>
      <w:r>
        <w:rPr>
          <w:lang w:val="fr-FR"/>
        </w:rPr>
        <w:t>égard du demandeur justifiant le versement de dommages</w:t>
      </w:r>
      <w:r w:rsidR="00A455DE">
        <w:rPr>
          <w:lang w:val="fr-FR"/>
        </w:rPr>
        <w:noBreakHyphen/>
      </w:r>
      <w:r>
        <w:rPr>
          <w:lang w:val="fr-FR"/>
        </w:rPr>
        <w:t>intérêts en vertu de l</w:t>
      </w:r>
      <w:r w:rsidR="00A455DE">
        <w:rPr>
          <w:lang w:val="fr-FR"/>
        </w:rPr>
        <w:t>’</w:t>
      </w:r>
      <w:r>
        <w:rPr>
          <w:lang w:val="fr-FR"/>
        </w:rPr>
        <w:t>article 6</w:t>
      </w:r>
      <w:r w:rsidRPr="006473EF">
        <w:rPr>
          <w:lang w:val="fr-FR"/>
        </w:rPr>
        <w:t>.</w:t>
      </w:r>
      <w:r>
        <w:rPr>
          <w:lang w:val="fr-FR"/>
        </w:rPr>
        <w:t>272 1) du Code civil</w:t>
      </w:r>
      <w:r w:rsidRPr="006473EF">
        <w:rPr>
          <w:lang w:val="fr-FR"/>
        </w:rPr>
        <w:t>.</w:t>
      </w:r>
    </w:p>
  </w:footnote>
  <w:footnote w:id="9">
    <w:p w14:paraId="539561E8" w14:textId="32405C27" w:rsidR="00571F5C" w:rsidRPr="00CA1DA8" w:rsidRDefault="00571F5C" w:rsidP="00571F5C">
      <w:pPr>
        <w:pStyle w:val="Notedebasdepage"/>
      </w:pPr>
      <w:r>
        <w:rPr>
          <w:lang w:val="fr-FR"/>
        </w:rPr>
        <w:tab/>
      </w:r>
      <w:r w:rsidRPr="00571F5C">
        <w:rPr>
          <w:rStyle w:val="Appelnotedebasdep"/>
        </w:rPr>
        <w:footnoteRef/>
      </w:r>
      <w:r>
        <w:rPr>
          <w:lang w:val="fr-FR"/>
        </w:rPr>
        <w:t xml:space="preserve"> </w:t>
      </w:r>
      <w:r>
        <w:rPr>
          <w:lang w:val="fr-FR"/>
        </w:rPr>
        <w:tab/>
        <w:t>Dans des observations ultérieures (voir par</w:t>
      </w:r>
      <w:r w:rsidRPr="006473EF">
        <w:rPr>
          <w:lang w:val="fr-FR"/>
        </w:rPr>
        <w:t>.</w:t>
      </w:r>
      <w:r>
        <w:rPr>
          <w:lang w:val="fr-FR"/>
        </w:rPr>
        <w:t xml:space="preserve"> 5</w:t>
      </w:r>
      <w:r w:rsidRPr="006473EF">
        <w:rPr>
          <w:lang w:val="fr-FR"/>
        </w:rPr>
        <w:t>.</w:t>
      </w:r>
      <w:r>
        <w:rPr>
          <w:lang w:val="fr-FR"/>
        </w:rPr>
        <w:t>5 et 7</w:t>
      </w:r>
      <w:r w:rsidRPr="006473EF">
        <w:rPr>
          <w:lang w:val="fr-FR"/>
        </w:rPr>
        <w:t>.</w:t>
      </w:r>
      <w:r>
        <w:rPr>
          <w:lang w:val="fr-FR"/>
        </w:rPr>
        <w:t>2 ci-après), l</w:t>
      </w:r>
      <w:r w:rsidR="00A455DE">
        <w:rPr>
          <w:lang w:val="fr-FR"/>
        </w:rPr>
        <w:t>’</w:t>
      </w:r>
      <w:r>
        <w:rPr>
          <w:lang w:val="fr-FR"/>
        </w:rPr>
        <w:t>auteur a également soulevé des griefs au titre de l</w:t>
      </w:r>
      <w:r w:rsidR="00A455DE">
        <w:rPr>
          <w:lang w:val="fr-FR"/>
        </w:rPr>
        <w:t>’</w:t>
      </w:r>
      <w:r>
        <w:rPr>
          <w:lang w:val="fr-FR"/>
        </w:rPr>
        <w:t>article 14 (par</w:t>
      </w:r>
      <w:r w:rsidRPr="006473EF">
        <w:rPr>
          <w:lang w:val="fr-FR"/>
        </w:rPr>
        <w:t>.</w:t>
      </w:r>
      <w:r>
        <w:rPr>
          <w:lang w:val="fr-FR"/>
        </w:rPr>
        <w:t xml:space="preserve"> 1) du Pacte et de l</w:t>
      </w:r>
      <w:r w:rsidR="00A455DE">
        <w:rPr>
          <w:lang w:val="fr-FR"/>
        </w:rPr>
        <w:t>’</w:t>
      </w:r>
      <w:r>
        <w:rPr>
          <w:lang w:val="fr-FR"/>
        </w:rPr>
        <w:t>article 2 (par</w:t>
      </w:r>
      <w:r w:rsidRPr="006473EF">
        <w:rPr>
          <w:lang w:val="fr-FR"/>
        </w:rPr>
        <w:t>.</w:t>
      </w:r>
      <w:r>
        <w:rPr>
          <w:lang w:val="fr-FR"/>
        </w:rPr>
        <w:t xml:space="preserve"> 2), lu conjointement avec les articles 12 et 14 (par</w:t>
      </w:r>
      <w:r w:rsidRPr="006473EF">
        <w:rPr>
          <w:lang w:val="fr-FR"/>
        </w:rPr>
        <w:t>.</w:t>
      </w:r>
      <w:r>
        <w:rPr>
          <w:lang w:val="fr-FR"/>
        </w:rPr>
        <w:t xml:space="preserve"> 1 et 2)</w:t>
      </w:r>
      <w:r w:rsidRPr="006473EF">
        <w:rPr>
          <w:lang w:val="fr-FR"/>
        </w:rPr>
        <w:t>.</w:t>
      </w:r>
    </w:p>
  </w:footnote>
  <w:footnote w:id="10">
    <w:p w14:paraId="24D9D534" w14:textId="1286DC0D" w:rsidR="00571F5C" w:rsidRPr="00076466" w:rsidRDefault="00571F5C" w:rsidP="00571F5C">
      <w:pPr>
        <w:pStyle w:val="Notedebasdepage"/>
        <w:rPr>
          <w:b/>
          <w:bCs/>
        </w:rPr>
      </w:pPr>
      <w:r>
        <w:rPr>
          <w:lang w:val="fr-FR"/>
        </w:rPr>
        <w:tab/>
      </w:r>
      <w:r w:rsidRPr="00571F5C">
        <w:rPr>
          <w:rStyle w:val="Appelnotedebasdep"/>
        </w:rPr>
        <w:footnoteRef/>
      </w:r>
      <w:r>
        <w:rPr>
          <w:lang w:val="fr-FR"/>
        </w:rPr>
        <w:tab/>
        <w:t>L</w:t>
      </w:r>
      <w:r w:rsidR="00A455DE">
        <w:rPr>
          <w:lang w:val="fr-FR"/>
        </w:rPr>
        <w:t>’</w:t>
      </w:r>
      <w:r>
        <w:rPr>
          <w:lang w:val="fr-FR"/>
        </w:rPr>
        <w:t xml:space="preserve">État partie </w:t>
      </w:r>
      <w:r w:rsidRPr="00A455DE">
        <w:rPr>
          <w:lang w:val="fr-FR"/>
        </w:rPr>
        <w:t>cite Cour européenne des droits de l</w:t>
      </w:r>
      <w:r w:rsidR="00A455DE" w:rsidRPr="00A455DE">
        <w:rPr>
          <w:lang w:val="fr-FR"/>
        </w:rPr>
        <w:t>’</w:t>
      </w:r>
      <w:r w:rsidRPr="00A455DE">
        <w:rPr>
          <w:lang w:val="fr-FR"/>
        </w:rPr>
        <w:t xml:space="preserve">homme, </w:t>
      </w:r>
      <w:r w:rsidRPr="00A455DE">
        <w:rPr>
          <w:i/>
          <w:iCs/>
          <w:lang w:val="fr-FR"/>
        </w:rPr>
        <w:t>Affai</w:t>
      </w:r>
      <w:r w:rsidRPr="00076466">
        <w:rPr>
          <w:i/>
          <w:iCs/>
          <w:lang w:val="fr-FR"/>
        </w:rPr>
        <w:t xml:space="preserve">re </w:t>
      </w:r>
      <w:proofErr w:type="spellStart"/>
      <w:r w:rsidRPr="004B71BC">
        <w:rPr>
          <w:i/>
          <w:iCs/>
          <w:lang w:val="fr-FR"/>
        </w:rPr>
        <w:t>Lavrechov</w:t>
      </w:r>
      <w:proofErr w:type="spellEnd"/>
      <w:r w:rsidRPr="004B71BC">
        <w:rPr>
          <w:i/>
          <w:iCs/>
          <w:lang w:val="fr-FR"/>
        </w:rPr>
        <w:t xml:space="preserve"> c</w:t>
      </w:r>
      <w:r w:rsidRPr="006473EF">
        <w:rPr>
          <w:i/>
          <w:iCs/>
          <w:lang w:val="fr-FR"/>
        </w:rPr>
        <w:t>.</w:t>
      </w:r>
      <w:r w:rsidRPr="004B71BC">
        <w:rPr>
          <w:i/>
          <w:iCs/>
          <w:lang w:val="fr-FR"/>
        </w:rPr>
        <w:t xml:space="preserve"> République tchèque</w:t>
      </w:r>
      <w:r>
        <w:rPr>
          <w:i/>
          <w:iCs/>
          <w:lang w:val="fr-FR"/>
        </w:rPr>
        <w:t xml:space="preserve"> </w:t>
      </w:r>
      <w:r w:rsidRPr="00076466">
        <w:rPr>
          <w:lang w:val="fr-FR"/>
        </w:rPr>
        <w:t>(</w:t>
      </w:r>
      <w:r w:rsidRPr="00EF5374">
        <w:rPr>
          <w:lang w:val="fr-FR"/>
        </w:rPr>
        <w:t>requête</w:t>
      </w:r>
      <w:r>
        <w:rPr>
          <w:lang w:val="fr-FR"/>
        </w:rPr>
        <w:t xml:space="preserve"> </w:t>
      </w:r>
      <w:r w:rsidRPr="0084084D">
        <w:rPr>
          <w:rFonts w:eastAsia="MS Mincho"/>
          <w:szCs w:val="22"/>
          <w:lang w:val="fr-FR"/>
        </w:rPr>
        <w:t>n</w:t>
      </w:r>
      <w:r w:rsidRPr="0084084D">
        <w:rPr>
          <w:rFonts w:eastAsia="MS Mincho"/>
          <w:szCs w:val="22"/>
          <w:vertAlign w:val="superscript"/>
          <w:lang w:val="fr-FR"/>
        </w:rPr>
        <w:t>o</w:t>
      </w:r>
      <w:r>
        <w:rPr>
          <w:lang w:val="fr-FR"/>
        </w:rPr>
        <w:t> 57404/08), arrêt du 20 juin 2013, par</w:t>
      </w:r>
      <w:r w:rsidRPr="006473EF">
        <w:rPr>
          <w:lang w:val="fr-FR"/>
        </w:rPr>
        <w:t>.</w:t>
      </w:r>
      <w:r>
        <w:rPr>
          <w:lang w:val="fr-FR"/>
        </w:rPr>
        <w:t xml:space="preserve"> </w:t>
      </w:r>
      <w:r>
        <w:rPr>
          <w:lang w:val="fr-FR"/>
        </w:rPr>
        <w:t>50</w:t>
      </w:r>
      <w:r w:rsidRPr="006473EF">
        <w:rPr>
          <w:lang w:val="fr-FR"/>
        </w:rPr>
        <w:t>.</w:t>
      </w:r>
      <w:r>
        <w:rPr>
          <w:lang w:val="fr-FR"/>
        </w:rPr>
        <w:t xml:space="preserve"> </w:t>
      </w:r>
    </w:p>
  </w:footnote>
  <w:footnote w:id="11">
    <w:p w14:paraId="53D4F026" w14:textId="13CA27B4" w:rsidR="00571F5C" w:rsidRPr="00CA1DA8" w:rsidRDefault="00571F5C" w:rsidP="00571F5C">
      <w:pPr>
        <w:pStyle w:val="Notedebasdepage"/>
      </w:pPr>
      <w:r>
        <w:rPr>
          <w:lang w:val="fr-FR"/>
        </w:rPr>
        <w:tab/>
      </w:r>
      <w:r w:rsidRPr="00571F5C">
        <w:rPr>
          <w:rStyle w:val="Appelnotedebasdep"/>
        </w:rPr>
        <w:footnoteRef/>
      </w:r>
      <w:r>
        <w:rPr>
          <w:lang w:val="fr-FR"/>
        </w:rPr>
        <w:t xml:space="preserve"> </w:t>
      </w:r>
      <w:r>
        <w:rPr>
          <w:lang w:val="fr-FR"/>
        </w:rPr>
        <w:tab/>
        <w:t>L</w:t>
      </w:r>
      <w:r w:rsidR="00A455DE">
        <w:rPr>
          <w:lang w:val="fr-FR"/>
        </w:rPr>
        <w:t>’</w:t>
      </w:r>
      <w:r>
        <w:rPr>
          <w:lang w:val="fr-FR"/>
        </w:rPr>
        <w:t>État partie fournit le texte de l</w:t>
      </w:r>
      <w:r w:rsidR="00A455DE">
        <w:rPr>
          <w:lang w:val="fr-FR"/>
        </w:rPr>
        <w:t>’</w:t>
      </w:r>
      <w:r>
        <w:rPr>
          <w:lang w:val="fr-FR"/>
        </w:rPr>
        <w:t>article 1</w:t>
      </w:r>
      <w:r w:rsidRPr="006473EF">
        <w:rPr>
          <w:lang w:val="fr-FR"/>
        </w:rPr>
        <w:t>.</w:t>
      </w:r>
      <w:r>
        <w:rPr>
          <w:lang w:val="fr-FR"/>
        </w:rPr>
        <w:t xml:space="preserve">125 </w:t>
      </w:r>
      <w:r w:rsidRPr="00E07D90">
        <w:rPr>
          <w:lang w:val="fr-FR"/>
        </w:rPr>
        <w:t>(par</w:t>
      </w:r>
      <w:r w:rsidRPr="006473EF">
        <w:rPr>
          <w:lang w:val="fr-FR"/>
        </w:rPr>
        <w:t>.</w:t>
      </w:r>
      <w:r w:rsidRPr="00E07D90">
        <w:rPr>
          <w:lang w:val="fr-FR"/>
        </w:rPr>
        <w:t xml:space="preserve"> 8) du Code civil, qui dispos</w:t>
      </w:r>
      <w:r>
        <w:rPr>
          <w:lang w:val="fr-FR"/>
        </w:rPr>
        <w:t>e ce qui suit </w:t>
      </w:r>
      <w:r w:rsidRPr="00E07D90">
        <w:rPr>
          <w:lang w:val="fr-FR"/>
        </w:rPr>
        <w:t xml:space="preserve">: </w:t>
      </w:r>
      <w:r>
        <w:rPr>
          <w:lang w:val="fr-FR"/>
        </w:rPr>
        <w:t>« </w:t>
      </w:r>
      <w:r w:rsidRPr="00E07D90">
        <w:rPr>
          <w:lang w:val="fr-FR"/>
        </w:rPr>
        <w:t>Un délai de prescription abrégé de trois ans s</w:t>
      </w:r>
      <w:r w:rsidR="00A455DE">
        <w:rPr>
          <w:lang w:val="fr-FR"/>
        </w:rPr>
        <w:t>’</w:t>
      </w:r>
      <w:r w:rsidRPr="00E07D90">
        <w:rPr>
          <w:lang w:val="fr-FR"/>
        </w:rPr>
        <w:t>applique aux demandes d</w:t>
      </w:r>
      <w:r w:rsidR="00A455DE">
        <w:rPr>
          <w:lang w:val="fr-FR"/>
        </w:rPr>
        <w:t>’</w:t>
      </w:r>
      <w:r w:rsidRPr="00E07D90">
        <w:rPr>
          <w:lang w:val="fr-FR"/>
        </w:rPr>
        <w:t>indemnisation pour préjudice subi, y compris les demandes d</w:t>
      </w:r>
      <w:r w:rsidR="00A455DE">
        <w:rPr>
          <w:lang w:val="fr-FR"/>
        </w:rPr>
        <w:t>’</w:t>
      </w:r>
      <w:r w:rsidRPr="00E07D90">
        <w:rPr>
          <w:lang w:val="fr-FR"/>
        </w:rPr>
        <w:t xml:space="preserve">indemnisation pour un préjudice causé par une </w:t>
      </w:r>
      <w:r>
        <w:rPr>
          <w:lang w:val="fr-FR"/>
        </w:rPr>
        <w:t xml:space="preserve">production </w:t>
      </w:r>
      <w:r w:rsidRPr="00E07D90">
        <w:rPr>
          <w:lang w:val="fr-FR"/>
        </w:rPr>
        <w:t>défectu</w:t>
      </w:r>
      <w:r>
        <w:rPr>
          <w:lang w:val="fr-FR"/>
        </w:rPr>
        <w:t>euse</w:t>
      </w:r>
      <w:r w:rsidRPr="006473EF">
        <w:rPr>
          <w:lang w:val="fr-FR"/>
        </w:rPr>
        <w:t>.</w:t>
      </w:r>
      <w:r>
        <w:rPr>
          <w:lang w:val="fr-FR"/>
        </w:rPr>
        <w:t> »</w:t>
      </w:r>
      <w:r w:rsidRPr="006473EF">
        <w:rPr>
          <w:lang w:val="fr-FR"/>
        </w:rPr>
        <w:t>.</w:t>
      </w:r>
    </w:p>
  </w:footnote>
  <w:footnote w:id="12">
    <w:p w14:paraId="2B0DCDDA" w14:textId="77777777" w:rsidR="00571F5C" w:rsidRPr="00CA1DA8" w:rsidRDefault="00571F5C" w:rsidP="00571F5C">
      <w:pPr>
        <w:pStyle w:val="Notedebasdepage"/>
      </w:pPr>
      <w:r>
        <w:rPr>
          <w:lang w:val="fr-FR"/>
        </w:rPr>
        <w:tab/>
      </w:r>
      <w:r w:rsidRPr="00571F5C">
        <w:rPr>
          <w:rStyle w:val="Appelnotedebasdep"/>
        </w:rPr>
        <w:footnoteRef/>
      </w:r>
      <w:r>
        <w:rPr>
          <w:lang w:val="fr-FR"/>
        </w:rPr>
        <w:t xml:space="preserve"> </w:t>
      </w:r>
      <w:r>
        <w:rPr>
          <w:lang w:val="fr-FR"/>
        </w:rPr>
        <w:tab/>
        <w:t>Art</w:t>
      </w:r>
      <w:r w:rsidRPr="006473EF">
        <w:rPr>
          <w:lang w:val="fr-FR"/>
        </w:rPr>
        <w:t>.</w:t>
      </w:r>
      <w:r>
        <w:rPr>
          <w:lang w:val="fr-FR"/>
        </w:rPr>
        <w:t xml:space="preserve"> 1</w:t>
      </w:r>
      <w:r w:rsidRPr="006473EF">
        <w:rPr>
          <w:lang w:val="fr-FR"/>
        </w:rPr>
        <w:t>.</w:t>
      </w:r>
      <w:r>
        <w:rPr>
          <w:lang w:val="fr-FR"/>
        </w:rPr>
        <w:t>127 (par</w:t>
      </w:r>
      <w:r w:rsidRPr="006473EF">
        <w:rPr>
          <w:lang w:val="fr-FR"/>
        </w:rPr>
        <w:t>.</w:t>
      </w:r>
      <w:r>
        <w:rPr>
          <w:lang w:val="fr-FR"/>
        </w:rPr>
        <w:t xml:space="preserve"> 1) du Code civil</w:t>
      </w:r>
      <w:r w:rsidRPr="006473EF">
        <w:rPr>
          <w:lang w:val="fr-FR"/>
        </w:rPr>
        <w:t>.</w:t>
      </w:r>
    </w:p>
  </w:footnote>
  <w:footnote w:id="13">
    <w:p w14:paraId="4B9EFB30" w14:textId="1BD53B37" w:rsidR="00571F5C" w:rsidRPr="00CA1DA8" w:rsidRDefault="00571F5C" w:rsidP="00571F5C">
      <w:pPr>
        <w:pStyle w:val="Notedebasdepage"/>
      </w:pPr>
      <w:r>
        <w:rPr>
          <w:lang w:val="fr-FR"/>
        </w:rPr>
        <w:tab/>
      </w:r>
      <w:r w:rsidRPr="00571F5C">
        <w:rPr>
          <w:rStyle w:val="Appelnotedebasdep"/>
        </w:rPr>
        <w:footnoteRef/>
      </w:r>
      <w:r>
        <w:rPr>
          <w:lang w:val="fr-FR"/>
        </w:rPr>
        <w:t xml:space="preserve"> </w:t>
      </w:r>
      <w:r>
        <w:rPr>
          <w:lang w:val="fr-FR"/>
        </w:rPr>
        <w:tab/>
        <w:t>L</w:t>
      </w:r>
      <w:r w:rsidR="00A455DE">
        <w:rPr>
          <w:lang w:val="fr-FR"/>
        </w:rPr>
        <w:t>’</w:t>
      </w:r>
      <w:r>
        <w:rPr>
          <w:lang w:val="fr-FR"/>
        </w:rPr>
        <w:t>État partie cite par exemple l</w:t>
      </w:r>
      <w:r w:rsidR="00A455DE">
        <w:rPr>
          <w:lang w:val="fr-FR"/>
        </w:rPr>
        <w:t>’</w:t>
      </w:r>
      <w:r>
        <w:rPr>
          <w:lang w:val="fr-FR"/>
        </w:rPr>
        <w:t xml:space="preserve">affaire </w:t>
      </w:r>
      <w:r w:rsidRPr="00662412">
        <w:rPr>
          <w:i/>
          <w:iCs/>
          <w:lang w:val="fr-FR"/>
        </w:rPr>
        <w:t>L</w:t>
      </w:r>
      <w:r w:rsidRPr="006473EF">
        <w:rPr>
          <w:i/>
          <w:iCs/>
          <w:lang w:val="fr-FR"/>
        </w:rPr>
        <w:t>.</w:t>
      </w:r>
      <w:r>
        <w:rPr>
          <w:i/>
          <w:iCs/>
          <w:lang w:val="fr-FR"/>
        </w:rPr>
        <w:t> </w:t>
      </w:r>
      <w:r w:rsidRPr="00662412">
        <w:rPr>
          <w:i/>
          <w:iCs/>
          <w:lang w:val="fr-FR"/>
        </w:rPr>
        <w:t>O</w:t>
      </w:r>
      <w:r w:rsidRPr="006473EF">
        <w:rPr>
          <w:i/>
          <w:iCs/>
          <w:lang w:val="fr-FR"/>
        </w:rPr>
        <w:t>.</w:t>
      </w:r>
      <w:r>
        <w:rPr>
          <w:i/>
          <w:iCs/>
          <w:lang w:val="fr-FR"/>
        </w:rPr>
        <w:t> </w:t>
      </w:r>
      <w:r w:rsidRPr="00662412">
        <w:rPr>
          <w:i/>
          <w:iCs/>
          <w:lang w:val="fr-FR"/>
        </w:rPr>
        <w:t>P</w:t>
      </w:r>
      <w:r w:rsidRPr="006473EF">
        <w:rPr>
          <w:i/>
          <w:iCs/>
          <w:lang w:val="fr-FR"/>
        </w:rPr>
        <w:t>.</w:t>
      </w:r>
      <w:r w:rsidRPr="00662412">
        <w:rPr>
          <w:i/>
          <w:iCs/>
          <w:lang w:val="fr-FR"/>
        </w:rPr>
        <w:t xml:space="preserve"> c</w:t>
      </w:r>
      <w:r w:rsidRPr="006473EF">
        <w:rPr>
          <w:i/>
          <w:iCs/>
          <w:lang w:val="fr-FR"/>
        </w:rPr>
        <w:t>.</w:t>
      </w:r>
      <w:r w:rsidRPr="00662412">
        <w:rPr>
          <w:i/>
          <w:iCs/>
          <w:lang w:val="fr-FR"/>
        </w:rPr>
        <w:t xml:space="preserve"> Espagne</w:t>
      </w:r>
      <w:r>
        <w:rPr>
          <w:lang w:val="fr-FR"/>
        </w:rPr>
        <w:t xml:space="preserve"> (</w:t>
      </w:r>
      <w:hyperlink r:id="rId5" w:history="1">
        <w:r w:rsidRPr="00571F5C">
          <w:rPr>
            <w:rStyle w:val="Lienhypertexte"/>
            <w:lang w:val="fr-FR"/>
          </w:rPr>
          <w:t>CCPR/C/103/D/1802/2008</w:t>
        </w:r>
      </w:hyperlink>
      <w:r>
        <w:rPr>
          <w:lang w:val="fr-FR"/>
        </w:rPr>
        <w:t>)</w:t>
      </w:r>
      <w:r w:rsidRPr="006473EF">
        <w:rPr>
          <w:lang w:val="fr-FR"/>
        </w:rPr>
        <w:t>.</w:t>
      </w:r>
    </w:p>
  </w:footnote>
  <w:footnote w:id="14">
    <w:p w14:paraId="2D1735DB" w14:textId="793CC4E2" w:rsidR="00571F5C" w:rsidRPr="00CA1DA8" w:rsidRDefault="00571F5C" w:rsidP="00571F5C">
      <w:pPr>
        <w:pStyle w:val="Notedebasdepage"/>
      </w:pPr>
      <w:r>
        <w:rPr>
          <w:lang w:val="fr-FR"/>
        </w:rPr>
        <w:tab/>
      </w:r>
      <w:r w:rsidRPr="00571F5C">
        <w:rPr>
          <w:rStyle w:val="Appelnotedebasdep"/>
        </w:rPr>
        <w:footnoteRef/>
      </w:r>
      <w:r>
        <w:rPr>
          <w:lang w:val="fr-FR"/>
        </w:rPr>
        <w:t xml:space="preserve"> </w:t>
      </w:r>
      <w:r>
        <w:rPr>
          <w:lang w:val="fr-FR"/>
        </w:rPr>
        <w:tab/>
        <w:t>Dans sa lettre initiale, l</w:t>
      </w:r>
      <w:r w:rsidR="00A455DE">
        <w:rPr>
          <w:lang w:val="fr-FR"/>
        </w:rPr>
        <w:t>’</w:t>
      </w:r>
      <w:r>
        <w:rPr>
          <w:lang w:val="fr-FR"/>
        </w:rPr>
        <w:t>auteur a invoqué l</w:t>
      </w:r>
      <w:r w:rsidR="00A455DE">
        <w:rPr>
          <w:lang w:val="fr-FR"/>
        </w:rPr>
        <w:t>’</w:t>
      </w:r>
      <w:r>
        <w:rPr>
          <w:lang w:val="fr-FR"/>
        </w:rPr>
        <w:t>article 12 du Pacte, sans toutefois faire précisément référence au paragraphe 2 de cet article</w:t>
      </w:r>
      <w:r w:rsidRPr="006473EF">
        <w:rPr>
          <w:lang w:val="fr-FR"/>
        </w:rPr>
        <w:t>.</w:t>
      </w:r>
      <w:r>
        <w:rPr>
          <w:lang w:val="fr-FR"/>
        </w:rPr>
        <w:t xml:space="preserve"> Dans ses commentaires ultérieurs, en date du 19 novembre 2019, il a de nouveau évoqué une violation de l</w:t>
      </w:r>
      <w:r w:rsidR="00A455DE">
        <w:rPr>
          <w:lang w:val="fr-FR"/>
        </w:rPr>
        <w:t>’</w:t>
      </w:r>
      <w:r>
        <w:rPr>
          <w:lang w:val="fr-FR"/>
        </w:rPr>
        <w:t>article 12, et a affirmé que la violation de l</w:t>
      </w:r>
      <w:r w:rsidR="00A455DE">
        <w:rPr>
          <w:lang w:val="fr-FR"/>
        </w:rPr>
        <w:t>’</w:t>
      </w:r>
      <w:r>
        <w:rPr>
          <w:lang w:val="fr-FR"/>
        </w:rPr>
        <w:t>article 2 (par</w:t>
      </w:r>
      <w:r w:rsidRPr="006473EF">
        <w:rPr>
          <w:lang w:val="fr-FR"/>
        </w:rPr>
        <w:t>.</w:t>
      </w:r>
      <w:r>
        <w:rPr>
          <w:lang w:val="fr-FR"/>
        </w:rPr>
        <w:t xml:space="preserve"> 2) du Pacte par l</w:t>
      </w:r>
      <w:r w:rsidR="00A455DE">
        <w:rPr>
          <w:lang w:val="fr-FR"/>
        </w:rPr>
        <w:t>’</w:t>
      </w:r>
      <w:r>
        <w:rPr>
          <w:lang w:val="fr-FR"/>
        </w:rPr>
        <w:t>État partie était une conséquence de la violation des articles 12 (par</w:t>
      </w:r>
      <w:r w:rsidRPr="006473EF">
        <w:rPr>
          <w:lang w:val="fr-FR"/>
        </w:rPr>
        <w:t>.</w:t>
      </w:r>
      <w:r>
        <w:rPr>
          <w:lang w:val="fr-FR"/>
        </w:rPr>
        <w:t xml:space="preserve"> 1 et 2) et 14 (par</w:t>
      </w:r>
      <w:r w:rsidRPr="006473EF">
        <w:rPr>
          <w:lang w:val="fr-FR"/>
        </w:rPr>
        <w:t>.</w:t>
      </w:r>
      <w:r>
        <w:rPr>
          <w:lang w:val="fr-FR"/>
        </w:rPr>
        <w:t>1 et 2)</w:t>
      </w:r>
      <w:r w:rsidRPr="006473EF">
        <w:rPr>
          <w:lang w:val="fr-FR"/>
        </w:rPr>
        <w:t>.</w:t>
      </w:r>
    </w:p>
  </w:footnote>
  <w:footnote w:id="15">
    <w:p w14:paraId="6E79EF18" w14:textId="5E7BA7A0" w:rsidR="00571F5C" w:rsidRPr="00CA1DA8" w:rsidRDefault="00571F5C" w:rsidP="00571F5C">
      <w:pPr>
        <w:pStyle w:val="Notedebasdepage"/>
      </w:pPr>
      <w:r>
        <w:rPr>
          <w:lang w:val="fr-FR"/>
        </w:rPr>
        <w:tab/>
      </w:r>
      <w:r w:rsidRPr="00571F5C">
        <w:rPr>
          <w:rStyle w:val="Appelnotedebasdep"/>
        </w:rPr>
        <w:footnoteRef/>
      </w:r>
      <w:r>
        <w:rPr>
          <w:lang w:val="fr-FR"/>
        </w:rPr>
        <w:t xml:space="preserve"> </w:t>
      </w:r>
      <w:r>
        <w:rPr>
          <w:lang w:val="fr-FR"/>
        </w:rPr>
        <w:tab/>
        <w:t>L</w:t>
      </w:r>
      <w:r w:rsidR="00A455DE">
        <w:rPr>
          <w:lang w:val="fr-FR"/>
        </w:rPr>
        <w:t>’</w:t>
      </w:r>
      <w:r>
        <w:rPr>
          <w:lang w:val="fr-FR"/>
        </w:rPr>
        <w:t>État partie fournit le texte de l</w:t>
      </w:r>
      <w:r w:rsidR="00A455DE">
        <w:rPr>
          <w:lang w:val="fr-FR"/>
        </w:rPr>
        <w:t>’</w:t>
      </w:r>
      <w:r>
        <w:rPr>
          <w:lang w:val="fr-FR"/>
        </w:rPr>
        <w:t xml:space="preserve">article 119 du Code de procédure pénale, qui dispose ce qui suit : « Des mesures restrictives peuvent </w:t>
      </w:r>
      <w:r w:rsidRPr="006C7C86">
        <w:rPr>
          <w:lang w:val="fr-FR"/>
        </w:rPr>
        <w:t>être imposées afin de garantir la participation d</w:t>
      </w:r>
      <w:r w:rsidR="00A455DE">
        <w:rPr>
          <w:lang w:val="fr-FR"/>
        </w:rPr>
        <w:t>’</w:t>
      </w:r>
      <w:r w:rsidRPr="006C7C86">
        <w:rPr>
          <w:lang w:val="fr-FR"/>
        </w:rPr>
        <w:t>un suspect, d</w:t>
      </w:r>
      <w:r w:rsidR="00A455DE">
        <w:rPr>
          <w:lang w:val="fr-FR"/>
        </w:rPr>
        <w:t>’</w:t>
      </w:r>
      <w:r w:rsidRPr="006C7C86">
        <w:rPr>
          <w:lang w:val="fr-FR"/>
        </w:rPr>
        <w:t>un accusé ou d</w:t>
      </w:r>
      <w:r w:rsidR="00A455DE">
        <w:rPr>
          <w:lang w:val="fr-FR"/>
        </w:rPr>
        <w:t>’</w:t>
      </w:r>
      <w:r w:rsidRPr="006C7C86">
        <w:rPr>
          <w:lang w:val="fr-FR"/>
        </w:rPr>
        <w:t>un condamné à la procédure, le bon déroulement de l</w:t>
      </w:r>
      <w:r w:rsidR="00A455DE">
        <w:rPr>
          <w:lang w:val="fr-FR"/>
        </w:rPr>
        <w:t>’</w:t>
      </w:r>
      <w:r w:rsidRPr="006C7C86">
        <w:rPr>
          <w:lang w:val="fr-FR"/>
        </w:rPr>
        <w:t>enquête préliminaire, l</w:t>
      </w:r>
      <w:r w:rsidR="00A455DE">
        <w:rPr>
          <w:lang w:val="fr-FR"/>
        </w:rPr>
        <w:t>’</w:t>
      </w:r>
      <w:r w:rsidRPr="006C7C86">
        <w:rPr>
          <w:lang w:val="fr-FR"/>
        </w:rPr>
        <w:t>examen d</w:t>
      </w:r>
      <w:r w:rsidR="00A455DE">
        <w:rPr>
          <w:lang w:val="fr-FR"/>
        </w:rPr>
        <w:t>’</w:t>
      </w:r>
      <w:r w:rsidRPr="006C7C86">
        <w:rPr>
          <w:lang w:val="fr-FR"/>
        </w:rPr>
        <w:t>une affaire par un tribunal et l</w:t>
      </w:r>
      <w:r w:rsidR="00A455DE">
        <w:rPr>
          <w:lang w:val="fr-FR"/>
        </w:rPr>
        <w:t>’</w:t>
      </w:r>
      <w:r w:rsidRPr="006C7C86">
        <w:rPr>
          <w:lang w:val="fr-FR"/>
        </w:rPr>
        <w:t>exécution d</w:t>
      </w:r>
      <w:r w:rsidR="00A455DE">
        <w:rPr>
          <w:lang w:val="fr-FR"/>
        </w:rPr>
        <w:t>’</w:t>
      </w:r>
      <w:r w:rsidRPr="006C7C86">
        <w:rPr>
          <w:lang w:val="fr-FR"/>
        </w:rPr>
        <w:t>un jugement, ainsi que pour empêcher que de nouvelles infractions ne soient commises</w:t>
      </w:r>
      <w:r w:rsidRPr="006473EF">
        <w:rPr>
          <w:lang w:val="fr-FR"/>
        </w:rPr>
        <w:t>.</w:t>
      </w:r>
      <w:r>
        <w:rPr>
          <w:lang w:val="fr-FR"/>
        </w:rPr>
        <w:t> »</w:t>
      </w:r>
      <w:r w:rsidRPr="006473EF">
        <w:rPr>
          <w:lang w:val="fr-FR"/>
        </w:rPr>
        <w:t>.</w:t>
      </w:r>
      <w:r w:rsidRPr="006C7C86">
        <w:rPr>
          <w:lang w:val="fr-FR"/>
        </w:rPr>
        <w:t xml:space="preserve"> L</w:t>
      </w:r>
      <w:r w:rsidR="00A455DE">
        <w:rPr>
          <w:lang w:val="fr-FR"/>
        </w:rPr>
        <w:t>’</w:t>
      </w:r>
      <w:r w:rsidRPr="006C7C86">
        <w:rPr>
          <w:lang w:val="fr-FR"/>
        </w:rPr>
        <w:t>État partie cite</w:t>
      </w:r>
      <w:r>
        <w:rPr>
          <w:lang w:val="fr-FR"/>
        </w:rPr>
        <w:t xml:space="preserve"> également l</w:t>
      </w:r>
      <w:r w:rsidR="00A455DE">
        <w:rPr>
          <w:lang w:val="fr-FR"/>
        </w:rPr>
        <w:t>’</w:t>
      </w:r>
      <w:r>
        <w:rPr>
          <w:lang w:val="fr-FR"/>
        </w:rPr>
        <w:t xml:space="preserve">article 121 du même </w:t>
      </w:r>
      <w:r w:rsidR="00A455DE">
        <w:rPr>
          <w:lang w:val="fr-FR"/>
        </w:rPr>
        <w:t>C</w:t>
      </w:r>
      <w:r>
        <w:rPr>
          <w:lang w:val="fr-FR"/>
        </w:rPr>
        <w:t>ode, qui dispose</w:t>
      </w:r>
      <w:r>
        <w:rPr>
          <w:lang w:val="fr-FR"/>
        </w:rPr>
        <w:t> </w:t>
      </w:r>
      <w:r>
        <w:rPr>
          <w:lang w:val="fr-FR"/>
        </w:rPr>
        <w:t>: « [</w:t>
      </w:r>
      <w:r w:rsidRPr="006473EF">
        <w:rPr>
          <w:lang w:val="fr-FR"/>
        </w:rPr>
        <w:t>...</w:t>
      </w:r>
      <w:r>
        <w:rPr>
          <w:lang w:val="fr-FR"/>
        </w:rPr>
        <w:t>]</w:t>
      </w:r>
      <w:r w:rsidRPr="006473EF">
        <w:rPr>
          <w:lang w:val="fr-FR"/>
        </w:rPr>
        <w:t>.</w:t>
      </w:r>
      <w:r>
        <w:rPr>
          <w:lang w:val="fr-FR"/>
        </w:rPr>
        <w:t xml:space="preserve"> 2</w:t>
      </w:r>
      <w:r w:rsidRPr="006473EF">
        <w:rPr>
          <w:lang w:val="fr-FR"/>
        </w:rPr>
        <w:t>.</w:t>
      </w:r>
      <w:r>
        <w:rPr>
          <w:lang w:val="fr-FR"/>
        </w:rPr>
        <w:t xml:space="preserve"> Des mesures restrictives ne peuvent être imposées que lorsqu</w:t>
      </w:r>
      <w:r w:rsidR="00A455DE">
        <w:rPr>
          <w:lang w:val="fr-FR"/>
        </w:rPr>
        <w:t>’</w:t>
      </w:r>
      <w:r>
        <w:rPr>
          <w:lang w:val="fr-FR"/>
        </w:rPr>
        <w:t>il existe des éléments suffisants donnant à penser qu</w:t>
      </w:r>
      <w:r w:rsidR="00A455DE">
        <w:rPr>
          <w:lang w:val="fr-FR"/>
        </w:rPr>
        <w:t>’</w:t>
      </w:r>
      <w:r>
        <w:rPr>
          <w:lang w:val="fr-FR"/>
        </w:rPr>
        <w:t>un suspect a commis une infraction pénale</w:t>
      </w:r>
      <w:r w:rsidRPr="006473EF">
        <w:rPr>
          <w:lang w:val="fr-FR"/>
        </w:rPr>
        <w:t>.</w:t>
      </w:r>
      <w:r>
        <w:rPr>
          <w:lang w:val="fr-FR"/>
        </w:rPr>
        <w:t xml:space="preserve"> 3</w:t>
      </w:r>
      <w:r w:rsidRPr="006473EF">
        <w:rPr>
          <w:lang w:val="fr-FR"/>
        </w:rPr>
        <w:t>.</w:t>
      </w:r>
      <w:r>
        <w:rPr>
          <w:lang w:val="fr-FR"/>
        </w:rPr>
        <w:t xml:space="preserve"> Il est possible d</w:t>
      </w:r>
      <w:r w:rsidR="00A455DE">
        <w:rPr>
          <w:lang w:val="fr-FR"/>
        </w:rPr>
        <w:t>’</w:t>
      </w:r>
      <w:r>
        <w:rPr>
          <w:lang w:val="fr-FR"/>
        </w:rPr>
        <w:t>imposer plusieurs mesures restrictives plus clémentes qu</w:t>
      </w:r>
      <w:r w:rsidR="00A455DE">
        <w:rPr>
          <w:lang w:val="fr-FR"/>
        </w:rPr>
        <w:t>’</w:t>
      </w:r>
      <w:r>
        <w:rPr>
          <w:lang w:val="fr-FR"/>
        </w:rPr>
        <w:t>une arrestation</w:t>
      </w:r>
      <w:r w:rsidRPr="006473EF">
        <w:rPr>
          <w:lang w:val="fr-FR"/>
        </w:rPr>
        <w:t>.</w:t>
      </w:r>
      <w:r>
        <w:rPr>
          <w:lang w:val="fr-FR"/>
        </w:rPr>
        <w:t> »</w:t>
      </w:r>
      <w:r w:rsidRPr="006473EF">
        <w:rPr>
          <w:lang w:val="fr-FR"/>
        </w:rPr>
        <w:t>.</w:t>
      </w:r>
    </w:p>
  </w:footnote>
  <w:footnote w:id="16">
    <w:p w14:paraId="56D65212" w14:textId="20FF81E8" w:rsidR="00571F5C" w:rsidRPr="00CA1DA8" w:rsidRDefault="00571F5C" w:rsidP="00571F5C">
      <w:pPr>
        <w:pStyle w:val="Notedebasdepage"/>
      </w:pPr>
      <w:r>
        <w:rPr>
          <w:lang w:val="fr-FR"/>
        </w:rPr>
        <w:tab/>
      </w:r>
      <w:r w:rsidRPr="00571F5C">
        <w:rPr>
          <w:rStyle w:val="Appelnotedebasdep"/>
        </w:rPr>
        <w:footnoteRef/>
      </w:r>
      <w:r>
        <w:rPr>
          <w:lang w:val="fr-FR"/>
        </w:rPr>
        <w:t xml:space="preserve"> </w:t>
      </w:r>
      <w:r>
        <w:rPr>
          <w:lang w:val="fr-FR"/>
        </w:rPr>
        <w:tab/>
        <w:t>L</w:t>
      </w:r>
      <w:r w:rsidR="00A455DE">
        <w:rPr>
          <w:lang w:val="fr-FR"/>
        </w:rPr>
        <w:t>’</w:t>
      </w:r>
      <w:r>
        <w:rPr>
          <w:lang w:val="fr-FR"/>
        </w:rPr>
        <w:t>État partie cite Cour européenne des droits de l</w:t>
      </w:r>
      <w:r w:rsidR="00A455DE">
        <w:rPr>
          <w:lang w:val="fr-FR"/>
        </w:rPr>
        <w:t>’</w:t>
      </w:r>
      <w:r>
        <w:rPr>
          <w:lang w:val="fr-FR"/>
        </w:rPr>
        <w:t xml:space="preserve">homme, </w:t>
      </w:r>
      <w:r>
        <w:rPr>
          <w:i/>
          <w:iCs/>
          <w:lang w:val="fr-FR"/>
        </w:rPr>
        <w:t xml:space="preserve">Fedorov and </w:t>
      </w:r>
      <w:proofErr w:type="spellStart"/>
      <w:r>
        <w:rPr>
          <w:i/>
          <w:iCs/>
          <w:lang w:val="fr-FR"/>
        </w:rPr>
        <w:t>Fedorova</w:t>
      </w:r>
      <w:proofErr w:type="spellEnd"/>
      <w:r>
        <w:rPr>
          <w:i/>
          <w:iCs/>
          <w:lang w:val="fr-FR"/>
        </w:rPr>
        <w:t xml:space="preserve"> v</w:t>
      </w:r>
      <w:r w:rsidRPr="006473EF">
        <w:rPr>
          <w:i/>
          <w:iCs/>
          <w:lang w:val="fr-FR"/>
        </w:rPr>
        <w:t>.</w:t>
      </w:r>
      <w:r>
        <w:rPr>
          <w:i/>
          <w:iCs/>
          <w:lang w:val="fr-FR"/>
        </w:rPr>
        <w:t xml:space="preserve"> </w:t>
      </w:r>
      <w:proofErr w:type="spellStart"/>
      <w:r>
        <w:rPr>
          <w:i/>
          <w:iCs/>
          <w:lang w:val="fr-FR"/>
        </w:rPr>
        <w:t>Russia</w:t>
      </w:r>
      <w:proofErr w:type="spellEnd"/>
      <w:r>
        <w:rPr>
          <w:lang w:val="fr-FR"/>
        </w:rPr>
        <w:t xml:space="preserve"> (requête </w:t>
      </w:r>
      <w:r w:rsidRPr="0084084D">
        <w:rPr>
          <w:rFonts w:eastAsia="MS Mincho"/>
          <w:szCs w:val="22"/>
          <w:lang w:val="fr-FR"/>
        </w:rPr>
        <w:t>n</w:t>
      </w:r>
      <w:r w:rsidRPr="0084084D">
        <w:rPr>
          <w:rFonts w:eastAsia="MS Mincho"/>
          <w:szCs w:val="22"/>
          <w:vertAlign w:val="superscript"/>
          <w:lang w:val="fr-FR"/>
        </w:rPr>
        <w:t>o</w:t>
      </w:r>
      <w:r>
        <w:rPr>
          <w:lang w:val="fr-FR"/>
        </w:rPr>
        <w:t> 31008/02), arrêt du 13 octobre 2005, par</w:t>
      </w:r>
      <w:r w:rsidRPr="006473EF">
        <w:rPr>
          <w:lang w:val="fr-FR"/>
        </w:rPr>
        <w:t>.</w:t>
      </w:r>
      <w:r>
        <w:rPr>
          <w:lang w:val="fr-FR"/>
        </w:rPr>
        <w:t xml:space="preserve"> 41</w:t>
      </w:r>
      <w:r w:rsidRPr="006473EF">
        <w:rPr>
          <w:lang w:val="fr-FR"/>
        </w:rPr>
        <w:t>.</w:t>
      </w:r>
    </w:p>
  </w:footnote>
  <w:footnote w:id="17">
    <w:p w14:paraId="77175B2C" w14:textId="53DC8644" w:rsidR="00571F5C" w:rsidRPr="00CA1DA8" w:rsidRDefault="00571F5C" w:rsidP="00571F5C">
      <w:pPr>
        <w:pStyle w:val="Notedebasdepage"/>
      </w:pPr>
      <w:r>
        <w:rPr>
          <w:lang w:val="fr-FR"/>
        </w:rPr>
        <w:tab/>
      </w:r>
      <w:r w:rsidRPr="00571F5C">
        <w:rPr>
          <w:rStyle w:val="Appelnotedebasdep"/>
        </w:rPr>
        <w:footnoteRef/>
      </w:r>
      <w:r>
        <w:rPr>
          <w:lang w:val="fr-FR"/>
        </w:rPr>
        <w:t xml:space="preserve"> </w:t>
      </w:r>
      <w:r>
        <w:rPr>
          <w:lang w:val="fr-FR"/>
        </w:rPr>
        <w:tab/>
        <w:t>L</w:t>
      </w:r>
      <w:r w:rsidR="00A455DE">
        <w:rPr>
          <w:lang w:val="fr-FR"/>
        </w:rPr>
        <w:t>’</w:t>
      </w:r>
      <w:r>
        <w:rPr>
          <w:lang w:val="fr-FR"/>
        </w:rPr>
        <w:t xml:space="preserve">État partie cite par exemple </w:t>
      </w:r>
      <w:proofErr w:type="spellStart"/>
      <w:r>
        <w:rPr>
          <w:i/>
          <w:iCs/>
          <w:lang w:val="fr-FR"/>
        </w:rPr>
        <w:t>Jagminas</w:t>
      </w:r>
      <w:proofErr w:type="spellEnd"/>
      <w:r>
        <w:rPr>
          <w:i/>
          <w:iCs/>
          <w:lang w:val="fr-FR"/>
        </w:rPr>
        <w:t xml:space="preserve"> c</w:t>
      </w:r>
      <w:r w:rsidRPr="006473EF">
        <w:rPr>
          <w:i/>
          <w:iCs/>
          <w:lang w:val="fr-FR"/>
        </w:rPr>
        <w:t>.</w:t>
      </w:r>
      <w:r>
        <w:rPr>
          <w:i/>
          <w:iCs/>
          <w:lang w:val="fr-FR"/>
        </w:rPr>
        <w:t xml:space="preserve"> Lituanie</w:t>
      </w:r>
      <w:r>
        <w:rPr>
          <w:lang w:val="fr-FR"/>
        </w:rPr>
        <w:t xml:space="preserve"> (</w:t>
      </w:r>
      <w:hyperlink r:id="rId6" w:history="1">
        <w:r w:rsidRPr="00571F5C">
          <w:rPr>
            <w:rStyle w:val="Lienhypertexte"/>
            <w:lang w:val="fr-FR"/>
          </w:rPr>
          <w:t>CCPR/C/126/D/2670/2015</w:t>
        </w:r>
      </w:hyperlink>
      <w:r>
        <w:rPr>
          <w:lang w:val="fr-FR"/>
        </w:rPr>
        <w:t xml:space="preserve"> et </w:t>
      </w:r>
      <w:hyperlink r:id="rId7" w:history="1">
        <w:r w:rsidRPr="00571F5C">
          <w:rPr>
            <w:rStyle w:val="Lienhypertexte"/>
            <w:lang w:val="fr-FR"/>
          </w:rPr>
          <w:t>CCPR/C/126/D/2670/2015/Corr.1</w:t>
        </w:r>
      </w:hyperlink>
      <w:r>
        <w:rPr>
          <w:lang w:val="fr-FR"/>
        </w:rPr>
        <w:t>)</w:t>
      </w:r>
      <w:r w:rsidRPr="006473EF">
        <w:rPr>
          <w:lang w:val="fr-FR"/>
        </w:rPr>
        <w:t>.</w:t>
      </w:r>
    </w:p>
  </w:footnote>
  <w:footnote w:id="18">
    <w:p w14:paraId="561190A2" w14:textId="7B885E2A" w:rsidR="00571F5C" w:rsidRPr="00CA1DA8" w:rsidRDefault="00571F5C" w:rsidP="00571F5C">
      <w:pPr>
        <w:pStyle w:val="Notedebasdepage"/>
      </w:pPr>
      <w:r>
        <w:rPr>
          <w:lang w:val="fr-FR"/>
        </w:rPr>
        <w:tab/>
      </w:r>
      <w:r w:rsidRPr="00571F5C">
        <w:rPr>
          <w:rStyle w:val="Appelnotedebasdep"/>
        </w:rPr>
        <w:footnoteRef/>
      </w:r>
      <w:r>
        <w:rPr>
          <w:lang w:val="fr-FR"/>
        </w:rPr>
        <w:tab/>
        <w:t>L</w:t>
      </w:r>
      <w:r w:rsidR="00A455DE">
        <w:rPr>
          <w:lang w:val="fr-FR"/>
        </w:rPr>
        <w:t>’</w:t>
      </w:r>
      <w:r>
        <w:rPr>
          <w:lang w:val="fr-FR"/>
        </w:rPr>
        <w:t>auteur n</w:t>
      </w:r>
      <w:r w:rsidR="00A455DE">
        <w:rPr>
          <w:lang w:val="fr-FR"/>
        </w:rPr>
        <w:t>’</w:t>
      </w:r>
      <w:r>
        <w:rPr>
          <w:lang w:val="fr-FR"/>
        </w:rPr>
        <w:t>en dit pas plus sur ce point</w:t>
      </w:r>
      <w:r w:rsidRPr="006473EF">
        <w:rPr>
          <w:lang w:val="fr-FR"/>
        </w:rPr>
        <w:t>.</w:t>
      </w:r>
    </w:p>
  </w:footnote>
  <w:footnote w:id="19">
    <w:p w14:paraId="7AE6752F" w14:textId="75308FEF" w:rsidR="00571F5C" w:rsidRPr="00CA1DA8" w:rsidRDefault="00571F5C" w:rsidP="00571F5C">
      <w:pPr>
        <w:pStyle w:val="Notedebasdepage"/>
        <w:rPr>
          <w:szCs w:val="18"/>
        </w:rPr>
      </w:pPr>
      <w:r>
        <w:rPr>
          <w:szCs w:val="18"/>
          <w:lang w:val="fr-FR"/>
        </w:rPr>
        <w:tab/>
      </w:r>
      <w:r w:rsidRPr="00571F5C">
        <w:rPr>
          <w:rStyle w:val="Appelnotedebasdep"/>
        </w:rPr>
        <w:footnoteRef/>
      </w:r>
      <w:r>
        <w:rPr>
          <w:lang w:val="fr-FR"/>
        </w:rPr>
        <w:tab/>
        <w:t xml:space="preserve">Voir, par exemple, </w:t>
      </w:r>
      <w:r>
        <w:rPr>
          <w:i/>
          <w:iCs/>
          <w:lang w:val="fr-FR"/>
        </w:rPr>
        <w:t>X et consorts c</w:t>
      </w:r>
      <w:r w:rsidRPr="006473EF">
        <w:rPr>
          <w:i/>
          <w:iCs/>
          <w:lang w:val="fr-FR"/>
        </w:rPr>
        <w:t>.</w:t>
      </w:r>
      <w:r>
        <w:rPr>
          <w:i/>
          <w:iCs/>
          <w:lang w:val="fr-FR"/>
        </w:rPr>
        <w:t xml:space="preserve"> Grèce</w:t>
      </w:r>
      <w:r>
        <w:rPr>
          <w:lang w:val="fr-FR"/>
        </w:rPr>
        <w:t xml:space="preserve"> (</w:t>
      </w:r>
      <w:hyperlink r:id="rId8" w:history="1">
        <w:r w:rsidRPr="00571F5C">
          <w:rPr>
            <w:rStyle w:val="Lienhypertexte"/>
            <w:lang w:val="fr-FR"/>
          </w:rPr>
          <w:t>CCPR/C/126/D/2701/2015</w:t>
        </w:r>
      </w:hyperlink>
      <w:r>
        <w:rPr>
          <w:lang w:val="fr-FR"/>
        </w:rPr>
        <w:t>), par</w:t>
      </w:r>
      <w:r w:rsidRPr="006473EF">
        <w:rPr>
          <w:lang w:val="fr-FR"/>
        </w:rPr>
        <w:t>.</w:t>
      </w:r>
      <w:r>
        <w:rPr>
          <w:lang w:val="fr-FR"/>
        </w:rPr>
        <w:t xml:space="preserve"> 8</w:t>
      </w:r>
      <w:r w:rsidRPr="006473EF">
        <w:rPr>
          <w:lang w:val="fr-FR"/>
        </w:rPr>
        <w:t>.</w:t>
      </w:r>
      <w:r>
        <w:rPr>
          <w:lang w:val="fr-FR"/>
        </w:rPr>
        <w:t>5</w:t>
      </w:r>
      <w:r>
        <w:rPr>
          <w:lang w:val="fr-FR"/>
        </w:rPr>
        <w:t> </w:t>
      </w:r>
      <w:r>
        <w:rPr>
          <w:lang w:val="fr-FR"/>
        </w:rPr>
        <w:t xml:space="preserve">; </w:t>
      </w:r>
      <w:proofErr w:type="spellStart"/>
      <w:r>
        <w:rPr>
          <w:i/>
          <w:iCs/>
          <w:lang w:val="fr-FR"/>
        </w:rPr>
        <w:t>Vargay</w:t>
      </w:r>
      <w:proofErr w:type="spellEnd"/>
      <w:r>
        <w:rPr>
          <w:i/>
          <w:iCs/>
          <w:lang w:val="fr-FR"/>
        </w:rPr>
        <w:t xml:space="preserve"> c</w:t>
      </w:r>
      <w:r w:rsidRPr="006473EF">
        <w:rPr>
          <w:i/>
          <w:iCs/>
          <w:lang w:val="fr-FR"/>
        </w:rPr>
        <w:t>.</w:t>
      </w:r>
      <w:r>
        <w:rPr>
          <w:i/>
          <w:iCs/>
          <w:lang w:val="fr-FR"/>
        </w:rPr>
        <w:t xml:space="preserve"> Canada </w:t>
      </w:r>
      <w:r>
        <w:rPr>
          <w:lang w:val="fr-FR"/>
        </w:rPr>
        <w:t>(</w:t>
      </w:r>
      <w:hyperlink r:id="rId9" w:history="1">
        <w:r w:rsidRPr="00571F5C">
          <w:rPr>
            <w:rStyle w:val="Lienhypertexte"/>
            <w:lang w:val="fr-FR"/>
          </w:rPr>
          <w:t>CCPR/C/96/D/1639/2007</w:t>
        </w:r>
      </w:hyperlink>
      <w:r>
        <w:rPr>
          <w:lang w:val="fr-FR"/>
        </w:rPr>
        <w:t>), par</w:t>
      </w:r>
      <w:r w:rsidRPr="006473EF">
        <w:rPr>
          <w:lang w:val="fr-FR"/>
        </w:rPr>
        <w:t>.</w:t>
      </w:r>
      <w:r>
        <w:rPr>
          <w:lang w:val="fr-FR"/>
        </w:rPr>
        <w:t xml:space="preserve"> 7</w:t>
      </w:r>
      <w:r w:rsidRPr="006473EF">
        <w:rPr>
          <w:lang w:val="fr-FR"/>
        </w:rPr>
        <w:t>.</w:t>
      </w:r>
      <w:r>
        <w:rPr>
          <w:lang w:val="fr-FR"/>
        </w:rPr>
        <w:t>3</w:t>
      </w:r>
      <w:r w:rsidRPr="006473EF">
        <w:rPr>
          <w:lang w:val="fr-FR"/>
        </w:rPr>
        <w:t>.</w:t>
      </w:r>
    </w:p>
  </w:footnote>
  <w:footnote w:id="20">
    <w:p w14:paraId="762A8036" w14:textId="77777777" w:rsidR="00571F5C" w:rsidRPr="00CA1DA8" w:rsidRDefault="00571F5C" w:rsidP="00571F5C">
      <w:pPr>
        <w:pStyle w:val="Notedebasdepage"/>
      </w:pPr>
      <w:r w:rsidRPr="00056947">
        <w:rPr>
          <w:lang w:val="fr-FR"/>
        </w:rPr>
        <w:tab/>
      </w:r>
      <w:r w:rsidRPr="00571F5C">
        <w:rPr>
          <w:rStyle w:val="Appelnotedebasdep"/>
        </w:rPr>
        <w:footnoteRef/>
      </w:r>
      <w:r>
        <w:rPr>
          <w:lang w:val="fr-FR"/>
        </w:rPr>
        <w:tab/>
        <w:t>Voir par</w:t>
      </w:r>
      <w:r w:rsidRPr="006473EF">
        <w:rPr>
          <w:lang w:val="fr-FR"/>
        </w:rPr>
        <w:t>.</w:t>
      </w:r>
      <w:r>
        <w:rPr>
          <w:lang w:val="fr-FR"/>
        </w:rPr>
        <w:t xml:space="preserve"> 4</w:t>
      </w:r>
      <w:r w:rsidRPr="006473EF">
        <w:rPr>
          <w:lang w:val="fr-FR"/>
        </w:rPr>
        <w:t>.</w:t>
      </w:r>
      <w:r>
        <w:rPr>
          <w:lang w:val="fr-FR"/>
        </w:rPr>
        <w:t>7 ci-dessus</w:t>
      </w:r>
      <w:r w:rsidRPr="006473EF">
        <w:rPr>
          <w:lang w:val="fr-FR"/>
        </w:rPr>
        <w:t>.</w:t>
      </w:r>
    </w:p>
  </w:footnote>
  <w:footnote w:id="21">
    <w:p w14:paraId="5785866F" w14:textId="77777777" w:rsidR="00571F5C" w:rsidRPr="00CA1DA8" w:rsidRDefault="00571F5C" w:rsidP="00571F5C">
      <w:pPr>
        <w:pStyle w:val="Notedebasdepage"/>
      </w:pPr>
      <w:r w:rsidRPr="00056947">
        <w:rPr>
          <w:lang w:val="fr-FR"/>
        </w:rPr>
        <w:tab/>
      </w:r>
      <w:r w:rsidRPr="00571F5C">
        <w:rPr>
          <w:rStyle w:val="Appelnotedebasdep"/>
        </w:rPr>
        <w:footnoteRef/>
      </w:r>
      <w:r>
        <w:rPr>
          <w:lang w:val="fr-FR"/>
        </w:rPr>
        <w:tab/>
        <w:t>Voir par</w:t>
      </w:r>
      <w:r w:rsidRPr="006473EF">
        <w:rPr>
          <w:lang w:val="fr-FR"/>
        </w:rPr>
        <w:t>.</w:t>
      </w:r>
      <w:r>
        <w:rPr>
          <w:lang w:val="fr-FR"/>
        </w:rPr>
        <w:t xml:space="preserve"> 4</w:t>
      </w:r>
      <w:r w:rsidRPr="006473EF">
        <w:rPr>
          <w:lang w:val="fr-FR"/>
        </w:rPr>
        <w:t>.</w:t>
      </w:r>
      <w:r>
        <w:rPr>
          <w:lang w:val="fr-FR"/>
        </w:rPr>
        <w:t>11 ci-dessus</w:t>
      </w:r>
      <w:r w:rsidRPr="006473EF">
        <w:rPr>
          <w:lang w:val="fr-FR"/>
        </w:rPr>
        <w:t>.</w:t>
      </w:r>
    </w:p>
  </w:footnote>
  <w:footnote w:id="22">
    <w:p w14:paraId="3883430A" w14:textId="04987520" w:rsidR="00571F5C" w:rsidRPr="00CA1DA8" w:rsidRDefault="00571F5C" w:rsidP="00571F5C">
      <w:pPr>
        <w:pStyle w:val="Notedebasdepage"/>
      </w:pPr>
      <w:r w:rsidRPr="00056947">
        <w:rPr>
          <w:lang w:val="fr-FR"/>
        </w:rPr>
        <w:tab/>
      </w:r>
      <w:r w:rsidRPr="00571F5C">
        <w:rPr>
          <w:rStyle w:val="Appelnotedebasdep"/>
        </w:rPr>
        <w:footnoteRef/>
      </w:r>
      <w:r>
        <w:rPr>
          <w:lang w:val="fr-FR"/>
        </w:rPr>
        <w:tab/>
        <w:t xml:space="preserve">Voir </w:t>
      </w:r>
      <w:r>
        <w:rPr>
          <w:i/>
          <w:iCs/>
          <w:lang w:val="fr-FR"/>
        </w:rPr>
        <w:t>S. R. c</w:t>
      </w:r>
      <w:r w:rsidRPr="006473EF">
        <w:rPr>
          <w:i/>
          <w:iCs/>
          <w:lang w:val="fr-FR"/>
        </w:rPr>
        <w:t>.</w:t>
      </w:r>
      <w:r>
        <w:rPr>
          <w:i/>
          <w:iCs/>
          <w:lang w:val="fr-FR"/>
        </w:rPr>
        <w:t xml:space="preserve"> Lituanie </w:t>
      </w:r>
      <w:r>
        <w:rPr>
          <w:lang w:val="fr-FR"/>
        </w:rPr>
        <w:t>(</w:t>
      </w:r>
      <w:hyperlink r:id="rId10" w:history="1">
        <w:r w:rsidRPr="00571F5C">
          <w:rPr>
            <w:rStyle w:val="Lienhypertexte"/>
            <w:lang w:val="fr-FR"/>
          </w:rPr>
          <w:t>CCPR/C/132/D/3313/2019</w:t>
        </w:r>
      </w:hyperlink>
      <w:r>
        <w:rPr>
          <w:lang w:val="fr-FR"/>
        </w:rPr>
        <w:t>), par</w:t>
      </w:r>
      <w:r w:rsidRPr="006473EF">
        <w:rPr>
          <w:lang w:val="fr-FR"/>
        </w:rPr>
        <w:t>.</w:t>
      </w:r>
      <w:r>
        <w:rPr>
          <w:lang w:val="fr-FR"/>
        </w:rPr>
        <w:t xml:space="preserve"> 8</w:t>
      </w:r>
      <w:r w:rsidRPr="006473EF">
        <w:rPr>
          <w:lang w:val="fr-FR"/>
        </w:rPr>
        <w:t>.</w:t>
      </w:r>
      <w:r>
        <w:rPr>
          <w:lang w:val="fr-FR"/>
        </w:rPr>
        <w:t>8</w:t>
      </w:r>
      <w:r>
        <w:rPr>
          <w:lang w:val="fr-FR"/>
        </w:rPr>
        <w:t> </w:t>
      </w:r>
      <w:r>
        <w:rPr>
          <w:lang w:val="fr-FR"/>
        </w:rPr>
        <w:t xml:space="preserve">; </w:t>
      </w:r>
      <w:r>
        <w:rPr>
          <w:i/>
          <w:iCs/>
          <w:lang w:val="fr-FR"/>
        </w:rPr>
        <w:t>Ch</w:t>
      </w:r>
      <w:r w:rsidRPr="006473EF">
        <w:rPr>
          <w:i/>
          <w:iCs/>
          <w:lang w:val="fr-FR"/>
        </w:rPr>
        <w:t>.</w:t>
      </w:r>
      <w:r>
        <w:rPr>
          <w:i/>
          <w:iCs/>
          <w:lang w:val="fr-FR"/>
        </w:rPr>
        <w:t xml:space="preserve"> H</w:t>
      </w:r>
      <w:r w:rsidRPr="006473EF">
        <w:rPr>
          <w:i/>
          <w:iCs/>
          <w:lang w:val="fr-FR"/>
        </w:rPr>
        <w:t>.</w:t>
      </w:r>
      <w:r>
        <w:rPr>
          <w:i/>
          <w:iCs/>
          <w:lang w:val="fr-FR"/>
        </w:rPr>
        <w:t xml:space="preserve"> O</w:t>
      </w:r>
      <w:r w:rsidRPr="006473EF">
        <w:rPr>
          <w:i/>
          <w:iCs/>
          <w:lang w:val="fr-FR"/>
        </w:rPr>
        <w:t>.</w:t>
      </w:r>
      <w:r>
        <w:rPr>
          <w:i/>
          <w:iCs/>
          <w:lang w:val="fr-FR"/>
        </w:rPr>
        <w:t xml:space="preserve"> c</w:t>
      </w:r>
      <w:r w:rsidRPr="006473EF">
        <w:rPr>
          <w:i/>
          <w:iCs/>
          <w:lang w:val="fr-FR"/>
        </w:rPr>
        <w:t>.</w:t>
      </w:r>
      <w:r>
        <w:rPr>
          <w:i/>
          <w:iCs/>
          <w:lang w:val="fr-FR"/>
        </w:rPr>
        <w:t xml:space="preserve"> Canada</w:t>
      </w:r>
      <w:r>
        <w:rPr>
          <w:lang w:val="fr-FR"/>
        </w:rPr>
        <w:t xml:space="preserve"> (</w:t>
      </w:r>
      <w:hyperlink r:id="rId11" w:history="1">
        <w:r w:rsidRPr="00571F5C">
          <w:rPr>
            <w:rStyle w:val="Lienhypertexte"/>
            <w:lang w:val="fr-FR"/>
          </w:rPr>
          <w:t>CCPR/C/118/D/2195/2012</w:t>
        </w:r>
      </w:hyperlink>
      <w:r>
        <w:rPr>
          <w:lang w:val="fr-FR"/>
        </w:rPr>
        <w:t>), par</w:t>
      </w:r>
      <w:r w:rsidRPr="006473EF">
        <w:rPr>
          <w:lang w:val="fr-FR"/>
        </w:rPr>
        <w:t>.</w:t>
      </w:r>
      <w:r>
        <w:rPr>
          <w:lang w:val="fr-FR"/>
        </w:rPr>
        <w:t xml:space="preserve"> 9</w:t>
      </w:r>
      <w:r w:rsidRPr="006473EF">
        <w:rPr>
          <w:lang w:val="fr-FR"/>
        </w:rPr>
        <w:t>.</w:t>
      </w:r>
      <w:r>
        <w:rPr>
          <w:lang w:val="fr-FR"/>
        </w:rPr>
        <w:t>4</w:t>
      </w:r>
      <w:r>
        <w:rPr>
          <w:lang w:val="fr-FR"/>
        </w:rPr>
        <w:t> </w:t>
      </w:r>
      <w:r>
        <w:rPr>
          <w:lang w:val="fr-FR"/>
        </w:rPr>
        <w:t xml:space="preserve">; </w:t>
      </w:r>
      <w:r>
        <w:rPr>
          <w:i/>
          <w:iCs/>
          <w:lang w:val="fr-FR"/>
        </w:rPr>
        <w:t>X c</w:t>
      </w:r>
      <w:r w:rsidRPr="006473EF">
        <w:rPr>
          <w:i/>
          <w:iCs/>
          <w:lang w:val="fr-FR"/>
        </w:rPr>
        <w:t>.</w:t>
      </w:r>
      <w:r>
        <w:rPr>
          <w:i/>
          <w:iCs/>
          <w:lang w:val="fr-FR"/>
        </w:rPr>
        <w:t xml:space="preserve"> République tchèque</w:t>
      </w:r>
      <w:r>
        <w:rPr>
          <w:lang w:val="fr-FR"/>
        </w:rPr>
        <w:t xml:space="preserve"> (</w:t>
      </w:r>
      <w:hyperlink r:id="rId12" w:history="1">
        <w:r w:rsidRPr="00571F5C">
          <w:rPr>
            <w:rStyle w:val="Lienhypertexte"/>
            <w:lang w:val="fr-FR"/>
          </w:rPr>
          <w:t>CCPR/C/113/D/1961/2010</w:t>
        </w:r>
      </w:hyperlink>
      <w:r>
        <w:rPr>
          <w:lang w:val="fr-FR"/>
        </w:rPr>
        <w:t>), par</w:t>
      </w:r>
      <w:r w:rsidRPr="006473EF">
        <w:rPr>
          <w:lang w:val="fr-FR"/>
        </w:rPr>
        <w:t>.</w:t>
      </w:r>
      <w:r w:rsidR="00A455DE">
        <w:rPr>
          <w:lang w:val="fr-FR"/>
        </w:rPr>
        <w:t> </w:t>
      </w:r>
      <w:r>
        <w:rPr>
          <w:lang w:val="fr-FR"/>
        </w:rPr>
        <w:t>6</w:t>
      </w:r>
      <w:r w:rsidRPr="006473EF">
        <w:rPr>
          <w:lang w:val="fr-FR"/>
        </w:rPr>
        <w:t>.</w:t>
      </w:r>
      <w:r>
        <w:rPr>
          <w:lang w:val="fr-FR"/>
        </w:rPr>
        <w:t>6</w:t>
      </w:r>
      <w:r w:rsidRPr="006473EF">
        <w:rPr>
          <w:lang w:val="fr-FR"/>
        </w:rPr>
        <w:t>.</w:t>
      </w:r>
    </w:p>
  </w:footnote>
  <w:footnote w:id="23">
    <w:p w14:paraId="1EAFB3FF" w14:textId="40C8C803" w:rsidR="00571F5C" w:rsidRPr="00CA1DA8" w:rsidRDefault="00571F5C" w:rsidP="00571F5C">
      <w:pPr>
        <w:pStyle w:val="Notedebasdepage"/>
      </w:pPr>
      <w:r>
        <w:rPr>
          <w:lang w:val="fr-FR"/>
        </w:rPr>
        <w:tab/>
      </w:r>
      <w:r w:rsidRPr="00571F5C">
        <w:rPr>
          <w:rStyle w:val="Appelnotedebasdep"/>
        </w:rPr>
        <w:footnoteRef/>
      </w:r>
      <w:r>
        <w:rPr>
          <w:lang w:val="fr-FR"/>
        </w:rPr>
        <w:tab/>
        <w:t xml:space="preserve">Observation générale </w:t>
      </w:r>
      <w:r w:rsidRPr="00A471AF">
        <w:rPr>
          <w:rFonts w:eastAsia="MS Mincho"/>
          <w:szCs w:val="22"/>
          <w:lang w:val="fr-FR"/>
        </w:rPr>
        <w:t>n</w:t>
      </w:r>
      <w:r w:rsidRPr="00A471AF">
        <w:rPr>
          <w:rFonts w:eastAsia="MS Mincho"/>
          <w:szCs w:val="22"/>
          <w:vertAlign w:val="superscript"/>
          <w:lang w:val="fr-FR"/>
        </w:rPr>
        <w:t>o</w:t>
      </w:r>
      <w:r>
        <w:rPr>
          <w:lang w:val="fr-FR"/>
        </w:rPr>
        <w:t> 32 (2007), par.</w:t>
      </w:r>
      <w:r>
        <w:rPr>
          <w:lang w:val="fr-FR"/>
        </w:rPr>
        <w:t xml:space="preserve"> </w:t>
      </w:r>
      <w:r>
        <w:rPr>
          <w:lang w:val="fr-FR"/>
        </w:rPr>
        <w:t xml:space="preserve">3 ; </w:t>
      </w:r>
      <w:proofErr w:type="spellStart"/>
      <w:r>
        <w:rPr>
          <w:i/>
          <w:iCs/>
          <w:lang w:val="fr-FR"/>
        </w:rPr>
        <w:t>Jagminas</w:t>
      </w:r>
      <w:proofErr w:type="spellEnd"/>
      <w:r>
        <w:rPr>
          <w:i/>
          <w:iCs/>
          <w:lang w:val="fr-FR"/>
        </w:rPr>
        <w:t xml:space="preserve"> c</w:t>
      </w:r>
      <w:r w:rsidRPr="006473EF">
        <w:rPr>
          <w:i/>
          <w:iCs/>
          <w:lang w:val="fr-FR"/>
        </w:rPr>
        <w:t>.</w:t>
      </w:r>
      <w:r>
        <w:rPr>
          <w:i/>
          <w:iCs/>
          <w:lang w:val="fr-FR"/>
        </w:rPr>
        <w:t xml:space="preserve"> Lituanie</w:t>
      </w:r>
      <w:r>
        <w:rPr>
          <w:lang w:val="fr-FR"/>
        </w:rPr>
        <w:t>, par</w:t>
      </w:r>
      <w:r w:rsidRPr="006473EF">
        <w:rPr>
          <w:lang w:val="fr-FR"/>
        </w:rPr>
        <w:t>.</w:t>
      </w:r>
      <w:r>
        <w:rPr>
          <w:lang w:val="fr-FR"/>
        </w:rPr>
        <w:t xml:space="preserve"> 7</w:t>
      </w:r>
      <w:r w:rsidRPr="006473EF">
        <w:rPr>
          <w:lang w:val="fr-FR"/>
        </w:rPr>
        <w:t>.</w:t>
      </w:r>
      <w:r>
        <w:rPr>
          <w:lang w:val="fr-FR"/>
        </w:rPr>
        <w:t>4.</w:t>
      </w:r>
    </w:p>
  </w:footnote>
  <w:footnote w:id="24">
    <w:p w14:paraId="5598FD8D" w14:textId="0B665127" w:rsidR="00571F5C" w:rsidRPr="00CA1DA8" w:rsidRDefault="00571F5C" w:rsidP="00571F5C">
      <w:pPr>
        <w:pStyle w:val="Notedebasdepage"/>
      </w:pPr>
      <w:r w:rsidRPr="00056947">
        <w:rPr>
          <w:lang w:val="fr-FR"/>
        </w:rPr>
        <w:tab/>
      </w:r>
      <w:r w:rsidRPr="00571F5C">
        <w:rPr>
          <w:rStyle w:val="Appelnotedebasdep"/>
        </w:rPr>
        <w:footnoteRef/>
      </w:r>
      <w:r>
        <w:rPr>
          <w:lang w:val="fr-FR"/>
        </w:rPr>
        <w:tab/>
      </w:r>
      <w:r>
        <w:rPr>
          <w:i/>
          <w:iCs/>
          <w:lang w:val="fr-FR"/>
        </w:rPr>
        <w:t>J. </w:t>
      </w:r>
      <w:proofErr w:type="spellStart"/>
      <w:r>
        <w:rPr>
          <w:i/>
          <w:iCs/>
          <w:lang w:val="fr-FR"/>
        </w:rPr>
        <w:t>Suleymanova</w:t>
      </w:r>
      <w:proofErr w:type="spellEnd"/>
      <w:r>
        <w:rPr>
          <w:i/>
          <w:iCs/>
          <w:lang w:val="fr-FR"/>
        </w:rPr>
        <w:t xml:space="preserve"> et </w:t>
      </w:r>
      <w:r w:rsidRPr="00076466">
        <w:rPr>
          <w:i/>
          <w:lang w:val="fr-FR"/>
        </w:rPr>
        <w:t>G.</w:t>
      </w:r>
      <w:r>
        <w:rPr>
          <w:i/>
          <w:lang w:val="fr-FR"/>
        </w:rPr>
        <w:t> </w:t>
      </w:r>
      <w:proofErr w:type="spellStart"/>
      <w:r w:rsidRPr="00076466">
        <w:rPr>
          <w:i/>
          <w:lang w:val="fr-FR"/>
        </w:rPr>
        <w:t>Israfilova</w:t>
      </w:r>
      <w:proofErr w:type="spellEnd"/>
      <w:r>
        <w:rPr>
          <w:i/>
          <w:iCs/>
          <w:lang w:val="fr-FR"/>
        </w:rPr>
        <w:t xml:space="preserve"> c</w:t>
      </w:r>
      <w:r w:rsidRPr="006473EF">
        <w:rPr>
          <w:i/>
          <w:iCs/>
          <w:lang w:val="fr-FR"/>
        </w:rPr>
        <w:t>.</w:t>
      </w:r>
      <w:r>
        <w:rPr>
          <w:i/>
          <w:iCs/>
          <w:lang w:val="fr-FR"/>
        </w:rPr>
        <w:t xml:space="preserve"> Azerbaïdjan</w:t>
      </w:r>
      <w:r>
        <w:rPr>
          <w:lang w:val="fr-FR"/>
        </w:rPr>
        <w:t xml:space="preserve"> (</w:t>
      </w:r>
      <w:hyperlink r:id="rId13" w:history="1">
        <w:r w:rsidRPr="00571F5C">
          <w:rPr>
            <w:rStyle w:val="Lienhypertexte"/>
            <w:lang w:val="fr-FR"/>
          </w:rPr>
          <w:t>CCPR/C/133/D/3061/2017</w:t>
        </w:r>
      </w:hyperlink>
      <w:r>
        <w:rPr>
          <w:lang w:val="fr-FR"/>
        </w:rPr>
        <w:t>), par</w:t>
      </w:r>
      <w:r w:rsidRPr="006473EF">
        <w:rPr>
          <w:lang w:val="fr-FR"/>
        </w:rPr>
        <w:t>.</w:t>
      </w:r>
      <w:r>
        <w:rPr>
          <w:lang w:val="fr-FR"/>
        </w:rPr>
        <w:t xml:space="preserve"> 6</w:t>
      </w:r>
      <w:r w:rsidRPr="006473EF">
        <w:rPr>
          <w:lang w:val="fr-FR"/>
        </w:rPr>
        <w:t>.</w:t>
      </w:r>
      <w:r>
        <w:rPr>
          <w:lang w:val="fr-FR"/>
        </w:rPr>
        <w:t xml:space="preserve">5 ; </w:t>
      </w:r>
      <w:r>
        <w:rPr>
          <w:i/>
          <w:iCs/>
          <w:lang w:val="fr-FR"/>
        </w:rPr>
        <w:t>E. </w:t>
      </w:r>
      <w:proofErr w:type="spellStart"/>
      <w:r>
        <w:rPr>
          <w:i/>
          <w:iCs/>
          <w:lang w:val="fr-FR"/>
        </w:rPr>
        <w:t>Sadykov</w:t>
      </w:r>
      <w:proofErr w:type="spellEnd"/>
      <w:r>
        <w:rPr>
          <w:i/>
          <w:iCs/>
          <w:lang w:val="fr-FR"/>
        </w:rPr>
        <w:t xml:space="preserve"> c</w:t>
      </w:r>
      <w:r w:rsidRPr="006473EF">
        <w:rPr>
          <w:i/>
          <w:iCs/>
          <w:lang w:val="fr-FR"/>
        </w:rPr>
        <w:t>.</w:t>
      </w:r>
      <w:r>
        <w:rPr>
          <w:i/>
          <w:iCs/>
          <w:lang w:val="fr-FR"/>
        </w:rPr>
        <w:t> Kazakhstan</w:t>
      </w:r>
      <w:r>
        <w:rPr>
          <w:lang w:val="fr-FR"/>
        </w:rPr>
        <w:t xml:space="preserve"> (</w:t>
      </w:r>
      <w:hyperlink r:id="rId14" w:history="1">
        <w:r w:rsidRPr="00571F5C">
          <w:rPr>
            <w:rStyle w:val="Lienhypertexte"/>
            <w:lang w:val="fr-FR"/>
          </w:rPr>
          <w:t>CCPR/C/129/D/2456/2014</w:t>
        </w:r>
      </w:hyperlink>
      <w:r>
        <w:rPr>
          <w:lang w:val="fr-FR"/>
        </w:rPr>
        <w:t>), par</w:t>
      </w:r>
      <w:r w:rsidRPr="006473EF">
        <w:rPr>
          <w:lang w:val="fr-FR"/>
        </w:rPr>
        <w:t>.</w:t>
      </w:r>
      <w:r>
        <w:rPr>
          <w:lang w:val="fr-FR"/>
        </w:rPr>
        <w:t xml:space="preserve"> 6</w:t>
      </w:r>
      <w:r w:rsidRPr="006473EF">
        <w:rPr>
          <w:lang w:val="fr-FR"/>
        </w:rPr>
        <w:t>.</w:t>
      </w:r>
      <w:r>
        <w:rPr>
          <w:lang w:val="fr-FR"/>
        </w:rPr>
        <w:t>6</w:t>
      </w:r>
      <w:r w:rsidRPr="006473EF">
        <w:rPr>
          <w:lang w:val="fr-FR"/>
        </w:rPr>
        <w:t>.</w:t>
      </w:r>
      <w:r>
        <w:rPr>
          <w:lang w:val="fr-FR"/>
        </w:rPr>
        <w:t xml:space="preserve"> </w:t>
      </w:r>
    </w:p>
  </w:footnote>
  <w:footnote w:id="25">
    <w:p w14:paraId="6943E1BD" w14:textId="12F61F02" w:rsidR="00571F5C" w:rsidRPr="00CA1DA8" w:rsidRDefault="00571F5C" w:rsidP="00571F5C">
      <w:pPr>
        <w:pStyle w:val="Notedebasdepage"/>
      </w:pPr>
      <w:r>
        <w:rPr>
          <w:lang w:val="fr-FR"/>
        </w:rPr>
        <w:tab/>
      </w:r>
      <w:r w:rsidRPr="00571F5C">
        <w:rPr>
          <w:rStyle w:val="Appelnotedebasdep"/>
        </w:rPr>
        <w:footnoteRef/>
      </w:r>
      <w:r>
        <w:rPr>
          <w:lang w:val="fr-FR"/>
        </w:rPr>
        <w:tab/>
        <w:t xml:space="preserve">Voir, par exemple, </w:t>
      </w:r>
      <w:proofErr w:type="spellStart"/>
      <w:r>
        <w:rPr>
          <w:i/>
          <w:iCs/>
          <w:lang w:val="fr-FR"/>
        </w:rPr>
        <w:t>Zoolfia</w:t>
      </w:r>
      <w:proofErr w:type="spellEnd"/>
      <w:r>
        <w:rPr>
          <w:i/>
          <w:iCs/>
          <w:lang w:val="fr-FR"/>
        </w:rPr>
        <w:t xml:space="preserve"> c</w:t>
      </w:r>
      <w:r w:rsidRPr="006473EF">
        <w:rPr>
          <w:i/>
          <w:iCs/>
          <w:lang w:val="fr-FR"/>
        </w:rPr>
        <w:t>.</w:t>
      </w:r>
      <w:r>
        <w:rPr>
          <w:i/>
          <w:iCs/>
          <w:lang w:val="fr-FR"/>
        </w:rPr>
        <w:t xml:space="preserve"> Ouzbékistan</w:t>
      </w:r>
      <w:r>
        <w:rPr>
          <w:lang w:val="fr-FR"/>
        </w:rPr>
        <w:t xml:space="preserve"> (</w:t>
      </w:r>
      <w:hyperlink r:id="rId15" w:history="1">
        <w:r w:rsidRPr="00571F5C">
          <w:rPr>
            <w:rStyle w:val="Lienhypertexte"/>
            <w:lang w:val="fr-FR"/>
          </w:rPr>
          <w:t>CCPR/C/96/DR/1585/2007</w:t>
        </w:r>
      </w:hyperlink>
      <w:r>
        <w:rPr>
          <w:lang w:val="fr-FR"/>
        </w:rPr>
        <w:t>), par</w:t>
      </w:r>
      <w:r w:rsidRPr="006473EF">
        <w:rPr>
          <w:lang w:val="fr-FR"/>
        </w:rPr>
        <w:t>.</w:t>
      </w:r>
      <w:r>
        <w:rPr>
          <w:lang w:val="fr-FR"/>
        </w:rPr>
        <w:t xml:space="preserve"> 8</w:t>
      </w:r>
      <w:r w:rsidRPr="006473EF">
        <w:rPr>
          <w:lang w:val="fr-FR"/>
        </w:rPr>
        <w:t>.</w:t>
      </w:r>
      <w:r>
        <w:rPr>
          <w:lang w:val="fr-FR"/>
        </w:rPr>
        <w:t>3</w:t>
      </w:r>
      <w:r w:rsidRPr="006473EF">
        <w:rPr>
          <w:lang w:val="fr-FR"/>
        </w:rPr>
        <w:t>.</w:t>
      </w:r>
    </w:p>
  </w:footnote>
  <w:footnote w:id="26">
    <w:p w14:paraId="6C37EF7E" w14:textId="4ABA3DE9" w:rsidR="00571F5C" w:rsidRPr="00CA1DA8" w:rsidRDefault="00571F5C" w:rsidP="00571F5C">
      <w:pPr>
        <w:pStyle w:val="Notedebasdepage"/>
      </w:pPr>
      <w:r>
        <w:rPr>
          <w:lang w:val="fr-FR"/>
        </w:rPr>
        <w:tab/>
      </w:r>
      <w:r w:rsidRPr="00571F5C">
        <w:rPr>
          <w:rStyle w:val="Appelnotedebasdep"/>
        </w:rPr>
        <w:footnoteRef/>
      </w:r>
      <w:r>
        <w:rPr>
          <w:lang w:val="fr-FR"/>
        </w:rPr>
        <w:tab/>
      </w:r>
      <w:proofErr w:type="spellStart"/>
      <w:r>
        <w:rPr>
          <w:i/>
          <w:iCs/>
          <w:lang w:val="fr-FR"/>
        </w:rPr>
        <w:t>Petromelidis</w:t>
      </w:r>
      <w:proofErr w:type="spellEnd"/>
      <w:r>
        <w:rPr>
          <w:i/>
          <w:iCs/>
          <w:lang w:val="fr-FR"/>
        </w:rPr>
        <w:t xml:space="preserve"> c</w:t>
      </w:r>
      <w:r w:rsidRPr="006473EF">
        <w:rPr>
          <w:i/>
          <w:iCs/>
          <w:lang w:val="fr-FR"/>
        </w:rPr>
        <w:t>.</w:t>
      </w:r>
      <w:r>
        <w:rPr>
          <w:i/>
          <w:iCs/>
          <w:lang w:val="fr-FR"/>
        </w:rPr>
        <w:t xml:space="preserve"> Grèce</w:t>
      </w:r>
      <w:r>
        <w:rPr>
          <w:lang w:val="fr-FR"/>
        </w:rPr>
        <w:t xml:space="preserve"> (</w:t>
      </w:r>
      <w:hyperlink r:id="rId16" w:history="1">
        <w:r w:rsidRPr="00571F5C">
          <w:rPr>
            <w:rStyle w:val="Lienhypertexte"/>
            <w:lang w:val="fr-FR"/>
          </w:rPr>
          <w:t>CCPR/C/132/DR/3065/2017</w:t>
        </w:r>
      </w:hyperlink>
      <w:r>
        <w:rPr>
          <w:lang w:val="fr-FR"/>
        </w:rPr>
        <w:t>), par</w:t>
      </w:r>
      <w:r w:rsidRPr="006473EF">
        <w:rPr>
          <w:lang w:val="fr-FR"/>
        </w:rPr>
        <w:t>.</w:t>
      </w:r>
      <w:r>
        <w:rPr>
          <w:lang w:val="fr-FR"/>
        </w:rPr>
        <w:t xml:space="preserve"> 9</w:t>
      </w:r>
      <w:r w:rsidRPr="006473E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172" w14:textId="1E865394" w:rsidR="00571F5C" w:rsidRPr="00571F5C" w:rsidRDefault="00571F5C">
    <w:pPr>
      <w:pStyle w:val="En-tte"/>
    </w:pPr>
    <w:fldSimple w:instr=" TITLE  \* MERGEFORMAT ">
      <w:r>
        <w:t>CCPR/C/134/D/3327/2019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3E3D" w14:textId="10E3E808" w:rsidR="00571F5C" w:rsidRPr="00571F5C" w:rsidRDefault="00571F5C" w:rsidP="00571F5C">
    <w:pPr>
      <w:pStyle w:val="En-tte"/>
      <w:jc w:val="right"/>
    </w:pPr>
    <w:fldSimple w:instr=" TITLE  \* MERGEFORMAT ">
      <w:r>
        <w:t>CCPR/C/134/D/3327/2019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revisionView w:comment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61"/>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2F0260"/>
    <w:rsid w:val="0032225A"/>
    <w:rsid w:val="003265B7"/>
    <w:rsid w:val="003402F1"/>
    <w:rsid w:val="00351332"/>
    <w:rsid w:val="00352B4E"/>
    <w:rsid w:val="003A6E96"/>
    <w:rsid w:val="00446FE5"/>
    <w:rsid w:val="00452396"/>
    <w:rsid w:val="004C1461"/>
    <w:rsid w:val="005505B7"/>
    <w:rsid w:val="00571F5C"/>
    <w:rsid w:val="00573BE5"/>
    <w:rsid w:val="00586ED3"/>
    <w:rsid w:val="00596AA9"/>
    <w:rsid w:val="005E2EF4"/>
    <w:rsid w:val="006D1448"/>
    <w:rsid w:val="006F7144"/>
    <w:rsid w:val="006F71EA"/>
    <w:rsid w:val="0071601D"/>
    <w:rsid w:val="00793E85"/>
    <w:rsid w:val="007A611C"/>
    <w:rsid w:val="007A62E6"/>
    <w:rsid w:val="007E2032"/>
    <w:rsid w:val="0080684C"/>
    <w:rsid w:val="008560DB"/>
    <w:rsid w:val="00871C75"/>
    <w:rsid w:val="008776DC"/>
    <w:rsid w:val="009705C8"/>
    <w:rsid w:val="00980BF8"/>
    <w:rsid w:val="009B1E6C"/>
    <w:rsid w:val="009E2C6A"/>
    <w:rsid w:val="00A455DE"/>
    <w:rsid w:val="00A57411"/>
    <w:rsid w:val="00A9151D"/>
    <w:rsid w:val="00A92823"/>
    <w:rsid w:val="00AA6A35"/>
    <w:rsid w:val="00AC3823"/>
    <w:rsid w:val="00AE323C"/>
    <w:rsid w:val="00B00181"/>
    <w:rsid w:val="00B765F7"/>
    <w:rsid w:val="00BA0CA9"/>
    <w:rsid w:val="00BF244C"/>
    <w:rsid w:val="00C01ACF"/>
    <w:rsid w:val="00C02897"/>
    <w:rsid w:val="00C35476"/>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6A977"/>
  <w15:docId w15:val="{8D11B541-1610-4162-AEF4-11A7EBC1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link w:val="Appelnotedebasde"/>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Appelnotedebasdep"/>
    <w:uiPriority w:val="99"/>
    <w:rsid w:val="00571F5C"/>
    <w:pPr>
      <w:suppressAutoHyphens w:val="0"/>
      <w:kinsoku/>
      <w:overflowPunct/>
      <w:autoSpaceDE/>
      <w:autoSpaceDN/>
      <w:adjustRightInd/>
      <w:snapToGrid/>
      <w:spacing w:before="120" w:after="120" w:line="240" w:lineRule="auto"/>
    </w:pPr>
    <w:rPr>
      <w:rFonts w:eastAsia="Times New Roman" w:cstheme="minorBidi"/>
      <w:sz w:val="18"/>
      <w:szCs w:val="22"/>
      <w:vertAlign w:val="superscript"/>
      <w:lang w:eastAsia="zh-CN"/>
    </w:rPr>
  </w:style>
  <w:style w:type="character" w:customStyle="1" w:styleId="SingleTxtGChar">
    <w:name w:val="_ Single Txt_G Char"/>
    <w:link w:val="SingleTxtG"/>
    <w:rsid w:val="00571F5C"/>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57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126/D/2701/2015" TargetMode="External"/><Relationship Id="rId13" Type="http://schemas.openxmlformats.org/officeDocument/2006/relationships/hyperlink" Target="http://undocs.org/fr/CCPR/C/133/D/3061/2017" TargetMode="External"/><Relationship Id="rId3" Type="http://schemas.openxmlformats.org/officeDocument/2006/relationships/hyperlink" Target="https://www.ohchr.org/Documents/HRBodies/CCPR/Membership/CV_El_Haiba.pdf" TargetMode="External"/><Relationship Id="rId7" Type="http://schemas.openxmlformats.org/officeDocument/2006/relationships/hyperlink" Target="http://undocs.org/fr/CCPR/C/126/D/2670/2015/Corr.1" TargetMode="External"/><Relationship Id="rId12" Type="http://schemas.openxmlformats.org/officeDocument/2006/relationships/hyperlink" Target="http://undocs.org/fr/CCPR/C/113/D/1961/2010" TargetMode="External"/><Relationship Id="rId2" Type="http://schemas.openxmlformats.org/officeDocument/2006/relationships/hyperlink" Target="https://www.ohchr.org/Documents/HRBodies/CCPR/Membership/CV_BEN_ACHOUR_FRE.docx" TargetMode="External"/><Relationship Id="rId16" Type="http://schemas.openxmlformats.org/officeDocument/2006/relationships/hyperlink" Target="http://undocs.org/fr/CCPR/C/132/DR/3065/2017" TargetMode="External"/><Relationship Id="rId1" Type="http://schemas.openxmlformats.org/officeDocument/2006/relationships/hyperlink" Target="https://www.ohchr.org/Documents/HRBodies/CCPR/Membership/Bassim_ENG.pdf" TargetMode="External"/><Relationship Id="rId6" Type="http://schemas.openxmlformats.org/officeDocument/2006/relationships/hyperlink" Target="http://undocs.org/fr/CCPR/C/126/D/2670/2015" TargetMode="External"/><Relationship Id="rId11" Type="http://schemas.openxmlformats.org/officeDocument/2006/relationships/hyperlink" Target="http://undocs.org/fr/CCPR/C/118/D/2195/2012" TargetMode="External"/><Relationship Id="rId5" Type="http://schemas.openxmlformats.org/officeDocument/2006/relationships/hyperlink" Target="http://undocs.org/fr/CCPR/C/103/D/1802/2008" TargetMode="External"/><Relationship Id="rId15" Type="http://schemas.openxmlformats.org/officeDocument/2006/relationships/hyperlink" Target="http://undocs.org/fr/CCPR/C/96/DR/1585/2007" TargetMode="External"/><Relationship Id="rId10" Type="http://schemas.openxmlformats.org/officeDocument/2006/relationships/hyperlink" Target="http://undocs.org/fr/CCPR/C/132/D/3313/2019" TargetMode="External"/><Relationship Id="rId4" Type="http://schemas.openxmlformats.org/officeDocument/2006/relationships/hyperlink" Target="https://www.ohchr.org/Documents/HRBodies/CCPR/Membership/Tchamda_FRE.pdf" TargetMode="External"/><Relationship Id="rId9" Type="http://schemas.openxmlformats.org/officeDocument/2006/relationships/hyperlink" Target="http://undocs.org/fr/CCPR/C/96/D/1639/2007" TargetMode="External"/><Relationship Id="rId14" Type="http://schemas.openxmlformats.org/officeDocument/2006/relationships/hyperlink" Target="http://undocs.org/fr/CCPR/C/129/D/2456/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6794</Words>
  <Characters>35332</Characters>
  <Application>Microsoft Office Word</Application>
  <DocSecurity>0</DocSecurity>
  <Lines>527</Lines>
  <Paragraphs>115</Paragraphs>
  <ScaleCrop>false</ScaleCrop>
  <HeadingPairs>
    <vt:vector size="2" baseType="variant">
      <vt:variant>
        <vt:lpstr>Titre</vt:lpstr>
      </vt:variant>
      <vt:variant>
        <vt:i4>1</vt:i4>
      </vt:variant>
    </vt:vector>
  </HeadingPairs>
  <TitlesOfParts>
    <vt:vector size="1" baseType="lpstr">
      <vt:lpstr>CCPR/C/134/D/3327/2019</vt:lpstr>
    </vt:vector>
  </TitlesOfParts>
  <Company>DCM</Company>
  <LinksUpToDate>false</LinksUpToDate>
  <CharactersWithSpaces>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CCPR/C/134/D/3327/2019</dc:title>
  <dc:subject/>
  <dc:creator>Sandrine CLERE</dc:creator>
  <cp:keywords/>
  <cp:lastModifiedBy>Sandrine Clere</cp:lastModifiedBy>
  <cp:revision>2</cp:revision>
  <cp:lastPrinted>2014-05-14T10:59:00Z</cp:lastPrinted>
  <dcterms:created xsi:type="dcterms:W3CDTF">2022-11-28T09:37:00Z</dcterms:created>
  <dcterms:modified xsi:type="dcterms:W3CDTF">2022-11-28T09:37:00Z</dcterms:modified>
</cp:coreProperties>
</file>