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2DD6E23E" w14:textId="77777777" w:rsidTr="005B51C4">
        <w:trPr>
          <w:trHeight w:hRule="exact" w:val="851"/>
        </w:trPr>
        <w:tc>
          <w:tcPr>
            <w:tcW w:w="1274" w:type="dxa"/>
            <w:tcBorders>
              <w:bottom w:val="single" w:sz="4" w:space="0" w:color="auto"/>
            </w:tcBorders>
            <w:shd w:val="clear" w:color="auto" w:fill="auto"/>
          </w:tcPr>
          <w:p w14:paraId="2C5A89D9" w14:textId="77777777" w:rsidR="006B3E27" w:rsidRPr="00C175A6" w:rsidRDefault="006B3E27" w:rsidP="00D20D99">
            <w:pPr>
              <w:kinsoku w:val="0"/>
              <w:overflowPunct w:val="0"/>
              <w:autoSpaceDE w:val="0"/>
              <w:autoSpaceDN w:val="0"/>
              <w:adjustRightInd w:val="0"/>
              <w:snapToGrid w:val="0"/>
              <w:jc w:val="center"/>
              <w:rPr>
                <w:rFonts w:hint="cs"/>
                <w:sz w:val="56"/>
                <w:szCs w:val="56"/>
              </w:rPr>
            </w:pPr>
          </w:p>
        </w:tc>
        <w:tc>
          <w:tcPr>
            <w:tcW w:w="4537" w:type="dxa"/>
            <w:tcBorders>
              <w:bottom w:val="single" w:sz="4" w:space="0" w:color="auto"/>
            </w:tcBorders>
            <w:shd w:val="clear" w:color="auto" w:fill="auto"/>
            <w:vAlign w:val="bottom"/>
          </w:tcPr>
          <w:p w14:paraId="28671510"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159FC861" w14:textId="6EB7A136" w:rsidR="006B3E27" w:rsidRPr="00DC6C3C" w:rsidRDefault="00DC6C3C" w:rsidP="00DC6C3C">
            <w:pPr>
              <w:bidi w:val="0"/>
              <w:rPr>
                <w:szCs w:val="20"/>
              </w:rPr>
            </w:pPr>
            <w:r w:rsidRPr="00793F70">
              <w:rPr>
                <w:sz w:val="40"/>
                <w:szCs w:val="20"/>
              </w:rPr>
              <w:t>CCPR</w:t>
            </w:r>
            <w:r w:rsidRPr="00793F70">
              <w:rPr>
                <w:szCs w:val="20"/>
              </w:rPr>
              <w:t>/C/</w:t>
            </w:r>
            <w:r w:rsidRPr="00660F34">
              <w:t>135</w:t>
            </w:r>
            <w:r w:rsidRPr="00793F70">
              <w:rPr>
                <w:szCs w:val="20"/>
              </w:rPr>
              <w:t>/D/</w:t>
            </w:r>
            <w:r w:rsidRPr="00660F34">
              <w:t>3240</w:t>
            </w:r>
            <w:r w:rsidRPr="00793F70">
              <w:rPr>
                <w:szCs w:val="20"/>
              </w:rPr>
              <w:t>/</w:t>
            </w:r>
            <w:r w:rsidRPr="00660F34">
              <w:t>2018</w:t>
            </w:r>
          </w:p>
        </w:tc>
      </w:tr>
      <w:tr w:rsidR="006B3E27" w:rsidRPr="00C175A6" w14:paraId="426EE600" w14:textId="77777777" w:rsidTr="005B51C4">
        <w:trPr>
          <w:trHeight w:hRule="exact" w:val="2835"/>
        </w:trPr>
        <w:tc>
          <w:tcPr>
            <w:tcW w:w="1274" w:type="dxa"/>
            <w:tcBorders>
              <w:top w:val="single" w:sz="4" w:space="0" w:color="auto"/>
              <w:bottom w:val="single" w:sz="12" w:space="0" w:color="auto"/>
            </w:tcBorders>
            <w:shd w:val="clear" w:color="auto" w:fill="auto"/>
          </w:tcPr>
          <w:p w14:paraId="27B2366C"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7750B2E8" wp14:editId="6DEC6F28">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7ADE952A" w14:textId="77777777" w:rsidR="006B3E27" w:rsidRPr="00660F34" w:rsidRDefault="00ED7442" w:rsidP="00730446">
            <w:pPr>
              <w:spacing w:before="120" w:after="40" w:line="640" w:lineRule="exact"/>
              <w:ind w:left="57"/>
              <w:rPr>
                <w:b/>
                <w:bCs/>
                <w:sz w:val="46"/>
                <w:szCs w:val="46"/>
              </w:rPr>
            </w:pPr>
            <w:r w:rsidRPr="00660F34">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030B7ED8" w14:textId="5B962395" w:rsidR="006B3E27" w:rsidRDefault="00DC6C3C" w:rsidP="004B27E0">
            <w:pPr>
              <w:bidi w:val="0"/>
              <w:spacing w:before="240"/>
              <w:rPr>
                <w:szCs w:val="20"/>
              </w:rPr>
            </w:pPr>
            <w:r>
              <w:rPr>
                <w:szCs w:val="20"/>
              </w:rPr>
              <w:t>Dist</w:t>
            </w:r>
            <w:r w:rsidR="00793F70" w:rsidRPr="00793F70">
              <w:rPr>
                <w:szCs w:val="20"/>
              </w:rPr>
              <w:t>r.:</w:t>
            </w:r>
            <w:r>
              <w:rPr>
                <w:szCs w:val="20"/>
              </w:rPr>
              <w:t xml:space="preserve"> General</w:t>
            </w:r>
          </w:p>
          <w:p w14:paraId="0D5E8DE0" w14:textId="43FA903A" w:rsidR="00DC6C3C" w:rsidRDefault="004B0020" w:rsidP="00DC6C3C">
            <w:pPr>
              <w:bidi w:val="0"/>
              <w:spacing w:line="240" w:lineRule="exact"/>
              <w:jc w:val="left"/>
              <w:rPr>
                <w:szCs w:val="20"/>
              </w:rPr>
            </w:pPr>
            <w:r w:rsidRPr="00660F34">
              <w:t>17</w:t>
            </w:r>
            <w:r w:rsidRPr="00FF47E5">
              <w:t xml:space="preserve"> January </w:t>
            </w:r>
            <w:r w:rsidRPr="00660F34">
              <w:t>2023</w:t>
            </w:r>
          </w:p>
          <w:p w14:paraId="0966A074" w14:textId="77777777" w:rsidR="00DC6C3C" w:rsidRDefault="00DC6C3C" w:rsidP="00DC6C3C">
            <w:pPr>
              <w:bidi w:val="0"/>
              <w:spacing w:line="240" w:lineRule="exact"/>
              <w:jc w:val="left"/>
              <w:rPr>
                <w:szCs w:val="20"/>
              </w:rPr>
            </w:pPr>
            <w:r>
              <w:rPr>
                <w:szCs w:val="20"/>
              </w:rPr>
              <w:t>Arabic</w:t>
            </w:r>
          </w:p>
          <w:p w14:paraId="480D547C" w14:textId="00F5FCA2" w:rsidR="00DC6C3C" w:rsidRPr="00DC6C3C" w:rsidRDefault="00DC6C3C" w:rsidP="00DC6C3C">
            <w:pPr>
              <w:bidi w:val="0"/>
              <w:spacing w:line="240" w:lineRule="exact"/>
              <w:jc w:val="left"/>
              <w:rPr>
                <w:szCs w:val="20"/>
              </w:rPr>
            </w:pPr>
            <w:r>
              <w:rPr>
                <w:szCs w:val="20"/>
              </w:rPr>
              <w:t>Origina</w:t>
            </w:r>
            <w:r w:rsidR="00793F70" w:rsidRPr="00793F70">
              <w:rPr>
                <w:szCs w:val="20"/>
              </w:rPr>
              <w:t xml:space="preserve">l: </w:t>
            </w:r>
            <w:r>
              <w:rPr>
                <w:szCs w:val="20"/>
              </w:rPr>
              <w:t>English</w:t>
            </w:r>
          </w:p>
        </w:tc>
      </w:tr>
    </w:tbl>
    <w:p w14:paraId="651E08A0" w14:textId="77777777" w:rsidR="00DB1848" w:rsidRPr="00660F34" w:rsidRDefault="00DB1848" w:rsidP="00DB1848">
      <w:pPr>
        <w:spacing w:before="120" w:line="360" w:lineRule="exact"/>
        <w:textDirection w:val="tbRlV"/>
        <w:rPr>
          <w:b/>
          <w:sz w:val="26"/>
          <w:szCs w:val="26"/>
          <w:lang w:val="ar-SA" w:eastAsia="zh-TW" w:bidi="en-GB"/>
        </w:rPr>
      </w:pPr>
      <w:r w:rsidRPr="00660F34">
        <w:rPr>
          <w:b/>
          <w:bCs/>
          <w:sz w:val="26"/>
          <w:szCs w:val="26"/>
          <w:rtl/>
        </w:rPr>
        <w:t>اللجنة المعنية بحقوق الإنسان</w:t>
      </w:r>
    </w:p>
    <w:p w14:paraId="4C3DD271" w14:textId="787DA274" w:rsidR="00DB1848" w:rsidRPr="00660F34" w:rsidRDefault="00DB1848" w:rsidP="00DB1848">
      <w:pPr>
        <w:pStyle w:val="HChGA"/>
        <w:rPr>
          <w:lang w:val="en-US"/>
        </w:rPr>
      </w:pPr>
      <w:r w:rsidRPr="00660F34">
        <w:rPr>
          <w:rtl/>
        </w:rPr>
        <w:tab/>
      </w:r>
      <w:r w:rsidRPr="00660F34">
        <w:rPr>
          <w:rtl/>
        </w:rPr>
        <w:tab/>
        <w:t>آراء اعتمدتها اللجنة بموجب المادة 5(</w:t>
      </w:r>
      <w:r w:rsidR="00793F70" w:rsidRPr="00660F34">
        <w:rPr>
          <w:rtl/>
        </w:rPr>
        <w:t xml:space="preserve">4) </w:t>
      </w:r>
      <w:r w:rsidRPr="00660F34">
        <w:rPr>
          <w:rtl/>
        </w:rPr>
        <w:t>من البروتوكول الاختياري، بشأن البلاغ رقم 3240/2018</w:t>
      </w:r>
      <w:r w:rsidR="00BC6503" w:rsidRPr="00660F34">
        <w:rPr>
          <w:rStyle w:val="FootnoteReference"/>
          <w:sz w:val="22"/>
          <w:szCs w:val="22"/>
          <w:vertAlign w:val="baseline"/>
          <w:rtl/>
        </w:rPr>
        <w:footnoteReference w:customMarkFollows="1" w:id="1"/>
        <w:t>*</w:t>
      </w:r>
      <w:r w:rsidR="00BC6503" w:rsidRPr="00660F34">
        <w:rPr>
          <w:rFonts w:hint="cs"/>
          <w:rtl/>
          <w:lang w:val="en-US"/>
        </w:rPr>
        <w:t xml:space="preserve"> </w:t>
      </w:r>
      <w:r w:rsidR="00BC6503" w:rsidRPr="00660F34">
        <w:rPr>
          <w:rStyle w:val="FootnoteReference"/>
          <w:sz w:val="22"/>
          <w:szCs w:val="22"/>
          <w:vertAlign w:val="baseline"/>
          <w:rtl/>
          <w:lang w:val="en-US"/>
        </w:rPr>
        <w:footnoteReference w:customMarkFollows="1" w:id="2"/>
        <w:t>**</w:t>
      </w:r>
    </w:p>
    <w:p w14:paraId="7ABF1D9A" w14:textId="60DCF9B0" w:rsidR="00DB1848" w:rsidRPr="00DB1848" w:rsidRDefault="00DB1848" w:rsidP="0017212C">
      <w:pPr>
        <w:pStyle w:val="SingleTxtGA"/>
        <w:tabs>
          <w:tab w:val="clear" w:pos="1928"/>
          <w:tab w:val="clear" w:pos="2608"/>
          <w:tab w:val="clear" w:pos="3289"/>
          <w:tab w:val="clear" w:pos="3969"/>
          <w:tab w:val="clear" w:pos="4649"/>
          <w:tab w:val="clear" w:pos="5330"/>
        </w:tabs>
        <w:spacing w:line="342" w:lineRule="exact"/>
        <w:ind w:left="4474" w:hanging="2546"/>
      </w:pPr>
      <w:r w:rsidRPr="00660F34">
        <w:rPr>
          <w:i/>
          <w:iCs/>
          <w:rtl/>
        </w:rPr>
        <w:t>بلاغ مقدم من:</w:t>
      </w:r>
      <w:r>
        <w:rPr>
          <w:rtl/>
        </w:rPr>
        <w:tab/>
      </w:r>
      <w:r w:rsidRPr="00DB1848">
        <w:rPr>
          <w:rtl/>
        </w:rPr>
        <w:t>آلا رومانشيك (يمثلها المحامي ليونيد سودالنكو)</w:t>
      </w:r>
    </w:p>
    <w:p w14:paraId="10DF9402" w14:textId="0B2B3DC6" w:rsidR="00DB1848" w:rsidRPr="00DB1848" w:rsidRDefault="00DB1848" w:rsidP="0017212C">
      <w:pPr>
        <w:pStyle w:val="SingleTxtGA"/>
        <w:tabs>
          <w:tab w:val="clear" w:pos="1928"/>
          <w:tab w:val="clear" w:pos="2608"/>
          <w:tab w:val="clear" w:pos="3289"/>
          <w:tab w:val="clear" w:pos="3969"/>
          <w:tab w:val="clear" w:pos="4649"/>
          <w:tab w:val="clear" w:pos="5330"/>
        </w:tabs>
        <w:spacing w:line="342" w:lineRule="exact"/>
        <w:ind w:left="4474" w:hanging="2546"/>
      </w:pPr>
      <w:r w:rsidRPr="00660F34">
        <w:rPr>
          <w:i/>
          <w:iCs/>
          <w:rtl/>
        </w:rPr>
        <w:t>الشخص المدعى أنه ضحية:</w:t>
      </w:r>
      <w:r>
        <w:rPr>
          <w:rtl/>
        </w:rPr>
        <w:tab/>
      </w:r>
      <w:r w:rsidRPr="00DB1848">
        <w:rPr>
          <w:rtl/>
        </w:rPr>
        <w:t>صاحبة البلاغ</w:t>
      </w:r>
    </w:p>
    <w:p w14:paraId="6C3DDC54" w14:textId="2C8F2224" w:rsidR="00DB1848" w:rsidRPr="00DB1848" w:rsidRDefault="00DB1848" w:rsidP="0017212C">
      <w:pPr>
        <w:pStyle w:val="SingleTxtGA"/>
        <w:tabs>
          <w:tab w:val="clear" w:pos="1928"/>
          <w:tab w:val="clear" w:pos="2608"/>
          <w:tab w:val="clear" w:pos="3289"/>
          <w:tab w:val="clear" w:pos="3969"/>
          <w:tab w:val="clear" w:pos="4649"/>
          <w:tab w:val="clear" w:pos="5330"/>
        </w:tabs>
        <w:spacing w:line="342" w:lineRule="exact"/>
        <w:ind w:left="4474" w:hanging="2546"/>
      </w:pPr>
      <w:r w:rsidRPr="00660F34">
        <w:rPr>
          <w:i/>
          <w:iCs/>
          <w:rtl/>
        </w:rPr>
        <w:t>الدولة الطرف:</w:t>
      </w:r>
      <w:r>
        <w:rPr>
          <w:rtl/>
        </w:rPr>
        <w:tab/>
      </w:r>
      <w:r w:rsidRPr="00DB1848">
        <w:rPr>
          <w:rtl/>
        </w:rPr>
        <w:t>بيلاروس</w:t>
      </w:r>
    </w:p>
    <w:p w14:paraId="1C3A66EC" w14:textId="5B70AA96" w:rsidR="00DB1848" w:rsidRPr="00DB1848" w:rsidRDefault="00DB1848" w:rsidP="0017212C">
      <w:pPr>
        <w:pStyle w:val="SingleTxtGA"/>
        <w:tabs>
          <w:tab w:val="clear" w:pos="1928"/>
          <w:tab w:val="clear" w:pos="2608"/>
          <w:tab w:val="clear" w:pos="3289"/>
          <w:tab w:val="clear" w:pos="3969"/>
          <w:tab w:val="clear" w:pos="4649"/>
          <w:tab w:val="clear" w:pos="5330"/>
        </w:tabs>
        <w:spacing w:line="342" w:lineRule="exact"/>
        <w:ind w:left="4474" w:hanging="2546"/>
      </w:pPr>
      <w:r w:rsidRPr="00660F34">
        <w:rPr>
          <w:i/>
          <w:iCs/>
          <w:rtl/>
        </w:rPr>
        <w:t>تاريخ تقديم البلاغ:</w:t>
      </w:r>
      <w:r>
        <w:rPr>
          <w:rtl/>
        </w:rPr>
        <w:tab/>
      </w:r>
      <w:r w:rsidRPr="00660F34">
        <w:rPr>
          <w:rtl/>
        </w:rPr>
        <w:t>8</w:t>
      </w:r>
      <w:r w:rsidRPr="00DB1848">
        <w:rPr>
          <w:rtl/>
        </w:rPr>
        <w:t xml:space="preserve"> أيار/مايو </w:t>
      </w:r>
      <w:r w:rsidRPr="00660F34">
        <w:rPr>
          <w:rtl/>
        </w:rPr>
        <w:t>2017</w:t>
      </w:r>
      <w:r w:rsidRPr="00DB1848">
        <w:rPr>
          <w:rtl/>
        </w:rPr>
        <w:t xml:space="preserve"> (تاريخ الرسالة الأولى)</w:t>
      </w:r>
    </w:p>
    <w:p w14:paraId="078B2E80" w14:textId="539A710D" w:rsidR="00DB1848" w:rsidRPr="00DB1848" w:rsidRDefault="00DB1848" w:rsidP="0017212C">
      <w:pPr>
        <w:pStyle w:val="SingleTxtGA"/>
        <w:tabs>
          <w:tab w:val="clear" w:pos="1928"/>
          <w:tab w:val="clear" w:pos="2608"/>
          <w:tab w:val="clear" w:pos="3289"/>
          <w:tab w:val="clear" w:pos="3969"/>
          <w:tab w:val="clear" w:pos="4649"/>
          <w:tab w:val="clear" w:pos="5330"/>
        </w:tabs>
        <w:spacing w:line="342" w:lineRule="exact"/>
        <w:ind w:left="4474" w:hanging="2546"/>
      </w:pPr>
      <w:r w:rsidRPr="00660F34">
        <w:rPr>
          <w:i/>
          <w:iCs/>
          <w:rtl/>
        </w:rPr>
        <w:t>الوثائق المرجعية:</w:t>
      </w:r>
      <w:r>
        <w:rPr>
          <w:rtl/>
        </w:rPr>
        <w:tab/>
      </w:r>
      <w:r w:rsidRPr="00DB1848">
        <w:rPr>
          <w:rtl/>
        </w:rPr>
        <w:t xml:space="preserve">القرار المتخذ بموجب المادة </w:t>
      </w:r>
      <w:r w:rsidRPr="00660F34">
        <w:rPr>
          <w:rtl/>
        </w:rPr>
        <w:t>92</w:t>
      </w:r>
      <w:r w:rsidRPr="00DB1848">
        <w:rPr>
          <w:rtl/>
        </w:rPr>
        <w:t xml:space="preserve"> من النظام الداخلي للجنة، والمحال إلى الدولة الطرف في </w:t>
      </w:r>
      <w:r w:rsidRPr="00660F34">
        <w:rPr>
          <w:rtl/>
        </w:rPr>
        <w:t>10</w:t>
      </w:r>
      <w:r w:rsidRPr="00DB1848">
        <w:rPr>
          <w:rtl/>
        </w:rPr>
        <w:t xml:space="preserve"> أيلول/سبتمبر </w:t>
      </w:r>
      <w:r w:rsidRPr="00660F34">
        <w:rPr>
          <w:rtl/>
        </w:rPr>
        <w:t>2018</w:t>
      </w:r>
      <w:r w:rsidRPr="00DB1848">
        <w:rPr>
          <w:rtl/>
        </w:rPr>
        <w:t xml:space="preserve"> </w:t>
      </w:r>
    </w:p>
    <w:p w14:paraId="018391E9" w14:textId="5547B9DA" w:rsidR="00DB1848" w:rsidRPr="00DB1848" w:rsidRDefault="00DB1848" w:rsidP="0017212C">
      <w:pPr>
        <w:pStyle w:val="SingleTxtGA"/>
        <w:tabs>
          <w:tab w:val="clear" w:pos="1928"/>
          <w:tab w:val="clear" w:pos="2608"/>
          <w:tab w:val="clear" w:pos="3289"/>
          <w:tab w:val="clear" w:pos="3969"/>
          <w:tab w:val="clear" w:pos="4649"/>
          <w:tab w:val="clear" w:pos="5330"/>
        </w:tabs>
        <w:spacing w:line="342" w:lineRule="exact"/>
        <w:ind w:left="4474" w:hanging="2546"/>
      </w:pPr>
      <w:r w:rsidRPr="00660F34">
        <w:rPr>
          <w:i/>
          <w:iCs/>
          <w:rtl/>
        </w:rPr>
        <w:t>تاريخ اعتماد الآراء:</w:t>
      </w:r>
      <w:r>
        <w:rPr>
          <w:rtl/>
        </w:rPr>
        <w:tab/>
      </w:r>
      <w:r w:rsidRPr="00660F34">
        <w:rPr>
          <w:rtl/>
        </w:rPr>
        <w:t>27</w:t>
      </w:r>
      <w:r w:rsidRPr="00DB1848">
        <w:rPr>
          <w:rtl/>
        </w:rPr>
        <w:t xml:space="preserve"> تموز/يوليه </w:t>
      </w:r>
      <w:r w:rsidRPr="00660F34">
        <w:rPr>
          <w:rtl/>
        </w:rPr>
        <w:t>2022</w:t>
      </w:r>
    </w:p>
    <w:p w14:paraId="2F814DF8" w14:textId="09994930" w:rsidR="00DB1848" w:rsidRPr="00DB1848" w:rsidRDefault="00DB1848" w:rsidP="0017212C">
      <w:pPr>
        <w:pStyle w:val="SingleTxtGA"/>
        <w:tabs>
          <w:tab w:val="clear" w:pos="1928"/>
          <w:tab w:val="clear" w:pos="2608"/>
          <w:tab w:val="clear" w:pos="3289"/>
          <w:tab w:val="clear" w:pos="3969"/>
          <w:tab w:val="clear" w:pos="4649"/>
          <w:tab w:val="clear" w:pos="5330"/>
        </w:tabs>
        <w:spacing w:line="342" w:lineRule="exact"/>
        <w:ind w:left="4474" w:hanging="2546"/>
      </w:pPr>
      <w:r w:rsidRPr="00660F34">
        <w:rPr>
          <w:i/>
          <w:iCs/>
          <w:rtl/>
        </w:rPr>
        <w:t>الموضوع:</w:t>
      </w:r>
      <w:r>
        <w:rPr>
          <w:rtl/>
        </w:rPr>
        <w:tab/>
      </w:r>
      <w:r w:rsidRPr="00DB1848">
        <w:rPr>
          <w:rtl/>
        </w:rPr>
        <w:t xml:space="preserve">فرض غرامة على المشاركة في تجمع سلمي غير مرخص؛ وحرية التعبير </w:t>
      </w:r>
    </w:p>
    <w:p w14:paraId="0E98F106" w14:textId="48026F98" w:rsidR="00DB1848" w:rsidRPr="00DB1848" w:rsidRDefault="00DB1848" w:rsidP="0017212C">
      <w:pPr>
        <w:pStyle w:val="SingleTxtGA"/>
        <w:tabs>
          <w:tab w:val="clear" w:pos="1928"/>
          <w:tab w:val="clear" w:pos="2608"/>
          <w:tab w:val="clear" w:pos="3289"/>
          <w:tab w:val="clear" w:pos="3969"/>
          <w:tab w:val="clear" w:pos="4649"/>
          <w:tab w:val="clear" w:pos="5330"/>
        </w:tabs>
        <w:spacing w:line="342" w:lineRule="exact"/>
        <w:ind w:left="4474" w:hanging="2546"/>
      </w:pPr>
      <w:r w:rsidRPr="00660F34">
        <w:rPr>
          <w:i/>
          <w:iCs/>
          <w:rtl/>
        </w:rPr>
        <w:t>المسائل الإجرائية:</w:t>
      </w:r>
      <w:r>
        <w:rPr>
          <w:rtl/>
        </w:rPr>
        <w:tab/>
      </w:r>
      <w:r w:rsidRPr="00DB1848">
        <w:rPr>
          <w:rtl/>
        </w:rPr>
        <w:t>استنفاد سبل الانتصاف المحلية</w:t>
      </w:r>
    </w:p>
    <w:p w14:paraId="1C632E90" w14:textId="2CA1843F" w:rsidR="00DB1848" w:rsidRPr="00DB1848" w:rsidRDefault="00DB1848" w:rsidP="0017212C">
      <w:pPr>
        <w:pStyle w:val="SingleTxtGA"/>
        <w:tabs>
          <w:tab w:val="clear" w:pos="1928"/>
          <w:tab w:val="clear" w:pos="2608"/>
          <w:tab w:val="clear" w:pos="3289"/>
          <w:tab w:val="clear" w:pos="3969"/>
          <w:tab w:val="clear" w:pos="4649"/>
          <w:tab w:val="clear" w:pos="5330"/>
        </w:tabs>
        <w:spacing w:line="342" w:lineRule="exact"/>
        <w:ind w:left="4474" w:hanging="2546"/>
      </w:pPr>
      <w:r w:rsidRPr="00660F34">
        <w:rPr>
          <w:i/>
          <w:iCs/>
          <w:rtl/>
        </w:rPr>
        <w:t>المسائل الموضوعية:</w:t>
      </w:r>
      <w:r>
        <w:rPr>
          <w:rtl/>
        </w:rPr>
        <w:tab/>
      </w:r>
      <w:r w:rsidRPr="00DB1848">
        <w:rPr>
          <w:rtl/>
        </w:rPr>
        <w:t>حرية التجمع؛ وحرية التعبير</w:t>
      </w:r>
    </w:p>
    <w:p w14:paraId="23FE0F10" w14:textId="47BE5B3F" w:rsidR="00DB1848" w:rsidRPr="00DB1848" w:rsidRDefault="00DB1848" w:rsidP="0017212C">
      <w:pPr>
        <w:pStyle w:val="SingleTxtGA"/>
        <w:tabs>
          <w:tab w:val="clear" w:pos="1928"/>
          <w:tab w:val="clear" w:pos="2608"/>
          <w:tab w:val="clear" w:pos="3289"/>
          <w:tab w:val="clear" w:pos="3969"/>
          <w:tab w:val="clear" w:pos="4649"/>
          <w:tab w:val="clear" w:pos="5330"/>
        </w:tabs>
        <w:spacing w:line="342" w:lineRule="exact"/>
        <w:ind w:left="4474" w:hanging="2546"/>
      </w:pPr>
      <w:r w:rsidRPr="00660F34">
        <w:rPr>
          <w:i/>
          <w:iCs/>
          <w:rtl/>
        </w:rPr>
        <w:t>مواد العهد:</w:t>
      </w:r>
      <w:r>
        <w:rPr>
          <w:rtl/>
        </w:rPr>
        <w:tab/>
      </w:r>
      <w:r w:rsidRPr="00660F34">
        <w:rPr>
          <w:rtl/>
        </w:rPr>
        <w:t>2</w:t>
      </w:r>
      <w:r w:rsidRPr="00DB1848">
        <w:rPr>
          <w:rtl/>
        </w:rPr>
        <w:t>(</w:t>
      </w:r>
      <w:r w:rsidR="00793F70" w:rsidRPr="00660F34">
        <w:rPr>
          <w:rtl/>
        </w:rPr>
        <w:t>2</w:t>
      </w:r>
      <w:r w:rsidR="00793F70" w:rsidRPr="00793F70">
        <w:rPr>
          <w:rtl/>
        </w:rPr>
        <w:t xml:space="preserve">) </w:t>
      </w:r>
      <w:r w:rsidRPr="00DB1848">
        <w:rPr>
          <w:rtl/>
        </w:rPr>
        <w:t>و(</w:t>
      </w:r>
      <w:r w:rsidRPr="00660F34">
        <w:rPr>
          <w:rtl/>
        </w:rPr>
        <w:t>3</w:t>
      </w:r>
      <w:r w:rsidR="00793F70" w:rsidRPr="00793F70">
        <w:rPr>
          <w:rtl/>
        </w:rPr>
        <w:t xml:space="preserve">)، </w:t>
      </w:r>
      <w:r w:rsidRPr="00DB1848">
        <w:rPr>
          <w:rtl/>
        </w:rPr>
        <w:t>و</w:t>
      </w:r>
      <w:r w:rsidRPr="00660F34">
        <w:rPr>
          <w:rtl/>
        </w:rPr>
        <w:t>9</w:t>
      </w:r>
      <w:r w:rsidRPr="00DB1848">
        <w:rPr>
          <w:rtl/>
        </w:rPr>
        <w:t>، و</w:t>
      </w:r>
      <w:r w:rsidRPr="00660F34">
        <w:rPr>
          <w:rtl/>
        </w:rPr>
        <w:t>19</w:t>
      </w:r>
      <w:r w:rsidRPr="00DB1848">
        <w:rPr>
          <w:rtl/>
        </w:rPr>
        <w:t>، و</w:t>
      </w:r>
      <w:r w:rsidRPr="00660F34">
        <w:rPr>
          <w:rtl/>
        </w:rPr>
        <w:t>21</w:t>
      </w:r>
    </w:p>
    <w:p w14:paraId="6494923E" w14:textId="0F385E9C" w:rsidR="00DB1848" w:rsidRPr="00DB1848" w:rsidRDefault="00DB1848" w:rsidP="0017212C">
      <w:pPr>
        <w:pStyle w:val="SingleTxtGA"/>
        <w:tabs>
          <w:tab w:val="clear" w:pos="1928"/>
          <w:tab w:val="clear" w:pos="2608"/>
          <w:tab w:val="clear" w:pos="3289"/>
          <w:tab w:val="clear" w:pos="3969"/>
          <w:tab w:val="clear" w:pos="4649"/>
          <w:tab w:val="clear" w:pos="5330"/>
        </w:tabs>
        <w:spacing w:line="342" w:lineRule="exact"/>
        <w:ind w:left="4474" w:hanging="2546"/>
      </w:pPr>
      <w:r w:rsidRPr="00660F34">
        <w:rPr>
          <w:i/>
          <w:iCs/>
          <w:rtl/>
        </w:rPr>
        <w:t>مواد البروتوكول الاختياري:</w:t>
      </w:r>
      <w:r>
        <w:rPr>
          <w:rtl/>
        </w:rPr>
        <w:tab/>
      </w:r>
      <w:r w:rsidRPr="00660F34">
        <w:rPr>
          <w:rtl/>
        </w:rPr>
        <w:t>2</w:t>
      </w:r>
      <w:r w:rsidRPr="00DB1848">
        <w:rPr>
          <w:rtl/>
        </w:rPr>
        <w:t xml:space="preserve"> و</w:t>
      </w:r>
      <w:r w:rsidRPr="00660F34">
        <w:rPr>
          <w:rtl/>
        </w:rPr>
        <w:t>5</w:t>
      </w:r>
      <w:r w:rsidRPr="00DB1848">
        <w:rPr>
          <w:rtl/>
        </w:rPr>
        <w:t>(</w:t>
      </w:r>
      <w:r w:rsidRPr="00660F34">
        <w:rPr>
          <w:rtl/>
        </w:rPr>
        <w:t>2</w:t>
      </w:r>
      <w:r w:rsidRPr="00DB1848">
        <w:rPr>
          <w:rtl/>
        </w:rPr>
        <w:t>)(ب)</w:t>
      </w:r>
    </w:p>
    <w:p w14:paraId="11D64A03" w14:textId="770EA9E7" w:rsidR="00793F70" w:rsidRPr="00793F70" w:rsidRDefault="00DB1848" w:rsidP="00DB1848">
      <w:pPr>
        <w:pStyle w:val="SingleTxtGA"/>
        <w:rPr>
          <w:szCs w:val="20"/>
          <w:lang w:val="ar-SA" w:eastAsia="zh-TW" w:bidi="en-GB"/>
        </w:rPr>
      </w:pPr>
      <w:r w:rsidRPr="00660F34">
        <w:rPr>
          <w:rtl/>
        </w:rPr>
        <w:t>1</w:t>
      </w:r>
      <w:r>
        <w:rPr>
          <w:rFonts w:ascii="Simplified Arabic"/>
          <w:szCs w:val="20"/>
          <w:rtl/>
        </w:rPr>
        <w:t>-</w:t>
      </w:r>
      <w:r>
        <w:rPr>
          <w:rtl/>
        </w:rPr>
        <w:tab/>
        <w:t xml:space="preserve">صاحبة البلاغ هي آلا رومانشيك، وهي مواطنة بيلاروسية ولدت في عام </w:t>
      </w:r>
      <w:r w:rsidRPr="00660F34">
        <w:rPr>
          <w:rtl/>
        </w:rPr>
        <w:t>195</w:t>
      </w:r>
      <w:r w:rsidR="00793F70" w:rsidRPr="00660F34">
        <w:rPr>
          <w:rtl/>
        </w:rPr>
        <w:t>6</w:t>
      </w:r>
      <w:r w:rsidR="00793F70" w:rsidRPr="00793F70">
        <w:rPr>
          <w:rFonts w:ascii="Simplified Arabic"/>
          <w:szCs w:val="20"/>
          <w:rtl/>
        </w:rPr>
        <w:t>.</w:t>
      </w:r>
      <w:r w:rsidR="00793F70" w:rsidRPr="00793F70">
        <w:rPr>
          <w:rtl/>
        </w:rPr>
        <w:t xml:space="preserve"> </w:t>
      </w:r>
      <w:r>
        <w:rPr>
          <w:rtl/>
        </w:rPr>
        <w:t xml:space="preserve">وتدعي صاحبة البلاغ أن الدولة الطرف انتهكت حقوقها المكفولة بموجب المواد </w:t>
      </w:r>
      <w:r w:rsidRPr="00660F34">
        <w:rPr>
          <w:rtl/>
        </w:rPr>
        <w:t>9</w:t>
      </w:r>
      <w:r>
        <w:rPr>
          <w:rtl/>
        </w:rPr>
        <w:t xml:space="preserve"> و</w:t>
      </w:r>
      <w:r w:rsidRPr="00660F34">
        <w:rPr>
          <w:rtl/>
        </w:rPr>
        <w:t>19</w:t>
      </w:r>
      <w:r>
        <w:rPr>
          <w:rtl/>
        </w:rPr>
        <w:t xml:space="preserve"> و</w:t>
      </w:r>
      <w:r w:rsidRPr="00660F34">
        <w:rPr>
          <w:rtl/>
        </w:rPr>
        <w:t>21</w:t>
      </w:r>
      <w:r>
        <w:rPr>
          <w:rtl/>
        </w:rPr>
        <w:t xml:space="preserve"> مقروءة بالاقتران مع الفقرتين </w:t>
      </w:r>
      <w:r w:rsidRPr="00660F34">
        <w:rPr>
          <w:rtl/>
        </w:rPr>
        <w:t>2</w:t>
      </w:r>
      <w:r>
        <w:rPr>
          <w:rtl/>
        </w:rPr>
        <w:t xml:space="preserve"> و</w:t>
      </w:r>
      <w:r w:rsidRPr="00660F34">
        <w:rPr>
          <w:rtl/>
        </w:rPr>
        <w:t>3</w:t>
      </w:r>
      <w:r>
        <w:rPr>
          <w:rtl/>
        </w:rPr>
        <w:t xml:space="preserve"> من المادة </w:t>
      </w:r>
      <w:r w:rsidRPr="00660F34">
        <w:rPr>
          <w:rtl/>
        </w:rPr>
        <w:t>2</w:t>
      </w:r>
      <w:r>
        <w:rPr>
          <w:rtl/>
        </w:rPr>
        <w:t xml:space="preserve"> من العهد. وقد دخل البروتوكول الاختياري حيز النفاذ بالنسبة للدولة الطرف في </w:t>
      </w:r>
      <w:r w:rsidRPr="00660F34">
        <w:rPr>
          <w:rtl/>
        </w:rPr>
        <w:t>30</w:t>
      </w:r>
      <w:r>
        <w:rPr>
          <w:rtl/>
        </w:rPr>
        <w:t xml:space="preserve"> كانون الأول/ديسمبر </w:t>
      </w:r>
      <w:r w:rsidRPr="00660F34">
        <w:rPr>
          <w:rtl/>
        </w:rPr>
        <w:t>199</w:t>
      </w:r>
      <w:r w:rsidR="00793F70" w:rsidRPr="00660F34">
        <w:rPr>
          <w:rtl/>
        </w:rPr>
        <w:t>2</w:t>
      </w:r>
      <w:r w:rsidR="00793F70" w:rsidRPr="00793F70">
        <w:rPr>
          <w:rFonts w:ascii="Simplified Arabic"/>
          <w:szCs w:val="20"/>
          <w:rtl/>
        </w:rPr>
        <w:t>.</w:t>
      </w:r>
      <w:r w:rsidR="00793F70" w:rsidRPr="00793F70">
        <w:rPr>
          <w:rtl/>
        </w:rPr>
        <w:t xml:space="preserve"> </w:t>
      </w:r>
      <w:r>
        <w:rPr>
          <w:rtl/>
        </w:rPr>
        <w:t>ويمثّل صاحبةَ البلاغ محام</w:t>
      </w:r>
      <w:r w:rsidR="00793F70">
        <w:rPr>
          <w:rStyle w:val="FootnoteReference"/>
          <w:rtl/>
        </w:rPr>
        <w:t>(</w:t>
      </w:r>
      <w:r w:rsidR="00793F70" w:rsidRPr="00660F34">
        <w:rPr>
          <w:rStyle w:val="FootnoteReference"/>
          <w:lang w:val="en-US"/>
        </w:rPr>
        <w:footnoteReference w:id="3"/>
      </w:r>
      <w:r w:rsidR="00793F70" w:rsidRPr="00793F70">
        <w:rPr>
          <w:rStyle w:val="FootnoteReference"/>
          <w:rtl/>
        </w:rPr>
        <w:t>)</w:t>
      </w:r>
      <w:r w:rsidR="00793F70" w:rsidRPr="00793F70">
        <w:rPr>
          <w:rtl/>
        </w:rPr>
        <w:t>.</w:t>
      </w:r>
    </w:p>
    <w:p w14:paraId="561D373F" w14:textId="64E211DB" w:rsidR="00DB1848" w:rsidRPr="00660F34" w:rsidRDefault="00DB1848" w:rsidP="00DB1848">
      <w:pPr>
        <w:pStyle w:val="H23GA"/>
        <w:rPr>
          <w:szCs w:val="20"/>
          <w:lang w:val="ar-SA" w:eastAsia="zh-TW" w:bidi="en-GB"/>
        </w:rPr>
      </w:pPr>
      <w:r w:rsidRPr="00660F34">
        <w:rPr>
          <w:rtl/>
        </w:rPr>
        <w:lastRenderedPageBreak/>
        <w:tab/>
      </w:r>
      <w:r w:rsidRPr="00660F34">
        <w:rPr>
          <w:rtl/>
        </w:rPr>
        <w:tab/>
        <w:t>الوقائع كما عرضتها صاحبة البلاغ</w:t>
      </w:r>
    </w:p>
    <w:p w14:paraId="39DD413B" w14:textId="59900347" w:rsidR="00DB1848" w:rsidRPr="00660F34" w:rsidRDefault="00DB1848" w:rsidP="00DB1848">
      <w:pPr>
        <w:pStyle w:val="SingleTxtGA"/>
        <w:rPr>
          <w:i/>
          <w:szCs w:val="20"/>
          <w:lang w:val="ar-SA" w:eastAsia="zh-TW" w:bidi="en-GB"/>
        </w:rPr>
      </w:pPr>
      <w:r w:rsidRPr="00660F34">
        <w:rPr>
          <w:rtl/>
        </w:rPr>
        <w:t>2</w:t>
      </w:r>
      <w:r w:rsidRPr="0017212C">
        <w:rPr>
          <w:rFonts w:ascii="Simplified Arabic"/>
          <w:szCs w:val="20"/>
          <w:rtl/>
        </w:rPr>
        <w:t>-</w:t>
      </w:r>
      <w:r w:rsidRPr="00660F34">
        <w:rPr>
          <w:rtl/>
        </w:rPr>
        <w:t>1</w:t>
      </w:r>
      <w:r w:rsidRPr="0017212C">
        <w:rPr>
          <w:rtl/>
        </w:rPr>
        <w:tab/>
        <w:t>صاحبة البلاغ متقاعدة تتابع عن كثب التطورات العامة والسياسية في البلد. وفي آذار/</w:t>
      </w:r>
      <w:r w:rsidR="0094765C" w:rsidRPr="0017212C">
        <w:rPr>
          <w:rFonts w:hint="cs"/>
          <w:rtl/>
        </w:rPr>
        <w:t xml:space="preserve"> </w:t>
      </w:r>
      <w:r w:rsidRPr="0017212C">
        <w:rPr>
          <w:rtl/>
        </w:rPr>
        <w:t>مارس</w:t>
      </w:r>
      <w:r w:rsidR="0094765C" w:rsidRPr="0017212C">
        <w:rPr>
          <w:rFonts w:hint="cs"/>
          <w:rtl/>
        </w:rPr>
        <w:t> </w:t>
      </w:r>
      <w:r w:rsidRPr="00660F34">
        <w:rPr>
          <w:rtl/>
        </w:rPr>
        <w:t>2017</w:t>
      </w:r>
      <w:r w:rsidRPr="0017212C">
        <w:rPr>
          <w:rtl/>
        </w:rPr>
        <w:t xml:space="preserve">، مثلت أمام المحاكم وأدينت بانتهاك أحكام قانون الأحداث الجماهيرية المتعلقة بتنظيم التجمعات، ومن ثم بارتكاب جريمة إدارية بموجب المادة </w:t>
      </w:r>
      <w:r w:rsidRPr="00660F34">
        <w:rPr>
          <w:rtl/>
        </w:rPr>
        <w:t>23</w:t>
      </w:r>
      <w:r w:rsidRPr="0017212C">
        <w:rPr>
          <w:rFonts w:ascii="Simplified Arabic"/>
          <w:szCs w:val="20"/>
          <w:rtl/>
        </w:rPr>
        <w:t>-</w:t>
      </w:r>
      <w:r w:rsidRPr="00660F34">
        <w:rPr>
          <w:rtl/>
        </w:rPr>
        <w:t>34</w:t>
      </w:r>
      <w:r w:rsidRPr="0017212C">
        <w:rPr>
          <w:rFonts w:ascii="Simplified Arabic"/>
          <w:szCs w:val="20"/>
          <w:rtl/>
        </w:rPr>
        <w:t>(</w:t>
      </w:r>
      <w:r w:rsidR="00793F70" w:rsidRPr="00660F34">
        <w:rPr>
          <w:rtl/>
        </w:rPr>
        <w:t>1</w:t>
      </w:r>
      <w:r w:rsidR="00793F70" w:rsidRPr="0017212C">
        <w:rPr>
          <w:rFonts w:ascii="Simplified Arabic"/>
          <w:szCs w:val="20"/>
          <w:rtl/>
        </w:rPr>
        <w:t>)</w:t>
      </w:r>
      <w:r w:rsidR="00793F70" w:rsidRPr="0017212C">
        <w:rPr>
          <w:rtl/>
        </w:rPr>
        <w:t xml:space="preserve"> </w:t>
      </w:r>
      <w:r w:rsidRPr="0017212C">
        <w:rPr>
          <w:rtl/>
        </w:rPr>
        <w:t>من قانون الجرائم الإدارية في سياق حادثين منفصلين، وفرضت عليها غرامات إدارية كبيرة لمشاركتها في احتشادات سلمية.</w:t>
      </w:r>
    </w:p>
    <w:p w14:paraId="781C4A00" w14:textId="177244AC" w:rsidR="00DB1848" w:rsidRPr="00660F34" w:rsidRDefault="00DB1848" w:rsidP="00DB1848">
      <w:pPr>
        <w:pStyle w:val="SingleTxtGA"/>
        <w:rPr>
          <w:i/>
          <w:szCs w:val="20"/>
          <w:lang w:val="ar-SA" w:eastAsia="zh-TW" w:bidi="en-GB"/>
        </w:rPr>
      </w:pPr>
      <w:r w:rsidRPr="00660F34">
        <w:rPr>
          <w:rtl/>
        </w:rPr>
        <w:t>2</w:t>
      </w:r>
      <w:r w:rsidRPr="0017212C">
        <w:rPr>
          <w:rFonts w:ascii="Simplified Arabic"/>
          <w:szCs w:val="20"/>
          <w:rtl/>
        </w:rPr>
        <w:t>-</w:t>
      </w:r>
      <w:r w:rsidRPr="00660F34">
        <w:rPr>
          <w:rtl/>
        </w:rPr>
        <w:t>2</w:t>
      </w:r>
      <w:r w:rsidRPr="0017212C">
        <w:rPr>
          <w:rtl/>
        </w:rPr>
        <w:tab/>
        <w:t xml:space="preserve">ووقع الحادث الأول الذي أدينت به في </w:t>
      </w:r>
      <w:r w:rsidRPr="00660F34">
        <w:rPr>
          <w:rtl/>
        </w:rPr>
        <w:t>12</w:t>
      </w:r>
      <w:r w:rsidRPr="0017212C">
        <w:rPr>
          <w:rtl/>
        </w:rPr>
        <w:t xml:space="preserve"> مارس/آذار </w:t>
      </w:r>
      <w:r w:rsidRPr="00660F34">
        <w:rPr>
          <w:rtl/>
        </w:rPr>
        <w:t>201</w:t>
      </w:r>
      <w:r w:rsidR="00793F70" w:rsidRPr="00660F34">
        <w:rPr>
          <w:rtl/>
        </w:rPr>
        <w:t>7</w:t>
      </w:r>
      <w:r w:rsidR="00793F70" w:rsidRPr="0017212C">
        <w:rPr>
          <w:rFonts w:ascii="Simplified Arabic"/>
          <w:szCs w:val="20"/>
          <w:rtl/>
        </w:rPr>
        <w:t>.</w:t>
      </w:r>
      <w:r w:rsidR="00793F70" w:rsidRPr="0017212C">
        <w:rPr>
          <w:rtl/>
        </w:rPr>
        <w:t xml:space="preserve"> </w:t>
      </w:r>
      <w:r w:rsidRPr="0017212C">
        <w:rPr>
          <w:rtl/>
        </w:rPr>
        <w:t xml:space="preserve">وفي ذلك التاريخ، شاركت صاحبة البلاغ في مسيرة في الشوارع ومظاهرة نظمت في مدينة روغاتشيف في منطقة غوميل، دون إذن مسبق من السلطات المختصة، احتجاجاً على المرسوم الرئاسي "بشأن منع الاتكال الاجتماعي". وجرى هذا الحدث السلمي بحضور أفراد الشرطة الذين لم يتدخلوا فيه. غير أن صاحبة البلاغ استُدعيت فيما بعد إلى إدارة الشؤون الداخلية في مقاطعة سوفيتسكي في غوميل، حيث فتحت الشرطة محضراً تتهمها فيه بانتهاك المادة </w:t>
      </w:r>
      <w:r w:rsidRPr="00660F34">
        <w:rPr>
          <w:rtl/>
        </w:rPr>
        <w:t>23</w:t>
      </w:r>
      <w:r w:rsidRPr="0017212C">
        <w:rPr>
          <w:rFonts w:ascii="Simplified Arabic"/>
          <w:szCs w:val="20"/>
          <w:rtl/>
        </w:rPr>
        <w:t>-</w:t>
      </w:r>
      <w:r w:rsidRPr="00660F34">
        <w:rPr>
          <w:rtl/>
        </w:rPr>
        <w:t>34</w:t>
      </w:r>
      <w:r w:rsidRPr="0017212C">
        <w:rPr>
          <w:rFonts w:ascii="Simplified Arabic"/>
          <w:szCs w:val="20"/>
          <w:rtl/>
        </w:rPr>
        <w:t>(</w:t>
      </w:r>
      <w:r w:rsidR="00793F70" w:rsidRPr="00660F34">
        <w:rPr>
          <w:rtl/>
        </w:rPr>
        <w:t>1</w:t>
      </w:r>
      <w:r w:rsidR="00793F70" w:rsidRPr="0017212C">
        <w:rPr>
          <w:rFonts w:ascii="Simplified Arabic"/>
          <w:szCs w:val="20"/>
          <w:rtl/>
        </w:rPr>
        <w:t>)</w:t>
      </w:r>
      <w:r w:rsidR="00793F70" w:rsidRPr="0017212C">
        <w:rPr>
          <w:rtl/>
        </w:rPr>
        <w:t xml:space="preserve"> </w:t>
      </w:r>
      <w:r w:rsidRPr="0017212C">
        <w:rPr>
          <w:rtl/>
        </w:rPr>
        <w:t xml:space="preserve">من قانون الجرائم الإدارية. </w:t>
      </w:r>
    </w:p>
    <w:p w14:paraId="704FCC78" w14:textId="01406F97" w:rsidR="00DB1848" w:rsidRPr="00660F34" w:rsidRDefault="00DB1848" w:rsidP="00DB1848">
      <w:pPr>
        <w:pStyle w:val="SingleTxtGA"/>
        <w:rPr>
          <w:i/>
          <w:szCs w:val="20"/>
          <w:lang w:val="ar-SA" w:eastAsia="zh-TW" w:bidi="en-GB"/>
        </w:rPr>
      </w:pPr>
      <w:r w:rsidRPr="00660F34">
        <w:rPr>
          <w:rtl/>
        </w:rPr>
        <w:t>2</w:t>
      </w:r>
      <w:r w:rsidRPr="0017212C">
        <w:rPr>
          <w:rFonts w:ascii="Simplified Arabic"/>
          <w:szCs w:val="20"/>
          <w:rtl/>
        </w:rPr>
        <w:t>-</w:t>
      </w:r>
      <w:r w:rsidRPr="00660F34">
        <w:rPr>
          <w:rtl/>
        </w:rPr>
        <w:t>3</w:t>
      </w:r>
      <w:r w:rsidRPr="0017212C">
        <w:rPr>
          <w:rtl/>
        </w:rPr>
        <w:tab/>
        <w:t xml:space="preserve">وفي </w:t>
      </w:r>
      <w:r w:rsidRPr="00660F34">
        <w:rPr>
          <w:rtl/>
        </w:rPr>
        <w:t>23</w:t>
      </w:r>
      <w:r w:rsidRPr="0017212C">
        <w:rPr>
          <w:rtl/>
        </w:rPr>
        <w:t xml:space="preserve"> آذار/مارس </w:t>
      </w:r>
      <w:r w:rsidRPr="00660F34">
        <w:rPr>
          <w:rtl/>
        </w:rPr>
        <w:t>2017</w:t>
      </w:r>
      <w:r w:rsidRPr="0017212C">
        <w:rPr>
          <w:rtl/>
        </w:rPr>
        <w:t xml:space="preserve">، قررت المحكمة المحلية في سوفيتسكي أن صاحبة البلاغ انتهكت أحكام قانون الأحداث الجماهيرية بالمشاركة في تجمع غير مرخص، وارتكبت من ثم جريمة إدارية بموجب المادة </w:t>
      </w:r>
      <w:r w:rsidRPr="00660F34">
        <w:rPr>
          <w:rtl/>
        </w:rPr>
        <w:t>23</w:t>
      </w:r>
      <w:r w:rsidRPr="0017212C">
        <w:rPr>
          <w:rFonts w:ascii="Simplified Arabic"/>
          <w:szCs w:val="20"/>
          <w:rtl/>
        </w:rPr>
        <w:t>-</w:t>
      </w:r>
      <w:r w:rsidRPr="00660F34">
        <w:rPr>
          <w:rtl/>
        </w:rPr>
        <w:t>34</w:t>
      </w:r>
      <w:r w:rsidRPr="0017212C">
        <w:rPr>
          <w:rFonts w:ascii="Simplified Arabic"/>
          <w:szCs w:val="20"/>
          <w:rtl/>
        </w:rPr>
        <w:t>(</w:t>
      </w:r>
      <w:r w:rsidR="00793F70" w:rsidRPr="00660F34">
        <w:rPr>
          <w:rtl/>
        </w:rPr>
        <w:t>1</w:t>
      </w:r>
      <w:r w:rsidR="00793F70" w:rsidRPr="0017212C">
        <w:rPr>
          <w:rFonts w:ascii="Simplified Arabic"/>
          <w:szCs w:val="20"/>
          <w:rtl/>
        </w:rPr>
        <w:t>)</w:t>
      </w:r>
      <w:r w:rsidR="00793F70" w:rsidRPr="0017212C">
        <w:rPr>
          <w:rtl/>
        </w:rPr>
        <w:t xml:space="preserve"> </w:t>
      </w:r>
      <w:r w:rsidRPr="0017212C">
        <w:rPr>
          <w:rtl/>
        </w:rPr>
        <w:t xml:space="preserve">من قانون الجرائم الإدارية. وبناءً على ذلك، أمرت المحكمة المحلية في سوفيتسكي صاحبة البلاغ بدفع غرامة قدرها </w:t>
      </w:r>
      <w:r w:rsidRPr="00660F34">
        <w:rPr>
          <w:rtl/>
        </w:rPr>
        <w:t>245</w:t>
      </w:r>
      <w:r w:rsidRPr="0017212C">
        <w:rPr>
          <w:rtl/>
        </w:rPr>
        <w:t xml:space="preserve"> روبلاً بيلاروسيا</w:t>
      </w:r>
      <w:r w:rsidR="00793F70" w:rsidRPr="0017212C">
        <w:rPr>
          <w:rStyle w:val="FootnoteReference"/>
          <w:rtl/>
        </w:rPr>
        <w:t>(</w:t>
      </w:r>
      <w:r w:rsidR="00793F70" w:rsidRPr="00660F34">
        <w:rPr>
          <w:rStyle w:val="FootnoteReference"/>
          <w:lang w:val="en-US"/>
        </w:rPr>
        <w:footnoteReference w:id="4"/>
      </w:r>
      <w:r w:rsidR="00793F70" w:rsidRPr="0017212C">
        <w:rPr>
          <w:rStyle w:val="FootnoteReference"/>
          <w:rtl/>
        </w:rPr>
        <w:t>)</w:t>
      </w:r>
      <w:r w:rsidR="00793F70" w:rsidRPr="0017212C">
        <w:rPr>
          <w:rtl/>
        </w:rPr>
        <w:t xml:space="preserve">. </w:t>
      </w:r>
      <w:r w:rsidRPr="0017212C">
        <w:rPr>
          <w:rtl/>
        </w:rPr>
        <w:t xml:space="preserve">وفي </w:t>
      </w:r>
      <w:r w:rsidRPr="00660F34">
        <w:rPr>
          <w:rtl/>
        </w:rPr>
        <w:t>27</w:t>
      </w:r>
      <w:r w:rsidRPr="0017212C">
        <w:rPr>
          <w:rtl/>
        </w:rPr>
        <w:t xml:space="preserve"> آذار/مارس </w:t>
      </w:r>
      <w:r w:rsidRPr="00660F34">
        <w:rPr>
          <w:rtl/>
        </w:rPr>
        <w:t>2017</w:t>
      </w:r>
      <w:r w:rsidRPr="0017212C">
        <w:rPr>
          <w:rtl/>
        </w:rPr>
        <w:t xml:space="preserve">، استأنفت صاحبة البلاغ هذا القرار أمام محكمة غوميل الإقليمية، ولكن استئنافها رفض في </w:t>
      </w:r>
      <w:r w:rsidRPr="00660F34">
        <w:rPr>
          <w:rtl/>
        </w:rPr>
        <w:t>19</w:t>
      </w:r>
      <w:r w:rsidRPr="0017212C">
        <w:rPr>
          <w:rtl/>
        </w:rPr>
        <w:t xml:space="preserve"> نيسان/أبريل </w:t>
      </w:r>
      <w:r w:rsidRPr="00660F34">
        <w:rPr>
          <w:rtl/>
        </w:rPr>
        <w:t>201</w:t>
      </w:r>
      <w:r w:rsidR="00793F70" w:rsidRPr="00660F34">
        <w:rPr>
          <w:rtl/>
        </w:rPr>
        <w:t>7</w:t>
      </w:r>
      <w:r w:rsidR="00793F70" w:rsidRPr="0017212C">
        <w:rPr>
          <w:rFonts w:ascii="Simplified Arabic"/>
          <w:szCs w:val="20"/>
          <w:rtl/>
        </w:rPr>
        <w:t>.</w:t>
      </w:r>
      <w:r w:rsidR="00793F70" w:rsidRPr="0017212C">
        <w:rPr>
          <w:rtl/>
        </w:rPr>
        <w:t xml:space="preserve"> </w:t>
      </w:r>
      <w:r w:rsidRPr="0017212C">
        <w:rPr>
          <w:rtl/>
        </w:rPr>
        <w:t>وفي اليوم نفسه، دخل قرار المحكمة المحلية في سوفيتسكي حيز النفاذ.</w:t>
      </w:r>
    </w:p>
    <w:p w14:paraId="40641C24" w14:textId="674EA54A" w:rsidR="00DB1848" w:rsidRPr="0017212C" w:rsidRDefault="00DB1848" w:rsidP="00DB1848">
      <w:pPr>
        <w:pStyle w:val="SingleTxtGA"/>
        <w:rPr>
          <w:szCs w:val="20"/>
          <w:lang w:val="ar-SA" w:eastAsia="zh-TW" w:bidi="en-GB"/>
        </w:rPr>
      </w:pPr>
      <w:r w:rsidRPr="00660F34">
        <w:rPr>
          <w:rtl/>
        </w:rPr>
        <w:t>2</w:t>
      </w:r>
      <w:r w:rsidRPr="0017212C">
        <w:rPr>
          <w:rFonts w:ascii="Simplified Arabic"/>
          <w:szCs w:val="20"/>
          <w:rtl/>
        </w:rPr>
        <w:t>-</w:t>
      </w:r>
      <w:r w:rsidRPr="00660F34">
        <w:rPr>
          <w:rtl/>
        </w:rPr>
        <w:t>4</w:t>
      </w:r>
      <w:r w:rsidRPr="0017212C">
        <w:rPr>
          <w:rtl/>
        </w:rPr>
        <w:tab/>
        <w:t xml:space="preserve">ووقع الحادث الثاني الذي أدينت به في </w:t>
      </w:r>
      <w:r w:rsidRPr="00660F34">
        <w:rPr>
          <w:rtl/>
        </w:rPr>
        <w:t>25</w:t>
      </w:r>
      <w:r w:rsidRPr="0017212C">
        <w:rPr>
          <w:rtl/>
        </w:rPr>
        <w:t xml:space="preserve"> آذار/مارس </w:t>
      </w:r>
      <w:r w:rsidRPr="00660F34">
        <w:rPr>
          <w:rtl/>
        </w:rPr>
        <w:t>201</w:t>
      </w:r>
      <w:r w:rsidR="00793F70" w:rsidRPr="00660F34">
        <w:rPr>
          <w:rtl/>
        </w:rPr>
        <w:t>7</w:t>
      </w:r>
      <w:r w:rsidR="00793F70" w:rsidRPr="0017212C">
        <w:rPr>
          <w:rFonts w:ascii="Simplified Arabic"/>
          <w:szCs w:val="20"/>
          <w:rtl/>
        </w:rPr>
        <w:t>.</w:t>
      </w:r>
      <w:r w:rsidR="00793F70" w:rsidRPr="0017212C">
        <w:rPr>
          <w:rtl/>
        </w:rPr>
        <w:t xml:space="preserve"> </w:t>
      </w:r>
      <w:r w:rsidRPr="0017212C">
        <w:rPr>
          <w:rtl/>
        </w:rPr>
        <w:t xml:space="preserve">وفي هذا اليوم، شاركت صاحبة البلاغ في احتشاد سلمي آخر غير مرخص في الشارع في مدينة غوميل، احتجاجاً مرة أخرى على المرسوم الرئاسي المذكور أعلاه. وبعد هذا الحادث، ألقى أفراد الشرطة القبض على صاحبة البلاغ ودونوا محضراً إدارياً يتهمونها فيه بانتهاك المادة </w:t>
      </w:r>
      <w:r w:rsidRPr="00660F34">
        <w:rPr>
          <w:rtl/>
        </w:rPr>
        <w:t>23</w:t>
      </w:r>
      <w:r w:rsidRPr="0017212C">
        <w:rPr>
          <w:rFonts w:ascii="Simplified Arabic"/>
          <w:szCs w:val="20"/>
          <w:rtl/>
        </w:rPr>
        <w:t>-</w:t>
      </w:r>
      <w:r w:rsidRPr="00660F34">
        <w:rPr>
          <w:rtl/>
        </w:rPr>
        <w:t>34</w:t>
      </w:r>
      <w:r w:rsidRPr="0017212C">
        <w:rPr>
          <w:rFonts w:ascii="Simplified Arabic"/>
          <w:szCs w:val="20"/>
          <w:rtl/>
        </w:rPr>
        <w:t>(</w:t>
      </w:r>
      <w:r w:rsidR="00793F70" w:rsidRPr="00660F34">
        <w:rPr>
          <w:rtl/>
        </w:rPr>
        <w:t>1</w:t>
      </w:r>
      <w:r w:rsidR="00793F70" w:rsidRPr="0017212C">
        <w:rPr>
          <w:rFonts w:ascii="Simplified Arabic"/>
          <w:szCs w:val="20"/>
          <w:rtl/>
        </w:rPr>
        <w:t>)</w:t>
      </w:r>
      <w:r w:rsidR="00793F70" w:rsidRPr="0017212C">
        <w:rPr>
          <w:rtl/>
        </w:rPr>
        <w:t xml:space="preserve"> </w:t>
      </w:r>
      <w:r w:rsidRPr="0017212C">
        <w:rPr>
          <w:rtl/>
        </w:rPr>
        <w:t xml:space="preserve">من قانون الجرائم الإدارية. وتدفع صاحبة البلاغ بأنها احتُجزت في مرافق الاحتجاز المؤقتة لدى إدارة الشؤون الداخلية التابعة للجنة التنفيذية الإقليمية في غوميل لمدة </w:t>
      </w:r>
      <w:r w:rsidRPr="00660F34">
        <w:rPr>
          <w:rtl/>
        </w:rPr>
        <w:t>44</w:t>
      </w:r>
      <w:r w:rsidRPr="0017212C">
        <w:rPr>
          <w:rtl/>
        </w:rPr>
        <w:t xml:space="preserve"> ساعة. </w:t>
      </w:r>
    </w:p>
    <w:p w14:paraId="5B98775B" w14:textId="5C84BD4D" w:rsidR="00DB1848" w:rsidRPr="0017212C" w:rsidRDefault="00DB1848" w:rsidP="00DB1848">
      <w:pPr>
        <w:pStyle w:val="SingleTxtGA"/>
        <w:rPr>
          <w:spacing w:val="-2"/>
          <w:szCs w:val="20"/>
          <w:lang w:val="ar-SA" w:eastAsia="zh-TW" w:bidi="en-GB"/>
        </w:rPr>
      </w:pPr>
      <w:r w:rsidRPr="00660F34">
        <w:rPr>
          <w:rtl/>
        </w:rPr>
        <w:t>2</w:t>
      </w:r>
      <w:r w:rsidRPr="0017212C">
        <w:rPr>
          <w:rFonts w:ascii="Simplified Arabic"/>
          <w:szCs w:val="20"/>
          <w:rtl/>
        </w:rPr>
        <w:t>-</w:t>
      </w:r>
      <w:r w:rsidRPr="00660F34">
        <w:rPr>
          <w:rtl/>
        </w:rPr>
        <w:t>5</w:t>
      </w:r>
      <w:r w:rsidRPr="0017212C">
        <w:rPr>
          <w:rtl/>
        </w:rPr>
        <w:tab/>
        <w:t xml:space="preserve">وفي </w:t>
      </w:r>
      <w:r w:rsidRPr="00660F34">
        <w:rPr>
          <w:rtl/>
        </w:rPr>
        <w:t>27</w:t>
      </w:r>
      <w:r w:rsidRPr="0017212C">
        <w:rPr>
          <w:rtl/>
        </w:rPr>
        <w:t xml:space="preserve"> آذار/مارس </w:t>
      </w:r>
      <w:r w:rsidRPr="00660F34">
        <w:rPr>
          <w:rtl/>
        </w:rPr>
        <w:t>2017</w:t>
      </w:r>
      <w:r w:rsidRPr="0017212C">
        <w:rPr>
          <w:rtl/>
        </w:rPr>
        <w:t xml:space="preserve">، خلصت المحكمة المحلية في سوفيتسكي إلى أن صاحبة البلاغ انتهكت بأفعالها أحكام قانون الأحداث الجماهيرية المتعلقة بتنظيم تجمع، وارتكبت من ثم جريمة إدارية </w:t>
      </w:r>
      <w:r w:rsidRPr="0017212C">
        <w:rPr>
          <w:spacing w:val="-2"/>
          <w:rtl/>
        </w:rPr>
        <w:t xml:space="preserve">بموجب المادة </w:t>
      </w:r>
      <w:r w:rsidRPr="00660F34">
        <w:rPr>
          <w:spacing w:val="-2"/>
          <w:rtl/>
        </w:rPr>
        <w:t>23</w:t>
      </w:r>
      <w:r w:rsidRPr="0017212C">
        <w:rPr>
          <w:rFonts w:ascii="Simplified Arabic"/>
          <w:spacing w:val="-2"/>
          <w:szCs w:val="20"/>
          <w:rtl/>
        </w:rPr>
        <w:t>-</w:t>
      </w:r>
      <w:r w:rsidRPr="00660F34">
        <w:rPr>
          <w:spacing w:val="-2"/>
          <w:rtl/>
        </w:rPr>
        <w:t>34</w:t>
      </w:r>
      <w:r w:rsidRPr="0017212C">
        <w:rPr>
          <w:rFonts w:ascii="Simplified Arabic"/>
          <w:spacing w:val="-2"/>
          <w:szCs w:val="20"/>
          <w:rtl/>
        </w:rPr>
        <w:t>(</w:t>
      </w:r>
      <w:r w:rsidR="00793F70" w:rsidRPr="00660F34">
        <w:rPr>
          <w:spacing w:val="-2"/>
          <w:rtl/>
        </w:rPr>
        <w:t>1</w:t>
      </w:r>
      <w:r w:rsidR="00793F70" w:rsidRPr="0017212C">
        <w:rPr>
          <w:rFonts w:ascii="Simplified Arabic"/>
          <w:spacing w:val="-2"/>
          <w:szCs w:val="20"/>
          <w:rtl/>
        </w:rPr>
        <w:t>)</w:t>
      </w:r>
      <w:r w:rsidR="00793F70" w:rsidRPr="0017212C">
        <w:rPr>
          <w:spacing w:val="-2"/>
          <w:rtl/>
        </w:rPr>
        <w:t xml:space="preserve"> </w:t>
      </w:r>
      <w:r w:rsidRPr="0017212C">
        <w:rPr>
          <w:spacing w:val="-2"/>
          <w:rtl/>
        </w:rPr>
        <w:t xml:space="preserve">من قانون الجرائم الإدارية، وفرضت عليها غرامة قدرها </w:t>
      </w:r>
      <w:r w:rsidRPr="00660F34">
        <w:rPr>
          <w:spacing w:val="-2"/>
          <w:rtl/>
        </w:rPr>
        <w:t>414</w:t>
      </w:r>
      <w:r w:rsidRPr="0017212C">
        <w:rPr>
          <w:spacing w:val="-2"/>
          <w:rtl/>
        </w:rPr>
        <w:t xml:space="preserve"> روبلاً بيلاروسياً</w:t>
      </w:r>
      <w:r w:rsidR="00793F70" w:rsidRPr="0017212C">
        <w:rPr>
          <w:rStyle w:val="FootnoteReference"/>
          <w:spacing w:val="-2"/>
          <w:rtl/>
        </w:rPr>
        <w:t>(</w:t>
      </w:r>
      <w:r w:rsidR="00793F70" w:rsidRPr="00660F34">
        <w:rPr>
          <w:rStyle w:val="FootnoteReference"/>
          <w:spacing w:val="-2"/>
          <w:lang w:val="en-US"/>
        </w:rPr>
        <w:footnoteReference w:id="5"/>
      </w:r>
      <w:r w:rsidR="00793F70" w:rsidRPr="0017212C">
        <w:rPr>
          <w:rStyle w:val="FootnoteReference"/>
          <w:spacing w:val="-2"/>
          <w:rtl/>
        </w:rPr>
        <w:t>)</w:t>
      </w:r>
      <w:r w:rsidR="00793F70" w:rsidRPr="0017212C">
        <w:rPr>
          <w:spacing w:val="-2"/>
          <w:rtl/>
        </w:rPr>
        <w:t xml:space="preserve">. </w:t>
      </w:r>
    </w:p>
    <w:p w14:paraId="0327B594" w14:textId="0D69C037" w:rsidR="00DB1848" w:rsidRPr="0017212C" w:rsidRDefault="00DB1848" w:rsidP="00DB1848">
      <w:pPr>
        <w:pStyle w:val="SingleTxtGA"/>
        <w:rPr>
          <w:szCs w:val="20"/>
          <w:lang w:val="ar-SA" w:eastAsia="zh-TW" w:bidi="en-GB"/>
        </w:rPr>
      </w:pPr>
      <w:r w:rsidRPr="00660F34">
        <w:rPr>
          <w:rtl/>
        </w:rPr>
        <w:t>2</w:t>
      </w:r>
      <w:r w:rsidRPr="0017212C">
        <w:rPr>
          <w:rFonts w:ascii="Simplified Arabic"/>
          <w:szCs w:val="20"/>
          <w:rtl/>
        </w:rPr>
        <w:t>-</w:t>
      </w:r>
      <w:r w:rsidRPr="00660F34">
        <w:rPr>
          <w:rtl/>
        </w:rPr>
        <w:t>6</w:t>
      </w:r>
      <w:r w:rsidRPr="0017212C">
        <w:rPr>
          <w:rtl/>
        </w:rPr>
        <w:tab/>
        <w:t xml:space="preserve">وفي </w:t>
      </w:r>
      <w:r w:rsidRPr="00660F34">
        <w:rPr>
          <w:rtl/>
        </w:rPr>
        <w:t>27</w:t>
      </w:r>
      <w:r w:rsidRPr="0017212C">
        <w:rPr>
          <w:rtl/>
        </w:rPr>
        <w:t xml:space="preserve"> آذار/مارس </w:t>
      </w:r>
      <w:r w:rsidRPr="00660F34">
        <w:rPr>
          <w:rtl/>
        </w:rPr>
        <w:t>2017</w:t>
      </w:r>
      <w:r w:rsidRPr="0017212C">
        <w:rPr>
          <w:rtl/>
        </w:rPr>
        <w:t xml:space="preserve">، استأنفت صاحبة البلاغ هذا القرار أمام محكمة غوميل الإقليمية، ولكن استئنافها رفض في </w:t>
      </w:r>
      <w:r w:rsidRPr="00660F34">
        <w:rPr>
          <w:rtl/>
        </w:rPr>
        <w:t>12</w:t>
      </w:r>
      <w:r w:rsidRPr="0017212C">
        <w:rPr>
          <w:rtl/>
        </w:rPr>
        <w:t xml:space="preserve"> نيسان/أبريل </w:t>
      </w:r>
      <w:r w:rsidRPr="00660F34">
        <w:rPr>
          <w:rtl/>
        </w:rPr>
        <w:t>201</w:t>
      </w:r>
      <w:r w:rsidR="00793F70" w:rsidRPr="00660F34">
        <w:rPr>
          <w:rtl/>
        </w:rPr>
        <w:t>7</w:t>
      </w:r>
      <w:r w:rsidR="00793F70" w:rsidRPr="0017212C">
        <w:rPr>
          <w:rFonts w:ascii="Simplified Arabic"/>
          <w:szCs w:val="20"/>
          <w:rtl/>
        </w:rPr>
        <w:t>.</w:t>
      </w:r>
      <w:r w:rsidR="00793F70" w:rsidRPr="0017212C">
        <w:rPr>
          <w:rtl/>
        </w:rPr>
        <w:t xml:space="preserve"> </w:t>
      </w:r>
    </w:p>
    <w:p w14:paraId="4D7EFA0D" w14:textId="6201E2E7" w:rsidR="00793F70" w:rsidRPr="0017212C" w:rsidRDefault="00DB1848" w:rsidP="00DB1848">
      <w:pPr>
        <w:pStyle w:val="SingleTxtGA"/>
        <w:rPr>
          <w:szCs w:val="20"/>
          <w:lang w:val="ar-SA" w:eastAsia="zh-TW" w:bidi="en-GB"/>
        </w:rPr>
      </w:pPr>
      <w:r w:rsidRPr="00660F34">
        <w:rPr>
          <w:rtl/>
        </w:rPr>
        <w:t>2</w:t>
      </w:r>
      <w:r w:rsidRPr="0017212C">
        <w:rPr>
          <w:rFonts w:ascii="Simplified Arabic"/>
          <w:szCs w:val="20"/>
          <w:rtl/>
        </w:rPr>
        <w:t>-</w:t>
      </w:r>
      <w:r w:rsidRPr="00660F34">
        <w:rPr>
          <w:rtl/>
        </w:rPr>
        <w:t>7</w:t>
      </w:r>
      <w:r w:rsidRPr="0017212C">
        <w:rPr>
          <w:rtl/>
        </w:rPr>
        <w:tab/>
        <w:t xml:space="preserve">وتدفع صاحبة البلاغ بأنها استنفدت سبل الانتصاف المحلية، لأن اجتهادات اللجنة تنص على أن إجراءات المراجعة القضائية المتعلقة بأحكام المحاكم التي دخلت حيز النفاذ لا تشكل سبيل انتصاف مما ينبغي استنفاده لأغراض الفقرة </w:t>
      </w:r>
      <w:r w:rsidRPr="00660F34">
        <w:rPr>
          <w:rtl/>
        </w:rPr>
        <w:t>2</w:t>
      </w:r>
      <w:r w:rsidRPr="0017212C">
        <w:rPr>
          <w:rFonts w:ascii="Simplified Arabic"/>
          <w:szCs w:val="20"/>
          <w:rtl/>
        </w:rPr>
        <w:t>(</w:t>
      </w:r>
      <w:r w:rsidRPr="0017212C">
        <w:rPr>
          <w:rtl/>
        </w:rPr>
        <w:t>ب</w:t>
      </w:r>
      <w:r w:rsidRPr="0017212C">
        <w:rPr>
          <w:rFonts w:ascii="Simplified Arabic"/>
          <w:szCs w:val="20"/>
          <w:rtl/>
        </w:rPr>
        <w:t>)</w:t>
      </w:r>
      <w:r w:rsidRPr="0017212C">
        <w:rPr>
          <w:rtl/>
        </w:rPr>
        <w:t xml:space="preserve"> من المادة </w:t>
      </w:r>
      <w:r w:rsidRPr="00660F34">
        <w:rPr>
          <w:rtl/>
        </w:rPr>
        <w:t>5</w:t>
      </w:r>
      <w:r w:rsidRPr="0017212C">
        <w:rPr>
          <w:rtl/>
        </w:rPr>
        <w:t xml:space="preserve"> من البروتوكول الاختياري</w:t>
      </w:r>
      <w:r w:rsidR="00793F70" w:rsidRPr="0017212C">
        <w:rPr>
          <w:rStyle w:val="FootnoteReference"/>
          <w:rtl/>
        </w:rPr>
        <w:t>(</w:t>
      </w:r>
      <w:r w:rsidR="00793F70" w:rsidRPr="00660F34">
        <w:rPr>
          <w:rStyle w:val="FootnoteReference"/>
          <w:lang w:val="en-US"/>
        </w:rPr>
        <w:footnoteReference w:id="6"/>
      </w:r>
      <w:r w:rsidR="00793F70" w:rsidRPr="0017212C">
        <w:rPr>
          <w:rStyle w:val="FootnoteReference"/>
          <w:rtl/>
        </w:rPr>
        <w:t>)</w:t>
      </w:r>
      <w:r w:rsidR="00793F70" w:rsidRPr="0017212C">
        <w:rPr>
          <w:rtl/>
        </w:rPr>
        <w:t>.</w:t>
      </w:r>
    </w:p>
    <w:p w14:paraId="7ADBEBD9" w14:textId="1B4B9C77" w:rsidR="00DB1848" w:rsidRPr="00660F34" w:rsidRDefault="00DB1848" w:rsidP="00DB1848">
      <w:pPr>
        <w:pStyle w:val="H23GA"/>
        <w:rPr>
          <w:szCs w:val="20"/>
          <w:lang w:val="ar-SA" w:eastAsia="zh-TW" w:bidi="en-GB"/>
        </w:rPr>
      </w:pPr>
      <w:r w:rsidRPr="00660F34">
        <w:rPr>
          <w:rtl/>
        </w:rPr>
        <w:lastRenderedPageBreak/>
        <w:tab/>
      </w:r>
      <w:r w:rsidRPr="00660F34">
        <w:rPr>
          <w:rtl/>
        </w:rPr>
        <w:tab/>
        <w:t>الشكوى</w:t>
      </w:r>
    </w:p>
    <w:p w14:paraId="61F3E3CF" w14:textId="4B5BDDC6" w:rsidR="00DB1848" w:rsidRPr="00660F34" w:rsidRDefault="00DB1848" w:rsidP="00DB1848">
      <w:pPr>
        <w:pStyle w:val="SingleTxtGA"/>
        <w:rPr>
          <w:i/>
          <w:szCs w:val="20"/>
          <w:lang w:val="ar-SA" w:eastAsia="zh-TW" w:bidi="en-GB"/>
        </w:rPr>
      </w:pPr>
      <w:r w:rsidRPr="00660F34">
        <w:rPr>
          <w:rtl/>
        </w:rPr>
        <w:t>3</w:t>
      </w:r>
      <w:r w:rsidRPr="0017212C">
        <w:rPr>
          <w:rFonts w:ascii="Simplified Arabic"/>
          <w:szCs w:val="20"/>
          <w:rtl/>
        </w:rPr>
        <w:t>-</w:t>
      </w:r>
      <w:r w:rsidRPr="00660F34">
        <w:rPr>
          <w:rtl/>
        </w:rPr>
        <w:t>1</w:t>
      </w:r>
      <w:r w:rsidRPr="0017212C">
        <w:rPr>
          <w:rtl/>
        </w:rPr>
        <w:tab/>
        <w:t xml:space="preserve">تدعي صاحبة البلاغ حدوث انتهاك لحقوقها المنصوص عليها في المادتين </w:t>
      </w:r>
      <w:r w:rsidRPr="00660F34">
        <w:rPr>
          <w:rtl/>
        </w:rPr>
        <w:t>19</w:t>
      </w:r>
      <w:r w:rsidRPr="0017212C">
        <w:rPr>
          <w:rtl/>
        </w:rPr>
        <w:t xml:space="preserve"> و</w:t>
      </w:r>
      <w:r w:rsidRPr="00660F34">
        <w:rPr>
          <w:rtl/>
        </w:rPr>
        <w:t>21</w:t>
      </w:r>
      <w:r w:rsidRPr="0017212C">
        <w:rPr>
          <w:rtl/>
        </w:rPr>
        <w:t xml:space="preserve">، مقروءتين بالاقتران مع الفقرتين </w:t>
      </w:r>
      <w:r w:rsidRPr="00660F34">
        <w:rPr>
          <w:rtl/>
        </w:rPr>
        <w:t>2</w:t>
      </w:r>
      <w:r w:rsidRPr="0017212C">
        <w:rPr>
          <w:rtl/>
        </w:rPr>
        <w:t xml:space="preserve"> و</w:t>
      </w:r>
      <w:r w:rsidRPr="00660F34">
        <w:rPr>
          <w:rtl/>
        </w:rPr>
        <w:t>3</w:t>
      </w:r>
      <w:r w:rsidRPr="0017212C">
        <w:rPr>
          <w:rtl/>
        </w:rPr>
        <w:t xml:space="preserve"> من المادة </w:t>
      </w:r>
      <w:r w:rsidRPr="00660F34">
        <w:rPr>
          <w:rtl/>
        </w:rPr>
        <w:t>2</w:t>
      </w:r>
      <w:r w:rsidRPr="0017212C">
        <w:rPr>
          <w:rtl/>
        </w:rPr>
        <w:t xml:space="preserve"> من العهد، لأن السلطات لم توضح سبب اعتبار القيود المفروضة على حقها في المشاركة في احتشادات سلمية ضرورية لصون الأمن القومي أو السلامة العامة أو النظام العام، أو لحماية الصحة العامة أو الآداب العامة أو حقوق الآخرين وحرياتهم، كما تقتضيه المادة </w:t>
      </w:r>
      <w:r w:rsidRPr="00660F34">
        <w:rPr>
          <w:rtl/>
        </w:rPr>
        <w:t>19</w:t>
      </w:r>
      <w:r w:rsidRPr="0017212C">
        <w:rPr>
          <w:rFonts w:ascii="Simplified Arabic"/>
          <w:szCs w:val="20"/>
          <w:rtl/>
        </w:rPr>
        <w:t>(</w:t>
      </w:r>
      <w:r w:rsidR="00793F70" w:rsidRPr="00660F34">
        <w:rPr>
          <w:rtl/>
        </w:rPr>
        <w:t>3</w:t>
      </w:r>
      <w:r w:rsidR="00793F70" w:rsidRPr="0017212C">
        <w:rPr>
          <w:rFonts w:ascii="Simplified Arabic"/>
          <w:szCs w:val="20"/>
          <w:rtl/>
        </w:rPr>
        <w:t>)</w:t>
      </w:r>
      <w:r w:rsidR="00793F70" w:rsidRPr="0017212C">
        <w:rPr>
          <w:rtl/>
        </w:rPr>
        <w:t xml:space="preserve"> </w:t>
      </w:r>
      <w:r w:rsidRPr="0017212C">
        <w:rPr>
          <w:rtl/>
        </w:rPr>
        <w:t xml:space="preserve">والسطر الثاني من المادة </w:t>
      </w:r>
      <w:r w:rsidRPr="00660F34">
        <w:rPr>
          <w:rtl/>
        </w:rPr>
        <w:t>21</w:t>
      </w:r>
      <w:r w:rsidRPr="0017212C">
        <w:rPr>
          <w:rtl/>
        </w:rPr>
        <w:t xml:space="preserve"> من العهد. ولذلك ترى صاحبة البلاغ أن القيود والجزاءات المفروضة عليها غير قانونية وغير متناسبة. </w:t>
      </w:r>
    </w:p>
    <w:p w14:paraId="64775F54" w14:textId="77777777" w:rsidR="00DB1848" w:rsidRPr="00660F34" w:rsidRDefault="00DB1848" w:rsidP="00DB1848">
      <w:pPr>
        <w:pStyle w:val="SingleTxtGA"/>
        <w:rPr>
          <w:i/>
          <w:szCs w:val="20"/>
          <w:lang w:val="en-US" w:eastAsia="zh-TW" w:bidi="en-GB"/>
        </w:rPr>
      </w:pPr>
      <w:r w:rsidRPr="00660F34">
        <w:rPr>
          <w:rtl/>
        </w:rPr>
        <w:t>3</w:t>
      </w:r>
      <w:r w:rsidRPr="0017212C">
        <w:rPr>
          <w:rFonts w:ascii="Simplified Arabic"/>
          <w:szCs w:val="20"/>
          <w:rtl/>
        </w:rPr>
        <w:t>-</w:t>
      </w:r>
      <w:r w:rsidRPr="00660F34">
        <w:rPr>
          <w:rtl/>
        </w:rPr>
        <w:t>2</w:t>
      </w:r>
      <w:r w:rsidRPr="0017212C">
        <w:rPr>
          <w:rtl/>
        </w:rPr>
        <w:tab/>
      </w:r>
      <w:r w:rsidRPr="0017212C">
        <w:rPr>
          <w:spacing w:val="-2"/>
          <w:rtl/>
        </w:rPr>
        <w:t xml:space="preserve">ورأت السلطات المحلية خطأً أن للمادة </w:t>
      </w:r>
      <w:r w:rsidRPr="00660F34">
        <w:rPr>
          <w:spacing w:val="-2"/>
          <w:rtl/>
        </w:rPr>
        <w:t>23</w:t>
      </w:r>
      <w:r w:rsidRPr="0017212C">
        <w:rPr>
          <w:rFonts w:ascii="Simplified Arabic"/>
          <w:spacing w:val="-2"/>
          <w:szCs w:val="20"/>
          <w:rtl/>
        </w:rPr>
        <w:t>-</w:t>
      </w:r>
      <w:r w:rsidRPr="00660F34">
        <w:rPr>
          <w:spacing w:val="-2"/>
          <w:rtl/>
        </w:rPr>
        <w:t>24</w:t>
      </w:r>
      <w:r w:rsidRPr="0017212C">
        <w:rPr>
          <w:spacing w:val="-2"/>
          <w:rtl/>
        </w:rPr>
        <w:t xml:space="preserve"> من قانون الجرائم الإدارية أولوية على العهد، لأن </w:t>
      </w:r>
      <w:r w:rsidRPr="0017212C">
        <w:rPr>
          <w:rtl/>
        </w:rPr>
        <w:t xml:space="preserve">المادة </w:t>
      </w:r>
      <w:r w:rsidRPr="00660F34">
        <w:rPr>
          <w:rtl/>
        </w:rPr>
        <w:t>27</w:t>
      </w:r>
      <w:r w:rsidRPr="0017212C">
        <w:rPr>
          <w:rtl/>
        </w:rPr>
        <w:t xml:space="preserve"> من اتفاقية فيينا لقانون المعاهدات تنص على أنه لا يجوز لأي طرف أن يحتج بأحكام قانونه الداخلي لتبرير عدم تقيّده بأحكام معاهدة دولية. وبالإضافة إلى ذلك، تصرفت المحاكم المحلية على نحو فيه انتهاك للمادة </w:t>
      </w:r>
      <w:r w:rsidRPr="00660F34">
        <w:rPr>
          <w:rtl/>
        </w:rPr>
        <w:t>59</w:t>
      </w:r>
      <w:r w:rsidRPr="0017212C">
        <w:rPr>
          <w:rtl/>
        </w:rPr>
        <w:t xml:space="preserve"> من الدستور التي تلزمها باتخاذ التدابير الضرورية لحماية الحقوق والحريات الفردية. </w:t>
      </w:r>
    </w:p>
    <w:p w14:paraId="5290FF44" w14:textId="77777777" w:rsidR="00DB1848" w:rsidRPr="00660F34" w:rsidRDefault="00DB1848" w:rsidP="00DB1848">
      <w:pPr>
        <w:pStyle w:val="SingleTxtGA"/>
        <w:rPr>
          <w:i/>
          <w:szCs w:val="20"/>
          <w:lang w:val="en-US" w:eastAsia="zh-TW" w:bidi="en-GB"/>
        </w:rPr>
      </w:pPr>
      <w:r w:rsidRPr="00660F34">
        <w:rPr>
          <w:rtl/>
        </w:rPr>
        <w:t>3</w:t>
      </w:r>
      <w:r w:rsidRPr="0017212C">
        <w:rPr>
          <w:rFonts w:ascii="Simplified Arabic"/>
          <w:szCs w:val="20"/>
          <w:rtl/>
        </w:rPr>
        <w:t>-</w:t>
      </w:r>
      <w:r w:rsidRPr="00660F34">
        <w:rPr>
          <w:rtl/>
        </w:rPr>
        <w:t>3</w:t>
      </w:r>
      <w:r w:rsidRPr="0017212C">
        <w:rPr>
          <w:rtl/>
        </w:rPr>
        <w:tab/>
        <w:t xml:space="preserve">وتدعي صاحبة البلاغ أنها احتُجزت بصفة غير قانونية لمدة </w:t>
      </w:r>
      <w:r w:rsidRPr="00660F34">
        <w:rPr>
          <w:rtl/>
        </w:rPr>
        <w:t>44</w:t>
      </w:r>
      <w:r w:rsidRPr="0017212C">
        <w:rPr>
          <w:rtl/>
        </w:rPr>
        <w:t xml:space="preserve"> ساعة بينما كانت تمارس حقوقها بموجب المادتين </w:t>
      </w:r>
      <w:r w:rsidRPr="00660F34">
        <w:rPr>
          <w:rtl/>
        </w:rPr>
        <w:t>19</w:t>
      </w:r>
      <w:r w:rsidRPr="0017212C">
        <w:rPr>
          <w:rtl/>
        </w:rPr>
        <w:t xml:space="preserve"> و</w:t>
      </w:r>
      <w:r w:rsidRPr="00660F34">
        <w:rPr>
          <w:rtl/>
        </w:rPr>
        <w:t>21</w:t>
      </w:r>
      <w:r w:rsidRPr="0017212C">
        <w:rPr>
          <w:rtl/>
        </w:rPr>
        <w:t xml:space="preserve"> من العهد، مما يشكل انتهاكاً لحقوقها بموجب المادة </w:t>
      </w:r>
      <w:r w:rsidRPr="00660F34">
        <w:rPr>
          <w:rtl/>
        </w:rPr>
        <w:t>9</w:t>
      </w:r>
      <w:r w:rsidRPr="0017212C">
        <w:rPr>
          <w:rtl/>
        </w:rPr>
        <w:t xml:space="preserve"> من العهد. </w:t>
      </w:r>
    </w:p>
    <w:p w14:paraId="1F9DC72C" w14:textId="77777777" w:rsidR="00DB1848" w:rsidRPr="00660F34" w:rsidRDefault="00DB1848" w:rsidP="00DB1848">
      <w:pPr>
        <w:pStyle w:val="H23GA"/>
        <w:rPr>
          <w:szCs w:val="20"/>
          <w:lang w:val="ar-SA" w:eastAsia="zh-TW" w:bidi="en-GB"/>
        </w:rPr>
      </w:pPr>
      <w:r w:rsidRPr="00660F34">
        <w:rPr>
          <w:rtl/>
        </w:rPr>
        <w:tab/>
      </w:r>
      <w:r w:rsidRPr="00660F34">
        <w:rPr>
          <w:rtl/>
        </w:rPr>
        <w:tab/>
        <w:t>ملاحظات الدولة الطرف بشأن المقبولية والأسس الموضوعية</w:t>
      </w:r>
    </w:p>
    <w:p w14:paraId="02EE92F1" w14:textId="768AD460" w:rsidR="00DB1848" w:rsidRPr="0017212C" w:rsidRDefault="00DB1848" w:rsidP="00DB1848">
      <w:pPr>
        <w:pStyle w:val="SingleTxtGA"/>
        <w:rPr>
          <w:szCs w:val="20"/>
          <w:lang w:val="ar-SA" w:eastAsia="zh-TW" w:bidi="en-GB"/>
        </w:rPr>
      </w:pPr>
      <w:r w:rsidRPr="00660F34">
        <w:rPr>
          <w:rtl/>
        </w:rPr>
        <w:t>4</w:t>
      </w:r>
      <w:r w:rsidRPr="0017212C">
        <w:rPr>
          <w:rFonts w:ascii="Simplified Arabic"/>
          <w:szCs w:val="20"/>
          <w:rtl/>
        </w:rPr>
        <w:t>-</w:t>
      </w:r>
      <w:r w:rsidRPr="00660F34">
        <w:rPr>
          <w:rtl/>
        </w:rPr>
        <w:t>1</w:t>
      </w:r>
      <w:r w:rsidRPr="0017212C">
        <w:rPr>
          <w:rtl/>
        </w:rPr>
        <w:tab/>
      </w:r>
      <w:r w:rsidRPr="0017212C">
        <w:rPr>
          <w:spacing w:val="-2"/>
          <w:rtl/>
        </w:rPr>
        <w:t xml:space="preserve">في مذكرة شفوية مؤرخة </w:t>
      </w:r>
      <w:r w:rsidRPr="00660F34">
        <w:rPr>
          <w:spacing w:val="-2"/>
          <w:rtl/>
        </w:rPr>
        <w:t>12</w:t>
      </w:r>
      <w:r w:rsidRPr="0017212C">
        <w:rPr>
          <w:spacing w:val="-2"/>
          <w:rtl/>
        </w:rPr>
        <w:t xml:space="preserve"> تشرين الثاني/نوفمبر </w:t>
      </w:r>
      <w:r w:rsidRPr="00660F34">
        <w:rPr>
          <w:spacing w:val="-2"/>
          <w:rtl/>
        </w:rPr>
        <w:t>2018</w:t>
      </w:r>
      <w:r w:rsidRPr="0017212C">
        <w:rPr>
          <w:spacing w:val="-2"/>
          <w:rtl/>
        </w:rPr>
        <w:t>، قدمت الدولة الطرف ملاحظاتها بشأن مقبولية الشكوى وأسسها الموضوعية، وأشارت إلى أن المحكمة المحلية في سوفيتسكي أدانت صاحبة البلاغ</w:t>
      </w:r>
      <w:r w:rsidRPr="0017212C">
        <w:rPr>
          <w:rtl/>
        </w:rPr>
        <w:t xml:space="preserve"> لانتهاك أحكام قانون الأحداث الجماهيرية المتعلقة بتنظيم التجمعات، ومن ثم فإن صاحبة البلاغ ارتكبت جريمة إدارية بموجب المادة </w:t>
      </w:r>
      <w:r w:rsidRPr="00660F34">
        <w:rPr>
          <w:rtl/>
        </w:rPr>
        <w:t>23</w:t>
      </w:r>
      <w:r w:rsidRPr="0017212C">
        <w:rPr>
          <w:rFonts w:ascii="Simplified Arabic"/>
          <w:szCs w:val="20"/>
          <w:rtl/>
        </w:rPr>
        <w:t>-</w:t>
      </w:r>
      <w:r w:rsidRPr="00660F34">
        <w:rPr>
          <w:rtl/>
        </w:rPr>
        <w:t>34</w:t>
      </w:r>
      <w:r w:rsidRPr="0017212C">
        <w:rPr>
          <w:rFonts w:ascii="Simplified Arabic"/>
          <w:szCs w:val="20"/>
          <w:rtl/>
        </w:rPr>
        <w:t>(</w:t>
      </w:r>
      <w:r w:rsidR="00793F70" w:rsidRPr="00660F34">
        <w:rPr>
          <w:rtl/>
        </w:rPr>
        <w:t>1</w:t>
      </w:r>
      <w:r w:rsidR="00793F70" w:rsidRPr="0017212C">
        <w:rPr>
          <w:rFonts w:ascii="Simplified Arabic"/>
          <w:szCs w:val="20"/>
          <w:rtl/>
        </w:rPr>
        <w:t>)</w:t>
      </w:r>
      <w:r w:rsidR="00793F70" w:rsidRPr="0017212C">
        <w:rPr>
          <w:rtl/>
        </w:rPr>
        <w:t xml:space="preserve"> </w:t>
      </w:r>
      <w:r w:rsidRPr="0017212C">
        <w:rPr>
          <w:rtl/>
        </w:rPr>
        <w:t xml:space="preserve">من قانون الجرائم الإدارية. وتلاحظ الدولة الطرف أن المحكمة المحلية قيمت في </w:t>
      </w:r>
      <w:r w:rsidRPr="00660F34">
        <w:rPr>
          <w:rtl/>
        </w:rPr>
        <w:t>23</w:t>
      </w:r>
      <w:r w:rsidRPr="0017212C">
        <w:rPr>
          <w:rtl/>
        </w:rPr>
        <w:t xml:space="preserve"> و</w:t>
      </w:r>
      <w:r w:rsidRPr="00660F34">
        <w:rPr>
          <w:rtl/>
        </w:rPr>
        <w:t>27</w:t>
      </w:r>
      <w:r w:rsidRPr="0017212C">
        <w:rPr>
          <w:rtl/>
        </w:rPr>
        <w:t xml:space="preserve"> آذار/مارس </w:t>
      </w:r>
      <w:r w:rsidRPr="00660F34">
        <w:rPr>
          <w:rtl/>
        </w:rPr>
        <w:t>2017</w:t>
      </w:r>
      <w:r w:rsidRPr="0017212C">
        <w:rPr>
          <w:rtl/>
        </w:rPr>
        <w:t xml:space="preserve"> أفعال صاحبة البلاغ فيما يتعلق بحادثين منفصلين وفرضت عليها غرامات بموجب القانون. وأيدت محكمة غوميل الإقليمية أحكام المحكمة الابتدائية في مرحلة الاستئناف في </w:t>
      </w:r>
      <w:r w:rsidRPr="00660F34">
        <w:rPr>
          <w:rtl/>
        </w:rPr>
        <w:t>12</w:t>
      </w:r>
      <w:r w:rsidRPr="0017212C">
        <w:rPr>
          <w:rtl/>
        </w:rPr>
        <w:t xml:space="preserve"> و</w:t>
      </w:r>
      <w:r w:rsidRPr="00660F34">
        <w:rPr>
          <w:rtl/>
        </w:rPr>
        <w:t>19</w:t>
      </w:r>
      <w:r w:rsidRPr="0017212C">
        <w:rPr>
          <w:rtl/>
        </w:rPr>
        <w:t xml:space="preserve"> نيسان/أبريل </w:t>
      </w:r>
      <w:r w:rsidRPr="00660F34">
        <w:rPr>
          <w:rtl/>
        </w:rPr>
        <w:t>201</w:t>
      </w:r>
      <w:r w:rsidR="00793F70" w:rsidRPr="00660F34">
        <w:rPr>
          <w:rtl/>
        </w:rPr>
        <w:t>7</w:t>
      </w:r>
      <w:r w:rsidR="00793F70" w:rsidRPr="0017212C">
        <w:rPr>
          <w:rFonts w:ascii="Simplified Arabic"/>
          <w:szCs w:val="20"/>
          <w:rtl/>
        </w:rPr>
        <w:t>.</w:t>
      </w:r>
      <w:r w:rsidR="00793F70" w:rsidRPr="0017212C">
        <w:rPr>
          <w:rtl/>
        </w:rPr>
        <w:t xml:space="preserve"> </w:t>
      </w:r>
      <w:r w:rsidRPr="0017212C">
        <w:rPr>
          <w:rtl/>
        </w:rPr>
        <w:t xml:space="preserve">وتدفع الدولة الطرف بأن صاحبة البلاغ لم تستأنف قرارات محكمة غوميل الإقليمية لدى المدعي العام أو رئيس المحكمة العليا في إطار إجراءات المراجعة القضائية، وبالتالي لم تستنفد جميع سبل الانتصاف المحلية المتاحة. وفي هذا السياق، تخلص الدولة الطرف إلى أن صاحبة البلاغ قدمت البلاغ على نحو فيه انتهاك للمادة </w:t>
      </w:r>
      <w:r w:rsidRPr="00660F34">
        <w:rPr>
          <w:rtl/>
        </w:rPr>
        <w:t>2</w:t>
      </w:r>
      <w:r w:rsidRPr="0017212C">
        <w:rPr>
          <w:rtl/>
        </w:rPr>
        <w:t xml:space="preserve"> من البروتوكول الاختياري.</w:t>
      </w:r>
    </w:p>
    <w:p w14:paraId="1587E49F" w14:textId="7D5A46CC" w:rsidR="00DB1848" w:rsidRPr="0017212C" w:rsidRDefault="00DB1848" w:rsidP="00DB1848">
      <w:pPr>
        <w:pStyle w:val="SingleTxtGA"/>
        <w:rPr>
          <w:szCs w:val="20"/>
          <w:lang w:val="ar-SA" w:eastAsia="zh-TW" w:bidi="en-GB"/>
        </w:rPr>
      </w:pPr>
      <w:r w:rsidRPr="00660F34">
        <w:rPr>
          <w:rtl/>
        </w:rPr>
        <w:t>4</w:t>
      </w:r>
      <w:r w:rsidRPr="0017212C">
        <w:rPr>
          <w:rFonts w:ascii="Simplified Arabic"/>
          <w:szCs w:val="20"/>
          <w:rtl/>
        </w:rPr>
        <w:t>-</w:t>
      </w:r>
      <w:r w:rsidRPr="00660F34">
        <w:rPr>
          <w:rtl/>
        </w:rPr>
        <w:t>2</w:t>
      </w:r>
      <w:r w:rsidRPr="0017212C">
        <w:rPr>
          <w:rtl/>
        </w:rPr>
        <w:tab/>
        <w:t xml:space="preserve">وبالإشارة إلى ادعاءات انتهاك المادة </w:t>
      </w:r>
      <w:r w:rsidRPr="00660F34">
        <w:rPr>
          <w:rtl/>
        </w:rPr>
        <w:t>9</w:t>
      </w:r>
      <w:r w:rsidRPr="0017212C">
        <w:rPr>
          <w:rtl/>
        </w:rPr>
        <w:t xml:space="preserve"> من العهد، تلاحظ الدولة الطرف أن الفقرتين الفرعيتين</w:t>
      </w:r>
      <w:r w:rsidR="00EB1E74" w:rsidRPr="0017212C">
        <w:rPr>
          <w:rFonts w:hint="cs"/>
          <w:rtl/>
        </w:rPr>
        <w:t> </w:t>
      </w:r>
      <w:r w:rsidRPr="00660F34">
        <w:rPr>
          <w:rtl/>
        </w:rPr>
        <w:t>1</w:t>
      </w:r>
      <w:r w:rsidRPr="0017212C">
        <w:rPr>
          <w:rtl/>
        </w:rPr>
        <w:t xml:space="preserve"> و</w:t>
      </w:r>
      <w:r w:rsidRPr="00660F34">
        <w:rPr>
          <w:rtl/>
        </w:rPr>
        <w:t>2</w:t>
      </w:r>
      <w:r w:rsidRPr="0017212C">
        <w:rPr>
          <w:rtl/>
        </w:rPr>
        <w:t xml:space="preserve"> من المادة </w:t>
      </w:r>
      <w:r w:rsidRPr="00660F34">
        <w:rPr>
          <w:rtl/>
        </w:rPr>
        <w:t>8</w:t>
      </w:r>
      <w:r w:rsidRPr="0017212C">
        <w:rPr>
          <w:rFonts w:ascii="Simplified Arabic"/>
          <w:szCs w:val="20"/>
          <w:rtl/>
        </w:rPr>
        <w:t>-</w:t>
      </w:r>
      <w:r w:rsidRPr="00660F34">
        <w:rPr>
          <w:rtl/>
        </w:rPr>
        <w:t>2</w:t>
      </w:r>
      <w:r w:rsidRPr="0017212C">
        <w:rPr>
          <w:rtl/>
        </w:rPr>
        <w:t xml:space="preserve"> من قانون الإجراءات الإدارية والإنفاذ تنظم أساليب احتجاز الأشخاص الخاضعين لإجراءات إدارية والذين يمكن أن يُسلَبوا حريتهم لمدة قصيرة. وتلاحظ الدولة الطرف أن احتجاز صاحبة البلاغ كان قانونياً ويتماشى مع تشريعاتها الوطنية والمادة </w:t>
      </w:r>
      <w:r w:rsidRPr="00660F34">
        <w:rPr>
          <w:rtl/>
        </w:rPr>
        <w:t>9</w:t>
      </w:r>
      <w:r w:rsidRPr="0017212C">
        <w:rPr>
          <w:rtl/>
        </w:rPr>
        <w:t xml:space="preserve"> من العهد. </w:t>
      </w:r>
    </w:p>
    <w:p w14:paraId="195A5CAB" w14:textId="77777777" w:rsidR="00DB1848" w:rsidRPr="0017212C" w:rsidRDefault="00DB1848" w:rsidP="00DB1848">
      <w:pPr>
        <w:pStyle w:val="SingleTxtGA"/>
        <w:rPr>
          <w:szCs w:val="20"/>
          <w:lang w:val="ar-SA" w:eastAsia="zh-TW" w:bidi="en-GB"/>
        </w:rPr>
      </w:pPr>
      <w:r w:rsidRPr="00660F34">
        <w:rPr>
          <w:rtl/>
        </w:rPr>
        <w:t>4</w:t>
      </w:r>
      <w:r w:rsidRPr="0017212C">
        <w:rPr>
          <w:rFonts w:ascii="Simplified Arabic"/>
          <w:szCs w:val="20"/>
          <w:rtl/>
        </w:rPr>
        <w:t>-</w:t>
      </w:r>
      <w:r w:rsidRPr="00660F34">
        <w:rPr>
          <w:rtl/>
        </w:rPr>
        <w:t>3</w:t>
      </w:r>
      <w:r w:rsidRPr="0017212C">
        <w:rPr>
          <w:rtl/>
        </w:rPr>
        <w:tab/>
        <w:t xml:space="preserve">وتشير الدولة الطرف كذلك إلى أن ادعاءات صاحبة البلاغ حدوث انتهاك للمادتين </w:t>
      </w:r>
      <w:r w:rsidRPr="00660F34">
        <w:rPr>
          <w:rtl/>
        </w:rPr>
        <w:t>19</w:t>
      </w:r>
      <w:r w:rsidRPr="0017212C">
        <w:rPr>
          <w:rtl/>
        </w:rPr>
        <w:t xml:space="preserve"> و</w:t>
      </w:r>
      <w:r w:rsidRPr="00660F34">
        <w:rPr>
          <w:rtl/>
        </w:rPr>
        <w:t>21</w:t>
      </w:r>
      <w:r w:rsidRPr="0017212C">
        <w:rPr>
          <w:rtl/>
        </w:rPr>
        <w:t xml:space="preserve">، مقروءتين بالاقتران مع الفقرتين </w:t>
      </w:r>
      <w:r w:rsidRPr="00660F34">
        <w:rPr>
          <w:rtl/>
        </w:rPr>
        <w:t>2</w:t>
      </w:r>
      <w:r w:rsidRPr="0017212C">
        <w:rPr>
          <w:rtl/>
        </w:rPr>
        <w:t xml:space="preserve"> و</w:t>
      </w:r>
      <w:r w:rsidRPr="00660F34">
        <w:rPr>
          <w:rtl/>
        </w:rPr>
        <w:t>3</w:t>
      </w:r>
      <w:r w:rsidRPr="0017212C">
        <w:rPr>
          <w:rtl/>
        </w:rPr>
        <w:t xml:space="preserve"> من المادة </w:t>
      </w:r>
      <w:r w:rsidRPr="00660F34">
        <w:rPr>
          <w:rtl/>
        </w:rPr>
        <w:t>2</w:t>
      </w:r>
      <w:r w:rsidRPr="0017212C">
        <w:rPr>
          <w:rtl/>
        </w:rPr>
        <w:t xml:space="preserve"> من العهد لا تستند إلى أساس. وتلاحظ الدولة الطرف أن التشريعات الوطنية التي تنص على الحق في التجمع السلمي وحرية التعبير متسقة مع أحكام دستور بيلاروس ولا تتعارض مع المعايير الدولية التي تسمح لكل دولة بفرض قيود ضرورية على حقوق وحريات الأشخاص في مجتمع ديمقراطي ولصون الأمن القومي أو السلامة العامة أو النظام العام، أو لحماية الصحة العامة أو الآداب العامة أو حقوق الآخرين وحرياتهم، على النحو المتوخى في المادتين </w:t>
      </w:r>
      <w:r w:rsidRPr="00660F34">
        <w:rPr>
          <w:rtl/>
        </w:rPr>
        <w:t>19</w:t>
      </w:r>
      <w:r w:rsidRPr="0017212C">
        <w:rPr>
          <w:rtl/>
        </w:rPr>
        <w:t xml:space="preserve"> و</w:t>
      </w:r>
      <w:r w:rsidRPr="00660F34">
        <w:rPr>
          <w:rtl/>
        </w:rPr>
        <w:t>21</w:t>
      </w:r>
      <w:r w:rsidRPr="0017212C">
        <w:rPr>
          <w:rtl/>
        </w:rPr>
        <w:t xml:space="preserve"> من العهد. </w:t>
      </w:r>
    </w:p>
    <w:p w14:paraId="3AA1B961" w14:textId="77777777" w:rsidR="00DB1848" w:rsidRPr="0017212C" w:rsidRDefault="00DB1848" w:rsidP="00DB1848">
      <w:pPr>
        <w:pStyle w:val="SingleTxtGA"/>
        <w:rPr>
          <w:szCs w:val="20"/>
          <w:lang w:val="ar-SA" w:eastAsia="zh-TW" w:bidi="en-GB"/>
        </w:rPr>
      </w:pPr>
      <w:r w:rsidRPr="00660F34">
        <w:rPr>
          <w:rtl/>
        </w:rPr>
        <w:lastRenderedPageBreak/>
        <w:t>4</w:t>
      </w:r>
      <w:r w:rsidRPr="0017212C">
        <w:rPr>
          <w:rFonts w:ascii="Simplified Arabic"/>
          <w:szCs w:val="20"/>
          <w:rtl/>
        </w:rPr>
        <w:t>-</w:t>
      </w:r>
      <w:r w:rsidRPr="00660F34">
        <w:rPr>
          <w:rtl/>
        </w:rPr>
        <w:t>4</w:t>
      </w:r>
      <w:r w:rsidRPr="0017212C">
        <w:rPr>
          <w:rtl/>
        </w:rPr>
        <w:tab/>
        <w:t xml:space="preserve">وتلاحظ الدولة الطرف كذلك أن أحكام قانون الأحداث الجماهيرية، تنظم مسألتي تنظيم وعقد التجمعات أو الاحتشادات أو المواكب في الشوارع أو المظاهرات أو الاعتصامات وغيرها من الأحداث الجماهيرية في بيلاروس، وتهدف فضلاً عن ذلك إلى تهيئة الظروف المواتية لإعمال حقوق المواطنين الدستورية وحرياتهم. </w:t>
      </w:r>
    </w:p>
    <w:p w14:paraId="313D42BE" w14:textId="1A44033E" w:rsidR="00793F70" w:rsidRPr="0017212C" w:rsidRDefault="00DB1848" w:rsidP="00DB1848">
      <w:pPr>
        <w:pStyle w:val="SingleTxtGA"/>
        <w:rPr>
          <w:szCs w:val="20"/>
          <w:lang w:val="ar-SA" w:eastAsia="zh-TW" w:bidi="en-GB"/>
        </w:rPr>
      </w:pPr>
      <w:r w:rsidRPr="00660F34">
        <w:rPr>
          <w:rtl/>
        </w:rPr>
        <w:t>4</w:t>
      </w:r>
      <w:r w:rsidRPr="0017212C">
        <w:rPr>
          <w:rFonts w:ascii="Simplified Arabic"/>
          <w:szCs w:val="20"/>
          <w:rtl/>
        </w:rPr>
        <w:t>-</w:t>
      </w:r>
      <w:r w:rsidRPr="00660F34">
        <w:rPr>
          <w:rtl/>
        </w:rPr>
        <w:t>5</w:t>
      </w:r>
      <w:r w:rsidRPr="0017212C">
        <w:rPr>
          <w:rtl/>
        </w:rPr>
        <w:tab/>
        <w:t xml:space="preserve">وتعترض الدولة الطرف على حجة صاحبة البلاغ التي تفيد بأن إجراء المراجعة القضائية لا يشكل سبيل انتصاف فعالاً، وتشير إلى قبول مراجعة </w:t>
      </w:r>
      <w:r w:rsidR="009A3A3E" w:rsidRPr="00660F34">
        <w:rPr>
          <w:rFonts w:hint="cs"/>
          <w:rtl/>
        </w:rPr>
        <w:t>665</w:t>
      </w:r>
      <w:r w:rsidR="009A3A3E" w:rsidRPr="0017212C">
        <w:rPr>
          <w:rFonts w:hint="cs"/>
          <w:rtl/>
        </w:rPr>
        <w:t xml:space="preserve"> </w:t>
      </w:r>
      <w:r w:rsidR="009A3A3E" w:rsidRPr="00660F34">
        <w:rPr>
          <w:rFonts w:hint="cs"/>
          <w:rtl/>
        </w:rPr>
        <w:t>3</w:t>
      </w:r>
      <w:r w:rsidRPr="0017212C">
        <w:rPr>
          <w:rtl/>
        </w:rPr>
        <w:t xml:space="preserve"> طلب استئناف في إطار إجراء المراجعة القضائية من أصل </w:t>
      </w:r>
      <w:r w:rsidR="00EB1E74" w:rsidRPr="00660F34">
        <w:rPr>
          <w:rFonts w:hint="cs"/>
          <w:rtl/>
        </w:rPr>
        <w:t>766</w:t>
      </w:r>
      <w:r w:rsidR="00EB1E74" w:rsidRPr="0017212C">
        <w:rPr>
          <w:rFonts w:hint="cs"/>
          <w:rtl/>
        </w:rPr>
        <w:t xml:space="preserve"> </w:t>
      </w:r>
      <w:r w:rsidR="00EB1E74" w:rsidRPr="00660F34">
        <w:rPr>
          <w:rFonts w:hint="cs"/>
          <w:rtl/>
        </w:rPr>
        <w:t>3</w:t>
      </w:r>
      <w:r w:rsidRPr="0017212C">
        <w:rPr>
          <w:rtl/>
        </w:rPr>
        <w:t xml:space="preserve"> طلباً قُدم في عام </w:t>
      </w:r>
      <w:r w:rsidRPr="00660F34">
        <w:rPr>
          <w:rtl/>
        </w:rPr>
        <w:t>201</w:t>
      </w:r>
      <w:r w:rsidR="00793F70" w:rsidRPr="00660F34">
        <w:rPr>
          <w:rtl/>
        </w:rPr>
        <w:t>7</w:t>
      </w:r>
      <w:r w:rsidR="00793F70" w:rsidRPr="0017212C">
        <w:rPr>
          <w:rtl/>
        </w:rPr>
        <w:t>.</w:t>
      </w:r>
    </w:p>
    <w:p w14:paraId="789A9C13" w14:textId="1636363D" w:rsidR="00DB1848" w:rsidRPr="00660F34" w:rsidRDefault="00DB1848" w:rsidP="00DB1848">
      <w:pPr>
        <w:pStyle w:val="H23GA"/>
        <w:rPr>
          <w:szCs w:val="20"/>
          <w:lang w:val="ar-SA" w:eastAsia="zh-TW" w:bidi="en-GB"/>
        </w:rPr>
      </w:pPr>
      <w:r w:rsidRPr="00660F34">
        <w:rPr>
          <w:rtl/>
        </w:rPr>
        <w:tab/>
      </w:r>
      <w:r w:rsidRPr="00660F34">
        <w:rPr>
          <w:rtl/>
        </w:rPr>
        <w:tab/>
        <w:t xml:space="preserve">تعليقات صاحبة البلاغ على ملاحظات الدولة الطرف بشأن المقبولية </w:t>
      </w:r>
    </w:p>
    <w:p w14:paraId="5E6280C2" w14:textId="71DC1B37" w:rsidR="00DB1848" w:rsidRPr="0017212C" w:rsidRDefault="00DB1848" w:rsidP="00DB1848">
      <w:pPr>
        <w:pStyle w:val="SingleTxtGA"/>
        <w:rPr>
          <w:szCs w:val="20"/>
          <w:lang w:val="ar-SA" w:eastAsia="zh-TW" w:bidi="en-GB"/>
        </w:rPr>
      </w:pPr>
      <w:r w:rsidRPr="00660F34">
        <w:rPr>
          <w:rtl/>
        </w:rPr>
        <w:t>5</w:t>
      </w:r>
      <w:r w:rsidRPr="0017212C">
        <w:rPr>
          <w:rFonts w:ascii="Simplified Arabic"/>
          <w:szCs w:val="20"/>
          <w:rtl/>
        </w:rPr>
        <w:t>-</w:t>
      </w:r>
      <w:r w:rsidRPr="00660F34">
        <w:rPr>
          <w:rtl/>
        </w:rPr>
        <w:t>1</w:t>
      </w:r>
      <w:r w:rsidRPr="0017212C">
        <w:rPr>
          <w:rtl/>
        </w:rPr>
        <w:tab/>
        <w:t xml:space="preserve">اعترضت صاحبة البلاغ، في رسالة مؤرخة </w:t>
      </w:r>
      <w:r w:rsidRPr="00660F34">
        <w:rPr>
          <w:rtl/>
        </w:rPr>
        <w:t>18</w:t>
      </w:r>
      <w:r w:rsidRPr="0017212C">
        <w:rPr>
          <w:rtl/>
        </w:rPr>
        <w:t xml:space="preserve"> آذار/مارس </w:t>
      </w:r>
      <w:r w:rsidRPr="00660F34">
        <w:rPr>
          <w:rtl/>
        </w:rPr>
        <w:t>2020</w:t>
      </w:r>
      <w:r w:rsidRPr="0017212C">
        <w:rPr>
          <w:rtl/>
        </w:rPr>
        <w:t>، على حجج الدولة الطرف أنها لم تستنفد جميع سبل الانتصاف المحلية المتاحة بعدم الطعن في قرارات محكمة غوميل الإقليمية بموجب إجراءات المراجعة القضائية، وأشارت إلى اجتهادات اللجنة وذهبت إلى أن المراجعة القضائية هي عملية مراجعة تقديرية كانت شائعة في الجمهوريات السوفياتية السابقة، وسبق للجنة أن رأت أنها لا تشكل سبيل انتصاف فعالاً لأغراض استنفاد سبل الانتصاف المحلية</w:t>
      </w:r>
      <w:r w:rsidR="00793F70" w:rsidRPr="0017212C">
        <w:rPr>
          <w:rStyle w:val="FootnoteReference"/>
          <w:rtl/>
        </w:rPr>
        <w:t>(</w:t>
      </w:r>
      <w:r w:rsidR="00793F70" w:rsidRPr="00660F34">
        <w:rPr>
          <w:rStyle w:val="FootnoteReference"/>
          <w:lang w:val="en-US"/>
        </w:rPr>
        <w:footnoteReference w:id="7"/>
      </w:r>
      <w:r w:rsidR="00793F70" w:rsidRPr="0017212C">
        <w:rPr>
          <w:rStyle w:val="FootnoteReference"/>
          <w:rtl/>
        </w:rPr>
        <w:t>)</w:t>
      </w:r>
      <w:r w:rsidR="00793F70" w:rsidRPr="0017212C">
        <w:rPr>
          <w:rtl/>
        </w:rPr>
        <w:t xml:space="preserve">. </w:t>
      </w:r>
      <w:r w:rsidRPr="0017212C">
        <w:rPr>
          <w:rtl/>
        </w:rPr>
        <w:t>وتخلص صاحبة البلاغ إلى أن جميع سبل الانتصاف المحلية المتاحة والفعالة قد استُنفدت في قضيتها.</w:t>
      </w:r>
    </w:p>
    <w:p w14:paraId="03F2760F" w14:textId="6D3183DC" w:rsidR="00DB1848" w:rsidRPr="0017212C" w:rsidRDefault="00DB1848" w:rsidP="00DB1848">
      <w:pPr>
        <w:pStyle w:val="SingleTxtGA"/>
        <w:rPr>
          <w:szCs w:val="20"/>
          <w:lang w:val="ar-SA" w:eastAsia="zh-TW" w:bidi="en-GB"/>
        </w:rPr>
      </w:pPr>
      <w:r w:rsidRPr="00660F34">
        <w:rPr>
          <w:rtl/>
        </w:rPr>
        <w:t>5</w:t>
      </w:r>
      <w:r w:rsidRPr="0017212C">
        <w:rPr>
          <w:rFonts w:ascii="Simplified Arabic"/>
          <w:szCs w:val="20"/>
          <w:rtl/>
        </w:rPr>
        <w:t>-</w:t>
      </w:r>
      <w:r w:rsidRPr="00660F34">
        <w:rPr>
          <w:rtl/>
        </w:rPr>
        <w:t>2</w:t>
      </w:r>
      <w:r w:rsidRPr="0017212C">
        <w:rPr>
          <w:rtl/>
        </w:rPr>
        <w:tab/>
        <w:t xml:space="preserve">وتؤكد صاحبة البلاغ أن الدولة الطرف انتهكت حقوقها بموجب المادة </w:t>
      </w:r>
      <w:r w:rsidRPr="00660F34">
        <w:rPr>
          <w:rtl/>
        </w:rPr>
        <w:t>9</w:t>
      </w:r>
      <w:r w:rsidRPr="0017212C">
        <w:rPr>
          <w:rtl/>
        </w:rPr>
        <w:t xml:space="preserve"> من العهد باحتجازها خلافاً للقانون لمدة </w:t>
      </w:r>
      <w:r w:rsidRPr="00660F34">
        <w:rPr>
          <w:rtl/>
        </w:rPr>
        <w:t>44</w:t>
      </w:r>
      <w:r w:rsidRPr="0017212C">
        <w:rPr>
          <w:rtl/>
        </w:rPr>
        <w:t xml:space="preserve"> ساعة. وتعترض على ملاحظات الدولة الطرف بشأن تطبيق قانون الإجراءات الإدارية والإنفاذ، وتلاحظ أن احتجازها لا يندرج في إطار أحد الأغراض التالية المنصوص عليها في الفقرتين </w:t>
      </w:r>
      <w:r w:rsidRPr="00660F34">
        <w:rPr>
          <w:rtl/>
        </w:rPr>
        <w:t>1</w:t>
      </w:r>
      <w:r w:rsidRPr="0017212C">
        <w:rPr>
          <w:rtl/>
        </w:rPr>
        <w:t xml:space="preserve"> و</w:t>
      </w:r>
      <w:r w:rsidRPr="00660F34">
        <w:rPr>
          <w:rtl/>
        </w:rPr>
        <w:t>2</w:t>
      </w:r>
      <w:r w:rsidRPr="0017212C">
        <w:rPr>
          <w:rtl/>
        </w:rPr>
        <w:t xml:space="preserve"> من المادة </w:t>
      </w:r>
      <w:r w:rsidRPr="00660F34">
        <w:rPr>
          <w:rtl/>
        </w:rPr>
        <w:t>8</w:t>
      </w:r>
      <w:r w:rsidRPr="0017212C">
        <w:rPr>
          <w:rFonts w:ascii="Simplified Arabic"/>
          <w:szCs w:val="20"/>
          <w:rtl/>
        </w:rPr>
        <w:t>-</w:t>
      </w:r>
      <w:r w:rsidRPr="00660F34">
        <w:rPr>
          <w:rtl/>
        </w:rPr>
        <w:t>2</w:t>
      </w:r>
      <w:r w:rsidRPr="0017212C">
        <w:rPr>
          <w:rtl/>
        </w:rPr>
        <w:t xml:space="preserve"> من القانون، وهو منع الأعمال غير القانونية؛ وتدوين محضر إداري إذا استحال تدوينه في مكان وقوع العمل غير القانوني؛ وتحديد هوية الشخص. وتوضح صاحبة البلاغ أنها احتُجزت بعد وقوع الحادث وأن المحضر الإداري قد دُوّن ضدها فور إحضارها إلى مركز الشرطة المحلي، أي أنه لم تكن هناك حاجة للاحتفاظ بها لمدة </w:t>
      </w:r>
      <w:r w:rsidRPr="00660F34">
        <w:rPr>
          <w:rtl/>
        </w:rPr>
        <w:t>44</w:t>
      </w:r>
      <w:r w:rsidRPr="0017212C">
        <w:rPr>
          <w:rtl/>
        </w:rPr>
        <w:t xml:space="preserve"> ساعة بعد تحديد هويتها.</w:t>
      </w:r>
    </w:p>
    <w:p w14:paraId="07A7E04A" w14:textId="77777777" w:rsidR="00DB1848" w:rsidRPr="0017212C" w:rsidRDefault="00DB1848" w:rsidP="00DB1848">
      <w:pPr>
        <w:pStyle w:val="SingleTxtGA"/>
        <w:rPr>
          <w:szCs w:val="20"/>
          <w:lang w:val="ar-SA" w:eastAsia="zh-TW" w:bidi="en-GB"/>
        </w:rPr>
      </w:pPr>
      <w:r w:rsidRPr="00660F34">
        <w:rPr>
          <w:rtl/>
        </w:rPr>
        <w:t>5</w:t>
      </w:r>
      <w:r w:rsidRPr="0017212C">
        <w:rPr>
          <w:rFonts w:ascii="Simplified Arabic"/>
          <w:szCs w:val="20"/>
          <w:rtl/>
        </w:rPr>
        <w:t>-</w:t>
      </w:r>
      <w:r w:rsidRPr="00660F34">
        <w:rPr>
          <w:rtl/>
        </w:rPr>
        <w:t>3</w:t>
      </w:r>
      <w:r w:rsidRPr="0017212C">
        <w:rPr>
          <w:rtl/>
        </w:rPr>
        <w:tab/>
        <w:t xml:space="preserve">وفيما يتعلق بإحصاءات الدولة الطرف فيما يتعلق بعدد القضايا التي روجعت في إطار إجراء المراجعة القضائية، تعتقد صاحبة البلاغ أن هذه الحجة لا تستند إلى أساس، لأن الدولة الطرف لم تبيّن كم من هذه القضايا يتعلق بإعمال حق الأشخاص في حرية التعبير وحقهم في حرية التجمع. </w:t>
      </w:r>
    </w:p>
    <w:p w14:paraId="4E542B42" w14:textId="77777777" w:rsidR="00DB1848" w:rsidRPr="00660F34" w:rsidRDefault="00DB1848" w:rsidP="00DB1848">
      <w:pPr>
        <w:pStyle w:val="H23GA"/>
        <w:rPr>
          <w:i/>
          <w:szCs w:val="20"/>
          <w:lang w:val="ar-SA" w:eastAsia="zh-TW" w:bidi="en-GB"/>
        </w:rPr>
      </w:pPr>
      <w:r w:rsidRPr="00660F34">
        <w:rPr>
          <w:rtl/>
        </w:rPr>
        <w:tab/>
      </w:r>
      <w:r w:rsidRPr="00660F34">
        <w:rPr>
          <w:rtl/>
        </w:rPr>
        <w:tab/>
        <w:t>المسائل والإجراءات المعروضة على اللجنة</w:t>
      </w:r>
    </w:p>
    <w:p w14:paraId="0E0C5B8C" w14:textId="77777777" w:rsidR="00DB1848" w:rsidRPr="00660F34" w:rsidRDefault="00DB1848" w:rsidP="00DB1848">
      <w:pPr>
        <w:pStyle w:val="H4GA"/>
        <w:rPr>
          <w:szCs w:val="20"/>
          <w:lang w:val="ar-SA" w:eastAsia="zh-TW" w:bidi="en-GB"/>
        </w:rPr>
      </w:pPr>
      <w:r w:rsidRPr="00660F34">
        <w:rPr>
          <w:rtl/>
        </w:rPr>
        <w:tab/>
      </w:r>
      <w:r w:rsidRPr="00660F34">
        <w:rPr>
          <w:rtl/>
        </w:rPr>
        <w:tab/>
        <w:t>النظر في المقبولية</w:t>
      </w:r>
    </w:p>
    <w:p w14:paraId="0B20B1CD" w14:textId="77777777" w:rsidR="00DB1848" w:rsidRPr="0017212C" w:rsidRDefault="00DB1848" w:rsidP="00DB1848">
      <w:pPr>
        <w:pStyle w:val="SingleTxtGA"/>
        <w:rPr>
          <w:szCs w:val="20"/>
          <w:lang w:val="ar-SA" w:eastAsia="zh-TW" w:bidi="en-GB"/>
        </w:rPr>
      </w:pPr>
      <w:r w:rsidRPr="00660F34">
        <w:rPr>
          <w:rtl/>
        </w:rPr>
        <w:t>6</w:t>
      </w:r>
      <w:r w:rsidRPr="0017212C">
        <w:rPr>
          <w:rFonts w:ascii="Simplified Arabic"/>
          <w:szCs w:val="20"/>
          <w:rtl/>
        </w:rPr>
        <w:t>-</w:t>
      </w:r>
      <w:r w:rsidRPr="00660F34">
        <w:rPr>
          <w:rtl/>
        </w:rPr>
        <w:t>1</w:t>
      </w:r>
      <w:r w:rsidRPr="0017212C">
        <w:rPr>
          <w:rtl/>
        </w:rPr>
        <w:tab/>
        <w:t xml:space="preserve">قبل النظر في أي ادعاء يرد في بلاغ ما، يجب على اللجنة أن تقرّر، وفقاً للمادة </w:t>
      </w:r>
      <w:r w:rsidRPr="00660F34">
        <w:rPr>
          <w:rtl/>
        </w:rPr>
        <w:t>97</w:t>
      </w:r>
      <w:r w:rsidRPr="0017212C">
        <w:rPr>
          <w:rtl/>
        </w:rPr>
        <w:t xml:space="preserve"> من نظامها الداخلي، ما إذا كان البلاغ مقبولاً أم لا بموجب البروتوكول الاختياري.</w:t>
      </w:r>
    </w:p>
    <w:p w14:paraId="0051B1D6" w14:textId="77777777" w:rsidR="00DB1848" w:rsidRPr="0017212C" w:rsidRDefault="00DB1848" w:rsidP="00DB1848">
      <w:pPr>
        <w:pStyle w:val="SingleTxtGA"/>
        <w:rPr>
          <w:szCs w:val="20"/>
          <w:lang w:val="ar-SA" w:eastAsia="zh-TW" w:bidi="en-GB"/>
        </w:rPr>
      </w:pPr>
      <w:r w:rsidRPr="00660F34">
        <w:rPr>
          <w:rtl/>
        </w:rPr>
        <w:t>6</w:t>
      </w:r>
      <w:r w:rsidRPr="0017212C">
        <w:rPr>
          <w:rFonts w:ascii="Simplified Arabic"/>
          <w:szCs w:val="20"/>
          <w:rtl/>
        </w:rPr>
        <w:t>-</w:t>
      </w:r>
      <w:r w:rsidRPr="00660F34">
        <w:rPr>
          <w:rtl/>
        </w:rPr>
        <w:t>2</w:t>
      </w:r>
      <w:r w:rsidRPr="0017212C">
        <w:rPr>
          <w:rtl/>
        </w:rPr>
        <w:tab/>
        <w:t xml:space="preserve">وقد تحقَّقت اللجنة، على النحو المطلوب بموجب المادة </w:t>
      </w:r>
      <w:r w:rsidRPr="00660F34">
        <w:rPr>
          <w:rtl/>
        </w:rPr>
        <w:t>5</w:t>
      </w:r>
      <w:r w:rsidRPr="0017212C">
        <w:rPr>
          <w:rFonts w:ascii="Simplified Arabic"/>
          <w:szCs w:val="20"/>
          <w:rtl/>
        </w:rPr>
        <w:t>(</w:t>
      </w:r>
      <w:r w:rsidRPr="00660F34">
        <w:rPr>
          <w:rtl/>
        </w:rPr>
        <w:t>2</w:t>
      </w:r>
      <w:r w:rsidRPr="0017212C">
        <w:rPr>
          <w:rFonts w:ascii="Simplified Arabic"/>
          <w:szCs w:val="20"/>
          <w:rtl/>
        </w:rPr>
        <w:t>)(</w:t>
      </w:r>
      <w:r w:rsidRPr="0017212C">
        <w:rPr>
          <w:rtl/>
        </w:rPr>
        <w:t>أ</w:t>
      </w:r>
      <w:r w:rsidRPr="0017212C">
        <w:rPr>
          <w:rFonts w:ascii="Simplified Arabic"/>
          <w:szCs w:val="20"/>
          <w:rtl/>
        </w:rPr>
        <w:t>)</w:t>
      </w:r>
      <w:r w:rsidRPr="0017212C">
        <w:rPr>
          <w:rtl/>
        </w:rPr>
        <w:t xml:space="preserve"> من البروتوكول الاختياري، من أن المسألة نفسها ليست قيد البحث بموجب إجراء آخر من إجراءات التحقيق الدولي أو التسوية الدولية.</w:t>
      </w:r>
    </w:p>
    <w:p w14:paraId="5920003C" w14:textId="18A0EE0B" w:rsidR="00DB1848" w:rsidRPr="0017212C" w:rsidRDefault="00DB1848" w:rsidP="00DB1848">
      <w:pPr>
        <w:pStyle w:val="SingleTxtGA"/>
        <w:rPr>
          <w:lang w:val="ar-SA" w:eastAsia="zh-TW" w:bidi="en-GB"/>
        </w:rPr>
      </w:pPr>
      <w:r w:rsidRPr="00660F34">
        <w:rPr>
          <w:rtl/>
        </w:rPr>
        <w:t>6</w:t>
      </w:r>
      <w:r w:rsidRPr="0017212C">
        <w:rPr>
          <w:rFonts w:ascii="Simplified Arabic"/>
          <w:rtl/>
        </w:rPr>
        <w:t>-</w:t>
      </w:r>
      <w:r w:rsidRPr="00660F34">
        <w:rPr>
          <w:rtl/>
        </w:rPr>
        <w:t>3</w:t>
      </w:r>
      <w:r w:rsidRPr="0017212C">
        <w:rPr>
          <w:rtl/>
        </w:rPr>
        <w:tab/>
        <w:t>وتحيط اللجنة علماً بملاحظات الدولة الطرف، التي تفيد فيها بأن صاحبة البلاغ لم تستنفد سبل الانتصاف المحلية المتاحة، لأن ادعاءاتها المتعلقة بالمراجعة القضائية لم تُبحث من قِبل المدعي العام أو</w:t>
      </w:r>
      <w:r w:rsidR="0017212C">
        <w:rPr>
          <w:rFonts w:hint="cs"/>
          <w:rtl/>
        </w:rPr>
        <w:t> </w:t>
      </w:r>
      <w:r w:rsidRPr="0017212C">
        <w:rPr>
          <w:rtl/>
        </w:rPr>
        <w:t xml:space="preserve">رئاسة المحكمة العليا. وتحيط اللجنة علماً أيضاً بحجة صاحبة البلاغ أن المراجعة القضائية هي عملية </w:t>
      </w:r>
      <w:r w:rsidRPr="0017212C">
        <w:rPr>
          <w:rtl/>
        </w:rPr>
        <w:lastRenderedPageBreak/>
        <w:t xml:space="preserve">مراجعة تقديرية لا تشكل سبيل انتصاف فعالاً لأغراض استنفاد سبل الانتصاف المحلية. وفي هذا السياق، تشير اللجنة إلى اجتهاداتها التي تفيد بأن التماس المراجعة القضائية المقدم إلى مكتب المدعي العام، وهو إجراء يخضع للسلطة التقديرية للمدعي العام، من أجل طلب مراجعة قرارات محكمة دخلت حيز النفاذ، هو سبيل انتصاف استثنائي، ولا يشكل من ثم سبيل انتصاف يتعيّن استنفاده لأغراض المادة </w:t>
      </w:r>
      <w:r w:rsidRPr="00660F34">
        <w:rPr>
          <w:rtl/>
        </w:rPr>
        <w:t>5</w:t>
      </w:r>
      <w:r w:rsidRPr="0017212C">
        <w:rPr>
          <w:rFonts w:ascii="Simplified Arabic"/>
          <w:rtl/>
        </w:rPr>
        <w:t>(</w:t>
      </w:r>
      <w:r w:rsidRPr="00660F34">
        <w:rPr>
          <w:rtl/>
        </w:rPr>
        <w:t>2</w:t>
      </w:r>
      <w:r w:rsidRPr="0017212C">
        <w:rPr>
          <w:rFonts w:ascii="Simplified Arabic"/>
          <w:rtl/>
        </w:rPr>
        <w:t>)(</w:t>
      </w:r>
      <w:r w:rsidRPr="0017212C">
        <w:rPr>
          <w:rtl/>
        </w:rPr>
        <w:t>ب</w:t>
      </w:r>
      <w:r w:rsidRPr="0017212C">
        <w:rPr>
          <w:rFonts w:ascii="Simplified Arabic"/>
          <w:rtl/>
        </w:rPr>
        <w:t>)</w:t>
      </w:r>
      <w:r w:rsidRPr="0017212C">
        <w:rPr>
          <w:rtl/>
        </w:rPr>
        <w:t xml:space="preserve"> من البروتوكول الاختياري</w:t>
      </w:r>
      <w:r w:rsidR="00793F70" w:rsidRPr="0017212C">
        <w:rPr>
          <w:rStyle w:val="FootnoteReference"/>
          <w:szCs w:val="22"/>
          <w:rtl/>
        </w:rPr>
        <w:t>(</w:t>
      </w:r>
      <w:r w:rsidR="00793F70" w:rsidRPr="00660F34">
        <w:rPr>
          <w:rStyle w:val="FootnoteReference"/>
          <w:szCs w:val="22"/>
          <w:lang w:val="en-US"/>
        </w:rPr>
        <w:footnoteReference w:id="8"/>
      </w:r>
      <w:r w:rsidR="00793F70" w:rsidRPr="0017212C">
        <w:rPr>
          <w:rStyle w:val="FootnoteReference"/>
          <w:szCs w:val="22"/>
          <w:rtl/>
        </w:rPr>
        <w:t>)</w:t>
      </w:r>
      <w:r w:rsidR="00793F70" w:rsidRPr="0017212C">
        <w:rPr>
          <w:rtl/>
        </w:rPr>
        <w:t xml:space="preserve">. </w:t>
      </w:r>
      <w:r w:rsidRPr="0017212C">
        <w:rPr>
          <w:rtl/>
        </w:rPr>
        <w:t xml:space="preserve">وترى اللجنة أيضاً أن تقديم طلبات إلى رئيس المحكمة لإجراء مراجعة قضائية لقرارات المحكمة التي دخلت حيز النفاذ، وهي طلبات تخضع لسلطة القاضي التقديرية، هو سبيل انتصاف استثنائي، وأنه يجب على الدولة الطرف أن تثبت أن هناك احتمالاً معقولاً بأن تتيح هذه الطلبات سبيل </w:t>
      </w:r>
      <w:r w:rsidRPr="00422EC7">
        <w:rPr>
          <w:spacing w:val="-2"/>
          <w:rtl/>
        </w:rPr>
        <w:t>انتصاف فعالاً في ظروف القضية</w:t>
      </w:r>
      <w:r w:rsidR="00793F70" w:rsidRPr="00422EC7">
        <w:rPr>
          <w:rStyle w:val="FootnoteReference"/>
          <w:spacing w:val="-2"/>
          <w:szCs w:val="22"/>
          <w:rtl/>
        </w:rPr>
        <w:t>(</w:t>
      </w:r>
      <w:r w:rsidR="00793F70" w:rsidRPr="00660F34">
        <w:rPr>
          <w:rStyle w:val="FootnoteReference"/>
          <w:spacing w:val="-2"/>
          <w:szCs w:val="22"/>
          <w:lang w:val="en-US"/>
        </w:rPr>
        <w:footnoteReference w:id="9"/>
      </w:r>
      <w:r w:rsidR="00793F70" w:rsidRPr="00422EC7">
        <w:rPr>
          <w:rStyle w:val="FootnoteReference"/>
          <w:spacing w:val="-2"/>
          <w:szCs w:val="22"/>
          <w:rtl/>
        </w:rPr>
        <w:t>)</w:t>
      </w:r>
      <w:r w:rsidR="00793F70" w:rsidRPr="00422EC7">
        <w:rPr>
          <w:spacing w:val="-2"/>
          <w:rtl/>
        </w:rPr>
        <w:t xml:space="preserve">. </w:t>
      </w:r>
      <w:r w:rsidRPr="00422EC7">
        <w:rPr>
          <w:spacing w:val="-2"/>
          <w:rtl/>
        </w:rPr>
        <w:t xml:space="preserve">وفي هذا الصدد، تشير الدولة الطرف إلى قبول مراجعة </w:t>
      </w:r>
      <w:r w:rsidR="0035456F" w:rsidRPr="00660F34">
        <w:rPr>
          <w:rFonts w:hint="cs"/>
          <w:spacing w:val="-2"/>
          <w:rtl/>
        </w:rPr>
        <w:t>665</w:t>
      </w:r>
      <w:r w:rsidR="0035456F" w:rsidRPr="00422EC7">
        <w:rPr>
          <w:rFonts w:hint="cs"/>
          <w:spacing w:val="-2"/>
          <w:rtl/>
        </w:rPr>
        <w:t xml:space="preserve"> </w:t>
      </w:r>
      <w:r w:rsidR="0035456F" w:rsidRPr="00660F34">
        <w:rPr>
          <w:rFonts w:hint="cs"/>
          <w:spacing w:val="-2"/>
          <w:rtl/>
        </w:rPr>
        <w:t>3</w:t>
      </w:r>
      <w:r w:rsidRPr="00422EC7">
        <w:rPr>
          <w:spacing w:val="-2"/>
          <w:rtl/>
        </w:rPr>
        <w:t xml:space="preserve"> طلب</w:t>
      </w:r>
      <w:r w:rsidRPr="0017212C">
        <w:rPr>
          <w:rtl/>
        </w:rPr>
        <w:t xml:space="preserve"> </w:t>
      </w:r>
      <w:r w:rsidRPr="00422EC7">
        <w:rPr>
          <w:spacing w:val="-2"/>
          <w:rtl/>
        </w:rPr>
        <w:t xml:space="preserve">استئناف من أصل </w:t>
      </w:r>
      <w:r w:rsidRPr="00660F34">
        <w:rPr>
          <w:spacing w:val="-2"/>
          <w:rtl/>
        </w:rPr>
        <w:t>766</w:t>
      </w:r>
      <w:r w:rsidRPr="00422EC7">
        <w:rPr>
          <w:rFonts w:ascii="Simplified Arabic"/>
          <w:spacing w:val="-2"/>
          <w:rtl/>
        </w:rPr>
        <w:t xml:space="preserve"> </w:t>
      </w:r>
      <w:r w:rsidRPr="00660F34">
        <w:rPr>
          <w:spacing w:val="-2"/>
          <w:rtl/>
        </w:rPr>
        <w:t>3</w:t>
      </w:r>
      <w:r w:rsidRPr="00422EC7">
        <w:rPr>
          <w:spacing w:val="-2"/>
          <w:rtl/>
        </w:rPr>
        <w:t xml:space="preserve"> طلباً قُدم في عام </w:t>
      </w:r>
      <w:r w:rsidRPr="00660F34">
        <w:rPr>
          <w:spacing w:val="-2"/>
          <w:rtl/>
        </w:rPr>
        <w:t>2017</w:t>
      </w:r>
      <w:r w:rsidRPr="00422EC7">
        <w:rPr>
          <w:spacing w:val="-2"/>
          <w:rtl/>
        </w:rPr>
        <w:t xml:space="preserve"> في إطار إجراء المراجعة القضائية (الفقرة </w:t>
      </w:r>
      <w:r w:rsidRPr="00660F34">
        <w:rPr>
          <w:spacing w:val="-2"/>
          <w:rtl/>
        </w:rPr>
        <w:t>5</w:t>
      </w:r>
      <w:r w:rsidRPr="00422EC7">
        <w:rPr>
          <w:rFonts w:ascii="Simplified Arabic"/>
          <w:spacing w:val="-2"/>
          <w:rtl/>
        </w:rPr>
        <w:t>-</w:t>
      </w:r>
      <w:r w:rsidRPr="00660F34">
        <w:rPr>
          <w:spacing w:val="-2"/>
          <w:rtl/>
        </w:rPr>
        <w:t>4</w:t>
      </w:r>
      <w:r w:rsidRPr="00422EC7">
        <w:rPr>
          <w:spacing w:val="-2"/>
          <w:rtl/>
        </w:rPr>
        <w:t xml:space="preserve"> أعلاه</w:t>
      </w:r>
      <w:r w:rsidR="00793F70" w:rsidRPr="00422EC7">
        <w:rPr>
          <w:spacing w:val="-2"/>
          <w:rtl/>
        </w:rPr>
        <w:t>).</w:t>
      </w:r>
      <w:r w:rsidR="00793F70" w:rsidRPr="0017212C">
        <w:rPr>
          <w:rtl/>
        </w:rPr>
        <w:t xml:space="preserve"> </w:t>
      </w:r>
      <w:r w:rsidRPr="0017212C">
        <w:rPr>
          <w:rtl/>
        </w:rPr>
        <w:t xml:space="preserve">غير أن الدولة الطرف لم تبين عدد تلك القضايا المتعلق بإعمال الحق في حرية التعبير والحق في حرية </w:t>
      </w:r>
      <w:r w:rsidRPr="00422EC7">
        <w:rPr>
          <w:spacing w:val="-2"/>
          <w:rtl/>
        </w:rPr>
        <w:t>التجمع. ولما لم تقدم الدولة الطرف توضيحات إضافية في هذه القضية، فإن اللجنة ترى أن المادة</w:t>
      </w:r>
      <w:r w:rsidR="00946805" w:rsidRPr="00422EC7">
        <w:rPr>
          <w:rFonts w:hint="cs"/>
          <w:spacing w:val="-2"/>
          <w:rtl/>
        </w:rPr>
        <w:t> </w:t>
      </w:r>
      <w:r w:rsidRPr="00660F34">
        <w:rPr>
          <w:spacing w:val="-2"/>
          <w:rtl/>
        </w:rPr>
        <w:t>5</w:t>
      </w:r>
      <w:r w:rsidRPr="00422EC7">
        <w:rPr>
          <w:rFonts w:ascii="Simplified Arabic"/>
          <w:spacing w:val="-2"/>
          <w:rtl/>
        </w:rPr>
        <w:t>(</w:t>
      </w:r>
      <w:r w:rsidRPr="00660F34">
        <w:rPr>
          <w:spacing w:val="-2"/>
          <w:rtl/>
        </w:rPr>
        <w:t>2</w:t>
      </w:r>
      <w:r w:rsidRPr="00422EC7">
        <w:rPr>
          <w:rFonts w:ascii="Simplified Arabic"/>
          <w:spacing w:val="-2"/>
          <w:rtl/>
        </w:rPr>
        <w:t>)(</w:t>
      </w:r>
      <w:r w:rsidRPr="00422EC7">
        <w:rPr>
          <w:spacing w:val="-2"/>
          <w:rtl/>
        </w:rPr>
        <w:t>ب</w:t>
      </w:r>
      <w:r w:rsidRPr="00422EC7">
        <w:rPr>
          <w:rFonts w:ascii="Simplified Arabic"/>
          <w:spacing w:val="-2"/>
          <w:rtl/>
        </w:rPr>
        <w:t>)</w:t>
      </w:r>
      <w:r w:rsidRPr="0017212C">
        <w:rPr>
          <w:rtl/>
        </w:rPr>
        <w:t xml:space="preserve"> من البروتوكول الاختياري لا تمنعها من النظر في هذا البلاغ فيما يتعلق بادعاءات صاحبته بموجب المادتين </w:t>
      </w:r>
      <w:r w:rsidRPr="00660F34">
        <w:rPr>
          <w:rtl/>
        </w:rPr>
        <w:t>19</w:t>
      </w:r>
      <w:r w:rsidRPr="0017212C">
        <w:rPr>
          <w:rtl/>
        </w:rPr>
        <w:t xml:space="preserve"> و</w:t>
      </w:r>
      <w:r w:rsidRPr="00660F34">
        <w:rPr>
          <w:rtl/>
        </w:rPr>
        <w:t>21</w:t>
      </w:r>
      <w:r w:rsidRPr="0017212C">
        <w:rPr>
          <w:rtl/>
        </w:rPr>
        <w:t xml:space="preserve">، مقروءتين منفردتين وبالاقتران مع الفقرتين </w:t>
      </w:r>
      <w:r w:rsidRPr="00660F34">
        <w:rPr>
          <w:rtl/>
        </w:rPr>
        <w:t>2</w:t>
      </w:r>
      <w:r w:rsidRPr="0017212C">
        <w:rPr>
          <w:rtl/>
        </w:rPr>
        <w:t xml:space="preserve"> و</w:t>
      </w:r>
      <w:r w:rsidRPr="00660F34">
        <w:rPr>
          <w:rtl/>
        </w:rPr>
        <w:t>3</w:t>
      </w:r>
      <w:r w:rsidRPr="0017212C">
        <w:rPr>
          <w:rtl/>
        </w:rPr>
        <w:t xml:space="preserve"> من المادة </w:t>
      </w:r>
      <w:r w:rsidRPr="00660F34">
        <w:rPr>
          <w:rtl/>
        </w:rPr>
        <w:t>2</w:t>
      </w:r>
      <w:r w:rsidRPr="0017212C">
        <w:rPr>
          <w:rtl/>
        </w:rPr>
        <w:t xml:space="preserve"> من العهد. </w:t>
      </w:r>
    </w:p>
    <w:p w14:paraId="3BB5DF0E" w14:textId="77777777" w:rsidR="00DB1848" w:rsidRPr="0017212C" w:rsidRDefault="00DB1848" w:rsidP="00DB1848">
      <w:pPr>
        <w:pStyle w:val="SingleTxtGA"/>
        <w:rPr>
          <w:lang w:val="ar-SA" w:eastAsia="zh-TW" w:bidi="en-GB"/>
        </w:rPr>
      </w:pPr>
      <w:r w:rsidRPr="00660F34">
        <w:rPr>
          <w:rtl/>
        </w:rPr>
        <w:t>6</w:t>
      </w:r>
      <w:r w:rsidRPr="0017212C">
        <w:rPr>
          <w:rFonts w:ascii="Simplified Arabic"/>
          <w:rtl/>
        </w:rPr>
        <w:t>-</w:t>
      </w:r>
      <w:r w:rsidRPr="00660F34">
        <w:rPr>
          <w:rtl/>
        </w:rPr>
        <w:t>4</w:t>
      </w:r>
      <w:r w:rsidRPr="0017212C">
        <w:rPr>
          <w:rtl/>
        </w:rPr>
        <w:tab/>
        <w:t xml:space="preserve">وفيما يتعلق بالانتهاكات المزعومة للمادة </w:t>
      </w:r>
      <w:r w:rsidRPr="00660F34">
        <w:rPr>
          <w:rtl/>
        </w:rPr>
        <w:t>9</w:t>
      </w:r>
      <w:r w:rsidRPr="0017212C">
        <w:rPr>
          <w:rtl/>
        </w:rPr>
        <w:t xml:space="preserve"> من العهد، تلاحظ اللجنة، لأغراض المقبولية، أن المواد الموجودة في الملف لا تثبت أن صاحبة البلاغ قد أثارت هذه الادعاءات في أي من الإجراءات المحلية المتخذة ضدها، ومن ثم تعتبر هذا الجزء من ادعائها غير مقبول بموجب المادتين </w:t>
      </w:r>
      <w:r w:rsidRPr="00660F34">
        <w:rPr>
          <w:rtl/>
        </w:rPr>
        <w:t>2</w:t>
      </w:r>
      <w:r w:rsidRPr="0017212C">
        <w:rPr>
          <w:rtl/>
        </w:rPr>
        <w:t xml:space="preserve"> و</w:t>
      </w:r>
      <w:r w:rsidRPr="00660F34">
        <w:rPr>
          <w:rtl/>
        </w:rPr>
        <w:t>5</w:t>
      </w:r>
      <w:r w:rsidRPr="0017212C">
        <w:rPr>
          <w:rFonts w:ascii="Simplified Arabic"/>
          <w:rtl/>
        </w:rPr>
        <w:t>(</w:t>
      </w:r>
      <w:r w:rsidRPr="00660F34">
        <w:rPr>
          <w:rtl/>
        </w:rPr>
        <w:t>2</w:t>
      </w:r>
      <w:r w:rsidRPr="0017212C">
        <w:rPr>
          <w:rFonts w:ascii="Simplified Arabic"/>
          <w:rtl/>
        </w:rPr>
        <w:t>)(</w:t>
      </w:r>
      <w:r w:rsidRPr="0017212C">
        <w:rPr>
          <w:rtl/>
        </w:rPr>
        <w:t>ب</w:t>
      </w:r>
      <w:r w:rsidRPr="0017212C">
        <w:rPr>
          <w:rFonts w:ascii="Simplified Arabic"/>
          <w:rtl/>
        </w:rPr>
        <w:t>)</w:t>
      </w:r>
      <w:r w:rsidRPr="0017212C">
        <w:rPr>
          <w:rtl/>
        </w:rPr>
        <w:t xml:space="preserve"> من البروتوكول الاختياري.</w:t>
      </w:r>
    </w:p>
    <w:p w14:paraId="4B3AFB78" w14:textId="2759A7D8" w:rsidR="00DB1848" w:rsidRPr="0017212C" w:rsidRDefault="00DB1848" w:rsidP="00DB1848">
      <w:pPr>
        <w:pStyle w:val="SingleTxtGA"/>
        <w:rPr>
          <w:lang w:val="ar-SA" w:eastAsia="zh-TW" w:bidi="en-GB"/>
        </w:rPr>
      </w:pPr>
      <w:r w:rsidRPr="00660F34">
        <w:rPr>
          <w:rtl/>
        </w:rPr>
        <w:t>6</w:t>
      </w:r>
      <w:r w:rsidRPr="0017212C">
        <w:rPr>
          <w:rFonts w:ascii="Simplified Arabic"/>
          <w:rtl/>
        </w:rPr>
        <w:t>-</w:t>
      </w:r>
      <w:r w:rsidRPr="00660F34">
        <w:rPr>
          <w:rtl/>
        </w:rPr>
        <w:t>5</w:t>
      </w:r>
      <w:r w:rsidRPr="0017212C">
        <w:rPr>
          <w:rtl/>
        </w:rPr>
        <w:tab/>
        <w:t xml:space="preserve">وتحيط اللجنة علماً بادعاء صاحبة البلاغ أن الدولة الطرف انتهكت حقوقها المنصوص عليها في المادتين </w:t>
      </w:r>
      <w:r w:rsidRPr="00660F34">
        <w:rPr>
          <w:rtl/>
        </w:rPr>
        <w:t>19</w:t>
      </w:r>
      <w:r w:rsidRPr="0017212C">
        <w:rPr>
          <w:rtl/>
        </w:rPr>
        <w:t xml:space="preserve"> و</w:t>
      </w:r>
      <w:r w:rsidRPr="00660F34">
        <w:rPr>
          <w:rtl/>
        </w:rPr>
        <w:t>21</w:t>
      </w:r>
      <w:r w:rsidRPr="0017212C">
        <w:rPr>
          <w:rtl/>
        </w:rPr>
        <w:t xml:space="preserve">، مقروءتين بالاقتران مع المادة </w:t>
      </w:r>
      <w:r w:rsidRPr="00660F34">
        <w:rPr>
          <w:rtl/>
        </w:rPr>
        <w:t>2</w:t>
      </w:r>
      <w:r w:rsidRPr="0017212C">
        <w:rPr>
          <w:rFonts w:ascii="Simplified Arabic"/>
          <w:rtl/>
        </w:rPr>
        <w:t>(</w:t>
      </w:r>
      <w:r w:rsidR="00793F70" w:rsidRPr="00660F34">
        <w:rPr>
          <w:rtl/>
        </w:rPr>
        <w:t>2</w:t>
      </w:r>
      <w:r w:rsidR="00793F70" w:rsidRPr="0017212C">
        <w:rPr>
          <w:rFonts w:ascii="Simplified Arabic"/>
          <w:rtl/>
        </w:rPr>
        <w:t>)</w:t>
      </w:r>
      <w:r w:rsidR="00793F70" w:rsidRPr="0017212C">
        <w:rPr>
          <w:rtl/>
        </w:rPr>
        <w:t xml:space="preserve"> </w:t>
      </w:r>
      <w:r w:rsidRPr="0017212C">
        <w:rPr>
          <w:rtl/>
        </w:rPr>
        <w:t xml:space="preserve">من العهد. وتؤكد اللجنة مجدداً أنه لا يمكن الاحتجاج بأحكام المادة </w:t>
      </w:r>
      <w:r w:rsidRPr="00660F34">
        <w:rPr>
          <w:rtl/>
        </w:rPr>
        <w:t>2</w:t>
      </w:r>
      <w:r w:rsidRPr="0017212C">
        <w:rPr>
          <w:rtl/>
        </w:rPr>
        <w:t xml:space="preserve"> أساساً لادعاء يرد في بلاغ ما بموجب البروتوكول الاختياري، مقترنة بأحكام أخرى من العهد، إلا إذا كان عدم وفاء الدولة الطرف بالتزاماتها بموجب المادة </w:t>
      </w:r>
      <w:r w:rsidRPr="00660F34">
        <w:rPr>
          <w:rtl/>
        </w:rPr>
        <w:t>2</w:t>
      </w:r>
      <w:r w:rsidRPr="0017212C">
        <w:rPr>
          <w:rtl/>
        </w:rPr>
        <w:t xml:space="preserve"> هو السبب المباشر لانتهاك منفصل للعهد أثر تأثيراً مباشراً على الشخص الذي يدعي أنه ضحية</w:t>
      </w:r>
      <w:r w:rsidR="00793F70" w:rsidRPr="0017212C">
        <w:rPr>
          <w:rStyle w:val="FootnoteReference"/>
          <w:szCs w:val="22"/>
          <w:rtl/>
        </w:rPr>
        <w:t>(</w:t>
      </w:r>
      <w:r w:rsidR="00793F70" w:rsidRPr="00660F34">
        <w:rPr>
          <w:rStyle w:val="FootnoteReference"/>
          <w:szCs w:val="22"/>
          <w:lang w:val="en-US"/>
        </w:rPr>
        <w:footnoteReference w:id="10"/>
      </w:r>
      <w:r w:rsidR="00793F70" w:rsidRPr="0017212C">
        <w:rPr>
          <w:rStyle w:val="FootnoteReference"/>
          <w:szCs w:val="22"/>
          <w:rtl/>
        </w:rPr>
        <w:t>)</w:t>
      </w:r>
      <w:r w:rsidR="00793F70" w:rsidRPr="0017212C">
        <w:rPr>
          <w:rFonts w:hint="cs"/>
          <w:rtl/>
        </w:rPr>
        <w:t>.</w:t>
      </w:r>
      <w:r w:rsidR="00793F70" w:rsidRPr="0017212C">
        <w:rPr>
          <w:rtl/>
        </w:rPr>
        <w:t xml:space="preserve"> </w:t>
      </w:r>
      <w:r w:rsidRPr="0017212C">
        <w:rPr>
          <w:rtl/>
        </w:rPr>
        <w:t xml:space="preserve">غير أن اللجنة تلاحظ أن صاحبة البلاغ قد ادعت بالفعل حدوث انتهاك لحقوقها بموجب المادتين </w:t>
      </w:r>
      <w:r w:rsidRPr="00660F34">
        <w:rPr>
          <w:rtl/>
        </w:rPr>
        <w:t>19</w:t>
      </w:r>
      <w:r w:rsidRPr="0017212C">
        <w:rPr>
          <w:rtl/>
        </w:rPr>
        <w:t xml:space="preserve"> و</w:t>
      </w:r>
      <w:r w:rsidRPr="00660F34">
        <w:rPr>
          <w:rtl/>
        </w:rPr>
        <w:t>21</w:t>
      </w:r>
      <w:r w:rsidRPr="0017212C">
        <w:rPr>
          <w:rtl/>
        </w:rPr>
        <w:t xml:space="preserve">، نتيجة لتفسير وتطبيق القوانين القائمة في الدولة الطرف، ولا تعتبر اللجنة النظر فيما إذا كانت الدولة الطرف قد انتهكت أيضاً التزاماتها العامة بموجب المادة </w:t>
      </w:r>
      <w:r w:rsidRPr="00660F34">
        <w:rPr>
          <w:rtl/>
        </w:rPr>
        <w:t>2</w:t>
      </w:r>
      <w:r w:rsidRPr="0017212C">
        <w:rPr>
          <w:rFonts w:ascii="Simplified Arabic"/>
          <w:rtl/>
        </w:rPr>
        <w:t>(</w:t>
      </w:r>
      <w:r w:rsidRPr="00660F34">
        <w:rPr>
          <w:rtl/>
        </w:rPr>
        <w:t>2</w:t>
      </w:r>
      <w:r w:rsidR="00793F70" w:rsidRPr="0017212C">
        <w:rPr>
          <w:rFonts w:ascii="Simplified Arabic"/>
          <w:rtl/>
        </w:rPr>
        <w:t>)</w:t>
      </w:r>
      <w:r w:rsidR="00793F70" w:rsidRPr="0017212C">
        <w:rPr>
          <w:rtl/>
        </w:rPr>
        <w:t xml:space="preserve">، </w:t>
      </w:r>
      <w:r w:rsidRPr="0017212C">
        <w:rPr>
          <w:rtl/>
        </w:rPr>
        <w:t xml:space="preserve">مقروءة بالاقتران مع المادتين </w:t>
      </w:r>
      <w:r w:rsidRPr="00660F34">
        <w:rPr>
          <w:rtl/>
        </w:rPr>
        <w:t>19</w:t>
      </w:r>
      <w:r w:rsidRPr="0017212C">
        <w:rPr>
          <w:rtl/>
        </w:rPr>
        <w:t xml:space="preserve"> و</w:t>
      </w:r>
      <w:r w:rsidRPr="00660F34">
        <w:rPr>
          <w:rtl/>
        </w:rPr>
        <w:t>21</w:t>
      </w:r>
      <w:r w:rsidRPr="0017212C">
        <w:rPr>
          <w:rtl/>
        </w:rPr>
        <w:t xml:space="preserve"> من العهد، أمراً منفصلاً عن النظر في انتهاك حقوق صاحبة البلاغ المذكور أعلاه بموجب المادتين </w:t>
      </w:r>
      <w:r w:rsidRPr="00660F34">
        <w:rPr>
          <w:rtl/>
        </w:rPr>
        <w:t>19</w:t>
      </w:r>
      <w:r w:rsidRPr="0017212C">
        <w:rPr>
          <w:rtl/>
        </w:rPr>
        <w:t xml:space="preserve"> و</w:t>
      </w:r>
      <w:r w:rsidRPr="00660F34">
        <w:rPr>
          <w:rtl/>
        </w:rPr>
        <w:t>21</w:t>
      </w:r>
      <w:r w:rsidRPr="0017212C">
        <w:rPr>
          <w:rtl/>
        </w:rPr>
        <w:t xml:space="preserve"> من العهد. وعليه، ترى اللجنة أن ادعاءات صاحبة البلاغ في هذا الصدد تتعارض مع المادة </w:t>
      </w:r>
      <w:r w:rsidRPr="00660F34">
        <w:rPr>
          <w:rtl/>
        </w:rPr>
        <w:t>2</w:t>
      </w:r>
      <w:r w:rsidRPr="0017212C">
        <w:rPr>
          <w:rtl/>
        </w:rPr>
        <w:t xml:space="preserve"> من العهد، وهي من ثم غير مقبولة بموجب المادة </w:t>
      </w:r>
      <w:r w:rsidRPr="00660F34">
        <w:rPr>
          <w:rtl/>
        </w:rPr>
        <w:t>3</w:t>
      </w:r>
      <w:r w:rsidRPr="0017212C">
        <w:rPr>
          <w:rtl/>
        </w:rPr>
        <w:t xml:space="preserve"> من البروتوكول الاختياري.</w:t>
      </w:r>
    </w:p>
    <w:p w14:paraId="30CE0D33" w14:textId="6B5FE3BF" w:rsidR="00DB1848" w:rsidRPr="0017212C" w:rsidRDefault="00DB1848" w:rsidP="00DB1848">
      <w:pPr>
        <w:pStyle w:val="SingleTxtGA"/>
        <w:rPr>
          <w:szCs w:val="20"/>
          <w:lang w:val="ar-SA" w:eastAsia="zh-TW" w:bidi="en-GB"/>
        </w:rPr>
      </w:pPr>
      <w:r w:rsidRPr="00660F34">
        <w:rPr>
          <w:rtl/>
        </w:rPr>
        <w:t>6</w:t>
      </w:r>
      <w:r w:rsidRPr="0017212C">
        <w:rPr>
          <w:rFonts w:ascii="Simplified Arabic"/>
          <w:szCs w:val="20"/>
          <w:rtl/>
        </w:rPr>
        <w:t>-</w:t>
      </w:r>
      <w:r w:rsidRPr="00660F34">
        <w:rPr>
          <w:rtl/>
        </w:rPr>
        <w:t>6</w:t>
      </w:r>
      <w:r w:rsidRPr="0017212C">
        <w:rPr>
          <w:rtl/>
        </w:rPr>
        <w:tab/>
        <w:t xml:space="preserve">وتلاحظ اللجنة كذلك ادعاءات صاحبة البلاغ بموجب المادتين </w:t>
      </w:r>
      <w:r w:rsidRPr="00660F34">
        <w:rPr>
          <w:rtl/>
        </w:rPr>
        <w:t>19</w:t>
      </w:r>
      <w:r w:rsidRPr="0017212C">
        <w:rPr>
          <w:rtl/>
        </w:rPr>
        <w:t xml:space="preserve"> و</w:t>
      </w:r>
      <w:r w:rsidRPr="00660F34">
        <w:rPr>
          <w:rtl/>
        </w:rPr>
        <w:t>21</w:t>
      </w:r>
      <w:r w:rsidRPr="0017212C">
        <w:rPr>
          <w:rtl/>
        </w:rPr>
        <w:t xml:space="preserve">، مقروءتين بالاقتران مع المادة </w:t>
      </w:r>
      <w:r w:rsidRPr="00660F34">
        <w:rPr>
          <w:rtl/>
        </w:rPr>
        <w:t>2</w:t>
      </w:r>
      <w:r w:rsidRPr="0017212C">
        <w:rPr>
          <w:rFonts w:ascii="Simplified Arabic"/>
          <w:szCs w:val="20"/>
          <w:rtl/>
        </w:rPr>
        <w:t>(</w:t>
      </w:r>
      <w:r w:rsidR="00793F70" w:rsidRPr="00660F34">
        <w:rPr>
          <w:rtl/>
        </w:rPr>
        <w:t>3</w:t>
      </w:r>
      <w:r w:rsidR="00793F70" w:rsidRPr="0017212C">
        <w:rPr>
          <w:rFonts w:ascii="Simplified Arabic"/>
          <w:szCs w:val="20"/>
          <w:rtl/>
        </w:rPr>
        <w:t>)</w:t>
      </w:r>
      <w:r w:rsidR="00793F70" w:rsidRPr="0017212C">
        <w:rPr>
          <w:rtl/>
        </w:rPr>
        <w:t xml:space="preserve"> </w:t>
      </w:r>
      <w:r w:rsidRPr="0017212C">
        <w:rPr>
          <w:rtl/>
        </w:rPr>
        <w:t xml:space="preserve">من العهد. ولما لم ترد في الملف أي معلومات وجيهة أخرى، فإن اللجنة ترى أن صاحبة البلاغ لم تثبت ادعاءاتها بما فيه الكفاية لأغراض المقبولية. وبناء عليه، تعلن أن جزءاً من البلاغ غير مقبول بموجب المادة </w:t>
      </w:r>
      <w:r w:rsidRPr="00660F34">
        <w:rPr>
          <w:rtl/>
        </w:rPr>
        <w:t>2</w:t>
      </w:r>
      <w:r w:rsidRPr="0017212C">
        <w:rPr>
          <w:rtl/>
        </w:rPr>
        <w:t xml:space="preserve"> من البروتوكول الاختياري.</w:t>
      </w:r>
    </w:p>
    <w:p w14:paraId="6BDD38DD" w14:textId="3150E275" w:rsidR="00DB1848" w:rsidRPr="0017212C" w:rsidRDefault="00DB1848" w:rsidP="00DB1848">
      <w:pPr>
        <w:pStyle w:val="SingleTxtGA"/>
        <w:rPr>
          <w:szCs w:val="20"/>
          <w:lang w:val="ar-SA" w:eastAsia="zh-TW" w:bidi="en-GB"/>
        </w:rPr>
      </w:pPr>
      <w:r w:rsidRPr="00660F34">
        <w:rPr>
          <w:rtl/>
        </w:rPr>
        <w:lastRenderedPageBreak/>
        <w:t>6</w:t>
      </w:r>
      <w:r w:rsidRPr="0017212C">
        <w:rPr>
          <w:rFonts w:ascii="Simplified Arabic"/>
          <w:szCs w:val="20"/>
          <w:rtl/>
        </w:rPr>
        <w:t>-</w:t>
      </w:r>
      <w:r w:rsidRPr="00660F34">
        <w:rPr>
          <w:rtl/>
        </w:rPr>
        <w:t>7</w:t>
      </w:r>
      <w:r w:rsidRPr="0017212C">
        <w:rPr>
          <w:rtl/>
        </w:rPr>
        <w:tab/>
        <w:t>وتلاحظ اللجنة أخيراً أن ادعاءات صاحبة البلاغ بصيغتها المقدمة تثير مسائل بموجب المادتين</w:t>
      </w:r>
      <w:r w:rsidR="005561F5" w:rsidRPr="0017212C">
        <w:rPr>
          <w:rFonts w:hint="cs"/>
          <w:rtl/>
        </w:rPr>
        <w:t> </w:t>
      </w:r>
      <w:r w:rsidRPr="00660F34">
        <w:rPr>
          <w:rtl/>
        </w:rPr>
        <w:t>19</w:t>
      </w:r>
      <w:r w:rsidRPr="0017212C">
        <w:rPr>
          <w:rtl/>
        </w:rPr>
        <w:t xml:space="preserve"> و</w:t>
      </w:r>
      <w:r w:rsidRPr="00660F34">
        <w:rPr>
          <w:rtl/>
        </w:rPr>
        <w:t>21</w:t>
      </w:r>
      <w:r w:rsidRPr="0017212C">
        <w:rPr>
          <w:rtl/>
        </w:rPr>
        <w:t xml:space="preserve"> من العهد، وترى أن هذه الادعاءات مدعومة بأدلة كافية لأغراض المقبولية وتشرع في النظر في أسسها الموضوعية.</w:t>
      </w:r>
    </w:p>
    <w:p w14:paraId="20DB603C" w14:textId="1F9C92F3" w:rsidR="00DB1848" w:rsidRPr="00660F34" w:rsidRDefault="00DB1848" w:rsidP="00DB1848">
      <w:pPr>
        <w:pStyle w:val="H4GA"/>
        <w:rPr>
          <w:szCs w:val="20"/>
          <w:lang w:val="ar-SA" w:eastAsia="zh-TW" w:bidi="en-GB"/>
        </w:rPr>
      </w:pPr>
      <w:r w:rsidRPr="00660F34">
        <w:rPr>
          <w:rtl/>
        </w:rPr>
        <w:tab/>
      </w:r>
      <w:r w:rsidRPr="00660F34">
        <w:rPr>
          <w:rtl/>
        </w:rPr>
        <w:tab/>
        <w:t>النظر في الأسس الموضوعية</w:t>
      </w:r>
    </w:p>
    <w:p w14:paraId="1B07B1A5" w14:textId="06A77322" w:rsidR="00DB1848" w:rsidRPr="0017212C" w:rsidRDefault="00DB1848" w:rsidP="00DB1848">
      <w:pPr>
        <w:pStyle w:val="SingleTxtGA"/>
        <w:rPr>
          <w:szCs w:val="20"/>
          <w:lang w:val="ar-SA" w:eastAsia="zh-TW" w:bidi="en-GB"/>
        </w:rPr>
      </w:pPr>
      <w:r w:rsidRPr="00660F34">
        <w:rPr>
          <w:rtl/>
        </w:rPr>
        <w:t>7</w:t>
      </w:r>
      <w:r w:rsidRPr="0017212C">
        <w:rPr>
          <w:rFonts w:ascii="Simplified Arabic"/>
          <w:szCs w:val="20"/>
          <w:rtl/>
        </w:rPr>
        <w:t>-</w:t>
      </w:r>
      <w:r w:rsidRPr="00660F34">
        <w:rPr>
          <w:rtl/>
        </w:rPr>
        <w:t>1</w:t>
      </w:r>
      <w:r w:rsidRPr="0017212C">
        <w:rPr>
          <w:rtl/>
        </w:rPr>
        <w:tab/>
        <w:t xml:space="preserve">نظرت اللجنة في البلاغ في ضوء جميع المعلومات التي أتاحها لها الطرفان، على النحو المنصوص عليه في المادة </w:t>
      </w:r>
      <w:r w:rsidRPr="00660F34">
        <w:rPr>
          <w:rtl/>
        </w:rPr>
        <w:t>5</w:t>
      </w:r>
      <w:r w:rsidRPr="0017212C">
        <w:rPr>
          <w:rFonts w:ascii="Simplified Arabic"/>
          <w:szCs w:val="20"/>
          <w:rtl/>
        </w:rPr>
        <w:t>(</w:t>
      </w:r>
      <w:r w:rsidR="00793F70" w:rsidRPr="00660F34">
        <w:rPr>
          <w:rtl/>
        </w:rPr>
        <w:t>1</w:t>
      </w:r>
      <w:r w:rsidR="00793F70" w:rsidRPr="0017212C">
        <w:rPr>
          <w:rFonts w:ascii="Simplified Arabic"/>
          <w:szCs w:val="20"/>
          <w:rtl/>
        </w:rPr>
        <w:t>)</w:t>
      </w:r>
      <w:r w:rsidR="00793F70" w:rsidRPr="0017212C">
        <w:rPr>
          <w:rtl/>
        </w:rPr>
        <w:t xml:space="preserve"> </w:t>
      </w:r>
      <w:r w:rsidRPr="0017212C">
        <w:rPr>
          <w:rtl/>
        </w:rPr>
        <w:t>من البروتوكول الاختياري.</w:t>
      </w:r>
    </w:p>
    <w:p w14:paraId="1136C43C" w14:textId="53A55F6D" w:rsidR="00DB1848" w:rsidRPr="0017212C" w:rsidRDefault="00DB1848" w:rsidP="00DB1848">
      <w:pPr>
        <w:pStyle w:val="SingleTxtGA"/>
        <w:rPr>
          <w:lang w:val="ar-SA" w:eastAsia="zh-TW" w:bidi="en-GB"/>
        </w:rPr>
      </w:pPr>
      <w:r w:rsidRPr="00660F34">
        <w:rPr>
          <w:rtl/>
        </w:rPr>
        <w:t>7</w:t>
      </w:r>
      <w:r w:rsidRPr="0017212C">
        <w:rPr>
          <w:rFonts w:ascii="Simplified Arabic"/>
          <w:rtl/>
        </w:rPr>
        <w:t>-</w:t>
      </w:r>
      <w:r w:rsidRPr="00660F34">
        <w:rPr>
          <w:rtl/>
        </w:rPr>
        <w:t>2</w:t>
      </w:r>
      <w:r w:rsidRPr="0017212C">
        <w:rPr>
          <w:rtl/>
        </w:rPr>
        <w:tab/>
        <w:t xml:space="preserve">وتحيط اللجنة علماً بادعاءات صاحبة البلاغ تقييد حقها في حرية التعبير وحقها في حرية التجمع، مما يشكل انتهاكاً للمادتين </w:t>
      </w:r>
      <w:r w:rsidRPr="00660F34">
        <w:rPr>
          <w:rtl/>
        </w:rPr>
        <w:t>19</w:t>
      </w:r>
      <w:r w:rsidRPr="0017212C">
        <w:rPr>
          <w:rtl/>
        </w:rPr>
        <w:t xml:space="preserve"> و</w:t>
      </w:r>
      <w:r w:rsidRPr="00660F34">
        <w:rPr>
          <w:rtl/>
        </w:rPr>
        <w:t>21</w:t>
      </w:r>
      <w:r w:rsidRPr="0017212C">
        <w:rPr>
          <w:rtl/>
        </w:rPr>
        <w:t xml:space="preserve"> من العهد، حيث حُكم عليها بدفع غرامات لمشاركتها في احتشادات سلمية غير مرخصة احتجاجاً على المرسوم الرئاسي "بشأن منع الاتكال الاجتماعي". وتحيط اللجنة علماً أيضاً بادعاءات صاحبة البلاغ أن السلطات لم توضح السبب الذي يجعل فرض قيود على حقوقها بسبب المشاركة في احتشادات ضرورياً لصون الأمن القومي أو السلامة العامة أو النظام العام، أو لحماية الصحة العامة أو الآداب العامة أو حقوق الآخرين وحرياتهم، كما تقتضيه المادة </w:t>
      </w:r>
      <w:r w:rsidRPr="00660F34">
        <w:rPr>
          <w:rtl/>
        </w:rPr>
        <w:t>19</w:t>
      </w:r>
      <w:r w:rsidRPr="0017212C">
        <w:rPr>
          <w:rFonts w:ascii="Simplified Arabic"/>
          <w:rtl/>
        </w:rPr>
        <w:t>(</w:t>
      </w:r>
      <w:r w:rsidR="00793F70" w:rsidRPr="00660F34">
        <w:rPr>
          <w:rtl/>
        </w:rPr>
        <w:t>3</w:t>
      </w:r>
      <w:r w:rsidR="00793F70" w:rsidRPr="0017212C">
        <w:rPr>
          <w:rFonts w:ascii="Simplified Arabic"/>
          <w:rtl/>
        </w:rPr>
        <w:t>)</w:t>
      </w:r>
      <w:r w:rsidR="00793F70" w:rsidRPr="0017212C">
        <w:rPr>
          <w:rtl/>
        </w:rPr>
        <w:t xml:space="preserve"> </w:t>
      </w:r>
      <w:r w:rsidRPr="0017212C">
        <w:rPr>
          <w:rtl/>
        </w:rPr>
        <w:t xml:space="preserve">والسطر الثاني من المادة </w:t>
      </w:r>
      <w:r w:rsidRPr="00660F34">
        <w:rPr>
          <w:rtl/>
        </w:rPr>
        <w:t>21</w:t>
      </w:r>
      <w:r w:rsidRPr="0017212C">
        <w:rPr>
          <w:rtl/>
        </w:rPr>
        <w:t xml:space="preserve"> من العهد. ولذلك ترى صاحبة البلاغ أن القيود والجزاءات المفروضة عليها غير قانونية وغير متناسبة. </w:t>
      </w:r>
    </w:p>
    <w:p w14:paraId="7D12FB99" w14:textId="20955FC8" w:rsidR="00DB1848" w:rsidRPr="0017212C" w:rsidRDefault="00DB1848" w:rsidP="00DB1848">
      <w:pPr>
        <w:pStyle w:val="SingleTxtGA"/>
        <w:rPr>
          <w:lang w:val="ar-SA" w:eastAsia="zh-TW" w:bidi="en-GB"/>
        </w:rPr>
      </w:pPr>
      <w:r w:rsidRPr="00660F34">
        <w:rPr>
          <w:rtl/>
        </w:rPr>
        <w:t>7</w:t>
      </w:r>
      <w:r w:rsidRPr="0017212C">
        <w:rPr>
          <w:rFonts w:ascii="Simplified Arabic"/>
          <w:rtl/>
        </w:rPr>
        <w:t>-</w:t>
      </w:r>
      <w:r w:rsidRPr="00660F34">
        <w:rPr>
          <w:rtl/>
        </w:rPr>
        <w:t>3</w:t>
      </w:r>
      <w:r w:rsidRPr="0017212C">
        <w:rPr>
          <w:rtl/>
        </w:rPr>
        <w:tab/>
        <w:t xml:space="preserve">وتحيط اللجنة علماً بادعاء صاحبة البلاغ أن حقها في التجمع السلمي بموجب المادة </w:t>
      </w:r>
      <w:r w:rsidRPr="00660F34">
        <w:rPr>
          <w:rtl/>
        </w:rPr>
        <w:t>21</w:t>
      </w:r>
      <w:r w:rsidRPr="0017212C">
        <w:rPr>
          <w:rtl/>
        </w:rPr>
        <w:t xml:space="preserve"> من العهد قد انتُهك، لأنها مثلت أمام المحاكم المحلية وفُرضت عليها غرامات إدارية كبيرة لمشاركتها في احتشادين سلميين. وتذكّر اللجنة بأنها أشارت في تعليقها العام رقم </w:t>
      </w:r>
      <w:r w:rsidRPr="00660F34">
        <w:rPr>
          <w:rtl/>
        </w:rPr>
        <w:t>37</w:t>
      </w:r>
      <w:r w:rsidRPr="0017212C">
        <w:rPr>
          <w:rFonts w:ascii="Simplified Arabic"/>
          <w:rtl/>
        </w:rPr>
        <w:t>(</w:t>
      </w:r>
      <w:r w:rsidRPr="00660F34">
        <w:rPr>
          <w:rtl/>
        </w:rPr>
        <w:t>202</w:t>
      </w:r>
      <w:r w:rsidR="00793F70" w:rsidRPr="00660F34">
        <w:rPr>
          <w:rtl/>
        </w:rPr>
        <w:t>0</w:t>
      </w:r>
      <w:r w:rsidR="00793F70" w:rsidRPr="0017212C">
        <w:rPr>
          <w:rFonts w:ascii="Simplified Arabic"/>
          <w:rtl/>
        </w:rPr>
        <w:t>)</w:t>
      </w:r>
      <w:r w:rsidR="00793F70" w:rsidRPr="0017212C">
        <w:rPr>
          <w:rtl/>
        </w:rPr>
        <w:t xml:space="preserve"> </w:t>
      </w:r>
      <w:r w:rsidRPr="0017212C">
        <w:rPr>
          <w:rtl/>
        </w:rPr>
        <w:t xml:space="preserve">إلى أن من الجائز، من حيث المبدأ، تنظيم التجمعات السلمية في جميع الأماكن التي يمكن للجمهور الوصول إليها أو التي ينبغي أن تتاح له إمكانية الوصول إليها، مثل الساحات العامة والشوارع (الفقرة </w:t>
      </w:r>
      <w:r w:rsidRPr="00660F34">
        <w:rPr>
          <w:rtl/>
        </w:rPr>
        <w:t>5</w:t>
      </w:r>
      <w:r w:rsidR="00793F70" w:rsidRPr="00660F34">
        <w:rPr>
          <w:rtl/>
        </w:rPr>
        <w:t>5</w:t>
      </w:r>
      <w:r w:rsidR="00793F70" w:rsidRPr="0017212C">
        <w:rPr>
          <w:rFonts w:ascii="Simplified Arabic"/>
          <w:rtl/>
        </w:rPr>
        <w:t>)</w:t>
      </w:r>
      <w:r w:rsidR="00793F70" w:rsidRPr="0017212C">
        <w:rPr>
          <w:rtl/>
        </w:rPr>
        <w:t xml:space="preserve">. </w:t>
      </w:r>
      <w:r w:rsidRPr="0017212C">
        <w:rPr>
          <w:rtl/>
        </w:rPr>
        <w:t xml:space="preserve">وينبغي عدم إبعاد التجمعات السلمية إلى مناطق نائية يتعذر فيها جذب اهتمام الفئات المستهدفة أو عامة الناس بصورة فعالة. والقاعدة العامة هي أنه لا يمكن فرض حظر كلي على جميع التجمعات في العاصمة أو في جميع الأماكن العامة باستثناء موقع واحد محدد داخل مدينة معينة، أو خارج وسط المدينة، أو في جميع شوارع مدينة معينة. </w:t>
      </w:r>
    </w:p>
    <w:p w14:paraId="1A735D3E" w14:textId="0A6AA1E7" w:rsidR="00793F70" w:rsidRPr="00422EC7" w:rsidRDefault="00DB1848" w:rsidP="00DB1848">
      <w:pPr>
        <w:pStyle w:val="SingleTxtGA"/>
        <w:rPr>
          <w:spacing w:val="-2"/>
          <w:rtl/>
          <w:lang w:eastAsia="zh-TW"/>
        </w:rPr>
      </w:pPr>
      <w:r w:rsidRPr="00660F34">
        <w:rPr>
          <w:rtl/>
        </w:rPr>
        <w:t>7</w:t>
      </w:r>
      <w:r w:rsidRPr="0017212C">
        <w:rPr>
          <w:rFonts w:ascii="Simplified Arabic"/>
          <w:rtl/>
        </w:rPr>
        <w:t>-</w:t>
      </w:r>
      <w:r w:rsidRPr="00660F34">
        <w:rPr>
          <w:rtl/>
        </w:rPr>
        <w:t>4</w:t>
      </w:r>
      <w:r w:rsidRPr="0017212C">
        <w:rPr>
          <w:rtl/>
        </w:rPr>
        <w:tab/>
        <w:t xml:space="preserve">وتذكّر اللجنة كذلك بأن الحق في التجمع السلمي، على النحو الذي تكفله المادة </w:t>
      </w:r>
      <w:r w:rsidRPr="00660F34">
        <w:rPr>
          <w:rtl/>
        </w:rPr>
        <w:t>21</w:t>
      </w:r>
      <w:r w:rsidRPr="0017212C">
        <w:rPr>
          <w:rtl/>
        </w:rPr>
        <w:t xml:space="preserve"> من العهد، هو حق أساسي من حقوق الإنسان، وضروري للتعبير العلني عن آراء الفرد، ولا غنى عنه في مجتمع ديمقراطي. وتحمي المادة </w:t>
      </w:r>
      <w:r w:rsidRPr="00660F34">
        <w:rPr>
          <w:rtl/>
        </w:rPr>
        <w:t>21</w:t>
      </w:r>
      <w:r w:rsidRPr="0017212C">
        <w:rPr>
          <w:rtl/>
        </w:rPr>
        <w:t xml:space="preserve"> من العهد التجمعات السلمية أينما عُقدت، سواء في الهواء الطلق أو في الأماكن المغلقة أو عبر الإنترنت؛ أو في الفضاءين العام والخاص؛ أو بشكل يجمع بين هذه الطرائق. وقد تتّخذ هذه التجمعات أشكالاً عديدة، بما فيها المظاهرات والاحتجاجات والاجتماعات والمواكب والاحتشادات </w:t>
      </w:r>
      <w:r w:rsidRPr="00422EC7">
        <w:rPr>
          <w:spacing w:val="-2"/>
          <w:rtl/>
        </w:rPr>
        <w:t xml:space="preserve">والاعتصامات والوقفات على ضوء الشموع والتجمعات المفاجئة. وهي محمية بموجب المادة </w:t>
      </w:r>
      <w:r w:rsidRPr="00660F34">
        <w:rPr>
          <w:spacing w:val="-2"/>
          <w:rtl/>
        </w:rPr>
        <w:t>21</w:t>
      </w:r>
      <w:r w:rsidRPr="00422EC7">
        <w:rPr>
          <w:spacing w:val="-2"/>
          <w:rtl/>
        </w:rPr>
        <w:t xml:space="preserve"> سواء أكانت</w:t>
      </w:r>
      <w:r w:rsidRPr="0017212C">
        <w:rPr>
          <w:rtl/>
        </w:rPr>
        <w:t xml:space="preserve"> ثابتة، مثل الاعتصامات، أم متنقلة، مثل المواكب أو المسيرات</w:t>
      </w:r>
      <w:r w:rsidR="00793F70" w:rsidRPr="0017212C">
        <w:rPr>
          <w:rStyle w:val="FootnoteReference"/>
          <w:szCs w:val="22"/>
          <w:rtl/>
        </w:rPr>
        <w:t>(</w:t>
      </w:r>
      <w:r w:rsidR="00793F70" w:rsidRPr="00660F34">
        <w:rPr>
          <w:rStyle w:val="FootnoteReference"/>
          <w:szCs w:val="22"/>
          <w:lang w:val="en-US"/>
        </w:rPr>
        <w:footnoteReference w:id="11"/>
      </w:r>
      <w:r w:rsidR="00793F70" w:rsidRPr="0017212C">
        <w:rPr>
          <w:rStyle w:val="FootnoteReference"/>
          <w:szCs w:val="22"/>
          <w:rtl/>
        </w:rPr>
        <w:t>)</w:t>
      </w:r>
      <w:r w:rsidR="00793F70" w:rsidRPr="0017212C">
        <w:rPr>
          <w:rtl/>
        </w:rPr>
        <w:t xml:space="preserve">. </w:t>
      </w:r>
      <w:r w:rsidRPr="0017212C">
        <w:rPr>
          <w:rtl/>
        </w:rPr>
        <w:t>ويحق لمنظمي التجمع عموماً اختيار مكان على مرأى ومسمع من جمهورهم المستهدف، ولا يجوز وضع أي قيد على هذا الحق، ما لم يكن (أ)</w:t>
      </w:r>
      <w:r w:rsidR="00422EC7">
        <w:rPr>
          <w:rFonts w:hint="cs"/>
          <w:rtl/>
        </w:rPr>
        <w:t> </w:t>
      </w:r>
      <w:r w:rsidRPr="0017212C">
        <w:rPr>
          <w:rtl/>
        </w:rPr>
        <w:t>مفروضاً وفقاً للقانون؛ و(ب) ضرورياً في مجتمع ديمقراطي، لصون الأمن القومي أو السلامة العامة أو النظام العام، أو لحماية الصحة العامة أو الآداب العامة أو حقوق الآخرين وحرياتهم</w:t>
      </w:r>
      <w:r w:rsidR="00793F70" w:rsidRPr="0017212C">
        <w:rPr>
          <w:rStyle w:val="FootnoteReference"/>
          <w:szCs w:val="22"/>
          <w:rtl/>
        </w:rPr>
        <w:t>(</w:t>
      </w:r>
      <w:r w:rsidR="00793F70" w:rsidRPr="00660F34">
        <w:rPr>
          <w:rStyle w:val="FootnoteReference"/>
          <w:szCs w:val="22"/>
          <w:lang w:val="en-US"/>
        </w:rPr>
        <w:footnoteReference w:id="12"/>
      </w:r>
      <w:r w:rsidR="00793F70" w:rsidRPr="0017212C">
        <w:rPr>
          <w:rStyle w:val="FootnoteReference"/>
          <w:szCs w:val="22"/>
          <w:rtl/>
        </w:rPr>
        <w:t>)</w:t>
      </w:r>
      <w:r w:rsidR="00793F70" w:rsidRPr="0017212C">
        <w:rPr>
          <w:rtl/>
        </w:rPr>
        <w:t xml:space="preserve">. </w:t>
      </w:r>
      <w:r w:rsidRPr="0017212C">
        <w:rPr>
          <w:rtl/>
        </w:rPr>
        <w:t xml:space="preserve">وعندما تفرض دولة طرف قيوداً بهدف التوفيق بين حق الشخص في التجمع والمصالح آنفة الذكر ذات الاهتمام </w:t>
      </w:r>
      <w:r w:rsidRPr="00422EC7">
        <w:rPr>
          <w:spacing w:val="-2"/>
          <w:rtl/>
        </w:rPr>
        <w:lastRenderedPageBreak/>
        <w:t>العام، فينبغي لها أن تسترشد بهدف تيسير هذا الحق بدلاً من السعي إلى تقييده على نحو غير ضروري أو غير متناسب</w:t>
      </w:r>
      <w:r w:rsidR="00793F70" w:rsidRPr="00422EC7">
        <w:rPr>
          <w:rStyle w:val="FootnoteReference"/>
          <w:spacing w:val="-2"/>
          <w:szCs w:val="22"/>
          <w:rtl/>
        </w:rPr>
        <w:t>(</w:t>
      </w:r>
      <w:r w:rsidR="00793F70" w:rsidRPr="00660F34">
        <w:rPr>
          <w:rStyle w:val="FootnoteReference"/>
          <w:spacing w:val="-2"/>
          <w:szCs w:val="22"/>
          <w:lang w:val="en-US"/>
        </w:rPr>
        <w:footnoteReference w:id="13"/>
      </w:r>
      <w:r w:rsidR="00793F70" w:rsidRPr="00422EC7">
        <w:rPr>
          <w:rStyle w:val="FootnoteReference"/>
          <w:spacing w:val="-2"/>
          <w:szCs w:val="22"/>
          <w:rtl/>
        </w:rPr>
        <w:t>)</w:t>
      </w:r>
      <w:r w:rsidR="00793F70" w:rsidRPr="00422EC7">
        <w:rPr>
          <w:spacing w:val="-2"/>
          <w:rtl/>
        </w:rPr>
        <w:t xml:space="preserve">. </w:t>
      </w:r>
      <w:r w:rsidRPr="00422EC7">
        <w:rPr>
          <w:spacing w:val="-2"/>
          <w:rtl/>
        </w:rPr>
        <w:t xml:space="preserve">وبالتالي، فإن الدولة الطرف ملزمة بتبرير تقييد الحق الذي تحميه المادة </w:t>
      </w:r>
      <w:r w:rsidRPr="00660F34">
        <w:rPr>
          <w:spacing w:val="-2"/>
          <w:rtl/>
        </w:rPr>
        <w:t>21</w:t>
      </w:r>
      <w:r w:rsidRPr="00422EC7">
        <w:rPr>
          <w:spacing w:val="-2"/>
          <w:rtl/>
        </w:rPr>
        <w:t xml:space="preserve"> من العهد</w:t>
      </w:r>
      <w:r w:rsidR="00793F70" w:rsidRPr="00422EC7">
        <w:rPr>
          <w:rStyle w:val="FootnoteReference"/>
          <w:spacing w:val="-2"/>
          <w:szCs w:val="22"/>
          <w:rtl/>
        </w:rPr>
        <w:t>(</w:t>
      </w:r>
      <w:r w:rsidR="00793F70" w:rsidRPr="00660F34">
        <w:rPr>
          <w:rStyle w:val="FootnoteReference"/>
          <w:spacing w:val="-2"/>
          <w:szCs w:val="22"/>
          <w:lang w:val="en-US"/>
        </w:rPr>
        <w:footnoteReference w:id="14"/>
      </w:r>
      <w:r w:rsidR="00793F70" w:rsidRPr="00422EC7">
        <w:rPr>
          <w:rStyle w:val="FootnoteReference"/>
          <w:spacing w:val="-2"/>
          <w:szCs w:val="22"/>
          <w:rtl/>
        </w:rPr>
        <w:t>)</w:t>
      </w:r>
      <w:r w:rsidR="00793F70" w:rsidRPr="00422EC7">
        <w:rPr>
          <w:spacing w:val="-2"/>
          <w:rtl/>
        </w:rPr>
        <w:t>.</w:t>
      </w:r>
    </w:p>
    <w:p w14:paraId="41657768" w14:textId="0B692D31" w:rsidR="00793F70" w:rsidRPr="0017212C" w:rsidRDefault="00DB1848" w:rsidP="00DB1848">
      <w:pPr>
        <w:pStyle w:val="SingleTxtGA"/>
        <w:rPr>
          <w:szCs w:val="20"/>
          <w:lang w:val="ar-SA" w:eastAsia="zh-TW" w:bidi="en-GB"/>
        </w:rPr>
      </w:pPr>
      <w:r w:rsidRPr="00660F34">
        <w:rPr>
          <w:rtl/>
        </w:rPr>
        <w:t>7</w:t>
      </w:r>
      <w:r w:rsidRPr="0017212C">
        <w:rPr>
          <w:rFonts w:ascii="Simplified Arabic"/>
          <w:szCs w:val="20"/>
          <w:rtl/>
        </w:rPr>
        <w:t>-</w:t>
      </w:r>
      <w:r w:rsidRPr="00660F34">
        <w:rPr>
          <w:rtl/>
        </w:rPr>
        <w:t>5</w:t>
      </w:r>
      <w:r w:rsidRPr="0017212C">
        <w:rPr>
          <w:rtl/>
        </w:rPr>
        <w:tab/>
        <w:t>وفي هذه القضية، يجب على اللجنة أن تنظر فيما إذا كانت القيود المفروضة على حق صاحبة البلاغ في التجمع السلمي مبررة بموجب أي من المعايير المنصوص عليها في الجملة الثانية من المادة</w:t>
      </w:r>
      <w:r w:rsidR="00AE7F91" w:rsidRPr="0017212C">
        <w:rPr>
          <w:rFonts w:hint="cs"/>
          <w:rtl/>
        </w:rPr>
        <w:t> </w:t>
      </w:r>
      <w:r w:rsidRPr="00660F34">
        <w:rPr>
          <w:rtl/>
        </w:rPr>
        <w:t>21</w:t>
      </w:r>
      <w:r w:rsidRPr="0017212C">
        <w:rPr>
          <w:rtl/>
        </w:rPr>
        <w:t xml:space="preserve"> من العهد. وفي ضوء المعلومات المتاحة في الملف، حكمت المحكمة المحلية في سوفيتسكي بغوميل على صاحبة البلاغ بغرامات إدارية كبيرة لمشاركتها في احتشادين سلميين وانتهاكها أحكام قانون الأحداث الجماهيرية. غير أن اللجنة تلاحظ، في هذا السياق، أن المحاكم المحلية لم تقدم أي مبرر أو توضيح يبين كيفية إخلال احتجاجات صاحبة البلاغ، في الواقع، بالأمن القومي أو السلامة العامة أو النظام العام، أو بحماية الصحة العامة أو الآداب العامة أو حقوق الآخرين وحرياتهم، كما هو مبين في المادة </w:t>
      </w:r>
      <w:r w:rsidRPr="00660F34">
        <w:rPr>
          <w:rtl/>
        </w:rPr>
        <w:t>21</w:t>
      </w:r>
      <w:r w:rsidRPr="0017212C">
        <w:rPr>
          <w:rtl/>
        </w:rPr>
        <w:t xml:space="preserve"> من العهد. وفي هذا الصدد، تكتفي الدولة الطرف بالإشارة إلى أن أحكام قانون الأحداث الجماهيرية، تنظم مسألتي تنظيم وعقد التجمعات أو الاحتشادات أو المواكب في الشوارع أو المظاهرات أو الاعتصامات وغيرها من الأحداث الجماهيرية في بيلاروس، وتهدف فضلاً عن ذلك إلى تهيئة الظروف المواتية لإعمال حقوق المواطنين الدستورية وحرياتهم (الفقرة </w:t>
      </w:r>
      <w:r w:rsidRPr="00660F34">
        <w:rPr>
          <w:rtl/>
        </w:rPr>
        <w:t>4</w:t>
      </w:r>
      <w:r w:rsidRPr="0017212C">
        <w:rPr>
          <w:rFonts w:ascii="Simplified Arabic"/>
          <w:szCs w:val="20"/>
          <w:rtl/>
        </w:rPr>
        <w:t>-</w:t>
      </w:r>
      <w:r w:rsidRPr="00660F34">
        <w:rPr>
          <w:rtl/>
        </w:rPr>
        <w:t>4</w:t>
      </w:r>
      <w:r w:rsidRPr="0017212C">
        <w:rPr>
          <w:rtl/>
        </w:rPr>
        <w:t xml:space="preserve"> أعلاه</w:t>
      </w:r>
      <w:r w:rsidR="00793F70" w:rsidRPr="0017212C">
        <w:rPr>
          <w:rtl/>
        </w:rPr>
        <w:t xml:space="preserve">)، </w:t>
      </w:r>
      <w:r w:rsidRPr="0017212C">
        <w:rPr>
          <w:rtl/>
        </w:rPr>
        <w:t xml:space="preserve">ولكنها لا توضح في هذه القضية سبب انتهاك هذه الحقوق الدستورية للمواطنين أو حرياتهم من خلال الاحتشادين السلميين اللذين شاركت فيهما صاحبة البلاغ. ولم تثبت الدولة الطرف أيضاً أنها اتخذت أي تدابير بديلة لتيسير ممارسة صاحبة البلاغ حقوقها بمقتضى المادة </w:t>
      </w:r>
      <w:r w:rsidRPr="00660F34">
        <w:rPr>
          <w:rtl/>
        </w:rPr>
        <w:t>2</w:t>
      </w:r>
      <w:r w:rsidR="00793F70" w:rsidRPr="00660F34">
        <w:rPr>
          <w:rtl/>
        </w:rPr>
        <w:t>1</w:t>
      </w:r>
      <w:r w:rsidR="00793F70" w:rsidRPr="0017212C">
        <w:rPr>
          <w:rtl/>
        </w:rPr>
        <w:t>.</w:t>
      </w:r>
    </w:p>
    <w:p w14:paraId="2231C265" w14:textId="282F468A" w:rsidR="00DB1848" w:rsidRPr="0017212C" w:rsidRDefault="00DB1848" w:rsidP="00DB1848">
      <w:pPr>
        <w:pStyle w:val="SingleTxtGA"/>
        <w:rPr>
          <w:szCs w:val="20"/>
          <w:lang w:val="ar-SA" w:eastAsia="zh-TW" w:bidi="en-GB"/>
        </w:rPr>
      </w:pPr>
      <w:r w:rsidRPr="00660F34">
        <w:rPr>
          <w:rtl/>
        </w:rPr>
        <w:t>7</w:t>
      </w:r>
      <w:r w:rsidRPr="0017212C">
        <w:rPr>
          <w:rFonts w:ascii="Simplified Arabic"/>
          <w:szCs w:val="20"/>
          <w:rtl/>
        </w:rPr>
        <w:t>-</w:t>
      </w:r>
      <w:r w:rsidRPr="00660F34">
        <w:rPr>
          <w:rtl/>
        </w:rPr>
        <w:t>6</w:t>
      </w:r>
      <w:r w:rsidRPr="0017212C">
        <w:rPr>
          <w:rtl/>
        </w:rPr>
        <w:tab/>
        <w:t xml:space="preserve">ولما لم ترِد أي توضيحات أخرى من الدولة الطرف، فإن اللجنة تخلص إلى أن الدولة الطرف انتهكت حقوق صاحبة البلاغ بموجب المادة </w:t>
      </w:r>
      <w:r w:rsidRPr="00660F34">
        <w:rPr>
          <w:rtl/>
        </w:rPr>
        <w:t>21</w:t>
      </w:r>
      <w:r w:rsidRPr="0017212C">
        <w:rPr>
          <w:rtl/>
        </w:rPr>
        <w:t xml:space="preserve"> من العهد</w:t>
      </w:r>
      <w:r w:rsidR="00793F70" w:rsidRPr="0017212C">
        <w:rPr>
          <w:rStyle w:val="FootnoteReference"/>
          <w:rtl/>
        </w:rPr>
        <w:t>(</w:t>
      </w:r>
      <w:r w:rsidR="00793F70" w:rsidRPr="00660F34">
        <w:rPr>
          <w:rStyle w:val="FootnoteReference"/>
          <w:lang w:val="en-US"/>
        </w:rPr>
        <w:footnoteReference w:id="15"/>
      </w:r>
      <w:r w:rsidR="00793F70" w:rsidRPr="0017212C">
        <w:rPr>
          <w:rStyle w:val="FootnoteReference"/>
          <w:rtl/>
        </w:rPr>
        <w:t>)</w:t>
      </w:r>
      <w:r w:rsidR="00793F70" w:rsidRPr="0017212C">
        <w:rPr>
          <w:rtl/>
        </w:rPr>
        <w:t xml:space="preserve">. </w:t>
      </w:r>
    </w:p>
    <w:p w14:paraId="69FB5ACE" w14:textId="77777777" w:rsidR="00DB1848" w:rsidRPr="0017212C" w:rsidRDefault="00DB1848" w:rsidP="00DB1848">
      <w:pPr>
        <w:pStyle w:val="SingleTxtGA"/>
        <w:rPr>
          <w:szCs w:val="20"/>
          <w:lang w:val="ar-SA" w:eastAsia="zh-TW" w:bidi="en-GB"/>
        </w:rPr>
      </w:pPr>
      <w:r w:rsidRPr="00660F34">
        <w:rPr>
          <w:rtl/>
        </w:rPr>
        <w:t>7</w:t>
      </w:r>
      <w:r w:rsidRPr="0017212C">
        <w:rPr>
          <w:rFonts w:ascii="Simplified Arabic"/>
          <w:szCs w:val="20"/>
          <w:rtl/>
        </w:rPr>
        <w:t>-</w:t>
      </w:r>
      <w:r w:rsidRPr="00660F34">
        <w:rPr>
          <w:rtl/>
        </w:rPr>
        <w:t>7</w:t>
      </w:r>
      <w:r w:rsidRPr="0017212C">
        <w:rPr>
          <w:rtl/>
        </w:rPr>
        <w:tab/>
        <w:t xml:space="preserve">وتحيط اللجنة علماً كذلك بادعاء صاحبة البلاغ أن حريتها في التعبير قد قُيدت بصورة غير قانونية، إذ أدينت بارتكاب جريمة إدارية وعوقبت بدفع غرامات إدارية كبيرة بسبب مشاركتها في احتشادات </w:t>
      </w:r>
      <w:r w:rsidRPr="00422EC7">
        <w:rPr>
          <w:spacing w:val="-2"/>
          <w:rtl/>
        </w:rPr>
        <w:t>سلمية احتجاجاً على المرسوم الرئاسي "بشأن منع الاتكال الاجتماعي" في منطقة غوميل. ولذلك فإن المسألة</w:t>
      </w:r>
      <w:r w:rsidRPr="0017212C">
        <w:rPr>
          <w:rtl/>
        </w:rPr>
        <w:t xml:space="preserve"> المعروضة على اللجنة هي تحديد ما إذا كانت العقوبة التي فرضتها السلطات المحلية على صاحبة البلاغ لمشاركتها في احتشادات سلمية لغرض التعبير عن الرأي تشكل انتهاكاً للمادة </w:t>
      </w:r>
      <w:r w:rsidRPr="00660F34">
        <w:rPr>
          <w:rtl/>
        </w:rPr>
        <w:t>19</w:t>
      </w:r>
      <w:r w:rsidRPr="0017212C">
        <w:rPr>
          <w:rtl/>
        </w:rPr>
        <w:t xml:space="preserve"> من العهد.</w:t>
      </w:r>
    </w:p>
    <w:p w14:paraId="6AD780ED" w14:textId="21F62AB0" w:rsidR="00DB1848" w:rsidRPr="0017212C" w:rsidRDefault="00DB1848" w:rsidP="00DB1848">
      <w:pPr>
        <w:pStyle w:val="SingleTxtGA"/>
        <w:rPr>
          <w:szCs w:val="20"/>
          <w:lang w:val="en-US" w:eastAsia="zh-TW" w:bidi="en-GB"/>
        </w:rPr>
      </w:pPr>
      <w:r w:rsidRPr="00660F34">
        <w:rPr>
          <w:rtl/>
        </w:rPr>
        <w:t>7</w:t>
      </w:r>
      <w:r w:rsidRPr="0017212C">
        <w:rPr>
          <w:rFonts w:ascii="Simplified Arabic"/>
          <w:szCs w:val="20"/>
          <w:rtl/>
        </w:rPr>
        <w:t>-</w:t>
      </w:r>
      <w:r w:rsidRPr="00660F34">
        <w:rPr>
          <w:rtl/>
        </w:rPr>
        <w:t>8</w:t>
      </w:r>
      <w:r w:rsidRPr="0017212C">
        <w:rPr>
          <w:rtl/>
        </w:rPr>
        <w:tab/>
        <w:t xml:space="preserve">وتذكّر اللجنة بتعليقها العام رقم </w:t>
      </w:r>
      <w:r w:rsidRPr="00660F34">
        <w:rPr>
          <w:rtl/>
        </w:rPr>
        <w:t>34</w:t>
      </w:r>
      <w:r w:rsidRPr="0017212C">
        <w:rPr>
          <w:rFonts w:ascii="Simplified Arabic"/>
          <w:szCs w:val="20"/>
          <w:rtl/>
        </w:rPr>
        <w:t>(</w:t>
      </w:r>
      <w:r w:rsidRPr="00660F34">
        <w:rPr>
          <w:rtl/>
        </w:rPr>
        <w:t>201</w:t>
      </w:r>
      <w:r w:rsidR="00793F70" w:rsidRPr="00660F34">
        <w:rPr>
          <w:rtl/>
        </w:rPr>
        <w:t>1</w:t>
      </w:r>
      <w:r w:rsidR="00793F70" w:rsidRPr="0017212C">
        <w:rPr>
          <w:rFonts w:ascii="Simplified Arabic"/>
          <w:szCs w:val="20"/>
          <w:rtl/>
        </w:rPr>
        <w:t>)</w:t>
      </w:r>
      <w:r w:rsidR="00793F70" w:rsidRPr="0017212C">
        <w:rPr>
          <w:rtl/>
        </w:rPr>
        <w:t xml:space="preserve"> </w:t>
      </w:r>
      <w:r w:rsidRPr="0017212C">
        <w:rPr>
          <w:rtl/>
        </w:rPr>
        <w:t xml:space="preserve">الذي ذكرت فيه، في جملة أمور، أن حرية التعبير عنصر أساسي من عناصر أي مجتمع، ويشكل حجر الزاوية لكل مجتمع تسوده الحرية والديمقراطية (الفقرة </w:t>
      </w:r>
      <w:r w:rsidR="00793F70" w:rsidRPr="00660F34">
        <w:rPr>
          <w:rtl/>
        </w:rPr>
        <w:t>2</w:t>
      </w:r>
      <w:r w:rsidR="00793F70" w:rsidRPr="0017212C">
        <w:rPr>
          <w:rFonts w:ascii="Simplified Arabic"/>
          <w:szCs w:val="20"/>
          <w:rtl/>
        </w:rPr>
        <w:t>)</w:t>
      </w:r>
      <w:r w:rsidR="00793F70" w:rsidRPr="0017212C">
        <w:rPr>
          <w:rtl/>
        </w:rPr>
        <w:t xml:space="preserve">. </w:t>
      </w:r>
      <w:r w:rsidRPr="0017212C">
        <w:rPr>
          <w:rtl/>
        </w:rPr>
        <w:t xml:space="preserve">وتشير إلى أن المادة </w:t>
      </w:r>
      <w:r w:rsidRPr="00660F34">
        <w:rPr>
          <w:rtl/>
        </w:rPr>
        <w:t>19</w:t>
      </w:r>
      <w:r w:rsidRPr="0017212C">
        <w:rPr>
          <w:rFonts w:ascii="Simplified Arabic"/>
          <w:szCs w:val="20"/>
          <w:rtl/>
        </w:rPr>
        <w:t>(</w:t>
      </w:r>
      <w:r w:rsidR="00793F70" w:rsidRPr="00660F34">
        <w:rPr>
          <w:rtl/>
        </w:rPr>
        <w:t>3</w:t>
      </w:r>
      <w:r w:rsidR="00793F70" w:rsidRPr="0017212C">
        <w:rPr>
          <w:rFonts w:ascii="Simplified Arabic"/>
          <w:szCs w:val="20"/>
          <w:rtl/>
        </w:rPr>
        <w:t>)</w:t>
      </w:r>
      <w:r w:rsidR="00793F70" w:rsidRPr="0017212C">
        <w:rPr>
          <w:rtl/>
        </w:rPr>
        <w:t xml:space="preserve"> </w:t>
      </w:r>
      <w:r w:rsidRPr="0017212C">
        <w:rPr>
          <w:rtl/>
        </w:rPr>
        <w:t xml:space="preserve">من العهد لا تسمح بفرض قيود معينة على حرية التعبير، بما في ذلك حرية نقل المعلومات والأفكار، إلا بقدر ما ينص القانون على هذه القيود، وفقط إذا اقتضت الضرورة للسببين التاليين: (أ) احترام حقوق الآخرين أو سمعتهم؛ أو (ب) حماية الأمن القومي، أو النظام العام، أو الصحة العامة، أو الأخلاق العامة. وأخيراً، يجـب ألا تكون القيود المفروضة على حرية التعبير مفرطة في طبيعتها - أي يجب أن تكون أقل التدابير تدخلاً مقارنة بغيرها من التدابير التي يمكن أن تحقق الوظيفة الحمائية ذات الصلة، ويجب أن تكون متناسبة مع المصلحة التي ستحميها(الفقرة </w:t>
      </w:r>
      <w:r w:rsidRPr="00660F34">
        <w:rPr>
          <w:rtl/>
        </w:rPr>
        <w:t>3</w:t>
      </w:r>
      <w:r w:rsidR="00793F70" w:rsidRPr="00660F34">
        <w:rPr>
          <w:rtl/>
        </w:rPr>
        <w:t>4</w:t>
      </w:r>
      <w:r w:rsidR="00793F70" w:rsidRPr="0017212C">
        <w:rPr>
          <w:rFonts w:ascii="Simplified Arabic"/>
          <w:szCs w:val="20"/>
          <w:rtl/>
        </w:rPr>
        <w:t>)</w:t>
      </w:r>
      <w:r w:rsidR="00793F70" w:rsidRPr="0017212C">
        <w:rPr>
          <w:rtl/>
        </w:rPr>
        <w:t xml:space="preserve">. </w:t>
      </w:r>
      <w:r w:rsidRPr="0017212C">
        <w:rPr>
          <w:rtl/>
        </w:rPr>
        <w:t xml:space="preserve">وتذكّر اللجنة بأن </w:t>
      </w:r>
      <w:r w:rsidRPr="0017212C">
        <w:rPr>
          <w:rtl/>
        </w:rPr>
        <w:lastRenderedPageBreak/>
        <w:t>على عاتق الدولة الطرف مسؤولية إثبات أن القيود المفروضة على حقوق صاحبة البلاغ بموجب المادة</w:t>
      </w:r>
      <w:r w:rsidR="00851BD7" w:rsidRPr="0017212C">
        <w:rPr>
          <w:rFonts w:hint="cs"/>
          <w:rtl/>
        </w:rPr>
        <w:t> </w:t>
      </w:r>
      <w:r w:rsidRPr="00660F34">
        <w:rPr>
          <w:rtl/>
        </w:rPr>
        <w:t>19</w:t>
      </w:r>
      <w:r w:rsidRPr="0017212C">
        <w:rPr>
          <w:rtl/>
        </w:rPr>
        <w:t xml:space="preserve"> من العهد كانت ضرورية ومتناسبة</w:t>
      </w:r>
      <w:r w:rsidR="00793F70" w:rsidRPr="0017212C">
        <w:rPr>
          <w:rStyle w:val="FootnoteReference"/>
          <w:rtl/>
        </w:rPr>
        <w:t>(</w:t>
      </w:r>
      <w:r w:rsidR="00793F70" w:rsidRPr="00660F34">
        <w:rPr>
          <w:rStyle w:val="FootnoteReference"/>
          <w:lang w:val="en-US"/>
        </w:rPr>
        <w:footnoteReference w:id="16"/>
      </w:r>
      <w:r w:rsidR="00793F70" w:rsidRPr="0017212C">
        <w:rPr>
          <w:rStyle w:val="FootnoteReference"/>
          <w:rtl/>
        </w:rPr>
        <w:t>)</w:t>
      </w:r>
      <w:r w:rsidR="00793F70" w:rsidRPr="0017212C">
        <w:rPr>
          <w:rtl/>
        </w:rPr>
        <w:t>.</w:t>
      </w:r>
    </w:p>
    <w:p w14:paraId="6879FA1C" w14:textId="52804ED6" w:rsidR="00DB1848" w:rsidRPr="0017212C" w:rsidRDefault="00DB1848" w:rsidP="00DB1848">
      <w:pPr>
        <w:pStyle w:val="SingleTxtGA"/>
        <w:rPr>
          <w:szCs w:val="20"/>
          <w:lang w:val="ar-SA" w:eastAsia="zh-TW" w:bidi="en-GB"/>
        </w:rPr>
      </w:pPr>
      <w:r w:rsidRPr="00660F34">
        <w:rPr>
          <w:rtl/>
        </w:rPr>
        <w:t>7</w:t>
      </w:r>
      <w:r w:rsidRPr="0017212C">
        <w:rPr>
          <w:rFonts w:ascii="Simplified Arabic"/>
          <w:szCs w:val="20"/>
          <w:rtl/>
        </w:rPr>
        <w:t>-</w:t>
      </w:r>
      <w:r w:rsidRPr="00660F34">
        <w:rPr>
          <w:rtl/>
        </w:rPr>
        <w:t>9</w:t>
      </w:r>
      <w:r w:rsidRPr="0017212C">
        <w:rPr>
          <w:rtl/>
        </w:rPr>
        <w:tab/>
        <w:t xml:space="preserve">وتلاحظ اللجنة أن الحكم على صاحبة البلاغ بدفع غرامات إدارية لمشاركتها في احتشادات سلمية، وإن كانت غير مرخصة، لغرض التعبير عن الرأي، يثير شكوكاً جدية بشأن ضرورة وتناسب القيود المفروضة على حقوق صاحبة البلاغ بموجب المادة </w:t>
      </w:r>
      <w:r w:rsidRPr="00660F34">
        <w:rPr>
          <w:rtl/>
        </w:rPr>
        <w:t>19</w:t>
      </w:r>
      <w:r w:rsidRPr="0017212C">
        <w:rPr>
          <w:rtl/>
        </w:rPr>
        <w:t xml:space="preserve"> من العهد. وتلاحظ اللجنة في هذا الصدد أن الدولة الطرف لم تحتج بأي أسباب محددة تؤيد ضرورة فرض تلك القيود كما تقتضيه المادة </w:t>
      </w:r>
      <w:r w:rsidRPr="00660F34">
        <w:rPr>
          <w:rtl/>
        </w:rPr>
        <w:t>19</w:t>
      </w:r>
      <w:r w:rsidRPr="0017212C">
        <w:rPr>
          <w:rFonts w:ascii="Simplified Arabic"/>
          <w:szCs w:val="20"/>
          <w:rtl/>
        </w:rPr>
        <w:t>(</w:t>
      </w:r>
      <w:r w:rsidR="00793F70" w:rsidRPr="00660F34">
        <w:rPr>
          <w:rtl/>
        </w:rPr>
        <w:t>3</w:t>
      </w:r>
      <w:r w:rsidR="00793F70" w:rsidRPr="0017212C">
        <w:rPr>
          <w:rFonts w:ascii="Simplified Arabic"/>
          <w:szCs w:val="20"/>
          <w:rtl/>
        </w:rPr>
        <w:t>)</w:t>
      </w:r>
      <w:r w:rsidR="00793F70" w:rsidRPr="0017212C">
        <w:rPr>
          <w:rtl/>
        </w:rPr>
        <w:t xml:space="preserve"> </w:t>
      </w:r>
      <w:r w:rsidRPr="0017212C">
        <w:rPr>
          <w:rtl/>
        </w:rPr>
        <w:t>من العهد</w:t>
      </w:r>
      <w:r w:rsidR="00793F70" w:rsidRPr="0017212C">
        <w:rPr>
          <w:rStyle w:val="FootnoteReference"/>
          <w:rtl/>
        </w:rPr>
        <w:t>(</w:t>
      </w:r>
      <w:r w:rsidR="00793F70" w:rsidRPr="00660F34">
        <w:rPr>
          <w:rStyle w:val="FootnoteReference"/>
          <w:lang w:val="en-US"/>
        </w:rPr>
        <w:footnoteReference w:id="17"/>
      </w:r>
      <w:r w:rsidR="00793F70" w:rsidRPr="0017212C">
        <w:rPr>
          <w:rStyle w:val="FootnoteReference"/>
          <w:rtl/>
        </w:rPr>
        <w:t>)</w:t>
      </w:r>
      <w:r w:rsidR="00793F70" w:rsidRPr="0017212C">
        <w:rPr>
          <w:rtl/>
        </w:rPr>
        <w:t xml:space="preserve">. </w:t>
      </w:r>
      <w:r w:rsidRPr="0017212C">
        <w:rPr>
          <w:rtl/>
        </w:rPr>
        <w:t xml:space="preserve">ولم تثبت الدولة الطرف كذلك أن التدابير المختارة هي الأقل تدخلاً بطبيعتها أو أنها متناسبة مع المصلحة التي كانت تسعى لحمايتها. وبالنظر إلى ملابسات هذه القضية، ترى اللجنة أن القيود المفروضة على صاحبة البلاغ، وإن كانت تستند إلى القانون المحلي، غير مبرَّرة في ضوء الشروط المنصوص عليها في المادة </w:t>
      </w:r>
      <w:r w:rsidRPr="00660F34">
        <w:rPr>
          <w:rtl/>
        </w:rPr>
        <w:t>19</w:t>
      </w:r>
      <w:r w:rsidRPr="0017212C">
        <w:rPr>
          <w:rFonts w:ascii="Simplified Arabic"/>
          <w:szCs w:val="20"/>
          <w:rtl/>
        </w:rPr>
        <w:t>(</w:t>
      </w:r>
      <w:r w:rsidR="00793F70" w:rsidRPr="00660F34">
        <w:rPr>
          <w:rtl/>
        </w:rPr>
        <w:t>3</w:t>
      </w:r>
      <w:r w:rsidR="00793F70" w:rsidRPr="0017212C">
        <w:rPr>
          <w:rFonts w:ascii="Simplified Arabic"/>
          <w:szCs w:val="20"/>
          <w:rtl/>
        </w:rPr>
        <w:t>)</w:t>
      </w:r>
      <w:r w:rsidR="00793F70" w:rsidRPr="0017212C">
        <w:rPr>
          <w:rtl/>
        </w:rPr>
        <w:t xml:space="preserve"> </w:t>
      </w:r>
      <w:r w:rsidRPr="0017212C">
        <w:rPr>
          <w:rtl/>
        </w:rPr>
        <w:t xml:space="preserve">من العهد. ولذلك، تخلص اللجنة إلى أن حقوق صاحبة البلاغ بموجب المادة </w:t>
      </w:r>
      <w:r w:rsidRPr="00660F34">
        <w:rPr>
          <w:rtl/>
        </w:rPr>
        <w:t>19</w:t>
      </w:r>
      <w:r w:rsidRPr="0017212C">
        <w:rPr>
          <w:rtl/>
        </w:rPr>
        <w:t xml:space="preserve"> من العهد قد انتُهِكت</w:t>
      </w:r>
      <w:r w:rsidR="00793F70" w:rsidRPr="0017212C">
        <w:rPr>
          <w:rStyle w:val="FootnoteReference"/>
          <w:rtl/>
        </w:rPr>
        <w:t>(</w:t>
      </w:r>
      <w:r w:rsidR="00793F70" w:rsidRPr="00660F34">
        <w:rPr>
          <w:rStyle w:val="FootnoteReference"/>
          <w:lang w:val="en-US"/>
        </w:rPr>
        <w:footnoteReference w:id="18"/>
      </w:r>
      <w:r w:rsidR="00793F70" w:rsidRPr="0017212C">
        <w:rPr>
          <w:rStyle w:val="FootnoteReference"/>
          <w:rtl/>
        </w:rPr>
        <w:t>)</w:t>
      </w:r>
      <w:r w:rsidR="00793F70" w:rsidRPr="0017212C">
        <w:rPr>
          <w:rtl/>
        </w:rPr>
        <w:t xml:space="preserve">. </w:t>
      </w:r>
    </w:p>
    <w:p w14:paraId="2A7CE14F" w14:textId="6246AC8C" w:rsidR="00DB1848" w:rsidRPr="0017212C" w:rsidRDefault="00DB1848" w:rsidP="00DB1848">
      <w:pPr>
        <w:pStyle w:val="SingleTxtGA"/>
        <w:rPr>
          <w:szCs w:val="20"/>
          <w:lang w:val="ar-SA" w:eastAsia="zh-TW" w:bidi="en-GB"/>
        </w:rPr>
      </w:pPr>
      <w:r w:rsidRPr="00660F34">
        <w:rPr>
          <w:rtl/>
        </w:rPr>
        <w:t>8</w:t>
      </w:r>
      <w:r w:rsidRPr="0017212C">
        <w:rPr>
          <w:rFonts w:ascii="Simplified Arabic"/>
          <w:szCs w:val="20"/>
          <w:rtl/>
        </w:rPr>
        <w:t>-</w:t>
      </w:r>
      <w:r w:rsidRPr="0017212C">
        <w:rPr>
          <w:rtl/>
        </w:rPr>
        <w:tab/>
        <w:t xml:space="preserve">واللجنة، إذ تتصرف بموجب المادة </w:t>
      </w:r>
      <w:r w:rsidRPr="00660F34">
        <w:rPr>
          <w:rtl/>
        </w:rPr>
        <w:t>5</w:t>
      </w:r>
      <w:r w:rsidRPr="0017212C">
        <w:rPr>
          <w:rFonts w:ascii="Simplified Arabic"/>
          <w:szCs w:val="20"/>
          <w:rtl/>
        </w:rPr>
        <w:t>(</w:t>
      </w:r>
      <w:r w:rsidR="00793F70" w:rsidRPr="00660F34">
        <w:rPr>
          <w:rtl/>
        </w:rPr>
        <w:t>4</w:t>
      </w:r>
      <w:r w:rsidR="00793F70" w:rsidRPr="0017212C">
        <w:rPr>
          <w:rFonts w:ascii="Simplified Arabic"/>
          <w:szCs w:val="20"/>
          <w:rtl/>
        </w:rPr>
        <w:t>)</w:t>
      </w:r>
      <w:r w:rsidR="00793F70" w:rsidRPr="0017212C">
        <w:rPr>
          <w:rtl/>
        </w:rPr>
        <w:t xml:space="preserve"> </w:t>
      </w:r>
      <w:r w:rsidRPr="0017212C">
        <w:rPr>
          <w:rtl/>
        </w:rPr>
        <w:t xml:space="preserve">من البروتوكول الاختياري، ترى أن الوقائع المعروضة عليها تكشف عن انتهاك الدولة الطرف حقوق صاحبة البلاغ بموجب المادتين </w:t>
      </w:r>
      <w:r w:rsidRPr="00660F34">
        <w:rPr>
          <w:rtl/>
        </w:rPr>
        <w:t>19</w:t>
      </w:r>
      <w:r w:rsidRPr="0017212C">
        <w:rPr>
          <w:rtl/>
        </w:rPr>
        <w:t xml:space="preserve"> و</w:t>
      </w:r>
      <w:r w:rsidRPr="00660F34">
        <w:rPr>
          <w:rtl/>
        </w:rPr>
        <w:t>21</w:t>
      </w:r>
      <w:r w:rsidRPr="0017212C">
        <w:rPr>
          <w:rtl/>
        </w:rPr>
        <w:t xml:space="preserve"> من العهد. </w:t>
      </w:r>
    </w:p>
    <w:p w14:paraId="13DC6513" w14:textId="3B38FEB1" w:rsidR="00DB1848" w:rsidRPr="0017212C" w:rsidRDefault="00DB1848" w:rsidP="00DB1848">
      <w:pPr>
        <w:pStyle w:val="SingleTxtGA"/>
        <w:rPr>
          <w:szCs w:val="20"/>
          <w:lang w:val="ar-SA" w:eastAsia="zh-TW" w:bidi="en-GB"/>
        </w:rPr>
      </w:pPr>
      <w:r w:rsidRPr="00660F34">
        <w:rPr>
          <w:rtl/>
        </w:rPr>
        <w:t>9</w:t>
      </w:r>
      <w:r w:rsidRPr="0017212C">
        <w:rPr>
          <w:rFonts w:ascii="Simplified Arabic"/>
          <w:szCs w:val="20"/>
          <w:rtl/>
        </w:rPr>
        <w:t>-</w:t>
      </w:r>
      <w:r w:rsidRPr="0017212C">
        <w:rPr>
          <w:rtl/>
        </w:rPr>
        <w:tab/>
        <w:t xml:space="preserve">وعملاً بالمادة </w:t>
      </w:r>
      <w:r w:rsidRPr="00660F34">
        <w:rPr>
          <w:rtl/>
        </w:rPr>
        <w:t>2</w:t>
      </w:r>
      <w:r w:rsidRPr="0017212C">
        <w:rPr>
          <w:rFonts w:ascii="Simplified Arabic"/>
          <w:szCs w:val="20"/>
          <w:rtl/>
        </w:rPr>
        <w:t>(</w:t>
      </w:r>
      <w:r w:rsidRPr="00660F34">
        <w:rPr>
          <w:rtl/>
        </w:rPr>
        <w:t>3</w:t>
      </w:r>
      <w:r w:rsidRPr="0017212C">
        <w:rPr>
          <w:rFonts w:ascii="Simplified Arabic"/>
          <w:szCs w:val="20"/>
          <w:rtl/>
        </w:rPr>
        <w:t>)(</w:t>
      </w:r>
      <w:r w:rsidRPr="0017212C">
        <w:rPr>
          <w:rtl/>
        </w:rPr>
        <w:t>أ</w:t>
      </w:r>
      <w:r w:rsidRPr="0017212C">
        <w:rPr>
          <w:rFonts w:ascii="Simplified Arabic"/>
          <w:szCs w:val="20"/>
          <w:rtl/>
        </w:rPr>
        <w:t>)</w:t>
      </w:r>
      <w:r w:rsidRPr="0017212C">
        <w:rPr>
          <w:rtl/>
        </w:rPr>
        <w:t xml:space="preserve"> من العهد، فإن الدولة الطرف ملزمة بتوفير سبيل انتصاف فعال لصاحبة البلاغ. ويقتضي منها ذلك جبراً كاملاً للضرر الذي لحق بالأشخاص الذين انتُهكت حقوقهم المنصوص عليها في العهد. وبناءً على ذلك، فإن الدولة الطرف ملزمة، في جملة أمور، بتقديم تعويض مناسب لصاحبة البلاغ، بما في ذلك تسديد الغرامات وأي تكاليف قانونية تكبدتها صاحبة البلاغ. والدولة الطرف ملزمة أيضاً باتخاذ جميع الخطوات اللازمة لمنع حدوث انتهاكات مماثلة في المستقبل. وفي هذا الصدد، تلاحظ اللجنة أنها تناولت قضايا مماثلة تتعلق بنفس قوانين الدولة الطرف وممارساتها في عدد من البلاغات السابقة، ومن ثم ينبغي للدولة الطرف أن تراجع إطارها المعياري بشأن الأحداث العامة، وفقاً لالتزاماتها بموجب المادة </w:t>
      </w:r>
      <w:r w:rsidRPr="00660F34">
        <w:rPr>
          <w:rtl/>
        </w:rPr>
        <w:t>2</w:t>
      </w:r>
      <w:r w:rsidRPr="0017212C">
        <w:rPr>
          <w:rFonts w:ascii="Simplified Arabic"/>
          <w:szCs w:val="20"/>
          <w:rtl/>
        </w:rPr>
        <w:t>(</w:t>
      </w:r>
      <w:r w:rsidRPr="00660F34">
        <w:rPr>
          <w:rtl/>
        </w:rPr>
        <w:t>2</w:t>
      </w:r>
      <w:r w:rsidR="00793F70" w:rsidRPr="0017212C">
        <w:rPr>
          <w:rFonts w:ascii="Simplified Arabic"/>
          <w:szCs w:val="20"/>
          <w:rtl/>
        </w:rPr>
        <w:t>)</w:t>
      </w:r>
      <w:r w:rsidR="00793F70" w:rsidRPr="0017212C">
        <w:rPr>
          <w:rtl/>
        </w:rPr>
        <w:t xml:space="preserve">، </w:t>
      </w:r>
      <w:r w:rsidRPr="0017212C">
        <w:rPr>
          <w:rtl/>
        </w:rPr>
        <w:t>بغية كفالة التمتع الكامل بالحقوق المنصوص عليها في المادتين</w:t>
      </w:r>
      <w:r w:rsidR="00602E94" w:rsidRPr="0017212C">
        <w:rPr>
          <w:rFonts w:hint="cs"/>
          <w:rtl/>
        </w:rPr>
        <w:t> </w:t>
      </w:r>
      <w:r w:rsidRPr="00660F34">
        <w:rPr>
          <w:rtl/>
        </w:rPr>
        <w:t>19</w:t>
      </w:r>
      <w:r w:rsidRPr="0017212C">
        <w:rPr>
          <w:rtl/>
        </w:rPr>
        <w:t xml:space="preserve"> و</w:t>
      </w:r>
      <w:r w:rsidRPr="00660F34">
        <w:rPr>
          <w:rtl/>
        </w:rPr>
        <w:t>21</w:t>
      </w:r>
      <w:r w:rsidRPr="0017212C">
        <w:rPr>
          <w:rtl/>
        </w:rPr>
        <w:t xml:space="preserve"> من العهد في الدولة الطرف.</w:t>
      </w:r>
    </w:p>
    <w:p w14:paraId="091E476C" w14:textId="10F6CB66" w:rsidR="00DB1848" w:rsidRPr="0017212C" w:rsidRDefault="00DB1848" w:rsidP="00DB1848">
      <w:pPr>
        <w:pStyle w:val="SingleTxtGA"/>
        <w:rPr>
          <w:rFonts w:eastAsia="MS Mincho"/>
          <w:szCs w:val="20"/>
          <w:lang w:val="ar-SA" w:eastAsia="zh-TW" w:bidi="en-GB"/>
        </w:rPr>
      </w:pPr>
      <w:r w:rsidRPr="00660F34">
        <w:rPr>
          <w:rtl/>
        </w:rPr>
        <w:t>10</w:t>
      </w:r>
      <w:r w:rsidRPr="0017212C">
        <w:rPr>
          <w:rFonts w:ascii="Simplified Arabic"/>
          <w:szCs w:val="20"/>
          <w:rtl/>
        </w:rPr>
        <w:t>-</w:t>
      </w:r>
      <w:r w:rsidRPr="0017212C">
        <w:rPr>
          <w:rtl/>
        </w:rPr>
        <w:tab/>
        <w:t xml:space="preserve">وإذ تضع اللجنة في اعتبارها أن الدولة الطرف، بانضمامها إلى البروتوكول الاختياري، قد اعترفت باختصاص اللجنة بتحديد ما إذا كان قد حدث انتهاك للعهد أم لا، وأنها تعهدت، عملاً بالمادة </w:t>
      </w:r>
      <w:r w:rsidRPr="00660F34">
        <w:rPr>
          <w:rtl/>
        </w:rPr>
        <w:t>2</w:t>
      </w:r>
      <w:r w:rsidRPr="0017212C">
        <w:rPr>
          <w:rtl/>
        </w:rPr>
        <w:t xml:space="preserve"> منه، بأن تكفل تمتع جميع الأفراد داخل إقليمها والخاضعين لولايتها بالحقوق المعترف بها في العهد وتوفر</w:t>
      </w:r>
      <w:r w:rsidR="00662AE8" w:rsidRPr="0017212C">
        <w:rPr>
          <w:rFonts w:hint="cs"/>
          <w:rtl/>
        </w:rPr>
        <w:t> </w:t>
      </w:r>
      <w:r w:rsidRPr="0017212C">
        <w:rPr>
          <w:rtl/>
        </w:rPr>
        <w:t xml:space="preserve">لهم سبيل انتصاف فعالاً وقابلاً للإنفاذ متى ثبت وقوع انتهاك، تودّ أن تتلقى من الدولة الطرف في غضون </w:t>
      </w:r>
      <w:r w:rsidRPr="00660F34">
        <w:rPr>
          <w:rtl/>
        </w:rPr>
        <w:t>180</w:t>
      </w:r>
      <w:r w:rsidRPr="0017212C">
        <w:rPr>
          <w:rtl/>
        </w:rPr>
        <w:t xml:space="preserve"> يوماً معلومات عن التدابير المتخذة لإنفاذ آراء اللجنة. ويُطلب إلى الدولة الطرف أيضاً أن تنشر هذه الآراء وأن تعممها على نطاق واسع بلغاتها الرسمية.</w:t>
      </w:r>
    </w:p>
    <w:p w14:paraId="69A6B294" w14:textId="77777777" w:rsidR="00DB1848" w:rsidRPr="0017212C" w:rsidRDefault="00DB1848" w:rsidP="00DB1848">
      <w:pPr>
        <w:spacing w:before="240"/>
        <w:ind w:left="1134" w:right="1134"/>
        <w:jc w:val="center"/>
      </w:pPr>
      <w:r w:rsidRPr="0017212C">
        <w:rPr>
          <w:rFonts w:eastAsia="MS Mincho"/>
          <w:u w:val="single"/>
        </w:rPr>
        <w:tab/>
      </w:r>
      <w:r w:rsidRPr="0017212C">
        <w:rPr>
          <w:rFonts w:eastAsia="MS Mincho"/>
          <w:u w:val="single"/>
        </w:rPr>
        <w:tab/>
      </w:r>
      <w:r w:rsidRPr="0017212C">
        <w:rPr>
          <w:rFonts w:eastAsia="MS Mincho"/>
          <w:u w:val="single"/>
        </w:rPr>
        <w:tab/>
      </w:r>
      <w:r w:rsidRPr="0017212C">
        <w:rPr>
          <w:rFonts w:eastAsia="MS Mincho"/>
          <w:u w:val="single"/>
        </w:rPr>
        <w:tab/>
      </w:r>
    </w:p>
    <w:sectPr w:rsidR="00DB1848" w:rsidRPr="0017212C" w:rsidSect="00DC6C3C">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3B7E7" w14:textId="77777777" w:rsidR="00F927F5" w:rsidRPr="002901D9" w:rsidRDefault="00F927F5" w:rsidP="00DC4D4B">
      <w:pPr>
        <w:spacing w:after="60" w:line="240" w:lineRule="auto"/>
        <w:ind w:left="57"/>
        <w:rPr>
          <w:i/>
          <w:iCs/>
        </w:rPr>
      </w:pPr>
      <w:r>
        <w:rPr>
          <w:rFonts w:hint="cs"/>
          <w:i/>
          <w:iCs/>
          <w:rtl/>
        </w:rPr>
        <w:t>الحواشي</w:t>
      </w:r>
    </w:p>
  </w:endnote>
  <w:endnote w:type="continuationSeparator" w:id="0">
    <w:p w14:paraId="60F97932" w14:textId="77777777" w:rsidR="00F927F5" w:rsidRDefault="00F927F5"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54DBF" w14:textId="0E935663" w:rsidR="00D20D99" w:rsidRPr="00D20D99" w:rsidRDefault="00D20D99" w:rsidP="00D20D99">
    <w:pPr>
      <w:pStyle w:val="Footer"/>
      <w:tabs>
        <w:tab w:val="right" w:pos="9638"/>
      </w:tabs>
      <w:rPr>
        <w:b/>
        <w:sz w:val="18"/>
        <w:lang w:val="en-US"/>
      </w:rPr>
    </w:pPr>
    <w:r>
      <w:rPr>
        <w:lang w:val="en-US"/>
      </w:rPr>
      <w:t>GE.22-25916</w:t>
    </w:r>
    <w:r>
      <w:rPr>
        <w:lang w:val="en-US"/>
      </w:rPr>
      <w:tab/>
    </w:r>
    <w:r w:rsidRPr="00D20D99">
      <w:rPr>
        <w:b/>
        <w:sz w:val="18"/>
        <w:lang w:val="en-US"/>
      </w:rPr>
      <w:fldChar w:fldCharType="begin"/>
    </w:r>
    <w:r w:rsidRPr="00D20D99">
      <w:rPr>
        <w:b/>
        <w:sz w:val="18"/>
        <w:lang w:val="en-US"/>
      </w:rPr>
      <w:instrText xml:space="preserve"> PAGE  \* MERGEFORMAT </w:instrText>
    </w:r>
    <w:r w:rsidRPr="00D20D99">
      <w:rPr>
        <w:b/>
        <w:sz w:val="18"/>
        <w:lang w:val="en-US"/>
      </w:rPr>
      <w:fldChar w:fldCharType="separate"/>
    </w:r>
    <w:r w:rsidRPr="00D20D99">
      <w:rPr>
        <w:b/>
        <w:noProof/>
        <w:sz w:val="18"/>
        <w:lang w:val="en-US"/>
      </w:rPr>
      <w:t>2</w:t>
    </w:r>
    <w:r w:rsidRPr="00D20D99">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44A3E" w14:textId="10C9FFCB" w:rsidR="006959B0" w:rsidRPr="00D20D99" w:rsidRDefault="00D20D99" w:rsidP="00D20D99">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GE.22-25916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F8173" w14:textId="4A8463F7" w:rsidR="00DE50B1" w:rsidRPr="00D20D99" w:rsidRDefault="00D20D99" w:rsidP="00D20D99">
    <w:pPr>
      <w:pStyle w:val="Footer"/>
      <w:spacing w:before="600"/>
      <w:ind w:left="567"/>
      <w:jc w:val="right"/>
      <w:rPr>
        <w:sz w:val="20"/>
        <w:lang w:val="en-US"/>
      </w:rPr>
    </w:pPr>
    <w:r>
      <w:rPr>
        <w:sz w:val="20"/>
        <w:lang w:val="en-US"/>
      </w:rPr>
      <w:t>GE.</w:t>
    </w:r>
    <w:r w:rsidR="00652221">
      <w:rPr>
        <w:noProof/>
      </w:rPr>
      <w:drawing>
        <wp:anchor distT="0" distB="0" distL="114300" distR="114300" simplePos="0" relativeHeight="251658240" behindDoc="1" locked="1" layoutInCell="0" allowOverlap="1" wp14:anchorId="09F48BB0" wp14:editId="3C7C2992">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22-25916 (A)</w:t>
    </w:r>
    <w:r>
      <w:rPr>
        <w:noProof/>
        <w:sz w:val="20"/>
        <w:lang w:val="en-US"/>
      </w:rPr>
      <w:drawing>
        <wp:anchor distT="0" distB="0" distL="114300" distR="114300" simplePos="0" relativeHeight="251659264" behindDoc="0" locked="0" layoutInCell="1" allowOverlap="1" wp14:anchorId="7C7AA327" wp14:editId="4B1608A2">
          <wp:simplePos x="0" y="0"/>
          <wp:positionH relativeFrom="margin">
            <wp:posOffset>0</wp:posOffset>
          </wp:positionH>
          <wp:positionV relativeFrom="margin">
            <wp:posOffset>8891905</wp:posOffset>
          </wp:positionV>
          <wp:extent cx="638175" cy="6381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13B8F" w14:textId="77777777" w:rsidR="00F927F5" w:rsidRPr="000437B8" w:rsidRDefault="00F927F5" w:rsidP="00F10DAB">
      <w:pPr>
        <w:pStyle w:val="Footer"/>
        <w:bidi/>
        <w:spacing w:after="80" w:line="200" w:lineRule="exact"/>
        <w:ind w:left="680"/>
      </w:pPr>
      <w:r>
        <w:rPr>
          <w:rtl/>
        </w:rPr>
        <w:t>__________</w:t>
      </w:r>
    </w:p>
  </w:footnote>
  <w:footnote w:type="continuationSeparator" w:id="0">
    <w:p w14:paraId="3001F5B8" w14:textId="77777777" w:rsidR="00F927F5" w:rsidRDefault="00F927F5" w:rsidP="00656392">
      <w:pPr>
        <w:spacing w:line="240" w:lineRule="auto"/>
      </w:pPr>
      <w:r>
        <w:continuationSeparator/>
      </w:r>
    </w:p>
  </w:footnote>
  <w:footnote w:id="1">
    <w:p w14:paraId="6C467F5B" w14:textId="1DCBB796" w:rsidR="00BC6503" w:rsidRPr="00422EC7" w:rsidRDefault="00BC6503" w:rsidP="00662AE8">
      <w:pPr>
        <w:pStyle w:val="FootnoteText1"/>
        <w:rPr>
          <w:rtl/>
        </w:rPr>
      </w:pPr>
      <w:r w:rsidRPr="00422EC7">
        <w:rPr>
          <w:rtl/>
        </w:rPr>
        <w:t>*</w:t>
      </w:r>
      <w:r w:rsidRPr="00422EC7">
        <w:rPr>
          <w:rtl/>
        </w:rPr>
        <w:tab/>
        <w:t xml:space="preserve">اعتمدتها اللجنة في دورتها </w:t>
      </w:r>
      <w:r w:rsidRPr="00660F34">
        <w:rPr>
          <w:rtl/>
        </w:rPr>
        <w:t>135</w:t>
      </w:r>
      <w:r w:rsidRPr="00422EC7">
        <w:rPr>
          <w:rtl/>
        </w:rPr>
        <w:t xml:space="preserve"> (</w:t>
      </w:r>
      <w:r w:rsidRPr="00660F34">
        <w:rPr>
          <w:rtl/>
        </w:rPr>
        <w:t>27</w:t>
      </w:r>
      <w:r w:rsidRPr="00422EC7">
        <w:rPr>
          <w:rtl/>
        </w:rPr>
        <w:t xml:space="preserve"> حزيران/يونيه - </w:t>
      </w:r>
      <w:r w:rsidRPr="00660F34">
        <w:rPr>
          <w:rtl/>
        </w:rPr>
        <w:t>27</w:t>
      </w:r>
      <w:r w:rsidRPr="00422EC7">
        <w:rPr>
          <w:rtl/>
        </w:rPr>
        <w:t xml:space="preserve"> تموز/يوليه </w:t>
      </w:r>
      <w:r w:rsidRPr="00660F34">
        <w:rPr>
          <w:rtl/>
        </w:rPr>
        <w:t>2022</w:t>
      </w:r>
      <w:r w:rsidR="00793F70" w:rsidRPr="00422EC7">
        <w:rPr>
          <w:rtl/>
        </w:rPr>
        <w:t xml:space="preserve">). </w:t>
      </w:r>
    </w:p>
  </w:footnote>
  <w:footnote w:id="2">
    <w:p w14:paraId="4A58AE41" w14:textId="67F5D00F" w:rsidR="00BC6503" w:rsidRPr="00422EC7" w:rsidRDefault="00BC6503" w:rsidP="00662AE8">
      <w:pPr>
        <w:pStyle w:val="FootnoteText1"/>
        <w:rPr>
          <w:rtl/>
        </w:rPr>
      </w:pPr>
      <w:r w:rsidRPr="00422EC7">
        <w:rPr>
          <w:rtl/>
        </w:rPr>
        <w:t>**</w:t>
      </w:r>
      <w:r w:rsidRPr="00422EC7">
        <w:rPr>
          <w:rtl/>
        </w:rPr>
        <w:tab/>
        <w:t>شارك في دراسة البلاغ أعضاء اللجنة التالية أسماؤهم: تانيا ماريا عبدو روشول، ووفاء أشرف محرم بسيم، وعياض بن عاشور، وعارف بلقان، والمحجوب الهيبة، وفورويا شويتشي، وكارلوس غوميث مارتينيث، ومارسيا ف. ج. كران، ودانكان لاكي موهوموزا، وفوتيني بزارتزيس، وهيرنان كيسادا كابريرا، وفاسيلكا سانسين، وخوسيه مانويل سانتوس بيس، وسوه تشانغروك، وكوباوياه تشامدجا كباتشا، وإيلين تيغرودجا، وإيميرو تامرات إغيزو، وجينتيان زبيري</w:t>
      </w:r>
      <w:r w:rsidR="00793F70" w:rsidRPr="00422EC7">
        <w:rPr>
          <w:rtl/>
        </w:rPr>
        <w:t xml:space="preserve">. </w:t>
      </w:r>
    </w:p>
  </w:footnote>
  <w:footnote w:id="3">
    <w:p w14:paraId="0898E886" w14:textId="77777777" w:rsidR="00793F70" w:rsidRPr="00422EC7" w:rsidRDefault="00793F70" w:rsidP="00662AE8">
      <w:pPr>
        <w:pStyle w:val="FootnoteText"/>
        <w:tabs>
          <w:tab w:val="clear" w:pos="1021"/>
        </w:tabs>
        <w:bidi/>
        <w:spacing w:after="60" w:line="280" w:lineRule="exact"/>
        <w:ind w:left="1247" w:right="1247" w:hanging="567"/>
        <w:jc w:val="lowKashida"/>
        <w:textDirection w:val="tbRlV"/>
        <w:rPr>
          <w:szCs w:val="18"/>
          <w:lang w:val="ar-SA" w:eastAsia="zh-TW" w:bidi="en-GB"/>
        </w:rPr>
      </w:pPr>
      <w:r w:rsidRPr="00422EC7">
        <w:rPr>
          <w:rStyle w:val="FootnoteReference"/>
          <w:vertAlign w:val="baseline"/>
          <w:rtl/>
        </w:rPr>
        <w:t>(</w:t>
      </w:r>
      <w:r w:rsidRPr="00660F34">
        <w:rPr>
          <w:rStyle w:val="FootnoteReference"/>
          <w:vertAlign w:val="baseline"/>
        </w:rPr>
        <w:footnoteRef/>
      </w:r>
      <w:r w:rsidRPr="00422EC7">
        <w:rPr>
          <w:rStyle w:val="FootnoteReference"/>
          <w:vertAlign w:val="baseline"/>
          <w:rtl/>
        </w:rPr>
        <w:t>)</w:t>
      </w:r>
      <w:r w:rsidRPr="00422EC7">
        <w:rPr>
          <w:szCs w:val="18"/>
          <w:rtl/>
        </w:rPr>
        <w:tab/>
        <w:t xml:space="preserve">مثل صاحبة البلاغ محام منذ تقديم ملاحظات الدولة الطرف بشأن المقبولية والأسس الموضوعية. </w:t>
      </w:r>
    </w:p>
  </w:footnote>
  <w:footnote w:id="4">
    <w:p w14:paraId="2005B6C5" w14:textId="77777777" w:rsidR="00793F70" w:rsidRPr="00422EC7" w:rsidRDefault="00793F70" w:rsidP="00662AE8">
      <w:pPr>
        <w:pStyle w:val="FootnoteText"/>
        <w:tabs>
          <w:tab w:val="clear" w:pos="1021"/>
        </w:tabs>
        <w:bidi/>
        <w:spacing w:after="60" w:line="280" w:lineRule="exact"/>
        <w:ind w:left="1247" w:right="1247" w:hanging="567"/>
        <w:jc w:val="lowKashida"/>
        <w:textDirection w:val="tbRlV"/>
        <w:rPr>
          <w:szCs w:val="18"/>
          <w:lang w:val="ar-SA" w:eastAsia="zh-TW" w:bidi="en-GB"/>
        </w:rPr>
      </w:pPr>
      <w:r w:rsidRPr="00422EC7">
        <w:rPr>
          <w:rStyle w:val="FootnoteReference"/>
          <w:vertAlign w:val="baseline"/>
          <w:rtl/>
        </w:rPr>
        <w:t>(</w:t>
      </w:r>
      <w:r w:rsidRPr="00660F34">
        <w:rPr>
          <w:rStyle w:val="FootnoteReference"/>
          <w:vertAlign w:val="baseline"/>
        </w:rPr>
        <w:footnoteRef/>
      </w:r>
      <w:r w:rsidRPr="00422EC7">
        <w:rPr>
          <w:rStyle w:val="FootnoteReference"/>
          <w:vertAlign w:val="baseline"/>
          <w:rtl/>
        </w:rPr>
        <w:t>)</w:t>
      </w:r>
      <w:r w:rsidRPr="00422EC7">
        <w:rPr>
          <w:szCs w:val="18"/>
          <w:rtl/>
        </w:rPr>
        <w:tab/>
        <w:t xml:space="preserve">كان هذا المبلغ يعادل وقت انعقاد الجلسة الإدارية حوالي </w:t>
      </w:r>
      <w:r w:rsidRPr="00660F34">
        <w:rPr>
          <w:rFonts w:ascii="Simplified Arabic"/>
          <w:szCs w:val="18"/>
          <w:rtl/>
        </w:rPr>
        <w:t>122</w:t>
      </w:r>
      <w:r w:rsidRPr="00422EC7">
        <w:rPr>
          <w:szCs w:val="18"/>
          <w:rtl/>
        </w:rPr>
        <w:t xml:space="preserve"> دولاراً. </w:t>
      </w:r>
    </w:p>
  </w:footnote>
  <w:footnote w:id="5">
    <w:p w14:paraId="6B5F1281" w14:textId="77777777" w:rsidR="00793F70" w:rsidRPr="00422EC7" w:rsidRDefault="00793F70" w:rsidP="00662AE8">
      <w:pPr>
        <w:pStyle w:val="FootnoteText"/>
        <w:tabs>
          <w:tab w:val="clear" w:pos="1021"/>
        </w:tabs>
        <w:bidi/>
        <w:spacing w:after="60" w:line="280" w:lineRule="exact"/>
        <w:ind w:left="1247" w:right="1247" w:hanging="567"/>
        <w:jc w:val="lowKashida"/>
        <w:textDirection w:val="tbRlV"/>
        <w:rPr>
          <w:szCs w:val="18"/>
          <w:lang w:val="ar-SA" w:eastAsia="zh-TW" w:bidi="en-GB"/>
        </w:rPr>
      </w:pPr>
      <w:r w:rsidRPr="00422EC7">
        <w:rPr>
          <w:rStyle w:val="FootnoteReference"/>
          <w:vertAlign w:val="baseline"/>
          <w:rtl/>
        </w:rPr>
        <w:t>(</w:t>
      </w:r>
      <w:r w:rsidRPr="00660F34">
        <w:rPr>
          <w:rStyle w:val="FootnoteReference"/>
          <w:vertAlign w:val="baseline"/>
        </w:rPr>
        <w:footnoteRef/>
      </w:r>
      <w:r w:rsidRPr="00422EC7">
        <w:rPr>
          <w:rStyle w:val="FootnoteReference"/>
          <w:vertAlign w:val="baseline"/>
          <w:rtl/>
        </w:rPr>
        <w:t>)</w:t>
      </w:r>
      <w:r w:rsidRPr="00422EC7">
        <w:rPr>
          <w:szCs w:val="18"/>
          <w:rtl/>
        </w:rPr>
        <w:tab/>
        <w:t xml:space="preserve">كان هذا المبلغ يعادل وقت انعقاد الجلسة الإدارية حوالي </w:t>
      </w:r>
      <w:r w:rsidRPr="00660F34">
        <w:rPr>
          <w:rFonts w:ascii="Simplified Arabic"/>
          <w:szCs w:val="18"/>
          <w:rtl/>
        </w:rPr>
        <w:t>209</w:t>
      </w:r>
      <w:r w:rsidRPr="00422EC7">
        <w:rPr>
          <w:szCs w:val="18"/>
          <w:rtl/>
        </w:rPr>
        <w:t xml:space="preserve"> دولارات. </w:t>
      </w:r>
    </w:p>
  </w:footnote>
  <w:footnote w:id="6">
    <w:p w14:paraId="7D6AB053" w14:textId="77777777" w:rsidR="00793F70" w:rsidRPr="00422EC7" w:rsidRDefault="00793F70" w:rsidP="00793F70">
      <w:pPr>
        <w:pStyle w:val="FootnoteText"/>
        <w:tabs>
          <w:tab w:val="clear" w:pos="1021"/>
        </w:tabs>
        <w:bidi/>
        <w:spacing w:after="60" w:line="280" w:lineRule="exact"/>
        <w:ind w:left="1247" w:right="1247" w:hanging="567"/>
        <w:jc w:val="lowKashida"/>
        <w:textDirection w:val="tbRlV"/>
        <w:rPr>
          <w:szCs w:val="18"/>
          <w:lang w:eastAsia="zh-TW" w:bidi="en-GB"/>
        </w:rPr>
      </w:pPr>
      <w:r w:rsidRPr="00422EC7">
        <w:rPr>
          <w:rStyle w:val="FootnoteReference"/>
          <w:vertAlign w:val="baseline"/>
          <w:rtl/>
        </w:rPr>
        <w:t>(</w:t>
      </w:r>
      <w:r w:rsidRPr="00660F34">
        <w:rPr>
          <w:rStyle w:val="FootnoteReference"/>
          <w:vertAlign w:val="baseline"/>
        </w:rPr>
        <w:footnoteRef/>
      </w:r>
      <w:r w:rsidRPr="00422EC7">
        <w:rPr>
          <w:rStyle w:val="FootnoteReference"/>
          <w:vertAlign w:val="baseline"/>
          <w:rtl/>
        </w:rPr>
        <w:t>)</w:t>
      </w:r>
      <w:r w:rsidRPr="00422EC7">
        <w:rPr>
          <w:szCs w:val="18"/>
          <w:rtl/>
        </w:rPr>
        <w:tab/>
        <w:t xml:space="preserve">ترِد الإشارة إلى </w:t>
      </w:r>
      <w:r w:rsidRPr="00660F34">
        <w:rPr>
          <w:i/>
          <w:iCs/>
          <w:szCs w:val="18"/>
          <w:rtl/>
        </w:rPr>
        <w:t>شوميلين ضد بيلاروس</w:t>
      </w:r>
      <w:r w:rsidRPr="00422EC7">
        <w:rPr>
          <w:szCs w:val="18"/>
          <w:rtl/>
        </w:rPr>
        <w:t xml:space="preserve"> </w:t>
      </w:r>
      <w:r w:rsidRPr="00422EC7">
        <w:rPr>
          <w:rFonts w:ascii="Simplified Arabic"/>
          <w:szCs w:val="18"/>
          <w:rtl/>
        </w:rPr>
        <w:t>(</w:t>
      </w:r>
      <w:hyperlink r:id="rId1" w:history="1">
        <w:r w:rsidRPr="00422EC7">
          <w:rPr>
            <w:rStyle w:val="Hyperlink"/>
          </w:rPr>
          <w:t>CCPR/C/</w:t>
        </w:r>
        <w:r w:rsidRPr="00660F34">
          <w:rPr>
            <w:rStyle w:val="Hyperlink"/>
          </w:rPr>
          <w:t>105</w:t>
        </w:r>
        <w:r w:rsidRPr="00422EC7">
          <w:rPr>
            <w:rStyle w:val="Hyperlink"/>
          </w:rPr>
          <w:t>/D/</w:t>
        </w:r>
        <w:r w:rsidRPr="00660F34">
          <w:rPr>
            <w:rStyle w:val="Hyperlink"/>
          </w:rPr>
          <w:t>1784</w:t>
        </w:r>
        <w:r w:rsidRPr="00422EC7">
          <w:rPr>
            <w:rStyle w:val="Hyperlink"/>
          </w:rPr>
          <w:t>/</w:t>
        </w:r>
        <w:r w:rsidRPr="00660F34">
          <w:rPr>
            <w:rStyle w:val="Hyperlink"/>
          </w:rPr>
          <w:t>2008</w:t>
        </w:r>
      </w:hyperlink>
      <w:r w:rsidRPr="00422EC7">
        <w:rPr>
          <w:rFonts w:ascii="Simplified Arabic"/>
          <w:szCs w:val="18"/>
          <w:rtl/>
        </w:rPr>
        <w:t>)</w:t>
      </w:r>
      <w:r w:rsidRPr="00422EC7">
        <w:rPr>
          <w:szCs w:val="18"/>
          <w:rtl/>
        </w:rPr>
        <w:t xml:space="preserve">، الفقرة </w:t>
      </w:r>
      <w:r w:rsidRPr="00660F34">
        <w:rPr>
          <w:rFonts w:ascii="Simplified Arabic"/>
          <w:szCs w:val="18"/>
          <w:rtl/>
        </w:rPr>
        <w:t>8</w:t>
      </w:r>
      <w:r w:rsidRPr="00422EC7">
        <w:rPr>
          <w:rFonts w:ascii="Simplified Arabic"/>
          <w:szCs w:val="18"/>
          <w:rtl/>
        </w:rPr>
        <w:t>-</w:t>
      </w:r>
      <w:r w:rsidRPr="00660F34">
        <w:rPr>
          <w:rFonts w:ascii="Simplified Arabic"/>
          <w:szCs w:val="18"/>
          <w:rtl/>
        </w:rPr>
        <w:t>3</w:t>
      </w:r>
      <w:r w:rsidRPr="00422EC7">
        <w:rPr>
          <w:szCs w:val="18"/>
          <w:rtl/>
        </w:rPr>
        <w:t xml:space="preserve">. </w:t>
      </w:r>
    </w:p>
  </w:footnote>
  <w:footnote w:id="7">
    <w:p w14:paraId="240D0DC9" w14:textId="77777777" w:rsidR="00793F70" w:rsidRPr="00422EC7" w:rsidRDefault="00793F70" w:rsidP="00793F70">
      <w:pPr>
        <w:pStyle w:val="FootnoteText"/>
        <w:tabs>
          <w:tab w:val="clear" w:pos="1021"/>
        </w:tabs>
        <w:bidi/>
        <w:spacing w:after="60" w:line="280" w:lineRule="exact"/>
        <w:ind w:left="1247" w:right="1247" w:hanging="567"/>
        <w:jc w:val="lowKashida"/>
        <w:textDirection w:val="tbRlV"/>
        <w:rPr>
          <w:szCs w:val="18"/>
          <w:lang w:val="ar-SA" w:eastAsia="zh-TW" w:bidi="en-GB"/>
        </w:rPr>
      </w:pPr>
      <w:r w:rsidRPr="00422EC7">
        <w:rPr>
          <w:rStyle w:val="FootnoteReference"/>
          <w:vertAlign w:val="baseline"/>
          <w:rtl/>
        </w:rPr>
        <w:t>(</w:t>
      </w:r>
      <w:r w:rsidRPr="00660F34">
        <w:rPr>
          <w:rStyle w:val="FootnoteReference"/>
          <w:vertAlign w:val="baseline"/>
        </w:rPr>
        <w:footnoteRef/>
      </w:r>
      <w:r w:rsidRPr="00422EC7">
        <w:rPr>
          <w:rStyle w:val="FootnoteReference"/>
          <w:vertAlign w:val="baseline"/>
          <w:rtl/>
        </w:rPr>
        <w:t>)</w:t>
      </w:r>
      <w:r w:rsidRPr="00422EC7">
        <w:rPr>
          <w:szCs w:val="18"/>
          <w:rtl/>
        </w:rPr>
        <w:tab/>
        <w:t xml:space="preserve">ترِد الإشارة إلى </w:t>
      </w:r>
      <w:r w:rsidRPr="00660F34">
        <w:rPr>
          <w:i/>
          <w:iCs/>
          <w:szCs w:val="18"/>
          <w:rtl/>
        </w:rPr>
        <w:t>إيسكياييف ضد أوزبكستان</w:t>
      </w:r>
      <w:r w:rsidRPr="00422EC7">
        <w:rPr>
          <w:szCs w:val="18"/>
          <w:rtl/>
        </w:rPr>
        <w:t xml:space="preserve"> </w:t>
      </w:r>
      <w:r w:rsidRPr="00422EC7">
        <w:rPr>
          <w:rFonts w:ascii="Simplified Arabic"/>
          <w:szCs w:val="18"/>
          <w:rtl/>
        </w:rPr>
        <w:t>(</w:t>
      </w:r>
      <w:hyperlink r:id="rId2" w:history="1">
        <w:r w:rsidRPr="00422EC7">
          <w:rPr>
            <w:rStyle w:val="Hyperlink"/>
          </w:rPr>
          <w:t>CCPR/C/</w:t>
        </w:r>
        <w:r w:rsidRPr="00660F34">
          <w:rPr>
            <w:rStyle w:val="Hyperlink"/>
          </w:rPr>
          <w:t>95</w:t>
        </w:r>
        <w:r w:rsidRPr="00422EC7">
          <w:rPr>
            <w:rStyle w:val="Hyperlink"/>
          </w:rPr>
          <w:t>/D/</w:t>
        </w:r>
        <w:r w:rsidRPr="00660F34">
          <w:rPr>
            <w:rStyle w:val="Hyperlink"/>
          </w:rPr>
          <w:t>1418</w:t>
        </w:r>
        <w:r w:rsidRPr="00422EC7">
          <w:rPr>
            <w:rStyle w:val="Hyperlink"/>
          </w:rPr>
          <w:t>/</w:t>
        </w:r>
        <w:r w:rsidRPr="00660F34">
          <w:rPr>
            <w:rStyle w:val="Hyperlink"/>
          </w:rPr>
          <w:t>2005</w:t>
        </w:r>
      </w:hyperlink>
      <w:r w:rsidRPr="00422EC7">
        <w:rPr>
          <w:rFonts w:ascii="Simplified Arabic"/>
          <w:szCs w:val="18"/>
          <w:rtl/>
        </w:rPr>
        <w:t>)</w:t>
      </w:r>
      <w:r w:rsidRPr="00422EC7">
        <w:rPr>
          <w:szCs w:val="18"/>
          <w:rtl/>
        </w:rPr>
        <w:t xml:space="preserve">، الفقرة </w:t>
      </w:r>
      <w:r w:rsidRPr="00660F34">
        <w:rPr>
          <w:rFonts w:ascii="Simplified Arabic"/>
          <w:szCs w:val="18"/>
          <w:rtl/>
        </w:rPr>
        <w:t>6</w:t>
      </w:r>
      <w:r w:rsidRPr="00422EC7">
        <w:rPr>
          <w:rFonts w:ascii="Simplified Arabic"/>
          <w:szCs w:val="18"/>
          <w:rtl/>
        </w:rPr>
        <w:t>-</w:t>
      </w:r>
      <w:r w:rsidRPr="00660F34">
        <w:rPr>
          <w:rFonts w:ascii="Simplified Arabic"/>
          <w:szCs w:val="18"/>
          <w:rtl/>
        </w:rPr>
        <w:t>1</w:t>
      </w:r>
      <w:r w:rsidRPr="00422EC7">
        <w:rPr>
          <w:szCs w:val="18"/>
          <w:rtl/>
        </w:rPr>
        <w:t xml:space="preserve">. </w:t>
      </w:r>
    </w:p>
  </w:footnote>
  <w:footnote w:id="8">
    <w:p w14:paraId="4B723B01" w14:textId="77777777" w:rsidR="00793F70" w:rsidRPr="00422EC7" w:rsidRDefault="00793F70" w:rsidP="00660F34">
      <w:pPr>
        <w:pStyle w:val="FootnoteText"/>
        <w:tabs>
          <w:tab w:val="clear" w:pos="1021"/>
        </w:tabs>
        <w:bidi/>
        <w:spacing w:after="60" w:line="280" w:lineRule="exact"/>
        <w:ind w:left="1247" w:right="1247" w:hanging="567"/>
        <w:jc w:val="left"/>
        <w:textDirection w:val="tbRlV"/>
        <w:rPr>
          <w:spacing w:val="-2"/>
          <w:szCs w:val="18"/>
          <w:lang w:eastAsia="zh-TW" w:bidi="en-GB"/>
        </w:rPr>
      </w:pPr>
      <w:r w:rsidRPr="00422EC7">
        <w:rPr>
          <w:rStyle w:val="FootnoteReference"/>
          <w:vertAlign w:val="baseline"/>
          <w:rtl/>
        </w:rPr>
        <w:t>(</w:t>
      </w:r>
      <w:r w:rsidRPr="00660F34">
        <w:rPr>
          <w:rStyle w:val="FootnoteReference"/>
          <w:vertAlign w:val="baseline"/>
        </w:rPr>
        <w:footnoteRef/>
      </w:r>
      <w:r w:rsidRPr="00422EC7">
        <w:rPr>
          <w:rStyle w:val="FootnoteReference"/>
          <w:vertAlign w:val="baseline"/>
          <w:rtl/>
        </w:rPr>
        <w:t>)</w:t>
      </w:r>
      <w:r w:rsidRPr="00422EC7">
        <w:rPr>
          <w:szCs w:val="18"/>
          <w:rtl/>
        </w:rPr>
        <w:tab/>
      </w:r>
      <w:r w:rsidRPr="00660F34">
        <w:rPr>
          <w:i/>
          <w:iCs/>
          <w:szCs w:val="18"/>
          <w:rtl/>
        </w:rPr>
        <w:t>أليكسييف ضد الاتحاد الروسي</w:t>
      </w:r>
      <w:r w:rsidRPr="00422EC7">
        <w:rPr>
          <w:szCs w:val="18"/>
          <w:rtl/>
        </w:rPr>
        <w:t xml:space="preserve"> </w:t>
      </w:r>
      <w:r w:rsidRPr="00422EC7">
        <w:rPr>
          <w:rFonts w:ascii="Simplified Arabic"/>
          <w:szCs w:val="18"/>
          <w:rtl/>
        </w:rPr>
        <w:t>(</w:t>
      </w:r>
      <w:hyperlink r:id="rId3" w:history="1">
        <w:r w:rsidRPr="00422EC7">
          <w:rPr>
            <w:rStyle w:val="Hyperlink"/>
          </w:rPr>
          <w:t>CCPR/C/</w:t>
        </w:r>
        <w:r w:rsidRPr="00660F34">
          <w:rPr>
            <w:rStyle w:val="Hyperlink"/>
          </w:rPr>
          <w:t>109</w:t>
        </w:r>
        <w:r w:rsidRPr="00422EC7">
          <w:rPr>
            <w:rStyle w:val="Hyperlink"/>
          </w:rPr>
          <w:t>/D/</w:t>
        </w:r>
        <w:r w:rsidRPr="00660F34">
          <w:rPr>
            <w:rStyle w:val="Hyperlink"/>
          </w:rPr>
          <w:t>1873</w:t>
        </w:r>
        <w:r w:rsidRPr="00422EC7">
          <w:rPr>
            <w:rStyle w:val="Hyperlink"/>
          </w:rPr>
          <w:t>/</w:t>
        </w:r>
        <w:r w:rsidRPr="00660F34">
          <w:rPr>
            <w:rStyle w:val="Hyperlink"/>
          </w:rPr>
          <w:t>2009</w:t>
        </w:r>
      </w:hyperlink>
      <w:r w:rsidRPr="00422EC7">
        <w:rPr>
          <w:rFonts w:ascii="Simplified Arabic"/>
          <w:szCs w:val="18"/>
          <w:rtl/>
        </w:rPr>
        <w:t>)</w:t>
      </w:r>
      <w:r w:rsidRPr="00422EC7">
        <w:rPr>
          <w:szCs w:val="18"/>
          <w:rtl/>
        </w:rPr>
        <w:t xml:space="preserve">، الفقرة </w:t>
      </w:r>
      <w:r w:rsidRPr="00660F34">
        <w:rPr>
          <w:rFonts w:ascii="Simplified Arabic"/>
          <w:szCs w:val="18"/>
          <w:rtl/>
        </w:rPr>
        <w:t>8</w:t>
      </w:r>
      <w:r w:rsidRPr="00422EC7">
        <w:rPr>
          <w:rFonts w:ascii="Simplified Arabic"/>
          <w:szCs w:val="18"/>
          <w:rtl/>
        </w:rPr>
        <w:t>-</w:t>
      </w:r>
      <w:r w:rsidRPr="00660F34">
        <w:rPr>
          <w:rFonts w:ascii="Simplified Arabic"/>
          <w:szCs w:val="18"/>
          <w:rtl/>
        </w:rPr>
        <w:t>4</w:t>
      </w:r>
      <w:r w:rsidRPr="00422EC7">
        <w:rPr>
          <w:rFonts w:ascii="Simplified Arabic"/>
          <w:szCs w:val="18"/>
          <w:rtl/>
        </w:rPr>
        <w:t>.</w:t>
      </w:r>
      <w:r w:rsidRPr="00422EC7">
        <w:rPr>
          <w:szCs w:val="18"/>
          <w:rtl/>
        </w:rPr>
        <w:t xml:space="preserve"> و</w:t>
      </w:r>
      <w:r w:rsidRPr="00660F34">
        <w:rPr>
          <w:i/>
          <w:iCs/>
          <w:szCs w:val="18"/>
          <w:rtl/>
        </w:rPr>
        <w:t>لوزينكو ضد بيلاروس</w:t>
      </w:r>
      <w:r w:rsidRPr="00422EC7">
        <w:rPr>
          <w:szCs w:val="18"/>
          <w:rtl/>
        </w:rPr>
        <w:t xml:space="preserve"> </w:t>
      </w:r>
      <w:r w:rsidRPr="00422EC7">
        <w:rPr>
          <w:rFonts w:ascii="Simplified Arabic"/>
          <w:spacing w:val="-2"/>
          <w:szCs w:val="18"/>
          <w:rtl/>
        </w:rPr>
        <w:t>(</w:t>
      </w:r>
      <w:hyperlink r:id="rId4" w:history="1">
        <w:r w:rsidRPr="00422EC7">
          <w:rPr>
            <w:rStyle w:val="Hyperlink"/>
            <w:spacing w:val="-2"/>
          </w:rPr>
          <w:t>CCPR/C/</w:t>
        </w:r>
        <w:r w:rsidRPr="00660F34">
          <w:rPr>
            <w:rStyle w:val="Hyperlink"/>
            <w:spacing w:val="-2"/>
          </w:rPr>
          <w:t>112</w:t>
        </w:r>
        <w:r w:rsidRPr="00422EC7">
          <w:rPr>
            <w:rStyle w:val="Hyperlink"/>
            <w:spacing w:val="-2"/>
          </w:rPr>
          <w:t>/D/</w:t>
        </w:r>
        <w:r w:rsidRPr="00660F34">
          <w:rPr>
            <w:rStyle w:val="Hyperlink"/>
            <w:spacing w:val="-2"/>
          </w:rPr>
          <w:t>1929</w:t>
        </w:r>
        <w:r w:rsidRPr="00422EC7">
          <w:rPr>
            <w:rStyle w:val="Hyperlink"/>
            <w:spacing w:val="-2"/>
          </w:rPr>
          <w:t>/</w:t>
        </w:r>
        <w:r w:rsidRPr="00660F34">
          <w:rPr>
            <w:rStyle w:val="Hyperlink"/>
            <w:spacing w:val="-2"/>
          </w:rPr>
          <w:t>2010</w:t>
        </w:r>
      </w:hyperlink>
      <w:r w:rsidRPr="00422EC7">
        <w:rPr>
          <w:rFonts w:ascii="Simplified Arabic"/>
          <w:spacing w:val="-2"/>
          <w:szCs w:val="18"/>
          <w:rtl/>
        </w:rPr>
        <w:t>)</w:t>
      </w:r>
      <w:r w:rsidRPr="00422EC7">
        <w:rPr>
          <w:spacing w:val="-2"/>
          <w:szCs w:val="18"/>
          <w:rtl/>
        </w:rPr>
        <w:t xml:space="preserve">، الفقرة </w:t>
      </w:r>
      <w:r w:rsidRPr="00660F34">
        <w:rPr>
          <w:rFonts w:ascii="Simplified Arabic"/>
          <w:spacing w:val="-2"/>
          <w:szCs w:val="18"/>
          <w:rtl/>
        </w:rPr>
        <w:t>6</w:t>
      </w:r>
      <w:r w:rsidRPr="00422EC7">
        <w:rPr>
          <w:rFonts w:ascii="Simplified Arabic"/>
          <w:spacing w:val="-2"/>
          <w:szCs w:val="18"/>
          <w:rtl/>
        </w:rPr>
        <w:t>-</w:t>
      </w:r>
      <w:r w:rsidRPr="00660F34">
        <w:rPr>
          <w:rFonts w:ascii="Simplified Arabic"/>
          <w:spacing w:val="-2"/>
          <w:szCs w:val="18"/>
          <w:rtl/>
        </w:rPr>
        <w:t>3</w:t>
      </w:r>
      <w:r w:rsidRPr="00422EC7">
        <w:rPr>
          <w:rFonts w:ascii="Simplified Arabic"/>
          <w:spacing w:val="-2"/>
          <w:szCs w:val="18"/>
          <w:rtl/>
        </w:rPr>
        <w:t>.</w:t>
      </w:r>
      <w:r w:rsidRPr="00422EC7">
        <w:rPr>
          <w:spacing w:val="-2"/>
          <w:szCs w:val="18"/>
          <w:rtl/>
        </w:rPr>
        <w:t xml:space="preserve"> و</w:t>
      </w:r>
      <w:r w:rsidRPr="00660F34">
        <w:rPr>
          <w:i/>
          <w:iCs/>
          <w:spacing w:val="-2"/>
          <w:szCs w:val="18"/>
          <w:rtl/>
        </w:rPr>
        <w:t>سودالينكو ضد بيلاروس</w:t>
      </w:r>
      <w:r w:rsidRPr="00422EC7">
        <w:rPr>
          <w:spacing w:val="-2"/>
          <w:szCs w:val="18"/>
          <w:rtl/>
        </w:rPr>
        <w:t xml:space="preserve"> </w:t>
      </w:r>
      <w:r w:rsidRPr="00422EC7">
        <w:rPr>
          <w:rFonts w:ascii="Simplified Arabic"/>
          <w:spacing w:val="-2"/>
          <w:szCs w:val="18"/>
          <w:rtl/>
        </w:rPr>
        <w:t>(</w:t>
      </w:r>
      <w:hyperlink r:id="rId5" w:history="1">
        <w:r w:rsidRPr="00422EC7">
          <w:rPr>
            <w:rStyle w:val="Hyperlink"/>
            <w:spacing w:val="-2"/>
          </w:rPr>
          <w:t>CCPR/C/</w:t>
        </w:r>
        <w:r w:rsidRPr="00660F34">
          <w:rPr>
            <w:rStyle w:val="Hyperlink"/>
            <w:spacing w:val="-2"/>
          </w:rPr>
          <w:t>115</w:t>
        </w:r>
        <w:r w:rsidRPr="00422EC7">
          <w:rPr>
            <w:rStyle w:val="Hyperlink"/>
            <w:spacing w:val="-2"/>
          </w:rPr>
          <w:t>/D/</w:t>
        </w:r>
        <w:r w:rsidRPr="00660F34">
          <w:rPr>
            <w:rStyle w:val="Hyperlink"/>
            <w:spacing w:val="-2"/>
          </w:rPr>
          <w:t>2016</w:t>
        </w:r>
        <w:r w:rsidRPr="00422EC7">
          <w:rPr>
            <w:rStyle w:val="Hyperlink"/>
            <w:spacing w:val="-2"/>
          </w:rPr>
          <w:t>/</w:t>
        </w:r>
        <w:r w:rsidRPr="00660F34">
          <w:rPr>
            <w:rStyle w:val="Hyperlink"/>
            <w:spacing w:val="-2"/>
          </w:rPr>
          <w:t>2010</w:t>
        </w:r>
      </w:hyperlink>
      <w:r w:rsidRPr="00422EC7">
        <w:rPr>
          <w:rFonts w:ascii="Simplified Arabic"/>
          <w:spacing w:val="-2"/>
          <w:szCs w:val="18"/>
          <w:rtl/>
        </w:rPr>
        <w:t>)</w:t>
      </w:r>
      <w:r w:rsidRPr="00422EC7">
        <w:rPr>
          <w:spacing w:val="-2"/>
          <w:szCs w:val="18"/>
          <w:rtl/>
        </w:rPr>
        <w:t xml:space="preserve">، الفقرة </w:t>
      </w:r>
      <w:r w:rsidRPr="00660F34">
        <w:rPr>
          <w:rFonts w:ascii="Simplified Arabic"/>
          <w:spacing w:val="-2"/>
          <w:szCs w:val="18"/>
          <w:rtl/>
        </w:rPr>
        <w:t>7</w:t>
      </w:r>
      <w:r w:rsidRPr="00422EC7">
        <w:rPr>
          <w:rFonts w:ascii="Simplified Arabic"/>
          <w:spacing w:val="-2"/>
          <w:szCs w:val="18"/>
          <w:rtl/>
        </w:rPr>
        <w:t>-</w:t>
      </w:r>
      <w:r w:rsidRPr="00660F34">
        <w:rPr>
          <w:rFonts w:ascii="Simplified Arabic"/>
          <w:spacing w:val="-2"/>
          <w:szCs w:val="18"/>
          <w:rtl/>
        </w:rPr>
        <w:t>3</w:t>
      </w:r>
      <w:r w:rsidRPr="00422EC7">
        <w:rPr>
          <w:rFonts w:ascii="Simplified Arabic"/>
          <w:spacing w:val="-2"/>
          <w:szCs w:val="18"/>
          <w:rtl/>
        </w:rPr>
        <w:t xml:space="preserve">. </w:t>
      </w:r>
    </w:p>
  </w:footnote>
  <w:footnote w:id="9">
    <w:p w14:paraId="6BAA2FE2" w14:textId="77777777" w:rsidR="00793F70" w:rsidRPr="00422EC7" w:rsidRDefault="00793F70" w:rsidP="00660F34">
      <w:pPr>
        <w:pStyle w:val="FootnoteText"/>
        <w:tabs>
          <w:tab w:val="clear" w:pos="1021"/>
        </w:tabs>
        <w:bidi/>
        <w:spacing w:after="60" w:line="280" w:lineRule="exact"/>
        <w:ind w:left="1247" w:right="1247" w:hanging="567"/>
        <w:jc w:val="left"/>
        <w:textDirection w:val="tbRlV"/>
        <w:rPr>
          <w:szCs w:val="18"/>
          <w:lang w:val="ar-SA" w:eastAsia="zh-TW" w:bidi="en-GB"/>
        </w:rPr>
      </w:pPr>
      <w:r w:rsidRPr="00422EC7">
        <w:rPr>
          <w:rStyle w:val="FootnoteReference"/>
          <w:vertAlign w:val="baseline"/>
          <w:rtl/>
        </w:rPr>
        <w:t>(</w:t>
      </w:r>
      <w:r w:rsidRPr="00660F34">
        <w:rPr>
          <w:rStyle w:val="FootnoteReference"/>
          <w:vertAlign w:val="baseline"/>
        </w:rPr>
        <w:footnoteRef/>
      </w:r>
      <w:r w:rsidRPr="00422EC7">
        <w:rPr>
          <w:rStyle w:val="FootnoteReference"/>
          <w:vertAlign w:val="baseline"/>
          <w:rtl/>
        </w:rPr>
        <w:t>)</w:t>
      </w:r>
      <w:r w:rsidRPr="00422EC7">
        <w:rPr>
          <w:szCs w:val="18"/>
          <w:rtl/>
        </w:rPr>
        <w:tab/>
      </w:r>
      <w:r w:rsidRPr="00660F34">
        <w:rPr>
          <w:i/>
          <w:iCs/>
          <w:szCs w:val="18"/>
          <w:rtl/>
        </w:rPr>
        <w:t>سيكيركو ضد بيلاروس</w:t>
      </w:r>
      <w:r w:rsidRPr="00422EC7">
        <w:rPr>
          <w:szCs w:val="18"/>
          <w:rtl/>
        </w:rPr>
        <w:t xml:space="preserve"> </w:t>
      </w:r>
      <w:r w:rsidRPr="00422EC7">
        <w:rPr>
          <w:rFonts w:ascii="Simplified Arabic"/>
          <w:szCs w:val="18"/>
          <w:rtl/>
        </w:rPr>
        <w:t>(</w:t>
      </w:r>
      <w:hyperlink r:id="rId6" w:history="1">
        <w:r w:rsidRPr="00422EC7">
          <w:rPr>
            <w:rStyle w:val="Hyperlink"/>
          </w:rPr>
          <w:t>CCPR/C/</w:t>
        </w:r>
        <w:r w:rsidRPr="00660F34">
          <w:rPr>
            <w:rStyle w:val="Hyperlink"/>
          </w:rPr>
          <w:t>109</w:t>
        </w:r>
        <w:r w:rsidRPr="00422EC7">
          <w:rPr>
            <w:rStyle w:val="Hyperlink"/>
          </w:rPr>
          <w:t>/D/</w:t>
        </w:r>
        <w:r w:rsidRPr="00660F34">
          <w:rPr>
            <w:rStyle w:val="Hyperlink"/>
          </w:rPr>
          <w:t>1851</w:t>
        </w:r>
        <w:r w:rsidRPr="00422EC7">
          <w:rPr>
            <w:rStyle w:val="Hyperlink"/>
          </w:rPr>
          <w:t>/</w:t>
        </w:r>
        <w:r w:rsidRPr="00660F34">
          <w:rPr>
            <w:rStyle w:val="Hyperlink"/>
          </w:rPr>
          <w:t>2008</w:t>
        </w:r>
      </w:hyperlink>
      <w:r w:rsidRPr="00422EC7">
        <w:rPr>
          <w:rFonts w:ascii="Simplified Arabic"/>
          <w:szCs w:val="18"/>
          <w:rtl/>
        </w:rPr>
        <w:t>)</w:t>
      </w:r>
      <w:r w:rsidRPr="00422EC7">
        <w:rPr>
          <w:szCs w:val="18"/>
          <w:rtl/>
        </w:rPr>
        <w:t xml:space="preserve">، الفقرة </w:t>
      </w:r>
      <w:r w:rsidRPr="00660F34">
        <w:rPr>
          <w:rFonts w:ascii="Simplified Arabic"/>
          <w:szCs w:val="18"/>
          <w:rtl/>
        </w:rPr>
        <w:t>8</w:t>
      </w:r>
      <w:r w:rsidRPr="00422EC7">
        <w:rPr>
          <w:rFonts w:ascii="Simplified Arabic"/>
          <w:szCs w:val="18"/>
          <w:rtl/>
        </w:rPr>
        <w:t>-</w:t>
      </w:r>
      <w:r w:rsidRPr="00660F34">
        <w:rPr>
          <w:rFonts w:ascii="Simplified Arabic"/>
          <w:szCs w:val="18"/>
          <w:rtl/>
        </w:rPr>
        <w:t>3</w:t>
      </w:r>
      <w:r w:rsidRPr="00422EC7">
        <w:rPr>
          <w:szCs w:val="18"/>
          <w:rtl/>
        </w:rPr>
        <w:t>؛ و</w:t>
      </w:r>
      <w:r w:rsidRPr="00660F34">
        <w:rPr>
          <w:i/>
          <w:iCs/>
          <w:szCs w:val="18"/>
          <w:rtl/>
        </w:rPr>
        <w:t>شوميلين ضد بيلاروس</w:t>
      </w:r>
      <w:r w:rsidRPr="00422EC7">
        <w:rPr>
          <w:szCs w:val="18"/>
          <w:rtl/>
        </w:rPr>
        <w:t xml:space="preserve"> </w:t>
      </w:r>
      <w:r w:rsidRPr="00422EC7">
        <w:rPr>
          <w:rFonts w:ascii="Simplified Arabic"/>
          <w:szCs w:val="18"/>
          <w:rtl/>
        </w:rPr>
        <w:t>(</w:t>
      </w:r>
      <w:hyperlink r:id="rId7" w:history="1">
        <w:r w:rsidRPr="00422EC7">
          <w:rPr>
            <w:rStyle w:val="Hyperlink"/>
          </w:rPr>
          <w:t>CCPR/C/</w:t>
        </w:r>
        <w:r w:rsidRPr="00660F34">
          <w:rPr>
            <w:rStyle w:val="Hyperlink"/>
          </w:rPr>
          <w:t>105</w:t>
        </w:r>
        <w:r w:rsidRPr="00422EC7">
          <w:rPr>
            <w:rStyle w:val="Hyperlink"/>
          </w:rPr>
          <w:t>/D/</w:t>
        </w:r>
        <w:r w:rsidRPr="00660F34">
          <w:rPr>
            <w:rStyle w:val="Hyperlink"/>
          </w:rPr>
          <w:t>1784</w:t>
        </w:r>
        <w:r w:rsidRPr="00422EC7">
          <w:rPr>
            <w:rStyle w:val="Hyperlink"/>
          </w:rPr>
          <w:t>/</w:t>
        </w:r>
        <w:r w:rsidRPr="00660F34">
          <w:rPr>
            <w:rStyle w:val="Hyperlink"/>
          </w:rPr>
          <w:t>2008</w:t>
        </w:r>
      </w:hyperlink>
      <w:r w:rsidRPr="00422EC7">
        <w:rPr>
          <w:rFonts w:ascii="Simplified Arabic"/>
          <w:szCs w:val="18"/>
          <w:rtl/>
        </w:rPr>
        <w:t>)</w:t>
      </w:r>
      <w:r w:rsidRPr="00422EC7">
        <w:rPr>
          <w:szCs w:val="18"/>
          <w:rtl/>
        </w:rPr>
        <w:t xml:space="preserve">، الفقرة </w:t>
      </w:r>
      <w:r w:rsidRPr="00660F34">
        <w:rPr>
          <w:rFonts w:ascii="Simplified Arabic"/>
          <w:szCs w:val="18"/>
          <w:rtl/>
        </w:rPr>
        <w:t>8</w:t>
      </w:r>
      <w:r w:rsidRPr="00422EC7">
        <w:rPr>
          <w:rFonts w:ascii="Simplified Arabic"/>
          <w:szCs w:val="18"/>
          <w:rtl/>
        </w:rPr>
        <w:t>-</w:t>
      </w:r>
      <w:r w:rsidRPr="00660F34">
        <w:rPr>
          <w:rFonts w:ascii="Simplified Arabic"/>
          <w:szCs w:val="18"/>
          <w:rtl/>
        </w:rPr>
        <w:t>3</w:t>
      </w:r>
      <w:r w:rsidRPr="00422EC7">
        <w:rPr>
          <w:rFonts w:ascii="Simplified Arabic"/>
          <w:szCs w:val="18"/>
          <w:rtl/>
        </w:rPr>
        <w:t xml:space="preserve">. </w:t>
      </w:r>
    </w:p>
  </w:footnote>
  <w:footnote w:id="10">
    <w:p w14:paraId="3588DAEB" w14:textId="77777777" w:rsidR="00793F70" w:rsidRPr="00422EC7" w:rsidRDefault="00793F70" w:rsidP="00793F70">
      <w:pPr>
        <w:pStyle w:val="FootnoteText"/>
        <w:tabs>
          <w:tab w:val="clear" w:pos="1021"/>
        </w:tabs>
        <w:bidi/>
        <w:spacing w:after="60" w:line="280" w:lineRule="exact"/>
        <w:ind w:left="1247" w:right="1247" w:hanging="567"/>
        <w:jc w:val="lowKashida"/>
        <w:textDirection w:val="tbRlV"/>
        <w:rPr>
          <w:szCs w:val="18"/>
          <w:lang w:eastAsia="zh-TW" w:bidi="en-GB"/>
        </w:rPr>
      </w:pPr>
      <w:r w:rsidRPr="00422EC7">
        <w:rPr>
          <w:rStyle w:val="FootnoteReference"/>
          <w:vertAlign w:val="baseline"/>
          <w:rtl/>
        </w:rPr>
        <w:t>(</w:t>
      </w:r>
      <w:r w:rsidRPr="00660F34">
        <w:rPr>
          <w:rStyle w:val="FootnoteReference"/>
          <w:vertAlign w:val="baseline"/>
        </w:rPr>
        <w:footnoteRef/>
      </w:r>
      <w:r w:rsidRPr="00422EC7">
        <w:rPr>
          <w:rStyle w:val="FootnoteReference"/>
          <w:vertAlign w:val="baseline"/>
          <w:rtl/>
        </w:rPr>
        <w:t>)</w:t>
      </w:r>
      <w:r w:rsidRPr="00422EC7">
        <w:rPr>
          <w:szCs w:val="18"/>
          <w:rtl/>
        </w:rPr>
        <w:tab/>
      </w:r>
      <w:r w:rsidRPr="00660F34">
        <w:rPr>
          <w:i/>
          <w:iCs/>
          <w:spacing w:val="-2"/>
          <w:szCs w:val="18"/>
          <w:rtl/>
        </w:rPr>
        <w:t>جوكوفسكي ضد بيلاروس</w:t>
      </w:r>
      <w:r w:rsidRPr="00422EC7">
        <w:rPr>
          <w:spacing w:val="-2"/>
          <w:szCs w:val="18"/>
          <w:rtl/>
        </w:rPr>
        <w:t xml:space="preserve"> </w:t>
      </w:r>
      <w:r w:rsidRPr="00422EC7">
        <w:rPr>
          <w:rFonts w:ascii="Simplified Arabic"/>
          <w:spacing w:val="-2"/>
          <w:szCs w:val="18"/>
          <w:rtl/>
        </w:rPr>
        <w:t>(</w:t>
      </w:r>
      <w:hyperlink r:id="rId8" w:history="1">
        <w:r w:rsidRPr="00422EC7">
          <w:rPr>
            <w:rStyle w:val="Hyperlink"/>
            <w:spacing w:val="-2"/>
          </w:rPr>
          <w:t>CCPR/C/</w:t>
        </w:r>
        <w:r w:rsidRPr="00660F34">
          <w:rPr>
            <w:rStyle w:val="Hyperlink"/>
            <w:spacing w:val="-2"/>
          </w:rPr>
          <w:t>127</w:t>
        </w:r>
        <w:r w:rsidRPr="00422EC7">
          <w:rPr>
            <w:rStyle w:val="Hyperlink"/>
            <w:spacing w:val="-2"/>
          </w:rPr>
          <w:t>/D/</w:t>
        </w:r>
        <w:r w:rsidRPr="00660F34">
          <w:rPr>
            <w:rStyle w:val="Hyperlink"/>
            <w:spacing w:val="-2"/>
          </w:rPr>
          <w:t>2724</w:t>
        </w:r>
        <w:r w:rsidRPr="00422EC7">
          <w:rPr>
            <w:rStyle w:val="Hyperlink"/>
            <w:spacing w:val="-2"/>
          </w:rPr>
          <w:t>/</w:t>
        </w:r>
        <w:r w:rsidRPr="00660F34">
          <w:rPr>
            <w:rStyle w:val="Hyperlink"/>
            <w:spacing w:val="-2"/>
          </w:rPr>
          <w:t>2016</w:t>
        </w:r>
      </w:hyperlink>
      <w:r w:rsidRPr="00422EC7">
        <w:rPr>
          <w:rFonts w:ascii="Simplified Arabic"/>
          <w:spacing w:val="-2"/>
          <w:szCs w:val="18"/>
          <w:rtl/>
        </w:rPr>
        <w:t>)</w:t>
      </w:r>
      <w:r w:rsidRPr="00422EC7">
        <w:rPr>
          <w:spacing w:val="-2"/>
          <w:szCs w:val="18"/>
          <w:rtl/>
        </w:rPr>
        <w:t xml:space="preserve">، الفقرة </w:t>
      </w:r>
      <w:r w:rsidRPr="00660F34">
        <w:rPr>
          <w:rFonts w:ascii="Simplified Arabic"/>
          <w:spacing w:val="-2"/>
          <w:szCs w:val="18"/>
          <w:rtl/>
        </w:rPr>
        <w:t>6</w:t>
      </w:r>
      <w:r w:rsidRPr="00422EC7">
        <w:rPr>
          <w:rFonts w:ascii="Simplified Arabic"/>
          <w:spacing w:val="-2"/>
          <w:szCs w:val="18"/>
          <w:rtl/>
        </w:rPr>
        <w:t>-</w:t>
      </w:r>
      <w:r w:rsidRPr="00660F34">
        <w:rPr>
          <w:rFonts w:ascii="Simplified Arabic"/>
          <w:spacing w:val="-2"/>
          <w:szCs w:val="18"/>
          <w:rtl/>
        </w:rPr>
        <w:t>4</w:t>
      </w:r>
      <w:r w:rsidRPr="00422EC7">
        <w:rPr>
          <w:spacing w:val="-2"/>
          <w:szCs w:val="18"/>
          <w:rtl/>
        </w:rPr>
        <w:t>، و</w:t>
      </w:r>
      <w:r w:rsidRPr="00422EC7">
        <w:rPr>
          <w:rFonts w:ascii="Simplified Arabic"/>
          <w:spacing w:val="-2"/>
          <w:szCs w:val="18"/>
          <w:rtl/>
        </w:rPr>
        <w:t>(</w:t>
      </w:r>
      <w:hyperlink r:id="rId9" w:history="1">
        <w:r w:rsidRPr="00422EC7">
          <w:rPr>
            <w:rStyle w:val="Hyperlink"/>
            <w:spacing w:val="-2"/>
          </w:rPr>
          <w:t>CCPR/C/</w:t>
        </w:r>
        <w:r w:rsidRPr="00660F34">
          <w:rPr>
            <w:rStyle w:val="Hyperlink"/>
            <w:spacing w:val="-2"/>
          </w:rPr>
          <w:t>127</w:t>
        </w:r>
        <w:r w:rsidRPr="00422EC7">
          <w:rPr>
            <w:rStyle w:val="Hyperlink"/>
            <w:spacing w:val="-2"/>
          </w:rPr>
          <w:t>/D/</w:t>
        </w:r>
        <w:r w:rsidRPr="00660F34">
          <w:rPr>
            <w:rStyle w:val="Hyperlink"/>
            <w:spacing w:val="-2"/>
          </w:rPr>
          <w:t>2955</w:t>
        </w:r>
        <w:r w:rsidRPr="00422EC7">
          <w:rPr>
            <w:rStyle w:val="Hyperlink"/>
            <w:spacing w:val="-2"/>
          </w:rPr>
          <w:t>/</w:t>
        </w:r>
        <w:r w:rsidRPr="00660F34">
          <w:rPr>
            <w:rStyle w:val="Hyperlink"/>
            <w:spacing w:val="-2"/>
          </w:rPr>
          <w:t>2017</w:t>
        </w:r>
      </w:hyperlink>
      <w:r w:rsidRPr="00422EC7">
        <w:rPr>
          <w:rFonts w:ascii="Simplified Arabic"/>
          <w:spacing w:val="-2"/>
          <w:szCs w:val="18"/>
          <w:rtl/>
        </w:rPr>
        <w:t>)</w:t>
      </w:r>
      <w:r w:rsidRPr="00422EC7">
        <w:rPr>
          <w:spacing w:val="-2"/>
          <w:szCs w:val="18"/>
          <w:rtl/>
        </w:rPr>
        <w:t xml:space="preserve">، الفقرة </w:t>
      </w:r>
      <w:r w:rsidRPr="00660F34">
        <w:rPr>
          <w:rFonts w:ascii="Simplified Arabic"/>
          <w:spacing w:val="-2"/>
          <w:szCs w:val="18"/>
          <w:rtl/>
        </w:rPr>
        <w:t>6</w:t>
      </w:r>
      <w:r w:rsidRPr="00422EC7">
        <w:rPr>
          <w:rFonts w:ascii="Simplified Arabic"/>
          <w:spacing w:val="-2"/>
          <w:szCs w:val="18"/>
          <w:rtl/>
        </w:rPr>
        <w:t>-</w:t>
      </w:r>
      <w:r w:rsidRPr="00660F34">
        <w:rPr>
          <w:rFonts w:ascii="Simplified Arabic"/>
          <w:spacing w:val="-2"/>
          <w:szCs w:val="18"/>
          <w:rtl/>
        </w:rPr>
        <w:t>4</w:t>
      </w:r>
      <w:r w:rsidRPr="00422EC7">
        <w:rPr>
          <w:szCs w:val="18"/>
          <w:rtl/>
        </w:rPr>
        <w:t xml:space="preserve"> و</w:t>
      </w:r>
      <w:r w:rsidRPr="00422EC7">
        <w:rPr>
          <w:rFonts w:ascii="Simplified Arabic"/>
          <w:szCs w:val="18"/>
          <w:rtl/>
        </w:rPr>
        <w:t>(</w:t>
      </w:r>
      <w:hyperlink r:id="rId10" w:history="1">
        <w:r w:rsidRPr="00422EC7">
          <w:rPr>
            <w:rStyle w:val="Hyperlink"/>
          </w:rPr>
          <w:t>CCPR/C/</w:t>
        </w:r>
        <w:r w:rsidRPr="00660F34">
          <w:rPr>
            <w:rStyle w:val="Hyperlink"/>
          </w:rPr>
          <w:t>127</w:t>
        </w:r>
        <w:r w:rsidRPr="00422EC7">
          <w:rPr>
            <w:rStyle w:val="Hyperlink"/>
          </w:rPr>
          <w:t>/D/</w:t>
        </w:r>
        <w:r w:rsidRPr="00660F34">
          <w:rPr>
            <w:rStyle w:val="Hyperlink"/>
          </w:rPr>
          <w:t>3067</w:t>
        </w:r>
        <w:r w:rsidRPr="00422EC7">
          <w:rPr>
            <w:rStyle w:val="Hyperlink"/>
          </w:rPr>
          <w:t>/</w:t>
        </w:r>
        <w:r w:rsidRPr="00660F34">
          <w:rPr>
            <w:rStyle w:val="Hyperlink"/>
          </w:rPr>
          <w:t>2017</w:t>
        </w:r>
      </w:hyperlink>
      <w:r w:rsidRPr="00422EC7">
        <w:rPr>
          <w:rFonts w:ascii="Simplified Arabic"/>
          <w:szCs w:val="18"/>
          <w:rtl/>
        </w:rPr>
        <w:t>)</w:t>
      </w:r>
      <w:r w:rsidRPr="00422EC7">
        <w:rPr>
          <w:szCs w:val="18"/>
          <w:rtl/>
        </w:rPr>
        <w:t xml:space="preserve">، الفقرة </w:t>
      </w:r>
      <w:r w:rsidRPr="00660F34">
        <w:rPr>
          <w:rFonts w:ascii="Simplified Arabic"/>
          <w:szCs w:val="18"/>
          <w:rtl/>
        </w:rPr>
        <w:t>6</w:t>
      </w:r>
      <w:r w:rsidRPr="00422EC7">
        <w:rPr>
          <w:rFonts w:ascii="Simplified Arabic"/>
          <w:szCs w:val="18"/>
          <w:rtl/>
        </w:rPr>
        <w:t>-</w:t>
      </w:r>
      <w:r w:rsidRPr="00660F34">
        <w:rPr>
          <w:rFonts w:ascii="Simplified Arabic"/>
          <w:szCs w:val="18"/>
          <w:rtl/>
        </w:rPr>
        <w:t>6</w:t>
      </w:r>
      <w:r w:rsidRPr="00422EC7">
        <w:rPr>
          <w:szCs w:val="18"/>
          <w:rtl/>
        </w:rPr>
        <w:t xml:space="preserve">. </w:t>
      </w:r>
    </w:p>
  </w:footnote>
  <w:footnote w:id="11">
    <w:p w14:paraId="623DD642" w14:textId="77777777" w:rsidR="00793F70" w:rsidRPr="00422EC7" w:rsidRDefault="00793F70" w:rsidP="00662AE8">
      <w:pPr>
        <w:pStyle w:val="FootnoteText"/>
        <w:tabs>
          <w:tab w:val="clear" w:pos="1021"/>
        </w:tabs>
        <w:bidi/>
        <w:spacing w:after="60" w:line="280" w:lineRule="exact"/>
        <w:ind w:left="1247" w:right="1247" w:hanging="567"/>
        <w:jc w:val="lowKashida"/>
        <w:textDirection w:val="tbRlV"/>
        <w:rPr>
          <w:szCs w:val="18"/>
          <w:lang w:val="ar-SA" w:eastAsia="zh-TW" w:bidi="en-GB"/>
        </w:rPr>
      </w:pPr>
      <w:r w:rsidRPr="00422EC7">
        <w:rPr>
          <w:rStyle w:val="FootnoteReference"/>
          <w:vertAlign w:val="baseline"/>
          <w:rtl/>
        </w:rPr>
        <w:t>(</w:t>
      </w:r>
      <w:r w:rsidRPr="00660F34">
        <w:rPr>
          <w:rStyle w:val="FootnoteReference"/>
          <w:vertAlign w:val="baseline"/>
        </w:rPr>
        <w:footnoteRef/>
      </w:r>
      <w:r w:rsidRPr="00422EC7">
        <w:rPr>
          <w:rStyle w:val="FootnoteReference"/>
          <w:vertAlign w:val="baseline"/>
          <w:rtl/>
        </w:rPr>
        <w:t>)</w:t>
      </w:r>
      <w:r w:rsidRPr="00422EC7">
        <w:rPr>
          <w:szCs w:val="18"/>
          <w:rtl/>
        </w:rPr>
        <w:tab/>
        <w:t xml:space="preserve">التعليق العام رقم </w:t>
      </w:r>
      <w:r w:rsidRPr="00660F34">
        <w:rPr>
          <w:rFonts w:ascii="Simplified Arabic"/>
          <w:szCs w:val="18"/>
          <w:rtl/>
        </w:rPr>
        <w:t>37</w:t>
      </w:r>
      <w:r w:rsidRPr="00422EC7">
        <w:rPr>
          <w:rFonts w:ascii="Simplified Arabic"/>
          <w:szCs w:val="18"/>
          <w:rtl/>
        </w:rPr>
        <w:t>(</w:t>
      </w:r>
      <w:r w:rsidRPr="00660F34">
        <w:rPr>
          <w:rFonts w:ascii="Simplified Arabic"/>
          <w:szCs w:val="18"/>
          <w:rtl/>
        </w:rPr>
        <w:t>2020</w:t>
      </w:r>
      <w:r w:rsidRPr="00422EC7">
        <w:rPr>
          <w:rFonts w:ascii="Simplified Arabic"/>
          <w:szCs w:val="18"/>
          <w:rtl/>
        </w:rPr>
        <w:t>)</w:t>
      </w:r>
      <w:r w:rsidRPr="00422EC7">
        <w:rPr>
          <w:szCs w:val="18"/>
          <w:rtl/>
        </w:rPr>
        <w:t xml:space="preserve">، الفقرة </w:t>
      </w:r>
      <w:r w:rsidRPr="00660F34">
        <w:rPr>
          <w:rFonts w:ascii="Simplified Arabic"/>
          <w:szCs w:val="18"/>
          <w:rtl/>
        </w:rPr>
        <w:t>6</w:t>
      </w:r>
      <w:r w:rsidRPr="00422EC7">
        <w:rPr>
          <w:szCs w:val="18"/>
          <w:rtl/>
        </w:rPr>
        <w:t xml:space="preserve">. </w:t>
      </w:r>
    </w:p>
  </w:footnote>
  <w:footnote w:id="12">
    <w:p w14:paraId="72CBAB71" w14:textId="77777777" w:rsidR="00793F70" w:rsidRPr="00422EC7" w:rsidRDefault="00793F70" w:rsidP="00662AE8">
      <w:pPr>
        <w:pStyle w:val="FootnoteText"/>
        <w:tabs>
          <w:tab w:val="clear" w:pos="1021"/>
        </w:tabs>
        <w:bidi/>
        <w:spacing w:after="60" w:line="280" w:lineRule="exact"/>
        <w:ind w:left="1247" w:right="1247" w:hanging="567"/>
        <w:jc w:val="lowKashida"/>
        <w:textDirection w:val="tbRlV"/>
        <w:rPr>
          <w:szCs w:val="18"/>
          <w:lang w:val="ar-SA" w:eastAsia="zh-TW" w:bidi="en-GB"/>
        </w:rPr>
      </w:pPr>
      <w:r w:rsidRPr="00422EC7">
        <w:rPr>
          <w:rStyle w:val="FootnoteReference"/>
          <w:vertAlign w:val="baseline"/>
          <w:rtl/>
        </w:rPr>
        <w:t>(</w:t>
      </w:r>
      <w:r w:rsidRPr="00660F34">
        <w:rPr>
          <w:rStyle w:val="FootnoteReference"/>
          <w:vertAlign w:val="baseline"/>
        </w:rPr>
        <w:footnoteRef/>
      </w:r>
      <w:r w:rsidRPr="00422EC7">
        <w:rPr>
          <w:rStyle w:val="FootnoteReference"/>
          <w:vertAlign w:val="baseline"/>
          <w:rtl/>
        </w:rPr>
        <w:t>)</w:t>
      </w:r>
      <w:r w:rsidRPr="00422EC7">
        <w:rPr>
          <w:szCs w:val="18"/>
          <w:rtl/>
        </w:rPr>
        <w:tab/>
        <w:t xml:space="preserve">المرجع نفسه، الفقرتان </w:t>
      </w:r>
      <w:r w:rsidRPr="00660F34">
        <w:rPr>
          <w:rFonts w:ascii="Simplified Arabic"/>
          <w:szCs w:val="18"/>
          <w:rtl/>
        </w:rPr>
        <w:t>22</w:t>
      </w:r>
      <w:r w:rsidRPr="00422EC7">
        <w:rPr>
          <w:szCs w:val="18"/>
          <w:rtl/>
        </w:rPr>
        <w:t xml:space="preserve"> و</w:t>
      </w:r>
      <w:r w:rsidRPr="00660F34">
        <w:rPr>
          <w:rFonts w:ascii="Simplified Arabic"/>
          <w:szCs w:val="18"/>
          <w:rtl/>
        </w:rPr>
        <w:t>41</w:t>
      </w:r>
      <w:r w:rsidRPr="00422EC7">
        <w:rPr>
          <w:szCs w:val="18"/>
          <w:rtl/>
        </w:rPr>
        <w:t xml:space="preserve">. </w:t>
      </w:r>
    </w:p>
  </w:footnote>
  <w:footnote w:id="13">
    <w:p w14:paraId="08BC7317" w14:textId="77777777" w:rsidR="00793F70" w:rsidRPr="00422EC7" w:rsidRDefault="00793F70" w:rsidP="00662AE8">
      <w:pPr>
        <w:pStyle w:val="FootnoteText"/>
        <w:tabs>
          <w:tab w:val="clear" w:pos="1021"/>
        </w:tabs>
        <w:bidi/>
        <w:spacing w:after="60" w:line="280" w:lineRule="exact"/>
        <w:ind w:left="1247" w:right="1247" w:hanging="567"/>
        <w:jc w:val="lowKashida"/>
        <w:textDirection w:val="tbRlV"/>
        <w:rPr>
          <w:szCs w:val="18"/>
          <w:lang w:val="ar-SA" w:eastAsia="zh-TW" w:bidi="en-GB"/>
        </w:rPr>
      </w:pPr>
      <w:r w:rsidRPr="00422EC7">
        <w:rPr>
          <w:rStyle w:val="FootnoteReference"/>
          <w:vertAlign w:val="baseline"/>
          <w:rtl/>
        </w:rPr>
        <w:t>(</w:t>
      </w:r>
      <w:r w:rsidRPr="00660F34">
        <w:rPr>
          <w:rStyle w:val="FootnoteReference"/>
          <w:vertAlign w:val="baseline"/>
        </w:rPr>
        <w:footnoteRef/>
      </w:r>
      <w:r w:rsidRPr="00422EC7">
        <w:rPr>
          <w:rStyle w:val="FootnoteReference"/>
          <w:vertAlign w:val="baseline"/>
          <w:rtl/>
        </w:rPr>
        <w:t>)</w:t>
      </w:r>
      <w:r w:rsidRPr="00422EC7">
        <w:rPr>
          <w:szCs w:val="18"/>
          <w:rtl/>
        </w:rPr>
        <w:tab/>
        <w:t xml:space="preserve">المرجع نفسه، الفقرة </w:t>
      </w:r>
      <w:r w:rsidRPr="00660F34">
        <w:rPr>
          <w:rFonts w:ascii="Simplified Arabic"/>
          <w:szCs w:val="18"/>
          <w:rtl/>
        </w:rPr>
        <w:t>36</w:t>
      </w:r>
      <w:r w:rsidRPr="00422EC7">
        <w:rPr>
          <w:szCs w:val="18"/>
          <w:rtl/>
        </w:rPr>
        <w:t xml:space="preserve">. </w:t>
      </w:r>
    </w:p>
  </w:footnote>
  <w:footnote w:id="14">
    <w:p w14:paraId="1D36198A" w14:textId="77777777" w:rsidR="00793F70" w:rsidRPr="00422EC7" w:rsidRDefault="00793F70" w:rsidP="00793F70">
      <w:pPr>
        <w:pStyle w:val="FootnoteText"/>
        <w:tabs>
          <w:tab w:val="clear" w:pos="1021"/>
        </w:tabs>
        <w:bidi/>
        <w:spacing w:after="60" w:line="280" w:lineRule="exact"/>
        <w:ind w:left="1247" w:right="1247" w:hanging="567"/>
        <w:jc w:val="lowKashida"/>
        <w:textDirection w:val="tbRlV"/>
        <w:rPr>
          <w:szCs w:val="18"/>
          <w:lang w:val="ar-SA" w:eastAsia="zh-TW" w:bidi="en-GB"/>
        </w:rPr>
      </w:pPr>
      <w:r w:rsidRPr="00422EC7">
        <w:rPr>
          <w:rStyle w:val="FootnoteReference"/>
          <w:vertAlign w:val="baseline"/>
          <w:rtl/>
        </w:rPr>
        <w:t>(</w:t>
      </w:r>
      <w:r w:rsidRPr="00660F34">
        <w:rPr>
          <w:rStyle w:val="FootnoteReference"/>
          <w:vertAlign w:val="baseline"/>
        </w:rPr>
        <w:footnoteRef/>
      </w:r>
      <w:r w:rsidRPr="00422EC7">
        <w:rPr>
          <w:rStyle w:val="FootnoteReference"/>
          <w:vertAlign w:val="baseline"/>
          <w:rtl/>
        </w:rPr>
        <w:t>)</w:t>
      </w:r>
      <w:r w:rsidRPr="00422EC7">
        <w:rPr>
          <w:szCs w:val="18"/>
          <w:rtl/>
        </w:rPr>
        <w:tab/>
        <w:t xml:space="preserve">انظر، على سبيل المثال، </w:t>
      </w:r>
      <w:r w:rsidRPr="00660F34">
        <w:rPr>
          <w:i/>
          <w:iCs/>
          <w:szCs w:val="18"/>
          <w:rtl/>
        </w:rPr>
        <w:t>بوبلافني ضد بيلاروس</w:t>
      </w:r>
      <w:r w:rsidRPr="00422EC7">
        <w:rPr>
          <w:szCs w:val="18"/>
          <w:rtl/>
        </w:rPr>
        <w:t xml:space="preserve"> </w:t>
      </w:r>
      <w:r w:rsidRPr="00422EC7">
        <w:rPr>
          <w:rFonts w:ascii="Simplified Arabic"/>
          <w:szCs w:val="18"/>
          <w:rtl/>
        </w:rPr>
        <w:t>(</w:t>
      </w:r>
      <w:hyperlink r:id="rId11" w:history="1">
        <w:r w:rsidRPr="00422EC7">
          <w:rPr>
            <w:rStyle w:val="Hyperlink"/>
          </w:rPr>
          <w:t>CCPR/C/</w:t>
        </w:r>
        <w:r w:rsidRPr="00660F34">
          <w:rPr>
            <w:rStyle w:val="Hyperlink"/>
          </w:rPr>
          <w:t>115</w:t>
        </w:r>
        <w:r w:rsidRPr="00422EC7">
          <w:rPr>
            <w:rStyle w:val="Hyperlink"/>
          </w:rPr>
          <w:t>/D/</w:t>
        </w:r>
        <w:r w:rsidRPr="00660F34">
          <w:rPr>
            <w:rStyle w:val="Hyperlink"/>
          </w:rPr>
          <w:t>2019</w:t>
        </w:r>
        <w:r w:rsidRPr="00422EC7">
          <w:rPr>
            <w:rStyle w:val="Hyperlink"/>
          </w:rPr>
          <w:t>/</w:t>
        </w:r>
        <w:r w:rsidRPr="00660F34">
          <w:rPr>
            <w:rStyle w:val="Hyperlink"/>
          </w:rPr>
          <w:t>2010</w:t>
        </w:r>
      </w:hyperlink>
      <w:r w:rsidRPr="00422EC7">
        <w:rPr>
          <w:rFonts w:ascii="Simplified Arabic"/>
          <w:szCs w:val="18"/>
          <w:rtl/>
        </w:rPr>
        <w:t>)</w:t>
      </w:r>
      <w:r w:rsidRPr="00422EC7">
        <w:rPr>
          <w:szCs w:val="18"/>
          <w:rtl/>
        </w:rPr>
        <w:t xml:space="preserve">، الفقرة </w:t>
      </w:r>
      <w:r w:rsidRPr="00660F34">
        <w:rPr>
          <w:rFonts w:ascii="Simplified Arabic"/>
          <w:szCs w:val="18"/>
          <w:rtl/>
        </w:rPr>
        <w:t>8</w:t>
      </w:r>
      <w:r w:rsidRPr="00422EC7">
        <w:rPr>
          <w:rFonts w:ascii="Simplified Arabic"/>
          <w:szCs w:val="18"/>
          <w:rtl/>
        </w:rPr>
        <w:t>-</w:t>
      </w:r>
      <w:r w:rsidRPr="00660F34">
        <w:rPr>
          <w:rFonts w:ascii="Simplified Arabic"/>
          <w:szCs w:val="18"/>
          <w:rtl/>
        </w:rPr>
        <w:t>4</w:t>
      </w:r>
      <w:r w:rsidRPr="00422EC7">
        <w:rPr>
          <w:szCs w:val="18"/>
          <w:rtl/>
        </w:rPr>
        <w:t xml:space="preserve">. </w:t>
      </w:r>
    </w:p>
  </w:footnote>
  <w:footnote w:id="15">
    <w:p w14:paraId="38B1E4F7" w14:textId="77777777" w:rsidR="00793F70" w:rsidRPr="00422EC7" w:rsidRDefault="00793F70" w:rsidP="00793F70">
      <w:pPr>
        <w:pStyle w:val="FootnoteText"/>
        <w:tabs>
          <w:tab w:val="clear" w:pos="1021"/>
        </w:tabs>
        <w:bidi/>
        <w:spacing w:after="60" w:line="280" w:lineRule="exact"/>
        <w:ind w:left="1247" w:right="1247" w:hanging="567"/>
        <w:jc w:val="lowKashida"/>
        <w:textDirection w:val="tbRlV"/>
        <w:rPr>
          <w:szCs w:val="18"/>
          <w:lang w:val="ar-SA" w:eastAsia="zh-TW" w:bidi="en-GB"/>
        </w:rPr>
      </w:pPr>
      <w:r w:rsidRPr="00422EC7">
        <w:rPr>
          <w:rStyle w:val="FootnoteReference"/>
          <w:vertAlign w:val="baseline"/>
          <w:rtl/>
        </w:rPr>
        <w:t>(</w:t>
      </w:r>
      <w:r w:rsidRPr="00660F34">
        <w:rPr>
          <w:rStyle w:val="FootnoteReference"/>
          <w:vertAlign w:val="baseline"/>
        </w:rPr>
        <w:footnoteRef/>
      </w:r>
      <w:r w:rsidRPr="00422EC7">
        <w:rPr>
          <w:rStyle w:val="FootnoteReference"/>
          <w:vertAlign w:val="baseline"/>
          <w:rtl/>
        </w:rPr>
        <w:t>)</w:t>
      </w:r>
      <w:r w:rsidRPr="00422EC7">
        <w:rPr>
          <w:szCs w:val="18"/>
          <w:rtl/>
        </w:rPr>
        <w:tab/>
      </w:r>
      <w:r w:rsidRPr="001326F7">
        <w:rPr>
          <w:spacing w:val="-2"/>
          <w:szCs w:val="18"/>
          <w:rtl/>
        </w:rPr>
        <w:t xml:space="preserve">انظر، على سبيل المثال، </w:t>
      </w:r>
      <w:r w:rsidRPr="00660F34">
        <w:rPr>
          <w:i/>
          <w:iCs/>
          <w:spacing w:val="-2"/>
          <w:szCs w:val="18"/>
          <w:rtl/>
        </w:rPr>
        <w:t>مالي ضد بيلاروس</w:t>
      </w:r>
      <w:r w:rsidRPr="001326F7">
        <w:rPr>
          <w:spacing w:val="-2"/>
          <w:szCs w:val="18"/>
          <w:rtl/>
        </w:rPr>
        <w:t xml:space="preserve"> </w:t>
      </w:r>
      <w:r w:rsidRPr="001326F7">
        <w:rPr>
          <w:rFonts w:ascii="Simplified Arabic"/>
          <w:spacing w:val="-2"/>
          <w:szCs w:val="18"/>
          <w:rtl/>
        </w:rPr>
        <w:t>(</w:t>
      </w:r>
      <w:hyperlink r:id="rId12" w:history="1">
        <w:r w:rsidRPr="001326F7">
          <w:rPr>
            <w:rStyle w:val="Hyperlink"/>
            <w:spacing w:val="-2"/>
          </w:rPr>
          <w:t>CCPR/C/</w:t>
        </w:r>
        <w:r w:rsidRPr="00660F34">
          <w:rPr>
            <w:rStyle w:val="Hyperlink"/>
            <w:spacing w:val="-2"/>
          </w:rPr>
          <w:t>129</w:t>
        </w:r>
        <w:r w:rsidRPr="001326F7">
          <w:rPr>
            <w:rStyle w:val="Hyperlink"/>
            <w:spacing w:val="-2"/>
          </w:rPr>
          <w:t>/D/</w:t>
        </w:r>
        <w:r w:rsidRPr="00660F34">
          <w:rPr>
            <w:rStyle w:val="Hyperlink"/>
            <w:spacing w:val="-2"/>
          </w:rPr>
          <w:t>2404</w:t>
        </w:r>
        <w:r w:rsidRPr="001326F7">
          <w:rPr>
            <w:rStyle w:val="Hyperlink"/>
            <w:spacing w:val="-2"/>
          </w:rPr>
          <w:t>/</w:t>
        </w:r>
        <w:r w:rsidRPr="00660F34">
          <w:rPr>
            <w:rStyle w:val="Hyperlink"/>
            <w:spacing w:val="-2"/>
          </w:rPr>
          <w:t>2014</w:t>
        </w:r>
      </w:hyperlink>
      <w:r w:rsidRPr="001326F7">
        <w:rPr>
          <w:rFonts w:ascii="Simplified Arabic"/>
          <w:spacing w:val="-2"/>
          <w:szCs w:val="18"/>
          <w:rtl/>
        </w:rPr>
        <w:t>)</w:t>
      </w:r>
      <w:r w:rsidRPr="001326F7">
        <w:rPr>
          <w:spacing w:val="-2"/>
          <w:szCs w:val="18"/>
          <w:rtl/>
        </w:rPr>
        <w:t xml:space="preserve">، الفقرة </w:t>
      </w:r>
      <w:r w:rsidRPr="00660F34">
        <w:rPr>
          <w:rFonts w:ascii="Simplified Arabic"/>
          <w:spacing w:val="-2"/>
          <w:szCs w:val="18"/>
          <w:rtl/>
        </w:rPr>
        <w:t>9</w:t>
      </w:r>
      <w:r w:rsidRPr="001326F7">
        <w:rPr>
          <w:rFonts w:ascii="Simplified Arabic"/>
          <w:spacing w:val="-2"/>
          <w:szCs w:val="18"/>
          <w:rtl/>
        </w:rPr>
        <w:t>-</w:t>
      </w:r>
      <w:r w:rsidRPr="00660F34">
        <w:rPr>
          <w:rFonts w:ascii="Simplified Arabic"/>
          <w:spacing w:val="-2"/>
          <w:szCs w:val="18"/>
          <w:rtl/>
        </w:rPr>
        <w:t>7</w:t>
      </w:r>
      <w:r w:rsidRPr="001326F7">
        <w:rPr>
          <w:spacing w:val="-2"/>
          <w:szCs w:val="18"/>
          <w:rtl/>
        </w:rPr>
        <w:t>؛ و</w:t>
      </w:r>
      <w:r w:rsidRPr="00660F34">
        <w:rPr>
          <w:i/>
          <w:iCs/>
          <w:spacing w:val="-2"/>
          <w:szCs w:val="18"/>
          <w:rtl/>
        </w:rPr>
        <w:t>تولتشينا وآخرون ضد بيلاروس</w:t>
      </w:r>
      <w:r w:rsidRPr="00422EC7">
        <w:rPr>
          <w:szCs w:val="18"/>
          <w:rtl/>
        </w:rPr>
        <w:t xml:space="preserve"> </w:t>
      </w:r>
      <w:r w:rsidRPr="00422EC7">
        <w:rPr>
          <w:rFonts w:ascii="Simplified Arabic"/>
          <w:szCs w:val="18"/>
          <w:rtl/>
        </w:rPr>
        <w:t>(</w:t>
      </w:r>
      <w:hyperlink r:id="rId13" w:history="1">
        <w:r w:rsidRPr="00422EC7">
          <w:rPr>
            <w:rStyle w:val="Hyperlink"/>
          </w:rPr>
          <w:t>CCPR/C/</w:t>
        </w:r>
        <w:r w:rsidRPr="00660F34">
          <w:rPr>
            <w:rStyle w:val="Hyperlink"/>
          </w:rPr>
          <w:t>132</w:t>
        </w:r>
        <w:r w:rsidRPr="00422EC7">
          <w:rPr>
            <w:rStyle w:val="Hyperlink"/>
          </w:rPr>
          <w:t>/D/</w:t>
        </w:r>
        <w:r w:rsidRPr="00660F34">
          <w:rPr>
            <w:rStyle w:val="Hyperlink"/>
          </w:rPr>
          <w:t>2857</w:t>
        </w:r>
        <w:r w:rsidRPr="00422EC7">
          <w:rPr>
            <w:rStyle w:val="Hyperlink"/>
          </w:rPr>
          <w:t>/</w:t>
        </w:r>
        <w:r w:rsidRPr="00660F34">
          <w:rPr>
            <w:rStyle w:val="Hyperlink"/>
          </w:rPr>
          <w:t>2016</w:t>
        </w:r>
      </w:hyperlink>
      <w:r w:rsidRPr="00422EC7">
        <w:rPr>
          <w:rFonts w:ascii="Simplified Arabic"/>
          <w:szCs w:val="18"/>
          <w:rtl/>
        </w:rPr>
        <w:t>)</w:t>
      </w:r>
      <w:r w:rsidRPr="00422EC7">
        <w:rPr>
          <w:szCs w:val="18"/>
          <w:rtl/>
        </w:rPr>
        <w:t xml:space="preserve">، الفقرة </w:t>
      </w:r>
      <w:r w:rsidRPr="00660F34">
        <w:rPr>
          <w:rFonts w:ascii="Simplified Arabic"/>
          <w:szCs w:val="18"/>
          <w:rtl/>
        </w:rPr>
        <w:t>7</w:t>
      </w:r>
      <w:r w:rsidRPr="00422EC7">
        <w:rPr>
          <w:rFonts w:ascii="Simplified Arabic"/>
          <w:szCs w:val="18"/>
          <w:rtl/>
        </w:rPr>
        <w:t>-</w:t>
      </w:r>
      <w:r w:rsidRPr="00660F34">
        <w:rPr>
          <w:rFonts w:ascii="Simplified Arabic"/>
          <w:szCs w:val="18"/>
          <w:rtl/>
        </w:rPr>
        <w:t>6</w:t>
      </w:r>
      <w:r w:rsidRPr="00422EC7">
        <w:rPr>
          <w:szCs w:val="18"/>
          <w:rtl/>
        </w:rPr>
        <w:t>؛ و</w:t>
      </w:r>
      <w:r w:rsidRPr="00660F34">
        <w:rPr>
          <w:i/>
          <w:iCs/>
          <w:szCs w:val="18"/>
          <w:rtl/>
        </w:rPr>
        <w:t>زافادسكايا وآخرون ضد بيلاروس</w:t>
      </w:r>
      <w:r w:rsidRPr="00422EC7">
        <w:rPr>
          <w:szCs w:val="18"/>
          <w:rtl/>
        </w:rPr>
        <w:t xml:space="preserve"> </w:t>
      </w:r>
      <w:r w:rsidRPr="00422EC7">
        <w:rPr>
          <w:rFonts w:ascii="Simplified Arabic"/>
          <w:szCs w:val="18"/>
          <w:rtl/>
        </w:rPr>
        <w:t>(</w:t>
      </w:r>
      <w:hyperlink r:id="rId14" w:history="1">
        <w:r w:rsidRPr="00422EC7">
          <w:rPr>
            <w:rStyle w:val="Hyperlink"/>
          </w:rPr>
          <w:t>CCPR/C/</w:t>
        </w:r>
        <w:r w:rsidRPr="00660F34">
          <w:rPr>
            <w:rStyle w:val="Hyperlink"/>
          </w:rPr>
          <w:t>132</w:t>
        </w:r>
        <w:r w:rsidRPr="00422EC7">
          <w:rPr>
            <w:rStyle w:val="Hyperlink"/>
          </w:rPr>
          <w:t>/D/</w:t>
        </w:r>
        <w:r w:rsidRPr="00660F34">
          <w:rPr>
            <w:rStyle w:val="Hyperlink"/>
          </w:rPr>
          <w:t>2865</w:t>
        </w:r>
        <w:r w:rsidRPr="00422EC7">
          <w:rPr>
            <w:rStyle w:val="Hyperlink"/>
          </w:rPr>
          <w:t>/</w:t>
        </w:r>
        <w:r w:rsidRPr="00660F34">
          <w:rPr>
            <w:rStyle w:val="Hyperlink"/>
          </w:rPr>
          <w:t>2016</w:t>
        </w:r>
      </w:hyperlink>
      <w:r w:rsidRPr="00422EC7">
        <w:rPr>
          <w:rFonts w:ascii="Simplified Arabic"/>
          <w:szCs w:val="18"/>
          <w:rtl/>
        </w:rPr>
        <w:t>)</w:t>
      </w:r>
      <w:r w:rsidRPr="00422EC7">
        <w:rPr>
          <w:szCs w:val="18"/>
          <w:rtl/>
        </w:rPr>
        <w:t xml:space="preserve">، الفقرة </w:t>
      </w:r>
      <w:r w:rsidRPr="00660F34">
        <w:rPr>
          <w:rFonts w:ascii="Simplified Arabic"/>
          <w:szCs w:val="18"/>
          <w:rtl/>
        </w:rPr>
        <w:t>7</w:t>
      </w:r>
      <w:r w:rsidRPr="00422EC7">
        <w:rPr>
          <w:rFonts w:ascii="Simplified Arabic"/>
          <w:szCs w:val="18"/>
          <w:rtl/>
        </w:rPr>
        <w:t>-</w:t>
      </w:r>
      <w:r w:rsidRPr="00660F34">
        <w:rPr>
          <w:rFonts w:ascii="Simplified Arabic"/>
          <w:szCs w:val="18"/>
          <w:rtl/>
        </w:rPr>
        <w:t>6</w:t>
      </w:r>
      <w:r w:rsidRPr="00422EC7">
        <w:rPr>
          <w:szCs w:val="18"/>
          <w:rtl/>
        </w:rPr>
        <w:t>؛ و</w:t>
      </w:r>
      <w:r w:rsidRPr="00660F34">
        <w:rPr>
          <w:i/>
          <w:iCs/>
          <w:szCs w:val="18"/>
          <w:rtl/>
        </w:rPr>
        <w:t>بوبوفا ضد الاتحاد الروسي</w:t>
      </w:r>
      <w:r w:rsidRPr="00422EC7">
        <w:rPr>
          <w:szCs w:val="18"/>
          <w:rtl/>
        </w:rPr>
        <w:t xml:space="preserve"> </w:t>
      </w:r>
      <w:r w:rsidRPr="00422EC7">
        <w:rPr>
          <w:rFonts w:ascii="Simplified Arabic"/>
          <w:szCs w:val="18"/>
          <w:rtl/>
        </w:rPr>
        <w:t>(</w:t>
      </w:r>
      <w:hyperlink r:id="rId15" w:history="1">
        <w:r w:rsidRPr="00422EC7">
          <w:rPr>
            <w:rStyle w:val="Hyperlink"/>
          </w:rPr>
          <w:t>CCPR/C/</w:t>
        </w:r>
        <w:r w:rsidRPr="00660F34">
          <w:rPr>
            <w:rStyle w:val="Hyperlink"/>
          </w:rPr>
          <w:t>122</w:t>
        </w:r>
        <w:r w:rsidRPr="00422EC7">
          <w:rPr>
            <w:rStyle w:val="Hyperlink"/>
          </w:rPr>
          <w:t>/D/</w:t>
        </w:r>
        <w:r w:rsidRPr="00660F34">
          <w:rPr>
            <w:rStyle w:val="Hyperlink"/>
          </w:rPr>
          <w:t>2217</w:t>
        </w:r>
        <w:r w:rsidRPr="00422EC7">
          <w:rPr>
            <w:rStyle w:val="Hyperlink"/>
          </w:rPr>
          <w:t>/</w:t>
        </w:r>
        <w:r w:rsidRPr="00660F34">
          <w:rPr>
            <w:rStyle w:val="Hyperlink"/>
          </w:rPr>
          <w:t>2012</w:t>
        </w:r>
      </w:hyperlink>
      <w:r w:rsidRPr="00422EC7">
        <w:rPr>
          <w:rFonts w:ascii="Simplified Arabic"/>
          <w:szCs w:val="18"/>
          <w:rtl/>
        </w:rPr>
        <w:t>)</w:t>
      </w:r>
      <w:r w:rsidRPr="00422EC7">
        <w:rPr>
          <w:szCs w:val="18"/>
          <w:rtl/>
        </w:rPr>
        <w:t xml:space="preserve">، الفقرة </w:t>
      </w:r>
      <w:r w:rsidRPr="00660F34">
        <w:rPr>
          <w:rFonts w:ascii="Simplified Arabic"/>
          <w:szCs w:val="18"/>
          <w:rtl/>
        </w:rPr>
        <w:t>7</w:t>
      </w:r>
      <w:r w:rsidRPr="00422EC7">
        <w:rPr>
          <w:rFonts w:ascii="Simplified Arabic"/>
          <w:szCs w:val="18"/>
          <w:rtl/>
        </w:rPr>
        <w:t>-</w:t>
      </w:r>
      <w:r w:rsidRPr="00660F34">
        <w:rPr>
          <w:rFonts w:ascii="Simplified Arabic"/>
          <w:szCs w:val="18"/>
          <w:rtl/>
        </w:rPr>
        <w:t>6</w:t>
      </w:r>
      <w:r w:rsidRPr="00422EC7">
        <w:rPr>
          <w:szCs w:val="18"/>
          <w:rtl/>
        </w:rPr>
        <w:t>؛ و</w:t>
      </w:r>
      <w:r w:rsidRPr="00660F34">
        <w:rPr>
          <w:i/>
          <w:iCs/>
          <w:szCs w:val="18"/>
          <w:rtl/>
        </w:rPr>
        <w:t>صاديقوف ضد كازاخستان</w:t>
      </w:r>
      <w:r w:rsidRPr="00422EC7">
        <w:rPr>
          <w:szCs w:val="18"/>
          <w:rtl/>
        </w:rPr>
        <w:t xml:space="preserve"> </w:t>
      </w:r>
      <w:r w:rsidRPr="00422EC7">
        <w:rPr>
          <w:rFonts w:ascii="Simplified Arabic"/>
          <w:szCs w:val="18"/>
          <w:rtl/>
        </w:rPr>
        <w:t>(</w:t>
      </w:r>
      <w:hyperlink r:id="rId16" w:history="1">
        <w:r w:rsidRPr="00422EC7">
          <w:rPr>
            <w:rStyle w:val="Hyperlink"/>
          </w:rPr>
          <w:t>CCPR/C/</w:t>
        </w:r>
        <w:r w:rsidRPr="00660F34">
          <w:rPr>
            <w:rStyle w:val="Hyperlink"/>
          </w:rPr>
          <w:t>129</w:t>
        </w:r>
        <w:r w:rsidRPr="00422EC7">
          <w:rPr>
            <w:rStyle w:val="Hyperlink"/>
          </w:rPr>
          <w:t>/D/</w:t>
        </w:r>
        <w:r w:rsidRPr="00660F34">
          <w:rPr>
            <w:rStyle w:val="Hyperlink"/>
          </w:rPr>
          <w:t>2456</w:t>
        </w:r>
        <w:r w:rsidRPr="00422EC7">
          <w:rPr>
            <w:rStyle w:val="Hyperlink"/>
          </w:rPr>
          <w:t>/</w:t>
        </w:r>
        <w:r w:rsidRPr="00660F34">
          <w:rPr>
            <w:rStyle w:val="Hyperlink"/>
          </w:rPr>
          <w:t>2014</w:t>
        </w:r>
      </w:hyperlink>
      <w:r w:rsidRPr="00422EC7">
        <w:rPr>
          <w:rFonts w:ascii="Simplified Arabic"/>
          <w:szCs w:val="18"/>
          <w:rtl/>
        </w:rPr>
        <w:t>)</w:t>
      </w:r>
      <w:r w:rsidRPr="00422EC7">
        <w:rPr>
          <w:szCs w:val="18"/>
          <w:rtl/>
        </w:rPr>
        <w:t xml:space="preserve">، الفقرة </w:t>
      </w:r>
      <w:r w:rsidRPr="00660F34">
        <w:rPr>
          <w:rFonts w:ascii="Simplified Arabic"/>
          <w:szCs w:val="18"/>
          <w:rtl/>
        </w:rPr>
        <w:t>7</w:t>
      </w:r>
      <w:r w:rsidRPr="00422EC7">
        <w:rPr>
          <w:rFonts w:ascii="Simplified Arabic"/>
          <w:szCs w:val="18"/>
          <w:rtl/>
        </w:rPr>
        <w:t>-</w:t>
      </w:r>
      <w:r w:rsidRPr="00660F34">
        <w:rPr>
          <w:rFonts w:ascii="Simplified Arabic"/>
          <w:szCs w:val="18"/>
          <w:rtl/>
        </w:rPr>
        <w:t>7</w:t>
      </w:r>
      <w:r w:rsidRPr="00422EC7">
        <w:rPr>
          <w:szCs w:val="18"/>
          <w:rtl/>
        </w:rPr>
        <w:t xml:space="preserve">. </w:t>
      </w:r>
    </w:p>
  </w:footnote>
  <w:footnote w:id="16">
    <w:p w14:paraId="3A0ADC4A" w14:textId="62198889" w:rsidR="00793F70" w:rsidRPr="00422EC7" w:rsidRDefault="00793F70" w:rsidP="00793F70">
      <w:pPr>
        <w:pStyle w:val="FootnoteText"/>
        <w:tabs>
          <w:tab w:val="clear" w:pos="1021"/>
        </w:tabs>
        <w:bidi/>
        <w:spacing w:after="60" w:line="280" w:lineRule="exact"/>
        <w:ind w:left="1247" w:right="1247" w:hanging="567"/>
        <w:jc w:val="lowKashida"/>
        <w:textDirection w:val="tbRlV"/>
        <w:rPr>
          <w:szCs w:val="18"/>
          <w:lang w:val="ar-SA" w:eastAsia="zh-TW" w:bidi="en-GB"/>
        </w:rPr>
      </w:pPr>
      <w:r w:rsidRPr="00422EC7">
        <w:rPr>
          <w:rStyle w:val="FootnoteReference"/>
          <w:vertAlign w:val="baseline"/>
          <w:rtl/>
        </w:rPr>
        <w:t>(</w:t>
      </w:r>
      <w:r w:rsidRPr="00660F34">
        <w:rPr>
          <w:rStyle w:val="FootnoteReference"/>
          <w:vertAlign w:val="baseline"/>
        </w:rPr>
        <w:footnoteRef/>
      </w:r>
      <w:r w:rsidRPr="00422EC7">
        <w:rPr>
          <w:rStyle w:val="FootnoteReference"/>
          <w:vertAlign w:val="baseline"/>
          <w:rtl/>
        </w:rPr>
        <w:t>)</w:t>
      </w:r>
      <w:r w:rsidRPr="00422EC7">
        <w:rPr>
          <w:szCs w:val="18"/>
          <w:rtl/>
        </w:rPr>
        <w:tab/>
        <w:t>انظر، على سبيل المثال،</w:t>
      </w:r>
      <w:r w:rsidR="00660F34">
        <w:rPr>
          <w:rFonts w:hint="cs"/>
          <w:szCs w:val="18"/>
          <w:rtl/>
        </w:rPr>
        <w:t xml:space="preserve"> </w:t>
      </w:r>
      <w:r w:rsidRPr="00660F34">
        <w:rPr>
          <w:i/>
          <w:iCs/>
          <w:szCs w:val="18"/>
          <w:rtl/>
        </w:rPr>
        <w:t>أندروسينكو ضد بيلاروس</w:t>
      </w:r>
      <w:r w:rsidRPr="00422EC7">
        <w:rPr>
          <w:szCs w:val="18"/>
          <w:rtl/>
        </w:rPr>
        <w:t xml:space="preserve"> </w:t>
      </w:r>
      <w:r w:rsidRPr="00422EC7">
        <w:rPr>
          <w:rFonts w:ascii="Simplified Arabic"/>
          <w:szCs w:val="18"/>
          <w:rtl/>
        </w:rPr>
        <w:t>(</w:t>
      </w:r>
      <w:hyperlink r:id="rId17" w:history="1">
        <w:r w:rsidRPr="00422EC7">
          <w:rPr>
            <w:rStyle w:val="Hyperlink"/>
          </w:rPr>
          <w:t>CCPR/C/</w:t>
        </w:r>
        <w:r w:rsidRPr="00660F34">
          <w:rPr>
            <w:rStyle w:val="Hyperlink"/>
          </w:rPr>
          <w:t>116</w:t>
        </w:r>
        <w:r w:rsidRPr="00422EC7">
          <w:rPr>
            <w:rStyle w:val="Hyperlink"/>
          </w:rPr>
          <w:t>/D/</w:t>
        </w:r>
        <w:r w:rsidRPr="00660F34">
          <w:rPr>
            <w:rStyle w:val="Hyperlink"/>
          </w:rPr>
          <w:t>2092</w:t>
        </w:r>
        <w:r w:rsidRPr="00422EC7">
          <w:rPr>
            <w:rStyle w:val="Hyperlink"/>
          </w:rPr>
          <w:t>/</w:t>
        </w:r>
        <w:r w:rsidRPr="00660F34">
          <w:rPr>
            <w:rStyle w:val="Hyperlink"/>
          </w:rPr>
          <w:t>2011</w:t>
        </w:r>
      </w:hyperlink>
      <w:r w:rsidRPr="00422EC7">
        <w:rPr>
          <w:rFonts w:ascii="Simplified Arabic"/>
          <w:szCs w:val="18"/>
          <w:rtl/>
        </w:rPr>
        <w:t>)</w:t>
      </w:r>
      <w:r w:rsidRPr="00422EC7">
        <w:rPr>
          <w:szCs w:val="18"/>
          <w:rtl/>
        </w:rPr>
        <w:t xml:space="preserve">، الفقرة </w:t>
      </w:r>
      <w:r w:rsidRPr="00660F34">
        <w:rPr>
          <w:rFonts w:ascii="Simplified Arabic"/>
          <w:szCs w:val="18"/>
          <w:rtl/>
        </w:rPr>
        <w:t>7</w:t>
      </w:r>
      <w:r w:rsidRPr="00422EC7">
        <w:rPr>
          <w:rFonts w:ascii="Simplified Arabic"/>
          <w:szCs w:val="18"/>
          <w:rtl/>
        </w:rPr>
        <w:t>-</w:t>
      </w:r>
      <w:r w:rsidRPr="00660F34">
        <w:rPr>
          <w:rFonts w:ascii="Simplified Arabic"/>
          <w:szCs w:val="18"/>
          <w:rtl/>
        </w:rPr>
        <w:t>3</w:t>
      </w:r>
      <w:r w:rsidRPr="00422EC7">
        <w:rPr>
          <w:szCs w:val="18"/>
          <w:rtl/>
        </w:rPr>
        <w:t xml:space="preserve">. </w:t>
      </w:r>
    </w:p>
  </w:footnote>
  <w:footnote w:id="17">
    <w:p w14:paraId="304C7F8B" w14:textId="77777777" w:rsidR="00793F70" w:rsidRPr="00422EC7" w:rsidRDefault="00793F70" w:rsidP="00793F70">
      <w:pPr>
        <w:pStyle w:val="FootnoteText"/>
        <w:widowControl w:val="0"/>
        <w:tabs>
          <w:tab w:val="clear" w:pos="1021"/>
        </w:tabs>
        <w:bidi/>
        <w:spacing w:after="60" w:line="280" w:lineRule="exact"/>
        <w:ind w:left="1247" w:right="1247" w:hanging="567"/>
        <w:jc w:val="lowKashida"/>
        <w:textDirection w:val="tbRlV"/>
        <w:rPr>
          <w:szCs w:val="18"/>
          <w:lang w:val="ar-SA" w:eastAsia="zh-TW" w:bidi="en-GB"/>
        </w:rPr>
      </w:pPr>
      <w:r w:rsidRPr="00422EC7">
        <w:rPr>
          <w:rStyle w:val="FootnoteReference"/>
          <w:vertAlign w:val="baseline"/>
          <w:rtl/>
        </w:rPr>
        <w:t>(</w:t>
      </w:r>
      <w:r w:rsidRPr="00660F34">
        <w:rPr>
          <w:rStyle w:val="FootnoteReference"/>
          <w:vertAlign w:val="baseline"/>
        </w:rPr>
        <w:footnoteRef/>
      </w:r>
      <w:r w:rsidRPr="00422EC7">
        <w:rPr>
          <w:rStyle w:val="FootnoteReference"/>
          <w:vertAlign w:val="baseline"/>
          <w:rtl/>
        </w:rPr>
        <w:t>)</w:t>
      </w:r>
      <w:r w:rsidRPr="00422EC7">
        <w:rPr>
          <w:szCs w:val="18"/>
          <w:rtl/>
        </w:rPr>
        <w:tab/>
        <w:t xml:space="preserve">انظر، على سبيل المثال، </w:t>
      </w:r>
      <w:r w:rsidRPr="00660F34">
        <w:rPr>
          <w:i/>
          <w:iCs/>
          <w:szCs w:val="18"/>
          <w:rtl/>
        </w:rPr>
        <w:t>زاليسسكايا ضد بيلاروس</w:t>
      </w:r>
      <w:r w:rsidRPr="00422EC7">
        <w:rPr>
          <w:szCs w:val="18"/>
          <w:rtl/>
        </w:rPr>
        <w:t xml:space="preserve"> </w:t>
      </w:r>
      <w:r w:rsidRPr="00422EC7">
        <w:rPr>
          <w:rFonts w:ascii="Simplified Arabic"/>
          <w:szCs w:val="18"/>
          <w:rtl/>
        </w:rPr>
        <w:t>(</w:t>
      </w:r>
      <w:hyperlink r:id="rId18" w:history="1">
        <w:r w:rsidRPr="00422EC7">
          <w:rPr>
            <w:rStyle w:val="Hyperlink"/>
          </w:rPr>
          <w:t>CCPR/C/</w:t>
        </w:r>
        <w:r w:rsidRPr="00660F34">
          <w:rPr>
            <w:rStyle w:val="Hyperlink"/>
          </w:rPr>
          <w:t>101</w:t>
        </w:r>
        <w:r w:rsidRPr="00422EC7">
          <w:rPr>
            <w:rStyle w:val="Hyperlink"/>
          </w:rPr>
          <w:t>/D/</w:t>
        </w:r>
        <w:r w:rsidRPr="00660F34">
          <w:rPr>
            <w:rStyle w:val="Hyperlink"/>
          </w:rPr>
          <w:t>1604</w:t>
        </w:r>
        <w:r w:rsidRPr="00422EC7">
          <w:rPr>
            <w:rStyle w:val="Hyperlink"/>
          </w:rPr>
          <w:t>/</w:t>
        </w:r>
        <w:r w:rsidRPr="00660F34">
          <w:rPr>
            <w:rStyle w:val="Hyperlink"/>
          </w:rPr>
          <w:t>2007</w:t>
        </w:r>
      </w:hyperlink>
      <w:r w:rsidRPr="00422EC7">
        <w:rPr>
          <w:rFonts w:ascii="Simplified Arabic"/>
          <w:szCs w:val="18"/>
          <w:rtl/>
        </w:rPr>
        <w:t>)</w:t>
      </w:r>
      <w:r w:rsidRPr="00422EC7">
        <w:rPr>
          <w:szCs w:val="18"/>
          <w:rtl/>
        </w:rPr>
        <w:t xml:space="preserve">، الفقرة </w:t>
      </w:r>
      <w:r w:rsidRPr="00660F34">
        <w:rPr>
          <w:rFonts w:ascii="Simplified Arabic"/>
          <w:szCs w:val="18"/>
          <w:rtl/>
        </w:rPr>
        <w:t>10</w:t>
      </w:r>
      <w:r w:rsidRPr="00422EC7">
        <w:rPr>
          <w:rFonts w:ascii="Simplified Arabic"/>
          <w:szCs w:val="18"/>
          <w:rtl/>
        </w:rPr>
        <w:t>-</w:t>
      </w:r>
      <w:r w:rsidRPr="00660F34">
        <w:rPr>
          <w:rFonts w:ascii="Simplified Arabic"/>
          <w:szCs w:val="18"/>
          <w:rtl/>
        </w:rPr>
        <w:t>5</w:t>
      </w:r>
      <w:r w:rsidRPr="00422EC7">
        <w:rPr>
          <w:rFonts w:ascii="Simplified Arabic"/>
          <w:szCs w:val="18"/>
          <w:rtl/>
        </w:rPr>
        <w:t>.</w:t>
      </w:r>
      <w:r w:rsidRPr="00422EC7">
        <w:rPr>
          <w:szCs w:val="18"/>
          <w:rtl/>
        </w:rPr>
        <w:t xml:space="preserve"> </w:t>
      </w:r>
    </w:p>
  </w:footnote>
  <w:footnote w:id="18">
    <w:p w14:paraId="1F5D4D33" w14:textId="77777777" w:rsidR="00793F70" w:rsidRPr="00422EC7" w:rsidRDefault="00793F70" w:rsidP="00793F70">
      <w:pPr>
        <w:pStyle w:val="FootnoteText"/>
        <w:widowControl w:val="0"/>
        <w:tabs>
          <w:tab w:val="clear" w:pos="1021"/>
        </w:tabs>
        <w:bidi/>
        <w:spacing w:after="60" w:line="280" w:lineRule="exact"/>
        <w:ind w:left="1247" w:right="1247" w:hanging="567"/>
        <w:jc w:val="lowKashida"/>
        <w:textDirection w:val="tbRlV"/>
        <w:rPr>
          <w:szCs w:val="18"/>
          <w:lang w:eastAsia="zh-TW" w:bidi="en-GB"/>
        </w:rPr>
      </w:pPr>
      <w:r w:rsidRPr="00422EC7">
        <w:rPr>
          <w:rStyle w:val="FootnoteReference"/>
          <w:vertAlign w:val="baseline"/>
          <w:rtl/>
        </w:rPr>
        <w:t>(</w:t>
      </w:r>
      <w:r w:rsidRPr="00660F34">
        <w:rPr>
          <w:rStyle w:val="FootnoteReference"/>
          <w:vertAlign w:val="baseline"/>
        </w:rPr>
        <w:footnoteRef/>
      </w:r>
      <w:r w:rsidRPr="00422EC7">
        <w:rPr>
          <w:rStyle w:val="FootnoteReference"/>
          <w:vertAlign w:val="baseline"/>
          <w:rtl/>
        </w:rPr>
        <w:t>)</w:t>
      </w:r>
      <w:r w:rsidRPr="00422EC7">
        <w:rPr>
          <w:szCs w:val="18"/>
          <w:rtl/>
        </w:rPr>
        <w:tab/>
      </w:r>
      <w:r w:rsidRPr="001326F7">
        <w:rPr>
          <w:spacing w:val="-2"/>
          <w:szCs w:val="18"/>
          <w:rtl/>
        </w:rPr>
        <w:t xml:space="preserve">انظر، على سبيل المثال، </w:t>
      </w:r>
      <w:r w:rsidRPr="00660F34">
        <w:rPr>
          <w:i/>
          <w:iCs/>
          <w:spacing w:val="-2"/>
          <w:szCs w:val="18"/>
          <w:rtl/>
        </w:rPr>
        <w:t>توريغوزينا ضد كازخستان</w:t>
      </w:r>
      <w:r w:rsidRPr="001326F7">
        <w:rPr>
          <w:spacing w:val="-2"/>
          <w:szCs w:val="18"/>
          <w:rtl/>
        </w:rPr>
        <w:t xml:space="preserve"> </w:t>
      </w:r>
      <w:r w:rsidRPr="001326F7">
        <w:rPr>
          <w:rFonts w:ascii="Simplified Arabic"/>
          <w:spacing w:val="-2"/>
          <w:szCs w:val="18"/>
          <w:rtl/>
        </w:rPr>
        <w:t>(</w:t>
      </w:r>
      <w:hyperlink r:id="rId19" w:history="1">
        <w:r w:rsidRPr="001326F7">
          <w:rPr>
            <w:rStyle w:val="Hyperlink"/>
            <w:spacing w:val="-2"/>
          </w:rPr>
          <w:t>CCPR/C/</w:t>
        </w:r>
        <w:r w:rsidRPr="00660F34">
          <w:rPr>
            <w:rStyle w:val="Hyperlink"/>
            <w:spacing w:val="-2"/>
          </w:rPr>
          <w:t>112</w:t>
        </w:r>
        <w:r w:rsidRPr="001326F7">
          <w:rPr>
            <w:rStyle w:val="Hyperlink"/>
            <w:spacing w:val="-2"/>
          </w:rPr>
          <w:t>/D/</w:t>
        </w:r>
        <w:r w:rsidRPr="00660F34">
          <w:rPr>
            <w:rStyle w:val="Hyperlink"/>
            <w:spacing w:val="-2"/>
          </w:rPr>
          <w:t>2137</w:t>
        </w:r>
        <w:r w:rsidRPr="001326F7">
          <w:rPr>
            <w:rStyle w:val="Hyperlink"/>
            <w:spacing w:val="-2"/>
          </w:rPr>
          <w:t>/</w:t>
        </w:r>
        <w:r w:rsidRPr="00660F34">
          <w:rPr>
            <w:rStyle w:val="Hyperlink"/>
            <w:spacing w:val="-2"/>
          </w:rPr>
          <w:t>2012</w:t>
        </w:r>
      </w:hyperlink>
      <w:r w:rsidRPr="001326F7">
        <w:rPr>
          <w:rFonts w:ascii="Simplified Arabic"/>
          <w:spacing w:val="-2"/>
          <w:szCs w:val="18"/>
          <w:rtl/>
        </w:rPr>
        <w:t>)</w:t>
      </w:r>
      <w:r w:rsidRPr="001326F7">
        <w:rPr>
          <w:spacing w:val="-2"/>
          <w:szCs w:val="18"/>
          <w:rtl/>
        </w:rPr>
        <w:t xml:space="preserve">، الفقرة </w:t>
      </w:r>
      <w:r w:rsidRPr="00660F34">
        <w:rPr>
          <w:rFonts w:ascii="Simplified Arabic"/>
          <w:spacing w:val="-2"/>
          <w:szCs w:val="18"/>
          <w:rtl/>
        </w:rPr>
        <w:t>7</w:t>
      </w:r>
      <w:r w:rsidRPr="001326F7">
        <w:rPr>
          <w:rFonts w:ascii="Simplified Arabic"/>
          <w:spacing w:val="-2"/>
          <w:szCs w:val="18"/>
          <w:rtl/>
        </w:rPr>
        <w:t>-</w:t>
      </w:r>
      <w:r w:rsidRPr="00660F34">
        <w:rPr>
          <w:rFonts w:ascii="Simplified Arabic"/>
          <w:spacing w:val="-2"/>
          <w:szCs w:val="18"/>
          <w:rtl/>
        </w:rPr>
        <w:t>5</w:t>
      </w:r>
      <w:r w:rsidRPr="001326F7">
        <w:rPr>
          <w:spacing w:val="-2"/>
          <w:szCs w:val="18"/>
          <w:rtl/>
        </w:rPr>
        <w:t>؛ و</w:t>
      </w:r>
      <w:r w:rsidRPr="00660F34">
        <w:rPr>
          <w:i/>
          <w:iCs/>
          <w:spacing w:val="-2"/>
          <w:szCs w:val="18"/>
          <w:rtl/>
        </w:rPr>
        <w:t>زاجيباروف ضد كازاخستان</w:t>
      </w:r>
      <w:r w:rsidRPr="00422EC7">
        <w:rPr>
          <w:szCs w:val="18"/>
          <w:rtl/>
        </w:rPr>
        <w:t xml:space="preserve"> </w:t>
      </w:r>
      <w:r w:rsidRPr="00422EC7">
        <w:rPr>
          <w:rFonts w:ascii="Simplified Arabic"/>
          <w:szCs w:val="18"/>
          <w:rtl/>
        </w:rPr>
        <w:t>(</w:t>
      </w:r>
      <w:hyperlink r:id="rId20" w:history="1">
        <w:r w:rsidRPr="00422EC7">
          <w:rPr>
            <w:rStyle w:val="Hyperlink"/>
          </w:rPr>
          <w:t>CCPR/C/</w:t>
        </w:r>
        <w:r w:rsidRPr="00660F34">
          <w:rPr>
            <w:rStyle w:val="Hyperlink"/>
          </w:rPr>
          <w:t>124</w:t>
        </w:r>
        <w:r w:rsidRPr="00422EC7">
          <w:rPr>
            <w:rStyle w:val="Hyperlink"/>
          </w:rPr>
          <w:t>/D/</w:t>
        </w:r>
        <w:r w:rsidRPr="00660F34">
          <w:rPr>
            <w:rStyle w:val="Hyperlink"/>
          </w:rPr>
          <w:t>2441</w:t>
        </w:r>
        <w:r w:rsidRPr="00422EC7">
          <w:rPr>
            <w:rStyle w:val="Hyperlink"/>
          </w:rPr>
          <w:t>/</w:t>
        </w:r>
        <w:r w:rsidRPr="00660F34">
          <w:rPr>
            <w:rStyle w:val="Hyperlink"/>
          </w:rPr>
          <w:t>2014</w:t>
        </w:r>
      </w:hyperlink>
      <w:r w:rsidRPr="00422EC7">
        <w:rPr>
          <w:rFonts w:ascii="Simplified Arabic"/>
          <w:szCs w:val="18"/>
          <w:rtl/>
        </w:rPr>
        <w:t>)</w:t>
      </w:r>
      <w:r w:rsidRPr="00422EC7">
        <w:rPr>
          <w:szCs w:val="18"/>
          <w:rtl/>
        </w:rPr>
        <w:t xml:space="preserve">، الفقرة </w:t>
      </w:r>
      <w:r w:rsidRPr="00660F34">
        <w:rPr>
          <w:rFonts w:ascii="Simplified Arabic"/>
          <w:szCs w:val="18"/>
          <w:rtl/>
        </w:rPr>
        <w:t>13</w:t>
      </w:r>
      <w:r w:rsidRPr="00422EC7">
        <w:rPr>
          <w:rFonts w:ascii="Simplified Arabic"/>
          <w:szCs w:val="18"/>
          <w:rtl/>
        </w:rPr>
        <w:t>-</w:t>
      </w:r>
      <w:r w:rsidRPr="00660F34">
        <w:rPr>
          <w:rFonts w:ascii="Simplified Arabic"/>
          <w:szCs w:val="18"/>
          <w:rtl/>
        </w:rPr>
        <w:t>4</w:t>
      </w:r>
      <w:r w:rsidRPr="00422EC7">
        <w:rPr>
          <w:szCs w:val="18"/>
          <w:rtl/>
        </w:rPr>
        <w:t>؛ و</w:t>
      </w:r>
      <w:r w:rsidRPr="00660F34">
        <w:rPr>
          <w:i/>
          <w:iCs/>
          <w:szCs w:val="18"/>
          <w:rtl/>
        </w:rPr>
        <w:t>ششيتكو وششيتكو ضد بيلاروس</w:t>
      </w:r>
      <w:r w:rsidRPr="00422EC7">
        <w:rPr>
          <w:szCs w:val="18"/>
          <w:rtl/>
        </w:rPr>
        <w:t xml:space="preserve"> </w:t>
      </w:r>
      <w:r w:rsidRPr="00422EC7">
        <w:rPr>
          <w:rFonts w:ascii="Simplified Arabic"/>
          <w:szCs w:val="18"/>
          <w:rtl/>
        </w:rPr>
        <w:t>(</w:t>
      </w:r>
      <w:hyperlink r:id="rId21" w:history="1">
        <w:r w:rsidRPr="00422EC7">
          <w:rPr>
            <w:rStyle w:val="Hyperlink"/>
          </w:rPr>
          <w:t>CCPR/C/</w:t>
        </w:r>
        <w:r w:rsidRPr="00660F34">
          <w:rPr>
            <w:rStyle w:val="Hyperlink"/>
          </w:rPr>
          <w:t>87</w:t>
        </w:r>
        <w:r w:rsidRPr="00422EC7">
          <w:rPr>
            <w:rStyle w:val="Hyperlink"/>
          </w:rPr>
          <w:t>/D/</w:t>
        </w:r>
        <w:r w:rsidRPr="00660F34">
          <w:rPr>
            <w:rStyle w:val="Hyperlink"/>
          </w:rPr>
          <w:t>1009</w:t>
        </w:r>
        <w:r w:rsidRPr="00422EC7">
          <w:rPr>
            <w:rStyle w:val="Hyperlink"/>
          </w:rPr>
          <w:t>/</w:t>
        </w:r>
        <w:r w:rsidRPr="00660F34">
          <w:rPr>
            <w:rStyle w:val="Hyperlink"/>
          </w:rPr>
          <w:t>2001</w:t>
        </w:r>
      </w:hyperlink>
      <w:r w:rsidRPr="00422EC7">
        <w:rPr>
          <w:rFonts w:ascii="Simplified Arabic"/>
          <w:szCs w:val="18"/>
          <w:rtl/>
        </w:rPr>
        <w:t>)</w:t>
      </w:r>
      <w:r w:rsidRPr="00422EC7">
        <w:rPr>
          <w:szCs w:val="18"/>
          <w:rtl/>
        </w:rPr>
        <w:t xml:space="preserve">، الفقرة </w:t>
      </w:r>
      <w:r w:rsidRPr="00660F34">
        <w:rPr>
          <w:rFonts w:ascii="Simplified Arabic"/>
          <w:szCs w:val="18"/>
          <w:rtl/>
        </w:rPr>
        <w:t>7</w:t>
      </w:r>
      <w:r w:rsidRPr="00422EC7">
        <w:rPr>
          <w:rFonts w:ascii="Simplified Arabic"/>
          <w:szCs w:val="18"/>
          <w:rtl/>
        </w:rPr>
        <w:t>-</w:t>
      </w:r>
      <w:r w:rsidRPr="00660F34">
        <w:rPr>
          <w:rFonts w:ascii="Simplified Arabic"/>
          <w:szCs w:val="18"/>
          <w:rtl/>
        </w:rPr>
        <w:t>5</w:t>
      </w:r>
      <w:r w:rsidRPr="00422EC7">
        <w:rPr>
          <w:rFonts w:ascii="Simplified Arabic"/>
          <w:szCs w:val="18"/>
          <w:rtl/>
        </w:rPr>
        <w:t>.</w:t>
      </w:r>
      <w:r w:rsidRPr="00422EC7">
        <w:rPr>
          <w:szCs w:val="18"/>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3518F" w14:textId="4E3F64F0" w:rsidR="00D20D99" w:rsidRPr="00D20D99" w:rsidRDefault="00D20D99" w:rsidP="00D20D99">
    <w:pPr>
      <w:pStyle w:val="Header"/>
      <w:spacing w:line="240" w:lineRule="auto"/>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AF3BA2">
      <w:t>CCPR/C/135/D/3240/2018</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0963B" w14:textId="15633875" w:rsidR="00D20D99" w:rsidRPr="00D20D99" w:rsidRDefault="00D20D99" w:rsidP="00D20D99">
    <w:pPr>
      <w:pStyle w:val="Header"/>
      <w:bidi w:val="0"/>
      <w:spacing w:line="240" w:lineRule="auto"/>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AF3BA2">
      <w:t>CCPR/C/135/D/3240/2018</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16cid:durableId="799345948">
    <w:abstractNumId w:val="15"/>
  </w:num>
  <w:num w:numId="2" w16cid:durableId="1609972832">
    <w:abstractNumId w:val="12"/>
  </w:num>
  <w:num w:numId="3" w16cid:durableId="2016611970">
    <w:abstractNumId w:val="2"/>
  </w:num>
  <w:num w:numId="4" w16cid:durableId="1982340658">
    <w:abstractNumId w:val="11"/>
  </w:num>
  <w:num w:numId="5" w16cid:durableId="554581175">
    <w:abstractNumId w:val="8"/>
  </w:num>
  <w:num w:numId="6" w16cid:durableId="681661544">
    <w:abstractNumId w:val="5"/>
  </w:num>
  <w:num w:numId="7" w16cid:durableId="888220881">
    <w:abstractNumId w:val="17"/>
  </w:num>
  <w:num w:numId="8" w16cid:durableId="888489744">
    <w:abstractNumId w:val="2"/>
  </w:num>
  <w:num w:numId="9" w16cid:durableId="1555777874">
    <w:abstractNumId w:val="11"/>
  </w:num>
  <w:num w:numId="10" w16cid:durableId="801769379">
    <w:abstractNumId w:val="5"/>
  </w:num>
  <w:num w:numId="11" w16cid:durableId="1557156840">
    <w:abstractNumId w:val="17"/>
  </w:num>
  <w:num w:numId="12" w16cid:durableId="759720065">
    <w:abstractNumId w:val="2"/>
  </w:num>
  <w:num w:numId="13" w16cid:durableId="734472526">
    <w:abstractNumId w:val="11"/>
  </w:num>
  <w:num w:numId="14" w16cid:durableId="1288395863">
    <w:abstractNumId w:val="8"/>
  </w:num>
  <w:num w:numId="15" w16cid:durableId="1046177655">
    <w:abstractNumId w:val="5"/>
  </w:num>
  <w:num w:numId="16" w16cid:durableId="26495017">
    <w:abstractNumId w:val="17"/>
  </w:num>
  <w:num w:numId="17" w16cid:durableId="812335936">
    <w:abstractNumId w:val="4"/>
  </w:num>
  <w:num w:numId="18" w16cid:durableId="71700248">
    <w:abstractNumId w:val="3"/>
  </w:num>
  <w:num w:numId="19" w16cid:durableId="1264417163">
    <w:abstractNumId w:val="16"/>
  </w:num>
  <w:num w:numId="20" w16cid:durableId="2018657720">
    <w:abstractNumId w:val="13"/>
  </w:num>
  <w:num w:numId="21" w16cid:durableId="103430804">
    <w:abstractNumId w:val="1"/>
  </w:num>
  <w:num w:numId="22" w16cid:durableId="1158686488">
    <w:abstractNumId w:val="14"/>
  </w:num>
  <w:num w:numId="23" w16cid:durableId="1582333607">
    <w:abstractNumId w:val="0"/>
  </w:num>
  <w:num w:numId="24" w16cid:durableId="1159886721">
    <w:abstractNumId w:val="9"/>
  </w:num>
  <w:num w:numId="25" w16cid:durableId="11903889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16cid:durableId="18655556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86616179">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16cid:durableId="1254047353">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16cid:durableId="1316911951">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16cid:durableId="351228623">
    <w:abstractNumId w:val="7"/>
  </w:num>
  <w:num w:numId="31" w16cid:durableId="230388719">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16cid:durableId="1562636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7F5"/>
    <w:rsid w:val="000076D5"/>
    <w:rsid w:val="00043663"/>
    <w:rsid w:val="000437B8"/>
    <w:rsid w:val="000505CF"/>
    <w:rsid w:val="00071A52"/>
    <w:rsid w:val="000B31A1"/>
    <w:rsid w:val="000D701C"/>
    <w:rsid w:val="000E2A71"/>
    <w:rsid w:val="001326F7"/>
    <w:rsid w:val="00145577"/>
    <w:rsid w:val="00160263"/>
    <w:rsid w:val="0017212C"/>
    <w:rsid w:val="00181F96"/>
    <w:rsid w:val="001872B1"/>
    <w:rsid w:val="001A1371"/>
    <w:rsid w:val="001B043F"/>
    <w:rsid w:val="001B346A"/>
    <w:rsid w:val="001E1CAD"/>
    <w:rsid w:val="001E290D"/>
    <w:rsid w:val="001E4DF2"/>
    <w:rsid w:val="002144FA"/>
    <w:rsid w:val="00225C20"/>
    <w:rsid w:val="0023402F"/>
    <w:rsid w:val="0023469A"/>
    <w:rsid w:val="00243C8A"/>
    <w:rsid w:val="00267A0E"/>
    <w:rsid w:val="002901D9"/>
    <w:rsid w:val="002976C2"/>
    <w:rsid w:val="002E1413"/>
    <w:rsid w:val="00302A75"/>
    <w:rsid w:val="003068BC"/>
    <w:rsid w:val="003260FF"/>
    <w:rsid w:val="00343D95"/>
    <w:rsid w:val="0035456F"/>
    <w:rsid w:val="00363A18"/>
    <w:rsid w:val="00374341"/>
    <w:rsid w:val="003D1062"/>
    <w:rsid w:val="00402051"/>
    <w:rsid w:val="00420D7B"/>
    <w:rsid w:val="00422063"/>
    <w:rsid w:val="00422EC7"/>
    <w:rsid w:val="00450B21"/>
    <w:rsid w:val="00453B63"/>
    <w:rsid w:val="00455780"/>
    <w:rsid w:val="004B0020"/>
    <w:rsid w:val="004B0A1C"/>
    <w:rsid w:val="004B27E0"/>
    <w:rsid w:val="004C2F32"/>
    <w:rsid w:val="004D298E"/>
    <w:rsid w:val="005044B3"/>
    <w:rsid w:val="00517BC9"/>
    <w:rsid w:val="00542FBA"/>
    <w:rsid w:val="0054472E"/>
    <w:rsid w:val="005561F5"/>
    <w:rsid w:val="005662A9"/>
    <w:rsid w:val="005827D4"/>
    <w:rsid w:val="0058508B"/>
    <w:rsid w:val="0059622A"/>
    <w:rsid w:val="005B51C4"/>
    <w:rsid w:val="005C0061"/>
    <w:rsid w:val="005C5878"/>
    <w:rsid w:val="005C7CEA"/>
    <w:rsid w:val="005D3C0B"/>
    <w:rsid w:val="005E5217"/>
    <w:rsid w:val="005F0FA4"/>
    <w:rsid w:val="005F30EE"/>
    <w:rsid w:val="005F5271"/>
    <w:rsid w:val="00602E94"/>
    <w:rsid w:val="0060473A"/>
    <w:rsid w:val="00617024"/>
    <w:rsid w:val="00652221"/>
    <w:rsid w:val="00656392"/>
    <w:rsid w:val="00660F34"/>
    <w:rsid w:val="00662AE8"/>
    <w:rsid w:val="006645EC"/>
    <w:rsid w:val="0068781D"/>
    <w:rsid w:val="006959B0"/>
    <w:rsid w:val="006B3E27"/>
    <w:rsid w:val="006B6507"/>
    <w:rsid w:val="006C104C"/>
    <w:rsid w:val="006C632E"/>
    <w:rsid w:val="00717FB3"/>
    <w:rsid w:val="00730446"/>
    <w:rsid w:val="00733704"/>
    <w:rsid w:val="0078071A"/>
    <w:rsid w:val="00787022"/>
    <w:rsid w:val="00787E1E"/>
    <w:rsid w:val="00793F70"/>
    <w:rsid w:val="00851BD7"/>
    <w:rsid w:val="00852A9A"/>
    <w:rsid w:val="00854075"/>
    <w:rsid w:val="008F49E1"/>
    <w:rsid w:val="0090370F"/>
    <w:rsid w:val="009269D2"/>
    <w:rsid w:val="00942135"/>
    <w:rsid w:val="00946805"/>
    <w:rsid w:val="0094765C"/>
    <w:rsid w:val="009521B0"/>
    <w:rsid w:val="00957437"/>
    <w:rsid w:val="00982139"/>
    <w:rsid w:val="009867A8"/>
    <w:rsid w:val="00991F44"/>
    <w:rsid w:val="009A0CFB"/>
    <w:rsid w:val="009A3A3E"/>
    <w:rsid w:val="009A7E9F"/>
    <w:rsid w:val="009C17EC"/>
    <w:rsid w:val="009E5018"/>
    <w:rsid w:val="00A03700"/>
    <w:rsid w:val="00A053F2"/>
    <w:rsid w:val="00A12B37"/>
    <w:rsid w:val="00A54828"/>
    <w:rsid w:val="00A97E1F"/>
    <w:rsid w:val="00AB512E"/>
    <w:rsid w:val="00AB6758"/>
    <w:rsid w:val="00AB727F"/>
    <w:rsid w:val="00AE12B4"/>
    <w:rsid w:val="00AE43B3"/>
    <w:rsid w:val="00AE7F91"/>
    <w:rsid w:val="00AF3BA2"/>
    <w:rsid w:val="00B13763"/>
    <w:rsid w:val="00B477A4"/>
    <w:rsid w:val="00B54045"/>
    <w:rsid w:val="00B63ADD"/>
    <w:rsid w:val="00B8605D"/>
    <w:rsid w:val="00BB09A0"/>
    <w:rsid w:val="00BC6503"/>
    <w:rsid w:val="00C175A6"/>
    <w:rsid w:val="00C33DAF"/>
    <w:rsid w:val="00C41DCF"/>
    <w:rsid w:val="00C42AF7"/>
    <w:rsid w:val="00C438D7"/>
    <w:rsid w:val="00C62C20"/>
    <w:rsid w:val="00C81B50"/>
    <w:rsid w:val="00C902EF"/>
    <w:rsid w:val="00CB0011"/>
    <w:rsid w:val="00CB6622"/>
    <w:rsid w:val="00CD1801"/>
    <w:rsid w:val="00CF56F9"/>
    <w:rsid w:val="00CF65C6"/>
    <w:rsid w:val="00D00A89"/>
    <w:rsid w:val="00D10EF1"/>
    <w:rsid w:val="00D20D99"/>
    <w:rsid w:val="00D42810"/>
    <w:rsid w:val="00D60DD5"/>
    <w:rsid w:val="00D914A7"/>
    <w:rsid w:val="00D95BD3"/>
    <w:rsid w:val="00DB1848"/>
    <w:rsid w:val="00DC4D4B"/>
    <w:rsid w:val="00DC6C3C"/>
    <w:rsid w:val="00DD13C3"/>
    <w:rsid w:val="00DD596E"/>
    <w:rsid w:val="00DD621E"/>
    <w:rsid w:val="00DE2426"/>
    <w:rsid w:val="00DE50B1"/>
    <w:rsid w:val="00DF0138"/>
    <w:rsid w:val="00DF0575"/>
    <w:rsid w:val="00E2228E"/>
    <w:rsid w:val="00E70E04"/>
    <w:rsid w:val="00E77E6C"/>
    <w:rsid w:val="00E83ED5"/>
    <w:rsid w:val="00EB1E74"/>
    <w:rsid w:val="00EC05A7"/>
    <w:rsid w:val="00EC4B6B"/>
    <w:rsid w:val="00EC68A5"/>
    <w:rsid w:val="00ED7442"/>
    <w:rsid w:val="00EF1EE5"/>
    <w:rsid w:val="00EF5C43"/>
    <w:rsid w:val="00F10DAB"/>
    <w:rsid w:val="00F46D42"/>
    <w:rsid w:val="00F763B4"/>
    <w:rsid w:val="00F900C3"/>
    <w:rsid w:val="00F927F5"/>
    <w:rsid w:val="00FC6EDD"/>
    <w:rsid w:val="00FD46E2"/>
    <w:rsid w:val="00FE502A"/>
    <w:rsid w:val="00FE6EC1"/>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4B2139"/>
  <w15:docId w15:val="{14C18910-A642-47FC-AB4F-2021D282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7EC"/>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9C17EC"/>
    <w:pPr>
      <w:bidi w:val="0"/>
      <w:outlineLvl w:val="0"/>
    </w:pPr>
  </w:style>
  <w:style w:type="paragraph" w:styleId="Heading2">
    <w:name w:val="heading 2"/>
    <w:basedOn w:val="Normal"/>
    <w:next w:val="Normal"/>
    <w:link w:val="Heading2Char"/>
    <w:uiPriority w:val="9"/>
    <w:unhideWhenUsed/>
    <w:rsid w:val="009C17EC"/>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9C17EC"/>
    <w:pPr>
      <w:keepNext/>
      <w:keepLines/>
      <w:spacing w:before="200"/>
      <w:outlineLvl w:val="2"/>
    </w:pPr>
    <w:rPr>
      <w:b/>
      <w:bCs/>
      <w:color w:val="4F81BD"/>
    </w:rPr>
  </w:style>
  <w:style w:type="paragraph" w:styleId="Heading4">
    <w:name w:val="heading 4"/>
    <w:basedOn w:val="Normal"/>
    <w:next w:val="Normal"/>
    <w:link w:val="Heading4Char"/>
    <w:uiPriority w:val="9"/>
    <w:unhideWhenUsed/>
    <w:rsid w:val="009C17EC"/>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9C17EC"/>
    <w:pPr>
      <w:keepNext/>
      <w:keepLines/>
      <w:spacing w:before="200"/>
      <w:outlineLvl w:val="4"/>
    </w:pPr>
    <w:rPr>
      <w:color w:val="243F60"/>
    </w:rPr>
  </w:style>
  <w:style w:type="paragraph" w:styleId="Heading6">
    <w:name w:val="heading 6"/>
    <w:basedOn w:val="Normal"/>
    <w:next w:val="Normal"/>
    <w:link w:val="Heading6Char"/>
    <w:uiPriority w:val="9"/>
    <w:unhideWhenUsed/>
    <w:rsid w:val="009C17EC"/>
    <w:pPr>
      <w:keepNext/>
      <w:keepLines/>
      <w:spacing w:before="200"/>
      <w:outlineLvl w:val="5"/>
    </w:pPr>
    <w:rPr>
      <w:i/>
      <w:iCs/>
      <w:color w:val="243F60"/>
    </w:rPr>
  </w:style>
  <w:style w:type="paragraph" w:styleId="Heading7">
    <w:name w:val="heading 7"/>
    <w:basedOn w:val="Normal"/>
    <w:next w:val="Normal"/>
    <w:link w:val="Heading7Char"/>
    <w:uiPriority w:val="9"/>
    <w:unhideWhenUsed/>
    <w:rsid w:val="009C17EC"/>
    <w:pPr>
      <w:keepNext/>
      <w:keepLines/>
      <w:spacing w:before="200"/>
      <w:outlineLvl w:val="6"/>
    </w:pPr>
    <w:rPr>
      <w:i/>
      <w:iCs/>
      <w:color w:val="404040"/>
    </w:rPr>
  </w:style>
  <w:style w:type="paragraph" w:styleId="Heading8">
    <w:name w:val="heading 8"/>
    <w:basedOn w:val="Normal"/>
    <w:next w:val="Normal"/>
    <w:link w:val="Heading8Char"/>
    <w:uiPriority w:val="9"/>
    <w:unhideWhenUsed/>
    <w:rsid w:val="009C17EC"/>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9C17EC"/>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9C17EC"/>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9C17EC"/>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qFormat/>
    <w:rsid w:val="009C17EC"/>
    <w:rPr>
      <w:szCs w:val="18"/>
      <w:vertAlign w:val="superscript"/>
    </w:rPr>
  </w:style>
  <w:style w:type="paragraph" w:customStyle="1" w:styleId="HMGA">
    <w:name w:val="_ H __M_GA"/>
    <w:basedOn w:val="Normal"/>
    <w:next w:val="SingleTxtGA"/>
    <w:qFormat/>
    <w:rsid w:val="009C17EC"/>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9C17EC"/>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9C17EC"/>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9C17EC"/>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9C17EC"/>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9C17EC"/>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9C17EC"/>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9C17EC"/>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9C17EC"/>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9C17EC"/>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9C17EC"/>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9C17EC"/>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9C17EC"/>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9C17EC"/>
    <w:pPr>
      <w:numPr>
        <w:numId w:val="5"/>
      </w:numPr>
      <w:bidi w:val="0"/>
    </w:pPr>
    <w:rPr>
      <w:lang w:val="en-US"/>
    </w:rPr>
  </w:style>
  <w:style w:type="paragraph" w:customStyle="1" w:styleId="Roman1GA">
    <w:name w:val="_Roman 1_GA"/>
    <w:basedOn w:val="Bullet1GA"/>
    <w:qFormat/>
    <w:rsid w:val="009C17EC"/>
    <w:pPr>
      <w:numPr>
        <w:numId w:val="6"/>
      </w:numPr>
      <w:tabs>
        <w:tab w:val="clear" w:pos="2310"/>
        <w:tab w:val="left" w:pos="2486"/>
      </w:tabs>
      <w:ind w:left="2486" w:hanging="378"/>
    </w:pPr>
  </w:style>
  <w:style w:type="paragraph" w:customStyle="1" w:styleId="Roman2GA">
    <w:name w:val="_Roman 2_GA"/>
    <w:basedOn w:val="Bullet2GA"/>
    <w:qFormat/>
    <w:rsid w:val="009C17EC"/>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9C17EC"/>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9C17EC"/>
    <w:rPr>
      <w:rFonts w:ascii="Times New Roman" w:eastAsia="PMingLiU" w:hAnsi="Times New Roman" w:cs="Simplified Arabic"/>
      <w:sz w:val="18"/>
      <w:lang w:val="en-GB" w:eastAsia="en-US"/>
    </w:rPr>
  </w:style>
  <w:style w:type="character" w:customStyle="1" w:styleId="EndtnoteReference">
    <w:name w:val="Endtnote Reference"/>
    <w:aliases w:val="1_GA"/>
    <w:qFormat/>
    <w:rsid w:val="009C17EC"/>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9C17EC"/>
    <w:pPr>
      <w:suppressAutoHyphens/>
      <w:bidi w:val="0"/>
      <w:spacing w:line="240" w:lineRule="auto"/>
    </w:pPr>
    <w:rPr>
      <w:sz w:val="16"/>
      <w:lang w:val="en-GB"/>
    </w:rPr>
  </w:style>
  <w:style w:type="character" w:customStyle="1" w:styleId="FooterChar">
    <w:name w:val="Footer Char"/>
    <w:aliases w:val="3_GA Char,3_G Char"/>
    <w:link w:val="Footer"/>
    <w:rsid w:val="009C17EC"/>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9C17EC"/>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9C17EC"/>
    <w:pPr>
      <w:pBdr>
        <w:bottom w:val="single" w:sz="4" w:space="4" w:color="auto"/>
      </w:pBdr>
      <w:suppressAutoHyphens/>
    </w:pPr>
    <w:rPr>
      <w:b/>
      <w:bCs/>
      <w:sz w:val="18"/>
      <w:szCs w:val="18"/>
    </w:rPr>
  </w:style>
  <w:style w:type="character" w:customStyle="1" w:styleId="HeaderChar">
    <w:name w:val="Header Char"/>
    <w:aliases w:val="6_GA Char,6_G Char"/>
    <w:link w:val="Header"/>
    <w:uiPriority w:val="99"/>
    <w:rsid w:val="009C17EC"/>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9C17EC"/>
    <w:rPr>
      <w:rFonts w:ascii="Times New Roman" w:eastAsia="PMingLiU" w:hAnsi="Times New Roman" w:cs="Simplified Arabic"/>
      <w:sz w:val="22"/>
      <w:szCs w:val="22"/>
      <w:lang w:val="en-GB" w:eastAsia="en-US"/>
    </w:rPr>
  </w:style>
  <w:style w:type="character" w:styleId="PageNumber">
    <w:name w:val="page number"/>
    <w:aliases w:val="7_GA,7_G"/>
    <w:qFormat/>
    <w:rsid w:val="009C17EC"/>
    <w:rPr>
      <w:rFonts w:ascii="Times New Roman Bold" w:hAnsi="Times New Roman Bold"/>
      <w:b/>
      <w:i w:val="0"/>
      <w:sz w:val="18"/>
      <w:szCs w:val="18"/>
    </w:rPr>
  </w:style>
  <w:style w:type="paragraph" w:customStyle="1" w:styleId="XXLargeGA">
    <w:name w:val="XXLarge_GA"/>
    <w:basedOn w:val="Normal"/>
    <w:next w:val="SingleTxtGA"/>
    <w:qFormat/>
    <w:rsid w:val="009C17EC"/>
    <w:pPr>
      <w:suppressAutoHyphens/>
      <w:spacing w:line="820" w:lineRule="exact"/>
    </w:pPr>
    <w:rPr>
      <w:spacing w:val="-8"/>
      <w:w w:val="96"/>
      <w:sz w:val="57"/>
      <w:szCs w:val="86"/>
      <w:lang w:val="en-GB"/>
    </w:rPr>
  </w:style>
  <w:style w:type="character" w:customStyle="1" w:styleId="Heading2Char">
    <w:name w:val="Heading 2 Char"/>
    <w:link w:val="Heading2"/>
    <w:uiPriority w:val="9"/>
    <w:rsid w:val="009C17EC"/>
    <w:rPr>
      <w:rFonts w:ascii="Times New Roman" w:eastAsia="PMingLiU" w:hAnsi="Times New Roman" w:cs="Simplified Arabic"/>
      <w:b/>
      <w:bCs/>
      <w:color w:val="4F81BD"/>
      <w:sz w:val="26"/>
      <w:szCs w:val="26"/>
      <w:lang w:eastAsia="en-US"/>
    </w:rPr>
  </w:style>
  <w:style w:type="character" w:styleId="BookTitle">
    <w:name w:val="Book Title"/>
    <w:uiPriority w:val="33"/>
    <w:rsid w:val="009C17EC"/>
    <w:rPr>
      <w:b/>
      <w:bCs/>
      <w:smallCaps/>
      <w:spacing w:val="5"/>
    </w:rPr>
  </w:style>
  <w:style w:type="character" w:customStyle="1" w:styleId="Heading3Char">
    <w:name w:val="Heading 3 Char"/>
    <w:link w:val="Heading3"/>
    <w:uiPriority w:val="9"/>
    <w:rsid w:val="009C17EC"/>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9C17EC"/>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9C17EC"/>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9C17EC"/>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9C17EC"/>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9C17EC"/>
    <w:rPr>
      <w:rFonts w:ascii="Times New Roman" w:eastAsia="PMingLiU" w:hAnsi="Times New Roman" w:cs="Simplified Arabic"/>
      <w:color w:val="404040"/>
      <w:lang w:eastAsia="en-US"/>
    </w:rPr>
  </w:style>
  <w:style w:type="character" w:customStyle="1" w:styleId="Heading9Char">
    <w:name w:val="Heading 9 Char"/>
    <w:link w:val="Heading9"/>
    <w:uiPriority w:val="9"/>
    <w:rsid w:val="009C17EC"/>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9C17EC"/>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9C17EC"/>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9C17EC"/>
    <w:pPr>
      <w:numPr>
        <w:ilvl w:val="1"/>
      </w:numPr>
    </w:pPr>
    <w:rPr>
      <w:i/>
      <w:iCs/>
      <w:color w:val="4F81BD"/>
      <w:spacing w:val="15"/>
      <w:sz w:val="24"/>
      <w:szCs w:val="24"/>
    </w:rPr>
  </w:style>
  <w:style w:type="character" w:customStyle="1" w:styleId="SubtitleChar">
    <w:name w:val="Subtitle Char"/>
    <w:link w:val="Subtitle"/>
    <w:uiPriority w:val="11"/>
    <w:rsid w:val="009C17EC"/>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9C17EC"/>
    <w:rPr>
      <w:i/>
      <w:iCs/>
      <w:color w:val="808080"/>
    </w:rPr>
  </w:style>
  <w:style w:type="table" w:styleId="ColorfulGrid-Accent6">
    <w:name w:val="Colorful Grid Accent 6"/>
    <w:basedOn w:val="TableNormal"/>
    <w:uiPriority w:val="73"/>
    <w:rsid w:val="009C17EC"/>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9C17EC"/>
    <w:rPr>
      <w:i/>
      <w:iCs/>
    </w:rPr>
  </w:style>
  <w:style w:type="character" w:styleId="IntenseEmphasis">
    <w:name w:val="Intense Emphasis"/>
    <w:uiPriority w:val="21"/>
    <w:rsid w:val="009C17EC"/>
    <w:rPr>
      <w:b/>
      <w:bCs/>
      <w:i/>
      <w:iCs/>
      <w:color w:val="4F81BD"/>
    </w:rPr>
  </w:style>
  <w:style w:type="character" w:styleId="Strong">
    <w:name w:val="Strong"/>
    <w:uiPriority w:val="22"/>
    <w:rsid w:val="009C17EC"/>
    <w:rPr>
      <w:b/>
      <w:bCs/>
    </w:rPr>
  </w:style>
  <w:style w:type="paragraph" w:styleId="Quote">
    <w:name w:val="Quote"/>
    <w:basedOn w:val="Normal"/>
    <w:next w:val="Normal"/>
    <w:link w:val="QuoteChar"/>
    <w:uiPriority w:val="29"/>
    <w:rsid w:val="009C17EC"/>
    <w:rPr>
      <w:i/>
      <w:iCs/>
      <w:color w:val="000000"/>
    </w:rPr>
  </w:style>
  <w:style w:type="character" w:customStyle="1" w:styleId="QuoteChar">
    <w:name w:val="Quote Char"/>
    <w:link w:val="Quote"/>
    <w:uiPriority w:val="29"/>
    <w:rsid w:val="009C17EC"/>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9C17E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C17EC"/>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9C17EC"/>
    <w:rPr>
      <w:smallCaps/>
      <w:color w:val="C0504D"/>
      <w:u w:val="single"/>
    </w:rPr>
  </w:style>
  <w:style w:type="character" w:styleId="IntenseReference">
    <w:name w:val="Intense Reference"/>
    <w:uiPriority w:val="32"/>
    <w:rsid w:val="009C17EC"/>
    <w:rPr>
      <w:b/>
      <w:bCs/>
      <w:smallCaps/>
      <w:color w:val="C0504D"/>
      <w:spacing w:val="5"/>
      <w:u w:val="single"/>
    </w:rPr>
  </w:style>
  <w:style w:type="paragraph" w:styleId="ListParagraph">
    <w:name w:val="List Paragraph"/>
    <w:basedOn w:val="Normal"/>
    <w:uiPriority w:val="34"/>
    <w:rsid w:val="009C17EC"/>
    <w:pPr>
      <w:ind w:left="720"/>
      <w:contextualSpacing/>
    </w:pPr>
  </w:style>
  <w:style w:type="table" w:styleId="MediumShading1-Accent4">
    <w:name w:val="Medium Shading 1 Accent 4"/>
    <w:basedOn w:val="TableNormal"/>
    <w:uiPriority w:val="63"/>
    <w:rsid w:val="009C17EC"/>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9C17EC"/>
    <w:rPr>
      <w:rFonts w:eastAsia="MS Mincho"/>
      <w:sz w:val="18"/>
      <w:vertAlign w:val="superscript"/>
    </w:rPr>
  </w:style>
  <w:style w:type="table" w:styleId="TableGrid">
    <w:name w:val="Table Grid"/>
    <w:basedOn w:val="TableNormal"/>
    <w:rsid w:val="009C17EC"/>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17EC"/>
    <w:pPr>
      <w:spacing w:line="240" w:lineRule="auto"/>
    </w:pPr>
    <w:rPr>
      <w:sz w:val="16"/>
      <w:szCs w:val="16"/>
    </w:rPr>
  </w:style>
  <w:style w:type="character" w:customStyle="1" w:styleId="BalloonTextChar">
    <w:name w:val="Balloon Text Char"/>
    <w:link w:val="BalloonText"/>
    <w:uiPriority w:val="99"/>
    <w:semiHidden/>
    <w:rsid w:val="009C17EC"/>
    <w:rPr>
      <w:rFonts w:ascii="Times New Roman" w:eastAsia="PMingLiU" w:hAnsi="Times New Roman" w:cs="Simplified Arabic"/>
      <w:sz w:val="16"/>
      <w:szCs w:val="16"/>
      <w:lang w:eastAsia="en-US"/>
    </w:rPr>
  </w:style>
  <w:style w:type="character" w:styleId="Hyperlink">
    <w:name w:val="Hyperlink"/>
    <w:uiPriority w:val="99"/>
    <w:unhideWhenUsed/>
    <w:rsid w:val="009C17EC"/>
    <w:rPr>
      <w:color w:val="0000FF"/>
      <w:u w:val="none"/>
    </w:rPr>
  </w:style>
  <w:style w:type="paragraph" w:styleId="TOC1">
    <w:name w:val="toc 1"/>
    <w:basedOn w:val="Normal"/>
    <w:link w:val="TOC1Char"/>
    <w:autoRedefine/>
    <w:uiPriority w:val="39"/>
    <w:unhideWhenUsed/>
    <w:rsid w:val="009C17EC"/>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9C17EC"/>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9C17EC"/>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9C17EC"/>
    <w:rPr>
      <w:rFonts w:eastAsia="DengXian"/>
      <w:color w:val="auto"/>
      <w:sz w:val="20"/>
      <w:szCs w:val="20"/>
      <w:u w:val="none"/>
      <w:lang w:eastAsia="zh-CN" w:bidi="ar-EG"/>
    </w:rPr>
  </w:style>
  <w:style w:type="paragraph" w:styleId="TOC4">
    <w:name w:val="toc 4"/>
    <w:basedOn w:val="Normal"/>
    <w:link w:val="TOC4Char"/>
    <w:autoRedefine/>
    <w:uiPriority w:val="39"/>
    <w:unhideWhenUsed/>
    <w:rsid w:val="009C17EC"/>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9C17EC"/>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9C17EC"/>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9C17EC"/>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9C17EC"/>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9C17EC"/>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9C17EC"/>
    <w:rPr>
      <w:color w:val="605E5C"/>
      <w:shd w:val="clear" w:color="auto" w:fill="E1DFDD"/>
    </w:rPr>
  </w:style>
  <w:style w:type="character" w:customStyle="1" w:styleId="TOC1Char">
    <w:name w:val="TOC 1 Char"/>
    <w:basedOn w:val="DefaultParagraphFont"/>
    <w:link w:val="TOC1"/>
    <w:uiPriority w:val="39"/>
    <w:rsid w:val="009C17EC"/>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9C17EC"/>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9C17EC"/>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9C17EC"/>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9C17EC"/>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9C17EC"/>
    <w:rPr>
      <w:rFonts w:ascii="Times New Roman" w:eastAsia="PMingLiU" w:hAnsi="Times New Roman" w:cs="Simplified Arabic"/>
      <w:lang w:val="en-GB" w:eastAsia="en-US"/>
    </w:rPr>
  </w:style>
  <w:style w:type="paragraph" w:customStyle="1" w:styleId="SessionDate">
    <w:name w:val="Session_Date"/>
    <w:basedOn w:val="Normal"/>
    <w:qFormat/>
    <w:rsid w:val="009C17EC"/>
    <w:pPr>
      <w:spacing w:before="240" w:after="240" w:line="460" w:lineRule="exact"/>
      <w:ind w:left="1247"/>
    </w:pPr>
    <w:rPr>
      <w:b/>
      <w:bCs/>
      <w:sz w:val="32"/>
      <w:szCs w:val="44"/>
    </w:rPr>
  </w:style>
  <w:style w:type="paragraph" w:customStyle="1" w:styleId="SessionNumber">
    <w:name w:val="Session_Number"/>
    <w:basedOn w:val="Normal"/>
    <w:qFormat/>
    <w:rsid w:val="009C17EC"/>
    <w:pPr>
      <w:spacing w:line="480" w:lineRule="exact"/>
      <w:ind w:left="1247"/>
    </w:pPr>
    <w:rPr>
      <w:b/>
      <w:bCs/>
      <w:sz w:val="28"/>
      <w:szCs w:val="38"/>
    </w:rPr>
  </w:style>
  <w:style w:type="paragraph" w:customStyle="1" w:styleId="CityandYear">
    <w:name w:val="City and Year"/>
    <w:basedOn w:val="SingleTxtGA"/>
    <w:qFormat/>
    <w:rsid w:val="009C17EC"/>
    <w:pPr>
      <w:spacing w:line="480" w:lineRule="exact"/>
    </w:pPr>
    <w:rPr>
      <w:b/>
      <w:bCs/>
      <w:sz w:val="30"/>
      <w:szCs w:val="38"/>
      <w:lang w:eastAsia="ar-SA"/>
    </w:rPr>
  </w:style>
  <w:style w:type="paragraph" w:customStyle="1" w:styleId="NormalA">
    <w:name w:val="Normal_A"/>
    <w:basedOn w:val="Normal"/>
    <w:qFormat/>
    <w:rsid w:val="009C17EC"/>
  </w:style>
  <w:style w:type="paragraph" w:customStyle="1" w:styleId="H1G">
    <w:name w:val="_ H_1_G"/>
    <w:basedOn w:val="Normal"/>
    <w:next w:val="Normal"/>
    <w:qFormat/>
    <w:rsid w:val="009C17EC"/>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9C17EC"/>
    <w:pPr>
      <w:suppressAutoHyphens/>
      <w:bidi w:val="0"/>
      <w:spacing w:after="120"/>
      <w:ind w:left="1134" w:right="1134"/>
      <w:jc w:val="both"/>
    </w:pPr>
    <w:rPr>
      <w:szCs w:val="20"/>
      <w:lang w:val="en-GB"/>
    </w:rPr>
  </w:style>
  <w:style w:type="paragraph" w:customStyle="1" w:styleId="HChG">
    <w:name w:val="_ H _Ch_G"/>
    <w:basedOn w:val="Normal"/>
    <w:next w:val="Normal"/>
    <w:qFormat/>
    <w:rsid w:val="009C17EC"/>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9C17EC"/>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9C17EC"/>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9C17EC"/>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9C17EC"/>
    <w:rPr>
      <w:sz w:val="44"/>
      <w:szCs w:val="44"/>
      <w:lang w:val="en-US" w:bidi="ar-DZ"/>
    </w:rPr>
  </w:style>
  <w:style w:type="paragraph" w:customStyle="1" w:styleId="FootnoteGA0">
    <w:name w:val="Footnote_GA"/>
    <w:basedOn w:val="Normal"/>
    <w:qFormat/>
    <w:rsid w:val="009C17EC"/>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9C17EC"/>
    <w:pPr>
      <w:keepNext/>
      <w:keepLines/>
      <w:spacing w:after="120" w:line="400" w:lineRule="exact"/>
      <w:outlineLvl w:val="0"/>
    </w:pPr>
    <w:rPr>
      <w:b/>
      <w:bCs/>
      <w:kern w:val="14"/>
      <w:sz w:val="24"/>
      <w:szCs w:val="32"/>
    </w:rPr>
  </w:style>
  <w:style w:type="paragraph" w:customStyle="1" w:styleId="HCh">
    <w:name w:val="_ H _Ch"/>
    <w:basedOn w:val="H1"/>
    <w:next w:val="SingleTxt"/>
    <w:qFormat/>
    <w:rsid w:val="009C17EC"/>
    <w:pPr>
      <w:spacing w:line="440" w:lineRule="exact"/>
    </w:pPr>
    <w:rPr>
      <w:spacing w:val="-2"/>
      <w:sz w:val="28"/>
      <w:szCs w:val="36"/>
    </w:rPr>
  </w:style>
  <w:style w:type="character" w:styleId="CommentReference">
    <w:name w:val="annotation reference"/>
    <w:uiPriority w:val="99"/>
    <w:semiHidden/>
    <w:rsid w:val="009C17EC"/>
    <w:rPr>
      <w:sz w:val="6"/>
      <w:szCs w:val="9"/>
    </w:rPr>
  </w:style>
  <w:style w:type="paragraph" w:customStyle="1" w:styleId="HM">
    <w:name w:val="_ H __M"/>
    <w:basedOn w:val="HCh"/>
    <w:next w:val="Normal"/>
    <w:qFormat/>
    <w:rsid w:val="009C17EC"/>
    <w:pPr>
      <w:suppressAutoHyphens/>
      <w:spacing w:line="520" w:lineRule="exact"/>
    </w:pPr>
    <w:rPr>
      <w:spacing w:val="-3"/>
      <w:sz w:val="34"/>
      <w:szCs w:val="48"/>
    </w:rPr>
  </w:style>
  <w:style w:type="paragraph" w:customStyle="1" w:styleId="SingleTxt">
    <w:name w:val="__Single Txt"/>
    <w:basedOn w:val="Normal"/>
    <w:qFormat/>
    <w:rsid w:val="009C17EC"/>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9C17EC"/>
    <w:pPr>
      <w:suppressAutoHyphens/>
      <w:spacing w:line="360" w:lineRule="exact"/>
      <w:outlineLvl w:val="1"/>
    </w:pPr>
    <w:rPr>
      <w:spacing w:val="2"/>
      <w:sz w:val="20"/>
      <w:szCs w:val="28"/>
    </w:rPr>
  </w:style>
  <w:style w:type="paragraph" w:customStyle="1" w:styleId="H4">
    <w:name w:val="_ H_4"/>
    <w:basedOn w:val="Normal"/>
    <w:next w:val="Normal"/>
    <w:qFormat/>
    <w:rsid w:val="009C17EC"/>
    <w:pPr>
      <w:keepNext/>
      <w:keepLines/>
      <w:spacing w:after="120" w:line="360" w:lineRule="exact"/>
      <w:outlineLvl w:val="3"/>
    </w:pPr>
    <w:rPr>
      <w:i/>
      <w:iCs/>
      <w:kern w:val="14"/>
      <w:szCs w:val="28"/>
    </w:rPr>
  </w:style>
  <w:style w:type="paragraph" w:customStyle="1" w:styleId="H56">
    <w:name w:val="_ H_5/6"/>
    <w:basedOn w:val="Normal"/>
    <w:next w:val="Normal"/>
    <w:qFormat/>
    <w:rsid w:val="009C17EC"/>
    <w:pPr>
      <w:keepNext/>
      <w:keepLines/>
      <w:spacing w:after="120" w:line="360" w:lineRule="exact"/>
      <w:outlineLvl w:val="4"/>
    </w:pPr>
    <w:rPr>
      <w:kern w:val="14"/>
      <w:szCs w:val="28"/>
    </w:rPr>
  </w:style>
  <w:style w:type="paragraph" w:customStyle="1" w:styleId="DualTxt">
    <w:name w:val="__Dual Txt"/>
    <w:basedOn w:val="Normal"/>
    <w:qFormat/>
    <w:rsid w:val="009C17EC"/>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9C17EC"/>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9C17EC"/>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9C17EC"/>
    <w:pPr>
      <w:spacing w:after="120" w:line="440" w:lineRule="exact"/>
      <w:jc w:val="center"/>
    </w:pPr>
    <w:rPr>
      <w:b/>
      <w:bCs/>
      <w:sz w:val="25"/>
      <w:szCs w:val="38"/>
    </w:rPr>
  </w:style>
  <w:style w:type="paragraph" w:customStyle="1" w:styleId="JH1">
    <w:name w:val="J_H_1"/>
    <w:basedOn w:val="JCH"/>
    <w:qFormat/>
    <w:rsid w:val="009C17EC"/>
    <w:pPr>
      <w:spacing w:line="420" w:lineRule="exact"/>
    </w:pPr>
    <w:rPr>
      <w:sz w:val="23"/>
      <w:szCs w:val="34"/>
    </w:rPr>
  </w:style>
  <w:style w:type="paragraph" w:customStyle="1" w:styleId="JH2">
    <w:name w:val="J_H_2"/>
    <w:basedOn w:val="JH1"/>
    <w:qFormat/>
    <w:rsid w:val="009C17EC"/>
    <w:pPr>
      <w:spacing w:line="400" w:lineRule="exact"/>
    </w:pPr>
    <w:rPr>
      <w:sz w:val="20"/>
      <w:szCs w:val="30"/>
    </w:rPr>
  </w:style>
  <w:style w:type="paragraph" w:customStyle="1" w:styleId="JSmall">
    <w:name w:val="J_Small"/>
    <w:basedOn w:val="JSingleTxt"/>
    <w:next w:val="JSingleTxt"/>
    <w:qFormat/>
    <w:rsid w:val="009C17EC"/>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9C17EC"/>
    <w:pPr>
      <w:tabs>
        <w:tab w:val="right" w:leader="dot" w:pos="360"/>
      </w:tabs>
      <w:spacing w:line="310" w:lineRule="exact"/>
      <w:jc w:val="right"/>
    </w:pPr>
    <w:rPr>
      <w:spacing w:val="5"/>
      <w:w w:val="104"/>
      <w:kern w:val="14"/>
      <w:sz w:val="17"/>
      <w:szCs w:val="25"/>
    </w:rPr>
  </w:style>
  <w:style w:type="character" w:styleId="LineNumber">
    <w:name w:val="line number"/>
    <w:qFormat/>
    <w:rsid w:val="009C17EC"/>
    <w:rPr>
      <w:sz w:val="14"/>
      <w:szCs w:val="16"/>
    </w:rPr>
  </w:style>
  <w:style w:type="paragraph" w:customStyle="1" w:styleId="SmallX">
    <w:name w:val="SmallX"/>
    <w:basedOn w:val="Small"/>
    <w:next w:val="Normal"/>
    <w:qFormat/>
    <w:rsid w:val="009C17EC"/>
    <w:pPr>
      <w:spacing w:line="240" w:lineRule="exact"/>
    </w:pPr>
    <w:rPr>
      <w:spacing w:val="6"/>
      <w:w w:val="106"/>
      <w:sz w:val="14"/>
      <w:szCs w:val="21"/>
    </w:rPr>
  </w:style>
  <w:style w:type="paragraph" w:customStyle="1" w:styleId="XLarge">
    <w:name w:val="XLarge"/>
    <w:basedOn w:val="HM"/>
    <w:qFormat/>
    <w:rsid w:val="009C17EC"/>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9C17EC"/>
    <w:pPr>
      <w:spacing w:line="820" w:lineRule="exact"/>
    </w:pPr>
    <w:rPr>
      <w:spacing w:val="-8"/>
      <w:w w:val="96"/>
      <w:sz w:val="57"/>
      <w:szCs w:val="86"/>
    </w:rPr>
  </w:style>
  <w:style w:type="paragraph" w:customStyle="1" w:styleId="Distribution">
    <w:name w:val="Distribution"/>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9C17EC"/>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9C17EC"/>
    <w:pPr>
      <w:tabs>
        <w:tab w:val="left" w:pos="662"/>
        <w:tab w:val="left" w:pos="1267"/>
        <w:tab w:val="left" w:pos="1987"/>
        <w:tab w:val="left" w:pos="2650"/>
      </w:tabs>
      <w:spacing w:after="0"/>
      <w:ind w:left="662" w:hanging="662"/>
    </w:pPr>
  </w:style>
  <w:style w:type="paragraph" w:customStyle="1" w:styleId="Committee">
    <w:name w:val="Committee"/>
    <w:basedOn w:val="H1"/>
    <w:qFormat/>
    <w:rsid w:val="009C17EC"/>
    <w:pPr>
      <w:tabs>
        <w:tab w:val="left" w:pos="662"/>
        <w:tab w:val="left" w:pos="1267"/>
        <w:tab w:val="left" w:pos="1987"/>
        <w:tab w:val="left" w:pos="2650"/>
      </w:tabs>
      <w:ind w:right="1264"/>
    </w:pPr>
  </w:style>
  <w:style w:type="paragraph" w:customStyle="1" w:styleId="AgendaItemNormal">
    <w:name w:val="Agenda_Item_Normal"/>
    <w:next w:val="Normal"/>
    <w:qFormat/>
    <w:rsid w:val="009C17EC"/>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9C17EC"/>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9C17EC"/>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9C17EC"/>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9C17EC"/>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9C17EC"/>
    <w:rPr>
      <w:i w:val="0"/>
      <w:color w:val="0000FF"/>
      <w:u w:val="none"/>
    </w:rPr>
  </w:style>
  <w:style w:type="paragraph" w:customStyle="1" w:styleId="Bullet1">
    <w:name w:val="Bullet 1"/>
    <w:basedOn w:val="Normal"/>
    <w:qFormat/>
    <w:rsid w:val="009C17EC"/>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9C17EC"/>
    <w:pPr>
      <w:numPr>
        <w:numId w:val="19"/>
      </w:numPr>
      <w:spacing w:after="120" w:line="360" w:lineRule="exact"/>
      <w:ind w:right="1264"/>
    </w:pPr>
    <w:rPr>
      <w:kern w:val="14"/>
      <w:szCs w:val="28"/>
    </w:rPr>
  </w:style>
  <w:style w:type="paragraph" w:customStyle="1" w:styleId="Bullet3">
    <w:name w:val="Bullet 3"/>
    <w:basedOn w:val="SingleTxt"/>
    <w:qFormat/>
    <w:rsid w:val="009C17EC"/>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9C17EC"/>
    <w:pPr>
      <w:ind w:right="5760"/>
      <w:outlineLvl w:val="1"/>
    </w:pPr>
    <w:rPr>
      <w:spacing w:val="2"/>
      <w:sz w:val="20"/>
      <w:szCs w:val="28"/>
    </w:rPr>
  </w:style>
  <w:style w:type="paragraph" w:customStyle="1" w:styleId="STitleM">
    <w:name w:val="S_Title_M"/>
    <w:basedOn w:val="Normal"/>
    <w:next w:val="Normal"/>
    <w:qFormat/>
    <w:rsid w:val="009C17EC"/>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9C17EC"/>
    <w:pPr>
      <w:spacing w:line="600" w:lineRule="exact"/>
      <w:ind w:left="1267" w:right="1267"/>
    </w:pPr>
    <w:rPr>
      <w:w w:val="103"/>
      <w:sz w:val="60"/>
      <w:szCs w:val="60"/>
    </w:rPr>
  </w:style>
  <w:style w:type="paragraph" w:customStyle="1" w:styleId="STitleL">
    <w:name w:val="S_Title_L"/>
    <w:basedOn w:val="XLarge"/>
    <w:next w:val="Normal"/>
    <w:qFormat/>
    <w:rsid w:val="009C17EC"/>
    <w:rPr>
      <w:spacing w:val="-8"/>
      <w:w w:val="96"/>
      <w:sz w:val="57"/>
    </w:rPr>
  </w:style>
  <w:style w:type="paragraph" w:styleId="CommentText">
    <w:name w:val="annotation text"/>
    <w:basedOn w:val="Normal"/>
    <w:link w:val="CommentTextChar"/>
    <w:uiPriority w:val="99"/>
    <w:semiHidden/>
    <w:unhideWhenUsed/>
    <w:rsid w:val="009C17EC"/>
    <w:pPr>
      <w:spacing w:line="240" w:lineRule="auto"/>
    </w:pPr>
    <w:rPr>
      <w:kern w:val="14"/>
    </w:rPr>
  </w:style>
  <w:style w:type="character" w:customStyle="1" w:styleId="CommentTextChar">
    <w:name w:val="Comment Text Char"/>
    <w:basedOn w:val="DefaultParagraphFont"/>
    <w:link w:val="CommentText"/>
    <w:uiPriority w:val="99"/>
    <w:semiHidden/>
    <w:rsid w:val="009C17EC"/>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9C17EC"/>
    <w:rPr>
      <w:b/>
      <w:bCs/>
    </w:rPr>
  </w:style>
  <w:style w:type="character" w:customStyle="1" w:styleId="CommentSubjectChar">
    <w:name w:val="Comment Subject Char"/>
    <w:basedOn w:val="CommentTextChar"/>
    <w:link w:val="CommentSubject"/>
    <w:uiPriority w:val="99"/>
    <w:semiHidden/>
    <w:rsid w:val="009C17EC"/>
    <w:rPr>
      <w:rFonts w:ascii="Times New Roman" w:eastAsia="PMingLiU" w:hAnsi="Times New Roman" w:cs="Simplified Arabic"/>
      <w:b/>
      <w:bCs/>
      <w:kern w:val="14"/>
      <w:szCs w:val="22"/>
      <w:lang w:eastAsia="en-US"/>
    </w:rPr>
  </w:style>
  <w:style w:type="paragraph" w:customStyle="1" w:styleId="Bullet1G">
    <w:name w:val="_Bullet 1_G"/>
    <w:basedOn w:val="Normal"/>
    <w:qFormat/>
    <w:rsid w:val="009C17EC"/>
    <w:pPr>
      <w:numPr>
        <w:numId w:val="21"/>
      </w:numPr>
      <w:bidi w:val="0"/>
      <w:spacing w:after="120"/>
      <w:ind w:right="1134"/>
      <w:jc w:val="both"/>
    </w:pPr>
    <w:rPr>
      <w:sz w:val="22"/>
    </w:rPr>
  </w:style>
  <w:style w:type="character" w:customStyle="1" w:styleId="SingleTxtGChar">
    <w:name w:val="_ Single Txt_G Char"/>
    <w:link w:val="SingleTxtG"/>
    <w:rsid w:val="009C17EC"/>
    <w:rPr>
      <w:rFonts w:ascii="Times New Roman" w:eastAsia="PMingLiU" w:hAnsi="Times New Roman" w:cs="Simplified Arabic"/>
      <w:lang w:val="en-GB" w:eastAsia="en-US"/>
    </w:rPr>
  </w:style>
  <w:style w:type="paragraph" w:customStyle="1" w:styleId="Preparedby">
    <w:name w:val="Prepared by:"/>
    <w:basedOn w:val="H23GA"/>
    <w:qFormat/>
    <w:rsid w:val="009C17EC"/>
    <w:rPr>
      <w:sz w:val="32"/>
      <w:szCs w:val="32"/>
    </w:rPr>
  </w:style>
  <w:style w:type="paragraph" w:customStyle="1" w:styleId="ParaNoG">
    <w:name w:val="_ParaNo._G"/>
    <w:basedOn w:val="SingleTxtG"/>
    <w:rsid w:val="009C17EC"/>
    <w:pPr>
      <w:numPr>
        <w:numId w:val="28"/>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9C17EC"/>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9C17EC"/>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9C17EC"/>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9C17E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9C17EC"/>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9C17E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9C17EC"/>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9C17EC"/>
    <w:rPr>
      <w:rFonts w:asciiTheme="minorHAnsi" w:eastAsiaTheme="minorEastAsia" w:hAnsiTheme="minorHAnsi" w:cstheme="minorBidi"/>
      <w:sz w:val="24"/>
      <w:szCs w:val="24"/>
      <w:lang w:val="fr-FR" w:eastAsia="fr-FR"/>
    </w:rPr>
  </w:style>
  <w:style w:type="paragraph" w:customStyle="1" w:styleId="Default">
    <w:name w:val="Default"/>
    <w:semiHidden/>
    <w:rsid w:val="009C17EC"/>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9C17EC"/>
  </w:style>
  <w:style w:type="character" w:customStyle="1" w:styleId="preferred">
    <w:name w:val="preferred"/>
    <w:basedOn w:val="DefaultParagraphFont"/>
    <w:rsid w:val="009C17EC"/>
  </w:style>
  <w:style w:type="character" w:customStyle="1" w:styleId="admitted">
    <w:name w:val="admitted"/>
    <w:basedOn w:val="DefaultParagraphFont"/>
    <w:rsid w:val="009C1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ar/CCPR/C/127/D/2724/2016" TargetMode="External"/><Relationship Id="rId13" Type="http://schemas.openxmlformats.org/officeDocument/2006/relationships/hyperlink" Target="https://undocs.org/ar/CCPR/C/132/D/2857/2016" TargetMode="External"/><Relationship Id="rId18" Type="http://schemas.openxmlformats.org/officeDocument/2006/relationships/hyperlink" Target="https://undocs.org/ar/CCPR/C/101/D/1604/2007" TargetMode="External"/><Relationship Id="rId3" Type="http://schemas.openxmlformats.org/officeDocument/2006/relationships/hyperlink" Target="https://undocs.org/ar/CCPR/C/109/D/1873/2009" TargetMode="External"/><Relationship Id="rId21" Type="http://schemas.openxmlformats.org/officeDocument/2006/relationships/hyperlink" Target="https://undocs.org/ar/CCPR/C/87/D/1009/2001" TargetMode="External"/><Relationship Id="rId7" Type="http://schemas.openxmlformats.org/officeDocument/2006/relationships/hyperlink" Target="https://undocs.org/ar/CCPR/C/105/D/1784/2008" TargetMode="External"/><Relationship Id="rId12" Type="http://schemas.openxmlformats.org/officeDocument/2006/relationships/hyperlink" Target="https://undocs.org/ar/CCPR/C/129/D/2404/2014" TargetMode="External"/><Relationship Id="rId17" Type="http://schemas.openxmlformats.org/officeDocument/2006/relationships/hyperlink" Target="https://undocs.org/ar/CCPR/C/116/D/2092/2011" TargetMode="External"/><Relationship Id="rId2" Type="http://schemas.openxmlformats.org/officeDocument/2006/relationships/hyperlink" Target="https://undocs.org/ar/CCPR/C/95/D/1418/2005" TargetMode="External"/><Relationship Id="rId16" Type="http://schemas.openxmlformats.org/officeDocument/2006/relationships/hyperlink" Target="https://undocs.org/ar/CCPR/C/129/D/2456/2014" TargetMode="External"/><Relationship Id="rId20" Type="http://schemas.openxmlformats.org/officeDocument/2006/relationships/hyperlink" Target="https://undocs.org/ar/CCPR/C/124/D/2441/2014" TargetMode="External"/><Relationship Id="rId1" Type="http://schemas.openxmlformats.org/officeDocument/2006/relationships/hyperlink" Target="https://undocs.org/ar/CCPR/C/105/D/1784/2008" TargetMode="External"/><Relationship Id="rId6" Type="http://schemas.openxmlformats.org/officeDocument/2006/relationships/hyperlink" Target="https://undocs.org/ar/CCPR/C/109/D/1851/2008" TargetMode="External"/><Relationship Id="rId11" Type="http://schemas.openxmlformats.org/officeDocument/2006/relationships/hyperlink" Target="https://undocs.org/ar/CCPR/C/115/D/2019/2010" TargetMode="External"/><Relationship Id="rId5" Type="http://schemas.openxmlformats.org/officeDocument/2006/relationships/hyperlink" Target="https://undocs.org/ar/CCPR/C/115/D/2016/2010" TargetMode="External"/><Relationship Id="rId15" Type="http://schemas.openxmlformats.org/officeDocument/2006/relationships/hyperlink" Target="https://undocs.org/ar/CCPR/C/122/D/2217/2012" TargetMode="External"/><Relationship Id="rId10" Type="http://schemas.openxmlformats.org/officeDocument/2006/relationships/hyperlink" Target="https://undocs.org/ar/CCPR/C/127/D/3067/2017" TargetMode="External"/><Relationship Id="rId19" Type="http://schemas.openxmlformats.org/officeDocument/2006/relationships/hyperlink" Target="https://undocs.org/ar/CCPR/C/112/D/2137/2012" TargetMode="External"/><Relationship Id="rId4" Type="http://schemas.openxmlformats.org/officeDocument/2006/relationships/hyperlink" Target="https://undocs.org/ar/CCPR/C/112/D/1929/2010" TargetMode="External"/><Relationship Id="rId9" Type="http://schemas.openxmlformats.org/officeDocument/2006/relationships/hyperlink" Target="https://undocs.org/ar/CCPR/C/127/D/2955/2017" TargetMode="External"/><Relationship Id="rId14" Type="http://schemas.openxmlformats.org/officeDocument/2006/relationships/hyperlink" Target="https://undocs.org/ar/CCPR/C/132/D/2865/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3873-BCCC-420E-8601-D67A16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2996</Words>
  <Characters>17079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CCPR/C/135/D/3240/2018</vt:lpstr>
    </vt:vector>
  </TitlesOfParts>
  <Company>DCM</Company>
  <LinksUpToDate>false</LinksUpToDate>
  <CharactersWithSpaces>20035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CCPR/C/135/D/3240/2018</dc:title>
  <dc:subject>GE.2225916(A)</dc:subject>
  <dc:creator>Ihab RIZ - </dc:creator>
  <cp:keywords>GE.(A)</cp:keywords>
  <dc:description>General_x000d_
_x000d_
Arabic_x000d_
English</dc:description>
  <cp:lastModifiedBy>Jamila Chedad</cp:lastModifiedBy>
  <cp:revision>3</cp:revision>
  <cp:lastPrinted>2023-02-21T12:31:00Z</cp:lastPrinted>
  <dcterms:created xsi:type="dcterms:W3CDTF">2023-02-21T12:31:00Z</dcterms:created>
  <dcterms:modified xsi:type="dcterms:W3CDTF">2023-02-21T12:32:00Z</dcterms:modified>
  <cp:category>Finale</cp:category>
</cp:coreProperties>
</file>