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4EBB4D2" w14:textId="77777777" w:rsidTr="002B7BC7">
        <w:trPr>
          <w:trHeight w:hRule="exact" w:val="851"/>
        </w:trPr>
        <w:tc>
          <w:tcPr>
            <w:tcW w:w="1276" w:type="dxa"/>
            <w:tcBorders>
              <w:bottom w:val="single" w:sz="4" w:space="0" w:color="auto"/>
            </w:tcBorders>
          </w:tcPr>
          <w:p w14:paraId="2EDC435A" w14:textId="77777777" w:rsidR="006F71EA" w:rsidRPr="00DB58B5" w:rsidRDefault="006F71EA" w:rsidP="002973E4"/>
        </w:tc>
        <w:tc>
          <w:tcPr>
            <w:tcW w:w="2268" w:type="dxa"/>
            <w:tcBorders>
              <w:bottom w:val="single" w:sz="4" w:space="0" w:color="auto"/>
            </w:tcBorders>
            <w:vAlign w:val="bottom"/>
          </w:tcPr>
          <w:p w14:paraId="53109CD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5D2F48" w14:textId="6FB42C09" w:rsidR="006F71EA" w:rsidRPr="00B11CCC" w:rsidRDefault="00B11CCC" w:rsidP="00B11CCC">
            <w:pPr>
              <w:jc w:val="right"/>
            </w:pPr>
            <w:r w:rsidRPr="00B11CCC">
              <w:rPr>
                <w:sz w:val="40"/>
              </w:rPr>
              <w:t>CCPR</w:t>
            </w:r>
            <w:r>
              <w:t>/C/131/D/2988/2017</w:t>
            </w:r>
          </w:p>
        </w:tc>
      </w:tr>
      <w:tr w:rsidR="006F71EA" w:rsidRPr="00DB58B5" w14:paraId="60D35212" w14:textId="77777777" w:rsidTr="002B7BC7">
        <w:trPr>
          <w:trHeight w:hRule="exact" w:val="2835"/>
        </w:trPr>
        <w:tc>
          <w:tcPr>
            <w:tcW w:w="1276" w:type="dxa"/>
            <w:tcBorders>
              <w:top w:val="single" w:sz="4" w:space="0" w:color="auto"/>
              <w:bottom w:val="single" w:sz="12" w:space="0" w:color="auto"/>
            </w:tcBorders>
          </w:tcPr>
          <w:p w14:paraId="1184CA10" w14:textId="77777777" w:rsidR="006F71EA" w:rsidRPr="00DB58B5" w:rsidRDefault="006F71EA" w:rsidP="002B7BC7">
            <w:pPr>
              <w:spacing w:before="120"/>
              <w:jc w:val="center"/>
            </w:pPr>
            <w:r>
              <w:rPr>
                <w:noProof/>
                <w:lang w:val="en-GB" w:eastAsia="en-GB"/>
              </w:rPr>
              <w:drawing>
                <wp:inline distT="0" distB="0" distL="0" distR="0" wp14:anchorId="4CDE8D76" wp14:editId="10E5BA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487F56"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9796DE9" w14:textId="46F9E7CB" w:rsidR="006F71EA" w:rsidRDefault="002973E4" w:rsidP="002B7BC7">
            <w:pPr>
              <w:spacing w:before="240"/>
            </w:pPr>
            <w:proofErr w:type="spellStart"/>
            <w:r>
              <w:t>Distr</w:t>
            </w:r>
            <w:proofErr w:type="spellEnd"/>
            <w:r w:rsidR="0076142A" w:rsidRPr="0076142A">
              <w:t>.</w:t>
            </w:r>
            <w:r>
              <w:t xml:space="preserve"> générale</w:t>
            </w:r>
          </w:p>
          <w:p w14:paraId="5B287276" w14:textId="77777777" w:rsidR="002973E4" w:rsidRDefault="002973E4" w:rsidP="002973E4">
            <w:pPr>
              <w:spacing w:line="240" w:lineRule="exact"/>
            </w:pPr>
            <w:r w:rsidRPr="0076142A">
              <w:t>17 décembre 2021</w:t>
            </w:r>
          </w:p>
          <w:p w14:paraId="433DF11F" w14:textId="50D5069C" w:rsidR="002973E4" w:rsidRDefault="002973E4" w:rsidP="002973E4">
            <w:pPr>
              <w:spacing w:line="240" w:lineRule="exact"/>
            </w:pPr>
          </w:p>
          <w:p w14:paraId="2E49D093" w14:textId="606D40C0" w:rsidR="002973E4" w:rsidRPr="00DB58B5" w:rsidRDefault="002973E4" w:rsidP="002973E4">
            <w:pPr>
              <w:spacing w:line="240" w:lineRule="exact"/>
            </w:pPr>
            <w:r>
              <w:t>Original : français</w:t>
            </w:r>
          </w:p>
        </w:tc>
      </w:tr>
    </w:tbl>
    <w:p w14:paraId="26005EFF" w14:textId="77777777" w:rsidR="006F71EA" w:rsidRDefault="006F71EA" w:rsidP="006F71EA">
      <w:pPr>
        <w:spacing w:before="120"/>
        <w:rPr>
          <w:b/>
          <w:sz w:val="24"/>
          <w:szCs w:val="24"/>
        </w:rPr>
      </w:pPr>
      <w:r w:rsidRPr="00DF3BF1">
        <w:rPr>
          <w:b/>
          <w:sz w:val="24"/>
          <w:szCs w:val="24"/>
        </w:rPr>
        <w:t>Comité des droits de l’homme</w:t>
      </w:r>
    </w:p>
    <w:p w14:paraId="298D8E34" w14:textId="79D1F10A" w:rsidR="002973E4" w:rsidRPr="009E7472" w:rsidRDefault="002973E4" w:rsidP="002973E4">
      <w:pPr>
        <w:pStyle w:val="HChG"/>
      </w:pPr>
      <w:r w:rsidRPr="00A447AB">
        <w:rPr>
          <w:color w:val="000000" w:themeColor="text1"/>
          <w:lang w:val="fr-FR"/>
        </w:rPr>
        <w:tab/>
      </w:r>
      <w:r w:rsidRPr="00A447AB">
        <w:rPr>
          <w:color w:val="000000" w:themeColor="text1"/>
          <w:lang w:val="fr-FR"/>
        </w:rPr>
        <w:tab/>
      </w:r>
      <w:r w:rsidRPr="00B67849">
        <w:t xml:space="preserve">Constatations adoptées par le Comité au titre </w:t>
      </w:r>
      <w:r>
        <w:br/>
      </w:r>
      <w:r w:rsidRPr="00B67849">
        <w:t xml:space="preserve">de </w:t>
      </w:r>
      <w:r w:rsidRPr="00B67849">
        <w:rPr>
          <w:lang w:val="fr-FR"/>
        </w:rPr>
        <w:t>l</w:t>
      </w:r>
      <w:r>
        <w:rPr>
          <w:lang w:val="fr-FR"/>
        </w:rPr>
        <w:t>’</w:t>
      </w:r>
      <w:r w:rsidRPr="00B67849">
        <w:rPr>
          <w:lang w:val="fr-FR"/>
        </w:rPr>
        <w:t>article 5 (</w:t>
      </w:r>
      <w:r>
        <w:rPr>
          <w:lang w:val="fr-FR"/>
        </w:rPr>
        <w:t>par</w:t>
      </w:r>
      <w:r w:rsidR="0076142A" w:rsidRPr="0076142A">
        <w:rPr>
          <w:lang w:val="fr-FR"/>
        </w:rPr>
        <w:t>.</w:t>
      </w:r>
      <w:r>
        <w:rPr>
          <w:lang w:val="fr-FR"/>
        </w:rPr>
        <w:t> </w:t>
      </w:r>
      <w:r w:rsidRPr="00B67849">
        <w:rPr>
          <w:lang w:val="fr-FR"/>
        </w:rPr>
        <w:t xml:space="preserve">4) du Protocole facultatif, </w:t>
      </w:r>
      <w:r>
        <w:rPr>
          <w:lang w:val="fr-FR"/>
        </w:rPr>
        <w:br/>
      </w:r>
      <w:r w:rsidRPr="00B67849">
        <w:rPr>
          <w:lang w:val="fr-FR"/>
        </w:rPr>
        <w:t xml:space="preserve">concernant </w:t>
      </w:r>
      <w:r>
        <w:rPr>
          <w:lang w:val="fr-FR"/>
        </w:rPr>
        <w:t>la</w:t>
      </w:r>
      <w:r w:rsidRPr="00A447AB">
        <w:rPr>
          <w:color w:val="000000" w:themeColor="text1"/>
          <w:lang w:val="fr-FR"/>
        </w:rPr>
        <w:t xml:space="preserve"> </w:t>
      </w:r>
      <w:r>
        <w:rPr>
          <w:color w:val="000000" w:themeColor="text1"/>
          <w:lang w:val="fr-FR"/>
        </w:rPr>
        <w:t>c</w:t>
      </w:r>
      <w:r w:rsidRPr="00A447AB">
        <w:rPr>
          <w:color w:val="000000" w:themeColor="text1"/>
          <w:lang w:val="fr-FR"/>
        </w:rPr>
        <w:t xml:space="preserve">ommunication </w:t>
      </w:r>
      <w:r w:rsidRPr="00A447AB">
        <w:rPr>
          <w:rFonts w:eastAsia="MS Mincho"/>
          <w:color w:val="000000" w:themeColor="text1"/>
          <w:lang w:val="fr-FR"/>
        </w:rPr>
        <w:t>n</w:t>
      </w:r>
      <w:r w:rsidRPr="00A447AB">
        <w:rPr>
          <w:rFonts w:eastAsia="MS Mincho"/>
          <w:color w:val="000000" w:themeColor="text1"/>
          <w:vertAlign w:val="superscript"/>
          <w:lang w:val="fr-FR"/>
        </w:rPr>
        <w:t>o</w:t>
      </w:r>
      <w:r w:rsidRPr="00A447AB">
        <w:rPr>
          <w:color w:val="000000" w:themeColor="text1"/>
          <w:lang w:val="fr-FR"/>
        </w:rPr>
        <w:t> 2988/2017</w:t>
      </w:r>
      <w:r w:rsidRPr="005E1410">
        <w:rPr>
          <w:rStyle w:val="Appelnotedebasdep"/>
          <w:b w:val="0"/>
          <w:bCs/>
          <w:color w:val="000000" w:themeColor="text1"/>
          <w:sz w:val="20"/>
          <w:vertAlign w:val="baseline"/>
        </w:rPr>
        <w:footnoteReference w:customMarkFollows="1" w:id="2"/>
        <w:t>*</w:t>
      </w:r>
      <w:r w:rsidRPr="005E1410">
        <w:rPr>
          <w:b w:val="0"/>
          <w:bCs/>
          <w:color w:val="000000" w:themeColor="text1"/>
          <w:position w:val="6"/>
          <w:sz w:val="20"/>
        </w:rPr>
        <w:t>,</w:t>
      </w:r>
      <w:r w:rsidRPr="005E1410">
        <w:rPr>
          <w:b w:val="0"/>
          <w:bCs/>
          <w:color w:val="000000" w:themeColor="text1"/>
          <w:sz w:val="20"/>
        </w:rPr>
        <w:t xml:space="preserve"> </w:t>
      </w:r>
      <w:r w:rsidRPr="005E1410">
        <w:rPr>
          <w:rStyle w:val="Appelnotedebasdep"/>
          <w:b w:val="0"/>
          <w:bCs/>
          <w:color w:val="000000" w:themeColor="text1"/>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2973E4" w:rsidRPr="00B21088" w14:paraId="23366BF8" w14:textId="77777777" w:rsidTr="001C29B1">
        <w:tc>
          <w:tcPr>
            <w:tcW w:w="2835" w:type="dxa"/>
          </w:tcPr>
          <w:p w14:paraId="3695254D" w14:textId="77777777" w:rsidR="002973E4" w:rsidRPr="00B21088" w:rsidRDefault="002973E4" w:rsidP="001C29B1">
            <w:pPr>
              <w:spacing w:after="120"/>
              <w:rPr>
                <w:i/>
                <w:color w:val="000000" w:themeColor="text1"/>
              </w:rPr>
            </w:pPr>
            <w:r w:rsidRPr="00B21088">
              <w:rPr>
                <w:i/>
                <w:iCs/>
                <w:color w:val="000000" w:themeColor="text1"/>
                <w:lang w:val="fr-FR"/>
              </w:rPr>
              <w:t>Communication présentée par </w:t>
            </w:r>
            <w:r w:rsidRPr="00B21088">
              <w:rPr>
                <w:iCs/>
                <w:color w:val="000000" w:themeColor="text1"/>
                <w:lang w:val="fr-FR"/>
              </w:rPr>
              <w:t>:</w:t>
            </w:r>
          </w:p>
        </w:tc>
        <w:tc>
          <w:tcPr>
            <w:tcW w:w="3969" w:type="dxa"/>
          </w:tcPr>
          <w:p w14:paraId="12C4CE99" w14:textId="77777777" w:rsidR="002973E4" w:rsidRPr="00B21088" w:rsidRDefault="002973E4" w:rsidP="001C29B1">
            <w:pPr>
              <w:spacing w:after="120"/>
              <w:rPr>
                <w:color w:val="000000" w:themeColor="text1"/>
                <w:lang w:val="fr-FR"/>
              </w:rPr>
            </w:pPr>
            <w:r w:rsidRPr="00A447AB">
              <w:rPr>
                <w:color w:val="000000" w:themeColor="text1"/>
                <w:lang w:val="fr-FR"/>
              </w:rPr>
              <w:t>Philippe Rudyard Bessis</w:t>
            </w:r>
            <w:r w:rsidRPr="00B21088" w:rsidDel="00A447AB">
              <w:rPr>
                <w:color w:val="000000" w:themeColor="text1"/>
                <w:lang w:val="fr-FR"/>
              </w:rPr>
              <w:t xml:space="preserve"> </w:t>
            </w:r>
            <w:r w:rsidRPr="00B21088">
              <w:rPr>
                <w:color w:val="000000" w:themeColor="text1"/>
                <w:lang w:val="fr-FR"/>
              </w:rPr>
              <w:t xml:space="preserve">(représenté par un conseil, </w:t>
            </w:r>
            <w:r w:rsidRPr="00A447AB">
              <w:rPr>
                <w:color w:val="000000" w:themeColor="text1"/>
                <w:lang w:val="fr-FR"/>
              </w:rPr>
              <w:t>Frédéric Fabre</w:t>
            </w:r>
            <w:r w:rsidRPr="00B21088">
              <w:rPr>
                <w:color w:val="000000" w:themeColor="text1"/>
                <w:lang w:val="fr-FR"/>
              </w:rPr>
              <w:t>)</w:t>
            </w:r>
          </w:p>
        </w:tc>
      </w:tr>
      <w:tr w:rsidR="002973E4" w:rsidRPr="00B21088" w14:paraId="007FE8F6" w14:textId="77777777" w:rsidTr="001C29B1">
        <w:tc>
          <w:tcPr>
            <w:tcW w:w="2835" w:type="dxa"/>
          </w:tcPr>
          <w:p w14:paraId="79D8DF42" w14:textId="77777777" w:rsidR="002973E4" w:rsidRPr="00B21088" w:rsidRDefault="002973E4" w:rsidP="001C29B1">
            <w:pPr>
              <w:spacing w:after="120"/>
              <w:rPr>
                <w:i/>
                <w:color w:val="000000" w:themeColor="text1"/>
              </w:rPr>
            </w:pPr>
            <w:r>
              <w:rPr>
                <w:i/>
                <w:iCs/>
                <w:color w:val="000000" w:themeColor="text1"/>
                <w:lang w:val="fr-FR"/>
              </w:rPr>
              <w:t>Victime(s) présumée(s)</w:t>
            </w:r>
            <w:r w:rsidRPr="00B21088">
              <w:rPr>
                <w:i/>
                <w:iCs/>
                <w:color w:val="000000" w:themeColor="text1"/>
                <w:lang w:val="fr-FR"/>
              </w:rPr>
              <w:t> </w:t>
            </w:r>
            <w:r w:rsidRPr="00B21088">
              <w:rPr>
                <w:iCs/>
                <w:color w:val="000000" w:themeColor="text1"/>
                <w:lang w:val="fr-FR"/>
              </w:rPr>
              <w:t>:</w:t>
            </w:r>
          </w:p>
        </w:tc>
        <w:tc>
          <w:tcPr>
            <w:tcW w:w="3969" w:type="dxa"/>
          </w:tcPr>
          <w:p w14:paraId="0FF9E2D6" w14:textId="77777777" w:rsidR="002973E4" w:rsidRPr="00B21088" w:rsidRDefault="002973E4" w:rsidP="001C29B1">
            <w:pPr>
              <w:spacing w:after="120"/>
              <w:rPr>
                <w:color w:val="000000" w:themeColor="text1"/>
              </w:rPr>
            </w:pPr>
            <w:r>
              <w:rPr>
                <w:color w:val="000000" w:themeColor="text1"/>
              </w:rPr>
              <w:t>L’</w:t>
            </w:r>
            <w:r w:rsidRPr="00B21088">
              <w:rPr>
                <w:color w:val="000000" w:themeColor="text1"/>
              </w:rPr>
              <w:t>auteur</w:t>
            </w:r>
          </w:p>
        </w:tc>
      </w:tr>
      <w:tr w:rsidR="002973E4" w:rsidRPr="00B21088" w14:paraId="06F91D85" w14:textId="77777777" w:rsidTr="001C29B1">
        <w:tc>
          <w:tcPr>
            <w:tcW w:w="2835" w:type="dxa"/>
          </w:tcPr>
          <w:p w14:paraId="4618E834" w14:textId="77777777" w:rsidR="002973E4" w:rsidRPr="00B21088" w:rsidRDefault="002973E4" w:rsidP="001C29B1">
            <w:pPr>
              <w:spacing w:after="120"/>
              <w:rPr>
                <w:i/>
                <w:color w:val="000000" w:themeColor="text1"/>
              </w:rPr>
            </w:pPr>
            <w:r w:rsidRPr="00B21088">
              <w:rPr>
                <w:i/>
                <w:iCs/>
                <w:color w:val="000000" w:themeColor="text1"/>
                <w:lang w:val="fr-FR"/>
              </w:rPr>
              <w:t>État partie </w:t>
            </w:r>
            <w:r w:rsidRPr="00B21088">
              <w:rPr>
                <w:iCs/>
                <w:color w:val="000000" w:themeColor="text1"/>
                <w:lang w:val="fr-FR"/>
              </w:rPr>
              <w:t>:</w:t>
            </w:r>
          </w:p>
        </w:tc>
        <w:tc>
          <w:tcPr>
            <w:tcW w:w="3969" w:type="dxa"/>
          </w:tcPr>
          <w:p w14:paraId="4490EDA1" w14:textId="77777777" w:rsidR="002973E4" w:rsidRPr="00B21088" w:rsidRDefault="002973E4" w:rsidP="001C29B1">
            <w:pPr>
              <w:spacing w:after="120"/>
              <w:rPr>
                <w:color w:val="000000" w:themeColor="text1"/>
              </w:rPr>
            </w:pPr>
            <w:r w:rsidRPr="00B21088">
              <w:rPr>
                <w:color w:val="000000" w:themeColor="text1"/>
                <w:lang w:val="fr-FR"/>
              </w:rPr>
              <w:t>France</w:t>
            </w:r>
          </w:p>
        </w:tc>
      </w:tr>
      <w:tr w:rsidR="002973E4" w:rsidRPr="00B21088" w14:paraId="2EEAD7D2" w14:textId="77777777" w:rsidTr="001C29B1">
        <w:tc>
          <w:tcPr>
            <w:tcW w:w="2835" w:type="dxa"/>
          </w:tcPr>
          <w:p w14:paraId="1DEE3D9A" w14:textId="77777777" w:rsidR="002973E4" w:rsidRPr="00B21088" w:rsidRDefault="002973E4" w:rsidP="001C29B1">
            <w:pPr>
              <w:spacing w:after="120"/>
              <w:rPr>
                <w:i/>
                <w:color w:val="000000" w:themeColor="text1"/>
              </w:rPr>
            </w:pPr>
            <w:r w:rsidRPr="00B21088">
              <w:rPr>
                <w:i/>
                <w:iCs/>
                <w:color w:val="000000" w:themeColor="text1"/>
                <w:lang w:val="fr-FR"/>
              </w:rPr>
              <w:t>Date de la communication </w:t>
            </w:r>
            <w:r w:rsidRPr="00B21088">
              <w:rPr>
                <w:iCs/>
                <w:color w:val="000000" w:themeColor="text1"/>
                <w:lang w:val="fr-FR"/>
              </w:rPr>
              <w:t>:</w:t>
            </w:r>
          </w:p>
        </w:tc>
        <w:tc>
          <w:tcPr>
            <w:tcW w:w="3969" w:type="dxa"/>
          </w:tcPr>
          <w:p w14:paraId="57BDFEF5" w14:textId="77777777" w:rsidR="002973E4" w:rsidRPr="00B21088" w:rsidRDefault="002973E4" w:rsidP="001C29B1">
            <w:pPr>
              <w:spacing w:after="120"/>
              <w:rPr>
                <w:color w:val="000000" w:themeColor="text1"/>
              </w:rPr>
            </w:pPr>
            <w:r w:rsidRPr="00B21088">
              <w:rPr>
                <w:color w:val="000000" w:themeColor="text1"/>
                <w:lang w:val="fr-FR"/>
              </w:rPr>
              <w:t>1</w:t>
            </w:r>
            <w:r w:rsidRPr="00B21088">
              <w:rPr>
                <w:color w:val="000000" w:themeColor="text1"/>
                <w:vertAlign w:val="superscript"/>
                <w:lang w:val="fr-FR"/>
              </w:rPr>
              <w:t>er</w:t>
            </w:r>
            <w:r w:rsidRPr="00B21088">
              <w:rPr>
                <w:color w:val="000000" w:themeColor="text1"/>
                <w:lang w:val="fr-FR"/>
              </w:rPr>
              <w:t xml:space="preserve"> mars 2017 (date de la lettre initiale)</w:t>
            </w:r>
          </w:p>
        </w:tc>
      </w:tr>
      <w:tr w:rsidR="002973E4" w:rsidRPr="00B21088" w14:paraId="17844076" w14:textId="77777777" w:rsidTr="001C29B1">
        <w:tc>
          <w:tcPr>
            <w:tcW w:w="2835" w:type="dxa"/>
          </w:tcPr>
          <w:p w14:paraId="02664C77" w14:textId="77777777" w:rsidR="002973E4" w:rsidRPr="00B21088" w:rsidRDefault="002973E4" w:rsidP="001C29B1">
            <w:pPr>
              <w:spacing w:after="120"/>
              <w:rPr>
                <w:i/>
                <w:color w:val="000000" w:themeColor="text1"/>
              </w:rPr>
            </w:pPr>
            <w:r w:rsidRPr="00B21088">
              <w:rPr>
                <w:i/>
                <w:iCs/>
                <w:color w:val="000000" w:themeColor="text1"/>
                <w:lang w:val="fr-FR"/>
              </w:rPr>
              <w:t>Références </w:t>
            </w:r>
            <w:r w:rsidRPr="00B21088">
              <w:rPr>
                <w:iCs/>
                <w:color w:val="000000" w:themeColor="text1"/>
                <w:lang w:val="fr-FR"/>
              </w:rPr>
              <w:t>:</w:t>
            </w:r>
          </w:p>
        </w:tc>
        <w:tc>
          <w:tcPr>
            <w:tcW w:w="3969" w:type="dxa"/>
          </w:tcPr>
          <w:p w14:paraId="2990150C" w14:textId="77777777" w:rsidR="002973E4" w:rsidRPr="00B21088" w:rsidRDefault="002973E4" w:rsidP="001C29B1">
            <w:pPr>
              <w:spacing w:after="120"/>
              <w:rPr>
                <w:color w:val="000000" w:themeColor="text1"/>
              </w:rPr>
            </w:pPr>
            <w:r w:rsidRPr="00B21088">
              <w:rPr>
                <w:color w:val="000000" w:themeColor="text1"/>
                <w:lang w:val="fr-FR"/>
              </w:rPr>
              <w:t>Décision prise en application de l</w:t>
            </w:r>
            <w:r>
              <w:rPr>
                <w:color w:val="000000" w:themeColor="text1"/>
                <w:lang w:val="fr-FR"/>
              </w:rPr>
              <w:t>’</w:t>
            </w:r>
            <w:r w:rsidRPr="00B21088">
              <w:rPr>
                <w:color w:val="000000" w:themeColor="text1"/>
                <w:lang w:val="fr-FR"/>
              </w:rPr>
              <w:t>article 92 du règlement intérieur du Comité, communiquée à l</w:t>
            </w:r>
            <w:r>
              <w:rPr>
                <w:color w:val="000000" w:themeColor="text1"/>
                <w:lang w:val="fr-FR"/>
              </w:rPr>
              <w:t>’</w:t>
            </w:r>
            <w:r w:rsidRPr="00B21088">
              <w:rPr>
                <w:color w:val="000000" w:themeColor="text1"/>
                <w:lang w:val="fr-FR"/>
              </w:rPr>
              <w:t>État partie le 13 juin 2017 (non publiée sous forme de document)</w:t>
            </w:r>
          </w:p>
        </w:tc>
      </w:tr>
      <w:tr w:rsidR="002973E4" w:rsidRPr="00B21088" w14:paraId="4C0841C8" w14:textId="77777777" w:rsidTr="001C29B1">
        <w:tc>
          <w:tcPr>
            <w:tcW w:w="2835" w:type="dxa"/>
          </w:tcPr>
          <w:p w14:paraId="47A9A3D7" w14:textId="77777777" w:rsidR="002973E4" w:rsidRPr="00B21088" w:rsidRDefault="002973E4" w:rsidP="001C29B1">
            <w:pPr>
              <w:spacing w:after="120"/>
              <w:rPr>
                <w:i/>
                <w:color w:val="000000" w:themeColor="text1"/>
              </w:rPr>
            </w:pPr>
            <w:r w:rsidRPr="00B21088">
              <w:rPr>
                <w:i/>
                <w:iCs/>
                <w:color w:val="000000" w:themeColor="text1"/>
                <w:lang w:val="fr-FR"/>
              </w:rPr>
              <w:t>Date des constatations </w:t>
            </w:r>
            <w:r w:rsidRPr="00B21088">
              <w:rPr>
                <w:iCs/>
                <w:color w:val="000000" w:themeColor="text1"/>
                <w:lang w:val="fr-FR"/>
              </w:rPr>
              <w:t>:</w:t>
            </w:r>
          </w:p>
        </w:tc>
        <w:tc>
          <w:tcPr>
            <w:tcW w:w="3969" w:type="dxa"/>
          </w:tcPr>
          <w:p w14:paraId="51FF590E" w14:textId="77777777" w:rsidR="002973E4" w:rsidRPr="00B21088" w:rsidRDefault="002973E4" w:rsidP="001C29B1">
            <w:pPr>
              <w:spacing w:after="120"/>
              <w:rPr>
                <w:color w:val="000000" w:themeColor="text1"/>
              </w:rPr>
            </w:pPr>
            <w:r>
              <w:rPr>
                <w:color w:val="000000" w:themeColor="text1"/>
                <w:lang w:val="fr-FR"/>
              </w:rPr>
              <w:t xml:space="preserve">24 mars </w:t>
            </w:r>
            <w:r w:rsidRPr="00B21088">
              <w:rPr>
                <w:color w:val="000000" w:themeColor="text1"/>
                <w:lang w:val="fr-FR"/>
              </w:rPr>
              <w:t>2021</w:t>
            </w:r>
          </w:p>
        </w:tc>
      </w:tr>
      <w:tr w:rsidR="002973E4" w:rsidRPr="00B21088" w14:paraId="206D1AAE" w14:textId="77777777" w:rsidTr="001C29B1">
        <w:tc>
          <w:tcPr>
            <w:tcW w:w="2835" w:type="dxa"/>
          </w:tcPr>
          <w:p w14:paraId="73D06B5F" w14:textId="77777777" w:rsidR="002973E4" w:rsidRPr="00B21088" w:rsidRDefault="002973E4" w:rsidP="001C29B1">
            <w:pPr>
              <w:spacing w:after="120"/>
              <w:rPr>
                <w:i/>
                <w:color w:val="000000" w:themeColor="text1"/>
              </w:rPr>
            </w:pPr>
            <w:r w:rsidRPr="00B21088">
              <w:rPr>
                <w:i/>
                <w:iCs/>
                <w:color w:val="000000" w:themeColor="text1"/>
                <w:lang w:val="fr-FR"/>
              </w:rPr>
              <w:t>Objet </w:t>
            </w:r>
            <w:r w:rsidRPr="00B21088">
              <w:rPr>
                <w:iCs/>
                <w:color w:val="000000" w:themeColor="text1"/>
                <w:lang w:val="fr-FR"/>
              </w:rPr>
              <w:t>:</w:t>
            </w:r>
          </w:p>
        </w:tc>
        <w:tc>
          <w:tcPr>
            <w:tcW w:w="3969" w:type="dxa"/>
          </w:tcPr>
          <w:p w14:paraId="1DB413ED" w14:textId="77777777" w:rsidR="002973E4" w:rsidRPr="00B21088" w:rsidRDefault="002973E4" w:rsidP="001C29B1">
            <w:pPr>
              <w:spacing w:after="120"/>
              <w:rPr>
                <w:color w:val="000000" w:themeColor="text1"/>
                <w:lang w:val="fr-FR"/>
              </w:rPr>
            </w:pPr>
            <w:r w:rsidRPr="00A447AB">
              <w:rPr>
                <w:color w:val="000000" w:themeColor="text1"/>
              </w:rPr>
              <w:t>Protection de la famille</w:t>
            </w:r>
            <w:r>
              <w:rPr>
                <w:color w:val="000000" w:themeColor="text1"/>
              </w:rPr>
              <w:t> ;</w:t>
            </w:r>
            <w:r w:rsidRPr="00A447AB">
              <w:rPr>
                <w:color w:val="000000" w:themeColor="text1"/>
              </w:rPr>
              <w:t xml:space="preserve"> vie privée</w:t>
            </w:r>
            <w:r>
              <w:rPr>
                <w:color w:val="000000" w:themeColor="text1"/>
              </w:rPr>
              <w:t> ;</w:t>
            </w:r>
            <w:r w:rsidRPr="00A447AB">
              <w:rPr>
                <w:color w:val="000000" w:themeColor="text1"/>
              </w:rPr>
              <w:t xml:space="preserve"> liberté d</w:t>
            </w:r>
            <w:r>
              <w:rPr>
                <w:color w:val="000000" w:themeColor="text1"/>
              </w:rPr>
              <w:t>’</w:t>
            </w:r>
            <w:r w:rsidRPr="00A447AB">
              <w:rPr>
                <w:color w:val="000000" w:themeColor="text1"/>
              </w:rPr>
              <w:t>expression</w:t>
            </w:r>
            <w:r>
              <w:rPr>
                <w:color w:val="000000" w:themeColor="text1"/>
              </w:rPr>
              <w:t> ;</w:t>
            </w:r>
            <w:r w:rsidRPr="00A447AB">
              <w:rPr>
                <w:color w:val="000000" w:themeColor="text1"/>
              </w:rPr>
              <w:t xml:space="preserve"> procès équitable</w:t>
            </w:r>
            <w:r>
              <w:rPr>
                <w:color w:val="000000" w:themeColor="text1"/>
              </w:rPr>
              <w:t> ;</w:t>
            </w:r>
            <w:r w:rsidRPr="00A447AB">
              <w:rPr>
                <w:color w:val="000000" w:themeColor="text1"/>
              </w:rPr>
              <w:t xml:space="preserve"> participation à la </w:t>
            </w:r>
            <w:r>
              <w:rPr>
                <w:color w:val="000000" w:themeColor="text1"/>
              </w:rPr>
              <w:t>vie</w:t>
            </w:r>
            <w:r w:rsidRPr="00A447AB">
              <w:rPr>
                <w:color w:val="000000" w:themeColor="text1"/>
              </w:rPr>
              <w:t xml:space="preserve"> publique</w:t>
            </w:r>
          </w:p>
        </w:tc>
      </w:tr>
      <w:tr w:rsidR="002973E4" w:rsidRPr="00B21088" w14:paraId="23DA61EE" w14:textId="77777777" w:rsidTr="001C29B1">
        <w:tc>
          <w:tcPr>
            <w:tcW w:w="2835" w:type="dxa"/>
          </w:tcPr>
          <w:p w14:paraId="14A545CD" w14:textId="77777777" w:rsidR="002973E4" w:rsidRPr="00B21088" w:rsidRDefault="002973E4" w:rsidP="001C29B1">
            <w:pPr>
              <w:spacing w:after="120"/>
              <w:rPr>
                <w:i/>
                <w:color w:val="000000" w:themeColor="text1"/>
              </w:rPr>
            </w:pPr>
            <w:r w:rsidRPr="00B21088">
              <w:rPr>
                <w:i/>
                <w:iCs/>
                <w:color w:val="000000" w:themeColor="text1"/>
                <w:lang w:val="fr-FR"/>
              </w:rPr>
              <w:t>Question(s) de procédure </w:t>
            </w:r>
            <w:r w:rsidRPr="00B21088">
              <w:rPr>
                <w:iCs/>
                <w:color w:val="000000" w:themeColor="text1"/>
                <w:lang w:val="fr-FR"/>
              </w:rPr>
              <w:t>:</w:t>
            </w:r>
          </w:p>
        </w:tc>
        <w:tc>
          <w:tcPr>
            <w:tcW w:w="3969" w:type="dxa"/>
            <w:vAlign w:val="bottom"/>
          </w:tcPr>
          <w:p w14:paraId="237392FB" w14:textId="65035196" w:rsidR="002973E4" w:rsidRPr="00B21088" w:rsidRDefault="002973E4" w:rsidP="001C29B1">
            <w:pPr>
              <w:spacing w:after="120"/>
              <w:rPr>
                <w:color w:val="000000" w:themeColor="text1"/>
              </w:rPr>
            </w:pPr>
            <w:r w:rsidRPr="00B21088">
              <w:rPr>
                <w:color w:val="000000" w:themeColor="text1"/>
              </w:rPr>
              <w:t>Recevabilité</w:t>
            </w:r>
            <w:r>
              <w:rPr>
                <w:color w:val="000000" w:themeColor="text1"/>
              </w:rPr>
              <w:t> ;</w:t>
            </w:r>
            <w:r w:rsidRPr="00B21088">
              <w:rPr>
                <w:color w:val="000000" w:themeColor="text1"/>
              </w:rPr>
              <w:t xml:space="preserve"> griefs non étayés</w:t>
            </w:r>
          </w:p>
        </w:tc>
      </w:tr>
      <w:tr w:rsidR="002973E4" w:rsidRPr="00B21088" w14:paraId="057A6C93" w14:textId="77777777" w:rsidTr="001C29B1">
        <w:tc>
          <w:tcPr>
            <w:tcW w:w="2835" w:type="dxa"/>
          </w:tcPr>
          <w:p w14:paraId="0BEBAA86" w14:textId="77777777" w:rsidR="002973E4" w:rsidRPr="00B21088" w:rsidRDefault="002973E4" w:rsidP="001C29B1">
            <w:pPr>
              <w:spacing w:after="120"/>
              <w:rPr>
                <w:i/>
                <w:color w:val="000000" w:themeColor="text1"/>
              </w:rPr>
            </w:pPr>
            <w:r w:rsidRPr="00B21088">
              <w:rPr>
                <w:i/>
                <w:iCs/>
                <w:color w:val="000000" w:themeColor="text1"/>
                <w:lang w:val="fr-FR"/>
              </w:rPr>
              <w:t>Question(s) de fond </w:t>
            </w:r>
            <w:r w:rsidRPr="00B21088">
              <w:rPr>
                <w:iCs/>
                <w:color w:val="000000" w:themeColor="text1"/>
                <w:lang w:val="fr-FR"/>
              </w:rPr>
              <w:t>:</w:t>
            </w:r>
          </w:p>
        </w:tc>
        <w:tc>
          <w:tcPr>
            <w:tcW w:w="3969" w:type="dxa"/>
          </w:tcPr>
          <w:p w14:paraId="6AF99FF5" w14:textId="4B5DD6E9" w:rsidR="002973E4" w:rsidRPr="00B21088" w:rsidRDefault="002973E4" w:rsidP="001C29B1">
            <w:pPr>
              <w:spacing w:after="120"/>
              <w:rPr>
                <w:color w:val="000000" w:themeColor="text1"/>
              </w:rPr>
            </w:pPr>
            <w:r>
              <w:rPr>
                <w:color w:val="000000" w:themeColor="text1"/>
              </w:rPr>
              <w:t>Droit à un procès équitable ; d</w:t>
            </w:r>
            <w:r w:rsidRPr="00B21088">
              <w:rPr>
                <w:color w:val="000000" w:themeColor="text1"/>
              </w:rPr>
              <w:t>roit d</w:t>
            </w:r>
            <w:r>
              <w:rPr>
                <w:color w:val="000000" w:themeColor="text1"/>
              </w:rPr>
              <w:t>’</w:t>
            </w:r>
            <w:r w:rsidRPr="00B21088">
              <w:rPr>
                <w:color w:val="000000" w:themeColor="text1"/>
              </w:rPr>
              <w:t>être protégé contre toute immixtion arbitraire ou illégale dans la famille</w:t>
            </w:r>
            <w:r>
              <w:rPr>
                <w:color w:val="000000" w:themeColor="text1"/>
              </w:rPr>
              <w:t> ; droit à la liberté d’expression</w:t>
            </w:r>
          </w:p>
        </w:tc>
      </w:tr>
      <w:tr w:rsidR="002973E4" w:rsidRPr="00B21088" w14:paraId="6CBF6B9F" w14:textId="77777777" w:rsidTr="001C29B1">
        <w:tc>
          <w:tcPr>
            <w:tcW w:w="2835" w:type="dxa"/>
          </w:tcPr>
          <w:p w14:paraId="44A3EC8A" w14:textId="77777777" w:rsidR="002973E4" w:rsidRPr="00B21088" w:rsidRDefault="002973E4" w:rsidP="001C29B1">
            <w:pPr>
              <w:spacing w:after="120"/>
              <w:rPr>
                <w:i/>
                <w:color w:val="000000" w:themeColor="text1"/>
              </w:rPr>
            </w:pPr>
            <w:r w:rsidRPr="00B21088">
              <w:rPr>
                <w:i/>
                <w:iCs/>
                <w:color w:val="000000" w:themeColor="text1"/>
                <w:lang w:val="fr-FR"/>
              </w:rPr>
              <w:t>Article(s) du Pacte </w:t>
            </w:r>
            <w:r w:rsidRPr="00B21088">
              <w:rPr>
                <w:iCs/>
                <w:color w:val="000000" w:themeColor="text1"/>
                <w:lang w:val="fr-FR"/>
              </w:rPr>
              <w:t>:</w:t>
            </w:r>
          </w:p>
        </w:tc>
        <w:tc>
          <w:tcPr>
            <w:tcW w:w="3969" w:type="dxa"/>
          </w:tcPr>
          <w:p w14:paraId="5FB63941" w14:textId="6B31FBB7" w:rsidR="002973E4" w:rsidRPr="00B21088" w:rsidRDefault="002973E4" w:rsidP="001C29B1">
            <w:pPr>
              <w:spacing w:after="120"/>
              <w:rPr>
                <w:color w:val="000000" w:themeColor="text1"/>
              </w:rPr>
            </w:pPr>
            <w:r w:rsidRPr="00B21088">
              <w:rPr>
                <w:color w:val="000000" w:themeColor="text1"/>
                <w:lang w:val="en-CA"/>
              </w:rPr>
              <w:t>2 (</w:t>
            </w:r>
            <w:r>
              <w:rPr>
                <w:color w:val="000000" w:themeColor="text1"/>
                <w:lang w:val="en-CA"/>
              </w:rPr>
              <w:t>par</w:t>
            </w:r>
            <w:r w:rsidR="0076142A" w:rsidRPr="0076142A">
              <w:rPr>
                <w:color w:val="000000" w:themeColor="text1"/>
                <w:lang w:val="en-CA"/>
              </w:rPr>
              <w:t>.</w:t>
            </w:r>
            <w:r>
              <w:rPr>
                <w:color w:val="000000" w:themeColor="text1"/>
                <w:lang w:val="en-CA"/>
              </w:rPr>
              <w:t> </w:t>
            </w:r>
            <w:r w:rsidRPr="00B21088">
              <w:rPr>
                <w:color w:val="000000" w:themeColor="text1"/>
                <w:lang w:val="en-CA"/>
              </w:rPr>
              <w:t>3)</w:t>
            </w:r>
            <w:r>
              <w:rPr>
                <w:color w:val="000000" w:themeColor="text1"/>
                <w:lang w:val="en-CA"/>
              </w:rPr>
              <w:t xml:space="preserve">, </w:t>
            </w:r>
            <w:r w:rsidRPr="00B21088">
              <w:rPr>
                <w:color w:val="000000" w:themeColor="text1"/>
                <w:lang w:val="en-CA"/>
              </w:rPr>
              <w:t>14</w:t>
            </w:r>
            <w:r>
              <w:rPr>
                <w:color w:val="000000" w:themeColor="text1"/>
                <w:lang w:val="en-CA"/>
              </w:rPr>
              <w:t xml:space="preserve"> </w:t>
            </w:r>
            <w:r w:rsidRPr="00B21088">
              <w:rPr>
                <w:color w:val="000000" w:themeColor="text1"/>
                <w:lang w:val="en-CA"/>
              </w:rPr>
              <w:t>(</w:t>
            </w:r>
            <w:r>
              <w:rPr>
                <w:color w:val="000000" w:themeColor="text1"/>
                <w:lang w:val="en-CA"/>
              </w:rPr>
              <w:t>par</w:t>
            </w:r>
            <w:r w:rsidR="0076142A" w:rsidRPr="0076142A">
              <w:rPr>
                <w:color w:val="000000" w:themeColor="text1"/>
                <w:lang w:val="en-CA"/>
              </w:rPr>
              <w:t>.</w:t>
            </w:r>
            <w:r>
              <w:rPr>
                <w:color w:val="000000" w:themeColor="text1"/>
                <w:lang w:val="en-CA"/>
              </w:rPr>
              <w:t> </w:t>
            </w:r>
            <w:r w:rsidRPr="00B21088">
              <w:rPr>
                <w:color w:val="000000" w:themeColor="text1"/>
                <w:lang w:val="en-CA"/>
              </w:rPr>
              <w:t>1), 17,</w:t>
            </w:r>
            <w:r>
              <w:rPr>
                <w:color w:val="000000" w:themeColor="text1"/>
                <w:lang w:val="en-CA"/>
              </w:rPr>
              <w:t xml:space="preserve"> 19 et </w:t>
            </w:r>
            <w:r w:rsidRPr="00B21088">
              <w:rPr>
                <w:color w:val="000000" w:themeColor="text1"/>
                <w:lang w:val="en-CA"/>
              </w:rPr>
              <w:t>25</w:t>
            </w:r>
          </w:p>
        </w:tc>
      </w:tr>
      <w:tr w:rsidR="002973E4" w:rsidRPr="0010048C" w14:paraId="39486DF5" w14:textId="77777777" w:rsidTr="001C29B1">
        <w:tc>
          <w:tcPr>
            <w:tcW w:w="2835" w:type="dxa"/>
          </w:tcPr>
          <w:p w14:paraId="06909A04" w14:textId="77777777" w:rsidR="002973E4" w:rsidRPr="00B21088" w:rsidRDefault="002973E4" w:rsidP="001C29B1">
            <w:pPr>
              <w:spacing w:after="120"/>
              <w:rPr>
                <w:i/>
                <w:iCs/>
                <w:color w:val="000000" w:themeColor="text1"/>
                <w:lang w:val="fr-FR"/>
              </w:rPr>
            </w:pPr>
            <w:r w:rsidRPr="00B21088">
              <w:rPr>
                <w:i/>
                <w:iCs/>
                <w:color w:val="000000" w:themeColor="text1"/>
                <w:lang w:val="fr-FR"/>
              </w:rPr>
              <w:t>Article(s) du Protocole facultatif </w:t>
            </w:r>
            <w:r w:rsidRPr="00B21088">
              <w:rPr>
                <w:iCs/>
                <w:color w:val="000000" w:themeColor="text1"/>
                <w:lang w:val="fr-FR"/>
              </w:rPr>
              <w:t>:</w:t>
            </w:r>
          </w:p>
        </w:tc>
        <w:tc>
          <w:tcPr>
            <w:tcW w:w="3969" w:type="dxa"/>
          </w:tcPr>
          <w:p w14:paraId="74714A9D" w14:textId="4AED6277" w:rsidR="002973E4" w:rsidRPr="00B21088" w:rsidRDefault="002973E4" w:rsidP="001C29B1">
            <w:pPr>
              <w:spacing w:after="120"/>
              <w:rPr>
                <w:color w:val="000000" w:themeColor="text1"/>
                <w:lang w:val="fr-FR"/>
              </w:rPr>
            </w:pPr>
            <w:r w:rsidRPr="00B21088">
              <w:rPr>
                <w:iCs/>
                <w:color w:val="000000" w:themeColor="text1"/>
              </w:rPr>
              <w:t>2 et 5 (par</w:t>
            </w:r>
            <w:r w:rsidR="0076142A" w:rsidRPr="0076142A">
              <w:rPr>
                <w:iCs/>
                <w:color w:val="000000" w:themeColor="text1"/>
              </w:rPr>
              <w:t>.</w:t>
            </w:r>
            <w:r w:rsidRPr="00B21088">
              <w:rPr>
                <w:iCs/>
                <w:color w:val="000000" w:themeColor="text1"/>
              </w:rPr>
              <w:t xml:space="preserve"> 2 a)</w:t>
            </w:r>
            <w:r>
              <w:rPr>
                <w:iCs/>
                <w:color w:val="000000" w:themeColor="text1"/>
              </w:rPr>
              <w:t>)</w:t>
            </w:r>
          </w:p>
        </w:tc>
      </w:tr>
    </w:tbl>
    <w:p w14:paraId="2AAF32D6" w14:textId="7CD765AC" w:rsidR="002973E4" w:rsidRPr="00CE19C0" w:rsidRDefault="002973E4" w:rsidP="005E1410">
      <w:pPr>
        <w:pStyle w:val="SingleTxtG"/>
        <w:spacing w:before="120"/>
        <w:rPr>
          <w:lang w:val="fr-FR"/>
        </w:rPr>
      </w:pPr>
      <w:r w:rsidRPr="00CE19C0">
        <w:t>1</w:t>
      </w:r>
      <w:r w:rsidR="0076142A" w:rsidRPr="0076142A">
        <w:t>.</w:t>
      </w:r>
      <w:r w:rsidRPr="00CE19C0">
        <w:tab/>
      </w:r>
      <w:r w:rsidRPr="00CE19C0">
        <w:rPr>
          <w:lang w:val="fr-FR"/>
        </w:rPr>
        <w:t>L</w:t>
      </w:r>
      <w:r>
        <w:rPr>
          <w:lang w:val="fr-FR"/>
        </w:rPr>
        <w:t>’</w:t>
      </w:r>
      <w:r w:rsidRPr="00CE19C0">
        <w:rPr>
          <w:lang w:val="fr-FR"/>
        </w:rPr>
        <w:t>auteur de la communication est Philippe Rudyard Bessis</w:t>
      </w:r>
      <w:r>
        <w:rPr>
          <w:lang w:val="fr-FR"/>
        </w:rPr>
        <w:t>, de nationalité française</w:t>
      </w:r>
      <w:r w:rsidRPr="00CE19C0">
        <w:rPr>
          <w:lang w:val="fr-FR"/>
        </w:rPr>
        <w:t>, né en 1954</w:t>
      </w:r>
      <w:r>
        <w:rPr>
          <w:lang w:val="fr-FR"/>
        </w:rPr>
        <w:t xml:space="preserve"> </w:t>
      </w:r>
      <w:r w:rsidRPr="00CE19C0">
        <w:rPr>
          <w:lang w:val="fr-FR"/>
        </w:rPr>
        <w:t>en Tunisie</w:t>
      </w:r>
      <w:r w:rsidR="0076142A" w:rsidRPr="0076142A">
        <w:rPr>
          <w:lang w:val="fr-FR"/>
        </w:rPr>
        <w:t>.</w:t>
      </w:r>
      <w:r w:rsidRPr="00CE19C0">
        <w:rPr>
          <w:lang w:val="fr-FR"/>
        </w:rPr>
        <w:t xml:space="preserve"> Il allègue une violation par l</w:t>
      </w:r>
      <w:r>
        <w:rPr>
          <w:lang w:val="fr-FR"/>
        </w:rPr>
        <w:t>’</w:t>
      </w:r>
      <w:r w:rsidRPr="00CE19C0">
        <w:rPr>
          <w:lang w:val="fr-FR"/>
        </w:rPr>
        <w:t>État partie des droits qu</w:t>
      </w:r>
      <w:r>
        <w:rPr>
          <w:lang w:val="fr-FR"/>
        </w:rPr>
        <w:t>’</w:t>
      </w:r>
      <w:r w:rsidRPr="00CE19C0">
        <w:rPr>
          <w:lang w:val="fr-FR"/>
        </w:rPr>
        <w:t>il tient des articles 2</w:t>
      </w:r>
      <w:r>
        <w:rPr>
          <w:lang w:val="fr-FR"/>
        </w:rPr>
        <w:t xml:space="preserve"> </w:t>
      </w:r>
      <w:r w:rsidRPr="00CE19C0">
        <w:rPr>
          <w:lang w:val="fr-FR"/>
        </w:rPr>
        <w:t>(</w:t>
      </w:r>
      <w:r>
        <w:rPr>
          <w:lang w:val="fr-FR"/>
        </w:rPr>
        <w:t>par</w:t>
      </w:r>
      <w:r w:rsidR="0076142A" w:rsidRPr="0076142A">
        <w:rPr>
          <w:lang w:val="fr-FR"/>
        </w:rPr>
        <w:t>.</w:t>
      </w:r>
      <w:r>
        <w:rPr>
          <w:lang w:val="fr-FR"/>
        </w:rPr>
        <w:t> </w:t>
      </w:r>
      <w:r w:rsidRPr="00CE19C0">
        <w:rPr>
          <w:lang w:val="fr-FR"/>
        </w:rPr>
        <w:t>3), 14 et 19 du Pacte</w:t>
      </w:r>
      <w:r w:rsidR="0076142A" w:rsidRPr="0076142A">
        <w:rPr>
          <w:lang w:val="fr-FR"/>
        </w:rPr>
        <w:t>.</w:t>
      </w:r>
      <w:r w:rsidRPr="00CE19C0">
        <w:rPr>
          <w:lang w:val="fr-FR"/>
        </w:rPr>
        <w:t xml:space="preserve"> La France a adhéré au Protocole facultatif le 17</w:t>
      </w:r>
      <w:r>
        <w:rPr>
          <w:lang w:val="fr-FR"/>
        </w:rPr>
        <w:t> </w:t>
      </w:r>
      <w:r w:rsidRPr="00CE19C0">
        <w:rPr>
          <w:lang w:val="fr-FR"/>
        </w:rPr>
        <w:t>février 1984</w:t>
      </w:r>
      <w:r w:rsidR="0076142A" w:rsidRPr="0076142A">
        <w:rPr>
          <w:lang w:val="fr-FR"/>
        </w:rPr>
        <w:t>.</w:t>
      </w:r>
      <w:r>
        <w:rPr>
          <w:lang w:val="fr-FR"/>
        </w:rPr>
        <w:t xml:space="preserve"> </w:t>
      </w:r>
      <w:r>
        <w:rPr>
          <w:rFonts w:eastAsia="Calibri"/>
        </w:rPr>
        <w:t xml:space="preserve">L’auteur est représenté par un conseil, </w:t>
      </w:r>
      <w:r w:rsidRPr="00CC6614">
        <w:rPr>
          <w:lang w:val="fr-FR"/>
        </w:rPr>
        <w:t>Frédéric Fabre</w:t>
      </w:r>
      <w:r w:rsidR="0076142A" w:rsidRPr="0076142A">
        <w:rPr>
          <w:lang w:val="fr-FR"/>
        </w:rPr>
        <w:t>.</w:t>
      </w:r>
    </w:p>
    <w:p w14:paraId="1E3E05A0" w14:textId="77777777" w:rsidR="002973E4" w:rsidRPr="00CE19C0" w:rsidRDefault="002973E4" w:rsidP="002973E4">
      <w:pPr>
        <w:pStyle w:val="H23G"/>
        <w:rPr>
          <w:color w:val="000000" w:themeColor="text1"/>
        </w:rPr>
      </w:pPr>
      <w:r w:rsidRPr="00CE19C0">
        <w:rPr>
          <w:color w:val="000000" w:themeColor="text1"/>
          <w:lang w:val="fr-FR"/>
        </w:rPr>
        <w:lastRenderedPageBreak/>
        <w:tab/>
      </w:r>
      <w:r w:rsidRPr="00CE19C0">
        <w:rPr>
          <w:color w:val="000000" w:themeColor="text1"/>
          <w:lang w:val="fr-FR"/>
        </w:rPr>
        <w:tab/>
        <w:t>Rappel des faits présentés par l</w:t>
      </w:r>
      <w:r>
        <w:rPr>
          <w:color w:val="000000" w:themeColor="text1"/>
          <w:lang w:val="fr-FR"/>
        </w:rPr>
        <w:t>’</w:t>
      </w:r>
      <w:r w:rsidRPr="00CE19C0">
        <w:rPr>
          <w:color w:val="000000" w:themeColor="text1"/>
          <w:lang w:val="fr-FR"/>
        </w:rPr>
        <w:t>auteur</w:t>
      </w:r>
    </w:p>
    <w:p w14:paraId="4C6A8259" w14:textId="24807BCC" w:rsidR="002973E4" w:rsidRPr="00CE19C0" w:rsidRDefault="002973E4" w:rsidP="002973E4">
      <w:pPr>
        <w:spacing w:after="120"/>
        <w:ind w:left="1134" w:right="1134"/>
        <w:jc w:val="both"/>
        <w:rPr>
          <w:rFonts w:eastAsia="Calibri"/>
        </w:rPr>
      </w:pPr>
      <w:r w:rsidRPr="00CE19C0">
        <w:rPr>
          <w:rFonts w:eastAsia="Calibri"/>
        </w:rPr>
        <w:t>2</w:t>
      </w:r>
      <w:r w:rsidR="0076142A" w:rsidRPr="0076142A">
        <w:rPr>
          <w:rFonts w:eastAsia="Calibri"/>
        </w:rPr>
        <w:t>.</w:t>
      </w:r>
      <w:r w:rsidRPr="00CE19C0">
        <w:rPr>
          <w:rFonts w:eastAsia="Calibri"/>
        </w:rPr>
        <w:t>1</w:t>
      </w:r>
      <w:r w:rsidRPr="00CE19C0">
        <w:rPr>
          <w:rFonts w:eastAsia="Calibri"/>
        </w:rPr>
        <w:tab/>
        <w:t>L</w:t>
      </w:r>
      <w:r>
        <w:rPr>
          <w:rFonts w:eastAsia="Calibri"/>
        </w:rPr>
        <w:t>’</w:t>
      </w:r>
      <w:r w:rsidRPr="00CE19C0">
        <w:rPr>
          <w:rFonts w:eastAsia="Calibri"/>
        </w:rPr>
        <w:t>auteur était chirurgien-dentiste au moment des faits</w:t>
      </w:r>
      <w:r w:rsidR="0076142A" w:rsidRPr="0076142A">
        <w:rPr>
          <w:rFonts w:eastAsia="Calibri"/>
        </w:rPr>
        <w:t>.</w:t>
      </w:r>
      <w:r w:rsidRPr="00CE19C0">
        <w:rPr>
          <w:rFonts w:eastAsia="Calibri"/>
        </w:rPr>
        <w:t xml:space="preserve"> </w:t>
      </w:r>
      <w:r>
        <w:rPr>
          <w:rFonts w:eastAsia="Calibri"/>
        </w:rPr>
        <w:t xml:space="preserve">Par suite de sa radiation à vie de </w:t>
      </w:r>
      <w:r w:rsidRPr="00CE19C0">
        <w:rPr>
          <w:rFonts w:eastAsia="Calibri"/>
        </w:rPr>
        <w:t>l</w:t>
      </w:r>
      <w:r>
        <w:rPr>
          <w:rFonts w:eastAsia="Calibri"/>
        </w:rPr>
        <w:t>’o</w:t>
      </w:r>
      <w:r w:rsidRPr="00CE19C0">
        <w:rPr>
          <w:rFonts w:eastAsia="Calibri"/>
        </w:rPr>
        <w:t>rdre</w:t>
      </w:r>
      <w:r>
        <w:rPr>
          <w:rFonts w:eastAsia="Calibri"/>
        </w:rPr>
        <w:t xml:space="preserve"> national</w:t>
      </w:r>
      <w:r w:rsidRPr="00CE19C0">
        <w:rPr>
          <w:rFonts w:eastAsia="Calibri"/>
        </w:rPr>
        <w:t xml:space="preserve"> des chirurgiens-dentistes</w:t>
      </w:r>
      <w:r>
        <w:rPr>
          <w:rFonts w:eastAsia="Calibri"/>
        </w:rPr>
        <w:t xml:space="preserve">, </w:t>
      </w:r>
      <w:r w:rsidRPr="00CE19C0">
        <w:rPr>
          <w:rFonts w:eastAsia="Calibri"/>
        </w:rPr>
        <w:t xml:space="preserve">il </w:t>
      </w:r>
      <w:r>
        <w:rPr>
          <w:rFonts w:eastAsia="Calibri"/>
        </w:rPr>
        <w:t xml:space="preserve">a </w:t>
      </w:r>
      <w:r w:rsidRPr="00CE19C0">
        <w:rPr>
          <w:rFonts w:eastAsia="Calibri"/>
        </w:rPr>
        <w:t>exerc</w:t>
      </w:r>
      <w:r>
        <w:rPr>
          <w:rFonts w:eastAsia="Calibri"/>
        </w:rPr>
        <w:t>é</w:t>
      </w:r>
      <w:r w:rsidRPr="00CE19C0">
        <w:rPr>
          <w:rFonts w:eastAsia="Calibri"/>
        </w:rPr>
        <w:t xml:space="preserve"> la profession d</w:t>
      </w:r>
      <w:r>
        <w:rPr>
          <w:rFonts w:eastAsia="Calibri"/>
        </w:rPr>
        <w:t>’</w:t>
      </w:r>
      <w:r w:rsidRPr="00CE19C0">
        <w:rPr>
          <w:rFonts w:eastAsia="Calibri"/>
        </w:rPr>
        <w:t>avocat</w:t>
      </w:r>
      <w:r w:rsidR="0076142A" w:rsidRPr="0076142A">
        <w:rPr>
          <w:rFonts w:eastAsia="Calibri"/>
        </w:rPr>
        <w:t>.</w:t>
      </w:r>
      <w:r w:rsidRPr="00CE19C0">
        <w:rPr>
          <w:rFonts w:eastAsia="Calibri"/>
        </w:rPr>
        <w:t xml:space="preserve"> Il </w:t>
      </w:r>
      <w:r>
        <w:rPr>
          <w:rFonts w:eastAsia="Calibri"/>
        </w:rPr>
        <w:t xml:space="preserve">a </w:t>
      </w:r>
      <w:r w:rsidRPr="00CE19C0">
        <w:rPr>
          <w:rFonts w:eastAsia="Calibri"/>
        </w:rPr>
        <w:t xml:space="preserve">également </w:t>
      </w:r>
      <w:r>
        <w:rPr>
          <w:rFonts w:eastAsia="Calibri"/>
        </w:rPr>
        <w:t xml:space="preserve">été </w:t>
      </w:r>
      <w:r w:rsidRPr="00CE19C0">
        <w:rPr>
          <w:rFonts w:eastAsia="Calibri"/>
        </w:rPr>
        <w:t xml:space="preserve">journaliste pigiste pour la revue professionnelle pour les dentistes </w:t>
      </w:r>
      <w:proofErr w:type="spellStart"/>
      <w:r w:rsidRPr="00B21088">
        <w:rPr>
          <w:rFonts w:eastAsia="Calibri"/>
          <w:i/>
        </w:rPr>
        <w:t>Indépend</w:t>
      </w:r>
      <w:r>
        <w:rPr>
          <w:rFonts w:eastAsia="Calibri"/>
          <w:i/>
        </w:rPr>
        <w:t>e</w:t>
      </w:r>
      <w:r w:rsidRPr="00B21088">
        <w:rPr>
          <w:rFonts w:eastAsia="Calibri"/>
          <w:i/>
        </w:rPr>
        <w:t>ntaire</w:t>
      </w:r>
      <w:proofErr w:type="spellEnd"/>
      <w:r w:rsidRPr="00CE19C0">
        <w:rPr>
          <w:rFonts w:eastAsia="Calibri"/>
        </w:rPr>
        <w:t xml:space="preserve">, pour </w:t>
      </w:r>
      <w:r>
        <w:rPr>
          <w:rFonts w:eastAsia="Calibri"/>
        </w:rPr>
        <w:t>laquelle</w:t>
      </w:r>
      <w:r w:rsidRPr="00CE19C0">
        <w:rPr>
          <w:rFonts w:eastAsia="Calibri"/>
        </w:rPr>
        <w:t xml:space="preserve"> il </w:t>
      </w:r>
      <w:r>
        <w:rPr>
          <w:rFonts w:eastAsia="Calibri"/>
        </w:rPr>
        <w:t>tenait</w:t>
      </w:r>
      <w:r w:rsidRPr="00CE19C0">
        <w:rPr>
          <w:rFonts w:eastAsia="Calibri"/>
        </w:rPr>
        <w:t xml:space="preserve"> une chronique</w:t>
      </w:r>
      <w:r>
        <w:rPr>
          <w:rFonts w:eastAsia="Calibri"/>
        </w:rPr>
        <w:t xml:space="preserve"> intitulée</w:t>
      </w:r>
      <w:r w:rsidRPr="00CE19C0">
        <w:rPr>
          <w:rFonts w:eastAsia="Calibri"/>
        </w:rPr>
        <w:t xml:space="preserve"> «</w:t>
      </w:r>
      <w:r>
        <w:rPr>
          <w:rFonts w:eastAsia="Calibri"/>
        </w:rPr>
        <w:t> J</w:t>
      </w:r>
      <w:r w:rsidRPr="00CE19C0">
        <w:rPr>
          <w:rFonts w:eastAsia="Calibri"/>
        </w:rPr>
        <w:t>ustice-injustice</w:t>
      </w:r>
      <w:r>
        <w:rPr>
          <w:rFonts w:eastAsia="Calibri"/>
        </w:rPr>
        <w:t> </w:t>
      </w:r>
      <w:r w:rsidRPr="00CE19C0">
        <w:rPr>
          <w:rFonts w:eastAsia="Calibri"/>
        </w:rPr>
        <w:t>»</w:t>
      </w:r>
      <w:r w:rsidR="0076142A" w:rsidRPr="0076142A">
        <w:rPr>
          <w:rFonts w:eastAsia="Calibri"/>
        </w:rPr>
        <w:t>.</w:t>
      </w:r>
      <w:r w:rsidRPr="00CE19C0">
        <w:rPr>
          <w:rFonts w:eastAsia="Calibri"/>
        </w:rPr>
        <w:t xml:space="preserve"> </w:t>
      </w:r>
    </w:p>
    <w:p w14:paraId="2D176527" w14:textId="6F96DAE1" w:rsidR="002973E4" w:rsidRPr="00DC5760" w:rsidRDefault="002973E4" w:rsidP="002973E4">
      <w:pPr>
        <w:spacing w:after="120"/>
        <w:ind w:left="1134" w:right="1134"/>
        <w:jc w:val="both"/>
        <w:rPr>
          <w:rFonts w:eastAsia="Calibri"/>
          <w:color w:val="000000" w:themeColor="text1"/>
        </w:rPr>
      </w:pPr>
      <w:r w:rsidRPr="00DC5760">
        <w:rPr>
          <w:rFonts w:eastAsia="Calibri"/>
          <w:color w:val="000000" w:themeColor="text1"/>
        </w:rPr>
        <w:t>2</w:t>
      </w:r>
      <w:r w:rsidR="0076142A" w:rsidRPr="0076142A">
        <w:rPr>
          <w:rFonts w:eastAsia="Calibri"/>
          <w:color w:val="000000" w:themeColor="text1"/>
        </w:rPr>
        <w:t>.</w:t>
      </w:r>
      <w:r w:rsidRPr="00DC5760">
        <w:rPr>
          <w:rFonts w:eastAsia="Calibri"/>
          <w:color w:val="000000" w:themeColor="text1"/>
        </w:rPr>
        <w:t>2</w:t>
      </w:r>
      <w:r w:rsidRPr="00DC5760">
        <w:rPr>
          <w:rFonts w:eastAsia="Calibri"/>
          <w:color w:val="000000" w:themeColor="text1"/>
        </w:rPr>
        <w:tab/>
        <w:t>Le 21 novembre 1996, l</w:t>
      </w:r>
      <w:r>
        <w:rPr>
          <w:rFonts w:eastAsia="Calibri"/>
          <w:color w:val="000000" w:themeColor="text1"/>
        </w:rPr>
        <w:t>’</w:t>
      </w:r>
      <w:r w:rsidRPr="00DC5760">
        <w:rPr>
          <w:rFonts w:eastAsia="Calibri"/>
          <w:color w:val="000000" w:themeColor="text1"/>
        </w:rPr>
        <w:t xml:space="preserve">auteur </w:t>
      </w:r>
      <w:r>
        <w:rPr>
          <w:rFonts w:eastAsia="Calibri"/>
          <w:color w:val="000000" w:themeColor="text1"/>
        </w:rPr>
        <w:t xml:space="preserve">a </w:t>
      </w:r>
      <w:r w:rsidRPr="00DC5760">
        <w:rPr>
          <w:rFonts w:eastAsia="Calibri"/>
          <w:color w:val="000000" w:themeColor="text1"/>
        </w:rPr>
        <w:t>publi</w:t>
      </w:r>
      <w:r>
        <w:rPr>
          <w:rFonts w:eastAsia="Calibri"/>
          <w:color w:val="000000" w:themeColor="text1"/>
        </w:rPr>
        <w:t>é</w:t>
      </w:r>
      <w:r w:rsidRPr="00DC5760">
        <w:rPr>
          <w:rFonts w:eastAsia="Calibri"/>
          <w:color w:val="000000" w:themeColor="text1"/>
        </w:rPr>
        <w:t xml:space="preserve"> dans la revue </w:t>
      </w:r>
      <w:proofErr w:type="spellStart"/>
      <w:r w:rsidRPr="00DC5760">
        <w:rPr>
          <w:rFonts w:eastAsia="Calibri"/>
          <w:i/>
          <w:color w:val="000000" w:themeColor="text1"/>
        </w:rPr>
        <w:t>Indépend</w:t>
      </w:r>
      <w:r>
        <w:rPr>
          <w:rFonts w:eastAsia="Calibri"/>
          <w:i/>
          <w:color w:val="000000" w:themeColor="text1"/>
        </w:rPr>
        <w:t>e</w:t>
      </w:r>
      <w:r w:rsidRPr="00DC5760">
        <w:rPr>
          <w:rFonts w:eastAsia="Calibri"/>
          <w:i/>
          <w:color w:val="000000" w:themeColor="text1"/>
        </w:rPr>
        <w:t>ntaire</w:t>
      </w:r>
      <w:proofErr w:type="spellEnd"/>
      <w:r w:rsidRPr="00DC5760">
        <w:rPr>
          <w:rFonts w:eastAsia="Calibri"/>
          <w:color w:val="000000" w:themeColor="text1"/>
        </w:rPr>
        <w:t xml:space="preserve"> une lettre ouverte au Premier Ministre français d</w:t>
      </w:r>
      <w:r>
        <w:rPr>
          <w:rFonts w:eastAsia="Calibri"/>
          <w:color w:val="000000" w:themeColor="text1"/>
        </w:rPr>
        <w:t>’</w:t>
      </w:r>
      <w:r w:rsidRPr="00DC5760">
        <w:rPr>
          <w:rFonts w:eastAsia="Calibri"/>
          <w:color w:val="000000" w:themeColor="text1"/>
        </w:rPr>
        <w:t>alors, Alain Juppé, pour expliquer le dysfonctionnement des procédures ordinales en France</w:t>
      </w:r>
      <w:r w:rsidR="0076142A" w:rsidRPr="0076142A">
        <w:rPr>
          <w:rFonts w:eastAsia="Calibri"/>
          <w:color w:val="000000" w:themeColor="text1"/>
        </w:rPr>
        <w:t>.</w:t>
      </w:r>
      <w:r w:rsidRPr="00DC5760">
        <w:rPr>
          <w:rFonts w:eastAsia="Calibri"/>
          <w:color w:val="000000" w:themeColor="text1"/>
        </w:rPr>
        <w:t xml:space="preserve"> Sa lettre a fait l</w:t>
      </w:r>
      <w:r>
        <w:rPr>
          <w:rFonts w:eastAsia="Calibri"/>
          <w:color w:val="000000" w:themeColor="text1"/>
        </w:rPr>
        <w:t>’</w:t>
      </w:r>
      <w:r w:rsidRPr="00DC5760">
        <w:rPr>
          <w:rFonts w:eastAsia="Calibri"/>
          <w:color w:val="000000" w:themeColor="text1"/>
        </w:rPr>
        <w:t>objet d</w:t>
      </w:r>
      <w:r>
        <w:rPr>
          <w:rFonts w:eastAsia="Calibri"/>
          <w:color w:val="000000" w:themeColor="text1"/>
        </w:rPr>
        <w:t>’</w:t>
      </w:r>
      <w:r w:rsidRPr="00DC5760">
        <w:rPr>
          <w:rFonts w:eastAsia="Calibri"/>
          <w:color w:val="000000" w:themeColor="text1"/>
        </w:rPr>
        <w:t>un droit de réponse du Conseil national de l</w:t>
      </w:r>
      <w:r>
        <w:rPr>
          <w:rFonts w:eastAsia="Calibri"/>
          <w:color w:val="000000" w:themeColor="text1"/>
        </w:rPr>
        <w:t>’o</w:t>
      </w:r>
      <w:r w:rsidRPr="00DC5760">
        <w:rPr>
          <w:rFonts w:eastAsia="Calibri"/>
          <w:color w:val="000000" w:themeColor="text1"/>
        </w:rPr>
        <w:t>rdre</w:t>
      </w:r>
      <w:r>
        <w:rPr>
          <w:rFonts w:eastAsia="Calibri"/>
          <w:color w:val="000000" w:themeColor="text1"/>
        </w:rPr>
        <w:t xml:space="preserve"> national</w:t>
      </w:r>
      <w:r w:rsidRPr="00DC5760">
        <w:rPr>
          <w:rFonts w:eastAsia="Calibri"/>
          <w:color w:val="000000" w:themeColor="text1"/>
        </w:rPr>
        <w:t xml:space="preserve"> des chirurgiens-dentistes dans le numéro 44 </w:t>
      </w:r>
      <w:r>
        <w:rPr>
          <w:rFonts w:eastAsia="Calibri"/>
          <w:color w:val="000000" w:themeColor="text1"/>
        </w:rPr>
        <w:t>de la</w:t>
      </w:r>
      <w:r w:rsidRPr="00DC5760">
        <w:rPr>
          <w:rFonts w:eastAsia="Calibri"/>
          <w:color w:val="000000" w:themeColor="text1"/>
        </w:rPr>
        <w:t xml:space="preserve"> même </w:t>
      </w:r>
      <w:r>
        <w:rPr>
          <w:rFonts w:eastAsia="Calibri"/>
          <w:color w:val="000000" w:themeColor="text1"/>
        </w:rPr>
        <w:t>revue</w:t>
      </w:r>
      <w:r w:rsidR="0076142A" w:rsidRPr="0076142A">
        <w:rPr>
          <w:rFonts w:eastAsia="Calibri"/>
          <w:color w:val="000000" w:themeColor="text1"/>
        </w:rPr>
        <w:t>.</w:t>
      </w:r>
      <w:r w:rsidRPr="00DC5760">
        <w:rPr>
          <w:rFonts w:eastAsia="Calibri"/>
          <w:color w:val="000000" w:themeColor="text1"/>
        </w:rPr>
        <w:t xml:space="preserve"> Ce précédent a causé des inimitiés au sein du Conseil</w:t>
      </w:r>
      <w:r w:rsidR="0076142A" w:rsidRPr="0076142A">
        <w:rPr>
          <w:rFonts w:eastAsia="Calibri"/>
          <w:color w:val="000000" w:themeColor="text1"/>
        </w:rPr>
        <w:t>.</w:t>
      </w:r>
      <w:r w:rsidRPr="00DC5760">
        <w:rPr>
          <w:rFonts w:eastAsia="Calibri"/>
          <w:color w:val="000000" w:themeColor="text1"/>
        </w:rPr>
        <w:t xml:space="preserve"> En plus de cet incident, l</w:t>
      </w:r>
      <w:r>
        <w:rPr>
          <w:rFonts w:eastAsia="Calibri"/>
          <w:color w:val="000000" w:themeColor="text1"/>
        </w:rPr>
        <w:t>’</w:t>
      </w:r>
      <w:r w:rsidRPr="00DC5760">
        <w:rPr>
          <w:rFonts w:eastAsia="Calibri"/>
          <w:color w:val="000000" w:themeColor="text1"/>
        </w:rPr>
        <w:t>auteur était l</w:t>
      </w:r>
      <w:r>
        <w:rPr>
          <w:rFonts w:eastAsia="Calibri"/>
          <w:color w:val="000000" w:themeColor="text1"/>
        </w:rPr>
        <w:t>’</w:t>
      </w:r>
      <w:r w:rsidRPr="00DC5760">
        <w:rPr>
          <w:rFonts w:eastAsia="Calibri"/>
          <w:color w:val="000000" w:themeColor="text1"/>
        </w:rPr>
        <w:t>un des instigateurs d</w:t>
      </w:r>
      <w:r>
        <w:rPr>
          <w:rFonts w:eastAsia="Calibri"/>
          <w:color w:val="000000" w:themeColor="text1"/>
        </w:rPr>
        <w:t>’</w:t>
      </w:r>
      <w:r w:rsidRPr="00DC5760">
        <w:rPr>
          <w:rFonts w:eastAsia="Calibri"/>
          <w:color w:val="000000" w:themeColor="text1"/>
        </w:rPr>
        <w:t>un procès au cours duquel l</w:t>
      </w:r>
      <w:r>
        <w:rPr>
          <w:rFonts w:eastAsia="Calibri"/>
          <w:color w:val="000000" w:themeColor="text1"/>
        </w:rPr>
        <w:t>’o</w:t>
      </w:r>
      <w:r w:rsidRPr="00DC5760">
        <w:rPr>
          <w:rFonts w:eastAsia="Calibri"/>
          <w:color w:val="000000" w:themeColor="text1"/>
        </w:rPr>
        <w:t>rdre et un membre du Conseil ont été condamnés à une amende en 2006</w:t>
      </w:r>
      <w:r w:rsidR="0076142A" w:rsidRPr="0076142A">
        <w:rPr>
          <w:rFonts w:eastAsia="Calibri"/>
          <w:color w:val="000000" w:themeColor="text1"/>
        </w:rPr>
        <w:t>.</w:t>
      </w:r>
      <w:r w:rsidRPr="00DC5760">
        <w:rPr>
          <w:rFonts w:eastAsia="Calibri"/>
          <w:color w:val="000000" w:themeColor="text1"/>
        </w:rPr>
        <w:t xml:space="preserve"> </w:t>
      </w:r>
    </w:p>
    <w:p w14:paraId="75905451" w14:textId="45A334B7" w:rsidR="002973E4" w:rsidRPr="00DC5760" w:rsidRDefault="002973E4" w:rsidP="002973E4">
      <w:pPr>
        <w:spacing w:after="120"/>
        <w:ind w:left="1134" w:right="1134"/>
        <w:jc w:val="both"/>
        <w:rPr>
          <w:rFonts w:eastAsia="Calibri"/>
          <w:color w:val="000000" w:themeColor="text1"/>
        </w:rPr>
      </w:pPr>
      <w:r w:rsidRPr="00DC5760">
        <w:rPr>
          <w:rFonts w:eastAsia="Calibri"/>
          <w:color w:val="000000" w:themeColor="text1"/>
        </w:rPr>
        <w:t>2</w:t>
      </w:r>
      <w:r w:rsidR="0076142A" w:rsidRPr="0076142A">
        <w:rPr>
          <w:rFonts w:eastAsia="Calibri"/>
          <w:color w:val="000000" w:themeColor="text1"/>
        </w:rPr>
        <w:t>.</w:t>
      </w:r>
      <w:r w:rsidRPr="00DC5760">
        <w:rPr>
          <w:rFonts w:eastAsia="Calibri"/>
          <w:color w:val="000000" w:themeColor="text1"/>
        </w:rPr>
        <w:t>3</w:t>
      </w:r>
      <w:r w:rsidRPr="00DC5760">
        <w:rPr>
          <w:rFonts w:eastAsia="Calibri"/>
          <w:color w:val="000000" w:themeColor="text1"/>
        </w:rPr>
        <w:tab/>
        <w:t>Le 27 juillet 2007, l</w:t>
      </w:r>
      <w:r>
        <w:rPr>
          <w:rFonts w:eastAsia="Calibri"/>
          <w:color w:val="000000" w:themeColor="text1"/>
        </w:rPr>
        <w:t>’</w:t>
      </w:r>
      <w:r w:rsidRPr="00DC5760">
        <w:rPr>
          <w:rFonts w:eastAsia="Calibri"/>
          <w:color w:val="000000" w:themeColor="text1"/>
        </w:rPr>
        <w:t xml:space="preserve">auteur </w:t>
      </w:r>
      <w:r>
        <w:rPr>
          <w:rFonts w:eastAsia="Calibri"/>
          <w:color w:val="000000" w:themeColor="text1"/>
        </w:rPr>
        <w:t>a reçu</w:t>
      </w:r>
      <w:r w:rsidRPr="00DC5760">
        <w:rPr>
          <w:rFonts w:eastAsia="Calibri"/>
          <w:color w:val="000000" w:themeColor="text1"/>
        </w:rPr>
        <w:t xml:space="preserve"> </w:t>
      </w:r>
      <w:r>
        <w:rPr>
          <w:rFonts w:eastAsia="Calibri"/>
          <w:color w:val="000000" w:themeColor="text1"/>
        </w:rPr>
        <w:t>une</w:t>
      </w:r>
      <w:r w:rsidRPr="00DC5760">
        <w:rPr>
          <w:rFonts w:eastAsia="Calibri"/>
          <w:color w:val="000000" w:themeColor="text1"/>
        </w:rPr>
        <w:t xml:space="preserve"> plainte déposée contre lui par le Conseil national de l</w:t>
      </w:r>
      <w:r>
        <w:rPr>
          <w:rFonts w:eastAsia="Calibri"/>
          <w:color w:val="000000" w:themeColor="text1"/>
        </w:rPr>
        <w:t>’o</w:t>
      </w:r>
      <w:r w:rsidRPr="00DC5760">
        <w:rPr>
          <w:rFonts w:eastAsia="Calibri"/>
          <w:color w:val="000000" w:themeColor="text1"/>
        </w:rPr>
        <w:t>rdre</w:t>
      </w:r>
      <w:r>
        <w:rPr>
          <w:rFonts w:eastAsia="Calibri"/>
          <w:color w:val="000000" w:themeColor="text1"/>
        </w:rPr>
        <w:t xml:space="preserve"> national </w:t>
      </w:r>
      <w:r w:rsidRPr="00DC5760">
        <w:rPr>
          <w:rFonts w:eastAsia="Calibri"/>
          <w:color w:val="000000" w:themeColor="text1"/>
        </w:rPr>
        <w:t xml:space="preserve">des chirurgiens-dentistes et </w:t>
      </w:r>
      <w:r>
        <w:rPr>
          <w:rFonts w:eastAsia="Calibri"/>
          <w:color w:val="000000" w:themeColor="text1"/>
        </w:rPr>
        <w:t>le</w:t>
      </w:r>
      <w:r w:rsidRPr="00DC5760">
        <w:rPr>
          <w:rFonts w:eastAsia="Calibri"/>
          <w:color w:val="000000" w:themeColor="text1"/>
        </w:rPr>
        <w:t xml:space="preserve"> Conseil départemental de Paris</w:t>
      </w:r>
      <w:r>
        <w:rPr>
          <w:rFonts w:eastAsia="Calibri"/>
          <w:color w:val="000000" w:themeColor="text1"/>
        </w:rPr>
        <w:t xml:space="preserve"> du même ordre</w:t>
      </w:r>
      <w:r w:rsidRPr="00DC5760">
        <w:rPr>
          <w:rFonts w:eastAsia="Calibri"/>
          <w:color w:val="000000" w:themeColor="text1"/>
        </w:rPr>
        <w:t xml:space="preserve">, auprès de la </w:t>
      </w:r>
      <w:r>
        <w:rPr>
          <w:rFonts w:eastAsia="Calibri"/>
          <w:color w:val="000000" w:themeColor="text1"/>
        </w:rPr>
        <w:t>c</w:t>
      </w:r>
      <w:r w:rsidRPr="00DC5760">
        <w:rPr>
          <w:rFonts w:eastAsia="Calibri"/>
          <w:color w:val="000000" w:themeColor="text1"/>
        </w:rPr>
        <w:t>hambre disciplinaire de première instance de l</w:t>
      </w:r>
      <w:r>
        <w:rPr>
          <w:rFonts w:eastAsia="Calibri"/>
          <w:color w:val="000000" w:themeColor="text1"/>
        </w:rPr>
        <w:t>’o</w:t>
      </w:r>
      <w:r w:rsidRPr="00DC5760">
        <w:rPr>
          <w:rFonts w:eastAsia="Calibri"/>
          <w:color w:val="000000" w:themeColor="text1"/>
        </w:rPr>
        <w:t>rdre d</w:t>
      </w:r>
      <w:r>
        <w:rPr>
          <w:rFonts w:eastAsia="Calibri"/>
          <w:color w:val="000000" w:themeColor="text1"/>
        </w:rPr>
        <w:t>’Î</w:t>
      </w:r>
      <w:r w:rsidRPr="00DC5760">
        <w:rPr>
          <w:rFonts w:eastAsia="Calibri"/>
          <w:color w:val="000000" w:themeColor="text1"/>
        </w:rPr>
        <w:t>le-de-France</w:t>
      </w:r>
      <w:r w:rsidR="0076142A" w:rsidRPr="0076142A">
        <w:rPr>
          <w:rFonts w:eastAsia="Calibri"/>
          <w:color w:val="000000" w:themeColor="text1"/>
        </w:rPr>
        <w:t>.</w:t>
      </w:r>
      <w:r w:rsidRPr="00DC5760">
        <w:rPr>
          <w:rFonts w:eastAsia="Calibri"/>
          <w:color w:val="000000" w:themeColor="text1"/>
        </w:rPr>
        <w:t xml:space="preserve"> Il lui </w:t>
      </w:r>
      <w:r>
        <w:rPr>
          <w:rFonts w:eastAsia="Calibri"/>
          <w:color w:val="000000" w:themeColor="text1"/>
        </w:rPr>
        <w:t>était</w:t>
      </w:r>
      <w:r w:rsidRPr="00DC5760">
        <w:rPr>
          <w:rFonts w:eastAsia="Calibri"/>
          <w:color w:val="000000" w:themeColor="text1"/>
        </w:rPr>
        <w:t xml:space="preserve"> reproché d</w:t>
      </w:r>
      <w:r>
        <w:rPr>
          <w:rFonts w:eastAsia="Calibri"/>
          <w:color w:val="000000" w:themeColor="text1"/>
        </w:rPr>
        <w:t>’</w:t>
      </w:r>
      <w:r w:rsidRPr="00DC5760">
        <w:rPr>
          <w:rFonts w:eastAsia="Calibri"/>
          <w:color w:val="000000" w:themeColor="text1"/>
        </w:rPr>
        <w:t>avoir écrit que le départ d</w:t>
      </w:r>
      <w:r>
        <w:rPr>
          <w:rFonts w:eastAsia="Calibri"/>
          <w:color w:val="000000" w:themeColor="text1"/>
        </w:rPr>
        <w:t>’</w:t>
      </w:r>
      <w:r w:rsidRPr="00DC5760">
        <w:rPr>
          <w:rFonts w:eastAsia="Calibri"/>
          <w:color w:val="000000" w:themeColor="text1"/>
        </w:rPr>
        <w:t xml:space="preserve">un ancien </w:t>
      </w:r>
      <w:r>
        <w:rPr>
          <w:rFonts w:eastAsia="Calibri"/>
          <w:color w:val="000000" w:themeColor="text1"/>
        </w:rPr>
        <w:t>p</w:t>
      </w:r>
      <w:r w:rsidRPr="00DC5760">
        <w:rPr>
          <w:rFonts w:eastAsia="Calibri"/>
          <w:color w:val="000000" w:themeColor="text1"/>
        </w:rPr>
        <w:t>résident des juridictions du Conseil national de l</w:t>
      </w:r>
      <w:r>
        <w:rPr>
          <w:rFonts w:eastAsia="Calibri"/>
          <w:color w:val="000000" w:themeColor="text1"/>
        </w:rPr>
        <w:t>’o</w:t>
      </w:r>
      <w:r w:rsidRPr="00DC5760">
        <w:rPr>
          <w:rFonts w:eastAsia="Calibri"/>
          <w:color w:val="000000" w:themeColor="text1"/>
        </w:rPr>
        <w:t xml:space="preserve">rdre, </w:t>
      </w:r>
      <w:r>
        <w:rPr>
          <w:rFonts w:eastAsia="Calibri"/>
          <w:color w:val="000000" w:themeColor="text1"/>
        </w:rPr>
        <w:t xml:space="preserve">par </w:t>
      </w:r>
      <w:r w:rsidRPr="00DC5760">
        <w:rPr>
          <w:rFonts w:eastAsia="Calibri"/>
          <w:color w:val="000000" w:themeColor="text1"/>
        </w:rPr>
        <w:t xml:space="preserve">suite </w:t>
      </w:r>
      <w:r>
        <w:rPr>
          <w:rFonts w:eastAsia="Calibri"/>
          <w:color w:val="000000" w:themeColor="text1"/>
        </w:rPr>
        <w:t>d’</w:t>
      </w:r>
      <w:r w:rsidRPr="00DC5760">
        <w:rPr>
          <w:rFonts w:eastAsia="Calibri"/>
          <w:color w:val="000000" w:themeColor="text1"/>
        </w:rPr>
        <w:t>une condamnation pénale de l</w:t>
      </w:r>
      <w:r>
        <w:rPr>
          <w:rFonts w:eastAsia="Calibri"/>
          <w:color w:val="000000" w:themeColor="text1"/>
        </w:rPr>
        <w:t>’o</w:t>
      </w:r>
      <w:r w:rsidRPr="00DC5760">
        <w:rPr>
          <w:rFonts w:eastAsia="Calibri"/>
          <w:color w:val="000000" w:themeColor="text1"/>
        </w:rPr>
        <w:t xml:space="preserve">rdre, </w:t>
      </w:r>
      <w:r>
        <w:rPr>
          <w:rFonts w:eastAsia="Calibri"/>
          <w:color w:val="000000" w:themeColor="text1"/>
        </w:rPr>
        <w:t>était</w:t>
      </w:r>
      <w:r w:rsidRPr="00DC5760">
        <w:rPr>
          <w:rFonts w:eastAsia="Calibri"/>
          <w:color w:val="000000" w:themeColor="text1"/>
        </w:rPr>
        <w:t xml:space="preserve"> une «</w:t>
      </w:r>
      <w:r>
        <w:rPr>
          <w:rFonts w:eastAsia="Calibri"/>
          <w:color w:val="000000" w:themeColor="text1"/>
        </w:rPr>
        <w:t> </w:t>
      </w:r>
      <w:r w:rsidRPr="00DC5760">
        <w:rPr>
          <w:rFonts w:eastAsia="Calibri"/>
          <w:color w:val="000000" w:themeColor="text1"/>
        </w:rPr>
        <w:t>bouffée d</w:t>
      </w:r>
      <w:r>
        <w:rPr>
          <w:rFonts w:eastAsia="Calibri"/>
          <w:color w:val="000000" w:themeColor="text1"/>
        </w:rPr>
        <w:t>’</w:t>
      </w:r>
      <w:r w:rsidRPr="00DC5760">
        <w:rPr>
          <w:rFonts w:eastAsia="Calibri"/>
          <w:color w:val="000000" w:themeColor="text1"/>
        </w:rPr>
        <w:t>oxygène</w:t>
      </w:r>
      <w:r>
        <w:rPr>
          <w:rFonts w:eastAsia="Calibri"/>
          <w:color w:val="000000" w:themeColor="text1"/>
        </w:rPr>
        <w:t> </w:t>
      </w:r>
      <w:r w:rsidRPr="00DC5760">
        <w:rPr>
          <w:rFonts w:eastAsia="Calibri"/>
          <w:color w:val="000000" w:themeColor="text1"/>
        </w:rPr>
        <w:t>»</w:t>
      </w:r>
      <w:r w:rsidR="0076142A" w:rsidRPr="0076142A">
        <w:rPr>
          <w:rFonts w:eastAsia="Calibri"/>
          <w:color w:val="000000" w:themeColor="text1"/>
        </w:rPr>
        <w:t>.</w:t>
      </w:r>
      <w:r w:rsidRPr="00DC5760">
        <w:rPr>
          <w:rFonts w:eastAsia="Calibri"/>
          <w:color w:val="000000" w:themeColor="text1"/>
        </w:rPr>
        <w:t xml:space="preserve"> Il lui </w:t>
      </w:r>
      <w:r>
        <w:rPr>
          <w:rFonts w:eastAsia="Calibri"/>
          <w:color w:val="000000" w:themeColor="text1"/>
        </w:rPr>
        <w:t>était</w:t>
      </w:r>
      <w:r w:rsidRPr="00DC5760">
        <w:rPr>
          <w:rFonts w:eastAsia="Calibri"/>
          <w:color w:val="000000" w:themeColor="text1"/>
        </w:rPr>
        <w:t xml:space="preserve"> également reproché d</w:t>
      </w:r>
      <w:r>
        <w:rPr>
          <w:rFonts w:eastAsia="Calibri"/>
          <w:color w:val="000000" w:themeColor="text1"/>
        </w:rPr>
        <w:t>’</w:t>
      </w:r>
      <w:r w:rsidRPr="00DC5760">
        <w:rPr>
          <w:rFonts w:eastAsia="Calibri"/>
          <w:color w:val="000000" w:themeColor="text1"/>
        </w:rPr>
        <w:t>avoir appelé les praticiens</w:t>
      </w:r>
      <w:r>
        <w:rPr>
          <w:rFonts w:eastAsia="Calibri"/>
          <w:color w:val="000000" w:themeColor="text1"/>
        </w:rPr>
        <w:t>,</w:t>
      </w:r>
      <w:r w:rsidRPr="00DC5760">
        <w:rPr>
          <w:rFonts w:eastAsia="Calibri"/>
          <w:color w:val="000000" w:themeColor="text1"/>
        </w:rPr>
        <w:t xml:space="preserve"> à travers ses articles, à cesser de payer plusieurs cotisations à l</w:t>
      </w:r>
      <w:r>
        <w:rPr>
          <w:rFonts w:eastAsia="Calibri"/>
          <w:color w:val="000000" w:themeColor="text1"/>
        </w:rPr>
        <w:t>’o</w:t>
      </w:r>
      <w:r w:rsidRPr="00DC5760">
        <w:rPr>
          <w:rFonts w:eastAsia="Calibri"/>
          <w:color w:val="000000" w:themeColor="text1"/>
        </w:rPr>
        <w:t>rdre et de faire de la publicité pour des formations payantes en critiquant celles dispensées par l</w:t>
      </w:r>
      <w:r>
        <w:rPr>
          <w:rFonts w:eastAsia="Calibri"/>
          <w:color w:val="000000" w:themeColor="text1"/>
        </w:rPr>
        <w:t>’o</w:t>
      </w:r>
      <w:r w:rsidRPr="00DC5760">
        <w:rPr>
          <w:rFonts w:eastAsia="Calibri"/>
          <w:color w:val="000000" w:themeColor="text1"/>
        </w:rPr>
        <w:t>rdre</w:t>
      </w:r>
      <w:r w:rsidR="0076142A" w:rsidRPr="0076142A">
        <w:rPr>
          <w:rFonts w:eastAsia="Calibri"/>
          <w:color w:val="000000" w:themeColor="text1"/>
        </w:rPr>
        <w:t>.</w:t>
      </w:r>
    </w:p>
    <w:p w14:paraId="3CFFAEBF" w14:textId="4BB90201" w:rsidR="002973E4" w:rsidRPr="00CE19C0" w:rsidRDefault="002973E4" w:rsidP="002973E4">
      <w:pPr>
        <w:spacing w:after="120"/>
        <w:ind w:left="1134" w:right="1134"/>
        <w:jc w:val="both"/>
        <w:rPr>
          <w:rFonts w:eastAsia="Calibri"/>
        </w:rPr>
      </w:pPr>
      <w:r>
        <w:rPr>
          <w:rFonts w:eastAsia="Calibri"/>
        </w:rPr>
        <w:t>2</w:t>
      </w:r>
      <w:r w:rsidR="0076142A" w:rsidRPr="0076142A">
        <w:rPr>
          <w:rFonts w:eastAsia="Calibri"/>
        </w:rPr>
        <w:t>.</w:t>
      </w:r>
      <w:r>
        <w:rPr>
          <w:rFonts w:eastAsia="Calibri"/>
        </w:rPr>
        <w:t>4</w:t>
      </w:r>
      <w:r w:rsidRPr="00CE19C0">
        <w:rPr>
          <w:rFonts w:eastAsia="Calibri"/>
        </w:rPr>
        <w:tab/>
        <w:t xml:space="preserve">Le 11 septembre 2008, le rapporteur auprès de la </w:t>
      </w:r>
      <w:r>
        <w:rPr>
          <w:rFonts w:eastAsia="Calibri"/>
        </w:rPr>
        <w:t>c</w:t>
      </w:r>
      <w:r w:rsidRPr="00CE19C0">
        <w:rPr>
          <w:rFonts w:eastAsia="Calibri"/>
        </w:rPr>
        <w:t>hambre disciplinaire</w:t>
      </w:r>
      <w:r w:rsidRPr="00383469">
        <w:rPr>
          <w:rFonts w:eastAsia="Calibri"/>
          <w:color w:val="000000" w:themeColor="text1"/>
        </w:rPr>
        <w:t xml:space="preserve"> </w:t>
      </w:r>
      <w:r w:rsidRPr="00DC5760">
        <w:rPr>
          <w:rFonts w:eastAsia="Calibri"/>
          <w:color w:val="000000" w:themeColor="text1"/>
        </w:rPr>
        <w:t>de première instance de l</w:t>
      </w:r>
      <w:r>
        <w:rPr>
          <w:rFonts w:eastAsia="Calibri"/>
          <w:color w:val="000000" w:themeColor="text1"/>
        </w:rPr>
        <w:t>’o</w:t>
      </w:r>
      <w:r w:rsidRPr="00DC5760">
        <w:rPr>
          <w:rFonts w:eastAsia="Calibri"/>
          <w:color w:val="000000" w:themeColor="text1"/>
        </w:rPr>
        <w:t>rdre</w:t>
      </w:r>
      <w:r w:rsidRPr="00383469">
        <w:rPr>
          <w:rFonts w:eastAsia="Calibri"/>
          <w:color w:val="000000" w:themeColor="text1"/>
        </w:rPr>
        <w:t xml:space="preserve"> </w:t>
      </w:r>
      <w:r>
        <w:rPr>
          <w:rFonts w:eastAsia="Calibri"/>
          <w:color w:val="000000" w:themeColor="text1"/>
        </w:rPr>
        <w:t xml:space="preserve">national </w:t>
      </w:r>
      <w:r w:rsidRPr="00DC5760">
        <w:rPr>
          <w:rFonts w:eastAsia="Calibri"/>
          <w:color w:val="000000" w:themeColor="text1"/>
        </w:rPr>
        <w:t>des chirurgiens-dentistes</w:t>
      </w:r>
      <w:r w:rsidRPr="00CE19C0">
        <w:rPr>
          <w:rFonts w:eastAsia="Calibri"/>
        </w:rPr>
        <w:t xml:space="preserve"> </w:t>
      </w:r>
      <w:r>
        <w:rPr>
          <w:rFonts w:eastAsia="Calibri"/>
        </w:rPr>
        <w:t xml:space="preserve">a </w:t>
      </w:r>
      <w:r w:rsidRPr="00CE19C0">
        <w:rPr>
          <w:rFonts w:eastAsia="Calibri"/>
        </w:rPr>
        <w:t>constat</w:t>
      </w:r>
      <w:r>
        <w:rPr>
          <w:rFonts w:eastAsia="Calibri"/>
        </w:rPr>
        <w:t>é</w:t>
      </w:r>
      <w:r w:rsidRPr="00CE19C0">
        <w:rPr>
          <w:rFonts w:eastAsia="Calibri"/>
        </w:rPr>
        <w:t xml:space="preserve"> que</w:t>
      </w:r>
      <w:r>
        <w:rPr>
          <w:rFonts w:eastAsia="Calibri"/>
        </w:rPr>
        <w:t xml:space="preserve"> si</w:t>
      </w:r>
      <w:r w:rsidRPr="00CE19C0">
        <w:rPr>
          <w:rFonts w:eastAsia="Calibri"/>
        </w:rPr>
        <w:t xml:space="preserve"> </w:t>
      </w:r>
      <w:r>
        <w:rPr>
          <w:rFonts w:eastAsia="Calibri"/>
        </w:rPr>
        <w:t xml:space="preserve">l’auteur était bien </w:t>
      </w:r>
      <w:r w:rsidRPr="00CE19C0">
        <w:rPr>
          <w:rFonts w:eastAsia="Calibri"/>
        </w:rPr>
        <w:t>le rédacteur de l</w:t>
      </w:r>
      <w:r>
        <w:rPr>
          <w:rFonts w:eastAsia="Calibri"/>
        </w:rPr>
        <w:t>’</w:t>
      </w:r>
      <w:r w:rsidRPr="00CE19C0">
        <w:rPr>
          <w:rFonts w:eastAsia="Calibri"/>
        </w:rPr>
        <w:t>article</w:t>
      </w:r>
      <w:r>
        <w:rPr>
          <w:rFonts w:eastAsia="Calibri"/>
        </w:rPr>
        <w:t xml:space="preserve"> incriminé, il </w:t>
      </w:r>
      <w:r w:rsidRPr="00CE19C0">
        <w:rPr>
          <w:rFonts w:eastAsia="Calibri"/>
        </w:rPr>
        <w:t>n</w:t>
      </w:r>
      <w:r>
        <w:rPr>
          <w:rFonts w:eastAsia="Calibri"/>
        </w:rPr>
        <w:t>’était</w:t>
      </w:r>
      <w:r w:rsidRPr="00CE19C0">
        <w:rPr>
          <w:rFonts w:eastAsia="Calibri"/>
        </w:rPr>
        <w:t xml:space="preserve"> pas l</w:t>
      </w:r>
      <w:r>
        <w:rPr>
          <w:rFonts w:eastAsia="Calibri"/>
        </w:rPr>
        <w:t>’</w:t>
      </w:r>
      <w:r w:rsidRPr="00CE19C0">
        <w:rPr>
          <w:rFonts w:eastAsia="Calibri"/>
        </w:rPr>
        <w:t xml:space="preserve">auteur ni le bénéficiaire des publicités </w:t>
      </w:r>
      <w:r>
        <w:rPr>
          <w:rFonts w:eastAsia="Calibri"/>
        </w:rPr>
        <w:t xml:space="preserve">qui y étaient </w:t>
      </w:r>
      <w:r w:rsidRPr="00CE19C0">
        <w:rPr>
          <w:rFonts w:eastAsia="Calibri"/>
        </w:rPr>
        <w:t>insérées</w:t>
      </w:r>
      <w:r w:rsidR="0076142A" w:rsidRPr="0076142A">
        <w:rPr>
          <w:rFonts w:eastAsia="Calibri"/>
        </w:rPr>
        <w:t>.</w:t>
      </w:r>
    </w:p>
    <w:p w14:paraId="37DFB106" w14:textId="27A3AF35" w:rsidR="002973E4" w:rsidRPr="00057615" w:rsidRDefault="002973E4" w:rsidP="002973E4">
      <w:pPr>
        <w:spacing w:after="120"/>
        <w:ind w:left="1134" w:right="1134"/>
        <w:jc w:val="both"/>
        <w:rPr>
          <w:rFonts w:eastAsia="Calibri"/>
          <w:color w:val="000000" w:themeColor="text1"/>
        </w:rPr>
      </w:pPr>
      <w:r>
        <w:rPr>
          <w:rFonts w:eastAsia="Calibri"/>
        </w:rPr>
        <w:t>2</w:t>
      </w:r>
      <w:r w:rsidR="0076142A" w:rsidRPr="0076142A">
        <w:rPr>
          <w:rFonts w:eastAsia="Calibri"/>
        </w:rPr>
        <w:t>.</w:t>
      </w:r>
      <w:r>
        <w:rPr>
          <w:rFonts w:eastAsia="Calibri"/>
        </w:rPr>
        <w:t>5</w:t>
      </w:r>
      <w:r w:rsidRPr="00CE19C0">
        <w:rPr>
          <w:rFonts w:eastAsia="Calibri"/>
        </w:rPr>
        <w:tab/>
      </w:r>
      <w:r w:rsidRPr="00057615">
        <w:rPr>
          <w:rFonts w:eastAsia="Calibri"/>
          <w:color w:val="000000" w:themeColor="text1"/>
        </w:rPr>
        <w:t xml:space="preserve">Le 12 décembre 2008, la </w:t>
      </w:r>
      <w:r>
        <w:rPr>
          <w:rFonts w:eastAsia="Calibri"/>
          <w:color w:val="000000" w:themeColor="text1"/>
        </w:rPr>
        <w:t>c</w:t>
      </w:r>
      <w:r w:rsidRPr="00057615">
        <w:rPr>
          <w:rFonts w:eastAsia="Calibri"/>
          <w:color w:val="000000" w:themeColor="text1"/>
        </w:rPr>
        <w:t>hambre disciplinaire de première instance a condamné l</w:t>
      </w:r>
      <w:r>
        <w:rPr>
          <w:rFonts w:eastAsia="Calibri"/>
          <w:color w:val="000000" w:themeColor="text1"/>
        </w:rPr>
        <w:t>’</w:t>
      </w:r>
      <w:r w:rsidRPr="00057615">
        <w:rPr>
          <w:rFonts w:eastAsia="Calibri"/>
          <w:color w:val="000000" w:themeColor="text1"/>
        </w:rPr>
        <w:t xml:space="preserve">auteur en le </w:t>
      </w:r>
      <w:r>
        <w:rPr>
          <w:rFonts w:eastAsia="Calibri"/>
          <w:color w:val="000000" w:themeColor="text1"/>
        </w:rPr>
        <w:t>radiant</w:t>
      </w:r>
      <w:r w:rsidRPr="00057615">
        <w:rPr>
          <w:rFonts w:eastAsia="Calibri"/>
          <w:color w:val="000000" w:themeColor="text1"/>
        </w:rPr>
        <w:t xml:space="preserve"> à vie de l</w:t>
      </w:r>
      <w:r>
        <w:rPr>
          <w:rFonts w:eastAsia="Calibri"/>
          <w:color w:val="000000" w:themeColor="text1"/>
        </w:rPr>
        <w:t>’o</w:t>
      </w:r>
      <w:r w:rsidRPr="00057615">
        <w:rPr>
          <w:rFonts w:eastAsia="Calibri"/>
          <w:color w:val="000000" w:themeColor="text1"/>
        </w:rPr>
        <w:t>rdre</w:t>
      </w:r>
      <w:r>
        <w:rPr>
          <w:rFonts w:eastAsia="Calibri"/>
          <w:color w:val="000000" w:themeColor="text1"/>
        </w:rPr>
        <w:t xml:space="preserve"> national</w:t>
      </w:r>
      <w:r w:rsidRPr="00057615">
        <w:rPr>
          <w:rFonts w:eastAsia="Calibri"/>
          <w:color w:val="000000" w:themeColor="text1"/>
        </w:rPr>
        <w:t xml:space="preserve"> des chirurgiens-dentistes</w:t>
      </w:r>
      <w:r w:rsidR="0076142A" w:rsidRPr="0076142A">
        <w:rPr>
          <w:rFonts w:eastAsia="Calibri"/>
          <w:color w:val="000000" w:themeColor="text1"/>
        </w:rPr>
        <w:t>.</w:t>
      </w:r>
    </w:p>
    <w:p w14:paraId="1B9712A4" w14:textId="1DB0F47F" w:rsidR="002973E4" w:rsidRPr="00057615" w:rsidRDefault="002973E4" w:rsidP="002973E4">
      <w:pPr>
        <w:spacing w:after="120"/>
        <w:ind w:left="1134" w:right="1134"/>
        <w:jc w:val="both"/>
        <w:rPr>
          <w:rFonts w:eastAsia="Calibri"/>
          <w:color w:val="000000" w:themeColor="text1"/>
        </w:rPr>
      </w:pPr>
      <w:r w:rsidRPr="00057615">
        <w:rPr>
          <w:rFonts w:eastAsia="Calibri"/>
          <w:color w:val="000000" w:themeColor="text1"/>
        </w:rPr>
        <w:t>2</w:t>
      </w:r>
      <w:r w:rsidR="0076142A" w:rsidRPr="0076142A">
        <w:rPr>
          <w:rFonts w:eastAsia="Calibri"/>
          <w:color w:val="000000" w:themeColor="text1"/>
        </w:rPr>
        <w:t>.</w:t>
      </w:r>
      <w:r w:rsidRPr="00057615">
        <w:rPr>
          <w:rFonts w:eastAsia="Calibri"/>
          <w:color w:val="000000" w:themeColor="text1"/>
        </w:rPr>
        <w:t>6</w:t>
      </w:r>
      <w:r w:rsidRPr="00057615">
        <w:rPr>
          <w:rFonts w:eastAsia="Calibri"/>
          <w:color w:val="000000" w:themeColor="text1"/>
        </w:rPr>
        <w:tab/>
        <w:t>Le 12 janvier 2009, l</w:t>
      </w:r>
      <w:r>
        <w:rPr>
          <w:rFonts w:eastAsia="Calibri"/>
          <w:color w:val="000000" w:themeColor="text1"/>
        </w:rPr>
        <w:t>’</w:t>
      </w:r>
      <w:r w:rsidRPr="00057615">
        <w:rPr>
          <w:rFonts w:eastAsia="Calibri"/>
          <w:color w:val="000000" w:themeColor="text1"/>
        </w:rPr>
        <w:t xml:space="preserve">auteur a déposé un mémoire en appel exposant les violations de la procédure à son </w:t>
      </w:r>
      <w:r>
        <w:rPr>
          <w:rFonts w:eastAsia="Calibri"/>
          <w:color w:val="000000" w:themeColor="text1"/>
        </w:rPr>
        <w:t>égard</w:t>
      </w:r>
      <w:r w:rsidRPr="00057615">
        <w:rPr>
          <w:rFonts w:eastAsia="Calibri"/>
          <w:color w:val="000000" w:themeColor="text1"/>
        </w:rPr>
        <w:t>, soulevant l</w:t>
      </w:r>
      <w:r>
        <w:rPr>
          <w:rFonts w:eastAsia="Calibri"/>
          <w:color w:val="000000" w:themeColor="text1"/>
        </w:rPr>
        <w:t>’</w:t>
      </w:r>
      <w:r w:rsidRPr="00057615">
        <w:rPr>
          <w:rFonts w:eastAsia="Calibri"/>
          <w:color w:val="000000" w:themeColor="text1"/>
        </w:rPr>
        <w:t>article 14 du Pacte, et le délit d</w:t>
      </w:r>
      <w:r>
        <w:rPr>
          <w:rFonts w:eastAsia="Calibri"/>
          <w:color w:val="000000" w:themeColor="text1"/>
        </w:rPr>
        <w:t>’</w:t>
      </w:r>
      <w:r w:rsidRPr="00057615">
        <w:rPr>
          <w:rFonts w:eastAsia="Calibri"/>
          <w:color w:val="000000" w:themeColor="text1"/>
        </w:rPr>
        <w:t>opinion dont il a fait l</w:t>
      </w:r>
      <w:r>
        <w:rPr>
          <w:rFonts w:eastAsia="Calibri"/>
          <w:color w:val="000000" w:themeColor="text1"/>
        </w:rPr>
        <w:t>’</w:t>
      </w:r>
      <w:r w:rsidRPr="00057615">
        <w:rPr>
          <w:rFonts w:eastAsia="Calibri"/>
          <w:color w:val="000000" w:themeColor="text1"/>
        </w:rPr>
        <w:t>objet, au sens de l</w:t>
      </w:r>
      <w:r>
        <w:rPr>
          <w:rFonts w:eastAsia="Calibri"/>
          <w:color w:val="000000" w:themeColor="text1"/>
        </w:rPr>
        <w:t>’</w:t>
      </w:r>
      <w:r w:rsidRPr="00057615">
        <w:rPr>
          <w:rFonts w:eastAsia="Calibri"/>
          <w:color w:val="000000" w:themeColor="text1"/>
        </w:rPr>
        <w:t>article 19 du Pacte</w:t>
      </w:r>
      <w:r w:rsidR="0076142A" w:rsidRPr="0076142A">
        <w:rPr>
          <w:rFonts w:eastAsia="Calibri"/>
          <w:color w:val="000000" w:themeColor="text1"/>
        </w:rPr>
        <w:t>.</w:t>
      </w:r>
      <w:r w:rsidRPr="00057615">
        <w:rPr>
          <w:rFonts w:eastAsia="Calibri"/>
          <w:color w:val="000000" w:themeColor="text1"/>
        </w:rPr>
        <w:t xml:space="preserve"> Le 31 juillet 2009, il a déposé également une requête en suspicion légitime devant le Conseil d</w:t>
      </w:r>
      <w:r>
        <w:rPr>
          <w:rFonts w:eastAsia="Calibri"/>
          <w:color w:val="000000" w:themeColor="text1"/>
        </w:rPr>
        <w:t>’État</w:t>
      </w:r>
      <w:r w:rsidRPr="00057615">
        <w:rPr>
          <w:rFonts w:eastAsia="Calibri"/>
          <w:color w:val="000000" w:themeColor="text1"/>
        </w:rPr>
        <w:t xml:space="preserve"> contre des membres de la juridiction ordinale qui </w:t>
      </w:r>
      <w:r>
        <w:rPr>
          <w:rFonts w:eastAsia="Calibri"/>
          <w:color w:val="000000" w:themeColor="text1"/>
        </w:rPr>
        <w:t>étaient</w:t>
      </w:r>
      <w:r w:rsidRPr="00057615">
        <w:rPr>
          <w:rFonts w:eastAsia="Calibri"/>
          <w:color w:val="000000" w:themeColor="text1"/>
        </w:rPr>
        <w:t xml:space="preserve"> plaignants et juges à la fois</w:t>
      </w:r>
      <w:r w:rsidR="0076142A" w:rsidRPr="0076142A">
        <w:rPr>
          <w:rFonts w:eastAsia="Calibri"/>
          <w:color w:val="000000" w:themeColor="text1"/>
        </w:rPr>
        <w:t>.</w:t>
      </w:r>
      <w:r w:rsidRPr="00057615">
        <w:rPr>
          <w:rFonts w:eastAsia="Calibri"/>
          <w:color w:val="000000" w:themeColor="text1"/>
        </w:rPr>
        <w:t xml:space="preserve"> Le 10 septembre 2009, la requête en récusation </w:t>
      </w:r>
      <w:r>
        <w:rPr>
          <w:rFonts w:eastAsia="Calibri"/>
          <w:color w:val="000000" w:themeColor="text1"/>
        </w:rPr>
        <w:t>a été</w:t>
      </w:r>
      <w:r w:rsidRPr="00057615">
        <w:rPr>
          <w:rFonts w:eastAsia="Calibri"/>
          <w:color w:val="000000" w:themeColor="text1"/>
        </w:rPr>
        <w:t xml:space="preserve"> rejetée par le Conseil d</w:t>
      </w:r>
      <w:r>
        <w:rPr>
          <w:rFonts w:eastAsia="Calibri"/>
          <w:color w:val="000000" w:themeColor="text1"/>
        </w:rPr>
        <w:t>’État</w:t>
      </w:r>
      <w:r w:rsidR="0076142A" w:rsidRPr="0076142A">
        <w:rPr>
          <w:rFonts w:eastAsia="Calibri"/>
          <w:color w:val="000000" w:themeColor="text1"/>
        </w:rPr>
        <w:t>.</w:t>
      </w:r>
      <w:r w:rsidRPr="00057615">
        <w:rPr>
          <w:rFonts w:eastAsia="Calibri"/>
          <w:color w:val="000000" w:themeColor="text1"/>
        </w:rPr>
        <w:t xml:space="preserve"> </w:t>
      </w:r>
    </w:p>
    <w:p w14:paraId="0DB2E0CB" w14:textId="56A08FF5" w:rsidR="002973E4" w:rsidRPr="00057615" w:rsidRDefault="002973E4" w:rsidP="002973E4">
      <w:pPr>
        <w:spacing w:after="120"/>
        <w:ind w:left="1134" w:right="1134"/>
        <w:jc w:val="both"/>
        <w:rPr>
          <w:rFonts w:eastAsia="Calibri"/>
          <w:color w:val="000000" w:themeColor="text1"/>
        </w:rPr>
      </w:pPr>
      <w:r w:rsidRPr="00057615">
        <w:rPr>
          <w:rFonts w:eastAsia="Calibri"/>
          <w:color w:val="000000" w:themeColor="text1"/>
        </w:rPr>
        <w:t>2</w:t>
      </w:r>
      <w:r w:rsidR="0076142A" w:rsidRPr="0076142A">
        <w:rPr>
          <w:rFonts w:eastAsia="Calibri"/>
          <w:color w:val="000000" w:themeColor="text1"/>
        </w:rPr>
        <w:t>.</w:t>
      </w:r>
      <w:r w:rsidRPr="00057615">
        <w:rPr>
          <w:rFonts w:eastAsia="Calibri"/>
          <w:color w:val="000000" w:themeColor="text1"/>
        </w:rPr>
        <w:t>7</w:t>
      </w:r>
      <w:r w:rsidRPr="00057615">
        <w:rPr>
          <w:rFonts w:eastAsia="Calibri"/>
          <w:color w:val="000000" w:themeColor="text1"/>
        </w:rPr>
        <w:tab/>
        <w:t xml:space="preserve">Le 18 mars 2010, la </w:t>
      </w:r>
      <w:r>
        <w:rPr>
          <w:rFonts w:eastAsia="Calibri"/>
          <w:color w:val="000000" w:themeColor="text1"/>
        </w:rPr>
        <w:t>C</w:t>
      </w:r>
      <w:r w:rsidRPr="00057615">
        <w:rPr>
          <w:rFonts w:eastAsia="Calibri"/>
          <w:color w:val="000000" w:themeColor="text1"/>
        </w:rPr>
        <w:t>hambre disciplinaire nationale de l</w:t>
      </w:r>
      <w:r>
        <w:rPr>
          <w:rFonts w:eastAsia="Calibri"/>
          <w:color w:val="000000" w:themeColor="text1"/>
        </w:rPr>
        <w:t>’o</w:t>
      </w:r>
      <w:r w:rsidRPr="00057615">
        <w:rPr>
          <w:rFonts w:eastAsia="Calibri"/>
          <w:color w:val="000000" w:themeColor="text1"/>
        </w:rPr>
        <w:t xml:space="preserve">rdre </w:t>
      </w:r>
      <w:r>
        <w:rPr>
          <w:rFonts w:eastAsia="Calibri"/>
          <w:color w:val="000000" w:themeColor="text1"/>
        </w:rPr>
        <w:t xml:space="preserve">national </w:t>
      </w:r>
      <w:r w:rsidRPr="00057615">
        <w:rPr>
          <w:rFonts w:eastAsia="Calibri"/>
          <w:color w:val="000000" w:themeColor="text1"/>
        </w:rPr>
        <w:t>des chirurgiens</w:t>
      </w:r>
      <w:r>
        <w:rPr>
          <w:rFonts w:eastAsia="Calibri"/>
          <w:color w:val="000000" w:themeColor="text1"/>
        </w:rPr>
        <w:t>-</w:t>
      </w:r>
      <w:r w:rsidRPr="00057615">
        <w:rPr>
          <w:rFonts w:eastAsia="Calibri"/>
          <w:color w:val="000000" w:themeColor="text1"/>
        </w:rPr>
        <w:t xml:space="preserve">dentistes </w:t>
      </w:r>
      <w:r>
        <w:rPr>
          <w:rFonts w:eastAsia="Calibri"/>
          <w:color w:val="000000" w:themeColor="text1"/>
        </w:rPr>
        <w:t xml:space="preserve">a </w:t>
      </w:r>
      <w:r w:rsidRPr="00057615">
        <w:rPr>
          <w:rFonts w:eastAsia="Calibri"/>
          <w:color w:val="000000" w:themeColor="text1"/>
        </w:rPr>
        <w:t>condamn</w:t>
      </w:r>
      <w:r>
        <w:rPr>
          <w:rFonts w:eastAsia="Calibri"/>
          <w:color w:val="000000" w:themeColor="text1"/>
        </w:rPr>
        <w:t>é</w:t>
      </w:r>
      <w:r w:rsidRPr="00057615">
        <w:rPr>
          <w:rFonts w:eastAsia="Calibri"/>
          <w:color w:val="000000" w:themeColor="text1"/>
        </w:rPr>
        <w:t xml:space="preserve"> l</w:t>
      </w:r>
      <w:r>
        <w:rPr>
          <w:rFonts w:eastAsia="Calibri"/>
          <w:color w:val="000000" w:themeColor="text1"/>
        </w:rPr>
        <w:t>’</w:t>
      </w:r>
      <w:r w:rsidRPr="00057615">
        <w:rPr>
          <w:rFonts w:eastAsia="Calibri"/>
          <w:color w:val="000000" w:themeColor="text1"/>
        </w:rPr>
        <w:t xml:space="preserve">auteur à </w:t>
      </w:r>
      <w:r>
        <w:rPr>
          <w:rFonts w:eastAsia="Calibri"/>
          <w:color w:val="000000" w:themeColor="text1"/>
        </w:rPr>
        <w:t>dix-huit</w:t>
      </w:r>
      <w:r w:rsidRPr="00057615">
        <w:rPr>
          <w:rFonts w:eastAsia="Calibri"/>
          <w:color w:val="000000" w:themeColor="text1"/>
        </w:rPr>
        <w:t xml:space="preserve"> mois d</w:t>
      </w:r>
      <w:r>
        <w:rPr>
          <w:rFonts w:eastAsia="Calibri"/>
          <w:color w:val="000000" w:themeColor="text1"/>
        </w:rPr>
        <w:t>’</w:t>
      </w:r>
      <w:r w:rsidRPr="00057615">
        <w:rPr>
          <w:rFonts w:eastAsia="Calibri"/>
          <w:color w:val="000000" w:themeColor="text1"/>
        </w:rPr>
        <w:t>i</w:t>
      </w:r>
      <w:r>
        <w:rPr>
          <w:rFonts w:eastAsia="Calibri"/>
          <w:color w:val="000000" w:themeColor="text1"/>
        </w:rPr>
        <w:t>n</w:t>
      </w:r>
      <w:r w:rsidRPr="00057615">
        <w:rPr>
          <w:rFonts w:eastAsia="Calibri"/>
          <w:color w:val="000000" w:themeColor="text1"/>
        </w:rPr>
        <w:t>terdiction d</w:t>
      </w:r>
      <w:r>
        <w:rPr>
          <w:rFonts w:eastAsia="Calibri"/>
          <w:color w:val="000000" w:themeColor="text1"/>
        </w:rPr>
        <w:t>’</w:t>
      </w:r>
      <w:r w:rsidRPr="00057615">
        <w:rPr>
          <w:rFonts w:eastAsia="Calibri"/>
          <w:color w:val="000000" w:themeColor="text1"/>
        </w:rPr>
        <w:t xml:space="preserve">exercer la profession, avec un sursis de </w:t>
      </w:r>
      <w:r>
        <w:rPr>
          <w:rFonts w:eastAsia="Calibri"/>
          <w:color w:val="000000" w:themeColor="text1"/>
        </w:rPr>
        <w:t>douze</w:t>
      </w:r>
      <w:r w:rsidRPr="00057615">
        <w:rPr>
          <w:rFonts w:eastAsia="Calibri"/>
          <w:color w:val="000000" w:themeColor="text1"/>
        </w:rPr>
        <w:t xml:space="preserve"> mois</w:t>
      </w:r>
      <w:r w:rsidR="0076142A" w:rsidRPr="0076142A">
        <w:rPr>
          <w:rFonts w:eastAsia="Calibri"/>
          <w:color w:val="000000" w:themeColor="text1"/>
        </w:rPr>
        <w:t>.</w:t>
      </w:r>
      <w:r w:rsidRPr="00057615">
        <w:rPr>
          <w:rFonts w:eastAsia="Calibri"/>
          <w:color w:val="000000" w:themeColor="text1"/>
        </w:rPr>
        <w:t xml:space="preserve"> Le </w:t>
      </w:r>
      <w:r>
        <w:rPr>
          <w:rFonts w:eastAsia="Calibri"/>
          <w:color w:val="000000" w:themeColor="text1"/>
        </w:rPr>
        <w:t>C</w:t>
      </w:r>
      <w:r w:rsidRPr="00057615">
        <w:rPr>
          <w:rFonts w:eastAsia="Calibri"/>
          <w:color w:val="000000" w:themeColor="text1"/>
        </w:rPr>
        <w:t>onseil d</w:t>
      </w:r>
      <w:r>
        <w:rPr>
          <w:rFonts w:eastAsia="Calibri"/>
          <w:color w:val="000000" w:themeColor="text1"/>
        </w:rPr>
        <w:t>’État</w:t>
      </w:r>
      <w:r w:rsidRPr="00057615">
        <w:rPr>
          <w:rFonts w:eastAsia="Calibri"/>
          <w:color w:val="000000" w:themeColor="text1"/>
        </w:rPr>
        <w:t xml:space="preserve"> a rejeté sa demande de sursis à l</w:t>
      </w:r>
      <w:r>
        <w:rPr>
          <w:rFonts w:eastAsia="Calibri"/>
          <w:color w:val="000000" w:themeColor="text1"/>
        </w:rPr>
        <w:t>’</w:t>
      </w:r>
      <w:r w:rsidRPr="00057615">
        <w:rPr>
          <w:rFonts w:eastAsia="Calibri"/>
          <w:color w:val="000000" w:themeColor="text1"/>
        </w:rPr>
        <w:t>exécution de la décision par ordonnance du 5 août 2010</w:t>
      </w:r>
      <w:r w:rsidR="0076142A" w:rsidRPr="0076142A">
        <w:rPr>
          <w:rFonts w:eastAsia="Calibri"/>
          <w:color w:val="000000" w:themeColor="text1"/>
        </w:rPr>
        <w:t>.</w:t>
      </w:r>
      <w:r w:rsidRPr="00057615">
        <w:rPr>
          <w:rFonts w:eastAsia="Calibri"/>
          <w:color w:val="000000" w:themeColor="text1"/>
        </w:rPr>
        <w:t xml:space="preserve"> Le 27 juin 2011, le Conseil d</w:t>
      </w:r>
      <w:r>
        <w:rPr>
          <w:rFonts w:eastAsia="Calibri"/>
          <w:color w:val="000000" w:themeColor="text1"/>
        </w:rPr>
        <w:t>’État</w:t>
      </w:r>
      <w:r w:rsidRPr="00057615">
        <w:rPr>
          <w:rFonts w:eastAsia="Calibri"/>
          <w:color w:val="000000" w:themeColor="text1"/>
        </w:rPr>
        <w:t xml:space="preserve"> a annulé</w:t>
      </w:r>
      <w:r>
        <w:rPr>
          <w:rFonts w:eastAsia="Calibri"/>
          <w:color w:val="000000" w:themeColor="text1"/>
        </w:rPr>
        <w:t xml:space="preserve"> la condamnation de l’auteur</w:t>
      </w:r>
      <w:r w:rsidR="0076142A" w:rsidRPr="0076142A">
        <w:rPr>
          <w:rFonts w:eastAsia="Calibri"/>
          <w:color w:val="000000" w:themeColor="text1"/>
        </w:rPr>
        <w:t>.</w:t>
      </w:r>
      <w:r>
        <w:rPr>
          <w:rFonts w:eastAsia="Calibri"/>
          <w:color w:val="000000" w:themeColor="text1"/>
        </w:rPr>
        <w:t xml:space="preserve"> </w:t>
      </w:r>
      <w:r w:rsidRPr="00057615">
        <w:rPr>
          <w:rFonts w:eastAsia="Calibri"/>
          <w:color w:val="000000" w:themeColor="text1"/>
        </w:rPr>
        <w:t>Il lui est reproché d</w:t>
      </w:r>
      <w:r>
        <w:rPr>
          <w:rFonts w:eastAsia="Calibri"/>
          <w:color w:val="000000" w:themeColor="text1"/>
        </w:rPr>
        <w:t>’</w:t>
      </w:r>
      <w:r w:rsidRPr="00057615">
        <w:rPr>
          <w:rFonts w:eastAsia="Calibri"/>
          <w:color w:val="000000" w:themeColor="text1"/>
        </w:rPr>
        <w:t>avoir déposé trop tard ses moyens sur le fond</w:t>
      </w:r>
      <w:r w:rsidR="0076142A" w:rsidRPr="0076142A">
        <w:rPr>
          <w:rFonts w:eastAsia="Calibri"/>
          <w:color w:val="000000" w:themeColor="text1"/>
        </w:rPr>
        <w:t>.</w:t>
      </w:r>
      <w:r w:rsidRPr="00057615">
        <w:rPr>
          <w:rFonts w:eastAsia="Calibri"/>
          <w:color w:val="000000" w:themeColor="text1"/>
        </w:rPr>
        <w:t xml:space="preserve"> Le Conseil d</w:t>
      </w:r>
      <w:r>
        <w:rPr>
          <w:rFonts w:eastAsia="Calibri"/>
          <w:color w:val="000000" w:themeColor="text1"/>
        </w:rPr>
        <w:t>’État</w:t>
      </w:r>
      <w:r w:rsidRPr="00057615">
        <w:rPr>
          <w:rFonts w:eastAsia="Calibri"/>
          <w:color w:val="000000" w:themeColor="text1"/>
        </w:rPr>
        <w:t xml:space="preserve"> a renvoyé l</w:t>
      </w:r>
      <w:r>
        <w:rPr>
          <w:rFonts w:eastAsia="Calibri"/>
          <w:color w:val="000000" w:themeColor="text1"/>
        </w:rPr>
        <w:t>’</w:t>
      </w:r>
      <w:r w:rsidRPr="00057615">
        <w:rPr>
          <w:rFonts w:eastAsia="Calibri"/>
          <w:color w:val="000000" w:themeColor="text1"/>
        </w:rPr>
        <w:t xml:space="preserve">affaire devant la </w:t>
      </w:r>
      <w:r>
        <w:rPr>
          <w:rFonts w:eastAsia="Calibri"/>
          <w:color w:val="000000" w:themeColor="text1"/>
        </w:rPr>
        <w:t>C</w:t>
      </w:r>
      <w:r w:rsidRPr="00057615">
        <w:rPr>
          <w:rFonts w:eastAsia="Calibri"/>
          <w:color w:val="000000" w:themeColor="text1"/>
        </w:rPr>
        <w:t>hambre disciplinaire nationale</w:t>
      </w:r>
      <w:r w:rsidR="0076142A" w:rsidRPr="0076142A">
        <w:rPr>
          <w:rFonts w:eastAsia="Calibri"/>
          <w:color w:val="000000" w:themeColor="text1"/>
        </w:rPr>
        <w:t>.</w:t>
      </w:r>
    </w:p>
    <w:p w14:paraId="22667C9A" w14:textId="103F79D9" w:rsidR="002973E4" w:rsidRPr="00CE19C0" w:rsidRDefault="002973E4" w:rsidP="002973E4">
      <w:pPr>
        <w:spacing w:after="120"/>
        <w:ind w:left="1134" w:right="1134"/>
        <w:jc w:val="both"/>
        <w:rPr>
          <w:rFonts w:eastAsia="Calibri"/>
        </w:rPr>
      </w:pPr>
      <w:r>
        <w:rPr>
          <w:rFonts w:eastAsia="Calibri"/>
        </w:rPr>
        <w:t>2</w:t>
      </w:r>
      <w:r w:rsidR="0076142A" w:rsidRPr="0076142A">
        <w:rPr>
          <w:rFonts w:eastAsia="Calibri"/>
        </w:rPr>
        <w:t>.</w:t>
      </w:r>
      <w:r>
        <w:rPr>
          <w:rFonts w:eastAsia="Calibri"/>
        </w:rPr>
        <w:t>8</w:t>
      </w:r>
      <w:r w:rsidRPr="00CE19C0">
        <w:rPr>
          <w:rFonts w:eastAsia="Calibri"/>
        </w:rPr>
        <w:tab/>
        <w:t xml:space="preserve">Le 7 octobre 2011, le </w:t>
      </w:r>
      <w:r>
        <w:rPr>
          <w:rFonts w:eastAsia="Calibri"/>
        </w:rPr>
        <w:t>s</w:t>
      </w:r>
      <w:r w:rsidRPr="00CE19C0">
        <w:rPr>
          <w:rFonts w:eastAsia="Calibri"/>
        </w:rPr>
        <w:t xml:space="preserve">yndicat </w:t>
      </w:r>
      <w:r>
        <w:rPr>
          <w:rFonts w:eastAsia="Calibri"/>
        </w:rPr>
        <w:t>D</w:t>
      </w:r>
      <w:r w:rsidRPr="00CE19C0">
        <w:rPr>
          <w:rFonts w:eastAsia="Calibri"/>
        </w:rPr>
        <w:t xml:space="preserve">entistes solidaires et indépendants </w:t>
      </w:r>
      <w:r>
        <w:rPr>
          <w:rFonts w:eastAsia="Calibri"/>
        </w:rPr>
        <w:t xml:space="preserve">a </w:t>
      </w:r>
      <w:r w:rsidRPr="00CE19C0">
        <w:rPr>
          <w:rFonts w:eastAsia="Calibri"/>
        </w:rPr>
        <w:t>dépos</w:t>
      </w:r>
      <w:r>
        <w:rPr>
          <w:rFonts w:eastAsia="Calibri"/>
        </w:rPr>
        <w:t>é</w:t>
      </w:r>
      <w:r w:rsidRPr="00CE19C0">
        <w:rPr>
          <w:rFonts w:eastAsia="Calibri"/>
        </w:rPr>
        <w:t xml:space="preserve"> un mémoire en faveur de l</w:t>
      </w:r>
      <w:r>
        <w:rPr>
          <w:rFonts w:eastAsia="Calibri"/>
        </w:rPr>
        <w:t>’</w:t>
      </w:r>
      <w:r w:rsidRPr="00CE19C0">
        <w:rPr>
          <w:rFonts w:eastAsia="Calibri"/>
        </w:rPr>
        <w:t>auteur auprès de la Chambre disciplinaire nationale</w:t>
      </w:r>
      <w:r>
        <w:rPr>
          <w:rFonts w:eastAsia="Calibri"/>
        </w:rPr>
        <w:t>,</w:t>
      </w:r>
      <w:r w:rsidRPr="00CE19C0">
        <w:rPr>
          <w:rFonts w:eastAsia="Calibri"/>
        </w:rPr>
        <w:t xml:space="preserve"> au titre de l</w:t>
      </w:r>
      <w:r>
        <w:rPr>
          <w:rFonts w:eastAsia="Calibri"/>
        </w:rPr>
        <w:t>’</w:t>
      </w:r>
      <w:r w:rsidRPr="00CE19C0">
        <w:rPr>
          <w:rFonts w:eastAsia="Calibri"/>
        </w:rPr>
        <w:t>article 14 du Pacte</w:t>
      </w:r>
      <w:r>
        <w:rPr>
          <w:rFonts w:eastAsia="Calibri"/>
        </w:rPr>
        <w:t xml:space="preserve">, alléguant que </w:t>
      </w:r>
      <w:r w:rsidRPr="00CE19C0">
        <w:rPr>
          <w:rFonts w:eastAsia="Calibri"/>
        </w:rPr>
        <w:t>l</w:t>
      </w:r>
      <w:r>
        <w:rPr>
          <w:rFonts w:eastAsia="Calibri"/>
        </w:rPr>
        <w:t>’</w:t>
      </w:r>
      <w:r w:rsidRPr="00CE19C0">
        <w:rPr>
          <w:rFonts w:eastAsia="Calibri"/>
        </w:rPr>
        <w:t>audience n</w:t>
      </w:r>
      <w:r>
        <w:rPr>
          <w:rFonts w:eastAsia="Calibri"/>
        </w:rPr>
        <w:t>’</w:t>
      </w:r>
      <w:r w:rsidRPr="00CE19C0">
        <w:rPr>
          <w:rFonts w:eastAsia="Calibri"/>
        </w:rPr>
        <w:t>était pas publique</w:t>
      </w:r>
      <w:r>
        <w:rPr>
          <w:rFonts w:eastAsia="Calibri"/>
        </w:rPr>
        <w:t>,</w:t>
      </w:r>
      <w:r w:rsidRPr="00CE19C0">
        <w:rPr>
          <w:rFonts w:eastAsia="Calibri"/>
        </w:rPr>
        <w:t xml:space="preserve"> que l</w:t>
      </w:r>
      <w:r>
        <w:rPr>
          <w:rFonts w:eastAsia="Calibri"/>
        </w:rPr>
        <w:t>’</w:t>
      </w:r>
      <w:r w:rsidRPr="00CE19C0">
        <w:rPr>
          <w:rFonts w:eastAsia="Calibri"/>
        </w:rPr>
        <w:t>auteur n</w:t>
      </w:r>
      <w:r>
        <w:rPr>
          <w:rFonts w:eastAsia="Calibri"/>
        </w:rPr>
        <w:t>’</w:t>
      </w:r>
      <w:r w:rsidRPr="00CE19C0">
        <w:rPr>
          <w:rFonts w:eastAsia="Calibri"/>
        </w:rPr>
        <w:t>a</w:t>
      </w:r>
      <w:r>
        <w:rPr>
          <w:rFonts w:eastAsia="Calibri"/>
        </w:rPr>
        <w:t>vait</w:t>
      </w:r>
      <w:r w:rsidRPr="00CE19C0">
        <w:rPr>
          <w:rFonts w:eastAsia="Calibri"/>
        </w:rPr>
        <w:t xml:space="preserve"> pas pu prendre la parole</w:t>
      </w:r>
      <w:r>
        <w:rPr>
          <w:rFonts w:eastAsia="Calibri"/>
        </w:rPr>
        <w:t>,</w:t>
      </w:r>
      <w:r w:rsidRPr="00CE19C0">
        <w:rPr>
          <w:rFonts w:eastAsia="Calibri"/>
        </w:rPr>
        <w:t xml:space="preserve"> que l</w:t>
      </w:r>
      <w:r>
        <w:rPr>
          <w:rFonts w:eastAsia="Calibri"/>
        </w:rPr>
        <w:t>’</w:t>
      </w:r>
      <w:r w:rsidRPr="00CE19C0">
        <w:rPr>
          <w:rFonts w:eastAsia="Calibri"/>
        </w:rPr>
        <w:t>avocat de ses adversaires était également l</w:t>
      </w:r>
      <w:r>
        <w:rPr>
          <w:rFonts w:eastAsia="Calibri"/>
        </w:rPr>
        <w:t>’</w:t>
      </w:r>
      <w:r w:rsidRPr="00CE19C0">
        <w:rPr>
          <w:rFonts w:eastAsia="Calibri"/>
        </w:rPr>
        <w:t>avocat de sept juges sur neuf</w:t>
      </w:r>
      <w:r>
        <w:rPr>
          <w:rFonts w:eastAsia="Calibri"/>
        </w:rPr>
        <w:t>,</w:t>
      </w:r>
      <w:r w:rsidRPr="00CE19C0">
        <w:rPr>
          <w:rFonts w:eastAsia="Calibri"/>
        </w:rPr>
        <w:t xml:space="preserve"> et que les juges </w:t>
      </w:r>
      <w:r>
        <w:rPr>
          <w:rFonts w:eastAsia="Calibri"/>
        </w:rPr>
        <w:t>étaient</w:t>
      </w:r>
      <w:r w:rsidRPr="00CE19C0">
        <w:rPr>
          <w:rFonts w:eastAsia="Calibri"/>
        </w:rPr>
        <w:t xml:space="preserve"> nommés par les plaignants et payés par eux</w:t>
      </w:r>
      <w:r>
        <w:rPr>
          <w:rFonts w:eastAsia="Calibri"/>
        </w:rPr>
        <w:t xml:space="preserve"> ou étaient tout simplement </w:t>
      </w:r>
      <w:r w:rsidRPr="00CE19C0">
        <w:rPr>
          <w:rFonts w:eastAsia="Calibri"/>
        </w:rPr>
        <w:t>plaignants eux-mêmes</w:t>
      </w:r>
      <w:r w:rsidR="0076142A" w:rsidRPr="0076142A">
        <w:rPr>
          <w:rFonts w:eastAsia="Calibri"/>
        </w:rPr>
        <w:t>.</w:t>
      </w:r>
    </w:p>
    <w:p w14:paraId="50C6E3E8" w14:textId="1944A344" w:rsidR="002973E4" w:rsidRPr="00057615" w:rsidRDefault="002973E4" w:rsidP="002973E4">
      <w:pPr>
        <w:spacing w:after="120"/>
        <w:ind w:left="1134" w:right="1134"/>
        <w:jc w:val="both"/>
        <w:rPr>
          <w:rFonts w:eastAsia="Calibri"/>
          <w:color w:val="000000" w:themeColor="text1"/>
        </w:rPr>
      </w:pPr>
      <w:r>
        <w:rPr>
          <w:rFonts w:eastAsia="Calibri"/>
        </w:rPr>
        <w:t>2</w:t>
      </w:r>
      <w:r w:rsidR="0076142A" w:rsidRPr="0076142A">
        <w:rPr>
          <w:rFonts w:eastAsia="Calibri"/>
        </w:rPr>
        <w:t>.</w:t>
      </w:r>
      <w:r>
        <w:rPr>
          <w:rFonts w:eastAsia="Calibri"/>
        </w:rPr>
        <w:t>9</w:t>
      </w:r>
      <w:r w:rsidRPr="00CE19C0">
        <w:rPr>
          <w:rFonts w:eastAsia="Calibri"/>
        </w:rPr>
        <w:tab/>
      </w:r>
      <w:r w:rsidRPr="00057615">
        <w:rPr>
          <w:rFonts w:eastAsia="Calibri"/>
          <w:color w:val="000000" w:themeColor="text1"/>
        </w:rPr>
        <w:t xml:space="preserve">Le 24 octobre 2011, la </w:t>
      </w:r>
      <w:r>
        <w:rPr>
          <w:rFonts w:eastAsia="Calibri"/>
          <w:color w:val="000000" w:themeColor="text1"/>
        </w:rPr>
        <w:t>C</w:t>
      </w:r>
      <w:r w:rsidRPr="00057615">
        <w:rPr>
          <w:rFonts w:eastAsia="Calibri"/>
          <w:color w:val="000000" w:themeColor="text1"/>
        </w:rPr>
        <w:t>hambre disciplinaire nationale a rejeté la requête en appel introduite par l</w:t>
      </w:r>
      <w:r>
        <w:rPr>
          <w:rFonts w:eastAsia="Calibri"/>
          <w:color w:val="000000" w:themeColor="text1"/>
        </w:rPr>
        <w:t>’</w:t>
      </w:r>
      <w:r w:rsidRPr="00057615">
        <w:rPr>
          <w:rFonts w:eastAsia="Calibri"/>
          <w:color w:val="000000" w:themeColor="text1"/>
        </w:rPr>
        <w:t>auteur</w:t>
      </w:r>
      <w:r w:rsidR="0076142A" w:rsidRPr="0076142A">
        <w:rPr>
          <w:rFonts w:eastAsia="Calibri"/>
          <w:color w:val="000000" w:themeColor="text1"/>
        </w:rPr>
        <w:t>.</w:t>
      </w:r>
      <w:r w:rsidRPr="00057615">
        <w:rPr>
          <w:rFonts w:eastAsia="Calibri"/>
          <w:color w:val="000000" w:themeColor="text1"/>
        </w:rPr>
        <w:t xml:space="preserve"> En conséquence, la décision de la chambre disciplinaire de première instance du 12 décembre 2008 concernant la radiation de l</w:t>
      </w:r>
      <w:r>
        <w:rPr>
          <w:rFonts w:eastAsia="Calibri"/>
          <w:color w:val="000000" w:themeColor="text1"/>
        </w:rPr>
        <w:t>’</w:t>
      </w:r>
      <w:r w:rsidRPr="00057615">
        <w:rPr>
          <w:rFonts w:eastAsia="Calibri"/>
          <w:color w:val="000000" w:themeColor="text1"/>
        </w:rPr>
        <w:t>auteur a été maintenue</w:t>
      </w:r>
      <w:r w:rsidR="0076142A" w:rsidRPr="0076142A">
        <w:rPr>
          <w:rFonts w:eastAsia="Calibri"/>
          <w:color w:val="000000" w:themeColor="text1"/>
        </w:rPr>
        <w:t>.</w:t>
      </w:r>
      <w:r w:rsidRPr="00057615">
        <w:rPr>
          <w:rFonts w:eastAsia="Calibri"/>
          <w:color w:val="000000" w:themeColor="text1"/>
        </w:rPr>
        <w:t xml:space="preserve"> </w:t>
      </w:r>
    </w:p>
    <w:p w14:paraId="79220B74" w14:textId="496092B7" w:rsidR="002973E4" w:rsidRPr="00CE19C0" w:rsidRDefault="002973E4" w:rsidP="002973E4">
      <w:pPr>
        <w:spacing w:after="120"/>
        <w:ind w:left="1134" w:right="1134"/>
        <w:jc w:val="both"/>
        <w:rPr>
          <w:rFonts w:eastAsia="Calibri"/>
        </w:rPr>
      </w:pPr>
      <w:r>
        <w:rPr>
          <w:rFonts w:eastAsia="Calibri"/>
        </w:rPr>
        <w:t>2</w:t>
      </w:r>
      <w:r w:rsidR="0076142A" w:rsidRPr="0076142A">
        <w:rPr>
          <w:rFonts w:eastAsia="Calibri"/>
        </w:rPr>
        <w:t>.</w:t>
      </w:r>
      <w:r>
        <w:rPr>
          <w:rFonts w:eastAsia="Calibri"/>
        </w:rPr>
        <w:t>10</w:t>
      </w:r>
      <w:r w:rsidRPr="00CE19C0">
        <w:rPr>
          <w:rFonts w:eastAsia="Calibri"/>
        </w:rPr>
        <w:tab/>
        <w:t>L</w:t>
      </w:r>
      <w:r>
        <w:rPr>
          <w:rFonts w:eastAsia="Calibri"/>
        </w:rPr>
        <w:t>’</w:t>
      </w:r>
      <w:r w:rsidRPr="00CE19C0">
        <w:rPr>
          <w:rFonts w:eastAsia="Calibri"/>
        </w:rPr>
        <w:t>auteur a introduit un nouveau pourvoi devant le Conseil d</w:t>
      </w:r>
      <w:r>
        <w:rPr>
          <w:rFonts w:eastAsia="Calibri"/>
        </w:rPr>
        <w:t>’État</w:t>
      </w:r>
      <w:r w:rsidRPr="00CE19C0">
        <w:rPr>
          <w:rFonts w:eastAsia="Calibri"/>
        </w:rPr>
        <w:t>, dans lequel il a soulevé une violation de ses droits au titre des articles 14 et 19 du Pacte</w:t>
      </w:r>
      <w:r w:rsidR="0076142A" w:rsidRPr="0076142A">
        <w:rPr>
          <w:rFonts w:eastAsia="Calibri"/>
        </w:rPr>
        <w:t>.</w:t>
      </w:r>
      <w:r w:rsidRPr="00CE19C0">
        <w:rPr>
          <w:rFonts w:eastAsia="Calibri"/>
        </w:rPr>
        <w:t xml:space="preserve"> Le 4 avril 2012, son pourvoi a été à nouveau rejeté, sans motif</w:t>
      </w:r>
      <w:r w:rsidR="0076142A" w:rsidRPr="0076142A">
        <w:rPr>
          <w:rFonts w:eastAsia="Calibri"/>
        </w:rPr>
        <w:t>.</w:t>
      </w:r>
    </w:p>
    <w:p w14:paraId="2A1E489E" w14:textId="2ABD325D" w:rsidR="002973E4" w:rsidRPr="00CE19C0" w:rsidRDefault="002973E4" w:rsidP="001C29B1">
      <w:pPr>
        <w:pStyle w:val="H23G"/>
      </w:pPr>
      <w:r>
        <w:lastRenderedPageBreak/>
        <w:tab/>
      </w:r>
      <w:r>
        <w:tab/>
      </w:r>
      <w:r w:rsidRPr="00CE19C0">
        <w:t>Teneur de la plainte</w:t>
      </w:r>
    </w:p>
    <w:p w14:paraId="66D4A964" w14:textId="6BB44813" w:rsidR="002973E4" w:rsidRPr="00057615" w:rsidRDefault="002973E4" w:rsidP="001C29B1">
      <w:pPr>
        <w:pStyle w:val="SingleTxtG"/>
        <w:keepNext/>
        <w:keepLines/>
      </w:pPr>
      <w:r w:rsidRPr="00CE19C0">
        <w:t>3</w:t>
      </w:r>
      <w:r w:rsidR="0076142A" w:rsidRPr="0076142A">
        <w:t>.</w:t>
      </w:r>
      <w:r w:rsidRPr="00CE19C0">
        <w:t>1</w:t>
      </w:r>
      <w:r w:rsidRPr="00CE19C0">
        <w:tab/>
      </w:r>
      <w:r w:rsidRPr="00057615">
        <w:t>L</w:t>
      </w:r>
      <w:r>
        <w:t>’</w:t>
      </w:r>
      <w:r w:rsidRPr="00057615">
        <w:t>auteur allègue une violation des articles 14 et 19 du Pacte par l</w:t>
      </w:r>
      <w:r>
        <w:t>’État</w:t>
      </w:r>
      <w:r w:rsidRPr="00057615">
        <w:t xml:space="preserve"> partie</w:t>
      </w:r>
      <w:r w:rsidR="0076142A" w:rsidRPr="0076142A">
        <w:t>.</w:t>
      </w:r>
      <w:r w:rsidRPr="00057615">
        <w:t xml:space="preserve"> Au titre de l</w:t>
      </w:r>
      <w:r>
        <w:t>’</w:t>
      </w:r>
      <w:r w:rsidRPr="00057615">
        <w:t>article 19, l</w:t>
      </w:r>
      <w:r>
        <w:t>’</w:t>
      </w:r>
      <w:r w:rsidRPr="00057615">
        <w:t>auteur prétend que sa radiation est due au fait qu</w:t>
      </w:r>
      <w:r>
        <w:t>’</w:t>
      </w:r>
      <w:r w:rsidRPr="00057615">
        <w:t>il avait porté plainte contre des magistrats du Conseil d</w:t>
      </w:r>
      <w:r>
        <w:t>’État</w:t>
      </w:r>
      <w:r w:rsidRPr="00057615">
        <w:t xml:space="preserve"> et des membres de</w:t>
      </w:r>
      <w:r>
        <w:t>s</w:t>
      </w:r>
      <w:r w:rsidRPr="00057615">
        <w:t xml:space="preserve"> juridiction</w:t>
      </w:r>
      <w:r>
        <w:t>s</w:t>
      </w:r>
      <w:r w:rsidRPr="00057615">
        <w:t xml:space="preserve"> ordinale</w:t>
      </w:r>
      <w:r>
        <w:t>s,</w:t>
      </w:r>
      <w:r w:rsidRPr="00057615">
        <w:t xml:space="preserve"> et dénoncé publiquement les sanctions excessives des</w:t>
      </w:r>
      <w:r>
        <w:t>dites</w:t>
      </w:r>
      <w:r w:rsidRPr="00057615">
        <w:t xml:space="preserve"> juridictions ainsi que les émoluments ind</w:t>
      </w:r>
      <w:r>
        <w:t>û</w:t>
      </w:r>
      <w:r w:rsidRPr="00057615">
        <w:t xml:space="preserve">ment versés aux juges </w:t>
      </w:r>
      <w:r>
        <w:t>de ces dernières</w:t>
      </w:r>
      <w:r w:rsidRPr="002973E4">
        <w:rPr>
          <w:rStyle w:val="Appelnotedebasdep"/>
        </w:rPr>
        <w:footnoteReference w:id="4"/>
      </w:r>
      <w:r w:rsidR="0076142A" w:rsidRPr="0076142A">
        <w:t>.</w:t>
      </w:r>
      <w:r w:rsidRPr="00057615">
        <w:t xml:space="preserve"> L</w:t>
      </w:r>
      <w:r>
        <w:t>’</w:t>
      </w:r>
      <w:r w:rsidRPr="00057615">
        <w:t>auteur affirme qu</w:t>
      </w:r>
      <w:r>
        <w:t>’</w:t>
      </w:r>
      <w:r w:rsidRPr="00057615">
        <w:t>au titre de l</w:t>
      </w:r>
      <w:r>
        <w:t>’</w:t>
      </w:r>
      <w:r w:rsidRPr="00057615">
        <w:t>article</w:t>
      </w:r>
      <w:r>
        <w:t> </w:t>
      </w:r>
      <w:r w:rsidRPr="00057615">
        <w:t>19</w:t>
      </w:r>
      <w:r>
        <w:t xml:space="preserve"> </w:t>
      </w:r>
      <w:r w:rsidRPr="00057615">
        <w:t>(</w:t>
      </w:r>
      <w:r>
        <w:t>par</w:t>
      </w:r>
      <w:r w:rsidR="0076142A" w:rsidRPr="0076142A">
        <w:t>.</w:t>
      </w:r>
      <w:r>
        <w:t> </w:t>
      </w:r>
      <w:r w:rsidRPr="00057615">
        <w:t>3) du Pacte, la sanction qui a été prononcée contre lui n</w:t>
      </w:r>
      <w:r>
        <w:t>’était</w:t>
      </w:r>
      <w:r w:rsidRPr="00057615">
        <w:t xml:space="preserve"> ni nécessaire ni justifiée dans une société démocratique, et porte atteinte à sa liberté d</w:t>
      </w:r>
      <w:r>
        <w:t>’</w:t>
      </w:r>
      <w:r w:rsidRPr="00057615">
        <w:t>expression</w:t>
      </w:r>
      <w:r w:rsidR="0076142A" w:rsidRPr="0076142A">
        <w:t>.</w:t>
      </w:r>
      <w:r w:rsidRPr="00057615">
        <w:t xml:space="preserve"> </w:t>
      </w:r>
    </w:p>
    <w:p w14:paraId="077352EC" w14:textId="6B3EDD23" w:rsidR="002973E4" w:rsidRPr="00057615" w:rsidRDefault="002973E4" w:rsidP="002973E4">
      <w:pPr>
        <w:pStyle w:val="SingleTxtG"/>
      </w:pPr>
      <w:r w:rsidRPr="00057615">
        <w:t>3</w:t>
      </w:r>
      <w:r w:rsidR="0076142A" w:rsidRPr="0076142A">
        <w:t>.</w:t>
      </w:r>
      <w:r w:rsidRPr="00057615">
        <w:t>2</w:t>
      </w:r>
      <w:r w:rsidRPr="00057615">
        <w:tab/>
      </w:r>
      <w:r>
        <w:t>L’</w:t>
      </w:r>
      <w:r w:rsidRPr="00057615">
        <w:t xml:space="preserve">auteur allègue </w:t>
      </w:r>
      <w:r>
        <w:t xml:space="preserve">également </w:t>
      </w:r>
      <w:r w:rsidRPr="00057615">
        <w:t>que la procédure judiciaire n</w:t>
      </w:r>
      <w:r>
        <w:t>’</w:t>
      </w:r>
      <w:r w:rsidRPr="00057615">
        <w:t xml:space="preserve">a pas été respectueuse de ses droits garantis </w:t>
      </w:r>
      <w:r>
        <w:t>par</w:t>
      </w:r>
      <w:r w:rsidRPr="00057615">
        <w:t xml:space="preserve"> l</w:t>
      </w:r>
      <w:r>
        <w:t>’</w:t>
      </w:r>
      <w:r w:rsidRPr="00057615">
        <w:t>article 14 du Pacte</w:t>
      </w:r>
      <w:r>
        <w:t xml:space="preserve"> et</w:t>
      </w:r>
      <w:r w:rsidRPr="00057615">
        <w:t xml:space="preserve"> que l</w:t>
      </w:r>
      <w:r>
        <w:t>’</w:t>
      </w:r>
      <w:r w:rsidRPr="00057615">
        <w:t xml:space="preserve">audience de première instance à </w:t>
      </w:r>
      <w:r>
        <w:t xml:space="preserve">la suite de </w:t>
      </w:r>
      <w:r w:rsidRPr="00057615">
        <w:t>laquelle il a été radié à vie n</w:t>
      </w:r>
      <w:r>
        <w:t>’</w:t>
      </w:r>
      <w:r w:rsidRPr="00057615">
        <w:t>était pas publique</w:t>
      </w:r>
      <w:r w:rsidR="0076142A" w:rsidRPr="0076142A">
        <w:t>.</w:t>
      </w:r>
      <w:r w:rsidRPr="00057615">
        <w:t xml:space="preserve"> </w:t>
      </w:r>
    </w:p>
    <w:p w14:paraId="6E40E94B" w14:textId="39F24059" w:rsidR="002973E4" w:rsidRPr="00057615" w:rsidRDefault="002973E4" w:rsidP="002973E4">
      <w:pPr>
        <w:pStyle w:val="SingleTxtG"/>
      </w:pPr>
      <w:r w:rsidRPr="00057615">
        <w:t>3</w:t>
      </w:r>
      <w:r w:rsidR="0076142A" w:rsidRPr="0076142A">
        <w:t>.</w:t>
      </w:r>
      <w:r w:rsidRPr="00057615">
        <w:t>3</w:t>
      </w:r>
      <w:r w:rsidRPr="00057615">
        <w:tab/>
        <w:t>L</w:t>
      </w:r>
      <w:r>
        <w:t>’</w:t>
      </w:r>
      <w:r w:rsidRPr="00057615">
        <w:t>auteur affirme qu</w:t>
      </w:r>
      <w:r>
        <w:t>’</w:t>
      </w:r>
      <w:r w:rsidRPr="00057615">
        <w:t>en deux occasions</w:t>
      </w:r>
      <w:r>
        <w:t>,</w:t>
      </w:r>
      <w:r w:rsidRPr="00057615">
        <w:t xml:space="preserve"> il a introduit des actions en récusation pour suspicion légitime contre des juges des juridictions ordinales devant le Conseil d</w:t>
      </w:r>
      <w:r>
        <w:t>’État,</w:t>
      </w:r>
      <w:r w:rsidRPr="00057615">
        <w:t xml:space="preserve"> qui les a rejetées</w:t>
      </w:r>
      <w:r w:rsidR="0076142A" w:rsidRPr="0076142A">
        <w:t>.</w:t>
      </w:r>
      <w:r w:rsidRPr="00057615">
        <w:t xml:space="preserve"> Invoquant entre autres motifs le fait que la formation de jugement comportait la présence de M</w:t>
      </w:r>
      <w:r w:rsidR="0076142A" w:rsidRPr="0076142A">
        <w:t>.</w:t>
      </w:r>
      <w:r w:rsidRPr="00057615">
        <w:t xml:space="preserve"> de </w:t>
      </w:r>
      <w:proofErr w:type="spellStart"/>
      <w:r w:rsidRPr="00057615">
        <w:t>Vulpillières</w:t>
      </w:r>
      <w:proofErr w:type="spellEnd"/>
      <w:r w:rsidRPr="00057615">
        <w:t>, alors que ce dernier avait participé à la réunion du Conseil national</w:t>
      </w:r>
      <w:r w:rsidRPr="001E4846">
        <w:rPr>
          <w:rFonts w:eastAsia="Calibri"/>
          <w:color w:val="000000" w:themeColor="text1"/>
        </w:rPr>
        <w:t xml:space="preserve"> </w:t>
      </w:r>
      <w:r w:rsidRPr="00057615">
        <w:rPr>
          <w:rFonts w:eastAsia="Calibri"/>
          <w:color w:val="000000" w:themeColor="text1"/>
        </w:rPr>
        <w:t>de l</w:t>
      </w:r>
      <w:r>
        <w:rPr>
          <w:rFonts w:eastAsia="Calibri"/>
          <w:color w:val="000000" w:themeColor="text1"/>
        </w:rPr>
        <w:t>’o</w:t>
      </w:r>
      <w:r w:rsidRPr="00057615">
        <w:rPr>
          <w:rFonts w:eastAsia="Calibri"/>
          <w:color w:val="000000" w:themeColor="text1"/>
        </w:rPr>
        <w:t xml:space="preserve">rdre </w:t>
      </w:r>
      <w:r>
        <w:rPr>
          <w:rFonts w:eastAsia="Calibri"/>
          <w:color w:val="000000" w:themeColor="text1"/>
        </w:rPr>
        <w:t xml:space="preserve">national </w:t>
      </w:r>
      <w:r w:rsidRPr="00057615">
        <w:rPr>
          <w:rFonts w:eastAsia="Calibri"/>
          <w:color w:val="000000" w:themeColor="text1"/>
        </w:rPr>
        <w:t>des chirurgiens</w:t>
      </w:r>
      <w:r>
        <w:rPr>
          <w:rFonts w:eastAsia="Calibri"/>
          <w:color w:val="000000" w:themeColor="text1"/>
        </w:rPr>
        <w:t>-</w:t>
      </w:r>
      <w:r w:rsidRPr="00057615">
        <w:rPr>
          <w:rFonts w:eastAsia="Calibri"/>
          <w:color w:val="000000" w:themeColor="text1"/>
        </w:rPr>
        <w:t>dentistes</w:t>
      </w:r>
      <w:r w:rsidRPr="00057615">
        <w:t xml:space="preserve"> ayant décidé de porter plainte </w:t>
      </w:r>
      <w:r>
        <w:t>contre lui</w:t>
      </w:r>
      <w:r w:rsidRPr="00057615">
        <w:t>, l</w:t>
      </w:r>
      <w:r>
        <w:t>’</w:t>
      </w:r>
      <w:r w:rsidRPr="00057615">
        <w:t>auteur a demandé un sursis à l</w:t>
      </w:r>
      <w:r>
        <w:t>’</w:t>
      </w:r>
      <w:r w:rsidRPr="00057615">
        <w:t>exécution de la décision qui a</w:t>
      </w:r>
      <w:r>
        <w:t>vait</w:t>
      </w:r>
      <w:r w:rsidRPr="00057615">
        <w:t xml:space="preserve"> été prise à son </w:t>
      </w:r>
      <w:r>
        <w:t>égard</w:t>
      </w:r>
      <w:r w:rsidR="0076142A" w:rsidRPr="0076142A">
        <w:t>.</w:t>
      </w:r>
      <w:r w:rsidRPr="00057615">
        <w:t xml:space="preserve"> L</w:t>
      </w:r>
      <w:r>
        <w:t>’</w:t>
      </w:r>
      <w:r w:rsidRPr="00057615">
        <w:t>auteur soutient que le procès-verbal de plainte du 13 avril 2007 a été réécrit le 7 octobre 2009</w:t>
      </w:r>
      <w:r>
        <w:t>,</w:t>
      </w:r>
      <w:r w:rsidRPr="00057615">
        <w:t xml:space="preserve"> prétendant que des membres du Conseil national de l</w:t>
      </w:r>
      <w:r>
        <w:t>’o</w:t>
      </w:r>
      <w:r w:rsidRPr="00057615">
        <w:t>rdre susceptibles de siéger à la chambre disciplinaire d</w:t>
      </w:r>
      <w:r>
        <w:t>’</w:t>
      </w:r>
      <w:r w:rsidRPr="00057615">
        <w:t>appel du Conseil ordinal étaient sortis de la salle avant que la décision soit prise</w:t>
      </w:r>
      <w:r w:rsidR="0076142A" w:rsidRPr="0076142A">
        <w:t>.</w:t>
      </w:r>
      <w:r w:rsidRPr="00057615">
        <w:t xml:space="preserve"> </w:t>
      </w:r>
      <w:r>
        <w:t>Le</w:t>
      </w:r>
      <w:r w:rsidRPr="00057615">
        <w:t xml:space="preserve"> premier procès-verbal</w:t>
      </w:r>
      <w:r>
        <w:t>,</w:t>
      </w:r>
      <w:r w:rsidRPr="00057615">
        <w:t xml:space="preserve"> daté du 13 avril 2007</w:t>
      </w:r>
      <w:r>
        <w:t>,</w:t>
      </w:r>
      <w:r w:rsidRPr="00057615">
        <w:t xml:space="preserve"> </w:t>
      </w:r>
      <w:r>
        <w:t>ne faisait</w:t>
      </w:r>
      <w:r w:rsidRPr="00057615">
        <w:t xml:space="preserve"> pas mention de cette formalité</w:t>
      </w:r>
      <w:r w:rsidR="0076142A" w:rsidRPr="0076142A">
        <w:t>.</w:t>
      </w:r>
      <w:r w:rsidRPr="00057615">
        <w:t xml:space="preserve"> L</w:t>
      </w:r>
      <w:r>
        <w:t>’</w:t>
      </w:r>
      <w:r w:rsidRPr="00057615">
        <w:t>auteur allègue une suspicion légitime sur la rédaction d</w:t>
      </w:r>
      <w:r>
        <w:t>’</w:t>
      </w:r>
      <w:r w:rsidRPr="00057615">
        <w:t>un second procès</w:t>
      </w:r>
      <w:r w:rsidR="001C29B1">
        <w:noBreakHyphen/>
      </w:r>
      <w:r w:rsidRPr="00057615">
        <w:t>verbal daté du 7 octobre 2009</w:t>
      </w:r>
      <w:r>
        <w:t>,</w:t>
      </w:r>
      <w:r w:rsidRPr="00057615">
        <w:t xml:space="preserve"> qui affirme le contraire</w:t>
      </w:r>
      <w:r w:rsidR="0076142A" w:rsidRPr="0076142A">
        <w:t>.</w:t>
      </w:r>
      <w:r w:rsidRPr="00057615">
        <w:t xml:space="preserve"> </w:t>
      </w:r>
    </w:p>
    <w:p w14:paraId="4B42DFFA" w14:textId="3164E984" w:rsidR="002973E4" w:rsidRDefault="002973E4" w:rsidP="002973E4">
      <w:pPr>
        <w:pStyle w:val="SingleTxtG"/>
      </w:pPr>
      <w:r>
        <w:t>3</w:t>
      </w:r>
      <w:r w:rsidR="0076142A" w:rsidRPr="0076142A">
        <w:t>.</w:t>
      </w:r>
      <w:r>
        <w:t>4</w:t>
      </w:r>
      <w:r>
        <w:tab/>
      </w:r>
      <w:r w:rsidRPr="00CE19C0">
        <w:t>Le Conseil d</w:t>
      </w:r>
      <w:r>
        <w:t>’État</w:t>
      </w:r>
      <w:r w:rsidRPr="00CE19C0">
        <w:t xml:space="preserve"> </w:t>
      </w:r>
      <w:r>
        <w:t xml:space="preserve">a, </w:t>
      </w:r>
      <w:r w:rsidRPr="00CE19C0">
        <w:t>dans un premier temps</w:t>
      </w:r>
      <w:r>
        <w:t>,</w:t>
      </w:r>
      <w:r w:rsidRPr="00CE19C0">
        <w:t xml:space="preserve"> estimé qu</w:t>
      </w:r>
      <w:r>
        <w:t>’</w:t>
      </w:r>
      <w:r w:rsidRPr="00CE19C0">
        <w:t xml:space="preserve">il fallait impérativement attendre que les juges se prononcent pour pouvoir les récuser, alors que si une décision </w:t>
      </w:r>
      <w:r>
        <w:t>était</w:t>
      </w:r>
      <w:r w:rsidRPr="00CE19C0">
        <w:t xml:space="preserve"> déjà rendue par les juges récusés, il serait trop tard pour exercer une quelconque action en récusation à leur </w:t>
      </w:r>
      <w:r>
        <w:t>égard</w:t>
      </w:r>
      <w:r w:rsidR="0076142A" w:rsidRPr="0076142A">
        <w:t>.</w:t>
      </w:r>
      <w:r w:rsidRPr="00CE19C0">
        <w:t xml:space="preserve"> Dans un second temps, le 4 avril 2012, le Conseil d</w:t>
      </w:r>
      <w:r>
        <w:t>’État</w:t>
      </w:r>
      <w:r w:rsidRPr="00CE19C0">
        <w:t xml:space="preserve"> a rejeté la seconde requête en récusation, cette fois</w:t>
      </w:r>
      <w:r>
        <w:t>-ci</w:t>
      </w:r>
      <w:r w:rsidRPr="00CE19C0">
        <w:t xml:space="preserve"> sans motif</w:t>
      </w:r>
      <w:r w:rsidR="0076142A" w:rsidRPr="0076142A">
        <w:t>.</w:t>
      </w:r>
    </w:p>
    <w:p w14:paraId="5F974BDD" w14:textId="6AD08AA0" w:rsidR="002973E4" w:rsidRPr="00CE19C0" w:rsidRDefault="002973E4" w:rsidP="002973E4">
      <w:pPr>
        <w:pStyle w:val="SingleTxtG"/>
      </w:pPr>
      <w:r>
        <w:t>3</w:t>
      </w:r>
      <w:r w:rsidR="0076142A" w:rsidRPr="0076142A">
        <w:t>.</w:t>
      </w:r>
      <w:r>
        <w:t>5</w:t>
      </w:r>
      <w:r w:rsidRPr="00CE19C0">
        <w:tab/>
        <w:t>L</w:t>
      </w:r>
      <w:r>
        <w:t>’</w:t>
      </w:r>
      <w:r w:rsidRPr="00CE19C0">
        <w:t>auteur allègue que les juges sont rémunérés par les plaignants</w:t>
      </w:r>
      <w:r w:rsidR="0076142A" w:rsidRPr="0076142A">
        <w:t>.</w:t>
      </w:r>
      <w:r w:rsidRPr="00CE19C0">
        <w:t xml:space="preserve"> </w:t>
      </w:r>
      <w:r>
        <w:t>Il</w:t>
      </w:r>
      <w:r w:rsidRPr="00CE19C0">
        <w:t xml:space="preserve"> </w:t>
      </w:r>
      <w:r>
        <w:t>soutient</w:t>
      </w:r>
      <w:r w:rsidRPr="00CE19C0">
        <w:t xml:space="preserve"> </w:t>
      </w:r>
      <w:r>
        <w:t xml:space="preserve">également </w:t>
      </w:r>
      <w:r w:rsidRPr="00CE19C0">
        <w:t>que c</w:t>
      </w:r>
      <w:r>
        <w:t>’</w:t>
      </w:r>
      <w:r w:rsidRPr="00CE19C0">
        <w:t>est le Conseil national de l</w:t>
      </w:r>
      <w:r>
        <w:t>’o</w:t>
      </w:r>
      <w:r w:rsidRPr="00CE19C0">
        <w:t>rdre</w:t>
      </w:r>
      <w:r>
        <w:t xml:space="preserve"> national</w:t>
      </w:r>
      <w:r w:rsidRPr="00CE19C0">
        <w:t xml:space="preserve"> des chirurgiens-dentistes qui paye les membres de la Chambre disciplinaire</w:t>
      </w:r>
      <w:r>
        <w:t xml:space="preserve"> nationale</w:t>
      </w:r>
      <w:r w:rsidRPr="00CE19C0">
        <w:t>, sur des fondements flous et sans base légale, comme l</w:t>
      </w:r>
      <w:r>
        <w:t>’</w:t>
      </w:r>
      <w:r w:rsidRPr="00CE19C0">
        <w:t>a constaté la Cour des comptes dans son rapport de février 2017</w:t>
      </w:r>
      <w:r w:rsidR="0076142A" w:rsidRPr="0076142A">
        <w:t>.</w:t>
      </w:r>
      <w:r w:rsidRPr="00CE19C0">
        <w:t xml:space="preserve"> </w:t>
      </w:r>
    </w:p>
    <w:p w14:paraId="4A465984" w14:textId="555850E1" w:rsidR="002973E4" w:rsidRPr="00CE19C0" w:rsidRDefault="002973E4" w:rsidP="002973E4">
      <w:pPr>
        <w:pStyle w:val="SingleTxtG"/>
        <w:rPr>
          <w:bCs/>
          <w:u w:val="single"/>
        </w:rPr>
      </w:pPr>
      <w:r>
        <w:t>3</w:t>
      </w:r>
      <w:r w:rsidR="0076142A" w:rsidRPr="0076142A">
        <w:t>.</w:t>
      </w:r>
      <w:r>
        <w:t>6</w:t>
      </w:r>
      <w:r>
        <w:tab/>
      </w:r>
      <w:r w:rsidRPr="00CE19C0">
        <w:t>L</w:t>
      </w:r>
      <w:r>
        <w:t>’</w:t>
      </w:r>
      <w:r w:rsidRPr="00CE19C0">
        <w:t>auteur estime que le fait qu</w:t>
      </w:r>
      <w:r>
        <w:t>’</w:t>
      </w:r>
      <w:r w:rsidRPr="00CE19C0">
        <w:t>il a été privé de la protection de l</w:t>
      </w:r>
      <w:r>
        <w:t>’État</w:t>
      </w:r>
      <w:r w:rsidRPr="00CE19C0">
        <w:t xml:space="preserve"> partie contre l</w:t>
      </w:r>
      <w:r>
        <w:t>’</w:t>
      </w:r>
      <w:r w:rsidRPr="00CE19C0">
        <w:t>ingérence illicite dans l</w:t>
      </w:r>
      <w:r>
        <w:t>’</w:t>
      </w:r>
      <w:r w:rsidRPr="00CE19C0">
        <w:t>exercice de sa liberté d</w:t>
      </w:r>
      <w:r>
        <w:t>’</w:t>
      </w:r>
      <w:r w:rsidRPr="00CE19C0">
        <w:t xml:space="preserve">expression et dans la garantie de son droit à un procès équitable </w:t>
      </w:r>
      <w:r>
        <w:t>induit</w:t>
      </w:r>
      <w:r w:rsidRPr="00CE19C0">
        <w:t xml:space="preserve"> une violation de l</w:t>
      </w:r>
      <w:r>
        <w:t>’</w:t>
      </w:r>
      <w:r w:rsidRPr="00CE19C0">
        <w:t>article 2</w:t>
      </w:r>
      <w:r>
        <w:t xml:space="preserve"> </w:t>
      </w:r>
      <w:r w:rsidRPr="00CE19C0">
        <w:t>(</w:t>
      </w:r>
      <w:r>
        <w:t>par</w:t>
      </w:r>
      <w:r w:rsidR="0076142A" w:rsidRPr="0076142A">
        <w:t>.</w:t>
      </w:r>
      <w:r>
        <w:t> </w:t>
      </w:r>
      <w:r w:rsidRPr="00CE19C0">
        <w:t>3) du Pacte</w:t>
      </w:r>
      <w:r w:rsidR="0076142A" w:rsidRPr="0076142A">
        <w:t>.</w:t>
      </w:r>
    </w:p>
    <w:p w14:paraId="07E4FCF1" w14:textId="77777777" w:rsidR="002973E4" w:rsidRPr="00CE19C0" w:rsidRDefault="002973E4" w:rsidP="002973E4">
      <w:pPr>
        <w:pStyle w:val="H23G"/>
      </w:pPr>
      <w:r w:rsidRPr="00CE19C0">
        <w:tab/>
      </w:r>
      <w:r>
        <w:tab/>
      </w:r>
      <w:r>
        <w:tab/>
      </w:r>
      <w:r w:rsidRPr="00CE19C0">
        <w:t>Observations de l</w:t>
      </w:r>
      <w:r>
        <w:t>’État</w:t>
      </w:r>
      <w:r w:rsidRPr="00CE19C0">
        <w:t xml:space="preserve"> partie sur la recevabilité et le fond</w:t>
      </w:r>
    </w:p>
    <w:p w14:paraId="76C850CF" w14:textId="0129F509" w:rsidR="002973E4" w:rsidRPr="001E07B7" w:rsidRDefault="002973E4" w:rsidP="002973E4">
      <w:pPr>
        <w:pStyle w:val="SingleTxtG"/>
        <w:rPr>
          <w:lang w:val="fr-FR"/>
        </w:rPr>
      </w:pPr>
      <w:r>
        <w:rPr>
          <w:lang w:val="fr-FR"/>
        </w:rPr>
        <w:t>4</w:t>
      </w:r>
      <w:r w:rsidR="0076142A" w:rsidRPr="0076142A">
        <w:rPr>
          <w:lang w:val="fr-FR"/>
        </w:rPr>
        <w:t>.</w:t>
      </w:r>
      <w:r>
        <w:rPr>
          <w:lang w:val="fr-FR"/>
        </w:rPr>
        <w:t>1</w:t>
      </w:r>
      <w:r>
        <w:rPr>
          <w:lang w:val="fr-FR"/>
        </w:rPr>
        <w:tab/>
      </w:r>
      <w:r w:rsidRPr="00CE19C0">
        <w:rPr>
          <w:lang w:val="fr-FR"/>
        </w:rPr>
        <w:t>Le 14 décembre 2017, l</w:t>
      </w:r>
      <w:r>
        <w:rPr>
          <w:lang w:val="fr-FR"/>
        </w:rPr>
        <w:t>’État</w:t>
      </w:r>
      <w:r w:rsidRPr="00CE19C0">
        <w:rPr>
          <w:lang w:val="fr-FR"/>
        </w:rPr>
        <w:t xml:space="preserve"> partie a soumis ses observations sur la recevabilité et le fond de la communication</w:t>
      </w:r>
      <w:r w:rsidR="0076142A" w:rsidRPr="0076142A">
        <w:rPr>
          <w:lang w:val="fr-FR"/>
        </w:rPr>
        <w:t>.</w:t>
      </w:r>
      <w:r w:rsidRPr="00CE19C0">
        <w:rPr>
          <w:lang w:val="fr-FR"/>
        </w:rPr>
        <w:t xml:space="preserve"> Il demande au Comité de </w:t>
      </w:r>
      <w:r w:rsidRPr="001E07B7">
        <w:rPr>
          <w:lang w:val="fr-FR"/>
        </w:rPr>
        <w:t>déclarer la communication irrecevable</w:t>
      </w:r>
      <w:r w:rsidR="0076142A" w:rsidRPr="0076142A">
        <w:rPr>
          <w:lang w:val="fr-FR"/>
        </w:rPr>
        <w:t>.</w:t>
      </w:r>
      <w:r w:rsidRPr="001E07B7">
        <w:rPr>
          <w:lang w:val="fr-FR"/>
        </w:rPr>
        <w:t xml:space="preserve"> </w:t>
      </w:r>
    </w:p>
    <w:p w14:paraId="7DD11C4B" w14:textId="268F109B" w:rsidR="002973E4" w:rsidRPr="00CE19C0" w:rsidRDefault="002973E4" w:rsidP="002973E4">
      <w:pPr>
        <w:pStyle w:val="SingleTxtG"/>
        <w:rPr>
          <w:lang w:val="fr-FR"/>
        </w:rPr>
      </w:pPr>
      <w:r>
        <w:rPr>
          <w:lang w:val="fr-FR"/>
        </w:rPr>
        <w:t>4</w:t>
      </w:r>
      <w:r w:rsidR="0076142A" w:rsidRPr="0076142A">
        <w:rPr>
          <w:lang w:val="fr-FR"/>
        </w:rPr>
        <w:t>.</w:t>
      </w:r>
      <w:r>
        <w:rPr>
          <w:lang w:val="fr-FR"/>
        </w:rPr>
        <w:t>2</w:t>
      </w:r>
      <w:r>
        <w:rPr>
          <w:lang w:val="fr-FR"/>
        </w:rPr>
        <w:tab/>
      </w:r>
      <w:r w:rsidRPr="00CE19C0">
        <w:rPr>
          <w:lang w:val="fr-FR"/>
        </w:rPr>
        <w:t>L</w:t>
      </w:r>
      <w:r>
        <w:rPr>
          <w:lang w:val="fr-FR"/>
        </w:rPr>
        <w:t>’État</w:t>
      </w:r>
      <w:r w:rsidRPr="00CE19C0">
        <w:rPr>
          <w:lang w:val="fr-FR"/>
        </w:rPr>
        <w:t xml:space="preserve"> partie </w:t>
      </w:r>
      <w:proofErr w:type="spellStart"/>
      <w:r w:rsidRPr="00CE19C0">
        <w:rPr>
          <w:lang w:val="fr-FR"/>
        </w:rPr>
        <w:t>reconna</w:t>
      </w:r>
      <w:proofErr w:type="spellEnd"/>
      <w:r>
        <w:rPr>
          <w:lang w:val="fr-CA"/>
        </w:rPr>
        <w:t>î</w:t>
      </w:r>
      <w:r w:rsidRPr="00CE19C0">
        <w:rPr>
          <w:lang w:val="fr-FR"/>
        </w:rPr>
        <w:t>t que la communication soumise par l</w:t>
      </w:r>
      <w:r>
        <w:rPr>
          <w:lang w:val="fr-FR"/>
        </w:rPr>
        <w:t>’</w:t>
      </w:r>
      <w:r w:rsidRPr="00CE19C0">
        <w:rPr>
          <w:lang w:val="fr-FR"/>
        </w:rPr>
        <w:t>auteur donne lieu à des contestations sur des droits de caractère civil au sens de l</w:t>
      </w:r>
      <w:r>
        <w:rPr>
          <w:lang w:val="fr-FR"/>
        </w:rPr>
        <w:t>’</w:t>
      </w:r>
      <w:r w:rsidRPr="00CE19C0">
        <w:rPr>
          <w:lang w:val="fr-FR"/>
        </w:rPr>
        <w:t xml:space="preserve">article 14 </w:t>
      </w:r>
      <w:r>
        <w:rPr>
          <w:lang w:val="fr-FR"/>
        </w:rPr>
        <w:t>(par</w:t>
      </w:r>
      <w:r w:rsidR="0076142A" w:rsidRPr="0076142A">
        <w:rPr>
          <w:lang w:val="fr-FR"/>
        </w:rPr>
        <w:t>.</w:t>
      </w:r>
      <w:r>
        <w:rPr>
          <w:lang w:val="fr-FR"/>
        </w:rPr>
        <w:t> </w:t>
      </w:r>
      <w:r w:rsidRPr="00CE19C0">
        <w:rPr>
          <w:lang w:val="fr-FR"/>
        </w:rPr>
        <w:t>1</w:t>
      </w:r>
      <w:r>
        <w:rPr>
          <w:lang w:val="fr-FR"/>
        </w:rPr>
        <w:t>)</w:t>
      </w:r>
      <w:r w:rsidRPr="00CE19C0">
        <w:rPr>
          <w:lang w:val="fr-FR"/>
        </w:rPr>
        <w:t xml:space="preserve"> du Pacte</w:t>
      </w:r>
      <w:r w:rsidR="0076142A" w:rsidRPr="0076142A">
        <w:rPr>
          <w:lang w:val="fr-FR"/>
        </w:rPr>
        <w:t>.</w:t>
      </w:r>
      <w:r w:rsidRPr="00CE19C0">
        <w:rPr>
          <w:lang w:val="fr-FR"/>
        </w:rPr>
        <w:t xml:space="preserve"> </w:t>
      </w:r>
      <w:r>
        <w:rPr>
          <w:lang w:val="fr-FR"/>
        </w:rPr>
        <w:t>Il</w:t>
      </w:r>
      <w:r w:rsidRPr="00CE19C0">
        <w:rPr>
          <w:lang w:val="fr-FR"/>
        </w:rPr>
        <w:t xml:space="preserve"> reconnaît également que le contentieux soumis aux juridictions ordinales françaises doit remplir les exigences de l</w:t>
      </w:r>
      <w:r>
        <w:rPr>
          <w:lang w:val="fr-FR"/>
        </w:rPr>
        <w:t>’</w:t>
      </w:r>
      <w:r w:rsidRPr="00CE19C0">
        <w:rPr>
          <w:lang w:val="fr-FR"/>
        </w:rPr>
        <w:t xml:space="preserve">article 14 </w:t>
      </w:r>
      <w:r>
        <w:rPr>
          <w:lang w:val="fr-FR"/>
        </w:rPr>
        <w:t>(par</w:t>
      </w:r>
      <w:r w:rsidR="0076142A" w:rsidRPr="0076142A">
        <w:rPr>
          <w:lang w:val="fr-FR"/>
        </w:rPr>
        <w:t>.</w:t>
      </w:r>
      <w:r>
        <w:rPr>
          <w:lang w:val="fr-FR"/>
        </w:rPr>
        <w:t> </w:t>
      </w:r>
      <w:r w:rsidRPr="00CE19C0">
        <w:rPr>
          <w:lang w:val="fr-FR"/>
        </w:rPr>
        <w:t>1</w:t>
      </w:r>
      <w:r>
        <w:rPr>
          <w:lang w:val="fr-FR"/>
        </w:rPr>
        <w:t>)</w:t>
      </w:r>
      <w:r w:rsidRPr="00CE19C0">
        <w:rPr>
          <w:lang w:val="fr-FR"/>
        </w:rPr>
        <w:t xml:space="preserve"> du Pacte</w:t>
      </w:r>
      <w:r w:rsidRPr="002973E4">
        <w:rPr>
          <w:rStyle w:val="Appelnotedebasdep"/>
        </w:rPr>
        <w:footnoteReference w:id="5"/>
      </w:r>
      <w:r w:rsidR="0076142A" w:rsidRPr="0076142A">
        <w:rPr>
          <w:lang w:val="fr-FR"/>
        </w:rPr>
        <w:t>.</w:t>
      </w:r>
      <w:r w:rsidRPr="00CE19C0">
        <w:t xml:space="preserve"> Toutefois, </w:t>
      </w:r>
      <w:r w:rsidRPr="00CE19C0">
        <w:rPr>
          <w:lang w:val="fr-FR"/>
        </w:rPr>
        <w:t>l</w:t>
      </w:r>
      <w:r>
        <w:rPr>
          <w:lang w:val="fr-FR"/>
        </w:rPr>
        <w:t>’État</w:t>
      </w:r>
      <w:r w:rsidRPr="00CE19C0">
        <w:rPr>
          <w:lang w:val="fr-FR"/>
        </w:rPr>
        <w:t xml:space="preserve"> partie rejette les arguments soulevés par l</w:t>
      </w:r>
      <w:r>
        <w:rPr>
          <w:lang w:val="fr-FR"/>
        </w:rPr>
        <w:t>’</w:t>
      </w:r>
      <w:r w:rsidRPr="00CE19C0">
        <w:rPr>
          <w:lang w:val="fr-FR"/>
        </w:rPr>
        <w:t>auteur sur le caractère non public de l</w:t>
      </w:r>
      <w:r>
        <w:rPr>
          <w:lang w:val="fr-FR"/>
        </w:rPr>
        <w:t>’</w:t>
      </w:r>
      <w:r w:rsidRPr="00CE19C0">
        <w:rPr>
          <w:lang w:val="fr-FR"/>
        </w:rPr>
        <w:t>audience et le défaut d</w:t>
      </w:r>
      <w:r>
        <w:rPr>
          <w:lang w:val="fr-FR"/>
        </w:rPr>
        <w:t>’</w:t>
      </w:r>
      <w:r w:rsidRPr="00CE19C0">
        <w:rPr>
          <w:lang w:val="fr-FR"/>
        </w:rPr>
        <w:t>impartialité des juridictions ordinales</w:t>
      </w:r>
      <w:r w:rsidR="0076142A" w:rsidRPr="0076142A">
        <w:rPr>
          <w:lang w:val="fr-FR"/>
        </w:rPr>
        <w:t>.</w:t>
      </w:r>
      <w:r w:rsidRPr="00CE19C0">
        <w:rPr>
          <w:lang w:val="fr-FR"/>
        </w:rPr>
        <w:t xml:space="preserve"> </w:t>
      </w:r>
      <w:r>
        <w:rPr>
          <w:lang w:val="fr-FR"/>
        </w:rPr>
        <w:t>L’État partie rejette également la violation de l’article 19 du Pacte alléguée par l’auteur</w:t>
      </w:r>
      <w:r w:rsidR="0076142A" w:rsidRPr="0076142A">
        <w:rPr>
          <w:lang w:val="fr-FR"/>
        </w:rPr>
        <w:t>.</w:t>
      </w:r>
      <w:r>
        <w:rPr>
          <w:lang w:val="fr-FR"/>
        </w:rPr>
        <w:t xml:space="preserve"> </w:t>
      </w:r>
    </w:p>
    <w:p w14:paraId="5A375644" w14:textId="7FD58746" w:rsidR="002973E4" w:rsidRPr="00CE19C0" w:rsidRDefault="002973E4" w:rsidP="005E1410">
      <w:pPr>
        <w:pStyle w:val="SingleTxtG"/>
        <w:keepNext/>
        <w:keepLines/>
        <w:rPr>
          <w:lang w:val="fr-FR"/>
        </w:rPr>
      </w:pPr>
      <w:r>
        <w:rPr>
          <w:lang w:val="fr-FR"/>
        </w:rPr>
        <w:lastRenderedPageBreak/>
        <w:t>4</w:t>
      </w:r>
      <w:r w:rsidR="0076142A" w:rsidRPr="0076142A">
        <w:rPr>
          <w:lang w:val="fr-FR"/>
        </w:rPr>
        <w:t>.</w:t>
      </w:r>
      <w:r>
        <w:rPr>
          <w:lang w:val="fr-FR"/>
        </w:rPr>
        <w:t>3</w:t>
      </w:r>
      <w:r>
        <w:rPr>
          <w:lang w:val="fr-FR"/>
        </w:rPr>
        <w:tab/>
      </w:r>
      <w:r w:rsidRPr="00CE19C0">
        <w:rPr>
          <w:lang w:val="fr-FR"/>
        </w:rPr>
        <w:t>L</w:t>
      </w:r>
      <w:r>
        <w:rPr>
          <w:lang w:val="fr-FR"/>
        </w:rPr>
        <w:t>’État</w:t>
      </w:r>
      <w:r w:rsidRPr="00CE19C0">
        <w:rPr>
          <w:lang w:val="fr-FR"/>
        </w:rPr>
        <w:t xml:space="preserve"> partie rappelle qu</w:t>
      </w:r>
      <w:r>
        <w:rPr>
          <w:lang w:val="fr-FR"/>
        </w:rPr>
        <w:t>’</w:t>
      </w:r>
      <w:r w:rsidRPr="00CE19C0">
        <w:rPr>
          <w:lang w:val="fr-FR"/>
        </w:rPr>
        <w:t>au regard de l</w:t>
      </w:r>
      <w:r>
        <w:rPr>
          <w:lang w:val="fr-FR"/>
        </w:rPr>
        <w:t>’</w:t>
      </w:r>
      <w:r w:rsidRPr="00CE19C0">
        <w:rPr>
          <w:lang w:val="fr-FR"/>
        </w:rPr>
        <w:t>article 14</w:t>
      </w:r>
      <w:r>
        <w:rPr>
          <w:lang w:val="fr-FR"/>
        </w:rPr>
        <w:t xml:space="preserve"> (par</w:t>
      </w:r>
      <w:r w:rsidR="0076142A" w:rsidRPr="0076142A">
        <w:rPr>
          <w:lang w:val="fr-FR"/>
        </w:rPr>
        <w:t>.</w:t>
      </w:r>
      <w:r>
        <w:rPr>
          <w:lang w:val="fr-FR"/>
        </w:rPr>
        <w:t> </w:t>
      </w:r>
      <w:r w:rsidRPr="00CE19C0">
        <w:rPr>
          <w:lang w:val="fr-FR"/>
        </w:rPr>
        <w:t>1</w:t>
      </w:r>
      <w:r>
        <w:rPr>
          <w:lang w:val="fr-FR"/>
        </w:rPr>
        <w:t>)</w:t>
      </w:r>
      <w:r w:rsidRPr="00CE19C0">
        <w:rPr>
          <w:lang w:val="fr-FR"/>
        </w:rPr>
        <w:t xml:space="preserve"> du Pacte</w:t>
      </w:r>
      <w:r>
        <w:rPr>
          <w:lang w:val="fr-FR"/>
        </w:rPr>
        <w:t>,</w:t>
      </w:r>
      <w:r w:rsidRPr="00CE19C0">
        <w:rPr>
          <w:lang w:val="fr-FR"/>
        </w:rPr>
        <w:t xml:space="preserve"> le caractère public des audiences implique </w:t>
      </w:r>
      <w:r w:rsidRPr="001B7046">
        <w:t>uniquement</w:t>
      </w:r>
      <w:r w:rsidRPr="00CE19C0">
        <w:rPr>
          <w:lang w:val="fr-FR"/>
        </w:rPr>
        <w:t xml:space="preserve"> de mettre le public intéressé en mesure d</w:t>
      </w:r>
      <w:r>
        <w:rPr>
          <w:lang w:val="fr-FR"/>
        </w:rPr>
        <w:t>’</w:t>
      </w:r>
      <w:r w:rsidRPr="00CE19C0">
        <w:rPr>
          <w:lang w:val="fr-FR"/>
        </w:rPr>
        <w:t>assister à celles-ci</w:t>
      </w:r>
      <w:r>
        <w:rPr>
          <w:lang w:val="fr-FR"/>
        </w:rPr>
        <w:t>,</w:t>
      </w:r>
      <w:r w:rsidRPr="00CE19C0">
        <w:rPr>
          <w:lang w:val="fr-FR"/>
        </w:rPr>
        <w:t xml:space="preserve"> le public devant être informé en temps utile</w:t>
      </w:r>
      <w:r w:rsidRPr="002973E4">
        <w:rPr>
          <w:rStyle w:val="Appelnotedebasdep"/>
        </w:rPr>
        <w:footnoteReference w:id="6"/>
      </w:r>
      <w:r w:rsidR="0076142A" w:rsidRPr="0076142A">
        <w:rPr>
          <w:lang w:val="fr-FR"/>
        </w:rPr>
        <w:t>.</w:t>
      </w:r>
      <w:r w:rsidRPr="00CE19C0">
        <w:rPr>
          <w:lang w:val="fr-FR"/>
        </w:rPr>
        <w:t xml:space="preserve"> </w:t>
      </w:r>
      <w:r>
        <w:rPr>
          <w:lang w:val="fr-FR"/>
        </w:rPr>
        <w:t>Il</w:t>
      </w:r>
      <w:r w:rsidRPr="00CE19C0">
        <w:rPr>
          <w:lang w:val="fr-FR"/>
        </w:rPr>
        <w:t xml:space="preserve"> rappelle </w:t>
      </w:r>
      <w:r>
        <w:rPr>
          <w:lang w:val="fr-FR"/>
        </w:rPr>
        <w:t xml:space="preserve">également </w:t>
      </w:r>
      <w:r w:rsidRPr="00CE19C0">
        <w:rPr>
          <w:lang w:val="fr-FR"/>
        </w:rPr>
        <w:t>que la règle de la publicité des audiences a été reconnue de manière prétorienne en droit interne comme s</w:t>
      </w:r>
      <w:r>
        <w:rPr>
          <w:lang w:val="fr-FR"/>
        </w:rPr>
        <w:t>’</w:t>
      </w:r>
      <w:r w:rsidRPr="00CE19C0">
        <w:rPr>
          <w:lang w:val="fr-FR"/>
        </w:rPr>
        <w:t>imposant aux juridictions ordinales statuant en matière disciplinaire en application de l</w:t>
      </w:r>
      <w:r>
        <w:rPr>
          <w:lang w:val="fr-FR"/>
        </w:rPr>
        <w:t>’</w:t>
      </w:r>
      <w:r w:rsidRPr="00CE19C0">
        <w:rPr>
          <w:lang w:val="fr-FR"/>
        </w:rPr>
        <w:t>article 6</w:t>
      </w:r>
      <w:r>
        <w:rPr>
          <w:lang w:val="fr-FR"/>
        </w:rPr>
        <w:t xml:space="preserve"> (par</w:t>
      </w:r>
      <w:r w:rsidR="0076142A" w:rsidRPr="0076142A">
        <w:rPr>
          <w:lang w:val="fr-FR"/>
        </w:rPr>
        <w:t>.</w:t>
      </w:r>
      <w:r>
        <w:rPr>
          <w:lang w:val="fr-FR"/>
        </w:rPr>
        <w:t> </w:t>
      </w:r>
      <w:r w:rsidRPr="00CE19C0">
        <w:rPr>
          <w:lang w:val="fr-FR"/>
        </w:rPr>
        <w:t>1</w:t>
      </w:r>
      <w:r>
        <w:rPr>
          <w:lang w:val="fr-FR"/>
        </w:rPr>
        <w:t>)</w:t>
      </w:r>
      <w:r w:rsidRPr="00CE19C0">
        <w:rPr>
          <w:lang w:val="fr-FR"/>
        </w:rPr>
        <w:t xml:space="preserve"> de la </w:t>
      </w:r>
      <w:r w:rsidRPr="00DC7808">
        <w:rPr>
          <w:lang w:val="fr-FR"/>
        </w:rPr>
        <w:t>Convention de sauvegarde des droits de l</w:t>
      </w:r>
      <w:r>
        <w:rPr>
          <w:lang w:val="fr-FR"/>
        </w:rPr>
        <w:t>’</w:t>
      </w:r>
      <w:r w:rsidRPr="00DC7808">
        <w:rPr>
          <w:lang w:val="fr-FR"/>
        </w:rPr>
        <w:t>homme et des libertés fondamentales</w:t>
      </w:r>
      <w:r w:rsidRPr="00CE19C0">
        <w:rPr>
          <w:lang w:val="fr-FR"/>
        </w:rPr>
        <w:t xml:space="preserve"> </w:t>
      </w:r>
      <w:r>
        <w:rPr>
          <w:lang w:val="fr-FR"/>
        </w:rPr>
        <w:t>(</w:t>
      </w:r>
      <w:r w:rsidRPr="00CE19C0">
        <w:rPr>
          <w:lang w:val="fr-FR"/>
        </w:rPr>
        <w:t>Convention européenne des droits de l</w:t>
      </w:r>
      <w:r>
        <w:rPr>
          <w:lang w:val="fr-FR"/>
        </w:rPr>
        <w:t>’</w:t>
      </w:r>
      <w:r w:rsidRPr="00CE19C0">
        <w:rPr>
          <w:lang w:val="fr-FR"/>
        </w:rPr>
        <w:t>homme</w:t>
      </w:r>
      <w:r>
        <w:rPr>
          <w:lang w:val="fr-FR"/>
        </w:rPr>
        <w:t>)</w:t>
      </w:r>
      <w:r w:rsidRPr="00CE19C0">
        <w:rPr>
          <w:lang w:val="fr-FR"/>
        </w:rPr>
        <w:t xml:space="preserve">, qui est le pendant de </w:t>
      </w:r>
      <w:r w:rsidRPr="00451E4D">
        <w:rPr>
          <w:lang w:val="fr-FR"/>
        </w:rPr>
        <w:t>l</w:t>
      </w:r>
      <w:r>
        <w:rPr>
          <w:lang w:val="fr-FR"/>
        </w:rPr>
        <w:t>’</w:t>
      </w:r>
      <w:r w:rsidRPr="00451E4D">
        <w:rPr>
          <w:lang w:val="fr-FR"/>
        </w:rPr>
        <w:t>article</w:t>
      </w:r>
      <w:r>
        <w:rPr>
          <w:lang w:val="fr-FR"/>
        </w:rPr>
        <w:t> </w:t>
      </w:r>
      <w:r w:rsidRPr="00451E4D">
        <w:rPr>
          <w:lang w:val="fr-FR"/>
        </w:rPr>
        <w:t>14</w:t>
      </w:r>
      <w:r>
        <w:rPr>
          <w:lang w:val="fr-FR"/>
        </w:rPr>
        <w:t xml:space="preserve"> (par</w:t>
      </w:r>
      <w:r w:rsidR="0076142A" w:rsidRPr="0076142A">
        <w:rPr>
          <w:lang w:val="fr-FR"/>
        </w:rPr>
        <w:t>.</w:t>
      </w:r>
      <w:r>
        <w:rPr>
          <w:lang w:val="fr-FR"/>
        </w:rPr>
        <w:t> </w:t>
      </w:r>
      <w:r w:rsidRPr="00451E4D">
        <w:rPr>
          <w:lang w:val="fr-FR"/>
        </w:rPr>
        <w:t>1</w:t>
      </w:r>
      <w:r>
        <w:rPr>
          <w:lang w:val="fr-FR"/>
        </w:rPr>
        <w:t>)</w:t>
      </w:r>
      <w:r w:rsidRPr="00451E4D">
        <w:rPr>
          <w:lang w:val="fr-FR"/>
        </w:rPr>
        <w:t xml:space="preserve"> du Pacte</w:t>
      </w:r>
      <w:r w:rsidRPr="002973E4">
        <w:rPr>
          <w:rStyle w:val="Appelnotedebasdep"/>
        </w:rPr>
        <w:footnoteReference w:id="7"/>
      </w:r>
      <w:r w:rsidR="0076142A" w:rsidRPr="0076142A">
        <w:rPr>
          <w:lang w:val="fr-FR"/>
        </w:rPr>
        <w:t>.</w:t>
      </w:r>
      <w:r w:rsidRPr="00451E4D">
        <w:rPr>
          <w:lang w:val="fr-FR"/>
        </w:rPr>
        <w:t xml:space="preserve"> Cette règle est désormais reconnue </w:t>
      </w:r>
      <w:r>
        <w:rPr>
          <w:lang w:val="fr-FR"/>
        </w:rPr>
        <w:t>au sein du C</w:t>
      </w:r>
      <w:r w:rsidRPr="00451E4D">
        <w:rPr>
          <w:lang w:val="fr-FR"/>
        </w:rPr>
        <w:t>ode de la santé publique</w:t>
      </w:r>
      <w:r w:rsidRPr="002973E4">
        <w:rPr>
          <w:rStyle w:val="Appelnotedebasdep"/>
        </w:rPr>
        <w:footnoteReference w:id="8"/>
      </w:r>
      <w:r w:rsidR="0076142A" w:rsidRPr="0076142A">
        <w:rPr>
          <w:lang w:val="fr-FR"/>
        </w:rPr>
        <w:t>.</w:t>
      </w:r>
      <w:r w:rsidRPr="00451E4D">
        <w:rPr>
          <w:lang w:val="fr-FR"/>
        </w:rPr>
        <w:t xml:space="preserve"> </w:t>
      </w:r>
    </w:p>
    <w:p w14:paraId="17F553A2" w14:textId="0BF5596E" w:rsidR="002973E4" w:rsidRPr="00CE19C0" w:rsidRDefault="002973E4" w:rsidP="002973E4">
      <w:pPr>
        <w:pStyle w:val="SingleTxtG"/>
        <w:rPr>
          <w:color w:val="000000" w:themeColor="text1"/>
          <w:lang w:val="fr-FR"/>
        </w:rPr>
      </w:pPr>
      <w:r>
        <w:rPr>
          <w:color w:val="000000" w:themeColor="text1"/>
          <w:lang w:val="fr-FR"/>
        </w:rPr>
        <w:t>4</w:t>
      </w:r>
      <w:r w:rsidR="0076142A" w:rsidRPr="0076142A">
        <w:rPr>
          <w:color w:val="000000" w:themeColor="text1"/>
          <w:lang w:val="fr-FR"/>
        </w:rPr>
        <w:t>.</w:t>
      </w:r>
      <w:r>
        <w:rPr>
          <w:color w:val="000000" w:themeColor="text1"/>
          <w:lang w:val="fr-FR"/>
        </w:rPr>
        <w:t>4</w:t>
      </w:r>
      <w:r>
        <w:rPr>
          <w:color w:val="000000" w:themeColor="text1"/>
          <w:lang w:val="fr-FR"/>
        </w:rPr>
        <w:tab/>
      </w:r>
      <w:r w:rsidRPr="00CE19C0">
        <w:rPr>
          <w:color w:val="000000" w:themeColor="text1"/>
          <w:lang w:val="fr-FR"/>
        </w:rPr>
        <w:t>L</w:t>
      </w:r>
      <w:r>
        <w:rPr>
          <w:color w:val="000000" w:themeColor="text1"/>
          <w:lang w:val="fr-FR"/>
        </w:rPr>
        <w:t>’État</w:t>
      </w:r>
      <w:r w:rsidRPr="00CE19C0">
        <w:rPr>
          <w:color w:val="000000" w:themeColor="text1"/>
          <w:lang w:val="fr-FR"/>
        </w:rPr>
        <w:t xml:space="preserve"> partie fait valoir que la nécessité de connaître le code pour accéder au numéro</w:t>
      </w:r>
      <w:r>
        <w:rPr>
          <w:color w:val="000000" w:themeColor="text1"/>
          <w:lang w:val="fr-FR"/>
        </w:rPr>
        <w:t> </w:t>
      </w:r>
      <w:r w:rsidRPr="00CE19C0">
        <w:rPr>
          <w:color w:val="000000" w:themeColor="text1"/>
          <w:lang w:val="fr-FR"/>
        </w:rPr>
        <w:t xml:space="preserve">27 de la rue </w:t>
      </w:r>
      <w:proofErr w:type="spellStart"/>
      <w:r w:rsidRPr="00CE19C0">
        <w:rPr>
          <w:color w:val="000000" w:themeColor="text1"/>
          <w:lang w:val="fr-FR"/>
        </w:rPr>
        <w:t>Ginoux</w:t>
      </w:r>
      <w:proofErr w:type="spellEnd"/>
      <w:r w:rsidRPr="00CE19C0">
        <w:rPr>
          <w:color w:val="000000" w:themeColor="text1"/>
          <w:lang w:val="fr-FR"/>
        </w:rPr>
        <w:t>, à Paris, siège de la chambre disciplinaire de première instance</w:t>
      </w:r>
      <w:r w:rsidRPr="00325690">
        <w:rPr>
          <w:color w:val="000000" w:themeColor="text1"/>
          <w:lang w:val="fr-FR"/>
        </w:rPr>
        <w:t xml:space="preserve"> </w:t>
      </w:r>
      <w:r w:rsidRPr="00CE19C0">
        <w:rPr>
          <w:color w:val="000000" w:themeColor="text1"/>
          <w:lang w:val="fr-FR"/>
        </w:rPr>
        <w:t>d</w:t>
      </w:r>
      <w:r>
        <w:rPr>
          <w:color w:val="000000" w:themeColor="text1"/>
          <w:lang w:val="fr-FR"/>
        </w:rPr>
        <w:t>’</w:t>
      </w:r>
      <w:r w:rsidRPr="00CE19C0">
        <w:rPr>
          <w:color w:val="000000" w:themeColor="text1"/>
          <w:lang w:val="fr-FR"/>
        </w:rPr>
        <w:t>Île-de-</w:t>
      </w:r>
      <w:r>
        <w:rPr>
          <w:color w:val="000000" w:themeColor="text1"/>
          <w:lang w:val="fr-FR"/>
        </w:rPr>
        <w:t>France,</w:t>
      </w:r>
      <w:r w:rsidRPr="00CE19C0">
        <w:rPr>
          <w:color w:val="000000" w:themeColor="text1"/>
          <w:lang w:val="fr-FR"/>
        </w:rPr>
        <w:t xml:space="preserve"> où se tenait l</w:t>
      </w:r>
      <w:r>
        <w:rPr>
          <w:color w:val="000000" w:themeColor="text1"/>
          <w:lang w:val="fr-FR"/>
        </w:rPr>
        <w:t>’</w:t>
      </w:r>
      <w:r w:rsidRPr="00CE19C0">
        <w:rPr>
          <w:color w:val="000000" w:themeColor="text1"/>
          <w:lang w:val="fr-FR"/>
        </w:rPr>
        <w:t xml:space="preserve">audience, </w:t>
      </w:r>
      <w:r w:rsidRPr="001E07B7">
        <w:rPr>
          <w:lang w:val="fr-FR"/>
        </w:rPr>
        <w:t>n</w:t>
      </w:r>
      <w:r>
        <w:rPr>
          <w:lang w:val="fr-FR"/>
        </w:rPr>
        <w:t>’</w:t>
      </w:r>
      <w:r w:rsidRPr="001E07B7">
        <w:rPr>
          <w:lang w:val="fr-FR"/>
        </w:rPr>
        <w:t>entrave pas son caractère public</w:t>
      </w:r>
      <w:r w:rsidR="0076142A" w:rsidRPr="0076142A">
        <w:rPr>
          <w:lang w:val="fr-FR"/>
        </w:rPr>
        <w:t>.</w:t>
      </w:r>
      <w:r w:rsidRPr="001E07B7">
        <w:rPr>
          <w:lang w:val="fr-FR"/>
        </w:rPr>
        <w:t xml:space="preserve"> </w:t>
      </w:r>
      <w:r>
        <w:rPr>
          <w:color w:val="000000" w:themeColor="text1"/>
          <w:lang w:val="fr-FR"/>
        </w:rPr>
        <w:t>Il</w:t>
      </w:r>
      <w:r w:rsidRPr="00CE19C0">
        <w:rPr>
          <w:color w:val="000000" w:themeColor="text1"/>
          <w:lang w:val="fr-FR"/>
        </w:rPr>
        <w:t xml:space="preserve"> </w:t>
      </w:r>
      <w:r>
        <w:rPr>
          <w:color w:val="000000" w:themeColor="text1"/>
          <w:lang w:val="fr-FR"/>
        </w:rPr>
        <w:t>soutient</w:t>
      </w:r>
      <w:r w:rsidRPr="00CE19C0">
        <w:rPr>
          <w:color w:val="000000" w:themeColor="text1"/>
          <w:lang w:val="fr-FR"/>
        </w:rPr>
        <w:t xml:space="preserve"> que, contrairement aux allégations de l</w:t>
      </w:r>
      <w:r>
        <w:rPr>
          <w:color w:val="000000" w:themeColor="text1"/>
          <w:lang w:val="fr-FR"/>
        </w:rPr>
        <w:t>’</w:t>
      </w:r>
      <w:r w:rsidRPr="00CE19C0">
        <w:rPr>
          <w:color w:val="000000" w:themeColor="text1"/>
          <w:lang w:val="fr-FR"/>
        </w:rPr>
        <w:t xml:space="preserve">auteur, </w:t>
      </w:r>
      <w:r>
        <w:rPr>
          <w:color w:val="000000" w:themeColor="text1"/>
          <w:lang w:val="fr-FR"/>
        </w:rPr>
        <w:t>c</w:t>
      </w:r>
      <w:r w:rsidRPr="00CE19C0">
        <w:rPr>
          <w:color w:val="000000" w:themeColor="text1"/>
          <w:lang w:val="fr-FR"/>
        </w:rPr>
        <w:t>e bâtiment, muni d</w:t>
      </w:r>
      <w:r>
        <w:rPr>
          <w:color w:val="000000" w:themeColor="text1"/>
          <w:lang w:val="fr-FR"/>
        </w:rPr>
        <w:t>’</w:t>
      </w:r>
      <w:r w:rsidRPr="00CE19C0">
        <w:rPr>
          <w:color w:val="000000" w:themeColor="text1"/>
          <w:lang w:val="fr-FR"/>
        </w:rPr>
        <w:t>un interphone, était accessible au public</w:t>
      </w:r>
      <w:r>
        <w:rPr>
          <w:color w:val="000000" w:themeColor="text1"/>
          <w:lang w:val="fr-FR"/>
        </w:rPr>
        <w:t xml:space="preserve"> et qu’un gardien assurait </w:t>
      </w:r>
      <w:r w:rsidRPr="00CE19C0">
        <w:rPr>
          <w:color w:val="000000" w:themeColor="text1"/>
          <w:lang w:val="fr-FR"/>
        </w:rPr>
        <w:t>que la porte d</w:t>
      </w:r>
      <w:r>
        <w:rPr>
          <w:color w:val="000000" w:themeColor="text1"/>
          <w:lang w:val="fr-FR"/>
        </w:rPr>
        <w:t>’</w:t>
      </w:r>
      <w:r w:rsidRPr="00CE19C0">
        <w:rPr>
          <w:color w:val="000000" w:themeColor="text1"/>
          <w:lang w:val="fr-FR"/>
        </w:rPr>
        <w:t>entrée de l</w:t>
      </w:r>
      <w:r>
        <w:rPr>
          <w:color w:val="000000" w:themeColor="text1"/>
          <w:lang w:val="fr-FR"/>
        </w:rPr>
        <w:t>’</w:t>
      </w:r>
      <w:r w:rsidRPr="00CE19C0">
        <w:rPr>
          <w:color w:val="000000" w:themeColor="text1"/>
          <w:lang w:val="fr-FR"/>
        </w:rPr>
        <w:t>immeuble était ouverte en permanence</w:t>
      </w:r>
      <w:r w:rsidR="0076142A" w:rsidRPr="0076142A">
        <w:rPr>
          <w:color w:val="000000" w:themeColor="text1"/>
          <w:lang w:val="fr-FR"/>
        </w:rPr>
        <w:t>.</w:t>
      </w:r>
      <w:r w:rsidRPr="00CE19C0">
        <w:rPr>
          <w:color w:val="000000" w:themeColor="text1"/>
          <w:lang w:val="fr-FR"/>
        </w:rPr>
        <w:t xml:space="preserve"> L</w:t>
      </w:r>
      <w:r>
        <w:rPr>
          <w:color w:val="000000" w:themeColor="text1"/>
          <w:lang w:val="fr-FR"/>
        </w:rPr>
        <w:t>’État</w:t>
      </w:r>
      <w:r w:rsidRPr="00CE19C0">
        <w:rPr>
          <w:color w:val="000000" w:themeColor="text1"/>
          <w:lang w:val="fr-FR"/>
        </w:rPr>
        <w:t xml:space="preserve"> partie souligne en outre que le rôle de l</w:t>
      </w:r>
      <w:r>
        <w:rPr>
          <w:color w:val="000000" w:themeColor="text1"/>
          <w:lang w:val="fr-FR"/>
        </w:rPr>
        <w:t>’</w:t>
      </w:r>
      <w:r w:rsidRPr="00CE19C0">
        <w:rPr>
          <w:color w:val="000000" w:themeColor="text1"/>
          <w:lang w:val="fr-FR"/>
        </w:rPr>
        <w:t>audience du 20 novembre 2008 de la chambre disciplinaire avait bien été affiché huit jours avant la tenue de l</w:t>
      </w:r>
      <w:r>
        <w:rPr>
          <w:color w:val="000000" w:themeColor="text1"/>
          <w:lang w:val="fr-FR"/>
        </w:rPr>
        <w:t>’</w:t>
      </w:r>
      <w:r w:rsidRPr="00CE19C0">
        <w:rPr>
          <w:color w:val="000000" w:themeColor="text1"/>
          <w:lang w:val="fr-FR"/>
        </w:rPr>
        <w:t>audience</w:t>
      </w:r>
      <w:r w:rsidR="0076142A" w:rsidRPr="0076142A">
        <w:rPr>
          <w:color w:val="000000" w:themeColor="text1"/>
          <w:lang w:val="fr-FR"/>
        </w:rPr>
        <w:t>.</w:t>
      </w:r>
      <w:r w:rsidRPr="00CE19C0">
        <w:rPr>
          <w:color w:val="000000" w:themeColor="text1"/>
          <w:lang w:val="fr-FR"/>
        </w:rPr>
        <w:t xml:space="preserve"> </w:t>
      </w:r>
      <w:r w:rsidRPr="00451E4D">
        <w:rPr>
          <w:color w:val="000000" w:themeColor="text1"/>
          <w:lang w:val="fr-FR"/>
        </w:rPr>
        <w:t>En ce qui concerne l</w:t>
      </w:r>
      <w:r>
        <w:rPr>
          <w:color w:val="000000" w:themeColor="text1"/>
          <w:lang w:val="fr-FR"/>
        </w:rPr>
        <w:t>’</w:t>
      </w:r>
      <w:r w:rsidRPr="00451E4D">
        <w:rPr>
          <w:color w:val="000000" w:themeColor="text1"/>
          <w:lang w:val="fr-FR"/>
        </w:rPr>
        <w:t xml:space="preserve">accès à la </w:t>
      </w:r>
      <w:r>
        <w:rPr>
          <w:color w:val="000000" w:themeColor="text1"/>
          <w:lang w:val="fr-FR"/>
        </w:rPr>
        <w:t>C</w:t>
      </w:r>
      <w:r w:rsidRPr="00451E4D">
        <w:rPr>
          <w:color w:val="000000" w:themeColor="text1"/>
          <w:lang w:val="fr-FR"/>
        </w:rPr>
        <w:t>hambre disciplinaire nationale, située au 16 rue Spontini</w:t>
      </w:r>
      <w:r>
        <w:rPr>
          <w:color w:val="000000" w:themeColor="text1"/>
          <w:lang w:val="fr-FR"/>
        </w:rPr>
        <w:t>,</w:t>
      </w:r>
      <w:r w:rsidRPr="00451E4D">
        <w:rPr>
          <w:color w:val="000000" w:themeColor="text1"/>
          <w:lang w:val="fr-FR"/>
        </w:rPr>
        <w:t xml:space="preserve"> à Paris, l</w:t>
      </w:r>
      <w:r>
        <w:rPr>
          <w:color w:val="000000" w:themeColor="text1"/>
          <w:lang w:val="fr-FR"/>
        </w:rPr>
        <w:t>’État</w:t>
      </w:r>
      <w:r w:rsidRPr="00451E4D">
        <w:rPr>
          <w:color w:val="000000" w:themeColor="text1"/>
          <w:lang w:val="fr-FR"/>
        </w:rPr>
        <w:t xml:space="preserve"> partie précise que la porte d</w:t>
      </w:r>
      <w:r>
        <w:rPr>
          <w:color w:val="000000" w:themeColor="text1"/>
          <w:lang w:val="fr-FR"/>
        </w:rPr>
        <w:t>’</w:t>
      </w:r>
      <w:r w:rsidRPr="00451E4D">
        <w:rPr>
          <w:color w:val="000000" w:themeColor="text1"/>
          <w:lang w:val="fr-FR"/>
        </w:rPr>
        <w:t>entrée de l</w:t>
      </w:r>
      <w:r>
        <w:rPr>
          <w:color w:val="000000" w:themeColor="text1"/>
          <w:lang w:val="fr-FR"/>
        </w:rPr>
        <w:t>’</w:t>
      </w:r>
      <w:r w:rsidRPr="00451E4D">
        <w:rPr>
          <w:color w:val="000000" w:themeColor="text1"/>
          <w:lang w:val="fr-FR"/>
        </w:rPr>
        <w:t>immeuble est munie d</w:t>
      </w:r>
      <w:r>
        <w:rPr>
          <w:color w:val="000000" w:themeColor="text1"/>
          <w:lang w:val="fr-FR"/>
        </w:rPr>
        <w:t>’</w:t>
      </w:r>
      <w:r w:rsidRPr="00451E4D">
        <w:rPr>
          <w:color w:val="000000" w:themeColor="text1"/>
          <w:lang w:val="fr-FR"/>
        </w:rPr>
        <w:t>un bouton d</w:t>
      </w:r>
      <w:r>
        <w:rPr>
          <w:color w:val="000000" w:themeColor="text1"/>
          <w:lang w:val="fr-FR"/>
        </w:rPr>
        <w:t>’</w:t>
      </w:r>
      <w:r w:rsidRPr="00451E4D">
        <w:rPr>
          <w:color w:val="000000" w:themeColor="text1"/>
          <w:lang w:val="fr-FR"/>
        </w:rPr>
        <w:t>ouverture automatique et que la porte de l</w:t>
      </w:r>
      <w:r>
        <w:rPr>
          <w:color w:val="000000" w:themeColor="text1"/>
          <w:lang w:val="fr-FR"/>
        </w:rPr>
        <w:t>’</w:t>
      </w:r>
      <w:r w:rsidRPr="00451E4D">
        <w:rPr>
          <w:color w:val="000000" w:themeColor="text1"/>
          <w:lang w:val="fr-FR"/>
        </w:rPr>
        <w:t>escalier menant à la juridiction d</w:t>
      </w:r>
      <w:r>
        <w:rPr>
          <w:color w:val="000000" w:themeColor="text1"/>
          <w:lang w:val="fr-FR"/>
        </w:rPr>
        <w:t>’</w:t>
      </w:r>
      <w:r w:rsidRPr="00451E4D">
        <w:rPr>
          <w:color w:val="000000" w:themeColor="text1"/>
          <w:lang w:val="fr-FR"/>
        </w:rPr>
        <w:t>appel est munie d</w:t>
      </w:r>
      <w:r>
        <w:rPr>
          <w:color w:val="000000" w:themeColor="text1"/>
          <w:lang w:val="fr-FR"/>
        </w:rPr>
        <w:t>’</w:t>
      </w:r>
      <w:r w:rsidRPr="00451E4D">
        <w:rPr>
          <w:color w:val="000000" w:themeColor="text1"/>
          <w:lang w:val="fr-FR"/>
        </w:rPr>
        <w:t>un interphone</w:t>
      </w:r>
      <w:r w:rsidR="0076142A" w:rsidRPr="0076142A">
        <w:rPr>
          <w:color w:val="000000" w:themeColor="text1"/>
          <w:lang w:val="fr-FR"/>
        </w:rPr>
        <w:t>.</w:t>
      </w:r>
      <w:r w:rsidRPr="00451E4D">
        <w:rPr>
          <w:color w:val="000000" w:themeColor="text1"/>
          <w:lang w:val="fr-FR"/>
        </w:rPr>
        <w:t xml:space="preserve"> Les locaux sont toujours accessibles du début à la fin de l</w:t>
      </w:r>
      <w:r>
        <w:rPr>
          <w:color w:val="000000" w:themeColor="text1"/>
          <w:lang w:val="fr-FR"/>
        </w:rPr>
        <w:t>’</w:t>
      </w:r>
      <w:r w:rsidRPr="00451E4D">
        <w:rPr>
          <w:color w:val="000000" w:themeColor="text1"/>
          <w:lang w:val="fr-FR"/>
        </w:rPr>
        <w:t>audience</w:t>
      </w:r>
      <w:r>
        <w:rPr>
          <w:color w:val="000000" w:themeColor="text1"/>
          <w:lang w:val="fr-FR"/>
        </w:rPr>
        <w:t>, et</w:t>
      </w:r>
      <w:r w:rsidRPr="00451E4D">
        <w:rPr>
          <w:color w:val="000000" w:themeColor="text1"/>
          <w:lang w:val="fr-FR"/>
        </w:rPr>
        <w:t xml:space="preserve"> </w:t>
      </w:r>
      <w:r>
        <w:rPr>
          <w:color w:val="000000" w:themeColor="text1"/>
          <w:lang w:val="fr-FR"/>
        </w:rPr>
        <w:t>u</w:t>
      </w:r>
      <w:r w:rsidRPr="00451E4D">
        <w:rPr>
          <w:color w:val="000000" w:themeColor="text1"/>
          <w:lang w:val="fr-FR"/>
        </w:rPr>
        <w:t>n</w:t>
      </w:r>
      <w:r>
        <w:rPr>
          <w:color w:val="000000" w:themeColor="text1"/>
          <w:lang w:val="fr-FR"/>
        </w:rPr>
        <w:t xml:space="preserve"> ou un</w:t>
      </w:r>
      <w:r w:rsidRPr="00451E4D">
        <w:rPr>
          <w:color w:val="000000" w:themeColor="text1"/>
          <w:lang w:val="fr-FR"/>
        </w:rPr>
        <w:t xml:space="preserve">e secrétaire </w:t>
      </w:r>
      <w:r>
        <w:rPr>
          <w:color w:val="000000" w:themeColor="text1"/>
          <w:lang w:val="fr-FR"/>
        </w:rPr>
        <w:t>s’</w:t>
      </w:r>
      <w:r w:rsidRPr="00451E4D">
        <w:rPr>
          <w:color w:val="000000" w:themeColor="text1"/>
          <w:lang w:val="fr-FR"/>
        </w:rPr>
        <w:t xml:space="preserve">y </w:t>
      </w:r>
      <w:r>
        <w:rPr>
          <w:color w:val="000000" w:themeColor="text1"/>
          <w:lang w:val="fr-FR"/>
        </w:rPr>
        <w:t>trouve</w:t>
      </w:r>
      <w:r w:rsidRPr="00451E4D">
        <w:rPr>
          <w:color w:val="000000" w:themeColor="text1"/>
          <w:lang w:val="fr-FR"/>
        </w:rPr>
        <w:t xml:space="preserve"> en permanence</w:t>
      </w:r>
      <w:r w:rsidR="0076142A" w:rsidRPr="0076142A">
        <w:rPr>
          <w:color w:val="000000" w:themeColor="text1"/>
          <w:lang w:val="fr-FR"/>
        </w:rPr>
        <w:t>.</w:t>
      </w:r>
      <w:r w:rsidRPr="00451E4D">
        <w:rPr>
          <w:color w:val="000000" w:themeColor="text1"/>
          <w:lang w:val="fr-FR"/>
        </w:rPr>
        <w:t xml:space="preserve"> L</w:t>
      </w:r>
      <w:r>
        <w:rPr>
          <w:color w:val="000000" w:themeColor="text1"/>
          <w:lang w:val="fr-FR"/>
        </w:rPr>
        <w:t>’État</w:t>
      </w:r>
      <w:r w:rsidRPr="00451E4D">
        <w:rPr>
          <w:color w:val="000000" w:themeColor="text1"/>
          <w:lang w:val="fr-FR"/>
        </w:rPr>
        <w:t xml:space="preserve"> partie rappelle que le rôle de l</w:t>
      </w:r>
      <w:r>
        <w:rPr>
          <w:color w:val="000000" w:themeColor="text1"/>
          <w:lang w:val="fr-FR"/>
        </w:rPr>
        <w:t>’</w:t>
      </w:r>
      <w:r w:rsidRPr="00451E4D">
        <w:rPr>
          <w:color w:val="000000" w:themeColor="text1"/>
          <w:lang w:val="fr-FR"/>
        </w:rPr>
        <w:t>audience a été affiché huit jours avant la tenue de l</w:t>
      </w:r>
      <w:r>
        <w:rPr>
          <w:color w:val="000000" w:themeColor="text1"/>
          <w:lang w:val="fr-FR"/>
        </w:rPr>
        <w:t>’</w:t>
      </w:r>
      <w:r w:rsidRPr="00451E4D">
        <w:rPr>
          <w:color w:val="000000" w:themeColor="text1"/>
          <w:lang w:val="fr-FR"/>
        </w:rPr>
        <w:t>audience</w:t>
      </w:r>
      <w:r w:rsidR="0076142A" w:rsidRPr="0076142A">
        <w:rPr>
          <w:color w:val="000000" w:themeColor="text1"/>
          <w:lang w:val="fr-FR"/>
        </w:rPr>
        <w:t>.</w:t>
      </w:r>
    </w:p>
    <w:p w14:paraId="39963B07" w14:textId="240AA024" w:rsidR="002973E4" w:rsidRPr="00451E4D" w:rsidRDefault="002973E4" w:rsidP="002973E4">
      <w:pPr>
        <w:pStyle w:val="SingleTxtG"/>
        <w:tabs>
          <w:tab w:val="left" w:pos="567"/>
        </w:tabs>
        <w:rPr>
          <w:color w:val="000000" w:themeColor="text1"/>
          <w:lang w:val="fr-FR"/>
        </w:rPr>
      </w:pPr>
      <w:r>
        <w:rPr>
          <w:color w:val="000000" w:themeColor="text1"/>
          <w:lang w:val="fr-FR"/>
        </w:rPr>
        <w:t>4</w:t>
      </w:r>
      <w:r w:rsidR="0076142A" w:rsidRPr="0076142A">
        <w:rPr>
          <w:color w:val="000000" w:themeColor="text1"/>
          <w:lang w:val="fr-FR"/>
        </w:rPr>
        <w:t>.</w:t>
      </w:r>
      <w:r>
        <w:rPr>
          <w:color w:val="000000" w:themeColor="text1"/>
          <w:lang w:val="fr-FR"/>
        </w:rPr>
        <w:t>5</w:t>
      </w:r>
      <w:r>
        <w:rPr>
          <w:color w:val="000000" w:themeColor="text1"/>
          <w:lang w:val="fr-FR"/>
        </w:rPr>
        <w:tab/>
      </w:r>
      <w:r w:rsidRPr="00CE19C0">
        <w:rPr>
          <w:color w:val="000000" w:themeColor="text1"/>
          <w:lang w:val="fr-FR"/>
        </w:rPr>
        <w:t>L</w:t>
      </w:r>
      <w:r>
        <w:rPr>
          <w:color w:val="000000" w:themeColor="text1"/>
          <w:lang w:val="fr-FR"/>
        </w:rPr>
        <w:t>’État</w:t>
      </w:r>
      <w:r w:rsidRPr="00CE19C0">
        <w:rPr>
          <w:color w:val="000000" w:themeColor="text1"/>
          <w:lang w:val="fr-FR"/>
        </w:rPr>
        <w:t xml:space="preserve"> partie fait valoir que, tant dans la décision du 18 mars 2010 que dans celle rendue sur renvoi du Conseil d</w:t>
      </w:r>
      <w:r>
        <w:rPr>
          <w:color w:val="000000" w:themeColor="text1"/>
          <w:lang w:val="fr-FR"/>
        </w:rPr>
        <w:t>’État</w:t>
      </w:r>
      <w:r w:rsidRPr="00CE19C0">
        <w:rPr>
          <w:color w:val="000000" w:themeColor="text1"/>
          <w:lang w:val="fr-FR"/>
        </w:rPr>
        <w:t xml:space="preserve"> le 24 octobre 2011, il est fait mention du caractère public des audiences du 3 décembre 2009 et du 13 octobre 2011</w:t>
      </w:r>
      <w:r>
        <w:rPr>
          <w:color w:val="000000" w:themeColor="text1"/>
          <w:lang w:val="fr-FR"/>
        </w:rPr>
        <w:t>,</w:t>
      </w:r>
      <w:r w:rsidRPr="00CE19C0">
        <w:rPr>
          <w:color w:val="000000" w:themeColor="text1"/>
          <w:lang w:val="fr-FR"/>
        </w:rPr>
        <w:t xml:space="preserve"> au cours desquelles l</w:t>
      </w:r>
      <w:r>
        <w:rPr>
          <w:color w:val="000000" w:themeColor="text1"/>
          <w:lang w:val="fr-FR"/>
        </w:rPr>
        <w:t>’</w:t>
      </w:r>
      <w:r w:rsidRPr="00CE19C0">
        <w:rPr>
          <w:color w:val="000000" w:themeColor="text1"/>
          <w:lang w:val="fr-FR"/>
        </w:rPr>
        <w:t>appel de l</w:t>
      </w:r>
      <w:r>
        <w:rPr>
          <w:color w:val="000000" w:themeColor="text1"/>
          <w:lang w:val="fr-FR"/>
        </w:rPr>
        <w:t>’</w:t>
      </w:r>
      <w:r w:rsidRPr="00CE19C0">
        <w:rPr>
          <w:color w:val="000000" w:themeColor="text1"/>
          <w:lang w:val="fr-FR"/>
        </w:rPr>
        <w:t>auteur a été examiné</w:t>
      </w:r>
      <w:r w:rsidR="0076142A" w:rsidRPr="0076142A">
        <w:rPr>
          <w:color w:val="000000" w:themeColor="text1"/>
          <w:lang w:val="fr-FR"/>
        </w:rPr>
        <w:t>.</w:t>
      </w:r>
      <w:r w:rsidRPr="00CE19C0">
        <w:rPr>
          <w:color w:val="000000" w:themeColor="text1"/>
          <w:lang w:val="fr-FR"/>
        </w:rPr>
        <w:t xml:space="preserve"> L</w:t>
      </w:r>
      <w:r>
        <w:rPr>
          <w:color w:val="000000" w:themeColor="text1"/>
          <w:lang w:val="fr-FR"/>
        </w:rPr>
        <w:t>’</w:t>
      </w:r>
      <w:r w:rsidRPr="00CE19C0">
        <w:rPr>
          <w:color w:val="000000" w:themeColor="text1"/>
          <w:lang w:val="fr-FR"/>
        </w:rPr>
        <w:t>auteur, qui n</w:t>
      </w:r>
      <w:r>
        <w:rPr>
          <w:color w:val="000000" w:themeColor="text1"/>
          <w:lang w:val="fr-FR"/>
        </w:rPr>
        <w:t>’</w:t>
      </w:r>
      <w:r w:rsidRPr="00CE19C0">
        <w:rPr>
          <w:color w:val="000000" w:themeColor="text1"/>
          <w:lang w:val="fr-FR"/>
        </w:rPr>
        <w:t xml:space="preserve">était ni présent ni représenté </w:t>
      </w:r>
      <w:r>
        <w:rPr>
          <w:color w:val="000000" w:themeColor="text1"/>
          <w:lang w:val="fr-FR"/>
        </w:rPr>
        <w:t>lors</w:t>
      </w:r>
      <w:r w:rsidRPr="00CE19C0">
        <w:rPr>
          <w:color w:val="000000" w:themeColor="text1"/>
          <w:lang w:val="fr-FR"/>
        </w:rPr>
        <w:t xml:space="preserve"> de la première audience</w:t>
      </w:r>
      <w:r>
        <w:rPr>
          <w:color w:val="000000" w:themeColor="text1"/>
          <w:lang w:val="fr-FR"/>
        </w:rPr>
        <w:t>,</w:t>
      </w:r>
      <w:r w:rsidRPr="00CE19C0">
        <w:rPr>
          <w:color w:val="000000" w:themeColor="text1"/>
          <w:lang w:val="fr-FR"/>
        </w:rPr>
        <w:t xml:space="preserve"> était en revanche représenté </w:t>
      </w:r>
      <w:r>
        <w:rPr>
          <w:color w:val="000000" w:themeColor="text1"/>
          <w:lang w:val="fr-FR"/>
        </w:rPr>
        <w:t>lors</w:t>
      </w:r>
      <w:r w:rsidRPr="00CE19C0">
        <w:rPr>
          <w:color w:val="000000" w:themeColor="text1"/>
          <w:lang w:val="fr-FR"/>
        </w:rPr>
        <w:t xml:space="preserve"> de la deuxième audience par son conseil</w:t>
      </w:r>
      <w:r>
        <w:rPr>
          <w:color w:val="000000" w:themeColor="text1"/>
          <w:lang w:val="fr-FR"/>
        </w:rPr>
        <w:t>,</w:t>
      </w:r>
      <w:r w:rsidRPr="00CE19C0">
        <w:rPr>
          <w:color w:val="000000" w:themeColor="text1"/>
          <w:lang w:val="fr-FR"/>
        </w:rPr>
        <w:t xml:space="preserve"> qui a formulé des observations sans contester le caractère public de l</w:t>
      </w:r>
      <w:r>
        <w:rPr>
          <w:color w:val="000000" w:themeColor="text1"/>
          <w:lang w:val="fr-FR"/>
        </w:rPr>
        <w:t>’</w:t>
      </w:r>
      <w:r w:rsidRPr="00CE19C0">
        <w:rPr>
          <w:color w:val="000000" w:themeColor="text1"/>
          <w:lang w:val="fr-FR"/>
        </w:rPr>
        <w:t>audience</w:t>
      </w:r>
      <w:r w:rsidR="0076142A" w:rsidRPr="0076142A">
        <w:rPr>
          <w:color w:val="000000" w:themeColor="text1"/>
          <w:lang w:val="fr-FR"/>
        </w:rPr>
        <w:t>.</w:t>
      </w:r>
      <w:r w:rsidRPr="00CE19C0">
        <w:rPr>
          <w:color w:val="000000" w:themeColor="text1"/>
          <w:lang w:val="fr-FR"/>
        </w:rPr>
        <w:t xml:space="preserve"> </w:t>
      </w:r>
      <w:r w:rsidRPr="00451E4D">
        <w:rPr>
          <w:color w:val="000000" w:themeColor="text1"/>
          <w:lang w:val="fr-FR"/>
        </w:rPr>
        <w:t>L</w:t>
      </w:r>
      <w:r>
        <w:rPr>
          <w:color w:val="000000" w:themeColor="text1"/>
          <w:lang w:val="fr-FR"/>
        </w:rPr>
        <w:t>’État</w:t>
      </w:r>
      <w:r w:rsidRPr="00451E4D">
        <w:rPr>
          <w:color w:val="000000" w:themeColor="text1"/>
          <w:lang w:val="fr-FR"/>
        </w:rPr>
        <w:t xml:space="preserve"> partie souligne que si, comme le soulève l</w:t>
      </w:r>
      <w:r>
        <w:rPr>
          <w:color w:val="000000" w:themeColor="text1"/>
          <w:lang w:val="fr-FR"/>
        </w:rPr>
        <w:t>’</w:t>
      </w:r>
      <w:r w:rsidRPr="00451E4D">
        <w:rPr>
          <w:color w:val="000000" w:themeColor="text1"/>
          <w:lang w:val="fr-FR"/>
        </w:rPr>
        <w:t>auteur, la chambre disciplinaire n</w:t>
      </w:r>
      <w:r>
        <w:rPr>
          <w:color w:val="000000" w:themeColor="text1"/>
          <w:lang w:val="fr-FR"/>
        </w:rPr>
        <w:t>’</w:t>
      </w:r>
      <w:r w:rsidRPr="00451E4D">
        <w:rPr>
          <w:color w:val="000000" w:themeColor="text1"/>
          <w:lang w:val="fr-FR"/>
        </w:rPr>
        <w:t>a</w:t>
      </w:r>
      <w:r>
        <w:rPr>
          <w:color w:val="000000" w:themeColor="text1"/>
          <w:lang w:val="fr-FR"/>
        </w:rPr>
        <w:t xml:space="preserve"> pas examiné</w:t>
      </w:r>
      <w:r w:rsidRPr="00451E4D">
        <w:rPr>
          <w:color w:val="000000" w:themeColor="text1"/>
          <w:lang w:val="fr-FR"/>
        </w:rPr>
        <w:t>, sur renvoi du Conseil d</w:t>
      </w:r>
      <w:r>
        <w:rPr>
          <w:color w:val="000000" w:themeColor="text1"/>
          <w:lang w:val="fr-FR"/>
        </w:rPr>
        <w:t>’État</w:t>
      </w:r>
      <w:r w:rsidRPr="00451E4D">
        <w:rPr>
          <w:color w:val="000000" w:themeColor="text1"/>
          <w:lang w:val="fr-FR"/>
        </w:rPr>
        <w:t>, les griefs relatifs au bien-fondé de la sanction prononcée en première instance contre l</w:t>
      </w:r>
      <w:r>
        <w:rPr>
          <w:color w:val="000000" w:themeColor="text1"/>
          <w:lang w:val="fr-FR"/>
        </w:rPr>
        <w:t>’</w:t>
      </w:r>
      <w:r w:rsidRPr="00451E4D">
        <w:rPr>
          <w:color w:val="000000" w:themeColor="text1"/>
          <w:lang w:val="fr-FR"/>
        </w:rPr>
        <w:t>auteur, c</w:t>
      </w:r>
      <w:r>
        <w:rPr>
          <w:color w:val="000000" w:themeColor="text1"/>
          <w:lang w:val="fr-FR"/>
        </w:rPr>
        <w:t>’</w:t>
      </w:r>
      <w:r w:rsidRPr="00451E4D">
        <w:rPr>
          <w:color w:val="000000" w:themeColor="text1"/>
          <w:lang w:val="fr-FR"/>
        </w:rPr>
        <w:t>est uniquement en raison du fait, relevé par le Conseil d</w:t>
      </w:r>
      <w:r>
        <w:rPr>
          <w:color w:val="000000" w:themeColor="text1"/>
          <w:lang w:val="fr-FR"/>
        </w:rPr>
        <w:t>’État</w:t>
      </w:r>
      <w:r w:rsidRPr="00451E4D">
        <w:rPr>
          <w:color w:val="000000" w:themeColor="text1"/>
          <w:lang w:val="fr-FR"/>
        </w:rPr>
        <w:t xml:space="preserve"> dans sa décision du 27 juin 2011, qu</w:t>
      </w:r>
      <w:r>
        <w:rPr>
          <w:color w:val="000000" w:themeColor="text1"/>
          <w:lang w:val="fr-FR"/>
        </w:rPr>
        <w:t>’</w:t>
      </w:r>
      <w:r w:rsidRPr="00451E4D">
        <w:rPr>
          <w:color w:val="000000" w:themeColor="text1"/>
          <w:lang w:val="fr-FR"/>
        </w:rPr>
        <w:t xml:space="preserve">ils </w:t>
      </w:r>
      <w:r>
        <w:rPr>
          <w:color w:val="000000" w:themeColor="text1"/>
          <w:lang w:val="fr-FR"/>
        </w:rPr>
        <w:t>avaient</w:t>
      </w:r>
      <w:r w:rsidRPr="00451E4D">
        <w:rPr>
          <w:color w:val="000000" w:themeColor="text1"/>
          <w:lang w:val="fr-FR"/>
        </w:rPr>
        <w:t xml:space="preserve"> été soulevés tardivement</w:t>
      </w:r>
      <w:r w:rsidR="0076142A" w:rsidRPr="0076142A">
        <w:rPr>
          <w:color w:val="000000" w:themeColor="text1"/>
          <w:lang w:val="fr-FR"/>
        </w:rPr>
        <w:t>.</w:t>
      </w:r>
      <w:r w:rsidRPr="00451E4D">
        <w:rPr>
          <w:color w:val="000000" w:themeColor="text1"/>
          <w:lang w:val="fr-FR"/>
        </w:rPr>
        <w:t xml:space="preserve"> </w:t>
      </w:r>
    </w:p>
    <w:p w14:paraId="536358D4" w14:textId="6387F074" w:rsidR="002973E4" w:rsidRPr="00CE19C0" w:rsidRDefault="002973E4" w:rsidP="002973E4">
      <w:pPr>
        <w:pStyle w:val="SingleTxtG"/>
        <w:tabs>
          <w:tab w:val="left" w:pos="567"/>
        </w:tabs>
        <w:rPr>
          <w:color w:val="000000" w:themeColor="text1"/>
          <w:lang w:val="fr-FR"/>
        </w:rPr>
      </w:pPr>
      <w:r>
        <w:rPr>
          <w:color w:val="000000" w:themeColor="text1"/>
          <w:lang w:val="fr-FR"/>
        </w:rPr>
        <w:t>4</w:t>
      </w:r>
      <w:r w:rsidR="0076142A" w:rsidRPr="0076142A">
        <w:rPr>
          <w:color w:val="000000" w:themeColor="text1"/>
          <w:lang w:val="fr-FR"/>
        </w:rPr>
        <w:t>.</w:t>
      </w:r>
      <w:r>
        <w:rPr>
          <w:color w:val="000000" w:themeColor="text1"/>
          <w:lang w:val="fr-FR"/>
        </w:rPr>
        <w:t>6</w:t>
      </w:r>
      <w:r>
        <w:rPr>
          <w:color w:val="000000" w:themeColor="text1"/>
          <w:lang w:val="fr-FR"/>
        </w:rPr>
        <w:tab/>
      </w:r>
      <w:r w:rsidRPr="00CE19C0">
        <w:rPr>
          <w:color w:val="000000" w:themeColor="text1"/>
          <w:lang w:val="fr-FR"/>
        </w:rPr>
        <w:t>L</w:t>
      </w:r>
      <w:r>
        <w:rPr>
          <w:color w:val="000000" w:themeColor="text1"/>
          <w:lang w:val="fr-FR"/>
        </w:rPr>
        <w:t>’État</w:t>
      </w:r>
      <w:r w:rsidRPr="00CE19C0">
        <w:rPr>
          <w:color w:val="000000" w:themeColor="text1"/>
          <w:lang w:val="fr-FR"/>
        </w:rPr>
        <w:t xml:space="preserve"> partie rejette l</w:t>
      </w:r>
      <w:r>
        <w:rPr>
          <w:color w:val="000000" w:themeColor="text1"/>
          <w:lang w:val="fr-FR"/>
        </w:rPr>
        <w:t>’</w:t>
      </w:r>
      <w:r w:rsidRPr="00CE19C0">
        <w:rPr>
          <w:color w:val="000000" w:themeColor="text1"/>
          <w:lang w:val="fr-FR"/>
        </w:rPr>
        <w:t>argument selon lequel l</w:t>
      </w:r>
      <w:r>
        <w:rPr>
          <w:color w:val="000000" w:themeColor="text1"/>
          <w:lang w:val="fr-FR"/>
        </w:rPr>
        <w:t>’</w:t>
      </w:r>
      <w:r w:rsidRPr="00CE19C0">
        <w:rPr>
          <w:color w:val="000000" w:themeColor="text1"/>
          <w:lang w:val="fr-FR"/>
        </w:rPr>
        <w:t>audience du Conseil d</w:t>
      </w:r>
      <w:r>
        <w:rPr>
          <w:color w:val="000000" w:themeColor="text1"/>
          <w:lang w:val="fr-FR"/>
        </w:rPr>
        <w:t>’État</w:t>
      </w:r>
      <w:r w:rsidRPr="00CE19C0">
        <w:rPr>
          <w:color w:val="000000" w:themeColor="text1"/>
          <w:lang w:val="fr-FR"/>
        </w:rPr>
        <w:t xml:space="preserve"> sur le pourvoi de l</w:t>
      </w:r>
      <w:r>
        <w:rPr>
          <w:color w:val="000000" w:themeColor="text1"/>
          <w:lang w:val="fr-FR"/>
        </w:rPr>
        <w:t>’</w:t>
      </w:r>
      <w:r w:rsidRPr="00CE19C0">
        <w:rPr>
          <w:color w:val="000000" w:themeColor="text1"/>
          <w:lang w:val="fr-FR"/>
        </w:rPr>
        <w:t>auteur n</w:t>
      </w:r>
      <w:r>
        <w:rPr>
          <w:color w:val="000000" w:themeColor="text1"/>
          <w:lang w:val="fr-FR"/>
        </w:rPr>
        <w:t>’</w:t>
      </w:r>
      <w:r w:rsidRPr="00CE19C0">
        <w:rPr>
          <w:color w:val="000000" w:themeColor="text1"/>
          <w:lang w:val="fr-FR"/>
        </w:rPr>
        <w:t>était pas publique</w:t>
      </w:r>
      <w:r w:rsidR="0076142A" w:rsidRPr="0076142A">
        <w:rPr>
          <w:color w:val="000000" w:themeColor="text1"/>
          <w:lang w:val="fr-FR"/>
        </w:rPr>
        <w:t>.</w:t>
      </w:r>
      <w:r w:rsidRPr="00CE19C0">
        <w:rPr>
          <w:color w:val="000000" w:themeColor="text1"/>
          <w:lang w:val="fr-FR"/>
        </w:rPr>
        <w:t xml:space="preserve"> Il fait valoir que la première décision du Conseil d</w:t>
      </w:r>
      <w:r>
        <w:rPr>
          <w:color w:val="000000" w:themeColor="text1"/>
          <w:lang w:val="fr-FR"/>
        </w:rPr>
        <w:t>’État</w:t>
      </w:r>
      <w:r w:rsidRPr="00CE19C0">
        <w:rPr>
          <w:color w:val="000000" w:themeColor="text1"/>
          <w:lang w:val="fr-FR"/>
        </w:rPr>
        <w:t>, rendue le 27 juin 2011, a été précédée d</w:t>
      </w:r>
      <w:r>
        <w:rPr>
          <w:color w:val="000000" w:themeColor="text1"/>
          <w:lang w:val="fr-FR"/>
        </w:rPr>
        <w:t>’</w:t>
      </w:r>
      <w:r w:rsidRPr="00CE19C0">
        <w:rPr>
          <w:color w:val="000000" w:themeColor="text1"/>
          <w:lang w:val="fr-FR"/>
        </w:rPr>
        <w:t>une séance publique, le 25 mai 201</w:t>
      </w:r>
      <w:r>
        <w:rPr>
          <w:color w:val="000000" w:themeColor="text1"/>
          <w:lang w:val="fr-FR"/>
        </w:rPr>
        <w:t>1</w:t>
      </w:r>
      <w:r w:rsidR="0076142A" w:rsidRPr="0076142A">
        <w:rPr>
          <w:color w:val="000000" w:themeColor="text1"/>
          <w:lang w:val="fr-FR"/>
        </w:rPr>
        <w:t>.</w:t>
      </w:r>
      <w:r w:rsidRPr="00CE19C0">
        <w:rPr>
          <w:color w:val="000000" w:themeColor="text1"/>
          <w:lang w:val="fr-FR"/>
        </w:rPr>
        <w:t xml:space="preserve"> Aussi bien au cours de cette audience que dans celle précédant la décision du Conseil d</w:t>
      </w:r>
      <w:r>
        <w:rPr>
          <w:color w:val="000000" w:themeColor="text1"/>
          <w:lang w:val="fr-FR"/>
        </w:rPr>
        <w:t>’État</w:t>
      </w:r>
      <w:r w:rsidRPr="00CE19C0">
        <w:rPr>
          <w:color w:val="000000" w:themeColor="text1"/>
          <w:lang w:val="fr-FR"/>
        </w:rPr>
        <w:t xml:space="preserve"> du 4</w:t>
      </w:r>
      <w:r w:rsidR="001C29B1">
        <w:rPr>
          <w:color w:val="000000" w:themeColor="text1"/>
          <w:lang w:val="fr-FR"/>
        </w:rPr>
        <w:t> </w:t>
      </w:r>
      <w:r w:rsidRPr="00CE19C0">
        <w:rPr>
          <w:color w:val="000000" w:themeColor="text1"/>
          <w:lang w:val="fr-FR"/>
        </w:rPr>
        <w:t>avril 2012, l</w:t>
      </w:r>
      <w:r>
        <w:rPr>
          <w:color w:val="000000" w:themeColor="text1"/>
          <w:lang w:val="fr-FR"/>
        </w:rPr>
        <w:t>’</w:t>
      </w:r>
      <w:r w:rsidRPr="00CE19C0">
        <w:rPr>
          <w:color w:val="000000" w:themeColor="text1"/>
          <w:lang w:val="fr-FR"/>
        </w:rPr>
        <w:t>avocat de l</w:t>
      </w:r>
      <w:r>
        <w:rPr>
          <w:color w:val="000000" w:themeColor="text1"/>
          <w:lang w:val="fr-FR"/>
        </w:rPr>
        <w:t>’</w:t>
      </w:r>
      <w:r w:rsidRPr="00CE19C0">
        <w:rPr>
          <w:color w:val="000000" w:themeColor="text1"/>
          <w:lang w:val="fr-FR"/>
        </w:rPr>
        <w:t>auteur a pu produire ses observations ainsi qu</w:t>
      </w:r>
      <w:r>
        <w:rPr>
          <w:color w:val="000000" w:themeColor="text1"/>
          <w:lang w:val="fr-FR"/>
        </w:rPr>
        <w:t>’</w:t>
      </w:r>
      <w:r w:rsidRPr="00CE19C0">
        <w:rPr>
          <w:color w:val="000000" w:themeColor="text1"/>
          <w:lang w:val="fr-FR"/>
        </w:rPr>
        <w:t>une note en délibéré après la lecture des conclusions du rapporteur public</w:t>
      </w:r>
      <w:r w:rsidR="0076142A" w:rsidRPr="0076142A">
        <w:rPr>
          <w:color w:val="000000" w:themeColor="text1"/>
          <w:lang w:val="fr-FR"/>
        </w:rPr>
        <w:t>.</w:t>
      </w:r>
      <w:r w:rsidRPr="00CE19C0">
        <w:rPr>
          <w:color w:val="000000" w:themeColor="text1"/>
          <w:lang w:val="fr-FR"/>
        </w:rPr>
        <w:t xml:space="preserve"> En conséquence, l</w:t>
      </w:r>
      <w:r>
        <w:rPr>
          <w:color w:val="000000" w:themeColor="text1"/>
          <w:lang w:val="fr-FR"/>
        </w:rPr>
        <w:t>’État</w:t>
      </w:r>
      <w:r w:rsidRPr="00CE19C0">
        <w:rPr>
          <w:color w:val="000000" w:themeColor="text1"/>
          <w:lang w:val="fr-FR"/>
        </w:rPr>
        <w:t xml:space="preserve"> partie </w:t>
      </w:r>
      <w:r>
        <w:rPr>
          <w:color w:val="000000" w:themeColor="text1"/>
          <w:lang w:val="fr-FR"/>
        </w:rPr>
        <w:t>soutient</w:t>
      </w:r>
      <w:r w:rsidRPr="00CE19C0">
        <w:rPr>
          <w:color w:val="000000" w:themeColor="text1"/>
          <w:lang w:val="fr-FR"/>
        </w:rPr>
        <w:t xml:space="preserve"> que l</w:t>
      </w:r>
      <w:r>
        <w:rPr>
          <w:color w:val="000000" w:themeColor="text1"/>
          <w:lang w:val="fr-FR"/>
        </w:rPr>
        <w:t>’</w:t>
      </w:r>
      <w:r w:rsidRPr="00CE19C0">
        <w:rPr>
          <w:color w:val="000000" w:themeColor="text1"/>
          <w:lang w:val="fr-FR"/>
        </w:rPr>
        <w:t>auteur a bénéficié de la garantie tenant à ce que son affaire soit examinée publiquement à toutes les étapes de la procédure</w:t>
      </w:r>
      <w:r w:rsidR="0076142A" w:rsidRPr="0076142A">
        <w:rPr>
          <w:color w:val="000000" w:themeColor="text1"/>
          <w:lang w:val="fr-FR"/>
        </w:rPr>
        <w:t>.</w:t>
      </w:r>
    </w:p>
    <w:p w14:paraId="25539C54" w14:textId="30778756" w:rsidR="002973E4" w:rsidRPr="00CE19C0" w:rsidRDefault="002973E4" w:rsidP="002973E4">
      <w:pPr>
        <w:pStyle w:val="SingleTxtG"/>
        <w:tabs>
          <w:tab w:val="left" w:pos="567"/>
        </w:tabs>
        <w:rPr>
          <w:rFonts w:eastAsia="Times New Roman"/>
          <w:color w:val="000000"/>
          <w:lang w:eastAsia="en-GB"/>
        </w:rPr>
      </w:pPr>
      <w:r>
        <w:rPr>
          <w:color w:val="000000" w:themeColor="text1"/>
          <w:lang w:val="fr-FR"/>
        </w:rPr>
        <w:t>4</w:t>
      </w:r>
      <w:r w:rsidR="0076142A" w:rsidRPr="0076142A">
        <w:rPr>
          <w:color w:val="000000" w:themeColor="text1"/>
          <w:lang w:val="fr-FR"/>
        </w:rPr>
        <w:t>.</w:t>
      </w:r>
      <w:r>
        <w:rPr>
          <w:color w:val="000000" w:themeColor="text1"/>
          <w:lang w:val="fr-FR"/>
        </w:rPr>
        <w:t>7</w:t>
      </w:r>
      <w:r>
        <w:rPr>
          <w:color w:val="000000" w:themeColor="text1"/>
          <w:lang w:val="fr-FR"/>
        </w:rPr>
        <w:tab/>
      </w:r>
      <w:r w:rsidRPr="00CE19C0">
        <w:rPr>
          <w:color w:val="000000" w:themeColor="text1"/>
          <w:lang w:val="fr-FR"/>
        </w:rPr>
        <w:t xml:space="preserve">En ce qui concerne </w:t>
      </w:r>
      <w:r w:rsidRPr="00CE19C0">
        <w:rPr>
          <w:rFonts w:eastAsia="Times New Roman"/>
          <w:color w:val="000000"/>
          <w:lang w:val="fr-FR" w:eastAsia="en-GB"/>
        </w:rPr>
        <w:t>le bien-fondé du grief tiré du défaut d</w:t>
      </w:r>
      <w:r>
        <w:rPr>
          <w:rFonts w:eastAsia="Times New Roman"/>
          <w:color w:val="000000"/>
          <w:lang w:val="fr-FR" w:eastAsia="en-GB"/>
        </w:rPr>
        <w:t>’</w:t>
      </w:r>
      <w:r w:rsidRPr="00CE19C0">
        <w:rPr>
          <w:rFonts w:eastAsia="Times New Roman"/>
          <w:color w:val="000000"/>
          <w:lang w:val="fr-FR" w:eastAsia="en-GB"/>
        </w:rPr>
        <w:t>indépendance et d</w:t>
      </w:r>
      <w:r>
        <w:rPr>
          <w:rFonts w:eastAsia="Times New Roman"/>
          <w:color w:val="000000"/>
          <w:lang w:val="fr-FR" w:eastAsia="en-GB"/>
        </w:rPr>
        <w:t>’</w:t>
      </w:r>
      <w:r w:rsidRPr="00CE19C0">
        <w:rPr>
          <w:rFonts w:eastAsia="Times New Roman"/>
          <w:color w:val="000000"/>
          <w:lang w:val="fr-FR" w:eastAsia="en-GB"/>
        </w:rPr>
        <w:t>impartialité des juridictions ordinales, l</w:t>
      </w:r>
      <w:r>
        <w:rPr>
          <w:rFonts w:eastAsia="Times New Roman"/>
          <w:color w:val="000000"/>
          <w:lang w:val="fr-FR" w:eastAsia="en-GB"/>
        </w:rPr>
        <w:t>’État</w:t>
      </w:r>
      <w:r w:rsidRPr="00CE19C0">
        <w:rPr>
          <w:rFonts w:eastAsia="Times New Roman"/>
          <w:color w:val="000000"/>
          <w:lang w:val="fr-FR" w:eastAsia="en-GB"/>
        </w:rPr>
        <w:t xml:space="preserve"> partie </w:t>
      </w:r>
      <w:r>
        <w:rPr>
          <w:rFonts w:eastAsia="Times New Roman"/>
          <w:color w:val="000000"/>
          <w:lang w:val="fr-FR" w:eastAsia="en-GB"/>
        </w:rPr>
        <w:t>indique</w:t>
      </w:r>
      <w:r w:rsidRPr="00CE19C0">
        <w:rPr>
          <w:rFonts w:eastAsia="Times New Roman"/>
          <w:color w:val="000000"/>
          <w:lang w:val="fr-FR" w:eastAsia="en-GB"/>
        </w:rPr>
        <w:t xml:space="preserve"> que les membres de ces juridictions, qui </w:t>
      </w:r>
      <w:r w:rsidRPr="001E07B7">
        <w:rPr>
          <w:rFonts w:eastAsia="Times New Roman"/>
          <w:lang w:val="fr-FR" w:eastAsia="en-GB"/>
        </w:rPr>
        <w:t xml:space="preserve">ne sont pas auteurs des plaintes dirigées </w:t>
      </w:r>
      <w:r w:rsidRPr="00CE19C0">
        <w:rPr>
          <w:rFonts w:eastAsia="Times New Roman"/>
          <w:color w:val="000000"/>
          <w:lang w:val="fr-FR" w:eastAsia="en-GB"/>
        </w:rPr>
        <w:t>contre les chirurgiens-dentistes qu</w:t>
      </w:r>
      <w:r>
        <w:rPr>
          <w:rFonts w:eastAsia="Times New Roman"/>
          <w:color w:val="000000"/>
          <w:lang w:val="fr-FR" w:eastAsia="en-GB"/>
        </w:rPr>
        <w:t>’</w:t>
      </w:r>
      <w:r w:rsidRPr="00CE19C0">
        <w:rPr>
          <w:rFonts w:eastAsia="Times New Roman"/>
          <w:color w:val="000000"/>
          <w:lang w:val="fr-FR" w:eastAsia="en-GB"/>
        </w:rPr>
        <w:t>ils examinent dans leurs fonctions juridictionnelles, présentent les garanties d</w:t>
      </w:r>
      <w:r>
        <w:rPr>
          <w:rFonts w:eastAsia="Times New Roman"/>
          <w:color w:val="000000"/>
          <w:lang w:val="fr-FR" w:eastAsia="en-GB"/>
        </w:rPr>
        <w:t>’</w:t>
      </w:r>
      <w:r w:rsidRPr="00CE19C0">
        <w:rPr>
          <w:rFonts w:eastAsia="Times New Roman"/>
          <w:color w:val="000000"/>
          <w:lang w:val="fr-FR" w:eastAsia="en-GB"/>
        </w:rPr>
        <w:t>indépendance et d</w:t>
      </w:r>
      <w:r>
        <w:rPr>
          <w:rFonts w:eastAsia="Times New Roman"/>
          <w:color w:val="000000"/>
          <w:lang w:val="fr-FR" w:eastAsia="en-GB"/>
        </w:rPr>
        <w:t>’</w:t>
      </w:r>
      <w:r w:rsidRPr="00CE19C0">
        <w:rPr>
          <w:rFonts w:eastAsia="Times New Roman"/>
          <w:color w:val="000000"/>
          <w:lang w:val="fr-FR" w:eastAsia="en-GB"/>
        </w:rPr>
        <w:t>impartialité conformément aux exigences de l</w:t>
      </w:r>
      <w:r>
        <w:rPr>
          <w:rFonts w:eastAsia="Times New Roman"/>
          <w:color w:val="000000"/>
          <w:lang w:val="fr-FR" w:eastAsia="en-GB"/>
        </w:rPr>
        <w:t>’</w:t>
      </w:r>
      <w:r w:rsidRPr="00CE19C0">
        <w:rPr>
          <w:rFonts w:eastAsia="Times New Roman"/>
          <w:color w:val="000000"/>
          <w:lang w:val="fr-FR" w:eastAsia="en-GB"/>
        </w:rPr>
        <w:t>article</w:t>
      </w:r>
      <w:r w:rsidR="001C29B1">
        <w:rPr>
          <w:rFonts w:eastAsia="Times New Roman"/>
          <w:color w:val="000000"/>
          <w:lang w:val="fr-FR" w:eastAsia="en-GB"/>
        </w:rPr>
        <w:t> </w:t>
      </w:r>
      <w:r w:rsidRPr="00CE19C0">
        <w:rPr>
          <w:rFonts w:eastAsia="Times New Roman"/>
          <w:color w:val="000000"/>
          <w:lang w:val="fr-FR" w:eastAsia="en-GB"/>
        </w:rPr>
        <w:t>14</w:t>
      </w:r>
      <w:r>
        <w:rPr>
          <w:rFonts w:eastAsia="Times New Roman"/>
          <w:color w:val="000000"/>
          <w:lang w:val="fr-FR" w:eastAsia="en-GB"/>
        </w:rPr>
        <w:t xml:space="preserve"> (par</w:t>
      </w:r>
      <w:r w:rsidR="0076142A" w:rsidRPr="0076142A">
        <w:rPr>
          <w:rFonts w:eastAsia="Times New Roman"/>
          <w:color w:val="000000"/>
          <w:lang w:val="fr-FR" w:eastAsia="en-GB"/>
        </w:rPr>
        <w:t>.</w:t>
      </w:r>
      <w:r>
        <w:rPr>
          <w:rFonts w:eastAsia="Times New Roman"/>
          <w:color w:val="000000"/>
          <w:lang w:val="fr-FR" w:eastAsia="en-GB"/>
        </w:rPr>
        <w:t> </w:t>
      </w:r>
      <w:r w:rsidRPr="00CE19C0">
        <w:rPr>
          <w:rFonts w:eastAsia="Times New Roman"/>
          <w:color w:val="000000"/>
          <w:lang w:val="fr-FR" w:eastAsia="en-GB"/>
        </w:rPr>
        <w:t>1</w:t>
      </w:r>
      <w:r>
        <w:rPr>
          <w:rFonts w:eastAsia="Times New Roman"/>
          <w:color w:val="000000"/>
          <w:lang w:val="fr-FR" w:eastAsia="en-GB"/>
        </w:rPr>
        <w:t>)</w:t>
      </w:r>
      <w:r w:rsidRPr="00CE19C0">
        <w:rPr>
          <w:rFonts w:eastAsia="Times New Roman"/>
          <w:color w:val="000000"/>
          <w:lang w:val="fr-FR" w:eastAsia="en-GB"/>
        </w:rPr>
        <w:t xml:space="preserve"> du Pacte</w:t>
      </w:r>
      <w:r w:rsidRPr="002973E4">
        <w:rPr>
          <w:rStyle w:val="Appelnotedebasdep"/>
        </w:rPr>
        <w:footnoteReference w:id="9"/>
      </w:r>
      <w:r w:rsidR="0076142A" w:rsidRPr="0076142A">
        <w:rPr>
          <w:rFonts w:eastAsia="Times New Roman"/>
          <w:color w:val="000000"/>
          <w:lang w:val="fr-FR" w:eastAsia="en-GB"/>
        </w:rPr>
        <w:t>.</w:t>
      </w:r>
      <w:r w:rsidRPr="00CE19C0">
        <w:rPr>
          <w:rFonts w:eastAsia="Times New Roman"/>
          <w:color w:val="000000"/>
          <w:lang w:val="fr-FR" w:eastAsia="en-GB"/>
        </w:rPr>
        <w:t xml:space="preserve"> </w:t>
      </w:r>
    </w:p>
    <w:p w14:paraId="13A0F7CB" w14:textId="21DA535B" w:rsidR="002973E4" w:rsidRPr="00CE19C0" w:rsidRDefault="002973E4" w:rsidP="002973E4">
      <w:pPr>
        <w:pStyle w:val="SingleTxtG"/>
        <w:tabs>
          <w:tab w:val="left" w:pos="567"/>
        </w:tabs>
        <w:rPr>
          <w:rFonts w:eastAsia="Times New Roman"/>
          <w:color w:val="000000"/>
          <w:lang w:eastAsia="en-GB"/>
        </w:rPr>
      </w:pPr>
      <w:r>
        <w:rPr>
          <w:rFonts w:eastAsia="Times New Roman"/>
          <w:color w:val="000000"/>
          <w:lang w:eastAsia="en-GB"/>
        </w:rPr>
        <w:t>4</w:t>
      </w:r>
      <w:r w:rsidR="0076142A" w:rsidRPr="0076142A">
        <w:rPr>
          <w:rFonts w:eastAsia="Times New Roman"/>
          <w:color w:val="000000"/>
          <w:lang w:eastAsia="en-GB"/>
        </w:rPr>
        <w:t>.</w:t>
      </w:r>
      <w:r>
        <w:rPr>
          <w:rFonts w:eastAsia="Times New Roman"/>
          <w:color w:val="000000"/>
          <w:lang w:eastAsia="en-GB"/>
        </w:rPr>
        <w:t>8</w:t>
      </w:r>
      <w:r>
        <w:rPr>
          <w:rFonts w:eastAsia="Times New Roman"/>
          <w:color w:val="000000"/>
          <w:lang w:eastAsia="en-GB"/>
        </w:rPr>
        <w:tab/>
      </w:r>
      <w:r w:rsidRPr="00CE19C0">
        <w:rPr>
          <w:rFonts w:eastAsia="Times New Roman"/>
          <w:color w:val="000000"/>
          <w:lang w:eastAsia="en-GB"/>
        </w:rPr>
        <w:t>L</w:t>
      </w:r>
      <w:r>
        <w:rPr>
          <w:rFonts w:eastAsia="Times New Roman"/>
          <w:color w:val="000000"/>
          <w:lang w:eastAsia="en-GB"/>
        </w:rPr>
        <w:t>’État</w:t>
      </w:r>
      <w:r w:rsidRPr="00CE19C0">
        <w:rPr>
          <w:rFonts w:eastAsia="Times New Roman"/>
          <w:color w:val="000000"/>
          <w:lang w:eastAsia="en-GB"/>
        </w:rPr>
        <w:t xml:space="preserve"> partie rappelle que les membres des juridictions ordinales répondent aux garanties d</w:t>
      </w:r>
      <w:r>
        <w:rPr>
          <w:rFonts w:eastAsia="Times New Roman"/>
          <w:color w:val="000000"/>
          <w:lang w:eastAsia="en-GB"/>
        </w:rPr>
        <w:t>’</w:t>
      </w:r>
      <w:r w:rsidRPr="00CE19C0">
        <w:rPr>
          <w:rFonts w:eastAsia="Times New Roman"/>
          <w:color w:val="000000"/>
          <w:lang w:eastAsia="en-GB"/>
        </w:rPr>
        <w:t>indépendance et d</w:t>
      </w:r>
      <w:r>
        <w:rPr>
          <w:rFonts w:eastAsia="Times New Roman"/>
          <w:color w:val="000000"/>
          <w:lang w:eastAsia="en-GB"/>
        </w:rPr>
        <w:t>’</w:t>
      </w:r>
      <w:r w:rsidRPr="00CE19C0">
        <w:rPr>
          <w:rFonts w:eastAsia="Times New Roman"/>
          <w:color w:val="000000"/>
          <w:lang w:eastAsia="en-GB"/>
        </w:rPr>
        <w:t xml:space="preserve">impartialité requises : ils sont élus pour six ans, </w:t>
      </w:r>
      <w:r>
        <w:rPr>
          <w:rFonts w:eastAsia="Times New Roman"/>
          <w:color w:val="000000"/>
          <w:lang w:eastAsia="en-GB"/>
        </w:rPr>
        <w:t xml:space="preserve">leurs postes sont </w:t>
      </w:r>
      <w:r w:rsidRPr="00CE19C0">
        <w:rPr>
          <w:rFonts w:eastAsia="Times New Roman"/>
          <w:color w:val="000000"/>
          <w:lang w:eastAsia="en-GB"/>
        </w:rPr>
        <w:t xml:space="preserve">renouvelables tous les </w:t>
      </w:r>
      <w:r>
        <w:rPr>
          <w:rFonts w:eastAsia="Times New Roman"/>
          <w:color w:val="000000"/>
          <w:lang w:eastAsia="en-GB"/>
        </w:rPr>
        <w:t>trois</w:t>
      </w:r>
      <w:r w:rsidRPr="00CE19C0">
        <w:rPr>
          <w:rFonts w:eastAsia="Times New Roman"/>
          <w:color w:val="000000"/>
          <w:lang w:eastAsia="en-GB"/>
        </w:rPr>
        <w:t xml:space="preserve"> ans (à l</w:t>
      </w:r>
      <w:r>
        <w:rPr>
          <w:rFonts w:eastAsia="Times New Roman"/>
          <w:color w:val="000000"/>
          <w:lang w:eastAsia="en-GB"/>
        </w:rPr>
        <w:t>’</w:t>
      </w:r>
      <w:r w:rsidRPr="00CE19C0">
        <w:rPr>
          <w:rFonts w:eastAsia="Times New Roman"/>
          <w:color w:val="000000"/>
          <w:lang w:eastAsia="en-GB"/>
        </w:rPr>
        <w:t>époque des faits)</w:t>
      </w:r>
      <w:r w:rsidRPr="002973E4">
        <w:rPr>
          <w:rStyle w:val="Appelnotedebasdep"/>
        </w:rPr>
        <w:footnoteReference w:id="10"/>
      </w:r>
      <w:r w:rsidRPr="00CE19C0">
        <w:rPr>
          <w:rFonts w:eastAsia="Times New Roman"/>
          <w:color w:val="000000"/>
          <w:lang w:eastAsia="en-GB"/>
        </w:rPr>
        <w:t xml:space="preserve">, </w:t>
      </w:r>
      <w:r>
        <w:rPr>
          <w:rFonts w:eastAsia="Times New Roman"/>
          <w:color w:val="000000"/>
          <w:lang w:eastAsia="en-GB"/>
        </w:rPr>
        <w:t xml:space="preserve">et </w:t>
      </w:r>
      <w:r w:rsidRPr="00CE19C0">
        <w:rPr>
          <w:rFonts w:eastAsia="Times New Roman"/>
          <w:color w:val="000000"/>
          <w:lang w:eastAsia="en-GB"/>
        </w:rPr>
        <w:t>ils ne sont pas soumis à l</w:t>
      </w:r>
      <w:r>
        <w:rPr>
          <w:rFonts w:eastAsia="Times New Roman"/>
          <w:color w:val="000000"/>
          <w:lang w:eastAsia="en-GB"/>
        </w:rPr>
        <w:t>’</w:t>
      </w:r>
      <w:r w:rsidRPr="00CE19C0">
        <w:rPr>
          <w:rFonts w:eastAsia="Times New Roman"/>
          <w:color w:val="000000"/>
          <w:lang w:eastAsia="en-GB"/>
        </w:rPr>
        <w:t xml:space="preserve">autorité hiérarchique du </w:t>
      </w:r>
      <w:r>
        <w:rPr>
          <w:rFonts w:eastAsia="Times New Roman"/>
          <w:color w:val="000000"/>
          <w:lang w:eastAsia="en-GB"/>
        </w:rPr>
        <w:t>C</w:t>
      </w:r>
      <w:r w:rsidRPr="00CE19C0">
        <w:rPr>
          <w:rFonts w:eastAsia="Times New Roman"/>
          <w:color w:val="000000"/>
          <w:lang w:eastAsia="en-GB"/>
        </w:rPr>
        <w:t>onseil régional de l</w:t>
      </w:r>
      <w:r>
        <w:rPr>
          <w:rFonts w:eastAsia="Times New Roman"/>
          <w:color w:val="000000"/>
          <w:lang w:eastAsia="en-GB"/>
        </w:rPr>
        <w:t>’</w:t>
      </w:r>
      <w:r w:rsidRPr="00CE19C0">
        <w:rPr>
          <w:rFonts w:eastAsia="Times New Roman"/>
          <w:color w:val="000000"/>
          <w:lang w:eastAsia="en-GB"/>
        </w:rPr>
        <w:t xml:space="preserve">ordre ou du </w:t>
      </w:r>
      <w:r>
        <w:rPr>
          <w:rFonts w:eastAsia="Times New Roman"/>
          <w:color w:val="000000"/>
          <w:lang w:eastAsia="en-GB"/>
        </w:rPr>
        <w:t>C</w:t>
      </w:r>
      <w:r w:rsidRPr="00CE19C0">
        <w:rPr>
          <w:rFonts w:eastAsia="Times New Roman"/>
          <w:color w:val="000000"/>
          <w:lang w:eastAsia="en-GB"/>
        </w:rPr>
        <w:t>onseil national de l</w:t>
      </w:r>
      <w:r>
        <w:rPr>
          <w:rFonts w:eastAsia="Times New Roman"/>
          <w:color w:val="000000"/>
          <w:lang w:eastAsia="en-GB"/>
        </w:rPr>
        <w:t>’</w:t>
      </w:r>
      <w:r w:rsidRPr="00CE19C0">
        <w:rPr>
          <w:rFonts w:eastAsia="Times New Roman"/>
          <w:color w:val="000000"/>
          <w:lang w:eastAsia="en-GB"/>
        </w:rPr>
        <w:t>ordre</w:t>
      </w:r>
      <w:r w:rsidR="0076142A" w:rsidRPr="0076142A">
        <w:rPr>
          <w:rFonts w:eastAsia="Times New Roman"/>
          <w:color w:val="000000"/>
          <w:lang w:eastAsia="en-GB"/>
        </w:rPr>
        <w:t>.</w:t>
      </w:r>
      <w:r w:rsidRPr="00CE19C0">
        <w:rPr>
          <w:rFonts w:eastAsia="Times New Roman"/>
          <w:color w:val="000000"/>
          <w:lang w:eastAsia="en-GB"/>
        </w:rPr>
        <w:t xml:space="preserve"> L</w:t>
      </w:r>
      <w:r>
        <w:rPr>
          <w:rFonts w:eastAsia="Times New Roman"/>
          <w:color w:val="000000"/>
          <w:lang w:eastAsia="en-GB"/>
        </w:rPr>
        <w:t>’État</w:t>
      </w:r>
      <w:r w:rsidRPr="00CE19C0">
        <w:rPr>
          <w:rFonts w:eastAsia="Times New Roman"/>
          <w:color w:val="000000"/>
          <w:lang w:eastAsia="en-GB"/>
        </w:rPr>
        <w:t xml:space="preserve"> partie rappelle en outre que la chambre disciplinaire de première instance est présidée par un </w:t>
      </w:r>
      <w:r w:rsidRPr="00CE19C0">
        <w:rPr>
          <w:rFonts w:eastAsia="Times New Roman"/>
          <w:color w:val="000000"/>
          <w:lang w:eastAsia="en-GB"/>
        </w:rPr>
        <w:lastRenderedPageBreak/>
        <w:t>membre en fonction ou honoraire du corps des conseillers des tribunaux administratifs et des cours administratives d</w:t>
      </w:r>
      <w:r>
        <w:rPr>
          <w:rFonts w:eastAsia="Times New Roman"/>
          <w:color w:val="000000"/>
          <w:lang w:eastAsia="en-GB"/>
        </w:rPr>
        <w:t>’</w:t>
      </w:r>
      <w:r w:rsidRPr="00CE19C0">
        <w:rPr>
          <w:rFonts w:eastAsia="Times New Roman"/>
          <w:color w:val="000000"/>
          <w:lang w:eastAsia="en-GB"/>
        </w:rPr>
        <w:t>appel</w:t>
      </w:r>
      <w:r>
        <w:rPr>
          <w:rFonts w:eastAsia="Times New Roman"/>
          <w:color w:val="000000"/>
          <w:lang w:eastAsia="en-GB"/>
        </w:rPr>
        <w:t>,</w:t>
      </w:r>
      <w:r w:rsidRPr="00CE19C0">
        <w:rPr>
          <w:rFonts w:eastAsia="Times New Roman"/>
          <w:color w:val="000000"/>
          <w:lang w:eastAsia="en-GB"/>
        </w:rPr>
        <w:t xml:space="preserve"> tandis que la </w:t>
      </w:r>
      <w:r>
        <w:rPr>
          <w:rFonts w:eastAsia="Times New Roman"/>
          <w:color w:val="000000"/>
          <w:lang w:eastAsia="en-GB"/>
        </w:rPr>
        <w:t>C</w:t>
      </w:r>
      <w:r w:rsidRPr="00CE19C0">
        <w:rPr>
          <w:rFonts w:eastAsia="Times New Roman"/>
          <w:color w:val="000000"/>
          <w:lang w:eastAsia="en-GB"/>
        </w:rPr>
        <w:t>hambre disciplinaire nationale est présidée par un membre du Conseil d</w:t>
      </w:r>
      <w:r>
        <w:rPr>
          <w:rFonts w:eastAsia="Times New Roman"/>
          <w:color w:val="000000"/>
          <w:lang w:eastAsia="en-GB"/>
        </w:rPr>
        <w:t>’État</w:t>
      </w:r>
      <w:r w:rsidR="0076142A" w:rsidRPr="0076142A">
        <w:rPr>
          <w:rFonts w:eastAsia="Times New Roman"/>
          <w:color w:val="000000"/>
          <w:lang w:eastAsia="en-GB"/>
        </w:rPr>
        <w:t>.</w:t>
      </w:r>
      <w:r w:rsidRPr="00CE19C0">
        <w:rPr>
          <w:rFonts w:eastAsia="Times New Roman"/>
          <w:color w:val="000000"/>
          <w:lang w:eastAsia="en-GB"/>
        </w:rPr>
        <w:t xml:space="preserve"> Les présidents de ces chambres sont des magistrats professionnels qui sont indépendants des conseils régional et national de l</w:t>
      </w:r>
      <w:r>
        <w:rPr>
          <w:rFonts w:eastAsia="Times New Roman"/>
          <w:color w:val="000000"/>
          <w:lang w:eastAsia="en-GB"/>
        </w:rPr>
        <w:t>’</w:t>
      </w:r>
      <w:r w:rsidRPr="00CE19C0">
        <w:rPr>
          <w:rFonts w:eastAsia="Times New Roman"/>
          <w:color w:val="000000"/>
          <w:lang w:eastAsia="en-GB"/>
        </w:rPr>
        <w:t>ordre, qui n</w:t>
      </w:r>
      <w:r>
        <w:rPr>
          <w:rFonts w:eastAsia="Times New Roman"/>
          <w:color w:val="000000"/>
          <w:lang w:eastAsia="en-GB"/>
        </w:rPr>
        <w:t>’</w:t>
      </w:r>
      <w:r w:rsidRPr="00CE19C0">
        <w:rPr>
          <w:rFonts w:eastAsia="Times New Roman"/>
          <w:color w:val="000000"/>
          <w:lang w:eastAsia="en-GB"/>
        </w:rPr>
        <w:t>interviennent pas dans leur désignation</w:t>
      </w:r>
      <w:r w:rsidR="0076142A" w:rsidRPr="0076142A">
        <w:rPr>
          <w:rFonts w:eastAsia="Times New Roman"/>
          <w:color w:val="000000"/>
          <w:lang w:eastAsia="en-GB"/>
        </w:rPr>
        <w:t>.</w:t>
      </w:r>
      <w:r w:rsidRPr="00CE19C0">
        <w:rPr>
          <w:rFonts w:eastAsia="Times New Roman"/>
          <w:color w:val="000000"/>
          <w:lang w:eastAsia="en-GB"/>
        </w:rPr>
        <w:t xml:space="preserve"> </w:t>
      </w:r>
    </w:p>
    <w:p w14:paraId="214EDFD8" w14:textId="6A33C0FF" w:rsidR="002973E4" w:rsidRPr="00CE19C0" w:rsidRDefault="002973E4" w:rsidP="002973E4">
      <w:pPr>
        <w:pStyle w:val="SingleTxtG"/>
        <w:tabs>
          <w:tab w:val="left" w:pos="567"/>
        </w:tabs>
        <w:rPr>
          <w:rFonts w:eastAsia="Times New Roman"/>
          <w:color w:val="000000"/>
          <w:lang w:eastAsia="en-GB"/>
        </w:rPr>
      </w:pPr>
      <w:r>
        <w:rPr>
          <w:rFonts w:eastAsia="Times New Roman"/>
          <w:color w:val="000000"/>
          <w:lang w:eastAsia="en-GB"/>
        </w:rPr>
        <w:t>4</w:t>
      </w:r>
      <w:r w:rsidR="0076142A" w:rsidRPr="0076142A">
        <w:rPr>
          <w:rFonts w:eastAsia="Times New Roman"/>
          <w:color w:val="000000"/>
          <w:lang w:eastAsia="en-GB"/>
        </w:rPr>
        <w:t>.</w:t>
      </w:r>
      <w:r>
        <w:rPr>
          <w:rFonts w:eastAsia="Times New Roman"/>
          <w:color w:val="000000"/>
          <w:lang w:eastAsia="en-GB"/>
        </w:rPr>
        <w:t>9</w:t>
      </w:r>
      <w:r>
        <w:rPr>
          <w:rFonts w:eastAsia="Times New Roman"/>
          <w:color w:val="000000"/>
          <w:lang w:eastAsia="en-GB"/>
        </w:rPr>
        <w:tab/>
      </w:r>
      <w:r w:rsidRPr="00CE19C0">
        <w:rPr>
          <w:rFonts w:eastAsia="Times New Roman"/>
          <w:color w:val="000000"/>
          <w:lang w:eastAsia="en-GB"/>
        </w:rPr>
        <w:t>L</w:t>
      </w:r>
      <w:r>
        <w:rPr>
          <w:rFonts w:eastAsia="Times New Roman"/>
          <w:color w:val="000000"/>
          <w:lang w:eastAsia="en-GB"/>
        </w:rPr>
        <w:t>’État</w:t>
      </w:r>
      <w:r w:rsidRPr="00CE19C0">
        <w:rPr>
          <w:rFonts w:eastAsia="Times New Roman"/>
          <w:color w:val="000000"/>
          <w:lang w:eastAsia="en-GB"/>
        </w:rPr>
        <w:t xml:space="preserve"> partie précise que le droit national interdit que le même magistrat exerce à la fois les fonctions d</w:t>
      </w:r>
      <w:r>
        <w:rPr>
          <w:rFonts w:eastAsia="Times New Roman"/>
          <w:color w:val="000000"/>
          <w:lang w:eastAsia="en-GB"/>
        </w:rPr>
        <w:t>’</w:t>
      </w:r>
      <w:r w:rsidRPr="00CE19C0">
        <w:rPr>
          <w:rFonts w:eastAsia="Times New Roman"/>
          <w:color w:val="000000"/>
          <w:lang w:eastAsia="en-GB"/>
        </w:rPr>
        <w:t>enquête, d</w:t>
      </w:r>
      <w:r>
        <w:rPr>
          <w:rFonts w:eastAsia="Times New Roman"/>
          <w:color w:val="000000"/>
          <w:lang w:eastAsia="en-GB"/>
        </w:rPr>
        <w:t>’</w:t>
      </w:r>
      <w:r w:rsidRPr="00CE19C0">
        <w:rPr>
          <w:rFonts w:eastAsia="Times New Roman"/>
          <w:color w:val="000000"/>
          <w:lang w:eastAsia="en-GB"/>
        </w:rPr>
        <w:t>inculpation et de jugement</w:t>
      </w:r>
      <w:r w:rsidR="0076142A" w:rsidRPr="0076142A">
        <w:rPr>
          <w:rFonts w:eastAsia="Times New Roman"/>
          <w:color w:val="000000"/>
          <w:lang w:eastAsia="en-GB"/>
        </w:rPr>
        <w:t>.</w:t>
      </w:r>
      <w:r w:rsidRPr="00CE19C0">
        <w:rPr>
          <w:rFonts w:eastAsia="Times New Roman"/>
          <w:color w:val="000000"/>
          <w:lang w:eastAsia="en-GB"/>
        </w:rPr>
        <w:t xml:space="preserve"> </w:t>
      </w:r>
      <w:r>
        <w:rPr>
          <w:rFonts w:eastAsia="Times New Roman"/>
          <w:color w:val="000000"/>
          <w:lang w:eastAsia="en-GB"/>
        </w:rPr>
        <w:t>À</w:t>
      </w:r>
      <w:r w:rsidRPr="00CE19C0">
        <w:rPr>
          <w:rFonts w:eastAsia="Times New Roman"/>
          <w:color w:val="000000"/>
          <w:lang w:eastAsia="en-GB"/>
        </w:rPr>
        <w:t xml:space="preserve"> cet égard, le </w:t>
      </w:r>
      <w:r>
        <w:rPr>
          <w:rFonts w:eastAsia="Times New Roman"/>
          <w:color w:val="000000"/>
          <w:lang w:eastAsia="en-GB"/>
        </w:rPr>
        <w:t>C</w:t>
      </w:r>
      <w:r w:rsidRPr="00CE19C0">
        <w:rPr>
          <w:rFonts w:eastAsia="Times New Roman"/>
          <w:color w:val="000000"/>
          <w:lang w:eastAsia="en-GB"/>
        </w:rPr>
        <w:t xml:space="preserve">ode de la santé publique prévoyait </w:t>
      </w:r>
      <w:r>
        <w:rPr>
          <w:rFonts w:eastAsia="Times New Roman"/>
          <w:color w:val="000000"/>
          <w:lang w:eastAsia="en-GB"/>
        </w:rPr>
        <w:t xml:space="preserve">à l’époque des faits </w:t>
      </w:r>
      <w:r w:rsidRPr="00CE19C0">
        <w:rPr>
          <w:rFonts w:eastAsia="Times New Roman"/>
          <w:color w:val="000000"/>
          <w:lang w:eastAsia="en-GB"/>
        </w:rPr>
        <w:t>la séparation fonctionnelle entre la mission juridictionnelle qui incombe aux membres des juridictions ordinales et la mission de garant du respect des règles de la déontologie professionnelle par les chirurgiens-dentistes</w:t>
      </w:r>
      <w:r>
        <w:rPr>
          <w:rFonts w:eastAsia="Times New Roman"/>
          <w:color w:val="000000"/>
          <w:lang w:eastAsia="en-GB"/>
        </w:rPr>
        <w:t>,</w:t>
      </w:r>
      <w:r w:rsidRPr="00CE19C0">
        <w:rPr>
          <w:rFonts w:eastAsia="Times New Roman"/>
          <w:color w:val="000000"/>
          <w:lang w:eastAsia="en-GB"/>
        </w:rPr>
        <w:t xml:space="preserve"> qui revient au </w:t>
      </w:r>
      <w:r>
        <w:rPr>
          <w:rFonts w:eastAsia="Times New Roman"/>
          <w:color w:val="000000"/>
          <w:lang w:eastAsia="en-GB"/>
        </w:rPr>
        <w:t>C</w:t>
      </w:r>
      <w:r w:rsidRPr="00CE19C0">
        <w:rPr>
          <w:rFonts w:eastAsia="Times New Roman"/>
          <w:color w:val="000000"/>
          <w:lang w:eastAsia="en-GB"/>
        </w:rPr>
        <w:t xml:space="preserve">onseil </w:t>
      </w:r>
      <w:r>
        <w:rPr>
          <w:rFonts w:eastAsia="Times New Roman"/>
          <w:color w:val="000000"/>
          <w:lang w:eastAsia="en-GB"/>
        </w:rPr>
        <w:t xml:space="preserve">national </w:t>
      </w:r>
      <w:r w:rsidRPr="00CE19C0">
        <w:rPr>
          <w:rFonts w:eastAsia="Times New Roman"/>
          <w:color w:val="000000"/>
          <w:lang w:eastAsia="en-GB"/>
        </w:rPr>
        <w:t>de l</w:t>
      </w:r>
      <w:r>
        <w:rPr>
          <w:rFonts w:eastAsia="Times New Roman"/>
          <w:color w:val="000000"/>
          <w:lang w:eastAsia="en-GB"/>
        </w:rPr>
        <w:t>’</w:t>
      </w:r>
      <w:r w:rsidRPr="00CE19C0">
        <w:rPr>
          <w:rFonts w:eastAsia="Times New Roman"/>
          <w:color w:val="000000"/>
          <w:lang w:eastAsia="en-GB"/>
        </w:rPr>
        <w:t>ordre</w:t>
      </w:r>
      <w:r w:rsidRPr="002973E4">
        <w:rPr>
          <w:rStyle w:val="Appelnotedebasdep"/>
        </w:rPr>
        <w:footnoteReference w:id="11"/>
      </w:r>
      <w:r w:rsidR="0076142A" w:rsidRPr="0076142A">
        <w:rPr>
          <w:rFonts w:eastAsia="Times New Roman"/>
          <w:color w:val="000000"/>
          <w:lang w:eastAsia="en-GB"/>
        </w:rPr>
        <w:t>.</w:t>
      </w:r>
      <w:r w:rsidRPr="00CE19C0">
        <w:rPr>
          <w:rFonts w:eastAsia="Times New Roman"/>
          <w:color w:val="000000"/>
          <w:lang w:eastAsia="en-GB"/>
        </w:rPr>
        <w:t xml:space="preserve"> Le </w:t>
      </w:r>
      <w:r>
        <w:rPr>
          <w:rFonts w:eastAsia="Times New Roman"/>
          <w:color w:val="000000"/>
          <w:lang w:eastAsia="en-GB"/>
        </w:rPr>
        <w:t>C</w:t>
      </w:r>
      <w:r w:rsidRPr="00CE19C0">
        <w:rPr>
          <w:rFonts w:eastAsia="Times New Roman"/>
          <w:color w:val="000000"/>
          <w:lang w:eastAsia="en-GB"/>
        </w:rPr>
        <w:t>ode de la santé publique interdit notamment à un membre de la juridiction d</w:t>
      </w:r>
      <w:r>
        <w:rPr>
          <w:rFonts w:eastAsia="Times New Roman"/>
          <w:color w:val="000000"/>
          <w:lang w:eastAsia="en-GB"/>
        </w:rPr>
        <w:t>’</w:t>
      </w:r>
      <w:r w:rsidRPr="00CE19C0">
        <w:rPr>
          <w:rFonts w:eastAsia="Times New Roman"/>
          <w:color w:val="000000"/>
          <w:lang w:eastAsia="en-GB"/>
        </w:rPr>
        <w:t>appel de siéger lorsqu</w:t>
      </w:r>
      <w:r>
        <w:rPr>
          <w:rFonts w:eastAsia="Times New Roman"/>
          <w:color w:val="000000"/>
          <w:lang w:eastAsia="en-GB"/>
        </w:rPr>
        <w:t>’</w:t>
      </w:r>
      <w:r w:rsidRPr="00CE19C0">
        <w:rPr>
          <w:rFonts w:eastAsia="Times New Roman"/>
          <w:color w:val="000000"/>
          <w:lang w:eastAsia="en-GB"/>
        </w:rPr>
        <w:t xml:space="preserve">il a participé à la séance du </w:t>
      </w:r>
      <w:r>
        <w:rPr>
          <w:rFonts w:eastAsia="Times New Roman"/>
          <w:color w:val="000000"/>
          <w:lang w:eastAsia="en-GB"/>
        </w:rPr>
        <w:t>C</w:t>
      </w:r>
      <w:r w:rsidRPr="00CE19C0">
        <w:rPr>
          <w:rFonts w:eastAsia="Times New Roman"/>
          <w:color w:val="000000"/>
          <w:lang w:eastAsia="en-GB"/>
        </w:rPr>
        <w:t xml:space="preserve">onseil </w:t>
      </w:r>
      <w:r>
        <w:rPr>
          <w:rFonts w:eastAsia="Times New Roman"/>
          <w:color w:val="000000"/>
          <w:lang w:eastAsia="en-GB"/>
        </w:rPr>
        <w:t xml:space="preserve">national </w:t>
      </w:r>
      <w:r w:rsidRPr="00CE19C0">
        <w:rPr>
          <w:rFonts w:eastAsia="Times New Roman"/>
          <w:color w:val="000000"/>
          <w:lang w:eastAsia="en-GB"/>
        </w:rPr>
        <w:t>de l</w:t>
      </w:r>
      <w:r>
        <w:rPr>
          <w:rFonts w:eastAsia="Times New Roman"/>
          <w:color w:val="000000"/>
          <w:lang w:eastAsia="en-GB"/>
        </w:rPr>
        <w:t>’</w:t>
      </w:r>
      <w:r w:rsidRPr="00CE19C0">
        <w:rPr>
          <w:rFonts w:eastAsia="Times New Roman"/>
          <w:color w:val="000000"/>
          <w:lang w:eastAsia="en-GB"/>
        </w:rPr>
        <w:t>ordre au cours de laquelle la plainte a été votée à l</w:t>
      </w:r>
      <w:r>
        <w:rPr>
          <w:rFonts w:eastAsia="Times New Roman"/>
          <w:color w:val="000000"/>
          <w:lang w:eastAsia="en-GB"/>
        </w:rPr>
        <w:t>’</w:t>
      </w:r>
      <w:r w:rsidRPr="00CE19C0">
        <w:rPr>
          <w:rFonts w:eastAsia="Times New Roman"/>
          <w:color w:val="000000"/>
          <w:lang w:eastAsia="en-GB"/>
        </w:rPr>
        <w:t>encontre du praticien poursuivi, ou l</w:t>
      </w:r>
      <w:r>
        <w:rPr>
          <w:rFonts w:eastAsia="Times New Roman"/>
          <w:color w:val="000000"/>
          <w:lang w:eastAsia="en-GB"/>
        </w:rPr>
        <w:t>’</w:t>
      </w:r>
      <w:r w:rsidRPr="00CE19C0">
        <w:rPr>
          <w:rFonts w:eastAsia="Times New Roman"/>
          <w:color w:val="000000"/>
          <w:lang w:eastAsia="en-GB"/>
        </w:rPr>
        <w:t xml:space="preserve">appel contre la décision de la </w:t>
      </w:r>
      <w:r w:rsidRPr="0038724A">
        <w:rPr>
          <w:rFonts w:eastAsia="Times New Roman"/>
          <w:color w:val="000000"/>
          <w:lang w:eastAsia="en-GB"/>
        </w:rPr>
        <w:t>chambre disciplinaire de première instance a été</w:t>
      </w:r>
      <w:r>
        <w:rPr>
          <w:rFonts w:eastAsia="Times New Roman"/>
          <w:color w:val="000000"/>
          <w:lang w:eastAsia="en-GB"/>
        </w:rPr>
        <w:t xml:space="preserve"> </w:t>
      </w:r>
      <w:r w:rsidRPr="00CE19C0">
        <w:rPr>
          <w:rFonts w:eastAsia="Times New Roman"/>
          <w:color w:val="000000"/>
          <w:lang w:eastAsia="en-GB"/>
        </w:rPr>
        <w:t>décidé</w:t>
      </w:r>
      <w:r w:rsidR="0076142A" w:rsidRPr="0076142A">
        <w:rPr>
          <w:rFonts w:eastAsia="Times New Roman"/>
          <w:color w:val="000000"/>
          <w:lang w:eastAsia="en-GB"/>
        </w:rPr>
        <w:t>.</w:t>
      </w:r>
      <w:r w:rsidRPr="00CE19C0">
        <w:rPr>
          <w:rFonts w:eastAsia="Times New Roman"/>
          <w:color w:val="000000"/>
          <w:lang w:eastAsia="en-GB"/>
        </w:rPr>
        <w:t xml:space="preserve"> C</w:t>
      </w:r>
      <w:r>
        <w:rPr>
          <w:rFonts w:eastAsia="Times New Roman"/>
          <w:color w:val="000000"/>
          <w:lang w:eastAsia="en-GB"/>
        </w:rPr>
        <w:t>’</w:t>
      </w:r>
      <w:r w:rsidRPr="00CE19C0">
        <w:rPr>
          <w:rFonts w:eastAsia="Times New Roman"/>
          <w:color w:val="000000"/>
          <w:lang w:eastAsia="en-GB"/>
        </w:rPr>
        <w:t xml:space="preserve">est pourquoi </w:t>
      </w:r>
      <w:r>
        <w:rPr>
          <w:rFonts w:eastAsia="Times New Roman"/>
          <w:color w:val="000000"/>
          <w:lang w:eastAsia="en-GB"/>
        </w:rPr>
        <w:t xml:space="preserve">l’État partie souligne que, </w:t>
      </w:r>
      <w:r w:rsidRPr="00CE19C0">
        <w:rPr>
          <w:rFonts w:eastAsia="Times New Roman"/>
          <w:color w:val="000000"/>
          <w:lang w:eastAsia="en-GB"/>
        </w:rPr>
        <w:t xml:space="preserve">lors des séances du </w:t>
      </w:r>
      <w:r>
        <w:rPr>
          <w:rFonts w:eastAsia="Times New Roman"/>
          <w:color w:val="000000"/>
          <w:lang w:eastAsia="en-GB"/>
        </w:rPr>
        <w:t>C</w:t>
      </w:r>
      <w:r w:rsidRPr="00CE19C0">
        <w:rPr>
          <w:rFonts w:eastAsia="Times New Roman"/>
          <w:color w:val="000000"/>
          <w:lang w:eastAsia="en-GB"/>
        </w:rPr>
        <w:t xml:space="preserve">onseil </w:t>
      </w:r>
      <w:r>
        <w:rPr>
          <w:rFonts w:eastAsia="Times New Roman"/>
          <w:color w:val="000000"/>
          <w:lang w:eastAsia="en-GB"/>
        </w:rPr>
        <w:t xml:space="preserve">national </w:t>
      </w:r>
      <w:r w:rsidRPr="00CE19C0">
        <w:rPr>
          <w:rFonts w:eastAsia="Times New Roman"/>
          <w:color w:val="000000"/>
          <w:lang w:eastAsia="en-GB"/>
        </w:rPr>
        <w:t>de l</w:t>
      </w:r>
      <w:r>
        <w:rPr>
          <w:rFonts w:eastAsia="Times New Roman"/>
          <w:color w:val="000000"/>
          <w:lang w:eastAsia="en-GB"/>
        </w:rPr>
        <w:t>’</w:t>
      </w:r>
      <w:r w:rsidRPr="00CE19C0">
        <w:rPr>
          <w:rFonts w:eastAsia="Times New Roman"/>
          <w:color w:val="000000"/>
          <w:lang w:eastAsia="en-GB"/>
        </w:rPr>
        <w:t>ordre au cours desquelles le vote d</w:t>
      </w:r>
      <w:r>
        <w:rPr>
          <w:rFonts w:eastAsia="Times New Roman"/>
          <w:color w:val="000000"/>
          <w:lang w:eastAsia="en-GB"/>
        </w:rPr>
        <w:t>’</w:t>
      </w:r>
      <w:r w:rsidRPr="00CE19C0">
        <w:rPr>
          <w:rFonts w:eastAsia="Times New Roman"/>
          <w:color w:val="000000"/>
          <w:lang w:eastAsia="en-GB"/>
        </w:rPr>
        <w:t>une plainte est à l</w:t>
      </w:r>
      <w:r>
        <w:rPr>
          <w:rFonts w:eastAsia="Times New Roman"/>
          <w:color w:val="000000"/>
          <w:lang w:eastAsia="en-GB"/>
        </w:rPr>
        <w:t>’</w:t>
      </w:r>
      <w:r w:rsidRPr="00CE19C0">
        <w:rPr>
          <w:rFonts w:eastAsia="Times New Roman"/>
          <w:color w:val="000000"/>
          <w:lang w:eastAsia="en-GB"/>
        </w:rPr>
        <w:t xml:space="preserve">ordre du jour, les membres du </w:t>
      </w:r>
      <w:r>
        <w:rPr>
          <w:rFonts w:eastAsia="Times New Roman"/>
          <w:color w:val="000000"/>
          <w:lang w:eastAsia="en-GB"/>
        </w:rPr>
        <w:t>C</w:t>
      </w:r>
      <w:r w:rsidRPr="00CE19C0">
        <w:rPr>
          <w:rFonts w:eastAsia="Times New Roman"/>
          <w:color w:val="000000"/>
          <w:lang w:eastAsia="en-GB"/>
        </w:rPr>
        <w:t>onseil qui sont également membres de la chambre disciplinaire se retirent</w:t>
      </w:r>
      <w:r w:rsidRPr="002973E4">
        <w:rPr>
          <w:rStyle w:val="Appelnotedebasdep"/>
        </w:rPr>
        <w:footnoteReference w:id="12"/>
      </w:r>
      <w:r w:rsidR="0076142A" w:rsidRPr="0076142A">
        <w:rPr>
          <w:rFonts w:eastAsia="Times New Roman"/>
          <w:color w:val="000000"/>
          <w:lang w:eastAsia="en-GB"/>
        </w:rPr>
        <w:t>.</w:t>
      </w:r>
      <w:r w:rsidRPr="00CE19C0">
        <w:t xml:space="preserve"> L</w:t>
      </w:r>
      <w:r>
        <w:t>’État</w:t>
      </w:r>
      <w:r w:rsidRPr="00CE19C0">
        <w:t xml:space="preserve"> partie </w:t>
      </w:r>
      <w:r>
        <w:t>soutient</w:t>
      </w:r>
      <w:r w:rsidRPr="00CE19C0">
        <w:t xml:space="preserve"> qu</w:t>
      </w:r>
      <w:r>
        <w:t>’</w:t>
      </w:r>
      <w:r w:rsidRPr="00CE19C0">
        <w:t>en</w:t>
      </w:r>
      <w:r w:rsidRPr="00CE19C0">
        <w:rPr>
          <w:rFonts w:eastAsia="Times New Roman"/>
          <w:color w:val="000000"/>
          <w:lang w:eastAsia="en-GB"/>
        </w:rPr>
        <w:t xml:space="preserve"> l</w:t>
      </w:r>
      <w:r>
        <w:rPr>
          <w:rFonts w:eastAsia="Times New Roman"/>
          <w:color w:val="000000"/>
          <w:lang w:eastAsia="en-GB"/>
        </w:rPr>
        <w:t>’</w:t>
      </w:r>
      <w:r w:rsidRPr="00CE19C0">
        <w:rPr>
          <w:rFonts w:eastAsia="Times New Roman"/>
          <w:color w:val="000000"/>
          <w:lang w:eastAsia="en-GB"/>
        </w:rPr>
        <w:t xml:space="preserve">espèce, conformément aux dispositions du </w:t>
      </w:r>
      <w:r>
        <w:rPr>
          <w:rFonts w:eastAsia="Times New Roman"/>
          <w:color w:val="000000"/>
          <w:lang w:eastAsia="en-GB"/>
        </w:rPr>
        <w:t>C</w:t>
      </w:r>
      <w:r w:rsidRPr="00CE19C0">
        <w:rPr>
          <w:rFonts w:eastAsia="Times New Roman"/>
          <w:color w:val="000000"/>
          <w:lang w:eastAsia="en-GB"/>
        </w:rPr>
        <w:t xml:space="preserve">ode de la santé publique, le principe a été parfaitement respecté lors de la séance du </w:t>
      </w:r>
      <w:r>
        <w:rPr>
          <w:rFonts w:eastAsia="Times New Roman"/>
          <w:color w:val="000000"/>
          <w:lang w:eastAsia="en-GB"/>
        </w:rPr>
        <w:t>C</w:t>
      </w:r>
      <w:r w:rsidRPr="00CE19C0">
        <w:rPr>
          <w:rFonts w:eastAsia="Times New Roman"/>
          <w:color w:val="000000"/>
          <w:lang w:eastAsia="en-GB"/>
        </w:rPr>
        <w:t>onseil national de l</w:t>
      </w:r>
      <w:r>
        <w:rPr>
          <w:rFonts w:eastAsia="Times New Roman"/>
          <w:color w:val="000000"/>
          <w:lang w:eastAsia="en-GB"/>
        </w:rPr>
        <w:t>’</w:t>
      </w:r>
      <w:r w:rsidRPr="00CE19C0">
        <w:rPr>
          <w:rFonts w:eastAsia="Times New Roman"/>
          <w:color w:val="000000"/>
          <w:lang w:eastAsia="en-GB"/>
        </w:rPr>
        <w:t>ordre des 13 et 14 avril 2007, au cours de laquelle a été décidé l</w:t>
      </w:r>
      <w:r>
        <w:rPr>
          <w:rFonts w:eastAsia="Times New Roman"/>
          <w:color w:val="000000"/>
          <w:lang w:eastAsia="en-GB"/>
        </w:rPr>
        <w:t>’</w:t>
      </w:r>
      <w:r w:rsidRPr="00CE19C0">
        <w:rPr>
          <w:rFonts w:eastAsia="Times New Roman"/>
          <w:color w:val="000000"/>
          <w:lang w:eastAsia="en-GB"/>
        </w:rPr>
        <w:t>engagement d</w:t>
      </w:r>
      <w:r>
        <w:rPr>
          <w:rFonts w:eastAsia="Times New Roman"/>
          <w:color w:val="000000"/>
          <w:lang w:eastAsia="en-GB"/>
        </w:rPr>
        <w:t>’</w:t>
      </w:r>
      <w:r w:rsidRPr="00CE19C0">
        <w:rPr>
          <w:rFonts w:eastAsia="Times New Roman"/>
          <w:color w:val="000000"/>
          <w:lang w:eastAsia="en-GB"/>
        </w:rPr>
        <w:t>une procédure disciplinaire à l</w:t>
      </w:r>
      <w:r>
        <w:rPr>
          <w:rFonts w:eastAsia="Times New Roman"/>
          <w:color w:val="000000"/>
          <w:lang w:eastAsia="en-GB"/>
        </w:rPr>
        <w:t>’</w:t>
      </w:r>
      <w:r w:rsidRPr="00CE19C0">
        <w:rPr>
          <w:rFonts w:eastAsia="Times New Roman"/>
          <w:color w:val="000000"/>
          <w:lang w:eastAsia="en-GB"/>
        </w:rPr>
        <w:t>encontre de l</w:t>
      </w:r>
      <w:r>
        <w:rPr>
          <w:rFonts w:eastAsia="Times New Roman"/>
          <w:color w:val="000000"/>
          <w:lang w:eastAsia="en-GB"/>
        </w:rPr>
        <w:t>’</w:t>
      </w:r>
      <w:r w:rsidRPr="00CE19C0">
        <w:rPr>
          <w:rFonts w:eastAsia="Times New Roman"/>
          <w:color w:val="000000"/>
          <w:lang w:eastAsia="en-GB"/>
        </w:rPr>
        <w:t>auteur</w:t>
      </w:r>
      <w:r w:rsidR="0076142A" w:rsidRPr="0076142A">
        <w:rPr>
          <w:rFonts w:eastAsia="Times New Roman"/>
          <w:color w:val="000000"/>
          <w:lang w:eastAsia="en-GB"/>
        </w:rPr>
        <w:t>.</w:t>
      </w:r>
      <w:r w:rsidRPr="00CE19C0">
        <w:rPr>
          <w:rFonts w:eastAsia="Times New Roman"/>
          <w:color w:val="000000"/>
          <w:lang w:eastAsia="en-GB"/>
        </w:rPr>
        <w:t xml:space="preserve"> L</w:t>
      </w:r>
      <w:r>
        <w:rPr>
          <w:rFonts w:eastAsia="Times New Roman"/>
          <w:color w:val="000000"/>
          <w:lang w:eastAsia="en-GB"/>
        </w:rPr>
        <w:t>’État</w:t>
      </w:r>
      <w:r w:rsidRPr="00CE19C0">
        <w:rPr>
          <w:rFonts w:eastAsia="Times New Roman"/>
          <w:color w:val="000000"/>
          <w:lang w:eastAsia="en-GB"/>
        </w:rPr>
        <w:t xml:space="preserve"> partie souligne qu</w:t>
      </w:r>
      <w:r>
        <w:rPr>
          <w:rFonts w:eastAsia="Times New Roman"/>
          <w:color w:val="000000"/>
          <w:lang w:eastAsia="en-GB"/>
        </w:rPr>
        <w:t>’</w:t>
      </w:r>
      <w:r w:rsidRPr="00CE19C0">
        <w:rPr>
          <w:rFonts w:eastAsia="Times New Roman"/>
          <w:color w:val="000000"/>
          <w:lang w:eastAsia="en-GB"/>
        </w:rPr>
        <w:t xml:space="preserve">il ressort du procès-verbal de cette séance produit devant la </w:t>
      </w:r>
      <w:r>
        <w:rPr>
          <w:rFonts w:eastAsia="Times New Roman"/>
          <w:color w:val="000000"/>
          <w:lang w:eastAsia="en-GB"/>
        </w:rPr>
        <w:t>C</w:t>
      </w:r>
      <w:r w:rsidRPr="00CE19C0">
        <w:rPr>
          <w:rFonts w:eastAsia="Times New Roman"/>
          <w:color w:val="000000"/>
          <w:lang w:eastAsia="en-GB"/>
        </w:rPr>
        <w:t xml:space="preserve">hambre </w:t>
      </w:r>
      <w:r>
        <w:rPr>
          <w:rFonts w:eastAsia="Times New Roman"/>
          <w:color w:val="000000"/>
          <w:lang w:eastAsia="en-GB"/>
        </w:rPr>
        <w:t xml:space="preserve">disciplinaire </w:t>
      </w:r>
      <w:r w:rsidRPr="00CE19C0">
        <w:rPr>
          <w:rFonts w:eastAsia="Times New Roman"/>
          <w:color w:val="000000"/>
          <w:lang w:eastAsia="en-GB"/>
        </w:rPr>
        <w:t xml:space="preserve">nationale le 7 octobre 2009 que les </w:t>
      </w:r>
      <w:r>
        <w:rPr>
          <w:rFonts w:eastAsia="Times New Roman"/>
          <w:color w:val="000000"/>
          <w:lang w:eastAsia="en-GB"/>
        </w:rPr>
        <w:t>P</w:t>
      </w:r>
      <w:r w:rsidRPr="00CE19C0">
        <w:rPr>
          <w:rFonts w:eastAsia="Times New Roman"/>
          <w:color w:val="000000"/>
          <w:lang w:eastAsia="en-GB"/>
        </w:rPr>
        <w:t>résident et assesseurs de la</w:t>
      </w:r>
      <w:r>
        <w:rPr>
          <w:rFonts w:eastAsia="Times New Roman"/>
          <w:color w:val="000000"/>
          <w:lang w:eastAsia="en-GB"/>
        </w:rPr>
        <w:t>dite</w:t>
      </w:r>
      <w:r w:rsidRPr="00CE19C0">
        <w:rPr>
          <w:rFonts w:eastAsia="Times New Roman"/>
          <w:color w:val="000000"/>
          <w:lang w:eastAsia="en-GB"/>
        </w:rPr>
        <w:t xml:space="preserve"> chambre</w:t>
      </w:r>
      <w:r>
        <w:rPr>
          <w:rFonts w:eastAsia="Times New Roman"/>
          <w:color w:val="000000"/>
          <w:lang w:eastAsia="en-GB"/>
        </w:rPr>
        <w:t xml:space="preserve"> </w:t>
      </w:r>
      <w:r w:rsidR="0038724A">
        <w:rPr>
          <w:rFonts w:eastAsia="Times New Roman"/>
          <w:color w:val="000000"/>
          <w:lang w:eastAsia="en-GB"/>
        </w:rPr>
        <w:t>− </w:t>
      </w:r>
      <w:r w:rsidRPr="00CE19C0">
        <w:rPr>
          <w:rFonts w:eastAsia="Times New Roman"/>
          <w:color w:val="000000"/>
          <w:lang w:eastAsia="en-GB"/>
        </w:rPr>
        <w:t>à savoir M</w:t>
      </w:r>
      <w:r w:rsidR="0076142A" w:rsidRPr="0076142A">
        <w:rPr>
          <w:rFonts w:eastAsia="Times New Roman"/>
          <w:color w:val="000000"/>
          <w:lang w:eastAsia="en-GB"/>
        </w:rPr>
        <w:t>.</w:t>
      </w:r>
      <w:r w:rsidR="0038724A">
        <w:rPr>
          <w:rFonts w:eastAsia="Times New Roman"/>
          <w:color w:val="000000"/>
          <w:lang w:eastAsia="en-GB"/>
        </w:rPr>
        <w:t> </w:t>
      </w:r>
      <w:r w:rsidRPr="00CE19C0">
        <w:rPr>
          <w:rFonts w:eastAsia="Times New Roman"/>
          <w:color w:val="000000"/>
          <w:lang w:eastAsia="en-GB"/>
        </w:rPr>
        <w:t xml:space="preserve">de </w:t>
      </w:r>
      <w:proofErr w:type="spellStart"/>
      <w:r w:rsidRPr="00CE19C0">
        <w:rPr>
          <w:rFonts w:eastAsia="Times New Roman"/>
          <w:color w:val="000000"/>
          <w:lang w:eastAsia="en-GB"/>
        </w:rPr>
        <w:t>Vulpillières</w:t>
      </w:r>
      <w:proofErr w:type="spellEnd"/>
      <w:r w:rsidRPr="00CE19C0">
        <w:rPr>
          <w:rFonts w:eastAsia="Times New Roman"/>
          <w:color w:val="000000"/>
          <w:lang w:eastAsia="en-GB"/>
        </w:rPr>
        <w:t>, conseiller d</w:t>
      </w:r>
      <w:r>
        <w:rPr>
          <w:rFonts w:eastAsia="Times New Roman"/>
          <w:color w:val="000000"/>
          <w:lang w:eastAsia="en-GB"/>
        </w:rPr>
        <w:t>’État</w:t>
      </w:r>
      <w:r w:rsidRPr="00CE19C0">
        <w:rPr>
          <w:rFonts w:eastAsia="Times New Roman"/>
          <w:color w:val="000000"/>
          <w:lang w:eastAsia="en-GB"/>
        </w:rPr>
        <w:t>, et MM</w:t>
      </w:r>
      <w:r w:rsidR="0076142A" w:rsidRPr="0076142A">
        <w:rPr>
          <w:rFonts w:eastAsia="Times New Roman"/>
          <w:color w:val="000000"/>
          <w:lang w:eastAsia="en-GB"/>
        </w:rPr>
        <w:t>.</w:t>
      </w:r>
      <w:r w:rsidR="0038724A">
        <w:rPr>
          <w:rFonts w:eastAsia="Times New Roman"/>
          <w:color w:val="000000"/>
          <w:lang w:eastAsia="en-GB"/>
        </w:rPr>
        <w:t> </w:t>
      </w:r>
      <w:r w:rsidRPr="00CE19C0">
        <w:rPr>
          <w:rFonts w:eastAsia="Times New Roman"/>
          <w:color w:val="000000"/>
          <w:lang w:eastAsia="en-GB"/>
        </w:rPr>
        <w:t xml:space="preserve">Bouchet, Moutarde, </w:t>
      </w:r>
      <w:proofErr w:type="spellStart"/>
      <w:r w:rsidRPr="00CE19C0">
        <w:rPr>
          <w:rFonts w:eastAsia="Times New Roman"/>
          <w:color w:val="000000"/>
          <w:lang w:eastAsia="en-GB"/>
        </w:rPr>
        <w:t>Vadella</w:t>
      </w:r>
      <w:proofErr w:type="spellEnd"/>
      <w:r w:rsidRPr="00CE19C0">
        <w:rPr>
          <w:rFonts w:eastAsia="Times New Roman"/>
          <w:color w:val="000000"/>
          <w:lang w:eastAsia="en-GB"/>
        </w:rPr>
        <w:t xml:space="preserve"> et </w:t>
      </w:r>
      <w:proofErr w:type="spellStart"/>
      <w:r w:rsidRPr="00CE19C0">
        <w:rPr>
          <w:rFonts w:eastAsia="Times New Roman"/>
          <w:color w:val="000000"/>
          <w:lang w:eastAsia="en-GB"/>
        </w:rPr>
        <w:t>Volpelière</w:t>
      </w:r>
      <w:proofErr w:type="spellEnd"/>
      <w:r w:rsidR="0038724A">
        <w:rPr>
          <w:rFonts w:eastAsia="Times New Roman"/>
          <w:color w:val="000000"/>
          <w:lang w:eastAsia="en-GB"/>
        </w:rPr>
        <w:t> −</w:t>
      </w:r>
      <w:r>
        <w:rPr>
          <w:rFonts w:eastAsia="Times New Roman"/>
          <w:color w:val="000000"/>
          <w:lang w:eastAsia="en-GB"/>
        </w:rPr>
        <w:t xml:space="preserve"> </w:t>
      </w:r>
      <w:r w:rsidRPr="00CE19C0">
        <w:rPr>
          <w:rFonts w:eastAsia="Times New Roman"/>
          <w:color w:val="000000"/>
          <w:lang w:eastAsia="en-GB"/>
        </w:rPr>
        <w:t>ont quitté la séance au moment de l</w:t>
      </w:r>
      <w:r>
        <w:rPr>
          <w:rFonts w:eastAsia="Times New Roman"/>
          <w:color w:val="000000"/>
          <w:lang w:eastAsia="en-GB"/>
        </w:rPr>
        <w:t>’</w:t>
      </w:r>
      <w:r w:rsidRPr="00CE19C0">
        <w:rPr>
          <w:rFonts w:eastAsia="Times New Roman"/>
          <w:color w:val="000000"/>
          <w:lang w:eastAsia="en-GB"/>
        </w:rPr>
        <w:t>examen de la proposition d</w:t>
      </w:r>
      <w:r>
        <w:rPr>
          <w:rFonts w:eastAsia="Times New Roman"/>
          <w:color w:val="000000"/>
          <w:lang w:eastAsia="en-GB"/>
        </w:rPr>
        <w:t>’</w:t>
      </w:r>
      <w:r w:rsidRPr="00CE19C0">
        <w:rPr>
          <w:rFonts w:eastAsia="Times New Roman"/>
          <w:color w:val="000000"/>
          <w:lang w:eastAsia="en-GB"/>
        </w:rPr>
        <w:t>introduction de la plainte</w:t>
      </w:r>
      <w:r w:rsidR="0076142A" w:rsidRPr="0076142A">
        <w:rPr>
          <w:rFonts w:eastAsia="Times New Roman"/>
          <w:color w:val="000000"/>
          <w:lang w:eastAsia="en-GB"/>
        </w:rPr>
        <w:t>.</w:t>
      </w:r>
      <w:r w:rsidRPr="00CE19C0">
        <w:rPr>
          <w:rFonts w:eastAsia="Times New Roman"/>
          <w:color w:val="000000"/>
          <w:lang w:eastAsia="en-GB"/>
        </w:rPr>
        <w:t xml:space="preserve"> Le procès</w:t>
      </w:r>
      <w:r>
        <w:rPr>
          <w:rFonts w:eastAsia="Times New Roman"/>
          <w:color w:val="000000"/>
          <w:lang w:eastAsia="en-GB"/>
        </w:rPr>
        <w:noBreakHyphen/>
      </w:r>
      <w:r w:rsidRPr="00CE19C0">
        <w:rPr>
          <w:rFonts w:eastAsia="Times New Roman"/>
          <w:color w:val="000000"/>
          <w:lang w:eastAsia="en-GB"/>
        </w:rPr>
        <w:t xml:space="preserve">verbal a été approuvé par le </w:t>
      </w:r>
      <w:r>
        <w:rPr>
          <w:rFonts w:eastAsia="Times New Roman"/>
          <w:color w:val="000000"/>
          <w:lang w:eastAsia="en-GB"/>
        </w:rPr>
        <w:t>C</w:t>
      </w:r>
      <w:r w:rsidRPr="00CE19C0">
        <w:rPr>
          <w:rFonts w:eastAsia="Times New Roman"/>
          <w:color w:val="000000"/>
          <w:lang w:eastAsia="en-GB"/>
        </w:rPr>
        <w:t>onseil national de l</w:t>
      </w:r>
      <w:r>
        <w:rPr>
          <w:rFonts w:eastAsia="Times New Roman"/>
          <w:color w:val="000000"/>
          <w:lang w:eastAsia="en-GB"/>
        </w:rPr>
        <w:t>’</w:t>
      </w:r>
      <w:r w:rsidRPr="00CE19C0">
        <w:rPr>
          <w:rFonts w:eastAsia="Times New Roman"/>
          <w:color w:val="000000"/>
          <w:lang w:eastAsia="en-GB"/>
        </w:rPr>
        <w:t xml:space="preserve">ordre lors de sa séance du </w:t>
      </w:r>
      <w:r w:rsidRPr="00A82E8E">
        <w:rPr>
          <w:rFonts w:eastAsia="Times New Roman"/>
          <w:color w:val="000000"/>
          <w:lang w:eastAsia="en-GB"/>
        </w:rPr>
        <w:t>22 juin 2007</w:t>
      </w:r>
      <w:r w:rsidR="0076142A" w:rsidRPr="0076142A">
        <w:rPr>
          <w:rFonts w:eastAsia="Times New Roman"/>
          <w:color w:val="000000"/>
          <w:lang w:eastAsia="en-GB"/>
        </w:rPr>
        <w:t>.</w:t>
      </w:r>
      <w:r w:rsidRPr="00CE19C0">
        <w:rPr>
          <w:rFonts w:eastAsia="Times New Roman"/>
          <w:color w:val="000000"/>
          <w:lang w:eastAsia="en-GB"/>
        </w:rPr>
        <w:t xml:space="preserve"> L</w:t>
      </w:r>
      <w:r>
        <w:rPr>
          <w:rFonts w:eastAsia="Times New Roman"/>
          <w:color w:val="000000"/>
          <w:lang w:eastAsia="en-GB"/>
        </w:rPr>
        <w:t>’État</w:t>
      </w:r>
      <w:r w:rsidRPr="00CE19C0">
        <w:rPr>
          <w:rFonts w:eastAsia="Times New Roman"/>
          <w:color w:val="000000"/>
          <w:lang w:eastAsia="en-GB"/>
        </w:rPr>
        <w:t xml:space="preserve"> partie souligne que l</w:t>
      </w:r>
      <w:r>
        <w:rPr>
          <w:rFonts w:eastAsia="Times New Roman"/>
          <w:color w:val="000000"/>
          <w:lang w:eastAsia="en-GB"/>
        </w:rPr>
        <w:t>’</w:t>
      </w:r>
      <w:r w:rsidRPr="00CE19C0">
        <w:rPr>
          <w:rFonts w:eastAsia="Times New Roman"/>
          <w:color w:val="000000"/>
          <w:lang w:eastAsia="en-GB"/>
        </w:rPr>
        <w:t>auteur n</w:t>
      </w:r>
      <w:r>
        <w:rPr>
          <w:rFonts w:eastAsia="Times New Roman"/>
          <w:color w:val="000000"/>
          <w:lang w:eastAsia="en-GB"/>
        </w:rPr>
        <w:t>’</w:t>
      </w:r>
      <w:r w:rsidRPr="00CE19C0">
        <w:rPr>
          <w:rFonts w:eastAsia="Times New Roman"/>
          <w:color w:val="000000"/>
          <w:lang w:eastAsia="en-GB"/>
        </w:rPr>
        <w:t>a pas fourni la preuve contraire quant à l</w:t>
      </w:r>
      <w:r>
        <w:rPr>
          <w:rFonts w:eastAsia="Times New Roman"/>
          <w:color w:val="000000"/>
          <w:lang w:eastAsia="en-GB"/>
        </w:rPr>
        <w:t>’</w:t>
      </w:r>
      <w:r w:rsidRPr="00CE19C0">
        <w:rPr>
          <w:rFonts w:eastAsia="Times New Roman"/>
          <w:color w:val="000000"/>
          <w:lang w:eastAsia="en-GB"/>
        </w:rPr>
        <w:t>observance de cette formalité</w:t>
      </w:r>
      <w:r w:rsidR="0076142A" w:rsidRPr="0076142A">
        <w:rPr>
          <w:rFonts w:eastAsia="Times New Roman"/>
          <w:color w:val="000000"/>
          <w:lang w:eastAsia="en-GB"/>
        </w:rPr>
        <w:t>.</w:t>
      </w:r>
      <w:r w:rsidRPr="00CE19C0">
        <w:rPr>
          <w:rFonts w:eastAsia="Times New Roman"/>
          <w:color w:val="000000"/>
          <w:lang w:eastAsia="en-GB"/>
        </w:rPr>
        <w:t xml:space="preserve"> </w:t>
      </w:r>
    </w:p>
    <w:p w14:paraId="69EE24AD" w14:textId="490E4593" w:rsidR="002973E4" w:rsidRPr="00CE19C0" w:rsidRDefault="002973E4" w:rsidP="002973E4">
      <w:pPr>
        <w:pStyle w:val="SingleTxtG"/>
        <w:tabs>
          <w:tab w:val="left" w:pos="567"/>
        </w:tabs>
        <w:rPr>
          <w:rFonts w:eastAsia="Times New Roman"/>
          <w:color w:val="000000"/>
          <w:lang w:eastAsia="en-GB"/>
        </w:rPr>
      </w:pPr>
      <w:r>
        <w:rPr>
          <w:rFonts w:eastAsia="Times New Roman"/>
          <w:color w:val="000000"/>
          <w:lang w:eastAsia="en-GB"/>
        </w:rPr>
        <w:t>4</w:t>
      </w:r>
      <w:r w:rsidR="0076142A" w:rsidRPr="0076142A">
        <w:rPr>
          <w:rFonts w:eastAsia="Times New Roman"/>
          <w:color w:val="000000"/>
          <w:lang w:eastAsia="en-GB"/>
        </w:rPr>
        <w:t>.</w:t>
      </w:r>
      <w:r>
        <w:rPr>
          <w:rFonts w:eastAsia="Times New Roman"/>
          <w:color w:val="000000"/>
          <w:lang w:eastAsia="en-GB"/>
        </w:rPr>
        <w:t>10</w:t>
      </w:r>
      <w:r>
        <w:rPr>
          <w:rFonts w:eastAsia="Times New Roman"/>
          <w:color w:val="000000"/>
          <w:lang w:eastAsia="en-GB"/>
        </w:rPr>
        <w:tab/>
      </w:r>
      <w:r w:rsidRPr="00CE19C0">
        <w:rPr>
          <w:rFonts w:eastAsia="Times New Roman"/>
          <w:color w:val="000000"/>
          <w:lang w:eastAsia="en-GB"/>
        </w:rPr>
        <w:t>En ce qui concerne l</w:t>
      </w:r>
      <w:r>
        <w:rPr>
          <w:rFonts w:eastAsia="Times New Roman"/>
          <w:color w:val="000000"/>
          <w:lang w:eastAsia="en-GB"/>
        </w:rPr>
        <w:t>’</w:t>
      </w:r>
      <w:r w:rsidRPr="00CE19C0">
        <w:rPr>
          <w:rFonts w:eastAsia="Times New Roman"/>
          <w:color w:val="000000"/>
          <w:lang w:eastAsia="en-GB"/>
        </w:rPr>
        <w:t>absence de motivation de la décision du 4 avril 2012 du Conseil d</w:t>
      </w:r>
      <w:r>
        <w:rPr>
          <w:rFonts w:eastAsia="Times New Roman"/>
          <w:color w:val="000000"/>
          <w:lang w:eastAsia="en-GB"/>
        </w:rPr>
        <w:t>’État</w:t>
      </w:r>
      <w:r w:rsidRPr="00CE19C0">
        <w:rPr>
          <w:rFonts w:eastAsia="Times New Roman"/>
          <w:color w:val="000000"/>
          <w:lang w:eastAsia="en-GB"/>
        </w:rPr>
        <w:t>, l</w:t>
      </w:r>
      <w:r>
        <w:rPr>
          <w:rFonts w:eastAsia="Times New Roman"/>
          <w:color w:val="000000"/>
          <w:lang w:eastAsia="en-GB"/>
        </w:rPr>
        <w:t>’État</w:t>
      </w:r>
      <w:r w:rsidRPr="00CE19C0">
        <w:rPr>
          <w:rFonts w:eastAsia="Times New Roman"/>
          <w:color w:val="000000"/>
          <w:lang w:eastAsia="en-GB"/>
        </w:rPr>
        <w:t xml:space="preserve"> partie estime que dès lors que la </w:t>
      </w:r>
      <w:r>
        <w:rPr>
          <w:rFonts w:eastAsia="Times New Roman"/>
          <w:color w:val="000000"/>
          <w:lang w:eastAsia="en-GB"/>
        </w:rPr>
        <w:t>C</w:t>
      </w:r>
      <w:r w:rsidRPr="00CE19C0">
        <w:rPr>
          <w:rFonts w:eastAsia="Times New Roman"/>
          <w:color w:val="000000"/>
          <w:lang w:eastAsia="en-GB"/>
        </w:rPr>
        <w:t xml:space="preserve">hambre </w:t>
      </w:r>
      <w:r>
        <w:rPr>
          <w:rFonts w:eastAsia="Times New Roman"/>
          <w:color w:val="000000"/>
          <w:lang w:eastAsia="en-GB"/>
        </w:rPr>
        <w:t xml:space="preserve">disciplinaire </w:t>
      </w:r>
      <w:r w:rsidRPr="00CE19C0">
        <w:rPr>
          <w:rFonts w:eastAsia="Times New Roman"/>
          <w:color w:val="000000"/>
          <w:lang w:eastAsia="en-GB"/>
        </w:rPr>
        <w:t>nationale a suffisamment motivé ses décisions du 18</w:t>
      </w:r>
      <w:r w:rsidR="0038724A">
        <w:rPr>
          <w:rFonts w:eastAsia="Times New Roman"/>
          <w:color w:val="000000"/>
          <w:lang w:eastAsia="en-GB"/>
        </w:rPr>
        <w:t> </w:t>
      </w:r>
      <w:r w:rsidRPr="00CE19C0">
        <w:rPr>
          <w:rFonts w:eastAsia="Times New Roman"/>
          <w:color w:val="000000"/>
          <w:lang w:eastAsia="en-GB"/>
        </w:rPr>
        <w:t>mars 2010 et du 24</w:t>
      </w:r>
      <w:r w:rsidR="0038724A">
        <w:rPr>
          <w:rFonts w:eastAsia="Times New Roman"/>
          <w:color w:val="000000"/>
          <w:lang w:eastAsia="en-GB"/>
        </w:rPr>
        <w:t> </w:t>
      </w:r>
      <w:r w:rsidRPr="00CE19C0">
        <w:rPr>
          <w:rFonts w:eastAsia="Times New Roman"/>
          <w:color w:val="000000"/>
          <w:lang w:eastAsia="en-GB"/>
        </w:rPr>
        <w:t>octobre 2011, la haute juridiction administrative n</w:t>
      </w:r>
      <w:r>
        <w:rPr>
          <w:rFonts w:eastAsia="Times New Roman"/>
          <w:color w:val="000000"/>
          <w:lang w:eastAsia="en-GB"/>
        </w:rPr>
        <w:t>’</w:t>
      </w:r>
      <w:r w:rsidRPr="00CE19C0">
        <w:rPr>
          <w:rFonts w:eastAsia="Times New Roman"/>
          <w:color w:val="000000"/>
          <w:lang w:eastAsia="en-GB"/>
        </w:rPr>
        <w:t xml:space="preserve">était pas tenue de développer les motifs pour lesquels </w:t>
      </w:r>
      <w:r>
        <w:rPr>
          <w:rFonts w:eastAsia="Times New Roman"/>
          <w:color w:val="000000"/>
          <w:lang w:eastAsia="en-GB"/>
        </w:rPr>
        <w:t>elle</w:t>
      </w:r>
      <w:r w:rsidRPr="00CE19C0">
        <w:rPr>
          <w:rFonts w:eastAsia="Times New Roman"/>
          <w:color w:val="000000"/>
          <w:lang w:eastAsia="en-GB"/>
        </w:rPr>
        <w:t xml:space="preserve"> rejetait l</w:t>
      </w:r>
      <w:r>
        <w:rPr>
          <w:rFonts w:eastAsia="Times New Roman"/>
          <w:color w:val="000000"/>
          <w:lang w:eastAsia="en-GB"/>
        </w:rPr>
        <w:t>’</w:t>
      </w:r>
      <w:r w:rsidRPr="00CE19C0">
        <w:rPr>
          <w:rFonts w:eastAsia="Times New Roman"/>
          <w:color w:val="000000"/>
          <w:lang w:eastAsia="en-GB"/>
        </w:rPr>
        <w:t>allégation de l</w:t>
      </w:r>
      <w:r>
        <w:rPr>
          <w:rFonts w:eastAsia="Times New Roman"/>
          <w:color w:val="000000"/>
          <w:lang w:eastAsia="en-GB"/>
        </w:rPr>
        <w:t>’</w:t>
      </w:r>
      <w:r w:rsidRPr="00CE19C0">
        <w:rPr>
          <w:rFonts w:eastAsia="Times New Roman"/>
          <w:color w:val="000000"/>
          <w:lang w:eastAsia="en-GB"/>
        </w:rPr>
        <w:t>auteur</w:t>
      </w:r>
      <w:r>
        <w:rPr>
          <w:rFonts w:eastAsia="Times New Roman"/>
          <w:color w:val="000000"/>
          <w:lang w:eastAsia="en-GB"/>
        </w:rPr>
        <w:t>,</w:t>
      </w:r>
      <w:r w:rsidRPr="00CE19C0">
        <w:rPr>
          <w:rFonts w:eastAsia="Times New Roman"/>
          <w:color w:val="000000"/>
          <w:lang w:eastAsia="en-GB"/>
        </w:rPr>
        <w:t xml:space="preserve"> et que cet état de fait ne nuit pas au respect de l</w:t>
      </w:r>
      <w:r>
        <w:rPr>
          <w:rFonts w:eastAsia="Times New Roman"/>
          <w:color w:val="000000"/>
          <w:lang w:eastAsia="en-GB"/>
        </w:rPr>
        <w:t>’</w:t>
      </w:r>
      <w:r w:rsidRPr="00CE19C0">
        <w:rPr>
          <w:rFonts w:eastAsia="Times New Roman"/>
          <w:color w:val="000000"/>
          <w:lang w:eastAsia="en-GB"/>
        </w:rPr>
        <w:t>article</w:t>
      </w:r>
      <w:r w:rsidR="0038724A">
        <w:rPr>
          <w:rFonts w:eastAsia="Times New Roman"/>
          <w:color w:val="000000"/>
          <w:lang w:eastAsia="en-GB"/>
        </w:rPr>
        <w:t> </w:t>
      </w:r>
      <w:r w:rsidRPr="00CE19C0">
        <w:rPr>
          <w:rFonts w:eastAsia="Times New Roman"/>
          <w:color w:val="000000"/>
          <w:lang w:eastAsia="en-GB"/>
        </w:rPr>
        <w:t>14</w:t>
      </w:r>
      <w:r>
        <w:rPr>
          <w:rFonts w:eastAsia="Times New Roman"/>
          <w:color w:val="000000"/>
          <w:lang w:eastAsia="en-GB"/>
        </w:rPr>
        <w:t xml:space="preserve"> (par</w:t>
      </w:r>
      <w:r w:rsidR="0076142A" w:rsidRPr="0076142A">
        <w:rPr>
          <w:rFonts w:eastAsia="Times New Roman"/>
          <w:color w:val="000000"/>
          <w:lang w:eastAsia="en-GB"/>
        </w:rPr>
        <w:t>.</w:t>
      </w:r>
      <w:r>
        <w:rPr>
          <w:rFonts w:eastAsia="Times New Roman"/>
          <w:color w:val="000000"/>
          <w:lang w:eastAsia="en-GB"/>
        </w:rPr>
        <w:t> </w:t>
      </w:r>
      <w:r w:rsidRPr="00CE19C0">
        <w:rPr>
          <w:rFonts w:eastAsia="Times New Roman"/>
          <w:color w:val="000000"/>
          <w:lang w:eastAsia="en-GB"/>
        </w:rPr>
        <w:t>1</w:t>
      </w:r>
      <w:r>
        <w:rPr>
          <w:rFonts w:eastAsia="Times New Roman"/>
          <w:color w:val="000000"/>
          <w:lang w:eastAsia="en-GB"/>
        </w:rPr>
        <w:t>)</w:t>
      </w:r>
      <w:r w:rsidRPr="00CE19C0">
        <w:rPr>
          <w:rFonts w:eastAsia="Times New Roman"/>
          <w:color w:val="000000"/>
          <w:lang w:eastAsia="en-GB"/>
        </w:rPr>
        <w:t xml:space="preserve"> du Pacte</w:t>
      </w:r>
      <w:r w:rsidRPr="002973E4">
        <w:rPr>
          <w:rStyle w:val="Appelnotedebasdep"/>
        </w:rPr>
        <w:footnoteReference w:id="13"/>
      </w:r>
      <w:r w:rsidR="0076142A" w:rsidRPr="0076142A">
        <w:rPr>
          <w:rFonts w:eastAsia="Times New Roman"/>
          <w:color w:val="000000"/>
          <w:lang w:eastAsia="en-GB"/>
        </w:rPr>
        <w:t>.</w:t>
      </w:r>
      <w:r w:rsidRPr="00CE19C0">
        <w:rPr>
          <w:rFonts w:eastAsia="Times New Roman"/>
          <w:color w:val="000000"/>
          <w:lang w:eastAsia="en-GB"/>
        </w:rPr>
        <w:t xml:space="preserve"> </w:t>
      </w:r>
    </w:p>
    <w:p w14:paraId="7001FE6D" w14:textId="29F14436" w:rsidR="002973E4" w:rsidRPr="00CE19C0" w:rsidRDefault="002973E4" w:rsidP="002973E4">
      <w:pPr>
        <w:pStyle w:val="SingleTxtG"/>
        <w:tabs>
          <w:tab w:val="left" w:pos="567"/>
        </w:tabs>
        <w:rPr>
          <w:rFonts w:eastAsia="Times New Roman"/>
          <w:color w:val="000000"/>
          <w:lang w:eastAsia="en-GB"/>
        </w:rPr>
      </w:pPr>
      <w:r>
        <w:rPr>
          <w:rFonts w:eastAsia="Times New Roman"/>
          <w:color w:val="000000"/>
          <w:lang w:eastAsia="en-GB"/>
        </w:rPr>
        <w:t>4</w:t>
      </w:r>
      <w:r w:rsidR="0076142A" w:rsidRPr="0076142A">
        <w:rPr>
          <w:rFonts w:eastAsia="Times New Roman"/>
          <w:color w:val="000000"/>
          <w:lang w:eastAsia="en-GB"/>
        </w:rPr>
        <w:t>.</w:t>
      </w:r>
      <w:r>
        <w:rPr>
          <w:rFonts w:eastAsia="Times New Roman"/>
          <w:color w:val="000000"/>
          <w:lang w:eastAsia="en-GB"/>
        </w:rPr>
        <w:t>11</w:t>
      </w:r>
      <w:r>
        <w:rPr>
          <w:rFonts w:eastAsia="Times New Roman"/>
          <w:color w:val="000000"/>
          <w:lang w:eastAsia="en-GB"/>
        </w:rPr>
        <w:tab/>
      </w:r>
      <w:r w:rsidRPr="00CE19C0">
        <w:rPr>
          <w:rFonts w:eastAsia="Times New Roman"/>
          <w:color w:val="000000"/>
          <w:lang w:eastAsia="en-GB"/>
        </w:rPr>
        <w:t>L</w:t>
      </w:r>
      <w:r>
        <w:rPr>
          <w:rFonts w:eastAsia="Times New Roman"/>
          <w:color w:val="000000"/>
          <w:lang w:eastAsia="en-GB"/>
        </w:rPr>
        <w:t>’État</w:t>
      </w:r>
      <w:r w:rsidRPr="00CE19C0">
        <w:rPr>
          <w:rFonts w:eastAsia="Times New Roman"/>
          <w:color w:val="000000"/>
          <w:lang w:eastAsia="en-GB"/>
        </w:rPr>
        <w:t xml:space="preserve"> partie souligne que l</w:t>
      </w:r>
      <w:r>
        <w:rPr>
          <w:rFonts w:eastAsia="Times New Roman"/>
          <w:color w:val="000000"/>
          <w:lang w:eastAsia="en-GB"/>
        </w:rPr>
        <w:t>’</w:t>
      </w:r>
      <w:r w:rsidRPr="00CE19C0">
        <w:rPr>
          <w:rFonts w:eastAsia="Times New Roman"/>
          <w:color w:val="000000"/>
          <w:lang w:eastAsia="en-GB"/>
        </w:rPr>
        <w:t>auteur a été en mesure de contester le défaut d</w:t>
      </w:r>
      <w:r>
        <w:rPr>
          <w:rFonts w:eastAsia="Times New Roman"/>
          <w:color w:val="000000"/>
          <w:lang w:eastAsia="en-GB"/>
        </w:rPr>
        <w:t>’</w:t>
      </w:r>
      <w:r w:rsidRPr="00CE19C0">
        <w:rPr>
          <w:rFonts w:eastAsia="Times New Roman"/>
          <w:color w:val="000000"/>
          <w:lang w:eastAsia="en-GB"/>
        </w:rPr>
        <w:t xml:space="preserve">impartialité des membres de la </w:t>
      </w:r>
      <w:r>
        <w:rPr>
          <w:rFonts w:eastAsia="Times New Roman"/>
          <w:color w:val="000000"/>
          <w:lang w:eastAsia="en-GB"/>
        </w:rPr>
        <w:t>C</w:t>
      </w:r>
      <w:r w:rsidRPr="00CE19C0">
        <w:rPr>
          <w:rFonts w:eastAsia="Times New Roman"/>
          <w:color w:val="000000"/>
          <w:lang w:eastAsia="en-GB"/>
        </w:rPr>
        <w:t>hambre disciplinaire nationale devant les juridictions internes, conformément à l</w:t>
      </w:r>
      <w:r>
        <w:rPr>
          <w:rFonts w:eastAsia="Times New Roman"/>
          <w:color w:val="000000"/>
          <w:lang w:eastAsia="en-GB"/>
        </w:rPr>
        <w:t>’</w:t>
      </w:r>
      <w:r w:rsidRPr="00CE19C0">
        <w:rPr>
          <w:rFonts w:eastAsia="Times New Roman"/>
          <w:color w:val="000000"/>
          <w:lang w:eastAsia="en-GB"/>
        </w:rPr>
        <w:t xml:space="preserve">article </w:t>
      </w:r>
      <w:r>
        <w:rPr>
          <w:rFonts w:eastAsia="Times New Roman"/>
          <w:color w:val="000000"/>
          <w:lang w:eastAsia="en-GB"/>
        </w:rPr>
        <w:t>L</w:t>
      </w:r>
      <w:r w:rsidRPr="00CE19C0">
        <w:rPr>
          <w:rFonts w:eastAsia="Times New Roman"/>
          <w:color w:val="000000"/>
          <w:lang w:eastAsia="en-GB"/>
        </w:rPr>
        <w:t xml:space="preserve">4126-2 du </w:t>
      </w:r>
      <w:r>
        <w:rPr>
          <w:rFonts w:eastAsia="Times New Roman"/>
          <w:color w:val="000000"/>
          <w:lang w:eastAsia="en-GB"/>
        </w:rPr>
        <w:t>C</w:t>
      </w:r>
      <w:r w:rsidRPr="00CE19C0">
        <w:rPr>
          <w:rFonts w:eastAsia="Times New Roman"/>
          <w:color w:val="000000"/>
          <w:lang w:eastAsia="en-GB"/>
        </w:rPr>
        <w:t>ode de la santé publique dans sa version en vigueur à l</w:t>
      </w:r>
      <w:r>
        <w:rPr>
          <w:rFonts w:eastAsia="Times New Roman"/>
          <w:color w:val="000000"/>
          <w:lang w:eastAsia="en-GB"/>
        </w:rPr>
        <w:t>’</w:t>
      </w:r>
      <w:r w:rsidRPr="00CE19C0">
        <w:rPr>
          <w:rFonts w:eastAsia="Times New Roman"/>
          <w:color w:val="000000"/>
          <w:lang w:eastAsia="en-GB"/>
        </w:rPr>
        <w:t>époque des faits</w:t>
      </w:r>
      <w:r w:rsidR="0076142A" w:rsidRPr="0076142A">
        <w:rPr>
          <w:rFonts w:eastAsia="Times New Roman"/>
          <w:color w:val="000000"/>
          <w:lang w:eastAsia="en-GB"/>
        </w:rPr>
        <w:t>.</w:t>
      </w:r>
      <w:r w:rsidRPr="00CE19C0">
        <w:rPr>
          <w:rFonts w:eastAsia="Times New Roman"/>
          <w:color w:val="000000"/>
          <w:lang w:eastAsia="en-GB"/>
        </w:rPr>
        <w:t xml:space="preserve"> L</w:t>
      </w:r>
      <w:r>
        <w:rPr>
          <w:rFonts w:eastAsia="Times New Roman"/>
          <w:color w:val="000000"/>
          <w:lang w:eastAsia="en-GB"/>
        </w:rPr>
        <w:t>’État</w:t>
      </w:r>
      <w:r w:rsidRPr="00CE19C0">
        <w:rPr>
          <w:rFonts w:eastAsia="Times New Roman"/>
          <w:color w:val="000000"/>
          <w:lang w:eastAsia="en-GB"/>
        </w:rPr>
        <w:t xml:space="preserve"> partie fait remarquer qu</w:t>
      </w:r>
      <w:r>
        <w:rPr>
          <w:rFonts w:eastAsia="Times New Roman"/>
          <w:color w:val="000000"/>
          <w:lang w:eastAsia="en-GB"/>
        </w:rPr>
        <w:t>’</w:t>
      </w:r>
      <w:r w:rsidRPr="00CE19C0">
        <w:rPr>
          <w:rFonts w:eastAsia="Times New Roman"/>
          <w:color w:val="000000"/>
          <w:lang w:eastAsia="en-GB"/>
        </w:rPr>
        <w:t>entre</w:t>
      </w:r>
      <w:r>
        <w:rPr>
          <w:rFonts w:eastAsia="Times New Roman"/>
          <w:color w:val="000000"/>
          <w:lang w:eastAsia="en-GB"/>
        </w:rPr>
        <w:t>-</w:t>
      </w:r>
      <w:r w:rsidRPr="00CE19C0">
        <w:rPr>
          <w:rFonts w:eastAsia="Times New Roman"/>
          <w:color w:val="000000"/>
          <w:lang w:eastAsia="en-GB"/>
        </w:rPr>
        <w:t xml:space="preserve">temps, la </w:t>
      </w:r>
      <w:r>
        <w:rPr>
          <w:rFonts w:eastAsia="Times New Roman"/>
          <w:color w:val="000000"/>
          <w:lang w:eastAsia="en-GB"/>
        </w:rPr>
        <w:t>C</w:t>
      </w:r>
      <w:r w:rsidRPr="00CE19C0">
        <w:rPr>
          <w:rFonts w:eastAsia="Times New Roman"/>
          <w:color w:val="000000"/>
          <w:lang w:eastAsia="en-GB"/>
        </w:rPr>
        <w:t>hambre disciplinaire nationale s</w:t>
      </w:r>
      <w:r>
        <w:rPr>
          <w:rFonts w:eastAsia="Times New Roman"/>
          <w:color w:val="000000"/>
          <w:lang w:eastAsia="en-GB"/>
        </w:rPr>
        <w:t>’</w:t>
      </w:r>
      <w:r w:rsidRPr="00CE19C0">
        <w:rPr>
          <w:rFonts w:eastAsia="Times New Roman"/>
          <w:color w:val="000000"/>
          <w:lang w:eastAsia="en-GB"/>
        </w:rPr>
        <w:t xml:space="preserve">est prononcée le 18 mars 2010 sur la demande </w:t>
      </w:r>
      <w:r>
        <w:rPr>
          <w:rFonts w:eastAsia="Times New Roman"/>
          <w:color w:val="000000"/>
          <w:lang w:eastAsia="en-GB"/>
        </w:rPr>
        <w:t xml:space="preserve">formulée par </w:t>
      </w:r>
      <w:r w:rsidRPr="00CE19C0">
        <w:rPr>
          <w:rFonts w:eastAsia="Times New Roman"/>
          <w:color w:val="000000"/>
          <w:lang w:eastAsia="en-GB"/>
        </w:rPr>
        <w:t>l</w:t>
      </w:r>
      <w:r>
        <w:rPr>
          <w:rFonts w:eastAsia="Times New Roman"/>
          <w:color w:val="000000"/>
          <w:lang w:eastAsia="en-GB"/>
        </w:rPr>
        <w:t>’</w:t>
      </w:r>
      <w:r w:rsidRPr="00CE19C0">
        <w:rPr>
          <w:rFonts w:eastAsia="Times New Roman"/>
          <w:color w:val="000000"/>
          <w:lang w:eastAsia="en-GB"/>
        </w:rPr>
        <w:t>auteur par la même décision que celle par laquelle elle s</w:t>
      </w:r>
      <w:r>
        <w:rPr>
          <w:rFonts w:eastAsia="Times New Roman"/>
          <w:color w:val="000000"/>
          <w:lang w:eastAsia="en-GB"/>
        </w:rPr>
        <w:t>’</w:t>
      </w:r>
      <w:r w:rsidRPr="00CE19C0">
        <w:rPr>
          <w:rFonts w:eastAsia="Times New Roman"/>
          <w:color w:val="000000"/>
          <w:lang w:eastAsia="en-GB"/>
        </w:rPr>
        <w:t>est prononcée sur l</w:t>
      </w:r>
      <w:r>
        <w:rPr>
          <w:rFonts w:eastAsia="Times New Roman"/>
          <w:color w:val="000000"/>
          <w:lang w:eastAsia="en-GB"/>
        </w:rPr>
        <w:t>’</w:t>
      </w:r>
      <w:r w:rsidRPr="00CE19C0">
        <w:rPr>
          <w:rFonts w:eastAsia="Times New Roman"/>
          <w:color w:val="000000"/>
          <w:lang w:eastAsia="en-GB"/>
        </w:rPr>
        <w:t>appel formé par le praticien sur la décision du 12 décembre 2008</w:t>
      </w:r>
      <w:r w:rsidR="0076142A" w:rsidRPr="0076142A">
        <w:rPr>
          <w:rFonts w:eastAsia="Times New Roman"/>
          <w:color w:val="000000"/>
          <w:lang w:eastAsia="en-GB"/>
        </w:rPr>
        <w:t>.</w:t>
      </w:r>
      <w:r w:rsidRPr="00CE19C0">
        <w:rPr>
          <w:rFonts w:eastAsia="Times New Roman"/>
          <w:color w:val="000000"/>
          <w:lang w:eastAsia="en-GB"/>
        </w:rPr>
        <w:t xml:space="preserve"> La </w:t>
      </w:r>
      <w:r>
        <w:rPr>
          <w:rFonts w:eastAsia="Times New Roman"/>
          <w:color w:val="000000"/>
          <w:lang w:eastAsia="en-GB"/>
        </w:rPr>
        <w:t>C</w:t>
      </w:r>
      <w:r w:rsidRPr="00CE19C0">
        <w:rPr>
          <w:rFonts w:eastAsia="Times New Roman"/>
          <w:color w:val="000000"/>
          <w:lang w:eastAsia="en-GB"/>
        </w:rPr>
        <w:t xml:space="preserve">hambre disciplinaire nationale a en effet estimé que la demande </w:t>
      </w:r>
      <w:r>
        <w:rPr>
          <w:rFonts w:eastAsia="Times New Roman"/>
          <w:color w:val="000000"/>
          <w:lang w:eastAsia="en-GB"/>
        </w:rPr>
        <w:t xml:space="preserve">de </w:t>
      </w:r>
      <w:r w:rsidRPr="00CE19C0">
        <w:rPr>
          <w:rFonts w:eastAsia="Times New Roman"/>
          <w:color w:val="000000"/>
          <w:lang w:eastAsia="en-GB"/>
        </w:rPr>
        <w:t>l</w:t>
      </w:r>
      <w:r>
        <w:rPr>
          <w:rFonts w:eastAsia="Times New Roman"/>
          <w:color w:val="000000"/>
          <w:lang w:eastAsia="en-GB"/>
        </w:rPr>
        <w:t>’</w:t>
      </w:r>
      <w:r w:rsidRPr="00CE19C0">
        <w:rPr>
          <w:rFonts w:eastAsia="Times New Roman"/>
          <w:color w:val="000000"/>
          <w:lang w:eastAsia="en-GB"/>
        </w:rPr>
        <w:t>auteur était irrecevable, dans la mesure où cette demande ne tendait pas, comme le permettent les dispositions de l</w:t>
      </w:r>
      <w:r>
        <w:rPr>
          <w:rFonts w:eastAsia="Times New Roman"/>
          <w:color w:val="000000"/>
          <w:lang w:eastAsia="en-GB"/>
        </w:rPr>
        <w:t>’</w:t>
      </w:r>
      <w:r w:rsidRPr="00CE19C0">
        <w:rPr>
          <w:rFonts w:eastAsia="Times New Roman"/>
          <w:color w:val="000000"/>
          <w:lang w:eastAsia="en-GB"/>
        </w:rPr>
        <w:t xml:space="preserve">article L721-1 du </w:t>
      </w:r>
      <w:r>
        <w:rPr>
          <w:rFonts w:eastAsia="Times New Roman"/>
          <w:color w:val="000000"/>
          <w:lang w:eastAsia="en-GB"/>
        </w:rPr>
        <w:t>C</w:t>
      </w:r>
      <w:r w:rsidRPr="00CE19C0">
        <w:rPr>
          <w:rFonts w:eastAsia="Times New Roman"/>
          <w:color w:val="000000"/>
          <w:lang w:eastAsia="en-GB"/>
        </w:rPr>
        <w:t>ode de justice administrative, à demander la récusation d</w:t>
      </w:r>
      <w:r>
        <w:rPr>
          <w:rFonts w:eastAsia="Times New Roman"/>
          <w:color w:val="000000"/>
          <w:lang w:eastAsia="en-GB"/>
        </w:rPr>
        <w:t>’</w:t>
      </w:r>
      <w:r w:rsidRPr="00CE19C0">
        <w:rPr>
          <w:rFonts w:eastAsia="Times New Roman"/>
          <w:color w:val="000000"/>
          <w:lang w:eastAsia="en-GB"/>
        </w:rPr>
        <w:t>un membre de la juridiction ordinale mais celle de l</w:t>
      </w:r>
      <w:r>
        <w:rPr>
          <w:rFonts w:eastAsia="Times New Roman"/>
          <w:color w:val="000000"/>
          <w:lang w:eastAsia="en-GB"/>
        </w:rPr>
        <w:t>’</w:t>
      </w:r>
      <w:r w:rsidRPr="00CE19C0">
        <w:rPr>
          <w:rFonts w:eastAsia="Times New Roman"/>
          <w:color w:val="000000"/>
          <w:lang w:eastAsia="en-GB"/>
        </w:rPr>
        <w:t>ensemble de ses membres et, par conséquent, un renvoi de l</w:t>
      </w:r>
      <w:r>
        <w:rPr>
          <w:rFonts w:eastAsia="Times New Roman"/>
          <w:color w:val="000000"/>
          <w:lang w:eastAsia="en-GB"/>
        </w:rPr>
        <w:t>’</w:t>
      </w:r>
      <w:r w:rsidRPr="00CE19C0">
        <w:rPr>
          <w:rFonts w:eastAsia="Times New Roman"/>
          <w:color w:val="000000"/>
          <w:lang w:eastAsia="en-GB"/>
        </w:rPr>
        <w:t>affaire devant le Conseil d</w:t>
      </w:r>
      <w:r>
        <w:rPr>
          <w:rFonts w:eastAsia="Times New Roman"/>
          <w:color w:val="000000"/>
          <w:lang w:eastAsia="en-GB"/>
        </w:rPr>
        <w:t>’État</w:t>
      </w:r>
      <w:r w:rsidR="0076142A" w:rsidRPr="0076142A">
        <w:rPr>
          <w:rFonts w:eastAsia="Times New Roman"/>
          <w:color w:val="000000"/>
          <w:lang w:eastAsia="en-GB"/>
        </w:rPr>
        <w:t>.</w:t>
      </w:r>
      <w:r w:rsidRPr="00CE19C0">
        <w:rPr>
          <w:rFonts w:eastAsia="Times New Roman"/>
          <w:color w:val="000000"/>
          <w:lang w:eastAsia="en-GB"/>
        </w:rPr>
        <w:t xml:space="preserve"> L</w:t>
      </w:r>
      <w:r>
        <w:rPr>
          <w:rFonts w:eastAsia="Times New Roman"/>
          <w:color w:val="000000"/>
          <w:lang w:eastAsia="en-GB"/>
        </w:rPr>
        <w:t>’État</w:t>
      </w:r>
      <w:r w:rsidRPr="00CE19C0">
        <w:rPr>
          <w:rFonts w:eastAsia="Times New Roman"/>
          <w:color w:val="000000"/>
          <w:lang w:eastAsia="en-GB"/>
        </w:rPr>
        <w:t xml:space="preserve"> partie </w:t>
      </w:r>
      <w:r>
        <w:rPr>
          <w:rFonts w:eastAsia="Times New Roman"/>
          <w:color w:val="000000"/>
          <w:lang w:eastAsia="en-GB"/>
        </w:rPr>
        <w:t>indique</w:t>
      </w:r>
      <w:r w:rsidRPr="00CE19C0">
        <w:rPr>
          <w:rFonts w:eastAsia="Times New Roman"/>
          <w:color w:val="000000"/>
          <w:lang w:eastAsia="en-GB"/>
        </w:rPr>
        <w:t xml:space="preserve"> que l</w:t>
      </w:r>
      <w:r>
        <w:rPr>
          <w:rFonts w:eastAsia="Times New Roman"/>
          <w:color w:val="000000"/>
          <w:lang w:eastAsia="en-GB"/>
        </w:rPr>
        <w:t>’</w:t>
      </w:r>
      <w:r w:rsidRPr="00CE19C0">
        <w:rPr>
          <w:rFonts w:eastAsia="Times New Roman"/>
          <w:color w:val="000000"/>
          <w:lang w:eastAsia="en-GB"/>
        </w:rPr>
        <w:t>auteur a pu, à chaque étape de la procédure, critiquer la composition de la formation de jugement et que rien ne permet de mettre en doute le caractère impartial et indépendant des juges de la cause</w:t>
      </w:r>
      <w:r w:rsidR="0076142A" w:rsidRPr="0076142A">
        <w:rPr>
          <w:rFonts w:eastAsia="Times New Roman"/>
          <w:color w:val="000000"/>
          <w:lang w:eastAsia="en-GB"/>
        </w:rPr>
        <w:t>.</w:t>
      </w:r>
      <w:r w:rsidRPr="00CE19C0">
        <w:rPr>
          <w:rFonts w:eastAsia="Times New Roman"/>
          <w:color w:val="000000"/>
          <w:lang w:eastAsia="en-GB"/>
        </w:rPr>
        <w:t xml:space="preserve"> </w:t>
      </w:r>
    </w:p>
    <w:p w14:paraId="178A85EC" w14:textId="1DFACA94" w:rsidR="002973E4" w:rsidRPr="00CE19C0" w:rsidRDefault="002973E4" w:rsidP="002973E4">
      <w:pPr>
        <w:pStyle w:val="SingleTxtG"/>
        <w:tabs>
          <w:tab w:val="left" w:pos="567"/>
        </w:tabs>
        <w:rPr>
          <w:rFonts w:eastAsia="Times New Roman"/>
          <w:color w:val="000000"/>
          <w:lang w:eastAsia="en-GB"/>
        </w:rPr>
      </w:pPr>
      <w:r>
        <w:rPr>
          <w:rFonts w:eastAsia="Times New Roman"/>
          <w:color w:val="000000"/>
          <w:lang w:eastAsia="en-GB"/>
        </w:rPr>
        <w:t>4</w:t>
      </w:r>
      <w:r w:rsidR="0076142A" w:rsidRPr="0076142A">
        <w:rPr>
          <w:rFonts w:eastAsia="Times New Roman"/>
          <w:color w:val="000000"/>
          <w:lang w:eastAsia="en-GB"/>
        </w:rPr>
        <w:t>.</w:t>
      </w:r>
      <w:r>
        <w:rPr>
          <w:rFonts w:eastAsia="Times New Roman"/>
          <w:color w:val="000000"/>
          <w:lang w:eastAsia="en-GB"/>
        </w:rPr>
        <w:t>12</w:t>
      </w:r>
      <w:r>
        <w:rPr>
          <w:rFonts w:eastAsia="Times New Roman"/>
          <w:color w:val="000000"/>
          <w:lang w:eastAsia="en-GB"/>
        </w:rPr>
        <w:tab/>
      </w:r>
      <w:r w:rsidRPr="00CE19C0">
        <w:rPr>
          <w:rFonts w:eastAsia="Times New Roman"/>
          <w:color w:val="000000"/>
          <w:lang w:eastAsia="en-GB"/>
        </w:rPr>
        <w:t>L</w:t>
      </w:r>
      <w:r>
        <w:rPr>
          <w:rFonts w:eastAsia="Times New Roman"/>
          <w:color w:val="000000"/>
          <w:lang w:eastAsia="en-GB"/>
        </w:rPr>
        <w:t>’État</w:t>
      </w:r>
      <w:r w:rsidRPr="00CE19C0">
        <w:rPr>
          <w:rFonts w:eastAsia="Times New Roman"/>
          <w:color w:val="000000"/>
          <w:lang w:eastAsia="en-GB"/>
        </w:rPr>
        <w:t xml:space="preserve"> partie </w:t>
      </w:r>
      <w:r>
        <w:rPr>
          <w:rFonts w:eastAsia="Times New Roman"/>
          <w:color w:val="000000"/>
          <w:lang w:eastAsia="en-GB"/>
        </w:rPr>
        <w:t>soutient</w:t>
      </w:r>
      <w:r w:rsidRPr="00CE19C0">
        <w:rPr>
          <w:rFonts w:eastAsia="Times New Roman"/>
          <w:color w:val="000000"/>
          <w:lang w:eastAsia="en-GB"/>
        </w:rPr>
        <w:t xml:space="preserve"> à titre principal que le grief tiré de la violation de l</w:t>
      </w:r>
      <w:r>
        <w:rPr>
          <w:rFonts w:eastAsia="Times New Roman"/>
          <w:color w:val="000000"/>
          <w:lang w:eastAsia="en-GB"/>
        </w:rPr>
        <w:t>’</w:t>
      </w:r>
      <w:r w:rsidRPr="00CE19C0">
        <w:rPr>
          <w:rFonts w:eastAsia="Times New Roman"/>
          <w:color w:val="000000"/>
          <w:lang w:eastAsia="en-GB"/>
        </w:rPr>
        <w:t>article</w:t>
      </w:r>
      <w:r>
        <w:rPr>
          <w:rFonts w:eastAsia="Times New Roman"/>
          <w:color w:val="000000"/>
          <w:lang w:eastAsia="en-GB"/>
        </w:rPr>
        <w:t> </w:t>
      </w:r>
      <w:r w:rsidRPr="00CE19C0">
        <w:rPr>
          <w:rFonts w:eastAsia="Times New Roman"/>
          <w:color w:val="000000"/>
          <w:lang w:eastAsia="en-GB"/>
        </w:rPr>
        <w:t>19 du Pacte est irrecevable, pour non-épuisement des voies de recours internes</w:t>
      </w:r>
      <w:r w:rsidRPr="00CE19C0">
        <w:t xml:space="preserve"> </w:t>
      </w:r>
      <w:r w:rsidRPr="00CE19C0">
        <w:rPr>
          <w:rFonts w:eastAsia="Times New Roman"/>
          <w:color w:val="000000"/>
          <w:lang w:eastAsia="en-GB"/>
        </w:rPr>
        <w:t>au regard de l</w:t>
      </w:r>
      <w:r>
        <w:rPr>
          <w:rFonts w:eastAsia="Times New Roman"/>
          <w:color w:val="000000"/>
          <w:lang w:eastAsia="en-GB"/>
        </w:rPr>
        <w:t>’</w:t>
      </w:r>
      <w:r w:rsidRPr="00CE19C0">
        <w:rPr>
          <w:rFonts w:eastAsia="Times New Roman"/>
          <w:color w:val="000000"/>
          <w:lang w:eastAsia="en-GB"/>
        </w:rPr>
        <w:t>article</w:t>
      </w:r>
      <w:r w:rsidR="0038724A">
        <w:rPr>
          <w:rFonts w:eastAsia="Times New Roman"/>
          <w:color w:val="000000"/>
          <w:lang w:eastAsia="en-GB"/>
        </w:rPr>
        <w:t> </w:t>
      </w:r>
      <w:r w:rsidRPr="00CE19C0">
        <w:rPr>
          <w:rFonts w:eastAsia="Times New Roman"/>
          <w:color w:val="000000"/>
          <w:lang w:eastAsia="en-GB"/>
        </w:rPr>
        <w:t>5</w:t>
      </w:r>
      <w:r>
        <w:rPr>
          <w:rFonts w:eastAsia="Times New Roman"/>
          <w:color w:val="000000"/>
          <w:lang w:eastAsia="en-GB"/>
        </w:rPr>
        <w:t xml:space="preserve"> (par</w:t>
      </w:r>
      <w:r w:rsidR="0076142A" w:rsidRPr="0076142A">
        <w:rPr>
          <w:rFonts w:eastAsia="Times New Roman"/>
          <w:color w:val="000000"/>
          <w:lang w:eastAsia="en-GB"/>
        </w:rPr>
        <w:t>.</w:t>
      </w:r>
      <w:r>
        <w:rPr>
          <w:rFonts w:eastAsia="Times New Roman"/>
          <w:color w:val="000000"/>
          <w:lang w:eastAsia="en-GB"/>
        </w:rPr>
        <w:t> 2 b))</w:t>
      </w:r>
      <w:r w:rsidRPr="00CE19C0">
        <w:rPr>
          <w:rFonts w:eastAsia="Times New Roman"/>
          <w:color w:val="000000"/>
          <w:lang w:eastAsia="en-GB"/>
        </w:rPr>
        <w:t xml:space="preserve"> du Protocole facultatif</w:t>
      </w:r>
      <w:r w:rsidR="0076142A" w:rsidRPr="0076142A">
        <w:rPr>
          <w:rFonts w:eastAsia="Times New Roman"/>
          <w:color w:val="000000"/>
          <w:lang w:eastAsia="en-GB"/>
        </w:rPr>
        <w:t>.</w:t>
      </w:r>
      <w:r w:rsidRPr="00CE19C0">
        <w:rPr>
          <w:rFonts w:eastAsia="Times New Roman"/>
          <w:color w:val="000000"/>
          <w:lang w:eastAsia="en-GB"/>
        </w:rPr>
        <w:t xml:space="preserve"> Il estime qu</w:t>
      </w:r>
      <w:r>
        <w:rPr>
          <w:rFonts w:eastAsia="Times New Roman"/>
          <w:color w:val="000000"/>
          <w:lang w:eastAsia="en-GB"/>
        </w:rPr>
        <w:t>’</w:t>
      </w:r>
      <w:r w:rsidRPr="00CE19C0">
        <w:rPr>
          <w:rFonts w:eastAsia="Times New Roman"/>
          <w:color w:val="000000"/>
          <w:lang w:eastAsia="en-GB"/>
        </w:rPr>
        <w:t>il était loisible à l</w:t>
      </w:r>
      <w:r>
        <w:rPr>
          <w:rFonts w:eastAsia="Times New Roman"/>
          <w:color w:val="000000"/>
          <w:lang w:eastAsia="en-GB"/>
        </w:rPr>
        <w:t>’</w:t>
      </w:r>
      <w:r w:rsidRPr="00CE19C0">
        <w:rPr>
          <w:rFonts w:eastAsia="Times New Roman"/>
          <w:color w:val="000000"/>
          <w:lang w:eastAsia="en-GB"/>
        </w:rPr>
        <w:t>auteur d</w:t>
      </w:r>
      <w:r>
        <w:rPr>
          <w:rFonts w:eastAsia="Times New Roman"/>
          <w:color w:val="000000"/>
          <w:lang w:eastAsia="en-GB"/>
        </w:rPr>
        <w:t>’</w:t>
      </w:r>
      <w:r w:rsidRPr="00CE19C0">
        <w:rPr>
          <w:rFonts w:eastAsia="Times New Roman"/>
          <w:color w:val="000000"/>
          <w:lang w:eastAsia="en-GB"/>
        </w:rPr>
        <w:t>évoquer ce grief devant les juridictions disciplinaires nationales et devant le Conseil d</w:t>
      </w:r>
      <w:r>
        <w:rPr>
          <w:rFonts w:eastAsia="Times New Roman"/>
          <w:color w:val="000000"/>
          <w:lang w:eastAsia="en-GB"/>
        </w:rPr>
        <w:t>’État</w:t>
      </w:r>
      <w:r w:rsidR="0076142A" w:rsidRPr="0076142A">
        <w:rPr>
          <w:rFonts w:eastAsia="Times New Roman"/>
          <w:color w:val="000000"/>
          <w:lang w:eastAsia="en-GB"/>
        </w:rPr>
        <w:t>.</w:t>
      </w:r>
      <w:r w:rsidRPr="00CE19C0">
        <w:rPr>
          <w:rFonts w:eastAsia="Times New Roman"/>
          <w:color w:val="000000"/>
          <w:lang w:eastAsia="en-GB"/>
        </w:rPr>
        <w:t xml:space="preserve"> L</w:t>
      </w:r>
      <w:r>
        <w:rPr>
          <w:rFonts w:eastAsia="Times New Roman"/>
          <w:color w:val="000000"/>
          <w:lang w:eastAsia="en-GB"/>
        </w:rPr>
        <w:t>’État</w:t>
      </w:r>
      <w:r w:rsidRPr="00CE19C0">
        <w:rPr>
          <w:rFonts w:eastAsia="Times New Roman"/>
          <w:color w:val="000000"/>
          <w:lang w:eastAsia="en-GB"/>
        </w:rPr>
        <w:t xml:space="preserve"> </w:t>
      </w:r>
      <w:r w:rsidRPr="00CE19C0">
        <w:rPr>
          <w:rFonts w:eastAsia="Times New Roman"/>
          <w:color w:val="000000"/>
          <w:lang w:eastAsia="en-GB"/>
        </w:rPr>
        <w:lastRenderedPageBreak/>
        <w:t>partie relève que l</w:t>
      </w:r>
      <w:r>
        <w:rPr>
          <w:rFonts w:eastAsia="Times New Roman"/>
          <w:color w:val="000000"/>
          <w:lang w:eastAsia="en-GB"/>
        </w:rPr>
        <w:t>’</w:t>
      </w:r>
      <w:r w:rsidRPr="00CE19C0">
        <w:rPr>
          <w:rFonts w:eastAsia="Times New Roman"/>
          <w:color w:val="000000"/>
          <w:lang w:eastAsia="en-GB"/>
        </w:rPr>
        <w:t>auteur n</w:t>
      </w:r>
      <w:r>
        <w:rPr>
          <w:rFonts w:eastAsia="Times New Roman"/>
          <w:color w:val="000000"/>
          <w:lang w:eastAsia="en-GB"/>
        </w:rPr>
        <w:t>’</w:t>
      </w:r>
      <w:r w:rsidRPr="00CE19C0">
        <w:rPr>
          <w:rFonts w:eastAsia="Times New Roman"/>
          <w:color w:val="000000"/>
          <w:lang w:eastAsia="en-GB"/>
        </w:rPr>
        <w:t>a contesté le bien-fondé du jugement rendu par la chambre disciplinaire de première instance que tardivement, c</w:t>
      </w:r>
      <w:r>
        <w:rPr>
          <w:rFonts w:eastAsia="Times New Roman"/>
          <w:color w:val="000000"/>
          <w:lang w:eastAsia="en-GB"/>
        </w:rPr>
        <w:t>’</w:t>
      </w:r>
      <w:r w:rsidRPr="00CE19C0">
        <w:rPr>
          <w:rFonts w:eastAsia="Times New Roman"/>
          <w:color w:val="000000"/>
          <w:lang w:eastAsia="en-GB"/>
        </w:rPr>
        <w:t>est-à-dire après l</w:t>
      </w:r>
      <w:r>
        <w:rPr>
          <w:rFonts w:eastAsia="Times New Roman"/>
          <w:color w:val="000000"/>
          <w:lang w:eastAsia="en-GB"/>
        </w:rPr>
        <w:t>’</w:t>
      </w:r>
      <w:r w:rsidRPr="00CE19C0">
        <w:rPr>
          <w:rFonts w:eastAsia="Times New Roman"/>
          <w:color w:val="000000"/>
          <w:lang w:eastAsia="en-GB"/>
        </w:rPr>
        <w:t>expiration du délai d</w:t>
      </w:r>
      <w:r>
        <w:rPr>
          <w:rFonts w:eastAsia="Times New Roman"/>
          <w:color w:val="000000"/>
          <w:lang w:eastAsia="en-GB"/>
        </w:rPr>
        <w:t>’</w:t>
      </w:r>
      <w:r w:rsidRPr="00CE19C0">
        <w:rPr>
          <w:rFonts w:eastAsia="Times New Roman"/>
          <w:color w:val="000000"/>
          <w:lang w:eastAsia="en-GB"/>
        </w:rPr>
        <w:t>appel, les 20 et 30</w:t>
      </w:r>
      <w:r w:rsidR="0038724A">
        <w:rPr>
          <w:rFonts w:eastAsia="Times New Roman"/>
          <w:color w:val="000000"/>
          <w:lang w:eastAsia="en-GB"/>
        </w:rPr>
        <w:t> </w:t>
      </w:r>
      <w:r w:rsidRPr="00CE19C0">
        <w:rPr>
          <w:rFonts w:eastAsia="Times New Roman"/>
          <w:color w:val="000000"/>
          <w:lang w:eastAsia="en-GB"/>
        </w:rPr>
        <w:t>novembre 2009</w:t>
      </w:r>
      <w:r w:rsidR="0076142A" w:rsidRPr="0076142A">
        <w:rPr>
          <w:rFonts w:eastAsia="Times New Roman"/>
          <w:color w:val="000000"/>
          <w:lang w:eastAsia="en-GB"/>
        </w:rPr>
        <w:t>.</w:t>
      </w:r>
      <w:r w:rsidRPr="00CE19C0">
        <w:rPr>
          <w:rFonts w:eastAsia="Times New Roman"/>
          <w:color w:val="000000"/>
          <w:lang w:eastAsia="en-GB"/>
        </w:rPr>
        <w:t xml:space="preserve"> </w:t>
      </w:r>
      <w:r>
        <w:rPr>
          <w:rFonts w:eastAsia="Times New Roman"/>
          <w:color w:val="000000"/>
          <w:lang w:eastAsia="en-GB"/>
        </w:rPr>
        <w:t>De ce fait</w:t>
      </w:r>
      <w:r w:rsidRPr="00CE19C0">
        <w:rPr>
          <w:rFonts w:eastAsia="Times New Roman"/>
          <w:color w:val="000000"/>
          <w:lang w:eastAsia="en-GB"/>
        </w:rPr>
        <w:t>, il est frappé de forclusion sur ce moyen</w:t>
      </w:r>
      <w:r w:rsidRPr="002973E4">
        <w:rPr>
          <w:rStyle w:val="Appelnotedebasdep"/>
        </w:rPr>
        <w:footnoteReference w:id="14"/>
      </w:r>
      <w:r w:rsidR="0076142A" w:rsidRPr="0076142A">
        <w:rPr>
          <w:rFonts w:eastAsia="Times New Roman"/>
          <w:color w:val="000000"/>
          <w:lang w:eastAsia="en-GB"/>
        </w:rPr>
        <w:t>.</w:t>
      </w:r>
      <w:r w:rsidRPr="00CE19C0">
        <w:rPr>
          <w:rFonts w:eastAsia="Times New Roman"/>
          <w:color w:val="000000"/>
          <w:lang w:eastAsia="en-GB"/>
        </w:rPr>
        <w:t xml:space="preserve"> L</w:t>
      </w:r>
      <w:r>
        <w:rPr>
          <w:rFonts w:eastAsia="Times New Roman"/>
          <w:color w:val="000000"/>
          <w:lang w:eastAsia="en-GB"/>
        </w:rPr>
        <w:t>’État</w:t>
      </w:r>
      <w:r w:rsidRPr="00CE19C0">
        <w:rPr>
          <w:rFonts w:eastAsia="Times New Roman"/>
          <w:color w:val="000000"/>
          <w:lang w:eastAsia="en-GB"/>
        </w:rPr>
        <w:t xml:space="preserve"> partie fait valoir en conséquence que l</w:t>
      </w:r>
      <w:r>
        <w:rPr>
          <w:rFonts w:eastAsia="Times New Roman"/>
          <w:color w:val="000000"/>
          <w:lang w:eastAsia="en-GB"/>
        </w:rPr>
        <w:t>’</w:t>
      </w:r>
      <w:r w:rsidRPr="00CE19C0">
        <w:rPr>
          <w:rFonts w:eastAsia="Times New Roman"/>
          <w:color w:val="000000"/>
          <w:lang w:eastAsia="en-GB"/>
        </w:rPr>
        <w:t>auteur ne saurait se plaindre de ce que le Conseil d</w:t>
      </w:r>
      <w:r>
        <w:rPr>
          <w:rFonts w:eastAsia="Times New Roman"/>
          <w:color w:val="000000"/>
          <w:lang w:eastAsia="en-GB"/>
        </w:rPr>
        <w:t>’État</w:t>
      </w:r>
      <w:r w:rsidRPr="00CE19C0">
        <w:rPr>
          <w:rFonts w:eastAsia="Times New Roman"/>
          <w:color w:val="000000"/>
          <w:lang w:eastAsia="en-GB"/>
        </w:rPr>
        <w:t xml:space="preserve"> ne l</w:t>
      </w:r>
      <w:r>
        <w:rPr>
          <w:rFonts w:eastAsia="Times New Roman"/>
          <w:color w:val="000000"/>
          <w:lang w:eastAsia="en-GB"/>
        </w:rPr>
        <w:t>’</w:t>
      </w:r>
      <w:r w:rsidRPr="00CE19C0">
        <w:rPr>
          <w:rFonts w:eastAsia="Times New Roman"/>
          <w:color w:val="000000"/>
          <w:lang w:eastAsia="en-GB"/>
        </w:rPr>
        <w:t>a pas «</w:t>
      </w:r>
      <w:r>
        <w:rPr>
          <w:rFonts w:eastAsia="Times New Roman"/>
          <w:color w:val="000000"/>
          <w:lang w:eastAsia="en-GB"/>
        </w:rPr>
        <w:t> </w:t>
      </w:r>
      <w:r w:rsidRPr="00CE19C0">
        <w:rPr>
          <w:rFonts w:eastAsia="Times New Roman"/>
          <w:color w:val="000000"/>
          <w:lang w:eastAsia="en-GB"/>
        </w:rPr>
        <w:t>protégé</w:t>
      </w:r>
      <w:r>
        <w:rPr>
          <w:rFonts w:eastAsia="Times New Roman"/>
          <w:color w:val="000000"/>
          <w:lang w:eastAsia="en-GB"/>
        </w:rPr>
        <w:t> </w:t>
      </w:r>
      <w:r w:rsidRPr="00CE19C0">
        <w:rPr>
          <w:rFonts w:eastAsia="Times New Roman"/>
          <w:color w:val="000000"/>
          <w:lang w:eastAsia="en-GB"/>
        </w:rPr>
        <w:t>» au sens de l</w:t>
      </w:r>
      <w:r>
        <w:rPr>
          <w:rFonts w:eastAsia="Times New Roman"/>
          <w:color w:val="000000"/>
          <w:lang w:eastAsia="en-GB"/>
        </w:rPr>
        <w:t>’</w:t>
      </w:r>
      <w:r w:rsidRPr="00CE19C0">
        <w:rPr>
          <w:rFonts w:eastAsia="Times New Roman"/>
          <w:color w:val="000000"/>
          <w:lang w:eastAsia="en-GB"/>
        </w:rPr>
        <w:t>article</w:t>
      </w:r>
      <w:r w:rsidR="0038724A">
        <w:rPr>
          <w:rFonts w:eastAsia="Times New Roman"/>
          <w:color w:val="000000"/>
          <w:lang w:eastAsia="en-GB"/>
        </w:rPr>
        <w:t> </w:t>
      </w:r>
      <w:r w:rsidRPr="00CE19C0">
        <w:rPr>
          <w:rFonts w:eastAsia="Times New Roman"/>
          <w:color w:val="000000"/>
          <w:lang w:eastAsia="en-GB"/>
        </w:rPr>
        <w:t>19 du Pacte</w:t>
      </w:r>
      <w:r>
        <w:rPr>
          <w:rFonts w:eastAsia="Times New Roman"/>
          <w:color w:val="000000"/>
          <w:lang w:eastAsia="en-GB"/>
        </w:rPr>
        <w:t>,</w:t>
      </w:r>
      <w:r w:rsidRPr="00CE19C0">
        <w:rPr>
          <w:rFonts w:eastAsia="Times New Roman"/>
          <w:color w:val="000000"/>
          <w:lang w:eastAsia="en-GB"/>
        </w:rPr>
        <w:t xml:space="preserve"> vu qu</w:t>
      </w:r>
      <w:r>
        <w:rPr>
          <w:rFonts w:eastAsia="Times New Roman"/>
          <w:color w:val="000000"/>
          <w:lang w:eastAsia="en-GB"/>
        </w:rPr>
        <w:t>’</w:t>
      </w:r>
      <w:r w:rsidRPr="00CE19C0">
        <w:rPr>
          <w:rFonts w:eastAsia="Times New Roman"/>
          <w:color w:val="000000"/>
          <w:lang w:eastAsia="en-GB"/>
        </w:rPr>
        <w:t>il n</w:t>
      </w:r>
      <w:r>
        <w:rPr>
          <w:rFonts w:eastAsia="Times New Roman"/>
          <w:color w:val="000000"/>
          <w:lang w:eastAsia="en-GB"/>
        </w:rPr>
        <w:t>’</w:t>
      </w:r>
      <w:r w:rsidRPr="00CE19C0">
        <w:rPr>
          <w:rFonts w:eastAsia="Times New Roman"/>
          <w:color w:val="000000"/>
          <w:lang w:eastAsia="en-GB"/>
        </w:rPr>
        <w:t>a pas épuisé les voies de recours internes en ce qui concerne la violation alléguée de cet article</w:t>
      </w:r>
      <w:r w:rsidR="0076142A" w:rsidRPr="0076142A">
        <w:rPr>
          <w:rFonts w:eastAsia="Times New Roman"/>
          <w:color w:val="000000"/>
          <w:lang w:eastAsia="en-GB"/>
        </w:rPr>
        <w:t>.</w:t>
      </w:r>
      <w:r w:rsidRPr="00CE19C0">
        <w:rPr>
          <w:rFonts w:eastAsia="Times New Roman"/>
          <w:color w:val="000000"/>
          <w:lang w:eastAsia="en-GB"/>
        </w:rPr>
        <w:t xml:space="preserve"> </w:t>
      </w:r>
    </w:p>
    <w:p w14:paraId="38407EFC" w14:textId="59699A2A" w:rsidR="002973E4" w:rsidRPr="00CE19C0" w:rsidRDefault="002973E4" w:rsidP="002973E4">
      <w:pPr>
        <w:pStyle w:val="SingleTxtG"/>
        <w:tabs>
          <w:tab w:val="left" w:pos="567"/>
        </w:tabs>
        <w:rPr>
          <w:rFonts w:eastAsia="Times New Roman"/>
          <w:color w:val="000000"/>
          <w:lang w:eastAsia="en-GB"/>
        </w:rPr>
      </w:pPr>
      <w:r>
        <w:rPr>
          <w:rFonts w:eastAsia="Times New Roman"/>
          <w:color w:val="000000"/>
          <w:lang w:eastAsia="en-GB"/>
        </w:rPr>
        <w:t>4</w:t>
      </w:r>
      <w:r w:rsidR="0076142A" w:rsidRPr="0076142A">
        <w:rPr>
          <w:rFonts w:eastAsia="Times New Roman"/>
          <w:color w:val="000000"/>
          <w:lang w:eastAsia="en-GB"/>
        </w:rPr>
        <w:t>.</w:t>
      </w:r>
      <w:r>
        <w:rPr>
          <w:rFonts w:eastAsia="Times New Roman"/>
          <w:color w:val="000000"/>
          <w:lang w:eastAsia="en-GB"/>
        </w:rPr>
        <w:t>13</w:t>
      </w:r>
      <w:r>
        <w:rPr>
          <w:rFonts w:eastAsia="Times New Roman"/>
          <w:color w:val="000000"/>
          <w:lang w:eastAsia="en-GB"/>
        </w:rPr>
        <w:tab/>
        <w:t>À</w:t>
      </w:r>
      <w:r w:rsidRPr="00CE19C0">
        <w:rPr>
          <w:rFonts w:eastAsia="Times New Roman"/>
          <w:color w:val="000000"/>
          <w:lang w:eastAsia="en-GB"/>
        </w:rPr>
        <w:t xml:space="preserve"> titre subsidiaire, l</w:t>
      </w:r>
      <w:r>
        <w:rPr>
          <w:rFonts w:eastAsia="Times New Roman"/>
          <w:color w:val="000000"/>
          <w:lang w:eastAsia="en-GB"/>
        </w:rPr>
        <w:t>’État</w:t>
      </w:r>
      <w:r w:rsidRPr="00CE19C0">
        <w:rPr>
          <w:rFonts w:eastAsia="Times New Roman"/>
          <w:color w:val="000000"/>
          <w:lang w:eastAsia="en-GB"/>
        </w:rPr>
        <w:t xml:space="preserve"> partie demande au Comité de déclarer infondé le grief tiré de la violation de l</w:t>
      </w:r>
      <w:r>
        <w:rPr>
          <w:rFonts w:eastAsia="Times New Roman"/>
          <w:color w:val="000000"/>
          <w:lang w:eastAsia="en-GB"/>
        </w:rPr>
        <w:t>’</w:t>
      </w:r>
      <w:r w:rsidRPr="00CE19C0">
        <w:rPr>
          <w:rFonts w:eastAsia="Times New Roman"/>
          <w:color w:val="000000"/>
          <w:lang w:eastAsia="en-GB"/>
        </w:rPr>
        <w:t>article</w:t>
      </w:r>
      <w:r w:rsidR="0038724A">
        <w:rPr>
          <w:rFonts w:eastAsia="Times New Roman"/>
          <w:color w:val="000000"/>
          <w:lang w:eastAsia="en-GB"/>
        </w:rPr>
        <w:t> </w:t>
      </w:r>
      <w:r w:rsidRPr="00CE19C0">
        <w:rPr>
          <w:rFonts w:eastAsia="Times New Roman"/>
          <w:color w:val="000000"/>
          <w:lang w:eastAsia="en-GB"/>
        </w:rPr>
        <w:t>19 du Pacte</w:t>
      </w:r>
      <w:r w:rsidR="0076142A" w:rsidRPr="0076142A">
        <w:rPr>
          <w:rFonts w:eastAsia="Times New Roman"/>
          <w:color w:val="000000"/>
          <w:lang w:eastAsia="en-GB"/>
        </w:rPr>
        <w:t>.</w:t>
      </w:r>
      <w:r w:rsidRPr="00CE19C0">
        <w:rPr>
          <w:rFonts w:eastAsia="Times New Roman"/>
          <w:color w:val="000000"/>
          <w:lang w:eastAsia="en-GB"/>
        </w:rPr>
        <w:t xml:space="preserve"> Tout en reconnaissant que l</w:t>
      </w:r>
      <w:r>
        <w:rPr>
          <w:rFonts w:eastAsia="Times New Roman"/>
          <w:color w:val="000000"/>
          <w:lang w:eastAsia="en-GB"/>
        </w:rPr>
        <w:t>’</w:t>
      </w:r>
      <w:r w:rsidRPr="00CE19C0">
        <w:rPr>
          <w:rFonts w:eastAsia="Times New Roman"/>
          <w:color w:val="000000"/>
          <w:lang w:eastAsia="en-GB"/>
        </w:rPr>
        <w:t>auteur, en sa qualité de chirurgien-dentiste, bénéficiait du droit à la liberté d</w:t>
      </w:r>
      <w:r>
        <w:rPr>
          <w:rFonts w:eastAsia="Times New Roman"/>
          <w:color w:val="000000"/>
          <w:lang w:eastAsia="en-GB"/>
        </w:rPr>
        <w:t>’</w:t>
      </w:r>
      <w:r w:rsidRPr="00CE19C0">
        <w:rPr>
          <w:rFonts w:eastAsia="Times New Roman"/>
          <w:color w:val="000000"/>
          <w:lang w:eastAsia="en-GB"/>
        </w:rPr>
        <w:t>expression, garanti par l</w:t>
      </w:r>
      <w:r>
        <w:rPr>
          <w:rFonts w:eastAsia="Times New Roman"/>
          <w:color w:val="000000"/>
          <w:lang w:eastAsia="en-GB"/>
        </w:rPr>
        <w:t>’</w:t>
      </w:r>
      <w:r w:rsidRPr="00CE19C0">
        <w:rPr>
          <w:rFonts w:eastAsia="Times New Roman"/>
          <w:color w:val="000000"/>
          <w:lang w:eastAsia="en-GB"/>
        </w:rPr>
        <w:t>article</w:t>
      </w:r>
      <w:r w:rsidR="0038724A">
        <w:rPr>
          <w:rFonts w:eastAsia="Times New Roman"/>
          <w:color w:val="000000"/>
          <w:lang w:eastAsia="en-GB"/>
        </w:rPr>
        <w:t> </w:t>
      </w:r>
      <w:r w:rsidRPr="00CE19C0">
        <w:rPr>
          <w:rFonts w:eastAsia="Times New Roman"/>
          <w:color w:val="000000"/>
          <w:lang w:eastAsia="en-GB"/>
        </w:rPr>
        <w:t>19 du Pacte, l</w:t>
      </w:r>
      <w:r>
        <w:rPr>
          <w:rFonts w:eastAsia="Times New Roman"/>
          <w:color w:val="000000"/>
          <w:lang w:eastAsia="en-GB"/>
        </w:rPr>
        <w:t>’État</w:t>
      </w:r>
      <w:r w:rsidRPr="00CE19C0">
        <w:rPr>
          <w:rFonts w:eastAsia="Times New Roman"/>
          <w:color w:val="000000"/>
          <w:lang w:eastAsia="en-GB"/>
        </w:rPr>
        <w:t xml:space="preserve"> partie précise toutefois que la restriction imposée à l</w:t>
      </w:r>
      <w:r>
        <w:rPr>
          <w:rFonts w:eastAsia="Times New Roman"/>
          <w:color w:val="000000"/>
          <w:lang w:eastAsia="en-GB"/>
        </w:rPr>
        <w:t>’</w:t>
      </w:r>
      <w:r w:rsidRPr="00CE19C0">
        <w:rPr>
          <w:rFonts w:eastAsia="Times New Roman"/>
          <w:color w:val="000000"/>
          <w:lang w:eastAsia="en-GB"/>
        </w:rPr>
        <w:t>exercice de la liberté d</w:t>
      </w:r>
      <w:r>
        <w:rPr>
          <w:rFonts w:eastAsia="Times New Roman"/>
          <w:color w:val="000000"/>
          <w:lang w:eastAsia="en-GB"/>
        </w:rPr>
        <w:t>’</w:t>
      </w:r>
      <w:r w:rsidRPr="00CE19C0">
        <w:rPr>
          <w:rFonts w:eastAsia="Times New Roman"/>
          <w:color w:val="000000"/>
          <w:lang w:eastAsia="en-GB"/>
        </w:rPr>
        <w:t>expression de l</w:t>
      </w:r>
      <w:r>
        <w:rPr>
          <w:rFonts w:eastAsia="Times New Roman"/>
          <w:color w:val="000000"/>
          <w:lang w:eastAsia="en-GB"/>
        </w:rPr>
        <w:t>’</w:t>
      </w:r>
      <w:r w:rsidRPr="00CE19C0">
        <w:rPr>
          <w:rFonts w:eastAsia="Times New Roman"/>
          <w:color w:val="000000"/>
          <w:lang w:eastAsia="en-GB"/>
        </w:rPr>
        <w:t>auteur était prévue par la loi, nécessaire et proportionnée aux motifs pour lesquels elle a été prise</w:t>
      </w:r>
      <w:r w:rsidR="0076142A" w:rsidRPr="0076142A">
        <w:rPr>
          <w:rFonts w:eastAsia="Times New Roman"/>
          <w:color w:val="000000"/>
          <w:lang w:eastAsia="en-GB"/>
        </w:rPr>
        <w:t>.</w:t>
      </w:r>
    </w:p>
    <w:p w14:paraId="1D5451A1" w14:textId="1A140637" w:rsidR="002973E4" w:rsidRPr="00CE19C0" w:rsidRDefault="002973E4" w:rsidP="002973E4">
      <w:pPr>
        <w:pStyle w:val="SingleTxtG"/>
        <w:tabs>
          <w:tab w:val="left" w:pos="567"/>
        </w:tabs>
        <w:rPr>
          <w:color w:val="000000" w:themeColor="text1"/>
          <w:lang w:val="fr-FR"/>
        </w:rPr>
      </w:pPr>
      <w:r>
        <w:rPr>
          <w:rFonts w:eastAsia="Times New Roman"/>
          <w:color w:val="000000"/>
          <w:lang w:eastAsia="en-GB"/>
        </w:rPr>
        <w:t>4</w:t>
      </w:r>
      <w:r w:rsidR="0076142A" w:rsidRPr="0076142A">
        <w:rPr>
          <w:rFonts w:eastAsia="Times New Roman"/>
          <w:color w:val="000000"/>
          <w:lang w:eastAsia="en-GB"/>
        </w:rPr>
        <w:t>.</w:t>
      </w:r>
      <w:r>
        <w:rPr>
          <w:rFonts w:eastAsia="Times New Roman"/>
          <w:color w:val="000000"/>
          <w:lang w:eastAsia="en-GB"/>
        </w:rPr>
        <w:t>14</w:t>
      </w:r>
      <w:r>
        <w:rPr>
          <w:rFonts w:eastAsia="Times New Roman"/>
          <w:color w:val="000000"/>
          <w:lang w:eastAsia="en-GB"/>
        </w:rPr>
        <w:tab/>
      </w:r>
      <w:r w:rsidRPr="00CE19C0">
        <w:rPr>
          <w:rFonts w:eastAsia="Times New Roman"/>
          <w:color w:val="000000"/>
          <w:lang w:eastAsia="en-GB"/>
        </w:rPr>
        <w:t>L</w:t>
      </w:r>
      <w:r>
        <w:rPr>
          <w:rFonts w:eastAsia="Times New Roman"/>
          <w:color w:val="000000"/>
          <w:lang w:eastAsia="en-GB"/>
        </w:rPr>
        <w:t>’État</w:t>
      </w:r>
      <w:r w:rsidRPr="00CE19C0">
        <w:rPr>
          <w:rFonts w:eastAsia="Times New Roman"/>
          <w:color w:val="000000"/>
          <w:lang w:eastAsia="en-GB"/>
        </w:rPr>
        <w:t xml:space="preserve"> partie estime que du fait de son statut de chirurgien-dentiste et de son appartenance à une profession organisée en ordre, l</w:t>
      </w:r>
      <w:r>
        <w:rPr>
          <w:rFonts w:eastAsia="Times New Roman"/>
          <w:color w:val="000000"/>
          <w:lang w:eastAsia="en-GB"/>
        </w:rPr>
        <w:t>’</w:t>
      </w:r>
      <w:r w:rsidRPr="00CE19C0">
        <w:rPr>
          <w:rFonts w:eastAsia="Times New Roman"/>
          <w:color w:val="000000"/>
          <w:lang w:eastAsia="en-GB"/>
        </w:rPr>
        <w:t xml:space="preserve">auteur était soumis à des devoirs spéciaux et </w:t>
      </w:r>
      <w:r>
        <w:rPr>
          <w:rFonts w:eastAsia="Times New Roman"/>
          <w:color w:val="000000"/>
          <w:lang w:eastAsia="en-GB"/>
        </w:rPr>
        <w:t xml:space="preserve">à </w:t>
      </w:r>
      <w:r w:rsidRPr="00CE19C0">
        <w:rPr>
          <w:rFonts w:eastAsia="Times New Roman"/>
          <w:color w:val="000000"/>
          <w:lang w:eastAsia="en-GB"/>
        </w:rPr>
        <w:t>des responsabilités spéciales dans l</w:t>
      </w:r>
      <w:r>
        <w:rPr>
          <w:rFonts w:eastAsia="Times New Roman"/>
          <w:color w:val="000000"/>
          <w:lang w:eastAsia="en-GB"/>
        </w:rPr>
        <w:t>’</w:t>
      </w:r>
      <w:r w:rsidRPr="00CE19C0">
        <w:rPr>
          <w:rFonts w:eastAsia="Times New Roman"/>
          <w:color w:val="000000"/>
          <w:lang w:eastAsia="en-GB"/>
        </w:rPr>
        <w:t>exercice de son droit à la liberté d</w:t>
      </w:r>
      <w:r>
        <w:rPr>
          <w:rFonts w:eastAsia="Times New Roman"/>
          <w:color w:val="000000"/>
          <w:lang w:eastAsia="en-GB"/>
        </w:rPr>
        <w:t>’</w:t>
      </w:r>
      <w:r w:rsidRPr="00CE19C0">
        <w:rPr>
          <w:rFonts w:eastAsia="Times New Roman"/>
          <w:color w:val="000000"/>
          <w:lang w:eastAsia="en-GB"/>
        </w:rPr>
        <w:t>expression, prévus aux articles</w:t>
      </w:r>
      <w:r w:rsidR="0038724A">
        <w:rPr>
          <w:rFonts w:eastAsia="Times New Roman"/>
          <w:color w:val="000000"/>
          <w:lang w:eastAsia="en-GB"/>
        </w:rPr>
        <w:t> </w:t>
      </w:r>
      <w:r w:rsidRPr="00CE19C0">
        <w:rPr>
          <w:rFonts w:eastAsia="Times New Roman"/>
          <w:color w:val="000000"/>
          <w:lang w:eastAsia="en-GB"/>
        </w:rPr>
        <w:t xml:space="preserve">R4127-201 à R4127-284 du </w:t>
      </w:r>
      <w:r>
        <w:rPr>
          <w:rFonts w:eastAsia="Times New Roman"/>
          <w:color w:val="000000"/>
          <w:lang w:eastAsia="en-GB"/>
        </w:rPr>
        <w:t>C</w:t>
      </w:r>
      <w:r w:rsidRPr="00CE19C0">
        <w:rPr>
          <w:rFonts w:eastAsia="Times New Roman"/>
          <w:color w:val="000000"/>
          <w:lang w:eastAsia="en-GB"/>
        </w:rPr>
        <w:t>ode de la santé publique</w:t>
      </w:r>
      <w:r w:rsidR="0076142A" w:rsidRPr="0076142A">
        <w:rPr>
          <w:rFonts w:eastAsia="Times New Roman"/>
          <w:color w:val="000000"/>
          <w:lang w:eastAsia="en-GB"/>
        </w:rPr>
        <w:t>.</w:t>
      </w:r>
      <w:r w:rsidRPr="00CE19C0">
        <w:rPr>
          <w:rFonts w:eastAsia="Times New Roman"/>
          <w:color w:val="000000"/>
          <w:lang w:eastAsia="en-GB"/>
        </w:rPr>
        <w:t xml:space="preserve"> L</w:t>
      </w:r>
      <w:r>
        <w:rPr>
          <w:rFonts w:eastAsia="Times New Roman"/>
          <w:color w:val="000000"/>
          <w:lang w:eastAsia="en-GB"/>
        </w:rPr>
        <w:t>’État</w:t>
      </w:r>
      <w:r w:rsidRPr="00CE19C0">
        <w:rPr>
          <w:rFonts w:eastAsia="Times New Roman"/>
          <w:color w:val="000000"/>
          <w:lang w:eastAsia="en-GB"/>
        </w:rPr>
        <w:t xml:space="preserve"> partie estime également que la restriction apportée à la liberté d</w:t>
      </w:r>
      <w:r>
        <w:rPr>
          <w:rFonts w:eastAsia="Times New Roman"/>
          <w:color w:val="000000"/>
          <w:lang w:eastAsia="en-GB"/>
        </w:rPr>
        <w:t>’</w:t>
      </w:r>
      <w:r w:rsidRPr="00CE19C0">
        <w:rPr>
          <w:rFonts w:eastAsia="Times New Roman"/>
          <w:color w:val="000000"/>
          <w:lang w:eastAsia="en-GB"/>
        </w:rPr>
        <w:t>expression de l</w:t>
      </w:r>
      <w:r>
        <w:rPr>
          <w:rFonts w:eastAsia="Times New Roman"/>
          <w:color w:val="000000"/>
          <w:lang w:eastAsia="en-GB"/>
        </w:rPr>
        <w:t>’</w:t>
      </w:r>
      <w:r w:rsidRPr="00CE19C0">
        <w:rPr>
          <w:rFonts w:eastAsia="Times New Roman"/>
          <w:color w:val="000000"/>
          <w:lang w:eastAsia="en-GB"/>
        </w:rPr>
        <w:t>auteur par l</w:t>
      </w:r>
      <w:r>
        <w:rPr>
          <w:rFonts w:eastAsia="Times New Roman"/>
          <w:color w:val="000000"/>
          <w:lang w:eastAsia="en-GB"/>
        </w:rPr>
        <w:t>’</w:t>
      </w:r>
      <w:r w:rsidRPr="00CE19C0">
        <w:rPr>
          <w:rFonts w:eastAsia="Times New Roman"/>
          <w:color w:val="000000"/>
          <w:lang w:eastAsia="en-GB"/>
        </w:rPr>
        <w:t>infliction d</w:t>
      </w:r>
      <w:r>
        <w:rPr>
          <w:rFonts w:eastAsia="Times New Roman"/>
          <w:color w:val="000000"/>
          <w:lang w:eastAsia="en-GB"/>
        </w:rPr>
        <w:t>’</w:t>
      </w:r>
      <w:r w:rsidRPr="00CE19C0">
        <w:rPr>
          <w:rFonts w:eastAsia="Times New Roman"/>
          <w:color w:val="000000"/>
          <w:lang w:eastAsia="en-GB"/>
        </w:rPr>
        <w:t>une sanction de radiation poursui</w:t>
      </w:r>
      <w:r>
        <w:rPr>
          <w:rFonts w:eastAsia="Times New Roman"/>
          <w:color w:val="000000"/>
          <w:lang w:eastAsia="en-GB"/>
        </w:rPr>
        <w:t>vai</w:t>
      </w:r>
      <w:r w:rsidRPr="00CE19C0">
        <w:rPr>
          <w:rFonts w:eastAsia="Times New Roman"/>
          <w:color w:val="000000"/>
          <w:lang w:eastAsia="en-GB"/>
        </w:rPr>
        <w:t xml:space="preserve">t un but légitime qui figure parmi les motifs de restriction admis </w:t>
      </w:r>
      <w:r>
        <w:rPr>
          <w:rFonts w:eastAsia="Times New Roman"/>
          <w:color w:val="000000"/>
          <w:lang w:eastAsia="en-GB"/>
        </w:rPr>
        <w:t>à</w:t>
      </w:r>
      <w:r w:rsidRPr="00CE19C0">
        <w:rPr>
          <w:rFonts w:eastAsia="Times New Roman"/>
          <w:color w:val="000000"/>
          <w:lang w:eastAsia="en-GB"/>
        </w:rPr>
        <w:t xml:space="preserve"> l</w:t>
      </w:r>
      <w:r>
        <w:rPr>
          <w:rFonts w:eastAsia="Times New Roman"/>
          <w:color w:val="000000"/>
          <w:lang w:eastAsia="en-GB"/>
        </w:rPr>
        <w:t>’</w:t>
      </w:r>
      <w:r w:rsidRPr="00CE19C0">
        <w:rPr>
          <w:rFonts w:eastAsia="Times New Roman"/>
          <w:color w:val="000000"/>
          <w:lang w:eastAsia="en-GB"/>
        </w:rPr>
        <w:t>article 19</w:t>
      </w:r>
      <w:r>
        <w:rPr>
          <w:rFonts w:eastAsia="Times New Roman"/>
          <w:color w:val="000000"/>
          <w:lang w:eastAsia="en-GB"/>
        </w:rPr>
        <w:t xml:space="preserve"> (par</w:t>
      </w:r>
      <w:r w:rsidR="0076142A" w:rsidRPr="0076142A">
        <w:rPr>
          <w:rFonts w:eastAsia="Times New Roman"/>
          <w:color w:val="000000"/>
          <w:lang w:eastAsia="en-GB"/>
        </w:rPr>
        <w:t>.</w:t>
      </w:r>
      <w:r>
        <w:rPr>
          <w:rFonts w:eastAsia="Times New Roman"/>
          <w:color w:val="000000"/>
          <w:lang w:eastAsia="en-GB"/>
        </w:rPr>
        <w:t> 3)</w:t>
      </w:r>
      <w:r w:rsidRPr="00CE19C0">
        <w:rPr>
          <w:rFonts w:eastAsia="Times New Roman"/>
          <w:color w:val="000000"/>
          <w:lang w:eastAsia="en-GB"/>
        </w:rPr>
        <w:t xml:space="preserve"> du Pacte, </w:t>
      </w:r>
      <w:r>
        <w:rPr>
          <w:rFonts w:eastAsia="Times New Roman"/>
          <w:color w:val="000000"/>
          <w:lang w:eastAsia="en-GB"/>
        </w:rPr>
        <w:t>lesquels</w:t>
      </w:r>
      <w:r w:rsidRPr="00CE19C0">
        <w:rPr>
          <w:rFonts w:eastAsia="Times New Roman"/>
          <w:color w:val="000000"/>
          <w:lang w:eastAsia="en-GB"/>
        </w:rPr>
        <w:t xml:space="preserve"> incluent le respect des droits ou de la réputation d</w:t>
      </w:r>
      <w:r>
        <w:rPr>
          <w:rFonts w:eastAsia="Times New Roman"/>
          <w:color w:val="000000"/>
          <w:lang w:eastAsia="en-GB"/>
        </w:rPr>
        <w:t>’</w:t>
      </w:r>
      <w:r w:rsidRPr="00CE19C0">
        <w:rPr>
          <w:rFonts w:eastAsia="Times New Roman"/>
          <w:color w:val="000000"/>
          <w:lang w:eastAsia="en-GB"/>
        </w:rPr>
        <w:t>autrui</w:t>
      </w:r>
      <w:r w:rsidR="0076142A" w:rsidRPr="0076142A">
        <w:rPr>
          <w:rFonts w:eastAsia="Times New Roman"/>
          <w:color w:val="000000"/>
          <w:lang w:eastAsia="en-GB"/>
        </w:rPr>
        <w:t>.</w:t>
      </w:r>
      <w:r w:rsidRPr="00CE19C0">
        <w:rPr>
          <w:rFonts w:eastAsia="Times New Roman"/>
          <w:color w:val="000000"/>
          <w:lang w:eastAsia="en-GB"/>
        </w:rPr>
        <w:t xml:space="preserve"> </w:t>
      </w:r>
      <w:r>
        <w:rPr>
          <w:rFonts w:eastAsia="Times New Roman"/>
          <w:color w:val="000000"/>
          <w:lang w:eastAsia="en-GB"/>
        </w:rPr>
        <w:t>Il estime</w:t>
      </w:r>
      <w:r w:rsidRPr="00CE19C0">
        <w:rPr>
          <w:rFonts w:eastAsia="Times New Roman"/>
          <w:color w:val="000000"/>
          <w:lang w:eastAsia="en-GB"/>
        </w:rPr>
        <w:t xml:space="preserve"> aussi </w:t>
      </w:r>
      <w:r>
        <w:rPr>
          <w:rFonts w:eastAsia="Times New Roman"/>
          <w:color w:val="000000"/>
          <w:lang w:eastAsia="en-GB"/>
        </w:rPr>
        <w:t>que l’auteur</w:t>
      </w:r>
      <w:r w:rsidRPr="00CE19C0">
        <w:rPr>
          <w:rFonts w:eastAsia="Times New Roman"/>
          <w:color w:val="000000"/>
          <w:lang w:eastAsia="en-GB"/>
        </w:rPr>
        <w:t xml:space="preserve"> a pratiqué la profession de chirurgien</w:t>
      </w:r>
      <w:r w:rsidR="0038724A">
        <w:rPr>
          <w:rFonts w:eastAsia="Times New Roman"/>
          <w:color w:val="000000"/>
          <w:lang w:eastAsia="en-GB"/>
        </w:rPr>
        <w:noBreakHyphen/>
      </w:r>
      <w:r w:rsidRPr="00CE19C0">
        <w:rPr>
          <w:rFonts w:eastAsia="Times New Roman"/>
          <w:color w:val="000000"/>
          <w:lang w:eastAsia="en-GB"/>
        </w:rPr>
        <w:t>dentiste comme un commerce</w:t>
      </w:r>
      <w:r>
        <w:rPr>
          <w:rFonts w:eastAsia="Times New Roman"/>
          <w:color w:val="000000"/>
          <w:lang w:eastAsia="en-GB"/>
        </w:rPr>
        <w:t>,</w:t>
      </w:r>
      <w:r w:rsidRPr="00CE19C0">
        <w:rPr>
          <w:rFonts w:eastAsia="Times New Roman"/>
          <w:color w:val="000000"/>
          <w:lang w:eastAsia="en-GB"/>
        </w:rPr>
        <w:t xml:space="preserve"> en ayant recours à la publicité, en violation des articles</w:t>
      </w:r>
      <w:r w:rsidR="0038724A">
        <w:rPr>
          <w:rFonts w:eastAsia="Times New Roman"/>
          <w:color w:val="000000"/>
          <w:lang w:eastAsia="en-GB"/>
        </w:rPr>
        <w:t> </w:t>
      </w:r>
      <w:r w:rsidRPr="00CE19C0">
        <w:rPr>
          <w:rFonts w:eastAsia="Times New Roman"/>
          <w:color w:val="000000"/>
          <w:lang w:eastAsia="en-GB"/>
        </w:rPr>
        <w:t>R4127</w:t>
      </w:r>
      <w:r w:rsidR="005E1410">
        <w:rPr>
          <w:rFonts w:eastAsia="Times New Roman"/>
          <w:color w:val="000000"/>
          <w:lang w:eastAsia="en-GB"/>
        </w:rPr>
        <w:noBreakHyphen/>
      </w:r>
      <w:r w:rsidRPr="00CE19C0">
        <w:rPr>
          <w:rFonts w:eastAsia="Times New Roman"/>
          <w:color w:val="000000"/>
          <w:lang w:eastAsia="en-GB"/>
        </w:rPr>
        <w:t xml:space="preserve">215 et R4127-225 du </w:t>
      </w:r>
      <w:r>
        <w:rPr>
          <w:rFonts w:eastAsia="Times New Roman"/>
          <w:color w:val="000000"/>
          <w:lang w:eastAsia="en-GB"/>
        </w:rPr>
        <w:t>C</w:t>
      </w:r>
      <w:r w:rsidRPr="00CE19C0">
        <w:rPr>
          <w:rFonts w:eastAsia="Times New Roman"/>
          <w:color w:val="000000"/>
          <w:lang w:eastAsia="en-GB"/>
        </w:rPr>
        <w:t>ode de la santé publique</w:t>
      </w:r>
      <w:r w:rsidR="0076142A" w:rsidRPr="0076142A">
        <w:rPr>
          <w:rFonts w:eastAsia="Times New Roman"/>
          <w:color w:val="000000"/>
          <w:lang w:eastAsia="en-GB"/>
        </w:rPr>
        <w:t>.</w:t>
      </w:r>
      <w:r w:rsidRPr="00CE19C0">
        <w:rPr>
          <w:rFonts w:eastAsia="Times New Roman"/>
          <w:color w:val="000000"/>
          <w:lang w:eastAsia="en-GB"/>
        </w:rPr>
        <w:t xml:space="preserve"> </w:t>
      </w:r>
    </w:p>
    <w:p w14:paraId="46CC5D49" w14:textId="77777777" w:rsidR="002973E4" w:rsidRPr="00CE19C0" w:rsidRDefault="002973E4" w:rsidP="0038724A">
      <w:pPr>
        <w:pStyle w:val="H23G"/>
        <w:rPr>
          <w:lang w:val="fr-FR"/>
        </w:rPr>
      </w:pPr>
      <w:r w:rsidRPr="00CE19C0">
        <w:rPr>
          <w:lang w:val="fr-FR"/>
        </w:rPr>
        <w:tab/>
      </w:r>
      <w:r w:rsidRPr="00CE19C0">
        <w:rPr>
          <w:lang w:val="fr-FR"/>
        </w:rPr>
        <w:tab/>
        <w:t>Commentaires de l</w:t>
      </w:r>
      <w:r>
        <w:rPr>
          <w:lang w:val="fr-FR"/>
        </w:rPr>
        <w:t>’</w:t>
      </w:r>
      <w:r w:rsidRPr="00CE19C0">
        <w:rPr>
          <w:lang w:val="fr-FR"/>
        </w:rPr>
        <w:t>auteur sur les observations de l</w:t>
      </w:r>
      <w:r>
        <w:rPr>
          <w:lang w:val="fr-FR"/>
        </w:rPr>
        <w:t>’</w:t>
      </w:r>
      <w:r w:rsidRPr="00CE19C0">
        <w:rPr>
          <w:lang w:val="fr-FR"/>
        </w:rPr>
        <w:t>État partie</w:t>
      </w:r>
    </w:p>
    <w:p w14:paraId="2923A485" w14:textId="7D5CD4AC" w:rsidR="002973E4" w:rsidRPr="00CE19C0" w:rsidRDefault="002973E4" w:rsidP="002973E4">
      <w:pPr>
        <w:pStyle w:val="SingleTxtG"/>
        <w:rPr>
          <w:bCs/>
          <w:color w:val="000000" w:themeColor="text1"/>
        </w:rPr>
      </w:pPr>
      <w:r>
        <w:rPr>
          <w:bCs/>
          <w:color w:val="000000" w:themeColor="text1"/>
        </w:rPr>
        <w:t>5</w:t>
      </w:r>
      <w:r w:rsidR="0076142A" w:rsidRPr="0076142A">
        <w:rPr>
          <w:bCs/>
          <w:color w:val="000000" w:themeColor="text1"/>
        </w:rPr>
        <w:t>.</w:t>
      </w:r>
      <w:r>
        <w:rPr>
          <w:bCs/>
          <w:color w:val="000000" w:themeColor="text1"/>
        </w:rPr>
        <w:t>1</w:t>
      </w:r>
      <w:r w:rsidRPr="00CE19C0">
        <w:rPr>
          <w:bCs/>
          <w:color w:val="000000" w:themeColor="text1"/>
        </w:rPr>
        <w:tab/>
        <w:t>Le 5 mai 2018, l</w:t>
      </w:r>
      <w:r>
        <w:rPr>
          <w:bCs/>
          <w:color w:val="000000" w:themeColor="text1"/>
        </w:rPr>
        <w:t>’</w:t>
      </w:r>
      <w:r w:rsidRPr="00CE19C0">
        <w:rPr>
          <w:bCs/>
          <w:color w:val="000000" w:themeColor="text1"/>
        </w:rPr>
        <w:t>auteur a fait parvenir ses commentaires sur les observations de l</w:t>
      </w:r>
      <w:r>
        <w:rPr>
          <w:bCs/>
          <w:color w:val="000000" w:themeColor="text1"/>
        </w:rPr>
        <w:t>’État</w:t>
      </w:r>
      <w:r w:rsidRPr="00CE19C0">
        <w:rPr>
          <w:bCs/>
          <w:color w:val="000000" w:themeColor="text1"/>
        </w:rPr>
        <w:t xml:space="preserve"> partie</w:t>
      </w:r>
      <w:r w:rsidR="0076142A" w:rsidRPr="0076142A">
        <w:rPr>
          <w:bCs/>
          <w:color w:val="000000" w:themeColor="text1"/>
        </w:rPr>
        <w:t>.</w:t>
      </w:r>
      <w:r w:rsidRPr="00CE19C0">
        <w:rPr>
          <w:bCs/>
          <w:color w:val="000000" w:themeColor="text1"/>
        </w:rPr>
        <w:t xml:space="preserve"> Il réitère ses arguments quant à la recevabilité et </w:t>
      </w:r>
      <w:r>
        <w:rPr>
          <w:bCs/>
          <w:color w:val="000000" w:themeColor="text1"/>
        </w:rPr>
        <w:t>au</w:t>
      </w:r>
      <w:r w:rsidRPr="00CE19C0">
        <w:rPr>
          <w:bCs/>
          <w:color w:val="000000" w:themeColor="text1"/>
        </w:rPr>
        <w:t xml:space="preserve"> bien-fondé de sa communication</w:t>
      </w:r>
      <w:r w:rsidR="0076142A" w:rsidRPr="0076142A">
        <w:rPr>
          <w:bCs/>
          <w:color w:val="000000" w:themeColor="text1"/>
        </w:rPr>
        <w:t>.</w:t>
      </w:r>
      <w:r w:rsidRPr="00CE19C0">
        <w:rPr>
          <w:bCs/>
          <w:color w:val="000000" w:themeColor="text1"/>
        </w:rPr>
        <w:t xml:space="preserve"> Il dénonce l</w:t>
      </w:r>
      <w:r>
        <w:rPr>
          <w:bCs/>
          <w:color w:val="000000" w:themeColor="text1"/>
        </w:rPr>
        <w:t>’</w:t>
      </w:r>
      <w:r w:rsidRPr="00CE19C0">
        <w:rPr>
          <w:bCs/>
          <w:color w:val="000000" w:themeColor="text1"/>
        </w:rPr>
        <w:t>extrême sévérité de la sanction qui lui a été infligée</w:t>
      </w:r>
      <w:r>
        <w:rPr>
          <w:bCs/>
          <w:color w:val="000000" w:themeColor="text1"/>
        </w:rPr>
        <w:t>, soulignant</w:t>
      </w:r>
      <w:r w:rsidRPr="00CE19C0">
        <w:rPr>
          <w:bCs/>
          <w:color w:val="000000" w:themeColor="text1"/>
        </w:rPr>
        <w:t xml:space="preserve"> que la radiation à vie</w:t>
      </w:r>
      <w:r w:rsidR="0038724A">
        <w:rPr>
          <w:bCs/>
          <w:color w:val="000000" w:themeColor="text1"/>
        </w:rPr>
        <w:t xml:space="preserve"> </w:t>
      </w:r>
      <w:r w:rsidRPr="00CE19C0">
        <w:rPr>
          <w:bCs/>
          <w:color w:val="000000" w:themeColor="text1"/>
        </w:rPr>
        <w:t xml:space="preserve">prononcée à son </w:t>
      </w:r>
      <w:r>
        <w:rPr>
          <w:bCs/>
          <w:color w:val="000000" w:themeColor="text1"/>
        </w:rPr>
        <w:t>égard</w:t>
      </w:r>
      <w:r w:rsidRPr="00CE19C0">
        <w:rPr>
          <w:bCs/>
          <w:color w:val="000000" w:themeColor="text1"/>
        </w:rPr>
        <w:t xml:space="preserve"> lui enlève la possibilité d</w:t>
      </w:r>
      <w:r>
        <w:rPr>
          <w:bCs/>
          <w:color w:val="000000" w:themeColor="text1"/>
        </w:rPr>
        <w:t>’</w:t>
      </w:r>
      <w:r w:rsidRPr="00CE19C0">
        <w:rPr>
          <w:bCs/>
          <w:color w:val="000000" w:themeColor="text1"/>
        </w:rPr>
        <w:t xml:space="preserve">exercer la profession de dentiste </w:t>
      </w:r>
      <w:r>
        <w:rPr>
          <w:bCs/>
          <w:color w:val="000000" w:themeColor="text1"/>
        </w:rPr>
        <w:t xml:space="preserve">non seulement </w:t>
      </w:r>
      <w:r w:rsidRPr="00CE19C0">
        <w:rPr>
          <w:bCs/>
          <w:color w:val="000000" w:themeColor="text1"/>
        </w:rPr>
        <w:t>en Europe, mais dans le monde entier</w:t>
      </w:r>
      <w:r w:rsidR="0076142A" w:rsidRPr="0076142A">
        <w:rPr>
          <w:bCs/>
          <w:color w:val="000000" w:themeColor="text1"/>
        </w:rPr>
        <w:t>.</w:t>
      </w:r>
      <w:r w:rsidRPr="00CE19C0">
        <w:rPr>
          <w:bCs/>
          <w:color w:val="000000" w:themeColor="text1"/>
        </w:rPr>
        <w:t xml:space="preserve"> </w:t>
      </w:r>
      <w:r w:rsidRPr="00044779">
        <w:rPr>
          <w:bCs/>
        </w:rPr>
        <w:t>L</w:t>
      </w:r>
      <w:r>
        <w:rPr>
          <w:bCs/>
        </w:rPr>
        <w:t>’</w:t>
      </w:r>
      <w:r w:rsidRPr="00044779">
        <w:rPr>
          <w:bCs/>
        </w:rPr>
        <w:t>auteur affirme avoir exercé sa liberté d</w:t>
      </w:r>
      <w:r>
        <w:rPr>
          <w:bCs/>
        </w:rPr>
        <w:t>’</w:t>
      </w:r>
      <w:r w:rsidRPr="00044779">
        <w:rPr>
          <w:bCs/>
        </w:rPr>
        <w:t>expression en sa qualité de lanceur d</w:t>
      </w:r>
      <w:r>
        <w:rPr>
          <w:bCs/>
        </w:rPr>
        <w:t>’</w:t>
      </w:r>
      <w:r w:rsidRPr="00044779">
        <w:rPr>
          <w:bCs/>
        </w:rPr>
        <w:t xml:space="preserve">alerte et de </w:t>
      </w:r>
      <w:r>
        <w:rPr>
          <w:bCs/>
        </w:rPr>
        <w:t>P</w:t>
      </w:r>
      <w:r w:rsidRPr="00044779">
        <w:rPr>
          <w:bCs/>
        </w:rPr>
        <w:t>résident d</w:t>
      </w:r>
      <w:r>
        <w:rPr>
          <w:bCs/>
        </w:rPr>
        <w:t>’</w:t>
      </w:r>
      <w:r w:rsidRPr="00044779">
        <w:rPr>
          <w:bCs/>
        </w:rPr>
        <w:t>un syndicat de chirurgiens</w:t>
      </w:r>
      <w:r w:rsidR="0038724A">
        <w:rPr>
          <w:bCs/>
        </w:rPr>
        <w:noBreakHyphen/>
      </w:r>
      <w:r w:rsidRPr="00044779">
        <w:rPr>
          <w:bCs/>
        </w:rPr>
        <w:t>dentistes</w:t>
      </w:r>
      <w:r w:rsidR="0076142A" w:rsidRPr="0076142A">
        <w:rPr>
          <w:bCs/>
        </w:rPr>
        <w:t>.</w:t>
      </w:r>
      <w:r w:rsidRPr="00044779">
        <w:rPr>
          <w:bCs/>
        </w:rPr>
        <w:t xml:space="preserve"> </w:t>
      </w:r>
      <w:r w:rsidRPr="00CE19C0">
        <w:rPr>
          <w:bCs/>
          <w:color w:val="000000" w:themeColor="text1"/>
        </w:rPr>
        <w:t>Il dénonce de ce fait l</w:t>
      </w:r>
      <w:r>
        <w:rPr>
          <w:bCs/>
          <w:color w:val="000000" w:themeColor="text1"/>
        </w:rPr>
        <w:t>’</w:t>
      </w:r>
      <w:r w:rsidRPr="00CE19C0">
        <w:rPr>
          <w:bCs/>
          <w:color w:val="000000" w:themeColor="text1"/>
        </w:rPr>
        <w:t>interdiction d</w:t>
      </w:r>
      <w:r>
        <w:rPr>
          <w:bCs/>
          <w:color w:val="000000" w:themeColor="text1"/>
        </w:rPr>
        <w:t>’</w:t>
      </w:r>
      <w:r w:rsidRPr="00CE19C0">
        <w:rPr>
          <w:bCs/>
          <w:color w:val="000000" w:themeColor="text1"/>
        </w:rPr>
        <w:t>exercer sa liberté d</w:t>
      </w:r>
      <w:r>
        <w:rPr>
          <w:bCs/>
          <w:color w:val="000000" w:themeColor="text1"/>
        </w:rPr>
        <w:t>’</w:t>
      </w:r>
      <w:r w:rsidRPr="00CE19C0">
        <w:rPr>
          <w:bCs/>
          <w:color w:val="000000" w:themeColor="text1"/>
        </w:rPr>
        <w:t>expression</w:t>
      </w:r>
      <w:r w:rsidR="0076142A" w:rsidRPr="0076142A">
        <w:rPr>
          <w:bCs/>
          <w:color w:val="000000" w:themeColor="text1"/>
        </w:rPr>
        <w:t>.</w:t>
      </w:r>
      <w:r w:rsidRPr="00CE19C0">
        <w:rPr>
          <w:bCs/>
          <w:color w:val="000000" w:themeColor="text1"/>
        </w:rPr>
        <w:t xml:space="preserve"> </w:t>
      </w:r>
      <w:r>
        <w:rPr>
          <w:bCs/>
          <w:color w:val="000000" w:themeColor="text1"/>
        </w:rPr>
        <w:t>L’</w:t>
      </w:r>
      <w:r w:rsidRPr="00CE19C0">
        <w:rPr>
          <w:bCs/>
          <w:color w:val="000000" w:themeColor="text1"/>
        </w:rPr>
        <w:t>auteur rappelle que la Cour européenne des droits de l</w:t>
      </w:r>
      <w:r>
        <w:rPr>
          <w:bCs/>
          <w:color w:val="000000" w:themeColor="text1"/>
        </w:rPr>
        <w:t>’</w:t>
      </w:r>
      <w:r w:rsidRPr="00CE19C0">
        <w:rPr>
          <w:bCs/>
          <w:color w:val="000000" w:themeColor="text1"/>
        </w:rPr>
        <w:t>homme a déjà rappelé qu</w:t>
      </w:r>
      <w:r>
        <w:rPr>
          <w:bCs/>
          <w:color w:val="000000" w:themeColor="text1"/>
        </w:rPr>
        <w:t>’</w:t>
      </w:r>
      <w:r w:rsidRPr="00CE19C0">
        <w:rPr>
          <w:bCs/>
          <w:color w:val="000000" w:themeColor="text1"/>
        </w:rPr>
        <w:t>une simple réprimande contre un médecin était une atteinte à sa liberté d</w:t>
      </w:r>
      <w:r>
        <w:rPr>
          <w:bCs/>
          <w:color w:val="000000" w:themeColor="text1"/>
        </w:rPr>
        <w:t>’</w:t>
      </w:r>
      <w:r w:rsidRPr="00CE19C0">
        <w:rPr>
          <w:bCs/>
          <w:color w:val="000000" w:themeColor="text1"/>
        </w:rPr>
        <w:t>expression au sens de l</w:t>
      </w:r>
      <w:r>
        <w:rPr>
          <w:bCs/>
          <w:color w:val="000000" w:themeColor="text1"/>
        </w:rPr>
        <w:t>’</w:t>
      </w:r>
      <w:r w:rsidRPr="00CE19C0">
        <w:rPr>
          <w:bCs/>
          <w:color w:val="000000" w:themeColor="text1"/>
        </w:rPr>
        <w:t>article</w:t>
      </w:r>
      <w:r>
        <w:rPr>
          <w:bCs/>
          <w:color w:val="000000" w:themeColor="text1"/>
        </w:rPr>
        <w:t> </w:t>
      </w:r>
      <w:r w:rsidRPr="00CE19C0">
        <w:rPr>
          <w:bCs/>
          <w:color w:val="000000" w:themeColor="text1"/>
        </w:rPr>
        <w:t>10 de la Convention</w:t>
      </w:r>
      <w:r w:rsidRPr="0058354F">
        <w:rPr>
          <w:bCs/>
          <w:color w:val="000000" w:themeColor="text1"/>
        </w:rPr>
        <w:t xml:space="preserve"> </w:t>
      </w:r>
      <w:r w:rsidRPr="00CE19C0">
        <w:rPr>
          <w:bCs/>
          <w:color w:val="000000" w:themeColor="text1"/>
        </w:rPr>
        <w:t>européenne des droits de l</w:t>
      </w:r>
      <w:r>
        <w:rPr>
          <w:bCs/>
          <w:color w:val="000000" w:themeColor="text1"/>
        </w:rPr>
        <w:t>’</w:t>
      </w:r>
      <w:r w:rsidRPr="00CE19C0">
        <w:rPr>
          <w:bCs/>
          <w:color w:val="000000" w:themeColor="text1"/>
        </w:rPr>
        <w:t>homme</w:t>
      </w:r>
      <w:r w:rsidRPr="002973E4">
        <w:rPr>
          <w:rStyle w:val="Appelnotedebasdep"/>
        </w:rPr>
        <w:footnoteReference w:id="15"/>
      </w:r>
      <w:r w:rsidR="0076142A" w:rsidRPr="0076142A">
        <w:rPr>
          <w:bCs/>
          <w:color w:val="000000" w:themeColor="text1"/>
        </w:rPr>
        <w:t>.</w:t>
      </w:r>
    </w:p>
    <w:p w14:paraId="576B447A" w14:textId="178ED80B" w:rsidR="002973E4" w:rsidRPr="00CE19C0" w:rsidRDefault="002973E4" w:rsidP="002973E4">
      <w:pPr>
        <w:pStyle w:val="SingleTxtG"/>
        <w:rPr>
          <w:bCs/>
          <w:color w:val="000000" w:themeColor="text1"/>
        </w:rPr>
      </w:pPr>
      <w:r>
        <w:rPr>
          <w:bCs/>
          <w:color w:val="000000" w:themeColor="text1"/>
        </w:rPr>
        <w:t>5</w:t>
      </w:r>
      <w:r w:rsidR="0076142A" w:rsidRPr="0076142A">
        <w:rPr>
          <w:bCs/>
          <w:color w:val="000000" w:themeColor="text1"/>
        </w:rPr>
        <w:t>.</w:t>
      </w:r>
      <w:r>
        <w:rPr>
          <w:bCs/>
          <w:color w:val="000000" w:themeColor="text1"/>
        </w:rPr>
        <w:t>2</w:t>
      </w:r>
      <w:r>
        <w:rPr>
          <w:bCs/>
          <w:color w:val="000000" w:themeColor="text1"/>
        </w:rPr>
        <w:tab/>
      </w:r>
      <w:r w:rsidRPr="00CE19C0">
        <w:rPr>
          <w:bCs/>
          <w:color w:val="000000" w:themeColor="text1"/>
        </w:rPr>
        <w:t>L</w:t>
      </w:r>
      <w:r>
        <w:rPr>
          <w:bCs/>
          <w:color w:val="000000" w:themeColor="text1"/>
        </w:rPr>
        <w:t>’</w:t>
      </w:r>
      <w:r w:rsidRPr="00CE19C0">
        <w:rPr>
          <w:bCs/>
          <w:color w:val="000000" w:themeColor="text1"/>
        </w:rPr>
        <w:t xml:space="preserve">auteur maintient que les dénonciations pour lesquelles </w:t>
      </w:r>
      <w:r w:rsidRPr="00044779">
        <w:rPr>
          <w:bCs/>
        </w:rPr>
        <w:t>il a été poursuivi sont fondées sur des faits objectifs et réels contre un magistrat du Conseil d</w:t>
      </w:r>
      <w:r>
        <w:rPr>
          <w:bCs/>
        </w:rPr>
        <w:t>’État</w:t>
      </w:r>
      <w:r w:rsidRPr="00044779">
        <w:rPr>
          <w:bCs/>
        </w:rPr>
        <w:t xml:space="preserve">, </w:t>
      </w:r>
      <w:r>
        <w:rPr>
          <w:bCs/>
        </w:rPr>
        <w:t>P</w:t>
      </w:r>
      <w:r w:rsidRPr="00044779">
        <w:rPr>
          <w:bCs/>
        </w:rPr>
        <w:t xml:space="preserve">résident de la </w:t>
      </w:r>
      <w:r>
        <w:rPr>
          <w:bCs/>
        </w:rPr>
        <w:t>C</w:t>
      </w:r>
      <w:r w:rsidRPr="00044779">
        <w:rPr>
          <w:bCs/>
        </w:rPr>
        <w:t xml:space="preserve">hambre </w:t>
      </w:r>
      <w:r>
        <w:rPr>
          <w:bCs/>
        </w:rPr>
        <w:t xml:space="preserve">disciplinaire </w:t>
      </w:r>
      <w:r w:rsidRPr="00044779">
        <w:rPr>
          <w:bCs/>
        </w:rPr>
        <w:t xml:space="preserve">nationale </w:t>
      </w:r>
      <w:r>
        <w:rPr>
          <w:bCs/>
        </w:rPr>
        <w:t>de l’ordre national des chirurgiens-dentistes</w:t>
      </w:r>
      <w:r w:rsidR="0076142A" w:rsidRPr="0076142A">
        <w:rPr>
          <w:bCs/>
        </w:rPr>
        <w:t>.</w:t>
      </w:r>
      <w:r w:rsidRPr="00044779">
        <w:rPr>
          <w:bCs/>
        </w:rPr>
        <w:t xml:space="preserve"> </w:t>
      </w:r>
      <w:r w:rsidRPr="00CE19C0">
        <w:rPr>
          <w:bCs/>
          <w:color w:val="000000" w:themeColor="text1"/>
        </w:rPr>
        <w:t>L</w:t>
      </w:r>
      <w:r>
        <w:rPr>
          <w:bCs/>
          <w:color w:val="000000" w:themeColor="text1"/>
        </w:rPr>
        <w:t>’</w:t>
      </w:r>
      <w:r w:rsidRPr="00CE19C0">
        <w:rPr>
          <w:bCs/>
          <w:color w:val="000000" w:themeColor="text1"/>
        </w:rPr>
        <w:t>auteur affirme que critiquer un magistrat est</w:t>
      </w:r>
      <w:r>
        <w:rPr>
          <w:bCs/>
          <w:color w:val="000000" w:themeColor="text1"/>
        </w:rPr>
        <w:t>,</w:t>
      </w:r>
      <w:r w:rsidRPr="00CE19C0">
        <w:rPr>
          <w:bCs/>
          <w:color w:val="000000" w:themeColor="text1"/>
        </w:rPr>
        <w:t xml:space="preserve"> dans une société démocratique</w:t>
      </w:r>
      <w:r>
        <w:rPr>
          <w:bCs/>
          <w:color w:val="000000" w:themeColor="text1"/>
        </w:rPr>
        <w:t>,</w:t>
      </w:r>
      <w:r w:rsidRPr="00CE19C0">
        <w:rPr>
          <w:bCs/>
          <w:color w:val="000000" w:themeColor="text1"/>
        </w:rPr>
        <w:t xml:space="preserve"> un droit fondamental des citoyens et que la nécessité d</w:t>
      </w:r>
      <w:r>
        <w:rPr>
          <w:bCs/>
          <w:color w:val="000000" w:themeColor="text1"/>
        </w:rPr>
        <w:t>’</w:t>
      </w:r>
      <w:r w:rsidRPr="00CE19C0">
        <w:rPr>
          <w:bCs/>
          <w:color w:val="000000" w:themeColor="text1"/>
        </w:rPr>
        <w:t>un contrôle extérieur du travail des magistrats est d</w:t>
      </w:r>
      <w:r>
        <w:rPr>
          <w:bCs/>
          <w:color w:val="000000" w:themeColor="text1"/>
        </w:rPr>
        <w:t>’</w:t>
      </w:r>
      <w:r w:rsidRPr="00CE19C0">
        <w:rPr>
          <w:bCs/>
          <w:color w:val="000000" w:themeColor="text1"/>
        </w:rPr>
        <w:t>une importance capitale</w:t>
      </w:r>
      <w:r w:rsidR="0076142A" w:rsidRPr="0076142A">
        <w:rPr>
          <w:bCs/>
          <w:color w:val="000000" w:themeColor="text1"/>
        </w:rPr>
        <w:t>.</w:t>
      </w:r>
    </w:p>
    <w:p w14:paraId="492EE512" w14:textId="25EA7EC6" w:rsidR="002973E4" w:rsidRPr="00CE19C0" w:rsidRDefault="002973E4" w:rsidP="002973E4">
      <w:pPr>
        <w:pStyle w:val="SingleTxtG"/>
        <w:rPr>
          <w:bCs/>
          <w:color w:val="000000" w:themeColor="text1"/>
        </w:rPr>
      </w:pPr>
      <w:r>
        <w:rPr>
          <w:bCs/>
          <w:color w:val="000000" w:themeColor="text1"/>
        </w:rPr>
        <w:t>5</w:t>
      </w:r>
      <w:r w:rsidR="0076142A" w:rsidRPr="0076142A">
        <w:rPr>
          <w:bCs/>
          <w:color w:val="000000" w:themeColor="text1"/>
        </w:rPr>
        <w:t>.</w:t>
      </w:r>
      <w:r>
        <w:rPr>
          <w:bCs/>
          <w:color w:val="000000" w:themeColor="text1"/>
        </w:rPr>
        <w:t>3</w:t>
      </w:r>
      <w:r>
        <w:rPr>
          <w:bCs/>
          <w:color w:val="000000" w:themeColor="text1"/>
        </w:rPr>
        <w:tab/>
      </w:r>
      <w:r w:rsidRPr="00CE19C0">
        <w:rPr>
          <w:bCs/>
          <w:color w:val="000000" w:themeColor="text1"/>
        </w:rPr>
        <w:t>L</w:t>
      </w:r>
      <w:r>
        <w:rPr>
          <w:bCs/>
          <w:color w:val="000000" w:themeColor="text1"/>
        </w:rPr>
        <w:t>’</w:t>
      </w:r>
      <w:r w:rsidRPr="00CE19C0">
        <w:rPr>
          <w:bCs/>
          <w:color w:val="000000" w:themeColor="text1"/>
        </w:rPr>
        <w:t>auteur affirme que, contrairement aux déclarations de l</w:t>
      </w:r>
      <w:r>
        <w:rPr>
          <w:bCs/>
          <w:color w:val="000000" w:themeColor="text1"/>
        </w:rPr>
        <w:t>’État</w:t>
      </w:r>
      <w:r w:rsidRPr="00CE19C0">
        <w:rPr>
          <w:bCs/>
          <w:color w:val="000000" w:themeColor="text1"/>
        </w:rPr>
        <w:t xml:space="preserve"> partie, il n</w:t>
      </w:r>
      <w:r>
        <w:rPr>
          <w:bCs/>
          <w:color w:val="000000" w:themeColor="text1"/>
        </w:rPr>
        <w:t>’</w:t>
      </w:r>
      <w:r w:rsidRPr="00CE19C0">
        <w:rPr>
          <w:bCs/>
          <w:color w:val="000000" w:themeColor="text1"/>
        </w:rPr>
        <w:t>a pas été poursuivi pour avoir fait de la publicité dans le but de rechercher des patients à soigner</w:t>
      </w:r>
      <w:r w:rsidR="0076142A" w:rsidRPr="0076142A">
        <w:rPr>
          <w:bCs/>
          <w:color w:val="000000" w:themeColor="text1"/>
        </w:rPr>
        <w:t>.</w:t>
      </w:r>
      <w:r w:rsidRPr="00CE19C0">
        <w:rPr>
          <w:bCs/>
          <w:color w:val="000000" w:themeColor="text1"/>
        </w:rPr>
        <w:t xml:space="preserve"> Il lui a été reproché </w:t>
      </w:r>
      <w:r w:rsidRPr="00044779">
        <w:rPr>
          <w:bCs/>
        </w:rPr>
        <w:t>d</w:t>
      </w:r>
      <w:r>
        <w:rPr>
          <w:bCs/>
        </w:rPr>
        <w:t>’</w:t>
      </w:r>
      <w:r w:rsidRPr="00044779">
        <w:rPr>
          <w:bCs/>
        </w:rPr>
        <w:t>avoir constitué une société à responsabilité limitée pour donner des conférences payantes</w:t>
      </w:r>
      <w:r w:rsidR="0076142A" w:rsidRPr="0076142A">
        <w:rPr>
          <w:bCs/>
          <w:color w:val="000000" w:themeColor="text1"/>
        </w:rPr>
        <w:t>.</w:t>
      </w:r>
      <w:r w:rsidRPr="00CE19C0">
        <w:rPr>
          <w:bCs/>
          <w:color w:val="000000" w:themeColor="text1"/>
        </w:rPr>
        <w:t xml:space="preserve"> Pourtant, la prétendue </w:t>
      </w:r>
      <w:r>
        <w:rPr>
          <w:bCs/>
          <w:color w:val="000000" w:themeColor="text1"/>
        </w:rPr>
        <w:t>société</w:t>
      </w:r>
      <w:r w:rsidRPr="00CE19C0">
        <w:rPr>
          <w:bCs/>
          <w:color w:val="000000" w:themeColor="text1"/>
        </w:rPr>
        <w:t xml:space="preserve"> n</w:t>
      </w:r>
      <w:r>
        <w:rPr>
          <w:bCs/>
          <w:color w:val="000000" w:themeColor="text1"/>
        </w:rPr>
        <w:t>’</w:t>
      </w:r>
      <w:r w:rsidRPr="00CE19C0">
        <w:rPr>
          <w:bCs/>
          <w:color w:val="000000" w:themeColor="text1"/>
        </w:rPr>
        <w:t>a jamais existé</w:t>
      </w:r>
      <w:r w:rsidR="0076142A" w:rsidRPr="0076142A">
        <w:rPr>
          <w:bCs/>
          <w:color w:val="000000" w:themeColor="text1"/>
        </w:rPr>
        <w:t>.</w:t>
      </w:r>
      <w:r w:rsidRPr="00CE19C0">
        <w:rPr>
          <w:bCs/>
          <w:color w:val="000000" w:themeColor="text1"/>
        </w:rPr>
        <w:t xml:space="preserve"> L</w:t>
      </w:r>
      <w:r>
        <w:rPr>
          <w:bCs/>
          <w:color w:val="000000" w:themeColor="text1"/>
        </w:rPr>
        <w:t>’</w:t>
      </w:r>
      <w:r w:rsidRPr="00CE19C0">
        <w:rPr>
          <w:bCs/>
          <w:color w:val="000000" w:themeColor="text1"/>
        </w:rPr>
        <w:t>auteur souligne qu</w:t>
      </w:r>
      <w:r>
        <w:rPr>
          <w:bCs/>
          <w:color w:val="000000" w:themeColor="text1"/>
        </w:rPr>
        <w:t>’</w:t>
      </w:r>
      <w:r w:rsidRPr="00CE19C0">
        <w:rPr>
          <w:bCs/>
          <w:color w:val="000000" w:themeColor="text1"/>
        </w:rPr>
        <w:t xml:space="preserve">il lui est reproché un encart publicitaire afin de promouvoir une formation sur le sujet </w:t>
      </w:r>
      <w:r>
        <w:rPr>
          <w:bCs/>
          <w:color w:val="000000" w:themeColor="text1"/>
        </w:rPr>
        <w:t>« </w:t>
      </w:r>
      <w:r w:rsidRPr="00CE19C0">
        <w:rPr>
          <w:bCs/>
          <w:color w:val="000000" w:themeColor="text1"/>
        </w:rPr>
        <w:t>nomenclature… »</w:t>
      </w:r>
      <w:r>
        <w:rPr>
          <w:bCs/>
          <w:color w:val="000000" w:themeColor="text1"/>
        </w:rPr>
        <w:t>,</w:t>
      </w:r>
      <w:r w:rsidRPr="00CE19C0">
        <w:rPr>
          <w:bCs/>
          <w:color w:val="000000" w:themeColor="text1"/>
        </w:rPr>
        <w:t xml:space="preserve"> avec la formule «</w:t>
      </w:r>
      <w:r>
        <w:rPr>
          <w:bCs/>
          <w:color w:val="000000" w:themeColor="text1"/>
        </w:rPr>
        <w:t> </w:t>
      </w:r>
      <w:r w:rsidRPr="00CE19C0">
        <w:rPr>
          <w:bCs/>
          <w:color w:val="000000" w:themeColor="text1"/>
        </w:rPr>
        <w:t>parce qu</w:t>
      </w:r>
      <w:r>
        <w:rPr>
          <w:bCs/>
          <w:color w:val="000000" w:themeColor="text1"/>
        </w:rPr>
        <w:t>’</w:t>
      </w:r>
      <w:r w:rsidRPr="00CE19C0">
        <w:rPr>
          <w:bCs/>
          <w:color w:val="000000" w:themeColor="text1"/>
        </w:rPr>
        <w:t>il est des conseils qui ne s</w:t>
      </w:r>
      <w:r>
        <w:rPr>
          <w:bCs/>
          <w:color w:val="000000" w:themeColor="text1"/>
        </w:rPr>
        <w:t>’</w:t>
      </w:r>
      <w:r w:rsidRPr="00CE19C0">
        <w:rPr>
          <w:bCs/>
          <w:color w:val="000000" w:themeColor="text1"/>
        </w:rPr>
        <w:t>écrivent pas</w:t>
      </w:r>
      <w:r>
        <w:rPr>
          <w:bCs/>
          <w:color w:val="000000" w:themeColor="text1"/>
        </w:rPr>
        <w:t> </w:t>
      </w:r>
      <w:r w:rsidRPr="00CE19C0">
        <w:rPr>
          <w:bCs/>
          <w:color w:val="000000" w:themeColor="text1"/>
        </w:rPr>
        <w:t>»</w:t>
      </w:r>
      <w:r w:rsidR="0076142A" w:rsidRPr="0076142A">
        <w:rPr>
          <w:bCs/>
          <w:color w:val="000000" w:themeColor="text1"/>
        </w:rPr>
        <w:t>.</w:t>
      </w:r>
      <w:r w:rsidRPr="00CE19C0">
        <w:rPr>
          <w:bCs/>
          <w:color w:val="000000" w:themeColor="text1"/>
        </w:rPr>
        <w:t xml:space="preserve"> </w:t>
      </w:r>
      <w:r>
        <w:rPr>
          <w:bCs/>
          <w:color w:val="000000" w:themeColor="text1"/>
        </w:rPr>
        <w:t>Il</w:t>
      </w:r>
      <w:r w:rsidRPr="00CE19C0">
        <w:rPr>
          <w:bCs/>
          <w:color w:val="000000" w:themeColor="text1"/>
        </w:rPr>
        <w:t xml:space="preserve"> rappelle </w:t>
      </w:r>
      <w:r>
        <w:rPr>
          <w:bCs/>
          <w:color w:val="000000" w:themeColor="text1"/>
        </w:rPr>
        <w:t xml:space="preserve">à cet égard </w:t>
      </w:r>
      <w:r w:rsidRPr="00CE19C0">
        <w:rPr>
          <w:bCs/>
          <w:color w:val="000000" w:themeColor="text1"/>
        </w:rPr>
        <w:t>que cette formule est reprise dans d</w:t>
      </w:r>
      <w:r>
        <w:rPr>
          <w:bCs/>
          <w:color w:val="000000" w:themeColor="text1"/>
        </w:rPr>
        <w:t>’</w:t>
      </w:r>
      <w:r w:rsidRPr="00CE19C0">
        <w:rPr>
          <w:bCs/>
          <w:color w:val="000000" w:themeColor="text1"/>
        </w:rPr>
        <w:t>autres conférences et qu</w:t>
      </w:r>
      <w:r>
        <w:rPr>
          <w:bCs/>
          <w:color w:val="000000" w:themeColor="text1"/>
        </w:rPr>
        <w:t>’</w:t>
      </w:r>
      <w:r w:rsidRPr="00CE19C0">
        <w:rPr>
          <w:bCs/>
          <w:color w:val="000000" w:themeColor="text1"/>
        </w:rPr>
        <w:t>il n</w:t>
      </w:r>
      <w:r>
        <w:rPr>
          <w:bCs/>
          <w:color w:val="000000" w:themeColor="text1"/>
        </w:rPr>
        <w:t>’</w:t>
      </w:r>
      <w:r w:rsidRPr="00CE19C0">
        <w:rPr>
          <w:bCs/>
          <w:color w:val="000000" w:themeColor="text1"/>
        </w:rPr>
        <w:t>en est pas le concepteur</w:t>
      </w:r>
      <w:r w:rsidR="0076142A" w:rsidRPr="0076142A">
        <w:rPr>
          <w:bCs/>
          <w:color w:val="000000" w:themeColor="text1"/>
        </w:rPr>
        <w:t>.</w:t>
      </w:r>
      <w:r w:rsidRPr="00CE19C0">
        <w:rPr>
          <w:bCs/>
          <w:color w:val="000000" w:themeColor="text1"/>
        </w:rPr>
        <w:t xml:space="preserve"> L</w:t>
      </w:r>
      <w:r>
        <w:rPr>
          <w:bCs/>
          <w:color w:val="000000" w:themeColor="text1"/>
        </w:rPr>
        <w:t>’</w:t>
      </w:r>
      <w:r w:rsidRPr="00CE19C0">
        <w:rPr>
          <w:bCs/>
          <w:color w:val="000000" w:themeColor="text1"/>
        </w:rPr>
        <w:t xml:space="preserve">auteur </w:t>
      </w:r>
      <w:r>
        <w:rPr>
          <w:bCs/>
          <w:color w:val="000000" w:themeColor="text1"/>
        </w:rPr>
        <w:t>soutient</w:t>
      </w:r>
      <w:r w:rsidRPr="00CE19C0">
        <w:rPr>
          <w:bCs/>
          <w:color w:val="000000" w:themeColor="text1"/>
        </w:rPr>
        <w:t xml:space="preserve"> qu</w:t>
      </w:r>
      <w:r>
        <w:rPr>
          <w:bCs/>
          <w:color w:val="000000" w:themeColor="text1"/>
        </w:rPr>
        <w:t>’</w:t>
      </w:r>
      <w:r w:rsidRPr="00CE19C0">
        <w:rPr>
          <w:bCs/>
          <w:color w:val="000000" w:themeColor="text1"/>
        </w:rPr>
        <w:t>il n</w:t>
      </w:r>
      <w:r>
        <w:rPr>
          <w:bCs/>
          <w:color w:val="000000" w:themeColor="text1"/>
        </w:rPr>
        <w:t>’</w:t>
      </w:r>
      <w:r w:rsidRPr="00CE19C0">
        <w:rPr>
          <w:bCs/>
          <w:color w:val="000000" w:themeColor="text1"/>
        </w:rPr>
        <w:t>est pas responsable des publicités faites par des organismes de formation qui l</w:t>
      </w:r>
      <w:r>
        <w:rPr>
          <w:bCs/>
          <w:color w:val="000000" w:themeColor="text1"/>
        </w:rPr>
        <w:t>’</w:t>
      </w:r>
      <w:r w:rsidRPr="00CE19C0">
        <w:rPr>
          <w:bCs/>
          <w:color w:val="000000" w:themeColor="text1"/>
        </w:rPr>
        <w:t>invitent à donner une conférence</w:t>
      </w:r>
      <w:r w:rsidR="0076142A" w:rsidRPr="0076142A">
        <w:rPr>
          <w:bCs/>
          <w:color w:val="000000" w:themeColor="text1"/>
        </w:rPr>
        <w:t>.</w:t>
      </w:r>
      <w:r w:rsidRPr="00CE19C0">
        <w:rPr>
          <w:bCs/>
          <w:color w:val="000000" w:themeColor="text1"/>
        </w:rPr>
        <w:t xml:space="preserve"> Il rappelle que le grief fondé sur la publicité n</w:t>
      </w:r>
      <w:r>
        <w:rPr>
          <w:bCs/>
          <w:color w:val="000000" w:themeColor="text1"/>
        </w:rPr>
        <w:t>’</w:t>
      </w:r>
      <w:r w:rsidRPr="00CE19C0">
        <w:rPr>
          <w:bCs/>
          <w:color w:val="000000" w:themeColor="text1"/>
        </w:rPr>
        <w:t>a pas été retenu en appel</w:t>
      </w:r>
      <w:r w:rsidR="0076142A" w:rsidRPr="0076142A">
        <w:rPr>
          <w:bCs/>
          <w:color w:val="000000" w:themeColor="text1"/>
        </w:rPr>
        <w:t>.</w:t>
      </w:r>
    </w:p>
    <w:p w14:paraId="2716BAD5" w14:textId="50498DA1" w:rsidR="002973E4" w:rsidRPr="00CE19C0" w:rsidRDefault="002973E4" w:rsidP="005E1410">
      <w:pPr>
        <w:pStyle w:val="SingleTxtG"/>
        <w:keepNext/>
        <w:keepLines/>
        <w:rPr>
          <w:bCs/>
          <w:color w:val="000000" w:themeColor="text1"/>
        </w:rPr>
      </w:pPr>
      <w:r w:rsidRPr="00A82E8E">
        <w:rPr>
          <w:bCs/>
          <w:color w:val="000000" w:themeColor="text1"/>
        </w:rPr>
        <w:lastRenderedPageBreak/>
        <w:t>5</w:t>
      </w:r>
      <w:r w:rsidR="0076142A" w:rsidRPr="0076142A">
        <w:rPr>
          <w:bCs/>
          <w:color w:val="000000" w:themeColor="text1"/>
        </w:rPr>
        <w:t>.</w:t>
      </w:r>
      <w:r w:rsidRPr="00A82E8E">
        <w:rPr>
          <w:bCs/>
          <w:color w:val="000000" w:themeColor="text1"/>
        </w:rPr>
        <w:t>4</w:t>
      </w:r>
      <w:r w:rsidRPr="00A82E8E">
        <w:rPr>
          <w:bCs/>
          <w:color w:val="000000" w:themeColor="text1"/>
        </w:rPr>
        <w:tab/>
        <w:t>Concernant la violation de l</w:t>
      </w:r>
      <w:r>
        <w:rPr>
          <w:bCs/>
          <w:color w:val="000000" w:themeColor="text1"/>
        </w:rPr>
        <w:t>’</w:t>
      </w:r>
      <w:r w:rsidRPr="00A82E8E">
        <w:rPr>
          <w:bCs/>
          <w:color w:val="000000" w:themeColor="text1"/>
        </w:rPr>
        <w:t>article 14</w:t>
      </w:r>
      <w:r>
        <w:rPr>
          <w:bCs/>
          <w:color w:val="000000" w:themeColor="text1"/>
        </w:rPr>
        <w:t xml:space="preserve"> (par</w:t>
      </w:r>
      <w:r w:rsidR="0076142A" w:rsidRPr="0076142A">
        <w:rPr>
          <w:bCs/>
          <w:color w:val="000000" w:themeColor="text1"/>
        </w:rPr>
        <w:t>.</w:t>
      </w:r>
      <w:r>
        <w:rPr>
          <w:bCs/>
          <w:color w:val="000000" w:themeColor="text1"/>
        </w:rPr>
        <w:t> </w:t>
      </w:r>
      <w:r w:rsidRPr="00A82E8E">
        <w:rPr>
          <w:bCs/>
          <w:color w:val="000000" w:themeColor="text1"/>
        </w:rPr>
        <w:t>1</w:t>
      </w:r>
      <w:r>
        <w:rPr>
          <w:bCs/>
          <w:color w:val="000000" w:themeColor="text1"/>
        </w:rPr>
        <w:t>)</w:t>
      </w:r>
      <w:r w:rsidRPr="00A82E8E">
        <w:rPr>
          <w:bCs/>
          <w:color w:val="000000" w:themeColor="text1"/>
        </w:rPr>
        <w:t xml:space="preserve"> du Pacte,</w:t>
      </w:r>
      <w:r w:rsidRPr="00CE19C0">
        <w:rPr>
          <w:bCs/>
          <w:color w:val="000000" w:themeColor="text1"/>
        </w:rPr>
        <w:t xml:space="preserve"> l</w:t>
      </w:r>
      <w:r>
        <w:rPr>
          <w:bCs/>
          <w:color w:val="000000" w:themeColor="text1"/>
        </w:rPr>
        <w:t>’</w:t>
      </w:r>
      <w:r w:rsidRPr="00CE19C0">
        <w:rPr>
          <w:bCs/>
          <w:color w:val="000000" w:themeColor="text1"/>
        </w:rPr>
        <w:t>auteur fait valoir que la Cour européenne des droits de l</w:t>
      </w:r>
      <w:r>
        <w:rPr>
          <w:bCs/>
          <w:color w:val="000000" w:themeColor="text1"/>
        </w:rPr>
        <w:t>’</w:t>
      </w:r>
      <w:r w:rsidRPr="00CE19C0">
        <w:rPr>
          <w:bCs/>
          <w:color w:val="000000" w:themeColor="text1"/>
        </w:rPr>
        <w:t>homme a eu à condamner la France pour violation de l</w:t>
      </w:r>
      <w:r>
        <w:rPr>
          <w:bCs/>
          <w:color w:val="000000" w:themeColor="text1"/>
        </w:rPr>
        <w:t>’</w:t>
      </w:r>
      <w:r w:rsidRPr="00CE19C0">
        <w:rPr>
          <w:bCs/>
          <w:color w:val="000000" w:themeColor="text1"/>
        </w:rPr>
        <w:t>article</w:t>
      </w:r>
      <w:r>
        <w:rPr>
          <w:bCs/>
          <w:color w:val="000000" w:themeColor="text1"/>
        </w:rPr>
        <w:t> </w:t>
      </w:r>
      <w:r w:rsidRPr="00CE19C0">
        <w:rPr>
          <w:bCs/>
          <w:color w:val="000000" w:themeColor="text1"/>
        </w:rPr>
        <w:t>6</w:t>
      </w:r>
      <w:r>
        <w:rPr>
          <w:bCs/>
          <w:color w:val="000000" w:themeColor="text1"/>
        </w:rPr>
        <w:t xml:space="preserve"> (par</w:t>
      </w:r>
      <w:r w:rsidR="0076142A" w:rsidRPr="0076142A">
        <w:rPr>
          <w:bCs/>
          <w:color w:val="000000" w:themeColor="text1"/>
        </w:rPr>
        <w:t>.</w:t>
      </w:r>
      <w:r>
        <w:rPr>
          <w:bCs/>
          <w:color w:val="000000" w:themeColor="text1"/>
        </w:rPr>
        <w:t> </w:t>
      </w:r>
      <w:r w:rsidRPr="00CE19C0">
        <w:rPr>
          <w:bCs/>
          <w:color w:val="000000" w:themeColor="text1"/>
        </w:rPr>
        <w:t>1</w:t>
      </w:r>
      <w:r>
        <w:rPr>
          <w:bCs/>
          <w:color w:val="000000" w:themeColor="text1"/>
        </w:rPr>
        <w:t>)</w:t>
      </w:r>
      <w:r w:rsidRPr="00CE19C0">
        <w:rPr>
          <w:bCs/>
          <w:color w:val="000000" w:themeColor="text1"/>
        </w:rPr>
        <w:t xml:space="preserve"> de la Convention</w:t>
      </w:r>
      <w:r w:rsidRPr="00287048">
        <w:rPr>
          <w:bCs/>
          <w:color w:val="000000" w:themeColor="text1"/>
        </w:rPr>
        <w:t xml:space="preserve"> </w:t>
      </w:r>
      <w:r w:rsidRPr="00CE19C0">
        <w:rPr>
          <w:bCs/>
          <w:color w:val="000000" w:themeColor="text1"/>
        </w:rPr>
        <w:t>européenne des droits de l</w:t>
      </w:r>
      <w:r>
        <w:rPr>
          <w:bCs/>
          <w:color w:val="000000" w:themeColor="text1"/>
        </w:rPr>
        <w:t>’</w:t>
      </w:r>
      <w:r w:rsidRPr="00CE19C0">
        <w:rPr>
          <w:bCs/>
          <w:color w:val="000000" w:themeColor="text1"/>
        </w:rPr>
        <w:t xml:space="preserve">homme dans une situation similaire à celle soumise au Comité et qui concerne le comportement de </w:t>
      </w:r>
      <w:r>
        <w:rPr>
          <w:bCs/>
          <w:color w:val="000000" w:themeColor="text1"/>
        </w:rPr>
        <w:t>l’État partie</w:t>
      </w:r>
      <w:r w:rsidRPr="00CE19C0">
        <w:rPr>
          <w:bCs/>
          <w:color w:val="000000" w:themeColor="text1"/>
        </w:rPr>
        <w:t xml:space="preserve"> vis-à-vis des juridictions ordinales</w:t>
      </w:r>
      <w:r w:rsidRPr="002973E4">
        <w:rPr>
          <w:rStyle w:val="Appelnotedebasdep"/>
        </w:rPr>
        <w:footnoteReference w:id="16"/>
      </w:r>
      <w:r w:rsidR="0076142A" w:rsidRPr="0076142A">
        <w:rPr>
          <w:bCs/>
          <w:color w:val="000000" w:themeColor="text1"/>
        </w:rPr>
        <w:t>.</w:t>
      </w:r>
      <w:r w:rsidRPr="00CE19C0">
        <w:rPr>
          <w:bCs/>
          <w:color w:val="000000" w:themeColor="text1"/>
        </w:rPr>
        <w:t xml:space="preserve"> L</w:t>
      </w:r>
      <w:r>
        <w:rPr>
          <w:bCs/>
          <w:color w:val="000000" w:themeColor="text1"/>
        </w:rPr>
        <w:t>’</w:t>
      </w:r>
      <w:r w:rsidRPr="00CE19C0">
        <w:rPr>
          <w:bCs/>
          <w:color w:val="000000" w:themeColor="text1"/>
        </w:rPr>
        <w:t>auteur rejette l</w:t>
      </w:r>
      <w:r>
        <w:rPr>
          <w:bCs/>
          <w:color w:val="000000" w:themeColor="text1"/>
        </w:rPr>
        <w:t>’</w:t>
      </w:r>
      <w:r w:rsidRPr="00CE19C0">
        <w:rPr>
          <w:bCs/>
          <w:color w:val="000000" w:themeColor="text1"/>
        </w:rPr>
        <w:t>argument de l</w:t>
      </w:r>
      <w:r>
        <w:rPr>
          <w:bCs/>
          <w:color w:val="000000" w:themeColor="text1"/>
        </w:rPr>
        <w:t>’État</w:t>
      </w:r>
      <w:r w:rsidRPr="00CE19C0">
        <w:rPr>
          <w:bCs/>
          <w:color w:val="000000" w:themeColor="text1"/>
        </w:rPr>
        <w:t xml:space="preserve"> partie selon lequel les juridictions ordinales françaises ont été jugées conformes à l</w:t>
      </w:r>
      <w:r>
        <w:rPr>
          <w:bCs/>
          <w:color w:val="000000" w:themeColor="text1"/>
        </w:rPr>
        <w:t>’</w:t>
      </w:r>
      <w:r w:rsidRPr="00CE19C0">
        <w:rPr>
          <w:bCs/>
          <w:color w:val="000000" w:themeColor="text1"/>
        </w:rPr>
        <w:t>article</w:t>
      </w:r>
      <w:r w:rsidR="0038724A">
        <w:rPr>
          <w:bCs/>
          <w:color w:val="000000" w:themeColor="text1"/>
        </w:rPr>
        <w:t> </w:t>
      </w:r>
      <w:r w:rsidRPr="00CE19C0">
        <w:rPr>
          <w:bCs/>
          <w:color w:val="000000" w:themeColor="text1"/>
        </w:rPr>
        <w:t>6</w:t>
      </w:r>
      <w:r>
        <w:rPr>
          <w:bCs/>
          <w:color w:val="000000" w:themeColor="text1"/>
        </w:rPr>
        <w:t xml:space="preserve"> (par</w:t>
      </w:r>
      <w:r w:rsidR="0076142A" w:rsidRPr="0076142A">
        <w:rPr>
          <w:bCs/>
          <w:color w:val="000000" w:themeColor="text1"/>
        </w:rPr>
        <w:t>.</w:t>
      </w:r>
      <w:r>
        <w:rPr>
          <w:bCs/>
          <w:color w:val="000000" w:themeColor="text1"/>
        </w:rPr>
        <w:t> </w:t>
      </w:r>
      <w:r w:rsidRPr="00CE19C0">
        <w:rPr>
          <w:bCs/>
          <w:color w:val="000000" w:themeColor="text1"/>
        </w:rPr>
        <w:t>1</w:t>
      </w:r>
      <w:r>
        <w:rPr>
          <w:bCs/>
          <w:color w:val="000000" w:themeColor="text1"/>
        </w:rPr>
        <w:t>)</w:t>
      </w:r>
      <w:r w:rsidRPr="00CE19C0">
        <w:rPr>
          <w:bCs/>
          <w:color w:val="000000" w:themeColor="text1"/>
        </w:rPr>
        <w:t xml:space="preserve"> de la Convention par la Cour</w:t>
      </w:r>
      <w:r w:rsidR="0076142A" w:rsidRPr="0076142A">
        <w:rPr>
          <w:bCs/>
          <w:color w:val="000000" w:themeColor="text1"/>
        </w:rPr>
        <w:t>.</w:t>
      </w:r>
      <w:r w:rsidRPr="00CE19C0">
        <w:rPr>
          <w:bCs/>
          <w:color w:val="000000" w:themeColor="text1"/>
        </w:rPr>
        <w:t xml:space="preserve"> </w:t>
      </w:r>
    </w:p>
    <w:p w14:paraId="2E0A484F" w14:textId="52FD47D0" w:rsidR="002973E4" w:rsidRPr="00CE19C0" w:rsidRDefault="002973E4" w:rsidP="002973E4">
      <w:pPr>
        <w:pStyle w:val="SingleTxtG"/>
        <w:rPr>
          <w:bCs/>
          <w:color w:val="000000" w:themeColor="text1"/>
        </w:rPr>
      </w:pPr>
      <w:r>
        <w:rPr>
          <w:bCs/>
          <w:color w:val="000000" w:themeColor="text1"/>
        </w:rPr>
        <w:t>5</w:t>
      </w:r>
      <w:r w:rsidR="0076142A" w:rsidRPr="0076142A">
        <w:rPr>
          <w:bCs/>
          <w:color w:val="000000" w:themeColor="text1"/>
        </w:rPr>
        <w:t>.</w:t>
      </w:r>
      <w:r>
        <w:rPr>
          <w:bCs/>
          <w:color w:val="000000" w:themeColor="text1"/>
        </w:rPr>
        <w:t>5</w:t>
      </w:r>
      <w:r>
        <w:rPr>
          <w:bCs/>
          <w:color w:val="000000" w:themeColor="text1"/>
        </w:rPr>
        <w:tab/>
      </w:r>
      <w:r w:rsidRPr="00CE19C0">
        <w:rPr>
          <w:bCs/>
          <w:color w:val="000000" w:themeColor="text1"/>
        </w:rPr>
        <w:t>L</w:t>
      </w:r>
      <w:r>
        <w:rPr>
          <w:bCs/>
          <w:color w:val="000000" w:themeColor="text1"/>
        </w:rPr>
        <w:t>’</w:t>
      </w:r>
      <w:r w:rsidRPr="00CE19C0">
        <w:rPr>
          <w:bCs/>
          <w:color w:val="000000" w:themeColor="text1"/>
        </w:rPr>
        <w:t>auteur réitère que les audiences n</w:t>
      </w:r>
      <w:r>
        <w:rPr>
          <w:bCs/>
          <w:color w:val="000000" w:themeColor="text1"/>
        </w:rPr>
        <w:t>’</w:t>
      </w:r>
      <w:r w:rsidRPr="00CE19C0">
        <w:rPr>
          <w:bCs/>
          <w:color w:val="000000" w:themeColor="text1"/>
        </w:rPr>
        <w:t>étaient pas publiques au sens de l</w:t>
      </w:r>
      <w:r>
        <w:rPr>
          <w:bCs/>
          <w:color w:val="000000" w:themeColor="text1"/>
        </w:rPr>
        <w:t>’</w:t>
      </w:r>
      <w:r w:rsidRPr="00CE19C0">
        <w:rPr>
          <w:bCs/>
          <w:color w:val="000000" w:themeColor="text1"/>
        </w:rPr>
        <w:t>article</w:t>
      </w:r>
      <w:r w:rsidR="0038724A">
        <w:rPr>
          <w:bCs/>
          <w:color w:val="000000" w:themeColor="text1"/>
        </w:rPr>
        <w:t> </w:t>
      </w:r>
      <w:r w:rsidRPr="00CE19C0">
        <w:rPr>
          <w:bCs/>
          <w:color w:val="000000" w:themeColor="text1"/>
        </w:rPr>
        <w:t>14</w:t>
      </w:r>
      <w:r>
        <w:rPr>
          <w:bCs/>
          <w:color w:val="000000" w:themeColor="text1"/>
        </w:rPr>
        <w:t xml:space="preserve"> (par</w:t>
      </w:r>
      <w:r w:rsidR="0076142A" w:rsidRPr="0076142A">
        <w:rPr>
          <w:bCs/>
          <w:color w:val="000000" w:themeColor="text1"/>
        </w:rPr>
        <w:t>.</w:t>
      </w:r>
      <w:r>
        <w:rPr>
          <w:bCs/>
          <w:color w:val="000000" w:themeColor="text1"/>
        </w:rPr>
        <w:t> </w:t>
      </w:r>
      <w:r w:rsidRPr="00CE19C0">
        <w:rPr>
          <w:bCs/>
          <w:color w:val="000000" w:themeColor="text1"/>
        </w:rPr>
        <w:t>1</w:t>
      </w:r>
      <w:r>
        <w:rPr>
          <w:bCs/>
          <w:color w:val="000000" w:themeColor="text1"/>
        </w:rPr>
        <w:t>)</w:t>
      </w:r>
      <w:r w:rsidRPr="00CE19C0">
        <w:rPr>
          <w:bCs/>
          <w:color w:val="000000" w:themeColor="text1"/>
        </w:rPr>
        <w:t xml:space="preserve"> du Pacte</w:t>
      </w:r>
      <w:r w:rsidR="0076142A" w:rsidRPr="0076142A">
        <w:rPr>
          <w:bCs/>
          <w:color w:val="000000" w:themeColor="text1"/>
        </w:rPr>
        <w:t>.</w:t>
      </w:r>
      <w:r w:rsidRPr="00CE19C0">
        <w:rPr>
          <w:bCs/>
          <w:color w:val="000000" w:themeColor="text1"/>
        </w:rPr>
        <w:t xml:space="preserve"> Il rappelle que la Cour européenne des droits de l</w:t>
      </w:r>
      <w:r>
        <w:rPr>
          <w:bCs/>
          <w:color w:val="000000" w:themeColor="text1"/>
        </w:rPr>
        <w:t>’</w:t>
      </w:r>
      <w:r w:rsidRPr="00CE19C0">
        <w:rPr>
          <w:bCs/>
          <w:color w:val="000000" w:themeColor="text1"/>
        </w:rPr>
        <w:t xml:space="preserve">homme a constaté que les juridictions des ordres professionnels </w:t>
      </w:r>
      <w:r>
        <w:rPr>
          <w:bCs/>
          <w:color w:val="000000" w:themeColor="text1"/>
        </w:rPr>
        <w:t>étaient</w:t>
      </w:r>
      <w:r w:rsidRPr="00CE19C0">
        <w:rPr>
          <w:bCs/>
          <w:color w:val="000000" w:themeColor="text1"/>
        </w:rPr>
        <w:t xml:space="preserve"> tenues à la publicité de leurs audiences, comme il a été rappelé à </w:t>
      </w:r>
      <w:r>
        <w:rPr>
          <w:bCs/>
          <w:color w:val="000000" w:themeColor="text1"/>
        </w:rPr>
        <w:t>l’État partie</w:t>
      </w:r>
      <w:r w:rsidRPr="00CE19C0">
        <w:rPr>
          <w:bCs/>
          <w:color w:val="000000" w:themeColor="text1"/>
        </w:rPr>
        <w:t xml:space="preserve"> dans l</w:t>
      </w:r>
      <w:r>
        <w:rPr>
          <w:bCs/>
          <w:color w:val="000000" w:themeColor="text1"/>
        </w:rPr>
        <w:t>’</w:t>
      </w:r>
      <w:r w:rsidRPr="00CE19C0">
        <w:rPr>
          <w:bCs/>
          <w:color w:val="000000" w:themeColor="text1"/>
        </w:rPr>
        <w:t xml:space="preserve">arrêt </w:t>
      </w:r>
      <w:r w:rsidRPr="009E7472">
        <w:rPr>
          <w:bCs/>
          <w:i/>
          <w:iCs/>
          <w:color w:val="000000" w:themeColor="text1"/>
        </w:rPr>
        <w:t>Serre c</w:t>
      </w:r>
      <w:r w:rsidR="0076142A" w:rsidRPr="0076142A">
        <w:rPr>
          <w:bCs/>
          <w:i/>
          <w:iCs/>
          <w:color w:val="000000" w:themeColor="text1"/>
        </w:rPr>
        <w:t>.</w:t>
      </w:r>
      <w:r w:rsidRPr="009E7472">
        <w:rPr>
          <w:bCs/>
          <w:i/>
          <w:iCs/>
          <w:color w:val="000000" w:themeColor="text1"/>
        </w:rPr>
        <w:t xml:space="preserve"> France</w:t>
      </w:r>
      <w:r w:rsidRPr="002973E4">
        <w:rPr>
          <w:rStyle w:val="Appelnotedebasdep"/>
        </w:rPr>
        <w:footnoteReference w:id="17"/>
      </w:r>
      <w:r w:rsidR="0076142A" w:rsidRPr="0076142A">
        <w:rPr>
          <w:bCs/>
          <w:color w:val="000000" w:themeColor="text1"/>
        </w:rPr>
        <w:t>.</w:t>
      </w:r>
      <w:r>
        <w:rPr>
          <w:bCs/>
          <w:color w:val="000000" w:themeColor="text1"/>
        </w:rPr>
        <w:t xml:space="preserve"> </w:t>
      </w:r>
      <w:r w:rsidRPr="00CE19C0">
        <w:rPr>
          <w:bCs/>
          <w:color w:val="000000" w:themeColor="text1"/>
        </w:rPr>
        <w:t>L</w:t>
      </w:r>
      <w:r>
        <w:rPr>
          <w:bCs/>
          <w:color w:val="000000" w:themeColor="text1"/>
        </w:rPr>
        <w:t>’</w:t>
      </w:r>
      <w:r w:rsidRPr="00CE19C0">
        <w:rPr>
          <w:bCs/>
          <w:color w:val="000000" w:themeColor="text1"/>
        </w:rPr>
        <w:t xml:space="preserve">auteur précise en ce sens que la </w:t>
      </w:r>
      <w:r w:rsidRPr="00316CB4">
        <w:rPr>
          <w:bCs/>
          <w:color w:val="000000" w:themeColor="text1"/>
        </w:rPr>
        <w:t xml:space="preserve">Cour </w:t>
      </w:r>
      <w:r w:rsidRPr="00CE19C0">
        <w:rPr>
          <w:bCs/>
          <w:color w:val="000000" w:themeColor="text1"/>
        </w:rPr>
        <w:t>a déjà constaté qu</w:t>
      </w:r>
      <w:r>
        <w:rPr>
          <w:bCs/>
          <w:color w:val="000000" w:themeColor="text1"/>
        </w:rPr>
        <w:t>’</w:t>
      </w:r>
      <w:r w:rsidRPr="00CE19C0">
        <w:rPr>
          <w:bCs/>
          <w:color w:val="000000" w:themeColor="text1"/>
        </w:rPr>
        <w:t>à l</w:t>
      </w:r>
      <w:r>
        <w:rPr>
          <w:bCs/>
          <w:color w:val="000000" w:themeColor="text1"/>
        </w:rPr>
        <w:t>’</w:t>
      </w:r>
      <w:r w:rsidRPr="00CE19C0">
        <w:rPr>
          <w:bCs/>
          <w:color w:val="000000" w:themeColor="text1"/>
        </w:rPr>
        <w:t>époque des faits</w:t>
      </w:r>
      <w:r>
        <w:rPr>
          <w:bCs/>
          <w:color w:val="000000" w:themeColor="text1"/>
        </w:rPr>
        <w:t>,</w:t>
      </w:r>
      <w:r w:rsidRPr="00CE19C0">
        <w:rPr>
          <w:bCs/>
          <w:color w:val="000000" w:themeColor="text1"/>
        </w:rPr>
        <w:t xml:space="preserve"> le Conseil d</w:t>
      </w:r>
      <w:r>
        <w:rPr>
          <w:bCs/>
          <w:color w:val="000000" w:themeColor="text1"/>
        </w:rPr>
        <w:t>’État</w:t>
      </w:r>
      <w:r w:rsidRPr="00CE19C0">
        <w:rPr>
          <w:bCs/>
          <w:color w:val="000000" w:themeColor="text1"/>
        </w:rPr>
        <w:t xml:space="preserve"> considérait que l</w:t>
      </w:r>
      <w:r>
        <w:rPr>
          <w:bCs/>
          <w:color w:val="000000" w:themeColor="text1"/>
        </w:rPr>
        <w:t>’État</w:t>
      </w:r>
      <w:r w:rsidRPr="00CE19C0">
        <w:rPr>
          <w:bCs/>
          <w:color w:val="000000" w:themeColor="text1"/>
        </w:rPr>
        <w:t xml:space="preserve"> partie manifestait un désintérêt </w:t>
      </w:r>
      <w:r>
        <w:rPr>
          <w:bCs/>
          <w:color w:val="000000" w:themeColor="text1"/>
        </w:rPr>
        <w:t xml:space="preserve">quant à l’obligation </w:t>
      </w:r>
      <w:r w:rsidRPr="00CE19C0">
        <w:rPr>
          <w:bCs/>
          <w:color w:val="000000" w:themeColor="text1"/>
        </w:rPr>
        <w:t xml:space="preserve">des juridictions ordinales </w:t>
      </w:r>
      <w:r>
        <w:rPr>
          <w:bCs/>
          <w:color w:val="000000" w:themeColor="text1"/>
        </w:rPr>
        <w:t>d’</w:t>
      </w:r>
      <w:r w:rsidRPr="00CE19C0">
        <w:rPr>
          <w:bCs/>
          <w:color w:val="000000" w:themeColor="text1"/>
        </w:rPr>
        <w:t>assurer la publicité de leurs audiences</w:t>
      </w:r>
      <w:r w:rsidRPr="002973E4">
        <w:rPr>
          <w:rStyle w:val="Appelnotedebasdep"/>
        </w:rPr>
        <w:footnoteReference w:id="18"/>
      </w:r>
      <w:r w:rsidR="0076142A" w:rsidRPr="0076142A">
        <w:rPr>
          <w:bCs/>
          <w:color w:val="000000" w:themeColor="text1"/>
        </w:rPr>
        <w:t>.</w:t>
      </w:r>
      <w:r w:rsidRPr="00CE19C0">
        <w:rPr>
          <w:bCs/>
          <w:color w:val="000000" w:themeColor="text1"/>
        </w:rPr>
        <w:t xml:space="preserve"> La Cour avait également relevé le caractère non public des débats devant les instances ordinales françaises</w:t>
      </w:r>
      <w:r w:rsidRPr="002973E4">
        <w:rPr>
          <w:rStyle w:val="Appelnotedebasdep"/>
        </w:rPr>
        <w:footnoteReference w:id="19"/>
      </w:r>
      <w:r w:rsidR="0076142A" w:rsidRPr="0076142A">
        <w:rPr>
          <w:bCs/>
          <w:color w:val="000000" w:themeColor="text1"/>
        </w:rPr>
        <w:t>.</w:t>
      </w:r>
    </w:p>
    <w:p w14:paraId="5B84CAC0" w14:textId="29F6C53A" w:rsidR="002973E4" w:rsidRPr="00CE19C0" w:rsidRDefault="002973E4" w:rsidP="002973E4">
      <w:pPr>
        <w:pStyle w:val="SingleTxtG"/>
        <w:rPr>
          <w:bCs/>
          <w:color w:val="000000" w:themeColor="text1"/>
        </w:rPr>
      </w:pPr>
      <w:r>
        <w:rPr>
          <w:bCs/>
          <w:color w:val="000000" w:themeColor="text1"/>
        </w:rPr>
        <w:t>5</w:t>
      </w:r>
      <w:r w:rsidR="0076142A" w:rsidRPr="0076142A">
        <w:rPr>
          <w:bCs/>
          <w:color w:val="000000" w:themeColor="text1"/>
        </w:rPr>
        <w:t>.</w:t>
      </w:r>
      <w:r>
        <w:rPr>
          <w:bCs/>
          <w:color w:val="000000" w:themeColor="text1"/>
        </w:rPr>
        <w:t>6</w:t>
      </w:r>
      <w:r>
        <w:rPr>
          <w:bCs/>
          <w:color w:val="000000" w:themeColor="text1"/>
        </w:rPr>
        <w:tab/>
        <w:t>Concernant</w:t>
      </w:r>
      <w:r w:rsidRPr="00CE19C0">
        <w:rPr>
          <w:bCs/>
          <w:color w:val="000000" w:themeColor="text1"/>
        </w:rPr>
        <w:t xml:space="preserve"> la publicité de l</w:t>
      </w:r>
      <w:r>
        <w:rPr>
          <w:bCs/>
          <w:color w:val="000000" w:themeColor="text1"/>
        </w:rPr>
        <w:t>’</w:t>
      </w:r>
      <w:r w:rsidRPr="00CE19C0">
        <w:rPr>
          <w:bCs/>
          <w:color w:val="000000" w:themeColor="text1"/>
        </w:rPr>
        <w:t>audience en première instance, l</w:t>
      </w:r>
      <w:r>
        <w:rPr>
          <w:bCs/>
          <w:color w:val="000000" w:themeColor="text1"/>
        </w:rPr>
        <w:t>’</w:t>
      </w:r>
      <w:r w:rsidRPr="00CE19C0">
        <w:rPr>
          <w:bCs/>
          <w:color w:val="000000" w:themeColor="text1"/>
        </w:rPr>
        <w:t>auteur estime que l</w:t>
      </w:r>
      <w:r>
        <w:rPr>
          <w:bCs/>
          <w:color w:val="000000" w:themeColor="text1"/>
        </w:rPr>
        <w:t>’</w:t>
      </w:r>
      <w:r w:rsidRPr="00CE19C0">
        <w:rPr>
          <w:bCs/>
          <w:color w:val="000000" w:themeColor="text1"/>
        </w:rPr>
        <w:t>affirmation de l</w:t>
      </w:r>
      <w:r>
        <w:rPr>
          <w:bCs/>
          <w:color w:val="000000" w:themeColor="text1"/>
        </w:rPr>
        <w:t>’État</w:t>
      </w:r>
      <w:r w:rsidRPr="00CE19C0">
        <w:rPr>
          <w:bCs/>
          <w:color w:val="000000" w:themeColor="text1"/>
        </w:rPr>
        <w:t xml:space="preserve"> partie selon laquelle le rôle de l</w:t>
      </w:r>
      <w:r>
        <w:rPr>
          <w:bCs/>
          <w:color w:val="000000" w:themeColor="text1"/>
        </w:rPr>
        <w:t>’</w:t>
      </w:r>
      <w:r w:rsidRPr="00CE19C0">
        <w:rPr>
          <w:bCs/>
          <w:color w:val="000000" w:themeColor="text1"/>
        </w:rPr>
        <w:t xml:space="preserve">audience était affiché huit jours auparavant sans </w:t>
      </w:r>
      <w:r>
        <w:rPr>
          <w:bCs/>
          <w:color w:val="000000" w:themeColor="text1"/>
        </w:rPr>
        <w:t>que soit indiqué</w:t>
      </w:r>
      <w:r w:rsidRPr="00CE19C0">
        <w:rPr>
          <w:bCs/>
          <w:color w:val="000000" w:themeColor="text1"/>
        </w:rPr>
        <w:t xml:space="preserve"> le lieu de cet affichage est trop vague pour être prise en considération</w:t>
      </w:r>
      <w:r w:rsidR="0076142A" w:rsidRPr="0076142A">
        <w:rPr>
          <w:bCs/>
          <w:color w:val="000000" w:themeColor="text1"/>
        </w:rPr>
        <w:t>.</w:t>
      </w:r>
      <w:r w:rsidRPr="00CE19C0">
        <w:rPr>
          <w:bCs/>
          <w:color w:val="000000" w:themeColor="text1"/>
        </w:rPr>
        <w:t xml:space="preserve"> </w:t>
      </w:r>
      <w:r>
        <w:rPr>
          <w:bCs/>
          <w:color w:val="000000" w:themeColor="text1"/>
        </w:rPr>
        <w:t>Il</w:t>
      </w:r>
      <w:r w:rsidRPr="00CE19C0">
        <w:rPr>
          <w:bCs/>
          <w:color w:val="000000" w:themeColor="text1"/>
        </w:rPr>
        <w:t xml:space="preserve"> souligne que, à supposer que la formalité de l</w:t>
      </w:r>
      <w:r>
        <w:rPr>
          <w:bCs/>
          <w:color w:val="000000" w:themeColor="text1"/>
        </w:rPr>
        <w:t>’</w:t>
      </w:r>
      <w:r w:rsidRPr="00CE19C0">
        <w:rPr>
          <w:bCs/>
          <w:color w:val="000000" w:themeColor="text1"/>
        </w:rPr>
        <w:t>affichage ait été remplie, il ne pouvait avoir lieu qu</w:t>
      </w:r>
      <w:r>
        <w:rPr>
          <w:bCs/>
          <w:color w:val="000000" w:themeColor="text1"/>
        </w:rPr>
        <w:t>’</w:t>
      </w:r>
      <w:r w:rsidRPr="00CE19C0">
        <w:rPr>
          <w:bCs/>
          <w:color w:val="000000" w:themeColor="text1"/>
        </w:rPr>
        <w:t>à l</w:t>
      </w:r>
      <w:r>
        <w:rPr>
          <w:bCs/>
          <w:color w:val="000000" w:themeColor="text1"/>
        </w:rPr>
        <w:t>’</w:t>
      </w:r>
      <w:r w:rsidRPr="00CE19C0">
        <w:rPr>
          <w:bCs/>
          <w:color w:val="000000" w:themeColor="text1"/>
        </w:rPr>
        <w:t>intérieur d</w:t>
      </w:r>
      <w:r>
        <w:rPr>
          <w:bCs/>
          <w:color w:val="000000" w:themeColor="text1"/>
        </w:rPr>
        <w:t>’</w:t>
      </w:r>
      <w:r w:rsidRPr="00CE19C0">
        <w:rPr>
          <w:bCs/>
          <w:color w:val="000000" w:themeColor="text1"/>
        </w:rPr>
        <w:t>un local privé, fermé au public, lequel ne pouvait y accéder qu</w:t>
      </w:r>
      <w:r>
        <w:rPr>
          <w:bCs/>
          <w:color w:val="000000" w:themeColor="text1"/>
        </w:rPr>
        <w:t>’</w:t>
      </w:r>
      <w:r w:rsidRPr="00CE19C0">
        <w:rPr>
          <w:bCs/>
          <w:color w:val="000000" w:themeColor="text1"/>
        </w:rPr>
        <w:t>en ayant connaissance du code</w:t>
      </w:r>
      <w:r w:rsidR="0076142A" w:rsidRPr="0076142A">
        <w:rPr>
          <w:bCs/>
          <w:color w:val="000000" w:themeColor="text1"/>
        </w:rPr>
        <w:t>.</w:t>
      </w:r>
      <w:r w:rsidRPr="00CE19C0">
        <w:rPr>
          <w:bCs/>
          <w:color w:val="000000" w:themeColor="text1"/>
        </w:rPr>
        <w:t xml:space="preserve"> L</w:t>
      </w:r>
      <w:r>
        <w:rPr>
          <w:bCs/>
          <w:color w:val="000000" w:themeColor="text1"/>
        </w:rPr>
        <w:t>’</w:t>
      </w:r>
      <w:r w:rsidRPr="00CE19C0">
        <w:rPr>
          <w:bCs/>
          <w:color w:val="000000" w:themeColor="text1"/>
        </w:rPr>
        <w:t>auteur souligne également que l</w:t>
      </w:r>
      <w:r>
        <w:rPr>
          <w:bCs/>
          <w:color w:val="000000" w:themeColor="text1"/>
        </w:rPr>
        <w:t>’État</w:t>
      </w:r>
      <w:r w:rsidRPr="00CE19C0">
        <w:rPr>
          <w:bCs/>
          <w:color w:val="000000" w:themeColor="text1"/>
        </w:rPr>
        <w:t xml:space="preserve"> partie ne démontre pas qu</w:t>
      </w:r>
      <w:r>
        <w:rPr>
          <w:bCs/>
          <w:color w:val="000000" w:themeColor="text1"/>
        </w:rPr>
        <w:t>’</w:t>
      </w:r>
      <w:r w:rsidRPr="00CE19C0">
        <w:rPr>
          <w:bCs/>
          <w:color w:val="000000" w:themeColor="text1"/>
        </w:rPr>
        <w:t>un gardien préposé aux fins de l</w:t>
      </w:r>
      <w:r>
        <w:rPr>
          <w:bCs/>
          <w:color w:val="000000" w:themeColor="text1"/>
        </w:rPr>
        <w:t>’</w:t>
      </w:r>
      <w:r w:rsidRPr="00CE19C0">
        <w:rPr>
          <w:bCs/>
          <w:color w:val="000000" w:themeColor="text1"/>
        </w:rPr>
        <w:t xml:space="preserve">instance par la juridiction ordinale était disponible pour donner </w:t>
      </w:r>
      <w:r>
        <w:rPr>
          <w:bCs/>
          <w:color w:val="000000" w:themeColor="text1"/>
        </w:rPr>
        <w:t xml:space="preserve">au public </w:t>
      </w:r>
      <w:r w:rsidRPr="00CE19C0">
        <w:rPr>
          <w:bCs/>
          <w:color w:val="000000" w:themeColor="text1"/>
        </w:rPr>
        <w:t>accès à l</w:t>
      </w:r>
      <w:r>
        <w:rPr>
          <w:bCs/>
          <w:color w:val="000000" w:themeColor="text1"/>
        </w:rPr>
        <w:t>’</w:t>
      </w:r>
      <w:r w:rsidRPr="00CE19C0">
        <w:rPr>
          <w:bCs/>
          <w:color w:val="000000" w:themeColor="text1"/>
        </w:rPr>
        <w:t>audience</w:t>
      </w:r>
      <w:r>
        <w:rPr>
          <w:bCs/>
          <w:color w:val="000000" w:themeColor="text1"/>
        </w:rPr>
        <w:t>,</w:t>
      </w:r>
      <w:r w:rsidRPr="00CE19C0">
        <w:rPr>
          <w:bCs/>
          <w:color w:val="000000" w:themeColor="text1"/>
        </w:rPr>
        <w:t xml:space="preserve"> comme il l</w:t>
      </w:r>
      <w:r>
        <w:rPr>
          <w:bCs/>
          <w:color w:val="000000" w:themeColor="text1"/>
        </w:rPr>
        <w:t>’</w:t>
      </w:r>
      <w:r w:rsidRPr="00CE19C0">
        <w:rPr>
          <w:bCs/>
          <w:color w:val="000000" w:themeColor="text1"/>
        </w:rPr>
        <w:t>a déclaré</w:t>
      </w:r>
      <w:r w:rsidR="0076142A" w:rsidRPr="0076142A">
        <w:rPr>
          <w:bCs/>
          <w:color w:val="000000" w:themeColor="text1"/>
        </w:rPr>
        <w:t>.</w:t>
      </w:r>
      <w:r w:rsidRPr="00CE19C0">
        <w:rPr>
          <w:bCs/>
          <w:color w:val="000000" w:themeColor="text1"/>
        </w:rPr>
        <w:t xml:space="preserve"> Il précise que les personnes convoquées avaient sur leur convocation le numéro du code</w:t>
      </w:r>
      <w:r>
        <w:rPr>
          <w:bCs/>
          <w:color w:val="000000" w:themeColor="text1"/>
        </w:rPr>
        <w:t xml:space="preserve"> d’accès</w:t>
      </w:r>
      <w:r w:rsidRPr="00CE19C0">
        <w:rPr>
          <w:bCs/>
          <w:color w:val="000000" w:themeColor="text1"/>
        </w:rPr>
        <w:t xml:space="preserve"> à utiliser le jour de l</w:t>
      </w:r>
      <w:r>
        <w:rPr>
          <w:bCs/>
          <w:color w:val="000000" w:themeColor="text1"/>
        </w:rPr>
        <w:t>’</w:t>
      </w:r>
      <w:r w:rsidRPr="00CE19C0">
        <w:rPr>
          <w:bCs/>
          <w:color w:val="000000" w:themeColor="text1"/>
        </w:rPr>
        <w:t>audience</w:t>
      </w:r>
      <w:r>
        <w:rPr>
          <w:bCs/>
          <w:color w:val="000000" w:themeColor="text1"/>
        </w:rPr>
        <w:t>, c</w:t>
      </w:r>
      <w:r w:rsidRPr="00CE19C0">
        <w:rPr>
          <w:bCs/>
          <w:color w:val="000000" w:themeColor="text1"/>
        </w:rPr>
        <w:t>e qui démontre que la salle d</w:t>
      </w:r>
      <w:r>
        <w:rPr>
          <w:bCs/>
          <w:color w:val="000000" w:themeColor="text1"/>
        </w:rPr>
        <w:t>’</w:t>
      </w:r>
      <w:r w:rsidRPr="00CE19C0">
        <w:rPr>
          <w:bCs/>
          <w:color w:val="000000" w:themeColor="text1"/>
        </w:rPr>
        <w:t>audience n</w:t>
      </w:r>
      <w:r>
        <w:rPr>
          <w:bCs/>
          <w:color w:val="000000" w:themeColor="text1"/>
        </w:rPr>
        <w:t>’</w:t>
      </w:r>
      <w:r w:rsidRPr="00CE19C0">
        <w:rPr>
          <w:bCs/>
          <w:color w:val="000000" w:themeColor="text1"/>
        </w:rPr>
        <w:t>était pas ouverte au public</w:t>
      </w:r>
      <w:r>
        <w:rPr>
          <w:bCs/>
          <w:color w:val="000000" w:themeColor="text1"/>
        </w:rPr>
        <w:t>,</w:t>
      </w:r>
      <w:r w:rsidRPr="00CE19C0">
        <w:rPr>
          <w:bCs/>
          <w:color w:val="000000" w:themeColor="text1"/>
        </w:rPr>
        <w:t xml:space="preserve"> et qu</w:t>
      </w:r>
      <w:r>
        <w:rPr>
          <w:bCs/>
          <w:color w:val="000000" w:themeColor="text1"/>
        </w:rPr>
        <w:t>’</w:t>
      </w:r>
      <w:r w:rsidRPr="00CE19C0">
        <w:rPr>
          <w:bCs/>
          <w:color w:val="000000" w:themeColor="text1"/>
        </w:rPr>
        <w:t>aucune signalisation particulière ne pouvait laisser croire à un citoyen que l</w:t>
      </w:r>
      <w:r>
        <w:rPr>
          <w:bCs/>
          <w:color w:val="000000" w:themeColor="text1"/>
        </w:rPr>
        <w:t>’</w:t>
      </w:r>
      <w:r w:rsidRPr="00CE19C0">
        <w:rPr>
          <w:bCs/>
          <w:color w:val="000000" w:themeColor="text1"/>
        </w:rPr>
        <w:t>immeuble servait de juridiction disciplinaire et que des audiences s</w:t>
      </w:r>
      <w:r>
        <w:rPr>
          <w:bCs/>
          <w:color w:val="000000" w:themeColor="text1"/>
        </w:rPr>
        <w:t>’</w:t>
      </w:r>
      <w:r w:rsidRPr="00CE19C0">
        <w:rPr>
          <w:bCs/>
          <w:color w:val="000000" w:themeColor="text1"/>
        </w:rPr>
        <w:t>y tenaient</w:t>
      </w:r>
      <w:r w:rsidR="0076142A" w:rsidRPr="0076142A">
        <w:rPr>
          <w:bCs/>
          <w:color w:val="000000" w:themeColor="text1"/>
        </w:rPr>
        <w:t>.</w:t>
      </w:r>
      <w:r w:rsidRPr="00CE19C0">
        <w:rPr>
          <w:bCs/>
          <w:color w:val="000000" w:themeColor="text1"/>
        </w:rPr>
        <w:t xml:space="preserve"> </w:t>
      </w:r>
    </w:p>
    <w:p w14:paraId="10630F9B" w14:textId="7B3AFF92" w:rsidR="002973E4" w:rsidRPr="00CE19C0" w:rsidRDefault="002973E4" w:rsidP="002973E4">
      <w:pPr>
        <w:pStyle w:val="SingleTxtG"/>
        <w:rPr>
          <w:bCs/>
          <w:color w:val="000000" w:themeColor="text1"/>
        </w:rPr>
      </w:pPr>
      <w:r>
        <w:rPr>
          <w:bCs/>
          <w:color w:val="000000" w:themeColor="text1"/>
        </w:rPr>
        <w:t>5</w:t>
      </w:r>
      <w:r w:rsidR="0076142A" w:rsidRPr="0076142A">
        <w:rPr>
          <w:bCs/>
          <w:color w:val="000000" w:themeColor="text1"/>
        </w:rPr>
        <w:t>.</w:t>
      </w:r>
      <w:r>
        <w:rPr>
          <w:bCs/>
          <w:color w:val="000000" w:themeColor="text1"/>
        </w:rPr>
        <w:t>7</w:t>
      </w:r>
      <w:r>
        <w:rPr>
          <w:bCs/>
          <w:color w:val="000000" w:themeColor="text1"/>
        </w:rPr>
        <w:tab/>
        <w:t>Concernant</w:t>
      </w:r>
      <w:r w:rsidRPr="00451E4D">
        <w:rPr>
          <w:bCs/>
          <w:color w:val="000000" w:themeColor="text1"/>
        </w:rPr>
        <w:t xml:space="preserve"> la publicité de l</w:t>
      </w:r>
      <w:r>
        <w:rPr>
          <w:bCs/>
          <w:color w:val="000000" w:themeColor="text1"/>
        </w:rPr>
        <w:t>’</w:t>
      </w:r>
      <w:r w:rsidRPr="00451E4D">
        <w:rPr>
          <w:bCs/>
          <w:color w:val="000000" w:themeColor="text1"/>
        </w:rPr>
        <w:t>audience en appel,</w:t>
      </w:r>
      <w:r w:rsidRPr="00CE19C0">
        <w:rPr>
          <w:bCs/>
          <w:color w:val="000000" w:themeColor="text1"/>
        </w:rPr>
        <w:t xml:space="preserve"> l</w:t>
      </w:r>
      <w:r>
        <w:rPr>
          <w:bCs/>
          <w:color w:val="000000" w:themeColor="text1"/>
        </w:rPr>
        <w:t>’</w:t>
      </w:r>
      <w:r w:rsidRPr="00CE19C0">
        <w:rPr>
          <w:bCs/>
          <w:color w:val="000000" w:themeColor="text1"/>
        </w:rPr>
        <w:t>auteur fait valoir que les précisions données par l</w:t>
      </w:r>
      <w:r>
        <w:rPr>
          <w:bCs/>
          <w:color w:val="000000" w:themeColor="text1"/>
        </w:rPr>
        <w:t>’État</w:t>
      </w:r>
      <w:r w:rsidRPr="00CE19C0">
        <w:rPr>
          <w:bCs/>
          <w:color w:val="000000" w:themeColor="text1"/>
        </w:rPr>
        <w:t xml:space="preserve"> partie dans sa soumission quant à l</w:t>
      </w:r>
      <w:r>
        <w:rPr>
          <w:bCs/>
          <w:color w:val="000000" w:themeColor="text1"/>
        </w:rPr>
        <w:t>’</w:t>
      </w:r>
      <w:r w:rsidRPr="00CE19C0">
        <w:rPr>
          <w:bCs/>
          <w:color w:val="000000" w:themeColor="text1"/>
        </w:rPr>
        <w:t xml:space="preserve">accessibilité du local de la </w:t>
      </w:r>
      <w:r>
        <w:rPr>
          <w:bCs/>
          <w:color w:val="000000" w:themeColor="text1"/>
        </w:rPr>
        <w:t>C</w:t>
      </w:r>
      <w:r w:rsidRPr="00CE19C0">
        <w:rPr>
          <w:bCs/>
          <w:color w:val="000000" w:themeColor="text1"/>
        </w:rPr>
        <w:t>hambre disciplinaire nationale, « un immeuble bourgeois dans un quartier privilégié à Paris » que rien ne distingue des autres immeubles de l</w:t>
      </w:r>
      <w:r>
        <w:rPr>
          <w:bCs/>
          <w:color w:val="000000" w:themeColor="text1"/>
        </w:rPr>
        <w:t>’</w:t>
      </w:r>
      <w:r w:rsidRPr="00CE19C0">
        <w:rPr>
          <w:bCs/>
          <w:color w:val="000000" w:themeColor="text1"/>
        </w:rPr>
        <w:t>arrondissement, suffit à elle seule à démontrer l</w:t>
      </w:r>
      <w:r>
        <w:rPr>
          <w:bCs/>
          <w:color w:val="000000" w:themeColor="text1"/>
        </w:rPr>
        <w:t>’</w:t>
      </w:r>
      <w:r w:rsidRPr="00CE19C0">
        <w:rPr>
          <w:bCs/>
          <w:color w:val="000000" w:themeColor="text1"/>
        </w:rPr>
        <w:t>absence d</w:t>
      </w:r>
      <w:r>
        <w:rPr>
          <w:bCs/>
          <w:color w:val="000000" w:themeColor="text1"/>
        </w:rPr>
        <w:t>’</w:t>
      </w:r>
      <w:r w:rsidRPr="00CE19C0">
        <w:rPr>
          <w:bCs/>
          <w:color w:val="000000" w:themeColor="text1"/>
        </w:rPr>
        <w:t>accès à la salle d</w:t>
      </w:r>
      <w:r>
        <w:rPr>
          <w:bCs/>
          <w:color w:val="000000" w:themeColor="text1"/>
        </w:rPr>
        <w:t>’</w:t>
      </w:r>
      <w:r w:rsidRPr="00CE19C0">
        <w:rPr>
          <w:bCs/>
          <w:color w:val="000000" w:themeColor="text1"/>
        </w:rPr>
        <w:t>audience</w:t>
      </w:r>
      <w:r w:rsidR="0076142A" w:rsidRPr="0076142A">
        <w:rPr>
          <w:bCs/>
          <w:color w:val="000000" w:themeColor="text1"/>
        </w:rPr>
        <w:t>.</w:t>
      </w:r>
      <w:r w:rsidRPr="00CE19C0">
        <w:rPr>
          <w:bCs/>
          <w:color w:val="000000" w:themeColor="text1"/>
        </w:rPr>
        <w:t xml:space="preserve"> </w:t>
      </w:r>
      <w:r>
        <w:rPr>
          <w:bCs/>
          <w:color w:val="000000" w:themeColor="text1"/>
        </w:rPr>
        <w:t>L’auteur réfute que le rôle ait été affiché huit jours avant l’audience en appel</w:t>
      </w:r>
      <w:r w:rsidR="0076142A" w:rsidRPr="0076142A">
        <w:rPr>
          <w:bCs/>
          <w:color w:val="000000" w:themeColor="text1"/>
        </w:rPr>
        <w:t>.</w:t>
      </w:r>
      <w:r>
        <w:rPr>
          <w:bCs/>
          <w:color w:val="000000" w:themeColor="text1"/>
        </w:rPr>
        <w:t xml:space="preserve"> Il</w:t>
      </w:r>
      <w:r w:rsidRPr="00CE19C0">
        <w:rPr>
          <w:bCs/>
          <w:color w:val="000000" w:themeColor="text1"/>
        </w:rPr>
        <w:t xml:space="preserve"> estime que le fait </w:t>
      </w:r>
      <w:r>
        <w:rPr>
          <w:bCs/>
          <w:color w:val="000000" w:themeColor="text1"/>
        </w:rPr>
        <w:t>de devoir</w:t>
      </w:r>
      <w:r w:rsidRPr="00CE19C0">
        <w:rPr>
          <w:bCs/>
          <w:color w:val="000000" w:themeColor="text1"/>
        </w:rPr>
        <w:t xml:space="preserve"> chercher le </w:t>
      </w:r>
      <w:r>
        <w:rPr>
          <w:bCs/>
          <w:color w:val="000000" w:themeColor="text1"/>
        </w:rPr>
        <w:t>C</w:t>
      </w:r>
      <w:r w:rsidRPr="00CE19C0">
        <w:rPr>
          <w:bCs/>
          <w:color w:val="000000" w:themeColor="text1"/>
        </w:rPr>
        <w:t>onseil national</w:t>
      </w:r>
      <w:r>
        <w:rPr>
          <w:bCs/>
          <w:color w:val="000000" w:themeColor="text1"/>
        </w:rPr>
        <w:t xml:space="preserve"> de l’ordre, d’</w:t>
      </w:r>
      <w:r w:rsidRPr="00CE19C0">
        <w:rPr>
          <w:bCs/>
          <w:color w:val="000000" w:themeColor="text1"/>
        </w:rPr>
        <w:t xml:space="preserve">utiliser un interphone, </w:t>
      </w:r>
      <w:r>
        <w:rPr>
          <w:bCs/>
          <w:color w:val="000000" w:themeColor="text1"/>
        </w:rPr>
        <w:t xml:space="preserve">de </w:t>
      </w:r>
      <w:r w:rsidRPr="00CE19C0">
        <w:rPr>
          <w:bCs/>
          <w:color w:val="000000" w:themeColor="text1"/>
        </w:rPr>
        <w:t xml:space="preserve">sonner et </w:t>
      </w:r>
      <w:r>
        <w:rPr>
          <w:bCs/>
          <w:color w:val="000000" w:themeColor="text1"/>
        </w:rPr>
        <w:t xml:space="preserve">de </w:t>
      </w:r>
      <w:r w:rsidRPr="00CE19C0">
        <w:rPr>
          <w:bCs/>
          <w:color w:val="000000" w:themeColor="text1"/>
        </w:rPr>
        <w:t xml:space="preserve">décliner son identité pour accéder au local </w:t>
      </w:r>
      <w:r>
        <w:rPr>
          <w:bCs/>
          <w:color w:val="000000" w:themeColor="text1"/>
        </w:rPr>
        <w:t>sans aucune indication</w:t>
      </w:r>
      <w:r w:rsidRPr="00CE19C0">
        <w:rPr>
          <w:bCs/>
          <w:color w:val="000000" w:themeColor="text1"/>
        </w:rPr>
        <w:t xml:space="preserve"> qu</w:t>
      </w:r>
      <w:r>
        <w:rPr>
          <w:bCs/>
          <w:color w:val="000000" w:themeColor="text1"/>
        </w:rPr>
        <w:t>’</w:t>
      </w:r>
      <w:r w:rsidRPr="00CE19C0">
        <w:rPr>
          <w:bCs/>
          <w:color w:val="000000" w:themeColor="text1"/>
        </w:rPr>
        <w:t>il s</w:t>
      </w:r>
      <w:r>
        <w:rPr>
          <w:bCs/>
          <w:color w:val="000000" w:themeColor="text1"/>
        </w:rPr>
        <w:t>’</w:t>
      </w:r>
      <w:r w:rsidRPr="00CE19C0">
        <w:rPr>
          <w:bCs/>
          <w:color w:val="000000" w:themeColor="text1"/>
        </w:rPr>
        <w:t>agit d</w:t>
      </w:r>
      <w:r>
        <w:rPr>
          <w:bCs/>
          <w:color w:val="000000" w:themeColor="text1"/>
        </w:rPr>
        <w:t>’</w:t>
      </w:r>
      <w:r w:rsidRPr="00CE19C0">
        <w:rPr>
          <w:bCs/>
          <w:color w:val="000000" w:themeColor="text1"/>
        </w:rPr>
        <w:t>une juridiction témoigne du caractère non accessible de ce lieu d</w:t>
      </w:r>
      <w:r>
        <w:rPr>
          <w:bCs/>
          <w:color w:val="000000" w:themeColor="text1"/>
        </w:rPr>
        <w:t>’</w:t>
      </w:r>
      <w:r w:rsidRPr="00CE19C0">
        <w:rPr>
          <w:bCs/>
          <w:color w:val="000000" w:themeColor="text1"/>
        </w:rPr>
        <w:t>habitation au public</w:t>
      </w:r>
      <w:r w:rsidR="0076142A" w:rsidRPr="0076142A">
        <w:rPr>
          <w:bCs/>
          <w:color w:val="000000" w:themeColor="text1"/>
        </w:rPr>
        <w:t>.</w:t>
      </w:r>
      <w:r w:rsidRPr="00CE19C0">
        <w:rPr>
          <w:bCs/>
          <w:color w:val="000000" w:themeColor="text1"/>
        </w:rPr>
        <w:t xml:space="preserve"> </w:t>
      </w:r>
    </w:p>
    <w:p w14:paraId="435A5758" w14:textId="543B3091" w:rsidR="002973E4" w:rsidRPr="00CE19C0" w:rsidRDefault="002973E4" w:rsidP="002973E4">
      <w:pPr>
        <w:pStyle w:val="SingleTxtG"/>
        <w:rPr>
          <w:bCs/>
          <w:color w:val="000000" w:themeColor="text1"/>
        </w:rPr>
      </w:pPr>
      <w:r w:rsidRPr="00451E4D">
        <w:rPr>
          <w:bCs/>
          <w:color w:val="000000" w:themeColor="text1"/>
        </w:rPr>
        <w:t>5</w:t>
      </w:r>
      <w:r w:rsidR="0076142A" w:rsidRPr="0076142A">
        <w:rPr>
          <w:bCs/>
          <w:color w:val="000000" w:themeColor="text1"/>
        </w:rPr>
        <w:t>.</w:t>
      </w:r>
      <w:r w:rsidRPr="00451E4D">
        <w:rPr>
          <w:bCs/>
          <w:color w:val="000000" w:themeColor="text1"/>
        </w:rPr>
        <w:t>8</w:t>
      </w:r>
      <w:r w:rsidRPr="00451E4D">
        <w:rPr>
          <w:bCs/>
          <w:color w:val="000000" w:themeColor="text1"/>
        </w:rPr>
        <w:tab/>
        <w:t>L</w:t>
      </w:r>
      <w:r>
        <w:rPr>
          <w:bCs/>
          <w:color w:val="000000" w:themeColor="text1"/>
        </w:rPr>
        <w:t>’</w:t>
      </w:r>
      <w:r w:rsidRPr="00451E4D">
        <w:rPr>
          <w:bCs/>
          <w:color w:val="000000" w:themeColor="text1"/>
        </w:rPr>
        <w:t>auteur</w:t>
      </w:r>
      <w:r w:rsidRPr="00CE19C0">
        <w:rPr>
          <w:bCs/>
          <w:color w:val="000000" w:themeColor="text1"/>
        </w:rPr>
        <w:t xml:space="preserve"> précise que le fait que la juridiction régionale </w:t>
      </w:r>
      <w:r>
        <w:rPr>
          <w:bCs/>
          <w:color w:val="000000" w:themeColor="text1"/>
        </w:rPr>
        <w:t>est</w:t>
      </w:r>
      <w:r w:rsidRPr="00CE19C0">
        <w:rPr>
          <w:bCs/>
          <w:color w:val="000000" w:themeColor="text1"/>
        </w:rPr>
        <w:t xml:space="preserve"> présidée par un magistrat de la cour administrative et que la juridiction nationale </w:t>
      </w:r>
      <w:r>
        <w:rPr>
          <w:bCs/>
          <w:color w:val="000000" w:themeColor="text1"/>
        </w:rPr>
        <w:t>est</w:t>
      </w:r>
      <w:r w:rsidRPr="00CE19C0">
        <w:rPr>
          <w:bCs/>
          <w:color w:val="000000" w:themeColor="text1"/>
        </w:rPr>
        <w:t xml:space="preserve"> présidée par un magistrat du Conseil d</w:t>
      </w:r>
      <w:r>
        <w:rPr>
          <w:bCs/>
          <w:color w:val="000000" w:themeColor="text1"/>
        </w:rPr>
        <w:t>’État</w:t>
      </w:r>
      <w:r w:rsidRPr="00CE19C0">
        <w:rPr>
          <w:bCs/>
          <w:color w:val="000000" w:themeColor="text1"/>
        </w:rPr>
        <w:t xml:space="preserve"> ne constitue pas un gage d</w:t>
      </w:r>
      <w:r>
        <w:rPr>
          <w:bCs/>
          <w:color w:val="000000" w:themeColor="text1"/>
        </w:rPr>
        <w:t>’</w:t>
      </w:r>
      <w:r w:rsidRPr="00CE19C0">
        <w:rPr>
          <w:bCs/>
          <w:color w:val="000000" w:themeColor="text1"/>
        </w:rPr>
        <w:t xml:space="preserve">indépendance, </w:t>
      </w:r>
      <w:r w:rsidRPr="00044779">
        <w:rPr>
          <w:bCs/>
        </w:rPr>
        <w:t>puisque l</w:t>
      </w:r>
      <w:r>
        <w:rPr>
          <w:bCs/>
        </w:rPr>
        <w:t>’</w:t>
      </w:r>
      <w:r w:rsidRPr="00044779">
        <w:rPr>
          <w:bCs/>
        </w:rPr>
        <w:t>un et l</w:t>
      </w:r>
      <w:r>
        <w:rPr>
          <w:bCs/>
        </w:rPr>
        <w:t>’</w:t>
      </w:r>
      <w:r w:rsidRPr="00044779">
        <w:rPr>
          <w:bCs/>
        </w:rPr>
        <w:t>autre sont aussi payés par l</w:t>
      </w:r>
      <w:r>
        <w:rPr>
          <w:bCs/>
        </w:rPr>
        <w:t>’</w:t>
      </w:r>
      <w:r w:rsidRPr="00044779">
        <w:rPr>
          <w:bCs/>
        </w:rPr>
        <w:t xml:space="preserve">ordre </w:t>
      </w:r>
      <w:r>
        <w:rPr>
          <w:bCs/>
        </w:rPr>
        <w:t xml:space="preserve">national </w:t>
      </w:r>
      <w:r w:rsidRPr="00044779">
        <w:rPr>
          <w:bCs/>
        </w:rPr>
        <w:t>des chirurgiens-dentistes</w:t>
      </w:r>
      <w:r>
        <w:rPr>
          <w:bCs/>
        </w:rPr>
        <w:t>,</w:t>
      </w:r>
      <w:r w:rsidRPr="00044779">
        <w:rPr>
          <w:bCs/>
        </w:rPr>
        <w:t xml:space="preserve"> qui est plaignant dans l</w:t>
      </w:r>
      <w:r>
        <w:rPr>
          <w:bCs/>
        </w:rPr>
        <w:t>’</w:t>
      </w:r>
      <w:r w:rsidRPr="00044779">
        <w:rPr>
          <w:bCs/>
        </w:rPr>
        <w:t>instance</w:t>
      </w:r>
      <w:r w:rsidRPr="002973E4">
        <w:rPr>
          <w:rStyle w:val="Appelnotedebasdep"/>
        </w:rPr>
        <w:footnoteReference w:id="20"/>
      </w:r>
      <w:r w:rsidR="0076142A" w:rsidRPr="0076142A">
        <w:rPr>
          <w:bCs/>
        </w:rPr>
        <w:t>.</w:t>
      </w:r>
      <w:r w:rsidRPr="00CE19C0">
        <w:rPr>
          <w:bCs/>
          <w:color w:val="000000" w:themeColor="text1"/>
        </w:rPr>
        <w:t xml:space="preserve"> </w:t>
      </w:r>
      <w:r>
        <w:rPr>
          <w:bCs/>
          <w:color w:val="000000" w:themeColor="text1"/>
        </w:rPr>
        <w:t xml:space="preserve">C’est </w:t>
      </w:r>
      <w:r>
        <w:rPr>
          <w:bCs/>
          <w:color w:val="000000" w:themeColor="text1"/>
        </w:rPr>
        <w:lastRenderedPageBreak/>
        <w:t>d’ailleurs ce qu’a indiqué</w:t>
      </w:r>
      <w:r w:rsidRPr="00CE19C0">
        <w:rPr>
          <w:bCs/>
          <w:color w:val="000000" w:themeColor="text1"/>
        </w:rPr>
        <w:t xml:space="preserve"> la Cour des comptes dans son rapport de février 2017</w:t>
      </w:r>
      <w:r>
        <w:rPr>
          <w:bCs/>
          <w:color w:val="000000" w:themeColor="text1"/>
        </w:rPr>
        <w:t>,</w:t>
      </w:r>
      <w:r w:rsidRPr="00CE19C0">
        <w:rPr>
          <w:bCs/>
          <w:color w:val="000000" w:themeColor="text1"/>
        </w:rPr>
        <w:t xml:space="preserve"> qui </w:t>
      </w:r>
      <w:r>
        <w:rPr>
          <w:bCs/>
          <w:color w:val="000000" w:themeColor="text1"/>
        </w:rPr>
        <w:t>dénonçait</w:t>
      </w:r>
      <w:r w:rsidRPr="00CE19C0">
        <w:rPr>
          <w:bCs/>
          <w:color w:val="000000" w:themeColor="text1"/>
        </w:rPr>
        <w:t xml:space="preserve"> un conflit d</w:t>
      </w:r>
      <w:r>
        <w:rPr>
          <w:bCs/>
          <w:color w:val="000000" w:themeColor="text1"/>
        </w:rPr>
        <w:t>’</w:t>
      </w:r>
      <w:r w:rsidRPr="00CE19C0">
        <w:rPr>
          <w:bCs/>
          <w:color w:val="000000" w:themeColor="text1"/>
        </w:rPr>
        <w:t>intérêt</w:t>
      </w:r>
      <w:r>
        <w:rPr>
          <w:bCs/>
          <w:color w:val="000000" w:themeColor="text1"/>
        </w:rPr>
        <w:t>s</w:t>
      </w:r>
      <w:r w:rsidRPr="002973E4">
        <w:rPr>
          <w:rStyle w:val="Appelnotedebasdep"/>
        </w:rPr>
        <w:footnoteReference w:id="21"/>
      </w:r>
      <w:r w:rsidR="0076142A" w:rsidRPr="0076142A">
        <w:rPr>
          <w:bCs/>
          <w:color w:val="000000" w:themeColor="text1"/>
        </w:rPr>
        <w:t>.</w:t>
      </w:r>
    </w:p>
    <w:p w14:paraId="7BD5A0FC" w14:textId="08250F83" w:rsidR="002973E4" w:rsidRPr="00CE19C0" w:rsidRDefault="002973E4" w:rsidP="002973E4">
      <w:pPr>
        <w:pStyle w:val="SingleTxtG"/>
        <w:rPr>
          <w:bCs/>
          <w:color w:val="000000" w:themeColor="text1"/>
        </w:rPr>
      </w:pPr>
      <w:r>
        <w:rPr>
          <w:bCs/>
          <w:color w:val="000000" w:themeColor="text1"/>
        </w:rPr>
        <w:t>5</w:t>
      </w:r>
      <w:r w:rsidR="0076142A" w:rsidRPr="0076142A">
        <w:rPr>
          <w:bCs/>
          <w:color w:val="000000" w:themeColor="text1"/>
        </w:rPr>
        <w:t>.</w:t>
      </w:r>
      <w:r>
        <w:rPr>
          <w:bCs/>
          <w:color w:val="000000" w:themeColor="text1"/>
        </w:rPr>
        <w:t>9</w:t>
      </w:r>
      <w:r>
        <w:rPr>
          <w:bCs/>
          <w:color w:val="000000" w:themeColor="text1"/>
        </w:rPr>
        <w:tab/>
      </w:r>
      <w:r w:rsidRPr="00CE19C0">
        <w:rPr>
          <w:bCs/>
          <w:color w:val="000000" w:themeColor="text1"/>
        </w:rPr>
        <w:t>Sur le point de savoir si les membres de l</w:t>
      </w:r>
      <w:r>
        <w:rPr>
          <w:bCs/>
          <w:color w:val="000000" w:themeColor="text1"/>
        </w:rPr>
        <w:t>’</w:t>
      </w:r>
      <w:r w:rsidRPr="00CE19C0">
        <w:rPr>
          <w:bCs/>
          <w:color w:val="000000" w:themeColor="text1"/>
        </w:rPr>
        <w:t>ordre</w:t>
      </w:r>
      <w:r>
        <w:rPr>
          <w:bCs/>
          <w:color w:val="000000" w:themeColor="text1"/>
        </w:rPr>
        <w:t xml:space="preserve"> </w:t>
      </w:r>
      <w:r>
        <w:rPr>
          <w:bCs/>
        </w:rPr>
        <w:t xml:space="preserve">national </w:t>
      </w:r>
      <w:r w:rsidRPr="00044779">
        <w:rPr>
          <w:bCs/>
        </w:rPr>
        <w:t>des chirurgiens-dentistes</w:t>
      </w:r>
      <w:r w:rsidRPr="00CE19C0">
        <w:rPr>
          <w:bCs/>
          <w:color w:val="000000" w:themeColor="text1"/>
        </w:rPr>
        <w:t xml:space="preserve"> aussi membres de la juridiction nationale se sont retirés ou non au moment du vote des poursuites contre l</w:t>
      </w:r>
      <w:r>
        <w:rPr>
          <w:bCs/>
          <w:color w:val="000000" w:themeColor="text1"/>
        </w:rPr>
        <w:t>’</w:t>
      </w:r>
      <w:r w:rsidRPr="00CE19C0">
        <w:rPr>
          <w:bCs/>
          <w:color w:val="000000" w:themeColor="text1"/>
        </w:rPr>
        <w:t>auteur, ce dernier</w:t>
      </w:r>
      <w:r>
        <w:rPr>
          <w:bCs/>
          <w:color w:val="000000" w:themeColor="text1"/>
        </w:rPr>
        <w:t xml:space="preserve"> réitère ses doutes quant à </w:t>
      </w:r>
      <w:r w:rsidRPr="00CE19C0">
        <w:rPr>
          <w:bCs/>
          <w:color w:val="000000" w:themeColor="text1"/>
        </w:rPr>
        <w:t xml:space="preserve">la véracité du </w:t>
      </w:r>
      <w:r w:rsidRPr="00451E4D">
        <w:rPr>
          <w:bCs/>
          <w:color w:val="000000" w:themeColor="text1"/>
        </w:rPr>
        <w:t>second p</w:t>
      </w:r>
      <w:r w:rsidRPr="00CE19C0">
        <w:rPr>
          <w:bCs/>
          <w:color w:val="000000" w:themeColor="text1"/>
        </w:rPr>
        <w:t>rocès-verbal</w:t>
      </w:r>
      <w:r>
        <w:rPr>
          <w:bCs/>
          <w:color w:val="000000" w:themeColor="text1"/>
        </w:rPr>
        <w:t xml:space="preserve"> (</w:t>
      </w:r>
      <w:r w:rsidRPr="00CE19C0">
        <w:rPr>
          <w:bCs/>
          <w:color w:val="000000" w:themeColor="text1"/>
        </w:rPr>
        <w:t xml:space="preserve">produit </w:t>
      </w:r>
      <w:r>
        <w:rPr>
          <w:bCs/>
          <w:color w:val="000000" w:themeColor="text1"/>
        </w:rPr>
        <w:t>trente</w:t>
      </w:r>
      <w:r w:rsidRPr="00CE19C0">
        <w:rPr>
          <w:bCs/>
          <w:color w:val="000000" w:themeColor="text1"/>
        </w:rPr>
        <w:t xml:space="preserve"> mois après la tenue de l</w:t>
      </w:r>
      <w:r>
        <w:rPr>
          <w:bCs/>
          <w:color w:val="000000" w:themeColor="text1"/>
        </w:rPr>
        <w:t>’</w:t>
      </w:r>
      <w:r w:rsidRPr="00CE19C0">
        <w:rPr>
          <w:bCs/>
          <w:color w:val="000000" w:themeColor="text1"/>
        </w:rPr>
        <w:t>audience</w:t>
      </w:r>
      <w:r>
        <w:rPr>
          <w:bCs/>
          <w:color w:val="000000" w:themeColor="text1"/>
        </w:rPr>
        <w:t>)</w:t>
      </w:r>
      <w:r w:rsidRPr="00CE19C0">
        <w:rPr>
          <w:bCs/>
          <w:color w:val="000000" w:themeColor="text1"/>
        </w:rPr>
        <w:t xml:space="preserve"> attestant cette formalité</w:t>
      </w:r>
      <w:r w:rsidR="0076142A" w:rsidRPr="0076142A">
        <w:rPr>
          <w:bCs/>
          <w:color w:val="000000" w:themeColor="text1"/>
        </w:rPr>
        <w:t>.</w:t>
      </w:r>
      <w:r w:rsidRPr="00CE19C0">
        <w:rPr>
          <w:bCs/>
          <w:color w:val="000000" w:themeColor="text1"/>
        </w:rPr>
        <w:t xml:space="preserve"> L</w:t>
      </w:r>
      <w:r>
        <w:rPr>
          <w:bCs/>
          <w:color w:val="000000" w:themeColor="text1"/>
        </w:rPr>
        <w:t>’</w:t>
      </w:r>
      <w:r w:rsidRPr="00CE19C0">
        <w:rPr>
          <w:bCs/>
          <w:color w:val="000000" w:themeColor="text1"/>
        </w:rPr>
        <w:t>auteur estime que ce second procès</w:t>
      </w:r>
      <w:r>
        <w:rPr>
          <w:bCs/>
          <w:color w:val="000000" w:themeColor="text1"/>
        </w:rPr>
        <w:noBreakHyphen/>
      </w:r>
      <w:r w:rsidRPr="00CE19C0">
        <w:rPr>
          <w:bCs/>
          <w:color w:val="000000" w:themeColor="text1"/>
        </w:rPr>
        <w:t xml:space="preserve">verbal est produit uniquement dans le but de montrer </w:t>
      </w:r>
      <w:r>
        <w:rPr>
          <w:bCs/>
          <w:color w:val="000000" w:themeColor="text1"/>
        </w:rPr>
        <w:t>au C</w:t>
      </w:r>
      <w:r w:rsidRPr="00CE19C0">
        <w:rPr>
          <w:bCs/>
          <w:color w:val="000000" w:themeColor="text1"/>
        </w:rPr>
        <w:t>onseil national de l</w:t>
      </w:r>
      <w:r>
        <w:rPr>
          <w:bCs/>
          <w:color w:val="000000" w:themeColor="text1"/>
        </w:rPr>
        <w:t>’</w:t>
      </w:r>
      <w:r w:rsidRPr="00CE19C0">
        <w:rPr>
          <w:bCs/>
          <w:color w:val="000000" w:themeColor="text1"/>
        </w:rPr>
        <w:t>ordre que des juges étaient sortis de la salle de réunion au moment de statuer sur la plainte contre l</w:t>
      </w:r>
      <w:r>
        <w:rPr>
          <w:bCs/>
          <w:color w:val="000000" w:themeColor="text1"/>
        </w:rPr>
        <w:t>’</w:t>
      </w:r>
      <w:r w:rsidRPr="00CE19C0">
        <w:rPr>
          <w:bCs/>
          <w:color w:val="000000" w:themeColor="text1"/>
        </w:rPr>
        <w:t>auteur</w:t>
      </w:r>
      <w:r w:rsidR="0076142A" w:rsidRPr="0076142A">
        <w:rPr>
          <w:bCs/>
          <w:color w:val="000000" w:themeColor="text1"/>
        </w:rPr>
        <w:t>.</w:t>
      </w:r>
      <w:r w:rsidRPr="00CE19C0">
        <w:rPr>
          <w:bCs/>
          <w:color w:val="000000" w:themeColor="text1"/>
        </w:rPr>
        <w:t xml:space="preserve"> </w:t>
      </w:r>
      <w:r>
        <w:rPr>
          <w:bCs/>
          <w:color w:val="000000" w:themeColor="text1"/>
        </w:rPr>
        <w:t>Il</w:t>
      </w:r>
      <w:r w:rsidRPr="00CE19C0">
        <w:rPr>
          <w:bCs/>
          <w:color w:val="000000" w:themeColor="text1"/>
        </w:rPr>
        <w:t xml:space="preserve"> ajoute que, contrairement aux stipulations de l</w:t>
      </w:r>
      <w:r>
        <w:rPr>
          <w:bCs/>
          <w:color w:val="000000" w:themeColor="text1"/>
        </w:rPr>
        <w:t>’</w:t>
      </w:r>
      <w:r w:rsidRPr="00CE19C0">
        <w:rPr>
          <w:bCs/>
          <w:color w:val="000000" w:themeColor="text1"/>
        </w:rPr>
        <w:t>article</w:t>
      </w:r>
      <w:r w:rsidR="00B3315E">
        <w:rPr>
          <w:bCs/>
          <w:color w:val="000000" w:themeColor="text1"/>
        </w:rPr>
        <w:t> </w:t>
      </w:r>
      <w:r w:rsidRPr="00CE19C0">
        <w:rPr>
          <w:bCs/>
          <w:color w:val="000000" w:themeColor="text1"/>
        </w:rPr>
        <w:t>R4126</w:t>
      </w:r>
      <w:r w:rsidR="00B3315E">
        <w:rPr>
          <w:bCs/>
          <w:color w:val="000000" w:themeColor="text1"/>
        </w:rPr>
        <w:noBreakHyphen/>
      </w:r>
      <w:r w:rsidRPr="00CE19C0">
        <w:rPr>
          <w:bCs/>
          <w:color w:val="000000" w:themeColor="text1"/>
        </w:rPr>
        <w:t>1 du Code de la santé publique,</w:t>
      </w:r>
      <w:r w:rsidRPr="009E7472">
        <w:rPr>
          <w:bCs/>
        </w:rPr>
        <w:t xml:space="preserve"> </w:t>
      </w:r>
      <w:r w:rsidRPr="00044779">
        <w:rPr>
          <w:bCs/>
        </w:rPr>
        <w:t xml:space="preserve">le procès-verbal de session du </w:t>
      </w:r>
      <w:r>
        <w:rPr>
          <w:bCs/>
        </w:rPr>
        <w:t>C</w:t>
      </w:r>
      <w:r w:rsidRPr="00044779">
        <w:rPr>
          <w:bCs/>
        </w:rPr>
        <w:t>onseil national n</w:t>
      </w:r>
      <w:r>
        <w:rPr>
          <w:bCs/>
        </w:rPr>
        <w:t>’</w:t>
      </w:r>
      <w:r w:rsidRPr="00044779">
        <w:rPr>
          <w:bCs/>
        </w:rPr>
        <w:t xml:space="preserve">a pas été signé, </w:t>
      </w:r>
      <w:r w:rsidRPr="00CE19C0">
        <w:rPr>
          <w:bCs/>
          <w:color w:val="000000" w:themeColor="text1"/>
        </w:rPr>
        <w:t xml:space="preserve">ce qui engendre </w:t>
      </w:r>
      <w:r w:rsidRPr="00CE19C0">
        <w:rPr>
          <w:bCs/>
          <w:i/>
          <w:color w:val="000000" w:themeColor="text1"/>
        </w:rPr>
        <w:t>ipso facto</w:t>
      </w:r>
      <w:r w:rsidRPr="00CE19C0">
        <w:rPr>
          <w:bCs/>
          <w:color w:val="000000" w:themeColor="text1"/>
        </w:rPr>
        <w:t xml:space="preserve"> son irrecevabilité</w:t>
      </w:r>
      <w:r w:rsidR="0076142A" w:rsidRPr="0076142A">
        <w:rPr>
          <w:bCs/>
          <w:color w:val="000000" w:themeColor="text1"/>
        </w:rPr>
        <w:t>.</w:t>
      </w:r>
      <w:r w:rsidRPr="00CE19C0">
        <w:rPr>
          <w:bCs/>
          <w:color w:val="000000" w:themeColor="text1"/>
        </w:rPr>
        <w:t xml:space="preserve"> L</w:t>
      </w:r>
      <w:r>
        <w:rPr>
          <w:bCs/>
          <w:color w:val="000000" w:themeColor="text1"/>
        </w:rPr>
        <w:t>’</w:t>
      </w:r>
      <w:r w:rsidRPr="00CE19C0">
        <w:rPr>
          <w:bCs/>
          <w:color w:val="000000" w:themeColor="text1"/>
        </w:rPr>
        <w:t>auteur estime que la participation de M</w:t>
      </w:r>
      <w:r w:rsidR="0076142A" w:rsidRPr="0076142A">
        <w:rPr>
          <w:bCs/>
          <w:color w:val="000000" w:themeColor="text1"/>
        </w:rPr>
        <w:t>.</w:t>
      </w:r>
      <w:r w:rsidR="00B3315E">
        <w:rPr>
          <w:bCs/>
          <w:color w:val="000000" w:themeColor="text1"/>
        </w:rPr>
        <w:t> </w:t>
      </w:r>
      <w:r w:rsidRPr="00CE19C0">
        <w:rPr>
          <w:bCs/>
          <w:color w:val="000000" w:themeColor="text1"/>
        </w:rPr>
        <w:t xml:space="preserve">de </w:t>
      </w:r>
      <w:proofErr w:type="spellStart"/>
      <w:r w:rsidRPr="00CE19C0">
        <w:rPr>
          <w:bCs/>
          <w:color w:val="000000" w:themeColor="text1"/>
        </w:rPr>
        <w:t>Vulpilli</w:t>
      </w:r>
      <w:r>
        <w:rPr>
          <w:bCs/>
          <w:color w:val="000000" w:themeColor="text1"/>
        </w:rPr>
        <w:t>è</w:t>
      </w:r>
      <w:r w:rsidRPr="00CE19C0">
        <w:rPr>
          <w:bCs/>
          <w:color w:val="000000" w:themeColor="text1"/>
        </w:rPr>
        <w:t>res</w:t>
      </w:r>
      <w:proofErr w:type="spellEnd"/>
      <w:r w:rsidRPr="00CE19C0">
        <w:rPr>
          <w:bCs/>
          <w:color w:val="000000" w:themeColor="text1"/>
        </w:rPr>
        <w:t xml:space="preserve"> à toutes les sessions du </w:t>
      </w:r>
      <w:r>
        <w:rPr>
          <w:bCs/>
          <w:color w:val="000000" w:themeColor="text1"/>
        </w:rPr>
        <w:t>C</w:t>
      </w:r>
      <w:r w:rsidRPr="00CE19C0">
        <w:rPr>
          <w:bCs/>
          <w:color w:val="000000" w:themeColor="text1"/>
        </w:rPr>
        <w:t>onseil national est imposée par la loi, vu que le conseil national des professions médicales et des auxiliaires médicaux est assisté par un membre du Conseil d</w:t>
      </w:r>
      <w:r>
        <w:rPr>
          <w:bCs/>
          <w:color w:val="000000" w:themeColor="text1"/>
        </w:rPr>
        <w:t>’État</w:t>
      </w:r>
      <w:r w:rsidRPr="00CE19C0">
        <w:rPr>
          <w:bCs/>
          <w:color w:val="000000" w:themeColor="text1"/>
        </w:rPr>
        <w:t xml:space="preserve"> avec voix délibérative nommé par le </w:t>
      </w:r>
      <w:r>
        <w:rPr>
          <w:bCs/>
          <w:color w:val="000000" w:themeColor="text1"/>
        </w:rPr>
        <w:t>M</w:t>
      </w:r>
      <w:r w:rsidRPr="00CE19C0">
        <w:rPr>
          <w:bCs/>
          <w:color w:val="000000" w:themeColor="text1"/>
        </w:rPr>
        <w:t>inistre de la justice</w:t>
      </w:r>
      <w:r w:rsidR="0076142A" w:rsidRPr="0076142A">
        <w:rPr>
          <w:bCs/>
          <w:color w:val="000000" w:themeColor="text1"/>
        </w:rPr>
        <w:t>.</w:t>
      </w:r>
      <w:r w:rsidRPr="00CE19C0">
        <w:rPr>
          <w:bCs/>
          <w:color w:val="000000" w:themeColor="text1"/>
        </w:rPr>
        <w:t xml:space="preserve"> Vu que M</w:t>
      </w:r>
      <w:r w:rsidR="0076142A" w:rsidRPr="0076142A">
        <w:rPr>
          <w:bCs/>
          <w:color w:val="000000" w:themeColor="text1"/>
        </w:rPr>
        <w:t>.</w:t>
      </w:r>
      <w:r w:rsidR="00B3315E">
        <w:rPr>
          <w:bCs/>
          <w:color w:val="000000" w:themeColor="text1"/>
        </w:rPr>
        <w:t> </w:t>
      </w:r>
      <w:r w:rsidRPr="00CE19C0">
        <w:rPr>
          <w:bCs/>
          <w:color w:val="000000" w:themeColor="text1"/>
        </w:rPr>
        <w:t xml:space="preserve">de </w:t>
      </w:r>
      <w:proofErr w:type="spellStart"/>
      <w:r w:rsidRPr="00CE19C0">
        <w:rPr>
          <w:bCs/>
          <w:color w:val="000000" w:themeColor="text1"/>
        </w:rPr>
        <w:t>Vulpilli</w:t>
      </w:r>
      <w:r>
        <w:rPr>
          <w:bCs/>
          <w:color w:val="000000" w:themeColor="text1"/>
        </w:rPr>
        <w:t>è</w:t>
      </w:r>
      <w:r w:rsidRPr="00CE19C0">
        <w:rPr>
          <w:bCs/>
          <w:color w:val="000000" w:themeColor="text1"/>
        </w:rPr>
        <w:t>res</w:t>
      </w:r>
      <w:proofErr w:type="spellEnd"/>
      <w:r w:rsidRPr="00CE19C0">
        <w:rPr>
          <w:bCs/>
          <w:color w:val="000000" w:themeColor="text1"/>
        </w:rPr>
        <w:t xml:space="preserve"> était à l</w:t>
      </w:r>
      <w:r>
        <w:rPr>
          <w:bCs/>
          <w:color w:val="000000" w:themeColor="text1"/>
        </w:rPr>
        <w:t>’</w:t>
      </w:r>
      <w:r w:rsidRPr="00CE19C0">
        <w:rPr>
          <w:bCs/>
          <w:color w:val="000000" w:themeColor="text1"/>
        </w:rPr>
        <w:t>époque des faits le seul conseiller d</w:t>
      </w:r>
      <w:r>
        <w:rPr>
          <w:bCs/>
          <w:color w:val="000000" w:themeColor="text1"/>
        </w:rPr>
        <w:t>’État</w:t>
      </w:r>
      <w:r w:rsidRPr="00CE19C0">
        <w:rPr>
          <w:bCs/>
          <w:color w:val="000000" w:themeColor="text1"/>
        </w:rPr>
        <w:t xml:space="preserve"> au service du </w:t>
      </w:r>
      <w:r>
        <w:rPr>
          <w:bCs/>
          <w:color w:val="000000" w:themeColor="text1"/>
        </w:rPr>
        <w:t>C</w:t>
      </w:r>
      <w:r w:rsidRPr="00CE19C0">
        <w:rPr>
          <w:bCs/>
          <w:color w:val="000000" w:themeColor="text1"/>
        </w:rPr>
        <w:t>onseil national, l</w:t>
      </w:r>
      <w:r>
        <w:rPr>
          <w:bCs/>
          <w:color w:val="000000" w:themeColor="text1"/>
        </w:rPr>
        <w:t>’</w:t>
      </w:r>
      <w:r w:rsidRPr="00CE19C0">
        <w:rPr>
          <w:bCs/>
          <w:color w:val="000000" w:themeColor="text1"/>
        </w:rPr>
        <w:t>auteur conclut qu</w:t>
      </w:r>
      <w:r>
        <w:rPr>
          <w:bCs/>
          <w:color w:val="000000" w:themeColor="text1"/>
        </w:rPr>
        <w:t>’</w:t>
      </w:r>
      <w:r w:rsidRPr="00CE19C0">
        <w:rPr>
          <w:bCs/>
          <w:color w:val="000000" w:themeColor="text1"/>
        </w:rPr>
        <w:t xml:space="preserve">il était forcément présent </w:t>
      </w:r>
      <w:r>
        <w:rPr>
          <w:bCs/>
          <w:color w:val="000000" w:themeColor="text1"/>
        </w:rPr>
        <w:t>à</w:t>
      </w:r>
      <w:r w:rsidRPr="00CE19C0">
        <w:rPr>
          <w:bCs/>
          <w:color w:val="000000" w:themeColor="text1"/>
        </w:rPr>
        <w:t xml:space="preserve"> toutes ses sessions</w:t>
      </w:r>
      <w:r w:rsidR="0076142A" w:rsidRPr="0076142A">
        <w:rPr>
          <w:bCs/>
          <w:color w:val="000000" w:themeColor="text1"/>
        </w:rPr>
        <w:t>.</w:t>
      </w:r>
      <w:r w:rsidRPr="00CE19C0">
        <w:rPr>
          <w:bCs/>
          <w:color w:val="000000" w:themeColor="text1"/>
        </w:rPr>
        <w:t xml:space="preserve"> </w:t>
      </w:r>
      <w:r>
        <w:rPr>
          <w:bCs/>
          <w:color w:val="000000" w:themeColor="text1"/>
        </w:rPr>
        <w:t>E</w:t>
      </w:r>
      <w:r w:rsidRPr="00CE19C0">
        <w:rPr>
          <w:bCs/>
          <w:color w:val="000000" w:themeColor="text1"/>
        </w:rPr>
        <w:t xml:space="preserve">nfin, </w:t>
      </w:r>
      <w:r>
        <w:rPr>
          <w:bCs/>
          <w:color w:val="000000" w:themeColor="text1"/>
        </w:rPr>
        <w:t xml:space="preserve">le fait que </w:t>
      </w:r>
      <w:r w:rsidRPr="00CE19C0">
        <w:rPr>
          <w:bCs/>
          <w:color w:val="000000" w:themeColor="text1"/>
        </w:rPr>
        <w:t>le Ministère de la santé publique n</w:t>
      </w:r>
      <w:r>
        <w:rPr>
          <w:bCs/>
          <w:color w:val="000000" w:themeColor="text1"/>
        </w:rPr>
        <w:t>’</w:t>
      </w:r>
      <w:r w:rsidRPr="00CE19C0">
        <w:rPr>
          <w:bCs/>
          <w:color w:val="000000" w:themeColor="text1"/>
        </w:rPr>
        <w:t>était pas en mesure de fournir à l</w:t>
      </w:r>
      <w:r>
        <w:rPr>
          <w:bCs/>
          <w:color w:val="000000" w:themeColor="text1"/>
        </w:rPr>
        <w:t>’</w:t>
      </w:r>
      <w:r w:rsidRPr="00CE19C0">
        <w:rPr>
          <w:bCs/>
          <w:color w:val="000000" w:themeColor="text1"/>
        </w:rPr>
        <w:t>auteur la preuve que le procès-verbal de session lui a</w:t>
      </w:r>
      <w:r>
        <w:rPr>
          <w:bCs/>
          <w:color w:val="000000" w:themeColor="text1"/>
        </w:rPr>
        <w:t>vait</w:t>
      </w:r>
      <w:r w:rsidRPr="00CE19C0">
        <w:rPr>
          <w:bCs/>
          <w:color w:val="000000" w:themeColor="text1"/>
        </w:rPr>
        <w:t xml:space="preserve"> été transmis</w:t>
      </w:r>
      <w:r>
        <w:rPr>
          <w:bCs/>
          <w:color w:val="000000" w:themeColor="text1"/>
        </w:rPr>
        <w:t xml:space="preserve"> est un indice de suspicion quant à la fiabilité dudit procès-verbal</w:t>
      </w:r>
      <w:r w:rsidR="0076142A" w:rsidRPr="0076142A">
        <w:rPr>
          <w:bCs/>
          <w:color w:val="000000" w:themeColor="text1"/>
        </w:rPr>
        <w:t>.</w:t>
      </w:r>
      <w:r w:rsidRPr="00CE19C0">
        <w:rPr>
          <w:bCs/>
          <w:color w:val="000000" w:themeColor="text1"/>
        </w:rPr>
        <w:t xml:space="preserve"> </w:t>
      </w:r>
    </w:p>
    <w:p w14:paraId="4D8DD177" w14:textId="7BCB466D" w:rsidR="002973E4" w:rsidRPr="00057615" w:rsidRDefault="002973E4" w:rsidP="002973E4">
      <w:pPr>
        <w:pStyle w:val="SingleTxtG"/>
        <w:rPr>
          <w:bCs/>
          <w:color w:val="000000" w:themeColor="text1"/>
          <w:lang w:val="fr-FR"/>
        </w:rPr>
      </w:pPr>
      <w:r>
        <w:rPr>
          <w:bCs/>
          <w:color w:val="000000" w:themeColor="text1"/>
        </w:rPr>
        <w:t>5</w:t>
      </w:r>
      <w:r w:rsidR="0076142A" w:rsidRPr="0076142A">
        <w:rPr>
          <w:bCs/>
          <w:color w:val="000000" w:themeColor="text1"/>
        </w:rPr>
        <w:t>.</w:t>
      </w:r>
      <w:r>
        <w:rPr>
          <w:bCs/>
          <w:color w:val="000000" w:themeColor="text1"/>
        </w:rPr>
        <w:t>10</w:t>
      </w:r>
      <w:r>
        <w:rPr>
          <w:bCs/>
          <w:color w:val="000000" w:themeColor="text1"/>
        </w:rPr>
        <w:tab/>
      </w:r>
      <w:r w:rsidRPr="00057615">
        <w:rPr>
          <w:bCs/>
          <w:color w:val="000000" w:themeColor="text1"/>
        </w:rPr>
        <w:t>L</w:t>
      </w:r>
      <w:r>
        <w:rPr>
          <w:bCs/>
          <w:color w:val="000000" w:themeColor="text1"/>
        </w:rPr>
        <w:t>’</w:t>
      </w:r>
      <w:r w:rsidRPr="00057615">
        <w:rPr>
          <w:bCs/>
          <w:color w:val="000000" w:themeColor="text1"/>
        </w:rPr>
        <w:t>auteur prétend que le fait que l</w:t>
      </w:r>
      <w:r>
        <w:rPr>
          <w:bCs/>
          <w:color w:val="000000" w:themeColor="text1"/>
        </w:rPr>
        <w:t>’</w:t>
      </w:r>
      <w:r w:rsidRPr="00057615">
        <w:rPr>
          <w:bCs/>
          <w:color w:val="000000" w:themeColor="text1"/>
        </w:rPr>
        <w:t>avocat adverse est l</w:t>
      </w:r>
      <w:r>
        <w:rPr>
          <w:bCs/>
          <w:color w:val="000000" w:themeColor="text1"/>
        </w:rPr>
        <w:t>’</w:t>
      </w:r>
      <w:r w:rsidRPr="00057615">
        <w:rPr>
          <w:bCs/>
          <w:color w:val="000000" w:themeColor="text1"/>
        </w:rPr>
        <w:t>avocat habituel de plusieurs conseils départementaux</w:t>
      </w:r>
      <w:r w:rsidRPr="00734EC0">
        <w:rPr>
          <w:bCs/>
          <w:color w:val="000000" w:themeColor="text1"/>
        </w:rPr>
        <w:t xml:space="preserve"> </w:t>
      </w:r>
      <w:r w:rsidRPr="00CE19C0">
        <w:rPr>
          <w:bCs/>
          <w:color w:val="000000" w:themeColor="text1"/>
        </w:rPr>
        <w:t>de l</w:t>
      </w:r>
      <w:r>
        <w:rPr>
          <w:bCs/>
          <w:color w:val="000000" w:themeColor="text1"/>
        </w:rPr>
        <w:t>’</w:t>
      </w:r>
      <w:r w:rsidRPr="00CE19C0">
        <w:rPr>
          <w:bCs/>
          <w:color w:val="000000" w:themeColor="text1"/>
        </w:rPr>
        <w:t>ordre</w:t>
      </w:r>
      <w:r>
        <w:rPr>
          <w:bCs/>
          <w:color w:val="000000" w:themeColor="text1"/>
        </w:rPr>
        <w:t xml:space="preserve"> </w:t>
      </w:r>
      <w:r>
        <w:rPr>
          <w:bCs/>
        </w:rPr>
        <w:t xml:space="preserve">national </w:t>
      </w:r>
      <w:r w:rsidRPr="00044779">
        <w:rPr>
          <w:bCs/>
        </w:rPr>
        <w:t>des chirurgiens-dentistes</w:t>
      </w:r>
      <w:r w:rsidRPr="00057615">
        <w:rPr>
          <w:bCs/>
          <w:color w:val="000000" w:themeColor="text1"/>
        </w:rPr>
        <w:t xml:space="preserve"> et que les juges sont membres et élus au sein de ces mêmes conseils départementaux pose un sérieux problème quant à l</w:t>
      </w:r>
      <w:r>
        <w:rPr>
          <w:bCs/>
          <w:color w:val="000000" w:themeColor="text1"/>
        </w:rPr>
        <w:t>’</w:t>
      </w:r>
      <w:r w:rsidRPr="00057615">
        <w:rPr>
          <w:bCs/>
          <w:color w:val="000000" w:themeColor="text1"/>
        </w:rPr>
        <w:t>indépendance de la juridiction saisie</w:t>
      </w:r>
      <w:r w:rsidR="0076142A" w:rsidRPr="0076142A">
        <w:rPr>
          <w:bCs/>
          <w:color w:val="000000" w:themeColor="text1"/>
        </w:rPr>
        <w:t>.</w:t>
      </w:r>
      <w:r w:rsidRPr="00057615">
        <w:rPr>
          <w:bCs/>
          <w:color w:val="000000" w:themeColor="text1"/>
        </w:rPr>
        <w:t xml:space="preserve"> </w:t>
      </w:r>
      <w:r>
        <w:rPr>
          <w:bCs/>
          <w:color w:val="000000" w:themeColor="text1"/>
        </w:rPr>
        <w:t>Il</w:t>
      </w:r>
      <w:r w:rsidRPr="00057615">
        <w:rPr>
          <w:bCs/>
          <w:color w:val="000000" w:themeColor="text1"/>
        </w:rPr>
        <w:t xml:space="preserve"> affirme que</w:t>
      </w:r>
      <w:r>
        <w:rPr>
          <w:bCs/>
          <w:color w:val="000000" w:themeColor="text1"/>
        </w:rPr>
        <w:t>,</w:t>
      </w:r>
      <w:r w:rsidRPr="00057615">
        <w:rPr>
          <w:bCs/>
          <w:color w:val="000000" w:themeColor="text1"/>
        </w:rPr>
        <w:t xml:space="preserve"> </w:t>
      </w:r>
      <w:r w:rsidRPr="00057615">
        <w:rPr>
          <w:bCs/>
          <w:color w:val="000000" w:themeColor="text1"/>
          <w:lang w:val="fr-FR"/>
        </w:rPr>
        <w:t xml:space="preserve">quand </w:t>
      </w:r>
      <w:r w:rsidRPr="00057615">
        <w:rPr>
          <w:bCs/>
          <w:color w:val="000000" w:themeColor="text1"/>
        </w:rPr>
        <w:t>la récusation des juges</w:t>
      </w:r>
      <w:r w:rsidRPr="00057615">
        <w:rPr>
          <w:bCs/>
          <w:color w:val="000000" w:themeColor="text1"/>
          <w:lang w:val="fr-FR"/>
        </w:rPr>
        <w:t xml:space="preserve"> existe dans le droit national, elle doit être effective</w:t>
      </w:r>
      <w:r>
        <w:rPr>
          <w:bCs/>
          <w:color w:val="000000" w:themeColor="text1"/>
          <w:lang w:val="fr-FR"/>
        </w:rPr>
        <w:t>,</w:t>
      </w:r>
      <w:r w:rsidRPr="00057615">
        <w:rPr>
          <w:bCs/>
          <w:color w:val="000000" w:themeColor="text1"/>
          <w:lang w:val="fr-FR"/>
        </w:rPr>
        <w:t xml:space="preserve"> concrète et réelle</w:t>
      </w:r>
      <w:r w:rsidR="0076142A" w:rsidRPr="0076142A">
        <w:rPr>
          <w:bCs/>
          <w:color w:val="000000" w:themeColor="text1"/>
          <w:lang w:val="fr-FR"/>
        </w:rPr>
        <w:t>.</w:t>
      </w:r>
      <w:r w:rsidRPr="00057615">
        <w:rPr>
          <w:bCs/>
          <w:color w:val="000000" w:themeColor="text1"/>
        </w:rPr>
        <w:t xml:space="preserve"> Il </w:t>
      </w:r>
      <w:r>
        <w:rPr>
          <w:bCs/>
          <w:color w:val="000000" w:themeColor="text1"/>
        </w:rPr>
        <w:t>soutient</w:t>
      </w:r>
      <w:r w:rsidRPr="00057615">
        <w:rPr>
          <w:bCs/>
          <w:color w:val="000000" w:themeColor="text1"/>
        </w:rPr>
        <w:t xml:space="preserve"> </w:t>
      </w:r>
      <w:r w:rsidRPr="00057615">
        <w:rPr>
          <w:bCs/>
          <w:color w:val="000000" w:themeColor="text1"/>
          <w:lang w:val="fr-FR"/>
        </w:rPr>
        <w:t>que la demande de récusation pour cause de suspicion légitime doit être formulée avant que le juge rende sa décision</w:t>
      </w:r>
      <w:r w:rsidRPr="002973E4">
        <w:rPr>
          <w:rStyle w:val="Appelnotedebasdep"/>
        </w:rPr>
        <w:footnoteReference w:id="22"/>
      </w:r>
      <w:r w:rsidR="0076142A" w:rsidRPr="0076142A">
        <w:rPr>
          <w:bCs/>
          <w:color w:val="000000" w:themeColor="text1"/>
          <w:lang w:val="fr-FR"/>
        </w:rPr>
        <w:t>.</w:t>
      </w:r>
      <w:r w:rsidRPr="00057615">
        <w:rPr>
          <w:bCs/>
          <w:color w:val="000000" w:themeColor="text1"/>
          <w:lang w:val="fr-FR"/>
        </w:rPr>
        <w:t xml:space="preserve"> Il estime que sa demande </w:t>
      </w:r>
      <w:r>
        <w:rPr>
          <w:bCs/>
          <w:color w:val="000000" w:themeColor="text1"/>
          <w:lang w:val="fr-FR"/>
        </w:rPr>
        <w:t>de</w:t>
      </w:r>
      <w:r w:rsidRPr="00057615">
        <w:rPr>
          <w:bCs/>
          <w:color w:val="000000" w:themeColor="text1"/>
          <w:lang w:val="fr-FR"/>
        </w:rPr>
        <w:t xml:space="preserve"> récusation n</w:t>
      </w:r>
      <w:r>
        <w:rPr>
          <w:bCs/>
          <w:color w:val="000000" w:themeColor="text1"/>
          <w:lang w:val="fr-FR"/>
        </w:rPr>
        <w:t>’</w:t>
      </w:r>
      <w:r w:rsidRPr="00057615">
        <w:rPr>
          <w:bCs/>
          <w:color w:val="000000" w:themeColor="text1"/>
          <w:lang w:val="fr-FR"/>
        </w:rPr>
        <w:t>a pas été examinée au fond sur plusieurs aspects, notamment quant à la participation de M</w:t>
      </w:r>
      <w:r w:rsidR="0076142A" w:rsidRPr="0076142A">
        <w:rPr>
          <w:bCs/>
          <w:color w:val="000000" w:themeColor="text1"/>
          <w:lang w:val="fr-FR"/>
        </w:rPr>
        <w:t>.</w:t>
      </w:r>
      <w:r w:rsidR="00B3315E">
        <w:rPr>
          <w:bCs/>
          <w:color w:val="000000" w:themeColor="text1"/>
          <w:lang w:val="fr-FR"/>
        </w:rPr>
        <w:t> </w:t>
      </w:r>
      <w:r w:rsidRPr="00057615">
        <w:rPr>
          <w:bCs/>
          <w:color w:val="000000" w:themeColor="text1"/>
          <w:lang w:val="fr-FR"/>
        </w:rPr>
        <w:t xml:space="preserve">de </w:t>
      </w:r>
      <w:proofErr w:type="spellStart"/>
      <w:r w:rsidRPr="00057615">
        <w:rPr>
          <w:bCs/>
          <w:color w:val="000000" w:themeColor="text1"/>
          <w:lang w:val="fr-FR"/>
        </w:rPr>
        <w:t>Vulpilli</w:t>
      </w:r>
      <w:r>
        <w:rPr>
          <w:bCs/>
          <w:color w:val="000000" w:themeColor="text1"/>
          <w:lang w:val="fr-FR"/>
        </w:rPr>
        <w:t>è</w:t>
      </w:r>
      <w:r w:rsidRPr="00057615">
        <w:rPr>
          <w:bCs/>
          <w:color w:val="000000" w:themeColor="text1"/>
          <w:lang w:val="fr-FR"/>
        </w:rPr>
        <w:t>res</w:t>
      </w:r>
      <w:proofErr w:type="spellEnd"/>
      <w:r w:rsidRPr="00057615">
        <w:rPr>
          <w:bCs/>
          <w:color w:val="000000" w:themeColor="text1"/>
          <w:lang w:val="fr-FR"/>
        </w:rPr>
        <w:t xml:space="preserve"> comme </w:t>
      </w:r>
      <w:r>
        <w:rPr>
          <w:bCs/>
          <w:color w:val="000000" w:themeColor="text1"/>
          <w:lang w:val="fr-FR"/>
        </w:rPr>
        <w:t>P</w:t>
      </w:r>
      <w:r w:rsidRPr="00057615">
        <w:rPr>
          <w:bCs/>
          <w:color w:val="000000" w:themeColor="text1"/>
          <w:lang w:val="fr-FR"/>
        </w:rPr>
        <w:t xml:space="preserve">résident de la juridiction disciplinaire à la plainte ; au fait que les juges sont choisis, sélectionnés et payés par le </w:t>
      </w:r>
      <w:r>
        <w:rPr>
          <w:bCs/>
          <w:color w:val="000000" w:themeColor="text1"/>
          <w:lang w:val="fr-FR"/>
        </w:rPr>
        <w:t>C</w:t>
      </w:r>
      <w:r w:rsidRPr="00057615">
        <w:rPr>
          <w:bCs/>
          <w:color w:val="000000" w:themeColor="text1"/>
          <w:lang w:val="fr-FR"/>
        </w:rPr>
        <w:t xml:space="preserve">onseil national </w:t>
      </w:r>
      <w:r>
        <w:rPr>
          <w:bCs/>
          <w:color w:val="000000" w:themeColor="text1"/>
          <w:lang w:val="fr-FR"/>
        </w:rPr>
        <w:t xml:space="preserve">de l’ordre, </w:t>
      </w:r>
      <w:r w:rsidRPr="00057615">
        <w:rPr>
          <w:bCs/>
          <w:color w:val="000000" w:themeColor="text1"/>
          <w:lang w:val="fr-FR"/>
        </w:rPr>
        <w:t>qui est le plaignant</w:t>
      </w:r>
      <w:r>
        <w:rPr>
          <w:bCs/>
          <w:color w:val="000000" w:themeColor="text1"/>
          <w:lang w:val="fr-FR"/>
        </w:rPr>
        <w:t> </w:t>
      </w:r>
      <w:r w:rsidRPr="00057615">
        <w:rPr>
          <w:bCs/>
          <w:color w:val="000000" w:themeColor="text1"/>
          <w:lang w:val="fr-FR"/>
        </w:rPr>
        <w:t>; au fait que M</w:t>
      </w:r>
      <w:r w:rsidR="0076142A" w:rsidRPr="0076142A">
        <w:rPr>
          <w:bCs/>
          <w:color w:val="000000" w:themeColor="text1"/>
          <w:lang w:val="fr-FR"/>
        </w:rPr>
        <w:t>.</w:t>
      </w:r>
      <w:r w:rsidR="00B3315E">
        <w:rPr>
          <w:bCs/>
          <w:color w:val="000000" w:themeColor="text1"/>
          <w:lang w:val="fr-FR"/>
        </w:rPr>
        <w:t> </w:t>
      </w:r>
      <w:r w:rsidRPr="00057615">
        <w:rPr>
          <w:bCs/>
          <w:color w:val="000000" w:themeColor="text1"/>
          <w:lang w:val="fr-FR"/>
        </w:rPr>
        <w:t xml:space="preserve">de </w:t>
      </w:r>
      <w:proofErr w:type="spellStart"/>
      <w:r w:rsidRPr="00057615">
        <w:rPr>
          <w:bCs/>
          <w:color w:val="000000" w:themeColor="text1"/>
          <w:lang w:val="fr-FR"/>
        </w:rPr>
        <w:t>Vulpilli</w:t>
      </w:r>
      <w:r>
        <w:rPr>
          <w:bCs/>
          <w:color w:val="000000" w:themeColor="text1"/>
          <w:lang w:val="fr-FR"/>
        </w:rPr>
        <w:t>è</w:t>
      </w:r>
      <w:r w:rsidRPr="00057615">
        <w:rPr>
          <w:bCs/>
          <w:color w:val="000000" w:themeColor="text1"/>
          <w:lang w:val="fr-FR"/>
        </w:rPr>
        <w:t>res</w:t>
      </w:r>
      <w:proofErr w:type="spellEnd"/>
      <w:r w:rsidRPr="00057615">
        <w:rPr>
          <w:bCs/>
          <w:color w:val="000000" w:themeColor="text1"/>
          <w:lang w:val="fr-FR"/>
        </w:rPr>
        <w:t xml:space="preserve"> touche des rémunérations du </w:t>
      </w:r>
      <w:r>
        <w:rPr>
          <w:bCs/>
          <w:color w:val="000000" w:themeColor="text1"/>
          <w:lang w:val="fr-FR"/>
        </w:rPr>
        <w:t>C</w:t>
      </w:r>
      <w:r w:rsidRPr="00057615">
        <w:rPr>
          <w:bCs/>
          <w:color w:val="000000" w:themeColor="text1"/>
          <w:lang w:val="fr-FR"/>
        </w:rPr>
        <w:t>onseil national sans base légale</w:t>
      </w:r>
      <w:r>
        <w:rPr>
          <w:bCs/>
          <w:color w:val="000000" w:themeColor="text1"/>
          <w:lang w:val="fr-FR"/>
        </w:rPr>
        <w:t> ;</w:t>
      </w:r>
      <w:r w:rsidRPr="00057615">
        <w:rPr>
          <w:bCs/>
          <w:color w:val="000000" w:themeColor="text1"/>
          <w:lang w:val="fr-FR"/>
        </w:rPr>
        <w:t xml:space="preserve"> et au fait que M</w:t>
      </w:r>
      <w:r w:rsidR="0076142A" w:rsidRPr="0076142A">
        <w:rPr>
          <w:bCs/>
          <w:color w:val="000000" w:themeColor="text1"/>
          <w:lang w:val="fr-FR"/>
        </w:rPr>
        <w:t>.</w:t>
      </w:r>
      <w:r w:rsidR="00B3315E">
        <w:rPr>
          <w:bCs/>
          <w:color w:val="000000" w:themeColor="text1"/>
          <w:lang w:val="fr-FR"/>
        </w:rPr>
        <w:t> </w:t>
      </w:r>
      <w:r w:rsidRPr="00057615">
        <w:rPr>
          <w:bCs/>
          <w:color w:val="000000" w:themeColor="text1"/>
          <w:lang w:val="fr-FR"/>
        </w:rPr>
        <w:t>de</w:t>
      </w:r>
      <w:r w:rsidR="00B3315E">
        <w:rPr>
          <w:bCs/>
          <w:color w:val="000000" w:themeColor="text1"/>
          <w:lang w:val="fr-FR"/>
        </w:rPr>
        <w:t> </w:t>
      </w:r>
      <w:proofErr w:type="spellStart"/>
      <w:r w:rsidRPr="00057615">
        <w:rPr>
          <w:bCs/>
          <w:color w:val="000000" w:themeColor="text1"/>
          <w:lang w:val="fr-FR"/>
        </w:rPr>
        <w:t>Vulpilli</w:t>
      </w:r>
      <w:r>
        <w:rPr>
          <w:bCs/>
          <w:color w:val="000000" w:themeColor="text1"/>
          <w:lang w:val="fr-FR"/>
        </w:rPr>
        <w:t>è</w:t>
      </w:r>
      <w:r w:rsidRPr="00057615">
        <w:rPr>
          <w:bCs/>
          <w:color w:val="000000" w:themeColor="text1"/>
          <w:lang w:val="fr-FR"/>
        </w:rPr>
        <w:t>res</w:t>
      </w:r>
      <w:proofErr w:type="spellEnd"/>
      <w:r w:rsidRPr="00057615">
        <w:rPr>
          <w:bCs/>
          <w:color w:val="000000" w:themeColor="text1"/>
          <w:lang w:val="fr-FR"/>
        </w:rPr>
        <w:t xml:space="preserve"> et les juges membres du </w:t>
      </w:r>
      <w:r>
        <w:rPr>
          <w:bCs/>
          <w:color w:val="000000" w:themeColor="text1"/>
          <w:lang w:val="fr-FR"/>
        </w:rPr>
        <w:t>C</w:t>
      </w:r>
      <w:r w:rsidRPr="00057615">
        <w:rPr>
          <w:bCs/>
          <w:color w:val="000000" w:themeColor="text1"/>
          <w:lang w:val="fr-FR"/>
        </w:rPr>
        <w:t>onseil national étaient directement concernés par la plainte déposée par l</w:t>
      </w:r>
      <w:r>
        <w:rPr>
          <w:bCs/>
          <w:color w:val="000000" w:themeColor="text1"/>
          <w:lang w:val="fr-FR"/>
        </w:rPr>
        <w:t>’</w:t>
      </w:r>
      <w:r w:rsidRPr="00057615">
        <w:rPr>
          <w:bCs/>
          <w:color w:val="000000" w:themeColor="text1"/>
          <w:lang w:val="fr-FR"/>
        </w:rPr>
        <w:t>auteur</w:t>
      </w:r>
      <w:r w:rsidR="0076142A" w:rsidRPr="0076142A">
        <w:rPr>
          <w:bCs/>
          <w:color w:val="000000" w:themeColor="text1"/>
          <w:lang w:val="fr-FR"/>
        </w:rPr>
        <w:t>.</w:t>
      </w:r>
      <w:r w:rsidRPr="00057615">
        <w:rPr>
          <w:bCs/>
          <w:color w:val="000000" w:themeColor="text1"/>
          <w:lang w:val="fr-FR"/>
        </w:rPr>
        <w:t xml:space="preserve"> L</w:t>
      </w:r>
      <w:r>
        <w:rPr>
          <w:bCs/>
          <w:color w:val="000000" w:themeColor="text1"/>
          <w:lang w:val="fr-FR"/>
        </w:rPr>
        <w:t>’</w:t>
      </w:r>
      <w:r w:rsidRPr="00057615">
        <w:rPr>
          <w:bCs/>
          <w:color w:val="000000" w:themeColor="text1"/>
          <w:lang w:val="fr-FR"/>
        </w:rPr>
        <w:t>auteur allègue en outre que M</w:t>
      </w:r>
      <w:r w:rsidR="0076142A" w:rsidRPr="0076142A">
        <w:rPr>
          <w:bCs/>
          <w:color w:val="000000" w:themeColor="text1"/>
          <w:lang w:val="fr-FR"/>
        </w:rPr>
        <w:t>.</w:t>
      </w:r>
      <w:r w:rsidR="00B3315E">
        <w:rPr>
          <w:bCs/>
          <w:color w:val="000000" w:themeColor="text1"/>
          <w:lang w:val="fr-FR"/>
        </w:rPr>
        <w:t> </w:t>
      </w:r>
      <w:r w:rsidRPr="00057615">
        <w:rPr>
          <w:bCs/>
          <w:color w:val="000000" w:themeColor="text1"/>
          <w:lang w:val="fr-FR"/>
        </w:rPr>
        <w:t xml:space="preserve">de </w:t>
      </w:r>
      <w:proofErr w:type="spellStart"/>
      <w:r w:rsidRPr="00057615">
        <w:rPr>
          <w:bCs/>
          <w:color w:val="000000" w:themeColor="text1"/>
          <w:lang w:val="fr-FR"/>
        </w:rPr>
        <w:t>Vulpilli</w:t>
      </w:r>
      <w:r>
        <w:rPr>
          <w:bCs/>
          <w:color w:val="000000" w:themeColor="text1"/>
          <w:lang w:val="fr-FR"/>
        </w:rPr>
        <w:t>è</w:t>
      </w:r>
      <w:r w:rsidRPr="00057615">
        <w:rPr>
          <w:bCs/>
          <w:color w:val="000000" w:themeColor="text1"/>
          <w:lang w:val="fr-FR"/>
        </w:rPr>
        <w:t>res</w:t>
      </w:r>
      <w:proofErr w:type="spellEnd"/>
      <w:r w:rsidRPr="00057615">
        <w:rPr>
          <w:bCs/>
          <w:color w:val="000000" w:themeColor="text1"/>
          <w:lang w:val="fr-FR"/>
        </w:rPr>
        <w:t xml:space="preserve"> a statué sur sa propre récusation et qu</w:t>
      </w:r>
      <w:r>
        <w:rPr>
          <w:bCs/>
          <w:color w:val="000000" w:themeColor="text1"/>
          <w:lang w:val="fr-FR"/>
        </w:rPr>
        <w:t>’</w:t>
      </w:r>
      <w:r w:rsidRPr="00057615">
        <w:rPr>
          <w:bCs/>
          <w:color w:val="000000" w:themeColor="text1"/>
          <w:lang w:val="fr-FR"/>
        </w:rPr>
        <w:t xml:space="preserve">il a validé le second procès-verbal de session du </w:t>
      </w:r>
      <w:r>
        <w:rPr>
          <w:bCs/>
          <w:color w:val="000000" w:themeColor="text1"/>
          <w:lang w:val="fr-FR"/>
        </w:rPr>
        <w:t>C</w:t>
      </w:r>
      <w:r w:rsidRPr="00057615">
        <w:rPr>
          <w:bCs/>
          <w:color w:val="000000" w:themeColor="text1"/>
          <w:lang w:val="fr-FR"/>
        </w:rPr>
        <w:t>onseil national affirmant qu</w:t>
      </w:r>
      <w:r>
        <w:rPr>
          <w:bCs/>
          <w:color w:val="000000" w:themeColor="text1"/>
          <w:lang w:val="fr-FR"/>
        </w:rPr>
        <w:t>’</w:t>
      </w:r>
      <w:r w:rsidRPr="00057615">
        <w:rPr>
          <w:bCs/>
          <w:color w:val="000000" w:themeColor="text1"/>
          <w:lang w:val="fr-FR"/>
        </w:rPr>
        <w:t>il était sorti avant l</w:t>
      </w:r>
      <w:r>
        <w:rPr>
          <w:bCs/>
          <w:color w:val="000000" w:themeColor="text1"/>
          <w:lang w:val="fr-FR"/>
        </w:rPr>
        <w:t>’</w:t>
      </w:r>
      <w:r w:rsidRPr="00057615">
        <w:rPr>
          <w:bCs/>
          <w:color w:val="000000" w:themeColor="text1"/>
          <w:lang w:val="fr-FR"/>
        </w:rPr>
        <w:t>évocation de la plainte contre l</w:t>
      </w:r>
      <w:r>
        <w:rPr>
          <w:bCs/>
          <w:color w:val="000000" w:themeColor="text1"/>
          <w:lang w:val="fr-FR"/>
        </w:rPr>
        <w:t>’</w:t>
      </w:r>
      <w:r w:rsidRPr="00057615">
        <w:rPr>
          <w:bCs/>
          <w:color w:val="000000" w:themeColor="text1"/>
          <w:lang w:val="fr-FR"/>
        </w:rPr>
        <w:t>auteur</w:t>
      </w:r>
      <w:r w:rsidR="0076142A" w:rsidRPr="0076142A">
        <w:rPr>
          <w:bCs/>
          <w:color w:val="000000" w:themeColor="text1"/>
          <w:lang w:val="fr-FR"/>
        </w:rPr>
        <w:t>.</w:t>
      </w:r>
      <w:r w:rsidRPr="00057615">
        <w:rPr>
          <w:bCs/>
          <w:color w:val="000000" w:themeColor="text1"/>
          <w:lang w:val="fr-FR"/>
        </w:rPr>
        <w:t xml:space="preserve"> L</w:t>
      </w:r>
      <w:r>
        <w:rPr>
          <w:bCs/>
          <w:color w:val="000000" w:themeColor="text1"/>
          <w:lang w:val="fr-FR"/>
        </w:rPr>
        <w:t>’</w:t>
      </w:r>
      <w:r w:rsidRPr="00057615">
        <w:rPr>
          <w:bCs/>
          <w:color w:val="000000" w:themeColor="text1"/>
          <w:lang w:val="fr-FR"/>
        </w:rPr>
        <w:t>auteur précise que, contrairement aux observations de l</w:t>
      </w:r>
      <w:r>
        <w:rPr>
          <w:bCs/>
          <w:color w:val="000000" w:themeColor="text1"/>
          <w:lang w:val="fr-FR"/>
        </w:rPr>
        <w:t>’État</w:t>
      </w:r>
      <w:r w:rsidRPr="00057615">
        <w:rPr>
          <w:bCs/>
          <w:color w:val="000000" w:themeColor="text1"/>
          <w:lang w:val="fr-FR"/>
        </w:rPr>
        <w:t xml:space="preserve"> partie, la </w:t>
      </w:r>
      <w:r>
        <w:rPr>
          <w:bCs/>
          <w:color w:val="000000" w:themeColor="text1"/>
          <w:lang w:val="fr-FR"/>
        </w:rPr>
        <w:t>C</w:t>
      </w:r>
      <w:r w:rsidRPr="00057615">
        <w:rPr>
          <w:bCs/>
          <w:color w:val="000000" w:themeColor="text1"/>
          <w:lang w:val="fr-FR"/>
        </w:rPr>
        <w:t>hambre disciplinaire nationale ne pouvait pas réexaminer la demande de récusation</w:t>
      </w:r>
      <w:r w:rsidR="0076142A" w:rsidRPr="0076142A">
        <w:rPr>
          <w:bCs/>
          <w:color w:val="000000" w:themeColor="text1"/>
          <w:lang w:val="fr-FR"/>
        </w:rPr>
        <w:t>.</w:t>
      </w:r>
      <w:r w:rsidRPr="00057615">
        <w:rPr>
          <w:bCs/>
          <w:color w:val="000000" w:themeColor="text1"/>
          <w:lang w:val="fr-FR"/>
        </w:rPr>
        <w:t xml:space="preserve"> Il souligne que la question a été tranchée par le Conseil d</w:t>
      </w:r>
      <w:r>
        <w:rPr>
          <w:bCs/>
          <w:color w:val="000000" w:themeColor="text1"/>
          <w:lang w:val="fr-FR"/>
        </w:rPr>
        <w:t>’État,</w:t>
      </w:r>
      <w:r w:rsidRPr="00057615">
        <w:rPr>
          <w:bCs/>
          <w:color w:val="000000" w:themeColor="text1"/>
          <w:lang w:val="fr-FR"/>
        </w:rPr>
        <w:t xml:space="preserve"> qui n</w:t>
      </w:r>
      <w:r>
        <w:rPr>
          <w:bCs/>
          <w:color w:val="000000" w:themeColor="text1"/>
          <w:lang w:val="fr-FR"/>
        </w:rPr>
        <w:t>’</w:t>
      </w:r>
      <w:r w:rsidRPr="00057615">
        <w:rPr>
          <w:bCs/>
          <w:color w:val="000000" w:themeColor="text1"/>
          <w:lang w:val="fr-FR"/>
        </w:rPr>
        <w:t>a pas répondu à ses moyens</w:t>
      </w:r>
      <w:r w:rsidR="0076142A" w:rsidRPr="0076142A">
        <w:rPr>
          <w:bCs/>
          <w:color w:val="000000" w:themeColor="text1"/>
          <w:lang w:val="fr-FR"/>
        </w:rPr>
        <w:t>.</w:t>
      </w:r>
    </w:p>
    <w:p w14:paraId="54A9AE0D" w14:textId="0B8D9B22" w:rsidR="002973E4" w:rsidRPr="00057615" w:rsidRDefault="002973E4" w:rsidP="002973E4">
      <w:pPr>
        <w:pStyle w:val="SingleTxtG"/>
        <w:rPr>
          <w:bCs/>
          <w:color w:val="000000" w:themeColor="text1"/>
          <w:lang w:val="fr-FR"/>
        </w:rPr>
      </w:pPr>
      <w:r w:rsidRPr="00057615">
        <w:rPr>
          <w:bCs/>
          <w:color w:val="000000" w:themeColor="text1"/>
          <w:lang w:val="fr-FR"/>
        </w:rPr>
        <w:t>5</w:t>
      </w:r>
      <w:r w:rsidR="0076142A" w:rsidRPr="0076142A">
        <w:rPr>
          <w:bCs/>
          <w:color w:val="000000" w:themeColor="text1"/>
          <w:lang w:val="fr-FR"/>
        </w:rPr>
        <w:t>.</w:t>
      </w:r>
      <w:r w:rsidRPr="00057615">
        <w:rPr>
          <w:bCs/>
          <w:color w:val="000000" w:themeColor="text1"/>
          <w:lang w:val="fr-FR"/>
        </w:rPr>
        <w:t>11</w:t>
      </w:r>
      <w:r w:rsidRPr="00057615">
        <w:rPr>
          <w:bCs/>
          <w:color w:val="000000" w:themeColor="text1"/>
          <w:lang w:val="fr-FR"/>
        </w:rPr>
        <w:tab/>
        <w:t>En ce qui concerne le grief tiré de l</w:t>
      </w:r>
      <w:r>
        <w:rPr>
          <w:bCs/>
          <w:color w:val="000000" w:themeColor="text1"/>
          <w:lang w:val="fr-FR"/>
        </w:rPr>
        <w:t>’</w:t>
      </w:r>
      <w:r w:rsidRPr="00057615">
        <w:rPr>
          <w:bCs/>
          <w:color w:val="000000" w:themeColor="text1"/>
          <w:lang w:val="fr-FR"/>
        </w:rPr>
        <w:t>article</w:t>
      </w:r>
      <w:r w:rsidR="00B3315E">
        <w:rPr>
          <w:bCs/>
          <w:color w:val="000000" w:themeColor="text1"/>
          <w:lang w:val="fr-FR"/>
        </w:rPr>
        <w:t> </w:t>
      </w:r>
      <w:r w:rsidRPr="00057615">
        <w:rPr>
          <w:bCs/>
          <w:color w:val="000000" w:themeColor="text1"/>
          <w:lang w:val="fr-FR"/>
        </w:rPr>
        <w:t>19 du Pacte, l</w:t>
      </w:r>
      <w:r>
        <w:rPr>
          <w:bCs/>
          <w:color w:val="000000" w:themeColor="text1"/>
          <w:lang w:val="fr-FR"/>
        </w:rPr>
        <w:t>’</w:t>
      </w:r>
      <w:r w:rsidRPr="00057615">
        <w:rPr>
          <w:bCs/>
          <w:color w:val="000000" w:themeColor="text1"/>
          <w:lang w:val="fr-FR"/>
        </w:rPr>
        <w:t>auteur réitère que sa communication est recevable</w:t>
      </w:r>
      <w:r w:rsidR="0076142A" w:rsidRPr="0076142A">
        <w:rPr>
          <w:bCs/>
          <w:color w:val="000000" w:themeColor="text1"/>
          <w:lang w:val="fr-FR"/>
        </w:rPr>
        <w:t>.</w:t>
      </w:r>
      <w:r w:rsidRPr="00057615">
        <w:rPr>
          <w:bCs/>
          <w:color w:val="000000" w:themeColor="text1"/>
          <w:lang w:val="fr-FR"/>
        </w:rPr>
        <w:t xml:space="preserve"> Il affirme qu</w:t>
      </w:r>
      <w:r>
        <w:rPr>
          <w:bCs/>
          <w:color w:val="000000" w:themeColor="text1"/>
          <w:lang w:val="fr-FR"/>
        </w:rPr>
        <w:t>’</w:t>
      </w:r>
      <w:r w:rsidRPr="00057615">
        <w:rPr>
          <w:bCs/>
          <w:color w:val="000000" w:themeColor="text1"/>
          <w:lang w:val="fr-FR"/>
        </w:rPr>
        <w:t>il n</w:t>
      </w:r>
      <w:r>
        <w:rPr>
          <w:bCs/>
          <w:color w:val="000000" w:themeColor="text1"/>
          <w:lang w:val="fr-FR"/>
        </w:rPr>
        <w:t>’</w:t>
      </w:r>
      <w:r w:rsidRPr="00057615">
        <w:rPr>
          <w:bCs/>
          <w:color w:val="000000" w:themeColor="text1"/>
          <w:lang w:val="fr-FR"/>
        </w:rPr>
        <w:t>a pas été poursuivi pour une faute professionnelle, mais pour un délit d</w:t>
      </w:r>
      <w:r>
        <w:rPr>
          <w:bCs/>
          <w:color w:val="000000" w:themeColor="text1"/>
          <w:lang w:val="fr-FR"/>
        </w:rPr>
        <w:t>’</w:t>
      </w:r>
      <w:r w:rsidRPr="00057615">
        <w:rPr>
          <w:bCs/>
          <w:color w:val="000000" w:themeColor="text1"/>
          <w:lang w:val="fr-FR"/>
        </w:rPr>
        <w:t>opinion sans que ses moyens aient été examinés</w:t>
      </w:r>
      <w:r w:rsidR="0076142A" w:rsidRPr="0076142A">
        <w:rPr>
          <w:bCs/>
          <w:color w:val="000000" w:themeColor="text1"/>
          <w:lang w:val="fr-FR"/>
        </w:rPr>
        <w:t>.</w:t>
      </w:r>
      <w:r w:rsidRPr="00057615">
        <w:rPr>
          <w:bCs/>
          <w:color w:val="000000" w:themeColor="text1"/>
          <w:lang w:val="fr-FR"/>
        </w:rPr>
        <w:t xml:space="preserve"> L</w:t>
      </w:r>
      <w:r>
        <w:rPr>
          <w:bCs/>
          <w:color w:val="000000" w:themeColor="text1"/>
          <w:lang w:val="fr-FR"/>
        </w:rPr>
        <w:t>’</w:t>
      </w:r>
      <w:r w:rsidRPr="00057615">
        <w:rPr>
          <w:bCs/>
          <w:color w:val="000000" w:themeColor="text1"/>
          <w:lang w:val="fr-FR"/>
        </w:rPr>
        <w:t xml:space="preserve">auteur rappelle que les reproches pour lesquels il a été condamné ont été utilisés par la </w:t>
      </w:r>
      <w:r>
        <w:rPr>
          <w:bCs/>
          <w:color w:val="000000" w:themeColor="text1"/>
          <w:lang w:val="fr-FR"/>
        </w:rPr>
        <w:t>C</w:t>
      </w:r>
      <w:r w:rsidRPr="00057615">
        <w:rPr>
          <w:bCs/>
          <w:color w:val="000000" w:themeColor="text1"/>
          <w:lang w:val="fr-FR"/>
        </w:rPr>
        <w:t>our des comptes</w:t>
      </w:r>
      <w:r>
        <w:rPr>
          <w:bCs/>
          <w:color w:val="000000" w:themeColor="text1"/>
          <w:lang w:val="fr-FR"/>
        </w:rPr>
        <w:t>,</w:t>
      </w:r>
      <w:r w:rsidRPr="00057615">
        <w:rPr>
          <w:bCs/>
          <w:color w:val="000000" w:themeColor="text1"/>
          <w:lang w:val="fr-FR"/>
        </w:rPr>
        <w:t xml:space="preserve"> qui l</w:t>
      </w:r>
      <w:r>
        <w:rPr>
          <w:bCs/>
          <w:color w:val="000000" w:themeColor="text1"/>
          <w:lang w:val="fr-FR"/>
        </w:rPr>
        <w:t>’</w:t>
      </w:r>
      <w:r w:rsidRPr="00057615">
        <w:rPr>
          <w:bCs/>
          <w:color w:val="000000" w:themeColor="text1"/>
          <w:lang w:val="fr-FR"/>
        </w:rPr>
        <w:t xml:space="preserve">a interrogé avant de produire son rapport de février 2017, notamment sur la partialité des juges disciplinaires, les indemnités douteuses perçues par ces derniers et le fait que les praticiens soumis aux décisions des juridictions ordinales </w:t>
      </w:r>
      <w:r>
        <w:rPr>
          <w:bCs/>
          <w:color w:val="000000" w:themeColor="text1"/>
          <w:lang w:val="fr-FR"/>
        </w:rPr>
        <w:t>étaient</w:t>
      </w:r>
      <w:r w:rsidRPr="00057615">
        <w:rPr>
          <w:bCs/>
          <w:color w:val="000000" w:themeColor="text1"/>
          <w:lang w:val="fr-FR"/>
        </w:rPr>
        <w:t xml:space="preserve"> sans moyen de défense</w:t>
      </w:r>
      <w:r w:rsidR="0076142A" w:rsidRPr="0076142A">
        <w:rPr>
          <w:bCs/>
          <w:color w:val="000000" w:themeColor="text1"/>
          <w:lang w:val="fr-FR"/>
        </w:rPr>
        <w:t>.</w:t>
      </w:r>
      <w:r w:rsidRPr="00057615">
        <w:rPr>
          <w:bCs/>
          <w:color w:val="000000" w:themeColor="text1"/>
          <w:lang w:val="fr-FR"/>
        </w:rPr>
        <w:t xml:space="preserve"> L</w:t>
      </w:r>
      <w:r>
        <w:rPr>
          <w:bCs/>
          <w:color w:val="000000" w:themeColor="text1"/>
          <w:lang w:val="fr-FR"/>
        </w:rPr>
        <w:t>’</w:t>
      </w:r>
      <w:r w:rsidRPr="00057615">
        <w:rPr>
          <w:bCs/>
          <w:color w:val="000000" w:themeColor="text1"/>
          <w:lang w:val="fr-FR"/>
        </w:rPr>
        <w:t>auteur estime avoir formulé des critiques vis-à-vis de personnes investies d</w:t>
      </w:r>
      <w:r>
        <w:rPr>
          <w:bCs/>
          <w:color w:val="000000" w:themeColor="text1"/>
          <w:lang w:val="fr-FR"/>
        </w:rPr>
        <w:t>’</w:t>
      </w:r>
      <w:r w:rsidRPr="00057615">
        <w:rPr>
          <w:bCs/>
          <w:color w:val="000000" w:themeColor="text1"/>
          <w:lang w:val="fr-FR"/>
        </w:rPr>
        <w:t>une mission de service public dans l</w:t>
      </w:r>
      <w:r>
        <w:rPr>
          <w:bCs/>
          <w:color w:val="000000" w:themeColor="text1"/>
          <w:lang w:val="fr-FR"/>
        </w:rPr>
        <w:t>’</w:t>
      </w:r>
      <w:r w:rsidRPr="00057615">
        <w:rPr>
          <w:bCs/>
          <w:color w:val="000000" w:themeColor="text1"/>
          <w:lang w:val="fr-FR"/>
        </w:rPr>
        <w:t>intérêt général</w:t>
      </w:r>
      <w:r>
        <w:rPr>
          <w:bCs/>
          <w:color w:val="000000" w:themeColor="text1"/>
          <w:lang w:val="fr-FR"/>
        </w:rPr>
        <w:t>,</w:t>
      </w:r>
      <w:r w:rsidRPr="00057615">
        <w:rPr>
          <w:bCs/>
          <w:color w:val="000000" w:themeColor="text1"/>
          <w:lang w:val="fr-FR"/>
        </w:rPr>
        <w:t xml:space="preserve"> et </w:t>
      </w:r>
      <w:r>
        <w:rPr>
          <w:bCs/>
          <w:color w:val="000000" w:themeColor="text1"/>
          <w:lang w:val="fr-FR"/>
        </w:rPr>
        <w:t xml:space="preserve">soutient </w:t>
      </w:r>
      <w:r w:rsidRPr="00057615">
        <w:rPr>
          <w:bCs/>
          <w:color w:val="000000" w:themeColor="text1"/>
          <w:lang w:val="fr-FR"/>
        </w:rPr>
        <w:t>que ces critiques doivent être acceptées de manière bien plus large que si elles étaient dirigées contre une personne privée</w:t>
      </w:r>
      <w:r w:rsidRPr="002973E4">
        <w:rPr>
          <w:rStyle w:val="Appelnotedebasdep"/>
        </w:rPr>
        <w:footnoteReference w:id="23"/>
      </w:r>
      <w:r w:rsidR="0076142A" w:rsidRPr="0076142A">
        <w:rPr>
          <w:bCs/>
          <w:color w:val="000000" w:themeColor="text1"/>
          <w:lang w:val="fr-FR"/>
        </w:rPr>
        <w:t>.</w:t>
      </w:r>
      <w:r w:rsidRPr="00057615">
        <w:rPr>
          <w:bCs/>
          <w:color w:val="000000" w:themeColor="text1"/>
          <w:lang w:val="fr-FR"/>
        </w:rPr>
        <w:t xml:space="preserve"> L</w:t>
      </w:r>
      <w:r>
        <w:rPr>
          <w:bCs/>
          <w:color w:val="000000" w:themeColor="text1"/>
          <w:lang w:val="fr-FR"/>
        </w:rPr>
        <w:t>’</w:t>
      </w:r>
      <w:r w:rsidRPr="00057615">
        <w:rPr>
          <w:bCs/>
          <w:color w:val="000000" w:themeColor="text1"/>
          <w:lang w:val="fr-FR"/>
        </w:rPr>
        <w:t>auteur fait valoir que la restriction à sa liberté d</w:t>
      </w:r>
      <w:r>
        <w:rPr>
          <w:bCs/>
          <w:color w:val="000000" w:themeColor="text1"/>
          <w:lang w:val="fr-FR"/>
        </w:rPr>
        <w:t>’</w:t>
      </w:r>
      <w:r w:rsidRPr="00057615">
        <w:rPr>
          <w:bCs/>
          <w:color w:val="000000" w:themeColor="text1"/>
          <w:lang w:val="fr-FR"/>
        </w:rPr>
        <w:t>expression n</w:t>
      </w:r>
      <w:r>
        <w:rPr>
          <w:bCs/>
          <w:color w:val="000000" w:themeColor="text1"/>
          <w:lang w:val="fr-FR"/>
        </w:rPr>
        <w:t>’</w:t>
      </w:r>
      <w:r w:rsidRPr="00057615">
        <w:rPr>
          <w:bCs/>
          <w:color w:val="000000" w:themeColor="text1"/>
          <w:lang w:val="fr-FR"/>
        </w:rPr>
        <w:t>est pas prévue par la loi</w:t>
      </w:r>
      <w:r w:rsidR="0076142A" w:rsidRPr="0076142A">
        <w:rPr>
          <w:bCs/>
          <w:color w:val="000000" w:themeColor="text1"/>
          <w:lang w:val="fr-FR"/>
        </w:rPr>
        <w:t>.</w:t>
      </w:r>
      <w:r w:rsidRPr="00057615">
        <w:rPr>
          <w:bCs/>
          <w:color w:val="000000" w:themeColor="text1"/>
          <w:lang w:val="fr-FR"/>
        </w:rPr>
        <w:t xml:space="preserve"> Il réitère que critiquer les décisions d</w:t>
      </w:r>
      <w:r>
        <w:rPr>
          <w:bCs/>
          <w:color w:val="000000" w:themeColor="text1"/>
          <w:lang w:val="fr-FR"/>
        </w:rPr>
        <w:t>’</w:t>
      </w:r>
      <w:r w:rsidRPr="00057615">
        <w:rPr>
          <w:bCs/>
          <w:color w:val="000000" w:themeColor="text1"/>
          <w:lang w:val="fr-FR"/>
        </w:rPr>
        <w:t xml:space="preserve">un magistrat </w:t>
      </w:r>
      <w:r>
        <w:rPr>
          <w:bCs/>
          <w:color w:val="000000" w:themeColor="text1"/>
          <w:lang w:val="fr-FR"/>
        </w:rPr>
        <w:t>prises dans le cadre</w:t>
      </w:r>
      <w:r w:rsidRPr="00057615">
        <w:rPr>
          <w:bCs/>
          <w:color w:val="000000" w:themeColor="text1"/>
          <w:lang w:val="fr-FR"/>
        </w:rPr>
        <w:t xml:space="preserve"> de ses fonctions juridictionnelles n</w:t>
      </w:r>
      <w:r>
        <w:rPr>
          <w:bCs/>
          <w:color w:val="000000" w:themeColor="text1"/>
          <w:lang w:val="fr-FR"/>
        </w:rPr>
        <w:t>’</w:t>
      </w:r>
      <w:r w:rsidRPr="00057615">
        <w:rPr>
          <w:bCs/>
          <w:color w:val="000000" w:themeColor="text1"/>
          <w:lang w:val="fr-FR"/>
        </w:rPr>
        <w:t>est pas interdit</w:t>
      </w:r>
      <w:r w:rsidR="0076142A" w:rsidRPr="0076142A">
        <w:rPr>
          <w:bCs/>
          <w:color w:val="000000" w:themeColor="text1"/>
          <w:lang w:val="fr-FR"/>
        </w:rPr>
        <w:t>.</w:t>
      </w:r>
      <w:r w:rsidRPr="00057615">
        <w:rPr>
          <w:bCs/>
          <w:color w:val="000000" w:themeColor="text1"/>
          <w:lang w:val="fr-FR"/>
        </w:rPr>
        <w:t xml:space="preserve"> </w:t>
      </w:r>
    </w:p>
    <w:p w14:paraId="0C87112D" w14:textId="57C21171" w:rsidR="002973E4" w:rsidRPr="00CE19C0" w:rsidRDefault="002973E4" w:rsidP="00B3315E">
      <w:pPr>
        <w:pStyle w:val="H23G"/>
        <w:rPr>
          <w:lang w:val="fr-FR"/>
        </w:rPr>
      </w:pPr>
      <w:r>
        <w:rPr>
          <w:lang w:val="fr-FR"/>
        </w:rPr>
        <w:lastRenderedPageBreak/>
        <w:tab/>
      </w:r>
      <w:r>
        <w:rPr>
          <w:lang w:val="fr-FR"/>
        </w:rPr>
        <w:tab/>
        <w:t>Observations complémentaires des parties</w:t>
      </w:r>
    </w:p>
    <w:p w14:paraId="34AAA6C4" w14:textId="77777777" w:rsidR="002973E4" w:rsidRDefault="002973E4" w:rsidP="00B3315E">
      <w:pPr>
        <w:pStyle w:val="H4G"/>
      </w:pPr>
      <w:r>
        <w:tab/>
      </w:r>
      <w:r>
        <w:tab/>
        <w:t>L’auteur</w:t>
      </w:r>
    </w:p>
    <w:p w14:paraId="11CC889E" w14:textId="052DBD99" w:rsidR="002973E4" w:rsidRPr="00CE19C0" w:rsidRDefault="002973E4" w:rsidP="002973E4">
      <w:pPr>
        <w:pStyle w:val="SingleTxtG"/>
        <w:rPr>
          <w:rFonts w:eastAsia="Times New Roman"/>
          <w:color w:val="000000"/>
          <w:lang w:val="fr-FR" w:eastAsia="en-GB"/>
        </w:rPr>
      </w:pPr>
      <w:r>
        <w:t>6</w:t>
      </w:r>
      <w:r w:rsidR="0076142A" w:rsidRPr="0076142A">
        <w:t>.</w:t>
      </w:r>
      <w:r>
        <w:t>1</w:t>
      </w:r>
      <w:r>
        <w:tab/>
      </w:r>
      <w:r w:rsidRPr="00CE19C0">
        <w:t xml:space="preserve">Dans sa soumission additionnelle datée </w:t>
      </w:r>
      <w:r>
        <w:t xml:space="preserve">du </w:t>
      </w:r>
      <w:r w:rsidRPr="00CE19C0">
        <w:t>13</w:t>
      </w:r>
      <w:r w:rsidR="00B3315E">
        <w:t> </w:t>
      </w:r>
      <w:r w:rsidRPr="00CE19C0">
        <w:t>juillet 2017, l</w:t>
      </w:r>
      <w:r>
        <w:t>’</w:t>
      </w:r>
      <w:r w:rsidRPr="00CE19C0">
        <w:t xml:space="preserve">auteur </w:t>
      </w:r>
      <w:r>
        <w:t xml:space="preserve">présente </w:t>
      </w:r>
      <w:r w:rsidRPr="00CE19C0">
        <w:t xml:space="preserve">de nouvelles allégations fondées sur </w:t>
      </w:r>
      <w:r>
        <w:t>la violation</w:t>
      </w:r>
      <w:r w:rsidRPr="00CE19C0">
        <w:t xml:space="preserve"> par l</w:t>
      </w:r>
      <w:r>
        <w:t>’État</w:t>
      </w:r>
      <w:r w:rsidRPr="00CE19C0">
        <w:t xml:space="preserve"> partie de</w:t>
      </w:r>
      <w:r>
        <w:t xml:space="preserve">s </w:t>
      </w:r>
      <w:r w:rsidRPr="00CE19C0">
        <w:t>article</w:t>
      </w:r>
      <w:r>
        <w:t>s</w:t>
      </w:r>
      <w:r w:rsidR="00B3315E">
        <w:t> </w:t>
      </w:r>
      <w:r w:rsidRPr="00CE19C0">
        <w:t xml:space="preserve">17 </w:t>
      </w:r>
      <w:r>
        <w:t>et</w:t>
      </w:r>
      <w:r w:rsidRPr="00CE19C0">
        <w:t xml:space="preserve"> 25 </w:t>
      </w:r>
      <w:r>
        <w:t>lus conjointement avec</w:t>
      </w:r>
      <w:r w:rsidRPr="00CE19C0">
        <w:t xml:space="preserve"> l</w:t>
      </w:r>
      <w:r>
        <w:t>’</w:t>
      </w:r>
      <w:r w:rsidRPr="00CE19C0">
        <w:t>article</w:t>
      </w:r>
      <w:r w:rsidR="00B3315E">
        <w:t> </w:t>
      </w:r>
      <w:r w:rsidRPr="00CE19C0">
        <w:t>2</w:t>
      </w:r>
      <w:r>
        <w:t xml:space="preserve"> (par</w:t>
      </w:r>
      <w:r w:rsidR="0076142A" w:rsidRPr="0076142A">
        <w:t>.</w:t>
      </w:r>
      <w:r>
        <w:t> </w:t>
      </w:r>
      <w:r w:rsidRPr="00CE19C0">
        <w:t>3</w:t>
      </w:r>
      <w:r>
        <w:t>)</w:t>
      </w:r>
      <w:r w:rsidRPr="00CE19C0">
        <w:t xml:space="preserve"> du Pacte</w:t>
      </w:r>
      <w:r w:rsidR="0076142A" w:rsidRPr="0076142A">
        <w:t>.</w:t>
      </w:r>
      <w:r w:rsidRPr="00CE19C0">
        <w:t xml:space="preserve"> L</w:t>
      </w:r>
      <w:r>
        <w:t>’</w:t>
      </w:r>
      <w:r w:rsidRPr="00CE19C0">
        <w:t xml:space="preserve">auteur expose que </w:t>
      </w:r>
      <w:r w:rsidRPr="00044779">
        <w:t>le 29 avril 1997, il a été radié de l</w:t>
      </w:r>
      <w:r>
        <w:t>’</w:t>
      </w:r>
      <w:r w:rsidRPr="00044779">
        <w:t>ordre des avocats</w:t>
      </w:r>
      <w:r w:rsidRPr="009E7472">
        <w:t xml:space="preserve"> </w:t>
      </w:r>
      <w:r w:rsidRPr="00CE19C0">
        <w:t>du barreau de Paris en raison de l</w:t>
      </w:r>
      <w:r>
        <w:t>’</w:t>
      </w:r>
      <w:r w:rsidRPr="00CE19C0">
        <w:t>incompatibilité résultant de</w:t>
      </w:r>
      <w:r w:rsidRPr="00CE19C0">
        <w:rPr>
          <w:rFonts w:eastAsia="Times New Roman"/>
          <w:color w:val="000000"/>
          <w:lang w:val="fr-FR" w:eastAsia="en-GB"/>
        </w:rPr>
        <w:t xml:space="preserve"> l</w:t>
      </w:r>
      <w:r>
        <w:rPr>
          <w:rFonts w:eastAsia="Times New Roman"/>
          <w:color w:val="000000"/>
          <w:lang w:val="fr-FR" w:eastAsia="en-GB"/>
        </w:rPr>
        <w:t>’</w:t>
      </w:r>
      <w:r w:rsidRPr="00CE19C0">
        <w:rPr>
          <w:rFonts w:eastAsia="Times New Roman"/>
          <w:color w:val="000000"/>
          <w:lang w:val="fr-FR" w:eastAsia="en-GB"/>
        </w:rPr>
        <w:t>exercice simultané de la profession d</w:t>
      </w:r>
      <w:r>
        <w:rPr>
          <w:rFonts w:eastAsia="Times New Roman"/>
          <w:color w:val="000000"/>
          <w:lang w:val="fr-FR" w:eastAsia="en-GB"/>
        </w:rPr>
        <w:t>’</w:t>
      </w:r>
      <w:r w:rsidRPr="00CE19C0">
        <w:rPr>
          <w:rFonts w:eastAsia="Times New Roman"/>
          <w:color w:val="000000"/>
          <w:lang w:val="fr-FR" w:eastAsia="en-GB"/>
        </w:rPr>
        <w:t>avocat et de chirurgien-dentiste</w:t>
      </w:r>
      <w:r w:rsidR="0076142A" w:rsidRPr="0076142A">
        <w:rPr>
          <w:rFonts w:eastAsia="Times New Roman"/>
          <w:color w:val="000000"/>
          <w:lang w:val="fr-FR" w:eastAsia="en-GB"/>
        </w:rPr>
        <w:t>.</w:t>
      </w:r>
      <w:r w:rsidRPr="00CE19C0">
        <w:rPr>
          <w:rFonts w:eastAsia="Times New Roman"/>
          <w:color w:val="000000"/>
          <w:lang w:val="fr-FR" w:eastAsia="en-GB"/>
        </w:rPr>
        <w:t xml:space="preserve"> Ses pourvois exercés </w:t>
      </w:r>
      <w:r>
        <w:rPr>
          <w:rFonts w:eastAsia="Times New Roman"/>
          <w:color w:val="000000"/>
          <w:lang w:val="fr-FR" w:eastAsia="en-GB"/>
        </w:rPr>
        <w:t>devant</w:t>
      </w:r>
      <w:r w:rsidRPr="00CE19C0">
        <w:rPr>
          <w:rFonts w:eastAsia="Times New Roman"/>
          <w:color w:val="000000"/>
          <w:lang w:val="fr-FR" w:eastAsia="en-GB"/>
        </w:rPr>
        <w:t xml:space="preserve"> la cour d</w:t>
      </w:r>
      <w:r>
        <w:rPr>
          <w:rFonts w:eastAsia="Times New Roman"/>
          <w:color w:val="000000"/>
          <w:lang w:val="fr-FR" w:eastAsia="en-GB"/>
        </w:rPr>
        <w:t>’</w:t>
      </w:r>
      <w:r w:rsidRPr="00CE19C0">
        <w:rPr>
          <w:rFonts w:eastAsia="Times New Roman"/>
          <w:color w:val="000000"/>
          <w:lang w:val="fr-FR" w:eastAsia="en-GB"/>
        </w:rPr>
        <w:t xml:space="preserve">appel de Paris et la </w:t>
      </w:r>
      <w:r>
        <w:rPr>
          <w:rFonts w:eastAsia="Times New Roman"/>
          <w:color w:val="000000"/>
          <w:lang w:val="fr-FR" w:eastAsia="en-GB"/>
        </w:rPr>
        <w:t>C</w:t>
      </w:r>
      <w:r w:rsidRPr="00CE19C0">
        <w:rPr>
          <w:rFonts w:eastAsia="Times New Roman"/>
          <w:color w:val="000000"/>
          <w:lang w:val="fr-FR" w:eastAsia="en-GB"/>
        </w:rPr>
        <w:t>our de cassation ont été rejetés respectivement les 25</w:t>
      </w:r>
      <w:r w:rsidR="005E1410">
        <w:rPr>
          <w:rFonts w:eastAsia="Times New Roman"/>
          <w:color w:val="000000"/>
          <w:lang w:val="fr-FR" w:eastAsia="en-GB"/>
        </w:rPr>
        <w:t> </w:t>
      </w:r>
      <w:r w:rsidRPr="00CE19C0">
        <w:rPr>
          <w:rFonts w:eastAsia="Times New Roman"/>
          <w:color w:val="000000"/>
          <w:lang w:val="fr-FR" w:eastAsia="en-GB"/>
        </w:rPr>
        <w:t>février 1998 et 4 juillet 2000</w:t>
      </w:r>
      <w:r w:rsidR="0076142A" w:rsidRPr="0076142A">
        <w:rPr>
          <w:rFonts w:eastAsia="Times New Roman"/>
          <w:color w:val="000000"/>
          <w:lang w:val="fr-FR" w:eastAsia="en-GB"/>
        </w:rPr>
        <w:t>.</w:t>
      </w:r>
      <w:r w:rsidRPr="00CE19C0">
        <w:rPr>
          <w:rFonts w:eastAsia="Times New Roman"/>
          <w:color w:val="000000"/>
          <w:lang w:val="fr-FR" w:eastAsia="en-GB"/>
        </w:rPr>
        <w:t xml:space="preserve"> Le 23 juillet 2002, l</w:t>
      </w:r>
      <w:r>
        <w:rPr>
          <w:rFonts w:eastAsia="Times New Roman"/>
          <w:color w:val="000000"/>
          <w:lang w:val="fr-FR" w:eastAsia="en-GB"/>
        </w:rPr>
        <w:t>’</w:t>
      </w:r>
      <w:r w:rsidRPr="00CE19C0">
        <w:rPr>
          <w:rFonts w:eastAsia="Times New Roman"/>
          <w:color w:val="000000"/>
          <w:lang w:val="fr-FR" w:eastAsia="en-GB"/>
        </w:rPr>
        <w:t xml:space="preserve">auteur </w:t>
      </w:r>
      <w:r>
        <w:rPr>
          <w:rFonts w:eastAsia="Times New Roman"/>
          <w:color w:val="000000"/>
          <w:lang w:val="fr-FR" w:eastAsia="en-GB"/>
        </w:rPr>
        <w:t xml:space="preserve">a </w:t>
      </w:r>
      <w:r w:rsidRPr="00CE19C0">
        <w:rPr>
          <w:rFonts w:eastAsia="Times New Roman"/>
          <w:color w:val="000000"/>
          <w:lang w:val="fr-FR" w:eastAsia="en-GB"/>
        </w:rPr>
        <w:t>saisi le Ministre de la justice pour demander l</w:t>
      </w:r>
      <w:r>
        <w:rPr>
          <w:rFonts w:eastAsia="Times New Roman"/>
          <w:color w:val="000000"/>
          <w:lang w:val="fr-FR" w:eastAsia="en-GB"/>
        </w:rPr>
        <w:t>’</w:t>
      </w:r>
      <w:r w:rsidRPr="00CE19C0">
        <w:rPr>
          <w:rFonts w:eastAsia="Times New Roman"/>
          <w:color w:val="000000"/>
          <w:lang w:val="fr-FR" w:eastAsia="en-GB"/>
        </w:rPr>
        <w:t>abrogation des dispositions de l</w:t>
      </w:r>
      <w:r>
        <w:rPr>
          <w:rFonts w:eastAsia="Times New Roman"/>
          <w:color w:val="000000"/>
          <w:lang w:val="fr-FR" w:eastAsia="en-GB"/>
        </w:rPr>
        <w:t>’</w:t>
      </w:r>
      <w:r w:rsidRPr="00CE19C0">
        <w:rPr>
          <w:rFonts w:eastAsia="Times New Roman"/>
          <w:color w:val="000000"/>
          <w:lang w:val="fr-FR" w:eastAsia="en-GB"/>
        </w:rPr>
        <w:t>article</w:t>
      </w:r>
      <w:r w:rsidR="00B3315E">
        <w:rPr>
          <w:rFonts w:eastAsia="Times New Roman"/>
          <w:color w:val="000000"/>
          <w:lang w:val="fr-FR" w:eastAsia="en-GB"/>
        </w:rPr>
        <w:t> </w:t>
      </w:r>
      <w:r w:rsidRPr="00CE19C0">
        <w:rPr>
          <w:rFonts w:eastAsia="Times New Roman"/>
          <w:color w:val="000000"/>
          <w:lang w:val="fr-FR" w:eastAsia="en-GB"/>
        </w:rPr>
        <w:t xml:space="preserve">115 du décret </w:t>
      </w:r>
      <w:r>
        <w:rPr>
          <w:rFonts w:eastAsia="Times New Roman"/>
          <w:color w:val="000000"/>
          <w:lang w:val="fr-FR" w:eastAsia="en-GB"/>
        </w:rPr>
        <w:t>n</w:t>
      </w:r>
      <w:r w:rsidRPr="006353B3">
        <w:rPr>
          <w:rFonts w:eastAsia="Times New Roman"/>
          <w:color w:val="000000"/>
          <w:vertAlign w:val="superscript"/>
          <w:lang w:val="fr-FR" w:eastAsia="en-GB"/>
        </w:rPr>
        <w:t>o</w:t>
      </w:r>
      <w:r>
        <w:rPr>
          <w:rFonts w:eastAsia="Times New Roman"/>
          <w:color w:val="000000"/>
          <w:lang w:val="fr-FR" w:eastAsia="en-GB"/>
        </w:rPr>
        <w:t xml:space="preserve"> 91-1197 </w:t>
      </w:r>
      <w:r w:rsidRPr="00CE19C0">
        <w:rPr>
          <w:rFonts w:eastAsia="Times New Roman"/>
          <w:color w:val="000000"/>
          <w:lang w:val="fr-FR" w:eastAsia="en-GB"/>
        </w:rPr>
        <w:t>du 27</w:t>
      </w:r>
      <w:r w:rsidR="005E1410">
        <w:rPr>
          <w:rFonts w:eastAsia="Times New Roman"/>
          <w:color w:val="000000"/>
          <w:lang w:val="fr-FR" w:eastAsia="en-GB"/>
        </w:rPr>
        <w:t> </w:t>
      </w:r>
      <w:r w:rsidRPr="00CE19C0">
        <w:rPr>
          <w:rFonts w:eastAsia="Times New Roman"/>
          <w:color w:val="000000"/>
          <w:lang w:val="fr-FR" w:eastAsia="en-GB"/>
        </w:rPr>
        <w:t>novembre 1991</w:t>
      </w:r>
      <w:r>
        <w:rPr>
          <w:rFonts w:eastAsia="Times New Roman"/>
          <w:color w:val="000000"/>
          <w:lang w:val="fr-FR" w:eastAsia="en-GB"/>
        </w:rPr>
        <w:t xml:space="preserve"> organisant la profession d’avocat</w:t>
      </w:r>
      <w:r w:rsidR="0076142A" w:rsidRPr="0076142A">
        <w:rPr>
          <w:rFonts w:eastAsia="Times New Roman"/>
          <w:color w:val="000000"/>
          <w:lang w:val="fr-FR" w:eastAsia="en-GB"/>
        </w:rPr>
        <w:t>.</w:t>
      </w:r>
      <w:r w:rsidRPr="00CE19C0">
        <w:rPr>
          <w:rFonts w:eastAsia="Times New Roman"/>
          <w:color w:val="000000"/>
          <w:lang w:val="fr-FR" w:eastAsia="en-GB"/>
        </w:rPr>
        <w:t xml:space="preserve"> </w:t>
      </w:r>
      <w:r>
        <w:rPr>
          <w:rFonts w:eastAsia="Times New Roman"/>
          <w:color w:val="000000"/>
          <w:lang w:val="fr-FR" w:eastAsia="en-GB"/>
        </w:rPr>
        <w:t>Devant</w:t>
      </w:r>
      <w:r w:rsidRPr="00CE19C0">
        <w:rPr>
          <w:rFonts w:eastAsia="Times New Roman"/>
          <w:color w:val="000000"/>
          <w:lang w:val="fr-FR" w:eastAsia="en-GB"/>
        </w:rPr>
        <w:t xml:space="preserve"> la décision implicite résultant du silence gardé par le </w:t>
      </w:r>
      <w:r>
        <w:rPr>
          <w:rFonts w:eastAsia="Times New Roman"/>
          <w:color w:val="000000"/>
          <w:lang w:val="fr-FR" w:eastAsia="en-GB"/>
        </w:rPr>
        <w:t>M</w:t>
      </w:r>
      <w:r w:rsidRPr="00CE19C0">
        <w:rPr>
          <w:rFonts w:eastAsia="Times New Roman"/>
          <w:color w:val="000000"/>
          <w:lang w:val="fr-FR" w:eastAsia="en-GB"/>
        </w:rPr>
        <w:t>inistre de la justice, l</w:t>
      </w:r>
      <w:r>
        <w:rPr>
          <w:rFonts w:eastAsia="Times New Roman"/>
          <w:color w:val="000000"/>
          <w:lang w:val="fr-FR" w:eastAsia="en-GB"/>
        </w:rPr>
        <w:t>’</w:t>
      </w:r>
      <w:r w:rsidRPr="00CE19C0">
        <w:rPr>
          <w:rFonts w:eastAsia="Times New Roman"/>
          <w:color w:val="000000"/>
          <w:lang w:val="fr-FR" w:eastAsia="en-GB"/>
        </w:rPr>
        <w:t xml:space="preserve">auteur </w:t>
      </w:r>
      <w:r>
        <w:rPr>
          <w:rFonts w:eastAsia="Times New Roman"/>
          <w:color w:val="000000"/>
          <w:lang w:val="fr-FR" w:eastAsia="en-GB"/>
        </w:rPr>
        <w:t xml:space="preserve">a </w:t>
      </w:r>
      <w:r w:rsidRPr="00CE19C0">
        <w:rPr>
          <w:rFonts w:eastAsia="Times New Roman"/>
          <w:color w:val="000000"/>
          <w:lang w:val="fr-FR" w:eastAsia="en-GB"/>
        </w:rPr>
        <w:t>saisi le Conseil d</w:t>
      </w:r>
      <w:r>
        <w:rPr>
          <w:rFonts w:eastAsia="Times New Roman"/>
          <w:color w:val="000000"/>
          <w:lang w:val="fr-FR" w:eastAsia="en-GB"/>
        </w:rPr>
        <w:t>’État</w:t>
      </w:r>
      <w:r w:rsidRPr="00CE19C0">
        <w:rPr>
          <w:rFonts w:eastAsia="Times New Roman"/>
          <w:color w:val="000000"/>
          <w:lang w:val="fr-FR" w:eastAsia="en-GB"/>
        </w:rPr>
        <w:t xml:space="preserve"> qui, le 28 juin 2004</w:t>
      </w:r>
      <w:r>
        <w:rPr>
          <w:rFonts w:eastAsia="Times New Roman"/>
          <w:color w:val="000000"/>
          <w:lang w:val="fr-FR" w:eastAsia="en-GB"/>
        </w:rPr>
        <w:t>,</w:t>
      </w:r>
      <w:r w:rsidRPr="00CE19C0">
        <w:rPr>
          <w:rFonts w:eastAsia="Times New Roman"/>
          <w:color w:val="000000"/>
          <w:lang w:val="fr-FR" w:eastAsia="en-GB"/>
        </w:rPr>
        <w:t xml:space="preserve"> </w:t>
      </w:r>
      <w:r>
        <w:rPr>
          <w:rFonts w:eastAsia="Times New Roman"/>
          <w:color w:val="000000"/>
          <w:lang w:val="fr-FR" w:eastAsia="en-GB"/>
        </w:rPr>
        <w:t>a rejeté</w:t>
      </w:r>
      <w:r w:rsidRPr="00CE19C0">
        <w:rPr>
          <w:rFonts w:eastAsia="Times New Roman"/>
          <w:color w:val="000000"/>
          <w:lang w:val="fr-FR" w:eastAsia="en-GB"/>
        </w:rPr>
        <w:t xml:space="preserve"> </w:t>
      </w:r>
      <w:r>
        <w:rPr>
          <w:rFonts w:eastAsia="Times New Roman"/>
          <w:color w:val="000000"/>
          <w:lang w:val="fr-FR" w:eastAsia="en-GB"/>
        </w:rPr>
        <w:t>sa</w:t>
      </w:r>
      <w:r w:rsidRPr="00CE19C0">
        <w:rPr>
          <w:rFonts w:eastAsia="Times New Roman"/>
          <w:color w:val="000000"/>
          <w:lang w:val="fr-FR" w:eastAsia="en-GB"/>
        </w:rPr>
        <w:t xml:space="preserve"> requête</w:t>
      </w:r>
      <w:r w:rsidR="0076142A" w:rsidRPr="0076142A">
        <w:rPr>
          <w:rFonts w:eastAsia="Times New Roman"/>
          <w:color w:val="000000"/>
          <w:lang w:val="fr-FR" w:eastAsia="en-GB"/>
        </w:rPr>
        <w:t>.</w:t>
      </w:r>
      <w:r w:rsidRPr="00CE19C0">
        <w:rPr>
          <w:rFonts w:eastAsia="Times New Roman"/>
          <w:color w:val="000000"/>
          <w:lang w:val="fr-FR" w:eastAsia="en-GB"/>
        </w:rPr>
        <w:t xml:space="preserve"> L</w:t>
      </w:r>
      <w:r>
        <w:rPr>
          <w:rFonts w:eastAsia="Times New Roman"/>
          <w:color w:val="000000"/>
          <w:lang w:val="fr-FR" w:eastAsia="en-GB"/>
        </w:rPr>
        <w:t>’</w:t>
      </w:r>
      <w:r w:rsidRPr="00CE19C0">
        <w:rPr>
          <w:rFonts w:eastAsia="Times New Roman"/>
          <w:color w:val="000000"/>
          <w:lang w:val="fr-FR" w:eastAsia="en-GB"/>
        </w:rPr>
        <w:t xml:space="preserve">auteur a dès lors saisi la </w:t>
      </w:r>
      <w:r>
        <w:rPr>
          <w:rFonts w:eastAsia="Times New Roman"/>
          <w:color w:val="000000"/>
          <w:lang w:val="fr-FR" w:eastAsia="en-GB"/>
        </w:rPr>
        <w:t xml:space="preserve">Cour européenne des droits de l’homme, </w:t>
      </w:r>
      <w:r w:rsidRPr="00CE19C0">
        <w:rPr>
          <w:rFonts w:eastAsia="Times New Roman"/>
          <w:color w:val="000000"/>
          <w:lang w:val="fr-FR" w:eastAsia="en-GB"/>
        </w:rPr>
        <w:t>qui a déclaré sa requête irrecevable le 13</w:t>
      </w:r>
      <w:r w:rsidR="00B3315E">
        <w:rPr>
          <w:rFonts w:eastAsia="Times New Roman"/>
          <w:color w:val="000000"/>
          <w:lang w:val="fr-FR" w:eastAsia="en-GB"/>
        </w:rPr>
        <w:t> </w:t>
      </w:r>
      <w:r w:rsidRPr="00CE19C0">
        <w:rPr>
          <w:rFonts w:eastAsia="Times New Roman"/>
          <w:color w:val="000000"/>
          <w:lang w:val="fr-FR" w:eastAsia="en-GB"/>
        </w:rPr>
        <w:t>septembre 2011</w:t>
      </w:r>
      <w:r w:rsidR="0076142A" w:rsidRPr="0076142A">
        <w:rPr>
          <w:rFonts w:eastAsia="Times New Roman"/>
          <w:color w:val="000000"/>
          <w:lang w:val="fr-FR" w:eastAsia="en-GB"/>
        </w:rPr>
        <w:t>.</w:t>
      </w:r>
      <w:r>
        <w:rPr>
          <w:rFonts w:eastAsia="Times New Roman"/>
          <w:color w:val="000000"/>
          <w:lang w:val="fr-FR" w:eastAsia="en-GB"/>
        </w:rPr>
        <w:t xml:space="preserve"> L’auteur estime qu’en dépit de cette décision de la Cour, sa requête est recevable devant le Comité</w:t>
      </w:r>
      <w:r w:rsidRPr="002973E4">
        <w:rPr>
          <w:rStyle w:val="Appelnotedebasdep"/>
        </w:rPr>
        <w:footnoteReference w:id="24"/>
      </w:r>
      <w:r w:rsidR="0076142A" w:rsidRPr="0076142A">
        <w:rPr>
          <w:rFonts w:eastAsia="Times New Roman"/>
          <w:color w:val="000000"/>
          <w:lang w:val="fr-FR" w:eastAsia="en-GB"/>
        </w:rPr>
        <w:t>.</w:t>
      </w:r>
    </w:p>
    <w:p w14:paraId="6EA1DFF3" w14:textId="2AFB25CD" w:rsidR="002973E4" w:rsidRPr="00057615" w:rsidRDefault="002973E4" w:rsidP="002973E4">
      <w:pPr>
        <w:pStyle w:val="SingleTxtG"/>
        <w:rPr>
          <w:bCs/>
          <w:lang w:val="fr-FR"/>
        </w:rPr>
      </w:pPr>
      <w:r>
        <w:rPr>
          <w:color w:val="000000"/>
          <w:lang w:val="fr-FR" w:eastAsia="en-GB"/>
        </w:rPr>
        <w:t>6</w:t>
      </w:r>
      <w:r w:rsidR="0076142A" w:rsidRPr="0076142A">
        <w:rPr>
          <w:color w:val="000000"/>
          <w:lang w:val="fr-FR" w:eastAsia="en-GB"/>
        </w:rPr>
        <w:t>.</w:t>
      </w:r>
      <w:r>
        <w:rPr>
          <w:color w:val="000000"/>
          <w:lang w:val="fr-FR" w:eastAsia="en-GB"/>
        </w:rPr>
        <w:t>2</w:t>
      </w:r>
      <w:r>
        <w:rPr>
          <w:color w:val="000000"/>
          <w:lang w:val="fr-FR" w:eastAsia="en-GB"/>
        </w:rPr>
        <w:tab/>
      </w:r>
      <w:r w:rsidRPr="00057615">
        <w:rPr>
          <w:lang w:val="fr-FR" w:eastAsia="en-GB"/>
        </w:rPr>
        <w:t>Le 3 septembre 2012, l</w:t>
      </w:r>
      <w:r>
        <w:rPr>
          <w:lang w:val="fr-FR" w:eastAsia="en-GB"/>
        </w:rPr>
        <w:t>’</w:t>
      </w:r>
      <w:r w:rsidRPr="00057615">
        <w:rPr>
          <w:lang w:val="fr-FR" w:eastAsia="en-GB"/>
        </w:rPr>
        <w:t>auteur a réintégré le tableau de l</w:t>
      </w:r>
      <w:r>
        <w:rPr>
          <w:lang w:val="fr-FR" w:eastAsia="en-GB"/>
        </w:rPr>
        <w:t>’</w:t>
      </w:r>
      <w:r w:rsidRPr="00057615">
        <w:rPr>
          <w:lang w:val="fr-FR" w:eastAsia="en-GB"/>
        </w:rPr>
        <w:t xml:space="preserve">ordre des avocats </w:t>
      </w:r>
      <w:r w:rsidRPr="00CE19C0">
        <w:t xml:space="preserve">du barreau </w:t>
      </w:r>
      <w:r w:rsidRPr="00057615">
        <w:rPr>
          <w:lang w:val="fr-FR" w:eastAsia="en-GB"/>
        </w:rPr>
        <w:t xml:space="preserve">de </w:t>
      </w:r>
      <w:r w:rsidRPr="00057615">
        <w:rPr>
          <w:noProof/>
          <w:lang w:val="en-GB" w:eastAsia="en-GB"/>
        </w:rPr>
        <w:drawing>
          <wp:inline distT="0" distB="0" distL="0" distR="0" wp14:anchorId="301AD861" wp14:editId="10EBD623">
            <wp:extent cx="6096" cy="12192"/>
            <wp:effectExtent l="0" t="0" r="0" b="0"/>
            <wp:docPr id="35671" name="Picture 35671"/>
            <wp:cNvGraphicFramePr/>
            <a:graphic xmlns:a="http://schemas.openxmlformats.org/drawingml/2006/main">
              <a:graphicData uri="http://schemas.openxmlformats.org/drawingml/2006/picture">
                <pic:pic xmlns:pic="http://schemas.openxmlformats.org/drawingml/2006/picture">
                  <pic:nvPicPr>
                    <pic:cNvPr id="35671" name="Picture 35671"/>
                    <pic:cNvPicPr/>
                  </pic:nvPicPr>
                  <pic:blipFill>
                    <a:blip r:embed="rId8"/>
                    <a:stretch>
                      <a:fillRect/>
                    </a:stretch>
                  </pic:blipFill>
                  <pic:spPr>
                    <a:xfrm>
                      <a:off x="0" y="0"/>
                      <a:ext cx="6096" cy="12192"/>
                    </a:xfrm>
                    <a:prstGeom prst="rect">
                      <a:avLst/>
                    </a:prstGeom>
                  </pic:spPr>
                </pic:pic>
              </a:graphicData>
            </a:graphic>
          </wp:inline>
        </w:drawing>
      </w:r>
      <w:r w:rsidRPr="00057615">
        <w:rPr>
          <w:lang w:val="fr-FR" w:eastAsia="en-GB"/>
        </w:rPr>
        <w:t xml:space="preserve">Paris </w:t>
      </w:r>
      <w:r>
        <w:rPr>
          <w:lang w:val="fr-FR" w:eastAsia="en-GB"/>
        </w:rPr>
        <w:t>par suite de sa radiation</w:t>
      </w:r>
      <w:r w:rsidRPr="00057615">
        <w:rPr>
          <w:lang w:val="fr-FR" w:eastAsia="en-GB"/>
        </w:rPr>
        <w:t xml:space="preserve"> à vie de l</w:t>
      </w:r>
      <w:r>
        <w:rPr>
          <w:lang w:val="fr-FR" w:eastAsia="en-GB"/>
        </w:rPr>
        <w:t>’</w:t>
      </w:r>
      <w:r w:rsidRPr="00057615">
        <w:rPr>
          <w:lang w:val="fr-FR" w:eastAsia="en-GB"/>
        </w:rPr>
        <w:t>ordre</w:t>
      </w:r>
      <w:r>
        <w:rPr>
          <w:lang w:val="fr-FR" w:eastAsia="en-GB"/>
        </w:rPr>
        <w:t xml:space="preserve"> national</w:t>
      </w:r>
      <w:r w:rsidRPr="00057615">
        <w:rPr>
          <w:lang w:val="fr-FR" w:eastAsia="en-GB"/>
        </w:rPr>
        <w:t xml:space="preserve"> des chirurgiens-dentistes</w:t>
      </w:r>
      <w:r w:rsidR="0076142A" w:rsidRPr="0076142A">
        <w:rPr>
          <w:lang w:val="fr-FR" w:eastAsia="en-GB"/>
        </w:rPr>
        <w:t>.</w:t>
      </w:r>
      <w:r w:rsidRPr="00057615">
        <w:rPr>
          <w:lang w:val="fr-FR" w:eastAsia="en-GB"/>
        </w:rPr>
        <w:t xml:space="preserve"> </w:t>
      </w:r>
      <w:r>
        <w:rPr>
          <w:lang w:val="fr-FR" w:eastAsia="en-GB"/>
        </w:rPr>
        <w:t>Il</w:t>
      </w:r>
      <w:r w:rsidRPr="00057615">
        <w:rPr>
          <w:lang w:val="fr-FR" w:eastAsia="en-GB"/>
        </w:rPr>
        <w:t xml:space="preserve"> estime que l</w:t>
      </w:r>
      <w:r>
        <w:rPr>
          <w:lang w:val="fr-FR" w:eastAsia="en-GB"/>
        </w:rPr>
        <w:t>’État</w:t>
      </w:r>
      <w:r w:rsidRPr="00057615">
        <w:rPr>
          <w:lang w:val="fr-FR" w:eastAsia="en-GB"/>
        </w:rPr>
        <w:t xml:space="preserve"> partie a violé les droits qu</w:t>
      </w:r>
      <w:r>
        <w:rPr>
          <w:lang w:val="fr-FR" w:eastAsia="en-GB"/>
        </w:rPr>
        <w:t>’</w:t>
      </w:r>
      <w:r w:rsidRPr="00057615">
        <w:rPr>
          <w:lang w:val="fr-FR" w:eastAsia="en-GB"/>
        </w:rPr>
        <w:t>il tient de l</w:t>
      </w:r>
      <w:r>
        <w:rPr>
          <w:lang w:val="fr-FR" w:eastAsia="en-GB"/>
        </w:rPr>
        <w:t>’</w:t>
      </w:r>
      <w:r w:rsidRPr="00057615">
        <w:rPr>
          <w:lang w:val="fr-FR" w:eastAsia="en-GB"/>
        </w:rPr>
        <w:t>article</w:t>
      </w:r>
      <w:r w:rsidR="00B3315E">
        <w:rPr>
          <w:lang w:val="fr-FR" w:eastAsia="en-GB"/>
        </w:rPr>
        <w:t> </w:t>
      </w:r>
      <w:r w:rsidRPr="00057615">
        <w:rPr>
          <w:lang w:val="fr-FR" w:eastAsia="en-GB"/>
        </w:rPr>
        <w:t xml:space="preserve">17 </w:t>
      </w:r>
      <w:r>
        <w:rPr>
          <w:lang w:val="fr-FR" w:eastAsia="en-GB"/>
        </w:rPr>
        <w:t>lu conjointement avec</w:t>
      </w:r>
      <w:r w:rsidRPr="00057615">
        <w:rPr>
          <w:lang w:val="fr-FR" w:eastAsia="en-GB"/>
        </w:rPr>
        <w:t xml:space="preserve"> l</w:t>
      </w:r>
      <w:r>
        <w:rPr>
          <w:lang w:val="fr-FR" w:eastAsia="en-GB"/>
        </w:rPr>
        <w:t>’</w:t>
      </w:r>
      <w:r w:rsidRPr="00057615">
        <w:rPr>
          <w:lang w:val="fr-FR" w:eastAsia="en-GB"/>
        </w:rPr>
        <w:t>article</w:t>
      </w:r>
      <w:r w:rsidR="00B3315E">
        <w:rPr>
          <w:lang w:val="fr-FR" w:eastAsia="en-GB"/>
        </w:rPr>
        <w:t> </w:t>
      </w:r>
      <w:r w:rsidRPr="00057615">
        <w:rPr>
          <w:lang w:val="fr-FR" w:eastAsia="en-GB"/>
        </w:rPr>
        <w:t>2</w:t>
      </w:r>
      <w:r>
        <w:rPr>
          <w:lang w:val="fr-FR" w:eastAsia="en-GB"/>
        </w:rPr>
        <w:t xml:space="preserve"> (par</w:t>
      </w:r>
      <w:r w:rsidR="0076142A" w:rsidRPr="0076142A">
        <w:rPr>
          <w:lang w:val="fr-FR" w:eastAsia="en-GB"/>
        </w:rPr>
        <w:t>.</w:t>
      </w:r>
      <w:r>
        <w:rPr>
          <w:lang w:val="fr-FR" w:eastAsia="en-GB"/>
        </w:rPr>
        <w:t> </w:t>
      </w:r>
      <w:r w:rsidRPr="00057615">
        <w:rPr>
          <w:lang w:val="fr-FR" w:eastAsia="en-GB"/>
        </w:rPr>
        <w:t>3</w:t>
      </w:r>
      <w:r>
        <w:rPr>
          <w:lang w:val="fr-FR" w:eastAsia="en-GB"/>
        </w:rPr>
        <w:t>)</w:t>
      </w:r>
      <w:r w:rsidRPr="00057615">
        <w:rPr>
          <w:lang w:val="fr-FR" w:eastAsia="en-GB"/>
        </w:rPr>
        <w:t xml:space="preserve"> du Pacte, alléguant que l</w:t>
      </w:r>
      <w:r>
        <w:rPr>
          <w:lang w:val="fr-FR" w:eastAsia="en-GB"/>
        </w:rPr>
        <w:t>’</w:t>
      </w:r>
      <w:r w:rsidRPr="00057615">
        <w:rPr>
          <w:lang w:val="fr-FR" w:eastAsia="en-GB"/>
        </w:rPr>
        <w:t>interdiction d</w:t>
      </w:r>
      <w:r>
        <w:rPr>
          <w:lang w:val="fr-FR" w:eastAsia="en-GB"/>
        </w:rPr>
        <w:t>’</w:t>
      </w:r>
      <w:r w:rsidRPr="00057615">
        <w:rPr>
          <w:lang w:val="fr-FR" w:eastAsia="en-GB"/>
        </w:rPr>
        <w:t>exercer simultanément les professions d</w:t>
      </w:r>
      <w:r>
        <w:rPr>
          <w:lang w:val="fr-FR" w:eastAsia="en-GB"/>
        </w:rPr>
        <w:t>’</w:t>
      </w:r>
      <w:r w:rsidRPr="00057615">
        <w:rPr>
          <w:lang w:val="fr-FR" w:eastAsia="en-GB"/>
        </w:rPr>
        <w:t xml:space="preserve">avocat et </w:t>
      </w:r>
      <w:r>
        <w:rPr>
          <w:lang w:val="fr-FR" w:eastAsia="en-GB"/>
        </w:rPr>
        <w:t xml:space="preserve">de </w:t>
      </w:r>
      <w:r w:rsidRPr="00057615">
        <w:rPr>
          <w:lang w:val="fr-FR" w:eastAsia="en-GB"/>
        </w:rPr>
        <w:t>chirurgien</w:t>
      </w:r>
      <w:r>
        <w:rPr>
          <w:lang w:val="fr-FR" w:eastAsia="en-GB"/>
        </w:rPr>
        <w:t>-</w:t>
      </w:r>
      <w:r w:rsidRPr="00057615">
        <w:rPr>
          <w:lang w:val="fr-FR" w:eastAsia="en-GB"/>
        </w:rPr>
        <w:t>dentiste est une ingérence arbitraire dans sa vie privée</w:t>
      </w:r>
      <w:r w:rsidRPr="002973E4">
        <w:rPr>
          <w:rStyle w:val="Appelnotedebasdep"/>
        </w:rPr>
        <w:footnoteReference w:id="25"/>
      </w:r>
      <w:r w:rsidR="0076142A" w:rsidRPr="0076142A">
        <w:rPr>
          <w:lang w:val="fr-FR" w:eastAsia="en-GB"/>
        </w:rPr>
        <w:t>.</w:t>
      </w:r>
      <w:r w:rsidRPr="00057615">
        <w:rPr>
          <w:lang w:val="fr-FR" w:eastAsia="en-GB"/>
        </w:rPr>
        <w:t xml:space="preserve"> L</w:t>
      </w:r>
      <w:r>
        <w:rPr>
          <w:lang w:val="fr-FR" w:eastAsia="en-GB"/>
        </w:rPr>
        <w:t>’</w:t>
      </w:r>
      <w:r w:rsidRPr="00057615">
        <w:rPr>
          <w:lang w:val="fr-FR" w:eastAsia="en-GB"/>
        </w:rPr>
        <w:t>auteur allègue également une violation de l</w:t>
      </w:r>
      <w:r>
        <w:rPr>
          <w:lang w:val="fr-FR" w:eastAsia="en-GB"/>
        </w:rPr>
        <w:t>’</w:t>
      </w:r>
      <w:r w:rsidRPr="00057615">
        <w:rPr>
          <w:lang w:val="fr-FR" w:eastAsia="en-GB"/>
        </w:rPr>
        <w:t>article</w:t>
      </w:r>
      <w:r w:rsidR="00B3315E">
        <w:rPr>
          <w:lang w:val="fr-FR" w:eastAsia="en-GB"/>
        </w:rPr>
        <w:t> </w:t>
      </w:r>
      <w:r w:rsidRPr="00057615">
        <w:rPr>
          <w:lang w:val="fr-FR" w:eastAsia="en-GB"/>
        </w:rPr>
        <w:t>25</w:t>
      </w:r>
      <w:r>
        <w:rPr>
          <w:lang w:val="fr-FR" w:eastAsia="en-GB"/>
        </w:rPr>
        <w:t xml:space="preserve"> lu conjointement avec</w:t>
      </w:r>
      <w:r w:rsidRPr="00057615">
        <w:rPr>
          <w:lang w:val="fr-FR" w:eastAsia="en-GB"/>
        </w:rPr>
        <w:t xml:space="preserve"> l</w:t>
      </w:r>
      <w:r>
        <w:rPr>
          <w:lang w:val="fr-FR" w:eastAsia="en-GB"/>
        </w:rPr>
        <w:t>’</w:t>
      </w:r>
      <w:r w:rsidRPr="00057615">
        <w:rPr>
          <w:lang w:val="fr-FR" w:eastAsia="en-GB"/>
        </w:rPr>
        <w:t>article</w:t>
      </w:r>
      <w:r w:rsidR="00B3315E">
        <w:rPr>
          <w:lang w:val="fr-FR" w:eastAsia="en-GB"/>
        </w:rPr>
        <w:t> </w:t>
      </w:r>
      <w:r w:rsidRPr="00057615">
        <w:rPr>
          <w:lang w:val="fr-FR" w:eastAsia="en-GB"/>
        </w:rPr>
        <w:t>2</w:t>
      </w:r>
      <w:r>
        <w:rPr>
          <w:lang w:val="fr-FR" w:eastAsia="en-GB"/>
        </w:rPr>
        <w:t xml:space="preserve"> (par</w:t>
      </w:r>
      <w:r w:rsidR="0076142A" w:rsidRPr="0076142A">
        <w:rPr>
          <w:lang w:val="fr-FR" w:eastAsia="en-GB"/>
        </w:rPr>
        <w:t>.</w:t>
      </w:r>
      <w:r>
        <w:rPr>
          <w:lang w:val="fr-FR" w:eastAsia="en-GB"/>
        </w:rPr>
        <w:t> </w:t>
      </w:r>
      <w:r w:rsidRPr="00057615">
        <w:rPr>
          <w:lang w:val="fr-FR" w:eastAsia="en-GB"/>
        </w:rPr>
        <w:t>3</w:t>
      </w:r>
      <w:r>
        <w:rPr>
          <w:lang w:val="fr-FR" w:eastAsia="en-GB"/>
        </w:rPr>
        <w:t>)</w:t>
      </w:r>
      <w:r w:rsidRPr="00057615">
        <w:rPr>
          <w:lang w:val="fr-FR" w:eastAsia="en-GB"/>
        </w:rPr>
        <w:t xml:space="preserve"> du Pacte</w:t>
      </w:r>
      <w:r w:rsidR="0076142A" w:rsidRPr="0076142A">
        <w:rPr>
          <w:lang w:val="fr-FR" w:eastAsia="en-GB"/>
        </w:rPr>
        <w:t>.</w:t>
      </w:r>
      <w:r w:rsidRPr="00057615">
        <w:rPr>
          <w:lang w:val="fr-FR" w:eastAsia="en-GB"/>
        </w:rPr>
        <w:t xml:space="preserve"> Il estime qu</w:t>
      </w:r>
      <w:r>
        <w:rPr>
          <w:lang w:val="fr-FR" w:eastAsia="en-GB"/>
        </w:rPr>
        <w:t>’</w:t>
      </w:r>
      <w:r w:rsidRPr="00057615">
        <w:rPr>
          <w:lang w:val="fr-FR" w:eastAsia="en-GB"/>
        </w:rPr>
        <w:t>il n</w:t>
      </w:r>
      <w:r>
        <w:rPr>
          <w:lang w:val="fr-FR" w:eastAsia="en-GB"/>
        </w:rPr>
        <w:t>’</w:t>
      </w:r>
      <w:r w:rsidRPr="00057615">
        <w:rPr>
          <w:lang w:val="fr-FR" w:eastAsia="en-GB"/>
        </w:rPr>
        <w:t>a pas eu accès à la profession d</w:t>
      </w:r>
      <w:r>
        <w:rPr>
          <w:lang w:val="fr-FR" w:eastAsia="en-GB"/>
        </w:rPr>
        <w:t>’</w:t>
      </w:r>
      <w:r w:rsidRPr="00057615">
        <w:rPr>
          <w:lang w:val="fr-FR" w:eastAsia="en-GB"/>
        </w:rPr>
        <w:t>avocat, qui appartient à la fonction publique au sens de l</w:t>
      </w:r>
      <w:r>
        <w:rPr>
          <w:lang w:val="fr-FR" w:eastAsia="en-GB"/>
        </w:rPr>
        <w:t>’</w:t>
      </w:r>
      <w:r w:rsidRPr="00057615">
        <w:rPr>
          <w:lang w:val="fr-FR" w:eastAsia="en-GB"/>
        </w:rPr>
        <w:t>article</w:t>
      </w:r>
      <w:r w:rsidR="00B3315E">
        <w:rPr>
          <w:lang w:val="fr-FR" w:eastAsia="en-GB"/>
        </w:rPr>
        <w:t> </w:t>
      </w:r>
      <w:r w:rsidRPr="00057615">
        <w:rPr>
          <w:lang w:val="fr-FR" w:eastAsia="en-GB"/>
        </w:rPr>
        <w:t>25 du Pacte</w:t>
      </w:r>
      <w:r w:rsidR="0076142A" w:rsidRPr="0076142A">
        <w:rPr>
          <w:lang w:val="fr-FR" w:eastAsia="en-GB"/>
        </w:rPr>
        <w:t>.</w:t>
      </w:r>
    </w:p>
    <w:p w14:paraId="53196337" w14:textId="77777777" w:rsidR="002973E4" w:rsidRPr="00CE19C0" w:rsidRDefault="002973E4" w:rsidP="002973E4">
      <w:pPr>
        <w:pStyle w:val="H4G"/>
        <w:rPr>
          <w:lang w:val="fr-FR"/>
        </w:rPr>
      </w:pPr>
      <w:r>
        <w:rPr>
          <w:lang w:val="fr-FR"/>
        </w:rPr>
        <w:tab/>
      </w:r>
      <w:r>
        <w:rPr>
          <w:lang w:val="fr-FR"/>
        </w:rPr>
        <w:tab/>
        <w:t>L’État partie</w:t>
      </w:r>
    </w:p>
    <w:p w14:paraId="10000B3A" w14:textId="31118D35" w:rsidR="002973E4" w:rsidRPr="00CE19C0" w:rsidRDefault="002973E4" w:rsidP="002973E4">
      <w:pPr>
        <w:pStyle w:val="SingleTxtG"/>
      </w:pPr>
      <w:r>
        <w:t>7</w:t>
      </w:r>
      <w:r w:rsidR="0076142A" w:rsidRPr="0076142A">
        <w:t>.</w:t>
      </w:r>
      <w:r>
        <w:t>1</w:t>
      </w:r>
      <w:r w:rsidRPr="00B21088">
        <w:tab/>
      </w:r>
      <w:r w:rsidRPr="00451E4D">
        <w:t>Le 4</w:t>
      </w:r>
      <w:r w:rsidR="00B3315E">
        <w:t> </w:t>
      </w:r>
      <w:r w:rsidRPr="00451E4D">
        <w:t>juin 2018</w:t>
      </w:r>
      <w:r w:rsidRPr="00B21088">
        <w:t>, l</w:t>
      </w:r>
      <w:r>
        <w:t>’État</w:t>
      </w:r>
      <w:r w:rsidRPr="00B21088">
        <w:t xml:space="preserve"> partie a soumis ses </w:t>
      </w:r>
      <w:r w:rsidRPr="00CE19C0">
        <w:t xml:space="preserve">commentaires </w:t>
      </w:r>
      <w:r>
        <w:t>sur les observations complémentaires soumises le</w:t>
      </w:r>
      <w:r w:rsidRPr="00CE19C0">
        <w:t xml:space="preserve"> 1</w:t>
      </w:r>
      <w:r>
        <w:t>3</w:t>
      </w:r>
      <w:r w:rsidRPr="00CE19C0">
        <w:t xml:space="preserve"> juillet 2017 par l</w:t>
      </w:r>
      <w:r>
        <w:t>’</w:t>
      </w:r>
      <w:r w:rsidRPr="00CE19C0">
        <w:t>auteur</w:t>
      </w:r>
      <w:r w:rsidR="0076142A" w:rsidRPr="0076142A">
        <w:t>.</w:t>
      </w:r>
      <w:r w:rsidRPr="00CE19C0">
        <w:t xml:space="preserve"> L</w:t>
      </w:r>
      <w:r>
        <w:t>’État</w:t>
      </w:r>
      <w:r w:rsidRPr="00CE19C0">
        <w:t xml:space="preserve"> partie a fait remarquer que</w:t>
      </w:r>
      <w:r>
        <w:t>,</w:t>
      </w:r>
      <w:r w:rsidRPr="00CE19C0">
        <w:t xml:space="preserve"> contrairement à la communication initiale présentée par l</w:t>
      </w:r>
      <w:r>
        <w:t>’</w:t>
      </w:r>
      <w:r w:rsidRPr="00CE19C0">
        <w:t>auteur le 1</w:t>
      </w:r>
      <w:r w:rsidRPr="00CE19C0">
        <w:rPr>
          <w:vertAlign w:val="superscript"/>
        </w:rPr>
        <w:t>er</w:t>
      </w:r>
      <w:r>
        <w:t> </w:t>
      </w:r>
      <w:r w:rsidRPr="00CE19C0">
        <w:t xml:space="preserve">mars 2017, sa soumission additionnelle </w:t>
      </w:r>
      <w:r>
        <w:t>portait</w:t>
      </w:r>
      <w:r w:rsidRPr="00CE19C0">
        <w:t xml:space="preserve"> sur la compatibilité aux stipulations du Pacte de la règle interdisant aux avocats l</w:t>
      </w:r>
      <w:r>
        <w:t>’</w:t>
      </w:r>
      <w:r w:rsidRPr="00CE19C0">
        <w:t>exercice simultané de la profession de chirurgien-dentiste </w:t>
      </w:r>
      <w:r w:rsidRPr="00CE19C0">
        <w:rPr>
          <w:rFonts w:eastAsia="Times New Roman"/>
          <w:color w:val="000000"/>
          <w:lang w:val="fr-FR" w:eastAsia="en-GB"/>
        </w:rPr>
        <w:t xml:space="preserve">; et que les deux faits </w:t>
      </w:r>
      <w:r>
        <w:rPr>
          <w:rFonts w:eastAsia="Times New Roman"/>
          <w:color w:val="000000"/>
          <w:lang w:val="fr-FR" w:eastAsia="en-GB"/>
        </w:rPr>
        <w:t>étaient</w:t>
      </w:r>
      <w:r w:rsidRPr="00CE19C0">
        <w:rPr>
          <w:rFonts w:eastAsia="Times New Roman"/>
          <w:color w:val="000000"/>
          <w:lang w:val="fr-FR" w:eastAsia="en-GB"/>
        </w:rPr>
        <w:t xml:space="preserve"> en réalité totalement distincts et déconnectés</w:t>
      </w:r>
      <w:r w:rsidR="0076142A" w:rsidRPr="0076142A">
        <w:rPr>
          <w:rFonts w:eastAsia="Times New Roman"/>
          <w:color w:val="000000"/>
          <w:lang w:val="fr-FR" w:eastAsia="en-GB"/>
        </w:rPr>
        <w:t>.</w:t>
      </w:r>
      <w:r w:rsidRPr="00CE19C0">
        <w:rPr>
          <w:rFonts w:eastAsia="Times New Roman"/>
          <w:color w:val="000000"/>
          <w:lang w:val="fr-FR" w:eastAsia="en-GB"/>
        </w:rPr>
        <w:t xml:space="preserve"> L</w:t>
      </w:r>
      <w:r>
        <w:rPr>
          <w:rFonts w:eastAsia="Times New Roman"/>
          <w:color w:val="000000"/>
          <w:lang w:val="fr-FR" w:eastAsia="en-GB"/>
        </w:rPr>
        <w:t>’État</w:t>
      </w:r>
      <w:r w:rsidRPr="00CE19C0">
        <w:rPr>
          <w:rFonts w:eastAsia="Times New Roman"/>
          <w:color w:val="000000"/>
          <w:lang w:val="fr-FR" w:eastAsia="en-GB"/>
        </w:rPr>
        <w:t xml:space="preserve"> partie estime que la soumission additionnelle de l</w:t>
      </w:r>
      <w:r>
        <w:rPr>
          <w:rFonts w:eastAsia="Times New Roman"/>
          <w:color w:val="000000"/>
          <w:lang w:val="fr-FR" w:eastAsia="en-GB"/>
        </w:rPr>
        <w:t>’</w:t>
      </w:r>
      <w:r w:rsidRPr="00CE19C0">
        <w:rPr>
          <w:rFonts w:eastAsia="Times New Roman"/>
          <w:color w:val="000000"/>
          <w:lang w:val="fr-FR" w:eastAsia="en-GB"/>
        </w:rPr>
        <w:t>auteur, pour avoir été présentée tardivement et sans justification</w:t>
      </w:r>
      <w:r>
        <w:rPr>
          <w:rFonts w:eastAsia="Times New Roman"/>
          <w:color w:val="000000"/>
          <w:lang w:val="fr-FR" w:eastAsia="en-GB"/>
        </w:rPr>
        <w:t xml:space="preserve"> de ce retard</w:t>
      </w:r>
      <w:r w:rsidRPr="00CE19C0">
        <w:rPr>
          <w:rFonts w:eastAsia="Times New Roman"/>
          <w:color w:val="000000"/>
          <w:lang w:val="fr-FR" w:eastAsia="en-GB"/>
        </w:rPr>
        <w:t>, constitue un abus de présenter une communication individuelle</w:t>
      </w:r>
      <w:r w:rsidR="0076142A" w:rsidRPr="0076142A">
        <w:rPr>
          <w:rFonts w:eastAsia="Times New Roman"/>
          <w:color w:val="000000"/>
          <w:lang w:val="fr-FR" w:eastAsia="en-GB"/>
        </w:rPr>
        <w:t>.</w:t>
      </w:r>
      <w:r w:rsidRPr="00CE19C0">
        <w:rPr>
          <w:rFonts w:eastAsia="Times New Roman"/>
          <w:color w:val="000000"/>
          <w:lang w:val="fr-FR" w:eastAsia="en-GB"/>
        </w:rPr>
        <w:t xml:space="preserve"> Il rappelle que les deux dernières décisions relatives à cette soumission</w:t>
      </w:r>
      <w:r>
        <w:rPr>
          <w:rFonts w:eastAsia="Times New Roman"/>
          <w:color w:val="000000"/>
          <w:lang w:val="fr-FR" w:eastAsia="en-GB"/>
        </w:rPr>
        <w:t>,</w:t>
      </w:r>
      <w:r w:rsidRPr="00CE19C0">
        <w:rPr>
          <w:rFonts w:eastAsia="Times New Roman"/>
          <w:color w:val="000000"/>
          <w:lang w:val="fr-FR" w:eastAsia="en-GB"/>
        </w:rPr>
        <w:t xml:space="preserve"> à savoir celle du 4</w:t>
      </w:r>
      <w:r w:rsidR="00B3315E">
        <w:rPr>
          <w:rFonts w:eastAsia="Times New Roman"/>
          <w:color w:val="000000"/>
          <w:lang w:val="fr-FR" w:eastAsia="en-GB"/>
        </w:rPr>
        <w:t> </w:t>
      </w:r>
      <w:r w:rsidRPr="00CE19C0">
        <w:rPr>
          <w:rFonts w:eastAsia="Times New Roman"/>
          <w:color w:val="000000"/>
          <w:lang w:val="fr-FR" w:eastAsia="en-GB"/>
        </w:rPr>
        <w:t xml:space="preserve">juillet 2000 émanant de la </w:t>
      </w:r>
      <w:r>
        <w:rPr>
          <w:rFonts w:eastAsia="Times New Roman"/>
          <w:color w:val="000000"/>
          <w:lang w:val="fr-FR" w:eastAsia="en-GB"/>
        </w:rPr>
        <w:t>C</w:t>
      </w:r>
      <w:r w:rsidRPr="00CE19C0">
        <w:rPr>
          <w:rFonts w:eastAsia="Times New Roman"/>
          <w:color w:val="000000"/>
          <w:lang w:val="fr-FR" w:eastAsia="en-GB"/>
        </w:rPr>
        <w:t>our de cassation et celle du 28 juin 2004 émanant du Conseil d</w:t>
      </w:r>
      <w:r>
        <w:rPr>
          <w:rFonts w:eastAsia="Times New Roman"/>
          <w:color w:val="000000"/>
          <w:lang w:val="fr-FR" w:eastAsia="en-GB"/>
        </w:rPr>
        <w:t>’État</w:t>
      </w:r>
      <w:r w:rsidRPr="00CE19C0">
        <w:rPr>
          <w:rFonts w:eastAsia="Times New Roman"/>
          <w:color w:val="000000"/>
          <w:lang w:val="fr-FR" w:eastAsia="en-GB"/>
        </w:rPr>
        <w:t>, ont été prononcées bien plus que cinq ans avant la soumission additionnelle de l</w:t>
      </w:r>
      <w:r>
        <w:rPr>
          <w:rFonts w:eastAsia="Times New Roman"/>
          <w:color w:val="000000"/>
          <w:lang w:val="fr-FR" w:eastAsia="en-GB"/>
        </w:rPr>
        <w:t>’</w:t>
      </w:r>
      <w:r w:rsidRPr="00CE19C0">
        <w:rPr>
          <w:rFonts w:eastAsia="Times New Roman"/>
          <w:color w:val="000000"/>
          <w:lang w:val="fr-FR" w:eastAsia="en-GB"/>
        </w:rPr>
        <w:t>auteur</w:t>
      </w:r>
      <w:r w:rsidRPr="002973E4">
        <w:rPr>
          <w:rStyle w:val="Appelnotedebasdep"/>
        </w:rPr>
        <w:footnoteReference w:id="26"/>
      </w:r>
      <w:r w:rsidR="0076142A" w:rsidRPr="0076142A">
        <w:rPr>
          <w:rFonts w:eastAsia="Times New Roman"/>
          <w:color w:val="000000"/>
          <w:lang w:val="fr-FR" w:eastAsia="en-GB"/>
        </w:rPr>
        <w:t>.</w:t>
      </w:r>
      <w:r w:rsidRPr="00CE19C0">
        <w:rPr>
          <w:rFonts w:eastAsia="Times New Roman"/>
          <w:color w:val="000000"/>
          <w:lang w:val="fr-FR" w:eastAsia="en-GB"/>
        </w:rPr>
        <w:t xml:space="preserve"> </w:t>
      </w:r>
    </w:p>
    <w:p w14:paraId="6CBB662B" w14:textId="14F4B5AC" w:rsidR="002973E4" w:rsidRPr="00057615" w:rsidRDefault="002973E4" w:rsidP="002973E4">
      <w:pPr>
        <w:pStyle w:val="SingleTxtG"/>
        <w:rPr>
          <w:lang w:val="fr-FR" w:eastAsia="en-GB"/>
        </w:rPr>
      </w:pPr>
      <w:r w:rsidRPr="00057615">
        <w:rPr>
          <w:lang w:val="fr-FR" w:eastAsia="en-GB"/>
        </w:rPr>
        <w:t>7</w:t>
      </w:r>
      <w:r w:rsidR="0076142A" w:rsidRPr="0076142A">
        <w:rPr>
          <w:lang w:val="fr-FR" w:eastAsia="en-GB"/>
        </w:rPr>
        <w:t>.</w:t>
      </w:r>
      <w:r w:rsidRPr="00057615">
        <w:rPr>
          <w:lang w:val="fr-FR" w:eastAsia="en-GB"/>
        </w:rPr>
        <w:t>2</w:t>
      </w:r>
      <w:r w:rsidRPr="00057615">
        <w:rPr>
          <w:lang w:val="fr-FR" w:eastAsia="en-GB"/>
        </w:rPr>
        <w:tab/>
        <w:t>L</w:t>
      </w:r>
      <w:r>
        <w:rPr>
          <w:lang w:val="fr-FR" w:eastAsia="en-GB"/>
        </w:rPr>
        <w:t>’État</w:t>
      </w:r>
      <w:r w:rsidRPr="00057615">
        <w:rPr>
          <w:lang w:val="fr-FR" w:eastAsia="en-GB"/>
        </w:rPr>
        <w:t xml:space="preserve"> partie estime que l</w:t>
      </w:r>
      <w:r>
        <w:rPr>
          <w:lang w:val="fr-FR" w:eastAsia="en-GB"/>
        </w:rPr>
        <w:t>’</w:t>
      </w:r>
      <w:r w:rsidRPr="00057615">
        <w:rPr>
          <w:lang w:val="fr-FR" w:eastAsia="en-GB"/>
        </w:rPr>
        <w:t>auteur ne justifie pas sa qualité de victime à la date de sa communication, au sens de l</w:t>
      </w:r>
      <w:r>
        <w:rPr>
          <w:lang w:val="fr-FR" w:eastAsia="en-GB"/>
        </w:rPr>
        <w:t>’</w:t>
      </w:r>
      <w:r w:rsidRPr="00057615">
        <w:rPr>
          <w:lang w:val="fr-FR" w:eastAsia="en-GB"/>
        </w:rPr>
        <w:t xml:space="preserve">article </w:t>
      </w:r>
      <w:r>
        <w:rPr>
          <w:lang w:val="fr-FR" w:eastAsia="en-GB"/>
        </w:rPr>
        <w:t xml:space="preserve">premier </w:t>
      </w:r>
      <w:r w:rsidRPr="00057615">
        <w:rPr>
          <w:lang w:val="fr-FR" w:eastAsia="en-GB"/>
        </w:rPr>
        <w:t>du Protocole facultatif</w:t>
      </w:r>
      <w:r w:rsidR="0076142A" w:rsidRPr="0076142A">
        <w:rPr>
          <w:lang w:val="fr-FR" w:eastAsia="en-GB"/>
        </w:rPr>
        <w:t>.</w:t>
      </w:r>
      <w:r w:rsidRPr="00057615">
        <w:t xml:space="preserve"> </w:t>
      </w:r>
      <w:r>
        <w:rPr>
          <w:lang w:val="fr-FR" w:eastAsia="en-GB"/>
        </w:rPr>
        <w:t>Il</w:t>
      </w:r>
      <w:r w:rsidRPr="00057615">
        <w:rPr>
          <w:lang w:val="fr-FR" w:eastAsia="en-GB"/>
        </w:rPr>
        <w:t xml:space="preserve"> estime qu</w:t>
      </w:r>
      <w:r>
        <w:rPr>
          <w:lang w:val="fr-FR" w:eastAsia="en-GB"/>
        </w:rPr>
        <w:t>’</w:t>
      </w:r>
      <w:r w:rsidRPr="00057615">
        <w:rPr>
          <w:lang w:val="fr-FR" w:eastAsia="en-GB"/>
        </w:rPr>
        <w:t>en l</w:t>
      </w:r>
      <w:r>
        <w:rPr>
          <w:lang w:val="fr-FR" w:eastAsia="en-GB"/>
        </w:rPr>
        <w:t>’</w:t>
      </w:r>
      <w:r w:rsidRPr="00057615">
        <w:rPr>
          <w:lang w:val="fr-FR" w:eastAsia="en-GB"/>
        </w:rPr>
        <w:t>espèce, depuis que l</w:t>
      </w:r>
      <w:r>
        <w:rPr>
          <w:lang w:val="fr-FR" w:eastAsia="en-GB"/>
        </w:rPr>
        <w:t>’</w:t>
      </w:r>
      <w:r w:rsidRPr="00057615">
        <w:rPr>
          <w:lang w:val="fr-FR" w:eastAsia="en-GB"/>
        </w:rPr>
        <w:t>auteur a définitivement été radié de l</w:t>
      </w:r>
      <w:r>
        <w:rPr>
          <w:lang w:val="fr-FR" w:eastAsia="en-GB"/>
        </w:rPr>
        <w:t>’</w:t>
      </w:r>
      <w:r w:rsidRPr="00057615">
        <w:rPr>
          <w:lang w:val="fr-FR" w:eastAsia="en-GB"/>
        </w:rPr>
        <w:t xml:space="preserve">ordre des </w:t>
      </w:r>
      <w:r>
        <w:rPr>
          <w:lang w:val="fr-FR" w:eastAsia="en-GB"/>
        </w:rPr>
        <w:t>avocats du barreau de Paris</w:t>
      </w:r>
      <w:r w:rsidRPr="00057615">
        <w:rPr>
          <w:lang w:val="fr-FR" w:eastAsia="en-GB"/>
        </w:rPr>
        <w:t xml:space="preserve"> le 29</w:t>
      </w:r>
      <w:r>
        <w:rPr>
          <w:lang w:val="fr-FR" w:eastAsia="en-GB"/>
        </w:rPr>
        <w:t> </w:t>
      </w:r>
      <w:r w:rsidRPr="00057615">
        <w:rPr>
          <w:lang w:val="fr-FR" w:eastAsia="en-GB"/>
        </w:rPr>
        <w:t>avril 1997, il n</w:t>
      </w:r>
      <w:r>
        <w:rPr>
          <w:lang w:val="fr-FR" w:eastAsia="en-GB"/>
        </w:rPr>
        <w:t>’</w:t>
      </w:r>
      <w:r w:rsidRPr="00057615">
        <w:rPr>
          <w:lang w:val="fr-FR" w:eastAsia="en-GB"/>
        </w:rPr>
        <w:t>est plus susceptible d</w:t>
      </w:r>
      <w:r>
        <w:rPr>
          <w:lang w:val="fr-FR" w:eastAsia="en-GB"/>
        </w:rPr>
        <w:t>’</w:t>
      </w:r>
      <w:r w:rsidRPr="00057615">
        <w:rPr>
          <w:lang w:val="fr-FR" w:eastAsia="en-GB"/>
        </w:rPr>
        <w:t>être concerné par la règle d</w:t>
      </w:r>
      <w:r>
        <w:rPr>
          <w:lang w:val="fr-FR" w:eastAsia="en-GB"/>
        </w:rPr>
        <w:t>’</w:t>
      </w:r>
      <w:r w:rsidRPr="00057615">
        <w:rPr>
          <w:lang w:val="fr-FR" w:eastAsia="en-GB"/>
        </w:rPr>
        <w:t>incompatibilité entre les professions d</w:t>
      </w:r>
      <w:r>
        <w:rPr>
          <w:lang w:val="fr-FR" w:eastAsia="en-GB"/>
        </w:rPr>
        <w:t>’</w:t>
      </w:r>
      <w:r w:rsidRPr="00057615">
        <w:rPr>
          <w:lang w:val="fr-FR" w:eastAsia="en-GB"/>
        </w:rPr>
        <w:t>avocat et de chirurgien-dentiste prévue à l</w:t>
      </w:r>
      <w:r>
        <w:rPr>
          <w:lang w:val="fr-FR" w:eastAsia="en-GB"/>
        </w:rPr>
        <w:t>’</w:t>
      </w:r>
      <w:r w:rsidRPr="00057615">
        <w:rPr>
          <w:lang w:val="fr-FR" w:eastAsia="en-GB"/>
        </w:rPr>
        <w:t>article</w:t>
      </w:r>
      <w:r w:rsidR="00B3315E">
        <w:rPr>
          <w:lang w:val="fr-FR" w:eastAsia="en-GB"/>
        </w:rPr>
        <w:t> </w:t>
      </w:r>
      <w:r w:rsidRPr="00057615">
        <w:rPr>
          <w:lang w:val="fr-FR" w:eastAsia="en-GB"/>
        </w:rPr>
        <w:t xml:space="preserve">115 du décret </w:t>
      </w:r>
      <w:r>
        <w:rPr>
          <w:rFonts w:eastAsia="Times New Roman"/>
          <w:color w:val="000000"/>
          <w:lang w:val="fr-FR" w:eastAsia="en-GB"/>
        </w:rPr>
        <w:t>n</w:t>
      </w:r>
      <w:r w:rsidRPr="006353B3">
        <w:rPr>
          <w:rFonts w:eastAsia="Times New Roman"/>
          <w:color w:val="000000"/>
          <w:vertAlign w:val="superscript"/>
          <w:lang w:val="fr-FR" w:eastAsia="en-GB"/>
        </w:rPr>
        <w:t>o</w:t>
      </w:r>
      <w:r>
        <w:rPr>
          <w:rFonts w:eastAsia="Times New Roman"/>
          <w:color w:val="000000"/>
          <w:lang w:val="fr-FR" w:eastAsia="en-GB"/>
        </w:rPr>
        <w:t> 91-1197</w:t>
      </w:r>
      <w:r w:rsidR="0076142A" w:rsidRPr="0076142A">
        <w:rPr>
          <w:lang w:val="fr-FR" w:eastAsia="en-GB"/>
        </w:rPr>
        <w:t>.</w:t>
      </w:r>
      <w:r w:rsidRPr="00057615">
        <w:rPr>
          <w:lang w:val="fr-FR" w:eastAsia="en-GB"/>
        </w:rPr>
        <w:t xml:space="preserve"> Dès lors, l</w:t>
      </w:r>
      <w:r>
        <w:rPr>
          <w:lang w:val="fr-FR" w:eastAsia="en-GB"/>
        </w:rPr>
        <w:t>’</w:t>
      </w:r>
      <w:r w:rsidRPr="00057615">
        <w:rPr>
          <w:lang w:val="fr-FR" w:eastAsia="en-GB"/>
        </w:rPr>
        <w:t>auteur ne saurait se voir reconnaître la qualité de victime</w:t>
      </w:r>
      <w:r w:rsidR="0076142A" w:rsidRPr="0076142A">
        <w:rPr>
          <w:lang w:val="fr-FR" w:eastAsia="en-GB"/>
        </w:rPr>
        <w:t>.</w:t>
      </w:r>
      <w:r w:rsidRPr="00057615">
        <w:rPr>
          <w:lang w:val="fr-FR" w:eastAsia="en-GB"/>
        </w:rPr>
        <w:t xml:space="preserve"> Il souligne que la soumission additionnelle de l</w:t>
      </w:r>
      <w:r>
        <w:rPr>
          <w:lang w:val="fr-FR" w:eastAsia="en-GB"/>
        </w:rPr>
        <w:t>’</w:t>
      </w:r>
      <w:r w:rsidRPr="00057615">
        <w:rPr>
          <w:lang w:val="fr-FR" w:eastAsia="en-GB"/>
        </w:rPr>
        <w:t xml:space="preserve">auteur revient à contester </w:t>
      </w:r>
      <w:r w:rsidRPr="00057615">
        <w:rPr>
          <w:i/>
          <w:lang w:val="fr-FR" w:eastAsia="en-GB"/>
        </w:rPr>
        <w:t>in abstracto</w:t>
      </w:r>
      <w:r w:rsidRPr="00057615">
        <w:rPr>
          <w:lang w:val="fr-FR" w:eastAsia="en-GB"/>
        </w:rPr>
        <w:t xml:space="preserve"> l</w:t>
      </w:r>
      <w:r>
        <w:rPr>
          <w:lang w:val="fr-FR" w:eastAsia="en-GB"/>
        </w:rPr>
        <w:t>’</w:t>
      </w:r>
      <w:r w:rsidRPr="00057615">
        <w:rPr>
          <w:lang w:val="fr-FR" w:eastAsia="en-GB"/>
        </w:rPr>
        <w:t>interdiction du cumul prévu à l</w:t>
      </w:r>
      <w:r>
        <w:rPr>
          <w:lang w:val="fr-FR" w:eastAsia="en-GB"/>
        </w:rPr>
        <w:t>’</w:t>
      </w:r>
      <w:r w:rsidRPr="00057615">
        <w:rPr>
          <w:lang w:val="fr-FR" w:eastAsia="en-GB"/>
        </w:rPr>
        <w:t>article</w:t>
      </w:r>
      <w:r w:rsidR="00B3315E">
        <w:rPr>
          <w:lang w:val="fr-FR" w:eastAsia="en-GB"/>
        </w:rPr>
        <w:t> </w:t>
      </w:r>
      <w:r w:rsidRPr="00057615">
        <w:rPr>
          <w:lang w:val="fr-FR" w:eastAsia="en-GB"/>
        </w:rPr>
        <w:t xml:space="preserve">115 du décret </w:t>
      </w:r>
      <w:r>
        <w:rPr>
          <w:rFonts w:eastAsia="Times New Roman"/>
          <w:color w:val="000000"/>
          <w:lang w:val="fr-FR" w:eastAsia="en-GB"/>
        </w:rPr>
        <w:t>n</w:t>
      </w:r>
      <w:r w:rsidRPr="006353B3">
        <w:rPr>
          <w:rFonts w:eastAsia="Times New Roman"/>
          <w:color w:val="000000"/>
          <w:vertAlign w:val="superscript"/>
          <w:lang w:val="fr-FR" w:eastAsia="en-GB"/>
        </w:rPr>
        <w:t>o</w:t>
      </w:r>
      <w:r>
        <w:rPr>
          <w:rFonts w:eastAsia="Times New Roman"/>
          <w:color w:val="000000"/>
          <w:lang w:val="fr-FR" w:eastAsia="en-GB"/>
        </w:rPr>
        <w:t> 91-1197</w:t>
      </w:r>
      <w:r w:rsidRPr="00057615">
        <w:rPr>
          <w:lang w:val="fr-FR" w:eastAsia="en-GB"/>
        </w:rPr>
        <w:t>, puisque l</w:t>
      </w:r>
      <w:r>
        <w:rPr>
          <w:lang w:val="fr-FR" w:eastAsia="en-GB"/>
        </w:rPr>
        <w:t>’</w:t>
      </w:r>
      <w:r w:rsidRPr="00057615">
        <w:rPr>
          <w:lang w:val="fr-FR" w:eastAsia="en-GB"/>
        </w:rPr>
        <w:t>auteur n</w:t>
      </w:r>
      <w:r>
        <w:rPr>
          <w:lang w:val="fr-FR" w:eastAsia="en-GB"/>
        </w:rPr>
        <w:t>’</w:t>
      </w:r>
      <w:r w:rsidRPr="00057615">
        <w:rPr>
          <w:lang w:val="fr-FR" w:eastAsia="en-GB"/>
        </w:rPr>
        <w:t>a désormais plus aucun risque que cette règle lui soit appliquée personnellement</w:t>
      </w:r>
      <w:r w:rsidR="0076142A" w:rsidRPr="0076142A">
        <w:rPr>
          <w:lang w:val="fr-FR" w:eastAsia="en-GB"/>
        </w:rPr>
        <w:t>.</w:t>
      </w:r>
      <w:r w:rsidRPr="00057615">
        <w:rPr>
          <w:lang w:val="fr-FR" w:eastAsia="en-GB"/>
        </w:rPr>
        <w:t xml:space="preserve"> L</w:t>
      </w:r>
      <w:r>
        <w:rPr>
          <w:lang w:val="fr-FR" w:eastAsia="en-GB"/>
        </w:rPr>
        <w:t>’État</w:t>
      </w:r>
      <w:r w:rsidRPr="00057615">
        <w:rPr>
          <w:lang w:val="fr-FR" w:eastAsia="en-GB"/>
        </w:rPr>
        <w:t xml:space="preserve"> partie souligne que les griefs tirés des articles</w:t>
      </w:r>
      <w:r w:rsidR="00B3315E">
        <w:rPr>
          <w:lang w:val="fr-FR" w:eastAsia="en-GB"/>
        </w:rPr>
        <w:t> </w:t>
      </w:r>
      <w:r w:rsidRPr="00057615">
        <w:rPr>
          <w:lang w:val="fr-FR" w:eastAsia="en-GB"/>
        </w:rPr>
        <w:t>17 et 25 du Pacte sont irrecevables vu qu</w:t>
      </w:r>
      <w:r>
        <w:rPr>
          <w:lang w:val="fr-FR" w:eastAsia="en-GB"/>
        </w:rPr>
        <w:t>’</w:t>
      </w:r>
      <w:r w:rsidRPr="00057615">
        <w:rPr>
          <w:lang w:val="fr-FR" w:eastAsia="en-GB"/>
        </w:rPr>
        <w:t>ils n</w:t>
      </w:r>
      <w:r>
        <w:rPr>
          <w:lang w:val="fr-FR" w:eastAsia="en-GB"/>
        </w:rPr>
        <w:t>’</w:t>
      </w:r>
      <w:r w:rsidRPr="00057615">
        <w:rPr>
          <w:lang w:val="fr-FR" w:eastAsia="en-GB"/>
        </w:rPr>
        <w:t>ont jamais été évoqués au niveau interne par l</w:t>
      </w:r>
      <w:r>
        <w:rPr>
          <w:lang w:val="fr-FR" w:eastAsia="en-GB"/>
        </w:rPr>
        <w:t>’</w:t>
      </w:r>
      <w:r w:rsidRPr="00057615">
        <w:rPr>
          <w:lang w:val="fr-FR" w:eastAsia="en-GB"/>
        </w:rPr>
        <w:t>auteur</w:t>
      </w:r>
      <w:r w:rsidR="0076142A" w:rsidRPr="0076142A">
        <w:rPr>
          <w:lang w:val="fr-FR" w:eastAsia="en-GB"/>
        </w:rPr>
        <w:t>.</w:t>
      </w:r>
      <w:r w:rsidRPr="00057615">
        <w:rPr>
          <w:lang w:val="fr-FR" w:eastAsia="en-GB"/>
        </w:rPr>
        <w:t xml:space="preserve"> En outre, l</w:t>
      </w:r>
      <w:r>
        <w:rPr>
          <w:lang w:val="fr-FR" w:eastAsia="en-GB"/>
        </w:rPr>
        <w:t>’État</w:t>
      </w:r>
      <w:r w:rsidRPr="00057615">
        <w:rPr>
          <w:lang w:val="fr-FR" w:eastAsia="en-GB"/>
        </w:rPr>
        <w:t xml:space="preserve"> partie soulève l</w:t>
      </w:r>
      <w:r>
        <w:rPr>
          <w:lang w:val="fr-FR" w:eastAsia="en-GB"/>
        </w:rPr>
        <w:t>’</w:t>
      </w:r>
      <w:r w:rsidRPr="00057615">
        <w:rPr>
          <w:lang w:val="fr-FR" w:eastAsia="en-GB"/>
        </w:rPr>
        <w:t xml:space="preserve">irrecevabilité </w:t>
      </w:r>
      <w:proofErr w:type="spellStart"/>
      <w:r w:rsidRPr="009E7472">
        <w:rPr>
          <w:i/>
          <w:lang w:val="fr-FR" w:eastAsia="en-GB"/>
        </w:rPr>
        <w:t>ratione</w:t>
      </w:r>
      <w:proofErr w:type="spellEnd"/>
      <w:r w:rsidRPr="009E7472">
        <w:rPr>
          <w:i/>
          <w:lang w:val="fr-FR" w:eastAsia="en-GB"/>
        </w:rPr>
        <w:t xml:space="preserve"> materiae</w:t>
      </w:r>
      <w:r w:rsidRPr="00057615">
        <w:rPr>
          <w:lang w:val="fr-FR" w:eastAsia="en-GB"/>
        </w:rPr>
        <w:t xml:space="preserve"> du grief tiré de l</w:t>
      </w:r>
      <w:r>
        <w:rPr>
          <w:lang w:val="fr-FR" w:eastAsia="en-GB"/>
        </w:rPr>
        <w:t>’</w:t>
      </w:r>
      <w:r w:rsidRPr="00057615">
        <w:rPr>
          <w:lang w:val="fr-FR" w:eastAsia="en-GB"/>
        </w:rPr>
        <w:t>article 25 du Pacte</w:t>
      </w:r>
      <w:r>
        <w:rPr>
          <w:lang w:val="fr-FR" w:eastAsia="en-GB"/>
        </w:rPr>
        <w:t>,</w:t>
      </w:r>
      <w:r w:rsidRPr="00057615">
        <w:rPr>
          <w:lang w:val="fr-FR" w:eastAsia="en-GB"/>
        </w:rPr>
        <w:t xml:space="preserve"> vu que la notion de fonction publique ne couvre pas la profession </w:t>
      </w:r>
      <w:r w:rsidRPr="00057615">
        <w:rPr>
          <w:lang w:val="fr-FR" w:eastAsia="en-GB"/>
        </w:rPr>
        <w:lastRenderedPageBreak/>
        <w:t>d</w:t>
      </w:r>
      <w:r>
        <w:rPr>
          <w:lang w:val="fr-FR" w:eastAsia="en-GB"/>
        </w:rPr>
        <w:t>’</w:t>
      </w:r>
      <w:r w:rsidRPr="00057615">
        <w:rPr>
          <w:lang w:val="fr-FR" w:eastAsia="en-GB"/>
        </w:rPr>
        <w:t>avocat</w:t>
      </w:r>
      <w:r w:rsidRPr="002973E4">
        <w:rPr>
          <w:rStyle w:val="Appelnotedebasdep"/>
        </w:rPr>
        <w:footnoteReference w:id="27"/>
      </w:r>
      <w:r w:rsidR="0076142A" w:rsidRPr="0076142A">
        <w:rPr>
          <w:lang w:val="fr-FR" w:eastAsia="en-GB"/>
        </w:rPr>
        <w:t>.</w:t>
      </w:r>
      <w:r w:rsidRPr="00057615">
        <w:rPr>
          <w:lang w:val="fr-FR" w:eastAsia="en-GB"/>
        </w:rPr>
        <w:t xml:space="preserve"> L</w:t>
      </w:r>
      <w:r>
        <w:rPr>
          <w:lang w:val="fr-FR" w:eastAsia="en-GB"/>
        </w:rPr>
        <w:t>’État</w:t>
      </w:r>
      <w:r w:rsidRPr="00057615">
        <w:rPr>
          <w:lang w:val="fr-FR" w:eastAsia="en-GB"/>
        </w:rPr>
        <w:t xml:space="preserve"> partie soulève également l</w:t>
      </w:r>
      <w:r>
        <w:rPr>
          <w:lang w:val="fr-FR" w:eastAsia="en-GB"/>
        </w:rPr>
        <w:t>’</w:t>
      </w:r>
      <w:r w:rsidRPr="00057615">
        <w:rPr>
          <w:lang w:val="fr-FR" w:eastAsia="en-GB"/>
        </w:rPr>
        <w:t xml:space="preserve">irrecevabilité </w:t>
      </w:r>
      <w:proofErr w:type="spellStart"/>
      <w:r w:rsidRPr="009E7472">
        <w:rPr>
          <w:i/>
          <w:lang w:val="fr-FR" w:eastAsia="en-GB"/>
        </w:rPr>
        <w:t>ratione</w:t>
      </w:r>
      <w:proofErr w:type="spellEnd"/>
      <w:r w:rsidRPr="009E7472">
        <w:rPr>
          <w:i/>
          <w:lang w:val="fr-FR" w:eastAsia="en-GB"/>
        </w:rPr>
        <w:t xml:space="preserve"> materiae</w:t>
      </w:r>
      <w:r w:rsidRPr="00057615">
        <w:rPr>
          <w:lang w:val="fr-FR" w:eastAsia="en-GB"/>
        </w:rPr>
        <w:t xml:space="preserve"> du grief tiré de la violation de l</w:t>
      </w:r>
      <w:r>
        <w:rPr>
          <w:lang w:val="fr-FR" w:eastAsia="en-GB"/>
        </w:rPr>
        <w:t>’</w:t>
      </w:r>
      <w:r w:rsidRPr="00057615">
        <w:rPr>
          <w:lang w:val="fr-FR" w:eastAsia="en-GB"/>
        </w:rPr>
        <w:t>article</w:t>
      </w:r>
      <w:r w:rsidR="004A292B">
        <w:rPr>
          <w:lang w:val="fr-FR" w:eastAsia="en-GB"/>
        </w:rPr>
        <w:t> </w:t>
      </w:r>
      <w:r w:rsidRPr="00057615">
        <w:rPr>
          <w:lang w:val="fr-FR" w:eastAsia="en-GB"/>
        </w:rPr>
        <w:t>17 du Pacte</w:t>
      </w:r>
      <w:r>
        <w:rPr>
          <w:lang w:val="fr-FR" w:eastAsia="en-GB"/>
        </w:rPr>
        <w:t>,</w:t>
      </w:r>
      <w:r w:rsidRPr="00057615">
        <w:rPr>
          <w:lang w:val="fr-FR" w:eastAsia="en-GB"/>
        </w:rPr>
        <w:t xml:space="preserve"> vu que l</w:t>
      </w:r>
      <w:r>
        <w:rPr>
          <w:lang w:val="fr-FR" w:eastAsia="en-GB"/>
        </w:rPr>
        <w:t>’</w:t>
      </w:r>
      <w:r w:rsidRPr="00057615">
        <w:rPr>
          <w:lang w:val="fr-FR" w:eastAsia="en-GB"/>
        </w:rPr>
        <w:t>auteur n</w:t>
      </w:r>
      <w:r>
        <w:rPr>
          <w:lang w:val="fr-FR" w:eastAsia="en-GB"/>
        </w:rPr>
        <w:t>’</w:t>
      </w:r>
      <w:r w:rsidRPr="00057615">
        <w:rPr>
          <w:lang w:val="fr-FR" w:eastAsia="en-GB"/>
        </w:rPr>
        <w:t>a pas expliqué</w:t>
      </w:r>
      <w:r>
        <w:rPr>
          <w:lang w:val="fr-FR" w:eastAsia="en-GB"/>
        </w:rPr>
        <w:t>, d’une part,</w:t>
      </w:r>
      <w:r w:rsidRPr="00057615">
        <w:rPr>
          <w:lang w:val="fr-FR" w:eastAsia="en-GB"/>
        </w:rPr>
        <w:t xml:space="preserve"> en quoi l</w:t>
      </w:r>
      <w:r>
        <w:rPr>
          <w:lang w:val="fr-FR" w:eastAsia="en-GB"/>
        </w:rPr>
        <w:t>’</w:t>
      </w:r>
      <w:r w:rsidRPr="00057615">
        <w:rPr>
          <w:lang w:val="fr-FR" w:eastAsia="en-GB"/>
        </w:rPr>
        <w:t>incompatibilité entre les professions d</w:t>
      </w:r>
      <w:r>
        <w:rPr>
          <w:lang w:val="fr-FR" w:eastAsia="en-GB"/>
        </w:rPr>
        <w:t>’</w:t>
      </w:r>
      <w:r w:rsidRPr="00057615">
        <w:rPr>
          <w:lang w:val="fr-FR" w:eastAsia="en-GB"/>
        </w:rPr>
        <w:t>avocat et de chirurgien-dentiste port</w:t>
      </w:r>
      <w:r>
        <w:rPr>
          <w:lang w:val="fr-FR" w:eastAsia="en-GB"/>
        </w:rPr>
        <w:t>ait</w:t>
      </w:r>
      <w:r w:rsidRPr="00057615">
        <w:rPr>
          <w:lang w:val="fr-FR" w:eastAsia="en-GB"/>
        </w:rPr>
        <w:t xml:space="preserve"> atteinte au droit au respect de son domicile professionnel</w:t>
      </w:r>
      <w:r>
        <w:rPr>
          <w:lang w:val="fr-FR" w:eastAsia="en-GB"/>
        </w:rPr>
        <w:t>,</w:t>
      </w:r>
      <w:r w:rsidRPr="00057615">
        <w:rPr>
          <w:lang w:val="fr-FR" w:eastAsia="en-GB"/>
        </w:rPr>
        <w:t xml:space="preserve"> et d</w:t>
      </w:r>
      <w:r>
        <w:rPr>
          <w:lang w:val="fr-FR" w:eastAsia="en-GB"/>
        </w:rPr>
        <w:t>’</w:t>
      </w:r>
      <w:r w:rsidRPr="00057615">
        <w:rPr>
          <w:lang w:val="fr-FR" w:eastAsia="en-GB"/>
        </w:rPr>
        <w:t>autre part, en quoi l</w:t>
      </w:r>
      <w:r>
        <w:rPr>
          <w:lang w:val="fr-FR" w:eastAsia="en-GB"/>
        </w:rPr>
        <w:t>’</w:t>
      </w:r>
      <w:r w:rsidRPr="00057615">
        <w:rPr>
          <w:lang w:val="fr-FR" w:eastAsia="en-GB"/>
        </w:rPr>
        <w:t>impossibilité d</w:t>
      </w:r>
      <w:r>
        <w:rPr>
          <w:lang w:val="fr-FR" w:eastAsia="en-GB"/>
        </w:rPr>
        <w:t>’</w:t>
      </w:r>
      <w:r w:rsidRPr="00057615">
        <w:rPr>
          <w:lang w:val="fr-FR" w:eastAsia="en-GB"/>
        </w:rPr>
        <w:t>exercer simultanément les fonctions d</w:t>
      </w:r>
      <w:r>
        <w:rPr>
          <w:lang w:val="fr-FR" w:eastAsia="en-GB"/>
        </w:rPr>
        <w:t>’</w:t>
      </w:r>
      <w:r w:rsidRPr="00057615">
        <w:rPr>
          <w:lang w:val="fr-FR" w:eastAsia="en-GB"/>
        </w:rPr>
        <w:t>avocat et de chirurgien-dentiste a</w:t>
      </w:r>
      <w:r>
        <w:rPr>
          <w:lang w:val="fr-FR" w:eastAsia="en-GB"/>
        </w:rPr>
        <w:t>vait</w:t>
      </w:r>
      <w:r w:rsidRPr="00057615">
        <w:rPr>
          <w:lang w:val="fr-FR" w:eastAsia="en-GB"/>
        </w:rPr>
        <w:t xml:space="preserve"> un impact sur son droit au respect de la vie privée</w:t>
      </w:r>
      <w:r w:rsidR="0076142A" w:rsidRPr="0076142A">
        <w:rPr>
          <w:lang w:val="fr-FR" w:eastAsia="en-GB"/>
        </w:rPr>
        <w:t>.</w:t>
      </w:r>
    </w:p>
    <w:p w14:paraId="6C4B5F01" w14:textId="2161D50B" w:rsidR="002973E4" w:rsidRDefault="002973E4" w:rsidP="002973E4">
      <w:pPr>
        <w:pStyle w:val="SingleTxtG"/>
        <w:rPr>
          <w:lang w:val="fr-FR" w:eastAsia="en-GB"/>
        </w:rPr>
      </w:pPr>
      <w:r>
        <w:rPr>
          <w:lang w:val="fr-FR" w:eastAsia="en-GB"/>
        </w:rPr>
        <w:t>7</w:t>
      </w:r>
      <w:r w:rsidR="0076142A" w:rsidRPr="0076142A">
        <w:rPr>
          <w:lang w:val="fr-FR" w:eastAsia="en-GB"/>
        </w:rPr>
        <w:t>.</w:t>
      </w:r>
      <w:r>
        <w:rPr>
          <w:lang w:val="fr-FR" w:eastAsia="en-GB"/>
        </w:rPr>
        <w:t>3</w:t>
      </w:r>
      <w:r>
        <w:rPr>
          <w:lang w:val="fr-FR" w:eastAsia="en-GB"/>
        </w:rPr>
        <w:tab/>
        <w:t>À</w:t>
      </w:r>
      <w:r w:rsidRPr="00CE19C0">
        <w:rPr>
          <w:lang w:val="fr-FR" w:eastAsia="en-GB"/>
        </w:rPr>
        <w:t xml:space="preserve"> titre subsidiaire, l</w:t>
      </w:r>
      <w:r>
        <w:rPr>
          <w:lang w:val="fr-FR" w:eastAsia="en-GB"/>
        </w:rPr>
        <w:t>’État partie</w:t>
      </w:r>
      <w:r w:rsidRPr="00CE19C0">
        <w:rPr>
          <w:lang w:val="fr-FR" w:eastAsia="en-GB"/>
        </w:rPr>
        <w:t xml:space="preserve"> demande au Comité de déclarer la soumission additionnelle de l</w:t>
      </w:r>
      <w:r>
        <w:rPr>
          <w:lang w:val="fr-FR" w:eastAsia="en-GB"/>
        </w:rPr>
        <w:t>’</w:t>
      </w:r>
      <w:r w:rsidRPr="00CE19C0">
        <w:rPr>
          <w:lang w:val="fr-FR" w:eastAsia="en-GB"/>
        </w:rPr>
        <w:t>auteur mal fondée</w:t>
      </w:r>
      <w:r w:rsidR="0076142A" w:rsidRPr="0076142A">
        <w:rPr>
          <w:lang w:val="fr-FR" w:eastAsia="en-GB"/>
        </w:rPr>
        <w:t>.</w:t>
      </w:r>
      <w:r w:rsidRPr="00CE19C0">
        <w:rPr>
          <w:lang w:val="fr-FR" w:eastAsia="en-GB"/>
        </w:rPr>
        <w:t xml:space="preserve"> </w:t>
      </w:r>
      <w:r>
        <w:rPr>
          <w:lang w:val="fr-FR" w:eastAsia="en-GB"/>
        </w:rPr>
        <w:t>Il</w:t>
      </w:r>
      <w:r w:rsidRPr="00CE19C0">
        <w:rPr>
          <w:lang w:val="fr-FR" w:eastAsia="en-GB"/>
        </w:rPr>
        <w:t xml:space="preserve"> estime en l</w:t>
      </w:r>
      <w:r>
        <w:rPr>
          <w:lang w:val="fr-FR" w:eastAsia="en-GB"/>
        </w:rPr>
        <w:t>’</w:t>
      </w:r>
      <w:r w:rsidRPr="00CE19C0">
        <w:rPr>
          <w:lang w:val="fr-FR" w:eastAsia="en-GB"/>
        </w:rPr>
        <w:t>espèce</w:t>
      </w:r>
      <w:r>
        <w:rPr>
          <w:lang w:val="fr-FR" w:eastAsia="en-GB"/>
        </w:rPr>
        <w:t xml:space="preserve"> que</w:t>
      </w:r>
      <w:r w:rsidRPr="00CE19C0">
        <w:rPr>
          <w:lang w:val="fr-FR" w:eastAsia="en-GB"/>
        </w:rPr>
        <w:t xml:space="preserve"> l</w:t>
      </w:r>
      <w:r>
        <w:rPr>
          <w:lang w:val="fr-FR" w:eastAsia="en-GB"/>
        </w:rPr>
        <w:t>’</w:t>
      </w:r>
      <w:r w:rsidRPr="00CE19C0">
        <w:rPr>
          <w:lang w:val="fr-FR" w:eastAsia="en-GB"/>
        </w:rPr>
        <w:t>immixtion alléguée par l</w:t>
      </w:r>
      <w:r>
        <w:rPr>
          <w:lang w:val="fr-FR" w:eastAsia="en-GB"/>
        </w:rPr>
        <w:t>’</w:t>
      </w:r>
      <w:r w:rsidRPr="00CE19C0">
        <w:rPr>
          <w:lang w:val="fr-FR" w:eastAsia="en-GB"/>
        </w:rPr>
        <w:t>auteur pour dénoncer la violation de l</w:t>
      </w:r>
      <w:r>
        <w:rPr>
          <w:lang w:val="fr-FR" w:eastAsia="en-GB"/>
        </w:rPr>
        <w:t>’</w:t>
      </w:r>
      <w:r w:rsidRPr="00CE19C0">
        <w:rPr>
          <w:lang w:val="fr-FR" w:eastAsia="en-GB"/>
        </w:rPr>
        <w:t>article 17 du Pacte était prévue par la loi</w:t>
      </w:r>
      <w:r w:rsidRPr="002973E4">
        <w:rPr>
          <w:rStyle w:val="Appelnotedebasdep"/>
        </w:rPr>
        <w:footnoteReference w:id="28"/>
      </w:r>
      <w:r w:rsidRPr="00CE19C0">
        <w:rPr>
          <w:lang w:val="fr-FR" w:eastAsia="en-GB"/>
        </w:rPr>
        <w:t>, notamment par le premier alinéa de l</w:t>
      </w:r>
      <w:r>
        <w:rPr>
          <w:lang w:val="fr-FR" w:eastAsia="en-GB"/>
        </w:rPr>
        <w:t>’</w:t>
      </w:r>
      <w:r w:rsidRPr="00CE19C0">
        <w:rPr>
          <w:lang w:val="fr-FR" w:eastAsia="en-GB"/>
        </w:rPr>
        <w:t xml:space="preserve">article 115 du décret </w:t>
      </w:r>
      <w:r>
        <w:rPr>
          <w:rFonts w:eastAsia="Times New Roman"/>
          <w:color w:val="000000"/>
          <w:lang w:val="fr-FR" w:eastAsia="en-GB"/>
        </w:rPr>
        <w:t>n</w:t>
      </w:r>
      <w:r w:rsidRPr="006353B3">
        <w:rPr>
          <w:rFonts w:eastAsia="Times New Roman"/>
          <w:color w:val="000000"/>
          <w:vertAlign w:val="superscript"/>
          <w:lang w:val="fr-FR" w:eastAsia="en-GB"/>
        </w:rPr>
        <w:t>o</w:t>
      </w:r>
      <w:r>
        <w:rPr>
          <w:rFonts w:eastAsia="Times New Roman"/>
          <w:color w:val="000000"/>
          <w:lang w:val="fr-FR" w:eastAsia="en-GB"/>
        </w:rPr>
        <w:t> 91-1197</w:t>
      </w:r>
      <w:r w:rsidRPr="00CE19C0">
        <w:rPr>
          <w:lang w:val="fr-FR" w:eastAsia="en-GB"/>
        </w:rPr>
        <w:t xml:space="preserve"> interdisant </w:t>
      </w:r>
      <w:r>
        <w:rPr>
          <w:lang w:val="fr-FR" w:eastAsia="en-GB"/>
        </w:rPr>
        <w:t>l’exercice</w:t>
      </w:r>
      <w:r w:rsidRPr="00CE19C0">
        <w:rPr>
          <w:lang w:val="fr-FR" w:eastAsia="en-GB"/>
        </w:rPr>
        <w:t xml:space="preserve"> simultané des deux professions</w:t>
      </w:r>
      <w:r>
        <w:rPr>
          <w:lang w:val="fr-FR" w:eastAsia="en-GB"/>
        </w:rPr>
        <w:t>,</w:t>
      </w:r>
      <w:r w:rsidRPr="00CE19C0">
        <w:rPr>
          <w:lang w:val="fr-FR" w:eastAsia="en-GB"/>
        </w:rPr>
        <w:t xml:space="preserve"> et que l</w:t>
      </w:r>
      <w:r>
        <w:rPr>
          <w:lang w:val="fr-FR" w:eastAsia="en-GB"/>
        </w:rPr>
        <w:t>’</w:t>
      </w:r>
      <w:r w:rsidRPr="00CE19C0">
        <w:rPr>
          <w:lang w:val="fr-FR" w:eastAsia="en-GB"/>
        </w:rPr>
        <w:t>immixtion dans la vie privée de l</w:t>
      </w:r>
      <w:r>
        <w:rPr>
          <w:lang w:val="fr-FR" w:eastAsia="en-GB"/>
        </w:rPr>
        <w:t>’</w:t>
      </w:r>
      <w:r w:rsidRPr="00CE19C0">
        <w:rPr>
          <w:lang w:val="fr-FR" w:eastAsia="en-GB"/>
        </w:rPr>
        <w:t xml:space="preserve">auteur </w:t>
      </w:r>
      <w:r>
        <w:rPr>
          <w:lang w:val="fr-FR" w:eastAsia="en-GB"/>
        </w:rPr>
        <w:t>était</w:t>
      </w:r>
      <w:r w:rsidRPr="00CE19C0">
        <w:rPr>
          <w:lang w:val="fr-FR" w:eastAsia="en-GB"/>
        </w:rPr>
        <w:t xml:space="preserve"> raisonnable et conforme aux buts et aux objectifs du Pacte</w:t>
      </w:r>
      <w:r w:rsidR="0076142A" w:rsidRPr="0076142A">
        <w:rPr>
          <w:lang w:val="fr-FR" w:eastAsia="en-GB"/>
        </w:rPr>
        <w:t>.</w:t>
      </w:r>
      <w:r w:rsidRPr="00CE19C0">
        <w:rPr>
          <w:lang w:val="fr-FR" w:eastAsia="en-GB"/>
        </w:rPr>
        <w:t xml:space="preserve"> </w:t>
      </w:r>
    </w:p>
    <w:p w14:paraId="22888C0C" w14:textId="77777777" w:rsidR="002973E4" w:rsidRPr="00B27138" w:rsidRDefault="002973E4" w:rsidP="002973E4">
      <w:pPr>
        <w:pStyle w:val="H23G"/>
        <w:rPr>
          <w:color w:val="000000" w:themeColor="text1"/>
        </w:rPr>
      </w:pPr>
      <w:r>
        <w:rPr>
          <w:color w:val="000000" w:themeColor="text1"/>
          <w:lang w:val="fr-FR"/>
        </w:rPr>
        <w:tab/>
      </w:r>
      <w:r>
        <w:rPr>
          <w:color w:val="000000" w:themeColor="text1"/>
          <w:lang w:val="fr-FR"/>
        </w:rPr>
        <w:tab/>
      </w:r>
      <w:r w:rsidRPr="00B27138">
        <w:rPr>
          <w:color w:val="000000" w:themeColor="text1"/>
          <w:lang w:val="fr-FR"/>
        </w:rPr>
        <w:t>Délibérations du Comité</w:t>
      </w:r>
    </w:p>
    <w:p w14:paraId="6B716460" w14:textId="77777777" w:rsidR="002973E4" w:rsidRPr="00B27138" w:rsidRDefault="002973E4" w:rsidP="002973E4">
      <w:pPr>
        <w:pStyle w:val="H4G"/>
      </w:pPr>
      <w:r w:rsidRPr="00B27138">
        <w:rPr>
          <w:lang w:val="fr-FR"/>
        </w:rPr>
        <w:tab/>
      </w:r>
      <w:r w:rsidRPr="00B27138">
        <w:rPr>
          <w:lang w:val="fr-FR"/>
        </w:rPr>
        <w:tab/>
        <w:t>Examen de la recevabilité</w:t>
      </w:r>
    </w:p>
    <w:p w14:paraId="7824A3AB" w14:textId="1BC27D2A" w:rsidR="002973E4" w:rsidRPr="00B27138" w:rsidRDefault="002973E4" w:rsidP="002973E4">
      <w:pPr>
        <w:pStyle w:val="SingleTxtG"/>
      </w:pPr>
      <w:r>
        <w:t>8</w:t>
      </w:r>
      <w:r w:rsidR="0076142A" w:rsidRPr="0076142A">
        <w:rPr>
          <w:lang w:val="fr-FR"/>
        </w:rPr>
        <w:t>.</w:t>
      </w:r>
      <w:r>
        <w:rPr>
          <w:lang w:val="fr-FR"/>
        </w:rPr>
        <w:t>1</w:t>
      </w:r>
      <w:r>
        <w:rPr>
          <w:lang w:val="fr-FR"/>
        </w:rPr>
        <w:tab/>
      </w:r>
      <w:r w:rsidRPr="00B27138">
        <w:rPr>
          <w:lang w:val="fr-FR"/>
        </w:rPr>
        <w:t>Avant d</w:t>
      </w:r>
      <w:r>
        <w:rPr>
          <w:lang w:val="fr-FR"/>
        </w:rPr>
        <w:t>’</w:t>
      </w:r>
      <w:r w:rsidRPr="00B27138">
        <w:rPr>
          <w:lang w:val="fr-FR"/>
        </w:rPr>
        <w:t>examiner tout grief formulé dans une communication, le Comité des droits de l</w:t>
      </w:r>
      <w:r>
        <w:rPr>
          <w:lang w:val="fr-FR"/>
        </w:rPr>
        <w:t>’</w:t>
      </w:r>
      <w:r w:rsidRPr="00B27138">
        <w:rPr>
          <w:lang w:val="fr-FR"/>
        </w:rPr>
        <w:t>homme doit, conformément à l</w:t>
      </w:r>
      <w:r>
        <w:rPr>
          <w:lang w:val="fr-FR"/>
        </w:rPr>
        <w:t>’</w:t>
      </w:r>
      <w:r w:rsidRPr="00B27138">
        <w:rPr>
          <w:lang w:val="fr-FR"/>
        </w:rPr>
        <w:t>article 97 de son règlement intérieur, déterminer si la communication est recevable au regard du Protocole facultatif se rapportant au Pacte</w:t>
      </w:r>
      <w:r w:rsidR="0076142A" w:rsidRPr="0076142A">
        <w:rPr>
          <w:lang w:val="fr-FR"/>
        </w:rPr>
        <w:t>.</w:t>
      </w:r>
    </w:p>
    <w:p w14:paraId="30A7CD6F" w14:textId="018A3E79" w:rsidR="002973E4" w:rsidRPr="00B27138" w:rsidRDefault="002973E4" w:rsidP="002973E4">
      <w:pPr>
        <w:pStyle w:val="SingleTxtG"/>
        <w:rPr>
          <w:lang w:val="fr-FR"/>
        </w:rPr>
      </w:pPr>
      <w:r>
        <w:t>8</w:t>
      </w:r>
      <w:r w:rsidR="0076142A" w:rsidRPr="0076142A">
        <w:rPr>
          <w:lang w:val="fr-FR"/>
        </w:rPr>
        <w:t>.</w:t>
      </w:r>
      <w:r w:rsidRPr="00B27138">
        <w:rPr>
          <w:lang w:val="fr-FR"/>
        </w:rPr>
        <w:t>2</w:t>
      </w:r>
      <w:r w:rsidRPr="00B27138">
        <w:rPr>
          <w:lang w:val="fr-FR"/>
        </w:rPr>
        <w:tab/>
        <w:t>Le Comité s</w:t>
      </w:r>
      <w:r>
        <w:rPr>
          <w:lang w:val="fr-FR"/>
        </w:rPr>
        <w:t>’</w:t>
      </w:r>
      <w:r w:rsidRPr="00B27138">
        <w:rPr>
          <w:lang w:val="fr-FR"/>
        </w:rPr>
        <w:t xml:space="preserve">est assuré, comme il est tenu de le faire conformément </w:t>
      </w:r>
      <w:r>
        <w:rPr>
          <w:lang w:val="fr-FR"/>
        </w:rPr>
        <w:t>à</w:t>
      </w:r>
      <w:r w:rsidRPr="00B27138">
        <w:rPr>
          <w:lang w:val="fr-FR"/>
        </w:rPr>
        <w:t xml:space="preserve"> l</w:t>
      </w:r>
      <w:r>
        <w:rPr>
          <w:lang w:val="fr-FR"/>
        </w:rPr>
        <w:t>’</w:t>
      </w:r>
      <w:r w:rsidRPr="00B27138">
        <w:rPr>
          <w:lang w:val="fr-FR"/>
        </w:rPr>
        <w:t>article</w:t>
      </w:r>
      <w:r w:rsidR="004A292B">
        <w:rPr>
          <w:lang w:val="fr-FR"/>
        </w:rPr>
        <w:t> </w:t>
      </w:r>
      <w:r w:rsidRPr="00B27138">
        <w:rPr>
          <w:lang w:val="fr-FR"/>
        </w:rPr>
        <w:t>5</w:t>
      </w:r>
      <w:r>
        <w:rPr>
          <w:lang w:val="fr-FR"/>
        </w:rPr>
        <w:t xml:space="preserve"> (par</w:t>
      </w:r>
      <w:r w:rsidR="0076142A" w:rsidRPr="0076142A">
        <w:rPr>
          <w:lang w:val="fr-FR"/>
        </w:rPr>
        <w:t>.</w:t>
      </w:r>
      <w:r>
        <w:rPr>
          <w:lang w:val="fr-FR"/>
        </w:rPr>
        <w:t> 2 a))</w:t>
      </w:r>
      <w:r w:rsidRPr="00B27138">
        <w:rPr>
          <w:lang w:val="fr-FR"/>
        </w:rPr>
        <w:t xml:space="preserve"> du Protocole facultatif, que la même question n</w:t>
      </w:r>
      <w:r>
        <w:rPr>
          <w:lang w:val="fr-FR"/>
        </w:rPr>
        <w:t>’</w:t>
      </w:r>
      <w:r w:rsidRPr="00B27138">
        <w:rPr>
          <w:lang w:val="fr-FR"/>
        </w:rPr>
        <w:t>était pas déjà en cours d</w:t>
      </w:r>
      <w:r>
        <w:rPr>
          <w:lang w:val="fr-FR"/>
        </w:rPr>
        <w:t>’</w:t>
      </w:r>
      <w:r w:rsidRPr="00B27138">
        <w:rPr>
          <w:lang w:val="fr-FR"/>
        </w:rPr>
        <w:t>examen devant une autre instance internationale d</w:t>
      </w:r>
      <w:r>
        <w:rPr>
          <w:lang w:val="fr-FR"/>
        </w:rPr>
        <w:t>’</w:t>
      </w:r>
      <w:r w:rsidRPr="00B27138">
        <w:rPr>
          <w:lang w:val="fr-FR"/>
        </w:rPr>
        <w:t>enquête ou de règlement</w:t>
      </w:r>
      <w:r w:rsidR="0076142A" w:rsidRPr="0076142A">
        <w:rPr>
          <w:lang w:val="fr-FR"/>
        </w:rPr>
        <w:t>.</w:t>
      </w:r>
    </w:p>
    <w:p w14:paraId="3080EDF9" w14:textId="010ABABF" w:rsidR="002973E4" w:rsidRDefault="002973E4" w:rsidP="002973E4">
      <w:pPr>
        <w:pStyle w:val="SingleTxtG"/>
        <w:rPr>
          <w:lang w:val="fr-FR"/>
        </w:rPr>
      </w:pPr>
      <w:r>
        <w:rPr>
          <w:lang w:val="fr-FR"/>
        </w:rPr>
        <w:t>8</w:t>
      </w:r>
      <w:r w:rsidR="0076142A" w:rsidRPr="0076142A">
        <w:rPr>
          <w:lang w:val="fr-FR"/>
        </w:rPr>
        <w:t>.</w:t>
      </w:r>
      <w:r w:rsidRPr="00B27138">
        <w:rPr>
          <w:lang w:val="fr-FR"/>
        </w:rPr>
        <w:t>3</w:t>
      </w:r>
      <w:r w:rsidRPr="00B27138">
        <w:rPr>
          <w:lang w:val="fr-FR"/>
        </w:rPr>
        <w:tab/>
        <w:t xml:space="preserve">Le Comité prend note </w:t>
      </w:r>
      <w:r>
        <w:rPr>
          <w:lang w:val="fr-FR"/>
        </w:rPr>
        <w:t>des</w:t>
      </w:r>
      <w:r w:rsidRPr="00B27138">
        <w:rPr>
          <w:lang w:val="fr-FR"/>
        </w:rPr>
        <w:t xml:space="preserve"> grief</w:t>
      </w:r>
      <w:r>
        <w:rPr>
          <w:lang w:val="fr-FR"/>
        </w:rPr>
        <w:t>s</w:t>
      </w:r>
      <w:r w:rsidRPr="00B27138">
        <w:rPr>
          <w:lang w:val="fr-FR"/>
        </w:rPr>
        <w:t xml:space="preserve"> de l</w:t>
      </w:r>
      <w:r>
        <w:rPr>
          <w:lang w:val="fr-FR"/>
        </w:rPr>
        <w:t>’</w:t>
      </w:r>
      <w:r w:rsidRPr="00B27138">
        <w:rPr>
          <w:lang w:val="fr-FR"/>
        </w:rPr>
        <w:t>auteur</w:t>
      </w:r>
      <w:r>
        <w:rPr>
          <w:lang w:val="fr-FR"/>
        </w:rPr>
        <w:t>,</w:t>
      </w:r>
      <w:r w:rsidRPr="00B27138">
        <w:rPr>
          <w:lang w:val="fr-FR"/>
        </w:rPr>
        <w:t xml:space="preserve"> qui affirme que l</w:t>
      </w:r>
      <w:r>
        <w:rPr>
          <w:lang w:val="fr-FR"/>
        </w:rPr>
        <w:t>’État</w:t>
      </w:r>
      <w:r w:rsidRPr="00B27138">
        <w:rPr>
          <w:lang w:val="fr-FR"/>
        </w:rPr>
        <w:t xml:space="preserve"> partie viole les droits </w:t>
      </w:r>
      <w:r>
        <w:rPr>
          <w:lang w:val="fr-FR"/>
        </w:rPr>
        <w:t>qu’il tient des articles</w:t>
      </w:r>
      <w:r w:rsidR="004A292B">
        <w:rPr>
          <w:lang w:val="fr-FR"/>
        </w:rPr>
        <w:t> </w:t>
      </w:r>
      <w:r>
        <w:rPr>
          <w:lang w:val="fr-FR"/>
        </w:rPr>
        <w:t>14</w:t>
      </w:r>
      <w:r w:rsidRPr="00B27138">
        <w:rPr>
          <w:lang w:val="fr-FR"/>
        </w:rPr>
        <w:t xml:space="preserve"> </w:t>
      </w:r>
      <w:r>
        <w:rPr>
          <w:lang w:val="fr-FR"/>
        </w:rPr>
        <w:t>(</w:t>
      </w:r>
      <w:r w:rsidRPr="00B27138">
        <w:rPr>
          <w:lang w:val="fr-FR"/>
        </w:rPr>
        <w:t>par</w:t>
      </w:r>
      <w:r w:rsidR="0076142A" w:rsidRPr="0076142A">
        <w:rPr>
          <w:lang w:val="fr-FR"/>
        </w:rPr>
        <w:t>.</w:t>
      </w:r>
      <w:r>
        <w:rPr>
          <w:lang w:val="fr-FR"/>
        </w:rPr>
        <w:t> </w:t>
      </w:r>
      <w:r w:rsidRPr="00B27138">
        <w:rPr>
          <w:lang w:val="fr-FR"/>
        </w:rPr>
        <w:t>1</w:t>
      </w:r>
      <w:r>
        <w:rPr>
          <w:lang w:val="fr-FR"/>
        </w:rPr>
        <w:t>) et 19 du Pacte, ainsi que des articles</w:t>
      </w:r>
      <w:r w:rsidR="004A292B">
        <w:rPr>
          <w:lang w:val="fr-FR"/>
        </w:rPr>
        <w:t> </w:t>
      </w:r>
      <w:r>
        <w:rPr>
          <w:lang w:val="fr-FR"/>
        </w:rPr>
        <w:t>17 et 25 lus conjointement avec l’article</w:t>
      </w:r>
      <w:r w:rsidR="004A292B">
        <w:rPr>
          <w:lang w:val="fr-FR"/>
        </w:rPr>
        <w:t> </w:t>
      </w:r>
      <w:r w:rsidRPr="00451E4D">
        <w:rPr>
          <w:lang w:val="fr-FR"/>
        </w:rPr>
        <w:t xml:space="preserve">2 </w:t>
      </w:r>
      <w:r>
        <w:rPr>
          <w:lang w:val="fr-FR"/>
        </w:rPr>
        <w:t>(</w:t>
      </w:r>
      <w:r w:rsidRPr="00451E4D">
        <w:rPr>
          <w:lang w:val="fr-FR"/>
        </w:rPr>
        <w:t>par</w:t>
      </w:r>
      <w:r w:rsidR="0076142A" w:rsidRPr="0076142A">
        <w:rPr>
          <w:lang w:val="fr-FR"/>
        </w:rPr>
        <w:t>.</w:t>
      </w:r>
      <w:r>
        <w:rPr>
          <w:lang w:val="fr-FR"/>
        </w:rPr>
        <w:t> </w:t>
      </w:r>
      <w:r w:rsidRPr="00451E4D">
        <w:rPr>
          <w:lang w:val="fr-FR"/>
        </w:rPr>
        <w:t>3</w:t>
      </w:r>
      <w:r>
        <w:rPr>
          <w:lang w:val="fr-FR"/>
        </w:rPr>
        <w:t>) du</w:t>
      </w:r>
      <w:r w:rsidRPr="00B27138">
        <w:rPr>
          <w:lang w:val="fr-FR"/>
        </w:rPr>
        <w:t xml:space="preserve"> Pacte</w:t>
      </w:r>
      <w:r w:rsidR="0076142A" w:rsidRPr="0076142A">
        <w:rPr>
          <w:lang w:val="fr-FR"/>
        </w:rPr>
        <w:t>.</w:t>
      </w:r>
      <w:r w:rsidRPr="00B27138">
        <w:rPr>
          <w:lang w:val="fr-FR"/>
        </w:rPr>
        <w:t xml:space="preserve"> </w:t>
      </w:r>
    </w:p>
    <w:p w14:paraId="5D362A58" w14:textId="37AC814A" w:rsidR="002973E4" w:rsidRDefault="002973E4" w:rsidP="002973E4">
      <w:pPr>
        <w:pStyle w:val="SingleTxtG"/>
      </w:pPr>
      <w:r>
        <w:rPr>
          <w:lang w:val="fr-FR"/>
        </w:rPr>
        <w:t>8</w:t>
      </w:r>
      <w:r w:rsidR="0076142A" w:rsidRPr="0076142A">
        <w:rPr>
          <w:lang w:val="fr-FR"/>
        </w:rPr>
        <w:t>.</w:t>
      </w:r>
      <w:r>
        <w:rPr>
          <w:lang w:val="fr-FR"/>
        </w:rPr>
        <w:t>4</w:t>
      </w:r>
      <w:r>
        <w:rPr>
          <w:lang w:val="fr-FR"/>
        </w:rPr>
        <w:tab/>
        <w:t xml:space="preserve">Concernant la recevabilité </w:t>
      </w:r>
      <w:proofErr w:type="spellStart"/>
      <w:r w:rsidRPr="00CF0E39">
        <w:rPr>
          <w:i/>
          <w:lang w:val="fr-FR"/>
        </w:rPr>
        <w:t>ratione</w:t>
      </w:r>
      <w:proofErr w:type="spellEnd"/>
      <w:r w:rsidRPr="00CF0E39">
        <w:rPr>
          <w:i/>
          <w:lang w:val="fr-FR"/>
        </w:rPr>
        <w:t xml:space="preserve"> materiae</w:t>
      </w:r>
      <w:r>
        <w:rPr>
          <w:lang w:val="fr-FR"/>
        </w:rPr>
        <w:t xml:space="preserve"> de la communication, le Comité note que l’État partie n’a pas contesté la recevabilité par rapport au grief évoqué dans le cadre de l’article 14 (par</w:t>
      </w:r>
      <w:r w:rsidR="0076142A" w:rsidRPr="0076142A">
        <w:rPr>
          <w:lang w:val="fr-FR"/>
        </w:rPr>
        <w:t>.</w:t>
      </w:r>
      <w:r>
        <w:rPr>
          <w:lang w:val="fr-FR"/>
        </w:rPr>
        <w:t xml:space="preserve"> 1) du Pacte et a reconnu </w:t>
      </w:r>
      <w:r w:rsidRPr="00CF0E39">
        <w:rPr>
          <w:lang w:val="fr-FR"/>
        </w:rPr>
        <w:t xml:space="preserve">que le contentieux soumis aux juridictions ordinales françaises </w:t>
      </w:r>
      <w:r>
        <w:rPr>
          <w:lang w:val="fr-FR"/>
        </w:rPr>
        <w:t>devait</w:t>
      </w:r>
      <w:r w:rsidRPr="00CF0E39">
        <w:rPr>
          <w:lang w:val="fr-FR"/>
        </w:rPr>
        <w:t xml:space="preserve"> remplir les exigences de l</w:t>
      </w:r>
      <w:r>
        <w:rPr>
          <w:lang w:val="fr-FR"/>
        </w:rPr>
        <w:t>’</w:t>
      </w:r>
      <w:r w:rsidRPr="00CF0E39">
        <w:rPr>
          <w:lang w:val="fr-FR"/>
        </w:rPr>
        <w:t xml:space="preserve">article 14 </w:t>
      </w:r>
      <w:r>
        <w:rPr>
          <w:lang w:val="fr-FR"/>
        </w:rPr>
        <w:t>(par</w:t>
      </w:r>
      <w:r w:rsidR="0076142A" w:rsidRPr="0076142A">
        <w:rPr>
          <w:lang w:val="fr-FR"/>
        </w:rPr>
        <w:t>.</w:t>
      </w:r>
      <w:r>
        <w:rPr>
          <w:lang w:val="fr-FR"/>
        </w:rPr>
        <w:t> </w:t>
      </w:r>
      <w:r w:rsidRPr="00CF0E39">
        <w:rPr>
          <w:lang w:val="fr-FR"/>
        </w:rPr>
        <w:t>1</w:t>
      </w:r>
      <w:r>
        <w:rPr>
          <w:lang w:val="fr-FR"/>
        </w:rPr>
        <w:t>)</w:t>
      </w:r>
      <w:r w:rsidRPr="00CF0E39">
        <w:rPr>
          <w:lang w:val="fr-FR"/>
        </w:rPr>
        <w:t xml:space="preserve"> du Pacte</w:t>
      </w:r>
      <w:r w:rsidRPr="002973E4">
        <w:rPr>
          <w:rStyle w:val="Appelnotedebasdep"/>
        </w:rPr>
        <w:footnoteReference w:id="29"/>
      </w:r>
      <w:r w:rsidR="0076142A" w:rsidRPr="0076142A">
        <w:rPr>
          <w:lang w:val="fr-FR"/>
        </w:rPr>
        <w:t>.</w:t>
      </w:r>
    </w:p>
    <w:p w14:paraId="0203575A" w14:textId="4AB84852" w:rsidR="002973E4" w:rsidRPr="00057615" w:rsidRDefault="002973E4" w:rsidP="002973E4">
      <w:pPr>
        <w:pStyle w:val="SingleTxtG"/>
      </w:pPr>
      <w:r>
        <w:t>8</w:t>
      </w:r>
      <w:r w:rsidR="0076142A" w:rsidRPr="0076142A">
        <w:t>.</w:t>
      </w:r>
      <w:r w:rsidRPr="00057615">
        <w:t>5</w:t>
      </w:r>
      <w:r w:rsidRPr="00057615">
        <w:tab/>
        <w:t>Le Comité note que l</w:t>
      </w:r>
      <w:r>
        <w:t>’État</w:t>
      </w:r>
      <w:r w:rsidRPr="00057615">
        <w:t xml:space="preserve"> partie conteste la recevabilité au titre de l</w:t>
      </w:r>
      <w:r>
        <w:t>’</w:t>
      </w:r>
      <w:r w:rsidRPr="00057615">
        <w:t>article</w:t>
      </w:r>
      <w:r w:rsidR="004A292B">
        <w:t> </w:t>
      </w:r>
      <w:r w:rsidRPr="00057615">
        <w:t xml:space="preserve">19 </w:t>
      </w:r>
      <w:r>
        <w:t xml:space="preserve">du Pacte, </w:t>
      </w:r>
      <w:r w:rsidRPr="00057615">
        <w:t>arguant que les voies de recours internes n</w:t>
      </w:r>
      <w:r>
        <w:t>’</w:t>
      </w:r>
      <w:r w:rsidRPr="00057615">
        <w:t>ont pas été épuisées</w:t>
      </w:r>
      <w:r w:rsidR="0076142A" w:rsidRPr="0076142A">
        <w:t>.</w:t>
      </w:r>
      <w:r w:rsidRPr="00057615">
        <w:t xml:space="preserve"> </w:t>
      </w:r>
      <w:r>
        <w:t>Il</w:t>
      </w:r>
      <w:r w:rsidRPr="00057615">
        <w:t xml:space="preserve"> note à cet effet l</w:t>
      </w:r>
      <w:r>
        <w:t>’</w:t>
      </w:r>
      <w:r w:rsidRPr="00057615">
        <w:t>argument de l</w:t>
      </w:r>
      <w:r>
        <w:t>’État</w:t>
      </w:r>
      <w:r w:rsidRPr="00057615">
        <w:t xml:space="preserve"> partie selon lequel le grief fondé sur cet article a été évoqué tardivement par l</w:t>
      </w:r>
      <w:r>
        <w:t>’</w:t>
      </w:r>
      <w:r w:rsidRPr="00057615">
        <w:t>auteur, c</w:t>
      </w:r>
      <w:r>
        <w:t>’</w:t>
      </w:r>
      <w:r w:rsidRPr="00057615">
        <w:t>est-à-dire après l</w:t>
      </w:r>
      <w:r>
        <w:t>’</w:t>
      </w:r>
      <w:r w:rsidRPr="00057615">
        <w:t>expiration du délai d</w:t>
      </w:r>
      <w:r>
        <w:t>’</w:t>
      </w:r>
      <w:r w:rsidRPr="00057615">
        <w:t>appel</w:t>
      </w:r>
      <w:r w:rsidR="0076142A" w:rsidRPr="0076142A">
        <w:t>.</w:t>
      </w:r>
      <w:r w:rsidRPr="00057615">
        <w:t xml:space="preserve"> Le Comité note </w:t>
      </w:r>
      <w:r>
        <w:t xml:space="preserve">également </w:t>
      </w:r>
      <w:r w:rsidRPr="00057615">
        <w:t>l</w:t>
      </w:r>
      <w:r>
        <w:t>’</w:t>
      </w:r>
      <w:r w:rsidRPr="00057615">
        <w:t>argument de l</w:t>
      </w:r>
      <w:r>
        <w:t>’</w:t>
      </w:r>
      <w:r w:rsidRPr="00057615">
        <w:t>auteur</w:t>
      </w:r>
      <w:r>
        <w:t>,</w:t>
      </w:r>
      <w:r w:rsidRPr="00057615">
        <w:t xml:space="preserve"> qui </w:t>
      </w:r>
      <w:r>
        <w:t>soutient</w:t>
      </w:r>
      <w:r w:rsidRPr="00057615">
        <w:t xml:space="preserve"> que sa communication est recevable </w:t>
      </w:r>
      <w:r>
        <w:t>au titre de</w:t>
      </w:r>
      <w:r w:rsidRPr="00057615">
        <w:t xml:space="preserve"> l</w:t>
      </w:r>
      <w:r>
        <w:t>’</w:t>
      </w:r>
      <w:r w:rsidRPr="00057615">
        <w:t>article</w:t>
      </w:r>
      <w:r w:rsidR="004A292B">
        <w:t> </w:t>
      </w:r>
      <w:r w:rsidRPr="00057615">
        <w:t>19 du Pacte, vu qu</w:t>
      </w:r>
      <w:r>
        <w:t>’</w:t>
      </w:r>
      <w:r w:rsidRPr="00057615">
        <w:t>il a été poursuivi en raison de critiques formulées vis-à-vis de personnes investies d</w:t>
      </w:r>
      <w:r>
        <w:t>’</w:t>
      </w:r>
      <w:r w:rsidRPr="00057615">
        <w:t>une mission de service public, dans l</w:t>
      </w:r>
      <w:r>
        <w:t>’</w:t>
      </w:r>
      <w:r w:rsidRPr="00057615">
        <w:t>intérêt général</w:t>
      </w:r>
      <w:r w:rsidR="0076142A" w:rsidRPr="0076142A">
        <w:t>.</w:t>
      </w:r>
      <w:r w:rsidRPr="00057615">
        <w:t xml:space="preserve"> Le Comité observe </w:t>
      </w:r>
      <w:r>
        <w:t>néanmoins</w:t>
      </w:r>
      <w:r w:rsidRPr="00057615">
        <w:t xml:space="preserve"> que l</w:t>
      </w:r>
      <w:r>
        <w:t>’</w:t>
      </w:r>
      <w:r w:rsidRPr="00057615">
        <w:t>auteur n</w:t>
      </w:r>
      <w:r>
        <w:t>’</w:t>
      </w:r>
      <w:r w:rsidRPr="00057615">
        <w:t xml:space="preserve">a pas fourni la preuve que ses moyens </w:t>
      </w:r>
      <w:r>
        <w:t>avaient</w:t>
      </w:r>
      <w:r w:rsidRPr="00057615">
        <w:t xml:space="preserve"> été soumis au titre de l</w:t>
      </w:r>
      <w:r>
        <w:t>’</w:t>
      </w:r>
      <w:r w:rsidRPr="00057615">
        <w:t>article</w:t>
      </w:r>
      <w:r w:rsidR="004A292B">
        <w:t> </w:t>
      </w:r>
      <w:r w:rsidRPr="00057615">
        <w:t xml:space="preserve">19 du Pacte et </w:t>
      </w:r>
      <w:r>
        <w:t>avaient</w:t>
      </w:r>
      <w:r w:rsidRPr="00057615">
        <w:t xml:space="preserve"> fait l</w:t>
      </w:r>
      <w:r>
        <w:t>’</w:t>
      </w:r>
      <w:r w:rsidRPr="00057615">
        <w:t>objet de considération de la part des juridictions nationales</w:t>
      </w:r>
      <w:r w:rsidR="0076142A" w:rsidRPr="0076142A">
        <w:t>.</w:t>
      </w:r>
      <w:r w:rsidRPr="00057615">
        <w:t xml:space="preserve"> Le Comité réitère la règle selon laquelle</w:t>
      </w:r>
      <w:r>
        <w:t>,</w:t>
      </w:r>
      <w:r w:rsidRPr="00057615">
        <w:t xml:space="preserve"> pour qu</w:t>
      </w:r>
      <w:r>
        <w:t>’</w:t>
      </w:r>
      <w:r w:rsidRPr="00057615">
        <w:t>une communication soit jugée recevable, il faut que tous les moyens de recours internes aient été épuisés</w:t>
      </w:r>
      <w:r w:rsidR="0076142A" w:rsidRPr="0076142A">
        <w:t>.</w:t>
      </w:r>
      <w:r w:rsidRPr="00057615">
        <w:t xml:space="preserve"> En conséquence, la communication de l</w:t>
      </w:r>
      <w:r>
        <w:t>’</w:t>
      </w:r>
      <w:r w:rsidRPr="00057615">
        <w:t>auteur est irrecevable au titre de l</w:t>
      </w:r>
      <w:r>
        <w:t>’</w:t>
      </w:r>
      <w:r w:rsidRPr="00057615">
        <w:t>article 19 du Pacte</w:t>
      </w:r>
      <w:r>
        <w:t>,</w:t>
      </w:r>
      <w:r w:rsidRPr="00057615">
        <w:t xml:space="preserve"> pour non-épuisement des voies de recours internes</w:t>
      </w:r>
      <w:r w:rsidR="0076142A" w:rsidRPr="0076142A">
        <w:t>.</w:t>
      </w:r>
      <w:r w:rsidRPr="00057615">
        <w:t xml:space="preserve"> </w:t>
      </w:r>
    </w:p>
    <w:p w14:paraId="553AC1F4" w14:textId="7A75DE82" w:rsidR="002973E4" w:rsidRDefault="002973E4" w:rsidP="002973E4">
      <w:pPr>
        <w:pStyle w:val="SingleTxtG"/>
      </w:pPr>
      <w:r>
        <w:t>8</w:t>
      </w:r>
      <w:r w:rsidR="0076142A" w:rsidRPr="0076142A">
        <w:t>.</w:t>
      </w:r>
      <w:r>
        <w:t>6</w:t>
      </w:r>
      <w:r>
        <w:tab/>
        <w:t>Le Comité relève que, dans sa soumission additionnelle du 13 juillet 2017, l’auteur allègue une violation des articles 17 et 25, lus conjointement avec l’article 2 (par</w:t>
      </w:r>
      <w:r w:rsidR="0076142A" w:rsidRPr="0076142A">
        <w:t>.</w:t>
      </w:r>
      <w:r>
        <w:t> 3) du Pacte</w:t>
      </w:r>
      <w:r w:rsidR="0076142A" w:rsidRPr="0076142A">
        <w:t>.</w:t>
      </w:r>
      <w:r>
        <w:t xml:space="preserve"> Il note l’argument de l’État partie selon lequel la soumission additionnelle de l’auteur porte sur de nouveaux faits sur lesquels des décisions ont été rendues en dernier ressort au niveau interne, respectivement le </w:t>
      </w:r>
      <w:r w:rsidRPr="003E2A32">
        <w:t xml:space="preserve">4 juillet 2000 </w:t>
      </w:r>
      <w:r>
        <w:t>par la</w:t>
      </w:r>
      <w:r w:rsidRPr="003E2A32">
        <w:t xml:space="preserve"> </w:t>
      </w:r>
      <w:r>
        <w:t>C</w:t>
      </w:r>
      <w:r w:rsidRPr="003E2A32">
        <w:t xml:space="preserve">our de cassation et </w:t>
      </w:r>
      <w:r>
        <w:t>le</w:t>
      </w:r>
      <w:r w:rsidRPr="003E2A32">
        <w:t xml:space="preserve"> 28 juin 2004 </w:t>
      </w:r>
      <w:r>
        <w:t>par le Conseil d’État</w:t>
      </w:r>
      <w:r w:rsidR="0076142A" w:rsidRPr="0076142A">
        <w:t>.</w:t>
      </w:r>
      <w:r>
        <w:t xml:space="preserve"> Le Comité fait observer que la soumission additionnelle de l’auteur survient pour des faits sur lesquels les juridictions nationales se sont prononcées il y a plus de treize </w:t>
      </w:r>
      <w:r>
        <w:lastRenderedPageBreak/>
        <w:t>ans</w:t>
      </w:r>
      <w:r w:rsidR="0076142A" w:rsidRPr="0076142A">
        <w:t>.</w:t>
      </w:r>
      <w:r>
        <w:t xml:space="preserve"> Il</w:t>
      </w:r>
      <w:r w:rsidRPr="00D8296E">
        <w:t xml:space="preserve"> considère qu</w:t>
      </w:r>
      <w:r>
        <w:t>’</w:t>
      </w:r>
      <w:r w:rsidRPr="00D8296E">
        <w:t>en l</w:t>
      </w:r>
      <w:r>
        <w:t>’</w:t>
      </w:r>
      <w:r w:rsidRPr="00D8296E">
        <w:t>absence d</w:t>
      </w:r>
      <w:r>
        <w:t>’</w:t>
      </w:r>
      <w:r w:rsidRPr="00D8296E">
        <w:t xml:space="preserve">explication convaincante pour justifier un tel retard, la présentation de la communication après un délai aussi long équivaut à un abus du droit de plainte </w:t>
      </w:r>
      <w:r w:rsidRPr="00E856F7">
        <w:t xml:space="preserve">en </w:t>
      </w:r>
      <w:r>
        <w:t>application</w:t>
      </w:r>
      <w:r w:rsidRPr="00E856F7">
        <w:t xml:space="preserve"> de l</w:t>
      </w:r>
      <w:r>
        <w:t>’article 99 c)</w:t>
      </w:r>
      <w:r w:rsidRPr="00E856F7">
        <w:t xml:space="preserve"> du règlement intérieur du Comité et déclare </w:t>
      </w:r>
      <w:r w:rsidRPr="00CC0B13">
        <w:t>en conséquence la soumission additionnelle de l</w:t>
      </w:r>
      <w:r>
        <w:t>’</w:t>
      </w:r>
      <w:r w:rsidRPr="00CC0B13">
        <w:t>auteur irrecevable</w:t>
      </w:r>
      <w:r w:rsidRPr="002973E4">
        <w:rPr>
          <w:rStyle w:val="Appelnotedebasdep"/>
        </w:rPr>
        <w:footnoteReference w:id="30"/>
      </w:r>
      <w:r w:rsidR="0076142A" w:rsidRPr="0076142A">
        <w:t>.</w:t>
      </w:r>
      <w:r>
        <w:t xml:space="preserve"> </w:t>
      </w:r>
      <w:r w:rsidRPr="0035503F">
        <w:t>Le Comité relève que la soumission additionnelle de l</w:t>
      </w:r>
      <w:r>
        <w:t>’</w:t>
      </w:r>
      <w:r w:rsidRPr="0035503F">
        <w:t>auteur fait état de sa radiation du tableau de l</w:t>
      </w:r>
      <w:r>
        <w:t>’o</w:t>
      </w:r>
      <w:r w:rsidRPr="0035503F">
        <w:t>rdre des avocats du barreau</w:t>
      </w:r>
      <w:r>
        <w:t xml:space="preserve"> de</w:t>
      </w:r>
      <w:r w:rsidR="004A292B">
        <w:t xml:space="preserve"> </w:t>
      </w:r>
      <w:r w:rsidRPr="009E7472">
        <w:rPr>
          <w:lang w:val="fr-FR"/>
        </w:rPr>
        <w:t>Paris</w:t>
      </w:r>
      <w:r>
        <w:t>,</w:t>
      </w:r>
      <w:r w:rsidRPr="0035503F">
        <w:t xml:space="preserve"> ce qui est distinct de sa radiation </w:t>
      </w:r>
      <w:r>
        <w:t>de l’ordre national</w:t>
      </w:r>
      <w:r w:rsidRPr="0035503F">
        <w:t xml:space="preserve"> des chirurgiens</w:t>
      </w:r>
      <w:r w:rsidR="004A292B">
        <w:noBreakHyphen/>
      </w:r>
      <w:r w:rsidRPr="0035503F">
        <w:t>dentistes, objet principal de la présente communication</w:t>
      </w:r>
      <w:r w:rsidR="0076142A" w:rsidRPr="0076142A">
        <w:t>.</w:t>
      </w:r>
      <w:r>
        <w:t xml:space="preserve"> Le Comité relève également que l’État partie fait valoir que les moyens tirés par l’auteur n’ont jamais été évoqués devant les juridictions internes et que, de ce fait, la soumission additionnelle de l’auteur doit être déclarée irrecevable pour non-épuisement des voies de recours internes</w:t>
      </w:r>
      <w:r w:rsidR="0076142A" w:rsidRPr="0076142A">
        <w:t>.</w:t>
      </w:r>
      <w:r>
        <w:t xml:space="preserve"> Le Comité constate qu’au vu des éléments soumis par l’auteur, les griefs tirés des articles</w:t>
      </w:r>
      <w:r w:rsidR="004A292B">
        <w:t> </w:t>
      </w:r>
      <w:r>
        <w:t>17 et</w:t>
      </w:r>
      <w:r w:rsidR="004A292B">
        <w:t> </w:t>
      </w:r>
      <w:r>
        <w:t>25 du Pacte n’ont pas été soumis devant les juridictions internes par l’auteur</w:t>
      </w:r>
      <w:r w:rsidR="0076142A" w:rsidRPr="0076142A">
        <w:t>.</w:t>
      </w:r>
      <w:r>
        <w:t xml:space="preserve"> </w:t>
      </w:r>
    </w:p>
    <w:p w14:paraId="4A2F9891" w14:textId="1B60A636" w:rsidR="002973E4" w:rsidRPr="00E3590D" w:rsidRDefault="002973E4" w:rsidP="002973E4">
      <w:pPr>
        <w:pStyle w:val="SingleTxtG"/>
        <w:rPr>
          <w:lang w:val="fr-FR"/>
        </w:rPr>
      </w:pPr>
      <w:r>
        <w:t>8</w:t>
      </w:r>
      <w:r w:rsidR="0076142A" w:rsidRPr="0076142A">
        <w:rPr>
          <w:lang w:val="fr-FR"/>
        </w:rPr>
        <w:t>.</w:t>
      </w:r>
      <w:r>
        <w:rPr>
          <w:lang w:val="fr-FR"/>
        </w:rPr>
        <w:t>7</w:t>
      </w:r>
      <w:r>
        <w:rPr>
          <w:lang w:val="fr-FR"/>
        </w:rPr>
        <w:tab/>
      </w:r>
      <w:r w:rsidRPr="00E3590D">
        <w:rPr>
          <w:lang w:val="fr-FR"/>
        </w:rPr>
        <w:t xml:space="preserve">Compte tenu de ce qui précède, </w:t>
      </w:r>
      <w:r>
        <w:rPr>
          <w:lang w:val="fr-FR"/>
        </w:rPr>
        <w:t>le Comité considère que les griefs formulés par l’auteur en ce qui a trait aux articles</w:t>
      </w:r>
      <w:r w:rsidR="004A292B">
        <w:rPr>
          <w:lang w:val="fr-FR"/>
        </w:rPr>
        <w:t> </w:t>
      </w:r>
      <w:r>
        <w:rPr>
          <w:lang w:val="fr-FR"/>
        </w:rPr>
        <w:t>17, 19 et 25 du Pacte sont irrecevables pour non</w:t>
      </w:r>
      <w:r w:rsidR="004A292B">
        <w:rPr>
          <w:lang w:val="fr-FR"/>
        </w:rPr>
        <w:noBreakHyphen/>
      </w:r>
      <w:r>
        <w:rPr>
          <w:lang w:val="fr-FR"/>
        </w:rPr>
        <w:t>épuisement des voies de recours</w:t>
      </w:r>
      <w:r w:rsidR="0076142A" w:rsidRPr="0076142A">
        <w:rPr>
          <w:lang w:val="fr-FR"/>
        </w:rPr>
        <w:t>.</w:t>
      </w:r>
      <w:r>
        <w:rPr>
          <w:lang w:val="fr-FR"/>
        </w:rPr>
        <w:t xml:space="preserve"> Pour ce qui concerne les griefs tirés des articles</w:t>
      </w:r>
      <w:r w:rsidR="004A292B">
        <w:rPr>
          <w:lang w:val="fr-FR"/>
        </w:rPr>
        <w:t> </w:t>
      </w:r>
      <w:r>
        <w:rPr>
          <w:lang w:val="fr-FR"/>
        </w:rPr>
        <w:t>17 et</w:t>
      </w:r>
      <w:r w:rsidR="004A292B">
        <w:rPr>
          <w:lang w:val="fr-FR"/>
        </w:rPr>
        <w:t> </w:t>
      </w:r>
      <w:r>
        <w:rPr>
          <w:lang w:val="fr-FR"/>
        </w:rPr>
        <w:t>25 du Pacte, objets de la soumission additionnelle du 13 juillet 2017 de l’auteur, le Comité les déclare irrecevables pour n’avoir pas été soumis en temps utile</w:t>
      </w:r>
      <w:r w:rsidR="0076142A" w:rsidRPr="0076142A">
        <w:rPr>
          <w:lang w:val="fr-FR"/>
        </w:rPr>
        <w:t>.</w:t>
      </w:r>
      <w:r>
        <w:rPr>
          <w:lang w:val="fr-FR"/>
        </w:rPr>
        <w:t xml:space="preserve"> Le Comité considère néanmoins que </w:t>
      </w:r>
      <w:r w:rsidRPr="00E3590D">
        <w:rPr>
          <w:lang w:val="fr-FR"/>
        </w:rPr>
        <w:t>les griefs formulés par l</w:t>
      </w:r>
      <w:r>
        <w:rPr>
          <w:lang w:val="fr-FR"/>
        </w:rPr>
        <w:t>’</w:t>
      </w:r>
      <w:r w:rsidRPr="00E3590D">
        <w:rPr>
          <w:lang w:val="fr-FR"/>
        </w:rPr>
        <w:t xml:space="preserve">auteur </w:t>
      </w:r>
      <w:r>
        <w:rPr>
          <w:lang w:val="fr-FR"/>
        </w:rPr>
        <w:t>au regard de l’article 14 (par</w:t>
      </w:r>
      <w:r w:rsidR="0076142A" w:rsidRPr="0076142A">
        <w:rPr>
          <w:lang w:val="fr-FR"/>
        </w:rPr>
        <w:t>.</w:t>
      </w:r>
      <w:r>
        <w:rPr>
          <w:lang w:val="fr-FR"/>
        </w:rPr>
        <w:t xml:space="preserve"> 1) du Pacte sont suffisamment fondés, </w:t>
      </w:r>
      <w:r w:rsidRPr="00E3590D">
        <w:rPr>
          <w:lang w:val="fr-FR"/>
        </w:rPr>
        <w:t>déclare que la communication est recevable en ce qu</w:t>
      </w:r>
      <w:r>
        <w:rPr>
          <w:lang w:val="fr-FR"/>
        </w:rPr>
        <w:t>’</w:t>
      </w:r>
      <w:r w:rsidRPr="00E3590D">
        <w:rPr>
          <w:lang w:val="fr-FR"/>
        </w:rPr>
        <w:t>elle concerne les griefs soulevés par l</w:t>
      </w:r>
      <w:r>
        <w:rPr>
          <w:lang w:val="fr-FR"/>
        </w:rPr>
        <w:t>’</w:t>
      </w:r>
      <w:r w:rsidRPr="00E3590D">
        <w:rPr>
          <w:lang w:val="fr-FR"/>
        </w:rPr>
        <w:t>auteur au titre de l</w:t>
      </w:r>
      <w:r>
        <w:rPr>
          <w:lang w:val="fr-FR"/>
        </w:rPr>
        <w:t>’</w:t>
      </w:r>
      <w:r w:rsidRPr="00E3590D">
        <w:rPr>
          <w:lang w:val="fr-FR"/>
        </w:rPr>
        <w:t>article</w:t>
      </w:r>
      <w:r w:rsidR="004A292B">
        <w:rPr>
          <w:lang w:val="fr-FR"/>
        </w:rPr>
        <w:t> </w:t>
      </w:r>
      <w:r w:rsidRPr="00E3590D">
        <w:rPr>
          <w:lang w:val="fr-FR"/>
        </w:rPr>
        <w:t>14 (</w:t>
      </w:r>
      <w:r>
        <w:rPr>
          <w:lang w:val="fr-FR"/>
        </w:rPr>
        <w:t>par</w:t>
      </w:r>
      <w:r w:rsidR="0076142A" w:rsidRPr="0076142A">
        <w:rPr>
          <w:lang w:val="fr-FR"/>
        </w:rPr>
        <w:t>.</w:t>
      </w:r>
      <w:r>
        <w:rPr>
          <w:lang w:val="fr-FR"/>
        </w:rPr>
        <w:t> </w:t>
      </w:r>
      <w:r w:rsidRPr="00E3590D">
        <w:rPr>
          <w:lang w:val="fr-FR"/>
        </w:rPr>
        <w:t>1), lu seul et conjointement avec l</w:t>
      </w:r>
      <w:r>
        <w:rPr>
          <w:lang w:val="fr-FR"/>
        </w:rPr>
        <w:t>’</w:t>
      </w:r>
      <w:r w:rsidRPr="00E3590D">
        <w:rPr>
          <w:lang w:val="fr-FR"/>
        </w:rPr>
        <w:t>article</w:t>
      </w:r>
      <w:r w:rsidR="004A292B">
        <w:rPr>
          <w:lang w:val="fr-FR"/>
        </w:rPr>
        <w:t> </w:t>
      </w:r>
      <w:r>
        <w:rPr>
          <w:lang w:val="fr-FR"/>
        </w:rPr>
        <w:t>2 (par</w:t>
      </w:r>
      <w:r w:rsidR="0076142A" w:rsidRPr="0076142A">
        <w:rPr>
          <w:lang w:val="fr-FR"/>
        </w:rPr>
        <w:t>.</w:t>
      </w:r>
      <w:r>
        <w:rPr>
          <w:lang w:val="fr-FR"/>
        </w:rPr>
        <w:t xml:space="preserve"> 3) </w:t>
      </w:r>
      <w:r w:rsidRPr="00E3590D">
        <w:rPr>
          <w:lang w:val="fr-FR"/>
        </w:rPr>
        <w:t>du Pacte</w:t>
      </w:r>
      <w:r>
        <w:rPr>
          <w:lang w:val="fr-FR"/>
        </w:rPr>
        <w:t>,</w:t>
      </w:r>
      <w:r w:rsidRPr="00E3590D">
        <w:rPr>
          <w:lang w:val="fr-FR"/>
        </w:rPr>
        <w:t xml:space="preserve"> et procède à son examen quant au fond</w:t>
      </w:r>
      <w:r w:rsidR="0076142A" w:rsidRPr="0076142A">
        <w:rPr>
          <w:lang w:val="fr-FR"/>
        </w:rPr>
        <w:t>.</w:t>
      </w:r>
    </w:p>
    <w:p w14:paraId="1EFCC4E0" w14:textId="77777777" w:rsidR="002973E4" w:rsidRPr="00B27138" w:rsidRDefault="002973E4" w:rsidP="002973E4">
      <w:pPr>
        <w:pStyle w:val="H4G"/>
      </w:pPr>
      <w:r w:rsidRPr="00B27138">
        <w:rPr>
          <w:lang w:val="fr-FR"/>
        </w:rPr>
        <w:tab/>
      </w:r>
      <w:r w:rsidRPr="00B27138">
        <w:rPr>
          <w:lang w:val="fr-FR"/>
        </w:rPr>
        <w:tab/>
        <w:t>Examen au fond</w:t>
      </w:r>
    </w:p>
    <w:p w14:paraId="621982D0" w14:textId="019FB06E" w:rsidR="002973E4" w:rsidRPr="00B27138" w:rsidRDefault="002973E4" w:rsidP="002973E4">
      <w:pPr>
        <w:pStyle w:val="SingleTxtG"/>
        <w:rPr>
          <w:lang w:val="fr-FR"/>
        </w:rPr>
      </w:pPr>
      <w:r>
        <w:t>9</w:t>
      </w:r>
      <w:r w:rsidR="0076142A" w:rsidRPr="0076142A">
        <w:rPr>
          <w:lang w:val="fr-FR"/>
        </w:rPr>
        <w:t>.</w:t>
      </w:r>
      <w:r w:rsidRPr="00B27138">
        <w:rPr>
          <w:lang w:val="fr-FR"/>
        </w:rPr>
        <w:t>1</w:t>
      </w:r>
      <w:r w:rsidRPr="00B27138">
        <w:rPr>
          <w:lang w:val="fr-FR"/>
        </w:rPr>
        <w:tab/>
        <w:t xml:space="preserve">Conformément </w:t>
      </w:r>
      <w:r>
        <w:rPr>
          <w:lang w:val="fr-FR"/>
        </w:rPr>
        <w:t>à</w:t>
      </w:r>
      <w:r w:rsidRPr="00B27138">
        <w:rPr>
          <w:lang w:val="fr-FR"/>
        </w:rPr>
        <w:t xml:space="preserve"> l</w:t>
      </w:r>
      <w:r>
        <w:rPr>
          <w:lang w:val="fr-FR"/>
        </w:rPr>
        <w:t>’</w:t>
      </w:r>
      <w:r w:rsidRPr="00B27138">
        <w:rPr>
          <w:lang w:val="fr-FR"/>
        </w:rPr>
        <w:t>article</w:t>
      </w:r>
      <w:r w:rsidR="004A292B">
        <w:rPr>
          <w:lang w:val="fr-FR"/>
        </w:rPr>
        <w:t> </w:t>
      </w:r>
      <w:r w:rsidRPr="00B27138">
        <w:rPr>
          <w:lang w:val="fr-FR"/>
        </w:rPr>
        <w:t>5</w:t>
      </w:r>
      <w:r>
        <w:rPr>
          <w:lang w:val="fr-FR"/>
        </w:rPr>
        <w:t xml:space="preserve"> (par</w:t>
      </w:r>
      <w:r w:rsidR="0076142A" w:rsidRPr="0076142A">
        <w:rPr>
          <w:lang w:val="fr-FR"/>
        </w:rPr>
        <w:t>.</w:t>
      </w:r>
      <w:r>
        <w:rPr>
          <w:lang w:val="fr-FR"/>
        </w:rPr>
        <w:t> 1)</w:t>
      </w:r>
      <w:r w:rsidRPr="00B27138">
        <w:rPr>
          <w:lang w:val="fr-FR"/>
        </w:rPr>
        <w:t xml:space="preserve"> du Protocole facultatif, le Comité a examiné la présente communication en tenant compte de toutes les informations que lui ont communiquées les parties</w:t>
      </w:r>
      <w:r w:rsidR="0076142A" w:rsidRPr="0076142A">
        <w:rPr>
          <w:lang w:val="fr-FR"/>
        </w:rPr>
        <w:t>.</w:t>
      </w:r>
    </w:p>
    <w:p w14:paraId="07BC63AC" w14:textId="111D9A16" w:rsidR="002973E4" w:rsidRPr="00057615" w:rsidRDefault="002973E4" w:rsidP="002973E4">
      <w:pPr>
        <w:pStyle w:val="SingleTxtG"/>
      </w:pPr>
      <w:r>
        <w:rPr>
          <w:lang w:val="fr-FR"/>
        </w:rPr>
        <w:t>9</w:t>
      </w:r>
      <w:r w:rsidR="0076142A" w:rsidRPr="0076142A">
        <w:rPr>
          <w:lang w:val="fr-FR"/>
        </w:rPr>
        <w:t>.</w:t>
      </w:r>
      <w:r w:rsidRPr="00057615">
        <w:rPr>
          <w:lang w:val="fr-FR"/>
        </w:rPr>
        <w:t>2</w:t>
      </w:r>
      <w:r w:rsidRPr="00057615">
        <w:rPr>
          <w:lang w:val="fr-FR"/>
        </w:rPr>
        <w:tab/>
        <w:t>Le Comité rappelle que les dispositions de l</w:t>
      </w:r>
      <w:r>
        <w:rPr>
          <w:lang w:val="fr-FR"/>
        </w:rPr>
        <w:t>’</w:t>
      </w:r>
      <w:r w:rsidRPr="00057615">
        <w:rPr>
          <w:lang w:val="fr-FR"/>
        </w:rPr>
        <w:t>article</w:t>
      </w:r>
      <w:r w:rsidR="004A292B">
        <w:rPr>
          <w:lang w:val="fr-FR"/>
        </w:rPr>
        <w:t> </w:t>
      </w:r>
      <w:r w:rsidRPr="00057615">
        <w:rPr>
          <w:lang w:val="fr-FR"/>
        </w:rPr>
        <w:t>14 du Pacte</w:t>
      </w:r>
      <w:r>
        <w:rPr>
          <w:lang w:val="fr-FR"/>
        </w:rPr>
        <w:t>,</w:t>
      </w:r>
      <w:r w:rsidRPr="00057615">
        <w:rPr>
          <w:lang w:val="fr-FR"/>
        </w:rPr>
        <w:t xml:space="preserve"> de façon générale</w:t>
      </w:r>
      <w:r>
        <w:rPr>
          <w:lang w:val="fr-FR"/>
        </w:rPr>
        <w:t>,</w:t>
      </w:r>
      <w:r w:rsidRPr="00057615">
        <w:rPr>
          <w:lang w:val="fr-FR"/>
        </w:rPr>
        <w:t xml:space="preserve"> visent une saine administration de la justice</w:t>
      </w:r>
      <w:r w:rsidRPr="002973E4">
        <w:rPr>
          <w:rStyle w:val="Appelnotedebasdep"/>
        </w:rPr>
        <w:footnoteReference w:id="31"/>
      </w:r>
      <w:r w:rsidR="0076142A" w:rsidRPr="0076142A">
        <w:rPr>
          <w:lang w:val="fr-FR"/>
        </w:rPr>
        <w:t>.</w:t>
      </w:r>
      <w:r w:rsidRPr="00057615">
        <w:rPr>
          <w:lang w:val="fr-FR"/>
        </w:rPr>
        <w:t xml:space="preserve"> </w:t>
      </w:r>
      <w:r>
        <w:t>Il</w:t>
      </w:r>
      <w:r w:rsidRPr="00057615">
        <w:t xml:space="preserve"> prend note de l</w:t>
      </w:r>
      <w:r>
        <w:t>’</w:t>
      </w:r>
      <w:r w:rsidRPr="00057615">
        <w:t>allégation de l</w:t>
      </w:r>
      <w:r>
        <w:t>’</w:t>
      </w:r>
      <w:r w:rsidRPr="00057615">
        <w:t xml:space="preserve">auteur selon laquelle, par suite de dénonciations publiques contre des membres du Conseil </w:t>
      </w:r>
      <w:r>
        <w:t xml:space="preserve">national </w:t>
      </w:r>
      <w:r w:rsidRPr="00057615">
        <w:t>de l</w:t>
      </w:r>
      <w:r>
        <w:t>’</w:t>
      </w:r>
      <w:r w:rsidRPr="00057615">
        <w:t xml:space="preserve">ordre </w:t>
      </w:r>
      <w:r>
        <w:t xml:space="preserve">national </w:t>
      </w:r>
      <w:r w:rsidRPr="00057615">
        <w:t>de</w:t>
      </w:r>
      <w:r>
        <w:t>s</w:t>
      </w:r>
      <w:r w:rsidRPr="00057615">
        <w:t xml:space="preserve"> chirurgiens-dentistes, il a été rayé à vie du tableau de l</w:t>
      </w:r>
      <w:r>
        <w:t>’</w:t>
      </w:r>
      <w:r w:rsidRPr="00057615">
        <w:t>ordre</w:t>
      </w:r>
      <w:r>
        <w:t>, et</w:t>
      </w:r>
      <w:r w:rsidRPr="00057615">
        <w:t xml:space="preserve"> que les différentes audiences convoquées en vue de son jugement ont été irrégulières en raison de l</w:t>
      </w:r>
      <w:r>
        <w:t>’</w:t>
      </w:r>
      <w:r w:rsidRPr="00057615">
        <w:t>absence de publicité et de l</w:t>
      </w:r>
      <w:r>
        <w:t>’</w:t>
      </w:r>
      <w:r w:rsidRPr="00057615">
        <w:t>impossibilité pour lui de récuser des juges, en violation de l</w:t>
      </w:r>
      <w:r>
        <w:t>’</w:t>
      </w:r>
      <w:r w:rsidRPr="00057615">
        <w:t>article</w:t>
      </w:r>
      <w:r w:rsidR="004A292B">
        <w:t> </w:t>
      </w:r>
      <w:r w:rsidRPr="00057615">
        <w:t>14</w:t>
      </w:r>
      <w:r>
        <w:t xml:space="preserve"> (par</w:t>
      </w:r>
      <w:r w:rsidR="0076142A" w:rsidRPr="0076142A">
        <w:t>.</w:t>
      </w:r>
      <w:r>
        <w:t> </w:t>
      </w:r>
      <w:r w:rsidRPr="00057615">
        <w:t>1</w:t>
      </w:r>
      <w:r>
        <w:t>)</w:t>
      </w:r>
      <w:r w:rsidRPr="00057615">
        <w:t xml:space="preserve"> du Pacte</w:t>
      </w:r>
      <w:r w:rsidR="0076142A" w:rsidRPr="0076142A">
        <w:t>.</w:t>
      </w:r>
      <w:r w:rsidRPr="00057615">
        <w:t xml:space="preserve"> Le Comité prend note du fait que l</w:t>
      </w:r>
      <w:r>
        <w:t>’</w:t>
      </w:r>
      <w:r w:rsidRPr="00057615">
        <w:t>auteur conteste l</w:t>
      </w:r>
      <w:r>
        <w:t>’</w:t>
      </w:r>
      <w:r w:rsidRPr="00057615">
        <w:t>indépendance et l</w:t>
      </w:r>
      <w:r>
        <w:t>’</w:t>
      </w:r>
      <w:r w:rsidRPr="00057615">
        <w:t>impartialité des juges des</w:t>
      </w:r>
      <w:r w:rsidR="004A292B">
        <w:t xml:space="preserve"> </w:t>
      </w:r>
      <w:r w:rsidRPr="00057615">
        <w:t>juridictions ordinales à toutes les phases de la procédure</w:t>
      </w:r>
      <w:r w:rsidR="0076142A" w:rsidRPr="0076142A">
        <w:t>.</w:t>
      </w:r>
      <w:r w:rsidRPr="00057615">
        <w:t xml:space="preserve"> </w:t>
      </w:r>
      <w:r>
        <w:t>Il</w:t>
      </w:r>
      <w:r w:rsidRPr="00057615">
        <w:t xml:space="preserve"> relève que l</w:t>
      </w:r>
      <w:r>
        <w:t>’État</w:t>
      </w:r>
      <w:r w:rsidRPr="00057615">
        <w:t xml:space="preserve"> partie admet que le contentieux de ces juridictions doit remplir les exigences de l</w:t>
      </w:r>
      <w:r>
        <w:t>’</w:t>
      </w:r>
      <w:r w:rsidRPr="00057615">
        <w:t>article</w:t>
      </w:r>
      <w:r w:rsidR="004A292B">
        <w:t> </w:t>
      </w:r>
      <w:r w:rsidRPr="00057615">
        <w:t xml:space="preserve">14 </w:t>
      </w:r>
      <w:r>
        <w:t>(par</w:t>
      </w:r>
      <w:r w:rsidR="0076142A" w:rsidRPr="0076142A">
        <w:t>.</w:t>
      </w:r>
      <w:r>
        <w:t> </w:t>
      </w:r>
      <w:r w:rsidRPr="00057615">
        <w:t>1</w:t>
      </w:r>
      <w:r>
        <w:t>)</w:t>
      </w:r>
      <w:r w:rsidRPr="00057615">
        <w:t xml:space="preserve"> du Pacte</w:t>
      </w:r>
      <w:r w:rsidR="0076142A" w:rsidRPr="0076142A">
        <w:t>.</w:t>
      </w:r>
      <w:r w:rsidRPr="00057615">
        <w:t xml:space="preserve"> </w:t>
      </w:r>
    </w:p>
    <w:p w14:paraId="6148657F" w14:textId="4EEF0BD0" w:rsidR="002973E4" w:rsidRPr="00057615" w:rsidRDefault="002973E4" w:rsidP="002973E4">
      <w:pPr>
        <w:pStyle w:val="SingleTxtG"/>
        <w:rPr>
          <w:rFonts w:eastAsia="Times New Roman"/>
          <w:lang w:eastAsia="en-GB"/>
        </w:rPr>
      </w:pPr>
      <w:r>
        <w:t>9</w:t>
      </w:r>
      <w:r w:rsidR="0076142A" w:rsidRPr="0076142A">
        <w:t>.</w:t>
      </w:r>
      <w:r w:rsidRPr="00057615">
        <w:t>3</w:t>
      </w:r>
      <w:r w:rsidRPr="00057615">
        <w:tab/>
        <w:t>Le Comité note les allégations de l</w:t>
      </w:r>
      <w:r>
        <w:t>’</w:t>
      </w:r>
      <w:r w:rsidRPr="00057615">
        <w:t>auteur selon lesquelles les juridictions saisies ont failli aux exigences de l</w:t>
      </w:r>
      <w:r>
        <w:t>’</w:t>
      </w:r>
      <w:r w:rsidRPr="00057615">
        <w:t xml:space="preserve">article 14 </w:t>
      </w:r>
      <w:r>
        <w:t>(</w:t>
      </w:r>
      <w:r w:rsidRPr="00057615">
        <w:t>par</w:t>
      </w:r>
      <w:r w:rsidR="0076142A" w:rsidRPr="0076142A">
        <w:t>.</w:t>
      </w:r>
      <w:r>
        <w:t> </w:t>
      </w:r>
      <w:r w:rsidRPr="00057615">
        <w:t>1</w:t>
      </w:r>
      <w:r>
        <w:t>)</w:t>
      </w:r>
      <w:r w:rsidRPr="00057615">
        <w:t xml:space="preserve"> du Pacte</w:t>
      </w:r>
      <w:r>
        <w:t>,</w:t>
      </w:r>
      <w:r w:rsidRPr="00057615">
        <w:t xml:space="preserve"> et que l</w:t>
      </w:r>
      <w:r>
        <w:t>’</w:t>
      </w:r>
      <w:r w:rsidRPr="00057615">
        <w:t xml:space="preserve">avocat adverse est aussi celui de plusieurs conseils départementaux, dont </w:t>
      </w:r>
      <w:r>
        <w:t>celui qui est à l’origine</w:t>
      </w:r>
      <w:r w:rsidRPr="00057615">
        <w:t xml:space="preserve"> des poursuites disciplinaires contre l</w:t>
      </w:r>
      <w:r>
        <w:t>’</w:t>
      </w:r>
      <w:r w:rsidRPr="00057615">
        <w:t>auteur</w:t>
      </w:r>
      <w:r w:rsidR="0076142A" w:rsidRPr="0076142A">
        <w:t>.</w:t>
      </w:r>
      <w:r w:rsidRPr="00057615">
        <w:t xml:space="preserve"> Le Comité prend note également de l</w:t>
      </w:r>
      <w:r>
        <w:t>’</w:t>
      </w:r>
      <w:r w:rsidRPr="00057615">
        <w:t>allégation de l</w:t>
      </w:r>
      <w:r>
        <w:t>’</w:t>
      </w:r>
      <w:r w:rsidRPr="00057615">
        <w:t xml:space="preserve">auteur </w:t>
      </w:r>
      <w:r>
        <w:t>indiquant</w:t>
      </w:r>
      <w:r w:rsidRPr="00057615">
        <w:t xml:space="preserve"> que la composition du tribunal ordinal était en violation de son droit à un procès équitable, que les juges ont manqué à leur obligation d</w:t>
      </w:r>
      <w:r>
        <w:t>’</w:t>
      </w:r>
      <w:r w:rsidRPr="00057615">
        <w:t>impartialité et que les juridictions</w:t>
      </w:r>
      <w:r w:rsidR="004A292B">
        <w:t xml:space="preserve"> </w:t>
      </w:r>
      <w:r w:rsidRPr="00057615">
        <w:t>supérieures ont omis de le protéger contre de tels manquements</w:t>
      </w:r>
      <w:r w:rsidR="0076142A" w:rsidRPr="0076142A">
        <w:t>.</w:t>
      </w:r>
      <w:r w:rsidRPr="00057615">
        <w:t xml:space="preserve"> Le Comité note que l</w:t>
      </w:r>
      <w:r>
        <w:t>’</w:t>
      </w:r>
      <w:r w:rsidRPr="00057615">
        <w:t xml:space="preserve">auteur </w:t>
      </w:r>
      <w:r>
        <w:t xml:space="preserve">a </w:t>
      </w:r>
      <w:r w:rsidRPr="00057615">
        <w:t>soulign</w:t>
      </w:r>
      <w:r>
        <w:t>é</w:t>
      </w:r>
      <w:r w:rsidRPr="00057615">
        <w:t xml:space="preserve"> que les juges </w:t>
      </w:r>
      <w:r>
        <w:t>étaient</w:t>
      </w:r>
      <w:r w:rsidRPr="00057615">
        <w:t xml:space="preserve"> payés par les « plaignants » et que ses demandes de récusation n</w:t>
      </w:r>
      <w:r>
        <w:t>’avaient</w:t>
      </w:r>
      <w:r w:rsidRPr="00057615">
        <w:t xml:space="preserve"> pas été prises en compte</w:t>
      </w:r>
      <w:r w:rsidR="0076142A" w:rsidRPr="0076142A">
        <w:t>.</w:t>
      </w:r>
      <w:r w:rsidRPr="00057615">
        <w:t xml:space="preserve"> Le Comité note néanmoins que l</w:t>
      </w:r>
      <w:r>
        <w:t>’État</w:t>
      </w:r>
      <w:r w:rsidRPr="00057615">
        <w:t xml:space="preserve"> partie </w:t>
      </w:r>
      <w:r>
        <w:t>a soutenu</w:t>
      </w:r>
      <w:r w:rsidRPr="00057615">
        <w:t xml:space="preserve"> que les juges des juridictions ordinales </w:t>
      </w:r>
      <w:r>
        <w:t>avaient</w:t>
      </w:r>
      <w:r w:rsidRPr="00057615">
        <w:t xml:space="preserve"> un mandat de six ans renouvelable</w:t>
      </w:r>
      <w:r>
        <w:t xml:space="preserve"> tous les trois ans à l’époque des faits</w:t>
      </w:r>
      <w:r w:rsidRPr="00057615">
        <w:t xml:space="preserve">, </w:t>
      </w:r>
      <w:r>
        <w:t xml:space="preserve">et </w:t>
      </w:r>
      <w:r w:rsidRPr="00057615">
        <w:t>qu</w:t>
      </w:r>
      <w:r>
        <w:t>’</w:t>
      </w:r>
      <w:r w:rsidRPr="00057615">
        <w:t xml:space="preserve">ils </w:t>
      </w:r>
      <w:r>
        <w:t>n’étaient</w:t>
      </w:r>
      <w:r w:rsidRPr="00057615">
        <w:t xml:space="preserve"> pas soumis à l</w:t>
      </w:r>
      <w:r>
        <w:t>’</w:t>
      </w:r>
      <w:r w:rsidRPr="00057615">
        <w:t>autorité hiérarchique du conseil régional de l</w:t>
      </w:r>
      <w:r>
        <w:t>’</w:t>
      </w:r>
      <w:r w:rsidRPr="00057615">
        <w:t xml:space="preserve">ordre ou du </w:t>
      </w:r>
      <w:r>
        <w:t>C</w:t>
      </w:r>
      <w:r w:rsidRPr="00057615">
        <w:t>onseil national de l</w:t>
      </w:r>
      <w:r>
        <w:t>’</w:t>
      </w:r>
      <w:r w:rsidRPr="00057615">
        <w:t>ordre</w:t>
      </w:r>
      <w:r w:rsidR="0076142A" w:rsidRPr="0076142A">
        <w:t>.</w:t>
      </w:r>
      <w:r w:rsidRPr="00057615">
        <w:t xml:space="preserve"> Le Comité note également que l</w:t>
      </w:r>
      <w:r>
        <w:t>’État</w:t>
      </w:r>
      <w:r w:rsidRPr="00057615">
        <w:t xml:space="preserve"> partie </w:t>
      </w:r>
      <w:r>
        <w:t xml:space="preserve">a </w:t>
      </w:r>
      <w:r w:rsidRPr="00057615">
        <w:t>affirm</w:t>
      </w:r>
      <w:r>
        <w:t>é</w:t>
      </w:r>
      <w:r w:rsidRPr="00057615">
        <w:t xml:space="preserve"> que la chambre disciplinaire de première instance et la </w:t>
      </w:r>
      <w:r>
        <w:t>C</w:t>
      </w:r>
      <w:r w:rsidRPr="00057615">
        <w:t xml:space="preserve">hambre disciplinaire nationale </w:t>
      </w:r>
      <w:r>
        <w:t>étaient</w:t>
      </w:r>
      <w:r w:rsidRPr="00057615">
        <w:t xml:space="preserve"> présidées par des magistrats professionnels et indépendants</w:t>
      </w:r>
      <w:r>
        <w:t xml:space="preserve"> des conseils régional et national de l’ordre, qui n’intervenaient pas dans leur désignation</w:t>
      </w:r>
      <w:r w:rsidR="0076142A" w:rsidRPr="0076142A">
        <w:t>.</w:t>
      </w:r>
      <w:r w:rsidRPr="00057615">
        <w:t xml:space="preserve"> Tout en prenant acte des réserves de l</w:t>
      </w:r>
      <w:r>
        <w:t>’</w:t>
      </w:r>
      <w:r w:rsidRPr="00057615">
        <w:t xml:space="preserve">auteur sur le procès-verbal </w:t>
      </w:r>
      <w:r w:rsidRPr="004172C3">
        <w:t xml:space="preserve">concernant la séance du </w:t>
      </w:r>
      <w:r>
        <w:t>C</w:t>
      </w:r>
      <w:r w:rsidRPr="004172C3">
        <w:t>onseil national de l</w:t>
      </w:r>
      <w:r>
        <w:t>’</w:t>
      </w:r>
      <w:r w:rsidRPr="004172C3">
        <w:t xml:space="preserve">ordre des 13 et 14 avril 2007, produit devant la </w:t>
      </w:r>
      <w:r>
        <w:t>C</w:t>
      </w:r>
      <w:r w:rsidRPr="004172C3">
        <w:t xml:space="preserve">hambre </w:t>
      </w:r>
      <w:r>
        <w:t xml:space="preserve">disciplinaire </w:t>
      </w:r>
      <w:r w:rsidRPr="004172C3">
        <w:t>national</w:t>
      </w:r>
      <w:r>
        <w:t>e le</w:t>
      </w:r>
      <w:r w:rsidRPr="00057615">
        <w:t xml:space="preserve"> 7 octobre 2009, le Comité note cependant que l</w:t>
      </w:r>
      <w:r>
        <w:t>’État</w:t>
      </w:r>
      <w:r w:rsidRPr="00057615">
        <w:t xml:space="preserve"> partie fait valoir </w:t>
      </w:r>
      <w:r w:rsidRPr="004172C3">
        <w:t>qu</w:t>
      </w:r>
      <w:r>
        <w:t>’</w:t>
      </w:r>
      <w:r w:rsidRPr="004172C3">
        <w:t xml:space="preserve">il ressort de ce procès-verbal </w:t>
      </w:r>
      <w:r w:rsidRPr="00057615">
        <w:t xml:space="preserve">que, pour </w:t>
      </w:r>
      <w:r w:rsidRPr="00057615">
        <w:lastRenderedPageBreak/>
        <w:t>sauvegarder l</w:t>
      </w:r>
      <w:r>
        <w:t>’</w:t>
      </w:r>
      <w:r w:rsidRPr="00057615">
        <w:t>indépendance de la juridiction ordinale, lors</w:t>
      </w:r>
      <w:r w:rsidRPr="00057615">
        <w:rPr>
          <w:rFonts w:eastAsia="Times New Roman"/>
          <w:lang w:eastAsia="en-GB"/>
        </w:rPr>
        <w:t xml:space="preserve"> de la séance du </w:t>
      </w:r>
      <w:r>
        <w:rPr>
          <w:rFonts w:eastAsia="Times New Roman"/>
          <w:lang w:eastAsia="en-GB"/>
        </w:rPr>
        <w:t>C</w:t>
      </w:r>
      <w:r w:rsidRPr="00057615">
        <w:rPr>
          <w:rFonts w:eastAsia="Times New Roman"/>
          <w:lang w:eastAsia="en-GB"/>
        </w:rPr>
        <w:t>onseil national de l</w:t>
      </w:r>
      <w:r>
        <w:rPr>
          <w:rFonts w:eastAsia="Times New Roman"/>
          <w:lang w:eastAsia="en-GB"/>
        </w:rPr>
        <w:t>’</w:t>
      </w:r>
      <w:r w:rsidRPr="00057615">
        <w:rPr>
          <w:rFonts w:eastAsia="Times New Roman"/>
          <w:lang w:eastAsia="en-GB"/>
        </w:rPr>
        <w:t>ordre des 13 et 14</w:t>
      </w:r>
      <w:r w:rsidR="0076142A">
        <w:rPr>
          <w:rFonts w:eastAsia="Times New Roman"/>
          <w:lang w:eastAsia="en-GB"/>
        </w:rPr>
        <w:t> </w:t>
      </w:r>
      <w:r w:rsidRPr="00057615">
        <w:rPr>
          <w:rFonts w:eastAsia="Times New Roman"/>
          <w:lang w:eastAsia="en-GB"/>
        </w:rPr>
        <w:t xml:space="preserve">avril 2007, les membres qui </w:t>
      </w:r>
      <w:r>
        <w:rPr>
          <w:rFonts w:eastAsia="Times New Roman"/>
          <w:lang w:eastAsia="en-GB"/>
        </w:rPr>
        <w:t>avaient</w:t>
      </w:r>
      <w:r w:rsidRPr="00057615">
        <w:rPr>
          <w:rFonts w:eastAsia="Times New Roman"/>
          <w:lang w:eastAsia="en-GB"/>
        </w:rPr>
        <w:t xml:space="preserve"> participé à la décision sur la plainte contre l</w:t>
      </w:r>
      <w:r>
        <w:rPr>
          <w:rFonts w:eastAsia="Times New Roman"/>
          <w:lang w:eastAsia="en-GB"/>
        </w:rPr>
        <w:t>’</w:t>
      </w:r>
      <w:r w:rsidRPr="00057615">
        <w:rPr>
          <w:rFonts w:eastAsia="Times New Roman"/>
          <w:lang w:eastAsia="en-GB"/>
        </w:rPr>
        <w:t>auteur s</w:t>
      </w:r>
      <w:r>
        <w:rPr>
          <w:rFonts w:eastAsia="Times New Roman"/>
          <w:lang w:eastAsia="en-GB"/>
        </w:rPr>
        <w:t>’</w:t>
      </w:r>
      <w:r w:rsidRPr="00057615">
        <w:rPr>
          <w:rFonts w:eastAsia="Times New Roman"/>
          <w:lang w:eastAsia="en-GB"/>
        </w:rPr>
        <w:t>étaient retirés ; de même</w:t>
      </w:r>
      <w:r>
        <w:rPr>
          <w:rFonts w:eastAsia="Times New Roman"/>
          <w:lang w:eastAsia="en-GB"/>
        </w:rPr>
        <w:t>,</w:t>
      </w:r>
      <w:r w:rsidRPr="00057615">
        <w:rPr>
          <w:rFonts w:eastAsia="Times New Roman"/>
          <w:lang w:eastAsia="en-GB"/>
        </w:rPr>
        <w:t xml:space="preserve"> les </w:t>
      </w:r>
      <w:r>
        <w:rPr>
          <w:rFonts w:eastAsia="Times New Roman"/>
          <w:lang w:eastAsia="en-GB"/>
        </w:rPr>
        <w:t>P</w:t>
      </w:r>
      <w:r w:rsidRPr="00057615">
        <w:rPr>
          <w:rFonts w:eastAsia="Times New Roman"/>
          <w:lang w:eastAsia="en-GB"/>
        </w:rPr>
        <w:t xml:space="preserve">résident et assesseurs de la </w:t>
      </w:r>
      <w:r>
        <w:rPr>
          <w:rFonts w:eastAsia="Times New Roman"/>
          <w:lang w:eastAsia="en-GB"/>
        </w:rPr>
        <w:t>C</w:t>
      </w:r>
      <w:r w:rsidRPr="00057615">
        <w:rPr>
          <w:rFonts w:eastAsia="Times New Roman"/>
          <w:lang w:eastAsia="en-GB"/>
        </w:rPr>
        <w:t>hambre</w:t>
      </w:r>
      <w:r w:rsidRPr="00CF300B">
        <w:t xml:space="preserve"> </w:t>
      </w:r>
      <w:r w:rsidRPr="00057615">
        <w:t>disciplinaire</w:t>
      </w:r>
      <w:r w:rsidRPr="00057615">
        <w:rPr>
          <w:rFonts w:eastAsia="Times New Roman"/>
          <w:lang w:eastAsia="en-GB"/>
        </w:rPr>
        <w:t xml:space="preserve"> nationale </w:t>
      </w:r>
      <w:r>
        <w:rPr>
          <w:rFonts w:eastAsia="Times New Roman"/>
          <w:lang w:eastAsia="en-GB"/>
        </w:rPr>
        <w:t>avaient</w:t>
      </w:r>
      <w:r w:rsidRPr="00057615">
        <w:rPr>
          <w:rFonts w:eastAsia="Times New Roman"/>
          <w:lang w:eastAsia="en-GB"/>
        </w:rPr>
        <w:t xml:space="preserve"> quitté la séance au moment de l</w:t>
      </w:r>
      <w:r>
        <w:rPr>
          <w:rFonts w:eastAsia="Times New Roman"/>
          <w:lang w:eastAsia="en-GB"/>
        </w:rPr>
        <w:t>’</w:t>
      </w:r>
      <w:r w:rsidRPr="00057615">
        <w:rPr>
          <w:rFonts w:eastAsia="Times New Roman"/>
          <w:lang w:eastAsia="en-GB"/>
        </w:rPr>
        <w:t>examen de la proposition d</w:t>
      </w:r>
      <w:r>
        <w:rPr>
          <w:rFonts w:eastAsia="Times New Roman"/>
          <w:lang w:eastAsia="en-GB"/>
        </w:rPr>
        <w:t>’</w:t>
      </w:r>
      <w:r w:rsidRPr="00057615">
        <w:rPr>
          <w:rFonts w:eastAsia="Times New Roman"/>
          <w:lang w:eastAsia="en-GB"/>
        </w:rPr>
        <w:t>introduction de la plainte</w:t>
      </w:r>
      <w:r w:rsidR="0076142A" w:rsidRPr="0076142A">
        <w:rPr>
          <w:rFonts w:eastAsia="Times New Roman"/>
          <w:lang w:eastAsia="en-GB"/>
        </w:rPr>
        <w:t>.</w:t>
      </w:r>
      <w:r w:rsidRPr="00057615">
        <w:rPr>
          <w:rFonts w:eastAsia="Times New Roman"/>
          <w:lang w:eastAsia="en-GB"/>
        </w:rPr>
        <w:t xml:space="preserve"> Ces faits ont été examinés par les juridictions ordinales et il ne revient pas au </w:t>
      </w:r>
      <w:r>
        <w:rPr>
          <w:rFonts w:eastAsia="Times New Roman"/>
          <w:lang w:eastAsia="en-GB"/>
        </w:rPr>
        <w:t>C</w:t>
      </w:r>
      <w:r w:rsidRPr="00057615">
        <w:rPr>
          <w:rFonts w:eastAsia="Times New Roman"/>
          <w:lang w:eastAsia="en-GB"/>
        </w:rPr>
        <w:t>omité de les réexaminer, sauf en cas de déni de justice ou d</w:t>
      </w:r>
      <w:r>
        <w:rPr>
          <w:rFonts w:eastAsia="Times New Roman"/>
          <w:lang w:eastAsia="en-GB"/>
        </w:rPr>
        <w:t>’</w:t>
      </w:r>
      <w:r w:rsidRPr="00057615">
        <w:rPr>
          <w:rFonts w:eastAsia="Times New Roman"/>
          <w:lang w:eastAsia="en-GB"/>
        </w:rPr>
        <w:t>erreur manifeste d</w:t>
      </w:r>
      <w:r>
        <w:rPr>
          <w:rFonts w:eastAsia="Times New Roman"/>
          <w:lang w:eastAsia="en-GB"/>
        </w:rPr>
        <w:t>’</w:t>
      </w:r>
      <w:r w:rsidRPr="00057615">
        <w:rPr>
          <w:rFonts w:eastAsia="Times New Roman"/>
          <w:lang w:eastAsia="en-GB"/>
        </w:rPr>
        <w:t>appréciation</w:t>
      </w:r>
      <w:r w:rsidR="0076142A" w:rsidRPr="0076142A">
        <w:rPr>
          <w:rFonts w:eastAsia="Times New Roman"/>
          <w:lang w:eastAsia="en-GB"/>
        </w:rPr>
        <w:t>.</w:t>
      </w:r>
      <w:r w:rsidRPr="00057615">
        <w:rPr>
          <w:rFonts w:eastAsia="Times New Roman"/>
          <w:lang w:eastAsia="en-GB"/>
        </w:rPr>
        <w:t xml:space="preserve"> </w:t>
      </w:r>
      <w:r w:rsidRPr="0035503F">
        <w:rPr>
          <w:rFonts w:eastAsia="Times New Roman"/>
          <w:lang w:eastAsia="en-GB"/>
        </w:rPr>
        <w:t>Le Comité relève que les décisions des juridictions ordinales ont été revues par le Conseil d</w:t>
      </w:r>
      <w:r>
        <w:rPr>
          <w:rFonts w:eastAsia="Times New Roman"/>
          <w:lang w:eastAsia="en-GB"/>
        </w:rPr>
        <w:t>’État</w:t>
      </w:r>
      <w:r w:rsidRPr="0035503F">
        <w:rPr>
          <w:rFonts w:eastAsia="Times New Roman"/>
          <w:lang w:eastAsia="en-GB"/>
        </w:rPr>
        <w:t xml:space="preserve"> qui, saisi une seconde fois en cassation, a rejeté le pourvoi de l</w:t>
      </w:r>
      <w:r>
        <w:rPr>
          <w:rFonts w:eastAsia="Times New Roman"/>
          <w:lang w:eastAsia="en-GB"/>
        </w:rPr>
        <w:t>’</w:t>
      </w:r>
      <w:r w:rsidRPr="0035503F">
        <w:rPr>
          <w:rFonts w:eastAsia="Times New Roman"/>
          <w:lang w:eastAsia="en-GB"/>
        </w:rPr>
        <w:t>auteur</w:t>
      </w:r>
      <w:r>
        <w:rPr>
          <w:rFonts w:eastAsia="Times New Roman"/>
          <w:lang w:eastAsia="en-GB"/>
        </w:rPr>
        <w:t xml:space="preserve"> le 4 avril 2012</w:t>
      </w:r>
      <w:r w:rsidR="0076142A" w:rsidRPr="0076142A">
        <w:rPr>
          <w:rFonts w:eastAsia="Times New Roman"/>
          <w:lang w:eastAsia="en-GB"/>
        </w:rPr>
        <w:t>.</w:t>
      </w:r>
      <w:r w:rsidRPr="0035503F">
        <w:rPr>
          <w:rFonts w:eastAsia="Times New Roman"/>
          <w:lang w:eastAsia="en-GB"/>
        </w:rPr>
        <w:t xml:space="preserve"> </w:t>
      </w:r>
      <w:r>
        <w:rPr>
          <w:rFonts w:eastAsia="Times New Roman"/>
          <w:lang w:eastAsia="en-GB"/>
        </w:rPr>
        <w:t xml:space="preserve">De plus, </w:t>
      </w:r>
      <w:r w:rsidRPr="0035503F">
        <w:rPr>
          <w:rFonts w:eastAsia="Times New Roman"/>
          <w:lang w:eastAsia="en-GB"/>
        </w:rPr>
        <w:t xml:space="preserve">outre les reproches </w:t>
      </w:r>
      <w:r>
        <w:rPr>
          <w:rFonts w:eastAsia="Times New Roman"/>
          <w:lang w:eastAsia="en-GB"/>
        </w:rPr>
        <w:t>relatifs</w:t>
      </w:r>
      <w:r w:rsidRPr="0035503F">
        <w:rPr>
          <w:rFonts w:eastAsia="Times New Roman"/>
          <w:lang w:eastAsia="en-GB"/>
        </w:rPr>
        <w:t xml:space="preserve"> au défaut de motivation de la décision de la haute juridiction administrative, l</w:t>
      </w:r>
      <w:r>
        <w:rPr>
          <w:rFonts w:eastAsia="Times New Roman"/>
          <w:lang w:eastAsia="en-GB"/>
        </w:rPr>
        <w:t>’</w:t>
      </w:r>
      <w:r w:rsidRPr="0035503F">
        <w:rPr>
          <w:rFonts w:eastAsia="Times New Roman"/>
          <w:lang w:eastAsia="en-GB"/>
        </w:rPr>
        <w:t>auteur n</w:t>
      </w:r>
      <w:r>
        <w:rPr>
          <w:rFonts w:eastAsia="Times New Roman"/>
          <w:lang w:eastAsia="en-GB"/>
        </w:rPr>
        <w:t>’</w:t>
      </w:r>
      <w:r w:rsidRPr="0035503F">
        <w:rPr>
          <w:rFonts w:eastAsia="Times New Roman"/>
          <w:lang w:eastAsia="en-GB"/>
        </w:rPr>
        <w:t>a pas démontré le caractère arbitraire de ladite décision</w:t>
      </w:r>
      <w:r w:rsidR="0076142A" w:rsidRPr="0076142A">
        <w:rPr>
          <w:rFonts w:eastAsia="Times New Roman"/>
          <w:lang w:eastAsia="en-GB"/>
        </w:rPr>
        <w:t>.</w:t>
      </w:r>
      <w:r w:rsidRPr="0035503F">
        <w:rPr>
          <w:rFonts w:eastAsia="Times New Roman"/>
          <w:lang w:eastAsia="en-GB"/>
        </w:rPr>
        <w:t xml:space="preserve"> </w:t>
      </w:r>
    </w:p>
    <w:p w14:paraId="316A92D4" w14:textId="538F501C" w:rsidR="002973E4" w:rsidRDefault="002973E4" w:rsidP="002973E4">
      <w:pPr>
        <w:pStyle w:val="SingleTxtG"/>
        <w:rPr>
          <w:lang w:eastAsia="en-GB"/>
        </w:rPr>
      </w:pPr>
      <w:r>
        <w:rPr>
          <w:lang w:eastAsia="en-GB"/>
        </w:rPr>
        <w:t>9</w:t>
      </w:r>
      <w:r w:rsidR="0076142A" w:rsidRPr="0076142A">
        <w:rPr>
          <w:lang w:eastAsia="en-GB"/>
        </w:rPr>
        <w:t>.</w:t>
      </w:r>
      <w:r>
        <w:rPr>
          <w:lang w:eastAsia="en-GB"/>
        </w:rPr>
        <w:t>4</w:t>
      </w:r>
      <w:r>
        <w:rPr>
          <w:lang w:eastAsia="en-GB"/>
        </w:rPr>
        <w:tab/>
        <w:t xml:space="preserve">Le Comité observe que la reconnaissance par l’État partie du fait que </w:t>
      </w:r>
      <w:r w:rsidRPr="00A85441">
        <w:rPr>
          <w:lang w:eastAsia="en-GB"/>
        </w:rPr>
        <w:t xml:space="preserve">le contentieux </w:t>
      </w:r>
      <w:r>
        <w:rPr>
          <w:lang w:eastAsia="en-GB"/>
        </w:rPr>
        <w:t xml:space="preserve">des juridictions ordinales doit </w:t>
      </w:r>
      <w:r w:rsidRPr="00A85441">
        <w:rPr>
          <w:lang w:eastAsia="en-GB"/>
        </w:rPr>
        <w:t>remplir les exigences de l</w:t>
      </w:r>
      <w:r>
        <w:rPr>
          <w:lang w:eastAsia="en-GB"/>
        </w:rPr>
        <w:t>’</w:t>
      </w:r>
      <w:r w:rsidRPr="00A85441">
        <w:rPr>
          <w:lang w:eastAsia="en-GB"/>
        </w:rPr>
        <w:t xml:space="preserve">article 14 </w:t>
      </w:r>
      <w:r>
        <w:rPr>
          <w:lang w:eastAsia="en-GB"/>
        </w:rPr>
        <w:t>(par</w:t>
      </w:r>
      <w:r w:rsidR="0076142A" w:rsidRPr="0076142A">
        <w:rPr>
          <w:lang w:eastAsia="en-GB"/>
        </w:rPr>
        <w:t>.</w:t>
      </w:r>
      <w:r>
        <w:rPr>
          <w:lang w:eastAsia="en-GB"/>
        </w:rPr>
        <w:t> </w:t>
      </w:r>
      <w:r w:rsidRPr="00A85441">
        <w:rPr>
          <w:lang w:eastAsia="en-GB"/>
        </w:rPr>
        <w:t>1</w:t>
      </w:r>
      <w:r>
        <w:rPr>
          <w:lang w:eastAsia="en-GB"/>
        </w:rPr>
        <w:t>)</w:t>
      </w:r>
      <w:r w:rsidRPr="00A85441">
        <w:rPr>
          <w:lang w:eastAsia="en-GB"/>
        </w:rPr>
        <w:t xml:space="preserve"> du Pacte </w:t>
      </w:r>
      <w:r>
        <w:rPr>
          <w:lang w:eastAsia="en-GB"/>
        </w:rPr>
        <w:t>suppose qu’elles doivent être i</w:t>
      </w:r>
      <w:r w:rsidRPr="00A85441">
        <w:rPr>
          <w:lang w:eastAsia="en-GB"/>
        </w:rPr>
        <w:t>ndépendan</w:t>
      </w:r>
      <w:r>
        <w:rPr>
          <w:lang w:eastAsia="en-GB"/>
        </w:rPr>
        <w:t>tes et impartiales</w:t>
      </w:r>
      <w:r w:rsidR="0076142A" w:rsidRPr="0076142A">
        <w:rPr>
          <w:lang w:eastAsia="en-GB"/>
        </w:rPr>
        <w:t>.</w:t>
      </w:r>
      <w:r w:rsidRPr="0035503F">
        <w:rPr>
          <w:lang w:eastAsia="en-GB"/>
        </w:rPr>
        <w:t xml:space="preserve"> </w:t>
      </w:r>
      <w:r>
        <w:rPr>
          <w:lang w:eastAsia="en-GB"/>
        </w:rPr>
        <w:t>Il</w:t>
      </w:r>
      <w:r w:rsidRPr="0035503F">
        <w:rPr>
          <w:lang w:eastAsia="en-GB"/>
        </w:rPr>
        <w:t xml:space="preserve"> relève que l</w:t>
      </w:r>
      <w:r>
        <w:rPr>
          <w:lang w:eastAsia="en-GB"/>
        </w:rPr>
        <w:t>’</w:t>
      </w:r>
      <w:r w:rsidRPr="0035503F">
        <w:rPr>
          <w:lang w:eastAsia="en-GB"/>
        </w:rPr>
        <w:t>auteur n</w:t>
      </w:r>
      <w:r>
        <w:rPr>
          <w:lang w:eastAsia="en-GB"/>
        </w:rPr>
        <w:t>’</w:t>
      </w:r>
      <w:r w:rsidRPr="0035503F">
        <w:rPr>
          <w:lang w:eastAsia="en-GB"/>
        </w:rPr>
        <w:t xml:space="preserve">a pas suffisamment démontré en quoi la décision de radiation à son </w:t>
      </w:r>
      <w:r>
        <w:rPr>
          <w:lang w:eastAsia="en-GB"/>
        </w:rPr>
        <w:t>égard</w:t>
      </w:r>
      <w:r w:rsidRPr="0035503F">
        <w:rPr>
          <w:lang w:eastAsia="en-GB"/>
        </w:rPr>
        <w:t xml:space="preserve"> n</w:t>
      </w:r>
      <w:r>
        <w:rPr>
          <w:lang w:eastAsia="en-GB"/>
        </w:rPr>
        <w:t>’</w:t>
      </w:r>
      <w:r w:rsidRPr="0035503F">
        <w:rPr>
          <w:lang w:eastAsia="en-GB"/>
        </w:rPr>
        <w:t xml:space="preserve">a pas été proportionnelle aux faits qui lui </w:t>
      </w:r>
      <w:r>
        <w:rPr>
          <w:lang w:eastAsia="en-GB"/>
        </w:rPr>
        <w:t>étaient</w:t>
      </w:r>
      <w:r w:rsidRPr="0035503F">
        <w:rPr>
          <w:lang w:eastAsia="en-GB"/>
        </w:rPr>
        <w:t xml:space="preserve"> reprochés</w:t>
      </w:r>
      <w:r w:rsidR="0076142A" w:rsidRPr="0076142A">
        <w:rPr>
          <w:lang w:eastAsia="en-GB"/>
        </w:rPr>
        <w:t>.</w:t>
      </w:r>
      <w:r>
        <w:rPr>
          <w:lang w:eastAsia="en-GB"/>
        </w:rPr>
        <w:t xml:space="preserve"> </w:t>
      </w:r>
      <w:r>
        <w:rPr>
          <w:lang w:val="fr-FR" w:eastAsia="en-GB"/>
        </w:rPr>
        <w:t xml:space="preserve">Le Comité </w:t>
      </w:r>
      <w:r w:rsidRPr="00CE19C0">
        <w:rPr>
          <w:lang w:val="fr-FR" w:eastAsia="en-GB"/>
        </w:rPr>
        <w:t>rappelle que les garanties d</w:t>
      </w:r>
      <w:r>
        <w:rPr>
          <w:lang w:val="fr-FR" w:eastAsia="en-GB"/>
        </w:rPr>
        <w:t>’</w:t>
      </w:r>
      <w:r w:rsidRPr="00CE19C0">
        <w:rPr>
          <w:lang w:val="fr-FR" w:eastAsia="en-GB"/>
        </w:rPr>
        <w:t xml:space="preserve">indépendance renvoient à la procédure de nomination des juges, </w:t>
      </w:r>
      <w:r>
        <w:rPr>
          <w:lang w:val="fr-FR" w:eastAsia="en-GB"/>
        </w:rPr>
        <w:t xml:space="preserve">à </w:t>
      </w:r>
      <w:r w:rsidRPr="00CE19C0">
        <w:rPr>
          <w:lang w:val="fr-FR" w:eastAsia="en-GB"/>
        </w:rPr>
        <w:t xml:space="preserve">leurs qualifications, </w:t>
      </w:r>
      <w:r>
        <w:rPr>
          <w:lang w:val="fr-FR" w:eastAsia="en-GB"/>
        </w:rPr>
        <w:t xml:space="preserve">à </w:t>
      </w:r>
      <w:r w:rsidRPr="00CE19C0">
        <w:rPr>
          <w:lang w:val="fr-FR" w:eastAsia="en-GB"/>
        </w:rPr>
        <w:t xml:space="preserve">leur inamovibilité, </w:t>
      </w:r>
      <w:r>
        <w:rPr>
          <w:lang w:val="fr-FR" w:eastAsia="en-GB"/>
        </w:rPr>
        <w:t xml:space="preserve">à </w:t>
      </w:r>
      <w:r w:rsidRPr="00CE19C0">
        <w:rPr>
          <w:lang w:val="fr-FR" w:eastAsia="en-GB"/>
        </w:rPr>
        <w:t>leurs conditions d</w:t>
      </w:r>
      <w:r>
        <w:rPr>
          <w:lang w:val="fr-FR" w:eastAsia="en-GB"/>
        </w:rPr>
        <w:t>’</w:t>
      </w:r>
      <w:r w:rsidRPr="00CE19C0">
        <w:rPr>
          <w:lang w:val="fr-FR" w:eastAsia="en-GB"/>
        </w:rPr>
        <w:t>avancement, de mutation, de suspension</w:t>
      </w:r>
      <w:r>
        <w:rPr>
          <w:lang w:val="fr-FR" w:eastAsia="en-GB"/>
        </w:rPr>
        <w:t xml:space="preserve"> et</w:t>
      </w:r>
      <w:r w:rsidRPr="00CE19C0">
        <w:rPr>
          <w:lang w:val="fr-FR" w:eastAsia="en-GB"/>
        </w:rPr>
        <w:t xml:space="preserve"> de cessation de leurs fonctions</w:t>
      </w:r>
      <w:r>
        <w:rPr>
          <w:lang w:val="fr-FR" w:eastAsia="en-GB"/>
        </w:rPr>
        <w:t>,</w:t>
      </w:r>
      <w:r w:rsidRPr="00CE19C0">
        <w:rPr>
          <w:lang w:val="fr-FR" w:eastAsia="en-GB"/>
        </w:rPr>
        <w:t xml:space="preserve"> ainsi </w:t>
      </w:r>
      <w:r>
        <w:rPr>
          <w:lang w:val="fr-FR" w:eastAsia="en-GB"/>
        </w:rPr>
        <w:t>qu’à</w:t>
      </w:r>
      <w:r w:rsidRPr="00CE19C0">
        <w:rPr>
          <w:lang w:val="fr-FR" w:eastAsia="en-GB"/>
        </w:rPr>
        <w:t xml:space="preserve"> l</w:t>
      </w:r>
      <w:r>
        <w:rPr>
          <w:lang w:val="fr-FR" w:eastAsia="en-GB"/>
        </w:rPr>
        <w:t>’</w:t>
      </w:r>
      <w:r w:rsidRPr="00CE19C0">
        <w:rPr>
          <w:lang w:val="fr-FR" w:eastAsia="en-GB"/>
        </w:rPr>
        <w:t>indépendance effective des juridictions de toute intervention politique de l</w:t>
      </w:r>
      <w:r>
        <w:rPr>
          <w:lang w:val="fr-FR" w:eastAsia="en-GB"/>
        </w:rPr>
        <w:t>’</w:t>
      </w:r>
      <w:r w:rsidRPr="00CE19C0">
        <w:rPr>
          <w:lang w:val="fr-FR" w:eastAsia="en-GB"/>
        </w:rPr>
        <w:t>exécutif et du législatif</w:t>
      </w:r>
      <w:r w:rsidRPr="002973E4">
        <w:rPr>
          <w:rStyle w:val="Appelnotedebasdep"/>
        </w:rPr>
        <w:footnoteReference w:id="32"/>
      </w:r>
      <w:r>
        <w:rPr>
          <w:lang w:eastAsia="en-GB"/>
        </w:rPr>
        <w:t>,</w:t>
      </w:r>
      <w:r w:rsidRPr="00CE19C0">
        <w:rPr>
          <w:lang w:eastAsia="en-GB"/>
        </w:rPr>
        <w:t xml:space="preserve"> tandis que les garanties d</w:t>
      </w:r>
      <w:r>
        <w:rPr>
          <w:lang w:eastAsia="en-GB"/>
        </w:rPr>
        <w:t>’</w:t>
      </w:r>
      <w:r w:rsidRPr="00CE19C0">
        <w:rPr>
          <w:lang w:eastAsia="en-GB"/>
        </w:rPr>
        <w:t>impartialité renvoient d</w:t>
      </w:r>
      <w:r>
        <w:rPr>
          <w:lang w:eastAsia="en-GB"/>
        </w:rPr>
        <w:t>’</w:t>
      </w:r>
      <w:r w:rsidRPr="00CE19C0">
        <w:rPr>
          <w:lang w:eastAsia="en-GB"/>
        </w:rPr>
        <w:t>une part à la protection contre des partis pris</w:t>
      </w:r>
      <w:r>
        <w:rPr>
          <w:lang w:eastAsia="en-GB"/>
        </w:rPr>
        <w:t>,</w:t>
      </w:r>
      <w:r w:rsidRPr="00CE19C0">
        <w:rPr>
          <w:lang w:eastAsia="en-GB"/>
        </w:rPr>
        <w:t xml:space="preserve"> des préjugés personnels</w:t>
      </w:r>
      <w:r>
        <w:rPr>
          <w:lang w:eastAsia="en-GB"/>
        </w:rPr>
        <w:t xml:space="preserve"> ou tout</w:t>
      </w:r>
      <w:r w:rsidRPr="00CE19C0">
        <w:rPr>
          <w:lang w:eastAsia="en-GB"/>
        </w:rPr>
        <w:t xml:space="preserve"> favoritisme et</w:t>
      </w:r>
      <w:r>
        <w:rPr>
          <w:lang w:eastAsia="en-GB"/>
        </w:rPr>
        <w:t>,</w:t>
      </w:r>
      <w:r w:rsidRPr="00CE19C0">
        <w:rPr>
          <w:lang w:eastAsia="en-GB"/>
        </w:rPr>
        <w:t xml:space="preserve"> d</w:t>
      </w:r>
      <w:r>
        <w:rPr>
          <w:lang w:eastAsia="en-GB"/>
        </w:rPr>
        <w:t>’</w:t>
      </w:r>
      <w:r w:rsidRPr="00CE19C0">
        <w:rPr>
          <w:lang w:eastAsia="en-GB"/>
        </w:rPr>
        <w:t>autre part, à l</w:t>
      </w:r>
      <w:r>
        <w:rPr>
          <w:lang w:eastAsia="en-GB"/>
        </w:rPr>
        <w:t>’</w:t>
      </w:r>
      <w:r w:rsidRPr="00CE19C0">
        <w:rPr>
          <w:lang w:eastAsia="en-GB"/>
        </w:rPr>
        <w:t>assurance d</w:t>
      </w:r>
      <w:r>
        <w:rPr>
          <w:lang w:eastAsia="en-GB"/>
        </w:rPr>
        <w:t>’</w:t>
      </w:r>
      <w:r w:rsidRPr="00CE19C0">
        <w:rPr>
          <w:lang w:eastAsia="en-GB"/>
        </w:rPr>
        <w:t xml:space="preserve">une </w:t>
      </w:r>
      <w:r w:rsidRPr="00057615">
        <w:rPr>
          <w:color w:val="000000" w:themeColor="text1"/>
          <w:lang w:eastAsia="en-GB"/>
        </w:rPr>
        <w:t>impression d</w:t>
      </w:r>
      <w:r>
        <w:rPr>
          <w:color w:val="000000" w:themeColor="text1"/>
          <w:lang w:eastAsia="en-GB"/>
        </w:rPr>
        <w:t>’</w:t>
      </w:r>
      <w:r w:rsidRPr="00057615">
        <w:rPr>
          <w:color w:val="000000" w:themeColor="text1"/>
          <w:lang w:eastAsia="en-GB"/>
        </w:rPr>
        <w:t xml:space="preserve">impartialité </w:t>
      </w:r>
      <w:r>
        <w:rPr>
          <w:color w:val="000000" w:themeColor="text1"/>
          <w:lang w:eastAsia="en-GB"/>
        </w:rPr>
        <w:t xml:space="preserve">donnée </w:t>
      </w:r>
      <w:r w:rsidRPr="00057615">
        <w:rPr>
          <w:color w:val="000000" w:themeColor="text1"/>
          <w:lang w:eastAsia="en-GB"/>
        </w:rPr>
        <w:t>à un observateur raisonnable</w:t>
      </w:r>
      <w:r w:rsidRPr="002973E4">
        <w:rPr>
          <w:rStyle w:val="Appelnotedebasdep"/>
        </w:rPr>
        <w:footnoteReference w:id="33"/>
      </w:r>
      <w:r w:rsidR="0076142A" w:rsidRPr="0076142A">
        <w:rPr>
          <w:color w:val="000000" w:themeColor="text1"/>
          <w:lang w:eastAsia="en-GB"/>
        </w:rPr>
        <w:t>.</w:t>
      </w:r>
      <w:r w:rsidRPr="00057615">
        <w:rPr>
          <w:color w:val="000000" w:themeColor="text1"/>
          <w:lang w:eastAsia="en-GB"/>
        </w:rPr>
        <w:t xml:space="preserve"> Le Comité relève qu</w:t>
      </w:r>
      <w:r>
        <w:rPr>
          <w:color w:val="000000" w:themeColor="text1"/>
          <w:lang w:eastAsia="en-GB"/>
        </w:rPr>
        <w:t>’</w:t>
      </w:r>
      <w:r w:rsidRPr="00057615">
        <w:rPr>
          <w:color w:val="000000" w:themeColor="text1"/>
          <w:lang w:eastAsia="en-GB"/>
        </w:rPr>
        <w:t>il n</w:t>
      </w:r>
      <w:r>
        <w:rPr>
          <w:color w:val="000000" w:themeColor="text1"/>
          <w:lang w:eastAsia="en-GB"/>
        </w:rPr>
        <w:t>’</w:t>
      </w:r>
      <w:r w:rsidRPr="00057615">
        <w:rPr>
          <w:color w:val="000000" w:themeColor="text1"/>
          <w:lang w:eastAsia="en-GB"/>
        </w:rPr>
        <w:t>a pas été démontré une quelconque ingérence des pouvoirs publics dans l</w:t>
      </w:r>
      <w:r>
        <w:rPr>
          <w:color w:val="000000" w:themeColor="text1"/>
          <w:lang w:eastAsia="en-GB"/>
        </w:rPr>
        <w:t>’</w:t>
      </w:r>
      <w:r w:rsidRPr="00057615">
        <w:rPr>
          <w:color w:val="000000" w:themeColor="text1"/>
          <w:lang w:eastAsia="en-GB"/>
        </w:rPr>
        <w:t xml:space="preserve">instance, </w:t>
      </w:r>
      <w:r>
        <w:rPr>
          <w:color w:val="000000" w:themeColor="text1"/>
          <w:lang w:eastAsia="en-GB"/>
        </w:rPr>
        <w:t xml:space="preserve">même si </w:t>
      </w:r>
      <w:r w:rsidRPr="00057615">
        <w:rPr>
          <w:color w:val="000000" w:themeColor="text1"/>
          <w:lang w:eastAsia="en-GB"/>
        </w:rPr>
        <w:t>à l</w:t>
      </w:r>
      <w:r>
        <w:rPr>
          <w:color w:val="000000" w:themeColor="text1"/>
          <w:lang w:eastAsia="en-GB"/>
        </w:rPr>
        <w:t>’</w:t>
      </w:r>
      <w:r w:rsidRPr="00057615">
        <w:rPr>
          <w:color w:val="000000" w:themeColor="text1"/>
          <w:lang w:eastAsia="en-GB"/>
        </w:rPr>
        <w:t>époque des faits</w:t>
      </w:r>
      <w:r>
        <w:rPr>
          <w:color w:val="000000" w:themeColor="text1"/>
          <w:lang w:eastAsia="en-GB"/>
        </w:rPr>
        <w:t>,</w:t>
      </w:r>
      <w:r w:rsidRPr="00057615">
        <w:rPr>
          <w:color w:val="000000" w:themeColor="text1"/>
          <w:lang w:eastAsia="en-GB"/>
        </w:rPr>
        <w:t xml:space="preserve"> les juges des juridictions ordinales étaient élus</w:t>
      </w:r>
      <w:r w:rsidR="0076142A" w:rsidRPr="0076142A">
        <w:rPr>
          <w:color w:val="000000" w:themeColor="text1"/>
          <w:lang w:eastAsia="en-GB"/>
        </w:rPr>
        <w:t>.</w:t>
      </w:r>
      <w:r w:rsidRPr="00057615">
        <w:rPr>
          <w:color w:val="000000" w:themeColor="text1"/>
          <w:lang w:eastAsia="en-GB"/>
        </w:rPr>
        <w:t xml:space="preserve"> </w:t>
      </w:r>
      <w:r>
        <w:rPr>
          <w:color w:val="000000" w:themeColor="text1"/>
          <w:lang w:eastAsia="en-GB"/>
        </w:rPr>
        <w:t>Il</w:t>
      </w:r>
      <w:r w:rsidRPr="00057615">
        <w:rPr>
          <w:color w:val="000000" w:themeColor="text1"/>
          <w:lang w:eastAsia="en-GB"/>
        </w:rPr>
        <w:t xml:space="preserve"> relève </w:t>
      </w:r>
      <w:r>
        <w:rPr>
          <w:color w:val="000000" w:themeColor="text1"/>
          <w:lang w:eastAsia="en-GB"/>
        </w:rPr>
        <w:t xml:space="preserve">également </w:t>
      </w:r>
      <w:r w:rsidRPr="00057615">
        <w:rPr>
          <w:color w:val="000000" w:themeColor="text1"/>
          <w:lang w:eastAsia="en-GB"/>
        </w:rPr>
        <w:t>qu</w:t>
      </w:r>
      <w:r>
        <w:rPr>
          <w:color w:val="000000" w:themeColor="text1"/>
          <w:lang w:eastAsia="en-GB"/>
        </w:rPr>
        <w:t>’</w:t>
      </w:r>
      <w:r w:rsidRPr="00057615">
        <w:rPr>
          <w:color w:val="000000" w:themeColor="text1"/>
          <w:lang w:eastAsia="en-GB"/>
        </w:rPr>
        <w:t>au vu des éléments qui lui sont soumis par l</w:t>
      </w:r>
      <w:r>
        <w:rPr>
          <w:color w:val="000000" w:themeColor="text1"/>
          <w:lang w:eastAsia="en-GB"/>
        </w:rPr>
        <w:t>’</w:t>
      </w:r>
      <w:r w:rsidRPr="00057615">
        <w:rPr>
          <w:color w:val="000000" w:themeColor="text1"/>
          <w:lang w:eastAsia="en-GB"/>
        </w:rPr>
        <w:t>auteur, il ne lui est pas possible de conclure, au-delà de simples affirmations ou suppositions, que les juridictions saisies par l</w:t>
      </w:r>
      <w:r>
        <w:rPr>
          <w:color w:val="000000" w:themeColor="text1"/>
          <w:lang w:eastAsia="en-GB"/>
        </w:rPr>
        <w:t>’</w:t>
      </w:r>
      <w:r w:rsidRPr="00057615">
        <w:rPr>
          <w:color w:val="000000" w:themeColor="text1"/>
          <w:lang w:eastAsia="en-GB"/>
        </w:rPr>
        <w:t>auteur n</w:t>
      </w:r>
      <w:r>
        <w:rPr>
          <w:color w:val="000000" w:themeColor="text1"/>
          <w:lang w:eastAsia="en-GB"/>
        </w:rPr>
        <w:t>’</w:t>
      </w:r>
      <w:r w:rsidRPr="00057615">
        <w:rPr>
          <w:color w:val="000000" w:themeColor="text1"/>
          <w:lang w:eastAsia="en-GB"/>
        </w:rPr>
        <w:t>étaient pas indépendantes ou impartiales</w:t>
      </w:r>
      <w:r w:rsidR="0076142A" w:rsidRPr="0076142A">
        <w:rPr>
          <w:color w:val="000000" w:themeColor="text1"/>
          <w:lang w:eastAsia="en-GB"/>
        </w:rPr>
        <w:t>.</w:t>
      </w:r>
      <w:r w:rsidRPr="00057615">
        <w:rPr>
          <w:color w:val="000000" w:themeColor="text1"/>
          <w:lang w:eastAsia="en-GB"/>
        </w:rPr>
        <w:t xml:space="preserve"> Le Comité observe en outre que les allégations avancées par l</w:t>
      </w:r>
      <w:r>
        <w:rPr>
          <w:color w:val="000000" w:themeColor="text1"/>
          <w:lang w:eastAsia="en-GB"/>
        </w:rPr>
        <w:t>’</w:t>
      </w:r>
      <w:r w:rsidRPr="00057615">
        <w:rPr>
          <w:color w:val="000000" w:themeColor="text1"/>
          <w:lang w:eastAsia="en-GB"/>
        </w:rPr>
        <w:t>auteur selon lesquelles des membres des juridictions saisies auraient pris part à l</w:t>
      </w:r>
      <w:r>
        <w:rPr>
          <w:color w:val="000000" w:themeColor="text1"/>
          <w:lang w:eastAsia="en-GB"/>
        </w:rPr>
        <w:t>’</w:t>
      </w:r>
      <w:r w:rsidRPr="00057615">
        <w:rPr>
          <w:color w:val="000000" w:themeColor="text1"/>
          <w:lang w:eastAsia="en-GB"/>
        </w:rPr>
        <w:t>initiative de la plainte ainsi qu</w:t>
      </w:r>
      <w:r>
        <w:rPr>
          <w:color w:val="000000" w:themeColor="text1"/>
          <w:lang w:eastAsia="en-GB"/>
        </w:rPr>
        <w:t>’</w:t>
      </w:r>
      <w:r w:rsidRPr="00057615">
        <w:rPr>
          <w:color w:val="000000" w:themeColor="text1"/>
          <w:lang w:eastAsia="en-GB"/>
        </w:rPr>
        <w:t xml:space="preserve">aux décisions prises à son </w:t>
      </w:r>
      <w:r>
        <w:rPr>
          <w:color w:val="000000" w:themeColor="text1"/>
          <w:lang w:eastAsia="en-GB"/>
        </w:rPr>
        <w:t>égard</w:t>
      </w:r>
      <w:r w:rsidRPr="00057615">
        <w:rPr>
          <w:color w:val="000000" w:themeColor="text1"/>
          <w:lang w:eastAsia="en-GB"/>
        </w:rPr>
        <w:t xml:space="preserve"> manquent de preuves, alors même </w:t>
      </w:r>
      <w:r>
        <w:rPr>
          <w:color w:val="000000" w:themeColor="text1"/>
          <w:lang w:eastAsia="en-GB"/>
        </w:rPr>
        <w:t>que leur absence est</w:t>
      </w:r>
      <w:r w:rsidRPr="00057615">
        <w:rPr>
          <w:color w:val="000000" w:themeColor="text1"/>
          <w:lang w:eastAsia="en-GB"/>
        </w:rPr>
        <w:t xml:space="preserve"> établie par le procès-verbal produit par les instances juridictionnelles à cet </w:t>
      </w:r>
      <w:r>
        <w:rPr>
          <w:color w:val="000000" w:themeColor="text1"/>
          <w:lang w:eastAsia="en-GB"/>
        </w:rPr>
        <w:t>effet</w:t>
      </w:r>
      <w:r w:rsidR="0076142A" w:rsidRPr="0076142A">
        <w:rPr>
          <w:color w:val="000000" w:themeColor="text1"/>
          <w:lang w:eastAsia="en-GB"/>
        </w:rPr>
        <w:t>.</w:t>
      </w:r>
      <w:r w:rsidRPr="00057615">
        <w:rPr>
          <w:color w:val="000000" w:themeColor="text1"/>
          <w:lang w:eastAsia="en-GB"/>
        </w:rPr>
        <w:t xml:space="preserve"> Le Comité relève en outre que, si l</w:t>
      </w:r>
      <w:r>
        <w:rPr>
          <w:color w:val="000000" w:themeColor="text1"/>
          <w:lang w:eastAsia="en-GB"/>
        </w:rPr>
        <w:t>’</w:t>
      </w:r>
      <w:r w:rsidRPr="00057615">
        <w:rPr>
          <w:color w:val="000000" w:themeColor="text1"/>
          <w:lang w:eastAsia="en-GB"/>
        </w:rPr>
        <w:t>auteur soulève des problèmes systémiques ayant rapport au fonctionnement des juridictions ordinales en France, il n</w:t>
      </w:r>
      <w:r>
        <w:rPr>
          <w:color w:val="000000" w:themeColor="text1"/>
          <w:lang w:eastAsia="en-GB"/>
        </w:rPr>
        <w:t>’</w:t>
      </w:r>
      <w:r w:rsidRPr="00057615">
        <w:rPr>
          <w:color w:val="000000" w:themeColor="text1"/>
          <w:lang w:eastAsia="en-GB"/>
        </w:rPr>
        <w:t>a pas soumis suffisamment d</w:t>
      </w:r>
      <w:r>
        <w:rPr>
          <w:color w:val="000000" w:themeColor="text1"/>
          <w:lang w:eastAsia="en-GB"/>
        </w:rPr>
        <w:t>’</w:t>
      </w:r>
      <w:r w:rsidRPr="00057615">
        <w:rPr>
          <w:color w:val="000000" w:themeColor="text1"/>
          <w:lang w:eastAsia="en-GB"/>
        </w:rPr>
        <w:t xml:space="preserve">éléments pour montrer </w:t>
      </w:r>
      <w:r w:rsidRPr="00057615">
        <w:rPr>
          <w:i/>
          <w:color w:val="000000" w:themeColor="text1"/>
          <w:lang w:eastAsia="en-GB"/>
        </w:rPr>
        <w:t xml:space="preserve">in </w:t>
      </w:r>
      <w:proofErr w:type="spellStart"/>
      <w:r w:rsidRPr="00057615">
        <w:rPr>
          <w:i/>
          <w:color w:val="000000" w:themeColor="text1"/>
          <w:lang w:eastAsia="en-GB"/>
        </w:rPr>
        <w:t>concreto</w:t>
      </w:r>
      <w:proofErr w:type="spellEnd"/>
      <w:r w:rsidRPr="00057615">
        <w:rPr>
          <w:color w:val="000000" w:themeColor="text1"/>
          <w:lang w:eastAsia="en-GB"/>
        </w:rPr>
        <w:t xml:space="preserve"> en quoi ses droits ont été violés au titre de l</w:t>
      </w:r>
      <w:r>
        <w:rPr>
          <w:color w:val="000000" w:themeColor="text1"/>
          <w:lang w:eastAsia="en-GB"/>
        </w:rPr>
        <w:t>’</w:t>
      </w:r>
      <w:r w:rsidRPr="00057615">
        <w:rPr>
          <w:color w:val="000000" w:themeColor="text1"/>
          <w:lang w:eastAsia="en-GB"/>
        </w:rPr>
        <w:t xml:space="preserve">article 14 </w:t>
      </w:r>
      <w:r>
        <w:rPr>
          <w:color w:val="000000" w:themeColor="text1"/>
          <w:lang w:eastAsia="en-GB"/>
        </w:rPr>
        <w:t>(</w:t>
      </w:r>
      <w:r w:rsidRPr="00057615">
        <w:rPr>
          <w:color w:val="000000" w:themeColor="text1"/>
          <w:lang w:eastAsia="en-GB"/>
        </w:rPr>
        <w:t>par</w:t>
      </w:r>
      <w:r w:rsidR="0076142A" w:rsidRPr="0076142A">
        <w:rPr>
          <w:color w:val="000000" w:themeColor="text1"/>
          <w:lang w:eastAsia="en-GB"/>
        </w:rPr>
        <w:t>.</w:t>
      </w:r>
      <w:r>
        <w:rPr>
          <w:color w:val="000000" w:themeColor="text1"/>
          <w:lang w:eastAsia="en-GB"/>
        </w:rPr>
        <w:t> </w:t>
      </w:r>
      <w:r w:rsidRPr="00057615">
        <w:rPr>
          <w:color w:val="000000" w:themeColor="text1"/>
          <w:lang w:eastAsia="en-GB"/>
        </w:rPr>
        <w:t>1</w:t>
      </w:r>
      <w:r>
        <w:rPr>
          <w:color w:val="000000" w:themeColor="text1"/>
          <w:lang w:eastAsia="en-GB"/>
        </w:rPr>
        <w:t>)</w:t>
      </w:r>
      <w:r w:rsidRPr="00057615">
        <w:rPr>
          <w:color w:val="000000" w:themeColor="text1"/>
          <w:lang w:eastAsia="en-GB"/>
        </w:rPr>
        <w:t xml:space="preserve"> du Pacte</w:t>
      </w:r>
      <w:r w:rsidR="0076142A" w:rsidRPr="0076142A">
        <w:rPr>
          <w:color w:val="000000" w:themeColor="text1"/>
          <w:lang w:eastAsia="en-GB"/>
        </w:rPr>
        <w:t>.</w:t>
      </w:r>
      <w:r w:rsidRPr="00057615">
        <w:rPr>
          <w:color w:val="000000" w:themeColor="text1"/>
          <w:lang w:eastAsia="en-GB"/>
        </w:rPr>
        <w:t xml:space="preserve"> </w:t>
      </w:r>
    </w:p>
    <w:p w14:paraId="608F92C0" w14:textId="51B2AF77" w:rsidR="002973E4" w:rsidRDefault="002973E4" w:rsidP="002973E4">
      <w:pPr>
        <w:pStyle w:val="SingleTxtG"/>
      </w:pPr>
      <w:r>
        <w:t>9</w:t>
      </w:r>
      <w:r w:rsidR="0076142A" w:rsidRPr="0076142A">
        <w:t>.</w:t>
      </w:r>
      <w:r w:rsidRPr="00451E4D">
        <w:t>5</w:t>
      </w:r>
      <w:r w:rsidRPr="00451E4D">
        <w:tab/>
        <w:t>En ce qui concerne le défaut de publicité des audiences au</w:t>
      </w:r>
      <w:r>
        <w:t xml:space="preserve"> sens de l’article</w:t>
      </w:r>
      <w:r w:rsidR="0076142A">
        <w:t> </w:t>
      </w:r>
      <w:r>
        <w:t>14 (par</w:t>
      </w:r>
      <w:r w:rsidR="0076142A" w:rsidRPr="0076142A">
        <w:t>.</w:t>
      </w:r>
      <w:r>
        <w:t> 1) du Pacte, le Comité note que l’auteur fait valoir que la séance en première instance ainsi que celle en appel se sont déroulées dans des locaux privés, non accessibles au public et qu’il fallait avoir un code d’entrée pour y accéder</w:t>
      </w:r>
      <w:r w:rsidR="0076142A" w:rsidRPr="0076142A">
        <w:t>.</w:t>
      </w:r>
      <w:r>
        <w:t xml:space="preserve"> Le Comité prend note de l’argument de l’auteur selon lequel, avant les audiences relatives à son affaire, les rôles de l’audience n’étaient pas accessibles au public</w:t>
      </w:r>
      <w:r w:rsidR="0076142A" w:rsidRPr="0076142A">
        <w:t>.</w:t>
      </w:r>
      <w:r>
        <w:t xml:space="preserve"> Il prend note toutefois de l’argument de l’État partie selon lequel la nécessité d’avoir un code pour accéder au local de la chambre disciplinaire de première instance n’entache pas le caractère public de l’audience</w:t>
      </w:r>
      <w:r w:rsidR="0076142A" w:rsidRPr="0076142A">
        <w:t>.</w:t>
      </w:r>
      <w:r>
        <w:t xml:space="preserve"> Le Comité prend note également des arguments de l’État partie qui fait valoir qu’en appel, le local de la Chambre disciplinaire nationale était muni d’un interphone, qu’un ou une secrétaire assurait la permanence dans ledit local, </w:t>
      </w:r>
      <w:r w:rsidRPr="004172C3">
        <w:t>les locaux étant toujours accessibles du début à la fin de l</w:t>
      </w:r>
      <w:r>
        <w:t>’</w:t>
      </w:r>
      <w:r w:rsidRPr="004172C3">
        <w:t>audience</w:t>
      </w:r>
      <w:r>
        <w:t>, et que, dans les deux cas, les rôles des audiences étaient affichés huit jours auparavant</w:t>
      </w:r>
      <w:r w:rsidR="0076142A" w:rsidRPr="0076142A">
        <w:t>.</w:t>
      </w:r>
      <w:r>
        <w:t xml:space="preserve"> </w:t>
      </w:r>
    </w:p>
    <w:p w14:paraId="7EFDB161" w14:textId="2E6EC6E4" w:rsidR="002973E4" w:rsidRPr="00057615" w:rsidRDefault="002973E4" w:rsidP="002973E4">
      <w:pPr>
        <w:pStyle w:val="SingleTxtG"/>
      </w:pPr>
      <w:r>
        <w:t>9</w:t>
      </w:r>
      <w:r w:rsidR="0076142A" w:rsidRPr="0076142A">
        <w:t>.</w:t>
      </w:r>
      <w:r w:rsidRPr="00057615">
        <w:t>6</w:t>
      </w:r>
      <w:r w:rsidRPr="00057615">
        <w:tab/>
        <w:t>Le Comité rappelle l</w:t>
      </w:r>
      <w:r>
        <w:t>’</w:t>
      </w:r>
      <w:r w:rsidRPr="00057615">
        <w:t>obligation de la publicité des audiences</w:t>
      </w:r>
      <w:r>
        <w:t>,</w:t>
      </w:r>
      <w:r w:rsidRPr="00057615">
        <w:t xml:space="preserve"> qui assure la transparence de la procédure et constitue une importante sauvegarde dans l</w:t>
      </w:r>
      <w:r>
        <w:t>’</w:t>
      </w:r>
      <w:r w:rsidRPr="00057615">
        <w:t>intérêt de l</w:t>
      </w:r>
      <w:r>
        <w:t>’</w:t>
      </w:r>
      <w:r w:rsidRPr="00057615">
        <w:t>individu et de toute la société</w:t>
      </w:r>
      <w:r w:rsidRPr="002973E4">
        <w:rPr>
          <w:rStyle w:val="Appelnotedebasdep"/>
        </w:rPr>
        <w:footnoteReference w:id="34"/>
      </w:r>
      <w:r w:rsidR="0076142A" w:rsidRPr="0076142A">
        <w:t>.</w:t>
      </w:r>
      <w:r w:rsidRPr="00057615">
        <w:t xml:space="preserve"> </w:t>
      </w:r>
      <w:r>
        <w:t>Il</w:t>
      </w:r>
      <w:r w:rsidRPr="00057615">
        <w:t xml:space="preserve"> rappelle </w:t>
      </w:r>
      <w:r>
        <w:t xml:space="preserve">également </w:t>
      </w:r>
      <w:r w:rsidRPr="00057615">
        <w:t>qu</w:t>
      </w:r>
      <w:r>
        <w:t>’</w:t>
      </w:r>
      <w:r w:rsidRPr="00057615">
        <w:t>en vue de satisfaire aux exigences de l</w:t>
      </w:r>
      <w:r>
        <w:t>’</w:t>
      </w:r>
      <w:r w:rsidRPr="00057615">
        <w:t xml:space="preserve">article 14 </w:t>
      </w:r>
      <w:r>
        <w:t>(par</w:t>
      </w:r>
      <w:r w:rsidR="0076142A" w:rsidRPr="0076142A">
        <w:t>.</w:t>
      </w:r>
      <w:r>
        <w:t> </w:t>
      </w:r>
      <w:r w:rsidRPr="00057615">
        <w:t>1</w:t>
      </w:r>
      <w:r>
        <w:t>)</w:t>
      </w:r>
      <w:r w:rsidRPr="00057615">
        <w:t xml:space="preserve"> du Pacte, le tribunal doit permettre au public de s</w:t>
      </w:r>
      <w:r>
        <w:t>’</w:t>
      </w:r>
      <w:r w:rsidRPr="00057615">
        <w:t>informer de la date et du lieu de l</w:t>
      </w:r>
      <w:r>
        <w:t>’</w:t>
      </w:r>
      <w:r w:rsidRPr="00057615">
        <w:t>audience et fournir les moyens matériels permettant aux personnes intéressées d</w:t>
      </w:r>
      <w:r>
        <w:t>’</w:t>
      </w:r>
      <w:r w:rsidRPr="00057615">
        <w:t>y assister, dans des limites raisonnables, compte tenu notamment de l</w:t>
      </w:r>
      <w:r>
        <w:t>’</w:t>
      </w:r>
      <w:r w:rsidRPr="00057615">
        <w:t>intérêt éventuel du public pour l</w:t>
      </w:r>
      <w:r>
        <w:t>’</w:t>
      </w:r>
      <w:r w:rsidRPr="00057615">
        <w:t>affaire, de la durée de l</w:t>
      </w:r>
      <w:r>
        <w:t>’</w:t>
      </w:r>
      <w:r w:rsidRPr="00057615">
        <w:t xml:space="preserve">audience et de la date à laquelle il a été formellement </w:t>
      </w:r>
      <w:r w:rsidRPr="00057615">
        <w:lastRenderedPageBreak/>
        <w:t>demandé que l</w:t>
      </w:r>
      <w:r>
        <w:t>’</w:t>
      </w:r>
      <w:r w:rsidRPr="00057615">
        <w:t>audience soit publique</w:t>
      </w:r>
      <w:r w:rsidRPr="002973E4">
        <w:rPr>
          <w:rStyle w:val="Appelnotedebasdep"/>
        </w:rPr>
        <w:footnoteReference w:id="35"/>
      </w:r>
      <w:r w:rsidR="0076142A" w:rsidRPr="0076142A">
        <w:t>.</w:t>
      </w:r>
      <w:r w:rsidRPr="00057615">
        <w:t xml:space="preserve"> Le Comité observe qu</w:t>
      </w:r>
      <w:r>
        <w:t>’</w:t>
      </w:r>
      <w:r w:rsidRPr="00057615">
        <w:t>en l</w:t>
      </w:r>
      <w:r>
        <w:t>’</w:t>
      </w:r>
      <w:r w:rsidRPr="00057615">
        <w:t>espèce</w:t>
      </w:r>
      <w:r>
        <w:t>,</w:t>
      </w:r>
      <w:r w:rsidRPr="00057615">
        <w:t xml:space="preserve"> il n</w:t>
      </w:r>
      <w:r>
        <w:t>’</w:t>
      </w:r>
      <w:r w:rsidRPr="00057615">
        <w:t xml:space="preserve">a pas été interdit aux intéressés, et en particulier </w:t>
      </w:r>
      <w:r>
        <w:t xml:space="preserve">à </w:t>
      </w:r>
      <w:r w:rsidRPr="00057615">
        <w:t>l</w:t>
      </w:r>
      <w:r>
        <w:t>’</w:t>
      </w:r>
      <w:r w:rsidRPr="00057615">
        <w:t xml:space="preserve">auteur, </w:t>
      </w:r>
      <w:r w:rsidRPr="004172C3">
        <w:t>qui s</w:t>
      </w:r>
      <w:r>
        <w:t>’</w:t>
      </w:r>
      <w:r w:rsidRPr="004172C3">
        <w:t>est fait représenter par son conseil au</w:t>
      </w:r>
      <w:r>
        <w:t xml:space="preserve"> cours de la deuxième audience du 13 octobre 2011, </w:t>
      </w:r>
      <w:r w:rsidRPr="00057615">
        <w:t>de prendre part aux différentes audiences dont les procès-verbaux ont attesté la publicité</w:t>
      </w:r>
      <w:r>
        <w:t>, laquelle</w:t>
      </w:r>
      <w:r w:rsidRPr="004172C3">
        <w:t>, à l</w:t>
      </w:r>
      <w:r>
        <w:t>’</w:t>
      </w:r>
      <w:r w:rsidRPr="004172C3">
        <w:t>époque, ne semble pas avoir été contestée par l</w:t>
      </w:r>
      <w:r>
        <w:t>’</w:t>
      </w:r>
      <w:r w:rsidRPr="004172C3">
        <w:t>auteur</w:t>
      </w:r>
      <w:r w:rsidR="0076142A" w:rsidRPr="0076142A">
        <w:t>.</w:t>
      </w:r>
      <w:r w:rsidRPr="00057615">
        <w:t xml:space="preserve"> </w:t>
      </w:r>
      <w:r>
        <w:t>Il</w:t>
      </w:r>
      <w:r w:rsidRPr="00057615">
        <w:t xml:space="preserve"> relève que l</w:t>
      </w:r>
      <w:r>
        <w:t>’</w:t>
      </w:r>
      <w:r w:rsidRPr="00057615">
        <w:t>auteur n</w:t>
      </w:r>
      <w:r>
        <w:t>’</w:t>
      </w:r>
      <w:r w:rsidRPr="00057615">
        <w:t>a pas fait la preuve de l</w:t>
      </w:r>
      <w:r>
        <w:t>’</w:t>
      </w:r>
      <w:r w:rsidRPr="00057615">
        <w:t>inobservance de l</w:t>
      </w:r>
      <w:r>
        <w:t>’</w:t>
      </w:r>
      <w:r w:rsidRPr="00057615">
        <w:t>affichage du rôle huit jour</w:t>
      </w:r>
      <w:r>
        <w:t>s</w:t>
      </w:r>
      <w:r w:rsidRPr="00057615">
        <w:t xml:space="preserve"> avant les audiences</w:t>
      </w:r>
      <w:r>
        <w:t>,</w:t>
      </w:r>
      <w:r w:rsidRPr="00057615">
        <w:t xml:space="preserve"> aussi bien en première instance qu</w:t>
      </w:r>
      <w:r>
        <w:t>’</w:t>
      </w:r>
      <w:r w:rsidRPr="00057615">
        <w:t>en appel</w:t>
      </w:r>
      <w:r w:rsidR="0076142A" w:rsidRPr="0076142A">
        <w:t>.</w:t>
      </w:r>
      <w:r w:rsidRPr="00057615">
        <w:t xml:space="preserve"> Le Comité relève </w:t>
      </w:r>
      <w:r>
        <w:t xml:space="preserve">également </w:t>
      </w:r>
      <w:r w:rsidRPr="00057615">
        <w:t>que l</w:t>
      </w:r>
      <w:r>
        <w:t>’</w:t>
      </w:r>
      <w:r w:rsidRPr="00057615">
        <w:t>auteur n</w:t>
      </w:r>
      <w:r>
        <w:t>’</w:t>
      </w:r>
      <w:r w:rsidRPr="00057615">
        <w:t>a pas démontré que l</w:t>
      </w:r>
      <w:r>
        <w:t>’</w:t>
      </w:r>
      <w:r w:rsidRPr="00057615">
        <w:t>accès aux salles d</w:t>
      </w:r>
      <w:r>
        <w:t>’</w:t>
      </w:r>
      <w:r w:rsidRPr="00057615">
        <w:t>audience a</w:t>
      </w:r>
      <w:r>
        <w:t>vait</w:t>
      </w:r>
      <w:r w:rsidRPr="00057615">
        <w:t xml:space="preserve"> été refusé à ses amis ou à ses proches</w:t>
      </w:r>
      <w:r>
        <w:t>,</w:t>
      </w:r>
      <w:r w:rsidRPr="00057615">
        <w:t xml:space="preserve"> ou </w:t>
      </w:r>
      <w:r>
        <w:t xml:space="preserve">à </w:t>
      </w:r>
      <w:r w:rsidRPr="00057615">
        <w:t xml:space="preserve">toute autre personne qui </w:t>
      </w:r>
      <w:r>
        <w:t>pouvait</w:t>
      </w:r>
      <w:r w:rsidRPr="00057615">
        <w:t xml:space="preserve"> être intéressée par l</w:t>
      </w:r>
      <w:r>
        <w:t>’</w:t>
      </w:r>
      <w:r w:rsidRPr="00057615">
        <w:t>instance</w:t>
      </w:r>
      <w:r w:rsidRPr="002973E4">
        <w:rPr>
          <w:rStyle w:val="Appelnotedebasdep"/>
        </w:rPr>
        <w:footnoteReference w:id="36"/>
      </w:r>
      <w:r w:rsidR="0076142A" w:rsidRPr="0076142A">
        <w:t>.</w:t>
      </w:r>
      <w:r w:rsidRPr="00057615">
        <w:t xml:space="preserve"> </w:t>
      </w:r>
    </w:p>
    <w:p w14:paraId="658ACA13" w14:textId="424F0D21" w:rsidR="002973E4" w:rsidRPr="00057615" w:rsidRDefault="002973E4" w:rsidP="002973E4">
      <w:pPr>
        <w:pStyle w:val="SingleTxtG"/>
        <w:rPr>
          <w:lang w:val="fr-FR"/>
        </w:rPr>
      </w:pPr>
      <w:r>
        <w:rPr>
          <w:spacing w:val="-2"/>
        </w:rPr>
        <w:t>9</w:t>
      </w:r>
      <w:r w:rsidR="0076142A" w:rsidRPr="0076142A">
        <w:rPr>
          <w:spacing w:val="-2"/>
        </w:rPr>
        <w:t>.</w:t>
      </w:r>
      <w:r w:rsidRPr="00057615">
        <w:rPr>
          <w:spacing w:val="-2"/>
        </w:rPr>
        <w:t>7</w:t>
      </w:r>
      <w:r w:rsidRPr="00057615">
        <w:rPr>
          <w:spacing w:val="-2"/>
        </w:rPr>
        <w:tab/>
      </w:r>
      <w:r w:rsidRPr="00057615">
        <w:rPr>
          <w:spacing w:val="-2"/>
          <w:lang w:val="fr-FR"/>
        </w:rPr>
        <w:t>Au vu de ce qui précède, le Comité estime que l</w:t>
      </w:r>
      <w:r>
        <w:rPr>
          <w:lang w:val="fr-FR"/>
        </w:rPr>
        <w:t>’</w:t>
      </w:r>
      <w:r w:rsidRPr="00057615">
        <w:rPr>
          <w:lang w:val="fr-FR"/>
        </w:rPr>
        <w:t>auteur n</w:t>
      </w:r>
      <w:r>
        <w:rPr>
          <w:lang w:val="fr-FR"/>
        </w:rPr>
        <w:t>’</w:t>
      </w:r>
      <w:r w:rsidRPr="00057615">
        <w:rPr>
          <w:lang w:val="fr-FR"/>
        </w:rPr>
        <w:t xml:space="preserve">a pas démontré en quoi les différentes audiences </w:t>
      </w:r>
      <w:r>
        <w:rPr>
          <w:lang w:val="fr-FR"/>
        </w:rPr>
        <w:t>ayant</w:t>
      </w:r>
      <w:r w:rsidRPr="00057615">
        <w:rPr>
          <w:lang w:val="fr-FR"/>
        </w:rPr>
        <w:t xml:space="preserve"> mené à sa condamnation </w:t>
      </w:r>
      <w:r>
        <w:rPr>
          <w:lang w:val="fr-FR"/>
        </w:rPr>
        <w:t>impliquaient</w:t>
      </w:r>
      <w:r w:rsidRPr="00057615">
        <w:rPr>
          <w:lang w:val="fr-FR"/>
        </w:rPr>
        <w:t xml:space="preserve"> une violation de l</w:t>
      </w:r>
      <w:r>
        <w:rPr>
          <w:lang w:val="fr-FR"/>
        </w:rPr>
        <w:t>’</w:t>
      </w:r>
      <w:r w:rsidRPr="00057615">
        <w:rPr>
          <w:lang w:val="fr-FR"/>
        </w:rPr>
        <w:t>article</w:t>
      </w:r>
      <w:r w:rsidR="0076142A">
        <w:rPr>
          <w:lang w:val="fr-FR"/>
        </w:rPr>
        <w:t> </w:t>
      </w:r>
      <w:r w:rsidRPr="00057615">
        <w:rPr>
          <w:lang w:val="fr-FR"/>
        </w:rPr>
        <w:t xml:space="preserve">14 </w:t>
      </w:r>
      <w:r>
        <w:rPr>
          <w:lang w:val="fr-FR"/>
        </w:rPr>
        <w:t>(</w:t>
      </w:r>
      <w:r w:rsidRPr="00057615">
        <w:rPr>
          <w:lang w:val="fr-FR"/>
        </w:rPr>
        <w:t>par</w:t>
      </w:r>
      <w:r w:rsidR="0076142A" w:rsidRPr="0076142A">
        <w:rPr>
          <w:lang w:val="fr-FR"/>
        </w:rPr>
        <w:t>.</w:t>
      </w:r>
      <w:r>
        <w:rPr>
          <w:lang w:val="fr-FR"/>
        </w:rPr>
        <w:t> </w:t>
      </w:r>
      <w:r w:rsidRPr="00057615">
        <w:rPr>
          <w:lang w:val="fr-FR"/>
        </w:rPr>
        <w:t>1</w:t>
      </w:r>
      <w:r>
        <w:rPr>
          <w:lang w:val="fr-FR"/>
        </w:rPr>
        <w:t>)</w:t>
      </w:r>
      <w:r w:rsidRPr="00057615">
        <w:rPr>
          <w:lang w:val="fr-FR"/>
        </w:rPr>
        <w:t xml:space="preserve"> du Pacte</w:t>
      </w:r>
      <w:r w:rsidR="0076142A" w:rsidRPr="0076142A">
        <w:rPr>
          <w:lang w:val="fr-FR"/>
        </w:rPr>
        <w:t>.</w:t>
      </w:r>
      <w:r w:rsidRPr="00057615">
        <w:rPr>
          <w:lang w:val="fr-FR"/>
        </w:rPr>
        <w:t xml:space="preserve"> Le Comité conclut donc </w:t>
      </w:r>
      <w:r>
        <w:rPr>
          <w:lang w:val="fr-FR"/>
        </w:rPr>
        <w:t xml:space="preserve">qu’au vu des </w:t>
      </w:r>
      <w:r w:rsidRPr="00057615">
        <w:rPr>
          <w:lang w:val="fr-FR"/>
        </w:rPr>
        <w:t>faits dont il est saisi</w:t>
      </w:r>
      <w:r>
        <w:rPr>
          <w:lang w:val="fr-FR"/>
        </w:rPr>
        <w:t>,</w:t>
      </w:r>
      <w:r w:rsidRPr="00057615">
        <w:rPr>
          <w:lang w:val="fr-FR"/>
        </w:rPr>
        <w:t xml:space="preserve"> </w:t>
      </w:r>
      <w:r w:rsidRPr="004172C3">
        <w:rPr>
          <w:lang w:val="fr-FR"/>
        </w:rPr>
        <w:t xml:space="preserve">il ne peut pas conclure à une </w:t>
      </w:r>
      <w:r w:rsidRPr="00057615">
        <w:rPr>
          <w:lang w:val="fr-FR"/>
        </w:rPr>
        <w:t>violation des droits que l</w:t>
      </w:r>
      <w:r>
        <w:rPr>
          <w:lang w:val="fr-FR"/>
        </w:rPr>
        <w:t>’</w:t>
      </w:r>
      <w:r w:rsidRPr="00057615">
        <w:rPr>
          <w:lang w:val="fr-FR"/>
        </w:rPr>
        <w:t>auteur tient de l</w:t>
      </w:r>
      <w:r>
        <w:rPr>
          <w:lang w:val="fr-FR"/>
        </w:rPr>
        <w:t>’</w:t>
      </w:r>
      <w:r w:rsidRPr="00057615">
        <w:rPr>
          <w:lang w:val="fr-FR"/>
        </w:rPr>
        <w:t xml:space="preserve">article 14 </w:t>
      </w:r>
      <w:r>
        <w:rPr>
          <w:lang w:val="fr-FR"/>
        </w:rPr>
        <w:t>(</w:t>
      </w:r>
      <w:r w:rsidRPr="00057615">
        <w:rPr>
          <w:lang w:val="fr-FR"/>
        </w:rPr>
        <w:t>par</w:t>
      </w:r>
      <w:r w:rsidR="0076142A" w:rsidRPr="0076142A">
        <w:rPr>
          <w:lang w:val="fr-FR"/>
        </w:rPr>
        <w:t>.</w:t>
      </w:r>
      <w:r>
        <w:rPr>
          <w:lang w:val="fr-FR"/>
        </w:rPr>
        <w:t> </w:t>
      </w:r>
      <w:r w:rsidRPr="00057615">
        <w:rPr>
          <w:lang w:val="fr-FR"/>
        </w:rPr>
        <w:t>1</w:t>
      </w:r>
      <w:r>
        <w:rPr>
          <w:lang w:val="fr-FR"/>
        </w:rPr>
        <w:t>)</w:t>
      </w:r>
      <w:r w:rsidRPr="00057615">
        <w:rPr>
          <w:lang w:val="fr-FR"/>
        </w:rPr>
        <w:t xml:space="preserve">, lu </w:t>
      </w:r>
      <w:r>
        <w:rPr>
          <w:lang w:val="fr-FR"/>
        </w:rPr>
        <w:t xml:space="preserve">seul et </w:t>
      </w:r>
      <w:r w:rsidRPr="00057615">
        <w:rPr>
          <w:lang w:val="fr-FR"/>
        </w:rPr>
        <w:t>conjointement avec l</w:t>
      </w:r>
      <w:r>
        <w:rPr>
          <w:lang w:val="fr-FR"/>
        </w:rPr>
        <w:t>’</w:t>
      </w:r>
      <w:r w:rsidRPr="00057615">
        <w:rPr>
          <w:lang w:val="fr-FR"/>
        </w:rPr>
        <w:t xml:space="preserve">article 2 </w:t>
      </w:r>
      <w:r>
        <w:rPr>
          <w:lang w:val="fr-FR"/>
        </w:rPr>
        <w:t>(</w:t>
      </w:r>
      <w:r w:rsidRPr="00057615">
        <w:rPr>
          <w:lang w:val="fr-FR"/>
        </w:rPr>
        <w:t>par</w:t>
      </w:r>
      <w:r w:rsidR="0076142A" w:rsidRPr="0076142A">
        <w:rPr>
          <w:lang w:val="fr-FR"/>
        </w:rPr>
        <w:t>.</w:t>
      </w:r>
      <w:r>
        <w:rPr>
          <w:lang w:val="fr-FR"/>
        </w:rPr>
        <w:t> </w:t>
      </w:r>
      <w:r w:rsidRPr="00057615">
        <w:rPr>
          <w:lang w:val="fr-FR"/>
        </w:rPr>
        <w:t>3</w:t>
      </w:r>
      <w:r>
        <w:rPr>
          <w:lang w:val="fr-FR"/>
        </w:rPr>
        <w:t>)</w:t>
      </w:r>
      <w:r w:rsidRPr="00057615">
        <w:rPr>
          <w:lang w:val="fr-FR"/>
        </w:rPr>
        <w:t xml:space="preserve"> du Pacte</w:t>
      </w:r>
      <w:r w:rsidR="0076142A" w:rsidRPr="0076142A">
        <w:rPr>
          <w:lang w:val="fr-FR"/>
        </w:rPr>
        <w:t>.</w:t>
      </w:r>
      <w:r w:rsidRPr="00057615">
        <w:rPr>
          <w:lang w:val="fr-FR"/>
        </w:rPr>
        <w:t xml:space="preserve"> </w:t>
      </w:r>
    </w:p>
    <w:p w14:paraId="703D20E9" w14:textId="490EC962" w:rsidR="00E85C42" w:rsidRDefault="002973E4" w:rsidP="002973E4">
      <w:pPr>
        <w:pStyle w:val="SingleTxtG"/>
        <w:rPr>
          <w:lang w:val="fr-FR"/>
        </w:rPr>
      </w:pPr>
      <w:r>
        <w:rPr>
          <w:lang w:val="fr-FR"/>
        </w:rPr>
        <w:t>10</w:t>
      </w:r>
      <w:r w:rsidR="0076142A" w:rsidRPr="0076142A">
        <w:rPr>
          <w:lang w:val="fr-FR"/>
        </w:rPr>
        <w:t>.</w:t>
      </w:r>
      <w:r w:rsidRPr="009E3047">
        <w:rPr>
          <w:lang w:val="fr-FR"/>
        </w:rPr>
        <w:tab/>
        <w:t>Le Comité, agissant en vertu de l</w:t>
      </w:r>
      <w:r>
        <w:rPr>
          <w:lang w:val="fr-FR"/>
        </w:rPr>
        <w:t>’</w:t>
      </w:r>
      <w:r w:rsidRPr="009E3047">
        <w:rPr>
          <w:lang w:val="fr-FR"/>
        </w:rPr>
        <w:t>article 5</w:t>
      </w:r>
      <w:r>
        <w:rPr>
          <w:lang w:val="fr-FR"/>
        </w:rPr>
        <w:t xml:space="preserve"> (par</w:t>
      </w:r>
      <w:r w:rsidR="0076142A" w:rsidRPr="0076142A">
        <w:rPr>
          <w:lang w:val="fr-FR"/>
        </w:rPr>
        <w:t>.</w:t>
      </w:r>
      <w:r>
        <w:rPr>
          <w:lang w:val="fr-FR"/>
        </w:rPr>
        <w:t> 4)</w:t>
      </w:r>
      <w:r w:rsidRPr="009E3047">
        <w:rPr>
          <w:lang w:val="fr-FR"/>
        </w:rPr>
        <w:t xml:space="preserve"> du Protocole facultatif, constate que les faits dont il est saisi ne font apparaître aucune violation par l</w:t>
      </w:r>
      <w:r>
        <w:rPr>
          <w:lang w:val="fr-FR"/>
        </w:rPr>
        <w:t>’</w:t>
      </w:r>
      <w:r w:rsidRPr="009E3047">
        <w:rPr>
          <w:lang w:val="fr-FR"/>
        </w:rPr>
        <w:t>État partie des droits que l</w:t>
      </w:r>
      <w:r>
        <w:rPr>
          <w:lang w:val="fr-FR"/>
        </w:rPr>
        <w:t>’</w:t>
      </w:r>
      <w:r w:rsidRPr="009E3047">
        <w:rPr>
          <w:lang w:val="fr-FR"/>
        </w:rPr>
        <w:t>auteur tient de l</w:t>
      </w:r>
      <w:r>
        <w:rPr>
          <w:lang w:val="fr-FR"/>
        </w:rPr>
        <w:t>’</w:t>
      </w:r>
      <w:r w:rsidRPr="009E3047">
        <w:rPr>
          <w:lang w:val="fr-FR"/>
        </w:rPr>
        <w:t xml:space="preserve">article 14 </w:t>
      </w:r>
      <w:r>
        <w:rPr>
          <w:lang w:val="fr-FR"/>
        </w:rPr>
        <w:t>(</w:t>
      </w:r>
      <w:r w:rsidRPr="009E3047">
        <w:rPr>
          <w:lang w:val="fr-FR"/>
        </w:rPr>
        <w:t>par</w:t>
      </w:r>
      <w:r w:rsidR="0076142A" w:rsidRPr="0076142A">
        <w:rPr>
          <w:lang w:val="fr-FR"/>
        </w:rPr>
        <w:t>.</w:t>
      </w:r>
      <w:r>
        <w:rPr>
          <w:lang w:val="fr-FR"/>
        </w:rPr>
        <w:t> </w:t>
      </w:r>
      <w:r w:rsidRPr="009E3047">
        <w:rPr>
          <w:lang w:val="fr-FR"/>
        </w:rPr>
        <w:t>1</w:t>
      </w:r>
      <w:r>
        <w:rPr>
          <w:lang w:val="fr-FR"/>
        </w:rPr>
        <w:t>), lu seul et conjointement avec l’article 2 (par</w:t>
      </w:r>
      <w:r w:rsidR="0076142A" w:rsidRPr="0076142A">
        <w:rPr>
          <w:lang w:val="fr-FR"/>
        </w:rPr>
        <w:t>.</w:t>
      </w:r>
      <w:r>
        <w:rPr>
          <w:lang w:val="fr-FR"/>
        </w:rPr>
        <w:t> 3)</w:t>
      </w:r>
      <w:r w:rsidRPr="009E3047">
        <w:rPr>
          <w:lang w:val="fr-FR"/>
        </w:rPr>
        <w:t xml:space="preserve"> du Pacte</w:t>
      </w:r>
      <w:r w:rsidR="0076142A" w:rsidRPr="0076142A">
        <w:rPr>
          <w:lang w:val="fr-FR"/>
        </w:rPr>
        <w:t>.</w:t>
      </w:r>
    </w:p>
    <w:p w14:paraId="007B1F46" w14:textId="0E6B751C" w:rsidR="002973E4" w:rsidRPr="002973E4" w:rsidRDefault="002973E4" w:rsidP="002973E4">
      <w:pPr>
        <w:pStyle w:val="SingleTxtG"/>
        <w:spacing w:before="240" w:after="0"/>
        <w:jc w:val="center"/>
        <w:rPr>
          <w:u w:val="single"/>
        </w:rPr>
      </w:pPr>
      <w:r>
        <w:rPr>
          <w:u w:val="single"/>
        </w:rPr>
        <w:tab/>
      </w:r>
      <w:r>
        <w:rPr>
          <w:u w:val="single"/>
        </w:rPr>
        <w:tab/>
      </w:r>
      <w:r>
        <w:rPr>
          <w:u w:val="single"/>
        </w:rPr>
        <w:tab/>
      </w:r>
    </w:p>
    <w:sectPr w:rsidR="002973E4" w:rsidRPr="002973E4" w:rsidSect="002973E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C755" w14:textId="77777777" w:rsidR="001C29B1" w:rsidRDefault="001C29B1" w:rsidP="00F95C08">
      <w:pPr>
        <w:spacing w:line="240" w:lineRule="auto"/>
      </w:pPr>
    </w:p>
  </w:endnote>
  <w:endnote w:type="continuationSeparator" w:id="0">
    <w:p w14:paraId="5DDAE651" w14:textId="77777777" w:rsidR="001C29B1" w:rsidRPr="00AC3823" w:rsidRDefault="001C29B1" w:rsidP="00AC3823">
      <w:pPr>
        <w:pStyle w:val="Pieddepage"/>
      </w:pPr>
    </w:p>
  </w:endnote>
  <w:endnote w:type="continuationNotice" w:id="1">
    <w:p w14:paraId="11E96469" w14:textId="77777777" w:rsidR="001C29B1" w:rsidRDefault="001C29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9F10" w14:textId="3B1C1FE0" w:rsidR="001C29B1" w:rsidRPr="002973E4" w:rsidRDefault="001C29B1" w:rsidP="002973E4">
    <w:pPr>
      <w:pStyle w:val="Pieddepage"/>
      <w:tabs>
        <w:tab w:val="right" w:pos="9638"/>
      </w:tabs>
    </w:pPr>
    <w:r w:rsidRPr="002973E4">
      <w:rPr>
        <w:b/>
        <w:sz w:val="18"/>
      </w:rPr>
      <w:fldChar w:fldCharType="begin"/>
    </w:r>
    <w:r w:rsidRPr="002973E4">
      <w:rPr>
        <w:b/>
        <w:sz w:val="18"/>
      </w:rPr>
      <w:instrText xml:space="preserve"> PAGE  \* MERGEFORMAT </w:instrText>
    </w:r>
    <w:r w:rsidRPr="002973E4">
      <w:rPr>
        <w:b/>
        <w:sz w:val="18"/>
      </w:rPr>
      <w:fldChar w:fldCharType="separate"/>
    </w:r>
    <w:r w:rsidR="00E50B8D">
      <w:rPr>
        <w:b/>
        <w:noProof/>
        <w:sz w:val="18"/>
      </w:rPr>
      <w:t>12</w:t>
    </w:r>
    <w:r w:rsidRPr="002973E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E97A" w14:textId="2A4CF6DB" w:rsidR="001C29B1" w:rsidRPr="002973E4" w:rsidRDefault="001C29B1" w:rsidP="002973E4">
    <w:pPr>
      <w:pStyle w:val="Pieddepage"/>
      <w:tabs>
        <w:tab w:val="right" w:pos="9638"/>
      </w:tabs>
      <w:rPr>
        <w:b/>
        <w:sz w:val="18"/>
      </w:rPr>
    </w:pPr>
    <w:r>
      <w:tab/>
    </w:r>
    <w:r w:rsidRPr="002973E4">
      <w:rPr>
        <w:b/>
        <w:sz w:val="18"/>
      </w:rPr>
      <w:fldChar w:fldCharType="begin"/>
    </w:r>
    <w:r w:rsidRPr="002973E4">
      <w:rPr>
        <w:b/>
        <w:sz w:val="18"/>
      </w:rPr>
      <w:instrText xml:space="preserve"> PAGE  \* MERGEFORMAT </w:instrText>
    </w:r>
    <w:r w:rsidRPr="002973E4">
      <w:rPr>
        <w:b/>
        <w:sz w:val="18"/>
      </w:rPr>
      <w:fldChar w:fldCharType="separate"/>
    </w:r>
    <w:r w:rsidR="00E50B8D">
      <w:rPr>
        <w:b/>
        <w:noProof/>
        <w:sz w:val="18"/>
      </w:rPr>
      <w:t>13</w:t>
    </w:r>
    <w:r w:rsidRPr="002973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9E14" w14:textId="316B2836" w:rsidR="00B11CCC" w:rsidRPr="00B11CCC" w:rsidRDefault="00B11CCC" w:rsidP="00B11CCC">
    <w:pPr>
      <w:pStyle w:val="Pieddepage"/>
      <w:tabs>
        <w:tab w:val="left" w:pos="6520"/>
        <w:tab w:val="right" w:pos="9638"/>
      </w:tabs>
      <w:spacing w:before="120"/>
      <w:rPr>
        <w:sz w:val="20"/>
      </w:rPr>
    </w:pPr>
    <w:r>
      <w:rPr>
        <w:sz w:val="20"/>
      </w:rPr>
      <w:t>GE.21-19123  (F)</w:t>
    </w:r>
    <w:bookmarkStart w:id="0" w:name="_GoBack"/>
    <w:bookmarkEnd w:id="0"/>
    <w:r>
      <w:rPr>
        <w:sz w:val="20"/>
      </w:rPr>
      <w:tab/>
    </w:r>
    <w:r w:rsidRPr="00B11CCC">
      <w:rPr>
        <w:noProof/>
        <w:sz w:val="20"/>
        <w:lang w:eastAsia="fr-CH"/>
      </w:rPr>
      <w:drawing>
        <wp:inline distT="0" distB="0" distL="0" distR="0" wp14:anchorId="09E197F1" wp14:editId="2E8EA057">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0A0301B" wp14:editId="561E0F69">
          <wp:extent cx="636905" cy="6369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C9A53" w14:textId="77777777" w:rsidR="001C29B1" w:rsidRPr="00AC3823" w:rsidRDefault="001C29B1" w:rsidP="00AC3823">
      <w:pPr>
        <w:pStyle w:val="Pieddepage"/>
        <w:tabs>
          <w:tab w:val="right" w:pos="2155"/>
        </w:tabs>
        <w:spacing w:after="80" w:line="240" w:lineRule="atLeast"/>
        <w:ind w:left="680"/>
        <w:rPr>
          <w:u w:val="single"/>
        </w:rPr>
      </w:pPr>
      <w:r>
        <w:rPr>
          <w:u w:val="single"/>
        </w:rPr>
        <w:tab/>
      </w:r>
    </w:p>
  </w:footnote>
  <w:footnote w:type="continuationSeparator" w:id="0">
    <w:p w14:paraId="1EC1997C" w14:textId="77777777" w:rsidR="001C29B1" w:rsidRPr="00AC3823" w:rsidRDefault="001C29B1" w:rsidP="00AC3823">
      <w:pPr>
        <w:pStyle w:val="Pieddepage"/>
        <w:tabs>
          <w:tab w:val="right" w:pos="2155"/>
        </w:tabs>
        <w:spacing w:after="80" w:line="240" w:lineRule="atLeast"/>
        <w:ind w:left="680"/>
        <w:rPr>
          <w:u w:val="single"/>
        </w:rPr>
      </w:pPr>
      <w:r>
        <w:rPr>
          <w:u w:val="single"/>
        </w:rPr>
        <w:tab/>
      </w:r>
    </w:p>
  </w:footnote>
  <w:footnote w:type="continuationNotice" w:id="1">
    <w:p w14:paraId="55972A2D" w14:textId="77777777" w:rsidR="001C29B1" w:rsidRPr="00AC3823" w:rsidRDefault="001C29B1">
      <w:pPr>
        <w:spacing w:line="240" w:lineRule="auto"/>
        <w:rPr>
          <w:sz w:val="2"/>
          <w:szCs w:val="2"/>
        </w:rPr>
      </w:pPr>
    </w:p>
  </w:footnote>
  <w:footnote w:id="2">
    <w:p w14:paraId="4282A879" w14:textId="6AF4F312" w:rsidR="001C29B1" w:rsidRPr="009E7472" w:rsidRDefault="001C29B1" w:rsidP="002973E4">
      <w:pPr>
        <w:pStyle w:val="Notedebasdepage"/>
        <w:rPr>
          <w:lang w:val="fr-FR"/>
        </w:rPr>
      </w:pPr>
      <w:r w:rsidRPr="005E1410">
        <w:rPr>
          <w:rStyle w:val="Appelnotedebasdep"/>
          <w:vertAlign w:val="baseline"/>
        </w:rPr>
        <w:tab/>
      </w:r>
      <w:r w:rsidRPr="005E1410">
        <w:rPr>
          <w:rStyle w:val="Appelnotedebasdep"/>
          <w:sz w:val="20"/>
          <w:vertAlign w:val="baseline"/>
        </w:rPr>
        <w:t>*</w:t>
      </w:r>
      <w:r w:rsidRPr="005E1410">
        <w:rPr>
          <w:rStyle w:val="Appelnotedebasdep"/>
          <w:sz w:val="20"/>
          <w:vertAlign w:val="baseline"/>
        </w:rPr>
        <w:tab/>
      </w:r>
      <w:r>
        <w:rPr>
          <w:lang w:val="fr-FR"/>
        </w:rPr>
        <w:t>Adoptées par le Comité à sa 131</w:t>
      </w:r>
      <w:r w:rsidRPr="00193C16">
        <w:rPr>
          <w:vertAlign w:val="superscript"/>
          <w:lang w:val="fr-FR"/>
        </w:rPr>
        <w:t>e</w:t>
      </w:r>
      <w:r>
        <w:rPr>
          <w:lang w:val="fr-FR"/>
        </w:rPr>
        <w:t xml:space="preserve"> session (1</w:t>
      </w:r>
      <w:r w:rsidRPr="009E7472">
        <w:rPr>
          <w:vertAlign w:val="superscript"/>
          <w:lang w:val="fr-FR"/>
        </w:rPr>
        <w:t>er</w:t>
      </w:r>
      <w:r>
        <w:rPr>
          <w:lang w:val="fr-FR"/>
        </w:rPr>
        <w:t>-26 mars 2021)</w:t>
      </w:r>
      <w:r w:rsidR="0076142A" w:rsidRPr="0076142A">
        <w:rPr>
          <w:lang w:val="fr-FR"/>
        </w:rPr>
        <w:t>.</w:t>
      </w:r>
    </w:p>
  </w:footnote>
  <w:footnote w:id="3">
    <w:p w14:paraId="298606CB" w14:textId="1B343074" w:rsidR="001C29B1" w:rsidRPr="009E7472" w:rsidRDefault="001C29B1" w:rsidP="002973E4">
      <w:pPr>
        <w:pStyle w:val="Notedebasdepage"/>
        <w:rPr>
          <w:lang w:val="fr-FR"/>
        </w:rPr>
      </w:pPr>
      <w:r w:rsidRPr="005E1410">
        <w:rPr>
          <w:rStyle w:val="Appelnotedebasdep"/>
          <w:vertAlign w:val="baseline"/>
          <w:lang w:val="fr-FR"/>
        </w:rPr>
        <w:tab/>
      </w:r>
      <w:r w:rsidRPr="005E1410">
        <w:rPr>
          <w:rStyle w:val="Appelnotedebasdep"/>
          <w:sz w:val="20"/>
          <w:vertAlign w:val="baseline"/>
          <w:lang w:val="fr-FR"/>
        </w:rPr>
        <w:t>**</w:t>
      </w:r>
      <w:r w:rsidRPr="005E1410">
        <w:rPr>
          <w:rStyle w:val="Appelnotedebasdep"/>
          <w:sz w:val="20"/>
          <w:vertAlign w:val="baseline"/>
          <w:lang w:val="fr-FR"/>
        </w:rPr>
        <w:tab/>
      </w:r>
      <w:r w:rsidRPr="009E7472">
        <w:rPr>
          <w:lang w:val="fr-FR"/>
        </w:rPr>
        <w:t>Les membres du Comité dont le nom suit ont participé à l</w:t>
      </w:r>
      <w:r>
        <w:rPr>
          <w:lang w:val="fr-FR"/>
        </w:rPr>
        <w:t>’</w:t>
      </w:r>
      <w:r w:rsidRPr="009E7472">
        <w:rPr>
          <w:lang w:val="fr-FR"/>
        </w:rPr>
        <w:t xml:space="preserve">examen de la communication : Tania </w:t>
      </w:r>
      <w:r w:rsidRPr="00B87CBA">
        <w:t>Mar</w:t>
      </w:r>
      <w:r>
        <w:rPr>
          <w:lang w:val="cs-CZ"/>
        </w:rPr>
        <w:t>í</w:t>
      </w:r>
      <w:r w:rsidRPr="00B87CBA">
        <w:t>a</w:t>
      </w:r>
      <w:r w:rsidRPr="009E7472">
        <w:rPr>
          <w:lang w:val="fr-FR"/>
        </w:rPr>
        <w:t xml:space="preserve"> Abdo </w:t>
      </w:r>
      <w:proofErr w:type="spellStart"/>
      <w:r w:rsidRPr="009E7472">
        <w:rPr>
          <w:lang w:val="fr-FR"/>
        </w:rPr>
        <w:t>Rocholl</w:t>
      </w:r>
      <w:proofErr w:type="spellEnd"/>
      <w:r w:rsidRPr="009E7472">
        <w:rPr>
          <w:lang w:val="fr-FR"/>
        </w:rPr>
        <w:t xml:space="preserve">, </w:t>
      </w:r>
      <w:proofErr w:type="spellStart"/>
      <w:r w:rsidRPr="009E7472">
        <w:rPr>
          <w:lang w:val="fr-FR"/>
        </w:rPr>
        <w:t>Wafaa</w:t>
      </w:r>
      <w:proofErr w:type="spellEnd"/>
      <w:r w:rsidRPr="009E7472">
        <w:rPr>
          <w:lang w:val="fr-FR"/>
        </w:rPr>
        <w:t xml:space="preserve"> Ashraf </w:t>
      </w:r>
      <w:proofErr w:type="spellStart"/>
      <w:r w:rsidRPr="009E7472">
        <w:rPr>
          <w:lang w:val="fr-FR"/>
        </w:rPr>
        <w:t>Moharram</w:t>
      </w:r>
      <w:proofErr w:type="spellEnd"/>
      <w:r w:rsidRPr="009E7472">
        <w:rPr>
          <w:lang w:val="fr-FR"/>
        </w:rPr>
        <w:t xml:space="preserve"> </w:t>
      </w:r>
      <w:proofErr w:type="spellStart"/>
      <w:r w:rsidRPr="009E7472">
        <w:rPr>
          <w:lang w:val="fr-FR"/>
        </w:rPr>
        <w:t>Bassim</w:t>
      </w:r>
      <w:proofErr w:type="spellEnd"/>
      <w:r w:rsidRPr="009E7472">
        <w:rPr>
          <w:lang w:val="fr-FR"/>
        </w:rPr>
        <w:t xml:space="preserve">, </w:t>
      </w:r>
      <w:proofErr w:type="spellStart"/>
      <w:r w:rsidRPr="009E7472">
        <w:rPr>
          <w:lang w:val="fr-FR"/>
        </w:rPr>
        <w:t>Yadh</w:t>
      </w:r>
      <w:proofErr w:type="spellEnd"/>
      <w:r w:rsidRPr="009E7472">
        <w:rPr>
          <w:lang w:val="fr-FR"/>
        </w:rPr>
        <w:t xml:space="preserve"> Ben Achour, Arif </w:t>
      </w:r>
      <w:proofErr w:type="spellStart"/>
      <w:r w:rsidRPr="009E7472">
        <w:rPr>
          <w:lang w:val="fr-FR"/>
        </w:rPr>
        <w:t>Bulkan</w:t>
      </w:r>
      <w:proofErr w:type="spellEnd"/>
      <w:r w:rsidRPr="009E7472">
        <w:rPr>
          <w:lang w:val="fr-FR"/>
        </w:rPr>
        <w:t xml:space="preserve">, Mahjoub El </w:t>
      </w:r>
      <w:proofErr w:type="spellStart"/>
      <w:r w:rsidRPr="009E7472">
        <w:rPr>
          <w:lang w:val="fr-FR"/>
        </w:rPr>
        <w:t>Haiba</w:t>
      </w:r>
      <w:proofErr w:type="spellEnd"/>
      <w:r w:rsidRPr="009E7472">
        <w:rPr>
          <w:lang w:val="fr-FR"/>
        </w:rPr>
        <w:t xml:space="preserve">, </w:t>
      </w:r>
      <w:proofErr w:type="spellStart"/>
      <w:r w:rsidRPr="009E7472">
        <w:rPr>
          <w:lang w:val="fr-FR"/>
        </w:rPr>
        <w:t>Furuya</w:t>
      </w:r>
      <w:proofErr w:type="spellEnd"/>
      <w:r w:rsidRPr="009E7472">
        <w:rPr>
          <w:lang w:val="fr-FR"/>
        </w:rPr>
        <w:t xml:space="preserve"> </w:t>
      </w:r>
      <w:proofErr w:type="spellStart"/>
      <w:r w:rsidRPr="009E7472">
        <w:rPr>
          <w:lang w:val="fr-FR"/>
        </w:rPr>
        <w:t>Shuichi</w:t>
      </w:r>
      <w:proofErr w:type="spellEnd"/>
      <w:r w:rsidRPr="009E7472">
        <w:rPr>
          <w:lang w:val="fr-FR"/>
        </w:rPr>
        <w:t xml:space="preserve">, Carlos Gómez </w:t>
      </w:r>
      <w:proofErr w:type="spellStart"/>
      <w:r w:rsidRPr="009E7472">
        <w:rPr>
          <w:lang w:val="fr-FR"/>
        </w:rPr>
        <w:t>Martínez</w:t>
      </w:r>
      <w:proofErr w:type="spellEnd"/>
      <w:r w:rsidRPr="009E7472">
        <w:rPr>
          <w:lang w:val="fr-FR"/>
        </w:rPr>
        <w:t xml:space="preserve">, Duncan Laki </w:t>
      </w:r>
      <w:proofErr w:type="spellStart"/>
      <w:r w:rsidRPr="009E7472">
        <w:rPr>
          <w:lang w:val="fr-FR"/>
        </w:rPr>
        <w:t>Muhumuza</w:t>
      </w:r>
      <w:proofErr w:type="spellEnd"/>
      <w:r w:rsidRPr="009E7472">
        <w:rPr>
          <w:lang w:val="fr-FR"/>
        </w:rPr>
        <w:t xml:space="preserve">, </w:t>
      </w:r>
      <w:proofErr w:type="spellStart"/>
      <w:r w:rsidRPr="009E7472">
        <w:rPr>
          <w:lang w:val="fr-FR"/>
        </w:rPr>
        <w:t>Photini</w:t>
      </w:r>
      <w:proofErr w:type="spellEnd"/>
      <w:r w:rsidRPr="009E7472">
        <w:rPr>
          <w:lang w:val="fr-FR"/>
        </w:rPr>
        <w:t xml:space="preserve"> </w:t>
      </w:r>
      <w:proofErr w:type="spellStart"/>
      <w:r w:rsidRPr="009E7472">
        <w:rPr>
          <w:lang w:val="fr-FR"/>
        </w:rPr>
        <w:t>Pazartzis</w:t>
      </w:r>
      <w:proofErr w:type="spellEnd"/>
      <w:r w:rsidRPr="009E7472">
        <w:rPr>
          <w:lang w:val="fr-FR"/>
        </w:rPr>
        <w:t xml:space="preserve">, Hernán </w:t>
      </w:r>
      <w:proofErr w:type="spellStart"/>
      <w:r w:rsidRPr="009E7472">
        <w:rPr>
          <w:lang w:val="fr-FR"/>
        </w:rPr>
        <w:t>Quezada</w:t>
      </w:r>
      <w:proofErr w:type="spellEnd"/>
      <w:r w:rsidRPr="009E7472">
        <w:rPr>
          <w:lang w:val="fr-FR"/>
        </w:rPr>
        <w:t xml:space="preserve"> Cabrera, </w:t>
      </w:r>
      <w:proofErr w:type="spellStart"/>
      <w:r w:rsidRPr="009E7472">
        <w:rPr>
          <w:lang w:val="fr-FR"/>
        </w:rPr>
        <w:t>Vasilka</w:t>
      </w:r>
      <w:proofErr w:type="spellEnd"/>
      <w:r w:rsidRPr="009E7472">
        <w:rPr>
          <w:lang w:val="fr-FR"/>
        </w:rPr>
        <w:t xml:space="preserve"> </w:t>
      </w:r>
      <w:proofErr w:type="spellStart"/>
      <w:r w:rsidRPr="009E7472">
        <w:rPr>
          <w:lang w:val="fr-FR"/>
        </w:rPr>
        <w:t>Sancin</w:t>
      </w:r>
      <w:proofErr w:type="spellEnd"/>
      <w:r w:rsidRPr="009E7472">
        <w:rPr>
          <w:lang w:val="fr-FR"/>
        </w:rPr>
        <w:t xml:space="preserve">, José Manuel Santos Pais, </w:t>
      </w:r>
      <w:proofErr w:type="spellStart"/>
      <w:r>
        <w:t>Kobauyah</w:t>
      </w:r>
      <w:proofErr w:type="spellEnd"/>
      <w:r>
        <w:t xml:space="preserve"> </w:t>
      </w:r>
      <w:proofErr w:type="spellStart"/>
      <w:r>
        <w:t>Tchamdja</w:t>
      </w:r>
      <w:proofErr w:type="spellEnd"/>
      <w:r w:rsidRPr="00E437AC">
        <w:t xml:space="preserve"> </w:t>
      </w:r>
      <w:proofErr w:type="spellStart"/>
      <w:r>
        <w:t>Kpatcha</w:t>
      </w:r>
      <w:proofErr w:type="spellEnd"/>
      <w:r w:rsidRPr="009E7472">
        <w:rPr>
          <w:lang w:val="fr-FR"/>
        </w:rPr>
        <w:t xml:space="preserve">, </w:t>
      </w:r>
      <w:proofErr w:type="spellStart"/>
      <w:r w:rsidRPr="009E7472">
        <w:rPr>
          <w:lang w:val="fr-FR"/>
        </w:rPr>
        <w:t>Imeru</w:t>
      </w:r>
      <w:proofErr w:type="spellEnd"/>
      <w:r w:rsidRPr="009E7472">
        <w:rPr>
          <w:lang w:val="fr-FR"/>
        </w:rPr>
        <w:t xml:space="preserve"> </w:t>
      </w:r>
      <w:proofErr w:type="spellStart"/>
      <w:r w:rsidRPr="009E7472">
        <w:rPr>
          <w:lang w:val="fr-FR"/>
        </w:rPr>
        <w:t>Tamerat</w:t>
      </w:r>
      <w:proofErr w:type="spellEnd"/>
      <w:r w:rsidRPr="009E7472">
        <w:rPr>
          <w:lang w:val="fr-FR"/>
        </w:rPr>
        <w:t xml:space="preserve"> </w:t>
      </w:r>
      <w:proofErr w:type="spellStart"/>
      <w:r w:rsidRPr="009E7472">
        <w:rPr>
          <w:lang w:val="fr-FR"/>
        </w:rPr>
        <w:t>Yigezu</w:t>
      </w:r>
      <w:proofErr w:type="spellEnd"/>
      <w:r w:rsidRPr="009E7472">
        <w:rPr>
          <w:lang w:val="fr-FR"/>
        </w:rPr>
        <w:t xml:space="preserve"> et </w:t>
      </w:r>
      <w:proofErr w:type="spellStart"/>
      <w:r w:rsidRPr="009E7472">
        <w:rPr>
          <w:lang w:val="fr-FR"/>
        </w:rPr>
        <w:t>Gentian</w:t>
      </w:r>
      <w:proofErr w:type="spellEnd"/>
      <w:r w:rsidRPr="009E7472">
        <w:rPr>
          <w:lang w:val="fr-FR"/>
        </w:rPr>
        <w:t xml:space="preserve"> </w:t>
      </w:r>
      <w:proofErr w:type="spellStart"/>
      <w:r w:rsidRPr="009E7472">
        <w:rPr>
          <w:lang w:val="fr-FR"/>
        </w:rPr>
        <w:t>Zyberi</w:t>
      </w:r>
      <w:proofErr w:type="spellEnd"/>
      <w:r w:rsidR="0076142A" w:rsidRPr="0076142A">
        <w:rPr>
          <w:lang w:val="fr-FR"/>
        </w:rPr>
        <w:t>.</w:t>
      </w:r>
      <w:r w:rsidRPr="009E7472">
        <w:rPr>
          <w:lang w:val="fr-FR"/>
        </w:rPr>
        <w:t xml:space="preserve"> </w:t>
      </w:r>
      <w:r>
        <w:t>Conformément à l’article 108</w:t>
      </w:r>
      <w:r w:rsidRPr="00DE7287">
        <w:t xml:space="preserve"> </w:t>
      </w:r>
      <w:r>
        <w:t xml:space="preserve">du règlement intérieur du Comité, Hélène </w:t>
      </w:r>
      <w:proofErr w:type="spellStart"/>
      <w:r>
        <w:t>Tigroudja</w:t>
      </w:r>
      <w:proofErr w:type="spellEnd"/>
      <w:r w:rsidRPr="00DE7287">
        <w:t xml:space="preserve"> </w:t>
      </w:r>
      <w:r>
        <w:t>n’a pas pris part à l’examen de la communication</w:t>
      </w:r>
      <w:r w:rsidR="0076142A" w:rsidRPr="0076142A">
        <w:t>.</w:t>
      </w:r>
      <w:r>
        <w:t xml:space="preserve"> </w:t>
      </w:r>
    </w:p>
  </w:footnote>
  <w:footnote w:id="4">
    <w:p w14:paraId="15BF759C" w14:textId="20DEA175" w:rsidR="001C29B1" w:rsidRPr="001B7046" w:rsidRDefault="001C29B1" w:rsidP="002973E4">
      <w:pPr>
        <w:pStyle w:val="Notedebasdepage"/>
      </w:pPr>
      <w:r>
        <w:tab/>
      </w:r>
      <w:r w:rsidRPr="002973E4">
        <w:rPr>
          <w:rStyle w:val="Appelnotedebasdep"/>
        </w:rPr>
        <w:footnoteRef/>
      </w:r>
      <w:r>
        <w:tab/>
      </w:r>
      <w:r w:rsidRPr="001B7046">
        <w:t>L</w:t>
      </w:r>
      <w:r>
        <w:t>’</w:t>
      </w:r>
      <w:r w:rsidRPr="001B7046">
        <w:t>auteur joint un rapport de la Cour des comptes</w:t>
      </w:r>
      <w:r>
        <w:t>,</w:t>
      </w:r>
      <w:r w:rsidRPr="001B7046">
        <w:t xml:space="preserve"> </w:t>
      </w:r>
      <w:r>
        <w:t xml:space="preserve">daté de </w:t>
      </w:r>
      <w:r w:rsidRPr="001B7046">
        <w:t>février 2017</w:t>
      </w:r>
      <w:r>
        <w:t>,</w:t>
      </w:r>
      <w:r w:rsidRPr="001B7046">
        <w:t xml:space="preserve"> qui soulève de nombreux dysfonctionnements de l</w:t>
      </w:r>
      <w:r>
        <w:t>’o</w:t>
      </w:r>
      <w:r w:rsidRPr="001B7046">
        <w:t>rdre</w:t>
      </w:r>
      <w:r>
        <w:t xml:space="preserve"> national des chirurgiens-dentistes</w:t>
      </w:r>
      <w:r w:rsidR="0076142A" w:rsidRPr="0076142A">
        <w:t>.</w:t>
      </w:r>
    </w:p>
  </w:footnote>
  <w:footnote w:id="5">
    <w:p w14:paraId="6D0FAFAB" w14:textId="2727220A" w:rsidR="001C29B1" w:rsidRPr="00B815B8" w:rsidRDefault="001C29B1" w:rsidP="002973E4">
      <w:pPr>
        <w:pStyle w:val="Notedebasdepage"/>
      </w:pPr>
      <w:r w:rsidRPr="001B7046">
        <w:tab/>
      </w:r>
      <w:r w:rsidRPr="002973E4">
        <w:rPr>
          <w:rStyle w:val="Appelnotedebasdep"/>
        </w:rPr>
        <w:footnoteRef/>
      </w:r>
      <w:r>
        <w:tab/>
      </w:r>
      <w:r w:rsidRPr="001B7046">
        <w:t>En référence à l</w:t>
      </w:r>
      <w:r>
        <w:t>’</w:t>
      </w:r>
      <w:r w:rsidRPr="001B7046">
        <w:t>article 6 (</w:t>
      </w:r>
      <w:r>
        <w:t>par</w:t>
      </w:r>
      <w:r w:rsidR="0076142A" w:rsidRPr="0076142A">
        <w:t>.</w:t>
      </w:r>
      <w:r>
        <w:t> </w:t>
      </w:r>
      <w:r w:rsidRPr="001B7046">
        <w:t xml:space="preserve">1) de la </w:t>
      </w:r>
      <w:r w:rsidRPr="00A66AEE">
        <w:t>Convention de sauvegarde des droits de l</w:t>
      </w:r>
      <w:r>
        <w:t>’</w:t>
      </w:r>
      <w:r w:rsidRPr="00A66AEE">
        <w:t>homme et des libertés fondamentales</w:t>
      </w:r>
      <w:r w:rsidRPr="001B7046">
        <w:t xml:space="preserve"> </w:t>
      </w:r>
      <w:r>
        <w:t>(</w:t>
      </w:r>
      <w:r w:rsidRPr="001B7046">
        <w:t>Convention européenne des droits de l</w:t>
      </w:r>
      <w:r>
        <w:t>’</w:t>
      </w:r>
      <w:r w:rsidRPr="001B7046">
        <w:t>homme</w:t>
      </w:r>
      <w:r>
        <w:t>)</w:t>
      </w:r>
      <w:r w:rsidRPr="001B7046">
        <w:t>, qui est le pendant de l</w:t>
      </w:r>
      <w:r>
        <w:t>’</w:t>
      </w:r>
      <w:r w:rsidRPr="001B7046">
        <w:t>article</w:t>
      </w:r>
      <w:r>
        <w:t> </w:t>
      </w:r>
      <w:r w:rsidRPr="001B7046">
        <w:t xml:space="preserve">14 </w:t>
      </w:r>
      <w:r>
        <w:t>(</w:t>
      </w:r>
      <w:r w:rsidRPr="001B7046">
        <w:t>par</w:t>
      </w:r>
      <w:r w:rsidR="0076142A" w:rsidRPr="0076142A">
        <w:t>.</w:t>
      </w:r>
      <w:r>
        <w:t> </w:t>
      </w:r>
      <w:r w:rsidRPr="001B7046">
        <w:t>1</w:t>
      </w:r>
      <w:r>
        <w:t>)</w:t>
      </w:r>
      <w:r w:rsidRPr="001B7046">
        <w:t xml:space="preserve"> du Pacte, voir Cour européenne des droits de l</w:t>
      </w:r>
      <w:r>
        <w:t>’</w:t>
      </w:r>
      <w:r w:rsidRPr="001B7046">
        <w:t xml:space="preserve">homme, </w:t>
      </w:r>
      <w:r w:rsidRPr="009E7472">
        <w:rPr>
          <w:i/>
          <w:iCs/>
        </w:rPr>
        <w:t>Albert et Le Compte c</w:t>
      </w:r>
      <w:r w:rsidR="0076142A" w:rsidRPr="0076142A">
        <w:rPr>
          <w:i/>
          <w:iCs/>
        </w:rPr>
        <w:t>.</w:t>
      </w:r>
      <w:r>
        <w:rPr>
          <w:i/>
          <w:iCs/>
        </w:rPr>
        <w:t> </w:t>
      </w:r>
      <w:r w:rsidRPr="009E7472">
        <w:rPr>
          <w:i/>
          <w:iCs/>
        </w:rPr>
        <w:t>Belgique</w:t>
      </w:r>
      <w:r w:rsidRPr="001B7046">
        <w:t>, req</w:t>
      </w:r>
      <w:r>
        <w:t>uête</w:t>
      </w:r>
      <w:r w:rsidRPr="001B7046">
        <w:t xml:space="preserve"> </w:t>
      </w:r>
      <w:r>
        <w:rPr>
          <w:rFonts w:eastAsia="MS Mincho"/>
        </w:rPr>
        <w:t>n</w:t>
      </w:r>
      <w:r>
        <w:rPr>
          <w:rFonts w:eastAsia="MS Mincho"/>
          <w:vertAlign w:val="superscript"/>
        </w:rPr>
        <w:t>o</w:t>
      </w:r>
      <w:r>
        <w:t> </w:t>
      </w:r>
      <w:r w:rsidRPr="001B7046">
        <w:t>7299/75, arrêt</w:t>
      </w:r>
      <w:r>
        <w:t>,</w:t>
      </w:r>
      <w:r w:rsidRPr="001B7046">
        <w:t xml:space="preserve"> 10 février 1983, par</w:t>
      </w:r>
      <w:r w:rsidR="0076142A" w:rsidRPr="0076142A">
        <w:t>.</w:t>
      </w:r>
      <w:r w:rsidRPr="001B7046">
        <w:t xml:space="preserve"> 29</w:t>
      </w:r>
      <w:r w:rsidR="0076142A" w:rsidRPr="0076142A">
        <w:t>.</w:t>
      </w:r>
    </w:p>
  </w:footnote>
  <w:footnote w:id="6">
    <w:p w14:paraId="0DD336B3" w14:textId="0EE53729" w:rsidR="001C29B1" w:rsidRPr="002A4B40" w:rsidRDefault="001C29B1" w:rsidP="002973E4">
      <w:pPr>
        <w:pStyle w:val="Notedebasdepage"/>
      </w:pPr>
      <w:r>
        <w:tab/>
      </w:r>
      <w:r w:rsidRPr="002973E4">
        <w:rPr>
          <w:rStyle w:val="Appelnotedebasdep"/>
        </w:rPr>
        <w:footnoteRef/>
      </w:r>
      <w:r>
        <w:tab/>
        <w:t xml:space="preserve">Voir </w:t>
      </w:r>
      <w:r w:rsidRPr="009E7472">
        <w:rPr>
          <w:i/>
          <w:iCs/>
        </w:rPr>
        <w:t>Van Meurs c</w:t>
      </w:r>
      <w:r w:rsidR="0076142A" w:rsidRPr="0076142A">
        <w:rPr>
          <w:i/>
          <w:iCs/>
        </w:rPr>
        <w:t>.</w:t>
      </w:r>
      <w:r w:rsidRPr="009E7472">
        <w:rPr>
          <w:i/>
          <w:iCs/>
        </w:rPr>
        <w:t xml:space="preserve"> Pays-Bas</w:t>
      </w:r>
      <w:r w:rsidRPr="00B21088">
        <w:t xml:space="preserve"> </w:t>
      </w:r>
      <w:r w:rsidRPr="00C11DF4">
        <w:t>(CCPR/C/39/D/215/1986</w:t>
      </w:r>
      <w:r>
        <w:t>)</w:t>
      </w:r>
      <w:r w:rsidR="0076142A" w:rsidRPr="0076142A">
        <w:t>.</w:t>
      </w:r>
    </w:p>
  </w:footnote>
  <w:footnote w:id="7">
    <w:p w14:paraId="7AE62300" w14:textId="32518CC7" w:rsidR="001C29B1" w:rsidRPr="006F08F8" w:rsidRDefault="001C29B1" w:rsidP="002973E4">
      <w:pPr>
        <w:pStyle w:val="Notedebasdepage"/>
        <w:rPr>
          <w:lang w:val="fr-FR"/>
        </w:rPr>
      </w:pPr>
      <w:r>
        <w:tab/>
      </w:r>
      <w:r w:rsidRPr="002973E4">
        <w:rPr>
          <w:rStyle w:val="Appelnotedebasdep"/>
        </w:rPr>
        <w:footnoteRef/>
      </w:r>
      <w:r>
        <w:tab/>
      </w:r>
      <w:r w:rsidRPr="00B21088">
        <w:t xml:space="preserve">Voir </w:t>
      </w:r>
      <w:r>
        <w:t>Conseil d’État de France</w:t>
      </w:r>
      <w:r w:rsidRPr="00B21088">
        <w:t xml:space="preserve">, Assemblée, </w:t>
      </w:r>
      <w:proofErr w:type="spellStart"/>
      <w:r w:rsidRPr="009E7472">
        <w:rPr>
          <w:i/>
          <w:iCs/>
        </w:rPr>
        <w:t>Maubleu</w:t>
      </w:r>
      <w:proofErr w:type="spellEnd"/>
      <w:r w:rsidRPr="00B21088">
        <w:t xml:space="preserve">, </w:t>
      </w:r>
      <w:r>
        <w:rPr>
          <w:rFonts w:eastAsia="MS Mincho"/>
        </w:rPr>
        <w:t>n</w:t>
      </w:r>
      <w:r>
        <w:rPr>
          <w:rFonts w:eastAsia="MS Mincho"/>
          <w:vertAlign w:val="superscript"/>
        </w:rPr>
        <w:t>o</w:t>
      </w:r>
      <w:r>
        <w:t> </w:t>
      </w:r>
      <w:r w:rsidRPr="00B21088">
        <w:t>132369, 14</w:t>
      </w:r>
      <w:r>
        <w:t> </w:t>
      </w:r>
      <w:r w:rsidRPr="00B21088">
        <w:t>février</w:t>
      </w:r>
      <w:r>
        <w:t> </w:t>
      </w:r>
      <w:r w:rsidRPr="00B21088">
        <w:t>1996</w:t>
      </w:r>
      <w:r w:rsidR="0076142A" w:rsidRPr="0076142A">
        <w:t>.</w:t>
      </w:r>
    </w:p>
  </w:footnote>
  <w:footnote w:id="8">
    <w:p w14:paraId="69D9BD1F" w14:textId="1A5244D2" w:rsidR="001C29B1" w:rsidRPr="006F08F8" w:rsidRDefault="001C29B1" w:rsidP="002973E4">
      <w:pPr>
        <w:pStyle w:val="Notedebasdepage"/>
        <w:rPr>
          <w:lang w:val="fr-FR"/>
        </w:rPr>
      </w:pPr>
      <w:r>
        <w:rPr>
          <w:lang w:val="fr-FR"/>
        </w:rPr>
        <w:tab/>
      </w:r>
      <w:r w:rsidRPr="002973E4">
        <w:rPr>
          <w:rStyle w:val="Appelnotedebasdep"/>
        </w:rPr>
        <w:footnoteRef/>
      </w:r>
      <w:r>
        <w:tab/>
        <w:t xml:space="preserve">France, Code de la santé publique, </w:t>
      </w:r>
      <w:r w:rsidRPr="00B21088">
        <w:rPr>
          <w:lang w:val="fr-FR"/>
        </w:rPr>
        <w:t>art</w:t>
      </w:r>
      <w:r w:rsidR="0076142A" w:rsidRPr="0076142A">
        <w:rPr>
          <w:lang w:val="fr-FR"/>
        </w:rPr>
        <w:t>.</w:t>
      </w:r>
      <w:r w:rsidR="0038724A">
        <w:rPr>
          <w:lang w:val="fr-FR"/>
        </w:rPr>
        <w:t> </w:t>
      </w:r>
      <w:r w:rsidRPr="00C11DF4">
        <w:rPr>
          <w:lang w:val="fr-FR"/>
        </w:rPr>
        <w:t xml:space="preserve">R4126-26 et </w:t>
      </w:r>
      <w:r w:rsidRPr="00B21088">
        <w:rPr>
          <w:lang w:val="fr-FR"/>
        </w:rPr>
        <w:t>R4126-29</w:t>
      </w:r>
      <w:r w:rsidR="0076142A" w:rsidRPr="0076142A">
        <w:rPr>
          <w:lang w:val="fr-FR"/>
        </w:rPr>
        <w:t>.</w:t>
      </w:r>
      <w:r w:rsidRPr="00B21088">
        <w:rPr>
          <w:lang w:val="fr-FR"/>
        </w:rPr>
        <w:t xml:space="preserve"> </w:t>
      </w:r>
    </w:p>
  </w:footnote>
  <w:footnote w:id="9">
    <w:p w14:paraId="61392D7E" w14:textId="122DF73E" w:rsidR="001C29B1" w:rsidRPr="00B21088" w:rsidRDefault="001C29B1" w:rsidP="002973E4">
      <w:pPr>
        <w:pStyle w:val="Notedebasdepage"/>
        <w:rPr>
          <w:lang w:val="fr-FR"/>
        </w:rPr>
      </w:pPr>
      <w:r>
        <w:tab/>
      </w:r>
      <w:r w:rsidRPr="002973E4">
        <w:rPr>
          <w:rStyle w:val="Appelnotedebasdep"/>
        </w:rPr>
        <w:footnoteRef/>
      </w:r>
      <w:r>
        <w:tab/>
        <w:t>Comité des droits de l’homme, o</w:t>
      </w:r>
      <w:r w:rsidRPr="0020570A">
        <w:t xml:space="preserve">bservation générale </w:t>
      </w:r>
      <w:r>
        <w:rPr>
          <w:rFonts w:eastAsia="MS Mincho"/>
        </w:rPr>
        <w:t>n</w:t>
      </w:r>
      <w:r>
        <w:rPr>
          <w:rFonts w:eastAsia="MS Mincho"/>
          <w:vertAlign w:val="superscript"/>
        </w:rPr>
        <w:t>o</w:t>
      </w:r>
      <w:r>
        <w:t> </w:t>
      </w:r>
      <w:r w:rsidRPr="0020570A">
        <w:t>32</w:t>
      </w:r>
      <w:r>
        <w:t xml:space="preserve"> (2007)</w:t>
      </w:r>
      <w:r w:rsidRPr="0020570A">
        <w:t xml:space="preserve">, </w:t>
      </w:r>
      <w:r>
        <w:t>par</w:t>
      </w:r>
      <w:r w:rsidR="0076142A" w:rsidRPr="0076142A">
        <w:t>.</w:t>
      </w:r>
      <w:r>
        <w:t> </w:t>
      </w:r>
      <w:r w:rsidRPr="0020570A">
        <w:t>19</w:t>
      </w:r>
      <w:r>
        <w:t xml:space="preserve"> et 21</w:t>
      </w:r>
      <w:r w:rsidR="0076142A" w:rsidRPr="0076142A">
        <w:t>.</w:t>
      </w:r>
    </w:p>
  </w:footnote>
  <w:footnote w:id="10">
    <w:p w14:paraId="699335CE" w14:textId="63B64C7D" w:rsidR="001C29B1" w:rsidRPr="003E4016" w:rsidRDefault="001C29B1" w:rsidP="002973E4">
      <w:pPr>
        <w:pStyle w:val="Notedebasdepage"/>
      </w:pPr>
      <w:r>
        <w:tab/>
      </w:r>
      <w:r w:rsidRPr="002973E4">
        <w:rPr>
          <w:rStyle w:val="Appelnotedebasdep"/>
        </w:rPr>
        <w:footnoteRef/>
      </w:r>
      <w:r>
        <w:tab/>
        <w:t>France, Code de la santé publique, art</w:t>
      </w:r>
      <w:r w:rsidR="0076142A" w:rsidRPr="0076142A">
        <w:t>.</w:t>
      </w:r>
      <w:r>
        <w:t xml:space="preserve"> R4122-5 et </w:t>
      </w:r>
      <w:r w:rsidRPr="003E4016">
        <w:t>R4124-4</w:t>
      </w:r>
      <w:r>
        <w:t xml:space="preserve"> (à l’époque des faits)</w:t>
      </w:r>
      <w:r w:rsidR="0076142A" w:rsidRPr="0076142A">
        <w:t>.</w:t>
      </w:r>
      <w:r>
        <w:t xml:space="preserve"> </w:t>
      </w:r>
    </w:p>
  </w:footnote>
  <w:footnote w:id="11">
    <w:p w14:paraId="4F84036A" w14:textId="32594CBB" w:rsidR="001C29B1" w:rsidRPr="00C11DF4" w:rsidRDefault="001C29B1" w:rsidP="002973E4">
      <w:pPr>
        <w:pStyle w:val="Notedebasdepage"/>
        <w:rPr>
          <w:lang w:val="fr-FR"/>
        </w:rPr>
      </w:pPr>
      <w:r>
        <w:tab/>
      </w:r>
      <w:r w:rsidRPr="002973E4">
        <w:rPr>
          <w:rStyle w:val="Appelnotedebasdep"/>
        </w:rPr>
        <w:footnoteRef/>
      </w:r>
      <w:r>
        <w:tab/>
        <w:t>Ibid</w:t>
      </w:r>
      <w:r w:rsidR="0076142A" w:rsidRPr="0076142A">
        <w:t>.</w:t>
      </w:r>
      <w:r>
        <w:t>, art</w:t>
      </w:r>
      <w:r w:rsidR="0076142A" w:rsidRPr="0076142A">
        <w:t>.</w:t>
      </w:r>
      <w:r>
        <w:t> </w:t>
      </w:r>
      <w:r w:rsidRPr="00B21088">
        <w:rPr>
          <w:lang w:val="fr-FR"/>
        </w:rPr>
        <w:t xml:space="preserve">L4122-3 </w:t>
      </w:r>
      <w:r>
        <w:rPr>
          <w:lang w:val="fr-FR"/>
        </w:rPr>
        <w:t>(</w:t>
      </w:r>
      <w:r w:rsidRPr="00B21088">
        <w:rPr>
          <w:lang w:val="fr-FR"/>
        </w:rPr>
        <w:t>à l</w:t>
      </w:r>
      <w:r>
        <w:rPr>
          <w:lang w:val="fr-FR"/>
        </w:rPr>
        <w:t>’</w:t>
      </w:r>
      <w:r w:rsidRPr="00B21088">
        <w:rPr>
          <w:lang w:val="fr-FR"/>
        </w:rPr>
        <w:t>époque des faits</w:t>
      </w:r>
      <w:r>
        <w:rPr>
          <w:lang w:val="fr-FR"/>
        </w:rPr>
        <w:t>)</w:t>
      </w:r>
      <w:r w:rsidR="0076142A" w:rsidRPr="0076142A">
        <w:rPr>
          <w:lang w:val="fr-FR"/>
        </w:rPr>
        <w:t>.</w:t>
      </w:r>
      <w:r w:rsidRPr="00C11DF4">
        <w:rPr>
          <w:lang w:val="fr-FR"/>
        </w:rPr>
        <w:t xml:space="preserve"> </w:t>
      </w:r>
    </w:p>
  </w:footnote>
  <w:footnote w:id="12">
    <w:p w14:paraId="1683E2B6" w14:textId="5B39166B" w:rsidR="001C29B1" w:rsidRPr="00B950D7" w:rsidRDefault="001C29B1" w:rsidP="002973E4">
      <w:pPr>
        <w:pStyle w:val="Notedebasdepage"/>
        <w:rPr>
          <w:lang w:val="fr-FR"/>
        </w:rPr>
      </w:pPr>
      <w:r w:rsidRPr="00316CB4">
        <w:tab/>
      </w:r>
      <w:r w:rsidRPr="002973E4">
        <w:rPr>
          <w:rStyle w:val="Appelnotedebasdep"/>
        </w:rPr>
        <w:footnoteRef/>
      </w:r>
      <w:r>
        <w:tab/>
      </w:r>
      <w:r w:rsidRPr="00B21088">
        <w:t>Cette règle a été confirmé</w:t>
      </w:r>
      <w:r>
        <w:t>e</w:t>
      </w:r>
      <w:r w:rsidRPr="00B21088">
        <w:t xml:space="preserve"> par le Conseil d</w:t>
      </w:r>
      <w:r>
        <w:t>’État</w:t>
      </w:r>
      <w:r w:rsidR="0076142A" w:rsidRPr="0076142A">
        <w:t>.</w:t>
      </w:r>
      <w:r w:rsidRPr="00B21088">
        <w:t xml:space="preserve"> Voir</w:t>
      </w:r>
      <w:r w:rsidRPr="00C11DF4">
        <w:t xml:space="preserve"> </w:t>
      </w:r>
      <w:r>
        <w:t>Conseil d’État de France</w:t>
      </w:r>
      <w:r w:rsidRPr="00B21088">
        <w:t xml:space="preserve">, </w:t>
      </w:r>
      <w:r>
        <w:t>n</w:t>
      </w:r>
      <w:r w:rsidRPr="009E7472">
        <w:rPr>
          <w:vertAlign w:val="superscript"/>
        </w:rPr>
        <w:t>o</w:t>
      </w:r>
      <w:r>
        <w:t> </w:t>
      </w:r>
      <w:r w:rsidRPr="00B21088">
        <w:t>376323</w:t>
      </w:r>
      <w:r>
        <w:t xml:space="preserve">, </w:t>
      </w:r>
      <w:r w:rsidRPr="00B21088">
        <w:t xml:space="preserve">13 mai 2015, </w:t>
      </w:r>
      <w:r>
        <w:t>par</w:t>
      </w:r>
      <w:r w:rsidR="0076142A" w:rsidRPr="0076142A">
        <w:t>.</w:t>
      </w:r>
      <w:r>
        <w:t> </w:t>
      </w:r>
      <w:r w:rsidRPr="00B21088">
        <w:t>3</w:t>
      </w:r>
      <w:r>
        <w:t> </w:t>
      </w:r>
      <w:r w:rsidRPr="00B21088">
        <w:t>;</w:t>
      </w:r>
      <w:r>
        <w:t xml:space="preserve"> et</w:t>
      </w:r>
      <w:r w:rsidRPr="00B21088">
        <w:t xml:space="preserve"> </w:t>
      </w:r>
      <w:r>
        <w:t>Conseil d’État de France</w:t>
      </w:r>
      <w:r w:rsidRPr="00B21088">
        <w:t xml:space="preserve">, </w:t>
      </w:r>
      <w:r>
        <w:t>n</w:t>
      </w:r>
      <w:r w:rsidRPr="00734141">
        <w:rPr>
          <w:vertAlign w:val="superscript"/>
        </w:rPr>
        <w:t>o</w:t>
      </w:r>
      <w:r>
        <w:t> </w:t>
      </w:r>
      <w:r w:rsidRPr="00B21088">
        <w:t>3</w:t>
      </w:r>
      <w:r>
        <w:t>44225</w:t>
      </w:r>
      <w:r w:rsidRPr="00B21088">
        <w:t>, 4 juillet 2012</w:t>
      </w:r>
      <w:r w:rsidR="0076142A" w:rsidRPr="0076142A">
        <w:t>.</w:t>
      </w:r>
    </w:p>
  </w:footnote>
  <w:footnote w:id="13">
    <w:p w14:paraId="5C9D147E" w14:textId="12B04EC0" w:rsidR="001C29B1" w:rsidRPr="008B501B" w:rsidRDefault="001C29B1" w:rsidP="002973E4">
      <w:pPr>
        <w:pStyle w:val="Notedebasdepage"/>
        <w:rPr>
          <w:lang w:val="fr-FR"/>
        </w:rPr>
      </w:pPr>
      <w:r>
        <w:tab/>
      </w:r>
      <w:r w:rsidRPr="002973E4">
        <w:rPr>
          <w:rStyle w:val="Appelnotedebasdep"/>
        </w:rPr>
        <w:footnoteRef/>
      </w:r>
      <w:r>
        <w:tab/>
      </w:r>
      <w:r w:rsidRPr="00316CB4">
        <w:t>Cour européenne des droits de l</w:t>
      </w:r>
      <w:r>
        <w:t>’</w:t>
      </w:r>
      <w:r w:rsidRPr="00316CB4">
        <w:t xml:space="preserve">homme, </w:t>
      </w:r>
      <w:r w:rsidRPr="009E7472">
        <w:rPr>
          <w:i/>
          <w:iCs/>
        </w:rPr>
        <w:t>García Ruiz c</w:t>
      </w:r>
      <w:r w:rsidR="0076142A" w:rsidRPr="0076142A">
        <w:rPr>
          <w:i/>
          <w:iCs/>
        </w:rPr>
        <w:t>.</w:t>
      </w:r>
      <w:r w:rsidRPr="009E7472">
        <w:rPr>
          <w:i/>
          <w:iCs/>
        </w:rPr>
        <w:t xml:space="preserve"> Espagne</w:t>
      </w:r>
      <w:r w:rsidRPr="00316CB4">
        <w:t xml:space="preserve">, requête </w:t>
      </w:r>
      <w:r>
        <w:rPr>
          <w:rFonts w:eastAsia="MS Mincho"/>
        </w:rPr>
        <w:t>n</w:t>
      </w:r>
      <w:r>
        <w:rPr>
          <w:rFonts w:eastAsia="MS Mincho"/>
          <w:vertAlign w:val="superscript"/>
        </w:rPr>
        <w:t>o</w:t>
      </w:r>
      <w:r>
        <w:t> </w:t>
      </w:r>
      <w:r w:rsidRPr="00B21088">
        <w:t>30544/96</w:t>
      </w:r>
      <w:r w:rsidRPr="00316CB4">
        <w:t>, arrêt</w:t>
      </w:r>
      <w:r>
        <w:t>,</w:t>
      </w:r>
      <w:r w:rsidRPr="00316CB4">
        <w:t xml:space="preserve"> </w:t>
      </w:r>
      <w:r w:rsidRPr="00B21088">
        <w:t>21</w:t>
      </w:r>
      <w:r>
        <w:t> </w:t>
      </w:r>
      <w:r w:rsidRPr="00B21088">
        <w:t>janvier 1999</w:t>
      </w:r>
      <w:r w:rsidRPr="00316CB4">
        <w:t>, par</w:t>
      </w:r>
      <w:r w:rsidR="0076142A" w:rsidRPr="0076142A">
        <w:t>.</w:t>
      </w:r>
      <w:r w:rsidR="0038724A">
        <w:t> </w:t>
      </w:r>
      <w:r w:rsidRPr="00316CB4">
        <w:t>26</w:t>
      </w:r>
      <w:r w:rsidR="0076142A" w:rsidRPr="0076142A">
        <w:t>.</w:t>
      </w:r>
    </w:p>
  </w:footnote>
  <w:footnote w:id="14">
    <w:p w14:paraId="1127FE58" w14:textId="292E1519" w:rsidR="001C29B1" w:rsidRPr="00096C2A" w:rsidRDefault="001C29B1" w:rsidP="002973E4">
      <w:pPr>
        <w:pStyle w:val="Notedebasdepage"/>
        <w:rPr>
          <w:lang w:val="fr-FR"/>
        </w:rPr>
      </w:pPr>
      <w:r>
        <w:tab/>
      </w:r>
      <w:r w:rsidRPr="002973E4">
        <w:rPr>
          <w:rStyle w:val="Appelnotedebasdep"/>
        </w:rPr>
        <w:footnoteRef/>
      </w:r>
      <w:r>
        <w:tab/>
        <w:t>Voir Conseil d’État de France</w:t>
      </w:r>
      <w:r w:rsidRPr="00096C2A">
        <w:t xml:space="preserve">, Section, </w:t>
      </w:r>
      <w:r w:rsidRPr="009E7472">
        <w:rPr>
          <w:i/>
          <w:iCs/>
        </w:rPr>
        <w:t xml:space="preserve">Société </w:t>
      </w:r>
      <w:proofErr w:type="spellStart"/>
      <w:r w:rsidRPr="009E7472">
        <w:rPr>
          <w:i/>
          <w:iCs/>
        </w:rPr>
        <w:t>Intercopie</w:t>
      </w:r>
      <w:proofErr w:type="spellEnd"/>
      <w:r w:rsidRPr="00096C2A">
        <w:t>, n</w:t>
      </w:r>
      <w:r w:rsidRPr="009E7472">
        <w:rPr>
          <w:vertAlign w:val="superscript"/>
        </w:rPr>
        <w:t>o</w:t>
      </w:r>
      <w:r>
        <w:t> </w:t>
      </w:r>
      <w:r w:rsidRPr="00096C2A">
        <w:t>9772, 20</w:t>
      </w:r>
      <w:r>
        <w:t> </w:t>
      </w:r>
      <w:r w:rsidRPr="00096C2A">
        <w:t>février</w:t>
      </w:r>
      <w:r>
        <w:t> </w:t>
      </w:r>
      <w:r w:rsidRPr="00096C2A">
        <w:t>1953</w:t>
      </w:r>
      <w:r w:rsidR="0076142A" w:rsidRPr="0076142A">
        <w:t>.</w:t>
      </w:r>
    </w:p>
  </w:footnote>
  <w:footnote w:id="15">
    <w:p w14:paraId="46551DE8" w14:textId="5FBF73C7" w:rsidR="001C29B1" w:rsidRPr="00B45F3D" w:rsidRDefault="001C29B1" w:rsidP="002973E4">
      <w:pPr>
        <w:pStyle w:val="Notedebasdepage"/>
      </w:pPr>
      <w:r>
        <w:rPr>
          <w:lang w:val="fr-FR"/>
        </w:rPr>
        <w:tab/>
      </w:r>
      <w:r w:rsidRPr="002973E4">
        <w:rPr>
          <w:rStyle w:val="Appelnotedebasdep"/>
        </w:rPr>
        <w:footnoteRef/>
      </w:r>
      <w:r>
        <w:tab/>
      </w:r>
      <w:r w:rsidRPr="00316CB4">
        <w:t>Cour européenne des droits de l</w:t>
      </w:r>
      <w:r>
        <w:t>’</w:t>
      </w:r>
      <w:r w:rsidRPr="00316CB4">
        <w:t xml:space="preserve">homme, </w:t>
      </w:r>
      <w:proofErr w:type="spellStart"/>
      <w:r w:rsidRPr="009E7472">
        <w:rPr>
          <w:i/>
          <w:iCs/>
        </w:rPr>
        <w:t>Sosinowska</w:t>
      </w:r>
      <w:proofErr w:type="spellEnd"/>
      <w:r w:rsidRPr="009E7472">
        <w:rPr>
          <w:i/>
          <w:iCs/>
        </w:rPr>
        <w:t xml:space="preserve"> c</w:t>
      </w:r>
      <w:r w:rsidR="0076142A" w:rsidRPr="0076142A">
        <w:rPr>
          <w:i/>
          <w:iCs/>
        </w:rPr>
        <w:t>.</w:t>
      </w:r>
      <w:r w:rsidRPr="009E7472">
        <w:rPr>
          <w:i/>
          <w:iCs/>
        </w:rPr>
        <w:t xml:space="preserve"> Pologne</w:t>
      </w:r>
      <w:r w:rsidRPr="00B21088">
        <w:t>, req</w:t>
      </w:r>
      <w:r>
        <w:t>uête</w:t>
      </w:r>
      <w:r w:rsidRPr="00B21088">
        <w:t xml:space="preserve"> </w:t>
      </w:r>
      <w:r>
        <w:rPr>
          <w:rFonts w:eastAsia="MS Mincho"/>
        </w:rPr>
        <w:t>n</w:t>
      </w:r>
      <w:r>
        <w:rPr>
          <w:rFonts w:eastAsia="MS Mincho"/>
          <w:vertAlign w:val="superscript"/>
        </w:rPr>
        <w:t>o</w:t>
      </w:r>
      <w:r>
        <w:t> </w:t>
      </w:r>
      <w:r w:rsidRPr="00B21088">
        <w:t>10247/09, arrêt, 18</w:t>
      </w:r>
      <w:r>
        <w:t> </w:t>
      </w:r>
      <w:r w:rsidRPr="00B21088">
        <w:t>octobre 2011, par</w:t>
      </w:r>
      <w:r w:rsidR="0076142A" w:rsidRPr="0076142A">
        <w:t>.</w:t>
      </w:r>
      <w:r w:rsidR="0038724A">
        <w:t> </w:t>
      </w:r>
      <w:r w:rsidRPr="00B21088">
        <w:t>87</w:t>
      </w:r>
      <w:r w:rsidR="0076142A" w:rsidRPr="0076142A">
        <w:t>.</w:t>
      </w:r>
    </w:p>
  </w:footnote>
  <w:footnote w:id="16">
    <w:p w14:paraId="4A692000" w14:textId="4CBB4B52" w:rsidR="001C29B1" w:rsidRPr="00441629" w:rsidRDefault="001C29B1" w:rsidP="002973E4">
      <w:pPr>
        <w:pStyle w:val="Notedebasdepage"/>
        <w:rPr>
          <w:highlight w:val="cyan"/>
          <w:lang w:val="fr-FR"/>
        </w:rPr>
      </w:pPr>
      <w:r>
        <w:tab/>
      </w:r>
      <w:r w:rsidRPr="002973E4">
        <w:rPr>
          <w:rStyle w:val="Appelnotedebasdep"/>
        </w:rPr>
        <w:footnoteRef/>
      </w:r>
      <w:r>
        <w:tab/>
        <w:t xml:space="preserve">Voir </w:t>
      </w:r>
      <w:r w:rsidRPr="00B21088">
        <w:t>Cour européenne des droits de l</w:t>
      </w:r>
      <w:r>
        <w:t>’</w:t>
      </w:r>
      <w:r w:rsidRPr="00B21088">
        <w:t xml:space="preserve">homme, </w:t>
      </w:r>
      <w:proofErr w:type="spellStart"/>
      <w:r w:rsidRPr="00451E4D">
        <w:rPr>
          <w:i/>
        </w:rPr>
        <w:t>Gautrin</w:t>
      </w:r>
      <w:proofErr w:type="spellEnd"/>
      <w:r w:rsidRPr="00451E4D">
        <w:rPr>
          <w:i/>
        </w:rPr>
        <w:t xml:space="preserve"> et autres c</w:t>
      </w:r>
      <w:r w:rsidR="0076142A" w:rsidRPr="0076142A">
        <w:rPr>
          <w:i/>
        </w:rPr>
        <w:t>.</w:t>
      </w:r>
      <w:r w:rsidRPr="00451E4D">
        <w:rPr>
          <w:i/>
        </w:rPr>
        <w:t xml:space="preserve"> France</w:t>
      </w:r>
      <w:r w:rsidRPr="00B21088">
        <w:t>, req</w:t>
      </w:r>
      <w:r>
        <w:t>uêtes n</w:t>
      </w:r>
      <w:r w:rsidRPr="009E7472">
        <w:rPr>
          <w:vertAlign w:val="superscript"/>
        </w:rPr>
        <w:t>os</w:t>
      </w:r>
      <w:r>
        <w:t> </w:t>
      </w:r>
      <w:r w:rsidRPr="00B21088">
        <w:t>21257/93</w:t>
      </w:r>
      <w:r>
        <w:t>,</w:t>
      </w:r>
      <w:r w:rsidRPr="00B21088">
        <w:t xml:space="preserve"> 21258/93</w:t>
      </w:r>
      <w:r>
        <w:t>,</w:t>
      </w:r>
      <w:r w:rsidRPr="00B21088">
        <w:t xml:space="preserve"> 21259/93</w:t>
      </w:r>
      <w:r>
        <w:t xml:space="preserve"> et</w:t>
      </w:r>
      <w:r w:rsidRPr="00B21088">
        <w:t xml:space="preserve"> 21260/93, arrêt</w:t>
      </w:r>
      <w:r>
        <w:t>,</w:t>
      </w:r>
      <w:r w:rsidRPr="00B21088">
        <w:t xml:space="preserve"> 20 mai 1998</w:t>
      </w:r>
      <w:r w:rsidR="0076142A" w:rsidRPr="0076142A">
        <w:t>.</w:t>
      </w:r>
    </w:p>
  </w:footnote>
  <w:footnote w:id="17">
    <w:p w14:paraId="3DFD8E38" w14:textId="534A08F3" w:rsidR="001C29B1" w:rsidRPr="00441629" w:rsidRDefault="001C29B1" w:rsidP="002973E4">
      <w:pPr>
        <w:pStyle w:val="Notedebasdepage"/>
        <w:rPr>
          <w:lang w:val="fr-FR"/>
        </w:rPr>
      </w:pPr>
      <w:r>
        <w:tab/>
      </w:r>
      <w:r w:rsidRPr="002973E4">
        <w:rPr>
          <w:rStyle w:val="Appelnotedebasdep"/>
        </w:rPr>
        <w:footnoteRef/>
      </w:r>
      <w:r>
        <w:tab/>
      </w:r>
      <w:r w:rsidRPr="00B21088">
        <w:t>Cour européenne des droits de l</w:t>
      </w:r>
      <w:r>
        <w:t>’</w:t>
      </w:r>
      <w:r w:rsidRPr="00B21088">
        <w:t xml:space="preserve">homme, </w:t>
      </w:r>
      <w:r w:rsidRPr="00451E4D">
        <w:rPr>
          <w:i/>
        </w:rPr>
        <w:t>Serre c</w:t>
      </w:r>
      <w:r w:rsidR="0076142A" w:rsidRPr="0076142A">
        <w:rPr>
          <w:i/>
        </w:rPr>
        <w:t>.</w:t>
      </w:r>
      <w:r w:rsidRPr="00451E4D">
        <w:rPr>
          <w:i/>
        </w:rPr>
        <w:t xml:space="preserve"> France</w:t>
      </w:r>
      <w:r w:rsidRPr="00B21088">
        <w:t>, req</w:t>
      </w:r>
      <w:r>
        <w:t>uête</w:t>
      </w:r>
      <w:r w:rsidRPr="00B21088">
        <w:t xml:space="preserve"> </w:t>
      </w:r>
      <w:r w:rsidR="00B3315E">
        <w:rPr>
          <w:rFonts w:eastAsia="MS Mincho"/>
        </w:rPr>
        <w:t>n</w:t>
      </w:r>
      <w:r w:rsidR="00B3315E">
        <w:rPr>
          <w:rFonts w:eastAsia="MS Mincho"/>
          <w:vertAlign w:val="superscript"/>
        </w:rPr>
        <w:t>o</w:t>
      </w:r>
      <w:r w:rsidR="00B3315E">
        <w:t> </w:t>
      </w:r>
      <w:r w:rsidRPr="00B21088">
        <w:t>29718/96, arrêt</w:t>
      </w:r>
      <w:r>
        <w:t>,</w:t>
      </w:r>
      <w:r w:rsidRPr="00B21088">
        <w:t xml:space="preserve"> 29 septembre 1999, par</w:t>
      </w:r>
      <w:r w:rsidR="0076142A" w:rsidRPr="0076142A">
        <w:t>.</w:t>
      </w:r>
      <w:r>
        <w:t> </w:t>
      </w:r>
      <w:r w:rsidRPr="00B21088">
        <w:t>21</w:t>
      </w:r>
      <w:r>
        <w:t xml:space="preserve"> à </w:t>
      </w:r>
      <w:r w:rsidRPr="00B21088">
        <w:t>23</w:t>
      </w:r>
      <w:r w:rsidR="0076142A" w:rsidRPr="0076142A">
        <w:t>.</w:t>
      </w:r>
    </w:p>
  </w:footnote>
  <w:footnote w:id="18">
    <w:p w14:paraId="4345DB9A" w14:textId="211534A2" w:rsidR="001C29B1" w:rsidRPr="00E84CDE" w:rsidRDefault="001C29B1" w:rsidP="002973E4">
      <w:pPr>
        <w:pStyle w:val="Notedebasdepage"/>
      </w:pPr>
      <w:r>
        <w:tab/>
      </w:r>
      <w:r w:rsidRPr="002973E4">
        <w:rPr>
          <w:rStyle w:val="Appelnotedebasdep"/>
        </w:rPr>
        <w:footnoteRef/>
      </w:r>
      <w:r>
        <w:tab/>
      </w:r>
      <w:r w:rsidRPr="00316CB4">
        <w:t>Conseil d</w:t>
      </w:r>
      <w:r>
        <w:t>’État de France</w:t>
      </w:r>
      <w:r w:rsidRPr="00B21088">
        <w:t xml:space="preserve">, </w:t>
      </w:r>
      <w:r>
        <w:t>n</w:t>
      </w:r>
      <w:r w:rsidRPr="009E7472">
        <w:rPr>
          <w:vertAlign w:val="superscript"/>
        </w:rPr>
        <w:t>o</w:t>
      </w:r>
      <w:r>
        <w:t xml:space="preserve"> 110332, </w:t>
      </w:r>
      <w:r w:rsidRPr="00B21088">
        <w:t>29 octobre 1990</w:t>
      </w:r>
      <w:r>
        <w:t>,</w:t>
      </w:r>
      <w:r w:rsidRPr="00B21088">
        <w:t xml:space="preserve"> cité dans Cour européenne des droits de l</w:t>
      </w:r>
      <w:r>
        <w:t>’</w:t>
      </w:r>
      <w:r w:rsidRPr="00B21088">
        <w:t xml:space="preserve">homme, </w:t>
      </w:r>
      <w:proofErr w:type="spellStart"/>
      <w:r w:rsidRPr="00451E4D">
        <w:rPr>
          <w:i/>
        </w:rPr>
        <w:t>Diennet</w:t>
      </w:r>
      <w:proofErr w:type="spellEnd"/>
      <w:r w:rsidRPr="00451E4D">
        <w:rPr>
          <w:i/>
        </w:rPr>
        <w:t xml:space="preserve"> c</w:t>
      </w:r>
      <w:r w:rsidR="0076142A" w:rsidRPr="0076142A">
        <w:rPr>
          <w:i/>
        </w:rPr>
        <w:t>.</w:t>
      </w:r>
      <w:r>
        <w:rPr>
          <w:i/>
        </w:rPr>
        <w:t> </w:t>
      </w:r>
      <w:r w:rsidRPr="00451E4D">
        <w:rPr>
          <w:i/>
        </w:rPr>
        <w:t>France</w:t>
      </w:r>
      <w:r w:rsidRPr="00B21088">
        <w:t>, req</w:t>
      </w:r>
      <w:r>
        <w:t>uête</w:t>
      </w:r>
      <w:r w:rsidRPr="00B21088">
        <w:t xml:space="preserve"> </w:t>
      </w:r>
      <w:r>
        <w:rPr>
          <w:rFonts w:eastAsia="MS Mincho"/>
        </w:rPr>
        <w:t>n</w:t>
      </w:r>
      <w:r>
        <w:rPr>
          <w:rFonts w:eastAsia="MS Mincho"/>
          <w:vertAlign w:val="superscript"/>
        </w:rPr>
        <w:t>o</w:t>
      </w:r>
      <w:r>
        <w:t> </w:t>
      </w:r>
      <w:r w:rsidRPr="00316CB4">
        <w:t>18160/91</w:t>
      </w:r>
      <w:r>
        <w:t>, arrêt,</w:t>
      </w:r>
      <w:r w:rsidRPr="00316CB4">
        <w:t xml:space="preserve"> </w:t>
      </w:r>
      <w:r w:rsidRPr="00B21088">
        <w:t>26 septembre 1995, par</w:t>
      </w:r>
      <w:r w:rsidR="0076142A" w:rsidRPr="0076142A">
        <w:t>.</w:t>
      </w:r>
      <w:r w:rsidR="00B3315E">
        <w:t> </w:t>
      </w:r>
      <w:r w:rsidRPr="00B21088">
        <w:t>13</w:t>
      </w:r>
      <w:r w:rsidR="0076142A" w:rsidRPr="0076142A">
        <w:t>.</w:t>
      </w:r>
      <w:r>
        <w:t xml:space="preserve"> </w:t>
      </w:r>
    </w:p>
  </w:footnote>
  <w:footnote w:id="19">
    <w:p w14:paraId="6A0673F1" w14:textId="5BADED3A" w:rsidR="001C29B1" w:rsidRPr="004138B2" w:rsidRDefault="001C29B1" w:rsidP="002973E4">
      <w:pPr>
        <w:pStyle w:val="Notedebasdepage"/>
        <w:rPr>
          <w:lang w:val="fr-FR"/>
        </w:rPr>
      </w:pPr>
      <w:r>
        <w:tab/>
      </w:r>
      <w:r w:rsidRPr="002973E4">
        <w:rPr>
          <w:rStyle w:val="Appelnotedebasdep"/>
        </w:rPr>
        <w:footnoteRef/>
      </w:r>
      <w:r>
        <w:tab/>
      </w:r>
      <w:r w:rsidRPr="004C1575">
        <w:t>Cour européenne des droits de l</w:t>
      </w:r>
      <w:r>
        <w:t>’</w:t>
      </w:r>
      <w:r w:rsidRPr="004C1575">
        <w:t xml:space="preserve">homme, </w:t>
      </w:r>
      <w:r w:rsidRPr="009E7472">
        <w:rPr>
          <w:i/>
          <w:iCs/>
        </w:rPr>
        <w:t>Serre c</w:t>
      </w:r>
      <w:r w:rsidR="0076142A" w:rsidRPr="0076142A">
        <w:rPr>
          <w:i/>
          <w:iCs/>
        </w:rPr>
        <w:t>.</w:t>
      </w:r>
      <w:r w:rsidRPr="009E7472">
        <w:rPr>
          <w:i/>
          <w:iCs/>
        </w:rPr>
        <w:t xml:space="preserve"> France</w:t>
      </w:r>
      <w:r w:rsidRPr="004C1575">
        <w:t>, req</w:t>
      </w:r>
      <w:r>
        <w:t>uête</w:t>
      </w:r>
      <w:r w:rsidRPr="004C1575">
        <w:t xml:space="preserve"> </w:t>
      </w:r>
      <w:r>
        <w:rPr>
          <w:rFonts w:eastAsia="MS Mincho"/>
        </w:rPr>
        <w:t>n</w:t>
      </w:r>
      <w:r>
        <w:rPr>
          <w:rFonts w:eastAsia="MS Mincho"/>
          <w:vertAlign w:val="superscript"/>
        </w:rPr>
        <w:t>o</w:t>
      </w:r>
      <w:r>
        <w:t> </w:t>
      </w:r>
      <w:r w:rsidRPr="004C1575">
        <w:t>29718/96, arrêt</w:t>
      </w:r>
      <w:r>
        <w:t>,</w:t>
      </w:r>
      <w:r w:rsidRPr="004C1575">
        <w:t xml:space="preserve"> 29 septembre 1999, par</w:t>
      </w:r>
      <w:r w:rsidR="0076142A" w:rsidRPr="0076142A">
        <w:t>.</w:t>
      </w:r>
      <w:r w:rsidR="00B3315E">
        <w:t> </w:t>
      </w:r>
      <w:r w:rsidRPr="00B21088">
        <w:t>15</w:t>
      </w:r>
      <w:r w:rsidR="0076142A" w:rsidRPr="0076142A">
        <w:t>.</w:t>
      </w:r>
      <w:r w:rsidRPr="00B21088">
        <w:t xml:space="preserve"> Voir aussi </w:t>
      </w:r>
      <w:r w:rsidRPr="00316CB4">
        <w:t>Conseil d</w:t>
      </w:r>
      <w:r>
        <w:t>’État de France,</w:t>
      </w:r>
      <w:r w:rsidRPr="00B21088">
        <w:t xml:space="preserve"> </w:t>
      </w:r>
      <w:r w:rsidRPr="009E7472">
        <w:rPr>
          <w:i/>
          <w:iCs/>
        </w:rPr>
        <w:t>Debout</w:t>
      </w:r>
      <w:r>
        <w:t>, n</w:t>
      </w:r>
      <w:r w:rsidRPr="009E7472">
        <w:rPr>
          <w:vertAlign w:val="superscript"/>
        </w:rPr>
        <w:t>o</w:t>
      </w:r>
      <w:r>
        <w:t> 7103,</w:t>
      </w:r>
      <w:r w:rsidRPr="00B21088">
        <w:t xml:space="preserve"> 27 octobre 1978</w:t>
      </w:r>
      <w:r>
        <w:t> </w:t>
      </w:r>
      <w:r w:rsidRPr="00B21088">
        <w:t>;</w:t>
      </w:r>
      <w:r>
        <w:t xml:space="preserve"> et </w:t>
      </w:r>
      <w:r w:rsidRPr="00316CB4">
        <w:t>Conseil d</w:t>
      </w:r>
      <w:r>
        <w:t>’État de France,</w:t>
      </w:r>
      <w:r w:rsidRPr="00B21088">
        <w:t xml:space="preserve"> </w:t>
      </w:r>
      <w:proofErr w:type="spellStart"/>
      <w:r w:rsidRPr="009E7472">
        <w:rPr>
          <w:i/>
          <w:iCs/>
        </w:rPr>
        <w:t>Subrini</w:t>
      </w:r>
      <w:proofErr w:type="spellEnd"/>
      <w:r>
        <w:t>, n</w:t>
      </w:r>
      <w:r w:rsidRPr="009E7472">
        <w:rPr>
          <w:vertAlign w:val="superscript"/>
        </w:rPr>
        <w:t>o</w:t>
      </w:r>
      <w:r>
        <w:t> 41744,</w:t>
      </w:r>
      <w:r w:rsidRPr="00B21088">
        <w:t xml:space="preserve"> 11 juillet 1984</w:t>
      </w:r>
      <w:r w:rsidR="0076142A" w:rsidRPr="0076142A">
        <w:t>.</w:t>
      </w:r>
      <w:r>
        <w:t xml:space="preserve"> </w:t>
      </w:r>
    </w:p>
  </w:footnote>
  <w:footnote w:id="20">
    <w:p w14:paraId="149ACBF4" w14:textId="263DB237" w:rsidR="001C29B1" w:rsidRPr="00834B99" w:rsidRDefault="001C29B1" w:rsidP="002973E4">
      <w:pPr>
        <w:pStyle w:val="Notedebasdepage"/>
        <w:rPr>
          <w:lang w:val="fr-FR"/>
        </w:rPr>
      </w:pPr>
      <w:r>
        <w:tab/>
      </w:r>
      <w:r w:rsidRPr="002973E4">
        <w:rPr>
          <w:rStyle w:val="Appelnotedebasdep"/>
        </w:rPr>
        <w:footnoteRef/>
      </w:r>
      <w:r>
        <w:tab/>
        <w:t>L’</w:t>
      </w:r>
      <w:r w:rsidRPr="00F63B54">
        <w:t xml:space="preserve">auteur </w:t>
      </w:r>
      <w:r>
        <w:t>renvoie à</w:t>
      </w:r>
      <w:r w:rsidRPr="00F63B54">
        <w:t xml:space="preserve"> </w:t>
      </w:r>
      <w:r w:rsidRPr="001B7046">
        <w:t>l</w:t>
      </w:r>
      <w:r>
        <w:t>’</w:t>
      </w:r>
      <w:r w:rsidRPr="001B7046">
        <w:t>arrêt</w:t>
      </w:r>
      <w:r w:rsidRPr="00F63B54">
        <w:t xml:space="preserve"> </w:t>
      </w:r>
      <w:proofErr w:type="spellStart"/>
      <w:r w:rsidRPr="009E7472">
        <w:rPr>
          <w:i/>
          <w:iCs/>
        </w:rPr>
        <w:t>Gubler</w:t>
      </w:r>
      <w:proofErr w:type="spellEnd"/>
      <w:r w:rsidRPr="009E7472">
        <w:rPr>
          <w:i/>
          <w:iCs/>
        </w:rPr>
        <w:t xml:space="preserve"> c</w:t>
      </w:r>
      <w:r w:rsidR="0076142A" w:rsidRPr="0076142A">
        <w:rPr>
          <w:i/>
          <w:iCs/>
        </w:rPr>
        <w:t>.</w:t>
      </w:r>
      <w:r w:rsidRPr="009E7472">
        <w:rPr>
          <w:i/>
          <w:iCs/>
        </w:rPr>
        <w:t xml:space="preserve"> France</w:t>
      </w:r>
      <w:r>
        <w:t xml:space="preserve"> </w:t>
      </w:r>
      <w:r w:rsidRPr="00F63B54">
        <w:t xml:space="preserve">pour </w:t>
      </w:r>
      <w:r>
        <w:t>alléguer que les juridictions ordinales françaises ont été mises en doute par la Cour européenne des droits de l’homme pour défaut d’impartialité et d’indépendance</w:t>
      </w:r>
      <w:r w:rsidR="0076142A" w:rsidRPr="0076142A">
        <w:t>.</w:t>
      </w:r>
      <w:r w:rsidRPr="00F63B54">
        <w:t xml:space="preserve"> </w:t>
      </w:r>
      <w:r w:rsidRPr="0018442B">
        <w:t>Voir Cour européenne des droits de l</w:t>
      </w:r>
      <w:r>
        <w:t>’</w:t>
      </w:r>
      <w:r w:rsidRPr="0018442B">
        <w:t>homme</w:t>
      </w:r>
      <w:r w:rsidRPr="00B21088">
        <w:t xml:space="preserve">, </w:t>
      </w:r>
      <w:proofErr w:type="spellStart"/>
      <w:r w:rsidRPr="00A82E8E">
        <w:rPr>
          <w:i/>
        </w:rPr>
        <w:t>Gubler</w:t>
      </w:r>
      <w:proofErr w:type="spellEnd"/>
      <w:r w:rsidRPr="00A82E8E">
        <w:rPr>
          <w:i/>
        </w:rPr>
        <w:t xml:space="preserve"> c</w:t>
      </w:r>
      <w:r w:rsidR="0076142A" w:rsidRPr="0076142A">
        <w:rPr>
          <w:i/>
        </w:rPr>
        <w:t>.</w:t>
      </w:r>
      <w:r w:rsidRPr="00A82E8E">
        <w:rPr>
          <w:i/>
        </w:rPr>
        <w:t xml:space="preserve"> France</w:t>
      </w:r>
      <w:r w:rsidRPr="00B21088">
        <w:t>, req</w:t>
      </w:r>
      <w:r>
        <w:t>uête</w:t>
      </w:r>
      <w:r w:rsidRPr="00B21088">
        <w:t xml:space="preserve"> </w:t>
      </w:r>
      <w:r>
        <w:rPr>
          <w:rFonts w:eastAsia="MS Mincho"/>
        </w:rPr>
        <w:t>n</w:t>
      </w:r>
      <w:r>
        <w:rPr>
          <w:rFonts w:eastAsia="MS Mincho"/>
          <w:vertAlign w:val="superscript"/>
        </w:rPr>
        <w:t>o</w:t>
      </w:r>
      <w:r>
        <w:t> </w:t>
      </w:r>
      <w:r w:rsidRPr="00B21088">
        <w:t>69742/01, arrêt</w:t>
      </w:r>
      <w:r>
        <w:t>,</w:t>
      </w:r>
      <w:r w:rsidRPr="00B21088">
        <w:t xml:space="preserve"> 27 juillet 2006</w:t>
      </w:r>
      <w:r w:rsidR="0076142A" w:rsidRPr="0076142A">
        <w:t>.</w:t>
      </w:r>
      <w:r>
        <w:t xml:space="preserve"> </w:t>
      </w:r>
    </w:p>
  </w:footnote>
  <w:footnote w:id="21">
    <w:p w14:paraId="118F1C98" w14:textId="0E332C2C" w:rsidR="001C29B1" w:rsidRPr="00834B99" w:rsidRDefault="001C29B1" w:rsidP="002973E4">
      <w:pPr>
        <w:pStyle w:val="Notedebasdepage"/>
        <w:rPr>
          <w:lang w:val="fr-FR"/>
        </w:rPr>
      </w:pPr>
      <w:r>
        <w:tab/>
      </w:r>
      <w:r w:rsidRPr="002973E4">
        <w:rPr>
          <w:rStyle w:val="Appelnotedebasdep"/>
        </w:rPr>
        <w:footnoteRef/>
      </w:r>
      <w:r>
        <w:tab/>
      </w:r>
      <w:r w:rsidRPr="00834B99">
        <w:rPr>
          <w:lang w:val="fr-FR"/>
        </w:rPr>
        <w:t>Cour des comptes</w:t>
      </w:r>
      <w:r>
        <w:rPr>
          <w:lang w:val="fr-FR"/>
        </w:rPr>
        <w:t xml:space="preserve"> de France</w:t>
      </w:r>
      <w:r w:rsidRPr="00834B99">
        <w:rPr>
          <w:lang w:val="fr-FR"/>
        </w:rPr>
        <w:t>,</w:t>
      </w:r>
      <w:r>
        <w:rPr>
          <w:lang w:val="fr-FR"/>
        </w:rPr>
        <w:t xml:space="preserve"> </w:t>
      </w:r>
      <w:r w:rsidRPr="00CC6614">
        <w:t>«</w:t>
      </w:r>
      <w:r>
        <w:t> </w:t>
      </w:r>
      <w:r w:rsidRPr="00CC6614">
        <w:t>L</w:t>
      </w:r>
      <w:r>
        <w:t>’</w:t>
      </w:r>
      <w:r w:rsidRPr="00CC6614">
        <w:t>Ordre national des chirurgiens-dentistes</w:t>
      </w:r>
      <w:r>
        <w:t> </w:t>
      </w:r>
      <w:r w:rsidRPr="00CC6614">
        <w:t>: retrouver le sens de ses missions de service public</w:t>
      </w:r>
      <w:r>
        <w:t> </w:t>
      </w:r>
      <w:r w:rsidRPr="00CC6614">
        <w:t>»</w:t>
      </w:r>
      <w:r>
        <w:t xml:space="preserve">, </w:t>
      </w:r>
      <w:r w:rsidRPr="009E7472">
        <w:rPr>
          <w:i/>
          <w:iCs/>
        </w:rPr>
        <w:t>Rapport public annuel 2017</w:t>
      </w:r>
      <w:r>
        <w:t>,</w:t>
      </w:r>
      <w:r w:rsidRPr="00834B99">
        <w:rPr>
          <w:lang w:val="fr-FR"/>
        </w:rPr>
        <w:t xml:space="preserve"> février 2017</w:t>
      </w:r>
      <w:r>
        <w:rPr>
          <w:lang w:val="fr-FR"/>
        </w:rPr>
        <w:t>, p</w:t>
      </w:r>
      <w:r w:rsidR="0076142A" w:rsidRPr="0076142A">
        <w:rPr>
          <w:lang w:val="fr-FR"/>
        </w:rPr>
        <w:t>.</w:t>
      </w:r>
      <w:r>
        <w:rPr>
          <w:lang w:val="fr-FR"/>
        </w:rPr>
        <w:t> 115 à 164, à la page 131</w:t>
      </w:r>
      <w:r w:rsidR="0076142A" w:rsidRPr="0076142A">
        <w:rPr>
          <w:lang w:val="fr-FR"/>
        </w:rPr>
        <w:t>.</w:t>
      </w:r>
      <w:r>
        <w:rPr>
          <w:lang w:val="fr-FR"/>
        </w:rPr>
        <w:t xml:space="preserve"> </w:t>
      </w:r>
    </w:p>
  </w:footnote>
  <w:footnote w:id="22">
    <w:p w14:paraId="3A48BB9A" w14:textId="229925F0" w:rsidR="001C29B1" w:rsidRPr="00F6297E" w:rsidRDefault="001C29B1" w:rsidP="002973E4">
      <w:pPr>
        <w:pStyle w:val="Notedebasdepage"/>
        <w:rPr>
          <w:lang w:val="fr-FR"/>
        </w:rPr>
      </w:pPr>
      <w:r>
        <w:rPr>
          <w:lang w:val="fr-FR"/>
        </w:rPr>
        <w:tab/>
      </w:r>
      <w:r w:rsidRPr="002973E4">
        <w:rPr>
          <w:rStyle w:val="Appelnotedebasdep"/>
        </w:rPr>
        <w:footnoteRef/>
      </w:r>
      <w:r>
        <w:tab/>
      </w:r>
      <w:r>
        <w:rPr>
          <w:lang w:val="fr-FR"/>
        </w:rPr>
        <w:t>France,</w:t>
      </w:r>
      <w:r w:rsidRPr="00F6297E">
        <w:rPr>
          <w:lang w:val="fr-FR"/>
        </w:rPr>
        <w:t xml:space="preserve"> Code de </w:t>
      </w:r>
      <w:r>
        <w:rPr>
          <w:lang w:val="fr-FR"/>
        </w:rPr>
        <w:t>p</w:t>
      </w:r>
      <w:r w:rsidRPr="00F6297E">
        <w:rPr>
          <w:lang w:val="fr-FR"/>
        </w:rPr>
        <w:t xml:space="preserve">rocédure </w:t>
      </w:r>
      <w:r>
        <w:rPr>
          <w:lang w:val="fr-FR"/>
        </w:rPr>
        <w:t>c</w:t>
      </w:r>
      <w:r w:rsidRPr="00F6297E">
        <w:rPr>
          <w:lang w:val="fr-FR"/>
        </w:rPr>
        <w:t>ivile</w:t>
      </w:r>
      <w:r>
        <w:rPr>
          <w:lang w:val="fr-FR"/>
        </w:rPr>
        <w:t>, art</w:t>
      </w:r>
      <w:r w:rsidR="0076142A" w:rsidRPr="0076142A">
        <w:rPr>
          <w:lang w:val="fr-FR"/>
        </w:rPr>
        <w:t>.</w:t>
      </w:r>
      <w:r>
        <w:rPr>
          <w:lang w:val="fr-FR"/>
        </w:rPr>
        <w:t> 342</w:t>
      </w:r>
      <w:r w:rsidR="0076142A" w:rsidRPr="0076142A">
        <w:rPr>
          <w:lang w:val="fr-FR"/>
        </w:rPr>
        <w:t>.</w:t>
      </w:r>
      <w:r w:rsidRPr="00F6297E">
        <w:rPr>
          <w:lang w:val="fr-FR"/>
        </w:rPr>
        <w:t xml:space="preserve"> </w:t>
      </w:r>
    </w:p>
  </w:footnote>
  <w:footnote w:id="23">
    <w:p w14:paraId="1351C842" w14:textId="57C278AA" w:rsidR="001C29B1" w:rsidRPr="00B21088" w:rsidRDefault="001C29B1" w:rsidP="002973E4">
      <w:pPr>
        <w:pStyle w:val="Notedebasdepage"/>
        <w:rPr>
          <w:lang w:val="fr-FR"/>
        </w:rPr>
      </w:pPr>
      <w:r>
        <w:rPr>
          <w:lang w:val="fr-FR"/>
        </w:rPr>
        <w:tab/>
      </w:r>
      <w:r w:rsidRPr="002973E4">
        <w:rPr>
          <w:rStyle w:val="Appelnotedebasdep"/>
        </w:rPr>
        <w:footnoteRef/>
      </w:r>
      <w:r>
        <w:tab/>
      </w:r>
      <w:r w:rsidRPr="00B21088">
        <w:rPr>
          <w:lang w:val="fr-FR"/>
        </w:rPr>
        <w:t>Cour européenne des droits de l</w:t>
      </w:r>
      <w:r>
        <w:rPr>
          <w:lang w:val="fr-FR"/>
        </w:rPr>
        <w:t>’</w:t>
      </w:r>
      <w:r w:rsidRPr="00B21088">
        <w:rPr>
          <w:lang w:val="fr-FR"/>
        </w:rPr>
        <w:t xml:space="preserve">homme, </w:t>
      </w:r>
      <w:proofErr w:type="spellStart"/>
      <w:r w:rsidRPr="009E7472">
        <w:rPr>
          <w:i/>
          <w:iCs/>
          <w:lang w:val="fr-FR"/>
        </w:rPr>
        <w:t>Ergündoğan</w:t>
      </w:r>
      <w:proofErr w:type="spellEnd"/>
      <w:r w:rsidRPr="009E7472">
        <w:rPr>
          <w:i/>
          <w:iCs/>
          <w:lang w:val="fr-FR"/>
        </w:rPr>
        <w:t xml:space="preserve"> c</w:t>
      </w:r>
      <w:r w:rsidR="0076142A" w:rsidRPr="0076142A">
        <w:rPr>
          <w:i/>
          <w:iCs/>
          <w:lang w:val="fr-FR"/>
        </w:rPr>
        <w:t>.</w:t>
      </w:r>
      <w:r w:rsidRPr="009E7472">
        <w:rPr>
          <w:i/>
          <w:iCs/>
          <w:lang w:val="fr-FR"/>
        </w:rPr>
        <w:t xml:space="preserve"> Turquie</w:t>
      </w:r>
      <w:r>
        <w:rPr>
          <w:lang w:val="fr-FR"/>
        </w:rPr>
        <w:t>,</w:t>
      </w:r>
      <w:r w:rsidRPr="00CD40D4">
        <w:rPr>
          <w:lang w:val="fr-FR"/>
        </w:rPr>
        <w:t xml:space="preserve"> </w:t>
      </w:r>
      <w:r>
        <w:rPr>
          <w:lang w:val="fr-FR"/>
        </w:rPr>
        <w:t>r</w:t>
      </w:r>
      <w:r w:rsidRPr="00B21088">
        <w:rPr>
          <w:lang w:val="fr-FR"/>
        </w:rPr>
        <w:t>equ</w:t>
      </w:r>
      <w:r>
        <w:rPr>
          <w:lang w:val="fr-FR"/>
        </w:rPr>
        <w:t>ê</w:t>
      </w:r>
      <w:r w:rsidRPr="00B21088">
        <w:rPr>
          <w:lang w:val="fr-FR"/>
        </w:rPr>
        <w:t>te n</w:t>
      </w:r>
      <w:r w:rsidRPr="009E7472">
        <w:rPr>
          <w:vertAlign w:val="superscript"/>
          <w:lang w:val="fr-FR"/>
        </w:rPr>
        <w:t>o</w:t>
      </w:r>
      <w:r>
        <w:rPr>
          <w:lang w:val="fr-FR"/>
        </w:rPr>
        <w:t> </w:t>
      </w:r>
      <w:r w:rsidRPr="00B21088">
        <w:rPr>
          <w:lang w:val="fr-FR"/>
        </w:rPr>
        <w:t>48979/10</w:t>
      </w:r>
      <w:r>
        <w:rPr>
          <w:lang w:val="fr-FR"/>
        </w:rPr>
        <w:t>, arrêt,</w:t>
      </w:r>
      <w:r w:rsidRPr="00B21088">
        <w:rPr>
          <w:lang w:val="fr-FR"/>
        </w:rPr>
        <w:t xml:space="preserve"> 17</w:t>
      </w:r>
      <w:r w:rsidR="00B3315E">
        <w:rPr>
          <w:lang w:val="fr-FR"/>
        </w:rPr>
        <w:t> </w:t>
      </w:r>
      <w:r w:rsidRPr="00B21088">
        <w:rPr>
          <w:lang w:val="fr-FR"/>
        </w:rPr>
        <w:t xml:space="preserve">avril 2018, </w:t>
      </w:r>
      <w:r>
        <w:rPr>
          <w:lang w:val="fr-FR"/>
        </w:rPr>
        <w:t>par</w:t>
      </w:r>
      <w:r w:rsidR="0076142A" w:rsidRPr="0076142A">
        <w:rPr>
          <w:lang w:val="fr-FR"/>
        </w:rPr>
        <w:t>.</w:t>
      </w:r>
      <w:r>
        <w:rPr>
          <w:lang w:val="fr-FR"/>
        </w:rPr>
        <w:t> </w:t>
      </w:r>
      <w:r w:rsidRPr="00B21088">
        <w:rPr>
          <w:lang w:val="fr-FR"/>
        </w:rPr>
        <w:t>28</w:t>
      </w:r>
      <w:r w:rsidR="0076142A" w:rsidRPr="0076142A">
        <w:rPr>
          <w:lang w:val="fr-FR"/>
        </w:rPr>
        <w:t>.</w:t>
      </w:r>
      <w:r w:rsidRPr="00B21088">
        <w:rPr>
          <w:lang w:val="fr-FR"/>
        </w:rPr>
        <w:t xml:space="preserve"> Voir aussi Cour européenne des droits de l</w:t>
      </w:r>
      <w:r>
        <w:rPr>
          <w:lang w:val="fr-FR"/>
        </w:rPr>
        <w:t>’</w:t>
      </w:r>
      <w:r w:rsidRPr="00B21088">
        <w:rPr>
          <w:lang w:val="fr-FR"/>
        </w:rPr>
        <w:t xml:space="preserve">homme, </w:t>
      </w:r>
      <w:proofErr w:type="spellStart"/>
      <w:r w:rsidRPr="009E7472">
        <w:rPr>
          <w:i/>
          <w:iCs/>
          <w:lang w:val="fr-FR"/>
        </w:rPr>
        <w:t>Kuliś</w:t>
      </w:r>
      <w:proofErr w:type="spellEnd"/>
      <w:r w:rsidRPr="009E7472">
        <w:rPr>
          <w:i/>
          <w:iCs/>
          <w:lang w:val="fr-FR"/>
        </w:rPr>
        <w:t xml:space="preserve"> c</w:t>
      </w:r>
      <w:r w:rsidR="0076142A" w:rsidRPr="0076142A">
        <w:rPr>
          <w:i/>
          <w:iCs/>
          <w:lang w:val="fr-FR"/>
        </w:rPr>
        <w:t>.</w:t>
      </w:r>
      <w:r w:rsidRPr="009E7472">
        <w:rPr>
          <w:i/>
          <w:iCs/>
          <w:lang w:val="fr-FR"/>
        </w:rPr>
        <w:t xml:space="preserve"> Pologne</w:t>
      </w:r>
      <w:r w:rsidRPr="00B21088">
        <w:rPr>
          <w:lang w:val="fr-FR"/>
        </w:rPr>
        <w:t xml:space="preserve">, </w:t>
      </w:r>
      <w:r>
        <w:rPr>
          <w:lang w:val="fr-FR"/>
        </w:rPr>
        <w:t xml:space="preserve">requête </w:t>
      </w:r>
      <w:r>
        <w:rPr>
          <w:rFonts w:eastAsia="MS Mincho"/>
        </w:rPr>
        <w:t>n</w:t>
      </w:r>
      <w:r>
        <w:rPr>
          <w:rFonts w:eastAsia="MS Mincho"/>
          <w:vertAlign w:val="superscript"/>
        </w:rPr>
        <w:t>o</w:t>
      </w:r>
      <w:r>
        <w:t> </w:t>
      </w:r>
      <w:r w:rsidRPr="00B21088">
        <w:rPr>
          <w:lang w:val="fr-FR"/>
        </w:rPr>
        <w:t xml:space="preserve">15601/02, </w:t>
      </w:r>
      <w:r>
        <w:rPr>
          <w:lang w:val="fr-FR"/>
        </w:rPr>
        <w:t>arrêt</w:t>
      </w:r>
      <w:r w:rsidRPr="00B21088">
        <w:rPr>
          <w:lang w:val="fr-FR"/>
        </w:rPr>
        <w:t>, 18 mars 2008</w:t>
      </w:r>
      <w:r>
        <w:rPr>
          <w:lang w:val="fr-FR"/>
        </w:rPr>
        <w:t>, par</w:t>
      </w:r>
      <w:r w:rsidR="0076142A" w:rsidRPr="0076142A">
        <w:rPr>
          <w:lang w:val="fr-FR"/>
        </w:rPr>
        <w:t>.</w:t>
      </w:r>
      <w:r>
        <w:rPr>
          <w:lang w:val="fr-FR"/>
        </w:rPr>
        <w:t> 47</w:t>
      </w:r>
      <w:r w:rsidR="0076142A" w:rsidRPr="0076142A">
        <w:rPr>
          <w:lang w:val="fr-FR"/>
        </w:rPr>
        <w:t>.</w:t>
      </w:r>
    </w:p>
  </w:footnote>
  <w:footnote w:id="24">
    <w:p w14:paraId="437C4020" w14:textId="784995A5" w:rsidR="001C29B1" w:rsidRPr="00B21088" w:rsidRDefault="001C29B1" w:rsidP="002973E4">
      <w:pPr>
        <w:pStyle w:val="Notedebasdepage"/>
        <w:rPr>
          <w:lang w:val="fr-FR"/>
        </w:rPr>
      </w:pPr>
      <w:r w:rsidRPr="00B21088">
        <w:rPr>
          <w:lang w:val="fr-FR"/>
        </w:rPr>
        <w:tab/>
      </w:r>
      <w:r w:rsidRPr="002973E4">
        <w:rPr>
          <w:rStyle w:val="Appelnotedebasdep"/>
        </w:rPr>
        <w:footnoteRef/>
      </w:r>
      <w:r>
        <w:rPr>
          <w:lang w:val="fr-FR"/>
        </w:rPr>
        <w:tab/>
      </w:r>
      <w:proofErr w:type="spellStart"/>
      <w:r w:rsidRPr="009E7472">
        <w:rPr>
          <w:i/>
          <w:iCs/>
          <w:lang w:val="fr-FR"/>
        </w:rPr>
        <w:t>Achabal</w:t>
      </w:r>
      <w:proofErr w:type="spellEnd"/>
      <w:r w:rsidRPr="009E7472">
        <w:rPr>
          <w:i/>
          <w:iCs/>
          <w:lang w:val="fr-FR"/>
        </w:rPr>
        <w:t xml:space="preserve"> </w:t>
      </w:r>
      <w:proofErr w:type="spellStart"/>
      <w:r w:rsidRPr="009E7472">
        <w:rPr>
          <w:i/>
          <w:iCs/>
          <w:lang w:val="fr-FR"/>
        </w:rPr>
        <w:t>Puertas</w:t>
      </w:r>
      <w:proofErr w:type="spellEnd"/>
      <w:r w:rsidRPr="001D325F">
        <w:rPr>
          <w:lang w:val="fr-FR"/>
        </w:rPr>
        <w:t xml:space="preserve"> </w:t>
      </w:r>
      <w:r w:rsidRPr="009E7472">
        <w:rPr>
          <w:i/>
          <w:iCs/>
          <w:lang w:val="fr-FR"/>
        </w:rPr>
        <w:t>c</w:t>
      </w:r>
      <w:r w:rsidR="0076142A" w:rsidRPr="0076142A">
        <w:rPr>
          <w:i/>
          <w:iCs/>
          <w:lang w:val="fr-FR"/>
        </w:rPr>
        <w:t>.</w:t>
      </w:r>
      <w:r w:rsidRPr="009E7472">
        <w:rPr>
          <w:i/>
          <w:iCs/>
          <w:lang w:val="fr-FR"/>
        </w:rPr>
        <w:t xml:space="preserve"> Espagne</w:t>
      </w:r>
      <w:r w:rsidRPr="00B21088">
        <w:rPr>
          <w:lang w:val="fr-FR"/>
        </w:rPr>
        <w:t xml:space="preserve"> (CCPR/C/107/D/1945/2010</w:t>
      </w:r>
      <w:r w:rsidRPr="00D86B2E">
        <w:t xml:space="preserve"> </w:t>
      </w:r>
      <w:r>
        <w:t xml:space="preserve">et </w:t>
      </w:r>
      <w:r w:rsidRPr="000427FA">
        <w:t>CCPR/C/107/D/1945/2010</w:t>
      </w:r>
      <w:r>
        <w:t>/Corr</w:t>
      </w:r>
      <w:r w:rsidR="0076142A" w:rsidRPr="0076142A">
        <w:t>.</w:t>
      </w:r>
      <w:r>
        <w:t>1</w:t>
      </w:r>
      <w:r w:rsidRPr="00B21088">
        <w:rPr>
          <w:lang w:val="fr-FR"/>
        </w:rPr>
        <w:t>), par</w:t>
      </w:r>
      <w:r w:rsidR="0076142A" w:rsidRPr="0076142A">
        <w:rPr>
          <w:lang w:val="fr-FR"/>
        </w:rPr>
        <w:t>.</w:t>
      </w:r>
      <w:r>
        <w:rPr>
          <w:lang w:val="fr-FR"/>
        </w:rPr>
        <w:t> </w:t>
      </w:r>
      <w:r w:rsidRPr="00B21088">
        <w:rPr>
          <w:lang w:val="fr-FR"/>
        </w:rPr>
        <w:t>7</w:t>
      </w:r>
      <w:r w:rsidR="0076142A" w:rsidRPr="0076142A">
        <w:rPr>
          <w:lang w:val="fr-FR"/>
        </w:rPr>
        <w:t>.</w:t>
      </w:r>
      <w:r w:rsidRPr="00B21088">
        <w:rPr>
          <w:lang w:val="fr-FR"/>
        </w:rPr>
        <w:t>2 et 7</w:t>
      </w:r>
      <w:r w:rsidR="0076142A" w:rsidRPr="0076142A">
        <w:rPr>
          <w:lang w:val="fr-FR"/>
        </w:rPr>
        <w:t>.</w:t>
      </w:r>
      <w:r w:rsidRPr="00B21088">
        <w:rPr>
          <w:lang w:val="fr-FR"/>
        </w:rPr>
        <w:t>3</w:t>
      </w:r>
      <w:r w:rsidR="0076142A" w:rsidRPr="0076142A">
        <w:rPr>
          <w:lang w:val="fr-FR"/>
        </w:rPr>
        <w:t>.</w:t>
      </w:r>
      <w:r w:rsidRPr="00B21088">
        <w:rPr>
          <w:lang w:val="fr-FR"/>
        </w:rPr>
        <w:t xml:space="preserve"> </w:t>
      </w:r>
    </w:p>
  </w:footnote>
  <w:footnote w:id="25">
    <w:p w14:paraId="10B4F5A7" w14:textId="4C087703" w:rsidR="001C29B1" w:rsidRPr="00A87A8E" w:rsidRDefault="001C29B1" w:rsidP="002973E4">
      <w:pPr>
        <w:pStyle w:val="Notedebasdepage"/>
        <w:rPr>
          <w:lang w:val="fr-FR"/>
        </w:rPr>
      </w:pPr>
      <w:r w:rsidRPr="00B21088">
        <w:rPr>
          <w:lang w:val="fr-FR"/>
        </w:rPr>
        <w:tab/>
      </w:r>
      <w:r w:rsidRPr="002973E4">
        <w:rPr>
          <w:rStyle w:val="Appelnotedebasdep"/>
        </w:rPr>
        <w:footnoteRef/>
      </w:r>
      <w:r>
        <w:rPr>
          <w:lang w:val="fr-FR"/>
        </w:rPr>
        <w:tab/>
      </w:r>
      <w:r w:rsidRPr="00B21088">
        <w:rPr>
          <w:lang w:val="fr-FR"/>
        </w:rPr>
        <w:t xml:space="preserve">Voir </w:t>
      </w:r>
      <w:r w:rsidRPr="0087216E">
        <w:rPr>
          <w:lang w:val="fr-FR"/>
        </w:rPr>
        <w:t>Cour européenne des droits de l</w:t>
      </w:r>
      <w:r>
        <w:rPr>
          <w:lang w:val="fr-FR"/>
        </w:rPr>
        <w:t>’</w:t>
      </w:r>
      <w:r w:rsidRPr="0087216E">
        <w:rPr>
          <w:lang w:val="fr-FR"/>
        </w:rPr>
        <w:t xml:space="preserve">homme, </w:t>
      </w:r>
      <w:proofErr w:type="spellStart"/>
      <w:r w:rsidRPr="009E7472">
        <w:rPr>
          <w:i/>
          <w:iCs/>
          <w:lang w:val="fr-FR"/>
        </w:rPr>
        <w:t>Mateescu</w:t>
      </w:r>
      <w:proofErr w:type="spellEnd"/>
      <w:r w:rsidRPr="009E7472">
        <w:rPr>
          <w:i/>
          <w:iCs/>
          <w:lang w:val="fr-FR"/>
        </w:rPr>
        <w:t xml:space="preserve"> c</w:t>
      </w:r>
      <w:r w:rsidR="0076142A" w:rsidRPr="0076142A">
        <w:rPr>
          <w:i/>
          <w:iCs/>
          <w:lang w:val="fr-FR"/>
        </w:rPr>
        <w:t>.</w:t>
      </w:r>
      <w:r w:rsidRPr="009E7472">
        <w:rPr>
          <w:i/>
          <w:iCs/>
          <w:lang w:val="fr-FR"/>
        </w:rPr>
        <w:t xml:space="preserve"> Roumanie</w:t>
      </w:r>
      <w:r w:rsidRPr="00B21088">
        <w:rPr>
          <w:lang w:val="fr-FR"/>
        </w:rPr>
        <w:t>, req</w:t>
      </w:r>
      <w:r>
        <w:rPr>
          <w:lang w:val="fr-FR"/>
        </w:rPr>
        <w:t>uête</w:t>
      </w:r>
      <w:r w:rsidRPr="00B21088">
        <w:rPr>
          <w:lang w:val="fr-FR"/>
        </w:rPr>
        <w:t xml:space="preserve"> n</w:t>
      </w:r>
      <w:r w:rsidRPr="009E7472">
        <w:rPr>
          <w:vertAlign w:val="superscript"/>
          <w:lang w:val="fr-FR"/>
        </w:rPr>
        <w:t>o</w:t>
      </w:r>
      <w:r>
        <w:rPr>
          <w:lang w:val="fr-FR"/>
        </w:rPr>
        <w:t> </w:t>
      </w:r>
      <w:r w:rsidRPr="00B21088">
        <w:rPr>
          <w:lang w:val="fr-FR"/>
        </w:rPr>
        <w:t>1944/10, arrêt</w:t>
      </w:r>
      <w:r>
        <w:rPr>
          <w:lang w:val="fr-FR"/>
        </w:rPr>
        <w:t>,</w:t>
      </w:r>
      <w:r w:rsidRPr="00B21088">
        <w:rPr>
          <w:lang w:val="fr-FR"/>
        </w:rPr>
        <w:t xml:space="preserve"> 14</w:t>
      </w:r>
      <w:r>
        <w:rPr>
          <w:lang w:val="fr-FR"/>
        </w:rPr>
        <w:t> </w:t>
      </w:r>
      <w:r w:rsidRPr="00B21088">
        <w:rPr>
          <w:lang w:val="fr-FR"/>
        </w:rPr>
        <w:t>janvier 2014</w:t>
      </w:r>
      <w:r w:rsidR="0076142A" w:rsidRPr="0076142A">
        <w:rPr>
          <w:lang w:val="fr-FR"/>
        </w:rPr>
        <w:t>.</w:t>
      </w:r>
    </w:p>
  </w:footnote>
  <w:footnote w:id="26">
    <w:p w14:paraId="0940BBF9" w14:textId="29D2D223" w:rsidR="001C29B1" w:rsidRPr="0027570C" w:rsidRDefault="001C29B1" w:rsidP="002973E4">
      <w:pPr>
        <w:pStyle w:val="Notedebasdepage"/>
        <w:rPr>
          <w:lang w:val="fr-FR"/>
        </w:rPr>
      </w:pPr>
      <w:r>
        <w:rPr>
          <w:lang w:val="fr-FR"/>
        </w:rPr>
        <w:tab/>
      </w:r>
      <w:r w:rsidRPr="002973E4">
        <w:rPr>
          <w:rStyle w:val="Appelnotedebasdep"/>
        </w:rPr>
        <w:footnoteRef/>
      </w:r>
      <w:r>
        <w:rPr>
          <w:lang w:val="fr-FR"/>
        </w:rPr>
        <w:tab/>
        <w:t>R</w:t>
      </w:r>
      <w:r w:rsidRPr="00B21088">
        <w:rPr>
          <w:lang w:val="fr-FR"/>
        </w:rPr>
        <w:t xml:space="preserve">èglement intérieur du Comité, </w:t>
      </w:r>
      <w:r>
        <w:rPr>
          <w:lang w:val="fr-FR"/>
        </w:rPr>
        <w:t>art</w:t>
      </w:r>
      <w:r w:rsidR="0076142A" w:rsidRPr="0076142A">
        <w:rPr>
          <w:lang w:val="fr-FR"/>
        </w:rPr>
        <w:t>.</w:t>
      </w:r>
      <w:r>
        <w:rPr>
          <w:lang w:val="fr-FR"/>
        </w:rPr>
        <w:t> 99 c)</w:t>
      </w:r>
      <w:r w:rsidR="0076142A" w:rsidRPr="0076142A">
        <w:rPr>
          <w:lang w:val="fr-FR"/>
        </w:rPr>
        <w:t>.</w:t>
      </w:r>
      <w:r w:rsidRPr="00B21088">
        <w:rPr>
          <w:lang w:val="fr-FR"/>
        </w:rPr>
        <w:t xml:space="preserve"> Voir également </w:t>
      </w:r>
      <w:proofErr w:type="spellStart"/>
      <w:r w:rsidRPr="009E7472">
        <w:rPr>
          <w:i/>
          <w:iCs/>
          <w:lang w:val="fr-FR"/>
        </w:rPr>
        <w:t>Fillacier</w:t>
      </w:r>
      <w:proofErr w:type="spellEnd"/>
      <w:r w:rsidRPr="009E7472">
        <w:rPr>
          <w:i/>
          <w:iCs/>
          <w:lang w:val="fr-FR"/>
        </w:rPr>
        <w:t xml:space="preserve"> c</w:t>
      </w:r>
      <w:r w:rsidR="0076142A" w:rsidRPr="0076142A">
        <w:rPr>
          <w:i/>
          <w:iCs/>
          <w:lang w:val="fr-FR"/>
        </w:rPr>
        <w:t>.</w:t>
      </w:r>
      <w:r w:rsidRPr="009E7472">
        <w:rPr>
          <w:i/>
          <w:iCs/>
          <w:lang w:val="fr-FR"/>
        </w:rPr>
        <w:t xml:space="preserve"> France</w:t>
      </w:r>
      <w:r w:rsidRPr="00B21088">
        <w:rPr>
          <w:lang w:val="fr-FR"/>
        </w:rPr>
        <w:t xml:space="preserve"> </w:t>
      </w:r>
      <w:r w:rsidRPr="00615F3A">
        <w:rPr>
          <w:lang w:val="fr-FR"/>
        </w:rPr>
        <w:t>(CCPR/C/86/D/1434/2005), par</w:t>
      </w:r>
      <w:r w:rsidR="0076142A" w:rsidRPr="0076142A">
        <w:rPr>
          <w:lang w:val="fr-FR"/>
        </w:rPr>
        <w:t>.</w:t>
      </w:r>
      <w:r>
        <w:rPr>
          <w:lang w:val="fr-FR"/>
        </w:rPr>
        <w:t> </w:t>
      </w:r>
      <w:r w:rsidRPr="00B21088">
        <w:rPr>
          <w:lang w:val="fr-FR"/>
        </w:rPr>
        <w:t>4</w:t>
      </w:r>
      <w:r w:rsidR="0076142A" w:rsidRPr="0076142A">
        <w:rPr>
          <w:lang w:val="fr-FR"/>
        </w:rPr>
        <w:t>.</w:t>
      </w:r>
      <w:r w:rsidRPr="00B21088">
        <w:rPr>
          <w:lang w:val="fr-FR"/>
        </w:rPr>
        <w:t>3</w:t>
      </w:r>
      <w:r w:rsidR="0076142A" w:rsidRPr="0076142A">
        <w:rPr>
          <w:lang w:val="fr-FR"/>
        </w:rPr>
        <w:t>.</w:t>
      </w:r>
    </w:p>
  </w:footnote>
  <w:footnote w:id="27">
    <w:p w14:paraId="1377EAB2" w14:textId="497F7723" w:rsidR="001C29B1" w:rsidRPr="00032155" w:rsidRDefault="001C29B1" w:rsidP="002973E4">
      <w:pPr>
        <w:pStyle w:val="Notedebasdepage"/>
        <w:rPr>
          <w:lang w:val="fr-FR"/>
        </w:rPr>
      </w:pPr>
      <w:r w:rsidRPr="00451E4D">
        <w:rPr>
          <w:lang w:val="fr-FR"/>
        </w:rPr>
        <w:tab/>
      </w:r>
      <w:r w:rsidRPr="002973E4">
        <w:rPr>
          <w:rStyle w:val="Appelnotedebasdep"/>
        </w:rPr>
        <w:footnoteRef/>
      </w:r>
      <w:r>
        <w:rPr>
          <w:lang w:val="fr-FR"/>
        </w:rPr>
        <w:tab/>
      </w:r>
      <w:r w:rsidRPr="00B21088">
        <w:rPr>
          <w:lang w:val="fr-FR"/>
        </w:rPr>
        <w:t>Voir l</w:t>
      </w:r>
      <w:r>
        <w:rPr>
          <w:lang w:val="fr-FR"/>
        </w:rPr>
        <w:t>’</w:t>
      </w:r>
      <w:r w:rsidRPr="00B21088">
        <w:rPr>
          <w:lang w:val="fr-FR"/>
        </w:rPr>
        <w:t xml:space="preserve">article 1 de la loi </w:t>
      </w:r>
      <w:r>
        <w:rPr>
          <w:rFonts w:eastAsia="MS Mincho"/>
        </w:rPr>
        <w:t>n</w:t>
      </w:r>
      <w:r>
        <w:rPr>
          <w:rFonts w:eastAsia="MS Mincho"/>
          <w:vertAlign w:val="superscript"/>
        </w:rPr>
        <w:t>o</w:t>
      </w:r>
      <w:r>
        <w:t> </w:t>
      </w:r>
      <w:r w:rsidRPr="00B21088">
        <w:rPr>
          <w:lang w:val="fr-FR"/>
        </w:rPr>
        <w:t>83-634 du 13 juillet 1983 portant droits et obligations des fonctionnaires</w:t>
      </w:r>
      <w:r>
        <w:rPr>
          <w:lang w:val="fr-FR"/>
        </w:rPr>
        <w:t>,</w:t>
      </w:r>
      <w:r w:rsidRPr="00B21088">
        <w:rPr>
          <w:lang w:val="fr-FR"/>
        </w:rPr>
        <w:t xml:space="preserve"> qui définit le statut général de la fonction publique française</w:t>
      </w:r>
      <w:r w:rsidR="0076142A" w:rsidRPr="0076142A">
        <w:rPr>
          <w:lang w:val="fr-FR"/>
        </w:rPr>
        <w:t>.</w:t>
      </w:r>
      <w:r>
        <w:rPr>
          <w:lang w:val="fr-FR"/>
        </w:rPr>
        <w:t xml:space="preserve"> </w:t>
      </w:r>
    </w:p>
  </w:footnote>
  <w:footnote w:id="28">
    <w:p w14:paraId="7A735AB8" w14:textId="3A6AB24B" w:rsidR="001C29B1" w:rsidRPr="00531D69" w:rsidRDefault="001C29B1" w:rsidP="002973E4">
      <w:pPr>
        <w:pStyle w:val="Notedebasdepage"/>
        <w:rPr>
          <w:lang w:val="fr-FR"/>
        </w:rPr>
      </w:pPr>
      <w:r w:rsidRPr="00B21088">
        <w:rPr>
          <w:lang w:val="fr-FR"/>
        </w:rPr>
        <w:tab/>
      </w:r>
      <w:r w:rsidRPr="002973E4">
        <w:rPr>
          <w:rStyle w:val="Appelnotedebasdep"/>
        </w:rPr>
        <w:footnoteRef/>
      </w:r>
      <w:r>
        <w:rPr>
          <w:lang w:val="fr-FR"/>
        </w:rPr>
        <w:tab/>
        <w:t>Voir Comité des droits de l’homme,</w:t>
      </w:r>
      <w:r w:rsidRPr="00B21088">
        <w:rPr>
          <w:lang w:val="fr-FR"/>
        </w:rPr>
        <w:t xml:space="preserve"> observation générale </w:t>
      </w:r>
      <w:r>
        <w:rPr>
          <w:rFonts w:eastAsia="MS Mincho"/>
        </w:rPr>
        <w:t>n</w:t>
      </w:r>
      <w:r>
        <w:rPr>
          <w:rFonts w:eastAsia="MS Mincho"/>
          <w:vertAlign w:val="superscript"/>
        </w:rPr>
        <w:t>o</w:t>
      </w:r>
      <w:r>
        <w:t> </w:t>
      </w:r>
      <w:r w:rsidRPr="00B21088">
        <w:rPr>
          <w:lang w:val="fr-FR"/>
        </w:rPr>
        <w:t xml:space="preserve">16 </w:t>
      </w:r>
      <w:r>
        <w:rPr>
          <w:lang w:val="fr-FR"/>
        </w:rPr>
        <w:t>(1988)</w:t>
      </w:r>
      <w:r w:rsidR="0076142A" w:rsidRPr="0076142A">
        <w:rPr>
          <w:lang w:val="fr-FR"/>
        </w:rPr>
        <w:t>.</w:t>
      </w:r>
      <w:r>
        <w:rPr>
          <w:lang w:val="fr-FR"/>
        </w:rPr>
        <w:t xml:space="preserve"> </w:t>
      </w:r>
    </w:p>
  </w:footnote>
  <w:footnote w:id="29">
    <w:p w14:paraId="366C3D8E" w14:textId="1FA3E234" w:rsidR="001C29B1" w:rsidRPr="00B815B8" w:rsidRDefault="001C29B1" w:rsidP="002973E4">
      <w:pPr>
        <w:pStyle w:val="Notedebasdepage"/>
      </w:pPr>
      <w:r>
        <w:tab/>
      </w:r>
      <w:r w:rsidRPr="002973E4">
        <w:rPr>
          <w:rStyle w:val="Appelnotedebasdep"/>
        </w:rPr>
        <w:footnoteRef/>
      </w:r>
      <w:r>
        <w:tab/>
        <w:t xml:space="preserve">En </w:t>
      </w:r>
      <w:r w:rsidRPr="008E2794">
        <w:t>référence à l</w:t>
      </w:r>
      <w:r>
        <w:t>’</w:t>
      </w:r>
      <w:r w:rsidRPr="008E2794">
        <w:t>article 6 (</w:t>
      </w:r>
      <w:r>
        <w:t>par</w:t>
      </w:r>
      <w:r w:rsidR="0076142A" w:rsidRPr="0076142A">
        <w:t>.</w:t>
      </w:r>
      <w:r>
        <w:t> </w:t>
      </w:r>
      <w:r w:rsidRPr="008E2794">
        <w:t>1) de la Convention européenne des droits de l</w:t>
      </w:r>
      <w:r>
        <w:t>’</w:t>
      </w:r>
      <w:r w:rsidRPr="008E2794">
        <w:t>homme, qui est le pendant de l</w:t>
      </w:r>
      <w:r>
        <w:t>’</w:t>
      </w:r>
      <w:r w:rsidRPr="008E2794">
        <w:t xml:space="preserve">article 14 </w:t>
      </w:r>
      <w:r>
        <w:t>(</w:t>
      </w:r>
      <w:r w:rsidRPr="008E2794">
        <w:t>par</w:t>
      </w:r>
      <w:r w:rsidR="0076142A" w:rsidRPr="0076142A">
        <w:t>.</w:t>
      </w:r>
      <w:r>
        <w:t> </w:t>
      </w:r>
      <w:r w:rsidRPr="008E2794">
        <w:t>1</w:t>
      </w:r>
      <w:r>
        <w:t>)</w:t>
      </w:r>
      <w:r w:rsidRPr="008E2794">
        <w:t xml:space="preserve"> du Pacte, voir Cour européenne des droits de l</w:t>
      </w:r>
      <w:r>
        <w:t>’</w:t>
      </w:r>
      <w:r w:rsidRPr="008E2794">
        <w:t>homme</w:t>
      </w:r>
      <w:r w:rsidRPr="00B21088">
        <w:t xml:space="preserve">, </w:t>
      </w:r>
      <w:r w:rsidRPr="00451E4D">
        <w:rPr>
          <w:i/>
        </w:rPr>
        <w:t>Albert et Le Compte c</w:t>
      </w:r>
      <w:r w:rsidR="0076142A" w:rsidRPr="0076142A">
        <w:rPr>
          <w:i/>
        </w:rPr>
        <w:t>.</w:t>
      </w:r>
      <w:r w:rsidRPr="00451E4D">
        <w:rPr>
          <w:i/>
        </w:rPr>
        <w:t xml:space="preserve"> Belgique</w:t>
      </w:r>
      <w:r w:rsidRPr="00B21088">
        <w:t>, req</w:t>
      </w:r>
      <w:r>
        <w:t>uête</w:t>
      </w:r>
      <w:r w:rsidRPr="00B21088">
        <w:t xml:space="preserve"> </w:t>
      </w:r>
      <w:r>
        <w:rPr>
          <w:rFonts w:eastAsia="MS Mincho"/>
        </w:rPr>
        <w:t>n</w:t>
      </w:r>
      <w:r>
        <w:rPr>
          <w:rFonts w:eastAsia="MS Mincho"/>
          <w:vertAlign w:val="superscript"/>
        </w:rPr>
        <w:t>o</w:t>
      </w:r>
      <w:r>
        <w:t> </w:t>
      </w:r>
      <w:r w:rsidRPr="001B7046">
        <w:t>7299</w:t>
      </w:r>
      <w:r w:rsidRPr="008E2794">
        <w:t>/75, arrêt</w:t>
      </w:r>
      <w:r>
        <w:t>,</w:t>
      </w:r>
      <w:r w:rsidRPr="008E2794">
        <w:t xml:space="preserve"> </w:t>
      </w:r>
      <w:r w:rsidRPr="00B21088">
        <w:t>10 février 1983, par</w:t>
      </w:r>
      <w:r w:rsidR="0076142A" w:rsidRPr="0076142A">
        <w:t>.</w:t>
      </w:r>
      <w:r w:rsidRPr="00B21088">
        <w:t xml:space="preserve"> 29</w:t>
      </w:r>
      <w:r w:rsidR="0076142A" w:rsidRPr="0076142A">
        <w:t>.</w:t>
      </w:r>
    </w:p>
  </w:footnote>
  <w:footnote w:id="30">
    <w:p w14:paraId="71823C09" w14:textId="772A4C4C" w:rsidR="001C29B1" w:rsidRPr="00B1124E" w:rsidRDefault="001C29B1" w:rsidP="002973E4">
      <w:pPr>
        <w:pStyle w:val="Notedebasdepage"/>
        <w:rPr>
          <w:lang w:val="fr-FR"/>
        </w:rPr>
      </w:pPr>
      <w:r>
        <w:tab/>
      </w:r>
      <w:r w:rsidRPr="002973E4">
        <w:rPr>
          <w:rStyle w:val="Appelnotedebasdep"/>
        </w:rPr>
        <w:footnoteRef/>
      </w:r>
      <w:r>
        <w:tab/>
      </w:r>
      <w:r w:rsidRPr="00B21088">
        <w:t xml:space="preserve">Voir </w:t>
      </w:r>
      <w:proofErr w:type="spellStart"/>
      <w:r w:rsidRPr="009E7472">
        <w:rPr>
          <w:i/>
          <w:iCs/>
        </w:rPr>
        <w:t>Fillacier</w:t>
      </w:r>
      <w:proofErr w:type="spellEnd"/>
      <w:r w:rsidRPr="009E7472">
        <w:rPr>
          <w:i/>
          <w:iCs/>
        </w:rPr>
        <w:t xml:space="preserve"> c</w:t>
      </w:r>
      <w:r w:rsidR="0076142A" w:rsidRPr="0076142A">
        <w:rPr>
          <w:i/>
          <w:iCs/>
        </w:rPr>
        <w:t>.</w:t>
      </w:r>
      <w:r w:rsidRPr="009E7472">
        <w:rPr>
          <w:i/>
          <w:iCs/>
        </w:rPr>
        <w:t xml:space="preserve"> France</w:t>
      </w:r>
      <w:r w:rsidRPr="00615F3A">
        <w:t>, par</w:t>
      </w:r>
      <w:r w:rsidR="0076142A" w:rsidRPr="0076142A">
        <w:t>.</w:t>
      </w:r>
      <w:r>
        <w:t> </w:t>
      </w:r>
      <w:r w:rsidRPr="00615F3A">
        <w:t>4</w:t>
      </w:r>
      <w:r w:rsidR="0076142A" w:rsidRPr="0076142A">
        <w:t>.</w:t>
      </w:r>
      <w:r w:rsidRPr="00615F3A">
        <w:t>3</w:t>
      </w:r>
      <w:r w:rsidR="0076142A" w:rsidRPr="0076142A">
        <w:t>.</w:t>
      </w:r>
    </w:p>
  </w:footnote>
  <w:footnote w:id="31">
    <w:p w14:paraId="2C46221A" w14:textId="1F474E77" w:rsidR="001C29B1" w:rsidRPr="000001CC" w:rsidRDefault="001C29B1" w:rsidP="002973E4">
      <w:pPr>
        <w:pStyle w:val="Notedebasdepage"/>
        <w:rPr>
          <w:lang w:val="fr-FR"/>
        </w:rPr>
      </w:pPr>
      <w:r>
        <w:tab/>
      </w:r>
      <w:r w:rsidRPr="002973E4">
        <w:rPr>
          <w:rStyle w:val="Appelnotedebasdep"/>
        </w:rPr>
        <w:footnoteRef/>
      </w:r>
      <w:r>
        <w:tab/>
      </w:r>
      <w:r w:rsidRPr="000001CC">
        <w:t>Comité des droits de l</w:t>
      </w:r>
      <w:r>
        <w:t>’</w:t>
      </w:r>
      <w:r w:rsidRPr="000001CC">
        <w:t>homme, observation générale n</w:t>
      </w:r>
      <w:r w:rsidRPr="009E7472">
        <w:rPr>
          <w:vertAlign w:val="superscript"/>
        </w:rPr>
        <w:t>o</w:t>
      </w:r>
      <w:r>
        <w:t> </w:t>
      </w:r>
      <w:r w:rsidRPr="000001CC">
        <w:t>32 (2007), par</w:t>
      </w:r>
      <w:r w:rsidR="0076142A" w:rsidRPr="0076142A">
        <w:t>.</w:t>
      </w:r>
      <w:r w:rsidRPr="000001CC">
        <w:t xml:space="preserve"> 2</w:t>
      </w:r>
      <w:r w:rsidR="0076142A" w:rsidRPr="0076142A">
        <w:t>.</w:t>
      </w:r>
    </w:p>
  </w:footnote>
  <w:footnote w:id="32">
    <w:p w14:paraId="19970A9A" w14:textId="4245A264" w:rsidR="001C29B1" w:rsidRPr="0006087F" w:rsidRDefault="001C29B1" w:rsidP="002973E4">
      <w:pPr>
        <w:pStyle w:val="Notedebasdepage"/>
        <w:rPr>
          <w:lang w:val="fr-FR"/>
        </w:rPr>
      </w:pPr>
      <w:r>
        <w:tab/>
      </w:r>
      <w:r w:rsidRPr="002973E4">
        <w:rPr>
          <w:rStyle w:val="Appelnotedebasdep"/>
        </w:rPr>
        <w:footnoteRef/>
      </w:r>
      <w:r>
        <w:tab/>
        <w:t>Ibid</w:t>
      </w:r>
      <w:r w:rsidR="0076142A" w:rsidRPr="0076142A">
        <w:t>.</w:t>
      </w:r>
      <w:r>
        <w:t>, par</w:t>
      </w:r>
      <w:r w:rsidR="0076142A" w:rsidRPr="0076142A">
        <w:t>.</w:t>
      </w:r>
      <w:r>
        <w:t> 19</w:t>
      </w:r>
      <w:r w:rsidR="0076142A" w:rsidRPr="0076142A">
        <w:t>.</w:t>
      </w:r>
      <w:r>
        <w:t xml:space="preserve"> </w:t>
      </w:r>
    </w:p>
  </w:footnote>
  <w:footnote w:id="33">
    <w:p w14:paraId="527E708A" w14:textId="199B808E" w:rsidR="001C29B1" w:rsidRPr="0006087F" w:rsidRDefault="001C29B1" w:rsidP="002973E4">
      <w:pPr>
        <w:pStyle w:val="Notedebasdepage"/>
        <w:rPr>
          <w:lang w:val="fr-FR"/>
        </w:rPr>
      </w:pPr>
      <w:r>
        <w:tab/>
      </w:r>
      <w:r w:rsidRPr="002973E4">
        <w:rPr>
          <w:rStyle w:val="Appelnotedebasdep"/>
        </w:rPr>
        <w:footnoteRef/>
      </w:r>
      <w:r>
        <w:tab/>
        <w:t>Ibid</w:t>
      </w:r>
      <w:r w:rsidR="0076142A" w:rsidRPr="0076142A">
        <w:t>.</w:t>
      </w:r>
      <w:r>
        <w:t>, par</w:t>
      </w:r>
      <w:r w:rsidR="0076142A" w:rsidRPr="0076142A">
        <w:t>.</w:t>
      </w:r>
      <w:r>
        <w:t> 21</w:t>
      </w:r>
      <w:r w:rsidR="0076142A" w:rsidRPr="0076142A">
        <w:t>.</w:t>
      </w:r>
    </w:p>
  </w:footnote>
  <w:footnote w:id="34">
    <w:p w14:paraId="57B0399E" w14:textId="31BBD8EA" w:rsidR="001C29B1" w:rsidRPr="00B1124E" w:rsidRDefault="001C29B1" w:rsidP="002973E4">
      <w:pPr>
        <w:pStyle w:val="Notedebasdepage"/>
        <w:rPr>
          <w:lang w:val="fr-FR"/>
        </w:rPr>
      </w:pPr>
      <w:r>
        <w:tab/>
      </w:r>
      <w:r w:rsidRPr="002973E4">
        <w:rPr>
          <w:rStyle w:val="Appelnotedebasdep"/>
        </w:rPr>
        <w:footnoteRef/>
      </w:r>
      <w:r>
        <w:tab/>
      </w:r>
      <w:r>
        <w:rPr>
          <w:lang w:val="fr-FR"/>
        </w:rPr>
        <w:t>Ibid</w:t>
      </w:r>
      <w:r w:rsidR="0076142A" w:rsidRPr="0076142A">
        <w:rPr>
          <w:lang w:val="fr-FR"/>
        </w:rPr>
        <w:t>.</w:t>
      </w:r>
      <w:r w:rsidRPr="00B1124E">
        <w:rPr>
          <w:lang w:val="fr-FR"/>
        </w:rPr>
        <w:t xml:space="preserve">, </w:t>
      </w:r>
      <w:r>
        <w:rPr>
          <w:lang w:val="fr-FR"/>
        </w:rPr>
        <w:t>par</w:t>
      </w:r>
      <w:r w:rsidR="0076142A" w:rsidRPr="0076142A">
        <w:rPr>
          <w:lang w:val="fr-FR"/>
        </w:rPr>
        <w:t>.</w:t>
      </w:r>
      <w:r>
        <w:rPr>
          <w:lang w:val="fr-FR"/>
        </w:rPr>
        <w:t> </w:t>
      </w:r>
      <w:r w:rsidRPr="00B1124E">
        <w:rPr>
          <w:lang w:val="fr-FR"/>
        </w:rPr>
        <w:t>28</w:t>
      </w:r>
      <w:r w:rsidR="0076142A" w:rsidRPr="0076142A">
        <w:rPr>
          <w:lang w:val="fr-FR"/>
        </w:rPr>
        <w:t>.</w:t>
      </w:r>
      <w:r w:rsidRPr="00B1124E">
        <w:rPr>
          <w:lang w:val="fr-FR"/>
        </w:rPr>
        <w:t xml:space="preserve"> </w:t>
      </w:r>
      <w:r>
        <w:rPr>
          <w:lang w:val="fr-FR"/>
        </w:rPr>
        <w:t xml:space="preserve">Voir aussi </w:t>
      </w:r>
      <w:r w:rsidRPr="00451E4D">
        <w:rPr>
          <w:i/>
          <w:lang w:val="fr-FR"/>
        </w:rPr>
        <w:t>Van Meurs c</w:t>
      </w:r>
      <w:r w:rsidR="0076142A" w:rsidRPr="0076142A">
        <w:rPr>
          <w:i/>
          <w:lang w:val="fr-FR"/>
        </w:rPr>
        <w:t>.</w:t>
      </w:r>
      <w:r w:rsidRPr="00451E4D">
        <w:rPr>
          <w:i/>
          <w:lang w:val="fr-FR"/>
        </w:rPr>
        <w:t xml:space="preserve"> Pays-Bas</w:t>
      </w:r>
      <w:r w:rsidRPr="00B1124E">
        <w:rPr>
          <w:lang w:val="fr-FR"/>
        </w:rPr>
        <w:t>, par</w:t>
      </w:r>
      <w:r w:rsidR="0076142A" w:rsidRPr="0076142A">
        <w:rPr>
          <w:lang w:val="fr-FR"/>
        </w:rPr>
        <w:t>.</w:t>
      </w:r>
      <w:r>
        <w:rPr>
          <w:lang w:val="fr-FR"/>
        </w:rPr>
        <w:t> </w:t>
      </w:r>
      <w:r w:rsidRPr="00B1124E">
        <w:rPr>
          <w:lang w:val="fr-FR"/>
        </w:rPr>
        <w:t>6</w:t>
      </w:r>
      <w:r w:rsidR="0076142A" w:rsidRPr="0076142A">
        <w:rPr>
          <w:lang w:val="fr-FR"/>
        </w:rPr>
        <w:t>.</w:t>
      </w:r>
      <w:r w:rsidRPr="00B1124E">
        <w:rPr>
          <w:lang w:val="fr-FR"/>
        </w:rPr>
        <w:t>2</w:t>
      </w:r>
      <w:r w:rsidR="0076142A" w:rsidRPr="0076142A">
        <w:rPr>
          <w:lang w:val="fr-FR"/>
        </w:rPr>
        <w:t>.</w:t>
      </w:r>
    </w:p>
  </w:footnote>
  <w:footnote w:id="35">
    <w:p w14:paraId="1E9F5A49" w14:textId="383FB298" w:rsidR="001C29B1" w:rsidRPr="00606149" w:rsidRDefault="001C29B1" w:rsidP="002973E4">
      <w:pPr>
        <w:pStyle w:val="Notedebasdepage"/>
        <w:rPr>
          <w:lang w:val="fr-FR"/>
        </w:rPr>
      </w:pPr>
      <w:r>
        <w:tab/>
      </w:r>
      <w:r w:rsidRPr="002973E4">
        <w:rPr>
          <w:rStyle w:val="Appelnotedebasdep"/>
        </w:rPr>
        <w:footnoteRef/>
      </w:r>
      <w:r>
        <w:tab/>
        <w:t xml:space="preserve">Comité des droits de l’homme, </w:t>
      </w:r>
      <w:r>
        <w:rPr>
          <w:lang w:val="fr-FR"/>
        </w:rPr>
        <w:t>o</w:t>
      </w:r>
      <w:r w:rsidRPr="00B1124E">
        <w:rPr>
          <w:lang w:val="fr-FR"/>
        </w:rPr>
        <w:t>bservation générale n</w:t>
      </w:r>
      <w:r w:rsidRPr="007A3FC5">
        <w:rPr>
          <w:vertAlign w:val="superscript"/>
          <w:lang w:val="fr-FR"/>
        </w:rPr>
        <w:t>o</w:t>
      </w:r>
      <w:r>
        <w:rPr>
          <w:lang w:val="fr-FR"/>
        </w:rPr>
        <w:t> </w:t>
      </w:r>
      <w:r w:rsidRPr="00B1124E">
        <w:rPr>
          <w:lang w:val="fr-FR"/>
        </w:rPr>
        <w:t>32</w:t>
      </w:r>
      <w:r>
        <w:rPr>
          <w:lang w:val="fr-FR"/>
        </w:rPr>
        <w:t xml:space="preserve"> (2007)</w:t>
      </w:r>
      <w:r w:rsidRPr="00B1124E">
        <w:rPr>
          <w:lang w:val="fr-FR"/>
        </w:rPr>
        <w:t xml:space="preserve">, </w:t>
      </w:r>
      <w:r>
        <w:rPr>
          <w:lang w:val="fr-FR"/>
        </w:rPr>
        <w:t>par</w:t>
      </w:r>
      <w:r w:rsidR="0076142A" w:rsidRPr="0076142A">
        <w:rPr>
          <w:lang w:val="fr-FR"/>
        </w:rPr>
        <w:t>.</w:t>
      </w:r>
      <w:r>
        <w:rPr>
          <w:lang w:val="fr-FR"/>
        </w:rPr>
        <w:t> </w:t>
      </w:r>
      <w:r w:rsidRPr="00B1124E">
        <w:rPr>
          <w:lang w:val="fr-FR"/>
        </w:rPr>
        <w:t>28</w:t>
      </w:r>
      <w:r w:rsidR="0076142A" w:rsidRPr="0076142A">
        <w:rPr>
          <w:lang w:val="fr-FR"/>
        </w:rPr>
        <w:t>.</w:t>
      </w:r>
    </w:p>
  </w:footnote>
  <w:footnote w:id="36">
    <w:p w14:paraId="62576DF8" w14:textId="0361A7B3" w:rsidR="001C29B1" w:rsidRPr="004613E0" w:rsidRDefault="001C29B1" w:rsidP="002973E4">
      <w:pPr>
        <w:pStyle w:val="Notedebasdepage"/>
        <w:rPr>
          <w:lang w:val="fr-FR"/>
        </w:rPr>
      </w:pPr>
      <w:r>
        <w:tab/>
      </w:r>
      <w:r w:rsidRPr="002973E4">
        <w:rPr>
          <w:rStyle w:val="Appelnotedebasdep"/>
        </w:rPr>
        <w:footnoteRef/>
      </w:r>
      <w:r>
        <w:tab/>
      </w:r>
      <w:proofErr w:type="spellStart"/>
      <w:r w:rsidRPr="00451E4D">
        <w:rPr>
          <w:i/>
          <w:lang w:val="fr-FR"/>
        </w:rPr>
        <w:t>Amanklychev</w:t>
      </w:r>
      <w:proofErr w:type="spellEnd"/>
      <w:r w:rsidRPr="00451E4D">
        <w:rPr>
          <w:i/>
          <w:lang w:val="fr-FR"/>
        </w:rPr>
        <w:t xml:space="preserve"> </w:t>
      </w:r>
      <w:r>
        <w:rPr>
          <w:i/>
          <w:lang w:val="fr-FR"/>
        </w:rPr>
        <w:t>c</w:t>
      </w:r>
      <w:r w:rsidR="0076142A" w:rsidRPr="0076142A">
        <w:rPr>
          <w:i/>
          <w:lang w:val="fr-FR"/>
        </w:rPr>
        <w:t>.</w:t>
      </w:r>
      <w:r w:rsidRPr="00451E4D">
        <w:rPr>
          <w:i/>
          <w:lang w:val="fr-FR"/>
        </w:rPr>
        <w:t xml:space="preserve"> Turkm</w:t>
      </w:r>
      <w:r>
        <w:rPr>
          <w:i/>
          <w:lang w:val="fr-FR"/>
        </w:rPr>
        <w:t>é</w:t>
      </w:r>
      <w:r w:rsidRPr="00451E4D">
        <w:rPr>
          <w:i/>
          <w:lang w:val="fr-FR"/>
        </w:rPr>
        <w:t>nistan</w:t>
      </w:r>
      <w:r>
        <w:rPr>
          <w:lang w:val="fr-FR"/>
        </w:rPr>
        <w:t xml:space="preserve"> (CCPR/C/116/D/2078/2011), par</w:t>
      </w:r>
      <w:r w:rsidR="0076142A" w:rsidRPr="0076142A">
        <w:rPr>
          <w:lang w:val="fr-FR"/>
        </w:rPr>
        <w:t>.</w:t>
      </w:r>
      <w:r w:rsidRPr="004613E0">
        <w:rPr>
          <w:lang w:val="fr-FR"/>
        </w:rPr>
        <w:t xml:space="preserve"> 7</w:t>
      </w:r>
      <w:r w:rsidR="0076142A" w:rsidRPr="0076142A">
        <w:rPr>
          <w:lang w:val="fr-FR"/>
        </w:rPr>
        <w:t>.</w:t>
      </w:r>
      <w:r w:rsidRPr="004613E0">
        <w:rPr>
          <w:lang w:val="fr-FR"/>
        </w:rPr>
        <w:t>4</w:t>
      </w:r>
      <w:r w:rsidR="0076142A" w:rsidRPr="0076142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BD44" w14:textId="6F284716" w:rsidR="001C29B1" w:rsidRPr="002973E4" w:rsidRDefault="00760544">
    <w:pPr>
      <w:pStyle w:val="En-tte"/>
    </w:pPr>
    <w:r>
      <w:fldChar w:fldCharType="begin"/>
    </w:r>
    <w:r>
      <w:instrText xml:space="preserve"> TITLE  \* MERGEFORMAT </w:instrText>
    </w:r>
    <w:r>
      <w:fldChar w:fldCharType="separate"/>
    </w:r>
    <w:r>
      <w:t>CCPR/C/131/D/2988/2017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3D83" w14:textId="57F68377" w:rsidR="001C29B1" w:rsidRPr="002973E4" w:rsidRDefault="00760544" w:rsidP="002973E4">
    <w:pPr>
      <w:pStyle w:val="En-tte"/>
      <w:jc w:val="right"/>
    </w:pPr>
    <w:r>
      <w:fldChar w:fldCharType="begin"/>
    </w:r>
    <w:r>
      <w:instrText xml:space="preserve"> TITLE  \* MERGEFORMAT </w:instrText>
    </w:r>
    <w:r>
      <w:fldChar w:fldCharType="separate"/>
    </w:r>
    <w:r>
      <w:t>CCPR/C/131/D/2988/2017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B4CE6"/>
    <w:multiLevelType w:val="hybridMultilevel"/>
    <w:tmpl w:val="9586BBD6"/>
    <w:lvl w:ilvl="0" w:tplc="B0A40466">
      <w:start w:val="29"/>
      <w:numFmt w:val="decimal"/>
      <w:lvlText w:val="%1."/>
      <w:lvlJc w:val="left"/>
      <w:pPr>
        <w:ind w:left="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D053FA">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0C16F4">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E857D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2CA980">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A0E63C">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2683DA">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88ADD0">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14496E">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825080"/>
    <w:multiLevelType w:val="hybridMultilevel"/>
    <w:tmpl w:val="48A2E0BE"/>
    <w:lvl w:ilvl="0" w:tplc="EEFA78B6">
      <w:start w:val="34"/>
      <w:numFmt w:val="decimal"/>
      <w:lvlText w:val="%1"/>
      <w:lvlJc w:val="left"/>
      <w:pPr>
        <w:ind w:left="720" w:hanging="360"/>
      </w:pPr>
      <w:rPr>
        <w:rFonts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12687B"/>
    <w:multiLevelType w:val="multilevel"/>
    <w:tmpl w:val="EB8C0D60"/>
    <w:lvl w:ilvl="0">
      <w:start w:val="48"/>
      <w:numFmt w:val="decimal"/>
      <w:lvlText w:val="%1."/>
      <w:lvlJc w:val="left"/>
      <w:pPr>
        <w:ind w:left="549" w:hanging="394"/>
      </w:pPr>
    </w:lvl>
    <w:lvl w:ilvl="1">
      <w:numFmt w:val="bullet"/>
      <w:lvlText w:val="•"/>
      <w:lvlJc w:val="left"/>
      <w:pPr>
        <w:ind w:left="2670" w:hanging="392"/>
      </w:pPr>
      <w:rPr>
        <w:rFonts w:ascii="Times New Roman" w:eastAsia="Times New Roman" w:hAnsi="Times New Roman" w:cs="Times New Roman"/>
        <w:color w:val="110F13"/>
        <w:sz w:val="26"/>
        <w:szCs w:val="26"/>
      </w:rPr>
    </w:lvl>
    <w:lvl w:ilvl="2">
      <w:numFmt w:val="bullet"/>
      <w:lvlText w:val="•"/>
      <w:lvlJc w:val="left"/>
      <w:pPr>
        <w:ind w:left="3535" w:hanging="392"/>
      </w:pPr>
    </w:lvl>
    <w:lvl w:ilvl="3">
      <w:numFmt w:val="bullet"/>
      <w:lvlText w:val="•"/>
      <w:lvlJc w:val="left"/>
      <w:pPr>
        <w:ind w:left="4391" w:hanging="391"/>
      </w:pPr>
    </w:lvl>
    <w:lvl w:ilvl="4">
      <w:numFmt w:val="bullet"/>
      <w:lvlText w:val="•"/>
      <w:lvlJc w:val="left"/>
      <w:pPr>
        <w:ind w:left="5246" w:hanging="392"/>
      </w:pPr>
    </w:lvl>
    <w:lvl w:ilvl="5">
      <w:numFmt w:val="bullet"/>
      <w:lvlText w:val="•"/>
      <w:lvlJc w:val="left"/>
      <w:pPr>
        <w:ind w:left="6102" w:hanging="392"/>
      </w:pPr>
    </w:lvl>
    <w:lvl w:ilvl="6">
      <w:numFmt w:val="bullet"/>
      <w:lvlText w:val="•"/>
      <w:lvlJc w:val="left"/>
      <w:pPr>
        <w:ind w:left="6957" w:hanging="392"/>
      </w:pPr>
    </w:lvl>
    <w:lvl w:ilvl="7">
      <w:numFmt w:val="bullet"/>
      <w:lvlText w:val="•"/>
      <w:lvlJc w:val="left"/>
      <w:pPr>
        <w:ind w:left="7813" w:hanging="392"/>
      </w:pPr>
    </w:lvl>
    <w:lvl w:ilvl="8">
      <w:numFmt w:val="bullet"/>
      <w:lvlText w:val="•"/>
      <w:lvlJc w:val="left"/>
      <w:pPr>
        <w:ind w:left="8668" w:hanging="392"/>
      </w:pPr>
    </w:lvl>
  </w:abstractNum>
  <w:abstractNum w:abstractNumId="13"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E86C22"/>
    <w:multiLevelType w:val="hybridMultilevel"/>
    <w:tmpl w:val="5A92E642"/>
    <w:lvl w:ilvl="0" w:tplc="FD9CEB7E">
      <w:start w:val="79"/>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AC97E6">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A4C47E">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80A5CC">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C5DCA">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29FE8">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8ADC96">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401154">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E06CCE">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8A58CC"/>
    <w:multiLevelType w:val="hybridMultilevel"/>
    <w:tmpl w:val="C930F310"/>
    <w:lvl w:ilvl="0" w:tplc="31726014">
      <w:start w:val="14"/>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3A71FC">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AB3E8">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E61620">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4241A0">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465DE">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A8938E">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CC4CC8">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121842">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355E91"/>
    <w:multiLevelType w:val="hybridMultilevel"/>
    <w:tmpl w:val="34C6F5EE"/>
    <w:lvl w:ilvl="0" w:tplc="6D6A0906">
      <w:start w:val="57"/>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665BEC">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72EA74">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9EE4DE">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DCCFAE">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24512">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C62EDC">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1CB072">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B099CC">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454BE0"/>
    <w:multiLevelType w:val="hybridMultilevel"/>
    <w:tmpl w:val="3DCE8240"/>
    <w:lvl w:ilvl="0" w:tplc="56BCEB1E">
      <w:start w:val="4"/>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4E347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4052A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0A0DBA">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0031B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8821C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BED3A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446B8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6AA28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59630F"/>
    <w:multiLevelType w:val="hybridMultilevel"/>
    <w:tmpl w:val="2B189FF4"/>
    <w:lvl w:ilvl="0" w:tplc="BB58C13C">
      <w:start w:val="12"/>
      <w:numFmt w:val="decimal"/>
      <w:lvlText w:val="%1."/>
      <w:lvlJc w:val="left"/>
      <w:pPr>
        <w:ind w:left="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84A104">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96D11A">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45FCA">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3CA0B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287C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F8B12E">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7E15EC">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E0F816">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1E5898"/>
    <w:multiLevelType w:val="hybridMultilevel"/>
    <w:tmpl w:val="16482FF2"/>
    <w:lvl w:ilvl="0" w:tplc="0809000F">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0D2165"/>
    <w:multiLevelType w:val="hybridMultilevel"/>
    <w:tmpl w:val="CAA24638"/>
    <w:lvl w:ilvl="0" w:tplc="1ED65FF0">
      <w:start w:val="65"/>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267C1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F2B66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C2C1AA">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A269F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AE7BA6">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50D818">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567A0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E607B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14440BB"/>
    <w:multiLevelType w:val="hybridMultilevel"/>
    <w:tmpl w:val="903A759C"/>
    <w:lvl w:ilvl="0" w:tplc="E368AE56">
      <w:start w:val="34"/>
      <w:numFmt w:val="decimal"/>
      <w:lvlText w:val="%1."/>
      <w:lvlJc w:val="left"/>
      <w:pPr>
        <w:ind w:left="720" w:hanging="360"/>
      </w:pPr>
      <w:rPr>
        <w:rFonts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8E198E"/>
    <w:multiLevelType w:val="hybridMultilevel"/>
    <w:tmpl w:val="1DC0AFDA"/>
    <w:lvl w:ilvl="0" w:tplc="D04CB306">
      <w:start w:val="46"/>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C049DE">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5E7F66">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064D4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F00B0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DA2490">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1A1AC4">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C0F53A">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0EFE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E42744"/>
    <w:multiLevelType w:val="hybridMultilevel"/>
    <w:tmpl w:val="3BEA04B8"/>
    <w:lvl w:ilvl="0" w:tplc="5A223954">
      <w:start w:val="85"/>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867048">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CCF918">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B47DAA">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400738">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1285A4">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046D52">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844DE2">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F0F072">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4C467D"/>
    <w:multiLevelType w:val="multilevel"/>
    <w:tmpl w:val="EDF45E82"/>
    <w:lvl w:ilvl="0">
      <w:numFmt w:val="bullet"/>
      <w:lvlText w:val="·"/>
      <w:lvlJc w:val="left"/>
      <w:pPr>
        <w:ind w:left="578" w:hanging="95"/>
      </w:pPr>
      <w:rPr>
        <w:rFonts w:ascii="Times New Roman" w:eastAsia="Times New Roman" w:hAnsi="Times New Roman" w:cs="Times New Roman"/>
        <w:color w:val="7B7B79"/>
        <w:sz w:val="24"/>
        <w:szCs w:val="24"/>
      </w:rPr>
    </w:lvl>
    <w:lvl w:ilvl="1">
      <w:numFmt w:val="bullet"/>
      <w:lvlText w:val="•"/>
      <w:lvlJc w:val="left"/>
      <w:pPr>
        <w:ind w:left="1560" w:hanging="95"/>
      </w:pPr>
    </w:lvl>
    <w:lvl w:ilvl="2">
      <w:numFmt w:val="bullet"/>
      <w:lvlText w:val="•"/>
      <w:lvlJc w:val="left"/>
      <w:pPr>
        <w:ind w:left="2540" w:hanging="95"/>
      </w:pPr>
    </w:lvl>
    <w:lvl w:ilvl="3">
      <w:numFmt w:val="bullet"/>
      <w:lvlText w:val="•"/>
      <w:lvlJc w:val="left"/>
      <w:pPr>
        <w:ind w:left="3520" w:hanging="95"/>
      </w:pPr>
    </w:lvl>
    <w:lvl w:ilvl="4">
      <w:numFmt w:val="bullet"/>
      <w:lvlText w:val="•"/>
      <w:lvlJc w:val="left"/>
      <w:pPr>
        <w:ind w:left="4500" w:hanging="95"/>
      </w:pPr>
    </w:lvl>
    <w:lvl w:ilvl="5">
      <w:numFmt w:val="bullet"/>
      <w:lvlText w:val="•"/>
      <w:lvlJc w:val="left"/>
      <w:pPr>
        <w:ind w:left="5480" w:hanging="95"/>
      </w:pPr>
    </w:lvl>
    <w:lvl w:ilvl="6">
      <w:numFmt w:val="bullet"/>
      <w:lvlText w:val="•"/>
      <w:lvlJc w:val="left"/>
      <w:pPr>
        <w:ind w:left="6460" w:hanging="95"/>
      </w:pPr>
    </w:lvl>
    <w:lvl w:ilvl="7">
      <w:numFmt w:val="bullet"/>
      <w:lvlText w:val="•"/>
      <w:lvlJc w:val="left"/>
      <w:pPr>
        <w:ind w:left="7440" w:hanging="95"/>
      </w:pPr>
    </w:lvl>
    <w:lvl w:ilvl="8">
      <w:numFmt w:val="bullet"/>
      <w:lvlText w:val="•"/>
      <w:lvlJc w:val="left"/>
      <w:pPr>
        <w:ind w:left="8420" w:hanging="95"/>
      </w:pPr>
    </w:lvl>
  </w:abstractNum>
  <w:abstractNum w:abstractNumId="26" w15:restartNumberingAfterBreak="0">
    <w:nsid w:val="47E42F8F"/>
    <w:multiLevelType w:val="hybridMultilevel"/>
    <w:tmpl w:val="5DEA4354"/>
    <w:lvl w:ilvl="0" w:tplc="80162AF0">
      <w:start w:val="2"/>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821754">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6C1CEC">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54A7A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07BA4">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0AA48E">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AA1F8">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58BC0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46EEBC">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F769D0"/>
    <w:multiLevelType w:val="hybridMultilevel"/>
    <w:tmpl w:val="4322E798"/>
    <w:lvl w:ilvl="0" w:tplc="4C40A9AC">
      <w:start w:val="62"/>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FA7992">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3C7760">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EC88D6">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081FB8">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1A118A">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CCABD4">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DC2CAE">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DA76C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1071EC"/>
    <w:multiLevelType w:val="hybridMultilevel"/>
    <w:tmpl w:val="6EFE80C4"/>
    <w:lvl w:ilvl="0" w:tplc="49BE5FDE">
      <w:start w:val="67"/>
      <w:numFmt w:val="decimal"/>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BE161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FC96BC">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340D26">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90EDBE">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8A611E">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6EF01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B8F26A">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E8B86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B3968B6"/>
    <w:multiLevelType w:val="hybridMultilevel"/>
    <w:tmpl w:val="A48CF6E0"/>
    <w:lvl w:ilvl="0" w:tplc="9F8C35C2">
      <w:start w:val="30"/>
      <w:numFmt w:val="decimal"/>
      <w:lvlText w:val="%1."/>
      <w:lvlJc w:val="left"/>
      <w:pPr>
        <w:ind w:left="1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EC5AE8">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3CF35E">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80538A">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0C1082">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EBD22">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5438F0">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020476">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5A7B8E">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D7D2118"/>
    <w:multiLevelType w:val="hybridMultilevel"/>
    <w:tmpl w:val="5060E554"/>
    <w:lvl w:ilvl="0" w:tplc="50402F10">
      <w:start w:val="1"/>
      <w:numFmt w:val="lowerLetter"/>
      <w:lvlText w:val="%1-"/>
      <w:lvlJc w:val="left"/>
      <w:pPr>
        <w:ind w:left="1494" w:hanging="360"/>
      </w:pPr>
      <w:rPr>
        <w:rFonts w:eastAsiaTheme="minorHAnsi" w:hint="default"/>
        <w:b w:val="0"/>
        <w:i/>
        <w:color w:val="000000"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3C2214F"/>
    <w:multiLevelType w:val="multilevel"/>
    <w:tmpl w:val="38F8E7BE"/>
    <w:lvl w:ilvl="0">
      <w:start w:val="21"/>
      <w:numFmt w:val="decimal"/>
      <w:lvlText w:val="%1."/>
      <w:lvlJc w:val="left"/>
      <w:pPr>
        <w:ind w:left="633" w:hanging="497"/>
      </w:pPr>
    </w:lvl>
    <w:lvl w:ilvl="1">
      <w:start w:val="1"/>
      <w:numFmt w:val="bullet"/>
      <w:lvlText w:val="•"/>
      <w:lvlJc w:val="left"/>
      <w:pPr>
        <w:ind w:left="2906" w:hanging="481"/>
      </w:pPr>
      <w:rPr>
        <w:rFonts w:ascii="Times New Roman" w:eastAsia="Times New Roman" w:hAnsi="Times New Roman" w:cs="Times New Roman"/>
        <w:color w:val="110F13"/>
        <w:sz w:val="23"/>
        <w:szCs w:val="23"/>
      </w:rPr>
    </w:lvl>
    <w:lvl w:ilvl="2">
      <w:numFmt w:val="bullet"/>
      <w:lvlText w:val="•"/>
      <w:lvlJc w:val="left"/>
      <w:pPr>
        <w:ind w:left="740" w:hanging="482"/>
      </w:pPr>
    </w:lvl>
    <w:lvl w:ilvl="3">
      <w:numFmt w:val="bullet"/>
      <w:lvlText w:val="•"/>
      <w:lvlJc w:val="left"/>
      <w:pPr>
        <w:ind w:left="860" w:hanging="482"/>
      </w:pPr>
    </w:lvl>
    <w:lvl w:ilvl="4">
      <w:numFmt w:val="bullet"/>
      <w:lvlText w:val="•"/>
      <w:lvlJc w:val="left"/>
      <w:pPr>
        <w:ind w:left="1660" w:hanging="482"/>
      </w:pPr>
    </w:lvl>
    <w:lvl w:ilvl="5">
      <w:numFmt w:val="bullet"/>
      <w:lvlText w:val="•"/>
      <w:lvlJc w:val="left"/>
      <w:pPr>
        <w:ind w:left="2900" w:hanging="482"/>
      </w:pPr>
    </w:lvl>
    <w:lvl w:ilvl="6">
      <w:numFmt w:val="bullet"/>
      <w:lvlText w:val="•"/>
      <w:lvlJc w:val="left"/>
      <w:pPr>
        <w:ind w:left="7320" w:hanging="482"/>
      </w:pPr>
    </w:lvl>
    <w:lvl w:ilvl="7">
      <w:numFmt w:val="bullet"/>
      <w:lvlText w:val="•"/>
      <w:lvlJc w:val="left"/>
      <w:pPr>
        <w:ind w:left="5559" w:hanging="482"/>
      </w:pPr>
    </w:lvl>
    <w:lvl w:ilvl="8">
      <w:numFmt w:val="bullet"/>
      <w:lvlText w:val="•"/>
      <w:lvlJc w:val="left"/>
      <w:pPr>
        <w:ind w:left="3799" w:hanging="482"/>
      </w:pPr>
    </w:lvl>
  </w:abstractNum>
  <w:abstractNum w:abstractNumId="33" w15:restartNumberingAfterBreak="0">
    <w:nsid w:val="7E09026A"/>
    <w:multiLevelType w:val="hybridMultilevel"/>
    <w:tmpl w:val="BB2AB7EA"/>
    <w:lvl w:ilvl="0" w:tplc="41D276A2">
      <w:start w:val="91"/>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526838">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98D202">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5C55C4">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886D9E">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1817BA">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2AA72A">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C6A794">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16A6C4">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FC749E1"/>
    <w:multiLevelType w:val="multilevel"/>
    <w:tmpl w:val="DD687674"/>
    <w:lvl w:ilvl="0">
      <w:start w:val="29"/>
      <w:numFmt w:val="decimal"/>
      <w:lvlText w:val="%1."/>
      <w:lvlJc w:val="left"/>
      <w:pPr>
        <w:ind w:left="1193" w:hanging="456"/>
      </w:pPr>
      <w:rPr>
        <w:rFonts w:ascii="Arial" w:eastAsia="Arial" w:hAnsi="Arial" w:cs="Arial"/>
        <w:color w:val="150805"/>
        <w:sz w:val="23"/>
        <w:szCs w:val="23"/>
      </w:rPr>
    </w:lvl>
    <w:lvl w:ilvl="1">
      <w:start w:val="31"/>
      <w:numFmt w:val="decimal"/>
      <w:lvlText w:val="%2."/>
      <w:lvlJc w:val="left"/>
      <w:pPr>
        <w:ind w:left="1401" w:hanging="376"/>
      </w:pPr>
      <w:rPr>
        <w:rFonts w:ascii="Arial" w:eastAsia="Arial" w:hAnsi="Arial" w:cs="Arial"/>
        <w:color w:val="180C08"/>
        <w:sz w:val="24"/>
        <w:szCs w:val="24"/>
      </w:rPr>
    </w:lvl>
    <w:lvl w:ilvl="2">
      <w:numFmt w:val="bullet"/>
      <w:lvlText w:val="•"/>
      <w:lvlJc w:val="left"/>
      <w:pPr>
        <w:ind w:left="2447" w:hanging="376"/>
      </w:pPr>
    </w:lvl>
    <w:lvl w:ilvl="3">
      <w:numFmt w:val="bullet"/>
      <w:lvlText w:val="•"/>
      <w:lvlJc w:val="left"/>
      <w:pPr>
        <w:ind w:left="3495" w:hanging="376"/>
      </w:pPr>
    </w:lvl>
    <w:lvl w:ilvl="4">
      <w:numFmt w:val="bullet"/>
      <w:lvlText w:val="•"/>
      <w:lvlJc w:val="left"/>
      <w:pPr>
        <w:ind w:left="4543" w:hanging="376"/>
      </w:pPr>
    </w:lvl>
    <w:lvl w:ilvl="5">
      <w:numFmt w:val="bullet"/>
      <w:lvlText w:val="•"/>
      <w:lvlJc w:val="left"/>
      <w:pPr>
        <w:ind w:left="5591" w:hanging="376"/>
      </w:pPr>
    </w:lvl>
    <w:lvl w:ilvl="6">
      <w:numFmt w:val="bullet"/>
      <w:lvlText w:val="•"/>
      <w:lvlJc w:val="left"/>
      <w:pPr>
        <w:ind w:left="6638" w:hanging="376"/>
      </w:pPr>
    </w:lvl>
    <w:lvl w:ilvl="7">
      <w:numFmt w:val="bullet"/>
      <w:lvlText w:val="•"/>
      <w:lvlJc w:val="left"/>
      <w:pPr>
        <w:ind w:left="7686" w:hanging="376"/>
      </w:pPr>
    </w:lvl>
    <w:lvl w:ilvl="8">
      <w:numFmt w:val="bullet"/>
      <w:lvlText w:val="•"/>
      <w:lvlJc w:val="left"/>
      <w:pPr>
        <w:ind w:left="8734" w:hanging="376"/>
      </w:pPr>
    </w:lvl>
  </w:abstractNum>
  <w:num w:numId="1">
    <w:abstractNumId w:val="30"/>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3"/>
  </w:num>
  <w:num w:numId="16">
    <w:abstractNumId w:val="13"/>
  </w:num>
  <w:num w:numId="17">
    <w:abstractNumId w:val="30"/>
  </w:num>
  <w:num w:numId="18">
    <w:abstractNumId w:val="23"/>
  </w:num>
  <w:num w:numId="19">
    <w:abstractNumId w:val="13"/>
  </w:num>
  <w:num w:numId="20">
    <w:abstractNumId w:val="26"/>
  </w:num>
  <w:num w:numId="21">
    <w:abstractNumId w:val="17"/>
  </w:num>
  <w:num w:numId="22">
    <w:abstractNumId w:val="18"/>
  </w:num>
  <w:num w:numId="23">
    <w:abstractNumId w:val="15"/>
  </w:num>
  <w:num w:numId="24">
    <w:abstractNumId w:val="10"/>
  </w:num>
  <w:num w:numId="25">
    <w:abstractNumId w:val="32"/>
  </w:num>
  <w:num w:numId="26">
    <w:abstractNumId w:val="21"/>
  </w:num>
  <w:num w:numId="27">
    <w:abstractNumId w:val="11"/>
  </w:num>
  <w:num w:numId="28">
    <w:abstractNumId w:val="12"/>
  </w:num>
  <w:num w:numId="29">
    <w:abstractNumId w:val="25"/>
  </w:num>
  <w:num w:numId="30">
    <w:abstractNumId w:val="22"/>
  </w:num>
  <w:num w:numId="31">
    <w:abstractNumId w:val="16"/>
  </w:num>
  <w:num w:numId="32">
    <w:abstractNumId w:val="27"/>
  </w:num>
  <w:num w:numId="33">
    <w:abstractNumId w:val="29"/>
  </w:num>
  <w:num w:numId="34">
    <w:abstractNumId w:val="20"/>
  </w:num>
  <w:num w:numId="35">
    <w:abstractNumId w:val="28"/>
  </w:num>
  <w:num w:numId="36">
    <w:abstractNumId w:val="14"/>
  </w:num>
  <w:num w:numId="37">
    <w:abstractNumId w:val="24"/>
  </w:num>
  <w:num w:numId="38">
    <w:abstractNumId w:val="33"/>
  </w:num>
  <w:num w:numId="39">
    <w:abstractNumId w:val="34"/>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782"/>
    <w:rsid w:val="00017F94"/>
    <w:rsid w:val="00023842"/>
    <w:rsid w:val="000334F9"/>
    <w:rsid w:val="000440E8"/>
    <w:rsid w:val="0007796D"/>
    <w:rsid w:val="000919AD"/>
    <w:rsid w:val="000B7790"/>
    <w:rsid w:val="000C2225"/>
    <w:rsid w:val="00111F2F"/>
    <w:rsid w:val="0014365E"/>
    <w:rsid w:val="00176178"/>
    <w:rsid w:val="001A06D0"/>
    <w:rsid w:val="001B379B"/>
    <w:rsid w:val="001C29B1"/>
    <w:rsid w:val="001F525A"/>
    <w:rsid w:val="00223272"/>
    <w:rsid w:val="00224849"/>
    <w:rsid w:val="0024779E"/>
    <w:rsid w:val="002973E4"/>
    <w:rsid w:val="002B7BC7"/>
    <w:rsid w:val="002E2D46"/>
    <w:rsid w:val="0032225A"/>
    <w:rsid w:val="003265B7"/>
    <w:rsid w:val="003402F1"/>
    <w:rsid w:val="00351332"/>
    <w:rsid w:val="0038724A"/>
    <w:rsid w:val="003A6E96"/>
    <w:rsid w:val="00446FE5"/>
    <w:rsid w:val="00452396"/>
    <w:rsid w:val="004861F8"/>
    <w:rsid w:val="004A292B"/>
    <w:rsid w:val="004E7782"/>
    <w:rsid w:val="005505B7"/>
    <w:rsid w:val="00573BE5"/>
    <w:rsid w:val="00586ED3"/>
    <w:rsid w:val="00596AA9"/>
    <w:rsid w:val="005E1410"/>
    <w:rsid w:val="006B23E0"/>
    <w:rsid w:val="006D1448"/>
    <w:rsid w:val="006E3BFC"/>
    <w:rsid w:val="006F7144"/>
    <w:rsid w:val="006F71EA"/>
    <w:rsid w:val="0071601D"/>
    <w:rsid w:val="00760544"/>
    <w:rsid w:val="0076142A"/>
    <w:rsid w:val="00793E85"/>
    <w:rsid w:val="007A611C"/>
    <w:rsid w:val="007A62E6"/>
    <w:rsid w:val="007E2032"/>
    <w:rsid w:val="0080684C"/>
    <w:rsid w:val="008560DB"/>
    <w:rsid w:val="00871C75"/>
    <w:rsid w:val="008776DC"/>
    <w:rsid w:val="009705C8"/>
    <w:rsid w:val="009B1E6C"/>
    <w:rsid w:val="009B6634"/>
    <w:rsid w:val="009E2C6A"/>
    <w:rsid w:val="00A57411"/>
    <w:rsid w:val="00A9151D"/>
    <w:rsid w:val="00A92823"/>
    <w:rsid w:val="00AA6A35"/>
    <w:rsid w:val="00AC3823"/>
    <w:rsid w:val="00AE323C"/>
    <w:rsid w:val="00B00181"/>
    <w:rsid w:val="00B11CCC"/>
    <w:rsid w:val="00B3315E"/>
    <w:rsid w:val="00B765F7"/>
    <w:rsid w:val="00BA0CA9"/>
    <w:rsid w:val="00C01ACF"/>
    <w:rsid w:val="00C02897"/>
    <w:rsid w:val="00CA7BC4"/>
    <w:rsid w:val="00D05667"/>
    <w:rsid w:val="00D22C9C"/>
    <w:rsid w:val="00D3439C"/>
    <w:rsid w:val="00D744E5"/>
    <w:rsid w:val="00D83177"/>
    <w:rsid w:val="00DB1831"/>
    <w:rsid w:val="00DD3BFD"/>
    <w:rsid w:val="00DF6678"/>
    <w:rsid w:val="00E50B8D"/>
    <w:rsid w:val="00E85C42"/>
    <w:rsid w:val="00EC30D5"/>
    <w:rsid w:val="00EE1BD4"/>
    <w:rsid w:val="00F12152"/>
    <w:rsid w:val="00F23084"/>
    <w:rsid w:val="00F25990"/>
    <w:rsid w:val="00F2786D"/>
    <w:rsid w:val="00F522BA"/>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B9F5E"/>
  <w15:docId w15:val="{E21C2FB2-E662-4E06-8EFF-B20A75F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2973E4"/>
    <w:rPr>
      <w:sz w:val="16"/>
      <w:szCs w:val="16"/>
    </w:rPr>
  </w:style>
  <w:style w:type="paragraph" w:styleId="Commentaire">
    <w:name w:val="annotation text"/>
    <w:basedOn w:val="Normal"/>
    <w:link w:val="CommentaireCar"/>
    <w:uiPriority w:val="99"/>
    <w:semiHidden/>
    <w:unhideWhenUsed/>
    <w:rsid w:val="002973E4"/>
    <w:pPr>
      <w:spacing w:line="240" w:lineRule="auto"/>
    </w:pPr>
  </w:style>
  <w:style w:type="character" w:customStyle="1" w:styleId="CommentaireCar">
    <w:name w:val="Commentaire Car"/>
    <w:basedOn w:val="Policepardfaut"/>
    <w:link w:val="Commentaire"/>
    <w:uiPriority w:val="99"/>
    <w:semiHidden/>
    <w:rsid w:val="002973E4"/>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2973E4"/>
    <w:rPr>
      <w:b/>
      <w:bCs/>
    </w:rPr>
  </w:style>
  <w:style w:type="character" w:customStyle="1" w:styleId="ObjetducommentaireCar">
    <w:name w:val="Objet du commentaire Car"/>
    <w:basedOn w:val="CommentaireCar"/>
    <w:link w:val="Objetducommentaire"/>
    <w:uiPriority w:val="99"/>
    <w:semiHidden/>
    <w:rsid w:val="002973E4"/>
    <w:rPr>
      <w:rFonts w:ascii="Times New Roman" w:eastAsiaTheme="minorHAnsi" w:hAnsi="Times New Roman" w:cs="Times New Roman"/>
      <w:b/>
      <w:bCs/>
      <w:sz w:val="20"/>
      <w:szCs w:val="20"/>
      <w:lang w:eastAsia="en-US"/>
    </w:rPr>
  </w:style>
  <w:style w:type="paragraph" w:styleId="Paragraphedeliste">
    <w:name w:val="List Paragraph"/>
    <w:basedOn w:val="Normal"/>
    <w:uiPriority w:val="34"/>
    <w:qFormat/>
    <w:rsid w:val="002973E4"/>
    <w:pPr>
      <w:ind w:left="720"/>
      <w:contextualSpacing/>
    </w:pPr>
  </w:style>
  <w:style w:type="paragraph" w:customStyle="1" w:styleId="footnotedescription">
    <w:name w:val="footnote description"/>
    <w:next w:val="Normal"/>
    <w:link w:val="footnotedescriptionChar"/>
    <w:hidden/>
    <w:rsid w:val="002973E4"/>
    <w:pPr>
      <w:spacing w:after="0" w:line="269" w:lineRule="auto"/>
      <w:ind w:left="43" w:right="43"/>
      <w:jc w:val="both"/>
    </w:pPr>
    <w:rPr>
      <w:rFonts w:ascii="Times New Roman" w:hAnsi="Times New Roman" w:cs="Times New Roman"/>
      <w:color w:val="000000"/>
      <w:sz w:val="18"/>
      <w:lang w:val="en-GB" w:eastAsia="en-GB"/>
    </w:rPr>
  </w:style>
  <w:style w:type="character" w:customStyle="1" w:styleId="footnotedescriptionChar">
    <w:name w:val="footnote description Char"/>
    <w:link w:val="footnotedescription"/>
    <w:rsid w:val="002973E4"/>
    <w:rPr>
      <w:rFonts w:ascii="Times New Roman" w:hAnsi="Times New Roman" w:cs="Times New Roman"/>
      <w:color w:val="000000"/>
      <w:sz w:val="18"/>
      <w:lang w:val="en-GB" w:eastAsia="en-GB"/>
    </w:rPr>
  </w:style>
  <w:style w:type="character" w:customStyle="1" w:styleId="footnotemark">
    <w:name w:val="footnote mark"/>
    <w:hidden/>
    <w:rsid w:val="002973E4"/>
    <w:rPr>
      <w:rFonts w:ascii="Times New Roman" w:eastAsia="Times New Roman" w:hAnsi="Times New Roman" w:cs="Times New Roman"/>
      <w:color w:val="000000"/>
      <w:sz w:val="18"/>
      <w:vertAlign w:val="superscript"/>
    </w:rPr>
  </w:style>
  <w:style w:type="character" w:customStyle="1" w:styleId="Mentionnonrsolue1">
    <w:name w:val="Mention non résolue1"/>
    <w:basedOn w:val="Policepardfaut"/>
    <w:uiPriority w:val="99"/>
    <w:semiHidden/>
    <w:unhideWhenUsed/>
    <w:rsid w:val="002973E4"/>
    <w:rPr>
      <w:color w:val="605E5C"/>
      <w:shd w:val="clear" w:color="auto" w:fill="E1DFDD"/>
    </w:rPr>
  </w:style>
  <w:style w:type="paragraph" w:styleId="NormalWeb">
    <w:name w:val="Normal (Web)"/>
    <w:basedOn w:val="Normal"/>
    <w:uiPriority w:val="99"/>
    <w:semiHidden/>
    <w:unhideWhenUsed/>
    <w:rsid w:val="002973E4"/>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13</Pages>
  <Words>7948</Words>
  <Characters>41574</Characters>
  <Application>Microsoft Office Word</Application>
  <DocSecurity>0</DocSecurity>
  <Lines>611</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CCPR/C/131/D/2988/2017</vt:lpstr>
      <vt:lpstr>CCPR/C/131/D/2988/2017</vt:lpstr>
    </vt:vector>
  </TitlesOfParts>
  <Company>DCM</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CCPR/C/131/D/2988/2017</dc:title>
  <dc:subject/>
  <dc:creator>Maud DARICHE</dc:creator>
  <cp:keywords/>
  <cp:lastModifiedBy>Christine Chautagnat</cp:lastModifiedBy>
  <cp:revision>3</cp:revision>
  <cp:lastPrinted>2021-12-17T13:01:00Z</cp:lastPrinted>
  <dcterms:created xsi:type="dcterms:W3CDTF">2021-12-17T13:01:00Z</dcterms:created>
  <dcterms:modified xsi:type="dcterms:W3CDTF">2021-12-17T13:02:00Z</dcterms:modified>
</cp:coreProperties>
</file>