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0BD827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74C9D3" w14:textId="77777777" w:rsidR="002D5AAC" w:rsidRDefault="002D5AAC" w:rsidP="00860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F6F716D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15F5144" w14:textId="0683CAF3" w:rsidR="002D5AAC" w:rsidRDefault="00860A5F" w:rsidP="00860A5F">
            <w:pPr>
              <w:jc w:val="right"/>
            </w:pPr>
            <w:r w:rsidRPr="00860A5F">
              <w:rPr>
                <w:sz w:val="40"/>
              </w:rPr>
              <w:t>CCPR</w:t>
            </w:r>
            <w:r>
              <w:t>/C/130/2/Add.3</w:t>
            </w:r>
          </w:p>
        </w:tc>
      </w:tr>
      <w:tr w:rsidR="002D5AAC" w:rsidRPr="0011343B" w14:paraId="5E496225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38E5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8855A4" wp14:editId="2C4A82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B94BF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8CB356A" w14:textId="77777777" w:rsidR="002D5AAC" w:rsidRPr="0011343B" w:rsidRDefault="00860A5F" w:rsidP="00BC3629">
            <w:pPr>
              <w:spacing w:before="240"/>
              <w:rPr>
                <w:lang w:val="en-US"/>
              </w:rPr>
            </w:pPr>
            <w:r w:rsidRPr="0011343B">
              <w:rPr>
                <w:lang w:val="en-US"/>
              </w:rPr>
              <w:t>Distr.: General</w:t>
            </w:r>
          </w:p>
          <w:p w14:paraId="55B3FE4D" w14:textId="77777777" w:rsidR="00860A5F" w:rsidRPr="0011343B" w:rsidRDefault="00860A5F" w:rsidP="00860A5F">
            <w:pPr>
              <w:spacing w:line="240" w:lineRule="exact"/>
              <w:rPr>
                <w:lang w:val="en-US"/>
              </w:rPr>
            </w:pPr>
            <w:r w:rsidRPr="0011343B">
              <w:rPr>
                <w:lang w:val="en-US"/>
              </w:rPr>
              <w:t>22 February 2021</w:t>
            </w:r>
          </w:p>
          <w:p w14:paraId="46E28C07" w14:textId="77777777" w:rsidR="00860A5F" w:rsidRPr="0011343B" w:rsidRDefault="00860A5F" w:rsidP="00860A5F">
            <w:pPr>
              <w:spacing w:line="240" w:lineRule="exact"/>
              <w:rPr>
                <w:lang w:val="en-US"/>
              </w:rPr>
            </w:pPr>
            <w:r w:rsidRPr="0011343B">
              <w:rPr>
                <w:lang w:val="en-US"/>
              </w:rPr>
              <w:t>Russian</w:t>
            </w:r>
          </w:p>
          <w:p w14:paraId="6AA530AE" w14:textId="5B7127D1" w:rsidR="00860A5F" w:rsidRPr="0011343B" w:rsidRDefault="00860A5F" w:rsidP="00860A5F">
            <w:pPr>
              <w:spacing w:line="240" w:lineRule="exact"/>
              <w:rPr>
                <w:lang w:val="en-US"/>
              </w:rPr>
            </w:pPr>
            <w:r w:rsidRPr="0011343B">
              <w:rPr>
                <w:lang w:val="en-US"/>
              </w:rPr>
              <w:t>Original: English</w:t>
            </w:r>
          </w:p>
        </w:tc>
      </w:tr>
    </w:tbl>
    <w:p w14:paraId="56552758" w14:textId="77777777" w:rsidR="00860A5F" w:rsidRPr="005D6F55" w:rsidRDefault="00860A5F" w:rsidP="00860A5F">
      <w:pPr>
        <w:spacing w:before="120"/>
        <w:jc w:val="both"/>
        <w:rPr>
          <w:b/>
          <w:bCs/>
          <w:sz w:val="24"/>
          <w:szCs w:val="24"/>
        </w:rPr>
      </w:pPr>
      <w:r w:rsidRPr="005D6F55">
        <w:rPr>
          <w:b/>
          <w:bCs/>
          <w:sz w:val="24"/>
          <w:szCs w:val="24"/>
        </w:rPr>
        <w:t>Комитет по правам человека</w:t>
      </w:r>
    </w:p>
    <w:p w14:paraId="1BD336D5" w14:textId="352BE15F" w:rsidR="00860A5F" w:rsidRPr="00DF456A" w:rsidRDefault="00860A5F" w:rsidP="005D6F55">
      <w:pPr>
        <w:pStyle w:val="HChG"/>
      </w:pPr>
      <w:r>
        <w:tab/>
      </w:r>
      <w:r>
        <w:tab/>
        <w:t>Доклад о последующей деятельности в связи с</w:t>
      </w:r>
      <w:r w:rsidR="005D6F55">
        <w:rPr>
          <w:lang w:val="en-US"/>
        </w:rPr>
        <w:t> </w:t>
      </w:r>
      <w:r>
        <w:t xml:space="preserve">заключительными замечаниями Комитета </w:t>
      </w:r>
      <w:r w:rsidR="005D6F55">
        <w:br/>
      </w:r>
      <w:r>
        <w:t>по правам человека</w:t>
      </w:r>
      <w:r w:rsidRPr="005D6F55">
        <w:rPr>
          <w:b w:val="0"/>
          <w:bCs/>
          <w:sz w:val="20"/>
        </w:rPr>
        <w:footnoteReference w:customMarkFollows="1" w:id="1"/>
        <w:t>*</w:t>
      </w:r>
      <w:bookmarkStart w:id="0" w:name="_Toc506807534"/>
      <w:bookmarkEnd w:id="0"/>
    </w:p>
    <w:p w14:paraId="10EB5762" w14:textId="77777777" w:rsidR="00860A5F" w:rsidRPr="00DF456A" w:rsidRDefault="00860A5F" w:rsidP="005D6F55">
      <w:pPr>
        <w:pStyle w:val="H23G"/>
        <w:rPr>
          <w:rFonts w:eastAsia="SimSun"/>
        </w:rPr>
      </w:pPr>
      <w:r>
        <w:tab/>
      </w:r>
      <w:r>
        <w:tab/>
        <w:t>Добавление</w:t>
      </w:r>
    </w:p>
    <w:p w14:paraId="2F840173" w14:textId="79D92AEF" w:rsidR="00860A5F" w:rsidRPr="00DF456A" w:rsidRDefault="00860A5F" w:rsidP="005D6F55">
      <w:pPr>
        <w:pStyle w:val="H1G"/>
      </w:pPr>
      <w:r>
        <w:tab/>
      </w:r>
      <w:r>
        <w:tab/>
        <w:t>Оценка информации о последующей деятельности в связи с</w:t>
      </w:r>
      <w:r w:rsidR="00E2043D">
        <w:rPr>
          <w:lang w:val="en-US"/>
        </w:rPr>
        <w:t> </w:t>
      </w:r>
      <w:r>
        <w:t>заключительными замечаниями по Гондурасу</w:t>
      </w:r>
    </w:p>
    <w:tbl>
      <w:tblPr>
        <w:tblW w:w="737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4570"/>
      </w:tblGrid>
      <w:tr w:rsidR="00860A5F" w:rsidRPr="001A395F" w14:paraId="5126EB44" w14:textId="77777777" w:rsidTr="00E2043D">
        <w:trPr>
          <w:trHeight w:val="516"/>
          <w:tblHeader/>
          <w:jc w:val="center"/>
        </w:trPr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38711D" w14:textId="77777777" w:rsidR="00860A5F" w:rsidRPr="00D153F3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i/>
              </w:rPr>
            </w:pPr>
            <w:r>
              <w:rPr>
                <w:i/>
                <w:iCs/>
              </w:rPr>
              <w:t>Заключительные замечания (120-я сессия):</w:t>
            </w:r>
          </w:p>
        </w:tc>
        <w:tc>
          <w:tcPr>
            <w:tcW w:w="4570" w:type="dxa"/>
            <w:shd w:val="clear" w:color="auto" w:fill="auto"/>
            <w:tcMar>
              <w:left w:w="28" w:type="dxa"/>
              <w:right w:w="28" w:type="dxa"/>
            </w:tcMar>
          </w:tcPr>
          <w:p w14:paraId="6E586BA8" w14:textId="77777777" w:rsidR="00860A5F" w:rsidRPr="00DF456A" w:rsidRDefault="00541EFC" w:rsidP="00E2043D">
            <w:pPr>
              <w:spacing w:line="240" w:lineRule="auto"/>
            </w:pPr>
            <w:hyperlink r:id="rId8">
              <w:r w:rsidR="00860A5F" w:rsidRPr="00E2043D">
                <w:rPr>
                  <w:rStyle w:val="af1"/>
                  <w:rFonts w:eastAsia="SimSun"/>
                </w:rPr>
                <w:t>CCPR/C/HND/CO/2</w:t>
              </w:r>
              <w:r w:rsidR="00860A5F" w:rsidRPr="00DF456A">
                <w:t>, 24 июля 2017 года</w:t>
              </w:r>
            </w:hyperlink>
          </w:p>
        </w:tc>
      </w:tr>
      <w:tr w:rsidR="00860A5F" w:rsidRPr="00E2043D" w14:paraId="160FE973" w14:textId="77777777" w:rsidTr="00E2043D">
        <w:trPr>
          <w:jc w:val="center"/>
        </w:trPr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</w:tcPr>
          <w:p w14:paraId="5D1C6472" w14:textId="77777777" w:rsidR="00860A5F" w:rsidRPr="00D153F3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>Пункты, предусматривающие последующую деятельность:</w:t>
            </w:r>
          </w:p>
        </w:tc>
        <w:tc>
          <w:tcPr>
            <w:tcW w:w="4570" w:type="dxa"/>
            <w:shd w:val="clear" w:color="auto" w:fill="auto"/>
            <w:tcMar>
              <w:left w:w="28" w:type="dxa"/>
              <w:right w:w="28" w:type="dxa"/>
            </w:tcMar>
          </w:tcPr>
          <w:p w14:paraId="254653F7" w14:textId="02C65AFF" w:rsidR="00860A5F" w:rsidRPr="00E2043D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lang w:val="en-US"/>
              </w:rPr>
            </w:pPr>
            <w:r w:rsidRPr="00E2043D">
              <w:rPr>
                <w:lang w:val="en-US"/>
              </w:rPr>
              <w:t xml:space="preserve">17, 21, 41 </w:t>
            </w:r>
            <w:r>
              <w:t>и</w:t>
            </w:r>
            <w:r w:rsidRPr="00E2043D">
              <w:rPr>
                <w:lang w:val="en-US"/>
              </w:rPr>
              <w:t xml:space="preserve"> 47</w:t>
            </w:r>
            <w:r w:rsidR="00E2043D">
              <w:rPr>
                <w:lang w:val="en-US"/>
              </w:rPr>
              <w:t xml:space="preserve"> </w:t>
            </w:r>
          </w:p>
        </w:tc>
      </w:tr>
      <w:tr w:rsidR="00860A5F" w:rsidRPr="00D153F3" w14:paraId="3A7BF920" w14:textId="77777777" w:rsidTr="00E2043D">
        <w:trPr>
          <w:jc w:val="center"/>
        </w:trPr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</w:tcPr>
          <w:p w14:paraId="7B7B9586" w14:textId="77777777" w:rsidR="00860A5F" w:rsidRPr="00D153F3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>Ответ, касающийся последующей деятельности:</w:t>
            </w:r>
          </w:p>
        </w:tc>
        <w:tc>
          <w:tcPr>
            <w:tcW w:w="4570" w:type="dxa"/>
            <w:shd w:val="clear" w:color="auto" w:fill="auto"/>
            <w:tcMar>
              <w:left w:w="28" w:type="dxa"/>
              <w:right w:w="28" w:type="dxa"/>
            </w:tcMar>
          </w:tcPr>
          <w:p w14:paraId="4F243116" w14:textId="77777777" w:rsidR="00860A5F" w:rsidRPr="00D153F3" w:rsidRDefault="00541EFC" w:rsidP="00E2043D">
            <w:pPr>
              <w:rPr>
                <w:rFonts w:eastAsiaTheme="minorEastAsia"/>
              </w:rPr>
            </w:pPr>
            <w:hyperlink r:id="rId9" w:history="1">
              <w:r w:rsidR="00860A5F" w:rsidRPr="00E2043D">
                <w:rPr>
                  <w:rStyle w:val="af1"/>
                  <w:rFonts w:eastAsia="SimSun"/>
                  <w:lang w:val="en-US"/>
                </w:rPr>
                <w:t>CCPR/C/HND/CO/2/Add.1</w:t>
              </w:r>
              <w:r w:rsidR="00860A5F">
                <w:t>, 15 августа 2018 года</w:t>
              </w:r>
            </w:hyperlink>
          </w:p>
        </w:tc>
      </w:tr>
      <w:tr w:rsidR="00860A5F" w:rsidRPr="001A395F" w14:paraId="281FEC97" w14:textId="77777777" w:rsidTr="00E2043D">
        <w:trPr>
          <w:jc w:val="center"/>
        </w:trPr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</w:tcPr>
          <w:p w14:paraId="41111C30" w14:textId="77777777" w:rsidR="00860A5F" w:rsidRPr="00DF456A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>Информация, полученная от неправительственных организаций:</w:t>
            </w:r>
          </w:p>
        </w:tc>
        <w:tc>
          <w:tcPr>
            <w:tcW w:w="4570" w:type="dxa"/>
            <w:shd w:val="clear" w:color="auto" w:fill="auto"/>
            <w:tcMar>
              <w:left w:w="28" w:type="dxa"/>
              <w:right w:w="28" w:type="dxa"/>
            </w:tcMar>
          </w:tcPr>
          <w:p w14:paraId="06E8B2CC" w14:textId="4D75AA0D" w:rsidR="00860A5F" w:rsidRPr="00DF456A" w:rsidRDefault="00860A5F" w:rsidP="0011343B">
            <w:pPr>
              <w:spacing w:after="120"/>
              <w:rPr>
                <w:b/>
              </w:rPr>
            </w:pPr>
            <w:hyperlink r:id="rId10" w:history="1">
              <w:r w:rsidRPr="00E2043D">
                <w:rPr>
                  <w:rStyle w:val="af1"/>
                  <w:rFonts w:eastAsia="SimSun"/>
                </w:rPr>
                <w:t xml:space="preserve">Платформа </w:t>
              </w:r>
              <w:r w:rsidR="00E2043D" w:rsidRPr="00E2043D">
                <w:rPr>
                  <w:rStyle w:val="af1"/>
                  <w:rFonts w:eastAsia="SimSun"/>
                </w:rPr>
                <w:t>«</w:t>
              </w:r>
              <w:r w:rsidRPr="00E2043D">
                <w:rPr>
                  <w:rStyle w:val="af1"/>
                  <w:rFonts w:eastAsia="SimSun"/>
                </w:rPr>
                <w:t>Нас много, за свободу и жизнь женщин</w:t>
              </w:r>
              <w:r w:rsidR="00E2043D" w:rsidRPr="00E2043D">
                <w:rPr>
                  <w:rStyle w:val="af1"/>
                  <w:rFonts w:eastAsia="SimSun"/>
                </w:rPr>
                <w:t>»</w:t>
              </w:r>
              <w:r w:rsidRPr="00E2043D">
                <w:rPr>
                  <w:rStyle w:val="af1"/>
                  <w:rFonts w:eastAsia="SimSun"/>
                </w:rPr>
                <w:t xml:space="preserve">, Стратегическая группа по средствам экстренной контрацепции, Центр развития и сотрудничества ЛГТБИ </w:t>
              </w:r>
              <w:r w:rsidR="00E2043D" w:rsidRPr="00E2043D">
                <w:rPr>
                  <w:rStyle w:val="af1"/>
                  <w:rFonts w:eastAsia="SimSun"/>
                </w:rPr>
                <w:t>—</w:t>
              </w:r>
              <w:r w:rsidRPr="00E2043D">
                <w:rPr>
                  <w:rStyle w:val="af1"/>
                  <w:rFonts w:eastAsia="SimSun"/>
                </w:rPr>
                <w:t xml:space="preserve"> </w:t>
              </w:r>
              <w:r w:rsidR="00E2043D" w:rsidRPr="00E2043D">
                <w:rPr>
                  <w:rStyle w:val="af1"/>
                  <w:rFonts w:eastAsia="SimSun"/>
                </w:rPr>
                <w:t>«</w:t>
              </w:r>
              <w:r w:rsidRPr="00E2043D">
                <w:rPr>
                  <w:rStyle w:val="af1"/>
                  <w:rFonts w:eastAsia="SimSun"/>
                </w:rPr>
                <w:t>ЦРС СОМОС</w:t>
              </w:r>
              <w:r w:rsidR="00E2043D" w:rsidRPr="00E2043D">
                <w:rPr>
                  <w:rStyle w:val="af1"/>
                  <w:rFonts w:eastAsia="SimSun"/>
                </w:rPr>
                <w:t>»</w:t>
              </w:r>
            </w:hyperlink>
            <w:r w:rsidR="00E2043D" w:rsidRPr="00E2043D">
              <w:t xml:space="preserve">  </w:t>
            </w:r>
          </w:p>
        </w:tc>
      </w:tr>
      <w:tr w:rsidR="00860A5F" w:rsidRPr="001A395F" w14:paraId="0EAF917F" w14:textId="77777777" w:rsidTr="00E2043D">
        <w:trPr>
          <w:trHeight w:val="66"/>
          <w:jc w:val="center"/>
        </w:trPr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</w:tcPr>
          <w:p w14:paraId="6BC42456" w14:textId="77777777" w:rsidR="00860A5F" w:rsidRPr="00D153F3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>Оценка Комитета:</w:t>
            </w:r>
            <w:r>
              <w:t xml:space="preserve"> </w:t>
            </w:r>
          </w:p>
        </w:tc>
        <w:tc>
          <w:tcPr>
            <w:tcW w:w="4570" w:type="dxa"/>
            <w:shd w:val="clear" w:color="auto" w:fill="auto"/>
            <w:tcMar>
              <w:left w:w="28" w:type="dxa"/>
              <w:right w:w="28" w:type="dxa"/>
            </w:tcMar>
          </w:tcPr>
          <w:p w14:paraId="5EB2DC05" w14:textId="77777777" w:rsidR="00860A5F" w:rsidRPr="00DF456A" w:rsidRDefault="00860A5F" w:rsidP="00E2043D">
            <w:pPr>
              <w:spacing w:before="40" w:after="120" w:line="220" w:lineRule="exact"/>
              <w:ind w:right="113"/>
              <w:rPr>
                <w:rFonts w:eastAsiaTheme="minorEastAsia"/>
              </w:rPr>
            </w:pPr>
            <w:r>
              <w:t>требуется дополнительная информация по пунктам 17 [</w:t>
            </w:r>
            <w:r w:rsidRPr="00556ED5">
              <w:rPr>
                <w:b/>
                <w:bCs/>
              </w:rPr>
              <w:t>С</w:t>
            </w:r>
            <w:r>
              <w:t>], 21 [</w:t>
            </w:r>
            <w:r w:rsidRPr="00556ED5">
              <w:rPr>
                <w:b/>
                <w:bCs/>
              </w:rPr>
              <w:t>В</w:t>
            </w:r>
            <w:r>
              <w:t>], 41 [</w:t>
            </w:r>
            <w:r w:rsidRPr="00556ED5">
              <w:rPr>
                <w:b/>
                <w:bCs/>
              </w:rPr>
              <w:t>В</w:t>
            </w:r>
            <w:r>
              <w:t>] [</w:t>
            </w:r>
            <w:r w:rsidRPr="00556ED5">
              <w:rPr>
                <w:b/>
                <w:bCs/>
              </w:rPr>
              <w:t>С</w:t>
            </w:r>
            <w:r>
              <w:t>] и 47 [</w:t>
            </w:r>
            <w:r w:rsidRPr="00556ED5">
              <w:rPr>
                <w:b/>
                <w:bCs/>
              </w:rPr>
              <w:t>В</w:t>
            </w:r>
            <w:r>
              <w:t>].</w:t>
            </w:r>
          </w:p>
        </w:tc>
      </w:tr>
    </w:tbl>
    <w:p w14:paraId="006D7B46" w14:textId="77777777" w:rsidR="00860A5F" w:rsidRPr="00DF456A" w:rsidRDefault="00860A5F" w:rsidP="00860A5F">
      <w:pPr>
        <w:pStyle w:val="H23G"/>
      </w:pPr>
      <w:bookmarkStart w:id="1" w:name="_Toc494978432"/>
      <w:r>
        <w:tab/>
      </w:r>
      <w:r>
        <w:tab/>
      </w:r>
      <w:r>
        <w:rPr>
          <w:bCs/>
        </w:rPr>
        <w:t>Пункт 17: добровольное прерывание беременности и репродуктивные права</w:t>
      </w:r>
      <w:bookmarkEnd w:id="1"/>
    </w:p>
    <w:p w14:paraId="031EE082" w14:textId="58B42593" w:rsidR="00860A5F" w:rsidRPr="00DF456A" w:rsidRDefault="0021080C" w:rsidP="00860A5F">
      <w:pPr>
        <w:pStyle w:val="SingleTxtG"/>
        <w:rPr>
          <w:b/>
        </w:rPr>
      </w:pPr>
      <w:r>
        <w:rPr>
          <w:b/>
          <w:bCs/>
        </w:rPr>
        <w:tab/>
      </w:r>
      <w:r w:rsidR="00860A5F">
        <w:rPr>
          <w:b/>
          <w:bCs/>
        </w:rPr>
        <w:t>Государству-участнику следует в срочном порядке внести поправки в свое законодательство, с тем чтобы оказать женщинам помощь в предупреждении нежелательной беременности и исключить необходимость того, чтобы они прибегали к нелегальным абортам, которые могут угрожать их жизни и здоровью.</w:t>
      </w:r>
      <w:r w:rsidR="00860A5F">
        <w:t xml:space="preserve"> </w:t>
      </w:r>
      <w:r w:rsidR="00860A5F">
        <w:rPr>
          <w:b/>
          <w:bCs/>
        </w:rPr>
        <w:t>В этой связи государству-участнику следует обеспечить доступ к легальным и безопасным абортам, в том числе в случаях угрозы для жизни или здоровья женщины, изнасилования, инцеста или нежизнеспособности плода вследствие пороков развития, а также рассмотреть вопрос об отмене уголовного наказания за аборт.</w:t>
      </w:r>
      <w:r w:rsidR="00860A5F">
        <w:t xml:space="preserve"> </w:t>
      </w:r>
      <w:r w:rsidR="00860A5F">
        <w:rPr>
          <w:b/>
          <w:bCs/>
        </w:rPr>
        <w:t>Государству-участнику следует снять запрет на средства экстренной контрацепции.</w:t>
      </w:r>
      <w:r w:rsidR="00860A5F">
        <w:t xml:space="preserve"> </w:t>
      </w:r>
      <w:r w:rsidR="00860A5F">
        <w:rPr>
          <w:b/>
          <w:bCs/>
        </w:rPr>
        <w:t xml:space="preserve">Ему также следует вести точную статистику о влиянии ограничений в отношении абортов и средств экстренной контрацепции на жизнь и здоровье женщин и девочек и увеличить число программ, направленных на обеспечение полного доступа к услугам в области сексуального и репродуктивного здоровья и противозачаточным средствам, а также повышать </w:t>
      </w:r>
      <w:r w:rsidR="00860A5F">
        <w:rPr>
          <w:b/>
          <w:bCs/>
        </w:rPr>
        <w:lastRenderedPageBreak/>
        <w:t>осведомленность о сексуальном и репродуктивном здоровье среди мужчин, женщин и детей на всей территории страны.</w:t>
      </w:r>
    </w:p>
    <w:p w14:paraId="529797EB" w14:textId="77777777" w:rsidR="00860A5F" w:rsidRPr="00DF456A" w:rsidRDefault="00860A5F" w:rsidP="00860A5F">
      <w:pPr>
        <w:pStyle w:val="H23G"/>
        <w:spacing w:before="0" w:line="240" w:lineRule="auto"/>
        <w:ind w:left="1170" w:right="1178" w:firstLine="0"/>
      </w:pPr>
      <w:r>
        <w:rPr>
          <w:bCs/>
        </w:rPr>
        <w:t>Резюме ответа государства-участника</w:t>
      </w:r>
      <w:r>
        <w:t xml:space="preserve"> </w:t>
      </w:r>
    </w:p>
    <w:p w14:paraId="1CABFCA8" w14:textId="3049ECC2" w:rsidR="00860A5F" w:rsidRPr="00DF456A" w:rsidRDefault="00860A5F" w:rsidP="00860A5F">
      <w:pPr>
        <w:pStyle w:val="SingleTxtG"/>
        <w:ind w:firstLine="567"/>
      </w:pPr>
      <w:r>
        <w:t>Каких-либо поправок в законодательство внесено не было. Государство-участник перечислило свои достижения в области профилактики беременности в период 2014</w:t>
      </w:r>
      <w:r w:rsidR="00F2678A" w:rsidRPr="008F6106">
        <w:t>–</w:t>
      </w:r>
      <w:r>
        <w:t xml:space="preserve">2018 годов. </w:t>
      </w:r>
    </w:p>
    <w:p w14:paraId="0D0881F1" w14:textId="77777777" w:rsidR="00860A5F" w:rsidRPr="00DF456A" w:rsidRDefault="00860A5F" w:rsidP="00860A5F">
      <w:pPr>
        <w:pStyle w:val="SingleTxtG"/>
        <w:ind w:firstLine="567"/>
      </w:pPr>
      <w:r>
        <w:t>Национальный институт по делам женщин активно пропагандировал в Министерстве здравоохранения проведение научно-технического исследования по вопросу об использовании средств экстренной контрацепции и принятие медицинского протокола для лиц, ставших жертвами сексуального насилия или пострадавших в результате него.</w:t>
      </w:r>
    </w:p>
    <w:p w14:paraId="1A6DA3EA" w14:textId="77777777" w:rsidR="00860A5F" w:rsidRPr="00DF456A" w:rsidRDefault="00860A5F" w:rsidP="00860A5F">
      <w:pPr>
        <w:pStyle w:val="SingleTxtG"/>
        <w:ind w:firstLine="567"/>
      </w:pPr>
      <w:r>
        <w:t>Что касается статистики, то в настоящее время Министерство здравоохранения ведет административный учет пациентов, проходящих стационарное лечение в связи с абортом.</w:t>
      </w:r>
    </w:p>
    <w:p w14:paraId="7B3605AC" w14:textId="77777777" w:rsidR="00860A5F" w:rsidRPr="00DF456A" w:rsidRDefault="00860A5F" w:rsidP="00860A5F">
      <w:pPr>
        <w:pStyle w:val="SingleTxtG"/>
        <w:ind w:firstLine="567"/>
      </w:pPr>
      <w:r>
        <w:t>Что касается информационно-просветительских программ, то Национальный институт по делам женщин провел учебные семинары для укрепления технических навыков персонала, работающего в непосредственном контакте с подростками.</w:t>
      </w:r>
    </w:p>
    <w:p w14:paraId="62848421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Информация, полученная от неправительственных организаций</w:t>
      </w:r>
    </w:p>
    <w:p w14:paraId="10CDCE84" w14:textId="38A756DC" w:rsidR="00860A5F" w:rsidRPr="00DF456A" w:rsidRDefault="00860A5F" w:rsidP="00860A5F">
      <w:pPr>
        <w:pStyle w:val="H4G"/>
      </w:pPr>
      <w:r>
        <w:tab/>
      </w:r>
      <w:r>
        <w:tab/>
      </w:r>
      <w:r>
        <w:rPr>
          <w:iCs/>
        </w:rPr>
        <w:t xml:space="preserve">Платформа </w:t>
      </w:r>
      <w:r w:rsidR="00E2043D">
        <w:rPr>
          <w:iCs/>
        </w:rPr>
        <w:t>«</w:t>
      </w:r>
      <w:r>
        <w:rPr>
          <w:iCs/>
        </w:rPr>
        <w:t>Нас много, за свободу и жизнь женщин</w:t>
      </w:r>
      <w:r w:rsidR="00E2043D">
        <w:rPr>
          <w:iCs/>
        </w:rPr>
        <w:t>»</w:t>
      </w:r>
    </w:p>
    <w:p w14:paraId="42786057" w14:textId="64425FC8" w:rsidR="00860A5F" w:rsidRPr="00DF456A" w:rsidRDefault="008F6106" w:rsidP="00860A5F">
      <w:pPr>
        <w:pStyle w:val="SingleTxtG"/>
      </w:pPr>
      <w:r>
        <w:tab/>
      </w:r>
      <w:r w:rsidR="00860A5F">
        <w:t xml:space="preserve">Государство-участник имело возможность внести поправки в новый Уголовный кодекс и рассмотреть вопрос об отмене уголовного наказания за аборт. </w:t>
      </w:r>
    </w:p>
    <w:p w14:paraId="1F14C0E6" w14:textId="77777777" w:rsidR="00860A5F" w:rsidRPr="00DF456A" w:rsidRDefault="00860A5F" w:rsidP="00860A5F">
      <w:pPr>
        <w:pStyle w:val="H4G"/>
      </w:pPr>
      <w:r>
        <w:tab/>
      </w:r>
      <w:r>
        <w:tab/>
      </w:r>
      <w:r>
        <w:rPr>
          <w:iCs/>
        </w:rPr>
        <w:t>Стратегическая группа по средствам экстренной контрацепции</w:t>
      </w:r>
    </w:p>
    <w:p w14:paraId="7A39027B" w14:textId="488640AF" w:rsidR="00860A5F" w:rsidRPr="00DF456A" w:rsidRDefault="008F6106" w:rsidP="00860A5F">
      <w:pPr>
        <w:pStyle w:val="SingleTxtG"/>
      </w:pPr>
      <w:r>
        <w:tab/>
      </w:r>
      <w:r w:rsidR="00860A5F">
        <w:t xml:space="preserve">Более 21 </w:t>
      </w:r>
      <w:r w:rsidRPr="008F6106">
        <w:t>000</w:t>
      </w:r>
      <w:r w:rsidR="00860A5F">
        <w:t xml:space="preserve"> девочек и женщин сообщили о сексуальном насилии; из этих сообщений 54</w:t>
      </w:r>
      <w:r>
        <w:rPr>
          <w:lang w:val="en-US"/>
        </w:rPr>
        <w:t> </w:t>
      </w:r>
      <w:r w:rsidR="00860A5F">
        <w:t xml:space="preserve">% были представлены девочками в возрасте 14 лет и </w:t>
      </w:r>
      <w:r>
        <w:t>моложе</w:t>
      </w:r>
      <w:r w:rsidR="00860A5F">
        <w:t xml:space="preserve">, и все они были вынуждены донашивать плод. </w:t>
      </w:r>
    </w:p>
    <w:p w14:paraId="78211B19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29197602" w14:textId="77777777" w:rsidR="00860A5F" w:rsidRPr="00DF456A" w:rsidRDefault="00860A5F" w:rsidP="00860A5F">
      <w:pPr>
        <w:pStyle w:val="SingleTxtG"/>
      </w:pPr>
      <w:r>
        <w:t>[</w:t>
      </w:r>
      <w:r>
        <w:rPr>
          <w:b/>
          <w:bCs/>
        </w:rPr>
        <w:t>C</w:t>
      </w:r>
      <w:r>
        <w:t xml:space="preserve">]: </w:t>
      </w:r>
      <w:r>
        <w:tab/>
        <w:t xml:space="preserve">Комитет выражает сожаление в связи с тем, что государство-участник не приняло мер в целях изменения своего законодательства, </w:t>
      </w:r>
      <w:r w:rsidRPr="009B5087">
        <w:t>с тем чтобы оказать женщинам помощь в предупреждении нежелательной беременности</w:t>
      </w:r>
      <w:r>
        <w:t xml:space="preserve"> и обеспечить доступ к легальным и безопасным абортам, в том числе в случаях угрозы для жизни или здоровья женщины, изнасилования, инцеста или нежизнеспособности плода вследствие пороков развития, а также в целях рассмотрения вопроса об отмене уголовного наказания за аборт. </w:t>
      </w:r>
    </w:p>
    <w:p w14:paraId="50D1022B" w14:textId="616C5164" w:rsidR="00860A5F" w:rsidRPr="00DF456A" w:rsidRDefault="008F6106" w:rsidP="00860A5F">
      <w:pPr>
        <w:pStyle w:val="SingleTxtG"/>
      </w:pPr>
      <w:r>
        <w:tab/>
      </w:r>
      <w:r w:rsidR="00860A5F">
        <w:t xml:space="preserve">Комитет принимает к сведению представленную информацию о том, что Национальный институт по делам женщин активно пропагандировал в Министерстве здравоохранения проведение научно-технического исследования по вопросу об использовании средств экстренной контрацепции и принятие медицинского протокола для лиц, ставших жертвами сексуального насилия или пострадавших в результате него. Он просит представить обновленную информацию по этому вопросу. </w:t>
      </w:r>
    </w:p>
    <w:p w14:paraId="7D4D047C" w14:textId="1212577D" w:rsidR="00860A5F" w:rsidRPr="00DF456A" w:rsidRDefault="0021080C" w:rsidP="00860A5F">
      <w:pPr>
        <w:pStyle w:val="SingleTxtG"/>
      </w:pPr>
      <w:r>
        <w:tab/>
      </w:r>
      <w:r w:rsidR="00860A5F">
        <w:t xml:space="preserve">Комитет принимает также к сведению представленную информацию о повышении осведомленности и о статистических данных, собранных Министерством здравоохранения о пациентах, проходящих стационарное лечение в связи с осложнениями после аборта. Вместе с тем он просит представить информацию о том, какие меры были приняты после утверждения Комитетом его заключительных замечаний для: i) обеспечения наличия точных данных о воздействии ограничений в отношении абортов и средств экстренной контрацепции на жизнь и здоровье женщин и девочек; </w:t>
      </w:r>
      <w:proofErr w:type="spellStart"/>
      <w:r w:rsidR="00860A5F">
        <w:t>ii</w:t>
      </w:r>
      <w:proofErr w:type="spellEnd"/>
      <w:r w:rsidR="00860A5F">
        <w:t xml:space="preserve">) увеличения числа программ, направленных на обеспечение полного доступа к услугам в области сексуального и репродуктивного здоровья и противозачаточным средствам; </w:t>
      </w:r>
      <w:proofErr w:type="spellStart"/>
      <w:r w:rsidR="00860A5F">
        <w:t>iii</w:t>
      </w:r>
      <w:proofErr w:type="spellEnd"/>
      <w:r w:rsidR="00860A5F">
        <w:t>) повышения осведомленности о сексуальном и репродуктивном здоровье среди мужчин, женщин и детей на всей территории страны.</w:t>
      </w:r>
    </w:p>
    <w:p w14:paraId="0EB1F339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Пункт 21: право на жизнь и личную неприкосновенность</w:t>
      </w:r>
    </w:p>
    <w:p w14:paraId="5BCC9404" w14:textId="7CD1EBDA" w:rsidR="00860A5F" w:rsidRPr="00DF456A" w:rsidRDefault="00C1471A" w:rsidP="00860A5F">
      <w:pPr>
        <w:pStyle w:val="SingleTxtG"/>
        <w:rPr>
          <w:b/>
        </w:rPr>
      </w:pPr>
      <w:r>
        <w:rPr>
          <w:b/>
          <w:bCs/>
        </w:rPr>
        <w:tab/>
      </w:r>
      <w:r w:rsidR="00860A5F">
        <w:rPr>
          <w:b/>
          <w:bCs/>
        </w:rPr>
        <w:t>Государству-участнику следует продолжать укреплять национальную полицию, с тем чтобы она могла взять на себя правоохранительные функции, выполняемые вооруженными силами.</w:t>
      </w:r>
      <w:r w:rsidR="00860A5F">
        <w:t xml:space="preserve"> </w:t>
      </w:r>
      <w:r w:rsidR="00860A5F">
        <w:rPr>
          <w:b/>
          <w:bCs/>
        </w:rPr>
        <w:t>Государству-участнику следует также продолжать процесс аттестации сотрудников национальной полиции, обеспечивая, чтобы он осуществлялся транспарентным и беспристрастным образом.</w:t>
      </w:r>
      <w:r w:rsidR="00860A5F">
        <w:t xml:space="preserve"> </w:t>
      </w:r>
      <w:r w:rsidR="00860A5F">
        <w:rPr>
          <w:b/>
          <w:bCs/>
        </w:rPr>
        <w:t>Кроме того, государству-участнику следует принять законодательные рамки, с тем чтобы гарантировать соблюдение положений Пакта частными охранными предприятиями;</w:t>
      </w:r>
      <w:r w:rsidR="00860A5F">
        <w:t xml:space="preserve"> </w:t>
      </w:r>
      <w:r w:rsidR="00860A5F">
        <w:rPr>
          <w:b/>
          <w:bCs/>
        </w:rPr>
        <w:t>усилить государственный надзор за деятельностью этих компаний;</w:t>
      </w:r>
      <w:r w:rsidR="00860A5F">
        <w:t xml:space="preserve"> </w:t>
      </w:r>
      <w:r w:rsidR="00860A5F">
        <w:rPr>
          <w:b/>
          <w:bCs/>
        </w:rPr>
        <w:t>укрепить контрольные функции Отдела по надзору за частными охранными предприятиями и увеличить его бюджет.</w:t>
      </w:r>
      <w:r w:rsidR="00860A5F">
        <w:t xml:space="preserve"> </w:t>
      </w:r>
      <w:r w:rsidR="00860A5F">
        <w:rPr>
          <w:b/>
          <w:bCs/>
        </w:rPr>
        <w:t>Государству-участнику следует осуществлять эффективный контроль за владением и использованием огнестрельного оружия и сократить количество находящегося в обращении оружия, в том числе путем принятия соответствующих законов.</w:t>
      </w:r>
      <w:r w:rsidR="00860A5F">
        <w:t xml:space="preserve"> </w:t>
      </w:r>
    </w:p>
    <w:p w14:paraId="52575424" w14:textId="77777777" w:rsidR="00860A5F" w:rsidRPr="00DF456A" w:rsidRDefault="00860A5F" w:rsidP="00860A5F">
      <w:pPr>
        <w:pStyle w:val="H23G"/>
        <w:ind w:left="1170" w:right="1178" w:firstLine="0"/>
        <w:jc w:val="both"/>
      </w:pPr>
      <w:r>
        <w:rPr>
          <w:bCs/>
        </w:rPr>
        <w:t>Резюме ответа государства-участника</w:t>
      </w:r>
    </w:p>
    <w:p w14:paraId="7B43B820" w14:textId="77777777" w:rsidR="00860A5F" w:rsidRPr="00DF456A" w:rsidRDefault="00860A5F" w:rsidP="00860A5F">
      <w:pPr>
        <w:pStyle w:val="SingleTxtG"/>
      </w:pPr>
      <w:r>
        <w:tab/>
        <w:t>Что касается укрепления национальной полиции, то в 2017 году были приняты Закон о полицейской службе и Органический закон о Министерстве безопасности и о национальной полиции.</w:t>
      </w:r>
    </w:p>
    <w:p w14:paraId="6FFB95AA" w14:textId="1C51FB1D" w:rsidR="00860A5F" w:rsidRPr="00DF456A" w:rsidRDefault="00C1471A" w:rsidP="00860A5F">
      <w:pPr>
        <w:pStyle w:val="SingleTxtG"/>
        <w:ind w:left="1170" w:right="1178"/>
      </w:pPr>
      <w:r>
        <w:tab/>
      </w:r>
      <w:r w:rsidR="00860A5F">
        <w:t>Принятые меры в области безопасности привели к постепенному уменьшению числа убийств. Государство-участник перечислило некоторые меры, принятые для укрепления национальной полиции и постепенного сокращения участия военнослужащих в правоохранительной деятельности.</w:t>
      </w:r>
    </w:p>
    <w:p w14:paraId="21A98648" w14:textId="16516295" w:rsidR="00860A5F" w:rsidRPr="00DF456A" w:rsidRDefault="00C1471A" w:rsidP="00860A5F">
      <w:pPr>
        <w:pStyle w:val="SingleTxtG"/>
      </w:pPr>
      <w:r>
        <w:tab/>
      </w:r>
      <w:r w:rsidR="00860A5F">
        <w:t>Осуществляется процесс аттестации сотрудников национальной полиции. В</w:t>
      </w:r>
      <w:r w:rsidR="00E73274">
        <w:t> </w:t>
      </w:r>
      <w:r w:rsidR="00860A5F">
        <w:t>2017 и 2018 годах Департамент по правам человека Министерства безопасности провел подготовку 849 сотрудников национальной полиции.</w:t>
      </w:r>
    </w:p>
    <w:p w14:paraId="7F9144CE" w14:textId="4B3FAA72" w:rsidR="00860A5F" w:rsidRPr="00DF456A" w:rsidRDefault="00E73274" w:rsidP="00860A5F">
      <w:pPr>
        <w:pStyle w:val="SingleTxtG"/>
      </w:pPr>
      <w:r>
        <w:tab/>
      </w:r>
      <w:r w:rsidR="00860A5F">
        <w:t xml:space="preserve">В настоящее время Национальный конгресс рассматривает законопроект, устанавливающий нормы регулирования деятельности частных служб безопасности и сыскных агентств. Министерство безопасности проводит общенациональные операции с целью сокращения количества незаконного оружия. В настоящее время Национальный конгресс обсуждает проект нового закона об оружии, боеприпасах, взрывчатых веществах и связанных с ними материалах. </w:t>
      </w:r>
    </w:p>
    <w:p w14:paraId="03098C13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204F647C" w14:textId="77777777" w:rsidR="00860A5F" w:rsidRPr="00DF456A" w:rsidRDefault="00860A5F" w:rsidP="00860A5F">
      <w:pPr>
        <w:spacing w:after="120" w:line="240" w:lineRule="auto"/>
        <w:ind w:left="1170" w:right="1178"/>
        <w:jc w:val="both"/>
      </w:pPr>
      <w:r>
        <w:t>[</w:t>
      </w:r>
      <w:r>
        <w:rPr>
          <w:b/>
          <w:bCs/>
        </w:rPr>
        <w:t>B</w:t>
      </w:r>
      <w:r>
        <w:t xml:space="preserve">]: </w:t>
      </w:r>
      <w:r>
        <w:tab/>
        <w:t xml:space="preserve">Комитет принимает к сведению принятие в 2017 году Закона о полицейской службе и Органического закона о Министерстве безопасности и о национальной полиции, а также меры, принятые для укрепления национальной полиции. Он просит представить информацию о результатах таких мер и о том, сократилось ли участие военнослужащих в правоохранительной деятельности. </w:t>
      </w:r>
    </w:p>
    <w:p w14:paraId="20CEA9A4" w14:textId="647AB9B8" w:rsidR="00860A5F" w:rsidRPr="00DF456A" w:rsidRDefault="00E73274" w:rsidP="00860A5F">
      <w:pPr>
        <w:spacing w:after="120" w:line="240" w:lineRule="auto"/>
        <w:ind w:left="1170" w:right="1178"/>
        <w:jc w:val="both"/>
      </w:pPr>
      <w:r>
        <w:tab/>
      </w:r>
      <w:r w:rsidR="00860A5F">
        <w:t xml:space="preserve">Комитет приветствует представленную информацию о том, что государство осуществляет процесс аттестации сотрудников национальной полиции; он просит представить обновленную информацию по этому вопросу. </w:t>
      </w:r>
    </w:p>
    <w:p w14:paraId="334EB2B9" w14:textId="5333ADAC" w:rsidR="00860A5F" w:rsidRPr="00DF456A" w:rsidRDefault="00E73274" w:rsidP="00860A5F">
      <w:pPr>
        <w:spacing w:after="120" w:line="240" w:lineRule="auto"/>
        <w:ind w:left="1170" w:right="1178"/>
        <w:jc w:val="both"/>
      </w:pPr>
      <w:r>
        <w:tab/>
      </w:r>
      <w:r w:rsidR="00860A5F">
        <w:t>Комитет принимает к сведению представленную информацию о том, что в настоящее время Национальный конгресс рассматривает законопроект, устанавливающий нормы регулирования деятельности частных служб безопасности и сыскных агентств. Он просит представить обновленную информацию о содержании этого законопроекта, в том числе о том, предусматривает ли он государственный надзор за деятельностью соответствующих компаний. Он также запрашивает информацию об Отделе по надзору за частными охранными предприятиями и о том, выделяется ли ему достаточный бюджет для выполнения его функций.</w:t>
      </w:r>
    </w:p>
    <w:p w14:paraId="6D2B3B3F" w14:textId="536F3C76" w:rsidR="00860A5F" w:rsidRPr="00DF456A" w:rsidRDefault="00E73274" w:rsidP="00860A5F">
      <w:pPr>
        <w:spacing w:after="120" w:line="240" w:lineRule="auto"/>
        <w:ind w:left="1170" w:right="1178"/>
        <w:jc w:val="both"/>
      </w:pPr>
      <w:r>
        <w:tab/>
      </w:r>
      <w:r w:rsidR="00860A5F">
        <w:t>Комитет принимает к сведению представленную информацию, согласно которой Национальный конгресс в настоящее время обсуждает проект нового закона об оружии, боеприпасах, взрывчатых веществах и связанных с ними материалах, и</w:t>
      </w:r>
      <w:r>
        <w:t> </w:t>
      </w:r>
      <w:r w:rsidR="00860A5F">
        <w:t xml:space="preserve">просит представить обновленную информацию по этому вопросу. </w:t>
      </w:r>
    </w:p>
    <w:p w14:paraId="2E8CCA23" w14:textId="75C3AD8B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Пункт 41: свобода выражения мнений, свобода ассоциации и насилие в</w:t>
      </w:r>
      <w:r w:rsidR="00E73274">
        <w:rPr>
          <w:bCs/>
        </w:rPr>
        <w:t> </w:t>
      </w:r>
      <w:r>
        <w:rPr>
          <w:bCs/>
        </w:rPr>
        <w:t>отношении правозащитников</w:t>
      </w:r>
    </w:p>
    <w:p w14:paraId="6A336A11" w14:textId="54E34814" w:rsidR="00860A5F" w:rsidRPr="00DF456A" w:rsidRDefault="00E73274" w:rsidP="00860A5F">
      <w:pPr>
        <w:pStyle w:val="SingleTxtG"/>
        <w:rPr>
          <w:b/>
        </w:rPr>
      </w:pPr>
      <w:r>
        <w:rPr>
          <w:b/>
          <w:bCs/>
        </w:rPr>
        <w:tab/>
      </w:r>
      <w:r w:rsidR="00860A5F">
        <w:rPr>
          <w:b/>
          <w:bCs/>
        </w:rPr>
        <w:t>Государству-участнику следует незамедлительно принять практические меры в целях:</w:t>
      </w:r>
    </w:p>
    <w:p w14:paraId="517907B5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обеспечения эффективной защиты, в частности, правозащитников, журналистов, профсоюзных деятелей, активистов-экологов, представителей коренных народов, а также лесбиянок, геев, бисексуалов, трансгендеров и </w:t>
      </w:r>
      <w:proofErr w:type="spellStart"/>
      <w:r>
        <w:rPr>
          <w:b/>
          <w:bCs/>
        </w:rPr>
        <w:t>интерсексов</w:t>
      </w:r>
      <w:proofErr w:type="spellEnd"/>
      <w:r>
        <w:rPr>
          <w:b/>
          <w:bCs/>
        </w:rPr>
        <w:t>, которые подвергаются актам насилия и запугивания;</w:t>
      </w:r>
    </w:p>
    <w:p w14:paraId="2B299C6C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расширения программ подготовки и обучения, посвященных важности свободы выражения мнений, свободы ассоциации и свободы собраний, для сотрудников правоохранительных органов, военнослужащих, персонала частных охранных предприятий, судей и прокуроров;</w:t>
      </w:r>
    </w:p>
    <w:p w14:paraId="7662A3C3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с)</w:t>
      </w:r>
      <w:r>
        <w:tab/>
      </w:r>
      <w:r>
        <w:rPr>
          <w:b/>
          <w:bCs/>
        </w:rPr>
        <w:t>обеспечения оперативного, тщательного, независимого и беспристрастного расследования всех утверждений, касающихся запугивания, угроз и нападений, привлечения виновных к ответственности и их надлежащего наказания соразмерно тяжести преступления, а также предоставления жертвам полного возмещения;</w:t>
      </w:r>
    </w:p>
    <w:p w14:paraId="41316973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создания механизма, обеспечивающего надлежащее расследование актов насилия и угроз в отношении правозащитников и недопущение их рассмотрения как обычных правонарушений;</w:t>
      </w:r>
      <w:r>
        <w:t xml:space="preserve"> </w:t>
      </w:r>
      <w:r>
        <w:rPr>
          <w:b/>
          <w:bCs/>
        </w:rPr>
        <w:t>рассмотрения вопроса о разработке стандартной процедуры расследования таких правонарушений для Генеральной прокуратуры;</w:t>
      </w:r>
      <w:r>
        <w:t xml:space="preserve"> </w:t>
      </w:r>
      <w:r>
        <w:rPr>
          <w:b/>
          <w:bCs/>
        </w:rPr>
        <w:t>распространения юрисдикции Отдела по защите правозащитников на преступления, совершенные частными лицами;</w:t>
      </w:r>
    </w:p>
    <w:p w14:paraId="1FA73320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рассмотрения возможности отмены уголовной ответственности за клевету, при этом в любом случае уголовное законодательство должно применяться лишь в связи с наиболее серьезными случаями, а лишение свободы ни при каких условиях не должно считаться адекватной мерой наказания;</w:t>
      </w:r>
    </w:p>
    <w:p w14:paraId="6C611E00" w14:textId="77777777" w:rsidR="00860A5F" w:rsidRPr="00DF456A" w:rsidRDefault="00860A5F" w:rsidP="00860A5F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 xml:space="preserve">сбора дезагрегированных данных об убийствах правозащитников, журналистов, профсоюзных деятелей, активистов-экологов, представителей коренных народов и лесбиянок, геев, бисексуалов, трансгендеров и </w:t>
      </w:r>
      <w:proofErr w:type="spellStart"/>
      <w:r>
        <w:rPr>
          <w:b/>
          <w:bCs/>
        </w:rPr>
        <w:t>интерсексов</w:t>
      </w:r>
      <w:proofErr w:type="spellEnd"/>
      <w:r>
        <w:rPr>
          <w:b/>
          <w:bCs/>
        </w:rPr>
        <w:t>, а также о нападениях на них.</w:t>
      </w:r>
    </w:p>
    <w:p w14:paraId="64C8DBDC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r>
        <w:t xml:space="preserve"> </w:t>
      </w:r>
    </w:p>
    <w:p w14:paraId="08A77C7D" w14:textId="0CBF3B7C" w:rsidR="00860A5F" w:rsidRPr="00DF456A" w:rsidRDefault="00860A5F" w:rsidP="00860A5F">
      <w:pPr>
        <w:pStyle w:val="SingleTxtG"/>
        <w:ind w:firstLine="567"/>
      </w:pPr>
      <w:r>
        <w:t>a)</w:t>
      </w:r>
      <w:r>
        <w:tab/>
        <w:t>В 2018 году технический комитет провел 103 заседания, посвященных Закону о защите правозащитников. В период с апреля 2017 года по июнь 2018 года власти приняли 1242 меры защиты, согласованны</w:t>
      </w:r>
      <w:r w:rsidR="00E73274">
        <w:t>е</w:t>
      </w:r>
      <w:r>
        <w:t xml:space="preserve"> между техническим комитетом механизма защиты и затронутыми лицами, и обработали в общей сложности 1044</w:t>
      </w:r>
      <w:r w:rsidR="00E73274">
        <w:t> </w:t>
      </w:r>
      <w:r>
        <w:t xml:space="preserve">заявления. Число погибших правозащитников уменьшилось; </w:t>
      </w:r>
    </w:p>
    <w:p w14:paraId="1C5F7AAA" w14:textId="77777777" w:rsidR="00860A5F" w:rsidRPr="00DF456A" w:rsidRDefault="00860A5F" w:rsidP="00860A5F">
      <w:pPr>
        <w:pStyle w:val="SingleTxtG"/>
        <w:ind w:firstLine="567"/>
      </w:pPr>
      <w:r>
        <w:t>b)</w:t>
      </w:r>
      <w:r>
        <w:tab/>
        <w:t>Государственная прокуратура проводила подготовку прокуроров, судей, сотрудников полиции и других лиц в рамках семинаров и практикумов;</w:t>
      </w:r>
    </w:p>
    <w:p w14:paraId="15F18887" w14:textId="1F59BD4B" w:rsidR="00860A5F" w:rsidRPr="00DF456A" w:rsidRDefault="00860A5F" w:rsidP="00860A5F">
      <w:pPr>
        <w:pStyle w:val="SingleTxtG"/>
        <w:ind w:firstLine="567"/>
      </w:pPr>
      <w:r>
        <w:t>с)</w:t>
      </w:r>
      <w:r>
        <w:tab/>
        <w:t>в 2018 году бюджет Государственной прокуратуры был увеличен на 8</w:t>
      </w:r>
      <w:r w:rsidR="00E73274">
        <w:t> </w:t>
      </w:r>
      <w:r>
        <w:t>% по сравнению с 2017 годом. В марте 2018 года была создана Специальная прокуратура по защите правозащитников, журналистов, общественных активистов и работников системы правосудия. Она расследует преступления, совершенные в отношении правозащитников, журналистов, общественных активистов и работников системы правосудия, включая угрозы;</w:t>
      </w:r>
    </w:p>
    <w:p w14:paraId="6E0F626E" w14:textId="77777777" w:rsidR="00860A5F" w:rsidRPr="00DF456A" w:rsidRDefault="00860A5F" w:rsidP="00860A5F">
      <w:pPr>
        <w:pStyle w:val="SingleTxtG"/>
        <w:ind w:firstLine="567"/>
      </w:pPr>
      <w:r>
        <w:t>d)</w:t>
      </w:r>
      <w:r>
        <w:tab/>
        <w:t>см. ответ в подпункте с). Государственная прокуратура подготовила оперативные руководства по расследованию преступлений против свободы выражения мнений и уголовным расследованиям в целом;</w:t>
      </w:r>
    </w:p>
    <w:p w14:paraId="5F40096D" w14:textId="77777777" w:rsidR="00860A5F" w:rsidRPr="00DF456A" w:rsidRDefault="00860A5F" w:rsidP="00860A5F">
      <w:pPr>
        <w:pStyle w:val="SingleTxtG"/>
        <w:ind w:firstLine="567"/>
      </w:pPr>
      <w:r>
        <w:t>e)</w:t>
      </w:r>
      <w:r>
        <w:tab/>
        <w:t>новый Уголовный кодекс, принятый в 2018 году, предусматривает, что наказание за диффамацию должно ограничиваться штрафом, а в случае клеветы должно быть предусмотрено тюремное заключение, которое может быть заменено штрафом или общественными работами;</w:t>
      </w:r>
    </w:p>
    <w:p w14:paraId="36B670FE" w14:textId="77777777" w:rsidR="00860A5F" w:rsidRPr="00DF456A" w:rsidRDefault="00860A5F" w:rsidP="00860A5F">
      <w:pPr>
        <w:pStyle w:val="SingleTxtG"/>
        <w:ind w:firstLine="567"/>
      </w:pPr>
      <w:r>
        <w:t>f)</w:t>
      </w:r>
      <w:r>
        <w:tab/>
        <w:t xml:space="preserve">в Государственной прокуратуре имеется отдел по расследованию случаев смерти лиц из уязвимых групп, который ведет реестр убийств, умышленных убийств и покушений на убийство. Государство-участник представило данные о жалобах, связанных со смертью журналистов и общественных активистов, а также лесбиянок, геев, бисексуалов, трансгендеров и </w:t>
      </w:r>
      <w:proofErr w:type="spellStart"/>
      <w:r>
        <w:t>интерсексов</w:t>
      </w:r>
      <w:proofErr w:type="spellEnd"/>
      <w:r>
        <w:t xml:space="preserve"> по состоянию на 2018 год. Государственная прокуратура работает над созданием базы данных, гарантирующей уважение гендерной идентичности заявителей.</w:t>
      </w:r>
    </w:p>
    <w:p w14:paraId="10198450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Информация, полученная от неправительственных организаций</w:t>
      </w:r>
    </w:p>
    <w:p w14:paraId="3DF5A1D7" w14:textId="02F3DB7A" w:rsidR="00860A5F" w:rsidRPr="00DF456A" w:rsidRDefault="00860A5F" w:rsidP="00860A5F">
      <w:pPr>
        <w:pStyle w:val="H4G"/>
      </w:pPr>
      <w:r>
        <w:tab/>
      </w:r>
      <w:r>
        <w:tab/>
      </w:r>
      <w:r>
        <w:rPr>
          <w:iCs/>
        </w:rPr>
        <w:t xml:space="preserve">Центр развития и сотрудничества ЛГТБИ </w:t>
      </w:r>
      <w:r w:rsidR="00E2043D">
        <w:rPr>
          <w:iCs/>
        </w:rPr>
        <w:t>—</w:t>
      </w:r>
      <w:r>
        <w:rPr>
          <w:iCs/>
        </w:rPr>
        <w:t xml:space="preserve"> ЦРС СОМОС</w:t>
      </w:r>
      <w:r>
        <w:t xml:space="preserve"> </w:t>
      </w:r>
    </w:p>
    <w:p w14:paraId="134E9877" w14:textId="50BFB765" w:rsidR="00860A5F" w:rsidRPr="00DF456A" w:rsidRDefault="00860A5F" w:rsidP="00860A5F">
      <w:pPr>
        <w:pStyle w:val="SingleTxtG"/>
        <w:ind w:firstLine="567"/>
      </w:pPr>
      <w:r>
        <w:t>a)</w:t>
      </w:r>
      <w:r>
        <w:tab/>
        <w:t>По состоянию на май 2019 года процесс создания учреждений в соответствии с Законом о защите правозащитников, журналистов, общественных активистов и работников системы правосудия был завершен лишь на 55</w:t>
      </w:r>
      <w:r w:rsidR="00E73274">
        <w:t> </w:t>
      </w:r>
      <w:r>
        <w:t>%. За период после представления предыдущего доклада Комитета (а именно, с 2017 года по март 2020 года) было зарегистрировано в общей сложности 109 случаев насильственной смерти лесбиянок, геев, бисексуалов и транссексуалов;</w:t>
      </w:r>
    </w:p>
    <w:p w14:paraId="493BBB29" w14:textId="77777777" w:rsidR="00860A5F" w:rsidRPr="00DF456A" w:rsidRDefault="00860A5F" w:rsidP="00860A5F">
      <w:pPr>
        <w:pStyle w:val="SingleTxtG"/>
        <w:ind w:firstLine="567"/>
      </w:pPr>
      <w:r>
        <w:t>b)</w:t>
      </w:r>
      <w:r>
        <w:tab/>
        <w:t>специальная прокуратура, созданная в марте 2018 года, не достигла ожидаемых результатов. По состоянию на 2019 год она получила 201 жалобу, и только в отношении 15 из них были приняты соответствующие меры;</w:t>
      </w:r>
    </w:p>
    <w:p w14:paraId="1387FB00" w14:textId="77777777" w:rsidR="00860A5F" w:rsidRPr="00DF456A" w:rsidRDefault="00860A5F" w:rsidP="00860A5F">
      <w:pPr>
        <w:pStyle w:val="SingleTxtG"/>
        <w:ind w:firstLine="567"/>
      </w:pPr>
      <w:r>
        <w:t>d)</w:t>
      </w:r>
      <w:r>
        <w:tab/>
        <w:t>специальный протокол для расследования преступлений, связанных с правозащитниками, отсутствует;</w:t>
      </w:r>
    </w:p>
    <w:p w14:paraId="62B4E014" w14:textId="13B4A0D5" w:rsidR="00860A5F" w:rsidRPr="00DF456A" w:rsidRDefault="00860A5F" w:rsidP="00860A5F">
      <w:pPr>
        <w:pStyle w:val="SingleTxtG"/>
        <w:ind w:firstLine="567"/>
      </w:pPr>
      <w:r>
        <w:t>f)</w:t>
      </w:r>
      <w:r>
        <w:tab/>
        <w:t xml:space="preserve">организация гражданского общества </w:t>
      </w:r>
      <w:r w:rsidR="00E2043D">
        <w:t>«</w:t>
      </w:r>
      <w:r>
        <w:t xml:space="preserve">Аси </w:t>
      </w:r>
      <w:proofErr w:type="spellStart"/>
      <w:r>
        <w:t>партисипа</w:t>
      </w:r>
      <w:proofErr w:type="spellEnd"/>
      <w:r w:rsidR="00E2043D">
        <w:t>»</w:t>
      </w:r>
      <w:r>
        <w:t xml:space="preserve"> сообщила о 384</w:t>
      </w:r>
      <w:r w:rsidR="00E73274">
        <w:t> </w:t>
      </w:r>
      <w:r>
        <w:t>нападениях на правозащитников в 2018 году и 499 нападениях в 2019 году.</w:t>
      </w:r>
    </w:p>
    <w:p w14:paraId="50053821" w14:textId="77777777" w:rsidR="00860A5F" w:rsidRPr="00DF456A" w:rsidRDefault="00860A5F" w:rsidP="00860A5F">
      <w:pPr>
        <w:pStyle w:val="H23G"/>
        <w:ind w:left="1170" w:right="1178" w:firstLine="0"/>
      </w:pPr>
      <w:r>
        <w:rPr>
          <w:bCs/>
        </w:rPr>
        <w:t>Оценка Комитета</w:t>
      </w:r>
    </w:p>
    <w:p w14:paraId="73473429" w14:textId="77777777" w:rsidR="00860A5F" w:rsidRPr="00DF456A" w:rsidRDefault="00860A5F" w:rsidP="00860A5F">
      <w:pPr>
        <w:pStyle w:val="SingleTxtG"/>
      </w:pPr>
      <w:r>
        <w:t>[</w:t>
      </w:r>
      <w:r>
        <w:rPr>
          <w:b/>
          <w:bCs/>
        </w:rPr>
        <w:t>B</w:t>
      </w:r>
      <w:r>
        <w:t xml:space="preserve">]: a), d) и f) </w:t>
      </w:r>
    </w:p>
    <w:p w14:paraId="0DA8F17F" w14:textId="45EACF31" w:rsidR="00860A5F" w:rsidRPr="00DF456A" w:rsidRDefault="00E73274" w:rsidP="00860A5F">
      <w:pPr>
        <w:pStyle w:val="SingleTxtG"/>
      </w:pPr>
      <w:r>
        <w:tab/>
      </w:r>
      <w:r w:rsidR="00860A5F">
        <w:t>Комитет приветствует проведение техническим комитетом совещаний в рамках усилий по осуществлению Закона о защите правозащитников, журналистов, общественных активистов и работников системы правосудия и принимает к сведению сокращение числа случаев смерти правозащитников. Он просит представить информацию о мерах, принятых в целях: а) дальнейшего осуществления Закона о защите правозащитников, в том числе путем создания необходимых учреждений; и</w:t>
      </w:r>
      <w:r w:rsidR="00D66842">
        <w:t> </w:t>
      </w:r>
      <w:r w:rsidR="00860A5F">
        <w:t>b)</w:t>
      </w:r>
      <w:r w:rsidR="00D66842">
        <w:t> </w:t>
      </w:r>
      <w:r w:rsidR="00860A5F">
        <w:t>обеспечения дополнительной защиты правозащитников, журналистов, профсоюзных деятелей, активистов-экологов, представителей коренных народов, а</w:t>
      </w:r>
      <w:r w:rsidR="00D66842">
        <w:t> </w:t>
      </w:r>
      <w:r w:rsidR="00860A5F">
        <w:t xml:space="preserve">также лесбиянок, геев, бисексуалов, трансгендеров и </w:t>
      </w:r>
      <w:proofErr w:type="spellStart"/>
      <w:r w:rsidR="00860A5F">
        <w:t>интерсексов</w:t>
      </w:r>
      <w:proofErr w:type="spellEnd"/>
      <w:r w:rsidR="00860A5F">
        <w:t>, которые подвергаются актам насилия и запугивания.</w:t>
      </w:r>
    </w:p>
    <w:p w14:paraId="25455E7E" w14:textId="5C1B774C" w:rsidR="00860A5F" w:rsidRPr="00DF456A" w:rsidRDefault="00D66842" w:rsidP="00860A5F">
      <w:pPr>
        <w:pStyle w:val="SingleTxtG"/>
      </w:pPr>
      <w:r>
        <w:tab/>
      </w:r>
      <w:r w:rsidR="00860A5F">
        <w:t xml:space="preserve">Комитет приветствует создание в марте 2018 года Специальной прокуратуры по защите правозащитников, журналистов, общественных активистов и работников системы правосудия, а также увеличение бюджетных ассигнований, выделяемых Государственной прокуратуре. Вместе с тем он просит представить информацию о принятых Специальной прокуратурой мерах, в том числе информацию о количестве расследованных дел, а также о возбужденных делах, вынесенных приговорах и назначенных наказаниях. </w:t>
      </w:r>
    </w:p>
    <w:p w14:paraId="7146DAF1" w14:textId="24BC790D" w:rsidR="00860A5F" w:rsidRPr="00DF456A" w:rsidRDefault="00D66842" w:rsidP="00860A5F">
      <w:pPr>
        <w:pStyle w:val="SingleTxtG"/>
        <w:rPr>
          <w:b/>
        </w:rPr>
      </w:pPr>
      <w:r>
        <w:tab/>
      </w:r>
      <w:r w:rsidR="00860A5F">
        <w:t xml:space="preserve">Комитет принимает к сведению данные об убийствах правозащитников, журналистов, профсоюзных деятелей, активистов-экологов, представителей коренных народов и лесбиянок, геев, бисексуалов, трансгендеров и </w:t>
      </w:r>
      <w:proofErr w:type="spellStart"/>
      <w:r w:rsidR="00860A5F">
        <w:t>интерсексов</w:t>
      </w:r>
      <w:proofErr w:type="spellEnd"/>
      <w:r w:rsidR="00860A5F">
        <w:t xml:space="preserve">, а также о нападениях на них. Он просит представить обновленную информацию о создании Государственной прокуратурой базы данных, которая гарантировала бы уважение гендерной идентичности заявителей с момента подачи жалобы. </w:t>
      </w:r>
    </w:p>
    <w:p w14:paraId="464A4138" w14:textId="77777777" w:rsidR="00860A5F" w:rsidRPr="00DF456A" w:rsidRDefault="00860A5F" w:rsidP="00860A5F">
      <w:pPr>
        <w:pStyle w:val="SingleTxtG"/>
      </w:pPr>
      <w:r>
        <w:t>[</w:t>
      </w:r>
      <w:r>
        <w:rPr>
          <w:b/>
          <w:bCs/>
        </w:rPr>
        <w:t>C</w:t>
      </w:r>
      <w:r>
        <w:t xml:space="preserve">]: b), c) и e) </w:t>
      </w:r>
    </w:p>
    <w:p w14:paraId="29B4C9F3" w14:textId="6D7CA46A" w:rsidR="00860A5F" w:rsidRPr="00DF456A" w:rsidRDefault="00D66842" w:rsidP="00860A5F">
      <w:pPr>
        <w:pStyle w:val="SingleTxtG"/>
      </w:pPr>
      <w:r>
        <w:tab/>
      </w:r>
      <w:r w:rsidR="00860A5F">
        <w:t xml:space="preserve">Комитет принимает к сведению представленную государством информацию, однако просит представить точную информацию о программах подготовки и обучения, проведенных после принятия Комитетом его заключительных замечаний. Он повторяет свои рекомендации. </w:t>
      </w:r>
    </w:p>
    <w:p w14:paraId="17B4497E" w14:textId="007EB9DF" w:rsidR="00860A5F" w:rsidRPr="00DF456A" w:rsidRDefault="00D66842" w:rsidP="00860A5F">
      <w:pPr>
        <w:pStyle w:val="SingleTxtG"/>
      </w:pPr>
      <w:r>
        <w:tab/>
      </w:r>
      <w:r w:rsidR="00860A5F">
        <w:t>Комитет отмечает, что неясно, были ли опубликованы руководства Государственной прокуратуры после принятия Комитетом его заключительных замечаний, и поэтому просит представить информацию по данному вопросу. Он</w:t>
      </w:r>
      <w:r w:rsidR="00EE77C8">
        <w:t> </w:t>
      </w:r>
      <w:r w:rsidR="00860A5F">
        <w:t xml:space="preserve">просит также представить информацию о мерах, принятых в целях: i) обеспечения надлежащего расследования актов насилия и угроз в отношении правозащитников и недопущения их рассмотрения как обычных правонарушений; </w:t>
      </w:r>
      <w:r w:rsidR="00EE77C8">
        <w:t xml:space="preserve">и </w:t>
      </w:r>
      <w:proofErr w:type="spellStart"/>
      <w:r w:rsidR="00860A5F">
        <w:t>ii</w:t>
      </w:r>
      <w:proofErr w:type="spellEnd"/>
      <w:r w:rsidR="00860A5F">
        <w:t>) распространения юрисдикции Отдела по защите правозащитников на преступления, совершенные частными лицами.</w:t>
      </w:r>
    </w:p>
    <w:p w14:paraId="7A7434EC" w14:textId="18AD5583" w:rsidR="00860A5F" w:rsidRPr="00DF456A" w:rsidRDefault="00EE77C8" w:rsidP="00860A5F">
      <w:pPr>
        <w:pStyle w:val="SingleTxtG"/>
      </w:pPr>
      <w:r>
        <w:tab/>
      </w:r>
      <w:r w:rsidR="00860A5F">
        <w:t>Комитет сожалеет об отсутствии мер по отмене уголовной ответственности за диффамацию и/или обеспечению того, чтобы нормы уголовного права применялись только в наиболее серьезных случаях. Он повторяет свои рекомендации.</w:t>
      </w:r>
    </w:p>
    <w:p w14:paraId="571F2CE1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Пункт 47: права лиц, принадлежащих к меньшинствам</w:t>
      </w:r>
    </w:p>
    <w:p w14:paraId="6209AA59" w14:textId="4CB65097" w:rsidR="00860A5F" w:rsidRPr="00DF456A" w:rsidRDefault="00EE77C8" w:rsidP="00860A5F">
      <w:pPr>
        <w:pStyle w:val="SingleTxtG"/>
        <w:rPr>
          <w:b/>
        </w:rPr>
      </w:pPr>
      <w:r>
        <w:rPr>
          <w:b/>
          <w:bCs/>
        </w:rPr>
        <w:tab/>
      </w:r>
      <w:r w:rsidR="00860A5F">
        <w:rPr>
          <w:b/>
          <w:bCs/>
        </w:rPr>
        <w:t>Государству-участнику следует ускорить принятие национального законодательства, которое требует проведения консультаций с коренными народами и населением Гондураса африканского происхождения с целью получения их свободного и осознанного согласия до принятия и применения любых мер, которые могут оказать существенное влияние на их образ жизни и культуру, и обеспечить, чтобы это законодательство полностью соответствовало Пакту и другим надлежащим международным стандартам.</w:t>
      </w:r>
      <w:r w:rsidR="00860A5F">
        <w:t xml:space="preserve"> </w:t>
      </w:r>
      <w:r w:rsidR="00860A5F">
        <w:rPr>
          <w:b/>
          <w:bCs/>
        </w:rPr>
        <w:t>Кроме того, государству-участнику следует обеспечить эффективную защиту коренных народов от всех актов насилия и полноценное пользование ими своими правами, в том числе на землю.</w:t>
      </w:r>
      <w:r w:rsidR="00860A5F">
        <w:t xml:space="preserve"> </w:t>
      </w:r>
      <w:r w:rsidR="00860A5F">
        <w:rPr>
          <w:b/>
          <w:bCs/>
        </w:rPr>
        <w:t>В этой связи государству-участнику следует укрепить потенциал Специальной прокуратуры по делам этнических групп и организовать подготовку по вопросам прав коренных народов для сотрудников правоохранительных органов, военнослужащих, сотрудников частных охранных предприятий, судей и прокуроров.</w:t>
      </w:r>
      <w:r w:rsidR="00860A5F">
        <w:t xml:space="preserve"> </w:t>
      </w:r>
      <w:r w:rsidR="00860A5F">
        <w:rPr>
          <w:b/>
          <w:bCs/>
        </w:rPr>
        <w:t>Государству-участнику следует предоставить полную компенсацию общинам Пунта-</w:t>
      </w:r>
      <w:proofErr w:type="spellStart"/>
      <w:r w:rsidR="00860A5F">
        <w:rPr>
          <w:b/>
          <w:bCs/>
        </w:rPr>
        <w:t>Пьедра</w:t>
      </w:r>
      <w:proofErr w:type="spellEnd"/>
      <w:r w:rsidR="00860A5F">
        <w:rPr>
          <w:b/>
          <w:bCs/>
        </w:rPr>
        <w:t xml:space="preserve"> и </w:t>
      </w:r>
      <w:proofErr w:type="spellStart"/>
      <w:r w:rsidR="00860A5F">
        <w:rPr>
          <w:b/>
          <w:bCs/>
        </w:rPr>
        <w:t>Триунфо</w:t>
      </w:r>
      <w:proofErr w:type="spellEnd"/>
      <w:r w:rsidR="00860A5F">
        <w:rPr>
          <w:b/>
          <w:bCs/>
        </w:rPr>
        <w:t>-</w:t>
      </w:r>
      <w:proofErr w:type="gramStart"/>
      <w:r w:rsidR="00860A5F">
        <w:rPr>
          <w:b/>
          <w:bCs/>
        </w:rPr>
        <w:t>де-ла</w:t>
      </w:r>
      <w:proofErr w:type="gramEnd"/>
      <w:r w:rsidR="00860A5F">
        <w:rPr>
          <w:b/>
          <w:bCs/>
        </w:rPr>
        <w:t>-Крус.</w:t>
      </w:r>
    </w:p>
    <w:p w14:paraId="27D906C7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Резюме ответа государства-участника</w:t>
      </w:r>
      <w:r>
        <w:t xml:space="preserve"> </w:t>
      </w:r>
    </w:p>
    <w:p w14:paraId="4BE5D017" w14:textId="093E9992" w:rsidR="00860A5F" w:rsidRPr="00DF456A" w:rsidRDefault="00EE77C8" w:rsidP="00860A5F">
      <w:pPr>
        <w:pStyle w:val="SingleTxtG"/>
      </w:pPr>
      <w:r>
        <w:tab/>
      </w:r>
      <w:r w:rsidR="00860A5F">
        <w:t xml:space="preserve">В мае 2018 года Администрация Президента представила в Национальный конгресс для обсуждения и утверждения проект декрета о законе о свободных, предварительных и </w:t>
      </w:r>
      <w:r w:rsidR="00860A5F" w:rsidRPr="007C1568">
        <w:t>осознанн</w:t>
      </w:r>
      <w:r w:rsidR="00860A5F">
        <w:t xml:space="preserve">ых консультациях. Национальный конгресс представил свои замечания по данному законопроекту. </w:t>
      </w:r>
    </w:p>
    <w:p w14:paraId="4A6CED5A" w14:textId="1781FEAA" w:rsidR="00860A5F" w:rsidRPr="00DF456A" w:rsidRDefault="00EE77C8" w:rsidP="00860A5F">
      <w:pPr>
        <w:pStyle w:val="SingleTxtG"/>
      </w:pPr>
      <w:r>
        <w:tab/>
      </w:r>
      <w:r w:rsidR="00860A5F">
        <w:t>Что касается защиты коренных народов и населения Гондураса африканского происхождения, то Государственная прокуратура предъявила уголовные обвинения государственным должностным лицам, нарушившим право на предварительные консультации с коренными народами и населением Гондураса африканского происхождения. В период 2017</w:t>
      </w:r>
      <w:r>
        <w:t>–</w:t>
      </w:r>
      <w:r w:rsidR="00860A5F">
        <w:t xml:space="preserve">2018 годов было получено 11 жалоб. </w:t>
      </w:r>
    </w:p>
    <w:p w14:paraId="4FDA7E38" w14:textId="3ABA87FE" w:rsidR="00860A5F" w:rsidRPr="00DF456A" w:rsidRDefault="00EE77C8" w:rsidP="00860A5F">
      <w:pPr>
        <w:pStyle w:val="SingleTxtG"/>
      </w:pPr>
      <w:r>
        <w:tab/>
      </w:r>
      <w:r w:rsidR="00860A5F">
        <w:t xml:space="preserve">Государство-участник упомянуло о курсе подготовки по Конвенции Международной организации труда (МОТ) 1989 года о коренных народах и народах, ведущих племенной образ жизни (№ 169), для 50 представителей учреждений и местных органов власти в департаменте Ла-Пас в 2017 году и для военнослужащих в департаменте </w:t>
      </w:r>
      <w:proofErr w:type="spellStart"/>
      <w:r w:rsidR="00860A5F">
        <w:t>Грасияс</w:t>
      </w:r>
      <w:proofErr w:type="spellEnd"/>
      <w:r w:rsidR="00860A5F">
        <w:t>-а-</w:t>
      </w:r>
      <w:proofErr w:type="spellStart"/>
      <w:r w:rsidR="00860A5F">
        <w:t>Дьос</w:t>
      </w:r>
      <w:proofErr w:type="spellEnd"/>
      <w:r w:rsidR="00860A5F">
        <w:t xml:space="preserve"> в 2018 году. </w:t>
      </w:r>
    </w:p>
    <w:p w14:paraId="0C291319" w14:textId="71138909" w:rsidR="00860A5F" w:rsidRPr="00DF456A" w:rsidRDefault="00EE77C8" w:rsidP="00860A5F">
      <w:pPr>
        <w:pStyle w:val="SingleTxtG"/>
      </w:pPr>
      <w:r>
        <w:tab/>
      </w:r>
      <w:r w:rsidR="00860A5F">
        <w:t>Что касается возмещения ущерба общинам Пунта-</w:t>
      </w:r>
      <w:proofErr w:type="spellStart"/>
      <w:r w:rsidR="00860A5F">
        <w:t>Пьедра</w:t>
      </w:r>
      <w:proofErr w:type="spellEnd"/>
      <w:r w:rsidR="00860A5F">
        <w:t xml:space="preserve"> и </w:t>
      </w:r>
      <w:proofErr w:type="spellStart"/>
      <w:r w:rsidR="00860A5F">
        <w:t>Триунфо</w:t>
      </w:r>
      <w:proofErr w:type="spellEnd"/>
      <w:r w:rsidR="00860A5F">
        <w:t>-</w:t>
      </w:r>
      <w:proofErr w:type="gramStart"/>
      <w:r w:rsidR="00860A5F">
        <w:t>де-ла</w:t>
      </w:r>
      <w:proofErr w:type="gramEnd"/>
      <w:r w:rsidR="00860A5F">
        <w:t xml:space="preserve">-Крус, то в декабре 2017 года </w:t>
      </w:r>
      <w:proofErr w:type="spellStart"/>
      <w:r w:rsidR="00860A5F">
        <w:t>Межучрежденческая</w:t>
      </w:r>
      <w:proofErr w:type="spellEnd"/>
      <w:r w:rsidR="00860A5F">
        <w:t xml:space="preserve"> комиссия по обеспечению выполнения международных решений подготовила новый план работы, который был представлен в Межамериканский суд по правам человека и затем передан общине. Государство-участник перечислило ряд уже принятых мер по возмещению ущерба. </w:t>
      </w:r>
    </w:p>
    <w:p w14:paraId="1ECE5703" w14:textId="157D10D6" w:rsidR="00860A5F" w:rsidRPr="00DF456A" w:rsidRDefault="00EE77C8" w:rsidP="00860A5F">
      <w:pPr>
        <w:pStyle w:val="SingleTxtG"/>
      </w:pPr>
      <w:r>
        <w:tab/>
      </w:r>
      <w:r w:rsidR="00860A5F">
        <w:t>В настоящее время все мероприятия, проводившиеся без предварительных консультаций в рамках проекта Пунта-</w:t>
      </w:r>
      <w:proofErr w:type="spellStart"/>
      <w:r w:rsidR="00860A5F">
        <w:t>Пьедра</w:t>
      </w:r>
      <w:proofErr w:type="spellEnd"/>
      <w:r w:rsidR="00860A5F">
        <w:t xml:space="preserve"> II, прекращены. Об этом решении общине сообщили в мае 2017 года.</w:t>
      </w:r>
    </w:p>
    <w:p w14:paraId="6CECD904" w14:textId="77777777" w:rsidR="00860A5F" w:rsidRPr="00DF456A" w:rsidRDefault="00860A5F" w:rsidP="00860A5F">
      <w:pPr>
        <w:pStyle w:val="H23G"/>
      </w:pPr>
      <w:r>
        <w:tab/>
      </w:r>
      <w:r>
        <w:tab/>
      </w:r>
      <w:r>
        <w:rPr>
          <w:bCs/>
        </w:rPr>
        <w:t>Оценка Комитета</w:t>
      </w:r>
    </w:p>
    <w:p w14:paraId="554E60DE" w14:textId="77777777" w:rsidR="00860A5F" w:rsidRPr="00DF456A" w:rsidRDefault="00860A5F" w:rsidP="00860A5F">
      <w:pPr>
        <w:pStyle w:val="SingleTxtG"/>
      </w:pPr>
      <w:r>
        <w:t>[</w:t>
      </w:r>
      <w:r>
        <w:rPr>
          <w:b/>
          <w:bCs/>
        </w:rPr>
        <w:t>B</w:t>
      </w:r>
      <w:r>
        <w:t>]:</w:t>
      </w:r>
      <w:r>
        <w:tab/>
        <w:t xml:space="preserve">Комитет принимает к сведению, что в мае 2018 года в Национальный конгресс для обсуждения и утверждения был представлен проект декрета о законе о свободных, предварительных и </w:t>
      </w:r>
      <w:r w:rsidRPr="007C1568">
        <w:t>осознанн</w:t>
      </w:r>
      <w:r>
        <w:t xml:space="preserve">ых консультациях. Он просит представить обновленную информацию о процессе принятия этого законопроекта и о том, соответствует ли он Пакту и другим надлежащим международным стандартам. </w:t>
      </w:r>
    </w:p>
    <w:p w14:paraId="3AE70C93" w14:textId="79FBB13D" w:rsidR="00860A5F" w:rsidRPr="00DF456A" w:rsidRDefault="00EE77C8" w:rsidP="00860A5F">
      <w:pPr>
        <w:pStyle w:val="SingleTxtG"/>
        <w:rPr>
          <w:b/>
        </w:rPr>
      </w:pPr>
      <w:r>
        <w:tab/>
      </w:r>
      <w:r w:rsidR="00860A5F">
        <w:t xml:space="preserve">Комитет принимает к сведению информацию о мерах, принятых для защиты коренных народов. Он просит представить дополнительную информацию о мерах, принятых Государственной прокуратурой после утверждения Комитетом его заключительных замечаний, и обновленную информацию о жалобах, полученных в 2017 и 2018 годах, в том числе о количестве дел, переданных в суд. </w:t>
      </w:r>
    </w:p>
    <w:p w14:paraId="4CDA3AC5" w14:textId="47CB66A6" w:rsidR="00860A5F" w:rsidRPr="00DF456A" w:rsidRDefault="00EE77C8" w:rsidP="00860A5F">
      <w:pPr>
        <w:pStyle w:val="SingleTxtG"/>
        <w:rPr>
          <w:b/>
          <w:bCs/>
        </w:rPr>
      </w:pPr>
      <w:r>
        <w:tab/>
      </w:r>
      <w:r w:rsidR="00860A5F">
        <w:t xml:space="preserve">Комитет приветствует информацию о проведенной подготовке. Он просит представить обновленную информацию о периодичности и результатах такой подготовки и о мерах, принятых для укрепления потенциала Специальной прокуратуры по делам этнических групп. </w:t>
      </w:r>
    </w:p>
    <w:p w14:paraId="6B0D6976" w14:textId="612DC0F3" w:rsidR="00860A5F" w:rsidRPr="00DF456A" w:rsidRDefault="00EE77C8" w:rsidP="00860A5F">
      <w:pPr>
        <w:pStyle w:val="SingleTxtG"/>
      </w:pPr>
      <w:r>
        <w:tab/>
      </w:r>
      <w:r w:rsidR="00860A5F">
        <w:t>Комитет принимает к сведению представленную информацию об осуществлении решения Межамериканского суда по правам человека, касающегося общин Пунта-</w:t>
      </w:r>
      <w:proofErr w:type="spellStart"/>
      <w:r w:rsidR="00860A5F">
        <w:t>Пьедра</w:t>
      </w:r>
      <w:proofErr w:type="spellEnd"/>
      <w:r w:rsidR="00860A5F">
        <w:t xml:space="preserve"> и </w:t>
      </w:r>
      <w:proofErr w:type="spellStart"/>
      <w:r w:rsidR="00860A5F">
        <w:t>Триунфо</w:t>
      </w:r>
      <w:proofErr w:type="spellEnd"/>
      <w:r w:rsidR="00860A5F">
        <w:t>-</w:t>
      </w:r>
      <w:proofErr w:type="gramStart"/>
      <w:r w:rsidR="00860A5F">
        <w:t>де-ла</w:t>
      </w:r>
      <w:proofErr w:type="gramEnd"/>
      <w:r w:rsidR="00860A5F">
        <w:t>-Крус. Он просит представить обновленную информацию о том, предоставило ли государство-участник полную компенсацию этим общинам и сколько человек было охвачено такими мерами.</w:t>
      </w:r>
    </w:p>
    <w:p w14:paraId="7C93C229" w14:textId="77777777" w:rsidR="00860A5F" w:rsidRPr="00DF456A" w:rsidRDefault="00860A5F" w:rsidP="00860A5F">
      <w:pPr>
        <w:pStyle w:val="SingleTxtG"/>
      </w:pPr>
      <w:r w:rsidRPr="00F02948">
        <w:rPr>
          <w:b/>
          <w:bCs/>
        </w:rPr>
        <w:t>Рекомендуемые действия</w:t>
      </w:r>
      <w:r>
        <w:t xml:space="preserve">: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 </w:t>
      </w:r>
    </w:p>
    <w:p w14:paraId="4B8C871F" w14:textId="77777777" w:rsidR="00860A5F" w:rsidRPr="00DF456A" w:rsidRDefault="00860A5F" w:rsidP="00860A5F">
      <w:pPr>
        <w:pStyle w:val="SingleTxtG"/>
      </w:pPr>
      <w:bookmarkStart w:id="2" w:name="_Toc506807563"/>
      <w:r>
        <w:rPr>
          <w:b/>
          <w:bCs/>
        </w:rPr>
        <w:t>Дата представления следующего периодического доклада</w:t>
      </w:r>
      <w:r>
        <w:t>: 28 июля 2021 года.</w:t>
      </w:r>
      <w:bookmarkEnd w:id="2"/>
    </w:p>
    <w:p w14:paraId="69287D36" w14:textId="77777777" w:rsidR="00860A5F" w:rsidRPr="00DF456A" w:rsidRDefault="00860A5F" w:rsidP="00860A5F">
      <w:pPr>
        <w:spacing w:before="240"/>
        <w:ind w:left="1134" w:right="1134"/>
        <w:jc w:val="center"/>
        <w:rPr>
          <w:rFonts w:eastAsiaTheme="minorEastAsia"/>
          <w:u w:val="single"/>
        </w:rPr>
      </w:pPr>
      <w:r w:rsidRPr="00DF456A">
        <w:rPr>
          <w:rFonts w:eastAsiaTheme="minorEastAsia"/>
          <w:u w:val="single"/>
        </w:rPr>
        <w:tab/>
      </w:r>
      <w:r w:rsidRPr="00DF456A">
        <w:rPr>
          <w:rFonts w:eastAsiaTheme="minorEastAsia"/>
          <w:u w:val="single"/>
        </w:rPr>
        <w:tab/>
      </w:r>
      <w:r w:rsidRPr="00DF456A">
        <w:rPr>
          <w:rFonts w:eastAsiaTheme="minorEastAsia"/>
          <w:u w:val="single"/>
        </w:rPr>
        <w:tab/>
      </w:r>
      <w:r w:rsidRPr="00DF456A">
        <w:rPr>
          <w:rFonts w:eastAsiaTheme="minorEastAsia"/>
          <w:u w:val="single"/>
        </w:rPr>
        <w:tab/>
      </w:r>
    </w:p>
    <w:sectPr w:rsidR="00860A5F" w:rsidRPr="00DF456A" w:rsidSect="00860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4BDB" w14:textId="77777777" w:rsidR="00AC7162" w:rsidRPr="00A312BC" w:rsidRDefault="00AC7162" w:rsidP="00A312BC"/>
  </w:endnote>
  <w:endnote w:type="continuationSeparator" w:id="0">
    <w:p w14:paraId="20697097" w14:textId="77777777" w:rsidR="00AC7162" w:rsidRPr="00A312BC" w:rsidRDefault="00AC71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A4B7" w14:textId="19D33412" w:rsidR="00860A5F" w:rsidRPr="00860A5F" w:rsidRDefault="00860A5F">
    <w:pPr>
      <w:pStyle w:val="a8"/>
    </w:pPr>
    <w:r w:rsidRPr="00860A5F">
      <w:rPr>
        <w:b/>
        <w:sz w:val="18"/>
      </w:rPr>
      <w:fldChar w:fldCharType="begin"/>
    </w:r>
    <w:r w:rsidRPr="00860A5F">
      <w:rPr>
        <w:b/>
        <w:sz w:val="18"/>
      </w:rPr>
      <w:instrText xml:space="preserve"> PAGE  \* MERGEFORMAT </w:instrText>
    </w:r>
    <w:r w:rsidRPr="00860A5F">
      <w:rPr>
        <w:b/>
        <w:sz w:val="18"/>
      </w:rPr>
      <w:fldChar w:fldCharType="separate"/>
    </w:r>
    <w:r w:rsidRPr="00860A5F">
      <w:rPr>
        <w:b/>
        <w:noProof/>
        <w:sz w:val="18"/>
      </w:rPr>
      <w:t>2</w:t>
    </w:r>
    <w:r w:rsidRPr="00860A5F">
      <w:rPr>
        <w:b/>
        <w:sz w:val="18"/>
      </w:rPr>
      <w:fldChar w:fldCharType="end"/>
    </w:r>
    <w:r>
      <w:rPr>
        <w:b/>
        <w:sz w:val="18"/>
      </w:rPr>
      <w:tab/>
    </w:r>
    <w:r>
      <w:t>GE.21-02128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6BC5" w14:textId="052915F4" w:rsidR="00860A5F" w:rsidRPr="00860A5F" w:rsidRDefault="00860A5F" w:rsidP="00860A5F">
    <w:pPr>
      <w:pStyle w:val="a8"/>
      <w:tabs>
        <w:tab w:val="clear" w:pos="9639"/>
        <w:tab w:val="right" w:pos="9638"/>
      </w:tabs>
      <w:rPr>
        <w:b/>
        <w:sz w:val="18"/>
      </w:rPr>
    </w:pPr>
    <w:r>
      <w:t>GE.21-02128</w:t>
    </w:r>
    <w:r>
      <w:tab/>
    </w:r>
    <w:r w:rsidRPr="00860A5F">
      <w:rPr>
        <w:b/>
        <w:sz w:val="18"/>
      </w:rPr>
      <w:fldChar w:fldCharType="begin"/>
    </w:r>
    <w:r w:rsidRPr="00860A5F">
      <w:rPr>
        <w:b/>
        <w:sz w:val="18"/>
      </w:rPr>
      <w:instrText xml:space="preserve"> PAGE  \* MERGEFORMAT </w:instrText>
    </w:r>
    <w:r w:rsidRPr="00860A5F">
      <w:rPr>
        <w:b/>
        <w:sz w:val="18"/>
      </w:rPr>
      <w:fldChar w:fldCharType="separate"/>
    </w:r>
    <w:r w:rsidRPr="00860A5F">
      <w:rPr>
        <w:b/>
        <w:noProof/>
        <w:sz w:val="18"/>
      </w:rPr>
      <w:t>3</w:t>
    </w:r>
    <w:r w:rsidRPr="00860A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BE28" w14:textId="406B3F92" w:rsidR="00042B72" w:rsidRPr="00860A5F" w:rsidRDefault="00860A5F" w:rsidP="00860A5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73A5A4" wp14:editId="55040E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02128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B5B847" wp14:editId="739226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080421  230421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B667" w14:textId="77777777" w:rsidR="00AC7162" w:rsidRPr="001075E9" w:rsidRDefault="00AC71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DBB904" w14:textId="77777777" w:rsidR="00AC7162" w:rsidRDefault="00AC71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D9D19A" w14:textId="77777777" w:rsidR="00860A5F" w:rsidRPr="00DF456A" w:rsidRDefault="00860A5F" w:rsidP="00860A5F">
      <w:pPr>
        <w:pStyle w:val="ad"/>
      </w:pPr>
      <w:r>
        <w:tab/>
      </w:r>
      <w:r w:rsidRPr="005D6F55">
        <w:rPr>
          <w:sz w:val="20"/>
        </w:rPr>
        <w:t>*</w:t>
      </w:r>
      <w:r>
        <w:tab/>
        <w:t>Принят Комитетом на его 130-й сессии (12 октября — 6 ноября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85AB" w14:textId="5D2259C2" w:rsidR="00860A5F" w:rsidRPr="00860A5F" w:rsidRDefault="00541EF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CCPR/C/130/2/Add.3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08E9" w14:textId="15870C69" w:rsidR="00860A5F" w:rsidRPr="00860A5F" w:rsidRDefault="00541EFC" w:rsidP="00860A5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CCPR/C/130/2/Add.3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2B10" w14:textId="77777777" w:rsidR="00860A5F" w:rsidRDefault="00860A5F" w:rsidP="00860A5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62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1343B"/>
    <w:rsid w:val="00180183"/>
    <w:rsid w:val="0018024D"/>
    <w:rsid w:val="0018649F"/>
    <w:rsid w:val="00196389"/>
    <w:rsid w:val="001B3EF6"/>
    <w:rsid w:val="001C7A89"/>
    <w:rsid w:val="0021080C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01D5"/>
    <w:rsid w:val="00452493"/>
    <w:rsid w:val="00454E07"/>
    <w:rsid w:val="00472C5C"/>
    <w:rsid w:val="004969B2"/>
    <w:rsid w:val="0050108D"/>
    <w:rsid w:val="00513081"/>
    <w:rsid w:val="00517901"/>
    <w:rsid w:val="00526683"/>
    <w:rsid w:val="00541EFC"/>
    <w:rsid w:val="005709E0"/>
    <w:rsid w:val="00572E19"/>
    <w:rsid w:val="005961C8"/>
    <w:rsid w:val="005D6F55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75E79"/>
    <w:rsid w:val="00787D3A"/>
    <w:rsid w:val="00791B9D"/>
    <w:rsid w:val="007A4920"/>
    <w:rsid w:val="00825F8D"/>
    <w:rsid w:val="00834B71"/>
    <w:rsid w:val="00860A5F"/>
    <w:rsid w:val="0086445C"/>
    <w:rsid w:val="00894693"/>
    <w:rsid w:val="008A08D7"/>
    <w:rsid w:val="008B6909"/>
    <w:rsid w:val="008F6106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C7162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1471A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66842"/>
    <w:rsid w:val="00D90028"/>
    <w:rsid w:val="00D90138"/>
    <w:rsid w:val="00D9090B"/>
    <w:rsid w:val="00DD78D1"/>
    <w:rsid w:val="00DE32CD"/>
    <w:rsid w:val="00DF71B9"/>
    <w:rsid w:val="00E005F7"/>
    <w:rsid w:val="00E06BEE"/>
    <w:rsid w:val="00E2043D"/>
    <w:rsid w:val="00E46656"/>
    <w:rsid w:val="00E73274"/>
    <w:rsid w:val="00E73F76"/>
    <w:rsid w:val="00EA2C9F"/>
    <w:rsid w:val="00EA420E"/>
    <w:rsid w:val="00ED0BDA"/>
    <w:rsid w:val="00EE77C8"/>
    <w:rsid w:val="00EF1360"/>
    <w:rsid w:val="00EF3220"/>
    <w:rsid w:val="00F2678A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0BAD8"/>
  <w15:docId w15:val="{A6D40F1C-716A-4BEE-A5A8-2F63DD7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,Footnote Reference Number,Footnote symbol,ftref,Rimando notaOreste,Rimando notaOreste1,Rimando notaOreste2,nota a piè di pagina,stylish,Footnote Reference Superscript,BVI fnr,Footnote symboFußnotenzeichen,Footnote sign,AA Footnote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Testo nota a piè di pagina Carattere,Footnote Text-progetto,notefranz,Nota_2 Carattere Carattere Carattere Carattere Carattere Carattere Carattere,Nota_2,Nota,Nota_,Testo nota a piè di pagina Carattere1 Carattere,N,Not,fn,Char,Car,f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Testo nota a piè di pagina Carattere Знак,Footnote Text-progetto Знак,notefranz Знак,Nota_2 Carattere Carattere Carattere Carattere Carattere Carattere Carattere Знак,Nota_2 Знак,Nota Знак,Nota_ Знак,N Знак,Not Знак,fn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60A5F"/>
    <w:rPr>
      <w:lang w:val="ru-RU" w:eastAsia="en-US"/>
    </w:rPr>
  </w:style>
  <w:style w:type="character" w:customStyle="1" w:styleId="H23GChar">
    <w:name w:val="_ H_2/3_G Char"/>
    <w:link w:val="H23G"/>
    <w:locked/>
    <w:rsid w:val="00860A5F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2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tore.ohchr.org/SelfServices/FilesHandler.ashx?enc=6QkG1d%2FPPRiCAqhKb7yhsoNGbyGkOIGC%2Fg46yWsxEHvAsWZ9dtpLIRdNyWhUFxDS9TSKnM1HjcwVmj7vRSWWBxMIwMms4waby1y%2BABGlU4s4ZS%2FzpHhaQAhZXcoETsc%2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binternet.ohchr.org/_layouts/15/treatybodyexternal/Download.aspx?symbolno=INT%2fCCPR%2fNGS%2fHND%2f32946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CCPR/C/HND/CO/2/Add.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7</Pages>
  <Words>2518</Words>
  <Characters>17991</Characters>
  <Application>Microsoft Office Word</Application>
  <DocSecurity>0</DocSecurity>
  <Lines>334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CCPR/C/130/2/Add.3</vt:lpstr>
      <vt:lpstr>A/</vt:lpstr>
      <vt:lpstr>A/</vt:lpstr>
    </vt:vector>
  </TitlesOfParts>
  <Company>DCM</Company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CCPR/C/130/2/Add.3</dc:title>
  <dc:subject/>
  <dc:creator>Shuvalova NATALIA</dc:creator>
  <cp:keywords/>
  <cp:lastModifiedBy>Natalia Shuvalova</cp:lastModifiedBy>
  <cp:revision>3</cp:revision>
  <cp:lastPrinted>2021-04-23T11:57:00Z</cp:lastPrinted>
  <dcterms:created xsi:type="dcterms:W3CDTF">2021-04-23T11:57:00Z</dcterms:created>
  <dcterms:modified xsi:type="dcterms:W3CDTF">2021-04-23T11:57:00Z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