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D153F3" w14:paraId="4E5C4BA9" w14:textId="77777777" w:rsidTr="00CA1AEA">
        <w:trPr>
          <w:cantSplit/>
          <w:trHeight w:hRule="exact" w:val="851"/>
        </w:trPr>
        <w:tc>
          <w:tcPr>
            <w:tcW w:w="1276" w:type="dxa"/>
            <w:tcBorders>
              <w:bottom w:val="single" w:sz="4" w:space="0" w:color="auto"/>
            </w:tcBorders>
            <w:vAlign w:val="bottom"/>
          </w:tcPr>
          <w:p w14:paraId="4E5C4BA6" w14:textId="77777777" w:rsidR="00165C15" w:rsidRPr="00D153F3" w:rsidRDefault="00165C15" w:rsidP="00352EEA">
            <w:pPr>
              <w:spacing w:after="80"/>
              <w:jc w:val="both"/>
            </w:pPr>
          </w:p>
        </w:tc>
        <w:tc>
          <w:tcPr>
            <w:tcW w:w="2268" w:type="dxa"/>
            <w:tcBorders>
              <w:bottom w:val="single" w:sz="4" w:space="0" w:color="auto"/>
            </w:tcBorders>
            <w:vAlign w:val="bottom"/>
          </w:tcPr>
          <w:p w14:paraId="4E5C4BA7" w14:textId="77777777" w:rsidR="00165C15" w:rsidRPr="00D153F3" w:rsidRDefault="00165C15" w:rsidP="00352EEA">
            <w:pPr>
              <w:spacing w:after="80" w:line="300" w:lineRule="exact"/>
              <w:jc w:val="both"/>
              <w:rPr>
                <w:b/>
                <w:sz w:val="24"/>
                <w:szCs w:val="24"/>
              </w:rPr>
            </w:pPr>
            <w:r w:rsidRPr="00D153F3">
              <w:rPr>
                <w:sz w:val="28"/>
                <w:szCs w:val="28"/>
              </w:rPr>
              <w:t>United Nations</w:t>
            </w:r>
          </w:p>
        </w:tc>
        <w:tc>
          <w:tcPr>
            <w:tcW w:w="6095" w:type="dxa"/>
            <w:gridSpan w:val="2"/>
            <w:tcBorders>
              <w:bottom w:val="single" w:sz="4" w:space="0" w:color="auto"/>
            </w:tcBorders>
            <w:vAlign w:val="bottom"/>
          </w:tcPr>
          <w:p w14:paraId="4E5C4BA8" w14:textId="368A6AFA" w:rsidR="00165C15" w:rsidRPr="00D153F3" w:rsidRDefault="00C735ED" w:rsidP="00DC218C">
            <w:pPr>
              <w:suppressAutoHyphens w:val="0"/>
              <w:spacing w:after="20"/>
              <w:jc w:val="right"/>
            </w:pPr>
            <w:r w:rsidRPr="00D153F3">
              <w:rPr>
                <w:sz w:val="40"/>
              </w:rPr>
              <w:t>CCPR</w:t>
            </w:r>
            <w:r w:rsidRPr="00D153F3">
              <w:t>/C/1</w:t>
            </w:r>
            <w:r w:rsidR="00D06105" w:rsidRPr="00D153F3">
              <w:t>30</w:t>
            </w:r>
            <w:r w:rsidRPr="00D153F3">
              <w:t>/</w:t>
            </w:r>
            <w:r w:rsidR="00803B94" w:rsidRPr="00D153F3">
              <w:t>2/</w:t>
            </w:r>
            <w:r w:rsidRPr="00D153F3">
              <w:t>Add.</w:t>
            </w:r>
            <w:r w:rsidR="00DC218C" w:rsidRPr="00D153F3">
              <w:t>3</w:t>
            </w:r>
          </w:p>
        </w:tc>
      </w:tr>
      <w:tr w:rsidR="00165C15" w:rsidRPr="00D153F3" w14:paraId="4E5C4BB1" w14:textId="77777777" w:rsidTr="00CA1AEA">
        <w:trPr>
          <w:cantSplit/>
          <w:trHeight w:hRule="exact" w:val="2835"/>
        </w:trPr>
        <w:tc>
          <w:tcPr>
            <w:tcW w:w="1276" w:type="dxa"/>
            <w:tcBorders>
              <w:top w:val="single" w:sz="4" w:space="0" w:color="auto"/>
              <w:bottom w:val="single" w:sz="12" w:space="0" w:color="auto"/>
            </w:tcBorders>
          </w:tcPr>
          <w:p w14:paraId="4E5C4BAA" w14:textId="77777777" w:rsidR="00165C15" w:rsidRPr="00D153F3" w:rsidRDefault="00165C15" w:rsidP="00352EEA">
            <w:pPr>
              <w:spacing w:before="120"/>
              <w:jc w:val="both"/>
            </w:pPr>
            <w:r w:rsidRPr="00606094">
              <w:rPr>
                <w:noProof/>
                <w:lang w:eastAsia="en-GB"/>
              </w:rPr>
              <w:drawing>
                <wp:inline distT="0" distB="0" distL="0" distR="0" wp14:anchorId="4E5C4C0B" wp14:editId="4E5C4C0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5C4BAB" w14:textId="77777777" w:rsidR="00165C15" w:rsidRPr="00D153F3" w:rsidRDefault="00165C15" w:rsidP="00AF4605">
            <w:pPr>
              <w:spacing w:before="120" w:line="380" w:lineRule="exact"/>
              <w:rPr>
                <w:sz w:val="34"/>
              </w:rPr>
            </w:pPr>
            <w:r w:rsidRPr="00D153F3">
              <w:rPr>
                <w:b/>
                <w:sz w:val="34"/>
                <w:szCs w:val="40"/>
              </w:rPr>
              <w:t>International Covenant on</w:t>
            </w:r>
            <w:r w:rsidRPr="00D153F3">
              <w:rPr>
                <w:b/>
                <w:sz w:val="34"/>
                <w:szCs w:val="40"/>
              </w:rPr>
              <w:br/>
              <w:t>Civil and Political Rights</w:t>
            </w:r>
          </w:p>
        </w:tc>
        <w:tc>
          <w:tcPr>
            <w:tcW w:w="2835" w:type="dxa"/>
            <w:tcBorders>
              <w:top w:val="single" w:sz="4" w:space="0" w:color="auto"/>
              <w:bottom w:val="single" w:sz="12" w:space="0" w:color="auto"/>
            </w:tcBorders>
          </w:tcPr>
          <w:p w14:paraId="4E5C4BAC" w14:textId="7736CF0F" w:rsidR="00165C15" w:rsidRPr="00D153F3" w:rsidRDefault="002925EC" w:rsidP="00352EEA">
            <w:pPr>
              <w:suppressAutoHyphens w:val="0"/>
              <w:spacing w:before="240"/>
              <w:jc w:val="both"/>
            </w:pPr>
            <w:r w:rsidRPr="00D153F3">
              <w:t>Distr.: General</w:t>
            </w:r>
          </w:p>
          <w:p w14:paraId="4E5C4BAD" w14:textId="728471F1" w:rsidR="00C735ED" w:rsidRPr="00D153F3" w:rsidRDefault="002F6B79" w:rsidP="00352EEA">
            <w:pPr>
              <w:suppressAutoHyphens w:val="0"/>
              <w:jc w:val="both"/>
            </w:pPr>
            <w:r>
              <w:t>22</w:t>
            </w:r>
            <w:r w:rsidR="008046B1" w:rsidRPr="00D153F3">
              <w:t xml:space="preserve"> February</w:t>
            </w:r>
            <w:r w:rsidR="002925EC" w:rsidRPr="00D153F3">
              <w:t xml:space="preserve"> 202</w:t>
            </w:r>
            <w:r w:rsidR="00225FE8" w:rsidRPr="00D153F3">
              <w:t>1</w:t>
            </w:r>
          </w:p>
          <w:p w14:paraId="4E5C4BAE" w14:textId="77777777" w:rsidR="00C735ED" w:rsidRPr="00D153F3" w:rsidRDefault="00C735ED" w:rsidP="00352EEA">
            <w:pPr>
              <w:suppressAutoHyphens w:val="0"/>
              <w:jc w:val="both"/>
            </w:pPr>
          </w:p>
          <w:p w14:paraId="4E5C4BAF" w14:textId="77777777" w:rsidR="00C735ED" w:rsidRPr="00D153F3" w:rsidRDefault="00C735ED" w:rsidP="00352EEA">
            <w:pPr>
              <w:suppressAutoHyphens w:val="0"/>
              <w:jc w:val="both"/>
            </w:pPr>
            <w:r w:rsidRPr="00D153F3">
              <w:t>Original: English</w:t>
            </w:r>
          </w:p>
          <w:p w14:paraId="4E5C4BB0" w14:textId="5E141FAA" w:rsidR="00C735ED" w:rsidRPr="00D153F3" w:rsidRDefault="00C735ED" w:rsidP="00352EEA">
            <w:pPr>
              <w:suppressAutoHyphens w:val="0"/>
              <w:jc w:val="both"/>
            </w:pPr>
          </w:p>
        </w:tc>
      </w:tr>
    </w:tbl>
    <w:p w14:paraId="4E5C4BB2" w14:textId="77777777" w:rsidR="006461BA" w:rsidRPr="00D153F3" w:rsidRDefault="006461BA" w:rsidP="00352EEA">
      <w:pPr>
        <w:spacing w:before="120"/>
        <w:jc w:val="both"/>
        <w:rPr>
          <w:b/>
          <w:bCs/>
          <w:sz w:val="24"/>
          <w:szCs w:val="24"/>
        </w:rPr>
      </w:pPr>
      <w:r w:rsidRPr="00D153F3">
        <w:rPr>
          <w:b/>
          <w:bCs/>
          <w:sz w:val="24"/>
          <w:szCs w:val="24"/>
        </w:rPr>
        <w:t>Human Rights Committee</w:t>
      </w:r>
    </w:p>
    <w:p w14:paraId="4E5C4BB8" w14:textId="62EBFD5A" w:rsidR="006461BA" w:rsidRPr="00D153F3" w:rsidRDefault="006461BA" w:rsidP="002925EC">
      <w:pPr>
        <w:pStyle w:val="HChG"/>
        <w:spacing w:before="240" w:after="120"/>
        <w:jc w:val="both"/>
      </w:pPr>
      <w:r w:rsidRPr="00D153F3">
        <w:rPr>
          <w:b w:val="0"/>
        </w:rPr>
        <w:tab/>
      </w:r>
      <w:r w:rsidRPr="00D153F3">
        <w:rPr>
          <w:b w:val="0"/>
        </w:rPr>
        <w:tab/>
      </w:r>
      <w:bookmarkStart w:id="0" w:name="_Toc506807534"/>
      <w:r w:rsidRPr="00513AA8">
        <w:t>Report on follow-up to the concluding observations of the Human Rights Committee</w:t>
      </w:r>
      <w:bookmarkEnd w:id="0"/>
      <w:r w:rsidR="00182964" w:rsidRPr="006306DC">
        <w:rPr>
          <w:rStyle w:val="FootnoteReference"/>
          <w:b w:val="0"/>
          <w:sz w:val="20"/>
          <w:vertAlign w:val="baseline"/>
        </w:rPr>
        <w:footnoteReference w:customMarkFollows="1" w:id="2"/>
        <w:t>*</w:t>
      </w:r>
    </w:p>
    <w:p w14:paraId="4E5C4BB9" w14:textId="77777777" w:rsidR="006461BA" w:rsidRPr="00D153F3" w:rsidRDefault="006461BA" w:rsidP="00352EEA">
      <w:pPr>
        <w:pStyle w:val="H23G"/>
        <w:spacing w:before="120"/>
        <w:jc w:val="both"/>
        <w:rPr>
          <w:rFonts w:eastAsia="SimSun"/>
          <w:lang w:eastAsia="zh-CN"/>
        </w:rPr>
      </w:pPr>
      <w:r w:rsidRPr="00D153F3">
        <w:tab/>
      </w:r>
      <w:r w:rsidRPr="00D153F3">
        <w:tab/>
      </w:r>
      <w:r w:rsidRPr="00D153F3">
        <w:rPr>
          <w:rFonts w:eastAsia="SimSun"/>
          <w:lang w:eastAsia="zh-CN"/>
        </w:rPr>
        <w:t>Addendum</w:t>
      </w:r>
    </w:p>
    <w:p w14:paraId="4E5C4BBA" w14:textId="13AFBBB0" w:rsidR="006461BA" w:rsidRPr="00D153F3" w:rsidRDefault="006461BA" w:rsidP="00352EEA">
      <w:pPr>
        <w:pStyle w:val="HChG"/>
        <w:jc w:val="both"/>
        <w:rPr>
          <w:b w:val="0"/>
          <w:sz w:val="20"/>
        </w:rPr>
      </w:pPr>
      <w:bookmarkStart w:id="1" w:name="_GoBack"/>
      <w:r w:rsidRPr="00D153F3">
        <w:rPr>
          <w:rFonts w:eastAsia="SimSun"/>
          <w:lang w:eastAsia="zh-CN"/>
        </w:rPr>
        <w:tab/>
      </w:r>
      <w:bookmarkEnd w:id="1"/>
      <w:r w:rsidRPr="00D153F3">
        <w:rPr>
          <w:rFonts w:eastAsia="SimSun"/>
          <w:lang w:eastAsia="zh-CN"/>
        </w:rPr>
        <w:tab/>
      </w:r>
      <w:r w:rsidRPr="00D153F3">
        <w:t xml:space="preserve">Evaluation of the information on follow-up to the concluding observations on </w:t>
      </w:r>
      <w:r w:rsidR="00DC218C" w:rsidRPr="00D153F3">
        <w:t>Honduras</w:t>
      </w:r>
    </w:p>
    <w:tbl>
      <w:tblPr>
        <w:tblW w:w="7370" w:type="dxa"/>
        <w:jc w:val="center"/>
        <w:tblLayout w:type="fixed"/>
        <w:tblCellMar>
          <w:left w:w="0" w:type="dxa"/>
          <w:right w:w="0" w:type="dxa"/>
        </w:tblCellMar>
        <w:tblLook w:val="00A0" w:firstRow="1" w:lastRow="0" w:firstColumn="1" w:lastColumn="0" w:noHBand="0" w:noVBand="0"/>
      </w:tblPr>
      <w:tblGrid>
        <w:gridCol w:w="2800"/>
        <w:gridCol w:w="4570"/>
      </w:tblGrid>
      <w:tr w:rsidR="00DC218C" w:rsidRPr="00D153F3" w14:paraId="5D527013" w14:textId="77777777" w:rsidTr="006306DC">
        <w:trPr>
          <w:tblHeader/>
          <w:jc w:val="center"/>
        </w:trPr>
        <w:tc>
          <w:tcPr>
            <w:tcW w:w="2800" w:type="dxa"/>
            <w:shd w:val="clear" w:color="auto" w:fill="auto"/>
            <w:vAlign w:val="bottom"/>
          </w:tcPr>
          <w:p w14:paraId="419FFC6A" w14:textId="77777777" w:rsidR="00DC218C" w:rsidRPr="00D153F3" w:rsidRDefault="00DC218C" w:rsidP="006306DC">
            <w:pPr>
              <w:suppressAutoHyphens w:val="0"/>
              <w:spacing w:before="40" w:after="120" w:line="220" w:lineRule="exact"/>
              <w:ind w:right="113"/>
              <w:rPr>
                <w:rFonts w:eastAsiaTheme="minorEastAsia"/>
                <w:i/>
                <w:lang w:eastAsia="zh-CN"/>
              </w:rPr>
            </w:pPr>
            <w:r w:rsidRPr="00D153F3">
              <w:rPr>
                <w:rFonts w:eastAsiaTheme="minorEastAsia"/>
                <w:i/>
                <w:iCs/>
                <w:lang w:eastAsia="zh-CN"/>
              </w:rPr>
              <w:t>Concluding observations</w:t>
            </w:r>
            <w:r w:rsidRPr="00D153F3">
              <w:rPr>
                <w:rFonts w:eastAsiaTheme="minorEastAsia"/>
                <w:i/>
                <w:iCs/>
                <w:lang w:eastAsia="zh-CN"/>
              </w:rPr>
              <w:br/>
              <w:t>(120th session):</w:t>
            </w:r>
          </w:p>
        </w:tc>
        <w:tc>
          <w:tcPr>
            <w:tcW w:w="4570" w:type="dxa"/>
            <w:shd w:val="clear" w:color="auto" w:fill="auto"/>
          </w:tcPr>
          <w:p w14:paraId="31A335C4" w14:textId="1875A486" w:rsidR="00DC218C" w:rsidRPr="00D153F3" w:rsidRDefault="006946F2" w:rsidP="006306DC">
            <w:pPr>
              <w:suppressAutoHyphens w:val="0"/>
              <w:spacing w:line="240" w:lineRule="auto"/>
            </w:pPr>
            <w:hyperlink r:id="rId12">
              <w:r w:rsidR="00DC218C" w:rsidRPr="00D153F3">
                <w:rPr>
                  <w:rStyle w:val="Hyperlink"/>
                  <w:rFonts w:eastAsia="SimSun"/>
                  <w:color w:val="2A2B99"/>
                </w:rPr>
                <w:t>CCPR</w:t>
              </w:r>
            </w:hyperlink>
            <w:hyperlink r:id="rId13">
              <w:r w:rsidR="00DC218C" w:rsidRPr="00D153F3">
                <w:rPr>
                  <w:rStyle w:val="Hyperlink"/>
                  <w:rFonts w:eastAsia="SimSun"/>
                  <w:color w:val="2A2B99"/>
                </w:rPr>
                <w:t>/HND/CO/2</w:t>
              </w:r>
            </w:hyperlink>
            <w:r w:rsidR="00DC218C" w:rsidRPr="00D153F3">
              <w:rPr>
                <w:rFonts w:eastAsia="SimSun"/>
                <w:color w:val="2A2B99"/>
              </w:rPr>
              <w:t xml:space="preserve">, </w:t>
            </w:r>
            <w:r w:rsidR="00DC218C" w:rsidRPr="00D153F3">
              <w:rPr>
                <w:rFonts w:eastAsia="SimSun"/>
                <w:color w:val="000000" w:themeColor="text1"/>
              </w:rPr>
              <w:t>2</w:t>
            </w:r>
            <w:r w:rsidR="00DA2F16">
              <w:rPr>
                <w:rFonts w:eastAsia="SimSun"/>
                <w:color w:val="000000" w:themeColor="text1"/>
              </w:rPr>
              <w:t>4</w:t>
            </w:r>
            <w:r w:rsidR="00DC218C" w:rsidRPr="00D153F3">
              <w:rPr>
                <w:rFonts w:eastAsia="SimSun"/>
                <w:color w:val="000000" w:themeColor="text1"/>
              </w:rPr>
              <w:t xml:space="preserve"> </w:t>
            </w:r>
            <w:r w:rsidR="00DA2F16">
              <w:rPr>
                <w:rFonts w:eastAsia="SimSun"/>
                <w:color w:val="000000" w:themeColor="text1"/>
              </w:rPr>
              <w:t>July</w:t>
            </w:r>
            <w:r w:rsidR="00DA2F16" w:rsidRPr="00D153F3">
              <w:rPr>
                <w:rFonts w:eastAsia="SimSun"/>
                <w:color w:val="000000" w:themeColor="text1"/>
              </w:rPr>
              <w:t xml:space="preserve"> </w:t>
            </w:r>
            <w:r w:rsidR="00DC218C" w:rsidRPr="00D153F3">
              <w:rPr>
                <w:rFonts w:eastAsia="SimSun"/>
                <w:color w:val="000000" w:themeColor="text1"/>
              </w:rPr>
              <w:t>2017</w:t>
            </w:r>
          </w:p>
        </w:tc>
      </w:tr>
      <w:tr w:rsidR="00DC218C" w:rsidRPr="00D153F3" w14:paraId="7C8D8AD8" w14:textId="77777777" w:rsidTr="006306DC">
        <w:trPr>
          <w:jc w:val="center"/>
        </w:trPr>
        <w:tc>
          <w:tcPr>
            <w:tcW w:w="2800" w:type="dxa"/>
            <w:shd w:val="clear" w:color="auto" w:fill="auto"/>
          </w:tcPr>
          <w:p w14:paraId="3EA27ADE" w14:textId="77777777" w:rsidR="00DC218C" w:rsidRPr="00D153F3" w:rsidRDefault="00DC218C" w:rsidP="006306DC">
            <w:pPr>
              <w:suppressAutoHyphens w:val="0"/>
              <w:spacing w:before="40" w:after="120" w:line="220" w:lineRule="exact"/>
              <w:ind w:right="113"/>
              <w:rPr>
                <w:rFonts w:eastAsiaTheme="minorEastAsia"/>
                <w:i/>
                <w:iCs/>
                <w:lang w:eastAsia="zh-CN"/>
              </w:rPr>
            </w:pPr>
            <w:r w:rsidRPr="00D153F3">
              <w:rPr>
                <w:rFonts w:eastAsiaTheme="minorEastAsia"/>
                <w:i/>
                <w:iCs/>
                <w:lang w:eastAsia="zh-CN"/>
              </w:rPr>
              <w:t>Follow-up paragraphs:</w:t>
            </w:r>
          </w:p>
        </w:tc>
        <w:tc>
          <w:tcPr>
            <w:tcW w:w="4570" w:type="dxa"/>
            <w:shd w:val="clear" w:color="auto" w:fill="auto"/>
          </w:tcPr>
          <w:p w14:paraId="7A507B0D" w14:textId="77777777" w:rsidR="00DC218C" w:rsidRPr="00D153F3" w:rsidRDefault="00DC218C" w:rsidP="006306DC">
            <w:pPr>
              <w:suppressAutoHyphens w:val="0"/>
              <w:spacing w:before="40" w:after="120" w:line="220" w:lineRule="exact"/>
              <w:ind w:right="113"/>
              <w:rPr>
                <w:rFonts w:eastAsiaTheme="minorEastAsia"/>
                <w:lang w:eastAsia="zh-CN"/>
              </w:rPr>
            </w:pPr>
            <w:r w:rsidRPr="00D153F3">
              <w:rPr>
                <w:rFonts w:eastAsia="SimSun"/>
              </w:rPr>
              <w:t>17, 21, 41 and 47</w:t>
            </w:r>
          </w:p>
        </w:tc>
      </w:tr>
      <w:tr w:rsidR="00DC218C" w:rsidRPr="00D153F3" w14:paraId="74425889" w14:textId="77777777" w:rsidTr="006306DC">
        <w:trPr>
          <w:jc w:val="center"/>
        </w:trPr>
        <w:tc>
          <w:tcPr>
            <w:tcW w:w="2800" w:type="dxa"/>
            <w:shd w:val="clear" w:color="auto" w:fill="auto"/>
          </w:tcPr>
          <w:p w14:paraId="5D147AAD" w14:textId="77777777" w:rsidR="00DC218C" w:rsidRPr="00D153F3" w:rsidRDefault="00DC218C" w:rsidP="006306DC">
            <w:pPr>
              <w:suppressAutoHyphens w:val="0"/>
              <w:spacing w:before="40" w:after="120" w:line="220" w:lineRule="exact"/>
              <w:ind w:right="113"/>
              <w:rPr>
                <w:rFonts w:eastAsiaTheme="minorEastAsia"/>
                <w:i/>
                <w:iCs/>
                <w:lang w:eastAsia="zh-CN"/>
              </w:rPr>
            </w:pPr>
            <w:r w:rsidRPr="00D153F3">
              <w:rPr>
                <w:rFonts w:eastAsiaTheme="minorEastAsia"/>
                <w:i/>
                <w:iCs/>
                <w:lang w:eastAsia="zh-CN"/>
              </w:rPr>
              <w:t>Follow-up reply:</w:t>
            </w:r>
          </w:p>
        </w:tc>
        <w:tc>
          <w:tcPr>
            <w:tcW w:w="4570" w:type="dxa"/>
            <w:shd w:val="clear" w:color="auto" w:fill="auto"/>
          </w:tcPr>
          <w:p w14:paraId="75B32293" w14:textId="743560F3" w:rsidR="00DC218C" w:rsidRPr="00D153F3" w:rsidRDefault="006946F2" w:rsidP="006306DC">
            <w:pPr>
              <w:rPr>
                <w:rFonts w:eastAsiaTheme="minorEastAsia"/>
                <w:lang w:eastAsia="zh-CN"/>
              </w:rPr>
            </w:pPr>
            <w:hyperlink r:id="rId14" w:history="1">
              <w:r w:rsidR="00513AA8" w:rsidRPr="00513AA8">
                <w:rPr>
                  <w:rStyle w:val="Hyperlink"/>
                  <w:rFonts w:eastAsia="SimSun"/>
                </w:rPr>
                <w:t>CCPR/C/HND/CO/2/Add.1</w:t>
              </w:r>
            </w:hyperlink>
            <w:r w:rsidR="00513AA8">
              <w:rPr>
                <w:rFonts w:eastAsia="SimSun"/>
              </w:rPr>
              <w:t xml:space="preserve">, </w:t>
            </w:r>
            <w:r w:rsidR="00DC218C" w:rsidRPr="00D153F3">
              <w:t>15 August 2018</w:t>
            </w:r>
          </w:p>
        </w:tc>
      </w:tr>
      <w:tr w:rsidR="00DC218C" w:rsidRPr="006946F2" w14:paraId="1B8499E4" w14:textId="77777777" w:rsidTr="006306DC">
        <w:trPr>
          <w:jc w:val="center"/>
        </w:trPr>
        <w:tc>
          <w:tcPr>
            <w:tcW w:w="2800" w:type="dxa"/>
            <w:shd w:val="clear" w:color="auto" w:fill="auto"/>
          </w:tcPr>
          <w:p w14:paraId="304B78C8" w14:textId="77777777" w:rsidR="00DC218C" w:rsidRPr="00D153F3" w:rsidRDefault="00DC218C" w:rsidP="006306DC">
            <w:pPr>
              <w:suppressAutoHyphens w:val="0"/>
              <w:spacing w:before="40" w:after="120" w:line="220" w:lineRule="exact"/>
              <w:ind w:right="113"/>
              <w:rPr>
                <w:rFonts w:eastAsiaTheme="minorEastAsia"/>
                <w:i/>
                <w:iCs/>
                <w:lang w:eastAsia="zh-CN"/>
              </w:rPr>
            </w:pPr>
            <w:r w:rsidRPr="00D153F3">
              <w:rPr>
                <w:rFonts w:ascii="TimesNewRomanPSMT" w:hAnsi="TimesNewRomanPSMT" w:cs="TimesNewRomanPSMT"/>
                <w:i/>
              </w:rPr>
              <w:t>Information from non- governmental organizations:</w:t>
            </w:r>
          </w:p>
        </w:tc>
        <w:tc>
          <w:tcPr>
            <w:tcW w:w="4570" w:type="dxa"/>
            <w:shd w:val="clear" w:color="auto" w:fill="auto"/>
          </w:tcPr>
          <w:p w14:paraId="5A65519E" w14:textId="0DC90088" w:rsidR="00DC218C" w:rsidRPr="002F6B79" w:rsidRDefault="006946F2" w:rsidP="006306DC">
            <w:pPr>
              <w:suppressAutoHyphens w:val="0"/>
              <w:spacing w:line="240" w:lineRule="auto"/>
              <w:rPr>
                <w:color w:val="000000"/>
                <w:lang w:val="es-ES"/>
              </w:rPr>
            </w:pPr>
            <w:r>
              <w:fldChar w:fldCharType="begin"/>
            </w:r>
            <w:r w:rsidRPr="006946F2">
              <w:rPr>
                <w:lang w:val="es-ES"/>
              </w:rPr>
              <w:instrText xml:space="preserve"> HYPERLINK "https://tbinternet.ohchr.org/_layouts/15/treatybodyexternal/Download.aspx?symbolno=INT%2fCCPR%2fNGS%2fHND%2f32946&amp;Lang=en" </w:instrText>
            </w:r>
            <w:r>
              <w:fldChar w:fldCharType="separate"/>
            </w:r>
            <w:r w:rsidR="00DC218C" w:rsidRPr="002F6B79">
              <w:rPr>
                <w:rStyle w:val="Hyperlink"/>
                <w:rFonts w:eastAsia="SimSun"/>
                <w:lang w:val="es-ES"/>
              </w:rPr>
              <w:t xml:space="preserve">Plataforma </w:t>
            </w:r>
            <w:r w:rsidR="00684761" w:rsidRPr="002F6B79">
              <w:rPr>
                <w:rStyle w:val="Hyperlink"/>
                <w:rFonts w:eastAsia="SimSun"/>
                <w:lang w:val="es-ES"/>
              </w:rPr>
              <w:t>“</w:t>
            </w:r>
            <w:r w:rsidR="00DC218C" w:rsidRPr="002F6B79">
              <w:rPr>
                <w:rStyle w:val="Hyperlink"/>
                <w:rFonts w:eastAsia="SimSun"/>
                <w:lang w:val="es-ES"/>
              </w:rPr>
              <w:t>Somos Muchas, por la Libertad y la Vida de las Mujeres</w:t>
            </w:r>
            <w:r>
              <w:rPr>
                <w:rStyle w:val="Hyperlink"/>
                <w:rFonts w:eastAsia="SimSun"/>
                <w:lang w:val="es-ES"/>
              </w:rPr>
              <w:fldChar w:fldCharType="end"/>
            </w:r>
            <w:r w:rsidR="00684761" w:rsidRPr="002F6B79">
              <w:rPr>
                <w:rStyle w:val="Hyperlink"/>
                <w:rFonts w:eastAsia="SimSun"/>
                <w:lang w:val="es-ES"/>
              </w:rPr>
              <w:t>”</w:t>
            </w:r>
            <w:r w:rsidR="00DA2F16" w:rsidRPr="006306DC">
              <w:rPr>
                <w:color w:val="000000"/>
                <w:lang w:val="es-ES"/>
              </w:rPr>
              <w:t>,</w:t>
            </w:r>
            <w:r w:rsidR="00DC218C" w:rsidRPr="002F6B79">
              <w:rPr>
                <w:b/>
                <w:lang w:val="es-ES"/>
              </w:rPr>
              <w:t xml:space="preserve"> </w:t>
            </w:r>
            <w:r>
              <w:fldChar w:fldCharType="begin"/>
            </w:r>
            <w:r w:rsidRPr="006946F2">
              <w:rPr>
                <w:lang w:val="es-ES"/>
              </w:rPr>
              <w:instrText xml:space="preserve"> HYPERLINK "https://tbinternet.ohchr.org/_layouts</w:instrText>
            </w:r>
            <w:r w:rsidRPr="006946F2">
              <w:rPr>
                <w:lang w:val="es-ES"/>
              </w:rPr>
              <w:instrText xml:space="preserve">/15/treatybodyexternal/Download.aspx?symbolno=INT%2FCCPR%2FNGS%2FHND%2F32945&amp;Lang=en" </w:instrText>
            </w:r>
            <w:r>
              <w:fldChar w:fldCharType="separate"/>
            </w:r>
            <w:r w:rsidR="00DC218C" w:rsidRPr="002F6B79">
              <w:rPr>
                <w:rStyle w:val="Hyperlink"/>
                <w:rFonts w:eastAsia="SimSun"/>
                <w:lang w:val="es-ES"/>
              </w:rPr>
              <w:t>Grupo Estratégico de la Píldora de Anticoncepción de Emergencia</w:t>
            </w:r>
            <w:r>
              <w:rPr>
                <w:rStyle w:val="Hyperlink"/>
                <w:rFonts w:eastAsia="SimSun"/>
                <w:lang w:val="es-ES"/>
              </w:rPr>
              <w:fldChar w:fldCharType="end"/>
            </w:r>
            <w:r w:rsidR="00E26738" w:rsidRPr="006306DC">
              <w:rPr>
                <w:rStyle w:val="Hyperlink"/>
                <w:rFonts w:eastAsia="SimSun"/>
                <w:lang w:val="es-ES"/>
              </w:rPr>
              <w:t xml:space="preserve">, </w:t>
            </w:r>
            <w:r>
              <w:fldChar w:fldCharType="begin"/>
            </w:r>
            <w:r w:rsidRPr="006946F2">
              <w:rPr>
                <w:lang w:val="es-ES"/>
              </w:rPr>
              <w:instrText xml:space="preserve"> HYPERLINK "https://tbinternet.ohchr.org/_layouts/15/treatybodyexternal/Download.aspx?symbolno=INT%2fC</w:instrText>
            </w:r>
            <w:r w:rsidRPr="006946F2">
              <w:rPr>
                <w:lang w:val="es-ES"/>
              </w:rPr>
              <w:instrText xml:space="preserve">CPR%2fNGS%2fHND%2f42842&amp;Lang=en" </w:instrText>
            </w:r>
            <w:r>
              <w:fldChar w:fldCharType="separate"/>
            </w:r>
            <w:r w:rsidR="00DC218C" w:rsidRPr="002F6B79">
              <w:rPr>
                <w:rStyle w:val="Hyperlink"/>
                <w:rFonts w:eastAsia="SimSun"/>
                <w:lang w:val="es-ES"/>
              </w:rPr>
              <w:t xml:space="preserve">Centro para el Desarrollo y la Cooperación LGTBI </w:t>
            </w:r>
            <w:r w:rsidR="00DA7ECA" w:rsidRPr="002F6B79">
              <w:rPr>
                <w:rStyle w:val="Hyperlink"/>
                <w:rFonts w:eastAsia="SimSun"/>
                <w:lang w:val="es-ES"/>
              </w:rPr>
              <w:t xml:space="preserve">– </w:t>
            </w:r>
            <w:r w:rsidR="00DC218C" w:rsidRPr="002F6B79">
              <w:rPr>
                <w:rStyle w:val="Hyperlink"/>
                <w:rFonts w:eastAsia="SimSun"/>
                <w:lang w:val="es-ES"/>
              </w:rPr>
              <w:t>SOMOS CDC</w:t>
            </w:r>
            <w:r>
              <w:rPr>
                <w:rStyle w:val="Hyperlink"/>
                <w:rFonts w:eastAsia="SimSun"/>
                <w:lang w:val="es-ES"/>
              </w:rPr>
              <w:fldChar w:fldCharType="end"/>
            </w:r>
          </w:p>
          <w:p w14:paraId="7BF906BE" w14:textId="77777777" w:rsidR="00DC218C" w:rsidRPr="006306DC" w:rsidRDefault="00DC218C" w:rsidP="006306DC">
            <w:pPr>
              <w:suppressAutoHyphens w:val="0"/>
              <w:spacing w:line="240" w:lineRule="auto"/>
              <w:rPr>
                <w:b/>
                <w:lang w:val="es-ES"/>
              </w:rPr>
            </w:pPr>
          </w:p>
        </w:tc>
      </w:tr>
      <w:tr w:rsidR="00DC218C" w:rsidRPr="00D153F3" w14:paraId="326E7588" w14:textId="77777777" w:rsidTr="006306DC">
        <w:trPr>
          <w:trHeight w:val="66"/>
          <w:jc w:val="center"/>
        </w:trPr>
        <w:tc>
          <w:tcPr>
            <w:tcW w:w="2800" w:type="dxa"/>
            <w:shd w:val="clear" w:color="auto" w:fill="auto"/>
          </w:tcPr>
          <w:p w14:paraId="491084D6" w14:textId="77777777" w:rsidR="00DC218C" w:rsidRPr="00D153F3" w:rsidRDefault="00DC218C" w:rsidP="006306DC">
            <w:pPr>
              <w:suppressAutoHyphens w:val="0"/>
              <w:spacing w:before="40" w:after="120" w:line="220" w:lineRule="exact"/>
              <w:ind w:right="113"/>
              <w:rPr>
                <w:rFonts w:eastAsiaTheme="minorEastAsia"/>
                <w:i/>
                <w:iCs/>
                <w:lang w:eastAsia="zh-CN"/>
              </w:rPr>
            </w:pPr>
            <w:r w:rsidRPr="00D153F3">
              <w:rPr>
                <w:rFonts w:eastAsiaTheme="minorEastAsia"/>
                <w:i/>
                <w:iCs/>
                <w:lang w:eastAsia="zh-CN"/>
              </w:rPr>
              <w:t xml:space="preserve">Committee’s evaluation: </w:t>
            </w:r>
          </w:p>
        </w:tc>
        <w:tc>
          <w:tcPr>
            <w:tcW w:w="4570" w:type="dxa"/>
            <w:shd w:val="clear" w:color="auto" w:fill="auto"/>
          </w:tcPr>
          <w:p w14:paraId="19C4EAC0" w14:textId="24FD3609" w:rsidR="00DC218C" w:rsidRPr="00D153F3" w:rsidRDefault="00DC218C" w:rsidP="006306DC">
            <w:pPr>
              <w:suppressAutoHyphens w:val="0"/>
              <w:spacing w:before="40" w:after="120" w:line="220" w:lineRule="exact"/>
              <w:ind w:right="113"/>
              <w:rPr>
                <w:rFonts w:eastAsiaTheme="minorEastAsia"/>
                <w:lang w:eastAsia="zh-CN"/>
              </w:rPr>
            </w:pPr>
            <w:r w:rsidRPr="00D153F3">
              <w:rPr>
                <w:rFonts w:eastAsia="SimSun"/>
              </w:rPr>
              <w:t>Additional information required on paragraphs</w:t>
            </w:r>
            <w:r w:rsidRPr="00D153F3">
              <w:rPr>
                <w:rFonts w:eastAsia="SimSun"/>
              </w:rPr>
              <w:br/>
              <w:t>1</w:t>
            </w:r>
            <w:r w:rsidRPr="00D153F3">
              <w:t>7</w:t>
            </w:r>
            <w:r w:rsidR="008046B1" w:rsidRPr="00D153F3">
              <w:t xml:space="preserve"> </w:t>
            </w:r>
            <w:r w:rsidRPr="006306DC">
              <w:rPr>
                <w:rFonts w:eastAsia="SimSun"/>
                <w:bCs/>
              </w:rPr>
              <w:t>[</w:t>
            </w:r>
            <w:r w:rsidRPr="00DA2F16">
              <w:rPr>
                <w:b/>
                <w:bCs/>
              </w:rPr>
              <w:t>C</w:t>
            </w:r>
            <w:r w:rsidRPr="006306DC">
              <w:rPr>
                <w:rFonts w:eastAsia="SimSun"/>
                <w:bCs/>
              </w:rPr>
              <w:t>]</w:t>
            </w:r>
            <w:r w:rsidRPr="00DA2F16">
              <w:rPr>
                <w:rFonts w:eastAsia="SimSun"/>
              </w:rPr>
              <w:t>,</w:t>
            </w:r>
            <w:r w:rsidR="00684761" w:rsidRPr="00DA2F16">
              <w:rPr>
                <w:rFonts w:eastAsia="SimSun"/>
              </w:rPr>
              <w:t xml:space="preserve"> </w:t>
            </w:r>
            <w:r w:rsidRPr="00DA2F16">
              <w:t>21</w:t>
            </w:r>
            <w:r w:rsidR="008046B1" w:rsidRPr="00DA2F16">
              <w:t xml:space="preserve"> </w:t>
            </w:r>
            <w:r w:rsidRPr="006306DC">
              <w:rPr>
                <w:rFonts w:eastAsia="SimSun"/>
                <w:bCs/>
              </w:rPr>
              <w:t>[</w:t>
            </w:r>
            <w:r w:rsidRPr="00DA2F16">
              <w:rPr>
                <w:b/>
                <w:bCs/>
              </w:rPr>
              <w:t>B</w:t>
            </w:r>
            <w:r w:rsidRPr="006306DC">
              <w:rPr>
                <w:rFonts w:eastAsia="SimSun"/>
                <w:bCs/>
              </w:rPr>
              <w:t>]</w:t>
            </w:r>
            <w:r w:rsidRPr="00DA2F16">
              <w:rPr>
                <w:bCs/>
              </w:rPr>
              <w:t xml:space="preserve">, </w:t>
            </w:r>
            <w:r w:rsidRPr="006306DC">
              <w:rPr>
                <w:bCs/>
              </w:rPr>
              <w:t>41</w:t>
            </w:r>
            <w:r w:rsidR="008046B1" w:rsidRPr="006306DC">
              <w:rPr>
                <w:bCs/>
              </w:rPr>
              <w:t xml:space="preserve"> </w:t>
            </w:r>
            <w:r w:rsidRPr="006306DC">
              <w:rPr>
                <w:bCs/>
              </w:rPr>
              <w:t>[</w:t>
            </w:r>
            <w:r w:rsidRPr="00DA2F16">
              <w:rPr>
                <w:b/>
                <w:bCs/>
              </w:rPr>
              <w:t>B</w:t>
            </w:r>
            <w:r w:rsidRPr="006306DC">
              <w:rPr>
                <w:bCs/>
              </w:rPr>
              <w:t>][</w:t>
            </w:r>
            <w:r w:rsidRPr="00DA2F16">
              <w:rPr>
                <w:b/>
                <w:bCs/>
              </w:rPr>
              <w:t>C</w:t>
            </w:r>
            <w:r w:rsidRPr="006306DC">
              <w:rPr>
                <w:bCs/>
              </w:rPr>
              <w:t>]</w:t>
            </w:r>
            <w:r w:rsidRPr="00DA2F16">
              <w:rPr>
                <w:rFonts w:eastAsia="SimSun"/>
              </w:rPr>
              <w:t xml:space="preserve"> and </w:t>
            </w:r>
            <w:r w:rsidRPr="00DA2F16">
              <w:t>47</w:t>
            </w:r>
            <w:r w:rsidR="008046B1" w:rsidRPr="00DA2F16">
              <w:t xml:space="preserve"> </w:t>
            </w:r>
            <w:r w:rsidRPr="006306DC">
              <w:rPr>
                <w:rFonts w:eastAsia="SimSun"/>
                <w:bCs/>
              </w:rPr>
              <w:t>[</w:t>
            </w:r>
            <w:r w:rsidRPr="00DA2F16">
              <w:rPr>
                <w:b/>
                <w:bCs/>
              </w:rPr>
              <w:t>B</w:t>
            </w:r>
            <w:r w:rsidRPr="006306DC">
              <w:rPr>
                <w:rFonts w:eastAsia="SimSun"/>
                <w:bCs/>
              </w:rPr>
              <w:t>]</w:t>
            </w:r>
          </w:p>
        </w:tc>
      </w:tr>
    </w:tbl>
    <w:p w14:paraId="39FCDC9E" w14:textId="346119D2" w:rsidR="00DC218C" w:rsidRPr="00D153F3" w:rsidRDefault="002925EC" w:rsidP="002925EC">
      <w:pPr>
        <w:pStyle w:val="H23G"/>
      </w:pPr>
      <w:bookmarkStart w:id="2" w:name="_Toc494978432"/>
      <w:r w:rsidRPr="00D153F3">
        <w:tab/>
      </w:r>
      <w:r w:rsidRPr="00D153F3">
        <w:tab/>
      </w:r>
      <w:r w:rsidR="00DA2F16">
        <w:t xml:space="preserve">Paragraph 17: </w:t>
      </w:r>
      <w:r w:rsidR="00DC218C" w:rsidRPr="00D153F3">
        <w:t>Voluntary termination of pregnancy and reproductive rights</w:t>
      </w:r>
      <w:bookmarkEnd w:id="2"/>
    </w:p>
    <w:p w14:paraId="34A85AE3" w14:textId="7878A777" w:rsidR="00DC218C" w:rsidRPr="00D153F3" w:rsidRDefault="00DC218C" w:rsidP="00DC218C">
      <w:pPr>
        <w:pStyle w:val="SingleTxtG"/>
        <w:rPr>
          <w:b/>
        </w:rPr>
      </w:pPr>
      <w:r w:rsidRPr="00D153F3">
        <w:rPr>
          <w:b/>
        </w:rPr>
        <w:t>The State party should, as a matter of urgency, amend its legislation to help women prevent unwanted pregnancies and to ensure that they do not have to seek clandestine abortions that could endanger their lives and health. In this connection, the State party should ensure access to safe, legal abortions, particularly in cases where the woman’ s life or health is in danger and in cases of rape, incest or fetal unviability due to an abnormality, and consider decriminalizing abortion. The State party should lift the ban on the emergency contraceptive pill. It should also keep precise statistics regarding the impact of restrictions on abortion and the emergency contraceptive pill on the life and health of women and girls and increase the number of programmes designed to provide full access to sexual and reproductive health services and contraceptives and raise awareness of sexual and reproductive health among men, women and children throughout the country.</w:t>
      </w:r>
    </w:p>
    <w:p w14:paraId="39B386DD" w14:textId="77777777" w:rsidR="00DC218C" w:rsidRPr="00D153F3" w:rsidRDefault="00DC218C" w:rsidP="00DC218C">
      <w:pPr>
        <w:pStyle w:val="H23G"/>
        <w:spacing w:before="0" w:line="240" w:lineRule="auto"/>
        <w:ind w:left="1170" w:right="1178" w:firstLine="0"/>
      </w:pPr>
      <w:r w:rsidRPr="00D153F3">
        <w:t xml:space="preserve">Summary of the State party’s reply </w:t>
      </w:r>
    </w:p>
    <w:p w14:paraId="3749A24E" w14:textId="7C38DF1C" w:rsidR="00DC218C" w:rsidRPr="00D153F3" w:rsidRDefault="00684761" w:rsidP="00D061D7">
      <w:pPr>
        <w:pStyle w:val="SingleTxtG"/>
        <w:ind w:firstLine="567"/>
      </w:pPr>
      <w:r w:rsidRPr="00D153F3">
        <w:t>N</w:t>
      </w:r>
      <w:r w:rsidR="00DC218C" w:rsidRPr="00D153F3">
        <w:t xml:space="preserve">o amendments </w:t>
      </w:r>
      <w:r w:rsidRPr="00D153F3">
        <w:t xml:space="preserve">have been made </w:t>
      </w:r>
      <w:r w:rsidR="00DC218C" w:rsidRPr="00D153F3">
        <w:t xml:space="preserve">to legislation. The State party listed </w:t>
      </w:r>
      <w:r w:rsidRPr="00D153F3">
        <w:t xml:space="preserve">its </w:t>
      </w:r>
      <w:r w:rsidR="00DC218C" w:rsidRPr="00D153F3">
        <w:t xml:space="preserve">achievements in terms of pregnancy prevention between 2014 and 2018. </w:t>
      </w:r>
    </w:p>
    <w:p w14:paraId="1EE451E5" w14:textId="77777777" w:rsidR="00DC218C" w:rsidRPr="00D153F3" w:rsidRDefault="00DC218C" w:rsidP="00D061D7">
      <w:pPr>
        <w:pStyle w:val="SingleTxtG"/>
        <w:ind w:firstLine="567"/>
      </w:pPr>
      <w:r w:rsidRPr="00D153F3">
        <w:t>The National Institute for Women has lobbied the Ministry of Health to conduct a technical and scientific study on the use of the emergency contraceptive pill and to adopt a medical protocol for victims/survivors of sexual violence.</w:t>
      </w:r>
    </w:p>
    <w:p w14:paraId="38268393" w14:textId="77777777" w:rsidR="00DC218C" w:rsidRPr="00D153F3" w:rsidRDefault="00DC218C" w:rsidP="00D061D7">
      <w:pPr>
        <w:pStyle w:val="SingleTxtG"/>
        <w:ind w:firstLine="567"/>
      </w:pPr>
      <w:r w:rsidRPr="00D153F3">
        <w:lastRenderedPageBreak/>
        <w:t>Concerning statistics, the Ministry of Health currently keeps administrative records on patients who receive hospital treatment for abortion.</w:t>
      </w:r>
    </w:p>
    <w:p w14:paraId="38927FE3" w14:textId="2CD427E3" w:rsidR="00DC218C" w:rsidRPr="00D153F3" w:rsidRDefault="00684761" w:rsidP="00D061D7">
      <w:pPr>
        <w:pStyle w:val="SingleTxtG"/>
        <w:ind w:firstLine="567"/>
      </w:pPr>
      <w:r w:rsidRPr="00D153F3">
        <w:t xml:space="preserve">With regard to </w:t>
      </w:r>
      <w:r w:rsidR="00DC218C" w:rsidRPr="00D153F3">
        <w:t>awareness-raising programmes, the National Institute for Women has held training workshops to strengthen the technical skills of personnel who work in direct contact with adolescents.</w:t>
      </w:r>
    </w:p>
    <w:p w14:paraId="6740E701" w14:textId="1D5C2657" w:rsidR="00DC218C" w:rsidRPr="006306DC" w:rsidRDefault="00DC218C" w:rsidP="00DC218C">
      <w:pPr>
        <w:pStyle w:val="H23G"/>
        <w:rPr>
          <w:lang w:val="es-ES"/>
        </w:rPr>
      </w:pPr>
      <w:r w:rsidRPr="00D153F3">
        <w:tab/>
      </w:r>
      <w:r w:rsidRPr="00D153F3">
        <w:tab/>
      </w:r>
      <w:proofErr w:type="spellStart"/>
      <w:r w:rsidRPr="006306DC">
        <w:rPr>
          <w:lang w:val="es-ES"/>
        </w:rPr>
        <w:t>Information</w:t>
      </w:r>
      <w:proofErr w:type="spellEnd"/>
      <w:r w:rsidRPr="006306DC">
        <w:rPr>
          <w:lang w:val="es-ES"/>
        </w:rPr>
        <w:t xml:space="preserve"> </w:t>
      </w:r>
      <w:proofErr w:type="spellStart"/>
      <w:r w:rsidRPr="006306DC">
        <w:rPr>
          <w:lang w:val="es-ES"/>
        </w:rPr>
        <w:t>from</w:t>
      </w:r>
      <w:proofErr w:type="spellEnd"/>
      <w:r w:rsidRPr="006306DC">
        <w:rPr>
          <w:lang w:val="es-ES"/>
        </w:rPr>
        <w:t xml:space="preserve"> non-</w:t>
      </w:r>
      <w:proofErr w:type="spellStart"/>
      <w:r w:rsidRPr="006306DC">
        <w:rPr>
          <w:lang w:val="es-ES"/>
        </w:rPr>
        <w:t>governmental</w:t>
      </w:r>
      <w:proofErr w:type="spellEnd"/>
      <w:r w:rsidRPr="006306DC">
        <w:rPr>
          <w:lang w:val="es-ES"/>
        </w:rPr>
        <w:t xml:space="preserve"> </w:t>
      </w:r>
      <w:proofErr w:type="spellStart"/>
      <w:r w:rsidRPr="006306DC">
        <w:rPr>
          <w:lang w:val="es-ES"/>
        </w:rPr>
        <w:t>organizations</w:t>
      </w:r>
      <w:proofErr w:type="spellEnd"/>
    </w:p>
    <w:p w14:paraId="3FEAEC67" w14:textId="4D7622BE" w:rsidR="00DC218C" w:rsidRPr="006306DC" w:rsidRDefault="00DC218C" w:rsidP="00DC218C">
      <w:pPr>
        <w:pStyle w:val="H4G"/>
        <w:rPr>
          <w:lang w:val="es-ES"/>
        </w:rPr>
      </w:pPr>
      <w:r w:rsidRPr="006306DC">
        <w:rPr>
          <w:lang w:val="es-ES"/>
        </w:rPr>
        <w:tab/>
      </w:r>
      <w:r w:rsidRPr="006306DC">
        <w:rPr>
          <w:lang w:val="es-ES"/>
        </w:rPr>
        <w:tab/>
      </w:r>
      <w:r w:rsidR="00B83D2D" w:rsidRPr="006306DC">
        <w:rPr>
          <w:lang w:val="es-ES"/>
        </w:rPr>
        <w:t>Plataforma “</w:t>
      </w:r>
      <w:r w:rsidRPr="006306DC">
        <w:rPr>
          <w:lang w:val="es-ES"/>
        </w:rPr>
        <w:t>Somos Muchas Por la Libertad y la Vida de las Mujeres</w:t>
      </w:r>
      <w:r w:rsidR="00B83D2D" w:rsidRPr="006306DC">
        <w:rPr>
          <w:lang w:val="es-ES"/>
        </w:rPr>
        <w:t>”</w:t>
      </w:r>
    </w:p>
    <w:p w14:paraId="327BF97F" w14:textId="0DA49DBD" w:rsidR="00DC218C" w:rsidRPr="00D153F3" w:rsidRDefault="00DC218C" w:rsidP="006306DC">
      <w:pPr>
        <w:pStyle w:val="SingleTxtG"/>
      </w:pPr>
      <w:r w:rsidRPr="00D153F3">
        <w:t xml:space="preserve">The State party had the opportunity to amend the new Penal Code </w:t>
      </w:r>
      <w:r w:rsidRPr="00D153F3">
        <w:rPr>
          <w:bCs/>
        </w:rPr>
        <w:t xml:space="preserve">and </w:t>
      </w:r>
      <w:r w:rsidR="00684761" w:rsidRPr="00D153F3">
        <w:rPr>
          <w:bCs/>
        </w:rPr>
        <w:t xml:space="preserve">to </w:t>
      </w:r>
      <w:r w:rsidRPr="00D153F3">
        <w:rPr>
          <w:bCs/>
        </w:rPr>
        <w:t>consider decriminalizing abortion</w:t>
      </w:r>
      <w:r w:rsidRPr="00D153F3">
        <w:t xml:space="preserve">. </w:t>
      </w:r>
    </w:p>
    <w:p w14:paraId="1E2576DD" w14:textId="481FA43F" w:rsidR="00DC218C" w:rsidRPr="006306DC" w:rsidRDefault="00DC218C" w:rsidP="00DC218C">
      <w:pPr>
        <w:pStyle w:val="H4G"/>
        <w:rPr>
          <w:lang w:val="es-ES"/>
        </w:rPr>
      </w:pPr>
      <w:r w:rsidRPr="00D153F3">
        <w:tab/>
      </w:r>
      <w:r w:rsidRPr="00D153F3">
        <w:tab/>
      </w:r>
      <w:r w:rsidRPr="006306DC">
        <w:rPr>
          <w:lang w:val="es-ES"/>
        </w:rPr>
        <w:t>Grupo Estratégico de la Píldora de Anticoncepción de Emergencia</w:t>
      </w:r>
    </w:p>
    <w:p w14:paraId="264E12A6" w14:textId="1AC34BDF" w:rsidR="00DC218C" w:rsidRPr="00D153F3" w:rsidRDefault="00DC218C" w:rsidP="006306DC">
      <w:pPr>
        <w:pStyle w:val="SingleTxtG"/>
      </w:pPr>
      <w:r w:rsidRPr="00D153F3">
        <w:t>More than 21,000 girls and women have reported sexual violence; 54</w:t>
      </w:r>
      <w:r w:rsidR="00684761" w:rsidRPr="00D153F3">
        <w:t xml:space="preserve"> per cent</w:t>
      </w:r>
      <w:r w:rsidRPr="00D153F3">
        <w:t xml:space="preserve"> of reports </w:t>
      </w:r>
      <w:r w:rsidR="00684761" w:rsidRPr="00D153F3">
        <w:t xml:space="preserve">were submitted by </w:t>
      </w:r>
      <w:r w:rsidRPr="00D153F3">
        <w:t xml:space="preserve">girls aged 14 </w:t>
      </w:r>
      <w:r w:rsidR="00684761" w:rsidRPr="00D153F3">
        <w:t xml:space="preserve">years </w:t>
      </w:r>
      <w:r w:rsidRPr="00D153F3">
        <w:t>or younger</w:t>
      </w:r>
      <w:r w:rsidR="00684761" w:rsidRPr="00D153F3">
        <w:t>,</w:t>
      </w:r>
      <w:r w:rsidRPr="00D153F3">
        <w:t xml:space="preserve"> and all of them were forced to carry their pregnancy to term. </w:t>
      </w:r>
    </w:p>
    <w:p w14:paraId="35C55371" w14:textId="7E49835C" w:rsidR="00DC218C" w:rsidRPr="00D153F3" w:rsidRDefault="00DC218C" w:rsidP="00DC218C">
      <w:pPr>
        <w:pStyle w:val="H23G"/>
      </w:pPr>
      <w:r w:rsidRPr="00D153F3">
        <w:tab/>
      </w:r>
      <w:r w:rsidRPr="00D153F3">
        <w:tab/>
        <w:t>Committee’s evaluation</w:t>
      </w:r>
    </w:p>
    <w:p w14:paraId="6E1EECE4" w14:textId="4F1CFD7D" w:rsidR="00DC218C" w:rsidRPr="00D153F3" w:rsidRDefault="00DC218C" w:rsidP="006306DC">
      <w:pPr>
        <w:pStyle w:val="SingleTxtG"/>
      </w:pPr>
      <w:r w:rsidRPr="006306DC">
        <w:t>[</w:t>
      </w:r>
      <w:r w:rsidRPr="00DA2F16">
        <w:rPr>
          <w:b/>
        </w:rPr>
        <w:t>C</w:t>
      </w:r>
      <w:r w:rsidRPr="006306DC">
        <w:t>]</w:t>
      </w:r>
      <w:r w:rsidR="00C134BF" w:rsidRPr="006306DC">
        <w:t>:</w:t>
      </w:r>
      <w:r w:rsidR="00C92627" w:rsidRPr="00D153F3">
        <w:t xml:space="preserve"> </w:t>
      </w:r>
      <w:r w:rsidR="00065EFF">
        <w:tab/>
      </w:r>
      <w:r w:rsidRPr="00D153F3">
        <w:t xml:space="preserve">The Committee regrets that the State party has not taken measures to amend its legislation to help women </w:t>
      </w:r>
      <w:r w:rsidR="00684761" w:rsidRPr="00D153F3">
        <w:t xml:space="preserve">to </w:t>
      </w:r>
      <w:r w:rsidRPr="00D153F3">
        <w:t xml:space="preserve">prevent unwanted pregnancies or to ensure access to safe, legal abortion, particularly in cases where the woman’s life or health is in danger and in cases of rape, incest or fetal unviability due to an abnormality, and consider decriminalizing abortion. </w:t>
      </w:r>
    </w:p>
    <w:p w14:paraId="3372D4AD" w14:textId="47E0586D" w:rsidR="00DC218C" w:rsidRPr="00D153F3" w:rsidRDefault="00DC218C" w:rsidP="006306DC">
      <w:pPr>
        <w:pStyle w:val="SingleTxtG"/>
      </w:pPr>
      <w:r w:rsidRPr="00D153F3">
        <w:t xml:space="preserve">The Committee </w:t>
      </w:r>
      <w:r w:rsidR="007156F6" w:rsidRPr="00D153F3">
        <w:t xml:space="preserve">takes </w:t>
      </w:r>
      <w:r w:rsidRPr="00D153F3">
        <w:t xml:space="preserve">note </w:t>
      </w:r>
      <w:r w:rsidR="007156F6" w:rsidRPr="00D153F3">
        <w:t xml:space="preserve">of </w:t>
      </w:r>
      <w:r w:rsidRPr="00D153F3">
        <w:t xml:space="preserve">the information provided that the National Institute for Women has lobbied the Ministry of Health to conduct a technical and scientific study on the use of the emergency contraceptive pill and to adopt a medical protocol for victims/survivors of sexual violence. It </w:t>
      </w:r>
      <w:r w:rsidR="007156F6" w:rsidRPr="00D153F3">
        <w:t xml:space="preserve">requests </w:t>
      </w:r>
      <w:r w:rsidRPr="00D153F3">
        <w:t xml:space="preserve">updated information in this regard. </w:t>
      </w:r>
    </w:p>
    <w:p w14:paraId="5755AF69" w14:textId="00ECDAD5" w:rsidR="00DC218C" w:rsidRPr="00D153F3" w:rsidRDefault="00DC218C" w:rsidP="006306DC">
      <w:pPr>
        <w:pStyle w:val="SingleTxtG"/>
      </w:pPr>
      <w:r w:rsidRPr="00D153F3">
        <w:t xml:space="preserve">The Committee </w:t>
      </w:r>
      <w:r w:rsidR="007156F6" w:rsidRPr="00D153F3">
        <w:t xml:space="preserve">also takes </w:t>
      </w:r>
      <w:r w:rsidRPr="00D153F3">
        <w:t xml:space="preserve">note </w:t>
      </w:r>
      <w:r w:rsidR="007156F6" w:rsidRPr="00D153F3">
        <w:t xml:space="preserve">of </w:t>
      </w:r>
      <w:r w:rsidRPr="00D153F3">
        <w:t>the information provided on awareness-raising and on the statistics collected by the Ministry of Health on patients who receive hospital treatment for abortion complications. However, it requ</w:t>
      </w:r>
      <w:r w:rsidR="001C6FAD" w:rsidRPr="00D153F3">
        <w:t xml:space="preserve">ests </w:t>
      </w:r>
      <w:r w:rsidRPr="00D153F3">
        <w:t xml:space="preserve">information on </w:t>
      </w:r>
      <w:r w:rsidR="007156F6" w:rsidRPr="00D153F3">
        <w:t xml:space="preserve">the </w:t>
      </w:r>
      <w:r w:rsidRPr="00D153F3">
        <w:t xml:space="preserve">actions taken, </w:t>
      </w:r>
      <w:r w:rsidR="007156F6" w:rsidRPr="00D153F3">
        <w:t xml:space="preserve">since </w:t>
      </w:r>
      <w:r w:rsidRPr="00D153F3">
        <w:t xml:space="preserve">the adoption </w:t>
      </w:r>
      <w:r w:rsidR="007156F6" w:rsidRPr="00D153F3">
        <w:t xml:space="preserve">by </w:t>
      </w:r>
      <w:r w:rsidRPr="00D153F3">
        <w:t xml:space="preserve">the Committee </w:t>
      </w:r>
      <w:r w:rsidR="007156F6" w:rsidRPr="00D153F3">
        <w:t xml:space="preserve">of its </w:t>
      </w:r>
      <w:r w:rsidRPr="00D153F3">
        <w:t>concluding observations, to (</w:t>
      </w:r>
      <w:proofErr w:type="spellStart"/>
      <w:r w:rsidRPr="00D153F3">
        <w:t>i</w:t>
      </w:r>
      <w:proofErr w:type="spellEnd"/>
      <w:r w:rsidRPr="00D153F3">
        <w:t>) keep precise statistics regarding the impact of restrictions on abortion and the emergency contraceptive pill on the life and health of women and girls; (ii) increase the number of programmes designed to provide full access to sexual and reproductive health services and contraceptives; and (iii) raise awareness of sexual and reproductive health among men, women and children throughout the country.</w:t>
      </w:r>
    </w:p>
    <w:p w14:paraId="0D3742B0" w14:textId="63C3127D" w:rsidR="00DC218C" w:rsidRPr="00D153F3" w:rsidRDefault="00DC218C" w:rsidP="00DC218C">
      <w:pPr>
        <w:pStyle w:val="H23G"/>
      </w:pPr>
      <w:r w:rsidRPr="00D153F3">
        <w:tab/>
      </w:r>
      <w:r w:rsidRPr="00D153F3">
        <w:tab/>
      </w:r>
      <w:r w:rsidR="00DA2F16">
        <w:t xml:space="preserve">Paragraph 21: </w:t>
      </w:r>
      <w:r w:rsidRPr="00D153F3">
        <w:t>Right to life and security of person</w:t>
      </w:r>
    </w:p>
    <w:p w14:paraId="1C0610DD" w14:textId="1993DDF8" w:rsidR="00DC218C" w:rsidRPr="00D153F3" w:rsidRDefault="00DC218C" w:rsidP="006306DC">
      <w:pPr>
        <w:pStyle w:val="SingleTxtG"/>
        <w:rPr>
          <w:b/>
        </w:rPr>
      </w:pPr>
      <w:r w:rsidRPr="00D153F3">
        <w:rPr>
          <w:b/>
        </w:rPr>
        <w:t xml:space="preserve">The State party should continue to strengthen the national police with a view to enabling it to take over law enforcement functions from the armed forces. The State party should also pursue the certification process for members of the national police, ensuring that it is carried out in a transparent and impartial manner. In addition, the State party should adopt a legislative framework that guarantees that private security companies operate in keeping with the Covenant; improve State oversight of the activities of these companies; and boost the supervisory function of the Private Security Company Oversight Unit and increase its budget. The State party should exercise effective control over the possession and use of firearms and reduce the number of weapons in circulation, including by adopting relevant laws. </w:t>
      </w:r>
    </w:p>
    <w:p w14:paraId="2FC1A73B" w14:textId="77777777" w:rsidR="00DC218C" w:rsidRPr="00D153F3" w:rsidRDefault="00DC218C" w:rsidP="00DC218C">
      <w:pPr>
        <w:pStyle w:val="H23G"/>
        <w:ind w:left="1170" w:right="1178" w:firstLine="0"/>
        <w:jc w:val="both"/>
      </w:pPr>
      <w:r w:rsidRPr="00D153F3">
        <w:t>Summary of the State party’s reply</w:t>
      </w:r>
    </w:p>
    <w:p w14:paraId="33395E12" w14:textId="089CA632" w:rsidR="00DC218C" w:rsidRPr="00D153F3" w:rsidRDefault="00065EFF" w:rsidP="00DC218C">
      <w:pPr>
        <w:pStyle w:val="SingleTxtG"/>
      </w:pPr>
      <w:r>
        <w:tab/>
      </w:r>
      <w:r w:rsidR="00DC218C" w:rsidRPr="00D153F3">
        <w:t>Regarding the strengthening of the national police,</w:t>
      </w:r>
      <w:r w:rsidR="00B67702" w:rsidRPr="00D153F3">
        <w:t xml:space="preserve"> </w:t>
      </w:r>
      <w:r w:rsidR="00DC218C" w:rsidRPr="00D153F3">
        <w:t xml:space="preserve">the Police Service Act and the Organic Act on the Ministry of Security and the National Police </w:t>
      </w:r>
      <w:r w:rsidR="00B67702" w:rsidRPr="00D153F3">
        <w:t>were</w:t>
      </w:r>
      <w:r w:rsidR="00DC218C" w:rsidRPr="00D153F3">
        <w:t xml:space="preserve"> adopted</w:t>
      </w:r>
      <w:r w:rsidR="00B67702" w:rsidRPr="00D153F3">
        <w:t xml:space="preserve"> in 2017</w:t>
      </w:r>
      <w:r w:rsidR="00DC218C" w:rsidRPr="00D153F3">
        <w:t>.</w:t>
      </w:r>
    </w:p>
    <w:p w14:paraId="3ADAB800" w14:textId="4A313FAC" w:rsidR="00DC218C" w:rsidRPr="00D153F3" w:rsidRDefault="00DC218C" w:rsidP="006306DC">
      <w:pPr>
        <w:pStyle w:val="SingleTxtG"/>
        <w:ind w:left="1170" w:right="1178"/>
      </w:pPr>
      <w:r w:rsidRPr="00D153F3">
        <w:t xml:space="preserve">The security measures taken have resulted in a gradual decrease in the homicide rate. The State party listed some measures taken to strengthen the national police and </w:t>
      </w:r>
      <w:r w:rsidR="00B67702" w:rsidRPr="00D153F3">
        <w:t xml:space="preserve">to </w:t>
      </w:r>
      <w:r w:rsidRPr="00D153F3">
        <w:t>gradually reduce the involvement of military personnel in law enforcement activities.</w:t>
      </w:r>
    </w:p>
    <w:p w14:paraId="73D19B35" w14:textId="634262ED" w:rsidR="00DC218C" w:rsidRPr="00D153F3" w:rsidRDefault="00DC218C" w:rsidP="006306DC">
      <w:pPr>
        <w:pStyle w:val="SingleTxtG"/>
      </w:pPr>
      <w:r w:rsidRPr="00D153F3">
        <w:lastRenderedPageBreak/>
        <w:t xml:space="preserve">A national police certification process is being pursued. </w:t>
      </w:r>
      <w:r w:rsidR="00B67702" w:rsidRPr="00D153F3">
        <w:t xml:space="preserve">In </w:t>
      </w:r>
      <w:r w:rsidRPr="00D153F3">
        <w:t>2017 and 2018, the Department of Human Rights of the Ministry of Security trained 849 members of the national police.</w:t>
      </w:r>
    </w:p>
    <w:p w14:paraId="4B3C3DD5" w14:textId="62EA42D6" w:rsidR="00DC218C" w:rsidRPr="00D153F3" w:rsidRDefault="00DC218C" w:rsidP="006306DC">
      <w:pPr>
        <w:pStyle w:val="SingleTxtG"/>
      </w:pPr>
      <w:r w:rsidRPr="00D153F3">
        <w:t xml:space="preserve">The National Congress is currently considering a draft bill setting out regulations on private security services and investigation agencies. The Ministry of Security is conducting nationwide operations to reduce the number of illegal weapons. The National Congress is currently discussing a bill on a new </w:t>
      </w:r>
      <w:r w:rsidR="00B67702" w:rsidRPr="00D153F3">
        <w:t>w</w:t>
      </w:r>
      <w:r w:rsidRPr="00D153F3">
        <w:t xml:space="preserve">eapons, </w:t>
      </w:r>
      <w:r w:rsidR="00B67702" w:rsidRPr="00D153F3">
        <w:t>a</w:t>
      </w:r>
      <w:r w:rsidRPr="00D153F3">
        <w:t xml:space="preserve">mmunition, </w:t>
      </w:r>
      <w:r w:rsidR="00B67702" w:rsidRPr="00D153F3">
        <w:t>e</w:t>
      </w:r>
      <w:r w:rsidRPr="00D153F3">
        <w:t xml:space="preserve">xplosives and </w:t>
      </w:r>
      <w:r w:rsidR="00B67702" w:rsidRPr="00D153F3">
        <w:t>r</w:t>
      </w:r>
      <w:r w:rsidRPr="00D153F3">
        <w:t xml:space="preserve">elated </w:t>
      </w:r>
      <w:r w:rsidR="00B67702" w:rsidRPr="00D153F3">
        <w:t>m</w:t>
      </w:r>
      <w:r w:rsidRPr="00D153F3">
        <w:t xml:space="preserve">aterials </w:t>
      </w:r>
      <w:r w:rsidR="00B67702" w:rsidRPr="00D153F3">
        <w:t>a</w:t>
      </w:r>
      <w:r w:rsidRPr="00D153F3">
        <w:t xml:space="preserve">ct. </w:t>
      </w:r>
    </w:p>
    <w:p w14:paraId="30640F91" w14:textId="230FD665" w:rsidR="00DC218C" w:rsidRPr="00D153F3" w:rsidRDefault="00DC218C" w:rsidP="00DC218C">
      <w:pPr>
        <w:pStyle w:val="H23G"/>
      </w:pPr>
      <w:r w:rsidRPr="00D153F3">
        <w:tab/>
      </w:r>
      <w:r w:rsidRPr="00D153F3">
        <w:tab/>
        <w:t>Committee’s evaluation</w:t>
      </w:r>
    </w:p>
    <w:p w14:paraId="09B5EECB" w14:textId="2635714A" w:rsidR="00DC218C" w:rsidRPr="00D153F3" w:rsidRDefault="00DC218C" w:rsidP="006306DC">
      <w:pPr>
        <w:spacing w:after="120" w:line="240" w:lineRule="auto"/>
        <w:ind w:left="1170" w:right="1178"/>
        <w:jc w:val="both"/>
      </w:pPr>
      <w:r w:rsidRPr="006306DC">
        <w:t>[</w:t>
      </w:r>
      <w:r w:rsidRPr="00DA2F16">
        <w:rPr>
          <w:b/>
        </w:rPr>
        <w:t>B</w:t>
      </w:r>
      <w:r w:rsidRPr="006306DC">
        <w:t>]:</w:t>
      </w:r>
      <w:r w:rsidR="000A2F97" w:rsidRPr="00D153F3">
        <w:t xml:space="preserve"> </w:t>
      </w:r>
      <w:r w:rsidR="00065EFF">
        <w:tab/>
      </w:r>
      <w:r w:rsidRPr="00D153F3">
        <w:t xml:space="preserve">The Committee notes the adoption of the Police Service Act and the Organic Act on the Ministry of Security and the National Police in 2017 and the measures taken to strengthen the national police. It </w:t>
      </w:r>
      <w:r w:rsidR="000A2F97" w:rsidRPr="00D153F3">
        <w:t xml:space="preserve">requests </w:t>
      </w:r>
      <w:r w:rsidRPr="00D153F3">
        <w:t xml:space="preserve">information on the impact of such measures and whether there has been a decrease in the involvement of military personnel in law enforcement activities. </w:t>
      </w:r>
    </w:p>
    <w:p w14:paraId="23968F4E" w14:textId="3726F501" w:rsidR="00DC218C" w:rsidRPr="00D153F3" w:rsidRDefault="00DC218C" w:rsidP="006306DC">
      <w:pPr>
        <w:spacing w:after="120" w:line="240" w:lineRule="auto"/>
        <w:ind w:left="1170" w:right="1178"/>
        <w:jc w:val="both"/>
      </w:pPr>
      <w:r w:rsidRPr="00D153F3">
        <w:t xml:space="preserve">The Committee welcomes the information provided </w:t>
      </w:r>
      <w:r w:rsidR="000A2F97" w:rsidRPr="00D153F3">
        <w:t xml:space="preserve">according to which </w:t>
      </w:r>
      <w:r w:rsidRPr="00D153F3">
        <w:t>the State is pursuing a national police certification process for member</w:t>
      </w:r>
      <w:r w:rsidR="000A2F97" w:rsidRPr="00D153F3">
        <w:t>s</w:t>
      </w:r>
      <w:r w:rsidRPr="00D153F3">
        <w:t xml:space="preserve"> of the national police</w:t>
      </w:r>
      <w:r w:rsidR="000A2F97" w:rsidRPr="00D153F3">
        <w:t>; it requests</w:t>
      </w:r>
      <w:r w:rsidRPr="00D153F3">
        <w:t xml:space="preserve"> updated information in this respect. </w:t>
      </w:r>
    </w:p>
    <w:p w14:paraId="62046798" w14:textId="78DC0568" w:rsidR="00DC218C" w:rsidRPr="00D153F3" w:rsidRDefault="00DC218C" w:rsidP="006306DC">
      <w:pPr>
        <w:spacing w:after="120" w:line="240" w:lineRule="auto"/>
        <w:ind w:left="1170" w:right="1178"/>
        <w:jc w:val="both"/>
      </w:pPr>
      <w:r w:rsidRPr="00D153F3">
        <w:t xml:space="preserve">The Committee </w:t>
      </w:r>
      <w:r w:rsidR="000A2F97" w:rsidRPr="00D153F3">
        <w:t xml:space="preserve">takes </w:t>
      </w:r>
      <w:r w:rsidRPr="00D153F3">
        <w:t xml:space="preserve">note </w:t>
      </w:r>
      <w:r w:rsidR="000A2F97" w:rsidRPr="00D153F3">
        <w:t xml:space="preserve">of </w:t>
      </w:r>
      <w:r w:rsidRPr="00D153F3">
        <w:t xml:space="preserve">the information provided </w:t>
      </w:r>
      <w:r w:rsidR="000A2F97" w:rsidRPr="00D153F3">
        <w:t xml:space="preserve">according to which </w:t>
      </w:r>
      <w:r w:rsidRPr="00D153F3">
        <w:t xml:space="preserve">the National Congress is currently considering a draft bill setting out regulations on private security services and investigation agencies. It </w:t>
      </w:r>
      <w:r w:rsidR="000A2F97" w:rsidRPr="00D153F3">
        <w:t xml:space="preserve">requests </w:t>
      </w:r>
      <w:r w:rsidRPr="00D153F3">
        <w:t xml:space="preserve">updated information on the content of </w:t>
      </w:r>
      <w:r w:rsidR="000A2F97" w:rsidRPr="00D153F3">
        <w:t xml:space="preserve">the </w:t>
      </w:r>
      <w:r w:rsidRPr="00D153F3">
        <w:t xml:space="preserve">bill, including whether it contemplates State oversight of the activities of </w:t>
      </w:r>
      <w:r w:rsidR="000A2F97" w:rsidRPr="00D153F3">
        <w:t xml:space="preserve">the </w:t>
      </w:r>
      <w:r w:rsidRPr="00D153F3">
        <w:t>companies</w:t>
      </w:r>
      <w:r w:rsidR="000A2F97" w:rsidRPr="00D153F3">
        <w:t xml:space="preserve"> concerned</w:t>
      </w:r>
      <w:r w:rsidRPr="00D153F3">
        <w:t xml:space="preserve">. It also </w:t>
      </w:r>
      <w:r w:rsidR="000A2F97" w:rsidRPr="00D153F3">
        <w:t xml:space="preserve">requests </w:t>
      </w:r>
      <w:r w:rsidRPr="00D153F3">
        <w:t>information on the Private Security Company Oversight Unit</w:t>
      </w:r>
      <w:r w:rsidR="000A2F97" w:rsidRPr="00D153F3">
        <w:t>,</w:t>
      </w:r>
      <w:r w:rsidRPr="00D153F3">
        <w:t xml:space="preserve"> and whether it is provided with </w:t>
      </w:r>
      <w:r w:rsidR="000A2F97" w:rsidRPr="00D153F3">
        <w:t xml:space="preserve">a </w:t>
      </w:r>
      <w:r w:rsidRPr="00D153F3">
        <w:t xml:space="preserve">budget </w:t>
      </w:r>
      <w:r w:rsidR="000A2F97" w:rsidRPr="00D153F3">
        <w:t xml:space="preserve">sufficient </w:t>
      </w:r>
      <w:r w:rsidRPr="00D153F3">
        <w:t>to perform its function.</w:t>
      </w:r>
    </w:p>
    <w:p w14:paraId="5E071E44" w14:textId="1EA5C7BD" w:rsidR="00DC218C" w:rsidRPr="00D153F3" w:rsidRDefault="00DC218C" w:rsidP="006306DC">
      <w:pPr>
        <w:spacing w:after="120" w:line="240" w:lineRule="auto"/>
        <w:ind w:left="1170" w:right="1178"/>
        <w:jc w:val="both"/>
      </w:pPr>
      <w:r w:rsidRPr="00D153F3">
        <w:t xml:space="preserve">The Committee </w:t>
      </w:r>
      <w:r w:rsidR="000A2F97" w:rsidRPr="00D153F3">
        <w:t xml:space="preserve">takes </w:t>
      </w:r>
      <w:r w:rsidRPr="00D153F3">
        <w:t xml:space="preserve">note </w:t>
      </w:r>
      <w:r w:rsidR="000A2F97" w:rsidRPr="00D153F3">
        <w:t xml:space="preserve">of </w:t>
      </w:r>
      <w:r w:rsidRPr="00D153F3">
        <w:t xml:space="preserve">the information provided </w:t>
      </w:r>
      <w:r w:rsidR="000A2F97" w:rsidRPr="00D153F3">
        <w:t xml:space="preserve">according to which </w:t>
      </w:r>
      <w:r w:rsidRPr="00D153F3">
        <w:t xml:space="preserve">the National Congress is currently discussing a bill on a new </w:t>
      </w:r>
      <w:r w:rsidR="000A2F97" w:rsidRPr="00D153F3">
        <w:t>w</w:t>
      </w:r>
      <w:r w:rsidRPr="00D153F3">
        <w:t xml:space="preserve">eapons, </w:t>
      </w:r>
      <w:r w:rsidR="000A2F97" w:rsidRPr="00D153F3">
        <w:t>a</w:t>
      </w:r>
      <w:r w:rsidRPr="00D153F3">
        <w:t xml:space="preserve">mmunition, </w:t>
      </w:r>
      <w:r w:rsidR="000A2F97" w:rsidRPr="00D153F3">
        <w:t>e</w:t>
      </w:r>
      <w:r w:rsidRPr="00D153F3">
        <w:t xml:space="preserve">xplosives and </w:t>
      </w:r>
      <w:r w:rsidR="000A2F97" w:rsidRPr="00D153F3">
        <w:t>r</w:t>
      </w:r>
      <w:r w:rsidRPr="00D153F3">
        <w:t xml:space="preserve">elated </w:t>
      </w:r>
      <w:r w:rsidR="000A2F97" w:rsidRPr="00D153F3">
        <w:t>m</w:t>
      </w:r>
      <w:r w:rsidRPr="00D153F3">
        <w:t xml:space="preserve">aterials </w:t>
      </w:r>
      <w:r w:rsidR="000A2F97" w:rsidRPr="00D153F3">
        <w:t>a</w:t>
      </w:r>
      <w:r w:rsidRPr="00D153F3">
        <w:t>ct</w:t>
      </w:r>
      <w:r w:rsidR="000A2F97" w:rsidRPr="00D153F3">
        <w:t>,</w:t>
      </w:r>
      <w:r w:rsidRPr="00D153F3">
        <w:t xml:space="preserve"> and </w:t>
      </w:r>
      <w:r w:rsidR="000A2F97" w:rsidRPr="00D153F3">
        <w:t xml:space="preserve">requests </w:t>
      </w:r>
      <w:r w:rsidRPr="00D153F3">
        <w:t xml:space="preserve">updated information in this regard. </w:t>
      </w:r>
    </w:p>
    <w:p w14:paraId="544B9B15" w14:textId="6A3B4A30" w:rsidR="00DC218C" w:rsidRPr="00D153F3" w:rsidRDefault="00DC218C" w:rsidP="00DC218C">
      <w:pPr>
        <w:pStyle w:val="H23G"/>
      </w:pPr>
      <w:r w:rsidRPr="00D153F3">
        <w:tab/>
      </w:r>
      <w:r w:rsidRPr="00D153F3">
        <w:tab/>
      </w:r>
      <w:r w:rsidR="00DA2F16">
        <w:t xml:space="preserve">Paragraph 41: </w:t>
      </w:r>
      <w:r w:rsidRPr="00D153F3">
        <w:t>Freedom of expression, freedom of association and violence against human rights defenders.</w:t>
      </w:r>
    </w:p>
    <w:p w14:paraId="75FB9E9B" w14:textId="2975C2A2" w:rsidR="00DC218C" w:rsidRPr="00D153F3" w:rsidRDefault="00DC218C" w:rsidP="006306DC">
      <w:pPr>
        <w:pStyle w:val="SingleTxtG"/>
        <w:rPr>
          <w:b/>
        </w:rPr>
      </w:pPr>
      <w:r w:rsidRPr="00D153F3">
        <w:rPr>
          <w:b/>
        </w:rPr>
        <w:t xml:space="preserve">The State </w:t>
      </w:r>
      <w:r w:rsidR="006941D6">
        <w:rPr>
          <w:b/>
        </w:rPr>
        <w:t>p</w:t>
      </w:r>
      <w:r w:rsidRPr="00D153F3">
        <w:rPr>
          <w:b/>
        </w:rPr>
        <w:t>arty should, as a matter of urgency, take practical steps:</w:t>
      </w:r>
    </w:p>
    <w:p w14:paraId="20D28B10" w14:textId="25B89393" w:rsidR="00DC218C" w:rsidRPr="00D153F3" w:rsidRDefault="000A415B" w:rsidP="00D061D7">
      <w:pPr>
        <w:pStyle w:val="SingleTxtG"/>
        <w:ind w:firstLine="567"/>
        <w:rPr>
          <w:b/>
        </w:rPr>
      </w:pPr>
      <w:r w:rsidRPr="00D153F3">
        <w:rPr>
          <w:b/>
        </w:rPr>
        <w:t>(a)</w:t>
      </w:r>
      <w:r w:rsidR="00DC218C" w:rsidRPr="00D153F3">
        <w:rPr>
          <w:b/>
        </w:rPr>
        <w:tab/>
      </w:r>
      <w:r w:rsidR="00164939" w:rsidRPr="00D153F3">
        <w:rPr>
          <w:b/>
        </w:rPr>
        <w:t>To p</w:t>
      </w:r>
      <w:r w:rsidR="00DC218C" w:rsidRPr="00D153F3">
        <w:rPr>
          <w:b/>
        </w:rPr>
        <w:t>rovide effective protection to, inter ali</w:t>
      </w:r>
      <w:r w:rsidR="000A2F97" w:rsidRPr="00D153F3">
        <w:rPr>
          <w:b/>
        </w:rPr>
        <w:t>a</w:t>
      </w:r>
      <w:r w:rsidR="00DC218C" w:rsidRPr="00D153F3">
        <w:rPr>
          <w:b/>
        </w:rPr>
        <w:t>, human rights defenders, journalists, trade unionists, environmental activists, indigenous persons and lesbian, gay, bisexual, transgender and intersex persons who are subjected to acts of violence and intimidation;</w:t>
      </w:r>
    </w:p>
    <w:p w14:paraId="482DA39A" w14:textId="35023642" w:rsidR="00DC218C" w:rsidRPr="00D153F3" w:rsidRDefault="000A415B" w:rsidP="00D061D7">
      <w:pPr>
        <w:pStyle w:val="SingleTxtG"/>
        <w:ind w:firstLine="567"/>
        <w:rPr>
          <w:b/>
        </w:rPr>
      </w:pPr>
      <w:r w:rsidRPr="00D153F3">
        <w:rPr>
          <w:b/>
        </w:rPr>
        <w:t>(b)</w:t>
      </w:r>
      <w:r w:rsidR="00DC218C" w:rsidRPr="00D153F3">
        <w:rPr>
          <w:b/>
        </w:rPr>
        <w:tab/>
      </w:r>
      <w:r w:rsidR="00164939" w:rsidRPr="00D153F3">
        <w:rPr>
          <w:b/>
        </w:rPr>
        <w:t>To i</w:t>
      </w:r>
      <w:r w:rsidR="00DC218C" w:rsidRPr="00D153F3">
        <w:rPr>
          <w:b/>
        </w:rPr>
        <w:t>ncrease training and education programmes on the importance of freedom of expression, freedom of association and freedom of assembly for law enforcement officers, military personnel, staff of private security companies, judges and prosecutors;</w:t>
      </w:r>
    </w:p>
    <w:p w14:paraId="19EA2D07" w14:textId="30E8633C" w:rsidR="00DC218C" w:rsidRPr="00D153F3" w:rsidRDefault="000A415B" w:rsidP="00D061D7">
      <w:pPr>
        <w:pStyle w:val="SingleTxtG"/>
        <w:ind w:firstLine="567"/>
        <w:rPr>
          <w:b/>
        </w:rPr>
      </w:pPr>
      <w:r w:rsidRPr="00D153F3">
        <w:rPr>
          <w:b/>
        </w:rPr>
        <w:t>(c)</w:t>
      </w:r>
      <w:r w:rsidR="00DC218C" w:rsidRPr="00D153F3">
        <w:rPr>
          <w:b/>
        </w:rPr>
        <w:tab/>
      </w:r>
      <w:r w:rsidR="00164939" w:rsidRPr="00D153F3">
        <w:rPr>
          <w:b/>
        </w:rPr>
        <w:t>To e</w:t>
      </w:r>
      <w:r w:rsidR="00DC218C" w:rsidRPr="00D153F3">
        <w:rPr>
          <w:b/>
        </w:rPr>
        <w:t>nsure that all allegations concerning intimidation, threats and assault are investigated promptly, thoroughly, independently and impartially, that the perpetrators are brought to justice and duly punished in accordance with the gravity of the offence and that victims receive full reparation;</w:t>
      </w:r>
    </w:p>
    <w:p w14:paraId="47CE3677" w14:textId="5E33C5CB" w:rsidR="00DC218C" w:rsidRPr="00D153F3" w:rsidRDefault="000A415B" w:rsidP="00D061D7">
      <w:pPr>
        <w:pStyle w:val="SingleTxtG"/>
        <w:ind w:firstLine="567"/>
        <w:rPr>
          <w:b/>
        </w:rPr>
      </w:pPr>
      <w:r w:rsidRPr="00D153F3">
        <w:rPr>
          <w:b/>
        </w:rPr>
        <w:t>(d)</w:t>
      </w:r>
      <w:r w:rsidR="00DC218C" w:rsidRPr="00D153F3">
        <w:rPr>
          <w:b/>
        </w:rPr>
        <w:tab/>
      </w:r>
      <w:r w:rsidR="00164939" w:rsidRPr="00D153F3">
        <w:rPr>
          <w:b/>
        </w:rPr>
        <w:t>To s</w:t>
      </w:r>
      <w:r w:rsidR="00DC218C" w:rsidRPr="00D153F3">
        <w:rPr>
          <w:b/>
        </w:rPr>
        <w:t>et up a mechanism to ensure that acts of violence and threats against human rights defenders are properly investigated and are not treated as ordinary offences; consider introducing a protocol for the Attorney General’s Office on the investigation of such offences; and extend the jurisdiction of the Unit for the Protection of Human Rights Defenders to include offences committed by private individuals;</w:t>
      </w:r>
    </w:p>
    <w:p w14:paraId="4D0C53AA" w14:textId="0337E427" w:rsidR="00DC218C" w:rsidRPr="00D153F3" w:rsidRDefault="000A415B" w:rsidP="00D061D7">
      <w:pPr>
        <w:pStyle w:val="SingleTxtG"/>
        <w:ind w:firstLine="567"/>
        <w:rPr>
          <w:b/>
        </w:rPr>
      </w:pPr>
      <w:r w:rsidRPr="00D153F3">
        <w:rPr>
          <w:b/>
        </w:rPr>
        <w:t>(e)</w:t>
      </w:r>
      <w:r w:rsidR="00DC218C" w:rsidRPr="00D153F3">
        <w:rPr>
          <w:b/>
        </w:rPr>
        <w:tab/>
      </w:r>
      <w:r w:rsidR="00164939" w:rsidRPr="00D153F3">
        <w:rPr>
          <w:b/>
        </w:rPr>
        <w:t>To c</w:t>
      </w:r>
      <w:r w:rsidR="00DC218C" w:rsidRPr="00D153F3">
        <w:rPr>
          <w:b/>
        </w:rPr>
        <w:t>onsider the decriminalization of defamation and, in any case, the application of the criminal law should only be countenanced in the most serious cases, and imprisonment is never an appropriate penalty;</w:t>
      </w:r>
    </w:p>
    <w:p w14:paraId="6CF271D4" w14:textId="123852C2" w:rsidR="00DC218C" w:rsidRPr="00D153F3" w:rsidRDefault="00DC218C" w:rsidP="00D061D7">
      <w:pPr>
        <w:pStyle w:val="SingleTxtG"/>
        <w:ind w:firstLine="567"/>
        <w:rPr>
          <w:b/>
        </w:rPr>
      </w:pPr>
      <w:r w:rsidRPr="00D153F3">
        <w:rPr>
          <w:b/>
        </w:rPr>
        <w:t>(f)</w:t>
      </w:r>
      <w:r w:rsidRPr="00D153F3">
        <w:rPr>
          <w:b/>
        </w:rPr>
        <w:tab/>
      </w:r>
      <w:r w:rsidR="00164939" w:rsidRPr="00D153F3">
        <w:rPr>
          <w:b/>
        </w:rPr>
        <w:t>To c</w:t>
      </w:r>
      <w:r w:rsidRPr="00D153F3">
        <w:rPr>
          <w:b/>
        </w:rPr>
        <w:t>ollect disaggregated data on assaults and murders among human rights defenders, journalists, trade unionists, environmental activists, indigenous persons and lesbian, gay, bisexual, transgender and intersex persons.</w:t>
      </w:r>
    </w:p>
    <w:p w14:paraId="2C05C063" w14:textId="3342E273" w:rsidR="00DC218C" w:rsidRPr="00D153F3" w:rsidRDefault="00DC218C" w:rsidP="00DC218C">
      <w:pPr>
        <w:pStyle w:val="H23G"/>
      </w:pPr>
      <w:r w:rsidRPr="00D153F3">
        <w:lastRenderedPageBreak/>
        <w:tab/>
      </w:r>
      <w:r w:rsidRPr="00D153F3">
        <w:tab/>
        <w:t xml:space="preserve">Summary of the State party’s reply </w:t>
      </w:r>
    </w:p>
    <w:p w14:paraId="0001F055" w14:textId="1BB3C20A" w:rsidR="00DC218C" w:rsidRPr="00D153F3" w:rsidRDefault="000A415B" w:rsidP="006306DC">
      <w:pPr>
        <w:pStyle w:val="SingleTxtG"/>
        <w:ind w:firstLine="567"/>
      </w:pPr>
      <w:r w:rsidRPr="00D153F3">
        <w:t>(</w:t>
      </w:r>
      <w:r w:rsidR="00DC218C" w:rsidRPr="00D153F3">
        <w:t>a)</w:t>
      </w:r>
      <w:r w:rsidR="00DC218C" w:rsidRPr="00D153F3">
        <w:tab/>
        <w:t>A technical committee held 103 meetings in 2018 on the Act on the Protection of Human Rights Defenders</w:t>
      </w:r>
      <w:r w:rsidR="003B66C0" w:rsidRPr="00D153F3">
        <w:t>.</w:t>
      </w:r>
      <w:r w:rsidR="00DC218C" w:rsidRPr="00D153F3">
        <w:t xml:space="preserve"> Between April 2017 and June 2018, the authorities </w:t>
      </w:r>
      <w:r w:rsidR="00EF0754" w:rsidRPr="00D153F3">
        <w:t>implemented</w:t>
      </w:r>
      <w:r w:rsidR="00DC218C" w:rsidRPr="00D153F3">
        <w:t xml:space="preserve"> 1,242 protective measures agreed between the protection mechanism’s technical committee and the persons affected, </w:t>
      </w:r>
      <w:r w:rsidR="007172E0" w:rsidRPr="00D153F3">
        <w:t xml:space="preserve">and </w:t>
      </w:r>
      <w:r w:rsidR="00DC218C" w:rsidRPr="00D153F3">
        <w:t xml:space="preserve">processed a total of 1,044. There </w:t>
      </w:r>
      <w:r w:rsidR="00DA2F16">
        <w:t>had been</w:t>
      </w:r>
      <w:r w:rsidR="00DA2F16" w:rsidRPr="00D153F3">
        <w:t xml:space="preserve"> </w:t>
      </w:r>
      <w:r w:rsidR="00DC218C" w:rsidRPr="00D153F3">
        <w:t>a decrease in the number of d</w:t>
      </w:r>
      <w:r w:rsidR="006306DC">
        <w:t>eaths of human rights defenders;</w:t>
      </w:r>
      <w:r w:rsidR="00DC218C" w:rsidRPr="00D153F3">
        <w:t xml:space="preserve"> </w:t>
      </w:r>
    </w:p>
    <w:p w14:paraId="656D8CCC" w14:textId="6E953D88" w:rsidR="00DC218C" w:rsidRPr="00D153F3" w:rsidRDefault="000A415B" w:rsidP="006306DC">
      <w:pPr>
        <w:pStyle w:val="SingleTxtG"/>
        <w:ind w:firstLine="567"/>
      </w:pPr>
      <w:r w:rsidRPr="00D153F3">
        <w:t>(b)</w:t>
      </w:r>
      <w:r w:rsidR="00DC218C" w:rsidRPr="00D153F3">
        <w:tab/>
        <w:t>The Public Prosecution Service has trained prosecutors, judges, police personnel and others</w:t>
      </w:r>
      <w:r w:rsidR="006306DC">
        <w:t xml:space="preserve"> through seminars and workshops;</w:t>
      </w:r>
    </w:p>
    <w:p w14:paraId="6565BBB8" w14:textId="6F927D54" w:rsidR="00DC218C" w:rsidRPr="00D153F3" w:rsidRDefault="000A415B" w:rsidP="006306DC">
      <w:pPr>
        <w:pStyle w:val="SingleTxtG"/>
        <w:ind w:firstLine="567"/>
      </w:pPr>
      <w:r w:rsidRPr="00D153F3">
        <w:t>(c)</w:t>
      </w:r>
      <w:r w:rsidR="00DC218C" w:rsidRPr="00D153F3">
        <w:tab/>
        <w:t xml:space="preserve">In 2018, the budget of the Public Prosecution Service </w:t>
      </w:r>
      <w:r w:rsidR="007172E0" w:rsidRPr="00D153F3">
        <w:t>was</w:t>
      </w:r>
      <w:r w:rsidR="00DC218C" w:rsidRPr="00D153F3">
        <w:t xml:space="preserve"> increased by 8</w:t>
      </w:r>
      <w:r w:rsidR="007172E0" w:rsidRPr="00D153F3">
        <w:t xml:space="preserve"> per cent</w:t>
      </w:r>
      <w:r w:rsidR="00DC218C" w:rsidRPr="00D153F3">
        <w:t xml:space="preserve"> </w:t>
      </w:r>
      <w:r w:rsidR="007172E0" w:rsidRPr="00D153F3">
        <w:t xml:space="preserve">over that of </w:t>
      </w:r>
      <w:r w:rsidR="00DC218C" w:rsidRPr="00D153F3">
        <w:t xml:space="preserve">2017. In March 2018, the Office of the Special Prosecutor for the Protection of Human Rights Defenders, Journalists, Social Communicators and Justice Officials was established. It investigates offences committed against </w:t>
      </w:r>
      <w:r w:rsidR="007172E0" w:rsidRPr="00D153F3">
        <w:t>human rights defenders, journalists, social communicators and justice officials</w:t>
      </w:r>
      <w:r w:rsidR="00DC218C" w:rsidRPr="00D153F3">
        <w:t>, including</w:t>
      </w:r>
      <w:r w:rsidR="006306DC">
        <w:t xml:space="preserve"> threats;</w:t>
      </w:r>
    </w:p>
    <w:p w14:paraId="3A1FC875" w14:textId="40AE1C88" w:rsidR="00DC218C" w:rsidRPr="00D153F3" w:rsidRDefault="000A415B" w:rsidP="006306DC">
      <w:pPr>
        <w:pStyle w:val="SingleTxtG"/>
        <w:ind w:firstLine="567"/>
      </w:pPr>
      <w:r w:rsidRPr="00D153F3">
        <w:t>(d)</w:t>
      </w:r>
      <w:r w:rsidR="00DC218C" w:rsidRPr="00D153F3">
        <w:tab/>
        <w:t xml:space="preserve">See the reply to </w:t>
      </w:r>
      <w:r w:rsidR="003471B5" w:rsidRPr="00D153F3">
        <w:t xml:space="preserve">subparagraph </w:t>
      </w:r>
      <w:r w:rsidR="00DC218C" w:rsidRPr="00D153F3">
        <w:t>(c). The Public Prosecution Service has prepared operational handbooks on investigation</w:t>
      </w:r>
      <w:r w:rsidR="003471B5" w:rsidRPr="00D153F3">
        <w:t>s</w:t>
      </w:r>
      <w:r w:rsidR="00DC218C" w:rsidRPr="00D153F3">
        <w:t xml:space="preserve"> </w:t>
      </w:r>
      <w:r w:rsidR="003471B5" w:rsidRPr="00D153F3">
        <w:t xml:space="preserve">into </w:t>
      </w:r>
      <w:r w:rsidR="00DC218C" w:rsidRPr="00D153F3">
        <w:t>offences against freedom of expression and on cri</w:t>
      </w:r>
      <w:r w:rsidR="006306DC">
        <w:t>minal investigation in general;</w:t>
      </w:r>
    </w:p>
    <w:p w14:paraId="7059FC2E" w14:textId="06C07F08" w:rsidR="00DC218C" w:rsidRPr="00D153F3" w:rsidRDefault="000A415B" w:rsidP="006306DC">
      <w:pPr>
        <w:pStyle w:val="SingleTxtG"/>
        <w:ind w:firstLine="567"/>
      </w:pPr>
      <w:r w:rsidRPr="00D153F3">
        <w:t>(e)</w:t>
      </w:r>
      <w:r w:rsidR="00DC218C" w:rsidRPr="00D153F3">
        <w:tab/>
        <w:t>The new Criminal Code, adopted in</w:t>
      </w:r>
      <w:r w:rsidR="003471B5" w:rsidRPr="00D153F3">
        <w:t xml:space="preserve"> </w:t>
      </w:r>
      <w:r w:rsidR="00DC218C" w:rsidRPr="00D153F3">
        <w:t>2018, provides that the penalty for defamation should be limited to a fine and that calumny should carry a prison sentence, which may be commuted</w:t>
      </w:r>
      <w:r w:rsidR="006306DC">
        <w:t xml:space="preserve"> to a fine or community service;</w:t>
      </w:r>
    </w:p>
    <w:p w14:paraId="0BD576B6" w14:textId="0D64FDDE" w:rsidR="00DC218C" w:rsidRPr="00D153F3" w:rsidRDefault="000A415B" w:rsidP="006306DC">
      <w:pPr>
        <w:pStyle w:val="SingleTxtG"/>
        <w:ind w:firstLine="567"/>
      </w:pPr>
      <w:r w:rsidRPr="00D153F3">
        <w:t>(f)</w:t>
      </w:r>
      <w:r w:rsidR="00DC218C" w:rsidRPr="00D153F3">
        <w:tab/>
        <w:t xml:space="preserve">The Public Prosecution Service has a section for </w:t>
      </w:r>
      <w:r w:rsidR="007720BB" w:rsidRPr="00D153F3">
        <w:t>i</w:t>
      </w:r>
      <w:r w:rsidR="00DC218C" w:rsidRPr="00D153F3">
        <w:t>nvestigation</w:t>
      </w:r>
      <w:r w:rsidR="007720BB" w:rsidRPr="00D153F3">
        <w:t>s into</w:t>
      </w:r>
      <w:r w:rsidR="00DC218C" w:rsidRPr="00D153F3">
        <w:t xml:space="preserve"> the </w:t>
      </w:r>
      <w:r w:rsidR="007720BB" w:rsidRPr="00D153F3">
        <w:t>d</w:t>
      </w:r>
      <w:r w:rsidR="00DC218C" w:rsidRPr="00D153F3">
        <w:t xml:space="preserve">eath of </w:t>
      </w:r>
      <w:r w:rsidR="007720BB" w:rsidRPr="00D153F3">
        <w:t>p</w:t>
      </w:r>
      <w:r w:rsidR="00DC218C" w:rsidRPr="00D153F3">
        <w:t xml:space="preserve">ersons </w:t>
      </w:r>
      <w:r w:rsidR="007720BB" w:rsidRPr="00D153F3">
        <w:t>b</w:t>
      </w:r>
      <w:r w:rsidR="00DC218C" w:rsidRPr="00D153F3">
        <w:t xml:space="preserve">elonging to </w:t>
      </w:r>
      <w:r w:rsidR="007720BB" w:rsidRPr="00D153F3">
        <w:t>v</w:t>
      </w:r>
      <w:r w:rsidR="00DC218C" w:rsidRPr="00D153F3">
        <w:t xml:space="preserve">ulnerable </w:t>
      </w:r>
      <w:r w:rsidR="007720BB" w:rsidRPr="00D153F3">
        <w:t>g</w:t>
      </w:r>
      <w:r w:rsidR="00DC218C" w:rsidRPr="00D153F3">
        <w:t xml:space="preserve">roups, which keeps a register of murders, homicides and attempted murders. The State party provided data on complaints regarding deaths of journalists or social communicators and lesbian, gay, bisexual, transgender and intersex </w:t>
      </w:r>
      <w:r w:rsidR="007720BB" w:rsidRPr="00D153F3">
        <w:t xml:space="preserve">persons </w:t>
      </w:r>
      <w:r w:rsidR="00DC218C" w:rsidRPr="00D153F3">
        <w:t xml:space="preserve">as </w:t>
      </w:r>
      <w:r w:rsidR="007720BB" w:rsidRPr="00D153F3">
        <w:t xml:space="preserve">at </w:t>
      </w:r>
      <w:r w:rsidR="00DC218C" w:rsidRPr="00D153F3">
        <w:t>2018. The Public Prosecution Service is working to establish a database that guarantees respect for the gender identity of complainants.</w:t>
      </w:r>
    </w:p>
    <w:p w14:paraId="1737D8DF" w14:textId="4DE10587" w:rsidR="00DC218C" w:rsidRPr="006306DC" w:rsidRDefault="00DC218C" w:rsidP="00DC218C">
      <w:pPr>
        <w:pStyle w:val="H23G"/>
        <w:rPr>
          <w:lang w:val="es-ES"/>
        </w:rPr>
      </w:pPr>
      <w:r w:rsidRPr="00D153F3">
        <w:tab/>
      </w:r>
      <w:r w:rsidRPr="00D153F3">
        <w:tab/>
      </w:r>
      <w:proofErr w:type="spellStart"/>
      <w:r w:rsidRPr="006306DC">
        <w:rPr>
          <w:lang w:val="es-ES"/>
        </w:rPr>
        <w:t>Information</w:t>
      </w:r>
      <w:proofErr w:type="spellEnd"/>
      <w:r w:rsidRPr="006306DC">
        <w:rPr>
          <w:lang w:val="es-ES"/>
        </w:rPr>
        <w:t xml:space="preserve"> </w:t>
      </w:r>
      <w:proofErr w:type="spellStart"/>
      <w:r w:rsidRPr="006306DC">
        <w:rPr>
          <w:lang w:val="es-ES"/>
        </w:rPr>
        <w:t>from</w:t>
      </w:r>
      <w:proofErr w:type="spellEnd"/>
      <w:r w:rsidRPr="006306DC">
        <w:rPr>
          <w:lang w:val="es-ES"/>
        </w:rPr>
        <w:t xml:space="preserve"> non-</w:t>
      </w:r>
      <w:proofErr w:type="spellStart"/>
      <w:r w:rsidRPr="006306DC">
        <w:rPr>
          <w:lang w:val="es-ES"/>
        </w:rPr>
        <w:t>governmental</w:t>
      </w:r>
      <w:proofErr w:type="spellEnd"/>
      <w:r w:rsidRPr="006306DC">
        <w:rPr>
          <w:lang w:val="es-ES"/>
        </w:rPr>
        <w:t xml:space="preserve"> </w:t>
      </w:r>
      <w:proofErr w:type="spellStart"/>
      <w:r w:rsidRPr="006306DC">
        <w:rPr>
          <w:lang w:val="es-ES"/>
        </w:rPr>
        <w:t>organizations</w:t>
      </w:r>
      <w:proofErr w:type="spellEnd"/>
    </w:p>
    <w:p w14:paraId="548791B1" w14:textId="766BEB76" w:rsidR="00DC218C" w:rsidRPr="006306DC" w:rsidRDefault="00DC218C" w:rsidP="00DC218C">
      <w:pPr>
        <w:pStyle w:val="H4G"/>
        <w:rPr>
          <w:lang w:val="es-ES"/>
        </w:rPr>
      </w:pPr>
      <w:r w:rsidRPr="006306DC">
        <w:rPr>
          <w:lang w:val="es-ES"/>
        </w:rPr>
        <w:tab/>
      </w:r>
      <w:r w:rsidRPr="006306DC">
        <w:rPr>
          <w:lang w:val="es-ES"/>
        </w:rPr>
        <w:tab/>
        <w:t>Centro para el Desarrollo y la Cooperación LGTBI</w:t>
      </w:r>
      <w:r w:rsidR="00565DD0" w:rsidRPr="006306DC">
        <w:rPr>
          <w:lang w:val="es-ES"/>
        </w:rPr>
        <w:t xml:space="preserve"> – </w:t>
      </w:r>
      <w:r w:rsidRPr="006306DC">
        <w:rPr>
          <w:lang w:val="es-ES"/>
        </w:rPr>
        <w:t xml:space="preserve">SOMOS CDC </w:t>
      </w:r>
    </w:p>
    <w:p w14:paraId="6FED135B" w14:textId="7906395D" w:rsidR="00DC218C" w:rsidRPr="00D153F3" w:rsidRDefault="000A415B" w:rsidP="006306DC">
      <w:pPr>
        <w:pStyle w:val="SingleTxtG"/>
        <w:ind w:firstLine="567"/>
      </w:pPr>
      <w:r w:rsidRPr="00D153F3">
        <w:t>(</w:t>
      </w:r>
      <w:r w:rsidR="00DC218C" w:rsidRPr="00D153F3">
        <w:t>a)</w:t>
      </w:r>
      <w:r w:rsidR="00DC218C" w:rsidRPr="00D153F3">
        <w:tab/>
      </w:r>
      <w:r w:rsidR="007720BB" w:rsidRPr="00D153F3">
        <w:t xml:space="preserve">As at </w:t>
      </w:r>
      <w:r w:rsidR="00DC218C" w:rsidRPr="00D153F3">
        <w:t xml:space="preserve">May 2019, the institutions established by the Act on the Protection of Human Rights Defenders, Journalists, Social Communicators and Justice Officials had </w:t>
      </w:r>
      <w:r w:rsidR="00785D3C" w:rsidRPr="00D153F3">
        <w:t xml:space="preserve">only </w:t>
      </w:r>
      <w:r w:rsidR="00DC218C" w:rsidRPr="00D153F3">
        <w:t>been implemented</w:t>
      </w:r>
      <w:r w:rsidR="008046B1" w:rsidRPr="00D153F3">
        <w:t xml:space="preserve"> by only 55 per cent</w:t>
      </w:r>
      <w:r w:rsidR="00DC218C" w:rsidRPr="00D153F3">
        <w:t xml:space="preserve">. </w:t>
      </w:r>
      <w:r w:rsidR="007720BB" w:rsidRPr="00D153F3">
        <w:t xml:space="preserve">A total of </w:t>
      </w:r>
      <w:r w:rsidR="00DC218C" w:rsidRPr="00D153F3">
        <w:t xml:space="preserve">109 violent deaths of </w:t>
      </w:r>
      <w:r w:rsidR="007720BB" w:rsidRPr="00D153F3">
        <w:t>l</w:t>
      </w:r>
      <w:r w:rsidR="00DC218C" w:rsidRPr="00D153F3">
        <w:t xml:space="preserve">esbian, </w:t>
      </w:r>
      <w:r w:rsidR="007720BB" w:rsidRPr="00D153F3">
        <w:t>g</w:t>
      </w:r>
      <w:r w:rsidR="00DC218C" w:rsidRPr="00D153F3">
        <w:t xml:space="preserve">ay, </w:t>
      </w:r>
      <w:r w:rsidR="007720BB" w:rsidRPr="00D153F3">
        <w:t>b</w:t>
      </w:r>
      <w:r w:rsidR="00DC218C" w:rsidRPr="00D153F3">
        <w:t>isexual and transsexual</w:t>
      </w:r>
      <w:r w:rsidR="007720BB" w:rsidRPr="00D153F3">
        <w:t xml:space="preserve"> person</w:t>
      </w:r>
      <w:r w:rsidR="00DC218C" w:rsidRPr="00D153F3">
        <w:t xml:space="preserve">s </w:t>
      </w:r>
      <w:r w:rsidR="007720BB" w:rsidRPr="00D153F3">
        <w:t xml:space="preserve">had been reported since </w:t>
      </w:r>
      <w:r w:rsidR="00DC218C" w:rsidRPr="00D153F3">
        <w:t xml:space="preserve">the </w:t>
      </w:r>
      <w:r w:rsidR="007720BB" w:rsidRPr="00D153F3">
        <w:t xml:space="preserve">previous </w:t>
      </w:r>
      <w:r w:rsidR="00DC218C" w:rsidRPr="00D153F3">
        <w:t>report of the Committee (</w:t>
      </w:r>
      <w:r w:rsidR="007720BB" w:rsidRPr="00D153F3">
        <w:t xml:space="preserve">namely, </w:t>
      </w:r>
      <w:r w:rsidR="006306DC">
        <w:t>between 2017 and March 2020);</w:t>
      </w:r>
    </w:p>
    <w:p w14:paraId="750C8503" w14:textId="2C3CBCE9" w:rsidR="00DC218C" w:rsidRPr="00D153F3" w:rsidRDefault="000A415B" w:rsidP="006306DC">
      <w:pPr>
        <w:pStyle w:val="SingleTxtG"/>
        <w:ind w:firstLine="567"/>
      </w:pPr>
      <w:r w:rsidRPr="00D153F3">
        <w:t>(</w:t>
      </w:r>
      <w:r w:rsidR="00DC218C" w:rsidRPr="00D153F3">
        <w:t>b)</w:t>
      </w:r>
      <w:r w:rsidR="00DC218C" w:rsidRPr="00D153F3">
        <w:tab/>
        <w:t xml:space="preserve">The Office of the Special Prosecutor, established in March 2018, has not </w:t>
      </w:r>
      <w:r w:rsidR="007720BB" w:rsidRPr="00D153F3">
        <w:t xml:space="preserve">delivered </w:t>
      </w:r>
      <w:r w:rsidR="00DC218C" w:rsidRPr="00D153F3">
        <w:t xml:space="preserve">the expected results. </w:t>
      </w:r>
      <w:r w:rsidR="007720BB" w:rsidRPr="00D153F3">
        <w:t>As at</w:t>
      </w:r>
      <w:r w:rsidR="00DC218C" w:rsidRPr="00D153F3">
        <w:t xml:space="preserve"> 2019, it </w:t>
      </w:r>
      <w:r w:rsidR="007720BB" w:rsidRPr="00D153F3">
        <w:t xml:space="preserve">had </w:t>
      </w:r>
      <w:r w:rsidR="00DC218C" w:rsidRPr="00D153F3">
        <w:t xml:space="preserve">received 201 complaints, of which only 15 had </w:t>
      </w:r>
      <w:r w:rsidR="007720BB" w:rsidRPr="00D153F3">
        <w:t xml:space="preserve">led to </w:t>
      </w:r>
      <w:r w:rsidR="006306DC">
        <w:t>a conclusion;</w:t>
      </w:r>
    </w:p>
    <w:p w14:paraId="7C57C723" w14:textId="503D04E4" w:rsidR="00DC218C" w:rsidRPr="00D153F3" w:rsidRDefault="000A415B" w:rsidP="006306DC">
      <w:pPr>
        <w:pStyle w:val="SingleTxtG"/>
        <w:ind w:firstLine="567"/>
      </w:pPr>
      <w:r w:rsidRPr="00D153F3">
        <w:t>(</w:t>
      </w:r>
      <w:r w:rsidR="00DC218C" w:rsidRPr="00D153F3">
        <w:t>d)</w:t>
      </w:r>
      <w:r w:rsidR="00DC218C" w:rsidRPr="00D153F3">
        <w:tab/>
        <w:t>There is no special protocol for investigati</w:t>
      </w:r>
      <w:r w:rsidR="007720BB" w:rsidRPr="00D153F3">
        <w:t>ng</w:t>
      </w:r>
      <w:r w:rsidR="00DC218C" w:rsidRPr="00D153F3">
        <w:t xml:space="preserve"> crimes relat</w:t>
      </w:r>
      <w:r w:rsidR="007720BB" w:rsidRPr="00D153F3">
        <w:t>ing</w:t>
      </w:r>
      <w:r w:rsidR="006306DC">
        <w:t xml:space="preserve"> to human rights defenders;</w:t>
      </w:r>
    </w:p>
    <w:p w14:paraId="4E7F7E14" w14:textId="217A2670" w:rsidR="00DC218C" w:rsidRPr="00D153F3" w:rsidRDefault="000A415B" w:rsidP="006306DC">
      <w:pPr>
        <w:pStyle w:val="SingleTxtG"/>
        <w:ind w:firstLine="567"/>
      </w:pPr>
      <w:r w:rsidRPr="00D153F3">
        <w:t>(f)</w:t>
      </w:r>
      <w:r w:rsidR="00DC218C" w:rsidRPr="00D153F3">
        <w:tab/>
      </w:r>
      <w:proofErr w:type="spellStart"/>
      <w:r w:rsidR="00DC218C" w:rsidRPr="00D153F3">
        <w:t>Aci</w:t>
      </w:r>
      <w:proofErr w:type="spellEnd"/>
      <w:r w:rsidR="00DC218C" w:rsidRPr="00D153F3">
        <w:t xml:space="preserve"> </w:t>
      </w:r>
      <w:proofErr w:type="spellStart"/>
      <w:r w:rsidR="00DC218C" w:rsidRPr="00D153F3">
        <w:t>Participa</w:t>
      </w:r>
      <w:proofErr w:type="spellEnd"/>
      <w:r w:rsidR="00DC218C" w:rsidRPr="00D153F3">
        <w:t>, a civil society organization, report</w:t>
      </w:r>
      <w:r w:rsidR="007720BB" w:rsidRPr="00D153F3">
        <w:t>ed</w:t>
      </w:r>
      <w:r w:rsidR="00DC218C" w:rsidRPr="00D153F3">
        <w:t xml:space="preserve"> </w:t>
      </w:r>
      <w:r w:rsidR="00681264" w:rsidRPr="00D153F3">
        <w:t xml:space="preserve">384 </w:t>
      </w:r>
      <w:r w:rsidR="00DC218C" w:rsidRPr="00D153F3">
        <w:t>attacks on human rights defenders in 201</w:t>
      </w:r>
      <w:r w:rsidR="00681264" w:rsidRPr="00D153F3">
        <w:t>8</w:t>
      </w:r>
      <w:r w:rsidR="00DC218C" w:rsidRPr="00D153F3">
        <w:t xml:space="preserve"> and </w:t>
      </w:r>
      <w:r w:rsidR="00681264" w:rsidRPr="00D153F3">
        <w:t xml:space="preserve">499 </w:t>
      </w:r>
      <w:r w:rsidR="00DC218C" w:rsidRPr="00D153F3">
        <w:t>in 201</w:t>
      </w:r>
      <w:r w:rsidR="00681264" w:rsidRPr="00D153F3">
        <w:t>9</w:t>
      </w:r>
      <w:r w:rsidR="00DC218C" w:rsidRPr="00D153F3">
        <w:t>.</w:t>
      </w:r>
    </w:p>
    <w:p w14:paraId="0C14A28E" w14:textId="77777777" w:rsidR="00DC218C" w:rsidRPr="00D153F3" w:rsidRDefault="00DC218C" w:rsidP="00DC218C">
      <w:pPr>
        <w:pStyle w:val="H23G"/>
        <w:ind w:left="1170" w:right="1178" w:firstLine="0"/>
      </w:pPr>
      <w:r w:rsidRPr="00D153F3">
        <w:t>Committee’s evaluation</w:t>
      </w:r>
    </w:p>
    <w:p w14:paraId="2BE0A813" w14:textId="08541C92" w:rsidR="00DA2F16" w:rsidRDefault="00DC218C" w:rsidP="006306DC">
      <w:pPr>
        <w:pStyle w:val="SingleTxtG"/>
      </w:pPr>
      <w:r w:rsidRPr="006306DC">
        <w:t>[</w:t>
      </w:r>
      <w:r w:rsidRPr="00DA2F16">
        <w:rPr>
          <w:b/>
        </w:rPr>
        <w:t>B</w:t>
      </w:r>
      <w:r w:rsidRPr="006306DC">
        <w:t>]</w:t>
      </w:r>
      <w:r w:rsidR="00314FF8" w:rsidRPr="006306DC">
        <w:t>:</w:t>
      </w:r>
      <w:r w:rsidR="00021D56" w:rsidRPr="00D153F3">
        <w:t xml:space="preserve"> </w:t>
      </w:r>
      <w:r w:rsidR="00C134BF" w:rsidRPr="00D153F3">
        <w:t>(a)</w:t>
      </w:r>
      <w:r w:rsidR="00200FBE" w:rsidRPr="00D153F3">
        <w:t>, (d)</w:t>
      </w:r>
      <w:r w:rsidR="00C134BF" w:rsidRPr="00D153F3">
        <w:t xml:space="preserve"> and (f) </w:t>
      </w:r>
    </w:p>
    <w:p w14:paraId="0EACDA89" w14:textId="343D39D6" w:rsidR="00DC218C" w:rsidRPr="00D153F3" w:rsidRDefault="00DC218C" w:rsidP="006306DC">
      <w:pPr>
        <w:pStyle w:val="SingleTxtG"/>
      </w:pPr>
      <w:r w:rsidRPr="00D153F3">
        <w:t xml:space="preserve">The Committee welcomes the meetings held by the technical committee as part of the efforts to implement the Act on the Protection of Human Rights Defenders, Journalists, Social Communicators and Justice Officials, and notes the decrease in the number of deaths of human rights defenders. It </w:t>
      </w:r>
      <w:r w:rsidR="00681264" w:rsidRPr="00D153F3">
        <w:t xml:space="preserve">requests </w:t>
      </w:r>
      <w:r w:rsidRPr="00D153F3">
        <w:t>information on measures taken to (</w:t>
      </w:r>
      <w:r w:rsidR="00681264" w:rsidRPr="00D153F3">
        <w:t>a</w:t>
      </w:r>
      <w:r w:rsidRPr="00D153F3">
        <w:t xml:space="preserve">) </w:t>
      </w:r>
      <w:r w:rsidR="00681264" w:rsidRPr="00D153F3">
        <w:t xml:space="preserve">implement </w:t>
      </w:r>
      <w:r w:rsidRPr="00D153F3">
        <w:t>further the Defenders Act, including through the establishment of necessary institutions; and (</w:t>
      </w:r>
      <w:r w:rsidR="00681264" w:rsidRPr="00D153F3">
        <w:t>b</w:t>
      </w:r>
      <w:r w:rsidRPr="00D153F3">
        <w:t xml:space="preserve">) </w:t>
      </w:r>
      <w:r w:rsidR="00681264" w:rsidRPr="00D153F3">
        <w:t xml:space="preserve">offer </w:t>
      </w:r>
      <w:r w:rsidRPr="00D153F3">
        <w:t>further protect</w:t>
      </w:r>
      <w:r w:rsidR="00681264" w:rsidRPr="00D153F3">
        <w:t>ion to</w:t>
      </w:r>
      <w:r w:rsidRPr="00D153F3">
        <w:t xml:space="preserve"> human rights defenders, journalists, trade unionists, environmental activists, indigenous persons and lesbian, gay, bisexual, transgender and intersex persons who are subjected to acts of violence and intimidation. </w:t>
      </w:r>
    </w:p>
    <w:p w14:paraId="459D4C62" w14:textId="76FF20B4" w:rsidR="00200FBE" w:rsidRPr="00D153F3" w:rsidRDefault="00200FBE" w:rsidP="006306DC">
      <w:pPr>
        <w:pStyle w:val="SingleTxtG"/>
      </w:pPr>
      <w:r w:rsidRPr="00D153F3">
        <w:lastRenderedPageBreak/>
        <w:t xml:space="preserve">The Committee welcomes the establishment of the Office of the Special Prosecutor for the Protection of Human Rights Defenders, Journalists, Social Communicators and Justice Officials in March 2018 and the increase in the budget allocated to the Public Prosecution Service. It requests, however, information on the measures taken by the Office of the Special Prosecutor, including information regarding the number of cases investigated and of prosecutions, convictions and sentences imposed. </w:t>
      </w:r>
    </w:p>
    <w:p w14:paraId="3F477C3E" w14:textId="6951ED29" w:rsidR="00DA2F16" w:rsidRPr="00D153F3" w:rsidRDefault="00EA00A9" w:rsidP="006306DC">
      <w:pPr>
        <w:pStyle w:val="SingleTxtG"/>
        <w:rPr>
          <w:b/>
        </w:rPr>
      </w:pPr>
      <w:r w:rsidRPr="00D153F3">
        <w:t xml:space="preserve">The Committee takes note of the data on assaults against and the murder of human rights defenders, journalists, trade unionists, environmental activists, indigenous persons and lesbian, gay, bisexual, transgender and intersex persons. It requests updated information on the establishment of a database by the Public Prosecution Service that guarantees respect for the gender identity of complainants from the moment their complaint is submitted. </w:t>
      </w:r>
    </w:p>
    <w:p w14:paraId="6B6CFFED" w14:textId="07043230" w:rsidR="00DA2F16" w:rsidRDefault="00DC218C" w:rsidP="006306DC">
      <w:pPr>
        <w:pStyle w:val="SingleTxtG"/>
      </w:pPr>
      <w:r w:rsidRPr="006306DC">
        <w:t>[</w:t>
      </w:r>
      <w:r w:rsidRPr="00DA2F16">
        <w:rPr>
          <w:b/>
        </w:rPr>
        <w:t>C</w:t>
      </w:r>
      <w:r w:rsidRPr="006306DC">
        <w:t>]</w:t>
      </w:r>
      <w:r w:rsidR="00314FF8" w:rsidRPr="006306DC">
        <w:t>:</w:t>
      </w:r>
      <w:r w:rsidR="00021D56" w:rsidRPr="00D153F3">
        <w:t xml:space="preserve"> </w:t>
      </w:r>
      <w:r w:rsidR="00C134BF" w:rsidRPr="00D153F3">
        <w:t>(b),</w:t>
      </w:r>
      <w:r w:rsidR="00681264" w:rsidRPr="00D153F3">
        <w:t xml:space="preserve"> </w:t>
      </w:r>
      <w:r w:rsidR="00C134BF" w:rsidRPr="00D153F3">
        <w:t>(c)</w:t>
      </w:r>
      <w:r w:rsidR="00EA00A9" w:rsidRPr="00D153F3">
        <w:t xml:space="preserve"> </w:t>
      </w:r>
      <w:r w:rsidR="00C134BF" w:rsidRPr="00D153F3">
        <w:t>and (e)</w:t>
      </w:r>
      <w:r w:rsidRPr="00D153F3">
        <w:t xml:space="preserve"> </w:t>
      </w:r>
    </w:p>
    <w:p w14:paraId="2DD8D875" w14:textId="649CB8DE" w:rsidR="00DC218C" w:rsidRPr="00D153F3" w:rsidRDefault="00DC218C" w:rsidP="006306DC">
      <w:pPr>
        <w:pStyle w:val="SingleTxtG"/>
      </w:pPr>
      <w:r w:rsidRPr="00D153F3">
        <w:t xml:space="preserve">The Committee </w:t>
      </w:r>
      <w:r w:rsidR="00681264" w:rsidRPr="00D153F3">
        <w:t xml:space="preserve">takes </w:t>
      </w:r>
      <w:r w:rsidRPr="00D153F3">
        <w:t xml:space="preserve">note </w:t>
      </w:r>
      <w:r w:rsidR="00681264" w:rsidRPr="00D153F3">
        <w:t xml:space="preserve">of </w:t>
      </w:r>
      <w:r w:rsidRPr="00D153F3">
        <w:t xml:space="preserve">the information provided by the State, however it </w:t>
      </w:r>
      <w:r w:rsidR="00681264" w:rsidRPr="00D153F3">
        <w:t xml:space="preserve">requests </w:t>
      </w:r>
      <w:r w:rsidRPr="00D153F3">
        <w:t xml:space="preserve">precise information on training and education programmes conducted </w:t>
      </w:r>
      <w:r w:rsidR="00681264" w:rsidRPr="00D153F3">
        <w:t xml:space="preserve">since </w:t>
      </w:r>
      <w:r w:rsidRPr="00D153F3">
        <w:t xml:space="preserve">the adoption </w:t>
      </w:r>
      <w:r w:rsidR="00681264" w:rsidRPr="00D153F3">
        <w:t xml:space="preserve">by </w:t>
      </w:r>
      <w:r w:rsidRPr="00D153F3">
        <w:t xml:space="preserve">the Committee </w:t>
      </w:r>
      <w:r w:rsidR="00681264" w:rsidRPr="00D153F3">
        <w:t xml:space="preserve">of its </w:t>
      </w:r>
      <w:r w:rsidRPr="00D153F3">
        <w:t xml:space="preserve">concluding observations. It reiterates its recommendations. </w:t>
      </w:r>
    </w:p>
    <w:p w14:paraId="33051AB3" w14:textId="7E7237E9" w:rsidR="00DC218C" w:rsidRPr="00D153F3" w:rsidRDefault="00DC218C" w:rsidP="006306DC">
      <w:pPr>
        <w:pStyle w:val="SingleTxtG"/>
      </w:pPr>
      <w:r w:rsidRPr="00D153F3">
        <w:t xml:space="preserve">The Committee </w:t>
      </w:r>
      <w:r w:rsidR="00681264" w:rsidRPr="00D153F3">
        <w:t xml:space="preserve">points out that </w:t>
      </w:r>
      <w:r w:rsidRPr="00D153F3">
        <w:t xml:space="preserve">it is unclear </w:t>
      </w:r>
      <w:r w:rsidR="00681264" w:rsidRPr="00D153F3">
        <w:t xml:space="preserve">whether </w:t>
      </w:r>
      <w:r w:rsidRPr="00D153F3">
        <w:t xml:space="preserve">the Public Prosecution Service </w:t>
      </w:r>
      <w:r w:rsidR="00681264" w:rsidRPr="00D153F3">
        <w:t xml:space="preserve">handbooks </w:t>
      </w:r>
      <w:r w:rsidRPr="00D153F3">
        <w:t xml:space="preserve">were </w:t>
      </w:r>
      <w:r w:rsidR="00681264" w:rsidRPr="00D153F3">
        <w:t xml:space="preserve">published </w:t>
      </w:r>
      <w:r w:rsidRPr="00D153F3">
        <w:t xml:space="preserve">after the adoption </w:t>
      </w:r>
      <w:r w:rsidR="00681264" w:rsidRPr="00D153F3">
        <w:t xml:space="preserve">by </w:t>
      </w:r>
      <w:r w:rsidRPr="00D153F3">
        <w:t xml:space="preserve">the Committee </w:t>
      </w:r>
      <w:r w:rsidR="00681264" w:rsidRPr="00D153F3">
        <w:t xml:space="preserve">of its </w:t>
      </w:r>
      <w:r w:rsidRPr="00D153F3">
        <w:t>concluding observations</w:t>
      </w:r>
      <w:r w:rsidR="00681264" w:rsidRPr="00D153F3">
        <w:t>,</w:t>
      </w:r>
      <w:r w:rsidRPr="00D153F3">
        <w:t xml:space="preserve"> and </w:t>
      </w:r>
      <w:r w:rsidR="00681264" w:rsidRPr="00D153F3">
        <w:t xml:space="preserve">therefore </w:t>
      </w:r>
      <w:r w:rsidRPr="00D153F3">
        <w:t xml:space="preserve">requests information in that regard. It also requests </w:t>
      </w:r>
      <w:r w:rsidR="00681264" w:rsidRPr="00D153F3">
        <w:t xml:space="preserve">information about </w:t>
      </w:r>
      <w:r w:rsidRPr="00D153F3">
        <w:t>measures taken to (</w:t>
      </w:r>
      <w:proofErr w:type="spellStart"/>
      <w:r w:rsidRPr="00D153F3">
        <w:t>i</w:t>
      </w:r>
      <w:proofErr w:type="spellEnd"/>
      <w:r w:rsidRPr="00D153F3">
        <w:t>) ensure that acts of violence and threats against human rights defenders are properly investigated and are not treated as ordinary offences; and (ii) to extend the jurisdiction of the Unit for the Protection of Human Rights Defenders to include offences committed by private individuals.</w:t>
      </w:r>
    </w:p>
    <w:p w14:paraId="65DE08FC" w14:textId="7ED7E3F8" w:rsidR="00DC218C" w:rsidRPr="00D153F3" w:rsidRDefault="00DC218C" w:rsidP="006306DC">
      <w:pPr>
        <w:pStyle w:val="SingleTxtG"/>
      </w:pPr>
      <w:r w:rsidRPr="00D153F3">
        <w:t>The Committee regrets the lack of measures taken to decriminalize defamation and/or to ensure that criminal law should only be countenanced in the most serious cases. It reiterates its recommendation.</w:t>
      </w:r>
    </w:p>
    <w:p w14:paraId="120BA216" w14:textId="3436515C" w:rsidR="00DC218C" w:rsidRPr="00D153F3" w:rsidRDefault="00DC218C" w:rsidP="00DC218C">
      <w:pPr>
        <w:pStyle w:val="H23G"/>
      </w:pPr>
      <w:r w:rsidRPr="00D153F3">
        <w:tab/>
      </w:r>
      <w:r w:rsidRPr="00D153F3">
        <w:tab/>
      </w:r>
      <w:r w:rsidR="00DA2F16">
        <w:t xml:space="preserve">Paragraph 47: </w:t>
      </w:r>
      <w:r w:rsidRPr="00D153F3">
        <w:t>Rights of persons belonging to minorities</w:t>
      </w:r>
    </w:p>
    <w:p w14:paraId="6355E71A" w14:textId="14BD115B" w:rsidR="00DC218C" w:rsidRPr="00D153F3" w:rsidRDefault="00DC218C" w:rsidP="006306DC">
      <w:pPr>
        <w:pStyle w:val="SingleTxtG"/>
        <w:rPr>
          <w:b/>
        </w:rPr>
      </w:pPr>
      <w:r w:rsidRPr="00D153F3">
        <w:rPr>
          <w:b/>
        </w:rPr>
        <w:t xml:space="preserve">The State party should expedite the passage of national legislation under which consultations must be held with indigenous and Afro-Honduran peoples with a view to obtaining their free and informed consent prior to the adoption and application of any measure that may have a substantial impact on their way of life and culture, and ensure that the law is fully in keeping with the Covenant and other relevant international standards. In addition, the State party should provide effective protection for indigenous peoples against all acts of violence and ensure that they can fully enjoy their rights, including land rights. In this connection, the State party should strengthen the capacity of the Office of the Special Prosecutor for Ethnic Groups and provide training on indigenous rights to law enforcement officers, military personnel, staff of private security companies, judges and prosecutors. The State party should provide full reparation for the communities of Punta Piedra and </w:t>
      </w:r>
      <w:proofErr w:type="spellStart"/>
      <w:r w:rsidRPr="00D153F3">
        <w:rPr>
          <w:b/>
        </w:rPr>
        <w:t>Triunfo</w:t>
      </w:r>
      <w:proofErr w:type="spellEnd"/>
      <w:r w:rsidRPr="00D153F3">
        <w:rPr>
          <w:b/>
        </w:rPr>
        <w:t xml:space="preserve"> de la Cruz.</w:t>
      </w:r>
    </w:p>
    <w:p w14:paraId="718FCABA" w14:textId="371DAD6E" w:rsidR="00DC218C" w:rsidRPr="00D153F3" w:rsidRDefault="00DC218C" w:rsidP="00DC218C">
      <w:pPr>
        <w:pStyle w:val="H23G"/>
      </w:pPr>
      <w:r w:rsidRPr="00D153F3">
        <w:tab/>
      </w:r>
      <w:r w:rsidRPr="00D153F3">
        <w:tab/>
        <w:t xml:space="preserve">Summary of the State party’s reply </w:t>
      </w:r>
    </w:p>
    <w:p w14:paraId="34612C32" w14:textId="4715A1CD" w:rsidR="00DC218C" w:rsidRPr="00D153F3" w:rsidRDefault="00DC218C" w:rsidP="006306DC">
      <w:pPr>
        <w:pStyle w:val="SingleTxtG"/>
      </w:pPr>
      <w:r w:rsidRPr="00D153F3">
        <w:t xml:space="preserve">In May 2018, the Office of the President submitted a draft decree on the law on free, prior and informed consultation to the National Congress for discussion and approval. The National Congress made comments on the </w:t>
      </w:r>
      <w:r w:rsidR="0001136C" w:rsidRPr="00D153F3">
        <w:t>b</w:t>
      </w:r>
      <w:r w:rsidRPr="00D153F3">
        <w:t xml:space="preserve">ill. </w:t>
      </w:r>
    </w:p>
    <w:p w14:paraId="0EE93FED" w14:textId="23ED1F6C" w:rsidR="00DC218C" w:rsidRPr="00D153F3" w:rsidRDefault="00DC218C" w:rsidP="006306DC">
      <w:pPr>
        <w:pStyle w:val="SingleTxtG"/>
      </w:pPr>
      <w:r w:rsidRPr="00D153F3">
        <w:t xml:space="preserve">Regarding the protection of indigenous and Afro-Honduran peoples, the Public Prosecution Service has brought criminal charges against public officials who have violated the right to prior consultation of indigenous and Afro-Honduran peoples. Eleven complaints were received in the 2017–2018 period. </w:t>
      </w:r>
    </w:p>
    <w:p w14:paraId="25461EB2" w14:textId="5ADB45EE" w:rsidR="00DC218C" w:rsidRPr="00D153F3" w:rsidRDefault="00DC218C" w:rsidP="006306DC">
      <w:pPr>
        <w:pStyle w:val="SingleTxtG"/>
      </w:pPr>
      <w:r w:rsidRPr="00D153F3">
        <w:t>The State party referred to training carried out on the I</w:t>
      </w:r>
      <w:r w:rsidR="00872EB3" w:rsidRPr="00D153F3">
        <w:t xml:space="preserve">nternational </w:t>
      </w:r>
      <w:r w:rsidRPr="00D153F3">
        <w:t>L</w:t>
      </w:r>
      <w:r w:rsidR="00872EB3" w:rsidRPr="00D153F3">
        <w:t xml:space="preserve">abour </w:t>
      </w:r>
      <w:r w:rsidRPr="00D153F3">
        <w:t>O</w:t>
      </w:r>
      <w:r w:rsidR="00872EB3" w:rsidRPr="00D153F3">
        <w:t>rganization</w:t>
      </w:r>
      <w:r w:rsidRPr="00D153F3">
        <w:t xml:space="preserve"> </w:t>
      </w:r>
      <w:r w:rsidR="00872EB3" w:rsidRPr="00D153F3">
        <w:t xml:space="preserve">(ILO) </w:t>
      </w:r>
      <w:r w:rsidRPr="00D153F3">
        <w:t xml:space="preserve">Indigenous and Tribal Peoples Convention, 1989 (No. 169) for 50 representatives of institutions and local authorities in the Department of La Paz in 2017 and for members of the armed forces in the Department of Gracias a Dios in 2018. </w:t>
      </w:r>
    </w:p>
    <w:p w14:paraId="0E1463F7" w14:textId="791BDF57" w:rsidR="00DC218C" w:rsidRPr="00D153F3" w:rsidRDefault="00DC218C" w:rsidP="006306DC">
      <w:pPr>
        <w:pStyle w:val="SingleTxtG"/>
      </w:pPr>
      <w:r w:rsidRPr="00D153F3">
        <w:t xml:space="preserve">Regarding </w:t>
      </w:r>
      <w:r w:rsidRPr="00D153F3">
        <w:rPr>
          <w:bCs/>
        </w:rPr>
        <w:t xml:space="preserve">reparation for the communities of Punta Piedra and </w:t>
      </w:r>
      <w:proofErr w:type="spellStart"/>
      <w:r w:rsidRPr="00D153F3">
        <w:rPr>
          <w:bCs/>
        </w:rPr>
        <w:t>Triunfo</w:t>
      </w:r>
      <w:proofErr w:type="spellEnd"/>
      <w:r w:rsidRPr="00D153F3">
        <w:rPr>
          <w:bCs/>
        </w:rPr>
        <w:t xml:space="preserve"> de la Cruz, </w:t>
      </w:r>
      <w:r w:rsidRPr="00D153F3">
        <w:t xml:space="preserve">in December 2017 the Inter-Agency Commission on the Enforcement of International Judgments prepared a new workplan </w:t>
      </w:r>
      <w:r w:rsidR="00872EB3" w:rsidRPr="00D153F3">
        <w:t xml:space="preserve">that </w:t>
      </w:r>
      <w:r w:rsidRPr="00D153F3">
        <w:t xml:space="preserve">was submitted to the Inter-American Court of </w:t>
      </w:r>
      <w:r w:rsidRPr="00D153F3">
        <w:lastRenderedPageBreak/>
        <w:t xml:space="preserve">Human Rights and, in turn, passed on to the community. The State party listed a number of reparation measures already implemented. </w:t>
      </w:r>
    </w:p>
    <w:p w14:paraId="3F4BB147" w14:textId="7B85F21D" w:rsidR="00DC218C" w:rsidRPr="00D153F3" w:rsidRDefault="00DC218C" w:rsidP="006306DC">
      <w:pPr>
        <w:pStyle w:val="SingleTxtG"/>
      </w:pPr>
      <w:r w:rsidRPr="00D153F3">
        <w:t>All activities carried out without prior consultation under the Punta Piedra II project have now ceased. This decision was made known to the community in May 2017.</w:t>
      </w:r>
    </w:p>
    <w:p w14:paraId="55DCD39F" w14:textId="5F6B603F" w:rsidR="00DC218C" w:rsidRPr="00D153F3" w:rsidRDefault="00DC218C" w:rsidP="00DC218C">
      <w:pPr>
        <w:pStyle w:val="H23G"/>
      </w:pPr>
      <w:r w:rsidRPr="00D153F3">
        <w:tab/>
      </w:r>
      <w:r w:rsidRPr="00D153F3">
        <w:tab/>
        <w:t>Committee’s evaluation</w:t>
      </w:r>
    </w:p>
    <w:p w14:paraId="13AF6B02" w14:textId="0CFA8D3D" w:rsidR="00DC218C" w:rsidRPr="00D153F3" w:rsidRDefault="00DC218C" w:rsidP="006306DC">
      <w:pPr>
        <w:pStyle w:val="SingleTxtG"/>
      </w:pPr>
      <w:r w:rsidRPr="006306DC">
        <w:rPr>
          <w:bCs/>
        </w:rPr>
        <w:t>[</w:t>
      </w:r>
      <w:r w:rsidRPr="00DA2F16">
        <w:rPr>
          <w:b/>
          <w:bCs/>
        </w:rPr>
        <w:t>B</w:t>
      </w:r>
      <w:r w:rsidRPr="006306DC">
        <w:rPr>
          <w:bCs/>
        </w:rPr>
        <w:t>]:</w:t>
      </w:r>
      <w:r w:rsidR="00065EFF" w:rsidRPr="006306DC">
        <w:rPr>
          <w:bCs/>
        </w:rPr>
        <w:tab/>
      </w:r>
      <w:r w:rsidRPr="00D153F3">
        <w:t>The Committee notes that</w:t>
      </w:r>
      <w:r w:rsidR="00872EB3" w:rsidRPr="00D153F3">
        <w:t>,</w:t>
      </w:r>
      <w:r w:rsidRPr="00D153F3">
        <w:t xml:space="preserve"> in May 2018, a draft decree on the law on free, prior and informed consultation was submitted to the National Congress for discussion and approval. It </w:t>
      </w:r>
      <w:r w:rsidR="00872EB3" w:rsidRPr="00D153F3">
        <w:t xml:space="preserve">requests </w:t>
      </w:r>
      <w:r w:rsidRPr="00D153F3">
        <w:t xml:space="preserve">updated information on the process for adoption of </w:t>
      </w:r>
      <w:r w:rsidR="00872EB3" w:rsidRPr="00D153F3">
        <w:t>that b</w:t>
      </w:r>
      <w:r w:rsidRPr="00D153F3">
        <w:t xml:space="preserve">ill and whether it complies with the Covenant and other relevant international standards. </w:t>
      </w:r>
    </w:p>
    <w:p w14:paraId="4BA8E2F3" w14:textId="126AEA87" w:rsidR="00DC218C" w:rsidRPr="00D153F3" w:rsidRDefault="00DC218C" w:rsidP="006306DC">
      <w:pPr>
        <w:pStyle w:val="SingleTxtG"/>
        <w:rPr>
          <w:b/>
        </w:rPr>
      </w:pPr>
      <w:r w:rsidRPr="00D153F3">
        <w:t xml:space="preserve">The Committee </w:t>
      </w:r>
      <w:r w:rsidR="00872EB3" w:rsidRPr="00D153F3">
        <w:t xml:space="preserve">takes </w:t>
      </w:r>
      <w:r w:rsidRPr="00D153F3">
        <w:t>note</w:t>
      </w:r>
      <w:r w:rsidR="00872EB3" w:rsidRPr="00D153F3">
        <w:t xml:space="preserve"> of</w:t>
      </w:r>
      <w:r w:rsidRPr="00D153F3">
        <w:t xml:space="preserve"> the information on measures taken to protect indigenous peoples. It </w:t>
      </w:r>
      <w:r w:rsidR="00872EB3" w:rsidRPr="00D153F3">
        <w:t xml:space="preserve">requests </w:t>
      </w:r>
      <w:r w:rsidRPr="00D153F3">
        <w:t xml:space="preserve">additional information on measures taken by the Public Prosecution Service </w:t>
      </w:r>
      <w:r w:rsidR="00872EB3" w:rsidRPr="00D153F3">
        <w:t xml:space="preserve">since </w:t>
      </w:r>
      <w:r w:rsidRPr="00D153F3">
        <w:t xml:space="preserve">the adoption </w:t>
      </w:r>
      <w:r w:rsidR="00872EB3" w:rsidRPr="00D153F3">
        <w:t xml:space="preserve">by </w:t>
      </w:r>
      <w:r w:rsidRPr="00D153F3">
        <w:t>the Committee</w:t>
      </w:r>
      <w:r w:rsidR="00872EB3" w:rsidRPr="00D153F3">
        <w:t xml:space="preserve"> of it</w:t>
      </w:r>
      <w:r w:rsidRPr="00D153F3">
        <w:t xml:space="preserve">s concluding observations, and updated information on the complaints received in 2017 and 2018, including the number of cases brought to trial. </w:t>
      </w:r>
    </w:p>
    <w:p w14:paraId="29175919" w14:textId="344F9751" w:rsidR="00DC218C" w:rsidRPr="00D153F3" w:rsidRDefault="00DC218C" w:rsidP="006306DC">
      <w:pPr>
        <w:pStyle w:val="SingleTxtG"/>
        <w:rPr>
          <w:b/>
          <w:bCs/>
        </w:rPr>
      </w:pPr>
      <w:r w:rsidRPr="00D153F3">
        <w:t>The Committee welcomes the information on the training carried out. It</w:t>
      </w:r>
      <w:r w:rsidR="001C6FAD" w:rsidRPr="00D153F3">
        <w:t xml:space="preserve"> requests </w:t>
      </w:r>
      <w:r w:rsidRPr="00D153F3">
        <w:t xml:space="preserve">updated information on the frequency and impact of such training and on measures taken to </w:t>
      </w:r>
      <w:r w:rsidRPr="00D153F3">
        <w:rPr>
          <w:bCs/>
        </w:rPr>
        <w:t xml:space="preserve">strengthen the capacity of the Office of the Special Prosecutor for Ethnic Groups. </w:t>
      </w:r>
    </w:p>
    <w:p w14:paraId="7FC1DF3B" w14:textId="6C6CCE4C" w:rsidR="00DC218C" w:rsidRPr="00D153F3" w:rsidRDefault="00DC218C" w:rsidP="006306DC">
      <w:pPr>
        <w:pStyle w:val="SingleTxtG"/>
      </w:pPr>
      <w:r w:rsidRPr="00D153F3">
        <w:t xml:space="preserve">The Committee </w:t>
      </w:r>
      <w:r w:rsidR="00872EB3" w:rsidRPr="00D153F3">
        <w:t xml:space="preserve">takes </w:t>
      </w:r>
      <w:r w:rsidRPr="00D153F3">
        <w:t xml:space="preserve">note </w:t>
      </w:r>
      <w:r w:rsidR="00872EB3" w:rsidRPr="00D153F3">
        <w:t xml:space="preserve">of </w:t>
      </w:r>
      <w:r w:rsidRPr="00D153F3">
        <w:t xml:space="preserve">the information provided on the implementation of the </w:t>
      </w:r>
      <w:r w:rsidR="00872EB3" w:rsidRPr="00D153F3">
        <w:t xml:space="preserve">judgment of the </w:t>
      </w:r>
      <w:r w:rsidRPr="00D153F3">
        <w:t xml:space="preserve">Inter-American Court of Human Rights concerning the </w:t>
      </w:r>
      <w:r w:rsidR="00872EB3" w:rsidRPr="00D153F3">
        <w:t>c</w:t>
      </w:r>
      <w:r w:rsidRPr="00D153F3">
        <w:t xml:space="preserve">ommunities of Punta Piedra and </w:t>
      </w:r>
      <w:proofErr w:type="spellStart"/>
      <w:r w:rsidRPr="00D153F3">
        <w:t>Triunfo</w:t>
      </w:r>
      <w:proofErr w:type="spellEnd"/>
      <w:r w:rsidRPr="00D153F3">
        <w:t xml:space="preserve"> de la Cruz. It </w:t>
      </w:r>
      <w:r w:rsidR="00872EB3" w:rsidRPr="00D153F3">
        <w:t xml:space="preserve">requests </w:t>
      </w:r>
      <w:r w:rsidRPr="00D153F3">
        <w:t>updated information on whether the State party has provided full reparation for th</w:t>
      </w:r>
      <w:r w:rsidR="00872EB3" w:rsidRPr="00D153F3">
        <w:t>os</w:t>
      </w:r>
      <w:r w:rsidRPr="00D153F3">
        <w:t xml:space="preserve">e </w:t>
      </w:r>
      <w:r w:rsidR="00872EB3" w:rsidRPr="00D153F3">
        <w:t>c</w:t>
      </w:r>
      <w:r w:rsidRPr="00D153F3">
        <w:t>ommunities</w:t>
      </w:r>
      <w:r w:rsidR="00ED292D" w:rsidRPr="00D153F3">
        <w:t xml:space="preserve"> </w:t>
      </w:r>
      <w:r w:rsidR="00074380" w:rsidRPr="00D153F3">
        <w:t xml:space="preserve">and how many </w:t>
      </w:r>
      <w:r w:rsidR="008046B1" w:rsidRPr="00D153F3">
        <w:t>people</w:t>
      </w:r>
      <w:r w:rsidR="00074380" w:rsidRPr="00D153F3">
        <w:t xml:space="preserve"> were covered by such measures</w:t>
      </w:r>
      <w:r w:rsidRPr="00D153F3">
        <w:rPr>
          <w:bCs/>
        </w:rPr>
        <w:t>.</w:t>
      </w:r>
    </w:p>
    <w:p w14:paraId="4B9DE1C1" w14:textId="525869DD" w:rsidR="00DC218C" w:rsidRPr="00D153F3" w:rsidRDefault="00DC218C" w:rsidP="00DC218C">
      <w:pPr>
        <w:pStyle w:val="SingleTxtG"/>
      </w:pPr>
      <w:r w:rsidRPr="00D153F3">
        <w:rPr>
          <w:b/>
        </w:rPr>
        <w:t>Recommended action:</w:t>
      </w:r>
      <w:r w:rsidRPr="00D153F3">
        <w:t xml:space="preserve"> A letter should be </w:t>
      </w:r>
      <w:r w:rsidR="00DA2F16">
        <w:t>sent</w:t>
      </w:r>
      <w:r w:rsidR="00DA2F16" w:rsidRPr="00D153F3">
        <w:t xml:space="preserve"> </w:t>
      </w:r>
      <w:r w:rsidR="00021D56" w:rsidRPr="00D153F3">
        <w:t xml:space="preserve">to </w:t>
      </w:r>
      <w:r w:rsidRPr="00D153F3">
        <w:t xml:space="preserve">the State party </w:t>
      </w:r>
      <w:r w:rsidR="00021D56" w:rsidRPr="00D153F3">
        <w:t>inform</w:t>
      </w:r>
      <w:r w:rsidR="00DA2F16">
        <w:t>ing</w:t>
      </w:r>
      <w:r w:rsidR="00021D56" w:rsidRPr="00D153F3">
        <w:t xml:space="preserve"> it </w:t>
      </w:r>
      <w:r w:rsidRPr="00D153F3">
        <w:t xml:space="preserve">of the discontinuation of the follow-up procedure. The information requested should be included </w:t>
      </w:r>
      <w:r w:rsidR="00DA2F16" w:rsidRPr="006E017D">
        <w:t>in the State party’s next periodic report</w:t>
      </w:r>
      <w:r w:rsidRPr="00D153F3">
        <w:t xml:space="preserve">. </w:t>
      </w:r>
    </w:p>
    <w:p w14:paraId="1FA2B058" w14:textId="56DAFBD0" w:rsidR="00D06105" w:rsidRPr="00D153F3" w:rsidRDefault="00DC218C" w:rsidP="000A415B">
      <w:pPr>
        <w:pStyle w:val="SingleTxtG"/>
      </w:pPr>
      <w:bookmarkStart w:id="3" w:name="_Toc506807563"/>
      <w:r w:rsidRPr="00D153F3">
        <w:rPr>
          <w:b/>
        </w:rPr>
        <w:t>Next periodic report</w:t>
      </w:r>
      <w:r w:rsidR="00872EB3" w:rsidRPr="00D153F3">
        <w:rPr>
          <w:b/>
        </w:rPr>
        <w:t xml:space="preserve"> due</w:t>
      </w:r>
      <w:r w:rsidRPr="00D153F3">
        <w:rPr>
          <w:b/>
        </w:rPr>
        <w:t>:</w:t>
      </w:r>
      <w:r w:rsidRPr="00D153F3">
        <w:t xml:space="preserve"> </w:t>
      </w:r>
      <w:bookmarkEnd w:id="3"/>
      <w:r w:rsidRPr="00D153F3">
        <w:t>28 July 2021</w:t>
      </w:r>
    </w:p>
    <w:p w14:paraId="0747B694" w14:textId="66B0E4E8" w:rsidR="000A415B" w:rsidRPr="00D153F3" w:rsidRDefault="000A415B" w:rsidP="000A415B">
      <w:pPr>
        <w:spacing w:before="240"/>
        <w:ind w:left="1134" w:right="1134"/>
        <w:jc w:val="center"/>
        <w:rPr>
          <w:rFonts w:eastAsiaTheme="minorEastAsia"/>
          <w:u w:val="single"/>
        </w:rPr>
      </w:pPr>
      <w:r w:rsidRPr="00D153F3">
        <w:rPr>
          <w:rFonts w:eastAsiaTheme="minorEastAsia"/>
          <w:u w:val="single"/>
        </w:rPr>
        <w:tab/>
      </w:r>
      <w:r w:rsidRPr="00D153F3">
        <w:rPr>
          <w:rFonts w:eastAsiaTheme="minorEastAsia"/>
          <w:u w:val="single"/>
        </w:rPr>
        <w:tab/>
      </w:r>
      <w:r w:rsidRPr="00D153F3">
        <w:rPr>
          <w:rFonts w:eastAsiaTheme="minorEastAsia"/>
          <w:u w:val="single"/>
        </w:rPr>
        <w:tab/>
      </w:r>
      <w:r w:rsidRPr="00D153F3">
        <w:rPr>
          <w:rFonts w:eastAsiaTheme="minorEastAsia"/>
          <w:u w:val="single"/>
        </w:rPr>
        <w:tab/>
      </w:r>
    </w:p>
    <w:sectPr w:rsidR="000A415B" w:rsidRPr="00D153F3" w:rsidSect="00BD04F5">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7" w:right="1134" w:bottom="993"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61EA2" w14:textId="77777777" w:rsidR="00703576" w:rsidRPr="00B903E5" w:rsidRDefault="00703576" w:rsidP="00B903E5">
      <w:pPr>
        <w:pStyle w:val="Footer"/>
      </w:pPr>
    </w:p>
  </w:endnote>
  <w:endnote w:type="continuationSeparator" w:id="0">
    <w:p w14:paraId="40285338" w14:textId="77777777" w:rsidR="00703576" w:rsidRPr="00B903E5" w:rsidRDefault="00703576" w:rsidP="00B903E5">
      <w:pPr>
        <w:pStyle w:val="Footer"/>
      </w:pPr>
    </w:p>
  </w:endnote>
  <w:endnote w:type="continuationNotice" w:id="1">
    <w:p w14:paraId="2D4E1276" w14:textId="77777777" w:rsidR="00703576" w:rsidRDefault="007035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4C13" w14:textId="315AB05A" w:rsidR="00585D60" w:rsidRDefault="00585D60" w:rsidP="00EC0A68">
    <w:pPr>
      <w:pStyle w:val="Footer"/>
      <w:tabs>
        <w:tab w:val="right" w:pos="9638"/>
      </w:tabs>
    </w:pPr>
    <w:r w:rsidRPr="00C735ED">
      <w:rPr>
        <w:b/>
        <w:bCs/>
        <w:sz w:val="18"/>
      </w:rPr>
      <w:fldChar w:fldCharType="begin"/>
    </w:r>
    <w:r w:rsidRPr="00C735ED">
      <w:rPr>
        <w:b/>
        <w:bCs/>
        <w:sz w:val="18"/>
      </w:rPr>
      <w:instrText xml:space="preserve"> PAGE  \* MERGEFORMAT </w:instrText>
    </w:r>
    <w:r w:rsidRPr="00C735ED">
      <w:rPr>
        <w:b/>
        <w:bCs/>
        <w:sz w:val="18"/>
      </w:rPr>
      <w:fldChar w:fldCharType="separate"/>
    </w:r>
    <w:r w:rsidR="006306DC">
      <w:rPr>
        <w:b/>
        <w:bCs/>
        <w:noProof/>
        <w:sz w:val="18"/>
      </w:rPr>
      <w:t>6</w:t>
    </w:r>
    <w:r w:rsidRPr="00C735E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4C14" w14:textId="112A5963" w:rsidR="00585D60" w:rsidRDefault="00585D60" w:rsidP="00C735ED">
    <w:pPr>
      <w:pStyle w:val="Footer"/>
      <w:tabs>
        <w:tab w:val="right" w:pos="9638"/>
      </w:tabs>
    </w:pPr>
    <w:r>
      <w:tab/>
    </w:r>
    <w:r w:rsidRPr="00C735ED">
      <w:rPr>
        <w:b/>
        <w:bCs/>
        <w:sz w:val="18"/>
      </w:rPr>
      <w:fldChar w:fldCharType="begin"/>
    </w:r>
    <w:r w:rsidRPr="00C735ED">
      <w:rPr>
        <w:b/>
        <w:bCs/>
        <w:sz w:val="18"/>
      </w:rPr>
      <w:instrText xml:space="preserve"> PAGE  \* MERGEFORMAT </w:instrText>
    </w:r>
    <w:r w:rsidRPr="00C735ED">
      <w:rPr>
        <w:b/>
        <w:bCs/>
        <w:sz w:val="18"/>
      </w:rPr>
      <w:fldChar w:fldCharType="separate"/>
    </w:r>
    <w:r w:rsidR="006306DC">
      <w:rPr>
        <w:b/>
        <w:bCs/>
        <w:noProof/>
        <w:sz w:val="18"/>
      </w:rPr>
      <w:t>5</w:t>
    </w:r>
    <w:r w:rsidRPr="00C735E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B962" w14:textId="14D6E38B" w:rsidR="00803B94" w:rsidRDefault="006946F2" w:rsidP="006946F2">
    <w:pPr>
      <w:pStyle w:val="Footer"/>
    </w:pPr>
    <w:r w:rsidRPr="0027112F">
      <w:rPr>
        <w:noProof/>
        <w:lang w:val="en-US"/>
      </w:rPr>
      <w:drawing>
        <wp:anchor distT="0" distB="0" distL="114300" distR="114300" simplePos="0" relativeHeight="251659264" behindDoc="0" locked="1" layoutInCell="1" allowOverlap="1" wp14:anchorId="5826D52A" wp14:editId="64CC835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2E3FD8D" w14:textId="5022E996" w:rsidR="006946F2" w:rsidRPr="006946F2" w:rsidRDefault="006946F2" w:rsidP="006946F2">
    <w:pPr>
      <w:pStyle w:val="Footer"/>
      <w:ind w:right="1134"/>
      <w:rPr>
        <w:sz w:val="20"/>
      </w:rPr>
    </w:pPr>
    <w:r>
      <w:rPr>
        <w:sz w:val="20"/>
      </w:rPr>
      <w:t>GE.21-02128(E)</w:t>
    </w:r>
    <w:r>
      <w:rPr>
        <w:noProof/>
        <w:sz w:val="20"/>
      </w:rPr>
      <w:drawing>
        <wp:anchor distT="0" distB="0" distL="114300" distR="114300" simplePos="0" relativeHeight="251660288" behindDoc="0" locked="0" layoutInCell="1" allowOverlap="1" wp14:anchorId="0413FBB5" wp14:editId="29113BC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96D06" w14:textId="77777777" w:rsidR="00703576" w:rsidRPr="00B903E5" w:rsidRDefault="00703576" w:rsidP="00B903E5">
      <w:pPr>
        <w:tabs>
          <w:tab w:val="right" w:pos="2155"/>
        </w:tabs>
        <w:spacing w:after="80" w:line="240" w:lineRule="auto"/>
        <w:ind w:left="680"/>
      </w:pPr>
      <w:r>
        <w:rPr>
          <w:u w:val="single"/>
        </w:rPr>
        <w:tab/>
      </w:r>
    </w:p>
  </w:footnote>
  <w:footnote w:type="continuationSeparator" w:id="0">
    <w:p w14:paraId="5B096E31" w14:textId="77777777" w:rsidR="00703576" w:rsidRPr="00B903E5" w:rsidRDefault="00703576" w:rsidP="00B903E5">
      <w:pPr>
        <w:tabs>
          <w:tab w:val="right" w:pos="2155"/>
        </w:tabs>
        <w:spacing w:after="80" w:line="240" w:lineRule="auto"/>
        <w:ind w:left="680"/>
      </w:pPr>
      <w:r>
        <w:rPr>
          <w:u w:val="single"/>
        </w:rPr>
        <w:tab/>
      </w:r>
    </w:p>
  </w:footnote>
  <w:footnote w:type="continuationNotice" w:id="1">
    <w:p w14:paraId="73309251" w14:textId="77777777" w:rsidR="00703576" w:rsidRDefault="00703576">
      <w:pPr>
        <w:spacing w:line="240" w:lineRule="auto"/>
      </w:pPr>
    </w:p>
  </w:footnote>
  <w:footnote w:id="2">
    <w:p w14:paraId="0A683C4C" w14:textId="31C6E9B0" w:rsidR="00182964" w:rsidRPr="00182964" w:rsidRDefault="00182964">
      <w:pPr>
        <w:pStyle w:val="FootnoteText"/>
      </w:pPr>
      <w:r>
        <w:rPr>
          <w:rStyle w:val="FootnoteReference"/>
        </w:rPr>
        <w:tab/>
      </w:r>
      <w:r w:rsidRPr="00182964">
        <w:rPr>
          <w:rStyle w:val="FootnoteReference"/>
          <w:sz w:val="20"/>
          <w:vertAlign w:val="baseline"/>
        </w:rPr>
        <w:t>*</w:t>
      </w:r>
      <w:r>
        <w:rPr>
          <w:rStyle w:val="FootnoteReference"/>
          <w:sz w:val="20"/>
          <w:vertAlign w:val="baseline"/>
        </w:rPr>
        <w:tab/>
      </w:r>
      <w:r w:rsidR="002925EC">
        <w:t>Adopted by the Committee at its 130</w:t>
      </w:r>
      <w:r w:rsidR="002925EC" w:rsidRPr="006306DC">
        <w:t>th</w:t>
      </w:r>
      <w:r w:rsidR="002925EC" w:rsidRPr="008046B1">
        <w:t xml:space="preserve"> </w:t>
      </w:r>
      <w:r w:rsidR="002925EC">
        <w:t>session (12 October</w:t>
      </w:r>
      <w:r w:rsidR="008046B1">
        <w:t>–</w:t>
      </w:r>
      <w:r w:rsidR="002925EC">
        <w:t>6 November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4C11" w14:textId="24E212DC" w:rsidR="00585D60" w:rsidRDefault="00D06105" w:rsidP="00C735ED">
    <w:pPr>
      <w:pStyle w:val="Header"/>
    </w:pPr>
    <w:r>
      <w:t>CCPR/C/130</w:t>
    </w:r>
    <w:r w:rsidR="00585D60">
      <w:t>/</w:t>
    </w:r>
    <w:r w:rsidR="00803B94">
      <w:t>2</w:t>
    </w:r>
    <w:r w:rsidR="00585D60">
      <w:t>/Add.</w:t>
    </w:r>
    <w:r w:rsidR="00DC218C">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4C12" w14:textId="0FFA5805" w:rsidR="00585D60" w:rsidRDefault="00E046AB" w:rsidP="00C735ED">
    <w:pPr>
      <w:pStyle w:val="Header"/>
      <w:jc w:val="right"/>
    </w:pPr>
    <w:r>
      <w:t>CCPR/C/130</w:t>
    </w:r>
    <w:r w:rsidR="00585D60" w:rsidRPr="00BD04F5">
      <w:t>/</w:t>
    </w:r>
    <w:r w:rsidR="00803B94">
      <w:t>2</w:t>
    </w:r>
    <w:r w:rsidR="00585D60" w:rsidRPr="00BD04F5">
      <w:t>/Add.</w:t>
    </w:r>
    <w:r w:rsidR="00DC218C">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4776" w14:textId="77777777" w:rsidR="00D733A8" w:rsidRDefault="00D733A8" w:rsidP="00AF4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F85147"/>
    <w:multiLevelType w:val="hybridMultilevel"/>
    <w:tmpl w:val="59DA9844"/>
    <w:lvl w:ilvl="0" w:tplc="2012AB8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153C53B2"/>
    <w:multiLevelType w:val="hybridMultilevel"/>
    <w:tmpl w:val="8BE40B10"/>
    <w:lvl w:ilvl="0" w:tplc="B980D7C0">
      <w:start w:val="1"/>
      <w:numFmt w:val="lowerLetter"/>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FE4B90"/>
    <w:multiLevelType w:val="hybridMultilevel"/>
    <w:tmpl w:val="CE40FEB4"/>
    <w:lvl w:ilvl="0" w:tplc="37B68CC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B4E25A8"/>
    <w:multiLevelType w:val="hybridMultilevel"/>
    <w:tmpl w:val="E6ACEA34"/>
    <w:lvl w:ilvl="0" w:tplc="55CE4F8E">
      <w:start w:val="1"/>
      <w:numFmt w:val="lowerLetter"/>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227C14"/>
    <w:multiLevelType w:val="hybridMultilevel"/>
    <w:tmpl w:val="447CD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46D66"/>
    <w:multiLevelType w:val="hybridMultilevel"/>
    <w:tmpl w:val="9312973A"/>
    <w:lvl w:ilvl="0" w:tplc="37B68CC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25FE4054"/>
    <w:multiLevelType w:val="hybridMultilevel"/>
    <w:tmpl w:val="97C4DC18"/>
    <w:lvl w:ilvl="0" w:tplc="7C3223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E5F6B"/>
    <w:multiLevelType w:val="hybridMultilevel"/>
    <w:tmpl w:val="E10C039A"/>
    <w:lvl w:ilvl="0" w:tplc="37B68CC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B5565C4"/>
    <w:multiLevelType w:val="hybridMultilevel"/>
    <w:tmpl w:val="4208A270"/>
    <w:lvl w:ilvl="0" w:tplc="B6B036C2">
      <w:start w:val="1"/>
      <w:numFmt w:val="lowerLetter"/>
      <w:lvlText w:val="(%1)"/>
      <w:lvlJc w:val="left"/>
      <w:pPr>
        <w:ind w:left="1530" w:hanging="360"/>
      </w:pPr>
      <w:rPr>
        <w:rFonts w:eastAsia="SimSu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D5479FA"/>
    <w:multiLevelType w:val="hybridMultilevel"/>
    <w:tmpl w:val="2674781A"/>
    <w:lvl w:ilvl="0" w:tplc="F13E664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5365947"/>
    <w:multiLevelType w:val="hybridMultilevel"/>
    <w:tmpl w:val="DFEC2222"/>
    <w:lvl w:ilvl="0" w:tplc="AE626054">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42382"/>
    <w:multiLevelType w:val="hybridMultilevel"/>
    <w:tmpl w:val="BD52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D379E"/>
    <w:multiLevelType w:val="hybridMultilevel"/>
    <w:tmpl w:val="48D6CAE2"/>
    <w:lvl w:ilvl="0" w:tplc="E52A1858">
      <w:start w:val="1"/>
      <w:numFmt w:val="lowerLetter"/>
      <w:lvlText w:val="(%1)"/>
      <w:lvlJc w:val="left"/>
      <w:pPr>
        <w:ind w:left="1530" w:hanging="360"/>
      </w:pPr>
      <w:rPr>
        <w:rFonts w:eastAsia="SimSu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4CC9090B"/>
    <w:multiLevelType w:val="hybridMultilevel"/>
    <w:tmpl w:val="59DA9844"/>
    <w:lvl w:ilvl="0" w:tplc="2012AB8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57B619D8"/>
    <w:multiLevelType w:val="hybridMultilevel"/>
    <w:tmpl w:val="8E0A9514"/>
    <w:lvl w:ilvl="0" w:tplc="4510E8A4">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9" w15:restartNumberingAfterBreak="0">
    <w:nsid w:val="586D1A5C"/>
    <w:multiLevelType w:val="hybridMultilevel"/>
    <w:tmpl w:val="0870F8B6"/>
    <w:lvl w:ilvl="0" w:tplc="2ABE1C04">
      <w:start w:val="1"/>
      <w:numFmt w:val="lowerLetter"/>
      <w:lvlText w:val="(%1)"/>
      <w:lvlJc w:val="left"/>
      <w:pPr>
        <w:ind w:left="360"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3B549C"/>
    <w:multiLevelType w:val="hybridMultilevel"/>
    <w:tmpl w:val="19E4B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91361"/>
    <w:multiLevelType w:val="hybridMultilevel"/>
    <w:tmpl w:val="4FB2D320"/>
    <w:lvl w:ilvl="0" w:tplc="01600198">
      <w:start w:val="1"/>
      <w:numFmt w:val="lowerLetter"/>
      <w:lvlText w:val="%1)"/>
      <w:lvlJc w:val="left"/>
      <w:pPr>
        <w:ind w:left="1530" w:hanging="360"/>
      </w:pPr>
      <w:rPr>
        <w:rFonts w:eastAsia="Times New Roman" w:hint="default"/>
        <w:sz w:val="20"/>
        <w:szCs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1B0578E"/>
    <w:multiLevelType w:val="hybridMultilevel"/>
    <w:tmpl w:val="BD52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F33903"/>
    <w:multiLevelType w:val="hybridMultilevel"/>
    <w:tmpl w:val="D4F0AA88"/>
    <w:lvl w:ilvl="0" w:tplc="997EFF40">
      <w:start w:val="1"/>
      <w:numFmt w:val="lowerLetter"/>
      <w:lvlText w:val="(%1)"/>
      <w:lvlJc w:val="left"/>
      <w:pPr>
        <w:ind w:left="1530" w:hanging="360"/>
      </w:pPr>
      <w:rPr>
        <w:rFonts w:eastAsia="SimSu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0"/>
  </w:num>
  <w:num w:numId="4">
    <w:abstractNumId w:val="20"/>
  </w:num>
  <w:num w:numId="5">
    <w:abstractNumId w:val="21"/>
  </w:num>
  <w:num w:numId="6">
    <w:abstractNumId w:val="26"/>
  </w:num>
  <w:num w:numId="7">
    <w:abstractNumId w:val="3"/>
  </w:num>
  <w:num w:numId="8">
    <w:abstractNumId w:val="19"/>
  </w:num>
  <w:num w:numId="9">
    <w:abstractNumId w:val="17"/>
  </w:num>
  <w:num w:numId="10">
    <w:abstractNumId w:val="1"/>
  </w:num>
  <w:num w:numId="11">
    <w:abstractNumId w:val="12"/>
  </w:num>
  <w:num w:numId="12">
    <w:abstractNumId w:val="16"/>
  </w:num>
  <w:num w:numId="13">
    <w:abstractNumId w:val="25"/>
  </w:num>
  <w:num w:numId="14">
    <w:abstractNumId w:val="14"/>
  </w:num>
  <w:num w:numId="15">
    <w:abstractNumId w:val="2"/>
  </w:num>
  <w:num w:numId="16">
    <w:abstractNumId w:val="11"/>
  </w:num>
  <w:num w:numId="17">
    <w:abstractNumId w:val="8"/>
  </w:num>
  <w:num w:numId="18">
    <w:abstractNumId w:val="4"/>
  </w:num>
  <w:num w:numId="19">
    <w:abstractNumId w:val="15"/>
  </w:num>
  <w:num w:numId="20">
    <w:abstractNumId w:val="24"/>
  </w:num>
  <w:num w:numId="21">
    <w:abstractNumId w:val="9"/>
  </w:num>
  <w:num w:numId="22">
    <w:abstractNumId w:val="6"/>
  </w:num>
  <w:num w:numId="23">
    <w:abstractNumId w:val="23"/>
  </w:num>
  <w:num w:numId="24">
    <w:abstractNumId w:val="5"/>
  </w:num>
  <w:num w:numId="25">
    <w:abstractNumId w:val="18"/>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n-GB" w:vendorID="64" w:dllVersion="0" w:nlCheck="1" w:checkStyle="0"/>
  <w:proofState w:spelling="clean" w:grammar="clean"/>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64F"/>
    <w:rsid w:val="00000758"/>
    <w:rsid w:val="00002FC5"/>
    <w:rsid w:val="00004E2D"/>
    <w:rsid w:val="00005559"/>
    <w:rsid w:val="00010898"/>
    <w:rsid w:val="0001136C"/>
    <w:rsid w:val="00011970"/>
    <w:rsid w:val="00021051"/>
    <w:rsid w:val="00021D56"/>
    <w:rsid w:val="00031707"/>
    <w:rsid w:val="00034BC8"/>
    <w:rsid w:val="000402A5"/>
    <w:rsid w:val="000412B4"/>
    <w:rsid w:val="00046E92"/>
    <w:rsid w:val="00053636"/>
    <w:rsid w:val="000573EB"/>
    <w:rsid w:val="0006454F"/>
    <w:rsid w:val="0006523D"/>
    <w:rsid w:val="00065EFF"/>
    <w:rsid w:val="00066161"/>
    <w:rsid w:val="00066C39"/>
    <w:rsid w:val="00071D4D"/>
    <w:rsid w:val="000734A5"/>
    <w:rsid w:val="00074380"/>
    <w:rsid w:val="00076D5D"/>
    <w:rsid w:val="0008272A"/>
    <w:rsid w:val="00090327"/>
    <w:rsid w:val="00091699"/>
    <w:rsid w:val="00093110"/>
    <w:rsid w:val="00095EC4"/>
    <w:rsid w:val="000A2F97"/>
    <w:rsid w:val="000A415B"/>
    <w:rsid w:val="000A57BA"/>
    <w:rsid w:val="000A68E3"/>
    <w:rsid w:val="000B1D38"/>
    <w:rsid w:val="000B3E58"/>
    <w:rsid w:val="000C71FF"/>
    <w:rsid w:val="000D24B2"/>
    <w:rsid w:val="000D6BCD"/>
    <w:rsid w:val="000E285A"/>
    <w:rsid w:val="000F093D"/>
    <w:rsid w:val="000F0B68"/>
    <w:rsid w:val="000F1006"/>
    <w:rsid w:val="000F13A5"/>
    <w:rsid w:val="000F220A"/>
    <w:rsid w:val="000F4C23"/>
    <w:rsid w:val="000F4DA3"/>
    <w:rsid w:val="000F513F"/>
    <w:rsid w:val="000F52C1"/>
    <w:rsid w:val="000F70F3"/>
    <w:rsid w:val="00103306"/>
    <w:rsid w:val="00103C75"/>
    <w:rsid w:val="00104D89"/>
    <w:rsid w:val="001069A6"/>
    <w:rsid w:val="00107AFC"/>
    <w:rsid w:val="001111BC"/>
    <w:rsid w:val="00115DBE"/>
    <w:rsid w:val="00121412"/>
    <w:rsid w:val="00126A17"/>
    <w:rsid w:val="00131D7A"/>
    <w:rsid w:val="0013295E"/>
    <w:rsid w:val="00134090"/>
    <w:rsid w:val="001344A5"/>
    <w:rsid w:val="00136ECA"/>
    <w:rsid w:val="001412B5"/>
    <w:rsid w:val="00146D44"/>
    <w:rsid w:val="00151E9F"/>
    <w:rsid w:val="00154C0B"/>
    <w:rsid w:val="00156F09"/>
    <w:rsid w:val="00164939"/>
    <w:rsid w:val="00165C15"/>
    <w:rsid w:val="001769CD"/>
    <w:rsid w:val="00176A4D"/>
    <w:rsid w:val="00181508"/>
    <w:rsid w:val="00182964"/>
    <w:rsid w:val="0019517E"/>
    <w:rsid w:val="001A33E3"/>
    <w:rsid w:val="001A63CF"/>
    <w:rsid w:val="001B21E4"/>
    <w:rsid w:val="001B4D62"/>
    <w:rsid w:val="001B50A5"/>
    <w:rsid w:val="001B6D49"/>
    <w:rsid w:val="001B7958"/>
    <w:rsid w:val="001B7D97"/>
    <w:rsid w:val="001C041F"/>
    <w:rsid w:val="001C6FAD"/>
    <w:rsid w:val="001D4353"/>
    <w:rsid w:val="001D773F"/>
    <w:rsid w:val="001E003C"/>
    <w:rsid w:val="001E16EF"/>
    <w:rsid w:val="001E69A8"/>
    <w:rsid w:val="001F0F28"/>
    <w:rsid w:val="001F12C3"/>
    <w:rsid w:val="001F235D"/>
    <w:rsid w:val="001F772E"/>
    <w:rsid w:val="00200FBE"/>
    <w:rsid w:val="002076C4"/>
    <w:rsid w:val="00214326"/>
    <w:rsid w:val="00220DA1"/>
    <w:rsid w:val="00225EC9"/>
    <w:rsid w:val="00225FE8"/>
    <w:rsid w:val="0022611C"/>
    <w:rsid w:val="00227517"/>
    <w:rsid w:val="00237849"/>
    <w:rsid w:val="00240DD5"/>
    <w:rsid w:val="00244220"/>
    <w:rsid w:val="00247CB2"/>
    <w:rsid w:val="00247E2C"/>
    <w:rsid w:val="002523D0"/>
    <w:rsid w:val="00252F79"/>
    <w:rsid w:val="00257286"/>
    <w:rsid w:val="002601BD"/>
    <w:rsid w:val="00261F30"/>
    <w:rsid w:val="00265AFD"/>
    <w:rsid w:val="00267C86"/>
    <w:rsid w:val="00277161"/>
    <w:rsid w:val="00282BBC"/>
    <w:rsid w:val="002925EC"/>
    <w:rsid w:val="0029279D"/>
    <w:rsid w:val="0029471F"/>
    <w:rsid w:val="00294EC5"/>
    <w:rsid w:val="002A36F2"/>
    <w:rsid w:val="002B3C2F"/>
    <w:rsid w:val="002B4AC2"/>
    <w:rsid w:val="002B7623"/>
    <w:rsid w:val="002C20FB"/>
    <w:rsid w:val="002C29D1"/>
    <w:rsid w:val="002C4AEC"/>
    <w:rsid w:val="002C6BE8"/>
    <w:rsid w:val="002D484E"/>
    <w:rsid w:val="002D6C53"/>
    <w:rsid w:val="002E3D9F"/>
    <w:rsid w:val="002E7951"/>
    <w:rsid w:val="002F1EF7"/>
    <w:rsid w:val="002F5595"/>
    <w:rsid w:val="002F5D17"/>
    <w:rsid w:val="002F6B79"/>
    <w:rsid w:val="002F7E25"/>
    <w:rsid w:val="00300B76"/>
    <w:rsid w:val="00302194"/>
    <w:rsid w:val="00302205"/>
    <w:rsid w:val="0030232D"/>
    <w:rsid w:val="00302A4C"/>
    <w:rsid w:val="00302D8E"/>
    <w:rsid w:val="00304499"/>
    <w:rsid w:val="00304DE9"/>
    <w:rsid w:val="00305052"/>
    <w:rsid w:val="00307434"/>
    <w:rsid w:val="003148A7"/>
    <w:rsid w:val="00314FF8"/>
    <w:rsid w:val="0031780E"/>
    <w:rsid w:val="00317A55"/>
    <w:rsid w:val="003205AE"/>
    <w:rsid w:val="00321399"/>
    <w:rsid w:val="00327EB4"/>
    <w:rsid w:val="00334F6A"/>
    <w:rsid w:val="00337DE9"/>
    <w:rsid w:val="0034052C"/>
    <w:rsid w:val="00340F58"/>
    <w:rsid w:val="0034101D"/>
    <w:rsid w:val="00342AC8"/>
    <w:rsid w:val="00343201"/>
    <w:rsid w:val="003471B5"/>
    <w:rsid w:val="003478BC"/>
    <w:rsid w:val="0035141F"/>
    <w:rsid w:val="00352EEA"/>
    <w:rsid w:val="00366CFE"/>
    <w:rsid w:val="00376047"/>
    <w:rsid w:val="0038542A"/>
    <w:rsid w:val="003854D9"/>
    <w:rsid w:val="00387A64"/>
    <w:rsid w:val="003951A2"/>
    <w:rsid w:val="00396971"/>
    <w:rsid w:val="003A247E"/>
    <w:rsid w:val="003B4550"/>
    <w:rsid w:val="003B46C3"/>
    <w:rsid w:val="003B5D35"/>
    <w:rsid w:val="003B66C0"/>
    <w:rsid w:val="003B6BA6"/>
    <w:rsid w:val="003C44D2"/>
    <w:rsid w:val="003C4A7F"/>
    <w:rsid w:val="003D2CD9"/>
    <w:rsid w:val="003D32D1"/>
    <w:rsid w:val="003E4EF5"/>
    <w:rsid w:val="003E6A7E"/>
    <w:rsid w:val="003F0E82"/>
    <w:rsid w:val="003F62CB"/>
    <w:rsid w:val="003F7C5E"/>
    <w:rsid w:val="00401B11"/>
    <w:rsid w:val="00403606"/>
    <w:rsid w:val="00404317"/>
    <w:rsid w:val="00407210"/>
    <w:rsid w:val="00421A4D"/>
    <w:rsid w:val="0042217D"/>
    <w:rsid w:val="0042427A"/>
    <w:rsid w:val="0042438C"/>
    <w:rsid w:val="00425A70"/>
    <w:rsid w:val="004268DC"/>
    <w:rsid w:val="00431428"/>
    <w:rsid w:val="00434656"/>
    <w:rsid w:val="004346E9"/>
    <w:rsid w:val="004444AA"/>
    <w:rsid w:val="0045181E"/>
    <w:rsid w:val="004542BF"/>
    <w:rsid w:val="00461253"/>
    <w:rsid w:val="00462755"/>
    <w:rsid w:val="00462CED"/>
    <w:rsid w:val="0046351A"/>
    <w:rsid w:val="00470B76"/>
    <w:rsid w:val="00472CDC"/>
    <w:rsid w:val="00472FED"/>
    <w:rsid w:val="0047370C"/>
    <w:rsid w:val="00475BC7"/>
    <w:rsid w:val="00477BA1"/>
    <w:rsid w:val="00482367"/>
    <w:rsid w:val="0048325F"/>
    <w:rsid w:val="004849D9"/>
    <w:rsid w:val="0048560C"/>
    <w:rsid w:val="004900AA"/>
    <w:rsid w:val="00490A9A"/>
    <w:rsid w:val="00491B19"/>
    <w:rsid w:val="0049494A"/>
    <w:rsid w:val="00495AFB"/>
    <w:rsid w:val="0049682B"/>
    <w:rsid w:val="004A03B1"/>
    <w:rsid w:val="004A18E1"/>
    <w:rsid w:val="004A32CB"/>
    <w:rsid w:val="004A6769"/>
    <w:rsid w:val="004B2FEE"/>
    <w:rsid w:val="004D0BB0"/>
    <w:rsid w:val="004D18EB"/>
    <w:rsid w:val="004D1DA2"/>
    <w:rsid w:val="004D225C"/>
    <w:rsid w:val="004D2A26"/>
    <w:rsid w:val="004D34C5"/>
    <w:rsid w:val="004E02D0"/>
    <w:rsid w:val="004E0358"/>
    <w:rsid w:val="004E3359"/>
    <w:rsid w:val="004F63E3"/>
    <w:rsid w:val="004F7FAB"/>
    <w:rsid w:val="005003B5"/>
    <w:rsid w:val="00500F62"/>
    <w:rsid w:val="005042C2"/>
    <w:rsid w:val="00507FD4"/>
    <w:rsid w:val="005136B6"/>
    <w:rsid w:val="00513AA8"/>
    <w:rsid w:val="00513F5B"/>
    <w:rsid w:val="00514C87"/>
    <w:rsid w:val="00521EE9"/>
    <w:rsid w:val="00526F3E"/>
    <w:rsid w:val="005314F3"/>
    <w:rsid w:val="00535566"/>
    <w:rsid w:val="00542AA4"/>
    <w:rsid w:val="0054355F"/>
    <w:rsid w:val="00545AF1"/>
    <w:rsid w:val="005512DF"/>
    <w:rsid w:val="00565DD0"/>
    <w:rsid w:val="005660D5"/>
    <w:rsid w:val="0056669E"/>
    <w:rsid w:val="005735C0"/>
    <w:rsid w:val="00580CF1"/>
    <w:rsid w:val="00580E96"/>
    <w:rsid w:val="00581758"/>
    <w:rsid w:val="005817BE"/>
    <w:rsid w:val="00585D60"/>
    <w:rsid w:val="005917C9"/>
    <w:rsid w:val="005A0AF9"/>
    <w:rsid w:val="005A1CCA"/>
    <w:rsid w:val="005A3123"/>
    <w:rsid w:val="005B1482"/>
    <w:rsid w:val="005B3CB3"/>
    <w:rsid w:val="005B7A65"/>
    <w:rsid w:val="005C02CB"/>
    <w:rsid w:val="005C1148"/>
    <w:rsid w:val="005C2EEB"/>
    <w:rsid w:val="005C51FE"/>
    <w:rsid w:val="005D008B"/>
    <w:rsid w:val="005D5003"/>
    <w:rsid w:val="005E042F"/>
    <w:rsid w:val="005E15B6"/>
    <w:rsid w:val="005F00EA"/>
    <w:rsid w:val="0060091D"/>
    <w:rsid w:val="0060159B"/>
    <w:rsid w:val="00602023"/>
    <w:rsid w:val="006026B3"/>
    <w:rsid w:val="0060494B"/>
    <w:rsid w:val="00605BCB"/>
    <w:rsid w:val="00606094"/>
    <w:rsid w:val="0060720C"/>
    <w:rsid w:val="006225EF"/>
    <w:rsid w:val="00625714"/>
    <w:rsid w:val="00626A66"/>
    <w:rsid w:val="0062725B"/>
    <w:rsid w:val="006306DC"/>
    <w:rsid w:val="00631932"/>
    <w:rsid w:val="00633264"/>
    <w:rsid w:val="00633960"/>
    <w:rsid w:val="00634949"/>
    <w:rsid w:val="00636A0E"/>
    <w:rsid w:val="0064452D"/>
    <w:rsid w:val="006461BA"/>
    <w:rsid w:val="00646931"/>
    <w:rsid w:val="0064742D"/>
    <w:rsid w:val="006501B1"/>
    <w:rsid w:val="006534D2"/>
    <w:rsid w:val="0065463A"/>
    <w:rsid w:val="00656A8A"/>
    <w:rsid w:val="00660CD5"/>
    <w:rsid w:val="00666015"/>
    <w:rsid w:val="00667B1B"/>
    <w:rsid w:val="00671529"/>
    <w:rsid w:val="00673A2B"/>
    <w:rsid w:val="00673B3A"/>
    <w:rsid w:val="00673D3A"/>
    <w:rsid w:val="00674BCA"/>
    <w:rsid w:val="00681264"/>
    <w:rsid w:val="00681BA0"/>
    <w:rsid w:val="0068302C"/>
    <w:rsid w:val="0068305F"/>
    <w:rsid w:val="006835B8"/>
    <w:rsid w:val="00684761"/>
    <w:rsid w:val="00685060"/>
    <w:rsid w:val="00687206"/>
    <w:rsid w:val="00690E88"/>
    <w:rsid w:val="006941D6"/>
    <w:rsid w:val="006946F2"/>
    <w:rsid w:val="00694ACA"/>
    <w:rsid w:val="006A16FE"/>
    <w:rsid w:val="006A1EF4"/>
    <w:rsid w:val="006A424F"/>
    <w:rsid w:val="006B0BF8"/>
    <w:rsid w:val="006B16DD"/>
    <w:rsid w:val="006B2117"/>
    <w:rsid w:val="006B27F9"/>
    <w:rsid w:val="006B6359"/>
    <w:rsid w:val="006C107B"/>
    <w:rsid w:val="006C3EB5"/>
    <w:rsid w:val="006C7CC4"/>
    <w:rsid w:val="006D0B01"/>
    <w:rsid w:val="006D257A"/>
    <w:rsid w:val="006D4538"/>
    <w:rsid w:val="006D4DB5"/>
    <w:rsid w:val="006E23F0"/>
    <w:rsid w:val="006E54D9"/>
    <w:rsid w:val="006E5FFD"/>
    <w:rsid w:val="006F1843"/>
    <w:rsid w:val="006F5779"/>
    <w:rsid w:val="00701C32"/>
    <w:rsid w:val="00703576"/>
    <w:rsid w:val="00703824"/>
    <w:rsid w:val="00711246"/>
    <w:rsid w:val="00711362"/>
    <w:rsid w:val="007156F6"/>
    <w:rsid w:val="007172E0"/>
    <w:rsid w:val="0072107C"/>
    <w:rsid w:val="00721288"/>
    <w:rsid w:val="007228FC"/>
    <w:rsid w:val="00724E88"/>
    <w:rsid w:val="007268F9"/>
    <w:rsid w:val="007327A0"/>
    <w:rsid w:val="007332E5"/>
    <w:rsid w:val="00733B05"/>
    <w:rsid w:val="00734263"/>
    <w:rsid w:val="00736888"/>
    <w:rsid w:val="00743E5A"/>
    <w:rsid w:val="00744FF8"/>
    <w:rsid w:val="00757954"/>
    <w:rsid w:val="00760970"/>
    <w:rsid w:val="0076116A"/>
    <w:rsid w:val="007720BB"/>
    <w:rsid w:val="007772EF"/>
    <w:rsid w:val="00785C95"/>
    <w:rsid w:val="00785D3C"/>
    <w:rsid w:val="007B291B"/>
    <w:rsid w:val="007C10CD"/>
    <w:rsid w:val="007C52B0"/>
    <w:rsid w:val="007D7794"/>
    <w:rsid w:val="007E643A"/>
    <w:rsid w:val="007F011E"/>
    <w:rsid w:val="007F0379"/>
    <w:rsid w:val="007F3737"/>
    <w:rsid w:val="00803B94"/>
    <w:rsid w:val="008046B1"/>
    <w:rsid w:val="00817E57"/>
    <w:rsid w:val="00820A25"/>
    <w:rsid w:val="008403CA"/>
    <w:rsid w:val="00842CC7"/>
    <w:rsid w:val="00843EFE"/>
    <w:rsid w:val="008457D1"/>
    <w:rsid w:val="00853C29"/>
    <w:rsid w:val="00854322"/>
    <w:rsid w:val="00861AA3"/>
    <w:rsid w:val="00861EAF"/>
    <w:rsid w:val="00863A70"/>
    <w:rsid w:val="00872EB3"/>
    <w:rsid w:val="00874781"/>
    <w:rsid w:val="0088295F"/>
    <w:rsid w:val="00884E8B"/>
    <w:rsid w:val="0089171B"/>
    <w:rsid w:val="00891B2C"/>
    <w:rsid w:val="008A2724"/>
    <w:rsid w:val="008A41CC"/>
    <w:rsid w:val="008C3256"/>
    <w:rsid w:val="008C68F8"/>
    <w:rsid w:val="008D1251"/>
    <w:rsid w:val="008D2511"/>
    <w:rsid w:val="008D3450"/>
    <w:rsid w:val="008E0831"/>
    <w:rsid w:val="008E7293"/>
    <w:rsid w:val="008F00B9"/>
    <w:rsid w:val="008F6179"/>
    <w:rsid w:val="008F6AC7"/>
    <w:rsid w:val="009038F7"/>
    <w:rsid w:val="00904545"/>
    <w:rsid w:val="009125B2"/>
    <w:rsid w:val="009130C6"/>
    <w:rsid w:val="00917C35"/>
    <w:rsid w:val="00917CC7"/>
    <w:rsid w:val="00921B53"/>
    <w:rsid w:val="00922F5B"/>
    <w:rsid w:val="00923C7D"/>
    <w:rsid w:val="009267B3"/>
    <w:rsid w:val="00935B62"/>
    <w:rsid w:val="009411B4"/>
    <w:rsid w:val="00943A28"/>
    <w:rsid w:val="00945308"/>
    <w:rsid w:val="00946AC7"/>
    <w:rsid w:val="00947B21"/>
    <w:rsid w:val="009544F5"/>
    <w:rsid w:val="009558F8"/>
    <w:rsid w:val="00956902"/>
    <w:rsid w:val="00965EB9"/>
    <w:rsid w:val="009761D3"/>
    <w:rsid w:val="00982F74"/>
    <w:rsid w:val="00987701"/>
    <w:rsid w:val="00990FAA"/>
    <w:rsid w:val="00991FE7"/>
    <w:rsid w:val="009945C9"/>
    <w:rsid w:val="009A40E8"/>
    <w:rsid w:val="009A4618"/>
    <w:rsid w:val="009A514C"/>
    <w:rsid w:val="009A55C9"/>
    <w:rsid w:val="009A66E5"/>
    <w:rsid w:val="009A6D1E"/>
    <w:rsid w:val="009A6E3C"/>
    <w:rsid w:val="009B243A"/>
    <w:rsid w:val="009B3587"/>
    <w:rsid w:val="009B3A28"/>
    <w:rsid w:val="009C4194"/>
    <w:rsid w:val="009C4B41"/>
    <w:rsid w:val="009C56C1"/>
    <w:rsid w:val="009D0139"/>
    <w:rsid w:val="009D10A1"/>
    <w:rsid w:val="009D39C0"/>
    <w:rsid w:val="009E08E7"/>
    <w:rsid w:val="009E1811"/>
    <w:rsid w:val="009E49FE"/>
    <w:rsid w:val="009F101C"/>
    <w:rsid w:val="009F3E15"/>
    <w:rsid w:val="009F5117"/>
    <w:rsid w:val="009F5CDC"/>
    <w:rsid w:val="009F6756"/>
    <w:rsid w:val="00A01526"/>
    <w:rsid w:val="00A02AD5"/>
    <w:rsid w:val="00A1332E"/>
    <w:rsid w:val="00A22180"/>
    <w:rsid w:val="00A230B6"/>
    <w:rsid w:val="00A23459"/>
    <w:rsid w:val="00A2664C"/>
    <w:rsid w:val="00A30EA9"/>
    <w:rsid w:val="00A31390"/>
    <w:rsid w:val="00A36BF9"/>
    <w:rsid w:val="00A378E4"/>
    <w:rsid w:val="00A37915"/>
    <w:rsid w:val="00A421D6"/>
    <w:rsid w:val="00A46263"/>
    <w:rsid w:val="00A47385"/>
    <w:rsid w:val="00A501B8"/>
    <w:rsid w:val="00A51AB7"/>
    <w:rsid w:val="00A5494B"/>
    <w:rsid w:val="00A6031A"/>
    <w:rsid w:val="00A603FA"/>
    <w:rsid w:val="00A6188A"/>
    <w:rsid w:val="00A6409D"/>
    <w:rsid w:val="00A65263"/>
    <w:rsid w:val="00A707E1"/>
    <w:rsid w:val="00A7354E"/>
    <w:rsid w:val="00A775CF"/>
    <w:rsid w:val="00A8067D"/>
    <w:rsid w:val="00A8217E"/>
    <w:rsid w:val="00A835CB"/>
    <w:rsid w:val="00A84E3B"/>
    <w:rsid w:val="00A86E04"/>
    <w:rsid w:val="00A92D1C"/>
    <w:rsid w:val="00A94D72"/>
    <w:rsid w:val="00A96AF2"/>
    <w:rsid w:val="00A9786B"/>
    <w:rsid w:val="00AA1809"/>
    <w:rsid w:val="00AA35B5"/>
    <w:rsid w:val="00AA41B6"/>
    <w:rsid w:val="00AA4E23"/>
    <w:rsid w:val="00AA7200"/>
    <w:rsid w:val="00AB22F5"/>
    <w:rsid w:val="00AB4E32"/>
    <w:rsid w:val="00AC171E"/>
    <w:rsid w:val="00AC5FA3"/>
    <w:rsid w:val="00AD2796"/>
    <w:rsid w:val="00AD34CA"/>
    <w:rsid w:val="00AD475F"/>
    <w:rsid w:val="00AE052E"/>
    <w:rsid w:val="00AE1DA6"/>
    <w:rsid w:val="00AE3560"/>
    <w:rsid w:val="00AE6A0D"/>
    <w:rsid w:val="00AF4605"/>
    <w:rsid w:val="00AF51D9"/>
    <w:rsid w:val="00AF5F74"/>
    <w:rsid w:val="00AF63C5"/>
    <w:rsid w:val="00B02BAA"/>
    <w:rsid w:val="00B06045"/>
    <w:rsid w:val="00B13ED1"/>
    <w:rsid w:val="00B15189"/>
    <w:rsid w:val="00B15A30"/>
    <w:rsid w:val="00B26093"/>
    <w:rsid w:val="00B36621"/>
    <w:rsid w:val="00B37715"/>
    <w:rsid w:val="00B467DF"/>
    <w:rsid w:val="00B50CB9"/>
    <w:rsid w:val="00B5228C"/>
    <w:rsid w:val="00B52ED1"/>
    <w:rsid w:val="00B61389"/>
    <w:rsid w:val="00B65508"/>
    <w:rsid w:val="00B67702"/>
    <w:rsid w:val="00B7199F"/>
    <w:rsid w:val="00B75624"/>
    <w:rsid w:val="00B75F42"/>
    <w:rsid w:val="00B832AA"/>
    <w:rsid w:val="00B83D2D"/>
    <w:rsid w:val="00B8732F"/>
    <w:rsid w:val="00B901FF"/>
    <w:rsid w:val="00B903E5"/>
    <w:rsid w:val="00B92E4D"/>
    <w:rsid w:val="00B95171"/>
    <w:rsid w:val="00B96C6E"/>
    <w:rsid w:val="00BA3AFB"/>
    <w:rsid w:val="00BB23BB"/>
    <w:rsid w:val="00BB5362"/>
    <w:rsid w:val="00BC0DF4"/>
    <w:rsid w:val="00BC6257"/>
    <w:rsid w:val="00BD04F5"/>
    <w:rsid w:val="00BD08E2"/>
    <w:rsid w:val="00BD79FE"/>
    <w:rsid w:val="00BE052A"/>
    <w:rsid w:val="00BE3B78"/>
    <w:rsid w:val="00BE401F"/>
    <w:rsid w:val="00BE4BE7"/>
    <w:rsid w:val="00BF1D02"/>
    <w:rsid w:val="00BF1EC7"/>
    <w:rsid w:val="00C06B16"/>
    <w:rsid w:val="00C123C3"/>
    <w:rsid w:val="00C12755"/>
    <w:rsid w:val="00C1307E"/>
    <w:rsid w:val="00C134BF"/>
    <w:rsid w:val="00C13F65"/>
    <w:rsid w:val="00C20098"/>
    <w:rsid w:val="00C33F48"/>
    <w:rsid w:val="00C35900"/>
    <w:rsid w:val="00C35A27"/>
    <w:rsid w:val="00C42854"/>
    <w:rsid w:val="00C42E3C"/>
    <w:rsid w:val="00C4500F"/>
    <w:rsid w:val="00C473F6"/>
    <w:rsid w:val="00C519E0"/>
    <w:rsid w:val="00C64FA2"/>
    <w:rsid w:val="00C670F7"/>
    <w:rsid w:val="00C71C8B"/>
    <w:rsid w:val="00C7309C"/>
    <w:rsid w:val="00C735ED"/>
    <w:rsid w:val="00C74739"/>
    <w:rsid w:val="00C74D44"/>
    <w:rsid w:val="00C801D5"/>
    <w:rsid w:val="00C80D9A"/>
    <w:rsid w:val="00C8144D"/>
    <w:rsid w:val="00C81BBE"/>
    <w:rsid w:val="00C9123B"/>
    <w:rsid w:val="00C91CE5"/>
    <w:rsid w:val="00C92627"/>
    <w:rsid w:val="00CA1AEA"/>
    <w:rsid w:val="00CA1FD8"/>
    <w:rsid w:val="00CA3617"/>
    <w:rsid w:val="00CA3660"/>
    <w:rsid w:val="00CA4DCF"/>
    <w:rsid w:val="00CA5680"/>
    <w:rsid w:val="00CA72A8"/>
    <w:rsid w:val="00CB18D2"/>
    <w:rsid w:val="00CB674B"/>
    <w:rsid w:val="00CB761E"/>
    <w:rsid w:val="00CC0542"/>
    <w:rsid w:val="00CC1242"/>
    <w:rsid w:val="00CC3AE6"/>
    <w:rsid w:val="00CC54E4"/>
    <w:rsid w:val="00CC6C9F"/>
    <w:rsid w:val="00CD581E"/>
    <w:rsid w:val="00CF1C6C"/>
    <w:rsid w:val="00CF24EE"/>
    <w:rsid w:val="00CF5B16"/>
    <w:rsid w:val="00D06105"/>
    <w:rsid w:val="00D061D7"/>
    <w:rsid w:val="00D11EEA"/>
    <w:rsid w:val="00D12F1D"/>
    <w:rsid w:val="00D14514"/>
    <w:rsid w:val="00D153F3"/>
    <w:rsid w:val="00D16991"/>
    <w:rsid w:val="00D16B6B"/>
    <w:rsid w:val="00D17A4F"/>
    <w:rsid w:val="00D17E55"/>
    <w:rsid w:val="00D20DD5"/>
    <w:rsid w:val="00D23529"/>
    <w:rsid w:val="00D23EE6"/>
    <w:rsid w:val="00D369D2"/>
    <w:rsid w:val="00D405D5"/>
    <w:rsid w:val="00D407D7"/>
    <w:rsid w:val="00D42CCC"/>
    <w:rsid w:val="00D45ACE"/>
    <w:rsid w:val="00D52C82"/>
    <w:rsid w:val="00D548A8"/>
    <w:rsid w:val="00D559A2"/>
    <w:rsid w:val="00D626AC"/>
    <w:rsid w:val="00D64C38"/>
    <w:rsid w:val="00D733A8"/>
    <w:rsid w:val="00D74468"/>
    <w:rsid w:val="00D91827"/>
    <w:rsid w:val="00D926BB"/>
    <w:rsid w:val="00D93123"/>
    <w:rsid w:val="00D936C8"/>
    <w:rsid w:val="00D970DA"/>
    <w:rsid w:val="00D97ADD"/>
    <w:rsid w:val="00DA26EA"/>
    <w:rsid w:val="00DA2F16"/>
    <w:rsid w:val="00DA7ECA"/>
    <w:rsid w:val="00DB1CCD"/>
    <w:rsid w:val="00DB3158"/>
    <w:rsid w:val="00DB4BB4"/>
    <w:rsid w:val="00DC218C"/>
    <w:rsid w:val="00DC57A9"/>
    <w:rsid w:val="00DC5A76"/>
    <w:rsid w:val="00DC68E7"/>
    <w:rsid w:val="00DC6F2D"/>
    <w:rsid w:val="00DE227B"/>
    <w:rsid w:val="00DE48D4"/>
    <w:rsid w:val="00DF2D2E"/>
    <w:rsid w:val="00DF44E7"/>
    <w:rsid w:val="00DF5BDD"/>
    <w:rsid w:val="00DF60EF"/>
    <w:rsid w:val="00E02C2B"/>
    <w:rsid w:val="00E02F1A"/>
    <w:rsid w:val="00E041EE"/>
    <w:rsid w:val="00E046AB"/>
    <w:rsid w:val="00E06EC0"/>
    <w:rsid w:val="00E10449"/>
    <w:rsid w:val="00E123B7"/>
    <w:rsid w:val="00E1417F"/>
    <w:rsid w:val="00E1711F"/>
    <w:rsid w:val="00E22BD2"/>
    <w:rsid w:val="00E22DBF"/>
    <w:rsid w:val="00E23AE3"/>
    <w:rsid w:val="00E26738"/>
    <w:rsid w:val="00E27D62"/>
    <w:rsid w:val="00E32840"/>
    <w:rsid w:val="00E41948"/>
    <w:rsid w:val="00E56943"/>
    <w:rsid w:val="00E67525"/>
    <w:rsid w:val="00E73AB2"/>
    <w:rsid w:val="00E74C68"/>
    <w:rsid w:val="00E819E2"/>
    <w:rsid w:val="00E8445B"/>
    <w:rsid w:val="00E8625C"/>
    <w:rsid w:val="00E94925"/>
    <w:rsid w:val="00EA00A9"/>
    <w:rsid w:val="00EA212C"/>
    <w:rsid w:val="00EB3895"/>
    <w:rsid w:val="00EC0A68"/>
    <w:rsid w:val="00ED292D"/>
    <w:rsid w:val="00ED2B30"/>
    <w:rsid w:val="00ED3C0F"/>
    <w:rsid w:val="00ED4A62"/>
    <w:rsid w:val="00ED6C48"/>
    <w:rsid w:val="00ED7F0F"/>
    <w:rsid w:val="00EE32F5"/>
    <w:rsid w:val="00EF0754"/>
    <w:rsid w:val="00EF15EB"/>
    <w:rsid w:val="00EF1738"/>
    <w:rsid w:val="00EF5E8F"/>
    <w:rsid w:val="00F05F0E"/>
    <w:rsid w:val="00F07DBE"/>
    <w:rsid w:val="00F208CC"/>
    <w:rsid w:val="00F23AFD"/>
    <w:rsid w:val="00F2405D"/>
    <w:rsid w:val="00F2664F"/>
    <w:rsid w:val="00F33E03"/>
    <w:rsid w:val="00F34446"/>
    <w:rsid w:val="00F365D1"/>
    <w:rsid w:val="00F36831"/>
    <w:rsid w:val="00F36E51"/>
    <w:rsid w:val="00F37FD7"/>
    <w:rsid w:val="00F41F0F"/>
    <w:rsid w:val="00F427C3"/>
    <w:rsid w:val="00F428FC"/>
    <w:rsid w:val="00F4597B"/>
    <w:rsid w:val="00F47310"/>
    <w:rsid w:val="00F508D8"/>
    <w:rsid w:val="00F635A3"/>
    <w:rsid w:val="00F6433F"/>
    <w:rsid w:val="00F65F5D"/>
    <w:rsid w:val="00F70386"/>
    <w:rsid w:val="00F760EE"/>
    <w:rsid w:val="00F86650"/>
    <w:rsid w:val="00F86A3A"/>
    <w:rsid w:val="00FA1B5D"/>
    <w:rsid w:val="00FA7848"/>
    <w:rsid w:val="00FB0C53"/>
    <w:rsid w:val="00FB2B70"/>
    <w:rsid w:val="00FD056B"/>
    <w:rsid w:val="00FD30C6"/>
    <w:rsid w:val="00FD505A"/>
    <w:rsid w:val="00FD5C0A"/>
    <w:rsid w:val="00FD79A1"/>
    <w:rsid w:val="00FE47F7"/>
    <w:rsid w:val="00FE5B51"/>
    <w:rsid w:val="00FF113E"/>
    <w:rsid w:val="00FF189A"/>
    <w:rsid w:val="00FF1EA4"/>
    <w:rsid w:val="00FF32B6"/>
    <w:rsid w:val="00FF37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4E5C4BA6"/>
  <w15:docId w15:val="{CA629F22-5894-48BB-94D8-C36DE46F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Testo nota a piè di pagina Carattere,Footnote Text-progetto,notefranz,Nota_2 Carattere Carattere Carattere Carattere Carattere Carattere Carattere,Nota_2,Nota,Nota_,Testo nota a piè di pagina Carattere1 Carattere,N,Not,fn,Char,Car,f"/>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Testo nota a piè di pagina Carattere Char,Footnote Text-progetto Char,notefranz Char,Nota_2 Carattere Carattere Carattere Carattere Carattere Carattere Carattere Char,Nota_2 Char,Nota Char,Nota_ Char,N Char,Not Char,fn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Number,Footnote symbol,ftref,Rimando notaOreste,Rimando notaOreste1,Rimando notaOreste2,nota a piè di pagina,stylish,Footnote Reference Superscript,BVI fnr,Footnote symboFußnotenzeichen,Footnote sign,AA Footnot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6461BA"/>
    <w:rPr>
      <w:color w:val="0000FF" w:themeColor="hyperlink"/>
      <w:u w:val="none"/>
    </w:rPr>
  </w:style>
  <w:style w:type="character" w:customStyle="1" w:styleId="SingleTxtGChar">
    <w:name w:val="_ Single Txt_G Char"/>
    <w:link w:val="SingleTxtG"/>
    <w:rsid w:val="006461BA"/>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A47385"/>
    <w:rPr>
      <w:color w:val="605E5C"/>
      <w:shd w:val="clear" w:color="auto" w:fill="E1DFDD"/>
    </w:rPr>
  </w:style>
  <w:style w:type="paragraph" w:styleId="NormalWeb">
    <w:name w:val="Normal (Web)"/>
    <w:basedOn w:val="Normal"/>
    <w:uiPriority w:val="99"/>
    <w:unhideWhenUsed/>
    <w:qFormat/>
    <w:rsid w:val="00431428"/>
    <w:pPr>
      <w:suppressAutoHyphens w:val="0"/>
      <w:spacing w:after="420" w:line="240" w:lineRule="auto"/>
    </w:pPr>
    <w:rPr>
      <w:sz w:val="24"/>
      <w:szCs w:val="24"/>
      <w:lang w:eastAsia="en-GB"/>
    </w:rPr>
  </w:style>
  <w:style w:type="character" w:styleId="Emphasis">
    <w:name w:val="Emphasis"/>
    <w:basedOn w:val="DefaultParagraphFont"/>
    <w:uiPriority w:val="20"/>
    <w:qFormat/>
    <w:rsid w:val="007C10CD"/>
    <w:rPr>
      <w:b/>
      <w:bCs/>
      <w:i w:val="0"/>
      <w:iCs w:val="0"/>
    </w:rPr>
  </w:style>
  <w:style w:type="character" w:customStyle="1" w:styleId="st1">
    <w:name w:val="st1"/>
    <w:basedOn w:val="DefaultParagraphFont"/>
    <w:rsid w:val="007C10CD"/>
  </w:style>
  <w:style w:type="character" w:styleId="FollowedHyperlink">
    <w:name w:val="FollowedHyperlink"/>
    <w:basedOn w:val="DefaultParagraphFont"/>
    <w:uiPriority w:val="99"/>
    <w:semiHidden/>
    <w:unhideWhenUsed/>
    <w:rsid w:val="006F1843"/>
    <w:rPr>
      <w:color w:val="800080" w:themeColor="followedHyperlink"/>
      <w:u w:val="single"/>
    </w:rPr>
  </w:style>
  <w:style w:type="paragraph" w:styleId="ListParagraph">
    <w:name w:val="List Paragraph"/>
    <w:basedOn w:val="Normal"/>
    <w:uiPriority w:val="34"/>
    <w:qFormat/>
    <w:rsid w:val="00462755"/>
    <w:pPr>
      <w:ind w:left="720"/>
      <w:contextualSpacing/>
    </w:pPr>
  </w:style>
  <w:style w:type="character" w:styleId="CommentReference">
    <w:name w:val="annotation reference"/>
    <w:basedOn w:val="DefaultParagraphFont"/>
    <w:uiPriority w:val="99"/>
    <w:semiHidden/>
    <w:unhideWhenUsed/>
    <w:rsid w:val="006C3EB5"/>
    <w:rPr>
      <w:sz w:val="16"/>
      <w:szCs w:val="16"/>
    </w:rPr>
  </w:style>
  <w:style w:type="paragraph" w:styleId="CommentText">
    <w:name w:val="annotation text"/>
    <w:basedOn w:val="Normal"/>
    <w:link w:val="CommentTextChar"/>
    <w:uiPriority w:val="99"/>
    <w:semiHidden/>
    <w:unhideWhenUsed/>
    <w:rsid w:val="006C3EB5"/>
    <w:pPr>
      <w:spacing w:line="240" w:lineRule="auto"/>
    </w:pPr>
  </w:style>
  <w:style w:type="character" w:customStyle="1" w:styleId="CommentTextChar">
    <w:name w:val="Comment Text Char"/>
    <w:basedOn w:val="DefaultParagraphFont"/>
    <w:link w:val="CommentText"/>
    <w:uiPriority w:val="99"/>
    <w:semiHidden/>
    <w:rsid w:val="006C3EB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C3EB5"/>
    <w:rPr>
      <w:b/>
      <w:bCs/>
    </w:rPr>
  </w:style>
  <w:style w:type="character" w:customStyle="1" w:styleId="CommentSubjectChar">
    <w:name w:val="Comment Subject Char"/>
    <w:basedOn w:val="CommentTextChar"/>
    <w:link w:val="CommentSubject"/>
    <w:uiPriority w:val="99"/>
    <w:semiHidden/>
    <w:rsid w:val="006C3EB5"/>
    <w:rPr>
      <w:rFonts w:ascii="Times New Roman" w:eastAsia="Times New Roman" w:hAnsi="Times New Roman" w:cs="Times New Roman"/>
      <w:b/>
      <w:bCs/>
      <w:sz w:val="20"/>
      <w:szCs w:val="20"/>
      <w:lang w:eastAsia="en-US"/>
    </w:rPr>
  </w:style>
  <w:style w:type="character" w:customStyle="1" w:styleId="UnresolvedMention2">
    <w:name w:val="Unresolved Mention2"/>
    <w:basedOn w:val="DefaultParagraphFont"/>
    <w:uiPriority w:val="99"/>
    <w:semiHidden/>
    <w:unhideWhenUsed/>
    <w:rsid w:val="00673B3A"/>
    <w:rPr>
      <w:color w:val="605E5C"/>
      <w:shd w:val="clear" w:color="auto" w:fill="E1DFDD"/>
    </w:rPr>
  </w:style>
  <w:style w:type="character" w:customStyle="1" w:styleId="shorttext">
    <w:name w:val="short_text"/>
    <w:rsid w:val="00D23EE6"/>
  </w:style>
  <w:style w:type="character" w:customStyle="1" w:styleId="H23GChar">
    <w:name w:val="_ H_2/3_G Char"/>
    <w:link w:val="H23G"/>
    <w:locked/>
    <w:rsid w:val="00D06105"/>
    <w:rPr>
      <w:rFonts w:ascii="Times New Roman" w:eastAsia="Times New Roman" w:hAnsi="Times New Roman" w:cs="Times New Roman"/>
      <w:b/>
      <w:sz w:val="20"/>
      <w:szCs w:val="20"/>
      <w:lang w:eastAsia="en-US"/>
    </w:rPr>
  </w:style>
  <w:style w:type="paragraph" w:customStyle="1" w:styleId="BodyA">
    <w:name w:val="Body A"/>
    <w:rsid w:val="00D06105"/>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436027403">
      <w:bodyDiv w:val="1"/>
      <w:marLeft w:val="0"/>
      <w:marRight w:val="0"/>
      <w:marTop w:val="0"/>
      <w:marBottom w:val="0"/>
      <w:divBdr>
        <w:top w:val="none" w:sz="0" w:space="0" w:color="auto"/>
        <w:left w:val="none" w:sz="0" w:space="0" w:color="auto"/>
        <w:bottom w:val="none" w:sz="0" w:space="0" w:color="auto"/>
        <w:right w:val="none" w:sz="0" w:space="0" w:color="auto"/>
      </w:divBdr>
    </w:div>
    <w:div w:id="464348572">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151096872">
      <w:bodyDiv w:val="1"/>
      <w:marLeft w:val="0"/>
      <w:marRight w:val="0"/>
      <w:marTop w:val="0"/>
      <w:marBottom w:val="0"/>
      <w:divBdr>
        <w:top w:val="none" w:sz="0" w:space="0" w:color="auto"/>
        <w:left w:val="none" w:sz="0" w:space="0" w:color="auto"/>
        <w:bottom w:val="none" w:sz="0" w:space="0" w:color="auto"/>
        <w:right w:val="none" w:sz="0" w:space="0" w:color="auto"/>
      </w:divBdr>
      <w:divsChild>
        <w:div w:id="826828042">
          <w:marLeft w:val="0"/>
          <w:marRight w:val="0"/>
          <w:marTop w:val="0"/>
          <w:marBottom w:val="0"/>
          <w:divBdr>
            <w:top w:val="none" w:sz="0" w:space="0" w:color="auto"/>
            <w:left w:val="none" w:sz="0" w:space="0" w:color="auto"/>
            <w:bottom w:val="none" w:sz="0" w:space="0" w:color="auto"/>
            <w:right w:val="none" w:sz="0" w:space="0" w:color="auto"/>
          </w:divBdr>
          <w:divsChild>
            <w:div w:id="2011331384">
              <w:marLeft w:val="0"/>
              <w:marRight w:val="0"/>
              <w:marTop w:val="0"/>
              <w:marBottom w:val="0"/>
              <w:divBdr>
                <w:top w:val="none" w:sz="0" w:space="0" w:color="auto"/>
                <w:left w:val="none" w:sz="0" w:space="0" w:color="auto"/>
                <w:bottom w:val="none" w:sz="0" w:space="0" w:color="auto"/>
                <w:right w:val="none" w:sz="0" w:space="0" w:color="auto"/>
              </w:divBdr>
              <w:divsChild>
                <w:div w:id="576011742">
                  <w:marLeft w:val="0"/>
                  <w:marRight w:val="0"/>
                  <w:marTop w:val="0"/>
                  <w:marBottom w:val="0"/>
                  <w:divBdr>
                    <w:top w:val="none" w:sz="0" w:space="0" w:color="auto"/>
                    <w:left w:val="none" w:sz="0" w:space="0" w:color="auto"/>
                    <w:bottom w:val="none" w:sz="0" w:space="0" w:color="auto"/>
                    <w:right w:val="none" w:sz="0" w:space="0" w:color="auto"/>
                  </w:divBdr>
                  <w:divsChild>
                    <w:div w:id="1859731378">
                      <w:marLeft w:val="-135"/>
                      <w:marRight w:val="-135"/>
                      <w:marTop w:val="0"/>
                      <w:marBottom w:val="0"/>
                      <w:divBdr>
                        <w:top w:val="none" w:sz="0" w:space="0" w:color="auto"/>
                        <w:left w:val="none" w:sz="0" w:space="0" w:color="auto"/>
                        <w:bottom w:val="none" w:sz="0" w:space="0" w:color="auto"/>
                        <w:right w:val="none" w:sz="0" w:space="0" w:color="auto"/>
                      </w:divBdr>
                      <w:divsChild>
                        <w:div w:id="1318997771">
                          <w:marLeft w:val="0"/>
                          <w:marRight w:val="0"/>
                          <w:marTop w:val="0"/>
                          <w:marBottom w:val="0"/>
                          <w:divBdr>
                            <w:top w:val="none" w:sz="0" w:space="0" w:color="auto"/>
                            <w:left w:val="none" w:sz="0" w:space="0" w:color="auto"/>
                            <w:bottom w:val="none" w:sz="0" w:space="0" w:color="auto"/>
                            <w:right w:val="none" w:sz="0" w:space="0" w:color="auto"/>
                          </w:divBdr>
                          <w:divsChild>
                            <w:div w:id="2060324607">
                              <w:marLeft w:val="0"/>
                              <w:marRight w:val="0"/>
                              <w:marTop w:val="0"/>
                              <w:marBottom w:val="0"/>
                              <w:divBdr>
                                <w:top w:val="none" w:sz="0" w:space="0" w:color="auto"/>
                                <w:left w:val="none" w:sz="0" w:space="0" w:color="auto"/>
                                <w:bottom w:val="none" w:sz="0" w:space="0" w:color="auto"/>
                                <w:right w:val="none" w:sz="0" w:space="0" w:color="auto"/>
                              </w:divBdr>
                              <w:divsChild>
                                <w:div w:id="6218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539587664">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0704022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799375006">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1394760">
      <w:bodyDiv w:val="1"/>
      <w:marLeft w:val="0"/>
      <w:marRight w:val="0"/>
      <w:marTop w:val="0"/>
      <w:marBottom w:val="0"/>
      <w:divBdr>
        <w:top w:val="none" w:sz="0" w:space="0" w:color="auto"/>
        <w:left w:val="none" w:sz="0" w:space="0" w:color="auto"/>
        <w:bottom w:val="none" w:sz="0" w:space="0" w:color="auto"/>
        <w:right w:val="none" w:sz="0" w:space="0" w:color="auto"/>
      </w:divBdr>
      <w:divsChild>
        <w:div w:id="194778360">
          <w:marLeft w:val="0"/>
          <w:marRight w:val="0"/>
          <w:marTop w:val="0"/>
          <w:marBottom w:val="0"/>
          <w:divBdr>
            <w:top w:val="none" w:sz="0" w:space="0" w:color="auto"/>
            <w:left w:val="none" w:sz="0" w:space="0" w:color="auto"/>
            <w:bottom w:val="none" w:sz="0" w:space="0" w:color="auto"/>
            <w:right w:val="none" w:sz="0" w:space="0" w:color="auto"/>
          </w:divBdr>
          <w:divsChild>
            <w:div w:id="121778650">
              <w:marLeft w:val="0"/>
              <w:marRight w:val="0"/>
              <w:marTop w:val="0"/>
              <w:marBottom w:val="0"/>
              <w:divBdr>
                <w:top w:val="none" w:sz="0" w:space="0" w:color="auto"/>
                <w:left w:val="none" w:sz="0" w:space="0" w:color="auto"/>
                <w:bottom w:val="none" w:sz="0" w:space="0" w:color="auto"/>
                <w:right w:val="none" w:sz="0" w:space="0" w:color="auto"/>
              </w:divBdr>
              <w:divsChild>
                <w:div w:id="1631671659">
                  <w:marLeft w:val="0"/>
                  <w:marRight w:val="0"/>
                  <w:marTop w:val="0"/>
                  <w:marBottom w:val="0"/>
                  <w:divBdr>
                    <w:top w:val="none" w:sz="0" w:space="0" w:color="auto"/>
                    <w:left w:val="none" w:sz="0" w:space="0" w:color="auto"/>
                    <w:bottom w:val="none" w:sz="0" w:space="0" w:color="auto"/>
                    <w:right w:val="none" w:sz="0" w:space="0" w:color="auto"/>
                  </w:divBdr>
                  <w:divsChild>
                    <w:div w:id="1313146045">
                      <w:marLeft w:val="0"/>
                      <w:marRight w:val="0"/>
                      <w:marTop w:val="0"/>
                      <w:marBottom w:val="0"/>
                      <w:divBdr>
                        <w:top w:val="none" w:sz="0" w:space="0" w:color="auto"/>
                        <w:left w:val="none" w:sz="0" w:space="0" w:color="auto"/>
                        <w:bottom w:val="none" w:sz="0" w:space="0" w:color="auto"/>
                        <w:right w:val="none" w:sz="0" w:space="0" w:color="auto"/>
                      </w:divBdr>
                      <w:divsChild>
                        <w:div w:id="1419718381">
                          <w:marLeft w:val="0"/>
                          <w:marRight w:val="0"/>
                          <w:marTop w:val="0"/>
                          <w:marBottom w:val="0"/>
                          <w:divBdr>
                            <w:top w:val="none" w:sz="0" w:space="0" w:color="auto"/>
                            <w:left w:val="none" w:sz="0" w:space="0" w:color="auto"/>
                            <w:bottom w:val="none" w:sz="0" w:space="0" w:color="auto"/>
                            <w:right w:val="none" w:sz="0" w:space="0" w:color="auto"/>
                          </w:divBdr>
                          <w:divsChild>
                            <w:div w:id="1271163336">
                              <w:marLeft w:val="0"/>
                              <w:marRight w:val="0"/>
                              <w:marTop w:val="0"/>
                              <w:marBottom w:val="0"/>
                              <w:divBdr>
                                <w:top w:val="none" w:sz="0" w:space="0" w:color="auto"/>
                                <w:left w:val="none" w:sz="0" w:space="0" w:color="auto"/>
                                <w:bottom w:val="none" w:sz="0" w:space="0" w:color="auto"/>
                                <w:right w:val="none" w:sz="0" w:space="0" w:color="auto"/>
                              </w:divBdr>
                              <w:divsChild>
                                <w:div w:id="327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 w:id="21412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tore.ohchr.org/SelfServices/FilesHandler.ashx?enc=6QkG1d%2FPPRiCAqhKb7yhsoNGbyGkOIGC%2Fg46yWsxEHvAsWZ9dtpLIRdNyWhUFxDS9TSKnM1HjcwVmj7vRSWWBxMIwMms4waby1y%2BABGlU4s4ZS%2FzpHhaQAhZXcoETsc%2B"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docstore.ohchr.org/SelfServices/FilesHandler.ashx?enc=6QkG1d%2FPPRiCAqhKb7yhsoNGbyGkOIGC%2Fg46yWsxEHvAsWZ9dtpLIRdNyWhUFxDS9TSKnM1HjcwVmj7vRSWWBxMIwMms4waby1y%2BABGlU4s4ZS%2FzpHhaQAhZXcoETsc%2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CCPR/C/HND/CO/2/Add.1"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83AC46BB0E47AF1D964838E94D9C" ma:contentTypeVersion="1" ma:contentTypeDescription="Create a new document." ma:contentTypeScope="" ma:versionID="403a57a66c41ba198870478eb5030936">
  <xsd:schema xmlns:xsd="http://www.w3.org/2001/XMLSchema" xmlns:xs="http://www.w3.org/2001/XMLSchema" xmlns:p="http://schemas.microsoft.com/office/2006/metadata/properties" xmlns:ns2="2aaee834-9909-4a33-8d07-5c18e03f335b" targetNamespace="http://schemas.microsoft.com/office/2006/metadata/properties" ma:root="true" ma:fieldsID="0d0584d6b2921efda579c89d505de912" ns2:_="">
    <xsd:import namespace="2aaee834-9909-4a33-8d07-5c18e03f335b"/>
    <xsd:element name="properties">
      <xsd:complexType>
        <xsd:sequence>
          <xsd:element name="documentManagement">
            <xsd:complexType>
              <xsd:all>
                <xsd:element ref="ns2:_x002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ee834-9909-4a33-8d07-5c18e03f335b" elementFormDefault="qualified">
    <xsd:import namespace="http://schemas.microsoft.com/office/2006/documentManagement/types"/>
    <xsd:import namespace="http://schemas.microsoft.com/office/infopath/2007/PartnerControls"/>
    <xsd:element name="_x002d_" ma:index="8" nillable="true" ma:displayName="-" ma:default="Documents" ma:description="Select a document type" ma:format="Dropdown" ma:internalName="_x002d_">
      <xsd:simpleType>
        <xsd:restriction base="dms:Choice">
          <xsd:enumeration value="Documents"/>
          <xsd:enumeration value="Annotated provisional agenda"/>
          <xsd:enumeration value="Follow-up COBs"/>
          <xsd:enumeration value="Rules of Procedure"/>
          <xsd:enumeration value="Oral statements"/>
          <xsd:enumeration value="Bureau minu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d_ xmlns="2aaee834-9909-4a33-8d07-5c18e03f335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4523B-7899-4445-B1A4-E14405CB9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ee834-9909-4a33-8d07-5c18e03f3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83141-B332-485A-9312-B2A75BE8F926}">
  <ds:schemaRefs>
    <ds:schemaRef ds:uri="http://schemas.microsoft.com/sharepoint/v3/contenttype/forms"/>
  </ds:schemaRefs>
</ds:datastoreItem>
</file>

<file path=customXml/itemProps3.xml><?xml version="1.0" encoding="utf-8"?>
<ds:datastoreItem xmlns:ds="http://schemas.openxmlformats.org/officeDocument/2006/customXml" ds:itemID="{A596EDE1-D9E9-4C61-8AFC-2D6008CE00A4}">
  <ds:schemaRefs>
    <ds:schemaRef ds:uri="http://schemas.openxmlformats.org/package/2006/metadata/core-properties"/>
    <ds:schemaRef ds:uri="http://purl.org/dc/elements/1.1/"/>
    <ds:schemaRef ds:uri="http://www.w3.org/XML/1998/namespace"/>
    <ds:schemaRef ds:uri="2aaee834-9909-4a33-8d07-5c18e03f335b"/>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F88F3F5-9D63-4837-AC89-19BE3B82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2915</Words>
  <Characters>16380</Characters>
  <Application>Microsoft Office Word</Application>
  <DocSecurity>0</DocSecurity>
  <Lines>281</Lines>
  <Paragraphs>93</Paragraphs>
  <ScaleCrop>false</ScaleCrop>
  <HeadingPairs>
    <vt:vector size="2" baseType="variant">
      <vt:variant>
        <vt:lpstr>Title</vt:lpstr>
      </vt:variant>
      <vt:variant>
        <vt:i4>1</vt:i4>
      </vt:variant>
    </vt:vector>
  </HeadingPairs>
  <TitlesOfParts>
    <vt:vector size="1" baseType="lpstr">
      <vt:lpstr>CCPR/C/130/R.1/Add.3</vt:lpstr>
    </vt:vector>
  </TitlesOfParts>
  <Company>DCM</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CCPR/C/130/R.1/Add.3</dc:title>
  <dc:subject>2102128</dc:subject>
  <dc:creator>cg</dc:creator>
  <cp:keywords/>
  <dc:description/>
  <cp:lastModifiedBy>Cristina BRIGOLI</cp:lastModifiedBy>
  <cp:revision>2</cp:revision>
  <dcterms:created xsi:type="dcterms:W3CDTF">2021-03-01T08:48:00Z</dcterms:created>
  <dcterms:modified xsi:type="dcterms:W3CDTF">2021-03-01T08:48:00Z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0x010100351783AC46BB0E47AF1D964838E94D9C</vt:lpwstr>
  </property>
</Properties>
</file>