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B808469" w14:textId="77777777" w:rsidTr="002B7BC7">
        <w:trPr>
          <w:trHeight w:hRule="exact" w:val="851"/>
        </w:trPr>
        <w:tc>
          <w:tcPr>
            <w:tcW w:w="1276" w:type="dxa"/>
            <w:tcBorders>
              <w:bottom w:val="single" w:sz="4" w:space="0" w:color="auto"/>
            </w:tcBorders>
          </w:tcPr>
          <w:p w14:paraId="2590B33D" w14:textId="77777777" w:rsidR="006F71EA" w:rsidRPr="00DB58B5" w:rsidRDefault="006F71EA" w:rsidP="000A63D9"/>
        </w:tc>
        <w:tc>
          <w:tcPr>
            <w:tcW w:w="2268" w:type="dxa"/>
            <w:tcBorders>
              <w:bottom w:val="single" w:sz="4" w:space="0" w:color="auto"/>
            </w:tcBorders>
            <w:vAlign w:val="bottom"/>
          </w:tcPr>
          <w:p w14:paraId="3B38F17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93646E" w14:textId="77777777" w:rsidR="006F71EA" w:rsidRPr="00DB58B5" w:rsidRDefault="000A63D9" w:rsidP="000A63D9">
            <w:pPr>
              <w:jc w:val="right"/>
            </w:pPr>
            <w:r w:rsidRPr="000A63D9">
              <w:rPr>
                <w:sz w:val="40"/>
              </w:rPr>
              <w:t>CCPR</w:t>
            </w:r>
            <w:r>
              <w:t>/C/130/2/Add.2</w:t>
            </w:r>
          </w:p>
        </w:tc>
      </w:tr>
      <w:tr w:rsidR="006F71EA" w:rsidRPr="00DB58B5" w14:paraId="5BD64D98" w14:textId="77777777" w:rsidTr="002B7BC7">
        <w:trPr>
          <w:trHeight w:hRule="exact" w:val="2835"/>
        </w:trPr>
        <w:tc>
          <w:tcPr>
            <w:tcW w:w="1276" w:type="dxa"/>
            <w:tcBorders>
              <w:top w:val="single" w:sz="4" w:space="0" w:color="auto"/>
              <w:bottom w:val="single" w:sz="12" w:space="0" w:color="auto"/>
            </w:tcBorders>
          </w:tcPr>
          <w:p w14:paraId="4C648FAD" w14:textId="77777777" w:rsidR="006F71EA" w:rsidRPr="00DB58B5" w:rsidRDefault="006F71EA" w:rsidP="002B7BC7">
            <w:pPr>
              <w:spacing w:before="120"/>
              <w:jc w:val="center"/>
            </w:pPr>
            <w:r>
              <w:rPr>
                <w:noProof/>
                <w:lang w:eastAsia="fr-CH"/>
              </w:rPr>
              <w:drawing>
                <wp:inline distT="0" distB="0" distL="0" distR="0" wp14:anchorId="674D40F9" wp14:editId="19C26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E8D06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68F5F6D" w14:textId="77777777" w:rsidR="006F71EA" w:rsidRDefault="000A63D9" w:rsidP="002B7BC7">
            <w:pPr>
              <w:spacing w:before="240"/>
            </w:pPr>
            <w:proofErr w:type="spellStart"/>
            <w:r>
              <w:t>Distr</w:t>
            </w:r>
            <w:proofErr w:type="spellEnd"/>
            <w:r>
              <w:t>. générale</w:t>
            </w:r>
          </w:p>
          <w:p w14:paraId="654C9CEE" w14:textId="77777777" w:rsidR="000A63D9" w:rsidRDefault="000A63D9" w:rsidP="000A63D9">
            <w:pPr>
              <w:spacing w:line="240" w:lineRule="exact"/>
            </w:pPr>
            <w:r>
              <w:t>22 février 2021</w:t>
            </w:r>
          </w:p>
          <w:p w14:paraId="472D497A" w14:textId="77777777" w:rsidR="000A63D9" w:rsidRDefault="000A63D9" w:rsidP="000A63D9">
            <w:pPr>
              <w:spacing w:line="240" w:lineRule="exact"/>
            </w:pPr>
            <w:r>
              <w:t>Français</w:t>
            </w:r>
          </w:p>
          <w:p w14:paraId="2F68A031" w14:textId="77777777" w:rsidR="000A63D9" w:rsidRPr="00DB58B5" w:rsidRDefault="000A63D9" w:rsidP="000A63D9">
            <w:pPr>
              <w:spacing w:line="240" w:lineRule="exact"/>
            </w:pPr>
            <w:r>
              <w:t>Original : anglais</w:t>
            </w:r>
          </w:p>
        </w:tc>
      </w:tr>
    </w:tbl>
    <w:p w14:paraId="476B993C" w14:textId="77777777" w:rsidR="006F71EA" w:rsidRDefault="006F71EA" w:rsidP="006F71EA">
      <w:pPr>
        <w:spacing w:before="120"/>
        <w:rPr>
          <w:b/>
          <w:sz w:val="24"/>
          <w:szCs w:val="24"/>
        </w:rPr>
      </w:pPr>
      <w:r w:rsidRPr="00DF3BF1">
        <w:rPr>
          <w:b/>
          <w:sz w:val="24"/>
          <w:szCs w:val="24"/>
        </w:rPr>
        <w:t>Comité des droits de l</w:t>
      </w:r>
      <w:r w:rsidR="0004331D">
        <w:rPr>
          <w:b/>
          <w:sz w:val="24"/>
          <w:szCs w:val="24"/>
        </w:rPr>
        <w:t>’</w:t>
      </w:r>
      <w:r w:rsidRPr="00DF3BF1">
        <w:rPr>
          <w:b/>
          <w:sz w:val="24"/>
          <w:szCs w:val="24"/>
        </w:rPr>
        <w:t>homme</w:t>
      </w:r>
    </w:p>
    <w:p w14:paraId="36AAD218" w14:textId="71BA6B3D" w:rsidR="00ED4C2F" w:rsidRPr="00ED4C2F" w:rsidRDefault="000A63D9" w:rsidP="00ED4C2F">
      <w:pPr>
        <w:pStyle w:val="HChG"/>
        <w:rPr>
          <w:b w:val="0"/>
          <w:bCs/>
          <w:sz w:val="20"/>
          <w:lang w:val="fr-FR"/>
        </w:rPr>
      </w:pPr>
      <w:r>
        <w:rPr>
          <w:lang w:val="fr-FR"/>
        </w:rPr>
        <w:tab/>
      </w:r>
      <w:r>
        <w:rPr>
          <w:lang w:val="fr-FR"/>
        </w:rPr>
        <w:tab/>
        <w:t xml:space="preserve">Rapport sur le suivi des observations finales du Comité </w:t>
      </w:r>
      <w:r>
        <w:rPr>
          <w:lang w:val="fr-FR"/>
        </w:rPr>
        <w:br/>
        <w:t>des droits de l</w:t>
      </w:r>
      <w:r w:rsidR="0004331D">
        <w:rPr>
          <w:lang w:val="fr-FR"/>
        </w:rPr>
        <w:t>’</w:t>
      </w:r>
      <w:r>
        <w:rPr>
          <w:lang w:val="fr-FR"/>
        </w:rPr>
        <w:t>homme</w:t>
      </w:r>
      <w:bookmarkStart w:id="0" w:name="_Toc506807534"/>
      <w:bookmarkEnd w:id="0"/>
      <w:r w:rsidR="00A638CA" w:rsidRPr="00ED4C2F">
        <w:rPr>
          <w:rStyle w:val="Appelnotedebasdep"/>
          <w:b w:val="0"/>
          <w:bCs/>
          <w:sz w:val="20"/>
          <w:vertAlign w:val="baseline"/>
        </w:rPr>
        <w:footnoteReference w:customMarkFollows="1" w:id="2"/>
        <w:t>*</w:t>
      </w:r>
    </w:p>
    <w:p w14:paraId="593808DA" w14:textId="77777777" w:rsidR="000A63D9" w:rsidRPr="00906443" w:rsidRDefault="000A63D9" w:rsidP="000A63D9">
      <w:pPr>
        <w:pStyle w:val="H23G"/>
        <w:rPr>
          <w:rFonts w:eastAsia="SimSun"/>
          <w:lang w:val="fr-FR"/>
        </w:rPr>
      </w:pPr>
      <w:r>
        <w:rPr>
          <w:lang w:val="fr-FR"/>
        </w:rPr>
        <w:tab/>
      </w:r>
      <w:r>
        <w:rPr>
          <w:lang w:val="fr-FR"/>
        </w:rPr>
        <w:tab/>
        <w:t>Additif</w:t>
      </w:r>
    </w:p>
    <w:p w14:paraId="55B883A9" w14:textId="77777777" w:rsidR="000A63D9" w:rsidRPr="00906443" w:rsidRDefault="000A63D9" w:rsidP="000A63D9">
      <w:pPr>
        <w:pStyle w:val="HChG"/>
        <w:rPr>
          <w:lang w:val="fr-FR"/>
        </w:rPr>
      </w:pPr>
      <w:r>
        <w:rPr>
          <w:lang w:val="fr-FR"/>
        </w:rPr>
        <w:tab/>
      </w:r>
      <w:r>
        <w:rPr>
          <w:lang w:val="fr-FR"/>
        </w:rPr>
        <w:tab/>
        <w:t xml:space="preserve">Évaluation des renseignements sur la suite donnée </w:t>
      </w:r>
      <w:r>
        <w:rPr>
          <w:lang w:val="fr-FR"/>
        </w:rPr>
        <w:br/>
        <w:t>aux observations finales concernant Madagascar</w:t>
      </w:r>
    </w:p>
    <w:tbl>
      <w:tblPr>
        <w:tblW w:w="7370" w:type="dxa"/>
        <w:tblInd w:w="1134" w:type="dxa"/>
        <w:tblLayout w:type="fixed"/>
        <w:tblCellMar>
          <w:left w:w="0" w:type="dxa"/>
          <w:right w:w="0" w:type="dxa"/>
        </w:tblCellMar>
        <w:tblLook w:val="00A0" w:firstRow="1" w:lastRow="0" w:firstColumn="1" w:lastColumn="0" w:noHBand="0" w:noVBand="0"/>
      </w:tblPr>
      <w:tblGrid>
        <w:gridCol w:w="3878"/>
        <w:gridCol w:w="3492"/>
      </w:tblGrid>
      <w:tr w:rsidR="000A63D9" w:rsidRPr="00246E50" w14:paraId="46680203" w14:textId="77777777" w:rsidTr="00247FBC">
        <w:trPr>
          <w:tblHeader/>
        </w:trPr>
        <w:tc>
          <w:tcPr>
            <w:tcW w:w="3878" w:type="dxa"/>
            <w:shd w:val="clear" w:color="auto" w:fill="auto"/>
            <w:vAlign w:val="bottom"/>
          </w:tcPr>
          <w:p w14:paraId="229FDCE3" w14:textId="77777777" w:rsidR="000A63D9" w:rsidRPr="00B66EEB" w:rsidRDefault="000A63D9" w:rsidP="00247FBC">
            <w:pPr>
              <w:suppressAutoHyphens w:val="0"/>
              <w:spacing w:before="40" w:after="120" w:line="220" w:lineRule="exact"/>
              <w:ind w:right="113"/>
              <w:rPr>
                <w:rFonts w:eastAsiaTheme="minorEastAsia"/>
                <w:i/>
              </w:rPr>
            </w:pPr>
            <w:r>
              <w:rPr>
                <w:i/>
                <w:iCs/>
                <w:lang w:val="fr-FR"/>
              </w:rPr>
              <w:t>Observations finales (120</w:t>
            </w:r>
            <w:r>
              <w:rPr>
                <w:i/>
                <w:iCs/>
                <w:vertAlign w:val="superscript"/>
                <w:lang w:val="fr-FR"/>
              </w:rPr>
              <w:t>e</w:t>
            </w:r>
            <w:r>
              <w:rPr>
                <w:i/>
                <w:iCs/>
                <w:lang w:val="fr-FR"/>
              </w:rPr>
              <w:t> session)</w:t>
            </w:r>
            <w:r>
              <w:rPr>
                <w:i/>
                <w:iCs/>
                <w:lang w:val="fr-FR"/>
              </w:rPr>
              <w:t> </w:t>
            </w:r>
            <w:r w:rsidRPr="000A63D9">
              <w:rPr>
                <w:lang w:val="fr-FR"/>
              </w:rPr>
              <w:t>:</w:t>
            </w:r>
          </w:p>
        </w:tc>
        <w:tc>
          <w:tcPr>
            <w:tcW w:w="3492" w:type="dxa"/>
            <w:shd w:val="clear" w:color="auto" w:fill="auto"/>
          </w:tcPr>
          <w:p w14:paraId="69E9B8EB" w14:textId="77777777" w:rsidR="000A63D9" w:rsidRPr="00522E18" w:rsidRDefault="000A63D9" w:rsidP="00247FBC">
            <w:pPr>
              <w:suppressAutoHyphens w:val="0"/>
              <w:spacing w:before="40" w:after="120"/>
              <w:rPr>
                <w:lang w:val="en-US"/>
              </w:rPr>
            </w:pPr>
            <w:hyperlink r:id="rId8" w:history="1">
              <w:r w:rsidRPr="00FC6C68">
                <w:rPr>
                  <w:rStyle w:val="Lienhypertexte"/>
                  <w:lang w:val="en-US"/>
                </w:rPr>
                <w:t>CCPR/C/MDG/CO</w:t>
              </w:r>
              <w:r w:rsidRPr="00FC6C68">
                <w:rPr>
                  <w:rStyle w:val="Lienhypertexte"/>
                  <w:lang w:val="en-US"/>
                </w:rPr>
                <w:t>/</w:t>
              </w:r>
              <w:r w:rsidRPr="00FC6C68">
                <w:rPr>
                  <w:rStyle w:val="Lienhypertexte"/>
                  <w:lang w:val="en-US"/>
                </w:rPr>
                <w:t>4</w:t>
              </w:r>
            </w:hyperlink>
            <w:r w:rsidRPr="00522E18">
              <w:rPr>
                <w:lang w:val="en-US"/>
              </w:rPr>
              <w:t xml:space="preserve">, </w:t>
            </w:r>
            <w:r>
              <w:rPr>
                <w:lang w:val="en-US"/>
              </w:rPr>
              <w:t>25</w:t>
            </w:r>
            <w:r>
              <w:rPr>
                <w:lang w:val="en-US"/>
              </w:rPr>
              <w:t> </w:t>
            </w:r>
            <w:proofErr w:type="spellStart"/>
            <w:r>
              <w:rPr>
                <w:lang w:val="en-US"/>
              </w:rPr>
              <w:t>juillet</w:t>
            </w:r>
            <w:proofErr w:type="spellEnd"/>
            <w:r w:rsidR="00247FBC">
              <w:rPr>
                <w:lang w:val="en-US"/>
              </w:rPr>
              <w:t xml:space="preserve"> </w:t>
            </w:r>
            <w:r w:rsidRPr="00522E18">
              <w:rPr>
                <w:lang w:val="en-US"/>
              </w:rPr>
              <w:t>2017</w:t>
            </w:r>
          </w:p>
        </w:tc>
      </w:tr>
      <w:tr w:rsidR="000A63D9" w:rsidRPr="007E6FA5" w14:paraId="6794ACC5" w14:textId="77777777" w:rsidTr="00247FBC">
        <w:tc>
          <w:tcPr>
            <w:tcW w:w="3878" w:type="dxa"/>
            <w:shd w:val="clear" w:color="auto" w:fill="auto"/>
          </w:tcPr>
          <w:p w14:paraId="1F22037C" w14:textId="77777777" w:rsidR="000A63D9" w:rsidRPr="00906443" w:rsidRDefault="000A63D9" w:rsidP="00247FBC">
            <w:pPr>
              <w:suppressAutoHyphens w:val="0"/>
              <w:spacing w:before="40" w:after="120" w:line="220" w:lineRule="exact"/>
              <w:ind w:right="113"/>
              <w:rPr>
                <w:rFonts w:eastAsiaTheme="minorEastAsia"/>
                <w:i/>
                <w:iCs/>
                <w:lang w:val="fr-FR"/>
              </w:rPr>
            </w:pPr>
            <w:r>
              <w:rPr>
                <w:i/>
                <w:iCs/>
                <w:lang w:val="fr-FR"/>
              </w:rPr>
              <w:t>Paragraphes faisant l</w:t>
            </w:r>
            <w:r w:rsidR="0004331D">
              <w:rPr>
                <w:i/>
                <w:iCs/>
                <w:lang w:val="fr-FR"/>
              </w:rPr>
              <w:t>’</w:t>
            </w:r>
            <w:r>
              <w:rPr>
                <w:i/>
                <w:iCs/>
                <w:lang w:val="fr-FR"/>
              </w:rPr>
              <w:t>objet d</w:t>
            </w:r>
            <w:r w:rsidR="0004331D">
              <w:rPr>
                <w:i/>
                <w:iCs/>
                <w:lang w:val="fr-FR"/>
              </w:rPr>
              <w:t>’</w:t>
            </w:r>
            <w:r>
              <w:rPr>
                <w:i/>
                <w:iCs/>
                <w:lang w:val="fr-FR"/>
              </w:rPr>
              <w:t>un suivi</w:t>
            </w:r>
            <w:r>
              <w:rPr>
                <w:i/>
                <w:iCs/>
                <w:lang w:val="fr-FR"/>
              </w:rPr>
              <w:t> </w:t>
            </w:r>
            <w:r w:rsidRPr="000A63D9">
              <w:rPr>
                <w:lang w:val="fr-FR"/>
              </w:rPr>
              <w:t>:</w:t>
            </w:r>
          </w:p>
        </w:tc>
        <w:tc>
          <w:tcPr>
            <w:tcW w:w="3492" w:type="dxa"/>
            <w:shd w:val="clear" w:color="auto" w:fill="auto"/>
          </w:tcPr>
          <w:p w14:paraId="76EC7014" w14:textId="77777777" w:rsidR="000A63D9" w:rsidRPr="00B66EEB" w:rsidRDefault="000A63D9" w:rsidP="00247FBC">
            <w:pPr>
              <w:suppressAutoHyphens w:val="0"/>
              <w:spacing w:before="40" w:after="120" w:line="220" w:lineRule="exact"/>
              <w:rPr>
                <w:rFonts w:eastAsiaTheme="minorEastAsia"/>
              </w:rPr>
            </w:pPr>
            <w:r>
              <w:rPr>
                <w:lang w:val="fr-FR"/>
              </w:rPr>
              <w:t>8, 14 et 30</w:t>
            </w:r>
          </w:p>
        </w:tc>
      </w:tr>
      <w:tr w:rsidR="000A63D9" w:rsidRPr="00246E50" w14:paraId="3C9D8B89" w14:textId="77777777" w:rsidTr="00247FBC">
        <w:tc>
          <w:tcPr>
            <w:tcW w:w="3878" w:type="dxa"/>
            <w:shd w:val="clear" w:color="auto" w:fill="auto"/>
          </w:tcPr>
          <w:p w14:paraId="4DB4E4FF" w14:textId="77777777" w:rsidR="000A63D9" w:rsidRPr="00906443" w:rsidRDefault="000A63D9" w:rsidP="00247FBC">
            <w:pPr>
              <w:suppressAutoHyphens w:val="0"/>
              <w:spacing w:before="40" w:after="120" w:line="220" w:lineRule="exact"/>
              <w:ind w:right="113"/>
              <w:rPr>
                <w:rFonts w:eastAsiaTheme="minorEastAsia"/>
                <w:i/>
                <w:iCs/>
                <w:lang w:val="fr-FR"/>
              </w:rPr>
            </w:pPr>
            <w:r>
              <w:rPr>
                <w:i/>
                <w:iCs/>
                <w:lang w:val="fr-FR"/>
              </w:rPr>
              <w:t>Réponse sur la suite donnée aux observations</w:t>
            </w:r>
            <w:r>
              <w:rPr>
                <w:i/>
                <w:iCs/>
                <w:lang w:val="fr-FR"/>
              </w:rPr>
              <w:t> </w:t>
            </w:r>
            <w:r w:rsidRPr="000A63D9">
              <w:rPr>
                <w:lang w:val="fr-FR"/>
              </w:rPr>
              <w:t>:</w:t>
            </w:r>
          </w:p>
        </w:tc>
        <w:tc>
          <w:tcPr>
            <w:tcW w:w="3492" w:type="dxa"/>
            <w:shd w:val="clear" w:color="auto" w:fill="auto"/>
          </w:tcPr>
          <w:p w14:paraId="2FC1E5E7" w14:textId="77777777" w:rsidR="000A63D9" w:rsidRPr="00FC6C68" w:rsidRDefault="000A63D9" w:rsidP="00247FBC">
            <w:pPr>
              <w:suppressAutoHyphens w:val="0"/>
              <w:spacing w:before="40" w:after="120" w:line="240" w:lineRule="auto"/>
              <w:rPr>
                <w:rFonts w:eastAsia="SimSun"/>
                <w:lang w:val="en-US"/>
              </w:rPr>
            </w:pPr>
            <w:hyperlink r:id="rId9" w:history="1">
              <w:r w:rsidRPr="00FC6C68">
                <w:rPr>
                  <w:rStyle w:val="Lienhypertexte"/>
                  <w:lang w:val="en-US"/>
                </w:rPr>
                <w:t>CCPR/C/MDG/CO/</w:t>
              </w:r>
              <w:r w:rsidRPr="00FC6C68">
                <w:rPr>
                  <w:rStyle w:val="Lienhypertexte"/>
                  <w:lang w:val="en-US"/>
                </w:rPr>
                <w:t>4</w:t>
              </w:r>
              <w:r w:rsidRPr="00FC6C68">
                <w:rPr>
                  <w:rStyle w:val="Lienhypertexte"/>
                  <w:lang w:val="en-US"/>
                </w:rPr>
                <w:t>/Add</w:t>
              </w:r>
              <w:r w:rsidRPr="00B770CF">
                <w:rPr>
                  <w:rStyle w:val="Lienhypertexte"/>
                  <w:lang w:val="en-US"/>
                </w:rPr>
                <w:t>.</w:t>
              </w:r>
              <w:r w:rsidRPr="00FC6C68">
                <w:rPr>
                  <w:rStyle w:val="Lienhypertexte"/>
                  <w:lang w:val="en-US"/>
                </w:rPr>
                <w:t>1</w:t>
              </w:r>
            </w:hyperlink>
            <w:r w:rsidRPr="00522E18">
              <w:rPr>
                <w:lang w:val="en-US"/>
              </w:rPr>
              <w:t xml:space="preserve">, </w:t>
            </w:r>
            <w:r>
              <w:rPr>
                <w:lang w:val="en-US"/>
              </w:rPr>
              <w:t>15</w:t>
            </w:r>
            <w:r>
              <w:rPr>
                <w:lang w:val="en-US"/>
              </w:rPr>
              <w:t> </w:t>
            </w:r>
            <w:r>
              <w:rPr>
                <w:lang w:val="en-US"/>
              </w:rPr>
              <w:t>mars</w:t>
            </w:r>
            <w:r w:rsidRPr="00522E18">
              <w:rPr>
                <w:lang w:val="en-US"/>
              </w:rPr>
              <w:t xml:space="preserve"> 2019</w:t>
            </w:r>
          </w:p>
        </w:tc>
      </w:tr>
      <w:tr w:rsidR="000A63D9" w:rsidRPr="00104403" w14:paraId="5ABCE850" w14:textId="77777777" w:rsidTr="00247FBC">
        <w:trPr>
          <w:trHeight w:val="63"/>
        </w:trPr>
        <w:tc>
          <w:tcPr>
            <w:tcW w:w="3878" w:type="dxa"/>
            <w:shd w:val="clear" w:color="auto" w:fill="auto"/>
          </w:tcPr>
          <w:p w14:paraId="02FEDE97" w14:textId="77777777" w:rsidR="000A63D9" w:rsidRPr="00A90A9A" w:rsidRDefault="000A63D9" w:rsidP="00247FBC">
            <w:pPr>
              <w:suppressAutoHyphens w:val="0"/>
              <w:spacing w:before="40" w:after="120" w:line="220" w:lineRule="exact"/>
              <w:ind w:right="113"/>
              <w:rPr>
                <w:rFonts w:eastAsiaTheme="minorEastAsia"/>
                <w:i/>
                <w:iCs/>
              </w:rPr>
            </w:pPr>
            <w:r>
              <w:rPr>
                <w:i/>
                <w:iCs/>
                <w:lang w:val="fr-FR"/>
              </w:rPr>
              <w:t>Évaluation du Comité</w:t>
            </w:r>
            <w:r>
              <w:rPr>
                <w:i/>
                <w:iCs/>
                <w:lang w:val="fr-FR"/>
              </w:rPr>
              <w:t> </w:t>
            </w:r>
            <w:r w:rsidRPr="000A63D9">
              <w:rPr>
                <w:lang w:val="fr-FR"/>
              </w:rPr>
              <w:t>:</w:t>
            </w:r>
          </w:p>
        </w:tc>
        <w:tc>
          <w:tcPr>
            <w:tcW w:w="3492" w:type="dxa"/>
            <w:shd w:val="clear" w:color="auto" w:fill="auto"/>
          </w:tcPr>
          <w:p w14:paraId="06ADF5D7" w14:textId="77777777" w:rsidR="000A63D9" w:rsidRPr="00906443" w:rsidRDefault="000A63D9" w:rsidP="00247FBC">
            <w:pPr>
              <w:suppressAutoHyphens w:val="0"/>
              <w:spacing w:before="40" w:after="120" w:line="220" w:lineRule="exact"/>
              <w:rPr>
                <w:rFonts w:eastAsiaTheme="minorEastAsia"/>
                <w:lang w:val="fr-FR"/>
              </w:rPr>
            </w:pPr>
            <w:r>
              <w:rPr>
                <w:lang w:val="fr-FR"/>
              </w:rPr>
              <w:t>Des informations complémentaires sont nécessaires au sujet des paragraphes 8</w:t>
            </w:r>
            <w:r>
              <w:rPr>
                <w:lang w:val="fr-FR"/>
              </w:rPr>
              <w:t xml:space="preserve">[A], </w:t>
            </w:r>
            <w:r w:rsidRPr="00FC6C68">
              <w:rPr>
                <w:b/>
                <w:bCs/>
                <w:lang w:val="fr-FR"/>
              </w:rPr>
              <w:t>[B]</w:t>
            </w:r>
            <w:r>
              <w:rPr>
                <w:lang w:val="fr-FR"/>
              </w:rPr>
              <w:t>, 14</w:t>
            </w:r>
            <w:r w:rsidRPr="00FC6C68">
              <w:rPr>
                <w:b/>
                <w:bCs/>
                <w:lang w:val="fr-FR"/>
              </w:rPr>
              <w:t>[C][B]</w:t>
            </w:r>
            <w:r>
              <w:rPr>
                <w:lang w:val="fr-FR"/>
              </w:rPr>
              <w:t xml:space="preserve"> et 30</w:t>
            </w:r>
            <w:r w:rsidRPr="00FC6C68">
              <w:rPr>
                <w:b/>
                <w:bCs/>
                <w:lang w:val="fr-FR"/>
              </w:rPr>
              <w:t>[B][C]</w:t>
            </w:r>
          </w:p>
        </w:tc>
      </w:tr>
    </w:tbl>
    <w:p w14:paraId="1C29202B" w14:textId="77777777" w:rsidR="000A63D9" w:rsidRPr="00906443" w:rsidRDefault="000A63D9" w:rsidP="000A63D9">
      <w:pPr>
        <w:pStyle w:val="H23G"/>
        <w:rPr>
          <w:lang w:val="fr-FR"/>
        </w:rPr>
      </w:pPr>
      <w:r>
        <w:rPr>
          <w:lang w:val="fr-FR"/>
        </w:rPr>
        <w:tab/>
      </w:r>
      <w:r>
        <w:rPr>
          <w:lang w:val="fr-FR"/>
        </w:rPr>
        <w:tab/>
        <w:t>Paragraphe 8 : Commission nationale indépendante des droits de l</w:t>
      </w:r>
      <w:r w:rsidR="0004331D">
        <w:rPr>
          <w:lang w:val="fr-FR"/>
        </w:rPr>
        <w:t>’</w:t>
      </w:r>
      <w:r>
        <w:rPr>
          <w:lang w:val="fr-FR"/>
        </w:rPr>
        <w:t>homme et Haut Conseil pour la défense de la démocratie et de l</w:t>
      </w:r>
      <w:r w:rsidR="0004331D">
        <w:rPr>
          <w:lang w:val="fr-FR"/>
        </w:rPr>
        <w:t>’</w:t>
      </w:r>
      <w:r>
        <w:rPr>
          <w:lang w:val="fr-FR"/>
        </w:rPr>
        <w:t>état de droit</w:t>
      </w:r>
    </w:p>
    <w:p w14:paraId="70C3D760" w14:textId="77777777" w:rsidR="000A63D9" w:rsidRPr="00906443" w:rsidRDefault="000A63D9" w:rsidP="00247FBC">
      <w:pPr>
        <w:pStyle w:val="SingleTxtG"/>
        <w:ind w:firstLine="567"/>
        <w:rPr>
          <w:b/>
          <w:lang w:val="fr-FR"/>
        </w:rPr>
      </w:pPr>
      <w:r>
        <w:rPr>
          <w:b/>
          <w:bCs/>
          <w:lang w:val="fr-FR"/>
        </w:rPr>
        <w:t>L</w:t>
      </w:r>
      <w:r w:rsidR="0004331D">
        <w:rPr>
          <w:b/>
          <w:bCs/>
          <w:lang w:val="fr-FR"/>
        </w:rPr>
        <w:t>’</w:t>
      </w:r>
      <w:r>
        <w:rPr>
          <w:b/>
          <w:bCs/>
          <w:lang w:val="fr-FR"/>
        </w:rPr>
        <w:t>État partie est encouragé</w:t>
      </w:r>
      <w:r>
        <w:rPr>
          <w:b/>
          <w:bCs/>
          <w:lang w:val="fr-FR"/>
        </w:rPr>
        <w:t> </w:t>
      </w:r>
      <w:r>
        <w:rPr>
          <w:b/>
          <w:bCs/>
          <w:lang w:val="fr-FR"/>
        </w:rPr>
        <w:t>: a) à doter dans les meilleurs délais la Commission nationale indépendante des droits de l</w:t>
      </w:r>
      <w:r w:rsidR="0004331D">
        <w:rPr>
          <w:b/>
          <w:bCs/>
          <w:lang w:val="fr-FR"/>
        </w:rPr>
        <w:t>’</w:t>
      </w:r>
      <w:r>
        <w:rPr>
          <w:b/>
          <w:bCs/>
          <w:lang w:val="fr-FR"/>
        </w:rPr>
        <w:t>homme d</w:t>
      </w:r>
      <w:r w:rsidR="0004331D">
        <w:rPr>
          <w:b/>
          <w:bCs/>
          <w:lang w:val="fr-FR"/>
        </w:rPr>
        <w:t>’</w:t>
      </w:r>
      <w:r>
        <w:rPr>
          <w:b/>
          <w:bCs/>
          <w:lang w:val="fr-FR"/>
        </w:rPr>
        <w:t>un budget autonome et suffisant lui permettant d</w:t>
      </w:r>
      <w:r w:rsidR="0004331D">
        <w:rPr>
          <w:b/>
          <w:bCs/>
          <w:lang w:val="fr-FR"/>
        </w:rPr>
        <w:t>’</w:t>
      </w:r>
      <w:r>
        <w:rPr>
          <w:b/>
          <w:bCs/>
          <w:lang w:val="fr-FR"/>
        </w:rPr>
        <w:t>accomplir pleinement son mandat</w:t>
      </w:r>
      <w:r>
        <w:rPr>
          <w:b/>
          <w:bCs/>
          <w:lang w:val="fr-FR"/>
        </w:rPr>
        <w:t> </w:t>
      </w:r>
      <w:r>
        <w:rPr>
          <w:b/>
          <w:bCs/>
          <w:lang w:val="fr-FR"/>
        </w:rPr>
        <w:t>;</w:t>
      </w:r>
      <w:r>
        <w:rPr>
          <w:lang w:val="fr-FR"/>
        </w:rPr>
        <w:t xml:space="preserve"> </w:t>
      </w:r>
      <w:r>
        <w:rPr>
          <w:b/>
          <w:bCs/>
          <w:lang w:val="fr-FR"/>
        </w:rPr>
        <w:t>b) à garantir sa conformité avec les Principes concernant le statut des institutions nationales pour la promotion et la protection des droits de l</w:t>
      </w:r>
      <w:r w:rsidR="0004331D">
        <w:rPr>
          <w:b/>
          <w:bCs/>
          <w:lang w:val="fr-FR"/>
        </w:rPr>
        <w:t>’</w:t>
      </w:r>
      <w:r>
        <w:rPr>
          <w:b/>
          <w:bCs/>
          <w:lang w:val="fr-FR"/>
        </w:rPr>
        <w:t>homme (Principes de Paris) en initiant dans les meilleurs délais une procédure d</w:t>
      </w:r>
      <w:r w:rsidR="0004331D">
        <w:rPr>
          <w:b/>
          <w:bCs/>
          <w:lang w:val="fr-FR"/>
        </w:rPr>
        <w:t>’</w:t>
      </w:r>
      <w:r>
        <w:rPr>
          <w:b/>
          <w:bCs/>
          <w:lang w:val="fr-FR"/>
        </w:rPr>
        <w:t>accréditation</w:t>
      </w:r>
      <w:r>
        <w:rPr>
          <w:b/>
          <w:bCs/>
          <w:lang w:val="fr-FR"/>
        </w:rPr>
        <w:t> </w:t>
      </w:r>
      <w:r>
        <w:rPr>
          <w:b/>
          <w:bCs/>
          <w:lang w:val="fr-FR"/>
        </w:rPr>
        <w:t>;</w:t>
      </w:r>
      <w:r>
        <w:rPr>
          <w:lang w:val="fr-FR"/>
        </w:rPr>
        <w:t xml:space="preserve"> </w:t>
      </w:r>
      <w:r>
        <w:rPr>
          <w:b/>
          <w:bCs/>
          <w:lang w:val="fr-FR"/>
        </w:rPr>
        <w:t>c) à accélérer le processus de mise en place du Haut Conseil pour la défense de la démocratie et de l</w:t>
      </w:r>
      <w:r w:rsidR="0004331D">
        <w:rPr>
          <w:b/>
          <w:bCs/>
          <w:lang w:val="fr-FR"/>
        </w:rPr>
        <w:t>’</w:t>
      </w:r>
      <w:r>
        <w:rPr>
          <w:b/>
          <w:bCs/>
          <w:lang w:val="fr-FR"/>
        </w:rPr>
        <w:t>état de droit et garantir l</w:t>
      </w:r>
      <w:r w:rsidR="0004331D">
        <w:rPr>
          <w:b/>
          <w:bCs/>
          <w:lang w:val="fr-FR"/>
        </w:rPr>
        <w:t>’</w:t>
      </w:r>
      <w:r>
        <w:rPr>
          <w:b/>
          <w:bCs/>
          <w:lang w:val="fr-FR"/>
        </w:rPr>
        <w:t>indépendance de ladite institution en la dotant d</w:t>
      </w:r>
      <w:r w:rsidR="0004331D">
        <w:rPr>
          <w:b/>
          <w:bCs/>
          <w:lang w:val="fr-FR"/>
        </w:rPr>
        <w:t>’</w:t>
      </w:r>
      <w:r>
        <w:rPr>
          <w:b/>
          <w:bCs/>
          <w:lang w:val="fr-FR"/>
        </w:rPr>
        <w:t>une autonomie financière et de ressources suffisantes lui permettant d</w:t>
      </w:r>
      <w:r w:rsidR="0004331D">
        <w:rPr>
          <w:b/>
          <w:bCs/>
          <w:lang w:val="fr-FR"/>
        </w:rPr>
        <w:t>’</w:t>
      </w:r>
      <w:r>
        <w:rPr>
          <w:b/>
          <w:bCs/>
          <w:lang w:val="fr-FR"/>
        </w:rPr>
        <w:t>accomplir pleinement son mandat</w:t>
      </w:r>
      <w:r w:rsidRPr="00B770CF">
        <w:rPr>
          <w:b/>
          <w:bCs/>
          <w:lang w:val="fr-FR"/>
        </w:rPr>
        <w:t>.</w:t>
      </w:r>
    </w:p>
    <w:p w14:paraId="242A8233" w14:textId="77777777" w:rsidR="000A63D9" w:rsidRPr="00906443" w:rsidRDefault="000A63D9" w:rsidP="000A63D9">
      <w:pPr>
        <w:pStyle w:val="H23G"/>
        <w:rPr>
          <w:lang w:val="fr-FR"/>
        </w:rPr>
      </w:pPr>
      <w:r>
        <w:rPr>
          <w:lang w:val="fr-FR"/>
        </w:rPr>
        <w:tab/>
      </w:r>
      <w:r>
        <w:rPr>
          <w:lang w:val="fr-FR"/>
        </w:rPr>
        <w:tab/>
      </w:r>
      <w:r>
        <w:rPr>
          <w:bCs/>
          <w:lang w:val="fr-FR"/>
        </w:rPr>
        <w:t>Résumé de la réponse de l</w:t>
      </w:r>
      <w:r w:rsidR="0004331D">
        <w:rPr>
          <w:bCs/>
          <w:lang w:val="fr-FR"/>
        </w:rPr>
        <w:t>’</w:t>
      </w:r>
      <w:r>
        <w:rPr>
          <w:bCs/>
          <w:lang w:val="fr-FR"/>
        </w:rPr>
        <w:t>État partie</w:t>
      </w:r>
      <w:r>
        <w:rPr>
          <w:lang w:val="fr-FR"/>
        </w:rPr>
        <w:t xml:space="preserve"> </w:t>
      </w:r>
    </w:p>
    <w:p w14:paraId="0DD1AFFA" w14:textId="77777777" w:rsidR="000A63D9" w:rsidRPr="00906443" w:rsidRDefault="000A63D9" w:rsidP="000A63D9">
      <w:pPr>
        <w:pStyle w:val="SingleTxtG"/>
        <w:ind w:firstLine="567"/>
        <w:rPr>
          <w:lang w:val="fr-FR"/>
        </w:rPr>
      </w:pPr>
      <w:r>
        <w:rPr>
          <w:lang w:val="fr-FR"/>
        </w:rPr>
        <w:t>a)</w:t>
      </w:r>
      <w:r>
        <w:rPr>
          <w:lang w:val="fr-FR"/>
        </w:rPr>
        <w:tab/>
        <w:t>Le budget de la Commission a été débloqué en 2018, ce qui a permis à celle</w:t>
      </w:r>
      <w:r>
        <w:rPr>
          <w:lang w:val="fr-FR"/>
        </w:rPr>
        <w:noBreakHyphen/>
        <w:t>ci d</w:t>
      </w:r>
      <w:r w:rsidR="0004331D">
        <w:rPr>
          <w:lang w:val="fr-FR"/>
        </w:rPr>
        <w:t>’</w:t>
      </w:r>
      <w:r>
        <w:rPr>
          <w:lang w:val="fr-FR"/>
        </w:rPr>
        <w:t>être entièrement opérationnelle</w:t>
      </w:r>
      <w:r w:rsidR="00247FBC">
        <w:rPr>
          <w:lang w:val="fr-FR"/>
        </w:rPr>
        <w:t> ;</w:t>
      </w:r>
    </w:p>
    <w:p w14:paraId="4058CE4E" w14:textId="77777777" w:rsidR="000A63D9" w:rsidRPr="00906443" w:rsidRDefault="000A63D9" w:rsidP="000A63D9">
      <w:pPr>
        <w:pStyle w:val="SingleTxtG"/>
        <w:ind w:firstLine="567"/>
        <w:rPr>
          <w:lang w:val="fr-FR"/>
        </w:rPr>
      </w:pPr>
      <w:r>
        <w:rPr>
          <w:lang w:val="fr-FR"/>
        </w:rPr>
        <w:t>b)</w:t>
      </w:r>
      <w:r>
        <w:rPr>
          <w:lang w:val="fr-FR"/>
        </w:rPr>
        <w:tab/>
        <w:t xml:space="preserve">La loi </w:t>
      </w:r>
      <w:r w:rsidRPr="009B3FDC">
        <w:rPr>
          <w:rFonts w:eastAsia="MS Mincho"/>
          <w:lang w:val="fr-FR"/>
        </w:rPr>
        <w:t>n</w:t>
      </w:r>
      <w:r w:rsidRPr="009B3FDC">
        <w:rPr>
          <w:rFonts w:eastAsia="MS Mincho"/>
          <w:vertAlign w:val="superscript"/>
          <w:lang w:val="fr-FR"/>
        </w:rPr>
        <w:t>o</w:t>
      </w:r>
      <w:r>
        <w:rPr>
          <w:lang w:val="fr-FR"/>
        </w:rPr>
        <w:t> 2014-007 (2014) a porté création de la Commission</w:t>
      </w:r>
      <w:r w:rsidRPr="00B770CF">
        <w:rPr>
          <w:lang w:val="fr-FR"/>
        </w:rPr>
        <w:t>.</w:t>
      </w:r>
      <w:r>
        <w:rPr>
          <w:lang w:val="fr-FR"/>
        </w:rPr>
        <w:t xml:space="preserve"> Une demande d</w:t>
      </w:r>
      <w:r w:rsidR="0004331D">
        <w:rPr>
          <w:lang w:val="fr-FR"/>
        </w:rPr>
        <w:t>’</w:t>
      </w:r>
      <w:r>
        <w:rPr>
          <w:lang w:val="fr-FR"/>
        </w:rPr>
        <w:t>accréditation a été adressée à l</w:t>
      </w:r>
      <w:r w:rsidR="0004331D">
        <w:rPr>
          <w:lang w:val="fr-FR"/>
        </w:rPr>
        <w:t>’</w:t>
      </w:r>
      <w:r>
        <w:rPr>
          <w:lang w:val="fr-FR"/>
        </w:rPr>
        <w:t>Alliance globale des institutions nationales des droits de l</w:t>
      </w:r>
      <w:r w:rsidR="0004331D">
        <w:rPr>
          <w:lang w:val="fr-FR"/>
        </w:rPr>
        <w:t>’</w:t>
      </w:r>
      <w:r>
        <w:rPr>
          <w:lang w:val="fr-FR"/>
        </w:rPr>
        <w:t>homme en février 2018</w:t>
      </w:r>
      <w:r w:rsidR="00A21221">
        <w:rPr>
          <w:lang w:val="fr-FR"/>
        </w:rPr>
        <w:t> ;</w:t>
      </w:r>
    </w:p>
    <w:p w14:paraId="29EF60ED" w14:textId="77777777" w:rsidR="000A63D9" w:rsidRDefault="000A63D9" w:rsidP="000A63D9">
      <w:pPr>
        <w:pStyle w:val="SingleTxtG"/>
        <w:ind w:firstLine="567"/>
        <w:rPr>
          <w:lang w:val="fr-FR"/>
        </w:rPr>
      </w:pPr>
      <w:r>
        <w:rPr>
          <w:lang w:val="fr-FR"/>
        </w:rPr>
        <w:t>c)</w:t>
      </w:r>
      <w:r>
        <w:rPr>
          <w:lang w:val="fr-FR"/>
        </w:rPr>
        <w:tab/>
        <w:t xml:space="preserve">Le Haut Conseil, institué par la loi </w:t>
      </w:r>
      <w:r w:rsidRPr="009B3FDC">
        <w:rPr>
          <w:rFonts w:eastAsia="MS Mincho"/>
          <w:lang w:val="fr-FR"/>
        </w:rPr>
        <w:t>n</w:t>
      </w:r>
      <w:r w:rsidRPr="009B3FDC">
        <w:rPr>
          <w:rFonts w:eastAsia="MS Mincho"/>
          <w:vertAlign w:val="superscript"/>
          <w:lang w:val="fr-FR"/>
        </w:rPr>
        <w:t>o</w:t>
      </w:r>
      <w:r>
        <w:rPr>
          <w:lang w:val="fr-FR"/>
        </w:rPr>
        <w:t> 2015-001 (2015), est opérationnel depuis avril 2018</w:t>
      </w:r>
      <w:r w:rsidRPr="00B770CF">
        <w:rPr>
          <w:lang w:val="fr-FR"/>
        </w:rPr>
        <w:t>.</w:t>
      </w:r>
      <w:r>
        <w:rPr>
          <w:lang w:val="fr-FR"/>
        </w:rPr>
        <w:t xml:space="preserve"> Le Haut Conseil est un organe constitutionnel indépendant, doté d</w:t>
      </w:r>
      <w:r w:rsidR="0004331D">
        <w:rPr>
          <w:lang w:val="fr-FR"/>
        </w:rPr>
        <w:t>’</w:t>
      </w:r>
      <w:r>
        <w:rPr>
          <w:lang w:val="fr-FR"/>
        </w:rPr>
        <w:t xml:space="preserve">une autonomie </w:t>
      </w:r>
      <w:r>
        <w:rPr>
          <w:lang w:val="fr-FR"/>
        </w:rPr>
        <w:lastRenderedPageBreak/>
        <w:t>administrative et financière</w:t>
      </w:r>
      <w:r w:rsidRPr="00B770CF">
        <w:rPr>
          <w:lang w:val="fr-FR"/>
        </w:rPr>
        <w:t>.</w:t>
      </w:r>
      <w:r>
        <w:rPr>
          <w:lang w:val="fr-FR"/>
        </w:rPr>
        <w:t xml:space="preserve"> Le budget qui lui a été alloué au titre de l</w:t>
      </w:r>
      <w:r w:rsidR="0004331D">
        <w:rPr>
          <w:lang w:val="fr-FR"/>
        </w:rPr>
        <w:t>’</w:t>
      </w:r>
      <w:r>
        <w:rPr>
          <w:lang w:val="fr-FR"/>
        </w:rPr>
        <w:t xml:space="preserve">année 2018 a été doublé dans la </w:t>
      </w:r>
      <w:r w:rsidR="00A21221">
        <w:rPr>
          <w:lang w:val="fr-FR"/>
        </w:rPr>
        <w:t>l</w:t>
      </w:r>
      <w:r>
        <w:rPr>
          <w:lang w:val="fr-FR"/>
        </w:rPr>
        <w:t>oi de finances 2019</w:t>
      </w:r>
      <w:r w:rsidRPr="00B770CF">
        <w:rPr>
          <w:lang w:val="fr-FR"/>
        </w:rPr>
        <w:t>.</w:t>
      </w:r>
    </w:p>
    <w:p w14:paraId="5F662EBA" w14:textId="77777777" w:rsidR="000A63D9" w:rsidRDefault="00A21221" w:rsidP="00A21221">
      <w:pPr>
        <w:pStyle w:val="H23G"/>
        <w:rPr>
          <w:lang w:val="fr-FR"/>
        </w:rPr>
      </w:pPr>
      <w:r>
        <w:rPr>
          <w:lang w:val="fr-FR"/>
        </w:rPr>
        <w:tab/>
      </w:r>
      <w:r>
        <w:rPr>
          <w:lang w:val="fr-FR"/>
        </w:rPr>
        <w:tab/>
      </w:r>
      <w:r w:rsidR="000A63D9">
        <w:rPr>
          <w:lang w:val="fr-FR"/>
        </w:rPr>
        <w:t>Informations émanant d</w:t>
      </w:r>
      <w:r w:rsidR="0004331D">
        <w:rPr>
          <w:lang w:val="fr-FR"/>
        </w:rPr>
        <w:t>’</w:t>
      </w:r>
      <w:r w:rsidR="000A63D9">
        <w:rPr>
          <w:lang w:val="fr-FR"/>
        </w:rPr>
        <w:t>organisations non gouvernementales</w:t>
      </w:r>
    </w:p>
    <w:p w14:paraId="6E1B6C1C" w14:textId="77777777" w:rsidR="000A63D9" w:rsidRPr="0004331D" w:rsidRDefault="0004331D" w:rsidP="0004331D">
      <w:pPr>
        <w:pStyle w:val="H4G"/>
        <w:rPr>
          <w:rStyle w:val="preferred"/>
        </w:rPr>
      </w:pPr>
      <w:r>
        <w:rPr>
          <w:rStyle w:val="Accentuation"/>
          <w:i/>
          <w:iCs w:val="0"/>
        </w:rPr>
        <w:tab/>
      </w:r>
      <w:r>
        <w:rPr>
          <w:rStyle w:val="Accentuation"/>
          <w:i/>
          <w:iCs w:val="0"/>
        </w:rPr>
        <w:tab/>
      </w:r>
      <w:r w:rsidR="000A63D9" w:rsidRPr="0004331D">
        <w:rPr>
          <w:rStyle w:val="Accentuation"/>
          <w:i/>
          <w:iCs w:val="0"/>
        </w:rPr>
        <w:t>Alliance</w:t>
      </w:r>
      <w:r w:rsidR="000A63D9" w:rsidRPr="0004331D">
        <w:rPr>
          <w:rStyle w:val="preferred"/>
        </w:rPr>
        <w:t xml:space="preserve"> mondiale des institutions nationales des droits de l</w:t>
      </w:r>
      <w:r>
        <w:rPr>
          <w:rStyle w:val="preferred"/>
        </w:rPr>
        <w:t>’</w:t>
      </w:r>
      <w:r w:rsidR="000A63D9" w:rsidRPr="0004331D">
        <w:rPr>
          <w:rStyle w:val="preferred"/>
        </w:rPr>
        <w:t>homme</w:t>
      </w:r>
    </w:p>
    <w:p w14:paraId="2D0F6682" w14:textId="77777777" w:rsidR="000A63D9" w:rsidRPr="00906443" w:rsidRDefault="000A63D9" w:rsidP="000A63D9">
      <w:pPr>
        <w:pStyle w:val="SingleTxtG"/>
        <w:ind w:firstLine="567"/>
        <w:rPr>
          <w:lang w:val="fr-FR"/>
        </w:rPr>
      </w:pPr>
      <w:r>
        <w:rPr>
          <w:rStyle w:val="preferred"/>
        </w:rPr>
        <w:t>À la date du 27</w:t>
      </w:r>
      <w:r w:rsidR="0004331D">
        <w:rPr>
          <w:rStyle w:val="preferred"/>
        </w:rPr>
        <w:t> </w:t>
      </w:r>
      <w:r>
        <w:rPr>
          <w:rStyle w:val="preferred"/>
        </w:rPr>
        <w:t>novembre 2019, l</w:t>
      </w:r>
      <w:r w:rsidR="0004331D">
        <w:rPr>
          <w:rStyle w:val="preferred"/>
        </w:rPr>
        <w:t>’</w:t>
      </w:r>
      <w:r>
        <w:rPr>
          <w:rStyle w:val="preferred"/>
        </w:rPr>
        <w:t>institution nationale des droits de l</w:t>
      </w:r>
      <w:r w:rsidR="0004331D">
        <w:rPr>
          <w:rStyle w:val="preferred"/>
        </w:rPr>
        <w:t>’</w:t>
      </w:r>
      <w:r>
        <w:rPr>
          <w:rStyle w:val="preferred"/>
        </w:rPr>
        <w:t>homme (la Commission nationale indépendante des droits de l</w:t>
      </w:r>
      <w:r w:rsidR="0004331D">
        <w:rPr>
          <w:rStyle w:val="preferred"/>
        </w:rPr>
        <w:t>’</w:t>
      </w:r>
      <w:r>
        <w:rPr>
          <w:rStyle w:val="preferred"/>
        </w:rPr>
        <w:t>homme) était accréditée avec le statut « A » par l</w:t>
      </w:r>
      <w:r w:rsidR="0004331D">
        <w:rPr>
          <w:rStyle w:val="preferred"/>
        </w:rPr>
        <w:t>’</w:t>
      </w:r>
      <w:r>
        <w:rPr>
          <w:rStyle w:val="preferred"/>
        </w:rPr>
        <w:t>Alliance mondiale des institutions nationales des droits de l</w:t>
      </w:r>
      <w:r w:rsidR="0004331D">
        <w:rPr>
          <w:rStyle w:val="preferred"/>
        </w:rPr>
        <w:t>’</w:t>
      </w:r>
      <w:r>
        <w:rPr>
          <w:rStyle w:val="preferred"/>
        </w:rPr>
        <w:t>homme.</w:t>
      </w:r>
    </w:p>
    <w:p w14:paraId="42DC5847" w14:textId="77777777" w:rsidR="000A63D9" w:rsidRDefault="000A63D9" w:rsidP="000A63D9">
      <w:pPr>
        <w:pStyle w:val="H23G"/>
        <w:rPr>
          <w:lang w:val="fr-FR"/>
        </w:rPr>
      </w:pPr>
      <w:r>
        <w:rPr>
          <w:lang w:val="fr-FR"/>
        </w:rPr>
        <w:tab/>
      </w:r>
      <w:r>
        <w:rPr>
          <w:lang w:val="fr-FR"/>
        </w:rPr>
        <w:tab/>
        <w:t>Évaluation du Comité</w:t>
      </w:r>
    </w:p>
    <w:p w14:paraId="1A336779" w14:textId="77777777" w:rsidR="000A63D9" w:rsidRPr="00E20764" w:rsidRDefault="000A63D9" w:rsidP="00FC14B8">
      <w:pPr>
        <w:pStyle w:val="SingleTxtG"/>
        <w:rPr>
          <w:lang w:val="fr-FR"/>
        </w:rPr>
      </w:pPr>
      <w:r w:rsidRPr="00E20764">
        <w:rPr>
          <w:b/>
          <w:bCs/>
          <w:lang w:val="fr-FR"/>
        </w:rPr>
        <w:t>[A]</w:t>
      </w:r>
      <w:r>
        <w:rPr>
          <w:lang w:val="fr-FR"/>
        </w:rPr>
        <w:t> : b)</w:t>
      </w:r>
      <w:r w:rsidR="00FC14B8">
        <w:rPr>
          <w:lang w:val="fr-FR"/>
        </w:rPr>
        <w:t xml:space="preserve"> : </w:t>
      </w:r>
      <w:r>
        <w:rPr>
          <w:lang w:val="fr-FR"/>
        </w:rPr>
        <w:t>Le Comité se félicite que l</w:t>
      </w:r>
      <w:r w:rsidR="0004331D">
        <w:rPr>
          <w:lang w:val="fr-FR"/>
        </w:rPr>
        <w:t>’</w:t>
      </w:r>
      <w:r>
        <w:rPr>
          <w:lang w:val="fr-FR"/>
        </w:rPr>
        <w:t>État partie ait fait accréditer l</w:t>
      </w:r>
      <w:r w:rsidR="0004331D">
        <w:rPr>
          <w:lang w:val="fr-FR"/>
        </w:rPr>
        <w:t>’</w:t>
      </w:r>
      <w:r>
        <w:rPr>
          <w:lang w:val="fr-FR"/>
        </w:rPr>
        <w:t>institution nationale des droits de l</w:t>
      </w:r>
      <w:r w:rsidR="0004331D">
        <w:rPr>
          <w:lang w:val="fr-FR"/>
        </w:rPr>
        <w:t>’</w:t>
      </w:r>
      <w:r>
        <w:rPr>
          <w:lang w:val="fr-FR"/>
        </w:rPr>
        <w:t>homme (la Commission nationale indépendant des droits de l</w:t>
      </w:r>
      <w:r w:rsidR="0004331D">
        <w:rPr>
          <w:lang w:val="fr-FR"/>
        </w:rPr>
        <w:t>’</w:t>
      </w:r>
      <w:r>
        <w:rPr>
          <w:lang w:val="fr-FR"/>
        </w:rPr>
        <w:t>homme) et que celle-ci ait obtenu le statut « A » auprès de l</w:t>
      </w:r>
      <w:r w:rsidR="0004331D">
        <w:rPr>
          <w:lang w:val="fr-FR"/>
        </w:rPr>
        <w:t>’</w:t>
      </w:r>
      <w:r>
        <w:rPr>
          <w:lang w:val="fr-FR"/>
        </w:rPr>
        <w:t>Alliance mondiale des institutions nationales des droits de l</w:t>
      </w:r>
      <w:r w:rsidR="0004331D">
        <w:rPr>
          <w:lang w:val="fr-FR"/>
        </w:rPr>
        <w:t>’</w:t>
      </w:r>
      <w:r>
        <w:rPr>
          <w:lang w:val="fr-FR"/>
        </w:rPr>
        <w:t>homme, qui montre qu</w:t>
      </w:r>
      <w:r w:rsidR="0004331D">
        <w:rPr>
          <w:lang w:val="fr-FR"/>
        </w:rPr>
        <w:t>’</w:t>
      </w:r>
      <w:r>
        <w:rPr>
          <w:lang w:val="fr-FR"/>
        </w:rPr>
        <w:t xml:space="preserve">elle fonctionne en conformité avec les Principes </w:t>
      </w:r>
      <w:r>
        <w:rPr>
          <w:rStyle w:val="preferred"/>
        </w:rPr>
        <w:t xml:space="preserve">concernant le statut des institutions nationales pour la promotion et la protection des droits </w:t>
      </w:r>
      <w:r w:rsidRPr="0004331D">
        <w:rPr>
          <w:rStyle w:val="Accentuation"/>
          <w:i w:val="0"/>
          <w:iCs w:val="0"/>
        </w:rPr>
        <w:t>de</w:t>
      </w:r>
      <w:r w:rsidRPr="0004331D">
        <w:rPr>
          <w:rStyle w:val="preferred"/>
        </w:rPr>
        <w:t xml:space="preserve"> l</w:t>
      </w:r>
      <w:r w:rsidR="0004331D">
        <w:rPr>
          <w:rStyle w:val="preferred"/>
        </w:rPr>
        <w:t>’</w:t>
      </w:r>
      <w:r>
        <w:rPr>
          <w:rStyle w:val="preferred"/>
        </w:rPr>
        <w:t xml:space="preserve">homme </w:t>
      </w:r>
      <w:r>
        <w:rPr>
          <w:lang w:val="fr-FR"/>
        </w:rPr>
        <w:t>(Principes de Paris).</w:t>
      </w:r>
    </w:p>
    <w:p w14:paraId="411551F7" w14:textId="77777777" w:rsidR="000A63D9" w:rsidRPr="00906443" w:rsidRDefault="000A63D9" w:rsidP="00FC14B8">
      <w:pPr>
        <w:pStyle w:val="SingleTxtG"/>
        <w:rPr>
          <w:lang w:val="fr-FR"/>
        </w:rPr>
      </w:pPr>
      <w:r w:rsidRPr="0000137B">
        <w:rPr>
          <w:b/>
          <w:bCs/>
          <w:lang w:val="fr-FR"/>
        </w:rPr>
        <w:t>[B]</w:t>
      </w:r>
      <w:r>
        <w:rPr>
          <w:lang w:val="fr-FR"/>
        </w:rPr>
        <w:t> : a) et c)</w:t>
      </w:r>
      <w:r w:rsidR="00FC14B8">
        <w:rPr>
          <w:lang w:val="fr-FR"/>
        </w:rPr>
        <w:t xml:space="preserve"> : </w:t>
      </w:r>
      <w:r>
        <w:rPr>
          <w:lang w:val="fr-FR"/>
        </w:rPr>
        <w:t>Le Comité se félicite que le budget de la Commission nationale indépendante des droits de l</w:t>
      </w:r>
      <w:r w:rsidR="0004331D">
        <w:rPr>
          <w:lang w:val="fr-FR"/>
        </w:rPr>
        <w:t>’</w:t>
      </w:r>
      <w:r>
        <w:rPr>
          <w:lang w:val="fr-FR"/>
        </w:rPr>
        <w:t>homme ait été débloqué en 2018</w:t>
      </w:r>
      <w:r w:rsidRPr="00B770CF">
        <w:rPr>
          <w:lang w:val="fr-FR"/>
        </w:rPr>
        <w:t>.</w:t>
      </w:r>
      <w:r>
        <w:rPr>
          <w:lang w:val="fr-FR"/>
        </w:rPr>
        <w:t xml:space="preserve"> Il demande des renseignements permettant de savoir si ledit budget est suffisant pour que la Commission puisse accomplir pleinement et efficacement son mandat</w:t>
      </w:r>
      <w:r w:rsidRPr="00B770CF">
        <w:rPr>
          <w:lang w:val="fr-FR"/>
        </w:rPr>
        <w:t>.</w:t>
      </w:r>
    </w:p>
    <w:p w14:paraId="69F655BB" w14:textId="77777777" w:rsidR="000A63D9" w:rsidRPr="00906443" w:rsidRDefault="000A63D9" w:rsidP="000A63D9">
      <w:pPr>
        <w:pStyle w:val="SingleTxtG"/>
        <w:ind w:firstLine="567"/>
        <w:rPr>
          <w:lang w:val="fr-FR"/>
        </w:rPr>
      </w:pPr>
      <w:r>
        <w:rPr>
          <w:lang w:val="fr-FR"/>
        </w:rPr>
        <w:t>Le Comité prend note avec satisfaction des mesures prises pour mettre en place le Haut Conseil pour la défense de la démocratie et de l</w:t>
      </w:r>
      <w:r w:rsidR="0004331D">
        <w:rPr>
          <w:lang w:val="fr-FR"/>
        </w:rPr>
        <w:t>’</w:t>
      </w:r>
      <w:r>
        <w:rPr>
          <w:lang w:val="fr-FR"/>
        </w:rPr>
        <w:t>état de droit et demande des renseignements permettant de savoir si le Haut Conseil est pleinement opérationnel et si le budget qui lui a été alloué est suffisant pour qu</w:t>
      </w:r>
      <w:r w:rsidR="0004331D">
        <w:rPr>
          <w:lang w:val="fr-FR"/>
        </w:rPr>
        <w:t>’</w:t>
      </w:r>
      <w:r>
        <w:rPr>
          <w:lang w:val="fr-FR"/>
        </w:rPr>
        <w:t>il puisse remplir ses fonctions</w:t>
      </w:r>
      <w:r w:rsidRPr="00B770CF">
        <w:rPr>
          <w:lang w:val="fr-FR"/>
        </w:rPr>
        <w:t>.</w:t>
      </w:r>
      <w:r>
        <w:rPr>
          <w:lang w:val="fr-FR"/>
        </w:rPr>
        <w:t xml:space="preserve"> </w:t>
      </w:r>
    </w:p>
    <w:p w14:paraId="2A43E171" w14:textId="77777777" w:rsidR="000A63D9" w:rsidRPr="00906443" w:rsidRDefault="000A63D9" w:rsidP="000A63D9">
      <w:pPr>
        <w:pStyle w:val="H23G"/>
        <w:rPr>
          <w:lang w:val="fr-FR"/>
        </w:rPr>
      </w:pPr>
      <w:r>
        <w:rPr>
          <w:lang w:val="fr-FR"/>
        </w:rPr>
        <w:tab/>
      </w:r>
      <w:r>
        <w:rPr>
          <w:lang w:val="fr-FR"/>
        </w:rPr>
        <w:tab/>
        <w:t>Paragraphe 14 : Enquêtes sur les violations des droits de l</w:t>
      </w:r>
      <w:r w:rsidR="0004331D">
        <w:rPr>
          <w:lang w:val="fr-FR"/>
        </w:rPr>
        <w:t>’</w:t>
      </w:r>
      <w:r>
        <w:rPr>
          <w:lang w:val="fr-FR"/>
        </w:rPr>
        <w:t>homme commises entre 2009 et 2013 et processus de réconciliation nationale</w:t>
      </w:r>
    </w:p>
    <w:p w14:paraId="092C8538" w14:textId="77777777" w:rsidR="000A63D9" w:rsidRPr="00906443" w:rsidRDefault="000A63D9" w:rsidP="00247FBC">
      <w:pPr>
        <w:pStyle w:val="SingleTxtG"/>
        <w:ind w:firstLine="567"/>
        <w:rPr>
          <w:lang w:val="fr-FR"/>
        </w:rPr>
      </w:pPr>
      <w:r>
        <w:rPr>
          <w:b/>
          <w:bCs/>
          <w:lang w:val="fr-FR"/>
        </w:rPr>
        <w:t>L</w:t>
      </w:r>
      <w:r w:rsidR="0004331D">
        <w:rPr>
          <w:b/>
          <w:bCs/>
          <w:lang w:val="fr-FR"/>
        </w:rPr>
        <w:t>’</w:t>
      </w:r>
      <w:r>
        <w:rPr>
          <w:b/>
          <w:bCs/>
          <w:lang w:val="fr-FR"/>
        </w:rPr>
        <w:t>État partie devrait accélérer le processus de réconciliation nationale, notamment</w:t>
      </w:r>
      <w:r w:rsidR="0004331D">
        <w:rPr>
          <w:b/>
          <w:bCs/>
          <w:lang w:val="fr-FR"/>
        </w:rPr>
        <w:t> </w:t>
      </w:r>
      <w:r>
        <w:rPr>
          <w:b/>
          <w:bCs/>
          <w:lang w:val="fr-FR"/>
        </w:rPr>
        <w:t>: a) en enquêtant sur toutes les allégations d</w:t>
      </w:r>
      <w:r w:rsidR="0004331D">
        <w:rPr>
          <w:b/>
          <w:bCs/>
          <w:lang w:val="fr-FR"/>
        </w:rPr>
        <w:t>’</w:t>
      </w:r>
      <w:r>
        <w:rPr>
          <w:b/>
          <w:bCs/>
          <w:lang w:val="fr-FR"/>
        </w:rPr>
        <w:t>actes de torture, de disparitions forcées, d</w:t>
      </w:r>
      <w:r w:rsidR="0004331D">
        <w:rPr>
          <w:b/>
          <w:bCs/>
          <w:lang w:val="fr-FR"/>
        </w:rPr>
        <w:t>’</w:t>
      </w:r>
      <w:r>
        <w:rPr>
          <w:b/>
          <w:bCs/>
          <w:lang w:val="fr-FR"/>
        </w:rPr>
        <w:t xml:space="preserve">exécutions </w:t>
      </w:r>
      <w:proofErr w:type="spellStart"/>
      <w:r>
        <w:rPr>
          <w:b/>
          <w:bCs/>
          <w:lang w:val="fr-FR"/>
        </w:rPr>
        <w:t>extrajudiciaires</w:t>
      </w:r>
      <w:proofErr w:type="spellEnd"/>
      <w:r>
        <w:rPr>
          <w:b/>
          <w:bCs/>
          <w:lang w:val="fr-FR"/>
        </w:rPr>
        <w:t xml:space="preserve"> et sommaires, et en faisant en sorte qu</w:t>
      </w:r>
      <w:r w:rsidR="0004331D">
        <w:rPr>
          <w:b/>
          <w:bCs/>
          <w:lang w:val="fr-FR"/>
        </w:rPr>
        <w:t>’</w:t>
      </w:r>
      <w:r>
        <w:rPr>
          <w:b/>
          <w:bCs/>
          <w:lang w:val="fr-FR"/>
        </w:rPr>
        <w:t>aucune violation grave des droits de l</w:t>
      </w:r>
      <w:r w:rsidR="0004331D">
        <w:rPr>
          <w:b/>
          <w:bCs/>
          <w:lang w:val="fr-FR"/>
        </w:rPr>
        <w:t>’</w:t>
      </w:r>
      <w:r>
        <w:rPr>
          <w:b/>
          <w:bCs/>
          <w:lang w:val="fr-FR"/>
        </w:rPr>
        <w:t>homme perpétrée dans le passé ne reste impunie</w:t>
      </w:r>
      <w:r w:rsidR="0004331D">
        <w:rPr>
          <w:b/>
          <w:bCs/>
          <w:lang w:val="fr-FR"/>
        </w:rPr>
        <w:t> </w:t>
      </w:r>
      <w:r>
        <w:rPr>
          <w:b/>
          <w:bCs/>
          <w:lang w:val="fr-FR"/>
        </w:rPr>
        <w:t>;</w:t>
      </w:r>
      <w:r>
        <w:rPr>
          <w:lang w:val="fr-FR"/>
        </w:rPr>
        <w:t xml:space="preserve"> </w:t>
      </w:r>
      <w:r>
        <w:rPr>
          <w:b/>
          <w:bCs/>
          <w:lang w:val="fr-FR"/>
        </w:rPr>
        <w:t>b) en rendant opérationnels le Conseil de la réconciliation malgache et la Caisse nationale de réparations et d</w:t>
      </w:r>
      <w:r w:rsidR="0004331D">
        <w:rPr>
          <w:b/>
          <w:bCs/>
          <w:lang w:val="fr-FR"/>
        </w:rPr>
        <w:t>’</w:t>
      </w:r>
      <w:r>
        <w:rPr>
          <w:b/>
          <w:bCs/>
          <w:lang w:val="fr-FR"/>
        </w:rPr>
        <w:t>indemnisation, en les dotant de ressources suffisantes</w:t>
      </w:r>
      <w:r w:rsidRPr="00B770CF">
        <w:rPr>
          <w:b/>
          <w:bCs/>
          <w:lang w:val="fr-FR"/>
        </w:rPr>
        <w:t>.</w:t>
      </w:r>
    </w:p>
    <w:p w14:paraId="0BFF6EAB" w14:textId="77777777" w:rsidR="000A63D9" w:rsidRPr="00906443" w:rsidRDefault="000A63D9" w:rsidP="000A63D9">
      <w:pPr>
        <w:pStyle w:val="H23G"/>
        <w:rPr>
          <w:lang w:val="fr-FR"/>
        </w:rPr>
      </w:pPr>
      <w:r>
        <w:rPr>
          <w:lang w:val="fr-FR"/>
        </w:rPr>
        <w:tab/>
      </w:r>
      <w:r>
        <w:rPr>
          <w:lang w:val="fr-FR"/>
        </w:rPr>
        <w:tab/>
        <w:t>Résumé de la réponse de l</w:t>
      </w:r>
      <w:r w:rsidR="0004331D">
        <w:rPr>
          <w:lang w:val="fr-FR"/>
        </w:rPr>
        <w:t>’</w:t>
      </w:r>
      <w:r>
        <w:rPr>
          <w:lang w:val="fr-FR"/>
        </w:rPr>
        <w:t>État partie</w:t>
      </w:r>
    </w:p>
    <w:p w14:paraId="614547DF" w14:textId="77777777" w:rsidR="000A63D9" w:rsidRPr="00906443" w:rsidRDefault="000A63D9" w:rsidP="000A63D9">
      <w:pPr>
        <w:pStyle w:val="SingleTxtG"/>
        <w:ind w:firstLine="567"/>
        <w:rPr>
          <w:b/>
          <w:lang w:val="fr-FR"/>
        </w:rPr>
      </w:pPr>
      <w:r>
        <w:rPr>
          <w:lang w:val="fr-FR"/>
        </w:rPr>
        <w:t>a)</w:t>
      </w:r>
      <w:r>
        <w:rPr>
          <w:lang w:val="fr-FR"/>
        </w:rPr>
        <w:tab/>
        <w:t>Aucune information fiable relative aux enquêtes sur les violations des droits de l</w:t>
      </w:r>
      <w:r w:rsidR="0004331D">
        <w:rPr>
          <w:lang w:val="fr-FR"/>
        </w:rPr>
        <w:t>’</w:t>
      </w:r>
      <w:r>
        <w:rPr>
          <w:lang w:val="fr-FR"/>
        </w:rPr>
        <w:t>homme n</w:t>
      </w:r>
      <w:r w:rsidR="0004331D">
        <w:rPr>
          <w:lang w:val="fr-FR"/>
        </w:rPr>
        <w:t>’</w:t>
      </w:r>
      <w:r>
        <w:rPr>
          <w:lang w:val="fr-FR"/>
        </w:rPr>
        <w:t>est encore disponible ;</w:t>
      </w:r>
    </w:p>
    <w:p w14:paraId="39E3273B" w14:textId="77777777" w:rsidR="000A63D9" w:rsidRPr="00906443" w:rsidRDefault="000A63D9" w:rsidP="000A63D9">
      <w:pPr>
        <w:pStyle w:val="SingleTxtG"/>
        <w:ind w:firstLine="567"/>
        <w:rPr>
          <w:lang w:val="fr-FR"/>
        </w:rPr>
      </w:pPr>
      <w:r>
        <w:rPr>
          <w:lang w:val="fr-FR"/>
        </w:rPr>
        <w:t>b)</w:t>
      </w:r>
      <w:r>
        <w:rPr>
          <w:lang w:val="fr-FR"/>
        </w:rPr>
        <w:tab/>
        <w:t>Opérationnel depuis octobre 2017, le Conseil a hérité de l</w:t>
      </w:r>
      <w:r w:rsidR="0004331D">
        <w:rPr>
          <w:lang w:val="fr-FR"/>
        </w:rPr>
        <w:t>’</w:t>
      </w:r>
      <w:r>
        <w:rPr>
          <w:lang w:val="fr-FR"/>
        </w:rPr>
        <w:t xml:space="preserve">allocation budgétaire du </w:t>
      </w:r>
      <w:proofErr w:type="spellStart"/>
      <w:r w:rsidRPr="009B3FDC">
        <w:rPr>
          <w:i/>
          <w:iCs/>
          <w:lang w:val="fr-FR"/>
        </w:rPr>
        <w:t>Filankevitry</w:t>
      </w:r>
      <w:proofErr w:type="spellEnd"/>
      <w:r w:rsidRPr="009B3FDC">
        <w:rPr>
          <w:i/>
          <w:iCs/>
          <w:lang w:val="fr-FR"/>
        </w:rPr>
        <w:t xml:space="preserve"> </w:t>
      </w:r>
      <w:proofErr w:type="spellStart"/>
      <w:r w:rsidRPr="009B3FDC">
        <w:rPr>
          <w:i/>
          <w:iCs/>
          <w:lang w:val="fr-FR"/>
        </w:rPr>
        <w:t>ny</w:t>
      </w:r>
      <w:proofErr w:type="spellEnd"/>
      <w:r w:rsidRPr="009B3FDC">
        <w:rPr>
          <w:i/>
          <w:iCs/>
          <w:lang w:val="fr-FR"/>
        </w:rPr>
        <w:t xml:space="preserve"> </w:t>
      </w:r>
      <w:proofErr w:type="spellStart"/>
      <w:r w:rsidRPr="009B3FDC">
        <w:rPr>
          <w:i/>
          <w:iCs/>
          <w:lang w:val="fr-FR"/>
        </w:rPr>
        <w:t>Fampihavanana</w:t>
      </w:r>
      <w:proofErr w:type="spellEnd"/>
      <w:r w:rsidRPr="009B3FDC">
        <w:rPr>
          <w:i/>
          <w:iCs/>
          <w:lang w:val="fr-FR"/>
        </w:rPr>
        <w:t xml:space="preserve"> Malagasy</w:t>
      </w:r>
      <w:r>
        <w:rPr>
          <w:lang w:val="fr-FR"/>
        </w:rPr>
        <w:t>, inscrite dans la loi de finances rectificative 2018</w:t>
      </w:r>
      <w:r w:rsidRPr="00B770CF">
        <w:rPr>
          <w:lang w:val="fr-FR"/>
        </w:rPr>
        <w:t>.</w:t>
      </w:r>
      <w:r>
        <w:rPr>
          <w:lang w:val="fr-FR"/>
        </w:rPr>
        <w:t xml:space="preserve"> En août 2018, le Conseil a commencé à procéder à des auditions relatives aux événements qui ont eu lieu entre 2002 et la fin de la période de transition</w:t>
      </w:r>
      <w:r w:rsidRPr="00B770CF">
        <w:rPr>
          <w:lang w:val="fr-FR"/>
        </w:rPr>
        <w:t>.</w:t>
      </w:r>
      <w:r>
        <w:rPr>
          <w:lang w:val="fr-FR"/>
        </w:rPr>
        <w:t xml:space="preserve"> En ce qui concerne la réparation, 1 233 dossiers de demande d</w:t>
      </w:r>
      <w:r w:rsidR="0004331D">
        <w:rPr>
          <w:lang w:val="fr-FR"/>
        </w:rPr>
        <w:t>’</w:t>
      </w:r>
      <w:r>
        <w:rPr>
          <w:lang w:val="fr-FR"/>
        </w:rPr>
        <w:t>indemnisation sont en cours d</w:t>
      </w:r>
      <w:r w:rsidR="0004331D">
        <w:rPr>
          <w:lang w:val="fr-FR"/>
        </w:rPr>
        <w:t>’</w:t>
      </w:r>
      <w:r>
        <w:rPr>
          <w:lang w:val="fr-FR"/>
        </w:rPr>
        <w:t>étude</w:t>
      </w:r>
      <w:r w:rsidRPr="00B770CF">
        <w:rPr>
          <w:lang w:val="fr-FR"/>
        </w:rPr>
        <w:t>.</w:t>
      </w:r>
      <w:r>
        <w:rPr>
          <w:lang w:val="fr-FR"/>
        </w:rPr>
        <w:t xml:space="preserve"> Le Conseil, en partenariat avec les agents des forces de l</w:t>
      </w:r>
      <w:r w:rsidR="0004331D">
        <w:rPr>
          <w:lang w:val="fr-FR"/>
        </w:rPr>
        <w:t>’</w:t>
      </w:r>
      <w:r>
        <w:rPr>
          <w:lang w:val="fr-FR"/>
        </w:rPr>
        <w:t>ordre, a mené des investigations</w:t>
      </w:r>
      <w:r w:rsidRPr="00B770CF">
        <w:rPr>
          <w:lang w:val="fr-FR"/>
        </w:rPr>
        <w:t>.</w:t>
      </w:r>
      <w:r>
        <w:rPr>
          <w:lang w:val="fr-FR"/>
        </w:rPr>
        <w:t xml:space="preserve"> Pour une opérationnalisation effective du Conseil, un projet de décret d</w:t>
      </w:r>
      <w:r w:rsidR="0004331D">
        <w:rPr>
          <w:lang w:val="fr-FR"/>
        </w:rPr>
        <w:t>’</w:t>
      </w:r>
      <w:r>
        <w:rPr>
          <w:lang w:val="fr-FR"/>
        </w:rPr>
        <w:t>application relatif au Fonds national de solidarité est en cours d</w:t>
      </w:r>
      <w:r w:rsidR="0004331D">
        <w:rPr>
          <w:lang w:val="fr-FR"/>
        </w:rPr>
        <w:t>’</w:t>
      </w:r>
      <w:r>
        <w:rPr>
          <w:lang w:val="fr-FR"/>
        </w:rPr>
        <w:t>élaboration</w:t>
      </w:r>
      <w:r w:rsidRPr="00B770CF">
        <w:rPr>
          <w:lang w:val="fr-FR"/>
        </w:rPr>
        <w:t>.</w:t>
      </w:r>
      <w:r>
        <w:rPr>
          <w:lang w:val="fr-FR"/>
        </w:rPr>
        <w:t xml:space="preserve"> La Caisse nationale de réparations et d</w:t>
      </w:r>
      <w:r w:rsidR="0004331D">
        <w:rPr>
          <w:lang w:val="fr-FR"/>
        </w:rPr>
        <w:t>’</w:t>
      </w:r>
      <w:r>
        <w:rPr>
          <w:lang w:val="fr-FR"/>
        </w:rPr>
        <w:t>indemnisation n</w:t>
      </w:r>
      <w:r w:rsidR="0004331D">
        <w:rPr>
          <w:lang w:val="fr-FR"/>
        </w:rPr>
        <w:t>’</w:t>
      </w:r>
      <w:r>
        <w:rPr>
          <w:lang w:val="fr-FR"/>
        </w:rPr>
        <w:t>a pas encore été mise en place</w:t>
      </w:r>
      <w:r w:rsidRPr="00B770CF">
        <w:rPr>
          <w:lang w:val="fr-FR"/>
        </w:rPr>
        <w:t>.</w:t>
      </w:r>
    </w:p>
    <w:p w14:paraId="5A64C784" w14:textId="77777777" w:rsidR="000A63D9" w:rsidRPr="00906443" w:rsidRDefault="000A63D9" w:rsidP="000A63D9">
      <w:pPr>
        <w:pStyle w:val="H23G"/>
        <w:rPr>
          <w:rFonts w:eastAsia="SimSun"/>
          <w:lang w:val="fr-FR"/>
        </w:rPr>
      </w:pPr>
      <w:r>
        <w:rPr>
          <w:lang w:val="fr-FR"/>
        </w:rPr>
        <w:tab/>
      </w:r>
      <w:r>
        <w:rPr>
          <w:lang w:val="fr-FR"/>
        </w:rPr>
        <w:tab/>
        <w:t>Évaluation du Comité</w:t>
      </w:r>
    </w:p>
    <w:p w14:paraId="6746FEEC" w14:textId="77777777" w:rsidR="000A63D9" w:rsidRPr="00906443" w:rsidRDefault="000A63D9" w:rsidP="000A63D9">
      <w:pPr>
        <w:pStyle w:val="SingleTxtG"/>
        <w:rPr>
          <w:lang w:val="fr-FR"/>
        </w:rPr>
      </w:pPr>
      <w:r w:rsidRPr="0000137B">
        <w:rPr>
          <w:b/>
          <w:bCs/>
          <w:lang w:val="fr-FR"/>
        </w:rPr>
        <w:t>[C]</w:t>
      </w:r>
      <w:r w:rsidR="00FC14B8">
        <w:rPr>
          <w:lang w:val="fr-FR"/>
        </w:rPr>
        <w:t> </w:t>
      </w:r>
      <w:r>
        <w:rPr>
          <w:lang w:val="fr-FR"/>
        </w:rPr>
        <w:t>: a)</w:t>
      </w:r>
      <w:r w:rsidR="00FC14B8">
        <w:rPr>
          <w:lang w:val="fr-FR"/>
        </w:rPr>
        <w:t xml:space="preserve"> : </w:t>
      </w:r>
      <w:r>
        <w:rPr>
          <w:lang w:val="fr-FR"/>
        </w:rPr>
        <w:t>Le Comité regrette que l</w:t>
      </w:r>
      <w:r w:rsidR="0004331D">
        <w:rPr>
          <w:lang w:val="fr-FR"/>
        </w:rPr>
        <w:t>’</w:t>
      </w:r>
      <w:r>
        <w:rPr>
          <w:lang w:val="fr-FR"/>
        </w:rPr>
        <w:t>État partie n</w:t>
      </w:r>
      <w:r w:rsidR="0004331D">
        <w:rPr>
          <w:lang w:val="fr-FR"/>
        </w:rPr>
        <w:t>’</w:t>
      </w:r>
      <w:r>
        <w:rPr>
          <w:lang w:val="fr-FR"/>
        </w:rPr>
        <w:t>ait pas fourni plus d</w:t>
      </w:r>
      <w:r w:rsidR="0004331D">
        <w:rPr>
          <w:lang w:val="fr-FR"/>
        </w:rPr>
        <w:t>’</w:t>
      </w:r>
      <w:r>
        <w:rPr>
          <w:lang w:val="fr-FR"/>
        </w:rPr>
        <w:t>informations au sujet des enquêtes sur les allégations d</w:t>
      </w:r>
      <w:r w:rsidR="0004331D">
        <w:rPr>
          <w:lang w:val="fr-FR"/>
        </w:rPr>
        <w:t>’</w:t>
      </w:r>
      <w:r>
        <w:rPr>
          <w:lang w:val="fr-FR"/>
        </w:rPr>
        <w:t>actes de torture, de disparitions forcées et d</w:t>
      </w:r>
      <w:r w:rsidR="0004331D">
        <w:rPr>
          <w:lang w:val="fr-FR"/>
        </w:rPr>
        <w:t>’</w:t>
      </w:r>
      <w:r>
        <w:rPr>
          <w:lang w:val="fr-FR"/>
        </w:rPr>
        <w:t xml:space="preserve">exécutions sommaires et </w:t>
      </w:r>
      <w:proofErr w:type="spellStart"/>
      <w:r>
        <w:rPr>
          <w:lang w:val="fr-FR"/>
        </w:rPr>
        <w:t>extrajudiciaires</w:t>
      </w:r>
      <w:proofErr w:type="spellEnd"/>
      <w:r>
        <w:rPr>
          <w:lang w:val="fr-FR"/>
        </w:rPr>
        <w:t>, et réitère sa recommandation</w:t>
      </w:r>
      <w:r w:rsidRPr="00B770CF">
        <w:rPr>
          <w:lang w:val="fr-FR"/>
        </w:rPr>
        <w:t>.</w:t>
      </w:r>
    </w:p>
    <w:p w14:paraId="29AE9A1F" w14:textId="77777777" w:rsidR="000A63D9" w:rsidRPr="00906443" w:rsidRDefault="000A63D9" w:rsidP="000A63D9">
      <w:pPr>
        <w:pStyle w:val="SingleTxtG"/>
        <w:rPr>
          <w:lang w:val="fr-FR"/>
        </w:rPr>
      </w:pPr>
      <w:r w:rsidRPr="0000137B">
        <w:rPr>
          <w:b/>
          <w:bCs/>
          <w:lang w:val="fr-FR"/>
        </w:rPr>
        <w:t>[B]</w:t>
      </w:r>
      <w:r w:rsidR="00FC14B8">
        <w:rPr>
          <w:b/>
          <w:bCs/>
          <w:lang w:val="fr-FR"/>
        </w:rPr>
        <w:t> </w:t>
      </w:r>
      <w:r>
        <w:rPr>
          <w:lang w:val="fr-FR"/>
        </w:rPr>
        <w:t>: b)</w:t>
      </w:r>
      <w:r w:rsidR="00FC14B8">
        <w:rPr>
          <w:lang w:val="fr-FR"/>
        </w:rPr>
        <w:t xml:space="preserve"> : </w:t>
      </w:r>
      <w:r>
        <w:rPr>
          <w:lang w:val="fr-FR"/>
        </w:rPr>
        <w:t>Le Comité accueille avec satisfaction les informations selon lesquelles le Conseil de la réconciliation malgache est opérationnel, mais regrette qu</w:t>
      </w:r>
      <w:r w:rsidR="0004331D">
        <w:rPr>
          <w:lang w:val="fr-FR"/>
        </w:rPr>
        <w:t>’</w:t>
      </w:r>
      <w:r>
        <w:rPr>
          <w:lang w:val="fr-FR"/>
        </w:rPr>
        <w:t>une caisse nationale de réparations et d</w:t>
      </w:r>
      <w:r w:rsidR="0004331D">
        <w:rPr>
          <w:lang w:val="fr-FR"/>
        </w:rPr>
        <w:t>’</w:t>
      </w:r>
      <w:r>
        <w:rPr>
          <w:lang w:val="fr-FR"/>
        </w:rPr>
        <w:t>indemnisation n</w:t>
      </w:r>
      <w:r w:rsidR="0004331D">
        <w:rPr>
          <w:lang w:val="fr-FR"/>
        </w:rPr>
        <w:t>’</w:t>
      </w:r>
      <w:r>
        <w:rPr>
          <w:lang w:val="fr-FR"/>
        </w:rPr>
        <w:t>ait pas encore été mise en place</w:t>
      </w:r>
      <w:r w:rsidRPr="00B770CF">
        <w:rPr>
          <w:lang w:val="fr-FR"/>
        </w:rPr>
        <w:t>.</w:t>
      </w:r>
      <w:r>
        <w:rPr>
          <w:lang w:val="fr-FR"/>
        </w:rPr>
        <w:t xml:space="preserve"> Il demande des </w:t>
      </w:r>
      <w:r>
        <w:rPr>
          <w:lang w:val="fr-FR"/>
        </w:rPr>
        <w:lastRenderedPageBreak/>
        <w:t>renseignements sur le budget alloué au Conseil et souhaite savoir si ce budget est suffisant pour que le Conseil puisse remplir ses fonctions</w:t>
      </w:r>
      <w:r w:rsidRPr="00B770CF">
        <w:rPr>
          <w:lang w:val="fr-FR"/>
        </w:rPr>
        <w:t>.</w:t>
      </w:r>
      <w:r>
        <w:rPr>
          <w:lang w:val="fr-FR"/>
        </w:rPr>
        <w:t xml:space="preserve"> Le Comité renouvelle sa recommandation</w:t>
      </w:r>
      <w:r w:rsidRPr="00B770CF">
        <w:rPr>
          <w:lang w:val="fr-FR"/>
        </w:rPr>
        <w:t>.</w:t>
      </w:r>
      <w:r>
        <w:rPr>
          <w:lang w:val="fr-FR"/>
        </w:rPr>
        <w:t xml:space="preserve"> </w:t>
      </w:r>
    </w:p>
    <w:p w14:paraId="2A5B70CD" w14:textId="77777777" w:rsidR="000A63D9" w:rsidRPr="00906443" w:rsidRDefault="000A63D9" w:rsidP="000A63D9">
      <w:pPr>
        <w:pStyle w:val="H23G"/>
        <w:rPr>
          <w:lang w:val="fr-FR"/>
        </w:rPr>
      </w:pPr>
      <w:r>
        <w:rPr>
          <w:lang w:val="fr-FR"/>
        </w:rPr>
        <w:tab/>
      </w:r>
      <w:r>
        <w:rPr>
          <w:lang w:val="fr-FR"/>
        </w:rPr>
        <w:tab/>
        <w:t>Paragraphe 30 : Interdiction de la torture et des mauvais traitements</w:t>
      </w:r>
    </w:p>
    <w:p w14:paraId="110344A3" w14:textId="77777777" w:rsidR="000A63D9" w:rsidRPr="00906443" w:rsidRDefault="000A63D9" w:rsidP="00247FBC">
      <w:pPr>
        <w:pStyle w:val="SingleTxtG"/>
        <w:ind w:firstLine="567"/>
        <w:rPr>
          <w:b/>
          <w:lang w:val="fr-FR"/>
        </w:rPr>
      </w:pPr>
      <w:r>
        <w:rPr>
          <w:b/>
          <w:bCs/>
          <w:lang w:val="fr-FR"/>
        </w:rPr>
        <w:t>L</w:t>
      </w:r>
      <w:r w:rsidR="0004331D">
        <w:rPr>
          <w:b/>
          <w:bCs/>
          <w:lang w:val="fr-FR"/>
        </w:rPr>
        <w:t>’</w:t>
      </w:r>
      <w:r>
        <w:rPr>
          <w:b/>
          <w:bCs/>
          <w:lang w:val="fr-FR"/>
        </w:rPr>
        <w:t>État partie devrait</w:t>
      </w:r>
      <w:r w:rsidR="00FC14B8">
        <w:rPr>
          <w:b/>
          <w:bCs/>
          <w:lang w:val="fr-FR"/>
        </w:rPr>
        <w:t> </w:t>
      </w:r>
      <w:r>
        <w:rPr>
          <w:b/>
          <w:bCs/>
          <w:lang w:val="fr-FR"/>
        </w:rPr>
        <w:t xml:space="preserve">: a) réviser dans les meilleurs délais la loi </w:t>
      </w:r>
      <w:r w:rsidR="00FC14B8" w:rsidRPr="00FC14B8">
        <w:rPr>
          <w:rFonts w:eastAsia="MS Mincho"/>
          <w:b/>
          <w:bCs/>
          <w:szCs w:val="22"/>
          <w:lang w:val="fr-FR"/>
        </w:rPr>
        <w:t>n</w:t>
      </w:r>
      <w:r w:rsidR="00FC14B8" w:rsidRPr="00FC14B8">
        <w:rPr>
          <w:rFonts w:eastAsia="MS Mincho"/>
          <w:b/>
          <w:bCs/>
          <w:szCs w:val="22"/>
          <w:vertAlign w:val="superscript"/>
          <w:lang w:val="fr-FR"/>
        </w:rPr>
        <w:t>o</w:t>
      </w:r>
      <w:r w:rsidR="00FC14B8">
        <w:rPr>
          <w:b/>
          <w:bCs/>
          <w:lang w:val="fr-FR"/>
        </w:rPr>
        <w:t> </w:t>
      </w:r>
      <w:r>
        <w:rPr>
          <w:b/>
          <w:bCs/>
          <w:lang w:val="fr-FR"/>
        </w:rPr>
        <w:t>2008-008 dans le but de garantir l</w:t>
      </w:r>
      <w:r w:rsidR="0004331D">
        <w:rPr>
          <w:b/>
          <w:bCs/>
          <w:lang w:val="fr-FR"/>
        </w:rPr>
        <w:t>’</w:t>
      </w:r>
      <w:r>
        <w:rPr>
          <w:b/>
          <w:bCs/>
          <w:lang w:val="fr-FR"/>
        </w:rPr>
        <w:t>inclusion de sanctions contre les mauvais traitements, l</w:t>
      </w:r>
      <w:r w:rsidR="0004331D">
        <w:rPr>
          <w:b/>
          <w:bCs/>
          <w:lang w:val="fr-FR"/>
        </w:rPr>
        <w:t>’</w:t>
      </w:r>
      <w:r>
        <w:rPr>
          <w:b/>
          <w:bCs/>
          <w:lang w:val="fr-FR"/>
        </w:rPr>
        <w:t>imprescriptibilité des actes de torture et l</w:t>
      </w:r>
      <w:r w:rsidR="0004331D">
        <w:rPr>
          <w:b/>
          <w:bCs/>
          <w:lang w:val="fr-FR"/>
        </w:rPr>
        <w:t>’</w:t>
      </w:r>
      <w:r>
        <w:rPr>
          <w:b/>
          <w:bCs/>
          <w:lang w:val="fr-FR"/>
        </w:rPr>
        <w:t>inadmissibilité des aveux obtenus sous la contrainte ou la torture comme preuve devant les tribunaux</w:t>
      </w:r>
      <w:r w:rsidR="00FC14B8">
        <w:rPr>
          <w:b/>
          <w:bCs/>
          <w:lang w:val="fr-FR"/>
        </w:rPr>
        <w:t> </w:t>
      </w:r>
      <w:r>
        <w:rPr>
          <w:b/>
          <w:bCs/>
          <w:lang w:val="fr-FR"/>
        </w:rPr>
        <w:t>;</w:t>
      </w:r>
      <w:r>
        <w:rPr>
          <w:lang w:val="fr-FR"/>
        </w:rPr>
        <w:t xml:space="preserve"> </w:t>
      </w:r>
      <w:r>
        <w:rPr>
          <w:b/>
          <w:bCs/>
          <w:lang w:val="fr-FR"/>
        </w:rPr>
        <w:t>b) effectuer les ajustements nécessaires afin de refléter les dispositions de la loi n</w:t>
      </w:r>
      <w:r>
        <w:rPr>
          <w:b/>
          <w:bCs/>
          <w:vertAlign w:val="superscript"/>
          <w:lang w:val="fr-FR"/>
        </w:rPr>
        <w:t>o</w:t>
      </w:r>
      <w:r w:rsidR="00FC14B8">
        <w:rPr>
          <w:b/>
          <w:bCs/>
          <w:lang w:val="fr-FR"/>
        </w:rPr>
        <w:t> </w:t>
      </w:r>
      <w:r>
        <w:rPr>
          <w:b/>
          <w:bCs/>
          <w:lang w:val="fr-FR"/>
        </w:rPr>
        <w:t>2008-008 dans le Code pénal et le Code de procédure pénale</w:t>
      </w:r>
      <w:r w:rsidR="00FC14B8">
        <w:rPr>
          <w:b/>
          <w:bCs/>
          <w:lang w:val="fr-FR"/>
        </w:rPr>
        <w:t> </w:t>
      </w:r>
      <w:r>
        <w:rPr>
          <w:b/>
          <w:bCs/>
          <w:lang w:val="fr-FR"/>
        </w:rPr>
        <w:t>;</w:t>
      </w:r>
      <w:r>
        <w:rPr>
          <w:lang w:val="fr-FR"/>
        </w:rPr>
        <w:t xml:space="preserve"> </w:t>
      </w:r>
      <w:r>
        <w:rPr>
          <w:b/>
          <w:bCs/>
          <w:lang w:val="fr-FR"/>
        </w:rPr>
        <w:t>c) s</w:t>
      </w:r>
      <w:r w:rsidR="0004331D">
        <w:rPr>
          <w:b/>
          <w:bCs/>
          <w:lang w:val="fr-FR"/>
        </w:rPr>
        <w:t>’</w:t>
      </w:r>
      <w:r>
        <w:rPr>
          <w:b/>
          <w:bCs/>
          <w:lang w:val="fr-FR"/>
        </w:rPr>
        <w:t>assurer que les cas présumés de torture et de mauvais traitements commis par les forces de police et de sécurité font l</w:t>
      </w:r>
      <w:r w:rsidR="0004331D">
        <w:rPr>
          <w:b/>
          <w:bCs/>
          <w:lang w:val="fr-FR"/>
        </w:rPr>
        <w:t>’</w:t>
      </w:r>
      <w:r>
        <w:rPr>
          <w:b/>
          <w:bCs/>
          <w:lang w:val="fr-FR"/>
        </w:rPr>
        <w:t>objet d</w:t>
      </w:r>
      <w:r w:rsidR="0004331D">
        <w:rPr>
          <w:b/>
          <w:bCs/>
          <w:lang w:val="fr-FR"/>
        </w:rPr>
        <w:t>’</w:t>
      </w:r>
      <w:r>
        <w:rPr>
          <w:b/>
          <w:bCs/>
          <w:lang w:val="fr-FR"/>
        </w:rPr>
        <w:t>une enquête approfondie, et veiller à ce que les responsables soient poursuivis et, s</w:t>
      </w:r>
      <w:r w:rsidR="0004331D">
        <w:rPr>
          <w:b/>
          <w:bCs/>
          <w:lang w:val="fr-FR"/>
        </w:rPr>
        <w:t>’</w:t>
      </w:r>
      <w:r>
        <w:rPr>
          <w:b/>
          <w:bCs/>
          <w:lang w:val="fr-FR"/>
        </w:rPr>
        <w:t>ils sont reconnus coupables, condamnés à des peines appropriées</w:t>
      </w:r>
      <w:r w:rsidR="00FC14B8">
        <w:rPr>
          <w:b/>
          <w:bCs/>
          <w:lang w:val="fr-FR"/>
        </w:rPr>
        <w:t> </w:t>
      </w:r>
      <w:r>
        <w:rPr>
          <w:b/>
          <w:bCs/>
          <w:lang w:val="fr-FR"/>
        </w:rPr>
        <w:t>;</w:t>
      </w:r>
      <w:r>
        <w:rPr>
          <w:lang w:val="fr-FR"/>
        </w:rPr>
        <w:t xml:space="preserve"> </w:t>
      </w:r>
      <w:r>
        <w:rPr>
          <w:b/>
          <w:bCs/>
          <w:lang w:val="fr-FR"/>
        </w:rPr>
        <w:t>d) s</w:t>
      </w:r>
      <w:r w:rsidR="0004331D">
        <w:rPr>
          <w:b/>
          <w:bCs/>
          <w:lang w:val="fr-FR"/>
        </w:rPr>
        <w:t>’</w:t>
      </w:r>
      <w:r>
        <w:rPr>
          <w:b/>
          <w:bCs/>
          <w:lang w:val="fr-FR"/>
        </w:rPr>
        <w:t>assurer que les victimes sont dûment indemnisées et se voient proposer des mesures de réadaptation</w:t>
      </w:r>
      <w:r w:rsidR="00FC14B8">
        <w:rPr>
          <w:b/>
          <w:bCs/>
          <w:lang w:val="fr-FR"/>
        </w:rPr>
        <w:t> </w:t>
      </w:r>
      <w:r>
        <w:rPr>
          <w:b/>
          <w:bCs/>
          <w:lang w:val="fr-FR"/>
        </w:rPr>
        <w:t>;</w:t>
      </w:r>
      <w:r>
        <w:rPr>
          <w:lang w:val="fr-FR"/>
        </w:rPr>
        <w:t xml:space="preserve"> </w:t>
      </w:r>
      <w:r>
        <w:rPr>
          <w:b/>
          <w:bCs/>
          <w:lang w:val="fr-FR"/>
        </w:rPr>
        <w:t>e) créer un mécanisme indépendant chargé d</w:t>
      </w:r>
      <w:r w:rsidR="0004331D">
        <w:rPr>
          <w:b/>
          <w:bCs/>
          <w:lang w:val="fr-FR"/>
        </w:rPr>
        <w:t>’</w:t>
      </w:r>
      <w:r>
        <w:rPr>
          <w:b/>
          <w:bCs/>
          <w:lang w:val="fr-FR"/>
        </w:rPr>
        <w:t>enquêter sur les plaintes pour les faits de torture et de mauvais traitements commis par des membres des forces de police et de sécurité</w:t>
      </w:r>
      <w:r w:rsidRPr="00B770CF">
        <w:rPr>
          <w:b/>
          <w:bCs/>
          <w:lang w:val="fr-FR"/>
        </w:rPr>
        <w:t>.</w:t>
      </w:r>
    </w:p>
    <w:p w14:paraId="456CE4BA" w14:textId="77777777" w:rsidR="000A63D9" w:rsidRPr="00906443" w:rsidRDefault="000A63D9" w:rsidP="000A63D9">
      <w:pPr>
        <w:pStyle w:val="H23G"/>
        <w:rPr>
          <w:lang w:val="fr-FR"/>
        </w:rPr>
      </w:pPr>
      <w:r>
        <w:rPr>
          <w:lang w:val="fr-FR"/>
        </w:rPr>
        <w:tab/>
      </w:r>
      <w:r>
        <w:rPr>
          <w:lang w:val="fr-FR"/>
        </w:rPr>
        <w:tab/>
        <w:t>Résumé de la réponse de l</w:t>
      </w:r>
      <w:r w:rsidR="0004331D">
        <w:rPr>
          <w:lang w:val="fr-FR"/>
        </w:rPr>
        <w:t>’</w:t>
      </w:r>
      <w:r>
        <w:rPr>
          <w:lang w:val="fr-FR"/>
        </w:rPr>
        <w:t>État partie</w:t>
      </w:r>
    </w:p>
    <w:p w14:paraId="7D8F804B" w14:textId="77777777" w:rsidR="000A63D9" w:rsidRPr="00906443" w:rsidRDefault="000A63D9" w:rsidP="000A63D9">
      <w:pPr>
        <w:pStyle w:val="SingleTxtG"/>
        <w:rPr>
          <w:b/>
          <w:lang w:val="fr-FR"/>
        </w:rPr>
      </w:pPr>
      <w:r>
        <w:rPr>
          <w:lang w:val="fr-FR"/>
        </w:rPr>
        <w:tab/>
        <w:t>a)</w:t>
      </w:r>
      <w:r>
        <w:rPr>
          <w:lang w:val="fr-FR"/>
        </w:rPr>
        <w:tab/>
        <w:t>La réforme de la loi n</w:t>
      </w:r>
      <w:r>
        <w:rPr>
          <w:vertAlign w:val="superscript"/>
          <w:lang w:val="fr-FR"/>
        </w:rPr>
        <w:t>o</w:t>
      </w:r>
      <w:r>
        <w:rPr>
          <w:lang w:val="fr-FR"/>
        </w:rPr>
        <w:t xml:space="preserve"> 2008-008 contre la torture et autres peines ou traitements cruels, inhumains ou dégradants est en cours de finalisation ; </w:t>
      </w:r>
    </w:p>
    <w:p w14:paraId="0539BD74" w14:textId="77777777" w:rsidR="000A63D9" w:rsidRPr="00906443" w:rsidRDefault="000A63D9" w:rsidP="000A63D9">
      <w:pPr>
        <w:pStyle w:val="SingleTxtG"/>
        <w:rPr>
          <w:b/>
          <w:lang w:val="fr-FR"/>
        </w:rPr>
      </w:pPr>
      <w:r>
        <w:rPr>
          <w:lang w:val="fr-FR"/>
        </w:rPr>
        <w:tab/>
        <w:t>b)</w:t>
      </w:r>
      <w:r>
        <w:rPr>
          <w:lang w:val="fr-FR"/>
        </w:rPr>
        <w:tab/>
        <w:t>Les dispositions de la loi ne seront pas intégrées dans le Code pénal</w:t>
      </w:r>
      <w:r w:rsidRPr="00B770CF">
        <w:rPr>
          <w:lang w:val="fr-FR"/>
        </w:rPr>
        <w:t>.</w:t>
      </w:r>
      <w:r>
        <w:rPr>
          <w:lang w:val="fr-FR"/>
        </w:rPr>
        <w:t xml:space="preserve"> Toutefois, la loi </w:t>
      </w:r>
      <w:r w:rsidRPr="00CC6329">
        <w:rPr>
          <w:lang w:val="fr-FR"/>
        </w:rPr>
        <w:t>n</w:t>
      </w:r>
      <w:r w:rsidRPr="00CC6329">
        <w:rPr>
          <w:vertAlign w:val="superscript"/>
          <w:lang w:val="fr-FR"/>
        </w:rPr>
        <w:t>o</w:t>
      </w:r>
      <w:r>
        <w:rPr>
          <w:lang w:val="fr-FR"/>
        </w:rPr>
        <w:t> 2016-017 a modifié et complété certaines dispositions du Code de procédure pénale afin que l</w:t>
      </w:r>
      <w:r w:rsidR="0004331D">
        <w:rPr>
          <w:lang w:val="fr-FR"/>
        </w:rPr>
        <w:t>’</w:t>
      </w:r>
      <w:r>
        <w:rPr>
          <w:lang w:val="fr-FR"/>
        </w:rPr>
        <w:t>application des textes pénaux, dont ceux portant sur la torture, soit facilitée ;</w:t>
      </w:r>
    </w:p>
    <w:p w14:paraId="1325B687" w14:textId="77777777" w:rsidR="000A63D9" w:rsidRPr="00906443" w:rsidRDefault="000A63D9" w:rsidP="000A63D9">
      <w:pPr>
        <w:pStyle w:val="SingleTxtG"/>
        <w:rPr>
          <w:lang w:val="fr-FR"/>
        </w:rPr>
      </w:pPr>
      <w:r>
        <w:rPr>
          <w:lang w:val="fr-FR"/>
        </w:rPr>
        <w:tab/>
        <w:t>c)</w:t>
      </w:r>
      <w:r>
        <w:rPr>
          <w:lang w:val="fr-FR"/>
        </w:rPr>
        <w:tab/>
        <w:t>En collaboration avec l</w:t>
      </w:r>
      <w:r w:rsidR="0004331D">
        <w:rPr>
          <w:lang w:val="fr-FR"/>
        </w:rPr>
        <w:t>’</w:t>
      </w:r>
      <w:r>
        <w:rPr>
          <w:lang w:val="fr-FR"/>
        </w:rPr>
        <w:t>Association pour la prévention de la torture basée à Genève, des activités de sensibilisation des magistrats et des officiers de police judiciaire ont été organisées dans la capitale afin que les garanties procédurales soient mieux respectées pendant la période de garde à vue</w:t>
      </w:r>
      <w:r w:rsidRPr="00B770CF">
        <w:rPr>
          <w:lang w:val="fr-FR"/>
        </w:rPr>
        <w:t>.</w:t>
      </w:r>
      <w:r>
        <w:rPr>
          <w:lang w:val="fr-FR"/>
        </w:rPr>
        <w:t xml:space="preserve"> </w:t>
      </w:r>
      <w:r>
        <w:rPr>
          <w:lang w:val="fr-FR"/>
        </w:rPr>
        <w:tab/>
        <w:t>En 2017 et en 2018, en partenariat avec le Programme des Nations Unies pour le développement et le Haut-Commissariat des Nations Unies aux droits de l</w:t>
      </w:r>
      <w:r w:rsidR="0004331D">
        <w:rPr>
          <w:lang w:val="fr-FR"/>
        </w:rPr>
        <w:t>’</w:t>
      </w:r>
      <w:r>
        <w:rPr>
          <w:lang w:val="fr-FR"/>
        </w:rPr>
        <w:t>homme, des membres des Forces de défense et de sécurité des 22 régions ont reçu des formations sur les droits de l</w:t>
      </w:r>
      <w:r w:rsidR="0004331D">
        <w:rPr>
          <w:lang w:val="fr-FR"/>
        </w:rPr>
        <w:t>’</w:t>
      </w:r>
      <w:r>
        <w:rPr>
          <w:lang w:val="fr-FR"/>
        </w:rPr>
        <w:t>homme, y compris sur l</w:t>
      </w:r>
      <w:r w:rsidR="0004331D">
        <w:rPr>
          <w:lang w:val="fr-FR"/>
        </w:rPr>
        <w:t>’</w:t>
      </w:r>
      <w:r>
        <w:rPr>
          <w:lang w:val="fr-FR"/>
        </w:rPr>
        <w:t>interdiction de la torture et des mauvais traitements ;</w:t>
      </w:r>
    </w:p>
    <w:p w14:paraId="28D8130A" w14:textId="77777777" w:rsidR="000A63D9" w:rsidRPr="00906443" w:rsidRDefault="000A63D9" w:rsidP="000A63D9">
      <w:pPr>
        <w:pStyle w:val="SingleTxtG"/>
        <w:rPr>
          <w:b/>
          <w:lang w:val="fr-FR"/>
        </w:rPr>
      </w:pPr>
      <w:r>
        <w:rPr>
          <w:lang w:val="fr-FR"/>
        </w:rPr>
        <w:tab/>
        <w:t>d)</w:t>
      </w:r>
      <w:r>
        <w:rPr>
          <w:lang w:val="fr-FR"/>
        </w:rPr>
        <w:tab/>
        <w:t>Les renseignements sur l</w:t>
      </w:r>
      <w:r w:rsidR="0004331D">
        <w:rPr>
          <w:lang w:val="fr-FR"/>
        </w:rPr>
        <w:t>’</w:t>
      </w:r>
      <w:r>
        <w:rPr>
          <w:lang w:val="fr-FR"/>
        </w:rPr>
        <w:t>indemnisation des victimes de tortures ne sont pas encore disponibles ;</w:t>
      </w:r>
    </w:p>
    <w:p w14:paraId="045F30BE" w14:textId="77777777" w:rsidR="000A63D9" w:rsidRPr="00906443" w:rsidRDefault="000A63D9" w:rsidP="00501A5F">
      <w:pPr>
        <w:pStyle w:val="SingleTxtG"/>
        <w:rPr>
          <w:color w:val="000000" w:themeColor="text1"/>
          <w:lang w:val="fr-FR"/>
        </w:rPr>
      </w:pPr>
      <w:r>
        <w:rPr>
          <w:lang w:val="fr-FR"/>
        </w:rPr>
        <w:tab/>
        <w:t>e)</w:t>
      </w:r>
      <w:r>
        <w:rPr>
          <w:lang w:val="fr-FR"/>
        </w:rPr>
        <w:tab/>
        <w:t>La Commission nationale indépendante des droits de l</w:t>
      </w:r>
      <w:r w:rsidR="0004331D">
        <w:rPr>
          <w:lang w:val="fr-FR"/>
        </w:rPr>
        <w:t>’</w:t>
      </w:r>
      <w:r>
        <w:rPr>
          <w:lang w:val="fr-FR"/>
        </w:rPr>
        <w:t>homme est un mécanisme indépendant, habilité à enquêter sur les allégations de tortures et de mauvais traitements commis par des membres des forces de police et de sécurité</w:t>
      </w:r>
      <w:r w:rsidRPr="00B770CF">
        <w:rPr>
          <w:lang w:val="fr-FR"/>
        </w:rPr>
        <w:t>.</w:t>
      </w:r>
      <w:r>
        <w:rPr>
          <w:lang w:val="fr-FR"/>
        </w:rPr>
        <w:t xml:space="preserve"> La loi n</w:t>
      </w:r>
      <w:r>
        <w:rPr>
          <w:vertAlign w:val="superscript"/>
          <w:lang w:val="fr-FR"/>
        </w:rPr>
        <w:t>o</w:t>
      </w:r>
      <w:r>
        <w:rPr>
          <w:lang w:val="fr-FR"/>
        </w:rPr>
        <w:t> 2018-028 (2019) renforce cette compétence de la Commission nationale en désignant celle-ci comme mécanisme national de prévention ayant pour attribution de mener des visites inopinées dans les lieux de détention, conformément aux dispositions du Protocole facultatif se rapportant à la Convention contre la torture et autres peines ou traitements cruels, inhumains ou dégradants, que Madagascar a ratifié en 2017</w:t>
      </w:r>
      <w:r w:rsidRPr="00B770CF">
        <w:rPr>
          <w:lang w:val="fr-FR"/>
        </w:rPr>
        <w:t>.</w:t>
      </w:r>
    </w:p>
    <w:p w14:paraId="52DD8EC9" w14:textId="77777777" w:rsidR="000A63D9" w:rsidRPr="00906443" w:rsidRDefault="000A63D9" w:rsidP="000A63D9">
      <w:pPr>
        <w:pStyle w:val="H23G"/>
        <w:rPr>
          <w:rFonts w:eastAsia="SimSun"/>
          <w:lang w:val="fr-FR"/>
        </w:rPr>
      </w:pPr>
      <w:r>
        <w:rPr>
          <w:lang w:val="fr-FR"/>
        </w:rPr>
        <w:tab/>
      </w:r>
      <w:r>
        <w:rPr>
          <w:lang w:val="fr-FR"/>
        </w:rPr>
        <w:tab/>
        <w:t>Évaluation du Comité</w:t>
      </w:r>
    </w:p>
    <w:p w14:paraId="18BBA3D7" w14:textId="77777777" w:rsidR="000A63D9" w:rsidRDefault="000A63D9" w:rsidP="000A63D9">
      <w:pPr>
        <w:pStyle w:val="SingleTxtG"/>
        <w:keepNext/>
        <w:keepLines/>
        <w:rPr>
          <w:lang w:val="fr-FR"/>
        </w:rPr>
      </w:pPr>
      <w:r w:rsidRPr="0000137B">
        <w:rPr>
          <w:b/>
          <w:bCs/>
          <w:lang w:val="fr-FR"/>
        </w:rPr>
        <w:t>[B]</w:t>
      </w:r>
      <w:r>
        <w:rPr>
          <w:b/>
          <w:bCs/>
          <w:lang w:val="fr-FR"/>
        </w:rPr>
        <w:t> </w:t>
      </w:r>
      <w:r>
        <w:rPr>
          <w:lang w:val="fr-FR"/>
        </w:rPr>
        <w:t>: a), c) et e)</w:t>
      </w:r>
      <w:r w:rsidR="00501A5F">
        <w:rPr>
          <w:lang w:val="fr-FR"/>
        </w:rPr>
        <w:t xml:space="preserve"> : </w:t>
      </w:r>
      <w:r>
        <w:rPr>
          <w:lang w:val="fr-FR"/>
        </w:rPr>
        <w:t xml:space="preserve">Le Comité accueille avec satisfaction les informations selon lesquelles la réforme de la loi </w:t>
      </w:r>
      <w:r w:rsidR="00501A5F" w:rsidRPr="00501A5F">
        <w:rPr>
          <w:rFonts w:eastAsia="MS Mincho"/>
          <w:szCs w:val="22"/>
          <w:lang w:val="fr-FR"/>
        </w:rPr>
        <w:t>n</w:t>
      </w:r>
      <w:r w:rsidR="00501A5F" w:rsidRPr="00501A5F">
        <w:rPr>
          <w:rFonts w:eastAsia="MS Mincho"/>
          <w:szCs w:val="22"/>
          <w:vertAlign w:val="superscript"/>
          <w:lang w:val="fr-FR"/>
        </w:rPr>
        <w:t>o</w:t>
      </w:r>
      <w:r w:rsidR="00501A5F">
        <w:rPr>
          <w:lang w:val="fr-FR"/>
        </w:rPr>
        <w:t> </w:t>
      </w:r>
      <w:r>
        <w:rPr>
          <w:lang w:val="fr-FR"/>
        </w:rPr>
        <w:t>2008-008 du 25</w:t>
      </w:r>
      <w:r w:rsidR="00501A5F">
        <w:rPr>
          <w:lang w:val="fr-FR"/>
        </w:rPr>
        <w:t> </w:t>
      </w:r>
      <w:r>
        <w:rPr>
          <w:lang w:val="fr-FR"/>
        </w:rPr>
        <w:t>juin 2008, qui interdit la torture et autres peines ou traitements cruels, inhumains ou dégradants, est en cours de finalisation</w:t>
      </w:r>
      <w:r w:rsidRPr="00B770CF">
        <w:rPr>
          <w:lang w:val="fr-FR"/>
        </w:rPr>
        <w:t>.</w:t>
      </w:r>
      <w:r>
        <w:rPr>
          <w:lang w:val="fr-FR"/>
        </w:rPr>
        <w:t xml:space="preserve"> Il demande des renseignements sur le contenu de la réforme, souhaite savoir notamment si elle est conforme à la recommandation qu</w:t>
      </w:r>
      <w:r w:rsidR="0004331D">
        <w:rPr>
          <w:lang w:val="fr-FR"/>
        </w:rPr>
        <w:t>’</w:t>
      </w:r>
      <w:r>
        <w:rPr>
          <w:lang w:val="fr-FR"/>
        </w:rPr>
        <w:t>il a faite, et si elle a été adoptée</w:t>
      </w:r>
      <w:r w:rsidRPr="00B770CF">
        <w:rPr>
          <w:lang w:val="fr-FR"/>
        </w:rPr>
        <w:t>.</w:t>
      </w:r>
      <w:r>
        <w:rPr>
          <w:lang w:val="fr-FR"/>
        </w:rPr>
        <w:t xml:space="preserve"> </w:t>
      </w:r>
    </w:p>
    <w:p w14:paraId="71893B61" w14:textId="77777777" w:rsidR="000A63D9" w:rsidRPr="00906443" w:rsidRDefault="000A63D9" w:rsidP="00247FBC">
      <w:pPr>
        <w:pStyle w:val="SingleTxtG"/>
        <w:ind w:firstLine="567"/>
        <w:rPr>
          <w:lang w:val="fr-FR"/>
        </w:rPr>
      </w:pPr>
      <w:r>
        <w:rPr>
          <w:lang w:val="fr-FR"/>
        </w:rPr>
        <w:t>Le Comité accueille avec satisfaction également les informations qui lui ont été fournies concernant les formations dispensées. Il demande des renseignements sur les mesures qui ont été prises, depuis l</w:t>
      </w:r>
      <w:r w:rsidR="0004331D">
        <w:rPr>
          <w:lang w:val="fr-FR"/>
        </w:rPr>
        <w:t>’</w:t>
      </w:r>
      <w:r>
        <w:rPr>
          <w:lang w:val="fr-FR"/>
        </w:rPr>
        <w:t>adoption de ses observations finales, pour faire en sorte que les allégations de torture et de mauvais traitements visant les forces de police ou de sécurité fassent l</w:t>
      </w:r>
      <w:r w:rsidR="0004331D">
        <w:rPr>
          <w:lang w:val="fr-FR"/>
        </w:rPr>
        <w:t>’</w:t>
      </w:r>
      <w:r>
        <w:rPr>
          <w:lang w:val="fr-FR"/>
        </w:rPr>
        <w:t>objet d</w:t>
      </w:r>
      <w:r w:rsidR="0004331D">
        <w:rPr>
          <w:lang w:val="fr-FR"/>
        </w:rPr>
        <w:t>’</w:t>
      </w:r>
      <w:r>
        <w:rPr>
          <w:lang w:val="fr-FR"/>
        </w:rPr>
        <w:t>une enquête approfondie et que les auteurs présumés soient poursuivis et, s</w:t>
      </w:r>
      <w:r w:rsidR="0004331D">
        <w:rPr>
          <w:lang w:val="fr-FR"/>
        </w:rPr>
        <w:t>’</w:t>
      </w:r>
      <w:r>
        <w:rPr>
          <w:lang w:val="fr-FR"/>
        </w:rPr>
        <w:t>ils sont reconnus coupables, condamnés à des peines appropriées.</w:t>
      </w:r>
    </w:p>
    <w:p w14:paraId="38B7F4FF" w14:textId="77777777" w:rsidR="000A63D9" w:rsidRPr="00906443" w:rsidRDefault="000A63D9" w:rsidP="00247FBC">
      <w:pPr>
        <w:pStyle w:val="SingleTxtG"/>
        <w:ind w:firstLine="567"/>
        <w:rPr>
          <w:lang w:val="fr-FR"/>
        </w:rPr>
      </w:pPr>
      <w:r>
        <w:rPr>
          <w:lang w:val="fr-FR"/>
        </w:rPr>
        <w:lastRenderedPageBreak/>
        <w:t>Le Comité se félicite de l</w:t>
      </w:r>
      <w:r w:rsidR="0004331D">
        <w:rPr>
          <w:lang w:val="fr-FR"/>
        </w:rPr>
        <w:t>’</w:t>
      </w:r>
      <w:r>
        <w:rPr>
          <w:lang w:val="fr-FR"/>
        </w:rPr>
        <w:t xml:space="preserve">adoption de la loi </w:t>
      </w:r>
      <w:r w:rsidR="00501A5F" w:rsidRPr="00501A5F">
        <w:rPr>
          <w:rFonts w:eastAsia="MS Mincho"/>
          <w:szCs w:val="22"/>
          <w:lang w:val="fr-FR"/>
        </w:rPr>
        <w:t>n</w:t>
      </w:r>
      <w:r w:rsidR="00501A5F" w:rsidRPr="00501A5F">
        <w:rPr>
          <w:rFonts w:eastAsia="MS Mincho"/>
          <w:szCs w:val="22"/>
          <w:vertAlign w:val="superscript"/>
          <w:lang w:val="fr-FR"/>
        </w:rPr>
        <w:t>o</w:t>
      </w:r>
      <w:r w:rsidR="00501A5F">
        <w:rPr>
          <w:lang w:val="fr-FR"/>
        </w:rPr>
        <w:t> </w:t>
      </w:r>
      <w:r>
        <w:rPr>
          <w:lang w:val="fr-FR"/>
        </w:rPr>
        <w:t>2018-028 de 2019, qui prévoit la désignation de la Commission nationale comme mécanisme national de prévention ayant pour attribution de mener des visites inopinées dans les lieux de détention, conformément aux dispositions du Protocole facultatif se rapportant à la Convention contre la torture et autres peines ou traitements cruels, inhumains ou dégradants</w:t>
      </w:r>
      <w:r w:rsidRPr="00B770CF">
        <w:rPr>
          <w:lang w:val="fr-FR"/>
        </w:rPr>
        <w:t>.</w:t>
      </w:r>
      <w:r>
        <w:rPr>
          <w:lang w:val="fr-FR"/>
        </w:rPr>
        <w:t xml:space="preserve"> Il prend également note du fait que la Commission nationale indépendante des droits de l</w:t>
      </w:r>
      <w:r w:rsidR="0004331D">
        <w:rPr>
          <w:lang w:val="fr-FR"/>
        </w:rPr>
        <w:t>’</w:t>
      </w:r>
      <w:r>
        <w:rPr>
          <w:lang w:val="fr-FR"/>
        </w:rPr>
        <w:t>homme est un mécanisme indépendant habilité à enquêter sur les allégations de tortures et de mauvais traitements commis par des membres des forces de police et de sécurité</w:t>
      </w:r>
      <w:r w:rsidRPr="00B770CF">
        <w:rPr>
          <w:lang w:val="fr-FR"/>
        </w:rPr>
        <w:t>.</w:t>
      </w:r>
      <w:r>
        <w:rPr>
          <w:lang w:val="fr-FR"/>
        </w:rPr>
        <w:t xml:space="preserve"> Le Comité demande des informations complémentaires sur les enquêtes menées par la Commission</w:t>
      </w:r>
      <w:r w:rsidRPr="00B770CF">
        <w:rPr>
          <w:lang w:val="fr-FR"/>
        </w:rPr>
        <w:t>.</w:t>
      </w:r>
      <w:r>
        <w:rPr>
          <w:lang w:val="fr-FR"/>
        </w:rPr>
        <w:t xml:space="preserve"> </w:t>
      </w:r>
    </w:p>
    <w:p w14:paraId="043E9EC0" w14:textId="77777777" w:rsidR="000A63D9" w:rsidRPr="00906443" w:rsidRDefault="000A63D9" w:rsidP="000A63D9">
      <w:pPr>
        <w:pStyle w:val="SingleTxtG"/>
        <w:rPr>
          <w:lang w:val="fr-FR"/>
        </w:rPr>
      </w:pPr>
      <w:r w:rsidRPr="0000137B">
        <w:rPr>
          <w:b/>
          <w:bCs/>
          <w:lang w:val="fr-FR"/>
        </w:rPr>
        <w:t>[C]</w:t>
      </w:r>
      <w:r w:rsidR="00501A5F">
        <w:rPr>
          <w:b/>
          <w:bCs/>
          <w:lang w:val="fr-FR"/>
        </w:rPr>
        <w:t> </w:t>
      </w:r>
      <w:r>
        <w:rPr>
          <w:lang w:val="fr-FR"/>
        </w:rPr>
        <w:t>: b) et d)</w:t>
      </w:r>
      <w:r w:rsidR="00501A5F">
        <w:rPr>
          <w:lang w:val="fr-FR"/>
        </w:rPr>
        <w:t> :</w:t>
      </w:r>
      <w:r>
        <w:rPr>
          <w:lang w:val="fr-FR"/>
        </w:rPr>
        <w:t xml:space="preserve"> Le Comité prend note des renseignements apportés par l</w:t>
      </w:r>
      <w:r w:rsidR="0004331D">
        <w:rPr>
          <w:lang w:val="fr-FR"/>
        </w:rPr>
        <w:t>’</w:t>
      </w:r>
      <w:r>
        <w:rPr>
          <w:lang w:val="fr-FR"/>
        </w:rPr>
        <w:t>État partie, à qui il demande toutefois des informations sur les mesures prises, depuis l</w:t>
      </w:r>
      <w:r w:rsidR="0004331D">
        <w:rPr>
          <w:lang w:val="fr-FR"/>
        </w:rPr>
        <w:t>’</w:t>
      </w:r>
      <w:r>
        <w:rPr>
          <w:lang w:val="fr-FR"/>
        </w:rPr>
        <w:t xml:space="preserve">adoption des observations finales, en vue de garantir que les nouvelles dispositions de la loi </w:t>
      </w:r>
      <w:r w:rsidR="00501A5F" w:rsidRPr="00501A5F">
        <w:rPr>
          <w:rFonts w:eastAsia="MS Mincho"/>
          <w:szCs w:val="22"/>
          <w:lang w:val="fr-FR"/>
        </w:rPr>
        <w:t>n</w:t>
      </w:r>
      <w:r w:rsidR="00501A5F" w:rsidRPr="00501A5F">
        <w:rPr>
          <w:rFonts w:eastAsia="MS Mincho"/>
          <w:szCs w:val="22"/>
          <w:vertAlign w:val="superscript"/>
          <w:lang w:val="fr-FR"/>
        </w:rPr>
        <w:t>o</w:t>
      </w:r>
      <w:r w:rsidR="00501A5F">
        <w:rPr>
          <w:lang w:val="fr-FR"/>
        </w:rPr>
        <w:t> </w:t>
      </w:r>
      <w:r>
        <w:rPr>
          <w:lang w:val="fr-FR"/>
        </w:rPr>
        <w:t>2008-008 peuvent être appliquées et ne sont pas incompatibles avec le Code pénal et le Code de procédure pénale</w:t>
      </w:r>
      <w:r w:rsidRPr="00B770CF">
        <w:rPr>
          <w:lang w:val="fr-FR"/>
        </w:rPr>
        <w:t>.</w:t>
      </w:r>
      <w:r>
        <w:rPr>
          <w:lang w:val="fr-FR"/>
        </w:rPr>
        <w:t xml:space="preserve"> </w:t>
      </w:r>
    </w:p>
    <w:p w14:paraId="715CE37E" w14:textId="77777777" w:rsidR="000A63D9" w:rsidRPr="00906443" w:rsidRDefault="000A63D9" w:rsidP="000A63D9">
      <w:pPr>
        <w:pStyle w:val="SingleTxtG"/>
        <w:rPr>
          <w:lang w:val="fr-FR"/>
        </w:rPr>
      </w:pPr>
      <w:r>
        <w:rPr>
          <w:lang w:val="fr-FR"/>
        </w:rPr>
        <w:tab/>
        <w:t>Le Comité regrette que l</w:t>
      </w:r>
      <w:r w:rsidR="0004331D">
        <w:rPr>
          <w:lang w:val="fr-FR"/>
        </w:rPr>
        <w:t>’</w:t>
      </w:r>
      <w:r>
        <w:rPr>
          <w:lang w:val="fr-FR"/>
        </w:rPr>
        <w:t>État partie n</w:t>
      </w:r>
      <w:r w:rsidR="0004331D">
        <w:rPr>
          <w:lang w:val="fr-FR"/>
        </w:rPr>
        <w:t>’</w:t>
      </w:r>
      <w:r>
        <w:rPr>
          <w:lang w:val="fr-FR"/>
        </w:rPr>
        <w:t>ait pas fourni d</w:t>
      </w:r>
      <w:r w:rsidR="0004331D">
        <w:rPr>
          <w:lang w:val="fr-FR"/>
        </w:rPr>
        <w:t>’</w:t>
      </w:r>
      <w:r>
        <w:rPr>
          <w:lang w:val="fr-FR"/>
        </w:rPr>
        <w:t>informations sur les mesures prises pour que les victimes soient dûment indemnisées et bénéficient de service de réadaptation</w:t>
      </w:r>
      <w:r w:rsidRPr="00B770CF">
        <w:rPr>
          <w:lang w:val="fr-FR"/>
        </w:rPr>
        <w:t>.</w:t>
      </w:r>
      <w:r>
        <w:rPr>
          <w:lang w:val="fr-FR"/>
        </w:rPr>
        <w:t xml:space="preserve"> Le Comité renouvelle ses recommandations</w:t>
      </w:r>
      <w:r w:rsidRPr="00B770CF">
        <w:rPr>
          <w:lang w:val="fr-FR"/>
        </w:rPr>
        <w:t>.</w:t>
      </w:r>
    </w:p>
    <w:p w14:paraId="13905E60" w14:textId="77777777" w:rsidR="000A63D9" w:rsidRPr="00906443" w:rsidRDefault="000A63D9" w:rsidP="000A63D9">
      <w:pPr>
        <w:pStyle w:val="SingleTxtG"/>
        <w:rPr>
          <w:lang w:val="fr-FR"/>
        </w:rPr>
      </w:pPr>
      <w:r w:rsidRPr="008607E5">
        <w:rPr>
          <w:b/>
          <w:bCs/>
          <w:lang w:val="fr-FR"/>
        </w:rPr>
        <w:t>Mesures recommandées</w:t>
      </w:r>
      <w:r w:rsidR="00501A5F">
        <w:rPr>
          <w:b/>
          <w:bCs/>
          <w:lang w:val="fr-FR"/>
        </w:rPr>
        <w:t> </w:t>
      </w:r>
      <w:r w:rsidRPr="008607E5">
        <w:rPr>
          <w:b/>
          <w:bCs/>
          <w:lang w:val="fr-FR"/>
        </w:rPr>
        <w:t>:</w:t>
      </w:r>
      <w:r>
        <w:rPr>
          <w:lang w:val="fr-FR"/>
        </w:rPr>
        <w:t xml:space="preserve"> Une lettre devrait être adressée à l</w:t>
      </w:r>
      <w:r w:rsidR="0004331D">
        <w:rPr>
          <w:lang w:val="fr-FR"/>
        </w:rPr>
        <w:t>’</w:t>
      </w:r>
      <w:r>
        <w:rPr>
          <w:lang w:val="fr-FR"/>
        </w:rPr>
        <w:t>État partie pour l</w:t>
      </w:r>
      <w:r w:rsidR="0004331D">
        <w:rPr>
          <w:lang w:val="fr-FR"/>
        </w:rPr>
        <w:t>’</w:t>
      </w:r>
      <w:r>
        <w:rPr>
          <w:lang w:val="fr-FR"/>
        </w:rPr>
        <w:t>informer de l</w:t>
      </w:r>
      <w:r w:rsidR="0004331D">
        <w:rPr>
          <w:lang w:val="fr-FR"/>
        </w:rPr>
        <w:t>’</w:t>
      </w:r>
      <w:r>
        <w:rPr>
          <w:lang w:val="fr-FR"/>
        </w:rPr>
        <w:t>arrêt de la procédure de suivi</w:t>
      </w:r>
      <w:r w:rsidRPr="00B770CF">
        <w:rPr>
          <w:lang w:val="fr-FR"/>
        </w:rPr>
        <w:t>.</w:t>
      </w:r>
      <w:r>
        <w:rPr>
          <w:lang w:val="fr-FR"/>
        </w:rPr>
        <w:t xml:space="preserve"> Les renseignements demandés devraient être communiqués par l</w:t>
      </w:r>
      <w:r w:rsidR="0004331D">
        <w:rPr>
          <w:lang w:val="fr-FR"/>
        </w:rPr>
        <w:t>’</w:t>
      </w:r>
      <w:r>
        <w:rPr>
          <w:lang w:val="fr-FR"/>
        </w:rPr>
        <w:t>État partie dans son prochain rapport périodique</w:t>
      </w:r>
      <w:r w:rsidRPr="00B770CF">
        <w:rPr>
          <w:lang w:val="fr-FR"/>
        </w:rPr>
        <w:t>.</w:t>
      </w:r>
      <w:bookmarkStart w:id="2" w:name="_Toc506807563"/>
    </w:p>
    <w:p w14:paraId="24813742" w14:textId="77777777" w:rsidR="000A63D9" w:rsidRDefault="000A63D9" w:rsidP="000A63D9">
      <w:pPr>
        <w:pStyle w:val="SingleTxtG"/>
        <w:rPr>
          <w:lang w:val="fr-FR"/>
        </w:rPr>
      </w:pPr>
      <w:r w:rsidRPr="00522E18">
        <w:rPr>
          <w:b/>
          <w:bCs/>
          <w:lang w:val="fr-FR"/>
        </w:rPr>
        <w:t>Prochain rapport périodique attendu le</w:t>
      </w:r>
      <w:r>
        <w:rPr>
          <w:b/>
          <w:bCs/>
          <w:lang w:val="fr-FR"/>
        </w:rPr>
        <w:t> </w:t>
      </w:r>
      <w:r w:rsidRPr="00522E18">
        <w:rPr>
          <w:b/>
          <w:bCs/>
          <w:lang w:val="fr-FR"/>
        </w:rPr>
        <w:t>:</w:t>
      </w:r>
      <w:r>
        <w:rPr>
          <w:lang w:val="fr-FR"/>
        </w:rPr>
        <w:t xml:space="preserve"> 28</w:t>
      </w:r>
      <w:r>
        <w:rPr>
          <w:lang w:val="fr-FR"/>
        </w:rPr>
        <w:t> </w:t>
      </w:r>
      <w:r>
        <w:rPr>
          <w:lang w:val="fr-FR"/>
        </w:rPr>
        <w:t>juillet 2021</w:t>
      </w:r>
      <w:r w:rsidRPr="00B770CF">
        <w:rPr>
          <w:lang w:val="fr-FR"/>
        </w:rPr>
        <w:t>.</w:t>
      </w:r>
      <w:bookmarkEnd w:id="2"/>
    </w:p>
    <w:p w14:paraId="0C31A32A" w14:textId="77777777" w:rsidR="00E85C42" w:rsidRPr="000A63D9" w:rsidRDefault="000A63D9" w:rsidP="000A63D9">
      <w:pPr>
        <w:pStyle w:val="SingleTxtG"/>
        <w:spacing w:before="240" w:after="0"/>
        <w:jc w:val="center"/>
        <w:rPr>
          <w:u w:val="single"/>
        </w:rPr>
      </w:pPr>
      <w:r>
        <w:rPr>
          <w:u w:val="single"/>
        </w:rPr>
        <w:tab/>
      </w:r>
      <w:r>
        <w:rPr>
          <w:u w:val="single"/>
        </w:rPr>
        <w:tab/>
      </w:r>
      <w:r>
        <w:rPr>
          <w:u w:val="single"/>
        </w:rPr>
        <w:tab/>
      </w:r>
    </w:p>
    <w:sectPr w:rsidR="00E85C42" w:rsidRPr="000A63D9" w:rsidSect="000A63D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A717" w14:textId="77777777" w:rsidR="00CF66B1" w:rsidRDefault="00CF66B1" w:rsidP="00F95C08">
      <w:pPr>
        <w:spacing w:line="240" w:lineRule="auto"/>
      </w:pPr>
    </w:p>
  </w:endnote>
  <w:endnote w:type="continuationSeparator" w:id="0">
    <w:p w14:paraId="714BEAD1" w14:textId="77777777" w:rsidR="00CF66B1" w:rsidRPr="00AC3823" w:rsidRDefault="00CF66B1" w:rsidP="00AC3823">
      <w:pPr>
        <w:pStyle w:val="Pieddepage"/>
      </w:pPr>
    </w:p>
  </w:endnote>
  <w:endnote w:type="continuationNotice" w:id="1">
    <w:p w14:paraId="23A333F3" w14:textId="77777777" w:rsidR="00CF66B1" w:rsidRDefault="00CF66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176A" w14:textId="77777777" w:rsidR="000A63D9" w:rsidRPr="000A63D9" w:rsidRDefault="000A63D9" w:rsidP="000A63D9">
    <w:pPr>
      <w:pStyle w:val="Pieddepage"/>
      <w:tabs>
        <w:tab w:val="right" w:pos="9638"/>
      </w:tabs>
    </w:pPr>
    <w:r w:rsidRPr="000A63D9">
      <w:rPr>
        <w:b/>
        <w:sz w:val="18"/>
      </w:rPr>
      <w:fldChar w:fldCharType="begin"/>
    </w:r>
    <w:r w:rsidRPr="000A63D9">
      <w:rPr>
        <w:b/>
        <w:sz w:val="18"/>
      </w:rPr>
      <w:instrText xml:space="preserve"> PAGE  \* MERGEFORMAT </w:instrText>
    </w:r>
    <w:r w:rsidRPr="000A63D9">
      <w:rPr>
        <w:b/>
        <w:sz w:val="18"/>
      </w:rPr>
      <w:fldChar w:fldCharType="separate"/>
    </w:r>
    <w:r w:rsidRPr="000A63D9">
      <w:rPr>
        <w:b/>
        <w:noProof/>
        <w:sz w:val="18"/>
      </w:rPr>
      <w:t>2</w:t>
    </w:r>
    <w:r w:rsidRPr="000A63D9">
      <w:rPr>
        <w:b/>
        <w:sz w:val="18"/>
      </w:rPr>
      <w:fldChar w:fldCharType="end"/>
    </w:r>
    <w:r>
      <w:rPr>
        <w:b/>
        <w:sz w:val="18"/>
      </w:rPr>
      <w:tab/>
    </w:r>
    <w:r>
      <w:t>GE.21-02127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1FA0" w14:textId="77777777" w:rsidR="000A63D9" w:rsidRPr="000A63D9" w:rsidRDefault="000A63D9" w:rsidP="000A63D9">
    <w:pPr>
      <w:pStyle w:val="Pieddepage"/>
      <w:tabs>
        <w:tab w:val="right" w:pos="9638"/>
      </w:tabs>
      <w:rPr>
        <w:b/>
        <w:sz w:val="18"/>
      </w:rPr>
    </w:pPr>
    <w:r>
      <w:t>GE.21-02127</w:t>
    </w:r>
    <w:r>
      <w:tab/>
    </w:r>
    <w:r w:rsidRPr="000A63D9">
      <w:rPr>
        <w:b/>
        <w:sz w:val="18"/>
      </w:rPr>
      <w:fldChar w:fldCharType="begin"/>
    </w:r>
    <w:r w:rsidRPr="000A63D9">
      <w:rPr>
        <w:b/>
        <w:sz w:val="18"/>
      </w:rPr>
      <w:instrText xml:space="preserve"> PAGE  \* MERGEFORMAT </w:instrText>
    </w:r>
    <w:r w:rsidRPr="000A63D9">
      <w:rPr>
        <w:b/>
        <w:sz w:val="18"/>
      </w:rPr>
      <w:fldChar w:fldCharType="separate"/>
    </w:r>
    <w:r w:rsidRPr="000A63D9">
      <w:rPr>
        <w:b/>
        <w:noProof/>
        <w:sz w:val="18"/>
      </w:rPr>
      <w:t>3</w:t>
    </w:r>
    <w:r w:rsidRPr="000A63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71FA" w14:textId="57C3308F" w:rsidR="001B379B" w:rsidRPr="000A63D9" w:rsidRDefault="000A63D9" w:rsidP="000A63D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188598D" wp14:editId="46E055A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21-02127  (F)</w:t>
    </w:r>
    <w:r>
      <w:rPr>
        <w:noProof/>
        <w:sz w:val="20"/>
      </w:rPr>
      <w:drawing>
        <wp:anchor distT="0" distB="0" distL="114300" distR="114300" simplePos="0" relativeHeight="251660288" behindDoc="0" locked="0" layoutInCell="1" allowOverlap="1" wp14:anchorId="33AAA1F5" wp14:editId="3414070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8CA">
      <w:rPr>
        <w:sz w:val="20"/>
      </w:rPr>
      <w:t xml:space="preserve">    090321    100321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996A6" w14:textId="77777777" w:rsidR="00CF66B1" w:rsidRPr="00AC3823" w:rsidRDefault="00CF66B1" w:rsidP="00AC3823">
      <w:pPr>
        <w:pStyle w:val="Pieddepage"/>
        <w:tabs>
          <w:tab w:val="right" w:pos="2155"/>
        </w:tabs>
        <w:spacing w:after="80" w:line="240" w:lineRule="atLeast"/>
        <w:ind w:left="680"/>
        <w:rPr>
          <w:u w:val="single"/>
        </w:rPr>
      </w:pPr>
      <w:r>
        <w:rPr>
          <w:u w:val="single"/>
        </w:rPr>
        <w:tab/>
      </w:r>
    </w:p>
  </w:footnote>
  <w:footnote w:type="continuationSeparator" w:id="0">
    <w:p w14:paraId="790E0609" w14:textId="77777777" w:rsidR="00CF66B1" w:rsidRPr="00AC3823" w:rsidRDefault="00CF66B1" w:rsidP="00AC3823">
      <w:pPr>
        <w:pStyle w:val="Pieddepage"/>
        <w:tabs>
          <w:tab w:val="right" w:pos="2155"/>
        </w:tabs>
        <w:spacing w:after="80" w:line="240" w:lineRule="atLeast"/>
        <w:ind w:left="680"/>
        <w:rPr>
          <w:u w:val="single"/>
        </w:rPr>
      </w:pPr>
      <w:r>
        <w:rPr>
          <w:u w:val="single"/>
        </w:rPr>
        <w:tab/>
      </w:r>
    </w:p>
  </w:footnote>
  <w:footnote w:type="continuationNotice" w:id="1">
    <w:p w14:paraId="70554634" w14:textId="77777777" w:rsidR="00CF66B1" w:rsidRPr="00AC3823" w:rsidRDefault="00CF66B1">
      <w:pPr>
        <w:spacing w:line="240" w:lineRule="auto"/>
        <w:rPr>
          <w:sz w:val="2"/>
          <w:szCs w:val="2"/>
        </w:rPr>
      </w:pPr>
    </w:p>
  </w:footnote>
  <w:footnote w:id="2">
    <w:p w14:paraId="5FC29316" w14:textId="3746B06E" w:rsidR="00A638CA" w:rsidRPr="00A638CA" w:rsidRDefault="00A638CA">
      <w:pPr>
        <w:pStyle w:val="Notedebasdepage"/>
      </w:pPr>
      <w:r>
        <w:rPr>
          <w:rStyle w:val="Appelnotedebasdep"/>
        </w:rPr>
        <w:tab/>
      </w:r>
      <w:r w:rsidRPr="00A638CA">
        <w:rPr>
          <w:rStyle w:val="Appelnotedebasdep"/>
          <w:sz w:val="20"/>
          <w:vertAlign w:val="baseline"/>
        </w:rPr>
        <w:t>*</w:t>
      </w:r>
      <w:r>
        <w:rPr>
          <w:rStyle w:val="Appelnotedebasdep"/>
          <w:sz w:val="20"/>
          <w:vertAlign w:val="baseline"/>
        </w:rPr>
        <w:tab/>
      </w:r>
      <w:r w:rsidR="00ED4C2F">
        <w:rPr>
          <w:lang w:val="fr-FR"/>
        </w:rPr>
        <w:t>Adopté par le Comité à sa 130</w:t>
      </w:r>
      <w:r w:rsidR="00ED4C2F" w:rsidRPr="00E20764">
        <w:rPr>
          <w:vertAlign w:val="superscript"/>
          <w:lang w:val="fr-FR"/>
        </w:rPr>
        <w:t>e</w:t>
      </w:r>
      <w:r w:rsidR="00ED4C2F">
        <w:rPr>
          <w:lang w:val="fr-FR"/>
        </w:rPr>
        <w:t> </w:t>
      </w:r>
      <w:r w:rsidR="00ED4C2F">
        <w:rPr>
          <w:lang w:val="fr-FR"/>
        </w:rPr>
        <w:t>session (12</w:t>
      </w:r>
      <w:r w:rsidR="00ED4C2F">
        <w:rPr>
          <w:lang w:val="fr-FR"/>
        </w:rPr>
        <w:t> </w:t>
      </w:r>
      <w:r w:rsidR="00ED4C2F">
        <w:rPr>
          <w:lang w:val="fr-FR"/>
        </w:rPr>
        <w:t>octobre</w:t>
      </w:r>
      <w:r w:rsidR="00ED4C2F">
        <w:rPr>
          <w:lang w:val="fr-FR"/>
        </w:rPr>
        <w:t>-</w:t>
      </w:r>
      <w:r w:rsidR="00ED4C2F">
        <w:rPr>
          <w:lang w:val="fr-FR"/>
        </w:rPr>
        <w:t>6</w:t>
      </w:r>
      <w:r w:rsidR="00ED4C2F">
        <w:rPr>
          <w:lang w:val="fr-FR"/>
        </w:rPr>
        <w:t> </w:t>
      </w:r>
      <w:r w:rsidR="00ED4C2F">
        <w:rPr>
          <w:lang w:val="fr-FR"/>
        </w:rPr>
        <w:t>novembre 2</w:t>
      </w:r>
      <w:bookmarkStart w:id="1" w:name="_GoBack"/>
      <w:bookmarkEnd w:id="1"/>
      <w:r w:rsidR="00ED4C2F">
        <w:rPr>
          <w:lang w:val="fr-FR"/>
        </w:rPr>
        <w:t>020)</w:t>
      </w:r>
      <w:r w:rsidR="00ED4C2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E4FB" w14:textId="2E728F49" w:rsidR="000A63D9" w:rsidRPr="000A63D9" w:rsidRDefault="000A63D9">
    <w:pPr>
      <w:pStyle w:val="En-tte"/>
    </w:pPr>
    <w:fldSimple w:instr=" TITLE  \* MERGEFORMAT ">
      <w:r w:rsidR="00A638CA">
        <w:t>CCPR/C/130/2/Add.2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3F72" w14:textId="3412C8B2" w:rsidR="000A63D9" w:rsidRPr="000A63D9" w:rsidRDefault="000A63D9" w:rsidP="000A63D9">
    <w:pPr>
      <w:pStyle w:val="En-tte"/>
      <w:jc w:val="right"/>
    </w:pPr>
    <w:fldSimple w:instr=" TITLE  \* MERGEFORMAT ">
      <w:r w:rsidR="00A638CA">
        <w:t>CCPR/C/130/2/Add.2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B1"/>
    <w:rsid w:val="00017F94"/>
    <w:rsid w:val="00023842"/>
    <w:rsid w:val="000334F9"/>
    <w:rsid w:val="0004331D"/>
    <w:rsid w:val="0007796D"/>
    <w:rsid w:val="000919AD"/>
    <w:rsid w:val="000A63D9"/>
    <w:rsid w:val="000B7790"/>
    <w:rsid w:val="000C2225"/>
    <w:rsid w:val="00111F2F"/>
    <w:rsid w:val="0014365E"/>
    <w:rsid w:val="00176178"/>
    <w:rsid w:val="001B379B"/>
    <w:rsid w:val="001F525A"/>
    <w:rsid w:val="00223272"/>
    <w:rsid w:val="0024779E"/>
    <w:rsid w:val="00247FBC"/>
    <w:rsid w:val="002B7BC7"/>
    <w:rsid w:val="002E2D46"/>
    <w:rsid w:val="0032225A"/>
    <w:rsid w:val="003265B7"/>
    <w:rsid w:val="003402F1"/>
    <w:rsid w:val="00351332"/>
    <w:rsid w:val="003A6E96"/>
    <w:rsid w:val="00446FE5"/>
    <w:rsid w:val="00452396"/>
    <w:rsid w:val="004E5EC5"/>
    <w:rsid w:val="00501A5F"/>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80CFC"/>
    <w:rsid w:val="009705C8"/>
    <w:rsid w:val="009B1E6C"/>
    <w:rsid w:val="009E2C6A"/>
    <w:rsid w:val="00A21221"/>
    <w:rsid w:val="00A57411"/>
    <w:rsid w:val="00A638CA"/>
    <w:rsid w:val="00A9151D"/>
    <w:rsid w:val="00AA6A35"/>
    <w:rsid w:val="00AC3823"/>
    <w:rsid w:val="00AE323C"/>
    <w:rsid w:val="00B00181"/>
    <w:rsid w:val="00B765F7"/>
    <w:rsid w:val="00BA0CA9"/>
    <w:rsid w:val="00C01ACF"/>
    <w:rsid w:val="00C02897"/>
    <w:rsid w:val="00CA7BC4"/>
    <w:rsid w:val="00CF66B1"/>
    <w:rsid w:val="00D05667"/>
    <w:rsid w:val="00D3439C"/>
    <w:rsid w:val="00D744E5"/>
    <w:rsid w:val="00D83177"/>
    <w:rsid w:val="00DB1831"/>
    <w:rsid w:val="00DD3BFD"/>
    <w:rsid w:val="00DF6678"/>
    <w:rsid w:val="00E85C42"/>
    <w:rsid w:val="00EC30D5"/>
    <w:rsid w:val="00ED4C2F"/>
    <w:rsid w:val="00EE1BD4"/>
    <w:rsid w:val="00F12152"/>
    <w:rsid w:val="00F660DF"/>
    <w:rsid w:val="00F914F3"/>
    <w:rsid w:val="00F95C08"/>
    <w:rsid w:val="00FC14B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03F3C"/>
  <w15:docId w15:val="{E5DC551D-C57F-4C65-A1E2-F196E22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Reference Number,Footnote symbol,ftref,Rimando notaOreste,Rimando notaOreste1,Rimando notaOreste2,nota a piè di pagina,stylish,Footnote Reference Superscript,BVI fnr,Footnote symboFußnotenzeichen,Footnote sig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63D9"/>
    <w:rPr>
      <w:rFonts w:ascii="Times New Roman" w:eastAsiaTheme="minorHAnsi" w:hAnsi="Times New Roman" w:cs="Times New Roman"/>
      <w:sz w:val="20"/>
      <w:szCs w:val="20"/>
      <w:lang w:eastAsia="en-US"/>
    </w:rPr>
  </w:style>
  <w:style w:type="character" w:customStyle="1" w:styleId="preferred">
    <w:name w:val="preferred"/>
    <w:basedOn w:val="Policepardfaut"/>
    <w:rsid w:val="000A63D9"/>
  </w:style>
  <w:style w:type="character" w:styleId="Accentuation">
    <w:name w:val="Emphasis"/>
    <w:basedOn w:val="Policepardfaut"/>
    <w:uiPriority w:val="20"/>
    <w:qFormat/>
    <w:rsid w:val="000A6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CCPR/C/MDG/CO/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ocs.org/fr/CCPR/C/MDG/CO/4/Add.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4</Pages>
  <Words>1721</Words>
  <Characters>10088</Characters>
  <Application>Microsoft Office Word</Application>
  <DocSecurity>0</DocSecurity>
  <Lines>917</Lines>
  <Paragraphs>393</Paragraphs>
  <ScaleCrop>false</ScaleCrop>
  <HeadingPairs>
    <vt:vector size="2" baseType="variant">
      <vt:variant>
        <vt:lpstr>Titre</vt:lpstr>
      </vt:variant>
      <vt:variant>
        <vt:i4>1</vt:i4>
      </vt:variant>
    </vt:vector>
  </HeadingPairs>
  <TitlesOfParts>
    <vt:vector size="1" baseType="lpstr">
      <vt:lpstr>CCPR/C/130/2/Add.2</vt:lpstr>
    </vt:vector>
  </TitlesOfParts>
  <Company>DCM</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CCPR/C/130/2/Add.2</dc:title>
  <dc:subject/>
  <dc:creator>Fabienne CRELIER</dc:creator>
  <cp:keywords/>
  <cp:lastModifiedBy>Fabienne Crelier</cp:lastModifiedBy>
  <cp:revision>3</cp:revision>
  <cp:lastPrinted>2021-03-10T09:35:00Z</cp:lastPrinted>
  <dcterms:created xsi:type="dcterms:W3CDTF">2021-03-10T09:35:00Z</dcterms:created>
  <dcterms:modified xsi:type="dcterms:W3CDTF">2021-03-10T09:39:00Z</dcterms:modified>
</cp:coreProperties>
</file>