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DA7D784" w14:textId="77777777" w:rsidTr="002B7BC7">
        <w:trPr>
          <w:trHeight w:hRule="exact" w:val="851"/>
        </w:trPr>
        <w:tc>
          <w:tcPr>
            <w:tcW w:w="1276" w:type="dxa"/>
            <w:tcBorders>
              <w:bottom w:val="single" w:sz="4" w:space="0" w:color="auto"/>
            </w:tcBorders>
          </w:tcPr>
          <w:p w14:paraId="6DE018EF" w14:textId="77777777" w:rsidR="006F71EA" w:rsidRPr="00DB58B5" w:rsidRDefault="006F71EA" w:rsidP="002B7BC7"/>
        </w:tc>
        <w:tc>
          <w:tcPr>
            <w:tcW w:w="2268" w:type="dxa"/>
            <w:tcBorders>
              <w:bottom w:val="single" w:sz="4" w:space="0" w:color="auto"/>
            </w:tcBorders>
            <w:vAlign w:val="bottom"/>
          </w:tcPr>
          <w:p w14:paraId="49296B48"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0576B5" w14:textId="660E8982" w:rsidR="006F71EA" w:rsidRPr="00DB58B5" w:rsidRDefault="00CD04BD" w:rsidP="00CD04BD">
            <w:pPr>
              <w:jc w:val="right"/>
            </w:pPr>
            <w:r w:rsidRPr="00CD04BD">
              <w:rPr>
                <w:sz w:val="40"/>
              </w:rPr>
              <w:t>CCPR</w:t>
            </w:r>
            <w:r>
              <w:t>/C/132/D/2361/2014</w:t>
            </w:r>
          </w:p>
        </w:tc>
      </w:tr>
      <w:tr w:rsidR="006F71EA" w:rsidRPr="00DB58B5" w14:paraId="0678A26D" w14:textId="77777777" w:rsidTr="002B7BC7">
        <w:trPr>
          <w:trHeight w:hRule="exact" w:val="2835"/>
        </w:trPr>
        <w:tc>
          <w:tcPr>
            <w:tcW w:w="1276" w:type="dxa"/>
            <w:tcBorders>
              <w:top w:val="single" w:sz="4" w:space="0" w:color="auto"/>
              <w:bottom w:val="single" w:sz="12" w:space="0" w:color="auto"/>
            </w:tcBorders>
          </w:tcPr>
          <w:p w14:paraId="3B03D405" w14:textId="77777777" w:rsidR="006F71EA" w:rsidRPr="00DB58B5" w:rsidRDefault="006F71EA" w:rsidP="002B7BC7">
            <w:pPr>
              <w:spacing w:before="120"/>
              <w:jc w:val="center"/>
            </w:pPr>
            <w:r>
              <w:rPr>
                <w:noProof/>
                <w:lang w:eastAsia="fr-CH"/>
              </w:rPr>
              <w:drawing>
                <wp:inline distT="0" distB="0" distL="0" distR="0" wp14:anchorId="5D2D17F3" wp14:editId="25FCB5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E9A154" w14:textId="6B64B312" w:rsidR="006F71EA" w:rsidRPr="00AB51C8" w:rsidRDefault="006F71EA" w:rsidP="002B7BC7">
            <w:pPr>
              <w:spacing w:before="120" w:line="380" w:lineRule="exact"/>
              <w:rPr>
                <w:b/>
                <w:sz w:val="34"/>
                <w:szCs w:val="34"/>
              </w:rPr>
            </w:pPr>
            <w:r w:rsidRPr="00AB51C8">
              <w:rPr>
                <w:b/>
                <w:sz w:val="34"/>
                <w:szCs w:val="34"/>
              </w:rPr>
              <w:t>Pacte international relatif</w:t>
            </w:r>
            <w:r w:rsidR="00CD04BD">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7ECDA73D" w14:textId="77777777" w:rsidR="006F71EA" w:rsidRDefault="00CD04BD" w:rsidP="002B7BC7">
            <w:pPr>
              <w:spacing w:before="240"/>
            </w:pPr>
            <w:r>
              <w:t>Distr. générale</w:t>
            </w:r>
          </w:p>
          <w:p w14:paraId="7BE761D7" w14:textId="16AFC1C3" w:rsidR="00CD04BD" w:rsidRDefault="00CD04BD" w:rsidP="00CD04BD">
            <w:pPr>
              <w:spacing w:line="240" w:lineRule="exact"/>
            </w:pPr>
            <w:r>
              <w:t>10 mars 2022</w:t>
            </w:r>
          </w:p>
          <w:p w14:paraId="08345191" w14:textId="77777777" w:rsidR="00CD04BD" w:rsidRDefault="00CD04BD" w:rsidP="00CD04BD">
            <w:pPr>
              <w:spacing w:line="240" w:lineRule="exact"/>
            </w:pPr>
            <w:r>
              <w:t>Français</w:t>
            </w:r>
          </w:p>
          <w:p w14:paraId="49DEE15E" w14:textId="42CE9A7C" w:rsidR="00CD04BD" w:rsidRPr="00DB58B5" w:rsidRDefault="00CD04BD" w:rsidP="00CD04BD">
            <w:pPr>
              <w:spacing w:line="240" w:lineRule="exact"/>
            </w:pPr>
            <w:r>
              <w:t>Original : anglais</w:t>
            </w:r>
          </w:p>
        </w:tc>
      </w:tr>
    </w:tbl>
    <w:p w14:paraId="5CFBE9D1" w14:textId="77777777" w:rsidR="006F71EA" w:rsidRDefault="006F71EA" w:rsidP="006F71EA">
      <w:pPr>
        <w:spacing w:before="120"/>
        <w:rPr>
          <w:b/>
          <w:sz w:val="24"/>
          <w:szCs w:val="24"/>
        </w:rPr>
      </w:pPr>
      <w:r w:rsidRPr="00DF3BF1">
        <w:rPr>
          <w:b/>
          <w:sz w:val="24"/>
          <w:szCs w:val="24"/>
        </w:rPr>
        <w:t>Comité des droits de l’homme</w:t>
      </w:r>
    </w:p>
    <w:p w14:paraId="708597C2" w14:textId="2900CF47" w:rsidR="00E85C42" w:rsidRDefault="00CD04BD" w:rsidP="00CD04BD">
      <w:pPr>
        <w:pStyle w:val="HChG"/>
      </w:pPr>
      <w:r>
        <w:rPr>
          <w:lang w:val="fr-FR"/>
        </w:rPr>
        <w:tab/>
      </w:r>
      <w:r>
        <w:rPr>
          <w:lang w:val="fr-FR"/>
        </w:rPr>
        <w:tab/>
        <w:t>Constatations adoptées par le Comité au titre de l’article</w:t>
      </w:r>
      <w:r>
        <w:rPr>
          <w:lang w:val="fr-FR"/>
        </w:rPr>
        <w:t> </w:t>
      </w:r>
      <w:r>
        <w:rPr>
          <w:lang w:val="fr-FR"/>
        </w:rPr>
        <w:t xml:space="preserve">5 </w:t>
      </w:r>
      <w:r w:rsidRPr="00CD04BD">
        <w:rPr>
          <w:spacing w:val="-4"/>
          <w:lang w:val="fr-FR"/>
        </w:rPr>
        <w:t>(par.</w:t>
      </w:r>
      <w:r w:rsidR="00E0228B">
        <w:rPr>
          <w:spacing w:val="-4"/>
          <w:lang w:val="fr-FR"/>
        </w:rPr>
        <w:t> </w:t>
      </w:r>
      <w:r w:rsidRPr="00CD04BD">
        <w:rPr>
          <w:spacing w:val="-4"/>
          <w:lang w:val="fr-FR"/>
        </w:rPr>
        <w:t>4) du Protocole facultatif, concernant la communication</w:t>
      </w:r>
      <w:r>
        <w:rPr>
          <w:lang w:val="fr-FR"/>
        </w:rPr>
        <w:t xml:space="preserve"> </w:t>
      </w:r>
      <w:r w:rsidRPr="007B1F90">
        <w:rPr>
          <w:lang w:val="fr-FR"/>
        </w:rPr>
        <w:t>n</w:t>
      </w:r>
      <w:r w:rsidRPr="007B1F90">
        <w:rPr>
          <w:vertAlign w:val="superscript"/>
          <w:lang w:val="fr-FR"/>
        </w:rPr>
        <w:t>o</w:t>
      </w:r>
      <w:r>
        <w:rPr>
          <w:lang w:val="fr-FR"/>
        </w:rPr>
        <w:t> 2361/2014</w:t>
      </w:r>
      <w:r w:rsidR="00E0228B" w:rsidRPr="00E0228B">
        <w:rPr>
          <w:rStyle w:val="Appelnotedebasdep"/>
          <w:b w:val="0"/>
          <w:sz w:val="20"/>
          <w:vertAlign w:val="baseline"/>
        </w:rPr>
        <w:footnoteReference w:customMarkFollows="1" w:id="2"/>
        <w:t>*</w:t>
      </w:r>
      <w:r w:rsidR="00E0228B" w:rsidRPr="00E0228B">
        <w:rPr>
          <w:b w:val="0"/>
          <w:sz w:val="20"/>
          <w:vertAlign w:val="superscript"/>
        </w:rPr>
        <w:t xml:space="preserve">, </w:t>
      </w:r>
      <w:r w:rsidR="00E0228B" w:rsidRPr="00E0228B">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3827"/>
      </w:tblGrid>
      <w:tr w:rsidR="00CD04BD" w14:paraId="0019B164" w14:textId="77777777" w:rsidTr="00CD04BD">
        <w:tc>
          <w:tcPr>
            <w:tcW w:w="2977" w:type="dxa"/>
          </w:tcPr>
          <w:p w14:paraId="3F6B0F1C" w14:textId="331E192E" w:rsidR="00CD04BD" w:rsidRDefault="00CD04BD">
            <w:pPr>
              <w:spacing w:after="120"/>
              <w:rPr>
                <w:i/>
              </w:rPr>
            </w:pPr>
            <w:r>
              <w:rPr>
                <w:i/>
              </w:rPr>
              <w:t>Communication présentée par</w:t>
            </w:r>
            <w:r>
              <w:t> :</w:t>
            </w:r>
          </w:p>
        </w:tc>
        <w:tc>
          <w:tcPr>
            <w:tcW w:w="3827" w:type="dxa"/>
          </w:tcPr>
          <w:p w14:paraId="092F8BFA" w14:textId="76B9BFD2" w:rsidR="00CD04BD" w:rsidRDefault="00CD04BD">
            <w:pPr>
              <w:spacing w:after="120"/>
            </w:pPr>
            <w:r w:rsidRPr="00E6264D">
              <w:t>Igor Postnov (non représenté par un conseil)</w:t>
            </w:r>
          </w:p>
        </w:tc>
      </w:tr>
      <w:tr w:rsidR="00CD04BD" w14:paraId="2B6986AA" w14:textId="77777777" w:rsidTr="00CD04BD">
        <w:tc>
          <w:tcPr>
            <w:tcW w:w="2977" w:type="dxa"/>
          </w:tcPr>
          <w:p w14:paraId="0834D158" w14:textId="357C15C2" w:rsidR="00CD04BD" w:rsidRPr="00CD04BD" w:rsidRDefault="00CD04BD">
            <w:pPr>
              <w:spacing w:after="120"/>
              <w:rPr>
                <w:iCs/>
              </w:rPr>
            </w:pPr>
            <w:r>
              <w:rPr>
                <w:i/>
              </w:rPr>
              <w:t>Victime(s) présumée(s) </w:t>
            </w:r>
          </w:p>
        </w:tc>
        <w:tc>
          <w:tcPr>
            <w:tcW w:w="3827" w:type="dxa"/>
          </w:tcPr>
          <w:p w14:paraId="6D4FD9F5" w14:textId="1EF509C3" w:rsidR="00CD04BD" w:rsidRPr="00E6264D" w:rsidRDefault="00CD04BD">
            <w:pPr>
              <w:spacing w:after="120"/>
            </w:pPr>
            <w:r w:rsidRPr="00E6264D">
              <w:t>L</w:t>
            </w:r>
            <w:r>
              <w:t>’</w:t>
            </w:r>
            <w:r w:rsidRPr="00E6264D">
              <w:t>auteur</w:t>
            </w:r>
          </w:p>
        </w:tc>
      </w:tr>
      <w:tr w:rsidR="00CD04BD" w14:paraId="60C6CDB2" w14:textId="77777777" w:rsidTr="00CD04BD">
        <w:tc>
          <w:tcPr>
            <w:tcW w:w="2977" w:type="dxa"/>
          </w:tcPr>
          <w:p w14:paraId="74B70C50" w14:textId="5CB39760" w:rsidR="00CD04BD" w:rsidRDefault="00CD04BD">
            <w:pPr>
              <w:spacing w:after="120"/>
              <w:rPr>
                <w:i/>
              </w:rPr>
            </w:pPr>
            <w:r>
              <w:rPr>
                <w:i/>
              </w:rPr>
              <w:t>État partie</w:t>
            </w:r>
            <w:r>
              <w:t> :</w:t>
            </w:r>
          </w:p>
        </w:tc>
        <w:tc>
          <w:tcPr>
            <w:tcW w:w="3827" w:type="dxa"/>
          </w:tcPr>
          <w:p w14:paraId="2D6041BD" w14:textId="33D9AA04" w:rsidR="00CD04BD" w:rsidRDefault="00CD04BD">
            <w:pPr>
              <w:spacing w:after="120"/>
            </w:pPr>
            <w:r w:rsidRPr="00E6264D">
              <w:t>Bélarus</w:t>
            </w:r>
          </w:p>
        </w:tc>
      </w:tr>
      <w:tr w:rsidR="00CD04BD" w14:paraId="54ACB674" w14:textId="77777777" w:rsidTr="00CD04BD">
        <w:tc>
          <w:tcPr>
            <w:tcW w:w="2977" w:type="dxa"/>
          </w:tcPr>
          <w:p w14:paraId="45CDFDEE" w14:textId="7E3B46C9" w:rsidR="00CD04BD" w:rsidRDefault="00CD04BD">
            <w:pPr>
              <w:spacing w:after="120"/>
              <w:rPr>
                <w:i/>
              </w:rPr>
            </w:pPr>
            <w:r>
              <w:rPr>
                <w:i/>
              </w:rPr>
              <w:t>Date de la communication</w:t>
            </w:r>
            <w:r>
              <w:t> :</w:t>
            </w:r>
          </w:p>
        </w:tc>
        <w:tc>
          <w:tcPr>
            <w:tcW w:w="3827" w:type="dxa"/>
          </w:tcPr>
          <w:p w14:paraId="0A936C41" w14:textId="2840FE06" w:rsidR="00CD04BD" w:rsidRDefault="00CD04BD">
            <w:pPr>
              <w:spacing w:after="120"/>
            </w:pPr>
            <w:r w:rsidRPr="00E6264D">
              <w:t>22</w:t>
            </w:r>
            <w:r>
              <w:t> </w:t>
            </w:r>
            <w:r w:rsidRPr="00E6264D">
              <w:t>février 2014 (date de la lettre initiale)</w:t>
            </w:r>
          </w:p>
        </w:tc>
      </w:tr>
      <w:tr w:rsidR="00CD04BD" w14:paraId="3EFEBE66" w14:textId="77777777" w:rsidTr="00CD04BD">
        <w:tc>
          <w:tcPr>
            <w:tcW w:w="2977" w:type="dxa"/>
          </w:tcPr>
          <w:p w14:paraId="00E06CDE" w14:textId="6139049B" w:rsidR="00CD04BD" w:rsidRDefault="00CD04BD">
            <w:pPr>
              <w:spacing w:after="120"/>
              <w:rPr>
                <w:i/>
              </w:rPr>
            </w:pPr>
            <w:r>
              <w:rPr>
                <w:i/>
              </w:rPr>
              <w:t>Références</w:t>
            </w:r>
            <w:r>
              <w:t> :</w:t>
            </w:r>
          </w:p>
        </w:tc>
        <w:tc>
          <w:tcPr>
            <w:tcW w:w="3827" w:type="dxa"/>
          </w:tcPr>
          <w:p w14:paraId="3CBD2344" w14:textId="200C1EDF" w:rsidR="00CD04BD" w:rsidRDefault="00CD04BD">
            <w:pPr>
              <w:spacing w:after="120"/>
            </w:pPr>
            <w:r w:rsidRPr="00E6264D">
              <w:t>Décision prise en application de l</w:t>
            </w:r>
            <w:r>
              <w:t>’</w:t>
            </w:r>
            <w:r w:rsidRPr="00E6264D">
              <w:t>article</w:t>
            </w:r>
            <w:r>
              <w:t> </w:t>
            </w:r>
            <w:r w:rsidRPr="00E6264D">
              <w:t>92 du</w:t>
            </w:r>
            <w:r>
              <w:t> </w:t>
            </w:r>
            <w:r w:rsidRPr="00E6264D">
              <w:t>règlement intérieur du Comité, communiquée à</w:t>
            </w:r>
            <w:r w:rsidR="001A45AE">
              <w:t xml:space="preserve"> </w:t>
            </w:r>
            <w:r w:rsidRPr="00E6264D">
              <w:t>l</w:t>
            </w:r>
            <w:r>
              <w:t>’</w:t>
            </w:r>
            <w:r w:rsidRPr="00E6264D">
              <w:t>État partie le 21</w:t>
            </w:r>
            <w:r>
              <w:t> </w:t>
            </w:r>
            <w:r w:rsidRPr="00E6264D">
              <w:t>mars 2014 (non publiée sous forme de document)</w:t>
            </w:r>
          </w:p>
        </w:tc>
      </w:tr>
      <w:tr w:rsidR="00CD04BD" w14:paraId="6A15663F" w14:textId="77777777" w:rsidTr="00CD04BD">
        <w:tc>
          <w:tcPr>
            <w:tcW w:w="2977" w:type="dxa"/>
          </w:tcPr>
          <w:p w14:paraId="434C2034" w14:textId="26E25A5B" w:rsidR="00CD04BD" w:rsidRDefault="00CD04BD">
            <w:pPr>
              <w:spacing w:after="120"/>
              <w:rPr>
                <w:i/>
              </w:rPr>
            </w:pPr>
            <w:r w:rsidRPr="00E6264D">
              <w:rPr>
                <w:i/>
              </w:rPr>
              <w:t>Date des constatations</w:t>
            </w:r>
          </w:p>
        </w:tc>
        <w:tc>
          <w:tcPr>
            <w:tcW w:w="3827" w:type="dxa"/>
          </w:tcPr>
          <w:p w14:paraId="5A7C354B" w14:textId="5E104996" w:rsidR="00CD04BD" w:rsidRDefault="00CD04BD">
            <w:pPr>
              <w:spacing w:after="120"/>
            </w:pPr>
            <w:r>
              <w:t>19</w:t>
            </w:r>
            <w:r>
              <w:t> </w:t>
            </w:r>
            <w:r>
              <w:t>juillet 2021</w:t>
            </w:r>
          </w:p>
        </w:tc>
      </w:tr>
      <w:tr w:rsidR="00CD04BD" w14:paraId="6DF4B677" w14:textId="77777777" w:rsidTr="00CD04BD">
        <w:tc>
          <w:tcPr>
            <w:tcW w:w="2977" w:type="dxa"/>
          </w:tcPr>
          <w:p w14:paraId="2B8A27C0" w14:textId="74A63991" w:rsidR="00CD04BD" w:rsidRDefault="00CD04BD">
            <w:pPr>
              <w:spacing w:after="120"/>
              <w:rPr>
                <w:i/>
              </w:rPr>
            </w:pPr>
            <w:r>
              <w:rPr>
                <w:i/>
              </w:rPr>
              <w:t>Objet</w:t>
            </w:r>
            <w:r>
              <w:t> </w:t>
            </w:r>
          </w:p>
        </w:tc>
        <w:tc>
          <w:tcPr>
            <w:tcW w:w="3827" w:type="dxa"/>
          </w:tcPr>
          <w:p w14:paraId="6E23C976" w14:textId="1791D7E9" w:rsidR="00CD04BD" w:rsidRDefault="00CD04BD">
            <w:pPr>
              <w:spacing w:after="120"/>
            </w:pPr>
            <w:r w:rsidRPr="00E6264D">
              <w:t>Hospitalisation sans consentement imposée illégalement à l</w:t>
            </w:r>
            <w:r>
              <w:t>’</w:t>
            </w:r>
            <w:r w:rsidRPr="00E6264D">
              <w:t xml:space="preserve">auteur et ayant entraîné </w:t>
            </w:r>
            <w:r>
              <w:br/>
            </w:r>
            <w:r w:rsidRPr="00E6264D">
              <w:t>des actes de torture</w:t>
            </w:r>
          </w:p>
        </w:tc>
      </w:tr>
      <w:tr w:rsidR="00CD04BD" w14:paraId="37C86B6D" w14:textId="77777777" w:rsidTr="00CD04BD">
        <w:tc>
          <w:tcPr>
            <w:tcW w:w="2977" w:type="dxa"/>
          </w:tcPr>
          <w:p w14:paraId="41EA4C2A" w14:textId="6F780F1F" w:rsidR="00CD04BD" w:rsidRDefault="00CD04BD">
            <w:pPr>
              <w:spacing w:after="120"/>
              <w:rPr>
                <w:i/>
              </w:rPr>
            </w:pPr>
            <w:r>
              <w:rPr>
                <w:i/>
              </w:rPr>
              <w:t>Question(s) de procédure</w:t>
            </w:r>
            <w:r>
              <w:t> :</w:t>
            </w:r>
          </w:p>
        </w:tc>
        <w:tc>
          <w:tcPr>
            <w:tcW w:w="3827" w:type="dxa"/>
          </w:tcPr>
          <w:p w14:paraId="5478C272" w14:textId="18CA963D" w:rsidR="00CD04BD" w:rsidRDefault="00CD04BD">
            <w:pPr>
              <w:spacing w:after="120"/>
            </w:pPr>
            <w:r w:rsidRPr="00E6264D">
              <w:t>Épuisement des recours internes</w:t>
            </w:r>
          </w:p>
        </w:tc>
      </w:tr>
      <w:tr w:rsidR="00CD04BD" w14:paraId="5142F97E" w14:textId="77777777" w:rsidTr="00CD04BD">
        <w:tc>
          <w:tcPr>
            <w:tcW w:w="2977" w:type="dxa"/>
          </w:tcPr>
          <w:p w14:paraId="4EEC598B" w14:textId="3432CDEA" w:rsidR="00CD04BD" w:rsidRDefault="00CD04BD">
            <w:pPr>
              <w:spacing w:after="120"/>
              <w:rPr>
                <w:i/>
              </w:rPr>
            </w:pPr>
            <w:r>
              <w:rPr>
                <w:i/>
              </w:rPr>
              <w:t>Question(s) de fond</w:t>
            </w:r>
            <w:r>
              <w:t> :</w:t>
            </w:r>
          </w:p>
        </w:tc>
        <w:tc>
          <w:tcPr>
            <w:tcW w:w="3827" w:type="dxa"/>
          </w:tcPr>
          <w:p w14:paraId="5C33FB77" w14:textId="430F5D00" w:rsidR="00CD04BD" w:rsidRDefault="00CD04BD">
            <w:pPr>
              <w:spacing w:after="120"/>
            </w:pPr>
            <w:r w:rsidRPr="00DB45FA">
              <w:t>Torture</w:t>
            </w:r>
            <w:r>
              <w:t> </w:t>
            </w:r>
            <w:r w:rsidRPr="00DB45FA">
              <w:t>; peines ou traitements cruels, inhumains ou dégradants</w:t>
            </w:r>
            <w:r>
              <w:t> </w:t>
            </w:r>
            <w:r w:rsidRPr="00DB45FA">
              <w:t>; liberté et sécurité de la personne</w:t>
            </w:r>
            <w:r>
              <w:t> ;</w:t>
            </w:r>
            <w:r w:rsidRPr="00DB45FA">
              <w:t xml:space="preserve"> droit de toute personne à ce que sa cause soit entendue équitablement et publiquement</w:t>
            </w:r>
            <w:r>
              <w:t> ;</w:t>
            </w:r>
            <w:r w:rsidRPr="00DB45FA">
              <w:t xml:space="preserve"> vie privée</w:t>
            </w:r>
            <w:r>
              <w:t> ;</w:t>
            </w:r>
            <w:r w:rsidRPr="00DB45FA">
              <w:t xml:space="preserve"> liberté d</w:t>
            </w:r>
            <w:r>
              <w:t>’</w:t>
            </w:r>
            <w:r w:rsidRPr="00DB45FA">
              <w:t>expression</w:t>
            </w:r>
            <w:r>
              <w:t> ;</w:t>
            </w:r>
            <w:r w:rsidRPr="00DB45FA">
              <w:t xml:space="preserve"> discrimination</w:t>
            </w:r>
          </w:p>
        </w:tc>
      </w:tr>
      <w:tr w:rsidR="00CD04BD" w14:paraId="2C94E599" w14:textId="77777777" w:rsidTr="00CD04BD">
        <w:tc>
          <w:tcPr>
            <w:tcW w:w="2977" w:type="dxa"/>
          </w:tcPr>
          <w:p w14:paraId="3D373E4D" w14:textId="4E284EB9" w:rsidR="00CD04BD" w:rsidRDefault="00CD04BD">
            <w:pPr>
              <w:spacing w:after="120"/>
              <w:rPr>
                <w:i/>
              </w:rPr>
            </w:pPr>
            <w:r w:rsidRPr="00DB45FA">
              <w:rPr>
                <w:i/>
              </w:rPr>
              <w:t>Article(s) du Pacte</w:t>
            </w:r>
            <w:r>
              <w:rPr>
                <w:i/>
              </w:rPr>
              <w:t> </w:t>
            </w:r>
            <w:r>
              <w:t>:</w:t>
            </w:r>
          </w:p>
        </w:tc>
        <w:tc>
          <w:tcPr>
            <w:tcW w:w="3827" w:type="dxa"/>
          </w:tcPr>
          <w:p w14:paraId="0B5DE7DE" w14:textId="1E3013C3" w:rsidR="00CD04BD" w:rsidRDefault="00CD04BD">
            <w:pPr>
              <w:spacing w:after="120"/>
            </w:pPr>
            <w:r w:rsidRPr="00DB45FA">
              <w:t>2 (par.</w:t>
            </w:r>
            <w:r>
              <w:t> </w:t>
            </w:r>
            <w:r w:rsidRPr="00DB45FA">
              <w:t>1 et 3), 7, 9 (par.</w:t>
            </w:r>
            <w:r>
              <w:t> </w:t>
            </w:r>
            <w:r w:rsidRPr="00DB45FA">
              <w:t>1), 10 (par.</w:t>
            </w:r>
            <w:r>
              <w:t> </w:t>
            </w:r>
            <w:r w:rsidRPr="00DB45FA">
              <w:t>1), 14</w:t>
            </w:r>
            <w:r>
              <w:t> </w:t>
            </w:r>
            <w:r w:rsidRPr="00DB45FA">
              <w:t>(par.</w:t>
            </w:r>
            <w:r>
              <w:t> </w:t>
            </w:r>
            <w:r w:rsidRPr="00DB45FA">
              <w:t>1), 15 (par.</w:t>
            </w:r>
            <w:r>
              <w:t> </w:t>
            </w:r>
            <w:r w:rsidRPr="00DB45FA">
              <w:t>2), 17, 19 et 26</w:t>
            </w:r>
          </w:p>
        </w:tc>
      </w:tr>
      <w:tr w:rsidR="00CD04BD" w14:paraId="4168355B" w14:textId="77777777" w:rsidTr="00CD04BD">
        <w:tc>
          <w:tcPr>
            <w:tcW w:w="2977" w:type="dxa"/>
          </w:tcPr>
          <w:p w14:paraId="52604613" w14:textId="60034BB3" w:rsidR="00CD04BD" w:rsidRPr="00CD04BD" w:rsidRDefault="00CD04BD">
            <w:pPr>
              <w:spacing w:after="120"/>
              <w:rPr>
                <w:iCs/>
              </w:rPr>
            </w:pPr>
            <w:r w:rsidRPr="00DB45FA">
              <w:rPr>
                <w:i/>
              </w:rPr>
              <w:t>Article(s) du Protocole facultatif</w:t>
            </w:r>
            <w:r>
              <w:rPr>
                <w:iCs/>
              </w:rPr>
              <w:t> </w:t>
            </w:r>
          </w:p>
        </w:tc>
        <w:tc>
          <w:tcPr>
            <w:tcW w:w="3827" w:type="dxa"/>
          </w:tcPr>
          <w:p w14:paraId="526D2D1B" w14:textId="59A76FF8" w:rsidR="00CD04BD" w:rsidRDefault="00CD04BD">
            <w:pPr>
              <w:spacing w:after="120"/>
            </w:pPr>
            <w:r w:rsidRPr="00DB45FA">
              <w:t>2 et 5 (par.</w:t>
            </w:r>
            <w:r>
              <w:t> </w:t>
            </w:r>
            <w:r w:rsidRPr="00DB45FA">
              <w:t>2</w:t>
            </w:r>
            <w:r>
              <w:t> </w:t>
            </w:r>
            <w:r w:rsidRPr="00DB45FA">
              <w:t>b))</w:t>
            </w:r>
          </w:p>
        </w:tc>
      </w:tr>
    </w:tbl>
    <w:p w14:paraId="3AC647DA" w14:textId="508B0641" w:rsidR="00CD04BD" w:rsidRPr="002325DF" w:rsidRDefault="00CD04BD" w:rsidP="00CD04BD">
      <w:pPr>
        <w:pStyle w:val="SingleTxtG"/>
        <w:spacing w:before="120"/>
      </w:pPr>
      <w:r w:rsidRPr="002325DF">
        <w:rPr>
          <w:lang w:val="fr-FR"/>
        </w:rPr>
        <w:t>1.1</w:t>
      </w:r>
      <w:r w:rsidRPr="002325DF">
        <w:rPr>
          <w:lang w:val="fr-FR"/>
        </w:rPr>
        <w:tab/>
        <w:t>L</w:t>
      </w:r>
      <w:r>
        <w:rPr>
          <w:lang w:val="fr-FR"/>
        </w:rPr>
        <w:t>’</w:t>
      </w:r>
      <w:r w:rsidRPr="002325DF">
        <w:rPr>
          <w:lang w:val="fr-FR"/>
        </w:rPr>
        <w:t>auteur de la communication est Igor Postnov, de nationalité bélarussienne, né en 1968. Il affirme que l</w:t>
      </w:r>
      <w:r>
        <w:rPr>
          <w:lang w:val="fr-FR"/>
        </w:rPr>
        <w:t>’</w:t>
      </w:r>
      <w:r w:rsidRPr="002325DF">
        <w:rPr>
          <w:lang w:val="fr-FR"/>
        </w:rPr>
        <w:t>État partie a violé les droits qu</w:t>
      </w:r>
      <w:r>
        <w:rPr>
          <w:lang w:val="fr-FR"/>
        </w:rPr>
        <w:t>’</w:t>
      </w:r>
      <w:r w:rsidRPr="002325DF">
        <w:rPr>
          <w:lang w:val="fr-FR"/>
        </w:rPr>
        <w:t>il tient des articles</w:t>
      </w:r>
      <w:r>
        <w:rPr>
          <w:lang w:val="fr-FR"/>
        </w:rPr>
        <w:t> </w:t>
      </w:r>
      <w:r w:rsidRPr="002325DF">
        <w:rPr>
          <w:lang w:val="fr-FR"/>
        </w:rPr>
        <w:t>2 (par.</w:t>
      </w:r>
      <w:r>
        <w:rPr>
          <w:lang w:val="fr-FR"/>
        </w:rPr>
        <w:t> </w:t>
      </w:r>
      <w:r w:rsidRPr="002325DF">
        <w:rPr>
          <w:lang w:val="fr-FR"/>
        </w:rPr>
        <w:t>1 et 3), 7, 9</w:t>
      </w:r>
      <w:r w:rsidR="001A45AE">
        <w:rPr>
          <w:lang w:val="fr-FR"/>
        </w:rPr>
        <w:t> </w:t>
      </w:r>
      <w:r w:rsidRPr="002325DF">
        <w:rPr>
          <w:lang w:val="fr-FR"/>
        </w:rPr>
        <w:t>(par.</w:t>
      </w:r>
      <w:r>
        <w:rPr>
          <w:lang w:val="fr-FR"/>
        </w:rPr>
        <w:t> </w:t>
      </w:r>
      <w:r w:rsidRPr="002325DF">
        <w:rPr>
          <w:lang w:val="fr-FR"/>
        </w:rPr>
        <w:t>1), 10 (par.</w:t>
      </w:r>
      <w:r>
        <w:rPr>
          <w:lang w:val="fr-FR"/>
        </w:rPr>
        <w:t> </w:t>
      </w:r>
      <w:r w:rsidRPr="002325DF">
        <w:rPr>
          <w:lang w:val="fr-FR"/>
        </w:rPr>
        <w:t>1), 14 (par.</w:t>
      </w:r>
      <w:r>
        <w:rPr>
          <w:lang w:val="fr-FR"/>
        </w:rPr>
        <w:t> </w:t>
      </w:r>
      <w:r w:rsidRPr="002325DF">
        <w:rPr>
          <w:lang w:val="fr-FR"/>
        </w:rPr>
        <w:t>1), 15 (par.</w:t>
      </w:r>
      <w:r>
        <w:rPr>
          <w:lang w:val="fr-FR"/>
        </w:rPr>
        <w:t> </w:t>
      </w:r>
      <w:r w:rsidRPr="002325DF">
        <w:rPr>
          <w:lang w:val="fr-FR"/>
        </w:rPr>
        <w:t>2), 17, 19 et 26 du Pacte. Le Protocole facultatif est entré en vigueur pour le Bélarus le 30</w:t>
      </w:r>
      <w:r>
        <w:rPr>
          <w:lang w:val="fr-FR"/>
        </w:rPr>
        <w:t> </w:t>
      </w:r>
      <w:r w:rsidRPr="002325DF">
        <w:rPr>
          <w:lang w:val="fr-FR"/>
        </w:rPr>
        <w:t>décembre 1992. L</w:t>
      </w:r>
      <w:r>
        <w:rPr>
          <w:lang w:val="fr-FR"/>
        </w:rPr>
        <w:t>’</w:t>
      </w:r>
      <w:r w:rsidRPr="002325DF">
        <w:rPr>
          <w:lang w:val="fr-FR"/>
        </w:rPr>
        <w:t>auteur n</w:t>
      </w:r>
      <w:r>
        <w:rPr>
          <w:lang w:val="fr-FR"/>
        </w:rPr>
        <w:t>’</w:t>
      </w:r>
      <w:r w:rsidRPr="002325DF">
        <w:rPr>
          <w:lang w:val="fr-FR"/>
        </w:rPr>
        <w:t>est pas représenté par un conseil.</w:t>
      </w:r>
    </w:p>
    <w:p w14:paraId="63BF4791" w14:textId="6B27A95B" w:rsidR="00CD04BD" w:rsidRPr="002325DF" w:rsidRDefault="00CD04BD" w:rsidP="00CD04BD">
      <w:pPr>
        <w:pStyle w:val="SingleTxtG"/>
        <w:rPr>
          <w:color w:val="000000" w:themeColor="text1"/>
        </w:rPr>
      </w:pPr>
      <w:r w:rsidRPr="002325DF">
        <w:rPr>
          <w:lang w:val="fr-FR"/>
        </w:rPr>
        <w:lastRenderedPageBreak/>
        <w:t>1.2</w:t>
      </w:r>
      <w:r w:rsidRPr="002325DF">
        <w:rPr>
          <w:lang w:val="fr-FR"/>
        </w:rPr>
        <w:tab/>
      </w:r>
      <w:r>
        <w:rPr>
          <w:lang w:val="fr-FR"/>
        </w:rPr>
        <w:t>Le 23</w:t>
      </w:r>
      <w:r>
        <w:rPr>
          <w:lang w:val="fr-FR"/>
        </w:rPr>
        <w:t> </w:t>
      </w:r>
      <w:r>
        <w:rPr>
          <w:lang w:val="fr-FR"/>
        </w:rPr>
        <w:t>juillet 2014, conformément à l’article</w:t>
      </w:r>
      <w:r>
        <w:rPr>
          <w:lang w:val="fr-FR"/>
        </w:rPr>
        <w:t> </w:t>
      </w:r>
      <w:r>
        <w:rPr>
          <w:lang w:val="fr-FR"/>
        </w:rPr>
        <w:t>93 (par.</w:t>
      </w:r>
      <w:r>
        <w:rPr>
          <w:lang w:val="fr-FR"/>
        </w:rPr>
        <w:t> </w:t>
      </w:r>
      <w:r>
        <w:rPr>
          <w:lang w:val="fr-FR"/>
        </w:rPr>
        <w:t xml:space="preserve">1) du règlement intérieur du Comité, l’État partie a demandé au Comité d’examiner séparément la recevabilité et le fond de la communication. </w:t>
      </w:r>
      <w:r w:rsidRPr="002325DF">
        <w:rPr>
          <w:lang w:val="fr-FR"/>
        </w:rPr>
        <w:t>Le 17</w:t>
      </w:r>
      <w:r>
        <w:rPr>
          <w:lang w:val="fr-FR"/>
        </w:rPr>
        <w:t> </w:t>
      </w:r>
      <w:r w:rsidRPr="002325DF">
        <w:rPr>
          <w:lang w:val="fr-FR"/>
        </w:rPr>
        <w:t>septembre 2014, en application de l</w:t>
      </w:r>
      <w:r>
        <w:rPr>
          <w:lang w:val="fr-FR"/>
        </w:rPr>
        <w:t>’</w:t>
      </w:r>
      <w:r w:rsidRPr="002325DF">
        <w:rPr>
          <w:lang w:val="fr-FR"/>
        </w:rPr>
        <w:t>article</w:t>
      </w:r>
      <w:r>
        <w:rPr>
          <w:lang w:val="fr-FR"/>
        </w:rPr>
        <w:t> </w:t>
      </w:r>
      <w:r w:rsidRPr="002325DF">
        <w:rPr>
          <w:lang w:val="fr-FR"/>
        </w:rPr>
        <w:t>93 de son règlement intérieur, le Comité, agissant par l</w:t>
      </w:r>
      <w:r>
        <w:rPr>
          <w:lang w:val="fr-FR"/>
        </w:rPr>
        <w:t>’</w:t>
      </w:r>
      <w:r w:rsidRPr="002325DF">
        <w:rPr>
          <w:lang w:val="fr-FR"/>
        </w:rPr>
        <w:t>intermédiaire de son Rapporteur spécial chargé des nouvelles communications et des mesures provisoires, a décidé d</w:t>
      </w:r>
      <w:r>
        <w:rPr>
          <w:lang w:val="fr-FR"/>
        </w:rPr>
        <w:t>’</w:t>
      </w:r>
      <w:r w:rsidRPr="002325DF">
        <w:rPr>
          <w:lang w:val="fr-FR"/>
        </w:rPr>
        <w:t>examiner la recevabilité de la communication en même temps que le fond.</w:t>
      </w:r>
    </w:p>
    <w:p w14:paraId="3C29698E" w14:textId="77777777" w:rsidR="00CD04BD" w:rsidRPr="002325DF" w:rsidRDefault="00CD04BD" w:rsidP="00CD04BD">
      <w:pPr>
        <w:pStyle w:val="H23G"/>
      </w:pPr>
      <w:r w:rsidRPr="002325DF">
        <w:rPr>
          <w:lang w:val="fr-FR"/>
        </w:rPr>
        <w:tab/>
      </w:r>
      <w:r w:rsidRPr="002325DF">
        <w:rPr>
          <w:lang w:val="fr-FR"/>
        </w:rPr>
        <w:tab/>
        <w:t>Exposé des faits</w:t>
      </w:r>
      <w:r w:rsidRPr="00CD04BD">
        <w:rPr>
          <w:rStyle w:val="Appelnotedebasdep"/>
          <w:b w:val="0"/>
          <w:bCs/>
        </w:rPr>
        <w:footnoteReference w:id="4"/>
      </w:r>
    </w:p>
    <w:p w14:paraId="1BC34B4C" w14:textId="13FE8516" w:rsidR="00CD04BD" w:rsidRPr="002325DF" w:rsidRDefault="00CD04BD" w:rsidP="00CD04BD">
      <w:pPr>
        <w:pStyle w:val="SingleTxtG"/>
      </w:pPr>
      <w:r w:rsidRPr="002325DF">
        <w:rPr>
          <w:lang w:val="fr-FR"/>
        </w:rPr>
        <w:t>2.1</w:t>
      </w:r>
      <w:r w:rsidRPr="002325DF">
        <w:rPr>
          <w:lang w:val="fr-FR"/>
        </w:rPr>
        <w:tab/>
        <w:t>L</w:t>
      </w:r>
      <w:r>
        <w:rPr>
          <w:lang w:val="fr-FR"/>
        </w:rPr>
        <w:t>’</w:t>
      </w:r>
      <w:r w:rsidRPr="002325DF">
        <w:rPr>
          <w:lang w:val="fr-FR"/>
        </w:rPr>
        <w:t>auteur indique qu</w:t>
      </w:r>
      <w:r>
        <w:rPr>
          <w:lang w:val="fr-FR"/>
        </w:rPr>
        <w:t>’</w:t>
      </w:r>
      <w:r w:rsidRPr="002325DF">
        <w:rPr>
          <w:lang w:val="fr-FR"/>
        </w:rPr>
        <w:t>il est médecin et qu</w:t>
      </w:r>
      <w:r>
        <w:rPr>
          <w:lang w:val="fr-FR"/>
        </w:rPr>
        <w:t>’</w:t>
      </w:r>
      <w:r w:rsidRPr="002325DF">
        <w:rPr>
          <w:lang w:val="fr-FR"/>
        </w:rPr>
        <w:t xml:space="preserve">il travaillait à la clinique régionale de psychiatrie et de traitement de la toxicomanie de Vitebsk. Il a commencé à avoir des problèmes avec les autorités après avoir publié en ligne plusieurs articles et plusieurs vidéos dans lesquels il dénonçait </w:t>
      </w:r>
      <w:r>
        <w:rPr>
          <w:lang w:val="fr-FR"/>
        </w:rPr>
        <w:t xml:space="preserve">l’état des services </w:t>
      </w:r>
      <w:r w:rsidRPr="002325DF">
        <w:rPr>
          <w:lang w:val="fr-FR"/>
        </w:rPr>
        <w:t xml:space="preserve">de soins de santé </w:t>
      </w:r>
      <w:r>
        <w:rPr>
          <w:lang w:val="fr-FR"/>
        </w:rPr>
        <w:t xml:space="preserve">disponibles </w:t>
      </w:r>
      <w:r w:rsidRPr="002325DF">
        <w:rPr>
          <w:lang w:val="fr-FR"/>
        </w:rPr>
        <w:t>et demandait au parquet de diligenter une enquête sur des infractions qu</w:t>
      </w:r>
      <w:r>
        <w:rPr>
          <w:lang w:val="fr-FR"/>
        </w:rPr>
        <w:t>’</w:t>
      </w:r>
      <w:r w:rsidRPr="002325DF">
        <w:rPr>
          <w:lang w:val="fr-FR"/>
        </w:rPr>
        <w:t xml:space="preserve">il imputait à la direction de la clinique de Vitebsk, </w:t>
      </w:r>
      <w:r>
        <w:rPr>
          <w:lang w:val="fr-FR"/>
        </w:rPr>
        <w:t xml:space="preserve">notamment </w:t>
      </w:r>
      <w:r w:rsidRPr="002325DF">
        <w:rPr>
          <w:lang w:val="fr-FR"/>
        </w:rPr>
        <w:t>au médecin-chef M. E. V. et à son adjointe, P.</w:t>
      </w:r>
      <w:r>
        <w:rPr>
          <w:lang w:val="fr-FR"/>
        </w:rPr>
        <w:t> </w:t>
      </w:r>
      <w:r w:rsidRPr="002325DF">
        <w:rPr>
          <w:lang w:val="fr-FR"/>
        </w:rPr>
        <w:t>I.</w:t>
      </w:r>
      <w:r>
        <w:rPr>
          <w:lang w:val="fr-FR"/>
        </w:rPr>
        <w:t> </w:t>
      </w:r>
      <w:r w:rsidRPr="002325DF">
        <w:rPr>
          <w:lang w:val="fr-FR"/>
        </w:rPr>
        <w:t>V</w:t>
      </w:r>
      <w:r w:rsidRPr="00026BCE">
        <w:rPr>
          <w:rStyle w:val="Appelnotedebasdep"/>
        </w:rPr>
        <w:footnoteReference w:id="5"/>
      </w:r>
      <w:r>
        <w:rPr>
          <w:lang w:val="fr-FR"/>
        </w:rPr>
        <w:t>.</w:t>
      </w:r>
      <w:r w:rsidRPr="002325DF">
        <w:rPr>
          <w:lang w:val="fr-FR"/>
        </w:rPr>
        <w:t>. Dans ces publications, il déplorait en outre le faible niveau des salaires et l</w:t>
      </w:r>
      <w:r>
        <w:rPr>
          <w:lang w:val="fr-FR"/>
        </w:rPr>
        <w:t>’</w:t>
      </w:r>
      <w:r w:rsidRPr="002325DF">
        <w:rPr>
          <w:lang w:val="fr-FR"/>
        </w:rPr>
        <w:t>insuffisance de la formation des médecins employés dans cette clinique</w:t>
      </w:r>
      <w:r>
        <w:rPr>
          <w:lang w:val="fr-FR"/>
        </w:rPr>
        <w:t xml:space="preserve">, et exprimait </w:t>
      </w:r>
      <w:r w:rsidRPr="002325DF">
        <w:rPr>
          <w:lang w:val="fr-FR"/>
        </w:rPr>
        <w:t>des doléances à propos du gouverneur et du gouverneur adjoint de la région de Vitebsk. Au lieu de s</w:t>
      </w:r>
      <w:r>
        <w:rPr>
          <w:lang w:val="fr-FR"/>
        </w:rPr>
        <w:t>’</w:t>
      </w:r>
      <w:r w:rsidRPr="002325DF">
        <w:rPr>
          <w:lang w:val="fr-FR"/>
        </w:rPr>
        <w:t>attaquer aux problèmes soulevés par l</w:t>
      </w:r>
      <w:r>
        <w:rPr>
          <w:lang w:val="fr-FR"/>
        </w:rPr>
        <w:t>’</w:t>
      </w:r>
      <w:r w:rsidRPr="002325DF">
        <w:rPr>
          <w:lang w:val="fr-FR"/>
        </w:rPr>
        <w:t xml:space="preserve">auteur, des fonctionnaires de divers organes publics se sont entendus en vue de le faire hospitaliser sans son consentement. Parmi ces fonctionnaires figuraient le </w:t>
      </w:r>
      <w:r>
        <w:rPr>
          <w:lang w:val="fr-FR"/>
        </w:rPr>
        <w:t>P</w:t>
      </w:r>
      <w:r w:rsidRPr="002325DF">
        <w:rPr>
          <w:lang w:val="fr-FR"/>
        </w:rPr>
        <w:t>rocureur général de la région de Vitebsk, Y.</w:t>
      </w:r>
      <w:r>
        <w:rPr>
          <w:lang w:val="fr-FR"/>
        </w:rPr>
        <w:t> </w:t>
      </w:r>
      <w:r w:rsidRPr="002325DF">
        <w:rPr>
          <w:lang w:val="fr-FR"/>
        </w:rPr>
        <w:t xml:space="preserve">R., le </w:t>
      </w:r>
      <w:r>
        <w:rPr>
          <w:lang w:val="fr-FR"/>
        </w:rPr>
        <w:t>P</w:t>
      </w:r>
      <w:r w:rsidRPr="002325DF">
        <w:rPr>
          <w:lang w:val="fr-FR"/>
        </w:rPr>
        <w:t>résident du tribunal régional de Vitebsk, N.</w:t>
      </w:r>
      <w:r>
        <w:rPr>
          <w:lang w:val="fr-FR"/>
        </w:rPr>
        <w:t> </w:t>
      </w:r>
      <w:r w:rsidRPr="002325DF">
        <w:rPr>
          <w:lang w:val="fr-FR"/>
        </w:rPr>
        <w:t>H.</w:t>
      </w:r>
    </w:p>
    <w:p w14:paraId="2E2C6CDD" w14:textId="012D68C8" w:rsidR="00CD04BD" w:rsidRPr="00B51F69" w:rsidRDefault="00CD04BD" w:rsidP="00CD04BD">
      <w:pPr>
        <w:pStyle w:val="SingleTxtG"/>
        <w:rPr>
          <w:lang w:val="fr-FR"/>
        </w:rPr>
      </w:pPr>
      <w:r w:rsidRPr="002325DF">
        <w:rPr>
          <w:lang w:val="fr-FR"/>
        </w:rPr>
        <w:t>2.2</w:t>
      </w:r>
      <w:r w:rsidRPr="002325DF">
        <w:rPr>
          <w:lang w:val="fr-FR"/>
        </w:rPr>
        <w:tab/>
        <w:t>L</w:t>
      </w:r>
      <w:r>
        <w:rPr>
          <w:lang w:val="fr-FR"/>
        </w:rPr>
        <w:t>’</w:t>
      </w:r>
      <w:r w:rsidRPr="002325DF">
        <w:rPr>
          <w:lang w:val="fr-FR"/>
        </w:rPr>
        <w:t>auteur indique que, le 15</w:t>
      </w:r>
      <w:r>
        <w:rPr>
          <w:lang w:val="fr-FR"/>
        </w:rPr>
        <w:t> </w:t>
      </w:r>
      <w:r w:rsidRPr="002325DF">
        <w:rPr>
          <w:lang w:val="fr-FR"/>
        </w:rPr>
        <w:t>août 2013, à la demande du procureur, il a été placé en détention dans un service psychiatrique. Contrairement à l</w:t>
      </w:r>
      <w:r>
        <w:rPr>
          <w:lang w:val="fr-FR"/>
        </w:rPr>
        <w:t>’</w:t>
      </w:r>
      <w:r w:rsidRPr="002325DF">
        <w:rPr>
          <w:lang w:val="fr-FR"/>
        </w:rPr>
        <w:t xml:space="preserve">auteur, qui </w:t>
      </w:r>
      <w:r>
        <w:rPr>
          <w:lang w:val="fr-FR"/>
        </w:rPr>
        <w:t>affirme qu’il était</w:t>
      </w:r>
      <w:r w:rsidRPr="002325DF">
        <w:rPr>
          <w:lang w:val="fr-FR"/>
        </w:rPr>
        <w:t xml:space="preserve"> en bonne santé, </w:t>
      </w:r>
      <w:r>
        <w:rPr>
          <w:lang w:val="fr-FR"/>
        </w:rPr>
        <w:t xml:space="preserve">selon </w:t>
      </w:r>
      <w:r w:rsidRPr="002325DF">
        <w:rPr>
          <w:lang w:val="fr-FR"/>
        </w:rPr>
        <w:t xml:space="preserve">le procureur </w:t>
      </w:r>
      <w:r>
        <w:rPr>
          <w:lang w:val="fr-FR"/>
        </w:rPr>
        <w:t xml:space="preserve">l’auteur </w:t>
      </w:r>
      <w:r w:rsidRPr="002325DF">
        <w:rPr>
          <w:lang w:val="fr-FR"/>
        </w:rPr>
        <w:t xml:space="preserve">avait un comportement </w:t>
      </w:r>
      <w:r>
        <w:rPr>
          <w:lang w:val="fr-FR"/>
        </w:rPr>
        <w:t>« </w:t>
      </w:r>
      <w:r w:rsidRPr="002325DF">
        <w:rPr>
          <w:lang w:val="fr-FR"/>
        </w:rPr>
        <w:t xml:space="preserve">inadéquat et révélateur de troubles </w:t>
      </w:r>
      <w:r w:rsidRPr="00B51F69">
        <w:rPr>
          <w:lang w:val="fr-FR"/>
        </w:rPr>
        <w:t xml:space="preserve">psychiatriques </w:t>
      </w:r>
      <w:r w:rsidR="00B51F69" w:rsidRPr="00B51F69">
        <w:rPr>
          <w:lang w:val="fr-FR"/>
        </w:rPr>
        <w:t>présents</w:t>
      </w:r>
      <w:r w:rsidRPr="00B51F69">
        <w:rPr>
          <w:lang w:val="fr-FR"/>
        </w:rPr>
        <w:t xml:space="preserve"> depuis longtemps » et refusait</w:t>
      </w:r>
      <w:r w:rsidRPr="002325DF">
        <w:rPr>
          <w:lang w:val="fr-FR"/>
        </w:rPr>
        <w:t xml:space="preserve"> de suivre un traitement et de prendre des médicaments. </w:t>
      </w:r>
      <w:r>
        <w:rPr>
          <w:lang w:val="fr-FR"/>
        </w:rPr>
        <w:t>L’auteur a été placé en</w:t>
      </w:r>
      <w:r w:rsidRPr="002325DF">
        <w:rPr>
          <w:lang w:val="fr-FR"/>
        </w:rPr>
        <w:t xml:space="preserve"> détention initiale</w:t>
      </w:r>
      <w:r>
        <w:rPr>
          <w:lang w:val="fr-FR"/>
        </w:rPr>
        <w:t>ment dans le seul</w:t>
      </w:r>
      <w:r w:rsidRPr="002325DF">
        <w:rPr>
          <w:lang w:val="fr-FR"/>
        </w:rPr>
        <w:t xml:space="preserve"> objectif </w:t>
      </w:r>
      <w:r>
        <w:rPr>
          <w:lang w:val="fr-FR"/>
        </w:rPr>
        <w:t xml:space="preserve">de le soumettre à </w:t>
      </w:r>
      <w:r w:rsidRPr="002325DF">
        <w:rPr>
          <w:lang w:val="fr-FR"/>
        </w:rPr>
        <w:t>un examen médical</w:t>
      </w:r>
      <w:r>
        <w:rPr>
          <w:lang w:val="fr-FR"/>
        </w:rPr>
        <w:t>,</w:t>
      </w:r>
      <w:r w:rsidRPr="002325DF">
        <w:rPr>
          <w:lang w:val="fr-FR"/>
        </w:rPr>
        <w:t xml:space="preserve"> mais</w:t>
      </w:r>
      <w:r>
        <w:rPr>
          <w:lang w:val="fr-FR"/>
        </w:rPr>
        <w:t xml:space="preserve"> il affirme que ses </w:t>
      </w:r>
      <w:r w:rsidRPr="002325DF">
        <w:rPr>
          <w:lang w:val="fr-FR"/>
        </w:rPr>
        <w:t>droits ont été limités</w:t>
      </w:r>
      <w:r w:rsidR="007D1AFC">
        <w:rPr>
          <w:lang w:val="fr-FR"/>
        </w:rPr>
        <w:t xml:space="preserve"> </w:t>
      </w:r>
      <w:r>
        <w:rPr>
          <w:lang w:val="fr-FR"/>
        </w:rPr>
        <w:t>immédiatement</w:t>
      </w:r>
      <w:r w:rsidR="007D1AFC">
        <w:rPr>
          <w:lang w:val="fr-FR"/>
        </w:rPr>
        <w:t> </w:t>
      </w:r>
      <w:r w:rsidRPr="002325DF">
        <w:rPr>
          <w:lang w:val="fr-FR"/>
        </w:rPr>
        <w:t>: il n</w:t>
      </w:r>
      <w:r>
        <w:rPr>
          <w:lang w:val="fr-FR"/>
        </w:rPr>
        <w:t>’</w:t>
      </w:r>
      <w:r w:rsidRPr="002325DF">
        <w:rPr>
          <w:lang w:val="fr-FR"/>
        </w:rPr>
        <w:t xml:space="preserve">a plus été autorisé à communiquer avec qui que ce soit ni </w:t>
      </w:r>
      <w:r>
        <w:rPr>
          <w:lang w:val="fr-FR"/>
        </w:rPr>
        <w:t>à</w:t>
      </w:r>
      <w:r w:rsidRPr="002325DF">
        <w:rPr>
          <w:lang w:val="fr-FR"/>
        </w:rPr>
        <w:t xml:space="preserve"> téléphoner ou </w:t>
      </w:r>
      <w:r>
        <w:rPr>
          <w:lang w:val="fr-FR"/>
        </w:rPr>
        <w:t xml:space="preserve">à </w:t>
      </w:r>
      <w:r w:rsidRPr="002325DF">
        <w:rPr>
          <w:lang w:val="fr-FR"/>
        </w:rPr>
        <w:t>faire des achats, entre autres. Les nombreuses plaintes qu</w:t>
      </w:r>
      <w:r>
        <w:rPr>
          <w:lang w:val="fr-FR"/>
        </w:rPr>
        <w:t>’</w:t>
      </w:r>
      <w:r w:rsidRPr="002325DF">
        <w:rPr>
          <w:lang w:val="fr-FR"/>
        </w:rPr>
        <w:t xml:space="preserve">il a adressées au </w:t>
      </w:r>
      <w:r>
        <w:rPr>
          <w:lang w:val="fr-FR"/>
        </w:rPr>
        <w:t>B</w:t>
      </w:r>
      <w:r w:rsidRPr="002325DF">
        <w:rPr>
          <w:lang w:val="fr-FR"/>
        </w:rPr>
        <w:t>ureau du Procureur et à d</w:t>
      </w:r>
      <w:r>
        <w:rPr>
          <w:lang w:val="fr-FR"/>
        </w:rPr>
        <w:t>’</w:t>
      </w:r>
      <w:r w:rsidRPr="002325DF">
        <w:rPr>
          <w:lang w:val="fr-FR"/>
        </w:rPr>
        <w:t>autres autorités n</w:t>
      </w:r>
      <w:r>
        <w:rPr>
          <w:lang w:val="fr-FR"/>
        </w:rPr>
        <w:t>’</w:t>
      </w:r>
      <w:r w:rsidRPr="002325DF">
        <w:rPr>
          <w:lang w:val="fr-FR"/>
        </w:rPr>
        <w:t xml:space="preserve">ont pas été envoyées </w:t>
      </w:r>
      <w:r>
        <w:rPr>
          <w:lang w:val="fr-FR"/>
        </w:rPr>
        <w:t>mais</w:t>
      </w:r>
      <w:r w:rsidRPr="002325DF">
        <w:rPr>
          <w:lang w:val="fr-FR"/>
        </w:rPr>
        <w:t xml:space="preserve"> ont simplement été versées à son dossier médical. La législation n</w:t>
      </w:r>
      <w:r>
        <w:rPr>
          <w:lang w:val="fr-FR"/>
        </w:rPr>
        <w:t>’</w:t>
      </w:r>
      <w:r w:rsidRPr="002325DF">
        <w:rPr>
          <w:lang w:val="fr-FR"/>
        </w:rPr>
        <w:t>autorise l</w:t>
      </w:r>
      <w:r>
        <w:rPr>
          <w:lang w:val="fr-FR"/>
        </w:rPr>
        <w:t>’</w:t>
      </w:r>
      <w:r w:rsidRPr="002325DF">
        <w:rPr>
          <w:lang w:val="fr-FR"/>
        </w:rPr>
        <w:t>imposition de telles restrictions que s</w:t>
      </w:r>
      <w:r>
        <w:rPr>
          <w:lang w:val="fr-FR"/>
        </w:rPr>
        <w:t>’</w:t>
      </w:r>
      <w:r w:rsidRPr="002325DF">
        <w:rPr>
          <w:lang w:val="fr-FR"/>
        </w:rPr>
        <w:t>il est établi que l</w:t>
      </w:r>
      <w:r>
        <w:rPr>
          <w:lang w:val="fr-FR"/>
        </w:rPr>
        <w:t>’</w:t>
      </w:r>
      <w:r w:rsidRPr="002325DF">
        <w:rPr>
          <w:lang w:val="fr-FR"/>
        </w:rPr>
        <w:t>intéressé</w:t>
      </w:r>
      <w:r>
        <w:rPr>
          <w:lang w:val="fr-FR"/>
        </w:rPr>
        <w:t>(e)</w:t>
      </w:r>
      <w:r w:rsidRPr="002325DF">
        <w:rPr>
          <w:lang w:val="fr-FR"/>
        </w:rPr>
        <w:t xml:space="preserve"> représente un danger pour lui-même ou </w:t>
      </w:r>
      <w:r>
        <w:rPr>
          <w:lang w:val="fr-FR"/>
        </w:rPr>
        <w:t xml:space="preserve">elle-même ou </w:t>
      </w:r>
      <w:r w:rsidRPr="002325DF">
        <w:rPr>
          <w:lang w:val="fr-FR"/>
        </w:rPr>
        <w:t>pour autrui, ce qui n</w:t>
      </w:r>
      <w:r>
        <w:rPr>
          <w:lang w:val="fr-FR"/>
        </w:rPr>
        <w:t>’</w:t>
      </w:r>
      <w:r w:rsidRPr="002325DF">
        <w:rPr>
          <w:lang w:val="fr-FR"/>
        </w:rPr>
        <w:t>était pas le cas, selon l</w:t>
      </w:r>
      <w:r>
        <w:rPr>
          <w:lang w:val="fr-FR"/>
        </w:rPr>
        <w:t>’</w:t>
      </w:r>
      <w:r w:rsidRPr="002325DF">
        <w:rPr>
          <w:lang w:val="fr-FR"/>
        </w:rPr>
        <w:t>auteur. Celui-ci considère que l</w:t>
      </w:r>
      <w:r>
        <w:rPr>
          <w:lang w:val="fr-FR"/>
        </w:rPr>
        <w:t>’</w:t>
      </w:r>
      <w:r w:rsidRPr="002325DF">
        <w:rPr>
          <w:lang w:val="fr-FR"/>
        </w:rPr>
        <w:t>ordonnance du Bureau du Procureur tendant à ce qu</w:t>
      </w:r>
      <w:r>
        <w:rPr>
          <w:lang w:val="fr-FR"/>
        </w:rPr>
        <w:t>’</w:t>
      </w:r>
      <w:r w:rsidRPr="002325DF">
        <w:rPr>
          <w:lang w:val="fr-FR"/>
        </w:rPr>
        <w:t>il soit soumis à un examen médical avait un caractère arbitraire. L</w:t>
      </w:r>
      <w:r>
        <w:rPr>
          <w:lang w:val="fr-FR"/>
        </w:rPr>
        <w:t>’</w:t>
      </w:r>
      <w:r w:rsidRPr="002325DF">
        <w:rPr>
          <w:lang w:val="fr-FR"/>
        </w:rPr>
        <w:t>objectif de cette mesure était, selon lui, de le réduire au silence pour le punir d</w:t>
      </w:r>
      <w:r>
        <w:rPr>
          <w:lang w:val="fr-FR"/>
        </w:rPr>
        <w:t>’</w:t>
      </w:r>
      <w:r w:rsidRPr="002325DF">
        <w:rPr>
          <w:lang w:val="fr-FR"/>
        </w:rPr>
        <w:t>avoir ouvertement critiqué dans ses articles l</w:t>
      </w:r>
      <w:r>
        <w:rPr>
          <w:lang w:val="fr-FR"/>
        </w:rPr>
        <w:t xml:space="preserve">’état des services </w:t>
      </w:r>
      <w:r w:rsidRPr="002325DF">
        <w:rPr>
          <w:lang w:val="fr-FR"/>
        </w:rPr>
        <w:t xml:space="preserve">de santé </w:t>
      </w:r>
      <w:r>
        <w:rPr>
          <w:lang w:val="fr-FR"/>
        </w:rPr>
        <w:t>dans la région</w:t>
      </w:r>
      <w:r w:rsidRPr="002325DF">
        <w:rPr>
          <w:lang w:val="fr-FR"/>
        </w:rPr>
        <w:t xml:space="preserve">. </w:t>
      </w:r>
      <w:r>
        <w:rPr>
          <w:lang w:val="fr-FR"/>
        </w:rPr>
        <w:t>En outre, l’</w:t>
      </w:r>
      <w:r w:rsidRPr="002325DF">
        <w:rPr>
          <w:lang w:val="fr-FR"/>
        </w:rPr>
        <w:t>auteur soutient qu</w:t>
      </w:r>
      <w:r>
        <w:rPr>
          <w:lang w:val="fr-FR"/>
        </w:rPr>
        <w:t>’</w:t>
      </w:r>
      <w:r w:rsidRPr="002325DF">
        <w:rPr>
          <w:lang w:val="fr-FR"/>
        </w:rPr>
        <w:t>il ne pouvait pas être malade car il travaillait depuis des années en tant que psychiatre dans la clinique en question.</w:t>
      </w:r>
    </w:p>
    <w:p w14:paraId="79593459" w14:textId="4060C0D9" w:rsidR="00CD04BD" w:rsidRPr="002325DF" w:rsidRDefault="00CD04BD" w:rsidP="00CD04BD">
      <w:pPr>
        <w:pStyle w:val="SingleTxtG"/>
      </w:pPr>
      <w:r w:rsidRPr="002325DF">
        <w:rPr>
          <w:lang w:val="fr-FR"/>
        </w:rPr>
        <w:t>2.3</w:t>
      </w:r>
      <w:r w:rsidRPr="002325DF">
        <w:rPr>
          <w:lang w:val="fr-FR"/>
        </w:rPr>
        <w:tab/>
        <w:t>L</w:t>
      </w:r>
      <w:r>
        <w:rPr>
          <w:lang w:val="fr-FR"/>
        </w:rPr>
        <w:t>’</w:t>
      </w:r>
      <w:r w:rsidRPr="002325DF">
        <w:rPr>
          <w:lang w:val="fr-FR"/>
        </w:rPr>
        <w:t>auteur fait valoir qu</w:t>
      </w:r>
      <w:r>
        <w:rPr>
          <w:lang w:val="fr-FR"/>
        </w:rPr>
        <w:t>’</w:t>
      </w:r>
      <w:r w:rsidRPr="002325DF">
        <w:rPr>
          <w:lang w:val="fr-FR"/>
        </w:rPr>
        <w:t>en application de l</w:t>
      </w:r>
      <w:r>
        <w:rPr>
          <w:lang w:val="fr-FR"/>
        </w:rPr>
        <w:t>’</w:t>
      </w:r>
      <w:r w:rsidRPr="002325DF">
        <w:rPr>
          <w:lang w:val="fr-FR"/>
        </w:rPr>
        <w:t>ordonnance délivrée le 21</w:t>
      </w:r>
      <w:r>
        <w:rPr>
          <w:lang w:val="fr-FR"/>
        </w:rPr>
        <w:t> </w:t>
      </w:r>
      <w:r w:rsidRPr="002325DF">
        <w:rPr>
          <w:lang w:val="fr-FR"/>
        </w:rPr>
        <w:t>août 2013 par le tribunal de district de Vitebsk,</w:t>
      </w:r>
      <w:r>
        <w:rPr>
          <w:lang w:val="fr-FR"/>
        </w:rPr>
        <w:t xml:space="preserve"> un tribunal civil,</w:t>
      </w:r>
      <w:r w:rsidRPr="002325DF">
        <w:rPr>
          <w:lang w:val="fr-FR"/>
        </w:rPr>
        <w:t xml:space="preserve"> il a été hospitalisé sans son consentement à la clinique de cette ville afin d</w:t>
      </w:r>
      <w:r>
        <w:rPr>
          <w:lang w:val="fr-FR"/>
        </w:rPr>
        <w:t>’</w:t>
      </w:r>
      <w:r w:rsidRPr="002325DF">
        <w:rPr>
          <w:lang w:val="fr-FR"/>
        </w:rPr>
        <w:t>y être soumis à un traitement psychiatrique obligatoire pour une durée indéterminée</w:t>
      </w:r>
      <w:r w:rsidRPr="00026BCE">
        <w:rPr>
          <w:rStyle w:val="Appelnotedebasdep"/>
        </w:rPr>
        <w:footnoteReference w:id="6"/>
      </w:r>
      <w:r w:rsidRPr="002325DF">
        <w:rPr>
          <w:lang w:val="fr-FR"/>
        </w:rPr>
        <w:t xml:space="preserve">. </w:t>
      </w:r>
      <w:r>
        <w:rPr>
          <w:lang w:val="fr-FR"/>
        </w:rPr>
        <w:t>La</w:t>
      </w:r>
      <w:r w:rsidRPr="002325DF">
        <w:rPr>
          <w:lang w:val="fr-FR"/>
        </w:rPr>
        <w:t xml:space="preserve"> décision </w:t>
      </w:r>
      <w:r>
        <w:rPr>
          <w:lang w:val="fr-FR"/>
        </w:rPr>
        <w:t xml:space="preserve">de l’hospitaliser sans son consentement </w:t>
      </w:r>
      <w:r w:rsidRPr="002325DF">
        <w:rPr>
          <w:lang w:val="fr-FR"/>
        </w:rPr>
        <w:t xml:space="preserve">a été </w:t>
      </w:r>
      <w:r>
        <w:rPr>
          <w:lang w:val="fr-FR"/>
        </w:rPr>
        <w:t>prise</w:t>
      </w:r>
      <w:r w:rsidRPr="002325DF">
        <w:rPr>
          <w:lang w:val="fr-FR"/>
        </w:rPr>
        <w:t xml:space="preserve"> dans le cadre d</w:t>
      </w:r>
      <w:r>
        <w:rPr>
          <w:lang w:val="fr-FR"/>
        </w:rPr>
        <w:t>’</w:t>
      </w:r>
      <w:r w:rsidRPr="002325DF">
        <w:rPr>
          <w:lang w:val="fr-FR"/>
        </w:rPr>
        <w:t>une audience tenue à huis clos, et la procédure d</w:t>
      </w:r>
      <w:r>
        <w:rPr>
          <w:lang w:val="fr-FR"/>
        </w:rPr>
        <w:t>’</w:t>
      </w:r>
      <w:r w:rsidRPr="002325DF">
        <w:rPr>
          <w:lang w:val="fr-FR"/>
        </w:rPr>
        <w:t>internement visant l</w:t>
      </w:r>
      <w:r>
        <w:rPr>
          <w:lang w:val="fr-FR"/>
        </w:rPr>
        <w:t>’</w:t>
      </w:r>
      <w:r w:rsidRPr="002325DF">
        <w:rPr>
          <w:lang w:val="fr-FR"/>
        </w:rPr>
        <w:t>auteur a été engagée par le médecin-chef de la clinique de Vitebsk</w:t>
      </w:r>
      <w:r>
        <w:rPr>
          <w:lang w:val="fr-FR"/>
        </w:rPr>
        <w:t>,</w:t>
      </w:r>
      <w:r w:rsidRPr="002325DF">
        <w:rPr>
          <w:lang w:val="fr-FR"/>
        </w:rPr>
        <w:t xml:space="preserve"> où </w:t>
      </w:r>
      <w:r>
        <w:rPr>
          <w:lang w:val="fr-FR"/>
        </w:rPr>
        <w:t>l’auteur</w:t>
      </w:r>
      <w:r w:rsidRPr="002325DF">
        <w:rPr>
          <w:lang w:val="fr-FR"/>
        </w:rPr>
        <w:t xml:space="preserve"> lui-même travaillait. Le</w:t>
      </w:r>
      <w:r>
        <w:rPr>
          <w:lang w:val="fr-FR"/>
        </w:rPr>
        <w:t> </w:t>
      </w:r>
      <w:r w:rsidRPr="002325DF">
        <w:rPr>
          <w:lang w:val="fr-FR"/>
        </w:rPr>
        <w:t>médecin-chef, M.</w:t>
      </w:r>
      <w:r>
        <w:rPr>
          <w:lang w:val="fr-FR"/>
        </w:rPr>
        <w:t> </w:t>
      </w:r>
      <w:r w:rsidRPr="002325DF">
        <w:rPr>
          <w:lang w:val="fr-FR"/>
        </w:rPr>
        <w:t>E.</w:t>
      </w:r>
      <w:r>
        <w:rPr>
          <w:lang w:val="fr-FR"/>
        </w:rPr>
        <w:t> </w:t>
      </w:r>
      <w:r w:rsidRPr="002325DF">
        <w:rPr>
          <w:lang w:val="fr-FR"/>
        </w:rPr>
        <w:t>V., a indiqué au tribunal dans un rapport que l</w:t>
      </w:r>
      <w:r>
        <w:rPr>
          <w:lang w:val="fr-FR"/>
        </w:rPr>
        <w:t>’</w:t>
      </w:r>
      <w:r w:rsidRPr="002325DF">
        <w:rPr>
          <w:lang w:val="fr-FR"/>
        </w:rPr>
        <w:t>auteur avait reçu l</w:t>
      </w:r>
      <w:r>
        <w:rPr>
          <w:lang w:val="fr-FR"/>
        </w:rPr>
        <w:t>’</w:t>
      </w:r>
      <w:r w:rsidRPr="002325DF">
        <w:rPr>
          <w:lang w:val="fr-FR"/>
        </w:rPr>
        <w:t>ordre de suivre un traitement psychiatrique mais qu</w:t>
      </w:r>
      <w:r>
        <w:rPr>
          <w:lang w:val="fr-FR"/>
        </w:rPr>
        <w:t>’</w:t>
      </w:r>
      <w:r w:rsidRPr="002325DF">
        <w:rPr>
          <w:lang w:val="fr-FR"/>
        </w:rPr>
        <w:t>il ne s</w:t>
      </w:r>
      <w:r>
        <w:rPr>
          <w:lang w:val="fr-FR"/>
        </w:rPr>
        <w:t>’</w:t>
      </w:r>
      <w:r w:rsidRPr="002325DF">
        <w:rPr>
          <w:lang w:val="fr-FR"/>
        </w:rPr>
        <w:t>y était pas plié. Dans son rapport, le médecin-chef a affirmé que l</w:t>
      </w:r>
      <w:r>
        <w:rPr>
          <w:lang w:val="fr-FR"/>
        </w:rPr>
        <w:t>’</w:t>
      </w:r>
      <w:r w:rsidRPr="002325DF">
        <w:rPr>
          <w:lang w:val="fr-FR"/>
        </w:rPr>
        <w:t>auteur présentait un risque pour lui-même en raison des troubles dont il était alors atteint et que, s</w:t>
      </w:r>
      <w:r>
        <w:rPr>
          <w:lang w:val="fr-FR"/>
        </w:rPr>
        <w:t>’</w:t>
      </w:r>
      <w:r w:rsidRPr="002325DF">
        <w:rPr>
          <w:lang w:val="fr-FR"/>
        </w:rPr>
        <w:t>il ne suivait pas un traitement adapté, sa santé s</w:t>
      </w:r>
      <w:r>
        <w:rPr>
          <w:lang w:val="fr-FR"/>
        </w:rPr>
        <w:t>’</w:t>
      </w:r>
      <w:r w:rsidRPr="002325DF">
        <w:rPr>
          <w:lang w:val="fr-FR"/>
        </w:rPr>
        <w:t xml:space="preserve">en </w:t>
      </w:r>
      <w:r w:rsidRPr="002325DF">
        <w:rPr>
          <w:lang w:val="fr-FR"/>
        </w:rPr>
        <w:lastRenderedPageBreak/>
        <w:t>ressentirait</w:t>
      </w:r>
      <w:r w:rsidRPr="00026BCE">
        <w:rPr>
          <w:rStyle w:val="Appelnotedebasdep"/>
        </w:rPr>
        <w:footnoteReference w:id="7"/>
      </w:r>
      <w:r w:rsidRPr="002325DF">
        <w:rPr>
          <w:lang w:val="fr-FR"/>
        </w:rPr>
        <w:t>. Le médecin-chef a demandé au tribunal d</w:t>
      </w:r>
      <w:r>
        <w:rPr>
          <w:lang w:val="fr-FR"/>
        </w:rPr>
        <w:t>’</w:t>
      </w:r>
      <w:r w:rsidRPr="002325DF">
        <w:rPr>
          <w:lang w:val="fr-FR"/>
        </w:rPr>
        <w:t>ordonner que l</w:t>
      </w:r>
      <w:r>
        <w:rPr>
          <w:lang w:val="fr-FR"/>
        </w:rPr>
        <w:t>’</w:t>
      </w:r>
      <w:r w:rsidRPr="002325DF">
        <w:rPr>
          <w:lang w:val="fr-FR"/>
        </w:rPr>
        <w:t>auteur soit hospitalisé et soumis à un traitement sans son consentement.</w:t>
      </w:r>
    </w:p>
    <w:p w14:paraId="6E3A20E8" w14:textId="5AD31FDF" w:rsidR="00CD04BD" w:rsidRPr="002325DF" w:rsidRDefault="00CD04BD" w:rsidP="00CD04BD">
      <w:pPr>
        <w:pStyle w:val="SingleTxtG"/>
      </w:pPr>
      <w:r w:rsidRPr="007D1AFC">
        <w:rPr>
          <w:lang w:val="fr-FR"/>
        </w:rPr>
        <w:t>2.4</w:t>
      </w:r>
      <w:r w:rsidRPr="007D1AFC">
        <w:rPr>
          <w:lang w:val="fr-FR"/>
        </w:rPr>
        <w:tab/>
        <w:t>Le représentant du médecin-chef qui a assisté à l’audience du 21 août 2013 a assuré que, s’il n’était pas interné, l’auteur pourrait représenter un danger pour lui-même, et qu’il était atteint de « délire »</w:t>
      </w:r>
      <w:r w:rsidRPr="007D1AFC">
        <w:rPr>
          <w:rStyle w:val="Appelnotedebasdep"/>
        </w:rPr>
        <w:footnoteReference w:id="8"/>
      </w:r>
      <w:r w:rsidRPr="007D1AFC">
        <w:rPr>
          <w:lang w:val="fr-FR"/>
        </w:rPr>
        <w:t xml:space="preserve">. Le procureur, qui était </w:t>
      </w:r>
      <w:r w:rsidRPr="002325DF">
        <w:rPr>
          <w:lang w:val="fr-FR"/>
        </w:rPr>
        <w:t xml:space="preserve">également présent, a </w:t>
      </w:r>
      <w:r>
        <w:rPr>
          <w:lang w:val="fr-FR"/>
        </w:rPr>
        <w:t xml:space="preserve">lui aussi </w:t>
      </w:r>
      <w:r w:rsidRPr="002325DF">
        <w:rPr>
          <w:lang w:val="fr-FR"/>
        </w:rPr>
        <w:t>demandé que l</w:t>
      </w:r>
      <w:r>
        <w:rPr>
          <w:lang w:val="fr-FR"/>
        </w:rPr>
        <w:t>’</w:t>
      </w:r>
      <w:r w:rsidRPr="002325DF">
        <w:rPr>
          <w:lang w:val="fr-FR"/>
        </w:rPr>
        <w:t xml:space="preserve">auteur soit hospitalisé sans son consentement. Dans sa décision, le tribunal a déclaré que </w:t>
      </w:r>
      <w:r>
        <w:rPr>
          <w:lang w:val="fr-FR"/>
        </w:rPr>
        <w:t>« </w:t>
      </w:r>
      <w:r w:rsidRPr="002325DF">
        <w:rPr>
          <w:lang w:val="fr-FR"/>
        </w:rPr>
        <w:t>l</w:t>
      </w:r>
      <w:r>
        <w:rPr>
          <w:lang w:val="fr-FR"/>
        </w:rPr>
        <w:t>’</w:t>
      </w:r>
      <w:r w:rsidRPr="002325DF">
        <w:rPr>
          <w:lang w:val="fr-FR"/>
        </w:rPr>
        <w:t>intéressé</w:t>
      </w:r>
      <w:r>
        <w:rPr>
          <w:lang w:val="fr-FR"/>
        </w:rPr>
        <w:t> »</w:t>
      </w:r>
      <w:r w:rsidRPr="002325DF">
        <w:rPr>
          <w:lang w:val="fr-FR"/>
        </w:rPr>
        <w:t xml:space="preserve"> </w:t>
      </w:r>
      <w:r>
        <w:rPr>
          <w:lang w:val="fr-FR"/>
        </w:rPr>
        <w:t>− </w:t>
      </w:r>
      <w:r w:rsidRPr="002325DF">
        <w:rPr>
          <w:lang w:val="fr-FR"/>
        </w:rPr>
        <w:t>à savoir l</w:t>
      </w:r>
      <w:r>
        <w:rPr>
          <w:lang w:val="fr-FR"/>
        </w:rPr>
        <w:t>’</w:t>
      </w:r>
      <w:r w:rsidRPr="002325DF">
        <w:rPr>
          <w:lang w:val="fr-FR"/>
        </w:rPr>
        <w:t>auteur</w:t>
      </w:r>
      <w:r>
        <w:rPr>
          <w:lang w:val="fr-FR"/>
        </w:rPr>
        <w:t> −</w:t>
      </w:r>
      <w:r w:rsidRPr="002325DF">
        <w:rPr>
          <w:lang w:val="fr-FR"/>
        </w:rPr>
        <w:t xml:space="preserve"> n</w:t>
      </w:r>
      <w:r>
        <w:rPr>
          <w:lang w:val="fr-FR"/>
        </w:rPr>
        <w:t>’</w:t>
      </w:r>
      <w:r w:rsidRPr="002325DF">
        <w:rPr>
          <w:lang w:val="fr-FR"/>
        </w:rPr>
        <w:t xml:space="preserve">était pas présent </w:t>
      </w:r>
      <w:r>
        <w:rPr>
          <w:lang w:val="fr-FR"/>
        </w:rPr>
        <w:t xml:space="preserve">à l’audience </w:t>
      </w:r>
      <w:r w:rsidRPr="002325DF">
        <w:rPr>
          <w:lang w:val="fr-FR"/>
        </w:rPr>
        <w:t>bien qu</w:t>
      </w:r>
      <w:r>
        <w:rPr>
          <w:lang w:val="fr-FR"/>
        </w:rPr>
        <w:t>’</w:t>
      </w:r>
      <w:r w:rsidRPr="002325DF">
        <w:rPr>
          <w:lang w:val="fr-FR"/>
        </w:rPr>
        <w:t>il ait été informé de l</w:t>
      </w:r>
      <w:r>
        <w:rPr>
          <w:lang w:val="fr-FR"/>
        </w:rPr>
        <w:t>’</w:t>
      </w:r>
      <w:r w:rsidRPr="002325DF">
        <w:rPr>
          <w:lang w:val="fr-FR"/>
        </w:rPr>
        <w:t xml:space="preserve">heure et de la date de </w:t>
      </w:r>
      <w:r>
        <w:rPr>
          <w:lang w:val="fr-FR"/>
        </w:rPr>
        <w:t>celle-ci</w:t>
      </w:r>
      <w:r w:rsidRPr="002325DF">
        <w:rPr>
          <w:lang w:val="fr-FR"/>
        </w:rPr>
        <w:t xml:space="preserve"> et du lieu où elle devait se tenir. L</w:t>
      </w:r>
      <w:r>
        <w:rPr>
          <w:lang w:val="fr-FR"/>
        </w:rPr>
        <w:t>’</w:t>
      </w:r>
      <w:r w:rsidRPr="002325DF">
        <w:rPr>
          <w:lang w:val="fr-FR"/>
        </w:rPr>
        <w:t>auteur affirme qu</w:t>
      </w:r>
      <w:r>
        <w:rPr>
          <w:lang w:val="fr-FR"/>
        </w:rPr>
        <w:t>’</w:t>
      </w:r>
      <w:r w:rsidRPr="002325DF">
        <w:rPr>
          <w:lang w:val="fr-FR"/>
        </w:rPr>
        <w:t>il a demandé à la clinique de Vitebsk et au tribunal de lui fournir ces renseignements mais que les autorités n</w:t>
      </w:r>
      <w:r>
        <w:rPr>
          <w:lang w:val="fr-FR"/>
        </w:rPr>
        <w:t>’</w:t>
      </w:r>
      <w:r w:rsidRPr="002325DF">
        <w:rPr>
          <w:lang w:val="fr-FR"/>
        </w:rPr>
        <w:t>ont pas donné suite à sa demande. L</w:t>
      </w:r>
      <w:r>
        <w:rPr>
          <w:lang w:val="fr-FR"/>
        </w:rPr>
        <w:t>’</w:t>
      </w:r>
      <w:r w:rsidRPr="002325DF">
        <w:rPr>
          <w:lang w:val="fr-FR"/>
        </w:rPr>
        <w:t>auteur ayant été hospitalisé à la clinique de Vitebsk, il ne pouvait pas quitter les lieux sans avoir reçu une notification et une autorisation délivrées en bonne et due forme et en temps utile par le tribunal concerné.</w:t>
      </w:r>
    </w:p>
    <w:p w14:paraId="470D57BF" w14:textId="77777777" w:rsidR="00CD04BD" w:rsidRPr="002325DF" w:rsidRDefault="00CD04BD" w:rsidP="00CD04BD">
      <w:pPr>
        <w:pStyle w:val="SingleTxtG"/>
      </w:pPr>
      <w:bookmarkStart w:id="0" w:name="_Hlk71633819"/>
      <w:r w:rsidRPr="009A241F">
        <w:rPr>
          <w:lang w:val="fr-FR"/>
        </w:rPr>
        <w:t>2.5</w:t>
      </w:r>
      <w:r w:rsidRPr="009A241F">
        <w:rPr>
          <w:lang w:val="fr-FR"/>
        </w:rPr>
        <w:tab/>
        <w:t>L</w:t>
      </w:r>
      <w:r>
        <w:rPr>
          <w:lang w:val="fr-FR"/>
        </w:rPr>
        <w:t>’</w:t>
      </w:r>
      <w:r w:rsidRPr="009A241F">
        <w:rPr>
          <w:lang w:val="fr-FR"/>
        </w:rPr>
        <w:t xml:space="preserve">auteur </w:t>
      </w:r>
      <w:r>
        <w:rPr>
          <w:lang w:val="fr-FR"/>
        </w:rPr>
        <w:t>affirme</w:t>
      </w:r>
      <w:r w:rsidRPr="009A241F">
        <w:rPr>
          <w:lang w:val="fr-FR"/>
        </w:rPr>
        <w:t xml:space="preserve"> qu</w:t>
      </w:r>
      <w:r>
        <w:rPr>
          <w:lang w:val="fr-FR"/>
        </w:rPr>
        <w:t>’</w:t>
      </w:r>
      <w:r w:rsidRPr="009A241F">
        <w:rPr>
          <w:lang w:val="fr-FR"/>
        </w:rPr>
        <w:t>en violation de ses droits, ses avocats et lui-même n</w:t>
      </w:r>
      <w:r>
        <w:rPr>
          <w:lang w:val="fr-FR"/>
        </w:rPr>
        <w:t>’</w:t>
      </w:r>
      <w:r w:rsidRPr="009A241F">
        <w:rPr>
          <w:lang w:val="fr-FR"/>
        </w:rPr>
        <w:t>ont pas été invités à assister à l</w:t>
      </w:r>
      <w:r>
        <w:rPr>
          <w:lang w:val="fr-FR"/>
        </w:rPr>
        <w:t>’</w:t>
      </w:r>
      <w:r w:rsidRPr="009A241F">
        <w:rPr>
          <w:lang w:val="fr-FR"/>
        </w:rPr>
        <w:t xml:space="preserve">audience tenue le 21 août 2013 au tribunal de district de Vitebsk, contrairement à ce que le juge a déclaré au cours de cette audience. Après avoir </w:t>
      </w:r>
      <w:r>
        <w:rPr>
          <w:lang w:val="fr-FR"/>
        </w:rPr>
        <w:t>été notifié de</w:t>
      </w:r>
      <w:r w:rsidRPr="009A241F">
        <w:rPr>
          <w:lang w:val="fr-FR"/>
        </w:rPr>
        <w:t xml:space="preserve"> la décision de ce tribunal, l</w:t>
      </w:r>
      <w:r>
        <w:rPr>
          <w:lang w:val="fr-FR"/>
        </w:rPr>
        <w:t>’</w:t>
      </w:r>
      <w:r w:rsidRPr="009A241F">
        <w:rPr>
          <w:lang w:val="fr-FR"/>
        </w:rPr>
        <w:t>auteur a saisi le tribunal régional de Vitebsk d</w:t>
      </w:r>
      <w:r>
        <w:rPr>
          <w:lang w:val="fr-FR"/>
        </w:rPr>
        <w:t>’</w:t>
      </w:r>
      <w:r w:rsidRPr="009A241F">
        <w:rPr>
          <w:lang w:val="fr-FR"/>
        </w:rPr>
        <w:t>un recours en cassation pour violation de ses droits procéduraux. Dans ce recours, il a notamment fait valoir que le rapport du médecin-chef ne comportait aucun diagnostic précis sur son état de santé et faisait simplement état d</w:t>
      </w:r>
      <w:r>
        <w:rPr>
          <w:lang w:val="fr-FR"/>
        </w:rPr>
        <w:t>’une</w:t>
      </w:r>
      <w:r w:rsidRPr="009A241F">
        <w:rPr>
          <w:lang w:val="fr-FR"/>
        </w:rPr>
        <w:t>« aggravation » de ses troubles. C</w:t>
      </w:r>
      <w:r>
        <w:rPr>
          <w:lang w:val="fr-FR"/>
        </w:rPr>
        <w:t>’</w:t>
      </w:r>
      <w:r w:rsidRPr="009A241F">
        <w:rPr>
          <w:lang w:val="fr-FR"/>
        </w:rPr>
        <w:t>est sur la base de ce rapport que le tribunal a conclu, dans sa décision du 21 août 2013, qu</w:t>
      </w:r>
      <w:r>
        <w:rPr>
          <w:lang w:val="fr-FR"/>
        </w:rPr>
        <w:t>’</w:t>
      </w:r>
      <w:r w:rsidRPr="009A241F">
        <w:rPr>
          <w:lang w:val="fr-FR"/>
        </w:rPr>
        <w:t>il était « probablement atteint de troubles chroniques à caractère délirant ».</w:t>
      </w:r>
    </w:p>
    <w:bookmarkEnd w:id="0"/>
    <w:p w14:paraId="65EC10C7" w14:textId="707A9316" w:rsidR="00CD04BD" w:rsidRPr="002325DF" w:rsidRDefault="00CD04BD" w:rsidP="00CD04BD">
      <w:pPr>
        <w:pStyle w:val="SingleTxtG"/>
      </w:pPr>
      <w:r w:rsidRPr="002325DF">
        <w:rPr>
          <w:lang w:val="fr-FR"/>
        </w:rPr>
        <w:t>2.6</w:t>
      </w:r>
      <w:r w:rsidRPr="002325DF">
        <w:rPr>
          <w:lang w:val="fr-FR"/>
        </w:rPr>
        <w:tab/>
        <w:t>Dans son recours, l</w:t>
      </w:r>
      <w:r>
        <w:rPr>
          <w:lang w:val="fr-FR"/>
        </w:rPr>
        <w:t>’</w:t>
      </w:r>
      <w:r w:rsidRPr="002325DF">
        <w:rPr>
          <w:lang w:val="fr-FR"/>
        </w:rPr>
        <w:t>auteur a affirmé en outre que les véritables motivations qui sous</w:t>
      </w:r>
      <w:r>
        <w:rPr>
          <w:lang w:val="fr-FR"/>
        </w:rPr>
        <w:noBreakHyphen/>
      </w:r>
      <w:r w:rsidRPr="002325DF">
        <w:rPr>
          <w:lang w:val="fr-FR"/>
        </w:rPr>
        <w:t>tendaient la décision de lui imposer un traitement médical sans son consentement étaient la volonté de certaines personnes de le réduire au silence en raison des critiques qu</w:t>
      </w:r>
      <w:r>
        <w:rPr>
          <w:lang w:val="fr-FR"/>
        </w:rPr>
        <w:t>’</w:t>
      </w:r>
      <w:r w:rsidRPr="002325DF">
        <w:rPr>
          <w:lang w:val="fr-FR"/>
        </w:rPr>
        <w:t>il avait formulées dans ses articles et ses vidéos, ainsi que l</w:t>
      </w:r>
      <w:r>
        <w:rPr>
          <w:lang w:val="fr-FR"/>
        </w:rPr>
        <w:t>’</w:t>
      </w:r>
      <w:r w:rsidRPr="002325DF">
        <w:rPr>
          <w:lang w:val="fr-FR"/>
        </w:rPr>
        <w:t>hostilité que le médecin-chef de la clinique de Vitebsk ressentait à son égard. La commission chargée de déterminer si une personne remplit les conditions voulues pour être hospitalisée sans son consentement était dirigée par P.</w:t>
      </w:r>
      <w:r>
        <w:rPr>
          <w:lang w:val="fr-FR"/>
        </w:rPr>
        <w:t> </w:t>
      </w:r>
      <w:r w:rsidRPr="002325DF">
        <w:rPr>
          <w:lang w:val="fr-FR"/>
        </w:rPr>
        <w:t>I.</w:t>
      </w:r>
      <w:r>
        <w:rPr>
          <w:lang w:val="fr-FR"/>
        </w:rPr>
        <w:t> </w:t>
      </w:r>
      <w:r w:rsidRPr="002325DF">
        <w:rPr>
          <w:lang w:val="fr-FR"/>
        </w:rPr>
        <w:t>V., l</w:t>
      </w:r>
      <w:r>
        <w:rPr>
          <w:lang w:val="fr-FR"/>
        </w:rPr>
        <w:t>’</w:t>
      </w:r>
      <w:r w:rsidRPr="002325DF">
        <w:rPr>
          <w:lang w:val="fr-FR"/>
        </w:rPr>
        <w:t xml:space="preserve">épouse du médecin-chef. </w:t>
      </w:r>
      <w:r>
        <w:rPr>
          <w:lang w:val="fr-FR"/>
        </w:rPr>
        <w:t>Dans le même recours</w:t>
      </w:r>
      <w:r w:rsidRPr="002325DF">
        <w:rPr>
          <w:lang w:val="fr-FR"/>
        </w:rPr>
        <w:t>, l</w:t>
      </w:r>
      <w:r>
        <w:rPr>
          <w:lang w:val="fr-FR"/>
        </w:rPr>
        <w:t>’</w:t>
      </w:r>
      <w:r w:rsidRPr="002325DF">
        <w:rPr>
          <w:lang w:val="fr-FR"/>
        </w:rPr>
        <w:t>auteur a demandé au tribunal régional de Vitebsk d</w:t>
      </w:r>
      <w:r>
        <w:rPr>
          <w:lang w:val="fr-FR"/>
        </w:rPr>
        <w:t>’</w:t>
      </w:r>
      <w:r w:rsidRPr="002325DF">
        <w:rPr>
          <w:lang w:val="fr-FR"/>
        </w:rPr>
        <w:t>ordonner qu</w:t>
      </w:r>
      <w:r>
        <w:rPr>
          <w:lang w:val="fr-FR"/>
        </w:rPr>
        <w:t>’</w:t>
      </w:r>
      <w:r w:rsidRPr="002325DF">
        <w:rPr>
          <w:lang w:val="fr-FR"/>
        </w:rPr>
        <w:t>un examen psychiatrique soit réalisé par une entité indépendante telle que l</w:t>
      </w:r>
      <w:r>
        <w:rPr>
          <w:lang w:val="fr-FR"/>
        </w:rPr>
        <w:t>’</w:t>
      </w:r>
      <w:r w:rsidRPr="002325DF">
        <w:rPr>
          <w:lang w:val="fr-FR"/>
        </w:rPr>
        <w:t>Institut national de la santé mentale du Bélarus.</w:t>
      </w:r>
    </w:p>
    <w:p w14:paraId="2C4C8CB1" w14:textId="2969B478" w:rsidR="00CD04BD" w:rsidRPr="002325DF" w:rsidRDefault="00CD04BD" w:rsidP="00CD04BD">
      <w:pPr>
        <w:pStyle w:val="SingleTxtG"/>
      </w:pPr>
      <w:r w:rsidRPr="002325DF">
        <w:rPr>
          <w:lang w:val="fr-FR"/>
        </w:rPr>
        <w:t>2.7</w:t>
      </w:r>
      <w:r w:rsidRPr="002325DF">
        <w:rPr>
          <w:lang w:val="fr-FR"/>
        </w:rPr>
        <w:tab/>
        <w:t>Le 12</w:t>
      </w:r>
      <w:r>
        <w:rPr>
          <w:lang w:val="fr-FR"/>
        </w:rPr>
        <w:t> </w:t>
      </w:r>
      <w:r w:rsidRPr="002325DF">
        <w:rPr>
          <w:lang w:val="fr-FR"/>
        </w:rPr>
        <w:t>septembre 2013, le tribunal régional de Vitebsk a confirmé la décision du tribunal de première instance. Le tribunal n</w:t>
      </w:r>
      <w:r>
        <w:rPr>
          <w:lang w:val="fr-FR"/>
        </w:rPr>
        <w:t>’</w:t>
      </w:r>
      <w:r w:rsidRPr="002325DF">
        <w:rPr>
          <w:lang w:val="fr-FR"/>
        </w:rPr>
        <w:t>a entendu que les témoignages d</w:t>
      </w:r>
      <w:r>
        <w:rPr>
          <w:lang w:val="fr-FR"/>
        </w:rPr>
        <w:t>’</w:t>
      </w:r>
      <w:r w:rsidRPr="002325DF">
        <w:rPr>
          <w:lang w:val="fr-FR"/>
        </w:rPr>
        <w:t>un représentant de la clinique de Vitebsk et d</w:t>
      </w:r>
      <w:r>
        <w:rPr>
          <w:lang w:val="fr-FR"/>
        </w:rPr>
        <w:t>’</w:t>
      </w:r>
      <w:r w:rsidRPr="002325DF">
        <w:rPr>
          <w:lang w:val="fr-FR"/>
        </w:rPr>
        <w:t xml:space="preserve">un </w:t>
      </w:r>
      <w:r>
        <w:rPr>
          <w:lang w:val="fr-FR"/>
        </w:rPr>
        <w:t>représentant</w:t>
      </w:r>
      <w:r w:rsidRPr="002325DF">
        <w:rPr>
          <w:lang w:val="fr-FR"/>
        </w:rPr>
        <w:t xml:space="preserve"> du Bureau du Procureur. </w:t>
      </w:r>
      <w:r>
        <w:rPr>
          <w:lang w:val="fr-FR"/>
        </w:rPr>
        <w:t>Ni l’auteur, ni ses</w:t>
      </w:r>
      <w:r w:rsidRPr="002325DF">
        <w:rPr>
          <w:lang w:val="fr-FR"/>
        </w:rPr>
        <w:t xml:space="preserve"> avocats </w:t>
      </w:r>
      <w:r>
        <w:rPr>
          <w:lang w:val="fr-FR"/>
        </w:rPr>
        <w:t>n’</w:t>
      </w:r>
      <w:r w:rsidRPr="002325DF">
        <w:rPr>
          <w:lang w:val="fr-FR"/>
        </w:rPr>
        <w:t xml:space="preserve">étaient </w:t>
      </w:r>
      <w:r>
        <w:rPr>
          <w:lang w:val="fr-FR"/>
        </w:rPr>
        <w:t>présents</w:t>
      </w:r>
      <w:r w:rsidRPr="002325DF">
        <w:rPr>
          <w:lang w:val="fr-FR"/>
        </w:rPr>
        <w:t xml:space="preserve"> alors que l</w:t>
      </w:r>
      <w:r>
        <w:rPr>
          <w:lang w:val="fr-FR"/>
        </w:rPr>
        <w:t>’</w:t>
      </w:r>
      <w:r w:rsidRPr="002325DF">
        <w:rPr>
          <w:lang w:val="fr-FR"/>
        </w:rPr>
        <w:t>auteur</w:t>
      </w:r>
      <w:r>
        <w:rPr>
          <w:lang w:val="fr-FR"/>
        </w:rPr>
        <w:t xml:space="preserve"> affirme qu’</w:t>
      </w:r>
      <w:r w:rsidRPr="002325DF">
        <w:rPr>
          <w:lang w:val="fr-FR"/>
        </w:rPr>
        <w:t>il avait expressément demandé aux autorités de le laisser assister à l</w:t>
      </w:r>
      <w:r>
        <w:rPr>
          <w:lang w:val="fr-FR"/>
        </w:rPr>
        <w:t>’</w:t>
      </w:r>
      <w:r w:rsidRPr="002325DF">
        <w:rPr>
          <w:lang w:val="fr-FR"/>
        </w:rPr>
        <w:t xml:space="preserve">audience et de faire savoir à </w:t>
      </w:r>
      <w:r>
        <w:rPr>
          <w:lang w:val="fr-FR"/>
        </w:rPr>
        <w:t xml:space="preserve">son </w:t>
      </w:r>
      <w:r w:rsidRPr="002325DF">
        <w:rPr>
          <w:lang w:val="fr-FR"/>
        </w:rPr>
        <w:t>avocat, V.</w:t>
      </w:r>
      <w:r>
        <w:rPr>
          <w:lang w:val="fr-FR"/>
        </w:rPr>
        <w:t> </w:t>
      </w:r>
      <w:r w:rsidRPr="002325DF">
        <w:rPr>
          <w:lang w:val="fr-FR"/>
        </w:rPr>
        <w:t>P</w:t>
      </w:r>
      <w:r>
        <w:rPr>
          <w:lang w:val="fr-FR"/>
        </w:rPr>
        <w:t>.</w:t>
      </w:r>
      <w:r w:rsidRPr="002325DF">
        <w:rPr>
          <w:lang w:val="fr-FR"/>
        </w:rPr>
        <w:t xml:space="preserve">, où et quand cette audience devait se tenir. </w:t>
      </w:r>
      <w:r>
        <w:rPr>
          <w:lang w:val="fr-FR"/>
        </w:rPr>
        <w:t>D</w:t>
      </w:r>
      <w:r w:rsidRPr="002325DF">
        <w:rPr>
          <w:lang w:val="fr-FR"/>
        </w:rPr>
        <w:t>e plus, l</w:t>
      </w:r>
      <w:r>
        <w:rPr>
          <w:lang w:val="fr-FR"/>
        </w:rPr>
        <w:t>’</w:t>
      </w:r>
      <w:r w:rsidRPr="002325DF">
        <w:rPr>
          <w:lang w:val="fr-FR"/>
        </w:rPr>
        <w:t>audience s</w:t>
      </w:r>
      <w:r>
        <w:rPr>
          <w:lang w:val="fr-FR"/>
        </w:rPr>
        <w:t>’</w:t>
      </w:r>
      <w:r w:rsidRPr="002325DF">
        <w:rPr>
          <w:lang w:val="fr-FR"/>
        </w:rPr>
        <w:t>est déroulée à huis clos, c</w:t>
      </w:r>
      <w:r>
        <w:rPr>
          <w:lang w:val="fr-FR"/>
        </w:rPr>
        <w:t>’</w:t>
      </w:r>
      <w:r w:rsidRPr="002325DF">
        <w:rPr>
          <w:lang w:val="fr-FR"/>
        </w:rPr>
        <w:t xml:space="preserve">est-à-dire sans public. Le tribunal a fait siennes toutes les conclusions du tribunal de district </w:t>
      </w:r>
      <w:r>
        <w:rPr>
          <w:lang w:val="fr-FR"/>
        </w:rPr>
        <w:t xml:space="preserve">de Vitebsk </w:t>
      </w:r>
      <w:r w:rsidRPr="002325DF">
        <w:rPr>
          <w:lang w:val="fr-FR"/>
        </w:rPr>
        <w:t>sans auditionner de nouveaux témoins ni tenir compte d</w:t>
      </w:r>
      <w:r>
        <w:rPr>
          <w:lang w:val="fr-FR"/>
        </w:rPr>
        <w:t>’</w:t>
      </w:r>
      <w:r w:rsidRPr="002325DF">
        <w:rPr>
          <w:lang w:val="fr-FR"/>
        </w:rPr>
        <w:t>autres circonstances. Il a conclu, sans invoquer d</w:t>
      </w:r>
      <w:r>
        <w:rPr>
          <w:lang w:val="fr-FR"/>
        </w:rPr>
        <w:t>’</w:t>
      </w:r>
      <w:r w:rsidRPr="002325DF">
        <w:rPr>
          <w:lang w:val="fr-FR"/>
        </w:rPr>
        <w:t>élément de preuve à l</w:t>
      </w:r>
      <w:r>
        <w:rPr>
          <w:lang w:val="fr-FR"/>
        </w:rPr>
        <w:t>’</w:t>
      </w:r>
      <w:r w:rsidRPr="002325DF">
        <w:rPr>
          <w:lang w:val="fr-FR"/>
        </w:rPr>
        <w:t>appui de sa décision, que l</w:t>
      </w:r>
      <w:r>
        <w:rPr>
          <w:lang w:val="fr-FR"/>
        </w:rPr>
        <w:t>’</w:t>
      </w:r>
      <w:r w:rsidRPr="002325DF">
        <w:rPr>
          <w:lang w:val="fr-FR"/>
        </w:rPr>
        <w:t>auteur représentait un danger pour lui-même.</w:t>
      </w:r>
    </w:p>
    <w:p w14:paraId="0FBE3972" w14:textId="573D34A3" w:rsidR="00CD04BD" w:rsidRPr="002325DF" w:rsidRDefault="00CD04BD" w:rsidP="00CD04BD">
      <w:pPr>
        <w:pStyle w:val="SingleTxtG"/>
      </w:pPr>
      <w:r w:rsidRPr="002325DF">
        <w:rPr>
          <w:lang w:val="fr-FR"/>
        </w:rPr>
        <w:t>2.8</w:t>
      </w:r>
      <w:r w:rsidRPr="002325DF">
        <w:rPr>
          <w:lang w:val="fr-FR"/>
        </w:rPr>
        <w:tab/>
        <w:t>L</w:t>
      </w:r>
      <w:r>
        <w:rPr>
          <w:lang w:val="fr-FR"/>
        </w:rPr>
        <w:t>’</w:t>
      </w:r>
      <w:r w:rsidRPr="002325DF">
        <w:rPr>
          <w:lang w:val="fr-FR"/>
        </w:rPr>
        <w:t>auteur a ensuite saisi le président du tribunal régional de Vitebsk d</w:t>
      </w:r>
      <w:r>
        <w:rPr>
          <w:lang w:val="fr-FR"/>
        </w:rPr>
        <w:t>’</w:t>
      </w:r>
      <w:r w:rsidRPr="002325DF">
        <w:rPr>
          <w:lang w:val="fr-FR"/>
        </w:rPr>
        <w:t>une demande de réexamen de cette décision au titre de la procédure de contrôle. Le 21</w:t>
      </w:r>
      <w:r>
        <w:rPr>
          <w:lang w:val="fr-FR"/>
        </w:rPr>
        <w:t> </w:t>
      </w:r>
      <w:r w:rsidRPr="002325DF">
        <w:rPr>
          <w:lang w:val="fr-FR"/>
        </w:rPr>
        <w:t>novembre 2013, le président du tribunal a rejeté cette demande. L</w:t>
      </w:r>
      <w:r>
        <w:rPr>
          <w:lang w:val="fr-FR"/>
        </w:rPr>
        <w:t>’</w:t>
      </w:r>
      <w:r w:rsidRPr="002325DF">
        <w:rPr>
          <w:lang w:val="fr-FR"/>
        </w:rPr>
        <w:t>auteur a alors formé un autre recours, cette fois-ci devant la Cour suprême. Celle-ci a également rejeté le recours de l</w:t>
      </w:r>
      <w:r>
        <w:rPr>
          <w:lang w:val="fr-FR"/>
        </w:rPr>
        <w:t>’</w:t>
      </w:r>
      <w:r w:rsidRPr="002325DF">
        <w:rPr>
          <w:lang w:val="fr-FR"/>
        </w:rPr>
        <w:t>auteur et a pleinement confirmé les décisions des juridictions inférieures. L</w:t>
      </w:r>
      <w:r>
        <w:rPr>
          <w:lang w:val="fr-FR"/>
        </w:rPr>
        <w:t>’</w:t>
      </w:r>
      <w:r w:rsidRPr="002325DF">
        <w:rPr>
          <w:lang w:val="fr-FR"/>
        </w:rPr>
        <w:t>auteur et ses avocats n</w:t>
      </w:r>
      <w:r>
        <w:rPr>
          <w:lang w:val="fr-FR"/>
        </w:rPr>
        <w:t>’</w:t>
      </w:r>
      <w:r w:rsidRPr="002325DF">
        <w:rPr>
          <w:lang w:val="fr-FR"/>
        </w:rPr>
        <w:t>ont pas assisté aux audiences au cours desquelles sa demande de réexamen au titre de la procédure de contrôle a été examinée. En conséquence, l</w:t>
      </w:r>
      <w:r>
        <w:rPr>
          <w:lang w:val="fr-FR"/>
        </w:rPr>
        <w:t>’</w:t>
      </w:r>
      <w:r w:rsidRPr="002325DF">
        <w:rPr>
          <w:lang w:val="fr-FR"/>
        </w:rPr>
        <w:t>auteur affirme qu</w:t>
      </w:r>
      <w:r>
        <w:rPr>
          <w:lang w:val="fr-FR"/>
        </w:rPr>
        <w:t>’</w:t>
      </w:r>
      <w:r w:rsidRPr="002325DF">
        <w:rPr>
          <w:lang w:val="fr-FR"/>
        </w:rPr>
        <w:t>il a épuisé tous les recours internes disponibles et utiles.</w:t>
      </w:r>
    </w:p>
    <w:p w14:paraId="0FAE8769" w14:textId="77777777" w:rsidR="00CD04BD" w:rsidRPr="002325DF" w:rsidRDefault="00CD04BD" w:rsidP="00CD04BD">
      <w:pPr>
        <w:pStyle w:val="H23G"/>
      </w:pPr>
      <w:r w:rsidRPr="002325DF">
        <w:rPr>
          <w:lang w:val="fr-FR"/>
        </w:rPr>
        <w:lastRenderedPageBreak/>
        <w:tab/>
      </w:r>
      <w:r w:rsidRPr="002325DF">
        <w:rPr>
          <w:lang w:val="fr-FR"/>
        </w:rPr>
        <w:tab/>
        <w:t>Teneur de la plainte</w:t>
      </w:r>
    </w:p>
    <w:p w14:paraId="358D7514" w14:textId="3618EAC1" w:rsidR="00CD04BD" w:rsidRPr="002325DF" w:rsidRDefault="00CD04BD" w:rsidP="00CD04BD">
      <w:pPr>
        <w:pStyle w:val="SingleTxtG"/>
      </w:pPr>
      <w:r w:rsidRPr="002325DF">
        <w:rPr>
          <w:lang w:val="fr-FR"/>
        </w:rPr>
        <w:t>3.1</w:t>
      </w:r>
      <w:r w:rsidRPr="002325DF">
        <w:rPr>
          <w:lang w:val="fr-FR"/>
        </w:rPr>
        <w:tab/>
        <w:t>L</w:t>
      </w:r>
      <w:r>
        <w:rPr>
          <w:lang w:val="fr-FR"/>
        </w:rPr>
        <w:t>’</w:t>
      </w:r>
      <w:r w:rsidRPr="002325DF">
        <w:rPr>
          <w:lang w:val="fr-FR"/>
        </w:rPr>
        <w:t>auteur soutient qu</w:t>
      </w:r>
      <w:r>
        <w:rPr>
          <w:lang w:val="fr-FR"/>
        </w:rPr>
        <w:t>’</w:t>
      </w:r>
      <w:r w:rsidRPr="002325DF">
        <w:rPr>
          <w:lang w:val="fr-FR"/>
        </w:rPr>
        <w:t>en le plaçant en détention et lui imposant un traitement psychiatrique pour une durée illimitée, l</w:t>
      </w:r>
      <w:r>
        <w:rPr>
          <w:lang w:val="fr-FR"/>
        </w:rPr>
        <w:t>’</w:t>
      </w:r>
      <w:r w:rsidRPr="002325DF">
        <w:rPr>
          <w:lang w:val="fr-FR"/>
        </w:rPr>
        <w:t>État partie a violé les droits qu</w:t>
      </w:r>
      <w:r>
        <w:rPr>
          <w:lang w:val="fr-FR"/>
        </w:rPr>
        <w:t>’</w:t>
      </w:r>
      <w:r w:rsidRPr="002325DF">
        <w:rPr>
          <w:lang w:val="fr-FR"/>
        </w:rPr>
        <w:t>il tient des articles</w:t>
      </w:r>
      <w:r>
        <w:rPr>
          <w:lang w:val="fr-FR"/>
        </w:rPr>
        <w:t> </w:t>
      </w:r>
      <w:r w:rsidRPr="002325DF">
        <w:rPr>
          <w:lang w:val="fr-FR"/>
        </w:rPr>
        <w:t>7 et 10 (par.</w:t>
      </w:r>
      <w:r>
        <w:rPr>
          <w:lang w:val="fr-FR"/>
        </w:rPr>
        <w:t> </w:t>
      </w:r>
      <w:r w:rsidRPr="002325DF">
        <w:rPr>
          <w:lang w:val="fr-FR"/>
        </w:rPr>
        <w:t>1) du Pacte.</w:t>
      </w:r>
    </w:p>
    <w:p w14:paraId="0ED14102" w14:textId="209603B5" w:rsidR="00CD04BD" w:rsidRPr="002325DF" w:rsidRDefault="00CD04BD" w:rsidP="00CD04BD">
      <w:pPr>
        <w:pStyle w:val="SingleTxtG"/>
      </w:pPr>
      <w:r w:rsidRPr="002325DF">
        <w:rPr>
          <w:lang w:val="fr-FR"/>
        </w:rPr>
        <w:t>3.2</w:t>
      </w:r>
      <w:r w:rsidRPr="002325DF">
        <w:rPr>
          <w:lang w:val="fr-FR"/>
        </w:rPr>
        <w:tab/>
      </w:r>
      <w:r>
        <w:rPr>
          <w:lang w:val="fr-FR"/>
        </w:rPr>
        <w:t>L’auteur</w:t>
      </w:r>
      <w:r w:rsidRPr="002325DF">
        <w:rPr>
          <w:lang w:val="fr-FR"/>
        </w:rPr>
        <w:t xml:space="preserve"> soutient également qu</w:t>
      </w:r>
      <w:r>
        <w:rPr>
          <w:lang w:val="fr-FR"/>
        </w:rPr>
        <w:t>’</w:t>
      </w:r>
      <w:r w:rsidRPr="002325DF">
        <w:rPr>
          <w:lang w:val="fr-FR"/>
        </w:rPr>
        <w:t>en l</w:t>
      </w:r>
      <w:r>
        <w:rPr>
          <w:lang w:val="fr-FR"/>
        </w:rPr>
        <w:t>’</w:t>
      </w:r>
      <w:r w:rsidRPr="002325DF">
        <w:rPr>
          <w:lang w:val="fr-FR"/>
        </w:rPr>
        <w:t>hospitalisant sans son consentement et en lui refusant le droit d</w:t>
      </w:r>
      <w:r>
        <w:rPr>
          <w:lang w:val="fr-FR"/>
        </w:rPr>
        <w:t>’</w:t>
      </w:r>
      <w:r w:rsidRPr="002325DF">
        <w:rPr>
          <w:lang w:val="fr-FR"/>
        </w:rPr>
        <w:t>assister aux audiences portant sur son affaire, et en n</w:t>
      </w:r>
      <w:r>
        <w:rPr>
          <w:lang w:val="fr-FR"/>
        </w:rPr>
        <w:t>’</w:t>
      </w:r>
      <w:r w:rsidRPr="002325DF">
        <w:rPr>
          <w:lang w:val="fr-FR"/>
        </w:rPr>
        <w:t>autorisant pas non plus ses avocats à y assister, l</w:t>
      </w:r>
      <w:r>
        <w:rPr>
          <w:lang w:val="fr-FR"/>
        </w:rPr>
        <w:t>’</w:t>
      </w:r>
      <w:r w:rsidRPr="002325DF">
        <w:rPr>
          <w:lang w:val="fr-FR"/>
        </w:rPr>
        <w:t>État partie a violé les droits qu</w:t>
      </w:r>
      <w:r>
        <w:rPr>
          <w:lang w:val="fr-FR"/>
        </w:rPr>
        <w:t>’</w:t>
      </w:r>
      <w:r w:rsidRPr="002325DF">
        <w:rPr>
          <w:lang w:val="fr-FR"/>
        </w:rPr>
        <w:t>il tient des articles</w:t>
      </w:r>
      <w:r>
        <w:rPr>
          <w:lang w:val="fr-FR"/>
        </w:rPr>
        <w:t> </w:t>
      </w:r>
      <w:r w:rsidRPr="002325DF">
        <w:rPr>
          <w:lang w:val="fr-FR"/>
        </w:rPr>
        <w:t>9 (par.</w:t>
      </w:r>
      <w:r>
        <w:rPr>
          <w:lang w:val="fr-FR"/>
        </w:rPr>
        <w:t> </w:t>
      </w:r>
      <w:r w:rsidRPr="002325DF">
        <w:rPr>
          <w:lang w:val="fr-FR"/>
        </w:rPr>
        <w:t>1) et</w:t>
      </w:r>
      <w:r>
        <w:rPr>
          <w:lang w:val="fr-FR"/>
        </w:rPr>
        <w:t> </w:t>
      </w:r>
      <w:r w:rsidRPr="002325DF">
        <w:rPr>
          <w:lang w:val="fr-FR"/>
        </w:rPr>
        <w:t>14 (par. 1) du Pacte.</w:t>
      </w:r>
    </w:p>
    <w:p w14:paraId="0CB79ACF" w14:textId="74F2CA32" w:rsidR="00CD04BD" w:rsidRPr="002325DF" w:rsidRDefault="00CD04BD" w:rsidP="00CD04BD">
      <w:pPr>
        <w:pStyle w:val="SingleTxtG"/>
      </w:pPr>
      <w:r w:rsidRPr="002325DF">
        <w:rPr>
          <w:lang w:val="fr-FR"/>
        </w:rPr>
        <w:t>3.3</w:t>
      </w:r>
      <w:r w:rsidRPr="002325DF">
        <w:rPr>
          <w:lang w:val="fr-FR"/>
        </w:rPr>
        <w:tab/>
        <w:t>L</w:t>
      </w:r>
      <w:r>
        <w:rPr>
          <w:lang w:val="fr-FR"/>
        </w:rPr>
        <w:t>’</w:t>
      </w:r>
      <w:r w:rsidRPr="002325DF">
        <w:rPr>
          <w:lang w:val="fr-FR"/>
        </w:rPr>
        <w:t>auteur affirme qu</w:t>
      </w:r>
      <w:r>
        <w:rPr>
          <w:lang w:val="fr-FR"/>
        </w:rPr>
        <w:t>’</w:t>
      </w:r>
      <w:r w:rsidRPr="002325DF">
        <w:rPr>
          <w:lang w:val="fr-FR"/>
        </w:rPr>
        <w:t xml:space="preserve">il a été persécuté pour avoir critiqué la situation régnant dans le système de soins de santé de la région dans des articles </w:t>
      </w:r>
      <w:r>
        <w:rPr>
          <w:lang w:val="fr-FR"/>
        </w:rPr>
        <w:t xml:space="preserve">et </w:t>
      </w:r>
      <w:r w:rsidRPr="002325DF">
        <w:rPr>
          <w:lang w:val="fr-FR"/>
        </w:rPr>
        <w:t>des vidéos</w:t>
      </w:r>
      <w:r>
        <w:rPr>
          <w:lang w:val="fr-FR"/>
        </w:rPr>
        <w:t xml:space="preserve"> publiés en ligne</w:t>
      </w:r>
      <w:r w:rsidRPr="002325DF">
        <w:rPr>
          <w:lang w:val="fr-FR"/>
        </w:rPr>
        <w:t>. En le punissant, en le plaçant en détention dans un service psychiatrique, et en ne l</w:t>
      </w:r>
      <w:r>
        <w:rPr>
          <w:lang w:val="fr-FR"/>
        </w:rPr>
        <w:t>’</w:t>
      </w:r>
      <w:r w:rsidRPr="002325DF">
        <w:rPr>
          <w:lang w:val="fr-FR"/>
        </w:rPr>
        <w:t>autorisant pas à téléphoner ou à communiquer avec le monde extérieur, l</w:t>
      </w:r>
      <w:r>
        <w:rPr>
          <w:lang w:val="fr-FR"/>
        </w:rPr>
        <w:t>’</w:t>
      </w:r>
      <w:r w:rsidRPr="002325DF">
        <w:rPr>
          <w:lang w:val="fr-FR"/>
        </w:rPr>
        <w:t>État partie a violé les droits qu</w:t>
      </w:r>
      <w:r>
        <w:rPr>
          <w:lang w:val="fr-FR"/>
        </w:rPr>
        <w:t>’</w:t>
      </w:r>
      <w:r w:rsidRPr="002325DF">
        <w:rPr>
          <w:lang w:val="fr-FR"/>
        </w:rPr>
        <w:t>il tient de l</w:t>
      </w:r>
      <w:r>
        <w:rPr>
          <w:lang w:val="fr-FR"/>
        </w:rPr>
        <w:t>’</w:t>
      </w:r>
      <w:r w:rsidRPr="002325DF">
        <w:rPr>
          <w:lang w:val="fr-FR"/>
        </w:rPr>
        <w:t>article</w:t>
      </w:r>
      <w:r>
        <w:rPr>
          <w:lang w:val="fr-FR"/>
        </w:rPr>
        <w:t> </w:t>
      </w:r>
      <w:r w:rsidRPr="002325DF">
        <w:rPr>
          <w:lang w:val="fr-FR"/>
        </w:rPr>
        <w:t>19 du Pacte.</w:t>
      </w:r>
    </w:p>
    <w:p w14:paraId="7ABAA9B3" w14:textId="77777777" w:rsidR="00CD04BD" w:rsidRPr="002325DF" w:rsidRDefault="00CD04BD" w:rsidP="00CD04BD">
      <w:pPr>
        <w:pStyle w:val="SingleTxtG"/>
      </w:pPr>
      <w:r w:rsidRPr="002325DF">
        <w:rPr>
          <w:lang w:val="fr-FR"/>
        </w:rPr>
        <w:t>3.4</w:t>
      </w:r>
      <w:r w:rsidRPr="002325DF">
        <w:rPr>
          <w:lang w:val="fr-FR"/>
        </w:rPr>
        <w:tab/>
        <w:t>L</w:t>
      </w:r>
      <w:r>
        <w:rPr>
          <w:lang w:val="fr-FR"/>
        </w:rPr>
        <w:t>’</w:t>
      </w:r>
      <w:r w:rsidRPr="002325DF">
        <w:rPr>
          <w:lang w:val="fr-FR"/>
        </w:rPr>
        <w:t xml:space="preserve">auteur considère </w:t>
      </w:r>
      <w:r>
        <w:rPr>
          <w:lang w:val="fr-FR"/>
        </w:rPr>
        <w:t xml:space="preserve">également </w:t>
      </w:r>
      <w:r w:rsidRPr="002325DF">
        <w:rPr>
          <w:lang w:val="fr-FR"/>
        </w:rPr>
        <w:t>que l</w:t>
      </w:r>
      <w:r>
        <w:rPr>
          <w:lang w:val="fr-FR"/>
        </w:rPr>
        <w:t>’</w:t>
      </w:r>
      <w:r w:rsidRPr="002325DF">
        <w:rPr>
          <w:lang w:val="fr-FR"/>
        </w:rPr>
        <w:t>État partie a violé les droits qu</w:t>
      </w:r>
      <w:r>
        <w:rPr>
          <w:lang w:val="fr-FR"/>
        </w:rPr>
        <w:t>’</w:t>
      </w:r>
      <w:r w:rsidRPr="002325DF">
        <w:rPr>
          <w:lang w:val="fr-FR"/>
        </w:rPr>
        <w:t>il tient des articles 2 (par.</w:t>
      </w:r>
      <w:r>
        <w:rPr>
          <w:lang w:val="fr-FR"/>
        </w:rPr>
        <w:t> </w:t>
      </w:r>
      <w:r w:rsidRPr="002325DF">
        <w:rPr>
          <w:lang w:val="fr-FR"/>
        </w:rPr>
        <w:t>1 et 3), 15 (par.</w:t>
      </w:r>
      <w:r>
        <w:rPr>
          <w:lang w:val="fr-FR"/>
        </w:rPr>
        <w:t> </w:t>
      </w:r>
      <w:r w:rsidRPr="002325DF">
        <w:rPr>
          <w:lang w:val="fr-FR"/>
        </w:rPr>
        <w:t>2), 17 et 26 du Pacte</w:t>
      </w:r>
      <w:r w:rsidRPr="00026BCE">
        <w:rPr>
          <w:rStyle w:val="Appelnotedebasdep"/>
        </w:rPr>
        <w:footnoteReference w:id="9"/>
      </w:r>
      <w:r w:rsidRPr="002325DF">
        <w:rPr>
          <w:lang w:val="fr-FR"/>
        </w:rPr>
        <w:t>.</w:t>
      </w:r>
    </w:p>
    <w:p w14:paraId="660D2233" w14:textId="2143E96F" w:rsidR="00CD04BD" w:rsidRPr="002325DF" w:rsidRDefault="00CD04BD" w:rsidP="00CD04BD">
      <w:pPr>
        <w:pStyle w:val="SingleTxtG"/>
      </w:pPr>
      <w:r w:rsidRPr="002325DF">
        <w:rPr>
          <w:lang w:val="fr-FR"/>
        </w:rPr>
        <w:t>3.5</w:t>
      </w:r>
      <w:r w:rsidRPr="002325DF">
        <w:rPr>
          <w:lang w:val="fr-FR"/>
        </w:rPr>
        <w:tab/>
        <w:t>L</w:t>
      </w:r>
      <w:r>
        <w:rPr>
          <w:lang w:val="fr-FR"/>
        </w:rPr>
        <w:t>’</w:t>
      </w:r>
      <w:r w:rsidRPr="002325DF">
        <w:rPr>
          <w:lang w:val="fr-FR"/>
        </w:rPr>
        <w:t>auteur prie le Comité de conclure que l</w:t>
      </w:r>
      <w:r>
        <w:rPr>
          <w:lang w:val="fr-FR"/>
        </w:rPr>
        <w:t>’</w:t>
      </w:r>
      <w:r w:rsidRPr="002325DF">
        <w:rPr>
          <w:lang w:val="fr-FR"/>
        </w:rPr>
        <w:t>État partie est responsable de violations du Pacte</w:t>
      </w:r>
      <w:r>
        <w:rPr>
          <w:lang w:val="fr-FR"/>
        </w:rPr>
        <w:t>.</w:t>
      </w:r>
      <w:r w:rsidRPr="002325DF">
        <w:rPr>
          <w:lang w:val="fr-FR"/>
        </w:rPr>
        <w:t xml:space="preserve"> </w:t>
      </w:r>
      <w:r>
        <w:rPr>
          <w:lang w:val="fr-FR"/>
        </w:rPr>
        <w:t>Selon l’auteur, l’État partie</w:t>
      </w:r>
      <w:r w:rsidRPr="002325DF">
        <w:rPr>
          <w:lang w:val="fr-FR"/>
        </w:rPr>
        <w:t xml:space="preserve"> devrait l</w:t>
      </w:r>
      <w:r>
        <w:rPr>
          <w:lang w:val="fr-FR"/>
        </w:rPr>
        <w:t>’</w:t>
      </w:r>
      <w:r w:rsidRPr="002325DF">
        <w:rPr>
          <w:lang w:val="fr-FR"/>
        </w:rPr>
        <w:t>indemniser pour les frais de justice qu</w:t>
      </w:r>
      <w:r>
        <w:rPr>
          <w:lang w:val="fr-FR"/>
        </w:rPr>
        <w:t>’</w:t>
      </w:r>
      <w:r w:rsidRPr="002325DF">
        <w:rPr>
          <w:lang w:val="fr-FR"/>
        </w:rPr>
        <w:t>il a engagés et lui accorder une réparation financière pour les violations des droits de l</w:t>
      </w:r>
      <w:r>
        <w:rPr>
          <w:lang w:val="fr-FR"/>
        </w:rPr>
        <w:t>’</w:t>
      </w:r>
      <w:r w:rsidRPr="002325DF">
        <w:rPr>
          <w:lang w:val="fr-FR"/>
        </w:rPr>
        <w:t>homme dont il a été victime.</w:t>
      </w:r>
    </w:p>
    <w:p w14:paraId="20E5E734" w14:textId="77777777" w:rsidR="00CD04BD" w:rsidRPr="002325DF" w:rsidRDefault="00CD04BD" w:rsidP="00CD04BD">
      <w:pPr>
        <w:pStyle w:val="H23G"/>
      </w:pPr>
      <w:r w:rsidRPr="002325DF">
        <w:rPr>
          <w:lang w:val="fr-FR"/>
        </w:rPr>
        <w:tab/>
      </w:r>
      <w:r w:rsidRPr="002325DF">
        <w:rPr>
          <w:lang w:val="fr-FR"/>
        </w:rPr>
        <w:tab/>
        <w:t>Observations de l</w:t>
      </w:r>
      <w:r>
        <w:rPr>
          <w:lang w:val="fr-FR"/>
        </w:rPr>
        <w:t>’</w:t>
      </w:r>
      <w:r w:rsidRPr="002325DF">
        <w:rPr>
          <w:lang w:val="fr-FR"/>
        </w:rPr>
        <w:t>État partie sur la recevabilité et le fond</w:t>
      </w:r>
    </w:p>
    <w:p w14:paraId="2EE38637" w14:textId="0828FC24" w:rsidR="00CD04BD" w:rsidRPr="002325DF" w:rsidRDefault="00CD04BD" w:rsidP="00CD04BD">
      <w:pPr>
        <w:pStyle w:val="SingleTxtG"/>
      </w:pPr>
      <w:r w:rsidRPr="002325DF">
        <w:rPr>
          <w:lang w:val="fr-FR"/>
        </w:rPr>
        <w:t>4.</w:t>
      </w:r>
      <w:r w:rsidRPr="002325DF">
        <w:rPr>
          <w:lang w:val="fr-FR"/>
        </w:rPr>
        <w:tab/>
        <w:t>Dans une note datée du 23</w:t>
      </w:r>
      <w:r>
        <w:rPr>
          <w:lang w:val="fr-FR"/>
        </w:rPr>
        <w:t> </w:t>
      </w:r>
      <w:r w:rsidRPr="002325DF">
        <w:rPr>
          <w:lang w:val="fr-FR"/>
        </w:rPr>
        <w:t>juillet 2014, l</w:t>
      </w:r>
      <w:r>
        <w:rPr>
          <w:lang w:val="fr-FR"/>
        </w:rPr>
        <w:t>’</w:t>
      </w:r>
      <w:r w:rsidRPr="002325DF">
        <w:rPr>
          <w:lang w:val="fr-FR"/>
        </w:rPr>
        <w:t>État partie fait part de ses observations sur la recevabilité de la communication. Il considère que l</w:t>
      </w:r>
      <w:r>
        <w:rPr>
          <w:lang w:val="fr-FR"/>
        </w:rPr>
        <w:t>’</w:t>
      </w:r>
      <w:r w:rsidRPr="002325DF">
        <w:rPr>
          <w:lang w:val="fr-FR"/>
        </w:rPr>
        <w:t>auteur de la communication n</w:t>
      </w:r>
      <w:r>
        <w:rPr>
          <w:lang w:val="fr-FR"/>
        </w:rPr>
        <w:t>’</w:t>
      </w:r>
      <w:r w:rsidRPr="002325DF">
        <w:rPr>
          <w:lang w:val="fr-FR"/>
        </w:rPr>
        <w:t xml:space="preserve">avait pas épuisé tous les recours internes disponibles au moment où il a saisi le Comité de sa communication. </w:t>
      </w:r>
      <w:r>
        <w:rPr>
          <w:lang w:val="fr-FR"/>
        </w:rPr>
        <w:t>E</w:t>
      </w:r>
      <w:r w:rsidRPr="002325DF">
        <w:rPr>
          <w:lang w:val="fr-FR"/>
        </w:rPr>
        <w:t>n conséquence, la communication devait être déclarée irrecevable au regard de l</w:t>
      </w:r>
      <w:r>
        <w:rPr>
          <w:lang w:val="fr-FR"/>
        </w:rPr>
        <w:t>’</w:t>
      </w:r>
      <w:r w:rsidRPr="002325DF">
        <w:rPr>
          <w:lang w:val="fr-FR"/>
        </w:rPr>
        <w:t>article</w:t>
      </w:r>
      <w:r>
        <w:rPr>
          <w:lang w:val="fr-FR"/>
        </w:rPr>
        <w:t> </w:t>
      </w:r>
      <w:r w:rsidRPr="002325DF">
        <w:rPr>
          <w:lang w:val="fr-FR"/>
        </w:rPr>
        <w:t>2 du Protocole facultatif</w:t>
      </w:r>
      <w:r w:rsidRPr="00026BCE">
        <w:rPr>
          <w:rStyle w:val="Appelnotedebasdep"/>
        </w:rPr>
        <w:footnoteReference w:id="10"/>
      </w:r>
      <w:r w:rsidRPr="002325DF">
        <w:rPr>
          <w:lang w:val="fr-FR"/>
        </w:rPr>
        <w:t>. Le 7</w:t>
      </w:r>
      <w:r>
        <w:rPr>
          <w:lang w:val="fr-FR"/>
        </w:rPr>
        <w:t> </w:t>
      </w:r>
      <w:r w:rsidRPr="002325DF">
        <w:rPr>
          <w:lang w:val="fr-FR"/>
        </w:rPr>
        <w:t>octobre 2014, en réponse à une lettre l</w:t>
      </w:r>
      <w:r>
        <w:rPr>
          <w:lang w:val="fr-FR"/>
        </w:rPr>
        <w:t>’</w:t>
      </w:r>
      <w:r w:rsidRPr="002325DF">
        <w:rPr>
          <w:lang w:val="fr-FR"/>
        </w:rPr>
        <w:t>invitant à soumettre des observations sur le fond de la communication, l</w:t>
      </w:r>
      <w:r>
        <w:rPr>
          <w:lang w:val="fr-FR"/>
        </w:rPr>
        <w:t>’</w:t>
      </w:r>
      <w:r w:rsidRPr="002325DF">
        <w:rPr>
          <w:lang w:val="fr-FR"/>
        </w:rPr>
        <w:t>État partie a adressé au Haut-Commissariat des Nations</w:t>
      </w:r>
      <w:r w:rsidR="00044BC7">
        <w:rPr>
          <w:lang w:val="fr-FR"/>
        </w:rPr>
        <w:t> </w:t>
      </w:r>
      <w:r w:rsidRPr="002325DF">
        <w:rPr>
          <w:lang w:val="fr-FR"/>
        </w:rPr>
        <w:t>Unies aux droits de l</w:t>
      </w:r>
      <w:r>
        <w:rPr>
          <w:lang w:val="fr-FR"/>
        </w:rPr>
        <w:t>’</w:t>
      </w:r>
      <w:r w:rsidRPr="002325DF">
        <w:rPr>
          <w:lang w:val="fr-FR"/>
        </w:rPr>
        <w:t>homme une note explicative dans laquelle il fait valoir qu</w:t>
      </w:r>
      <w:r>
        <w:rPr>
          <w:lang w:val="fr-FR"/>
        </w:rPr>
        <w:t>’</w:t>
      </w:r>
      <w:r w:rsidRPr="002325DF">
        <w:rPr>
          <w:lang w:val="fr-FR"/>
        </w:rPr>
        <w:t>aux termes de l</w:t>
      </w:r>
      <w:r>
        <w:rPr>
          <w:lang w:val="fr-FR"/>
        </w:rPr>
        <w:t>’</w:t>
      </w:r>
      <w:r w:rsidRPr="002325DF">
        <w:rPr>
          <w:lang w:val="fr-FR"/>
        </w:rPr>
        <w:t xml:space="preserve">article 2 du Protocole facultatif, ce sont tous les recours internes disponibles </w:t>
      </w:r>
      <w:r>
        <w:rPr>
          <w:lang w:val="fr-FR"/>
        </w:rPr>
        <w:t>− </w:t>
      </w:r>
      <w:r w:rsidRPr="002325DF">
        <w:rPr>
          <w:lang w:val="fr-FR"/>
        </w:rPr>
        <w:t>et non les recours internes utiles</w:t>
      </w:r>
      <w:r>
        <w:rPr>
          <w:lang w:val="fr-FR"/>
        </w:rPr>
        <w:t> −</w:t>
      </w:r>
      <w:r w:rsidRPr="002325DF">
        <w:rPr>
          <w:lang w:val="fr-FR"/>
        </w:rPr>
        <w:t xml:space="preserve"> qui doivent être épuisés. L</w:t>
      </w:r>
      <w:r>
        <w:rPr>
          <w:lang w:val="fr-FR"/>
        </w:rPr>
        <w:t>’</w:t>
      </w:r>
      <w:r w:rsidRPr="002325DF">
        <w:rPr>
          <w:lang w:val="fr-FR"/>
        </w:rPr>
        <w:t>État partie</w:t>
      </w:r>
      <w:r>
        <w:rPr>
          <w:lang w:val="fr-FR"/>
        </w:rPr>
        <w:t xml:space="preserve"> a</w:t>
      </w:r>
      <w:r w:rsidRPr="002325DF">
        <w:rPr>
          <w:lang w:val="fr-FR"/>
        </w:rPr>
        <w:t xml:space="preserve"> pri</w:t>
      </w:r>
      <w:r>
        <w:rPr>
          <w:lang w:val="fr-FR"/>
        </w:rPr>
        <w:t>é</w:t>
      </w:r>
      <w:r w:rsidRPr="002325DF">
        <w:rPr>
          <w:lang w:val="fr-FR"/>
        </w:rPr>
        <w:t xml:space="preserve"> le H</w:t>
      </w:r>
      <w:r>
        <w:rPr>
          <w:lang w:val="fr-FR"/>
        </w:rPr>
        <w:t>aut-Commissariat</w:t>
      </w:r>
      <w:r w:rsidRPr="002325DF">
        <w:rPr>
          <w:lang w:val="fr-FR"/>
        </w:rPr>
        <w:t xml:space="preserve"> de donner des explications à l</w:t>
      </w:r>
      <w:r>
        <w:rPr>
          <w:lang w:val="fr-FR"/>
        </w:rPr>
        <w:t>’</w:t>
      </w:r>
      <w:r w:rsidRPr="002325DF">
        <w:rPr>
          <w:lang w:val="fr-FR"/>
        </w:rPr>
        <w:t>auteur sur la teneur de l</w:t>
      </w:r>
      <w:r>
        <w:rPr>
          <w:lang w:val="fr-FR"/>
        </w:rPr>
        <w:t>’</w:t>
      </w:r>
      <w:r w:rsidRPr="002325DF">
        <w:rPr>
          <w:lang w:val="fr-FR"/>
        </w:rPr>
        <w:t>article</w:t>
      </w:r>
      <w:r>
        <w:rPr>
          <w:lang w:val="fr-FR"/>
        </w:rPr>
        <w:t> </w:t>
      </w:r>
      <w:r w:rsidRPr="002325DF">
        <w:rPr>
          <w:lang w:val="fr-FR"/>
        </w:rPr>
        <w:t>2 du Protocole facultatif</w:t>
      </w:r>
      <w:r w:rsidRPr="00026BCE">
        <w:rPr>
          <w:rStyle w:val="Appelnotedebasdep"/>
        </w:rPr>
        <w:footnoteReference w:id="11"/>
      </w:r>
      <w:r w:rsidRPr="002325DF">
        <w:rPr>
          <w:lang w:val="fr-FR"/>
        </w:rPr>
        <w:t>.</w:t>
      </w:r>
    </w:p>
    <w:p w14:paraId="69A0BB07" w14:textId="77777777" w:rsidR="00CD04BD" w:rsidRPr="002325DF" w:rsidRDefault="00CD04BD" w:rsidP="00CD04BD">
      <w:pPr>
        <w:pStyle w:val="H23G"/>
      </w:pPr>
      <w:r w:rsidRPr="002325DF">
        <w:rPr>
          <w:lang w:val="fr-FR"/>
        </w:rPr>
        <w:tab/>
      </w:r>
      <w:r w:rsidRPr="002325DF">
        <w:rPr>
          <w:lang w:val="fr-FR"/>
        </w:rPr>
        <w:tab/>
        <w:t>Commentaires de l</w:t>
      </w:r>
      <w:r>
        <w:rPr>
          <w:lang w:val="fr-FR"/>
        </w:rPr>
        <w:t>’</w:t>
      </w:r>
      <w:r w:rsidRPr="002325DF">
        <w:rPr>
          <w:lang w:val="fr-FR"/>
        </w:rPr>
        <w:t>auteur sur les observations de l</w:t>
      </w:r>
      <w:r>
        <w:rPr>
          <w:lang w:val="fr-FR"/>
        </w:rPr>
        <w:t>’</w:t>
      </w:r>
      <w:r w:rsidRPr="002325DF">
        <w:rPr>
          <w:lang w:val="fr-FR"/>
        </w:rPr>
        <w:t>État partie</w:t>
      </w:r>
    </w:p>
    <w:p w14:paraId="5633ED95" w14:textId="44CA192A" w:rsidR="00CD04BD" w:rsidRPr="002325DF" w:rsidRDefault="00CD04BD" w:rsidP="00CD04BD">
      <w:pPr>
        <w:pStyle w:val="SingleTxtG"/>
      </w:pPr>
      <w:r w:rsidRPr="002325DF">
        <w:rPr>
          <w:lang w:val="fr-FR"/>
        </w:rPr>
        <w:t>5.1</w:t>
      </w:r>
      <w:r w:rsidRPr="002325DF">
        <w:rPr>
          <w:lang w:val="fr-FR"/>
        </w:rPr>
        <w:tab/>
        <w:t>Dans une note datée du 26</w:t>
      </w:r>
      <w:r>
        <w:rPr>
          <w:lang w:val="fr-FR"/>
        </w:rPr>
        <w:t> </w:t>
      </w:r>
      <w:r w:rsidRPr="002325DF">
        <w:rPr>
          <w:lang w:val="fr-FR"/>
        </w:rPr>
        <w:t>août 2014 dans laquelle il formule des commentaires sur les observations de l</w:t>
      </w:r>
      <w:r>
        <w:rPr>
          <w:lang w:val="fr-FR"/>
        </w:rPr>
        <w:t>’</w:t>
      </w:r>
      <w:r w:rsidRPr="002325DF">
        <w:rPr>
          <w:lang w:val="fr-FR"/>
        </w:rPr>
        <w:t>État partie, l</w:t>
      </w:r>
      <w:r>
        <w:rPr>
          <w:lang w:val="fr-FR"/>
        </w:rPr>
        <w:t>’</w:t>
      </w:r>
      <w:r w:rsidRPr="002325DF">
        <w:rPr>
          <w:lang w:val="fr-FR"/>
        </w:rPr>
        <w:t>auteur affirme qu</w:t>
      </w:r>
      <w:r>
        <w:rPr>
          <w:lang w:val="fr-FR"/>
        </w:rPr>
        <w:t>’</w:t>
      </w:r>
      <w:r w:rsidRPr="002325DF">
        <w:rPr>
          <w:lang w:val="fr-FR"/>
        </w:rPr>
        <w:t>il a épuisé tous les recours internes disponibles, y</w:t>
      </w:r>
      <w:r>
        <w:rPr>
          <w:lang w:val="fr-FR"/>
        </w:rPr>
        <w:t> </w:t>
      </w:r>
      <w:r w:rsidRPr="002325DF">
        <w:rPr>
          <w:lang w:val="fr-FR"/>
        </w:rPr>
        <w:t xml:space="preserve">compris le </w:t>
      </w:r>
      <w:r>
        <w:rPr>
          <w:lang w:val="fr-FR"/>
        </w:rPr>
        <w:t>recours en</w:t>
      </w:r>
      <w:r w:rsidRPr="002325DF">
        <w:rPr>
          <w:lang w:val="fr-FR"/>
        </w:rPr>
        <w:t xml:space="preserve"> cassation et </w:t>
      </w:r>
      <w:r>
        <w:rPr>
          <w:lang w:val="fr-FR"/>
        </w:rPr>
        <w:t xml:space="preserve">la procédure </w:t>
      </w:r>
      <w:r w:rsidRPr="002325DF">
        <w:rPr>
          <w:lang w:val="fr-FR"/>
        </w:rPr>
        <w:t>de contrôle. Il renvoie à la jurisprudence du Comité</w:t>
      </w:r>
      <w:r w:rsidRPr="00026BCE">
        <w:rPr>
          <w:rStyle w:val="Appelnotedebasdep"/>
        </w:rPr>
        <w:footnoteReference w:id="12"/>
      </w:r>
      <w:r w:rsidRPr="002325DF">
        <w:rPr>
          <w:lang w:val="fr-FR"/>
        </w:rPr>
        <w:t>, dont il ressort qu</w:t>
      </w:r>
      <w:r>
        <w:rPr>
          <w:lang w:val="fr-FR"/>
        </w:rPr>
        <w:t>’</w:t>
      </w:r>
      <w:r w:rsidRPr="002325DF">
        <w:rPr>
          <w:lang w:val="fr-FR"/>
        </w:rPr>
        <w:t>il est établi de longue date que la procédure de contrôle ne constitue pas un recours utile et qu</w:t>
      </w:r>
      <w:r>
        <w:rPr>
          <w:lang w:val="fr-FR"/>
        </w:rPr>
        <w:t>’</w:t>
      </w:r>
      <w:r w:rsidRPr="002325DF">
        <w:rPr>
          <w:lang w:val="fr-FR"/>
        </w:rPr>
        <w:t>elle n</w:t>
      </w:r>
      <w:r>
        <w:rPr>
          <w:lang w:val="fr-FR"/>
        </w:rPr>
        <w:t>’</w:t>
      </w:r>
      <w:r w:rsidRPr="002325DF">
        <w:rPr>
          <w:lang w:val="fr-FR"/>
        </w:rPr>
        <w:t>a donc pas à être épuisée aux fins du Protocole facultatif.</w:t>
      </w:r>
    </w:p>
    <w:p w14:paraId="212E5881" w14:textId="77777777" w:rsidR="00CD04BD" w:rsidRPr="002325DF" w:rsidRDefault="00CD04BD" w:rsidP="00CD04BD">
      <w:pPr>
        <w:pStyle w:val="SingleTxtG"/>
      </w:pPr>
      <w:r w:rsidRPr="002325DF">
        <w:rPr>
          <w:lang w:val="fr-FR"/>
        </w:rPr>
        <w:t>5.2</w:t>
      </w:r>
      <w:r w:rsidRPr="002325DF">
        <w:rPr>
          <w:lang w:val="fr-FR"/>
        </w:rPr>
        <w:tab/>
        <w:t>L</w:t>
      </w:r>
      <w:r>
        <w:rPr>
          <w:lang w:val="fr-FR"/>
        </w:rPr>
        <w:t>’</w:t>
      </w:r>
      <w:r w:rsidRPr="002325DF">
        <w:rPr>
          <w:lang w:val="fr-FR"/>
        </w:rPr>
        <w:t>auteur renvoie aux conclusions d</w:t>
      </w:r>
      <w:r>
        <w:rPr>
          <w:lang w:val="fr-FR"/>
        </w:rPr>
        <w:t>’</w:t>
      </w:r>
      <w:r w:rsidRPr="002325DF">
        <w:rPr>
          <w:lang w:val="fr-FR"/>
        </w:rPr>
        <w:t>un rapport daté du 14</w:t>
      </w:r>
      <w:r>
        <w:rPr>
          <w:lang w:val="fr-FR"/>
        </w:rPr>
        <w:t> </w:t>
      </w:r>
      <w:r w:rsidRPr="002325DF">
        <w:rPr>
          <w:lang w:val="fr-FR"/>
        </w:rPr>
        <w:t>avril 2014 établi par une commission d</w:t>
      </w:r>
      <w:r>
        <w:rPr>
          <w:lang w:val="fr-FR"/>
        </w:rPr>
        <w:t>’</w:t>
      </w:r>
      <w:r w:rsidRPr="002325DF">
        <w:rPr>
          <w:lang w:val="fr-FR"/>
        </w:rPr>
        <w:t>experts composée de membres de l</w:t>
      </w:r>
      <w:r>
        <w:rPr>
          <w:lang w:val="fr-FR"/>
        </w:rPr>
        <w:t>’</w:t>
      </w:r>
      <w:r w:rsidRPr="002325DF">
        <w:rPr>
          <w:lang w:val="fr-FR"/>
        </w:rPr>
        <w:t>Association indépendante des psychiatres de la Fédération de Russie</w:t>
      </w:r>
      <w:r>
        <w:rPr>
          <w:lang w:val="fr-FR"/>
        </w:rPr>
        <w:t xml:space="preserve"> après </w:t>
      </w:r>
      <w:r w:rsidRPr="002325DF">
        <w:rPr>
          <w:lang w:val="fr-FR"/>
        </w:rPr>
        <w:t>qu</w:t>
      </w:r>
      <w:r>
        <w:rPr>
          <w:lang w:val="fr-FR"/>
        </w:rPr>
        <w:t>’</w:t>
      </w:r>
      <w:r w:rsidRPr="002325DF">
        <w:rPr>
          <w:lang w:val="fr-FR"/>
        </w:rPr>
        <w:t>elle a examiné l</w:t>
      </w:r>
      <w:r>
        <w:rPr>
          <w:lang w:val="fr-FR"/>
        </w:rPr>
        <w:t>’</w:t>
      </w:r>
      <w:r w:rsidRPr="002325DF">
        <w:rPr>
          <w:lang w:val="fr-FR"/>
        </w:rPr>
        <w:t>auteur</w:t>
      </w:r>
      <w:r>
        <w:rPr>
          <w:lang w:val="fr-FR"/>
        </w:rPr>
        <w:t>,</w:t>
      </w:r>
      <w:r w:rsidRPr="002325DF">
        <w:rPr>
          <w:lang w:val="fr-FR"/>
        </w:rPr>
        <w:t xml:space="preserve"> à sa demande. </w:t>
      </w:r>
      <w:r>
        <w:rPr>
          <w:lang w:val="fr-FR"/>
        </w:rPr>
        <w:t>La commission</w:t>
      </w:r>
      <w:r w:rsidRPr="002325DF">
        <w:rPr>
          <w:lang w:val="fr-FR"/>
        </w:rPr>
        <w:t xml:space="preserve"> lui a diagnostiqué un </w:t>
      </w:r>
      <w:r>
        <w:rPr>
          <w:lang w:val="fr-FR"/>
        </w:rPr>
        <w:t>« </w:t>
      </w:r>
      <w:r w:rsidRPr="002325DF">
        <w:rPr>
          <w:lang w:val="fr-FR"/>
        </w:rPr>
        <w:t>trouble de la personnalité à caractère paranoïaque</w:t>
      </w:r>
      <w:r>
        <w:rPr>
          <w:lang w:val="fr-FR"/>
        </w:rPr>
        <w:t> »</w:t>
      </w:r>
      <w:r w:rsidRPr="002325DF">
        <w:rPr>
          <w:lang w:val="fr-FR"/>
        </w:rPr>
        <w:t xml:space="preserve"> associé à des </w:t>
      </w:r>
      <w:r>
        <w:rPr>
          <w:lang w:val="fr-FR"/>
        </w:rPr>
        <w:t>« </w:t>
      </w:r>
      <w:r w:rsidRPr="002325DF">
        <w:rPr>
          <w:lang w:val="fr-FR"/>
        </w:rPr>
        <w:t>tendances à vouloir faire éclater la vérité</w:t>
      </w:r>
      <w:r>
        <w:rPr>
          <w:lang w:val="fr-FR"/>
        </w:rPr>
        <w:t> »</w:t>
      </w:r>
      <w:r w:rsidRPr="002325DF">
        <w:rPr>
          <w:lang w:val="fr-FR"/>
        </w:rPr>
        <w:t>. Elle a constaté que, depuis son adolescence, l</w:t>
      </w:r>
      <w:r>
        <w:rPr>
          <w:lang w:val="fr-FR"/>
        </w:rPr>
        <w:t>’</w:t>
      </w:r>
      <w:r w:rsidRPr="002325DF">
        <w:rPr>
          <w:lang w:val="fr-FR"/>
        </w:rPr>
        <w:t>auteur manifestait un sens aigu de l</w:t>
      </w:r>
      <w:r>
        <w:rPr>
          <w:lang w:val="fr-FR"/>
        </w:rPr>
        <w:t>’</w:t>
      </w:r>
      <w:r w:rsidRPr="002325DF">
        <w:rPr>
          <w:lang w:val="fr-FR"/>
        </w:rPr>
        <w:t xml:space="preserve">équité et exigeait </w:t>
      </w:r>
      <w:r>
        <w:rPr>
          <w:lang w:val="fr-FR"/>
        </w:rPr>
        <w:t xml:space="preserve">de connaître </w:t>
      </w:r>
      <w:r w:rsidRPr="002325DF">
        <w:rPr>
          <w:lang w:val="fr-FR"/>
        </w:rPr>
        <w:t>la vérité. Lorsque l</w:t>
      </w:r>
      <w:r>
        <w:rPr>
          <w:lang w:val="fr-FR"/>
        </w:rPr>
        <w:t>’</w:t>
      </w:r>
      <w:r w:rsidRPr="002325DF">
        <w:rPr>
          <w:lang w:val="fr-FR"/>
        </w:rPr>
        <w:t xml:space="preserve">auteur </w:t>
      </w:r>
      <w:r w:rsidRPr="002325DF">
        <w:rPr>
          <w:lang w:val="fr-FR"/>
        </w:rPr>
        <w:lastRenderedPageBreak/>
        <w:t xml:space="preserve">constatait des défaillances, il en parlait ouvertement. La commission </w:t>
      </w:r>
      <w:r>
        <w:rPr>
          <w:lang w:val="fr-FR"/>
        </w:rPr>
        <w:t xml:space="preserve">indépendante </w:t>
      </w:r>
      <w:r w:rsidRPr="002325DF">
        <w:rPr>
          <w:lang w:val="fr-FR"/>
        </w:rPr>
        <w:t xml:space="preserve">a toutefois considéré que </w:t>
      </w:r>
      <w:r>
        <w:rPr>
          <w:lang w:val="fr-FR"/>
        </w:rPr>
        <w:t>l’</w:t>
      </w:r>
      <w:r w:rsidRPr="002325DF">
        <w:rPr>
          <w:lang w:val="fr-FR"/>
        </w:rPr>
        <w:t xml:space="preserve">hospitalisation sans consentement </w:t>
      </w:r>
      <w:r>
        <w:rPr>
          <w:lang w:val="fr-FR"/>
        </w:rPr>
        <w:t xml:space="preserve">de l’auteur </w:t>
      </w:r>
      <w:r w:rsidRPr="002325DF">
        <w:rPr>
          <w:lang w:val="fr-FR"/>
        </w:rPr>
        <w:t>n</w:t>
      </w:r>
      <w:r>
        <w:rPr>
          <w:lang w:val="fr-FR"/>
        </w:rPr>
        <w:t>’</w:t>
      </w:r>
      <w:r w:rsidRPr="002325DF">
        <w:rPr>
          <w:lang w:val="fr-FR"/>
        </w:rPr>
        <w:t>était pas justifiée. L</w:t>
      </w:r>
      <w:r>
        <w:rPr>
          <w:lang w:val="fr-FR"/>
        </w:rPr>
        <w:t>’</w:t>
      </w:r>
      <w:r w:rsidRPr="002325DF">
        <w:rPr>
          <w:lang w:val="fr-FR"/>
        </w:rPr>
        <w:t>auteur ne représentait un danger ni pour lui-même ni pour autrui et n</w:t>
      </w:r>
      <w:r>
        <w:rPr>
          <w:lang w:val="fr-FR"/>
        </w:rPr>
        <w:t>’</w:t>
      </w:r>
      <w:r w:rsidRPr="002325DF">
        <w:rPr>
          <w:lang w:val="fr-FR"/>
        </w:rPr>
        <w:t>avait pas besoin d</w:t>
      </w:r>
      <w:r>
        <w:rPr>
          <w:lang w:val="fr-FR"/>
        </w:rPr>
        <w:t>’</w:t>
      </w:r>
      <w:r w:rsidRPr="002325DF">
        <w:rPr>
          <w:lang w:val="fr-FR"/>
        </w:rPr>
        <w:t>un traitement psychiatrique. Dans ses relations avec ses voisins, par exemple, l</w:t>
      </w:r>
      <w:r>
        <w:rPr>
          <w:lang w:val="fr-FR"/>
        </w:rPr>
        <w:t>’</w:t>
      </w:r>
      <w:r w:rsidRPr="002325DF">
        <w:rPr>
          <w:lang w:val="fr-FR"/>
        </w:rPr>
        <w:t xml:space="preserve">auteur était </w:t>
      </w:r>
      <w:r>
        <w:rPr>
          <w:lang w:val="fr-FR"/>
        </w:rPr>
        <w:t>« </w:t>
      </w:r>
      <w:r w:rsidRPr="002325DF">
        <w:rPr>
          <w:lang w:val="fr-FR"/>
        </w:rPr>
        <w:t>bien adapté</w:t>
      </w:r>
      <w:r>
        <w:rPr>
          <w:lang w:val="fr-FR"/>
        </w:rPr>
        <w:t> »</w:t>
      </w:r>
      <w:r w:rsidRPr="002325DF">
        <w:rPr>
          <w:lang w:val="fr-FR"/>
        </w:rPr>
        <w:t>.</w:t>
      </w:r>
    </w:p>
    <w:p w14:paraId="0A060B82" w14:textId="77777777" w:rsidR="00CD04BD" w:rsidRPr="002325DF" w:rsidRDefault="00CD04BD" w:rsidP="00CD04BD">
      <w:pPr>
        <w:pStyle w:val="H23G"/>
      </w:pPr>
      <w:r w:rsidRPr="002325DF">
        <w:rPr>
          <w:lang w:val="fr-FR"/>
        </w:rPr>
        <w:tab/>
      </w:r>
      <w:r w:rsidRPr="002325DF">
        <w:rPr>
          <w:lang w:val="fr-FR"/>
        </w:rPr>
        <w:tab/>
        <w:t>Délibérations du Comité</w:t>
      </w:r>
    </w:p>
    <w:p w14:paraId="24F42802" w14:textId="77777777" w:rsidR="00CD04BD" w:rsidRPr="002325DF" w:rsidRDefault="00CD04BD" w:rsidP="00CD04BD">
      <w:pPr>
        <w:pStyle w:val="H4G"/>
      </w:pPr>
      <w:r w:rsidRPr="002325DF">
        <w:rPr>
          <w:lang w:val="fr-FR"/>
        </w:rPr>
        <w:tab/>
      </w:r>
      <w:r w:rsidRPr="002325DF">
        <w:rPr>
          <w:lang w:val="fr-FR"/>
        </w:rPr>
        <w:tab/>
        <w:t>Examen de la recevabilité</w:t>
      </w:r>
    </w:p>
    <w:p w14:paraId="45AFADE4" w14:textId="77777777" w:rsidR="00CD04BD" w:rsidRPr="002325DF" w:rsidRDefault="00CD04BD" w:rsidP="00CD04BD">
      <w:pPr>
        <w:pStyle w:val="SingleTxtG"/>
      </w:pPr>
      <w:r w:rsidRPr="002325DF">
        <w:rPr>
          <w:lang w:val="fr-FR"/>
        </w:rPr>
        <w:t>6.1</w:t>
      </w:r>
      <w:r w:rsidRPr="002325DF">
        <w:rPr>
          <w:lang w:val="fr-FR"/>
        </w:rPr>
        <w:tab/>
        <w:t>Avant d</w:t>
      </w:r>
      <w:r>
        <w:rPr>
          <w:lang w:val="fr-FR"/>
        </w:rPr>
        <w:t>’</w:t>
      </w:r>
      <w:r w:rsidRPr="002325DF">
        <w:rPr>
          <w:lang w:val="fr-FR"/>
        </w:rPr>
        <w:t>examiner tout grief formulé dans une communication, le Comité doit, conformément à l</w:t>
      </w:r>
      <w:r>
        <w:rPr>
          <w:lang w:val="fr-FR"/>
        </w:rPr>
        <w:t>’</w:t>
      </w:r>
      <w:r w:rsidRPr="002325DF">
        <w:rPr>
          <w:lang w:val="fr-FR"/>
        </w:rPr>
        <w:t>article</w:t>
      </w:r>
      <w:r>
        <w:rPr>
          <w:lang w:val="fr-FR"/>
        </w:rPr>
        <w:t> </w:t>
      </w:r>
      <w:r w:rsidRPr="002325DF">
        <w:rPr>
          <w:lang w:val="fr-FR"/>
        </w:rPr>
        <w:t>97 de son règlement intérieur, déterminer si la communication est recevable au regard du Protocole facultatif.</w:t>
      </w:r>
    </w:p>
    <w:p w14:paraId="7FAEE382" w14:textId="7F52E425" w:rsidR="00CD04BD" w:rsidRPr="002325DF" w:rsidRDefault="00CD04BD" w:rsidP="00CD04BD">
      <w:pPr>
        <w:pStyle w:val="SingleTxtG"/>
      </w:pPr>
      <w:r w:rsidRPr="002325DF">
        <w:rPr>
          <w:lang w:val="fr-FR"/>
        </w:rPr>
        <w:t>6.2</w:t>
      </w:r>
      <w:r w:rsidRPr="002325DF">
        <w:rPr>
          <w:lang w:val="fr-FR"/>
        </w:rPr>
        <w:tab/>
        <w:t>Le Comité s</w:t>
      </w:r>
      <w:r>
        <w:rPr>
          <w:lang w:val="fr-FR"/>
        </w:rPr>
        <w:t>’</w:t>
      </w:r>
      <w:r w:rsidRPr="002325DF">
        <w:rPr>
          <w:lang w:val="fr-FR"/>
        </w:rPr>
        <w:t>est assuré, comme il est tenu de le faire conformément à l</w:t>
      </w:r>
      <w:r>
        <w:rPr>
          <w:lang w:val="fr-FR"/>
        </w:rPr>
        <w:t>’</w:t>
      </w:r>
      <w:r w:rsidRPr="002325DF">
        <w:rPr>
          <w:lang w:val="fr-FR"/>
        </w:rPr>
        <w:t>article</w:t>
      </w:r>
      <w:r>
        <w:rPr>
          <w:lang w:val="fr-FR"/>
        </w:rPr>
        <w:t> </w:t>
      </w:r>
      <w:r w:rsidRPr="002325DF">
        <w:rPr>
          <w:lang w:val="fr-FR"/>
        </w:rPr>
        <w:t>5 (par.</w:t>
      </w:r>
      <w:r>
        <w:rPr>
          <w:lang w:val="fr-FR"/>
        </w:rPr>
        <w:t> </w:t>
      </w:r>
      <w:r w:rsidRPr="002325DF">
        <w:rPr>
          <w:lang w:val="fr-FR"/>
        </w:rPr>
        <w:t>2</w:t>
      </w:r>
      <w:r>
        <w:rPr>
          <w:lang w:val="fr-FR"/>
        </w:rPr>
        <w:t> </w:t>
      </w:r>
      <w:r w:rsidRPr="002325DF">
        <w:rPr>
          <w:lang w:val="fr-FR"/>
        </w:rPr>
        <w:t>a)) du Protocole facultatif, que la même question n</w:t>
      </w:r>
      <w:r>
        <w:rPr>
          <w:lang w:val="fr-FR"/>
        </w:rPr>
        <w:t>’</w:t>
      </w:r>
      <w:r w:rsidRPr="002325DF">
        <w:rPr>
          <w:lang w:val="fr-FR"/>
        </w:rPr>
        <w:t>était pas déjà en cours d</w:t>
      </w:r>
      <w:r>
        <w:rPr>
          <w:lang w:val="fr-FR"/>
        </w:rPr>
        <w:t>’</w:t>
      </w:r>
      <w:r w:rsidRPr="002325DF">
        <w:rPr>
          <w:lang w:val="fr-FR"/>
        </w:rPr>
        <w:t>examen devant une autre instance internationale d</w:t>
      </w:r>
      <w:r>
        <w:rPr>
          <w:lang w:val="fr-FR"/>
        </w:rPr>
        <w:t>’</w:t>
      </w:r>
      <w:r w:rsidRPr="002325DF">
        <w:rPr>
          <w:lang w:val="fr-FR"/>
        </w:rPr>
        <w:t>enquête ou de règlement.</w:t>
      </w:r>
    </w:p>
    <w:p w14:paraId="735AF0B4" w14:textId="77777777" w:rsidR="00CD04BD" w:rsidRPr="002325DF" w:rsidRDefault="00CD04BD" w:rsidP="00CD04BD">
      <w:pPr>
        <w:pStyle w:val="SingleTxtG"/>
      </w:pPr>
      <w:r w:rsidRPr="002325DF">
        <w:rPr>
          <w:lang w:val="fr-FR"/>
        </w:rPr>
        <w:t>6.3</w:t>
      </w:r>
      <w:r w:rsidRPr="002325DF">
        <w:rPr>
          <w:lang w:val="fr-FR"/>
        </w:rPr>
        <w:tab/>
        <w:t>Le Comité note que l</w:t>
      </w:r>
      <w:r>
        <w:rPr>
          <w:lang w:val="fr-FR"/>
        </w:rPr>
        <w:t>’</w:t>
      </w:r>
      <w:r w:rsidRPr="002325DF">
        <w:rPr>
          <w:lang w:val="fr-FR"/>
        </w:rPr>
        <w:t>État partie considère que l</w:t>
      </w:r>
      <w:r>
        <w:rPr>
          <w:lang w:val="fr-FR"/>
        </w:rPr>
        <w:t>’</w:t>
      </w:r>
      <w:r w:rsidRPr="002325DF">
        <w:rPr>
          <w:lang w:val="fr-FR"/>
        </w:rPr>
        <w:t>auteur n</w:t>
      </w:r>
      <w:r>
        <w:rPr>
          <w:lang w:val="fr-FR"/>
        </w:rPr>
        <w:t>’</w:t>
      </w:r>
      <w:r w:rsidRPr="002325DF">
        <w:rPr>
          <w:lang w:val="fr-FR"/>
        </w:rPr>
        <w:t>a pas épuisé tous les recours internes disponibles, mais qu</w:t>
      </w:r>
      <w:r>
        <w:rPr>
          <w:lang w:val="fr-FR"/>
        </w:rPr>
        <w:t>’</w:t>
      </w:r>
      <w:r w:rsidRPr="002325DF">
        <w:rPr>
          <w:lang w:val="fr-FR"/>
        </w:rPr>
        <w:t>il ne précise toutefois pas en quoi consistent les recours que l</w:t>
      </w:r>
      <w:r>
        <w:rPr>
          <w:lang w:val="fr-FR"/>
        </w:rPr>
        <w:t>’</w:t>
      </w:r>
      <w:r w:rsidRPr="002325DF">
        <w:rPr>
          <w:lang w:val="fr-FR"/>
        </w:rPr>
        <w:t>intéressé aurait dû épuiser</w:t>
      </w:r>
      <w:r w:rsidRPr="00026BCE">
        <w:rPr>
          <w:rStyle w:val="Appelnotedebasdep"/>
        </w:rPr>
        <w:footnoteReference w:id="13"/>
      </w:r>
      <w:r w:rsidRPr="002325DF">
        <w:rPr>
          <w:lang w:val="fr-FR"/>
        </w:rPr>
        <w:t>. Dans ces circonstances, le Comité estime que les dispositions de l</w:t>
      </w:r>
      <w:r>
        <w:rPr>
          <w:lang w:val="fr-FR"/>
        </w:rPr>
        <w:t>’</w:t>
      </w:r>
      <w:r w:rsidRPr="002325DF">
        <w:rPr>
          <w:lang w:val="fr-FR"/>
        </w:rPr>
        <w:t>article</w:t>
      </w:r>
      <w:r>
        <w:rPr>
          <w:lang w:val="fr-FR"/>
        </w:rPr>
        <w:t> </w:t>
      </w:r>
      <w:r w:rsidRPr="002325DF">
        <w:rPr>
          <w:lang w:val="fr-FR"/>
        </w:rPr>
        <w:t>5 (par.</w:t>
      </w:r>
      <w:r>
        <w:rPr>
          <w:lang w:val="fr-FR"/>
        </w:rPr>
        <w:t> </w:t>
      </w:r>
      <w:r w:rsidRPr="002325DF">
        <w:rPr>
          <w:lang w:val="fr-FR"/>
        </w:rPr>
        <w:t>2</w:t>
      </w:r>
      <w:r>
        <w:rPr>
          <w:lang w:val="fr-FR"/>
        </w:rPr>
        <w:t> </w:t>
      </w:r>
      <w:r w:rsidRPr="002325DF">
        <w:rPr>
          <w:lang w:val="fr-FR"/>
        </w:rPr>
        <w:t>b)) du Protocole facultatif ne l</w:t>
      </w:r>
      <w:r>
        <w:rPr>
          <w:lang w:val="fr-FR"/>
        </w:rPr>
        <w:t>’</w:t>
      </w:r>
      <w:r w:rsidRPr="002325DF">
        <w:rPr>
          <w:lang w:val="fr-FR"/>
        </w:rPr>
        <w:t>empêchent pas d</w:t>
      </w:r>
      <w:r>
        <w:rPr>
          <w:lang w:val="fr-FR"/>
        </w:rPr>
        <w:t>’</w:t>
      </w:r>
      <w:r w:rsidRPr="002325DF">
        <w:rPr>
          <w:lang w:val="fr-FR"/>
        </w:rPr>
        <w:t>examiner la communication.</w:t>
      </w:r>
    </w:p>
    <w:p w14:paraId="02D11A9D" w14:textId="77777777" w:rsidR="00CD04BD" w:rsidRPr="002325DF" w:rsidRDefault="00CD04BD" w:rsidP="00CD04BD">
      <w:pPr>
        <w:pStyle w:val="SingleTxtG"/>
      </w:pPr>
      <w:r w:rsidRPr="002325DF">
        <w:rPr>
          <w:lang w:val="fr-FR"/>
        </w:rPr>
        <w:t>6.4</w:t>
      </w:r>
      <w:r w:rsidRPr="002325DF">
        <w:rPr>
          <w:lang w:val="fr-FR"/>
        </w:rPr>
        <w:tab/>
        <w:t>Le Comité prend note des griefs que l</w:t>
      </w:r>
      <w:r>
        <w:rPr>
          <w:lang w:val="fr-FR"/>
        </w:rPr>
        <w:t>’</w:t>
      </w:r>
      <w:r w:rsidRPr="002325DF">
        <w:rPr>
          <w:lang w:val="fr-FR"/>
        </w:rPr>
        <w:t>auteur tire des articles</w:t>
      </w:r>
      <w:r>
        <w:rPr>
          <w:lang w:val="fr-FR"/>
        </w:rPr>
        <w:t> </w:t>
      </w:r>
      <w:r w:rsidRPr="002325DF">
        <w:rPr>
          <w:lang w:val="fr-FR"/>
        </w:rPr>
        <w:t>2 (par.</w:t>
      </w:r>
      <w:r>
        <w:rPr>
          <w:lang w:val="fr-FR"/>
        </w:rPr>
        <w:t> </w:t>
      </w:r>
      <w:r w:rsidRPr="002325DF">
        <w:rPr>
          <w:lang w:val="fr-FR"/>
        </w:rPr>
        <w:t>1 et 3), 10 (par. 1), 15 (par.</w:t>
      </w:r>
      <w:r>
        <w:rPr>
          <w:lang w:val="fr-FR"/>
        </w:rPr>
        <w:t> </w:t>
      </w:r>
      <w:r w:rsidRPr="002325DF">
        <w:rPr>
          <w:lang w:val="fr-FR"/>
        </w:rPr>
        <w:t>2), 17 et 26 du Pacte. Toutefois, compte tenu de l</w:t>
      </w:r>
      <w:r>
        <w:rPr>
          <w:lang w:val="fr-FR"/>
        </w:rPr>
        <w:t>’</w:t>
      </w:r>
      <w:r w:rsidRPr="002325DF">
        <w:rPr>
          <w:lang w:val="fr-FR"/>
        </w:rPr>
        <w:t>absence d</w:t>
      </w:r>
      <w:r>
        <w:rPr>
          <w:lang w:val="fr-FR"/>
        </w:rPr>
        <w:t>’</w:t>
      </w:r>
      <w:r w:rsidRPr="002325DF">
        <w:rPr>
          <w:lang w:val="fr-FR"/>
        </w:rPr>
        <w:t>autres renseignements pertinents dans le dossier, le Comité considère que l</w:t>
      </w:r>
      <w:r>
        <w:rPr>
          <w:lang w:val="fr-FR"/>
        </w:rPr>
        <w:t>’</w:t>
      </w:r>
      <w:r w:rsidRPr="002325DF">
        <w:rPr>
          <w:lang w:val="fr-FR"/>
        </w:rPr>
        <w:t>auteur n</w:t>
      </w:r>
      <w:r>
        <w:rPr>
          <w:lang w:val="fr-FR"/>
        </w:rPr>
        <w:t>’</w:t>
      </w:r>
      <w:r w:rsidRPr="002325DF">
        <w:rPr>
          <w:lang w:val="fr-FR"/>
        </w:rPr>
        <w:t>a pas suffisamment étayé ces griefs aux fins de la recevabilité. Il déclare donc cette partie de la communication irrecevable au regard de l</w:t>
      </w:r>
      <w:r>
        <w:rPr>
          <w:lang w:val="fr-FR"/>
        </w:rPr>
        <w:t>’</w:t>
      </w:r>
      <w:r w:rsidRPr="002325DF">
        <w:rPr>
          <w:lang w:val="fr-FR"/>
        </w:rPr>
        <w:t>article</w:t>
      </w:r>
      <w:r>
        <w:rPr>
          <w:lang w:val="fr-FR"/>
        </w:rPr>
        <w:t> </w:t>
      </w:r>
      <w:r w:rsidRPr="002325DF">
        <w:rPr>
          <w:lang w:val="fr-FR"/>
        </w:rPr>
        <w:t>2 du Protocole facultatif.</w:t>
      </w:r>
    </w:p>
    <w:p w14:paraId="2AF697D5" w14:textId="2A074DBD" w:rsidR="00CD04BD" w:rsidRPr="002325DF" w:rsidRDefault="00CD04BD" w:rsidP="00CD04BD">
      <w:pPr>
        <w:pStyle w:val="SingleTxtG"/>
      </w:pPr>
      <w:r w:rsidRPr="002325DF">
        <w:rPr>
          <w:lang w:val="fr-FR"/>
        </w:rPr>
        <w:t>6.5</w:t>
      </w:r>
      <w:r w:rsidRPr="002325DF">
        <w:rPr>
          <w:lang w:val="fr-FR"/>
        </w:rPr>
        <w:tab/>
        <w:t>Le Comité considère que les autres griefs de l</w:t>
      </w:r>
      <w:r>
        <w:rPr>
          <w:lang w:val="fr-FR"/>
        </w:rPr>
        <w:t>’</w:t>
      </w:r>
      <w:r w:rsidRPr="002325DF">
        <w:rPr>
          <w:lang w:val="fr-FR"/>
        </w:rPr>
        <w:t>auteur, qui soulèvent des questions au regard des articles</w:t>
      </w:r>
      <w:r>
        <w:rPr>
          <w:lang w:val="fr-FR"/>
        </w:rPr>
        <w:t> </w:t>
      </w:r>
      <w:r w:rsidRPr="002325DF">
        <w:rPr>
          <w:lang w:val="fr-FR"/>
        </w:rPr>
        <w:t>7, 9 (par.</w:t>
      </w:r>
      <w:r>
        <w:rPr>
          <w:lang w:val="fr-FR"/>
        </w:rPr>
        <w:t> </w:t>
      </w:r>
      <w:r w:rsidRPr="002325DF">
        <w:rPr>
          <w:lang w:val="fr-FR"/>
        </w:rPr>
        <w:t>1), 14 (par.</w:t>
      </w:r>
      <w:r>
        <w:rPr>
          <w:lang w:val="fr-FR"/>
        </w:rPr>
        <w:t> </w:t>
      </w:r>
      <w:r w:rsidRPr="002325DF">
        <w:rPr>
          <w:lang w:val="fr-FR"/>
        </w:rPr>
        <w:t>1) et 19 du Pacte, ont été suffisamment étayés aux fins de la recevabilité, et passe à leur examen au fond.</w:t>
      </w:r>
    </w:p>
    <w:p w14:paraId="512B92F5" w14:textId="77777777" w:rsidR="00CD04BD" w:rsidRPr="002325DF" w:rsidRDefault="00CD04BD" w:rsidP="00CD04BD">
      <w:pPr>
        <w:pStyle w:val="H4G"/>
      </w:pPr>
      <w:r w:rsidRPr="002325DF">
        <w:rPr>
          <w:lang w:val="fr-FR"/>
        </w:rPr>
        <w:tab/>
      </w:r>
      <w:r w:rsidRPr="002325DF">
        <w:rPr>
          <w:lang w:val="fr-FR"/>
        </w:rPr>
        <w:tab/>
        <w:t>Examen au fond</w:t>
      </w:r>
    </w:p>
    <w:p w14:paraId="0FB1A3EA" w14:textId="77777777" w:rsidR="00CD04BD" w:rsidRPr="002325DF" w:rsidRDefault="00CD04BD" w:rsidP="00CD04BD">
      <w:pPr>
        <w:pStyle w:val="SingleTxtG"/>
      </w:pPr>
      <w:r w:rsidRPr="002325DF">
        <w:rPr>
          <w:lang w:val="fr-FR"/>
        </w:rPr>
        <w:t>7.1</w:t>
      </w:r>
      <w:r w:rsidRPr="002325DF">
        <w:rPr>
          <w:lang w:val="fr-FR"/>
        </w:rPr>
        <w:tab/>
        <w:t>Conformément à l</w:t>
      </w:r>
      <w:r>
        <w:rPr>
          <w:lang w:val="fr-FR"/>
        </w:rPr>
        <w:t>’</w:t>
      </w:r>
      <w:r w:rsidRPr="002325DF">
        <w:rPr>
          <w:lang w:val="fr-FR"/>
        </w:rPr>
        <w:t>article</w:t>
      </w:r>
      <w:r>
        <w:rPr>
          <w:lang w:val="fr-FR"/>
        </w:rPr>
        <w:t> </w:t>
      </w:r>
      <w:r w:rsidRPr="002325DF">
        <w:rPr>
          <w:lang w:val="fr-FR"/>
        </w:rPr>
        <w:t>5 (par.</w:t>
      </w:r>
      <w:r>
        <w:rPr>
          <w:lang w:val="fr-FR"/>
        </w:rPr>
        <w:t> </w:t>
      </w:r>
      <w:r w:rsidRPr="002325DF">
        <w:rPr>
          <w:lang w:val="fr-FR"/>
        </w:rPr>
        <w:t>1) du Protocole facultatif, le Comité a examiné la présente communication en tenant compte de toutes les informations que lui ont communiquées les parties.</w:t>
      </w:r>
    </w:p>
    <w:p w14:paraId="2CE9F27E" w14:textId="77777777" w:rsidR="00CD04BD" w:rsidRPr="002325DF" w:rsidRDefault="00CD04BD" w:rsidP="00CD04BD">
      <w:pPr>
        <w:pStyle w:val="SingleTxtG"/>
      </w:pPr>
      <w:r w:rsidRPr="002325DF">
        <w:rPr>
          <w:lang w:val="fr-FR"/>
        </w:rPr>
        <w:t>7.2</w:t>
      </w:r>
      <w:r w:rsidRPr="002325DF">
        <w:rPr>
          <w:lang w:val="fr-FR"/>
        </w:rPr>
        <w:tab/>
        <w:t>Le Comité prend note du grief de l</w:t>
      </w:r>
      <w:r>
        <w:rPr>
          <w:lang w:val="fr-FR"/>
        </w:rPr>
        <w:t>’</w:t>
      </w:r>
      <w:r w:rsidRPr="002325DF">
        <w:rPr>
          <w:lang w:val="fr-FR"/>
        </w:rPr>
        <w:t>auteur selon lequel son hospitalisation sans consentement et sa détention dans un établissement psychiatrique constituent une violation des droits qu</w:t>
      </w:r>
      <w:r>
        <w:rPr>
          <w:lang w:val="fr-FR"/>
        </w:rPr>
        <w:t>’</w:t>
      </w:r>
      <w:r w:rsidRPr="002325DF">
        <w:rPr>
          <w:lang w:val="fr-FR"/>
        </w:rPr>
        <w:t>il tient de l</w:t>
      </w:r>
      <w:r>
        <w:rPr>
          <w:lang w:val="fr-FR"/>
        </w:rPr>
        <w:t>’</w:t>
      </w:r>
      <w:r w:rsidRPr="002325DF">
        <w:rPr>
          <w:lang w:val="fr-FR"/>
        </w:rPr>
        <w:t>article</w:t>
      </w:r>
      <w:r>
        <w:rPr>
          <w:lang w:val="fr-FR"/>
        </w:rPr>
        <w:t> </w:t>
      </w:r>
      <w:r w:rsidRPr="002325DF">
        <w:rPr>
          <w:lang w:val="fr-FR"/>
        </w:rPr>
        <w:t>9 (par.</w:t>
      </w:r>
      <w:r>
        <w:rPr>
          <w:lang w:val="fr-FR"/>
        </w:rPr>
        <w:t> </w:t>
      </w:r>
      <w:r w:rsidRPr="002325DF">
        <w:rPr>
          <w:lang w:val="fr-FR"/>
        </w:rPr>
        <w:t>1) du Pacte.</w:t>
      </w:r>
    </w:p>
    <w:p w14:paraId="2608A53D" w14:textId="76D175F4" w:rsidR="00CD04BD" w:rsidRPr="00044BC7" w:rsidRDefault="00CD04BD" w:rsidP="00CD04BD">
      <w:pPr>
        <w:pStyle w:val="SingleTxtG"/>
        <w:rPr>
          <w:spacing w:val="-1"/>
        </w:rPr>
      </w:pPr>
      <w:r w:rsidRPr="00044BC7">
        <w:rPr>
          <w:lang w:val="fr-FR"/>
        </w:rPr>
        <w:t>7.3</w:t>
      </w:r>
      <w:r w:rsidRPr="00044BC7">
        <w:rPr>
          <w:lang w:val="fr-FR"/>
        </w:rPr>
        <w:tab/>
        <w:t>Le Comité rappelle que l’hospitalisation et le traitement en établissement psychiatrique sans consentement constituent une forme de privation de liberté qui relève des dispositions de l’article 9 du Pacte</w:t>
      </w:r>
      <w:r w:rsidRPr="00044BC7">
        <w:rPr>
          <w:rStyle w:val="Appelnotedebasdep"/>
        </w:rPr>
        <w:footnoteReference w:id="14"/>
      </w:r>
      <w:r w:rsidRPr="00044BC7">
        <w:rPr>
          <w:lang w:val="fr-FR"/>
        </w:rPr>
        <w:t>. Il rappelle également qu’aux termes du paragraphe 1 de l’article 9, la privation de liberté ne doit pas être arbitraire et doit s’effectuer conformément à la loi</w:t>
      </w:r>
      <w:r w:rsidRPr="00044BC7">
        <w:rPr>
          <w:rStyle w:val="Appelnotedebasdep"/>
        </w:rPr>
        <w:footnoteReference w:id="15"/>
      </w:r>
      <w:r w:rsidRPr="00044BC7">
        <w:rPr>
          <w:lang w:val="fr-FR"/>
        </w:rPr>
        <w:t>. De plus, le paragraphe</w:t>
      </w:r>
      <w:r w:rsidRPr="00044BC7">
        <w:rPr>
          <w:lang w:val="fr-FR"/>
        </w:rPr>
        <w:t> </w:t>
      </w:r>
      <w:r w:rsidRPr="00044BC7">
        <w:rPr>
          <w:lang w:val="fr-FR"/>
        </w:rPr>
        <w:t>1 de l’article</w:t>
      </w:r>
      <w:r w:rsidRPr="00044BC7">
        <w:rPr>
          <w:lang w:val="fr-FR"/>
        </w:rPr>
        <w:t> </w:t>
      </w:r>
      <w:r w:rsidRPr="00044BC7">
        <w:rPr>
          <w:lang w:val="fr-FR"/>
        </w:rPr>
        <w:t>9 interdit l’arrestation et la détention arbitraires, ainsi que la privation de liberté illégale, c’est-à-dire la privation de liberté qui n’est pas imposée pour les motifs et selon la procédure prévus par la loi</w:t>
      </w:r>
      <w:r w:rsidRPr="00044BC7">
        <w:rPr>
          <w:rStyle w:val="Appelnotedebasdep"/>
        </w:rPr>
        <w:footnoteReference w:id="16"/>
      </w:r>
      <w:r w:rsidRPr="00044BC7">
        <w:rPr>
          <w:lang w:val="fr-FR"/>
        </w:rPr>
        <w:t>. Les deux interdictions se chevauchent en ce</w:t>
      </w:r>
      <w:r w:rsidRPr="00044BC7">
        <w:rPr>
          <w:spacing w:val="-1"/>
          <w:lang w:val="fr-FR"/>
        </w:rPr>
        <w:t xml:space="preserve"> qu’une arrestation ou une détention peut être à la fois arbitraire et illégale</w:t>
      </w:r>
      <w:r w:rsidRPr="00044BC7">
        <w:rPr>
          <w:rStyle w:val="Appelnotedebasdep"/>
          <w:spacing w:val="-1"/>
        </w:rPr>
        <w:footnoteReference w:id="17"/>
      </w:r>
      <w:r w:rsidRPr="00044BC7">
        <w:rPr>
          <w:spacing w:val="-1"/>
          <w:lang w:val="fr-FR"/>
        </w:rPr>
        <w:t xml:space="preserve">. Le Comité rappelle également que l’adjectif « arbitraire » n’est pas synonyme de « contraire </w:t>
      </w:r>
      <w:r w:rsidRPr="00044BC7">
        <w:rPr>
          <w:spacing w:val="-1"/>
          <w:lang w:val="fr-FR"/>
        </w:rPr>
        <w:lastRenderedPageBreak/>
        <w:t>à la loi » mais qu’il doit recevoir une interprétation plus large qui englobe le caractère inapproprié, l’injustice, l’absence de prévisibilité et le non-respect des garanties judiciaires</w:t>
      </w:r>
      <w:r w:rsidRPr="00044BC7">
        <w:rPr>
          <w:rStyle w:val="Appelnotedebasdep"/>
          <w:spacing w:val="-1"/>
        </w:rPr>
        <w:footnoteReference w:id="18"/>
      </w:r>
      <w:r w:rsidRPr="00044BC7">
        <w:rPr>
          <w:spacing w:val="-1"/>
          <w:lang w:val="fr-FR"/>
        </w:rPr>
        <w:t>.</w:t>
      </w:r>
    </w:p>
    <w:p w14:paraId="34B7EA5B" w14:textId="7E8F6907" w:rsidR="00CD04BD" w:rsidRPr="002325DF" w:rsidRDefault="00CD04BD" w:rsidP="00CD04BD">
      <w:pPr>
        <w:pStyle w:val="SingleTxtG"/>
      </w:pPr>
      <w:r w:rsidRPr="002325DF">
        <w:rPr>
          <w:lang w:val="fr-FR"/>
        </w:rPr>
        <w:t>7.4</w:t>
      </w:r>
      <w:r w:rsidRPr="002325DF">
        <w:rPr>
          <w:lang w:val="fr-FR"/>
        </w:rPr>
        <w:tab/>
        <w:t>Le Comité reconnaît que les autorités d</w:t>
      </w:r>
      <w:r>
        <w:rPr>
          <w:lang w:val="fr-FR"/>
        </w:rPr>
        <w:t>’</w:t>
      </w:r>
      <w:r w:rsidRPr="002325DF">
        <w:rPr>
          <w:lang w:val="fr-FR"/>
        </w:rPr>
        <w:t>un État peuvent estimer que l</w:t>
      </w:r>
      <w:r>
        <w:rPr>
          <w:lang w:val="fr-FR"/>
        </w:rPr>
        <w:t>’</w:t>
      </w:r>
      <w:r w:rsidRPr="002325DF">
        <w:rPr>
          <w:lang w:val="fr-FR"/>
        </w:rPr>
        <w:t>altération de la santé mentale d</w:t>
      </w:r>
      <w:r>
        <w:rPr>
          <w:lang w:val="fr-FR"/>
        </w:rPr>
        <w:t>’</w:t>
      </w:r>
      <w:r w:rsidRPr="002325DF">
        <w:rPr>
          <w:lang w:val="fr-FR"/>
        </w:rPr>
        <w:t>une personne est telle que la délivrance d</w:t>
      </w:r>
      <w:r>
        <w:rPr>
          <w:lang w:val="fr-FR"/>
        </w:rPr>
        <w:t>’</w:t>
      </w:r>
      <w:r w:rsidRPr="002325DF">
        <w:rPr>
          <w:lang w:val="fr-FR"/>
        </w:rPr>
        <w:t>un ordre d</w:t>
      </w:r>
      <w:r>
        <w:rPr>
          <w:lang w:val="fr-FR"/>
        </w:rPr>
        <w:t>’</w:t>
      </w:r>
      <w:r w:rsidRPr="002325DF">
        <w:rPr>
          <w:lang w:val="fr-FR"/>
        </w:rPr>
        <w:t>internement est indispensable pour éviter que la personne ne représente un danger pour elle-même ou pour autrui</w:t>
      </w:r>
      <w:r w:rsidRPr="00026BCE">
        <w:rPr>
          <w:rStyle w:val="Appelnotedebasdep"/>
        </w:rPr>
        <w:footnoteReference w:id="19"/>
      </w:r>
      <w:r w:rsidRPr="002325DF">
        <w:rPr>
          <w:lang w:val="fr-FR"/>
        </w:rPr>
        <w:t>, mais il considère que l</w:t>
      </w:r>
      <w:r>
        <w:rPr>
          <w:lang w:val="fr-FR"/>
        </w:rPr>
        <w:t>’</w:t>
      </w:r>
      <w:r w:rsidRPr="002325DF">
        <w:rPr>
          <w:lang w:val="fr-FR"/>
        </w:rPr>
        <w:t>hospitalisation sans consentement est une mesure qui ne doit être appliquée qu</w:t>
      </w:r>
      <w:r>
        <w:rPr>
          <w:lang w:val="fr-FR"/>
        </w:rPr>
        <w:t>’</w:t>
      </w:r>
      <w:r w:rsidRPr="002325DF">
        <w:rPr>
          <w:lang w:val="fr-FR"/>
        </w:rPr>
        <w:t>en dernier ressort et pour une durée aussi brève que possible, et qu</w:t>
      </w:r>
      <w:r>
        <w:rPr>
          <w:lang w:val="fr-FR"/>
        </w:rPr>
        <w:t>’</w:t>
      </w:r>
      <w:r w:rsidRPr="002325DF">
        <w:rPr>
          <w:lang w:val="fr-FR"/>
        </w:rPr>
        <w:t>elle doit être entourée de garanties de procédure et de fond suffisantes, établies par la loi</w:t>
      </w:r>
      <w:r w:rsidRPr="00026BCE">
        <w:rPr>
          <w:rStyle w:val="Appelnotedebasdep"/>
        </w:rPr>
        <w:footnoteReference w:id="20"/>
      </w:r>
      <w:r w:rsidRPr="002325DF">
        <w:rPr>
          <w:lang w:val="fr-FR"/>
        </w:rPr>
        <w:t>. Les</w:t>
      </w:r>
      <w:r>
        <w:rPr>
          <w:lang w:val="fr-FR"/>
        </w:rPr>
        <w:t> </w:t>
      </w:r>
      <w:r w:rsidRPr="002325DF">
        <w:rPr>
          <w:lang w:val="fr-FR"/>
        </w:rPr>
        <w:t>procédures doivent être de nature à garantir le respect des opinions des individus et permettre une représentation et une défense effectives de leurs souhaits et de leurs intérêts par un représentant</w:t>
      </w:r>
      <w:r w:rsidRPr="00026BCE">
        <w:rPr>
          <w:rStyle w:val="Appelnotedebasdep"/>
        </w:rPr>
        <w:footnoteReference w:id="21"/>
      </w:r>
      <w:r w:rsidRPr="002325DF">
        <w:rPr>
          <w:lang w:val="fr-FR"/>
        </w:rPr>
        <w:t>.</w:t>
      </w:r>
    </w:p>
    <w:p w14:paraId="0EA66CB2" w14:textId="5EBD23F5" w:rsidR="00CD04BD" w:rsidRPr="002325DF" w:rsidRDefault="00CD04BD" w:rsidP="00CD04BD">
      <w:pPr>
        <w:pStyle w:val="SingleTxtG"/>
      </w:pPr>
      <w:r w:rsidRPr="002325DF">
        <w:rPr>
          <w:lang w:val="fr-FR"/>
        </w:rPr>
        <w:t>7.5</w:t>
      </w:r>
      <w:r w:rsidRPr="002325DF">
        <w:rPr>
          <w:lang w:val="fr-FR"/>
        </w:rPr>
        <w:tab/>
        <w:t>Le Comité note qu</w:t>
      </w:r>
      <w:r>
        <w:rPr>
          <w:lang w:val="fr-FR"/>
        </w:rPr>
        <w:t>’</w:t>
      </w:r>
      <w:r w:rsidRPr="002325DF">
        <w:rPr>
          <w:lang w:val="fr-FR"/>
        </w:rPr>
        <w:t>en l</w:t>
      </w:r>
      <w:r>
        <w:rPr>
          <w:lang w:val="fr-FR"/>
        </w:rPr>
        <w:t>’</w:t>
      </w:r>
      <w:r w:rsidRPr="002325DF">
        <w:rPr>
          <w:lang w:val="fr-FR"/>
        </w:rPr>
        <w:t>espèce, l</w:t>
      </w:r>
      <w:r>
        <w:rPr>
          <w:lang w:val="fr-FR"/>
        </w:rPr>
        <w:t>’</w:t>
      </w:r>
      <w:r w:rsidRPr="002325DF">
        <w:rPr>
          <w:lang w:val="fr-FR"/>
        </w:rPr>
        <w:t>auteur ou ses avocats n</w:t>
      </w:r>
      <w:r>
        <w:rPr>
          <w:lang w:val="fr-FR"/>
        </w:rPr>
        <w:t>’</w:t>
      </w:r>
      <w:r w:rsidRPr="002325DF">
        <w:rPr>
          <w:lang w:val="fr-FR"/>
        </w:rPr>
        <w:t>ont été informés ni de la date de l</w:t>
      </w:r>
      <w:r>
        <w:rPr>
          <w:lang w:val="fr-FR"/>
        </w:rPr>
        <w:t>’</w:t>
      </w:r>
      <w:r w:rsidRPr="002325DF">
        <w:rPr>
          <w:lang w:val="fr-FR"/>
        </w:rPr>
        <w:t>audience ni du lieu où elle devait se tenir, et qu</w:t>
      </w:r>
      <w:r>
        <w:rPr>
          <w:lang w:val="fr-FR"/>
        </w:rPr>
        <w:t>’</w:t>
      </w:r>
      <w:r w:rsidRPr="002325DF">
        <w:rPr>
          <w:lang w:val="fr-FR"/>
        </w:rPr>
        <w:t>ils n</w:t>
      </w:r>
      <w:r>
        <w:rPr>
          <w:lang w:val="fr-FR"/>
        </w:rPr>
        <w:t>’</w:t>
      </w:r>
      <w:r w:rsidRPr="002325DF">
        <w:rPr>
          <w:lang w:val="fr-FR"/>
        </w:rPr>
        <w:t>ont pas pu assister aux audiences tenues en première et deuxième instance, que pendant la procédure engagée contre l</w:t>
      </w:r>
      <w:r>
        <w:rPr>
          <w:lang w:val="fr-FR"/>
        </w:rPr>
        <w:t>’</w:t>
      </w:r>
      <w:r w:rsidRPr="002325DF">
        <w:rPr>
          <w:lang w:val="fr-FR"/>
        </w:rPr>
        <w:t>auteur, on ne l</w:t>
      </w:r>
      <w:r>
        <w:rPr>
          <w:lang w:val="fr-FR"/>
        </w:rPr>
        <w:t>’</w:t>
      </w:r>
      <w:r w:rsidRPr="002325DF">
        <w:rPr>
          <w:lang w:val="fr-FR"/>
        </w:rPr>
        <w:t>a pas autorisé à se faire examiner par d</w:t>
      </w:r>
      <w:r>
        <w:rPr>
          <w:lang w:val="fr-FR"/>
        </w:rPr>
        <w:t>’</w:t>
      </w:r>
      <w:r w:rsidRPr="002325DF">
        <w:rPr>
          <w:lang w:val="fr-FR"/>
        </w:rPr>
        <w:t>autres professionnels de la santé, que l</w:t>
      </w:r>
      <w:r>
        <w:rPr>
          <w:lang w:val="fr-FR"/>
        </w:rPr>
        <w:t>’</w:t>
      </w:r>
      <w:r w:rsidRPr="002325DF">
        <w:rPr>
          <w:lang w:val="fr-FR"/>
        </w:rPr>
        <w:t>ordonnance d</w:t>
      </w:r>
      <w:r>
        <w:rPr>
          <w:lang w:val="fr-FR"/>
        </w:rPr>
        <w:t>’</w:t>
      </w:r>
      <w:r w:rsidRPr="002325DF">
        <w:rPr>
          <w:lang w:val="fr-FR"/>
        </w:rPr>
        <w:t>internement sans consentement était illimitée dans le temps et que cette mesure n</w:t>
      </w:r>
      <w:r>
        <w:rPr>
          <w:lang w:val="fr-FR"/>
        </w:rPr>
        <w:t>’</w:t>
      </w:r>
      <w:r w:rsidRPr="002325DF">
        <w:rPr>
          <w:lang w:val="fr-FR"/>
        </w:rPr>
        <w:t>était pas soumise à un réexamen périodique. Constatant que l</w:t>
      </w:r>
      <w:r>
        <w:rPr>
          <w:lang w:val="fr-FR"/>
        </w:rPr>
        <w:t>’</w:t>
      </w:r>
      <w:r w:rsidRPr="002325DF">
        <w:rPr>
          <w:lang w:val="fr-FR"/>
        </w:rPr>
        <w:t>État partie n</w:t>
      </w:r>
      <w:r>
        <w:rPr>
          <w:lang w:val="fr-FR"/>
        </w:rPr>
        <w:t>’</w:t>
      </w:r>
      <w:r w:rsidRPr="002325DF">
        <w:rPr>
          <w:lang w:val="fr-FR"/>
        </w:rPr>
        <w:t>a fourni aucune information à ce sujet et s</w:t>
      </w:r>
      <w:r>
        <w:rPr>
          <w:lang w:val="fr-FR"/>
        </w:rPr>
        <w:t>’</w:t>
      </w:r>
      <w:r w:rsidRPr="002325DF">
        <w:rPr>
          <w:lang w:val="fr-FR"/>
        </w:rPr>
        <w:t>appuyant sur l</w:t>
      </w:r>
      <w:r>
        <w:rPr>
          <w:lang w:val="fr-FR"/>
        </w:rPr>
        <w:t>’</w:t>
      </w:r>
      <w:r w:rsidRPr="002325DF">
        <w:rPr>
          <w:lang w:val="fr-FR"/>
        </w:rPr>
        <w:t>examen des renseignements communiqués par l</w:t>
      </w:r>
      <w:r>
        <w:rPr>
          <w:lang w:val="fr-FR"/>
        </w:rPr>
        <w:t>’</w:t>
      </w:r>
      <w:r w:rsidRPr="002325DF">
        <w:rPr>
          <w:lang w:val="fr-FR"/>
        </w:rPr>
        <w:t>auteur, le Comité considère que les droits que celui-ci tire de l</w:t>
      </w:r>
      <w:r>
        <w:rPr>
          <w:lang w:val="fr-FR"/>
        </w:rPr>
        <w:t>’</w:t>
      </w:r>
      <w:r w:rsidRPr="002325DF">
        <w:rPr>
          <w:lang w:val="fr-FR"/>
        </w:rPr>
        <w:t>article</w:t>
      </w:r>
      <w:r>
        <w:rPr>
          <w:lang w:val="fr-FR"/>
        </w:rPr>
        <w:t> </w:t>
      </w:r>
      <w:r w:rsidRPr="002325DF">
        <w:rPr>
          <w:lang w:val="fr-FR"/>
        </w:rPr>
        <w:t>9 ont été violés</w:t>
      </w:r>
      <w:r w:rsidRPr="00026BCE">
        <w:rPr>
          <w:rStyle w:val="Appelnotedebasdep"/>
        </w:rPr>
        <w:footnoteReference w:id="22"/>
      </w:r>
      <w:r w:rsidRPr="002325DF">
        <w:rPr>
          <w:lang w:val="fr-FR"/>
        </w:rPr>
        <w:t>.</w:t>
      </w:r>
    </w:p>
    <w:p w14:paraId="21A48EA8" w14:textId="191955EF" w:rsidR="00CD04BD" w:rsidRPr="002325DF" w:rsidRDefault="00CD04BD" w:rsidP="00CD04BD">
      <w:pPr>
        <w:pStyle w:val="SingleTxtG"/>
      </w:pPr>
      <w:r w:rsidRPr="002325DF">
        <w:rPr>
          <w:lang w:val="fr-FR"/>
        </w:rPr>
        <w:t>7.6</w:t>
      </w:r>
      <w:r w:rsidRPr="002325DF">
        <w:rPr>
          <w:lang w:val="fr-FR"/>
        </w:rPr>
        <w:tab/>
        <w:t>En ce qui concerne le grief que l</w:t>
      </w:r>
      <w:r>
        <w:rPr>
          <w:lang w:val="fr-FR"/>
        </w:rPr>
        <w:t>’</w:t>
      </w:r>
      <w:r w:rsidRPr="002325DF">
        <w:rPr>
          <w:lang w:val="fr-FR"/>
        </w:rPr>
        <w:t>auteur tire de l</w:t>
      </w:r>
      <w:r>
        <w:rPr>
          <w:lang w:val="fr-FR"/>
        </w:rPr>
        <w:t>’</w:t>
      </w:r>
      <w:r w:rsidRPr="002325DF">
        <w:rPr>
          <w:lang w:val="fr-FR"/>
        </w:rPr>
        <w:t>article</w:t>
      </w:r>
      <w:r>
        <w:rPr>
          <w:lang w:val="fr-FR"/>
        </w:rPr>
        <w:t> </w:t>
      </w:r>
      <w:r w:rsidRPr="002325DF">
        <w:rPr>
          <w:lang w:val="fr-FR"/>
        </w:rPr>
        <w:t>7</w:t>
      </w:r>
      <w:r>
        <w:rPr>
          <w:lang w:val="fr-FR"/>
        </w:rPr>
        <w:t xml:space="preserve"> du Pacte</w:t>
      </w:r>
      <w:r w:rsidRPr="002325DF">
        <w:rPr>
          <w:lang w:val="fr-FR"/>
        </w:rPr>
        <w:t>, le Comité doit déterminer si l</w:t>
      </w:r>
      <w:r>
        <w:rPr>
          <w:lang w:val="fr-FR"/>
        </w:rPr>
        <w:t>’</w:t>
      </w:r>
      <w:r w:rsidRPr="002325DF">
        <w:rPr>
          <w:lang w:val="fr-FR"/>
        </w:rPr>
        <w:t>hospitalisation sans consentement a constitué une peine ou un traitement inhumain et dégradant. Il fait observer que, si l</w:t>
      </w:r>
      <w:r>
        <w:rPr>
          <w:lang w:val="fr-FR"/>
        </w:rPr>
        <w:t>’</w:t>
      </w:r>
      <w:r w:rsidRPr="002325DF">
        <w:rPr>
          <w:lang w:val="fr-FR"/>
        </w:rPr>
        <w:t>hospitalisation sans consentement peut être une mesure de dernier recours et, dans certains cas, se justifier pour protéger la vie et la santé des personnes, l</w:t>
      </w:r>
      <w:r>
        <w:rPr>
          <w:lang w:val="fr-FR"/>
        </w:rPr>
        <w:t>’</w:t>
      </w:r>
      <w:r w:rsidRPr="002325DF">
        <w:rPr>
          <w:lang w:val="fr-FR"/>
        </w:rPr>
        <w:t>hospitalisation illégale et arbitraire peut causer des souffrances psychiques et physiques et, de ce fait, constituer une peine ou un traitement inhumain et dégradant au sens de l</w:t>
      </w:r>
      <w:r>
        <w:rPr>
          <w:lang w:val="fr-FR"/>
        </w:rPr>
        <w:t>’</w:t>
      </w:r>
      <w:r w:rsidRPr="002325DF">
        <w:rPr>
          <w:lang w:val="fr-FR"/>
        </w:rPr>
        <w:t>article</w:t>
      </w:r>
      <w:r>
        <w:rPr>
          <w:lang w:val="fr-FR"/>
        </w:rPr>
        <w:t> </w:t>
      </w:r>
      <w:r w:rsidRPr="002325DF">
        <w:rPr>
          <w:lang w:val="fr-FR"/>
        </w:rPr>
        <w:t>7.</w:t>
      </w:r>
    </w:p>
    <w:p w14:paraId="41017A07" w14:textId="06DE71E1" w:rsidR="00CD04BD" w:rsidRPr="002325DF" w:rsidRDefault="00CD04BD" w:rsidP="00CD04BD">
      <w:pPr>
        <w:pStyle w:val="SingleTxtG"/>
      </w:pPr>
      <w:r w:rsidRPr="002325DF">
        <w:rPr>
          <w:lang w:val="fr-FR"/>
        </w:rPr>
        <w:t>7.7</w:t>
      </w:r>
      <w:r w:rsidRPr="002325DF">
        <w:rPr>
          <w:lang w:val="fr-FR"/>
        </w:rPr>
        <w:tab/>
        <w:t>Le Comité prend note de l</w:t>
      </w:r>
      <w:r>
        <w:rPr>
          <w:lang w:val="fr-FR"/>
        </w:rPr>
        <w:t>’</w:t>
      </w:r>
      <w:r w:rsidRPr="002325DF">
        <w:rPr>
          <w:lang w:val="fr-FR"/>
        </w:rPr>
        <w:t>argument de l</w:t>
      </w:r>
      <w:r>
        <w:rPr>
          <w:lang w:val="fr-FR"/>
        </w:rPr>
        <w:t>’</w:t>
      </w:r>
      <w:r w:rsidRPr="002325DF">
        <w:rPr>
          <w:lang w:val="fr-FR"/>
        </w:rPr>
        <w:t>auteur qui soutient que, s</w:t>
      </w:r>
      <w:r>
        <w:rPr>
          <w:lang w:val="fr-FR"/>
        </w:rPr>
        <w:t>’</w:t>
      </w:r>
      <w:r w:rsidRPr="002325DF">
        <w:rPr>
          <w:lang w:val="fr-FR"/>
        </w:rPr>
        <w:t>il a été interné dans une clinique psychiatrique, c</w:t>
      </w:r>
      <w:r>
        <w:rPr>
          <w:lang w:val="fr-FR"/>
        </w:rPr>
        <w:t>’</w:t>
      </w:r>
      <w:r w:rsidRPr="002325DF">
        <w:rPr>
          <w:lang w:val="fr-FR"/>
        </w:rPr>
        <w:t>est parce qu</w:t>
      </w:r>
      <w:r>
        <w:rPr>
          <w:lang w:val="fr-FR"/>
        </w:rPr>
        <w:t>’</w:t>
      </w:r>
      <w:r w:rsidRPr="002325DF">
        <w:rPr>
          <w:lang w:val="fr-FR"/>
        </w:rPr>
        <w:t>il a ouvertement critiqué les autorités régionales chargées des établissements médicaux de la région de Vitebsk, dont le médecin</w:t>
      </w:r>
      <w:r>
        <w:rPr>
          <w:lang w:val="fr-FR"/>
        </w:rPr>
        <w:noBreakHyphen/>
      </w:r>
      <w:r w:rsidRPr="002325DF">
        <w:rPr>
          <w:lang w:val="fr-FR"/>
        </w:rPr>
        <w:t>chef de la clinique</w:t>
      </w:r>
      <w:r>
        <w:rPr>
          <w:lang w:val="fr-FR"/>
        </w:rPr>
        <w:t xml:space="preserve"> de Vitebsk</w:t>
      </w:r>
      <w:r w:rsidRPr="002325DF">
        <w:rPr>
          <w:lang w:val="fr-FR"/>
        </w:rPr>
        <w:t>, M. E. V., et son adjointe, P.</w:t>
      </w:r>
      <w:r>
        <w:rPr>
          <w:lang w:val="fr-FR"/>
        </w:rPr>
        <w:t> </w:t>
      </w:r>
      <w:r w:rsidRPr="002325DF">
        <w:rPr>
          <w:lang w:val="fr-FR"/>
        </w:rPr>
        <w:t>I.</w:t>
      </w:r>
      <w:r>
        <w:rPr>
          <w:lang w:val="fr-FR"/>
        </w:rPr>
        <w:t> </w:t>
      </w:r>
      <w:r w:rsidRPr="002325DF">
        <w:rPr>
          <w:lang w:val="fr-FR"/>
        </w:rPr>
        <w:t>V. (voir par.</w:t>
      </w:r>
      <w:r>
        <w:rPr>
          <w:lang w:val="fr-FR"/>
        </w:rPr>
        <w:t> </w:t>
      </w:r>
      <w:r w:rsidRPr="002325DF">
        <w:rPr>
          <w:lang w:val="fr-FR"/>
        </w:rPr>
        <w:t>2.1 ci</w:t>
      </w:r>
      <w:r>
        <w:rPr>
          <w:lang w:val="fr-FR"/>
        </w:rPr>
        <w:noBreakHyphen/>
      </w:r>
      <w:r w:rsidRPr="002325DF">
        <w:rPr>
          <w:lang w:val="fr-FR"/>
        </w:rPr>
        <w:t xml:space="preserve">dessus). Le Comité prend également note du fait </w:t>
      </w:r>
      <w:r>
        <w:rPr>
          <w:lang w:val="fr-FR"/>
        </w:rPr>
        <w:t>− </w:t>
      </w:r>
      <w:r w:rsidRPr="002325DF">
        <w:rPr>
          <w:lang w:val="fr-FR"/>
        </w:rPr>
        <w:t>que l</w:t>
      </w:r>
      <w:r>
        <w:rPr>
          <w:lang w:val="fr-FR"/>
        </w:rPr>
        <w:t>’</w:t>
      </w:r>
      <w:r w:rsidRPr="002325DF">
        <w:rPr>
          <w:lang w:val="fr-FR"/>
        </w:rPr>
        <w:t>État partie ne conteste pas</w:t>
      </w:r>
      <w:r>
        <w:rPr>
          <w:lang w:val="fr-FR"/>
        </w:rPr>
        <w:t xml:space="preserve"> − </w:t>
      </w:r>
      <w:r w:rsidRPr="002325DF">
        <w:rPr>
          <w:lang w:val="fr-FR"/>
        </w:rPr>
        <w:t>que l</w:t>
      </w:r>
      <w:r>
        <w:rPr>
          <w:lang w:val="fr-FR"/>
        </w:rPr>
        <w:t>’</w:t>
      </w:r>
      <w:r w:rsidRPr="002325DF">
        <w:rPr>
          <w:lang w:val="fr-FR"/>
        </w:rPr>
        <w:t>auteur a soumis de nombreuses requêtes aux tribunaux et au Bureau du Procureur. Le</w:t>
      </w:r>
      <w:r>
        <w:rPr>
          <w:lang w:val="fr-FR"/>
        </w:rPr>
        <w:t> </w:t>
      </w:r>
      <w:r w:rsidRPr="002325DF">
        <w:rPr>
          <w:lang w:val="fr-FR"/>
        </w:rPr>
        <w:t>Comité relève en outre qu</w:t>
      </w:r>
      <w:r>
        <w:rPr>
          <w:lang w:val="fr-FR"/>
        </w:rPr>
        <w:t xml:space="preserve">’un examen a été réalisé par une commission indépendante qui, dans son </w:t>
      </w:r>
      <w:r w:rsidRPr="002325DF">
        <w:rPr>
          <w:lang w:val="fr-FR"/>
        </w:rPr>
        <w:t>rapport</w:t>
      </w:r>
      <w:r>
        <w:rPr>
          <w:lang w:val="fr-FR"/>
        </w:rPr>
        <w:t xml:space="preserve"> en date</w:t>
      </w:r>
      <w:r w:rsidRPr="002325DF">
        <w:rPr>
          <w:lang w:val="fr-FR"/>
        </w:rPr>
        <w:t xml:space="preserve"> du 14</w:t>
      </w:r>
      <w:r>
        <w:rPr>
          <w:lang w:val="fr-FR"/>
        </w:rPr>
        <w:t> </w:t>
      </w:r>
      <w:r w:rsidRPr="002325DF">
        <w:rPr>
          <w:lang w:val="fr-FR"/>
        </w:rPr>
        <w:t>avril 2014 (voir par.</w:t>
      </w:r>
      <w:r>
        <w:rPr>
          <w:lang w:val="fr-FR"/>
        </w:rPr>
        <w:t> </w:t>
      </w:r>
      <w:r w:rsidRPr="002325DF">
        <w:rPr>
          <w:lang w:val="fr-FR"/>
        </w:rPr>
        <w:t xml:space="preserve">5.2 ci-dessus), a </w:t>
      </w:r>
      <w:r>
        <w:rPr>
          <w:lang w:val="fr-FR"/>
        </w:rPr>
        <w:t xml:space="preserve">indiqué </w:t>
      </w:r>
      <w:r w:rsidRPr="002325DF">
        <w:rPr>
          <w:lang w:val="fr-FR"/>
        </w:rPr>
        <w:t>que l</w:t>
      </w:r>
      <w:r>
        <w:rPr>
          <w:lang w:val="fr-FR"/>
        </w:rPr>
        <w:t>’</w:t>
      </w:r>
      <w:r w:rsidRPr="002325DF">
        <w:rPr>
          <w:lang w:val="fr-FR"/>
        </w:rPr>
        <w:t>auteur ne représentait pas un danger pour lui-même ou pour autrui et que son hospitalisation n</w:t>
      </w:r>
      <w:r>
        <w:rPr>
          <w:lang w:val="fr-FR"/>
        </w:rPr>
        <w:t>’</w:t>
      </w:r>
      <w:r w:rsidRPr="002325DF">
        <w:rPr>
          <w:lang w:val="fr-FR"/>
        </w:rPr>
        <w:t>était pas nécessaire. Le Comité relève que, dans leurs conclusions, le tribunal de district et le tribunal régional de Vitebsk ne citent aucun exemple de comportement montrant que l</w:t>
      </w:r>
      <w:r>
        <w:rPr>
          <w:lang w:val="fr-FR"/>
        </w:rPr>
        <w:t>’</w:t>
      </w:r>
      <w:r w:rsidRPr="002325DF">
        <w:rPr>
          <w:lang w:val="fr-FR"/>
        </w:rPr>
        <w:t>auteur représentait un danger pour lui-même ou pour autrui</w:t>
      </w:r>
      <w:r>
        <w:rPr>
          <w:lang w:val="fr-FR"/>
        </w:rPr>
        <w:t xml:space="preserve"> et n’indiquent pas que l’hospitalisation involontaire ait été une mesure indispensable en dernier recours</w:t>
      </w:r>
      <w:r w:rsidRPr="002325DF">
        <w:rPr>
          <w:lang w:val="fr-FR"/>
        </w:rPr>
        <w:t xml:space="preserve">. Compte tenu des informations dont il dispose, le Comité conclut que la décision </w:t>
      </w:r>
      <w:r>
        <w:rPr>
          <w:lang w:val="fr-FR"/>
        </w:rPr>
        <w:t>qui a été prise d’interner</w:t>
      </w:r>
      <w:r w:rsidRPr="002325DF">
        <w:rPr>
          <w:lang w:val="fr-FR"/>
        </w:rPr>
        <w:t xml:space="preserve"> </w:t>
      </w:r>
      <w:r>
        <w:rPr>
          <w:lang w:val="fr-FR"/>
        </w:rPr>
        <w:t xml:space="preserve">l’auteur </w:t>
      </w:r>
      <w:r w:rsidRPr="002325DF">
        <w:rPr>
          <w:lang w:val="fr-FR"/>
        </w:rPr>
        <w:t xml:space="preserve">dans une clinique psychiatrique a causé </w:t>
      </w:r>
      <w:r>
        <w:rPr>
          <w:lang w:val="fr-FR"/>
        </w:rPr>
        <w:t xml:space="preserve">à celui-ci </w:t>
      </w:r>
      <w:r w:rsidRPr="002325DF">
        <w:rPr>
          <w:lang w:val="fr-FR"/>
        </w:rPr>
        <w:t>des angoisses et des souffrances psychiques considérables du fait qu</w:t>
      </w:r>
      <w:r>
        <w:rPr>
          <w:lang w:val="fr-FR"/>
        </w:rPr>
        <w:t>’</w:t>
      </w:r>
      <w:r w:rsidRPr="002325DF">
        <w:rPr>
          <w:lang w:val="fr-FR"/>
        </w:rPr>
        <w:t>il craignait constamment pour sa santé et sa liberté</w:t>
      </w:r>
      <w:r w:rsidRPr="00026BCE">
        <w:rPr>
          <w:rStyle w:val="Appelnotedebasdep"/>
        </w:rPr>
        <w:footnoteReference w:id="23"/>
      </w:r>
      <w:r w:rsidRPr="002325DF">
        <w:rPr>
          <w:lang w:val="fr-FR"/>
        </w:rPr>
        <w:t>. En</w:t>
      </w:r>
      <w:r>
        <w:rPr>
          <w:lang w:val="fr-FR"/>
        </w:rPr>
        <w:t> </w:t>
      </w:r>
      <w:r w:rsidRPr="002325DF">
        <w:rPr>
          <w:lang w:val="fr-FR"/>
        </w:rPr>
        <w:t>conséquence, le Comité estime qu</w:t>
      </w:r>
      <w:r>
        <w:rPr>
          <w:lang w:val="fr-FR"/>
        </w:rPr>
        <w:t>’</w:t>
      </w:r>
      <w:r w:rsidRPr="002325DF">
        <w:rPr>
          <w:lang w:val="fr-FR"/>
        </w:rPr>
        <w:t>en l</w:t>
      </w:r>
      <w:r>
        <w:rPr>
          <w:lang w:val="fr-FR"/>
        </w:rPr>
        <w:t>’</w:t>
      </w:r>
      <w:r w:rsidRPr="002325DF">
        <w:rPr>
          <w:lang w:val="fr-FR"/>
        </w:rPr>
        <w:t>espèce, l</w:t>
      </w:r>
      <w:r>
        <w:rPr>
          <w:lang w:val="fr-FR"/>
        </w:rPr>
        <w:t>’</w:t>
      </w:r>
      <w:r w:rsidRPr="002325DF">
        <w:rPr>
          <w:lang w:val="fr-FR"/>
        </w:rPr>
        <w:t>hospitalisation sans consentement de l</w:t>
      </w:r>
      <w:r>
        <w:rPr>
          <w:lang w:val="fr-FR"/>
        </w:rPr>
        <w:t>’</w:t>
      </w:r>
      <w:r w:rsidRPr="002325DF">
        <w:rPr>
          <w:lang w:val="fr-FR"/>
        </w:rPr>
        <w:t>auteur et les traitements médicaux qu</w:t>
      </w:r>
      <w:r>
        <w:rPr>
          <w:lang w:val="fr-FR"/>
        </w:rPr>
        <w:t>’</w:t>
      </w:r>
      <w:r w:rsidRPr="002325DF">
        <w:rPr>
          <w:lang w:val="fr-FR"/>
        </w:rPr>
        <w:t>on lui a imposés contre son gré ont constitué des peines ou des traitements inhumains et dégradants au sens de l</w:t>
      </w:r>
      <w:r>
        <w:rPr>
          <w:lang w:val="fr-FR"/>
        </w:rPr>
        <w:t>’</w:t>
      </w:r>
      <w:r w:rsidRPr="002325DF">
        <w:rPr>
          <w:lang w:val="fr-FR"/>
        </w:rPr>
        <w:t>article</w:t>
      </w:r>
      <w:r>
        <w:rPr>
          <w:lang w:val="fr-FR"/>
        </w:rPr>
        <w:t> </w:t>
      </w:r>
      <w:r w:rsidRPr="002325DF">
        <w:rPr>
          <w:lang w:val="fr-FR"/>
        </w:rPr>
        <w:t>7 du Pacte.</w:t>
      </w:r>
    </w:p>
    <w:p w14:paraId="70B344D1" w14:textId="35A548F2" w:rsidR="00CD04BD" w:rsidRPr="002325DF" w:rsidRDefault="00CD04BD" w:rsidP="00CD04BD">
      <w:pPr>
        <w:pStyle w:val="SingleTxtG"/>
      </w:pPr>
      <w:r w:rsidRPr="002325DF">
        <w:rPr>
          <w:lang w:val="fr-FR"/>
        </w:rPr>
        <w:t>7.8</w:t>
      </w:r>
      <w:r w:rsidRPr="002325DF">
        <w:rPr>
          <w:lang w:val="fr-FR"/>
        </w:rPr>
        <w:tab/>
        <w:t>Le Comité prend note du grief de l</w:t>
      </w:r>
      <w:r>
        <w:rPr>
          <w:lang w:val="fr-FR"/>
        </w:rPr>
        <w:t>’</w:t>
      </w:r>
      <w:r w:rsidRPr="002325DF">
        <w:rPr>
          <w:lang w:val="fr-FR"/>
        </w:rPr>
        <w:t>auteur selon lequel son droit à ce que sa cause soit entendue équitablement et publiquement a été violé puisque la première audience du 21</w:t>
      </w:r>
      <w:r>
        <w:rPr>
          <w:lang w:val="fr-FR"/>
        </w:rPr>
        <w:t> </w:t>
      </w:r>
      <w:r w:rsidRPr="002325DF">
        <w:rPr>
          <w:lang w:val="fr-FR"/>
        </w:rPr>
        <w:t>août 2013, l</w:t>
      </w:r>
      <w:r>
        <w:rPr>
          <w:lang w:val="fr-FR"/>
        </w:rPr>
        <w:t>’audience d’</w:t>
      </w:r>
      <w:r w:rsidRPr="002325DF">
        <w:rPr>
          <w:lang w:val="fr-FR"/>
        </w:rPr>
        <w:t xml:space="preserve">examen du recours interjeté par la suite, qui a eu lieu le 12 septembre 2013, et </w:t>
      </w:r>
      <w:r>
        <w:rPr>
          <w:lang w:val="fr-FR"/>
        </w:rPr>
        <w:t>l’audience relative</w:t>
      </w:r>
      <w:r w:rsidRPr="002325DF">
        <w:rPr>
          <w:lang w:val="fr-FR"/>
        </w:rPr>
        <w:t xml:space="preserve"> à sa demande d</w:t>
      </w:r>
      <w:r>
        <w:rPr>
          <w:lang w:val="fr-FR"/>
        </w:rPr>
        <w:t>’</w:t>
      </w:r>
      <w:r w:rsidRPr="002325DF">
        <w:rPr>
          <w:lang w:val="fr-FR"/>
        </w:rPr>
        <w:t>examen au titre de la procédure de contrôle se sont tou</w:t>
      </w:r>
      <w:r>
        <w:rPr>
          <w:lang w:val="fr-FR"/>
        </w:rPr>
        <w:t>te</w:t>
      </w:r>
      <w:r w:rsidRPr="002325DF">
        <w:rPr>
          <w:lang w:val="fr-FR"/>
        </w:rPr>
        <w:t>s déroulé</w:t>
      </w:r>
      <w:r>
        <w:rPr>
          <w:lang w:val="fr-FR"/>
        </w:rPr>
        <w:t>e</w:t>
      </w:r>
      <w:r w:rsidRPr="002325DF">
        <w:rPr>
          <w:lang w:val="fr-FR"/>
        </w:rPr>
        <w:t xml:space="preserve">s à huis clos, et que </w:t>
      </w:r>
      <w:r>
        <w:rPr>
          <w:lang w:val="fr-FR"/>
        </w:rPr>
        <w:t xml:space="preserve">ni </w:t>
      </w:r>
      <w:r w:rsidRPr="002325DF">
        <w:rPr>
          <w:lang w:val="fr-FR"/>
        </w:rPr>
        <w:t xml:space="preserve">ses avocats </w:t>
      </w:r>
      <w:r>
        <w:rPr>
          <w:lang w:val="fr-FR"/>
        </w:rPr>
        <w:t xml:space="preserve">ni </w:t>
      </w:r>
      <w:r w:rsidRPr="002325DF">
        <w:rPr>
          <w:lang w:val="fr-FR"/>
        </w:rPr>
        <w:t>lui-même n</w:t>
      </w:r>
      <w:r>
        <w:rPr>
          <w:lang w:val="fr-FR"/>
        </w:rPr>
        <w:t>’</w:t>
      </w:r>
      <w:r w:rsidRPr="002325DF">
        <w:rPr>
          <w:lang w:val="fr-FR"/>
        </w:rPr>
        <w:t>y ont assisté alors qu</w:t>
      </w:r>
      <w:r>
        <w:rPr>
          <w:lang w:val="fr-FR"/>
        </w:rPr>
        <w:t>’</w:t>
      </w:r>
      <w:r w:rsidRPr="002325DF">
        <w:rPr>
          <w:lang w:val="fr-FR"/>
        </w:rPr>
        <w:t xml:space="preserve">ils </w:t>
      </w:r>
      <w:r w:rsidRPr="002325DF">
        <w:rPr>
          <w:lang w:val="fr-FR"/>
        </w:rPr>
        <w:lastRenderedPageBreak/>
        <w:t>avaient manifesté par écrit leur souhait d</w:t>
      </w:r>
      <w:r>
        <w:rPr>
          <w:lang w:val="fr-FR"/>
        </w:rPr>
        <w:t>’</w:t>
      </w:r>
      <w:r w:rsidRPr="002325DF">
        <w:rPr>
          <w:lang w:val="fr-FR"/>
        </w:rPr>
        <w:t xml:space="preserve">être présents. Le Comité fait observer </w:t>
      </w:r>
      <w:r>
        <w:rPr>
          <w:lang w:val="fr-FR"/>
        </w:rPr>
        <w:t xml:space="preserve">également </w:t>
      </w:r>
      <w:r w:rsidRPr="002325DF">
        <w:rPr>
          <w:lang w:val="fr-FR"/>
        </w:rPr>
        <w:t>que les prescriptions de l</w:t>
      </w:r>
      <w:r>
        <w:rPr>
          <w:lang w:val="fr-FR"/>
        </w:rPr>
        <w:t>’</w:t>
      </w:r>
      <w:r w:rsidRPr="002325DF">
        <w:rPr>
          <w:lang w:val="fr-FR"/>
        </w:rPr>
        <w:t>article</w:t>
      </w:r>
      <w:r>
        <w:rPr>
          <w:lang w:val="fr-FR"/>
        </w:rPr>
        <w:t> </w:t>
      </w:r>
      <w:r w:rsidRPr="002325DF">
        <w:rPr>
          <w:lang w:val="fr-FR"/>
        </w:rPr>
        <w:t>14 (par.</w:t>
      </w:r>
      <w:r>
        <w:rPr>
          <w:lang w:val="fr-FR"/>
        </w:rPr>
        <w:t> </w:t>
      </w:r>
      <w:r w:rsidRPr="002325DF">
        <w:rPr>
          <w:lang w:val="fr-FR"/>
        </w:rPr>
        <w:t>1) du Pacte s</w:t>
      </w:r>
      <w:r>
        <w:rPr>
          <w:lang w:val="fr-FR"/>
        </w:rPr>
        <w:t>’</w:t>
      </w:r>
      <w:r w:rsidRPr="002325DF">
        <w:rPr>
          <w:lang w:val="fr-FR"/>
        </w:rPr>
        <w:t>appliquent généralement aux affaires pénales comme aux procédures civiles, et que la notion de droit à un procès équitable peut également être étendue à des mesures de nature pénale s</w:t>
      </w:r>
      <w:r>
        <w:rPr>
          <w:lang w:val="fr-FR"/>
        </w:rPr>
        <w:t>’</w:t>
      </w:r>
      <w:r w:rsidRPr="002325DF">
        <w:rPr>
          <w:lang w:val="fr-FR"/>
        </w:rPr>
        <w:t>agissant de sanctions qui, indépendamment de leur qualification en droit interne, doivent être considérées comme pénales en raison de leur finalité, de leur caractère ou de leur sévérité</w:t>
      </w:r>
      <w:r w:rsidRPr="00026BCE">
        <w:rPr>
          <w:rStyle w:val="Appelnotedebasdep"/>
        </w:rPr>
        <w:footnoteReference w:id="24"/>
      </w:r>
      <w:r w:rsidRPr="002325DF">
        <w:rPr>
          <w:lang w:val="fr-FR"/>
        </w:rPr>
        <w:t>. Le Comité considère que certains régimes de détention qui aboutissent à un internement comme cela a été le cas dans la présente affaire visent à contourner les contrôles instaurés par les règles de procédure pénale. En l</w:t>
      </w:r>
      <w:r>
        <w:rPr>
          <w:lang w:val="fr-FR"/>
        </w:rPr>
        <w:t>’</w:t>
      </w:r>
      <w:r w:rsidRPr="002325DF">
        <w:rPr>
          <w:lang w:val="fr-FR"/>
        </w:rPr>
        <w:t>espèce, le Comité prend note de l</w:t>
      </w:r>
      <w:r>
        <w:rPr>
          <w:lang w:val="fr-FR"/>
        </w:rPr>
        <w:t>’</w:t>
      </w:r>
      <w:r w:rsidRPr="002325DF">
        <w:rPr>
          <w:lang w:val="fr-FR"/>
        </w:rPr>
        <w:t>affirmation de l</w:t>
      </w:r>
      <w:r>
        <w:rPr>
          <w:lang w:val="fr-FR"/>
        </w:rPr>
        <w:t>’</w:t>
      </w:r>
      <w:r w:rsidRPr="002325DF">
        <w:rPr>
          <w:lang w:val="fr-FR"/>
        </w:rPr>
        <w:t>auteur selon laquelle l</w:t>
      </w:r>
      <w:r>
        <w:rPr>
          <w:lang w:val="fr-FR"/>
        </w:rPr>
        <w:t>’</w:t>
      </w:r>
      <w:r w:rsidRPr="002325DF">
        <w:rPr>
          <w:lang w:val="fr-FR"/>
        </w:rPr>
        <w:t xml:space="preserve">hospitalisation sans consentement </w:t>
      </w:r>
      <w:r>
        <w:rPr>
          <w:lang w:val="fr-FR"/>
        </w:rPr>
        <w:t>à laquelle il a été soumis</w:t>
      </w:r>
      <w:r w:rsidRPr="002325DF">
        <w:rPr>
          <w:lang w:val="fr-FR"/>
        </w:rPr>
        <w:t xml:space="preserve"> à la demande du procureur visait à le punir pour les critiques qu</w:t>
      </w:r>
      <w:r>
        <w:rPr>
          <w:lang w:val="fr-FR"/>
        </w:rPr>
        <w:t>’</w:t>
      </w:r>
      <w:r w:rsidRPr="002325DF">
        <w:rPr>
          <w:lang w:val="fr-FR"/>
        </w:rPr>
        <w:t>il avait formulées au sujet des autorités régionales. L</w:t>
      </w:r>
      <w:r>
        <w:rPr>
          <w:lang w:val="fr-FR"/>
        </w:rPr>
        <w:t>’</w:t>
      </w:r>
      <w:r w:rsidRPr="002325DF">
        <w:rPr>
          <w:lang w:val="fr-FR"/>
        </w:rPr>
        <w:t>État partie n</w:t>
      </w:r>
      <w:r>
        <w:rPr>
          <w:lang w:val="fr-FR"/>
        </w:rPr>
        <w:t>’</w:t>
      </w:r>
      <w:r w:rsidRPr="002325DF">
        <w:rPr>
          <w:lang w:val="fr-FR"/>
        </w:rPr>
        <w:t>ayant fourni aucune explication à ce sujet, le Comité considère qu</w:t>
      </w:r>
      <w:r>
        <w:rPr>
          <w:lang w:val="fr-FR"/>
        </w:rPr>
        <w:t>’</w:t>
      </w:r>
      <w:r w:rsidRPr="002325DF">
        <w:rPr>
          <w:lang w:val="fr-FR"/>
        </w:rPr>
        <w:t>il convient d</w:t>
      </w:r>
      <w:r>
        <w:rPr>
          <w:lang w:val="fr-FR"/>
        </w:rPr>
        <w:t>’</w:t>
      </w:r>
      <w:r w:rsidRPr="002325DF">
        <w:rPr>
          <w:lang w:val="fr-FR"/>
        </w:rPr>
        <w:t>accorder le crédit voulu aux allégations de l</w:t>
      </w:r>
      <w:r>
        <w:rPr>
          <w:lang w:val="fr-FR"/>
        </w:rPr>
        <w:t>’</w:t>
      </w:r>
      <w:r w:rsidRPr="002325DF">
        <w:rPr>
          <w:lang w:val="fr-FR"/>
        </w:rPr>
        <w:t>auteur et que, compte tenu de l</w:t>
      </w:r>
      <w:r>
        <w:rPr>
          <w:lang w:val="fr-FR"/>
        </w:rPr>
        <w:t>’</w:t>
      </w:r>
      <w:r w:rsidRPr="002325DF">
        <w:rPr>
          <w:lang w:val="fr-FR"/>
        </w:rPr>
        <w:t>objet, du caractère et de la sévérité de l</w:t>
      </w:r>
      <w:r>
        <w:rPr>
          <w:lang w:val="fr-FR"/>
        </w:rPr>
        <w:t>’</w:t>
      </w:r>
      <w:r w:rsidRPr="002325DF">
        <w:rPr>
          <w:lang w:val="fr-FR"/>
        </w:rPr>
        <w:t>hospitalisation sans consentement qui lui a été imposée, les garanties prévues par l</w:t>
      </w:r>
      <w:r>
        <w:rPr>
          <w:lang w:val="fr-FR"/>
        </w:rPr>
        <w:t>’</w:t>
      </w:r>
      <w:r w:rsidRPr="002325DF">
        <w:rPr>
          <w:lang w:val="fr-FR"/>
        </w:rPr>
        <w:t>article</w:t>
      </w:r>
      <w:r>
        <w:rPr>
          <w:lang w:val="fr-FR"/>
        </w:rPr>
        <w:t> </w:t>
      </w:r>
      <w:r w:rsidRPr="002325DF">
        <w:rPr>
          <w:lang w:val="fr-FR"/>
        </w:rPr>
        <w:t>14 (par.</w:t>
      </w:r>
      <w:r>
        <w:rPr>
          <w:lang w:val="fr-FR"/>
        </w:rPr>
        <w:t> </w:t>
      </w:r>
      <w:r w:rsidRPr="002325DF">
        <w:rPr>
          <w:lang w:val="fr-FR"/>
        </w:rPr>
        <w:t>1) du Pacte s</w:t>
      </w:r>
      <w:r>
        <w:rPr>
          <w:lang w:val="fr-FR"/>
        </w:rPr>
        <w:t>’</w:t>
      </w:r>
      <w:r w:rsidRPr="002325DF">
        <w:rPr>
          <w:lang w:val="fr-FR"/>
        </w:rPr>
        <w:t>appliquent à son cas. Le Comité considère donc que, dans les circonstances de l</w:t>
      </w:r>
      <w:r>
        <w:rPr>
          <w:lang w:val="fr-FR"/>
        </w:rPr>
        <w:t>’</w:t>
      </w:r>
      <w:r w:rsidRPr="002325DF">
        <w:rPr>
          <w:lang w:val="fr-FR"/>
        </w:rPr>
        <w:t>espèce, les faits tels qu</w:t>
      </w:r>
      <w:r>
        <w:rPr>
          <w:lang w:val="fr-FR"/>
        </w:rPr>
        <w:t>’</w:t>
      </w:r>
      <w:r w:rsidRPr="002325DF">
        <w:rPr>
          <w:lang w:val="fr-FR"/>
        </w:rPr>
        <w:t>ils ont été exposés par l</w:t>
      </w:r>
      <w:r>
        <w:rPr>
          <w:lang w:val="fr-FR"/>
        </w:rPr>
        <w:t>’</w:t>
      </w:r>
      <w:r w:rsidRPr="002325DF">
        <w:rPr>
          <w:lang w:val="fr-FR"/>
        </w:rPr>
        <w:t>auteur constituent une violation des droits que celui-ci tient de l</w:t>
      </w:r>
      <w:r>
        <w:rPr>
          <w:lang w:val="fr-FR"/>
        </w:rPr>
        <w:t>’</w:t>
      </w:r>
      <w:r w:rsidRPr="002325DF">
        <w:rPr>
          <w:lang w:val="fr-FR"/>
        </w:rPr>
        <w:t>article 14</w:t>
      </w:r>
      <w:r>
        <w:rPr>
          <w:lang w:val="fr-FR"/>
        </w:rPr>
        <w:t xml:space="preserve"> </w:t>
      </w:r>
      <w:r w:rsidRPr="002325DF">
        <w:rPr>
          <w:lang w:val="fr-FR"/>
        </w:rPr>
        <w:t>(par. 1) du</w:t>
      </w:r>
      <w:r>
        <w:rPr>
          <w:lang w:val="fr-FR"/>
        </w:rPr>
        <w:t> </w:t>
      </w:r>
      <w:r w:rsidRPr="002325DF">
        <w:rPr>
          <w:lang w:val="fr-FR"/>
        </w:rPr>
        <w:t>Pacte.</w:t>
      </w:r>
    </w:p>
    <w:p w14:paraId="286403CF" w14:textId="24CF0912" w:rsidR="00CD04BD" w:rsidRPr="002325DF" w:rsidRDefault="00CD04BD" w:rsidP="00CD04BD">
      <w:pPr>
        <w:pStyle w:val="SingleTxtG"/>
      </w:pPr>
      <w:r w:rsidRPr="002325DF">
        <w:rPr>
          <w:lang w:val="fr-FR"/>
        </w:rPr>
        <w:t>7.9</w:t>
      </w:r>
      <w:r w:rsidRPr="002325DF">
        <w:rPr>
          <w:lang w:val="fr-FR"/>
        </w:rPr>
        <w:tab/>
        <w:t>Le Comité prend note de l</w:t>
      </w:r>
      <w:r>
        <w:rPr>
          <w:lang w:val="fr-FR"/>
        </w:rPr>
        <w:t>’</w:t>
      </w:r>
      <w:r w:rsidRPr="002325DF">
        <w:rPr>
          <w:lang w:val="fr-FR"/>
        </w:rPr>
        <w:t>allégation de l</w:t>
      </w:r>
      <w:r>
        <w:rPr>
          <w:lang w:val="fr-FR"/>
        </w:rPr>
        <w:t>’</w:t>
      </w:r>
      <w:r w:rsidRPr="002325DF">
        <w:rPr>
          <w:lang w:val="fr-FR"/>
        </w:rPr>
        <w:t>auteur selon laquelle sa détention dans un service psychiatrique à partir du 15</w:t>
      </w:r>
      <w:r>
        <w:rPr>
          <w:lang w:val="fr-FR"/>
        </w:rPr>
        <w:t> </w:t>
      </w:r>
      <w:r w:rsidRPr="002325DF">
        <w:rPr>
          <w:lang w:val="fr-FR"/>
        </w:rPr>
        <w:t>août 2013 et l</w:t>
      </w:r>
      <w:r>
        <w:rPr>
          <w:lang w:val="fr-FR"/>
        </w:rPr>
        <w:t>’</w:t>
      </w:r>
      <w:r w:rsidRPr="002325DF">
        <w:rPr>
          <w:lang w:val="fr-FR"/>
        </w:rPr>
        <w:t>hospitalisation sans consentement qui l</w:t>
      </w:r>
      <w:r>
        <w:rPr>
          <w:lang w:val="fr-FR"/>
        </w:rPr>
        <w:t>’</w:t>
      </w:r>
      <w:r w:rsidRPr="002325DF">
        <w:rPr>
          <w:lang w:val="fr-FR"/>
        </w:rPr>
        <w:t xml:space="preserve">a suivie lui ont été imposées pour le réduire au silence et constituent </w:t>
      </w:r>
      <w:r>
        <w:rPr>
          <w:lang w:val="fr-FR"/>
        </w:rPr>
        <w:t xml:space="preserve">donc </w:t>
      </w:r>
      <w:r w:rsidRPr="002325DF">
        <w:rPr>
          <w:lang w:val="fr-FR"/>
        </w:rPr>
        <w:t>une restriction à son droit de répandre des informations et des idées</w:t>
      </w:r>
      <w:r>
        <w:rPr>
          <w:lang w:val="fr-FR"/>
        </w:rPr>
        <w:t>,</w:t>
      </w:r>
      <w:r w:rsidRPr="002325DF">
        <w:rPr>
          <w:lang w:val="fr-FR"/>
        </w:rPr>
        <w:t xml:space="preserve"> incompatible avec l</w:t>
      </w:r>
      <w:r>
        <w:rPr>
          <w:lang w:val="fr-FR"/>
        </w:rPr>
        <w:t>’</w:t>
      </w:r>
      <w:r w:rsidRPr="002325DF">
        <w:rPr>
          <w:lang w:val="fr-FR"/>
        </w:rPr>
        <w:t>article</w:t>
      </w:r>
      <w:r>
        <w:rPr>
          <w:lang w:val="fr-FR"/>
        </w:rPr>
        <w:t> </w:t>
      </w:r>
      <w:r w:rsidRPr="002325DF">
        <w:rPr>
          <w:lang w:val="fr-FR"/>
        </w:rPr>
        <w:t>19 (par.</w:t>
      </w:r>
      <w:r>
        <w:rPr>
          <w:lang w:val="fr-FR"/>
        </w:rPr>
        <w:t> </w:t>
      </w:r>
      <w:r w:rsidRPr="002325DF">
        <w:rPr>
          <w:lang w:val="fr-FR"/>
        </w:rPr>
        <w:t>3) du</w:t>
      </w:r>
      <w:r>
        <w:rPr>
          <w:lang w:val="fr-FR"/>
        </w:rPr>
        <w:t> </w:t>
      </w:r>
      <w:r w:rsidRPr="002325DF">
        <w:rPr>
          <w:lang w:val="fr-FR"/>
        </w:rPr>
        <w:t>Pacte.</w:t>
      </w:r>
    </w:p>
    <w:p w14:paraId="1FF2D5AC" w14:textId="20EC3FE9" w:rsidR="00CD04BD" w:rsidRPr="002325DF" w:rsidRDefault="00CD04BD" w:rsidP="00CD04BD">
      <w:pPr>
        <w:pStyle w:val="SingleTxtG"/>
      </w:pPr>
      <w:r w:rsidRPr="002325DF">
        <w:rPr>
          <w:lang w:val="fr-FR"/>
        </w:rPr>
        <w:t>7.10</w:t>
      </w:r>
      <w:r w:rsidRPr="002325DF">
        <w:rPr>
          <w:lang w:val="fr-FR"/>
        </w:rPr>
        <w:tab/>
        <w:t xml:space="preserve">Le Comité </w:t>
      </w:r>
      <w:r>
        <w:rPr>
          <w:lang w:val="fr-FR"/>
        </w:rPr>
        <w:t>rappelle que</w:t>
      </w:r>
      <w:r w:rsidRPr="002325DF">
        <w:rPr>
          <w:lang w:val="fr-FR"/>
        </w:rPr>
        <w:t xml:space="preserve"> la liberté d</w:t>
      </w:r>
      <w:r>
        <w:rPr>
          <w:lang w:val="fr-FR"/>
        </w:rPr>
        <w:t>’</w:t>
      </w:r>
      <w:r w:rsidRPr="002325DF">
        <w:rPr>
          <w:lang w:val="fr-FR"/>
        </w:rPr>
        <w:t>opinion et la liberté d</w:t>
      </w:r>
      <w:r>
        <w:rPr>
          <w:lang w:val="fr-FR"/>
        </w:rPr>
        <w:t>’</w:t>
      </w:r>
      <w:r w:rsidRPr="002325DF">
        <w:rPr>
          <w:lang w:val="fr-FR"/>
        </w:rPr>
        <w:t>expression sont des conditions indispensables au développement complet de l</w:t>
      </w:r>
      <w:r>
        <w:rPr>
          <w:lang w:val="fr-FR"/>
        </w:rPr>
        <w:t>’</w:t>
      </w:r>
      <w:r w:rsidRPr="002325DF">
        <w:rPr>
          <w:lang w:val="fr-FR"/>
        </w:rPr>
        <w:t>individu</w:t>
      </w:r>
      <w:r>
        <w:rPr>
          <w:lang w:val="fr-FR"/>
        </w:rPr>
        <w:t xml:space="preserve"> et qu’</w:t>
      </w:r>
      <w:r w:rsidRPr="002325DF">
        <w:rPr>
          <w:lang w:val="fr-FR"/>
        </w:rPr>
        <w:t>elles sont essentielles pour toute société et constituent le fondement de toute société libre et démocratique</w:t>
      </w:r>
      <w:r w:rsidRPr="00026BCE">
        <w:rPr>
          <w:rStyle w:val="Appelnotedebasdep"/>
        </w:rPr>
        <w:footnoteReference w:id="25"/>
      </w:r>
      <w:r w:rsidRPr="002325DF">
        <w:rPr>
          <w:lang w:val="fr-FR"/>
        </w:rPr>
        <w:t>. Aux termes de l</w:t>
      </w:r>
      <w:r>
        <w:rPr>
          <w:lang w:val="fr-FR"/>
        </w:rPr>
        <w:t>’</w:t>
      </w:r>
      <w:r w:rsidRPr="002325DF">
        <w:rPr>
          <w:lang w:val="fr-FR"/>
        </w:rPr>
        <w:t>article</w:t>
      </w:r>
      <w:r>
        <w:rPr>
          <w:lang w:val="fr-FR"/>
        </w:rPr>
        <w:t> </w:t>
      </w:r>
      <w:r w:rsidRPr="002325DF">
        <w:rPr>
          <w:lang w:val="fr-FR"/>
        </w:rPr>
        <w:t>19 (par.</w:t>
      </w:r>
      <w:r>
        <w:rPr>
          <w:lang w:val="fr-FR"/>
        </w:rPr>
        <w:t> </w:t>
      </w:r>
      <w:r w:rsidRPr="002325DF">
        <w:rPr>
          <w:lang w:val="fr-FR"/>
        </w:rPr>
        <w:t>3) du Pacte, l</w:t>
      </w:r>
      <w:r>
        <w:rPr>
          <w:lang w:val="fr-FR"/>
        </w:rPr>
        <w:t>’</w:t>
      </w:r>
      <w:r w:rsidRPr="002325DF">
        <w:rPr>
          <w:lang w:val="fr-FR"/>
        </w:rPr>
        <w:t>exercice de la liberté d</w:t>
      </w:r>
      <w:r>
        <w:rPr>
          <w:lang w:val="fr-FR"/>
        </w:rPr>
        <w:t>’</w:t>
      </w:r>
      <w:r w:rsidRPr="002325DF">
        <w:rPr>
          <w:lang w:val="fr-FR"/>
        </w:rPr>
        <w:t>expression peut être soumis à certaines restrictions, pour autant que ces restrictions soient expressément fixées par la loi et soient nécessaires</w:t>
      </w:r>
      <w:r>
        <w:rPr>
          <w:lang w:val="fr-FR"/>
        </w:rPr>
        <w:t> </w:t>
      </w:r>
      <w:r w:rsidRPr="002325DF">
        <w:rPr>
          <w:lang w:val="fr-FR"/>
        </w:rPr>
        <w:t>: a)</w:t>
      </w:r>
      <w:r>
        <w:rPr>
          <w:lang w:val="fr-FR"/>
        </w:rPr>
        <w:t> </w:t>
      </w:r>
      <w:r w:rsidRPr="002325DF">
        <w:rPr>
          <w:lang w:val="fr-FR"/>
        </w:rPr>
        <w:t>au respect des droits ou de la réputation d</w:t>
      </w:r>
      <w:r>
        <w:rPr>
          <w:lang w:val="fr-FR"/>
        </w:rPr>
        <w:t>’</w:t>
      </w:r>
      <w:r w:rsidRPr="002325DF">
        <w:rPr>
          <w:lang w:val="fr-FR"/>
        </w:rPr>
        <w:t>autrui</w:t>
      </w:r>
      <w:r>
        <w:rPr>
          <w:lang w:val="fr-FR"/>
        </w:rPr>
        <w:t> </w:t>
      </w:r>
      <w:r w:rsidRPr="002325DF">
        <w:rPr>
          <w:lang w:val="fr-FR"/>
        </w:rPr>
        <w:t xml:space="preserve">; </w:t>
      </w:r>
      <w:r>
        <w:rPr>
          <w:lang w:val="fr-FR"/>
        </w:rPr>
        <w:t xml:space="preserve">ou </w:t>
      </w:r>
      <w:r w:rsidRPr="002325DF">
        <w:rPr>
          <w:lang w:val="fr-FR"/>
        </w:rPr>
        <w:t>b)</w:t>
      </w:r>
      <w:r>
        <w:rPr>
          <w:lang w:val="fr-FR"/>
        </w:rPr>
        <w:t> </w:t>
      </w:r>
      <w:r w:rsidRPr="002325DF">
        <w:rPr>
          <w:lang w:val="fr-FR"/>
        </w:rPr>
        <w:t>à la sauvegarde de la sécurité nationale, de l</w:t>
      </w:r>
      <w:r>
        <w:rPr>
          <w:lang w:val="fr-FR"/>
        </w:rPr>
        <w:t>’</w:t>
      </w:r>
      <w:r w:rsidRPr="002325DF">
        <w:rPr>
          <w:lang w:val="fr-FR"/>
        </w:rPr>
        <w:t>ordre public, de la santé ou de la moralité publiques</w:t>
      </w:r>
      <w:r w:rsidRPr="00026BCE">
        <w:rPr>
          <w:rStyle w:val="Appelnotedebasdep"/>
        </w:rPr>
        <w:footnoteReference w:id="26"/>
      </w:r>
      <w:r w:rsidRPr="002325DF">
        <w:rPr>
          <w:lang w:val="fr-FR"/>
        </w:rPr>
        <w:t>. Toutes les restrictions à la liberté d</w:t>
      </w:r>
      <w:r>
        <w:rPr>
          <w:lang w:val="fr-FR"/>
        </w:rPr>
        <w:t>’</w:t>
      </w:r>
      <w:r w:rsidRPr="002325DF">
        <w:rPr>
          <w:lang w:val="fr-FR"/>
        </w:rPr>
        <w:t>expression doivent être «</w:t>
      </w:r>
      <w:r>
        <w:rPr>
          <w:lang w:val="fr-FR"/>
        </w:rPr>
        <w:t> </w:t>
      </w:r>
      <w:r w:rsidRPr="002325DF">
        <w:rPr>
          <w:lang w:val="fr-FR"/>
        </w:rPr>
        <w:t>fixées par la loi</w:t>
      </w:r>
      <w:r>
        <w:rPr>
          <w:lang w:val="fr-FR"/>
        </w:rPr>
        <w:t> </w:t>
      </w:r>
      <w:r w:rsidRPr="002325DF">
        <w:rPr>
          <w:lang w:val="fr-FR"/>
        </w:rPr>
        <w:t>»</w:t>
      </w:r>
      <w:r>
        <w:rPr>
          <w:lang w:val="fr-FR"/>
        </w:rPr>
        <w:t> </w:t>
      </w:r>
      <w:r w:rsidRPr="002325DF">
        <w:rPr>
          <w:lang w:val="fr-FR"/>
        </w:rPr>
        <w:t>; elles ne peuvent être imposées que pour l</w:t>
      </w:r>
      <w:r>
        <w:rPr>
          <w:lang w:val="fr-FR"/>
        </w:rPr>
        <w:t>’</w:t>
      </w:r>
      <w:r w:rsidRPr="002325DF">
        <w:rPr>
          <w:lang w:val="fr-FR"/>
        </w:rPr>
        <w:t>un des motifs énoncés à l</w:t>
      </w:r>
      <w:r>
        <w:rPr>
          <w:lang w:val="fr-FR"/>
        </w:rPr>
        <w:t>’</w:t>
      </w:r>
      <w:r w:rsidRPr="002325DF">
        <w:rPr>
          <w:lang w:val="fr-FR"/>
        </w:rPr>
        <w:t>article</w:t>
      </w:r>
      <w:r>
        <w:rPr>
          <w:lang w:val="fr-FR"/>
        </w:rPr>
        <w:t> </w:t>
      </w:r>
      <w:r w:rsidRPr="002325DF">
        <w:rPr>
          <w:lang w:val="fr-FR"/>
        </w:rPr>
        <w:t>19 (par.</w:t>
      </w:r>
      <w:r>
        <w:rPr>
          <w:lang w:val="fr-FR"/>
        </w:rPr>
        <w:t> </w:t>
      </w:r>
      <w:r w:rsidRPr="002325DF">
        <w:rPr>
          <w:lang w:val="fr-FR"/>
        </w:rPr>
        <w:t>3</w:t>
      </w:r>
      <w:r>
        <w:rPr>
          <w:lang w:val="fr-FR"/>
        </w:rPr>
        <w:t> </w:t>
      </w:r>
      <w:r w:rsidRPr="002325DF">
        <w:rPr>
          <w:lang w:val="fr-FR"/>
        </w:rPr>
        <w:t>a) et b)) et doivent répondre aux critères stricts de nécessité et de proportionnalité</w:t>
      </w:r>
      <w:r w:rsidRPr="00026BCE">
        <w:rPr>
          <w:rStyle w:val="Appelnotedebasdep"/>
        </w:rPr>
        <w:footnoteReference w:id="27"/>
      </w:r>
      <w:r w:rsidRPr="002325DF">
        <w:rPr>
          <w:lang w:val="fr-FR"/>
        </w:rPr>
        <w:t>. Le principe de la proportionnalité doit être respecté non seulement dans la loi qui institue les restrictions, mais également par les autorités administratives et judiciaires chargées de l</w:t>
      </w:r>
      <w:r>
        <w:rPr>
          <w:lang w:val="fr-FR"/>
        </w:rPr>
        <w:t>’</w:t>
      </w:r>
      <w:r w:rsidRPr="002325DF">
        <w:rPr>
          <w:lang w:val="fr-FR"/>
        </w:rPr>
        <w:t>application de la loi</w:t>
      </w:r>
      <w:r w:rsidRPr="00026BCE">
        <w:rPr>
          <w:rStyle w:val="Appelnotedebasdep"/>
        </w:rPr>
        <w:footnoteReference w:id="28"/>
      </w:r>
      <w:r w:rsidRPr="002325DF">
        <w:rPr>
          <w:lang w:val="fr-FR"/>
        </w:rPr>
        <w:t>. Quand un État partie invoque un motif légitime pour justifier une restriction à la liberté d</w:t>
      </w:r>
      <w:r>
        <w:rPr>
          <w:lang w:val="fr-FR"/>
        </w:rPr>
        <w:t>’</w:t>
      </w:r>
      <w:r w:rsidRPr="002325DF">
        <w:rPr>
          <w:lang w:val="fr-FR"/>
        </w:rPr>
        <w:t>expression, il doit démontrer de manière spécifique et individualisée la nature précise de la menace qui pèse sur l</w:t>
      </w:r>
      <w:r>
        <w:rPr>
          <w:lang w:val="fr-FR"/>
        </w:rPr>
        <w:t>’</w:t>
      </w:r>
      <w:r w:rsidRPr="002325DF">
        <w:rPr>
          <w:lang w:val="fr-FR"/>
        </w:rPr>
        <w:t>un quelconque des éléments énoncés à l</w:t>
      </w:r>
      <w:r>
        <w:rPr>
          <w:lang w:val="fr-FR"/>
        </w:rPr>
        <w:t>’</w:t>
      </w:r>
      <w:r w:rsidRPr="002325DF">
        <w:rPr>
          <w:lang w:val="fr-FR"/>
        </w:rPr>
        <w:t>article</w:t>
      </w:r>
      <w:r>
        <w:rPr>
          <w:lang w:val="fr-FR"/>
        </w:rPr>
        <w:t> </w:t>
      </w:r>
      <w:r w:rsidRPr="002325DF">
        <w:rPr>
          <w:lang w:val="fr-FR"/>
        </w:rPr>
        <w:t>19 (par.</w:t>
      </w:r>
      <w:r>
        <w:rPr>
          <w:lang w:val="fr-FR"/>
        </w:rPr>
        <w:t> </w:t>
      </w:r>
      <w:r w:rsidRPr="002325DF">
        <w:rPr>
          <w:lang w:val="fr-FR"/>
        </w:rPr>
        <w:t>3) et qui l</w:t>
      </w:r>
      <w:r>
        <w:rPr>
          <w:lang w:val="fr-FR"/>
        </w:rPr>
        <w:t>’</w:t>
      </w:r>
      <w:r w:rsidRPr="002325DF">
        <w:rPr>
          <w:lang w:val="fr-FR"/>
        </w:rPr>
        <w:t xml:space="preserve">a conduit à </w:t>
      </w:r>
      <w:r>
        <w:rPr>
          <w:lang w:val="fr-FR"/>
        </w:rPr>
        <w:t>imposer la restriction</w:t>
      </w:r>
      <w:r w:rsidRPr="002325DF">
        <w:rPr>
          <w:lang w:val="fr-FR"/>
        </w:rPr>
        <w:t>, ainsi que la nécessité et la proportionnalité de la mesure particulière prise, en particulier en établissant un lien direct et immédiat entre l</w:t>
      </w:r>
      <w:r>
        <w:rPr>
          <w:lang w:val="fr-FR"/>
        </w:rPr>
        <w:t>’</w:t>
      </w:r>
      <w:r w:rsidRPr="002325DF">
        <w:rPr>
          <w:lang w:val="fr-FR"/>
        </w:rPr>
        <w:t>expression et la menace</w:t>
      </w:r>
      <w:r w:rsidRPr="00026BCE">
        <w:rPr>
          <w:rStyle w:val="Appelnotedebasdep"/>
        </w:rPr>
        <w:footnoteReference w:id="29"/>
      </w:r>
      <w:r w:rsidRPr="002325DF">
        <w:rPr>
          <w:lang w:val="fr-FR"/>
        </w:rPr>
        <w:t>.</w:t>
      </w:r>
    </w:p>
    <w:p w14:paraId="41FBE72C" w14:textId="225C98E0" w:rsidR="00CD04BD" w:rsidRPr="002325DF" w:rsidRDefault="00CD04BD" w:rsidP="00CD04BD">
      <w:pPr>
        <w:pStyle w:val="SingleTxtG"/>
      </w:pPr>
      <w:r w:rsidRPr="002325DF">
        <w:rPr>
          <w:lang w:val="fr-FR"/>
        </w:rPr>
        <w:t>7.11</w:t>
      </w:r>
      <w:r w:rsidRPr="002325DF">
        <w:rPr>
          <w:lang w:val="fr-FR"/>
        </w:rPr>
        <w:tab/>
        <w:t>En l</w:t>
      </w:r>
      <w:r>
        <w:rPr>
          <w:lang w:val="fr-FR"/>
        </w:rPr>
        <w:t>’</w:t>
      </w:r>
      <w:r w:rsidRPr="002325DF">
        <w:rPr>
          <w:lang w:val="fr-FR"/>
        </w:rPr>
        <w:t>espèce, le Comité constate que l</w:t>
      </w:r>
      <w:r>
        <w:rPr>
          <w:lang w:val="fr-FR"/>
        </w:rPr>
        <w:t>’</w:t>
      </w:r>
      <w:r w:rsidRPr="002325DF">
        <w:rPr>
          <w:lang w:val="fr-FR"/>
        </w:rPr>
        <w:t>État partie n</w:t>
      </w:r>
      <w:r>
        <w:rPr>
          <w:lang w:val="fr-FR"/>
        </w:rPr>
        <w:t>’</w:t>
      </w:r>
      <w:r w:rsidRPr="002325DF">
        <w:rPr>
          <w:lang w:val="fr-FR"/>
        </w:rPr>
        <w:t>a avancé aucun argument concernant la légalité de la détention dans un établissement psychiatrique et de l</w:t>
      </w:r>
      <w:r>
        <w:rPr>
          <w:lang w:val="fr-FR"/>
        </w:rPr>
        <w:t>’</w:t>
      </w:r>
      <w:r w:rsidRPr="002325DF">
        <w:rPr>
          <w:lang w:val="fr-FR"/>
        </w:rPr>
        <w:t>hospitalisation sans consentement et leur compatibilité avec les prescriptions de l</w:t>
      </w:r>
      <w:r>
        <w:rPr>
          <w:lang w:val="fr-FR"/>
        </w:rPr>
        <w:t>’</w:t>
      </w:r>
      <w:r w:rsidRPr="002325DF">
        <w:rPr>
          <w:lang w:val="fr-FR"/>
        </w:rPr>
        <w:t>article</w:t>
      </w:r>
      <w:r>
        <w:rPr>
          <w:lang w:val="fr-FR"/>
        </w:rPr>
        <w:t> </w:t>
      </w:r>
      <w:r w:rsidRPr="002325DF">
        <w:rPr>
          <w:lang w:val="fr-FR"/>
        </w:rPr>
        <w:t>19 (par.</w:t>
      </w:r>
      <w:r>
        <w:rPr>
          <w:lang w:val="fr-FR"/>
        </w:rPr>
        <w:t> </w:t>
      </w:r>
      <w:r w:rsidRPr="002325DF">
        <w:rPr>
          <w:lang w:val="fr-FR"/>
        </w:rPr>
        <w:t>3) du Pacte. En conséquence, il considère que l</w:t>
      </w:r>
      <w:r>
        <w:rPr>
          <w:lang w:val="fr-FR"/>
        </w:rPr>
        <w:t>’</w:t>
      </w:r>
      <w:r w:rsidRPr="002325DF">
        <w:rPr>
          <w:lang w:val="fr-FR"/>
        </w:rPr>
        <w:t>État partie n</w:t>
      </w:r>
      <w:r>
        <w:rPr>
          <w:lang w:val="fr-FR"/>
        </w:rPr>
        <w:t>’</w:t>
      </w:r>
      <w:r w:rsidRPr="002325DF">
        <w:rPr>
          <w:lang w:val="fr-FR"/>
        </w:rPr>
        <w:t>a pas démontré que la restriction au droit de l</w:t>
      </w:r>
      <w:r>
        <w:rPr>
          <w:lang w:val="fr-FR"/>
        </w:rPr>
        <w:t>’</w:t>
      </w:r>
      <w:r w:rsidRPr="002325DF">
        <w:rPr>
          <w:lang w:val="fr-FR"/>
        </w:rPr>
        <w:t>auteur de répandre des informations et des idées qui a découlé de son hospitalisation sans consentement était nécessaire et proportionnée au but légitime visé tel qu</w:t>
      </w:r>
      <w:r>
        <w:rPr>
          <w:lang w:val="fr-FR"/>
        </w:rPr>
        <w:t>’</w:t>
      </w:r>
      <w:r w:rsidRPr="002325DF">
        <w:rPr>
          <w:lang w:val="fr-FR"/>
        </w:rPr>
        <w:t>il est énoncé à l</w:t>
      </w:r>
      <w:r>
        <w:rPr>
          <w:lang w:val="fr-FR"/>
        </w:rPr>
        <w:t>’</w:t>
      </w:r>
      <w:r w:rsidRPr="002325DF">
        <w:rPr>
          <w:lang w:val="fr-FR"/>
        </w:rPr>
        <w:t>article</w:t>
      </w:r>
      <w:r>
        <w:rPr>
          <w:lang w:val="fr-FR"/>
        </w:rPr>
        <w:t> </w:t>
      </w:r>
      <w:r w:rsidRPr="002325DF">
        <w:rPr>
          <w:lang w:val="fr-FR"/>
        </w:rPr>
        <w:t>19 (par.</w:t>
      </w:r>
      <w:r>
        <w:rPr>
          <w:lang w:val="fr-FR"/>
        </w:rPr>
        <w:t> </w:t>
      </w:r>
      <w:r w:rsidRPr="002325DF">
        <w:rPr>
          <w:lang w:val="fr-FR"/>
        </w:rPr>
        <w:t>3) du Pacte. Il conclut donc que les droits que l</w:t>
      </w:r>
      <w:r>
        <w:rPr>
          <w:lang w:val="fr-FR"/>
        </w:rPr>
        <w:t>’</w:t>
      </w:r>
      <w:r w:rsidRPr="002325DF">
        <w:rPr>
          <w:lang w:val="fr-FR"/>
        </w:rPr>
        <w:t>auteur tient de l</w:t>
      </w:r>
      <w:r>
        <w:rPr>
          <w:lang w:val="fr-FR"/>
        </w:rPr>
        <w:t>’</w:t>
      </w:r>
      <w:r w:rsidRPr="002325DF">
        <w:rPr>
          <w:lang w:val="fr-FR"/>
        </w:rPr>
        <w:t>article</w:t>
      </w:r>
      <w:r>
        <w:rPr>
          <w:lang w:val="fr-FR"/>
        </w:rPr>
        <w:t> </w:t>
      </w:r>
      <w:r w:rsidRPr="002325DF">
        <w:rPr>
          <w:lang w:val="fr-FR"/>
        </w:rPr>
        <w:t>19 du Pacte ont été violés.</w:t>
      </w:r>
    </w:p>
    <w:p w14:paraId="77E06BF5" w14:textId="32B421B8" w:rsidR="00CD04BD" w:rsidRPr="002325DF" w:rsidRDefault="00CD04BD" w:rsidP="00CD04BD">
      <w:pPr>
        <w:pStyle w:val="SingleTxtG"/>
      </w:pPr>
      <w:r w:rsidRPr="002325DF">
        <w:rPr>
          <w:lang w:val="fr-FR"/>
        </w:rPr>
        <w:lastRenderedPageBreak/>
        <w:t>8.</w:t>
      </w:r>
      <w:r w:rsidRPr="002325DF">
        <w:rPr>
          <w:lang w:val="fr-FR"/>
        </w:rPr>
        <w:tab/>
        <w:t>Le Comité, agissant en vertu de l</w:t>
      </w:r>
      <w:r>
        <w:rPr>
          <w:lang w:val="fr-FR"/>
        </w:rPr>
        <w:t>’</w:t>
      </w:r>
      <w:r w:rsidRPr="002325DF">
        <w:rPr>
          <w:lang w:val="fr-FR"/>
        </w:rPr>
        <w:t>article</w:t>
      </w:r>
      <w:r>
        <w:rPr>
          <w:lang w:val="fr-FR"/>
        </w:rPr>
        <w:t> </w:t>
      </w:r>
      <w:r w:rsidRPr="002325DF">
        <w:rPr>
          <w:lang w:val="fr-FR"/>
        </w:rPr>
        <w:t>5 (par.</w:t>
      </w:r>
      <w:r>
        <w:rPr>
          <w:lang w:val="fr-FR"/>
        </w:rPr>
        <w:t> </w:t>
      </w:r>
      <w:r w:rsidRPr="002325DF">
        <w:rPr>
          <w:lang w:val="fr-FR"/>
        </w:rPr>
        <w:t>4) du Protocole facultatif, constate que les faits dont il est saisi font apparaître une violation par l</w:t>
      </w:r>
      <w:r>
        <w:rPr>
          <w:lang w:val="fr-FR"/>
        </w:rPr>
        <w:t>’</w:t>
      </w:r>
      <w:r w:rsidRPr="002325DF">
        <w:rPr>
          <w:lang w:val="fr-FR"/>
        </w:rPr>
        <w:t>État partie des droits que l</w:t>
      </w:r>
      <w:r>
        <w:rPr>
          <w:lang w:val="fr-FR"/>
        </w:rPr>
        <w:t>’</w:t>
      </w:r>
      <w:r w:rsidRPr="002325DF">
        <w:rPr>
          <w:lang w:val="fr-FR"/>
        </w:rPr>
        <w:t>auteur tient des articles</w:t>
      </w:r>
      <w:r>
        <w:rPr>
          <w:lang w:val="fr-FR"/>
        </w:rPr>
        <w:t xml:space="preserve"> 7,</w:t>
      </w:r>
      <w:r w:rsidR="00863EA9">
        <w:rPr>
          <w:lang w:val="fr-FR"/>
        </w:rPr>
        <w:t xml:space="preserve"> </w:t>
      </w:r>
      <w:r w:rsidRPr="002325DF">
        <w:rPr>
          <w:lang w:val="fr-FR"/>
        </w:rPr>
        <w:t>9 (par.</w:t>
      </w:r>
      <w:r>
        <w:rPr>
          <w:lang w:val="fr-FR"/>
        </w:rPr>
        <w:t> </w:t>
      </w:r>
      <w:r w:rsidRPr="002325DF">
        <w:rPr>
          <w:lang w:val="fr-FR"/>
        </w:rPr>
        <w:t>1), 14 (par.</w:t>
      </w:r>
      <w:r>
        <w:rPr>
          <w:lang w:val="fr-FR"/>
        </w:rPr>
        <w:t> </w:t>
      </w:r>
      <w:r w:rsidRPr="002325DF">
        <w:rPr>
          <w:lang w:val="fr-FR"/>
        </w:rPr>
        <w:t>1) et 19 du Pacte.</w:t>
      </w:r>
    </w:p>
    <w:p w14:paraId="779A8233" w14:textId="7DE67552" w:rsidR="00CD04BD" w:rsidRPr="002325DF" w:rsidRDefault="00CD04BD" w:rsidP="00CD04BD">
      <w:pPr>
        <w:pStyle w:val="SingleTxtG"/>
      </w:pPr>
      <w:r w:rsidRPr="002325DF">
        <w:rPr>
          <w:lang w:val="fr-FR"/>
        </w:rPr>
        <w:t>9.</w:t>
      </w:r>
      <w:r w:rsidRPr="002325DF">
        <w:rPr>
          <w:lang w:val="fr-FR"/>
        </w:rPr>
        <w:tab/>
        <w:t>Conformément à l</w:t>
      </w:r>
      <w:r>
        <w:rPr>
          <w:lang w:val="fr-FR"/>
        </w:rPr>
        <w:t>’</w:t>
      </w:r>
      <w:r w:rsidRPr="002325DF">
        <w:rPr>
          <w:lang w:val="fr-FR"/>
        </w:rPr>
        <w:t>article</w:t>
      </w:r>
      <w:r>
        <w:rPr>
          <w:lang w:val="fr-FR"/>
        </w:rPr>
        <w:t> </w:t>
      </w:r>
      <w:r w:rsidRPr="002325DF">
        <w:rPr>
          <w:lang w:val="fr-FR"/>
        </w:rPr>
        <w:t>2 (par.</w:t>
      </w:r>
      <w:r>
        <w:rPr>
          <w:lang w:val="fr-FR"/>
        </w:rPr>
        <w:t> </w:t>
      </w:r>
      <w:r w:rsidRPr="002325DF">
        <w:rPr>
          <w:lang w:val="fr-FR"/>
        </w:rPr>
        <w:t>3</w:t>
      </w:r>
      <w:r>
        <w:rPr>
          <w:lang w:val="fr-FR"/>
        </w:rPr>
        <w:t> </w:t>
      </w:r>
      <w:r w:rsidRPr="002325DF">
        <w:rPr>
          <w:lang w:val="fr-FR"/>
        </w:rPr>
        <w:t>a)) du Pacte, l</w:t>
      </w:r>
      <w:r>
        <w:rPr>
          <w:lang w:val="fr-FR"/>
        </w:rPr>
        <w:t>’</w:t>
      </w:r>
      <w:r w:rsidRPr="002325DF">
        <w:rPr>
          <w:lang w:val="fr-FR"/>
        </w:rPr>
        <w:t>État partie est tenu d</w:t>
      </w:r>
      <w:r>
        <w:rPr>
          <w:lang w:val="fr-FR"/>
        </w:rPr>
        <w:t>’</w:t>
      </w:r>
      <w:r w:rsidRPr="002325DF">
        <w:rPr>
          <w:lang w:val="fr-FR"/>
        </w:rPr>
        <w:t>assurer à l</w:t>
      </w:r>
      <w:r>
        <w:rPr>
          <w:lang w:val="fr-FR"/>
        </w:rPr>
        <w:t>’</w:t>
      </w:r>
      <w:r w:rsidRPr="002325DF">
        <w:rPr>
          <w:lang w:val="fr-FR"/>
        </w:rPr>
        <w:t>auteur un recours utile. Il a l</w:t>
      </w:r>
      <w:r>
        <w:rPr>
          <w:lang w:val="fr-FR"/>
        </w:rPr>
        <w:t>’</w:t>
      </w:r>
      <w:r w:rsidRPr="002325DF">
        <w:rPr>
          <w:lang w:val="fr-FR"/>
        </w:rPr>
        <w:t>obligation d</w:t>
      </w:r>
      <w:r>
        <w:rPr>
          <w:lang w:val="fr-FR"/>
        </w:rPr>
        <w:t>’</w:t>
      </w:r>
      <w:r w:rsidRPr="002325DF">
        <w:rPr>
          <w:lang w:val="fr-FR"/>
        </w:rPr>
        <w:t>accorder une réparation intégrale aux individus dont les droits garantis par le Pacte ont été violés. En conséquence, l</w:t>
      </w:r>
      <w:r>
        <w:rPr>
          <w:lang w:val="fr-FR"/>
        </w:rPr>
        <w:t>’</w:t>
      </w:r>
      <w:r w:rsidRPr="002325DF">
        <w:rPr>
          <w:lang w:val="fr-FR"/>
        </w:rPr>
        <w:t>État partie est tenu</w:t>
      </w:r>
      <w:r>
        <w:rPr>
          <w:lang w:val="fr-FR"/>
        </w:rPr>
        <w:t>, entre autres,</w:t>
      </w:r>
      <w:r w:rsidRPr="002325DF">
        <w:rPr>
          <w:lang w:val="fr-FR"/>
        </w:rPr>
        <w:t xml:space="preserve"> d</w:t>
      </w:r>
      <w:r>
        <w:rPr>
          <w:lang w:val="fr-FR"/>
        </w:rPr>
        <w:t>’</w:t>
      </w:r>
      <w:r w:rsidRPr="002325DF">
        <w:rPr>
          <w:lang w:val="fr-FR"/>
        </w:rPr>
        <w:t>accorder à l</w:t>
      </w:r>
      <w:r>
        <w:rPr>
          <w:lang w:val="fr-FR"/>
        </w:rPr>
        <w:t>’</w:t>
      </w:r>
      <w:r w:rsidRPr="002325DF">
        <w:rPr>
          <w:lang w:val="fr-FR"/>
        </w:rPr>
        <w:t>auteur une indemnisation adéquate, dont le remboursement de tous les frais de justice qu</w:t>
      </w:r>
      <w:r>
        <w:rPr>
          <w:lang w:val="fr-FR"/>
        </w:rPr>
        <w:t>’</w:t>
      </w:r>
      <w:r w:rsidRPr="002325DF">
        <w:rPr>
          <w:lang w:val="fr-FR"/>
        </w:rPr>
        <w:t>il a engagés. L</w:t>
      </w:r>
      <w:r>
        <w:rPr>
          <w:lang w:val="fr-FR"/>
        </w:rPr>
        <w:t>’</w:t>
      </w:r>
      <w:r w:rsidRPr="002325DF">
        <w:rPr>
          <w:lang w:val="fr-FR"/>
        </w:rPr>
        <w:t>État partie est également tenu</w:t>
      </w:r>
      <w:r>
        <w:rPr>
          <w:lang w:val="fr-FR"/>
        </w:rPr>
        <w:t xml:space="preserve"> </w:t>
      </w:r>
      <w:r w:rsidRPr="002325DF">
        <w:rPr>
          <w:lang w:val="fr-FR"/>
        </w:rPr>
        <w:t xml:space="preserve">de </w:t>
      </w:r>
      <w:r>
        <w:rPr>
          <w:lang w:val="fr-FR"/>
        </w:rPr>
        <w:t xml:space="preserve">prendre les mesures nécessaires pour </w:t>
      </w:r>
      <w:r w:rsidRPr="002325DF">
        <w:rPr>
          <w:lang w:val="fr-FR"/>
        </w:rPr>
        <w:t>que des violations analogues ne se reproduisent pas.</w:t>
      </w:r>
    </w:p>
    <w:p w14:paraId="1491295E" w14:textId="7E2F1C92" w:rsidR="00CD04BD" w:rsidRDefault="00CD04BD" w:rsidP="00CD04BD">
      <w:pPr>
        <w:pStyle w:val="SingleTxtG"/>
      </w:pPr>
      <w:r w:rsidRPr="002325DF">
        <w:rPr>
          <w:lang w:val="fr-FR"/>
        </w:rPr>
        <w:t>10.</w:t>
      </w:r>
      <w:r w:rsidRPr="002325DF">
        <w:rPr>
          <w:lang w:val="fr-FR"/>
        </w:rPr>
        <w:tab/>
        <w:t>Étant donné qu</w:t>
      </w:r>
      <w:r>
        <w:rPr>
          <w:lang w:val="fr-FR"/>
        </w:rPr>
        <w:t>’</w:t>
      </w:r>
      <w:r w:rsidRPr="002325DF">
        <w:rPr>
          <w:lang w:val="fr-FR"/>
        </w:rPr>
        <w:t>en adhérant au Protocole facultatif, l</w:t>
      </w:r>
      <w:r>
        <w:rPr>
          <w:lang w:val="fr-FR"/>
        </w:rPr>
        <w:t>’</w:t>
      </w:r>
      <w:r w:rsidRPr="002325DF">
        <w:rPr>
          <w:lang w:val="fr-FR"/>
        </w:rPr>
        <w:t>État partie a reconnu que le Comité a compétence pour déterminer s</w:t>
      </w:r>
      <w:r>
        <w:rPr>
          <w:lang w:val="fr-FR"/>
        </w:rPr>
        <w:t>’</w:t>
      </w:r>
      <w:r w:rsidRPr="002325DF">
        <w:rPr>
          <w:lang w:val="fr-FR"/>
        </w:rPr>
        <w:t>il y a ou non violation du Pacte et que, conformément à l</w:t>
      </w:r>
      <w:r>
        <w:rPr>
          <w:lang w:val="fr-FR"/>
        </w:rPr>
        <w:t>’</w:t>
      </w:r>
      <w:r w:rsidRPr="002325DF">
        <w:rPr>
          <w:lang w:val="fr-FR"/>
        </w:rPr>
        <w:t>article</w:t>
      </w:r>
      <w:r>
        <w:rPr>
          <w:lang w:val="fr-FR"/>
        </w:rPr>
        <w:t> </w:t>
      </w:r>
      <w:r w:rsidRPr="002325DF">
        <w:rPr>
          <w:lang w:val="fr-FR"/>
        </w:rPr>
        <w:t>2 du Pacte, il s</w:t>
      </w:r>
      <w:r>
        <w:rPr>
          <w:lang w:val="fr-FR"/>
        </w:rPr>
        <w:t>’</w:t>
      </w:r>
      <w:r w:rsidRPr="002325DF">
        <w:rPr>
          <w:lang w:val="fr-FR"/>
        </w:rPr>
        <w:t>est engagé à garantir à tous les individus se trouvant sur son territoire et relevant de sa juridiction les droits reconnus dans le Pacte et à assurer un recours utile et une réparation exécutoire lorsqu</w:t>
      </w:r>
      <w:r>
        <w:rPr>
          <w:lang w:val="fr-FR"/>
        </w:rPr>
        <w:t>e la réalité d’</w:t>
      </w:r>
      <w:r w:rsidRPr="002325DF">
        <w:rPr>
          <w:lang w:val="fr-FR"/>
        </w:rPr>
        <w:t>une violation a été établie, le Comité souhaite recevoir de l</w:t>
      </w:r>
      <w:r>
        <w:rPr>
          <w:lang w:val="fr-FR"/>
        </w:rPr>
        <w:t>’</w:t>
      </w:r>
      <w:r w:rsidRPr="002325DF">
        <w:rPr>
          <w:lang w:val="fr-FR"/>
        </w:rPr>
        <w:t>État partie, dans un délai de cent quatre-vingts jours, des renseignements sur les mesures prises pour donner effet aux présentes constatations. L</w:t>
      </w:r>
      <w:r>
        <w:rPr>
          <w:lang w:val="fr-FR"/>
        </w:rPr>
        <w:t>’</w:t>
      </w:r>
      <w:r w:rsidRPr="002325DF">
        <w:rPr>
          <w:lang w:val="fr-FR"/>
        </w:rPr>
        <w:t>État partie est invité en outre à rendre celles-ci publiques et à les diffuser largement dans ses langues officielles.</w:t>
      </w:r>
    </w:p>
    <w:p w14:paraId="70680812" w14:textId="620A7E44" w:rsidR="00CD04BD" w:rsidRPr="00CD04BD" w:rsidRDefault="00CD04BD" w:rsidP="00CD04BD">
      <w:pPr>
        <w:pStyle w:val="SingleTxtG"/>
        <w:spacing w:before="240" w:after="0"/>
        <w:jc w:val="center"/>
        <w:rPr>
          <w:u w:val="single"/>
        </w:rPr>
      </w:pPr>
      <w:r>
        <w:rPr>
          <w:u w:val="single"/>
        </w:rPr>
        <w:tab/>
      </w:r>
      <w:r>
        <w:rPr>
          <w:u w:val="single"/>
        </w:rPr>
        <w:tab/>
      </w:r>
      <w:r>
        <w:rPr>
          <w:u w:val="single"/>
        </w:rPr>
        <w:tab/>
      </w:r>
    </w:p>
    <w:sectPr w:rsidR="00CD04BD" w:rsidRPr="00CD04BD" w:rsidSect="00CD04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C12F" w14:textId="77777777" w:rsidR="00ED226D" w:rsidRDefault="00ED226D" w:rsidP="00F95C08">
      <w:pPr>
        <w:spacing w:line="240" w:lineRule="auto"/>
      </w:pPr>
    </w:p>
  </w:endnote>
  <w:endnote w:type="continuationSeparator" w:id="0">
    <w:p w14:paraId="66047691" w14:textId="77777777" w:rsidR="00ED226D" w:rsidRPr="00AC3823" w:rsidRDefault="00ED226D" w:rsidP="00AC3823">
      <w:pPr>
        <w:pStyle w:val="Pieddepage"/>
      </w:pPr>
    </w:p>
  </w:endnote>
  <w:endnote w:type="continuationNotice" w:id="1">
    <w:p w14:paraId="0D0C8128" w14:textId="77777777" w:rsidR="00ED226D" w:rsidRDefault="00ED22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1BC2" w14:textId="741B79AC" w:rsidR="00CD04BD" w:rsidRPr="00CD04BD" w:rsidRDefault="00CD04BD" w:rsidP="00CD04BD">
    <w:pPr>
      <w:pStyle w:val="Pieddepage"/>
      <w:tabs>
        <w:tab w:val="right" w:pos="9638"/>
      </w:tabs>
    </w:pPr>
    <w:r w:rsidRPr="00CD04BD">
      <w:rPr>
        <w:b/>
        <w:sz w:val="18"/>
      </w:rPr>
      <w:fldChar w:fldCharType="begin"/>
    </w:r>
    <w:r w:rsidRPr="00CD04BD">
      <w:rPr>
        <w:b/>
        <w:sz w:val="18"/>
      </w:rPr>
      <w:instrText xml:space="preserve"> PAGE  \* MERGEFORMAT </w:instrText>
    </w:r>
    <w:r w:rsidRPr="00CD04BD">
      <w:rPr>
        <w:b/>
        <w:sz w:val="18"/>
      </w:rPr>
      <w:fldChar w:fldCharType="separate"/>
    </w:r>
    <w:r w:rsidRPr="00CD04BD">
      <w:rPr>
        <w:b/>
        <w:noProof/>
        <w:sz w:val="18"/>
      </w:rPr>
      <w:t>2</w:t>
    </w:r>
    <w:r w:rsidRPr="00CD04BD">
      <w:rPr>
        <w:b/>
        <w:sz w:val="18"/>
      </w:rPr>
      <w:fldChar w:fldCharType="end"/>
    </w:r>
    <w:r>
      <w:rPr>
        <w:b/>
        <w:sz w:val="18"/>
      </w:rPr>
      <w:tab/>
    </w:r>
    <w:r>
      <w:t>GE.22-03557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09BF" w14:textId="446C5506" w:rsidR="00CD04BD" w:rsidRPr="00CD04BD" w:rsidRDefault="00CD04BD" w:rsidP="00CD04BD">
    <w:pPr>
      <w:pStyle w:val="Pieddepage"/>
      <w:tabs>
        <w:tab w:val="right" w:pos="9638"/>
      </w:tabs>
      <w:rPr>
        <w:b/>
        <w:sz w:val="18"/>
      </w:rPr>
    </w:pPr>
    <w:r>
      <w:t>GE.22-03557</w:t>
    </w:r>
    <w:r>
      <w:tab/>
    </w:r>
    <w:r w:rsidRPr="00CD04BD">
      <w:rPr>
        <w:b/>
        <w:sz w:val="18"/>
      </w:rPr>
      <w:fldChar w:fldCharType="begin"/>
    </w:r>
    <w:r w:rsidRPr="00CD04BD">
      <w:rPr>
        <w:b/>
        <w:sz w:val="18"/>
      </w:rPr>
      <w:instrText xml:space="preserve"> PAGE  \* MERGEFORMAT </w:instrText>
    </w:r>
    <w:r w:rsidRPr="00CD04BD">
      <w:rPr>
        <w:b/>
        <w:sz w:val="18"/>
      </w:rPr>
      <w:fldChar w:fldCharType="separate"/>
    </w:r>
    <w:r w:rsidRPr="00CD04BD">
      <w:rPr>
        <w:b/>
        <w:noProof/>
        <w:sz w:val="18"/>
      </w:rPr>
      <w:t>3</w:t>
    </w:r>
    <w:r w:rsidRPr="00CD04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A066" w14:textId="2476DA99" w:rsidR="001B379B" w:rsidRPr="00CD04BD" w:rsidRDefault="00CD04BD" w:rsidP="00CD04BD">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1E72666" wp14:editId="69EC8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22-03557  (F)</w:t>
    </w:r>
    <w:r>
      <w:rPr>
        <w:noProof/>
        <w:sz w:val="20"/>
      </w:rPr>
      <w:drawing>
        <wp:anchor distT="0" distB="0" distL="114300" distR="114300" simplePos="0" relativeHeight="251660288" behindDoc="0" locked="0" layoutInCell="1" allowOverlap="1" wp14:anchorId="23CEE942" wp14:editId="4D191CA9">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190522    </w:t>
    </w:r>
    <w:r w:rsidR="00B51F69">
      <w:rPr>
        <w:sz w:val="20"/>
      </w:rPr>
      <w:t>20</w:t>
    </w:r>
    <w:r>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0D6B" w14:textId="77777777" w:rsidR="00ED226D" w:rsidRPr="00AC3823" w:rsidRDefault="00ED226D" w:rsidP="00AC3823">
      <w:pPr>
        <w:pStyle w:val="Pieddepage"/>
        <w:tabs>
          <w:tab w:val="right" w:pos="2155"/>
        </w:tabs>
        <w:spacing w:after="80" w:line="240" w:lineRule="atLeast"/>
        <w:ind w:left="680"/>
        <w:rPr>
          <w:u w:val="single"/>
        </w:rPr>
      </w:pPr>
      <w:r>
        <w:rPr>
          <w:u w:val="single"/>
        </w:rPr>
        <w:tab/>
      </w:r>
    </w:p>
  </w:footnote>
  <w:footnote w:type="continuationSeparator" w:id="0">
    <w:p w14:paraId="4B163300" w14:textId="77777777" w:rsidR="00ED226D" w:rsidRPr="00AC3823" w:rsidRDefault="00ED226D" w:rsidP="00AC3823">
      <w:pPr>
        <w:pStyle w:val="Pieddepage"/>
        <w:tabs>
          <w:tab w:val="right" w:pos="2155"/>
        </w:tabs>
        <w:spacing w:after="80" w:line="240" w:lineRule="atLeast"/>
        <w:ind w:left="680"/>
        <w:rPr>
          <w:u w:val="single"/>
        </w:rPr>
      </w:pPr>
      <w:r>
        <w:rPr>
          <w:u w:val="single"/>
        </w:rPr>
        <w:tab/>
      </w:r>
    </w:p>
  </w:footnote>
  <w:footnote w:type="continuationNotice" w:id="1">
    <w:p w14:paraId="3F50652E" w14:textId="77777777" w:rsidR="00ED226D" w:rsidRPr="00AC3823" w:rsidRDefault="00ED226D">
      <w:pPr>
        <w:spacing w:line="240" w:lineRule="auto"/>
        <w:rPr>
          <w:sz w:val="2"/>
          <w:szCs w:val="2"/>
        </w:rPr>
      </w:pPr>
    </w:p>
  </w:footnote>
  <w:footnote w:id="2">
    <w:p w14:paraId="6541EF20" w14:textId="6C9D8765" w:rsidR="00E0228B" w:rsidRPr="00E0228B" w:rsidRDefault="00E0228B">
      <w:pPr>
        <w:pStyle w:val="Notedebasdepage"/>
      </w:pPr>
      <w:r>
        <w:rPr>
          <w:rStyle w:val="Appelnotedebasdep"/>
        </w:rPr>
        <w:tab/>
      </w:r>
      <w:r w:rsidRPr="00E0228B">
        <w:rPr>
          <w:rStyle w:val="Appelnotedebasdep"/>
          <w:sz w:val="20"/>
          <w:vertAlign w:val="baseline"/>
        </w:rPr>
        <w:t>*</w:t>
      </w:r>
      <w:r>
        <w:rPr>
          <w:rStyle w:val="Appelnotedebasdep"/>
          <w:sz w:val="20"/>
          <w:vertAlign w:val="baseline"/>
        </w:rPr>
        <w:tab/>
      </w:r>
      <w:r w:rsidRPr="002D0239">
        <w:t>Ado</w:t>
      </w:r>
      <w:r>
        <w:t>ptées par le Comité à sa 132</w:t>
      </w:r>
      <w:r w:rsidRPr="00966F17">
        <w:rPr>
          <w:vertAlign w:val="superscript"/>
        </w:rPr>
        <w:t>e</w:t>
      </w:r>
      <w:r>
        <w:t xml:space="preserve"> session (28 juin-23 juillet </w:t>
      </w:r>
      <w:r w:rsidRPr="002D0239">
        <w:t>2021)</w:t>
      </w:r>
      <w:r>
        <w:t>.</w:t>
      </w:r>
    </w:p>
  </w:footnote>
  <w:footnote w:id="3">
    <w:p w14:paraId="5EB53D59" w14:textId="0E27FE26" w:rsidR="00E0228B" w:rsidRPr="00E0228B" w:rsidRDefault="00E0228B">
      <w:pPr>
        <w:pStyle w:val="Notedebasdepage"/>
      </w:pPr>
      <w:r>
        <w:rPr>
          <w:rStyle w:val="Appelnotedebasdep"/>
        </w:rPr>
        <w:tab/>
      </w:r>
      <w:r w:rsidRPr="00E0228B">
        <w:rPr>
          <w:rStyle w:val="Appelnotedebasdep"/>
          <w:sz w:val="20"/>
          <w:vertAlign w:val="baseline"/>
        </w:rPr>
        <w:t>**</w:t>
      </w:r>
      <w:r>
        <w:rPr>
          <w:rStyle w:val="Appelnotedebasdep"/>
          <w:sz w:val="20"/>
          <w:vertAlign w:val="baseline"/>
        </w:rPr>
        <w:tab/>
      </w:r>
      <w:r>
        <w:t xml:space="preserve">Les membres du Comité dont le nom suit ont participé à l’examen de la communication : </w:t>
      </w:r>
      <w:r w:rsidRPr="00A06D1D">
        <w:t>Wafaa Ashraf Moharram</w:t>
      </w:r>
      <w:r>
        <w:t xml:space="preserve"> Bassim, </w:t>
      </w:r>
      <w:r w:rsidRPr="00B2629C">
        <w:t xml:space="preserve">Yadh Ben Achour, </w:t>
      </w:r>
      <w:r>
        <w:t xml:space="preserve">Arif Bulkan, Mahjoub El Haiba, </w:t>
      </w:r>
      <w:r w:rsidRPr="00A06D1D">
        <w:t xml:space="preserve">Carlos </w:t>
      </w:r>
      <w:r>
        <w:t>Gómez</w:t>
      </w:r>
      <w:r w:rsidRPr="00B2629C">
        <w:t xml:space="preserve"> </w:t>
      </w:r>
      <w:r>
        <w:t xml:space="preserve">Martínez, </w:t>
      </w:r>
      <w:r w:rsidRPr="00B2629C">
        <w:t xml:space="preserve">Duncan </w:t>
      </w:r>
      <w:r>
        <w:t>Laki Muhumuza</w:t>
      </w:r>
      <w:r w:rsidRPr="00B2629C">
        <w:t>,</w:t>
      </w:r>
      <w:r w:rsidRPr="00314001">
        <w:t xml:space="preserve"> </w:t>
      </w:r>
      <w:r w:rsidRPr="00DA33D1">
        <w:t>Photini Pazartzis</w:t>
      </w:r>
      <w:r>
        <w:t>,</w:t>
      </w:r>
      <w:r w:rsidRPr="00B2629C">
        <w:t xml:space="preserve"> </w:t>
      </w:r>
      <w:r>
        <w:t xml:space="preserve">Hernán Quezada Cabrera, </w:t>
      </w:r>
      <w:r w:rsidRPr="00B2629C">
        <w:t xml:space="preserve">Vasilka </w:t>
      </w:r>
      <w:r>
        <w:t>Sancin, José Manuel Santos Pais,</w:t>
      </w:r>
      <w:r w:rsidRPr="00314001">
        <w:t xml:space="preserve"> </w:t>
      </w:r>
      <w:r>
        <w:t>Soh Changrok, Kobauyah Tchamdja Kpatcha, Hélène Tigroudja, Imeru Tamerat Yigezu et Gentian Zyberi.</w:t>
      </w:r>
    </w:p>
  </w:footnote>
  <w:footnote w:id="4">
    <w:p w14:paraId="76342CC1" w14:textId="27E96515" w:rsidR="00CD04BD" w:rsidRPr="00CB4CCE" w:rsidRDefault="00CD04BD" w:rsidP="00CD04BD">
      <w:pPr>
        <w:pStyle w:val="Notedebasdepage"/>
      </w:pPr>
      <w:r>
        <w:rPr>
          <w:lang w:val="fr-FR"/>
        </w:rPr>
        <w:tab/>
      </w:r>
      <w:r w:rsidRPr="00026BCE">
        <w:rPr>
          <w:rStyle w:val="Appelnotedebasdep"/>
        </w:rPr>
        <w:footnoteRef/>
      </w:r>
      <w:r>
        <w:rPr>
          <w:lang w:val="fr-FR"/>
        </w:rPr>
        <w:tab/>
        <w:t>Compte tenu des lacunes que présentent les informations communiquées par l’auteur et du fait que l’État partie n’a formulé aucune observation sur le fond, l’exposé des faits a été élaboré sur la base des copies de décisions de justice que l’auteur a fait parvenir au Comité.</w:t>
      </w:r>
    </w:p>
  </w:footnote>
  <w:footnote w:id="5">
    <w:p w14:paraId="4AA5CC71" w14:textId="3FD7ACA6" w:rsidR="00CD04BD" w:rsidRPr="00CB4CCE" w:rsidRDefault="00CD04BD" w:rsidP="00CD04BD">
      <w:pPr>
        <w:pStyle w:val="Notedebasdepage"/>
      </w:pPr>
      <w:r>
        <w:rPr>
          <w:lang w:val="fr-FR"/>
        </w:rPr>
        <w:tab/>
      </w:r>
      <w:r w:rsidRPr="00026BCE">
        <w:rPr>
          <w:rStyle w:val="Appelnotedebasdep"/>
        </w:rPr>
        <w:footnoteRef/>
      </w:r>
      <w:r>
        <w:rPr>
          <w:lang w:val="fr-FR"/>
        </w:rPr>
        <w:tab/>
        <w:t>L’auteur affirme que ces deux personnes sont mariées.</w:t>
      </w:r>
    </w:p>
  </w:footnote>
  <w:footnote w:id="6">
    <w:p w14:paraId="55A0ED48" w14:textId="500723DC" w:rsidR="00CD04BD" w:rsidRPr="00CB4CCE" w:rsidRDefault="00CD04BD" w:rsidP="00CD04BD">
      <w:pPr>
        <w:pStyle w:val="Notedebasdepage"/>
      </w:pPr>
      <w:r>
        <w:rPr>
          <w:lang w:val="fr-FR"/>
        </w:rPr>
        <w:tab/>
      </w:r>
      <w:r w:rsidRPr="00026BCE">
        <w:rPr>
          <w:rStyle w:val="Appelnotedebasdep"/>
        </w:rPr>
        <w:footnoteRef/>
      </w:r>
      <w:r>
        <w:rPr>
          <w:lang w:val="fr-FR"/>
        </w:rPr>
        <w:tab/>
        <w:t>Dans sa lettre, l’auteur ne donne pas d’indications permettant de savoir s’il était sorti du service psychiatrique au moment où il a saisi le Comité de sa communication.</w:t>
      </w:r>
    </w:p>
  </w:footnote>
  <w:footnote w:id="7">
    <w:p w14:paraId="19BBC205" w14:textId="62193145" w:rsidR="00CD04BD" w:rsidRPr="00CB4CCE" w:rsidRDefault="00CD04BD" w:rsidP="00CD04BD">
      <w:pPr>
        <w:pStyle w:val="Notedebasdepage"/>
      </w:pPr>
      <w:r>
        <w:rPr>
          <w:lang w:val="fr-FR"/>
        </w:rPr>
        <w:tab/>
      </w:r>
      <w:r w:rsidRPr="00026BCE">
        <w:rPr>
          <w:rStyle w:val="Appelnotedebasdep"/>
        </w:rPr>
        <w:footnoteRef/>
      </w:r>
      <w:r>
        <w:rPr>
          <w:lang w:val="fr-FR"/>
        </w:rPr>
        <w:tab/>
        <w:t>Aucune précision n’est fournie à ce sujet dans la décision du tribunal datée du 21 août 2013, qui tient sur une page et demie.</w:t>
      </w:r>
    </w:p>
  </w:footnote>
  <w:footnote w:id="8">
    <w:p w14:paraId="530EEBA5" w14:textId="77777777" w:rsidR="00CD04BD" w:rsidRPr="00FD5DEA" w:rsidRDefault="00CD04BD" w:rsidP="00CD04BD">
      <w:pPr>
        <w:pStyle w:val="Notedebasdepage"/>
      </w:pPr>
      <w:r>
        <w:rPr>
          <w:lang w:val="fr-FR"/>
        </w:rPr>
        <w:tab/>
      </w:r>
      <w:r w:rsidRPr="00026BCE">
        <w:rPr>
          <w:rStyle w:val="Appelnotedebasdep"/>
        </w:rPr>
        <w:footnoteRef/>
      </w:r>
      <w:r>
        <w:rPr>
          <w:lang w:val="fr-FR"/>
        </w:rPr>
        <w:tab/>
        <w:t>Aucune précision n’est fournie à ce sujet dans la décision du tribunal datée du 21 août 2013.</w:t>
      </w:r>
    </w:p>
  </w:footnote>
  <w:footnote w:id="9">
    <w:p w14:paraId="7E72EAC2" w14:textId="77777777" w:rsidR="00CD04BD" w:rsidRPr="00AA12BB" w:rsidRDefault="00CD04BD" w:rsidP="00CD04BD">
      <w:pPr>
        <w:pStyle w:val="Notedebasdepage"/>
      </w:pPr>
      <w:r>
        <w:rPr>
          <w:lang w:val="fr-FR"/>
        </w:rPr>
        <w:tab/>
      </w:r>
      <w:r w:rsidRPr="00026BCE">
        <w:rPr>
          <w:rStyle w:val="Appelnotedebasdep"/>
        </w:rPr>
        <w:footnoteRef/>
      </w:r>
      <w:r>
        <w:rPr>
          <w:lang w:val="fr-FR"/>
        </w:rPr>
        <w:tab/>
        <w:t xml:space="preserve">L’auteur ne semble pas étayer ces griefs. </w:t>
      </w:r>
    </w:p>
  </w:footnote>
  <w:footnote w:id="10">
    <w:p w14:paraId="19A5222B" w14:textId="18343395" w:rsidR="00CD04BD" w:rsidRPr="00AA12BB" w:rsidRDefault="00CD04BD" w:rsidP="00CD04BD">
      <w:pPr>
        <w:pStyle w:val="Notedebasdepage"/>
      </w:pPr>
      <w:r>
        <w:rPr>
          <w:lang w:val="fr-FR"/>
        </w:rPr>
        <w:tab/>
      </w:r>
      <w:r w:rsidRPr="00026BCE">
        <w:rPr>
          <w:rStyle w:val="Appelnotedebasdep"/>
        </w:rPr>
        <w:footnoteRef/>
      </w:r>
      <w:r>
        <w:rPr>
          <w:lang w:val="fr-FR"/>
        </w:rPr>
        <w:tab/>
        <w:t>L’État partie ne donne pas d’autres renseignements à ce sujet.</w:t>
      </w:r>
    </w:p>
  </w:footnote>
  <w:footnote w:id="11">
    <w:p w14:paraId="6F1C91AD" w14:textId="529CE3A1" w:rsidR="00CD04BD" w:rsidRPr="00E63A86" w:rsidRDefault="00CD04BD" w:rsidP="00CD04BD">
      <w:pPr>
        <w:pStyle w:val="Notedebasdepage"/>
      </w:pPr>
      <w:r w:rsidRPr="007D1AFC">
        <w:rPr>
          <w:spacing w:val="-2"/>
          <w:lang w:val="fr-FR"/>
        </w:rPr>
        <w:tab/>
      </w:r>
      <w:r w:rsidRPr="007D1AFC">
        <w:rPr>
          <w:rStyle w:val="Appelnotedebasdep"/>
          <w:spacing w:val="-2"/>
        </w:rPr>
        <w:footnoteRef/>
      </w:r>
      <w:r w:rsidRPr="007D1AFC">
        <w:rPr>
          <w:spacing w:val="-2"/>
          <w:lang w:val="fr-FR"/>
        </w:rPr>
        <w:tab/>
        <w:t>L’État partie a été invité à soumettre ses observations sur le fond de la communication le 17 septembre 2014</w:t>
      </w:r>
      <w:r>
        <w:rPr>
          <w:lang w:val="fr-FR"/>
        </w:rPr>
        <w:t xml:space="preserve"> (parallèlement à la demande qui lui avait été adressée lorsque la communication avait été enregistrée). Des rappels lui ont été envoyés le 3 décembre 2014, le 26 août 2020 et le 8 avril 2021. À</w:t>
      </w:r>
      <w:r w:rsidR="007D1AFC">
        <w:rPr>
          <w:lang w:val="fr-FR"/>
        </w:rPr>
        <w:t> </w:t>
      </w:r>
      <w:r>
        <w:rPr>
          <w:lang w:val="fr-FR"/>
        </w:rPr>
        <w:t>ce jour, aucune réponse n’a été reçue.</w:t>
      </w:r>
    </w:p>
  </w:footnote>
  <w:footnote w:id="12">
    <w:p w14:paraId="360D93AF" w14:textId="346712E3" w:rsidR="00CD04BD" w:rsidRPr="00AB7684" w:rsidRDefault="00CD04BD" w:rsidP="00CD04BD">
      <w:pPr>
        <w:pStyle w:val="Notedebasdepage"/>
      </w:pPr>
      <w:r>
        <w:rPr>
          <w:lang w:val="fr-FR"/>
        </w:rPr>
        <w:tab/>
      </w:r>
      <w:r w:rsidRPr="00026BCE">
        <w:rPr>
          <w:rStyle w:val="Appelnotedebasdep"/>
        </w:rPr>
        <w:footnoteRef/>
      </w:r>
      <w:r>
        <w:rPr>
          <w:lang w:val="fr-FR"/>
        </w:rPr>
        <w:tab/>
        <w:t xml:space="preserve">L’auteur renvoie à </w:t>
      </w:r>
      <w:r w:rsidRPr="00966F17">
        <w:rPr>
          <w:i/>
          <w:iCs/>
        </w:rPr>
        <w:t>Olechkevitch c.</w:t>
      </w:r>
      <w:r>
        <w:rPr>
          <w:i/>
          <w:iCs/>
        </w:rPr>
        <w:t> </w:t>
      </w:r>
      <w:r w:rsidRPr="00966F17">
        <w:rPr>
          <w:i/>
          <w:iCs/>
        </w:rPr>
        <w:t>Bélarus</w:t>
      </w:r>
      <w:r w:rsidRPr="00966F17">
        <w:t xml:space="preserve"> (</w:t>
      </w:r>
      <w:hyperlink r:id="rId1" w:history="1">
        <w:r w:rsidRPr="007D1AFC">
          <w:rPr>
            <w:rStyle w:val="Lienhypertexte"/>
          </w:rPr>
          <w:t>CCPR/C/107/D/1785/2008</w:t>
        </w:r>
      </w:hyperlink>
      <w:r w:rsidRPr="00966F17">
        <w:t xml:space="preserve">) et </w:t>
      </w:r>
      <w:r w:rsidRPr="00966F17">
        <w:rPr>
          <w:i/>
          <w:iCs/>
        </w:rPr>
        <w:t>Shumilin c.</w:t>
      </w:r>
      <w:r>
        <w:rPr>
          <w:i/>
          <w:iCs/>
        </w:rPr>
        <w:t> </w:t>
      </w:r>
      <w:r w:rsidRPr="00966F17">
        <w:rPr>
          <w:i/>
          <w:iCs/>
        </w:rPr>
        <w:t xml:space="preserve">Bélarus </w:t>
      </w:r>
      <w:r w:rsidRPr="00966F17">
        <w:t>(</w:t>
      </w:r>
      <w:hyperlink r:id="rId2" w:history="1">
        <w:r w:rsidRPr="007D1AFC">
          <w:rPr>
            <w:rStyle w:val="Lienhypertexte"/>
          </w:rPr>
          <w:t>CCPR/C/105/D/1784/2008</w:t>
        </w:r>
      </w:hyperlink>
      <w:r w:rsidRPr="00966F17">
        <w:t>).</w:t>
      </w:r>
    </w:p>
  </w:footnote>
  <w:footnote w:id="13">
    <w:p w14:paraId="41E7618A" w14:textId="5CA709E6" w:rsidR="00CD04BD" w:rsidRPr="0055431F" w:rsidRDefault="00CD04BD" w:rsidP="00CD04BD">
      <w:pPr>
        <w:pStyle w:val="Notedebasdepage"/>
      </w:pPr>
      <w:r>
        <w:rPr>
          <w:lang w:val="fr-FR"/>
        </w:rPr>
        <w:tab/>
      </w:r>
      <w:r w:rsidRPr="00026BCE">
        <w:rPr>
          <w:rStyle w:val="Appelnotedebasdep"/>
        </w:rPr>
        <w:footnoteRef/>
      </w:r>
      <w:r>
        <w:rPr>
          <w:lang w:val="fr-FR"/>
        </w:rPr>
        <w:tab/>
        <w:t>Voir aussi le paragraphe 4 ci-dessus. L’État partie ne fournit aucun renseignement sur les recours disponibles.</w:t>
      </w:r>
    </w:p>
  </w:footnote>
  <w:footnote w:id="14">
    <w:p w14:paraId="6495B11D" w14:textId="1B7EE12F" w:rsidR="00CD04BD" w:rsidRPr="00D366D0" w:rsidRDefault="00CD04BD" w:rsidP="00CD04BD">
      <w:pPr>
        <w:pStyle w:val="Notedebasdepage"/>
      </w:pPr>
      <w:r>
        <w:rPr>
          <w:lang w:val="fr-FR"/>
        </w:rPr>
        <w:tab/>
      </w:r>
      <w:r w:rsidRPr="00026BCE">
        <w:rPr>
          <w:rStyle w:val="Appelnotedebasdep"/>
        </w:rPr>
        <w:footnoteRef/>
      </w:r>
      <w:r>
        <w:rPr>
          <w:lang w:val="fr-FR"/>
        </w:rPr>
        <w:tab/>
        <w:t xml:space="preserve">Voir notamment, </w:t>
      </w:r>
      <w:r>
        <w:rPr>
          <w:i/>
          <w:iCs/>
          <w:lang w:val="fr-FR"/>
        </w:rPr>
        <w:t>A. c.</w:t>
      </w:r>
      <w:r>
        <w:rPr>
          <w:i/>
          <w:iCs/>
          <w:lang w:val="fr-FR"/>
        </w:rPr>
        <w:t> </w:t>
      </w:r>
      <w:r>
        <w:rPr>
          <w:i/>
          <w:iCs/>
          <w:lang w:val="fr-FR"/>
        </w:rPr>
        <w:t xml:space="preserve">Nouvelle-Zélande </w:t>
      </w:r>
      <w:r>
        <w:rPr>
          <w:lang w:val="fr-FR"/>
        </w:rPr>
        <w:t>(</w:t>
      </w:r>
      <w:hyperlink r:id="rId3" w:history="1">
        <w:r w:rsidRPr="00CD04BD">
          <w:rPr>
            <w:rStyle w:val="Lienhypertexte"/>
            <w:lang w:val="fr-FR"/>
          </w:rPr>
          <w:t>CCPR/C/66/D/754/1997</w:t>
        </w:r>
      </w:hyperlink>
      <w:r>
        <w:rPr>
          <w:lang w:val="fr-FR"/>
        </w:rPr>
        <w:t xml:space="preserve">), par. 7.2 ; et </w:t>
      </w:r>
      <w:r>
        <w:rPr>
          <w:i/>
          <w:iCs/>
          <w:lang w:val="fr-FR"/>
        </w:rPr>
        <w:t xml:space="preserve">Fijalkowska c. Pologne </w:t>
      </w:r>
      <w:r>
        <w:rPr>
          <w:lang w:val="fr-FR"/>
        </w:rPr>
        <w:t>(</w:t>
      </w:r>
      <w:hyperlink r:id="rId4" w:history="1">
        <w:r w:rsidRPr="00CD04BD">
          <w:rPr>
            <w:rStyle w:val="Lienhypertexte"/>
            <w:lang w:val="fr-FR"/>
          </w:rPr>
          <w:t>CCPR/C/84/D/1061/2002</w:t>
        </w:r>
      </w:hyperlink>
      <w:r>
        <w:rPr>
          <w:lang w:val="fr-FR"/>
        </w:rPr>
        <w:t>), par. 8.2.</w:t>
      </w:r>
    </w:p>
  </w:footnote>
  <w:footnote w:id="15">
    <w:p w14:paraId="5DB89866" w14:textId="3FCFBB42" w:rsidR="00CD04BD" w:rsidRPr="00966F17" w:rsidRDefault="00CD04BD" w:rsidP="00CD04BD">
      <w:pPr>
        <w:pStyle w:val="Notedebasdepage"/>
      </w:pPr>
      <w:r w:rsidRPr="00966F17">
        <w:tab/>
      </w:r>
      <w:r w:rsidRPr="00026BCE">
        <w:rPr>
          <w:rStyle w:val="Appelnotedebasdep"/>
        </w:rPr>
        <w:footnoteRef/>
      </w:r>
      <w:r w:rsidRPr="00966F17">
        <w:t xml:space="preserve"> </w:t>
      </w:r>
      <w:r w:rsidRPr="00966F17">
        <w:tab/>
        <w:t xml:space="preserve">Observation générale </w:t>
      </w:r>
      <w:r>
        <w:t>n</w:t>
      </w:r>
      <w:r w:rsidRPr="00CD04BD">
        <w:rPr>
          <w:vertAlign w:val="superscript"/>
        </w:rPr>
        <w:t>o</w:t>
      </w:r>
      <w:r>
        <w:t> </w:t>
      </w:r>
      <w:r w:rsidRPr="00966F17">
        <w:t>35 (2014), par.</w:t>
      </w:r>
      <w:r>
        <w:t> </w:t>
      </w:r>
      <w:r w:rsidRPr="00966F17">
        <w:t>10.</w:t>
      </w:r>
    </w:p>
  </w:footnote>
  <w:footnote w:id="16">
    <w:p w14:paraId="0DBB6C5B" w14:textId="4D2470ED" w:rsidR="00CD04BD" w:rsidRPr="00966F17" w:rsidRDefault="00CD04BD" w:rsidP="00CD04BD">
      <w:pPr>
        <w:pStyle w:val="Notedebasdepage"/>
      </w:pPr>
      <w:r w:rsidRPr="00966F17">
        <w:tab/>
      </w:r>
      <w:r w:rsidRPr="00026BCE">
        <w:rPr>
          <w:rStyle w:val="Appelnotedebasdep"/>
        </w:rPr>
        <w:footnoteRef/>
      </w:r>
      <w:r w:rsidRPr="00966F17">
        <w:t xml:space="preserve"> </w:t>
      </w:r>
      <w:r w:rsidRPr="00966F17">
        <w:tab/>
        <w:t>Ibid., par.</w:t>
      </w:r>
      <w:r>
        <w:t> </w:t>
      </w:r>
      <w:r w:rsidRPr="00966F17">
        <w:t>11.</w:t>
      </w:r>
    </w:p>
  </w:footnote>
  <w:footnote w:id="17">
    <w:p w14:paraId="6A3896BA" w14:textId="340FE883" w:rsidR="00CD04BD" w:rsidRPr="00BE2474" w:rsidRDefault="00CD04BD" w:rsidP="00CD04BD">
      <w:pPr>
        <w:pStyle w:val="Notedebasdepage"/>
      </w:pPr>
      <w:r>
        <w:rPr>
          <w:lang w:val="fr-FR"/>
        </w:rPr>
        <w:tab/>
      </w:r>
      <w:r w:rsidRPr="00026BCE">
        <w:rPr>
          <w:rStyle w:val="Appelnotedebasdep"/>
        </w:rPr>
        <w:footnoteRef/>
      </w:r>
      <w:r>
        <w:rPr>
          <w:lang w:val="fr-FR"/>
        </w:rPr>
        <w:tab/>
        <w:t>Ibid., par.</w:t>
      </w:r>
      <w:r>
        <w:rPr>
          <w:lang w:val="fr-FR"/>
        </w:rPr>
        <w:t> </w:t>
      </w:r>
      <w:r>
        <w:rPr>
          <w:lang w:val="fr-FR"/>
        </w:rPr>
        <w:t>11.</w:t>
      </w:r>
    </w:p>
  </w:footnote>
  <w:footnote w:id="18">
    <w:p w14:paraId="17FB5C34" w14:textId="3F9BEEF5" w:rsidR="00CD04BD" w:rsidRPr="00960D88" w:rsidRDefault="00CD04BD" w:rsidP="00CD04BD">
      <w:pPr>
        <w:pStyle w:val="Notedebasdepage"/>
      </w:pPr>
      <w:r>
        <w:rPr>
          <w:lang w:val="fr-FR"/>
        </w:rPr>
        <w:tab/>
      </w:r>
      <w:r w:rsidRPr="00026BCE">
        <w:rPr>
          <w:rStyle w:val="Appelnotedebasdep"/>
        </w:rPr>
        <w:footnoteRef/>
      </w:r>
      <w:r>
        <w:rPr>
          <w:lang w:val="fr-FR"/>
        </w:rPr>
        <w:tab/>
        <w:t xml:space="preserve">Ibid., par. 12. Voir aussi, notamment, </w:t>
      </w:r>
      <w:r>
        <w:rPr>
          <w:i/>
          <w:iCs/>
          <w:lang w:val="fr-FR"/>
        </w:rPr>
        <w:t>M.</w:t>
      </w:r>
      <w:r>
        <w:rPr>
          <w:i/>
          <w:iCs/>
          <w:lang w:val="fr-FR"/>
        </w:rPr>
        <w:t> </w:t>
      </w:r>
      <w:r>
        <w:rPr>
          <w:i/>
          <w:iCs/>
          <w:lang w:val="fr-FR"/>
        </w:rPr>
        <w:t>G.</w:t>
      </w:r>
      <w:r>
        <w:rPr>
          <w:i/>
          <w:iCs/>
          <w:lang w:val="fr-FR"/>
        </w:rPr>
        <w:t> </w:t>
      </w:r>
      <w:r>
        <w:rPr>
          <w:i/>
          <w:iCs/>
          <w:lang w:val="fr-FR"/>
        </w:rPr>
        <w:t>C. c.</w:t>
      </w:r>
      <w:r>
        <w:rPr>
          <w:i/>
          <w:iCs/>
          <w:lang w:val="fr-FR"/>
        </w:rPr>
        <w:t> </w:t>
      </w:r>
      <w:r>
        <w:rPr>
          <w:i/>
          <w:iCs/>
          <w:lang w:val="fr-FR"/>
        </w:rPr>
        <w:t xml:space="preserve">Australie </w:t>
      </w:r>
      <w:r>
        <w:rPr>
          <w:lang w:val="fr-FR"/>
        </w:rPr>
        <w:t>(</w:t>
      </w:r>
      <w:hyperlink r:id="rId5" w:history="1">
        <w:r w:rsidRPr="00CD04BD">
          <w:rPr>
            <w:rStyle w:val="Lienhypertexte"/>
            <w:lang w:val="fr-FR"/>
          </w:rPr>
          <w:t>CCPR/C/113/D/1875/2009</w:t>
        </w:r>
      </w:hyperlink>
      <w:r>
        <w:rPr>
          <w:lang w:val="fr-FR"/>
        </w:rPr>
        <w:t>), par. 11.5.</w:t>
      </w:r>
    </w:p>
  </w:footnote>
  <w:footnote w:id="19">
    <w:p w14:paraId="210CE952" w14:textId="77DDD338" w:rsidR="00CD04BD" w:rsidRPr="00701F21" w:rsidRDefault="00CD04BD" w:rsidP="00CD04BD">
      <w:pPr>
        <w:pStyle w:val="Notedebasdepage"/>
      </w:pPr>
      <w:r>
        <w:rPr>
          <w:lang w:val="fr-FR"/>
        </w:rPr>
        <w:tab/>
      </w:r>
      <w:r w:rsidRPr="00026BCE">
        <w:rPr>
          <w:rStyle w:val="Appelnotedebasdep"/>
        </w:rPr>
        <w:footnoteRef/>
      </w:r>
      <w:r>
        <w:rPr>
          <w:lang w:val="fr-FR"/>
        </w:rPr>
        <w:tab/>
      </w:r>
      <w:r>
        <w:rPr>
          <w:i/>
          <w:iCs/>
          <w:lang w:val="fr-FR"/>
        </w:rPr>
        <w:t>Fijalkowska c.</w:t>
      </w:r>
      <w:r>
        <w:rPr>
          <w:i/>
          <w:iCs/>
          <w:lang w:val="fr-FR"/>
        </w:rPr>
        <w:t> </w:t>
      </w:r>
      <w:r>
        <w:rPr>
          <w:i/>
          <w:iCs/>
          <w:lang w:val="fr-FR"/>
        </w:rPr>
        <w:t>Pologne</w:t>
      </w:r>
      <w:r>
        <w:rPr>
          <w:lang w:val="fr-FR"/>
        </w:rPr>
        <w:t>, par. 8.3.</w:t>
      </w:r>
    </w:p>
  </w:footnote>
  <w:footnote w:id="20">
    <w:p w14:paraId="075FABA2" w14:textId="6ACE0CEA" w:rsidR="00CD04BD" w:rsidRPr="00867508" w:rsidRDefault="00CD04BD" w:rsidP="00CD04BD">
      <w:pPr>
        <w:pStyle w:val="Notedebasdepage"/>
      </w:pPr>
      <w:r>
        <w:rPr>
          <w:lang w:val="fr-FR"/>
        </w:rPr>
        <w:tab/>
      </w:r>
      <w:r w:rsidRPr="00026BCE">
        <w:rPr>
          <w:rStyle w:val="Appelnotedebasdep"/>
        </w:rPr>
        <w:footnoteRef/>
      </w:r>
      <w:r>
        <w:rPr>
          <w:lang w:val="fr-FR"/>
        </w:rPr>
        <w:tab/>
        <w:t xml:space="preserve">Observation générale </w:t>
      </w:r>
      <w:r w:rsidRPr="00384C9B">
        <w:rPr>
          <w:lang w:val="fr-FR"/>
        </w:rPr>
        <w:t>n</w:t>
      </w:r>
      <w:r w:rsidRPr="00384C9B">
        <w:rPr>
          <w:vertAlign w:val="superscript"/>
          <w:lang w:val="fr-FR"/>
        </w:rPr>
        <w:t>o</w:t>
      </w:r>
      <w:r>
        <w:rPr>
          <w:lang w:val="fr-FR"/>
        </w:rPr>
        <w:t xml:space="preserve"> 35, par. 19, et </w:t>
      </w:r>
      <w:r w:rsidRPr="00384C9B">
        <w:rPr>
          <w:i/>
          <w:iCs/>
          <w:lang w:val="fr-FR"/>
        </w:rPr>
        <w:t>Fijalkowska c.</w:t>
      </w:r>
      <w:r>
        <w:rPr>
          <w:i/>
          <w:iCs/>
          <w:lang w:val="fr-FR"/>
        </w:rPr>
        <w:t> </w:t>
      </w:r>
      <w:r w:rsidRPr="00384C9B">
        <w:rPr>
          <w:i/>
          <w:iCs/>
          <w:lang w:val="fr-FR"/>
        </w:rPr>
        <w:t>Pologne</w:t>
      </w:r>
      <w:r>
        <w:rPr>
          <w:lang w:val="fr-FR"/>
        </w:rPr>
        <w:t>, par. 8.3.</w:t>
      </w:r>
    </w:p>
  </w:footnote>
  <w:footnote w:id="21">
    <w:p w14:paraId="7C482C35" w14:textId="3C26D23E" w:rsidR="00CD04BD" w:rsidRDefault="00CD04BD" w:rsidP="00CD04BD">
      <w:pPr>
        <w:pStyle w:val="Notedebasdepage"/>
      </w:pPr>
      <w:r>
        <w:rPr>
          <w:lang w:val="fr-FR"/>
        </w:rPr>
        <w:tab/>
      </w:r>
      <w:r w:rsidRPr="00026BCE">
        <w:rPr>
          <w:rStyle w:val="Appelnotedebasdep"/>
        </w:rPr>
        <w:footnoteRef/>
      </w:r>
      <w:r>
        <w:rPr>
          <w:lang w:val="fr-FR"/>
        </w:rPr>
        <w:tab/>
        <w:t xml:space="preserve">Observation générale </w:t>
      </w:r>
      <w:r w:rsidRPr="00384C9B">
        <w:rPr>
          <w:lang w:val="fr-FR"/>
        </w:rPr>
        <w:t>n</w:t>
      </w:r>
      <w:r w:rsidRPr="00384C9B">
        <w:rPr>
          <w:vertAlign w:val="superscript"/>
          <w:lang w:val="fr-FR"/>
        </w:rPr>
        <w:t>o</w:t>
      </w:r>
      <w:r>
        <w:rPr>
          <w:lang w:val="fr-FR"/>
        </w:rPr>
        <w:t xml:space="preserve"> 35 du Comité, par. 19. Voir aussi </w:t>
      </w:r>
      <w:hyperlink r:id="rId6" w:history="1">
        <w:r w:rsidRPr="00CD04BD">
          <w:rPr>
            <w:rStyle w:val="Lienhypertexte"/>
            <w:lang w:val="fr-FR"/>
          </w:rPr>
          <w:t>CCPR/C/CZE/CO/2</w:t>
        </w:r>
      </w:hyperlink>
      <w:r>
        <w:rPr>
          <w:lang w:val="fr-FR"/>
        </w:rPr>
        <w:t>, par. 14.</w:t>
      </w:r>
    </w:p>
  </w:footnote>
  <w:footnote w:id="22">
    <w:p w14:paraId="77D4DC98" w14:textId="436C60C0" w:rsidR="00CD04BD" w:rsidRPr="00A07A5B" w:rsidRDefault="00CD04BD" w:rsidP="00CD04BD">
      <w:pPr>
        <w:pStyle w:val="Notedebasdepage"/>
        <w:rPr>
          <w:szCs w:val="18"/>
        </w:rPr>
      </w:pPr>
      <w:r>
        <w:rPr>
          <w:szCs w:val="18"/>
          <w:lang w:val="fr-FR"/>
        </w:rPr>
        <w:tab/>
      </w:r>
      <w:r w:rsidRPr="00026BCE">
        <w:rPr>
          <w:rStyle w:val="Appelnotedebasdep"/>
        </w:rPr>
        <w:footnoteRef/>
      </w:r>
      <w:r>
        <w:rPr>
          <w:lang w:val="fr-FR"/>
        </w:rPr>
        <w:tab/>
      </w:r>
      <w:r>
        <w:rPr>
          <w:i/>
          <w:iCs/>
          <w:lang w:val="fr-FR"/>
        </w:rPr>
        <w:t>Mukhortova c.</w:t>
      </w:r>
      <w:r>
        <w:rPr>
          <w:i/>
          <w:iCs/>
          <w:lang w:val="fr-FR"/>
        </w:rPr>
        <w:t> </w:t>
      </w:r>
      <w:r>
        <w:rPr>
          <w:i/>
          <w:iCs/>
          <w:lang w:val="fr-FR"/>
        </w:rPr>
        <w:t>Kazakhstan</w:t>
      </w:r>
      <w:r>
        <w:rPr>
          <w:lang w:val="fr-FR"/>
        </w:rPr>
        <w:t xml:space="preserve"> (</w:t>
      </w:r>
      <w:hyperlink r:id="rId7" w:history="1">
        <w:r w:rsidRPr="00CD04BD">
          <w:rPr>
            <w:rStyle w:val="Lienhypertexte"/>
            <w:lang w:val="fr-FR"/>
          </w:rPr>
          <w:t>CCPR/C/127/D/2920/2016</w:t>
        </w:r>
      </w:hyperlink>
      <w:r>
        <w:rPr>
          <w:lang w:val="fr-FR"/>
        </w:rPr>
        <w:t>), par. 7.14.</w:t>
      </w:r>
    </w:p>
  </w:footnote>
  <w:footnote w:id="23">
    <w:p w14:paraId="3C1FB06D" w14:textId="77777777" w:rsidR="00CD04BD" w:rsidRPr="00CD6990" w:rsidRDefault="00CD04BD" w:rsidP="00CD04BD">
      <w:pPr>
        <w:pStyle w:val="Notedebasdepage"/>
        <w:rPr>
          <w:szCs w:val="18"/>
        </w:rPr>
      </w:pPr>
      <w:r>
        <w:rPr>
          <w:szCs w:val="18"/>
          <w:lang w:val="fr-FR"/>
        </w:rPr>
        <w:tab/>
      </w:r>
      <w:r w:rsidRPr="00026BCE">
        <w:rPr>
          <w:rStyle w:val="Appelnotedebasdep"/>
        </w:rPr>
        <w:footnoteRef/>
      </w:r>
      <w:r>
        <w:rPr>
          <w:lang w:val="fr-FR"/>
        </w:rPr>
        <w:tab/>
        <w:t>Ibid., par. 7.16.</w:t>
      </w:r>
    </w:p>
  </w:footnote>
  <w:footnote w:id="24">
    <w:p w14:paraId="26C00D28" w14:textId="699E83C7" w:rsidR="00CD04BD" w:rsidRPr="00CD04BD" w:rsidRDefault="00CD04BD" w:rsidP="00CD04BD">
      <w:pPr>
        <w:pStyle w:val="Notedebasdepage"/>
        <w:rPr>
          <w:spacing w:val="-2"/>
        </w:rPr>
      </w:pPr>
      <w:r w:rsidRPr="00CD04BD">
        <w:rPr>
          <w:spacing w:val="-2"/>
          <w:lang w:val="fr-FR"/>
        </w:rPr>
        <w:tab/>
      </w:r>
      <w:r w:rsidRPr="00CD04BD">
        <w:rPr>
          <w:rStyle w:val="Appelnotedebasdep"/>
          <w:spacing w:val="-2"/>
        </w:rPr>
        <w:footnoteRef/>
      </w:r>
      <w:r w:rsidRPr="00CD04BD">
        <w:rPr>
          <w:spacing w:val="-2"/>
          <w:lang w:val="fr-FR"/>
        </w:rPr>
        <w:tab/>
        <w:t>Observation générale n</w:t>
      </w:r>
      <w:r w:rsidRPr="00CD04BD">
        <w:rPr>
          <w:spacing w:val="-2"/>
          <w:vertAlign w:val="superscript"/>
          <w:lang w:val="fr-FR"/>
        </w:rPr>
        <w:t>o</w:t>
      </w:r>
      <w:r>
        <w:rPr>
          <w:spacing w:val="-2"/>
          <w:lang w:val="fr-FR"/>
        </w:rPr>
        <w:t> </w:t>
      </w:r>
      <w:r w:rsidRPr="00CD04BD">
        <w:rPr>
          <w:spacing w:val="-2"/>
          <w:lang w:val="fr-FR"/>
        </w:rPr>
        <w:t>32 (2007), par.</w:t>
      </w:r>
      <w:r w:rsidRPr="00CD04BD">
        <w:rPr>
          <w:spacing w:val="-2"/>
          <w:lang w:val="fr-FR"/>
        </w:rPr>
        <w:t> </w:t>
      </w:r>
      <w:r w:rsidRPr="00CD04BD">
        <w:rPr>
          <w:spacing w:val="-2"/>
          <w:lang w:val="fr-FR"/>
        </w:rPr>
        <w:t xml:space="preserve">15. Voir aussi </w:t>
      </w:r>
      <w:r w:rsidRPr="00CD04BD">
        <w:rPr>
          <w:i/>
          <w:iCs/>
          <w:spacing w:val="-2"/>
          <w:lang w:val="fr-FR"/>
        </w:rPr>
        <w:t>Perterer c.</w:t>
      </w:r>
      <w:r w:rsidRPr="00CD04BD">
        <w:rPr>
          <w:i/>
          <w:iCs/>
          <w:spacing w:val="-2"/>
          <w:lang w:val="fr-FR"/>
        </w:rPr>
        <w:t> </w:t>
      </w:r>
      <w:r w:rsidRPr="00CD04BD">
        <w:rPr>
          <w:i/>
          <w:iCs/>
          <w:spacing w:val="-2"/>
          <w:lang w:val="fr-FR"/>
        </w:rPr>
        <w:t xml:space="preserve">Autriche </w:t>
      </w:r>
      <w:r w:rsidRPr="00CD04BD">
        <w:rPr>
          <w:spacing w:val="-2"/>
        </w:rPr>
        <w:t>(</w:t>
      </w:r>
      <w:hyperlink r:id="rId8" w:history="1">
        <w:r w:rsidRPr="00CD04BD">
          <w:rPr>
            <w:rStyle w:val="Lienhypertexte"/>
            <w:spacing w:val="-2"/>
          </w:rPr>
          <w:t>CCPR/C/81/D/1015/2001</w:t>
        </w:r>
      </w:hyperlink>
      <w:r w:rsidRPr="00CD04BD">
        <w:rPr>
          <w:spacing w:val="-2"/>
        </w:rPr>
        <w:t>)</w:t>
      </w:r>
      <w:r w:rsidRPr="00CD04BD">
        <w:rPr>
          <w:spacing w:val="-2"/>
          <w:lang w:val="fr-FR"/>
        </w:rPr>
        <w:t>, par. 9.2.</w:t>
      </w:r>
    </w:p>
  </w:footnote>
  <w:footnote w:id="25">
    <w:p w14:paraId="30C57CEB" w14:textId="77777777" w:rsidR="00CD04BD" w:rsidRDefault="00CD04BD" w:rsidP="00CD04BD">
      <w:pPr>
        <w:pStyle w:val="Notedebasdepage"/>
      </w:pPr>
      <w:r w:rsidRPr="00CD6990">
        <w:rPr>
          <w:lang w:val="fr-FR"/>
        </w:rPr>
        <w:tab/>
      </w:r>
      <w:r w:rsidRPr="00026BCE">
        <w:rPr>
          <w:rStyle w:val="Appelnotedebasdep"/>
        </w:rPr>
        <w:footnoteRef/>
      </w:r>
      <w:r>
        <w:rPr>
          <w:lang w:val="fr-FR"/>
        </w:rPr>
        <w:tab/>
        <w:t xml:space="preserve">Observation générale </w:t>
      </w:r>
      <w:r w:rsidRPr="002F6BE3">
        <w:rPr>
          <w:lang w:val="fr-FR"/>
        </w:rPr>
        <w:t>n</w:t>
      </w:r>
      <w:r w:rsidRPr="002F6BE3">
        <w:rPr>
          <w:vertAlign w:val="superscript"/>
          <w:lang w:val="fr-FR"/>
        </w:rPr>
        <w:t>o</w:t>
      </w:r>
      <w:r>
        <w:rPr>
          <w:lang w:val="fr-FR"/>
        </w:rPr>
        <w:t> 34 (2011), par. 2.</w:t>
      </w:r>
    </w:p>
  </w:footnote>
  <w:footnote w:id="26">
    <w:p w14:paraId="2355FE7E" w14:textId="77777777" w:rsidR="00CD04BD" w:rsidRDefault="00CD04BD" w:rsidP="00CD04BD">
      <w:pPr>
        <w:pStyle w:val="Notedebasdepage"/>
      </w:pPr>
      <w:r>
        <w:rPr>
          <w:lang w:val="fr-FR"/>
        </w:rPr>
        <w:tab/>
      </w:r>
      <w:r w:rsidRPr="00026BCE">
        <w:rPr>
          <w:rStyle w:val="Appelnotedebasdep"/>
        </w:rPr>
        <w:footnoteRef/>
      </w:r>
      <w:r>
        <w:rPr>
          <w:lang w:val="fr-FR"/>
        </w:rPr>
        <w:tab/>
        <w:t>Ibid., par. 21.</w:t>
      </w:r>
    </w:p>
  </w:footnote>
  <w:footnote w:id="27">
    <w:p w14:paraId="3510E750" w14:textId="77777777" w:rsidR="00CD04BD" w:rsidRPr="00966F17" w:rsidRDefault="00CD04BD" w:rsidP="00CD04BD">
      <w:pPr>
        <w:pStyle w:val="Notedebasdepage"/>
      </w:pPr>
      <w:r w:rsidRPr="00966F17">
        <w:tab/>
      </w:r>
      <w:r w:rsidRPr="00026BCE">
        <w:rPr>
          <w:rStyle w:val="Appelnotedebasdep"/>
        </w:rPr>
        <w:footnoteRef/>
      </w:r>
      <w:r w:rsidRPr="00966F17">
        <w:t xml:space="preserve"> </w:t>
      </w:r>
      <w:r w:rsidRPr="00966F17">
        <w:tab/>
        <w:t>Ibid.</w:t>
      </w:r>
    </w:p>
  </w:footnote>
  <w:footnote w:id="28">
    <w:p w14:paraId="6486C319" w14:textId="1A3A2A11" w:rsidR="00CD04BD" w:rsidRDefault="00CD04BD" w:rsidP="00CD04BD">
      <w:pPr>
        <w:pStyle w:val="Notedebasdepage"/>
      </w:pPr>
      <w:r>
        <w:rPr>
          <w:lang w:val="fr-FR"/>
        </w:rPr>
        <w:tab/>
      </w:r>
      <w:r w:rsidRPr="00026BCE">
        <w:rPr>
          <w:rStyle w:val="Appelnotedebasdep"/>
        </w:rPr>
        <w:footnoteRef/>
      </w:r>
      <w:r>
        <w:rPr>
          <w:lang w:val="fr-FR"/>
        </w:rPr>
        <w:tab/>
        <w:t xml:space="preserve">Observation générale </w:t>
      </w:r>
      <w:r w:rsidRPr="00CD04BD">
        <w:rPr>
          <w:spacing w:val="-2"/>
          <w:lang w:val="fr-FR"/>
        </w:rPr>
        <w:t>n</w:t>
      </w:r>
      <w:r w:rsidRPr="00CD04BD">
        <w:rPr>
          <w:spacing w:val="-2"/>
          <w:vertAlign w:val="superscript"/>
          <w:lang w:val="fr-FR"/>
        </w:rPr>
        <w:t>o</w:t>
      </w:r>
      <w:r>
        <w:rPr>
          <w:spacing w:val="-2"/>
          <w:lang w:val="fr-FR"/>
        </w:rPr>
        <w:t> </w:t>
      </w:r>
      <w:r>
        <w:rPr>
          <w:lang w:val="fr-FR"/>
        </w:rPr>
        <w:t>27 (1999)., par. 15.</w:t>
      </w:r>
    </w:p>
  </w:footnote>
  <w:footnote w:id="29">
    <w:p w14:paraId="20F78A86" w14:textId="486355D1" w:rsidR="00CD04BD" w:rsidRDefault="00CD04BD" w:rsidP="00CD04BD">
      <w:pPr>
        <w:pStyle w:val="Notedebasdepage"/>
      </w:pPr>
      <w:r>
        <w:rPr>
          <w:lang w:val="fr-FR"/>
        </w:rPr>
        <w:tab/>
      </w:r>
      <w:r w:rsidRPr="00026BCE">
        <w:rPr>
          <w:rStyle w:val="Appelnotedebasdep"/>
        </w:rPr>
        <w:footnoteRef/>
      </w:r>
      <w:r>
        <w:rPr>
          <w:lang w:val="fr-FR"/>
        </w:rPr>
        <w:tab/>
        <w:t xml:space="preserve">Observation générale </w:t>
      </w:r>
      <w:r w:rsidRPr="00CD04BD">
        <w:rPr>
          <w:spacing w:val="-2"/>
          <w:lang w:val="fr-FR"/>
        </w:rPr>
        <w:t>n</w:t>
      </w:r>
      <w:r w:rsidRPr="00CD04BD">
        <w:rPr>
          <w:spacing w:val="-2"/>
          <w:vertAlign w:val="superscript"/>
          <w:lang w:val="fr-FR"/>
        </w:rPr>
        <w:t>o</w:t>
      </w:r>
      <w:r>
        <w:rPr>
          <w:spacing w:val="-2"/>
          <w:lang w:val="fr-FR"/>
        </w:rPr>
        <w:t> </w:t>
      </w:r>
      <w:r>
        <w:rPr>
          <w:lang w:val="fr-FR"/>
        </w:rPr>
        <w:t>34 (2011), par.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D01D" w14:textId="6AFF3162" w:rsidR="00CD04BD" w:rsidRPr="00CD04BD" w:rsidRDefault="00CD04BD">
    <w:pPr>
      <w:pStyle w:val="En-tte"/>
    </w:pPr>
    <w:fldSimple w:instr=" TITLE  \* MERGEFORMAT ">
      <w:r w:rsidR="00A955BA">
        <w:t>CCPR/C/132/D/2361/2014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51E4" w14:textId="0806C4DD" w:rsidR="00CD04BD" w:rsidRPr="00CD04BD" w:rsidRDefault="00CD04BD" w:rsidP="00CD04BD">
    <w:pPr>
      <w:pStyle w:val="En-tte"/>
      <w:jc w:val="right"/>
    </w:pPr>
    <w:fldSimple w:instr=" TITLE  \* MERGEFORMAT ">
      <w:r w:rsidR="00A955BA">
        <w:t>CCPR/C/132/D/2361/2014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D"/>
    <w:rsid w:val="00017F94"/>
    <w:rsid w:val="00023842"/>
    <w:rsid w:val="000334F9"/>
    <w:rsid w:val="00044BC7"/>
    <w:rsid w:val="0007796D"/>
    <w:rsid w:val="000919AD"/>
    <w:rsid w:val="000B7790"/>
    <w:rsid w:val="000C2225"/>
    <w:rsid w:val="00111F2F"/>
    <w:rsid w:val="0014365E"/>
    <w:rsid w:val="00176178"/>
    <w:rsid w:val="001A45AE"/>
    <w:rsid w:val="001B379B"/>
    <w:rsid w:val="001F525A"/>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6D1448"/>
    <w:rsid w:val="006F7144"/>
    <w:rsid w:val="006F71EA"/>
    <w:rsid w:val="0071601D"/>
    <w:rsid w:val="00793E85"/>
    <w:rsid w:val="007A611C"/>
    <w:rsid w:val="007A62E6"/>
    <w:rsid w:val="007D1AFC"/>
    <w:rsid w:val="007E2032"/>
    <w:rsid w:val="0080684C"/>
    <w:rsid w:val="008560DB"/>
    <w:rsid w:val="00863EA9"/>
    <w:rsid w:val="00871C75"/>
    <w:rsid w:val="008776DC"/>
    <w:rsid w:val="009705C8"/>
    <w:rsid w:val="009B1E6C"/>
    <w:rsid w:val="009E2C6A"/>
    <w:rsid w:val="00A57411"/>
    <w:rsid w:val="00A9151D"/>
    <w:rsid w:val="00A92823"/>
    <w:rsid w:val="00A955BA"/>
    <w:rsid w:val="00AA6A35"/>
    <w:rsid w:val="00AC3823"/>
    <w:rsid w:val="00AE323C"/>
    <w:rsid w:val="00B00181"/>
    <w:rsid w:val="00B51F69"/>
    <w:rsid w:val="00B765F7"/>
    <w:rsid w:val="00BA0CA9"/>
    <w:rsid w:val="00BD43E8"/>
    <w:rsid w:val="00C01ACF"/>
    <w:rsid w:val="00C02897"/>
    <w:rsid w:val="00CA7BC4"/>
    <w:rsid w:val="00CD04BD"/>
    <w:rsid w:val="00D05667"/>
    <w:rsid w:val="00D22C9C"/>
    <w:rsid w:val="00D3439C"/>
    <w:rsid w:val="00D744E5"/>
    <w:rsid w:val="00D83177"/>
    <w:rsid w:val="00DB1831"/>
    <w:rsid w:val="00DD3BFD"/>
    <w:rsid w:val="00DF6678"/>
    <w:rsid w:val="00E0228B"/>
    <w:rsid w:val="00E85C42"/>
    <w:rsid w:val="00EC30D5"/>
    <w:rsid w:val="00ED226D"/>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A302DC"/>
  <w15:docId w15:val="{E9EC0860-E5A7-4FCC-AB6C-BB21346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link w:val="Appelnotedebasde"/>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Appelnotedebasdep"/>
    <w:rsid w:val="00CD04BD"/>
    <w:pPr>
      <w:suppressAutoHyphens w:val="0"/>
      <w:kinsoku/>
      <w:overflowPunct/>
      <w:autoSpaceDE/>
      <w:autoSpaceDN/>
      <w:adjustRightInd/>
      <w:snapToGrid/>
      <w:spacing w:before="120" w:after="120" w:line="240" w:lineRule="auto"/>
    </w:pPr>
    <w:rPr>
      <w:rFonts w:eastAsia="Times New Roman" w:cstheme="minorBidi"/>
      <w:sz w:val="18"/>
      <w:szCs w:val="22"/>
      <w:vertAlign w:val="superscript"/>
      <w:lang w:eastAsia="zh-CN"/>
    </w:rPr>
  </w:style>
  <w:style w:type="character" w:customStyle="1" w:styleId="SingleTxtGChar">
    <w:name w:val="_ Single Txt_G Char"/>
    <w:link w:val="SingleTxtG"/>
    <w:rsid w:val="00CD04BD"/>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CD0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CPR/C/81/D/1015/2001" TargetMode="External"/><Relationship Id="rId3" Type="http://schemas.openxmlformats.org/officeDocument/2006/relationships/hyperlink" Target="https://undocs.org/fr/CCPR/C/66/D/754/1997" TargetMode="External"/><Relationship Id="rId7" Type="http://schemas.openxmlformats.org/officeDocument/2006/relationships/hyperlink" Target="https://undocs.org/fr/CCPR/C/127/D/2920/2016" TargetMode="External"/><Relationship Id="rId2" Type="http://schemas.openxmlformats.org/officeDocument/2006/relationships/hyperlink" Target="https://undocs.org/fr/CCPR/C/105/D/1784/2008" TargetMode="External"/><Relationship Id="rId1" Type="http://schemas.openxmlformats.org/officeDocument/2006/relationships/hyperlink" Target="https://undocs.org/fr/CCPR/C/107/D/1785/2008" TargetMode="External"/><Relationship Id="rId6" Type="http://schemas.openxmlformats.org/officeDocument/2006/relationships/hyperlink" Target="https://undocs.org/fr/CCPR/C/CZE/CO/2" TargetMode="External"/><Relationship Id="rId5" Type="http://schemas.openxmlformats.org/officeDocument/2006/relationships/hyperlink" Target="https://undocs.org/fr/CCPR/C/113/D/1875/2009" TargetMode="External"/><Relationship Id="rId4" Type="http://schemas.openxmlformats.org/officeDocument/2006/relationships/hyperlink" Target="https://undocs.org/fr/CCPR/C/84/D/1061/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4381</Words>
  <Characters>22544</Characters>
  <Application>Microsoft Office Word</Application>
  <DocSecurity>0</DocSecurity>
  <Lines>351</Lines>
  <Paragraphs>75</Paragraphs>
  <ScaleCrop>false</ScaleCrop>
  <HeadingPairs>
    <vt:vector size="2" baseType="variant">
      <vt:variant>
        <vt:lpstr>Titre</vt:lpstr>
      </vt:variant>
      <vt:variant>
        <vt:i4>1</vt:i4>
      </vt:variant>
    </vt:vector>
  </HeadingPairs>
  <TitlesOfParts>
    <vt:vector size="1" baseType="lpstr">
      <vt:lpstr>CCPR/C/132/D/2361/2014</vt:lpstr>
    </vt:vector>
  </TitlesOfParts>
  <Company>DCM</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CCPR/C/132/D/2361/2014</dc:title>
  <dc:subject/>
  <dc:creator>Marie DESCHAMPS</dc:creator>
  <cp:keywords/>
  <cp:lastModifiedBy>Marie Deschamps</cp:lastModifiedBy>
  <cp:revision>2</cp:revision>
  <cp:lastPrinted>2014-05-14T10:59:00Z</cp:lastPrinted>
  <dcterms:created xsi:type="dcterms:W3CDTF">2022-05-20T06:46:00Z</dcterms:created>
  <dcterms:modified xsi:type="dcterms:W3CDTF">2022-05-20T06:46:00Z</dcterms:modified>
</cp:coreProperties>
</file>