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09476745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5F3961C" w14:textId="77777777" w:rsidR="006B3E27" w:rsidRPr="00C175A6" w:rsidRDefault="006B3E27" w:rsidP="009669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278DA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32461" w14:textId="5216B918" w:rsidR="006B3E27" w:rsidRPr="00831B01" w:rsidRDefault="00831B01" w:rsidP="00831B01">
            <w:pPr>
              <w:bidi w:val="0"/>
              <w:rPr>
                <w:szCs w:val="20"/>
              </w:rPr>
            </w:pPr>
            <w:r w:rsidRPr="00831B01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</w:t>
            </w:r>
            <w:r w:rsidRPr="005D61A4">
              <w:rPr>
                <w:szCs w:val="20"/>
              </w:rPr>
              <w:t>131</w:t>
            </w:r>
            <w:r>
              <w:rPr>
                <w:szCs w:val="20"/>
              </w:rPr>
              <w:t>/D/</w:t>
            </w:r>
            <w:r w:rsidRPr="005D61A4">
              <w:rPr>
                <w:szCs w:val="20"/>
              </w:rPr>
              <w:t>2781</w:t>
            </w:r>
            <w:r>
              <w:rPr>
                <w:szCs w:val="20"/>
              </w:rPr>
              <w:t>/</w:t>
            </w:r>
            <w:r w:rsidRPr="005D61A4">
              <w:rPr>
                <w:szCs w:val="20"/>
              </w:rPr>
              <w:t>2016</w:t>
            </w:r>
          </w:p>
        </w:tc>
      </w:tr>
      <w:tr w:rsidR="006B3E27" w:rsidRPr="00C175A6" w14:paraId="4A840F2B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51873A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7FD7889B" wp14:editId="0AA09746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BD88A6" w14:textId="77777777" w:rsidR="006B3E27" w:rsidRPr="005D61A4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5D61A4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889A93" w14:textId="77777777" w:rsidR="006B3E27" w:rsidRDefault="00831B01" w:rsidP="004B27E0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506F7DBB" w14:textId="47D7BBCC" w:rsidR="00831B01" w:rsidRDefault="005D61A4" w:rsidP="00831B01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5D61A4">
              <w:rPr>
                <w:szCs w:val="20"/>
              </w:rPr>
              <w:t>21</w:t>
            </w:r>
            <w:r>
              <w:rPr>
                <w:szCs w:val="20"/>
              </w:rPr>
              <w:t xml:space="preserve"> February </w:t>
            </w:r>
            <w:r w:rsidR="00831B01" w:rsidRPr="005D61A4">
              <w:rPr>
                <w:szCs w:val="20"/>
              </w:rPr>
              <w:t>2023</w:t>
            </w:r>
          </w:p>
          <w:p w14:paraId="21FBA53D" w14:textId="77777777" w:rsidR="00831B01" w:rsidRDefault="00831B01" w:rsidP="00831B0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7301435" w14:textId="472C6FCB" w:rsidR="00831B01" w:rsidRPr="00831B01" w:rsidRDefault="00831B01" w:rsidP="00831B0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7802FF18" w14:textId="77777777" w:rsidR="005D61A4" w:rsidRPr="005D61A4" w:rsidRDefault="005D61A4" w:rsidP="005D61A4">
      <w:pPr>
        <w:pStyle w:val="SingleTxtGA"/>
        <w:spacing w:before="120" w:after="0"/>
        <w:ind w:left="0" w:right="283"/>
        <w:jc w:val="left"/>
        <w:rPr>
          <w:b/>
          <w:bCs/>
          <w:color w:val="000000" w:themeColor="text1"/>
          <w:sz w:val="26"/>
          <w:szCs w:val="26"/>
          <w:shd w:val="clear" w:color="000000" w:fill="FFFFFF"/>
          <w:lang w:val="ar-SA" w:eastAsia="zh-TW" w:bidi="en-GB"/>
        </w:rPr>
      </w:pPr>
      <w:r w:rsidRPr="005D61A4">
        <w:rPr>
          <w:b/>
          <w:bCs/>
          <w:sz w:val="26"/>
          <w:szCs w:val="26"/>
          <w:rtl/>
        </w:rPr>
        <w:t>اللجنة المعنية بحقوق الإنسان</w:t>
      </w:r>
    </w:p>
    <w:p w14:paraId="260144EA" w14:textId="15C10E50" w:rsidR="005D61A4" w:rsidRPr="005D61A4" w:rsidRDefault="005D61A4" w:rsidP="005D61A4">
      <w:pPr>
        <w:pStyle w:val="HChGA"/>
        <w:rPr>
          <w:shd w:val="clear" w:color="000000" w:fill="FFFFFF"/>
          <w:lang w:val="en-US" w:eastAsia="zh-TW" w:bidi="en-GB"/>
        </w:rPr>
      </w:pPr>
      <w:r w:rsidRPr="005D61A4">
        <w:rPr>
          <w:rtl/>
        </w:rPr>
        <w:tab/>
      </w:r>
      <w:r w:rsidRPr="005D61A4">
        <w:rPr>
          <w:rtl/>
        </w:rPr>
        <w:tab/>
        <w:t>قرار اعتمدته اللجنة بموجب البروتوكول الاختياري بشأن البلاغ رقم</w:t>
      </w:r>
      <w:r w:rsidRPr="005D61A4">
        <w:rPr>
          <w:rFonts w:hint="cs"/>
          <w:rtl/>
        </w:rPr>
        <w:t> </w:t>
      </w:r>
      <w:r w:rsidRPr="005D61A4">
        <w:rPr>
          <w:rFonts w:ascii="Simplified Arabic"/>
          <w:rtl/>
        </w:rPr>
        <w:t>2781/201</w:t>
      </w:r>
      <w:r w:rsidRPr="005D61A4">
        <w:rPr>
          <w:rFonts w:ascii="Simplified Arabic" w:hint="cs"/>
          <w:rtl/>
        </w:rPr>
        <w:t>6</w:t>
      </w:r>
      <w:r w:rsidRPr="005D61A4">
        <w:rPr>
          <w:rStyle w:val="FootnoteReference"/>
          <w:sz w:val="26"/>
          <w:szCs w:val="26"/>
          <w:shd w:val="clear" w:color="000000" w:fill="FFFFFF"/>
          <w:vertAlign w:val="baseline"/>
          <w:rtl/>
          <w:lang w:val="en-US" w:eastAsia="zh-TW"/>
        </w:rPr>
        <w:footnoteReference w:customMarkFollows="1" w:id="1"/>
        <w:t>*</w:t>
      </w:r>
      <w:r w:rsidRPr="005D61A4">
        <w:rPr>
          <w:sz w:val="34"/>
          <w:szCs w:val="34"/>
          <w:shd w:val="clear" w:color="000000" w:fill="FFFFFF"/>
          <w:rtl/>
          <w:lang w:val="en-US" w:eastAsia="zh-TW"/>
        </w:rPr>
        <w:t xml:space="preserve"> </w:t>
      </w:r>
      <w:r w:rsidRPr="005D61A4">
        <w:rPr>
          <w:rStyle w:val="FootnoteReference"/>
          <w:sz w:val="26"/>
          <w:szCs w:val="26"/>
          <w:shd w:val="clear" w:color="000000" w:fill="FFFFFF"/>
          <w:vertAlign w:val="baseline"/>
          <w:rtl/>
          <w:lang w:val="en-US" w:eastAsia="zh-TW"/>
        </w:rPr>
        <w:footnoteReference w:customMarkFollows="1" w:id="2"/>
        <w:t>**</w:t>
      </w:r>
    </w:p>
    <w:p w14:paraId="19BD8EF7" w14:textId="6676A9A0" w:rsidR="005D61A4" w:rsidRPr="005D61A4" w:rsidRDefault="005D61A4" w:rsidP="005D61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D61A4">
        <w:rPr>
          <w:i/>
          <w:iCs/>
          <w:rtl/>
        </w:rPr>
        <w:t>بلاغ مقدم من:</w:t>
      </w:r>
      <w:r>
        <w:rPr>
          <w:rtl/>
        </w:rPr>
        <w:tab/>
      </w:r>
      <w:r w:rsidRPr="005D61A4">
        <w:rPr>
          <w:rtl/>
        </w:rPr>
        <w:t>س. ج</w:t>
      </w:r>
      <w:r>
        <w:rPr>
          <w:rFonts w:hint="cs"/>
          <w:rtl/>
        </w:rPr>
        <w:t>.</w:t>
      </w:r>
      <w:r w:rsidRPr="005D61A4">
        <w:rPr>
          <w:rtl/>
        </w:rPr>
        <w:t xml:space="preserve"> وي. ه.</w:t>
      </w:r>
    </w:p>
    <w:p w14:paraId="182257EC" w14:textId="403CBBB2" w:rsidR="005D61A4" w:rsidRPr="005D61A4" w:rsidRDefault="005D61A4" w:rsidP="005D61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D61A4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5D61A4">
        <w:rPr>
          <w:rtl/>
        </w:rPr>
        <w:t>صاحبا البلاغ</w:t>
      </w:r>
    </w:p>
    <w:p w14:paraId="7893C96E" w14:textId="227AF050" w:rsidR="005D61A4" w:rsidRPr="005D61A4" w:rsidRDefault="005D61A4" w:rsidP="005D61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D61A4">
        <w:rPr>
          <w:i/>
          <w:iCs/>
          <w:rtl/>
        </w:rPr>
        <w:t>الدولة الطرف:</w:t>
      </w:r>
      <w:r>
        <w:rPr>
          <w:rtl/>
        </w:rPr>
        <w:tab/>
      </w:r>
      <w:r w:rsidRPr="005D61A4">
        <w:rPr>
          <w:rtl/>
        </w:rPr>
        <w:t>الدانمرك</w:t>
      </w:r>
    </w:p>
    <w:p w14:paraId="58A372DA" w14:textId="5EEAA48D" w:rsidR="005D61A4" w:rsidRPr="005D61A4" w:rsidRDefault="005D61A4" w:rsidP="005D61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D61A4">
        <w:rPr>
          <w:i/>
          <w:iCs/>
          <w:rtl/>
        </w:rPr>
        <w:t>تاريخ تقديم البلاغ:</w:t>
      </w:r>
      <w:r>
        <w:rPr>
          <w:rtl/>
        </w:rPr>
        <w:tab/>
      </w:r>
      <w:r w:rsidRPr="005D61A4">
        <w:rPr>
          <w:rtl/>
        </w:rPr>
        <w:t>4 أيار/مايو 2016</w:t>
      </w:r>
    </w:p>
    <w:p w14:paraId="1179F2A2" w14:textId="7B4A70B0" w:rsidR="005D61A4" w:rsidRPr="005D61A4" w:rsidRDefault="005D61A4" w:rsidP="005D61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D61A4">
        <w:rPr>
          <w:i/>
          <w:iCs/>
          <w:rtl/>
        </w:rPr>
        <w:t>المسائل الموضوعية:</w:t>
      </w:r>
      <w:r>
        <w:rPr>
          <w:rtl/>
        </w:rPr>
        <w:tab/>
      </w:r>
      <w:r w:rsidRPr="005D61A4">
        <w:rPr>
          <w:rtl/>
        </w:rPr>
        <w:t>الترحيل إلى الصي</w:t>
      </w:r>
      <w:r w:rsidR="00E95728">
        <w:rPr>
          <w:rFonts w:hint="cs"/>
          <w:rtl/>
        </w:rPr>
        <w:t>ن</w:t>
      </w:r>
    </w:p>
    <w:p w14:paraId="0E5DF7BD" w14:textId="77777777" w:rsidR="005D61A4" w:rsidRPr="005D61A4" w:rsidRDefault="005D61A4" w:rsidP="005D61A4">
      <w:pPr>
        <w:pStyle w:val="SingleTxtGA"/>
        <w:spacing w:before="240"/>
        <w:rPr>
          <w:rFonts w:eastAsiaTheme="minorEastAsia"/>
          <w:shd w:val="clear" w:color="000000" w:fill="FFFFFF"/>
          <w:lang w:val="ar-SA" w:eastAsia="zh-TW" w:bidi="en-GB"/>
        </w:rPr>
      </w:pPr>
      <w:r>
        <w:rPr>
          <w:rtl/>
        </w:rPr>
        <w:tab/>
      </w:r>
      <w:r w:rsidRPr="005D61A4">
        <w:rPr>
          <w:rFonts w:eastAsiaTheme="minorEastAsia"/>
          <w:rtl/>
        </w:rPr>
        <w:t>قررت اللجنة المعنية بحقوق الإنسان، في جلستها المعقودة في 25 آذار/مارس 2021، وقف النظر في البلاغ رقم 2781/2016، بسبب فقدان الاتصال بصاحبي البلاغ ومحاميهما.</w:t>
      </w:r>
    </w:p>
    <w:p w14:paraId="7FFC1C9C" w14:textId="05E29605" w:rsidR="005D61A4" w:rsidRPr="005D61A4" w:rsidRDefault="005D61A4" w:rsidP="005D61A4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D61A4" w:rsidRPr="005D61A4" w:rsidSect="00831B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1F8D" w14:textId="77777777" w:rsidR="005A2134" w:rsidRPr="002901D9" w:rsidRDefault="005A2134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AF5AD1F" w14:textId="77777777" w:rsidR="005A2134" w:rsidRDefault="005A213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8A86" w14:textId="277E0E37" w:rsidR="00966987" w:rsidRPr="00966987" w:rsidRDefault="00966987" w:rsidP="00966987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GE.23-01873</w:t>
    </w:r>
    <w:r>
      <w:rPr>
        <w:lang w:val="en-US"/>
      </w:rPr>
      <w:tab/>
    </w:r>
    <w:r w:rsidRPr="00966987">
      <w:rPr>
        <w:b/>
        <w:sz w:val="18"/>
        <w:lang w:val="en-US"/>
      </w:rPr>
      <w:fldChar w:fldCharType="begin"/>
    </w:r>
    <w:r w:rsidRPr="00966987">
      <w:rPr>
        <w:b/>
        <w:sz w:val="18"/>
        <w:lang w:val="en-US"/>
      </w:rPr>
      <w:instrText xml:space="preserve"> PAGE  \* MERGEFORMAT </w:instrText>
    </w:r>
    <w:r w:rsidRPr="00966987">
      <w:rPr>
        <w:b/>
        <w:sz w:val="18"/>
        <w:lang w:val="en-US"/>
      </w:rPr>
      <w:fldChar w:fldCharType="separate"/>
    </w:r>
    <w:r w:rsidRPr="00966987">
      <w:rPr>
        <w:b/>
        <w:noProof/>
        <w:sz w:val="18"/>
        <w:lang w:val="en-US"/>
      </w:rPr>
      <w:t>2</w:t>
    </w:r>
    <w:r w:rsidRPr="00966987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39ED" w14:textId="54B68E0F" w:rsidR="006959B0" w:rsidRPr="00966987" w:rsidRDefault="00966987" w:rsidP="00966987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GE.23-01873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90FE" w14:textId="03CF572E" w:rsidR="00DE50B1" w:rsidRPr="00966987" w:rsidRDefault="00966987" w:rsidP="00966987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494BB98D" wp14:editId="5A4CB5CE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23-01873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411373C" wp14:editId="50380900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20BC" w14:textId="77777777" w:rsidR="005A2134" w:rsidRPr="008A49D2" w:rsidRDefault="005A2134" w:rsidP="008A49D2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1FCF2BA3" w14:textId="77777777" w:rsidR="005A2134" w:rsidRDefault="005A2134" w:rsidP="00656392">
      <w:pPr>
        <w:spacing w:line="240" w:lineRule="auto"/>
      </w:pPr>
      <w:r>
        <w:continuationSeparator/>
      </w:r>
    </w:p>
  </w:footnote>
  <w:footnote w:id="1">
    <w:p w14:paraId="77DC8086" w14:textId="41A36C0A" w:rsidR="005D61A4" w:rsidRPr="00AC23F9" w:rsidRDefault="005D61A4" w:rsidP="005D61A4">
      <w:pPr>
        <w:pStyle w:val="FootnoteText1"/>
        <w:rPr>
          <w:rFonts w:eastAsiaTheme="minorEastAsia"/>
          <w:rtl/>
        </w:rPr>
      </w:pPr>
      <w:r>
        <w:rPr>
          <w:rtl/>
        </w:rPr>
        <w:t>*</w:t>
      </w:r>
      <w:r w:rsidRPr="00AC23F9">
        <w:rPr>
          <w:rFonts w:eastAsiaTheme="minorEastAsia"/>
          <w:rtl/>
        </w:rPr>
        <w:tab/>
        <w:t>اعتمدته اللجنة في دورتها 131 (1-26 آذار/مارس 2021).</w:t>
      </w:r>
    </w:p>
  </w:footnote>
  <w:footnote w:id="2">
    <w:p w14:paraId="45FF0C07" w14:textId="60A1EF58" w:rsidR="005D61A4" w:rsidRPr="00AC23F9" w:rsidRDefault="005D61A4" w:rsidP="005D61A4">
      <w:pPr>
        <w:pStyle w:val="FootnoteText1"/>
        <w:rPr>
          <w:rFonts w:eastAsiaTheme="minorEastAsia"/>
          <w:rtl/>
        </w:rPr>
      </w:pPr>
      <w:r w:rsidRPr="00AC23F9">
        <w:rPr>
          <w:rFonts w:eastAsiaTheme="minorEastAsia"/>
          <w:rtl/>
        </w:rPr>
        <w:t>**</w:t>
      </w:r>
      <w:r w:rsidRPr="00AC23F9">
        <w:rPr>
          <w:rFonts w:eastAsiaTheme="minorEastAsia"/>
          <w:rtl/>
        </w:rPr>
        <w:tab/>
        <w:t xml:space="preserve">شارك في دراسة هذا البلاغ أعضاء اللجنة التالية أسماؤهم: تانيا ماريا عبدو </w:t>
      </w:r>
      <w:proofErr w:type="spellStart"/>
      <w:r w:rsidRPr="00AC23F9">
        <w:rPr>
          <w:rFonts w:eastAsiaTheme="minorEastAsia"/>
          <w:rtl/>
        </w:rPr>
        <w:t>روشول</w:t>
      </w:r>
      <w:proofErr w:type="spellEnd"/>
      <w:r w:rsidRPr="00AC23F9">
        <w:rPr>
          <w:rFonts w:eastAsiaTheme="minorEastAsia"/>
          <w:rtl/>
        </w:rPr>
        <w:t xml:space="preserve">، ووفاء أشرف محرم بسيم، وعياض بن عاشور، وعارف بلقان، والمحجوب الهيبة، </w:t>
      </w:r>
      <w:proofErr w:type="spellStart"/>
      <w:r w:rsidRPr="00AC23F9">
        <w:rPr>
          <w:rFonts w:eastAsiaTheme="minorEastAsia"/>
          <w:rtl/>
        </w:rPr>
        <w:t>وفورويا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شويتشي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ومارسيا</w:t>
      </w:r>
      <w:proofErr w:type="spellEnd"/>
      <w:r w:rsidRPr="00AC23F9">
        <w:rPr>
          <w:rFonts w:eastAsiaTheme="minorEastAsia"/>
          <w:rtl/>
        </w:rPr>
        <w:t xml:space="preserve"> ف. ج. كران، وكارلوس </w:t>
      </w:r>
      <w:proofErr w:type="spellStart"/>
      <w:r w:rsidRPr="00AC23F9">
        <w:rPr>
          <w:rFonts w:eastAsiaTheme="minorEastAsia"/>
          <w:rtl/>
        </w:rPr>
        <w:t>غوميث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مارتينيث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ودانكان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لاكي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موهوموزا</w:t>
      </w:r>
      <w:proofErr w:type="spellEnd"/>
      <w:r w:rsidRPr="00AC23F9">
        <w:rPr>
          <w:rFonts w:eastAsiaTheme="minorEastAsia"/>
          <w:rtl/>
        </w:rPr>
        <w:t xml:space="preserve">، وفوتيني </w:t>
      </w:r>
      <w:proofErr w:type="spellStart"/>
      <w:r w:rsidRPr="00AC23F9">
        <w:rPr>
          <w:rFonts w:eastAsiaTheme="minorEastAsia"/>
          <w:rtl/>
        </w:rPr>
        <w:t>بزاغتزيس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وهيرنان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كيسادا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كابريرا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وفاسيلكا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سانسين</w:t>
      </w:r>
      <w:proofErr w:type="spellEnd"/>
      <w:r w:rsidRPr="00AC23F9">
        <w:rPr>
          <w:rFonts w:eastAsiaTheme="minorEastAsia"/>
          <w:rtl/>
        </w:rPr>
        <w:t xml:space="preserve">، وخوسيه مانويل سانتوس </w:t>
      </w:r>
      <w:proofErr w:type="spellStart"/>
      <w:r w:rsidRPr="00AC23F9">
        <w:rPr>
          <w:rFonts w:eastAsiaTheme="minorEastAsia"/>
          <w:rtl/>
        </w:rPr>
        <w:t>باييس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وسوه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تشانغروك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وكوباوياه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تشامدجا</w:t>
      </w:r>
      <w:proofErr w:type="spellEnd"/>
      <w:r w:rsidRPr="00AC23F9">
        <w:rPr>
          <w:rFonts w:eastAsiaTheme="minorEastAsia"/>
          <w:rtl/>
        </w:rPr>
        <w:t xml:space="preserve"> </w:t>
      </w:r>
      <w:proofErr w:type="spellStart"/>
      <w:r w:rsidRPr="00AC23F9">
        <w:rPr>
          <w:rFonts w:eastAsiaTheme="minorEastAsia"/>
          <w:rtl/>
        </w:rPr>
        <w:t>كباتشا</w:t>
      </w:r>
      <w:proofErr w:type="spellEnd"/>
      <w:r w:rsidRPr="00AC23F9">
        <w:rPr>
          <w:rFonts w:eastAsiaTheme="minorEastAsia"/>
          <w:rtl/>
        </w:rPr>
        <w:t xml:space="preserve">، وإيلين </w:t>
      </w:r>
      <w:proofErr w:type="spellStart"/>
      <w:r w:rsidRPr="00AC23F9">
        <w:rPr>
          <w:rFonts w:eastAsiaTheme="minorEastAsia"/>
          <w:rtl/>
        </w:rPr>
        <w:t>تيغرودجا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وإيميرو</w:t>
      </w:r>
      <w:proofErr w:type="spellEnd"/>
      <w:r w:rsidRPr="00AC23F9">
        <w:rPr>
          <w:rFonts w:eastAsiaTheme="minorEastAsia"/>
          <w:rtl/>
        </w:rPr>
        <w:t xml:space="preserve"> تامرات </w:t>
      </w:r>
      <w:proofErr w:type="spellStart"/>
      <w:r w:rsidRPr="00AC23F9">
        <w:rPr>
          <w:rFonts w:eastAsiaTheme="minorEastAsia"/>
          <w:rtl/>
        </w:rPr>
        <w:t>إغيزو</w:t>
      </w:r>
      <w:proofErr w:type="spellEnd"/>
      <w:r w:rsidRPr="00AC23F9">
        <w:rPr>
          <w:rFonts w:eastAsiaTheme="minorEastAsia"/>
          <w:rtl/>
        </w:rPr>
        <w:t xml:space="preserve">، </w:t>
      </w:r>
      <w:proofErr w:type="spellStart"/>
      <w:r w:rsidRPr="00AC23F9">
        <w:rPr>
          <w:rFonts w:eastAsiaTheme="minorEastAsia"/>
          <w:rtl/>
        </w:rPr>
        <w:t>وجينتيان</w:t>
      </w:r>
      <w:proofErr w:type="spellEnd"/>
      <w:r w:rsidRPr="00AC23F9">
        <w:rPr>
          <w:rFonts w:eastAsiaTheme="minorEastAsia"/>
          <w:rtl/>
        </w:rPr>
        <w:t xml:space="preserve"> زبيري.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B76D" w14:textId="79980E37" w:rsidR="00966987" w:rsidRPr="00966987" w:rsidRDefault="00966987" w:rsidP="00966987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CCPR/C/131/D/2781/2016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6FC7" w14:textId="7ED8E36E" w:rsidR="00966987" w:rsidRPr="00966987" w:rsidRDefault="00966987" w:rsidP="00966987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CCPR/C/131/D/2781/2016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1857881525">
    <w:abstractNumId w:val="15"/>
  </w:num>
  <w:num w:numId="2" w16cid:durableId="489446191">
    <w:abstractNumId w:val="12"/>
  </w:num>
  <w:num w:numId="3" w16cid:durableId="1848206327">
    <w:abstractNumId w:val="2"/>
  </w:num>
  <w:num w:numId="4" w16cid:durableId="1523594092">
    <w:abstractNumId w:val="11"/>
  </w:num>
  <w:num w:numId="5" w16cid:durableId="816147327">
    <w:abstractNumId w:val="8"/>
  </w:num>
  <w:num w:numId="6" w16cid:durableId="324092425">
    <w:abstractNumId w:val="5"/>
  </w:num>
  <w:num w:numId="7" w16cid:durableId="1311665494">
    <w:abstractNumId w:val="17"/>
  </w:num>
  <w:num w:numId="8" w16cid:durableId="1046296709">
    <w:abstractNumId w:val="2"/>
  </w:num>
  <w:num w:numId="9" w16cid:durableId="1404448943">
    <w:abstractNumId w:val="11"/>
  </w:num>
  <w:num w:numId="10" w16cid:durableId="1661033187">
    <w:abstractNumId w:val="5"/>
  </w:num>
  <w:num w:numId="11" w16cid:durableId="1410925321">
    <w:abstractNumId w:val="17"/>
  </w:num>
  <w:num w:numId="12" w16cid:durableId="2129545752">
    <w:abstractNumId w:val="2"/>
  </w:num>
  <w:num w:numId="13" w16cid:durableId="2022274109">
    <w:abstractNumId w:val="11"/>
  </w:num>
  <w:num w:numId="14" w16cid:durableId="512573847">
    <w:abstractNumId w:val="8"/>
  </w:num>
  <w:num w:numId="15" w16cid:durableId="2060475021">
    <w:abstractNumId w:val="5"/>
  </w:num>
  <w:num w:numId="16" w16cid:durableId="2057504912">
    <w:abstractNumId w:val="17"/>
  </w:num>
  <w:num w:numId="17" w16cid:durableId="1231698883">
    <w:abstractNumId w:val="4"/>
  </w:num>
  <w:num w:numId="18" w16cid:durableId="103111253">
    <w:abstractNumId w:val="3"/>
  </w:num>
  <w:num w:numId="19" w16cid:durableId="1310016442">
    <w:abstractNumId w:val="16"/>
  </w:num>
  <w:num w:numId="20" w16cid:durableId="22947340">
    <w:abstractNumId w:val="13"/>
  </w:num>
  <w:num w:numId="21" w16cid:durableId="1938101874">
    <w:abstractNumId w:val="1"/>
  </w:num>
  <w:num w:numId="22" w16cid:durableId="318967649">
    <w:abstractNumId w:val="14"/>
  </w:num>
  <w:num w:numId="23" w16cid:durableId="1246113766">
    <w:abstractNumId w:val="0"/>
  </w:num>
  <w:num w:numId="24" w16cid:durableId="1058211872">
    <w:abstractNumId w:val="9"/>
  </w:num>
  <w:num w:numId="25" w16cid:durableId="1778672832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 w16cid:durableId="1296718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6055759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820118054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 w16cid:durableId="381176242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1203403660">
    <w:abstractNumId w:val="7"/>
  </w:num>
  <w:num w:numId="31" w16cid:durableId="1304504932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 w16cid:durableId="418019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34"/>
    <w:rsid w:val="000076D5"/>
    <w:rsid w:val="00043663"/>
    <w:rsid w:val="000437B8"/>
    <w:rsid w:val="000505CF"/>
    <w:rsid w:val="000D701C"/>
    <w:rsid w:val="000E2A71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68BC"/>
    <w:rsid w:val="003260FF"/>
    <w:rsid w:val="00343D95"/>
    <w:rsid w:val="00363A18"/>
    <w:rsid w:val="00374341"/>
    <w:rsid w:val="003B4237"/>
    <w:rsid w:val="003D1062"/>
    <w:rsid w:val="00402051"/>
    <w:rsid w:val="00420D7B"/>
    <w:rsid w:val="00450B21"/>
    <w:rsid w:val="00453B63"/>
    <w:rsid w:val="00455780"/>
    <w:rsid w:val="0046323F"/>
    <w:rsid w:val="004B0A1C"/>
    <w:rsid w:val="004B27E0"/>
    <w:rsid w:val="004D298E"/>
    <w:rsid w:val="005044B3"/>
    <w:rsid w:val="00517BC9"/>
    <w:rsid w:val="0054472E"/>
    <w:rsid w:val="005662A9"/>
    <w:rsid w:val="005827D4"/>
    <w:rsid w:val="0058508B"/>
    <w:rsid w:val="0059622A"/>
    <w:rsid w:val="005A2134"/>
    <w:rsid w:val="005B51C4"/>
    <w:rsid w:val="005C0061"/>
    <w:rsid w:val="005C5878"/>
    <w:rsid w:val="005C7CEA"/>
    <w:rsid w:val="005D3C0B"/>
    <w:rsid w:val="005D61A4"/>
    <w:rsid w:val="005E5217"/>
    <w:rsid w:val="005F0FA4"/>
    <w:rsid w:val="005F30EE"/>
    <w:rsid w:val="005F5271"/>
    <w:rsid w:val="0060473A"/>
    <w:rsid w:val="00617024"/>
    <w:rsid w:val="00621120"/>
    <w:rsid w:val="00652221"/>
    <w:rsid w:val="00656392"/>
    <w:rsid w:val="006645EC"/>
    <w:rsid w:val="0068781D"/>
    <w:rsid w:val="006959B0"/>
    <w:rsid w:val="006B3E27"/>
    <w:rsid w:val="006B6507"/>
    <w:rsid w:val="006C104C"/>
    <w:rsid w:val="006C632E"/>
    <w:rsid w:val="00717FB3"/>
    <w:rsid w:val="00730446"/>
    <w:rsid w:val="00733704"/>
    <w:rsid w:val="0078071A"/>
    <w:rsid w:val="00787022"/>
    <w:rsid w:val="00787E1E"/>
    <w:rsid w:val="0079726B"/>
    <w:rsid w:val="00831B01"/>
    <w:rsid w:val="00852A9A"/>
    <w:rsid w:val="008A49D2"/>
    <w:rsid w:val="008F49E1"/>
    <w:rsid w:val="0090370F"/>
    <w:rsid w:val="009077C3"/>
    <w:rsid w:val="009269D2"/>
    <w:rsid w:val="00942135"/>
    <w:rsid w:val="009521B0"/>
    <w:rsid w:val="00957437"/>
    <w:rsid w:val="00966987"/>
    <w:rsid w:val="00982139"/>
    <w:rsid w:val="009867A8"/>
    <w:rsid w:val="00991F44"/>
    <w:rsid w:val="00996849"/>
    <w:rsid w:val="009A0CFB"/>
    <w:rsid w:val="009A7E9F"/>
    <w:rsid w:val="009C17EC"/>
    <w:rsid w:val="009E5018"/>
    <w:rsid w:val="00A03700"/>
    <w:rsid w:val="00A053F2"/>
    <w:rsid w:val="00A12B37"/>
    <w:rsid w:val="00A54828"/>
    <w:rsid w:val="00A97E1F"/>
    <w:rsid w:val="00AB512E"/>
    <w:rsid w:val="00AB6758"/>
    <w:rsid w:val="00AB727F"/>
    <w:rsid w:val="00AC23F9"/>
    <w:rsid w:val="00B13763"/>
    <w:rsid w:val="00B477A4"/>
    <w:rsid w:val="00B54045"/>
    <w:rsid w:val="00B63ADD"/>
    <w:rsid w:val="00BB09A0"/>
    <w:rsid w:val="00C175A6"/>
    <w:rsid w:val="00C41DCF"/>
    <w:rsid w:val="00C42AF7"/>
    <w:rsid w:val="00C438D7"/>
    <w:rsid w:val="00C62C20"/>
    <w:rsid w:val="00C81B50"/>
    <w:rsid w:val="00C902EF"/>
    <w:rsid w:val="00CB0011"/>
    <w:rsid w:val="00CB6622"/>
    <w:rsid w:val="00CD1801"/>
    <w:rsid w:val="00CF56F9"/>
    <w:rsid w:val="00CF65C6"/>
    <w:rsid w:val="00D00A89"/>
    <w:rsid w:val="00D10EF1"/>
    <w:rsid w:val="00D42810"/>
    <w:rsid w:val="00D60DD5"/>
    <w:rsid w:val="00D914A7"/>
    <w:rsid w:val="00DC4D4B"/>
    <w:rsid w:val="00DD13C3"/>
    <w:rsid w:val="00DD596E"/>
    <w:rsid w:val="00DD621E"/>
    <w:rsid w:val="00DE50B1"/>
    <w:rsid w:val="00DF0138"/>
    <w:rsid w:val="00DF0575"/>
    <w:rsid w:val="00E2228E"/>
    <w:rsid w:val="00E70E04"/>
    <w:rsid w:val="00E77E6C"/>
    <w:rsid w:val="00E83ED5"/>
    <w:rsid w:val="00E95728"/>
    <w:rsid w:val="00EC05A7"/>
    <w:rsid w:val="00EC4B6B"/>
    <w:rsid w:val="00EC68A5"/>
    <w:rsid w:val="00ED7442"/>
    <w:rsid w:val="00EF1EE5"/>
    <w:rsid w:val="00EF5C43"/>
    <w:rsid w:val="00F10DAB"/>
    <w:rsid w:val="00F46D42"/>
    <w:rsid w:val="00F763B4"/>
    <w:rsid w:val="00F900C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EEAAFE"/>
  <w15:docId w15:val="{1A56094A-A2DF-42A5-B8A1-2F2D646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37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3B423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B423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B423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B423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B423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B423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23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B423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B423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3B42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3B423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3B423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3B423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3B423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3B4237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3B4237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3B4237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3B4237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3B4237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3B4237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3B4237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3B423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3B4237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3B4237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3B4237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3B4237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3B423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3B4237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3B4237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B4237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B42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B4237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B4237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3B4237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3B4237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3B4237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B42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4237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3B42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B4237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3B4237"/>
    <w:rPr>
      <w:b/>
      <w:bCs/>
    </w:rPr>
  </w:style>
  <w:style w:type="table" w:styleId="TableGrid">
    <w:name w:val="Table Grid"/>
    <w:basedOn w:val="TableNormal"/>
    <w:rsid w:val="003B4237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4237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3B423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3B423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3B423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3B423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3B423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3B4237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3B4237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3B4237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3B4237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3B4237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3B4237"/>
  </w:style>
  <w:style w:type="paragraph" w:customStyle="1" w:styleId="FootnoteGA">
    <w:name w:val="_Footnote_GA"/>
    <w:basedOn w:val="Normal"/>
    <w:qFormat/>
    <w:rsid w:val="003B423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3B4237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3B423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3B423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3B42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3B423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3B4237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996849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96849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96849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3B4237"/>
    <w:rPr>
      <w:lang w:val="en-US" w:eastAsia="zh-TW"/>
    </w:rPr>
  </w:style>
  <w:style w:type="paragraph" w:customStyle="1" w:styleId="STitleMGA">
    <w:name w:val="S_Title_M_GA"/>
    <w:basedOn w:val="SMGA"/>
    <w:qFormat/>
    <w:rsid w:val="003B4237"/>
    <w:rPr>
      <w:lang w:eastAsia="zh-TW"/>
    </w:rPr>
  </w:style>
  <w:style w:type="paragraph" w:customStyle="1" w:styleId="STitleSGA">
    <w:name w:val="S_Title_S_GA"/>
    <w:basedOn w:val="SSGA"/>
    <w:qFormat/>
    <w:rsid w:val="003B4237"/>
    <w:rPr>
      <w:lang w:eastAsia="zh-TW"/>
    </w:rPr>
  </w:style>
  <w:style w:type="paragraph" w:customStyle="1" w:styleId="HChG">
    <w:name w:val="_ H _Ch_G"/>
    <w:basedOn w:val="Normal"/>
    <w:next w:val="Normal"/>
    <w:rsid w:val="005D61A4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hint="cs"/>
      <w:b/>
      <w:sz w:val="28"/>
      <w:szCs w:val="30"/>
      <w:lang w:val="en-GB" w:eastAsia="zh-CN"/>
    </w:rPr>
  </w:style>
  <w:style w:type="paragraph" w:customStyle="1" w:styleId="SingleTxtG">
    <w:name w:val="_ Single Txt_G"/>
    <w:basedOn w:val="Normal"/>
    <w:rsid w:val="005D61A4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 w:hint="cs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5D61A4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D61A4"/>
    <w:rPr>
      <w:rFonts w:ascii="Times New Roman" w:eastAsia="SimSun" w:hAnsiTheme="minorHAnsi" w:cs="Simplified Arabic"/>
      <w:sz w:val="18"/>
      <w:szCs w:val="30"/>
      <w:lang w:val="en-GB" w:eastAsia="zh-CN"/>
    </w:rPr>
  </w:style>
  <w:style w:type="character" w:styleId="FootnoteReference">
    <w:name w:val="footnote reference"/>
    <w:basedOn w:val="DefaultParagraphFont"/>
    <w:semiHidden/>
    <w:unhideWhenUsed/>
    <w:qFormat/>
    <w:rsid w:val="005D6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873-BCCC-420E-8601-D67A16A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CCPR/C/131/D/2781/2016</vt:lpstr>
    </vt:vector>
  </TitlesOfParts>
  <Company>DCM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CCPR/C/131/D/2781/2016</dc:title>
  <dc:subject>GE.2301873(A)</dc:subject>
  <dc:creator>Muntaha BUHNAM - Judy Hajoud FADEL-OSTOJIC</dc:creator>
  <cp:keywords>GE.2301823(A)</cp:keywords>
  <dc:description>Distr.: General
21 February 2023
Arabic
Original: English</dc:description>
  <cp:lastModifiedBy>Jamal Alkahlout</cp:lastModifiedBy>
  <cp:revision>2</cp:revision>
  <dcterms:created xsi:type="dcterms:W3CDTF">2023-03-14T13:25:00Z</dcterms:created>
  <dcterms:modified xsi:type="dcterms:W3CDTF">2023-03-14T13:25:00Z</dcterms:modified>
  <cp:category>Finale</cp:category>
</cp:coreProperties>
</file>