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1F745C82" w14:textId="77777777" w:rsidTr="005B51C4">
        <w:trPr>
          <w:trHeight w:hRule="exact" w:val="851"/>
        </w:trPr>
        <w:tc>
          <w:tcPr>
            <w:tcW w:w="1274" w:type="dxa"/>
            <w:tcBorders>
              <w:bottom w:val="single" w:sz="4" w:space="0" w:color="auto"/>
            </w:tcBorders>
            <w:shd w:val="clear" w:color="auto" w:fill="auto"/>
          </w:tcPr>
          <w:p w14:paraId="79A540A6" w14:textId="77777777" w:rsidR="006B3E27" w:rsidRPr="00C175A6" w:rsidRDefault="006B3E27" w:rsidP="0095634A">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53AE2633"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5AFC6325" w14:textId="245E7E8F" w:rsidR="006B3E27" w:rsidRPr="00470F19" w:rsidRDefault="00470F19" w:rsidP="00470F19">
            <w:pPr>
              <w:bidi w:val="0"/>
              <w:rPr>
                <w:szCs w:val="20"/>
              </w:rPr>
            </w:pPr>
            <w:r w:rsidRPr="00470F19">
              <w:rPr>
                <w:sz w:val="40"/>
                <w:szCs w:val="20"/>
              </w:rPr>
              <w:t>CCPR</w:t>
            </w:r>
            <w:r>
              <w:rPr>
                <w:szCs w:val="20"/>
              </w:rPr>
              <w:t>/C/</w:t>
            </w:r>
            <w:r w:rsidRPr="002978F5">
              <w:rPr>
                <w:szCs w:val="20"/>
              </w:rPr>
              <w:t>131</w:t>
            </w:r>
            <w:r>
              <w:rPr>
                <w:szCs w:val="20"/>
              </w:rPr>
              <w:t>/D/</w:t>
            </w:r>
            <w:r w:rsidRPr="002978F5">
              <w:rPr>
                <w:szCs w:val="20"/>
              </w:rPr>
              <w:t>2679</w:t>
            </w:r>
            <w:r>
              <w:rPr>
                <w:szCs w:val="20"/>
              </w:rPr>
              <w:t>/</w:t>
            </w:r>
            <w:r w:rsidRPr="002978F5">
              <w:rPr>
                <w:szCs w:val="20"/>
              </w:rPr>
              <w:t>2015</w:t>
            </w:r>
          </w:p>
        </w:tc>
      </w:tr>
      <w:tr w:rsidR="006B3E27" w:rsidRPr="00C175A6" w14:paraId="205723AA" w14:textId="77777777" w:rsidTr="005B51C4">
        <w:trPr>
          <w:trHeight w:hRule="exact" w:val="2835"/>
        </w:trPr>
        <w:tc>
          <w:tcPr>
            <w:tcW w:w="1274" w:type="dxa"/>
            <w:tcBorders>
              <w:top w:val="single" w:sz="4" w:space="0" w:color="auto"/>
              <w:bottom w:val="single" w:sz="12" w:space="0" w:color="auto"/>
            </w:tcBorders>
            <w:shd w:val="clear" w:color="auto" w:fill="auto"/>
          </w:tcPr>
          <w:p w14:paraId="4E0DA771"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7A1735A1" wp14:editId="67714E48">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CDD6713" w14:textId="77777777" w:rsidR="006B3E27" w:rsidRPr="002978F5" w:rsidRDefault="00ED7442" w:rsidP="00730446">
            <w:pPr>
              <w:spacing w:before="120" w:after="40" w:line="640" w:lineRule="exact"/>
              <w:ind w:left="57"/>
              <w:rPr>
                <w:b/>
                <w:bCs/>
                <w:sz w:val="46"/>
                <w:szCs w:val="46"/>
              </w:rPr>
            </w:pPr>
            <w:r w:rsidRPr="002978F5">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2A9055DE" w14:textId="77777777" w:rsidR="00D74A44" w:rsidRPr="00D74A44" w:rsidRDefault="00D74A44" w:rsidP="00D74A44">
            <w:pPr>
              <w:bidi w:val="0"/>
              <w:spacing w:before="240"/>
              <w:jc w:val="left"/>
              <w:rPr>
                <w:rFonts w:eastAsia="Times New Roman" w:cs="Times New Roman"/>
                <w:szCs w:val="20"/>
                <w:lang w:val="en-GB"/>
              </w:rPr>
            </w:pPr>
            <w:r w:rsidRPr="00D74A44">
              <w:rPr>
                <w:rFonts w:eastAsia="Times New Roman" w:cs="Times New Roman"/>
                <w:szCs w:val="20"/>
                <w:lang w:val="en-GB"/>
              </w:rPr>
              <w:t>Distr.: General</w:t>
            </w:r>
          </w:p>
          <w:p w14:paraId="7E3B01A8" w14:textId="77777777" w:rsidR="00D74A44" w:rsidRPr="00D74A44" w:rsidRDefault="00D74A44" w:rsidP="00D74A44">
            <w:pPr>
              <w:bidi w:val="0"/>
              <w:jc w:val="left"/>
              <w:rPr>
                <w:rFonts w:eastAsia="Times New Roman" w:cs="Times New Roman"/>
                <w:szCs w:val="20"/>
                <w:lang w:val="en-GB"/>
              </w:rPr>
            </w:pPr>
            <w:r w:rsidRPr="00D74A44">
              <w:rPr>
                <w:rFonts w:eastAsia="Times New Roman" w:cs="Times New Roman"/>
                <w:szCs w:val="20"/>
                <w:lang w:val="en-GB"/>
              </w:rPr>
              <w:t>6 May 2021</w:t>
            </w:r>
          </w:p>
          <w:p w14:paraId="38BB8C55" w14:textId="5B4C1D16" w:rsidR="00D74A44" w:rsidRPr="00D74A44" w:rsidRDefault="00D74A44" w:rsidP="00D74A44">
            <w:pPr>
              <w:bidi w:val="0"/>
              <w:jc w:val="left"/>
              <w:rPr>
                <w:rFonts w:eastAsia="Times New Roman" w:cs="Times New Roman"/>
                <w:szCs w:val="20"/>
                <w:lang w:val="en-GB"/>
              </w:rPr>
            </w:pPr>
            <w:r>
              <w:rPr>
                <w:rFonts w:eastAsia="Times New Roman" w:cs="Times New Roman"/>
                <w:szCs w:val="20"/>
                <w:lang w:val="en-GB"/>
              </w:rPr>
              <w:t>Arabic</w:t>
            </w:r>
          </w:p>
          <w:p w14:paraId="54C8399D" w14:textId="0E036DED" w:rsidR="00470F19" w:rsidRPr="00D74A44" w:rsidRDefault="00D74A44" w:rsidP="00D74A44">
            <w:pPr>
              <w:bidi w:val="0"/>
              <w:spacing w:line="240" w:lineRule="exact"/>
              <w:jc w:val="left"/>
              <w:rPr>
                <w:szCs w:val="20"/>
                <w:lang w:val="en-GB"/>
              </w:rPr>
            </w:pPr>
            <w:r w:rsidRPr="00D74A44">
              <w:rPr>
                <w:rFonts w:eastAsia="Times New Roman" w:cs="Times New Roman"/>
                <w:szCs w:val="20"/>
                <w:lang w:val="en-GB"/>
              </w:rPr>
              <w:t>Original: English</w:t>
            </w:r>
          </w:p>
        </w:tc>
      </w:tr>
    </w:tbl>
    <w:p w14:paraId="6B2C74C1" w14:textId="77777777" w:rsidR="00D74A44" w:rsidRPr="002978F5" w:rsidRDefault="00D74A44" w:rsidP="00D74A44">
      <w:pPr>
        <w:pStyle w:val="SingleTxtGA"/>
        <w:tabs>
          <w:tab w:val="clear" w:pos="4649"/>
          <w:tab w:val="left" w:pos="6095"/>
        </w:tabs>
        <w:spacing w:before="120" w:after="0"/>
        <w:ind w:left="0" w:right="4395"/>
        <w:rPr>
          <w:b/>
          <w:bCs/>
          <w:sz w:val="28"/>
          <w:szCs w:val="28"/>
          <w:lang w:val="fr-FR"/>
        </w:rPr>
      </w:pPr>
      <w:bookmarkStart w:id="0" w:name="_Hlk66265102"/>
      <w:bookmarkStart w:id="1" w:name="_Hlk71717649"/>
      <w:r w:rsidRPr="002978F5">
        <w:rPr>
          <w:b/>
          <w:bCs/>
          <w:sz w:val="28"/>
          <w:szCs w:val="28"/>
          <w:rtl/>
          <w:lang w:val="fr-FR"/>
        </w:rPr>
        <w:t>اللجنة المعنية بحقوق الإنسان</w:t>
      </w:r>
    </w:p>
    <w:p w14:paraId="23881078" w14:textId="77777777" w:rsidR="00D74A44" w:rsidRPr="002978F5" w:rsidRDefault="00D74A44" w:rsidP="00D74A44">
      <w:pPr>
        <w:pStyle w:val="HChGA"/>
      </w:pPr>
      <w:r w:rsidRPr="002978F5">
        <w:rPr>
          <w:rtl/>
        </w:rPr>
        <w:tab/>
      </w:r>
      <w:r w:rsidRPr="002978F5">
        <w:rPr>
          <w:rtl/>
        </w:rPr>
        <w:tab/>
        <w:t>آراء اعتمدتها اللجنة بموجب المادة 5(4) من البروتوكول الاختياري، بشأن البلاغ رقم 2679/2015</w:t>
      </w:r>
      <w:r w:rsidRPr="002978F5">
        <w:rPr>
          <w:rStyle w:val="FootnoteReference"/>
          <w:sz w:val="28"/>
          <w:szCs w:val="28"/>
          <w:vertAlign w:val="baseline"/>
          <w:rtl/>
        </w:rPr>
        <w:footnoteReference w:customMarkFollows="1" w:id="1"/>
        <w:t>*</w:t>
      </w:r>
      <w:r w:rsidRPr="002978F5">
        <w:rPr>
          <w:rFonts w:hint="cs"/>
          <w:sz w:val="28"/>
          <w:szCs w:val="28"/>
          <w:rtl/>
        </w:rPr>
        <w:t xml:space="preserve"> </w:t>
      </w:r>
      <w:r w:rsidRPr="002978F5">
        <w:rPr>
          <w:rStyle w:val="FootnoteReference"/>
          <w:sz w:val="28"/>
          <w:szCs w:val="28"/>
          <w:vertAlign w:val="baseline"/>
          <w:rtl/>
        </w:rPr>
        <w:footnoteReference w:customMarkFollows="1" w:id="2"/>
        <w:t>**</w:t>
      </w:r>
    </w:p>
    <w:p w14:paraId="35EC84EA" w14:textId="77777777" w:rsidR="00D74A44" w:rsidRPr="00D8642B" w:rsidRDefault="00D74A44" w:rsidP="00D74A44">
      <w:pPr>
        <w:pStyle w:val="SingleTxtGA"/>
        <w:tabs>
          <w:tab w:val="clear" w:pos="1928"/>
          <w:tab w:val="clear" w:pos="2608"/>
          <w:tab w:val="clear" w:pos="3289"/>
          <w:tab w:val="clear" w:pos="3969"/>
          <w:tab w:val="clear" w:pos="4649"/>
          <w:tab w:val="clear" w:pos="5330"/>
        </w:tabs>
        <w:ind w:left="4649" w:hanging="2721"/>
      </w:pPr>
      <w:r w:rsidRPr="002978F5">
        <w:rPr>
          <w:i/>
          <w:iCs/>
          <w:rtl/>
        </w:rPr>
        <w:t>بلاغ مقدم</w:t>
      </w:r>
      <w:r w:rsidRPr="002978F5">
        <w:rPr>
          <w:rFonts w:hint="cs"/>
          <w:i/>
          <w:iCs/>
          <w:rtl/>
        </w:rPr>
        <w:t xml:space="preserve"> </w:t>
      </w:r>
      <w:r w:rsidRPr="002978F5">
        <w:rPr>
          <w:i/>
          <w:iCs/>
          <w:rtl/>
        </w:rPr>
        <w:t>من:</w:t>
      </w:r>
      <w:r>
        <w:rPr>
          <w:rtl/>
        </w:rPr>
        <w:tab/>
      </w:r>
      <w:r w:rsidRPr="00D8642B">
        <w:rPr>
          <w:rtl/>
        </w:rPr>
        <w:t xml:space="preserve">يوري </w:t>
      </w:r>
      <w:proofErr w:type="spellStart"/>
      <w:r w:rsidRPr="00D8642B">
        <w:rPr>
          <w:rtl/>
        </w:rPr>
        <w:t>روبتسوف</w:t>
      </w:r>
      <w:proofErr w:type="spellEnd"/>
      <w:r w:rsidRPr="00D8642B">
        <w:rPr>
          <w:rtl/>
        </w:rPr>
        <w:t xml:space="preserve"> (لا يمثله محام)</w:t>
      </w:r>
    </w:p>
    <w:p w14:paraId="4DB3DD1F" w14:textId="77777777" w:rsidR="00D74A44" w:rsidRPr="00D8642B" w:rsidRDefault="00D74A44" w:rsidP="00D74A44">
      <w:pPr>
        <w:pStyle w:val="SingleTxtGA"/>
        <w:tabs>
          <w:tab w:val="clear" w:pos="1928"/>
          <w:tab w:val="clear" w:pos="2608"/>
          <w:tab w:val="clear" w:pos="3289"/>
          <w:tab w:val="clear" w:pos="3969"/>
          <w:tab w:val="clear" w:pos="4649"/>
          <w:tab w:val="clear" w:pos="5330"/>
        </w:tabs>
        <w:ind w:left="4649" w:hanging="2721"/>
      </w:pPr>
      <w:r w:rsidRPr="002978F5">
        <w:rPr>
          <w:i/>
          <w:iCs/>
          <w:rtl/>
        </w:rPr>
        <w:t>الشخص المدعى أنه ضحية:</w:t>
      </w:r>
      <w:r>
        <w:rPr>
          <w:rtl/>
        </w:rPr>
        <w:tab/>
      </w:r>
      <w:r w:rsidRPr="00D8642B">
        <w:rPr>
          <w:rtl/>
        </w:rPr>
        <w:t>صاحب البلاغ</w:t>
      </w:r>
    </w:p>
    <w:p w14:paraId="0836DF7B" w14:textId="77777777" w:rsidR="00D74A44" w:rsidRPr="00D8642B" w:rsidRDefault="00D74A44" w:rsidP="00D74A44">
      <w:pPr>
        <w:pStyle w:val="SingleTxtGA"/>
        <w:tabs>
          <w:tab w:val="clear" w:pos="1928"/>
          <w:tab w:val="clear" w:pos="2608"/>
          <w:tab w:val="clear" w:pos="3289"/>
          <w:tab w:val="clear" w:pos="3969"/>
          <w:tab w:val="clear" w:pos="4649"/>
          <w:tab w:val="clear" w:pos="5330"/>
        </w:tabs>
        <w:ind w:left="4649" w:hanging="2721"/>
      </w:pPr>
      <w:r w:rsidRPr="002978F5">
        <w:rPr>
          <w:i/>
          <w:iCs/>
          <w:rtl/>
        </w:rPr>
        <w:t>الدولة الطرف:</w:t>
      </w:r>
      <w:r>
        <w:rPr>
          <w:rtl/>
        </w:rPr>
        <w:tab/>
      </w:r>
      <w:r w:rsidRPr="00D8642B">
        <w:rPr>
          <w:rtl/>
        </w:rPr>
        <w:t>بيلاروس</w:t>
      </w:r>
    </w:p>
    <w:p w14:paraId="3C2836C5" w14:textId="77777777" w:rsidR="00D74A44" w:rsidRPr="00D8642B" w:rsidRDefault="00D74A44" w:rsidP="00D74A44">
      <w:pPr>
        <w:pStyle w:val="SingleTxtGA"/>
        <w:tabs>
          <w:tab w:val="clear" w:pos="1928"/>
          <w:tab w:val="clear" w:pos="2608"/>
          <w:tab w:val="clear" w:pos="3289"/>
          <w:tab w:val="clear" w:pos="3969"/>
          <w:tab w:val="clear" w:pos="4649"/>
          <w:tab w:val="clear" w:pos="5330"/>
        </w:tabs>
        <w:ind w:left="4649" w:hanging="2721"/>
      </w:pPr>
      <w:r w:rsidRPr="002978F5">
        <w:rPr>
          <w:i/>
          <w:iCs/>
          <w:rtl/>
        </w:rPr>
        <w:t>تاريخ تقديم البلاغ:</w:t>
      </w:r>
      <w:r>
        <w:rPr>
          <w:rtl/>
        </w:rPr>
        <w:tab/>
      </w:r>
      <w:r w:rsidRPr="002978F5">
        <w:rPr>
          <w:rtl/>
        </w:rPr>
        <w:t>21</w:t>
      </w:r>
      <w:r w:rsidRPr="00D8642B">
        <w:rPr>
          <w:rtl/>
        </w:rPr>
        <w:t xml:space="preserve"> آذار/مارس </w:t>
      </w:r>
      <w:r w:rsidRPr="002978F5">
        <w:rPr>
          <w:rtl/>
        </w:rPr>
        <w:t>2015</w:t>
      </w:r>
      <w:r w:rsidRPr="00D8642B">
        <w:rPr>
          <w:rtl/>
        </w:rPr>
        <w:t xml:space="preserve"> (تاريخ الرسالة الأولى)</w:t>
      </w:r>
    </w:p>
    <w:p w14:paraId="6DC9E92C" w14:textId="77777777" w:rsidR="00D74A44" w:rsidRPr="00D8642B" w:rsidRDefault="00D74A44" w:rsidP="00D74A44">
      <w:pPr>
        <w:pStyle w:val="SingleTxtGA"/>
        <w:tabs>
          <w:tab w:val="clear" w:pos="1928"/>
          <w:tab w:val="clear" w:pos="2608"/>
          <w:tab w:val="clear" w:pos="3289"/>
          <w:tab w:val="clear" w:pos="3969"/>
          <w:tab w:val="clear" w:pos="4649"/>
          <w:tab w:val="clear" w:pos="5330"/>
        </w:tabs>
        <w:ind w:left="4649" w:hanging="2721"/>
      </w:pPr>
      <w:r w:rsidRPr="002978F5">
        <w:rPr>
          <w:i/>
          <w:iCs/>
          <w:rtl/>
        </w:rPr>
        <w:t>الوثائق المرجعية:</w:t>
      </w:r>
      <w:r>
        <w:rPr>
          <w:rtl/>
        </w:rPr>
        <w:tab/>
      </w:r>
      <w:r w:rsidRPr="00D8642B">
        <w:rPr>
          <w:spacing w:val="-4"/>
          <w:rtl/>
        </w:rPr>
        <w:t xml:space="preserve">القرار المتخذ عملاً بالمادة </w:t>
      </w:r>
      <w:r w:rsidRPr="002978F5">
        <w:rPr>
          <w:spacing w:val="-4"/>
          <w:rtl/>
        </w:rPr>
        <w:t>92</w:t>
      </w:r>
      <w:r w:rsidRPr="00D8642B">
        <w:rPr>
          <w:spacing w:val="-4"/>
          <w:rtl/>
        </w:rPr>
        <w:t xml:space="preserve"> من النظام الداخلي للجنة</w:t>
      </w:r>
      <w:r w:rsidRPr="00D8642B">
        <w:rPr>
          <w:rtl/>
        </w:rPr>
        <w:t xml:space="preserve">، والمحال إلى الدولة الطرف في </w:t>
      </w:r>
      <w:r w:rsidRPr="002978F5">
        <w:rPr>
          <w:rtl/>
        </w:rPr>
        <w:t>17</w:t>
      </w:r>
      <w:r w:rsidRPr="00D8642B">
        <w:rPr>
          <w:rtl/>
        </w:rPr>
        <w:t xml:space="preserve"> تشرين الثاني/</w:t>
      </w:r>
      <w:r>
        <w:rPr>
          <w:rFonts w:hint="cs"/>
          <w:rtl/>
        </w:rPr>
        <w:t xml:space="preserve"> </w:t>
      </w:r>
      <w:r w:rsidRPr="00D8642B">
        <w:rPr>
          <w:rtl/>
        </w:rPr>
        <w:t xml:space="preserve">نوفمبر </w:t>
      </w:r>
      <w:r w:rsidRPr="002978F5">
        <w:rPr>
          <w:rtl/>
        </w:rPr>
        <w:t>2015</w:t>
      </w:r>
      <w:r w:rsidRPr="00D8642B">
        <w:rPr>
          <w:rtl/>
        </w:rPr>
        <w:t xml:space="preserve"> (لم يصدر في شكل وثيقة)</w:t>
      </w:r>
    </w:p>
    <w:p w14:paraId="7603335E" w14:textId="77777777" w:rsidR="00D74A44" w:rsidRPr="00D8642B" w:rsidRDefault="00D74A44" w:rsidP="00D74A44">
      <w:pPr>
        <w:pStyle w:val="SingleTxtGA"/>
        <w:tabs>
          <w:tab w:val="clear" w:pos="1928"/>
          <w:tab w:val="clear" w:pos="2608"/>
          <w:tab w:val="clear" w:pos="3289"/>
          <w:tab w:val="clear" w:pos="3969"/>
          <w:tab w:val="clear" w:pos="4649"/>
          <w:tab w:val="clear" w:pos="5330"/>
        </w:tabs>
        <w:ind w:left="4649" w:hanging="2721"/>
      </w:pPr>
      <w:r w:rsidRPr="002978F5">
        <w:rPr>
          <w:i/>
          <w:iCs/>
          <w:rtl/>
        </w:rPr>
        <w:t>تاريخ اعتماد الآراء:</w:t>
      </w:r>
      <w:r>
        <w:rPr>
          <w:rtl/>
        </w:rPr>
        <w:tab/>
      </w:r>
      <w:r w:rsidRPr="002978F5">
        <w:rPr>
          <w:rtl/>
        </w:rPr>
        <w:t>25</w:t>
      </w:r>
      <w:r w:rsidRPr="00D8642B">
        <w:rPr>
          <w:rtl/>
        </w:rPr>
        <w:t xml:space="preserve"> آذار/مارس </w:t>
      </w:r>
      <w:r w:rsidRPr="002978F5">
        <w:rPr>
          <w:rtl/>
        </w:rPr>
        <w:t>2021</w:t>
      </w:r>
    </w:p>
    <w:p w14:paraId="73D69D0C" w14:textId="77777777" w:rsidR="00D74A44" w:rsidRPr="00D8642B" w:rsidRDefault="00D74A44" w:rsidP="00D74A44">
      <w:pPr>
        <w:pStyle w:val="SingleTxtGA"/>
        <w:tabs>
          <w:tab w:val="clear" w:pos="1928"/>
          <w:tab w:val="clear" w:pos="2608"/>
          <w:tab w:val="clear" w:pos="3289"/>
          <w:tab w:val="clear" w:pos="3969"/>
          <w:tab w:val="clear" w:pos="4649"/>
          <w:tab w:val="clear" w:pos="5330"/>
        </w:tabs>
        <w:ind w:left="4649" w:hanging="2721"/>
      </w:pPr>
      <w:r w:rsidRPr="002978F5">
        <w:rPr>
          <w:i/>
          <w:iCs/>
          <w:rtl/>
        </w:rPr>
        <w:t>الموضوع:</w:t>
      </w:r>
      <w:r>
        <w:rPr>
          <w:rtl/>
        </w:rPr>
        <w:tab/>
      </w:r>
      <w:r w:rsidRPr="00D14D69">
        <w:rPr>
          <w:spacing w:val="-6"/>
          <w:rtl/>
        </w:rPr>
        <w:t>الاحتجاز الإداري لعدم امتثال صاحب البلاغ أوامر الشرطة</w:t>
      </w:r>
    </w:p>
    <w:p w14:paraId="0B53D7F7" w14:textId="77777777" w:rsidR="00D74A44" w:rsidRPr="00D8642B" w:rsidRDefault="00D74A44" w:rsidP="00D74A44">
      <w:pPr>
        <w:pStyle w:val="SingleTxtGA"/>
        <w:tabs>
          <w:tab w:val="clear" w:pos="1928"/>
          <w:tab w:val="clear" w:pos="2608"/>
          <w:tab w:val="clear" w:pos="3289"/>
          <w:tab w:val="clear" w:pos="3969"/>
          <w:tab w:val="clear" w:pos="4649"/>
          <w:tab w:val="clear" w:pos="5330"/>
        </w:tabs>
        <w:ind w:left="4649" w:hanging="2721"/>
      </w:pPr>
      <w:r w:rsidRPr="002978F5">
        <w:rPr>
          <w:i/>
          <w:iCs/>
          <w:rtl/>
        </w:rPr>
        <w:t>المسألة الإجرائية:</w:t>
      </w:r>
      <w:r>
        <w:rPr>
          <w:rtl/>
        </w:rPr>
        <w:tab/>
      </w:r>
      <w:r w:rsidRPr="00D8642B">
        <w:rPr>
          <w:rtl/>
        </w:rPr>
        <w:t>استنفاد سبل الانتصاف المحلية</w:t>
      </w:r>
    </w:p>
    <w:p w14:paraId="2A90C2EC" w14:textId="77777777" w:rsidR="00D74A44" w:rsidRPr="00D8642B" w:rsidRDefault="00D74A44" w:rsidP="00D74A44">
      <w:pPr>
        <w:pStyle w:val="SingleTxtGA"/>
        <w:tabs>
          <w:tab w:val="clear" w:pos="1928"/>
          <w:tab w:val="clear" w:pos="2608"/>
          <w:tab w:val="clear" w:pos="3289"/>
          <w:tab w:val="clear" w:pos="3969"/>
          <w:tab w:val="clear" w:pos="4649"/>
          <w:tab w:val="clear" w:pos="5330"/>
        </w:tabs>
        <w:ind w:left="4649" w:hanging="2721"/>
      </w:pPr>
      <w:r w:rsidRPr="002978F5">
        <w:rPr>
          <w:i/>
          <w:iCs/>
          <w:rtl/>
        </w:rPr>
        <w:t>المسألة الموضوعية:</w:t>
      </w:r>
      <w:r>
        <w:rPr>
          <w:rtl/>
        </w:rPr>
        <w:tab/>
      </w:r>
      <w:r w:rsidRPr="00D8642B">
        <w:rPr>
          <w:rtl/>
        </w:rPr>
        <w:t>حرية التعبير</w:t>
      </w:r>
    </w:p>
    <w:p w14:paraId="0E92A750" w14:textId="77777777" w:rsidR="00D74A44" w:rsidRPr="00D8642B" w:rsidRDefault="00D74A44" w:rsidP="00D74A44">
      <w:pPr>
        <w:pStyle w:val="SingleTxtGA"/>
        <w:tabs>
          <w:tab w:val="clear" w:pos="1928"/>
          <w:tab w:val="clear" w:pos="2608"/>
          <w:tab w:val="clear" w:pos="3289"/>
          <w:tab w:val="clear" w:pos="3969"/>
          <w:tab w:val="clear" w:pos="4649"/>
          <w:tab w:val="clear" w:pos="5330"/>
        </w:tabs>
        <w:ind w:left="4649" w:hanging="2721"/>
      </w:pPr>
      <w:r w:rsidRPr="002978F5">
        <w:rPr>
          <w:i/>
          <w:iCs/>
          <w:rtl/>
        </w:rPr>
        <w:t>مواد العهد:</w:t>
      </w:r>
      <w:r>
        <w:rPr>
          <w:rtl/>
        </w:rPr>
        <w:tab/>
      </w:r>
      <w:r w:rsidRPr="002978F5">
        <w:rPr>
          <w:rtl/>
        </w:rPr>
        <w:t>2</w:t>
      </w:r>
      <w:r w:rsidRPr="00D8642B">
        <w:rPr>
          <w:rtl/>
        </w:rPr>
        <w:t>(</w:t>
      </w:r>
      <w:r w:rsidRPr="002978F5">
        <w:rPr>
          <w:rtl/>
        </w:rPr>
        <w:t>2</w:t>
      </w:r>
      <w:r w:rsidRPr="00D8642B">
        <w:rPr>
          <w:rtl/>
        </w:rPr>
        <w:t>)، و(</w:t>
      </w:r>
      <w:r w:rsidRPr="002978F5">
        <w:rPr>
          <w:rtl/>
        </w:rPr>
        <w:t>3</w:t>
      </w:r>
      <w:r w:rsidRPr="00D8642B">
        <w:rPr>
          <w:rtl/>
        </w:rPr>
        <w:t>)، و</w:t>
      </w:r>
      <w:r w:rsidRPr="002978F5">
        <w:rPr>
          <w:rtl/>
        </w:rPr>
        <w:t>19</w:t>
      </w:r>
    </w:p>
    <w:p w14:paraId="2B2957CB" w14:textId="77777777" w:rsidR="00D74A44" w:rsidRPr="00D8642B" w:rsidRDefault="00D74A44" w:rsidP="00D74A44">
      <w:pPr>
        <w:pStyle w:val="SingleTxtGA"/>
        <w:tabs>
          <w:tab w:val="clear" w:pos="1928"/>
          <w:tab w:val="clear" w:pos="2608"/>
          <w:tab w:val="clear" w:pos="3289"/>
          <w:tab w:val="clear" w:pos="3969"/>
          <w:tab w:val="clear" w:pos="4649"/>
          <w:tab w:val="clear" w:pos="5330"/>
        </w:tabs>
        <w:ind w:left="4649" w:hanging="2721"/>
      </w:pPr>
      <w:r w:rsidRPr="002978F5">
        <w:rPr>
          <w:i/>
          <w:iCs/>
          <w:rtl/>
        </w:rPr>
        <w:t>مواد البروتوكول الاختياري:</w:t>
      </w:r>
      <w:r>
        <w:rPr>
          <w:rtl/>
        </w:rPr>
        <w:tab/>
      </w:r>
      <w:r w:rsidRPr="002978F5">
        <w:rPr>
          <w:rtl/>
        </w:rPr>
        <w:t>2</w:t>
      </w:r>
      <w:r w:rsidRPr="00D8642B">
        <w:rPr>
          <w:rtl/>
        </w:rPr>
        <w:t>، و</w:t>
      </w:r>
      <w:r w:rsidRPr="002978F5">
        <w:rPr>
          <w:rtl/>
        </w:rPr>
        <w:t>3</w:t>
      </w:r>
      <w:r w:rsidRPr="00D8642B">
        <w:rPr>
          <w:rtl/>
        </w:rPr>
        <w:t>، و</w:t>
      </w:r>
      <w:r w:rsidRPr="002978F5">
        <w:rPr>
          <w:rtl/>
        </w:rPr>
        <w:t>5</w:t>
      </w:r>
      <w:r w:rsidRPr="00D8642B">
        <w:rPr>
          <w:rtl/>
        </w:rPr>
        <w:t>(</w:t>
      </w:r>
      <w:r w:rsidRPr="002978F5">
        <w:rPr>
          <w:rtl/>
        </w:rPr>
        <w:t>2</w:t>
      </w:r>
      <w:r w:rsidRPr="00D8642B">
        <w:rPr>
          <w:rtl/>
        </w:rPr>
        <w:t>)(ب)</w:t>
      </w:r>
    </w:p>
    <w:p w14:paraId="6C19D545" w14:textId="77777777" w:rsidR="00D74A44" w:rsidRPr="00D8642B" w:rsidRDefault="00D74A44" w:rsidP="00D74A44">
      <w:pPr>
        <w:pStyle w:val="SingleTxtGA"/>
        <w:rPr>
          <w:lang w:val="fr-CH"/>
        </w:rPr>
      </w:pPr>
      <w:r w:rsidRPr="002978F5">
        <w:rPr>
          <w:rtl/>
          <w:lang w:val="fr-CH"/>
        </w:rPr>
        <w:t>1</w:t>
      </w:r>
      <w:r w:rsidRPr="00D8642B">
        <w:rPr>
          <w:rtl/>
          <w:lang w:val="fr-CH"/>
        </w:rPr>
        <w:t>-</w:t>
      </w:r>
      <w:r w:rsidRPr="00D8642B">
        <w:rPr>
          <w:rtl/>
          <w:lang w:val="fr-CH"/>
        </w:rPr>
        <w:tab/>
        <w:t xml:space="preserve">صاحب البلاغ هو يوري </w:t>
      </w:r>
      <w:proofErr w:type="spellStart"/>
      <w:r w:rsidRPr="00D8642B">
        <w:rPr>
          <w:rtl/>
          <w:lang w:val="fr-CH"/>
        </w:rPr>
        <w:t>روبتسوف</w:t>
      </w:r>
      <w:proofErr w:type="spellEnd"/>
      <w:r w:rsidRPr="00D8642B">
        <w:rPr>
          <w:rtl/>
          <w:lang w:val="fr-CH"/>
        </w:rPr>
        <w:t xml:space="preserve">، وهو مواطن بيلاروسي من مواليد عام </w:t>
      </w:r>
      <w:r w:rsidRPr="002978F5">
        <w:rPr>
          <w:rtl/>
          <w:lang w:val="fr-CH"/>
        </w:rPr>
        <w:t>1961</w:t>
      </w:r>
      <w:r w:rsidRPr="00D8642B">
        <w:rPr>
          <w:rtl/>
          <w:lang w:val="fr-CH"/>
        </w:rPr>
        <w:t xml:space="preserve">. </w:t>
      </w:r>
      <w:r w:rsidRPr="00D14D69">
        <w:rPr>
          <w:spacing w:val="-2"/>
          <w:rtl/>
          <w:lang w:val="fr-CH"/>
        </w:rPr>
        <w:t xml:space="preserve">وهو يدعي أنه ضحية انتهاك بيلاروس حقوقه المكفولة بموجب المادة </w:t>
      </w:r>
      <w:r w:rsidRPr="002978F5">
        <w:rPr>
          <w:spacing w:val="-2"/>
          <w:rtl/>
          <w:lang w:val="fr-CH"/>
        </w:rPr>
        <w:t>19</w:t>
      </w:r>
      <w:r w:rsidRPr="00D14D69">
        <w:rPr>
          <w:spacing w:val="-2"/>
          <w:rtl/>
          <w:lang w:val="fr-CH"/>
        </w:rPr>
        <w:t xml:space="preserve">، مقروءة بالاقتران مع المادة </w:t>
      </w:r>
      <w:r w:rsidRPr="002978F5">
        <w:rPr>
          <w:spacing w:val="-2"/>
          <w:rtl/>
          <w:lang w:val="fr-CH"/>
        </w:rPr>
        <w:t>2</w:t>
      </w:r>
      <w:r w:rsidRPr="00D14D69">
        <w:rPr>
          <w:spacing w:val="-2"/>
          <w:rtl/>
          <w:lang w:val="fr-CH"/>
        </w:rPr>
        <w:t>(</w:t>
      </w:r>
      <w:r w:rsidRPr="002978F5">
        <w:rPr>
          <w:spacing w:val="-2"/>
          <w:rtl/>
          <w:lang w:val="fr-CH"/>
        </w:rPr>
        <w:t>2</w:t>
      </w:r>
      <w:r w:rsidRPr="00D14D69">
        <w:rPr>
          <w:spacing w:val="-2"/>
          <w:rtl/>
          <w:lang w:val="fr-CH"/>
        </w:rPr>
        <w:t>) و(</w:t>
      </w:r>
      <w:r w:rsidRPr="002978F5">
        <w:rPr>
          <w:spacing w:val="-2"/>
          <w:rtl/>
          <w:lang w:val="fr-CH"/>
        </w:rPr>
        <w:t>3</w:t>
      </w:r>
      <w:r w:rsidRPr="00D14D69">
        <w:rPr>
          <w:spacing w:val="-2"/>
          <w:rtl/>
          <w:lang w:val="fr-CH"/>
        </w:rPr>
        <w:t xml:space="preserve">) من العهد. وقد دخل البروتوكول الاختياري حيز النفاذ بالنسبة إلى بيلاروس في </w:t>
      </w:r>
      <w:r w:rsidRPr="002978F5">
        <w:rPr>
          <w:spacing w:val="-2"/>
          <w:rtl/>
          <w:lang w:val="fr-CH"/>
        </w:rPr>
        <w:t>30</w:t>
      </w:r>
      <w:r w:rsidRPr="00D14D69">
        <w:rPr>
          <w:spacing w:val="-2"/>
          <w:rtl/>
          <w:lang w:val="fr-CH"/>
        </w:rPr>
        <w:t xml:space="preserve"> كانون الأول/ديسمبر </w:t>
      </w:r>
      <w:r w:rsidRPr="002978F5">
        <w:rPr>
          <w:spacing w:val="-2"/>
          <w:rtl/>
          <w:lang w:val="fr-CH"/>
        </w:rPr>
        <w:t>1992</w:t>
      </w:r>
      <w:r w:rsidRPr="00D14D69">
        <w:rPr>
          <w:spacing w:val="-2"/>
          <w:rtl/>
          <w:lang w:val="fr-CH"/>
        </w:rPr>
        <w:t>.</w:t>
      </w:r>
      <w:r w:rsidRPr="00D8642B">
        <w:rPr>
          <w:rtl/>
          <w:lang w:val="fr-CH"/>
        </w:rPr>
        <w:t xml:space="preserve"> وصاحب البلاغ لا يمثله محام.</w:t>
      </w:r>
    </w:p>
    <w:p w14:paraId="36179FB1" w14:textId="77777777" w:rsidR="00D74A44" w:rsidRPr="002978F5" w:rsidRDefault="00D74A44" w:rsidP="00D74A44">
      <w:pPr>
        <w:pStyle w:val="H23GA"/>
      </w:pPr>
      <w:r w:rsidRPr="002978F5">
        <w:rPr>
          <w:rtl/>
        </w:rPr>
        <w:tab/>
      </w:r>
      <w:r w:rsidRPr="002978F5">
        <w:rPr>
          <w:rtl/>
        </w:rPr>
        <w:tab/>
        <w:t>الوقائع كما عرضها صاحب البلاغ</w:t>
      </w:r>
    </w:p>
    <w:p w14:paraId="43562B3B" w14:textId="77777777" w:rsidR="00D74A44" w:rsidRPr="00D8642B" w:rsidRDefault="00D74A44" w:rsidP="00D74A44">
      <w:pPr>
        <w:pStyle w:val="SingleTxtGA"/>
        <w:spacing w:line="354" w:lineRule="exact"/>
        <w:rPr>
          <w:lang w:val="fr-CH"/>
        </w:rPr>
      </w:pPr>
      <w:r w:rsidRPr="002978F5">
        <w:rPr>
          <w:rtl/>
          <w:lang w:val="fr-CH"/>
        </w:rPr>
        <w:t>2</w:t>
      </w:r>
      <w:r w:rsidRPr="00D8642B">
        <w:rPr>
          <w:rtl/>
          <w:lang w:val="fr-CH"/>
        </w:rPr>
        <w:t>-</w:t>
      </w:r>
      <w:r w:rsidRPr="002978F5">
        <w:rPr>
          <w:rtl/>
          <w:lang w:val="fr-CH"/>
        </w:rPr>
        <w:t>1</w:t>
      </w:r>
      <w:r w:rsidRPr="00D8642B">
        <w:rPr>
          <w:rtl/>
          <w:lang w:val="fr-CH"/>
        </w:rPr>
        <w:tab/>
        <w:t xml:space="preserve">في </w:t>
      </w:r>
      <w:r w:rsidRPr="002978F5">
        <w:rPr>
          <w:rtl/>
          <w:lang w:val="fr-CH"/>
        </w:rPr>
        <w:t>3</w:t>
      </w:r>
      <w:r w:rsidRPr="00D8642B">
        <w:rPr>
          <w:rtl/>
          <w:lang w:val="fr-CH"/>
        </w:rPr>
        <w:t xml:space="preserve"> تشرين الثاني/نوفمبر </w:t>
      </w:r>
      <w:r w:rsidRPr="002978F5">
        <w:rPr>
          <w:rtl/>
          <w:lang w:val="fr-CH"/>
        </w:rPr>
        <w:t>2013</w:t>
      </w:r>
      <w:r w:rsidRPr="00D8642B">
        <w:rPr>
          <w:rtl/>
          <w:lang w:val="fr-CH"/>
        </w:rPr>
        <w:t xml:space="preserve">، شارك صاحب البلاغ في تجمع في الشارع بمناسبة يوم </w:t>
      </w:r>
      <w:r w:rsidRPr="00D8642B">
        <w:rPr>
          <w:spacing w:val="-4"/>
          <w:rtl/>
          <w:lang w:val="fr-CH"/>
        </w:rPr>
        <w:t xml:space="preserve">إحياء ذكرى الأقارب المتوفين. وينظم ممثلو أحزاب المعارضة في بيلاروس، في اليوم ذاته من كل عام، مسيرات لإحياء ذكرى ضحايا عمليات القتل الجماعي في بلدة </w:t>
      </w:r>
      <w:proofErr w:type="spellStart"/>
      <w:r w:rsidRPr="00D8642B">
        <w:rPr>
          <w:spacing w:val="-4"/>
          <w:rtl/>
          <w:lang w:val="fr-CH"/>
        </w:rPr>
        <w:t>كوراباتي</w:t>
      </w:r>
      <w:proofErr w:type="spellEnd"/>
      <w:r w:rsidRPr="00D8642B">
        <w:rPr>
          <w:spacing w:val="-4"/>
          <w:rtl/>
          <w:lang w:val="fr-CH"/>
        </w:rPr>
        <w:t>. وشارك صاحب البلاغ في هذا التجمع،</w:t>
      </w:r>
      <w:r w:rsidRPr="00D8642B">
        <w:rPr>
          <w:rtl/>
          <w:lang w:val="fr-CH"/>
        </w:rPr>
        <w:t xml:space="preserve"> مرتدي</w:t>
      </w:r>
      <w:r>
        <w:rPr>
          <w:rtl/>
          <w:lang w:val="fr-CH"/>
        </w:rPr>
        <w:t xml:space="preserve">اً </w:t>
      </w:r>
      <w:r w:rsidRPr="00D8642B">
        <w:rPr>
          <w:rtl/>
          <w:lang w:val="fr-CH"/>
        </w:rPr>
        <w:t>فوق سترته قميص</w:t>
      </w:r>
      <w:r>
        <w:rPr>
          <w:rtl/>
          <w:lang w:val="fr-CH"/>
        </w:rPr>
        <w:t xml:space="preserve">اً </w:t>
      </w:r>
      <w:r w:rsidRPr="00D8642B">
        <w:rPr>
          <w:rtl/>
          <w:lang w:val="fr-CH"/>
        </w:rPr>
        <w:t xml:space="preserve">يحمل شعارات ذات طابع </w:t>
      </w:r>
      <w:proofErr w:type="gramStart"/>
      <w:r w:rsidRPr="00D8642B">
        <w:rPr>
          <w:rtl/>
          <w:lang w:val="fr-CH"/>
        </w:rPr>
        <w:t>سياسي</w:t>
      </w:r>
      <w:r w:rsidRPr="00D8642B">
        <w:rPr>
          <w:vertAlign w:val="superscript"/>
          <w:rtl/>
          <w:lang w:val="fr-CH"/>
        </w:rPr>
        <w:t>(</w:t>
      </w:r>
      <w:bookmarkStart w:id="2" w:name="_Hlk73122949"/>
      <w:proofErr w:type="gramEnd"/>
      <w:r w:rsidRPr="002978F5">
        <w:rPr>
          <w:rStyle w:val="FootnoteReference"/>
          <w:szCs w:val="22"/>
          <w:lang w:val="en-US"/>
        </w:rPr>
        <w:footnoteReference w:id="3"/>
      </w:r>
      <w:bookmarkEnd w:id="2"/>
      <w:r w:rsidRPr="00D8642B">
        <w:rPr>
          <w:vertAlign w:val="superscript"/>
          <w:rtl/>
          <w:lang w:val="fr-CH"/>
        </w:rPr>
        <w:t>)</w:t>
      </w:r>
      <w:r>
        <w:rPr>
          <w:rtl/>
          <w:lang w:val="fr-CH"/>
        </w:rPr>
        <w:t>.</w:t>
      </w:r>
      <w:r w:rsidRPr="00D8642B">
        <w:rPr>
          <w:rtl/>
          <w:lang w:val="fr-CH"/>
        </w:rPr>
        <w:t xml:space="preserve"> واقترب منه ضباط في الشرطة عدة مرات، </w:t>
      </w:r>
      <w:r w:rsidRPr="00D8642B">
        <w:rPr>
          <w:spacing w:val="-4"/>
          <w:rtl/>
          <w:lang w:val="fr-CH"/>
        </w:rPr>
        <w:t>وطلبوا منه خلع القميص، لكنه رفض الامتثال. وفي نهاية التظاهرة، أوقفه ضباط واقتادوه إلى مركز الشركة</w:t>
      </w:r>
      <w:r w:rsidRPr="00D8642B">
        <w:rPr>
          <w:rtl/>
          <w:lang w:val="fr-CH"/>
        </w:rPr>
        <w:t xml:space="preserve">. </w:t>
      </w:r>
      <w:r w:rsidRPr="00D8642B">
        <w:rPr>
          <w:spacing w:val="-4"/>
          <w:rtl/>
          <w:lang w:val="fr-CH"/>
        </w:rPr>
        <w:t xml:space="preserve">واحتجز وقدم ضده محضر شرطة يتهمه بانتهاك المادة </w:t>
      </w:r>
      <w:r w:rsidRPr="002978F5">
        <w:rPr>
          <w:spacing w:val="-4"/>
          <w:rtl/>
          <w:lang w:val="fr-CH"/>
        </w:rPr>
        <w:t>23</w:t>
      </w:r>
      <w:r w:rsidRPr="00D8642B">
        <w:rPr>
          <w:spacing w:val="-4"/>
          <w:rtl/>
          <w:lang w:val="fr-CH"/>
        </w:rPr>
        <w:t>-</w:t>
      </w:r>
      <w:r w:rsidRPr="002978F5">
        <w:rPr>
          <w:spacing w:val="-4"/>
          <w:rtl/>
          <w:lang w:val="fr-CH"/>
        </w:rPr>
        <w:t>4</w:t>
      </w:r>
      <w:r w:rsidRPr="00D8642B">
        <w:rPr>
          <w:spacing w:val="-4"/>
          <w:rtl/>
          <w:lang w:val="fr-CH"/>
        </w:rPr>
        <w:t xml:space="preserve"> من قانون الجرائم الإدارية - عدم امتثال أمر</w:t>
      </w:r>
      <w:r w:rsidRPr="00D8642B">
        <w:rPr>
          <w:rtl/>
          <w:lang w:val="fr-CH"/>
        </w:rPr>
        <w:t xml:space="preserve"> قانوني للشرطة.</w:t>
      </w:r>
    </w:p>
    <w:p w14:paraId="5BC55FC8" w14:textId="77777777" w:rsidR="00D74A44" w:rsidRPr="00D8642B" w:rsidRDefault="00D74A44" w:rsidP="00D74A44">
      <w:pPr>
        <w:pStyle w:val="SingleTxtGA"/>
        <w:spacing w:line="354" w:lineRule="exact"/>
        <w:rPr>
          <w:lang w:val="fr-CH"/>
        </w:rPr>
      </w:pPr>
      <w:r w:rsidRPr="002978F5">
        <w:rPr>
          <w:rtl/>
          <w:lang w:val="fr-CH"/>
        </w:rPr>
        <w:t>2</w:t>
      </w:r>
      <w:r w:rsidRPr="00D8642B">
        <w:rPr>
          <w:rtl/>
          <w:lang w:val="fr-CH"/>
        </w:rPr>
        <w:t>-</w:t>
      </w:r>
      <w:r w:rsidRPr="002978F5">
        <w:rPr>
          <w:rtl/>
          <w:lang w:val="fr-CH"/>
        </w:rPr>
        <w:t>2</w:t>
      </w:r>
      <w:r w:rsidRPr="00D8642B">
        <w:rPr>
          <w:rtl/>
          <w:lang w:val="fr-CH"/>
        </w:rPr>
        <w:tab/>
        <w:t xml:space="preserve">وفي </w:t>
      </w:r>
      <w:r w:rsidRPr="002978F5">
        <w:rPr>
          <w:rtl/>
          <w:lang w:val="fr-CH"/>
        </w:rPr>
        <w:t>4</w:t>
      </w:r>
      <w:r w:rsidRPr="00D8642B">
        <w:rPr>
          <w:rtl/>
          <w:lang w:val="fr-CH"/>
        </w:rPr>
        <w:t xml:space="preserve"> تشرين الثاني/نوفمبر </w:t>
      </w:r>
      <w:r w:rsidRPr="002978F5">
        <w:rPr>
          <w:rtl/>
          <w:lang w:val="fr-CH"/>
        </w:rPr>
        <w:t>2013</w:t>
      </w:r>
      <w:r w:rsidRPr="00D8642B">
        <w:rPr>
          <w:rtl/>
          <w:lang w:val="fr-CH"/>
        </w:rPr>
        <w:t xml:space="preserve">، مثل صاحب البلاغ أمام المحكمة المحلية السوفييتية في </w:t>
      </w:r>
      <w:r w:rsidRPr="00D8642B">
        <w:rPr>
          <w:spacing w:val="-4"/>
          <w:rtl/>
          <w:lang w:val="fr-CH"/>
        </w:rPr>
        <w:t>مينسك. وأثبتت المحكمة أن اثنين من ضباط الشرطة بثياب مدنية قد اقتربا من صاحب البلاغ أثناء المسيرة</w:t>
      </w:r>
      <w:r w:rsidRPr="00D8642B">
        <w:rPr>
          <w:rtl/>
          <w:lang w:val="fr-CH"/>
        </w:rPr>
        <w:t xml:space="preserve"> </w:t>
      </w:r>
      <w:r w:rsidRPr="00D8642B">
        <w:rPr>
          <w:spacing w:val="-4"/>
          <w:rtl/>
          <w:lang w:val="fr-CH"/>
        </w:rPr>
        <w:t>وطلب</w:t>
      </w:r>
      <w:r>
        <w:rPr>
          <w:spacing w:val="-4"/>
          <w:rtl/>
          <w:lang w:val="fr-CH"/>
        </w:rPr>
        <w:t xml:space="preserve">اً </w:t>
      </w:r>
      <w:r w:rsidRPr="00D8642B">
        <w:rPr>
          <w:spacing w:val="-4"/>
          <w:rtl/>
          <w:lang w:val="fr-CH"/>
        </w:rPr>
        <w:t>منه خلع قميصه، مشيرين إلى أن محتواه قد نشر على الملإ وقد تكون عواقبه وخيمة. ورفض صاحب</w:t>
      </w:r>
      <w:r w:rsidRPr="00D8642B">
        <w:rPr>
          <w:rtl/>
          <w:lang w:val="fr-CH"/>
        </w:rPr>
        <w:t xml:space="preserve"> </w:t>
      </w:r>
      <w:r w:rsidRPr="00D8642B">
        <w:rPr>
          <w:spacing w:val="-4"/>
          <w:rtl/>
          <w:lang w:val="fr-CH"/>
        </w:rPr>
        <w:t>البلاغ خلع القميص وواصل المشاركة في التظاهرة. واتجه ضباط الشرطة نحو صاحب البلاغ بعد التجمع،</w:t>
      </w:r>
      <w:r w:rsidRPr="00D8642B">
        <w:rPr>
          <w:rtl/>
          <w:lang w:val="fr-CH"/>
        </w:rPr>
        <w:t xml:space="preserve"> وقدموا شارات هويتهم الرسمية وطلبوا منه أن يتبعهم إلى مركز الشرطة للتثبت مما إذا كانت الشعارات المكتوبة على القميص تشكل إهانة للرئيس الحالي، وما إذا كان في تصرفاته عناصر من جريمة إدارية. ولاحظت المحكمة أن صاحب البلاغ رفض ركوب سيارة الشرطة، وأبدى مقاومته. وعندما حذره الضباط من أنهم سيستخدمون القوة البدنية، أذعن وركب السيارة. وقيمت المحكمة شهادات الشهود، ومحضر الاحتجاز الإداري، وجميع عناصر أفعال صاحب البلاغ، وأدانته بانتهاك المادة </w:t>
      </w:r>
      <w:r w:rsidRPr="002978F5">
        <w:rPr>
          <w:rtl/>
          <w:lang w:val="fr-CH"/>
        </w:rPr>
        <w:t>23</w:t>
      </w:r>
      <w:r w:rsidRPr="00D8642B">
        <w:rPr>
          <w:rtl/>
          <w:lang w:val="fr-CH"/>
        </w:rPr>
        <w:t>-</w:t>
      </w:r>
      <w:r w:rsidRPr="002978F5">
        <w:rPr>
          <w:rtl/>
          <w:lang w:val="fr-CH"/>
        </w:rPr>
        <w:t>4</w:t>
      </w:r>
      <w:r w:rsidRPr="00D8642B">
        <w:rPr>
          <w:rtl/>
          <w:lang w:val="fr-CH"/>
        </w:rPr>
        <w:t xml:space="preserve"> من قانون الجرائم الإدارية، وحكمت عليه بالحبس الإداري لمدة ثلاثة أيام.</w:t>
      </w:r>
    </w:p>
    <w:p w14:paraId="3DF86455" w14:textId="77777777" w:rsidR="00D74A44" w:rsidRPr="00D8642B" w:rsidRDefault="00D74A44" w:rsidP="00D74A44">
      <w:pPr>
        <w:pStyle w:val="SingleTxtGA"/>
        <w:spacing w:line="354" w:lineRule="exact"/>
        <w:rPr>
          <w:spacing w:val="-4"/>
          <w:lang w:val="fr-CH"/>
        </w:rPr>
      </w:pPr>
      <w:r w:rsidRPr="002978F5">
        <w:rPr>
          <w:rtl/>
          <w:lang w:val="fr-CH"/>
        </w:rPr>
        <w:t>2</w:t>
      </w:r>
      <w:r w:rsidRPr="00D8642B">
        <w:rPr>
          <w:rtl/>
          <w:lang w:val="fr-CH"/>
        </w:rPr>
        <w:t>-</w:t>
      </w:r>
      <w:r w:rsidRPr="002978F5">
        <w:rPr>
          <w:rtl/>
          <w:lang w:val="fr-CH"/>
        </w:rPr>
        <w:t>3</w:t>
      </w:r>
      <w:r w:rsidRPr="00D8642B">
        <w:rPr>
          <w:rtl/>
          <w:lang w:val="fr-CH"/>
        </w:rPr>
        <w:tab/>
        <w:t xml:space="preserve">وفي </w:t>
      </w:r>
      <w:r w:rsidRPr="002978F5">
        <w:rPr>
          <w:rtl/>
          <w:lang w:val="fr-CH"/>
        </w:rPr>
        <w:t>7</w:t>
      </w:r>
      <w:r w:rsidRPr="00D8642B">
        <w:rPr>
          <w:rtl/>
          <w:lang w:val="fr-CH"/>
        </w:rPr>
        <w:t xml:space="preserve"> تشرين الثاني/نوفمبر </w:t>
      </w:r>
      <w:r w:rsidRPr="002978F5">
        <w:rPr>
          <w:rtl/>
          <w:lang w:val="fr-CH"/>
        </w:rPr>
        <w:t>2013</w:t>
      </w:r>
      <w:r w:rsidRPr="00D8642B">
        <w:rPr>
          <w:rtl/>
          <w:lang w:val="fr-CH"/>
        </w:rPr>
        <w:t xml:space="preserve">، استأنف صاحب البلاغ القرار أمام محكمة مدينة مينسك، </w:t>
      </w:r>
      <w:r w:rsidRPr="00D8642B">
        <w:rPr>
          <w:spacing w:val="-4"/>
          <w:rtl/>
          <w:lang w:val="fr-CH"/>
        </w:rPr>
        <w:t>وذكر أن المحكمة المحلية أخطأت بعدم إجراء تقييم سليم لاح</w:t>
      </w:r>
      <w:r>
        <w:rPr>
          <w:rFonts w:hint="cs"/>
          <w:spacing w:val="-4"/>
          <w:rtl/>
          <w:lang w:val="fr-CH"/>
        </w:rPr>
        <w:t>ت</w:t>
      </w:r>
      <w:r w:rsidRPr="00D8642B">
        <w:rPr>
          <w:spacing w:val="-4"/>
          <w:rtl/>
          <w:lang w:val="fr-CH"/>
        </w:rPr>
        <w:t>جازه من قبل ضباط الشرطة بسبب رفضه خلع قميص يحمل رسائل سياسية، وأن الضباط انتهكوا بذلك حقه في حرية التعبير الذي يحميه الدستور والعهد. وذكر صاحب البلاغ أيض</w:t>
      </w:r>
      <w:r>
        <w:rPr>
          <w:spacing w:val="-4"/>
          <w:rtl/>
          <w:lang w:val="fr-CH"/>
        </w:rPr>
        <w:t xml:space="preserve">اً </w:t>
      </w:r>
      <w:r w:rsidRPr="00D8642B">
        <w:rPr>
          <w:spacing w:val="-4"/>
          <w:rtl/>
          <w:lang w:val="fr-CH"/>
        </w:rPr>
        <w:t>أن قرار المحكمة المحلية استند حصر</w:t>
      </w:r>
      <w:r>
        <w:rPr>
          <w:spacing w:val="-4"/>
          <w:rtl/>
          <w:lang w:val="fr-CH"/>
        </w:rPr>
        <w:t xml:space="preserve">اً </w:t>
      </w:r>
      <w:r w:rsidRPr="00D8642B">
        <w:rPr>
          <w:spacing w:val="-4"/>
          <w:rtl/>
          <w:lang w:val="fr-CH"/>
        </w:rPr>
        <w:t>إلى شهادة الضابطين اللذين أوقفاه.</w:t>
      </w:r>
    </w:p>
    <w:p w14:paraId="7D2DE133" w14:textId="77777777" w:rsidR="00D74A44" w:rsidRPr="00D8642B" w:rsidRDefault="00D74A44" w:rsidP="00D74A44">
      <w:pPr>
        <w:pStyle w:val="SingleTxtGA"/>
        <w:spacing w:line="354" w:lineRule="exact"/>
        <w:rPr>
          <w:lang w:val="fr-CH"/>
        </w:rPr>
      </w:pPr>
      <w:r w:rsidRPr="002978F5">
        <w:rPr>
          <w:rtl/>
          <w:lang w:val="fr-CH"/>
        </w:rPr>
        <w:t>2</w:t>
      </w:r>
      <w:r w:rsidRPr="00D8642B">
        <w:rPr>
          <w:rtl/>
          <w:lang w:val="fr-CH"/>
        </w:rPr>
        <w:t>-</w:t>
      </w:r>
      <w:r w:rsidRPr="002978F5">
        <w:rPr>
          <w:rtl/>
          <w:lang w:val="fr-CH"/>
        </w:rPr>
        <w:t>4</w:t>
      </w:r>
      <w:r w:rsidRPr="00D8642B">
        <w:rPr>
          <w:rtl/>
          <w:lang w:val="fr-CH"/>
        </w:rPr>
        <w:tab/>
      </w:r>
      <w:r w:rsidRPr="0025240E">
        <w:rPr>
          <w:spacing w:val="-4"/>
          <w:rtl/>
          <w:lang w:val="fr-CH"/>
        </w:rPr>
        <w:t xml:space="preserve">وفي </w:t>
      </w:r>
      <w:r w:rsidRPr="002978F5">
        <w:rPr>
          <w:spacing w:val="-4"/>
          <w:rtl/>
          <w:lang w:val="fr-CH"/>
        </w:rPr>
        <w:t>29</w:t>
      </w:r>
      <w:r w:rsidRPr="0025240E">
        <w:rPr>
          <w:spacing w:val="-4"/>
          <w:rtl/>
          <w:lang w:val="fr-CH"/>
        </w:rPr>
        <w:t xml:space="preserve"> تشرين الثاني/نوفمبر </w:t>
      </w:r>
      <w:r w:rsidRPr="002978F5">
        <w:rPr>
          <w:spacing w:val="-4"/>
          <w:rtl/>
          <w:lang w:val="fr-CH"/>
        </w:rPr>
        <w:t>2013</w:t>
      </w:r>
      <w:r w:rsidRPr="0025240E">
        <w:rPr>
          <w:spacing w:val="-4"/>
          <w:rtl/>
          <w:lang w:val="fr-CH"/>
        </w:rPr>
        <w:t>، رفضت محكمة مدينة مينسك الاستئناف، مؤكدة أن محكمة</w:t>
      </w:r>
      <w:r w:rsidRPr="00D8642B">
        <w:rPr>
          <w:rtl/>
          <w:lang w:val="fr-CH"/>
        </w:rPr>
        <w:t xml:space="preserve"> الدرجة الأولى قد قيمت الأدلة تقييم</w:t>
      </w:r>
      <w:r>
        <w:rPr>
          <w:rtl/>
          <w:lang w:val="fr-CH"/>
        </w:rPr>
        <w:t xml:space="preserve">اً </w:t>
      </w:r>
      <w:r w:rsidRPr="00D8642B">
        <w:rPr>
          <w:rtl/>
          <w:lang w:val="fr-CH"/>
        </w:rPr>
        <w:t>صحيح</w:t>
      </w:r>
      <w:r>
        <w:rPr>
          <w:rtl/>
          <w:lang w:val="fr-CH"/>
        </w:rPr>
        <w:t xml:space="preserve">اً </w:t>
      </w:r>
      <w:r w:rsidRPr="00D8642B">
        <w:rPr>
          <w:rtl/>
          <w:lang w:val="fr-CH"/>
        </w:rPr>
        <w:t>وأن العقوبة المفروضة قانونية.</w:t>
      </w:r>
    </w:p>
    <w:p w14:paraId="642556F0" w14:textId="77777777" w:rsidR="00D74A44" w:rsidRPr="00D8642B" w:rsidRDefault="00D74A44" w:rsidP="00D74A44">
      <w:pPr>
        <w:pStyle w:val="SingleTxtGA"/>
        <w:spacing w:line="354" w:lineRule="exact"/>
        <w:rPr>
          <w:lang w:val="fr-CH"/>
        </w:rPr>
      </w:pPr>
      <w:r w:rsidRPr="002978F5">
        <w:rPr>
          <w:rtl/>
          <w:lang w:val="fr-CH"/>
        </w:rPr>
        <w:t>2</w:t>
      </w:r>
      <w:r w:rsidRPr="00D8642B">
        <w:rPr>
          <w:rtl/>
          <w:lang w:val="fr-CH"/>
        </w:rPr>
        <w:t>-</w:t>
      </w:r>
      <w:r w:rsidRPr="002978F5">
        <w:rPr>
          <w:rtl/>
          <w:lang w:val="fr-CH"/>
        </w:rPr>
        <w:t>5</w:t>
      </w:r>
      <w:r w:rsidRPr="00D8642B">
        <w:rPr>
          <w:rtl/>
          <w:lang w:val="fr-CH"/>
        </w:rPr>
        <w:tab/>
        <w:t xml:space="preserve">وقدم صاحب البلاغ من خلال إجراء المراجعة القضائية الرقابية استئنافين إلى رئيس محكمة مدينة مينسك ورئيس المحكمة العليا في بيلاروس في </w:t>
      </w:r>
      <w:r w:rsidRPr="002978F5">
        <w:rPr>
          <w:rtl/>
          <w:lang w:val="fr-CH"/>
        </w:rPr>
        <w:t>14</w:t>
      </w:r>
      <w:r w:rsidRPr="00D8642B">
        <w:rPr>
          <w:rtl/>
          <w:lang w:val="fr-CH"/>
        </w:rPr>
        <w:t xml:space="preserve"> كانون الأول/ديسمبر </w:t>
      </w:r>
      <w:r w:rsidRPr="002978F5">
        <w:rPr>
          <w:rtl/>
          <w:lang w:val="fr-CH"/>
        </w:rPr>
        <w:t>2013</w:t>
      </w:r>
      <w:r w:rsidRPr="00D8642B">
        <w:rPr>
          <w:rtl/>
          <w:lang w:val="fr-CH"/>
        </w:rPr>
        <w:t xml:space="preserve"> و</w:t>
      </w:r>
      <w:r w:rsidRPr="002978F5">
        <w:rPr>
          <w:rtl/>
          <w:lang w:val="fr-CH"/>
        </w:rPr>
        <w:t>22</w:t>
      </w:r>
      <w:r w:rsidRPr="00D8642B">
        <w:rPr>
          <w:rtl/>
          <w:lang w:val="fr-CH"/>
        </w:rPr>
        <w:t xml:space="preserve"> كانون الثاني/</w:t>
      </w:r>
      <w:r>
        <w:rPr>
          <w:rFonts w:hint="cs"/>
          <w:rtl/>
          <w:lang w:val="fr-CH"/>
        </w:rPr>
        <w:t xml:space="preserve"> </w:t>
      </w:r>
      <w:r w:rsidRPr="00D8642B">
        <w:rPr>
          <w:rtl/>
          <w:lang w:val="fr-CH"/>
        </w:rPr>
        <w:t xml:space="preserve">يناير </w:t>
      </w:r>
      <w:r w:rsidRPr="002978F5">
        <w:rPr>
          <w:rtl/>
          <w:lang w:val="fr-CH"/>
        </w:rPr>
        <w:t>2014</w:t>
      </w:r>
      <w:r w:rsidRPr="00D8642B">
        <w:rPr>
          <w:rtl/>
          <w:lang w:val="fr-CH"/>
        </w:rPr>
        <w:t xml:space="preserve"> على التوالي. ورفض الاستئنافان في </w:t>
      </w:r>
      <w:r w:rsidRPr="002978F5">
        <w:rPr>
          <w:rtl/>
          <w:lang w:val="fr-CH"/>
        </w:rPr>
        <w:t>17</w:t>
      </w:r>
      <w:r w:rsidRPr="00D8642B">
        <w:rPr>
          <w:rtl/>
          <w:lang w:val="fr-CH"/>
        </w:rPr>
        <w:t xml:space="preserve"> كانون الثاني/يناير </w:t>
      </w:r>
      <w:r w:rsidRPr="002978F5">
        <w:rPr>
          <w:rtl/>
          <w:lang w:val="fr-CH"/>
        </w:rPr>
        <w:t>2014</w:t>
      </w:r>
      <w:r w:rsidRPr="00D8642B">
        <w:rPr>
          <w:rtl/>
          <w:lang w:val="fr-CH"/>
        </w:rPr>
        <w:t xml:space="preserve"> و</w:t>
      </w:r>
      <w:r w:rsidRPr="002978F5">
        <w:rPr>
          <w:rtl/>
          <w:lang w:val="fr-CH"/>
        </w:rPr>
        <w:t>13</w:t>
      </w:r>
      <w:r w:rsidRPr="00D8642B">
        <w:rPr>
          <w:rtl/>
          <w:lang w:val="fr-CH"/>
        </w:rPr>
        <w:t xml:space="preserve"> آذار/مارس </w:t>
      </w:r>
      <w:r w:rsidRPr="002978F5">
        <w:rPr>
          <w:rtl/>
          <w:lang w:val="fr-CH"/>
        </w:rPr>
        <w:t>2014</w:t>
      </w:r>
      <w:r w:rsidRPr="00D8642B">
        <w:rPr>
          <w:rtl/>
          <w:lang w:val="fr-CH"/>
        </w:rPr>
        <w:t xml:space="preserve"> على التوالي. ويقول صاحب البلاغ إنه بذلك يكون قد استنفد جميع سبل الانتصاف المحلية.</w:t>
      </w:r>
    </w:p>
    <w:p w14:paraId="0785274F" w14:textId="77777777" w:rsidR="00D74A44" w:rsidRPr="00D8642B" w:rsidRDefault="00D74A44" w:rsidP="00D74A44">
      <w:pPr>
        <w:pStyle w:val="SingleTxtGA"/>
        <w:spacing w:line="354" w:lineRule="exact"/>
        <w:rPr>
          <w:spacing w:val="-4"/>
          <w:lang w:val="fr-CH"/>
        </w:rPr>
      </w:pPr>
      <w:r w:rsidRPr="002978F5">
        <w:rPr>
          <w:spacing w:val="-4"/>
          <w:rtl/>
          <w:lang w:val="fr-CH"/>
        </w:rPr>
        <w:t>2</w:t>
      </w:r>
      <w:r w:rsidRPr="00D8642B">
        <w:rPr>
          <w:spacing w:val="-4"/>
          <w:rtl/>
          <w:lang w:val="fr-CH"/>
        </w:rPr>
        <w:t>-</w:t>
      </w:r>
      <w:r w:rsidRPr="002978F5">
        <w:rPr>
          <w:spacing w:val="-4"/>
          <w:rtl/>
          <w:lang w:val="fr-CH"/>
        </w:rPr>
        <w:t>6</w:t>
      </w:r>
      <w:r w:rsidRPr="00D8642B">
        <w:rPr>
          <w:spacing w:val="-4"/>
          <w:rtl/>
          <w:lang w:val="fr-CH"/>
        </w:rPr>
        <w:tab/>
        <w:t>ولم يستخدم صاحب البلاغ إجراء المراجعة الرقابية لدى مكتب المدعي العام. ويدفع بأن هذه المراجعة لا تعتبر سبيل انتصاف فعال</w:t>
      </w:r>
      <w:r>
        <w:rPr>
          <w:spacing w:val="-4"/>
          <w:rtl/>
          <w:lang w:val="fr-CH"/>
        </w:rPr>
        <w:t xml:space="preserve">اً </w:t>
      </w:r>
      <w:r w:rsidRPr="00D8642B">
        <w:rPr>
          <w:spacing w:val="-4"/>
          <w:rtl/>
          <w:lang w:val="fr-CH"/>
        </w:rPr>
        <w:t>وفق</w:t>
      </w:r>
      <w:r>
        <w:rPr>
          <w:spacing w:val="-4"/>
          <w:rtl/>
          <w:lang w:val="fr-CH"/>
        </w:rPr>
        <w:t xml:space="preserve">اً </w:t>
      </w:r>
      <w:r w:rsidRPr="00D8642B">
        <w:rPr>
          <w:spacing w:val="-4"/>
          <w:rtl/>
          <w:lang w:val="fr-CH"/>
        </w:rPr>
        <w:t>لاجتهادات اللجنة، ليكون بذلك قد استنفد جميع سبل الانتصاف المحلية.</w:t>
      </w:r>
    </w:p>
    <w:p w14:paraId="1A41A751" w14:textId="77777777" w:rsidR="00D74A44" w:rsidRPr="002978F5" w:rsidRDefault="00D74A44" w:rsidP="00D74A44">
      <w:pPr>
        <w:pStyle w:val="H23GA"/>
      </w:pPr>
      <w:r w:rsidRPr="002978F5">
        <w:rPr>
          <w:rtl/>
        </w:rPr>
        <w:tab/>
      </w:r>
      <w:r w:rsidRPr="002978F5">
        <w:rPr>
          <w:rtl/>
        </w:rPr>
        <w:tab/>
        <w:t>الشكوى</w:t>
      </w:r>
    </w:p>
    <w:p w14:paraId="63BC88F1" w14:textId="77777777" w:rsidR="00D74A44" w:rsidRPr="0025240E" w:rsidRDefault="00D74A44" w:rsidP="00D74A44">
      <w:pPr>
        <w:pStyle w:val="SingleTxtGA"/>
        <w:spacing w:line="354" w:lineRule="exact"/>
        <w:rPr>
          <w:spacing w:val="2"/>
          <w:lang w:val="fr-CH"/>
        </w:rPr>
      </w:pPr>
      <w:r w:rsidRPr="002978F5">
        <w:rPr>
          <w:rtl/>
          <w:lang w:val="fr-CH"/>
        </w:rPr>
        <w:t>3</w:t>
      </w:r>
      <w:r w:rsidRPr="00D8642B">
        <w:rPr>
          <w:rtl/>
          <w:lang w:val="fr-CH"/>
        </w:rPr>
        <w:t>-</w:t>
      </w:r>
      <w:r w:rsidRPr="002978F5">
        <w:rPr>
          <w:rtl/>
          <w:lang w:val="fr-CH"/>
        </w:rPr>
        <w:t>1</w:t>
      </w:r>
      <w:r w:rsidRPr="00D8642B">
        <w:rPr>
          <w:rtl/>
          <w:lang w:val="fr-CH"/>
        </w:rPr>
        <w:tab/>
        <w:t>يدفع صاحب البلاغ بأن المحاكم المحلية لم تحدد سبب اعتبار طلب ضباط الشرطة خلع القميص الذي يحمل شعارات سياسية طلب</w:t>
      </w:r>
      <w:r>
        <w:rPr>
          <w:rtl/>
          <w:lang w:val="fr-CH"/>
        </w:rPr>
        <w:t xml:space="preserve">اً </w:t>
      </w:r>
      <w:r w:rsidRPr="00D8642B">
        <w:rPr>
          <w:rtl/>
          <w:lang w:val="fr-CH"/>
        </w:rPr>
        <w:t>مشروع</w:t>
      </w:r>
      <w:r>
        <w:rPr>
          <w:rtl/>
          <w:lang w:val="fr-CH"/>
        </w:rPr>
        <w:t>اً،</w:t>
      </w:r>
      <w:r w:rsidRPr="00D8642B">
        <w:rPr>
          <w:rtl/>
          <w:lang w:val="fr-CH"/>
        </w:rPr>
        <w:t xml:space="preserve"> ولم توضح سبب اعتبار هذا الطلب ضروري</w:t>
      </w:r>
      <w:r>
        <w:rPr>
          <w:rtl/>
          <w:lang w:val="fr-CH"/>
        </w:rPr>
        <w:t xml:space="preserve">اً </w:t>
      </w:r>
      <w:r w:rsidRPr="00D8642B">
        <w:rPr>
          <w:rtl/>
          <w:lang w:val="fr-CH"/>
        </w:rPr>
        <w:t xml:space="preserve">لتحقيق أحد الأغراض المذكورة في المادة </w:t>
      </w:r>
      <w:r w:rsidRPr="002978F5">
        <w:rPr>
          <w:rtl/>
          <w:lang w:val="fr-CH"/>
        </w:rPr>
        <w:t>19</w:t>
      </w:r>
      <w:r w:rsidRPr="00D8642B">
        <w:rPr>
          <w:rtl/>
          <w:lang w:val="fr-CH"/>
        </w:rPr>
        <w:t xml:space="preserve"> من العهد. ويدعي أن حقه في التعبير عن رأيه بارتداء قميص، </w:t>
      </w:r>
      <w:r w:rsidRPr="0025240E">
        <w:rPr>
          <w:spacing w:val="2"/>
          <w:rtl/>
          <w:lang w:val="fr-CH"/>
        </w:rPr>
        <w:t>وهو</w:t>
      </w:r>
      <w:r w:rsidRPr="0025240E">
        <w:rPr>
          <w:rFonts w:hint="cs"/>
          <w:spacing w:val="2"/>
          <w:rtl/>
          <w:lang w:val="fr-CH"/>
        </w:rPr>
        <w:t> </w:t>
      </w:r>
      <w:r w:rsidRPr="0025240E">
        <w:rPr>
          <w:spacing w:val="2"/>
          <w:rtl/>
          <w:lang w:val="fr-CH"/>
        </w:rPr>
        <w:t xml:space="preserve">حق محمي بموجب المادة </w:t>
      </w:r>
      <w:r w:rsidRPr="002978F5">
        <w:rPr>
          <w:spacing w:val="2"/>
          <w:rtl/>
          <w:lang w:val="fr-CH"/>
        </w:rPr>
        <w:t>19</w:t>
      </w:r>
      <w:r w:rsidRPr="0025240E">
        <w:rPr>
          <w:spacing w:val="2"/>
          <w:rtl/>
          <w:lang w:val="fr-CH"/>
        </w:rPr>
        <w:t xml:space="preserve">، مقروءة بالاقتران مع المادة </w:t>
      </w:r>
      <w:r w:rsidRPr="002978F5">
        <w:rPr>
          <w:spacing w:val="2"/>
          <w:rtl/>
          <w:lang w:val="fr-CH"/>
        </w:rPr>
        <w:t>2</w:t>
      </w:r>
      <w:r w:rsidRPr="0025240E">
        <w:rPr>
          <w:spacing w:val="2"/>
          <w:rtl/>
          <w:lang w:val="fr-CH"/>
        </w:rPr>
        <w:t>(</w:t>
      </w:r>
      <w:r w:rsidRPr="002978F5">
        <w:rPr>
          <w:spacing w:val="2"/>
          <w:rtl/>
          <w:lang w:val="fr-CH"/>
        </w:rPr>
        <w:t>2</w:t>
      </w:r>
      <w:r w:rsidRPr="0025240E">
        <w:rPr>
          <w:spacing w:val="2"/>
          <w:rtl/>
          <w:lang w:val="fr-CH"/>
        </w:rPr>
        <w:t>) و(</w:t>
      </w:r>
      <w:r w:rsidRPr="002978F5">
        <w:rPr>
          <w:spacing w:val="2"/>
          <w:rtl/>
          <w:lang w:val="fr-CH"/>
        </w:rPr>
        <w:t>3</w:t>
      </w:r>
      <w:r w:rsidRPr="0025240E">
        <w:rPr>
          <w:spacing w:val="2"/>
          <w:rtl/>
          <w:lang w:val="fr-CH"/>
        </w:rPr>
        <w:t>)، قد انتهك.</w:t>
      </w:r>
    </w:p>
    <w:p w14:paraId="52DE806F" w14:textId="77777777" w:rsidR="00D74A44" w:rsidRPr="00D8642B" w:rsidRDefault="00D74A44" w:rsidP="00D74A44">
      <w:pPr>
        <w:pStyle w:val="SingleTxtGA"/>
        <w:rPr>
          <w:lang w:val="fr-CH"/>
        </w:rPr>
      </w:pPr>
      <w:r w:rsidRPr="002978F5">
        <w:rPr>
          <w:rtl/>
          <w:lang w:val="fr-CH"/>
        </w:rPr>
        <w:t>3</w:t>
      </w:r>
      <w:r w:rsidRPr="00D8642B">
        <w:rPr>
          <w:rtl/>
          <w:lang w:val="fr-CH"/>
        </w:rPr>
        <w:t>-</w:t>
      </w:r>
      <w:r w:rsidRPr="002978F5">
        <w:rPr>
          <w:rtl/>
          <w:lang w:val="fr-CH"/>
        </w:rPr>
        <w:t>2</w:t>
      </w:r>
      <w:r w:rsidRPr="00D8642B">
        <w:rPr>
          <w:rtl/>
          <w:lang w:val="fr-CH"/>
        </w:rPr>
        <w:tab/>
      </w:r>
      <w:r w:rsidRPr="002978F5">
        <w:rPr>
          <w:spacing w:val="-2"/>
          <w:rtl/>
          <w:lang w:val="fr-CH"/>
        </w:rPr>
        <w:t>ويطلب صاحب البلاغ إلى اللجنة أن تخلص إلى حدوث انتهاك من بيلاروس للمادة 19، مقروءة</w:t>
      </w:r>
      <w:r w:rsidRPr="00D8642B">
        <w:rPr>
          <w:rtl/>
          <w:lang w:val="fr-CH"/>
        </w:rPr>
        <w:t xml:space="preserve"> </w:t>
      </w:r>
      <w:r w:rsidRPr="002978F5">
        <w:rPr>
          <w:spacing w:val="-4"/>
          <w:rtl/>
          <w:lang w:val="fr-CH"/>
        </w:rPr>
        <w:t>بالاقتران مع المادة 2(2) و(3)، وأن تؤكد للدولة الطرف ضرورة جعل المادة 23-4 من قانون الجرائم الإدارية</w:t>
      </w:r>
      <w:r w:rsidRPr="00D8642B">
        <w:rPr>
          <w:rtl/>
          <w:lang w:val="fr-CH"/>
        </w:rPr>
        <w:t xml:space="preserve"> متماشية مع متطلبات المادة </w:t>
      </w:r>
      <w:r w:rsidRPr="002978F5">
        <w:rPr>
          <w:rtl/>
          <w:lang w:val="fr-CH"/>
        </w:rPr>
        <w:t>19</w:t>
      </w:r>
      <w:r w:rsidRPr="00D8642B">
        <w:rPr>
          <w:rtl/>
          <w:lang w:val="fr-CH"/>
        </w:rPr>
        <w:t xml:space="preserve"> من العهد.</w:t>
      </w:r>
    </w:p>
    <w:p w14:paraId="3CF1F7F8" w14:textId="77777777" w:rsidR="00D74A44" w:rsidRPr="002978F5" w:rsidRDefault="00D74A44" w:rsidP="00D74A44">
      <w:pPr>
        <w:pStyle w:val="H23GA"/>
      </w:pPr>
      <w:r w:rsidRPr="002978F5">
        <w:rPr>
          <w:rtl/>
        </w:rPr>
        <w:tab/>
      </w:r>
      <w:r w:rsidRPr="002978F5">
        <w:rPr>
          <w:rtl/>
        </w:rPr>
        <w:tab/>
        <w:t>ملاحظات الدولة الطرف بشأن المقبولية</w:t>
      </w:r>
    </w:p>
    <w:p w14:paraId="29C2B02C" w14:textId="77777777" w:rsidR="00D74A44" w:rsidRPr="00D8642B" w:rsidRDefault="00D74A44" w:rsidP="00D74A44">
      <w:pPr>
        <w:pStyle w:val="SingleTxtGA"/>
        <w:rPr>
          <w:spacing w:val="-5"/>
          <w:lang w:val="fr-CH"/>
        </w:rPr>
      </w:pPr>
      <w:r w:rsidRPr="002978F5">
        <w:rPr>
          <w:rtl/>
          <w:lang w:val="fr-CH"/>
        </w:rPr>
        <w:t>4</w:t>
      </w:r>
      <w:r w:rsidRPr="00D8642B">
        <w:rPr>
          <w:rtl/>
          <w:lang w:val="fr-CH"/>
        </w:rPr>
        <w:t>-</w:t>
      </w:r>
      <w:r w:rsidRPr="002978F5">
        <w:rPr>
          <w:rtl/>
          <w:lang w:val="fr-CH"/>
        </w:rPr>
        <w:t>1</w:t>
      </w:r>
      <w:r w:rsidRPr="00D8642B">
        <w:rPr>
          <w:rtl/>
          <w:lang w:val="fr-CH"/>
        </w:rPr>
        <w:tab/>
        <w:t xml:space="preserve">تشير الدولة الطرف، في مذكرة شفوية بتاريخ </w:t>
      </w:r>
      <w:r w:rsidRPr="002978F5">
        <w:rPr>
          <w:rtl/>
          <w:lang w:val="fr-CH"/>
        </w:rPr>
        <w:t>18</w:t>
      </w:r>
      <w:r w:rsidRPr="00D8642B">
        <w:rPr>
          <w:rtl/>
          <w:lang w:val="fr-CH"/>
        </w:rPr>
        <w:t xml:space="preserve"> كانون الثاني/يناير </w:t>
      </w:r>
      <w:r w:rsidRPr="002978F5">
        <w:rPr>
          <w:rtl/>
          <w:lang w:val="fr-CH"/>
        </w:rPr>
        <w:t>2016</w:t>
      </w:r>
      <w:r w:rsidRPr="00D8642B">
        <w:rPr>
          <w:rtl/>
          <w:lang w:val="fr-CH"/>
        </w:rPr>
        <w:t xml:space="preserve">، إلى أن المحكمة </w:t>
      </w:r>
      <w:r w:rsidRPr="00D8642B">
        <w:rPr>
          <w:spacing w:val="-4"/>
          <w:rtl/>
          <w:lang w:val="fr-CH"/>
        </w:rPr>
        <w:t xml:space="preserve">المحلية السوفييتية في مينسك أدانت صاحب البلاغ في </w:t>
      </w:r>
      <w:r w:rsidRPr="002978F5">
        <w:rPr>
          <w:spacing w:val="-4"/>
          <w:rtl/>
          <w:lang w:val="fr-CH"/>
        </w:rPr>
        <w:t>4</w:t>
      </w:r>
      <w:r w:rsidRPr="00D8642B">
        <w:rPr>
          <w:spacing w:val="-4"/>
          <w:rtl/>
          <w:lang w:val="fr-CH"/>
        </w:rPr>
        <w:t xml:space="preserve"> تشرين الثاني/نوفمبر </w:t>
      </w:r>
      <w:r w:rsidRPr="002978F5">
        <w:rPr>
          <w:spacing w:val="-4"/>
          <w:rtl/>
          <w:lang w:val="fr-CH"/>
        </w:rPr>
        <w:t>2013</w:t>
      </w:r>
      <w:r w:rsidRPr="00D8642B">
        <w:rPr>
          <w:spacing w:val="-4"/>
          <w:rtl/>
          <w:lang w:val="fr-CH"/>
        </w:rPr>
        <w:t xml:space="preserve"> بانتهاك المادة </w:t>
      </w:r>
      <w:r w:rsidRPr="002978F5">
        <w:rPr>
          <w:spacing w:val="-4"/>
          <w:rtl/>
          <w:lang w:val="fr-CH"/>
        </w:rPr>
        <w:t>23</w:t>
      </w:r>
      <w:r w:rsidRPr="00D8642B">
        <w:rPr>
          <w:spacing w:val="-4"/>
          <w:rtl/>
          <w:lang w:val="fr-CH"/>
        </w:rPr>
        <w:t>-</w:t>
      </w:r>
      <w:r w:rsidRPr="002978F5">
        <w:rPr>
          <w:spacing w:val="-4"/>
          <w:rtl/>
          <w:lang w:val="fr-CH"/>
        </w:rPr>
        <w:t>4</w:t>
      </w:r>
      <w:r w:rsidRPr="00D8642B">
        <w:rPr>
          <w:rtl/>
          <w:lang w:val="fr-CH"/>
        </w:rPr>
        <w:t xml:space="preserve"> </w:t>
      </w:r>
      <w:r w:rsidRPr="00D8642B">
        <w:rPr>
          <w:spacing w:val="-5"/>
          <w:rtl/>
          <w:lang w:val="fr-CH"/>
        </w:rPr>
        <w:t>من قانون الجرائم الإدارية وفرضت عليه احتجاز</w:t>
      </w:r>
      <w:r>
        <w:rPr>
          <w:spacing w:val="-5"/>
          <w:rtl/>
          <w:lang w:val="fr-CH"/>
        </w:rPr>
        <w:t xml:space="preserve">اً </w:t>
      </w:r>
      <w:r w:rsidRPr="00D8642B">
        <w:rPr>
          <w:spacing w:val="-5"/>
          <w:rtl/>
          <w:lang w:val="fr-CH"/>
        </w:rPr>
        <w:t>إداري</w:t>
      </w:r>
      <w:r>
        <w:rPr>
          <w:spacing w:val="-5"/>
          <w:rtl/>
          <w:lang w:val="fr-CH"/>
        </w:rPr>
        <w:t xml:space="preserve">اً </w:t>
      </w:r>
      <w:r w:rsidRPr="00D8642B">
        <w:rPr>
          <w:spacing w:val="-5"/>
          <w:rtl/>
          <w:lang w:val="fr-CH"/>
        </w:rPr>
        <w:t>لمدة ثلاثة أيام لعدم امتثاله أمر</w:t>
      </w:r>
      <w:r>
        <w:rPr>
          <w:spacing w:val="-5"/>
          <w:rtl/>
          <w:lang w:val="fr-CH"/>
        </w:rPr>
        <w:t xml:space="preserve">اً </w:t>
      </w:r>
      <w:r w:rsidRPr="00D8642B">
        <w:rPr>
          <w:spacing w:val="-5"/>
          <w:rtl/>
          <w:lang w:val="fr-CH"/>
        </w:rPr>
        <w:t>قانوني</w:t>
      </w:r>
      <w:r>
        <w:rPr>
          <w:spacing w:val="-5"/>
          <w:rtl/>
          <w:lang w:val="fr-CH"/>
        </w:rPr>
        <w:t xml:space="preserve">اً </w:t>
      </w:r>
      <w:r w:rsidRPr="00D8642B">
        <w:rPr>
          <w:spacing w:val="-5"/>
          <w:rtl/>
          <w:lang w:val="fr-CH"/>
        </w:rPr>
        <w:t>صادر</w:t>
      </w:r>
      <w:r>
        <w:rPr>
          <w:spacing w:val="-5"/>
          <w:rtl/>
          <w:lang w:val="fr-CH"/>
        </w:rPr>
        <w:t xml:space="preserve">اً </w:t>
      </w:r>
      <w:r w:rsidRPr="00D8642B">
        <w:rPr>
          <w:spacing w:val="-5"/>
          <w:rtl/>
          <w:lang w:val="fr-CH"/>
        </w:rPr>
        <w:t>عن الشرطة.</w:t>
      </w:r>
    </w:p>
    <w:p w14:paraId="2CED61FA" w14:textId="77777777" w:rsidR="00D74A44" w:rsidRPr="00D8642B" w:rsidRDefault="00D74A44" w:rsidP="00D74A44">
      <w:pPr>
        <w:pStyle w:val="SingleTxtGA"/>
        <w:rPr>
          <w:lang w:val="fr-CH"/>
        </w:rPr>
      </w:pPr>
      <w:r w:rsidRPr="002978F5">
        <w:rPr>
          <w:rtl/>
          <w:lang w:val="fr-CH"/>
        </w:rPr>
        <w:t>4</w:t>
      </w:r>
      <w:r w:rsidRPr="00D8642B">
        <w:rPr>
          <w:rtl/>
          <w:lang w:val="fr-CH"/>
        </w:rPr>
        <w:t>-</w:t>
      </w:r>
      <w:r w:rsidRPr="002978F5">
        <w:rPr>
          <w:rtl/>
          <w:lang w:val="fr-CH"/>
        </w:rPr>
        <w:t>2</w:t>
      </w:r>
      <w:r w:rsidRPr="00D8642B">
        <w:rPr>
          <w:rtl/>
          <w:lang w:val="fr-CH"/>
        </w:rPr>
        <w:tab/>
        <w:t>وتقول الدولة الطرف إن عدم امتثال صاحب البلاغ أمر</w:t>
      </w:r>
      <w:r>
        <w:rPr>
          <w:rtl/>
          <w:lang w:val="fr-CH"/>
        </w:rPr>
        <w:t xml:space="preserve">اً </w:t>
      </w:r>
      <w:r w:rsidRPr="00D8642B">
        <w:rPr>
          <w:rtl/>
          <w:lang w:val="fr-CH"/>
        </w:rPr>
        <w:t>قانوني</w:t>
      </w:r>
      <w:r>
        <w:rPr>
          <w:rtl/>
          <w:lang w:val="fr-CH"/>
        </w:rPr>
        <w:t xml:space="preserve">اً </w:t>
      </w:r>
      <w:r w:rsidRPr="00D8642B">
        <w:rPr>
          <w:rtl/>
          <w:lang w:val="fr-CH"/>
        </w:rPr>
        <w:t xml:space="preserve">من الشرطة يشكل جريمة ضد النظام العام ينبغي ألا ترتكب أثناء ممارسة الحق في حرية التعبير بموجب المادة </w:t>
      </w:r>
      <w:r w:rsidRPr="002978F5">
        <w:rPr>
          <w:rtl/>
          <w:lang w:val="fr-CH"/>
        </w:rPr>
        <w:t>19</w:t>
      </w:r>
      <w:r w:rsidRPr="00D8642B">
        <w:rPr>
          <w:rtl/>
          <w:lang w:val="fr-CH"/>
        </w:rPr>
        <w:t xml:space="preserve"> من العهد.</w:t>
      </w:r>
    </w:p>
    <w:p w14:paraId="29D46D11" w14:textId="77777777" w:rsidR="00D74A44" w:rsidRPr="00D8642B" w:rsidRDefault="00D74A44" w:rsidP="00D74A44">
      <w:pPr>
        <w:pStyle w:val="SingleTxtGA"/>
        <w:rPr>
          <w:lang w:val="fr-CH"/>
        </w:rPr>
      </w:pPr>
      <w:r w:rsidRPr="002978F5">
        <w:rPr>
          <w:rtl/>
          <w:lang w:val="fr-CH"/>
        </w:rPr>
        <w:t>4</w:t>
      </w:r>
      <w:r w:rsidRPr="00D8642B">
        <w:rPr>
          <w:rtl/>
          <w:lang w:val="fr-CH"/>
        </w:rPr>
        <w:t>-</w:t>
      </w:r>
      <w:r w:rsidRPr="002978F5">
        <w:rPr>
          <w:rtl/>
          <w:lang w:val="fr-CH"/>
        </w:rPr>
        <w:t>3</w:t>
      </w:r>
      <w:r w:rsidRPr="00D8642B">
        <w:rPr>
          <w:rtl/>
          <w:lang w:val="fr-CH"/>
        </w:rPr>
        <w:tab/>
      </w:r>
      <w:r w:rsidRPr="00D8642B">
        <w:rPr>
          <w:spacing w:val="-6"/>
          <w:rtl/>
          <w:lang w:val="fr-CH"/>
        </w:rPr>
        <w:t xml:space="preserve">وقد قيمت محكمة مدينة مينسك مشروعية القرار وصحته، وأكدته في </w:t>
      </w:r>
      <w:r w:rsidRPr="002978F5">
        <w:rPr>
          <w:spacing w:val="-6"/>
          <w:rtl/>
          <w:lang w:val="fr-CH"/>
        </w:rPr>
        <w:t>29</w:t>
      </w:r>
      <w:r w:rsidRPr="00D8642B">
        <w:rPr>
          <w:spacing w:val="-6"/>
          <w:rtl/>
          <w:lang w:val="fr-CH"/>
        </w:rPr>
        <w:t xml:space="preserve"> تشرين الثاني/نوفمبر </w:t>
      </w:r>
      <w:r w:rsidRPr="002978F5">
        <w:rPr>
          <w:spacing w:val="-6"/>
          <w:rtl/>
          <w:lang w:val="fr-CH"/>
        </w:rPr>
        <w:t>2013</w:t>
      </w:r>
      <w:r w:rsidRPr="00D8642B">
        <w:rPr>
          <w:spacing w:val="-6"/>
          <w:rtl/>
          <w:lang w:val="fr-CH"/>
        </w:rPr>
        <w:t xml:space="preserve"> </w:t>
      </w:r>
      <w:r w:rsidRPr="00D8642B">
        <w:rPr>
          <w:rtl/>
          <w:lang w:val="fr-CH"/>
        </w:rPr>
        <w:t xml:space="preserve">عندما رفضت استئناف صاحب البلاغ. وفي </w:t>
      </w:r>
      <w:r w:rsidRPr="002978F5">
        <w:rPr>
          <w:rtl/>
          <w:lang w:val="fr-CH"/>
        </w:rPr>
        <w:t>17</w:t>
      </w:r>
      <w:r w:rsidRPr="00D8642B">
        <w:rPr>
          <w:rtl/>
          <w:lang w:val="fr-CH"/>
        </w:rPr>
        <w:t xml:space="preserve"> كانون الثاني/يناير </w:t>
      </w:r>
      <w:r w:rsidRPr="002978F5">
        <w:rPr>
          <w:rtl/>
          <w:lang w:val="fr-CH"/>
        </w:rPr>
        <w:t>2014</w:t>
      </w:r>
      <w:r w:rsidRPr="00D8642B">
        <w:rPr>
          <w:rtl/>
          <w:lang w:val="fr-CH"/>
        </w:rPr>
        <w:t xml:space="preserve"> و</w:t>
      </w:r>
      <w:r w:rsidRPr="002978F5">
        <w:rPr>
          <w:rtl/>
          <w:lang w:val="fr-CH"/>
        </w:rPr>
        <w:t>13</w:t>
      </w:r>
      <w:r w:rsidRPr="00D8642B">
        <w:rPr>
          <w:rtl/>
          <w:lang w:val="fr-CH"/>
        </w:rPr>
        <w:t xml:space="preserve"> آذار/مارس </w:t>
      </w:r>
      <w:r w:rsidRPr="002978F5">
        <w:rPr>
          <w:rtl/>
          <w:lang w:val="fr-CH"/>
        </w:rPr>
        <w:t>2014</w:t>
      </w:r>
      <w:r w:rsidRPr="00D8642B">
        <w:rPr>
          <w:rtl/>
          <w:lang w:val="fr-CH"/>
        </w:rPr>
        <w:t xml:space="preserve"> على التوالي، رفض رئيس محكمة مدينة مينسك ورئيس المحكمة العليا استئناف صاحب البلاغ.</w:t>
      </w:r>
    </w:p>
    <w:p w14:paraId="5568F652" w14:textId="77777777" w:rsidR="00D74A44" w:rsidRPr="00D8642B" w:rsidRDefault="00D74A44" w:rsidP="00D74A44">
      <w:pPr>
        <w:pStyle w:val="SingleTxtGA"/>
        <w:rPr>
          <w:lang w:val="fr-CH"/>
        </w:rPr>
      </w:pPr>
      <w:r w:rsidRPr="002978F5">
        <w:rPr>
          <w:rtl/>
          <w:lang w:val="fr-CH"/>
        </w:rPr>
        <w:t>4</w:t>
      </w:r>
      <w:r w:rsidRPr="00D8642B">
        <w:rPr>
          <w:rtl/>
          <w:lang w:val="fr-CH"/>
        </w:rPr>
        <w:t>-</w:t>
      </w:r>
      <w:r w:rsidRPr="002978F5">
        <w:rPr>
          <w:rtl/>
          <w:lang w:val="fr-CH"/>
        </w:rPr>
        <w:t>4</w:t>
      </w:r>
      <w:r w:rsidRPr="00D8642B">
        <w:rPr>
          <w:rtl/>
          <w:lang w:val="fr-CH"/>
        </w:rPr>
        <w:tab/>
      </w:r>
      <w:r w:rsidRPr="00D8642B">
        <w:rPr>
          <w:spacing w:val="-4"/>
          <w:rtl/>
          <w:lang w:val="fr-CH"/>
        </w:rPr>
        <w:t>لذا تدفع الدولة الطرف بأن حق صاحب البلاغ في جلسة استماع عادلة وعلنية أمام محكمة مختصة</w:t>
      </w:r>
      <w:r w:rsidRPr="00D8642B">
        <w:rPr>
          <w:rtl/>
          <w:lang w:val="fr-CH"/>
        </w:rPr>
        <w:t xml:space="preserve"> ومستقلة ونزيهة منشأة بالقانون قد ضُمن تمام</w:t>
      </w:r>
      <w:r>
        <w:rPr>
          <w:rtl/>
          <w:lang w:val="fr-CH"/>
        </w:rPr>
        <w:t>اً،</w:t>
      </w:r>
      <w:r w:rsidRPr="00D8642B">
        <w:rPr>
          <w:rtl/>
          <w:lang w:val="fr-CH"/>
        </w:rPr>
        <w:t xml:space="preserve"> على النحو المنصوص عليه في المادة </w:t>
      </w:r>
      <w:r w:rsidRPr="002978F5">
        <w:rPr>
          <w:rtl/>
          <w:lang w:val="fr-CH"/>
        </w:rPr>
        <w:t>14</w:t>
      </w:r>
      <w:r w:rsidRPr="00D8642B">
        <w:rPr>
          <w:rtl/>
          <w:lang w:val="fr-CH"/>
        </w:rPr>
        <w:t xml:space="preserve"> من العهد.</w:t>
      </w:r>
    </w:p>
    <w:p w14:paraId="36BE9D21" w14:textId="77777777" w:rsidR="00D74A44" w:rsidRPr="00D8642B" w:rsidRDefault="00D74A44" w:rsidP="00D74A44">
      <w:pPr>
        <w:pStyle w:val="SingleTxtGA"/>
        <w:rPr>
          <w:lang w:val="fr-CH"/>
        </w:rPr>
      </w:pPr>
      <w:r w:rsidRPr="002978F5">
        <w:rPr>
          <w:rtl/>
          <w:lang w:val="fr-CH"/>
        </w:rPr>
        <w:t>4</w:t>
      </w:r>
      <w:r w:rsidRPr="00D8642B">
        <w:rPr>
          <w:rtl/>
          <w:lang w:val="fr-CH"/>
        </w:rPr>
        <w:t>-</w:t>
      </w:r>
      <w:r w:rsidRPr="002978F5">
        <w:rPr>
          <w:rtl/>
          <w:lang w:val="fr-CH"/>
        </w:rPr>
        <w:t>5</w:t>
      </w:r>
      <w:r w:rsidRPr="00D8642B">
        <w:rPr>
          <w:rtl/>
          <w:lang w:val="fr-CH"/>
        </w:rPr>
        <w:tab/>
      </w:r>
      <w:r w:rsidRPr="00D8642B">
        <w:rPr>
          <w:spacing w:val="-4"/>
          <w:rtl/>
          <w:lang w:val="fr-CH"/>
        </w:rPr>
        <w:t>وتدفع الدولة الطرف بأن صاحب البلاغ لم يستنفد جميع سبل الانتصاف المحلية المتاحة، ولا توافق</w:t>
      </w:r>
      <w:r w:rsidRPr="00D8642B">
        <w:rPr>
          <w:rtl/>
          <w:lang w:val="fr-CH"/>
        </w:rPr>
        <w:t xml:space="preserve"> </w:t>
      </w:r>
      <w:r w:rsidRPr="00D8642B">
        <w:rPr>
          <w:spacing w:val="-4"/>
          <w:rtl/>
          <w:lang w:val="fr-CH"/>
        </w:rPr>
        <w:t>على احتجاجه بأن إجراء المراجعة الرقابية لدى مكتب المدعي العام لا يشكل سبيل انتصاف فعالا</w:t>
      </w:r>
      <w:r>
        <w:rPr>
          <w:rFonts w:hint="cs"/>
          <w:spacing w:val="-4"/>
          <w:rtl/>
          <w:lang w:val="fr-CH"/>
        </w:rPr>
        <w:t>ً.</w:t>
      </w:r>
      <w:r w:rsidRPr="00D8642B">
        <w:rPr>
          <w:spacing w:val="-4"/>
          <w:rtl/>
          <w:lang w:val="fr-CH"/>
        </w:rPr>
        <w:t xml:space="preserve"> وفي هذا</w:t>
      </w:r>
      <w:r w:rsidRPr="00D8642B">
        <w:rPr>
          <w:rtl/>
          <w:lang w:val="fr-CH"/>
        </w:rPr>
        <w:t xml:space="preserve"> </w:t>
      </w:r>
      <w:r w:rsidRPr="00D8642B">
        <w:rPr>
          <w:spacing w:val="-4"/>
          <w:rtl/>
          <w:lang w:val="fr-CH"/>
        </w:rPr>
        <w:t xml:space="preserve">السياق، تشير الدولة الطرف إلى تأييد </w:t>
      </w:r>
      <w:r w:rsidRPr="002978F5">
        <w:rPr>
          <w:spacing w:val="-4"/>
          <w:rtl/>
          <w:lang w:val="fr-CH"/>
        </w:rPr>
        <w:t>910</w:t>
      </w:r>
      <w:r w:rsidRPr="00D8642B">
        <w:rPr>
          <w:spacing w:val="-4"/>
          <w:rtl/>
          <w:lang w:val="fr-CH"/>
        </w:rPr>
        <w:t xml:space="preserve"> </w:t>
      </w:r>
      <w:r w:rsidRPr="002978F5">
        <w:rPr>
          <w:spacing w:val="-4"/>
          <w:rtl/>
          <w:lang w:val="fr-CH"/>
        </w:rPr>
        <w:t>2</w:t>
      </w:r>
      <w:r w:rsidRPr="00D8642B">
        <w:rPr>
          <w:spacing w:val="-4"/>
          <w:rtl/>
          <w:lang w:val="fr-CH"/>
        </w:rPr>
        <w:t xml:space="preserve"> طعون من أصل </w:t>
      </w:r>
      <w:r w:rsidRPr="002978F5">
        <w:rPr>
          <w:spacing w:val="-4"/>
          <w:rtl/>
          <w:lang w:val="fr-CH"/>
        </w:rPr>
        <w:t>963</w:t>
      </w:r>
      <w:r w:rsidRPr="00D8642B">
        <w:rPr>
          <w:spacing w:val="-4"/>
          <w:rtl/>
          <w:lang w:val="fr-CH"/>
        </w:rPr>
        <w:t xml:space="preserve"> </w:t>
      </w:r>
      <w:r w:rsidRPr="002978F5">
        <w:rPr>
          <w:spacing w:val="-4"/>
          <w:rtl/>
          <w:lang w:val="fr-CH"/>
        </w:rPr>
        <w:t>2</w:t>
      </w:r>
      <w:r w:rsidRPr="00D8642B">
        <w:rPr>
          <w:spacing w:val="-4"/>
          <w:rtl/>
          <w:lang w:val="fr-CH"/>
        </w:rPr>
        <w:t xml:space="preserve"> طعن</w:t>
      </w:r>
      <w:r>
        <w:rPr>
          <w:spacing w:val="-4"/>
          <w:rtl/>
          <w:lang w:val="fr-CH"/>
        </w:rPr>
        <w:t xml:space="preserve">اً </w:t>
      </w:r>
      <w:r w:rsidRPr="00D8642B">
        <w:rPr>
          <w:spacing w:val="-4"/>
          <w:rtl/>
          <w:lang w:val="fr-CH"/>
        </w:rPr>
        <w:t>قدمت في إطار إجراء المراجعة</w:t>
      </w:r>
      <w:r w:rsidRPr="00D8642B">
        <w:rPr>
          <w:rtl/>
          <w:lang w:val="fr-CH"/>
        </w:rPr>
        <w:t xml:space="preserve"> الرقابية في فترة تسعة أشهر من عام </w:t>
      </w:r>
      <w:r w:rsidRPr="002978F5">
        <w:rPr>
          <w:rtl/>
          <w:lang w:val="fr-CH"/>
        </w:rPr>
        <w:t>2015</w:t>
      </w:r>
      <w:r w:rsidRPr="00D8642B">
        <w:rPr>
          <w:rtl/>
          <w:lang w:val="fr-CH"/>
        </w:rPr>
        <w:t>.</w:t>
      </w:r>
    </w:p>
    <w:p w14:paraId="499EBFB3" w14:textId="77777777" w:rsidR="00D74A44" w:rsidRPr="002978F5" w:rsidRDefault="00D74A44" w:rsidP="00D74A44">
      <w:pPr>
        <w:pStyle w:val="H23GA"/>
      </w:pPr>
      <w:r w:rsidRPr="002978F5">
        <w:rPr>
          <w:rtl/>
        </w:rPr>
        <w:tab/>
      </w:r>
      <w:r w:rsidRPr="002978F5">
        <w:rPr>
          <w:rtl/>
        </w:rPr>
        <w:tab/>
        <w:t>تعليقات صاحب البلاغ على ملاحظات الدولة الطرف</w:t>
      </w:r>
    </w:p>
    <w:p w14:paraId="6A2CFF28" w14:textId="77777777" w:rsidR="00D74A44" w:rsidRPr="00D8642B" w:rsidRDefault="00D74A44" w:rsidP="00D74A44">
      <w:pPr>
        <w:pStyle w:val="SingleTxtGA"/>
        <w:rPr>
          <w:lang w:val="fr-CH"/>
        </w:rPr>
      </w:pPr>
      <w:r w:rsidRPr="002978F5">
        <w:rPr>
          <w:rtl/>
          <w:lang w:val="fr-CH"/>
        </w:rPr>
        <w:t>5</w:t>
      </w:r>
      <w:r w:rsidRPr="00D8642B">
        <w:rPr>
          <w:rtl/>
          <w:lang w:val="fr-CH"/>
        </w:rPr>
        <w:t>-</w:t>
      </w:r>
      <w:r w:rsidRPr="002978F5">
        <w:rPr>
          <w:rtl/>
          <w:lang w:val="fr-CH"/>
        </w:rPr>
        <w:t>1</w:t>
      </w:r>
      <w:r w:rsidRPr="00D8642B">
        <w:rPr>
          <w:rtl/>
          <w:lang w:val="fr-CH"/>
        </w:rPr>
        <w:tab/>
        <w:t xml:space="preserve">في رسالة مؤرخة </w:t>
      </w:r>
      <w:r w:rsidRPr="002978F5">
        <w:rPr>
          <w:rtl/>
          <w:lang w:val="fr-CH"/>
        </w:rPr>
        <w:t>7</w:t>
      </w:r>
      <w:r w:rsidRPr="00D8642B">
        <w:rPr>
          <w:rtl/>
          <w:lang w:val="fr-CH"/>
        </w:rPr>
        <w:t xml:space="preserve"> شباط/فبراير </w:t>
      </w:r>
      <w:r w:rsidRPr="002978F5">
        <w:rPr>
          <w:rtl/>
          <w:lang w:val="fr-CH"/>
        </w:rPr>
        <w:t>2016</w:t>
      </w:r>
      <w:r w:rsidRPr="00D8642B">
        <w:rPr>
          <w:rtl/>
          <w:lang w:val="fr-CH"/>
        </w:rPr>
        <w:t xml:space="preserve">، يشير صاحب البلاغ إلى إفادة الدولة الطرف بأن حقه في حرية التعبير لم يقيد، ويوجه انتباه اللجنة إلى أن رئيس بيلاروس، ألكسندر </w:t>
      </w:r>
      <w:proofErr w:type="spellStart"/>
      <w:r w:rsidRPr="00D8642B">
        <w:rPr>
          <w:rtl/>
          <w:lang w:val="fr-CH"/>
        </w:rPr>
        <w:t>لوكاشينكو</w:t>
      </w:r>
      <w:proofErr w:type="spellEnd"/>
      <w:r w:rsidRPr="00D8642B">
        <w:rPr>
          <w:rtl/>
          <w:lang w:val="fr-CH"/>
        </w:rPr>
        <w:t>، قال إنه سيترك منصبه عندما يطلب منه شعب بيلاروس ذلك. وفي هذا السياق، قرر صاحب البلاغ أن يطلب علن</w:t>
      </w:r>
      <w:r>
        <w:rPr>
          <w:rtl/>
          <w:lang w:val="fr-CH"/>
        </w:rPr>
        <w:t xml:space="preserve">اً </w:t>
      </w:r>
      <w:r w:rsidRPr="00D8642B">
        <w:rPr>
          <w:rtl/>
          <w:lang w:val="fr-CH"/>
        </w:rPr>
        <w:t>من الرئيس ترك منصبه، ولذلك فقد كتب نص</w:t>
      </w:r>
      <w:r>
        <w:rPr>
          <w:rtl/>
          <w:lang w:val="fr-CH"/>
        </w:rPr>
        <w:t xml:space="preserve">اً </w:t>
      </w:r>
      <w:r w:rsidRPr="00D8642B">
        <w:rPr>
          <w:rtl/>
          <w:lang w:val="fr-CH"/>
        </w:rPr>
        <w:t>ذا صلة على قميصه. ويؤكد أن ضباط الشرطة اقتربوا منه عدة مرات أثناء المسيرة وطلبوا منه خلع القميص، ويشير إلى أن أوامر الشرطة شكلت انتهاك</w:t>
      </w:r>
      <w:r>
        <w:rPr>
          <w:rtl/>
          <w:lang w:val="fr-CH"/>
        </w:rPr>
        <w:t xml:space="preserve">اً </w:t>
      </w:r>
      <w:r w:rsidRPr="00D8642B">
        <w:rPr>
          <w:rtl/>
          <w:lang w:val="fr-CH"/>
        </w:rPr>
        <w:t>لحقه في حرية التعبير. ويؤكد صاحب البلاغ أن احتجازه وتوقيفه الإداريين قد نتجا عن رأيه المعلن فيما يتعلق ببيان أدلى به الرئيس. ويختم بالقول إنه احتجز في محطة للحافلات بعد المسيرة، وهو لا يزال يرتدي قميصه.</w:t>
      </w:r>
    </w:p>
    <w:p w14:paraId="5B458629" w14:textId="77777777" w:rsidR="00D74A44" w:rsidRPr="00D8642B" w:rsidRDefault="00D74A44" w:rsidP="00D74A44">
      <w:pPr>
        <w:pStyle w:val="SingleTxtGA"/>
        <w:rPr>
          <w:lang w:val="fr-CH"/>
        </w:rPr>
      </w:pPr>
      <w:r w:rsidRPr="002978F5">
        <w:rPr>
          <w:rtl/>
          <w:lang w:val="fr-CH"/>
        </w:rPr>
        <w:t>5</w:t>
      </w:r>
      <w:r w:rsidRPr="00D8642B">
        <w:rPr>
          <w:rtl/>
          <w:lang w:val="fr-CH"/>
        </w:rPr>
        <w:t>-</w:t>
      </w:r>
      <w:r w:rsidRPr="002978F5">
        <w:rPr>
          <w:rtl/>
          <w:lang w:val="fr-CH"/>
        </w:rPr>
        <w:t>2</w:t>
      </w:r>
      <w:r w:rsidRPr="00D8642B">
        <w:rPr>
          <w:spacing w:val="-2"/>
          <w:rtl/>
          <w:lang w:val="fr-CH"/>
        </w:rPr>
        <w:tab/>
        <w:t>وفيما يتعلق بإحصاءات الدولة الطرف فيما يتعلق بعدد الحالات التي استعرضت في إطار إجراء المراجعة الرقابية، يعتقد صاحب البلاغ أن هذه الحجة بلا أساس، ما لم تبين الدولة الطرف عدد الحالات</w:t>
      </w:r>
      <w:r w:rsidRPr="00D8642B">
        <w:rPr>
          <w:rtl/>
          <w:lang w:val="fr-CH"/>
        </w:rPr>
        <w:t xml:space="preserve"> المتعلقة بالمادة </w:t>
      </w:r>
      <w:r w:rsidRPr="002978F5">
        <w:rPr>
          <w:rtl/>
          <w:lang w:val="fr-CH"/>
        </w:rPr>
        <w:t>23</w:t>
      </w:r>
      <w:r w:rsidRPr="00D8642B">
        <w:rPr>
          <w:rtl/>
          <w:lang w:val="fr-CH"/>
        </w:rPr>
        <w:t>-</w:t>
      </w:r>
      <w:r w:rsidRPr="002978F5">
        <w:rPr>
          <w:rtl/>
          <w:lang w:val="fr-CH"/>
        </w:rPr>
        <w:t>4</w:t>
      </w:r>
      <w:r w:rsidRPr="00D8642B">
        <w:rPr>
          <w:rtl/>
          <w:lang w:val="fr-CH"/>
        </w:rPr>
        <w:t xml:space="preserve"> من قانون الجرائم الإدارية، أي عدم امتثال أمر قانوني للشرطة.</w:t>
      </w:r>
    </w:p>
    <w:p w14:paraId="1538AA90" w14:textId="77777777" w:rsidR="00D74A44" w:rsidRPr="002978F5" w:rsidRDefault="00D74A44" w:rsidP="00D74A44">
      <w:pPr>
        <w:pStyle w:val="H23GA"/>
      </w:pPr>
      <w:r w:rsidRPr="002978F5">
        <w:rPr>
          <w:rtl/>
        </w:rPr>
        <w:tab/>
      </w:r>
      <w:r w:rsidRPr="002978F5">
        <w:rPr>
          <w:rtl/>
        </w:rPr>
        <w:tab/>
        <w:t>المسائل والإجراءات المعروضة على اللجنة</w:t>
      </w:r>
    </w:p>
    <w:p w14:paraId="39F41DB8" w14:textId="77777777" w:rsidR="00D74A44" w:rsidRPr="002978F5" w:rsidRDefault="00D74A44" w:rsidP="00D74A44">
      <w:pPr>
        <w:pStyle w:val="H4GA"/>
      </w:pPr>
      <w:r w:rsidRPr="002978F5">
        <w:rPr>
          <w:rtl/>
        </w:rPr>
        <w:tab/>
      </w:r>
      <w:r w:rsidRPr="002978F5">
        <w:rPr>
          <w:rtl/>
        </w:rPr>
        <w:tab/>
        <w:t>النظر في المقبولية</w:t>
      </w:r>
    </w:p>
    <w:p w14:paraId="6524F9A7" w14:textId="77777777" w:rsidR="00D74A44" w:rsidRPr="00D8642B" w:rsidRDefault="00D74A44" w:rsidP="00D74A44">
      <w:pPr>
        <w:pStyle w:val="SingleTxtGA"/>
        <w:rPr>
          <w:lang w:val="fr-CH"/>
        </w:rPr>
      </w:pPr>
      <w:r w:rsidRPr="002978F5">
        <w:rPr>
          <w:rtl/>
          <w:lang w:val="fr-CH"/>
        </w:rPr>
        <w:t>6</w:t>
      </w:r>
      <w:r w:rsidRPr="00D8642B">
        <w:rPr>
          <w:rtl/>
          <w:lang w:val="fr-CH"/>
        </w:rPr>
        <w:t>-</w:t>
      </w:r>
      <w:r w:rsidRPr="002978F5">
        <w:rPr>
          <w:rtl/>
          <w:lang w:val="fr-CH"/>
        </w:rPr>
        <w:t>1</w:t>
      </w:r>
      <w:r w:rsidRPr="00D8642B">
        <w:rPr>
          <w:rtl/>
          <w:lang w:val="fr-CH"/>
        </w:rPr>
        <w:tab/>
        <w:t xml:space="preserve">قبل النظر في أي ادعاء يرد في بلاغ ما، يجب على اللجنة أن تقرر، وفقاً للمادة </w:t>
      </w:r>
      <w:r w:rsidRPr="002978F5">
        <w:rPr>
          <w:rtl/>
          <w:lang w:val="fr-CH"/>
        </w:rPr>
        <w:t>97</w:t>
      </w:r>
      <w:r w:rsidRPr="00D8642B">
        <w:rPr>
          <w:rtl/>
          <w:lang w:val="fr-CH"/>
        </w:rPr>
        <w:t xml:space="preserve"> من نظامها الداخلي، ما إذا كان البلاغ مقبولاً أم لا بموجب البروتوكول الاختياري.</w:t>
      </w:r>
    </w:p>
    <w:p w14:paraId="568A6564" w14:textId="77777777" w:rsidR="00D74A44" w:rsidRPr="00D8642B" w:rsidRDefault="00D74A44" w:rsidP="00D74A44">
      <w:pPr>
        <w:pStyle w:val="SingleTxtGA"/>
        <w:rPr>
          <w:lang w:val="fr-CH"/>
        </w:rPr>
      </w:pPr>
      <w:r w:rsidRPr="002978F5">
        <w:rPr>
          <w:rtl/>
          <w:lang w:val="fr-CH"/>
        </w:rPr>
        <w:t>6</w:t>
      </w:r>
      <w:r w:rsidRPr="00D8642B">
        <w:rPr>
          <w:rtl/>
          <w:lang w:val="fr-CH"/>
        </w:rPr>
        <w:t>-</w:t>
      </w:r>
      <w:r w:rsidRPr="002978F5">
        <w:rPr>
          <w:rtl/>
          <w:lang w:val="fr-CH"/>
        </w:rPr>
        <w:t>2</w:t>
      </w:r>
      <w:r w:rsidRPr="00D8642B">
        <w:rPr>
          <w:rtl/>
          <w:lang w:val="fr-CH"/>
        </w:rPr>
        <w:tab/>
        <w:t xml:space="preserve">وقد تأكدت اللجنة، وفقاً لما تنص عليه المادة </w:t>
      </w:r>
      <w:r w:rsidRPr="002978F5">
        <w:rPr>
          <w:rtl/>
          <w:lang w:val="fr-CH"/>
        </w:rPr>
        <w:t>5</w:t>
      </w:r>
      <w:r w:rsidRPr="00D8642B">
        <w:rPr>
          <w:rtl/>
          <w:lang w:val="fr-CH"/>
        </w:rPr>
        <w:t>(</w:t>
      </w:r>
      <w:r w:rsidRPr="002978F5">
        <w:rPr>
          <w:rtl/>
          <w:lang w:val="fr-CH"/>
        </w:rPr>
        <w:t>2</w:t>
      </w:r>
      <w:r w:rsidRPr="00D8642B">
        <w:rPr>
          <w:rtl/>
          <w:lang w:val="fr-CH"/>
        </w:rPr>
        <w:t>)(أ) من البروتوكول الاختياري، من أن المسألة نفسها ليست قيد النظر في إطار إجراء آخر من إجراءات التحقيق الدولي أو التسوية الدولية.</w:t>
      </w:r>
    </w:p>
    <w:p w14:paraId="1660927C" w14:textId="77777777" w:rsidR="00D74A44" w:rsidRPr="00D8642B" w:rsidRDefault="00D74A44" w:rsidP="00D74A44">
      <w:pPr>
        <w:pStyle w:val="SingleTxtGA"/>
        <w:rPr>
          <w:lang w:val="fr-CH"/>
        </w:rPr>
      </w:pPr>
      <w:r w:rsidRPr="002978F5">
        <w:rPr>
          <w:rtl/>
          <w:lang w:val="fr-CH"/>
        </w:rPr>
        <w:t>6</w:t>
      </w:r>
      <w:r w:rsidRPr="00D8642B">
        <w:rPr>
          <w:rtl/>
          <w:lang w:val="fr-CH"/>
        </w:rPr>
        <w:t>-</w:t>
      </w:r>
      <w:r w:rsidRPr="002978F5">
        <w:rPr>
          <w:rtl/>
          <w:lang w:val="fr-CH"/>
        </w:rPr>
        <w:t>3</w:t>
      </w:r>
      <w:r w:rsidRPr="00D8642B">
        <w:rPr>
          <w:rtl/>
          <w:lang w:val="fr-CH"/>
        </w:rPr>
        <w:tab/>
        <w:t>وتحيط اللجنة علم</w:t>
      </w:r>
      <w:r>
        <w:rPr>
          <w:rtl/>
          <w:lang w:val="fr-CH"/>
        </w:rPr>
        <w:t xml:space="preserve">اً </w:t>
      </w:r>
      <w:r w:rsidRPr="00D8642B">
        <w:rPr>
          <w:rtl/>
          <w:lang w:val="fr-CH"/>
        </w:rPr>
        <w:t>بادعاء الدولة الطرف أن صاحب البلاغ لم يستنفد جميع سبل الانتصاف المحلية، إذ لم يقدم طعن</w:t>
      </w:r>
      <w:r>
        <w:rPr>
          <w:rtl/>
          <w:lang w:val="fr-CH"/>
        </w:rPr>
        <w:t xml:space="preserve">اً </w:t>
      </w:r>
      <w:r w:rsidRPr="00D8642B">
        <w:rPr>
          <w:rtl/>
          <w:lang w:val="fr-CH"/>
        </w:rPr>
        <w:t xml:space="preserve">إلى المدعي العام في إطار إجراء المراجعة الرقابية. وتشير اللجنة في هذا السياق إلى اجتهاداتها السابقة التي قضت فيها بأن تقديم التماس إلى النيابة العامة لإجراء مراجعة رقابية لقرارات قضائية أصبحت نافذة، وهو إجراء يخضع للسلطة التقديرية للمدعي العام، لا يشكل سبيل انتصاف </w:t>
      </w:r>
      <w:r w:rsidRPr="00D8642B">
        <w:rPr>
          <w:spacing w:val="-2"/>
          <w:rtl/>
          <w:lang w:val="fr-CH"/>
        </w:rPr>
        <w:t>فعال</w:t>
      </w:r>
      <w:r>
        <w:rPr>
          <w:spacing w:val="-2"/>
          <w:rtl/>
          <w:lang w:val="fr-CH"/>
        </w:rPr>
        <w:t xml:space="preserve">اً </w:t>
      </w:r>
      <w:r w:rsidRPr="00D8642B">
        <w:rPr>
          <w:spacing w:val="-2"/>
          <w:rtl/>
          <w:lang w:val="fr-CH"/>
        </w:rPr>
        <w:t xml:space="preserve">يتعين استنفاده لأغراض المادة </w:t>
      </w:r>
      <w:r w:rsidRPr="002978F5">
        <w:rPr>
          <w:spacing w:val="-2"/>
          <w:rtl/>
          <w:lang w:val="fr-CH"/>
        </w:rPr>
        <w:t>5</w:t>
      </w:r>
      <w:r w:rsidRPr="00D8642B">
        <w:rPr>
          <w:spacing w:val="-2"/>
          <w:rtl/>
          <w:lang w:val="fr-CH"/>
        </w:rPr>
        <w:t>(</w:t>
      </w:r>
      <w:r w:rsidRPr="002978F5">
        <w:rPr>
          <w:spacing w:val="-2"/>
          <w:rtl/>
          <w:lang w:val="fr-CH"/>
        </w:rPr>
        <w:t>2</w:t>
      </w:r>
      <w:r w:rsidRPr="00D8642B">
        <w:rPr>
          <w:spacing w:val="-2"/>
          <w:rtl/>
          <w:lang w:val="fr-CH"/>
        </w:rPr>
        <w:t xml:space="preserve">)(ب) من البروتوكول </w:t>
      </w:r>
      <w:proofErr w:type="gramStart"/>
      <w:r w:rsidRPr="00D8642B">
        <w:rPr>
          <w:spacing w:val="-2"/>
          <w:rtl/>
          <w:lang w:val="fr-CH"/>
        </w:rPr>
        <w:t>الاختياري</w:t>
      </w:r>
      <w:r w:rsidRPr="00D8642B">
        <w:rPr>
          <w:spacing w:val="-2"/>
          <w:vertAlign w:val="superscript"/>
          <w:rtl/>
          <w:lang w:val="fr-CH"/>
        </w:rPr>
        <w:t>(</w:t>
      </w:r>
      <w:bookmarkStart w:id="3" w:name="_Hlk73122950"/>
      <w:proofErr w:type="gramEnd"/>
      <w:r w:rsidRPr="002978F5">
        <w:rPr>
          <w:rStyle w:val="FootnoteReference"/>
          <w:spacing w:val="-2"/>
          <w:szCs w:val="22"/>
          <w:lang w:val="en-US"/>
        </w:rPr>
        <w:footnoteReference w:id="4"/>
      </w:r>
      <w:bookmarkEnd w:id="3"/>
      <w:r w:rsidRPr="00D8642B">
        <w:rPr>
          <w:spacing w:val="-2"/>
          <w:vertAlign w:val="superscript"/>
          <w:rtl/>
          <w:lang w:val="fr-CH"/>
        </w:rPr>
        <w:t>)</w:t>
      </w:r>
      <w:r w:rsidRPr="00D8642B">
        <w:rPr>
          <w:spacing w:val="-2"/>
          <w:rtl/>
          <w:lang w:val="fr-CH"/>
        </w:rPr>
        <w:t>. وفي هذه الظروف، ترى اللجنة</w:t>
      </w:r>
      <w:r w:rsidRPr="00D8642B">
        <w:rPr>
          <w:rtl/>
          <w:lang w:val="fr-CH"/>
        </w:rPr>
        <w:t xml:space="preserve"> أن المادة </w:t>
      </w:r>
      <w:r w:rsidRPr="002978F5">
        <w:rPr>
          <w:rtl/>
          <w:lang w:val="fr-CH"/>
        </w:rPr>
        <w:t>5</w:t>
      </w:r>
      <w:r w:rsidRPr="00D8642B">
        <w:rPr>
          <w:rtl/>
          <w:lang w:val="fr-CH"/>
        </w:rPr>
        <w:t>(</w:t>
      </w:r>
      <w:r w:rsidRPr="002978F5">
        <w:rPr>
          <w:rtl/>
          <w:lang w:val="fr-CH"/>
        </w:rPr>
        <w:t>2</w:t>
      </w:r>
      <w:r w:rsidRPr="00D8642B">
        <w:rPr>
          <w:rtl/>
          <w:lang w:val="fr-CH"/>
        </w:rPr>
        <w:t>)(ب) من البروتوكول الاختياري لا تمنعها من النظر في البلاغ.</w:t>
      </w:r>
    </w:p>
    <w:p w14:paraId="11E05AC5" w14:textId="77777777" w:rsidR="00D74A44" w:rsidRPr="00D8642B" w:rsidRDefault="00D74A44" w:rsidP="00D74A44">
      <w:pPr>
        <w:pStyle w:val="SingleTxtGA"/>
        <w:rPr>
          <w:lang w:val="fr-CH"/>
        </w:rPr>
      </w:pPr>
      <w:r w:rsidRPr="002978F5">
        <w:rPr>
          <w:rtl/>
          <w:lang w:val="fr-CH"/>
        </w:rPr>
        <w:t>6</w:t>
      </w:r>
      <w:r w:rsidRPr="00D8642B">
        <w:rPr>
          <w:rtl/>
          <w:lang w:val="fr-CH"/>
        </w:rPr>
        <w:t>-</w:t>
      </w:r>
      <w:r w:rsidRPr="002978F5">
        <w:rPr>
          <w:rtl/>
          <w:lang w:val="fr-CH"/>
        </w:rPr>
        <w:t>4</w:t>
      </w:r>
      <w:r w:rsidRPr="00D8642B">
        <w:rPr>
          <w:rtl/>
          <w:lang w:val="fr-CH"/>
        </w:rPr>
        <w:tab/>
        <w:t xml:space="preserve">وتحيط اللجنة علماً بادعاء صاحب البلاغ أن الدولة الطرف انتهكت حقوقه بموجب المادة </w:t>
      </w:r>
      <w:r w:rsidRPr="002978F5">
        <w:rPr>
          <w:rtl/>
          <w:lang w:val="fr-CH"/>
        </w:rPr>
        <w:t>19</w:t>
      </w:r>
      <w:r w:rsidRPr="00D8642B">
        <w:rPr>
          <w:rtl/>
          <w:lang w:val="fr-CH"/>
        </w:rPr>
        <w:t xml:space="preserve"> من العهد، مقروءة بالاقتران مع المادة </w:t>
      </w:r>
      <w:r w:rsidRPr="002978F5">
        <w:rPr>
          <w:rtl/>
          <w:lang w:val="fr-CH"/>
        </w:rPr>
        <w:t>2</w:t>
      </w:r>
      <w:r w:rsidRPr="00D8642B">
        <w:rPr>
          <w:rtl/>
          <w:lang w:val="fr-CH"/>
        </w:rPr>
        <w:t>(</w:t>
      </w:r>
      <w:r w:rsidRPr="002978F5">
        <w:rPr>
          <w:rtl/>
          <w:lang w:val="fr-CH"/>
        </w:rPr>
        <w:t>2</w:t>
      </w:r>
      <w:r w:rsidRPr="00D8642B">
        <w:rPr>
          <w:rtl/>
          <w:lang w:val="fr-CH"/>
        </w:rPr>
        <w:t xml:space="preserve">) منه. وتكرر أنه لا يمكن الاحتجاج بأحكام المادة </w:t>
      </w:r>
      <w:r w:rsidRPr="002978F5">
        <w:rPr>
          <w:rtl/>
          <w:lang w:val="fr-CH"/>
        </w:rPr>
        <w:t>2</w:t>
      </w:r>
      <w:r w:rsidRPr="00D8642B">
        <w:rPr>
          <w:rtl/>
          <w:lang w:val="fr-CH"/>
        </w:rPr>
        <w:t xml:space="preserve"> في ادعاء يرد في بلاغ ما بموجب البروتوكول الاختياري، مقترنة بأحكام أخرى من العهد، إلا إن كان عدم تقيّد </w:t>
      </w:r>
      <w:r w:rsidRPr="00D8642B">
        <w:rPr>
          <w:spacing w:val="-4"/>
          <w:rtl/>
          <w:lang w:val="fr-CH"/>
        </w:rPr>
        <w:t xml:space="preserve">الدولة الطرف بالتزاماتها بموجب المادة </w:t>
      </w:r>
      <w:r w:rsidRPr="002978F5">
        <w:rPr>
          <w:spacing w:val="-4"/>
          <w:rtl/>
          <w:lang w:val="fr-CH"/>
        </w:rPr>
        <w:t>2</w:t>
      </w:r>
      <w:r w:rsidRPr="00D8642B">
        <w:rPr>
          <w:spacing w:val="-4"/>
          <w:rtl/>
          <w:lang w:val="fr-CH"/>
        </w:rPr>
        <w:t xml:space="preserve"> هو السبب القريب لانتهاك منفصل للعهد يؤثر مباشرة في الشخص</w:t>
      </w:r>
      <w:r w:rsidRPr="00D8642B">
        <w:rPr>
          <w:rtl/>
          <w:lang w:val="fr-CH"/>
        </w:rPr>
        <w:t xml:space="preserve"> الذي يدعي أنه </w:t>
      </w:r>
      <w:proofErr w:type="gramStart"/>
      <w:r w:rsidRPr="00D8642B">
        <w:rPr>
          <w:rtl/>
          <w:lang w:val="fr-CH"/>
        </w:rPr>
        <w:t>ضحية</w:t>
      </w:r>
      <w:r w:rsidRPr="00D8642B">
        <w:rPr>
          <w:vertAlign w:val="superscript"/>
          <w:rtl/>
          <w:lang w:val="fr-CH"/>
        </w:rPr>
        <w:t>(</w:t>
      </w:r>
      <w:bookmarkStart w:id="4" w:name="_Hlk73122951"/>
      <w:proofErr w:type="gramEnd"/>
      <w:r w:rsidRPr="002978F5">
        <w:rPr>
          <w:rStyle w:val="FootnoteReference"/>
          <w:szCs w:val="22"/>
          <w:lang w:val="en-US"/>
        </w:rPr>
        <w:footnoteReference w:id="5"/>
      </w:r>
      <w:bookmarkEnd w:id="4"/>
      <w:r w:rsidRPr="00D8642B">
        <w:rPr>
          <w:vertAlign w:val="superscript"/>
          <w:rtl/>
          <w:lang w:val="fr-CH"/>
        </w:rPr>
        <w:t>)</w:t>
      </w:r>
      <w:r>
        <w:rPr>
          <w:rtl/>
          <w:lang w:val="fr-CH"/>
        </w:rPr>
        <w:t>.</w:t>
      </w:r>
      <w:r w:rsidRPr="00D8642B">
        <w:rPr>
          <w:rtl/>
          <w:lang w:val="fr-CH"/>
        </w:rPr>
        <w:t xml:space="preserve"> غير أن اللجنة تلاحظ أن صاحب البلاغ سبق أن ادعى انتهاك حقوقه المنصوص </w:t>
      </w:r>
      <w:r w:rsidRPr="00D8642B">
        <w:rPr>
          <w:spacing w:val="-4"/>
          <w:rtl/>
          <w:lang w:val="fr-CH"/>
        </w:rPr>
        <w:t xml:space="preserve">عليها في المادة </w:t>
      </w:r>
      <w:r w:rsidRPr="002978F5">
        <w:rPr>
          <w:spacing w:val="-4"/>
          <w:rtl/>
          <w:lang w:val="fr-CH"/>
        </w:rPr>
        <w:t>19</w:t>
      </w:r>
      <w:r w:rsidRPr="00D8642B">
        <w:rPr>
          <w:spacing w:val="-4"/>
          <w:rtl/>
          <w:lang w:val="fr-CH"/>
        </w:rPr>
        <w:t>، وهو انتهاك ناجم عن تفسير وتطبيق القوانين السارية في الدولة الطرف، ولا ترى اللجنة</w:t>
      </w:r>
      <w:r w:rsidRPr="00D8642B">
        <w:rPr>
          <w:rtl/>
          <w:lang w:val="fr-CH"/>
        </w:rPr>
        <w:t xml:space="preserve"> أن </w:t>
      </w:r>
      <w:r w:rsidRPr="00D8642B">
        <w:rPr>
          <w:spacing w:val="-4"/>
          <w:rtl/>
          <w:lang w:val="fr-CH"/>
        </w:rPr>
        <w:t xml:space="preserve">فحص ما إذا كانت الدولة الطرف أخلت أيضاً بالتزاماتها العامة المنصوص عليها في المادة </w:t>
      </w:r>
      <w:r w:rsidRPr="002978F5">
        <w:rPr>
          <w:spacing w:val="-4"/>
          <w:rtl/>
          <w:lang w:val="fr-CH"/>
        </w:rPr>
        <w:t>2</w:t>
      </w:r>
      <w:r w:rsidRPr="00D8642B">
        <w:rPr>
          <w:spacing w:val="-4"/>
          <w:rtl/>
          <w:lang w:val="fr-CH"/>
        </w:rPr>
        <w:t>(</w:t>
      </w:r>
      <w:r w:rsidRPr="002978F5">
        <w:rPr>
          <w:spacing w:val="-4"/>
          <w:rtl/>
          <w:lang w:val="fr-CH"/>
        </w:rPr>
        <w:t>2</w:t>
      </w:r>
      <w:r w:rsidRPr="00D8642B">
        <w:rPr>
          <w:spacing w:val="-4"/>
          <w:rtl/>
          <w:lang w:val="fr-CH"/>
        </w:rPr>
        <w:t>) من العهد،</w:t>
      </w:r>
      <w:r w:rsidRPr="00D8642B">
        <w:rPr>
          <w:rtl/>
          <w:lang w:val="fr-CH"/>
        </w:rPr>
        <w:t xml:space="preserve"> مقروءة بالاقتران مع المادة </w:t>
      </w:r>
      <w:r w:rsidRPr="002978F5">
        <w:rPr>
          <w:rtl/>
          <w:lang w:val="fr-CH"/>
        </w:rPr>
        <w:t>19</w:t>
      </w:r>
      <w:r w:rsidRPr="00D8642B">
        <w:rPr>
          <w:rtl/>
          <w:lang w:val="fr-CH"/>
        </w:rPr>
        <w:t xml:space="preserve">، منفصل عن فحص انتهاك حقوق صاحب البلاغ المنصوص عليها في </w:t>
      </w:r>
      <w:r w:rsidRPr="00D8642B">
        <w:rPr>
          <w:spacing w:val="-4"/>
          <w:rtl/>
          <w:lang w:val="fr-CH"/>
        </w:rPr>
        <w:t xml:space="preserve">المادة </w:t>
      </w:r>
      <w:r w:rsidRPr="002978F5">
        <w:rPr>
          <w:spacing w:val="-4"/>
          <w:rtl/>
          <w:lang w:val="fr-CH"/>
        </w:rPr>
        <w:t>19</w:t>
      </w:r>
      <w:r w:rsidRPr="00D8642B">
        <w:rPr>
          <w:spacing w:val="-4"/>
          <w:rtl/>
          <w:lang w:val="fr-CH"/>
        </w:rPr>
        <w:t xml:space="preserve"> من العهد. لذا ترى اللجنة أن ادعاءات صاحب البلاغ في هذا الخصوص تتعارض مع المادة </w:t>
      </w:r>
      <w:r w:rsidRPr="002978F5">
        <w:rPr>
          <w:spacing w:val="-4"/>
          <w:rtl/>
          <w:lang w:val="fr-CH"/>
        </w:rPr>
        <w:t>2</w:t>
      </w:r>
      <w:r w:rsidRPr="00D8642B">
        <w:rPr>
          <w:rtl/>
          <w:lang w:val="fr-CH"/>
        </w:rPr>
        <w:t xml:space="preserve"> من العهد، وهي غير مقبولة من ثم بمقتضى المادة </w:t>
      </w:r>
      <w:r w:rsidRPr="002978F5">
        <w:rPr>
          <w:rtl/>
          <w:lang w:val="fr-CH"/>
        </w:rPr>
        <w:t>3</w:t>
      </w:r>
      <w:r w:rsidRPr="00D8642B">
        <w:rPr>
          <w:rtl/>
          <w:lang w:val="fr-CH"/>
        </w:rPr>
        <w:t xml:space="preserve"> من البروتوكول الاختياري. </w:t>
      </w:r>
    </w:p>
    <w:p w14:paraId="6706E220" w14:textId="77777777" w:rsidR="00D74A44" w:rsidRPr="00D8642B" w:rsidRDefault="00D74A44" w:rsidP="00D74A44">
      <w:pPr>
        <w:pStyle w:val="SingleTxtGA"/>
        <w:rPr>
          <w:lang w:val="fr-CH"/>
        </w:rPr>
      </w:pPr>
      <w:r w:rsidRPr="002978F5">
        <w:rPr>
          <w:rtl/>
          <w:lang w:val="fr-CH"/>
        </w:rPr>
        <w:t>6</w:t>
      </w:r>
      <w:r w:rsidRPr="00D8642B">
        <w:rPr>
          <w:rtl/>
          <w:lang w:val="fr-CH"/>
        </w:rPr>
        <w:t>-</w:t>
      </w:r>
      <w:r w:rsidRPr="002978F5">
        <w:rPr>
          <w:rtl/>
          <w:lang w:val="fr-CH"/>
        </w:rPr>
        <w:t>5</w:t>
      </w:r>
      <w:r w:rsidRPr="00D8642B">
        <w:rPr>
          <w:rtl/>
          <w:lang w:val="fr-CH"/>
        </w:rPr>
        <w:tab/>
      </w:r>
      <w:r w:rsidRPr="00D8642B">
        <w:rPr>
          <w:spacing w:val="-4"/>
          <w:rtl/>
          <w:lang w:val="fr-CH"/>
        </w:rPr>
        <w:t>وتحيط اللجنة علماً أيض</w:t>
      </w:r>
      <w:r>
        <w:rPr>
          <w:spacing w:val="-4"/>
          <w:rtl/>
          <w:lang w:val="fr-CH"/>
        </w:rPr>
        <w:t xml:space="preserve">اً </w:t>
      </w:r>
      <w:r w:rsidRPr="00D8642B">
        <w:rPr>
          <w:spacing w:val="-4"/>
          <w:rtl/>
          <w:lang w:val="fr-CH"/>
        </w:rPr>
        <w:t xml:space="preserve">بادعاءات صاحب البلاغ بموجب المادة </w:t>
      </w:r>
      <w:r w:rsidRPr="002978F5">
        <w:rPr>
          <w:spacing w:val="-4"/>
          <w:rtl/>
          <w:lang w:val="fr-CH"/>
        </w:rPr>
        <w:t>19</w:t>
      </w:r>
      <w:r w:rsidRPr="00D8642B">
        <w:rPr>
          <w:spacing w:val="-4"/>
          <w:rtl/>
          <w:lang w:val="fr-CH"/>
        </w:rPr>
        <w:t xml:space="preserve"> من العهد، مقروءة بالاقتران </w:t>
      </w:r>
      <w:r w:rsidRPr="00D8642B">
        <w:rPr>
          <w:rtl/>
          <w:lang w:val="fr-CH"/>
        </w:rPr>
        <w:t xml:space="preserve">مع المادة </w:t>
      </w:r>
      <w:r w:rsidRPr="002978F5">
        <w:rPr>
          <w:rtl/>
          <w:lang w:val="fr-CH"/>
        </w:rPr>
        <w:t>2</w:t>
      </w:r>
      <w:r w:rsidRPr="00D8642B">
        <w:rPr>
          <w:rtl/>
          <w:lang w:val="fr-CH"/>
        </w:rPr>
        <w:t>(</w:t>
      </w:r>
      <w:r w:rsidRPr="002978F5">
        <w:rPr>
          <w:rtl/>
          <w:lang w:val="fr-CH"/>
        </w:rPr>
        <w:t>3</w:t>
      </w:r>
      <w:r w:rsidRPr="00D8642B">
        <w:rPr>
          <w:rtl/>
          <w:lang w:val="fr-CH"/>
        </w:rPr>
        <w:t xml:space="preserve">) منه. وإذ لم ترد في ملف القضية أي معلومات إضافية وجيهة، ترى اللجنة أن صاحب البلاغ لم يدعم هذا الادعاء بما يكفي من الأدلة لأغراض المقبولية. لذا، تعلن أن هذا الجزء من البلاغ غير مقبول بموجب المادة </w:t>
      </w:r>
      <w:r w:rsidRPr="002978F5">
        <w:rPr>
          <w:rtl/>
          <w:lang w:val="fr-CH"/>
        </w:rPr>
        <w:t>2</w:t>
      </w:r>
      <w:r w:rsidRPr="00D8642B">
        <w:rPr>
          <w:rtl/>
          <w:lang w:val="fr-CH"/>
        </w:rPr>
        <w:t xml:space="preserve"> من البروتوكول الاختياري.</w:t>
      </w:r>
    </w:p>
    <w:p w14:paraId="0E1DC610" w14:textId="77777777" w:rsidR="00D74A44" w:rsidRPr="00D8642B" w:rsidRDefault="00D74A44" w:rsidP="00D74A44">
      <w:pPr>
        <w:pStyle w:val="SingleTxtGA"/>
        <w:rPr>
          <w:lang w:val="fr-CH"/>
        </w:rPr>
      </w:pPr>
      <w:r w:rsidRPr="002978F5">
        <w:rPr>
          <w:rtl/>
          <w:lang w:val="fr-CH"/>
        </w:rPr>
        <w:t>6</w:t>
      </w:r>
      <w:r w:rsidRPr="00D8642B">
        <w:rPr>
          <w:rtl/>
          <w:lang w:val="fr-CH"/>
        </w:rPr>
        <w:t>-</w:t>
      </w:r>
      <w:r w:rsidRPr="002978F5">
        <w:rPr>
          <w:rtl/>
          <w:lang w:val="fr-CH"/>
        </w:rPr>
        <w:t>6</w:t>
      </w:r>
      <w:r w:rsidRPr="00D8642B">
        <w:rPr>
          <w:rtl/>
          <w:lang w:val="fr-CH"/>
        </w:rPr>
        <w:tab/>
      </w:r>
      <w:r w:rsidRPr="00D8642B">
        <w:rPr>
          <w:spacing w:val="-4"/>
          <w:rtl/>
          <w:lang w:val="fr-CH"/>
        </w:rPr>
        <w:t xml:space="preserve">وترى اللجنة أن ادعاءات صاحب البلاغ كما قدمها تثير مسائل بموجب المادة </w:t>
      </w:r>
      <w:r w:rsidRPr="002978F5">
        <w:rPr>
          <w:spacing w:val="-4"/>
          <w:rtl/>
          <w:lang w:val="fr-CH"/>
        </w:rPr>
        <w:t>19</w:t>
      </w:r>
      <w:r w:rsidRPr="00D8642B">
        <w:rPr>
          <w:spacing w:val="-4"/>
          <w:rtl/>
          <w:lang w:val="fr-CH"/>
        </w:rPr>
        <w:t>(</w:t>
      </w:r>
      <w:r w:rsidRPr="002978F5">
        <w:rPr>
          <w:spacing w:val="-4"/>
          <w:rtl/>
          <w:lang w:val="fr-CH"/>
        </w:rPr>
        <w:t>2</w:t>
      </w:r>
      <w:r w:rsidRPr="00D8642B">
        <w:rPr>
          <w:spacing w:val="-4"/>
          <w:rtl/>
          <w:lang w:val="fr-CH"/>
        </w:rPr>
        <w:t>) من العهد،</w:t>
      </w:r>
      <w:r w:rsidRPr="00D8642B">
        <w:rPr>
          <w:rtl/>
          <w:lang w:val="fr-CH"/>
        </w:rPr>
        <w:t xml:space="preserve"> وتعتبر أنها قد أُثبتت بما فيه الكفاية لأغراض المقبولية، وتشرع في بحث الأسس الموضوعية.</w:t>
      </w:r>
    </w:p>
    <w:p w14:paraId="2743FE86" w14:textId="77777777" w:rsidR="00D74A44" w:rsidRPr="002978F5" w:rsidRDefault="00D74A44" w:rsidP="00D74A44">
      <w:pPr>
        <w:pStyle w:val="H4GA"/>
      </w:pPr>
      <w:r w:rsidRPr="002978F5">
        <w:rPr>
          <w:rtl/>
        </w:rPr>
        <w:tab/>
      </w:r>
      <w:r w:rsidRPr="002978F5">
        <w:rPr>
          <w:rtl/>
        </w:rPr>
        <w:tab/>
        <w:t>النظر في الأسس الموضوعية</w:t>
      </w:r>
    </w:p>
    <w:p w14:paraId="768822AF" w14:textId="77777777" w:rsidR="00D74A44" w:rsidRPr="00D8642B" w:rsidRDefault="00D74A44" w:rsidP="00D74A44">
      <w:pPr>
        <w:pStyle w:val="SingleTxtGA"/>
        <w:rPr>
          <w:lang w:val="fr-CH"/>
        </w:rPr>
      </w:pPr>
      <w:r w:rsidRPr="002978F5">
        <w:rPr>
          <w:rtl/>
          <w:lang w:val="fr-CH"/>
        </w:rPr>
        <w:t>7</w:t>
      </w:r>
      <w:r w:rsidRPr="00D8642B">
        <w:rPr>
          <w:rtl/>
          <w:lang w:val="fr-CH"/>
        </w:rPr>
        <w:t>-</w:t>
      </w:r>
      <w:r w:rsidRPr="002978F5">
        <w:rPr>
          <w:rtl/>
          <w:lang w:val="fr-CH"/>
        </w:rPr>
        <w:t>1</w:t>
      </w:r>
      <w:r w:rsidRPr="00D8642B">
        <w:rPr>
          <w:rtl/>
          <w:lang w:val="fr-CH"/>
        </w:rPr>
        <w:tab/>
      </w:r>
      <w:r w:rsidRPr="0025240E">
        <w:rPr>
          <w:spacing w:val="-2"/>
          <w:rtl/>
          <w:lang w:val="fr-CH"/>
        </w:rPr>
        <w:t>نظرت اللجنة في هذا البلاغ في ضوء جميع المعلومات التي أتاحها لها الطرفان، وفقاً لما تقتضيه</w:t>
      </w:r>
      <w:r w:rsidRPr="00D8642B">
        <w:rPr>
          <w:rtl/>
          <w:lang w:val="fr-CH"/>
        </w:rPr>
        <w:t xml:space="preserve"> المادة </w:t>
      </w:r>
      <w:r w:rsidRPr="002978F5">
        <w:rPr>
          <w:rtl/>
          <w:lang w:val="fr-CH"/>
        </w:rPr>
        <w:t>5</w:t>
      </w:r>
      <w:r w:rsidRPr="00D8642B">
        <w:rPr>
          <w:rtl/>
          <w:lang w:val="fr-CH"/>
        </w:rPr>
        <w:t>(</w:t>
      </w:r>
      <w:r w:rsidRPr="002978F5">
        <w:rPr>
          <w:rtl/>
          <w:lang w:val="fr-CH"/>
        </w:rPr>
        <w:t>1</w:t>
      </w:r>
      <w:r w:rsidRPr="00D8642B">
        <w:rPr>
          <w:rtl/>
          <w:lang w:val="fr-CH"/>
        </w:rPr>
        <w:t>) من البروتوكول الاختياري.</w:t>
      </w:r>
    </w:p>
    <w:p w14:paraId="5FA782C4" w14:textId="77777777" w:rsidR="00D74A44" w:rsidRPr="0025240E" w:rsidRDefault="00D74A44" w:rsidP="00D74A44">
      <w:pPr>
        <w:pStyle w:val="SingleTxtGA"/>
        <w:rPr>
          <w:lang w:val="fr-CH"/>
        </w:rPr>
      </w:pPr>
      <w:r w:rsidRPr="002978F5">
        <w:rPr>
          <w:rtl/>
          <w:lang w:val="fr-CH"/>
        </w:rPr>
        <w:t>7</w:t>
      </w:r>
      <w:r w:rsidRPr="00D8642B">
        <w:rPr>
          <w:rtl/>
          <w:lang w:val="fr-CH"/>
        </w:rPr>
        <w:t>-</w:t>
      </w:r>
      <w:r w:rsidRPr="002978F5">
        <w:rPr>
          <w:rtl/>
          <w:lang w:val="fr-CH"/>
        </w:rPr>
        <w:t>2</w:t>
      </w:r>
      <w:r w:rsidRPr="00D8642B">
        <w:rPr>
          <w:rtl/>
          <w:lang w:val="fr-CH"/>
        </w:rPr>
        <w:tab/>
        <w:t>وتحيط اللجنة علم</w:t>
      </w:r>
      <w:r>
        <w:rPr>
          <w:rtl/>
          <w:lang w:val="fr-CH"/>
        </w:rPr>
        <w:t xml:space="preserve">اً </w:t>
      </w:r>
      <w:r w:rsidRPr="00D8642B">
        <w:rPr>
          <w:rtl/>
          <w:lang w:val="fr-CH"/>
        </w:rPr>
        <w:t>بادعاءات صاحب البلاغ أنه احتجز بعد المسيرة لأنه رفض امتثال أوامر الشرطة وخلع قميصه الذي كان يحمل شعارات سياسية موجهة إلى الرئيس. وتلاحظ اللجنة، استناد</w:t>
      </w:r>
      <w:r>
        <w:rPr>
          <w:rtl/>
          <w:lang w:val="fr-CH"/>
        </w:rPr>
        <w:t xml:space="preserve">اً </w:t>
      </w:r>
      <w:r w:rsidRPr="00D8642B">
        <w:rPr>
          <w:rtl/>
          <w:lang w:val="fr-CH"/>
        </w:rPr>
        <w:t xml:space="preserve">إلى قرارات المحكمة، أن صاحب البلاغ رفض خلع قميصه وقاوم الذهاب إلى مركز الشرطة للتثبت مما إذا كانت النصوص المكتوبة على القميص تشكل إهانة، وما إذا كانت أفعاله تشكل جريمة إدارية. </w:t>
      </w:r>
      <w:r w:rsidRPr="0025240E">
        <w:rPr>
          <w:spacing w:val="-4"/>
          <w:rtl/>
          <w:lang w:val="fr-CH"/>
        </w:rPr>
        <w:t>وتحيط</w:t>
      </w:r>
      <w:r w:rsidRPr="0025240E">
        <w:rPr>
          <w:rFonts w:hint="cs"/>
          <w:spacing w:val="-4"/>
          <w:rtl/>
          <w:lang w:val="fr-CH"/>
        </w:rPr>
        <w:t> </w:t>
      </w:r>
      <w:r w:rsidRPr="0025240E">
        <w:rPr>
          <w:spacing w:val="-4"/>
          <w:rtl/>
          <w:lang w:val="fr-CH"/>
        </w:rPr>
        <w:t>اللجنة علم</w:t>
      </w:r>
      <w:r>
        <w:rPr>
          <w:spacing w:val="-4"/>
          <w:rtl/>
          <w:lang w:val="fr-CH"/>
        </w:rPr>
        <w:t xml:space="preserve">اً </w:t>
      </w:r>
      <w:r w:rsidRPr="0025240E">
        <w:rPr>
          <w:spacing w:val="-4"/>
          <w:rtl/>
          <w:lang w:val="fr-CH"/>
        </w:rPr>
        <w:t>بادعاء صاحب البلاغ أن المحاكم المحلية لم تحدد سبب اعتبار طلب الشرطة خلع القميص طلب</w:t>
      </w:r>
      <w:r>
        <w:rPr>
          <w:spacing w:val="-4"/>
          <w:rtl/>
          <w:lang w:val="fr-CH"/>
        </w:rPr>
        <w:t xml:space="preserve">اً </w:t>
      </w:r>
      <w:r w:rsidRPr="0025240E">
        <w:rPr>
          <w:spacing w:val="-4"/>
          <w:rtl/>
          <w:lang w:val="fr-CH"/>
        </w:rPr>
        <w:t>مشروع</w:t>
      </w:r>
      <w:r>
        <w:rPr>
          <w:spacing w:val="-4"/>
          <w:rtl/>
          <w:lang w:val="fr-CH"/>
        </w:rPr>
        <w:t>اً،</w:t>
      </w:r>
      <w:r w:rsidRPr="0025240E">
        <w:rPr>
          <w:spacing w:val="-4"/>
          <w:rtl/>
          <w:lang w:val="fr-CH"/>
        </w:rPr>
        <w:t xml:space="preserve"> ولم توضح ما إذا كان هذا الطلب ضروري</w:t>
      </w:r>
      <w:r>
        <w:rPr>
          <w:spacing w:val="-4"/>
          <w:rtl/>
          <w:lang w:val="fr-CH"/>
        </w:rPr>
        <w:t xml:space="preserve">اً </w:t>
      </w:r>
      <w:r w:rsidRPr="0025240E">
        <w:rPr>
          <w:spacing w:val="-4"/>
          <w:rtl/>
          <w:lang w:val="fr-CH"/>
        </w:rPr>
        <w:t xml:space="preserve">لتحقيق أغراض المادة </w:t>
      </w:r>
      <w:r w:rsidRPr="002978F5">
        <w:rPr>
          <w:spacing w:val="-4"/>
          <w:rtl/>
          <w:lang w:val="fr-CH"/>
        </w:rPr>
        <w:t>19</w:t>
      </w:r>
      <w:r w:rsidRPr="0025240E">
        <w:rPr>
          <w:spacing w:val="-4"/>
          <w:rtl/>
          <w:lang w:val="fr-CH"/>
        </w:rPr>
        <w:t xml:space="preserve"> من العهد. ومن ثم، فإن</w:t>
      </w:r>
      <w:r>
        <w:rPr>
          <w:rFonts w:hint="cs"/>
          <w:spacing w:val="-4"/>
          <w:rtl/>
          <w:lang w:val="fr-CH"/>
        </w:rPr>
        <w:t> </w:t>
      </w:r>
      <w:r w:rsidRPr="0025240E">
        <w:rPr>
          <w:spacing w:val="-4"/>
          <w:rtl/>
          <w:lang w:val="fr-CH"/>
        </w:rPr>
        <w:t xml:space="preserve">المسألة المعروضة على اللجنة تتعلق بتحديد ما إذا كانت الدولة الطرف، باحتجاز صاحب البلاغ ثم الحكم </w:t>
      </w:r>
      <w:r w:rsidRPr="0025240E">
        <w:rPr>
          <w:rtl/>
          <w:lang w:val="fr-CH"/>
        </w:rPr>
        <w:t xml:space="preserve">عليه بالحبس الإداري لمدة ثلاثة أيام، قد قيدت بلا مبرر حقوقه المكفولة بموجب المادة </w:t>
      </w:r>
      <w:r w:rsidRPr="002978F5">
        <w:rPr>
          <w:rtl/>
          <w:lang w:val="fr-CH"/>
        </w:rPr>
        <w:t>19</w:t>
      </w:r>
      <w:r w:rsidRPr="0025240E">
        <w:rPr>
          <w:rtl/>
          <w:lang w:val="fr-CH"/>
        </w:rPr>
        <w:t xml:space="preserve"> من العهد.</w:t>
      </w:r>
    </w:p>
    <w:p w14:paraId="38508853" w14:textId="1F8D43B5" w:rsidR="00D74A44" w:rsidRPr="00D8642B" w:rsidRDefault="00D74A44" w:rsidP="00D74A44">
      <w:pPr>
        <w:pStyle w:val="SingleTxtGA"/>
        <w:rPr>
          <w:lang w:val="fr-CH"/>
        </w:rPr>
      </w:pPr>
      <w:r w:rsidRPr="002978F5">
        <w:rPr>
          <w:rtl/>
          <w:lang w:val="fr-CH"/>
        </w:rPr>
        <w:t>7</w:t>
      </w:r>
      <w:r w:rsidRPr="00D8642B">
        <w:rPr>
          <w:rtl/>
          <w:lang w:val="fr-CH"/>
        </w:rPr>
        <w:t>-</w:t>
      </w:r>
      <w:r w:rsidRPr="002978F5">
        <w:rPr>
          <w:rtl/>
          <w:lang w:val="fr-CH"/>
        </w:rPr>
        <w:t>3</w:t>
      </w:r>
      <w:r w:rsidRPr="00D8642B">
        <w:rPr>
          <w:rtl/>
          <w:lang w:val="fr-CH"/>
        </w:rPr>
        <w:tab/>
      </w:r>
      <w:r w:rsidRPr="0025240E">
        <w:rPr>
          <w:spacing w:val="-4"/>
          <w:rtl/>
          <w:lang w:val="fr-CH"/>
        </w:rPr>
        <w:t xml:space="preserve">وتذكر اللجنة بتعليقها العام رقم </w:t>
      </w:r>
      <w:r w:rsidRPr="002978F5">
        <w:rPr>
          <w:spacing w:val="-4"/>
          <w:rtl/>
          <w:lang w:val="fr-CH"/>
        </w:rPr>
        <w:t>34</w:t>
      </w:r>
      <w:r w:rsidRPr="0025240E">
        <w:rPr>
          <w:spacing w:val="-4"/>
          <w:rtl/>
          <w:lang w:val="fr-CH"/>
        </w:rPr>
        <w:t>(</w:t>
      </w:r>
      <w:r w:rsidRPr="002978F5">
        <w:rPr>
          <w:spacing w:val="-4"/>
          <w:rtl/>
          <w:lang w:val="fr-CH"/>
        </w:rPr>
        <w:t>2011</w:t>
      </w:r>
      <w:r w:rsidRPr="0025240E">
        <w:rPr>
          <w:spacing w:val="-4"/>
          <w:rtl/>
          <w:lang w:val="fr-CH"/>
        </w:rPr>
        <w:t>)، الذي ذكرت فيه، في جملة أمور، أن هاتين الحريتين</w:t>
      </w:r>
      <w:r w:rsidRPr="00D8642B">
        <w:rPr>
          <w:rtl/>
          <w:lang w:val="fr-CH"/>
        </w:rPr>
        <w:t xml:space="preserve"> </w:t>
      </w:r>
      <w:r w:rsidRPr="0025240E">
        <w:rPr>
          <w:spacing w:val="-4"/>
          <w:rtl/>
          <w:lang w:val="fr-CH"/>
        </w:rPr>
        <w:t>شرطان لا غنى عنهما لتحقيق النمو الكامل للفرد، وهما عنصران أساسيان من عناصر أي مجتمع، ويشكلا</w:t>
      </w:r>
      <w:r w:rsidR="002978F5">
        <w:rPr>
          <w:rFonts w:hint="cs"/>
          <w:spacing w:val="-4"/>
          <w:rtl/>
          <w:lang w:val="fr-CH"/>
        </w:rPr>
        <w:t>ن</w:t>
      </w:r>
      <w:r w:rsidRPr="00D8642B">
        <w:rPr>
          <w:rtl/>
          <w:lang w:val="fr-CH"/>
        </w:rPr>
        <w:t xml:space="preserve"> حجر الزاوية لكل مجتمع تسوده الحرية </w:t>
      </w:r>
      <w:proofErr w:type="gramStart"/>
      <w:r w:rsidRPr="00D8642B">
        <w:rPr>
          <w:rtl/>
          <w:lang w:val="fr-CH"/>
        </w:rPr>
        <w:t>والديمقراطية</w:t>
      </w:r>
      <w:r w:rsidRPr="00D8642B">
        <w:rPr>
          <w:vertAlign w:val="superscript"/>
          <w:rtl/>
          <w:lang w:val="fr-CH"/>
        </w:rPr>
        <w:t>(</w:t>
      </w:r>
      <w:bookmarkStart w:id="5" w:name="_Hlk73122952"/>
      <w:proofErr w:type="gramEnd"/>
      <w:r w:rsidRPr="002978F5">
        <w:rPr>
          <w:rStyle w:val="FootnoteReference"/>
          <w:szCs w:val="22"/>
          <w:lang w:val="en-US"/>
        </w:rPr>
        <w:footnoteReference w:id="6"/>
      </w:r>
      <w:bookmarkEnd w:id="5"/>
      <w:r w:rsidRPr="00D8642B">
        <w:rPr>
          <w:vertAlign w:val="superscript"/>
          <w:rtl/>
          <w:lang w:val="fr-CH"/>
        </w:rPr>
        <w:t>)</w:t>
      </w:r>
      <w:r>
        <w:rPr>
          <w:rtl/>
          <w:lang w:val="fr-CH"/>
        </w:rPr>
        <w:t>.</w:t>
      </w:r>
      <w:r w:rsidRPr="00D8642B">
        <w:rPr>
          <w:rtl/>
          <w:lang w:val="fr-CH"/>
        </w:rPr>
        <w:t xml:space="preserve"> وتُذكّر اللجنة أيضاً بأن المادة </w:t>
      </w:r>
      <w:r w:rsidRPr="002978F5">
        <w:rPr>
          <w:rtl/>
          <w:lang w:val="fr-CH"/>
        </w:rPr>
        <w:t>19</w:t>
      </w:r>
      <w:r w:rsidRPr="00D8642B">
        <w:rPr>
          <w:rtl/>
          <w:lang w:val="fr-CH"/>
        </w:rPr>
        <w:t>(</w:t>
      </w:r>
      <w:r w:rsidRPr="002978F5">
        <w:rPr>
          <w:rtl/>
          <w:lang w:val="fr-CH"/>
        </w:rPr>
        <w:t>3</w:t>
      </w:r>
      <w:r w:rsidRPr="00D8642B">
        <w:rPr>
          <w:rtl/>
          <w:lang w:val="fr-CH"/>
        </w:rPr>
        <w:t xml:space="preserve">) من العهد </w:t>
      </w:r>
      <w:r w:rsidRPr="0025240E">
        <w:rPr>
          <w:spacing w:val="-4"/>
          <w:rtl/>
          <w:lang w:val="fr-CH"/>
        </w:rPr>
        <w:t>تجيز بعض القيود شريطة أن تكون محددة بنص قانوني وأن تكون ضرورية لاحترام حقوق الغير أو سمعتهم</w:t>
      </w:r>
      <w:r w:rsidRPr="00D8642B">
        <w:rPr>
          <w:rtl/>
          <w:lang w:val="fr-CH"/>
        </w:rPr>
        <w:t xml:space="preserve">، </w:t>
      </w:r>
      <w:r w:rsidRPr="00D14D69">
        <w:rPr>
          <w:rtl/>
          <w:lang w:val="fr-CH"/>
        </w:rPr>
        <w:t>أو لحماية الأمن القومي أو النظام العام أو الصحة العامة أو الآداب العامة. وتلاحظ أن أي تقييد لممارسة الحقوق</w:t>
      </w:r>
      <w:r w:rsidRPr="0025240E">
        <w:rPr>
          <w:spacing w:val="-4"/>
          <w:rtl/>
          <w:lang w:val="fr-CH"/>
        </w:rPr>
        <w:t xml:space="preserve"> المنصوص عليها في المادة </w:t>
      </w:r>
      <w:r w:rsidRPr="002978F5">
        <w:rPr>
          <w:spacing w:val="-4"/>
          <w:rtl/>
          <w:lang w:val="fr-CH"/>
        </w:rPr>
        <w:t>19</w:t>
      </w:r>
      <w:r w:rsidRPr="0025240E">
        <w:rPr>
          <w:spacing w:val="-4"/>
          <w:rtl/>
          <w:lang w:val="fr-CH"/>
        </w:rPr>
        <w:t>(</w:t>
      </w:r>
      <w:r w:rsidRPr="002978F5">
        <w:rPr>
          <w:spacing w:val="-4"/>
          <w:rtl/>
          <w:lang w:val="fr-CH"/>
        </w:rPr>
        <w:t>2</w:t>
      </w:r>
      <w:r w:rsidRPr="0025240E">
        <w:rPr>
          <w:spacing w:val="-4"/>
          <w:rtl/>
          <w:lang w:val="fr-CH"/>
        </w:rPr>
        <w:t>) يجب ألا يكون مفرط</w:t>
      </w:r>
      <w:r>
        <w:rPr>
          <w:spacing w:val="-4"/>
          <w:rtl/>
          <w:lang w:val="fr-CH"/>
        </w:rPr>
        <w:t xml:space="preserve">اً </w:t>
      </w:r>
      <w:r w:rsidRPr="0025240E">
        <w:rPr>
          <w:spacing w:val="-4"/>
          <w:rtl/>
          <w:lang w:val="fr-CH"/>
        </w:rPr>
        <w:t>بطبيعته، أي أن يكون أقل التدابير مساس</w:t>
      </w:r>
      <w:r>
        <w:rPr>
          <w:spacing w:val="-4"/>
          <w:rtl/>
          <w:lang w:val="fr-CH"/>
        </w:rPr>
        <w:t xml:space="preserve">اً </w:t>
      </w:r>
      <w:r w:rsidRPr="00D8642B">
        <w:rPr>
          <w:rtl/>
          <w:lang w:val="fr-CH"/>
        </w:rPr>
        <w:t>بهذا الحق من بين التدابير التي يمكن أن تؤدي وظيفة الحماية ذات الصلة ويكون متناسب</w:t>
      </w:r>
      <w:r>
        <w:rPr>
          <w:rtl/>
          <w:lang w:val="fr-CH"/>
        </w:rPr>
        <w:t xml:space="preserve">اً </w:t>
      </w:r>
      <w:r w:rsidRPr="00D8642B">
        <w:rPr>
          <w:rtl/>
          <w:lang w:val="fr-CH"/>
        </w:rPr>
        <w:t xml:space="preserve">مع المصلحة </w:t>
      </w:r>
      <w:r w:rsidRPr="00CF4733">
        <w:rPr>
          <w:spacing w:val="-2"/>
          <w:rtl/>
          <w:lang w:val="fr-CH"/>
        </w:rPr>
        <w:t xml:space="preserve">المراد </w:t>
      </w:r>
      <w:proofErr w:type="gramStart"/>
      <w:r w:rsidRPr="00CF4733">
        <w:rPr>
          <w:spacing w:val="-2"/>
          <w:rtl/>
          <w:lang w:val="fr-CH"/>
        </w:rPr>
        <w:t>حمايتها</w:t>
      </w:r>
      <w:r w:rsidRPr="00CF4733">
        <w:rPr>
          <w:spacing w:val="-2"/>
          <w:vertAlign w:val="superscript"/>
          <w:rtl/>
          <w:lang w:val="fr-CH"/>
        </w:rPr>
        <w:t>(</w:t>
      </w:r>
      <w:bookmarkStart w:id="6" w:name="_Hlk73122953"/>
      <w:proofErr w:type="gramEnd"/>
      <w:r w:rsidRPr="002978F5">
        <w:rPr>
          <w:rStyle w:val="FootnoteReference"/>
          <w:spacing w:val="-2"/>
          <w:szCs w:val="22"/>
          <w:lang w:val="en-US"/>
        </w:rPr>
        <w:footnoteReference w:id="7"/>
      </w:r>
      <w:bookmarkEnd w:id="6"/>
      <w:r w:rsidRPr="00CF4733">
        <w:rPr>
          <w:spacing w:val="-2"/>
          <w:vertAlign w:val="superscript"/>
          <w:rtl/>
          <w:lang w:val="fr-CH"/>
        </w:rPr>
        <w:t>)</w:t>
      </w:r>
      <w:r w:rsidRPr="00CF4733">
        <w:rPr>
          <w:spacing w:val="-2"/>
          <w:rtl/>
          <w:lang w:val="fr-CH"/>
        </w:rPr>
        <w:t>، وأن يمتثل شروط الضرورة والتناسب الصارمة، وأن يكون مرتبطاً مباشرة بالحاجة المحددة</w:t>
      </w:r>
      <w:r w:rsidRPr="00D8642B">
        <w:rPr>
          <w:rtl/>
          <w:lang w:val="fr-CH"/>
        </w:rPr>
        <w:t xml:space="preserve"> التي يقوم عليها</w:t>
      </w:r>
      <w:r w:rsidRPr="00D8642B">
        <w:rPr>
          <w:vertAlign w:val="superscript"/>
          <w:rtl/>
          <w:lang w:val="fr-CH"/>
        </w:rPr>
        <w:t>(</w:t>
      </w:r>
      <w:bookmarkStart w:id="7" w:name="_Hlk73122954"/>
      <w:r w:rsidRPr="002978F5">
        <w:rPr>
          <w:rStyle w:val="FootnoteReference"/>
          <w:szCs w:val="22"/>
          <w:lang w:val="en-US"/>
        </w:rPr>
        <w:footnoteReference w:id="8"/>
      </w:r>
      <w:bookmarkEnd w:id="7"/>
      <w:r w:rsidRPr="00D8642B">
        <w:rPr>
          <w:vertAlign w:val="superscript"/>
          <w:rtl/>
          <w:lang w:val="fr-CH"/>
        </w:rPr>
        <w:t>)</w:t>
      </w:r>
      <w:r>
        <w:rPr>
          <w:rtl/>
          <w:lang w:val="fr-CH"/>
        </w:rPr>
        <w:t>.</w:t>
      </w:r>
      <w:r w:rsidRPr="00D8642B">
        <w:rPr>
          <w:rtl/>
          <w:lang w:val="fr-CH"/>
        </w:rPr>
        <w:t xml:space="preserve"> ولا بد من احترام مبدأ التناسب، لا في القانون الذي يؤطر القيود فحسب، بل أيضاً في سياق تطبيق القانون من جانب السلطات الإدارية </w:t>
      </w:r>
      <w:proofErr w:type="gramStart"/>
      <w:r w:rsidRPr="00D8642B">
        <w:rPr>
          <w:rtl/>
          <w:lang w:val="fr-CH"/>
        </w:rPr>
        <w:t>والقضائية</w:t>
      </w:r>
      <w:r w:rsidRPr="00D8642B">
        <w:rPr>
          <w:vertAlign w:val="superscript"/>
          <w:rtl/>
          <w:lang w:val="fr-CH"/>
        </w:rPr>
        <w:t>(</w:t>
      </w:r>
      <w:bookmarkStart w:id="8" w:name="_Hlk73122955"/>
      <w:proofErr w:type="gramEnd"/>
      <w:r w:rsidRPr="002978F5">
        <w:rPr>
          <w:rStyle w:val="FootnoteReference"/>
          <w:szCs w:val="22"/>
          <w:lang w:val="en-US"/>
        </w:rPr>
        <w:footnoteReference w:id="9"/>
      </w:r>
      <w:bookmarkEnd w:id="8"/>
      <w:r w:rsidRPr="00D8642B">
        <w:rPr>
          <w:vertAlign w:val="superscript"/>
          <w:rtl/>
          <w:lang w:val="fr-CH"/>
        </w:rPr>
        <w:t>)</w:t>
      </w:r>
      <w:r>
        <w:rPr>
          <w:rtl/>
          <w:lang w:val="fr-CH"/>
        </w:rPr>
        <w:t>.</w:t>
      </w:r>
      <w:r w:rsidRPr="00D8642B">
        <w:rPr>
          <w:rtl/>
          <w:lang w:val="fr-CH"/>
        </w:rPr>
        <w:t xml:space="preserve"> وعندما تحتج دولة طرف بأسباب مشروعة لتقييد حرية التعبير، فإن عليها أن تبيّن بطريقة محددة وخاصة بكل حالة على حدة الطابع الدقيق </w:t>
      </w:r>
      <w:r w:rsidRPr="00D14D69">
        <w:rPr>
          <w:spacing w:val="2"/>
          <w:rtl/>
          <w:lang w:val="fr-CH"/>
        </w:rPr>
        <w:t xml:space="preserve">لتهديد أي أساس من الأسس المذكورة في المادة </w:t>
      </w:r>
      <w:r w:rsidRPr="002978F5">
        <w:rPr>
          <w:spacing w:val="2"/>
          <w:rtl/>
          <w:lang w:val="fr-CH"/>
        </w:rPr>
        <w:t>19</w:t>
      </w:r>
      <w:r w:rsidRPr="00D14D69">
        <w:rPr>
          <w:spacing w:val="2"/>
          <w:rtl/>
          <w:lang w:val="fr-CH"/>
        </w:rPr>
        <w:t>(</w:t>
      </w:r>
      <w:r w:rsidRPr="002978F5">
        <w:rPr>
          <w:spacing w:val="2"/>
          <w:rtl/>
          <w:lang w:val="fr-CH"/>
        </w:rPr>
        <w:t>3</w:t>
      </w:r>
      <w:r w:rsidRPr="00D14D69">
        <w:rPr>
          <w:spacing w:val="2"/>
          <w:rtl/>
          <w:lang w:val="fr-CH"/>
        </w:rPr>
        <w:t>) الذي أدى إلى تقييد حرية التعبير، وضرورة الإجراء</w:t>
      </w:r>
      <w:r w:rsidRPr="00D8642B">
        <w:rPr>
          <w:rtl/>
          <w:lang w:val="fr-CH"/>
        </w:rPr>
        <w:t xml:space="preserve"> المحدد المتخذ وتناسبه، لا سيما بإقامة صلة مباشرة وفورية بين التعبير </w:t>
      </w:r>
      <w:proofErr w:type="gramStart"/>
      <w:r w:rsidRPr="00D8642B">
        <w:rPr>
          <w:rtl/>
          <w:lang w:val="fr-CH"/>
        </w:rPr>
        <w:t>والتهديد</w:t>
      </w:r>
      <w:r w:rsidRPr="00D8642B">
        <w:rPr>
          <w:vertAlign w:val="superscript"/>
          <w:rtl/>
          <w:lang w:val="fr-CH"/>
        </w:rPr>
        <w:t>(</w:t>
      </w:r>
      <w:bookmarkStart w:id="9" w:name="_Hlk73122956"/>
      <w:proofErr w:type="gramEnd"/>
      <w:r w:rsidRPr="002978F5">
        <w:rPr>
          <w:rStyle w:val="FootnoteReference"/>
          <w:szCs w:val="22"/>
          <w:lang w:val="en-US"/>
        </w:rPr>
        <w:footnoteReference w:id="10"/>
      </w:r>
      <w:bookmarkEnd w:id="9"/>
      <w:r w:rsidRPr="00D8642B">
        <w:rPr>
          <w:vertAlign w:val="superscript"/>
          <w:rtl/>
          <w:lang w:val="fr-CH"/>
        </w:rPr>
        <w:t>)</w:t>
      </w:r>
      <w:r>
        <w:rPr>
          <w:rtl/>
          <w:lang w:val="fr-CH"/>
        </w:rPr>
        <w:t>.</w:t>
      </w:r>
    </w:p>
    <w:p w14:paraId="048A99F1" w14:textId="77777777" w:rsidR="00D74A44" w:rsidRPr="0025240E" w:rsidRDefault="00D74A44" w:rsidP="00D74A44">
      <w:pPr>
        <w:pStyle w:val="SingleTxtGA"/>
        <w:rPr>
          <w:spacing w:val="-2"/>
          <w:lang w:val="fr-CH"/>
        </w:rPr>
      </w:pPr>
      <w:r w:rsidRPr="002978F5">
        <w:rPr>
          <w:spacing w:val="-2"/>
          <w:rtl/>
          <w:lang w:val="fr-CH"/>
        </w:rPr>
        <w:t>7</w:t>
      </w:r>
      <w:r w:rsidRPr="0025240E">
        <w:rPr>
          <w:spacing w:val="-2"/>
          <w:rtl/>
          <w:lang w:val="fr-CH"/>
        </w:rPr>
        <w:t>-</w:t>
      </w:r>
      <w:r w:rsidRPr="002978F5">
        <w:rPr>
          <w:spacing w:val="-2"/>
          <w:rtl/>
          <w:lang w:val="fr-CH"/>
        </w:rPr>
        <w:t>4</w:t>
      </w:r>
      <w:r w:rsidRPr="0025240E">
        <w:rPr>
          <w:spacing w:val="-2"/>
          <w:rtl/>
          <w:lang w:val="fr-CH"/>
        </w:rPr>
        <w:tab/>
        <w:t>وتلاحظ اللجنة ادعاء الدولة الطرف أن صاحب البلاغ أوقف لعدم امتثاله أمر</w:t>
      </w:r>
      <w:r>
        <w:rPr>
          <w:spacing w:val="-2"/>
          <w:rtl/>
          <w:lang w:val="fr-CH"/>
        </w:rPr>
        <w:t xml:space="preserve">اً </w:t>
      </w:r>
      <w:r w:rsidRPr="0025240E">
        <w:rPr>
          <w:spacing w:val="-2"/>
          <w:rtl/>
          <w:lang w:val="fr-CH"/>
        </w:rPr>
        <w:t xml:space="preserve">من الشرطة، وهو </w:t>
      </w:r>
      <w:r w:rsidRPr="00D14D69">
        <w:rPr>
          <w:spacing w:val="-4"/>
          <w:rtl/>
          <w:lang w:val="fr-CH"/>
        </w:rPr>
        <w:t xml:space="preserve">ما يشكل انتهاكاً للمادة </w:t>
      </w:r>
      <w:r w:rsidRPr="002978F5">
        <w:rPr>
          <w:spacing w:val="-4"/>
          <w:rtl/>
          <w:lang w:val="fr-CH"/>
        </w:rPr>
        <w:t>23</w:t>
      </w:r>
      <w:r w:rsidRPr="00D14D69">
        <w:rPr>
          <w:spacing w:val="-4"/>
          <w:rtl/>
          <w:lang w:val="fr-CH"/>
        </w:rPr>
        <w:t>-</w:t>
      </w:r>
      <w:r w:rsidRPr="002978F5">
        <w:rPr>
          <w:spacing w:val="-4"/>
          <w:rtl/>
          <w:lang w:val="fr-CH"/>
        </w:rPr>
        <w:t>4</w:t>
      </w:r>
      <w:r w:rsidRPr="00D14D69">
        <w:rPr>
          <w:spacing w:val="-4"/>
          <w:rtl/>
          <w:lang w:val="fr-CH"/>
        </w:rPr>
        <w:t xml:space="preserve"> من قانون المخالفات الإدارية، وأن العقوبة الإدارية المفروضة عليه كانت متفقة</w:t>
      </w:r>
      <w:r w:rsidRPr="0025240E">
        <w:rPr>
          <w:spacing w:val="-2"/>
          <w:rtl/>
          <w:lang w:val="fr-CH"/>
        </w:rPr>
        <w:t xml:space="preserve"> مع القانون المحلي. وتلاحظ اللجنة أيض</w:t>
      </w:r>
      <w:r>
        <w:rPr>
          <w:spacing w:val="-2"/>
          <w:rtl/>
          <w:lang w:val="fr-CH"/>
        </w:rPr>
        <w:t xml:space="preserve">اً </w:t>
      </w:r>
      <w:r w:rsidRPr="0025240E">
        <w:rPr>
          <w:spacing w:val="-2"/>
          <w:rtl/>
          <w:lang w:val="fr-CH"/>
        </w:rPr>
        <w:t xml:space="preserve">أن صاحب البلاغ يدعي أنه احتجز لأنه كان يحاول ممارسة حقه في حرية التعبير أثناء التجمع ما جعله يرفض امتثال أمر الشرطة بخلع قميصه. وتلاحظ اللجنة أن </w:t>
      </w:r>
      <w:r w:rsidRPr="0025240E">
        <w:rPr>
          <w:rtl/>
          <w:lang w:val="fr-CH"/>
        </w:rPr>
        <w:t>إجراءات احتجاز صاحب البلاغ والحكم عليه أفضت إلى تقييد حريته في التعبير عن رأي. وفي هذا الخصوص</w:t>
      </w:r>
      <w:r w:rsidRPr="0025240E">
        <w:rPr>
          <w:spacing w:val="-2"/>
          <w:rtl/>
          <w:lang w:val="fr-CH"/>
        </w:rPr>
        <w:t xml:space="preserve">، تُذكّر اللجنة بأن على الدولة الطرف أن تبيّن أن القيود المفروضة في هذه القضية ضرورية لتحقيق أحد الأغراض المشروعة في إطار المادة </w:t>
      </w:r>
      <w:r w:rsidRPr="002978F5">
        <w:rPr>
          <w:spacing w:val="-2"/>
          <w:rtl/>
          <w:lang w:val="fr-CH"/>
        </w:rPr>
        <w:t>19</w:t>
      </w:r>
      <w:r w:rsidRPr="0025240E">
        <w:rPr>
          <w:spacing w:val="-2"/>
          <w:rtl/>
          <w:lang w:val="fr-CH"/>
        </w:rPr>
        <w:t>(</w:t>
      </w:r>
      <w:r w:rsidRPr="002978F5">
        <w:rPr>
          <w:spacing w:val="-2"/>
          <w:rtl/>
          <w:lang w:val="fr-CH"/>
        </w:rPr>
        <w:t>3</w:t>
      </w:r>
      <w:r w:rsidRPr="0025240E">
        <w:rPr>
          <w:spacing w:val="-2"/>
          <w:rtl/>
          <w:lang w:val="fr-CH"/>
        </w:rPr>
        <w:t xml:space="preserve">) من </w:t>
      </w:r>
      <w:proofErr w:type="gramStart"/>
      <w:r w:rsidRPr="0025240E">
        <w:rPr>
          <w:spacing w:val="-2"/>
          <w:rtl/>
          <w:lang w:val="fr-CH"/>
        </w:rPr>
        <w:t>العهد</w:t>
      </w:r>
      <w:r w:rsidRPr="0025240E">
        <w:rPr>
          <w:spacing w:val="-2"/>
          <w:vertAlign w:val="superscript"/>
          <w:rtl/>
          <w:lang w:val="fr-CH"/>
        </w:rPr>
        <w:t>(</w:t>
      </w:r>
      <w:bookmarkStart w:id="10" w:name="_Hlk73122957"/>
      <w:proofErr w:type="gramEnd"/>
      <w:r w:rsidRPr="002978F5">
        <w:rPr>
          <w:rStyle w:val="FootnoteReference"/>
          <w:spacing w:val="-2"/>
          <w:szCs w:val="22"/>
          <w:lang w:val="en-US"/>
        </w:rPr>
        <w:footnoteReference w:id="11"/>
      </w:r>
      <w:bookmarkEnd w:id="10"/>
      <w:r w:rsidRPr="0025240E">
        <w:rPr>
          <w:spacing w:val="-2"/>
          <w:vertAlign w:val="superscript"/>
          <w:rtl/>
          <w:lang w:val="fr-CH"/>
        </w:rPr>
        <w:t>)</w:t>
      </w:r>
      <w:r w:rsidRPr="0025240E">
        <w:rPr>
          <w:spacing w:val="-2"/>
          <w:rtl/>
          <w:lang w:val="fr-CH"/>
        </w:rPr>
        <w:t xml:space="preserve">. وتلاحظ اللجنة أن اشتراط الضرورة يفترض توافر عنصر التناسب، إذ يجب أن يكون نطاق القيد المفروض على حرية التعبير متناسباً مع قيمة ما يرمي القيد إلى </w:t>
      </w:r>
      <w:proofErr w:type="gramStart"/>
      <w:r w:rsidRPr="0025240E">
        <w:rPr>
          <w:spacing w:val="-2"/>
          <w:rtl/>
          <w:lang w:val="fr-CH"/>
        </w:rPr>
        <w:t>حمايته</w:t>
      </w:r>
      <w:r w:rsidRPr="0025240E">
        <w:rPr>
          <w:spacing w:val="-2"/>
          <w:vertAlign w:val="superscript"/>
          <w:rtl/>
          <w:lang w:val="fr-CH"/>
        </w:rPr>
        <w:t>(</w:t>
      </w:r>
      <w:bookmarkStart w:id="11" w:name="_Hlk73122958"/>
      <w:proofErr w:type="gramEnd"/>
      <w:r w:rsidRPr="002978F5">
        <w:rPr>
          <w:rStyle w:val="FootnoteReference"/>
          <w:spacing w:val="-2"/>
          <w:szCs w:val="22"/>
          <w:lang w:val="en-US"/>
        </w:rPr>
        <w:footnoteReference w:id="12"/>
      </w:r>
      <w:bookmarkEnd w:id="11"/>
      <w:r w:rsidRPr="0025240E">
        <w:rPr>
          <w:spacing w:val="-2"/>
          <w:vertAlign w:val="superscript"/>
          <w:rtl/>
          <w:lang w:val="fr-CH"/>
        </w:rPr>
        <w:t>)</w:t>
      </w:r>
      <w:r w:rsidRPr="0025240E">
        <w:rPr>
          <w:spacing w:val="-2"/>
          <w:rtl/>
          <w:lang w:val="fr-CH"/>
        </w:rPr>
        <w:t>. وتلاحظ اللجنة أن الدولة الطرف في حين يبدو أنها تشير ضمن</w:t>
      </w:r>
      <w:r>
        <w:rPr>
          <w:spacing w:val="-2"/>
          <w:rtl/>
          <w:lang w:val="fr-CH"/>
        </w:rPr>
        <w:t xml:space="preserve">اً </w:t>
      </w:r>
      <w:r w:rsidRPr="0025240E">
        <w:rPr>
          <w:spacing w:val="-2"/>
          <w:rtl/>
          <w:lang w:val="fr-CH"/>
        </w:rPr>
        <w:t>إلى أن عدم امتثال صاحب البلاغ أمر</w:t>
      </w:r>
      <w:r>
        <w:rPr>
          <w:spacing w:val="-2"/>
          <w:rtl/>
          <w:lang w:val="fr-CH"/>
        </w:rPr>
        <w:t xml:space="preserve">اً </w:t>
      </w:r>
      <w:r w:rsidRPr="0025240E">
        <w:rPr>
          <w:spacing w:val="-2"/>
          <w:rtl/>
          <w:lang w:val="fr-CH"/>
        </w:rPr>
        <w:t>قانوني من أوامر الشرطة يشكل جريمة ضد النظام العام، فإنها لم تقدم مبرر</w:t>
      </w:r>
      <w:r>
        <w:rPr>
          <w:spacing w:val="-2"/>
          <w:rtl/>
          <w:lang w:val="fr-CH"/>
        </w:rPr>
        <w:t xml:space="preserve">اً </w:t>
      </w:r>
      <w:r w:rsidRPr="0025240E">
        <w:rPr>
          <w:spacing w:val="-2"/>
          <w:rtl/>
          <w:lang w:val="fr-CH"/>
        </w:rPr>
        <w:t>لضرورة وتناسب الحكم على صاحب البلاغ بالحبس الإداري لمدة ثلاثة أيام. وحتى على افتراض أن توقيف صاحب البلاغ واحتجازه لهما سند في القانون المحلي، وأن إدانته ترمي إلى تحقيق هدف مشروع، مثل حماية النظام العام، فإنه لا يمكن القول إن هذه القيود ضرورية ومتناسبة لتحقيق هذا الهدف.</w:t>
      </w:r>
    </w:p>
    <w:p w14:paraId="54407875" w14:textId="77777777" w:rsidR="00D74A44" w:rsidRPr="00D8642B" w:rsidRDefault="00D74A44" w:rsidP="00D74A44">
      <w:pPr>
        <w:pStyle w:val="SingleTxtGA"/>
        <w:rPr>
          <w:lang w:val="fr-CH"/>
        </w:rPr>
      </w:pPr>
      <w:r w:rsidRPr="002978F5">
        <w:rPr>
          <w:rtl/>
          <w:lang w:val="fr-CH"/>
        </w:rPr>
        <w:t>7</w:t>
      </w:r>
      <w:r w:rsidRPr="00D8642B">
        <w:rPr>
          <w:rtl/>
          <w:lang w:val="fr-CH"/>
        </w:rPr>
        <w:t>-</w:t>
      </w:r>
      <w:r w:rsidRPr="002978F5">
        <w:rPr>
          <w:rtl/>
          <w:lang w:val="fr-CH"/>
        </w:rPr>
        <w:t>5</w:t>
      </w:r>
      <w:r w:rsidRPr="00D8642B">
        <w:rPr>
          <w:rtl/>
          <w:lang w:val="fr-CH"/>
        </w:rPr>
        <w:tab/>
        <w:t xml:space="preserve">وفي ظل الظروف المذكورة أعلاه، وفي غياب معلومات أخرى ذات صلة من الدولة الطرف لتبرير التقييد للأغراض الواردة في المادة </w:t>
      </w:r>
      <w:r w:rsidRPr="002978F5">
        <w:rPr>
          <w:rtl/>
          <w:lang w:val="fr-CH"/>
        </w:rPr>
        <w:t>19</w:t>
      </w:r>
      <w:r w:rsidRPr="00D8642B">
        <w:rPr>
          <w:rtl/>
          <w:lang w:val="fr-CH"/>
        </w:rPr>
        <w:t>(</w:t>
      </w:r>
      <w:r w:rsidRPr="002978F5">
        <w:rPr>
          <w:rtl/>
          <w:lang w:val="fr-CH"/>
        </w:rPr>
        <w:t>3</w:t>
      </w:r>
      <w:r w:rsidRPr="00D8642B">
        <w:rPr>
          <w:rtl/>
          <w:lang w:val="fr-CH"/>
        </w:rPr>
        <w:t xml:space="preserve">)، تخلص اللجنة إلى أن حقوق صاحب البلاغ بموجب المادة </w:t>
      </w:r>
      <w:r w:rsidRPr="002978F5">
        <w:rPr>
          <w:rtl/>
          <w:lang w:val="fr-CH"/>
        </w:rPr>
        <w:t>19</w:t>
      </w:r>
      <w:r w:rsidRPr="00D8642B">
        <w:rPr>
          <w:rtl/>
          <w:lang w:val="fr-CH"/>
        </w:rPr>
        <w:t>(</w:t>
      </w:r>
      <w:r w:rsidRPr="002978F5">
        <w:rPr>
          <w:rtl/>
          <w:lang w:val="fr-CH"/>
        </w:rPr>
        <w:t>2</w:t>
      </w:r>
      <w:r w:rsidRPr="00D8642B">
        <w:rPr>
          <w:rtl/>
          <w:lang w:val="fr-CH"/>
        </w:rPr>
        <w:t>) من العهد قد انتهكت.</w:t>
      </w:r>
    </w:p>
    <w:p w14:paraId="485A0C67" w14:textId="77777777" w:rsidR="00D74A44" w:rsidRPr="00D8642B" w:rsidRDefault="00D74A44" w:rsidP="00D74A44">
      <w:pPr>
        <w:pStyle w:val="SingleTxtGA"/>
        <w:rPr>
          <w:lang w:val="fr-CH"/>
        </w:rPr>
      </w:pPr>
      <w:r w:rsidRPr="002978F5">
        <w:rPr>
          <w:rtl/>
          <w:lang w:val="fr-CH"/>
        </w:rPr>
        <w:t>8</w:t>
      </w:r>
      <w:r w:rsidRPr="00D8642B">
        <w:rPr>
          <w:rtl/>
          <w:lang w:val="fr-CH"/>
        </w:rPr>
        <w:t>-</w:t>
      </w:r>
      <w:r w:rsidRPr="00D8642B">
        <w:rPr>
          <w:rtl/>
          <w:lang w:val="fr-CH"/>
        </w:rPr>
        <w:tab/>
        <w:t xml:space="preserve">واللجنة، إذ تتصرف بموجب المادة </w:t>
      </w:r>
      <w:r w:rsidRPr="002978F5">
        <w:rPr>
          <w:rtl/>
          <w:lang w:val="fr-CH"/>
        </w:rPr>
        <w:t>5</w:t>
      </w:r>
      <w:r w:rsidRPr="00D8642B">
        <w:rPr>
          <w:rtl/>
          <w:lang w:val="fr-CH"/>
        </w:rPr>
        <w:t>(</w:t>
      </w:r>
      <w:r w:rsidRPr="002978F5">
        <w:rPr>
          <w:rtl/>
          <w:lang w:val="fr-CH"/>
        </w:rPr>
        <w:t>4</w:t>
      </w:r>
      <w:r w:rsidRPr="00D8642B">
        <w:rPr>
          <w:rtl/>
          <w:lang w:val="fr-CH"/>
        </w:rPr>
        <w:t xml:space="preserve">) من البروتوكول الاختياري، ترى أن الوقائع المعروضة عليها تكشف عن حدوث انتهاك لحقوق صاحب البلاغ بموجب المادة </w:t>
      </w:r>
      <w:r w:rsidRPr="002978F5">
        <w:rPr>
          <w:rtl/>
          <w:lang w:val="fr-CH"/>
        </w:rPr>
        <w:t>19</w:t>
      </w:r>
      <w:r w:rsidRPr="00D8642B">
        <w:rPr>
          <w:rtl/>
          <w:lang w:val="fr-CH"/>
        </w:rPr>
        <w:t>(</w:t>
      </w:r>
      <w:r w:rsidRPr="002978F5">
        <w:rPr>
          <w:rtl/>
          <w:lang w:val="fr-CH"/>
        </w:rPr>
        <w:t>2</w:t>
      </w:r>
      <w:r w:rsidRPr="00D8642B">
        <w:rPr>
          <w:rtl/>
          <w:lang w:val="fr-CH"/>
        </w:rPr>
        <w:t>) من العهد.</w:t>
      </w:r>
    </w:p>
    <w:p w14:paraId="419A9479" w14:textId="77777777" w:rsidR="00D74A44" w:rsidRPr="0025240E" w:rsidRDefault="00D74A44" w:rsidP="00D74A44">
      <w:pPr>
        <w:pStyle w:val="SingleTxtGA"/>
        <w:rPr>
          <w:spacing w:val="-2"/>
          <w:lang w:val="fr-CH"/>
        </w:rPr>
      </w:pPr>
      <w:r w:rsidRPr="002978F5">
        <w:rPr>
          <w:rtl/>
          <w:lang w:val="fr-CH"/>
        </w:rPr>
        <w:t>9</w:t>
      </w:r>
      <w:r w:rsidRPr="00D8642B">
        <w:rPr>
          <w:rtl/>
          <w:lang w:val="fr-CH"/>
        </w:rPr>
        <w:t>-</w:t>
      </w:r>
      <w:r w:rsidRPr="00D8642B">
        <w:rPr>
          <w:rtl/>
          <w:lang w:val="fr-CH"/>
        </w:rPr>
        <w:tab/>
        <w:t xml:space="preserve">وعملاً بأحكام المادة </w:t>
      </w:r>
      <w:r w:rsidRPr="002978F5">
        <w:rPr>
          <w:rtl/>
          <w:lang w:val="fr-CH"/>
        </w:rPr>
        <w:t>2</w:t>
      </w:r>
      <w:r w:rsidRPr="00D8642B">
        <w:rPr>
          <w:rtl/>
          <w:lang w:val="fr-CH"/>
        </w:rPr>
        <w:t>(</w:t>
      </w:r>
      <w:r w:rsidRPr="002978F5">
        <w:rPr>
          <w:rtl/>
          <w:lang w:val="fr-CH"/>
        </w:rPr>
        <w:t>3</w:t>
      </w:r>
      <w:r w:rsidRPr="00D8642B">
        <w:rPr>
          <w:rtl/>
          <w:lang w:val="fr-CH"/>
        </w:rPr>
        <w:t xml:space="preserve">)(أ) من العهد، يقع على عاتق الدولة الطرف التزام بتوفير سبيل انتصاف فعال لصاحب البلاغ. ويقتضي منها ذلك جبر الضرر جبراً تاماً لمن انتُهِكت حقوقهم المعترف بها في العهد. وبناءً عليه، فإن الدولة الطرف ملزمة بأمور منها اتخاذ خطوات مناسبة لدفع تعويض كافٍ </w:t>
      </w:r>
      <w:r w:rsidRPr="0025240E">
        <w:rPr>
          <w:spacing w:val="-2"/>
          <w:rtl/>
          <w:lang w:val="fr-CH"/>
        </w:rPr>
        <w:t>لصاحب البلاغ. ويتعين عليها أيض</w:t>
      </w:r>
      <w:r>
        <w:rPr>
          <w:spacing w:val="-2"/>
          <w:rtl/>
          <w:lang w:val="fr-CH"/>
        </w:rPr>
        <w:t xml:space="preserve">اً </w:t>
      </w:r>
      <w:r w:rsidRPr="0025240E">
        <w:rPr>
          <w:spacing w:val="-2"/>
          <w:rtl/>
          <w:lang w:val="fr-CH"/>
        </w:rPr>
        <w:t>اتخاذ جميع التدابير اللازمة لمنع حدوث انتهاكات مماثلة في المستقبل.</w:t>
      </w:r>
    </w:p>
    <w:p w14:paraId="623EC39E" w14:textId="77777777" w:rsidR="00D74A44" w:rsidRPr="00D8642B" w:rsidRDefault="00D74A44" w:rsidP="00D74A44">
      <w:pPr>
        <w:pStyle w:val="SingleTxtGA"/>
        <w:rPr>
          <w:lang w:val="fr-CH"/>
        </w:rPr>
      </w:pPr>
      <w:r w:rsidRPr="002978F5">
        <w:rPr>
          <w:rtl/>
          <w:lang w:val="fr-CH"/>
        </w:rPr>
        <w:t>10</w:t>
      </w:r>
      <w:r w:rsidRPr="00D8642B">
        <w:rPr>
          <w:rtl/>
          <w:lang w:val="fr-CH"/>
        </w:rPr>
        <w:t>-</w:t>
      </w:r>
      <w:r w:rsidRPr="00D8642B">
        <w:rPr>
          <w:rtl/>
          <w:lang w:val="fr-CH"/>
        </w:rPr>
        <w:tab/>
      </w:r>
      <w:r w:rsidRPr="0025240E">
        <w:rPr>
          <w:spacing w:val="-2"/>
          <w:rtl/>
          <w:lang w:val="fr-CH"/>
        </w:rPr>
        <w:t>وإذ تأخذ اللجنة في اعتبارها أن الدولة الطرف، بانضمامها إلى البروتوكول الاختياري، قد اعترفت</w:t>
      </w:r>
      <w:r w:rsidRPr="00D8642B">
        <w:rPr>
          <w:rtl/>
          <w:lang w:val="fr-CH"/>
        </w:rPr>
        <w:t xml:space="preserve"> </w:t>
      </w:r>
      <w:r w:rsidRPr="0025240E">
        <w:rPr>
          <w:spacing w:val="-2"/>
          <w:rtl/>
          <w:lang w:val="fr-CH"/>
        </w:rPr>
        <w:t xml:space="preserve">باختصاص اللجنة في تحديد ما إن كان حدث انتهاك للعهد أم لا، وأنها تعهدت، عملاً بالمادة </w:t>
      </w:r>
      <w:r w:rsidRPr="002978F5">
        <w:rPr>
          <w:spacing w:val="-2"/>
          <w:rtl/>
          <w:lang w:val="fr-CH"/>
        </w:rPr>
        <w:t>2</w:t>
      </w:r>
      <w:r w:rsidRPr="0025240E">
        <w:rPr>
          <w:spacing w:val="-2"/>
          <w:rtl/>
          <w:lang w:val="fr-CH"/>
        </w:rPr>
        <w:t xml:space="preserve"> من العهد،</w:t>
      </w:r>
      <w:r w:rsidRPr="00D8642B">
        <w:rPr>
          <w:rtl/>
          <w:lang w:val="fr-CH"/>
        </w:rPr>
        <w:t xml:space="preserve"> بأن تكفل لجميع الأفراد الموجودين في إقليمها أو الخاضعين لولايتها الحقوق المعترف بها في العهد، وبأن توفر لهم سبيل انتصاف فعالاً وقابلاً للإنفاذ إن ثبت حدوث انتهاك، فإنها تود أن تتلقى من الدولة الطرف في غضون </w:t>
      </w:r>
      <w:r w:rsidRPr="002978F5">
        <w:rPr>
          <w:rtl/>
          <w:lang w:val="fr-CH"/>
        </w:rPr>
        <w:t>180</w:t>
      </w:r>
      <w:r w:rsidRPr="00D8642B">
        <w:rPr>
          <w:rtl/>
          <w:lang w:val="fr-CH"/>
        </w:rPr>
        <w:t xml:space="preserve"> يوماً معلومات عن التدابير التي اتخذتها لإنفاذ آراء اللجنة. والدولة الطرف مدعوة أيضاً إلى نشر هذه الآراء على نطاق واسع بلغاتها الرسمية.</w:t>
      </w:r>
    </w:p>
    <w:p w14:paraId="1CE36030" w14:textId="77777777" w:rsidR="00D74A44" w:rsidRPr="00A254A4" w:rsidRDefault="00D74A44" w:rsidP="00D74A44">
      <w:pPr>
        <w:pStyle w:val="SingleTxtGA"/>
        <w:jc w:val="center"/>
        <w:rPr>
          <w:u w:val="single"/>
          <w:rtl/>
        </w:rPr>
      </w:pPr>
      <w:r>
        <w:rPr>
          <w:u w:val="single"/>
          <w:rtl/>
        </w:rPr>
        <w:tab/>
      </w:r>
      <w:r>
        <w:rPr>
          <w:u w:val="single"/>
          <w:rtl/>
        </w:rPr>
        <w:tab/>
      </w:r>
      <w:r>
        <w:rPr>
          <w:u w:val="single"/>
          <w:rtl/>
        </w:rPr>
        <w:tab/>
      </w:r>
      <w:bookmarkEnd w:id="0"/>
      <w:bookmarkEnd w:id="1"/>
    </w:p>
    <w:sectPr w:rsidR="00D74A44" w:rsidRPr="00A254A4" w:rsidSect="00470F1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2ED35" w14:textId="77777777" w:rsidR="006A4EBA" w:rsidRPr="002901D9" w:rsidRDefault="006A4EBA" w:rsidP="00DC4D4B">
      <w:pPr>
        <w:spacing w:after="60" w:line="240" w:lineRule="auto"/>
        <w:ind w:left="57"/>
        <w:rPr>
          <w:i/>
          <w:iCs/>
        </w:rPr>
      </w:pPr>
      <w:r>
        <w:rPr>
          <w:rFonts w:hint="cs"/>
          <w:i/>
          <w:iCs/>
          <w:rtl/>
        </w:rPr>
        <w:t>الحواشي</w:t>
      </w:r>
    </w:p>
  </w:endnote>
  <w:endnote w:type="continuationSeparator" w:id="0">
    <w:p w14:paraId="1725BF19" w14:textId="77777777" w:rsidR="006A4EBA" w:rsidRDefault="006A4EB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249E" w14:textId="35772C4A" w:rsidR="0095634A" w:rsidRPr="0095634A" w:rsidRDefault="0095634A" w:rsidP="0095634A">
    <w:pPr>
      <w:pStyle w:val="Footer"/>
      <w:tabs>
        <w:tab w:val="right" w:pos="9638"/>
      </w:tabs>
      <w:rPr>
        <w:b/>
        <w:sz w:val="18"/>
        <w:lang w:val="en-US"/>
      </w:rPr>
    </w:pPr>
    <w:r>
      <w:rPr>
        <w:lang w:val="en-US"/>
      </w:rPr>
      <w:t>GE.21-06031</w:t>
    </w:r>
    <w:r>
      <w:rPr>
        <w:lang w:val="en-US"/>
      </w:rPr>
      <w:tab/>
    </w:r>
    <w:r w:rsidRPr="0095634A">
      <w:rPr>
        <w:b/>
        <w:sz w:val="18"/>
        <w:lang w:val="en-US"/>
      </w:rPr>
      <w:fldChar w:fldCharType="begin"/>
    </w:r>
    <w:r w:rsidRPr="0095634A">
      <w:rPr>
        <w:b/>
        <w:sz w:val="18"/>
        <w:lang w:val="en-US"/>
      </w:rPr>
      <w:instrText xml:space="preserve"> PAGE  \* MERGEFORMAT </w:instrText>
    </w:r>
    <w:r w:rsidRPr="0095634A">
      <w:rPr>
        <w:b/>
        <w:sz w:val="18"/>
        <w:lang w:val="en-US"/>
      </w:rPr>
      <w:fldChar w:fldCharType="separate"/>
    </w:r>
    <w:r w:rsidRPr="0095634A">
      <w:rPr>
        <w:b/>
        <w:noProof/>
        <w:sz w:val="18"/>
        <w:lang w:val="en-US"/>
      </w:rPr>
      <w:t>2</w:t>
    </w:r>
    <w:r w:rsidRPr="0095634A">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E5D50" w14:textId="6886096B" w:rsidR="006959B0" w:rsidRPr="0095634A" w:rsidRDefault="0095634A" w:rsidP="0095634A">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GE.21-06031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7A6E6" w14:textId="022C2ADC" w:rsidR="00DE50B1" w:rsidRPr="0095634A" w:rsidRDefault="0095634A" w:rsidP="0095634A">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67D707AC" wp14:editId="3EA0B483">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21-06031 (A)</w:t>
    </w:r>
    <w:r>
      <w:rPr>
        <w:noProof/>
        <w:sz w:val="20"/>
        <w:lang w:val="en-US"/>
      </w:rPr>
      <w:drawing>
        <wp:anchor distT="0" distB="0" distL="114300" distR="114300" simplePos="0" relativeHeight="251659264" behindDoc="0" locked="0" layoutInCell="1" allowOverlap="1" wp14:anchorId="38775DEB" wp14:editId="24A2F903">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51679" w14:textId="77777777" w:rsidR="006A4EBA" w:rsidRPr="000437B8" w:rsidRDefault="006A4EBA" w:rsidP="00F10DAB">
      <w:pPr>
        <w:pStyle w:val="Footer"/>
        <w:bidi/>
        <w:spacing w:after="80" w:line="200" w:lineRule="exact"/>
        <w:ind w:left="680"/>
      </w:pPr>
      <w:r>
        <w:rPr>
          <w:rtl/>
        </w:rPr>
        <w:t>__________</w:t>
      </w:r>
    </w:p>
  </w:footnote>
  <w:footnote w:type="continuationSeparator" w:id="0">
    <w:p w14:paraId="6A64478A" w14:textId="77777777" w:rsidR="006A4EBA" w:rsidRDefault="006A4EBA" w:rsidP="00656392">
      <w:pPr>
        <w:spacing w:line="240" w:lineRule="auto"/>
      </w:pPr>
      <w:r>
        <w:continuationSeparator/>
      </w:r>
    </w:p>
  </w:footnote>
  <w:footnote w:id="1">
    <w:p w14:paraId="59EDD878" w14:textId="77777777" w:rsidR="00D74A44" w:rsidRPr="00D8642B" w:rsidRDefault="00D74A44" w:rsidP="00D74A44">
      <w:pPr>
        <w:pStyle w:val="FootnoteText1"/>
        <w:rPr>
          <w:rtl/>
        </w:rPr>
      </w:pPr>
      <w:r>
        <w:rPr>
          <w:rtl/>
        </w:rPr>
        <w:t>*</w:t>
      </w:r>
      <w:r>
        <w:rPr>
          <w:rtl/>
        </w:rPr>
        <w:tab/>
      </w:r>
      <w:r w:rsidRPr="00D8642B">
        <w:rPr>
          <w:rtl/>
        </w:rPr>
        <w:t xml:space="preserve">اعتمدتها اللجنة في دورتها </w:t>
      </w:r>
      <w:r w:rsidRPr="002978F5">
        <w:rPr>
          <w:rtl/>
        </w:rPr>
        <w:t>131</w:t>
      </w:r>
      <w:r w:rsidRPr="00D8642B">
        <w:rPr>
          <w:rtl/>
        </w:rPr>
        <w:t xml:space="preserve"> (</w:t>
      </w:r>
      <w:r w:rsidRPr="002978F5">
        <w:rPr>
          <w:rtl/>
        </w:rPr>
        <w:t>1</w:t>
      </w:r>
      <w:r w:rsidRPr="00D8642B">
        <w:rPr>
          <w:rtl/>
        </w:rPr>
        <w:t>-</w:t>
      </w:r>
      <w:r w:rsidRPr="002978F5">
        <w:rPr>
          <w:rtl/>
        </w:rPr>
        <w:t>26</w:t>
      </w:r>
      <w:r w:rsidRPr="00D8642B">
        <w:rPr>
          <w:rtl/>
        </w:rPr>
        <w:t xml:space="preserve"> آذار/مارس </w:t>
      </w:r>
      <w:r w:rsidRPr="002978F5">
        <w:rPr>
          <w:rtl/>
        </w:rPr>
        <w:t>2021</w:t>
      </w:r>
      <w:r w:rsidRPr="00D8642B">
        <w:rPr>
          <w:rtl/>
        </w:rPr>
        <w:t>).</w:t>
      </w:r>
    </w:p>
  </w:footnote>
  <w:footnote w:id="2">
    <w:p w14:paraId="149654EE" w14:textId="77777777" w:rsidR="00D74A44" w:rsidRPr="00D8642B" w:rsidRDefault="00D74A44" w:rsidP="00D74A44">
      <w:pPr>
        <w:pStyle w:val="FootnoteText1"/>
        <w:rPr>
          <w:rtl/>
        </w:rPr>
      </w:pPr>
      <w:r>
        <w:rPr>
          <w:rtl/>
        </w:rPr>
        <w:t>**</w:t>
      </w:r>
      <w:r>
        <w:rPr>
          <w:rtl/>
        </w:rPr>
        <w:tab/>
      </w:r>
      <w:r w:rsidRPr="00D14D69">
        <w:rPr>
          <w:spacing w:val="-4"/>
          <w:rtl/>
        </w:rPr>
        <w:t xml:space="preserve">شارك في دراسة هذا البلاغ أعضاء اللجنة التالية أسماؤهم: تانيا ماريا عبدو </w:t>
      </w:r>
      <w:proofErr w:type="spellStart"/>
      <w:r w:rsidRPr="00D14D69">
        <w:rPr>
          <w:spacing w:val="-4"/>
          <w:rtl/>
        </w:rPr>
        <w:t>روشول</w:t>
      </w:r>
      <w:proofErr w:type="spellEnd"/>
      <w:r w:rsidRPr="00D14D69">
        <w:rPr>
          <w:spacing w:val="-4"/>
          <w:rtl/>
        </w:rPr>
        <w:t>، ووفاء أشرف محرم باسم، وعياض بن عاشور،</w:t>
      </w:r>
      <w:r w:rsidRPr="00D8642B">
        <w:rPr>
          <w:rtl/>
        </w:rPr>
        <w:t xml:space="preserve"> وعارف بلقان، ومحجوب الهيبة، </w:t>
      </w:r>
      <w:proofErr w:type="spellStart"/>
      <w:r w:rsidRPr="00D8642B">
        <w:rPr>
          <w:rtl/>
        </w:rPr>
        <w:t>وفورويا</w:t>
      </w:r>
      <w:proofErr w:type="spellEnd"/>
      <w:r w:rsidRPr="00D8642B">
        <w:rPr>
          <w:rtl/>
        </w:rPr>
        <w:t xml:space="preserve"> </w:t>
      </w:r>
      <w:proofErr w:type="spellStart"/>
      <w:r w:rsidRPr="00D8642B">
        <w:rPr>
          <w:rtl/>
        </w:rPr>
        <w:t>سويتشي</w:t>
      </w:r>
      <w:proofErr w:type="spellEnd"/>
      <w:r w:rsidRPr="00D8642B">
        <w:rPr>
          <w:rtl/>
        </w:rPr>
        <w:t xml:space="preserve">، وكارلوس غوميز مارتينيز، </w:t>
      </w:r>
      <w:proofErr w:type="spellStart"/>
      <w:r w:rsidRPr="00D8642B">
        <w:rPr>
          <w:rtl/>
        </w:rPr>
        <w:t>ومارسيا</w:t>
      </w:r>
      <w:proofErr w:type="spellEnd"/>
      <w:r w:rsidRPr="00D8642B">
        <w:rPr>
          <w:rtl/>
        </w:rPr>
        <w:t xml:space="preserve"> ف. ج. كران، </w:t>
      </w:r>
      <w:proofErr w:type="spellStart"/>
      <w:r w:rsidRPr="00D8642B">
        <w:rPr>
          <w:rtl/>
        </w:rPr>
        <w:t>ودنكان</w:t>
      </w:r>
      <w:proofErr w:type="spellEnd"/>
      <w:r w:rsidRPr="00D8642B">
        <w:rPr>
          <w:rtl/>
        </w:rPr>
        <w:t xml:space="preserve"> </w:t>
      </w:r>
      <w:proofErr w:type="spellStart"/>
      <w:r w:rsidRPr="00D8642B">
        <w:rPr>
          <w:rtl/>
        </w:rPr>
        <w:t>لاكي</w:t>
      </w:r>
      <w:proofErr w:type="spellEnd"/>
      <w:r w:rsidRPr="00D8642B">
        <w:rPr>
          <w:rtl/>
        </w:rPr>
        <w:t xml:space="preserve"> </w:t>
      </w:r>
      <w:proofErr w:type="spellStart"/>
      <w:r w:rsidRPr="00D8642B">
        <w:rPr>
          <w:rtl/>
        </w:rPr>
        <w:t>موهوموزا</w:t>
      </w:r>
      <w:proofErr w:type="spellEnd"/>
      <w:r w:rsidRPr="00D8642B">
        <w:rPr>
          <w:rtl/>
        </w:rPr>
        <w:t xml:space="preserve">، وفوتيني </w:t>
      </w:r>
      <w:proofErr w:type="spellStart"/>
      <w:r w:rsidRPr="00D8642B">
        <w:rPr>
          <w:rtl/>
        </w:rPr>
        <w:t>بزارتزيس</w:t>
      </w:r>
      <w:proofErr w:type="spellEnd"/>
      <w:r w:rsidRPr="00D8642B">
        <w:rPr>
          <w:rtl/>
        </w:rPr>
        <w:t xml:space="preserve">، </w:t>
      </w:r>
      <w:proofErr w:type="spellStart"/>
      <w:r w:rsidRPr="00D8642B">
        <w:rPr>
          <w:rtl/>
        </w:rPr>
        <w:t>وهيرنان</w:t>
      </w:r>
      <w:proofErr w:type="spellEnd"/>
      <w:r w:rsidRPr="00D8642B">
        <w:rPr>
          <w:rtl/>
        </w:rPr>
        <w:t xml:space="preserve"> </w:t>
      </w:r>
      <w:proofErr w:type="spellStart"/>
      <w:r w:rsidRPr="00D8642B">
        <w:rPr>
          <w:rtl/>
        </w:rPr>
        <w:t>كيسادا</w:t>
      </w:r>
      <w:proofErr w:type="spellEnd"/>
      <w:r w:rsidRPr="00D8642B">
        <w:rPr>
          <w:rtl/>
        </w:rPr>
        <w:t xml:space="preserve"> </w:t>
      </w:r>
      <w:proofErr w:type="spellStart"/>
      <w:r w:rsidRPr="00D8642B">
        <w:rPr>
          <w:rtl/>
        </w:rPr>
        <w:t>كابريرا</w:t>
      </w:r>
      <w:proofErr w:type="spellEnd"/>
      <w:r w:rsidRPr="00D8642B">
        <w:rPr>
          <w:rtl/>
        </w:rPr>
        <w:t xml:space="preserve">، </w:t>
      </w:r>
      <w:proofErr w:type="spellStart"/>
      <w:r w:rsidRPr="00D8642B">
        <w:rPr>
          <w:rtl/>
        </w:rPr>
        <w:t>وفاسيلكا</w:t>
      </w:r>
      <w:proofErr w:type="spellEnd"/>
      <w:r w:rsidRPr="00D8642B">
        <w:rPr>
          <w:rtl/>
        </w:rPr>
        <w:t xml:space="preserve"> </w:t>
      </w:r>
      <w:proofErr w:type="spellStart"/>
      <w:r w:rsidRPr="00D8642B">
        <w:rPr>
          <w:rtl/>
        </w:rPr>
        <w:t>سانسين</w:t>
      </w:r>
      <w:proofErr w:type="spellEnd"/>
      <w:r w:rsidRPr="00D8642B">
        <w:rPr>
          <w:rtl/>
        </w:rPr>
        <w:t xml:space="preserve">، وخوسيه مانويل سانتوس </w:t>
      </w:r>
      <w:proofErr w:type="spellStart"/>
      <w:r w:rsidRPr="00D8642B">
        <w:rPr>
          <w:rtl/>
        </w:rPr>
        <w:t>بايس</w:t>
      </w:r>
      <w:proofErr w:type="spellEnd"/>
      <w:r w:rsidRPr="00D8642B">
        <w:rPr>
          <w:rtl/>
        </w:rPr>
        <w:t xml:space="preserve">، </w:t>
      </w:r>
      <w:proofErr w:type="spellStart"/>
      <w:r w:rsidRPr="00D8642B">
        <w:rPr>
          <w:rtl/>
        </w:rPr>
        <w:t>وسوه</w:t>
      </w:r>
      <w:proofErr w:type="spellEnd"/>
      <w:r w:rsidRPr="00D8642B">
        <w:rPr>
          <w:rtl/>
        </w:rPr>
        <w:t xml:space="preserve"> </w:t>
      </w:r>
      <w:proofErr w:type="spellStart"/>
      <w:r w:rsidRPr="00D8642B">
        <w:rPr>
          <w:rtl/>
        </w:rPr>
        <w:t>تشانغروك</w:t>
      </w:r>
      <w:proofErr w:type="spellEnd"/>
      <w:r w:rsidRPr="00D8642B">
        <w:rPr>
          <w:rtl/>
        </w:rPr>
        <w:t xml:space="preserve">، </w:t>
      </w:r>
      <w:proofErr w:type="spellStart"/>
      <w:r w:rsidRPr="00D8642B">
        <w:rPr>
          <w:rtl/>
        </w:rPr>
        <w:t>وكوباوياه</w:t>
      </w:r>
      <w:proofErr w:type="spellEnd"/>
      <w:r w:rsidRPr="00D8642B">
        <w:rPr>
          <w:rtl/>
        </w:rPr>
        <w:t xml:space="preserve"> </w:t>
      </w:r>
      <w:proofErr w:type="spellStart"/>
      <w:r w:rsidRPr="00D8642B">
        <w:rPr>
          <w:rtl/>
        </w:rPr>
        <w:t>تشامدجا</w:t>
      </w:r>
      <w:proofErr w:type="spellEnd"/>
      <w:r w:rsidRPr="00D8642B">
        <w:rPr>
          <w:rtl/>
        </w:rPr>
        <w:t xml:space="preserve"> </w:t>
      </w:r>
      <w:proofErr w:type="spellStart"/>
      <w:r w:rsidRPr="00D8642B">
        <w:rPr>
          <w:rtl/>
        </w:rPr>
        <w:t>كباتشا</w:t>
      </w:r>
      <w:proofErr w:type="spellEnd"/>
      <w:r w:rsidRPr="00D8642B">
        <w:rPr>
          <w:rtl/>
        </w:rPr>
        <w:t xml:space="preserve">، وهيلين </w:t>
      </w:r>
      <w:proofErr w:type="spellStart"/>
      <w:r w:rsidRPr="00D8642B">
        <w:rPr>
          <w:rtl/>
        </w:rPr>
        <w:t>تيغرودجا</w:t>
      </w:r>
      <w:proofErr w:type="spellEnd"/>
      <w:r w:rsidRPr="00D8642B">
        <w:rPr>
          <w:rtl/>
        </w:rPr>
        <w:t xml:space="preserve">، </w:t>
      </w:r>
      <w:proofErr w:type="spellStart"/>
      <w:r w:rsidRPr="00D8642B">
        <w:rPr>
          <w:rtl/>
        </w:rPr>
        <w:t>وإميرو</w:t>
      </w:r>
      <w:proofErr w:type="spellEnd"/>
      <w:r w:rsidRPr="00D8642B">
        <w:rPr>
          <w:rtl/>
        </w:rPr>
        <w:t xml:space="preserve"> تمرات </w:t>
      </w:r>
      <w:proofErr w:type="spellStart"/>
      <w:r w:rsidRPr="00D8642B">
        <w:rPr>
          <w:rtl/>
        </w:rPr>
        <w:t>يغيزو</w:t>
      </w:r>
      <w:proofErr w:type="spellEnd"/>
      <w:r w:rsidRPr="00D8642B">
        <w:rPr>
          <w:rtl/>
        </w:rPr>
        <w:t xml:space="preserve">، </w:t>
      </w:r>
      <w:proofErr w:type="spellStart"/>
      <w:r w:rsidRPr="00D8642B">
        <w:rPr>
          <w:rtl/>
        </w:rPr>
        <w:t>وجنتيان</w:t>
      </w:r>
      <w:proofErr w:type="spellEnd"/>
      <w:r w:rsidRPr="00D8642B">
        <w:rPr>
          <w:rtl/>
        </w:rPr>
        <w:t xml:space="preserve"> </w:t>
      </w:r>
      <w:proofErr w:type="spellStart"/>
      <w:r w:rsidRPr="00D8642B">
        <w:rPr>
          <w:rtl/>
        </w:rPr>
        <w:t>زيبيري</w:t>
      </w:r>
      <w:proofErr w:type="spellEnd"/>
      <w:r w:rsidRPr="00D8642B">
        <w:rPr>
          <w:rtl/>
        </w:rPr>
        <w:t>.</w:t>
      </w:r>
    </w:p>
  </w:footnote>
  <w:footnote w:id="3">
    <w:p w14:paraId="6644E010" w14:textId="77777777" w:rsidR="00D74A44" w:rsidRPr="00D8642B" w:rsidRDefault="00D74A44" w:rsidP="00D74A44">
      <w:pPr>
        <w:pStyle w:val="FootnoteText1"/>
        <w:rPr>
          <w:spacing w:val="-2"/>
          <w:rtl/>
        </w:rPr>
      </w:pPr>
      <w:r w:rsidRPr="00D8642B">
        <w:rPr>
          <w:spacing w:val="-2"/>
          <w:rtl/>
        </w:rPr>
        <w:t>(</w:t>
      </w:r>
      <w:r w:rsidRPr="002978F5">
        <w:rPr>
          <w:rStyle w:val="FootnoteReference"/>
          <w:spacing w:val="-2"/>
          <w:vertAlign w:val="baseline"/>
        </w:rPr>
        <w:footnoteRef/>
      </w:r>
      <w:r w:rsidRPr="00D8642B">
        <w:rPr>
          <w:spacing w:val="-2"/>
          <w:rtl/>
        </w:rPr>
        <w:t>)</w:t>
      </w:r>
      <w:r w:rsidRPr="00D8642B">
        <w:rPr>
          <w:spacing w:val="-2"/>
          <w:rtl/>
        </w:rPr>
        <w:tab/>
        <w:t>جاء في الشعارات: "</w:t>
      </w:r>
      <w:proofErr w:type="spellStart"/>
      <w:r w:rsidRPr="00D8642B">
        <w:rPr>
          <w:spacing w:val="-2"/>
          <w:rtl/>
        </w:rPr>
        <w:t>لوكاشينكو</w:t>
      </w:r>
      <w:proofErr w:type="spellEnd"/>
      <w:r w:rsidRPr="00D8642B">
        <w:rPr>
          <w:spacing w:val="-2"/>
          <w:rtl/>
        </w:rPr>
        <w:t xml:space="preserve"> – ارحل!</w:t>
      </w:r>
      <w:r>
        <w:rPr>
          <w:rFonts w:hint="cs"/>
          <w:spacing w:val="-2"/>
          <w:rtl/>
        </w:rPr>
        <w:t xml:space="preserve">" </w:t>
      </w:r>
      <w:r w:rsidRPr="00D8642B">
        <w:rPr>
          <w:spacing w:val="-2"/>
          <w:rtl/>
        </w:rPr>
        <w:t>و"رئيس أربع مرات؟ لا! إنه ليس رئيسا</w:t>
      </w:r>
      <w:r>
        <w:rPr>
          <w:rFonts w:hint="cs"/>
          <w:spacing w:val="-2"/>
          <w:rtl/>
        </w:rPr>
        <w:t>ً</w:t>
      </w:r>
      <w:r w:rsidRPr="00D8642B">
        <w:rPr>
          <w:spacing w:val="-2"/>
          <w:rtl/>
        </w:rPr>
        <w:t>، بل قيصر</w:t>
      </w:r>
      <w:r>
        <w:rPr>
          <w:spacing w:val="-2"/>
          <w:rtl/>
        </w:rPr>
        <w:t xml:space="preserve">اً </w:t>
      </w:r>
      <w:r w:rsidRPr="00D8642B">
        <w:rPr>
          <w:spacing w:val="-2"/>
          <w:rtl/>
        </w:rPr>
        <w:t>نصب نفسه!"(عن ترجمة غير رسمية.)</w:t>
      </w:r>
    </w:p>
  </w:footnote>
  <w:footnote w:id="4">
    <w:p w14:paraId="7B54A917" w14:textId="77777777" w:rsidR="00D74A44" w:rsidRPr="00D8642B" w:rsidRDefault="00D74A44" w:rsidP="00D74A44">
      <w:pPr>
        <w:pStyle w:val="FootnoteText1"/>
        <w:rPr>
          <w:rtl/>
        </w:rPr>
      </w:pPr>
      <w:r w:rsidRPr="00D8642B">
        <w:rPr>
          <w:rtl/>
        </w:rPr>
        <w:t>(</w:t>
      </w:r>
      <w:r w:rsidRPr="002978F5">
        <w:rPr>
          <w:rStyle w:val="FootnoteReference"/>
          <w:vertAlign w:val="baseline"/>
        </w:rPr>
        <w:footnoteRef/>
      </w:r>
      <w:r w:rsidRPr="00D8642B">
        <w:rPr>
          <w:rtl/>
        </w:rPr>
        <w:t>)</w:t>
      </w:r>
      <w:r>
        <w:rPr>
          <w:rtl/>
        </w:rPr>
        <w:tab/>
      </w:r>
      <w:r w:rsidRPr="00D8642B">
        <w:rPr>
          <w:rtl/>
        </w:rPr>
        <w:t xml:space="preserve">انظر، على سبيل المثال، </w:t>
      </w:r>
      <w:proofErr w:type="spellStart"/>
      <w:r w:rsidRPr="002978F5">
        <w:rPr>
          <w:i/>
          <w:iCs/>
          <w:rtl/>
        </w:rPr>
        <w:t>ألكسييف</w:t>
      </w:r>
      <w:proofErr w:type="spellEnd"/>
      <w:r w:rsidRPr="002978F5">
        <w:rPr>
          <w:i/>
          <w:iCs/>
          <w:rtl/>
        </w:rPr>
        <w:t xml:space="preserve"> ضد الاتحاد الروسي</w:t>
      </w:r>
      <w:r w:rsidRPr="00D8642B">
        <w:rPr>
          <w:rtl/>
        </w:rPr>
        <w:t xml:space="preserve"> (</w:t>
      </w:r>
      <w:r w:rsidRPr="00D8642B">
        <w:t>CCPR/C/</w:t>
      </w:r>
      <w:r w:rsidRPr="002978F5">
        <w:t>109</w:t>
      </w:r>
      <w:r w:rsidRPr="00D8642B">
        <w:t>/D/</w:t>
      </w:r>
      <w:r w:rsidRPr="002978F5">
        <w:t>1873</w:t>
      </w:r>
      <w:r w:rsidRPr="00D8642B">
        <w:t>/</w:t>
      </w:r>
      <w:r w:rsidRPr="002978F5">
        <w:t>2009</w:t>
      </w:r>
      <w:r w:rsidRPr="00D8642B">
        <w:rPr>
          <w:rtl/>
        </w:rPr>
        <w:t xml:space="preserve">)، الفقرة </w:t>
      </w:r>
      <w:r w:rsidRPr="002978F5">
        <w:rPr>
          <w:rtl/>
        </w:rPr>
        <w:t>8</w:t>
      </w:r>
      <w:r w:rsidRPr="00D8642B">
        <w:rPr>
          <w:rtl/>
        </w:rPr>
        <w:t>-</w:t>
      </w:r>
      <w:r w:rsidRPr="002978F5">
        <w:rPr>
          <w:rtl/>
        </w:rPr>
        <w:t>4</w:t>
      </w:r>
      <w:r w:rsidRPr="00D8642B">
        <w:rPr>
          <w:rtl/>
        </w:rPr>
        <w:t xml:space="preserve">؛ </w:t>
      </w:r>
      <w:proofErr w:type="spellStart"/>
      <w:r w:rsidRPr="00D8642B">
        <w:rPr>
          <w:rtl/>
        </w:rPr>
        <w:t>و</w:t>
      </w:r>
      <w:r w:rsidRPr="002978F5">
        <w:rPr>
          <w:i/>
          <w:iCs/>
          <w:rtl/>
        </w:rPr>
        <w:t>لوزينكو</w:t>
      </w:r>
      <w:proofErr w:type="spellEnd"/>
      <w:r w:rsidRPr="002978F5">
        <w:rPr>
          <w:i/>
          <w:iCs/>
          <w:rtl/>
        </w:rPr>
        <w:t xml:space="preserve"> ضد بيلاروس</w:t>
      </w:r>
      <w:r w:rsidRPr="00D8642B">
        <w:rPr>
          <w:rtl/>
        </w:rPr>
        <w:t xml:space="preserve"> (</w:t>
      </w:r>
      <w:r w:rsidRPr="00D8642B">
        <w:t>CCPR/C/</w:t>
      </w:r>
      <w:r w:rsidRPr="002978F5">
        <w:t>112</w:t>
      </w:r>
      <w:r w:rsidRPr="00D8642B">
        <w:t>/D/</w:t>
      </w:r>
      <w:r w:rsidRPr="002978F5">
        <w:t>1929</w:t>
      </w:r>
      <w:r w:rsidRPr="00D8642B">
        <w:t>/</w:t>
      </w:r>
      <w:r w:rsidRPr="002978F5">
        <w:t>2010</w:t>
      </w:r>
      <w:r w:rsidRPr="00D8642B">
        <w:rPr>
          <w:rtl/>
        </w:rPr>
        <w:t xml:space="preserve">)، الفقرة </w:t>
      </w:r>
      <w:r w:rsidRPr="002978F5">
        <w:rPr>
          <w:rtl/>
        </w:rPr>
        <w:t>6</w:t>
      </w:r>
      <w:r w:rsidRPr="00D8642B">
        <w:rPr>
          <w:rtl/>
        </w:rPr>
        <w:t>-</w:t>
      </w:r>
      <w:r w:rsidRPr="002978F5">
        <w:rPr>
          <w:rtl/>
        </w:rPr>
        <w:t>3</w:t>
      </w:r>
      <w:r w:rsidRPr="00D8642B">
        <w:rPr>
          <w:rtl/>
        </w:rPr>
        <w:t xml:space="preserve">؛ </w:t>
      </w:r>
      <w:proofErr w:type="spellStart"/>
      <w:r w:rsidRPr="00D8642B">
        <w:rPr>
          <w:rtl/>
        </w:rPr>
        <w:t>و</w:t>
      </w:r>
      <w:r w:rsidRPr="002978F5">
        <w:rPr>
          <w:i/>
          <w:iCs/>
          <w:rtl/>
        </w:rPr>
        <w:t>سودالينكو</w:t>
      </w:r>
      <w:proofErr w:type="spellEnd"/>
      <w:r w:rsidRPr="002978F5">
        <w:rPr>
          <w:i/>
          <w:iCs/>
          <w:rtl/>
        </w:rPr>
        <w:t xml:space="preserve"> ضد بيلاروس</w:t>
      </w:r>
      <w:r w:rsidRPr="00D8642B">
        <w:rPr>
          <w:rtl/>
        </w:rPr>
        <w:t xml:space="preserve"> (</w:t>
      </w:r>
      <w:r w:rsidRPr="00D8642B">
        <w:t>CCPR/C/</w:t>
      </w:r>
      <w:r w:rsidRPr="002978F5">
        <w:t>115</w:t>
      </w:r>
      <w:r w:rsidRPr="00D8642B">
        <w:t>/D/</w:t>
      </w:r>
      <w:r w:rsidRPr="002978F5">
        <w:t>2016</w:t>
      </w:r>
      <w:r w:rsidRPr="00D8642B">
        <w:t>/</w:t>
      </w:r>
      <w:r w:rsidRPr="002978F5">
        <w:t>2010</w:t>
      </w:r>
      <w:r w:rsidRPr="00D8642B">
        <w:rPr>
          <w:rtl/>
        </w:rPr>
        <w:t xml:space="preserve">)، الفقرة </w:t>
      </w:r>
      <w:r w:rsidRPr="002978F5">
        <w:rPr>
          <w:rtl/>
        </w:rPr>
        <w:t>7</w:t>
      </w:r>
      <w:r w:rsidRPr="00D8642B">
        <w:rPr>
          <w:rtl/>
        </w:rPr>
        <w:t>-</w:t>
      </w:r>
      <w:r w:rsidRPr="002978F5">
        <w:rPr>
          <w:rtl/>
        </w:rPr>
        <w:t>3</w:t>
      </w:r>
      <w:r w:rsidRPr="00D8642B">
        <w:rPr>
          <w:rtl/>
        </w:rPr>
        <w:t xml:space="preserve">؛ </w:t>
      </w:r>
      <w:proofErr w:type="spellStart"/>
      <w:r w:rsidRPr="00D8642B">
        <w:rPr>
          <w:rtl/>
        </w:rPr>
        <w:t>و</w:t>
      </w:r>
      <w:r w:rsidRPr="002978F5">
        <w:rPr>
          <w:i/>
          <w:iCs/>
          <w:rtl/>
        </w:rPr>
        <w:t>كورشكوف</w:t>
      </w:r>
      <w:proofErr w:type="spellEnd"/>
      <w:r w:rsidRPr="002978F5">
        <w:rPr>
          <w:i/>
          <w:iCs/>
          <w:rtl/>
        </w:rPr>
        <w:t xml:space="preserve"> ضد بيلاروس</w:t>
      </w:r>
      <w:r w:rsidRPr="00D8642B">
        <w:rPr>
          <w:rtl/>
        </w:rPr>
        <w:t xml:space="preserve"> (</w:t>
      </w:r>
      <w:r w:rsidRPr="00D8642B">
        <w:t>CCPR/C/</w:t>
      </w:r>
      <w:r w:rsidRPr="002978F5">
        <w:t>121</w:t>
      </w:r>
      <w:r w:rsidRPr="00D8642B">
        <w:t>/D/</w:t>
      </w:r>
      <w:r w:rsidRPr="002978F5">
        <w:t>2168</w:t>
      </w:r>
      <w:r w:rsidRPr="00D8642B">
        <w:t>/</w:t>
      </w:r>
      <w:r w:rsidRPr="002978F5">
        <w:t>2012</w:t>
      </w:r>
      <w:r w:rsidRPr="00D8642B">
        <w:rPr>
          <w:rtl/>
        </w:rPr>
        <w:t xml:space="preserve">)، الفقرة </w:t>
      </w:r>
      <w:r w:rsidRPr="002978F5">
        <w:rPr>
          <w:rtl/>
        </w:rPr>
        <w:t>7</w:t>
      </w:r>
      <w:r w:rsidRPr="00D8642B">
        <w:rPr>
          <w:rtl/>
        </w:rPr>
        <w:t>-</w:t>
      </w:r>
      <w:r w:rsidRPr="002978F5">
        <w:rPr>
          <w:rtl/>
        </w:rPr>
        <w:t>3</w:t>
      </w:r>
      <w:r w:rsidRPr="00D8642B">
        <w:rPr>
          <w:rtl/>
        </w:rPr>
        <w:t xml:space="preserve">؛ </w:t>
      </w:r>
      <w:proofErr w:type="spellStart"/>
      <w:r w:rsidRPr="00D8642B">
        <w:rPr>
          <w:rtl/>
        </w:rPr>
        <w:t>و</w:t>
      </w:r>
      <w:r w:rsidRPr="002978F5">
        <w:rPr>
          <w:i/>
          <w:iCs/>
          <w:rtl/>
        </w:rPr>
        <w:t>أبرومتشيك</w:t>
      </w:r>
      <w:proofErr w:type="spellEnd"/>
      <w:r w:rsidRPr="002978F5">
        <w:rPr>
          <w:i/>
          <w:iCs/>
          <w:rtl/>
        </w:rPr>
        <w:t xml:space="preserve"> ضد بيلاروس</w:t>
      </w:r>
      <w:r w:rsidRPr="00D8642B">
        <w:rPr>
          <w:rtl/>
        </w:rPr>
        <w:t xml:space="preserve"> (</w:t>
      </w:r>
      <w:r w:rsidRPr="00D8642B">
        <w:t>CCPR/C/</w:t>
      </w:r>
      <w:r w:rsidRPr="002978F5">
        <w:t>122</w:t>
      </w:r>
      <w:r w:rsidRPr="00D8642B">
        <w:t>/D/</w:t>
      </w:r>
      <w:r w:rsidRPr="002978F5">
        <w:t>2228</w:t>
      </w:r>
      <w:r w:rsidRPr="00D8642B">
        <w:t>/</w:t>
      </w:r>
      <w:r w:rsidRPr="002978F5">
        <w:t>2012</w:t>
      </w:r>
      <w:r w:rsidRPr="00D8642B">
        <w:rPr>
          <w:rtl/>
        </w:rPr>
        <w:t xml:space="preserve">)، الفقرة </w:t>
      </w:r>
      <w:r w:rsidRPr="002978F5">
        <w:rPr>
          <w:rtl/>
        </w:rPr>
        <w:t>9</w:t>
      </w:r>
      <w:r w:rsidRPr="00D8642B">
        <w:rPr>
          <w:rtl/>
        </w:rPr>
        <w:t>-</w:t>
      </w:r>
      <w:r w:rsidRPr="002978F5">
        <w:rPr>
          <w:rtl/>
        </w:rPr>
        <w:t>3</w:t>
      </w:r>
      <w:r w:rsidRPr="00D8642B">
        <w:rPr>
          <w:rtl/>
        </w:rPr>
        <w:t>.</w:t>
      </w:r>
    </w:p>
  </w:footnote>
  <w:footnote w:id="5">
    <w:p w14:paraId="79E7CB0B" w14:textId="77777777" w:rsidR="00D74A44" w:rsidRPr="0025240E" w:rsidRDefault="00D74A44" w:rsidP="00D74A44">
      <w:pPr>
        <w:pStyle w:val="FootnoteText1"/>
        <w:rPr>
          <w:spacing w:val="-2"/>
          <w:rtl/>
        </w:rPr>
      </w:pPr>
      <w:r w:rsidRPr="00D8642B">
        <w:rPr>
          <w:rtl/>
        </w:rPr>
        <w:t>(</w:t>
      </w:r>
      <w:r w:rsidRPr="002978F5">
        <w:rPr>
          <w:rStyle w:val="FootnoteReference"/>
          <w:vertAlign w:val="baseline"/>
        </w:rPr>
        <w:footnoteRef/>
      </w:r>
      <w:r w:rsidRPr="00D8642B">
        <w:rPr>
          <w:rtl/>
        </w:rPr>
        <w:t>)</w:t>
      </w:r>
      <w:r>
        <w:rPr>
          <w:rtl/>
        </w:rPr>
        <w:tab/>
      </w:r>
      <w:proofErr w:type="spellStart"/>
      <w:r w:rsidRPr="002978F5">
        <w:rPr>
          <w:i/>
          <w:iCs/>
          <w:spacing w:val="-4"/>
          <w:rtl/>
        </w:rPr>
        <w:t>جوكوفسكي</w:t>
      </w:r>
      <w:proofErr w:type="spellEnd"/>
      <w:r w:rsidRPr="002978F5">
        <w:rPr>
          <w:i/>
          <w:iCs/>
          <w:spacing w:val="-4"/>
          <w:rtl/>
        </w:rPr>
        <w:t xml:space="preserve"> ضد بيلاروس</w:t>
      </w:r>
      <w:r w:rsidRPr="0025240E">
        <w:rPr>
          <w:spacing w:val="-4"/>
          <w:rtl/>
        </w:rPr>
        <w:t xml:space="preserve"> (</w:t>
      </w:r>
      <w:r w:rsidRPr="0025240E">
        <w:rPr>
          <w:spacing w:val="-4"/>
        </w:rPr>
        <w:t>CCPR/C/</w:t>
      </w:r>
      <w:r w:rsidRPr="002978F5">
        <w:rPr>
          <w:spacing w:val="-4"/>
        </w:rPr>
        <w:t>127</w:t>
      </w:r>
      <w:r w:rsidRPr="0025240E">
        <w:rPr>
          <w:spacing w:val="-4"/>
        </w:rPr>
        <w:t>/D/</w:t>
      </w:r>
      <w:r w:rsidRPr="002978F5">
        <w:rPr>
          <w:spacing w:val="-4"/>
        </w:rPr>
        <w:t>2724</w:t>
      </w:r>
      <w:r w:rsidRPr="0025240E">
        <w:rPr>
          <w:spacing w:val="-4"/>
        </w:rPr>
        <w:t>/</w:t>
      </w:r>
      <w:r w:rsidRPr="002978F5">
        <w:rPr>
          <w:spacing w:val="-4"/>
        </w:rPr>
        <w:t>2016</w:t>
      </w:r>
      <w:r w:rsidRPr="0025240E">
        <w:rPr>
          <w:spacing w:val="-4"/>
          <w:rtl/>
        </w:rPr>
        <w:t xml:space="preserve">)، الفقرة </w:t>
      </w:r>
      <w:r w:rsidRPr="002978F5">
        <w:rPr>
          <w:spacing w:val="-4"/>
          <w:rtl/>
        </w:rPr>
        <w:t>6</w:t>
      </w:r>
      <w:r w:rsidRPr="0025240E">
        <w:rPr>
          <w:spacing w:val="-4"/>
          <w:rtl/>
        </w:rPr>
        <w:t>-</w:t>
      </w:r>
      <w:r w:rsidRPr="002978F5">
        <w:rPr>
          <w:spacing w:val="-4"/>
          <w:rtl/>
        </w:rPr>
        <w:t>4</w:t>
      </w:r>
      <w:r w:rsidRPr="0025240E">
        <w:rPr>
          <w:spacing w:val="-4"/>
          <w:rtl/>
        </w:rPr>
        <w:t xml:space="preserve">؛ </w:t>
      </w:r>
      <w:proofErr w:type="spellStart"/>
      <w:r w:rsidRPr="0025240E">
        <w:rPr>
          <w:spacing w:val="-4"/>
          <w:rtl/>
        </w:rPr>
        <w:t>و</w:t>
      </w:r>
      <w:r w:rsidRPr="002978F5">
        <w:rPr>
          <w:i/>
          <w:iCs/>
          <w:spacing w:val="-4"/>
          <w:rtl/>
        </w:rPr>
        <w:t>جوكوفسكي</w:t>
      </w:r>
      <w:proofErr w:type="spellEnd"/>
      <w:r w:rsidRPr="002978F5">
        <w:rPr>
          <w:i/>
          <w:iCs/>
          <w:spacing w:val="-4"/>
          <w:rtl/>
        </w:rPr>
        <w:t xml:space="preserve"> ضد بيلاروس</w:t>
      </w:r>
      <w:r w:rsidRPr="0025240E">
        <w:rPr>
          <w:spacing w:val="-4"/>
          <w:rtl/>
        </w:rPr>
        <w:t xml:space="preserve"> (</w:t>
      </w:r>
      <w:r w:rsidRPr="0025240E">
        <w:rPr>
          <w:spacing w:val="-4"/>
        </w:rPr>
        <w:t>CCPR/C/</w:t>
      </w:r>
      <w:r w:rsidRPr="002978F5">
        <w:rPr>
          <w:spacing w:val="-4"/>
        </w:rPr>
        <w:t>127</w:t>
      </w:r>
      <w:r w:rsidRPr="0025240E">
        <w:rPr>
          <w:spacing w:val="-4"/>
        </w:rPr>
        <w:t>/D/</w:t>
      </w:r>
      <w:r w:rsidRPr="002978F5">
        <w:rPr>
          <w:spacing w:val="-4"/>
        </w:rPr>
        <w:t>2955</w:t>
      </w:r>
      <w:r w:rsidRPr="0025240E">
        <w:rPr>
          <w:spacing w:val="-4"/>
        </w:rPr>
        <w:t>/</w:t>
      </w:r>
      <w:r w:rsidRPr="002978F5">
        <w:rPr>
          <w:spacing w:val="-4"/>
        </w:rPr>
        <w:t>2017</w:t>
      </w:r>
      <w:r w:rsidRPr="0025240E">
        <w:rPr>
          <w:spacing w:val="-4"/>
          <w:rtl/>
        </w:rPr>
        <w:t xml:space="preserve">)، </w:t>
      </w:r>
      <w:r w:rsidRPr="00D8642B">
        <w:rPr>
          <w:rtl/>
        </w:rPr>
        <w:t xml:space="preserve">الفقرة </w:t>
      </w:r>
      <w:r w:rsidRPr="002978F5">
        <w:rPr>
          <w:rtl/>
        </w:rPr>
        <w:t>6</w:t>
      </w:r>
      <w:r w:rsidRPr="00D8642B">
        <w:rPr>
          <w:rtl/>
        </w:rPr>
        <w:t>-</w:t>
      </w:r>
      <w:r w:rsidRPr="002978F5">
        <w:rPr>
          <w:rtl/>
        </w:rPr>
        <w:t>4</w:t>
      </w:r>
      <w:r w:rsidRPr="00D8642B">
        <w:rPr>
          <w:rtl/>
        </w:rPr>
        <w:t xml:space="preserve">؛ </w:t>
      </w:r>
      <w:proofErr w:type="spellStart"/>
      <w:r w:rsidRPr="0025240E">
        <w:rPr>
          <w:spacing w:val="-2"/>
          <w:rtl/>
        </w:rPr>
        <w:t>و</w:t>
      </w:r>
      <w:r w:rsidRPr="002978F5">
        <w:rPr>
          <w:i/>
          <w:iCs/>
          <w:spacing w:val="-2"/>
          <w:rtl/>
        </w:rPr>
        <w:t>جوكوفسكي</w:t>
      </w:r>
      <w:proofErr w:type="spellEnd"/>
      <w:r w:rsidRPr="002978F5">
        <w:rPr>
          <w:i/>
          <w:iCs/>
          <w:spacing w:val="-2"/>
          <w:rtl/>
        </w:rPr>
        <w:t xml:space="preserve"> ضد بيلاروس</w:t>
      </w:r>
      <w:r w:rsidRPr="0025240E">
        <w:rPr>
          <w:spacing w:val="-2"/>
          <w:rtl/>
        </w:rPr>
        <w:t xml:space="preserve"> (</w:t>
      </w:r>
      <w:r w:rsidRPr="0025240E">
        <w:rPr>
          <w:spacing w:val="-2"/>
        </w:rPr>
        <w:t>CCPR/C/</w:t>
      </w:r>
      <w:r w:rsidRPr="002978F5">
        <w:rPr>
          <w:spacing w:val="-2"/>
        </w:rPr>
        <w:t>127</w:t>
      </w:r>
      <w:r w:rsidRPr="0025240E">
        <w:rPr>
          <w:spacing w:val="-2"/>
        </w:rPr>
        <w:t>/D/</w:t>
      </w:r>
      <w:r w:rsidRPr="002978F5">
        <w:rPr>
          <w:spacing w:val="-2"/>
        </w:rPr>
        <w:t>3067</w:t>
      </w:r>
      <w:r w:rsidRPr="0025240E">
        <w:rPr>
          <w:spacing w:val="-2"/>
        </w:rPr>
        <w:t>/</w:t>
      </w:r>
      <w:r w:rsidRPr="002978F5">
        <w:rPr>
          <w:spacing w:val="-2"/>
        </w:rPr>
        <w:t>2017</w:t>
      </w:r>
      <w:r w:rsidRPr="0025240E">
        <w:rPr>
          <w:spacing w:val="-2"/>
          <w:rtl/>
        </w:rPr>
        <w:t xml:space="preserve">)، الفقرة </w:t>
      </w:r>
      <w:r w:rsidRPr="002978F5">
        <w:rPr>
          <w:spacing w:val="-2"/>
          <w:rtl/>
        </w:rPr>
        <w:t>6</w:t>
      </w:r>
      <w:r w:rsidRPr="0025240E">
        <w:rPr>
          <w:spacing w:val="-2"/>
          <w:rtl/>
        </w:rPr>
        <w:t>-</w:t>
      </w:r>
      <w:r w:rsidRPr="002978F5">
        <w:rPr>
          <w:spacing w:val="-2"/>
          <w:rtl/>
        </w:rPr>
        <w:t>6</w:t>
      </w:r>
      <w:r w:rsidRPr="0025240E">
        <w:rPr>
          <w:spacing w:val="-2"/>
          <w:rtl/>
        </w:rPr>
        <w:t>.</w:t>
      </w:r>
    </w:p>
  </w:footnote>
  <w:footnote w:id="6">
    <w:p w14:paraId="4C655038" w14:textId="77777777" w:rsidR="00D74A44" w:rsidRPr="00D8642B" w:rsidRDefault="00D74A44" w:rsidP="00D74A44">
      <w:pPr>
        <w:pStyle w:val="FootnoteText1"/>
        <w:rPr>
          <w:rtl/>
        </w:rPr>
      </w:pPr>
      <w:r w:rsidRPr="00D8642B">
        <w:rPr>
          <w:rtl/>
        </w:rPr>
        <w:t>(</w:t>
      </w:r>
      <w:r w:rsidRPr="002978F5">
        <w:rPr>
          <w:rStyle w:val="FootnoteReference"/>
          <w:vertAlign w:val="baseline"/>
        </w:rPr>
        <w:footnoteRef/>
      </w:r>
      <w:r w:rsidRPr="00D8642B">
        <w:rPr>
          <w:rtl/>
        </w:rPr>
        <w:t>)</w:t>
      </w:r>
      <w:r>
        <w:rPr>
          <w:rtl/>
        </w:rPr>
        <w:tab/>
      </w:r>
      <w:r w:rsidRPr="00D8642B">
        <w:rPr>
          <w:rtl/>
        </w:rPr>
        <w:t xml:space="preserve">التعليق العام رقم </w:t>
      </w:r>
      <w:r w:rsidRPr="002978F5">
        <w:rPr>
          <w:rtl/>
        </w:rPr>
        <w:t>34</w:t>
      </w:r>
      <w:r w:rsidRPr="00D8642B">
        <w:rPr>
          <w:rtl/>
        </w:rPr>
        <w:t>(</w:t>
      </w:r>
      <w:r w:rsidRPr="002978F5">
        <w:rPr>
          <w:rtl/>
        </w:rPr>
        <w:t>2011</w:t>
      </w:r>
      <w:r w:rsidRPr="00D8642B">
        <w:rPr>
          <w:rtl/>
        </w:rPr>
        <w:t xml:space="preserve">)، الفقرة </w:t>
      </w:r>
      <w:r w:rsidRPr="002978F5">
        <w:rPr>
          <w:rtl/>
        </w:rPr>
        <w:t>2</w:t>
      </w:r>
      <w:r w:rsidRPr="00D8642B">
        <w:rPr>
          <w:rtl/>
        </w:rPr>
        <w:t>.</w:t>
      </w:r>
    </w:p>
  </w:footnote>
  <w:footnote w:id="7">
    <w:p w14:paraId="65C34B7C" w14:textId="77777777" w:rsidR="00D74A44" w:rsidRPr="00D8642B" w:rsidRDefault="00D74A44" w:rsidP="00D74A44">
      <w:pPr>
        <w:pStyle w:val="FootnoteText1"/>
        <w:rPr>
          <w:rtl/>
        </w:rPr>
      </w:pPr>
      <w:r w:rsidRPr="00D8642B">
        <w:rPr>
          <w:rtl/>
        </w:rPr>
        <w:t>(</w:t>
      </w:r>
      <w:r w:rsidRPr="002978F5">
        <w:rPr>
          <w:rStyle w:val="FootnoteReference"/>
          <w:vertAlign w:val="baseline"/>
        </w:rPr>
        <w:footnoteRef/>
      </w:r>
      <w:r w:rsidRPr="00D8642B">
        <w:rPr>
          <w:rtl/>
        </w:rPr>
        <w:t>)</w:t>
      </w:r>
      <w:r>
        <w:rPr>
          <w:rtl/>
        </w:rPr>
        <w:tab/>
      </w:r>
      <w:r w:rsidRPr="00D8642B">
        <w:rPr>
          <w:rtl/>
        </w:rPr>
        <w:t xml:space="preserve">المرجع نفسه، الفقرة </w:t>
      </w:r>
      <w:r w:rsidRPr="002978F5">
        <w:rPr>
          <w:rtl/>
        </w:rPr>
        <w:t>34</w:t>
      </w:r>
      <w:r w:rsidRPr="00D8642B">
        <w:rPr>
          <w:rtl/>
        </w:rPr>
        <w:t>.</w:t>
      </w:r>
    </w:p>
  </w:footnote>
  <w:footnote w:id="8">
    <w:p w14:paraId="1033B768" w14:textId="77777777" w:rsidR="00D74A44" w:rsidRPr="00D8642B" w:rsidRDefault="00D74A44" w:rsidP="00D74A44">
      <w:pPr>
        <w:pStyle w:val="FootnoteText1"/>
        <w:rPr>
          <w:rtl/>
        </w:rPr>
      </w:pPr>
      <w:r w:rsidRPr="00D8642B">
        <w:rPr>
          <w:rtl/>
        </w:rPr>
        <w:t>(</w:t>
      </w:r>
      <w:r w:rsidRPr="002978F5">
        <w:rPr>
          <w:rStyle w:val="FootnoteReference"/>
          <w:vertAlign w:val="baseline"/>
        </w:rPr>
        <w:footnoteRef/>
      </w:r>
      <w:r w:rsidRPr="00D8642B">
        <w:rPr>
          <w:rtl/>
        </w:rPr>
        <w:t>)</w:t>
      </w:r>
      <w:r>
        <w:rPr>
          <w:rtl/>
        </w:rPr>
        <w:tab/>
      </w:r>
      <w:r w:rsidRPr="00CF4733">
        <w:rPr>
          <w:spacing w:val="-4"/>
          <w:rtl/>
        </w:rPr>
        <w:t xml:space="preserve">المرجع نفسه، الفقرة </w:t>
      </w:r>
      <w:r w:rsidRPr="002978F5">
        <w:rPr>
          <w:spacing w:val="-4"/>
          <w:rtl/>
        </w:rPr>
        <w:t>22</w:t>
      </w:r>
      <w:r w:rsidRPr="00CF4733">
        <w:rPr>
          <w:spacing w:val="-4"/>
          <w:rtl/>
        </w:rPr>
        <w:t xml:space="preserve">. انظر، على سبيل المثال، </w:t>
      </w:r>
      <w:proofErr w:type="spellStart"/>
      <w:r w:rsidRPr="002978F5">
        <w:rPr>
          <w:i/>
          <w:iCs/>
          <w:spacing w:val="-4"/>
          <w:rtl/>
        </w:rPr>
        <w:t>تورتشنياك</w:t>
      </w:r>
      <w:proofErr w:type="spellEnd"/>
      <w:r w:rsidRPr="002978F5">
        <w:rPr>
          <w:i/>
          <w:iCs/>
          <w:spacing w:val="-4"/>
          <w:rtl/>
        </w:rPr>
        <w:t xml:space="preserve"> وآخرون ضد بيلاروس</w:t>
      </w:r>
      <w:r w:rsidRPr="00CF4733">
        <w:rPr>
          <w:spacing w:val="-4"/>
          <w:rtl/>
        </w:rPr>
        <w:t xml:space="preserve"> (</w:t>
      </w:r>
      <w:r w:rsidRPr="00CF4733">
        <w:rPr>
          <w:spacing w:val="-4"/>
        </w:rPr>
        <w:t>CCPR/C/</w:t>
      </w:r>
      <w:r w:rsidRPr="002978F5">
        <w:rPr>
          <w:spacing w:val="-4"/>
        </w:rPr>
        <w:t>108</w:t>
      </w:r>
      <w:r w:rsidRPr="00CF4733">
        <w:rPr>
          <w:spacing w:val="-4"/>
        </w:rPr>
        <w:t>/D/</w:t>
      </w:r>
      <w:r w:rsidRPr="002978F5">
        <w:rPr>
          <w:spacing w:val="-4"/>
        </w:rPr>
        <w:t>1948</w:t>
      </w:r>
      <w:r w:rsidRPr="00CF4733">
        <w:rPr>
          <w:spacing w:val="-4"/>
        </w:rPr>
        <w:t>/</w:t>
      </w:r>
      <w:r w:rsidRPr="002978F5">
        <w:rPr>
          <w:spacing w:val="-4"/>
        </w:rPr>
        <w:t>2010</w:t>
      </w:r>
      <w:r w:rsidRPr="00CF4733">
        <w:rPr>
          <w:spacing w:val="-4"/>
          <w:rtl/>
        </w:rPr>
        <w:t xml:space="preserve"> و</w:t>
      </w:r>
      <w:r w:rsidRPr="00CF4733">
        <w:rPr>
          <w:spacing w:val="-4"/>
        </w:rPr>
        <w:t>Corr.</w:t>
      </w:r>
      <w:r w:rsidRPr="002978F5">
        <w:rPr>
          <w:spacing w:val="-4"/>
        </w:rPr>
        <w:t>1</w:t>
      </w:r>
      <w:r w:rsidRPr="00CF4733">
        <w:rPr>
          <w:spacing w:val="-4"/>
          <w:rtl/>
        </w:rPr>
        <w:t>)،</w:t>
      </w:r>
      <w:r w:rsidRPr="00D8642B">
        <w:rPr>
          <w:rtl/>
        </w:rPr>
        <w:t xml:space="preserve"> الفقرة </w:t>
      </w:r>
      <w:r w:rsidRPr="002978F5">
        <w:rPr>
          <w:rtl/>
        </w:rPr>
        <w:t>7</w:t>
      </w:r>
      <w:r w:rsidRPr="00D8642B">
        <w:rPr>
          <w:rtl/>
        </w:rPr>
        <w:t>-</w:t>
      </w:r>
      <w:r w:rsidRPr="002978F5">
        <w:rPr>
          <w:rtl/>
        </w:rPr>
        <w:t>7</w:t>
      </w:r>
      <w:r w:rsidRPr="00D8642B">
        <w:rPr>
          <w:rtl/>
        </w:rPr>
        <w:t>.</w:t>
      </w:r>
    </w:p>
  </w:footnote>
  <w:footnote w:id="9">
    <w:p w14:paraId="2B0FBEB7" w14:textId="77777777" w:rsidR="00D74A44" w:rsidRPr="00D8642B" w:rsidRDefault="00D74A44" w:rsidP="00D74A44">
      <w:pPr>
        <w:pStyle w:val="FootnoteText1"/>
        <w:rPr>
          <w:rtl/>
        </w:rPr>
      </w:pPr>
      <w:r w:rsidRPr="00D8642B">
        <w:rPr>
          <w:rtl/>
        </w:rPr>
        <w:t>(</w:t>
      </w:r>
      <w:r w:rsidRPr="002978F5">
        <w:rPr>
          <w:rStyle w:val="FootnoteReference"/>
          <w:vertAlign w:val="baseline"/>
        </w:rPr>
        <w:footnoteRef/>
      </w:r>
      <w:r w:rsidRPr="00D8642B">
        <w:rPr>
          <w:rtl/>
        </w:rPr>
        <w:t>)</w:t>
      </w:r>
      <w:r>
        <w:rPr>
          <w:rtl/>
        </w:rPr>
        <w:tab/>
      </w:r>
      <w:r w:rsidRPr="00D8642B">
        <w:rPr>
          <w:rtl/>
        </w:rPr>
        <w:t xml:space="preserve">التعليق العام رقم </w:t>
      </w:r>
      <w:r w:rsidRPr="002978F5">
        <w:rPr>
          <w:rtl/>
        </w:rPr>
        <w:t>34</w:t>
      </w:r>
      <w:r w:rsidRPr="00D8642B">
        <w:rPr>
          <w:rtl/>
        </w:rPr>
        <w:t>(</w:t>
      </w:r>
      <w:r w:rsidRPr="002978F5">
        <w:rPr>
          <w:rtl/>
        </w:rPr>
        <w:t>2011</w:t>
      </w:r>
      <w:r w:rsidRPr="00D8642B">
        <w:rPr>
          <w:rtl/>
        </w:rPr>
        <w:t xml:space="preserve">)، الفقرة </w:t>
      </w:r>
      <w:r w:rsidRPr="002978F5">
        <w:rPr>
          <w:rtl/>
        </w:rPr>
        <w:t>34</w:t>
      </w:r>
      <w:r w:rsidRPr="00D8642B">
        <w:rPr>
          <w:rtl/>
        </w:rPr>
        <w:t>.</w:t>
      </w:r>
    </w:p>
  </w:footnote>
  <w:footnote w:id="10">
    <w:p w14:paraId="16143339" w14:textId="77777777" w:rsidR="00D74A44" w:rsidRPr="00D8642B" w:rsidRDefault="00D74A44" w:rsidP="00D74A44">
      <w:pPr>
        <w:pStyle w:val="FootnoteText1"/>
        <w:rPr>
          <w:rtl/>
        </w:rPr>
      </w:pPr>
      <w:r w:rsidRPr="00D8642B">
        <w:rPr>
          <w:rtl/>
        </w:rPr>
        <w:t>(</w:t>
      </w:r>
      <w:r w:rsidRPr="002978F5">
        <w:rPr>
          <w:rStyle w:val="FootnoteReference"/>
          <w:vertAlign w:val="baseline"/>
        </w:rPr>
        <w:footnoteRef/>
      </w:r>
      <w:r w:rsidRPr="00D8642B">
        <w:rPr>
          <w:rtl/>
        </w:rPr>
        <w:t>)</w:t>
      </w:r>
      <w:r>
        <w:rPr>
          <w:rtl/>
        </w:rPr>
        <w:tab/>
      </w:r>
      <w:r w:rsidRPr="00D8642B">
        <w:rPr>
          <w:rtl/>
        </w:rPr>
        <w:t xml:space="preserve">المرجع نفسه، الفقرتان </w:t>
      </w:r>
      <w:r w:rsidRPr="002978F5">
        <w:rPr>
          <w:rtl/>
        </w:rPr>
        <w:t>35</w:t>
      </w:r>
      <w:r w:rsidRPr="00D8642B">
        <w:rPr>
          <w:rtl/>
        </w:rPr>
        <w:t xml:space="preserve"> و</w:t>
      </w:r>
      <w:r w:rsidRPr="002978F5">
        <w:rPr>
          <w:rtl/>
        </w:rPr>
        <w:t>36</w:t>
      </w:r>
      <w:r w:rsidRPr="00D8642B">
        <w:rPr>
          <w:rtl/>
        </w:rPr>
        <w:t>.</w:t>
      </w:r>
    </w:p>
  </w:footnote>
  <w:footnote w:id="11">
    <w:p w14:paraId="1FFDC2CA" w14:textId="77777777" w:rsidR="00D74A44" w:rsidRPr="00D8642B" w:rsidRDefault="00D74A44" w:rsidP="00D74A44">
      <w:pPr>
        <w:pStyle w:val="FootnoteText1"/>
        <w:rPr>
          <w:rtl/>
        </w:rPr>
      </w:pPr>
      <w:r w:rsidRPr="00D8642B">
        <w:rPr>
          <w:rtl/>
        </w:rPr>
        <w:t>(</w:t>
      </w:r>
      <w:r w:rsidRPr="002978F5">
        <w:rPr>
          <w:rStyle w:val="FootnoteReference"/>
          <w:vertAlign w:val="baseline"/>
        </w:rPr>
        <w:footnoteRef/>
      </w:r>
      <w:r w:rsidRPr="00D8642B">
        <w:rPr>
          <w:rtl/>
        </w:rPr>
        <w:t>)</w:t>
      </w:r>
      <w:r>
        <w:rPr>
          <w:rtl/>
        </w:rPr>
        <w:tab/>
      </w:r>
      <w:r w:rsidRPr="00D8642B">
        <w:rPr>
          <w:rtl/>
        </w:rPr>
        <w:t xml:space="preserve">انظر، على سبيل المثال، </w:t>
      </w:r>
      <w:proofErr w:type="spellStart"/>
      <w:r w:rsidRPr="002978F5">
        <w:rPr>
          <w:i/>
          <w:iCs/>
          <w:rtl/>
        </w:rPr>
        <w:t>تورتشنياك</w:t>
      </w:r>
      <w:proofErr w:type="spellEnd"/>
      <w:r w:rsidRPr="002978F5">
        <w:rPr>
          <w:i/>
          <w:iCs/>
          <w:rtl/>
        </w:rPr>
        <w:t xml:space="preserve"> وآخرون ضد بيلاروس</w:t>
      </w:r>
      <w:r w:rsidRPr="00D8642B">
        <w:rPr>
          <w:rtl/>
        </w:rPr>
        <w:t xml:space="preserve">، الفقرة </w:t>
      </w:r>
      <w:r w:rsidRPr="002978F5">
        <w:rPr>
          <w:rtl/>
        </w:rPr>
        <w:t>7</w:t>
      </w:r>
      <w:r w:rsidRPr="00D8642B">
        <w:rPr>
          <w:rtl/>
        </w:rPr>
        <w:t>-</w:t>
      </w:r>
      <w:r w:rsidRPr="002978F5">
        <w:rPr>
          <w:rtl/>
        </w:rPr>
        <w:t>8</w:t>
      </w:r>
      <w:r w:rsidRPr="00D8642B">
        <w:rPr>
          <w:rtl/>
        </w:rPr>
        <w:t>.</w:t>
      </w:r>
    </w:p>
  </w:footnote>
  <w:footnote w:id="12">
    <w:p w14:paraId="652671E2" w14:textId="77777777" w:rsidR="00D74A44" w:rsidRPr="00D8642B" w:rsidRDefault="00D74A44" w:rsidP="00D74A44">
      <w:pPr>
        <w:pStyle w:val="FootnoteText1"/>
        <w:rPr>
          <w:rtl/>
        </w:rPr>
      </w:pPr>
      <w:r w:rsidRPr="00D8642B">
        <w:rPr>
          <w:rtl/>
        </w:rPr>
        <w:t>(</w:t>
      </w:r>
      <w:r w:rsidRPr="002978F5">
        <w:rPr>
          <w:rStyle w:val="FootnoteReference"/>
          <w:vertAlign w:val="baseline"/>
        </w:rPr>
        <w:footnoteRef/>
      </w:r>
      <w:r w:rsidRPr="00D8642B">
        <w:rPr>
          <w:rtl/>
        </w:rPr>
        <w:t>)</w:t>
      </w:r>
      <w:r>
        <w:rPr>
          <w:rtl/>
        </w:rPr>
        <w:tab/>
      </w:r>
      <w:proofErr w:type="spellStart"/>
      <w:r w:rsidRPr="002978F5">
        <w:rPr>
          <w:i/>
          <w:iCs/>
          <w:rtl/>
        </w:rPr>
        <w:t>ماركيس</w:t>
      </w:r>
      <w:proofErr w:type="spellEnd"/>
      <w:r w:rsidRPr="002978F5">
        <w:rPr>
          <w:i/>
          <w:iCs/>
          <w:rtl/>
        </w:rPr>
        <w:t xml:space="preserve"> دي </w:t>
      </w:r>
      <w:proofErr w:type="spellStart"/>
      <w:r w:rsidRPr="002978F5">
        <w:rPr>
          <w:i/>
          <w:iCs/>
          <w:rtl/>
        </w:rPr>
        <w:t>مورايس</w:t>
      </w:r>
      <w:proofErr w:type="spellEnd"/>
      <w:r w:rsidRPr="002978F5">
        <w:rPr>
          <w:i/>
          <w:iCs/>
          <w:rtl/>
        </w:rPr>
        <w:t xml:space="preserve"> ضد</w:t>
      </w:r>
      <w:r w:rsidRPr="002978F5">
        <w:rPr>
          <w:rFonts w:hint="cs"/>
          <w:i/>
          <w:iCs/>
          <w:rtl/>
        </w:rPr>
        <w:t xml:space="preserve"> أنغولا</w:t>
      </w:r>
      <w:r w:rsidRPr="00D8642B">
        <w:rPr>
          <w:rtl/>
        </w:rPr>
        <w:t xml:space="preserve"> (</w:t>
      </w:r>
      <w:r w:rsidRPr="00D8642B">
        <w:t>CCPR/C/</w:t>
      </w:r>
      <w:r w:rsidRPr="002978F5">
        <w:t>83</w:t>
      </w:r>
      <w:r w:rsidRPr="00D8642B">
        <w:t>/D/</w:t>
      </w:r>
      <w:r w:rsidRPr="002978F5">
        <w:t>1128</w:t>
      </w:r>
      <w:r w:rsidRPr="00D8642B">
        <w:t>/</w:t>
      </w:r>
      <w:r w:rsidRPr="002978F5">
        <w:t>2002</w:t>
      </w:r>
      <w:r w:rsidRPr="00D8642B">
        <w:rPr>
          <w:rtl/>
        </w:rPr>
        <w:t xml:space="preserve">)، الفقرة </w:t>
      </w:r>
      <w:r w:rsidRPr="002978F5">
        <w:rPr>
          <w:rtl/>
        </w:rPr>
        <w:t>6</w:t>
      </w:r>
      <w:r w:rsidRPr="00D8642B">
        <w:rPr>
          <w:rtl/>
        </w:rPr>
        <w:t>-</w:t>
      </w:r>
      <w:r w:rsidRPr="002978F5">
        <w:rPr>
          <w:rtl/>
        </w:rPr>
        <w:t>8</w:t>
      </w:r>
      <w:r w:rsidRPr="00D8642B">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C73C" w14:textId="6C7D0DF2" w:rsidR="0095634A" w:rsidRPr="0095634A" w:rsidRDefault="0095634A" w:rsidP="0095634A">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CCPR/C/131/D/2679/2015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A893E" w14:textId="3618A99B" w:rsidR="0095634A" w:rsidRPr="0095634A" w:rsidRDefault="0095634A" w:rsidP="0095634A">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CCPR/C/131/D/2679/2015</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BA"/>
    <w:rsid w:val="000076D5"/>
    <w:rsid w:val="00043663"/>
    <w:rsid w:val="000437B8"/>
    <w:rsid w:val="000505CF"/>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2978F5"/>
    <w:rsid w:val="002A42B0"/>
    <w:rsid w:val="002F31B9"/>
    <w:rsid w:val="003068BC"/>
    <w:rsid w:val="003260FF"/>
    <w:rsid w:val="00343D95"/>
    <w:rsid w:val="00363A18"/>
    <w:rsid w:val="00374341"/>
    <w:rsid w:val="003D1062"/>
    <w:rsid w:val="00402051"/>
    <w:rsid w:val="00415CB1"/>
    <w:rsid w:val="00420D7B"/>
    <w:rsid w:val="00450B21"/>
    <w:rsid w:val="00453B63"/>
    <w:rsid w:val="00455780"/>
    <w:rsid w:val="00470F19"/>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81D"/>
    <w:rsid w:val="006959B0"/>
    <w:rsid w:val="006A4EBA"/>
    <w:rsid w:val="006B3E27"/>
    <w:rsid w:val="006B6507"/>
    <w:rsid w:val="006C104C"/>
    <w:rsid w:val="006C632E"/>
    <w:rsid w:val="00717FB3"/>
    <w:rsid w:val="00730446"/>
    <w:rsid w:val="00733704"/>
    <w:rsid w:val="0078071A"/>
    <w:rsid w:val="00787022"/>
    <w:rsid w:val="00787E1E"/>
    <w:rsid w:val="00852A9A"/>
    <w:rsid w:val="008F49E1"/>
    <w:rsid w:val="0090370F"/>
    <w:rsid w:val="009269D2"/>
    <w:rsid w:val="00942135"/>
    <w:rsid w:val="009521B0"/>
    <w:rsid w:val="0095634A"/>
    <w:rsid w:val="00957437"/>
    <w:rsid w:val="00982139"/>
    <w:rsid w:val="009867A8"/>
    <w:rsid w:val="00991F44"/>
    <w:rsid w:val="009A0CFB"/>
    <w:rsid w:val="009A7E9F"/>
    <w:rsid w:val="009C17EC"/>
    <w:rsid w:val="009E5018"/>
    <w:rsid w:val="00A03700"/>
    <w:rsid w:val="00A053F2"/>
    <w:rsid w:val="00A12B37"/>
    <w:rsid w:val="00A54828"/>
    <w:rsid w:val="00A97E1F"/>
    <w:rsid w:val="00AB512E"/>
    <w:rsid w:val="00AB6758"/>
    <w:rsid w:val="00AB727F"/>
    <w:rsid w:val="00B13763"/>
    <w:rsid w:val="00B477A4"/>
    <w:rsid w:val="00B54045"/>
    <w:rsid w:val="00B63ADD"/>
    <w:rsid w:val="00BB09A0"/>
    <w:rsid w:val="00C175A6"/>
    <w:rsid w:val="00C41DCF"/>
    <w:rsid w:val="00C42AF7"/>
    <w:rsid w:val="00C438D7"/>
    <w:rsid w:val="00C62C20"/>
    <w:rsid w:val="00C81B50"/>
    <w:rsid w:val="00C83796"/>
    <w:rsid w:val="00C902EF"/>
    <w:rsid w:val="00CB0011"/>
    <w:rsid w:val="00CB6622"/>
    <w:rsid w:val="00CD1801"/>
    <w:rsid w:val="00CF56F9"/>
    <w:rsid w:val="00CF65C6"/>
    <w:rsid w:val="00D00A89"/>
    <w:rsid w:val="00D10EF1"/>
    <w:rsid w:val="00D42810"/>
    <w:rsid w:val="00D60DD5"/>
    <w:rsid w:val="00D74A44"/>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4D5481"/>
  <w15:docId w15:val="{F3924F78-7126-48D9-98E5-25032C65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1514</Words>
  <Characters>11983</Characters>
  <Application>Microsoft Office Word</Application>
  <DocSecurity>0</DocSecurity>
  <Lines>1331</Lines>
  <Paragraphs>843</Paragraphs>
  <ScaleCrop>false</ScaleCrop>
  <HeadingPairs>
    <vt:vector size="2" baseType="variant">
      <vt:variant>
        <vt:lpstr>Title</vt:lpstr>
      </vt:variant>
      <vt:variant>
        <vt:i4>1</vt:i4>
      </vt:variant>
    </vt:vector>
  </HeadingPairs>
  <TitlesOfParts>
    <vt:vector size="1" baseType="lpstr">
      <vt:lpstr>CCPR/C/131/D/2679/2015</vt:lpstr>
    </vt:vector>
  </TitlesOfParts>
  <Company>DCM</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CCPR/C/131/D/2679/2015</dc:title>
  <dc:subject>GE.2106031(A)</dc:subject>
  <dc:creator>Gamal MAHMOUD - A. Belfallah</dc:creator>
  <cp:keywords>GE.2110320(A)</cp:keywords>
  <dc:description>Distr.: General_x000d_
6 May 2021_x000d_
Original: English</dc:description>
  <cp:lastModifiedBy>Gamal MAHMOUD</cp:lastModifiedBy>
  <cp:revision>2</cp:revision>
  <dcterms:created xsi:type="dcterms:W3CDTF">2021-05-31T07:57:00Z</dcterms:created>
  <dcterms:modified xsi:type="dcterms:W3CDTF">2021-05-31T07:57:00Z</dcterms:modified>
  <cp:category>Finale</cp:category>
</cp:coreProperties>
</file>