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E975E50" w14:textId="77777777" w:rsidTr="005B51C4">
        <w:trPr>
          <w:trHeight w:hRule="exact" w:val="851"/>
        </w:trPr>
        <w:tc>
          <w:tcPr>
            <w:tcW w:w="1274" w:type="dxa"/>
            <w:tcBorders>
              <w:bottom w:val="single" w:sz="4" w:space="0" w:color="auto"/>
            </w:tcBorders>
            <w:shd w:val="clear" w:color="auto" w:fill="auto"/>
          </w:tcPr>
          <w:p w14:paraId="383D91F2" w14:textId="77777777" w:rsidR="006B3E27" w:rsidRPr="00C175A6" w:rsidRDefault="006B3E27" w:rsidP="00C85DB0">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2D14CB81"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1CFDE7F" w14:textId="52872FCA" w:rsidR="006B3E27" w:rsidRPr="0060333C" w:rsidRDefault="0060333C" w:rsidP="0060333C">
            <w:pPr>
              <w:bidi w:val="0"/>
              <w:rPr>
                <w:szCs w:val="20"/>
              </w:rPr>
            </w:pPr>
            <w:r w:rsidRPr="001B19A1">
              <w:rPr>
                <w:sz w:val="40"/>
                <w:szCs w:val="20"/>
              </w:rPr>
              <w:t>CCPR</w:t>
            </w:r>
            <w:r w:rsidRPr="001B19A1">
              <w:rPr>
                <w:szCs w:val="20"/>
              </w:rPr>
              <w:t>/C/</w:t>
            </w:r>
            <w:r w:rsidRPr="00A648BD">
              <w:rPr>
                <w:szCs w:val="20"/>
              </w:rPr>
              <w:t>135</w:t>
            </w:r>
            <w:r w:rsidRPr="001B19A1">
              <w:rPr>
                <w:szCs w:val="20"/>
              </w:rPr>
              <w:t>/D/</w:t>
            </w:r>
            <w:r w:rsidRPr="00A648BD">
              <w:rPr>
                <w:szCs w:val="20"/>
              </w:rPr>
              <w:t>2616</w:t>
            </w:r>
            <w:r w:rsidRPr="001B19A1">
              <w:rPr>
                <w:szCs w:val="20"/>
              </w:rPr>
              <w:t>/</w:t>
            </w:r>
            <w:r w:rsidRPr="00A648BD">
              <w:rPr>
                <w:szCs w:val="20"/>
              </w:rPr>
              <w:t>2015</w:t>
            </w:r>
          </w:p>
        </w:tc>
      </w:tr>
      <w:tr w:rsidR="006B3E27" w:rsidRPr="00C175A6" w14:paraId="4538FA6B" w14:textId="77777777" w:rsidTr="005B51C4">
        <w:trPr>
          <w:trHeight w:hRule="exact" w:val="2835"/>
        </w:trPr>
        <w:tc>
          <w:tcPr>
            <w:tcW w:w="1274" w:type="dxa"/>
            <w:tcBorders>
              <w:top w:val="single" w:sz="4" w:space="0" w:color="auto"/>
              <w:bottom w:val="single" w:sz="12" w:space="0" w:color="auto"/>
            </w:tcBorders>
            <w:shd w:val="clear" w:color="auto" w:fill="auto"/>
          </w:tcPr>
          <w:p w14:paraId="400A1B66"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02CDF86" wp14:editId="4487E7C7">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EC9E71A" w14:textId="77777777" w:rsidR="006B3E27" w:rsidRPr="00A648BD" w:rsidRDefault="00ED7442" w:rsidP="00730446">
            <w:pPr>
              <w:spacing w:before="120" w:after="40" w:line="640" w:lineRule="exact"/>
              <w:ind w:left="57"/>
              <w:rPr>
                <w:b/>
                <w:bCs/>
                <w:sz w:val="46"/>
                <w:szCs w:val="46"/>
              </w:rPr>
            </w:pPr>
            <w:r w:rsidRPr="00A648BD">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71E45FB" w14:textId="013CD6AF" w:rsidR="006B3E27" w:rsidRDefault="0060333C" w:rsidP="004B27E0">
            <w:pPr>
              <w:bidi w:val="0"/>
              <w:spacing w:before="240"/>
              <w:rPr>
                <w:szCs w:val="20"/>
              </w:rPr>
            </w:pPr>
            <w:r>
              <w:rPr>
                <w:szCs w:val="20"/>
              </w:rPr>
              <w:t>Dist</w:t>
            </w:r>
            <w:r w:rsidR="001B19A1" w:rsidRPr="001B19A1">
              <w:rPr>
                <w:szCs w:val="20"/>
              </w:rPr>
              <w:t>r.:</w:t>
            </w:r>
            <w:r>
              <w:rPr>
                <w:szCs w:val="20"/>
              </w:rPr>
              <w:t xml:space="preserve"> General</w:t>
            </w:r>
          </w:p>
          <w:p w14:paraId="0ED90E77" w14:textId="02193DC0" w:rsidR="0060333C" w:rsidRDefault="001B19A1" w:rsidP="0060333C">
            <w:pPr>
              <w:bidi w:val="0"/>
              <w:spacing w:line="240" w:lineRule="exact"/>
              <w:jc w:val="left"/>
              <w:rPr>
                <w:szCs w:val="20"/>
              </w:rPr>
            </w:pPr>
            <w:r w:rsidRPr="00A648BD">
              <w:rPr>
                <w:szCs w:val="20"/>
              </w:rPr>
              <w:t>18</w:t>
            </w:r>
            <w:r w:rsidRPr="00A610A9">
              <w:rPr>
                <w:szCs w:val="20"/>
              </w:rPr>
              <w:t xml:space="preserve"> November </w:t>
            </w:r>
            <w:r w:rsidR="0060333C" w:rsidRPr="00A648BD">
              <w:rPr>
                <w:szCs w:val="20"/>
              </w:rPr>
              <w:t>2022</w:t>
            </w:r>
          </w:p>
          <w:p w14:paraId="6DBFEF3C" w14:textId="77777777" w:rsidR="0060333C" w:rsidRDefault="0060333C" w:rsidP="0060333C">
            <w:pPr>
              <w:bidi w:val="0"/>
              <w:spacing w:line="240" w:lineRule="exact"/>
              <w:jc w:val="left"/>
              <w:rPr>
                <w:szCs w:val="20"/>
              </w:rPr>
            </w:pPr>
            <w:r>
              <w:rPr>
                <w:szCs w:val="20"/>
              </w:rPr>
              <w:t>Arabic</w:t>
            </w:r>
          </w:p>
          <w:p w14:paraId="02B3C27E" w14:textId="74E54669" w:rsidR="0060333C" w:rsidRPr="0060333C" w:rsidRDefault="0060333C" w:rsidP="0060333C">
            <w:pPr>
              <w:bidi w:val="0"/>
              <w:spacing w:line="240" w:lineRule="exact"/>
              <w:jc w:val="left"/>
              <w:rPr>
                <w:szCs w:val="20"/>
              </w:rPr>
            </w:pPr>
            <w:r>
              <w:rPr>
                <w:szCs w:val="20"/>
              </w:rPr>
              <w:t>Origina</w:t>
            </w:r>
            <w:r w:rsidR="001B19A1" w:rsidRPr="001B19A1">
              <w:rPr>
                <w:szCs w:val="20"/>
              </w:rPr>
              <w:t xml:space="preserve">l: </w:t>
            </w:r>
            <w:r>
              <w:rPr>
                <w:szCs w:val="20"/>
              </w:rPr>
              <w:t>English</w:t>
            </w:r>
          </w:p>
        </w:tc>
      </w:tr>
    </w:tbl>
    <w:p w14:paraId="58079AD4" w14:textId="77777777" w:rsidR="001036B6" w:rsidRPr="00A648BD" w:rsidRDefault="001036B6" w:rsidP="001036B6">
      <w:pPr>
        <w:pStyle w:val="SingleTxtGA"/>
        <w:spacing w:before="120" w:after="0"/>
        <w:ind w:left="0" w:right="284"/>
        <w:jc w:val="left"/>
        <w:rPr>
          <w:b/>
          <w:bCs/>
          <w:sz w:val="26"/>
          <w:szCs w:val="26"/>
          <w:lang w:val="ar-SA" w:eastAsia="zh-TW" w:bidi="en-GB"/>
        </w:rPr>
      </w:pPr>
      <w:r w:rsidRPr="00A648BD">
        <w:rPr>
          <w:b/>
          <w:bCs/>
          <w:sz w:val="26"/>
          <w:szCs w:val="26"/>
          <w:rtl/>
        </w:rPr>
        <w:t>اللجنة المعنية بحقوق الإنسان</w:t>
      </w:r>
    </w:p>
    <w:p w14:paraId="36CB9EB8" w14:textId="047DC87F" w:rsidR="001036B6" w:rsidRPr="00A648BD" w:rsidRDefault="001036B6" w:rsidP="001036B6">
      <w:pPr>
        <w:pStyle w:val="HChGA"/>
        <w:rPr>
          <w:lang w:val="en-US" w:eastAsia="zh-TW" w:bidi="en-GB"/>
        </w:rPr>
      </w:pPr>
      <w:r w:rsidRPr="00A648BD">
        <w:rPr>
          <w:rtl/>
        </w:rPr>
        <w:tab/>
      </w:r>
      <w:r w:rsidRPr="00A648BD">
        <w:rPr>
          <w:rtl/>
        </w:rPr>
        <w:tab/>
        <w:t xml:space="preserve">آراء اعتمدتها اللجنة بموجب المادة </w:t>
      </w:r>
      <w:r w:rsidRPr="00A648BD">
        <w:rPr>
          <w:rFonts w:ascii="Traditional Arabic"/>
          <w:rtl/>
        </w:rPr>
        <w:t>5(</w:t>
      </w:r>
      <w:r w:rsidR="001B19A1" w:rsidRPr="00A648BD">
        <w:rPr>
          <w:rFonts w:ascii="Traditional Arabic"/>
          <w:rtl/>
        </w:rPr>
        <w:t>4)</w:t>
      </w:r>
      <w:r w:rsidR="001B19A1" w:rsidRPr="00A648BD">
        <w:rPr>
          <w:rtl/>
        </w:rPr>
        <w:t xml:space="preserve"> </w:t>
      </w:r>
      <w:r w:rsidRPr="00A648BD">
        <w:rPr>
          <w:rtl/>
        </w:rPr>
        <w:t xml:space="preserve">من البروتوكول الاختياري، بشأن البلاغ رقم </w:t>
      </w:r>
      <w:r w:rsidRPr="00A648BD">
        <w:rPr>
          <w:rFonts w:ascii="Traditional Arabic"/>
          <w:rtl/>
        </w:rPr>
        <w:t>2616/2015</w:t>
      </w:r>
      <w:r w:rsidRPr="00A648BD">
        <w:rPr>
          <w:rStyle w:val="FootnoteReference"/>
          <w:sz w:val="26"/>
          <w:szCs w:val="26"/>
          <w:vertAlign w:val="baseline"/>
          <w:rtl/>
          <w:lang w:val="en-US" w:eastAsia="zh-TW"/>
        </w:rPr>
        <w:footnoteReference w:customMarkFollows="1" w:id="1"/>
        <w:t>*</w:t>
      </w:r>
      <w:r w:rsidRPr="00A648BD">
        <w:rPr>
          <w:sz w:val="34"/>
          <w:szCs w:val="34"/>
          <w:rtl/>
          <w:lang w:val="en-US" w:eastAsia="zh-TW"/>
        </w:rPr>
        <w:t xml:space="preserve"> </w:t>
      </w:r>
      <w:r w:rsidRPr="00A648BD">
        <w:rPr>
          <w:rStyle w:val="FootnoteReference"/>
          <w:sz w:val="26"/>
          <w:szCs w:val="26"/>
          <w:vertAlign w:val="baseline"/>
          <w:rtl/>
          <w:lang w:val="en-US" w:eastAsia="zh-TW"/>
        </w:rPr>
        <w:footnoteReference w:customMarkFollows="1" w:id="2"/>
        <w:t>**</w:t>
      </w:r>
    </w:p>
    <w:p w14:paraId="3C94BB4E" w14:textId="24ED88A0" w:rsidR="001036B6" w:rsidRPr="008439DC" w:rsidRDefault="001036B6" w:rsidP="008439DC">
      <w:pPr>
        <w:pStyle w:val="SingleTxtGA"/>
        <w:tabs>
          <w:tab w:val="clear" w:pos="1928"/>
          <w:tab w:val="clear" w:pos="2608"/>
          <w:tab w:val="clear" w:pos="3289"/>
          <w:tab w:val="clear" w:pos="3969"/>
          <w:tab w:val="clear" w:pos="4649"/>
          <w:tab w:val="clear" w:pos="5330"/>
        </w:tabs>
        <w:spacing w:after="100" w:line="350" w:lineRule="exact"/>
        <w:ind w:left="4474" w:hanging="2546"/>
      </w:pPr>
      <w:r w:rsidRPr="00A648BD">
        <w:rPr>
          <w:i/>
          <w:iCs/>
          <w:rtl/>
        </w:rPr>
        <w:t>بلاغ مقدم من:</w:t>
      </w:r>
      <w:r w:rsidRPr="008439DC">
        <w:rPr>
          <w:rtl/>
        </w:rPr>
        <w:tab/>
        <w:t>كيريل داشكوسكي (يمثله المحامي أندريه كاربونو)</w:t>
      </w:r>
    </w:p>
    <w:p w14:paraId="30E27D99" w14:textId="33F07F76" w:rsidR="001036B6" w:rsidRPr="008439DC" w:rsidRDefault="001036B6" w:rsidP="008439DC">
      <w:pPr>
        <w:pStyle w:val="SingleTxtGA"/>
        <w:tabs>
          <w:tab w:val="clear" w:pos="1928"/>
          <w:tab w:val="clear" w:pos="2608"/>
          <w:tab w:val="clear" w:pos="3289"/>
          <w:tab w:val="clear" w:pos="3969"/>
          <w:tab w:val="clear" w:pos="4649"/>
          <w:tab w:val="clear" w:pos="5330"/>
        </w:tabs>
        <w:spacing w:after="100" w:line="350" w:lineRule="exact"/>
        <w:ind w:left="4474" w:hanging="2546"/>
      </w:pPr>
      <w:r w:rsidRPr="00A648BD">
        <w:rPr>
          <w:i/>
          <w:iCs/>
          <w:rtl/>
        </w:rPr>
        <w:t>الشخص المدعى أنه ضحية:</w:t>
      </w:r>
      <w:r w:rsidRPr="008439DC">
        <w:rPr>
          <w:rtl/>
        </w:rPr>
        <w:tab/>
        <w:t>صاحب البلاغ</w:t>
      </w:r>
    </w:p>
    <w:p w14:paraId="7BF91D63" w14:textId="65CA91C5" w:rsidR="001036B6" w:rsidRPr="008439DC" w:rsidRDefault="001036B6" w:rsidP="008439DC">
      <w:pPr>
        <w:pStyle w:val="SingleTxtGA"/>
        <w:tabs>
          <w:tab w:val="clear" w:pos="1928"/>
          <w:tab w:val="clear" w:pos="2608"/>
          <w:tab w:val="clear" w:pos="3289"/>
          <w:tab w:val="clear" w:pos="3969"/>
          <w:tab w:val="clear" w:pos="4649"/>
          <w:tab w:val="clear" w:pos="5330"/>
        </w:tabs>
        <w:spacing w:after="100" w:line="350" w:lineRule="exact"/>
        <w:ind w:left="4474" w:hanging="2546"/>
      </w:pPr>
      <w:r w:rsidRPr="00A648BD">
        <w:rPr>
          <w:i/>
          <w:iCs/>
          <w:rtl/>
        </w:rPr>
        <w:t>الدولة الطرف:</w:t>
      </w:r>
      <w:r w:rsidRPr="008439DC">
        <w:rPr>
          <w:rtl/>
        </w:rPr>
        <w:tab/>
        <w:t>بيلاروس</w:t>
      </w:r>
    </w:p>
    <w:p w14:paraId="1EE951C2" w14:textId="14E73411" w:rsidR="001036B6" w:rsidRPr="008439DC" w:rsidRDefault="001036B6" w:rsidP="008439DC">
      <w:pPr>
        <w:pStyle w:val="SingleTxtGA"/>
        <w:tabs>
          <w:tab w:val="clear" w:pos="1928"/>
          <w:tab w:val="clear" w:pos="2608"/>
          <w:tab w:val="clear" w:pos="3289"/>
          <w:tab w:val="clear" w:pos="3969"/>
          <w:tab w:val="clear" w:pos="4649"/>
          <w:tab w:val="clear" w:pos="5330"/>
        </w:tabs>
        <w:spacing w:after="100" w:line="350" w:lineRule="exact"/>
        <w:ind w:left="4474" w:hanging="2546"/>
        <w:rPr>
          <w:spacing w:val="-4"/>
        </w:rPr>
      </w:pPr>
      <w:r w:rsidRPr="00A648BD">
        <w:rPr>
          <w:i/>
          <w:iCs/>
          <w:rtl/>
        </w:rPr>
        <w:t>تاريخ تقديم البلاغ:</w:t>
      </w:r>
      <w:r w:rsidRPr="008439DC">
        <w:rPr>
          <w:rtl/>
        </w:rPr>
        <w:tab/>
      </w:r>
      <w:r w:rsidRPr="00A648BD">
        <w:rPr>
          <w:spacing w:val="-4"/>
          <w:rtl/>
        </w:rPr>
        <w:t>10</w:t>
      </w:r>
      <w:r w:rsidRPr="008439DC">
        <w:rPr>
          <w:spacing w:val="-4"/>
          <w:rtl/>
        </w:rPr>
        <w:t xml:space="preserve"> تشرين الثاني/نوفمبر </w:t>
      </w:r>
      <w:r w:rsidRPr="00A648BD">
        <w:rPr>
          <w:spacing w:val="-4"/>
          <w:rtl/>
        </w:rPr>
        <w:t>2014</w:t>
      </w:r>
      <w:r w:rsidRPr="008439DC">
        <w:rPr>
          <w:spacing w:val="-4"/>
          <w:rtl/>
        </w:rPr>
        <w:t xml:space="preserve"> (تاريخ تقديم الرسالة</w:t>
      </w:r>
      <w:r w:rsidR="008439DC" w:rsidRPr="008439DC">
        <w:rPr>
          <w:rFonts w:hint="cs"/>
          <w:spacing w:val="-4"/>
          <w:rtl/>
        </w:rPr>
        <w:t xml:space="preserve"> </w:t>
      </w:r>
      <w:r w:rsidRPr="008439DC">
        <w:rPr>
          <w:spacing w:val="-4"/>
          <w:rtl/>
        </w:rPr>
        <w:t>الأولى)</w:t>
      </w:r>
    </w:p>
    <w:p w14:paraId="77F23D70" w14:textId="1A09AE70" w:rsidR="001036B6" w:rsidRPr="008439DC" w:rsidRDefault="001036B6" w:rsidP="008439DC">
      <w:pPr>
        <w:pStyle w:val="SingleTxtGA"/>
        <w:tabs>
          <w:tab w:val="clear" w:pos="1928"/>
          <w:tab w:val="clear" w:pos="2608"/>
          <w:tab w:val="clear" w:pos="3289"/>
          <w:tab w:val="clear" w:pos="3969"/>
          <w:tab w:val="clear" w:pos="4649"/>
          <w:tab w:val="clear" w:pos="5330"/>
        </w:tabs>
        <w:spacing w:after="100" w:line="350" w:lineRule="exact"/>
        <w:ind w:left="4474" w:hanging="2546"/>
      </w:pPr>
      <w:r w:rsidRPr="00A648BD">
        <w:rPr>
          <w:i/>
          <w:iCs/>
          <w:rtl/>
        </w:rPr>
        <w:t>الوثائق المرجعية:</w:t>
      </w:r>
      <w:r w:rsidRPr="008439DC">
        <w:rPr>
          <w:rtl/>
        </w:rPr>
        <w:tab/>
        <w:t xml:space="preserve">القرار المتخذ بموجب المادة </w:t>
      </w:r>
      <w:r w:rsidRPr="00A648BD">
        <w:rPr>
          <w:rtl/>
        </w:rPr>
        <w:t>92</w:t>
      </w:r>
      <w:r w:rsidRPr="008439DC">
        <w:rPr>
          <w:rtl/>
        </w:rPr>
        <w:t xml:space="preserve"> من النظام الداخلي للجنة، والمحال إلى الدولة الطرف في </w:t>
      </w:r>
      <w:r w:rsidRPr="00A648BD">
        <w:rPr>
          <w:rtl/>
        </w:rPr>
        <w:t>3</w:t>
      </w:r>
      <w:r w:rsidRPr="008439DC">
        <w:rPr>
          <w:rtl/>
        </w:rPr>
        <w:t xml:space="preserve"> حزيران/يونيه </w:t>
      </w:r>
      <w:r w:rsidRPr="00A648BD">
        <w:rPr>
          <w:rtl/>
        </w:rPr>
        <w:t>2015</w:t>
      </w:r>
      <w:r w:rsidRPr="008439DC">
        <w:rPr>
          <w:rtl/>
        </w:rPr>
        <w:t xml:space="preserve"> (لم</w:t>
      </w:r>
      <w:r w:rsidR="008439DC">
        <w:rPr>
          <w:rFonts w:hint="cs"/>
          <w:rtl/>
        </w:rPr>
        <w:t> </w:t>
      </w:r>
      <w:r w:rsidRPr="008439DC">
        <w:rPr>
          <w:rtl/>
        </w:rPr>
        <w:t>يصدر في شكل وثيقة)</w:t>
      </w:r>
    </w:p>
    <w:p w14:paraId="232BFA35" w14:textId="5F025912" w:rsidR="001036B6" w:rsidRPr="008439DC" w:rsidRDefault="001036B6" w:rsidP="008439DC">
      <w:pPr>
        <w:pStyle w:val="SingleTxtGA"/>
        <w:tabs>
          <w:tab w:val="clear" w:pos="1928"/>
          <w:tab w:val="clear" w:pos="2608"/>
          <w:tab w:val="clear" w:pos="3289"/>
          <w:tab w:val="clear" w:pos="3969"/>
          <w:tab w:val="clear" w:pos="4649"/>
          <w:tab w:val="clear" w:pos="5330"/>
        </w:tabs>
        <w:spacing w:after="100" w:line="350" w:lineRule="exact"/>
        <w:ind w:left="4474" w:hanging="2546"/>
      </w:pPr>
      <w:r w:rsidRPr="00A648BD">
        <w:rPr>
          <w:i/>
          <w:iCs/>
          <w:rtl/>
        </w:rPr>
        <w:t>تاريخ اعتماد الآراء:</w:t>
      </w:r>
      <w:r w:rsidRPr="008439DC">
        <w:rPr>
          <w:rtl/>
        </w:rPr>
        <w:tab/>
      </w:r>
      <w:r w:rsidRPr="00A648BD">
        <w:rPr>
          <w:rtl/>
        </w:rPr>
        <w:t>1</w:t>
      </w:r>
      <w:r w:rsidRPr="008439DC">
        <w:rPr>
          <w:rtl/>
        </w:rPr>
        <w:t xml:space="preserve"> تموز/يوليه </w:t>
      </w:r>
      <w:r w:rsidRPr="00A648BD">
        <w:rPr>
          <w:rtl/>
        </w:rPr>
        <w:t>2022</w:t>
      </w:r>
    </w:p>
    <w:p w14:paraId="692A9B4B" w14:textId="06D86353" w:rsidR="001036B6" w:rsidRPr="008439DC" w:rsidRDefault="001036B6" w:rsidP="008439DC">
      <w:pPr>
        <w:pStyle w:val="SingleTxtGA"/>
        <w:tabs>
          <w:tab w:val="clear" w:pos="1928"/>
          <w:tab w:val="clear" w:pos="2608"/>
          <w:tab w:val="clear" w:pos="3289"/>
          <w:tab w:val="clear" w:pos="3969"/>
          <w:tab w:val="clear" w:pos="4649"/>
          <w:tab w:val="clear" w:pos="5330"/>
        </w:tabs>
        <w:spacing w:after="100" w:line="350" w:lineRule="exact"/>
        <w:ind w:left="4474" w:hanging="2546"/>
      </w:pPr>
      <w:r w:rsidRPr="00A648BD">
        <w:rPr>
          <w:i/>
          <w:iCs/>
          <w:rtl/>
        </w:rPr>
        <w:t>الموضوع:</w:t>
      </w:r>
      <w:r w:rsidRPr="008439DC">
        <w:rPr>
          <w:rtl/>
        </w:rPr>
        <w:tab/>
        <w:t>التدخل غير المبرر في حرية الدين والتعبير والتجمع</w:t>
      </w:r>
    </w:p>
    <w:p w14:paraId="2294767F" w14:textId="201465B6" w:rsidR="001036B6" w:rsidRPr="008439DC" w:rsidRDefault="001036B6" w:rsidP="008439DC">
      <w:pPr>
        <w:pStyle w:val="SingleTxtGA"/>
        <w:tabs>
          <w:tab w:val="clear" w:pos="1928"/>
          <w:tab w:val="clear" w:pos="2608"/>
          <w:tab w:val="clear" w:pos="3289"/>
          <w:tab w:val="clear" w:pos="3969"/>
          <w:tab w:val="clear" w:pos="4649"/>
          <w:tab w:val="clear" w:pos="5330"/>
        </w:tabs>
        <w:spacing w:after="100" w:line="350" w:lineRule="exact"/>
        <w:ind w:left="4474" w:hanging="2546"/>
      </w:pPr>
      <w:r w:rsidRPr="00A648BD">
        <w:rPr>
          <w:i/>
          <w:iCs/>
          <w:rtl/>
        </w:rPr>
        <w:t>المسائل الإجرائية:</w:t>
      </w:r>
      <w:r w:rsidRPr="008439DC">
        <w:rPr>
          <w:rtl/>
        </w:rPr>
        <w:tab/>
        <w:t>لا يوجد</w:t>
      </w:r>
    </w:p>
    <w:p w14:paraId="3492AF58" w14:textId="02C27AFD" w:rsidR="001036B6" w:rsidRPr="008439DC" w:rsidRDefault="001036B6" w:rsidP="008439DC">
      <w:pPr>
        <w:pStyle w:val="SingleTxtGA"/>
        <w:tabs>
          <w:tab w:val="clear" w:pos="1928"/>
          <w:tab w:val="clear" w:pos="2608"/>
          <w:tab w:val="clear" w:pos="3289"/>
          <w:tab w:val="clear" w:pos="3969"/>
          <w:tab w:val="clear" w:pos="4649"/>
          <w:tab w:val="clear" w:pos="5330"/>
        </w:tabs>
        <w:spacing w:after="100" w:line="350" w:lineRule="exact"/>
        <w:ind w:left="4474" w:hanging="2546"/>
      </w:pPr>
      <w:r w:rsidRPr="00A648BD">
        <w:rPr>
          <w:i/>
          <w:iCs/>
          <w:rtl/>
        </w:rPr>
        <w:t>المسائل الموضوعية:</w:t>
      </w:r>
      <w:r w:rsidRPr="008439DC">
        <w:rPr>
          <w:rtl/>
        </w:rPr>
        <w:tab/>
        <w:t>حرية الفكر أو الوجدان أو الدين؛ حرية الرأي والتعبير؛ حرية التجمع؛ حرية تكوين الجمعيات</w:t>
      </w:r>
    </w:p>
    <w:p w14:paraId="5CD15D5F" w14:textId="20D66101" w:rsidR="001B19A1" w:rsidRPr="008439DC" w:rsidRDefault="001036B6" w:rsidP="008439DC">
      <w:pPr>
        <w:pStyle w:val="SingleTxtGA"/>
        <w:tabs>
          <w:tab w:val="clear" w:pos="1928"/>
          <w:tab w:val="clear" w:pos="2608"/>
          <w:tab w:val="clear" w:pos="3289"/>
          <w:tab w:val="clear" w:pos="3969"/>
          <w:tab w:val="clear" w:pos="4649"/>
          <w:tab w:val="clear" w:pos="5330"/>
        </w:tabs>
        <w:spacing w:after="100" w:line="350" w:lineRule="exact"/>
        <w:ind w:left="4474" w:hanging="2546"/>
      </w:pPr>
      <w:r w:rsidRPr="00A648BD">
        <w:rPr>
          <w:i/>
          <w:iCs/>
          <w:rtl/>
        </w:rPr>
        <w:t>مواد العهد:</w:t>
      </w:r>
      <w:r w:rsidRPr="008439DC">
        <w:rPr>
          <w:rtl/>
        </w:rPr>
        <w:tab/>
      </w:r>
      <w:r w:rsidRPr="00A648BD">
        <w:rPr>
          <w:rtl/>
        </w:rPr>
        <w:t>18</w:t>
      </w:r>
      <w:r w:rsidRPr="008439DC">
        <w:rPr>
          <w:rtl/>
        </w:rPr>
        <w:t>(</w:t>
      </w:r>
      <w:r w:rsidRPr="00A648BD">
        <w:rPr>
          <w:rtl/>
        </w:rPr>
        <w:t>1</w:t>
      </w:r>
      <w:r w:rsidR="001B19A1" w:rsidRPr="008439DC">
        <w:rPr>
          <w:rtl/>
        </w:rPr>
        <w:t xml:space="preserve">)؛ </w:t>
      </w:r>
      <w:r w:rsidRPr="008439DC">
        <w:rPr>
          <w:rtl/>
        </w:rPr>
        <w:t>و</w:t>
      </w:r>
      <w:r w:rsidRPr="00A648BD">
        <w:rPr>
          <w:rtl/>
        </w:rPr>
        <w:t>19</w:t>
      </w:r>
      <w:r w:rsidRPr="008439DC">
        <w:rPr>
          <w:rtl/>
        </w:rPr>
        <w:t>(</w:t>
      </w:r>
      <w:r w:rsidRPr="00A648BD">
        <w:rPr>
          <w:rtl/>
        </w:rPr>
        <w:t>2</w:t>
      </w:r>
      <w:r w:rsidR="001B19A1" w:rsidRPr="008439DC">
        <w:rPr>
          <w:rtl/>
        </w:rPr>
        <w:t xml:space="preserve">)؛ </w:t>
      </w:r>
      <w:r w:rsidRPr="008439DC">
        <w:rPr>
          <w:rtl/>
        </w:rPr>
        <w:t>و</w:t>
      </w:r>
      <w:r w:rsidRPr="00A648BD">
        <w:rPr>
          <w:rtl/>
        </w:rPr>
        <w:t>21</w:t>
      </w:r>
      <w:r w:rsidRPr="008439DC">
        <w:rPr>
          <w:rtl/>
        </w:rPr>
        <w:t>؛ و</w:t>
      </w:r>
      <w:r w:rsidRPr="00A648BD">
        <w:rPr>
          <w:rtl/>
        </w:rPr>
        <w:t>22</w:t>
      </w:r>
      <w:r w:rsidRPr="008439DC">
        <w:rPr>
          <w:rtl/>
        </w:rPr>
        <w:t>(</w:t>
      </w:r>
      <w:r w:rsidR="001B19A1" w:rsidRPr="00A648BD">
        <w:rPr>
          <w:rtl/>
        </w:rPr>
        <w:t>1</w:t>
      </w:r>
      <w:r w:rsidR="001B19A1" w:rsidRPr="008439DC">
        <w:rPr>
          <w:rtl/>
        </w:rPr>
        <w:t>)</w:t>
      </w:r>
    </w:p>
    <w:p w14:paraId="713F066F" w14:textId="66F7F3CE" w:rsidR="001036B6" w:rsidRPr="008439DC" w:rsidRDefault="001036B6" w:rsidP="008439DC">
      <w:pPr>
        <w:pStyle w:val="SingleTxtGA"/>
        <w:tabs>
          <w:tab w:val="clear" w:pos="1928"/>
          <w:tab w:val="clear" w:pos="2608"/>
          <w:tab w:val="clear" w:pos="3289"/>
          <w:tab w:val="clear" w:pos="3969"/>
          <w:tab w:val="clear" w:pos="4649"/>
          <w:tab w:val="clear" w:pos="5330"/>
        </w:tabs>
        <w:spacing w:after="100" w:line="350" w:lineRule="exact"/>
        <w:ind w:left="4474" w:hanging="2546"/>
      </w:pPr>
      <w:r w:rsidRPr="00A648BD">
        <w:rPr>
          <w:i/>
          <w:iCs/>
          <w:rtl/>
        </w:rPr>
        <w:t>مواد البروتوكول الاختياري:</w:t>
      </w:r>
      <w:r w:rsidRPr="008439DC">
        <w:rPr>
          <w:rtl/>
        </w:rPr>
        <w:tab/>
      </w:r>
      <w:r w:rsidRPr="00A648BD">
        <w:rPr>
          <w:rtl/>
        </w:rPr>
        <w:t>2</w:t>
      </w:r>
    </w:p>
    <w:p w14:paraId="19E6BE8C" w14:textId="0122AD07" w:rsidR="001036B6" w:rsidRPr="008439DC" w:rsidRDefault="001036B6" w:rsidP="008439DC">
      <w:pPr>
        <w:pStyle w:val="SingleTxtGA"/>
        <w:spacing w:before="240" w:after="100" w:line="350" w:lineRule="exact"/>
        <w:rPr>
          <w:rFonts w:eastAsiaTheme="minorEastAsia"/>
          <w:lang w:val="en-US" w:eastAsia="zh-TW" w:bidi="en-GB"/>
        </w:rPr>
      </w:pPr>
      <w:r w:rsidRPr="00A648BD">
        <w:rPr>
          <w:rFonts w:eastAsiaTheme="minorEastAsia"/>
          <w:rtl/>
        </w:rPr>
        <w:t>1</w:t>
      </w:r>
      <w:r w:rsidRPr="008439DC">
        <w:rPr>
          <w:rFonts w:eastAsiaTheme="minorEastAsia"/>
          <w:rtl/>
        </w:rPr>
        <w:t>-</w:t>
      </w:r>
      <w:r w:rsidRPr="008439DC">
        <w:rPr>
          <w:rFonts w:eastAsiaTheme="minorEastAsia"/>
          <w:rtl/>
        </w:rPr>
        <w:tab/>
        <w:t xml:space="preserve">صاحب البلاغ هو كيريل داشكوسكي، وهو مواطن بيلاروسي ولد في عام </w:t>
      </w:r>
      <w:r w:rsidRPr="00A648BD">
        <w:rPr>
          <w:rFonts w:eastAsiaTheme="minorEastAsia"/>
          <w:rtl/>
        </w:rPr>
        <w:t>197</w:t>
      </w:r>
      <w:r w:rsidR="001B19A1" w:rsidRPr="00A648BD">
        <w:rPr>
          <w:rFonts w:eastAsiaTheme="minorEastAsia"/>
          <w:rtl/>
        </w:rPr>
        <w:t>7</w:t>
      </w:r>
      <w:r w:rsidR="001B19A1" w:rsidRPr="008439DC">
        <w:rPr>
          <w:rFonts w:eastAsiaTheme="minorEastAsia"/>
          <w:rtl/>
        </w:rPr>
        <w:t xml:space="preserve">. </w:t>
      </w:r>
      <w:r w:rsidRPr="008439DC">
        <w:rPr>
          <w:rFonts w:eastAsiaTheme="minorEastAsia"/>
          <w:rtl/>
        </w:rPr>
        <w:t xml:space="preserve">وهو يدّعي أن الدولة الطرف انتهكت حقوقه بموجب المواد </w:t>
      </w:r>
      <w:r w:rsidRPr="00A648BD">
        <w:rPr>
          <w:rFonts w:eastAsiaTheme="minorEastAsia"/>
          <w:rtl/>
        </w:rPr>
        <w:t>18</w:t>
      </w:r>
      <w:r w:rsidRPr="008439DC">
        <w:rPr>
          <w:rFonts w:eastAsiaTheme="minorEastAsia"/>
          <w:rtl/>
        </w:rPr>
        <w:t>(</w:t>
      </w:r>
      <w:r w:rsidR="001B19A1" w:rsidRPr="00A648BD">
        <w:rPr>
          <w:rFonts w:eastAsiaTheme="minorEastAsia"/>
          <w:rtl/>
        </w:rPr>
        <w:t>1</w:t>
      </w:r>
      <w:r w:rsidR="001B19A1" w:rsidRPr="008439DC">
        <w:rPr>
          <w:rFonts w:eastAsiaTheme="minorEastAsia"/>
          <w:rtl/>
        </w:rPr>
        <w:t xml:space="preserve">) </w:t>
      </w:r>
      <w:r w:rsidRPr="008439DC">
        <w:rPr>
          <w:rFonts w:eastAsiaTheme="minorEastAsia"/>
          <w:rtl/>
        </w:rPr>
        <w:t>و</w:t>
      </w:r>
      <w:r w:rsidRPr="00A648BD">
        <w:rPr>
          <w:rFonts w:eastAsiaTheme="minorEastAsia"/>
          <w:rtl/>
        </w:rPr>
        <w:t>19</w:t>
      </w:r>
      <w:r w:rsidRPr="008439DC">
        <w:rPr>
          <w:rFonts w:eastAsiaTheme="minorEastAsia"/>
          <w:rtl/>
        </w:rPr>
        <w:t>(</w:t>
      </w:r>
      <w:r w:rsidR="001B19A1" w:rsidRPr="00A648BD">
        <w:rPr>
          <w:rFonts w:eastAsiaTheme="minorEastAsia"/>
          <w:rtl/>
        </w:rPr>
        <w:t>2</w:t>
      </w:r>
      <w:r w:rsidR="001B19A1" w:rsidRPr="008439DC">
        <w:rPr>
          <w:rFonts w:eastAsiaTheme="minorEastAsia"/>
          <w:rtl/>
        </w:rPr>
        <w:t xml:space="preserve">) </w:t>
      </w:r>
      <w:r w:rsidRPr="008439DC">
        <w:rPr>
          <w:rFonts w:eastAsiaTheme="minorEastAsia"/>
          <w:rtl/>
        </w:rPr>
        <w:t>و</w:t>
      </w:r>
      <w:r w:rsidRPr="00A648BD">
        <w:rPr>
          <w:rFonts w:eastAsiaTheme="minorEastAsia"/>
          <w:rtl/>
        </w:rPr>
        <w:t>21</w:t>
      </w:r>
      <w:r w:rsidRPr="008439DC">
        <w:rPr>
          <w:rFonts w:eastAsiaTheme="minorEastAsia"/>
          <w:rtl/>
        </w:rPr>
        <w:t xml:space="preserve"> و</w:t>
      </w:r>
      <w:r w:rsidRPr="00A648BD">
        <w:rPr>
          <w:rFonts w:eastAsiaTheme="minorEastAsia"/>
          <w:rtl/>
        </w:rPr>
        <w:t>22</w:t>
      </w:r>
      <w:r w:rsidRPr="008439DC">
        <w:rPr>
          <w:rFonts w:eastAsiaTheme="minorEastAsia"/>
          <w:rtl/>
        </w:rPr>
        <w:t>(</w:t>
      </w:r>
      <w:r w:rsidR="001B19A1" w:rsidRPr="00A648BD">
        <w:rPr>
          <w:rFonts w:eastAsiaTheme="minorEastAsia"/>
          <w:rtl/>
        </w:rPr>
        <w:t>1</w:t>
      </w:r>
      <w:r w:rsidR="001B19A1" w:rsidRPr="008439DC">
        <w:rPr>
          <w:rFonts w:eastAsiaTheme="minorEastAsia"/>
          <w:rtl/>
        </w:rPr>
        <w:t xml:space="preserve">) </w:t>
      </w:r>
      <w:r w:rsidRPr="008439DC">
        <w:rPr>
          <w:rFonts w:eastAsiaTheme="minorEastAsia"/>
          <w:rtl/>
        </w:rPr>
        <w:t xml:space="preserve">من العهد. وقد دخل البروتوكول الاختياري حيز النفاذ بالنسبة إلى الدولة الطرف في </w:t>
      </w:r>
      <w:r w:rsidRPr="00A648BD">
        <w:rPr>
          <w:rFonts w:eastAsiaTheme="minorEastAsia"/>
          <w:rtl/>
        </w:rPr>
        <w:t>30</w:t>
      </w:r>
      <w:r w:rsidRPr="008439DC">
        <w:rPr>
          <w:rFonts w:eastAsiaTheme="minorEastAsia"/>
          <w:rtl/>
        </w:rPr>
        <w:t xml:space="preserve"> كانون الأول/ديسمبر </w:t>
      </w:r>
      <w:r w:rsidRPr="00A648BD">
        <w:rPr>
          <w:rFonts w:eastAsiaTheme="minorEastAsia"/>
          <w:rtl/>
        </w:rPr>
        <w:t>199</w:t>
      </w:r>
      <w:r w:rsidR="001B19A1" w:rsidRPr="00A648BD">
        <w:rPr>
          <w:rFonts w:eastAsiaTheme="minorEastAsia"/>
          <w:rtl/>
        </w:rPr>
        <w:t>2</w:t>
      </w:r>
      <w:r w:rsidR="001B19A1" w:rsidRPr="008439DC">
        <w:rPr>
          <w:rFonts w:eastAsiaTheme="minorEastAsia"/>
          <w:rtl/>
        </w:rPr>
        <w:t xml:space="preserve">. </w:t>
      </w:r>
      <w:r w:rsidRPr="008439DC">
        <w:rPr>
          <w:rFonts w:eastAsiaTheme="minorEastAsia"/>
          <w:rtl/>
        </w:rPr>
        <w:t>ويمثل صاحبَ البلاغ محام.</w:t>
      </w:r>
    </w:p>
    <w:p w14:paraId="4428BBD4" w14:textId="77777777" w:rsidR="001036B6" w:rsidRPr="00A648BD" w:rsidRDefault="001036B6" w:rsidP="001036B6">
      <w:pPr>
        <w:pStyle w:val="H23GA"/>
        <w:rPr>
          <w:lang w:val="ar-SA" w:eastAsia="zh-TW" w:bidi="en-GB"/>
        </w:rPr>
      </w:pPr>
      <w:r w:rsidRPr="00A648BD">
        <w:rPr>
          <w:rtl/>
        </w:rPr>
        <w:lastRenderedPageBreak/>
        <w:tab/>
      </w:r>
      <w:r w:rsidRPr="00A648BD">
        <w:rPr>
          <w:rtl/>
        </w:rPr>
        <w:tab/>
        <w:t>الوقائع كما عرضها صاحب البلاغ</w:t>
      </w:r>
    </w:p>
    <w:p w14:paraId="69BA8BFB" w14:textId="159953BB" w:rsidR="001036B6" w:rsidRPr="008439DC" w:rsidRDefault="001036B6" w:rsidP="001036B6">
      <w:pPr>
        <w:pStyle w:val="SingleTxtGA"/>
        <w:rPr>
          <w:rFonts w:eastAsiaTheme="minorEastAsia"/>
          <w:lang w:val="ar-SA" w:eastAsia="zh-TW" w:bidi="en-GB"/>
        </w:rPr>
      </w:pPr>
      <w:r w:rsidRPr="00A648BD">
        <w:rPr>
          <w:rFonts w:eastAsiaTheme="minorEastAsia"/>
          <w:rtl/>
        </w:rPr>
        <w:t>2</w:t>
      </w:r>
      <w:r w:rsidRPr="008439DC">
        <w:rPr>
          <w:rFonts w:eastAsiaTheme="minorEastAsia"/>
          <w:rtl/>
        </w:rPr>
        <w:t>-</w:t>
      </w:r>
      <w:r w:rsidRPr="00A648BD">
        <w:rPr>
          <w:rFonts w:eastAsiaTheme="minorEastAsia"/>
          <w:rtl/>
        </w:rPr>
        <w:t>1</w:t>
      </w:r>
      <w:r w:rsidRPr="008439DC">
        <w:rPr>
          <w:rFonts w:eastAsiaTheme="minorEastAsia"/>
          <w:rtl/>
        </w:rPr>
        <w:tab/>
        <w:t>صاحب البلاغ هو رئيس جماعة شهود يهوه (المشار إليها فيما يلي باسم "الجماعة") في مدينة راهاتشو. والجماعة مسجلة رسمي</w:t>
      </w:r>
      <w:r w:rsidR="0092683E" w:rsidRPr="008439DC">
        <w:rPr>
          <w:rFonts w:eastAsiaTheme="minorEastAsia"/>
          <w:rtl/>
        </w:rPr>
        <w:t xml:space="preserve">اً </w:t>
      </w:r>
      <w:r w:rsidRPr="008439DC">
        <w:rPr>
          <w:rFonts w:eastAsiaTheme="minorEastAsia"/>
          <w:rtl/>
        </w:rPr>
        <w:t>بوصفها كيان</w:t>
      </w:r>
      <w:r w:rsidR="0092683E" w:rsidRPr="008439DC">
        <w:rPr>
          <w:rFonts w:eastAsiaTheme="minorEastAsia"/>
          <w:rtl/>
        </w:rPr>
        <w:t xml:space="preserve">اً </w:t>
      </w:r>
      <w:r w:rsidRPr="008439DC">
        <w:rPr>
          <w:rFonts w:eastAsiaTheme="minorEastAsia"/>
          <w:rtl/>
        </w:rPr>
        <w:t>قانوني</w:t>
      </w:r>
      <w:r w:rsidR="0092683E" w:rsidRPr="008439DC">
        <w:rPr>
          <w:rFonts w:eastAsiaTheme="minorEastAsia"/>
          <w:rtl/>
        </w:rPr>
        <w:t xml:space="preserve">اً </w:t>
      </w:r>
      <w:r w:rsidRPr="008439DC">
        <w:rPr>
          <w:rFonts w:eastAsiaTheme="minorEastAsia"/>
          <w:rtl/>
        </w:rPr>
        <w:t xml:space="preserve">منذ </w:t>
      </w:r>
      <w:r w:rsidRPr="00A648BD">
        <w:rPr>
          <w:rFonts w:eastAsiaTheme="minorEastAsia"/>
          <w:rtl/>
        </w:rPr>
        <w:t>17</w:t>
      </w:r>
      <w:r w:rsidRPr="008439DC">
        <w:rPr>
          <w:rFonts w:eastAsiaTheme="minorEastAsia"/>
          <w:rtl/>
        </w:rPr>
        <w:t xml:space="preserve"> كانون الأول/ديسمبر </w:t>
      </w:r>
      <w:r w:rsidRPr="00A648BD">
        <w:rPr>
          <w:rFonts w:eastAsiaTheme="minorEastAsia"/>
          <w:rtl/>
        </w:rPr>
        <w:t>199</w:t>
      </w:r>
      <w:r w:rsidR="001B19A1" w:rsidRPr="00A648BD">
        <w:rPr>
          <w:rFonts w:eastAsiaTheme="minorEastAsia"/>
          <w:rtl/>
        </w:rPr>
        <w:t>8</w:t>
      </w:r>
      <w:r w:rsidR="001B19A1" w:rsidRPr="008439DC">
        <w:rPr>
          <w:rFonts w:eastAsiaTheme="minorEastAsia"/>
          <w:rtl/>
        </w:rPr>
        <w:t xml:space="preserve">. </w:t>
      </w:r>
      <w:r w:rsidRPr="008439DC">
        <w:rPr>
          <w:rFonts w:eastAsiaTheme="minorEastAsia"/>
          <w:rtl/>
        </w:rPr>
        <w:t>ورغم أن الجماعة لا تحظى ب</w:t>
      </w:r>
      <w:r w:rsidRPr="008439DC">
        <w:rPr>
          <w:rFonts w:eastAsiaTheme="minorEastAsia"/>
          <w:rtl/>
          <w:lang w:bidi="ar-TN"/>
        </w:rPr>
        <w:t>مكان</w:t>
      </w:r>
      <w:r w:rsidRPr="008439DC">
        <w:rPr>
          <w:rFonts w:eastAsiaTheme="minorEastAsia"/>
          <w:rtl/>
        </w:rPr>
        <w:t xml:space="preserve"> عبادة دائم خاص بها، فإنها دأبت بانتظام منذ عام </w:t>
      </w:r>
      <w:r w:rsidRPr="00A648BD">
        <w:rPr>
          <w:rFonts w:eastAsiaTheme="minorEastAsia"/>
          <w:rtl/>
        </w:rPr>
        <w:t>2002</w:t>
      </w:r>
      <w:r w:rsidRPr="008439DC">
        <w:rPr>
          <w:rFonts w:eastAsiaTheme="minorEastAsia"/>
          <w:rtl/>
        </w:rPr>
        <w:t xml:space="preserve"> على إقامة شعائرها الدينية في المنزل الخاص بأحد أعضائها، السيدة فولتشكوفا. وكان كلّ من موظفي إنفاذ القانون واللجنة التنفيذية لمقاطعة راهاتشو على دراية بهذا الترتيب القائم منذ عهد طويل. وتنص المادة </w:t>
      </w:r>
      <w:r w:rsidRPr="00A648BD">
        <w:rPr>
          <w:rFonts w:eastAsiaTheme="minorEastAsia"/>
          <w:rtl/>
        </w:rPr>
        <w:t>25</w:t>
      </w:r>
      <w:r w:rsidRPr="008439DC">
        <w:rPr>
          <w:rFonts w:eastAsiaTheme="minorEastAsia"/>
          <w:rtl/>
        </w:rPr>
        <w:t xml:space="preserve"> من قانون حرية الضمير والمنظمات الدينية على أنه يجوز إقامة الشعائر الدينية في جملة أماكن منها المساكن الخاصة، إذا لم تكن الشعائر "ذات طابع جماهيري أو منهجي". ولا تجوز إقامة الشعائر الدينية في أي مكان آخر دون موافقة السلطة الحكومية ذات الصلة.</w:t>
      </w:r>
      <w:bookmarkStart w:id="0" w:name="_Hlk119401596"/>
      <w:bookmarkEnd w:id="0"/>
    </w:p>
    <w:p w14:paraId="3498FF77" w14:textId="4BDB98AC" w:rsidR="001036B6" w:rsidRPr="008439DC" w:rsidRDefault="001036B6" w:rsidP="001036B6">
      <w:pPr>
        <w:pStyle w:val="SingleTxtGA"/>
        <w:rPr>
          <w:rFonts w:eastAsiaTheme="minorEastAsia"/>
          <w:lang w:val="ar-SA" w:eastAsia="zh-TW" w:bidi="en-GB"/>
        </w:rPr>
      </w:pPr>
      <w:r w:rsidRPr="00A648BD">
        <w:rPr>
          <w:rFonts w:eastAsiaTheme="minorEastAsia"/>
          <w:rtl/>
        </w:rPr>
        <w:t>2</w:t>
      </w:r>
      <w:r w:rsidRPr="008439DC">
        <w:rPr>
          <w:rFonts w:eastAsiaTheme="minorEastAsia"/>
          <w:rtl/>
        </w:rPr>
        <w:t>-</w:t>
      </w:r>
      <w:r w:rsidRPr="00A648BD">
        <w:rPr>
          <w:rFonts w:eastAsiaTheme="minorEastAsia"/>
          <w:rtl/>
        </w:rPr>
        <w:t>2</w:t>
      </w:r>
      <w:r w:rsidRPr="008439DC">
        <w:rPr>
          <w:rFonts w:eastAsiaTheme="minorEastAsia"/>
          <w:rtl/>
        </w:rPr>
        <w:tab/>
        <w:t xml:space="preserve">وفي </w:t>
      </w:r>
      <w:r w:rsidRPr="00A648BD">
        <w:rPr>
          <w:rFonts w:eastAsiaTheme="minorEastAsia"/>
          <w:rtl/>
        </w:rPr>
        <w:t>29</w:t>
      </w:r>
      <w:r w:rsidRPr="008439DC">
        <w:rPr>
          <w:rFonts w:eastAsiaTheme="minorEastAsia"/>
          <w:rtl/>
        </w:rPr>
        <w:t xml:space="preserve"> آذار/مارس </w:t>
      </w:r>
      <w:r w:rsidRPr="00A648BD">
        <w:rPr>
          <w:rFonts w:eastAsiaTheme="minorEastAsia"/>
          <w:rtl/>
        </w:rPr>
        <w:t>2012</w:t>
      </w:r>
      <w:r w:rsidRPr="008439DC">
        <w:rPr>
          <w:rFonts w:eastAsiaTheme="minorEastAsia"/>
          <w:rtl/>
        </w:rPr>
        <w:t xml:space="preserve">، وافق القائم بأعمال المدعي العام لمقاطعة راهاتشو على تفتيش مسكن السيدة فولتشكوفا بحجة أن اللجنة التنفيذية لم تأذن للجماعة بإقامة شعائر دينية في ذلك العنوان. وفي </w:t>
      </w:r>
      <w:r w:rsidRPr="00A648BD">
        <w:rPr>
          <w:rFonts w:eastAsiaTheme="minorEastAsia"/>
          <w:rtl/>
        </w:rPr>
        <w:t>1</w:t>
      </w:r>
      <w:r w:rsidRPr="008439DC">
        <w:rPr>
          <w:rFonts w:eastAsiaTheme="minorEastAsia"/>
          <w:rtl/>
        </w:rPr>
        <w:t xml:space="preserve"> نيسان/أبريل </w:t>
      </w:r>
      <w:r w:rsidRPr="00A648BD">
        <w:rPr>
          <w:rFonts w:eastAsiaTheme="minorEastAsia"/>
          <w:rtl/>
        </w:rPr>
        <w:t>2012</w:t>
      </w:r>
      <w:r w:rsidRPr="008439DC">
        <w:rPr>
          <w:rFonts w:eastAsiaTheme="minorEastAsia"/>
          <w:rtl/>
        </w:rPr>
        <w:t xml:space="preserve">، داهمت الشرطة منزل السيدة فولتشكوفا في الوقت نفسه الذي كانت تستضيف فيه لقاءً ضمّ </w:t>
      </w:r>
      <w:r w:rsidRPr="00A648BD">
        <w:rPr>
          <w:rFonts w:eastAsiaTheme="minorEastAsia"/>
          <w:rtl/>
        </w:rPr>
        <w:t>47</w:t>
      </w:r>
      <w:r w:rsidRPr="008439DC">
        <w:rPr>
          <w:rFonts w:eastAsiaTheme="minorEastAsia"/>
          <w:rtl/>
        </w:rPr>
        <w:t xml:space="preserve"> عضو</w:t>
      </w:r>
      <w:r w:rsidR="0092683E" w:rsidRPr="008439DC">
        <w:rPr>
          <w:rFonts w:eastAsiaTheme="minorEastAsia"/>
          <w:rtl/>
        </w:rPr>
        <w:t xml:space="preserve">اً </w:t>
      </w:r>
      <w:r w:rsidRPr="008439DC">
        <w:rPr>
          <w:rFonts w:eastAsiaTheme="minorEastAsia"/>
          <w:rtl/>
        </w:rPr>
        <w:t>من أعضاء الجماعة من أجل أداء قداس ديني. وعمدت الشرطة إلى تصوير جميع الحاضرين بالفيديو واستجوبتهم وسجلت أسماءهم وعناوينهم وغير ذلك من البيانات الشخصية. وصادرت الشرطة أيض</w:t>
      </w:r>
      <w:r w:rsidR="0092683E" w:rsidRPr="008439DC">
        <w:rPr>
          <w:rFonts w:eastAsiaTheme="minorEastAsia"/>
          <w:rtl/>
        </w:rPr>
        <w:t xml:space="preserve">اً </w:t>
      </w:r>
      <w:r w:rsidRPr="008439DC">
        <w:rPr>
          <w:rFonts w:eastAsiaTheme="minorEastAsia"/>
          <w:rtl/>
        </w:rPr>
        <w:t>المؤلفات الدينية التي كانت بحوزة الحاضرين، إلى جانب عدد من الأقراص المدمجة وأقراص الفيديو الرقمية التي تحتوي على مواد دينية.</w:t>
      </w:r>
      <w:bookmarkStart w:id="1" w:name="_Hlk119401677"/>
      <w:bookmarkEnd w:id="1"/>
    </w:p>
    <w:p w14:paraId="2850E2FF" w14:textId="43D23F4C" w:rsidR="001B19A1" w:rsidRPr="008439DC" w:rsidRDefault="001036B6" w:rsidP="001036B6">
      <w:pPr>
        <w:pStyle w:val="SingleTxtGA"/>
        <w:rPr>
          <w:rFonts w:eastAsiaTheme="minorEastAsia"/>
          <w:lang w:val="ar-SA" w:eastAsia="zh-TW" w:bidi="en-GB"/>
        </w:rPr>
      </w:pPr>
      <w:r w:rsidRPr="00A648BD">
        <w:rPr>
          <w:rFonts w:eastAsiaTheme="minorEastAsia"/>
          <w:rtl/>
        </w:rPr>
        <w:t>2</w:t>
      </w:r>
      <w:r w:rsidRPr="008439DC">
        <w:rPr>
          <w:rFonts w:eastAsiaTheme="minorEastAsia"/>
          <w:rtl/>
        </w:rPr>
        <w:t>-</w:t>
      </w:r>
      <w:r w:rsidRPr="00A648BD">
        <w:rPr>
          <w:rFonts w:eastAsiaTheme="minorEastAsia"/>
          <w:rtl/>
        </w:rPr>
        <w:t>3</w:t>
      </w:r>
      <w:r w:rsidRPr="008439DC">
        <w:rPr>
          <w:rFonts w:eastAsiaTheme="minorEastAsia"/>
          <w:rtl/>
        </w:rPr>
        <w:tab/>
        <w:t xml:space="preserve">وفي </w:t>
      </w:r>
      <w:r w:rsidRPr="00A648BD">
        <w:rPr>
          <w:rFonts w:eastAsiaTheme="minorEastAsia"/>
          <w:rtl/>
        </w:rPr>
        <w:t>5</w:t>
      </w:r>
      <w:r w:rsidRPr="008439DC">
        <w:rPr>
          <w:rFonts w:eastAsiaTheme="minorEastAsia"/>
          <w:rtl/>
        </w:rPr>
        <w:t xml:space="preserve"> نيسان/أبريل </w:t>
      </w:r>
      <w:r w:rsidRPr="00A648BD">
        <w:rPr>
          <w:rFonts w:eastAsiaTheme="minorEastAsia"/>
          <w:rtl/>
        </w:rPr>
        <w:t>2012</w:t>
      </w:r>
      <w:r w:rsidRPr="008439DC">
        <w:rPr>
          <w:rFonts w:eastAsiaTheme="minorEastAsia"/>
          <w:rtl/>
        </w:rPr>
        <w:t>، وُجّهت إلى صاحب البلاغ تهمة ارتكاب جريمة إدارية بحجة تنظيم</w:t>
      </w:r>
      <w:r w:rsidR="008439DC">
        <w:rPr>
          <w:rFonts w:eastAsiaTheme="minorEastAsia" w:hint="cs"/>
          <w:rtl/>
        </w:rPr>
        <w:t> </w:t>
      </w:r>
      <w:r w:rsidRPr="008439DC">
        <w:rPr>
          <w:rFonts w:eastAsiaTheme="minorEastAsia"/>
          <w:rtl/>
        </w:rPr>
        <w:t xml:space="preserve">"حدث جماهيري آخر" في </w:t>
      </w:r>
      <w:r w:rsidRPr="00A648BD">
        <w:rPr>
          <w:rFonts w:eastAsiaTheme="minorEastAsia"/>
          <w:rtl/>
        </w:rPr>
        <w:t>1</w:t>
      </w:r>
      <w:r w:rsidRPr="008439DC">
        <w:rPr>
          <w:rFonts w:eastAsiaTheme="minorEastAsia"/>
          <w:rtl/>
        </w:rPr>
        <w:t xml:space="preserve"> نيسان/أبريل </w:t>
      </w:r>
      <w:r w:rsidRPr="00A648BD">
        <w:rPr>
          <w:rFonts w:eastAsiaTheme="minorEastAsia"/>
          <w:rtl/>
        </w:rPr>
        <w:t>2012</w:t>
      </w:r>
      <w:r w:rsidRPr="008439DC">
        <w:rPr>
          <w:rFonts w:eastAsiaTheme="minorEastAsia"/>
          <w:rtl/>
        </w:rPr>
        <w:t xml:space="preserve"> دون الحصول على إذن، وهو ما ينتهك المادة</w:t>
      </w:r>
      <w:r w:rsidR="008439DC">
        <w:rPr>
          <w:rFonts w:eastAsiaTheme="minorEastAsia" w:hint="cs"/>
          <w:rtl/>
        </w:rPr>
        <w:t> </w:t>
      </w:r>
      <w:r w:rsidRPr="00A648BD">
        <w:rPr>
          <w:rFonts w:eastAsiaTheme="minorEastAsia"/>
          <w:rtl/>
        </w:rPr>
        <w:t>23</w:t>
      </w:r>
      <w:r w:rsidRPr="008439DC">
        <w:rPr>
          <w:rFonts w:eastAsiaTheme="minorEastAsia"/>
          <w:rtl/>
        </w:rPr>
        <w:t>-</w:t>
      </w:r>
      <w:r w:rsidRPr="00A648BD">
        <w:rPr>
          <w:rFonts w:eastAsiaTheme="minorEastAsia"/>
          <w:rtl/>
        </w:rPr>
        <w:t>34</w:t>
      </w:r>
      <w:r w:rsidRPr="008439DC">
        <w:rPr>
          <w:rFonts w:eastAsiaTheme="minorEastAsia"/>
          <w:rtl/>
        </w:rPr>
        <w:t>(</w:t>
      </w:r>
      <w:r w:rsidR="001B19A1" w:rsidRPr="00A648BD">
        <w:rPr>
          <w:rFonts w:eastAsiaTheme="minorEastAsia"/>
          <w:rtl/>
        </w:rPr>
        <w:t>2</w:t>
      </w:r>
      <w:r w:rsidR="001B19A1" w:rsidRPr="008439DC">
        <w:rPr>
          <w:rFonts w:eastAsiaTheme="minorEastAsia"/>
          <w:rtl/>
        </w:rPr>
        <w:t xml:space="preserve">) </w:t>
      </w:r>
      <w:r w:rsidRPr="008439DC">
        <w:rPr>
          <w:rFonts w:eastAsiaTheme="minorEastAsia"/>
          <w:rtl/>
        </w:rPr>
        <w:t>من قانون الجرائم الإدارية</w:t>
      </w:r>
      <w:r w:rsidR="001B19A1" w:rsidRPr="008439DC">
        <w:rPr>
          <w:rStyle w:val="FootnoteReference"/>
          <w:rFonts w:eastAsiaTheme="minorEastAsia"/>
          <w:sz w:val="22"/>
          <w:rtl/>
        </w:rPr>
        <w:t>(</w:t>
      </w:r>
      <w:r w:rsidR="001B19A1" w:rsidRPr="00A648BD">
        <w:rPr>
          <w:rStyle w:val="FootnoteReference"/>
          <w:rFonts w:eastAsiaTheme="minorEastAsia"/>
          <w:sz w:val="22"/>
          <w:lang w:val="en-US"/>
        </w:rPr>
        <w:footnoteReference w:id="3"/>
      </w:r>
      <w:r w:rsidR="001B19A1" w:rsidRPr="008439DC">
        <w:rPr>
          <w:rStyle w:val="FootnoteReference"/>
          <w:rFonts w:eastAsiaTheme="minorEastAsia"/>
          <w:sz w:val="22"/>
          <w:rtl/>
        </w:rPr>
        <w:t>)</w:t>
      </w:r>
      <w:r w:rsidR="001B19A1" w:rsidRPr="008439DC">
        <w:rPr>
          <w:rFonts w:eastAsiaTheme="minorEastAsia"/>
          <w:rtl/>
        </w:rPr>
        <w:t xml:space="preserve">. </w:t>
      </w:r>
      <w:r w:rsidRPr="008439DC">
        <w:rPr>
          <w:rFonts w:eastAsiaTheme="minorEastAsia"/>
          <w:rtl/>
        </w:rPr>
        <w:t xml:space="preserve">وأصدرت الشرطة مذكرة إدارية في حق صاحب البلاغ في </w:t>
      </w:r>
      <w:r w:rsidRPr="00A648BD">
        <w:rPr>
          <w:rFonts w:eastAsiaTheme="minorEastAsia"/>
          <w:rtl/>
        </w:rPr>
        <w:t>18</w:t>
      </w:r>
      <w:r w:rsidRPr="008439DC">
        <w:rPr>
          <w:rFonts w:eastAsiaTheme="minorEastAsia"/>
          <w:rtl/>
        </w:rPr>
        <w:t xml:space="preserve"> نيسان/أبريل </w:t>
      </w:r>
      <w:r w:rsidRPr="00A648BD">
        <w:rPr>
          <w:rFonts w:eastAsiaTheme="minorEastAsia"/>
          <w:rtl/>
        </w:rPr>
        <w:t>2012</w:t>
      </w:r>
      <w:r w:rsidRPr="008439DC">
        <w:rPr>
          <w:rFonts w:eastAsiaTheme="minorEastAsia"/>
          <w:rtl/>
        </w:rPr>
        <w:t xml:space="preserve"> تبيّن أن صاحب البلاغ تصرّف على نحو ينتهك المادة </w:t>
      </w:r>
      <w:r w:rsidRPr="00A648BD">
        <w:rPr>
          <w:rFonts w:eastAsiaTheme="minorEastAsia"/>
          <w:rtl/>
        </w:rPr>
        <w:t>25</w:t>
      </w:r>
      <w:r w:rsidRPr="008439DC">
        <w:rPr>
          <w:rFonts w:eastAsiaTheme="minorEastAsia"/>
          <w:rtl/>
        </w:rPr>
        <w:t>(</w:t>
      </w:r>
      <w:r w:rsidR="001B19A1" w:rsidRPr="00A648BD">
        <w:rPr>
          <w:rFonts w:eastAsiaTheme="minorEastAsia"/>
          <w:rtl/>
        </w:rPr>
        <w:t>5</w:t>
      </w:r>
      <w:r w:rsidR="001B19A1" w:rsidRPr="008439DC">
        <w:rPr>
          <w:rFonts w:eastAsiaTheme="minorEastAsia"/>
          <w:rtl/>
        </w:rPr>
        <w:t xml:space="preserve">) </w:t>
      </w:r>
      <w:r w:rsidRPr="008439DC">
        <w:rPr>
          <w:rFonts w:eastAsiaTheme="minorEastAsia"/>
          <w:rtl/>
        </w:rPr>
        <w:t>من قانون حرية الضمير والمنظمات الدينية</w:t>
      </w:r>
      <w:r w:rsidR="001B19A1" w:rsidRPr="008439DC">
        <w:rPr>
          <w:rStyle w:val="FootnoteReference"/>
          <w:rFonts w:eastAsiaTheme="minorEastAsia"/>
          <w:sz w:val="22"/>
          <w:rtl/>
        </w:rPr>
        <w:t>(</w:t>
      </w:r>
      <w:r w:rsidR="001B19A1" w:rsidRPr="00A648BD">
        <w:rPr>
          <w:rStyle w:val="FootnoteReference"/>
          <w:rFonts w:eastAsiaTheme="minorEastAsia"/>
          <w:sz w:val="22"/>
          <w:lang w:val="en-US"/>
        </w:rPr>
        <w:footnoteReference w:id="4"/>
      </w:r>
      <w:r w:rsidRPr="008439DC">
        <w:rPr>
          <w:rStyle w:val="FootnoteReference"/>
          <w:rFonts w:eastAsiaTheme="minorEastAsia"/>
          <w:sz w:val="22"/>
          <w:rtl/>
        </w:rPr>
        <w:t>)</w:t>
      </w:r>
      <w:r w:rsidRPr="008439DC">
        <w:rPr>
          <w:rFonts w:eastAsiaTheme="minorEastAsia"/>
          <w:rtl/>
        </w:rPr>
        <w:t xml:space="preserve"> والمادتين </w:t>
      </w:r>
      <w:r w:rsidRPr="00A648BD">
        <w:rPr>
          <w:rFonts w:eastAsiaTheme="minorEastAsia"/>
          <w:rtl/>
        </w:rPr>
        <w:t>5</w:t>
      </w:r>
      <w:r w:rsidRPr="008439DC">
        <w:rPr>
          <w:rFonts w:eastAsiaTheme="minorEastAsia"/>
          <w:rtl/>
        </w:rPr>
        <w:t xml:space="preserve"> و</w:t>
      </w:r>
      <w:r w:rsidRPr="00A648BD">
        <w:rPr>
          <w:rFonts w:eastAsiaTheme="minorEastAsia"/>
          <w:rtl/>
        </w:rPr>
        <w:t>6</w:t>
      </w:r>
      <w:r w:rsidRPr="008439DC">
        <w:rPr>
          <w:rFonts w:eastAsiaTheme="minorEastAsia"/>
          <w:rtl/>
        </w:rPr>
        <w:t xml:space="preserve"> من قانون الأحداث العامة</w:t>
      </w:r>
      <w:r w:rsidR="001B19A1" w:rsidRPr="008439DC">
        <w:rPr>
          <w:rStyle w:val="FootnoteReference"/>
          <w:rFonts w:eastAsiaTheme="minorEastAsia"/>
          <w:sz w:val="22"/>
          <w:rtl/>
        </w:rPr>
        <w:t>(</w:t>
      </w:r>
      <w:r w:rsidR="001B19A1" w:rsidRPr="00A648BD">
        <w:rPr>
          <w:rStyle w:val="FootnoteReference"/>
          <w:rFonts w:eastAsiaTheme="minorEastAsia"/>
          <w:sz w:val="22"/>
          <w:lang w:val="en-US"/>
        </w:rPr>
        <w:footnoteReference w:id="5"/>
      </w:r>
      <w:r w:rsidRPr="008439DC">
        <w:rPr>
          <w:rStyle w:val="FootnoteReference"/>
          <w:rFonts w:eastAsiaTheme="minorEastAsia"/>
          <w:sz w:val="22"/>
          <w:rtl/>
        </w:rPr>
        <w:t>)</w:t>
      </w:r>
      <w:r w:rsidR="0092683E" w:rsidRPr="008439DC">
        <w:rPr>
          <w:rFonts w:eastAsiaTheme="minorEastAsia" w:hint="cs"/>
          <w:rtl/>
        </w:rPr>
        <w:t>.</w:t>
      </w:r>
      <w:r w:rsidRPr="008439DC">
        <w:rPr>
          <w:rFonts w:eastAsiaTheme="minorEastAsia"/>
          <w:rtl/>
        </w:rPr>
        <w:t xml:space="preserve"> وتُصنّف الأحداث بموجب قانون الأحداث العامة إلى "الأحداث الجماهيرية"</w:t>
      </w:r>
      <w:r w:rsidR="001B19A1" w:rsidRPr="008439DC">
        <w:rPr>
          <w:rStyle w:val="FootnoteReference"/>
          <w:rFonts w:eastAsiaTheme="minorEastAsia"/>
          <w:sz w:val="22"/>
          <w:rtl/>
        </w:rPr>
        <w:t>(</w:t>
      </w:r>
      <w:r w:rsidR="001B19A1" w:rsidRPr="00A648BD">
        <w:rPr>
          <w:rStyle w:val="FootnoteReference"/>
          <w:rFonts w:eastAsiaTheme="minorEastAsia"/>
          <w:sz w:val="22"/>
          <w:lang w:val="en-US"/>
        </w:rPr>
        <w:footnoteReference w:id="6"/>
      </w:r>
      <w:r w:rsidRPr="008439DC">
        <w:rPr>
          <w:rStyle w:val="FootnoteReference"/>
          <w:rFonts w:eastAsiaTheme="minorEastAsia"/>
          <w:sz w:val="22"/>
          <w:rtl/>
        </w:rPr>
        <w:t>)</w:t>
      </w:r>
      <w:r w:rsidRPr="008439DC">
        <w:rPr>
          <w:rFonts w:eastAsiaTheme="minorEastAsia"/>
          <w:rtl/>
        </w:rPr>
        <w:t> التي تشمل التجمعات والحشود والاحتجاجات وما إلى ذلك و"الأحداث الجماهيرية الأخرى" التي تشمل الأحداث الدينية والرياضية والثقافية وغيرها من الأحداث</w:t>
      </w:r>
      <w:r w:rsidR="001B19A1" w:rsidRPr="008439DC">
        <w:rPr>
          <w:rStyle w:val="FootnoteReference"/>
          <w:rFonts w:eastAsiaTheme="minorEastAsia"/>
          <w:sz w:val="22"/>
          <w:rtl/>
        </w:rPr>
        <w:t>(</w:t>
      </w:r>
      <w:r w:rsidR="001B19A1" w:rsidRPr="00A648BD">
        <w:rPr>
          <w:rStyle w:val="FootnoteReference"/>
          <w:rFonts w:eastAsiaTheme="minorEastAsia"/>
          <w:sz w:val="22"/>
          <w:lang w:val="en-US"/>
        </w:rPr>
        <w:footnoteReference w:id="7"/>
      </w:r>
      <w:r w:rsidRPr="008439DC">
        <w:rPr>
          <w:rStyle w:val="FootnoteReference"/>
          <w:rFonts w:eastAsiaTheme="minorEastAsia"/>
          <w:sz w:val="22"/>
          <w:rtl/>
        </w:rPr>
        <w:t>)</w:t>
      </w:r>
      <w:r w:rsidR="001B19A1" w:rsidRPr="008439DC">
        <w:rPr>
          <w:rFonts w:eastAsiaTheme="minorEastAsia" w:hint="cs"/>
          <w:rtl/>
        </w:rPr>
        <w:t xml:space="preserve">. </w:t>
      </w:r>
      <w:r w:rsidRPr="008439DC">
        <w:rPr>
          <w:rFonts w:eastAsiaTheme="minorEastAsia"/>
          <w:rtl/>
        </w:rPr>
        <w:t xml:space="preserve">غير أنّ العقوبة الإدارية المفروضة على تنظيم "الأحداث الجماهيرية الأخرى" دون إذن أُلغيت من قانون الجرائم الإدارية ابتداءً من </w:t>
      </w:r>
      <w:r w:rsidRPr="00A648BD">
        <w:rPr>
          <w:rFonts w:eastAsiaTheme="minorEastAsia"/>
          <w:rtl/>
        </w:rPr>
        <w:t>25</w:t>
      </w:r>
      <w:r w:rsidRPr="008439DC">
        <w:rPr>
          <w:rFonts w:eastAsiaTheme="minorEastAsia"/>
          <w:rtl/>
        </w:rPr>
        <w:t xml:space="preserve"> تشرين الثاني/نوفمبر </w:t>
      </w:r>
      <w:r w:rsidRPr="00A648BD">
        <w:rPr>
          <w:rFonts w:eastAsiaTheme="minorEastAsia"/>
          <w:rtl/>
        </w:rPr>
        <w:t>201</w:t>
      </w:r>
      <w:r w:rsidR="001B19A1" w:rsidRPr="00A648BD">
        <w:rPr>
          <w:rFonts w:eastAsiaTheme="minorEastAsia"/>
          <w:rtl/>
        </w:rPr>
        <w:t>1</w:t>
      </w:r>
      <w:r w:rsidR="001B19A1" w:rsidRPr="008439DC">
        <w:rPr>
          <w:rFonts w:eastAsiaTheme="minorEastAsia"/>
          <w:rtl/>
        </w:rPr>
        <w:t>.</w:t>
      </w:r>
    </w:p>
    <w:p w14:paraId="02B243D0" w14:textId="52EA4111" w:rsidR="001036B6" w:rsidRPr="008439DC" w:rsidRDefault="001036B6" w:rsidP="001036B6">
      <w:pPr>
        <w:pStyle w:val="SingleTxtGA"/>
        <w:rPr>
          <w:rFonts w:eastAsiaTheme="minorEastAsia"/>
          <w:lang w:val="ar-SA" w:eastAsia="zh-TW" w:bidi="en-GB"/>
        </w:rPr>
      </w:pPr>
      <w:r w:rsidRPr="00A648BD">
        <w:rPr>
          <w:rFonts w:eastAsiaTheme="minorEastAsia"/>
          <w:rtl/>
        </w:rPr>
        <w:t>2</w:t>
      </w:r>
      <w:r w:rsidRPr="008439DC">
        <w:rPr>
          <w:rFonts w:eastAsiaTheme="minorEastAsia"/>
          <w:rtl/>
        </w:rPr>
        <w:t>-</w:t>
      </w:r>
      <w:r w:rsidRPr="00A648BD">
        <w:rPr>
          <w:rFonts w:eastAsiaTheme="minorEastAsia"/>
          <w:rtl/>
        </w:rPr>
        <w:t>4</w:t>
      </w:r>
      <w:r w:rsidRPr="008439DC">
        <w:rPr>
          <w:rFonts w:eastAsiaTheme="minorEastAsia"/>
          <w:rtl/>
        </w:rPr>
        <w:tab/>
        <w:t xml:space="preserve">وجرت محاكمة صاحب البلاغ في </w:t>
      </w:r>
      <w:r w:rsidRPr="00A648BD">
        <w:rPr>
          <w:rFonts w:eastAsiaTheme="minorEastAsia"/>
          <w:rtl/>
        </w:rPr>
        <w:t>8</w:t>
      </w:r>
      <w:r w:rsidRPr="008439DC">
        <w:rPr>
          <w:rFonts w:eastAsiaTheme="minorEastAsia"/>
          <w:rtl/>
        </w:rPr>
        <w:t xml:space="preserve"> أيار/مايو </w:t>
      </w:r>
      <w:r w:rsidRPr="00A648BD">
        <w:rPr>
          <w:rFonts w:eastAsiaTheme="minorEastAsia"/>
          <w:rtl/>
        </w:rPr>
        <w:t>2012</w:t>
      </w:r>
      <w:r w:rsidRPr="008439DC">
        <w:rPr>
          <w:rFonts w:eastAsiaTheme="minorEastAsia"/>
          <w:rtl/>
        </w:rPr>
        <w:t xml:space="preserve"> أمام محكمة مقاطعة راهاتشو. ورفض القاضي النظر في الدعوى على أساس أن قانون الجرائم الإدارية لم يعد ينصّ على المسؤولية عن تنظيم </w:t>
      </w:r>
      <w:r w:rsidRPr="008439DC">
        <w:rPr>
          <w:rFonts w:eastAsiaTheme="minorEastAsia"/>
          <w:rtl/>
        </w:rPr>
        <w:lastRenderedPageBreak/>
        <w:t>"الأحداث الجماهيرية الأخرى" دون الحصول على إذن. وطعن رئيس قسم الشرطة في مقاطعة راهاتشو في القرار أمام محكمة غوميل الإقليمية مدّعي</w:t>
      </w:r>
      <w:r w:rsidR="0092683E" w:rsidRPr="008439DC">
        <w:rPr>
          <w:rFonts w:eastAsiaTheme="minorEastAsia"/>
          <w:rtl/>
        </w:rPr>
        <w:t xml:space="preserve">اً </w:t>
      </w:r>
      <w:r w:rsidRPr="008439DC">
        <w:rPr>
          <w:rFonts w:eastAsiaTheme="minorEastAsia"/>
          <w:rtl/>
        </w:rPr>
        <w:t xml:space="preserve">أن محكمة مقاطعة راهاتشو أخطأت في قرارها إذ كان ينبغي أن تعيد ملف القضية إلى الشرطة لكي تعدّل الأخطاء الواردة في المذكرة الإدارية الصادرة في حق صاحب البلاغ. وفي </w:t>
      </w:r>
      <w:r w:rsidRPr="00A648BD">
        <w:rPr>
          <w:rFonts w:eastAsiaTheme="minorEastAsia"/>
          <w:rtl/>
        </w:rPr>
        <w:t>6</w:t>
      </w:r>
      <w:r w:rsidRPr="008439DC">
        <w:rPr>
          <w:rFonts w:eastAsiaTheme="minorEastAsia"/>
          <w:rtl/>
        </w:rPr>
        <w:t xml:space="preserve"> حزيران/يوني</w:t>
      </w:r>
      <w:r w:rsidR="00C9259E" w:rsidRPr="008439DC">
        <w:rPr>
          <w:rFonts w:eastAsiaTheme="minorEastAsia" w:hint="cs"/>
          <w:rtl/>
        </w:rPr>
        <w:t>ه</w:t>
      </w:r>
      <w:r w:rsidRPr="008439DC">
        <w:rPr>
          <w:rFonts w:eastAsiaTheme="minorEastAsia"/>
          <w:rtl/>
        </w:rPr>
        <w:t xml:space="preserve"> </w:t>
      </w:r>
      <w:r w:rsidRPr="00A648BD">
        <w:rPr>
          <w:rFonts w:eastAsiaTheme="minorEastAsia"/>
          <w:rtl/>
        </w:rPr>
        <w:t>2012</w:t>
      </w:r>
      <w:r w:rsidRPr="008439DC">
        <w:rPr>
          <w:rFonts w:eastAsiaTheme="minorEastAsia"/>
          <w:rtl/>
        </w:rPr>
        <w:t xml:space="preserve">، قضت محكمة غوميل الإقليمية بأن محكمة مقاطعة راهاتشو لم تبيّن ما إذا كان القداس الديني التي أقيم في </w:t>
      </w:r>
      <w:r w:rsidRPr="00A648BD">
        <w:rPr>
          <w:rFonts w:eastAsiaTheme="minorEastAsia"/>
          <w:rtl/>
        </w:rPr>
        <w:t>1</w:t>
      </w:r>
      <w:r w:rsidRPr="008439DC">
        <w:rPr>
          <w:rFonts w:eastAsiaTheme="minorEastAsia"/>
          <w:rtl/>
        </w:rPr>
        <w:t xml:space="preserve"> نيسان/أبريل </w:t>
      </w:r>
      <w:r w:rsidRPr="00A648BD">
        <w:rPr>
          <w:rFonts w:eastAsiaTheme="minorEastAsia"/>
          <w:rtl/>
        </w:rPr>
        <w:t>2012</w:t>
      </w:r>
      <w:r w:rsidRPr="008439DC">
        <w:rPr>
          <w:rFonts w:eastAsiaTheme="minorEastAsia"/>
          <w:rtl/>
        </w:rPr>
        <w:t xml:space="preserve"> "تجمعا" أو "حدث</w:t>
      </w:r>
      <w:r w:rsidR="0092683E" w:rsidRPr="008439DC">
        <w:rPr>
          <w:rFonts w:eastAsiaTheme="minorEastAsia"/>
          <w:rtl/>
        </w:rPr>
        <w:t xml:space="preserve">اً </w:t>
      </w:r>
      <w:r w:rsidRPr="008439DC">
        <w:rPr>
          <w:rFonts w:eastAsiaTheme="minorEastAsia"/>
          <w:rtl/>
        </w:rPr>
        <w:t>جماهيري</w:t>
      </w:r>
      <w:r w:rsidR="0092683E" w:rsidRPr="008439DC">
        <w:rPr>
          <w:rFonts w:eastAsiaTheme="minorEastAsia"/>
          <w:rtl/>
        </w:rPr>
        <w:t xml:space="preserve">اً </w:t>
      </w:r>
      <w:r w:rsidRPr="008439DC">
        <w:rPr>
          <w:rFonts w:eastAsiaTheme="minorEastAsia"/>
          <w:rtl/>
        </w:rPr>
        <w:t xml:space="preserve">آخر"، وأمرت بإجراء محاكمة جديدة. وفي </w:t>
      </w:r>
      <w:r w:rsidRPr="00A648BD">
        <w:rPr>
          <w:rFonts w:eastAsiaTheme="minorEastAsia"/>
          <w:rtl/>
        </w:rPr>
        <w:t>19</w:t>
      </w:r>
      <w:r w:rsidRPr="008439DC">
        <w:rPr>
          <w:rFonts w:eastAsiaTheme="minorEastAsia"/>
          <w:rtl/>
        </w:rPr>
        <w:t xml:space="preserve"> تموز/يوليه </w:t>
      </w:r>
      <w:r w:rsidRPr="00A648BD">
        <w:rPr>
          <w:rFonts w:eastAsiaTheme="minorEastAsia"/>
          <w:rtl/>
        </w:rPr>
        <w:t>2012</w:t>
      </w:r>
      <w:r w:rsidRPr="008439DC">
        <w:rPr>
          <w:rFonts w:eastAsiaTheme="minorEastAsia"/>
          <w:rtl/>
        </w:rPr>
        <w:t>، أصدر قسم الشرطة في مقاطعة راهاتشو مذكرة إدارية جديدة توجه إلى صاحب البلاغ تهمة تنظيم "صلاة جماعية" غير مأذون بها، على نحو ينتهك قانون حرية الضمير والمنظمات الدينية وقانون الأحداث العامة على حد سواء.</w:t>
      </w:r>
      <w:bookmarkStart w:id="2" w:name="_Hlk119402672"/>
      <w:bookmarkStart w:id="3" w:name="_Hlk119402683"/>
      <w:bookmarkEnd w:id="2"/>
      <w:bookmarkEnd w:id="3"/>
    </w:p>
    <w:p w14:paraId="0BE03358" w14:textId="0A8766C9" w:rsidR="001036B6" w:rsidRPr="008439DC" w:rsidRDefault="001036B6" w:rsidP="001036B6">
      <w:pPr>
        <w:pStyle w:val="SingleTxtGA"/>
        <w:rPr>
          <w:rFonts w:eastAsiaTheme="minorEastAsia"/>
          <w:lang w:val="ar-SA" w:eastAsia="zh-TW" w:bidi="en-GB"/>
        </w:rPr>
      </w:pPr>
      <w:r w:rsidRPr="00A648BD">
        <w:rPr>
          <w:rFonts w:eastAsiaTheme="minorEastAsia"/>
          <w:rtl/>
        </w:rPr>
        <w:t>2</w:t>
      </w:r>
      <w:r w:rsidRPr="008439DC">
        <w:rPr>
          <w:rFonts w:eastAsiaTheme="minorEastAsia"/>
          <w:rtl/>
        </w:rPr>
        <w:t>-</w:t>
      </w:r>
      <w:r w:rsidRPr="00A648BD">
        <w:rPr>
          <w:rFonts w:eastAsiaTheme="minorEastAsia"/>
          <w:rtl/>
        </w:rPr>
        <w:t>5</w:t>
      </w:r>
      <w:r w:rsidRPr="008439DC">
        <w:rPr>
          <w:rFonts w:eastAsiaTheme="minorEastAsia"/>
          <w:rtl/>
        </w:rPr>
        <w:tab/>
        <w:t xml:space="preserve">وفي </w:t>
      </w:r>
      <w:r w:rsidRPr="00A648BD">
        <w:rPr>
          <w:rFonts w:eastAsiaTheme="minorEastAsia"/>
          <w:rtl/>
        </w:rPr>
        <w:t>10</w:t>
      </w:r>
      <w:r w:rsidRPr="008439DC">
        <w:rPr>
          <w:rFonts w:eastAsiaTheme="minorEastAsia"/>
          <w:rtl/>
        </w:rPr>
        <w:t xml:space="preserve"> آب/أغسطس </w:t>
      </w:r>
      <w:r w:rsidRPr="00A648BD">
        <w:rPr>
          <w:rFonts w:eastAsiaTheme="minorEastAsia"/>
          <w:rtl/>
        </w:rPr>
        <w:t>2012</w:t>
      </w:r>
      <w:r w:rsidRPr="008439DC">
        <w:rPr>
          <w:rFonts w:eastAsiaTheme="minorEastAsia"/>
          <w:rtl/>
        </w:rPr>
        <w:t>، قضت محكمة مقاطعة راهاتشو بإدانة صاحب البلاغ بانتهاك الإجراء المعمول به لتنظيم التجمعات وعقدها، عمل</w:t>
      </w:r>
      <w:r w:rsidR="0092683E" w:rsidRPr="008439DC">
        <w:rPr>
          <w:rFonts w:eastAsiaTheme="minorEastAsia"/>
          <w:rtl/>
        </w:rPr>
        <w:t xml:space="preserve">اً </w:t>
      </w:r>
      <w:r w:rsidRPr="008439DC">
        <w:rPr>
          <w:rFonts w:eastAsiaTheme="minorEastAsia"/>
          <w:rtl/>
        </w:rPr>
        <w:t xml:space="preserve">بالمادة </w:t>
      </w:r>
      <w:r w:rsidRPr="00A648BD">
        <w:rPr>
          <w:rFonts w:eastAsiaTheme="minorEastAsia"/>
          <w:rtl/>
        </w:rPr>
        <w:t>23</w:t>
      </w:r>
      <w:r w:rsidRPr="008439DC">
        <w:rPr>
          <w:rFonts w:eastAsiaTheme="minorEastAsia"/>
          <w:rtl/>
        </w:rPr>
        <w:t>-</w:t>
      </w:r>
      <w:r w:rsidRPr="00A648BD">
        <w:rPr>
          <w:rFonts w:eastAsiaTheme="minorEastAsia"/>
          <w:rtl/>
        </w:rPr>
        <w:t>34</w:t>
      </w:r>
      <w:r w:rsidRPr="008439DC">
        <w:rPr>
          <w:rFonts w:eastAsiaTheme="minorEastAsia"/>
          <w:rtl/>
        </w:rPr>
        <w:t>(</w:t>
      </w:r>
      <w:r w:rsidR="001B19A1" w:rsidRPr="00A648BD">
        <w:rPr>
          <w:rFonts w:eastAsiaTheme="minorEastAsia"/>
          <w:rtl/>
        </w:rPr>
        <w:t>2</w:t>
      </w:r>
      <w:r w:rsidR="001B19A1" w:rsidRPr="008439DC">
        <w:rPr>
          <w:rFonts w:eastAsiaTheme="minorEastAsia"/>
          <w:rtl/>
        </w:rPr>
        <w:t xml:space="preserve">) </w:t>
      </w:r>
      <w:r w:rsidRPr="008439DC">
        <w:rPr>
          <w:rFonts w:eastAsiaTheme="minorEastAsia"/>
          <w:rtl/>
        </w:rPr>
        <w:t xml:space="preserve">من قانون الجرائم الإدارية، وأمرته </w:t>
      </w:r>
      <w:r w:rsidRPr="008439DC">
        <w:rPr>
          <w:rFonts w:eastAsiaTheme="minorEastAsia"/>
          <w:spacing w:val="-2"/>
          <w:rtl/>
        </w:rPr>
        <w:t>بدفع غرامة قدرها مليون</w:t>
      </w:r>
      <w:r w:rsidR="0092683E" w:rsidRPr="008439DC">
        <w:rPr>
          <w:rFonts w:eastAsiaTheme="minorEastAsia"/>
          <w:spacing w:val="-2"/>
          <w:rtl/>
        </w:rPr>
        <w:t xml:space="preserve">ا </w:t>
      </w:r>
      <w:r w:rsidRPr="008439DC">
        <w:rPr>
          <w:rFonts w:eastAsiaTheme="minorEastAsia"/>
          <w:spacing w:val="-2"/>
          <w:rtl/>
        </w:rPr>
        <w:t xml:space="preserve">روبل بيلاروسي. ورأت المحكمة أن الحدث الذي أقيم في </w:t>
      </w:r>
      <w:r w:rsidRPr="00A648BD">
        <w:rPr>
          <w:rFonts w:eastAsiaTheme="minorEastAsia"/>
          <w:spacing w:val="-2"/>
          <w:rtl/>
        </w:rPr>
        <w:t>1</w:t>
      </w:r>
      <w:r w:rsidRPr="008439DC">
        <w:rPr>
          <w:rFonts w:eastAsiaTheme="minorEastAsia"/>
          <w:spacing w:val="-2"/>
          <w:rtl/>
        </w:rPr>
        <w:t xml:space="preserve"> نيسان/أبريل </w:t>
      </w:r>
      <w:r w:rsidRPr="00A648BD">
        <w:rPr>
          <w:rFonts w:eastAsiaTheme="minorEastAsia"/>
          <w:spacing w:val="-2"/>
          <w:rtl/>
        </w:rPr>
        <w:t>2012</w:t>
      </w:r>
      <w:r w:rsidRPr="008439DC">
        <w:rPr>
          <w:rFonts w:eastAsiaTheme="minorEastAsia"/>
          <w:spacing w:val="-2"/>
          <w:rtl/>
        </w:rPr>
        <w:t xml:space="preserve"> يُعدّ</w:t>
      </w:r>
      <w:r w:rsidRPr="008439DC">
        <w:rPr>
          <w:rFonts w:eastAsiaTheme="minorEastAsia"/>
          <w:rtl/>
        </w:rPr>
        <w:t xml:space="preserve"> قداس</w:t>
      </w:r>
      <w:r w:rsidR="0092683E" w:rsidRPr="008439DC">
        <w:rPr>
          <w:rFonts w:eastAsiaTheme="minorEastAsia"/>
          <w:rtl/>
        </w:rPr>
        <w:t xml:space="preserve">اً </w:t>
      </w:r>
      <w:r w:rsidRPr="008439DC">
        <w:rPr>
          <w:rFonts w:eastAsiaTheme="minorEastAsia"/>
          <w:rtl/>
        </w:rPr>
        <w:t>ديني</w:t>
      </w:r>
      <w:r w:rsidR="0092683E" w:rsidRPr="008439DC">
        <w:rPr>
          <w:rFonts w:eastAsiaTheme="minorEastAsia"/>
          <w:rtl/>
        </w:rPr>
        <w:t xml:space="preserve">اً، </w:t>
      </w:r>
      <w:r w:rsidRPr="008439DC">
        <w:rPr>
          <w:rFonts w:eastAsiaTheme="minorEastAsia"/>
          <w:rtl/>
        </w:rPr>
        <w:t>ومن ثم فهو يشكل "صلاة جماعية" وفق</w:t>
      </w:r>
      <w:r w:rsidR="0092683E" w:rsidRPr="008439DC">
        <w:rPr>
          <w:rFonts w:eastAsiaTheme="minorEastAsia"/>
          <w:rtl/>
        </w:rPr>
        <w:t xml:space="preserve">اً </w:t>
      </w:r>
      <w:r w:rsidRPr="008439DC">
        <w:rPr>
          <w:rFonts w:eastAsiaTheme="minorEastAsia"/>
          <w:rtl/>
        </w:rPr>
        <w:t xml:space="preserve">للمادة </w:t>
      </w:r>
      <w:r w:rsidRPr="00A648BD">
        <w:rPr>
          <w:rFonts w:eastAsiaTheme="minorEastAsia"/>
          <w:rtl/>
        </w:rPr>
        <w:t>3</w:t>
      </w:r>
      <w:r w:rsidRPr="008439DC">
        <w:rPr>
          <w:rFonts w:eastAsiaTheme="minorEastAsia"/>
          <w:rtl/>
        </w:rPr>
        <w:t xml:space="preserve"> من قانون حرية الضمير والمنظمات الدينية. ورأت المحكمة أن القداس الديني يشكل حدث</w:t>
      </w:r>
      <w:r w:rsidR="0092683E" w:rsidRPr="008439DC">
        <w:rPr>
          <w:rFonts w:eastAsiaTheme="minorEastAsia"/>
          <w:rtl/>
        </w:rPr>
        <w:t xml:space="preserve">اً </w:t>
      </w:r>
      <w:r w:rsidRPr="008439DC">
        <w:rPr>
          <w:rFonts w:eastAsiaTheme="minorEastAsia"/>
          <w:rtl/>
        </w:rPr>
        <w:t>جماهيري</w:t>
      </w:r>
      <w:r w:rsidR="0092683E" w:rsidRPr="008439DC">
        <w:rPr>
          <w:rFonts w:eastAsiaTheme="minorEastAsia"/>
          <w:rtl/>
        </w:rPr>
        <w:t xml:space="preserve">اً </w:t>
      </w:r>
      <w:r w:rsidRPr="008439DC">
        <w:rPr>
          <w:rFonts w:eastAsiaTheme="minorEastAsia"/>
          <w:rtl/>
        </w:rPr>
        <w:t>وأنه عُقد خارج العنوان المسجل للجماعة</w:t>
      </w:r>
      <w:r w:rsidR="001B19A1" w:rsidRPr="008439DC">
        <w:rPr>
          <w:rFonts w:eastAsiaTheme="minorEastAsia" w:hint="cs"/>
          <w:rtl/>
        </w:rPr>
        <w:t xml:space="preserve"> </w:t>
      </w:r>
      <w:r w:rsidRPr="008439DC">
        <w:rPr>
          <w:rFonts w:eastAsiaTheme="minorEastAsia"/>
          <w:rtl/>
        </w:rPr>
        <w:t>دون سابق إذن، وهو ما ينتهك قانون حرية الضمير والمنظمات الدينية وقانون الأحداث العامة على حد سواء.</w:t>
      </w:r>
    </w:p>
    <w:p w14:paraId="331E73F7" w14:textId="1F49714B" w:rsidR="001036B6" w:rsidRPr="008439DC" w:rsidRDefault="001036B6" w:rsidP="001036B6">
      <w:pPr>
        <w:pStyle w:val="SingleTxtGA"/>
        <w:rPr>
          <w:rFonts w:eastAsiaTheme="minorEastAsia"/>
          <w:lang w:val="ar-SA" w:eastAsia="zh-TW" w:bidi="en-GB"/>
        </w:rPr>
      </w:pPr>
      <w:r w:rsidRPr="00A648BD">
        <w:rPr>
          <w:rFonts w:eastAsiaTheme="minorEastAsia"/>
          <w:rtl/>
        </w:rPr>
        <w:t>2</w:t>
      </w:r>
      <w:r w:rsidRPr="008439DC">
        <w:rPr>
          <w:rFonts w:eastAsiaTheme="minorEastAsia"/>
          <w:rtl/>
        </w:rPr>
        <w:t>-</w:t>
      </w:r>
      <w:r w:rsidRPr="00A648BD">
        <w:rPr>
          <w:rFonts w:eastAsiaTheme="minorEastAsia"/>
          <w:rtl/>
        </w:rPr>
        <w:t>6</w:t>
      </w:r>
      <w:r w:rsidRPr="008439DC">
        <w:rPr>
          <w:rFonts w:eastAsiaTheme="minorEastAsia"/>
          <w:rtl/>
        </w:rPr>
        <w:tab/>
        <w:t>وفي تاريخ غير محدد، طعن صاحب البلاغ في القرار أمام محكمة غوميل الإقليمية، مدعي</w:t>
      </w:r>
      <w:r w:rsidR="0092683E" w:rsidRPr="008439DC">
        <w:rPr>
          <w:rFonts w:eastAsiaTheme="minorEastAsia"/>
          <w:rtl/>
        </w:rPr>
        <w:t xml:space="preserve">اً </w:t>
      </w:r>
      <w:r w:rsidRPr="008439DC">
        <w:rPr>
          <w:rFonts w:eastAsiaTheme="minorEastAsia"/>
          <w:rtl/>
        </w:rPr>
        <w:t>أنه</w:t>
      </w:r>
      <w:r w:rsidR="001B19A1" w:rsidRPr="008439DC">
        <w:rPr>
          <w:rFonts w:eastAsiaTheme="minorEastAsia" w:hint="cs"/>
          <w:rtl/>
        </w:rPr>
        <w:t xml:space="preserve"> </w:t>
      </w:r>
      <w:r w:rsidRPr="008439DC">
        <w:rPr>
          <w:rFonts w:eastAsiaTheme="minorEastAsia"/>
          <w:rtl/>
        </w:rPr>
        <w:t xml:space="preserve">لا يوجد دليل يدعم تصنيف القداس الديني خارج فئة "الأحداث الأخرى" وإن حقه في التجمع السلمي قد انتُهك. وفي </w:t>
      </w:r>
      <w:r w:rsidRPr="00A648BD">
        <w:rPr>
          <w:rFonts w:eastAsiaTheme="minorEastAsia"/>
          <w:rtl/>
        </w:rPr>
        <w:t>7</w:t>
      </w:r>
      <w:r w:rsidRPr="008439DC">
        <w:rPr>
          <w:rFonts w:eastAsiaTheme="minorEastAsia"/>
          <w:rtl/>
        </w:rPr>
        <w:t xml:space="preserve"> أيلول/سبتمبر </w:t>
      </w:r>
      <w:r w:rsidRPr="00A648BD">
        <w:rPr>
          <w:rFonts w:eastAsiaTheme="minorEastAsia"/>
          <w:rtl/>
        </w:rPr>
        <w:t>2012</w:t>
      </w:r>
      <w:r w:rsidRPr="008439DC">
        <w:rPr>
          <w:rFonts w:eastAsiaTheme="minorEastAsia"/>
          <w:rtl/>
        </w:rPr>
        <w:t>، رفضت محكمة غوميل الإقليمية طلب الاستئناف الذي قدمه صاحب البلاغ.</w:t>
      </w:r>
    </w:p>
    <w:p w14:paraId="32538FA8" w14:textId="51ABE738" w:rsidR="001036B6" w:rsidRPr="008439DC" w:rsidRDefault="001036B6" w:rsidP="001036B6">
      <w:pPr>
        <w:pStyle w:val="SingleTxtGA"/>
        <w:rPr>
          <w:rFonts w:eastAsiaTheme="minorEastAsia"/>
          <w:lang w:val="ar-SA" w:eastAsia="zh-TW" w:bidi="en-GB"/>
        </w:rPr>
      </w:pPr>
      <w:r w:rsidRPr="00A648BD">
        <w:rPr>
          <w:rFonts w:eastAsiaTheme="minorEastAsia"/>
          <w:rtl/>
        </w:rPr>
        <w:t>2</w:t>
      </w:r>
      <w:r w:rsidRPr="008439DC">
        <w:rPr>
          <w:rFonts w:eastAsiaTheme="minorEastAsia"/>
          <w:rtl/>
        </w:rPr>
        <w:t>-</w:t>
      </w:r>
      <w:r w:rsidRPr="00A648BD">
        <w:rPr>
          <w:rFonts w:eastAsiaTheme="minorEastAsia"/>
          <w:rtl/>
        </w:rPr>
        <w:t>7</w:t>
      </w:r>
      <w:r w:rsidRPr="008439DC">
        <w:rPr>
          <w:rFonts w:eastAsiaTheme="minorEastAsia"/>
          <w:rtl/>
        </w:rPr>
        <w:tab/>
        <w:t>وفي تاريخ غير محدد، قدم صاحب البلاغ طعن</w:t>
      </w:r>
      <w:r w:rsidR="0092683E" w:rsidRPr="008439DC">
        <w:rPr>
          <w:rFonts w:eastAsiaTheme="minorEastAsia"/>
          <w:rtl/>
        </w:rPr>
        <w:t xml:space="preserve">اً </w:t>
      </w:r>
      <w:r w:rsidRPr="008439DC">
        <w:rPr>
          <w:rFonts w:eastAsiaTheme="minorEastAsia"/>
          <w:rtl/>
        </w:rPr>
        <w:t xml:space="preserve">إلى المحكمة العليا بغرض إجراء مراجعة قضائية، ولكن طعنه أعيد إلى محكمة غوميل الإقليمية. ورفضت محكمة غوميل الإقليمية الطعن في </w:t>
      </w:r>
      <w:r w:rsidRPr="00A648BD">
        <w:rPr>
          <w:rFonts w:eastAsiaTheme="minorEastAsia"/>
          <w:rtl/>
        </w:rPr>
        <w:t>25</w:t>
      </w:r>
      <w:r w:rsidRPr="008439DC">
        <w:rPr>
          <w:rFonts w:eastAsiaTheme="minorEastAsia"/>
          <w:rtl/>
        </w:rPr>
        <w:t xml:space="preserve"> آذار/مارس </w:t>
      </w:r>
      <w:r w:rsidRPr="00A648BD">
        <w:rPr>
          <w:rFonts w:eastAsiaTheme="minorEastAsia"/>
          <w:rtl/>
        </w:rPr>
        <w:t>2013</w:t>
      </w:r>
      <w:r w:rsidRPr="008439DC">
        <w:rPr>
          <w:rFonts w:eastAsiaTheme="minorEastAsia"/>
          <w:rtl/>
        </w:rPr>
        <w:t xml:space="preserve"> على أساس أن القيود المفروضة على إقامة الأحداث الجماهيرية تصب في مصلحة النظام العام وحماية الصحة العامة أو الآداب العامة وحقوق الآخرين وحرياتهم؛ وأن الصلاة الجماعية التي نظمها صاحب البلاغ تشكل انتهاك</w:t>
      </w:r>
      <w:r w:rsidR="0092683E" w:rsidRPr="008439DC">
        <w:rPr>
          <w:rFonts w:eastAsiaTheme="minorEastAsia"/>
          <w:rtl/>
        </w:rPr>
        <w:t xml:space="preserve">اً </w:t>
      </w:r>
      <w:r w:rsidRPr="008439DC">
        <w:rPr>
          <w:rFonts w:eastAsiaTheme="minorEastAsia"/>
          <w:rtl/>
        </w:rPr>
        <w:t xml:space="preserve">لقانون حرية الضمير والمنظمات الدينية وقانون الأحداث العامة تترتب عليه مسؤولية بموجب المادة </w:t>
      </w:r>
      <w:r w:rsidRPr="00A648BD">
        <w:rPr>
          <w:rFonts w:eastAsiaTheme="minorEastAsia"/>
          <w:rtl/>
        </w:rPr>
        <w:t>23</w:t>
      </w:r>
      <w:r w:rsidRPr="008439DC">
        <w:rPr>
          <w:rFonts w:eastAsiaTheme="minorEastAsia"/>
          <w:rtl/>
        </w:rPr>
        <w:t>-</w:t>
      </w:r>
      <w:r w:rsidRPr="00A648BD">
        <w:rPr>
          <w:rFonts w:eastAsiaTheme="minorEastAsia"/>
          <w:rtl/>
        </w:rPr>
        <w:t>34</w:t>
      </w:r>
      <w:r w:rsidRPr="008439DC">
        <w:rPr>
          <w:rFonts w:eastAsiaTheme="minorEastAsia"/>
          <w:rtl/>
        </w:rPr>
        <w:t>(</w:t>
      </w:r>
      <w:r w:rsidR="001B19A1" w:rsidRPr="00A648BD">
        <w:rPr>
          <w:rFonts w:eastAsiaTheme="minorEastAsia"/>
          <w:rtl/>
        </w:rPr>
        <w:t>2</w:t>
      </w:r>
      <w:r w:rsidR="001B19A1" w:rsidRPr="008439DC">
        <w:rPr>
          <w:rFonts w:eastAsiaTheme="minorEastAsia"/>
          <w:rtl/>
        </w:rPr>
        <w:t xml:space="preserve">) </w:t>
      </w:r>
      <w:r w:rsidRPr="008439DC">
        <w:rPr>
          <w:rFonts w:eastAsiaTheme="minorEastAsia"/>
          <w:rtl/>
        </w:rPr>
        <w:t>من قانون الجرائم الإدارية.</w:t>
      </w:r>
    </w:p>
    <w:p w14:paraId="4ABAEED1" w14:textId="0E0DB24B" w:rsidR="001036B6" w:rsidRPr="008439DC" w:rsidRDefault="001036B6" w:rsidP="001036B6">
      <w:pPr>
        <w:pStyle w:val="SingleTxtGA"/>
        <w:rPr>
          <w:rFonts w:eastAsiaTheme="minorEastAsia"/>
          <w:lang w:val="ar-SA" w:eastAsia="zh-TW" w:bidi="en-GB"/>
        </w:rPr>
      </w:pPr>
      <w:r w:rsidRPr="00A648BD">
        <w:rPr>
          <w:rFonts w:eastAsiaTheme="minorEastAsia"/>
          <w:rtl/>
        </w:rPr>
        <w:t>2</w:t>
      </w:r>
      <w:r w:rsidRPr="008439DC">
        <w:rPr>
          <w:rFonts w:eastAsiaTheme="minorEastAsia"/>
          <w:spacing w:val="-2"/>
          <w:rtl/>
        </w:rPr>
        <w:t>-</w:t>
      </w:r>
      <w:r w:rsidRPr="00A648BD">
        <w:rPr>
          <w:rFonts w:eastAsiaTheme="minorEastAsia"/>
          <w:spacing w:val="-2"/>
          <w:rtl/>
        </w:rPr>
        <w:t>8</w:t>
      </w:r>
      <w:r w:rsidRPr="008439DC">
        <w:rPr>
          <w:rFonts w:eastAsiaTheme="minorEastAsia"/>
          <w:spacing w:val="-2"/>
          <w:rtl/>
        </w:rPr>
        <w:tab/>
        <w:t>وقد سعى صاحب البلاغ إلى إيجاد حل دائم يتيح للجماعة الحصول على دار للعبادة، بما</w:t>
      </w:r>
      <w:r w:rsidR="0092683E" w:rsidRPr="008439DC">
        <w:rPr>
          <w:rFonts w:eastAsiaTheme="minorEastAsia" w:hint="cs"/>
          <w:spacing w:val="-2"/>
          <w:rtl/>
        </w:rPr>
        <w:t> </w:t>
      </w:r>
      <w:r w:rsidRPr="008439DC">
        <w:rPr>
          <w:rFonts w:eastAsiaTheme="minorEastAsia"/>
          <w:spacing w:val="-2"/>
          <w:rtl/>
        </w:rPr>
        <w:t>يشمل</w:t>
      </w:r>
      <w:r w:rsidRPr="008439DC">
        <w:rPr>
          <w:rFonts w:eastAsiaTheme="minorEastAsia"/>
          <w:rtl/>
        </w:rPr>
        <w:t xml:space="preserve"> بناء محلّ على قطعة أرض يكون مخصص</w:t>
      </w:r>
      <w:r w:rsidR="0092683E" w:rsidRPr="008439DC">
        <w:rPr>
          <w:rFonts w:eastAsiaTheme="minorEastAsia"/>
          <w:rtl/>
        </w:rPr>
        <w:t xml:space="preserve">اً </w:t>
      </w:r>
      <w:r w:rsidRPr="008439DC">
        <w:rPr>
          <w:rFonts w:eastAsiaTheme="minorEastAsia"/>
          <w:rtl/>
        </w:rPr>
        <w:t xml:space="preserve">لإقامة الشعائر. ومع ذلك، رفضت اللجنة التنفيذية لمقاطعة </w:t>
      </w:r>
      <w:r w:rsidRPr="008439DC">
        <w:rPr>
          <w:rFonts w:eastAsiaTheme="minorEastAsia"/>
          <w:spacing w:val="-2"/>
          <w:rtl/>
        </w:rPr>
        <w:t xml:space="preserve">راهاتشو طلباته الحصول على قطعتي أرض مختلفتين. وفي </w:t>
      </w:r>
      <w:r w:rsidRPr="00A648BD">
        <w:rPr>
          <w:rFonts w:eastAsiaTheme="minorEastAsia"/>
          <w:spacing w:val="-2"/>
          <w:rtl/>
        </w:rPr>
        <w:t>11</w:t>
      </w:r>
      <w:r w:rsidRPr="008439DC">
        <w:rPr>
          <w:rFonts w:eastAsiaTheme="minorEastAsia"/>
          <w:spacing w:val="-2"/>
          <w:rtl/>
        </w:rPr>
        <w:t xml:space="preserve"> حزيران/يونيه </w:t>
      </w:r>
      <w:r w:rsidRPr="00A648BD">
        <w:rPr>
          <w:rFonts w:eastAsiaTheme="minorEastAsia"/>
          <w:spacing w:val="-2"/>
          <w:rtl/>
        </w:rPr>
        <w:t>2012</w:t>
      </w:r>
      <w:r w:rsidRPr="008439DC">
        <w:rPr>
          <w:rFonts w:eastAsiaTheme="minorEastAsia"/>
          <w:spacing w:val="-2"/>
          <w:rtl/>
        </w:rPr>
        <w:t>، طلب صاحب البلاغ</w:t>
      </w:r>
      <w:r w:rsidRPr="008439DC">
        <w:rPr>
          <w:rFonts w:eastAsiaTheme="minorEastAsia"/>
          <w:rtl/>
        </w:rPr>
        <w:t xml:space="preserve"> رسمي</w:t>
      </w:r>
      <w:r w:rsidR="0092683E" w:rsidRPr="008439DC">
        <w:rPr>
          <w:rFonts w:eastAsiaTheme="minorEastAsia"/>
          <w:rtl/>
        </w:rPr>
        <w:t xml:space="preserve">اً </w:t>
      </w:r>
      <w:r w:rsidRPr="008439DC">
        <w:rPr>
          <w:rFonts w:eastAsiaTheme="minorEastAsia"/>
          <w:rtl/>
        </w:rPr>
        <w:t>بصفته رئيس الجماعة إذن</w:t>
      </w:r>
      <w:r w:rsidR="0092683E" w:rsidRPr="008439DC">
        <w:rPr>
          <w:rFonts w:eastAsiaTheme="minorEastAsia"/>
          <w:rtl/>
        </w:rPr>
        <w:t xml:space="preserve">اً </w:t>
      </w:r>
      <w:r w:rsidRPr="008439DC">
        <w:rPr>
          <w:rFonts w:eastAsiaTheme="minorEastAsia"/>
          <w:rtl/>
        </w:rPr>
        <w:t xml:space="preserve">بإقامة شعائر دينية منتظمة في منزل السيدة فولتشكوفا. وبعد أن قدّم طلبات متتالية، حصل على تراخيص مؤقتة حتى </w:t>
      </w:r>
      <w:r w:rsidRPr="00A648BD">
        <w:rPr>
          <w:rFonts w:eastAsiaTheme="minorEastAsia"/>
          <w:rtl/>
        </w:rPr>
        <w:t>31</w:t>
      </w:r>
      <w:r w:rsidRPr="008439DC">
        <w:rPr>
          <w:rFonts w:eastAsiaTheme="minorEastAsia"/>
          <w:rtl/>
        </w:rPr>
        <w:t xml:space="preserve"> كانون الأول/ديسمبر </w:t>
      </w:r>
      <w:r w:rsidRPr="00A648BD">
        <w:rPr>
          <w:rFonts w:eastAsiaTheme="minorEastAsia"/>
          <w:rtl/>
        </w:rPr>
        <w:t>2012</w:t>
      </w:r>
      <w:r w:rsidRPr="008439DC">
        <w:rPr>
          <w:rFonts w:eastAsiaTheme="minorEastAsia"/>
          <w:rtl/>
        </w:rPr>
        <w:t xml:space="preserve"> لإقامة شعائر دينية مرة </w:t>
      </w:r>
      <w:r w:rsidRPr="008439DC">
        <w:rPr>
          <w:rFonts w:eastAsiaTheme="minorEastAsia"/>
          <w:spacing w:val="-3"/>
          <w:rtl/>
        </w:rPr>
        <w:t>واحدة في الأسبوع في مرحلة أولى، ثم مرتين في الأسبوع، ولكن في ساعات محددة سلف</w:t>
      </w:r>
      <w:r w:rsidR="0092683E" w:rsidRPr="008439DC">
        <w:rPr>
          <w:rFonts w:eastAsiaTheme="minorEastAsia"/>
          <w:spacing w:val="-3"/>
          <w:rtl/>
        </w:rPr>
        <w:t xml:space="preserve">اً </w:t>
      </w:r>
      <w:r w:rsidRPr="008439DC">
        <w:rPr>
          <w:rFonts w:eastAsiaTheme="minorEastAsia"/>
          <w:spacing w:val="-3"/>
          <w:rtl/>
        </w:rPr>
        <w:t>دون سواها. ولم</w:t>
      </w:r>
      <w:r w:rsidR="008439DC" w:rsidRPr="008439DC">
        <w:rPr>
          <w:rFonts w:eastAsiaTheme="minorEastAsia" w:hint="cs"/>
          <w:spacing w:val="-3"/>
          <w:rtl/>
        </w:rPr>
        <w:t> </w:t>
      </w:r>
      <w:r w:rsidRPr="008439DC">
        <w:rPr>
          <w:rFonts w:eastAsiaTheme="minorEastAsia"/>
          <w:spacing w:val="-3"/>
          <w:rtl/>
        </w:rPr>
        <w:t>تقدّم</w:t>
      </w:r>
      <w:r w:rsidRPr="008439DC">
        <w:rPr>
          <w:rFonts w:eastAsiaTheme="minorEastAsia"/>
          <w:rtl/>
        </w:rPr>
        <w:t xml:space="preserve"> اللجنة التنفيذية أي تفسير للقيود التعسفية المفروضة على الأيام والأوقات التي يجوز فيها لأعضاء الجماعة إقامة شعائرهم الدينية. ولكن عندما تقدمت السيدة فولتشكوفا في كانون الثاني/يناير </w:t>
      </w:r>
      <w:r w:rsidRPr="00A648BD">
        <w:rPr>
          <w:rFonts w:eastAsiaTheme="minorEastAsia"/>
          <w:rtl/>
        </w:rPr>
        <w:t>2013</w:t>
      </w:r>
      <w:r w:rsidRPr="008439DC">
        <w:rPr>
          <w:rFonts w:eastAsiaTheme="minorEastAsia"/>
          <w:rtl/>
        </w:rPr>
        <w:t xml:space="preserve"> بطلب للحصول على تصريح لاستخدام مسكنها ليكون مكان عبادة دائم</w:t>
      </w:r>
      <w:r w:rsidR="0092683E" w:rsidRPr="008439DC">
        <w:rPr>
          <w:rFonts w:eastAsiaTheme="minorEastAsia"/>
          <w:rtl/>
        </w:rPr>
        <w:t xml:space="preserve">اً </w:t>
      </w:r>
      <w:r w:rsidRPr="008439DC">
        <w:rPr>
          <w:rFonts w:eastAsiaTheme="minorEastAsia"/>
          <w:rtl/>
        </w:rPr>
        <w:t xml:space="preserve">للجماعة، رفضت اللجنة التنفيذية طلبها. وفي </w:t>
      </w:r>
      <w:r w:rsidRPr="00A648BD">
        <w:rPr>
          <w:rFonts w:eastAsiaTheme="minorEastAsia"/>
          <w:rtl/>
        </w:rPr>
        <w:t>2</w:t>
      </w:r>
      <w:r w:rsidRPr="008439DC">
        <w:rPr>
          <w:rFonts w:eastAsiaTheme="minorEastAsia"/>
          <w:rtl/>
        </w:rPr>
        <w:t xml:space="preserve"> آذار/مارس </w:t>
      </w:r>
      <w:r w:rsidRPr="00A648BD">
        <w:rPr>
          <w:rFonts w:eastAsiaTheme="minorEastAsia"/>
          <w:rtl/>
        </w:rPr>
        <w:t>2013</w:t>
      </w:r>
      <w:r w:rsidRPr="008439DC">
        <w:rPr>
          <w:rFonts w:eastAsiaTheme="minorEastAsia"/>
          <w:rtl/>
        </w:rPr>
        <w:t xml:space="preserve">، عُدّل قانون الإسكان من أجل السماح باستخدام المنازل الخاصة لإقامة الشعائر الدينية. وتقدمت السيدة فولتشكوفا مرتين في عامي </w:t>
      </w:r>
      <w:r w:rsidRPr="00A648BD">
        <w:rPr>
          <w:rFonts w:eastAsiaTheme="minorEastAsia"/>
          <w:rtl/>
        </w:rPr>
        <w:t>2013</w:t>
      </w:r>
      <w:r w:rsidRPr="008439DC">
        <w:rPr>
          <w:rFonts w:eastAsiaTheme="minorEastAsia"/>
          <w:rtl/>
        </w:rPr>
        <w:t xml:space="preserve"> و</w:t>
      </w:r>
      <w:r w:rsidRPr="00A648BD">
        <w:rPr>
          <w:rFonts w:eastAsiaTheme="minorEastAsia"/>
          <w:rtl/>
        </w:rPr>
        <w:t>2014</w:t>
      </w:r>
      <w:r w:rsidRPr="008439DC">
        <w:rPr>
          <w:rFonts w:eastAsiaTheme="minorEastAsia"/>
          <w:rtl/>
        </w:rPr>
        <w:t xml:space="preserve"> بطلب لتحويل جزء من مسكنها لكي تستخدمه الجماعة لغايات دينية، ولكن اللجنة التنفيذية رفضت كلا الطلبين على أساس تعذر مراعاة اللوائح الصحية ولوائح الوقاية من الحرائق فيما يتصل بالمساكن.</w:t>
      </w:r>
    </w:p>
    <w:p w14:paraId="0068B4C3" w14:textId="77777777" w:rsidR="001036B6" w:rsidRPr="008439DC" w:rsidRDefault="001036B6" w:rsidP="001036B6">
      <w:pPr>
        <w:pStyle w:val="SingleTxtGA"/>
        <w:rPr>
          <w:rFonts w:eastAsiaTheme="minorEastAsia"/>
          <w:lang w:val="ar-SA" w:eastAsia="zh-TW" w:bidi="en-GB"/>
        </w:rPr>
      </w:pPr>
      <w:r w:rsidRPr="00A648BD">
        <w:rPr>
          <w:rFonts w:eastAsiaTheme="minorEastAsia"/>
          <w:rtl/>
        </w:rPr>
        <w:t>2</w:t>
      </w:r>
      <w:r w:rsidRPr="008439DC">
        <w:rPr>
          <w:rFonts w:eastAsiaTheme="minorEastAsia"/>
          <w:rtl/>
        </w:rPr>
        <w:t>-</w:t>
      </w:r>
      <w:r w:rsidRPr="00A648BD">
        <w:rPr>
          <w:rFonts w:eastAsiaTheme="minorEastAsia"/>
          <w:rtl/>
        </w:rPr>
        <w:t>9</w:t>
      </w:r>
      <w:r w:rsidRPr="008439DC">
        <w:rPr>
          <w:rFonts w:eastAsiaTheme="minorEastAsia"/>
          <w:rtl/>
        </w:rPr>
        <w:tab/>
        <w:t>ويدفع صاحب البلاغ بأنه استنفد جميع سبل الانتصاف المحلية الفعالة.</w:t>
      </w:r>
    </w:p>
    <w:p w14:paraId="4BEB5D21" w14:textId="77777777" w:rsidR="001036B6" w:rsidRPr="00A648BD" w:rsidRDefault="001036B6" w:rsidP="001036B6">
      <w:pPr>
        <w:pStyle w:val="H23GA"/>
        <w:rPr>
          <w:lang w:val="ar-SA" w:eastAsia="zh-TW" w:bidi="en-GB"/>
        </w:rPr>
      </w:pPr>
      <w:r w:rsidRPr="00A648BD">
        <w:rPr>
          <w:rtl/>
        </w:rPr>
        <w:lastRenderedPageBreak/>
        <w:tab/>
      </w:r>
      <w:r w:rsidRPr="00A648BD">
        <w:rPr>
          <w:rtl/>
        </w:rPr>
        <w:tab/>
        <w:t>الشكوى</w:t>
      </w:r>
    </w:p>
    <w:p w14:paraId="1F608EFD" w14:textId="714AA8F6" w:rsidR="001036B6" w:rsidRPr="008439DC" w:rsidRDefault="001036B6" w:rsidP="001036B6">
      <w:pPr>
        <w:pStyle w:val="SingleTxtGA"/>
        <w:rPr>
          <w:rFonts w:eastAsiaTheme="minorEastAsia"/>
          <w:lang w:val="ar-SA" w:eastAsia="zh-TW" w:bidi="en-GB"/>
        </w:rPr>
      </w:pPr>
      <w:r w:rsidRPr="00A648BD">
        <w:rPr>
          <w:rFonts w:eastAsiaTheme="minorEastAsia"/>
          <w:rtl/>
        </w:rPr>
        <w:t>3</w:t>
      </w:r>
      <w:r w:rsidRPr="008439DC">
        <w:rPr>
          <w:rFonts w:eastAsiaTheme="minorEastAsia"/>
          <w:rtl/>
        </w:rPr>
        <w:t>-</w:t>
      </w:r>
      <w:r w:rsidRPr="00A648BD">
        <w:rPr>
          <w:rFonts w:eastAsiaTheme="minorEastAsia"/>
          <w:rtl/>
        </w:rPr>
        <w:t>1</w:t>
      </w:r>
      <w:r w:rsidRPr="008439DC">
        <w:rPr>
          <w:rFonts w:eastAsiaTheme="minorEastAsia"/>
          <w:rtl/>
        </w:rPr>
        <w:tab/>
        <w:t xml:space="preserve">يدعي صاحب البلاغ أن مقاضاته وإدانته بسبب تنظيم وإقامة شعائر دينية على أساس قانون الجرائم الإدارية، بالاقتران مع قانون الأحداث العامة وقانون حرية الضمير والمنظمات الدينية، تنتهكان حقوقه الكفولة بموجب المواد </w:t>
      </w:r>
      <w:r w:rsidRPr="00A648BD">
        <w:rPr>
          <w:rFonts w:eastAsiaTheme="minorEastAsia"/>
          <w:rtl/>
        </w:rPr>
        <w:t>18</w:t>
      </w:r>
      <w:r w:rsidRPr="008439DC">
        <w:rPr>
          <w:rFonts w:eastAsiaTheme="minorEastAsia"/>
          <w:rtl/>
        </w:rPr>
        <w:t>(</w:t>
      </w:r>
      <w:r w:rsidR="001B19A1" w:rsidRPr="00A648BD">
        <w:rPr>
          <w:rFonts w:eastAsiaTheme="minorEastAsia"/>
          <w:rtl/>
        </w:rPr>
        <w:t>1</w:t>
      </w:r>
      <w:r w:rsidR="001B19A1" w:rsidRPr="008439DC">
        <w:rPr>
          <w:rFonts w:eastAsiaTheme="minorEastAsia"/>
          <w:rtl/>
        </w:rPr>
        <w:t xml:space="preserve">) </w:t>
      </w:r>
      <w:r w:rsidRPr="008439DC">
        <w:rPr>
          <w:rFonts w:eastAsiaTheme="minorEastAsia"/>
          <w:rtl/>
        </w:rPr>
        <w:t>و</w:t>
      </w:r>
      <w:r w:rsidRPr="00A648BD">
        <w:rPr>
          <w:rFonts w:eastAsiaTheme="minorEastAsia"/>
          <w:rtl/>
        </w:rPr>
        <w:t>19</w:t>
      </w:r>
      <w:r w:rsidRPr="008439DC">
        <w:rPr>
          <w:rFonts w:eastAsiaTheme="minorEastAsia"/>
          <w:rtl/>
        </w:rPr>
        <w:t>(</w:t>
      </w:r>
      <w:r w:rsidR="001B19A1" w:rsidRPr="00A648BD">
        <w:rPr>
          <w:rFonts w:eastAsiaTheme="minorEastAsia"/>
          <w:rtl/>
        </w:rPr>
        <w:t>2</w:t>
      </w:r>
      <w:r w:rsidR="001B19A1" w:rsidRPr="008439DC">
        <w:rPr>
          <w:rFonts w:eastAsiaTheme="minorEastAsia"/>
          <w:rtl/>
        </w:rPr>
        <w:t xml:space="preserve">) </w:t>
      </w:r>
      <w:r w:rsidRPr="008439DC">
        <w:rPr>
          <w:rFonts w:eastAsiaTheme="minorEastAsia"/>
          <w:rtl/>
        </w:rPr>
        <w:t>و</w:t>
      </w:r>
      <w:r w:rsidRPr="00A648BD">
        <w:rPr>
          <w:rFonts w:eastAsiaTheme="minorEastAsia"/>
          <w:rtl/>
        </w:rPr>
        <w:t>21</w:t>
      </w:r>
      <w:r w:rsidRPr="008439DC">
        <w:rPr>
          <w:rFonts w:eastAsiaTheme="minorEastAsia"/>
          <w:rtl/>
        </w:rPr>
        <w:t xml:space="preserve"> و</w:t>
      </w:r>
      <w:r w:rsidRPr="00A648BD">
        <w:rPr>
          <w:rFonts w:eastAsiaTheme="minorEastAsia"/>
          <w:rtl/>
        </w:rPr>
        <w:t>22</w:t>
      </w:r>
      <w:r w:rsidRPr="008439DC">
        <w:rPr>
          <w:rFonts w:eastAsiaTheme="minorEastAsia"/>
          <w:rtl/>
        </w:rPr>
        <w:t>(</w:t>
      </w:r>
      <w:r w:rsidR="001B19A1" w:rsidRPr="00A648BD">
        <w:rPr>
          <w:rFonts w:eastAsiaTheme="minorEastAsia"/>
          <w:rtl/>
        </w:rPr>
        <w:t>1</w:t>
      </w:r>
      <w:r w:rsidR="001B19A1" w:rsidRPr="008439DC">
        <w:rPr>
          <w:rFonts w:eastAsiaTheme="minorEastAsia"/>
          <w:rtl/>
        </w:rPr>
        <w:t xml:space="preserve">) </w:t>
      </w:r>
      <w:r w:rsidRPr="008439DC">
        <w:rPr>
          <w:rFonts w:eastAsiaTheme="minorEastAsia"/>
          <w:rtl/>
        </w:rPr>
        <w:t>من العهد. ويرى أن هذه المقاضاة والإدانة يشكلان تدخل</w:t>
      </w:r>
      <w:r w:rsidR="0092683E" w:rsidRPr="008439DC">
        <w:rPr>
          <w:rFonts w:eastAsiaTheme="minorEastAsia"/>
          <w:rtl/>
        </w:rPr>
        <w:t xml:space="preserve">اً </w:t>
      </w:r>
      <w:r w:rsidRPr="008439DC">
        <w:rPr>
          <w:rFonts w:eastAsiaTheme="minorEastAsia"/>
          <w:rtl/>
        </w:rPr>
        <w:t>في حقه في حرية المجاهرة بعقيدته مع الآخرين وحقوقه في حرية التعبير والتجمع وتكوين الجمعيات، وهي حقوق لا توجب أي تبرير. ويشير صاحب البلاغ أيض</w:t>
      </w:r>
      <w:r w:rsidR="0092683E" w:rsidRPr="008439DC">
        <w:rPr>
          <w:rFonts w:eastAsiaTheme="minorEastAsia"/>
          <w:rtl/>
        </w:rPr>
        <w:t xml:space="preserve">اً </w:t>
      </w:r>
      <w:r w:rsidRPr="008439DC">
        <w:rPr>
          <w:rFonts w:eastAsiaTheme="minorEastAsia"/>
          <w:rtl/>
        </w:rPr>
        <w:t>إلى الآراء السابقة الصادرة عن اللجنة التي أكدت فيها مرار</w:t>
      </w:r>
      <w:r w:rsidR="0092683E" w:rsidRPr="008439DC">
        <w:rPr>
          <w:rFonts w:eastAsiaTheme="minorEastAsia"/>
          <w:rtl/>
        </w:rPr>
        <w:t xml:space="preserve">اً </w:t>
      </w:r>
      <w:r w:rsidRPr="008439DC">
        <w:rPr>
          <w:rFonts w:eastAsiaTheme="minorEastAsia"/>
          <w:rtl/>
        </w:rPr>
        <w:t>أنه لا يجوز تبرير القيود إلا على أساس القانون المحلي وأن التقييد يجب أن يكون ضروري</w:t>
      </w:r>
      <w:r w:rsidR="0092683E" w:rsidRPr="008439DC">
        <w:rPr>
          <w:rFonts w:eastAsiaTheme="minorEastAsia"/>
          <w:rtl/>
        </w:rPr>
        <w:t xml:space="preserve">اً </w:t>
      </w:r>
      <w:r w:rsidRPr="008439DC">
        <w:rPr>
          <w:rFonts w:eastAsiaTheme="minorEastAsia"/>
          <w:rtl/>
        </w:rPr>
        <w:t>لأحد الأغراض المشروعة المنصوص عليها في العهد.</w:t>
      </w:r>
    </w:p>
    <w:p w14:paraId="565A3329" w14:textId="4D3AFDC8" w:rsidR="001036B6" w:rsidRPr="008439DC" w:rsidRDefault="001036B6" w:rsidP="001036B6">
      <w:pPr>
        <w:pStyle w:val="SingleTxtGA"/>
        <w:rPr>
          <w:rFonts w:eastAsiaTheme="minorEastAsia"/>
          <w:lang w:val="ar-SA" w:eastAsia="zh-TW" w:bidi="en-GB"/>
        </w:rPr>
      </w:pPr>
      <w:r w:rsidRPr="00A648BD">
        <w:rPr>
          <w:rFonts w:eastAsiaTheme="minorEastAsia"/>
          <w:rtl/>
        </w:rPr>
        <w:t>3</w:t>
      </w:r>
      <w:r w:rsidRPr="008439DC">
        <w:rPr>
          <w:rFonts w:eastAsiaTheme="minorEastAsia"/>
          <w:rtl/>
        </w:rPr>
        <w:t>-</w:t>
      </w:r>
      <w:r w:rsidRPr="00A648BD">
        <w:rPr>
          <w:rFonts w:eastAsiaTheme="minorEastAsia"/>
          <w:rtl/>
        </w:rPr>
        <w:t>2</w:t>
      </w:r>
      <w:r w:rsidRPr="008439DC">
        <w:rPr>
          <w:rFonts w:eastAsiaTheme="minorEastAsia"/>
          <w:rtl/>
        </w:rPr>
        <w:tab/>
        <w:t>ويدعي صاحب البلاغ أن شرط الإخطار بإقامة شعائر دينية في مسكن خاص ليس ضروري</w:t>
      </w:r>
      <w:r w:rsidR="0092683E" w:rsidRPr="008439DC">
        <w:rPr>
          <w:rFonts w:eastAsiaTheme="minorEastAsia"/>
          <w:rtl/>
        </w:rPr>
        <w:t xml:space="preserve">اً </w:t>
      </w:r>
      <w:r w:rsidRPr="008439DC">
        <w:rPr>
          <w:rFonts w:eastAsiaTheme="minorEastAsia"/>
          <w:rtl/>
        </w:rPr>
        <w:t xml:space="preserve">في مجتمع ديمقراطي. ويشير إلى أنه يستهدف الأقليات الدينية التي لا تحظى في الغالب بدور عبادة خاصة بها، على عكس الكنيسة الأرثوذكسية الروسية. ويدفع صاحب البلاغ بأن السلامة الصحية والسلامة من الحرائق قد تشكلان مصدر قلق مشروع يساور الدولة، غير أنهما لا تبرران الحظر التام الذي تفرضه المادة </w:t>
      </w:r>
      <w:r w:rsidRPr="00A648BD">
        <w:rPr>
          <w:rFonts w:eastAsiaTheme="minorEastAsia"/>
          <w:rtl/>
        </w:rPr>
        <w:t>25</w:t>
      </w:r>
      <w:r w:rsidRPr="008439DC">
        <w:rPr>
          <w:rFonts w:eastAsiaTheme="minorEastAsia"/>
          <w:rtl/>
        </w:rPr>
        <w:t xml:space="preserve"> من قانون حرية الضمير والمنظمات الدينية على إقامة الشعائر الدينية في مواقع غير مخصصة بالتحديد لهذه الأغراض دون سابق إذن من الحكومات المحلية. ويشير إلى عدم وجود حظر مماثل فيما يخص التجمعات غير الدينية مثل حفلات الزفاف والتجمعات العائلية التي يجوز أن تجتمع فيها أعداد مماثلة من الأشخاص في مبنى مستأجر أو مسكن خاص.</w:t>
      </w:r>
    </w:p>
    <w:p w14:paraId="5D698F06" w14:textId="77777777" w:rsidR="001036B6" w:rsidRPr="00A648BD" w:rsidRDefault="001036B6" w:rsidP="001036B6">
      <w:pPr>
        <w:pStyle w:val="H23GA"/>
        <w:rPr>
          <w:lang w:val="ar-SA" w:eastAsia="zh-TW" w:bidi="en-GB"/>
        </w:rPr>
      </w:pPr>
      <w:r w:rsidRPr="00A648BD">
        <w:rPr>
          <w:rtl/>
        </w:rPr>
        <w:tab/>
      </w:r>
      <w:r w:rsidRPr="00A648BD">
        <w:rPr>
          <w:rtl/>
        </w:rPr>
        <w:tab/>
        <w:t>عدم تعاون الدولة الطرف</w:t>
      </w:r>
    </w:p>
    <w:p w14:paraId="13F65706" w14:textId="4762D0E4" w:rsidR="001B19A1" w:rsidRPr="008439DC" w:rsidRDefault="001036B6" w:rsidP="001036B6">
      <w:pPr>
        <w:pStyle w:val="SingleTxtGA"/>
        <w:rPr>
          <w:rFonts w:eastAsiaTheme="minorEastAsia"/>
          <w:lang w:val="ar-SA" w:eastAsia="zh-TW" w:bidi="en-GB"/>
        </w:rPr>
      </w:pPr>
      <w:r w:rsidRPr="00A648BD">
        <w:rPr>
          <w:rFonts w:eastAsiaTheme="minorEastAsia"/>
          <w:rtl/>
        </w:rPr>
        <w:t>4</w:t>
      </w:r>
      <w:r w:rsidRPr="008439DC">
        <w:rPr>
          <w:rFonts w:eastAsiaTheme="minorEastAsia"/>
          <w:rtl/>
        </w:rPr>
        <w:t>-</w:t>
      </w:r>
      <w:r w:rsidRPr="008439DC">
        <w:rPr>
          <w:rFonts w:eastAsiaTheme="minorEastAsia"/>
          <w:rtl/>
        </w:rPr>
        <w:tab/>
        <w:t xml:space="preserve">طلبت اللجنة إلى الدولة الطرف في </w:t>
      </w:r>
      <w:r w:rsidRPr="00A648BD">
        <w:rPr>
          <w:rFonts w:eastAsiaTheme="minorEastAsia"/>
          <w:rtl/>
        </w:rPr>
        <w:t>21</w:t>
      </w:r>
      <w:r w:rsidRPr="008439DC">
        <w:rPr>
          <w:rFonts w:eastAsiaTheme="minorEastAsia"/>
          <w:rtl/>
        </w:rPr>
        <w:t xml:space="preserve"> آب/أغسطس </w:t>
      </w:r>
      <w:r w:rsidRPr="00A648BD">
        <w:rPr>
          <w:rFonts w:eastAsiaTheme="minorEastAsia"/>
          <w:rtl/>
        </w:rPr>
        <w:t>2015</w:t>
      </w:r>
      <w:r w:rsidRPr="008439DC">
        <w:rPr>
          <w:rFonts w:eastAsiaTheme="minorEastAsia"/>
          <w:rtl/>
        </w:rPr>
        <w:t xml:space="preserve"> و</w:t>
      </w:r>
      <w:r w:rsidRPr="00A648BD">
        <w:rPr>
          <w:rFonts w:eastAsiaTheme="minorEastAsia"/>
          <w:rtl/>
        </w:rPr>
        <w:t>29</w:t>
      </w:r>
      <w:r w:rsidRPr="008439DC">
        <w:rPr>
          <w:rFonts w:eastAsiaTheme="minorEastAsia"/>
          <w:rtl/>
        </w:rPr>
        <w:t xml:space="preserve"> تشرين الثاني/نوفمبر </w:t>
      </w:r>
      <w:r w:rsidRPr="00A648BD">
        <w:rPr>
          <w:rFonts w:eastAsiaTheme="minorEastAsia"/>
          <w:rtl/>
        </w:rPr>
        <w:t>2018</w:t>
      </w:r>
      <w:r w:rsidRPr="008439DC">
        <w:rPr>
          <w:rFonts w:eastAsiaTheme="minorEastAsia"/>
          <w:rtl/>
        </w:rPr>
        <w:t xml:space="preserve"> و</w:t>
      </w:r>
      <w:r w:rsidRPr="00A648BD">
        <w:rPr>
          <w:rFonts w:eastAsiaTheme="minorEastAsia"/>
          <w:rtl/>
        </w:rPr>
        <w:t>12</w:t>
      </w:r>
      <w:r w:rsidRPr="008439DC">
        <w:rPr>
          <w:rFonts w:eastAsiaTheme="minorEastAsia"/>
          <w:rtl/>
        </w:rPr>
        <w:t xml:space="preserve"> تشرين الثاني/نوفمبر </w:t>
      </w:r>
      <w:r w:rsidRPr="00A648BD">
        <w:rPr>
          <w:rFonts w:eastAsiaTheme="minorEastAsia"/>
          <w:rtl/>
        </w:rPr>
        <w:t>2020</w:t>
      </w:r>
      <w:r w:rsidRPr="008439DC">
        <w:rPr>
          <w:rFonts w:eastAsiaTheme="minorEastAsia"/>
          <w:rtl/>
        </w:rPr>
        <w:t xml:space="preserve"> أن توافيها بمعلومات وبملاحظاتها عن مقبولية البلاغ محل النظر وأسسه الموضوعية. وتعرب اللجنة عن أسفها لأن الدولة الطرف لم تقدم أي معلومات عن مقبولية ادعاءات صاحب البلاغ أو أسسها الموضوعية. وتشير اللجنة إلى أن المادة </w:t>
      </w:r>
      <w:r w:rsidRPr="00A648BD">
        <w:rPr>
          <w:rFonts w:eastAsiaTheme="minorEastAsia"/>
          <w:rtl/>
        </w:rPr>
        <w:t>4</w:t>
      </w:r>
      <w:r w:rsidRPr="008439DC">
        <w:rPr>
          <w:rFonts w:eastAsiaTheme="minorEastAsia"/>
          <w:rtl/>
        </w:rPr>
        <w:t>(</w:t>
      </w:r>
      <w:r w:rsidR="001B19A1" w:rsidRPr="00A648BD">
        <w:rPr>
          <w:rFonts w:eastAsiaTheme="minorEastAsia"/>
          <w:rtl/>
        </w:rPr>
        <w:t>2</w:t>
      </w:r>
      <w:r w:rsidR="001B19A1" w:rsidRPr="008439DC">
        <w:rPr>
          <w:rFonts w:eastAsiaTheme="minorEastAsia"/>
          <w:rtl/>
        </w:rPr>
        <w:t xml:space="preserve">) </w:t>
      </w:r>
      <w:r w:rsidRPr="008439DC">
        <w:rPr>
          <w:rFonts w:eastAsiaTheme="minorEastAsia"/>
          <w:rtl/>
        </w:rPr>
        <w:t>من البروتوكول الاختياري تلزم الدول الأطراف ضمنياً بأن تنظر بحسن نية في جميع الادعاءات المقدَّمة ضدها، وبأن تتيح للجنة جميع المعلومات التي لديها. ونظراً لعدم ورود أي رد من الدولة الطرف، يجب إيلاء ادعاءات صاحب البلاغ ما تستحقه من اهتمام مادامت هذه الادعاءات مدعّمة بالأدلة</w:t>
      </w:r>
      <w:r w:rsidR="001B19A1" w:rsidRPr="008439DC">
        <w:rPr>
          <w:rStyle w:val="FootnoteReference"/>
          <w:rFonts w:eastAsiaTheme="minorEastAsia"/>
          <w:sz w:val="22"/>
          <w:rtl/>
        </w:rPr>
        <w:t>(</w:t>
      </w:r>
      <w:r w:rsidR="001B19A1" w:rsidRPr="00A648BD">
        <w:rPr>
          <w:rStyle w:val="FootnoteReference"/>
          <w:rFonts w:eastAsiaTheme="minorEastAsia"/>
          <w:sz w:val="22"/>
          <w:lang w:val="en-US"/>
        </w:rPr>
        <w:footnoteReference w:id="8"/>
      </w:r>
      <w:r w:rsidR="001B19A1" w:rsidRPr="008439DC">
        <w:rPr>
          <w:rStyle w:val="FootnoteReference"/>
          <w:rFonts w:eastAsiaTheme="minorEastAsia"/>
          <w:sz w:val="22"/>
          <w:rtl/>
        </w:rPr>
        <w:t>)</w:t>
      </w:r>
      <w:r w:rsidR="001B19A1" w:rsidRPr="008439DC">
        <w:rPr>
          <w:rFonts w:eastAsiaTheme="minorEastAsia"/>
          <w:rtl/>
        </w:rPr>
        <w:t>.</w:t>
      </w:r>
    </w:p>
    <w:p w14:paraId="72C9A3EC" w14:textId="534A2B3C" w:rsidR="001036B6" w:rsidRPr="00A648BD" w:rsidRDefault="001036B6" w:rsidP="001B19A1">
      <w:pPr>
        <w:pStyle w:val="H23GA"/>
        <w:rPr>
          <w:lang w:val="ar-SA" w:eastAsia="zh-TW" w:bidi="en-GB"/>
        </w:rPr>
      </w:pPr>
      <w:r w:rsidRPr="00A648BD">
        <w:rPr>
          <w:rtl/>
        </w:rPr>
        <w:tab/>
      </w:r>
      <w:r w:rsidRPr="00A648BD">
        <w:rPr>
          <w:rtl/>
        </w:rPr>
        <w:tab/>
        <w:t>المسائل والإجراءات المعروضة على اللجنة</w:t>
      </w:r>
    </w:p>
    <w:p w14:paraId="3CA2916A" w14:textId="77777777" w:rsidR="001036B6" w:rsidRPr="00A648BD" w:rsidRDefault="001036B6" w:rsidP="001036B6">
      <w:pPr>
        <w:pStyle w:val="H4GA"/>
        <w:rPr>
          <w:lang w:val="ar-SA" w:eastAsia="zh-TW" w:bidi="en-GB"/>
        </w:rPr>
      </w:pPr>
      <w:r w:rsidRPr="00A648BD">
        <w:rPr>
          <w:rtl/>
        </w:rPr>
        <w:tab/>
      </w:r>
      <w:r w:rsidRPr="00A648BD">
        <w:rPr>
          <w:rtl/>
        </w:rPr>
        <w:tab/>
        <w:t>النظر في المقبولية</w:t>
      </w:r>
    </w:p>
    <w:p w14:paraId="43B172F0" w14:textId="77777777" w:rsidR="001036B6" w:rsidRPr="00A648BD" w:rsidRDefault="001036B6" w:rsidP="001036B6">
      <w:pPr>
        <w:pStyle w:val="SingleTxtGA"/>
        <w:rPr>
          <w:rFonts w:eastAsiaTheme="minorEastAsia"/>
          <w:bCs/>
          <w:lang w:val="ar-SA" w:eastAsia="zh-TW" w:bidi="en-GB"/>
        </w:rPr>
      </w:pPr>
      <w:r w:rsidRPr="00A648BD">
        <w:rPr>
          <w:rFonts w:eastAsiaTheme="minorEastAsia"/>
          <w:rtl/>
        </w:rPr>
        <w:t>5</w:t>
      </w:r>
      <w:r w:rsidRPr="008439DC">
        <w:rPr>
          <w:rFonts w:eastAsiaTheme="minorEastAsia"/>
          <w:rtl/>
        </w:rPr>
        <w:t>-</w:t>
      </w:r>
      <w:r w:rsidRPr="00A648BD">
        <w:rPr>
          <w:rFonts w:eastAsiaTheme="minorEastAsia"/>
          <w:rtl/>
        </w:rPr>
        <w:t>1</w:t>
      </w:r>
      <w:r w:rsidRPr="008439DC">
        <w:rPr>
          <w:rFonts w:eastAsiaTheme="minorEastAsia"/>
          <w:rtl/>
        </w:rPr>
        <w:tab/>
        <w:t xml:space="preserve">قبل النظر في أي ادعاء يرد في بلاغ ما، يجب على اللجنة أن تقرّر، وفقاً للمادة </w:t>
      </w:r>
      <w:r w:rsidRPr="00A648BD">
        <w:rPr>
          <w:rFonts w:eastAsiaTheme="minorEastAsia"/>
          <w:rtl/>
        </w:rPr>
        <w:t>97</w:t>
      </w:r>
      <w:r w:rsidRPr="008439DC">
        <w:rPr>
          <w:rFonts w:eastAsiaTheme="minorEastAsia"/>
          <w:rtl/>
        </w:rPr>
        <w:t xml:space="preserve"> من نظامها الداخلي، ما إذا كان البلاغ مقبولاً أم لا بموجب البروتوكول الاختياري.</w:t>
      </w:r>
    </w:p>
    <w:p w14:paraId="09933C74" w14:textId="77777777" w:rsidR="001036B6" w:rsidRPr="008439DC" w:rsidRDefault="001036B6" w:rsidP="001036B6">
      <w:pPr>
        <w:pStyle w:val="SingleTxtGA"/>
        <w:rPr>
          <w:rFonts w:eastAsiaTheme="minorEastAsia"/>
          <w:lang w:val="ar-SA" w:eastAsia="zh-TW" w:bidi="en-GB"/>
        </w:rPr>
      </w:pPr>
      <w:r w:rsidRPr="00A648BD">
        <w:rPr>
          <w:rFonts w:eastAsiaTheme="minorEastAsia"/>
          <w:rtl/>
        </w:rPr>
        <w:t>5</w:t>
      </w:r>
      <w:r w:rsidRPr="008439DC">
        <w:rPr>
          <w:rFonts w:eastAsiaTheme="minorEastAsia"/>
          <w:rtl/>
        </w:rPr>
        <w:t>-</w:t>
      </w:r>
      <w:r w:rsidRPr="00A648BD">
        <w:rPr>
          <w:rFonts w:eastAsiaTheme="minorEastAsia"/>
          <w:rtl/>
        </w:rPr>
        <w:t>2</w:t>
      </w:r>
      <w:r w:rsidRPr="008439DC">
        <w:rPr>
          <w:rFonts w:eastAsiaTheme="minorEastAsia"/>
          <w:rtl/>
        </w:rPr>
        <w:tab/>
        <w:t xml:space="preserve">وقد تأكّدت اللجنة، وفقاً لما تقتضيه المادة </w:t>
      </w:r>
      <w:r w:rsidRPr="00A648BD">
        <w:rPr>
          <w:rFonts w:eastAsiaTheme="minorEastAsia"/>
          <w:rtl/>
        </w:rPr>
        <w:t>5</w:t>
      </w:r>
      <w:r w:rsidRPr="008439DC">
        <w:rPr>
          <w:rFonts w:eastAsiaTheme="minorEastAsia"/>
          <w:rtl/>
        </w:rPr>
        <w:t>(</w:t>
      </w:r>
      <w:r w:rsidRPr="00A648BD">
        <w:rPr>
          <w:rFonts w:eastAsiaTheme="minorEastAsia"/>
          <w:rtl/>
        </w:rPr>
        <w:t>2</w:t>
      </w:r>
      <w:r w:rsidRPr="008439DC">
        <w:rPr>
          <w:rFonts w:eastAsiaTheme="minorEastAsia"/>
          <w:rtl/>
        </w:rPr>
        <w:t>)(أ) من البروتوكول الاختياري، من أن المسألة نفسها ليست قيد البحث في إطار أي إجراء آخر من إجراءات التحقيق الدولي أو التسوية الدولية.</w:t>
      </w:r>
    </w:p>
    <w:p w14:paraId="7082EAC1" w14:textId="0A71A049" w:rsidR="001036B6" w:rsidRPr="008439DC" w:rsidRDefault="001036B6" w:rsidP="001036B6">
      <w:pPr>
        <w:pStyle w:val="SingleTxtGA"/>
        <w:rPr>
          <w:rFonts w:eastAsiaTheme="minorEastAsia"/>
          <w:lang w:val="ar-SA" w:eastAsia="zh-TW" w:bidi="en-GB"/>
        </w:rPr>
      </w:pPr>
      <w:r w:rsidRPr="00A648BD">
        <w:rPr>
          <w:rFonts w:eastAsiaTheme="minorEastAsia"/>
          <w:rtl/>
        </w:rPr>
        <w:t>5</w:t>
      </w:r>
      <w:r w:rsidRPr="008439DC">
        <w:rPr>
          <w:rFonts w:eastAsiaTheme="minorEastAsia"/>
          <w:rtl/>
        </w:rPr>
        <w:t>-</w:t>
      </w:r>
      <w:r w:rsidRPr="00A648BD">
        <w:rPr>
          <w:rFonts w:eastAsiaTheme="minorEastAsia"/>
          <w:rtl/>
        </w:rPr>
        <w:t>3</w:t>
      </w:r>
      <w:r w:rsidRPr="008439DC">
        <w:rPr>
          <w:rFonts w:eastAsiaTheme="minorEastAsia"/>
          <w:rtl/>
        </w:rPr>
        <w:tab/>
        <w:t>ووفق</w:t>
      </w:r>
      <w:r w:rsidR="0092683E" w:rsidRPr="008439DC">
        <w:rPr>
          <w:rFonts w:eastAsiaTheme="minorEastAsia"/>
          <w:rtl/>
        </w:rPr>
        <w:t xml:space="preserve">اً </w:t>
      </w:r>
      <w:r w:rsidRPr="008439DC">
        <w:rPr>
          <w:rFonts w:eastAsiaTheme="minorEastAsia"/>
          <w:rtl/>
        </w:rPr>
        <w:t xml:space="preserve">للمادة </w:t>
      </w:r>
      <w:r w:rsidRPr="00A648BD">
        <w:rPr>
          <w:rFonts w:eastAsiaTheme="minorEastAsia"/>
          <w:rtl/>
        </w:rPr>
        <w:t>5</w:t>
      </w:r>
      <w:r w:rsidRPr="008439DC">
        <w:rPr>
          <w:rFonts w:eastAsiaTheme="minorEastAsia"/>
          <w:rtl/>
        </w:rPr>
        <w:t>(</w:t>
      </w:r>
      <w:r w:rsidRPr="00A648BD">
        <w:rPr>
          <w:rFonts w:eastAsiaTheme="minorEastAsia"/>
          <w:rtl/>
        </w:rPr>
        <w:t>2</w:t>
      </w:r>
      <w:r w:rsidRPr="008439DC">
        <w:rPr>
          <w:rFonts w:eastAsiaTheme="minorEastAsia"/>
          <w:rtl/>
        </w:rPr>
        <w:t>)(ب) من البروتوكول الاختياري، لا تنظر اللجنة في أي بلاغ يقدمه فرد ما</w:t>
      </w:r>
      <w:r w:rsidR="0092683E" w:rsidRPr="008439DC">
        <w:rPr>
          <w:rFonts w:eastAsiaTheme="minorEastAsia" w:hint="cs"/>
          <w:rtl/>
        </w:rPr>
        <w:t> </w:t>
      </w:r>
      <w:r w:rsidRPr="008439DC">
        <w:rPr>
          <w:rFonts w:eastAsiaTheme="minorEastAsia"/>
          <w:rtl/>
        </w:rPr>
        <w:t>لم</w:t>
      </w:r>
      <w:r w:rsidR="0092683E" w:rsidRPr="008439DC">
        <w:rPr>
          <w:rFonts w:eastAsiaTheme="minorEastAsia" w:hint="cs"/>
          <w:rtl/>
        </w:rPr>
        <w:t> </w:t>
      </w:r>
      <w:r w:rsidRPr="008439DC">
        <w:rPr>
          <w:rFonts w:eastAsiaTheme="minorEastAsia"/>
          <w:rtl/>
        </w:rPr>
        <w:t xml:space="preserve">تتأكد من أن الفرد قد استنفد جميع سبل الانتصاف المحلية المتاحة. وتشير اللجنة إلى أن الدولة </w:t>
      </w:r>
      <w:r w:rsidRPr="008439DC">
        <w:rPr>
          <w:rFonts w:eastAsiaTheme="minorEastAsia"/>
          <w:rtl/>
        </w:rPr>
        <w:lastRenderedPageBreak/>
        <w:t xml:space="preserve">الطرف لم تعترض في هذه القضية على أن صاحب البلاغ قد استنفد جميع سبل الانتصاف المحلية المتاحة. وبناء عليه، ترى اللجنة أن مقتضيات المادة </w:t>
      </w:r>
      <w:r w:rsidRPr="00A648BD">
        <w:rPr>
          <w:rFonts w:eastAsiaTheme="minorEastAsia"/>
          <w:rtl/>
        </w:rPr>
        <w:t>5</w:t>
      </w:r>
      <w:r w:rsidRPr="008439DC">
        <w:rPr>
          <w:rFonts w:eastAsiaTheme="minorEastAsia"/>
          <w:rtl/>
        </w:rPr>
        <w:t>(</w:t>
      </w:r>
      <w:r w:rsidRPr="00A648BD">
        <w:rPr>
          <w:rFonts w:eastAsiaTheme="minorEastAsia"/>
          <w:rtl/>
        </w:rPr>
        <w:t>2</w:t>
      </w:r>
      <w:r w:rsidRPr="008439DC">
        <w:rPr>
          <w:rFonts w:eastAsiaTheme="minorEastAsia"/>
          <w:rtl/>
        </w:rPr>
        <w:t>)(ب) من البروتوكول الاختياري لا تمنعها من النظر في هذا البلاغ.</w:t>
      </w:r>
    </w:p>
    <w:p w14:paraId="6974EC4A" w14:textId="785629F3" w:rsidR="001036B6" w:rsidRPr="008439DC" w:rsidRDefault="001036B6" w:rsidP="001036B6">
      <w:pPr>
        <w:pStyle w:val="SingleTxtGA"/>
        <w:rPr>
          <w:rFonts w:eastAsiaTheme="minorEastAsia"/>
          <w:lang w:val="ar-SA" w:eastAsia="zh-TW" w:bidi="en-GB"/>
        </w:rPr>
      </w:pPr>
      <w:r w:rsidRPr="00A648BD">
        <w:rPr>
          <w:rFonts w:eastAsiaTheme="minorEastAsia"/>
          <w:rtl/>
        </w:rPr>
        <w:t>5</w:t>
      </w:r>
      <w:r w:rsidRPr="008439DC">
        <w:rPr>
          <w:rFonts w:eastAsiaTheme="minorEastAsia"/>
          <w:rtl/>
        </w:rPr>
        <w:t>-</w:t>
      </w:r>
      <w:r w:rsidRPr="00A648BD">
        <w:rPr>
          <w:rFonts w:eastAsiaTheme="minorEastAsia"/>
          <w:rtl/>
        </w:rPr>
        <w:t>4</w:t>
      </w:r>
      <w:r w:rsidRPr="008439DC">
        <w:rPr>
          <w:rFonts w:eastAsiaTheme="minorEastAsia"/>
          <w:rtl/>
        </w:rPr>
        <w:tab/>
        <w:t xml:space="preserve">وترى اللجنة أن صاحب البلاغ قد دعم بما يكفي من الأدلة لأغراض المقبولية ادعاءاته المدرجة في إطار المواد </w:t>
      </w:r>
      <w:r w:rsidRPr="00A648BD">
        <w:rPr>
          <w:rFonts w:eastAsiaTheme="minorEastAsia"/>
          <w:rtl/>
        </w:rPr>
        <w:t>18</w:t>
      </w:r>
      <w:r w:rsidRPr="008439DC">
        <w:rPr>
          <w:rFonts w:eastAsiaTheme="minorEastAsia"/>
          <w:rtl/>
        </w:rPr>
        <w:t>(</w:t>
      </w:r>
      <w:r w:rsidR="001B19A1" w:rsidRPr="00A648BD">
        <w:rPr>
          <w:rFonts w:eastAsiaTheme="minorEastAsia"/>
          <w:rtl/>
        </w:rPr>
        <w:t>1</w:t>
      </w:r>
      <w:r w:rsidR="001B19A1" w:rsidRPr="008439DC">
        <w:rPr>
          <w:rFonts w:eastAsiaTheme="minorEastAsia"/>
          <w:rtl/>
        </w:rPr>
        <w:t xml:space="preserve">) </w:t>
      </w:r>
      <w:r w:rsidRPr="008439DC">
        <w:rPr>
          <w:rFonts w:eastAsiaTheme="minorEastAsia"/>
          <w:rtl/>
        </w:rPr>
        <w:t>و</w:t>
      </w:r>
      <w:r w:rsidRPr="00A648BD">
        <w:rPr>
          <w:rFonts w:eastAsiaTheme="minorEastAsia"/>
          <w:rtl/>
        </w:rPr>
        <w:t>19</w:t>
      </w:r>
      <w:r w:rsidRPr="008439DC">
        <w:rPr>
          <w:rFonts w:eastAsiaTheme="minorEastAsia"/>
          <w:rtl/>
        </w:rPr>
        <w:t>(</w:t>
      </w:r>
      <w:r w:rsidR="001B19A1" w:rsidRPr="00A648BD">
        <w:rPr>
          <w:rFonts w:eastAsiaTheme="minorEastAsia"/>
          <w:rtl/>
        </w:rPr>
        <w:t>2</w:t>
      </w:r>
      <w:r w:rsidR="001B19A1" w:rsidRPr="008439DC">
        <w:rPr>
          <w:rFonts w:eastAsiaTheme="minorEastAsia"/>
          <w:rtl/>
        </w:rPr>
        <w:t xml:space="preserve">) </w:t>
      </w:r>
      <w:r w:rsidRPr="008439DC">
        <w:rPr>
          <w:rFonts w:eastAsiaTheme="minorEastAsia"/>
          <w:rtl/>
        </w:rPr>
        <w:t>و</w:t>
      </w:r>
      <w:r w:rsidRPr="00A648BD">
        <w:rPr>
          <w:rFonts w:eastAsiaTheme="minorEastAsia"/>
          <w:rtl/>
        </w:rPr>
        <w:t>21</w:t>
      </w:r>
      <w:r w:rsidRPr="008439DC">
        <w:rPr>
          <w:rFonts w:eastAsiaTheme="minorEastAsia"/>
          <w:rtl/>
        </w:rPr>
        <w:t xml:space="preserve"> و</w:t>
      </w:r>
      <w:r w:rsidRPr="00A648BD">
        <w:rPr>
          <w:rFonts w:eastAsiaTheme="minorEastAsia"/>
          <w:rtl/>
        </w:rPr>
        <w:t>22</w:t>
      </w:r>
      <w:r w:rsidRPr="008439DC">
        <w:rPr>
          <w:rFonts w:eastAsiaTheme="minorEastAsia"/>
          <w:rtl/>
        </w:rPr>
        <w:t>(</w:t>
      </w:r>
      <w:r w:rsidR="001B19A1" w:rsidRPr="00A648BD">
        <w:rPr>
          <w:rFonts w:eastAsiaTheme="minorEastAsia"/>
          <w:rtl/>
        </w:rPr>
        <w:t>1</w:t>
      </w:r>
      <w:r w:rsidR="001B19A1" w:rsidRPr="008439DC">
        <w:rPr>
          <w:rFonts w:eastAsiaTheme="minorEastAsia"/>
          <w:rtl/>
        </w:rPr>
        <w:t xml:space="preserve">) </w:t>
      </w:r>
      <w:r w:rsidRPr="008439DC">
        <w:rPr>
          <w:rFonts w:eastAsiaTheme="minorEastAsia"/>
          <w:rtl/>
        </w:rPr>
        <w:t>من العهد. وبناء عليه، تعلن أن هذه الادعاءات مقبولة وتباشر النظر في الأسس الموضوعية.</w:t>
      </w:r>
    </w:p>
    <w:p w14:paraId="4599CE97" w14:textId="77777777" w:rsidR="001036B6" w:rsidRPr="00A648BD" w:rsidRDefault="001036B6" w:rsidP="001B19A1">
      <w:pPr>
        <w:pStyle w:val="H4GA"/>
        <w:rPr>
          <w:lang w:val="ar-SA" w:eastAsia="zh-TW" w:bidi="en-GB"/>
        </w:rPr>
      </w:pPr>
      <w:r w:rsidRPr="00A648BD">
        <w:rPr>
          <w:rtl/>
        </w:rPr>
        <w:tab/>
      </w:r>
      <w:r w:rsidRPr="00A648BD">
        <w:rPr>
          <w:rtl/>
        </w:rPr>
        <w:tab/>
        <w:t>النظر في الأسس الموضوعية</w:t>
      </w:r>
    </w:p>
    <w:p w14:paraId="38974C6D" w14:textId="4B3CC959" w:rsidR="001036B6" w:rsidRPr="008439DC" w:rsidRDefault="001036B6" w:rsidP="001036B6">
      <w:pPr>
        <w:pStyle w:val="SingleTxtGA"/>
        <w:rPr>
          <w:rFonts w:eastAsiaTheme="minorEastAsia"/>
          <w:lang w:val="ar-SA" w:eastAsia="zh-TW" w:bidi="en-GB"/>
        </w:rPr>
      </w:pPr>
      <w:r w:rsidRPr="00A648BD">
        <w:rPr>
          <w:rFonts w:eastAsiaTheme="minorEastAsia"/>
          <w:rtl/>
        </w:rPr>
        <w:t>6</w:t>
      </w:r>
      <w:r w:rsidRPr="008439DC">
        <w:rPr>
          <w:rFonts w:eastAsiaTheme="minorEastAsia"/>
          <w:rtl/>
        </w:rPr>
        <w:t>-</w:t>
      </w:r>
      <w:r w:rsidRPr="00A648BD">
        <w:rPr>
          <w:rFonts w:eastAsiaTheme="minorEastAsia"/>
          <w:rtl/>
        </w:rPr>
        <w:t>1</w:t>
      </w:r>
      <w:r w:rsidRPr="008439DC">
        <w:rPr>
          <w:rFonts w:eastAsiaTheme="minorEastAsia"/>
          <w:rtl/>
        </w:rPr>
        <w:tab/>
        <w:t xml:space="preserve">نظرت اللجنة في البلاغ في ضوء جميع المعلومات التي أتاحها لها الطرفان، وفقاً للمادة </w:t>
      </w:r>
      <w:r w:rsidRPr="00A648BD">
        <w:rPr>
          <w:rFonts w:eastAsiaTheme="minorEastAsia"/>
          <w:rtl/>
        </w:rPr>
        <w:t>5</w:t>
      </w:r>
      <w:r w:rsidRPr="008439DC">
        <w:rPr>
          <w:rFonts w:eastAsiaTheme="minorEastAsia"/>
          <w:rtl/>
        </w:rPr>
        <w:t>(</w:t>
      </w:r>
      <w:r w:rsidR="001B19A1" w:rsidRPr="00A648BD">
        <w:rPr>
          <w:rFonts w:eastAsiaTheme="minorEastAsia"/>
          <w:rtl/>
        </w:rPr>
        <w:t>1</w:t>
      </w:r>
      <w:r w:rsidR="001B19A1" w:rsidRPr="008439DC">
        <w:rPr>
          <w:rFonts w:eastAsiaTheme="minorEastAsia"/>
          <w:rtl/>
        </w:rPr>
        <w:t xml:space="preserve">) </w:t>
      </w:r>
      <w:r w:rsidRPr="008439DC">
        <w:rPr>
          <w:rFonts w:eastAsiaTheme="minorEastAsia"/>
          <w:rtl/>
        </w:rPr>
        <w:t>من البروتوكول الاختياري.</w:t>
      </w:r>
    </w:p>
    <w:p w14:paraId="13FEE3A6" w14:textId="48762655" w:rsidR="001B19A1" w:rsidRPr="008439DC" w:rsidRDefault="001036B6" w:rsidP="001036B6">
      <w:pPr>
        <w:pStyle w:val="SingleTxtGA"/>
        <w:rPr>
          <w:rFonts w:eastAsiaTheme="minorEastAsia"/>
          <w:lang w:val="ar-SA" w:eastAsia="zh-TW" w:bidi="en-GB"/>
        </w:rPr>
      </w:pPr>
      <w:bookmarkStart w:id="4" w:name="_Hlk90790542"/>
      <w:r w:rsidRPr="00A648BD">
        <w:rPr>
          <w:rFonts w:eastAsiaTheme="minorEastAsia"/>
          <w:rtl/>
        </w:rPr>
        <w:t>6</w:t>
      </w:r>
      <w:r w:rsidRPr="008439DC">
        <w:rPr>
          <w:rFonts w:eastAsiaTheme="minorEastAsia"/>
          <w:rtl/>
        </w:rPr>
        <w:t>-</w:t>
      </w:r>
      <w:r w:rsidRPr="00A648BD">
        <w:rPr>
          <w:rFonts w:eastAsiaTheme="minorEastAsia"/>
          <w:rtl/>
        </w:rPr>
        <w:t>2</w:t>
      </w:r>
      <w:r w:rsidRPr="008439DC">
        <w:rPr>
          <w:rFonts w:eastAsiaTheme="minorEastAsia"/>
          <w:rtl/>
        </w:rPr>
        <w:tab/>
        <w:t>وتحيط اللجنة علم</w:t>
      </w:r>
      <w:r w:rsidR="0092683E" w:rsidRPr="008439DC">
        <w:rPr>
          <w:rFonts w:eastAsiaTheme="minorEastAsia"/>
          <w:rtl/>
        </w:rPr>
        <w:t xml:space="preserve">اً </w:t>
      </w:r>
      <w:r w:rsidRPr="008439DC">
        <w:rPr>
          <w:rFonts w:eastAsiaTheme="minorEastAsia"/>
          <w:rtl/>
        </w:rPr>
        <w:t>بادعاء صاحب البلاغ أن مقاضاته وإدانته بتنظيم وإقامة الشعائر الدينية الخاصة بجماعة شهود يهوه خارج نطاق عنوان مسجل تشكلان انتهاك</w:t>
      </w:r>
      <w:r w:rsidR="0092683E" w:rsidRPr="008439DC">
        <w:rPr>
          <w:rFonts w:eastAsiaTheme="minorEastAsia"/>
          <w:rtl/>
        </w:rPr>
        <w:t xml:space="preserve">اً </w:t>
      </w:r>
      <w:r w:rsidRPr="008439DC">
        <w:rPr>
          <w:rFonts w:eastAsiaTheme="minorEastAsia"/>
          <w:rtl/>
        </w:rPr>
        <w:t xml:space="preserve">للمادة </w:t>
      </w:r>
      <w:r w:rsidRPr="00A648BD">
        <w:rPr>
          <w:rFonts w:eastAsiaTheme="minorEastAsia"/>
          <w:rtl/>
        </w:rPr>
        <w:t>18</w:t>
      </w:r>
      <w:r w:rsidRPr="008439DC">
        <w:rPr>
          <w:rFonts w:eastAsiaTheme="minorEastAsia"/>
          <w:rtl/>
        </w:rPr>
        <w:t>(</w:t>
      </w:r>
      <w:r w:rsidR="001B19A1" w:rsidRPr="00A648BD">
        <w:rPr>
          <w:rFonts w:eastAsiaTheme="minorEastAsia"/>
          <w:rtl/>
        </w:rPr>
        <w:t>1</w:t>
      </w:r>
      <w:r w:rsidR="001B19A1" w:rsidRPr="008439DC">
        <w:rPr>
          <w:rFonts w:eastAsiaTheme="minorEastAsia"/>
          <w:rtl/>
        </w:rPr>
        <w:t xml:space="preserve">) </w:t>
      </w:r>
      <w:r w:rsidRPr="008439DC">
        <w:rPr>
          <w:rFonts w:eastAsiaTheme="minorEastAsia"/>
          <w:rtl/>
        </w:rPr>
        <w:t>من العهد. وتلاحظ اللجنة أن الدولة الطرف لم تقدم أي ملاحظات بشأن البلاغ وأنه يجب، في هذه الظروف، إيلاء الاهتمام الواجب لادعاءات صاحب البلاغ بقدر ما تكون هذه الادعاءات مشفوعة بأدلة</w:t>
      </w:r>
      <w:r w:rsidR="001B19A1" w:rsidRPr="008439DC">
        <w:rPr>
          <w:rStyle w:val="FootnoteReference"/>
          <w:rFonts w:eastAsiaTheme="minorEastAsia"/>
          <w:sz w:val="22"/>
          <w:rtl/>
        </w:rPr>
        <w:t>(</w:t>
      </w:r>
      <w:r w:rsidR="001B19A1" w:rsidRPr="00A648BD">
        <w:rPr>
          <w:rStyle w:val="FootnoteReference"/>
          <w:rFonts w:eastAsiaTheme="minorEastAsia"/>
          <w:sz w:val="22"/>
          <w:lang w:val="en-US"/>
        </w:rPr>
        <w:footnoteReference w:id="9"/>
      </w:r>
      <w:r w:rsidR="001B19A1" w:rsidRPr="008439DC">
        <w:rPr>
          <w:rStyle w:val="FootnoteReference"/>
          <w:rFonts w:eastAsiaTheme="minorEastAsia"/>
          <w:sz w:val="22"/>
          <w:rtl/>
        </w:rPr>
        <w:t>)</w:t>
      </w:r>
      <w:r w:rsidR="001B19A1" w:rsidRPr="008439DC">
        <w:rPr>
          <w:rFonts w:eastAsiaTheme="minorEastAsia"/>
          <w:rtl/>
        </w:rPr>
        <w:t xml:space="preserve">. </w:t>
      </w:r>
      <w:r w:rsidRPr="008439DC">
        <w:rPr>
          <w:rFonts w:eastAsiaTheme="minorEastAsia"/>
          <w:rtl/>
        </w:rPr>
        <w:t xml:space="preserve">وتذكّر اللجنة بتعليقها العام رقم </w:t>
      </w:r>
      <w:r w:rsidRPr="00A648BD">
        <w:rPr>
          <w:rFonts w:eastAsiaTheme="minorEastAsia"/>
          <w:rtl/>
        </w:rPr>
        <w:t>22</w:t>
      </w:r>
      <w:r w:rsidRPr="008439DC">
        <w:rPr>
          <w:rFonts w:eastAsiaTheme="minorEastAsia"/>
          <w:rtl/>
        </w:rPr>
        <w:t>(</w:t>
      </w:r>
      <w:r w:rsidRPr="00A648BD">
        <w:rPr>
          <w:rFonts w:eastAsiaTheme="minorEastAsia"/>
          <w:rtl/>
        </w:rPr>
        <w:t>199</w:t>
      </w:r>
      <w:r w:rsidR="001B19A1" w:rsidRPr="00A648BD">
        <w:rPr>
          <w:rFonts w:eastAsiaTheme="minorEastAsia"/>
          <w:rtl/>
        </w:rPr>
        <w:t>3</w:t>
      </w:r>
      <w:r w:rsidR="001B19A1" w:rsidRPr="008439DC">
        <w:rPr>
          <w:rFonts w:eastAsiaTheme="minorEastAsia"/>
          <w:rtl/>
        </w:rPr>
        <w:t xml:space="preserve">) </w:t>
      </w:r>
      <w:r w:rsidRPr="008439DC">
        <w:rPr>
          <w:rFonts w:eastAsiaTheme="minorEastAsia"/>
          <w:rtl/>
        </w:rPr>
        <w:t>الذي لا يجوز بموجبه فرض قيود معينة على الحق في حرية مجاهرة المرء بدينه أو</w:t>
      </w:r>
      <w:r w:rsidR="00C9259E" w:rsidRPr="008439DC">
        <w:rPr>
          <w:rFonts w:eastAsiaTheme="minorEastAsia" w:hint="cs"/>
          <w:rtl/>
        </w:rPr>
        <w:t> </w:t>
      </w:r>
      <w:r w:rsidRPr="008439DC">
        <w:rPr>
          <w:rFonts w:eastAsiaTheme="minorEastAsia"/>
          <w:rtl/>
        </w:rPr>
        <w:t>بعقيدته إلا إذا كانت هذه القيود منصوصاً عليها في القانون وضروريةً لحماية السلامة العامة أو النظام العام أو الصحة العامة أو الآداب العامة أو حقوق الآخرين وحرياتهم الأساسية. ويجوز للفرد ممارسة حريته في المجاهرة بدينه أو عقيدته بمفرده أو مع جماعة، وأمام الملأ أو على حدة</w:t>
      </w:r>
      <w:r w:rsidR="001B19A1" w:rsidRPr="008439DC">
        <w:rPr>
          <w:rStyle w:val="FootnoteReference"/>
          <w:rFonts w:eastAsiaTheme="minorEastAsia"/>
          <w:sz w:val="22"/>
          <w:rtl/>
        </w:rPr>
        <w:t>(</w:t>
      </w:r>
      <w:r w:rsidR="001B19A1" w:rsidRPr="00A648BD">
        <w:rPr>
          <w:rStyle w:val="FootnoteReference"/>
          <w:rFonts w:eastAsiaTheme="minorEastAsia"/>
          <w:sz w:val="22"/>
          <w:lang w:val="en-US"/>
        </w:rPr>
        <w:footnoteReference w:id="10"/>
      </w:r>
      <w:r w:rsidR="001B19A1" w:rsidRPr="008439DC">
        <w:rPr>
          <w:rStyle w:val="FootnoteReference"/>
          <w:rFonts w:eastAsiaTheme="minorEastAsia"/>
          <w:sz w:val="22"/>
          <w:rtl/>
        </w:rPr>
        <w:t>)</w:t>
      </w:r>
      <w:r w:rsidR="001B19A1" w:rsidRPr="008439DC">
        <w:rPr>
          <w:rFonts w:eastAsiaTheme="minorEastAsia"/>
          <w:rtl/>
        </w:rPr>
        <w:t xml:space="preserve">. </w:t>
      </w:r>
      <w:r w:rsidRPr="008439DC">
        <w:rPr>
          <w:rFonts w:eastAsiaTheme="minorEastAsia"/>
          <w:rtl/>
        </w:rPr>
        <w:t xml:space="preserve">وإضافة إلى ذلك، يجب تفسير المادة </w:t>
      </w:r>
      <w:r w:rsidRPr="00A648BD">
        <w:rPr>
          <w:rFonts w:eastAsiaTheme="minorEastAsia"/>
          <w:rtl/>
        </w:rPr>
        <w:t>18</w:t>
      </w:r>
      <w:r w:rsidRPr="008439DC">
        <w:rPr>
          <w:rFonts w:eastAsiaTheme="minorEastAsia"/>
          <w:rtl/>
        </w:rPr>
        <w:t>(</w:t>
      </w:r>
      <w:r w:rsidR="001B19A1" w:rsidRPr="00A648BD">
        <w:rPr>
          <w:rFonts w:eastAsiaTheme="minorEastAsia"/>
          <w:rtl/>
        </w:rPr>
        <w:t>3</w:t>
      </w:r>
      <w:r w:rsidR="001B19A1" w:rsidRPr="008439DC">
        <w:rPr>
          <w:rFonts w:eastAsiaTheme="minorEastAsia"/>
          <w:rtl/>
        </w:rPr>
        <w:t xml:space="preserve">) </w:t>
      </w:r>
      <w:r w:rsidRPr="008439DC">
        <w:rPr>
          <w:rFonts w:eastAsiaTheme="minorEastAsia"/>
          <w:rtl/>
        </w:rPr>
        <w:t>تفسيراً دقيقاً. فلا يجوز تطبيق القيود المفروضة على حرية المرء في المجاهرة بدينه أو عقيدته إلا للأغراض التي وضعت لأجلها ويجب أن تتعلق مباشرة بالغرض المحدد الذي تستند إليه وأن تكون متناسبة معه</w:t>
      </w:r>
      <w:r w:rsidR="001B19A1" w:rsidRPr="008439DC">
        <w:rPr>
          <w:rStyle w:val="FootnoteReference"/>
          <w:rFonts w:eastAsiaTheme="minorEastAsia"/>
          <w:sz w:val="22"/>
          <w:rtl/>
        </w:rPr>
        <w:t>(</w:t>
      </w:r>
      <w:r w:rsidR="001B19A1" w:rsidRPr="00A648BD">
        <w:rPr>
          <w:rStyle w:val="FootnoteReference"/>
          <w:rFonts w:eastAsiaTheme="minorEastAsia"/>
          <w:sz w:val="22"/>
          <w:lang w:val="en-US"/>
        </w:rPr>
        <w:footnoteReference w:id="11"/>
      </w:r>
      <w:r w:rsidR="001B19A1" w:rsidRPr="008439DC">
        <w:rPr>
          <w:rStyle w:val="FootnoteReference"/>
          <w:rFonts w:eastAsiaTheme="minorEastAsia"/>
          <w:sz w:val="22"/>
          <w:rtl/>
        </w:rPr>
        <w:t>)</w:t>
      </w:r>
      <w:r w:rsidR="001B19A1" w:rsidRPr="008439DC">
        <w:rPr>
          <w:rFonts w:eastAsiaTheme="minorEastAsia"/>
          <w:rtl/>
        </w:rPr>
        <w:t>.</w:t>
      </w:r>
    </w:p>
    <w:p w14:paraId="1C56BEDE" w14:textId="2C7400AA" w:rsidR="001036B6" w:rsidRPr="008439DC" w:rsidRDefault="001036B6" w:rsidP="001036B6">
      <w:pPr>
        <w:pStyle w:val="SingleTxtGA"/>
        <w:rPr>
          <w:rFonts w:eastAsiaTheme="minorEastAsia"/>
          <w:lang w:val="ar-SA" w:eastAsia="zh-TW" w:bidi="en-GB"/>
        </w:rPr>
      </w:pPr>
      <w:r w:rsidRPr="00A648BD">
        <w:rPr>
          <w:rFonts w:eastAsiaTheme="minorEastAsia"/>
          <w:rtl/>
        </w:rPr>
        <w:t>6</w:t>
      </w:r>
      <w:r w:rsidRPr="008439DC">
        <w:rPr>
          <w:rFonts w:eastAsiaTheme="minorEastAsia"/>
          <w:rtl/>
        </w:rPr>
        <w:t>-</w:t>
      </w:r>
      <w:r w:rsidRPr="00A648BD">
        <w:rPr>
          <w:rFonts w:eastAsiaTheme="minorEastAsia"/>
          <w:rtl/>
        </w:rPr>
        <w:t>3</w:t>
      </w:r>
      <w:r w:rsidRPr="008439DC">
        <w:rPr>
          <w:rFonts w:eastAsiaTheme="minorEastAsia"/>
          <w:rtl/>
        </w:rPr>
        <w:tab/>
        <w:t>وتلاحظ اللجنة في هذه القضية أن محكمة مقاطعة راهاتشو أدانت صاحب البلاغ بانتهاك الإجراء المعمول به لتنظيم التجمعات وعقدها. ورأت المحكمة أن القداس الديني يشكل صلاة جماعية وأنه عُقد خارج العنوان المسجل للجماعة دون سابق إذن، وهو ما ينتهك قانون حرية الضمير والمنظمات الدينية وقانون الأحداث العامة على حد سواء. وتلاحظ اللجنة كذلك أن محكمة غوميل الإقليمية رأت أن القيود المفروضة على تنظيم الأحداث الجماهيرية تتوخى حفظ النظام العام، وحماية الصحة العامة أو</w:t>
      </w:r>
      <w:r w:rsidR="007510E6" w:rsidRPr="008439DC">
        <w:rPr>
          <w:rFonts w:eastAsiaTheme="minorEastAsia" w:hint="cs"/>
          <w:rtl/>
        </w:rPr>
        <w:t> </w:t>
      </w:r>
      <w:r w:rsidRPr="008439DC">
        <w:rPr>
          <w:rFonts w:eastAsiaTheme="minorEastAsia"/>
          <w:rtl/>
        </w:rPr>
        <w:t>الآداب العامة، وحقوق الآخرين وحرياتهم؛ بيد أن المحكمة لم تقدم أي مبرر لدعم استنتاجها. وفي غياب ملاحظات الدولة الطرف التي قد توضح أن التقييد المفروض يشكل تدبير</w:t>
      </w:r>
      <w:r w:rsidR="0092683E" w:rsidRPr="008439DC">
        <w:rPr>
          <w:rFonts w:eastAsiaTheme="minorEastAsia"/>
          <w:rtl/>
        </w:rPr>
        <w:t xml:space="preserve">اً </w:t>
      </w:r>
      <w:r w:rsidRPr="008439DC">
        <w:rPr>
          <w:rFonts w:eastAsiaTheme="minorEastAsia"/>
          <w:rtl/>
        </w:rPr>
        <w:t>متناسب</w:t>
      </w:r>
      <w:r w:rsidR="0092683E" w:rsidRPr="008439DC">
        <w:rPr>
          <w:rFonts w:eastAsiaTheme="minorEastAsia"/>
          <w:rtl/>
        </w:rPr>
        <w:t xml:space="preserve">اً </w:t>
      </w:r>
      <w:r w:rsidRPr="008439DC">
        <w:rPr>
          <w:rFonts w:eastAsiaTheme="minorEastAsia"/>
          <w:rtl/>
        </w:rPr>
        <w:t>وضروري</w:t>
      </w:r>
      <w:r w:rsidR="0092683E" w:rsidRPr="008439DC">
        <w:rPr>
          <w:rFonts w:eastAsiaTheme="minorEastAsia"/>
          <w:rtl/>
        </w:rPr>
        <w:t xml:space="preserve">اً </w:t>
      </w:r>
      <w:r w:rsidRPr="008439DC">
        <w:rPr>
          <w:rFonts w:eastAsiaTheme="minorEastAsia"/>
          <w:rtl/>
        </w:rPr>
        <w:t xml:space="preserve">لخدمة غرض مشروع محدد في المادة </w:t>
      </w:r>
      <w:r w:rsidRPr="00A648BD">
        <w:rPr>
          <w:rFonts w:eastAsiaTheme="minorEastAsia"/>
          <w:rtl/>
        </w:rPr>
        <w:t>18</w:t>
      </w:r>
      <w:r w:rsidRPr="008439DC">
        <w:rPr>
          <w:rFonts w:eastAsiaTheme="minorEastAsia"/>
          <w:rtl/>
        </w:rPr>
        <w:t>(</w:t>
      </w:r>
      <w:r w:rsidR="001B19A1" w:rsidRPr="00A648BD">
        <w:rPr>
          <w:rFonts w:eastAsiaTheme="minorEastAsia"/>
          <w:rtl/>
        </w:rPr>
        <w:t>3</w:t>
      </w:r>
      <w:r w:rsidR="001B19A1" w:rsidRPr="008439DC">
        <w:rPr>
          <w:rFonts w:eastAsiaTheme="minorEastAsia"/>
          <w:rtl/>
        </w:rPr>
        <w:t xml:space="preserve">) </w:t>
      </w:r>
      <w:r w:rsidRPr="008439DC">
        <w:rPr>
          <w:rFonts w:eastAsiaTheme="minorEastAsia"/>
          <w:rtl/>
        </w:rPr>
        <w:t>من العهد، ترى اللجنة أن العقوبة المفروضة على صاحب البلاغ تشكل تقييد</w:t>
      </w:r>
      <w:r w:rsidR="0092683E" w:rsidRPr="008439DC">
        <w:rPr>
          <w:rFonts w:eastAsiaTheme="minorEastAsia"/>
          <w:rtl/>
        </w:rPr>
        <w:t xml:space="preserve">اً </w:t>
      </w:r>
      <w:r w:rsidRPr="008439DC">
        <w:rPr>
          <w:rFonts w:eastAsiaTheme="minorEastAsia"/>
          <w:rtl/>
        </w:rPr>
        <w:t xml:space="preserve">لحقه في المجاهرة بدينه بموجب المادة </w:t>
      </w:r>
      <w:r w:rsidRPr="00A648BD">
        <w:rPr>
          <w:rFonts w:eastAsiaTheme="minorEastAsia"/>
          <w:rtl/>
        </w:rPr>
        <w:t>18</w:t>
      </w:r>
      <w:r w:rsidRPr="008439DC">
        <w:rPr>
          <w:rFonts w:eastAsiaTheme="minorEastAsia"/>
          <w:rtl/>
        </w:rPr>
        <w:t>(</w:t>
      </w:r>
      <w:r w:rsidR="001B19A1" w:rsidRPr="00A648BD">
        <w:rPr>
          <w:rFonts w:eastAsiaTheme="minorEastAsia"/>
          <w:rtl/>
        </w:rPr>
        <w:t>1</w:t>
      </w:r>
      <w:r w:rsidR="001B19A1" w:rsidRPr="008439DC">
        <w:rPr>
          <w:rFonts w:eastAsiaTheme="minorEastAsia"/>
          <w:rtl/>
        </w:rPr>
        <w:t xml:space="preserve">) </w:t>
      </w:r>
      <w:r w:rsidRPr="008439DC">
        <w:rPr>
          <w:rFonts w:eastAsiaTheme="minorEastAsia"/>
          <w:rtl/>
        </w:rPr>
        <w:t xml:space="preserve">من العهد. وتبعاً لذلك، تخلص اللجنة إلى أن الدولة الطرف، بإدانتها صاحب البلاغ وتغريمها إياه بسبب تنظيم وإقامة شعائر دينية، قد انتهكت حقوقه المكفولة بموجب المادة </w:t>
      </w:r>
      <w:r w:rsidRPr="00A648BD">
        <w:rPr>
          <w:rFonts w:eastAsiaTheme="minorEastAsia"/>
          <w:rtl/>
        </w:rPr>
        <w:t>18</w:t>
      </w:r>
      <w:r w:rsidRPr="008439DC">
        <w:rPr>
          <w:rFonts w:eastAsiaTheme="minorEastAsia"/>
          <w:rtl/>
        </w:rPr>
        <w:t>(</w:t>
      </w:r>
      <w:r w:rsidR="001B19A1" w:rsidRPr="00A648BD">
        <w:rPr>
          <w:rFonts w:eastAsiaTheme="minorEastAsia"/>
          <w:rtl/>
        </w:rPr>
        <w:t>1</w:t>
      </w:r>
      <w:r w:rsidR="001B19A1" w:rsidRPr="008439DC">
        <w:rPr>
          <w:rFonts w:eastAsiaTheme="minorEastAsia"/>
          <w:rtl/>
        </w:rPr>
        <w:t xml:space="preserve">) </w:t>
      </w:r>
      <w:r w:rsidRPr="008439DC">
        <w:rPr>
          <w:rFonts w:eastAsiaTheme="minorEastAsia"/>
          <w:rtl/>
        </w:rPr>
        <w:t>من العهد.</w:t>
      </w:r>
      <w:bookmarkEnd w:id="4"/>
    </w:p>
    <w:p w14:paraId="46E50385" w14:textId="77777777" w:rsidR="001036B6" w:rsidRPr="008439DC" w:rsidRDefault="001036B6" w:rsidP="001036B6">
      <w:pPr>
        <w:pStyle w:val="SingleTxtGA"/>
        <w:rPr>
          <w:rFonts w:eastAsiaTheme="minorEastAsia"/>
          <w:lang w:val="ar-SA" w:eastAsia="zh-TW" w:bidi="en-GB"/>
        </w:rPr>
      </w:pPr>
      <w:r w:rsidRPr="00A648BD">
        <w:rPr>
          <w:rFonts w:eastAsiaTheme="minorEastAsia"/>
          <w:rtl/>
        </w:rPr>
        <w:lastRenderedPageBreak/>
        <w:t>6</w:t>
      </w:r>
      <w:r w:rsidRPr="008439DC">
        <w:rPr>
          <w:rFonts w:eastAsiaTheme="minorEastAsia"/>
          <w:rtl/>
        </w:rPr>
        <w:t>-</w:t>
      </w:r>
      <w:r w:rsidRPr="00A648BD">
        <w:rPr>
          <w:rFonts w:eastAsiaTheme="minorEastAsia"/>
          <w:rtl/>
        </w:rPr>
        <w:t>4</w:t>
      </w:r>
      <w:r w:rsidRPr="008439DC">
        <w:rPr>
          <w:rFonts w:eastAsiaTheme="minorEastAsia"/>
          <w:rtl/>
        </w:rPr>
        <w:tab/>
        <w:t xml:space="preserve">ولا ترى اللجنة، في ضوء ما خلصت إليه، ضرورة للنظر فيما كانت الوقائع نفسها تشكل انتهاكاً للمادة </w:t>
      </w:r>
      <w:r w:rsidRPr="00A648BD">
        <w:rPr>
          <w:rFonts w:eastAsiaTheme="minorEastAsia"/>
          <w:rtl/>
        </w:rPr>
        <w:t>19</w:t>
      </w:r>
      <w:r w:rsidRPr="008439DC">
        <w:rPr>
          <w:rFonts w:eastAsiaTheme="minorEastAsia"/>
          <w:rtl/>
        </w:rPr>
        <w:t xml:space="preserve"> و</w:t>
      </w:r>
      <w:r w:rsidRPr="00A648BD">
        <w:rPr>
          <w:rFonts w:eastAsiaTheme="minorEastAsia"/>
          <w:rtl/>
        </w:rPr>
        <w:t>21</w:t>
      </w:r>
      <w:r w:rsidRPr="008439DC">
        <w:rPr>
          <w:rFonts w:eastAsiaTheme="minorEastAsia"/>
          <w:rtl/>
        </w:rPr>
        <w:t xml:space="preserve"> و</w:t>
      </w:r>
      <w:r w:rsidRPr="00A648BD">
        <w:rPr>
          <w:rFonts w:eastAsiaTheme="minorEastAsia"/>
          <w:rtl/>
        </w:rPr>
        <w:t>22</w:t>
      </w:r>
      <w:r w:rsidRPr="008439DC">
        <w:rPr>
          <w:rFonts w:eastAsiaTheme="minorEastAsia"/>
          <w:rtl/>
        </w:rPr>
        <w:t xml:space="preserve"> من العهد.</w:t>
      </w:r>
    </w:p>
    <w:p w14:paraId="5AC4D9FC" w14:textId="2FD88328" w:rsidR="001036B6" w:rsidRPr="00A648BD" w:rsidRDefault="001036B6" w:rsidP="001036B6">
      <w:pPr>
        <w:pStyle w:val="SingleTxtGA"/>
        <w:rPr>
          <w:rFonts w:eastAsiaTheme="minorEastAsia"/>
          <w:lang w:val="ar-SA" w:eastAsia="zh-TW" w:bidi="en-GB"/>
        </w:rPr>
      </w:pPr>
      <w:r w:rsidRPr="00A648BD">
        <w:rPr>
          <w:rFonts w:eastAsiaTheme="minorEastAsia"/>
          <w:spacing w:val="-2"/>
          <w:rtl/>
        </w:rPr>
        <w:t>7-</w:t>
      </w:r>
      <w:r w:rsidRPr="00A648BD">
        <w:rPr>
          <w:rFonts w:eastAsiaTheme="minorEastAsia"/>
          <w:spacing w:val="-2"/>
          <w:rtl/>
        </w:rPr>
        <w:tab/>
        <w:t>واللجنة، إذ تتصرف بموجب المادة 5(</w:t>
      </w:r>
      <w:r w:rsidR="001B19A1" w:rsidRPr="00A648BD">
        <w:rPr>
          <w:rFonts w:eastAsiaTheme="minorEastAsia"/>
          <w:spacing w:val="-2"/>
          <w:rtl/>
        </w:rPr>
        <w:t xml:space="preserve">4) </w:t>
      </w:r>
      <w:r w:rsidRPr="00A648BD">
        <w:rPr>
          <w:rFonts w:eastAsiaTheme="minorEastAsia"/>
          <w:spacing w:val="-2"/>
          <w:rtl/>
        </w:rPr>
        <w:t xml:space="preserve">من البروتوكول الاختياري، ترى أن المعلومات المعروضة </w:t>
      </w:r>
      <w:r w:rsidRPr="00A648BD">
        <w:rPr>
          <w:rFonts w:eastAsiaTheme="minorEastAsia"/>
          <w:rtl/>
        </w:rPr>
        <w:t>عليها تكشف عن انتهاك الدولة الطرف لحقوق صاحب البلاغ التي تكفلها المادة 18(</w:t>
      </w:r>
      <w:r w:rsidR="001B19A1" w:rsidRPr="00A648BD">
        <w:rPr>
          <w:rFonts w:eastAsiaTheme="minorEastAsia"/>
          <w:rtl/>
        </w:rPr>
        <w:t xml:space="preserve">1) </w:t>
      </w:r>
      <w:r w:rsidRPr="00A648BD">
        <w:rPr>
          <w:rFonts w:eastAsiaTheme="minorEastAsia"/>
          <w:rtl/>
        </w:rPr>
        <w:t>من</w:t>
      </w:r>
      <w:r w:rsidR="0092683E" w:rsidRPr="00A648BD">
        <w:rPr>
          <w:rFonts w:eastAsiaTheme="minorEastAsia" w:hint="cs"/>
          <w:rtl/>
        </w:rPr>
        <w:t> </w:t>
      </w:r>
      <w:r w:rsidRPr="00A648BD">
        <w:rPr>
          <w:rFonts w:eastAsiaTheme="minorEastAsia"/>
          <w:rtl/>
        </w:rPr>
        <w:t>العهد.</w:t>
      </w:r>
    </w:p>
    <w:p w14:paraId="4CEB7C20" w14:textId="6663220D" w:rsidR="001036B6" w:rsidRPr="008439DC" w:rsidRDefault="001036B6" w:rsidP="001036B6">
      <w:pPr>
        <w:pStyle w:val="SingleTxtGA"/>
        <w:rPr>
          <w:rFonts w:eastAsiaTheme="minorEastAsia"/>
          <w:lang w:val="ar-SA" w:eastAsia="zh-TW" w:bidi="en-GB"/>
        </w:rPr>
      </w:pPr>
      <w:r w:rsidRPr="00A648BD">
        <w:rPr>
          <w:rFonts w:eastAsiaTheme="minorEastAsia"/>
          <w:rtl/>
        </w:rPr>
        <w:t>8</w:t>
      </w:r>
      <w:r w:rsidRPr="008439DC">
        <w:rPr>
          <w:rFonts w:eastAsiaTheme="minorEastAsia"/>
          <w:rtl/>
        </w:rPr>
        <w:t>-</w:t>
      </w:r>
      <w:r w:rsidRPr="008439DC">
        <w:rPr>
          <w:rFonts w:eastAsiaTheme="minorEastAsia"/>
          <w:rtl/>
        </w:rPr>
        <w:tab/>
        <w:t xml:space="preserve">وعملاً بأحكام المادة </w:t>
      </w:r>
      <w:r w:rsidRPr="00A648BD">
        <w:rPr>
          <w:rFonts w:eastAsiaTheme="minorEastAsia"/>
          <w:rtl/>
        </w:rPr>
        <w:t>2</w:t>
      </w:r>
      <w:r w:rsidRPr="008439DC">
        <w:rPr>
          <w:rFonts w:eastAsiaTheme="minorEastAsia"/>
          <w:rtl/>
        </w:rPr>
        <w:t>(</w:t>
      </w:r>
      <w:r w:rsidRPr="00A648BD">
        <w:rPr>
          <w:rFonts w:eastAsiaTheme="minorEastAsia"/>
          <w:rtl/>
        </w:rPr>
        <w:t>3</w:t>
      </w:r>
      <w:r w:rsidRPr="008439DC">
        <w:rPr>
          <w:rFonts w:eastAsiaTheme="minorEastAsia"/>
          <w:rtl/>
        </w:rPr>
        <w:t>)(أ) من العهد، يقع على عاتق الدولة الطرف التزام بمنح صاحب البلاغ سبيل انتصاف فعال</w:t>
      </w:r>
      <w:r w:rsidR="0092683E" w:rsidRPr="008439DC">
        <w:rPr>
          <w:rFonts w:eastAsiaTheme="minorEastAsia"/>
          <w:rtl/>
        </w:rPr>
        <w:t xml:space="preserve">اً. </w:t>
      </w:r>
      <w:r w:rsidRPr="008439DC">
        <w:rPr>
          <w:rFonts w:eastAsiaTheme="minorEastAsia"/>
          <w:rtl/>
        </w:rPr>
        <w:t>وهذا يتطلب منها أن تجبر ما أصاب الأفراد الذين انتُهكت حقوقهم التي يكفلها العهد من أضرار جبراً تاماً. وبناءً عليه، فإن الدولة الطرف ملزمة، في جملة أمور، باتخاذ الخطوات المناسبة لتقديم تعويض كاف لصاحب البلاغ، بما في ذلك سداد الغرامات المفروضة عليه والرسوم القضائية المتصلة بالقضية المعنية. والدولة الطرف ملزمة أيضاً باتخاذ جميع الخطوات اللازمة لمنع حدوث انتهاكات مماثلة في المستقبل، بوسائل منها تنقيح تشريعاتها وأنظمتها و/أو ممارساتها المحلية بغية ضمان التمتع الكامل في الدولة الطرف بالحقوق المنصوص عليها في العهد.</w:t>
      </w:r>
    </w:p>
    <w:p w14:paraId="0105C0D4" w14:textId="77777777" w:rsidR="001036B6" w:rsidRPr="008439DC" w:rsidRDefault="001036B6" w:rsidP="001036B6">
      <w:pPr>
        <w:pStyle w:val="SingleTxtGA"/>
        <w:rPr>
          <w:rFonts w:eastAsiaTheme="minorEastAsia"/>
          <w:lang w:val="ar-SA" w:eastAsia="zh-TW" w:bidi="en-GB"/>
        </w:rPr>
      </w:pPr>
      <w:r w:rsidRPr="00A648BD">
        <w:rPr>
          <w:rFonts w:eastAsiaTheme="minorEastAsia"/>
          <w:rtl/>
        </w:rPr>
        <w:t>9</w:t>
      </w:r>
      <w:r w:rsidRPr="008439DC">
        <w:rPr>
          <w:rFonts w:eastAsiaTheme="minorEastAsia"/>
          <w:rtl/>
        </w:rPr>
        <w:t>-</w:t>
      </w:r>
      <w:r w:rsidRPr="008439DC">
        <w:rPr>
          <w:rFonts w:eastAsiaTheme="minorEastAsia"/>
          <w:rtl/>
        </w:rPr>
        <w:tab/>
        <w:t xml:space="preserve">وإذ تأخذ اللجنة في اعتبارها أن الدولة الطرف، بانضمامها إلى البروتوكول الاختياري، قد اعترفت باختصاص اللجنة في البتّ فيما إذا كان العهد قد انتُهك أم لا، وتعهدت، بمقتضى المادة </w:t>
      </w:r>
      <w:r w:rsidRPr="00A648BD">
        <w:rPr>
          <w:rFonts w:eastAsiaTheme="minorEastAsia"/>
          <w:rtl/>
        </w:rPr>
        <w:t>2</w:t>
      </w:r>
      <w:r w:rsidRPr="008439DC">
        <w:rPr>
          <w:rFonts w:eastAsiaTheme="minorEastAsia"/>
          <w:rtl/>
        </w:rPr>
        <w:t xml:space="preserve"> من العهد، بأن تكفل لجميع الأفراد الموجودين في إقليمها أو الخاضعين لولايتها الحقوق المعترف بها في العهد وبأن توفّر لهم سبيل انتصاف فعالاً وقابلاً للإنفاذ إن ثبت حدوث انتهاك، فإنها تود أن تتلقى من الدولة الطرف في غضون </w:t>
      </w:r>
      <w:r w:rsidRPr="00A648BD">
        <w:rPr>
          <w:rFonts w:eastAsiaTheme="minorEastAsia"/>
          <w:rtl/>
        </w:rPr>
        <w:t>180</w:t>
      </w:r>
      <w:r w:rsidRPr="008439DC">
        <w:rPr>
          <w:rFonts w:eastAsiaTheme="minorEastAsia"/>
          <w:rtl/>
        </w:rPr>
        <w:t xml:space="preserve"> يوماً معلومات عن التدابير التي اتخذتها لإنفاذ آراء اللجنة. والدولة الطرف مدعوة أيضاً إلى نشر هذه الآراء وتعميمها على نطاق واسع بلغاتها الرسمية.</w:t>
      </w:r>
    </w:p>
    <w:p w14:paraId="6E93D815" w14:textId="38D58209" w:rsidR="001036B6" w:rsidRPr="008439DC" w:rsidRDefault="001036B6" w:rsidP="001036B6">
      <w:pPr>
        <w:pStyle w:val="SingleTxtGA"/>
        <w:jc w:val="center"/>
        <w:rPr>
          <w:u w:val="single"/>
          <w:rtl/>
        </w:rPr>
      </w:pPr>
      <w:r w:rsidRPr="008439DC">
        <w:rPr>
          <w:u w:val="single"/>
          <w:rtl/>
        </w:rPr>
        <w:tab/>
      </w:r>
      <w:r w:rsidRPr="008439DC">
        <w:rPr>
          <w:u w:val="single"/>
          <w:rtl/>
        </w:rPr>
        <w:tab/>
      </w:r>
      <w:r w:rsidRPr="008439DC">
        <w:rPr>
          <w:u w:val="single"/>
          <w:rtl/>
        </w:rPr>
        <w:tab/>
      </w:r>
    </w:p>
    <w:sectPr w:rsidR="001036B6" w:rsidRPr="008439DC" w:rsidSect="0060333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3F4C" w14:textId="77777777" w:rsidR="00B93B18" w:rsidRPr="002901D9" w:rsidRDefault="00B93B18" w:rsidP="00DC4D4B">
      <w:pPr>
        <w:spacing w:after="60" w:line="240" w:lineRule="auto"/>
        <w:ind w:left="57"/>
        <w:rPr>
          <w:i/>
          <w:iCs/>
        </w:rPr>
      </w:pPr>
      <w:r>
        <w:rPr>
          <w:rFonts w:hint="cs"/>
          <w:i/>
          <w:iCs/>
          <w:rtl/>
        </w:rPr>
        <w:t>الحواشي</w:t>
      </w:r>
    </w:p>
  </w:endnote>
  <w:endnote w:type="continuationSeparator" w:id="0">
    <w:p w14:paraId="5FE10486" w14:textId="77777777" w:rsidR="00B93B18" w:rsidRDefault="00B93B1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EF3" w14:textId="724DE5A6" w:rsidR="00C85DB0" w:rsidRPr="00C85DB0" w:rsidRDefault="00C85DB0" w:rsidP="00C85DB0">
    <w:pPr>
      <w:pStyle w:val="Footer"/>
      <w:tabs>
        <w:tab w:val="right" w:pos="9638"/>
      </w:tabs>
      <w:rPr>
        <w:b/>
        <w:sz w:val="18"/>
        <w:lang w:val="en-US"/>
      </w:rPr>
    </w:pPr>
    <w:r>
      <w:rPr>
        <w:lang w:val="en-US"/>
      </w:rPr>
      <w:t>GE.22-26206</w:t>
    </w:r>
    <w:r>
      <w:rPr>
        <w:lang w:val="en-US"/>
      </w:rPr>
      <w:tab/>
    </w:r>
    <w:r w:rsidRPr="00C85DB0">
      <w:rPr>
        <w:b/>
        <w:sz w:val="18"/>
        <w:lang w:val="en-US"/>
      </w:rPr>
      <w:fldChar w:fldCharType="begin"/>
    </w:r>
    <w:r w:rsidRPr="00C85DB0">
      <w:rPr>
        <w:b/>
        <w:sz w:val="18"/>
        <w:lang w:val="en-US"/>
      </w:rPr>
      <w:instrText xml:space="preserve"> PAGE  \* MERGEFORMAT </w:instrText>
    </w:r>
    <w:r w:rsidRPr="00C85DB0">
      <w:rPr>
        <w:b/>
        <w:sz w:val="18"/>
        <w:lang w:val="en-US"/>
      </w:rPr>
      <w:fldChar w:fldCharType="separate"/>
    </w:r>
    <w:r w:rsidRPr="00C85DB0">
      <w:rPr>
        <w:b/>
        <w:noProof/>
        <w:sz w:val="18"/>
        <w:lang w:val="en-US"/>
      </w:rPr>
      <w:t>2</w:t>
    </w:r>
    <w:r w:rsidRPr="00C85DB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53D6" w14:textId="395185B4" w:rsidR="006959B0" w:rsidRPr="00C85DB0" w:rsidRDefault="00C85DB0" w:rsidP="00C85DB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GE.22-26206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7C05" w14:textId="2FB15647" w:rsidR="00DE50B1" w:rsidRPr="00C85DB0" w:rsidRDefault="00C85DB0" w:rsidP="00C85DB0">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D8A24E0" wp14:editId="797A570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22-26206 (A)</w:t>
    </w:r>
    <w:r>
      <w:rPr>
        <w:noProof/>
        <w:sz w:val="20"/>
        <w:lang w:val="en-US"/>
      </w:rPr>
      <w:drawing>
        <wp:anchor distT="0" distB="0" distL="114300" distR="114300" simplePos="0" relativeHeight="251659264" behindDoc="0" locked="0" layoutInCell="1" allowOverlap="1" wp14:anchorId="7F4325B1" wp14:editId="60805C85">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9DCD" w14:textId="77777777" w:rsidR="00B93B18" w:rsidRPr="008A49D2" w:rsidRDefault="00B93B18"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16320D8" w14:textId="77777777" w:rsidR="00B93B18" w:rsidRDefault="00B93B18" w:rsidP="00656392">
      <w:pPr>
        <w:spacing w:line="240" w:lineRule="auto"/>
      </w:pPr>
      <w:r>
        <w:continuationSeparator/>
      </w:r>
    </w:p>
  </w:footnote>
  <w:footnote w:id="1">
    <w:p w14:paraId="2C1BA93A" w14:textId="0282CEBA" w:rsidR="001036B6" w:rsidRPr="001036B6" w:rsidRDefault="001036B6" w:rsidP="001036B6">
      <w:pPr>
        <w:pStyle w:val="FootnoteText1"/>
        <w:rPr>
          <w:rFonts w:eastAsiaTheme="minorEastAsia"/>
          <w:rtl/>
        </w:rPr>
      </w:pPr>
      <w:r w:rsidRPr="001036B6">
        <w:rPr>
          <w:rFonts w:eastAsiaTheme="minorEastAsia"/>
          <w:rtl/>
        </w:rPr>
        <w:t>*</w:t>
      </w:r>
      <w:r w:rsidRPr="001036B6">
        <w:rPr>
          <w:rFonts w:eastAsiaTheme="minorEastAsia"/>
          <w:rtl/>
        </w:rPr>
        <w:tab/>
        <w:t xml:space="preserve">اعتمدته اللجنة في دورتها </w:t>
      </w:r>
      <w:r w:rsidRPr="00A648BD">
        <w:rPr>
          <w:rFonts w:eastAsiaTheme="minorEastAsia"/>
          <w:rtl/>
        </w:rPr>
        <w:t>135</w:t>
      </w:r>
      <w:r w:rsidRPr="001036B6">
        <w:rPr>
          <w:rFonts w:eastAsiaTheme="minorEastAsia"/>
          <w:rtl/>
        </w:rPr>
        <w:t xml:space="preserve"> (</w:t>
      </w:r>
      <w:r w:rsidRPr="00A648BD">
        <w:rPr>
          <w:rFonts w:eastAsiaTheme="minorEastAsia"/>
          <w:rtl/>
        </w:rPr>
        <w:t>27</w:t>
      </w:r>
      <w:r w:rsidRPr="001036B6">
        <w:rPr>
          <w:rFonts w:eastAsiaTheme="minorEastAsia"/>
          <w:rtl/>
        </w:rPr>
        <w:t xml:space="preserve"> حزيران/يونيه -</w:t>
      </w:r>
      <w:r w:rsidRPr="00A610A9">
        <w:rPr>
          <w:rFonts w:eastAsiaTheme="minorEastAsia" w:hint="cs"/>
          <w:rtl/>
        </w:rPr>
        <w:t xml:space="preserve"> </w:t>
      </w:r>
      <w:r w:rsidRPr="00A648BD">
        <w:rPr>
          <w:rFonts w:eastAsiaTheme="minorEastAsia"/>
          <w:rtl/>
        </w:rPr>
        <w:t>27</w:t>
      </w:r>
      <w:r w:rsidRPr="001036B6">
        <w:rPr>
          <w:rFonts w:eastAsiaTheme="minorEastAsia"/>
          <w:rtl/>
        </w:rPr>
        <w:t xml:space="preserve"> تموز/يوليه </w:t>
      </w:r>
      <w:r w:rsidRPr="00A648BD">
        <w:rPr>
          <w:rFonts w:eastAsiaTheme="minorEastAsia"/>
          <w:rtl/>
        </w:rPr>
        <w:t>2022</w:t>
      </w:r>
      <w:r w:rsidR="001B19A1" w:rsidRPr="001B19A1">
        <w:rPr>
          <w:rFonts w:eastAsiaTheme="minorEastAsia"/>
          <w:rtl/>
        </w:rPr>
        <w:t xml:space="preserve">). </w:t>
      </w:r>
    </w:p>
  </w:footnote>
  <w:footnote w:id="2">
    <w:p w14:paraId="6CB82CBD" w14:textId="3E85BF28" w:rsidR="001036B6" w:rsidRPr="001036B6" w:rsidRDefault="001036B6" w:rsidP="001036B6">
      <w:pPr>
        <w:pStyle w:val="FootnoteText1"/>
        <w:rPr>
          <w:rFonts w:eastAsiaTheme="minorEastAsia"/>
          <w:rtl/>
        </w:rPr>
      </w:pPr>
      <w:r w:rsidRPr="001036B6">
        <w:rPr>
          <w:rFonts w:eastAsiaTheme="minorEastAsia"/>
          <w:rtl/>
        </w:rPr>
        <w:t>**</w:t>
      </w:r>
      <w:r w:rsidRPr="001036B6">
        <w:rPr>
          <w:rFonts w:eastAsiaTheme="minorEastAsia"/>
          <w:rtl/>
        </w:rPr>
        <w:tab/>
        <w:t>شارك في دراسة البلاغ أعضاء اللجنة التالية أسماؤهم: تانيا ماريا عبدو روشول، ووفاء أشرف محرم بسيم، وعياض بن عاشور، وعارف بلقان، والمحجوب الهيبة، وفورويا شويتشي، وكارلوس غوميث مارتينيث، ومارسيا ف. ج. كران، ودانكان لاكي موهوموزا، وفوتيني بزارتزيس، وهيرنان كيسادا كابريرا، وفاسيلكا سانسين، وخوسيه مانويل سانتوس بيس، وسوه تشانغروك، وكوباوياه تشامدجا كباتشا، وإيلين تيغرودجا، وإيميرو تامرات إغيزو، وجينتيان زيبيري</w:t>
      </w:r>
      <w:r w:rsidR="001B19A1">
        <w:rPr>
          <w:rFonts w:eastAsiaTheme="minorEastAsia"/>
          <w:rtl/>
        </w:rPr>
        <w:t xml:space="preserve">. </w:t>
      </w:r>
    </w:p>
  </w:footnote>
  <w:footnote w:id="3">
    <w:p w14:paraId="468BE46A" w14:textId="6C681D93" w:rsidR="001B19A1" w:rsidRPr="001036B6" w:rsidRDefault="001B19A1" w:rsidP="001036B6">
      <w:pPr>
        <w:pStyle w:val="FootnoteText1"/>
        <w:textDirection w:val="tbRlV"/>
        <w:rPr>
          <w:rFonts w:eastAsiaTheme="minorEastAsia"/>
          <w:lang w:val="ar-SA" w:eastAsia="zh-TW" w:bidi="en-GB"/>
        </w:rPr>
      </w:pPr>
      <w:r w:rsidRPr="001036B6">
        <w:rPr>
          <w:rFonts w:eastAsiaTheme="minorEastAsia"/>
          <w:rtl/>
        </w:rPr>
        <w:t>(</w:t>
      </w:r>
      <w:r w:rsidRPr="00A648BD">
        <w:rPr>
          <w:rStyle w:val="FootnoteReference"/>
          <w:rFonts w:eastAsiaTheme="minorEastAsia"/>
          <w:vertAlign w:val="baseline"/>
        </w:rPr>
        <w:footnoteRef/>
      </w:r>
      <w:r w:rsidRPr="00A610A9">
        <w:rPr>
          <w:rStyle w:val="FootnoteReference"/>
          <w:rFonts w:eastAsiaTheme="minorEastAsia"/>
          <w:vertAlign w:val="baseline"/>
          <w:rtl/>
        </w:rPr>
        <w:t>)</w:t>
      </w:r>
      <w:r w:rsidRPr="001036B6">
        <w:rPr>
          <w:rFonts w:eastAsiaTheme="minorEastAsia"/>
          <w:rtl/>
        </w:rPr>
        <w:tab/>
        <w:t xml:space="preserve">تنص المادة </w:t>
      </w:r>
      <w:r w:rsidRPr="00A648BD">
        <w:rPr>
          <w:rFonts w:eastAsiaTheme="minorEastAsia"/>
          <w:rtl/>
        </w:rPr>
        <w:t>23</w:t>
      </w:r>
      <w:r w:rsidRPr="001036B6">
        <w:rPr>
          <w:rFonts w:eastAsiaTheme="minorEastAsia"/>
          <w:rtl/>
        </w:rPr>
        <w:t>-</w:t>
      </w:r>
      <w:r w:rsidRPr="00A648BD">
        <w:rPr>
          <w:rFonts w:eastAsiaTheme="minorEastAsia"/>
          <w:rtl/>
        </w:rPr>
        <w:t>34</w:t>
      </w:r>
      <w:r w:rsidRPr="001036B6">
        <w:rPr>
          <w:rFonts w:eastAsiaTheme="minorEastAsia"/>
          <w:rtl/>
        </w:rPr>
        <w:t>(</w:t>
      </w:r>
      <w:r w:rsidRPr="00A648BD">
        <w:rPr>
          <w:rFonts w:eastAsiaTheme="minorEastAsia"/>
          <w:rtl/>
        </w:rPr>
        <w:t>2</w:t>
      </w:r>
      <w:r w:rsidRPr="001B19A1">
        <w:rPr>
          <w:rFonts w:eastAsiaTheme="minorEastAsia"/>
          <w:rtl/>
        </w:rPr>
        <w:t xml:space="preserve">) </w:t>
      </w:r>
      <w:r w:rsidRPr="001036B6">
        <w:rPr>
          <w:rFonts w:eastAsiaTheme="minorEastAsia"/>
          <w:rtl/>
        </w:rPr>
        <w:t xml:space="preserve">على أن انتهاك الإجراء المعمول به لتنظيم أو إجراء تجمع أو حشد أو موكب أو مظاهرة أو اعتصام، وكذلك الحث العلني على تنظيم أو إجراء تجمع أو مسيرة أو موكب أو مظاهرة أو اعتصام على نحو ينتهك الإجراءات المعمول بها لتنظيمها أو إجرائها - إذا كانت هذه الأعمال لا تشكل في حد ذاتها جريمة </w:t>
      </w:r>
      <w:r w:rsidR="000001C2">
        <w:rPr>
          <w:rFonts w:eastAsiaTheme="minorEastAsia" w:hint="cs"/>
          <w:rtl/>
        </w:rPr>
        <w:t xml:space="preserve">- </w:t>
      </w:r>
      <w:r w:rsidRPr="001036B6">
        <w:rPr>
          <w:rFonts w:eastAsiaTheme="minorEastAsia"/>
          <w:rtl/>
        </w:rPr>
        <w:t xml:space="preserve">يترتب عليه فرض غرامة تتراوح بين </w:t>
      </w:r>
      <w:r w:rsidRPr="00A648BD">
        <w:rPr>
          <w:rFonts w:eastAsiaTheme="minorEastAsia"/>
          <w:rtl/>
        </w:rPr>
        <w:t>20</w:t>
      </w:r>
      <w:r w:rsidRPr="001036B6">
        <w:rPr>
          <w:rFonts w:eastAsiaTheme="minorEastAsia"/>
          <w:rtl/>
        </w:rPr>
        <w:t xml:space="preserve"> و</w:t>
      </w:r>
      <w:r w:rsidRPr="00A648BD">
        <w:rPr>
          <w:rFonts w:eastAsiaTheme="minorEastAsia"/>
          <w:rtl/>
        </w:rPr>
        <w:t>40</w:t>
      </w:r>
      <w:r w:rsidRPr="001036B6">
        <w:rPr>
          <w:rFonts w:eastAsiaTheme="minorEastAsia"/>
          <w:rtl/>
        </w:rPr>
        <w:t xml:space="preserve"> وحدة أساسية أو اعتقال إداري، في حال كان منظم هذه الأحداث هو من ارتكب الانتهاك</w:t>
      </w:r>
      <w:r>
        <w:rPr>
          <w:rFonts w:eastAsiaTheme="minorEastAsia"/>
          <w:rtl/>
        </w:rPr>
        <w:t xml:space="preserve">. </w:t>
      </w:r>
    </w:p>
  </w:footnote>
  <w:footnote w:id="4">
    <w:p w14:paraId="7116137B" w14:textId="714372C8" w:rsidR="001B19A1" w:rsidRPr="001036B6" w:rsidRDefault="001B19A1" w:rsidP="001036B6">
      <w:pPr>
        <w:pStyle w:val="FootnoteText1"/>
        <w:textDirection w:val="tbRlV"/>
        <w:rPr>
          <w:rFonts w:eastAsiaTheme="minorEastAsia"/>
          <w:lang w:val="ar-SA" w:eastAsia="zh-TW" w:bidi="en-GB"/>
        </w:rPr>
      </w:pPr>
      <w:r w:rsidRPr="001036B6">
        <w:rPr>
          <w:rFonts w:eastAsiaTheme="minorEastAsia"/>
          <w:rtl/>
        </w:rPr>
        <w:t>(</w:t>
      </w:r>
      <w:r w:rsidRPr="00A648BD">
        <w:rPr>
          <w:rStyle w:val="FootnoteReference"/>
          <w:rFonts w:eastAsiaTheme="minorEastAsia"/>
          <w:vertAlign w:val="baseline"/>
        </w:rPr>
        <w:footnoteRef/>
      </w:r>
      <w:r w:rsidRPr="00A610A9">
        <w:rPr>
          <w:rStyle w:val="FootnoteReference"/>
          <w:rFonts w:eastAsiaTheme="minorEastAsia"/>
          <w:vertAlign w:val="baseline"/>
          <w:rtl/>
        </w:rPr>
        <w:t>)</w:t>
      </w:r>
      <w:r w:rsidRPr="001036B6">
        <w:rPr>
          <w:rFonts w:eastAsiaTheme="minorEastAsia"/>
          <w:rtl/>
        </w:rPr>
        <w:tab/>
        <w:t xml:space="preserve">تنص المادة </w:t>
      </w:r>
      <w:r w:rsidRPr="00A648BD">
        <w:rPr>
          <w:rFonts w:eastAsiaTheme="minorEastAsia"/>
          <w:rtl/>
        </w:rPr>
        <w:t>25</w:t>
      </w:r>
      <w:r w:rsidRPr="001036B6">
        <w:rPr>
          <w:rFonts w:eastAsiaTheme="minorEastAsia"/>
          <w:rtl/>
        </w:rPr>
        <w:t>(</w:t>
      </w:r>
      <w:r w:rsidRPr="00A648BD">
        <w:rPr>
          <w:rFonts w:eastAsiaTheme="minorEastAsia"/>
          <w:rtl/>
        </w:rPr>
        <w:t>5</w:t>
      </w:r>
      <w:r w:rsidRPr="001B19A1">
        <w:rPr>
          <w:rFonts w:eastAsiaTheme="minorEastAsia"/>
          <w:rtl/>
        </w:rPr>
        <w:t xml:space="preserve">) </w:t>
      </w:r>
      <w:r w:rsidRPr="001036B6">
        <w:rPr>
          <w:rFonts w:eastAsiaTheme="minorEastAsia"/>
          <w:rtl/>
        </w:rPr>
        <w:t>من قانون حرية الضمير والمنظمات الدينية على أنه لا تجوز إقامة الشعائر والاحتفالات الدينية وغيرها من الأحداث الجماهيرية التي يكون الغرض العام منها تلبية الاحتياجات الدينية، عندما تنظم في أماكن مكشوفة ومغلقة غير مصممة بالتحديد لهذه الأغراض، إلا بعد تلقي قرار مناسب من رئيس الهيئة التنفيذية أو الإدارية المحلية أو نائبها بالترتيب الذي تحدده تشريعات بيلاروسيا</w:t>
      </w:r>
      <w:r>
        <w:rPr>
          <w:rFonts w:eastAsiaTheme="minorEastAsia"/>
          <w:rtl/>
        </w:rPr>
        <w:t xml:space="preserve">. </w:t>
      </w:r>
    </w:p>
  </w:footnote>
  <w:footnote w:id="5">
    <w:p w14:paraId="1A617AF1" w14:textId="77777777" w:rsidR="001B19A1" w:rsidRPr="001036B6" w:rsidRDefault="001B19A1" w:rsidP="001036B6">
      <w:pPr>
        <w:pStyle w:val="FootnoteText1"/>
        <w:textDirection w:val="tbRlV"/>
        <w:rPr>
          <w:rFonts w:eastAsiaTheme="minorEastAsia"/>
          <w:lang w:val="ar-SA" w:eastAsia="zh-TW" w:bidi="en-GB"/>
        </w:rPr>
      </w:pPr>
      <w:r w:rsidRPr="001036B6">
        <w:rPr>
          <w:rFonts w:eastAsiaTheme="minorEastAsia"/>
          <w:rtl/>
        </w:rPr>
        <w:t>(</w:t>
      </w:r>
      <w:r w:rsidRPr="00A648BD">
        <w:rPr>
          <w:rStyle w:val="FootnoteReference"/>
          <w:rFonts w:eastAsiaTheme="minorEastAsia"/>
          <w:vertAlign w:val="baseline"/>
        </w:rPr>
        <w:footnoteRef/>
      </w:r>
      <w:r w:rsidRPr="00A610A9">
        <w:rPr>
          <w:rStyle w:val="FootnoteReference"/>
          <w:rFonts w:eastAsiaTheme="minorEastAsia"/>
          <w:vertAlign w:val="baseline"/>
          <w:rtl/>
        </w:rPr>
        <w:t>)</w:t>
      </w:r>
      <w:r w:rsidRPr="001036B6">
        <w:rPr>
          <w:rFonts w:eastAsiaTheme="minorEastAsia"/>
          <w:rtl/>
        </w:rPr>
        <w:tab/>
        <w:t xml:space="preserve">تبيّن المادتان </w:t>
      </w:r>
      <w:r w:rsidRPr="00A648BD">
        <w:rPr>
          <w:rFonts w:eastAsiaTheme="minorEastAsia"/>
          <w:rtl/>
        </w:rPr>
        <w:t>5</w:t>
      </w:r>
      <w:r w:rsidRPr="001036B6">
        <w:rPr>
          <w:rFonts w:eastAsiaTheme="minorEastAsia"/>
          <w:rtl/>
        </w:rPr>
        <w:t xml:space="preserve"> و</w:t>
      </w:r>
      <w:r w:rsidRPr="00A648BD">
        <w:rPr>
          <w:rFonts w:eastAsiaTheme="minorEastAsia"/>
          <w:rtl/>
        </w:rPr>
        <w:t>6</w:t>
      </w:r>
      <w:r w:rsidRPr="001036B6">
        <w:rPr>
          <w:rFonts w:eastAsiaTheme="minorEastAsia"/>
          <w:rtl/>
        </w:rPr>
        <w:t xml:space="preserve"> من قانون الأحداث العامة إجراءات الحصول على إذن بتنظيم حدث جماهيري</w:t>
      </w:r>
      <w:r>
        <w:rPr>
          <w:rFonts w:eastAsiaTheme="minorEastAsia"/>
          <w:rtl/>
        </w:rPr>
        <w:t xml:space="preserve">. </w:t>
      </w:r>
    </w:p>
  </w:footnote>
  <w:footnote w:id="6">
    <w:p w14:paraId="6228C109" w14:textId="77777777" w:rsidR="001B19A1" w:rsidRPr="000001C2" w:rsidRDefault="001B19A1" w:rsidP="001036B6">
      <w:pPr>
        <w:pStyle w:val="FootnoteText1"/>
        <w:textDirection w:val="tbRlV"/>
        <w:rPr>
          <w:rFonts w:eastAsiaTheme="minorEastAsia"/>
          <w:spacing w:val="-4"/>
          <w:lang w:val="ar-SA" w:eastAsia="zh-TW" w:bidi="en-GB"/>
        </w:rPr>
      </w:pPr>
      <w:r w:rsidRPr="001036B6">
        <w:rPr>
          <w:rFonts w:eastAsiaTheme="minorEastAsia"/>
          <w:rtl/>
        </w:rPr>
        <w:t>(</w:t>
      </w:r>
      <w:r w:rsidRPr="00A648BD">
        <w:rPr>
          <w:rStyle w:val="FootnoteReference"/>
          <w:rFonts w:eastAsiaTheme="minorEastAsia"/>
          <w:vertAlign w:val="baseline"/>
        </w:rPr>
        <w:footnoteRef/>
      </w:r>
      <w:r w:rsidRPr="00A610A9">
        <w:rPr>
          <w:rStyle w:val="FootnoteReference"/>
          <w:rFonts w:eastAsiaTheme="minorEastAsia"/>
          <w:vertAlign w:val="baseline"/>
          <w:rtl/>
        </w:rPr>
        <w:t>)</w:t>
      </w:r>
      <w:r w:rsidRPr="001036B6">
        <w:rPr>
          <w:rFonts w:eastAsiaTheme="minorEastAsia"/>
          <w:rtl/>
        </w:rPr>
        <w:tab/>
      </w:r>
      <w:r w:rsidRPr="000001C2">
        <w:rPr>
          <w:rFonts w:eastAsiaTheme="minorEastAsia"/>
          <w:spacing w:val="-4"/>
          <w:rtl/>
        </w:rPr>
        <w:t xml:space="preserve">تشير المادة </w:t>
      </w:r>
      <w:r w:rsidRPr="00A648BD">
        <w:rPr>
          <w:rFonts w:eastAsiaTheme="minorEastAsia"/>
          <w:spacing w:val="-4"/>
          <w:rtl/>
        </w:rPr>
        <w:t>2</w:t>
      </w:r>
      <w:r w:rsidRPr="000001C2">
        <w:rPr>
          <w:rFonts w:eastAsiaTheme="minorEastAsia"/>
          <w:spacing w:val="-4"/>
          <w:rtl/>
        </w:rPr>
        <w:t xml:space="preserve"> من قانون الأحداث العامة إلى التجمع أو الحشد أو المسيرة أو المظاهرة أو الاعتصام أو الأحداث الجماهيرية الأخرى. </w:t>
      </w:r>
    </w:p>
  </w:footnote>
  <w:footnote w:id="7">
    <w:p w14:paraId="6C81B274" w14:textId="77777777" w:rsidR="001B19A1" w:rsidRPr="001036B6" w:rsidRDefault="001B19A1" w:rsidP="001036B6">
      <w:pPr>
        <w:pStyle w:val="FootnoteText1"/>
        <w:textDirection w:val="tbRlV"/>
        <w:rPr>
          <w:rFonts w:eastAsiaTheme="minorEastAsia"/>
          <w:lang w:val="ar-SA" w:eastAsia="zh-TW" w:bidi="en-GB"/>
        </w:rPr>
      </w:pPr>
      <w:r w:rsidRPr="001036B6">
        <w:rPr>
          <w:rFonts w:eastAsiaTheme="minorEastAsia"/>
          <w:rtl/>
        </w:rPr>
        <w:t>(</w:t>
      </w:r>
      <w:r w:rsidRPr="00A648BD">
        <w:rPr>
          <w:rStyle w:val="FootnoteReference"/>
          <w:rFonts w:eastAsiaTheme="minorEastAsia"/>
          <w:vertAlign w:val="baseline"/>
        </w:rPr>
        <w:footnoteRef/>
      </w:r>
      <w:r w:rsidRPr="00A610A9">
        <w:rPr>
          <w:rStyle w:val="FootnoteReference"/>
          <w:rFonts w:eastAsiaTheme="minorEastAsia"/>
          <w:vertAlign w:val="baseline"/>
          <w:rtl/>
        </w:rPr>
        <w:t>)</w:t>
      </w:r>
      <w:r w:rsidRPr="001036B6">
        <w:rPr>
          <w:rFonts w:eastAsiaTheme="minorEastAsia"/>
          <w:rtl/>
        </w:rPr>
        <w:tab/>
        <w:t xml:space="preserve">تشير المادة </w:t>
      </w:r>
      <w:r w:rsidRPr="00A648BD">
        <w:rPr>
          <w:rFonts w:eastAsiaTheme="minorEastAsia"/>
          <w:rtl/>
        </w:rPr>
        <w:t>2</w:t>
      </w:r>
      <w:r w:rsidRPr="001036B6">
        <w:rPr>
          <w:rFonts w:eastAsiaTheme="minorEastAsia"/>
          <w:rtl/>
        </w:rPr>
        <w:t xml:space="preserve"> من قانون الفعاليات العامة إلى الفعاليات الرياضية والثقافية وغيرها من الفعاليات الترفيهية والفعاليات الدينية التي تقام في أماكن غير مخصصة للغرض في الهواء الطلق أو في الأماكن المغلقة</w:t>
      </w:r>
      <w:r>
        <w:rPr>
          <w:rFonts w:eastAsiaTheme="minorEastAsia"/>
          <w:rtl/>
        </w:rPr>
        <w:t xml:space="preserve">. </w:t>
      </w:r>
    </w:p>
  </w:footnote>
  <w:footnote w:id="8">
    <w:p w14:paraId="34F48469" w14:textId="73AE1ADF" w:rsidR="001B19A1" w:rsidRPr="00A648BD" w:rsidRDefault="001B19A1" w:rsidP="001B19A1">
      <w:pPr>
        <w:pStyle w:val="FootnoteText1"/>
        <w:textDirection w:val="tbRlV"/>
        <w:rPr>
          <w:rFonts w:eastAsiaTheme="minorEastAsia"/>
          <w:lang w:eastAsia="zh-TW" w:bidi="en-GB"/>
        </w:rPr>
      </w:pPr>
      <w:r w:rsidRPr="00A648BD">
        <w:rPr>
          <w:rFonts w:eastAsiaTheme="minorEastAsia"/>
          <w:rtl/>
        </w:rPr>
        <w:t>(</w:t>
      </w:r>
      <w:r w:rsidRPr="00A648BD">
        <w:rPr>
          <w:rStyle w:val="FootnoteReference"/>
          <w:rFonts w:eastAsiaTheme="minorEastAsia"/>
          <w:vertAlign w:val="baseline"/>
        </w:rPr>
        <w:footnoteRef/>
      </w:r>
      <w:r w:rsidRPr="00A648BD">
        <w:rPr>
          <w:rStyle w:val="FootnoteReference"/>
          <w:rFonts w:eastAsiaTheme="minorEastAsia"/>
          <w:vertAlign w:val="baseline"/>
          <w:rtl/>
        </w:rPr>
        <w:t>)</w:t>
      </w:r>
      <w:r w:rsidRPr="00A648BD">
        <w:rPr>
          <w:rFonts w:eastAsiaTheme="minorEastAsia"/>
          <w:rtl/>
        </w:rPr>
        <w:tab/>
      </w:r>
      <w:r w:rsidRPr="00A648BD">
        <w:rPr>
          <w:rFonts w:eastAsiaTheme="minorEastAsia"/>
          <w:spacing w:val="-2"/>
          <w:rtl/>
        </w:rPr>
        <w:t>التعليق العام رقم 33(2008)، الفقرتان 8 و10. انظر أيض</w:t>
      </w:r>
      <w:r w:rsidR="0092683E" w:rsidRPr="00A648BD">
        <w:rPr>
          <w:rFonts w:eastAsiaTheme="minorEastAsia"/>
          <w:spacing w:val="-2"/>
          <w:rtl/>
        </w:rPr>
        <w:t xml:space="preserve">اً </w:t>
      </w:r>
      <w:r w:rsidRPr="00A648BD">
        <w:rPr>
          <w:rFonts w:eastAsiaTheme="minorEastAsia"/>
          <w:spacing w:val="-2"/>
          <w:rtl/>
        </w:rPr>
        <w:t xml:space="preserve">قضية </w:t>
      </w:r>
      <w:r w:rsidRPr="00A648BD">
        <w:rPr>
          <w:rFonts w:eastAsiaTheme="minorEastAsia"/>
          <w:i/>
          <w:iCs/>
          <w:spacing w:val="-2"/>
          <w:rtl/>
        </w:rPr>
        <w:t>مالاشيناك ضد بيلاروس</w:t>
      </w:r>
      <w:r w:rsidRPr="00A648BD">
        <w:rPr>
          <w:rFonts w:eastAsiaTheme="minorEastAsia"/>
          <w:spacing w:val="-2"/>
          <w:rtl/>
        </w:rPr>
        <w:t xml:space="preserve"> (</w:t>
      </w:r>
      <w:hyperlink r:id="rId1" w:history="1">
        <w:r w:rsidRPr="00A648BD">
          <w:rPr>
            <w:rStyle w:val="Hyperlink"/>
            <w:spacing w:val="-2"/>
          </w:rPr>
          <w:t>CCPR/C/129/D/2486/2014</w:t>
        </w:r>
      </w:hyperlink>
      <w:r w:rsidRPr="00A648BD">
        <w:rPr>
          <w:rFonts w:eastAsiaTheme="minorEastAsia"/>
          <w:spacing w:val="-2"/>
          <w:rtl/>
        </w:rPr>
        <w:t>)،</w:t>
      </w:r>
      <w:r w:rsidRPr="00A648BD">
        <w:rPr>
          <w:rFonts w:eastAsiaTheme="minorEastAsia"/>
          <w:rtl/>
        </w:rPr>
        <w:t xml:space="preserve"> الفقرة 4. </w:t>
      </w:r>
    </w:p>
  </w:footnote>
  <w:footnote w:id="9">
    <w:p w14:paraId="4417901F" w14:textId="77777777" w:rsidR="001B19A1" w:rsidRPr="001036B6" w:rsidRDefault="001B19A1" w:rsidP="001B19A1">
      <w:pPr>
        <w:pStyle w:val="FootnoteText1"/>
        <w:textDirection w:val="tbRlV"/>
        <w:rPr>
          <w:rFonts w:eastAsiaTheme="minorEastAsia"/>
          <w:lang w:val="ar-SA" w:eastAsia="zh-TW" w:bidi="en-GB"/>
        </w:rPr>
      </w:pPr>
      <w:r w:rsidRPr="001036B6">
        <w:rPr>
          <w:rFonts w:eastAsiaTheme="minorEastAsia"/>
          <w:rtl/>
        </w:rPr>
        <w:t>(</w:t>
      </w:r>
      <w:r w:rsidRPr="00A648BD">
        <w:rPr>
          <w:rStyle w:val="FootnoteReference"/>
          <w:rFonts w:eastAsiaTheme="minorEastAsia"/>
          <w:vertAlign w:val="baseline"/>
        </w:rPr>
        <w:footnoteRef/>
      </w:r>
      <w:r w:rsidRPr="00A610A9">
        <w:rPr>
          <w:rStyle w:val="FootnoteReference"/>
          <w:rFonts w:eastAsiaTheme="minorEastAsia"/>
          <w:vertAlign w:val="baseline"/>
          <w:rtl/>
        </w:rPr>
        <w:t>)</w:t>
      </w:r>
      <w:r w:rsidRPr="001036B6">
        <w:rPr>
          <w:rFonts w:eastAsiaTheme="minorEastAsia"/>
          <w:rtl/>
        </w:rPr>
        <w:tab/>
        <w:t xml:space="preserve">قضية </w:t>
      </w:r>
      <w:r w:rsidRPr="00A648BD">
        <w:rPr>
          <w:rFonts w:eastAsiaTheme="minorEastAsia"/>
          <w:i/>
          <w:iCs/>
          <w:rtl/>
        </w:rPr>
        <w:t>روفياكو ضد بيلاروس</w:t>
      </w:r>
      <w:r w:rsidRPr="001036B6">
        <w:rPr>
          <w:rFonts w:eastAsiaTheme="minorEastAsia"/>
          <w:rtl/>
        </w:rPr>
        <w:t xml:space="preserve"> (</w:t>
      </w:r>
      <w:hyperlink r:id="rId2" w:history="1">
        <w:r w:rsidRPr="001B19A1">
          <w:rPr>
            <w:rStyle w:val="Hyperlink"/>
          </w:rPr>
          <w:t>CCPR/C/</w:t>
        </w:r>
        <w:r w:rsidRPr="00A648BD">
          <w:rPr>
            <w:rStyle w:val="Hyperlink"/>
          </w:rPr>
          <w:t>129</w:t>
        </w:r>
        <w:r w:rsidRPr="001B19A1">
          <w:rPr>
            <w:rStyle w:val="Hyperlink"/>
          </w:rPr>
          <w:t>/D/</w:t>
        </w:r>
        <w:r w:rsidRPr="00A648BD">
          <w:rPr>
            <w:rStyle w:val="Hyperlink"/>
          </w:rPr>
          <w:t>2455</w:t>
        </w:r>
        <w:r w:rsidRPr="001B19A1">
          <w:rPr>
            <w:rStyle w:val="Hyperlink"/>
          </w:rPr>
          <w:t>/</w:t>
        </w:r>
        <w:r w:rsidRPr="00A648BD">
          <w:rPr>
            <w:rStyle w:val="Hyperlink"/>
          </w:rPr>
          <w:t>2014</w:t>
        </w:r>
      </w:hyperlink>
      <w:r w:rsidRPr="001B19A1">
        <w:rPr>
          <w:rFonts w:eastAsiaTheme="minorEastAsia"/>
          <w:rtl/>
        </w:rPr>
        <w:t xml:space="preserve">)، </w:t>
      </w:r>
      <w:r w:rsidRPr="001036B6">
        <w:rPr>
          <w:rFonts w:eastAsiaTheme="minorEastAsia"/>
          <w:rtl/>
        </w:rPr>
        <w:t xml:space="preserve">الفقرة </w:t>
      </w:r>
      <w:r w:rsidRPr="00A648BD">
        <w:rPr>
          <w:rFonts w:eastAsiaTheme="minorEastAsia"/>
          <w:rtl/>
        </w:rPr>
        <w:t>8</w:t>
      </w:r>
      <w:r w:rsidRPr="001036B6">
        <w:rPr>
          <w:rFonts w:eastAsiaTheme="minorEastAsia"/>
          <w:rtl/>
        </w:rPr>
        <w:t>-</w:t>
      </w:r>
      <w:r w:rsidRPr="00A648BD">
        <w:rPr>
          <w:rFonts w:eastAsiaTheme="minorEastAsia"/>
          <w:rtl/>
        </w:rPr>
        <w:t>1</w:t>
      </w:r>
      <w:r w:rsidRPr="001B19A1">
        <w:rPr>
          <w:rFonts w:eastAsiaTheme="minorEastAsia"/>
          <w:rtl/>
        </w:rPr>
        <w:t xml:space="preserve">. </w:t>
      </w:r>
    </w:p>
  </w:footnote>
  <w:footnote w:id="10">
    <w:p w14:paraId="0A558673" w14:textId="5F0D96FB" w:rsidR="001B19A1" w:rsidRPr="00A610A9" w:rsidRDefault="001B19A1" w:rsidP="001B19A1">
      <w:pPr>
        <w:pStyle w:val="FootnoteText1"/>
        <w:textDirection w:val="tbRlV"/>
        <w:rPr>
          <w:rFonts w:eastAsiaTheme="minorEastAsia"/>
          <w:spacing w:val="-4"/>
          <w:lang w:eastAsia="zh-TW" w:bidi="en-GB"/>
        </w:rPr>
      </w:pPr>
      <w:r w:rsidRPr="001036B6">
        <w:rPr>
          <w:rFonts w:eastAsiaTheme="minorEastAsia"/>
          <w:rtl/>
        </w:rPr>
        <w:t>(</w:t>
      </w:r>
      <w:r w:rsidRPr="00A648BD">
        <w:rPr>
          <w:rStyle w:val="FootnoteReference"/>
          <w:rFonts w:eastAsiaTheme="minorEastAsia"/>
          <w:vertAlign w:val="baseline"/>
        </w:rPr>
        <w:footnoteRef/>
      </w:r>
      <w:r w:rsidRPr="00A610A9">
        <w:rPr>
          <w:rStyle w:val="FootnoteReference"/>
          <w:rFonts w:eastAsiaTheme="minorEastAsia"/>
          <w:vertAlign w:val="baseline"/>
          <w:rtl/>
        </w:rPr>
        <w:t>)</w:t>
      </w:r>
      <w:r w:rsidRPr="001036B6">
        <w:rPr>
          <w:rFonts w:eastAsiaTheme="minorEastAsia"/>
          <w:rtl/>
        </w:rPr>
        <w:tab/>
      </w:r>
      <w:r w:rsidRPr="000001C2">
        <w:rPr>
          <w:rFonts w:eastAsiaTheme="minorEastAsia"/>
          <w:spacing w:val="-4"/>
          <w:rtl/>
        </w:rPr>
        <w:t xml:space="preserve">التعليق العام رقم </w:t>
      </w:r>
      <w:r w:rsidRPr="00A648BD">
        <w:rPr>
          <w:rFonts w:eastAsiaTheme="minorEastAsia"/>
          <w:spacing w:val="-4"/>
          <w:rtl/>
        </w:rPr>
        <w:t>22</w:t>
      </w:r>
      <w:r w:rsidRPr="000001C2">
        <w:rPr>
          <w:rFonts w:eastAsiaTheme="minorEastAsia"/>
          <w:spacing w:val="-4"/>
          <w:rtl/>
        </w:rPr>
        <w:t>(</w:t>
      </w:r>
      <w:r w:rsidRPr="00A648BD">
        <w:rPr>
          <w:rFonts w:eastAsiaTheme="minorEastAsia"/>
          <w:spacing w:val="-4"/>
          <w:rtl/>
        </w:rPr>
        <w:t>1993</w:t>
      </w:r>
      <w:r w:rsidRPr="000001C2">
        <w:rPr>
          <w:rFonts w:eastAsiaTheme="minorEastAsia"/>
          <w:spacing w:val="-4"/>
          <w:rtl/>
        </w:rPr>
        <w:t xml:space="preserve">)، الفقرة </w:t>
      </w:r>
      <w:r w:rsidRPr="00A648BD">
        <w:rPr>
          <w:rFonts w:eastAsiaTheme="minorEastAsia"/>
          <w:spacing w:val="-4"/>
          <w:rtl/>
        </w:rPr>
        <w:t>4</w:t>
      </w:r>
      <w:r w:rsidRPr="000001C2">
        <w:rPr>
          <w:rFonts w:eastAsiaTheme="minorEastAsia"/>
          <w:spacing w:val="-4"/>
          <w:rtl/>
        </w:rPr>
        <w:t>. انظر أيض</w:t>
      </w:r>
      <w:r w:rsidR="0092683E" w:rsidRPr="000001C2">
        <w:rPr>
          <w:rFonts w:eastAsiaTheme="minorEastAsia"/>
          <w:spacing w:val="-4"/>
          <w:rtl/>
        </w:rPr>
        <w:t xml:space="preserve">اً </w:t>
      </w:r>
      <w:r w:rsidRPr="000001C2">
        <w:rPr>
          <w:rFonts w:eastAsiaTheme="minorEastAsia"/>
          <w:spacing w:val="-4"/>
          <w:rtl/>
        </w:rPr>
        <w:t>قضية</w:t>
      </w:r>
      <w:r w:rsidRPr="00A648BD">
        <w:rPr>
          <w:rFonts w:eastAsiaTheme="minorEastAsia"/>
          <w:i/>
          <w:iCs/>
          <w:spacing w:val="-4"/>
          <w:rtl/>
        </w:rPr>
        <w:t xml:space="preserve"> بكمانوف وإجيمبردييف</w:t>
      </w:r>
      <w:r w:rsidRPr="000001C2">
        <w:rPr>
          <w:rFonts w:eastAsiaTheme="minorEastAsia"/>
          <w:spacing w:val="-4"/>
          <w:rtl/>
        </w:rPr>
        <w:t xml:space="preserve"> ضد </w:t>
      </w:r>
      <w:r w:rsidRPr="00A648BD">
        <w:rPr>
          <w:rFonts w:eastAsiaTheme="minorEastAsia"/>
          <w:i/>
          <w:iCs/>
          <w:spacing w:val="-4"/>
          <w:rtl/>
        </w:rPr>
        <w:t>قيرغيزستان</w:t>
      </w:r>
      <w:r w:rsidRPr="000001C2">
        <w:rPr>
          <w:rFonts w:eastAsiaTheme="minorEastAsia"/>
          <w:spacing w:val="-4"/>
          <w:rtl/>
        </w:rPr>
        <w:t xml:space="preserve"> (</w:t>
      </w:r>
      <w:hyperlink r:id="rId3" w:history="1">
        <w:r w:rsidRPr="000001C2">
          <w:rPr>
            <w:rStyle w:val="Hyperlink"/>
            <w:spacing w:val="-4"/>
          </w:rPr>
          <w:t>CCPR/C/</w:t>
        </w:r>
        <w:r w:rsidRPr="00A648BD">
          <w:rPr>
            <w:rStyle w:val="Hyperlink"/>
            <w:spacing w:val="-4"/>
          </w:rPr>
          <w:t>125</w:t>
        </w:r>
        <w:r w:rsidRPr="000001C2">
          <w:rPr>
            <w:rStyle w:val="Hyperlink"/>
            <w:spacing w:val="-4"/>
          </w:rPr>
          <w:t>/D/</w:t>
        </w:r>
        <w:r w:rsidRPr="00A648BD">
          <w:rPr>
            <w:rStyle w:val="Hyperlink"/>
            <w:spacing w:val="-4"/>
          </w:rPr>
          <w:t>2312</w:t>
        </w:r>
        <w:r w:rsidRPr="000001C2">
          <w:rPr>
            <w:rStyle w:val="Hyperlink"/>
            <w:spacing w:val="-4"/>
          </w:rPr>
          <w:t>/</w:t>
        </w:r>
        <w:r w:rsidRPr="00A648BD">
          <w:rPr>
            <w:rStyle w:val="Hyperlink"/>
            <w:spacing w:val="-4"/>
          </w:rPr>
          <w:t>2013</w:t>
        </w:r>
      </w:hyperlink>
      <w:r w:rsidRPr="000001C2">
        <w:rPr>
          <w:rFonts w:eastAsiaTheme="minorEastAsia"/>
          <w:spacing w:val="-4"/>
          <w:rtl/>
        </w:rPr>
        <w:t xml:space="preserve">)، الفقرة </w:t>
      </w:r>
      <w:r w:rsidRPr="00A648BD">
        <w:rPr>
          <w:rFonts w:eastAsiaTheme="minorEastAsia"/>
          <w:spacing w:val="-4"/>
          <w:rtl/>
        </w:rPr>
        <w:t>7</w:t>
      </w:r>
      <w:r w:rsidRPr="000001C2">
        <w:rPr>
          <w:rFonts w:eastAsiaTheme="minorEastAsia"/>
          <w:spacing w:val="-4"/>
          <w:rtl/>
        </w:rPr>
        <w:t>-</w:t>
      </w:r>
      <w:r w:rsidRPr="00A648BD">
        <w:rPr>
          <w:rFonts w:eastAsiaTheme="minorEastAsia"/>
          <w:spacing w:val="-4"/>
          <w:rtl/>
        </w:rPr>
        <w:t>2</w:t>
      </w:r>
      <w:r w:rsidRPr="000001C2">
        <w:rPr>
          <w:rFonts w:eastAsiaTheme="minorEastAsia"/>
          <w:spacing w:val="-4"/>
          <w:rtl/>
        </w:rPr>
        <w:t xml:space="preserve">. </w:t>
      </w:r>
    </w:p>
  </w:footnote>
  <w:footnote w:id="11">
    <w:p w14:paraId="7A7E3B9F" w14:textId="11584C1C" w:rsidR="001B19A1" w:rsidRPr="001036B6" w:rsidRDefault="001B19A1" w:rsidP="001B19A1">
      <w:pPr>
        <w:pStyle w:val="FootnoteText1"/>
        <w:textDirection w:val="tbRlV"/>
        <w:rPr>
          <w:rFonts w:eastAsiaTheme="minorEastAsia"/>
          <w:lang w:val="ar-SA" w:eastAsia="zh-TW" w:bidi="en-GB"/>
        </w:rPr>
      </w:pPr>
      <w:r w:rsidRPr="001036B6">
        <w:rPr>
          <w:rFonts w:eastAsiaTheme="minorEastAsia"/>
          <w:rtl/>
        </w:rPr>
        <w:t>(</w:t>
      </w:r>
      <w:r w:rsidRPr="00A648BD">
        <w:rPr>
          <w:rStyle w:val="FootnoteReference"/>
          <w:rFonts w:eastAsiaTheme="minorEastAsia"/>
          <w:vertAlign w:val="baseline"/>
        </w:rPr>
        <w:footnoteRef/>
      </w:r>
      <w:r w:rsidRPr="00A610A9">
        <w:rPr>
          <w:rStyle w:val="FootnoteReference"/>
          <w:rFonts w:eastAsiaTheme="minorEastAsia"/>
          <w:vertAlign w:val="baseline"/>
          <w:rtl/>
        </w:rPr>
        <w:t>)</w:t>
      </w:r>
      <w:r w:rsidRPr="001036B6">
        <w:rPr>
          <w:rFonts w:eastAsiaTheme="minorEastAsia"/>
          <w:rtl/>
        </w:rPr>
        <w:tab/>
        <w:t xml:space="preserve">التعليق العام رقم </w:t>
      </w:r>
      <w:r w:rsidRPr="00A648BD">
        <w:rPr>
          <w:rFonts w:eastAsiaTheme="minorEastAsia"/>
          <w:rtl/>
        </w:rPr>
        <w:t>22</w:t>
      </w:r>
      <w:r w:rsidRPr="001036B6">
        <w:rPr>
          <w:rFonts w:eastAsiaTheme="minorEastAsia"/>
          <w:rtl/>
        </w:rPr>
        <w:t>(</w:t>
      </w:r>
      <w:r w:rsidRPr="00A648BD">
        <w:rPr>
          <w:rFonts w:eastAsiaTheme="minorEastAsia"/>
          <w:rtl/>
        </w:rPr>
        <w:t>1993</w:t>
      </w:r>
      <w:r w:rsidRPr="001B19A1">
        <w:rPr>
          <w:rFonts w:eastAsiaTheme="minorEastAsia"/>
          <w:rtl/>
        </w:rPr>
        <w:t xml:space="preserve">)، </w:t>
      </w:r>
      <w:r w:rsidRPr="001036B6">
        <w:rPr>
          <w:rFonts w:eastAsiaTheme="minorEastAsia"/>
          <w:rtl/>
        </w:rPr>
        <w:t xml:space="preserve">الفقرة </w:t>
      </w:r>
      <w:r w:rsidRPr="00A648BD">
        <w:rPr>
          <w:rFonts w:eastAsiaTheme="minorEastAsia"/>
          <w:rtl/>
        </w:rPr>
        <w:t>8</w:t>
      </w:r>
      <w:r w:rsidRPr="001B19A1">
        <w:rPr>
          <w:rFonts w:eastAsiaTheme="minorEastAsia"/>
          <w:rtl/>
        </w:rPr>
        <w:t xml:space="preserve">. </w:t>
      </w:r>
      <w:r w:rsidRPr="001036B6">
        <w:rPr>
          <w:rFonts w:eastAsiaTheme="minorEastAsia"/>
          <w:rtl/>
        </w:rPr>
        <w:t>انظر أيض</w:t>
      </w:r>
      <w:r w:rsidR="0092683E">
        <w:rPr>
          <w:rFonts w:eastAsiaTheme="minorEastAsia"/>
          <w:rtl/>
        </w:rPr>
        <w:t xml:space="preserve">اً </w:t>
      </w:r>
      <w:r w:rsidRPr="001036B6">
        <w:rPr>
          <w:rFonts w:eastAsiaTheme="minorEastAsia"/>
          <w:rtl/>
        </w:rPr>
        <w:t xml:space="preserve">قضية </w:t>
      </w:r>
      <w:r w:rsidRPr="00A648BD">
        <w:rPr>
          <w:rFonts w:eastAsiaTheme="minorEastAsia"/>
          <w:i/>
          <w:iCs/>
          <w:rtl/>
        </w:rPr>
        <w:t>مامادوف وآخرون ضد أذربيجان</w:t>
      </w:r>
      <w:r w:rsidRPr="001036B6">
        <w:rPr>
          <w:rFonts w:eastAsiaTheme="minorEastAsia"/>
          <w:rtl/>
        </w:rPr>
        <w:t xml:space="preserve"> (</w:t>
      </w:r>
      <w:hyperlink r:id="rId4" w:history="1">
        <w:r w:rsidRPr="001B19A1">
          <w:rPr>
            <w:rStyle w:val="Hyperlink"/>
          </w:rPr>
          <w:t>CCPR/C/</w:t>
        </w:r>
        <w:r w:rsidRPr="00A648BD">
          <w:rPr>
            <w:rStyle w:val="Hyperlink"/>
          </w:rPr>
          <w:t>130</w:t>
        </w:r>
        <w:r w:rsidRPr="001B19A1">
          <w:rPr>
            <w:rStyle w:val="Hyperlink"/>
          </w:rPr>
          <w:t>/D/</w:t>
        </w:r>
        <w:r w:rsidRPr="00A648BD">
          <w:rPr>
            <w:rStyle w:val="Hyperlink"/>
          </w:rPr>
          <w:t>2928</w:t>
        </w:r>
        <w:r w:rsidRPr="001B19A1">
          <w:rPr>
            <w:rStyle w:val="Hyperlink"/>
          </w:rPr>
          <w:t>/</w:t>
        </w:r>
        <w:r w:rsidRPr="00A648BD">
          <w:rPr>
            <w:rStyle w:val="Hyperlink"/>
          </w:rPr>
          <w:t>2017</w:t>
        </w:r>
      </w:hyperlink>
      <w:r w:rsidRPr="001B19A1">
        <w:rPr>
          <w:rFonts w:eastAsiaTheme="minorEastAsia"/>
          <w:rtl/>
        </w:rPr>
        <w:t xml:space="preserve">)، </w:t>
      </w:r>
      <w:r w:rsidRPr="001036B6">
        <w:rPr>
          <w:rFonts w:eastAsiaTheme="minorEastAsia"/>
          <w:rtl/>
        </w:rPr>
        <w:t xml:space="preserve">الفقرة </w:t>
      </w:r>
      <w:r w:rsidRPr="00A648BD">
        <w:rPr>
          <w:rFonts w:eastAsiaTheme="minorEastAsia"/>
          <w:rtl/>
        </w:rPr>
        <w:t>7</w:t>
      </w:r>
      <w:r w:rsidRPr="001036B6">
        <w:rPr>
          <w:rFonts w:eastAsiaTheme="minorEastAsia"/>
          <w:rtl/>
        </w:rPr>
        <w:t>-</w:t>
      </w:r>
      <w:r w:rsidRPr="00A648BD">
        <w:rPr>
          <w:rFonts w:eastAsiaTheme="minorEastAsia"/>
          <w:rtl/>
        </w:rPr>
        <w:t>4</w:t>
      </w:r>
      <w:r w:rsidRPr="001B19A1">
        <w:rPr>
          <w:rFonts w:eastAsiaTheme="minorEastAsia"/>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173" w14:textId="25BBE419" w:rsidR="00C85DB0" w:rsidRPr="00C85DB0" w:rsidRDefault="00C85DB0" w:rsidP="00C85DB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00628">
      <w:t>CCPR/C/135/D/2616/2015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F46F" w14:textId="5509EBCF" w:rsidR="00C85DB0" w:rsidRPr="00C85DB0" w:rsidRDefault="00C85DB0" w:rsidP="00C85DB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00628">
      <w:t>CCPR/C/135/D/2616/2015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18"/>
    <w:rsid w:val="000001C2"/>
    <w:rsid w:val="000076D5"/>
    <w:rsid w:val="00043663"/>
    <w:rsid w:val="000437B8"/>
    <w:rsid w:val="000505CF"/>
    <w:rsid w:val="000D701C"/>
    <w:rsid w:val="000E2A71"/>
    <w:rsid w:val="001036B6"/>
    <w:rsid w:val="00145577"/>
    <w:rsid w:val="00160263"/>
    <w:rsid w:val="00181F96"/>
    <w:rsid w:val="001872B1"/>
    <w:rsid w:val="001A1371"/>
    <w:rsid w:val="001B043F"/>
    <w:rsid w:val="001B19A1"/>
    <w:rsid w:val="001B346A"/>
    <w:rsid w:val="001E1CAD"/>
    <w:rsid w:val="001E290D"/>
    <w:rsid w:val="00200628"/>
    <w:rsid w:val="002144FA"/>
    <w:rsid w:val="0023469A"/>
    <w:rsid w:val="00243C8A"/>
    <w:rsid w:val="00267A0E"/>
    <w:rsid w:val="002901D9"/>
    <w:rsid w:val="002976C2"/>
    <w:rsid w:val="003068BC"/>
    <w:rsid w:val="003260FF"/>
    <w:rsid w:val="00343D95"/>
    <w:rsid w:val="00363A18"/>
    <w:rsid w:val="00374341"/>
    <w:rsid w:val="00383B8A"/>
    <w:rsid w:val="003B4237"/>
    <w:rsid w:val="003D1062"/>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333C"/>
    <w:rsid w:val="0060473A"/>
    <w:rsid w:val="00617024"/>
    <w:rsid w:val="00621120"/>
    <w:rsid w:val="00652221"/>
    <w:rsid w:val="00656392"/>
    <w:rsid w:val="006645EC"/>
    <w:rsid w:val="0068781D"/>
    <w:rsid w:val="006959B0"/>
    <w:rsid w:val="006B3E27"/>
    <w:rsid w:val="006B6507"/>
    <w:rsid w:val="006C104C"/>
    <w:rsid w:val="006C632E"/>
    <w:rsid w:val="006D112F"/>
    <w:rsid w:val="00717FB3"/>
    <w:rsid w:val="00730446"/>
    <w:rsid w:val="00733704"/>
    <w:rsid w:val="007510E6"/>
    <w:rsid w:val="0078071A"/>
    <w:rsid w:val="00787022"/>
    <w:rsid w:val="00787E1E"/>
    <w:rsid w:val="008439DC"/>
    <w:rsid w:val="00852A9A"/>
    <w:rsid w:val="008A49D2"/>
    <w:rsid w:val="008F49E1"/>
    <w:rsid w:val="0090370F"/>
    <w:rsid w:val="009077C3"/>
    <w:rsid w:val="0092683E"/>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610A9"/>
    <w:rsid w:val="00A648BD"/>
    <w:rsid w:val="00A97E1F"/>
    <w:rsid w:val="00AB512E"/>
    <w:rsid w:val="00AB6758"/>
    <w:rsid w:val="00AB727F"/>
    <w:rsid w:val="00B13763"/>
    <w:rsid w:val="00B477A4"/>
    <w:rsid w:val="00B54045"/>
    <w:rsid w:val="00B63ADD"/>
    <w:rsid w:val="00B93B18"/>
    <w:rsid w:val="00BB09A0"/>
    <w:rsid w:val="00C175A6"/>
    <w:rsid w:val="00C41DCF"/>
    <w:rsid w:val="00C42AF7"/>
    <w:rsid w:val="00C438D7"/>
    <w:rsid w:val="00C62C20"/>
    <w:rsid w:val="00C81B50"/>
    <w:rsid w:val="00C85DB0"/>
    <w:rsid w:val="00C902EF"/>
    <w:rsid w:val="00C9259E"/>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F45811"/>
  <w15:docId w15:val="{AFE96410-CB21-4C99-86B5-DD82CD35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customStyle="1" w:styleId="HChG">
    <w:name w:val="_ H _Ch_G"/>
    <w:basedOn w:val="Normal"/>
    <w:next w:val="Normal"/>
    <w:rsid w:val="001036B6"/>
    <w:pPr>
      <w:keepNext/>
      <w:keepLines/>
      <w:tabs>
        <w:tab w:val="right" w:pos="851"/>
      </w:tabs>
      <w:suppressAutoHyphens/>
      <w:bidi w:val="0"/>
      <w:spacing w:before="360" w:after="240" w:line="300" w:lineRule="exact"/>
      <w:ind w:left="1134" w:right="1134" w:hanging="1134"/>
      <w:jc w:val="left"/>
      <w:outlineLvl w:val="1"/>
    </w:pPr>
    <w:rPr>
      <w:rFonts w:eastAsia="SimSun" w:hAnsiTheme="minorHAnsi" w:cs="Traditional Arabic" w:hint="cs"/>
      <w:b/>
      <w:sz w:val="28"/>
      <w:szCs w:val="30"/>
      <w:lang w:val="en-GB" w:eastAsia="zh-CN"/>
    </w:rPr>
  </w:style>
  <w:style w:type="paragraph" w:customStyle="1" w:styleId="H23G">
    <w:name w:val="_ H_2/3_G"/>
    <w:basedOn w:val="Normal"/>
    <w:next w:val="Normal"/>
    <w:rsid w:val="001036B6"/>
    <w:pPr>
      <w:keepNext/>
      <w:keepLines/>
      <w:tabs>
        <w:tab w:val="right" w:pos="851"/>
      </w:tabs>
      <w:suppressAutoHyphens/>
      <w:bidi w:val="0"/>
      <w:spacing w:before="240" w:after="120" w:line="240" w:lineRule="exact"/>
      <w:ind w:left="1134" w:right="1134" w:hanging="1134"/>
      <w:jc w:val="left"/>
      <w:outlineLvl w:val="3"/>
    </w:pPr>
    <w:rPr>
      <w:rFonts w:eastAsia="SimSun" w:hAnsiTheme="minorHAnsi" w:cs="Traditional Arabic" w:hint="cs"/>
      <w:b/>
      <w:szCs w:val="30"/>
      <w:lang w:val="en-GB" w:eastAsia="zh-CN"/>
    </w:rPr>
  </w:style>
  <w:style w:type="paragraph" w:customStyle="1" w:styleId="H4G">
    <w:name w:val="_ H_4_G"/>
    <w:basedOn w:val="Normal"/>
    <w:next w:val="Normal"/>
    <w:rsid w:val="001036B6"/>
    <w:pPr>
      <w:keepNext/>
      <w:keepLines/>
      <w:tabs>
        <w:tab w:val="right" w:pos="851"/>
      </w:tabs>
      <w:suppressAutoHyphens/>
      <w:bidi w:val="0"/>
      <w:spacing w:before="240" w:after="120" w:line="240" w:lineRule="exact"/>
      <w:ind w:left="1134" w:right="1134" w:hanging="1134"/>
      <w:jc w:val="left"/>
      <w:outlineLvl w:val="4"/>
    </w:pPr>
    <w:rPr>
      <w:rFonts w:eastAsia="SimSun" w:hAnsiTheme="minorHAnsi" w:cs="Traditional Arabic" w:hint="cs"/>
      <w:i/>
      <w:szCs w:val="30"/>
      <w:lang w:val="en-GB" w:eastAsia="zh-CN"/>
    </w:rPr>
  </w:style>
  <w:style w:type="paragraph" w:customStyle="1" w:styleId="SingleTxtG">
    <w:name w:val="_ Single Txt_G"/>
    <w:basedOn w:val="Normal"/>
    <w:link w:val="SingleTxtGChar"/>
    <w:qFormat/>
    <w:rsid w:val="001036B6"/>
    <w:pPr>
      <w:tabs>
        <w:tab w:val="left" w:pos="1701"/>
        <w:tab w:val="left" w:pos="2268"/>
      </w:tabs>
      <w:suppressAutoHyphens/>
      <w:bidi w:val="0"/>
      <w:spacing w:after="120"/>
      <w:ind w:left="1134" w:right="1134"/>
      <w:jc w:val="both"/>
    </w:pPr>
    <w:rPr>
      <w:rFonts w:eastAsia="SimSun" w:hAnsiTheme="minorHAnsi" w:cs="Traditional Arabic"/>
      <w:szCs w:val="30"/>
      <w:lang w:val="en-GB" w:eastAsia="zh-CN"/>
    </w:rPr>
  </w:style>
  <w:style w:type="paragraph" w:styleId="FootnoteText">
    <w:name w:val="footnote text"/>
    <w:aliases w:val="5_G"/>
    <w:basedOn w:val="Normal"/>
    <w:link w:val="FootnoteTextChar"/>
    <w:rsid w:val="001036B6"/>
    <w:pPr>
      <w:tabs>
        <w:tab w:val="right" w:pos="1021"/>
      </w:tabs>
      <w:suppressAutoHyphens/>
      <w:bidi w:val="0"/>
      <w:spacing w:line="220" w:lineRule="exact"/>
      <w:ind w:left="1134" w:right="1134" w:hanging="1134"/>
      <w:jc w:val="left"/>
    </w:pPr>
    <w:rPr>
      <w:rFonts w:eastAsia="SimSun" w:hAnsiTheme="minorHAnsi" w:cs="Traditional Arabic" w:hint="cs"/>
      <w:sz w:val="18"/>
      <w:szCs w:val="30"/>
      <w:lang w:val="en-GB" w:eastAsia="zh-CN"/>
    </w:rPr>
  </w:style>
  <w:style w:type="character" w:customStyle="1" w:styleId="FootnoteTextChar">
    <w:name w:val="Footnote Text Char"/>
    <w:aliases w:val="5_G Char"/>
    <w:basedOn w:val="DefaultParagraphFont"/>
    <w:link w:val="FootnoteText"/>
    <w:rsid w:val="001036B6"/>
    <w:rPr>
      <w:rFonts w:ascii="Times New Roman" w:eastAsia="SimSun" w:hAnsiTheme="minorHAnsi" w:cs="Traditional Arabic"/>
      <w:sz w:val="18"/>
      <w:szCs w:val="30"/>
      <w:lang w:val="en-GB" w:eastAsia="zh-CN"/>
    </w:rPr>
  </w:style>
  <w:style w:type="character" w:styleId="FootnoteReference">
    <w:name w:val="footnote reference"/>
    <w:aliases w:val="4_G"/>
    <w:rsid w:val="001036B6"/>
    <w:rPr>
      <w:rFonts w:ascii="Times New Roman" w:hAnsi="Times New Roman"/>
      <w:sz w:val="18"/>
      <w:vertAlign w:val="superscript"/>
    </w:rPr>
  </w:style>
  <w:style w:type="character" w:customStyle="1" w:styleId="SingleTxtGChar">
    <w:name w:val="_ Single Txt_G Char"/>
    <w:basedOn w:val="DefaultParagraphFont"/>
    <w:link w:val="SingleTxtG"/>
    <w:locked/>
    <w:rsid w:val="001036B6"/>
    <w:rPr>
      <w:rFonts w:ascii="Times New Roman" w:eastAsia="SimSun" w:hAnsiTheme="minorHAnsi" w:cs="Traditional Arabic"/>
      <w:szCs w:val="30"/>
      <w:lang w:val="en-GB" w:eastAsia="zh-CN"/>
    </w:rPr>
  </w:style>
  <w:style w:type="character" w:styleId="UnresolvedMention">
    <w:name w:val="Unresolved Mention"/>
    <w:basedOn w:val="DefaultParagraphFont"/>
    <w:uiPriority w:val="99"/>
    <w:semiHidden/>
    <w:unhideWhenUsed/>
    <w:rsid w:val="001B1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CPR/C/125/D/2312/2013" TargetMode="External"/><Relationship Id="rId2" Type="http://schemas.openxmlformats.org/officeDocument/2006/relationships/hyperlink" Target="https://undocs.org/ar/CCPR/C/129/D/2455/2014" TargetMode="External"/><Relationship Id="rId1" Type="http://schemas.openxmlformats.org/officeDocument/2006/relationships/hyperlink" Target="https://undocs.org/ar/CCPR/C/129/D/2486/2014" TargetMode="External"/><Relationship Id="rId4" Type="http://schemas.openxmlformats.org/officeDocument/2006/relationships/hyperlink" Target="https://undocs.org/ar/CCPR/C/130/D/2928/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2115</Words>
  <Characters>11131</Characters>
  <Application>Microsoft Office Word</Application>
  <DocSecurity>0</DocSecurity>
  <Lines>176</Lines>
  <Paragraphs>46</Paragraphs>
  <ScaleCrop>false</ScaleCrop>
  <HeadingPairs>
    <vt:vector size="2" baseType="variant">
      <vt:variant>
        <vt:lpstr>Title</vt:lpstr>
      </vt:variant>
      <vt:variant>
        <vt:i4>1</vt:i4>
      </vt:variant>
    </vt:vector>
  </HeadingPairs>
  <TitlesOfParts>
    <vt:vector size="1" baseType="lpstr">
      <vt:lpstr>CCPR/C/135/D/2616/2015</vt:lpstr>
    </vt:vector>
  </TitlesOfParts>
  <Company>DCM</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CCPR/C/135/D/2616/2015</dc:title>
  <dc:subject>GE.2226206(A)</dc:subject>
  <dc:creator>Muntaha BUHNAM -  Esma.Belfalah </dc:creator>
  <cp:keywords>GE.2259360(A)</cp:keywords>
  <dc:description>Distr.: General
18 November 2022
Arabic
Original: English</dc:description>
  <cp:lastModifiedBy>Jamila Chedad</cp:lastModifiedBy>
  <cp:revision>3</cp:revision>
  <cp:lastPrinted>2022-12-14T11:44:00Z</cp:lastPrinted>
  <dcterms:created xsi:type="dcterms:W3CDTF">2022-12-14T11:44:00Z</dcterms:created>
  <dcterms:modified xsi:type="dcterms:W3CDTF">2022-12-14T11:44:00Z</dcterms:modified>
  <cp:category>Finale</cp:category>
</cp:coreProperties>
</file>