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A76C08" w:rsidP="00A76C08">
            <w:pPr>
              <w:bidi w:val="0"/>
              <w:spacing w:after="20"/>
              <w:jc w:val="left"/>
              <w:rPr>
                <w:szCs w:val="20"/>
              </w:rPr>
            </w:pPr>
            <w:proofErr w:type="spellStart"/>
            <w:r w:rsidRPr="00A76C08">
              <w:rPr>
                <w:sz w:val="40"/>
                <w:szCs w:val="20"/>
              </w:rPr>
              <w:t>CCPR</w:t>
            </w:r>
            <w:proofErr w:type="spellEnd"/>
            <w:r>
              <w:rPr>
                <w:szCs w:val="20"/>
              </w:rPr>
              <w:t>/C/ARM/CO/2</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A76C08" w:rsidRDefault="00A76C08" w:rsidP="00A76C08">
            <w:pPr>
              <w:bidi w:val="0"/>
              <w:spacing w:before="240"/>
              <w:jc w:val="left"/>
            </w:pPr>
            <w:r>
              <w:t>Distr.: General</w:t>
            </w:r>
          </w:p>
          <w:p w:rsidR="00A76C08" w:rsidRDefault="00A76C08" w:rsidP="00A76C08">
            <w:pPr>
              <w:bidi w:val="0"/>
              <w:jc w:val="left"/>
            </w:pPr>
            <w:r>
              <w:t>31 August 2012</w:t>
            </w:r>
          </w:p>
          <w:p w:rsidR="00A76C08" w:rsidRDefault="00A76C08" w:rsidP="00A76C08">
            <w:pPr>
              <w:bidi w:val="0"/>
              <w:jc w:val="left"/>
            </w:pPr>
            <w:r>
              <w:t>Arabic</w:t>
            </w:r>
          </w:p>
          <w:p w:rsidR="00257225" w:rsidRPr="008B4BC6" w:rsidRDefault="00A76C08" w:rsidP="00A76C08">
            <w:pPr>
              <w:bidi w:val="0"/>
              <w:jc w:val="left"/>
            </w:pPr>
            <w:r>
              <w:t>Original: English</w:t>
            </w:r>
          </w:p>
        </w:tc>
      </w:tr>
    </w:tbl>
    <w:p w:rsidR="00A76C08" w:rsidRPr="00A76C08" w:rsidRDefault="00DC69C4" w:rsidP="00DC69C4">
      <w:pPr>
        <w:spacing w:before="120" w:line="380" w:lineRule="exact"/>
        <w:rPr>
          <w:rFonts w:hint="cs"/>
          <w:b/>
          <w:bCs/>
          <w:sz w:val="36"/>
          <w:szCs w:val="36"/>
          <w:rtl/>
        </w:rPr>
      </w:pPr>
      <w:r>
        <w:rPr>
          <w:rFonts w:hint="cs"/>
          <w:b/>
          <w:bCs/>
          <w:sz w:val="36"/>
          <w:szCs w:val="36"/>
          <w:rtl/>
        </w:rPr>
        <w:t>اللجنة المعنية ب</w:t>
      </w:r>
      <w:r w:rsidR="00A76C08" w:rsidRPr="00A76C08">
        <w:rPr>
          <w:rFonts w:hint="cs"/>
          <w:b/>
          <w:bCs/>
          <w:sz w:val="36"/>
          <w:szCs w:val="36"/>
          <w:rtl/>
        </w:rPr>
        <w:t>حقوق الإنسان</w:t>
      </w:r>
    </w:p>
    <w:p w:rsidR="00A76C08" w:rsidRPr="00A76C08" w:rsidRDefault="00A76C08" w:rsidP="00A76C08">
      <w:pPr>
        <w:pStyle w:val="HChGA"/>
        <w:rPr>
          <w:rFonts w:hint="cs"/>
          <w:spacing w:val="-4"/>
          <w:rtl/>
          <w:lang w:val="fr-CH"/>
        </w:rPr>
      </w:pPr>
      <w:r w:rsidRPr="00A76C08">
        <w:rPr>
          <w:rFonts w:hint="cs"/>
          <w:spacing w:val="-4"/>
          <w:rtl/>
          <w:lang w:val="fr-CH"/>
        </w:rPr>
        <w:tab/>
      </w:r>
      <w:r w:rsidRPr="00A76C08">
        <w:rPr>
          <w:rFonts w:hint="cs"/>
          <w:spacing w:val="-4"/>
          <w:rtl/>
          <w:lang w:val="fr-CH"/>
        </w:rPr>
        <w:tab/>
        <w:t>النظر في التقارير المقدمة من الدول الأطراف بموجب المادة 40 من العهد</w:t>
      </w:r>
    </w:p>
    <w:p w:rsidR="00A76C08" w:rsidRDefault="00A76C08" w:rsidP="003517AF">
      <w:pPr>
        <w:pStyle w:val="H1GA"/>
        <w:rPr>
          <w:rFonts w:hint="cs"/>
          <w:rtl/>
          <w:lang w:val="fr-CH"/>
        </w:rPr>
      </w:pPr>
      <w:r>
        <w:rPr>
          <w:rFonts w:hint="cs"/>
          <w:rtl/>
          <w:lang w:val="fr-CH"/>
        </w:rPr>
        <w:tab/>
      </w:r>
      <w:r>
        <w:rPr>
          <w:rFonts w:hint="cs"/>
          <w:rtl/>
          <w:lang w:val="fr-CH"/>
        </w:rPr>
        <w:tab/>
        <w:t xml:space="preserve">الملاحظات الختامية </w:t>
      </w:r>
      <w:r w:rsidR="003517AF">
        <w:rPr>
          <w:rFonts w:hint="cs"/>
          <w:rtl/>
          <w:lang w:val="fr-CH"/>
        </w:rPr>
        <w:t>التي اعتمدتها اللجنة المعنية بحقوق الإنسان</w:t>
      </w:r>
      <w:r>
        <w:rPr>
          <w:rFonts w:hint="cs"/>
          <w:rtl/>
          <w:lang w:val="fr-CH"/>
        </w:rPr>
        <w:t xml:space="preserve"> في دورتها </w:t>
      </w:r>
      <w:r w:rsidR="003517AF">
        <w:rPr>
          <w:rFonts w:hint="cs"/>
          <w:rtl/>
          <w:lang w:val="fr-CH"/>
        </w:rPr>
        <w:t>الخامسة بعد المائة،</w:t>
      </w:r>
      <w:r>
        <w:rPr>
          <w:rFonts w:hint="cs"/>
          <w:rtl/>
          <w:lang w:val="fr-CH"/>
        </w:rPr>
        <w:t xml:space="preserve"> المعقودة في الفترة من 9 إلى 27 </w:t>
      </w:r>
      <w:r w:rsidRPr="00E3356D">
        <w:rPr>
          <w:rFonts w:hint="cs"/>
          <w:sz w:val="30"/>
          <w:rtl/>
          <w:lang w:val="fr-CH"/>
        </w:rPr>
        <w:t xml:space="preserve">تموز/يوليه </w:t>
      </w:r>
      <w:r>
        <w:rPr>
          <w:rFonts w:hint="cs"/>
          <w:rtl/>
          <w:lang w:val="fr-CH"/>
        </w:rPr>
        <w:t>2012</w:t>
      </w:r>
    </w:p>
    <w:p w:rsidR="00A76C08" w:rsidRDefault="00A76C08" w:rsidP="00A76C08">
      <w:pPr>
        <w:pStyle w:val="HChGA"/>
        <w:rPr>
          <w:rFonts w:hint="cs"/>
          <w:rtl/>
          <w:lang w:val="fr-CH"/>
        </w:rPr>
      </w:pPr>
      <w:r>
        <w:rPr>
          <w:rFonts w:hint="cs"/>
          <w:rtl/>
          <w:lang w:val="fr-CH"/>
        </w:rPr>
        <w:tab/>
      </w:r>
      <w:r>
        <w:rPr>
          <w:rFonts w:hint="cs"/>
          <w:rtl/>
          <w:lang w:val="fr-CH"/>
        </w:rPr>
        <w:tab/>
        <w:t>أرمينيا</w:t>
      </w:r>
    </w:p>
    <w:p w:rsidR="00A76C08" w:rsidRDefault="00A76C08" w:rsidP="00B57176">
      <w:pPr>
        <w:pStyle w:val="SingleTxtGA"/>
        <w:rPr>
          <w:rFonts w:hint="cs"/>
          <w:rtl/>
        </w:rPr>
      </w:pPr>
      <w:r>
        <w:rPr>
          <w:rFonts w:hint="cs"/>
          <w:rtl/>
          <w:lang w:val="fr-CH"/>
        </w:rPr>
        <w:t>1-</w:t>
      </w:r>
      <w:r>
        <w:rPr>
          <w:rFonts w:hint="cs"/>
          <w:rtl/>
          <w:lang w:val="fr-CH"/>
        </w:rPr>
        <w:tab/>
        <w:t xml:space="preserve">نظرت اللجنة المعنية بحقوق الإنسان في التقرير الدوري الثاني لأرمينيا </w:t>
      </w:r>
      <w:proofErr w:type="spellStart"/>
      <w:r>
        <w:t>CCPR</w:t>
      </w:r>
      <w:proofErr w:type="spellEnd"/>
      <w:r>
        <w:t>/C/ARM/2</w:t>
      </w:r>
      <w:r>
        <w:rPr>
          <w:rFonts w:hint="cs"/>
          <w:rtl/>
        </w:rPr>
        <w:t xml:space="preserve"> في جلستيها 2903 </w:t>
      </w:r>
      <w:proofErr w:type="spellStart"/>
      <w:r>
        <w:rPr>
          <w:rFonts w:hint="cs"/>
          <w:rtl/>
        </w:rPr>
        <w:t>و2904</w:t>
      </w:r>
      <w:proofErr w:type="spellEnd"/>
      <w:r>
        <w:rPr>
          <w:rFonts w:hint="cs"/>
          <w:rtl/>
        </w:rPr>
        <w:t xml:space="preserve"> (</w:t>
      </w:r>
      <w:proofErr w:type="spellStart"/>
      <w:r>
        <w:t>CCPR/C/SR</w:t>
      </w:r>
      <w:r w:rsidR="00B57176">
        <w:t>.</w:t>
      </w:r>
      <w:r>
        <w:t>2903</w:t>
      </w:r>
      <w:proofErr w:type="spellEnd"/>
      <w:r>
        <w:rPr>
          <w:rFonts w:hint="cs"/>
          <w:rtl/>
        </w:rPr>
        <w:t xml:space="preserve"> و</w:t>
      </w:r>
      <w:r>
        <w:t>2904</w:t>
      </w:r>
      <w:r>
        <w:rPr>
          <w:rFonts w:hint="cs"/>
          <w:rtl/>
        </w:rPr>
        <w:t>)، المعقودتين يومي 16 و 17</w:t>
      </w:r>
      <w:r w:rsidR="00B57176">
        <w:rPr>
          <w:rFonts w:hint="cs"/>
          <w:sz w:val="30"/>
          <w:rtl/>
        </w:rPr>
        <w:t xml:space="preserve"> </w:t>
      </w:r>
      <w:r>
        <w:rPr>
          <w:rFonts w:hint="cs"/>
          <w:sz w:val="30"/>
          <w:rtl/>
        </w:rPr>
        <w:t>تم</w:t>
      </w:r>
      <w:r w:rsidRPr="00E3356D">
        <w:rPr>
          <w:rFonts w:hint="cs"/>
          <w:sz w:val="30"/>
          <w:rtl/>
        </w:rPr>
        <w:t xml:space="preserve">وز/يوليه </w:t>
      </w:r>
      <w:r>
        <w:rPr>
          <w:rFonts w:hint="cs"/>
          <w:rtl/>
        </w:rPr>
        <w:t>2012. وفي جلستها 2917 (</w:t>
      </w:r>
      <w:proofErr w:type="spellStart"/>
      <w:r>
        <w:t>CCPR/C/SR</w:t>
      </w:r>
      <w:r w:rsidR="00B57176">
        <w:t>.</w:t>
      </w:r>
      <w:r>
        <w:t>2917</w:t>
      </w:r>
      <w:proofErr w:type="spellEnd"/>
      <w:r>
        <w:rPr>
          <w:rFonts w:hint="cs"/>
          <w:rtl/>
        </w:rPr>
        <w:t xml:space="preserve">)، المعقودة في 25 </w:t>
      </w:r>
      <w:r w:rsidRPr="00E3356D">
        <w:rPr>
          <w:rFonts w:hint="cs"/>
          <w:sz w:val="30"/>
          <w:rtl/>
        </w:rPr>
        <w:t xml:space="preserve">تموز/يوليه </w:t>
      </w:r>
      <w:r>
        <w:rPr>
          <w:rFonts w:hint="cs"/>
          <w:rtl/>
        </w:rPr>
        <w:t>2012، اعتمدت الملاحظات الختامية التالية.</w:t>
      </w:r>
    </w:p>
    <w:p w:rsidR="00A76C08" w:rsidRDefault="00A76C08" w:rsidP="00A76C08">
      <w:pPr>
        <w:pStyle w:val="H1GA"/>
        <w:rPr>
          <w:rFonts w:hint="cs"/>
          <w:rtl/>
        </w:rPr>
      </w:pPr>
      <w:r>
        <w:rPr>
          <w:rFonts w:hint="cs"/>
          <w:rtl/>
        </w:rPr>
        <w:tab/>
        <w:t>ألف-</w:t>
      </w:r>
      <w:r>
        <w:rPr>
          <w:rFonts w:hint="cs"/>
          <w:rtl/>
        </w:rPr>
        <w:tab/>
        <w:t>مقدمة</w:t>
      </w:r>
    </w:p>
    <w:p w:rsidR="00A76C08" w:rsidRDefault="00A76C08" w:rsidP="003517AF">
      <w:pPr>
        <w:pStyle w:val="SingleTxtGA"/>
        <w:rPr>
          <w:rFonts w:hint="cs"/>
          <w:rtl/>
          <w:lang w:val="fr-CH"/>
        </w:rPr>
      </w:pPr>
      <w:r>
        <w:rPr>
          <w:rFonts w:hint="cs"/>
          <w:rtl/>
        </w:rPr>
        <w:t>2-</w:t>
      </w:r>
      <w:r>
        <w:rPr>
          <w:rFonts w:hint="cs"/>
          <w:rtl/>
        </w:rPr>
        <w:tab/>
        <w:t xml:space="preserve">ترحب اللجنة بتقرير أرمينيا الدوري الثاني، على الرغم من التأخير في تقديمه إلى حد ما، وبالمعلومات الواردة فيه. وتعرب عن </w:t>
      </w:r>
      <w:r w:rsidR="003517AF">
        <w:rPr>
          <w:rFonts w:hint="cs"/>
          <w:rtl/>
        </w:rPr>
        <w:t>تقديرها</w:t>
      </w:r>
      <w:r>
        <w:rPr>
          <w:rFonts w:hint="cs"/>
          <w:rtl/>
        </w:rPr>
        <w:t xml:space="preserve"> للفرصة المتاحة لاستئناف حوارها البناء مع وفد الدولة الطرف بشأن التدابير التي اعتمدتها الدولة خلال الفترة المشمولة بالتقرير من أجل تنفيذ أحكام العهد. وتشكر اللجنة الدولة الطرف على ما قدمته من ردود خطية (</w:t>
      </w:r>
      <w:proofErr w:type="spellStart"/>
      <w:r>
        <w:t>CCPR/C/ARM/Q/2/Add.1</w:t>
      </w:r>
      <w:proofErr w:type="spellEnd"/>
      <w:r>
        <w:rPr>
          <w:rFonts w:hint="cs"/>
          <w:rtl/>
        </w:rPr>
        <w:t xml:space="preserve">) على قائمة </w:t>
      </w:r>
      <w:r w:rsidR="003517AF">
        <w:rPr>
          <w:rFonts w:hint="cs"/>
          <w:rtl/>
        </w:rPr>
        <w:t>القضايا</w:t>
      </w:r>
      <w:r>
        <w:rPr>
          <w:rFonts w:hint="cs"/>
          <w:rtl/>
        </w:rPr>
        <w:t xml:space="preserve"> (</w:t>
      </w:r>
      <w:proofErr w:type="spellStart"/>
      <w:r>
        <w:t>CCPR</w:t>
      </w:r>
      <w:proofErr w:type="spellEnd"/>
      <w:r>
        <w:t>/C/ARM/Q/2</w:t>
      </w:r>
      <w:r>
        <w:rPr>
          <w:rFonts w:hint="cs"/>
          <w:rtl/>
          <w:lang w:val="fr-CH"/>
        </w:rPr>
        <w:t xml:space="preserve">)، التي استكملت بالردود الشفوية التي قدمها الوفد </w:t>
      </w:r>
      <w:r w:rsidR="00B57176">
        <w:rPr>
          <w:rFonts w:hint="cs"/>
          <w:rtl/>
          <w:lang w:val="fr-CH"/>
        </w:rPr>
        <w:t>و</w:t>
      </w:r>
      <w:r>
        <w:rPr>
          <w:rFonts w:hint="cs"/>
          <w:rtl/>
          <w:lang w:val="fr-CH"/>
        </w:rPr>
        <w:t xml:space="preserve">المعلومات الإضافية التي قدمت خطياً. </w:t>
      </w:r>
    </w:p>
    <w:p w:rsidR="00A76C08" w:rsidRDefault="00A76C08" w:rsidP="00A76C08">
      <w:pPr>
        <w:pStyle w:val="H1GA"/>
        <w:rPr>
          <w:rFonts w:hint="cs"/>
          <w:rtl/>
          <w:lang w:val="fr-CH"/>
        </w:rPr>
      </w:pPr>
      <w:r>
        <w:rPr>
          <w:rFonts w:hint="cs"/>
          <w:rtl/>
          <w:lang w:val="fr-CH"/>
        </w:rPr>
        <w:tab/>
        <w:t>باء-</w:t>
      </w:r>
      <w:r>
        <w:rPr>
          <w:rFonts w:hint="cs"/>
          <w:rtl/>
          <w:lang w:val="fr-CH"/>
        </w:rPr>
        <w:tab/>
        <w:t>الجوانب الإيجابية</w:t>
      </w:r>
    </w:p>
    <w:p w:rsidR="00A76C08" w:rsidRDefault="00A76C08" w:rsidP="00A76C08">
      <w:pPr>
        <w:pStyle w:val="SingleTxtGA"/>
        <w:rPr>
          <w:rFonts w:hint="cs"/>
          <w:rtl/>
          <w:lang w:val="fr-CH"/>
        </w:rPr>
      </w:pPr>
      <w:r>
        <w:rPr>
          <w:rFonts w:hint="cs"/>
          <w:rtl/>
          <w:lang w:val="fr-CH"/>
        </w:rPr>
        <w:t>3-</w:t>
      </w:r>
      <w:r>
        <w:rPr>
          <w:rFonts w:hint="cs"/>
          <w:rtl/>
          <w:lang w:val="fr-CH"/>
        </w:rPr>
        <w:tab/>
        <w:t xml:space="preserve">ترحب اللجنة بتصديق الدولة الطرف على ما يلي: </w:t>
      </w:r>
    </w:p>
    <w:p w:rsidR="00A76C08" w:rsidRDefault="00A76C08" w:rsidP="00A76C08">
      <w:pPr>
        <w:pStyle w:val="SingleTxtGA"/>
        <w:rPr>
          <w:rFonts w:hint="cs"/>
          <w:rtl/>
          <w:lang w:val="fr-CH"/>
        </w:rPr>
      </w:pPr>
      <w:r>
        <w:rPr>
          <w:rFonts w:hint="cs"/>
          <w:rtl/>
          <w:lang w:val="fr-CH"/>
        </w:rPr>
        <w:tab/>
        <w:t>(أ)</w:t>
      </w:r>
      <w:r>
        <w:rPr>
          <w:rFonts w:hint="cs"/>
          <w:rtl/>
          <w:lang w:val="fr-CH"/>
        </w:rPr>
        <w:tab/>
        <w:t xml:space="preserve">اتفاقية حقوق الأشخاص ذوي الإعاقة، في </w:t>
      </w:r>
      <w:r w:rsidRPr="00E3356D">
        <w:rPr>
          <w:rFonts w:hint="cs"/>
          <w:sz w:val="30"/>
          <w:rtl/>
          <w:lang w:val="fr-CH"/>
        </w:rPr>
        <w:t xml:space="preserve">أيلول/سبتمبر </w:t>
      </w:r>
      <w:r>
        <w:rPr>
          <w:rFonts w:hint="cs"/>
          <w:rtl/>
          <w:lang w:val="fr-CH"/>
        </w:rPr>
        <w:t>2010؛</w:t>
      </w:r>
    </w:p>
    <w:p w:rsidR="00A76C08" w:rsidRDefault="00A76C08" w:rsidP="00E41B9F">
      <w:pPr>
        <w:pStyle w:val="SingleTxtGA"/>
        <w:rPr>
          <w:rFonts w:hint="cs"/>
          <w:rtl/>
          <w:lang w:val="fr-CH"/>
        </w:rPr>
      </w:pPr>
      <w:r>
        <w:rPr>
          <w:rFonts w:hint="cs"/>
          <w:rtl/>
          <w:lang w:val="fr-CH"/>
        </w:rPr>
        <w:tab/>
        <w:t>(ب)</w:t>
      </w:r>
      <w:r>
        <w:rPr>
          <w:rFonts w:hint="cs"/>
          <w:rtl/>
          <w:lang w:val="fr-CH"/>
        </w:rPr>
        <w:tab/>
        <w:t xml:space="preserve">البروتوكول الاختياري لاتفاقية مناهضة التعذيب وغيره من ضروب المعاملة أو العقوبة القاسية أو اللاإنسانية أو </w:t>
      </w:r>
      <w:r w:rsidR="00E41B9F">
        <w:rPr>
          <w:rFonts w:hint="cs"/>
          <w:rtl/>
          <w:lang w:val="fr-CH"/>
        </w:rPr>
        <w:t>المهينة</w:t>
      </w:r>
      <w:r>
        <w:rPr>
          <w:rFonts w:hint="cs"/>
          <w:rtl/>
          <w:lang w:val="fr-CH"/>
        </w:rPr>
        <w:t xml:space="preserve">، في </w:t>
      </w:r>
      <w:r w:rsidRPr="00E3356D">
        <w:rPr>
          <w:rFonts w:hint="cs"/>
          <w:sz w:val="30"/>
          <w:rtl/>
          <w:lang w:val="fr-CH"/>
        </w:rPr>
        <w:t xml:space="preserve">أيلول/سبتمبر </w:t>
      </w:r>
      <w:r>
        <w:rPr>
          <w:rFonts w:hint="cs"/>
          <w:rtl/>
          <w:lang w:val="fr-CH"/>
        </w:rPr>
        <w:t>2006؛</w:t>
      </w:r>
    </w:p>
    <w:p w:rsidR="00A76C08" w:rsidRDefault="00A76C08" w:rsidP="00A76C08">
      <w:pPr>
        <w:pStyle w:val="SingleTxtGA"/>
        <w:rPr>
          <w:rFonts w:hint="cs"/>
          <w:rtl/>
          <w:lang w:val="fr-CH"/>
        </w:rPr>
      </w:pPr>
      <w:r>
        <w:rPr>
          <w:rFonts w:hint="cs"/>
          <w:rtl/>
          <w:lang w:val="fr-CH"/>
        </w:rPr>
        <w:tab/>
        <w:t>(ج)</w:t>
      </w:r>
      <w:r>
        <w:rPr>
          <w:rFonts w:hint="cs"/>
          <w:rtl/>
          <w:lang w:val="fr-CH"/>
        </w:rPr>
        <w:tab/>
        <w:t xml:space="preserve">الاتفاقية الدولية لحماية جميع الأشخاص من الاختفاء القسري، في </w:t>
      </w:r>
      <w:r w:rsidRPr="00E3356D">
        <w:rPr>
          <w:rFonts w:hint="cs"/>
          <w:sz w:val="30"/>
          <w:rtl/>
          <w:lang w:val="fr-CH"/>
        </w:rPr>
        <w:t xml:space="preserve">كانون الثاني/يناير </w:t>
      </w:r>
      <w:r>
        <w:rPr>
          <w:rFonts w:hint="cs"/>
          <w:rtl/>
          <w:lang w:val="fr-CH"/>
        </w:rPr>
        <w:t>2011؛</w:t>
      </w:r>
    </w:p>
    <w:p w:rsidR="00A76C08" w:rsidRDefault="00A76C08" w:rsidP="00A76C08">
      <w:pPr>
        <w:pStyle w:val="SingleTxtGA"/>
        <w:rPr>
          <w:rFonts w:hint="cs"/>
          <w:rtl/>
          <w:lang w:val="fr-CH"/>
        </w:rPr>
      </w:pPr>
      <w:r>
        <w:rPr>
          <w:rFonts w:hint="cs"/>
          <w:rtl/>
          <w:lang w:val="fr-CH"/>
        </w:rPr>
        <w:tab/>
        <w:t>(د)</w:t>
      </w:r>
      <w:r>
        <w:rPr>
          <w:rFonts w:hint="cs"/>
          <w:rtl/>
          <w:lang w:val="fr-CH"/>
        </w:rPr>
        <w:tab/>
        <w:t xml:space="preserve">البروتوكول الاختياري لاتفاقية القضاء على جميع أشكال التمييز ضد المرأة، في </w:t>
      </w:r>
      <w:r w:rsidRPr="00E3356D">
        <w:rPr>
          <w:rFonts w:hint="cs"/>
          <w:sz w:val="30"/>
          <w:rtl/>
          <w:lang w:val="fr-CH"/>
        </w:rPr>
        <w:t xml:space="preserve">أيلول/سبتمبر </w:t>
      </w:r>
      <w:r>
        <w:rPr>
          <w:rFonts w:hint="cs"/>
          <w:rtl/>
          <w:lang w:val="fr-CH"/>
        </w:rPr>
        <w:t>2006؛</w:t>
      </w:r>
    </w:p>
    <w:p w:rsidR="00A76C08" w:rsidRPr="00A76C08" w:rsidRDefault="00A76C08" w:rsidP="00F13D3A">
      <w:pPr>
        <w:pStyle w:val="SingleTxtGA"/>
        <w:rPr>
          <w:rFonts w:hint="cs"/>
          <w:spacing w:val="-6"/>
          <w:rtl/>
          <w:lang w:val="fr-CH"/>
        </w:rPr>
      </w:pPr>
      <w:r w:rsidRPr="00A76C08">
        <w:rPr>
          <w:rFonts w:hint="cs"/>
          <w:spacing w:val="-6"/>
          <w:rtl/>
          <w:lang w:val="fr-CH"/>
        </w:rPr>
        <w:tab/>
        <w:t>(</w:t>
      </w:r>
      <w:r w:rsidRPr="00A76C08">
        <w:rPr>
          <w:rFonts w:hint="cs"/>
          <w:spacing w:val="-6"/>
          <w:sz w:val="30"/>
          <w:rtl/>
          <w:lang w:val="fr-CH"/>
        </w:rPr>
        <w:t>ﻫ</w:t>
      </w:r>
      <w:r w:rsidRPr="00A76C08">
        <w:rPr>
          <w:rFonts w:hint="cs"/>
          <w:spacing w:val="-6"/>
          <w:rtl/>
          <w:lang w:val="fr-CH"/>
        </w:rPr>
        <w:t>)</w:t>
      </w:r>
      <w:r w:rsidRPr="00A76C08">
        <w:rPr>
          <w:rFonts w:hint="cs"/>
          <w:spacing w:val="-6"/>
          <w:rtl/>
          <w:lang w:val="fr-CH"/>
        </w:rPr>
        <w:tab/>
        <w:t xml:space="preserve">البروتوكول الاختياري لاتفاقية حقوق الطفل </w:t>
      </w:r>
      <w:r w:rsidR="00E41B9F">
        <w:rPr>
          <w:rFonts w:hint="cs"/>
          <w:spacing w:val="-6"/>
          <w:rtl/>
          <w:lang w:val="fr-CH"/>
        </w:rPr>
        <w:t>بشأن</w:t>
      </w:r>
      <w:r w:rsidRPr="00A76C08">
        <w:rPr>
          <w:rFonts w:hint="cs"/>
          <w:spacing w:val="-6"/>
          <w:rtl/>
          <w:lang w:val="fr-CH"/>
        </w:rPr>
        <w:t xml:space="preserve"> اشتراك الأطفال في </w:t>
      </w:r>
      <w:r w:rsidR="00F13D3A" w:rsidRPr="00A76C08">
        <w:rPr>
          <w:rFonts w:hint="cs"/>
          <w:spacing w:val="-6"/>
          <w:rtl/>
          <w:lang w:val="fr-CH"/>
        </w:rPr>
        <w:t>ال</w:t>
      </w:r>
      <w:r w:rsidR="00F13D3A">
        <w:rPr>
          <w:rFonts w:hint="cs"/>
          <w:spacing w:val="-6"/>
          <w:rtl/>
          <w:lang w:val="fr-CH"/>
        </w:rPr>
        <w:t>م</w:t>
      </w:r>
      <w:r w:rsidR="00F13D3A" w:rsidRPr="00A76C08">
        <w:rPr>
          <w:rFonts w:hint="cs"/>
          <w:spacing w:val="-6"/>
          <w:rtl/>
          <w:lang w:val="fr-CH"/>
        </w:rPr>
        <w:t>ن</w:t>
      </w:r>
      <w:r w:rsidR="00F13D3A">
        <w:rPr>
          <w:rFonts w:hint="cs"/>
          <w:spacing w:val="-6"/>
          <w:rtl/>
          <w:lang w:val="fr-CH"/>
        </w:rPr>
        <w:t>ا</w:t>
      </w:r>
      <w:r w:rsidR="00F13D3A" w:rsidRPr="00A76C08">
        <w:rPr>
          <w:rFonts w:hint="cs"/>
          <w:spacing w:val="-6"/>
          <w:rtl/>
          <w:lang w:val="fr-CH"/>
        </w:rPr>
        <w:t>زعات</w:t>
      </w:r>
      <w:r w:rsidRPr="00A76C08">
        <w:rPr>
          <w:rFonts w:hint="cs"/>
          <w:spacing w:val="-6"/>
          <w:rtl/>
          <w:lang w:val="fr-CH"/>
        </w:rPr>
        <w:t xml:space="preserve"> المسلحة، في </w:t>
      </w:r>
      <w:r w:rsidRPr="00A76C08">
        <w:rPr>
          <w:rFonts w:hint="cs"/>
          <w:spacing w:val="-6"/>
          <w:sz w:val="30"/>
          <w:rtl/>
          <w:lang w:val="fr-CH"/>
        </w:rPr>
        <w:t xml:space="preserve">أيلول/سبتمبر </w:t>
      </w:r>
      <w:r w:rsidRPr="00A76C08">
        <w:rPr>
          <w:rFonts w:hint="cs"/>
          <w:spacing w:val="-6"/>
          <w:rtl/>
          <w:lang w:val="fr-CH"/>
        </w:rPr>
        <w:t>2005</w:t>
      </w:r>
      <w:r w:rsidR="00F13D3A">
        <w:rPr>
          <w:rFonts w:hint="cs"/>
          <w:spacing w:val="-6"/>
          <w:rtl/>
          <w:lang w:val="fr-CH"/>
        </w:rPr>
        <w:t>؛</w:t>
      </w:r>
      <w:r w:rsidRPr="00A76C08">
        <w:rPr>
          <w:rFonts w:hint="cs"/>
          <w:spacing w:val="-6"/>
          <w:rtl/>
          <w:lang w:val="fr-CH"/>
        </w:rPr>
        <w:t xml:space="preserve"> والبروتوكول الاختياري</w:t>
      </w:r>
      <w:r w:rsidR="00E41B9F">
        <w:rPr>
          <w:rFonts w:hint="cs"/>
          <w:spacing w:val="-6"/>
          <w:rtl/>
          <w:lang w:val="fr-CH"/>
        </w:rPr>
        <w:t xml:space="preserve"> الملحق</w:t>
      </w:r>
      <w:r w:rsidRPr="00A76C08">
        <w:rPr>
          <w:rFonts w:hint="cs"/>
          <w:spacing w:val="-6"/>
          <w:rtl/>
          <w:lang w:val="fr-CH"/>
        </w:rPr>
        <w:t xml:space="preserve"> </w:t>
      </w:r>
      <w:r w:rsidR="00E41B9F">
        <w:rPr>
          <w:rFonts w:hint="cs"/>
          <w:spacing w:val="-6"/>
          <w:rtl/>
          <w:lang w:val="fr-CH"/>
        </w:rPr>
        <w:t>ب</w:t>
      </w:r>
      <w:r w:rsidRPr="00A76C08">
        <w:rPr>
          <w:rFonts w:hint="cs"/>
          <w:spacing w:val="-6"/>
          <w:rtl/>
          <w:lang w:val="fr-CH"/>
        </w:rPr>
        <w:t xml:space="preserve">اتفاقية حقوق الطفل </w:t>
      </w:r>
      <w:r w:rsidR="00E41B9F">
        <w:rPr>
          <w:rFonts w:hint="cs"/>
          <w:spacing w:val="-6"/>
          <w:rtl/>
          <w:lang w:val="fr-CH"/>
        </w:rPr>
        <w:t>بشأن</w:t>
      </w:r>
      <w:r w:rsidRPr="00A76C08">
        <w:rPr>
          <w:rFonts w:hint="cs"/>
          <w:spacing w:val="-6"/>
          <w:rtl/>
          <w:lang w:val="fr-CH"/>
        </w:rPr>
        <w:t xml:space="preserve"> بيع الأطفال واستغلال الأطفال </w:t>
      </w:r>
      <w:r w:rsidR="00E41B9F">
        <w:rPr>
          <w:rFonts w:hint="cs"/>
          <w:spacing w:val="-6"/>
          <w:rtl/>
          <w:lang w:val="fr-CH"/>
        </w:rPr>
        <w:t xml:space="preserve">في البغاء </w:t>
      </w:r>
      <w:r w:rsidR="00F13D3A">
        <w:rPr>
          <w:rFonts w:hint="cs"/>
          <w:spacing w:val="-6"/>
          <w:rtl/>
          <w:lang w:val="fr-CH"/>
        </w:rPr>
        <w:t>و</w:t>
      </w:r>
      <w:r w:rsidRPr="00A76C08">
        <w:rPr>
          <w:rFonts w:hint="cs"/>
          <w:spacing w:val="-6"/>
          <w:rtl/>
          <w:lang w:val="fr-CH"/>
        </w:rPr>
        <w:t xml:space="preserve">في المواد الإباحية، في </w:t>
      </w:r>
      <w:r w:rsidRPr="00A76C08">
        <w:rPr>
          <w:rFonts w:hint="cs"/>
          <w:spacing w:val="-6"/>
          <w:sz w:val="30"/>
          <w:rtl/>
          <w:lang w:val="fr-CH"/>
        </w:rPr>
        <w:t xml:space="preserve">حزيران/يونيه </w:t>
      </w:r>
      <w:r w:rsidRPr="00A76C08">
        <w:rPr>
          <w:rFonts w:hint="cs"/>
          <w:spacing w:val="-6"/>
          <w:rtl/>
          <w:lang w:val="fr-CH"/>
        </w:rPr>
        <w:t>2005.</w:t>
      </w:r>
    </w:p>
    <w:p w:rsidR="00A76C08" w:rsidRDefault="00E41B9F" w:rsidP="00E41B9F">
      <w:pPr>
        <w:pStyle w:val="H1GA"/>
        <w:rPr>
          <w:rFonts w:hint="cs"/>
          <w:rtl/>
          <w:lang w:val="fr-CH"/>
        </w:rPr>
      </w:pPr>
      <w:r>
        <w:rPr>
          <w:rFonts w:hint="cs"/>
          <w:rtl/>
          <w:lang w:val="fr-CH"/>
        </w:rPr>
        <w:tab/>
      </w:r>
      <w:r w:rsidR="00A76C08">
        <w:rPr>
          <w:rFonts w:hint="cs"/>
          <w:rtl/>
          <w:lang w:val="fr-CH"/>
        </w:rPr>
        <w:t>جيم-</w:t>
      </w:r>
      <w:r w:rsidR="00A76C08">
        <w:rPr>
          <w:rFonts w:hint="cs"/>
          <w:rtl/>
          <w:lang w:val="fr-CH"/>
        </w:rPr>
        <w:tab/>
        <w:t>دواعي القلق الرئيسية والتوصيات</w:t>
      </w:r>
    </w:p>
    <w:p w:rsidR="00A76C08" w:rsidRDefault="00A76C08" w:rsidP="004833D2">
      <w:pPr>
        <w:pStyle w:val="SingleTxtGA"/>
        <w:rPr>
          <w:rFonts w:hint="cs"/>
          <w:rtl/>
          <w:lang w:val="fr-CH"/>
        </w:rPr>
      </w:pPr>
      <w:r>
        <w:rPr>
          <w:rFonts w:hint="cs"/>
          <w:rtl/>
          <w:lang w:val="fr-CH"/>
        </w:rPr>
        <w:t>4-</w:t>
      </w:r>
      <w:r>
        <w:rPr>
          <w:rFonts w:hint="cs"/>
          <w:rtl/>
          <w:lang w:val="fr-CH"/>
        </w:rPr>
        <w:tab/>
        <w:t>يساور اللجنة القلق بشأن المستوى المحدود لعلم السكان وموظفي السلطة القضائية والمحامين بأحكام العهد</w:t>
      </w:r>
      <w:r w:rsidR="00E41B9F">
        <w:rPr>
          <w:rFonts w:hint="cs"/>
          <w:rtl/>
          <w:lang w:val="fr-CH"/>
        </w:rPr>
        <w:t xml:space="preserve"> والبروتوكول الاختياري</w:t>
      </w:r>
      <w:r>
        <w:rPr>
          <w:rFonts w:hint="cs"/>
          <w:rtl/>
          <w:lang w:val="fr-CH"/>
        </w:rPr>
        <w:t xml:space="preserve">، وهو ما </w:t>
      </w:r>
      <w:r w:rsidR="00E41B9F">
        <w:rPr>
          <w:rFonts w:hint="cs"/>
          <w:rtl/>
          <w:lang w:val="fr-CH"/>
        </w:rPr>
        <w:t>أ</w:t>
      </w:r>
      <w:r>
        <w:rPr>
          <w:rFonts w:hint="cs"/>
          <w:rtl/>
          <w:lang w:val="fr-CH"/>
        </w:rPr>
        <w:t>سفر عن العدد المحدود للقضايا التي استشهد فيها بأحكام العهد، وعن عدم تقديم أي شكوى فردية ضد الدولة الطرف منذ التصديق على البروتوكول الاختياري في عام 1993 (المادة 2).</w:t>
      </w:r>
    </w:p>
    <w:p w:rsidR="00A76C08" w:rsidRDefault="00A76C08" w:rsidP="004833D2">
      <w:pPr>
        <w:pStyle w:val="SingleTxtGA"/>
        <w:rPr>
          <w:rFonts w:hint="cs"/>
          <w:b/>
          <w:bCs/>
          <w:rtl/>
          <w:lang w:val="fr-CH"/>
        </w:rPr>
      </w:pPr>
      <w:r>
        <w:rPr>
          <w:rFonts w:hint="cs"/>
          <w:b/>
          <w:bCs/>
          <w:rtl/>
          <w:lang w:val="fr-CH"/>
        </w:rPr>
        <w:tab/>
        <w:t xml:space="preserve">ينبغي للدولة الطرف أن تبث الوعي في صفوف القضاة والمحامين وموظفي السلطة القضائية بالحقوق المنصوص عليها في العهد وبإمكانية تطبيقها في القانون المحلي، </w:t>
      </w:r>
      <w:r w:rsidR="004833D2">
        <w:rPr>
          <w:rFonts w:hint="cs"/>
          <w:b/>
          <w:bCs/>
          <w:rtl/>
          <w:lang w:val="fr-CH"/>
        </w:rPr>
        <w:t xml:space="preserve">وبالإجراء المتاح </w:t>
      </w:r>
      <w:r>
        <w:rPr>
          <w:rFonts w:hint="cs"/>
          <w:b/>
          <w:bCs/>
          <w:rtl/>
          <w:lang w:val="fr-CH"/>
        </w:rPr>
        <w:t>بموجب البروتوكول الاختياري.</w:t>
      </w:r>
    </w:p>
    <w:p w:rsidR="00A76C08" w:rsidRDefault="00A76C08" w:rsidP="004833D2">
      <w:pPr>
        <w:pStyle w:val="SingleTxtGA"/>
        <w:rPr>
          <w:rFonts w:hint="cs"/>
          <w:rtl/>
          <w:lang w:val="fr-CH"/>
        </w:rPr>
      </w:pPr>
      <w:r>
        <w:rPr>
          <w:rFonts w:hint="cs"/>
          <w:rtl/>
          <w:lang w:val="fr-CH"/>
        </w:rPr>
        <w:t>5-</w:t>
      </w:r>
      <w:r>
        <w:rPr>
          <w:rFonts w:hint="cs"/>
          <w:rtl/>
          <w:lang w:val="fr-CH"/>
        </w:rPr>
        <w:tab/>
        <w:t>ويساور اللجنة القلق إزاء المعلومات التي تشكك في الحذر الذي تتوخاه ال</w:t>
      </w:r>
      <w:r w:rsidR="004833D2">
        <w:rPr>
          <w:rFonts w:hint="cs"/>
          <w:rtl/>
          <w:lang w:val="fr-CH"/>
        </w:rPr>
        <w:t>مؤسسة</w:t>
      </w:r>
      <w:r>
        <w:rPr>
          <w:rFonts w:hint="cs"/>
          <w:rtl/>
          <w:lang w:val="fr-CH"/>
        </w:rPr>
        <w:t xml:space="preserve"> الوطنية لحقوق الإنسان في رصد وتعزيز وحماية حقوق الإنسان وفقاً </w:t>
      </w:r>
      <w:r w:rsidR="004833D2">
        <w:rPr>
          <w:rFonts w:hint="cs"/>
          <w:rtl/>
          <w:lang w:val="fr-CH"/>
        </w:rPr>
        <w:t>للمبادئ</w:t>
      </w:r>
      <w:r>
        <w:rPr>
          <w:rFonts w:hint="cs"/>
          <w:rtl/>
          <w:lang w:val="fr-CH"/>
        </w:rPr>
        <w:t xml:space="preserve"> المتعلقة </w:t>
      </w:r>
      <w:r w:rsidR="004833D2">
        <w:rPr>
          <w:rFonts w:hint="cs"/>
          <w:rtl/>
          <w:lang w:val="fr-CH"/>
        </w:rPr>
        <w:t>بمركز</w:t>
      </w:r>
      <w:r>
        <w:rPr>
          <w:rFonts w:hint="cs"/>
          <w:rtl/>
          <w:lang w:val="fr-CH"/>
        </w:rPr>
        <w:t xml:space="preserve"> المؤسسات الوطنية لتعزيز وحماية حقوق الإنسان (مبادئ باريس) (المادة 2).</w:t>
      </w:r>
    </w:p>
    <w:p w:rsidR="00A76C08" w:rsidRDefault="00A76C08" w:rsidP="004833D2">
      <w:pPr>
        <w:pStyle w:val="SingleTxtGA"/>
        <w:rPr>
          <w:rFonts w:hint="cs"/>
          <w:b/>
          <w:bCs/>
          <w:rtl/>
          <w:lang w:val="fr-CH"/>
        </w:rPr>
      </w:pPr>
      <w:r>
        <w:rPr>
          <w:rFonts w:hint="cs"/>
          <w:b/>
          <w:bCs/>
          <w:rtl/>
          <w:lang w:val="fr-CH"/>
        </w:rPr>
        <w:tab/>
        <w:t xml:space="preserve">ينبغي للدولة الطرف أن </w:t>
      </w:r>
      <w:r w:rsidR="004833D2">
        <w:rPr>
          <w:rFonts w:hint="cs"/>
          <w:b/>
          <w:bCs/>
          <w:rtl/>
          <w:lang w:val="fr-CH"/>
        </w:rPr>
        <w:t>تهيئ</w:t>
      </w:r>
      <w:r>
        <w:rPr>
          <w:rFonts w:hint="cs"/>
          <w:b/>
          <w:bCs/>
          <w:rtl/>
          <w:lang w:val="fr-CH"/>
        </w:rPr>
        <w:t xml:space="preserve"> الظروف اللازمة لضمان أداء مكتب أمين المظالم</w:t>
      </w:r>
      <w:r w:rsidR="00F13D3A">
        <w:rPr>
          <w:rFonts w:hint="cs"/>
          <w:b/>
          <w:bCs/>
          <w:rtl/>
          <w:lang w:val="fr-CH"/>
        </w:rPr>
        <w:t>،</w:t>
      </w:r>
      <w:r>
        <w:rPr>
          <w:rFonts w:hint="cs"/>
          <w:b/>
          <w:bCs/>
          <w:rtl/>
          <w:lang w:val="fr-CH"/>
        </w:rPr>
        <w:t xml:space="preserve"> الذي يعمل </w:t>
      </w:r>
      <w:r w:rsidR="004833D2">
        <w:rPr>
          <w:rFonts w:hint="cs"/>
          <w:b/>
          <w:bCs/>
          <w:rtl/>
          <w:lang w:val="fr-CH"/>
        </w:rPr>
        <w:t>باعتباره ال</w:t>
      </w:r>
      <w:r>
        <w:rPr>
          <w:rFonts w:hint="cs"/>
          <w:b/>
          <w:bCs/>
          <w:rtl/>
          <w:lang w:val="fr-CH"/>
        </w:rPr>
        <w:t xml:space="preserve">مؤسسة </w:t>
      </w:r>
      <w:r w:rsidR="004833D2">
        <w:rPr>
          <w:rFonts w:hint="cs"/>
          <w:b/>
          <w:bCs/>
          <w:rtl/>
          <w:lang w:val="fr-CH"/>
        </w:rPr>
        <w:t>ال</w:t>
      </w:r>
      <w:r>
        <w:rPr>
          <w:rFonts w:hint="cs"/>
          <w:b/>
          <w:bCs/>
          <w:rtl/>
          <w:lang w:val="fr-CH"/>
        </w:rPr>
        <w:t>وطنية لحقوق الإنسان، ولايته بالكامل وبصورة مستقلة وفقاً لمبادئ باريس.</w:t>
      </w:r>
    </w:p>
    <w:p w:rsidR="00A76C08" w:rsidRDefault="00A76C08" w:rsidP="004833D2">
      <w:pPr>
        <w:pStyle w:val="SingleTxtGA"/>
        <w:rPr>
          <w:rFonts w:hint="cs"/>
          <w:rtl/>
          <w:lang w:val="fr-CH"/>
        </w:rPr>
      </w:pPr>
      <w:r>
        <w:rPr>
          <w:rFonts w:hint="cs"/>
          <w:rtl/>
          <w:lang w:val="fr-CH"/>
        </w:rPr>
        <w:t>6-</w:t>
      </w:r>
      <w:r>
        <w:rPr>
          <w:rFonts w:hint="cs"/>
          <w:rtl/>
          <w:lang w:val="fr-CH"/>
        </w:rPr>
        <w:tab/>
        <w:t xml:space="preserve">ويساور اللجنة القلق إزاء انعدام تشريع شامل عن التمييز. ويساورها القلق أيضاً إزاء العنف ضد الأقليات العرقية والدينية، بما في ذلك من جانب موظفي الخدمة المدنية وممثلي السلطة التنفيذية رفيعي المستوى، وإزاء فشل الشرطة والسلطات القضائية في إجراء التحقيقات </w:t>
      </w:r>
      <w:r w:rsidR="004833D2">
        <w:rPr>
          <w:rFonts w:hint="cs"/>
          <w:rtl/>
          <w:lang w:val="fr-CH"/>
        </w:rPr>
        <w:t xml:space="preserve">في جرائم الكراهية </w:t>
      </w:r>
      <w:r>
        <w:rPr>
          <w:rFonts w:hint="cs"/>
          <w:rtl/>
          <w:lang w:val="fr-CH"/>
        </w:rPr>
        <w:t>ومقاضاة ومعاقبة مرتكبي</w:t>
      </w:r>
      <w:r w:rsidR="004833D2">
        <w:rPr>
          <w:rFonts w:hint="cs"/>
          <w:rtl/>
          <w:lang w:val="fr-CH"/>
        </w:rPr>
        <w:t>ها</w:t>
      </w:r>
      <w:r>
        <w:rPr>
          <w:rFonts w:hint="cs"/>
          <w:rtl/>
          <w:lang w:val="fr-CH"/>
        </w:rPr>
        <w:t xml:space="preserve"> (المواد 2 </w:t>
      </w:r>
      <w:proofErr w:type="spellStart"/>
      <w:r>
        <w:rPr>
          <w:rFonts w:hint="cs"/>
          <w:rtl/>
          <w:lang w:val="fr-CH"/>
        </w:rPr>
        <w:t>و18</w:t>
      </w:r>
      <w:proofErr w:type="spellEnd"/>
      <w:r>
        <w:rPr>
          <w:rFonts w:hint="cs"/>
          <w:rtl/>
          <w:lang w:val="fr-CH"/>
        </w:rPr>
        <w:t xml:space="preserve"> </w:t>
      </w:r>
      <w:proofErr w:type="spellStart"/>
      <w:r>
        <w:rPr>
          <w:rFonts w:hint="cs"/>
          <w:rtl/>
          <w:lang w:val="fr-CH"/>
        </w:rPr>
        <w:t>و20</w:t>
      </w:r>
      <w:proofErr w:type="spellEnd"/>
      <w:r>
        <w:rPr>
          <w:rFonts w:hint="cs"/>
          <w:rtl/>
          <w:lang w:val="fr-CH"/>
        </w:rPr>
        <w:t xml:space="preserve"> </w:t>
      </w:r>
      <w:proofErr w:type="spellStart"/>
      <w:r>
        <w:rPr>
          <w:rFonts w:hint="cs"/>
          <w:rtl/>
          <w:lang w:val="fr-CH"/>
        </w:rPr>
        <w:t>و26</w:t>
      </w:r>
      <w:proofErr w:type="spellEnd"/>
      <w:r>
        <w:rPr>
          <w:rFonts w:hint="cs"/>
          <w:rtl/>
          <w:lang w:val="fr-CH"/>
        </w:rPr>
        <w:t>).</w:t>
      </w:r>
    </w:p>
    <w:p w:rsidR="00A76C08" w:rsidRDefault="00A76C08" w:rsidP="004833D2">
      <w:pPr>
        <w:pStyle w:val="SingleTxtGA"/>
        <w:rPr>
          <w:rFonts w:hint="cs"/>
          <w:b/>
          <w:bCs/>
          <w:rtl/>
          <w:lang w:val="fr-CH"/>
        </w:rPr>
      </w:pPr>
      <w:r w:rsidRPr="00A76C08">
        <w:rPr>
          <w:rFonts w:hint="cs"/>
          <w:b/>
          <w:bCs/>
          <w:rtl/>
          <w:lang w:val="fr-CH"/>
        </w:rPr>
        <w:tab/>
      </w:r>
      <w:r>
        <w:rPr>
          <w:rFonts w:hint="cs"/>
          <w:b/>
          <w:bCs/>
          <w:rtl/>
          <w:lang w:val="fr-CH"/>
        </w:rPr>
        <w:t xml:space="preserve">ينبغي للدولة الطرف أن تكفل </w:t>
      </w:r>
      <w:r w:rsidR="004833D2">
        <w:rPr>
          <w:rFonts w:hint="cs"/>
          <w:b/>
          <w:bCs/>
          <w:rtl/>
          <w:lang w:val="fr-CH"/>
        </w:rPr>
        <w:t>شمول</w:t>
      </w:r>
      <w:r>
        <w:rPr>
          <w:rFonts w:hint="cs"/>
          <w:b/>
          <w:bCs/>
          <w:rtl/>
          <w:lang w:val="fr-CH"/>
        </w:rPr>
        <w:t xml:space="preserve"> تعريفها للتمييز جميع أشكال التمييز على النحو المنصوص عليه في العهد (العرق أو اللون أو الجنس أو اللغة أو الدين أو الرأي السياسي أو غير السياسي</w:t>
      </w:r>
      <w:r w:rsidR="00F930E1">
        <w:rPr>
          <w:rFonts w:hint="cs"/>
          <w:b/>
          <w:bCs/>
          <w:rtl/>
          <w:lang w:val="fr-CH"/>
        </w:rPr>
        <w:t>،</w:t>
      </w:r>
      <w:r>
        <w:rPr>
          <w:rFonts w:hint="cs"/>
          <w:b/>
          <w:bCs/>
          <w:rtl/>
          <w:lang w:val="fr-CH"/>
        </w:rPr>
        <w:t xml:space="preserve"> أو الأصل القومي أو الاجتماعي، أو الثروة أو النسب أو غير ذلك من الأسباب). وينبغي للدولة الطرف أيضاً أن تكافح العنف والتحريض على الكراهية العرقية والدينية</w:t>
      </w:r>
      <w:r w:rsidR="00F930E1">
        <w:rPr>
          <w:rFonts w:hint="cs"/>
          <w:b/>
          <w:bCs/>
          <w:rtl/>
          <w:lang w:val="fr-CH"/>
        </w:rPr>
        <w:t>،</w:t>
      </w:r>
      <w:r>
        <w:rPr>
          <w:rFonts w:hint="cs"/>
          <w:b/>
          <w:bCs/>
          <w:rtl/>
          <w:lang w:val="fr-CH"/>
        </w:rPr>
        <w:t xml:space="preserve"> وأن تقدم الحماية المناسبة للأقليات</w:t>
      </w:r>
      <w:r w:rsidR="00F930E1">
        <w:rPr>
          <w:rFonts w:hint="cs"/>
          <w:b/>
          <w:bCs/>
          <w:rtl/>
          <w:lang w:val="fr-CH"/>
        </w:rPr>
        <w:t>،</w:t>
      </w:r>
      <w:r>
        <w:rPr>
          <w:rFonts w:hint="cs"/>
          <w:b/>
          <w:bCs/>
          <w:rtl/>
          <w:lang w:val="fr-CH"/>
        </w:rPr>
        <w:t xml:space="preserve"> وأن تكفل إجراء التحقيق المناسب والمقاضاة في مثل هذه الحالات. وفضلاً عن ذلك، تشجع اللجنة الدولية الطرف على تعزيز جهودها لضمان التنفيذ الفعال للقوانين المعتمدة لمكافحة التمييز العنصري ولضمان بلوغ أهدافها.</w:t>
      </w:r>
    </w:p>
    <w:p w:rsidR="00A76C08" w:rsidRDefault="00A76C08" w:rsidP="00A76C08">
      <w:pPr>
        <w:pStyle w:val="SingleTxtGA"/>
        <w:rPr>
          <w:rFonts w:hint="cs"/>
          <w:rtl/>
          <w:lang w:val="fr-CH"/>
        </w:rPr>
      </w:pPr>
      <w:r>
        <w:rPr>
          <w:rFonts w:hint="cs"/>
          <w:rtl/>
          <w:lang w:val="fr-CH"/>
        </w:rPr>
        <w:t>7-</w:t>
      </w:r>
      <w:r>
        <w:rPr>
          <w:rFonts w:hint="cs"/>
          <w:rtl/>
          <w:lang w:val="fr-CH"/>
        </w:rPr>
        <w:tab/>
        <w:t>ولا تزال اللجنة تشعر بالقلق إزاء ارتفاع مستوى التمييز الذي تعاني منه المرأة وانخفاض مستوى مشاركة المرأة في الحياة العامة والسياسية</w:t>
      </w:r>
      <w:r w:rsidR="009055B4">
        <w:rPr>
          <w:rFonts w:hint="cs"/>
          <w:rtl/>
          <w:lang w:val="fr-CH"/>
        </w:rPr>
        <w:t>،</w:t>
      </w:r>
      <w:r>
        <w:rPr>
          <w:rFonts w:hint="cs"/>
          <w:rtl/>
          <w:lang w:val="fr-CH"/>
        </w:rPr>
        <w:t xml:space="preserve"> وانخفاض مستوى تمثيلها في مناصب اتخاذ القرارات في القطاعين العام والخاص. وتأسف اللجنة لأن القوالب النمطية الجنسانية مازالت سائدة بشأن دور ومسؤوليات المرأة والرجل في الأسرة والمجتمع (المواد 2 </w:t>
      </w:r>
      <w:proofErr w:type="spellStart"/>
      <w:r>
        <w:rPr>
          <w:rFonts w:hint="cs"/>
          <w:rtl/>
          <w:lang w:val="fr-CH"/>
        </w:rPr>
        <w:t>و3</w:t>
      </w:r>
      <w:proofErr w:type="spellEnd"/>
      <w:r>
        <w:rPr>
          <w:rFonts w:hint="cs"/>
          <w:rtl/>
          <w:lang w:val="fr-CH"/>
        </w:rPr>
        <w:t xml:space="preserve"> </w:t>
      </w:r>
      <w:proofErr w:type="spellStart"/>
      <w:r>
        <w:rPr>
          <w:rFonts w:hint="cs"/>
          <w:rtl/>
          <w:lang w:val="fr-CH"/>
        </w:rPr>
        <w:t>و25</w:t>
      </w:r>
      <w:proofErr w:type="spellEnd"/>
      <w:r>
        <w:rPr>
          <w:rFonts w:hint="cs"/>
          <w:rtl/>
          <w:lang w:val="fr-CH"/>
        </w:rPr>
        <w:t xml:space="preserve"> </w:t>
      </w:r>
      <w:proofErr w:type="spellStart"/>
      <w:r>
        <w:rPr>
          <w:rFonts w:hint="cs"/>
          <w:rtl/>
          <w:lang w:val="fr-CH"/>
        </w:rPr>
        <w:t>و26</w:t>
      </w:r>
      <w:proofErr w:type="spellEnd"/>
      <w:r>
        <w:rPr>
          <w:rFonts w:hint="cs"/>
          <w:rtl/>
          <w:lang w:val="fr-CH"/>
        </w:rPr>
        <w:t xml:space="preserve">). </w:t>
      </w:r>
    </w:p>
    <w:p w:rsidR="00A76C08" w:rsidRPr="009055B4" w:rsidRDefault="00A76C08" w:rsidP="009055B4">
      <w:pPr>
        <w:pStyle w:val="SingleTxtGA"/>
        <w:rPr>
          <w:rFonts w:hint="cs"/>
          <w:b/>
          <w:bCs/>
          <w:spacing w:val="-2"/>
          <w:rtl/>
          <w:lang w:val="fr-CH"/>
        </w:rPr>
      </w:pPr>
      <w:r w:rsidRPr="009055B4">
        <w:rPr>
          <w:rFonts w:hint="cs"/>
          <w:spacing w:val="-2"/>
          <w:rtl/>
          <w:lang w:val="fr-CH"/>
        </w:rPr>
        <w:tab/>
      </w:r>
      <w:r w:rsidRPr="009055B4">
        <w:rPr>
          <w:rFonts w:hint="cs"/>
          <w:b/>
          <w:bCs/>
          <w:spacing w:val="-2"/>
          <w:rtl/>
          <w:lang w:val="fr-CH"/>
        </w:rPr>
        <w:t xml:space="preserve">ينبغي للدولة الطرف أن تعتمد تشريعاً محدداً بشأن المساواة بين الرجل والمرأة </w:t>
      </w:r>
      <w:r w:rsidR="009055B4" w:rsidRPr="009055B4">
        <w:rPr>
          <w:rFonts w:hint="cs"/>
          <w:b/>
          <w:bCs/>
          <w:spacing w:val="-2"/>
          <w:rtl/>
          <w:lang w:val="fr-CH"/>
        </w:rPr>
        <w:t xml:space="preserve">وبذلك </w:t>
      </w:r>
      <w:r w:rsidRPr="009055B4">
        <w:rPr>
          <w:rFonts w:hint="cs"/>
          <w:b/>
          <w:bCs/>
          <w:spacing w:val="-2"/>
          <w:rtl/>
          <w:lang w:val="fr-CH"/>
        </w:rPr>
        <w:t xml:space="preserve">تعترف رسمياً بالطبيعة الخاصة للتمييز ضد المرأة. وينبغي مراجعة فعالية نظام الحصص للمرشحين للانتخابات. وينبغي للدولة الطرف أيضاً أن تعزز جهودها للقضاء على القوالب النمطية </w:t>
      </w:r>
      <w:r w:rsidR="009055B4" w:rsidRPr="009055B4">
        <w:rPr>
          <w:rFonts w:hint="cs"/>
          <w:b/>
          <w:bCs/>
          <w:spacing w:val="-2"/>
          <w:rtl/>
          <w:lang w:val="fr-CH"/>
        </w:rPr>
        <w:t xml:space="preserve">الجنسانية </w:t>
      </w:r>
      <w:r w:rsidRPr="009055B4">
        <w:rPr>
          <w:rFonts w:hint="cs"/>
          <w:b/>
          <w:bCs/>
          <w:spacing w:val="-2"/>
          <w:rtl/>
          <w:lang w:val="fr-CH"/>
        </w:rPr>
        <w:t xml:space="preserve">بشأن دور ومسؤوليات الرجل والمرأة داخل الأسرة وفي المجتمع. </w:t>
      </w:r>
    </w:p>
    <w:p w:rsidR="00A76C08" w:rsidRDefault="00A76C08" w:rsidP="004247CF">
      <w:pPr>
        <w:pStyle w:val="SingleTxtGA"/>
        <w:rPr>
          <w:rFonts w:hint="cs"/>
          <w:rtl/>
          <w:lang w:val="fr-CH"/>
        </w:rPr>
      </w:pPr>
      <w:r>
        <w:rPr>
          <w:rFonts w:hint="cs"/>
          <w:rtl/>
          <w:lang w:val="fr-CH"/>
        </w:rPr>
        <w:t>8-</w:t>
      </w:r>
      <w:r>
        <w:rPr>
          <w:rFonts w:hint="cs"/>
          <w:rtl/>
          <w:lang w:val="fr-CH"/>
        </w:rPr>
        <w:tab/>
        <w:t xml:space="preserve">ويساور اللجنة القلق إزاء استمرار المعدلات المرتفعة للعنف ضد المرأة، ولاسيما العنف المنزلي، وتأسف لأن العنف المنزلي لا يزال يشكل فعلاً يعاقب عليه تحديداً بموجب القانون الجنائي. ويساور اللجنة القلق أيضاً إزاء عدم كفاية عدد ملاجئ ضحايا العنف المنزلي (المواد 2 </w:t>
      </w:r>
      <w:proofErr w:type="spellStart"/>
      <w:r>
        <w:rPr>
          <w:rFonts w:hint="cs"/>
          <w:rtl/>
          <w:lang w:val="fr-CH"/>
        </w:rPr>
        <w:t>و3</w:t>
      </w:r>
      <w:proofErr w:type="spellEnd"/>
      <w:r>
        <w:rPr>
          <w:rFonts w:hint="cs"/>
          <w:rtl/>
          <w:lang w:val="fr-CH"/>
        </w:rPr>
        <w:t xml:space="preserve"> </w:t>
      </w:r>
      <w:proofErr w:type="spellStart"/>
      <w:r>
        <w:rPr>
          <w:rFonts w:hint="cs"/>
          <w:rtl/>
          <w:lang w:val="fr-CH"/>
        </w:rPr>
        <w:t>و7</w:t>
      </w:r>
      <w:proofErr w:type="spellEnd"/>
      <w:r>
        <w:rPr>
          <w:rFonts w:hint="cs"/>
          <w:rtl/>
          <w:lang w:val="fr-CH"/>
        </w:rPr>
        <w:t>).</w:t>
      </w:r>
    </w:p>
    <w:p w:rsidR="00A76C08" w:rsidRDefault="00A76C08" w:rsidP="009055B4">
      <w:pPr>
        <w:pStyle w:val="SingleTxtGA"/>
        <w:rPr>
          <w:rFonts w:hint="cs"/>
          <w:b/>
          <w:bCs/>
          <w:rtl/>
          <w:lang w:val="fr-CH"/>
        </w:rPr>
      </w:pPr>
      <w:r>
        <w:rPr>
          <w:rFonts w:hint="cs"/>
          <w:b/>
          <w:bCs/>
          <w:rtl/>
          <w:lang w:val="fr-CH"/>
        </w:rPr>
        <w:tab/>
        <w:t xml:space="preserve">يتعين على الدولة الطرف أن تعتمد تشريعاً يجرم جميع أشكال العنف المنزلي. وينبغي لها أن تنظم حملات مركزة لتوعية السكان في جميع أنحاء البلد بهذه المشاكل. وينبغي تدريب السلطات المحلية وموظفي إنفاذ القوانين والشرطة، وكذلك الأخصائيين الاجتماعيين والعاملين في المجال الطبي على كيفية التعرف على ضحايا العنف المنزلي وإسداء </w:t>
      </w:r>
      <w:r w:rsidR="009055B4">
        <w:rPr>
          <w:rFonts w:hint="cs"/>
          <w:b/>
          <w:bCs/>
          <w:rtl/>
          <w:lang w:val="fr-CH"/>
        </w:rPr>
        <w:t>المشورة</w:t>
      </w:r>
      <w:r>
        <w:rPr>
          <w:rFonts w:hint="cs"/>
          <w:b/>
          <w:bCs/>
          <w:rtl/>
          <w:lang w:val="fr-CH"/>
        </w:rPr>
        <w:t xml:space="preserve"> إليهم على النحو الكافي. وينبغي للدولة الطرف أيضاً أن تكفل توافر عدد كاف من الملاجئ </w:t>
      </w:r>
      <w:r w:rsidR="009055B4">
        <w:rPr>
          <w:rFonts w:hint="cs"/>
          <w:b/>
          <w:bCs/>
          <w:rtl/>
          <w:lang w:val="fr-CH"/>
        </w:rPr>
        <w:t>العاملة بشكل كامل</w:t>
      </w:r>
      <w:r>
        <w:rPr>
          <w:rFonts w:hint="cs"/>
          <w:b/>
          <w:bCs/>
          <w:rtl/>
          <w:lang w:val="fr-CH"/>
        </w:rPr>
        <w:t xml:space="preserve"> </w:t>
      </w:r>
      <w:r w:rsidR="009055B4">
        <w:rPr>
          <w:rFonts w:hint="cs"/>
          <w:b/>
          <w:bCs/>
          <w:rtl/>
          <w:lang w:val="fr-CH"/>
        </w:rPr>
        <w:t>في جميع أنحاء الدولة الطرف ل</w:t>
      </w:r>
      <w:r>
        <w:rPr>
          <w:rFonts w:hint="cs"/>
          <w:b/>
          <w:bCs/>
          <w:rtl/>
          <w:lang w:val="fr-CH"/>
        </w:rPr>
        <w:t>يستفيد منها ضحايا العنف</w:t>
      </w:r>
      <w:r w:rsidR="009055B4">
        <w:rPr>
          <w:rFonts w:hint="cs"/>
          <w:b/>
          <w:bCs/>
          <w:rtl/>
          <w:lang w:val="fr-CH"/>
        </w:rPr>
        <w:t xml:space="preserve"> المنزلي</w:t>
      </w:r>
      <w:r>
        <w:rPr>
          <w:rFonts w:hint="cs"/>
          <w:b/>
          <w:bCs/>
          <w:rtl/>
          <w:lang w:val="fr-CH"/>
        </w:rPr>
        <w:t>.</w:t>
      </w:r>
    </w:p>
    <w:p w:rsidR="00A76C08" w:rsidRDefault="00A76C08" w:rsidP="00A76C08">
      <w:pPr>
        <w:pStyle w:val="SingleTxtGA"/>
        <w:rPr>
          <w:rFonts w:hint="cs"/>
          <w:rtl/>
          <w:lang w:val="fr-CH"/>
        </w:rPr>
      </w:pPr>
      <w:r>
        <w:rPr>
          <w:rFonts w:hint="cs"/>
          <w:rtl/>
          <w:lang w:val="fr-CH"/>
        </w:rPr>
        <w:t>9-</w:t>
      </w:r>
      <w:r>
        <w:rPr>
          <w:rFonts w:hint="cs"/>
          <w:rtl/>
          <w:lang w:val="fr-CH"/>
        </w:rPr>
        <w:tab/>
        <w:t xml:space="preserve">ويساور اللجنة القلق </w:t>
      </w:r>
      <w:r w:rsidR="009055B4">
        <w:rPr>
          <w:rFonts w:hint="cs"/>
          <w:rtl/>
          <w:lang w:val="fr-CH"/>
        </w:rPr>
        <w:t xml:space="preserve">إزاء </w:t>
      </w:r>
      <w:r>
        <w:rPr>
          <w:rFonts w:hint="cs"/>
          <w:rtl/>
          <w:lang w:val="fr-CH"/>
        </w:rPr>
        <w:t xml:space="preserve">زيادة اللجوء إلى عملية الإجهاض الانتقائي بسبب جنس الجنين التي تعكس ثقافة اللامساواة بين الجنسين (المواد 2 </w:t>
      </w:r>
      <w:proofErr w:type="spellStart"/>
      <w:r>
        <w:rPr>
          <w:rFonts w:hint="cs"/>
          <w:rtl/>
          <w:lang w:val="fr-CH"/>
        </w:rPr>
        <w:t>و3</w:t>
      </w:r>
      <w:proofErr w:type="spellEnd"/>
      <w:r>
        <w:rPr>
          <w:rFonts w:hint="cs"/>
          <w:rtl/>
          <w:lang w:val="fr-CH"/>
        </w:rPr>
        <w:t xml:space="preserve"> </w:t>
      </w:r>
      <w:proofErr w:type="spellStart"/>
      <w:r>
        <w:rPr>
          <w:rFonts w:hint="cs"/>
          <w:rtl/>
          <w:lang w:val="fr-CH"/>
        </w:rPr>
        <w:t>و26</w:t>
      </w:r>
      <w:proofErr w:type="spellEnd"/>
      <w:r>
        <w:rPr>
          <w:rFonts w:hint="cs"/>
          <w:rtl/>
          <w:lang w:val="fr-CH"/>
        </w:rPr>
        <w:t>).</w:t>
      </w:r>
    </w:p>
    <w:p w:rsidR="00A76C08" w:rsidRDefault="00A76C08" w:rsidP="009055B4">
      <w:pPr>
        <w:pStyle w:val="SingleTxtGA"/>
        <w:rPr>
          <w:rFonts w:hint="cs"/>
          <w:b/>
          <w:bCs/>
          <w:rtl/>
          <w:lang w:val="fr-CH"/>
        </w:rPr>
      </w:pPr>
      <w:r>
        <w:rPr>
          <w:rFonts w:hint="cs"/>
          <w:b/>
          <w:bCs/>
          <w:rtl/>
          <w:lang w:val="fr-CH"/>
        </w:rPr>
        <w:tab/>
        <w:t>ينبغي للدولة الطرف أن تعتمد تشريعاً لحظر اختيار جنس الجنين ومعالجة الأسباب الجذرية لاختيار جنس الجنين قبل الولادة، من خلال جمع بيانات يمكن التعويل عليها تتعلق بهذه الظاهرة، وتطبيق برامج للتدريب الإلزامي في مجال التوعية الجنسانية لصالح الع</w:t>
      </w:r>
      <w:r w:rsidR="004247CF">
        <w:rPr>
          <w:rFonts w:hint="cs"/>
          <w:b/>
          <w:bCs/>
          <w:rtl/>
          <w:lang w:val="fr-CH"/>
        </w:rPr>
        <w:t>ا</w:t>
      </w:r>
      <w:r>
        <w:rPr>
          <w:rFonts w:hint="cs"/>
          <w:b/>
          <w:bCs/>
          <w:rtl/>
          <w:lang w:val="fr-CH"/>
        </w:rPr>
        <w:t xml:space="preserve">ملين في </w:t>
      </w:r>
      <w:r w:rsidR="009055B4">
        <w:rPr>
          <w:rFonts w:hint="cs"/>
          <w:b/>
          <w:bCs/>
          <w:rtl/>
          <w:lang w:val="fr-CH"/>
        </w:rPr>
        <w:t>مجال تنظيم</w:t>
      </w:r>
      <w:r>
        <w:rPr>
          <w:rFonts w:hint="cs"/>
          <w:b/>
          <w:bCs/>
          <w:rtl/>
          <w:lang w:val="fr-CH"/>
        </w:rPr>
        <w:t xml:space="preserve"> الأسرة، وتنظيم حملات لتوعية الجمهور.</w:t>
      </w:r>
    </w:p>
    <w:p w:rsidR="00A76C08" w:rsidRDefault="00A76C08" w:rsidP="00A76C08">
      <w:pPr>
        <w:pStyle w:val="SingleTxtGA"/>
        <w:rPr>
          <w:rFonts w:hint="cs"/>
          <w:rtl/>
          <w:lang w:val="fr-CH"/>
        </w:rPr>
      </w:pPr>
      <w:r>
        <w:rPr>
          <w:rFonts w:hint="cs"/>
          <w:rtl/>
          <w:lang w:val="fr-CH"/>
        </w:rPr>
        <w:t>10-</w:t>
      </w:r>
      <w:r>
        <w:rPr>
          <w:rFonts w:hint="cs"/>
          <w:rtl/>
          <w:lang w:val="fr-CH"/>
        </w:rPr>
        <w:tab/>
        <w:t>يساور اللجنة القلق بشأن معاناة المثليات والمثل</w:t>
      </w:r>
      <w:r w:rsidR="009055B4">
        <w:rPr>
          <w:rFonts w:hint="cs"/>
          <w:rtl/>
          <w:lang w:val="fr-CH"/>
        </w:rPr>
        <w:t>ي</w:t>
      </w:r>
      <w:r>
        <w:rPr>
          <w:rFonts w:hint="cs"/>
          <w:rtl/>
          <w:lang w:val="fr-CH"/>
        </w:rPr>
        <w:t xml:space="preserve">ين ومزدوجي الميل الجنسي ومغايري الهوية الجنسانية من التمييز والتعرض للعنف، وترفض أي فعل ينتهك حقوقهم الإنسانية بسبب ميلهم الجنسي أو هويتهم الجنسانية (المواد 3 </w:t>
      </w:r>
      <w:proofErr w:type="spellStart"/>
      <w:r>
        <w:rPr>
          <w:rFonts w:hint="cs"/>
          <w:rtl/>
          <w:lang w:val="fr-CH"/>
        </w:rPr>
        <w:t>و6</w:t>
      </w:r>
      <w:proofErr w:type="spellEnd"/>
      <w:r>
        <w:rPr>
          <w:rFonts w:hint="cs"/>
          <w:rtl/>
          <w:lang w:val="fr-CH"/>
        </w:rPr>
        <w:t xml:space="preserve"> </w:t>
      </w:r>
      <w:proofErr w:type="spellStart"/>
      <w:r>
        <w:rPr>
          <w:rFonts w:hint="cs"/>
          <w:rtl/>
          <w:lang w:val="fr-CH"/>
        </w:rPr>
        <w:t>و7</w:t>
      </w:r>
      <w:proofErr w:type="spellEnd"/>
      <w:r>
        <w:rPr>
          <w:rFonts w:hint="cs"/>
          <w:rtl/>
          <w:lang w:val="fr-CH"/>
        </w:rPr>
        <w:t xml:space="preserve"> </w:t>
      </w:r>
      <w:proofErr w:type="spellStart"/>
      <w:r>
        <w:rPr>
          <w:rFonts w:hint="cs"/>
          <w:rtl/>
          <w:lang w:val="fr-CH"/>
        </w:rPr>
        <w:t>و26</w:t>
      </w:r>
      <w:proofErr w:type="spellEnd"/>
      <w:r>
        <w:rPr>
          <w:rFonts w:hint="cs"/>
          <w:rtl/>
          <w:lang w:val="fr-CH"/>
        </w:rPr>
        <w:t>).</w:t>
      </w:r>
    </w:p>
    <w:p w:rsidR="00A76C08" w:rsidRDefault="009055B4" w:rsidP="00A76C08">
      <w:pPr>
        <w:pStyle w:val="SingleTxtGA"/>
        <w:rPr>
          <w:rFonts w:hint="cs"/>
          <w:b/>
          <w:bCs/>
          <w:rtl/>
          <w:lang w:val="fr-CH"/>
        </w:rPr>
      </w:pPr>
      <w:r>
        <w:rPr>
          <w:rFonts w:hint="cs"/>
          <w:b/>
          <w:bCs/>
          <w:rtl/>
          <w:lang w:val="fr-CH"/>
        </w:rPr>
        <w:tab/>
      </w:r>
      <w:r w:rsidR="00A76C08">
        <w:rPr>
          <w:rFonts w:hint="cs"/>
          <w:b/>
          <w:bCs/>
          <w:rtl/>
          <w:lang w:val="fr-CH"/>
        </w:rPr>
        <w:t xml:space="preserve">ينبغي للدولة الطرف أن تشير إشارة واضحة وبصورة رسمية إلى أنها لا تتسامح مع أي شكل من أشكال الوصم الاجتماعي بالمثلية الجنسية </w:t>
      </w:r>
      <w:r>
        <w:rPr>
          <w:rFonts w:hint="cs"/>
          <w:b/>
          <w:bCs/>
          <w:rtl/>
          <w:lang w:val="fr-CH"/>
        </w:rPr>
        <w:t>أ</w:t>
      </w:r>
      <w:r w:rsidR="00A76C08">
        <w:rPr>
          <w:rFonts w:hint="cs"/>
          <w:b/>
          <w:bCs/>
          <w:rtl/>
          <w:lang w:val="fr-CH"/>
        </w:rPr>
        <w:t>و</w:t>
      </w:r>
      <w:r>
        <w:rPr>
          <w:rFonts w:hint="cs"/>
          <w:b/>
          <w:bCs/>
          <w:rtl/>
          <w:lang w:val="fr-CH"/>
        </w:rPr>
        <w:t xml:space="preserve"> </w:t>
      </w:r>
      <w:r w:rsidR="00A76C08">
        <w:rPr>
          <w:rFonts w:hint="cs"/>
          <w:b/>
          <w:bCs/>
          <w:rtl/>
          <w:lang w:val="fr-CH"/>
        </w:rPr>
        <w:t xml:space="preserve">ازدواجية الميل الجنسي </w:t>
      </w:r>
      <w:r>
        <w:rPr>
          <w:rFonts w:hint="cs"/>
          <w:b/>
          <w:bCs/>
          <w:rtl/>
          <w:lang w:val="fr-CH"/>
        </w:rPr>
        <w:t xml:space="preserve">  أ</w:t>
      </w:r>
      <w:r w:rsidR="00A76C08">
        <w:rPr>
          <w:rFonts w:hint="cs"/>
          <w:b/>
          <w:bCs/>
          <w:rtl/>
          <w:lang w:val="fr-CH"/>
        </w:rPr>
        <w:t>و</w:t>
      </w:r>
      <w:r>
        <w:rPr>
          <w:rFonts w:hint="cs"/>
          <w:b/>
          <w:bCs/>
          <w:rtl/>
          <w:lang w:val="fr-CH"/>
        </w:rPr>
        <w:t xml:space="preserve"> </w:t>
      </w:r>
      <w:r w:rsidR="00A76C08">
        <w:rPr>
          <w:rFonts w:hint="cs"/>
          <w:b/>
          <w:bCs/>
          <w:rtl/>
          <w:lang w:val="fr-CH"/>
        </w:rPr>
        <w:t xml:space="preserve">مغايرة الهوية الجنسية، ولا مع أي شكل من أشكال المضايقة أو التمييز أو العنف يمارس ضد الأشخاص بسبب ميلهم الجنسي أو هويتهم الجنسانية. وينبغي للدولة الطرف أن تحظر التمييز القائم على الميول الجنسية والهوية الجنسانية وتقدم الحماية الفعالة للمثليات والمثليين ومزدوجي الميل الجنسي ومغايري الهوية الجنسية. </w:t>
      </w:r>
    </w:p>
    <w:p w:rsidR="00A76C08" w:rsidRDefault="00A76C08" w:rsidP="00A76C08">
      <w:pPr>
        <w:pStyle w:val="SingleTxtGA"/>
        <w:rPr>
          <w:rFonts w:hint="cs"/>
          <w:rtl/>
          <w:lang w:val="fr-CH"/>
        </w:rPr>
      </w:pPr>
      <w:r w:rsidRPr="00CA74CD">
        <w:rPr>
          <w:rFonts w:hint="cs"/>
          <w:rtl/>
          <w:lang w:val="fr-CH"/>
        </w:rPr>
        <w:t>11-</w:t>
      </w:r>
      <w:r w:rsidRPr="00CA74CD">
        <w:rPr>
          <w:rFonts w:hint="cs"/>
          <w:rtl/>
          <w:lang w:val="fr-CH"/>
        </w:rPr>
        <w:tab/>
      </w:r>
      <w:r>
        <w:rPr>
          <w:rFonts w:hint="cs"/>
          <w:rtl/>
          <w:lang w:val="fr-CH"/>
        </w:rPr>
        <w:t>و</w:t>
      </w:r>
      <w:r w:rsidRPr="00CA74CD">
        <w:rPr>
          <w:rFonts w:hint="cs"/>
          <w:rtl/>
          <w:lang w:val="fr-CH"/>
        </w:rPr>
        <w:t>ي</w:t>
      </w:r>
      <w:r>
        <w:rPr>
          <w:rFonts w:hint="cs"/>
          <w:rtl/>
          <w:lang w:val="fr-CH"/>
        </w:rPr>
        <w:t xml:space="preserve">ساور اللجنة القلق لأن الظروف التي أعلنت بموجبها حالة الطوارئ في </w:t>
      </w:r>
      <w:r w:rsidRPr="00CA74CD">
        <w:rPr>
          <w:rFonts w:hint="cs"/>
          <w:sz w:val="30"/>
          <w:rtl/>
          <w:lang w:val="fr-CH"/>
        </w:rPr>
        <w:t>آذار/</w:t>
      </w:r>
      <w:r w:rsidR="00FB701F">
        <w:rPr>
          <w:rFonts w:hint="cs"/>
          <w:sz w:val="30"/>
          <w:rtl/>
          <w:lang w:val="fr-CH"/>
        </w:rPr>
        <w:t xml:space="preserve"> </w:t>
      </w:r>
      <w:r w:rsidRPr="00CA74CD">
        <w:rPr>
          <w:rFonts w:hint="cs"/>
          <w:sz w:val="30"/>
          <w:rtl/>
          <w:lang w:val="fr-CH"/>
        </w:rPr>
        <w:t xml:space="preserve">مارس </w:t>
      </w:r>
      <w:r>
        <w:rPr>
          <w:rFonts w:hint="cs"/>
          <w:rtl/>
          <w:lang w:val="fr-CH"/>
        </w:rPr>
        <w:t>2008 لم تكن واضحة.</w:t>
      </w:r>
      <w:r w:rsidR="009055B4">
        <w:rPr>
          <w:rFonts w:hint="cs"/>
          <w:rtl/>
          <w:lang w:val="fr-CH"/>
        </w:rPr>
        <w:t xml:space="preserve"> </w:t>
      </w:r>
      <w:r>
        <w:rPr>
          <w:rFonts w:hint="cs"/>
          <w:rtl/>
          <w:lang w:val="fr-CH"/>
        </w:rPr>
        <w:t>ويساور اللجنة القلق لأن اللوائح القائمة بشأن حالة الطوارئ لا تكفل الاحترام الكامل للحقوق المحمية بموجب المادة 4 من العهد (المادة 4).</w:t>
      </w:r>
    </w:p>
    <w:p w:rsidR="00A76C08" w:rsidRDefault="00A76C08" w:rsidP="009055B4">
      <w:pPr>
        <w:pStyle w:val="SingleTxtGA"/>
        <w:rPr>
          <w:rFonts w:hint="cs"/>
          <w:b/>
          <w:bCs/>
          <w:rtl/>
          <w:lang w:val="fr-CH"/>
        </w:rPr>
      </w:pPr>
      <w:r>
        <w:rPr>
          <w:rFonts w:hint="cs"/>
          <w:b/>
          <w:bCs/>
          <w:rtl/>
          <w:lang w:val="fr-CH"/>
        </w:rPr>
        <w:tab/>
        <w:t xml:space="preserve">ينبغي للدولة الطرف أن تكفل </w:t>
      </w:r>
      <w:r w:rsidR="009055B4">
        <w:rPr>
          <w:rFonts w:hint="cs"/>
          <w:b/>
          <w:bCs/>
          <w:rtl/>
          <w:lang w:val="fr-CH"/>
        </w:rPr>
        <w:t>امتثال</w:t>
      </w:r>
      <w:r>
        <w:rPr>
          <w:rFonts w:hint="cs"/>
          <w:b/>
          <w:bCs/>
          <w:rtl/>
          <w:lang w:val="fr-CH"/>
        </w:rPr>
        <w:t xml:space="preserve"> تشريعاتها ولوائحها المتعلقة بحالة الطوارئ بالكامل </w:t>
      </w:r>
      <w:r w:rsidR="009055B4">
        <w:rPr>
          <w:rFonts w:hint="cs"/>
          <w:b/>
          <w:bCs/>
          <w:rtl/>
          <w:lang w:val="fr-CH"/>
        </w:rPr>
        <w:t>ل</w:t>
      </w:r>
      <w:r>
        <w:rPr>
          <w:rFonts w:hint="cs"/>
          <w:b/>
          <w:bCs/>
          <w:rtl/>
          <w:lang w:val="fr-CH"/>
        </w:rPr>
        <w:t xml:space="preserve">أحكام المادة 4 من العهد. </w:t>
      </w:r>
    </w:p>
    <w:p w:rsidR="00A76C08" w:rsidRDefault="00A76C08" w:rsidP="009055B4">
      <w:pPr>
        <w:pStyle w:val="SingleTxtGA"/>
        <w:rPr>
          <w:rFonts w:hint="cs"/>
          <w:rtl/>
          <w:lang w:val="fr-CH"/>
        </w:rPr>
      </w:pPr>
      <w:r>
        <w:rPr>
          <w:rFonts w:hint="cs"/>
          <w:rtl/>
          <w:lang w:val="fr-CH"/>
        </w:rPr>
        <w:t>12-</w:t>
      </w:r>
      <w:r>
        <w:rPr>
          <w:rFonts w:hint="cs"/>
          <w:rtl/>
          <w:lang w:val="fr-CH"/>
        </w:rPr>
        <w:tab/>
        <w:t xml:space="preserve">ويساور اللجنة القلق إزاء استمرار الإفلات من العقاب عن استخدام الشرطة للقوة المفرطة خلال الأحداث التي وقعت في 1 </w:t>
      </w:r>
      <w:r w:rsidRPr="00CA74CD">
        <w:rPr>
          <w:rFonts w:hint="cs"/>
          <w:sz w:val="30"/>
          <w:rtl/>
          <w:lang w:val="fr-CH"/>
        </w:rPr>
        <w:t xml:space="preserve">آذار/مارس </w:t>
      </w:r>
      <w:r>
        <w:rPr>
          <w:rFonts w:hint="cs"/>
          <w:rtl/>
          <w:lang w:val="fr-CH"/>
        </w:rPr>
        <w:t xml:space="preserve">2008، على الرغم من الجهود المبذولة في التحقيق في حالات </w:t>
      </w:r>
      <w:r w:rsidR="009055B4">
        <w:rPr>
          <w:rFonts w:hint="cs"/>
          <w:rtl/>
          <w:lang w:val="fr-CH"/>
        </w:rPr>
        <w:t>الوفاة</w:t>
      </w:r>
      <w:r>
        <w:rPr>
          <w:rFonts w:hint="cs"/>
          <w:rtl/>
          <w:lang w:val="fr-CH"/>
        </w:rPr>
        <w:t xml:space="preserve"> (المواد 6 </w:t>
      </w:r>
      <w:proofErr w:type="spellStart"/>
      <w:r>
        <w:rPr>
          <w:rFonts w:hint="cs"/>
          <w:rtl/>
          <w:lang w:val="fr-CH"/>
        </w:rPr>
        <w:t>و7</w:t>
      </w:r>
      <w:proofErr w:type="spellEnd"/>
      <w:r>
        <w:rPr>
          <w:rFonts w:hint="cs"/>
          <w:rtl/>
          <w:lang w:val="fr-CH"/>
        </w:rPr>
        <w:t xml:space="preserve"> </w:t>
      </w:r>
      <w:proofErr w:type="spellStart"/>
      <w:r>
        <w:rPr>
          <w:rFonts w:hint="cs"/>
          <w:rtl/>
          <w:lang w:val="fr-CH"/>
        </w:rPr>
        <w:t>و14</w:t>
      </w:r>
      <w:proofErr w:type="spellEnd"/>
      <w:r>
        <w:rPr>
          <w:rFonts w:hint="cs"/>
          <w:rtl/>
          <w:lang w:val="fr-CH"/>
        </w:rPr>
        <w:t>).</w:t>
      </w:r>
    </w:p>
    <w:p w:rsidR="00A76C08" w:rsidRPr="003D6AF0" w:rsidRDefault="00A76C08" w:rsidP="004247CF">
      <w:pPr>
        <w:pStyle w:val="SingleTxtGA"/>
        <w:rPr>
          <w:rFonts w:hint="cs"/>
          <w:b/>
          <w:bCs/>
          <w:spacing w:val="-2"/>
          <w:rtl/>
          <w:lang w:val="fr-CH"/>
        </w:rPr>
      </w:pPr>
      <w:r w:rsidRPr="003D6AF0">
        <w:rPr>
          <w:rFonts w:hint="cs"/>
          <w:b/>
          <w:bCs/>
          <w:spacing w:val="-2"/>
          <w:rtl/>
          <w:lang w:val="fr-CH"/>
        </w:rPr>
        <w:tab/>
        <w:t xml:space="preserve">ينبغي للدولة الطرف أن ترسي إجراءات </w:t>
      </w:r>
      <w:r w:rsidR="009055B4" w:rsidRPr="003D6AF0">
        <w:rPr>
          <w:rFonts w:hint="cs"/>
          <w:b/>
          <w:bCs/>
          <w:spacing w:val="-2"/>
          <w:rtl/>
          <w:lang w:val="fr-CH"/>
        </w:rPr>
        <w:t xml:space="preserve">فعالة </w:t>
      </w:r>
      <w:r w:rsidRPr="003D6AF0">
        <w:rPr>
          <w:rFonts w:hint="cs"/>
          <w:b/>
          <w:bCs/>
          <w:spacing w:val="-2"/>
          <w:rtl/>
          <w:lang w:val="fr-CH"/>
        </w:rPr>
        <w:t xml:space="preserve">للتحقيق لضمان أن تتم </w:t>
      </w:r>
      <w:r w:rsidR="009055B4" w:rsidRPr="003D6AF0">
        <w:rPr>
          <w:rFonts w:hint="cs"/>
          <w:b/>
          <w:bCs/>
          <w:spacing w:val="-2"/>
          <w:rtl/>
          <w:lang w:val="fr-CH"/>
        </w:rPr>
        <w:t>ال</w:t>
      </w:r>
      <w:r w:rsidRPr="003D6AF0">
        <w:rPr>
          <w:rFonts w:hint="cs"/>
          <w:b/>
          <w:bCs/>
          <w:spacing w:val="-2"/>
          <w:rtl/>
          <w:lang w:val="fr-CH"/>
        </w:rPr>
        <w:t>مساءلة و</w:t>
      </w:r>
      <w:r w:rsidR="009055B4" w:rsidRPr="003D6AF0">
        <w:rPr>
          <w:rFonts w:hint="cs"/>
          <w:b/>
          <w:bCs/>
          <w:spacing w:val="-2"/>
          <w:rtl/>
          <w:lang w:val="fr-CH"/>
        </w:rPr>
        <w:t>ال</w:t>
      </w:r>
      <w:r w:rsidRPr="003D6AF0">
        <w:rPr>
          <w:rFonts w:hint="cs"/>
          <w:b/>
          <w:bCs/>
          <w:spacing w:val="-2"/>
          <w:rtl/>
          <w:lang w:val="fr-CH"/>
        </w:rPr>
        <w:t xml:space="preserve">معاقبة </w:t>
      </w:r>
      <w:r w:rsidR="009055B4" w:rsidRPr="003D6AF0">
        <w:rPr>
          <w:rFonts w:hint="cs"/>
          <w:b/>
          <w:bCs/>
          <w:spacing w:val="-2"/>
          <w:rtl/>
          <w:lang w:val="fr-CH"/>
        </w:rPr>
        <w:t>المناسبة ل</w:t>
      </w:r>
      <w:r w:rsidRPr="003D6AF0">
        <w:rPr>
          <w:rFonts w:hint="cs"/>
          <w:b/>
          <w:bCs/>
          <w:spacing w:val="-2"/>
          <w:rtl/>
          <w:lang w:val="fr-CH"/>
        </w:rPr>
        <w:t xml:space="preserve">لموظفين المكلفين بإنفاذ القانون الذين ثبتت مسؤوليتهم عن استخدام القوة المفرطة أثناء الأحداث التي وقعت في 1 آذار/مارس 2008، بما في ذلك الأشخاص المنوطة بهم مسؤولية قيادية. وينبغي للدولة الطرف أيضاً أن تكفل تلقي ضحايا هذه الأفعال </w:t>
      </w:r>
      <w:r w:rsidR="004247CF">
        <w:rPr>
          <w:rFonts w:hint="cs"/>
          <w:b/>
          <w:bCs/>
          <w:spacing w:val="-2"/>
          <w:rtl/>
          <w:lang w:val="fr-CH"/>
        </w:rPr>
        <w:t>تعويضاً</w:t>
      </w:r>
      <w:r w:rsidRPr="003D6AF0">
        <w:rPr>
          <w:rFonts w:hint="cs"/>
          <w:b/>
          <w:bCs/>
          <w:spacing w:val="-2"/>
          <w:rtl/>
          <w:lang w:val="fr-CH"/>
        </w:rPr>
        <w:t xml:space="preserve"> مناسباً، و</w:t>
      </w:r>
      <w:r w:rsidR="003D6AF0" w:rsidRPr="003D6AF0">
        <w:rPr>
          <w:rFonts w:hint="cs"/>
          <w:b/>
          <w:bCs/>
          <w:spacing w:val="-2"/>
          <w:rtl/>
          <w:lang w:val="fr-CH"/>
        </w:rPr>
        <w:t xml:space="preserve">إمكانية حصولهم على </w:t>
      </w:r>
      <w:r w:rsidRPr="003D6AF0">
        <w:rPr>
          <w:rFonts w:hint="cs"/>
          <w:b/>
          <w:bCs/>
          <w:spacing w:val="-2"/>
          <w:rtl/>
          <w:lang w:val="fr-CH"/>
        </w:rPr>
        <w:t>إعادة التأهيل الطبي والنفسي</w:t>
      </w:r>
      <w:r w:rsidR="003D6AF0" w:rsidRPr="003D6AF0">
        <w:rPr>
          <w:rFonts w:hint="cs"/>
          <w:b/>
          <w:bCs/>
          <w:spacing w:val="-2"/>
          <w:rtl/>
          <w:lang w:val="fr-CH"/>
        </w:rPr>
        <w:t xml:space="preserve"> على النحو الملائم</w:t>
      </w:r>
      <w:r w:rsidRPr="003D6AF0">
        <w:rPr>
          <w:rFonts w:hint="cs"/>
          <w:b/>
          <w:bCs/>
          <w:spacing w:val="-2"/>
          <w:rtl/>
          <w:lang w:val="fr-CH"/>
        </w:rPr>
        <w:t xml:space="preserve">. </w:t>
      </w:r>
    </w:p>
    <w:p w:rsidR="00A76C08" w:rsidRPr="00FB701F" w:rsidRDefault="00A76C08" w:rsidP="00FB701F">
      <w:pPr>
        <w:pStyle w:val="SingleTxtGA"/>
        <w:rPr>
          <w:rFonts w:hint="cs"/>
          <w:spacing w:val="-2"/>
          <w:rtl/>
          <w:lang w:val="fr-CH"/>
        </w:rPr>
      </w:pPr>
      <w:r>
        <w:rPr>
          <w:rFonts w:hint="cs"/>
          <w:rtl/>
          <w:lang w:val="fr-CH"/>
        </w:rPr>
        <w:t>13</w:t>
      </w:r>
      <w:r w:rsidRPr="00FB701F">
        <w:rPr>
          <w:rFonts w:hint="cs"/>
          <w:spacing w:val="-2"/>
          <w:rtl/>
          <w:lang w:val="fr-CH"/>
        </w:rPr>
        <w:t>-</w:t>
      </w:r>
      <w:r w:rsidRPr="00FB701F">
        <w:rPr>
          <w:rFonts w:hint="cs"/>
          <w:spacing w:val="-2"/>
          <w:rtl/>
          <w:lang w:val="fr-CH"/>
        </w:rPr>
        <w:tab/>
        <w:t xml:space="preserve">ويساور اللجنة القلق إزاء انعدام مساءلة الموظفين المكلفين بإنفاذ القانون في حالة الاستخدام المفرط للقوة، وانعدام آلية مستقلة للتحقيق في أفعال الاعتداء من جانب الشرطة على الرغم من اعتماد برنامج لإصلاح جهاز الشرطة للفترة 2010-2011 (المادتان 6 </w:t>
      </w:r>
      <w:proofErr w:type="spellStart"/>
      <w:r w:rsidRPr="00FB701F">
        <w:rPr>
          <w:rFonts w:hint="cs"/>
          <w:spacing w:val="-2"/>
          <w:rtl/>
          <w:lang w:val="fr-CH"/>
        </w:rPr>
        <w:t>و7</w:t>
      </w:r>
      <w:proofErr w:type="spellEnd"/>
      <w:r w:rsidRPr="00FB701F">
        <w:rPr>
          <w:rFonts w:hint="cs"/>
          <w:spacing w:val="-2"/>
          <w:rtl/>
          <w:lang w:val="fr-CH"/>
        </w:rPr>
        <w:t>).</w:t>
      </w:r>
    </w:p>
    <w:p w:rsidR="00A76C08" w:rsidRPr="001C69D9" w:rsidRDefault="00A76C08" w:rsidP="003D6AF0">
      <w:pPr>
        <w:pStyle w:val="SingleTxtGA"/>
        <w:rPr>
          <w:rFonts w:hint="cs"/>
          <w:b/>
          <w:bCs/>
          <w:rtl/>
          <w:lang w:val="fr-CH"/>
        </w:rPr>
      </w:pPr>
      <w:r w:rsidRPr="00A76C08">
        <w:rPr>
          <w:rFonts w:hint="cs"/>
          <w:b/>
          <w:bCs/>
          <w:rtl/>
          <w:lang w:val="fr-CH"/>
        </w:rPr>
        <w:tab/>
      </w:r>
      <w:r w:rsidRPr="001C69D9">
        <w:rPr>
          <w:rFonts w:hint="cs"/>
          <w:b/>
          <w:bCs/>
          <w:rtl/>
          <w:lang w:val="fr-CH"/>
        </w:rPr>
        <w:t xml:space="preserve">ينبغي للدولة الطرف أن تنفذ آليات فعالة للاختيار والتدريب والرصد الداخلي والمساءلة المستقلة، لقوات الشرطة لضمان الاحترام الكامل لحقوق الإنسان. وينبغي لها أن تكفل </w:t>
      </w:r>
      <w:r w:rsidR="003D6AF0">
        <w:rPr>
          <w:rFonts w:hint="cs"/>
          <w:b/>
          <w:bCs/>
          <w:rtl/>
          <w:lang w:val="fr-CH"/>
        </w:rPr>
        <w:t>توافق</w:t>
      </w:r>
      <w:r w:rsidRPr="001C69D9">
        <w:rPr>
          <w:rFonts w:hint="cs"/>
          <w:b/>
          <w:bCs/>
          <w:rtl/>
          <w:lang w:val="fr-CH"/>
        </w:rPr>
        <w:t xml:space="preserve"> تشريعها ولوائحها مع متطلبات الحق في الحياة، ولا سيما على النحو الذي تعكسه مبادئ الأمم المتحدة الأساسية بشأن استخدام القوة والأسلحة النارية من جانب الموظفين المكلفين بإنفاذ القوانين.</w:t>
      </w:r>
      <w:r w:rsidR="002F3E80">
        <w:rPr>
          <w:rFonts w:hint="cs"/>
          <w:b/>
          <w:bCs/>
          <w:rtl/>
          <w:lang w:val="fr-CH"/>
        </w:rPr>
        <w:t xml:space="preserve"> </w:t>
      </w:r>
      <w:r w:rsidRPr="001C69D9">
        <w:rPr>
          <w:rFonts w:hint="cs"/>
          <w:b/>
          <w:bCs/>
          <w:rtl/>
          <w:lang w:val="fr-CH"/>
        </w:rPr>
        <w:t>وفضلاً عن ذلك ينبغي للدولة الطرف أن تكفل التحقيق في جميع التجاوزات التي يرتكبها أفراد وكالات إنفاذ القوانين والمعاقبة عليها.</w:t>
      </w:r>
    </w:p>
    <w:p w:rsidR="00A76C08" w:rsidRDefault="00A76C08" w:rsidP="002F3E80">
      <w:pPr>
        <w:pStyle w:val="SingleTxtGA"/>
        <w:rPr>
          <w:rFonts w:hint="cs"/>
          <w:rtl/>
          <w:lang w:val="fr-CH"/>
        </w:rPr>
      </w:pPr>
      <w:r>
        <w:rPr>
          <w:rFonts w:hint="cs"/>
          <w:rtl/>
          <w:lang w:val="fr-CH"/>
        </w:rPr>
        <w:t>14-</w:t>
      </w:r>
      <w:r>
        <w:rPr>
          <w:rFonts w:hint="cs"/>
          <w:rtl/>
          <w:lang w:val="fr-CH"/>
        </w:rPr>
        <w:tab/>
        <w:t xml:space="preserve">يساور اللجنة القلق إزاء عدم وجود آلية حقيقية مستقلة خاصة بالشكاوى لمعالجة الحالات التي تنطوي على مزاعم بالتعذيب </w:t>
      </w:r>
      <w:r w:rsidR="002F3E80">
        <w:rPr>
          <w:rFonts w:hint="cs"/>
          <w:rtl/>
          <w:lang w:val="fr-CH"/>
        </w:rPr>
        <w:t>أ</w:t>
      </w:r>
      <w:r>
        <w:rPr>
          <w:rFonts w:hint="cs"/>
          <w:rtl/>
          <w:lang w:val="fr-CH"/>
        </w:rPr>
        <w:t>و</w:t>
      </w:r>
      <w:r w:rsidR="002F3E80">
        <w:rPr>
          <w:rFonts w:hint="cs"/>
          <w:rtl/>
          <w:lang w:val="fr-CH"/>
        </w:rPr>
        <w:t xml:space="preserve"> </w:t>
      </w:r>
      <w:r>
        <w:rPr>
          <w:rFonts w:hint="cs"/>
          <w:rtl/>
          <w:lang w:val="fr-CH"/>
        </w:rPr>
        <w:t>سوء المعاملة في أم</w:t>
      </w:r>
      <w:r w:rsidR="002F3E80">
        <w:rPr>
          <w:rFonts w:hint="cs"/>
          <w:rtl/>
          <w:lang w:val="fr-CH"/>
        </w:rPr>
        <w:t>ا</w:t>
      </w:r>
      <w:r>
        <w:rPr>
          <w:rFonts w:hint="cs"/>
          <w:rtl/>
          <w:lang w:val="fr-CH"/>
        </w:rPr>
        <w:t>كن الحرمان من الحرية</w:t>
      </w:r>
      <w:r w:rsidR="002F3E80">
        <w:rPr>
          <w:rFonts w:hint="cs"/>
          <w:rtl/>
          <w:lang w:val="fr-CH"/>
        </w:rPr>
        <w:t>،</w:t>
      </w:r>
      <w:r>
        <w:rPr>
          <w:rFonts w:hint="cs"/>
          <w:rtl/>
          <w:lang w:val="fr-CH"/>
        </w:rPr>
        <w:t xml:space="preserve"> وكذلك لانخفاض عدد المحاكمات في هذه الحالات (المادتان 7 </w:t>
      </w:r>
      <w:proofErr w:type="spellStart"/>
      <w:r>
        <w:rPr>
          <w:rFonts w:hint="cs"/>
          <w:rtl/>
          <w:lang w:val="fr-CH"/>
        </w:rPr>
        <w:t>و14</w:t>
      </w:r>
      <w:proofErr w:type="spellEnd"/>
      <w:r>
        <w:rPr>
          <w:rFonts w:hint="cs"/>
          <w:rtl/>
          <w:lang w:val="fr-CH"/>
        </w:rPr>
        <w:t>).</w:t>
      </w:r>
    </w:p>
    <w:p w:rsidR="00A76C08" w:rsidRPr="005974B5" w:rsidRDefault="006C4C1A" w:rsidP="00A76C08">
      <w:pPr>
        <w:pStyle w:val="SingleTxtGA"/>
        <w:rPr>
          <w:rFonts w:hint="cs"/>
          <w:b/>
          <w:bCs/>
          <w:rtl/>
          <w:lang w:val="fr-CH"/>
        </w:rPr>
      </w:pPr>
      <w:r>
        <w:rPr>
          <w:rFonts w:hint="cs"/>
          <w:b/>
          <w:bCs/>
          <w:rtl/>
          <w:lang w:val="fr-CH"/>
        </w:rPr>
        <w:tab/>
      </w:r>
      <w:r w:rsidR="00A76C08" w:rsidRPr="005974B5">
        <w:rPr>
          <w:rFonts w:hint="cs"/>
          <w:b/>
          <w:bCs/>
          <w:rtl/>
          <w:lang w:val="fr-CH"/>
        </w:rPr>
        <w:t xml:space="preserve">ينبغي للدولة الطرف أن تنشئ نظاماً مستقلاً لتلقي وتجهيز الشكاوى المتعلقة بالتعذيب أو سوء المعاملة في جميع أماكن الحرمان من الحرية، وأن تضمن المقاضاة والمعاقبة على </w:t>
      </w:r>
      <w:r w:rsidR="00A76C08">
        <w:rPr>
          <w:rFonts w:hint="cs"/>
          <w:b/>
          <w:bCs/>
          <w:rtl/>
          <w:lang w:val="fr-CH"/>
        </w:rPr>
        <w:t>أ</w:t>
      </w:r>
      <w:r w:rsidR="00A76C08" w:rsidRPr="005974B5">
        <w:rPr>
          <w:rFonts w:hint="cs"/>
          <w:b/>
          <w:bCs/>
          <w:rtl/>
          <w:lang w:val="fr-CH"/>
        </w:rPr>
        <w:t>ي فعل من أفعال التعذيب أو المعاملة القاسية أو اللاإنسانية أو المهينة بما يتناسب وخطورة الفعل.</w:t>
      </w:r>
    </w:p>
    <w:p w:rsidR="00A76C08" w:rsidRDefault="006C4C1A" w:rsidP="004247CF">
      <w:pPr>
        <w:pStyle w:val="SingleTxtGA"/>
        <w:rPr>
          <w:rFonts w:hint="cs"/>
          <w:rtl/>
          <w:lang w:val="fr-CH"/>
        </w:rPr>
      </w:pPr>
      <w:r>
        <w:rPr>
          <w:rFonts w:hint="cs"/>
          <w:rtl/>
          <w:lang w:val="fr-CH"/>
        </w:rPr>
        <w:t>15-</w:t>
      </w:r>
      <w:r>
        <w:rPr>
          <w:rFonts w:hint="cs"/>
          <w:rtl/>
          <w:lang w:val="fr-CH"/>
        </w:rPr>
        <w:tab/>
      </w:r>
      <w:r w:rsidR="00A76C08">
        <w:rPr>
          <w:rFonts w:hint="cs"/>
          <w:rtl/>
          <w:lang w:val="fr-CH"/>
        </w:rPr>
        <w:t>ويساور اللجنة القلق إزاء حالات الوفاة المشبوهة في القوات المسلحة الأرمينية في ظروف غير قتالية وإزاء الممارسة المزعومة بالتنكيل</w:t>
      </w:r>
      <w:r>
        <w:rPr>
          <w:rFonts w:hint="cs"/>
          <w:rtl/>
          <w:lang w:val="fr-CH"/>
        </w:rPr>
        <w:t>،</w:t>
      </w:r>
      <w:r w:rsidR="00A76C08">
        <w:rPr>
          <w:rFonts w:hint="cs"/>
          <w:rtl/>
          <w:lang w:val="fr-CH"/>
        </w:rPr>
        <w:t xml:space="preserve"> و</w:t>
      </w:r>
      <w:r>
        <w:rPr>
          <w:rFonts w:hint="cs"/>
          <w:rtl/>
          <w:lang w:val="fr-CH"/>
        </w:rPr>
        <w:t>وجود أشكال أخرى ل</w:t>
      </w:r>
      <w:r w:rsidR="00A76C08">
        <w:rPr>
          <w:rFonts w:hint="cs"/>
          <w:rtl/>
          <w:lang w:val="fr-CH"/>
        </w:rPr>
        <w:t>إساءة معاملة المجندين من جانب الضباط ونظرائهم الجنود</w:t>
      </w:r>
      <w:r>
        <w:rPr>
          <w:rFonts w:hint="cs"/>
          <w:rtl/>
          <w:lang w:val="fr-CH"/>
        </w:rPr>
        <w:t xml:space="preserve"> </w:t>
      </w:r>
      <w:r w:rsidR="00A76C08">
        <w:rPr>
          <w:rFonts w:hint="cs"/>
          <w:rtl/>
          <w:lang w:val="fr-CH"/>
        </w:rPr>
        <w:t xml:space="preserve">(المادتان 6 </w:t>
      </w:r>
      <w:proofErr w:type="spellStart"/>
      <w:r w:rsidR="00A76C08">
        <w:rPr>
          <w:rFonts w:hint="cs"/>
          <w:rtl/>
          <w:lang w:val="fr-CH"/>
        </w:rPr>
        <w:t>و7</w:t>
      </w:r>
      <w:proofErr w:type="spellEnd"/>
      <w:r w:rsidR="00A76C08">
        <w:rPr>
          <w:rFonts w:hint="cs"/>
          <w:rtl/>
          <w:lang w:val="fr-CH"/>
        </w:rPr>
        <w:t>).</w:t>
      </w:r>
    </w:p>
    <w:p w:rsidR="00A76C08" w:rsidRPr="005974B5" w:rsidRDefault="006C4C1A" w:rsidP="006C4C1A">
      <w:pPr>
        <w:pStyle w:val="SingleTxtGA"/>
        <w:rPr>
          <w:rFonts w:hint="cs"/>
          <w:b/>
          <w:bCs/>
          <w:rtl/>
          <w:lang w:val="fr-CH"/>
        </w:rPr>
      </w:pPr>
      <w:r>
        <w:rPr>
          <w:rFonts w:hint="cs"/>
          <w:b/>
          <w:bCs/>
          <w:rtl/>
          <w:lang w:val="fr-CH"/>
        </w:rPr>
        <w:tab/>
      </w:r>
      <w:r w:rsidR="00A76C08" w:rsidRPr="005974B5">
        <w:rPr>
          <w:rFonts w:hint="cs"/>
          <w:b/>
          <w:bCs/>
          <w:rtl/>
          <w:lang w:val="fr-CH"/>
        </w:rPr>
        <w:t xml:space="preserve">ينبغي للدولة الطرف القضاء على </w:t>
      </w:r>
      <w:r w:rsidR="00A76C08">
        <w:rPr>
          <w:rFonts w:hint="cs"/>
          <w:b/>
          <w:bCs/>
          <w:rtl/>
          <w:lang w:val="fr-CH"/>
        </w:rPr>
        <w:t xml:space="preserve">ممارسة التنكيل </w:t>
      </w:r>
      <w:r w:rsidR="00A76C08" w:rsidRPr="005974B5">
        <w:rPr>
          <w:rFonts w:hint="cs"/>
          <w:b/>
          <w:bCs/>
          <w:rtl/>
          <w:lang w:val="fr-CH"/>
        </w:rPr>
        <w:t xml:space="preserve">وغيره من </w:t>
      </w:r>
      <w:r>
        <w:rPr>
          <w:rFonts w:hint="cs"/>
          <w:b/>
          <w:bCs/>
          <w:rtl/>
          <w:lang w:val="fr-CH"/>
        </w:rPr>
        <w:t xml:space="preserve">أشكال </w:t>
      </w:r>
      <w:r w:rsidR="00A76C08">
        <w:rPr>
          <w:rFonts w:hint="cs"/>
          <w:b/>
          <w:bCs/>
          <w:rtl/>
          <w:lang w:val="fr-CH"/>
        </w:rPr>
        <w:t>إ</w:t>
      </w:r>
      <w:r w:rsidR="00A76C08" w:rsidRPr="005974B5">
        <w:rPr>
          <w:rFonts w:hint="cs"/>
          <w:b/>
          <w:bCs/>
          <w:rtl/>
          <w:lang w:val="fr-CH"/>
        </w:rPr>
        <w:t>س</w:t>
      </w:r>
      <w:r w:rsidR="00A76C08">
        <w:rPr>
          <w:rFonts w:hint="cs"/>
          <w:b/>
          <w:bCs/>
          <w:rtl/>
          <w:lang w:val="fr-CH"/>
        </w:rPr>
        <w:t>ا</w:t>
      </w:r>
      <w:r w:rsidR="00A76C08" w:rsidRPr="005974B5">
        <w:rPr>
          <w:rFonts w:hint="cs"/>
          <w:b/>
          <w:bCs/>
          <w:rtl/>
          <w:lang w:val="fr-CH"/>
        </w:rPr>
        <w:t>ء</w:t>
      </w:r>
      <w:r w:rsidR="00A76C08">
        <w:rPr>
          <w:rFonts w:hint="cs"/>
          <w:b/>
          <w:bCs/>
          <w:rtl/>
          <w:lang w:val="fr-CH"/>
        </w:rPr>
        <w:t>ة ال</w:t>
      </w:r>
      <w:r w:rsidR="00A76C08" w:rsidRPr="005974B5">
        <w:rPr>
          <w:rFonts w:hint="cs"/>
          <w:b/>
          <w:bCs/>
          <w:rtl/>
          <w:lang w:val="fr-CH"/>
        </w:rPr>
        <w:t xml:space="preserve">معاملة في القوات المسلحة. وينبغي للدولة الطرف </w:t>
      </w:r>
      <w:r w:rsidR="00A76C08">
        <w:rPr>
          <w:rFonts w:hint="cs"/>
          <w:b/>
          <w:bCs/>
          <w:rtl/>
          <w:lang w:val="fr-CH"/>
        </w:rPr>
        <w:t xml:space="preserve">أن تكفل </w:t>
      </w:r>
      <w:r w:rsidR="00A76C08" w:rsidRPr="005974B5">
        <w:rPr>
          <w:rFonts w:hint="cs"/>
          <w:b/>
          <w:bCs/>
          <w:rtl/>
          <w:lang w:val="fr-CH"/>
        </w:rPr>
        <w:t xml:space="preserve">التحقيق </w:t>
      </w:r>
      <w:r w:rsidR="00A76C08">
        <w:rPr>
          <w:rFonts w:hint="cs"/>
          <w:b/>
          <w:bCs/>
          <w:rtl/>
          <w:lang w:val="fr-CH"/>
        </w:rPr>
        <w:t xml:space="preserve">الشامل </w:t>
      </w:r>
      <w:r w:rsidR="00A76C08" w:rsidRPr="005974B5">
        <w:rPr>
          <w:rFonts w:hint="cs"/>
          <w:b/>
          <w:bCs/>
          <w:rtl/>
          <w:lang w:val="fr-CH"/>
        </w:rPr>
        <w:t>في جميع ا</w:t>
      </w:r>
      <w:r w:rsidR="00A76C08">
        <w:rPr>
          <w:rFonts w:hint="cs"/>
          <w:b/>
          <w:bCs/>
          <w:rtl/>
          <w:lang w:val="fr-CH"/>
        </w:rPr>
        <w:t>لا</w:t>
      </w:r>
      <w:r w:rsidR="00A76C08" w:rsidRPr="005974B5">
        <w:rPr>
          <w:rFonts w:hint="cs"/>
          <w:b/>
          <w:bCs/>
          <w:rtl/>
          <w:lang w:val="fr-CH"/>
        </w:rPr>
        <w:t xml:space="preserve">دعاءات </w:t>
      </w:r>
      <w:r w:rsidR="00A76C08">
        <w:rPr>
          <w:rFonts w:hint="cs"/>
          <w:b/>
          <w:bCs/>
          <w:rtl/>
          <w:lang w:val="fr-CH"/>
        </w:rPr>
        <w:t>بممارسة التنكيل</w:t>
      </w:r>
      <w:r w:rsidR="00A76C08" w:rsidRPr="005974B5">
        <w:rPr>
          <w:rFonts w:hint="cs"/>
          <w:b/>
          <w:bCs/>
          <w:rtl/>
          <w:lang w:val="fr-CH"/>
        </w:rPr>
        <w:t xml:space="preserve"> وحالات الوف</w:t>
      </w:r>
      <w:r w:rsidR="00A76C08">
        <w:rPr>
          <w:rFonts w:hint="cs"/>
          <w:b/>
          <w:bCs/>
          <w:rtl/>
          <w:lang w:val="fr-CH"/>
        </w:rPr>
        <w:t>اة</w:t>
      </w:r>
      <w:r w:rsidR="00A76C08" w:rsidRPr="005974B5">
        <w:rPr>
          <w:rFonts w:hint="cs"/>
          <w:b/>
          <w:bCs/>
          <w:rtl/>
          <w:lang w:val="fr-CH"/>
        </w:rPr>
        <w:t xml:space="preserve"> </w:t>
      </w:r>
      <w:r w:rsidR="00A76C08">
        <w:rPr>
          <w:rFonts w:hint="cs"/>
          <w:b/>
          <w:bCs/>
          <w:rtl/>
          <w:lang w:val="fr-CH"/>
        </w:rPr>
        <w:t>في ظروف غير قتالية</w:t>
      </w:r>
      <w:r w:rsidR="00A76C08" w:rsidRPr="005974B5">
        <w:rPr>
          <w:rFonts w:hint="cs"/>
          <w:b/>
          <w:bCs/>
          <w:rtl/>
          <w:lang w:val="fr-CH"/>
        </w:rPr>
        <w:t xml:space="preserve"> في الجيش، ومقاضاة ومعاقبة الجناة</w:t>
      </w:r>
      <w:r w:rsidR="00A76C08">
        <w:rPr>
          <w:rFonts w:hint="cs"/>
          <w:b/>
          <w:bCs/>
          <w:rtl/>
          <w:lang w:val="fr-CH"/>
        </w:rPr>
        <w:t>،</w:t>
      </w:r>
      <w:r w:rsidR="00A76C08" w:rsidRPr="005974B5">
        <w:rPr>
          <w:rFonts w:hint="cs"/>
          <w:b/>
          <w:bCs/>
          <w:rtl/>
          <w:lang w:val="fr-CH"/>
        </w:rPr>
        <w:t xml:space="preserve"> و</w:t>
      </w:r>
      <w:r>
        <w:rPr>
          <w:rFonts w:hint="cs"/>
          <w:b/>
          <w:bCs/>
          <w:rtl/>
          <w:lang w:val="fr-CH"/>
        </w:rPr>
        <w:t>حص</w:t>
      </w:r>
      <w:r w:rsidR="00A76C08" w:rsidRPr="005974B5">
        <w:rPr>
          <w:rFonts w:hint="cs"/>
          <w:b/>
          <w:bCs/>
          <w:rtl/>
          <w:lang w:val="fr-CH"/>
        </w:rPr>
        <w:t xml:space="preserve">ول الضحايا </w:t>
      </w:r>
      <w:r>
        <w:rPr>
          <w:rFonts w:hint="cs"/>
          <w:b/>
          <w:bCs/>
          <w:rtl/>
          <w:lang w:val="fr-CH"/>
        </w:rPr>
        <w:t>على</w:t>
      </w:r>
      <w:r w:rsidR="00A76C08" w:rsidRPr="005974B5">
        <w:rPr>
          <w:rFonts w:hint="cs"/>
          <w:b/>
          <w:bCs/>
          <w:rtl/>
          <w:lang w:val="fr-CH"/>
        </w:rPr>
        <w:t xml:space="preserve"> التعويض وإعادة التأهيل</w:t>
      </w:r>
      <w:r w:rsidR="00A76C08">
        <w:rPr>
          <w:rFonts w:hint="cs"/>
          <w:b/>
          <w:bCs/>
          <w:rtl/>
          <w:lang w:val="fr-CH"/>
        </w:rPr>
        <w:t>،</w:t>
      </w:r>
      <w:r w:rsidR="00A76C08" w:rsidRPr="005974B5">
        <w:rPr>
          <w:rFonts w:hint="cs"/>
          <w:b/>
          <w:bCs/>
          <w:rtl/>
          <w:lang w:val="fr-CH"/>
        </w:rPr>
        <w:t xml:space="preserve"> بما في ذلك من خلال المساعدة الطبية والنفسية المناسبة.</w:t>
      </w:r>
    </w:p>
    <w:p w:rsidR="00A76C08" w:rsidRDefault="00A76C08" w:rsidP="006C4C1A">
      <w:pPr>
        <w:pStyle w:val="SingleTxtGA"/>
        <w:rPr>
          <w:rFonts w:hint="cs"/>
          <w:rtl/>
          <w:lang w:val="fr-CH"/>
        </w:rPr>
      </w:pPr>
      <w:r>
        <w:rPr>
          <w:rFonts w:hint="cs"/>
          <w:rtl/>
          <w:lang w:val="fr-CH"/>
        </w:rPr>
        <w:t>16</w:t>
      </w:r>
      <w:r w:rsidRPr="006C4C1A">
        <w:rPr>
          <w:rFonts w:hint="cs"/>
          <w:spacing w:val="-2"/>
          <w:rtl/>
          <w:lang w:val="fr-CH"/>
        </w:rPr>
        <w:t>-</w:t>
      </w:r>
      <w:r w:rsidRPr="006C4C1A">
        <w:rPr>
          <w:rFonts w:hint="cs"/>
          <w:spacing w:val="-2"/>
          <w:rtl/>
          <w:lang w:val="fr-CH"/>
        </w:rPr>
        <w:tab/>
        <w:t xml:space="preserve">ويساور اللجنة القلق لعدم وجود معلومات وبيانات إحصائية </w:t>
      </w:r>
      <w:r w:rsidR="006C4C1A" w:rsidRPr="006C4C1A">
        <w:rPr>
          <w:rFonts w:hint="cs"/>
          <w:spacing w:val="-2"/>
          <w:rtl/>
          <w:lang w:val="fr-CH"/>
        </w:rPr>
        <w:t xml:space="preserve">متاحة </w:t>
      </w:r>
      <w:r w:rsidRPr="006C4C1A">
        <w:rPr>
          <w:rFonts w:hint="cs"/>
          <w:spacing w:val="-2"/>
          <w:rtl/>
          <w:lang w:val="fr-CH"/>
        </w:rPr>
        <w:t>عن الاتجار بالأشخاص لتقييم نطاق هذه الظاهرة وفعالية البرامج والاستراتيجيات المنفذة حالياً (المادة 8).</w:t>
      </w:r>
    </w:p>
    <w:p w:rsidR="00A76C08" w:rsidRPr="005974B5" w:rsidRDefault="006C4C1A" w:rsidP="006C4C1A">
      <w:pPr>
        <w:pStyle w:val="SingleTxtGA"/>
        <w:rPr>
          <w:rFonts w:hint="cs"/>
          <w:b/>
          <w:bCs/>
          <w:rtl/>
          <w:lang w:val="fr-CH"/>
        </w:rPr>
      </w:pPr>
      <w:r>
        <w:rPr>
          <w:rFonts w:hint="cs"/>
          <w:b/>
          <w:bCs/>
          <w:rtl/>
          <w:lang w:val="fr-CH"/>
        </w:rPr>
        <w:tab/>
      </w:r>
      <w:r w:rsidR="00A76C08" w:rsidRPr="005974B5">
        <w:rPr>
          <w:rFonts w:hint="cs"/>
          <w:b/>
          <w:bCs/>
          <w:rtl/>
          <w:lang w:val="fr-CH"/>
        </w:rPr>
        <w:t>ينبغي للدولة الطرف أن تنشئ قاعدة بيانات رسمية عن عدد حالات الاتجار بالأشخاص، وخصائصها</w:t>
      </w:r>
      <w:r>
        <w:rPr>
          <w:rFonts w:hint="cs"/>
          <w:b/>
          <w:bCs/>
          <w:rtl/>
          <w:lang w:val="fr-CH"/>
        </w:rPr>
        <w:t>،</w:t>
      </w:r>
      <w:r w:rsidR="00A76C08" w:rsidRPr="005974B5">
        <w:rPr>
          <w:rFonts w:hint="cs"/>
          <w:b/>
          <w:bCs/>
          <w:rtl/>
          <w:lang w:val="fr-CH"/>
        </w:rPr>
        <w:t xml:space="preserve"> وكيفية قيام السلطات القضائية </w:t>
      </w:r>
      <w:r>
        <w:rPr>
          <w:rFonts w:hint="cs"/>
          <w:b/>
          <w:bCs/>
          <w:rtl/>
          <w:lang w:val="fr-CH"/>
        </w:rPr>
        <w:t>بمواجهتها،</w:t>
      </w:r>
      <w:r w:rsidR="00A76C08" w:rsidRPr="005974B5">
        <w:rPr>
          <w:rFonts w:hint="cs"/>
          <w:b/>
          <w:bCs/>
          <w:rtl/>
          <w:lang w:val="fr-CH"/>
        </w:rPr>
        <w:t xml:space="preserve"> وسبل الانتصاف المتاحة أمام الضحايا والتعويضات المقدمة إليهم. وينبغي للدولة الطرف</w:t>
      </w:r>
      <w:r>
        <w:rPr>
          <w:rFonts w:hint="cs"/>
          <w:b/>
          <w:bCs/>
          <w:rtl/>
          <w:lang w:val="fr-CH"/>
        </w:rPr>
        <w:t xml:space="preserve"> أيضاً </w:t>
      </w:r>
      <w:r w:rsidR="00A76C08" w:rsidRPr="005974B5">
        <w:rPr>
          <w:rFonts w:hint="cs"/>
          <w:b/>
          <w:bCs/>
          <w:rtl/>
          <w:lang w:val="fr-CH"/>
        </w:rPr>
        <w:t>أن ت</w:t>
      </w:r>
      <w:r w:rsidR="00A76C08">
        <w:rPr>
          <w:rFonts w:hint="cs"/>
          <w:b/>
          <w:bCs/>
          <w:rtl/>
          <w:lang w:val="fr-CH"/>
        </w:rPr>
        <w:t>رسي</w:t>
      </w:r>
      <w:r w:rsidR="00A76C08" w:rsidRPr="005974B5">
        <w:rPr>
          <w:rFonts w:hint="cs"/>
          <w:b/>
          <w:bCs/>
          <w:rtl/>
          <w:lang w:val="fr-CH"/>
        </w:rPr>
        <w:t xml:space="preserve"> إجراءً للرصد لتقييم نتائج التدابير والاستراتيجيات المعتمدة لمنع الاتجار بالأشخاص والمعاقبة عليه.</w:t>
      </w:r>
    </w:p>
    <w:p w:rsidR="00A76C08" w:rsidRDefault="00A76C08" w:rsidP="00812D69">
      <w:pPr>
        <w:pStyle w:val="SingleTxtGA"/>
        <w:rPr>
          <w:rFonts w:hint="cs"/>
          <w:rtl/>
          <w:lang w:val="fr-CH"/>
        </w:rPr>
      </w:pPr>
      <w:r>
        <w:rPr>
          <w:rFonts w:hint="cs"/>
          <w:rtl/>
          <w:lang w:val="fr-CH"/>
        </w:rPr>
        <w:t>17-</w:t>
      </w:r>
      <w:r>
        <w:rPr>
          <w:rFonts w:hint="cs"/>
          <w:rtl/>
          <w:lang w:val="fr-CH"/>
        </w:rPr>
        <w:tab/>
        <w:t>ويساور اللجنة القلق إزاء حالة ملتمسي اللجوء الذين يتم مقاضاتهم ومعاقبتهم بموجب المادة 329 من القانون الجنائي وذلك لمجرد دخولهم إلى أرمينيا بصورة غير قانونية</w:t>
      </w:r>
      <w:r w:rsidR="006C4C1A">
        <w:rPr>
          <w:rFonts w:hint="cs"/>
          <w:rtl/>
          <w:lang w:val="fr-CH"/>
        </w:rPr>
        <w:t>،</w:t>
      </w:r>
      <w:r>
        <w:rPr>
          <w:rFonts w:hint="cs"/>
          <w:rtl/>
          <w:lang w:val="fr-CH"/>
        </w:rPr>
        <w:t xml:space="preserve"> على الرغم من أنهم عر</w:t>
      </w:r>
      <w:r w:rsidR="00354DC3">
        <w:rPr>
          <w:rFonts w:hint="cs"/>
          <w:rtl/>
          <w:lang w:val="fr-CH"/>
        </w:rPr>
        <w:t>ّ</w:t>
      </w:r>
      <w:r>
        <w:rPr>
          <w:rFonts w:hint="cs"/>
          <w:rtl/>
          <w:lang w:val="fr-CH"/>
        </w:rPr>
        <w:t xml:space="preserve">فوا أنفسهم </w:t>
      </w:r>
      <w:r w:rsidR="00354DC3">
        <w:rPr>
          <w:rFonts w:hint="cs"/>
          <w:rtl/>
          <w:lang w:val="fr-CH"/>
        </w:rPr>
        <w:t xml:space="preserve">على </w:t>
      </w:r>
      <w:r>
        <w:rPr>
          <w:rFonts w:hint="cs"/>
          <w:rtl/>
          <w:lang w:val="fr-CH"/>
        </w:rPr>
        <w:t xml:space="preserve">أنهم ملتمسو لجوء (المادتان 9 </w:t>
      </w:r>
      <w:proofErr w:type="spellStart"/>
      <w:r>
        <w:rPr>
          <w:rFonts w:hint="cs"/>
          <w:rtl/>
          <w:lang w:val="fr-CH"/>
        </w:rPr>
        <w:t>و13</w:t>
      </w:r>
      <w:proofErr w:type="spellEnd"/>
      <w:r>
        <w:rPr>
          <w:rFonts w:hint="cs"/>
          <w:rtl/>
          <w:lang w:val="fr-CH"/>
        </w:rPr>
        <w:t>).</w:t>
      </w:r>
    </w:p>
    <w:p w:rsidR="00A76C08" w:rsidRPr="005974B5" w:rsidRDefault="00354DC3" w:rsidP="00A76C08">
      <w:pPr>
        <w:pStyle w:val="SingleTxtGA"/>
        <w:rPr>
          <w:rFonts w:hint="cs"/>
          <w:b/>
          <w:bCs/>
          <w:rtl/>
          <w:lang w:val="fr-CH"/>
        </w:rPr>
      </w:pPr>
      <w:r>
        <w:rPr>
          <w:rFonts w:hint="cs"/>
          <w:b/>
          <w:bCs/>
          <w:rtl/>
          <w:lang w:val="fr-CH"/>
        </w:rPr>
        <w:tab/>
      </w:r>
      <w:r w:rsidR="00A76C08" w:rsidRPr="005974B5">
        <w:rPr>
          <w:rFonts w:hint="cs"/>
          <w:b/>
          <w:bCs/>
          <w:rtl/>
          <w:lang w:val="fr-CH"/>
        </w:rPr>
        <w:t xml:space="preserve">ينبغي للدولة الطرف أن تكفل عدم معاقبة أي ملتمس لجوء لمجرد أنه دخل إلى البلد </w:t>
      </w:r>
      <w:r w:rsidR="00A76C08">
        <w:rPr>
          <w:rFonts w:hint="cs"/>
          <w:b/>
          <w:bCs/>
          <w:rtl/>
          <w:lang w:val="fr-CH"/>
        </w:rPr>
        <w:t xml:space="preserve">أو بقي فيها </w:t>
      </w:r>
      <w:r w:rsidR="00A76C08" w:rsidRPr="005974B5">
        <w:rPr>
          <w:rFonts w:hint="cs"/>
          <w:b/>
          <w:bCs/>
          <w:rtl/>
          <w:lang w:val="fr-CH"/>
        </w:rPr>
        <w:t>بصورة غير قانونية</w:t>
      </w:r>
      <w:r w:rsidR="00A76C08">
        <w:rPr>
          <w:rFonts w:hint="cs"/>
          <w:b/>
          <w:bCs/>
          <w:rtl/>
          <w:lang w:val="fr-CH"/>
        </w:rPr>
        <w:t>،</w:t>
      </w:r>
      <w:r w:rsidR="00A76C08" w:rsidRPr="005974B5">
        <w:rPr>
          <w:rFonts w:hint="cs"/>
          <w:b/>
          <w:bCs/>
          <w:rtl/>
          <w:lang w:val="fr-CH"/>
        </w:rPr>
        <w:t xml:space="preserve"> دون أن تراعي احتياجاته للحماية الدولية.</w:t>
      </w:r>
    </w:p>
    <w:p w:rsidR="00A76C08" w:rsidRDefault="00A76C08" w:rsidP="00812D69">
      <w:pPr>
        <w:pStyle w:val="SingleTxtGA"/>
        <w:rPr>
          <w:rFonts w:hint="cs"/>
          <w:rtl/>
          <w:lang w:val="fr-CH"/>
        </w:rPr>
      </w:pPr>
      <w:r>
        <w:rPr>
          <w:rFonts w:hint="cs"/>
          <w:rtl/>
          <w:lang w:val="fr-CH"/>
        </w:rPr>
        <w:t>18</w:t>
      </w:r>
      <w:r w:rsidRPr="00141F70">
        <w:rPr>
          <w:rFonts w:hint="cs"/>
          <w:spacing w:val="-4"/>
          <w:rtl/>
          <w:lang w:val="fr-CH"/>
        </w:rPr>
        <w:t>-</w:t>
      </w:r>
      <w:r w:rsidRPr="00141F70">
        <w:rPr>
          <w:rFonts w:hint="cs"/>
          <w:spacing w:val="-4"/>
          <w:rtl/>
          <w:lang w:val="fr-CH"/>
        </w:rPr>
        <w:tab/>
        <w:t xml:space="preserve">ويساور اللجنة القلق إزاء عدم </w:t>
      </w:r>
      <w:r w:rsidR="00141F70" w:rsidRPr="00141F70">
        <w:rPr>
          <w:rFonts w:hint="cs"/>
          <w:spacing w:val="-4"/>
          <w:rtl/>
          <w:lang w:val="fr-CH"/>
        </w:rPr>
        <w:t xml:space="preserve">تسوية </w:t>
      </w:r>
      <w:r w:rsidRPr="00141F70">
        <w:rPr>
          <w:rFonts w:hint="cs"/>
          <w:spacing w:val="-4"/>
          <w:rtl/>
          <w:lang w:val="fr-CH"/>
        </w:rPr>
        <w:t xml:space="preserve">أوضاع اللاجئين وأسرهم الذين فروا </w:t>
      </w:r>
      <w:r w:rsidR="00141F70" w:rsidRPr="00141F70">
        <w:rPr>
          <w:rFonts w:hint="cs"/>
          <w:spacing w:val="-4"/>
          <w:rtl/>
          <w:lang w:val="fr-CH"/>
        </w:rPr>
        <w:t xml:space="preserve">إلى </w:t>
      </w:r>
      <w:r w:rsidRPr="00141F70">
        <w:rPr>
          <w:rFonts w:hint="cs"/>
          <w:spacing w:val="-4"/>
          <w:rtl/>
          <w:lang w:val="fr-CH"/>
        </w:rPr>
        <w:t xml:space="preserve">أرمينيا </w:t>
      </w:r>
      <w:r w:rsidR="00141F70" w:rsidRPr="00141F70">
        <w:rPr>
          <w:rFonts w:hint="cs"/>
          <w:spacing w:val="-4"/>
          <w:rtl/>
          <w:lang w:val="fr-CH"/>
        </w:rPr>
        <w:t>من</w:t>
      </w:r>
      <w:r w:rsidRPr="00141F70">
        <w:rPr>
          <w:rFonts w:hint="cs"/>
          <w:spacing w:val="-4"/>
          <w:rtl/>
          <w:lang w:val="fr-CH"/>
        </w:rPr>
        <w:t xml:space="preserve"> أذربيجان في الفترة بين عامي 1988 </w:t>
      </w:r>
      <w:proofErr w:type="spellStart"/>
      <w:r w:rsidRPr="00141F70">
        <w:rPr>
          <w:rFonts w:hint="cs"/>
          <w:spacing w:val="-4"/>
          <w:rtl/>
          <w:lang w:val="fr-CH"/>
        </w:rPr>
        <w:t>و1992</w:t>
      </w:r>
      <w:proofErr w:type="spellEnd"/>
      <w:r w:rsidRPr="00141F70">
        <w:rPr>
          <w:rFonts w:hint="cs"/>
          <w:spacing w:val="-4"/>
          <w:rtl/>
          <w:lang w:val="fr-CH"/>
        </w:rPr>
        <w:t xml:space="preserve"> بسبب النزاع في </w:t>
      </w:r>
      <w:proofErr w:type="spellStart"/>
      <w:r w:rsidRPr="00141F70">
        <w:rPr>
          <w:rFonts w:hint="cs"/>
          <w:spacing w:val="-4"/>
          <w:rtl/>
          <w:lang w:val="fr-CH"/>
        </w:rPr>
        <w:t>ناغورنو</w:t>
      </w:r>
      <w:proofErr w:type="spellEnd"/>
      <w:r w:rsidR="00141F70" w:rsidRPr="00141F70">
        <w:rPr>
          <w:rFonts w:hint="cs"/>
          <w:spacing w:val="-4"/>
          <w:rtl/>
          <w:lang w:val="fr-CH"/>
        </w:rPr>
        <w:t xml:space="preserve"> </w:t>
      </w:r>
      <w:r w:rsidRPr="00141F70">
        <w:rPr>
          <w:rFonts w:hint="cs"/>
          <w:spacing w:val="-4"/>
          <w:rtl/>
          <w:lang w:val="fr-CH"/>
        </w:rPr>
        <w:t>-</w:t>
      </w:r>
      <w:r w:rsidR="00141F70" w:rsidRPr="00141F70">
        <w:rPr>
          <w:rFonts w:hint="cs"/>
          <w:spacing w:val="-4"/>
          <w:rtl/>
          <w:lang w:val="fr-CH"/>
        </w:rPr>
        <w:t xml:space="preserve"> </w:t>
      </w:r>
      <w:proofErr w:type="spellStart"/>
      <w:r w:rsidRPr="00141F70">
        <w:rPr>
          <w:rFonts w:hint="cs"/>
          <w:spacing w:val="-4"/>
          <w:rtl/>
          <w:lang w:val="fr-CH"/>
        </w:rPr>
        <w:t>كارابا</w:t>
      </w:r>
      <w:r w:rsidR="00812D69">
        <w:rPr>
          <w:rFonts w:hint="cs"/>
          <w:spacing w:val="-4"/>
          <w:rtl/>
          <w:lang w:val="fr-CH"/>
        </w:rPr>
        <w:t>خ</w:t>
      </w:r>
      <w:proofErr w:type="spellEnd"/>
      <w:r w:rsidR="00812D69">
        <w:rPr>
          <w:rFonts w:hint="cs"/>
          <w:spacing w:val="-4"/>
          <w:rtl/>
          <w:lang w:val="fr-CH"/>
        </w:rPr>
        <w:t>،</w:t>
      </w:r>
      <w:r>
        <w:rPr>
          <w:rFonts w:hint="cs"/>
          <w:rtl/>
          <w:lang w:val="fr-CH"/>
        </w:rPr>
        <w:t xml:space="preserve"> وكذلك الأشخاص المشردين داخلياً خلال هذه الفترة، الذين يعيشون الآن في مراكز جماعية في ظروف صعبة للغاية، مع ما يترتب على ذلك من آثار سلبية على صحتهم البدنية والعقلية (المادتان 12 </w:t>
      </w:r>
      <w:proofErr w:type="spellStart"/>
      <w:r>
        <w:rPr>
          <w:rFonts w:hint="cs"/>
          <w:rtl/>
          <w:lang w:val="fr-CH"/>
        </w:rPr>
        <w:t>و17</w:t>
      </w:r>
      <w:proofErr w:type="spellEnd"/>
      <w:r>
        <w:rPr>
          <w:rFonts w:hint="cs"/>
          <w:rtl/>
          <w:lang w:val="fr-CH"/>
        </w:rPr>
        <w:t>).</w:t>
      </w:r>
    </w:p>
    <w:p w:rsidR="00A76C08" w:rsidRPr="005974B5" w:rsidRDefault="00141F70" w:rsidP="00141F70">
      <w:pPr>
        <w:pStyle w:val="SingleTxtGA"/>
        <w:rPr>
          <w:rFonts w:hint="cs"/>
          <w:b/>
          <w:bCs/>
          <w:rtl/>
          <w:lang w:val="fr-CH"/>
        </w:rPr>
      </w:pPr>
      <w:r>
        <w:rPr>
          <w:rFonts w:hint="cs"/>
          <w:b/>
          <w:bCs/>
          <w:rtl/>
          <w:lang w:val="fr-CH"/>
        </w:rPr>
        <w:tab/>
      </w:r>
      <w:r w:rsidR="00A76C08" w:rsidRPr="005974B5">
        <w:rPr>
          <w:rFonts w:hint="cs"/>
          <w:b/>
          <w:bCs/>
          <w:rtl/>
          <w:lang w:val="fr-CH"/>
        </w:rPr>
        <w:t xml:space="preserve">ينبغي للدولة الطرف أن تنظم حملات إعلامية عن حقوق واستحقاقات اللاجئين الأرمينيين </w:t>
      </w:r>
      <w:r w:rsidR="00A76C08">
        <w:rPr>
          <w:rFonts w:hint="cs"/>
          <w:b/>
          <w:bCs/>
          <w:rtl/>
          <w:lang w:val="fr-CH"/>
        </w:rPr>
        <w:t xml:space="preserve">العائدين </w:t>
      </w:r>
      <w:r w:rsidR="00A76C08" w:rsidRPr="005974B5">
        <w:rPr>
          <w:rFonts w:hint="cs"/>
          <w:b/>
          <w:bCs/>
          <w:rtl/>
          <w:lang w:val="fr-CH"/>
        </w:rPr>
        <w:t xml:space="preserve">من أذربيجان بما في ذلك فيما يتعلق </w:t>
      </w:r>
      <w:r w:rsidR="00A76C08">
        <w:rPr>
          <w:rFonts w:hint="cs"/>
          <w:b/>
          <w:bCs/>
          <w:rtl/>
          <w:lang w:val="fr-CH"/>
        </w:rPr>
        <w:t>بخطة</w:t>
      </w:r>
      <w:r w:rsidR="00A76C08" w:rsidRPr="005974B5">
        <w:rPr>
          <w:rFonts w:hint="cs"/>
          <w:b/>
          <w:bCs/>
          <w:rtl/>
          <w:lang w:val="fr-CH"/>
        </w:rPr>
        <w:t xml:space="preserve"> التجنيس المبسط القائم</w:t>
      </w:r>
      <w:r w:rsidR="00A76C08">
        <w:rPr>
          <w:rFonts w:hint="cs"/>
          <w:b/>
          <w:bCs/>
          <w:rtl/>
          <w:lang w:val="fr-CH"/>
        </w:rPr>
        <w:t>ة،</w:t>
      </w:r>
      <w:r w:rsidR="00A76C08" w:rsidRPr="005974B5">
        <w:rPr>
          <w:rFonts w:hint="cs"/>
          <w:b/>
          <w:bCs/>
          <w:rtl/>
          <w:lang w:val="fr-CH"/>
        </w:rPr>
        <w:t xml:space="preserve"> وتعزز جهودها لتحسين </w:t>
      </w:r>
      <w:r w:rsidR="00A76C08">
        <w:rPr>
          <w:rFonts w:hint="cs"/>
          <w:b/>
          <w:bCs/>
          <w:rtl/>
          <w:lang w:val="fr-CH"/>
        </w:rPr>
        <w:t xml:space="preserve">الأحوال المعيشية </w:t>
      </w:r>
      <w:r w:rsidR="00A76C08" w:rsidRPr="005974B5">
        <w:rPr>
          <w:rFonts w:hint="cs"/>
          <w:b/>
          <w:bCs/>
          <w:rtl/>
          <w:lang w:val="fr-CH"/>
        </w:rPr>
        <w:t xml:space="preserve">للاجئين والأشخاص المشردين داخلياً ولا سيما فيما يتعلق بالسكن </w:t>
      </w:r>
      <w:r>
        <w:rPr>
          <w:rFonts w:hint="cs"/>
          <w:b/>
          <w:bCs/>
          <w:rtl/>
          <w:lang w:val="fr-CH"/>
        </w:rPr>
        <w:t>وظروف المعيشة</w:t>
      </w:r>
      <w:r w:rsidR="00A76C08" w:rsidRPr="005974B5">
        <w:rPr>
          <w:rFonts w:hint="cs"/>
          <w:b/>
          <w:bCs/>
          <w:rtl/>
          <w:lang w:val="fr-CH"/>
        </w:rPr>
        <w:t>.</w:t>
      </w:r>
    </w:p>
    <w:p w:rsidR="00A76C08" w:rsidRDefault="00A76C08" w:rsidP="009C2D69">
      <w:pPr>
        <w:pStyle w:val="SingleTxtGA"/>
        <w:rPr>
          <w:rFonts w:hint="cs"/>
          <w:rtl/>
          <w:lang w:val="fr-CH"/>
        </w:rPr>
      </w:pPr>
      <w:r>
        <w:rPr>
          <w:rFonts w:hint="cs"/>
          <w:rtl/>
          <w:lang w:val="fr-CH"/>
        </w:rPr>
        <w:t>19-</w:t>
      </w:r>
      <w:r>
        <w:rPr>
          <w:rFonts w:hint="cs"/>
          <w:rtl/>
          <w:lang w:val="fr-CH"/>
        </w:rPr>
        <w:tab/>
        <w:t xml:space="preserve">ويساور اللجنة القلق إزاء كثرة اللجوء إلى الاحتجاز رهن المحاكمة وعدم إعلام المحتجزين بالكامل بحقوقهم الأساسية </w:t>
      </w:r>
      <w:r w:rsidR="009C2D69">
        <w:rPr>
          <w:rFonts w:hint="cs"/>
          <w:rtl/>
          <w:lang w:val="fr-CH"/>
        </w:rPr>
        <w:t>فور بدء</w:t>
      </w:r>
      <w:r>
        <w:rPr>
          <w:rFonts w:hint="cs"/>
          <w:rtl/>
          <w:lang w:val="fr-CH"/>
        </w:rPr>
        <w:t xml:space="preserve"> حرمانهم من الحرية. وتأسف اللجنة أيضاً لأن المحتجزين غالباً ما يحرمون من الاستعانة في حينه بمحامٍ وبطبيب، و</w:t>
      </w:r>
      <w:r w:rsidR="009C2D69">
        <w:rPr>
          <w:rFonts w:hint="cs"/>
          <w:rtl/>
          <w:lang w:val="fr-CH"/>
        </w:rPr>
        <w:t xml:space="preserve">من </w:t>
      </w:r>
      <w:r>
        <w:rPr>
          <w:rFonts w:hint="cs"/>
          <w:rtl/>
          <w:lang w:val="fr-CH"/>
        </w:rPr>
        <w:t>حقوقهم في إبلاغ شخص من اختيارهم</w:t>
      </w:r>
      <w:r w:rsidR="009C2D69">
        <w:rPr>
          <w:rFonts w:hint="cs"/>
          <w:rtl/>
          <w:lang w:val="fr-CH"/>
        </w:rPr>
        <w:t>،</w:t>
      </w:r>
      <w:r>
        <w:rPr>
          <w:rFonts w:hint="cs"/>
          <w:rtl/>
          <w:lang w:val="fr-CH"/>
        </w:rPr>
        <w:t xml:space="preserve"> ولعدم </w:t>
      </w:r>
      <w:r w:rsidR="009C2D69">
        <w:rPr>
          <w:rFonts w:hint="cs"/>
          <w:rtl/>
          <w:lang w:val="fr-CH"/>
        </w:rPr>
        <w:t>مثولهم</w:t>
      </w:r>
      <w:r>
        <w:rPr>
          <w:rFonts w:hint="cs"/>
          <w:rtl/>
          <w:lang w:val="fr-CH"/>
        </w:rPr>
        <w:t xml:space="preserve"> فوراً أمام قاضٍ (المادة 9).</w:t>
      </w:r>
    </w:p>
    <w:p w:rsidR="00A76C08" w:rsidRPr="005974B5" w:rsidRDefault="009C2D69" w:rsidP="0003456A">
      <w:pPr>
        <w:pStyle w:val="SingleTxtGA"/>
        <w:rPr>
          <w:rFonts w:hint="cs"/>
          <w:b/>
          <w:bCs/>
          <w:rtl/>
          <w:lang w:val="fr-CH"/>
        </w:rPr>
      </w:pPr>
      <w:r>
        <w:rPr>
          <w:rFonts w:hint="cs"/>
          <w:b/>
          <w:bCs/>
          <w:rtl/>
          <w:lang w:val="fr-CH"/>
        </w:rPr>
        <w:tab/>
      </w:r>
      <w:r w:rsidR="00A76C08" w:rsidRPr="005974B5">
        <w:rPr>
          <w:rFonts w:hint="cs"/>
          <w:b/>
          <w:bCs/>
          <w:rtl/>
          <w:lang w:val="fr-CH"/>
        </w:rPr>
        <w:t xml:space="preserve">عملاً بأحكام القانون المتعلق </w:t>
      </w:r>
      <w:r>
        <w:rPr>
          <w:rFonts w:hint="cs"/>
          <w:b/>
          <w:bCs/>
          <w:rtl/>
          <w:lang w:val="fr-CH"/>
        </w:rPr>
        <w:t>بالتحفظ على المعتقلين</w:t>
      </w:r>
      <w:r w:rsidR="00A76C08" w:rsidRPr="005974B5">
        <w:rPr>
          <w:rFonts w:hint="cs"/>
          <w:b/>
          <w:bCs/>
          <w:rtl/>
          <w:lang w:val="fr-CH"/>
        </w:rPr>
        <w:t xml:space="preserve"> وسجناء الحبس الاحتياطي</w:t>
      </w:r>
      <w:r>
        <w:rPr>
          <w:rFonts w:hint="cs"/>
          <w:b/>
          <w:bCs/>
          <w:rtl/>
          <w:lang w:val="fr-CH"/>
        </w:rPr>
        <w:t xml:space="preserve"> لعام 2002</w:t>
      </w:r>
      <w:r w:rsidR="00A76C08">
        <w:rPr>
          <w:rFonts w:hint="cs"/>
          <w:b/>
          <w:bCs/>
          <w:rtl/>
          <w:lang w:val="fr-CH"/>
        </w:rPr>
        <w:t>،</w:t>
      </w:r>
      <w:r w:rsidR="00A76C08" w:rsidRPr="005974B5">
        <w:rPr>
          <w:rFonts w:hint="cs"/>
          <w:b/>
          <w:bCs/>
          <w:rtl/>
          <w:lang w:val="fr-CH"/>
        </w:rPr>
        <w:t xml:space="preserve"> ينبغي للدولة الطرف أن تكفل إعلام جميع الأشخاص المحرومين من الحرية بحقوقهم الأساسية </w:t>
      </w:r>
      <w:r>
        <w:rPr>
          <w:rFonts w:hint="cs"/>
          <w:b/>
          <w:bCs/>
          <w:rtl/>
          <w:lang w:val="fr-CH"/>
        </w:rPr>
        <w:t>فور بدء</w:t>
      </w:r>
      <w:r w:rsidR="00A76C08" w:rsidRPr="005974B5">
        <w:rPr>
          <w:rFonts w:hint="cs"/>
          <w:b/>
          <w:bCs/>
          <w:rtl/>
          <w:lang w:val="fr-CH"/>
        </w:rPr>
        <w:t xml:space="preserve"> حرمانهم من الحرية</w:t>
      </w:r>
      <w:r>
        <w:rPr>
          <w:rFonts w:hint="cs"/>
          <w:b/>
          <w:bCs/>
          <w:rtl/>
          <w:lang w:val="fr-CH"/>
        </w:rPr>
        <w:t>،</w:t>
      </w:r>
      <w:r w:rsidR="00A76C08" w:rsidRPr="005974B5">
        <w:rPr>
          <w:rFonts w:hint="cs"/>
          <w:b/>
          <w:bCs/>
          <w:rtl/>
          <w:lang w:val="fr-CH"/>
        </w:rPr>
        <w:t xml:space="preserve"> وذلك شفوياً وكتابة في آنٍ معاً</w:t>
      </w:r>
      <w:r w:rsidR="0003456A">
        <w:rPr>
          <w:rFonts w:hint="cs"/>
          <w:b/>
          <w:bCs/>
          <w:rtl/>
          <w:lang w:val="fr-CH"/>
        </w:rPr>
        <w:t>،</w:t>
      </w:r>
      <w:r w:rsidR="00A76C08" w:rsidRPr="005974B5">
        <w:rPr>
          <w:rFonts w:hint="cs"/>
          <w:b/>
          <w:bCs/>
          <w:rtl/>
          <w:lang w:val="fr-CH"/>
        </w:rPr>
        <w:t xml:space="preserve"> وإتاحة وصولهم فوراً إلى محامٍ وطبيب وتمكينهم من إبلاغ شخص من اختيارهم. </w:t>
      </w:r>
      <w:r w:rsidR="00A76C08">
        <w:rPr>
          <w:rFonts w:hint="cs"/>
          <w:b/>
          <w:bCs/>
          <w:rtl/>
          <w:lang w:val="fr-CH"/>
        </w:rPr>
        <w:t>و</w:t>
      </w:r>
      <w:r w:rsidR="00A76C08" w:rsidRPr="005974B5">
        <w:rPr>
          <w:rFonts w:hint="cs"/>
          <w:b/>
          <w:bCs/>
          <w:rtl/>
          <w:lang w:val="fr-CH"/>
        </w:rPr>
        <w:t xml:space="preserve">ينبغي للدولة الطرف أيضاً أن تكفل </w:t>
      </w:r>
      <w:r w:rsidR="0003456A">
        <w:rPr>
          <w:rFonts w:hint="cs"/>
          <w:b/>
          <w:bCs/>
          <w:rtl/>
          <w:lang w:val="fr-CH"/>
        </w:rPr>
        <w:t>مثول</w:t>
      </w:r>
      <w:r w:rsidR="00A76C08" w:rsidRPr="005974B5">
        <w:rPr>
          <w:rFonts w:hint="cs"/>
          <w:b/>
          <w:bCs/>
          <w:rtl/>
          <w:lang w:val="fr-CH"/>
        </w:rPr>
        <w:t xml:space="preserve"> جميع الأشخاص المحرومين من الحرية </w:t>
      </w:r>
      <w:r w:rsidR="0003456A">
        <w:rPr>
          <w:rFonts w:hint="cs"/>
          <w:b/>
          <w:bCs/>
          <w:rtl/>
          <w:lang w:val="fr-CH"/>
        </w:rPr>
        <w:t xml:space="preserve">سريعاً </w:t>
      </w:r>
      <w:r w:rsidR="00A76C08" w:rsidRPr="005974B5">
        <w:rPr>
          <w:rFonts w:hint="cs"/>
          <w:b/>
          <w:bCs/>
          <w:rtl/>
          <w:lang w:val="fr-CH"/>
        </w:rPr>
        <w:t>أمام قاضٍ، عملاً بأحكام العهد.</w:t>
      </w:r>
    </w:p>
    <w:p w:rsidR="00A76C08" w:rsidRDefault="00A76C08" w:rsidP="0042684E">
      <w:pPr>
        <w:pStyle w:val="SingleTxtGA"/>
        <w:rPr>
          <w:rFonts w:hint="cs"/>
          <w:rtl/>
          <w:lang w:val="fr-CH"/>
        </w:rPr>
      </w:pPr>
      <w:r>
        <w:rPr>
          <w:rFonts w:hint="cs"/>
          <w:rtl/>
          <w:lang w:val="fr-CH"/>
        </w:rPr>
        <w:t>20-</w:t>
      </w:r>
      <w:r>
        <w:rPr>
          <w:rFonts w:hint="cs"/>
          <w:rtl/>
          <w:lang w:val="fr-CH"/>
        </w:rPr>
        <w:tab/>
        <w:t>ويساور اللجنة القلق إزاء اكتظاظ السجون ونقص العاملين فيها. وتأسف أيضاً لأن المحاكم قللت من تطبيقها لتدابير بديلة للاحتجاز (المادة 10).</w:t>
      </w:r>
    </w:p>
    <w:p w:rsidR="00A76C08" w:rsidRPr="005974B5" w:rsidRDefault="0042684E" w:rsidP="00A76C08">
      <w:pPr>
        <w:pStyle w:val="SingleTxtGA"/>
        <w:rPr>
          <w:rFonts w:hint="cs"/>
          <w:b/>
          <w:bCs/>
          <w:rtl/>
          <w:lang w:val="fr-CH"/>
        </w:rPr>
      </w:pPr>
      <w:r>
        <w:rPr>
          <w:rFonts w:hint="cs"/>
          <w:b/>
          <w:bCs/>
          <w:rtl/>
          <w:lang w:val="fr-CH"/>
        </w:rPr>
        <w:tab/>
      </w:r>
      <w:r w:rsidR="00A76C08" w:rsidRPr="005974B5">
        <w:rPr>
          <w:rFonts w:hint="cs"/>
          <w:b/>
          <w:bCs/>
          <w:rtl/>
          <w:lang w:val="fr-CH"/>
        </w:rPr>
        <w:t>ينبغي للدولة الطرف أن تواصل جهودها لتحسين الظروف في أماكن الاحتجاز والحد من الاكتظاظ في السجون بما في ذلك من خلال تطبيق تدابير بديلة للسجن.</w:t>
      </w:r>
    </w:p>
    <w:p w:rsidR="00A76C08" w:rsidRDefault="00A76C08" w:rsidP="006A49E9">
      <w:pPr>
        <w:pStyle w:val="SingleTxtGA"/>
        <w:rPr>
          <w:rFonts w:hint="cs"/>
          <w:rtl/>
          <w:lang w:val="fr-CH"/>
        </w:rPr>
      </w:pPr>
      <w:r>
        <w:rPr>
          <w:rFonts w:hint="cs"/>
          <w:rtl/>
          <w:lang w:val="fr-CH"/>
        </w:rPr>
        <w:t>21-</w:t>
      </w:r>
      <w:r>
        <w:rPr>
          <w:rFonts w:hint="cs"/>
          <w:rtl/>
          <w:lang w:val="fr-CH"/>
        </w:rPr>
        <w:tab/>
        <w:t xml:space="preserve">ويساور اللجنة القلق لافتقار </w:t>
      </w:r>
      <w:r w:rsidR="006A49E9">
        <w:rPr>
          <w:rFonts w:hint="cs"/>
          <w:rtl/>
          <w:lang w:val="fr-CH"/>
        </w:rPr>
        <w:t>السلطة</w:t>
      </w:r>
      <w:r>
        <w:rPr>
          <w:rFonts w:hint="cs"/>
          <w:rtl/>
          <w:lang w:val="fr-CH"/>
        </w:rPr>
        <w:t xml:space="preserve"> القضائية للاستقلالية. وبصفة خاصة</w:t>
      </w:r>
      <w:r w:rsidR="006A49E9">
        <w:rPr>
          <w:rFonts w:hint="cs"/>
          <w:rtl/>
          <w:lang w:val="fr-CH"/>
        </w:rPr>
        <w:t>،</w:t>
      </w:r>
      <w:r>
        <w:rPr>
          <w:rFonts w:hint="cs"/>
          <w:rtl/>
          <w:lang w:val="fr-CH"/>
        </w:rPr>
        <w:t xml:space="preserve"> يساور اللجنة القلق إزاء آلية تعيين القضاة التي تعرضهم للضغط السياسي</w:t>
      </w:r>
      <w:r w:rsidR="006A49E9">
        <w:rPr>
          <w:rFonts w:hint="cs"/>
          <w:rtl/>
          <w:lang w:val="fr-CH"/>
        </w:rPr>
        <w:t>،</w:t>
      </w:r>
      <w:r>
        <w:rPr>
          <w:rFonts w:hint="cs"/>
          <w:rtl/>
          <w:lang w:val="fr-CH"/>
        </w:rPr>
        <w:t xml:space="preserve"> و</w:t>
      </w:r>
      <w:r w:rsidR="006A49E9">
        <w:rPr>
          <w:rFonts w:hint="cs"/>
          <w:rtl/>
          <w:lang w:val="fr-CH"/>
        </w:rPr>
        <w:t xml:space="preserve">إزاء </w:t>
      </w:r>
      <w:r>
        <w:rPr>
          <w:rFonts w:hint="cs"/>
          <w:rtl/>
          <w:lang w:val="fr-CH"/>
        </w:rPr>
        <w:t xml:space="preserve">عدم وجود آلية </w:t>
      </w:r>
      <w:r w:rsidR="006A49E9">
        <w:rPr>
          <w:rFonts w:hint="cs"/>
          <w:rtl/>
          <w:lang w:val="fr-CH"/>
        </w:rPr>
        <w:t>تأديب</w:t>
      </w:r>
      <w:r>
        <w:rPr>
          <w:rFonts w:hint="cs"/>
          <w:rtl/>
          <w:lang w:val="fr-CH"/>
        </w:rPr>
        <w:t xml:space="preserve"> مستقلة (المادة 14).</w:t>
      </w:r>
    </w:p>
    <w:p w:rsidR="00A76C08" w:rsidRPr="006A49E9" w:rsidRDefault="00812D69" w:rsidP="006A49E9">
      <w:pPr>
        <w:pStyle w:val="SingleTxtGA"/>
        <w:rPr>
          <w:rFonts w:hint="cs"/>
          <w:b/>
          <w:bCs/>
          <w:spacing w:val="-4"/>
          <w:rtl/>
          <w:lang w:val="fr-CH"/>
        </w:rPr>
      </w:pPr>
      <w:r>
        <w:rPr>
          <w:rFonts w:hint="cs"/>
          <w:b/>
          <w:bCs/>
          <w:spacing w:val="-4"/>
          <w:rtl/>
          <w:lang w:val="fr-CH"/>
        </w:rPr>
        <w:tab/>
      </w:r>
      <w:r w:rsidR="00A76C08" w:rsidRPr="006A49E9">
        <w:rPr>
          <w:rFonts w:hint="cs"/>
          <w:b/>
          <w:bCs/>
          <w:spacing w:val="-4"/>
          <w:rtl/>
          <w:lang w:val="fr-CH"/>
        </w:rPr>
        <w:t xml:space="preserve">ينبغي للدولة الطرف أن تعدل الأحكام القانونية المحلية بغية ضمان الاستقلال الكامل </w:t>
      </w:r>
      <w:r w:rsidR="006A49E9" w:rsidRPr="006A49E9">
        <w:rPr>
          <w:rFonts w:hint="cs"/>
          <w:b/>
          <w:bCs/>
          <w:spacing w:val="-4"/>
          <w:rtl/>
          <w:lang w:val="fr-CH"/>
        </w:rPr>
        <w:t>للسلطة</w:t>
      </w:r>
      <w:r w:rsidR="00A76C08" w:rsidRPr="006A49E9">
        <w:rPr>
          <w:rFonts w:hint="cs"/>
          <w:b/>
          <w:bCs/>
          <w:spacing w:val="-4"/>
          <w:rtl/>
          <w:lang w:val="fr-CH"/>
        </w:rPr>
        <w:t xml:space="preserve"> القضائي</w:t>
      </w:r>
      <w:r w:rsidR="006A49E9" w:rsidRPr="006A49E9">
        <w:rPr>
          <w:rFonts w:hint="cs"/>
          <w:b/>
          <w:bCs/>
          <w:spacing w:val="-4"/>
          <w:rtl/>
          <w:lang w:val="fr-CH"/>
        </w:rPr>
        <w:t>ة</w:t>
      </w:r>
      <w:r w:rsidR="00A76C08" w:rsidRPr="006A49E9">
        <w:rPr>
          <w:rFonts w:hint="cs"/>
          <w:b/>
          <w:bCs/>
          <w:spacing w:val="-4"/>
          <w:rtl/>
          <w:lang w:val="fr-CH"/>
        </w:rPr>
        <w:t xml:space="preserve"> عن السلطتين التنفيذية والتشريعية، وأن تنظر في إنشاء هيئة مستقلة مسؤولة عن تعيين وترقية القضاة</w:t>
      </w:r>
      <w:r w:rsidR="006A49E9" w:rsidRPr="006A49E9">
        <w:rPr>
          <w:rFonts w:hint="cs"/>
          <w:b/>
          <w:bCs/>
          <w:spacing w:val="-4"/>
          <w:rtl/>
          <w:lang w:val="fr-CH"/>
        </w:rPr>
        <w:t xml:space="preserve"> وتنفيذ ال</w:t>
      </w:r>
      <w:r w:rsidR="007263EA">
        <w:rPr>
          <w:rFonts w:hint="cs"/>
          <w:b/>
          <w:bCs/>
          <w:spacing w:val="-4"/>
          <w:rtl/>
          <w:lang w:val="fr-CH"/>
        </w:rPr>
        <w:t>ل</w:t>
      </w:r>
      <w:r w:rsidR="006A49E9" w:rsidRPr="006A49E9">
        <w:rPr>
          <w:rFonts w:hint="cs"/>
          <w:b/>
          <w:bCs/>
          <w:spacing w:val="-4"/>
          <w:rtl/>
          <w:lang w:val="fr-CH"/>
        </w:rPr>
        <w:t>وائح التأديبية</w:t>
      </w:r>
      <w:r w:rsidR="00A76C08" w:rsidRPr="006A49E9">
        <w:rPr>
          <w:rFonts w:hint="cs"/>
          <w:b/>
          <w:bCs/>
          <w:spacing w:val="-4"/>
          <w:rtl/>
          <w:lang w:val="fr-CH"/>
        </w:rPr>
        <w:t>،</w:t>
      </w:r>
      <w:r w:rsidR="006A49E9" w:rsidRPr="006A49E9">
        <w:rPr>
          <w:rFonts w:hint="cs"/>
          <w:b/>
          <w:bCs/>
          <w:spacing w:val="-4"/>
          <w:rtl/>
          <w:lang w:val="fr-CH"/>
        </w:rPr>
        <w:t xml:space="preserve"> إلى جانب هيئة</w:t>
      </w:r>
      <w:r w:rsidR="00A76C08" w:rsidRPr="006A49E9">
        <w:rPr>
          <w:rFonts w:hint="cs"/>
          <w:b/>
          <w:bCs/>
          <w:spacing w:val="-4"/>
          <w:rtl/>
          <w:lang w:val="fr-CH"/>
        </w:rPr>
        <w:t xml:space="preserve"> القضاة المشتركة.</w:t>
      </w:r>
    </w:p>
    <w:p w:rsidR="00A76C08" w:rsidRDefault="00A76C08" w:rsidP="006A49E9">
      <w:pPr>
        <w:pStyle w:val="SingleTxtGA"/>
        <w:rPr>
          <w:rFonts w:hint="cs"/>
          <w:rtl/>
          <w:lang w:val="fr-CH"/>
        </w:rPr>
      </w:pPr>
      <w:r>
        <w:rPr>
          <w:rFonts w:hint="cs"/>
          <w:rtl/>
          <w:lang w:val="fr-CH"/>
        </w:rPr>
        <w:t>22-</w:t>
      </w:r>
      <w:r>
        <w:rPr>
          <w:rFonts w:hint="cs"/>
          <w:rtl/>
          <w:lang w:val="fr-CH"/>
        </w:rPr>
        <w:tab/>
        <w:t xml:space="preserve">ويساور اللجنة القلق إزاء الادعاءات </w:t>
      </w:r>
      <w:r w:rsidR="006A49E9">
        <w:rPr>
          <w:rFonts w:hint="cs"/>
          <w:rtl/>
          <w:lang w:val="fr-CH"/>
        </w:rPr>
        <w:t>با</w:t>
      </w:r>
      <w:r>
        <w:rPr>
          <w:rFonts w:hint="cs"/>
          <w:rtl/>
          <w:lang w:val="fr-CH"/>
        </w:rPr>
        <w:t xml:space="preserve">ستمرار تفشي الفساد في جميع فروع مؤسسات الدولة ولا سيما الشرطة </w:t>
      </w:r>
      <w:r w:rsidR="006A49E9">
        <w:rPr>
          <w:rFonts w:hint="cs"/>
          <w:rtl/>
          <w:lang w:val="fr-CH"/>
        </w:rPr>
        <w:t>والسلطة القضائية،</w:t>
      </w:r>
      <w:r>
        <w:rPr>
          <w:rFonts w:hint="cs"/>
          <w:rtl/>
          <w:lang w:val="fr-CH"/>
        </w:rPr>
        <w:t xml:space="preserve"> وهو ما يقوض سيادة القانون. وفضلاً عن ذلك، يساور اللجنة القلق لانعدام </w:t>
      </w:r>
      <w:r w:rsidR="006A49E9">
        <w:rPr>
          <w:rFonts w:hint="cs"/>
          <w:rtl/>
          <w:lang w:val="fr-CH"/>
        </w:rPr>
        <w:t>ال</w:t>
      </w:r>
      <w:r>
        <w:rPr>
          <w:rFonts w:hint="cs"/>
          <w:rtl/>
          <w:lang w:val="fr-CH"/>
        </w:rPr>
        <w:t>نتائج مقنعة في مجال مكافحة الفساد على المستويات الرفيعة وما يترتب عليه من عدم ثقة الجمهور في إقامة العدل (المادة 14).</w:t>
      </w:r>
    </w:p>
    <w:p w:rsidR="00A76C08" w:rsidRPr="005974B5" w:rsidRDefault="007263EA" w:rsidP="007263EA">
      <w:pPr>
        <w:pStyle w:val="SingleTxtGA"/>
        <w:rPr>
          <w:rFonts w:hint="cs"/>
          <w:b/>
          <w:bCs/>
          <w:rtl/>
          <w:lang w:val="fr-CH"/>
        </w:rPr>
      </w:pPr>
      <w:r>
        <w:rPr>
          <w:rFonts w:hint="cs"/>
          <w:b/>
          <w:bCs/>
          <w:rtl/>
          <w:lang w:val="fr-CH"/>
        </w:rPr>
        <w:tab/>
      </w:r>
      <w:r w:rsidR="00A76C08" w:rsidRPr="005974B5">
        <w:rPr>
          <w:rFonts w:hint="cs"/>
          <w:b/>
          <w:bCs/>
          <w:rtl/>
          <w:lang w:val="fr-CH"/>
        </w:rPr>
        <w:t>ينبغي للدولة الطرف أن تعزز جهودها الرامية إلى مكافحة الفساد في جميع فروع الحكومة</w:t>
      </w:r>
      <w:r w:rsidR="00A76C08">
        <w:rPr>
          <w:rFonts w:hint="cs"/>
          <w:b/>
          <w:bCs/>
          <w:rtl/>
          <w:lang w:val="fr-CH"/>
        </w:rPr>
        <w:t>،</w:t>
      </w:r>
      <w:r w:rsidR="00A76C08" w:rsidRPr="005974B5">
        <w:rPr>
          <w:rFonts w:hint="cs"/>
          <w:b/>
          <w:bCs/>
          <w:rtl/>
          <w:lang w:val="fr-CH"/>
        </w:rPr>
        <w:t xml:space="preserve"> من خلال إجراء تحقيق فوري وشامل في جميع حالات الفساد المزعوم ومعاقبة المسؤولين عنه.</w:t>
      </w:r>
    </w:p>
    <w:p w:rsidR="00A76C08" w:rsidRDefault="00A76C08" w:rsidP="007263EA">
      <w:pPr>
        <w:pStyle w:val="SingleTxtGA"/>
        <w:rPr>
          <w:rFonts w:hint="cs"/>
          <w:rtl/>
          <w:lang w:val="fr-CH"/>
        </w:rPr>
      </w:pPr>
      <w:r>
        <w:rPr>
          <w:rFonts w:hint="cs"/>
          <w:rtl/>
          <w:lang w:val="fr-CH"/>
        </w:rPr>
        <w:t>23-</w:t>
      </w:r>
      <w:r>
        <w:rPr>
          <w:rFonts w:hint="cs"/>
          <w:rtl/>
          <w:lang w:val="fr-CH"/>
        </w:rPr>
        <w:tab/>
        <w:t xml:space="preserve">ويساور اللجنة القلق إزاء القيود المفروضة على نظام قضاء الأحداث، ولا سيما العدد المحدود للقضاة </w:t>
      </w:r>
      <w:r w:rsidR="007263EA">
        <w:rPr>
          <w:rFonts w:hint="cs"/>
          <w:rtl/>
          <w:lang w:val="fr-CH"/>
        </w:rPr>
        <w:t>المتخصصين</w:t>
      </w:r>
      <w:r>
        <w:rPr>
          <w:rFonts w:hint="cs"/>
          <w:rtl/>
          <w:lang w:val="fr-CH"/>
        </w:rPr>
        <w:t xml:space="preserve">، وانعدام </w:t>
      </w:r>
      <w:r w:rsidR="007263EA">
        <w:rPr>
          <w:rFonts w:hint="cs"/>
          <w:rtl/>
          <w:lang w:val="fr-CH"/>
        </w:rPr>
        <w:t>ال</w:t>
      </w:r>
      <w:r>
        <w:rPr>
          <w:rFonts w:hint="cs"/>
          <w:rtl/>
          <w:lang w:val="fr-CH"/>
        </w:rPr>
        <w:t xml:space="preserve">معلومات عن القوانين الخاصة والإجراءات وغرف المحكمة. ويساور اللجنة القلق أيضاً لانعدام مرافق </w:t>
      </w:r>
      <w:r w:rsidR="007263EA">
        <w:rPr>
          <w:rFonts w:hint="cs"/>
          <w:rtl/>
          <w:lang w:val="fr-CH"/>
        </w:rPr>
        <w:t>للتعافي</w:t>
      </w:r>
      <w:r>
        <w:rPr>
          <w:rFonts w:hint="cs"/>
          <w:rtl/>
          <w:lang w:val="fr-CH"/>
        </w:rPr>
        <w:t xml:space="preserve"> البدني والنفسي وإعادة الاندماج الاجتماعي للمجرمين الأحداث (المادتان 14 </w:t>
      </w:r>
      <w:proofErr w:type="spellStart"/>
      <w:r>
        <w:rPr>
          <w:rFonts w:hint="cs"/>
          <w:rtl/>
          <w:lang w:val="fr-CH"/>
        </w:rPr>
        <w:t>و24</w:t>
      </w:r>
      <w:proofErr w:type="spellEnd"/>
      <w:r>
        <w:rPr>
          <w:rFonts w:hint="cs"/>
          <w:rtl/>
          <w:lang w:val="fr-CH"/>
        </w:rPr>
        <w:t>).</w:t>
      </w:r>
    </w:p>
    <w:p w:rsidR="00A76C08" w:rsidRPr="005974B5" w:rsidRDefault="007263EA" w:rsidP="003C2286">
      <w:pPr>
        <w:pStyle w:val="SingleTxtGA"/>
        <w:rPr>
          <w:rFonts w:hint="cs"/>
          <w:b/>
          <w:bCs/>
          <w:rtl/>
          <w:lang w:val="fr-CH"/>
        </w:rPr>
      </w:pPr>
      <w:r>
        <w:rPr>
          <w:rFonts w:hint="cs"/>
          <w:b/>
          <w:bCs/>
          <w:rtl/>
          <w:lang w:val="fr-CH"/>
        </w:rPr>
        <w:tab/>
      </w:r>
      <w:r w:rsidR="00A76C08" w:rsidRPr="005974B5">
        <w:rPr>
          <w:rFonts w:hint="cs"/>
          <w:b/>
          <w:bCs/>
          <w:rtl/>
          <w:lang w:val="fr-CH"/>
        </w:rPr>
        <w:t xml:space="preserve">يتعين على الدولة الطرف أن تواصل جهودها لضمان تزويد </w:t>
      </w:r>
      <w:r>
        <w:rPr>
          <w:rFonts w:hint="cs"/>
          <w:b/>
          <w:bCs/>
          <w:rtl/>
          <w:lang w:val="fr-CH"/>
        </w:rPr>
        <w:t xml:space="preserve">نظام </w:t>
      </w:r>
      <w:r w:rsidR="00A76C08" w:rsidRPr="005974B5">
        <w:rPr>
          <w:rFonts w:hint="cs"/>
          <w:b/>
          <w:bCs/>
          <w:rtl/>
          <w:lang w:val="fr-CH"/>
        </w:rPr>
        <w:t xml:space="preserve">القضاء الجنائي للأحداث </w:t>
      </w:r>
      <w:r w:rsidR="00A76C08">
        <w:rPr>
          <w:rFonts w:hint="cs"/>
          <w:b/>
          <w:bCs/>
          <w:rtl/>
          <w:lang w:val="fr-CH"/>
        </w:rPr>
        <w:t>ب</w:t>
      </w:r>
      <w:r w:rsidR="00A76C08" w:rsidRPr="005974B5">
        <w:rPr>
          <w:rFonts w:hint="cs"/>
          <w:b/>
          <w:bCs/>
          <w:rtl/>
          <w:lang w:val="fr-CH"/>
        </w:rPr>
        <w:t xml:space="preserve">ما يلزم من مواد وموارد بشرية. وفي هذا الصدد ينبغي للدولة الطرف أن تكفل تدريب جميع المهنيين العاملين في نظام قضاء الأحداث على المعايير الدولية ذات الصلة، بما فيها المبادئ التوجيهية للأمم المتحدة بشأن العدالة في الأمور المتعلقة بالأطفال ضحايا الجريمة والشهود عليها (المجلس الاقتصادي والاجتماعي القرار 2005/20). وينبغي </w:t>
      </w:r>
      <w:r w:rsidR="003C2286">
        <w:rPr>
          <w:rFonts w:hint="cs"/>
          <w:b/>
          <w:bCs/>
          <w:rtl/>
          <w:lang w:val="fr-CH"/>
        </w:rPr>
        <w:t>للدولة ا</w:t>
      </w:r>
      <w:r w:rsidR="00A76C08" w:rsidRPr="005974B5">
        <w:rPr>
          <w:rFonts w:hint="cs"/>
          <w:b/>
          <w:bCs/>
          <w:rtl/>
          <w:lang w:val="fr-CH"/>
        </w:rPr>
        <w:t xml:space="preserve">لطرف أيضاً أن تنشئ </w:t>
      </w:r>
      <w:r w:rsidR="003C2286">
        <w:rPr>
          <w:rFonts w:hint="cs"/>
          <w:b/>
          <w:bCs/>
          <w:rtl/>
          <w:lang w:val="fr-CH"/>
        </w:rPr>
        <w:t>مؤسسات</w:t>
      </w:r>
      <w:r w:rsidR="00A76C08" w:rsidRPr="005974B5">
        <w:rPr>
          <w:rFonts w:hint="cs"/>
          <w:b/>
          <w:bCs/>
          <w:rtl/>
          <w:lang w:val="fr-CH"/>
        </w:rPr>
        <w:t xml:space="preserve"> متخصصة </w:t>
      </w:r>
      <w:r w:rsidR="003C2286">
        <w:rPr>
          <w:rFonts w:hint="cs"/>
          <w:b/>
          <w:bCs/>
          <w:rtl/>
          <w:lang w:val="fr-CH"/>
        </w:rPr>
        <w:t>للتعافي</w:t>
      </w:r>
      <w:r w:rsidR="00A76C08" w:rsidRPr="005974B5">
        <w:rPr>
          <w:rFonts w:hint="cs"/>
          <w:b/>
          <w:bCs/>
          <w:rtl/>
          <w:lang w:val="fr-CH"/>
        </w:rPr>
        <w:t xml:space="preserve"> البدني</w:t>
      </w:r>
      <w:r w:rsidR="003C2286">
        <w:rPr>
          <w:rFonts w:hint="cs"/>
          <w:b/>
          <w:bCs/>
          <w:rtl/>
          <w:lang w:val="fr-CH"/>
        </w:rPr>
        <w:t xml:space="preserve"> والنفسي</w:t>
      </w:r>
      <w:r w:rsidR="00A76C08" w:rsidRPr="005974B5">
        <w:rPr>
          <w:rFonts w:hint="cs"/>
          <w:b/>
          <w:bCs/>
          <w:rtl/>
          <w:lang w:val="fr-CH"/>
        </w:rPr>
        <w:t xml:space="preserve"> وإعادة الاندماج الاجتماعي للمجرمين الأحداث.</w:t>
      </w:r>
    </w:p>
    <w:p w:rsidR="00A76C08" w:rsidRDefault="00A76C08" w:rsidP="00FB701F">
      <w:pPr>
        <w:pStyle w:val="SingleTxtGA"/>
        <w:rPr>
          <w:rFonts w:hint="cs"/>
          <w:rtl/>
          <w:lang w:val="fr-CH"/>
        </w:rPr>
      </w:pPr>
      <w:r>
        <w:rPr>
          <w:rFonts w:hint="cs"/>
          <w:rtl/>
          <w:lang w:val="fr-CH"/>
        </w:rPr>
        <w:t>24-</w:t>
      </w:r>
      <w:r>
        <w:rPr>
          <w:rFonts w:hint="cs"/>
          <w:rtl/>
          <w:lang w:val="fr-CH"/>
        </w:rPr>
        <w:tab/>
        <w:t>ويساور اللجنة القلق إزاء الحدود والقيود المفروضة على حرية الدين والمعتقد بما في ذلك تجريم أنشطة التبشير (المادة 18).</w:t>
      </w:r>
    </w:p>
    <w:p w:rsidR="00A76C08" w:rsidRPr="005974B5" w:rsidRDefault="006810C1" w:rsidP="003C2286">
      <w:pPr>
        <w:pStyle w:val="SingleTxtGA"/>
        <w:rPr>
          <w:rFonts w:hint="cs"/>
          <w:b/>
          <w:bCs/>
          <w:rtl/>
          <w:lang w:val="fr-CH"/>
        </w:rPr>
      </w:pPr>
      <w:r>
        <w:rPr>
          <w:rFonts w:hint="cs"/>
          <w:b/>
          <w:bCs/>
          <w:rtl/>
          <w:lang w:val="fr-CH"/>
        </w:rPr>
        <w:tab/>
      </w:r>
      <w:r w:rsidR="00A76C08" w:rsidRPr="005974B5">
        <w:rPr>
          <w:rFonts w:hint="cs"/>
          <w:b/>
          <w:bCs/>
          <w:rtl/>
          <w:lang w:val="fr-CH"/>
        </w:rPr>
        <w:t xml:space="preserve">ينبغي للدولة الطرف تعديل تشريعاتها لكي </w:t>
      </w:r>
      <w:r w:rsidR="003C2286">
        <w:rPr>
          <w:rFonts w:hint="cs"/>
          <w:b/>
          <w:bCs/>
          <w:rtl/>
          <w:lang w:val="fr-CH"/>
        </w:rPr>
        <w:t>تتماشى</w:t>
      </w:r>
      <w:r w:rsidR="00A76C08" w:rsidRPr="005974B5">
        <w:rPr>
          <w:rFonts w:hint="cs"/>
          <w:b/>
          <w:bCs/>
          <w:rtl/>
          <w:lang w:val="fr-CH"/>
        </w:rPr>
        <w:t xml:space="preserve"> مع متطلبات المادة 18 من العهد بما في ذلك من خلال إلغاء تجريم أنشطة التبشير.</w:t>
      </w:r>
    </w:p>
    <w:p w:rsidR="00A76C08" w:rsidRDefault="00A76C08" w:rsidP="003C2286">
      <w:pPr>
        <w:pStyle w:val="SingleTxtGA"/>
        <w:rPr>
          <w:rFonts w:hint="cs"/>
          <w:rtl/>
          <w:lang w:val="fr-CH"/>
        </w:rPr>
      </w:pPr>
      <w:r>
        <w:rPr>
          <w:rFonts w:hint="cs"/>
          <w:rtl/>
          <w:lang w:val="fr-CH"/>
        </w:rPr>
        <w:t>25-</w:t>
      </w:r>
      <w:r>
        <w:rPr>
          <w:rFonts w:hint="cs"/>
          <w:rtl/>
          <w:lang w:val="fr-CH"/>
        </w:rPr>
        <w:tab/>
        <w:t xml:space="preserve">ويساور اللجنة القلق لأن قانون الخدمة البديلة للخدمة العسكرية بصيغته المعدلة في عامي 2004 </w:t>
      </w:r>
      <w:proofErr w:type="spellStart"/>
      <w:r>
        <w:rPr>
          <w:rFonts w:hint="cs"/>
          <w:rtl/>
          <w:lang w:val="fr-CH"/>
        </w:rPr>
        <w:t>و2006</w:t>
      </w:r>
      <w:proofErr w:type="spellEnd"/>
      <w:r>
        <w:rPr>
          <w:rFonts w:hint="cs"/>
          <w:rtl/>
          <w:lang w:val="fr-CH"/>
        </w:rPr>
        <w:t xml:space="preserve"> لا يزال لا يكفل للمستنكفين ضميرياً عن تأدية الخدمة العسكرية خدمة بديلة حقيقية ذات طبيعة مدنية واضحة. ويساور اللجنة القلق أيضاً لأن </w:t>
      </w:r>
      <w:r w:rsidR="003C2286">
        <w:rPr>
          <w:rFonts w:hint="cs"/>
          <w:rtl/>
          <w:lang w:val="fr-CH"/>
        </w:rPr>
        <w:t>ال</w:t>
      </w:r>
      <w:r>
        <w:rPr>
          <w:rFonts w:hint="cs"/>
          <w:rtl/>
          <w:lang w:val="fr-CH"/>
        </w:rPr>
        <w:t>مستنكفي</w:t>
      </w:r>
      <w:r w:rsidR="003C2286">
        <w:rPr>
          <w:rFonts w:hint="cs"/>
          <w:rtl/>
          <w:lang w:val="fr-CH"/>
        </w:rPr>
        <w:t>ن</w:t>
      </w:r>
      <w:r>
        <w:rPr>
          <w:rFonts w:hint="cs"/>
          <w:rtl/>
          <w:lang w:val="fr-CH"/>
        </w:rPr>
        <w:t xml:space="preserve"> ضمير</w:t>
      </w:r>
      <w:r w:rsidR="003C2286">
        <w:rPr>
          <w:rFonts w:hint="cs"/>
          <w:rtl/>
          <w:lang w:val="fr-CH"/>
        </w:rPr>
        <w:t>ياً</w:t>
      </w:r>
      <w:r>
        <w:rPr>
          <w:rFonts w:hint="cs"/>
          <w:rtl/>
          <w:lang w:val="fr-CH"/>
        </w:rPr>
        <w:t xml:space="preserve"> عن تأدية الخدمة العسكرية هم في الغالبية من شهود يهوه</w:t>
      </w:r>
      <w:r w:rsidR="003C2286">
        <w:rPr>
          <w:rFonts w:hint="cs"/>
          <w:rtl/>
          <w:lang w:val="fr-CH"/>
        </w:rPr>
        <w:t>،</w:t>
      </w:r>
      <w:r>
        <w:rPr>
          <w:rFonts w:hint="cs"/>
          <w:rtl/>
          <w:lang w:val="fr-CH"/>
        </w:rPr>
        <w:t xml:space="preserve"> ولا يزالون يواجهون السجن عندما يرفضون أداء الخدمة العسكرية والخدمة البديلة للخدمة العسكرية المعمول بها (المادتان 18 </w:t>
      </w:r>
      <w:proofErr w:type="spellStart"/>
      <w:r>
        <w:rPr>
          <w:rFonts w:hint="cs"/>
          <w:rtl/>
          <w:lang w:val="fr-CH"/>
        </w:rPr>
        <w:t>و26</w:t>
      </w:r>
      <w:proofErr w:type="spellEnd"/>
      <w:r>
        <w:rPr>
          <w:rFonts w:hint="cs"/>
          <w:rtl/>
          <w:lang w:val="fr-CH"/>
        </w:rPr>
        <w:t>).</w:t>
      </w:r>
    </w:p>
    <w:p w:rsidR="00A76C08" w:rsidRPr="005974B5" w:rsidRDefault="003C2286" w:rsidP="003C2286">
      <w:pPr>
        <w:pStyle w:val="SingleTxtGA"/>
        <w:rPr>
          <w:rFonts w:hint="cs"/>
          <w:b/>
          <w:bCs/>
          <w:rtl/>
          <w:lang w:val="fr-CH"/>
        </w:rPr>
      </w:pPr>
      <w:r>
        <w:rPr>
          <w:rFonts w:hint="cs"/>
          <w:b/>
          <w:bCs/>
          <w:rtl/>
          <w:lang w:val="fr-CH"/>
        </w:rPr>
        <w:tab/>
      </w:r>
      <w:r w:rsidR="00A76C08" w:rsidRPr="005974B5">
        <w:rPr>
          <w:rFonts w:hint="cs"/>
          <w:b/>
          <w:bCs/>
          <w:rtl/>
          <w:lang w:val="fr-CH"/>
        </w:rPr>
        <w:t xml:space="preserve">ينبغي للدولة الطرف أن تنشئ آلية </w:t>
      </w:r>
      <w:r w:rsidR="00A76C08">
        <w:rPr>
          <w:rFonts w:hint="cs"/>
          <w:b/>
          <w:bCs/>
          <w:rtl/>
          <w:lang w:val="fr-CH"/>
        </w:rPr>
        <w:t xml:space="preserve">لخدمة </w:t>
      </w:r>
      <w:r w:rsidR="00A76C08" w:rsidRPr="005974B5">
        <w:rPr>
          <w:rFonts w:hint="cs"/>
          <w:b/>
          <w:bCs/>
          <w:rtl/>
          <w:lang w:val="fr-CH"/>
        </w:rPr>
        <w:t xml:space="preserve">بديلة للخدمة العسكرية تكون فعلاً غير عسكرية، ومتاحة </w:t>
      </w:r>
      <w:r>
        <w:rPr>
          <w:rFonts w:hint="cs"/>
          <w:b/>
          <w:bCs/>
          <w:rtl/>
          <w:lang w:val="fr-CH"/>
        </w:rPr>
        <w:t>ل</w:t>
      </w:r>
      <w:r w:rsidR="00A76C08" w:rsidRPr="005974B5">
        <w:rPr>
          <w:rFonts w:hint="cs"/>
          <w:b/>
          <w:bCs/>
          <w:rtl/>
          <w:lang w:val="fr-CH"/>
        </w:rPr>
        <w:t>جميع المستنكفين ضميرياً على ألاّ تكون عقابية ولا تمييزية من حيث طبيعتها أو تكلفتها أو مدتها. وينبغي للدولة الطرف أيضاً أن تفرج عن جميع المستنكفين ضميرياً الذين تم سجنهم لأنهم رفضوا أداء الخدمة العسكرية أو أداء الخدمة القائمة البديلة للخدمة العسكرية.</w:t>
      </w:r>
    </w:p>
    <w:p w:rsidR="00A76C08" w:rsidRDefault="00A76C08" w:rsidP="00FB701F">
      <w:pPr>
        <w:pStyle w:val="SingleTxtGA"/>
        <w:rPr>
          <w:rFonts w:hint="cs"/>
          <w:rtl/>
          <w:lang w:val="fr-CH"/>
        </w:rPr>
      </w:pPr>
      <w:r>
        <w:rPr>
          <w:rFonts w:hint="cs"/>
          <w:rtl/>
          <w:lang w:val="fr-CH"/>
        </w:rPr>
        <w:t>26-</w:t>
      </w:r>
      <w:r>
        <w:rPr>
          <w:rFonts w:hint="cs"/>
          <w:rtl/>
          <w:lang w:val="fr-CH"/>
        </w:rPr>
        <w:tab/>
        <w:t>ويساور اللجنة القلق إزاء المعلومات الواردة بشأن التهديدات والهجمات على الصحفيين والمدافعين عن حقوق الإنسان (المادة 19).</w:t>
      </w:r>
    </w:p>
    <w:p w:rsidR="00A76C08" w:rsidRPr="000737FF" w:rsidRDefault="003C2286" w:rsidP="003B3F1D">
      <w:pPr>
        <w:pStyle w:val="SingleTxtGA"/>
        <w:rPr>
          <w:rFonts w:hint="cs"/>
          <w:b/>
          <w:bCs/>
          <w:spacing w:val="-4"/>
          <w:rtl/>
          <w:lang w:val="fr-CH"/>
        </w:rPr>
      </w:pPr>
      <w:r w:rsidRPr="000737FF">
        <w:rPr>
          <w:rFonts w:hint="cs"/>
          <w:b/>
          <w:bCs/>
          <w:spacing w:val="-4"/>
          <w:rtl/>
          <w:lang w:val="fr-CH"/>
        </w:rPr>
        <w:tab/>
      </w:r>
      <w:r w:rsidR="00A76C08" w:rsidRPr="000737FF">
        <w:rPr>
          <w:rFonts w:hint="cs"/>
          <w:b/>
          <w:bCs/>
          <w:spacing w:val="-4"/>
          <w:rtl/>
          <w:lang w:val="fr-CH"/>
        </w:rPr>
        <w:t>ينبغي للدولة الطرف أن تكفل حماية الصحفيين والمدافعين عن حقوق الإنسان من التهديدات والهجمات</w:t>
      </w:r>
      <w:r w:rsidR="00C11D26" w:rsidRPr="000737FF">
        <w:rPr>
          <w:rFonts w:hint="cs"/>
          <w:b/>
          <w:bCs/>
          <w:spacing w:val="-4"/>
          <w:rtl/>
          <w:lang w:val="fr-CH"/>
        </w:rPr>
        <w:t>،</w:t>
      </w:r>
      <w:r w:rsidR="00A76C08" w:rsidRPr="000737FF">
        <w:rPr>
          <w:rFonts w:hint="cs"/>
          <w:b/>
          <w:bCs/>
          <w:spacing w:val="-4"/>
          <w:rtl/>
          <w:lang w:val="fr-CH"/>
        </w:rPr>
        <w:t xml:space="preserve"> </w:t>
      </w:r>
      <w:r w:rsidR="003B3F1D" w:rsidRPr="000737FF">
        <w:rPr>
          <w:rFonts w:hint="cs"/>
          <w:b/>
          <w:bCs/>
          <w:spacing w:val="-4"/>
          <w:rtl/>
          <w:lang w:val="fr-CH"/>
        </w:rPr>
        <w:t>وإجراء التحقيقات</w:t>
      </w:r>
      <w:r w:rsidR="00A76C08" w:rsidRPr="000737FF">
        <w:rPr>
          <w:rFonts w:hint="cs"/>
          <w:b/>
          <w:bCs/>
          <w:spacing w:val="-4"/>
          <w:rtl/>
          <w:lang w:val="fr-CH"/>
        </w:rPr>
        <w:t xml:space="preserve"> </w:t>
      </w:r>
      <w:r w:rsidR="003B3F1D" w:rsidRPr="000737FF">
        <w:rPr>
          <w:rFonts w:hint="cs"/>
          <w:b/>
          <w:bCs/>
          <w:spacing w:val="-4"/>
          <w:rtl/>
          <w:lang w:val="fr-CH"/>
        </w:rPr>
        <w:t>ال</w:t>
      </w:r>
      <w:r w:rsidR="00A76C08" w:rsidRPr="000737FF">
        <w:rPr>
          <w:rFonts w:hint="cs"/>
          <w:b/>
          <w:bCs/>
          <w:spacing w:val="-4"/>
          <w:rtl/>
          <w:lang w:val="fr-CH"/>
        </w:rPr>
        <w:t>فوري</w:t>
      </w:r>
      <w:r w:rsidR="003B3F1D" w:rsidRPr="000737FF">
        <w:rPr>
          <w:rFonts w:hint="cs"/>
          <w:b/>
          <w:bCs/>
          <w:spacing w:val="-4"/>
          <w:rtl/>
          <w:lang w:val="fr-CH"/>
        </w:rPr>
        <w:t>ة</w:t>
      </w:r>
      <w:r w:rsidR="00A76C08" w:rsidRPr="000737FF">
        <w:rPr>
          <w:rFonts w:hint="cs"/>
          <w:b/>
          <w:bCs/>
          <w:spacing w:val="-4"/>
          <w:rtl/>
          <w:lang w:val="fr-CH"/>
        </w:rPr>
        <w:t xml:space="preserve"> و</w:t>
      </w:r>
      <w:r w:rsidR="003B3F1D" w:rsidRPr="000737FF">
        <w:rPr>
          <w:rFonts w:hint="cs"/>
          <w:b/>
          <w:bCs/>
          <w:spacing w:val="-4"/>
          <w:rtl/>
          <w:lang w:val="fr-CH"/>
        </w:rPr>
        <w:t xml:space="preserve">الشاملة </w:t>
      </w:r>
      <w:r w:rsidR="00A76C08" w:rsidRPr="000737FF">
        <w:rPr>
          <w:rFonts w:hint="cs"/>
          <w:b/>
          <w:bCs/>
          <w:spacing w:val="-4"/>
          <w:rtl/>
          <w:lang w:val="fr-CH"/>
        </w:rPr>
        <w:t xml:space="preserve">في جميع الادعاءات المتعلقة </w:t>
      </w:r>
      <w:r w:rsidR="0051146A">
        <w:rPr>
          <w:rFonts w:hint="cs"/>
          <w:b/>
          <w:bCs/>
          <w:spacing w:val="-4"/>
          <w:rtl/>
          <w:lang w:val="fr-CH"/>
        </w:rPr>
        <w:t>ب</w:t>
      </w:r>
      <w:r w:rsidR="00A76C08" w:rsidRPr="000737FF">
        <w:rPr>
          <w:rFonts w:hint="cs"/>
          <w:b/>
          <w:bCs/>
          <w:spacing w:val="-4"/>
          <w:rtl/>
          <w:lang w:val="fr-CH"/>
        </w:rPr>
        <w:t>هذه الأفعال، ومقاضاة ومعاقبة الجناة</w:t>
      </w:r>
      <w:r w:rsidR="003B3F1D" w:rsidRPr="000737FF">
        <w:rPr>
          <w:rFonts w:hint="cs"/>
          <w:b/>
          <w:bCs/>
          <w:spacing w:val="-4"/>
          <w:rtl/>
          <w:lang w:val="fr-CH"/>
        </w:rPr>
        <w:t>،</w:t>
      </w:r>
      <w:r w:rsidR="00A76C08" w:rsidRPr="000737FF">
        <w:rPr>
          <w:rFonts w:hint="cs"/>
          <w:b/>
          <w:bCs/>
          <w:spacing w:val="-4"/>
          <w:rtl/>
          <w:lang w:val="fr-CH"/>
        </w:rPr>
        <w:t xml:space="preserve"> وأن تكفل أيضاً </w:t>
      </w:r>
      <w:r w:rsidR="003B3F1D" w:rsidRPr="000737FF">
        <w:rPr>
          <w:rFonts w:hint="cs"/>
          <w:b/>
          <w:bCs/>
          <w:spacing w:val="-4"/>
          <w:rtl/>
          <w:lang w:val="fr-CH"/>
        </w:rPr>
        <w:t>إمكانية ح</w:t>
      </w:r>
      <w:r w:rsidR="00A76C08" w:rsidRPr="000737FF">
        <w:rPr>
          <w:rFonts w:hint="cs"/>
          <w:b/>
          <w:bCs/>
          <w:spacing w:val="-4"/>
          <w:rtl/>
          <w:lang w:val="fr-CH"/>
        </w:rPr>
        <w:t xml:space="preserve">صول الضحايا </w:t>
      </w:r>
      <w:r w:rsidR="003B3F1D" w:rsidRPr="000737FF">
        <w:rPr>
          <w:rFonts w:hint="cs"/>
          <w:b/>
          <w:bCs/>
          <w:spacing w:val="-4"/>
          <w:rtl/>
          <w:lang w:val="fr-CH"/>
        </w:rPr>
        <w:t>على</w:t>
      </w:r>
      <w:r w:rsidR="00A76C08" w:rsidRPr="000737FF">
        <w:rPr>
          <w:rFonts w:hint="cs"/>
          <w:b/>
          <w:bCs/>
          <w:spacing w:val="-4"/>
          <w:rtl/>
          <w:lang w:val="fr-CH"/>
        </w:rPr>
        <w:t xml:space="preserve"> التعويض.</w:t>
      </w:r>
    </w:p>
    <w:p w:rsidR="00A76C08" w:rsidRPr="00FB701F" w:rsidRDefault="00A76C08" w:rsidP="000737FF">
      <w:pPr>
        <w:pStyle w:val="SingleTxtGA"/>
        <w:rPr>
          <w:rFonts w:hint="cs"/>
          <w:spacing w:val="-2"/>
          <w:rtl/>
          <w:lang w:val="fr-CH"/>
        </w:rPr>
      </w:pPr>
      <w:r>
        <w:rPr>
          <w:rFonts w:hint="cs"/>
          <w:rtl/>
          <w:lang w:val="fr-CH"/>
        </w:rPr>
        <w:t>27</w:t>
      </w:r>
      <w:r w:rsidRPr="00FB701F">
        <w:rPr>
          <w:rFonts w:hint="cs"/>
          <w:spacing w:val="-2"/>
          <w:rtl/>
          <w:lang w:val="fr-CH"/>
        </w:rPr>
        <w:t>-</w:t>
      </w:r>
      <w:r w:rsidRPr="00FB701F">
        <w:rPr>
          <w:rFonts w:hint="cs"/>
          <w:spacing w:val="-2"/>
          <w:rtl/>
          <w:lang w:val="fr-CH"/>
        </w:rPr>
        <w:tab/>
        <w:t xml:space="preserve">وينبغي للدولة الطرف أن تنشر على نطاق واسع العهد ونص التقرير الدوري الثاني وردودها الخطية على قائمة </w:t>
      </w:r>
      <w:r w:rsidR="000737FF">
        <w:rPr>
          <w:rFonts w:hint="cs"/>
          <w:spacing w:val="-2"/>
          <w:rtl/>
          <w:lang w:val="fr-CH"/>
        </w:rPr>
        <w:t>القضايا</w:t>
      </w:r>
      <w:r w:rsidRPr="00FB701F">
        <w:rPr>
          <w:rFonts w:hint="cs"/>
          <w:spacing w:val="-2"/>
          <w:rtl/>
          <w:lang w:val="fr-CH"/>
        </w:rPr>
        <w:t xml:space="preserve"> التي وضعتها اللجنة وهذه الملاحظات الختامية بهدف إذكاء وعي السلطات القضائية والتشريعية والإدارية والمجتمع المدني والمنظمات غير الحكومية العاملة في البلد، فضلاً عن عامة الناس. وتقترح اللجنة ترجمة التقرير والملاحظات الختامية باللغات الرسمية في الدولة الطرف. </w:t>
      </w:r>
      <w:r w:rsidR="000737FF">
        <w:rPr>
          <w:rFonts w:hint="cs"/>
          <w:spacing w:val="-2"/>
          <w:rtl/>
          <w:lang w:val="fr-CH"/>
        </w:rPr>
        <w:t>و</w:t>
      </w:r>
      <w:r w:rsidRPr="00FB701F">
        <w:rPr>
          <w:rFonts w:hint="cs"/>
          <w:spacing w:val="-2"/>
          <w:rtl/>
          <w:lang w:val="fr-CH"/>
        </w:rPr>
        <w:t xml:space="preserve">تطلب اللجنة </w:t>
      </w:r>
      <w:r w:rsidR="000737FF">
        <w:rPr>
          <w:rFonts w:hint="cs"/>
          <w:spacing w:val="-2"/>
          <w:rtl/>
          <w:lang w:val="fr-CH"/>
        </w:rPr>
        <w:t xml:space="preserve">أيضاً </w:t>
      </w:r>
      <w:r w:rsidRPr="00FB701F">
        <w:rPr>
          <w:rFonts w:hint="cs"/>
          <w:spacing w:val="-2"/>
          <w:rtl/>
          <w:lang w:val="fr-CH"/>
        </w:rPr>
        <w:t>إلى الدولة الطرف عقد مشاورات واسعة مع المجتمع المدني والمنظمات غير الحكومية لدى إعداد تقريرها الدوري الرابع.</w:t>
      </w:r>
    </w:p>
    <w:p w:rsidR="00A76C08" w:rsidRDefault="00A76C08" w:rsidP="00FB701F">
      <w:pPr>
        <w:pStyle w:val="SingleTxtGA"/>
        <w:rPr>
          <w:rFonts w:hint="cs"/>
          <w:rtl/>
          <w:lang w:val="fr-CH"/>
        </w:rPr>
      </w:pPr>
      <w:r>
        <w:rPr>
          <w:rFonts w:hint="cs"/>
          <w:rtl/>
          <w:lang w:val="fr-CH"/>
        </w:rPr>
        <w:t>28-</w:t>
      </w:r>
      <w:r>
        <w:rPr>
          <w:rFonts w:hint="cs"/>
          <w:rtl/>
          <w:lang w:val="fr-CH"/>
        </w:rPr>
        <w:tab/>
        <w:t xml:space="preserve">ووفقاً للفقرة 5 من المادة 71 للنظام الداخلي للجنة، ينبغي للدولة الطرف أن تقدم في غضون عام واحد معلومات عن تنفيذها توصيات اللجنة الواردة في الفقرات 12 </w:t>
      </w:r>
      <w:proofErr w:type="spellStart"/>
      <w:r>
        <w:rPr>
          <w:rFonts w:hint="cs"/>
          <w:rtl/>
          <w:lang w:val="fr-CH"/>
        </w:rPr>
        <w:t>و14</w:t>
      </w:r>
      <w:proofErr w:type="spellEnd"/>
      <w:r>
        <w:rPr>
          <w:rFonts w:hint="cs"/>
          <w:rtl/>
          <w:lang w:val="fr-CH"/>
        </w:rPr>
        <w:t xml:space="preserve"> </w:t>
      </w:r>
      <w:proofErr w:type="spellStart"/>
      <w:r>
        <w:rPr>
          <w:rFonts w:hint="cs"/>
          <w:rtl/>
          <w:lang w:val="fr-CH"/>
        </w:rPr>
        <w:t>و21</w:t>
      </w:r>
      <w:proofErr w:type="spellEnd"/>
      <w:r>
        <w:rPr>
          <w:rFonts w:hint="cs"/>
          <w:rtl/>
          <w:lang w:val="fr-CH"/>
        </w:rPr>
        <w:t xml:space="preserve"> من هذه الملاحظات الختامية.</w:t>
      </w:r>
    </w:p>
    <w:p w:rsidR="00A76C08" w:rsidRPr="00FB701F" w:rsidRDefault="00A76C08" w:rsidP="000737FF">
      <w:pPr>
        <w:pStyle w:val="SingleTxtGA"/>
        <w:rPr>
          <w:rFonts w:hint="cs"/>
          <w:spacing w:val="-2"/>
          <w:rtl/>
          <w:lang w:val="fr-CH"/>
        </w:rPr>
      </w:pPr>
      <w:r w:rsidRPr="00FB701F">
        <w:rPr>
          <w:rFonts w:hint="cs"/>
          <w:spacing w:val="-2"/>
          <w:rtl/>
          <w:lang w:val="fr-CH"/>
        </w:rPr>
        <w:t>29-</w:t>
      </w:r>
      <w:r w:rsidRPr="00FB701F">
        <w:rPr>
          <w:rFonts w:hint="cs"/>
          <w:spacing w:val="-2"/>
          <w:rtl/>
          <w:lang w:val="fr-CH"/>
        </w:rPr>
        <w:tab/>
        <w:t xml:space="preserve">وتطلب اللجنة إلى الدولة الطرف أن يتضمن تقريرها الدوري المقبل، الذي ينبغي تقديمه </w:t>
      </w:r>
      <w:r w:rsidR="000737FF">
        <w:rPr>
          <w:rFonts w:hint="cs"/>
          <w:spacing w:val="-2"/>
          <w:rtl/>
          <w:lang w:val="fr-CH"/>
        </w:rPr>
        <w:t>بحلول</w:t>
      </w:r>
      <w:r w:rsidRPr="00FB701F">
        <w:rPr>
          <w:rFonts w:hint="cs"/>
          <w:spacing w:val="-2"/>
          <w:rtl/>
          <w:lang w:val="fr-CH"/>
        </w:rPr>
        <w:t xml:space="preserve"> 27 تموز/يوليه 2016</w:t>
      </w:r>
      <w:r w:rsidR="000737FF">
        <w:rPr>
          <w:rFonts w:hint="cs"/>
          <w:spacing w:val="-2"/>
          <w:rtl/>
          <w:lang w:val="fr-CH"/>
        </w:rPr>
        <w:t>،</w:t>
      </w:r>
      <w:r w:rsidRPr="00FB701F">
        <w:rPr>
          <w:rFonts w:hint="cs"/>
          <w:spacing w:val="-2"/>
          <w:rtl/>
          <w:lang w:val="fr-CH"/>
        </w:rPr>
        <w:t xml:space="preserve"> معلومات </w:t>
      </w:r>
      <w:r w:rsidR="000737FF">
        <w:rPr>
          <w:rFonts w:hint="cs"/>
          <w:spacing w:val="-2"/>
          <w:rtl/>
          <w:lang w:val="fr-CH"/>
        </w:rPr>
        <w:t xml:space="preserve">محددة ومستوفاة </w:t>
      </w:r>
      <w:r w:rsidRPr="00FB701F">
        <w:rPr>
          <w:rFonts w:hint="cs"/>
          <w:spacing w:val="-2"/>
          <w:rtl/>
          <w:lang w:val="fr-CH"/>
        </w:rPr>
        <w:t>عن جميع التوصيات و</w:t>
      </w:r>
      <w:r w:rsidR="000737FF">
        <w:rPr>
          <w:rFonts w:hint="cs"/>
          <w:spacing w:val="-2"/>
          <w:rtl/>
          <w:lang w:val="fr-CH"/>
        </w:rPr>
        <w:t xml:space="preserve">عن </w:t>
      </w:r>
      <w:r w:rsidRPr="00FB701F">
        <w:rPr>
          <w:rFonts w:hint="cs"/>
          <w:spacing w:val="-2"/>
          <w:rtl/>
          <w:lang w:val="fr-CH"/>
        </w:rPr>
        <w:t>امتثالها لأحكام العهد إجمالاً.</w:t>
      </w:r>
    </w:p>
    <w:p w:rsidR="008B4BC6" w:rsidRPr="00FB701F" w:rsidRDefault="00FB701F" w:rsidP="00FB701F">
      <w:pPr>
        <w:spacing w:before="120"/>
        <w:jc w:val="center"/>
        <w:rPr>
          <w:rFonts w:hint="cs"/>
          <w:u w:val="single"/>
          <w:rtl/>
        </w:rPr>
      </w:pPr>
      <w:r>
        <w:rPr>
          <w:u w:val="single"/>
          <w:rtl/>
        </w:rPr>
        <w:tab/>
      </w:r>
      <w:r>
        <w:rPr>
          <w:u w:val="single"/>
          <w:rtl/>
        </w:rPr>
        <w:tab/>
      </w:r>
      <w:r>
        <w:rPr>
          <w:u w:val="single"/>
          <w:rtl/>
        </w:rPr>
        <w:tab/>
      </w:r>
    </w:p>
    <w:sectPr w:rsidR="008B4BC6" w:rsidRPr="00FB701F"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923" w:rsidRPr="00FE6865" w:rsidRDefault="008A5923" w:rsidP="00FE6865">
      <w:pPr>
        <w:pStyle w:val="Footer"/>
      </w:pPr>
    </w:p>
  </w:endnote>
  <w:endnote w:type="continuationSeparator" w:id="0">
    <w:p w:rsidR="008A5923" w:rsidRDefault="008A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08" w:rsidRPr="00A76C08" w:rsidRDefault="00A76C08" w:rsidP="00A76C08">
    <w:pPr>
      <w:pStyle w:val="Footer"/>
      <w:tabs>
        <w:tab w:val="right" w:pos="9598"/>
      </w:tabs>
    </w:pPr>
    <w:r>
      <w:t>GE.12-45522</w:t>
    </w:r>
    <w:r>
      <w:tab/>
    </w:r>
    <w:r w:rsidRPr="00A76C08">
      <w:rPr>
        <w:b/>
        <w:sz w:val="18"/>
      </w:rPr>
      <w:fldChar w:fldCharType="begin"/>
    </w:r>
    <w:r w:rsidRPr="00A76C08">
      <w:rPr>
        <w:b/>
        <w:sz w:val="18"/>
      </w:rPr>
      <w:instrText xml:space="preserve"> PAGE  \* MERGEFORMAT </w:instrText>
    </w:r>
    <w:r w:rsidRPr="00A76C08">
      <w:rPr>
        <w:b/>
        <w:sz w:val="18"/>
      </w:rPr>
      <w:fldChar w:fldCharType="separate"/>
    </w:r>
    <w:r w:rsidR="00922068">
      <w:rPr>
        <w:b/>
        <w:noProof/>
        <w:sz w:val="18"/>
      </w:rPr>
      <w:t>8</w:t>
    </w:r>
    <w:r w:rsidRPr="00A76C0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08" w:rsidRPr="00A76C08" w:rsidRDefault="00A76C08" w:rsidP="00A76C08">
    <w:pPr>
      <w:pStyle w:val="Footer"/>
      <w:tabs>
        <w:tab w:val="right" w:pos="9598"/>
      </w:tabs>
      <w:rPr>
        <w:b/>
        <w:sz w:val="18"/>
      </w:rPr>
    </w:pPr>
    <w:r w:rsidRPr="00A76C08">
      <w:rPr>
        <w:b/>
        <w:sz w:val="18"/>
      </w:rPr>
      <w:fldChar w:fldCharType="begin"/>
    </w:r>
    <w:r w:rsidRPr="00A76C08">
      <w:rPr>
        <w:b/>
        <w:sz w:val="18"/>
      </w:rPr>
      <w:instrText xml:space="preserve"> PAGE  \* MERGEFORMAT </w:instrText>
    </w:r>
    <w:r w:rsidRPr="00A76C08">
      <w:rPr>
        <w:b/>
        <w:sz w:val="18"/>
      </w:rPr>
      <w:fldChar w:fldCharType="separate"/>
    </w:r>
    <w:r w:rsidR="00922068">
      <w:rPr>
        <w:b/>
        <w:noProof/>
        <w:sz w:val="18"/>
      </w:rPr>
      <w:t>7</w:t>
    </w:r>
    <w:r w:rsidRPr="00A76C08">
      <w:rPr>
        <w:b/>
        <w:sz w:val="18"/>
      </w:rPr>
      <w:fldChar w:fldCharType="end"/>
    </w:r>
    <w:r>
      <w:rPr>
        <w:b/>
        <w:sz w:val="18"/>
      </w:rPr>
      <w:tab/>
    </w:r>
    <w:r>
      <w:t>GE.12-45522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0C9" w:rsidRDefault="00A76C08" w:rsidP="00F35F96">
    <w:pPr>
      <w:pStyle w:val="Footer"/>
      <w:jc w:val="right"/>
    </w:pPr>
    <w:r>
      <w:rPr>
        <w:sz w:val="20"/>
      </w:rPr>
      <w:t>(A)   GE.12-45522</w:t>
    </w:r>
    <w:r w:rsidR="008A00C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095355">
      <w:rPr>
        <w:sz w:val="20"/>
      </w:rPr>
      <w:t xml:space="preserve">    280912    </w:t>
    </w:r>
    <w:r w:rsidR="00F35F96">
      <w:rPr>
        <w:sz w:val="20"/>
      </w:rPr>
      <w:t>30</w:t>
    </w:r>
    <w:r w:rsidR="00095355">
      <w:rPr>
        <w:sz w:val="20"/>
      </w:rPr>
      <w:t>0912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923" w:rsidRDefault="008A5923" w:rsidP="007E4686">
      <w:pPr>
        <w:pStyle w:val="Footer"/>
        <w:bidi/>
        <w:spacing w:after="80" w:line="200" w:lineRule="exact"/>
        <w:ind w:left="680"/>
      </w:pPr>
      <w:r>
        <w:rPr>
          <w:rFonts w:hint="cs"/>
          <w:rtl/>
        </w:rPr>
        <w:t>__________</w:t>
      </w:r>
    </w:p>
  </w:footnote>
  <w:footnote w:type="continuationSeparator" w:id="0">
    <w:p w:rsidR="008A5923" w:rsidRDefault="008A5923" w:rsidP="007E4686">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08" w:rsidRPr="00A76C08" w:rsidRDefault="00A76C08" w:rsidP="00A76C08">
    <w:pPr>
      <w:pStyle w:val="Header"/>
      <w:jc w:val="right"/>
    </w:pPr>
    <w:r w:rsidRPr="00A76C08">
      <w:t>CCPR/C/ARM/CO/2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0C9" w:rsidRPr="00A76C08" w:rsidRDefault="00A76C08" w:rsidP="00A76C08">
    <w:pPr>
      <w:pStyle w:val="Header"/>
      <w:jc w:val="left"/>
    </w:pPr>
    <w:r w:rsidRPr="00A76C08">
      <w:t>CCPR/C/ARM/CO/2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0C9" w:rsidRDefault="008A00C9"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8A00C9" w:rsidRPr="008F6743" w:rsidRDefault="008A00C9"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477A19"/>
    <w:multiLevelType w:val="hybridMultilevel"/>
    <w:tmpl w:val="84563564"/>
    <w:lvl w:ilvl="0" w:tplc="4C8E665E">
      <w:start w:val="15"/>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4"/>
  </w:num>
  <w:num w:numId="4">
    <w:abstractNumId w:val="11"/>
  </w:num>
  <w:num w:numId="5">
    <w:abstractNumId w:val="8"/>
  </w:num>
  <w:num w:numId="6">
    <w:abstractNumId w:val="21"/>
  </w:num>
  <w:num w:numId="7">
    <w:abstractNumId w:val="10"/>
  </w:num>
  <w:num w:numId="8">
    <w:abstractNumId w:val="9"/>
  </w:num>
  <w:num w:numId="9">
    <w:abstractNumId w:val="13"/>
  </w:num>
  <w:num w:numId="10">
    <w:abstractNumId w:val="20"/>
  </w:num>
  <w:num w:numId="11">
    <w:abstractNumId w:val="1"/>
  </w:num>
  <w:num w:numId="12">
    <w:abstractNumId w:val="14"/>
  </w:num>
  <w:num w:numId="13">
    <w:abstractNumId w:val="11"/>
  </w:num>
  <w:num w:numId="14">
    <w:abstractNumId w:val="8"/>
  </w:num>
  <w:num w:numId="15">
    <w:abstractNumId w:val="21"/>
  </w:num>
  <w:num w:numId="16">
    <w:abstractNumId w:val="1"/>
  </w:num>
  <w:num w:numId="17">
    <w:abstractNumId w:val="14"/>
  </w:num>
  <w:num w:numId="18">
    <w:abstractNumId w:val="11"/>
  </w:num>
  <w:num w:numId="19">
    <w:abstractNumId w:val="8"/>
  </w:num>
  <w:num w:numId="20">
    <w:abstractNumId w:val="21"/>
  </w:num>
  <w:num w:numId="21">
    <w:abstractNumId w:val="1"/>
  </w:num>
  <w:num w:numId="22">
    <w:abstractNumId w:val="14"/>
  </w:num>
  <w:num w:numId="23">
    <w:abstractNumId w:val="8"/>
  </w:num>
  <w:num w:numId="24">
    <w:abstractNumId w:val="21"/>
  </w:num>
  <w:num w:numId="25">
    <w:abstractNumId w:val="14"/>
  </w:num>
  <w:num w:numId="26">
    <w:abstractNumId w:val="1"/>
  </w:num>
  <w:num w:numId="27">
    <w:abstractNumId w:val="3"/>
  </w:num>
  <w:num w:numId="28">
    <w:abstractNumId w:val="2"/>
  </w:num>
  <w:num w:numId="29">
    <w:abstractNumId w:val="16"/>
  </w:num>
  <w:num w:numId="30">
    <w:abstractNumId w:val="4"/>
  </w:num>
  <w:num w:numId="31">
    <w:abstractNumId w:val="7"/>
  </w:num>
  <w:num w:numId="32">
    <w:abstractNumId w:val="15"/>
  </w:num>
  <w:num w:numId="33">
    <w:abstractNumId w:val="18"/>
  </w:num>
  <w:num w:numId="34">
    <w:abstractNumId w:val="22"/>
  </w:num>
  <w:num w:numId="35">
    <w:abstractNumId w:val="5"/>
  </w:num>
  <w:num w:numId="36">
    <w:abstractNumId w:val="17"/>
  </w:num>
  <w:num w:numId="37">
    <w:abstractNumId w:val="19"/>
  </w:num>
  <w:num w:numId="38">
    <w:abstractNumId w:val="0"/>
  </w:num>
  <w:num w:numId="39">
    <w:abstractNumId w:val="6"/>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0C9"/>
    <w:rsid w:val="0003456A"/>
    <w:rsid w:val="00040E25"/>
    <w:rsid w:val="00042149"/>
    <w:rsid w:val="000648EA"/>
    <w:rsid w:val="000737FF"/>
    <w:rsid w:val="00095355"/>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1F70"/>
    <w:rsid w:val="001455A0"/>
    <w:rsid w:val="001602A3"/>
    <w:rsid w:val="001A5161"/>
    <w:rsid w:val="001A60BD"/>
    <w:rsid w:val="001C6D53"/>
    <w:rsid w:val="00232277"/>
    <w:rsid w:val="0023736D"/>
    <w:rsid w:val="00257225"/>
    <w:rsid w:val="002F3E80"/>
    <w:rsid w:val="00310160"/>
    <w:rsid w:val="00341A8C"/>
    <w:rsid w:val="003517AF"/>
    <w:rsid w:val="003519E6"/>
    <w:rsid w:val="00354DC3"/>
    <w:rsid w:val="00355F81"/>
    <w:rsid w:val="003B3F1D"/>
    <w:rsid w:val="003B4356"/>
    <w:rsid w:val="003C2286"/>
    <w:rsid w:val="003D6AF0"/>
    <w:rsid w:val="003F08A8"/>
    <w:rsid w:val="004247CF"/>
    <w:rsid w:val="004250E3"/>
    <w:rsid w:val="0042684E"/>
    <w:rsid w:val="00472A81"/>
    <w:rsid w:val="004833D2"/>
    <w:rsid w:val="004A2025"/>
    <w:rsid w:val="004A20A6"/>
    <w:rsid w:val="004B2C92"/>
    <w:rsid w:val="004D6A3A"/>
    <w:rsid w:val="004F4AD7"/>
    <w:rsid w:val="0051146A"/>
    <w:rsid w:val="00557CD3"/>
    <w:rsid w:val="00571432"/>
    <w:rsid w:val="005732A2"/>
    <w:rsid w:val="005762A5"/>
    <w:rsid w:val="00590BA3"/>
    <w:rsid w:val="005B46D9"/>
    <w:rsid w:val="005B7AE0"/>
    <w:rsid w:val="005E23F5"/>
    <w:rsid w:val="005F146F"/>
    <w:rsid w:val="005F71B6"/>
    <w:rsid w:val="00654786"/>
    <w:rsid w:val="00660FD4"/>
    <w:rsid w:val="00665BE4"/>
    <w:rsid w:val="006810C1"/>
    <w:rsid w:val="00694BB9"/>
    <w:rsid w:val="006A4425"/>
    <w:rsid w:val="006A49E9"/>
    <w:rsid w:val="006B00A4"/>
    <w:rsid w:val="006B4669"/>
    <w:rsid w:val="006C4C1A"/>
    <w:rsid w:val="006D3CFA"/>
    <w:rsid w:val="006F6BF8"/>
    <w:rsid w:val="00707BDF"/>
    <w:rsid w:val="00710727"/>
    <w:rsid w:val="00715F45"/>
    <w:rsid w:val="0072608F"/>
    <w:rsid w:val="007263EA"/>
    <w:rsid w:val="00731815"/>
    <w:rsid w:val="00731B84"/>
    <w:rsid w:val="00734AE7"/>
    <w:rsid w:val="0079344E"/>
    <w:rsid w:val="007E197F"/>
    <w:rsid w:val="007E2786"/>
    <w:rsid w:val="007E4686"/>
    <w:rsid w:val="007F68C4"/>
    <w:rsid w:val="00812D69"/>
    <w:rsid w:val="008153DE"/>
    <w:rsid w:val="00852A10"/>
    <w:rsid w:val="00862634"/>
    <w:rsid w:val="00866C59"/>
    <w:rsid w:val="00877306"/>
    <w:rsid w:val="00885524"/>
    <w:rsid w:val="008A00C9"/>
    <w:rsid w:val="008A5923"/>
    <w:rsid w:val="008A6242"/>
    <w:rsid w:val="008B4BC6"/>
    <w:rsid w:val="008F6743"/>
    <w:rsid w:val="00901E57"/>
    <w:rsid w:val="009055B4"/>
    <w:rsid w:val="009070DF"/>
    <w:rsid w:val="00922068"/>
    <w:rsid w:val="00935F0E"/>
    <w:rsid w:val="0095208F"/>
    <w:rsid w:val="00977B3F"/>
    <w:rsid w:val="009814AE"/>
    <w:rsid w:val="009901D3"/>
    <w:rsid w:val="00996BBE"/>
    <w:rsid w:val="009B2C03"/>
    <w:rsid w:val="009C2D69"/>
    <w:rsid w:val="009D17B9"/>
    <w:rsid w:val="009D1DD5"/>
    <w:rsid w:val="009F722C"/>
    <w:rsid w:val="00A26157"/>
    <w:rsid w:val="00A265C3"/>
    <w:rsid w:val="00A43F9A"/>
    <w:rsid w:val="00A53F38"/>
    <w:rsid w:val="00A543D4"/>
    <w:rsid w:val="00A76C08"/>
    <w:rsid w:val="00AD0014"/>
    <w:rsid w:val="00AD4CF2"/>
    <w:rsid w:val="00AF0BBA"/>
    <w:rsid w:val="00AF3F7B"/>
    <w:rsid w:val="00B25159"/>
    <w:rsid w:val="00B30468"/>
    <w:rsid w:val="00B44E31"/>
    <w:rsid w:val="00B57176"/>
    <w:rsid w:val="00BA4F7E"/>
    <w:rsid w:val="00BB2C41"/>
    <w:rsid w:val="00BC55C8"/>
    <w:rsid w:val="00BC5C10"/>
    <w:rsid w:val="00BE2964"/>
    <w:rsid w:val="00C11D26"/>
    <w:rsid w:val="00C21623"/>
    <w:rsid w:val="00C24FBD"/>
    <w:rsid w:val="00C473BA"/>
    <w:rsid w:val="00C611ED"/>
    <w:rsid w:val="00C6490A"/>
    <w:rsid w:val="00C64FE1"/>
    <w:rsid w:val="00C726D2"/>
    <w:rsid w:val="00C74296"/>
    <w:rsid w:val="00C8345E"/>
    <w:rsid w:val="00CA5F7C"/>
    <w:rsid w:val="00D51067"/>
    <w:rsid w:val="00D75657"/>
    <w:rsid w:val="00D960AD"/>
    <w:rsid w:val="00DA0E0E"/>
    <w:rsid w:val="00DB0885"/>
    <w:rsid w:val="00DB0C39"/>
    <w:rsid w:val="00DB7679"/>
    <w:rsid w:val="00DC69C4"/>
    <w:rsid w:val="00DF1702"/>
    <w:rsid w:val="00DF4DD8"/>
    <w:rsid w:val="00DF668E"/>
    <w:rsid w:val="00E04826"/>
    <w:rsid w:val="00E14D2B"/>
    <w:rsid w:val="00E20DBA"/>
    <w:rsid w:val="00E41B9F"/>
    <w:rsid w:val="00E6524A"/>
    <w:rsid w:val="00E660D6"/>
    <w:rsid w:val="00E771AB"/>
    <w:rsid w:val="00E944D6"/>
    <w:rsid w:val="00EA796F"/>
    <w:rsid w:val="00EB077B"/>
    <w:rsid w:val="00EC50B9"/>
    <w:rsid w:val="00ED26A0"/>
    <w:rsid w:val="00F13D3A"/>
    <w:rsid w:val="00F1727A"/>
    <w:rsid w:val="00F34764"/>
    <w:rsid w:val="00F35F96"/>
    <w:rsid w:val="00F54E3C"/>
    <w:rsid w:val="00F874BD"/>
    <w:rsid w:val="00F930E1"/>
    <w:rsid w:val="00FB1D0B"/>
    <w:rsid w:val="00FB701F"/>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8</Pages>
  <Words>2282</Words>
  <Characters>13014</Characters>
  <Application>Microsoft Office Word</Application>
  <DocSecurity>4</DocSecurity>
  <Lines>108</Lines>
  <Paragraphs>30</Paragraphs>
  <ScaleCrop>false</ScaleCrop>
  <HeadingPairs>
    <vt:vector size="2" baseType="variant">
      <vt:variant>
        <vt:lpstr>العنوان</vt:lpstr>
      </vt:variant>
      <vt:variant>
        <vt:i4>1</vt:i4>
      </vt:variant>
    </vt:vector>
  </HeadingPairs>
  <TitlesOfParts>
    <vt:vector size="1" baseType="lpstr">
      <vt:lpstr>CCPR/C/ARM/CO/2</vt:lpstr>
    </vt:vector>
  </TitlesOfParts>
  <Company>CSD</Company>
  <LinksUpToDate>false</LinksUpToDate>
  <CharactersWithSpaces>15266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CCPR/C/ARM/CO/2</dc:title>
  <dc:subject>BORAN/EMARA</dc:subject>
  <dc:creator>SMADI</dc:creator>
  <cp:keywords/>
  <dc:description/>
  <cp:lastModifiedBy>SMADI</cp:lastModifiedBy>
  <cp:revision>2</cp:revision>
  <cp:lastPrinted>2012-09-28T14:19:00Z</cp:lastPrinted>
  <dcterms:created xsi:type="dcterms:W3CDTF">2012-09-30T15:22:00Z</dcterms:created>
  <dcterms:modified xsi:type="dcterms:W3CDTF">2012-09-30T15:22:00Z</dcterms:modified>
</cp:coreProperties>
</file>