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CD710E" w:rsidRPr="0066615C" w14:paraId="44DF9AD1" w14:textId="77777777" w:rsidTr="00CD710E">
        <w:trPr>
          <w:trHeight w:hRule="exact" w:val="851"/>
        </w:trPr>
        <w:tc>
          <w:tcPr>
            <w:tcW w:w="1280" w:type="dxa"/>
            <w:tcBorders>
              <w:bottom w:val="single" w:sz="4" w:space="0" w:color="auto"/>
            </w:tcBorders>
          </w:tcPr>
          <w:p w14:paraId="338C4702" w14:textId="77777777" w:rsidR="00CD710E" w:rsidRPr="00CD710E" w:rsidRDefault="00CD710E" w:rsidP="00CD710E">
            <w:pPr>
              <w:kinsoku w:val="0"/>
              <w:overflowPunct w:val="0"/>
              <w:autoSpaceDE w:val="0"/>
              <w:autoSpaceDN w:val="0"/>
              <w:adjustRightInd w:val="0"/>
              <w:snapToGrid w:val="0"/>
            </w:pPr>
            <w:r w:rsidRPr="00CD710E">
              <w:rPr>
                <w:noProof/>
                <w:lang w:val="en-GB" w:eastAsia="en-GB"/>
              </w:rPr>
              <w:drawing>
                <wp:inline distT="0" distB="0" distL="0" distR="0" wp14:anchorId="1CC0C5E5" wp14:editId="2A74B4EA">
                  <wp:extent cx="714375" cy="590550"/>
                  <wp:effectExtent l="0" t="0" r="952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2273" w:type="dxa"/>
            <w:tcBorders>
              <w:bottom w:val="single" w:sz="4" w:space="0" w:color="auto"/>
            </w:tcBorders>
            <w:vAlign w:val="bottom"/>
          </w:tcPr>
          <w:p w14:paraId="278CF59D" w14:textId="77777777" w:rsidR="00CD710E" w:rsidRPr="00CD710E" w:rsidRDefault="00CD710E" w:rsidP="00CD710E">
            <w:pPr>
              <w:spacing w:after="80" w:line="300" w:lineRule="exact"/>
              <w:rPr>
                <w:sz w:val="28"/>
              </w:rPr>
            </w:pPr>
            <w:r w:rsidRPr="00CD710E">
              <w:rPr>
                <w:sz w:val="28"/>
              </w:rPr>
              <w:t>Naciones Unidas</w:t>
            </w:r>
          </w:p>
        </w:tc>
        <w:tc>
          <w:tcPr>
            <w:tcW w:w="6086" w:type="dxa"/>
            <w:gridSpan w:val="2"/>
            <w:tcBorders>
              <w:bottom w:val="single" w:sz="4" w:space="0" w:color="auto"/>
            </w:tcBorders>
            <w:vAlign w:val="bottom"/>
          </w:tcPr>
          <w:p w14:paraId="65B7525D" w14:textId="77777777" w:rsidR="00CD710E" w:rsidRPr="00CD710E" w:rsidRDefault="00CD710E" w:rsidP="0066615C">
            <w:pPr>
              <w:jc w:val="right"/>
              <w:rPr>
                <w:lang w:val="en-US"/>
              </w:rPr>
            </w:pPr>
            <w:r w:rsidRPr="00CD710E">
              <w:rPr>
                <w:sz w:val="40"/>
                <w:lang w:val="en-US"/>
              </w:rPr>
              <w:t>CAT</w:t>
            </w:r>
            <w:r w:rsidRPr="00CD710E">
              <w:rPr>
                <w:lang w:val="en-US"/>
              </w:rPr>
              <w:t>/OP/CR</w:t>
            </w:r>
            <w:r w:rsidR="001E15DC">
              <w:rPr>
                <w:lang w:val="en-US"/>
              </w:rPr>
              <w:t>I/</w:t>
            </w:r>
            <w:proofErr w:type="spellStart"/>
            <w:r w:rsidR="001E15DC">
              <w:rPr>
                <w:lang w:val="en-US"/>
              </w:rPr>
              <w:t>RONPM</w:t>
            </w:r>
            <w:proofErr w:type="spellEnd"/>
            <w:r w:rsidRPr="00CD710E">
              <w:rPr>
                <w:lang w:val="en-US"/>
              </w:rPr>
              <w:t>/</w:t>
            </w:r>
            <w:r w:rsidR="0066615C">
              <w:rPr>
                <w:lang w:val="en-US"/>
              </w:rPr>
              <w:t>1</w:t>
            </w:r>
          </w:p>
        </w:tc>
      </w:tr>
      <w:tr w:rsidR="00CD710E" w:rsidRPr="00CD710E" w14:paraId="1F838155" w14:textId="77777777" w:rsidTr="00CD710E">
        <w:trPr>
          <w:trHeight w:hRule="exact" w:val="2835"/>
        </w:trPr>
        <w:tc>
          <w:tcPr>
            <w:tcW w:w="1280" w:type="dxa"/>
            <w:tcBorders>
              <w:top w:val="single" w:sz="4" w:space="0" w:color="auto"/>
              <w:bottom w:val="single" w:sz="12" w:space="0" w:color="auto"/>
            </w:tcBorders>
          </w:tcPr>
          <w:p w14:paraId="51432661" w14:textId="77777777" w:rsidR="00CD710E" w:rsidRPr="001E15DC" w:rsidRDefault="00CD710E" w:rsidP="00CD710E">
            <w:pPr>
              <w:spacing w:before="120"/>
              <w:jc w:val="center"/>
              <w:rPr>
                <w:lang w:val="en-GB"/>
              </w:rPr>
            </w:pPr>
          </w:p>
        </w:tc>
        <w:tc>
          <w:tcPr>
            <w:tcW w:w="5540" w:type="dxa"/>
            <w:gridSpan w:val="2"/>
            <w:tcBorders>
              <w:top w:val="single" w:sz="4" w:space="0" w:color="auto"/>
              <w:bottom w:val="single" w:sz="12" w:space="0" w:color="auto"/>
            </w:tcBorders>
          </w:tcPr>
          <w:p w14:paraId="18244B01" w14:textId="77777777" w:rsidR="00CD710E" w:rsidRPr="00CD710E" w:rsidRDefault="00CD710E" w:rsidP="00CD710E">
            <w:pPr>
              <w:spacing w:before="120" w:line="380" w:lineRule="exact"/>
              <w:rPr>
                <w:b/>
                <w:sz w:val="34"/>
                <w:szCs w:val="34"/>
              </w:rPr>
            </w:pPr>
            <w:r w:rsidRPr="00CD710E">
              <w:rPr>
                <w:b/>
                <w:sz w:val="34"/>
                <w:szCs w:val="34"/>
              </w:rPr>
              <w:t>Protocolo Facultativo de la</w:t>
            </w:r>
            <w:r w:rsidRPr="00CD710E">
              <w:rPr>
                <w:b/>
                <w:sz w:val="34"/>
                <w:szCs w:val="34"/>
              </w:rPr>
              <w:br/>
              <w:t>Convención contra la Tortura</w:t>
            </w:r>
            <w:r w:rsidRPr="00CD710E">
              <w:rPr>
                <w:b/>
                <w:sz w:val="34"/>
                <w:szCs w:val="34"/>
              </w:rPr>
              <w:br/>
              <w:t>y Otros Tratos o Penas Crueles,</w:t>
            </w:r>
            <w:r w:rsidRPr="00CD710E">
              <w:rPr>
                <w:b/>
                <w:sz w:val="34"/>
                <w:szCs w:val="34"/>
              </w:rPr>
              <w:br/>
              <w:t>Inhumanos o Degradantes</w:t>
            </w:r>
          </w:p>
        </w:tc>
        <w:tc>
          <w:tcPr>
            <w:tcW w:w="2819" w:type="dxa"/>
            <w:tcBorders>
              <w:top w:val="single" w:sz="4" w:space="0" w:color="auto"/>
              <w:bottom w:val="single" w:sz="12" w:space="0" w:color="auto"/>
            </w:tcBorders>
          </w:tcPr>
          <w:p w14:paraId="435E3131" w14:textId="77777777" w:rsidR="00CC64B9" w:rsidRDefault="00CC64B9" w:rsidP="00CD710E">
            <w:pPr>
              <w:spacing w:line="240" w:lineRule="exact"/>
            </w:pPr>
          </w:p>
          <w:p w14:paraId="0F91F7C0" w14:textId="77777777" w:rsidR="00CD710E" w:rsidRPr="00CD710E" w:rsidRDefault="00CD710E" w:rsidP="00CD710E">
            <w:pPr>
              <w:spacing w:line="240" w:lineRule="exact"/>
            </w:pPr>
            <w:proofErr w:type="spellStart"/>
            <w:r w:rsidRPr="00CD710E">
              <w:t>Distr</w:t>
            </w:r>
            <w:proofErr w:type="spellEnd"/>
            <w:r w:rsidRPr="00CD710E">
              <w:t xml:space="preserve">. </w:t>
            </w:r>
            <w:r w:rsidR="00633254">
              <w:t>general</w:t>
            </w:r>
          </w:p>
          <w:p w14:paraId="6DDA3725" w14:textId="77777777" w:rsidR="00CD710E" w:rsidRPr="00CD710E" w:rsidRDefault="00903D64" w:rsidP="00CD710E">
            <w:pPr>
              <w:spacing w:line="240" w:lineRule="exact"/>
            </w:pPr>
            <w:r>
              <w:t>1</w:t>
            </w:r>
            <w:r w:rsidR="00CC64B9">
              <w:t>2</w:t>
            </w:r>
            <w:r w:rsidR="00CD710E" w:rsidRPr="00CD710E">
              <w:t xml:space="preserve"> de </w:t>
            </w:r>
            <w:r w:rsidR="001E15DC">
              <w:t>diciembre</w:t>
            </w:r>
            <w:r w:rsidR="00CD710E" w:rsidRPr="00CD710E">
              <w:t xml:space="preserve"> de 2019</w:t>
            </w:r>
          </w:p>
          <w:p w14:paraId="678281B2" w14:textId="77777777" w:rsidR="00CD710E" w:rsidRPr="00CD710E" w:rsidRDefault="00CD710E" w:rsidP="00CD710E">
            <w:pPr>
              <w:spacing w:line="240" w:lineRule="exact"/>
            </w:pPr>
          </w:p>
          <w:p w14:paraId="14B6823A" w14:textId="77777777" w:rsidR="00CD710E" w:rsidRPr="00CD710E" w:rsidRDefault="00CD710E" w:rsidP="00CD710E">
            <w:pPr>
              <w:spacing w:line="240" w:lineRule="exact"/>
            </w:pPr>
            <w:r w:rsidRPr="00CD710E">
              <w:t>Original: español</w:t>
            </w:r>
          </w:p>
          <w:p w14:paraId="38AEA883" w14:textId="77777777" w:rsidR="00CD710E" w:rsidRPr="00CD710E" w:rsidRDefault="00CD710E" w:rsidP="00CD710E">
            <w:pPr>
              <w:spacing w:line="240" w:lineRule="exact"/>
            </w:pPr>
            <w:r w:rsidRPr="00CD710E">
              <w:t>Español, francés e inglés únicamente</w:t>
            </w:r>
          </w:p>
        </w:tc>
      </w:tr>
    </w:tbl>
    <w:p w14:paraId="13056842" w14:textId="77777777" w:rsidR="00381C24" w:rsidRDefault="00CD710E" w:rsidP="00347A3B">
      <w:pPr>
        <w:pStyle w:val="SingleTxtG"/>
        <w:suppressAutoHyphens/>
        <w:spacing w:before="120" w:after="0"/>
        <w:ind w:left="0"/>
        <w:jc w:val="left"/>
        <w:rPr>
          <w:b/>
          <w:sz w:val="24"/>
          <w:szCs w:val="24"/>
        </w:rPr>
      </w:pPr>
      <w:r w:rsidRPr="00CD710E">
        <w:rPr>
          <w:b/>
          <w:sz w:val="24"/>
          <w:szCs w:val="24"/>
        </w:rPr>
        <w:t>Subcomité para la Prevención de la Tortura y Otros</w:t>
      </w:r>
      <w:r w:rsidRPr="00CD710E">
        <w:rPr>
          <w:b/>
          <w:sz w:val="24"/>
          <w:szCs w:val="24"/>
        </w:rPr>
        <w:br/>
        <w:t>Tratos o Penas Crueles, Inhumanos o Degradantes</w:t>
      </w:r>
    </w:p>
    <w:p w14:paraId="517D5F4D" w14:textId="77777777" w:rsidR="004C7488" w:rsidRPr="00C37513" w:rsidRDefault="004C7488" w:rsidP="00347A3B">
      <w:pPr>
        <w:pStyle w:val="HMG"/>
        <w:rPr>
          <w:lang w:val="es-ES_tradnl"/>
        </w:rPr>
      </w:pPr>
      <w:r w:rsidRPr="00C37513">
        <w:rPr>
          <w:lang w:val="es-ES_tradnl"/>
        </w:rPr>
        <w:tab/>
      </w:r>
      <w:r w:rsidRPr="00C37513">
        <w:rPr>
          <w:lang w:val="es-ES_tradnl"/>
        </w:rPr>
        <w:tab/>
        <w:t xml:space="preserve">Visita a Costa </w:t>
      </w:r>
      <w:r w:rsidRPr="00347A3B">
        <w:t>Rica</w:t>
      </w:r>
      <w:r w:rsidRPr="00C37513">
        <w:rPr>
          <w:lang w:val="es-ES_tradnl"/>
        </w:rPr>
        <w:t xml:space="preserve"> del 3 al 14 de marzo de 2019: </w:t>
      </w:r>
      <w:r w:rsidR="007C1B17" w:rsidRPr="00C37513">
        <w:rPr>
          <w:lang w:val="es-ES_tradnl"/>
        </w:rPr>
        <w:t xml:space="preserve">recomendaciones y </w:t>
      </w:r>
      <w:r w:rsidRPr="00C37513">
        <w:rPr>
          <w:lang w:val="es-ES_tradnl"/>
        </w:rPr>
        <w:t xml:space="preserve">observaciones dirigidas </w:t>
      </w:r>
      <w:r w:rsidRPr="00C37513">
        <w:rPr>
          <w:lang w:val="es-ES_tradnl"/>
        </w:rPr>
        <w:br/>
        <w:t>al mecanismo nacional de prevención</w:t>
      </w:r>
    </w:p>
    <w:p w14:paraId="51BDF712" w14:textId="77777777" w:rsidR="004C7488" w:rsidRPr="00C37513" w:rsidRDefault="004C7488" w:rsidP="00347A3B">
      <w:pPr>
        <w:pStyle w:val="HChG"/>
      </w:pPr>
      <w:r w:rsidRPr="00C37513">
        <w:rPr>
          <w:lang w:val="es-ES_tradnl"/>
        </w:rPr>
        <w:tab/>
      </w:r>
      <w:r w:rsidRPr="00C37513">
        <w:rPr>
          <w:lang w:val="es-ES_tradnl"/>
        </w:rPr>
        <w:tab/>
        <w:t>Informe del Subcomité</w:t>
      </w:r>
      <w:r w:rsidRPr="00347A3B">
        <w:rPr>
          <w:b w:val="0"/>
          <w:bCs/>
          <w:sz w:val="20"/>
          <w:lang w:val="es-ES_tradnl"/>
        </w:rPr>
        <w:footnoteReference w:customMarkFollows="1" w:id="1"/>
        <w:t>*</w:t>
      </w:r>
      <w:r w:rsidRPr="00347A3B">
        <w:rPr>
          <w:b w:val="0"/>
          <w:bCs/>
          <w:sz w:val="20"/>
          <w:vertAlign w:val="superscript"/>
        </w:rPr>
        <w:t xml:space="preserve"> </w:t>
      </w:r>
      <w:r w:rsidRPr="00347A3B">
        <w:rPr>
          <w:b w:val="0"/>
          <w:bCs/>
          <w:sz w:val="20"/>
        </w:rPr>
        <w:footnoteReference w:customMarkFollows="1" w:id="2"/>
        <w:t>**</w:t>
      </w:r>
    </w:p>
    <w:p w14:paraId="7FBC4F2B" w14:textId="77777777" w:rsidR="004C7488" w:rsidRPr="00F35FBA" w:rsidRDefault="004C7488" w:rsidP="004C7488">
      <w:pPr>
        <w:spacing w:before="120" w:line="240" w:lineRule="exact"/>
        <w:rPr>
          <w:bCs/>
          <w:color w:val="000000" w:themeColor="text1"/>
          <w:lang w:val="es-AR"/>
        </w:rPr>
      </w:pPr>
    </w:p>
    <w:p w14:paraId="76361875" w14:textId="77777777" w:rsidR="004C7488" w:rsidRPr="00F35FBA" w:rsidRDefault="004C7488" w:rsidP="004C7488">
      <w:pPr>
        <w:rPr>
          <w:color w:val="000000" w:themeColor="text1"/>
          <w:lang w:val="es-AR"/>
        </w:rPr>
      </w:pPr>
      <w:r w:rsidRPr="00F35FBA">
        <w:rPr>
          <w:color w:val="000000" w:themeColor="text1"/>
          <w:lang w:val="es-AR"/>
        </w:rPr>
        <w:br w:type="page"/>
      </w:r>
    </w:p>
    <w:p w14:paraId="145539D1" w14:textId="77777777" w:rsidR="00E67093" w:rsidRPr="00CD710E" w:rsidRDefault="00E67093" w:rsidP="00E67093">
      <w:r w:rsidRPr="00CD710E">
        <w:rPr>
          <w:sz w:val="28"/>
        </w:rPr>
        <w:lastRenderedPageBreak/>
        <w:t>Índice</w:t>
      </w:r>
    </w:p>
    <w:p w14:paraId="2497BD67" w14:textId="77777777" w:rsidR="00E67093" w:rsidRPr="00CD710E" w:rsidRDefault="00E67093" w:rsidP="00E67093">
      <w:pPr>
        <w:tabs>
          <w:tab w:val="right" w:pos="8929"/>
          <w:tab w:val="right" w:pos="9638"/>
        </w:tabs>
        <w:spacing w:after="120"/>
        <w:ind w:left="283"/>
        <w:rPr>
          <w:sz w:val="18"/>
        </w:rPr>
      </w:pPr>
      <w:r w:rsidRPr="00CD710E">
        <w:rPr>
          <w:i/>
          <w:sz w:val="18"/>
        </w:rPr>
        <w:tab/>
      </w:r>
      <w:r w:rsidRPr="00CD710E">
        <w:rPr>
          <w:i/>
          <w:sz w:val="18"/>
        </w:rPr>
        <w:tab/>
        <w:t>Página</w:t>
      </w:r>
    </w:p>
    <w:p w14:paraId="6C49CDEA" w14:textId="77777777" w:rsidR="00E67093" w:rsidRPr="00CD710E" w:rsidRDefault="00E67093" w:rsidP="00E67093">
      <w:pPr>
        <w:tabs>
          <w:tab w:val="right" w:pos="850"/>
          <w:tab w:val="left" w:pos="1134"/>
          <w:tab w:val="left" w:pos="1559"/>
          <w:tab w:val="left" w:pos="1984"/>
          <w:tab w:val="left" w:leader="dot" w:pos="8931"/>
          <w:tab w:val="right" w:pos="9638"/>
        </w:tabs>
        <w:spacing w:after="120"/>
      </w:pPr>
      <w:r w:rsidRPr="00CD710E">
        <w:tab/>
        <w:t>I.</w:t>
      </w:r>
      <w:r w:rsidRPr="00CD710E">
        <w:tab/>
        <w:t>Introducción</w:t>
      </w:r>
      <w:r w:rsidRPr="00CD710E">
        <w:tab/>
      </w:r>
      <w:r w:rsidRPr="00CD710E">
        <w:tab/>
        <w:t>3</w:t>
      </w:r>
    </w:p>
    <w:p w14:paraId="666D7E5F" w14:textId="77777777" w:rsidR="00E67093" w:rsidRPr="00E67093" w:rsidRDefault="00E67093" w:rsidP="00E67093">
      <w:pPr>
        <w:tabs>
          <w:tab w:val="right" w:pos="850"/>
          <w:tab w:val="left" w:pos="1134"/>
          <w:tab w:val="left" w:pos="1559"/>
          <w:tab w:val="left" w:pos="1984"/>
          <w:tab w:val="left" w:leader="dot" w:pos="8931"/>
          <w:tab w:val="right" w:pos="9638"/>
        </w:tabs>
        <w:spacing w:after="120"/>
      </w:pPr>
      <w:r>
        <w:tab/>
      </w:r>
      <w:r w:rsidRPr="00E67093">
        <w:t>II.</w:t>
      </w:r>
      <w:r w:rsidRPr="00E67093">
        <w:tab/>
      </w:r>
      <w:r w:rsidR="00D15DDA">
        <w:t>M</w:t>
      </w:r>
      <w:r w:rsidR="00F76B88">
        <w:t>ecanismo</w:t>
      </w:r>
      <w:r w:rsidRPr="00E67093">
        <w:t xml:space="preserve"> </w:t>
      </w:r>
      <w:r w:rsidR="00D15DDA">
        <w:t>n</w:t>
      </w:r>
      <w:r w:rsidRPr="00E67093">
        <w:t xml:space="preserve">acional de </w:t>
      </w:r>
      <w:r w:rsidR="00D15DDA">
        <w:t>p</w:t>
      </w:r>
      <w:r w:rsidRPr="00E67093">
        <w:t>revención ………………………………………</w:t>
      </w:r>
      <w:r>
        <w:tab/>
      </w:r>
      <w:r>
        <w:tab/>
      </w:r>
      <w:r w:rsidRPr="00E67093">
        <w:t>4</w:t>
      </w:r>
    </w:p>
    <w:p w14:paraId="1195DFCD" w14:textId="77777777" w:rsidR="00E67093" w:rsidRPr="00E67093" w:rsidRDefault="00E67093" w:rsidP="00E67093">
      <w:pPr>
        <w:tabs>
          <w:tab w:val="right" w:pos="850"/>
          <w:tab w:val="left" w:pos="1134"/>
          <w:tab w:val="left" w:pos="1559"/>
          <w:tab w:val="left" w:pos="1984"/>
          <w:tab w:val="left" w:leader="dot" w:pos="8931"/>
          <w:tab w:val="right" w:pos="9638"/>
        </w:tabs>
        <w:spacing w:after="120"/>
      </w:pPr>
      <w:r w:rsidRPr="00E67093">
        <w:tab/>
        <w:t>III.</w:t>
      </w:r>
      <w:r w:rsidRPr="00E67093">
        <w:tab/>
        <w:t>Recomenda</w:t>
      </w:r>
      <w:r>
        <w:t xml:space="preserve">ciones al </w:t>
      </w:r>
      <w:r w:rsidR="00F76B88">
        <w:t>mecanismo</w:t>
      </w:r>
      <w:r>
        <w:t xml:space="preserve"> </w:t>
      </w:r>
      <w:r w:rsidR="00D15DDA">
        <w:t>n</w:t>
      </w:r>
      <w:r>
        <w:t xml:space="preserve">acional de </w:t>
      </w:r>
      <w:r w:rsidR="00D15DDA">
        <w:t>p</w:t>
      </w:r>
      <w:r w:rsidRPr="00E67093">
        <w:t>revención</w:t>
      </w:r>
      <w:r>
        <w:tab/>
      </w:r>
      <w:r>
        <w:tab/>
      </w:r>
      <w:r w:rsidR="00363AA0">
        <w:t>4</w:t>
      </w:r>
    </w:p>
    <w:p w14:paraId="3DB7746B" w14:textId="77777777" w:rsidR="00E67093" w:rsidRPr="00E67093" w:rsidRDefault="00E67093" w:rsidP="00E67093">
      <w:pPr>
        <w:tabs>
          <w:tab w:val="right" w:pos="850"/>
          <w:tab w:val="left" w:pos="1134"/>
          <w:tab w:val="left" w:pos="1559"/>
          <w:tab w:val="left" w:pos="1984"/>
          <w:tab w:val="left" w:leader="dot" w:pos="8931"/>
          <w:tab w:val="right" w:pos="9638"/>
        </w:tabs>
        <w:spacing w:after="120"/>
      </w:pPr>
      <w:r w:rsidRPr="00E67093">
        <w:tab/>
      </w:r>
      <w:r w:rsidRPr="00E67093">
        <w:tab/>
        <w:t>A.</w:t>
      </w:r>
      <w:r w:rsidR="005B5CAB">
        <w:tab/>
      </w:r>
      <w:r w:rsidRPr="00E67093">
        <w:t>Cuestiones estructurales e independencia</w:t>
      </w:r>
      <w:r w:rsidRPr="00E67093">
        <w:tab/>
      </w:r>
      <w:r w:rsidRPr="00E67093">
        <w:tab/>
      </w:r>
      <w:r w:rsidR="00D15DDA">
        <w:t>4</w:t>
      </w:r>
    </w:p>
    <w:p w14:paraId="41FA0882" w14:textId="77777777" w:rsidR="00E67093" w:rsidRPr="00E67093" w:rsidRDefault="00E67093" w:rsidP="00E67093">
      <w:pPr>
        <w:tabs>
          <w:tab w:val="right" w:pos="850"/>
          <w:tab w:val="left" w:pos="1134"/>
          <w:tab w:val="left" w:pos="1559"/>
          <w:tab w:val="left" w:pos="1984"/>
          <w:tab w:val="left" w:leader="dot" w:pos="8931"/>
          <w:tab w:val="right" w:pos="9638"/>
        </w:tabs>
        <w:spacing w:after="120"/>
      </w:pPr>
      <w:r w:rsidRPr="00E67093">
        <w:tab/>
      </w:r>
      <w:r w:rsidRPr="00E67093">
        <w:tab/>
        <w:t>B.</w:t>
      </w:r>
      <w:r w:rsidR="005B5CAB">
        <w:tab/>
      </w:r>
      <w:r w:rsidRPr="00E67093">
        <w:t>Visibilidad</w:t>
      </w:r>
      <w:r w:rsidRPr="00E67093">
        <w:tab/>
      </w:r>
      <w:r w:rsidRPr="00E67093">
        <w:tab/>
      </w:r>
      <w:r w:rsidR="00D15DDA">
        <w:t>5</w:t>
      </w:r>
    </w:p>
    <w:p w14:paraId="302542B0" w14:textId="77777777" w:rsidR="00E67093" w:rsidRPr="00E67093" w:rsidRDefault="00E67093" w:rsidP="00E67093">
      <w:pPr>
        <w:tabs>
          <w:tab w:val="right" w:pos="850"/>
          <w:tab w:val="left" w:pos="1134"/>
          <w:tab w:val="left" w:pos="1559"/>
          <w:tab w:val="left" w:pos="1984"/>
          <w:tab w:val="left" w:leader="dot" w:pos="8931"/>
          <w:tab w:val="right" w:pos="9638"/>
        </w:tabs>
        <w:spacing w:after="120"/>
      </w:pPr>
      <w:r w:rsidRPr="00E67093">
        <w:tab/>
      </w:r>
      <w:r w:rsidRPr="00E67093">
        <w:tab/>
        <w:t>C.</w:t>
      </w:r>
      <w:r w:rsidR="005B5CAB">
        <w:tab/>
      </w:r>
      <w:r w:rsidRPr="00E67093">
        <w:t>Visita conjunta y metodología de entrevistas</w:t>
      </w:r>
      <w:r w:rsidRPr="00E67093">
        <w:tab/>
      </w:r>
      <w:r>
        <w:tab/>
      </w:r>
      <w:r w:rsidRPr="00E67093">
        <w:t>6</w:t>
      </w:r>
    </w:p>
    <w:p w14:paraId="207C1D27" w14:textId="77777777" w:rsidR="00E67093" w:rsidRPr="00E67093" w:rsidRDefault="00E67093" w:rsidP="00E67093">
      <w:pPr>
        <w:tabs>
          <w:tab w:val="right" w:pos="850"/>
          <w:tab w:val="left" w:pos="1134"/>
          <w:tab w:val="left" w:pos="1559"/>
          <w:tab w:val="left" w:pos="1984"/>
          <w:tab w:val="left" w:leader="dot" w:pos="8931"/>
          <w:tab w:val="right" w:pos="9638"/>
        </w:tabs>
        <w:spacing w:after="120"/>
      </w:pPr>
      <w:r w:rsidRPr="00E67093">
        <w:tab/>
        <w:t>IV.</w:t>
      </w:r>
      <w:r w:rsidRPr="00E67093">
        <w:tab/>
        <w:t xml:space="preserve">Estrategia de seguimiento de las recomendaciones del </w:t>
      </w:r>
      <w:r w:rsidR="00F76B88">
        <w:t>mecanismo</w:t>
      </w:r>
      <w:r w:rsidRPr="00E67093">
        <w:tab/>
      </w:r>
      <w:r>
        <w:tab/>
      </w:r>
      <w:r w:rsidRPr="00E67093">
        <w:t>7</w:t>
      </w:r>
    </w:p>
    <w:p w14:paraId="54771205" w14:textId="77777777" w:rsidR="00E67093" w:rsidRPr="00E67093" w:rsidRDefault="00E67093" w:rsidP="00E67093">
      <w:pPr>
        <w:tabs>
          <w:tab w:val="right" w:pos="850"/>
          <w:tab w:val="left" w:pos="1134"/>
          <w:tab w:val="left" w:pos="1559"/>
          <w:tab w:val="left" w:pos="1984"/>
          <w:tab w:val="left" w:leader="dot" w:pos="8931"/>
          <w:tab w:val="right" w:pos="9638"/>
        </w:tabs>
        <w:spacing w:after="120"/>
      </w:pPr>
      <w:r w:rsidRPr="00E67093">
        <w:tab/>
        <w:t xml:space="preserve">V. </w:t>
      </w:r>
      <w:r w:rsidRPr="00E67093">
        <w:tab/>
        <w:t>Próximos pasos</w:t>
      </w:r>
      <w:r>
        <w:tab/>
      </w:r>
      <w:r>
        <w:tab/>
      </w:r>
      <w:r w:rsidRPr="00E67093">
        <w:t>8</w:t>
      </w:r>
    </w:p>
    <w:p w14:paraId="76FB3423" w14:textId="77777777" w:rsidR="00E67093" w:rsidRPr="00E67093" w:rsidRDefault="00E67093" w:rsidP="00E67093">
      <w:pPr>
        <w:tabs>
          <w:tab w:val="right" w:pos="850"/>
          <w:tab w:val="left" w:pos="1134"/>
          <w:tab w:val="left" w:pos="1559"/>
          <w:tab w:val="left" w:pos="1984"/>
          <w:tab w:val="left" w:leader="dot" w:pos="8931"/>
          <w:tab w:val="right" w:pos="9638"/>
        </w:tabs>
        <w:spacing w:after="120"/>
      </w:pPr>
      <w:r w:rsidRPr="00E67093">
        <w:tab/>
        <w:t>Anexos</w:t>
      </w:r>
    </w:p>
    <w:p w14:paraId="1E0C1941" w14:textId="77777777" w:rsidR="00E67093" w:rsidRPr="00E67093" w:rsidRDefault="00E67093" w:rsidP="00E67093">
      <w:pPr>
        <w:tabs>
          <w:tab w:val="right" w:pos="850"/>
          <w:tab w:val="left" w:pos="1134"/>
          <w:tab w:val="left" w:pos="1559"/>
          <w:tab w:val="left" w:pos="1984"/>
          <w:tab w:val="left" w:leader="dot" w:pos="8931"/>
          <w:tab w:val="right" w:pos="9638"/>
        </w:tabs>
        <w:spacing w:after="120"/>
      </w:pPr>
      <w:r w:rsidRPr="00E67093">
        <w:tab/>
        <w:t>I.</w:t>
      </w:r>
      <w:r w:rsidRPr="00E67093">
        <w:tab/>
        <w:t>Lista de las personas con quienes se reunió el Subcomité</w:t>
      </w:r>
      <w:r w:rsidRPr="00E67093">
        <w:tab/>
      </w:r>
      <w:r>
        <w:tab/>
      </w:r>
      <w:r w:rsidRPr="00E67093">
        <w:t>9</w:t>
      </w:r>
    </w:p>
    <w:p w14:paraId="513193E0" w14:textId="77777777" w:rsidR="00E67093" w:rsidRPr="00E67093" w:rsidRDefault="00E67093" w:rsidP="00E67093">
      <w:pPr>
        <w:tabs>
          <w:tab w:val="right" w:pos="850"/>
          <w:tab w:val="left" w:pos="1134"/>
          <w:tab w:val="left" w:pos="1559"/>
          <w:tab w:val="left" w:pos="1984"/>
          <w:tab w:val="left" w:leader="dot" w:pos="8931"/>
          <w:tab w:val="right" w:pos="9638"/>
        </w:tabs>
        <w:spacing w:after="120"/>
      </w:pPr>
      <w:r w:rsidRPr="00E67093">
        <w:tab/>
        <w:t>II.</w:t>
      </w:r>
      <w:r w:rsidRPr="00E67093">
        <w:tab/>
        <w:t>Lugares de privación de libertad visitados</w:t>
      </w:r>
      <w:r w:rsidRPr="00E67093">
        <w:tab/>
      </w:r>
      <w:r>
        <w:tab/>
      </w:r>
      <w:r w:rsidRPr="00E67093">
        <w:t>12</w:t>
      </w:r>
    </w:p>
    <w:p w14:paraId="7602DA3A" w14:textId="77777777" w:rsidR="00E67093" w:rsidRPr="00E67093" w:rsidRDefault="00E67093">
      <w:pPr>
        <w:tabs>
          <w:tab w:val="right" w:pos="850"/>
          <w:tab w:val="left" w:pos="1134"/>
          <w:tab w:val="left" w:pos="1559"/>
          <w:tab w:val="left" w:pos="1984"/>
          <w:tab w:val="left" w:leader="dot" w:pos="8931"/>
          <w:tab w:val="right" w:pos="9638"/>
        </w:tabs>
        <w:spacing w:after="120"/>
      </w:pPr>
      <w:r>
        <w:tab/>
      </w:r>
      <w:r w:rsidRPr="00E67093">
        <w:t>III.</w:t>
      </w:r>
      <w:r w:rsidRPr="00E67093">
        <w:tab/>
        <w:t xml:space="preserve">Lugares de privación de libertad visitados </w:t>
      </w:r>
      <w:proofErr w:type="gramStart"/>
      <w:r w:rsidRPr="00E67093">
        <w:t>conjuntamente con</w:t>
      </w:r>
      <w:proofErr w:type="gramEnd"/>
      <w:r w:rsidRPr="00E67093">
        <w:t xml:space="preserve"> </w:t>
      </w:r>
      <w:r>
        <w:t xml:space="preserve">el </w:t>
      </w:r>
      <w:r w:rsidR="00F76B88">
        <w:t>mecanismo</w:t>
      </w:r>
      <w:r>
        <w:t xml:space="preserve"> </w:t>
      </w:r>
      <w:r w:rsidR="00D15DDA">
        <w:t>n</w:t>
      </w:r>
      <w:r>
        <w:t xml:space="preserve">acional de </w:t>
      </w:r>
      <w:r w:rsidR="005B5CAB">
        <w:br/>
      </w:r>
      <w:r>
        <w:tab/>
      </w:r>
      <w:r>
        <w:tab/>
      </w:r>
      <w:r w:rsidR="00D15DDA">
        <w:t>p</w:t>
      </w:r>
      <w:r w:rsidRPr="00E67093">
        <w:t>revención</w:t>
      </w:r>
      <w:r>
        <w:tab/>
      </w:r>
      <w:r>
        <w:tab/>
      </w:r>
      <w:r>
        <w:rPr>
          <w:color w:val="000000" w:themeColor="text1"/>
          <w:lang w:val="es-AR"/>
        </w:rPr>
        <w:t>14</w:t>
      </w:r>
    </w:p>
    <w:p w14:paraId="667AEBD0" w14:textId="77777777" w:rsidR="004C7488" w:rsidRPr="00E67093" w:rsidRDefault="004C7488" w:rsidP="00E67093">
      <w:pPr>
        <w:pStyle w:val="HChG"/>
      </w:pPr>
      <w:r w:rsidRPr="00F35FBA">
        <w:rPr>
          <w:lang w:val="es-AR"/>
        </w:rPr>
        <w:br w:type="page"/>
      </w:r>
      <w:r w:rsidR="00E67093">
        <w:rPr>
          <w:lang w:val="es-AR"/>
        </w:rPr>
        <w:lastRenderedPageBreak/>
        <w:tab/>
        <w:t>I.</w:t>
      </w:r>
      <w:r w:rsidR="00E67093">
        <w:rPr>
          <w:lang w:val="es-AR"/>
        </w:rPr>
        <w:tab/>
      </w:r>
      <w:r w:rsidRPr="00E67093">
        <w:t>Introducción</w:t>
      </w:r>
    </w:p>
    <w:p w14:paraId="14B57770"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1.</w:t>
      </w:r>
      <w:r w:rsidRPr="00D64553">
        <w:rPr>
          <w:color w:val="000000" w:themeColor="text1"/>
          <w:lang w:val="es-AR"/>
        </w:rPr>
        <w:tab/>
      </w:r>
      <w:r w:rsidR="004C7488" w:rsidRPr="00D64553">
        <w:rPr>
          <w:color w:val="000000" w:themeColor="text1"/>
          <w:lang w:val="es-AR"/>
        </w:rPr>
        <w:t xml:space="preserve">De conformidad con lo dispuesto en el Protocolo Facultativo de la Convención contra la Tortura y Otros Tratos o Penas Crueles, Inhumanos o Degradantes, el Subcomité para la Prevención de la </w:t>
      </w:r>
      <w:r w:rsidR="004C7488" w:rsidRPr="00D64553">
        <w:rPr>
          <w:lang w:val="es-AR"/>
        </w:rPr>
        <w:t>Tortura</w:t>
      </w:r>
      <w:r w:rsidR="004C7488" w:rsidRPr="00D64553">
        <w:rPr>
          <w:color w:val="000000" w:themeColor="text1"/>
          <w:lang w:val="es-AR"/>
        </w:rPr>
        <w:t xml:space="preserve"> y Otros Tratos o Penas Crueles, Inhumanos o Degradantes realizó su primera visita regular a Costa Rica del 3 al 14 de marzo de 2019. Costa Rica pasó a ser parte en la Convención contra la Tortura el 11 de noviembre de 1993 y en el Protocolo Facultativo el 1 de diciembre de 2005. </w:t>
      </w:r>
    </w:p>
    <w:p w14:paraId="10B3B43F"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2.</w:t>
      </w:r>
      <w:r w:rsidRPr="00D64553">
        <w:rPr>
          <w:color w:val="000000" w:themeColor="text1"/>
          <w:lang w:val="es-AR"/>
        </w:rPr>
        <w:tab/>
      </w:r>
      <w:r w:rsidR="004C7488" w:rsidRPr="00D64553">
        <w:rPr>
          <w:color w:val="000000" w:themeColor="text1"/>
          <w:lang w:val="es-AR"/>
        </w:rPr>
        <w:t xml:space="preserve">El Subcomité estuvo representado por sus miembros Roberto </w:t>
      </w:r>
      <w:proofErr w:type="spellStart"/>
      <w:r w:rsidR="004C7488" w:rsidRPr="00D64553">
        <w:rPr>
          <w:color w:val="000000" w:themeColor="text1"/>
          <w:lang w:val="es-AR"/>
        </w:rPr>
        <w:t>Fehér</w:t>
      </w:r>
      <w:proofErr w:type="spellEnd"/>
      <w:r w:rsidR="004C7488" w:rsidRPr="00D64553">
        <w:rPr>
          <w:color w:val="000000" w:themeColor="text1"/>
          <w:lang w:val="es-AR"/>
        </w:rPr>
        <w:t xml:space="preserve"> P</w:t>
      </w:r>
      <w:r w:rsidR="00197A8F">
        <w:rPr>
          <w:color w:val="000000" w:themeColor="text1"/>
          <w:lang w:val="es-AR"/>
        </w:rPr>
        <w:t>é</w:t>
      </w:r>
      <w:r w:rsidR="004C7488" w:rsidRPr="00D64553">
        <w:rPr>
          <w:color w:val="000000" w:themeColor="text1"/>
          <w:lang w:val="es-AR"/>
        </w:rPr>
        <w:t>rez (</w:t>
      </w:r>
      <w:r w:rsidR="008B761F">
        <w:rPr>
          <w:color w:val="000000" w:themeColor="text1"/>
          <w:lang w:val="es-AR"/>
        </w:rPr>
        <w:t>j</w:t>
      </w:r>
      <w:r w:rsidR="004C7488" w:rsidRPr="00D64553">
        <w:rPr>
          <w:color w:val="000000" w:themeColor="text1"/>
          <w:lang w:val="es-AR"/>
        </w:rPr>
        <w:t xml:space="preserve">efe de la </w:t>
      </w:r>
      <w:r w:rsidR="008B761F">
        <w:rPr>
          <w:color w:val="000000" w:themeColor="text1"/>
          <w:lang w:val="es-AR"/>
        </w:rPr>
        <w:t>d</w:t>
      </w:r>
      <w:r w:rsidR="004C7488" w:rsidRPr="00D64553">
        <w:rPr>
          <w:color w:val="000000" w:themeColor="text1"/>
          <w:lang w:val="es-AR"/>
        </w:rPr>
        <w:t>elegación), María Dolores G</w:t>
      </w:r>
      <w:r w:rsidR="00197A8F">
        <w:rPr>
          <w:color w:val="000000" w:themeColor="text1"/>
          <w:lang w:val="es-AR"/>
        </w:rPr>
        <w:t>ó</w:t>
      </w:r>
      <w:r w:rsidR="004C7488" w:rsidRPr="00D64553">
        <w:rPr>
          <w:color w:val="000000" w:themeColor="text1"/>
          <w:lang w:val="es-AR"/>
        </w:rPr>
        <w:t xml:space="preserve">mez, María Luisa Romero, Nora </w:t>
      </w:r>
      <w:proofErr w:type="spellStart"/>
      <w:r w:rsidR="004C7488" w:rsidRPr="00D64553">
        <w:rPr>
          <w:color w:val="000000" w:themeColor="text1"/>
          <w:lang w:val="es-AR"/>
        </w:rPr>
        <w:t>Sveaass</w:t>
      </w:r>
      <w:proofErr w:type="spellEnd"/>
      <w:r w:rsidR="004C7488" w:rsidRPr="00D64553">
        <w:rPr>
          <w:color w:val="000000" w:themeColor="text1"/>
          <w:lang w:val="es-AR"/>
        </w:rPr>
        <w:t xml:space="preserve"> y Juan Pablo Vegas. El Subcomité contó con la asistencia de tres oficiales de </w:t>
      </w:r>
      <w:r w:rsidR="004C7488" w:rsidRPr="00D64553">
        <w:rPr>
          <w:lang w:val="es-AR"/>
        </w:rPr>
        <w:t>derechos</w:t>
      </w:r>
      <w:r w:rsidR="004C7488" w:rsidRPr="00D64553">
        <w:rPr>
          <w:color w:val="000000" w:themeColor="text1"/>
          <w:lang w:val="es-AR"/>
        </w:rPr>
        <w:t xml:space="preserve"> humanos y dos oficiales de seguridad de la Oficina del Alto Comisionado de las Naciones Unidas para los Derechos Humanos</w:t>
      </w:r>
      <w:r w:rsidR="0013318E">
        <w:rPr>
          <w:color w:val="000000" w:themeColor="text1"/>
          <w:lang w:val="es-AR"/>
        </w:rPr>
        <w:t xml:space="preserve"> (</w:t>
      </w:r>
      <w:proofErr w:type="spellStart"/>
      <w:r w:rsidR="0013318E">
        <w:rPr>
          <w:color w:val="000000" w:themeColor="text1"/>
          <w:lang w:val="es-AR"/>
        </w:rPr>
        <w:t>OACNUDH</w:t>
      </w:r>
      <w:proofErr w:type="spellEnd"/>
      <w:r w:rsidR="0013318E">
        <w:rPr>
          <w:color w:val="000000" w:themeColor="text1"/>
          <w:lang w:val="es-AR"/>
        </w:rPr>
        <w:t>)</w:t>
      </w:r>
      <w:r w:rsidR="004C7488" w:rsidRPr="00D64553">
        <w:rPr>
          <w:color w:val="000000" w:themeColor="text1"/>
          <w:lang w:val="es-AR"/>
        </w:rPr>
        <w:t>.</w:t>
      </w:r>
    </w:p>
    <w:p w14:paraId="59167CF9"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3.</w:t>
      </w:r>
      <w:r w:rsidRPr="00D64553">
        <w:rPr>
          <w:color w:val="000000" w:themeColor="text1"/>
          <w:lang w:val="es-AR"/>
        </w:rPr>
        <w:tab/>
      </w:r>
      <w:r w:rsidR="004C7488" w:rsidRPr="00D64553">
        <w:rPr>
          <w:color w:val="000000" w:themeColor="text1"/>
          <w:lang w:val="es-AR"/>
        </w:rPr>
        <w:t>Los objetivos principales de la visita eran</w:t>
      </w:r>
      <w:r w:rsidR="00217032">
        <w:rPr>
          <w:color w:val="000000" w:themeColor="text1"/>
          <w:lang w:val="es-AR"/>
        </w:rPr>
        <w:t>:</w:t>
      </w:r>
      <w:r w:rsidR="004C7488" w:rsidRPr="00D64553">
        <w:rPr>
          <w:color w:val="000000" w:themeColor="text1"/>
          <w:lang w:val="es-AR"/>
        </w:rPr>
        <w:t xml:space="preserve"> a) visitar lugares de privación de libertad a fin de ayudar al Estado parte a cumplir plenamente las obligaciones que le incumben en virtud del Protocolo Facultativo, para reforzar la protección de las personas privadas de libertad frente al riesgo de tortura y malos tratos</w:t>
      </w:r>
      <w:r w:rsidR="0035427A">
        <w:rPr>
          <w:color w:val="000000" w:themeColor="text1"/>
          <w:lang w:val="es-AR"/>
        </w:rPr>
        <w:t>;</w:t>
      </w:r>
      <w:r w:rsidR="004C7488" w:rsidRPr="00D64553">
        <w:rPr>
          <w:color w:val="000000" w:themeColor="text1"/>
          <w:lang w:val="es-AR"/>
        </w:rPr>
        <w:t xml:space="preserve"> y b) ofrecer asesoramiento y asistencia técnica al </w:t>
      </w:r>
      <w:r w:rsidR="00D93105">
        <w:rPr>
          <w:color w:val="000000" w:themeColor="text1"/>
          <w:lang w:val="es-AR"/>
        </w:rPr>
        <w:t>m</w:t>
      </w:r>
      <w:r w:rsidR="004C7488" w:rsidRPr="00D64553">
        <w:rPr>
          <w:color w:val="000000" w:themeColor="text1"/>
          <w:lang w:val="es-AR"/>
        </w:rPr>
        <w:t xml:space="preserve">ecanismo </w:t>
      </w:r>
      <w:r w:rsidR="00D93105">
        <w:rPr>
          <w:color w:val="000000" w:themeColor="text1"/>
          <w:lang w:val="es-AR"/>
        </w:rPr>
        <w:t>n</w:t>
      </w:r>
      <w:r w:rsidR="004C7488" w:rsidRPr="00D64553">
        <w:rPr>
          <w:color w:val="000000" w:themeColor="text1"/>
          <w:lang w:val="es-AR"/>
        </w:rPr>
        <w:t xml:space="preserve">acional de </w:t>
      </w:r>
      <w:r w:rsidR="00D93105">
        <w:rPr>
          <w:color w:val="000000" w:themeColor="text1"/>
          <w:lang w:val="es-AR"/>
        </w:rPr>
        <w:t>p</w:t>
      </w:r>
      <w:r w:rsidR="004C7488" w:rsidRPr="00D64553">
        <w:rPr>
          <w:color w:val="000000" w:themeColor="text1"/>
          <w:lang w:val="es-AR"/>
        </w:rPr>
        <w:t xml:space="preserve">revención de Costa Rica y examinar en qué medida las autoridades nacionales están apoyando su labor, atendiendo sus recomendaciones, teniendo en cuenta las directrices del Subcomité relativas a los </w:t>
      </w:r>
      <w:r w:rsidR="00D93105">
        <w:rPr>
          <w:color w:val="000000" w:themeColor="text1"/>
          <w:lang w:val="es-AR"/>
        </w:rPr>
        <w:t>m</w:t>
      </w:r>
      <w:r w:rsidR="004C7488" w:rsidRPr="00D64553">
        <w:rPr>
          <w:color w:val="000000" w:themeColor="text1"/>
          <w:lang w:val="es-AR"/>
        </w:rPr>
        <w:t xml:space="preserve">ecanismos </w:t>
      </w:r>
      <w:r w:rsidR="00D93105">
        <w:rPr>
          <w:color w:val="000000" w:themeColor="text1"/>
          <w:lang w:val="es-AR"/>
        </w:rPr>
        <w:t>n</w:t>
      </w:r>
      <w:r w:rsidR="004C7488" w:rsidRPr="00D64553">
        <w:rPr>
          <w:color w:val="000000" w:themeColor="text1"/>
          <w:lang w:val="es-AR"/>
        </w:rPr>
        <w:t xml:space="preserve">acionales de </w:t>
      </w:r>
      <w:r w:rsidR="00D93105">
        <w:rPr>
          <w:color w:val="000000" w:themeColor="text1"/>
          <w:lang w:val="es-AR"/>
        </w:rPr>
        <w:t>p</w:t>
      </w:r>
      <w:r w:rsidR="004C7488" w:rsidRPr="00D64553">
        <w:rPr>
          <w:color w:val="000000" w:themeColor="text1"/>
          <w:lang w:val="es-AR"/>
        </w:rPr>
        <w:t>revención (CAT/</w:t>
      </w:r>
      <w:proofErr w:type="spellStart"/>
      <w:r w:rsidR="004C7488" w:rsidRPr="00D64553">
        <w:rPr>
          <w:color w:val="000000" w:themeColor="text1"/>
          <w:lang w:val="es-AR"/>
        </w:rPr>
        <w:t>OP</w:t>
      </w:r>
      <w:proofErr w:type="spellEnd"/>
      <w:r w:rsidR="004C7488" w:rsidRPr="00D64553">
        <w:rPr>
          <w:color w:val="000000" w:themeColor="text1"/>
          <w:lang w:val="es-AR"/>
        </w:rPr>
        <w:t>/12/5).</w:t>
      </w:r>
    </w:p>
    <w:p w14:paraId="4EC53D1D"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4.</w:t>
      </w:r>
      <w:r w:rsidRPr="00D64553">
        <w:rPr>
          <w:color w:val="000000" w:themeColor="text1"/>
          <w:lang w:val="es-AR"/>
        </w:rPr>
        <w:tab/>
      </w:r>
      <w:r w:rsidR="004C7488" w:rsidRPr="00D64553">
        <w:rPr>
          <w:color w:val="000000" w:themeColor="text1"/>
          <w:lang w:val="es-AR"/>
        </w:rPr>
        <w:t xml:space="preserve">El Subcomité mantuvo reuniones con las personas que figuran en el anexo I y visitó los lugares de privación de libertad enumerados en el anexo II, entrevistando a personas privadas de libertad, agentes del orden, funcionarios de centros de detención y personal médico, entre otros. Además, se llevaron a cabo dos reuniones con el </w:t>
      </w:r>
      <w:r w:rsidR="00F76B88">
        <w:rPr>
          <w:color w:val="000000" w:themeColor="text1"/>
          <w:lang w:val="es-AR"/>
        </w:rPr>
        <w:t>mecanismo</w:t>
      </w:r>
      <w:r w:rsidR="00745F57">
        <w:rPr>
          <w:color w:val="000000" w:themeColor="text1"/>
          <w:lang w:val="es-AR"/>
        </w:rPr>
        <w:t xml:space="preserve"> n</w:t>
      </w:r>
      <w:r w:rsidR="00745F57" w:rsidRPr="00D64553">
        <w:rPr>
          <w:color w:val="000000" w:themeColor="text1"/>
          <w:lang w:val="es-AR"/>
        </w:rPr>
        <w:t xml:space="preserve">acional de </w:t>
      </w:r>
      <w:r w:rsidR="00745F57">
        <w:rPr>
          <w:color w:val="000000" w:themeColor="text1"/>
          <w:lang w:val="es-AR"/>
        </w:rPr>
        <w:t>p</w:t>
      </w:r>
      <w:r w:rsidR="00745F57" w:rsidRPr="00D64553">
        <w:rPr>
          <w:color w:val="000000" w:themeColor="text1"/>
          <w:lang w:val="es-AR"/>
        </w:rPr>
        <w:t>revención</w:t>
      </w:r>
      <w:r w:rsidR="004C7488" w:rsidRPr="00D64553">
        <w:rPr>
          <w:color w:val="000000" w:themeColor="text1"/>
          <w:lang w:val="es-AR"/>
        </w:rPr>
        <w:t xml:space="preserve">, lo que permitió al Subcomité explorar su mandato y prácticas de trabajo, e identificar la </w:t>
      </w:r>
      <w:r w:rsidR="004C7488" w:rsidRPr="00D64553">
        <w:rPr>
          <w:lang w:val="es-AR"/>
        </w:rPr>
        <w:t>manera</w:t>
      </w:r>
      <w:r w:rsidR="004C7488" w:rsidRPr="00D64553">
        <w:rPr>
          <w:color w:val="000000" w:themeColor="text1"/>
          <w:lang w:val="es-AR"/>
        </w:rPr>
        <w:t xml:space="preserve"> de mejorar su eficacia. A fin de comprender mejor cómo trabajaba en la práctica el </w:t>
      </w:r>
      <w:proofErr w:type="gramStart"/>
      <w:r w:rsidR="00F76B88">
        <w:rPr>
          <w:color w:val="000000" w:themeColor="text1"/>
          <w:lang w:val="es-AR"/>
        </w:rPr>
        <w:t>mecanismo</w:t>
      </w:r>
      <w:r w:rsidR="00304BB6">
        <w:rPr>
          <w:color w:val="000000" w:themeColor="text1"/>
          <w:lang w:val="es-AR"/>
        </w:rPr>
        <w:t xml:space="preserve"> </w:t>
      </w:r>
      <w:r w:rsidR="004C7488" w:rsidRPr="00D64553">
        <w:rPr>
          <w:color w:val="000000" w:themeColor="text1"/>
          <w:lang w:val="es-AR"/>
        </w:rPr>
        <w:t>,</w:t>
      </w:r>
      <w:proofErr w:type="gramEnd"/>
      <w:r w:rsidR="004C7488" w:rsidRPr="00D64553">
        <w:rPr>
          <w:color w:val="000000" w:themeColor="text1"/>
          <w:lang w:val="es-AR"/>
        </w:rPr>
        <w:t xml:space="preserve"> el Subcomité visitó también, junto con el </w:t>
      </w:r>
      <w:r w:rsidR="00F76B88">
        <w:rPr>
          <w:color w:val="000000" w:themeColor="text1"/>
          <w:lang w:val="es-AR"/>
        </w:rPr>
        <w:t>mecanismo</w:t>
      </w:r>
      <w:r w:rsidR="00304BB6">
        <w:rPr>
          <w:color w:val="000000" w:themeColor="text1"/>
          <w:lang w:val="es-AR"/>
        </w:rPr>
        <w:t xml:space="preserve"> </w:t>
      </w:r>
      <w:r w:rsidR="004C7488" w:rsidRPr="00D64553">
        <w:rPr>
          <w:color w:val="000000" w:themeColor="text1"/>
          <w:lang w:val="es-AR"/>
        </w:rPr>
        <w:t xml:space="preserve">y en diferentes grupos, un centro de privación de libertad para las mujeres que había sido elegido por este (véase el anexo III). La visita estuvo dirigida por el </w:t>
      </w:r>
      <w:r w:rsidR="00F76B88">
        <w:rPr>
          <w:color w:val="000000" w:themeColor="text1"/>
          <w:lang w:val="es-AR"/>
        </w:rPr>
        <w:t>mecanismo</w:t>
      </w:r>
      <w:r w:rsidR="004C7488" w:rsidRPr="00D64553">
        <w:rPr>
          <w:color w:val="000000" w:themeColor="text1"/>
          <w:lang w:val="es-AR"/>
        </w:rPr>
        <w:t>, y los miembros del Subcomité participaron en calidad de observadores.</w:t>
      </w:r>
    </w:p>
    <w:p w14:paraId="7FC66782"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5.</w:t>
      </w:r>
      <w:r w:rsidRPr="00D64553">
        <w:rPr>
          <w:color w:val="000000" w:themeColor="text1"/>
          <w:lang w:val="es-AR"/>
        </w:rPr>
        <w:tab/>
      </w:r>
      <w:r w:rsidR="004C7488" w:rsidRPr="00D64553">
        <w:rPr>
          <w:color w:val="000000" w:themeColor="text1"/>
          <w:lang w:val="es-AR"/>
        </w:rPr>
        <w:t xml:space="preserve">Al término de su visita, la delegación expuso verbalmente sus observaciones preliminares confidenciales al </w:t>
      </w:r>
      <w:r w:rsidR="00197A8F">
        <w:rPr>
          <w:color w:val="000000" w:themeColor="text1"/>
          <w:lang w:val="es-AR"/>
        </w:rPr>
        <w:t>m</w:t>
      </w:r>
      <w:r w:rsidR="004C7488" w:rsidRPr="00D64553">
        <w:rPr>
          <w:color w:val="000000" w:themeColor="text1"/>
          <w:lang w:val="es-AR"/>
        </w:rPr>
        <w:t>ecanismo.</w:t>
      </w:r>
    </w:p>
    <w:p w14:paraId="797DEE98"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6.</w:t>
      </w:r>
      <w:r w:rsidRPr="00D64553">
        <w:rPr>
          <w:color w:val="000000" w:themeColor="text1"/>
          <w:lang w:val="es-AR"/>
        </w:rPr>
        <w:tab/>
      </w:r>
      <w:r w:rsidR="004C7488" w:rsidRPr="00D64553">
        <w:rPr>
          <w:color w:val="000000" w:themeColor="text1"/>
          <w:lang w:val="es-AR"/>
        </w:rPr>
        <w:t xml:space="preserve">En el presente informe, el Subcomité expone sus </w:t>
      </w:r>
      <w:r w:rsidR="007C1B17" w:rsidRPr="00D64553">
        <w:rPr>
          <w:color w:val="000000" w:themeColor="text1"/>
          <w:lang w:val="es-AR"/>
        </w:rPr>
        <w:t xml:space="preserve">recomendaciones y </w:t>
      </w:r>
      <w:r w:rsidR="004C7488" w:rsidRPr="00D64553">
        <w:rPr>
          <w:color w:val="000000" w:themeColor="text1"/>
          <w:lang w:val="es-AR"/>
        </w:rPr>
        <w:t xml:space="preserve">observaciones acerca del funcionamiento del </w:t>
      </w:r>
      <w:r w:rsidR="00F76B88">
        <w:rPr>
          <w:color w:val="000000" w:themeColor="text1"/>
          <w:lang w:val="es-AR"/>
        </w:rPr>
        <w:t>mecanismo</w:t>
      </w:r>
      <w:r w:rsidR="004C7488" w:rsidRPr="00D64553">
        <w:rPr>
          <w:color w:val="000000" w:themeColor="text1"/>
          <w:lang w:val="es-AR"/>
        </w:rPr>
        <w:t>, en base a lo que pudo observar durante su visita. Estas recomendaciones se enmarcan en la obligación del Subcomité de ofrecer formación y asistencia técnica con miras a aumentar la capacidad de los mecanismos nacionales de prevención y de apoyar y asesorar a los mismos en la evaluación de las necesidades y las medidas destinadas a fortalecer la protección de personas privadas de su libertad contra la tortura y otros malos tratos</w:t>
      </w:r>
      <w:r w:rsidR="004C7488" w:rsidRPr="00347A3B">
        <w:rPr>
          <w:rStyle w:val="Refdenotaalpie"/>
          <w:color w:val="000000" w:themeColor="text1"/>
          <w:szCs w:val="18"/>
          <w:lang w:val="es-AR"/>
        </w:rPr>
        <w:footnoteReference w:id="3"/>
      </w:r>
      <w:r w:rsidR="004C7488" w:rsidRPr="00D64553">
        <w:rPr>
          <w:color w:val="000000" w:themeColor="text1"/>
          <w:lang w:val="es-AR"/>
        </w:rPr>
        <w:t xml:space="preserve">, de conformidad con el artículo 11, </w:t>
      </w:r>
      <w:r w:rsidR="00304BB6">
        <w:rPr>
          <w:color w:val="000000" w:themeColor="text1"/>
          <w:lang w:val="es-AR"/>
        </w:rPr>
        <w:t xml:space="preserve">apartado </w:t>
      </w:r>
      <w:r w:rsidR="004C7488" w:rsidRPr="00D64553">
        <w:rPr>
          <w:color w:val="000000" w:themeColor="text1"/>
          <w:lang w:val="es-AR"/>
        </w:rPr>
        <w:t>b</w:t>
      </w:r>
      <w:r w:rsidR="00304BB6">
        <w:rPr>
          <w:color w:val="000000" w:themeColor="text1"/>
          <w:lang w:val="es-AR"/>
        </w:rPr>
        <w:t>)</w:t>
      </w:r>
      <w:r w:rsidR="004C7488" w:rsidRPr="00D64553">
        <w:rPr>
          <w:color w:val="000000" w:themeColor="text1"/>
          <w:lang w:val="es-AR"/>
        </w:rPr>
        <w:t xml:space="preserve">, incisos </w:t>
      </w:r>
      <w:proofErr w:type="spellStart"/>
      <w:r w:rsidR="004C7488" w:rsidRPr="00D64553">
        <w:rPr>
          <w:color w:val="000000" w:themeColor="text1"/>
          <w:lang w:val="es-AR"/>
        </w:rPr>
        <w:t>ii</w:t>
      </w:r>
      <w:proofErr w:type="spellEnd"/>
      <w:r w:rsidR="00304BB6">
        <w:rPr>
          <w:color w:val="000000" w:themeColor="text1"/>
          <w:lang w:val="es-AR"/>
        </w:rPr>
        <w:t>)</w:t>
      </w:r>
      <w:r w:rsidR="004C7488" w:rsidRPr="00D64553">
        <w:rPr>
          <w:color w:val="000000" w:themeColor="text1"/>
          <w:lang w:val="es-AR"/>
        </w:rPr>
        <w:t xml:space="preserve"> y </w:t>
      </w:r>
      <w:proofErr w:type="spellStart"/>
      <w:r w:rsidR="004C7488" w:rsidRPr="00D64553">
        <w:rPr>
          <w:color w:val="000000" w:themeColor="text1"/>
          <w:lang w:val="es-AR"/>
        </w:rPr>
        <w:t>iii</w:t>
      </w:r>
      <w:proofErr w:type="spellEnd"/>
      <w:r w:rsidR="00304BB6">
        <w:rPr>
          <w:color w:val="000000" w:themeColor="text1"/>
          <w:lang w:val="es-AR"/>
        </w:rPr>
        <w:t>)</w:t>
      </w:r>
      <w:r w:rsidR="004C7488" w:rsidRPr="00D64553">
        <w:rPr>
          <w:color w:val="000000" w:themeColor="text1"/>
          <w:lang w:val="es-AR"/>
        </w:rPr>
        <w:t xml:space="preserve"> del Protocolo Facultativo.</w:t>
      </w:r>
    </w:p>
    <w:p w14:paraId="6F372D89" w14:textId="77777777" w:rsidR="004C7488" w:rsidRPr="00D64553" w:rsidRDefault="005B5CAB" w:rsidP="00347A3B">
      <w:pPr>
        <w:pStyle w:val="SingleTxtG"/>
        <w:suppressAutoHyphens/>
        <w:rPr>
          <w:b/>
          <w:color w:val="000000" w:themeColor="text1"/>
          <w:lang w:val="es-AR"/>
        </w:rPr>
      </w:pPr>
      <w:r w:rsidRPr="00D64553">
        <w:rPr>
          <w:color w:val="000000" w:themeColor="text1"/>
          <w:lang w:val="es-AR"/>
        </w:rPr>
        <w:t>7.</w:t>
      </w:r>
      <w:r w:rsidRPr="00D64553">
        <w:rPr>
          <w:color w:val="000000" w:themeColor="text1"/>
          <w:lang w:val="es-AR"/>
        </w:rPr>
        <w:tab/>
      </w:r>
      <w:r w:rsidR="004C7488" w:rsidRPr="00D64553">
        <w:rPr>
          <w:b/>
          <w:color w:val="000000" w:themeColor="text1"/>
          <w:lang w:val="es-AR"/>
        </w:rPr>
        <w:t xml:space="preserve">El presente informe tendrá carácter confidencial hasta que el </w:t>
      </w:r>
      <w:r w:rsidR="00F76B88">
        <w:rPr>
          <w:b/>
          <w:color w:val="000000" w:themeColor="text1"/>
          <w:lang w:val="es-AR"/>
        </w:rPr>
        <w:t>mecanismo</w:t>
      </w:r>
      <w:r w:rsidR="004C7488" w:rsidRPr="00D64553">
        <w:rPr>
          <w:b/>
          <w:color w:val="000000" w:themeColor="text1"/>
          <w:lang w:val="es-AR"/>
        </w:rPr>
        <w:t xml:space="preserve"> </w:t>
      </w:r>
      <w:r w:rsidR="00304BB6">
        <w:rPr>
          <w:b/>
          <w:color w:val="000000" w:themeColor="text1"/>
          <w:lang w:val="es-AR"/>
        </w:rPr>
        <w:t>nacional de prevención</w:t>
      </w:r>
      <w:r w:rsidR="004C7488" w:rsidRPr="00D64553">
        <w:rPr>
          <w:b/>
          <w:color w:val="000000" w:themeColor="text1"/>
          <w:lang w:val="es-AR"/>
        </w:rPr>
        <w:t xml:space="preserve"> de Costa Rica decida hacerlo público de conformidad con el artículo 16, párr</w:t>
      </w:r>
      <w:r w:rsidR="00304BB6">
        <w:rPr>
          <w:b/>
          <w:color w:val="000000" w:themeColor="text1"/>
          <w:lang w:val="es-AR"/>
        </w:rPr>
        <w:t>afo</w:t>
      </w:r>
      <w:r w:rsidR="004C7488" w:rsidRPr="00D64553">
        <w:rPr>
          <w:b/>
          <w:color w:val="000000" w:themeColor="text1"/>
          <w:lang w:val="es-AR"/>
        </w:rPr>
        <w:t xml:space="preserve"> 2</w:t>
      </w:r>
      <w:r w:rsidR="00304BB6">
        <w:rPr>
          <w:b/>
          <w:color w:val="000000" w:themeColor="text1"/>
          <w:lang w:val="es-AR"/>
        </w:rPr>
        <w:t>,</w:t>
      </w:r>
      <w:r w:rsidR="004C7488" w:rsidRPr="00D64553">
        <w:rPr>
          <w:b/>
          <w:color w:val="000000" w:themeColor="text1"/>
          <w:lang w:val="es-AR"/>
        </w:rPr>
        <w:t xml:space="preserve"> del Protocolo Facultativo. El </w:t>
      </w:r>
      <w:r w:rsidR="004C7488" w:rsidRPr="00D64553">
        <w:rPr>
          <w:b/>
          <w:lang w:val="es-AR"/>
        </w:rPr>
        <w:t>Subcomité</w:t>
      </w:r>
      <w:r w:rsidR="004C7488" w:rsidRPr="00D64553">
        <w:rPr>
          <w:b/>
          <w:color w:val="000000" w:themeColor="text1"/>
          <w:lang w:val="es-AR"/>
        </w:rPr>
        <w:t xml:space="preserve"> está firmemente convencido de que la publicación puede contribuir positivamente a la prevención de la tortura y los malos tratos en Costa Rica. En este sentido, se recomienda al </w:t>
      </w:r>
      <w:r w:rsidR="00F76B88">
        <w:rPr>
          <w:b/>
          <w:color w:val="000000" w:themeColor="text1"/>
          <w:lang w:val="es-AR"/>
        </w:rPr>
        <w:t>mecanismo</w:t>
      </w:r>
      <w:r w:rsidR="004C7488" w:rsidRPr="00D64553">
        <w:rPr>
          <w:b/>
          <w:color w:val="000000" w:themeColor="text1"/>
          <w:lang w:val="es-AR"/>
        </w:rPr>
        <w:t xml:space="preserve"> que autorice la publicación del presente informe y comunique al Subcomité al respecto. </w:t>
      </w:r>
    </w:p>
    <w:p w14:paraId="32DAC566"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8.</w:t>
      </w:r>
      <w:r w:rsidRPr="00D64553">
        <w:rPr>
          <w:color w:val="000000" w:themeColor="text1"/>
          <w:lang w:val="es-AR"/>
        </w:rPr>
        <w:tab/>
      </w:r>
      <w:r w:rsidR="004C7488" w:rsidRPr="00D64553">
        <w:rPr>
          <w:color w:val="000000" w:themeColor="text1"/>
          <w:lang w:val="es-AR"/>
        </w:rPr>
        <w:t>El Subcomité realizará recomendaciones al Estado parte, las que serán objeto de un informe separado y confidencial, dirigido a las autoridades costarricenses.</w:t>
      </w:r>
    </w:p>
    <w:p w14:paraId="0DD3B1CD"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9.</w:t>
      </w:r>
      <w:r w:rsidRPr="00D64553">
        <w:rPr>
          <w:color w:val="000000" w:themeColor="text1"/>
          <w:lang w:val="es-AR"/>
        </w:rPr>
        <w:tab/>
      </w:r>
      <w:r w:rsidR="004C7488" w:rsidRPr="00D64553">
        <w:rPr>
          <w:color w:val="000000" w:themeColor="text1"/>
          <w:lang w:val="es-AR"/>
        </w:rPr>
        <w:t xml:space="preserve">El Subcomité señala a la atención del Estado </w:t>
      </w:r>
      <w:r w:rsidR="00304BB6">
        <w:rPr>
          <w:color w:val="000000" w:themeColor="text1"/>
          <w:lang w:val="es-AR"/>
        </w:rPr>
        <w:t xml:space="preserve">parte </w:t>
      </w:r>
      <w:r w:rsidR="004C7488" w:rsidRPr="00D64553">
        <w:rPr>
          <w:color w:val="000000" w:themeColor="text1"/>
          <w:lang w:val="es-AR"/>
        </w:rPr>
        <w:t xml:space="preserve">y del </w:t>
      </w:r>
      <w:r w:rsidR="00F76B88">
        <w:rPr>
          <w:color w:val="000000" w:themeColor="text1"/>
          <w:lang w:val="es-AR"/>
        </w:rPr>
        <w:t>mecanismo</w:t>
      </w:r>
      <w:r w:rsidR="004C7488" w:rsidRPr="00D64553">
        <w:rPr>
          <w:color w:val="000000" w:themeColor="text1"/>
          <w:lang w:val="es-AR"/>
        </w:rPr>
        <w:t xml:space="preserve"> </w:t>
      </w:r>
      <w:r w:rsidR="00304BB6">
        <w:rPr>
          <w:color w:val="000000" w:themeColor="text1"/>
          <w:lang w:val="es-AR"/>
        </w:rPr>
        <w:t>nacional de prevención</w:t>
      </w:r>
      <w:r w:rsidR="004C7488" w:rsidRPr="00D64553">
        <w:rPr>
          <w:color w:val="000000" w:themeColor="text1"/>
          <w:lang w:val="es-AR"/>
        </w:rPr>
        <w:t xml:space="preserve"> la existencia del Fondo Especial </w:t>
      </w:r>
      <w:r w:rsidR="004C7488" w:rsidRPr="00D64553">
        <w:rPr>
          <w:lang w:val="es-AR"/>
        </w:rPr>
        <w:t>establecido</w:t>
      </w:r>
      <w:r w:rsidR="004C7488" w:rsidRPr="00D64553">
        <w:rPr>
          <w:color w:val="000000" w:themeColor="text1"/>
          <w:lang w:val="es-AR"/>
        </w:rPr>
        <w:t xml:space="preserve"> en virtud del artículo 26 del </w:t>
      </w:r>
      <w:r w:rsidR="004C7488" w:rsidRPr="00D64553">
        <w:rPr>
          <w:color w:val="000000" w:themeColor="text1"/>
          <w:lang w:val="es-AR"/>
        </w:rPr>
        <w:lastRenderedPageBreak/>
        <w:t xml:space="preserve">Protocolo Facultativo. Solo se podrá solicitar financiación al Fondo, con arreglo a los criterios publicados por este, para aplicar las recomendaciones contenidas en los informes sobre las visitas del Subcomité que hayan sido publicados. </w:t>
      </w:r>
    </w:p>
    <w:p w14:paraId="0D58AD7D"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10.</w:t>
      </w:r>
      <w:r w:rsidRPr="00D64553">
        <w:rPr>
          <w:color w:val="000000" w:themeColor="text1"/>
          <w:lang w:val="es-AR"/>
        </w:rPr>
        <w:tab/>
      </w:r>
      <w:r w:rsidR="004C7488" w:rsidRPr="00D64553">
        <w:rPr>
          <w:color w:val="000000" w:themeColor="text1"/>
          <w:lang w:val="es-AR"/>
        </w:rPr>
        <w:t xml:space="preserve">El Subcomité desea expresar su agradecimiento al </w:t>
      </w:r>
      <w:r w:rsidR="00F76B88">
        <w:rPr>
          <w:color w:val="000000" w:themeColor="text1"/>
          <w:lang w:val="es-AR"/>
        </w:rPr>
        <w:t>mecanismo</w:t>
      </w:r>
      <w:r w:rsidR="004C7488" w:rsidRPr="00D64553">
        <w:rPr>
          <w:color w:val="000000" w:themeColor="text1"/>
          <w:lang w:val="es-AR"/>
        </w:rPr>
        <w:t xml:space="preserve"> </w:t>
      </w:r>
      <w:r w:rsidR="00304BB6">
        <w:rPr>
          <w:color w:val="000000" w:themeColor="text1"/>
          <w:lang w:val="es-AR"/>
        </w:rPr>
        <w:t>nacional de prevención</w:t>
      </w:r>
      <w:r w:rsidR="004C7488" w:rsidRPr="00D64553">
        <w:rPr>
          <w:color w:val="000000" w:themeColor="text1"/>
          <w:lang w:val="es-AR"/>
        </w:rPr>
        <w:t xml:space="preserve"> por su asistencia en la planificación y realización de la visita.</w:t>
      </w:r>
    </w:p>
    <w:p w14:paraId="1E0447BD" w14:textId="77777777" w:rsidR="004C7488" w:rsidRPr="00A85DA4" w:rsidRDefault="001E15DC" w:rsidP="001E15DC">
      <w:pPr>
        <w:pStyle w:val="HChG"/>
      </w:pPr>
      <w:r>
        <w:tab/>
      </w:r>
      <w:r w:rsidR="00A85DA4">
        <w:t>II.</w:t>
      </w:r>
      <w:r w:rsidR="00A85DA4">
        <w:tab/>
      </w:r>
      <w:r>
        <w:tab/>
      </w:r>
      <w:r w:rsidR="00D15DDA">
        <w:t>M</w:t>
      </w:r>
      <w:r w:rsidR="00F76B88">
        <w:t>ecanismo</w:t>
      </w:r>
      <w:r w:rsidR="004C7488" w:rsidRPr="00A85DA4">
        <w:t xml:space="preserve"> </w:t>
      </w:r>
      <w:r w:rsidR="00304BB6">
        <w:t>nacional de prevención</w:t>
      </w:r>
      <w:r w:rsidR="004C7488" w:rsidRPr="00A85DA4">
        <w:t xml:space="preserve"> </w:t>
      </w:r>
    </w:p>
    <w:p w14:paraId="2540E166" w14:textId="77777777" w:rsidR="00304BB6" w:rsidRDefault="005B5CAB" w:rsidP="00347A3B">
      <w:pPr>
        <w:pStyle w:val="SingleTxtG"/>
        <w:suppressAutoHyphens/>
        <w:rPr>
          <w:color w:val="000000" w:themeColor="text1"/>
          <w:lang w:val="es-AR"/>
        </w:rPr>
      </w:pPr>
      <w:r>
        <w:rPr>
          <w:color w:val="000000" w:themeColor="text1"/>
          <w:lang w:val="es-AR"/>
        </w:rPr>
        <w:t>11.</w:t>
      </w:r>
      <w:r>
        <w:rPr>
          <w:color w:val="000000" w:themeColor="text1"/>
          <w:lang w:val="es-AR"/>
        </w:rPr>
        <w:tab/>
      </w:r>
      <w:r w:rsidR="004C7488" w:rsidRPr="00D64553">
        <w:rPr>
          <w:color w:val="000000" w:themeColor="text1"/>
          <w:lang w:val="es-AR"/>
        </w:rPr>
        <w:t xml:space="preserve">Mediante Decreto Ejecutivo </w:t>
      </w:r>
      <w:r w:rsidR="006F06B4">
        <w:rPr>
          <w:color w:val="000000" w:themeColor="text1"/>
          <w:lang w:val="es-AR"/>
        </w:rPr>
        <w:t xml:space="preserve">núm. </w:t>
      </w:r>
      <w:r w:rsidR="004C7488" w:rsidRPr="00D64553">
        <w:rPr>
          <w:color w:val="000000" w:themeColor="text1"/>
          <w:lang w:val="es-AR"/>
        </w:rPr>
        <w:t>33568-RE-</w:t>
      </w:r>
      <w:proofErr w:type="spellStart"/>
      <w:r w:rsidR="004C7488" w:rsidRPr="00D64553">
        <w:rPr>
          <w:color w:val="000000" w:themeColor="text1"/>
          <w:lang w:val="es-AR"/>
        </w:rPr>
        <w:t>MSP</w:t>
      </w:r>
      <w:proofErr w:type="spellEnd"/>
      <w:r w:rsidR="004C7488" w:rsidRPr="00D64553">
        <w:rPr>
          <w:color w:val="000000" w:themeColor="text1"/>
          <w:lang w:val="es-AR"/>
        </w:rPr>
        <w:t xml:space="preserve">-G-J, firmado el 13 de diciembre de 2006 y publicado el 19 de febrero de 2007 se nombró a la Defensoría de los Habitantes como </w:t>
      </w:r>
      <w:r w:rsidR="00F76B88">
        <w:rPr>
          <w:color w:val="000000" w:themeColor="text1"/>
          <w:lang w:val="es-AR"/>
        </w:rPr>
        <w:t>mecanismo</w:t>
      </w:r>
      <w:r w:rsidR="004C7488" w:rsidRPr="00D64553">
        <w:rPr>
          <w:color w:val="000000" w:themeColor="text1"/>
          <w:lang w:val="es-AR"/>
        </w:rPr>
        <w:t xml:space="preserve"> </w:t>
      </w:r>
      <w:r w:rsidR="00304BB6">
        <w:rPr>
          <w:color w:val="000000" w:themeColor="text1"/>
          <w:lang w:val="es-AR"/>
        </w:rPr>
        <w:t>nacional de prevención</w:t>
      </w:r>
      <w:r w:rsidR="004C7488" w:rsidRPr="00D64553">
        <w:rPr>
          <w:color w:val="000000" w:themeColor="text1"/>
          <w:lang w:val="es-AR"/>
        </w:rPr>
        <w:t xml:space="preserve">. De esta forma, inició sus funciones como unidad independiente dentro de la estructura de la Defensoría el 19 de enero de 2009. Posteriormente, se emitió en 2014 la Ley </w:t>
      </w:r>
      <w:r w:rsidR="00304BB6">
        <w:rPr>
          <w:color w:val="000000" w:themeColor="text1"/>
          <w:lang w:val="es-AR"/>
        </w:rPr>
        <w:t>núm.</w:t>
      </w:r>
      <w:r w:rsidR="004C7488" w:rsidRPr="00D64553">
        <w:rPr>
          <w:bCs/>
          <w:color w:val="000000" w:themeColor="text1"/>
          <w:lang w:val="es-AR"/>
        </w:rPr>
        <w:t xml:space="preserve"> 9204 que oficializó legalmente el </w:t>
      </w:r>
      <w:r w:rsidR="00F76B88">
        <w:rPr>
          <w:color w:val="000000" w:themeColor="text1"/>
          <w:lang w:val="es-AR"/>
        </w:rPr>
        <w:t>mecanismo</w:t>
      </w:r>
      <w:r w:rsidR="004C7488" w:rsidRPr="00D64553">
        <w:rPr>
          <w:color w:val="000000" w:themeColor="text1"/>
          <w:lang w:val="es-AR"/>
        </w:rPr>
        <w:t xml:space="preserve"> </w:t>
      </w:r>
      <w:r w:rsidR="00304BB6">
        <w:rPr>
          <w:color w:val="000000" w:themeColor="text1"/>
          <w:lang w:val="es-AR"/>
        </w:rPr>
        <w:t>nacional de prevención</w:t>
      </w:r>
      <w:r w:rsidR="004C7488" w:rsidRPr="00D64553">
        <w:rPr>
          <w:color w:val="000000" w:themeColor="text1"/>
          <w:lang w:val="es-AR"/>
        </w:rPr>
        <w:t xml:space="preserve"> contra la tortura, y otros tratos o penas crueles, inhumanas o degradantes. De acuerdo con su artículo </w:t>
      </w:r>
      <w:r w:rsidR="00304BB6">
        <w:rPr>
          <w:color w:val="000000" w:themeColor="text1"/>
          <w:lang w:val="es-AR"/>
        </w:rPr>
        <w:t>1</w:t>
      </w:r>
      <w:r w:rsidR="004C7488" w:rsidRPr="00D64553">
        <w:rPr>
          <w:color w:val="000000" w:themeColor="text1"/>
          <w:lang w:val="es-AR"/>
        </w:rPr>
        <w:t>, su objetivo es</w:t>
      </w:r>
    </w:p>
    <w:p w14:paraId="4513C153" w14:textId="77777777" w:rsidR="004C7488" w:rsidRPr="00304BB6" w:rsidRDefault="004C7488" w:rsidP="00347A3B">
      <w:pPr>
        <w:pStyle w:val="SingleTxtG"/>
        <w:suppressAutoHyphens/>
        <w:ind w:left="1701"/>
        <w:rPr>
          <w:color w:val="000000" w:themeColor="text1"/>
          <w:lang w:val="es-AR"/>
        </w:rPr>
      </w:pPr>
      <w:r w:rsidRPr="00347A3B">
        <w:rPr>
          <w:color w:val="000000" w:themeColor="text1"/>
          <w:lang w:val="es-AR"/>
        </w:rPr>
        <w:t>proteger los derechos fundamentales y humanos de las personas que se encuentren sometidas a cualquier forma de privación de libertad y prevenir cualquier acto de tortura y otros tratos o penas crueles, inhumanos y degradantes, mediante la ejecución de inspecciones regulares a los centros de aprehensión, detención y privación de libertad</w:t>
      </w:r>
      <w:r w:rsidR="001E15DC" w:rsidRPr="00304BB6">
        <w:rPr>
          <w:color w:val="000000" w:themeColor="text1"/>
          <w:lang w:val="es-AR"/>
        </w:rPr>
        <w:t>.</w:t>
      </w:r>
    </w:p>
    <w:p w14:paraId="21EC5AA1"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12.</w:t>
      </w:r>
      <w:r w:rsidRPr="00D64553">
        <w:rPr>
          <w:color w:val="000000" w:themeColor="text1"/>
          <w:lang w:val="es-AR"/>
        </w:rPr>
        <w:tab/>
      </w:r>
      <w:r w:rsidR="004C7488" w:rsidRPr="00D64553">
        <w:rPr>
          <w:color w:val="000000" w:themeColor="text1"/>
          <w:lang w:val="es-AR"/>
        </w:rPr>
        <w:t xml:space="preserve">Actualmente, el </w:t>
      </w:r>
      <w:r w:rsidR="00F76B88">
        <w:rPr>
          <w:color w:val="000000" w:themeColor="text1"/>
          <w:lang w:val="es-AR"/>
        </w:rPr>
        <w:t>mecanismo</w:t>
      </w:r>
      <w:r w:rsidR="004C7488" w:rsidRPr="00D64553">
        <w:rPr>
          <w:color w:val="000000" w:themeColor="text1"/>
          <w:lang w:val="es-AR"/>
        </w:rPr>
        <w:t xml:space="preserve"> es un órgano de desconcentración máxima, adscrito administrativamente a la Defensoría de los Habitantes. De acuerdo con el </w:t>
      </w:r>
      <w:r w:rsidR="00304BB6">
        <w:rPr>
          <w:color w:val="000000" w:themeColor="text1"/>
          <w:lang w:val="es-AR"/>
        </w:rPr>
        <w:t>a</w:t>
      </w:r>
      <w:r w:rsidR="004C7488" w:rsidRPr="00D64553">
        <w:rPr>
          <w:color w:val="000000" w:themeColor="text1"/>
          <w:lang w:val="es-AR"/>
        </w:rPr>
        <w:t xml:space="preserve">rtículo 83 de la Ley General de la Administración Pública, los órganos con desconcentración máxima son todos aquellos distintos del jerarca en donde el inferior está sustraído a órdenes, instrucciones o circulares del superior. En este sentido, el </w:t>
      </w:r>
      <w:r w:rsidR="00F76B88">
        <w:rPr>
          <w:color w:val="000000" w:themeColor="text1"/>
          <w:lang w:val="es-AR"/>
        </w:rPr>
        <w:t>mecanismo</w:t>
      </w:r>
      <w:r w:rsidR="004C7488" w:rsidRPr="00D64553">
        <w:rPr>
          <w:color w:val="000000" w:themeColor="text1"/>
          <w:lang w:val="es-AR"/>
        </w:rPr>
        <w:t xml:space="preserve"> goza de independencia funcional y de criterio en la realización de sus actividades establecidas por la ley nacional </w:t>
      </w:r>
      <w:r w:rsidR="00304BB6">
        <w:rPr>
          <w:color w:val="000000" w:themeColor="text1"/>
          <w:lang w:val="es-AR"/>
        </w:rPr>
        <w:t>en</w:t>
      </w:r>
      <w:r w:rsidR="004C7488" w:rsidRPr="00D64553">
        <w:rPr>
          <w:color w:val="000000" w:themeColor="text1"/>
          <w:lang w:val="es-AR"/>
        </w:rPr>
        <w:t xml:space="preserve"> base de lo previsto en el </w:t>
      </w:r>
      <w:r w:rsidR="00304BB6">
        <w:rPr>
          <w:color w:val="000000" w:themeColor="text1"/>
          <w:lang w:val="es-AR"/>
        </w:rPr>
        <w:t>Protocolo Facultativo</w:t>
      </w:r>
      <w:r w:rsidR="004C7488" w:rsidRPr="00D64553">
        <w:rPr>
          <w:color w:val="000000" w:themeColor="text1"/>
          <w:lang w:val="es-AR"/>
        </w:rPr>
        <w:t xml:space="preserve">. </w:t>
      </w:r>
    </w:p>
    <w:p w14:paraId="035DA54A" w14:textId="77777777" w:rsidR="004C7488" w:rsidRPr="00D64553" w:rsidRDefault="005B5CAB" w:rsidP="00347A3B">
      <w:pPr>
        <w:pStyle w:val="SingleTxtG"/>
        <w:suppressAutoHyphens/>
        <w:rPr>
          <w:color w:val="000000" w:themeColor="text1"/>
          <w:lang w:val="es-AR"/>
        </w:rPr>
      </w:pPr>
      <w:r w:rsidRPr="00D64553">
        <w:rPr>
          <w:color w:val="000000" w:themeColor="text1"/>
          <w:lang w:val="es-AR"/>
        </w:rPr>
        <w:t>13.</w:t>
      </w:r>
      <w:r w:rsidRPr="00D64553">
        <w:rPr>
          <w:color w:val="000000" w:themeColor="text1"/>
          <w:lang w:val="es-AR"/>
        </w:rPr>
        <w:tab/>
      </w:r>
      <w:r w:rsidR="004C7488" w:rsidRPr="00D64553">
        <w:rPr>
          <w:color w:val="000000" w:themeColor="text1"/>
          <w:lang w:val="es-AR"/>
        </w:rPr>
        <w:t xml:space="preserve">Al momento de la visita del Subcomité, el equipo del </w:t>
      </w:r>
      <w:r w:rsidR="00F76B88">
        <w:rPr>
          <w:color w:val="000000" w:themeColor="text1"/>
          <w:lang w:val="es-AR"/>
        </w:rPr>
        <w:t>mecanismo</w:t>
      </w:r>
      <w:r w:rsidR="004C7488" w:rsidRPr="00D64553">
        <w:rPr>
          <w:color w:val="000000" w:themeColor="text1"/>
          <w:lang w:val="es-AR"/>
        </w:rPr>
        <w:t xml:space="preserve"> estaba integrado por un director, un politólogo y una trabajadora social, así como una asistente administrativa. Un puesto de jurista se encontraba vacante. En el caso de que el </w:t>
      </w:r>
      <w:r w:rsidR="00F76B88">
        <w:rPr>
          <w:color w:val="000000" w:themeColor="text1"/>
          <w:lang w:val="es-AR"/>
        </w:rPr>
        <w:t>mecanismo</w:t>
      </w:r>
      <w:r w:rsidR="004C7488" w:rsidRPr="00D64553">
        <w:rPr>
          <w:color w:val="000000" w:themeColor="text1"/>
          <w:lang w:val="es-AR"/>
        </w:rPr>
        <w:t xml:space="preserve"> necesite personal con una especialidad especifica como medicina o arquitectura, realiza un pedido de préstamo de personal a la Defensoría de los Habitantes</w:t>
      </w:r>
      <w:r w:rsidR="00304BB6">
        <w:rPr>
          <w:color w:val="000000" w:themeColor="text1"/>
          <w:lang w:val="es-AR"/>
        </w:rPr>
        <w:t>,</w:t>
      </w:r>
      <w:r w:rsidR="004C7488" w:rsidRPr="00D64553">
        <w:rPr>
          <w:color w:val="000000" w:themeColor="text1"/>
          <w:lang w:val="es-AR"/>
        </w:rPr>
        <w:t xml:space="preserve"> que </w:t>
      </w:r>
      <w:r w:rsidR="00304BB6">
        <w:rPr>
          <w:color w:val="000000" w:themeColor="text1"/>
          <w:lang w:val="es-AR"/>
        </w:rPr>
        <w:t xml:space="preserve">cuenta </w:t>
      </w:r>
      <w:r w:rsidR="004C7488" w:rsidRPr="00D64553">
        <w:rPr>
          <w:color w:val="000000" w:themeColor="text1"/>
          <w:lang w:val="es-AR"/>
        </w:rPr>
        <w:t xml:space="preserve">con recursos humanos más amplios. El artículo 17 del reglamento de la ley de creación del </w:t>
      </w:r>
      <w:r w:rsidR="00F76B88">
        <w:rPr>
          <w:color w:val="000000" w:themeColor="text1"/>
          <w:lang w:val="es-AR"/>
        </w:rPr>
        <w:t>mecanismo</w:t>
      </w:r>
      <w:r w:rsidR="004C7488" w:rsidRPr="00D64553">
        <w:rPr>
          <w:color w:val="000000" w:themeColor="text1"/>
          <w:lang w:val="es-AR"/>
        </w:rPr>
        <w:t xml:space="preserve"> autoriza tal coordinación. </w:t>
      </w:r>
    </w:p>
    <w:p w14:paraId="3A9AB058" w14:textId="77777777" w:rsidR="004C7488" w:rsidRPr="00D64553" w:rsidRDefault="005B5CAB" w:rsidP="00347A3B">
      <w:pPr>
        <w:pStyle w:val="SingleTxtG"/>
        <w:suppressAutoHyphens/>
        <w:rPr>
          <w:color w:val="000000" w:themeColor="text1"/>
          <w:lang w:val="es-AR" w:eastAsia="es-AR"/>
        </w:rPr>
      </w:pPr>
      <w:r w:rsidRPr="00D64553">
        <w:rPr>
          <w:color w:val="000000" w:themeColor="text1"/>
          <w:lang w:val="es-AR" w:eastAsia="es-AR"/>
        </w:rPr>
        <w:t>14.</w:t>
      </w:r>
      <w:r w:rsidRPr="00D64553">
        <w:rPr>
          <w:color w:val="000000" w:themeColor="text1"/>
          <w:lang w:val="es-AR" w:eastAsia="es-AR"/>
        </w:rPr>
        <w:tab/>
      </w:r>
      <w:r w:rsidR="004C7488" w:rsidRPr="00D64553">
        <w:rPr>
          <w:color w:val="000000" w:themeColor="text1"/>
          <w:lang w:val="es-AR" w:eastAsia="en-GB"/>
        </w:rPr>
        <w:t xml:space="preserve">El </w:t>
      </w:r>
      <w:r w:rsidR="00F76B88">
        <w:rPr>
          <w:color w:val="000000" w:themeColor="text1"/>
          <w:lang w:val="es-AR" w:eastAsia="en-GB"/>
        </w:rPr>
        <w:t>mecanismo</w:t>
      </w:r>
      <w:r w:rsidR="004C7488" w:rsidRPr="00D64553">
        <w:rPr>
          <w:color w:val="000000" w:themeColor="text1"/>
          <w:lang w:val="es-AR" w:eastAsia="en-GB"/>
        </w:rPr>
        <w:t xml:space="preserve"> </w:t>
      </w:r>
      <w:r w:rsidR="004C7488" w:rsidRPr="00D64553">
        <w:rPr>
          <w:color w:val="000000" w:themeColor="text1"/>
          <w:lang w:val="es-AR"/>
        </w:rPr>
        <w:t>lleva a cabo visitas periódicas a los lugares en que se encuentran personas privadas de libertad con el objetivo de examinar el trato de las personas privadas de su libertad</w:t>
      </w:r>
      <w:r w:rsidR="004C7488" w:rsidRPr="00347A3B">
        <w:rPr>
          <w:rStyle w:val="Refdenotaalpie"/>
          <w:color w:val="000000" w:themeColor="text1"/>
          <w:szCs w:val="18"/>
          <w:lang w:val="es-AR"/>
        </w:rPr>
        <w:footnoteReference w:id="4"/>
      </w:r>
      <w:r w:rsidR="004C7488" w:rsidRPr="00D64553">
        <w:rPr>
          <w:color w:val="000000" w:themeColor="text1"/>
          <w:lang w:val="es-AR"/>
        </w:rPr>
        <w:t xml:space="preserve">. Tras sus visitas, el </w:t>
      </w:r>
      <w:r w:rsidR="00F76B88">
        <w:rPr>
          <w:color w:val="000000" w:themeColor="text1"/>
          <w:lang w:val="es-AR"/>
        </w:rPr>
        <w:t>mecanismo</w:t>
      </w:r>
      <w:r w:rsidR="004C7488" w:rsidRPr="00D64553">
        <w:rPr>
          <w:color w:val="000000" w:themeColor="text1"/>
          <w:lang w:val="es-AR"/>
        </w:rPr>
        <w:t xml:space="preserve"> produce recomendaciones dirigidas a las autoridades competentes a fin de prevenir la tortura y otros tratos o penas crueles, inhumanos o degradantes. </w:t>
      </w:r>
    </w:p>
    <w:p w14:paraId="5B6BFD1A" w14:textId="77777777" w:rsidR="004C7488" w:rsidRPr="00A85DA4" w:rsidRDefault="00A85DA4" w:rsidP="00A85DA4">
      <w:pPr>
        <w:pStyle w:val="HChG"/>
      </w:pPr>
      <w:r>
        <w:tab/>
        <w:t>III.</w:t>
      </w:r>
      <w:r>
        <w:tab/>
      </w:r>
      <w:r w:rsidR="004C7488" w:rsidRPr="00A85DA4">
        <w:t xml:space="preserve">Recomendaciones al </w:t>
      </w:r>
      <w:r w:rsidR="00F76B88">
        <w:t>mecanismo</w:t>
      </w:r>
      <w:r w:rsidR="004C7488" w:rsidRPr="00A85DA4">
        <w:t xml:space="preserve"> </w:t>
      </w:r>
      <w:r w:rsidR="00304BB6">
        <w:t>nacional de prevención</w:t>
      </w:r>
    </w:p>
    <w:p w14:paraId="58D9C62E" w14:textId="77777777" w:rsidR="004C7488" w:rsidRPr="00A85DA4" w:rsidRDefault="00A85DA4" w:rsidP="00A85DA4">
      <w:pPr>
        <w:pStyle w:val="H1G"/>
      </w:pPr>
      <w:r>
        <w:tab/>
        <w:t>A.</w:t>
      </w:r>
      <w:r>
        <w:tab/>
      </w:r>
      <w:r w:rsidR="004C7488" w:rsidRPr="00A85DA4">
        <w:t xml:space="preserve">Cuestiones estructurales e independencia </w:t>
      </w:r>
    </w:p>
    <w:p w14:paraId="3594B697" w14:textId="77777777" w:rsidR="004C7488" w:rsidRPr="00D64553" w:rsidRDefault="005B5CAB" w:rsidP="00347A3B">
      <w:pPr>
        <w:pStyle w:val="SingleTxtG"/>
        <w:suppressAutoHyphens/>
        <w:rPr>
          <w:b/>
          <w:color w:val="000000" w:themeColor="text1"/>
          <w:lang w:val="es-AR"/>
        </w:rPr>
      </w:pPr>
      <w:r w:rsidRPr="00D64553">
        <w:rPr>
          <w:color w:val="000000" w:themeColor="text1"/>
          <w:lang w:val="es-AR"/>
        </w:rPr>
        <w:t>15.</w:t>
      </w:r>
      <w:r w:rsidRPr="00D64553">
        <w:rPr>
          <w:color w:val="000000" w:themeColor="text1"/>
          <w:lang w:val="es-AR"/>
        </w:rPr>
        <w:tab/>
      </w:r>
      <w:r w:rsidR="004C7488" w:rsidRPr="00D64553">
        <w:rPr>
          <w:lang w:val="es-AR"/>
        </w:rPr>
        <w:t xml:space="preserve">Durante su visita, el Subcomité observó con beneplácito que el </w:t>
      </w:r>
      <w:r w:rsidR="00F76B88">
        <w:rPr>
          <w:lang w:val="es-AR"/>
        </w:rPr>
        <w:t>mecanismo</w:t>
      </w:r>
      <w:r w:rsidR="004C7488" w:rsidRPr="00D64553">
        <w:rPr>
          <w:lang w:val="es-AR"/>
        </w:rPr>
        <w:t xml:space="preserve"> </w:t>
      </w:r>
      <w:r w:rsidR="00304BB6">
        <w:rPr>
          <w:lang w:val="es-AR"/>
        </w:rPr>
        <w:t>nacional de prevención</w:t>
      </w:r>
      <w:r w:rsidR="004C7488" w:rsidRPr="00D64553">
        <w:rPr>
          <w:lang w:val="es-AR"/>
        </w:rPr>
        <w:t xml:space="preserve"> se encuentra posicionado en forma positiva y mantiene legitimidad ante las autoridades costarricenses. Ello le permite realizar su mandato de monitoreo, recomendaciones y diálogo con las autoridades sin obstáculos. Cabe destacar que los informes del </w:t>
      </w:r>
      <w:r w:rsidR="00F76B88">
        <w:rPr>
          <w:lang w:val="es-AR"/>
        </w:rPr>
        <w:t>mecanismo</w:t>
      </w:r>
      <w:r w:rsidR="004C7488" w:rsidRPr="00D64553">
        <w:rPr>
          <w:lang w:val="es-AR"/>
        </w:rPr>
        <w:t xml:space="preserve"> contienen información extensa sobre las observaciones y sus recomendaciones son utilizadas</w:t>
      </w:r>
      <w:r w:rsidR="004C7488">
        <w:rPr>
          <w:lang w:val="es-AR"/>
        </w:rPr>
        <w:t xml:space="preserve"> como fuente</w:t>
      </w:r>
      <w:r w:rsidR="004C7488" w:rsidRPr="00D64553">
        <w:rPr>
          <w:lang w:val="es-AR"/>
        </w:rPr>
        <w:t xml:space="preserve"> de resoluciones judiciales, y decisiones por parte del Poder ejecutivo.</w:t>
      </w:r>
    </w:p>
    <w:p w14:paraId="252D9D91" w14:textId="77777777" w:rsidR="004C7488" w:rsidRPr="00D64553" w:rsidRDefault="005B5CAB" w:rsidP="00347A3B">
      <w:pPr>
        <w:pStyle w:val="SingleTxtG"/>
        <w:suppressAutoHyphens/>
        <w:rPr>
          <w:b/>
          <w:color w:val="000000" w:themeColor="text1"/>
          <w:lang w:val="es-AR"/>
        </w:rPr>
      </w:pPr>
      <w:r w:rsidRPr="00D64553">
        <w:rPr>
          <w:color w:val="000000" w:themeColor="text1"/>
          <w:lang w:val="es-AR"/>
        </w:rPr>
        <w:t>16.</w:t>
      </w:r>
      <w:r w:rsidRPr="00D64553">
        <w:rPr>
          <w:color w:val="000000" w:themeColor="text1"/>
          <w:lang w:val="es-AR"/>
        </w:rPr>
        <w:tab/>
      </w:r>
      <w:r w:rsidR="004C7488" w:rsidRPr="00D64553">
        <w:rPr>
          <w:color w:val="000000" w:themeColor="text1"/>
          <w:lang w:val="es-AR"/>
        </w:rPr>
        <w:t xml:space="preserve">Preocupa al Subcomité la falta de personal suficiente. El </w:t>
      </w:r>
      <w:r w:rsidR="00F76B88">
        <w:rPr>
          <w:color w:val="000000" w:themeColor="text1"/>
          <w:lang w:val="es-AR"/>
        </w:rPr>
        <w:t>mecanismo</w:t>
      </w:r>
      <w:r w:rsidR="004C7488" w:rsidRPr="00D64553">
        <w:rPr>
          <w:color w:val="000000" w:themeColor="text1"/>
          <w:lang w:val="es-AR"/>
        </w:rPr>
        <w:t xml:space="preserve"> en su composición actual carece de recursos humanos y multidisciplinarios que le permita</w:t>
      </w:r>
      <w:r w:rsidR="006F06B4">
        <w:rPr>
          <w:color w:val="000000" w:themeColor="text1"/>
          <w:lang w:val="es-AR"/>
        </w:rPr>
        <w:t>n</w:t>
      </w:r>
      <w:r w:rsidR="004C7488" w:rsidRPr="00D64553">
        <w:rPr>
          <w:color w:val="000000" w:themeColor="text1"/>
          <w:lang w:val="es-AR"/>
        </w:rPr>
        <w:t xml:space="preserve"> realizar </w:t>
      </w:r>
      <w:r w:rsidR="004C7488" w:rsidRPr="00D64553">
        <w:rPr>
          <w:color w:val="000000" w:themeColor="text1"/>
          <w:lang w:val="es-AR"/>
        </w:rPr>
        <w:lastRenderedPageBreak/>
        <w:t xml:space="preserve">sus tareas independientemente de la Defensoría. A título de ejemplo, el </w:t>
      </w:r>
      <w:r w:rsidR="00F76B88">
        <w:rPr>
          <w:color w:val="000000" w:themeColor="text1"/>
          <w:lang w:val="es-AR"/>
        </w:rPr>
        <w:t>mecanismo</w:t>
      </w:r>
      <w:r w:rsidR="004C7488" w:rsidRPr="00D64553">
        <w:rPr>
          <w:color w:val="000000" w:themeColor="text1"/>
          <w:lang w:val="es-AR"/>
        </w:rPr>
        <w:t xml:space="preserve"> debe solicitar colaboración a la Defensoría en cuanto a choferes, médicos y psicólogos u otro tipo de especialización a fin de realizar su mandato diario. </w:t>
      </w:r>
    </w:p>
    <w:p w14:paraId="62028DEE" w14:textId="77777777" w:rsidR="004C7488" w:rsidRPr="001C7C77" w:rsidRDefault="005B5CAB" w:rsidP="00347A3B">
      <w:pPr>
        <w:pStyle w:val="SingleTxtG"/>
        <w:suppressAutoHyphens/>
        <w:rPr>
          <w:b/>
          <w:color w:val="000000" w:themeColor="text1"/>
          <w:lang w:val="es-AR"/>
        </w:rPr>
      </w:pPr>
      <w:r w:rsidRPr="001C7C77">
        <w:rPr>
          <w:color w:val="000000" w:themeColor="text1"/>
          <w:lang w:val="es-AR"/>
        </w:rPr>
        <w:t>17.</w:t>
      </w:r>
      <w:r w:rsidRPr="001C7C77">
        <w:rPr>
          <w:color w:val="000000" w:themeColor="text1"/>
          <w:lang w:val="es-AR"/>
        </w:rPr>
        <w:tab/>
      </w:r>
      <w:r w:rsidR="004C7488" w:rsidRPr="001C7C77">
        <w:rPr>
          <w:b/>
          <w:color w:val="000000" w:themeColor="text1"/>
          <w:lang w:val="es-AR"/>
        </w:rPr>
        <w:t xml:space="preserve">El Subcomité recomienda que el </w:t>
      </w:r>
      <w:r w:rsidR="00F76B88">
        <w:rPr>
          <w:b/>
          <w:color w:val="000000" w:themeColor="text1"/>
          <w:lang w:val="es-AR"/>
        </w:rPr>
        <w:t>mecanismo</w:t>
      </w:r>
      <w:r w:rsidR="004C7488" w:rsidRPr="001C7C77">
        <w:rPr>
          <w:b/>
          <w:color w:val="000000" w:themeColor="text1"/>
          <w:lang w:val="es-AR"/>
        </w:rPr>
        <w:t xml:space="preserve"> considere incorporar a su equipo principal y como </w:t>
      </w:r>
      <w:r w:rsidR="00304BB6">
        <w:rPr>
          <w:b/>
          <w:color w:val="000000" w:themeColor="text1"/>
          <w:lang w:val="es-AR"/>
        </w:rPr>
        <w:t>personal</w:t>
      </w:r>
      <w:r w:rsidR="004C7488" w:rsidRPr="001C7C77">
        <w:rPr>
          <w:b/>
          <w:color w:val="000000" w:themeColor="text1"/>
          <w:lang w:val="es-AR"/>
        </w:rPr>
        <w:t xml:space="preserve"> </w:t>
      </w:r>
      <w:r w:rsidR="004C7488">
        <w:rPr>
          <w:b/>
          <w:color w:val="000000" w:themeColor="text1"/>
          <w:lang w:val="es-AR"/>
        </w:rPr>
        <w:t>permanente, que puede ser a tiempo parcial o completo,</w:t>
      </w:r>
      <w:r w:rsidR="004C7488" w:rsidRPr="001C7C77">
        <w:rPr>
          <w:b/>
          <w:color w:val="000000" w:themeColor="text1"/>
          <w:lang w:val="es-AR"/>
        </w:rPr>
        <w:t xml:space="preserve"> un profesional en medicina </w:t>
      </w:r>
      <w:r w:rsidR="004C7488" w:rsidRPr="00785F79">
        <w:rPr>
          <w:b/>
          <w:color w:val="000000" w:themeColor="text1"/>
          <w:lang w:val="es-AR"/>
        </w:rPr>
        <w:t>y</w:t>
      </w:r>
      <w:r w:rsidR="004C7488" w:rsidRPr="001C7C77">
        <w:rPr>
          <w:b/>
          <w:color w:val="000000" w:themeColor="text1"/>
          <w:lang w:val="es-AR"/>
        </w:rPr>
        <w:t xml:space="preserve"> en psicología con experiencia en ámbitos carcelarios </w:t>
      </w:r>
      <w:r w:rsidR="004C7488" w:rsidRPr="001C7C77">
        <w:rPr>
          <w:b/>
          <w:color w:val="000000" w:themeColor="text1"/>
          <w:lang w:val="es-419"/>
        </w:rPr>
        <w:t>abocad</w:t>
      </w:r>
      <w:r w:rsidR="00304BB6">
        <w:rPr>
          <w:b/>
          <w:color w:val="000000" w:themeColor="text1"/>
          <w:lang w:val="es-419"/>
        </w:rPr>
        <w:t>o</w:t>
      </w:r>
      <w:r w:rsidR="004C7488" w:rsidRPr="001C7C77">
        <w:rPr>
          <w:b/>
          <w:color w:val="000000" w:themeColor="text1"/>
          <w:lang w:val="es-419"/>
        </w:rPr>
        <w:t xml:space="preserve"> al conocimiento de las tareas del </w:t>
      </w:r>
      <w:r w:rsidR="00F76B88">
        <w:rPr>
          <w:b/>
          <w:color w:val="000000" w:themeColor="text1"/>
          <w:lang w:val="es-419"/>
        </w:rPr>
        <w:t>mecanismo</w:t>
      </w:r>
      <w:r w:rsidR="004C7488" w:rsidRPr="001C7C77">
        <w:rPr>
          <w:b/>
          <w:color w:val="000000" w:themeColor="text1"/>
          <w:lang w:val="es-419"/>
        </w:rPr>
        <w:t xml:space="preserve"> y su accionar</w:t>
      </w:r>
      <w:r w:rsidR="004C7488" w:rsidRPr="001C7C77">
        <w:rPr>
          <w:b/>
          <w:color w:val="000000" w:themeColor="text1"/>
          <w:lang w:val="es-AR"/>
        </w:rPr>
        <w:t xml:space="preserve">. La integración de estos profesionales fortalecerá el enfoque integral del </w:t>
      </w:r>
      <w:r w:rsidR="00F76B88">
        <w:rPr>
          <w:b/>
          <w:color w:val="000000" w:themeColor="text1"/>
          <w:lang w:val="es-AR"/>
        </w:rPr>
        <w:t>mecanismo</w:t>
      </w:r>
      <w:r w:rsidR="004C7488" w:rsidRPr="001C7C77">
        <w:rPr>
          <w:b/>
          <w:color w:val="000000" w:themeColor="text1"/>
          <w:lang w:val="es-AR"/>
        </w:rPr>
        <w:t xml:space="preserve"> durante sus visitas y la elaboración de recomendaciones pertinentes a las autoridades sobre los aspectos de salud en lugares de privación de libertad. </w:t>
      </w:r>
    </w:p>
    <w:p w14:paraId="170BBD87" w14:textId="77777777" w:rsidR="004C7488" w:rsidRPr="00D64553" w:rsidRDefault="005B5CAB" w:rsidP="00347A3B">
      <w:pPr>
        <w:pStyle w:val="SingleTxtG"/>
        <w:suppressAutoHyphens/>
        <w:rPr>
          <w:b/>
          <w:color w:val="000000" w:themeColor="text1"/>
          <w:lang w:val="es-AR"/>
        </w:rPr>
      </w:pPr>
      <w:r w:rsidRPr="00D64553">
        <w:rPr>
          <w:color w:val="000000" w:themeColor="text1"/>
          <w:lang w:val="es-AR"/>
        </w:rPr>
        <w:t>18.</w:t>
      </w:r>
      <w:r w:rsidRPr="00D64553">
        <w:rPr>
          <w:color w:val="000000" w:themeColor="text1"/>
          <w:lang w:val="es-AR"/>
        </w:rPr>
        <w:tab/>
      </w:r>
      <w:r w:rsidR="004C7488" w:rsidRPr="00D64553">
        <w:rPr>
          <w:color w:val="000000" w:themeColor="text1"/>
          <w:lang w:val="es-AR"/>
        </w:rPr>
        <w:t xml:space="preserve">Durante su visita, el Subcomité pudo observar una buena dinámica de trabajo entre la institución de la Defensoría de los Habitantes y el </w:t>
      </w:r>
      <w:r w:rsidR="00F76B88">
        <w:rPr>
          <w:color w:val="000000" w:themeColor="text1"/>
          <w:lang w:val="es-AR"/>
        </w:rPr>
        <w:t>mecanismo</w:t>
      </w:r>
      <w:r w:rsidR="004C7488" w:rsidRPr="00D64553">
        <w:rPr>
          <w:color w:val="000000" w:themeColor="text1"/>
          <w:lang w:val="es-AR"/>
        </w:rPr>
        <w:t xml:space="preserve"> </w:t>
      </w:r>
      <w:r w:rsidR="00304BB6">
        <w:rPr>
          <w:color w:val="000000" w:themeColor="text1"/>
          <w:lang w:val="es-AR"/>
        </w:rPr>
        <w:t>nacional de prevención</w:t>
      </w:r>
      <w:r w:rsidR="004C7488" w:rsidRPr="00D64553">
        <w:rPr>
          <w:color w:val="000000" w:themeColor="text1"/>
          <w:lang w:val="es-AR"/>
        </w:rPr>
        <w:t>. De maner</w:t>
      </w:r>
      <w:r w:rsidR="004C7488">
        <w:rPr>
          <w:color w:val="000000" w:themeColor="text1"/>
          <w:lang w:val="es-AR"/>
        </w:rPr>
        <w:t xml:space="preserve">a general, el </w:t>
      </w:r>
      <w:r w:rsidR="00F76B88">
        <w:rPr>
          <w:color w:val="000000" w:themeColor="text1"/>
          <w:lang w:val="es-AR"/>
        </w:rPr>
        <w:t>mecanismo</w:t>
      </w:r>
      <w:r w:rsidR="004C7488">
        <w:rPr>
          <w:color w:val="000000" w:themeColor="text1"/>
          <w:lang w:val="es-AR"/>
        </w:rPr>
        <w:t xml:space="preserve"> goza </w:t>
      </w:r>
      <w:r w:rsidR="004C7488" w:rsidRPr="00D64553">
        <w:rPr>
          <w:color w:val="000000" w:themeColor="text1"/>
          <w:lang w:val="es-AR"/>
        </w:rPr>
        <w:t>de independencia y n</w:t>
      </w:r>
      <w:r w:rsidR="004C7488" w:rsidRPr="00D64553">
        <w:rPr>
          <w:bCs/>
          <w:color w:val="000000" w:themeColor="text1"/>
          <w:lang w:val="es-AR"/>
        </w:rPr>
        <w:t>o se advirtió</w:t>
      </w:r>
      <w:r w:rsidR="004C7488" w:rsidRPr="00D64553">
        <w:rPr>
          <w:color w:val="000000" w:themeColor="text1"/>
          <w:lang w:val="es-AR"/>
        </w:rPr>
        <w:t xml:space="preserve"> injerencia por parte de la Defensoría en relación con el mandato que ejerce el </w:t>
      </w:r>
      <w:r w:rsidR="00F76B88">
        <w:rPr>
          <w:color w:val="000000" w:themeColor="text1"/>
          <w:lang w:val="es-AR"/>
        </w:rPr>
        <w:t>mecanismo</w:t>
      </w:r>
      <w:r w:rsidR="004C7488" w:rsidRPr="00D64553">
        <w:rPr>
          <w:color w:val="000000" w:themeColor="text1"/>
          <w:lang w:val="es-AR"/>
        </w:rPr>
        <w:t xml:space="preserve">, en la asignación del presupuesto, ni </w:t>
      </w:r>
      <w:r w:rsidR="004C7488" w:rsidRPr="00D64553">
        <w:rPr>
          <w:lang w:val="es-AR"/>
        </w:rPr>
        <w:t xml:space="preserve">en los procesos de selección y nombramiento del personal del </w:t>
      </w:r>
      <w:r w:rsidR="00F76B88">
        <w:rPr>
          <w:lang w:val="es-AR"/>
        </w:rPr>
        <w:t>mecanismo</w:t>
      </w:r>
      <w:r w:rsidR="004C7488" w:rsidRPr="00D64553">
        <w:rPr>
          <w:lang w:val="es-AR"/>
        </w:rPr>
        <w:t xml:space="preserve">. </w:t>
      </w:r>
    </w:p>
    <w:p w14:paraId="3872A442" w14:textId="77777777" w:rsidR="004C7488" w:rsidRPr="00A85DA4" w:rsidRDefault="00A85DA4" w:rsidP="00A85DA4">
      <w:pPr>
        <w:pStyle w:val="H1G"/>
      </w:pPr>
      <w:r>
        <w:tab/>
        <w:t>B.</w:t>
      </w:r>
      <w:r>
        <w:tab/>
      </w:r>
      <w:r w:rsidR="004C7488" w:rsidRPr="00A85DA4">
        <w:t xml:space="preserve">Visibilidad </w:t>
      </w:r>
    </w:p>
    <w:p w14:paraId="21144501" w14:textId="77777777" w:rsidR="004C7488" w:rsidRPr="00D64553" w:rsidRDefault="005B5CAB" w:rsidP="00347A3B">
      <w:pPr>
        <w:pStyle w:val="SingleTxtG"/>
        <w:suppressAutoHyphens/>
        <w:ind w:hanging="11"/>
        <w:rPr>
          <w:color w:val="000000" w:themeColor="text1"/>
          <w:lang w:val="es-AR"/>
        </w:rPr>
      </w:pPr>
      <w:r w:rsidRPr="00D64553">
        <w:rPr>
          <w:lang w:val="es-AR"/>
        </w:rPr>
        <w:t>19.</w:t>
      </w:r>
      <w:r w:rsidRPr="00D64553">
        <w:rPr>
          <w:lang w:val="es-AR"/>
        </w:rPr>
        <w:tab/>
      </w:r>
      <w:r w:rsidR="004C7488" w:rsidRPr="00D64553">
        <w:rPr>
          <w:color w:val="000000" w:themeColor="text1"/>
          <w:lang w:val="es-AR"/>
        </w:rPr>
        <w:t xml:space="preserve">Los informes anuales del </w:t>
      </w:r>
      <w:r w:rsidR="00F76B88">
        <w:rPr>
          <w:color w:val="000000" w:themeColor="text1"/>
          <w:lang w:val="es-AR"/>
        </w:rPr>
        <w:t>mecanismo</w:t>
      </w:r>
      <w:r w:rsidR="004C7488" w:rsidRPr="00D64553">
        <w:rPr>
          <w:color w:val="000000" w:themeColor="text1"/>
          <w:lang w:val="es-AR"/>
        </w:rPr>
        <w:t xml:space="preserve"> contienen importante información sobre sus observaciones y recomendaciones a las autoridades del </w:t>
      </w:r>
      <w:r w:rsidR="004C7488">
        <w:rPr>
          <w:color w:val="000000" w:themeColor="text1"/>
          <w:lang w:val="es-AR"/>
        </w:rPr>
        <w:t>E</w:t>
      </w:r>
      <w:r w:rsidR="004C7488" w:rsidRPr="00D64553">
        <w:rPr>
          <w:color w:val="000000" w:themeColor="text1"/>
          <w:lang w:val="es-AR"/>
        </w:rPr>
        <w:t>stado</w:t>
      </w:r>
      <w:r w:rsidR="00304BB6">
        <w:rPr>
          <w:color w:val="000000" w:themeColor="text1"/>
          <w:lang w:val="es-AR"/>
        </w:rPr>
        <w:t xml:space="preserve"> parte</w:t>
      </w:r>
      <w:r w:rsidR="004C7488" w:rsidRPr="00D64553">
        <w:rPr>
          <w:color w:val="000000" w:themeColor="text1"/>
          <w:lang w:val="es-AR"/>
        </w:rPr>
        <w:t xml:space="preserve">. El Subcomité considera que </w:t>
      </w:r>
      <w:r w:rsidR="005C3761">
        <w:rPr>
          <w:color w:val="000000" w:themeColor="text1"/>
          <w:lang w:val="es-AR"/>
        </w:rPr>
        <w:t>e</w:t>
      </w:r>
      <w:r w:rsidR="004C7488" w:rsidRPr="00D64553">
        <w:rPr>
          <w:color w:val="000000" w:themeColor="text1"/>
          <w:lang w:val="es-AR"/>
        </w:rPr>
        <w:t xml:space="preserve">stos constituyen una herramienta extremadamente valiosa para visibilizar el trabajo del </w:t>
      </w:r>
      <w:r w:rsidR="00F76B88">
        <w:rPr>
          <w:color w:val="000000" w:themeColor="text1"/>
          <w:lang w:val="es-AR"/>
        </w:rPr>
        <w:t>mecanismo</w:t>
      </w:r>
      <w:r w:rsidR="004C7488" w:rsidRPr="00D64553">
        <w:rPr>
          <w:color w:val="000000" w:themeColor="text1"/>
          <w:lang w:val="es-AR"/>
        </w:rPr>
        <w:t xml:space="preserve">, la </w:t>
      </w:r>
      <w:r w:rsidR="004C7488">
        <w:rPr>
          <w:color w:val="000000" w:themeColor="text1"/>
          <w:lang w:val="es-AR"/>
        </w:rPr>
        <w:t>difusión</w:t>
      </w:r>
      <w:r w:rsidR="004C7488" w:rsidRPr="00D64553">
        <w:rPr>
          <w:color w:val="000000" w:themeColor="text1"/>
          <w:lang w:val="es-AR"/>
        </w:rPr>
        <w:t xml:space="preserve"> y sensibilización de la problemática carcelaria. </w:t>
      </w:r>
    </w:p>
    <w:p w14:paraId="21A806B7" w14:textId="77777777" w:rsidR="004C7488" w:rsidRPr="00D64553" w:rsidRDefault="005B5CAB" w:rsidP="00347A3B">
      <w:pPr>
        <w:pStyle w:val="SingleTxtG"/>
        <w:suppressAutoHyphens/>
        <w:ind w:left="1123" w:hanging="11"/>
        <w:rPr>
          <w:b/>
          <w:bCs/>
          <w:color w:val="000000" w:themeColor="text1"/>
          <w:lang w:val="es-AR"/>
        </w:rPr>
      </w:pPr>
      <w:r w:rsidRPr="00D64553">
        <w:rPr>
          <w:bCs/>
          <w:lang w:val="es-AR"/>
        </w:rPr>
        <w:t>20.</w:t>
      </w:r>
      <w:r w:rsidRPr="00D64553">
        <w:rPr>
          <w:bCs/>
          <w:lang w:val="es-AR"/>
        </w:rPr>
        <w:tab/>
      </w:r>
      <w:r w:rsidR="004C7488" w:rsidRPr="00D64553">
        <w:rPr>
          <w:b/>
          <w:bCs/>
          <w:color w:val="000000" w:themeColor="text1"/>
          <w:lang w:val="es-AR"/>
        </w:rPr>
        <w:t xml:space="preserve">El Subcomité considera oportuno que el </w:t>
      </w:r>
      <w:r w:rsidR="00F76B88">
        <w:rPr>
          <w:b/>
          <w:bCs/>
          <w:color w:val="000000" w:themeColor="text1"/>
          <w:lang w:val="es-AR"/>
        </w:rPr>
        <w:t>mecanismo</w:t>
      </w:r>
      <w:r w:rsidR="004C7488" w:rsidRPr="00D64553">
        <w:rPr>
          <w:b/>
          <w:bCs/>
          <w:color w:val="000000" w:themeColor="text1"/>
          <w:lang w:val="es-AR"/>
        </w:rPr>
        <w:t xml:space="preserve"> </w:t>
      </w:r>
      <w:r w:rsidR="005C3761" w:rsidRPr="00347A3B">
        <w:rPr>
          <w:b/>
          <w:bCs/>
          <w:color w:val="000000" w:themeColor="text1"/>
          <w:lang w:val="es-AR"/>
        </w:rPr>
        <w:t>nacional de prevención</w:t>
      </w:r>
      <w:r w:rsidR="005C3761">
        <w:rPr>
          <w:b/>
          <w:bCs/>
          <w:color w:val="000000" w:themeColor="text1"/>
          <w:lang w:val="es-AR"/>
        </w:rPr>
        <w:t xml:space="preserve"> </w:t>
      </w:r>
      <w:r w:rsidR="004C7488" w:rsidRPr="005C3761">
        <w:rPr>
          <w:b/>
          <w:bCs/>
          <w:color w:val="000000" w:themeColor="text1"/>
          <w:lang w:val="es-AR"/>
        </w:rPr>
        <w:t>haga</w:t>
      </w:r>
      <w:r w:rsidR="004C7488" w:rsidRPr="00D64553">
        <w:rPr>
          <w:b/>
          <w:bCs/>
          <w:color w:val="000000" w:themeColor="text1"/>
          <w:lang w:val="es-AR"/>
        </w:rPr>
        <w:t xml:space="preserve"> más p</w:t>
      </w:r>
      <w:r w:rsidR="004C7488">
        <w:rPr>
          <w:b/>
          <w:bCs/>
          <w:color w:val="000000" w:themeColor="text1"/>
          <w:lang w:val="es-AR"/>
        </w:rPr>
        <w:t>úb</w:t>
      </w:r>
      <w:r w:rsidR="004C7488" w:rsidRPr="00D64553">
        <w:rPr>
          <w:b/>
          <w:bCs/>
          <w:color w:val="000000" w:themeColor="text1"/>
          <w:lang w:val="es-AR"/>
        </w:rPr>
        <w:t xml:space="preserve">lico sus informes anuales, invitando a altas autoridades estatales, </w:t>
      </w:r>
      <w:r w:rsidR="004C7488" w:rsidRPr="00D64553">
        <w:rPr>
          <w:b/>
          <w:bCs/>
          <w:color w:val="000000" w:themeColor="text1"/>
          <w:lang w:val="es-419"/>
        </w:rPr>
        <w:t xml:space="preserve">a </w:t>
      </w:r>
      <w:r w:rsidR="004C7488" w:rsidRPr="00D64553">
        <w:rPr>
          <w:b/>
          <w:bCs/>
          <w:color w:val="000000" w:themeColor="text1"/>
          <w:lang w:val="es-AR"/>
        </w:rPr>
        <w:t xml:space="preserve">la prensa oral y escrita a la presentación para la socialización </w:t>
      </w:r>
      <w:r w:rsidR="006F06B4">
        <w:rPr>
          <w:b/>
          <w:bCs/>
          <w:color w:val="000000" w:themeColor="text1"/>
          <w:lang w:val="es-AR"/>
        </w:rPr>
        <w:t>con</w:t>
      </w:r>
      <w:r w:rsidR="004C7488" w:rsidRPr="00D64553">
        <w:rPr>
          <w:b/>
          <w:bCs/>
          <w:color w:val="000000" w:themeColor="text1"/>
          <w:lang w:val="es-AR"/>
        </w:rPr>
        <w:t xml:space="preserve"> ellos. La mayor visibilidad de los informes redundará en más conocimiento de la sociedad civil del </w:t>
      </w:r>
      <w:r w:rsidR="005C3761">
        <w:rPr>
          <w:b/>
          <w:bCs/>
          <w:color w:val="000000" w:themeColor="text1"/>
          <w:lang w:val="es-AR"/>
        </w:rPr>
        <w:t xml:space="preserve">mecanismo </w:t>
      </w:r>
      <w:r w:rsidR="004C7488" w:rsidRPr="00D64553">
        <w:rPr>
          <w:b/>
          <w:bCs/>
          <w:color w:val="000000" w:themeColor="text1"/>
          <w:lang w:val="es-AR"/>
        </w:rPr>
        <w:t xml:space="preserve">y mayor peso a sus recomendaciones sobre importantes fenómenos carcelarios como el hacinamiento o la falta generalizada de acceso a los servicios de salud, aumentando la responsabilidad del </w:t>
      </w:r>
      <w:r w:rsidR="004C7488">
        <w:rPr>
          <w:b/>
          <w:bCs/>
          <w:color w:val="000000" w:themeColor="text1"/>
          <w:lang w:val="es-AR"/>
        </w:rPr>
        <w:t>E</w:t>
      </w:r>
      <w:r w:rsidR="004C7488" w:rsidRPr="00D64553">
        <w:rPr>
          <w:b/>
          <w:bCs/>
          <w:color w:val="000000" w:themeColor="text1"/>
          <w:lang w:val="es-AR"/>
        </w:rPr>
        <w:t xml:space="preserve">stado </w:t>
      </w:r>
      <w:r w:rsidR="005C3761">
        <w:rPr>
          <w:b/>
          <w:bCs/>
          <w:color w:val="000000" w:themeColor="text1"/>
          <w:lang w:val="es-AR"/>
        </w:rPr>
        <w:t xml:space="preserve">parte </w:t>
      </w:r>
      <w:r w:rsidR="004C7488" w:rsidRPr="00D64553">
        <w:rPr>
          <w:b/>
          <w:bCs/>
          <w:color w:val="000000" w:themeColor="text1"/>
          <w:lang w:val="es-AR"/>
        </w:rPr>
        <w:t xml:space="preserve">ante los hallazgos del </w:t>
      </w:r>
      <w:r w:rsidR="00F76B88">
        <w:rPr>
          <w:b/>
          <w:bCs/>
          <w:color w:val="000000" w:themeColor="text1"/>
          <w:lang w:val="es-AR"/>
        </w:rPr>
        <w:t>mecanismo</w:t>
      </w:r>
      <w:r w:rsidR="004C7488" w:rsidRPr="00D64553">
        <w:rPr>
          <w:b/>
          <w:bCs/>
          <w:color w:val="000000" w:themeColor="text1"/>
          <w:lang w:val="es-AR"/>
        </w:rPr>
        <w:t xml:space="preserve"> y ante la sociedad en general. </w:t>
      </w:r>
    </w:p>
    <w:p w14:paraId="46165BAB" w14:textId="77777777" w:rsidR="004C7488" w:rsidRPr="00D64553" w:rsidRDefault="005B5CAB" w:rsidP="00347A3B">
      <w:pPr>
        <w:pStyle w:val="SingleTxtG"/>
        <w:suppressAutoHyphens/>
        <w:ind w:hanging="11"/>
        <w:rPr>
          <w:color w:val="000000" w:themeColor="text1"/>
          <w:lang w:val="es-AR"/>
        </w:rPr>
      </w:pPr>
      <w:r w:rsidRPr="00D64553">
        <w:rPr>
          <w:lang w:val="es-AR"/>
        </w:rPr>
        <w:t>21.</w:t>
      </w:r>
      <w:r w:rsidRPr="00D64553">
        <w:rPr>
          <w:lang w:val="es-AR"/>
        </w:rPr>
        <w:tab/>
      </w:r>
      <w:r w:rsidR="004C7488" w:rsidRPr="00D64553">
        <w:rPr>
          <w:color w:val="000000" w:themeColor="text1"/>
          <w:lang w:val="es-AR"/>
        </w:rPr>
        <w:t xml:space="preserve">El Subcomité observó que el </w:t>
      </w:r>
      <w:r w:rsidR="00F76B88">
        <w:rPr>
          <w:color w:val="000000" w:themeColor="text1"/>
          <w:lang w:val="es-AR"/>
        </w:rPr>
        <w:t>mecanismo</w:t>
      </w:r>
      <w:r w:rsidR="004C7488" w:rsidRPr="00D64553">
        <w:rPr>
          <w:color w:val="000000" w:themeColor="text1"/>
          <w:lang w:val="es-AR"/>
        </w:rPr>
        <w:t xml:space="preserve"> es conocido y respetado </w:t>
      </w:r>
      <w:r w:rsidR="005C3761">
        <w:rPr>
          <w:color w:val="000000" w:themeColor="text1"/>
          <w:lang w:val="es-AR"/>
        </w:rPr>
        <w:t xml:space="preserve">por </w:t>
      </w:r>
      <w:r w:rsidR="004C7488" w:rsidRPr="00D64553">
        <w:rPr>
          <w:color w:val="000000" w:themeColor="text1"/>
          <w:lang w:val="es-AR"/>
        </w:rPr>
        <w:t xml:space="preserve">actores estatales clave, incluyendo el </w:t>
      </w:r>
      <w:r w:rsidR="005C3761">
        <w:rPr>
          <w:color w:val="000000" w:themeColor="text1"/>
          <w:lang w:val="es-AR"/>
        </w:rPr>
        <w:t>P</w:t>
      </w:r>
      <w:r w:rsidR="004C7488" w:rsidRPr="00D64553">
        <w:rPr>
          <w:color w:val="000000" w:themeColor="text1"/>
          <w:lang w:val="es-AR"/>
        </w:rPr>
        <w:t xml:space="preserve">oder </w:t>
      </w:r>
      <w:r w:rsidR="005C3761">
        <w:rPr>
          <w:color w:val="000000" w:themeColor="text1"/>
          <w:lang w:val="es-AR"/>
        </w:rPr>
        <w:t>E</w:t>
      </w:r>
      <w:r w:rsidR="004C7488" w:rsidRPr="00D64553">
        <w:rPr>
          <w:color w:val="000000" w:themeColor="text1"/>
          <w:lang w:val="es-AR"/>
        </w:rPr>
        <w:t xml:space="preserve">jecutivo y </w:t>
      </w:r>
      <w:r w:rsidR="005C3761">
        <w:rPr>
          <w:color w:val="000000" w:themeColor="text1"/>
          <w:lang w:val="es-AR"/>
        </w:rPr>
        <w:t>el Poder J</w:t>
      </w:r>
      <w:r w:rsidR="004C7488" w:rsidRPr="00D64553">
        <w:rPr>
          <w:color w:val="000000" w:themeColor="text1"/>
          <w:lang w:val="es-AR"/>
        </w:rPr>
        <w:t xml:space="preserve">udicial. Sin embargo, el </w:t>
      </w:r>
      <w:r w:rsidR="00F76B88">
        <w:rPr>
          <w:color w:val="000000" w:themeColor="text1"/>
          <w:lang w:val="es-AR"/>
        </w:rPr>
        <w:t>mecanismo</w:t>
      </w:r>
      <w:r w:rsidR="004C7488" w:rsidRPr="00D64553">
        <w:rPr>
          <w:color w:val="000000" w:themeColor="text1"/>
          <w:lang w:val="es-AR"/>
        </w:rPr>
        <w:t xml:space="preserve"> realiza sus actividades sin la participación de otros actores, como la </w:t>
      </w:r>
      <w:r w:rsidR="005C3761">
        <w:rPr>
          <w:color w:val="000000" w:themeColor="text1"/>
          <w:lang w:val="es-AR"/>
        </w:rPr>
        <w:t>s</w:t>
      </w:r>
      <w:r w:rsidR="004C7488" w:rsidRPr="00D64553">
        <w:rPr>
          <w:color w:val="000000" w:themeColor="text1"/>
          <w:lang w:val="es-AR"/>
        </w:rPr>
        <w:t xml:space="preserve">ociedad </w:t>
      </w:r>
      <w:r w:rsidR="005C3761">
        <w:rPr>
          <w:color w:val="000000" w:themeColor="text1"/>
          <w:lang w:val="es-AR"/>
        </w:rPr>
        <w:t>c</w:t>
      </w:r>
      <w:r w:rsidR="004C7488" w:rsidRPr="00D64553">
        <w:rPr>
          <w:color w:val="000000" w:themeColor="text1"/>
          <w:lang w:val="es-AR"/>
        </w:rPr>
        <w:t xml:space="preserve">ivil, el sistema de </w:t>
      </w:r>
      <w:r w:rsidR="005C3761">
        <w:rPr>
          <w:color w:val="000000" w:themeColor="text1"/>
          <w:lang w:val="es-AR"/>
        </w:rPr>
        <w:t xml:space="preserve">las </w:t>
      </w:r>
      <w:r w:rsidR="004C7488" w:rsidRPr="00D64553">
        <w:rPr>
          <w:color w:val="000000" w:themeColor="text1"/>
          <w:lang w:val="es-AR"/>
        </w:rPr>
        <w:t xml:space="preserve">Naciones Unidas u otros como colegio de abogados o psicólogos. En consecuencia, el </w:t>
      </w:r>
      <w:r w:rsidR="00F76B88">
        <w:rPr>
          <w:color w:val="000000" w:themeColor="text1"/>
          <w:lang w:val="es-AR"/>
        </w:rPr>
        <w:t>mecanismo</w:t>
      </w:r>
      <w:r w:rsidR="004C7488" w:rsidRPr="00D64553">
        <w:rPr>
          <w:color w:val="000000" w:themeColor="text1"/>
          <w:lang w:val="es-AR"/>
        </w:rPr>
        <w:t xml:space="preserve"> carece de visibilidad ante dichos actores quedando la problemática de la prevención de la tortura sin concientización para las organizaciones intermedias.</w:t>
      </w:r>
    </w:p>
    <w:p w14:paraId="62C78A02" w14:textId="77777777" w:rsidR="004C7488" w:rsidRPr="00D64553" w:rsidRDefault="005B5CAB" w:rsidP="00347A3B">
      <w:pPr>
        <w:pStyle w:val="SingleTxtG"/>
        <w:suppressAutoHyphens/>
        <w:ind w:hanging="11"/>
        <w:rPr>
          <w:b/>
          <w:bCs/>
          <w:color w:val="000000" w:themeColor="text1"/>
          <w:lang w:val="es-AR"/>
        </w:rPr>
      </w:pPr>
      <w:r w:rsidRPr="00D64553">
        <w:rPr>
          <w:bCs/>
          <w:lang w:val="es-AR"/>
        </w:rPr>
        <w:t>22.</w:t>
      </w:r>
      <w:r w:rsidRPr="00D64553">
        <w:rPr>
          <w:bCs/>
          <w:lang w:val="es-AR"/>
        </w:rPr>
        <w:tab/>
      </w:r>
      <w:r w:rsidR="004C7488" w:rsidRPr="00D64553">
        <w:rPr>
          <w:b/>
          <w:bCs/>
          <w:color w:val="000000" w:themeColor="text1"/>
          <w:lang w:val="es-AR"/>
        </w:rPr>
        <w:t xml:space="preserve">El Subcomité estima </w:t>
      </w:r>
      <w:r w:rsidR="004C7488">
        <w:rPr>
          <w:b/>
          <w:bCs/>
          <w:color w:val="000000" w:themeColor="text1"/>
          <w:lang w:val="es-AR"/>
        </w:rPr>
        <w:t xml:space="preserve">recomendable </w:t>
      </w:r>
      <w:r w:rsidR="004C7488" w:rsidRPr="00D64553">
        <w:rPr>
          <w:b/>
          <w:bCs/>
          <w:color w:val="000000" w:themeColor="text1"/>
          <w:lang w:val="es-AR"/>
        </w:rPr>
        <w:t xml:space="preserve">que el </w:t>
      </w:r>
      <w:r w:rsidR="00F76B88">
        <w:rPr>
          <w:b/>
          <w:bCs/>
          <w:color w:val="000000" w:themeColor="text1"/>
          <w:lang w:val="es-AR"/>
        </w:rPr>
        <w:t>mecanismo</w:t>
      </w:r>
      <w:r w:rsidR="004C7488" w:rsidRPr="00D64553">
        <w:rPr>
          <w:b/>
          <w:bCs/>
          <w:color w:val="000000" w:themeColor="text1"/>
          <w:lang w:val="es-AR"/>
        </w:rPr>
        <w:t xml:space="preserve"> </w:t>
      </w:r>
      <w:r w:rsidR="004C7488">
        <w:rPr>
          <w:b/>
          <w:bCs/>
          <w:color w:val="000000" w:themeColor="text1"/>
          <w:lang w:val="es-AR"/>
        </w:rPr>
        <w:t>inicie</w:t>
      </w:r>
      <w:r w:rsidR="004C7488" w:rsidRPr="00D64553">
        <w:rPr>
          <w:b/>
          <w:bCs/>
          <w:color w:val="000000" w:themeColor="text1"/>
          <w:lang w:val="es-AR"/>
        </w:rPr>
        <w:t xml:space="preserve"> acercamientos con los medios de comunicación y los actores de la sociedad civil a fin </w:t>
      </w:r>
      <w:r w:rsidR="005C3761">
        <w:rPr>
          <w:b/>
          <w:bCs/>
          <w:color w:val="000000" w:themeColor="text1"/>
          <w:lang w:val="es-AR"/>
        </w:rPr>
        <w:t xml:space="preserve">de </w:t>
      </w:r>
      <w:r w:rsidR="004C7488">
        <w:rPr>
          <w:b/>
          <w:bCs/>
          <w:color w:val="000000" w:themeColor="text1"/>
          <w:lang w:val="es-AR"/>
        </w:rPr>
        <w:t>que se reconozca su</w:t>
      </w:r>
      <w:r w:rsidR="004C7488" w:rsidRPr="00D64553">
        <w:rPr>
          <w:b/>
          <w:bCs/>
          <w:color w:val="000000" w:themeColor="text1"/>
          <w:lang w:val="es-AR"/>
        </w:rPr>
        <w:t xml:space="preserve"> mandato </w:t>
      </w:r>
      <w:r w:rsidR="004C7488">
        <w:rPr>
          <w:b/>
          <w:bCs/>
          <w:color w:val="000000" w:themeColor="text1"/>
          <w:lang w:val="es-AR"/>
        </w:rPr>
        <w:t>y</w:t>
      </w:r>
      <w:r w:rsidR="004C7488" w:rsidRPr="00D64553">
        <w:rPr>
          <w:b/>
          <w:bCs/>
          <w:color w:val="000000" w:themeColor="text1"/>
          <w:lang w:val="es-AR"/>
        </w:rPr>
        <w:t xml:space="preserve"> sus recomendaciones, </w:t>
      </w:r>
      <w:r w:rsidR="005C3761">
        <w:rPr>
          <w:b/>
          <w:bCs/>
          <w:color w:val="000000" w:themeColor="text1"/>
          <w:lang w:val="es-AR"/>
        </w:rPr>
        <w:t xml:space="preserve">y que promueva </w:t>
      </w:r>
      <w:r w:rsidR="004C7488">
        <w:rPr>
          <w:b/>
          <w:bCs/>
          <w:color w:val="000000" w:themeColor="text1"/>
          <w:lang w:val="es-AR"/>
        </w:rPr>
        <w:t>el intercambio de</w:t>
      </w:r>
      <w:r w:rsidR="004C7488" w:rsidRPr="00D64553">
        <w:rPr>
          <w:b/>
          <w:bCs/>
          <w:color w:val="000000" w:themeColor="text1"/>
          <w:lang w:val="es-AR"/>
        </w:rPr>
        <w:t xml:space="preserve"> informaciones. A través de tales actividades, el </w:t>
      </w:r>
      <w:r w:rsidR="00F76B88">
        <w:rPr>
          <w:b/>
          <w:bCs/>
          <w:color w:val="000000" w:themeColor="text1"/>
          <w:lang w:val="es-AR"/>
        </w:rPr>
        <w:t>mecanismo</w:t>
      </w:r>
      <w:r w:rsidR="004C7488" w:rsidRPr="00D64553">
        <w:rPr>
          <w:b/>
          <w:bCs/>
          <w:color w:val="000000" w:themeColor="text1"/>
          <w:lang w:val="es-AR"/>
        </w:rPr>
        <w:t xml:space="preserve"> cumpl</w:t>
      </w:r>
      <w:r w:rsidR="005C3761">
        <w:rPr>
          <w:b/>
          <w:bCs/>
          <w:color w:val="000000" w:themeColor="text1"/>
          <w:lang w:val="es-AR"/>
        </w:rPr>
        <w:t>irá</w:t>
      </w:r>
      <w:r w:rsidR="004C7488" w:rsidRPr="00D64553">
        <w:rPr>
          <w:b/>
          <w:bCs/>
          <w:color w:val="000000" w:themeColor="text1"/>
          <w:lang w:val="es-AR"/>
        </w:rPr>
        <w:t xml:space="preserve"> con su papel de socialización del tema de prevención de la tortura y malos tratos, </w:t>
      </w:r>
      <w:r w:rsidR="005C3761">
        <w:rPr>
          <w:b/>
          <w:bCs/>
          <w:color w:val="000000" w:themeColor="text1"/>
          <w:lang w:val="es-AR"/>
        </w:rPr>
        <w:t xml:space="preserve">y </w:t>
      </w:r>
      <w:r w:rsidR="004C7488">
        <w:rPr>
          <w:b/>
          <w:bCs/>
          <w:color w:val="000000" w:themeColor="text1"/>
          <w:lang w:val="es-AR"/>
        </w:rPr>
        <w:t>a</w:t>
      </w:r>
      <w:r w:rsidR="004C7488" w:rsidRPr="00D64553">
        <w:rPr>
          <w:b/>
          <w:bCs/>
          <w:color w:val="000000" w:themeColor="text1"/>
          <w:lang w:val="es-AR"/>
        </w:rPr>
        <w:t xml:space="preserve">demás ganará mayor visibilidad ante una serie de actores no estatales que a su vez pueden apoyar a crear más conciencia sobre la importancia del trabajo para prevenir la tortura.    </w:t>
      </w:r>
    </w:p>
    <w:p w14:paraId="1C06553B" w14:textId="77777777" w:rsidR="004C7488" w:rsidRPr="00D64553" w:rsidRDefault="005B5CAB" w:rsidP="00347A3B">
      <w:pPr>
        <w:pStyle w:val="SingleTxtG"/>
        <w:suppressAutoHyphens/>
        <w:ind w:hanging="11"/>
        <w:rPr>
          <w:b/>
          <w:bCs/>
          <w:color w:val="000000" w:themeColor="text1"/>
          <w:lang w:val="es-AR"/>
        </w:rPr>
      </w:pPr>
      <w:r w:rsidRPr="00D64553">
        <w:rPr>
          <w:bCs/>
          <w:lang w:val="es-AR"/>
        </w:rPr>
        <w:t>23.</w:t>
      </w:r>
      <w:r w:rsidRPr="00D64553">
        <w:rPr>
          <w:bCs/>
          <w:lang w:val="es-AR"/>
        </w:rPr>
        <w:tab/>
      </w:r>
      <w:r w:rsidR="004C7488" w:rsidRPr="00D64553">
        <w:rPr>
          <w:b/>
          <w:bCs/>
          <w:color w:val="000000" w:themeColor="text1"/>
          <w:lang w:val="es-AR"/>
        </w:rPr>
        <w:t xml:space="preserve">El Subcomité recomienda que el </w:t>
      </w:r>
      <w:r w:rsidR="00F76B88">
        <w:rPr>
          <w:b/>
          <w:bCs/>
          <w:color w:val="000000" w:themeColor="text1"/>
          <w:lang w:val="es-AR"/>
        </w:rPr>
        <w:t>mecanismo</w:t>
      </w:r>
      <w:r w:rsidR="004C7488" w:rsidRPr="00D64553">
        <w:rPr>
          <w:b/>
          <w:bCs/>
          <w:color w:val="000000" w:themeColor="text1"/>
          <w:lang w:val="es-AR"/>
        </w:rPr>
        <w:t xml:space="preserve"> proponga intercambios ante otros órganos profesionales tales como medicina forense o medicina legal, así como también ante coleg</w:t>
      </w:r>
      <w:r w:rsidR="004C7488">
        <w:rPr>
          <w:b/>
          <w:bCs/>
          <w:color w:val="000000" w:themeColor="text1"/>
          <w:lang w:val="es-AR"/>
        </w:rPr>
        <w:t>io de abogados y de psicólogos,</w:t>
      </w:r>
      <w:r w:rsidR="004C7488" w:rsidRPr="00D64553">
        <w:rPr>
          <w:b/>
          <w:bCs/>
          <w:color w:val="000000" w:themeColor="text1"/>
          <w:lang w:val="es-AR"/>
        </w:rPr>
        <w:t xml:space="preserve"> </w:t>
      </w:r>
      <w:r w:rsidR="005C3761">
        <w:rPr>
          <w:b/>
          <w:bCs/>
          <w:color w:val="000000" w:themeColor="text1"/>
          <w:lang w:val="es-AR"/>
        </w:rPr>
        <w:t xml:space="preserve">y el </w:t>
      </w:r>
      <w:r w:rsidR="004C7488" w:rsidRPr="00D64553">
        <w:rPr>
          <w:b/>
          <w:bCs/>
          <w:color w:val="000000" w:themeColor="text1"/>
          <w:lang w:val="es-AR"/>
        </w:rPr>
        <w:t xml:space="preserve">sistema de </w:t>
      </w:r>
      <w:r w:rsidR="005C3761">
        <w:rPr>
          <w:b/>
          <w:bCs/>
          <w:color w:val="000000" w:themeColor="text1"/>
          <w:lang w:val="es-AR"/>
        </w:rPr>
        <w:t xml:space="preserve">las </w:t>
      </w:r>
      <w:r w:rsidR="004C7488" w:rsidRPr="00D64553">
        <w:rPr>
          <w:b/>
          <w:bCs/>
          <w:color w:val="000000" w:themeColor="text1"/>
          <w:lang w:val="es-AR"/>
        </w:rPr>
        <w:t xml:space="preserve">Naciones Unidas y sus instituciones especializadas. Estas organizaciones tienen la posibilidad de brindar apoyo técnico y académico al </w:t>
      </w:r>
      <w:r w:rsidR="00F76B88">
        <w:rPr>
          <w:b/>
          <w:bCs/>
          <w:color w:val="000000" w:themeColor="text1"/>
          <w:lang w:val="es-AR"/>
        </w:rPr>
        <w:t>mecanismo</w:t>
      </w:r>
      <w:r w:rsidR="004C7488" w:rsidRPr="00D64553">
        <w:rPr>
          <w:b/>
          <w:bCs/>
          <w:color w:val="000000" w:themeColor="text1"/>
          <w:lang w:val="es-AR"/>
        </w:rPr>
        <w:t xml:space="preserve"> para mejorar la implementación de su mandato. </w:t>
      </w:r>
    </w:p>
    <w:p w14:paraId="3A007E7E" w14:textId="77777777" w:rsidR="004C7488" w:rsidRPr="00D64553" w:rsidRDefault="005B5CAB" w:rsidP="00347A3B">
      <w:pPr>
        <w:pStyle w:val="SingleTxtG"/>
        <w:suppressAutoHyphens/>
        <w:ind w:hanging="11"/>
        <w:rPr>
          <w:color w:val="000000" w:themeColor="text1"/>
          <w:lang w:val="es-AR"/>
        </w:rPr>
      </w:pPr>
      <w:r w:rsidRPr="00D64553">
        <w:rPr>
          <w:lang w:val="es-AR"/>
        </w:rPr>
        <w:t>24.</w:t>
      </w:r>
      <w:r w:rsidRPr="00D64553">
        <w:rPr>
          <w:lang w:val="es-AR"/>
        </w:rPr>
        <w:tab/>
      </w:r>
      <w:r w:rsidR="004C7488" w:rsidRPr="00D64553">
        <w:rPr>
          <w:color w:val="000000" w:themeColor="text1"/>
          <w:lang w:val="es-AR"/>
        </w:rPr>
        <w:t xml:space="preserve">Además, el Subcomité observó que, ante algunos actores, el </w:t>
      </w:r>
      <w:r w:rsidR="00F76B88">
        <w:rPr>
          <w:color w:val="000000" w:themeColor="text1"/>
          <w:lang w:val="es-AR"/>
        </w:rPr>
        <w:t>mecanismo</w:t>
      </w:r>
      <w:r w:rsidR="004C7488" w:rsidRPr="00D64553">
        <w:rPr>
          <w:color w:val="000000" w:themeColor="text1"/>
          <w:lang w:val="es-AR"/>
        </w:rPr>
        <w:t xml:space="preserve"> no ha logrado diferenciar su imagen de la Defensoría de los Habitantes. En particular, el </w:t>
      </w:r>
      <w:r w:rsidR="00F76B88">
        <w:rPr>
          <w:color w:val="000000" w:themeColor="text1"/>
          <w:lang w:val="es-AR"/>
        </w:rPr>
        <w:t>mecanismo</w:t>
      </w:r>
      <w:r w:rsidR="004C7488" w:rsidRPr="00D64553">
        <w:rPr>
          <w:color w:val="000000" w:themeColor="text1"/>
          <w:lang w:val="es-AR"/>
        </w:rPr>
        <w:t xml:space="preserve"> no ha podido desarrollar una estrategia suficientemente eficaz relativa a la metodología de sus visitas a centros de privación de libertad diferenciad</w:t>
      </w:r>
      <w:r w:rsidR="006F06B4">
        <w:rPr>
          <w:color w:val="000000" w:themeColor="text1"/>
          <w:lang w:val="es-AR"/>
        </w:rPr>
        <w:t>a</w:t>
      </w:r>
      <w:r w:rsidR="004C7488" w:rsidRPr="00D64553">
        <w:rPr>
          <w:color w:val="000000" w:themeColor="text1"/>
          <w:lang w:val="es-AR"/>
        </w:rPr>
        <w:t xml:space="preserve"> de la Defensoría. Esto origina un efecto de invisibilidad ante las personas privadas de libertad y el público en general. En la mayoría de los centros visitados por el Subcomité, los privados de libertad indicaron no conocer al </w:t>
      </w:r>
      <w:r w:rsidR="00F76B88">
        <w:rPr>
          <w:color w:val="000000" w:themeColor="text1"/>
          <w:lang w:val="es-AR"/>
        </w:rPr>
        <w:lastRenderedPageBreak/>
        <w:t>mecanismo</w:t>
      </w:r>
      <w:r w:rsidR="004C7488" w:rsidRPr="00D64553">
        <w:rPr>
          <w:color w:val="000000" w:themeColor="text1"/>
          <w:lang w:val="es-AR"/>
        </w:rPr>
        <w:t xml:space="preserve"> </w:t>
      </w:r>
      <w:r w:rsidR="00304BB6">
        <w:rPr>
          <w:color w:val="000000" w:themeColor="text1"/>
          <w:lang w:val="es-AR"/>
        </w:rPr>
        <w:t>nacional de prevención</w:t>
      </w:r>
      <w:r w:rsidR="004C7488" w:rsidRPr="00D64553">
        <w:rPr>
          <w:color w:val="000000" w:themeColor="text1"/>
          <w:lang w:val="es-AR"/>
        </w:rPr>
        <w:t>, ni su mandato, o l</w:t>
      </w:r>
      <w:r w:rsidR="006F06B4">
        <w:rPr>
          <w:color w:val="000000" w:themeColor="text1"/>
          <w:lang w:val="es-AR"/>
        </w:rPr>
        <w:t>o</w:t>
      </w:r>
      <w:r w:rsidR="004C7488" w:rsidRPr="00D64553">
        <w:rPr>
          <w:color w:val="000000" w:themeColor="text1"/>
          <w:lang w:val="es-AR"/>
        </w:rPr>
        <w:t xml:space="preserve"> asimilaban con la Defensoría de los Habitantes. A pesar de su independencia legalmente reconocida, el Subcomité lamenta que el </w:t>
      </w:r>
      <w:r w:rsidR="00F76B88">
        <w:rPr>
          <w:color w:val="000000" w:themeColor="text1"/>
          <w:lang w:val="es-AR"/>
        </w:rPr>
        <w:t>mecanismo</w:t>
      </w:r>
      <w:r w:rsidR="004C7488" w:rsidRPr="00D64553">
        <w:rPr>
          <w:color w:val="000000" w:themeColor="text1"/>
          <w:lang w:val="es-AR"/>
        </w:rPr>
        <w:t xml:space="preserve"> no ha logrado darse a conocer y diferenciarse claramente de la Defensoría de los Habitantes ante las personas privadas de libertad.   </w:t>
      </w:r>
    </w:p>
    <w:p w14:paraId="40017B3E" w14:textId="77777777" w:rsidR="004C7488" w:rsidRPr="001759E4" w:rsidRDefault="005B5CAB" w:rsidP="00347A3B">
      <w:pPr>
        <w:pStyle w:val="SingleTxtG"/>
        <w:suppressAutoHyphens/>
        <w:ind w:hanging="11"/>
        <w:rPr>
          <w:b/>
          <w:bCs/>
          <w:color w:val="000000" w:themeColor="text1"/>
          <w:lang w:val="es-AR"/>
        </w:rPr>
      </w:pPr>
      <w:r w:rsidRPr="001759E4">
        <w:rPr>
          <w:bCs/>
          <w:lang w:val="es-AR"/>
        </w:rPr>
        <w:t>25.</w:t>
      </w:r>
      <w:r w:rsidRPr="001759E4">
        <w:rPr>
          <w:bCs/>
          <w:lang w:val="es-AR"/>
        </w:rPr>
        <w:tab/>
      </w:r>
      <w:r w:rsidR="004C7488" w:rsidRPr="001759E4">
        <w:rPr>
          <w:b/>
          <w:bCs/>
          <w:color w:val="000000" w:themeColor="text1"/>
          <w:lang w:val="es-AR"/>
        </w:rPr>
        <w:t xml:space="preserve">El Subcomité recomienda al </w:t>
      </w:r>
      <w:r w:rsidR="00F76B88">
        <w:rPr>
          <w:b/>
          <w:bCs/>
          <w:color w:val="000000" w:themeColor="text1"/>
          <w:lang w:val="es-AR"/>
        </w:rPr>
        <w:t>mecanismo</w:t>
      </w:r>
      <w:r w:rsidR="004C7488" w:rsidRPr="001759E4">
        <w:rPr>
          <w:b/>
          <w:bCs/>
          <w:color w:val="000000" w:themeColor="text1"/>
          <w:lang w:val="es-AR"/>
        </w:rPr>
        <w:t xml:space="preserve"> que desarrolle una estrategia más intensa que le permita identificar a su equipo de manera diferenciada de la Defensoría de los Habitantes y de tal modo dar a conocer la especificidad de su mandato entre las personas privadas de libertad. En ese sentido, el Subcomité recomienda que, por ejemplo, se organicen campañas de concienciación y otras actividades de promoción, incluida la producción y distribución de materiales sobre la especificidad del mandato y las actividades del </w:t>
      </w:r>
      <w:r w:rsidR="00F76B88">
        <w:rPr>
          <w:b/>
          <w:bCs/>
          <w:color w:val="000000" w:themeColor="text1"/>
          <w:lang w:val="es-AR"/>
        </w:rPr>
        <w:t>mecanismo</w:t>
      </w:r>
      <w:r w:rsidR="004C7488" w:rsidRPr="001759E4">
        <w:rPr>
          <w:b/>
          <w:bCs/>
          <w:color w:val="000000" w:themeColor="text1"/>
          <w:lang w:val="es-AR"/>
        </w:rPr>
        <w:t xml:space="preserve"> </w:t>
      </w:r>
      <w:r w:rsidR="00304BB6">
        <w:rPr>
          <w:b/>
          <w:bCs/>
          <w:color w:val="000000" w:themeColor="text1"/>
          <w:lang w:val="es-AR"/>
        </w:rPr>
        <w:t>nacional de prevención</w:t>
      </w:r>
      <w:r w:rsidR="004C7488" w:rsidRPr="001759E4">
        <w:rPr>
          <w:b/>
          <w:bCs/>
          <w:color w:val="000000" w:themeColor="text1"/>
          <w:lang w:val="es-AR"/>
        </w:rPr>
        <w:t xml:space="preserve">, y que se analice la posibilidad de que los integrantes del </w:t>
      </w:r>
      <w:r w:rsidR="00F76B88">
        <w:rPr>
          <w:b/>
          <w:bCs/>
          <w:color w:val="000000" w:themeColor="text1"/>
          <w:lang w:val="es-AR"/>
        </w:rPr>
        <w:t>mecanismo</w:t>
      </w:r>
      <w:r w:rsidR="004C7488" w:rsidRPr="001759E4">
        <w:rPr>
          <w:b/>
          <w:bCs/>
          <w:color w:val="000000" w:themeColor="text1"/>
          <w:lang w:val="es-AR"/>
        </w:rPr>
        <w:t xml:space="preserve"> dispongan de alguna indumentaria</w:t>
      </w:r>
      <w:r w:rsidR="004C7488" w:rsidRPr="00347A3B">
        <w:rPr>
          <w:rStyle w:val="Refdenotaalpie"/>
          <w:color w:val="000000" w:themeColor="text1"/>
          <w:szCs w:val="18"/>
          <w:lang w:val="es-AR"/>
        </w:rPr>
        <w:footnoteReference w:id="5"/>
      </w:r>
      <w:r w:rsidR="004C7488" w:rsidRPr="001759E4">
        <w:rPr>
          <w:b/>
          <w:bCs/>
          <w:color w:val="000000" w:themeColor="text1"/>
          <w:lang w:val="es-AR"/>
        </w:rPr>
        <w:t xml:space="preserve"> con colores propios, símbolos o logos que claramente los diferencien de cualquier otra institución</w:t>
      </w:r>
      <w:r w:rsidR="004C7488" w:rsidRPr="00347A3B">
        <w:rPr>
          <w:rStyle w:val="Refdenotaalpie"/>
          <w:color w:val="000000" w:themeColor="text1"/>
          <w:szCs w:val="18"/>
          <w:lang w:val="es-AR"/>
        </w:rPr>
        <w:footnoteReference w:id="6"/>
      </w:r>
      <w:r w:rsidR="004C7488" w:rsidRPr="001759E4">
        <w:rPr>
          <w:b/>
          <w:bCs/>
          <w:color w:val="000000" w:themeColor="text1"/>
          <w:lang w:val="es-AR"/>
        </w:rPr>
        <w:t xml:space="preserve">.  </w:t>
      </w:r>
    </w:p>
    <w:p w14:paraId="13E1E0B4" w14:textId="77777777" w:rsidR="004C7488" w:rsidRPr="00D64553" w:rsidRDefault="005B5CAB" w:rsidP="00347A3B">
      <w:pPr>
        <w:pStyle w:val="SingleTxtG"/>
        <w:suppressAutoHyphens/>
        <w:ind w:hanging="11"/>
        <w:rPr>
          <w:b/>
          <w:bCs/>
          <w:color w:val="000000" w:themeColor="text1"/>
          <w:lang w:val="es-AR"/>
        </w:rPr>
      </w:pPr>
      <w:r w:rsidRPr="00D64553">
        <w:rPr>
          <w:bCs/>
          <w:lang w:val="es-AR"/>
        </w:rPr>
        <w:t>26.</w:t>
      </w:r>
      <w:r w:rsidRPr="00D64553">
        <w:rPr>
          <w:bCs/>
          <w:lang w:val="es-AR"/>
        </w:rPr>
        <w:tab/>
      </w:r>
      <w:r w:rsidR="004C7488" w:rsidRPr="00D64553">
        <w:rPr>
          <w:b/>
          <w:bCs/>
          <w:color w:val="000000" w:themeColor="text1"/>
          <w:lang w:val="es-AR"/>
        </w:rPr>
        <w:t xml:space="preserve">El Subcomité recomienda que, durante sus visitas, los integrantes del </w:t>
      </w:r>
      <w:r w:rsidR="00F76B88">
        <w:rPr>
          <w:b/>
          <w:bCs/>
          <w:color w:val="000000" w:themeColor="text1"/>
          <w:lang w:val="es-AR"/>
        </w:rPr>
        <w:t>mecanismo</w:t>
      </w:r>
      <w:r w:rsidR="004C7488" w:rsidRPr="00D64553">
        <w:rPr>
          <w:b/>
          <w:bCs/>
          <w:color w:val="000000" w:themeColor="text1"/>
          <w:lang w:val="es-AR"/>
        </w:rPr>
        <w:t xml:space="preserve"> se presenten de manera concreta y fácilmente comprensible a las autoridades en los lugares de detención y a los privados de libertad, destacando su mandato y </w:t>
      </w:r>
      <w:r w:rsidR="00BD286A">
        <w:rPr>
          <w:b/>
          <w:bCs/>
          <w:color w:val="000000" w:themeColor="text1"/>
          <w:lang w:val="es-AR"/>
        </w:rPr>
        <w:t xml:space="preserve">los </w:t>
      </w:r>
      <w:r w:rsidR="004C7488" w:rsidRPr="00D64553">
        <w:rPr>
          <w:b/>
          <w:bCs/>
          <w:color w:val="000000" w:themeColor="text1"/>
          <w:lang w:val="es-AR"/>
        </w:rPr>
        <w:t xml:space="preserve">objetivos de sus visitas.  </w:t>
      </w:r>
    </w:p>
    <w:p w14:paraId="5B761170" w14:textId="77777777" w:rsidR="004C7488" w:rsidRPr="00A85DA4" w:rsidRDefault="00A85DA4" w:rsidP="00A85DA4">
      <w:pPr>
        <w:pStyle w:val="H1G"/>
      </w:pPr>
      <w:r>
        <w:tab/>
        <w:t>C.</w:t>
      </w:r>
      <w:r>
        <w:tab/>
      </w:r>
      <w:r w:rsidR="004C7488" w:rsidRPr="00A85DA4">
        <w:t xml:space="preserve">Visita conjunta y metodología de entrevistas </w:t>
      </w:r>
    </w:p>
    <w:p w14:paraId="5B87CA6E" w14:textId="77777777" w:rsidR="004C7488" w:rsidRPr="00D64553" w:rsidRDefault="005B5CAB" w:rsidP="00347A3B">
      <w:pPr>
        <w:pStyle w:val="SingleTxtG"/>
        <w:suppressAutoHyphens/>
        <w:ind w:hanging="11"/>
        <w:jc w:val="lowKashida"/>
        <w:rPr>
          <w:color w:val="FF0000"/>
          <w:lang w:val="es-AR" w:eastAsia="en-GB"/>
        </w:rPr>
      </w:pPr>
      <w:r w:rsidRPr="00D64553">
        <w:rPr>
          <w:lang w:val="es-AR" w:eastAsia="en-GB"/>
        </w:rPr>
        <w:t>27.</w:t>
      </w:r>
      <w:r w:rsidRPr="00D64553">
        <w:rPr>
          <w:lang w:val="es-AR" w:eastAsia="en-GB"/>
        </w:rPr>
        <w:tab/>
      </w:r>
      <w:r w:rsidR="004C7488" w:rsidRPr="00D64553">
        <w:rPr>
          <w:lang w:val="es-AR" w:eastAsia="en-GB"/>
        </w:rPr>
        <w:t xml:space="preserve">El Subcomité realizó una visita conjunta con el </w:t>
      </w:r>
      <w:r w:rsidR="00F76B88">
        <w:rPr>
          <w:lang w:val="es-AR" w:eastAsia="en-GB"/>
        </w:rPr>
        <w:t>mecanismo</w:t>
      </w:r>
      <w:r w:rsidR="004C7488" w:rsidRPr="00D64553">
        <w:rPr>
          <w:lang w:val="es-AR" w:eastAsia="en-GB"/>
        </w:rPr>
        <w:t xml:space="preserve"> durante la cual pudo observar su metodología de trabajo. Los expertos del Subcomité se dividieron en dos grupos, cada uno de ellos observando el trabajo de dos miembros del </w:t>
      </w:r>
      <w:r w:rsidR="00F76B88">
        <w:rPr>
          <w:lang w:val="es-AR" w:eastAsia="en-GB"/>
        </w:rPr>
        <w:t>mecanismo</w:t>
      </w:r>
      <w:r w:rsidR="004C7488" w:rsidRPr="00D64553">
        <w:rPr>
          <w:lang w:val="es-AR" w:eastAsia="en-GB"/>
        </w:rPr>
        <w:t>. En general, la delegación del Subcomité adquirió una impresión positiva del trabajo realizado po</w:t>
      </w:r>
      <w:r w:rsidR="004C7488">
        <w:rPr>
          <w:lang w:val="es-AR" w:eastAsia="en-GB"/>
        </w:rPr>
        <w:t xml:space="preserve">r los integrantes del </w:t>
      </w:r>
      <w:r w:rsidR="00F76B88">
        <w:rPr>
          <w:lang w:val="es-AR" w:eastAsia="en-GB"/>
        </w:rPr>
        <w:t>mecanismo</w:t>
      </w:r>
      <w:r w:rsidR="004C7488">
        <w:rPr>
          <w:lang w:val="es-AR" w:eastAsia="en-GB"/>
        </w:rPr>
        <w:t>.</w:t>
      </w:r>
      <w:r w:rsidR="004C7488" w:rsidRPr="00D64553">
        <w:rPr>
          <w:lang w:val="es-AR" w:eastAsia="en-GB"/>
        </w:rPr>
        <w:t xml:space="preserve"> </w:t>
      </w:r>
    </w:p>
    <w:p w14:paraId="036DC883" w14:textId="77777777" w:rsidR="004C7488" w:rsidRPr="00D64553" w:rsidRDefault="005B5CAB" w:rsidP="00347A3B">
      <w:pPr>
        <w:pStyle w:val="SingleTxtG"/>
        <w:suppressAutoHyphens/>
        <w:jc w:val="lowKashida"/>
        <w:rPr>
          <w:color w:val="000000" w:themeColor="text1"/>
          <w:lang w:val="es-AR" w:eastAsia="en-GB"/>
        </w:rPr>
      </w:pPr>
      <w:r w:rsidRPr="00D64553">
        <w:rPr>
          <w:color w:val="000000" w:themeColor="text1"/>
          <w:lang w:val="es-AR" w:eastAsia="en-GB"/>
        </w:rPr>
        <w:t>28.</w:t>
      </w:r>
      <w:r w:rsidRPr="00D64553">
        <w:rPr>
          <w:color w:val="000000" w:themeColor="text1"/>
          <w:lang w:val="es-AR" w:eastAsia="en-GB"/>
        </w:rPr>
        <w:tab/>
      </w:r>
      <w:r w:rsidR="004C7488" w:rsidRPr="00D64553">
        <w:rPr>
          <w:color w:val="000000" w:themeColor="text1"/>
          <w:lang w:val="es-AR" w:eastAsia="en-GB"/>
        </w:rPr>
        <w:t xml:space="preserve">La visita conjunta </w:t>
      </w:r>
      <w:r w:rsidR="006F06B4">
        <w:rPr>
          <w:color w:val="000000" w:themeColor="text1"/>
          <w:lang w:val="es-AR" w:eastAsia="en-GB"/>
        </w:rPr>
        <w:t xml:space="preserve">se </w:t>
      </w:r>
      <w:r w:rsidR="004C7488" w:rsidRPr="00D64553">
        <w:rPr>
          <w:color w:val="000000" w:themeColor="text1"/>
          <w:lang w:val="es-AR" w:eastAsia="en-GB"/>
        </w:rPr>
        <w:t xml:space="preserve">inició con una reunión con </w:t>
      </w:r>
      <w:r w:rsidR="004C7488">
        <w:rPr>
          <w:color w:val="000000" w:themeColor="text1"/>
          <w:lang w:val="es-AR" w:eastAsia="en-GB"/>
        </w:rPr>
        <w:t>el director</w:t>
      </w:r>
      <w:r w:rsidR="004C7488" w:rsidRPr="00D64553">
        <w:rPr>
          <w:color w:val="000000" w:themeColor="text1"/>
          <w:lang w:val="es-AR" w:eastAsia="en-GB"/>
        </w:rPr>
        <w:t xml:space="preserve"> de la cárcel que duró alrededor de una hora. Los encuentros con la autoridad carcelaria que tienen lugar a la llegada a un establecimiento se deben concentrar en la obtención de datos básicos de la institución</w:t>
      </w:r>
      <w:r w:rsidR="006F06B4">
        <w:rPr>
          <w:color w:val="000000" w:themeColor="text1"/>
          <w:lang w:val="es-AR" w:eastAsia="en-GB"/>
        </w:rPr>
        <w:t>,</w:t>
      </w:r>
      <w:r w:rsidR="004C7488" w:rsidRPr="00D64553">
        <w:rPr>
          <w:color w:val="000000" w:themeColor="text1"/>
          <w:lang w:val="es-AR" w:eastAsia="en-GB"/>
        </w:rPr>
        <w:t xml:space="preserve"> como la cantidad presente de población penitenciaria en cada categoría o la implementación de las recomendaciones de la visita anterior. En esta reunión, el Subcomité notó que </w:t>
      </w:r>
      <w:r w:rsidR="004C7488">
        <w:rPr>
          <w:color w:val="000000" w:themeColor="text1"/>
          <w:lang w:val="es-AR" w:eastAsia="en-GB"/>
        </w:rPr>
        <w:t xml:space="preserve">el </w:t>
      </w:r>
      <w:r w:rsidR="00F76B88">
        <w:rPr>
          <w:color w:val="000000" w:themeColor="text1"/>
          <w:lang w:val="es-AR" w:eastAsia="en-GB"/>
        </w:rPr>
        <w:t>mecanismo</w:t>
      </w:r>
      <w:r w:rsidR="004C7488">
        <w:rPr>
          <w:color w:val="000000" w:themeColor="text1"/>
          <w:lang w:val="es-AR" w:eastAsia="en-GB"/>
        </w:rPr>
        <w:t xml:space="preserve"> </w:t>
      </w:r>
      <w:r w:rsidR="004C7488" w:rsidRPr="00D64553">
        <w:rPr>
          <w:color w:val="000000" w:themeColor="text1"/>
          <w:lang w:val="es-AR" w:eastAsia="en-GB"/>
        </w:rPr>
        <w:t>no solicit</w:t>
      </w:r>
      <w:r w:rsidR="004C7488">
        <w:rPr>
          <w:color w:val="000000" w:themeColor="text1"/>
          <w:lang w:val="es-AR" w:eastAsia="en-GB"/>
        </w:rPr>
        <w:t>ó</w:t>
      </w:r>
      <w:r w:rsidR="004C7488" w:rsidRPr="00D64553">
        <w:rPr>
          <w:color w:val="000000" w:themeColor="text1"/>
          <w:lang w:val="es-AR" w:eastAsia="en-GB"/>
        </w:rPr>
        <w:t xml:space="preserve"> los progresos acerca de las observaciones realizadas en anteriores visitas.  </w:t>
      </w:r>
    </w:p>
    <w:p w14:paraId="25B2084F" w14:textId="77777777" w:rsidR="004C7488" w:rsidRPr="00D64553" w:rsidRDefault="005B5CAB" w:rsidP="00347A3B">
      <w:pPr>
        <w:pStyle w:val="SingleTxtG"/>
        <w:suppressAutoHyphens/>
        <w:ind w:hanging="11"/>
        <w:rPr>
          <w:color w:val="000000" w:themeColor="text1"/>
          <w:lang w:val="es-AR" w:eastAsia="en-GB"/>
        </w:rPr>
      </w:pPr>
      <w:r w:rsidRPr="00D64553">
        <w:rPr>
          <w:color w:val="000000" w:themeColor="text1"/>
          <w:lang w:val="es-AR" w:eastAsia="en-GB"/>
        </w:rPr>
        <w:t>29.</w:t>
      </w:r>
      <w:r w:rsidRPr="00D64553">
        <w:rPr>
          <w:color w:val="000000" w:themeColor="text1"/>
          <w:lang w:val="es-AR" w:eastAsia="en-GB"/>
        </w:rPr>
        <w:tab/>
      </w:r>
      <w:r w:rsidR="004C7488" w:rsidRPr="00D64553">
        <w:rPr>
          <w:color w:val="000000" w:themeColor="text1"/>
          <w:lang w:val="es-AR" w:eastAsia="en-GB"/>
        </w:rPr>
        <w:t xml:space="preserve">Con respecto a la metodología de las entrevistas, el Subcomité observó que, en algunas entrevistas a personas privadas de libertad, los integrantes del </w:t>
      </w:r>
      <w:r w:rsidR="00F76B88">
        <w:rPr>
          <w:color w:val="000000" w:themeColor="text1"/>
          <w:lang w:val="es-AR" w:eastAsia="en-GB"/>
        </w:rPr>
        <w:t>mecanismo</w:t>
      </w:r>
      <w:r w:rsidR="004C7488" w:rsidRPr="00D64553">
        <w:rPr>
          <w:color w:val="000000" w:themeColor="text1"/>
          <w:lang w:val="es-AR" w:eastAsia="en-GB"/>
        </w:rPr>
        <w:t xml:space="preserve"> no se presentaban como miembros del </w:t>
      </w:r>
      <w:r w:rsidR="00F76B88">
        <w:rPr>
          <w:color w:val="000000" w:themeColor="text1"/>
          <w:lang w:val="es-AR" w:eastAsia="en-GB"/>
        </w:rPr>
        <w:t>mecanismo</w:t>
      </w:r>
      <w:r w:rsidR="004C7488" w:rsidRPr="00D64553">
        <w:rPr>
          <w:color w:val="000000" w:themeColor="text1"/>
          <w:lang w:val="es-AR" w:eastAsia="en-GB"/>
        </w:rPr>
        <w:t xml:space="preserve"> y no explicaban claramente su mandato </w:t>
      </w:r>
      <w:r w:rsidR="004C7488" w:rsidRPr="00D64553">
        <w:rPr>
          <w:lang w:val="es-AR" w:eastAsia="en-GB"/>
        </w:rPr>
        <w:t xml:space="preserve">preventivo. </w:t>
      </w:r>
      <w:r w:rsidR="004C7488">
        <w:rPr>
          <w:lang w:val="es-AR" w:eastAsia="en-GB"/>
        </w:rPr>
        <w:t>Un</w:t>
      </w:r>
      <w:r w:rsidR="004C7488" w:rsidRPr="00D64553">
        <w:rPr>
          <w:lang w:val="es-AR" w:eastAsia="en-GB"/>
        </w:rPr>
        <w:t xml:space="preserve"> grupo de expertos del Subcomité </w:t>
      </w:r>
      <w:r w:rsidR="004C7488" w:rsidRPr="00D64553">
        <w:rPr>
          <w:color w:val="000000" w:themeColor="text1"/>
          <w:lang w:val="es-AR" w:eastAsia="en-GB"/>
        </w:rPr>
        <w:t xml:space="preserve">observó </w:t>
      </w:r>
      <w:r w:rsidR="004C7488" w:rsidRPr="00D64553">
        <w:rPr>
          <w:lang w:val="es-AR" w:eastAsia="en-GB"/>
        </w:rPr>
        <w:t>que en algunas ocasiones la introducción de las entrevistas era poco entendible para las</w:t>
      </w:r>
      <w:r w:rsidR="00BD286A">
        <w:rPr>
          <w:lang w:val="es-AR" w:eastAsia="en-GB"/>
        </w:rPr>
        <w:t xml:space="preserve"> personas</w:t>
      </w:r>
      <w:r w:rsidR="004C7488" w:rsidRPr="00D64553">
        <w:rPr>
          <w:lang w:val="es-AR" w:eastAsia="en-GB"/>
        </w:rPr>
        <w:t xml:space="preserve"> privadas de libertad y no se explicaba con claridad el mandato de los entrevistadores </w:t>
      </w:r>
      <w:r w:rsidR="004C7488" w:rsidRPr="00D64553">
        <w:rPr>
          <w:color w:val="000000" w:themeColor="text1"/>
          <w:lang w:val="es-AR" w:eastAsia="en-GB"/>
        </w:rPr>
        <w:t xml:space="preserve">y la </w:t>
      </w:r>
      <w:r w:rsidR="004C7488" w:rsidRPr="00D64553">
        <w:rPr>
          <w:lang w:val="es-AR" w:eastAsia="en-GB"/>
        </w:rPr>
        <w:t xml:space="preserve">institución que representaban. En otras ocasiones, los integrantes del </w:t>
      </w:r>
      <w:r w:rsidR="00F76B88">
        <w:rPr>
          <w:lang w:val="es-AR" w:eastAsia="en-GB"/>
        </w:rPr>
        <w:t>mecanismo</w:t>
      </w:r>
      <w:r w:rsidR="004C7488" w:rsidRPr="00D64553">
        <w:rPr>
          <w:lang w:val="es-AR" w:eastAsia="en-GB"/>
        </w:rPr>
        <w:t xml:space="preserve"> no solicitaron el consentimiento del privado de libertad para realizar la entrevista, no aclararon que la misma es confidencial y voluntaria, y no informaron que no se abocan a casos individuales. </w:t>
      </w:r>
      <w:r w:rsidR="004C7488">
        <w:rPr>
          <w:lang w:val="es-AR" w:eastAsia="en-GB"/>
        </w:rPr>
        <w:t xml:space="preserve"> </w:t>
      </w:r>
    </w:p>
    <w:p w14:paraId="39F57373" w14:textId="77777777" w:rsidR="004C7488" w:rsidRPr="00D64553" w:rsidRDefault="005B5CAB" w:rsidP="00347A3B">
      <w:pPr>
        <w:pStyle w:val="SingleTxtG"/>
        <w:suppressAutoHyphens/>
        <w:ind w:hanging="11"/>
        <w:rPr>
          <w:b/>
          <w:bCs/>
          <w:color w:val="000000" w:themeColor="text1"/>
          <w:lang w:val="es-AR" w:eastAsia="en-GB"/>
        </w:rPr>
      </w:pPr>
      <w:r w:rsidRPr="00D64553">
        <w:rPr>
          <w:bCs/>
          <w:color w:val="000000" w:themeColor="text1"/>
          <w:lang w:val="es-AR" w:eastAsia="en-GB"/>
        </w:rPr>
        <w:t>30.</w:t>
      </w:r>
      <w:r w:rsidRPr="00D64553">
        <w:rPr>
          <w:bCs/>
          <w:color w:val="000000" w:themeColor="text1"/>
          <w:lang w:val="es-AR" w:eastAsia="en-GB"/>
        </w:rPr>
        <w:tab/>
      </w:r>
      <w:r w:rsidR="004C7488" w:rsidRPr="00D64553">
        <w:rPr>
          <w:b/>
          <w:bCs/>
          <w:color w:val="000000" w:themeColor="text1"/>
          <w:lang w:val="es-AR" w:eastAsia="en-GB"/>
        </w:rPr>
        <w:t xml:space="preserve">El Subcomité recomienda que los miembros del </w:t>
      </w:r>
      <w:r w:rsidR="00F76B88">
        <w:rPr>
          <w:b/>
          <w:bCs/>
          <w:color w:val="000000" w:themeColor="text1"/>
          <w:lang w:val="es-AR" w:eastAsia="en-GB"/>
        </w:rPr>
        <w:t>mecanismo</w:t>
      </w:r>
      <w:r w:rsidR="004C7488" w:rsidRPr="00D64553">
        <w:rPr>
          <w:b/>
          <w:bCs/>
          <w:color w:val="000000" w:themeColor="text1"/>
          <w:lang w:val="es-AR" w:eastAsia="en-GB"/>
        </w:rPr>
        <w:t xml:space="preserve"> siempre se presenten a</w:t>
      </w:r>
      <w:r w:rsidR="004C7488">
        <w:rPr>
          <w:b/>
          <w:bCs/>
          <w:color w:val="000000" w:themeColor="text1"/>
          <w:lang w:val="es-AR" w:eastAsia="en-GB"/>
        </w:rPr>
        <w:t>nte</w:t>
      </w:r>
      <w:r w:rsidR="004C7488" w:rsidRPr="00D64553">
        <w:rPr>
          <w:b/>
          <w:bCs/>
          <w:color w:val="000000" w:themeColor="text1"/>
          <w:lang w:val="es-AR" w:eastAsia="en-GB"/>
        </w:rPr>
        <w:t xml:space="preserve"> la persona entrevistada con su nombre e información sobre el </w:t>
      </w:r>
      <w:r w:rsidR="00F76B88">
        <w:rPr>
          <w:b/>
          <w:bCs/>
          <w:color w:val="000000" w:themeColor="text1"/>
          <w:lang w:val="es-AR" w:eastAsia="en-GB"/>
        </w:rPr>
        <w:t>mecanismo</w:t>
      </w:r>
      <w:r w:rsidR="004C7488" w:rsidRPr="00D64553">
        <w:rPr>
          <w:b/>
          <w:bCs/>
          <w:color w:val="000000" w:themeColor="text1"/>
          <w:lang w:val="es-AR" w:eastAsia="en-GB"/>
        </w:rPr>
        <w:t xml:space="preserve"> y su mandato preventivo. </w:t>
      </w:r>
      <w:r w:rsidR="004C7488">
        <w:rPr>
          <w:b/>
          <w:bCs/>
          <w:color w:val="000000" w:themeColor="text1"/>
          <w:lang w:val="es-AR" w:eastAsia="en-GB"/>
        </w:rPr>
        <w:t xml:space="preserve">El consentimiento expreso del detenido </w:t>
      </w:r>
      <w:r w:rsidR="004C7488" w:rsidRPr="00D64553">
        <w:rPr>
          <w:b/>
          <w:bCs/>
          <w:color w:val="000000" w:themeColor="text1"/>
          <w:lang w:val="es-AR" w:eastAsia="en-GB"/>
        </w:rPr>
        <w:t xml:space="preserve">también debe obtenerse siempre y debe quedar claro que la entrevista es voluntaria, confidencial y puede interrumpirse en cualquier momento a petición de la persona entrevistada. El Subcomité opina que una presentación apropiada y completa, genera confianza con la persona entrevistada y facilita la comunicación y el intercambio de información. </w:t>
      </w:r>
    </w:p>
    <w:p w14:paraId="185AD7D3" w14:textId="77777777" w:rsidR="004C7488" w:rsidRPr="00D64553" w:rsidRDefault="005B5CAB" w:rsidP="00347A3B">
      <w:pPr>
        <w:pStyle w:val="SingleTxtG"/>
        <w:suppressAutoHyphens/>
        <w:ind w:firstLine="12"/>
        <w:jc w:val="lowKashida"/>
        <w:rPr>
          <w:b/>
          <w:bCs/>
          <w:color w:val="000000" w:themeColor="text1"/>
          <w:lang w:val="es-AR" w:eastAsia="en-GB"/>
        </w:rPr>
      </w:pPr>
      <w:r w:rsidRPr="00D64553">
        <w:rPr>
          <w:bCs/>
          <w:color w:val="000000" w:themeColor="text1"/>
          <w:lang w:val="es-AR" w:eastAsia="en-GB"/>
        </w:rPr>
        <w:t>31.</w:t>
      </w:r>
      <w:r w:rsidRPr="00D64553">
        <w:rPr>
          <w:bCs/>
          <w:color w:val="000000" w:themeColor="text1"/>
          <w:lang w:val="es-AR" w:eastAsia="en-GB"/>
        </w:rPr>
        <w:tab/>
      </w:r>
      <w:r w:rsidR="004C7488" w:rsidRPr="00D64553">
        <w:rPr>
          <w:b/>
          <w:bCs/>
          <w:color w:val="000000" w:themeColor="text1"/>
          <w:lang w:val="es-AR" w:eastAsia="en-GB"/>
        </w:rPr>
        <w:t xml:space="preserve">El Subcomité quisiera recordar que el propósito de las entrevistas es entender la situación de las personas privadas de libertad e identificar los casos de tortura y malos </w:t>
      </w:r>
      <w:r w:rsidR="004C7488" w:rsidRPr="00D64553">
        <w:rPr>
          <w:b/>
          <w:bCs/>
          <w:color w:val="000000" w:themeColor="text1"/>
          <w:lang w:val="es-AR" w:eastAsia="en-GB"/>
        </w:rPr>
        <w:lastRenderedPageBreak/>
        <w:t xml:space="preserve">tratos, así como sus patrones, con el fin de formular recomendaciones para prevenir la reiteración </w:t>
      </w:r>
      <w:r w:rsidR="00BD286A">
        <w:rPr>
          <w:b/>
          <w:bCs/>
          <w:color w:val="000000" w:themeColor="text1"/>
          <w:lang w:val="es-AR" w:eastAsia="en-GB"/>
        </w:rPr>
        <w:t xml:space="preserve">en el </w:t>
      </w:r>
      <w:r w:rsidR="004C7488" w:rsidRPr="00D64553">
        <w:rPr>
          <w:b/>
          <w:bCs/>
          <w:color w:val="000000" w:themeColor="text1"/>
          <w:lang w:val="es-AR" w:eastAsia="en-GB"/>
        </w:rPr>
        <w:t xml:space="preserve">futuro. El Subcomité recomienda a la dirección del </w:t>
      </w:r>
      <w:r w:rsidR="00F76B88">
        <w:rPr>
          <w:b/>
          <w:bCs/>
          <w:color w:val="000000" w:themeColor="text1"/>
          <w:lang w:val="es-AR" w:eastAsia="en-GB"/>
        </w:rPr>
        <w:t>mecanismo</w:t>
      </w:r>
      <w:r w:rsidR="004C7488" w:rsidRPr="00D64553">
        <w:rPr>
          <w:b/>
          <w:bCs/>
          <w:color w:val="000000" w:themeColor="text1"/>
          <w:lang w:val="es-AR" w:eastAsia="en-GB"/>
        </w:rPr>
        <w:t xml:space="preserve"> que garantice que todo el personal a cargo de las visitas reciba capacitación específica sobre técnicas de entrevistas y que los integrantes sigan fortaleciéndose mutuamente a través de actualizaciones periódicas y cursos externos.  </w:t>
      </w:r>
    </w:p>
    <w:p w14:paraId="70167358" w14:textId="77777777" w:rsidR="004C7488" w:rsidRDefault="005B5CAB" w:rsidP="00347A3B">
      <w:pPr>
        <w:pStyle w:val="SingleTxtG"/>
        <w:suppressAutoHyphens/>
        <w:ind w:firstLine="12"/>
        <w:rPr>
          <w:color w:val="000000" w:themeColor="text1"/>
          <w:lang w:val="es-AR" w:eastAsia="en-GB"/>
        </w:rPr>
      </w:pPr>
      <w:r>
        <w:rPr>
          <w:color w:val="000000" w:themeColor="text1"/>
          <w:lang w:val="es-AR" w:eastAsia="en-GB"/>
        </w:rPr>
        <w:t>32.</w:t>
      </w:r>
      <w:r>
        <w:rPr>
          <w:color w:val="000000" w:themeColor="text1"/>
          <w:lang w:val="es-AR" w:eastAsia="en-GB"/>
        </w:rPr>
        <w:tab/>
      </w:r>
      <w:r w:rsidR="004C7488">
        <w:rPr>
          <w:color w:val="000000" w:themeColor="text1"/>
          <w:lang w:val="es-AR" w:eastAsia="en-GB"/>
        </w:rPr>
        <w:t xml:space="preserve">Un grupo de expertos </w:t>
      </w:r>
      <w:r w:rsidR="00BD286A">
        <w:rPr>
          <w:color w:val="000000" w:themeColor="text1"/>
          <w:lang w:val="es-AR" w:eastAsia="en-GB"/>
        </w:rPr>
        <w:t xml:space="preserve">del Subcomité </w:t>
      </w:r>
      <w:r w:rsidR="004C7488">
        <w:rPr>
          <w:color w:val="000000" w:themeColor="text1"/>
          <w:lang w:val="es-AR" w:eastAsia="en-GB"/>
        </w:rPr>
        <w:t>advirtió</w:t>
      </w:r>
      <w:r w:rsidR="004C7488" w:rsidRPr="00D64553">
        <w:rPr>
          <w:color w:val="000000" w:themeColor="text1"/>
          <w:lang w:val="es-AR" w:eastAsia="en-GB"/>
        </w:rPr>
        <w:t xml:space="preserve"> que algunos intercambios de información y entrevistas con </w:t>
      </w:r>
      <w:r w:rsidR="00CF57C8">
        <w:rPr>
          <w:color w:val="000000" w:themeColor="text1"/>
          <w:lang w:val="es-AR" w:eastAsia="en-GB"/>
        </w:rPr>
        <w:t xml:space="preserve">personas </w:t>
      </w:r>
      <w:r w:rsidR="004C7488" w:rsidRPr="00D64553">
        <w:rPr>
          <w:color w:val="000000" w:themeColor="text1"/>
          <w:lang w:val="es-AR" w:eastAsia="en-GB"/>
        </w:rPr>
        <w:t xml:space="preserve">privadas de </w:t>
      </w:r>
      <w:r w:rsidR="004C7488" w:rsidRPr="00CD5FF0">
        <w:rPr>
          <w:color w:val="000000" w:themeColor="text1"/>
          <w:lang w:val="es-AR" w:eastAsia="en-GB"/>
        </w:rPr>
        <w:t xml:space="preserve">libertad se llevaron a cabo en presencia del personal penitenciario. </w:t>
      </w:r>
      <w:r w:rsidR="004C7488" w:rsidRPr="00785F79">
        <w:rPr>
          <w:color w:val="000000" w:themeColor="text1"/>
          <w:lang w:val="es-AR" w:eastAsia="en-GB"/>
        </w:rPr>
        <w:t>En algunas ocasiones, el Subcomité tuvo que recordar el principio de privacidad para prevenir el riesgo de eventuales represalias después de la visita.</w:t>
      </w:r>
      <w:r w:rsidR="004C7488" w:rsidRPr="00CD5FF0">
        <w:rPr>
          <w:color w:val="000000" w:themeColor="text1"/>
          <w:lang w:val="es-AR" w:eastAsia="en-GB"/>
        </w:rPr>
        <w:t xml:space="preserve"> </w:t>
      </w:r>
    </w:p>
    <w:p w14:paraId="2853F1EE" w14:textId="77777777" w:rsidR="004C7488" w:rsidRPr="00CD5FF0" w:rsidRDefault="005B5CAB" w:rsidP="00347A3B">
      <w:pPr>
        <w:pStyle w:val="SingleTxtG"/>
        <w:suppressAutoHyphens/>
        <w:ind w:firstLine="12"/>
        <w:rPr>
          <w:b/>
          <w:bCs/>
          <w:color w:val="000000" w:themeColor="text1"/>
          <w:lang w:val="es-AR" w:eastAsia="en-GB"/>
        </w:rPr>
      </w:pPr>
      <w:r w:rsidRPr="00CD5FF0">
        <w:rPr>
          <w:bCs/>
          <w:color w:val="000000" w:themeColor="text1"/>
          <w:lang w:val="es-AR" w:eastAsia="en-GB"/>
        </w:rPr>
        <w:t>33.</w:t>
      </w:r>
      <w:r w:rsidRPr="00CD5FF0">
        <w:rPr>
          <w:bCs/>
          <w:color w:val="000000" w:themeColor="text1"/>
          <w:lang w:val="es-AR" w:eastAsia="en-GB"/>
        </w:rPr>
        <w:tab/>
      </w:r>
      <w:r w:rsidR="004C7488" w:rsidRPr="00785F79">
        <w:rPr>
          <w:b/>
          <w:color w:val="000000" w:themeColor="text1"/>
          <w:lang w:val="es-AR" w:eastAsia="en-GB"/>
        </w:rPr>
        <w:t xml:space="preserve">Durante </w:t>
      </w:r>
      <w:r w:rsidR="004C7488">
        <w:rPr>
          <w:b/>
          <w:color w:val="000000" w:themeColor="text1"/>
          <w:lang w:val="es-AR" w:eastAsia="en-GB"/>
        </w:rPr>
        <w:t>sus visitas</w:t>
      </w:r>
      <w:r w:rsidR="004C7488" w:rsidRPr="00785F79">
        <w:rPr>
          <w:b/>
          <w:color w:val="000000" w:themeColor="text1"/>
          <w:lang w:val="es-AR" w:eastAsia="en-GB"/>
        </w:rPr>
        <w:t xml:space="preserve">, el </w:t>
      </w:r>
      <w:r w:rsidR="00F76B88">
        <w:rPr>
          <w:b/>
          <w:color w:val="000000" w:themeColor="text1"/>
          <w:lang w:val="es-AR" w:eastAsia="en-GB"/>
        </w:rPr>
        <w:t>mecanismo</w:t>
      </w:r>
      <w:r w:rsidR="004C7488" w:rsidRPr="00785F79">
        <w:rPr>
          <w:b/>
          <w:color w:val="000000" w:themeColor="text1"/>
          <w:lang w:val="es-AR" w:eastAsia="en-GB"/>
        </w:rPr>
        <w:t xml:space="preserve"> </w:t>
      </w:r>
      <w:r w:rsidR="004C7488">
        <w:rPr>
          <w:b/>
          <w:color w:val="000000" w:themeColor="text1"/>
          <w:lang w:val="es-AR" w:eastAsia="en-GB"/>
        </w:rPr>
        <w:t>debe</w:t>
      </w:r>
      <w:r w:rsidR="004C7488" w:rsidRPr="00785F79">
        <w:rPr>
          <w:b/>
          <w:color w:val="000000" w:themeColor="text1"/>
          <w:lang w:val="es-AR" w:eastAsia="en-GB"/>
        </w:rPr>
        <w:t xml:space="preserve"> velar por la </w:t>
      </w:r>
      <w:r w:rsidR="004C7488">
        <w:rPr>
          <w:b/>
          <w:color w:val="000000" w:themeColor="text1"/>
          <w:lang w:val="es-AR" w:eastAsia="en-GB"/>
        </w:rPr>
        <w:t xml:space="preserve">privacidad, </w:t>
      </w:r>
      <w:r w:rsidR="004C7488" w:rsidRPr="00785F79">
        <w:rPr>
          <w:b/>
          <w:color w:val="000000" w:themeColor="text1"/>
          <w:lang w:val="es-AR" w:eastAsia="en-GB"/>
        </w:rPr>
        <w:t>confidencialidad y la protección contra represalias hacia las personas que fueron entrevistadas en presencia del personal penitenciario.</w:t>
      </w:r>
      <w:r w:rsidR="004C7488" w:rsidRPr="00CD5FF0">
        <w:rPr>
          <w:b/>
          <w:bCs/>
          <w:color w:val="000000" w:themeColor="text1"/>
          <w:lang w:val="es-AR" w:eastAsia="en-GB"/>
        </w:rPr>
        <w:t xml:space="preserve"> El Subcomité recomienda que el lugar donde se realicen las entrevistas se elija cuidadosamente para garantizar que se mantenga la confidencial</w:t>
      </w:r>
      <w:r w:rsidR="004C7488">
        <w:rPr>
          <w:b/>
          <w:bCs/>
          <w:color w:val="000000" w:themeColor="text1"/>
          <w:lang w:val="es-AR" w:eastAsia="en-GB"/>
        </w:rPr>
        <w:t>idad</w:t>
      </w:r>
      <w:r w:rsidR="004C7488" w:rsidRPr="00CD5FF0">
        <w:rPr>
          <w:b/>
          <w:bCs/>
          <w:color w:val="000000" w:themeColor="text1"/>
          <w:lang w:val="es-AR" w:eastAsia="en-GB"/>
        </w:rPr>
        <w:t xml:space="preserve">, con total respeto del principio de “no hacer daño”. </w:t>
      </w:r>
    </w:p>
    <w:p w14:paraId="3774EDC9" w14:textId="77777777" w:rsidR="004C7488" w:rsidRPr="00D64553" w:rsidRDefault="005B5CAB" w:rsidP="00347A3B">
      <w:pPr>
        <w:pStyle w:val="SingleTxtG"/>
        <w:suppressAutoHyphens/>
        <w:ind w:firstLine="12"/>
        <w:rPr>
          <w:color w:val="000000" w:themeColor="text1"/>
          <w:lang w:val="es-AR" w:eastAsia="en-GB"/>
        </w:rPr>
      </w:pPr>
      <w:r w:rsidRPr="00D64553">
        <w:rPr>
          <w:color w:val="000000" w:themeColor="text1"/>
          <w:lang w:val="es-AR" w:eastAsia="en-GB"/>
        </w:rPr>
        <w:t>34.</w:t>
      </w:r>
      <w:r w:rsidRPr="00D64553">
        <w:rPr>
          <w:color w:val="000000" w:themeColor="text1"/>
          <w:lang w:val="es-AR" w:eastAsia="en-GB"/>
        </w:rPr>
        <w:tab/>
      </w:r>
      <w:r w:rsidR="004C7488" w:rsidRPr="00D64553">
        <w:rPr>
          <w:color w:val="000000" w:themeColor="text1"/>
          <w:lang w:val="es-AR" w:eastAsia="en-GB"/>
        </w:rPr>
        <w:t xml:space="preserve">Al Subcomité le preocupa que el </w:t>
      </w:r>
      <w:r w:rsidR="00F76B88">
        <w:rPr>
          <w:color w:val="000000" w:themeColor="text1"/>
          <w:lang w:val="es-AR" w:eastAsia="en-GB"/>
        </w:rPr>
        <w:t>mecanismo</w:t>
      </w:r>
      <w:r w:rsidR="004C7488" w:rsidRPr="00D64553">
        <w:rPr>
          <w:color w:val="000000" w:themeColor="text1"/>
          <w:lang w:val="es-AR" w:eastAsia="en-GB"/>
        </w:rPr>
        <w:t xml:space="preserve"> carezca de una estrategia para prevenir las represalias o amenazas por parte del personal de los centros de detención, así como de los demás privados de libertad, en contra de</w:t>
      </w:r>
      <w:r w:rsidR="004C7488">
        <w:rPr>
          <w:color w:val="000000" w:themeColor="text1"/>
          <w:lang w:val="es-AR" w:eastAsia="en-GB"/>
        </w:rPr>
        <w:t xml:space="preserve"> las</w:t>
      </w:r>
      <w:r w:rsidR="004C7488" w:rsidRPr="00D64553">
        <w:rPr>
          <w:color w:val="000000" w:themeColor="text1"/>
          <w:lang w:val="es-AR" w:eastAsia="en-GB"/>
        </w:rPr>
        <w:t xml:space="preserve"> </w:t>
      </w:r>
      <w:r w:rsidR="004C7488">
        <w:rPr>
          <w:color w:val="000000" w:themeColor="text1"/>
          <w:lang w:val="es-AR" w:eastAsia="en-GB"/>
        </w:rPr>
        <w:t>personas entrevistadas</w:t>
      </w:r>
      <w:r w:rsidR="004C7488" w:rsidRPr="00D64553">
        <w:rPr>
          <w:color w:val="000000" w:themeColor="text1"/>
          <w:lang w:val="es-AR" w:eastAsia="en-GB"/>
        </w:rPr>
        <w:t xml:space="preserve">. Implementar una metodología acordada y aprobada sobre las represalias, que sea asimilada por todos los integrantes, es un </w:t>
      </w:r>
      <w:r w:rsidR="004C7488">
        <w:rPr>
          <w:color w:val="000000" w:themeColor="text1"/>
          <w:lang w:val="es-AR" w:eastAsia="en-GB"/>
        </w:rPr>
        <w:t>requisito</w:t>
      </w:r>
      <w:r w:rsidR="004C7488" w:rsidRPr="00D64553">
        <w:rPr>
          <w:color w:val="000000" w:themeColor="text1"/>
          <w:lang w:val="es-AR" w:eastAsia="en-GB"/>
        </w:rPr>
        <w:t xml:space="preserve"> para el trabajo del </w:t>
      </w:r>
      <w:r w:rsidR="00F76B88">
        <w:rPr>
          <w:color w:val="000000" w:themeColor="text1"/>
          <w:lang w:val="es-AR" w:eastAsia="en-GB"/>
        </w:rPr>
        <w:t>mecanismo</w:t>
      </w:r>
      <w:r w:rsidR="004C7488" w:rsidRPr="00D64553">
        <w:rPr>
          <w:color w:val="000000" w:themeColor="text1"/>
          <w:lang w:val="es-AR" w:eastAsia="en-GB"/>
        </w:rPr>
        <w:t xml:space="preserve"> y sus interacciones con las personas privadas de su libertad.</w:t>
      </w:r>
    </w:p>
    <w:p w14:paraId="1BD305F3" w14:textId="77777777" w:rsidR="004C7488" w:rsidRPr="00D64553" w:rsidRDefault="005B5CAB" w:rsidP="00347A3B">
      <w:pPr>
        <w:pStyle w:val="SingleTxtG"/>
        <w:suppressAutoHyphens/>
        <w:ind w:firstLine="12"/>
        <w:rPr>
          <w:b/>
          <w:bCs/>
          <w:color w:val="000000" w:themeColor="text1"/>
          <w:lang w:val="es-AR" w:eastAsia="en-GB"/>
        </w:rPr>
      </w:pPr>
      <w:r w:rsidRPr="00D64553">
        <w:rPr>
          <w:bCs/>
          <w:color w:val="000000" w:themeColor="text1"/>
          <w:lang w:val="es-AR" w:eastAsia="en-GB"/>
        </w:rPr>
        <w:t>35.</w:t>
      </w:r>
      <w:r w:rsidRPr="00D64553">
        <w:rPr>
          <w:bCs/>
          <w:color w:val="000000" w:themeColor="text1"/>
          <w:lang w:val="es-AR" w:eastAsia="en-GB"/>
        </w:rPr>
        <w:tab/>
      </w:r>
      <w:r w:rsidR="004C7488" w:rsidRPr="00D64553">
        <w:rPr>
          <w:b/>
          <w:bCs/>
          <w:color w:val="000000" w:themeColor="text1"/>
          <w:lang w:val="es-AR" w:eastAsia="en-GB"/>
        </w:rPr>
        <w:t xml:space="preserve">El Subcomité recomienda al </w:t>
      </w:r>
      <w:r w:rsidR="00F76B88">
        <w:rPr>
          <w:b/>
          <w:bCs/>
          <w:color w:val="000000" w:themeColor="text1"/>
          <w:lang w:val="es-AR" w:eastAsia="en-GB"/>
        </w:rPr>
        <w:t>mecanismo</w:t>
      </w:r>
      <w:r w:rsidR="004C7488" w:rsidRPr="00D64553">
        <w:rPr>
          <w:b/>
          <w:bCs/>
          <w:color w:val="000000" w:themeColor="text1"/>
          <w:lang w:val="es-AR" w:eastAsia="en-GB"/>
        </w:rPr>
        <w:t xml:space="preserve">, como una cuestión prioritaria, que elabore una metodología y estrategia integral para prevenir las represalias y se asegure que su personal esté familiarizado con su contenido y cómo implementarlo. El enfoque de dicho protocolo debe ser la prevención, la confidencialidad y el principio de </w:t>
      </w:r>
      <w:r w:rsidR="003B4134">
        <w:rPr>
          <w:b/>
          <w:bCs/>
          <w:color w:val="000000" w:themeColor="text1"/>
          <w:lang w:val="es-AR" w:eastAsia="en-GB"/>
        </w:rPr>
        <w:t>“</w:t>
      </w:r>
      <w:r w:rsidR="004C7488" w:rsidRPr="00D64553">
        <w:rPr>
          <w:b/>
          <w:bCs/>
          <w:color w:val="000000" w:themeColor="text1"/>
          <w:lang w:val="es-AR" w:eastAsia="en-GB"/>
        </w:rPr>
        <w:t>no hacer daño</w:t>
      </w:r>
      <w:r w:rsidR="003B4134">
        <w:rPr>
          <w:b/>
          <w:bCs/>
          <w:color w:val="000000" w:themeColor="text1"/>
          <w:lang w:val="es-AR" w:eastAsia="en-GB"/>
        </w:rPr>
        <w:t>”</w:t>
      </w:r>
      <w:r w:rsidR="003B4134" w:rsidRPr="00D64553">
        <w:rPr>
          <w:b/>
          <w:bCs/>
          <w:color w:val="000000" w:themeColor="text1"/>
          <w:lang w:val="es-AR" w:eastAsia="en-GB"/>
        </w:rPr>
        <w:t>.</w:t>
      </w:r>
    </w:p>
    <w:p w14:paraId="0997EB29" w14:textId="77777777" w:rsidR="004C7488" w:rsidRPr="00DE2802" w:rsidRDefault="005B5CAB" w:rsidP="00347A3B">
      <w:pPr>
        <w:pStyle w:val="SingleTxtG"/>
        <w:suppressAutoHyphens/>
        <w:ind w:firstLine="12"/>
        <w:rPr>
          <w:b/>
          <w:bCs/>
          <w:color w:val="000000" w:themeColor="text1"/>
          <w:lang w:val="es-CL" w:eastAsia="en-GB"/>
        </w:rPr>
      </w:pPr>
      <w:r w:rsidRPr="00DE2802">
        <w:rPr>
          <w:bCs/>
          <w:color w:val="000000" w:themeColor="text1"/>
          <w:lang w:val="es-CL" w:eastAsia="en-GB"/>
        </w:rPr>
        <w:t>36.</w:t>
      </w:r>
      <w:r w:rsidRPr="00DE2802">
        <w:rPr>
          <w:bCs/>
          <w:color w:val="000000" w:themeColor="text1"/>
          <w:lang w:val="es-CL" w:eastAsia="en-GB"/>
        </w:rPr>
        <w:tab/>
      </w:r>
      <w:r w:rsidR="004C7488" w:rsidRPr="00D64553">
        <w:rPr>
          <w:b/>
          <w:bCs/>
          <w:color w:val="000000" w:themeColor="text1"/>
          <w:lang w:val="es-AR" w:eastAsia="en-GB"/>
        </w:rPr>
        <w:t xml:space="preserve">El Subcomité recomienda que el </w:t>
      </w:r>
      <w:r w:rsidR="00F76B88">
        <w:rPr>
          <w:b/>
          <w:bCs/>
          <w:color w:val="000000" w:themeColor="text1"/>
          <w:lang w:val="es-AR" w:eastAsia="en-GB"/>
        </w:rPr>
        <w:t>mecanismo</w:t>
      </w:r>
      <w:r w:rsidR="004C7488" w:rsidRPr="00D64553">
        <w:rPr>
          <w:b/>
          <w:bCs/>
          <w:color w:val="000000" w:themeColor="text1"/>
          <w:lang w:val="es-AR" w:eastAsia="en-GB"/>
        </w:rPr>
        <w:t xml:space="preserve"> siempre considere que existe riesgo de intimidación, sanción o represalias y, por lo tanto, debe tomar medidas para prevenir ese riesgo. Como medida preventiva, siempre deben mencionarse las posibles represalias e invitar a que se reporten los casos al </w:t>
      </w:r>
      <w:r w:rsidR="00F76B88">
        <w:rPr>
          <w:b/>
          <w:bCs/>
          <w:color w:val="000000" w:themeColor="text1"/>
          <w:lang w:val="es-AR" w:eastAsia="en-GB"/>
        </w:rPr>
        <w:t>mecanismo</w:t>
      </w:r>
      <w:r w:rsidR="004C7488" w:rsidRPr="00D64553">
        <w:rPr>
          <w:b/>
          <w:bCs/>
          <w:color w:val="000000" w:themeColor="text1"/>
          <w:lang w:val="es-AR" w:eastAsia="en-GB"/>
        </w:rPr>
        <w:t xml:space="preserve">, o a la Defensoría de los Habitantes vía el botón número 4 en los teléfonos existentes en los establecimientos penitenciarios. Además de las precauciones mencionadas </w:t>
      </w:r>
      <w:r w:rsidR="004C7488" w:rsidRPr="00347A3B">
        <w:rPr>
          <w:b/>
          <w:bCs/>
          <w:i/>
          <w:iCs/>
          <w:color w:val="000000" w:themeColor="text1"/>
          <w:lang w:val="es-AR" w:eastAsia="en-GB"/>
        </w:rPr>
        <w:t>supra</w:t>
      </w:r>
      <w:r w:rsidR="004C7488" w:rsidRPr="00D64553">
        <w:rPr>
          <w:b/>
          <w:bCs/>
          <w:color w:val="000000" w:themeColor="text1"/>
          <w:lang w:val="es-AR" w:eastAsia="en-GB"/>
        </w:rPr>
        <w:t xml:space="preserve">, el </w:t>
      </w:r>
      <w:r w:rsidR="00F76B88">
        <w:rPr>
          <w:b/>
          <w:bCs/>
          <w:color w:val="000000" w:themeColor="text1"/>
          <w:lang w:val="es-AR" w:eastAsia="en-GB"/>
        </w:rPr>
        <w:t>mecanismo</w:t>
      </w:r>
      <w:r w:rsidR="004C7488" w:rsidRPr="00D64553">
        <w:rPr>
          <w:b/>
          <w:bCs/>
          <w:color w:val="000000" w:themeColor="text1"/>
          <w:lang w:val="es-AR" w:eastAsia="en-GB"/>
        </w:rPr>
        <w:t xml:space="preserve"> debe advertir a las autoridades que cualquier tipo de represalia es inadmisible, y que hará un seguimiento para </w:t>
      </w:r>
      <w:r w:rsidR="004C7488" w:rsidRPr="00DE2802">
        <w:rPr>
          <w:b/>
          <w:bCs/>
          <w:color w:val="000000" w:themeColor="text1"/>
          <w:lang w:val="es-CL" w:eastAsia="en-GB"/>
        </w:rPr>
        <w:t xml:space="preserve">asegurarse de que hay un procedimiento de denuncias, que </w:t>
      </w:r>
      <w:r w:rsidR="005675C6">
        <w:rPr>
          <w:b/>
          <w:bCs/>
          <w:color w:val="000000" w:themeColor="text1"/>
          <w:lang w:val="es-CL" w:eastAsia="en-GB"/>
        </w:rPr>
        <w:t>e</w:t>
      </w:r>
      <w:r w:rsidR="004C7488" w:rsidRPr="00DE2802">
        <w:rPr>
          <w:b/>
          <w:bCs/>
          <w:color w:val="000000" w:themeColor="text1"/>
          <w:lang w:val="es-CL" w:eastAsia="en-GB"/>
        </w:rPr>
        <w:t>stas se han investigado, y los resultados de dicha investigación y medidas adoptadas.</w:t>
      </w:r>
      <w:r w:rsidR="004C7488">
        <w:rPr>
          <w:b/>
          <w:bCs/>
          <w:color w:val="000000" w:themeColor="text1"/>
          <w:lang w:val="es-CL" w:eastAsia="en-GB"/>
        </w:rPr>
        <w:t xml:space="preserve"> </w:t>
      </w:r>
      <w:r w:rsidR="004C7488" w:rsidRPr="00DE2802">
        <w:rPr>
          <w:b/>
          <w:bCs/>
          <w:color w:val="000000" w:themeColor="text1"/>
          <w:lang w:val="es-AR" w:eastAsia="en-GB"/>
        </w:rPr>
        <w:t xml:space="preserve">El </w:t>
      </w:r>
      <w:r w:rsidR="00F76B88">
        <w:rPr>
          <w:b/>
          <w:bCs/>
          <w:color w:val="000000" w:themeColor="text1"/>
          <w:lang w:val="es-AR" w:eastAsia="en-GB"/>
        </w:rPr>
        <w:t>mecanismo</w:t>
      </w:r>
      <w:r w:rsidR="004C7488" w:rsidRPr="00DE2802">
        <w:rPr>
          <w:b/>
          <w:bCs/>
          <w:color w:val="000000" w:themeColor="text1"/>
          <w:lang w:val="es-AR" w:eastAsia="en-GB"/>
        </w:rPr>
        <w:t xml:space="preserve"> también debe, entre otras cosas, realizar visitas preventivas de seguimiento con mayor frecuencia.</w:t>
      </w:r>
    </w:p>
    <w:p w14:paraId="242539FF" w14:textId="77777777" w:rsidR="004C7488" w:rsidRPr="00D64553" w:rsidRDefault="005B5CAB" w:rsidP="00347A3B">
      <w:pPr>
        <w:pStyle w:val="SingleTxtG"/>
        <w:suppressAutoHyphens/>
        <w:ind w:firstLine="12"/>
        <w:rPr>
          <w:b/>
          <w:bCs/>
          <w:color w:val="000000" w:themeColor="text1"/>
          <w:lang w:val="es-AR" w:eastAsia="en-GB"/>
        </w:rPr>
      </w:pPr>
      <w:r w:rsidRPr="00D64553">
        <w:rPr>
          <w:bCs/>
          <w:color w:val="000000" w:themeColor="text1"/>
          <w:lang w:val="es-AR" w:eastAsia="en-GB"/>
        </w:rPr>
        <w:t>37.</w:t>
      </w:r>
      <w:r w:rsidRPr="00D64553">
        <w:rPr>
          <w:bCs/>
          <w:color w:val="000000" w:themeColor="text1"/>
          <w:lang w:val="es-AR" w:eastAsia="en-GB"/>
        </w:rPr>
        <w:tab/>
      </w:r>
      <w:r w:rsidR="004C7488" w:rsidRPr="00D64553">
        <w:rPr>
          <w:b/>
          <w:bCs/>
          <w:color w:val="000000" w:themeColor="text1"/>
          <w:lang w:val="es-AR" w:eastAsia="en-GB"/>
        </w:rPr>
        <w:t xml:space="preserve">Además de lo mencionado </w:t>
      </w:r>
      <w:r w:rsidR="004C7488" w:rsidRPr="00347A3B">
        <w:rPr>
          <w:b/>
          <w:bCs/>
          <w:i/>
          <w:iCs/>
          <w:color w:val="000000" w:themeColor="text1"/>
          <w:lang w:val="es-AR" w:eastAsia="en-GB"/>
        </w:rPr>
        <w:t>supra</w:t>
      </w:r>
      <w:r w:rsidR="004C7488" w:rsidRPr="00D64553">
        <w:rPr>
          <w:b/>
          <w:bCs/>
          <w:color w:val="000000" w:themeColor="text1"/>
          <w:lang w:val="es-AR" w:eastAsia="en-GB"/>
        </w:rPr>
        <w:t xml:space="preserve">, el Subcomité considera que sería una buena práctica la distribución de un folleto informativo a las personas entrevistadas que explique el mandato del </w:t>
      </w:r>
      <w:r w:rsidR="00F76B88">
        <w:rPr>
          <w:b/>
          <w:bCs/>
          <w:color w:val="000000" w:themeColor="text1"/>
          <w:lang w:val="es-AR" w:eastAsia="en-GB"/>
        </w:rPr>
        <w:t>mecanismo</w:t>
      </w:r>
      <w:r w:rsidR="004C7488" w:rsidRPr="00D64553">
        <w:rPr>
          <w:b/>
          <w:bCs/>
          <w:color w:val="000000" w:themeColor="text1"/>
          <w:lang w:val="es-AR" w:eastAsia="en-GB"/>
        </w:rPr>
        <w:t xml:space="preserve">, indicando vías de contacto con la </w:t>
      </w:r>
      <w:r w:rsidR="005675C6">
        <w:rPr>
          <w:b/>
          <w:bCs/>
          <w:color w:val="000000" w:themeColor="text1"/>
          <w:lang w:val="es-AR" w:eastAsia="en-GB"/>
        </w:rPr>
        <w:t>i</w:t>
      </w:r>
      <w:r w:rsidR="004C7488" w:rsidRPr="00D64553">
        <w:rPr>
          <w:b/>
          <w:bCs/>
          <w:color w:val="000000" w:themeColor="text1"/>
          <w:lang w:val="es-AR" w:eastAsia="en-GB"/>
        </w:rPr>
        <w:t xml:space="preserve">nstitución. En el mismo debería indicarse a las personas privadas de libertad la posibilidad de denunciar ante el </w:t>
      </w:r>
      <w:r w:rsidR="00F76B88">
        <w:rPr>
          <w:b/>
          <w:bCs/>
          <w:color w:val="000000" w:themeColor="text1"/>
          <w:lang w:val="es-AR" w:eastAsia="en-GB"/>
        </w:rPr>
        <w:t>mecanismo</w:t>
      </w:r>
      <w:r w:rsidR="004C7488" w:rsidRPr="00D64553">
        <w:rPr>
          <w:b/>
          <w:bCs/>
          <w:color w:val="000000" w:themeColor="text1"/>
          <w:lang w:val="es-AR" w:eastAsia="en-GB"/>
        </w:rPr>
        <w:t xml:space="preserve"> cualquier represalia que haya</w:t>
      </w:r>
      <w:r w:rsidR="006F06B4">
        <w:rPr>
          <w:b/>
          <w:bCs/>
          <w:color w:val="000000" w:themeColor="text1"/>
          <w:lang w:val="es-AR" w:eastAsia="en-GB"/>
        </w:rPr>
        <w:t>n</w:t>
      </w:r>
      <w:r w:rsidR="004C7488" w:rsidRPr="00D64553">
        <w:rPr>
          <w:b/>
          <w:bCs/>
          <w:color w:val="000000" w:themeColor="text1"/>
          <w:lang w:val="es-AR" w:eastAsia="en-GB"/>
        </w:rPr>
        <w:t xml:space="preserve"> recibido por el hecho de haber mantenido contacto con el </w:t>
      </w:r>
      <w:r w:rsidR="00F76B88">
        <w:rPr>
          <w:b/>
          <w:bCs/>
          <w:color w:val="000000" w:themeColor="text1"/>
          <w:lang w:val="es-AR" w:eastAsia="en-GB"/>
        </w:rPr>
        <w:t>mecanismo</w:t>
      </w:r>
      <w:r w:rsidR="004C7488" w:rsidRPr="00D64553">
        <w:rPr>
          <w:b/>
          <w:bCs/>
          <w:color w:val="000000" w:themeColor="text1"/>
          <w:lang w:val="es-AR" w:eastAsia="en-GB"/>
        </w:rPr>
        <w:t>.</w:t>
      </w:r>
    </w:p>
    <w:p w14:paraId="432EA4A8" w14:textId="77777777" w:rsidR="004C7488" w:rsidRPr="00A85DA4" w:rsidRDefault="00A85DA4" w:rsidP="00A85DA4">
      <w:pPr>
        <w:pStyle w:val="HChG"/>
      </w:pPr>
      <w:r w:rsidRPr="00A85DA4">
        <w:tab/>
        <w:t>IV.</w:t>
      </w:r>
      <w:r w:rsidRPr="00A85DA4">
        <w:tab/>
      </w:r>
      <w:r w:rsidR="004C7488" w:rsidRPr="00A85DA4">
        <w:t xml:space="preserve">Estrategia de seguimiento de las recomendaciones del </w:t>
      </w:r>
      <w:r w:rsidR="00F76B88">
        <w:t>mecanismo</w:t>
      </w:r>
    </w:p>
    <w:p w14:paraId="6F6FA3A2" w14:textId="77777777" w:rsidR="004C7488" w:rsidRPr="00C37513" w:rsidRDefault="004C7488" w:rsidP="004C7488">
      <w:pPr>
        <w:pStyle w:val="SingleTxtG"/>
        <w:rPr>
          <w:color w:val="000000" w:themeColor="text1"/>
          <w:lang w:val="es-AR" w:eastAsia="en-GB"/>
        </w:rPr>
      </w:pPr>
      <w:r w:rsidRPr="00C37513">
        <w:rPr>
          <w:color w:val="000000" w:themeColor="text1"/>
          <w:lang w:val="es-AR" w:eastAsia="en-GB"/>
        </w:rPr>
        <w:t>38</w:t>
      </w:r>
      <w:r>
        <w:rPr>
          <w:color w:val="000000" w:themeColor="text1"/>
          <w:lang w:val="es-AR" w:eastAsia="en-GB"/>
        </w:rPr>
        <w:t>.</w:t>
      </w:r>
      <w:r>
        <w:rPr>
          <w:color w:val="000000" w:themeColor="text1"/>
          <w:lang w:val="es-AR" w:eastAsia="en-GB"/>
        </w:rPr>
        <w:tab/>
      </w:r>
      <w:r w:rsidRPr="00C37513">
        <w:rPr>
          <w:color w:val="000000" w:themeColor="text1"/>
          <w:lang w:val="es-AR" w:eastAsia="en-GB"/>
        </w:rPr>
        <w:t>Después de su visita conjunta</w:t>
      </w:r>
      <w:r w:rsidR="007D0B01">
        <w:rPr>
          <w:color w:val="000000" w:themeColor="text1"/>
          <w:lang w:val="es-AR" w:eastAsia="en-GB"/>
        </w:rPr>
        <w:t xml:space="preserve"> </w:t>
      </w:r>
      <w:r w:rsidR="007D0B01" w:rsidRPr="00C37513">
        <w:rPr>
          <w:color w:val="000000" w:themeColor="text1"/>
          <w:lang w:val="es-AR" w:eastAsia="en-GB"/>
        </w:rPr>
        <w:t xml:space="preserve">al centro de mujeres Vilma </w:t>
      </w:r>
      <w:proofErr w:type="spellStart"/>
      <w:r w:rsidR="007D0B01" w:rsidRPr="00C37513">
        <w:rPr>
          <w:color w:val="000000" w:themeColor="text1"/>
          <w:lang w:val="es-AR" w:eastAsia="en-GB"/>
        </w:rPr>
        <w:t>Curling</w:t>
      </w:r>
      <w:proofErr w:type="spellEnd"/>
      <w:r w:rsidRPr="00C37513">
        <w:rPr>
          <w:color w:val="000000" w:themeColor="text1"/>
          <w:lang w:val="es-AR" w:eastAsia="en-GB"/>
        </w:rPr>
        <w:t xml:space="preserve">, el Subcomité recibió el informe preparado por el </w:t>
      </w:r>
      <w:r w:rsidR="00F76B88">
        <w:rPr>
          <w:color w:val="000000" w:themeColor="text1"/>
          <w:lang w:val="es-AR" w:eastAsia="en-GB"/>
        </w:rPr>
        <w:t>mecanismo</w:t>
      </w:r>
      <w:r w:rsidRPr="00C37513">
        <w:rPr>
          <w:color w:val="000000" w:themeColor="text1"/>
          <w:lang w:val="es-AR" w:eastAsia="en-GB"/>
        </w:rPr>
        <w:t xml:space="preserve">. El Subcomité reconoce el esfuerzo realizado por el </w:t>
      </w:r>
      <w:r w:rsidR="00F76B88">
        <w:rPr>
          <w:color w:val="000000" w:themeColor="text1"/>
          <w:lang w:val="es-AR" w:eastAsia="en-GB"/>
        </w:rPr>
        <w:t>mecanismo</w:t>
      </w:r>
      <w:r w:rsidRPr="00C37513">
        <w:rPr>
          <w:color w:val="000000" w:themeColor="text1"/>
          <w:lang w:val="es-AR" w:eastAsia="en-GB"/>
        </w:rPr>
        <w:t xml:space="preserve"> en la preparación de dicho informe</w:t>
      </w:r>
      <w:r>
        <w:rPr>
          <w:color w:val="000000" w:themeColor="text1"/>
          <w:lang w:val="es-AR" w:eastAsia="en-GB"/>
        </w:rPr>
        <w:t>,</w:t>
      </w:r>
      <w:r w:rsidRPr="00C37513">
        <w:rPr>
          <w:color w:val="000000" w:themeColor="text1"/>
          <w:lang w:val="es-AR" w:eastAsia="en-GB"/>
        </w:rPr>
        <w:t xml:space="preserve"> que presenta observaciones bastante detalladas </w:t>
      </w:r>
      <w:r>
        <w:rPr>
          <w:color w:val="000000" w:themeColor="text1"/>
          <w:lang w:val="es-AR" w:eastAsia="en-GB"/>
        </w:rPr>
        <w:t>sobre</w:t>
      </w:r>
      <w:r w:rsidRPr="00C37513">
        <w:rPr>
          <w:color w:val="000000" w:themeColor="text1"/>
          <w:lang w:val="es-AR" w:eastAsia="en-GB"/>
        </w:rPr>
        <w:t xml:space="preserve"> varios aspectos importantes. Sin embargo, el Subcomité considera que el capítulo sobre las recomendaciones al Estado </w:t>
      </w:r>
      <w:r w:rsidR="007D0B01">
        <w:rPr>
          <w:color w:val="000000" w:themeColor="text1"/>
          <w:lang w:val="es-AR" w:eastAsia="en-GB"/>
        </w:rPr>
        <w:t xml:space="preserve">parte </w:t>
      </w:r>
      <w:r w:rsidRPr="00C37513">
        <w:rPr>
          <w:color w:val="000000" w:themeColor="text1"/>
          <w:lang w:val="es-AR" w:eastAsia="en-GB"/>
        </w:rPr>
        <w:t xml:space="preserve">debería fortalecerse.   </w:t>
      </w:r>
    </w:p>
    <w:p w14:paraId="28E57F8E" w14:textId="77777777" w:rsidR="004C7488" w:rsidRPr="00C37513" w:rsidRDefault="004C7488" w:rsidP="004C7488">
      <w:pPr>
        <w:pStyle w:val="SingleTxtG"/>
        <w:rPr>
          <w:b/>
          <w:color w:val="000000" w:themeColor="text1"/>
          <w:lang w:val="es-AR"/>
        </w:rPr>
      </w:pPr>
      <w:r w:rsidRPr="001E15DC">
        <w:rPr>
          <w:color w:val="000000" w:themeColor="text1"/>
          <w:lang w:val="es-AR"/>
        </w:rPr>
        <w:t>39.</w:t>
      </w:r>
      <w:r>
        <w:rPr>
          <w:b/>
          <w:color w:val="000000" w:themeColor="text1"/>
          <w:lang w:val="es-AR"/>
        </w:rPr>
        <w:tab/>
      </w:r>
      <w:r w:rsidRPr="00C37513">
        <w:rPr>
          <w:b/>
          <w:color w:val="000000" w:themeColor="text1"/>
          <w:lang w:val="es-AR"/>
        </w:rPr>
        <w:t>El Subcomité</w:t>
      </w:r>
      <w:r w:rsidRPr="00C37513">
        <w:rPr>
          <w:color w:val="000000" w:themeColor="text1"/>
          <w:lang w:val="es-AR"/>
        </w:rPr>
        <w:t xml:space="preserve"> </w:t>
      </w:r>
      <w:r w:rsidRPr="00C37513">
        <w:rPr>
          <w:b/>
          <w:bCs/>
          <w:color w:val="000000" w:themeColor="text1"/>
          <w:lang w:val="es-AR"/>
        </w:rPr>
        <w:t>recomienda</w:t>
      </w:r>
      <w:r w:rsidRPr="00C37513">
        <w:rPr>
          <w:color w:val="000000" w:themeColor="text1"/>
          <w:lang w:val="es-AR"/>
        </w:rPr>
        <w:t xml:space="preserve"> </w:t>
      </w:r>
      <w:r w:rsidRPr="00C37513">
        <w:rPr>
          <w:b/>
          <w:bCs/>
          <w:color w:val="000000" w:themeColor="text1"/>
          <w:lang w:val="es-AR"/>
        </w:rPr>
        <w:t>al</w:t>
      </w:r>
      <w:r w:rsidRPr="00C37513">
        <w:rPr>
          <w:color w:val="000000" w:themeColor="text1"/>
          <w:lang w:val="es-AR"/>
        </w:rPr>
        <w:t xml:space="preserve"> </w:t>
      </w:r>
      <w:r w:rsidR="00F76B88">
        <w:rPr>
          <w:b/>
          <w:color w:val="000000" w:themeColor="text1"/>
          <w:lang w:val="es-AR"/>
        </w:rPr>
        <w:t>mecanismo</w:t>
      </w:r>
      <w:r w:rsidRPr="00C37513">
        <w:rPr>
          <w:b/>
          <w:color w:val="000000" w:themeColor="text1"/>
          <w:lang w:val="es-AR"/>
        </w:rPr>
        <w:t xml:space="preserve"> elaborar recomendaciones más específicas sobre todos los aspectos examinados, que sean exhaustivas y mensurables</w:t>
      </w:r>
      <w:r>
        <w:rPr>
          <w:b/>
          <w:color w:val="000000" w:themeColor="text1"/>
          <w:lang w:val="es-AR"/>
        </w:rPr>
        <w:t xml:space="preserve"> con indicadores preestablecidos</w:t>
      </w:r>
      <w:r w:rsidRPr="00C37513">
        <w:rPr>
          <w:b/>
          <w:color w:val="000000" w:themeColor="text1"/>
          <w:lang w:val="es-AR"/>
        </w:rPr>
        <w:t xml:space="preserve">. También, sería oportuno que, basándose en sus hallazgos empíricos, se posicione de manera más contundente y con mayor firmeza </w:t>
      </w:r>
      <w:r w:rsidR="007D0B01">
        <w:rPr>
          <w:b/>
          <w:color w:val="000000" w:themeColor="text1"/>
          <w:lang w:val="es-AR"/>
        </w:rPr>
        <w:t xml:space="preserve">con </w:t>
      </w:r>
      <w:r w:rsidR="007D0B01">
        <w:rPr>
          <w:b/>
          <w:color w:val="000000" w:themeColor="text1"/>
          <w:lang w:val="es-AR"/>
        </w:rPr>
        <w:lastRenderedPageBreak/>
        <w:t xml:space="preserve">respecto a </w:t>
      </w:r>
      <w:r w:rsidRPr="00C37513">
        <w:rPr>
          <w:b/>
          <w:color w:val="000000" w:themeColor="text1"/>
          <w:lang w:val="es-AR"/>
        </w:rPr>
        <w:t xml:space="preserve">los actores estatales a fin de solicitar las correcciones necesarias. El Subcomité recomienda al </w:t>
      </w:r>
      <w:r w:rsidR="00F76B88">
        <w:rPr>
          <w:b/>
          <w:color w:val="000000" w:themeColor="text1"/>
          <w:lang w:val="es-AR"/>
        </w:rPr>
        <w:t>mecanismo</w:t>
      </w:r>
      <w:r w:rsidRPr="00C37513">
        <w:rPr>
          <w:b/>
          <w:color w:val="000000" w:themeColor="text1"/>
          <w:lang w:val="es-AR"/>
        </w:rPr>
        <w:t xml:space="preserve"> que luego de las visitas se presenten las recomendaciones a las </w:t>
      </w:r>
      <w:r w:rsidRPr="00C37513">
        <w:rPr>
          <w:b/>
          <w:lang w:val="es-AR"/>
        </w:rPr>
        <w:t>autoridades</w:t>
      </w:r>
      <w:r w:rsidRPr="00C37513">
        <w:rPr>
          <w:b/>
          <w:color w:val="000000" w:themeColor="text1"/>
          <w:lang w:val="es-AR"/>
        </w:rPr>
        <w:t xml:space="preserve"> relevantes con celeridad y contundencia y que las visitas de seguimiento a las mismas se realicen con prontitud. </w:t>
      </w:r>
    </w:p>
    <w:p w14:paraId="075B2E40" w14:textId="77777777" w:rsidR="004C7488" w:rsidRPr="00C37513" w:rsidRDefault="004C7488" w:rsidP="004C7488">
      <w:pPr>
        <w:pStyle w:val="SingleTxtG"/>
        <w:rPr>
          <w:b/>
          <w:color w:val="000000" w:themeColor="text1"/>
          <w:lang w:val="es-AR" w:eastAsia="en-GB"/>
        </w:rPr>
      </w:pPr>
      <w:r w:rsidRPr="001E15DC">
        <w:rPr>
          <w:color w:val="000000" w:themeColor="text1"/>
          <w:lang w:val="es-AR"/>
        </w:rPr>
        <w:t>40.</w:t>
      </w:r>
      <w:r>
        <w:rPr>
          <w:b/>
          <w:color w:val="000000" w:themeColor="text1"/>
          <w:lang w:val="es-AR"/>
        </w:rPr>
        <w:tab/>
      </w:r>
      <w:r w:rsidRPr="00C37513">
        <w:rPr>
          <w:b/>
          <w:color w:val="000000" w:themeColor="text1"/>
          <w:lang w:val="es-AR"/>
        </w:rPr>
        <w:t xml:space="preserve">El Subcomité también recomienda al mecanismo aumentar las visitas de seguimiento de las recomendaciones formuladas a las autoridades de los establecimientos. A tal fin, de ser posible, junto </w:t>
      </w:r>
      <w:r w:rsidRPr="00C37513">
        <w:rPr>
          <w:b/>
          <w:lang w:val="es-AR"/>
        </w:rPr>
        <w:t>con</w:t>
      </w:r>
      <w:r w:rsidRPr="00C37513">
        <w:rPr>
          <w:b/>
          <w:color w:val="000000" w:themeColor="text1"/>
          <w:lang w:val="es-AR"/>
        </w:rPr>
        <w:t xml:space="preserve"> las autoridades pertinentes, </w:t>
      </w:r>
      <w:r w:rsidR="007D0B01">
        <w:rPr>
          <w:b/>
          <w:color w:val="000000" w:themeColor="text1"/>
          <w:lang w:val="es-AR"/>
        </w:rPr>
        <w:t xml:space="preserve">recomienda </w:t>
      </w:r>
      <w:r w:rsidRPr="00C37513">
        <w:rPr>
          <w:b/>
          <w:color w:val="000000" w:themeColor="text1"/>
          <w:lang w:val="es-AR"/>
        </w:rPr>
        <w:t>establecer un mecanismo de seguimiento efectivo a las recomendaci</w:t>
      </w:r>
      <w:r w:rsidR="001E15DC">
        <w:rPr>
          <w:b/>
          <w:color w:val="000000" w:themeColor="text1"/>
          <w:lang w:val="es-AR"/>
        </w:rPr>
        <w:t>ones que emite</w:t>
      </w:r>
      <w:r w:rsidRPr="00347A3B">
        <w:rPr>
          <w:rStyle w:val="Refdenotaalpie"/>
          <w:color w:val="000000" w:themeColor="text1"/>
          <w:szCs w:val="18"/>
          <w:lang w:val="es-AR"/>
        </w:rPr>
        <w:footnoteReference w:id="7"/>
      </w:r>
      <w:r w:rsidR="001E15DC">
        <w:rPr>
          <w:b/>
          <w:color w:val="000000" w:themeColor="text1"/>
          <w:lang w:val="es-AR"/>
        </w:rPr>
        <w:t>.</w:t>
      </w:r>
    </w:p>
    <w:p w14:paraId="500A018D" w14:textId="77777777" w:rsidR="004C7488" w:rsidRPr="00A85DA4" w:rsidRDefault="004C7488" w:rsidP="00A85DA4">
      <w:pPr>
        <w:pStyle w:val="HChG"/>
      </w:pPr>
      <w:r w:rsidRPr="00A85DA4">
        <w:tab/>
      </w:r>
      <w:r w:rsidR="00A85DA4">
        <w:t>V.</w:t>
      </w:r>
      <w:r w:rsidR="00A85DA4">
        <w:tab/>
      </w:r>
      <w:r w:rsidRPr="00A85DA4">
        <w:t xml:space="preserve">Próximos pasos </w:t>
      </w:r>
    </w:p>
    <w:p w14:paraId="2AEA4FD2" w14:textId="77777777" w:rsidR="004C7488" w:rsidRPr="00363AA0" w:rsidRDefault="004C7488" w:rsidP="00A85DA4">
      <w:pPr>
        <w:pStyle w:val="ParaNoG"/>
        <w:rPr>
          <w:b/>
          <w:lang w:val="es-MX"/>
        </w:rPr>
      </w:pPr>
      <w:r w:rsidRPr="001E15DC">
        <w:rPr>
          <w:lang w:val="es-MX"/>
        </w:rPr>
        <w:t>41.</w:t>
      </w:r>
      <w:r w:rsidRPr="00363AA0">
        <w:rPr>
          <w:b/>
          <w:lang w:val="es-MX"/>
        </w:rPr>
        <w:t xml:space="preserve"> </w:t>
      </w:r>
      <w:r w:rsidRPr="00363AA0">
        <w:rPr>
          <w:b/>
          <w:lang w:val="es-MX"/>
        </w:rPr>
        <w:tab/>
        <w:t xml:space="preserve">El Subcomité solicita una respuesta al presente informe en un plazo de seis meses contados a partir de la fecha de su transmisión al </w:t>
      </w:r>
      <w:r w:rsidR="00F76B88">
        <w:rPr>
          <w:b/>
          <w:lang w:val="es-MX"/>
        </w:rPr>
        <w:t>mecanismo</w:t>
      </w:r>
      <w:r w:rsidRPr="00363AA0">
        <w:rPr>
          <w:b/>
          <w:lang w:val="es-MX"/>
        </w:rPr>
        <w:t xml:space="preserve"> </w:t>
      </w:r>
      <w:r w:rsidR="00304BB6">
        <w:rPr>
          <w:b/>
          <w:lang w:val="es-MX"/>
        </w:rPr>
        <w:t>nacional de prevención</w:t>
      </w:r>
      <w:r w:rsidRPr="00363AA0">
        <w:rPr>
          <w:b/>
          <w:lang w:val="es-MX"/>
        </w:rPr>
        <w:t xml:space="preserve">. En la respuesta se deben atender directamente todas las recomendaciones y solicitudes de información adicional formuladas en el informe y explicar con detalle las medidas que se hayan adoptado o que esté previsto adoptar (indicando los calendarios de ejecución) para poner en práctica las recomendaciones. </w:t>
      </w:r>
    </w:p>
    <w:p w14:paraId="7A04FDB5" w14:textId="77777777" w:rsidR="004C7488" w:rsidRPr="00363AA0" w:rsidRDefault="004C7488" w:rsidP="00A85DA4">
      <w:pPr>
        <w:pStyle w:val="ParaNoG"/>
        <w:rPr>
          <w:b/>
          <w:lang w:val="es-MX"/>
        </w:rPr>
      </w:pPr>
      <w:r w:rsidRPr="001E15DC">
        <w:rPr>
          <w:lang w:val="es-MX"/>
        </w:rPr>
        <w:t>42.</w:t>
      </w:r>
      <w:r w:rsidRPr="00363AA0">
        <w:rPr>
          <w:b/>
          <w:lang w:val="es-MX"/>
        </w:rPr>
        <w:t xml:space="preserve"> </w:t>
      </w:r>
      <w:r w:rsidRPr="00363AA0">
        <w:rPr>
          <w:b/>
          <w:lang w:val="es-MX"/>
        </w:rPr>
        <w:tab/>
        <w:t>El Subcomité considera que tanto su visita como el presente informe forman parte de un proceso de diálogo continuo. Espera ayudar a Costa Rica a cumplir las obligaciones que le incumben en virtud del Protocolo Facultativo mediante la prestación de más asesoramiento y asistencia técnica, a fin de lograr el objetivo común de prevenir la tortura y los malos tratos en los lugares de privación de libertad.</w:t>
      </w:r>
    </w:p>
    <w:p w14:paraId="2C860177" w14:textId="77777777" w:rsidR="004C7488" w:rsidRPr="00363AA0" w:rsidRDefault="004C7488" w:rsidP="00A85DA4">
      <w:pPr>
        <w:pStyle w:val="ParaNoG"/>
        <w:rPr>
          <w:b/>
          <w:lang w:val="es-MX"/>
        </w:rPr>
      </w:pPr>
      <w:r w:rsidRPr="001E15DC">
        <w:rPr>
          <w:lang w:val="es-MX"/>
        </w:rPr>
        <w:t>43.</w:t>
      </w:r>
      <w:r w:rsidRPr="00363AA0">
        <w:rPr>
          <w:b/>
          <w:lang w:val="es-MX"/>
        </w:rPr>
        <w:t xml:space="preserve"> </w:t>
      </w:r>
      <w:r w:rsidRPr="00363AA0">
        <w:rPr>
          <w:b/>
          <w:lang w:val="es-MX"/>
        </w:rPr>
        <w:tab/>
        <w:t>El Subcomité recomienda que, de conformidad con el artículo 12</w:t>
      </w:r>
      <w:r w:rsidR="007D0B01">
        <w:rPr>
          <w:b/>
          <w:lang w:val="es-MX"/>
        </w:rPr>
        <w:t>, apartado</w:t>
      </w:r>
      <w:r w:rsidRPr="00363AA0">
        <w:rPr>
          <w:b/>
          <w:lang w:val="es-MX"/>
        </w:rPr>
        <w:t xml:space="preserve"> d)</w:t>
      </w:r>
      <w:r w:rsidR="007D0B01">
        <w:rPr>
          <w:b/>
          <w:lang w:val="es-MX"/>
        </w:rPr>
        <w:t>,</w:t>
      </w:r>
      <w:r w:rsidRPr="00363AA0">
        <w:rPr>
          <w:b/>
          <w:lang w:val="es-MX"/>
        </w:rPr>
        <w:t xml:space="preserve"> del Protocolo Facultativo, el </w:t>
      </w:r>
      <w:r w:rsidR="00F76B88">
        <w:rPr>
          <w:b/>
          <w:lang w:val="es-MX"/>
        </w:rPr>
        <w:t>mecanismo</w:t>
      </w:r>
      <w:r w:rsidRPr="00363AA0">
        <w:rPr>
          <w:b/>
          <w:lang w:val="es-MX"/>
        </w:rPr>
        <w:t xml:space="preserve"> </w:t>
      </w:r>
      <w:r w:rsidR="00304BB6">
        <w:rPr>
          <w:b/>
          <w:lang w:val="es-MX"/>
        </w:rPr>
        <w:t>nacional de prevención</w:t>
      </w:r>
      <w:r w:rsidRPr="00363AA0">
        <w:rPr>
          <w:b/>
          <w:lang w:val="es-MX"/>
        </w:rPr>
        <w:t xml:space="preserve"> entable un diálogo con el Subcomité acerca de la aplicación de las recomendaciones de este dentro de los seis meses siguientes a la recepción de la respuesta al presente informe por parte del Subcomité. Asimismo, el Subcomité recomienda que el </w:t>
      </w:r>
      <w:r w:rsidR="00F76B88">
        <w:rPr>
          <w:b/>
          <w:lang w:val="es-MX"/>
        </w:rPr>
        <w:t>mecanismo</w:t>
      </w:r>
      <w:r w:rsidRPr="00363AA0">
        <w:rPr>
          <w:b/>
          <w:lang w:val="es-MX"/>
        </w:rPr>
        <w:t xml:space="preserve"> </w:t>
      </w:r>
      <w:r w:rsidR="00304BB6">
        <w:rPr>
          <w:b/>
          <w:lang w:val="es-MX"/>
        </w:rPr>
        <w:t>nacional de prevención</w:t>
      </w:r>
      <w:r w:rsidRPr="00363AA0">
        <w:rPr>
          <w:b/>
          <w:lang w:val="es-MX"/>
        </w:rPr>
        <w:t xml:space="preserve"> inicie conversaciones con el Subcomité sobre las modalidades de ese diálogo en el momento de presentar su respuesta al presente informe</w:t>
      </w:r>
      <w:r w:rsidRPr="00347A3B">
        <w:rPr>
          <w:rStyle w:val="Refdenotaalpie"/>
          <w:color w:val="000000" w:themeColor="text1"/>
          <w:szCs w:val="18"/>
          <w:lang w:val="es-AR"/>
        </w:rPr>
        <w:footnoteReference w:id="8"/>
      </w:r>
      <w:r w:rsidRPr="00363AA0">
        <w:rPr>
          <w:b/>
          <w:lang w:val="es-MX"/>
        </w:rPr>
        <w:t>.</w:t>
      </w:r>
    </w:p>
    <w:p w14:paraId="2BF2FDAF" w14:textId="77777777" w:rsidR="004C7488" w:rsidRDefault="004C7488" w:rsidP="00A85DA4">
      <w:pPr>
        <w:pStyle w:val="ParaNoG"/>
        <w:rPr>
          <w:b/>
          <w:lang w:val="es-MX"/>
        </w:rPr>
      </w:pPr>
      <w:r w:rsidRPr="001E15DC">
        <w:rPr>
          <w:lang w:val="es-MX"/>
        </w:rPr>
        <w:t>44.</w:t>
      </w:r>
      <w:r w:rsidRPr="00363AA0">
        <w:rPr>
          <w:b/>
          <w:lang w:val="es-MX"/>
        </w:rPr>
        <w:t xml:space="preserve"> </w:t>
      </w:r>
      <w:r w:rsidRPr="00363AA0">
        <w:rPr>
          <w:b/>
          <w:lang w:val="es-MX"/>
        </w:rPr>
        <w:tab/>
      </w:r>
      <w:r w:rsidR="007D0B01">
        <w:rPr>
          <w:b/>
          <w:lang w:val="es-MX"/>
        </w:rPr>
        <w:t>Tal c</w:t>
      </w:r>
      <w:r w:rsidRPr="00363AA0">
        <w:rPr>
          <w:b/>
          <w:lang w:val="es-MX"/>
        </w:rPr>
        <w:t xml:space="preserve">omo está dispuesto en el </w:t>
      </w:r>
      <w:r w:rsidR="007D0B01">
        <w:rPr>
          <w:b/>
          <w:lang w:val="es-MX"/>
        </w:rPr>
        <w:t xml:space="preserve">artículo 11, apartado b), incisos </w:t>
      </w:r>
      <w:proofErr w:type="spellStart"/>
      <w:r w:rsidR="007D0B01">
        <w:rPr>
          <w:b/>
          <w:lang w:val="es-MX"/>
        </w:rPr>
        <w:t>ii</w:t>
      </w:r>
      <w:proofErr w:type="spellEnd"/>
      <w:r w:rsidR="007D0B01">
        <w:rPr>
          <w:b/>
          <w:lang w:val="es-MX"/>
        </w:rPr>
        <w:t xml:space="preserve">) y </w:t>
      </w:r>
      <w:proofErr w:type="spellStart"/>
      <w:r w:rsidR="007D0B01">
        <w:rPr>
          <w:b/>
          <w:lang w:val="es-MX"/>
        </w:rPr>
        <w:t>iii</w:t>
      </w:r>
      <w:proofErr w:type="spellEnd"/>
      <w:r w:rsidR="007D0B01">
        <w:rPr>
          <w:b/>
          <w:lang w:val="es-MX"/>
        </w:rPr>
        <w:t>) del Protocolo Facultativo</w:t>
      </w:r>
      <w:r w:rsidRPr="00363AA0">
        <w:rPr>
          <w:b/>
          <w:lang w:val="es-MX"/>
        </w:rPr>
        <w:t xml:space="preserve">, el Subcomité está dispuesto a prestar asistencia técnica y asesoramiento a fin de reforzar la capacidad del </w:t>
      </w:r>
      <w:r w:rsidR="00F76B88">
        <w:rPr>
          <w:b/>
          <w:lang w:val="es-MX"/>
        </w:rPr>
        <w:t>mecanismo</w:t>
      </w:r>
      <w:r w:rsidRPr="00363AA0">
        <w:rPr>
          <w:b/>
          <w:lang w:val="es-MX"/>
        </w:rPr>
        <w:t xml:space="preserve">. </w:t>
      </w:r>
      <w:r w:rsidRPr="00A85DA4">
        <w:rPr>
          <w:b/>
          <w:lang w:val="es-MX"/>
        </w:rPr>
        <w:t xml:space="preserve">Asimismo, el Subcomité alienta al </w:t>
      </w:r>
      <w:r w:rsidR="00F76B88">
        <w:rPr>
          <w:b/>
          <w:lang w:val="es-MX"/>
        </w:rPr>
        <w:t>mecanismo</w:t>
      </w:r>
      <w:r w:rsidRPr="00A85DA4">
        <w:rPr>
          <w:b/>
          <w:lang w:val="es-MX"/>
        </w:rPr>
        <w:t xml:space="preserve"> a que siga la buena práctica de remitir sus informes anuales al Subcomité y reafirma su voluntad de contribuir a la consecución del objetivo común de prevenir la tortura y los malos tratos y velar por que los compromisos se traduzcan en acciones concretas.</w:t>
      </w:r>
    </w:p>
    <w:p w14:paraId="23FAF90B" w14:textId="77777777" w:rsidR="00D123D1" w:rsidRDefault="00A85DA4" w:rsidP="00347A3B">
      <w:pPr>
        <w:pStyle w:val="HMG"/>
      </w:pPr>
      <w:r>
        <w:rPr>
          <w:rFonts w:eastAsia="Arial Unicode MS"/>
          <w:u w:color="000000"/>
          <w:bdr w:val="nil"/>
          <w:lang w:val="es-AR"/>
        </w:rPr>
        <w:tab/>
      </w:r>
      <w:r>
        <w:rPr>
          <w:rFonts w:eastAsia="Arial Unicode MS"/>
          <w:u w:color="000000"/>
          <w:bdr w:val="nil"/>
          <w:lang w:val="es-AR"/>
        </w:rPr>
        <w:tab/>
      </w:r>
      <w:r w:rsidR="00D123D1">
        <w:tab/>
      </w:r>
      <w:r w:rsidR="00D123D1">
        <w:br w:type="page"/>
      </w:r>
    </w:p>
    <w:p w14:paraId="6E30E5FF" w14:textId="77777777" w:rsidR="00D123D1" w:rsidRPr="00CD710E" w:rsidRDefault="00D123D1" w:rsidP="00D123D1">
      <w:pPr>
        <w:pStyle w:val="HMG"/>
      </w:pPr>
      <w:r w:rsidRPr="00CD710E">
        <w:lastRenderedPageBreak/>
        <w:t>Anexo I</w:t>
      </w:r>
    </w:p>
    <w:p w14:paraId="64F46105" w14:textId="77777777" w:rsidR="00D123D1" w:rsidRPr="00347A3B" w:rsidRDefault="00D123D1" w:rsidP="00D123D1">
      <w:pPr>
        <w:spacing w:after="120"/>
        <w:ind w:left="1134" w:right="1134"/>
        <w:jc w:val="right"/>
        <w:rPr>
          <w:i/>
          <w:iCs/>
        </w:rPr>
      </w:pPr>
      <w:r w:rsidRPr="00CD710E">
        <w:tab/>
      </w:r>
      <w:r w:rsidRPr="00347A3B">
        <w:rPr>
          <w:i/>
          <w:iCs/>
        </w:rPr>
        <w:t>[</w:t>
      </w:r>
      <w:proofErr w:type="gramStart"/>
      <w:r w:rsidRPr="00347A3B">
        <w:rPr>
          <w:i/>
          <w:iCs/>
        </w:rPr>
        <w:t>Español</w:t>
      </w:r>
      <w:proofErr w:type="gramEnd"/>
      <w:r w:rsidRPr="00347A3B">
        <w:rPr>
          <w:i/>
          <w:iCs/>
        </w:rPr>
        <w:t xml:space="preserve"> solamente]</w:t>
      </w:r>
    </w:p>
    <w:p w14:paraId="0E3AE08D" w14:textId="77777777" w:rsidR="00D123D1" w:rsidRPr="00DA7BEC" w:rsidRDefault="00D123D1" w:rsidP="00D123D1">
      <w:pPr>
        <w:pStyle w:val="HChG"/>
      </w:pPr>
      <w:r w:rsidRPr="00DA7BEC">
        <w:tab/>
      </w:r>
      <w:r w:rsidRPr="00DA7BEC">
        <w:tab/>
        <w:t>Lista de personas con quienes se reunió el Subcomité</w:t>
      </w:r>
    </w:p>
    <w:p w14:paraId="03C52BA3" w14:textId="77777777" w:rsidR="00D123D1" w:rsidRPr="00E0644D" w:rsidRDefault="00D123D1" w:rsidP="00D123D1">
      <w:pPr>
        <w:pStyle w:val="H1G"/>
      </w:pPr>
      <w:r w:rsidRPr="00CD710E">
        <w:tab/>
      </w:r>
      <w:r w:rsidRPr="00E0644D">
        <w:t>A.</w:t>
      </w:r>
      <w:r w:rsidRPr="00E0644D">
        <w:tab/>
        <w:t>Autoridades nacionales</w:t>
      </w:r>
    </w:p>
    <w:p w14:paraId="3E27B859" w14:textId="77777777" w:rsidR="00D123D1" w:rsidRPr="00CD710E" w:rsidRDefault="00D123D1" w:rsidP="00D123D1">
      <w:pPr>
        <w:pStyle w:val="H23G"/>
      </w:pPr>
      <w:r w:rsidRPr="00CD710E">
        <w:tab/>
      </w:r>
      <w:r w:rsidRPr="00CD710E">
        <w:tab/>
        <w:t>Ministerio de Justicia y Paz</w:t>
      </w:r>
    </w:p>
    <w:p w14:paraId="14D807A6" w14:textId="77777777" w:rsidR="00D123D1" w:rsidRPr="00CD710E" w:rsidRDefault="00D123D1" w:rsidP="00D123D1">
      <w:pPr>
        <w:spacing w:after="120"/>
        <w:ind w:left="1134" w:right="1134"/>
        <w:jc w:val="both"/>
        <w:rPr>
          <w:lang w:val="pt-PT"/>
        </w:rPr>
      </w:pPr>
      <w:r w:rsidRPr="00CD710E">
        <w:rPr>
          <w:lang w:val="pt-PT"/>
        </w:rPr>
        <w:t>Sra. Marcia González, Ministra</w:t>
      </w:r>
    </w:p>
    <w:p w14:paraId="3EAA3290" w14:textId="77777777" w:rsidR="00D123D1" w:rsidRPr="00CD710E" w:rsidRDefault="00D123D1" w:rsidP="00D123D1">
      <w:pPr>
        <w:spacing w:after="120"/>
        <w:ind w:left="1134" w:right="1134"/>
        <w:jc w:val="both"/>
        <w:rPr>
          <w:lang w:val="pt-PT"/>
        </w:rPr>
      </w:pPr>
      <w:r w:rsidRPr="00CD710E">
        <w:rPr>
          <w:lang w:val="pt-PT"/>
        </w:rPr>
        <w:t>Sr. Fabián Solano Fern</w:t>
      </w:r>
      <w:r>
        <w:rPr>
          <w:lang w:val="pt-PT"/>
        </w:rPr>
        <w:t>á</w:t>
      </w:r>
      <w:r w:rsidRPr="00CD710E">
        <w:rPr>
          <w:lang w:val="pt-PT"/>
        </w:rPr>
        <w:t>ndez</w:t>
      </w:r>
    </w:p>
    <w:p w14:paraId="22628E30" w14:textId="77777777" w:rsidR="00D123D1" w:rsidRPr="00CD710E" w:rsidRDefault="00D123D1" w:rsidP="00D123D1">
      <w:pPr>
        <w:spacing w:after="120"/>
        <w:ind w:left="1134" w:right="1134"/>
        <w:jc w:val="both"/>
        <w:rPr>
          <w:lang w:val="pt-PT"/>
        </w:rPr>
      </w:pPr>
      <w:r w:rsidRPr="00CD710E">
        <w:rPr>
          <w:lang w:val="pt-PT"/>
        </w:rPr>
        <w:t xml:space="preserve">Sr. Christopher Camacho </w:t>
      </w:r>
    </w:p>
    <w:p w14:paraId="39F5930A" w14:textId="77777777" w:rsidR="00D123D1" w:rsidRPr="00CD710E" w:rsidRDefault="00D123D1" w:rsidP="00D123D1">
      <w:pPr>
        <w:spacing w:after="120"/>
        <w:ind w:left="1134" w:right="1134"/>
        <w:jc w:val="both"/>
        <w:rPr>
          <w:bCs/>
          <w:szCs w:val="24"/>
          <w:lang w:val="pt-PT"/>
        </w:rPr>
      </w:pPr>
      <w:r w:rsidRPr="00CD710E">
        <w:rPr>
          <w:bCs/>
          <w:szCs w:val="24"/>
          <w:lang w:val="pt-PT"/>
        </w:rPr>
        <w:t>Sr. José Luis Bermúdez Obando</w:t>
      </w:r>
    </w:p>
    <w:p w14:paraId="1D16CB0A" w14:textId="77777777" w:rsidR="00D123D1" w:rsidRPr="00CD710E" w:rsidRDefault="00D123D1" w:rsidP="00D123D1">
      <w:pPr>
        <w:spacing w:after="120"/>
        <w:ind w:left="1134" w:right="1134"/>
        <w:jc w:val="both"/>
        <w:rPr>
          <w:lang w:val="pt-PT"/>
        </w:rPr>
      </w:pPr>
      <w:r w:rsidRPr="00CD710E">
        <w:rPr>
          <w:lang w:val="pt-PT"/>
        </w:rPr>
        <w:t>Sr. Kenny Gozo Sánchez</w:t>
      </w:r>
    </w:p>
    <w:p w14:paraId="0E780166" w14:textId="77777777" w:rsidR="00D123D1" w:rsidRPr="00CD710E" w:rsidRDefault="00D123D1" w:rsidP="00D123D1">
      <w:pPr>
        <w:spacing w:after="120"/>
        <w:ind w:left="1134" w:right="1134"/>
        <w:jc w:val="both"/>
        <w:rPr>
          <w:lang w:val="pt-PT"/>
        </w:rPr>
      </w:pPr>
      <w:r w:rsidRPr="00CD710E">
        <w:rPr>
          <w:lang w:val="pt-PT"/>
        </w:rPr>
        <w:t>Sra. Soledad Bonilla</w:t>
      </w:r>
    </w:p>
    <w:p w14:paraId="2CDA5376" w14:textId="77777777" w:rsidR="00D123D1" w:rsidRPr="00CD710E" w:rsidRDefault="00D123D1" w:rsidP="00D123D1">
      <w:pPr>
        <w:spacing w:after="120"/>
        <w:ind w:left="1134" w:right="1134"/>
        <w:jc w:val="both"/>
        <w:rPr>
          <w:lang w:val="pt-PT"/>
        </w:rPr>
      </w:pPr>
      <w:r w:rsidRPr="00CD710E">
        <w:rPr>
          <w:lang w:val="pt-PT"/>
        </w:rPr>
        <w:t>Sr. Rubén Camacho Piedra</w:t>
      </w:r>
    </w:p>
    <w:p w14:paraId="4EC0B28E" w14:textId="77777777" w:rsidR="00D123D1" w:rsidRPr="00CD710E" w:rsidRDefault="00D123D1" w:rsidP="00D123D1">
      <w:pPr>
        <w:spacing w:after="120"/>
        <w:ind w:left="1134" w:right="1134"/>
        <w:jc w:val="both"/>
        <w:rPr>
          <w:lang w:val="pt-PT"/>
        </w:rPr>
      </w:pPr>
      <w:r w:rsidRPr="00CD710E">
        <w:rPr>
          <w:lang w:val="pt-PT"/>
        </w:rPr>
        <w:t xml:space="preserve">Sr. Pablo Bertoizi </w:t>
      </w:r>
    </w:p>
    <w:p w14:paraId="518EBF83" w14:textId="77777777" w:rsidR="00D123D1" w:rsidRPr="00CD710E" w:rsidRDefault="00D123D1" w:rsidP="00D123D1">
      <w:pPr>
        <w:spacing w:after="120"/>
        <w:ind w:left="1134" w:right="1134"/>
        <w:jc w:val="both"/>
      </w:pPr>
      <w:r w:rsidRPr="00CD710E">
        <w:t>Sr. Jeff Rodríguez Alvarado</w:t>
      </w:r>
    </w:p>
    <w:p w14:paraId="6C55DAD4" w14:textId="77777777" w:rsidR="00D123D1" w:rsidRPr="00CD710E" w:rsidRDefault="00D123D1" w:rsidP="00D123D1">
      <w:pPr>
        <w:pStyle w:val="H23G"/>
      </w:pPr>
      <w:r w:rsidRPr="00CD710E">
        <w:tab/>
      </w:r>
      <w:r w:rsidRPr="00CD710E">
        <w:tab/>
        <w:t>Ministerio de Seguridad Pública</w:t>
      </w:r>
    </w:p>
    <w:p w14:paraId="34B8F9D7" w14:textId="77777777" w:rsidR="00D123D1" w:rsidRPr="00CD710E" w:rsidRDefault="00D123D1" w:rsidP="00D123D1">
      <w:pPr>
        <w:spacing w:after="120"/>
        <w:ind w:left="1134" w:right="1134"/>
        <w:jc w:val="both"/>
      </w:pPr>
      <w:r w:rsidRPr="00CD710E">
        <w:t xml:space="preserve">Sr. Eduardo A. Solano, </w:t>
      </w:r>
      <w:proofErr w:type="gramStart"/>
      <w:r>
        <w:t>V</w:t>
      </w:r>
      <w:r w:rsidRPr="00CD710E">
        <w:t>iceministro</w:t>
      </w:r>
      <w:proofErr w:type="gramEnd"/>
    </w:p>
    <w:p w14:paraId="37558CA4" w14:textId="77777777" w:rsidR="00D123D1" w:rsidRPr="00DA7BEC" w:rsidRDefault="00D123D1" w:rsidP="00D123D1">
      <w:pPr>
        <w:pStyle w:val="H23G"/>
      </w:pPr>
      <w:r w:rsidRPr="00DA7BEC">
        <w:tab/>
      </w:r>
      <w:r w:rsidRPr="00DA7BEC">
        <w:tab/>
        <w:t>Dirección General de Migración y Extranjería</w:t>
      </w:r>
    </w:p>
    <w:p w14:paraId="680139C1" w14:textId="77777777" w:rsidR="00D123D1" w:rsidRPr="00CD710E" w:rsidRDefault="00D123D1" w:rsidP="00D123D1">
      <w:pPr>
        <w:spacing w:after="120"/>
        <w:ind w:left="1134" w:right="1134"/>
        <w:jc w:val="both"/>
      </w:pPr>
      <w:r w:rsidRPr="00CD710E">
        <w:t xml:space="preserve">Sr. </w:t>
      </w:r>
      <w:proofErr w:type="spellStart"/>
      <w:r w:rsidRPr="00CD710E">
        <w:t>Jhonny</w:t>
      </w:r>
      <w:proofErr w:type="spellEnd"/>
      <w:r w:rsidRPr="00CD710E">
        <w:t xml:space="preserve"> Martin Artavia, Jefe de Asesor</w:t>
      </w:r>
      <w:r>
        <w:t>í</w:t>
      </w:r>
      <w:r w:rsidRPr="00CD710E">
        <w:t>a Jur</w:t>
      </w:r>
      <w:r>
        <w:t>í</w:t>
      </w:r>
      <w:r w:rsidRPr="00CD710E">
        <w:t xml:space="preserve">dica </w:t>
      </w:r>
    </w:p>
    <w:p w14:paraId="12119A93" w14:textId="77777777" w:rsidR="00D123D1" w:rsidRPr="00DA7BEC" w:rsidRDefault="00D123D1" w:rsidP="00D123D1">
      <w:pPr>
        <w:pStyle w:val="H23G"/>
      </w:pPr>
      <w:r w:rsidRPr="00DA7BEC">
        <w:tab/>
      </w:r>
      <w:r w:rsidRPr="00DA7BEC">
        <w:tab/>
        <w:t xml:space="preserve">Poder </w:t>
      </w:r>
      <w:r>
        <w:t>J</w:t>
      </w:r>
      <w:r w:rsidRPr="00DA7BEC">
        <w:t>udicial</w:t>
      </w:r>
    </w:p>
    <w:p w14:paraId="4863BDBD" w14:textId="77777777" w:rsidR="00D123D1" w:rsidRPr="00CD710E" w:rsidRDefault="00D123D1" w:rsidP="00D123D1">
      <w:pPr>
        <w:spacing w:after="120"/>
        <w:ind w:left="1134" w:right="1134"/>
        <w:jc w:val="both"/>
      </w:pPr>
      <w:r w:rsidRPr="00CD710E">
        <w:t xml:space="preserve">Sra. Nancy Hernández López, </w:t>
      </w:r>
      <w:r>
        <w:t>m</w:t>
      </w:r>
      <w:r w:rsidRPr="00CD710E">
        <w:t>agistrada de la Sala Constitucional de la Corte Suprema de Justicia</w:t>
      </w:r>
    </w:p>
    <w:p w14:paraId="3572C850" w14:textId="77777777" w:rsidR="00D123D1" w:rsidRPr="00CD710E" w:rsidRDefault="00D123D1" w:rsidP="00D123D1">
      <w:pPr>
        <w:spacing w:after="120"/>
        <w:ind w:left="1134" w:right="1134"/>
        <w:jc w:val="both"/>
      </w:pPr>
      <w:r w:rsidRPr="00CD710E">
        <w:t xml:space="preserve">Sra. </w:t>
      </w:r>
      <w:proofErr w:type="spellStart"/>
      <w:r w:rsidRPr="00CD710E">
        <w:t>Odilie</w:t>
      </w:r>
      <w:proofErr w:type="spellEnd"/>
      <w:r w:rsidRPr="00CD710E">
        <w:t xml:space="preserve"> Robles Escobar, juez</w:t>
      </w:r>
      <w:r>
        <w:t>a</w:t>
      </w:r>
      <w:r w:rsidRPr="00CD710E">
        <w:t xml:space="preserve"> de ejecución de la pena de Alajuela</w:t>
      </w:r>
    </w:p>
    <w:p w14:paraId="0F7B77F0" w14:textId="77777777" w:rsidR="00D123D1" w:rsidRPr="00CD710E" w:rsidRDefault="00D123D1" w:rsidP="00D123D1">
      <w:pPr>
        <w:spacing w:after="120"/>
        <w:ind w:left="1134" w:right="1134"/>
        <w:jc w:val="both"/>
      </w:pPr>
      <w:r w:rsidRPr="00CD710E">
        <w:t>Sr. Mario Rodríguez, juez de ejecución de la pena de Alajuela</w:t>
      </w:r>
    </w:p>
    <w:p w14:paraId="0EB4E19F" w14:textId="77777777" w:rsidR="00D123D1" w:rsidRPr="00CD710E" w:rsidRDefault="00D123D1" w:rsidP="00D123D1">
      <w:pPr>
        <w:spacing w:after="120"/>
        <w:ind w:left="1134" w:right="1134"/>
        <w:jc w:val="both"/>
      </w:pPr>
      <w:r w:rsidRPr="00CD710E">
        <w:t>Sr. José Román Matamoros, juez de ejecución de la pena de San José</w:t>
      </w:r>
    </w:p>
    <w:p w14:paraId="4C40436A" w14:textId="77777777" w:rsidR="00D123D1" w:rsidRPr="00CD710E" w:rsidRDefault="00D123D1" w:rsidP="00D123D1">
      <w:pPr>
        <w:spacing w:after="120"/>
        <w:ind w:left="1134" w:right="1134"/>
        <w:jc w:val="both"/>
      </w:pPr>
      <w:r w:rsidRPr="00CD710E">
        <w:t>Sr. Roy Murillo, juez de ejecución de la pena</w:t>
      </w:r>
    </w:p>
    <w:p w14:paraId="58670B41" w14:textId="77777777" w:rsidR="00D123D1" w:rsidRPr="00CD710E" w:rsidRDefault="00D123D1" w:rsidP="00D123D1">
      <w:pPr>
        <w:spacing w:after="120"/>
        <w:ind w:left="1134" w:right="1134"/>
        <w:jc w:val="both"/>
      </w:pPr>
      <w:r w:rsidRPr="00CD710E">
        <w:t>Sr. Armando Castillo Fallas, Secretar</w:t>
      </w:r>
      <w:r>
        <w:t>í</w:t>
      </w:r>
      <w:r w:rsidRPr="00CD710E">
        <w:t xml:space="preserve">a General </w:t>
      </w:r>
      <w:r>
        <w:t>del Organismo de Investigación Judicial</w:t>
      </w:r>
    </w:p>
    <w:p w14:paraId="04279CFA" w14:textId="77777777" w:rsidR="00D123D1" w:rsidRPr="00CD710E" w:rsidRDefault="00D123D1" w:rsidP="00D123D1">
      <w:pPr>
        <w:spacing w:after="120"/>
        <w:ind w:left="1134" w:right="1134"/>
        <w:jc w:val="both"/>
      </w:pPr>
      <w:r w:rsidRPr="00CD710E">
        <w:t xml:space="preserve">Sr. Javier Ulate Carrillo, sección de cárceles del </w:t>
      </w:r>
      <w:r>
        <w:t>Organismo de Investigación Judicial</w:t>
      </w:r>
    </w:p>
    <w:p w14:paraId="7EBDC68F" w14:textId="77777777" w:rsidR="00D123D1" w:rsidRPr="00CD710E" w:rsidRDefault="00D123D1" w:rsidP="00D123D1">
      <w:pPr>
        <w:spacing w:after="120"/>
        <w:ind w:left="1134" w:right="1134"/>
        <w:jc w:val="both"/>
        <w:rPr>
          <w:lang w:val="pt-PT"/>
        </w:rPr>
      </w:pPr>
      <w:r w:rsidRPr="00CD710E">
        <w:rPr>
          <w:lang w:val="pt-PT"/>
        </w:rPr>
        <w:t>Sr. José Pablo Esquivel Segura</w:t>
      </w:r>
    </w:p>
    <w:p w14:paraId="51774E70" w14:textId="77777777" w:rsidR="00D123D1" w:rsidRPr="00CD710E" w:rsidRDefault="00D123D1" w:rsidP="00D123D1">
      <w:pPr>
        <w:spacing w:after="120"/>
        <w:ind w:left="1134" w:right="1134"/>
        <w:jc w:val="both"/>
        <w:rPr>
          <w:lang w:val="pt-PT"/>
        </w:rPr>
      </w:pPr>
      <w:r w:rsidRPr="00CD710E">
        <w:rPr>
          <w:lang w:val="pt-PT"/>
        </w:rPr>
        <w:t>Sr. Alexis Mora Cambronero</w:t>
      </w:r>
    </w:p>
    <w:p w14:paraId="69090D81" w14:textId="77777777" w:rsidR="00D123D1" w:rsidRPr="00CD710E" w:rsidRDefault="00D123D1" w:rsidP="00D123D1">
      <w:pPr>
        <w:spacing w:after="120"/>
        <w:ind w:left="1134" w:right="1134"/>
        <w:jc w:val="both"/>
        <w:rPr>
          <w:lang w:val="pt-PT"/>
        </w:rPr>
      </w:pPr>
      <w:r w:rsidRPr="00CD710E">
        <w:rPr>
          <w:lang w:val="pt-PT"/>
        </w:rPr>
        <w:t>Sra. Natalie Fonseca</w:t>
      </w:r>
    </w:p>
    <w:p w14:paraId="1B580082" w14:textId="77777777" w:rsidR="00D123D1" w:rsidRPr="00CD710E" w:rsidRDefault="00D123D1" w:rsidP="00D123D1">
      <w:pPr>
        <w:spacing w:after="120"/>
        <w:ind w:left="1134" w:right="1134"/>
        <w:jc w:val="both"/>
        <w:rPr>
          <w:lang w:val="pt-PT"/>
        </w:rPr>
      </w:pPr>
      <w:r w:rsidRPr="00CD710E">
        <w:rPr>
          <w:lang w:val="pt-PT"/>
        </w:rPr>
        <w:t>Sra. Karla Gamboa Somarribas</w:t>
      </w:r>
    </w:p>
    <w:p w14:paraId="1A182B42" w14:textId="77777777" w:rsidR="00D123D1" w:rsidRPr="00E560D3" w:rsidRDefault="00D123D1" w:rsidP="00D123D1">
      <w:pPr>
        <w:pStyle w:val="H23G"/>
        <w:rPr>
          <w:lang w:val="pt-PT"/>
        </w:rPr>
      </w:pPr>
      <w:r w:rsidRPr="00E560D3">
        <w:rPr>
          <w:lang w:val="pt-PT"/>
        </w:rPr>
        <w:tab/>
      </w:r>
      <w:r w:rsidRPr="00E560D3">
        <w:rPr>
          <w:lang w:val="pt-PT"/>
        </w:rPr>
        <w:tab/>
        <w:t>Ministerio Público</w:t>
      </w:r>
    </w:p>
    <w:p w14:paraId="2C404703" w14:textId="77777777" w:rsidR="00D123D1" w:rsidRPr="00CD710E" w:rsidRDefault="00D123D1" w:rsidP="00D123D1">
      <w:pPr>
        <w:spacing w:after="120"/>
        <w:ind w:left="1134" w:right="1134"/>
        <w:jc w:val="both"/>
        <w:rPr>
          <w:lang w:val="pt-PT"/>
        </w:rPr>
      </w:pPr>
      <w:r w:rsidRPr="00CD710E">
        <w:rPr>
          <w:lang w:val="pt-PT"/>
        </w:rPr>
        <w:t>Sra. Laura Monge, Ministerio Público</w:t>
      </w:r>
    </w:p>
    <w:p w14:paraId="38F1153B" w14:textId="77777777" w:rsidR="00D123D1" w:rsidRPr="00CD710E" w:rsidRDefault="00D123D1" w:rsidP="00D123D1">
      <w:pPr>
        <w:spacing w:after="120"/>
        <w:ind w:left="1134" w:right="1134"/>
        <w:jc w:val="both"/>
      </w:pPr>
      <w:r w:rsidRPr="00CD710E">
        <w:t>Sr. Carlo Díaz Sánchez, Fiscalía Adjunta de la Pena</w:t>
      </w:r>
    </w:p>
    <w:p w14:paraId="13C85BCB" w14:textId="77777777" w:rsidR="00D123D1" w:rsidRPr="00CD710E" w:rsidRDefault="00D123D1" w:rsidP="00D123D1">
      <w:pPr>
        <w:spacing w:after="120"/>
        <w:ind w:left="1134" w:right="1134"/>
        <w:jc w:val="both"/>
      </w:pPr>
      <w:r w:rsidRPr="00CD710E">
        <w:t xml:space="preserve">Sra. Carlos E. Montenegro, Fiscalía Ejecución </w:t>
      </w:r>
      <w:r>
        <w:t xml:space="preserve">de la </w:t>
      </w:r>
      <w:r w:rsidRPr="00CD710E">
        <w:t>Pena</w:t>
      </w:r>
    </w:p>
    <w:p w14:paraId="087628AE" w14:textId="77777777" w:rsidR="00D123D1" w:rsidRPr="00CD710E" w:rsidRDefault="00D123D1" w:rsidP="00D123D1">
      <w:pPr>
        <w:spacing w:after="120"/>
        <w:ind w:left="1134" w:right="1134"/>
        <w:jc w:val="both"/>
      </w:pPr>
      <w:r w:rsidRPr="00CD710E">
        <w:t>Sr. José Pablo Miranda Hurtado, Fiscal General</w:t>
      </w:r>
    </w:p>
    <w:p w14:paraId="38035BF3" w14:textId="77777777" w:rsidR="00D123D1" w:rsidRPr="00CD710E" w:rsidRDefault="00D123D1" w:rsidP="00D123D1">
      <w:pPr>
        <w:spacing w:after="120"/>
        <w:ind w:left="1134" w:right="1134"/>
        <w:jc w:val="both"/>
      </w:pPr>
      <w:r w:rsidRPr="00CD710E">
        <w:lastRenderedPageBreak/>
        <w:t>Sra. Emilia Navas Aparicio, Fiscalía General</w:t>
      </w:r>
    </w:p>
    <w:p w14:paraId="73EB50B7" w14:textId="77777777" w:rsidR="00D123D1" w:rsidRPr="00CD710E" w:rsidRDefault="00D123D1" w:rsidP="00D123D1">
      <w:pPr>
        <w:spacing w:after="120"/>
        <w:ind w:left="1134" w:right="1134"/>
        <w:jc w:val="both"/>
      </w:pPr>
      <w:r w:rsidRPr="00CD710E">
        <w:t>Sra. Mayra Campos, Fiscalía Adjunta</w:t>
      </w:r>
    </w:p>
    <w:p w14:paraId="25847BB6" w14:textId="77777777" w:rsidR="00D123D1" w:rsidRPr="00DA7BEC" w:rsidRDefault="00D123D1" w:rsidP="00D123D1">
      <w:pPr>
        <w:pStyle w:val="H23G"/>
      </w:pPr>
      <w:r w:rsidRPr="00DA7BEC">
        <w:tab/>
      </w:r>
      <w:r w:rsidRPr="00DA7BEC">
        <w:tab/>
        <w:t>Defensa Pública</w:t>
      </w:r>
    </w:p>
    <w:p w14:paraId="668AB913" w14:textId="77777777" w:rsidR="00D123D1" w:rsidRPr="00CD710E" w:rsidRDefault="00D123D1" w:rsidP="00D123D1">
      <w:pPr>
        <w:keepNext/>
        <w:keepLines/>
        <w:tabs>
          <w:tab w:val="right" w:pos="851"/>
        </w:tabs>
        <w:suppressAutoHyphens/>
        <w:spacing w:before="240" w:after="120" w:line="240" w:lineRule="exact"/>
        <w:ind w:left="1134" w:right="1134" w:hanging="1134"/>
      </w:pPr>
      <w:r w:rsidRPr="00CD710E">
        <w:rPr>
          <w:i/>
        </w:rPr>
        <w:tab/>
      </w:r>
      <w:r w:rsidRPr="00CD710E">
        <w:tab/>
        <w:t xml:space="preserve">Sra. Diana Montero, </w:t>
      </w:r>
      <w:proofErr w:type="gramStart"/>
      <w:r w:rsidRPr="00CD710E">
        <w:t>Directora</w:t>
      </w:r>
      <w:proofErr w:type="gramEnd"/>
      <w:r w:rsidRPr="00CD710E">
        <w:t xml:space="preserve"> de la Defensa Pública</w:t>
      </w:r>
    </w:p>
    <w:p w14:paraId="72EB0470" w14:textId="77777777" w:rsidR="00D123D1" w:rsidRPr="00CD710E" w:rsidRDefault="00D123D1" w:rsidP="00D123D1">
      <w:pPr>
        <w:spacing w:after="120"/>
        <w:ind w:left="1134" w:right="1134"/>
        <w:jc w:val="both"/>
      </w:pPr>
      <w:r w:rsidRPr="00CD710E">
        <w:t>Sr. Erik Núñez</w:t>
      </w:r>
    </w:p>
    <w:p w14:paraId="3D16242A" w14:textId="77777777" w:rsidR="00D123D1" w:rsidRPr="00CD710E" w:rsidRDefault="00D123D1" w:rsidP="00D123D1">
      <w:pPr>
        <w:spacing w:after="120"/>
        <w:ind w:left="1134" w:right="1134"/>
        <w:jc w:val="both"/>
      </w:pPr>
      <w:r w:rsidRPr="00CD710E">
        <w:t xml:space="preserve">Sra. Laura Arias Guillen, </w:t>
      </w:r>
      <w:r>
        <w:t>u</w:t>
      </w:r>
      <w:r w:rsidRPr="00CD710E">
        <w:t>nidad de ejecución de la pena</w:t>
      </w:r>
    </w:p>
    <w:p w14:paraId="15763341" w14:textId="77777777" w:rsidR="00D123D1" w:rsidRPr="00CD710E" w:rsidRDefault="00D123D1" w:rsidP="00D123D1">
      <w:pPr>
        <w:spacing w:after="120"/>
        <w:ind w:left="1134" w:right="1134"/>
        <w:jc w:val="both"/>
        <w:rPr>
          <w:lang w:val="pt-PT"/>
        </w:rPr>
      </w:pPr>
      <w:r w:rsidRPr="00CD710E">
        <w:rPr>
          <w:lang w:val="pt-PT"/>
        </w:rPr>
        <w:t>Sr. Abraham Sequeira Morales</w:t>
      </w:r>
    </w:p>
    <w:p w14:paraId="72990FD7" w14:textId="77777777" w:rsidR="00D123D1" w:rsidRPr="00CD710E" w:rsidRDefault="00D123D1" w:rsidP="00D123D1">
      <w:pPr>
        <w:spacing w:after="120"/>
        <w:ind w:left="1134" w:right="1134"/>
        <w:jc w:val="both"/>
        <w:rPr>
          <w:lang w:val="pt-PT"/>
        </w:rPr>
      </w:pPr>
      <w:r w:rsidRPr="00CD710E">
        <w:rPr>
          <w:lang w:val="pt-PT"/>
        </w:rPr>
        <w:t>Sr. Héctor Sánchez Ureña</w:t>
      </w:r>
    </w:p>
    <w:p w14:paraId="75019307" w14:textId="77777777" w:rsidR="00D123D1" w:rsidRPr="00CD710E" w:rsidRDefault="00D123D1" w:rsidP="00D123D1">
      <w:pPr>
        <w:spacing w:after="120"/>
        <w:ind w:left="1134" w:right="1134"/>
        <w:jc w:val="both"/>
      </w:pPr>
      <w:r w:rsidRPr="00CD710E">
        <w:t xml:space="preserve">Sr. Alejandro Montero Acuña </w:t>
      </w:r>
    </w:p>
    <w:p w14:paraId="58727159" w14:textId="77777777" w:rsidR="00D123D1" w:rsidRPr="00DA7BEC" w:rsidRDefault="00D123D1" w:rsidP="00D123D1">
      <w:pPr>
        <w:pStyle w:val="H23G"/>
      </w:pPr>
      <w:r w:rsidRPr="00DA7BEC">
        <w:tab/>
      </w:r>
      <w:r w:rsidRPr="00DA7BEC">
        <w:tab/>
        <w:t>Defensoría de los Habitantes</w:t>
      </w:r>
    </w:p>
    <w:p w14:paraId="39733C46" w14:textId="77777777" w:rsidR="00D123D1" w:rsidRPr="00CD710E" w:rsidRDefault="00D123D1" w:rsidP="00D123D1">
      <w:pPr>
        <w:spacing w:after="120"/>
        <w:ind w:left="1134" w:right="1134"/>
        <w:jc w:val="both"/>
      </w:pPr>
      <w:r w:rsidRPr="00CD710E">
        <w:t>Sra. Catalina Crespo, Defensora de los Habitantes</w:t>
      </w:r>
    </w:p>
    <w:p w14:paraId="14DC1436" w14:textId="77777777" w:rsidR="00D123D1" w:rsidRPr="00CD710E" w:rsidRDefault="00D123D1" w:rsidP="00D123D1">
      <w:pPr>
        <w:spacing w:after="120"/>
        <w:ind w:left="1134" w:right="1134"/>
        <w:jc w:val="both"/>
      </w:pPr>
      <w:r w:rsidRPr="00CD710E">
        <w:t>Sra. Laura Arguedas Mejía, Asuntos internacionales</w:t>
      </w:r>
    </w:p>
    <w:p w14:paraId="5A0019BB" w14:textId="77777777" w:rsidR="00D123D1" w:rsidRPr="00CD710E" w:rsidRDefault="00D123D1" w:rsidP="00D123D1">
      <w:pPr>
        <w:spacing w:after="120"/>
        <w:ind w:left="1134" w:right="1134"/>
        <w:jc w:val="both"/>
      </w:pPr>
      <w:r w:rsidRPr="00CD710E">
        <w:t>Sra. Lilliana Castro López, Defensoría de la Mujer</w:t>
      </w:r>
    </w:p>
    <w:p w14:paraId="50E80B07" w14:textId="77777777" w:rsidR="00D123D1" w:rsidRPr="00CD710E" w:rsidRDefault="00D123D1" w:rsidP="00D123D1">
      <w:pPr>
        <w:spacing w:after="120"/>
        <w:ind w:left="1134" w:right="1134"/>
        <w:jc w:val="both"/>
      </w:pPr>
      <w:r w:rsidRPr="00CD710E">
        <w:t xml:space="preserve">Sra. Nathalie Araya Jácome, Área de calidad de </w:t>
      </w:r>
      <w:r>
        <w:t>v</w:t>
      </w:r>
      <w:r w:rsidRPr="00CD710E">
        <w:t>ida</w:t>
      </w:r>
    </w:p>
    <w:p w14:paraId="70FBDB30" w14:textId="77777777" w:rsidR="00D123D1" w:rsidRPr="00CD710E" w:rsidRDefault="00D123D1" w:rsidP="00D123D1">
      <w:pPr>
        <w:spacing w:after="120"/>
        <w:ind w:left="1134" w:right="1134"/>
        <w:jc w:val="both"/>
      </w:pPr>
      <w:r w:rsidRPr="00CD710E">
        <w:t xml:space="preserve">Sra. Jenny Phillips, </w:t>
      </w:r>
      <w:proofErr w:type="gramStart"/>
      <w:r w:rsidRPr="00CD710E">
        <w:t>Directora</w:t>
      </w:r>
      <w:proofErr w:type="gramEnd"/>
      <w:r w:rsidRPr="00CD710E">
        <w:t xml:space="preserve"> de admisibilidad</w:t>
      </w:r>
    </w:p>
    <w:p w14:paraId="0914C3DE" w14:textId="77777777" w:rsidR="00D123D1" w:rsidRPr="00CD710E" w:rsidRDefault="00D123D1" w:rsidP="00D123D1">
      <w:pPr>
        <w:spacing w:after="120"/>
        <w:ind w:left="1134" w:right="1134"/>
        <w:jc w:val="both"/>
      </w:pPr>
      <w:r w:rsidRPr="00CD710E">
        <w:t>Sra. Laura Fern</w:t>
      </w:r>
      <w:r>
        <w:t>á</w:t>
      </w:r>
      <w:r w:rsidRPr="00CD710E">
        <w:t>ndez Díaz, Dirección Niñez y Adolescencia</w:t>
      </w:r>
    </w:p>
    <w:p w14:paraId="7CAABFD6" w14:textId="77777777" w:rsidR="00D123D1" w:rsidRPr="00CD710E" w:rsidRDefault="00D123D1" w:rsidP="00D123D1">
      <w:pPr>
        <w:spacing w:after="120"/>
        <w:ind w:left="1134" w:right="1134"/>
        <w:jc w:val="both"/>
      </w:pPr>
      <w:r w:rsidRPr="00CD710E">
        <w:t xml:space="preserve">Sr. Álvaro Paniagua, Dirección de Protección </w:t>
      </w:r>
    </w:p>
    <w:p w14:paraId="3D8E6AAE" w14:textId="77777777" w:rsidR="00D123D1" w:rsidRPr="00DA7BEC" w:rsidRDefault="00D123D1" w:rsidP="00D123D1">
      <w:pPr>
        <w:pStyle w:val="H23G"/>
      </w:pPr>
      <w:r>
        <w:tab/>
      </w:r>
      <w:r>
        <w:tab/>
      </w:r>
      <w:r w:rsidRPr="00DA7BEC">
        <w:t xml:space="preserve">Mecanismo </w:t>
      </w:r>
      <w:r>
        <w:t>n</w:t>
      </w:r>
      <w:r w:rsidRPr="00DA7BEC">
        <w:t xml:space="preserve">acional de </w:t>
      </w:r>
      <w:r>
        <w:t>p</w:t>
      </w:r>
      <w:r w:rsidRPr="00DA7BEC">
        <w:t xml:space="preserve">revención de la </w:t>
      </w:r>
      <w:r>
        <w:t>t</w:t>
      </w:r>
      <w:r w:rsidRPr="00DA7BEC">
        <w:t>ortura</w:t>
      </w:r>
    </w:p>
    <w:p w14:paraId="1B9F6B75" w14:textId="77777777" w:rsidR="00D123D1" w:rsidRPr="00CD710E" w:rsidRDefault="00D123D1" w:rsidP="00D123D1">
      <w:pPr>
        <w:spacing w:after="120"/>
        <w:ind w:left="1134" w:right="1134"/>
        <w:jc w:val="both"/>
      </w:pPr>
      <w:r w:rsidRPr="00CD710E">
        <w:t>Sr. Roger Víquez, coordinador nacional</w:t>
      </w:r>
    </w:p>
    <w:p w14:paraId="4DEA1D9A" w14:textId="77777777" w:rsidR="00D123D1" w:rsidRPr="00CD710E" w:rsidRDefault="00D123D1" w:rsidP="00D123D1">
      <w:pPr>
        <w:spacing w:after="120"/>
        <w:ind w:left="1134" w:right="1134"/>
        <w:jc w:val="both"/>
      </w:pPr>
      <w:r w:rsidRPr="00CD710E">
        <w:t xml:space="preserve">Sr. Esteban Vargas Ramírez </w:t>
      </w:r>
    </w:p>
    <w:p w14:paraId="297E7C55" w14:textId="77777777" w:rsidR="00D123D1" w:rsidRPr="00CD710E" w:rsidRDefault="00D123D1" w:rsidP="00D123D1">
      <w:pPr>
        <w:spacing w:after="120"/>
        <w:ind w:left="1134" w:right="1134"/>
        <w:jc w:val="both"/>
      </w:pPr>
      <w:r w:rsidRPr="00CD710E">
        <w:t>Sra</w:t>
      </w:r>
      <w:r>
        <w:t>.</w:t>
      </w:r>
      <w:r w:rsidRPr="00CD710E">
        <w:t xml:space="preserve"> Lorna Elizondo Cubero</w:t>
      </w:r>
    </w:p>
    <w:p w14:paraId="7474851E" w14:textId="77777777" w:rsidR="00D123D1" w:rsidRPr="00CD710E" w:rsidRDefault="00D123D1" w:rsidP="00D123D1">
      <w:pPr>
        <w:spacing w:after="120"/>
        <w:ind w:left="1134" w:right="1134"/>
        <w:jc w:val="both"/>
      </w:pPr>
      <w:r w:rsidRPr="00CD710E">
        <w:t xml:space="preserve">Sra. </w:t>
      </w:r>
      <w:proofErr w:type="spellStart"/>
      <w:r w:rsidRPr="00CD710E">
        <w:t>Chorlys</w:t>
      </w:r>
      <w:proofErr w:type="spellEnd"/>
      <w:r w:rsidRPr="00CD710E">
        <w:t xml:space="preserve"> Chacón Espinoza</w:t>
      </w:r>
    </w:p>
    <w:p w14:paraId="3523D19A" w14:textId="77777777" w:rsidR="00D123D1" w:rsidRPr="00CD710E" w:rsidRDefault="00D123D1" w:rsidP="00D123D1">
      <w:pPr>
        <w:pStyle w:val="H23G"/>
        <w:rPr>
          <w:i/>
        </w:rPr>
      </w:pPr>
      <w:r>
        <w:tab/>
      </w:r>
      <w:r>
        <w:tab/>
      </w:r>
      <w:r w:rsidRPr="00DA7BEC">
        <w:t>Asamblea Legislativa</w:t>
      </w:r>
    </w:p>
    <w:p w14:paraId="3A2CC49B" w14:textId="77777777" w:rsidR="00D123D1" w:rsidRPr="00CD710E" w:rsidRDefault="00D123D1" w:rsidP="00D123D1">
      <w:pPr>
        <w:spacing w:after="120"/>
        <w:ind w:left="1134" w:right="1134"/>
        <w:jc w:val="both"/>
      </w:pPr>
      <w:r w:rsidRPr="00CD710E">
        <w:t xml:space="preserve">Sra. Carolina Hidalgo Herrera, </w:t>
      </w:r>
      <w:proofErr w:type="gramStart"/>
      <w:r w:rsidRPr="00CD710E">
        <w:t>Presidenta</w:t>
      </w:r>
      <w:proofErr w:type="gramEnd"/>
    </w:p>
    <w:p w14:paraId="627F48F8" w14:textId="77777777" w:rsidR="00D123D1" w:rsidRPr="00CD710E" w:rsidRDefault="00D123D1" w:rsidP="00D123D1">
      <w:pPr>
        <w:spacing w:after="120"/>
        <w:ind w:left="1134" w:right="1134"/>
        <w:jc w:val="both"/>
      </w:pPr>
      <w:r w:rsidRPr="00CD710E">
        <w:t>Sr. Enrique Sánchez Carballo, diputado</w:t>
      </w:r>
    </w:p>
    <w:p w14:paraId="481F4A0E" w14:textId="77777777" w:rsidR="00D123D1" w:rsidRPr="00CD710E" w:rsidRDefault="00D123D1" w:rsidP="00D123D1">
      <w:pPr>
        <w:spacing w:after="120"/>
        <w:ind w:left="1134" w:right="1134"/>
        <w:jc w:val="both"/>
      </w:pPr>
      <w:r w:rsidRPr="00CD710E">
        <w:t xml:space="preserve">Sra. </w:t>
      </w:r>
      <w:proofErr w:type="spellStart"/>
      <w:r w:rsidRPr="00CD710E">
        <w:t>Karine</w:t>
      </w:r>
      <w:proofErr w:type="spellEnd"/>
      <w:r w:rsidRPr="00CD710E">
        <w:t xml:space="preserve"> Niño, diputada</w:t>
      </w:r>
    </w:p>
    <w:p w14:paraId="7368CD81" w14:textId="77777777" w:rsidR="00D123D1" w:rsidRPr="00DA7BEC" w:rsidRDefault="00D123D1" w:rsidP="00D123D1">
      <w:pPr>
        <w:pStyle w:val="H1G"/>
      </w:pPr>
      <w:r w:rsidRPr="00DA7BEC">
        <w:tab/>
        <w:t>B.</w:t>
      </w:r>
      <w:r w:rsidRPr="00DA7BEC">
        <w:tab/>
        <w:t>Departamentos de ciencias forenses y medicina legal</w:t>
      </w:r>
    </w:p>
    <w:p w14:paraId="16A0C693" w14:textId="77777777" w:rsidR="00D123D1" w:rsidRPr="00CD710E" w:rsidRDefault="00D123D1" w:rsidP="00D123D1">
      <w:pPr>
        <w:spacing w:after="120"/>
        <w:ind w:left="1134" w:right="1134"/>
        <w:jc w:val="both"/>
      </w:pPr>
      <w:r w:rsidRPr="00CD710E">
        <w:t>Sr. Maikol Araoz Vega, médico</w:t>
      </w:r>
    </w:p>
    <w:p w14:paraId="30EEC0DB" w14:textId="77777777" w:rsidR="00D123D1" w:rsidRPr="00CD710E" w:rsidRDefault="00D123D1" w:rsidP="00D123D1">
      <w:pPr>
        <w:spacing w:after="120"/>
        <w:ind w:left="1134" w:right="1134"/>
        <w:jc w:val="both"/>
        <w:rPr>
          <w:lang w:val="pt-PT"/>
        </w:rPr>
      </w:pPr>
      <w:r w:rsidRPr="00CD710E">
        <w:rPr>
          <w:lang w:val="pt-PT"/>
        </w:rPr>
        <w:t>Sra. Sandra Solórzano Herra, médico forense</w:t>
      </w:r>
    </w:p>
    <w:p w14:paraId="52696806" w14:textId="77777777" w:rsidR="00D123D1" w:rsidRPr="00CD710E" w:rsidRDefault="00D123D1" w:rsidP="00D123D1">
      <w:pPr>
        <w:spacing w:after="120"/>
        <w:ind w:left="1134" w:right="1134"/>
        <w:jc w:val="both"/>
        <w:rPr>
          <w:lang w:val="pt-PT"/>
        </w:rPr>
      </w:pPr>
      <w:r w:rsidRPr="00CD710E">
        <w:rPr>
          <w:lang w:val="pt-PT"/>
        </w:rPr>
        <w:t xml:space="preserve">Sr. Franz Vega, </w:t>
      </w:r>
      <w:r>
        <w:rPr>
          <w:lang w:val="pt-PT"/>
        </w:rPr>
        <w:t>j</w:t>
      </w:r>
      <w:r w:rsidRPr="00CD710E">
        <w:rPr>
          <w:lang w:val="pt-PT"/>
        </w:rPr>
        <w:t>efe del Departamento Médico Legal</w:t>
      </w:r>
    </w:p>
    <w:p w14:paraId="30C89F8C" w14:textId="77777777" w:rsidR="00D123D1" w:rsidRPr="00CD710E" w:rsidRDefault="00D123D1" w:rsidP="00D123D1">
      <w:pPr>
        <w:spacing w:after="120"/>
        <w:ind w:left="1134" w:right="1134"/>
        <w:jc w:val="both"/>
        <w:rPr>
          <w:lang w:val="pt-PT"/>
        </w:rPr>
      </w:pPr>
      <w:r w:rsidRPr="00CD710E">
        <w:rPr>
          <w:lang w:val="pt-PT"/>
        </w:rPr>
        <w:t>Sra. Gina Bagnarello, perito encargado de proyectos</w:t>
      </w:r>
    </w:p>
    <w:p w14:paraId="1B9D90E2" w14:textId="77777777" w:rsidR="00D123D1" w:rsidRPr="00CD710E" w:rsidRDefault="00D123D1" w:rsidP="00D123D1">
      <w:pPr>
        <w:spacing w:after="120"/>
        <w:ind w:left="1134" w:right="1134"/>
        <w:jc w:val="both"/>
        <w:rPr>
          <w:lang w:val="pt-PT"/>
        </w:rPr>
      </w:pPr>
      <w:r w:rsidRPr="00CD710E">
        <w:rPr>
          <w:lang w:val="pt-PT"/>
        </w:rPr>
        <w:t>Sra. Anayana Rodríguez Quesada, perito de la unidad genética</w:t>
      </w:r>
    </w:p>
    <w:p w14:paraId="06CBEB79" w14:textId="77777777" w:rsidR="00D123D1" w:rsidRPr="00CD710E" w:rsidRDefault="00D123D1" w:rsidP="00D123D1">
      <w:pPr>
        <w:spacing w:after="120"/>
        <w:ind w:left="1134" w:right="1134"/>
        <w:jc w:val="both"/>
        <w:rPr>
          <w:lang w:val="pt-PT"/>
        </w:rPr>
      </w:pPr>
      <w:r w:rsidRPr="00CD710E">
        <w:rPr>
          <w:lang w:val="pt-PT"/>
        </w:rPr>
        <w:t xml:space="preserve">Sr. Alejandro Hernández, </w:t>
      </w:r>
      <w:r>
        <w:rPr>
          <w:lang w:val="pt-PT"/>
        </w:rPr>
        <w:t>p</w:t>
      </w:r>
      <w:r w:rsidRPr="00CD710E">
        <w:rPr>
          <w:lang w:val="pt-PT"/>
        </w:rPr>
        <w:t>erito genético</w:t>
      </w:r>
    </w:p>
    <w:p w14:paraId="58152B5E" w14:textId="77777777" w:rsidR="00D123D1" w:rsidRPr="00CD710E" w:rsidRDefault="00D123D1" w:rsidP="00D123D1">
      <w:pPr>
        <w:spacing w:after="120"/>
        <w:ind w:left="1134" w:right="1134"/>
        <w:jc w:val="both"/>
        <w:rPr>
          <w:lang w:val="pt-PT"/>
        </w:rPr>
      </w:pPr>
      <w:r w:rsidRPr="00CD710E">
        <w:rPr>
          <w:lang w:val="pt-PT"/>
        </w:rPr>
        <w:t>Sra. Emily Solano Monzález, médico forense, patología</w:t>
      </w:r>
    </w:p>
    <w:p w14:paraId="3F2D87A5" w14:textId="77777777" w:rsidR="00D123D1" w:rsidRPr="00CD710E" w:rsidRDefault="00D123D1" w:rsidP="00D123D1">
      <w:pPr>
        <w:spacing w:after="120"/>
        <w:ind w:left="1134" w:right="1134"/>
        <w:jc w:val="both"/>
        <w:rPr>
          <w:lang w:val="pt-PT"/>
        </w:rPr>
      </w:pPr>
      <w:r w:rsidRPr="00CD710E">
        <w:rPr>
          <w:lang w:val="pt-PT"/>
        </w:rPr>
        <w:t xml:space="preserve">Sr. Daniel Gómez Murillo, </w:t>
      </w:r>
      <w:r>
        <w:rPr>
          <w:lang w:val="pt-PT"/>
        </w:rPr>
        <w:t>j</w:t>
      </w:r>
      <w:r w:rsidRPr="00CD710E">
        <w:rPr>
          <w:lang w:val="pt-PT"/>
        </w:rPr>
        <w:t xml:space="preserve">efatura interina del departamento </w:t>
      </w:r>
    </w:p>
    <w:p w14:paraId="50B99E41" w14:textId="77777777" w:rsidR="00D123D1" w:rsidRPr="00CD710E" w:rsidRDefault="00D123D1" w:rsidP="00D123D1">
      <w:pPr>
        <w:spacing w:after="120"/>
        <w:ind w:left="1134" w:right="1134"/>
        <w:jc w:val="both"/>
        <w:rPr>
          <w:lang w:val="pt-PT"/>
        </w:rPr>
      </w:pPr>
      <w:r w:rsidRPr="00CD710E">
        <w:rPr>
          <w:lang w:val="pt-PT"/>
        </w:rPr>
        <w:t>Sr. Carlo Escalante, colegio de médicos</w:t>
      </w:r>
    </w:p>
    <w:p w14:paraId="7BF9113B" w14:textId="77777777" w:rsidR="00D123D1" w:rsidRPr="00CD710E" w:rsidRDefault="00D123D1" w:rsidP="00D123D1">
      <w:pPr>
        <w:spacing w:after="120"/>
        <w:ind w:left="1134" w:right="1134"/>
        <w:jc w:val="both"/>
      </w:pPr>
      <w:r w:rsidRPr="00CD710E">
        <w:t xml:space="preserve">Sr. Oscar Valverde </w:t>
      </w:r>
      <w:proofErr w:type="spellStart"/>
      <w:r w:rsidRPr="00CD710E">
        <w:t>Comos</w:t>
      </w:r>
      <w:proofErr w:type="spellEnd"/>
      <w:r w:rsidRPr="00CD710E">
        <w:t xml:space="preserve">, colegio de profesionales en psicología </w:t>
      </w:r>
    </w:p>
    <w:p w14:paraId="1D16FAAC" w14:textId="77777777" w:rsidR="00D123D1" w:rsidRPr="00CD710E" w:rsidRDefault="00D123D1" w:rsidP="00D123D1">
      <w:pPr>
        <w:spacing w:after="120"/>
        <w:ind w:left="1134" w:right="1134"/>
        <w:jc w:val="both"/>
      </w:pPr>
      <w:r w:rsidRPr="00CD710E">
        <w:lastRenderedPageBreak/>
        <w:t>Sra. Ana Cristina Monge, colegio de profesionales en psicología</w:t>
      </w:r>
    </w:p>
    <w:p w14:paraId="159B643D" w14:textId="77777777" w:rsidR="00D123D1" w:rsidRPr="00CD710E" w:rsidRDefault="00D123D1" w:rsidP="00D123D1">
      <w:pPr>
        <w:pStyle w:val="H1G"/>
      </w:pPr>
      <w:r w:rsidRPr="00CD710E">
        <w:tab/>
        <w:t>C.</w:t>
      </w:r>
      <w:r w:rsidRPr="00CD710E">
        <w:tab/>
        <w:t>Organismos de las Naciones Unidas</w:t>
      </w:r>
    </w:p>
    <w:p w14:paraId="05614424" w14:textId="77777777" w:rsidR="00D123D1" w:rsidRPr="00CD710E" w:rsidRDefault="00D123D1" w:rsidP="00D123D1">
      <w:pPr>
        <w:spacing w:after="120"/>
        <w:ind w:left="1134" w:right="1134"/>
        <w:jc w:val="both"/>
      </w:pPr>
      <w:r w:rsidRPr="00CD710E">
        <w:t>Coordinadora Residente de las Naciones Unidas</w:t>
      </w:r>
    </w:p>
    <w:p w14:paraId="7F7FD398" w14:textId="77777777" w:rsidR="00D123D1" w:rsidRPr="00CD710E" w:rsidRDefault="00D123D1" w:rsidP="00D123D1">
      <w:pPr>
        <w:spacing w:after="120"/>
        <w:ind w:left="1134" w:right="1134"/>
        <w:jc w:val="both"/>
      </w:pPr>
      <w:r w:rsidRPr="00CD710E">
        <w:t xml:space="preserve">Programa de las Naciones Unidas </w:t>
      </w:r>
      <w:r w:rsidR="00C9507F">
        <w:t xml:space="preserve">para el Desarrollo </w:t>
      </w:r>
      <w:r w:rsidRPr="00CD710E">
        <w:t>(PNUD)</w:t>
      </w:r>
    </w:p>
    <w:p w14:paraId="65E56919" w14:textId="77777777" w:rsidR="00D123D1" w:rsidRPr="00CD710E" w:rsidRDefault="00D123D1" w:rsidP="00D123D1">
      <w:pPr>
        <w:spacing w:after="120"/>
        <w:ind w:left="1134" w:right="1134"/>
        <w:jc w:val="both"/>
      </w:pPr>
      <w:r w:rsidRPr="00CD710E">
        <w:t xml:space="preserve">Instituto Latinoamericano de las Naciones Unidas </w:t>
      </w:r>
      <w:r>
        <w:rPr>
          <w:rFonts w:ascii="Helvetica Neue" w:hAnsi="Helvetica Neue"/>
          <w:color w:val="333333"/>
          <w:sz w:val="21"/>
          <w:szCs w:val="21"/>
          <w:shd w:val="clear" w:color="auto" w:fill="FFFFFF"/>
        </w:rPr>
        <w:t>para la Prevención del Delito y el Tratamiento del Delincuente</w:t>
      </w:r>
      <w:r w:rsidRPr="00CD710E">
        <w:t xml:space="preserve"> (</w:t>
      </w:r>
      <w:proofErr w:type="spellStart"/>
      <w:r w:rsidRPr="00CD710E">
        <w:t>ILANUD</w:t>
      </w:r>
      <w:proofErr w:type="spellEnd"/>
      <w:r w:rsidRPr="00CD710E">
        <w:t>)</w:t>
      </w:r>
    </w:p>
    <w:p w14:paraId="2CFDE017" w14:textId="77777777" w:rsidR="00D123D1" w:rsidRPr="00CD710E" w:rsidRDefault="00D123D1" w:rsidP="00D123D1">
      <w:pPr>
        <w:pStyle w:val="H1G"/>
      </w:pPr>
      <w:r>
        <w:tab/>
        <w:t>D</w:t>
      </w:r>
      <w:r w:rsidRPr="00CD710E">
        <w:t>.</w:t>
      </w:r>
      <w:r w:rsidRPr="00CD710E">
        <w:tab/>
        <w:t>Sociedad civil</w:t>
      </w:r>
    </w:p>
    <w:p w14:paraId="228A9D70" w14:textId="77777777" w:rsidR="00D123D1" w:rsidRPr="00CD710E" w:rsidRDefault="00D123D1" w:rsidP="00D123D1">
      <w:pPr>
        <w:spacing w:after="120"/>
        <w:ind w:left="1134" w:right="1134"/>
        <w:jc w:val="both"/>
      </w:pPr>
      <w:r w:rsidRPr="00CD710E">
        <w:t>Asociación Ciudadana ACCEDER</w:t>
      </w:r>
    </w:p>
    <w:p w14:paraId="3AC68550" w14:textId="77777777" w:rsidR="00D123D1" w:rsidRPr="00CD710E" w:rsidRDefault="00D123D1" w:rsidP="00D123D1">
      <w:pPr>
        <w:spacing w:after="120"/>
        <w:ind w:left="1134" w:right="1134"/>
        <w:jc w:val="both"/>
      </w:pPr>
      <w:r w:rsidRPr="00CD710E">
        <w:t>DNI Costa Rica</w:t>
      </w:r>
    </w:p>
    <w:p w14:paraId="6CF52DAB" w14:textId="77777777" w:rsidR="00D123D1" w:rsidRPr="00CD710E" w:rsidRDefault="00D123D1" w:rsidP="00D123D1">
      <w:pPr>
        <w:spacing w:after="120"/>
        <w:ind w:left="1134" w:right="1134"/>
        <w:jc w:val="both"/>
      </w:pPr>
      <w:r w:rsidRPr="00CD710E">
        <w:t>Centro por la Justicia y el Derecho Internacional (</w:t>
      </w:r>
      <w:proofErr w:type="spellStart"/>
      <w:r w:rsidRPr="00CD710E">
        <w:t>CEJIL</w:t>
      </w:r>
      <w:proofErr w:type="spellEnd"/>
      <w:r w:rsidRPr="00CD710E">
        <w:t>)</w:t>
      </w:r>
    </w:p>
    <w:p w14:paraId="14E5F0A2" w14:textId="77777777" w:rsidR="00D123D1" w:rsidRPr="00CD710E" w:rsidRDefault="00D123D1" w:rsidP="00D123D1">
      <w:pPr>
        <w:pStyle w:val="HMG"/>
      </w:pPr>
      <w:r w:rsidRPr="00CD710E">
        <w:br w:type="page"/>
      </w:r>
      <w:r>
        <w:lastRenderedPageBreak/>
        <w:tab/>
      </w:r>
      <w:r w:rsidRPr="00CD710E">
        <w:t>Anexo II</w:t>
      </w:r>
    </w:p>
    <w:p w14:paraId="544D45E6" w14:textId="77777777" w:rsidR="00D123D1" w:rsidRPr="00347A3B" w:rsidRDefault="00D123D1" w:rsidP="00347A3B">
      <w:pPr>
        <w:spacing w:after="120"/>
        <w:ind w:left="1134" w:right="1134"/>
        <w:jc w:val="right"/>
        <w:rPr>
          <w:i/>
          <w:iCs/>
        </w:rPr>
      </w:pPr>
      <w:r w:rsidRPr="00CD710E">
        <w:tab/>
      </w:r>
      <w:r w:rsidRPr="00347A3B">
        <w:rPr>
          <w:i/>
          <w:iCs/>
        </w:rPr>
        <w:t>[</w:t>
      </w:r>
      <w:proofErr w:type="gramStart"/>
      <w:r w:rsidRPr="00347A3B">
        <w:rPr>
          <w:i/>
          <w:iCs/>
        </w:rPr>
        <w:t>Español</w:t>
      </w:r>
      <w:proofErr w:type="gramEnd"/>
      <w:r w:rsidRPr="00347A3B">
        <w:rPr>
          <w:i/>
          <w:iCs/>
        </w:rPr>
        <w:t xml:space="preserve"> solamente]</w:t>
      </w:r>
    </w:p>
    <w:p w14:paraId="337F7A99" w14:textId="77777777" w:rsidR="00D123D1" w:rsidRPr="00CD710E" w:rsidRDefault="00D123D1" w:rsidP="00D123D1">
      <w:pPr>
        <w:pStyle w:val="HChG"/>
      </w:pPr>
      <w:r w:rsidRPr="00CD710E">
        <w:tab/>
      </w:r>
      <w:r w:rsidRPr="00CD710E">
        <w:tab/>
        <w:t xml:space="preserve">Lugares de privación de libertad visitados </w:t>
      </w:r>
    </w:p>
    <w:p w14:paraId="3C8F0497" w14:textId="77777777" w:rsidR="00D123D1" w:rsidRPr="00CD710E" w:rsidRDefault="00D123D1" w:rsidP="00D123D1">
      <w:pPr>
        <w:pStyle w:val="H1G"/>
      </w:pPr>
      <w:r w:rsidRPr="00CD710E">
        <w:tab/>
        <w:t>A.</w:t>
      </w:r>
      <w:r w:rsidRPr="00CD710E">
        <w:tab/>
        <w:t>Delegaciones de la Fuerza Pública</w:t>
      </w:r>
    </w:p>
    <w:p w14:paraId="55AFF9DC" w14:textId="77777777" w:rsidR="00D123D1" w:rsidRPr="00CD710E" w:rsidRDefault="00D123D1" w:rsidP="00D123D1">
      <w:pPr>
        <w:spacing w:after="120"/>
        <w:ind w:left="1134" w:right="1134"/>
        <w:jc w:val="both"/>
      </w:pPr>
      <w:r w:rsidRPr="00CD710E">
        <w:t>Delegación policial de El Carmen, San José</w:t>
      </w:r>
    </w:p>
    <w:p w14:paraId="5B114111" w14:textId="77777777" w:rsidR="00D123D1" w:rsidRPr="00CD710E" w:rsidRDefault="00D123D1" w:rsidP="00D123D1">
      <w:pPr>
        <w:spacing w:after="120"/>
        <w:ind w:left="1134" w:right="1134"/>
        <w:jc w:val="both"/>
      </w:pPr>
      <w:r w:rsidRPr="00CD710E">
        <w:t>Delegación policial Desamparados Sur, San José</w:t>
      </w:r>
    </w:p>
    <w:p w14:paraId="3FFA0257" w14:textId="77777777" w:rsidR="00D123D1" w:rsidRPr="00CD710E" w:rsidRDefault="00D123D1" w:rsidP="00D123D1">
      <w:pPr>
        <w:spacing w:after="120"/>
        <w:ind w:left="1134" w:right="1134"/>
        <w:jc w:val="both"/>
      </w:pPr>
      <w:r w:rsidRPr="00CD710E">
        <w:t>Delegación policial Desamparados Norte, San José</w:t>
      </w:r>
    </w:p>
    <w:p w14:paraId="7538A349" w14:textId="77777777" w:rsidR="00D123D1" w:rsidRPr="00CD710E" w:rsidRDefault="00D123D1" w:rsidP="00D123D1">
      <w:pPr>
        <w:spacing w:after="120"/>
        <w:ind w:left="1134" w:right="1134"/>
        <w:jc w:val="both"/>
      </w:pPr>
      <w:r w:rsidRPr="00CD710E">
        <w:t>Delegación policial Hatillo, San José</w:t>
      </w:r>
    </w:p>
    <w:p w14:paraId="18DD2600" w14:textId="77777777" w:rsidR="00D123D1" w:rsidRPr="00CD710E" w:rsidRDefault="00D123D1" w:rsidP="00D123D1">
      <w:pPr>
        <w:spacing w:after="120"/>
        <w:ind w:left="1134" w:right="1134"/>
        <w:jc w:val="both"/>
      </w:pPr>
      <w:r w:rsidRPr="00CD710E">
        <w:t>Delegación policial Liberia, Guanacaste</w:t>
      </w:r>
    </w:p>
    <w:p w14:paraId="770798DA" w14:textId="77777777" w:rsidR="00D123D1" w:rsidRPr="00CD710E" w:rsidRDefault="00D123D1" w:rsidP="00D123D1">
      <w:pPr>
        <w:spacing w:after="120"/>
        <w:ind w:left="1134" w:right="1134"/>
        <w:jc w:val="both"/>
      </w:pPr>
      <w:r w:rsidRPr="00CD710E">
        <w:t>Centro de Aprehendidos de Barrio México</w:t>
      </w:r>
    </w:p>
    <w:p w14:paraId="797FCEA4" w14:textId="77777777" w:rsidR="00D123D1" w:rsidRPr="00CD710E" w:rsidRDefault="005B5CAB" w:rsidP="00347A3B">
      <w:pPr>
        <w:pStyle w:val="H1G"/>
      </w:pPr>
      <w:r>
        <w:tab/>
      </w:r>
      <w:r w:rsidRPr="00CD710E">
        <w:t>B.</w:t>
      </w:r>
      <w:r w:rsidRPr="00CD710E">
        <w:tab/>
      </w:r>
      <w:r w:rsidR="00D123D1" w:rsidRPr="00CD710E">
        <w:t>Delegaciones del Organismo de Investigación Penal</w:t>
      </w:r>
    </w:p>
    <w:p w14:paraId="372755B3" w14:textId="77777777" w:rsidR="00D123D1" w:rsidRPr="00CD710E" w:rsidRDefault="00D123D1" w:rsidP="00D123D1">
      <w:pPr>
        <w:spacing w:after="120"/>
        <w:ind w:left="1134" w:right="1134"/>
        <w:jc w:val="both"/>
      </w:pPr>
      <w:r w:rsidRPr="00CD710E">
        <w:t>Sección Cárceles I, Unidad de celdas I, Tribunales de Justicia de San José</w:t>
      </w:r>
    </w:p>
    <w:p w14:paraId="7B0F920F" w14:textId="77777777" w:rsidR="00D123D1" w:rsidRPr="00CD710E" w:rsidRDefault="00D123D1" w:rsidP="00D123D1">
      <w:pPr>
        <w:spacing w:after="120"/>
        <w:ind w:left="1134" w:right="1134"/>
        <w:jc w:val="both"/>
      </w:pPr>
      <w:r w:rsidRPr="00CD710E">
        <w:t>Sección de Cárceles, Delegación Regional de Alajuela</w:t>
      </w:r>
    </w:p>
    <w:p w14:paraId="1F634815" w14:textId="77777777" w:rsidR="00D123D1" w:rsidRPr="00CD710E" w:rsidRDefault="00D123D1" w:rsidP="00D123D1">
      <w:pPr>
        <w:spacing w:after="120"/>
        <w:ind w:left="1134" w:right="1134"/>
        <w:jc w:val="both"/>
      </w:pPr>
      <w:r w:rsidRPr="00CD710E">
        <w:t xml:space="preserve">Delegación Regional de Limón </w:t>
      </w:r>
    </w:p>
    <w:p w14:paraId="3ED10035" w14:textId="77777777" w:rsidR="00D123D1" w:rsidRPr="00CD710E" w:rsidRDefault="00D123D1" w:rsidP="00D123D1">
      <w:pPr>
        <w:spacing w:after="120"/>
        <w:ind w:left="1134" w:right="1134"/>
        <w:jc w:val="both"/>
      </w:pPr>
      <w:r w:rsidRPr="00CD710E">
        <w:t xml:space="preserve">Sección Cárceles, Tribunales de Justicia de Limón </w:t>
      </w:r>
    </w:p>
    <w:p w14:paraId="7301BC08" w14:textId="77777777" w:rsidR="00D123D1" w:rsidRPr="00CD710E" w:rsidRDefault="00D123D1" w:rsidP="00D123D1">
      <w:pPr>
        <w:keepNext/>
        <w:keepLines/>
        <w:tabs>
          <w:tab w:val="right" w:pos="851"/>
        </w:tabs>
        <w:suppressAutoHyphens/>
        <w:spacing w:before="360" w:after="240" w:line="270" w:lineRule="exact"/>
        <w:ind w:left="1134" w:right="1134" w:hanging="1134"/>
        <w:rPr>
          <w:b/>
          <w:sz w:val="24"/>
        </w:rPr>
      </w:pPr>
      <w:r w:rsidRPr="00CD710E">
        <w:rPr>
          <w:b/>
          <w:sz w:val="24"/>
        </w:rPr>
        <w:tab/>
        <w:t>C.</w:t>
      </w:r>
      <w:r w:rsidRPr="00CD710E">
        <w:rPr>
          <w:b/>
          <w:sz w:val="24"/>
        </w:rPr>
        <w:tab/>
        <w:t>Centros penitenciarios</w:t>
      </w:r>
    </w:p>
    <w:p w14:paraId="24976363" w14:textId="77777777" w:rsidR="00D123D1" w:rsidRPr="00CD710E" w:rsidRDefault="00D123D1" w:rsidP="00D123D1">
      <w:pPr>
        <w:spacing w:after="120"/>
        <w:ind w:left="1134" w:right="1134"/>
        <w:jc w:val="both"/>
      </w:pPr>
      <w:r w:rsidRPr="00CD710E">
        <w:t xml:space="preserve">Centro de Atención Institucional Vilma </w:t>
      </w:r>
      <w:proofErr w:type="spellStart"/>
      <w:r w:rsidRPr="00CD710E">
        <w:t>Curling</w:t>
      </w:r>
      <w:proofErr w:type="spellEnd"/>
      <w:r w:rsidRPr="00CD710E">
        <w:t>, Desamparados, San José</w:t>
      </w:r>
    </w:p>
    <w:p w14:paraId="5ECC96C5" w14:textId="77777777" w:rsidR="00D123D1" w:rsidRPr="00CD710E" w:rsidRDefault="00D123D1" w:rsidP="00D123D1">
      <w:pPr>
        <w:spacing w:after="120"/>
        <w:ind w:left="1134" w:right="1134"/>
        <w:jc w:val="both"/>
      </w:pPr>
      <w:r w:rsidRPr="00CD710E">
        <w:t>Centro de Atención Institucional Jorge Arturo Montero Castro, San Rafael, Alajuela</w:t>
      </w:r>
    </w:p>
    <w:p w14:paraId="69C0DA2E" w14:textId="77777777" w:rsidR="00D123D1" w:rsidRPr="00CD710E" w:rsidRDefault="00D123D1" w:rsidP="00D123D1">
      <w:pPr>
        <w:spacing w:after="120"/>
        <w:ind w:left="1134" w:right="1134"/>
        <w:jc w:val="both"/>
      </w:pPr>
      <w:r w:rsidRPr="00CD710E">
        <w:t xml:space="preserve">Unidad de Atención Específica, San Rafael, Alajuela </w:t>
      </w:r>
    </w:p>
    <w:p w14:paraId="267F1604" w14:textId="77777777" w:rsidR="00D123D1" w:rsidRPr="00CD710E" w:rsidRDefault="00D123D1" w:rsidP="00D123D1">
      <w:pPr>
        <w:spacing w:after="120"/>
        <w:ind w:left="1134" w:right="1134"/>
        <w:jc w:val="both"/>
      </w:pPr>
      <w:r w:rsidRPr="00CD710E">
        <w:t>Centro de Atención Institucional Liberia, Liberia</w:t>
      </w:r>
    </w:p>
    <w:p w14:paraId="747C623B" w14:textId="77777777" w:rsidR="00D123D1" w:rsidRPr="00CD710E" w:rsidRDefault="00D123D1" w:rsidP="00D123D1">
      <w:pPr>
        <w:spacing w:after="120"/>
        <w:ind w:left="1134" w:right="1134"/>
        <w:jc w:val="both"/>
      </w:pPr>
      <w:r w:rsidRPr="00CD710E">
        <w:t>Centro de Atención Institucional San José, San José</w:t>
      </w:r>
    </w:p>
    <w:p w14:paraId="62D155E9" w14:textId="77777777" w:rsidR="00D123D1" w:rsidRPr="00CD710E" w:rsidRDefault="00D123D1" w:rsidP="00D123D1">
      <w:pPr>
        <w:spacing w:after="120"/>
        <w:ind w:left="1134" w:right="1134"/>
        <w:jc w:val="both"/>
      </w:pPr>
      <w:r w:rsidRPr="00CD710E">
        <w:t>Centro de Atención Institucional Nelson Mandela, San Carlos, Alajuela</w:t>
      </w:r>
    </w:p>
    <w:p w14:paraId="13D9BBD1" w14:textId="77777777" w:rsidR="00D123D1" w:rsidRPr="00CD710E" w:rsidRDefault="00D123D1" w:rsidP="00D123D1">
      <w:pPr>
        <w:spacing w:after="120"/>
        <w:ind w:left="1134" w:right="1134"/>
        <w:jc w:val="both"/>
      </w:pPr>
      <w:r w:rsidRPr="00CD710E">
        <w:t xml:space="preserve">Centro de Atención Institucional Marcos Garvey, Limón </w:t>
      </w:r>
    </w:p>
    <w:p w14:paraId="2306F12F" w14:textId="77777777" w:rsidR="00D123D1" w:rsidRPr="00CD710E" w:rsidRDefault="00D123D1" w:rsidP="00D123D1">
      <w:pPr>
        <w:spacing w:after="120"/>
        <w:ind w:left="1134" w:right="1134"/>
        <w:jc w:val="both"/>
      </w:pPr>
      <w:r w:rsidRPr="00CD710E">
        <w:t>Centro de Atención Institucional Gerardo Rodríguez, San Rafael, Alajuela</w:t>
      </w:r>
    </w:p>
    <w:p w14:paraId="5C5F4AA6" w14:textId="77777777" w:rsidR="00D123D1" w:rsidRPr="00CD710E" w:rsidRDefault="00D123D1" w:rsidP="00D123D1">
      <w:pPr>
        <w:spacing w:after="120"/>
        <w:ind w:left="1134" w:right="1134"/>
        <w:jc w:val="both"/>
      </w:pPr>
      <w:r w:rsidRPr="00CD710E">
        <w:t>Unidad de Atención Integral Reynaldo Villalobos, San Rafael, Alajuela</w:t>
      </w:r>
    </w:p>
    <w:p w14:paraId="4EBFB372" w14:textId="77777777" w:rsidR="00D123D1" w:rsidRPr="00CD710E" w:rsidRDefault="00D123D1" w:rsidP="00D123D1">
      <w:pPr>
        <w:keepNext/>
        <w:keepLines/>
        <w:tabs>
          <w:tab w:val="right" w:pos="851"/>
        </w:tabs>
        <w:suppressAutoHyphens/>
        <w:spacing w:before="360" w:after="240" w:line="270" w:lineRule="exact"/>
        <w:ind w:left="1134" w:right="1134" w:hanging="1134"/>
        <w:rPr>
          <w:b/>
          <w:sz w:val="24"/>
        </w:rPr>
      </w:pPr>
      <w:r w:rsidRPr="00CD710E">
        <w:rPr>
          <w:b/>
          <w:sz w:val="24"/>
        </w:rPr>
        <w:tab/>
        <w:t>D.</w:t>
      </w:r>
      <w:r w:rsidRPr="00CD710E">
        <w:rPr>
          <w:b/>
          <w:sz w:val="24"/>
        </w:rPr>
        <w:tab/>
        <w:t>Centros de reintegración social para niños, niñas y adolescentes</w:t>
      </w:r>
    </w:p>
    <w:p w14:paraId="2B5400E5" w14:textId="77777777" w:rsidR="00D123D1" w:rsidRPr="00CD710E" w:rsidRDefault="00D123D1" w:rsidP="00D123D1">
      <w:pPr>
        <w:spacing w:after="120"/>
        <w:ind w:left="1134" w:right="1134"/>
        <w:jc w:val="both"/>
        <w:rPr>
          <w:lang w:val="pt-PT"/>
        </w:rPr>
      </w:pPr>
      <w:r w:rsidRPr="00CD710E">
        <w:rPr>
          <w:lang w:val="pt-PT"/>
        </w:rPr>
        <w:t>Centro de Formación Juvenil Zurqu</w:t>
      </w:r>
      <w:r>
        <w:rPr>
          <w:lang w:val="pt-PT"/>
        </w:rPr>
        <w:t>í</w:t>
      </w:r>
      <w:r w:rsidRPr="00CD710E">
        <w:rPr>
          <w:lang w:val="pt-PT"/>
        </w:rPr>
        <w:t>, Santo Domingo, Heredia</w:t>
      </w:r>
    </w:p>
    <w:p w14:paraId="50B31AEC" w14:textId="77777777" w:rsidR="00D123D1" w:rsidRPr="00CD710E" w:rsidRDefault="00D123D1" w:rsidP="00D123D1">
      <w:pPr>
        <w:spacing w:after="120"/>
        <w:ind w:left="1134" w:right="1134"/>
        <w:jc w:val="both"/>
        <w:rPr>
          <w:lang w:val="pt-PT"/>
        </w:rPr>
      </w:pPr>
      <w:r w:rsidRPr="00CD710E">
        <w:rPr>
          <w:lang w:val="pt-PT"/>
        </w:rPr>
        <w:t>Centro Especializado Adulto Joven, Ofelia Vicenzi, San Rafael, Alajuela</w:t>
      </w:r>
    </w:p>
    <w:p w14:paraId="021C9F63" w14:textId="77777777" w:rsidR="00D123D1" w:rsidRPr="00CD710E" w:rsidRDefault="00D123D1" w:rsidP="00D123D1">
      <w:pPr>
        <w:keepNext/>
        <w:keepLines/>
        <w:tabs>
          <w:tab w:val="right" w:pos="851"/>
        </w:tabs>
        <w:suppressAutoHyphens/>
        <w:spacing w:before="360" w:after="240" w:line="270" w:lineRule="exact"/>
        <w:ind w:left="1134" w:right="1134" w:hanging="1134"/>
        <w:rPr>
          <w:b/>
          <w:sz w:val="24"/>
          <w:lang w:val="pt-PT"/>
        </w:rPr>
      </w:pPr>
      <w:r w:rsidRPr="00CD710E">
        <w:rPr>
          <w:b/>
          <w:sz w:val="24"/>
          <w:lang w:val="pt-PT"/>
        </w:rPr>
        <w:tab/>
        <w:t xml:space="preserve">E. </w:t>
      </w:r>
      <w:r w:rsidRPr="00CD710E">
        <w:rPr>
          <w:b/>
          <w:sz w:val="24"/>
          <w:lang w:val="pt-PT"/>
        </w:rPr>
        <w:tab/>
        <w:t>Hospitales psiquiátricos</w:t>
      </w:r>
    </w:p>
    <w:p w14:paraId="1F1B4FAA" w14:textId="77777777" w:rsidR="00D123D1" w:rsidRPr="00CD710E" w:rsidRDefault="00D123D1" w:rsidP="00D123D1">
      <w:pPr>
        <w:spacing w:after="120"/>
        <w:ind w:left="1134" w:right="1134"/>
        <w:jc w:val="both"/>
      </w:pPr>
      <w:r w:rsidRPr="00CD710E">
        <w:t>Hospital Nacional Psiquiátrico, San José</w:t>
      </w:r>
    </w:p>
    <w:p w14:paraId="75CBF729" w14:textId="77777777" w:rsidR="00D123D1" w:rsidRPr="00CD710E" w:rsidRDefault="00D123D1" w:rsidP="00D123D1">
      <w:pPr>
        <w:spacing w:after="120"/>
        <w:ind w:left="1134" w:right="1134"/>
        <w:jc w:val="both"/>
      </w:pPr>
      <w:r w:rsidRPr="00CD710E">
        <w:t>Centro para la Atención de Personas con Enfermedad Mental en Conflicto con la Ley, La Uruca, San José</w:t>
      </w:r>
    </w:p>
    <w:p w14:paraId="2CD5DEE6" w14:textId="77777777" w:rsidR="00D123D1" w:rsidRPr="00CD710E" w:rsidRDefault="00D123D1" w:rsidP="00D123D1">
      <w:pPr>
        <w:spacing w:after="120"/>
        <w:ind w:left="1134" w:right="1134"/>
        <w:jc w:val="both"/>
      </w:pPr>
    </w:p>
    <w:p w14:paraId="23D4F2E6" w14:textId="77777777" w:rsidR="00D123D1" w:rsidRPr="00CD710E" w:rsidRDefault="00D123D1" w:rsidP="00D123D1">
      <w:pPr>
        <w:keepNext/>
        <w:keepLines/>
        <w:tabs>
          <w:tab w:val="right" w:pos="851"/>
        </w:tabs>
        <w:suppressAutoHyphens/>
        <w:spacing w:before="360" w:after="240" w:line="270" w:lineRule="exact"/>
        <w:ind w:left="1134" w:right="1134" w:hanging="1134"/>
        <w:rPr>
          <w:b/>
          <w:sz w:val="24"/>
        </w:rPr>
      </w:pPr>
      <w:r w:rsidRPr="00CD710E">
        <w:rPr>
          <w:b/>
          <w:sz w:val="24"/>
        </w:rPr>
        <w:lastRenderedPageBreak/>
        <w:tab/>
        <w:t>F.</w:t>
      </w:r>
      <w:r w:rsidRPr="00CD710E">
        <w:rPr>
          <w:b/>
          <w:sz w:val="24"/>
        </w:rPr>
        <w:tab/>
        <w:t xml:space="preserve">Centros de la Dirección General de Migración y Extranjería    </w:t>
      </w:r>
    </w:p>
    <w:p w14:paraId="3B773720" w14:textId="77777777" w:rsidR="00D123D1" w:rsidRDefault="00D123D1" w:rsidP="00D123D1">
      <w:pPr>
        <w:spacing w:after="120"/>
        <w:ind w:left="1134" w:right="1134"/>
        <w:jc w:val="both"/>
      </w:pPr>
      <w:r w:rsidRPr="00CD710E">
        <w:t>Centro de Apre</w:t>
      </w:r>
      <w:r>
        <w:t>he</w:t>
      </w:r>
      <w:r w:rsidRPr="00CD710E">
        <w:t>nsión Región Central, Heredia</w:t>
      </w:r>
    </w:p>
    <w:p w14:paraId="678A8ABC" w14:textId="77777777" w:rsidR="00D123D1" w:rsidRDefault="00D123D1" w:rsidP="00D123D1">
      <w:pPr>
        <w:spacing w:after="120"/>
        <w:ind w:left="1134" w:right="1134"/>
        <w:jc w:val="both"/>
      </w:pPr>
    </w:p>
    <w:p w14:paraId="48F92C68" w14:textId="77777777" w:rsidR="00D123D1" w:rsidRDefault="00D123D1">
      <w:pPr>
        <w:spacing w:line="240" w:lineRule="auto"/>
        <w:rPr>
          <w:rFonts w:eastAsia="Arial Unicode MS"/>
          <w:b/>
          <w:sz w:val="34"/>
          <w:u w:color="000000"/>
          <w:bdr w:val="nil"/>
        </w:rPr>
      </w:pPr>
      <w:r>
        <w:rPr>
          <w:rFonts w:eastAsia="Arial Unicode MS"/>
          <w:u w:color="000000"/>
          <w:bdr w:val="nil"/>
        </w:rPr>
        <w:br w:type="page"/>
      </w:r>
    </w:p>
    <w:p w14:paraId="1A297105" w14:textId="77777777" w:rsidR="004C7488" w:rsidRPr="00F35FBA" w:rsidRDefault="004C7488" w:rsidP="001E15DC">
      <w:pPr>
        <w:pStyle w:val="HMG"/>
        <w:rPr>
          <w:rFonts w:eastAsia="Arial Unicode MS"/>
          <w:lang w:val="es-AR"/>
        </w:rPr>
      </w:pPr>
      <w:r w:rsidRPr="00F35FBA">
        <w:rPr>
          <w:rFonts w:eastAsia="Arial Unicode MS"/>
          <w:u w:color="000000"/>
          <w:bdr w:val="nil"/>
          <w:lang w:val="es-AR"/>
        </w:rPr>
        <w:lastRenderedPageBreak/>
        <w:t>Anexo</w:t>
      </w:r>
      <w:r w:rsidRPr="00F35FBA">
        <w:rPr>
          <w:rFonts w:eastAsia="Arial Unicode MS"/>
          <w:lang w:val="es-AR"/>
        </w:rPr>
        <w:t xml:space="preserve"> III</w:t>
      </w:r>
    </w:p>
    <w:p w14:paraId="42E17B1F" w14:textId="77777777" w:rsidR="004C7488" w:rsidRPr="00F35FBA" w:rsidRDefault="004C7488" w:rsidP="004C7488">
      <w:pPr>
        <w:keepNext/>
        <w:keepLines/>
        <w:tabs>
          <w:tab w:val="right" w:pos="851"/>
          <w:tab w:val="left" w:pos="4320"/>
          <w:tab w:val="left" w:pos="5040"/>
          <w:tab w:val="left" w:pos="6600"/>
          <w:tab w:val="left" w:pos="7200"/>
        </w:tabs>
        <w:spacing w:before="240" w:after="120" w:line="240" w:lineRule="exact"/>
        <w:ind w:left="1134" w:right="1133" w:hanging="1134"/>
        <w:jc w:val="right"/>
        <w:rPr>
          <w:i/>
          <w:color w:val="000000" w:themeColor="text1"/>
          <w:lang w:val="es-AR"/>
        </w:rPr>
      </w:pPr>
      <w:r w:rsidRPr="00F35FBA">
        <w:rPr>
          <w:i/>
          <w:color w:val="000000" w:themeColor="text1"/>
          <w:lang w:val="es-AR"/>
        </w:rPr>
        <w:t>[</w:t>
      </w:r>
      <w:proofErr w:type="gramStart"/>
      <w:r w:rsidR="00D123D1">
        <w:rPr>
          <w:i/>
          <w:color w:val="000000" w:themeColor="text1"/>
          <w:lang w:val="es-AR"/>
        </w:rPr>
        <w:t>E</w:t>
      </w:r>
      <w:r w:rsidRPr="00F35FBA">
        <w:rPr>
          <w:i/>
          <w:color w:val="000000" w:themeColor="text1"/>
          <w:lang w:val="es-AR"/>
        </w:rPr>
        <w:t>spañol</w:t>
      </w:r>
      <w:proofErr w:type="gramEnd"/>
      <w:r w:rsidRPr="00F35FBA">
        <w:rPr>
          <w:i/>
          <w:color w:val="000000" w:themeColor="text1"/>
          <w:lang w:val="es-AR"/>
        </w:rPr>
        <w:t xml:space="preserve"> solamente]</w:t>
      </w:r>
    </w:p>
    <w:p w14:paraId="5F3D37D7" w14:textId="77777777" w:rsidR="004C7488" w:rsidRPr="00A85DA4" w:rsidRDefault="004C7488">
      <w:pPr>
        <w:pStyle w:val="HChG"/>
        <w:rPr>
          <w:rFonts w:eastAsia="Arial Unicode MS"/>
        </w:rPr>
      </w:pPr>
      <w:r w:rsidRPr="00A85DA4">
        <w:rPr>
          <w:rFonts w:eastAsia="Arial Unicode MS"/>
        </w:rPr>
        <w:tab/>
      </w:r>
      <w:r w:rsidRPr="00A85DA4">
        <w:rPr>
          <w:rFonts w:eastAsia="Arial Unicode MS"/>
        </w:rPr>
        <w:tab/>
        <w:t xml:space="preserve">Lugares de privación de libertad visitados conjuntamente </w:t>
      </w:r>
      <w:r w:rsidR="00D6596D">
        <w:rPr>
          <w:rFonts w:eastAsia="Arial Unicode MS"/>
        </w:rPr>
        <w:br/>
      </w:r>
      <w:r w:rsidRPr="00A85DA4">
        <w:rPr>
          <w:rFonts w:eastAsia="Arial Unicode MS"/>
        </w:rPr>
        <w:t xml:space="preserve">con el </w:t>
      </w:r>
      <w:r w:rsidR="00F76B88">
        <w:rPr>
          <w:rFonts w:eastAsia="Arial Unicode MS"/>
        </w:rPr>
        <w:t>mecanismo</w:t>
      </w:r>
      <w:r w:rsidRPr="00A85DA4">
        <w:rPr>
          <w:rFonts w:eastAsia="Arial Unicode MS"/>
        </w:rPr>
        <w:t xml:space="preserve"> </w:t>
      </w:r>
      <w:r w:rsidR="00304BB6">
        <w:rPr>
          <w:rFonts w:eastAsia="Arial Unicode MS"/>
        </w:rPr>
        <w:t>nacional de prevención</w:t>
      </w:r>
    </w:p>
    <w:p w14:paraId="4A941C4E" w14:textId="44E9278C" w:rsidR="004C7488" w:rsidRDefault="004C7488" w:rsidP="004C7488">
      <w:pPr>
        <w:spacing w:after="120"/>
        <w:ind w:left="1134" w:right="1134"/>
        <w:jc w:val="both"/>
        <w:rPr>
          <w:lang w:val="es-AR"/>
        </w:rPr>
      </w:pPr>
      <w:r w:rsidRPr="00F35FBA">
        <w:rPr>
          <w:lang w:val="es-AR"/>
        </w:rPr>
        <w:t xml:space="preserve">Centro de Atención Institucional Vilma </w:t>
      </w:r>
      <w:proofErr w:type="spellStart"/>
      <w:r w:rsidRPr="00F35FBA">
        <w:rPr>
          <w:lang w:val="es-AR"/>
        </w:rPr>
        <w:t>Curling</w:t>
      </w:r>
      <w:proofErr w:type="spellEnd"/>
      <w:r w:rsidRPr="00F35FBA">
        <w:rPr>
          <w:lang w:val="es-AR"/>
        </w:rPr>
        <w:t>, Desamparados, San José</w:t>
      </w:r>
    </w:p>
    <w:p w14:paraId="3F9F00D3" w14:textId="51EF65C2" w:rsidR="001B3103" w:rsidRPr="001B3103" w:rsidRDefault="001B3103" w:rsidP="001B3103">
      <w:pPr>
        <w:pStyle w:val="SingleTxtG"/>
        <w:suppressAutoHyphens/>
        <w:spacing w:before="240" w:after="0"/>
        <w:jc w:val="center"/>
        <w:rPr>
          <w:u w:val="single"/>
          <w:lang w:val="es-AR"/>
        </w:rPr>
      </w:pPr>
      <w:r>
        <w:rPr>
          <w:u w:val="single"/>
          <w:lang w:val="es-AR"/>
        </w:rPr>
        <w:tab/>
      </w:r>
      <w:r>
        <w:rPr>
          <w:u w:val="single"/>
          <w:lang w:val="es-AR"/>
        </w:rPr>
        <w:tab/>
      </w:r>
      <w:r>
        <w:rPr>
          <w:u w:val="single"/>
          <w:lang w:val="es-AR"/>
        </w:rPr>
        <w:tab/>
      </w:r>
      <w:bookmarkStart w:id="0" w:name="_GoBack"/>
      <w:bookmarkEnd w:id="0"/>
    </w:p>
    <w:sectPr w:rsidR="001B3103" w:rsidRPr="001B3103" w:rsidSect="004963B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281B" w14:textId="77777777" w:rsidR="00C71FBC" w:rsidRPr="00A312BC" w:rsidRDefault="00C71FBC" w:rsidP="00A312BC">
      <w:pPr>
        <w:pStyle w:val="Piedepgina"/>
      </w:pPr>
    </w:p>
  </w:endnote>
  <w:endnote w:type="continuationSeparator" w:id="0">
    <w:p w14:paraId="08CAF1E4" w14:textId="77777777" w:rsidR="00C71FBC" w:rsidRPr="00A312BC" w:rsidRDefault="00C71FB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7B67" w14:textId="77777777" w:rsidR="0035427A" w:rsidRPr="004963B0" w:rsidRDefault="0035427A" w:rsidP="004963B0">
    <w:pPr>
      <w:pStyle w:val="Piedepgina"/>
      <w:tabs>
        <w:tab w:val="right" w:pos="9638"/>
      </w:tabs>
    </w:pPr>
    <w:r w:rsidRPr="004963B0">
      <w:rPr>
        <w:b/>
        <w:sz w:val="18"/>
      </w:rPr>
      <w:fldChar w:fldCharType="begin"/>
    </w:r>
    <w:r w:rsidRPr="004963B0">
      <w:rPr>
        <w:b/>
        <w:sz w:val="18"/>
      </w:rPr>
      <w:instrText xml:space="preserve"> PAGE  \* MERGEFORMAT </w:instrText>
    </w:r>
    <w:r w:rsidRPr="004963B0">
      <w:rPr>
        <w:b/>
        <w:sz w:val="18"/>
      </w:rPr>
      <w:fldChar w:fldCharType="separate"/>
    </w:r>
    <w:r w:rsidR="00145E05">
      <w:rPr>
        <w:b/>
        <w:noProof/>
        <w:sz w:val="18"/>
      </w:rPr>
      <w:t>2</w:t>
    </w:r>
    <w:r w:rsidRPr="004963B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C025" w14:textId="77777777" w:rsidR="0035427A" w:rsidRPr="004963B0" w:rsidRDefault="0035427A" w:rsidP="004963B0">
    <w:pPr>
      <w:pStyle w:val="Piedepgina"/>
      <w:tabs>
        <w:tab w:val="right" w:pos="9638"/>
      </w:tabs>
      <w:rPr>
        <w:b/>
        <w:sz w:val="18"/>
      </w:rPr>
    </w:pPr>
    <w:r>
      <w:tab/>
    </w:r>
    <w:r w:rsidRPr="004963B0">
      <w:rPr>
        <w:b/>
        <w:sz w:val="18"/>
      </w:rPr>
      <w:fldChar w:fldCharType="begin"/>
    </w:r>
    <w:r w:rsidRPr="004963B0">
      <w:rPr>
        <w:b/>
        <w:sz w:val="18"/>
      </w:rPr>
      <w:instrText xml:space="preserve"> PAGE  \* MERGEFORMAT </w:instrText>
    </w:r>
    <w:r w:rsidRPr="004963B0">
      <w:rPr>
        <w:b/>
        <w:sz w:val="18"/>
      </w:rPr>
      <w:fldChar w:fldCharType="separate"/>
    </w:r>
    <w:r w:rsidR="00145E05">
      <w:rPr>
        <w:b/>
        <w:noProof/>
        <w:sz w:val="18"/>
      </w:rPr>
      <w:t>13</w:t>
    </w:r>
    <w:r w:rsidRPr="004963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EEE5" w14:textId="77777777" w:rsidR="002D6907" w:rsidRPr="00C0704E" w:rsidRDefault="00C0704E" w:rsidP="00C0704E">
    <w:pPr>
      <w:pStyle w:val="Piedepgina"/>
      <w:spacing w:before="120" w:line="240" w:lineRule="auto"/>
      <w:rPr>
        <w:sz w:val="20"/>
      </w:rPr>
    </w:pPr>
    <w:proofErr w:type="spellStart"/>
    <w:r>
      <w:rPr>
        <w:sz w:val="20"/>
      </w:rPr>
      <w:t>GE.19</w:t>
    </w:r>
    <w:proofErr w:type="spellEnd"/>
    <w:r>
      <w:rPr>
        <w:sz w:val="20"/>
      </w:rPr>
      <w:t>-</w:t>
    </w:r>
    <w:proofErr w:type="gramStart"/>
    <w:r>
      <w:rPr>
        <w:sz w:val="20"/>
      </w:rPr>
      <w:t>21442  (</w:t>
    </w:r>
    <w:proofErr w:type="gramEnd"/>
    <w:r>
      <w:rPr>
        <w:sz w:val="20"/>
      </w:rPr>
      <w:t>S)</w:t>
    </w:r>
    <w:r>
      <w:rPr>
        <w:sz w:val="20"/>
      </w:rPr>
      <w:br/>
    </w:r>
    <w:r w:rsidRPr="00C0704E">
      <w:rPr>
        <w:rFonts w:ascii="C39T30Lfz" w:hAnsi="C39T30Lfz"/>
        <w:sz w:val="56"/>
      </w:rPr>
      <w:t></w:t>
    </w:r>
    <w:r w:rsidRPr="00C0704E">
      <w:rPr>
        <w:rFonts w:ascii="C39T30Lfz" w:hAnsi="C39T30Lfz"/>
        <w:sz w:val="56"/>
      </w:rPr>
      <w:t></w:t>
    </w:r>
    <w:r w:rsidRPr="00C0704E">
      <w:rPr>
        <w:rFonts w:ascii="C39T30Lfz" w:hAnsi="C39T30Lfz"/>
        <w:sz w:val="56"/>
      </w:rPr>
      <w:t></w:t>
    </w:r>
    <w:r w:rsidRPr="00C0704E">
      <w:rPr>
        <w:rFonts w:ascii="C39T30Lfz" w:hAnsi="C39T30Lfz"/>
        <w:sz w:val="56"/>
      </w:rPr>
      <w:t></w:t>
    </w:r>
    <w:r w:rsidRPr="00C0704E">
      <w:rPr>
        <w:rFonts w:ascii="C39T30Lfz" w:hAnsi="C39T30Lfz"/>
        <w:sz w:val="56"/>
      </w:rPr>
      <w:t></w:t>
    </w:r>
    <w:r w:rsidRPr="00C0704E">
      <w:rPr>
        <w:rFonts w:ascii="C39T30Lfz" w:hAnsi="C39T30Lfz"/>
        <w:sz w:val="56"/>
      </w:rPr>
      <w:t></w:t>
    </w:r>
    <w:r w:rsidRPr="00C0704E">
      <w:rPr>
        <w:rFonts w:ascii="C39T30Lfz" w:hAnsi="C39T30Lfz"/>
        <w:sz w:val="56"/>
      </w:rPr>
      <w:t></w:t>
    </w:r>
    <w:r w:rsidRPr="00C0704E">
      <w:rPr>
        <w:rFonts w:ascii="C39T30Lfz" w:hAnsi="C39T30Lfz"/>
        <w:sz w:val="56"/>
      </w:rPr>
      <w:t></w:t>
    </w:r>
    <w:r w:rsidRPr="00C0704E">
      <w:rPr>
        <w:rFonts w:ascii="C39T30Lfz" w:hAnsi="C39T30Lfz"/>
        <w:sz w:val="56"/>
      </w:rPr>
      <w:t></w:t>
    </w:r>
    <w:r w:rsidRPr="00C0704E">
      <w:rPr>
        <w:rFonts w:ascii="C39T30Lfz" w:hAnsi="C39T30Lfz"/>
        <w:noProof/>
        <w:sz w:val="56"/>
        <w:lang w:val="fr-CH" w:eastAsia="zh-CN"/>
      </w:rPr>
      <w:drawing>
        <wp:anchor distT="0" distB="0" distL="114300" distR="114300" simplePos="0" relativeHeight="251660288" behindDoc="0" locked="1" layoutInCell="1" allowOverlap="1" wp14:anchorId="24C99EBA" wp14:editId="65DB00FD">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1DC1C553" wp14:editId="2DBBCBB5">
          <wp:simplePos x="0" y="0"/>
          <wp:positionH relativeFrom="margin">
            <wp:posOffset>5489575</wp:posOffset>
          </wp:positionH>
          <wp:positionV relativeFrom="margin">
            <wp:posOffset>8891905</wp:posOffset>
          </wp:positionV>
          <wp:extent cx="561975" cy="561975"/>
          <wp:effectExtent l="0" t="0" r="9525" b="9525"/>
          <wp:wrapNone/>
          <wp:docPr id="2" name="Imagen 1" descr="https://undocs.org/m2/QRCode.ashx?DS=CAT/OP/CRI/RONPM/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CRI/RONPM/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5E95" w14:textId="77777777" w:rsidR="00C71FBC" w:rsidRPr="001075E9" w:rsidRDefault="00C71FBC" w:rsidP="001075E9">
      <w:pPr>
        <w:tabs>
          <w:tab w:val="right" w:pos="2155"/>
        </w:tabs>
        <w:spacing w:after="80" w:line="240" w:lineRule="auto"/>
        <w:ind w:left="680"/>
        <w:rPr>
          <w:u w:val="single"/>
        </w:rPr>
      </w:pPr>
      <w:r>
        <w:rPr>
          <w:u w:val="single"/>
        </w:rPr>
        <w:tab/>
      </w:r>
    </w:p>
  </w:footnote>
  <w:footnote w:type="continuationSeparator" w:id="0">
    <w:p w14:paraId="40EB9D13" w14:textId="77777777" w:rsidR="00C71FBC" w:rsidRDefault="00C71FBC" w:rsidP="00407B78">
      <w:pPr>
        <w:tabs>
          <w:tab w:val="right" w:pos="2155"/>
        </w:tabs>
        <w:spacing w:after="80"/>
        <w:ind w:left="680"/>
        <w:rPr>
          <w:u w:val="single"/>
        </w:rPr>
      </w:pPr>
      <w:r>
        <w:rPr>
          <w:u w:val="single"/>
        </w:rPr>
        <w:tab/>
      </w:r>
    </w:p>
  </w:footnote>
  <w:footnote w:id="1">
    <w:p w14:paraId="1882AE55" w14:textId="77777777" w:rsidR="0035427A" w:rsidRPr="002D6907" w:rsidRDefault="0035427A" w:rsidP="00B50CDA">
      <w:pPr>
        <w:pStyle w:val="Textonotapie"/>
      </w:pPr>
      <w:r>
        <w:tab/>
      </w:r>
      <w:r w:rsidRPr="00347A3B">
        <w:rPr>
          <w:rStyle w:val="Refdenotaalpie"/>
          <w:sz w:val="20"/>
          <w:vertAlign w:val="baseline"/>
        </w:rPr>
        <w:t>*</w:t>
      </w:r>
      <w:r w:rsidRPr="00347A3B">
        <w:rPr>
          <w:rStyle w:val="Refdenotaalpie"/>
          <w:vertAlign w:val="baseline"/>
        </w:rPr>
        <w:tab/>
      </w:r>
      <w:r w:rsidRPr="002D6907">
        <w:t>De conformidad con el artículo 16, párrafo 1, del Protocolo Facultativo, el presente informe se transmitió con carácter confidencial al mecanismo nacional de prevención el 2 de diciembre de 2019.</w:t>
      </w:r>
      <w:r w:rsidR="00B50CDA" w:rsidRPr="00B50CDA">
        <w:t xml:space="preserve"> </w:t>
      </w:r>
      <w:r w:rsidR="00B50CDA" w:rsidRPr="009309D0">
        <w:t xml:space="preserve">El </w:t>
      </w:r>
      <w:r w:rsidR="00B50CDA">
        <w:t>9 de diciembre de 2019</w:t>
      </w:r>
      <w:r w:rsidR="00B50CDA" w:rsidRPr="009309D0">
        <w:t>, el</w:t>
      </w:r>
      <w:r w:rsidR="00B50CDA">
        <w:t xml:space="preserve"> </w:t>
      </w:r>
      <w:r w:rsidR="00B50CDA" w:rsidRPr="00B50CDA">
        <w:rPr>
          <w:color w:val="000000" w:themeColor="text1"/>
        </w:rPr>
        <w:t xml:space="preserve">mecanismo nacional de prevención </w:t>
      </w:r>
      <w:r w:rsidR="00B50CDA" w:rsidRPr="009309D0">
        <w:t>pidió al Subcomité que publicara el informe, de conformidad con el artículo 16, párrafo 2, del Protocolo Facultativo.</w:t>
      </w:r>
    </w:p>
  </w:footnote>
  <w:footnote w:id="2">
    <w:p w14:paraId="6866A29B" w14:textId="77777777" w:rsidR="0035427A" w:rsidRPr="002D6907" w:rsidRDefault="0035427A">
      <w:pPr>
        <w:pStyle w:val="Textonotapie"/>
      </w:pPr>
      <w:r w:rsidRPr="002D6907">
        <w:tab/>
      </w:r>
      <w:r w:rsidRPr="00347A3B">
        <w:rPr>
          <w:rStyle w:val="Refdenotaalpie"/>
          <w:sz w:val="20"/>
          <w:vertAlign w:val="baseline"/>
        </w:rPr>
        <w:t>**</w:t>
      </w:r>
      <w:r w:rsidRPr="00347A3B">
        <w:rPr>
          <w:rStyle w:val="Refdenotaalpie"/>
          <w:vertAlign w:val="baseline"/>
        </w:rPr>
        <w:tab/>
      </w:r>
      <w:r w:rsidRPr="002D6907">
        <w:t xml:space="preserve">Los anexos del presente documento se distribuyen únicamente en el idioma en que se presentaron. </w:t>
      </w:r>
    </w:p>
  </w:footnote>
  <w:footnote w:id="3">
    <w:p w14:paraId="44790932" w14:textId="77777777" w:rsidR="0035427A" w:rsidRPr="00347A3B" w:rsidRDefault="0035427A" w:rsidP="00347A3B">
      <w:pPr>
        <w:pStyle w:val="Textonotapie"/>
      </w:pPr>
      <w:r w:rsidRPr="00347A3B">
        <w:tab/>
      </w:r>
      <w:r w:rsidRPr="002D6907">
        <w:rPr>
          <w:rStyle w:val="Refdenotaalpie"/>
        </w:rPr>
        <w:footnoteRef/>
      </w:r>
      <w:r w:rsidRPr="00347A3B">
        <w:t xml:space="preserve"> </w:t>
      </w:r>
      <w:r w:rsidRPr="00347A3B">
        <w:tab/>
        <w:t>En el presente informe se utiliza la expresión genérica “malos tratos” para designar toda forma de trato o pena cruel, inhumano o degradante, de conformidad con el artículo 16 de la Convención contra la Tortura.</w:t>
      </w:r>
    </w:p>
  </w:footnote>
  <w:footnote w:id="4">
    <w:p w14:paraId="7262AACA" w14:textId="77777777" w:rsidR="0035427A" w:rsidRPr="00347A3B" w:rsidRDefault="005B5CAB" w:rsidP="00347A3B">
      <w:pPr>
        <w:pStyle w:val="Textonotapie"/>
      </w:pPr>
      <w:r>
        <w:tab/>
      </w:r>
      <w:r w:rsidR="0035427A" w:rsidRPr="002D6907">
        <w:rPr>
          <w:rStyle w:val="Refdenotaalpie"/>
        </w:rPr>
        <w:footnoteRef/>
      </w:r>
      <w:r>
        <w:tab/>
      </w:r>
      <w:r w:rsidR="0035427A" w:rsidRPr="00347A3B">
        <w:t>Artículo 5 de la ley de creación del mecanismo.</w:t>
      </w:r>
    </w:p>
  </w:footnote>
  <w:footnote w:id="5">
    <w:p w14:paraId="4E3EE93D" w14:textId="77777777" w:rsidR="0035427A" w:rsidRPr="00347A3B" w:rsidRDefault="0035427A" w:rsidP="00347A3B">
      <w:pPr>
        <w:pStyle w:val="Textonotapie"/>
      </w:pPr>
      <w:r w:rsidRPr="00347A3B">
        <w:tab/>
      </w:r>
      <w:r w:rsidRPr="00347A3B">
        <w:rPr>
          <w:rStyle w:val="Refdenotaalpie"/>
        </w:rPr>
        <w:footnoteRef/>
      </w:r>
      <w:r w:rsidRPr="00347A3B">
        <w:t xml:space="preserve"> </w:t>
      </w:r>
      <w:r w:rsidRPr="00347A3B">
        <w:tab/>
        <w:t xml:space="preserve">El Subcomité acogió con satisfacción observar el arribo de chalecos diseñados por el mecanismo, durante la reunión final que se sostuvo entre el Subcomité y el mecanismo. Estos chalecos serán sin duda un gran aporte a la visibilidad del mecanismo durante las visitas.  </w:t>
      </w:r>
    </w:p>
  </w:footnote>
  <w:footnote w:id="6">
    <w:p w14:paraId="5E86ABB0" w14:textId="77777777" w:rsidR="0035427A" w:rsidRPr="007C1B17" w:rsidRDefault="0035427A">
      <w:pPr>
        <w:pStyle w:val="Textonotapie"/>
        <w:rPr>
          <w:lang w:val="en-US"/>
        </w:rPr>
      </w:pPr>
      <w:r w:rsidRPr="002D6907">
        <w:tab/>
      </w:r>
      <w:r w:rsidRPr="002D6907">
        <w:rPr>
          <w:rStyle w:val="Refdenotaalpie"/>
        </w:rPr>
        <w:footnoteRef/>
      </w:r>
      <w:r w:rsidRPr="007C1B17">
        <w:rPr>
          <w:lang w:val="en-US"/>
        </w:rPr>
        <w:t xml:space="preserve"> </w:t>
      </w:r>
      <w:r w:rsidRPr="007C1B17">
        <w:rPr>
          <w:lang w:val="en-US"/>
        </w:rPr>
        <w:tab/>
        <w:t>CAT/OP/12/5.</w:t>
      </w:r>
    </w:p>
  </w:footnote>
  <w:footnote w:id="7">
    <w:p w14:paraId="6F7579AB" w14:textId="77777777" w:rsidR="0035427A" w:rsidRPr="00347A3B" w:rsidRDefault="0035427A">
      <w:pPr>
        <w:pStyle w:val="Textonotapie"/>
      </w:pPr>
      <w:r w:rsidRPr="007C1B17">
        <w:rPr>
          <w:lang w:val="en-US"/>
        </w:rPr>
        <w:tab/>
      </w:r>
      <w:r w:rsidRPr="002D6907">
        <w:rPr>
          <w:rStyle w:val="Refdenotaalpie"/>
        </w:rPr>
        <w:footnoteRef/>
      </w:r>
      <w:r w:rsidRPr="007C1B17">
        <w:rPr>
          <w:lang w:val="en-US"/>
        </w:rPr>
        <w:tab/>
        <w:t xml:space="preserve">CAT/OP/12/5, </w:t>
      </w:r>
      <w:proofErr w:type="spellStart"/>
      <w:r w:rsidRPr="007C1B17">
        <w:rPr>
          <w:lang w:val="en-US"/>
        </w:rPr>
        <w:t>párrs</w:t>
      </w:r>
      <w:proofErr w:type="spellEnd"/>
      <w:r w:rsidRPr="007C1B17">
        <w:rPr>
          <w:lang w:val="en-US"/>
        </w:rPr>
        <w:t xml:space="preserve">. </w:t>
      </w:r>
      <w:r w:rsidRPr="00347A3B">
        <w:t xml:space="preserve">36 y 38. </w:t>
      </w:r>
    </w:p>
  </w:footnote>
  <w:footnote w:id="8">
    <w:p w14:paraId="08C98332" w14:textId="77777777" w:rsidR="0035427A" w:rsidRPr="00347A3B" w:rsidRDefault="0035427A">
      <w:pPr>
        <w:pStyle w:val="Textonotapie"/>
      </w:pPr>
      <w:r w:rsidRPr="00347A3B">
        <w:tab/>
      </w:r>
      <w:r w:rsidRPr="002D6907">
        <w:rPr>
          <w:rStyle w:val="Refdenotaalpie"/>
        </w:rPr>
        <w:footnoteRef/>
      </w:r>
      <w:r w:rsidRPr="00347A3B">
        <w:t xml:space="preserve"> </w:t>
      </w:r>
      <w:r w:rsidRPr="00347A3B">
        <w:tab/>
        <w:t>Se alienta a Costa Rica a que estudie la posibilidad de dirigirse al programa de fomento de la capacidad de los órganos de tratados del ACNUDH (</w:t>
      </w:r>
      <w:proofErr w:type="spellStart"/>
      <w:r w:rsidRPr="00347A3B">
        <w:t>registry@ohchr.org</w:t>
      </w:r>
      <w:proofErr w:type="spellEnd"/>
      <w:r w:rsidRPr="00347A3B">
        <w:t xml:space="preserve">), que podría facilitar el diálogo. La información de contacto del Fondo Especial puede consultarse en https://www.ohchr.org/SP/HRBodies/OPCAT/Fund/Pages/SpecialFund.aspx.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D72D" w14:textId="77777777" w:rsidR="0035427A" w:rsidRPr="00CD710E" w:rsidRDefault="0035427A">
    <w:pPr>
      <w:pStyle w:val="Encabezado"/>
      <w:rPr>
        <w:lang w:val="en-GB"/>
      </w:rPr>
    </w:pPr>
    <w:r>
      <w:rPr>
        <w:lang w:val="en-GB"/>
      </w:rPr>
      <w:t>CAT/OP/CRI/</w:t>
    </w:r>
    <w:proofErr w:type="spellStart"/>
    <w:r>
      <w:rPr>
        <w:lang w:val="en-GB"/>
      </w:rPr>
      <w:t>RONPM</w:t>
    </w:r>
    <w:proofErr w:type="spellEnd"/>
    <w:r>
      <w:rPr>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D359" w14:textId="77777777" w:rsidR="0035427A" w:rsidRPr="001E15DC" w:rsidRDefault="0035427A" w:rsidP="004963B0">
    <w:pPr>
      <w:pStyle w:val="Encabezado"/>
      <w:jc w:val="right"/>
      <w:rPr>
        <w:lang w:val="en-GB"/>
      </w:rPr>
    </w:pPr>
    <w:r w:rsidRPr="001E15DC">
      <w:rPr>
        <w:lang w:val="en-GB"/>
      </w:rPr>
      <w:t>CAT/OP/CRI/</w:t>
    </w:r>
    <w:proofErr w:type="spellStart"/>
    <w:r w:rsidRPr="001E15DC">
      <w:rPr>
        <w:lang w:val="en-GB"/>
      </w:rPr>
      <w:t>RONPM</w:t>
    </w:r>
    <w:proofErr w:type="spellEnd"/>
    <w:r w:rsidRPr="001E15DC">
      <w:rPr>
        <w:lang w:val="en-GB"/>
      </w:rPr>
      <w:t>/</w:t>
    </w:r>
    <w:r>
      <w:rPr>
        <w:lang w:val="en-GB"/>
      </w:rPr>
      <w:t>1</w:t>
    </w:r>
    <w:r w:rsidRPr="001E15DC">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ParNoG"/>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A7494E"/>
    <w:multiLevelType w:val="hybridMultilevel"/>
    <w:tmpl w:val="15189914"/>
    <w:lvl w:ilvl="0" w:tplc="2460DB86">
      <w:start w:val="1"/>
      <w:numFmt w:val="decimal"/>
      <w:lvlText w:val="%1."/>
      <w:lvlJc w:val="left"/>
      <w:pPr>
        <w:ind w:left="1832"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F490B46"/>
    <w:multiLevelType w:val="hybridMultilevel"/>
    <w:tmpl w:val="F1C4A3C2"/>
    <w:lvl w:ilvl="0" w:tplc="08090015">
      <w:start w:val="2"/>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116C0232"/>
    <w:multiLevelType w:val="hybridMultilevel"/>
    <w:tmpl w:val="1B62C27E"/>
    <w:lvl w:ilvl="0" w:tplc="08B6ABC6">
      <w:start w:val="28"/>
      <w:numFmt w:val="decimal"/>
      <w:lvlText w:val="%1."/>
      <w:lvlJc w:val="left"/>
      <w:pPr>
        <w:ind w:left="1689" w:hanging="5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B8636C"/>
    <w:multiLevelType w:val="hybridMultilevel"/>
    <w:tmpl w:val="2666595E"/>
    <w:lvl w:ilvl="0" w:tplc="E486AE24">
      <w:start w:val="19"/>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34F49BE"/>
    <w:multiLevelType w:val="hybridMultilevel"/>
    <w:tmpl w:val="9F2A9912"/>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B7030D9"/>
    <w:multiLevelType w:val="hybridMultilevel"/>
    <w:tmpl w:val="5DBC5860"/>
    <w:lvl w:ilvl="0" w:tplc="8DF21240">
      <w:start w:val="1"/>
      <w:numFmt w:val="upperLetter"/>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3221653C"/>
    <w:multiLevelType w:val="hybridMultilevel"/>
    <w:tmpl w:val="6434A802"/>
    <w:lvl w:ilvl="0" w:tplc="013A62B8">
      <w:start w:val="15"/>
      <w:numFmt w:val="decimal"/>
      <w:lvlText w:val="%1."/>
      <w:lvlJc w:val="left"/>
      <w:pPr>
        <w:ind w:left="1494" w:hanging="360"/>
      </w:pPr>
      <w:rPr>
        <w:rFonts w:hint="default"/>
        <w:b w:val="0"/>
        <w:bCs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F55E9"/>
    <w:multiLevelType w:val="hybridMultilevel"/>
    <w:tmpl w:val="5DBC5860"/>
    <w:lvl w:ilvl="0" w:tplc="8DF21240">
      <w:start w:val="1"/>
      <w:numFmt w:val="upperLetter"/>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A883F6A"/>
    <w:multiLevelType w:val="hybridMultilevel"/>
    <w:tmpl w:val="5D68C386"/>
    <w:lvl w:ilvl="0" w:tplc="7EA03612">
      <w:start w:val="1"/>
      <w:numFmt w:val="upperRoman"/>
      <w:lvlText w:val="%1."/>
      <w:lvlJc w:val="right"/>
      <w:pPr>
        <w:ind w:left="720" w:hanging="360"/>
      </w:pPr>
      <w:rPr>
        <w:b/>
        <w:bCs/>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824B6C"/>
    <w:multiLevelType w:val="multilevel"/>
    <w:tmpl w:val="D43A4BB8"/>
    <w:lvl w:ilvl="0">
      <w:start w:val="1"/>
      <w:numFmt w:val="decimal"/>
      <w:pStyle w:val="Sinespaciado"/>
      <w:lvlText w:val="%1."/>
      <w:lvlJc w:val="left"/>
      <w:pPr>
        <w:ind w:left="1495"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66B56ED9"/>
    <w:multiLevelType w:val="hybridMultilevel"/>
    <w:tmpl w:val="5B0EA184"/>
    <w:lvl w:ilvl="0" w:tplc="08090015">
      <w:start w:val="2"/>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7"/>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1"/>
  </w:num>
  <w:num w:numId="18">
    <w:abstractNumId w:val="15"/>
  </w:num>
  <w:num w:numId="19">
    <w:abstractNumId w:val="18"/>
  </w:num>
  <w:num w:numId="20">
    <w:abstractNumId w:val="10"/>
  </w:num>
  <w:num w:numId="21">
    <w:abstractNumId w:val="19"/>
  </w:num>
  <w:num w:numId="22">
    <w:abstractNumId w:val="16"/>
  </w:num>
  <w:num w:numId="23">
    <w:abstractNumId w:val="13"/>
  </w:num>
  <w:num w:numId="24">
    <w:abstractNumId w:val="12"/>
  </w:num>
  <w:num w:numId="25">
    <w:abstractNumId w:val="22"/>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C7"/>
    <w:rsid w:val="00011C18"/>
    <w:rsid w:val="000223F5"/>
    <w:rsid w:val="00033EE1"/>
    <w:rsid w:val="00042B72"/>
    <w:rsid w:val="00042D9E"/>
    <w:rsid w:val="000558BD"/>
    <w:rsid w:val="00072189"/>
    <w:rsid w:val="0007361B"/>
    <w:rsid w:val="000771D5"/>
    <w:rsid w:val="0008244E"/>
    <w:rsid w:val="00082D54"/>
    <w:rsid w:val="000B57E7"/>
    <w:rsid w:val="000B6373"/>
    <w:rsid w:val="000D083A"/>
    <w:rsid w:val="000E2114"/>
    <w:rsid w:val="000E2C61"/>
    <w:rsid w:val="000E61F2"/>
    <w:rsid w:val="000F09DF"/>
    <w:rsid w:val="000F56FB"/>
    <w:rsid w:val="000F61B2"/>
    <w:rsid w:val="000F6543"/>
    <w:rsid w:val="001075E9"/>
    <w:rsid w:val="001147DD"/>
    <w:rsid w:val="001302FC"/>
    <w:rsid w:val="0013318E"/>
    <w:rsid w:val="00144524"/>
    <w:rsid w:val="00145E05"/>
    <w:rsid w:val="00154869"/>
    <w:rsid w:val="001556F8"/>
    <w:rsid w:val="00166B49"/>
    <w:rsid w:val="00180183"/>
    <w:rsid w:val="0018024D"/>
    <w:rsid w:val="0018649F"/>
    <w:rsid w:val="00196389"/>
    <w:rsid w:val="00197A8F"/>
    <w:rsid w:val="001B2EEF"/>
    <w:rsid w:val="001B3103"/>
    <w:rsid w:val="001B3EF6"/>
    <w:rsid w:val="001C1001"/>
    <w:rsid w:val="001C5046"/>
    <w:rsid w:val="001C6645"/>
    <w:rsid w:val="001C7A89"/>
    <w:rsid w:val="001E15DC"/>
    <w:rsid w:val="001F1CA6"/>
    <w:rsid w:val="00217032"/>
    <w:rsid w:val="00217B9F"/>
    <w:rsid w:val="00232F65"/>
    <w:rsid w:val="00243AA8"/>
    <w:rsid w:val="002642D8"/>
    <w:rsid w:val="00266E10"/>
    <w:rsid w:val="00295D44"/>
    <w:rsid w:val="00297047"/>
    <w:rsid w:val="002A2EFC"/>
    <w:rsid w:val="002B77E0"/>
    <w:rsid w:val="002C0E18"/>
    <w:rsid w:val="002C5A5A"/>
    <w:rsid w:val="002D5AAC"/>
    <w:rsid w:val="002D6907"/>
    <w:rsid w:val="002E5067"/>
    <w:rsid w:val="002E5130"/>
    <w:rsid w:val="002F37EC"/>
    <w:rsid w:val="002F405F"/>
    <w:rsid w:val="002F64DA"/>
    <w:rsid w:val="002F6CCA"/>
    <w:rsid w:val="002F7A10"/>
    <w:rsid w:val="002F7EEC"/>
    <w:rsid w:val="00301299"/>
    <w:rsid w:val="003028CF"/>
    <w:rsid w:val="00304BB6"/>
    <w:rsid w:val="00307FB6"/>
    <w:rsid w:val="0031283A"/>
    <w:rsid w:val="00314977"/>
    <w:rsid w:val="00317339"/>
    <w:rsid w:val="00322004"/>
    <w:rsid w:val="003343B7"/>
    <w:rsid w:val="003402C2"/>
    <w:rsid w:val="0034328D"/>
    <w:rsid w:val="00346EF5"/>
    <w:rsid w:val="00347A3B"/>
    <w:rsid w:val="0035427A"/>
    <w:rsid w:val="00363AA0"/>
    <w:rsid w:val="00367EF4"/>
    <w:rsid w:val="00381C24"/>
    <w:rsid w:val="003958D0"/>
    <w:rsid w:val="003A5990"/>
    <w:rsid w:val="003A78B0"/>
    <w:rsid w:val="003B00E5"/>
    <w:rsid w:val="003B4134"/>
    <w:rsid w:val="003C2AE7"/>
    <w:rsid w:val="003D7C17"/>
    <w:rsid w:val="003E34D3"/>
    <w:rsid w:val="00404C48"/>
    <w:rsid w:val="00407B78"/>
    <w:rsid w:val="0041138D"/>
    <w:rsid w:val="004175A5"/>
    <w:rsid w:val="004179E7"/>
    <w:rsid w:val="00424203"/>
    <w:rsid w:val="0043067C"/>
    <w:rsid w:val="00432A2A"/>
    <w:rsid w:val="00452493"/>
    <w:rsid w:val="00454E07"/>
    <w:rsid w:val="0045756B"/>
    <w:rsid w:val="0046034A"/>
    <w:rsid w:val="00472C5C"/>
    <w:rsid w:val="00474218"/>
    <w:rsid w:val="004772F3"/>
    <w:rsid w:val="0049334D"/>
    <w:rsid w:val="00495FF0"/>
    <w:rsid w:val="004963B0"/>
    <w:rsid w:val="004B3063"/>
    <w:rsid w:val="004B592F"/>
    <w:rsid w:val="004B5CA6"/>
    <w:rsid w:val="004C53F0"/>
    <w:rsid w:val="004C7488"/>
    <w:rsid w:val="004E3A92"/>
    <w:rsid w:val="004F5F1D"/>
    <w:rsid w:val="004F6304"/>
    <w:rsid w:val="0050108D"/>
    <w:rsid w:val="0050433C"/>
    <w:rsid w:val="00513081"/>
    <w:rsid w:val="00517901"/>
    <w:rsid w:val="00523666"/>
    <w:rsid w:val="00526683"/>
    <w:rsid w:val="00527686"/>
    <w:rsid w:val="005464D7"/>
    <w:rsid w:val="005675C6"/>
    <w:rsid w:val="005709E0"/>
    <w:rsid w:val="00572E19"/>
    <w:rsid w:val="00581021"/>
    <w:rsid w:val="005814C0"/>
    <w:rsid w:val="00595053"/>
    <w:rsid w:val="005961C8"/>
    <w:rsid w:val="005A2A75"/>
    <w:rsid w:val="005B017C"/>
    <w:rsid w:val="005B5CAB"/>
    <w:rsid w:val="005B746F"/>
    <w:rsid w:val="005C0F07"/>
    <w:rsid w:val="005C3761"/>
    <w:rsid w:val="005D7914"/>
    <w:rsid w:val="005E2B41"/>
    <w:rsid w:val="005F0B42"/>
    <w:rsid w:val="005F20A9"/>
    <w:rsid w:val="00617FF7"/>
    <w:rsid w:val="00626F91"/>
    <w:rsid w:val="00633254"/>
    <w:rsid w:val="00663001"/>
    <w:rsid w:val="0066615C"/>
    <w:rsid w:val="00674829"/>
    <w:rsid w:val="00681A10"/>
    <w:rsid w:val="0068222F"/>
    <w:rsid w:val="006864A2"/>
    <w:rsid w:val="006A1ED8"/>
    <w:rsid w:val="006C2031"/>
    <w:rsid w:val="006D461A"/>
    <w:rsid w:val="006F06B4"/>
    <w:rsid w:val="006F35EE"/>
    <w:rsid w:val="007021FF"/>
    <w:rsid w:val="00712895"/>
    <w:rsid w:val="00716B22"/>
    <w:rsid w:val="00733630"/>
    <w:rsid w:val="00736A9B"/>
    <w:rsid w:val="00736D60"/>
    <w:rsid w:val="007438BB"/>
    <w:rsid w:val="00745F57"/>
    <w:rsid w:val="007544A8"/>
    <w:rsid w:val="00756086"/>
    <w:rsid w:val="00757357"/>
    <w:rsid w:val="007B26C5"/>
    <w:rsid w:val="007C1B17"/>
    <w:rsid w:val="007D0B01"/>
    <w:rsid w:val="007D1327"/>
    <w:rsid w:val="007E6067"/>
    <w:rsid w:val="007E6B1A"/>
    <w:rsid w:val="007F5ABD"/>
    <w:rsid w:val="00825F8D"/>
    <w:rsid w:val="00834B71"/>
    <w:rsid w:val="008438B9"/>
    <w:rsid w:val="0085294D"/>
    <w:rsid w:val="0086445C"/>
    <w:rsid w:val="0086798B"/>
    <w:rsid w:val="00892800"/>
    <w:rsid w:val="00894693"/>
    <w:rsid w:val="008A08D7"/>
    <w:rsid w:val="008B6909"/>
    <w:rsid w:val="008B761F"/>
    <w:rsid w:val="008C64F2"/>
    <w:rsid w:val="008D5D86"/>
    <w:rsid w:val="008F2F58"/>
    <w:rsid w:val="00903D64"/>
    <w:rsid w:val="00906890"/>
    <w:rsid w:val="00906F2F"/>
    <w:rsid w:val="00911BE4"/>
    <w:rsid w:val="0091574E"/>
    <w:rsid w:val="00920F99"/>
    <w:rsid w:val="00951972"/>
    <w:rsid w:val="009608F3"/>
    <w:rsid w:val="00963160"/>
    <w:rsid w:val="00966198"/>
    <w:rsid w:val="00967CC0"/>
    <w:rsid w:val="00971D4B"/>
    <w:rsid w:val="009720B7"/>
    <w:rsid w:val="00976134"/>
    <w:rsid w:val="00981BCD"/>
    <w:rsid w:val="00995CC7"/>
    <w:rsid w:val="009A24AC"/>
    <w:rsid w:val="009A4D6E"/>
    <w:rsid w:val="009C251F"/>
    <w:rsid w:val="009F1FB9"/>
    <w:rsid w:val="00A008C6"/>
    <w:rsid w:val="00A23E5F"/>
    <w:rsid w:val="00A312BC"/>
    <w:rsid w:val="00A35965"/>
    <w:rsid w:val="00A415AA"/>
    <w:rsid w:val="00A51C18"/>
    <w:rsid w:val="00A679D2"/>
    <w:rsid w:val="00A73064"/>
    <w:rsid w:val="00A736B8"/>
    <w:rsid w:val="00A77EF8"/>
    <w:rsid w:val="00A84021"/>
    <w:rsid w:val="00A84D35"/>
    <w:rsid w:val="00A85DA4"/>
    <w:rsid w:val="00A86C1A"/>
    <w:rsid w:val="00A917B3"/>
    <w:rsid w:val="00AA085E"/>
    <w:rsid w:val="00AB4B51"/>
    <w:rsid w:val="00B10CC7"/>
    <w:rsid w:val="00B17962"/>
    <w:rsid w:val="00B20F97"/>
    <w:rsid w:val="00B24137"/>
    <w:rsid w:val="00B30D51"/>
    <w:rsid w:val="00B42425"/>
    <w:rsid w:val="00B434AC"/>
    <w:rsid w:val="00B50CDA"/>
    <w:rsid w:val="00B52488"/>
    <w:rsid w:val="00B539E7"/>
    <w:rsid w:val="00B62458"/>
    <w:rsid w:val="00B77D93"/>
    <w:rsid w:val="00B80775"/>
    <w:rsid w:val="00BA7391"/>
    <w:rsid w:val="00BB51AA"/>
    <w:rsid w:val="00BC18B2"/>
    <w:rsid w:val="00BC18F4"/>
    <w:rsid w:val="00BD286A"/>
    <w:rsid w:val="00BD33EE"/>
    <w:rsid w:val="00BE3747"/>
    <w:rsid w:val="00C0704E"/>
    <w:rsid w:val="00C106D6"/>
    <w:rsid w:val="00C47EA6"/>
    <w:rsid w:val="00C60F0C"/>
    <w:rsid w:val="00C71FBC"/>
    <w:rsid w:val="00C805C9"/>
    <w:rsid w:val="00C92939"/>
    <w:rsid w:val="00C9507F"/>
    <w:rsid w:val="00CA1679"/>
    <w:rsid w:val="00CA2A1E"/>
    <w:rsid w:val="00CA7660"/>
    <w:rsid w:val="00CB151C"/>
    <w:rsid w:val="00CC17CB"/>
    <w:rsid w:val="00CC64B9"/>
    <w:rsid w:val="00CD066D"/>
    <w:rsid w:val="00CD0C97"/>
    <w:rsid w:val="00CD6F14"/>
    <w:rsid w:val="00CD710E"/>
    <w:rsid w:val="00CE5A1A"/>
    <w:rsid w:val="00CF09BC"/>
    <w:rsid w:val="00CF1525"/>
    <w:rsid w:val="00CF55F6"/>
    <w:rsid w:val="00CF57C8"/>
    <w:rsid w:val="00D123D1"/>
    <w:rsid w:val="00D15DDA"/>
    <w:rsid w:val="00D33D63"/>
    <w:rsid w:val="00D5507E"/>
    <w:rsid w:val="00D6451C"/>
    <w:rsid w:val="00D6596D"/>
    <w:rsid w:val="00D712AE"/>
    <w:rsid w:val="00D90138"/>
    <w:rsid w:val="00D929CD"/>
    <w:rsid w:val="00D93105"/>
    <w:rsid w:val="00D94111"/>
    <w:rsid w:val="00DA7BEC"/>
    <w:rsid w:val="00DD1BD7"/>
    <w:rsid w:val="00DD6DAF"/>
    <w:rsid w:val="00E00033"/>
    <w:rsid w:val="00E03ABC"/>
    <w:rsid w:val="00E261E1"/>
    <w:rsid w:val="00E340D3"/>
    <w:rsid w:val="00E41FFE"/>
    <w:rsid w:val="00E43BC4"/>
    <w:rsid w:val="00E57FFC"/>
    <w:rsid w:val="00E61B40"/>
    <w:rsid w:val="00E67093"/>
    <w:rsid w:val="00E73F76"/>
    <w:rsid w:val="00E95A1E"/>
    <w:rsid w:val="00EA1893"/>
    <w:rsid w:val="00EA279A"/>
    <w:rsid w:val="00EA2C9F"/>
    <w:rsid w:val="00EA377B"/>
    <w:rsid w:val="00ED0BDA"/>
    <w:rsid w:val="00EF1360"/>
    <w:rsid w:val="00EF3220"/>
    <w:rsid w:val="00F26606"/>
    <w:rsid w:val="00F51559"/>
    <w:rsid w:val="00F70CF3"/>
    <w:rsid w:val="00F76B88"/>
    <w:rsid w:val="00F8787E"/>
    <w:rsid w:val="00F94155"/>
    <w:rsid w:val="00F9783F"/>
    <w:rsid w:val="00FB374A"/>
    <w:rsid w:val="00FD29F9"/>
    <w:rsid w:val="00FD2EF7"/>
    <w:rsid w:val="00FE447E"/>
    <w:rsid w:val="00FE521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651970B"/>
  <w15:docId w15:val="{82E56C07-08D0-4239-89F4-C7EE0439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Table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Char Char,Appel note de bas de page Char Char,Appel note de bas de page Char Char Char Char Char Char Char Char Char Char Char Char Char Char Char Char Char Char Char Char"/>
    <w:basedOn w:val="Fuentedeprrafopredeter"/>
    <w:link w:val="4GCha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tabs>
        <w:tab w:val="num" w:pos="360"/>
      </w:tabs>
      <w:ind w:left="360" w:hanging="360"/>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qFormat/>
    <w:rsid w:val="00681A10"/>
    <w:rPr>
      <w:b/>
      <w:bCs/>
    </w:rPr>
  </w:style>
  <w:style w:type="paragraph" w:styleId="Textoindependiente">
    <w:name w:val="Body Text"/>
    <w:basedOn w:val="Normal"/>
    <w:link w:val="TextoindependienteCar"/>
    <w:qFormat/>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qFormat/>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72C5C"/>
    <w:rPr>
      <w:rFonts w:ascii="Tahoma" w:hAnsi="Tahoma" w:cs="Tahoma"/>
      <w:sz w:val="16"/>
      <w:szCs w:val="16"/>
    </w:rPr>
  </w:style>
  <w:style w:type="character" w:customStyle="1" w:styleId="Ttulo1Car">
    <w:name w:val="Título 1 Car"/>
    <w:aliases w:val="Cuadro_G Car,Table_G Car"/>
    <w:basedOn w:val="Fuentedeprrafopredeter"/>
    <w:link w:val="Ttulo1"/>
    <w:rsid w:val="00472C5C"/>
    <w:rPr>
      <w:lang w:val="fr-CH" w:eastAsia="en-US"/>
    </w:rPr>
  </w:style>
  <w:style w:type="character" w:customStyle="1" w:styleId="TextonotapieCar">
    <w:name w:val="Texto nota pie Car"/>
    <w:aliases w:val="5_G Car,Footnote Text Char Char Char Char Char Char Car,Footnote Text Char Char Char Char Char Car,FA Car,FA Fußnotentext Car,Footnote Text Char Char Char Char Car,Footnote Text Char Char Car,Footnote Car,Footnote Text Char1 Char3 Car"/>
    <w:basedOn w:val="Fuentedeprrafopredeter"/>
    <w:link w:val="Textonotapie"/>
    <w:rsid w:val="004963B0"/>
    <w:rPr>
      <w:sz w:val="18"/>
    </w:rPr>
  </w:style>
  <w:style w:type="character" w:customStyle="1" w:styleId="SingleTxtGChar">
    <w:name w:val="_ Single Txt_G Char"/>
    <w:link w:val="SingleTxtG"/>
    <w:rsid w:val="004963B0"/>
  </w:style>
  <w:style w:type="character" w:customStyle="1" w:styleId="HChGChar">
    <w:name w:val="_ H _Ch_G Char"/>
    <w:link w:val="HChG"/>
    <w:rsid w:val="00B52488"/>
    <w:rPr>
      <w:b/>
      <w:sz w:val="28"/>
    </w:rPr>
  </w:style>
  <w:style w:type="character" w:customStyle="1" w:styleId="EncabezadoCar">
    <w:name w:val="Encabezado Car"/>
    <w:aliases w:val="6_G Car"/>
    <w:basedOn w:val="Fuentedeprrafopredeter"/>
    <w:link w:val="Encabezado"/>
    <w:rsid w:val="00B52488"/>
    <w:rPr>
      <w:b/>
      <w:sz w:val="18"/>
    </w:rPr>
  </w:style>
  <w:style w:type="character" w:customStyle="1" w:styleId="PiedepginaCar">
    <w:name w:val="Pie de página Car"/>
    <w:aliases w:val="3_G Car"/>
    <w:basedOn w:val="Fuentedeprrafopredeter"/>
    <w:link w:val="Piedepgina"/>
    <w:uiPriority w:val="99"/>
    <w:rsid w:val="00B52488"/>
    <w:rPr>
      <w:sz w:val="16"/>
    </w:rPr>
  </w:style>
  <w:style w:type="character" w:customStyle="1" w:styleId="H23GChar">
    <w:name w:val="_ H_2/3_G Char"/>
    <w:link w:val="H23G"/>
    <w:rsid w:val="00B52488"/>
    <w:rPr>
      <w:b/>
    </w:rPr>
  </w:style>
  <w:style w:type="character" w:customStyle="1" w:styleId="H4GChar">
    <w:name w:val="_ H_4_G Char"/>
    <w:link w:val="H4G"/>
    <w:rsid w:val="00B52488"/>
    <w:rPr>
      <w:i/>
    </w:rPr>
  </w:style>
  <w:style w:type="paragraph" w:styleId="Prrafodelista">
    <w:name w:val="List Paragraph"/>
    <w:basedOn w:val="Normal"/>
    <w:uiPriority w:val="34"/>
    <w:qFormat/>
    <w:rsid w:val="00B52488"/>
    <w:pPr>
      <w:suppressAutoHyphens/>
      <w:ind w:left="720"/>
      <w:contextualSpacing/>
    </w:pPr>
    <w:rPr>
      <w:lang w:val="en-GB" w:eastAsia="en-US"/>
    </w:rPr>
  </w:style>
  <w:style w:type="character" w:customStyle="1" w:styleId="st1">
    <w:name w:val="st1"/>
    <w:basedOn w:val="Fuentedeprrafopredeter"/>
    <w:rsid w:val="00B52488"/>
  </w:style>
  <w:style w:type="character" w:customStyle="1" w:styleId="TextoindependienteCar">
    <w:name w:val="Texto independiente Car"/>
    <w:basedOn w:val="Fuentedeprrafopredeter"/>
    <w:link w:val="Textoindependiente"/>
    <w:rsid w:val="00B52488"/>
  </w:style>
  <w:style w:type="character" w:styleId="Refdecomentario">
    <w:name w:val="annotation reference"/>
    <w:basedOn w:val="Fuentedeprrafopredeter"/>
    <w:unhideWhenUsed/>
    <w:rsid w:val="00B52488"/>
    <w:rPr>
      <w:sz w:val="16"/>
      <w:szCs w:val="16"/>
    </w:rPr>
  </w:style>
  <w:style w:type="paragraph" w:styleId="Textocomentario">
    <w:name w:val="annotation text"/>
    <w:basedOn w:val="Normal"/>
    <w:link w:val="TextocomentarioCar"/>
    <w:unhideWhenUsed/>
    <w:rsid w:val="00B52488"/>
    <w:pPr>
      <w:suppressAutoHyphens/>
      <w:spacing w:line="240" w:lineRule="auto"/>
    </w:pPr>
    <w:rPr>
      <w:lang w:val="en-GB" w:eastAsia="en-US"/>
    </w:rPr>
  </w:style>
  <w:style w:type="character" w:customStyle="1" w:styleId="TextocomentarioCar">
    <w:name w:val="Texto comentario Car"/>
    <w:basedOn w:val="Fuentedeprrafopredeter"/>
    <w:link w:val="Textocomentario"/>
    <w:rsid w:val="00B52488"/>
    <w:rPr>
      <w:lang w:val="en-GB" w:eastAsia="en-US"/>
    </w:rPr>
  </w:style>
  <w:style w:type="paragraph" w:styleId="Asuntodelcomentario">
    <w:name w:val="annotation subject"/>
    <w:basedOn w:val="Textocomentario"/>
    <w:next w:val="Textocomentario"/>
    <w:link w:val="AsuntodelcomentarioCar"/>
    <w:unhideWhenUsed/>
    <w:rsid w:val="00B52488"/>
    <w:rPr>
      <w:b/>
      <w:bCs/>
    </w:rPr>
  </w:style>
  <w:style w:type="character" w:customStyle="1" w:styleId="AsuntodelcomentarioCar">
    <w:name w:val="Asunto del comentario Car"/>
    <w:basedOn w:val="TextocomentarioCar"/>
    <w:link w:val="Asuntodelcomentario"/>
    <w:rsid w:val="00B52488"/>
    <w:rPr>
      <w:b/>
      <w:bCs/>
      <w:lang w:val="en-GB" w:eastAsia="en-US"/>
    </w:rPr>
  </w:style>
  <w:style w:type="paragraph" w:customStyle="1" w:styleId="ParaNoG">
    <w:name w:val="_ParaNo._G"/>
    <w:basedOn w:val="SingleTxtG"/>
    <w:rsid w:val="00E95A1E"/>
    <w:pPr>
      <w:tabs>
        <w:tab w:val="num" w:pos="0"/>
      </w:tabs>
      <w:suppressAutoHyphens/>
    </w:pPr>
    <w:rPr>
      <w:rFonts w:eastAsia="SimSun"/>
      <w:lang w:val="en-GB" w:eastAsia="zh-CN"/>
    </w:rPr>
  </w:style>
  <w:style w:type="paragraph" w:styleId="Sinespaciado">
    <w:name w:val="No Spacing"/>
    <w:basedOn w:val="Normal"/>
    <w:uiPriority w:val="1"/>
    <w:qFormat/>
    <w:rsid w:val="00A51C18"/>
    <w:pPr>
      <w:numPr>
        <w:numId w:val="16"/>
      </w:numPr>
      <w:pBdr>
        <w:top w:val="nil"/>
        <w:left w:val="nil"/>
        <w:bottom w:val="nil"/>
        <w:right w:val="nil"/>
        <w:between w:val="nil"/>
      </w:pBdr>
      <w:tabs>
        <w:tab w:val="right" w:pos="1843"/>
      </w:tabs>
      <w:spacing w:after="120" w:line="240" w:lineRule="auto"/>
      <w:ind w:left="1134" w:right="1134" w:firstLine="0"/>
      <w:jc w:val="both"/>
    </w:pPr>
    <w:rPr>
      <w:color w:val="000000"/>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77D93"/>
    <w:pPr>
      <w:spacing w:line="240" w:lineRule="auto"/>
      <w:jc w:val="both"/>
    </w:pPr>
    <w:rPr>
      <w:sz w:val="18"/>
      <w:vertAlign w:val="superscript"/>
    </w:rPr>
  </w:style>
  <w:style w:type="character" w:customStyle="1" w:styleId="apple-converted-space">
    <w:name w:val="apple-converted-space"/>
    <w:basedOn w:val="Fuentedeprrafopredeter"/>
    <w:rsid w:val="0085294D"/>
  </w:style>
  <w:style w:type="paragraph" w:customStyle="1" w:styleId="ParNoG">
    <w:name w:val="_ParNo_G"/>
    <w:basedOn w:val="SingleTxtG"/>
    <w:qFormat/>
    <w:rsid w:val="000F6543"/>
    <w:pPr>
      <w:numPr>
        <w:numId w:val="6"/>
      </w:numPr>
      <w:suppressAutoHyphens/>
      <w:kinsoku w:val="0"/>
      <w:overflowPunct w:val="0"/>
      <w:autoSpaceDE w:val="0"/>
      <w:autoSpaceDN w:val="0"/>
      <w:adjustRightInd w:val="0"/>
      <w:snapToGrid w:val="0"/>
    </w:pPr>
    <w:rPr>
      <w:lang w:eastAsia="en-US"/>
    </w:rPr>
  </w:style>
  <w:style w:type="character" w:styleId="nfasis">
    <w:name w:val="Emphasis"/>
    <w:basedOn w:val="Fuentedeprrafopredeter"/>
    <w:uiPriority w:val="20"/>
    <w:qFormat/>
    <w:rsid w:val="00CD710E"/>
    <w:rPr>
      <w:i/>
      <w:iCs/>
    </w:rPr>
  </w:style>
  <w:style w:type="character" w:customStyle="1" w:styleId="Ttulo2Car">
    <w:name w:val="Título 2 Car"/>
    <w:basedOn w:val="Fuentedeprrafopredeter"/>
    <w:link w:val="Ttulo2"/>
    <w:rsid w:val="00CD710E"/>
    <w:rPr>
      <w:rFonts w:cs="Arial"/>
      <w:bCs/>
      <w:iCs/>
      <w:szCs w:val="28"/>
    </w:rPr>
  </w:style>
  <w:style w:type="character" w:customStyle="1" w:styleId="Ttulo3Car">
    <w:name w:val="Título 3 Car"/>
    <w:basedOn w:val="Fuentedeprrafopredeter"/>
    <w:link w:val="Ttulo3"/>
    <w:rsid w:val="00CD710E"/>
    <w:rPr>
      <w:rFonts w:ascii="Arial" w:hAnsi="Arial" w:cs="Arial"/>
      <w:b/>
      <w:bCs/>
      <w:sz w:val="26"/>
      <w:szCs w:val="26"/>
    </w:rPr>
  </w:style>
  <w:style w:type="character" w:customStyle="1" w:styleId="Ttulo4Car">
    <w:name w:val="Título 4 Car"/>
    <w:basedOn w:val="Fuentedeprrafopredeter"/>
    <w:link w:val="Ttulo4"/>
    <w:rsid w:val="00CD710E"/>
    <w:rPr>
      <w:b/>
      <w:bCs/>
      <w:sz w:val="28"/>
      <w:szCs w:val="28"/>
    </w:rPr>
  </w:style>
  <w:style w:type="character" w:customStyle="1" w:styleId="Ttulo5Car">
    <w:name w:val="Título 5 Car"/>
    <w:basedOn w:val="Fuentedeprrafopredeter"/>
    <w:link w:val="Ttulo5"/>
    <w:rsid w:val="00CD710E"/>
    <w:rPr>
      <w:b/>
      <w:bCs/>
      <w:i/>
      <w:iCs/>
      <w:sz w:val="26"/>
      <w:szCs w:val="26"/>
    </w:rPr>
  </w:style>
  <w:style w:type="character" w:customStyle="1" w:styleId="Ttulo6Car">
    <w:name w:val="Título 6 Car"/>
    <w:basedOn w:val="Fuentedeprrafopredeter"/>
    <w:link w:val="Ttulo6"/>
    <w:rsid w:val="00CD710E"/>
    <w:rPr>
      <w:b/>
      <w:bCs/>
      <w:sz w:val="22"/>
      <w:szCs w:val="22"/>
    </w:rPr>
  </w:style>
  <w:style w:type="character" w:customStyle="1" w:styleId="Ttulo7Car">
    <w:name w:val="Título 7 Car"/>
    <w:basedOn w:val="Fuentedeprrafopredeter"/>
    <w:link w:val="Ttulo7"/>
    <w:rsid w:val="00CD710E"/>
    <w:rPr>
      <w:sz w:val="24"/>
      <w:szCs w:val="24"/>
    </w:rPr>
  </w:style>
  <w:style w:type="character" w:customStyle="1" w:styleId="Ttulo8Car">
    <w:name w:val="Título 8 Car"/>
    <w:basedOn w:val="Fuentedeprrafopredeter"/>
    <w:link w:val="Ttulo8"/>
    <w:rsid w:val="00CD710E"/>
    <w:rPr>
      <w:i/>
      <w:iCs/>
      <w:sz w:val="24"/>
      <w:szCs w:val="24"/>
    </w:rPr>
  </w:style>
  <w:style w:type="character" w:customStyle="1" w:styleId="Ttulo9Car">
    <w:name w:val="Título 9 Car"/>
    <w:basedOn w:val="Fuentedeprrafopredeter"/>
    <w:link w:val="Ttulo9"/>
    <w:rsid w:val="00CD710E"/>
    <w:rPr>
      <w:rFonts w:ascii="Arial" w:hAnsi="Arial" w:cs="Arial"/>
      <w:sz w:val="22"/>
      <w:szCs w:val="22"/>
    </w:rPr>
  </w:style>
  <w:style w:type="character" w:customStyle="1" w:styleId="CierreCar">
    <w:name w:val="Cierre Car"/>
    <w:basedOn w:val="Fuentedeprrafopredeter"/>
    <w:link w:val="Cierre"/>
    <w:semiHidden/>
    <w:rsid w:val="00CD710E"/>
  </w:style>
  <w:style w:type="character" w:customStyle="1" w:styleId="DireccinHTMLCar">
    <w:name w:val="Dirección HTML Car"/>
    <w:basedOn w:val="Fuentedeprrafopredeter"/>
    <w:link w:val="DireccinHTML"/>
    <w:semiHidden/>
    <w:rsid w:val="00CD710E"/>
    <w:rPr>
      <w:i/>
      <w:iCs/>
    </w:rPr>
  </w:style>
  <w:style w:type="character" w:customStyle="1" w:styleId="EncabezadodemensajeCar">
    <w:name w:val="Encabezado de mensaje Car"/>
    <w:basedOn w:val="Fuentedeprrafopredeter"/>
    <w:link w:val="Encabezadodemensaje"/>
    <w:semiHidden/>
    <w:rsid w:val="00CD710E"/>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CD710E"/>
  </w:style>
  <w:style w:type="character" w:customStyle="1" w:styleId="FechaCar">
    <w:name w:val="Fecha Car"/>
    <w:basedOn w:val="Fuentedeprrafopredeter"/>
    <w:link w:val="Fecha"/>
    <w:semiHidden/>
    <w:rsid w:val="00CD710E"/>
  </w:style>
  <w:style w:type="character" w:customStyle="1" w:styleId="FirmaCar">
    <w:name w:val="Firma Car"/>
    <w:basedOn w:val="Fuentedeprrafopredeter"/>
    <w:link w:val="Firma"/>
    <w:semiHidden/>
    <w:rsid w:val="00CD710E"/>
  </w:style>
  <w:style w:type="character" w:customStyle="1" w:styleId="FirmadecorreoelectrnicoCar">
    <w:name w:val="Firma de correo electrónico Car"/>
    <w:basedOn w:val="Fuentedeprrafopredeter"/>
    <w:link w:val="Firmadecorreoelectrnico"/>
    <w:semiHidden/>
    <w:rsid w:val="00CD710E"/>
  </w:style>
  <w:style w:type="character" w:customStyle="1" w:styleId="HTMLconformatoprevioCar">
    <w:name w:val="HTML con formato previo Car"/>
    <w:basedOn w:val="Fuentedeprrafopredeter"/>
    <w:link w:val="HTMLconformatoprevio"/>
    <w:semiHidden/>
    <w:rsid w:val="00CD710E"/>
    <w:rPr>
      <w:rFonts w:ascii="Courier New" w:hAnsi="Courier New" w:cs="Courier New"/>
    </w:rPr>
  </w:style>
  <w:style w:type="character" w:customStyle="1" w:styleId="SaludoCar">
    <w:name w:val="Saludo Car"/>
    <w:basedOn w:val="Fuentedeprrafopredeter"/>
    <w:link w:val="Saludo"/>
    <w:semiHidden/>
    <w:rsid w:val="00CD710E"/>
  </w:style>
  <w:style w:type="character" w:customStyle="1" w:styleId="Sangra2detindependienteCar">
    <w:name w:val="Sangría 2 de t. independiente Car"/>
    <w:basedOn w:val="Fuentedeprrafopredeter"/>
    <w:link w:val="Sangra2detindependiente"/>
    <w:semiHidden/>
    <w:rsid w:val="00CD710E"/>
  </w:style>
  <w:style w:type="character" w:customStyle="1" w:styleId="Sangra3detindependienteCar">
    <w:name w:val="Sangría 3 de t. independiente Car"/>
    <w:basedOn w:val="Fuentedeprrafopredeter"/>
    <w:link w:val="Sangra3detindependiente"/>
    <w:semiHidden/>
    <w:rsid w:val="00CD710E"/>
    <w:rPr>
      <w:sz w:val="16"/>
      <w:szCs w:val="16"/>
    </w:rPr>
  </w:style>
  <w:style w:type="character" w:customStyle="1" w:styleId="SangradetextonormalCar">
    <w:name w:val="Sangría de texto normal Car"/>
    <w:basedOn w:val="Fuentedeprrafopredeter"/>
    <w:link w:val="Sangradetextonormal"/>
    <w:semiHidden/>
    <w:rsid w:val="00CD710E"/>
  </w:style>
  <w:style w:type="character" w:customStyle="1" w:styleId="SubttuloCar">
    <w:name w:val="Subtítulo Car"/>
    <w:basedOn w:val="Fuentedeprrafopredeter"/>
    <w:link w:val="Subttulo"/>
    <w:rsid w:val="00CD710E"/>
    <w:rPr>
      <w:rFonts w:ascii="Arial" w:hAnsi="Arial" w:cs="Arial"/>
      <w:sz w:val="24"/>
      <w:szCs w:val="24"/>
    </w:rPr>
  </w:style>
  <w:style w:type="character" w:customStyle="1" w:styleId="Textoindependiente2Car">
    <w:name w:val="Texto independiente 2 Car"/>
    <w:basedOn w:val="Fuentedeprrafopredeter"/>
    <w:link w:val="Textoindependiente2"/>
    <w:semiHidden/>
    <w:rsid w:val="00CD710E"/>
  </w:style>
  <w:style w:type="character" w:customStyle="1" w:styleId="Textoindependiente3Car">
    <w:name w:val="Texto independiente 3 Car"/>
    <w:basedOn w:val="Fuentedeprrafopredeter"/>
    <w:link w:val="Textoindependiente3"/>
    <w:semiHidden/>
    <w:rsid w:val="00CD710E"/>
    <w:rPr>
      <w:sz w:val="16"/>
      <w:szCs w:val="16"/>
    </w:rPr>
  </w:style>
  <w:style w:type="character" w:customStyle="1" w:styleId="TextoindependienteprimerasangraCar">
    <w:name w:val="Texto independiente primera sangría Car"/>
    <w:basedOn w:val="TextoindependienteCar"/>
    <w:link w:val="Textoindependienteprimerasangra"/>
    <w:semiHidden/>
    <w:rsid w:val="00CD710E"/>
  </w:style>
  <w:style w:type="character" w:customStyle="1" w:styleId="Textoindependienteprimerasangra2Car">
    <w:name w:val="Texto independiente primera sangría 2 Car"/>
    <w:basedOn w:val="SangradetextonormalCar"/>
    <w:link w:val="Textoindependienteprimerasangra2"/>
    <w:semiHidden/>
    <w:rsid w:val="00CD710E"/>
  </w:style>
  <w:style w:type="character" w:customStyle="1" w:styleId="TextonotaalfinalCar">
    <w:name w:val="Texto nota al final Car"/>
    <w:aliases w:val="2_G Car"/>
    <w:basedOn w:val="Fuentedeprrafopredeter"/>
    <w:link w:val="Textonotaalfinal"/>
    <w:rsid w:val="00CD710E"/>
    <w:rPr>
      <w:sz w:val="18"/>
    </w:rPr>
  </w:style>
  <w:style w:type="character" w:customStyle="1" w:styleId="TextosinformatoCar">
    <w:name w:val="Texto sin formato Car"/>
    <w:basedOn w:val="Fuentedeprrafopredeter"/>
    <w:link w:val="Textosinformato"/>
    <w:semiHidden/>
    <w:rsid w:val="00CD710E"/>
    <w:rPr>
      <w:rFonts w:ascii="Courier New" w:hAnsi="Courier New" w:cs="Courier New"/>
    </w:rPr>
  </w:style>
  <w:style w:type="character" w:customStyle="1" w:styleId="TtuloCar">
    <w:name w:val="Título Car"/>
    <w:basedOn w:val="Fuentedeprrafopredeter"/>
    <w:link w:val="Ttulo"/>
    <w:rsid w:val="00CD710E"/>
    <w:rPr>
      <w:rFonts w:ascii="Arial" w:hAnsi="Arial" w:cs="Arial"/>
      <w:b/>
      <w:bCs/>
      <w:kern w:val="28"/>
      <w:sz w:val="32"/>
      <w:szCs w:val="32"/>
    </w:rPr>
  </w:style>
  <w:style w:type="character" w:customStyle="1" w:styleId="preferred">
    <w:name w:val="preferred"/>
    <w:basedOn w:val="Fuentedeprrafopredeter"/>
    <w:rsid w:val="00CD710E"/>
  </w:style>
  <w:style w:type="paragraph" w:styleId="Revisin">
    <w:name w:val="Revision"/>
    <w:hidden/>
    <w:uiPriority w:val="99"/>
    <w:semiHidden/>
    <w:rsid w:val="00CD710E"/>
  </w:style>
  <w:style w:type="paragraph" w:styleId="TDC3">
    <w:name w:val="toc 3"/>
    <w:basedOn w:val="Normal"/>
    <w:next w:val="Normal"/>
    <w:autoRedefine/>
    <w:uiPriority w:val="39"/>
    <w:rsid w:val="00CD710E"/>
    <w:pPr>
      <w:spacing w:line="240" w:lineRule="auto"/>
      <w:ind w:left="240"/>
    </w:pPr>
    <w:rPr>
      <w:rFonts w:eastAsia="SimSun"/>
      <w:szCs w:val="24"/>
      <w:lang w:val="en-US" w:eastAsia="zh-CN"/>
    </w:rPr>
  </w:style>
  <w:style w:type="paragraph" w:styleId="TDC9">
    <w:name w:val="toc 9"/>
    <w:basedOn w:val="Normal"/>
    <w:next w:val="Normal"/>
    <w:autoRedefine/>
    <w:semiHidden/>
    <w:unhideWhenUsed/>
    <w:rsid w:val="00CD710E"/>
    <w:pPr>
      <w:spacing w:after="100"/>
      <w:ind w:left="1600"/>
    </w:pPr>
  </w:style>
  <w:style w:type="paragraph" w:customStyle="1" w:styleId="Default">
    <w:name w:val="Default"/>
    <w:rsid w:val="00CD710E"/>
    <w:pPr>
      <w:autoSpaceDE w:val="0"/>
      <w:autoSpaceDN w:val="0"/>
      <w:adjustRightInd w:val="0"/>
    </w:pPr>
    <w:rPr>
      <w:rFonts w:ascii="Verdana" w:hAnsi="Verdana" w:cs="Verdana"/>
      <w:color w:val="000000"/>
      <w:sz w:val="24"/>
      <w:szCs w:val="24"/>
      <w:lang w:val="en-GB" w:eastAsia="zh-CN"/>
    </w:rPr>
  </w:style>
  <w:style w:type="character" w:customStyle="1" w:styleId="spelle">
    <w:name w:val="spelle"/>
    <w:basedOn w:val="Fuentedeprrafopredeter"/>
    <w:rsid w:val="00CD710E"/>
  </w:style>
  <w:style w:type="character" w:customStyle="1" w:styleId="grame">
    <w:name w:val="grame"/>
    <w:basedOn w:val="Fuentedeprrafopredeter"/>
    <w:rsid w:val="00CD7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2070">
      <w:bodyDiv w:val="1"/>
      <w:marLeft w:val="0"/>
      <w:marRight w:val="0"/>
      <w:marTop w:val="0"/>
      <w:marBottom w:val="0"/>
      <w:divBdr>
        <w:top w:val="none" w:sz="0" w:space="0" w:color="auto"/>
        <w:left w:val="none" w:sz="0" w:space="0" w:color="auto"/>
        <w:bottom w:val="none" w:sz="0" w:space="0" w:color="auto"/>
        <w:right w:val="none" w:sz="0" w:space="0" w:color="auto"/>
      </w:divBdr>
      <w:divsChild>
        <w:div w:id="1791824464">
          <w:marLeft w:val="0"/>
          <w:marRight w:val="0"/>
          <w:marTop w:val="0"/>
          <w:marBottom w:val="0"/>
          <w:divBdr>
            <w:top w:val="none" w:sz="0" w:space="0" w:color="auto"/>
            <w:left w:val="none" w:sz="0" w:space="0" w:color="auto"/>
            <w:bottom w:val="none" w:sz="0" w:space="0" w:color="auto"/>
            <w:right w:val="none" w:sz="0" w:space="0" w:color="auto"/>
          </w:divBdr>
          <w:divsChild>
            <w:div w:id="2101949006">
              <w:marLeft w:val="0"/>
              <w:marRight w:val="0"/>
              <w:marTop w:val="0"/>
              <w:marBottom w:val="0"/>
              <w:divBdr>
                <w:top w:val="none" w:sz="0" w:space="0" w:color="auto"/>
                <w:left w:val="none" w:sz="0" w:space="0" w:color="auto"/>
                <w:bottom w:val="none" w:sz="0" w:space="0" w:color="auto"/>
                <w:right w:val="none" w:sz="0" w:space="0" w:color="auto"/>
              </w:divBdr>
              <w:divsChild>
                <w:div w:id="10169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507943638">
      <w:bodyDiv w:val="1"/>
      <w:marLeft w:val="0"/>
      <w:marRight w:val="0"/>
      <w:marTop w:val="0"/>
      <w:marBottom w:val="0"/>
      <w:divBdr>
        <w:top w:val="none" w:sz="0" w:space="0" w:color="auto"/>
        <w:left w:val="none" w:sz="0" w:space="0" w:color="auto"/>
        <w:bottom w:val="none" w:sz="0" w:space="0" w:color="auto"/>
        <w:right w:val="none" w:sz="0" w:space="0" w:color="auto"/>
      </w:divBdr>
    </w:div>
    <w:div w:id="1660385591">
      <w:bodyDiv w:val="1"/>
      <w:marLeft w:val="0"/>
      <w:marRight w:val="0"/>
      <w:marTop w:val="0"/>
      <w:marBottom w:val="0"/>
      <w:divBdr>
        <w:top w:val="none" w:sz="0" w:space="0" w:color="auto"/>
        <w:left w:val="none" w:sz="0" w:space="0" w:color="auto"/>
        <w:bottom w:val="none" w:sz="0" w:space="0" w:color="auto"/>
        <w:right w:val="none" w:sz="0" w:space="0" w:color="auto"/>
      </w:divBdr>
      <w:divsChild>
        <w:div w:id="1672640723">
          <w:marLeft w:val="0"/>
          <w:marRight w:val="0"/>
          <w:marTop w:val="0"/>
          <w:marBottom w:val="0"/>
          <w:divBdr>
            <w:top w:val="none" w:sz="0" w:space="0" w:color="auto"/>
            <w:left w:val="none" w:sz="0" w:space="0" w:color="auto"/>
            <w:bottom w:val="none" w:sz="0" w:space="0" w:color="auto"/>
            <w:right w:val="none" w:sz="0" w:space="0" w:color="auto"/>
          </w:divBdr>
          <w:divsChild>
            <w:div w:id="744766511">
              <w:marLeft w:val="0"/>
              <w:marRight w:val="0"/>
              <w:marTop w:val="0"/>
              <w:marBottom w:val="0"/>
              <w:divBdr>
                <w:top w:val="none" w:sz="0" w:space="0" w:color="auto"/>
                <w:left w:val="none" w:sz="0" w:space="0" w:color="auto"/>
                <w:bottom w:val="none" w:sz="0" w:space="0" w:color="auto"/>
                <w:right w:val="none" w:sz="0" w:space="0" w:color="auto"/>
              </w:divBdr>
              <w:divsChild>
                <w:div w:id="9963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9C76-3CEB-4D15-9CCE-C3650131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4451</Words>
  <Characters>24484</Characters>
  <Application>Microsoft Office Word</Application>
  <DocSecurity>0</DocSecurity>
  <Lines>204</Lines>
  <Paragraphs>57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A/HRC/WGAD/####/##</vt:lpstr>
      <vt:lpstr>A/HRC/WGAD/####/##</vt:lpstr>
      <vt:lpstr>A/HRC/WGAD/####/##</vt:lpstr>
    </vt:vector>
  </TitlesOfParts>
  <Company>DCM</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CAT/OP/CRI/RONPM/1</dc:title>
  <dc:subject/>
  <dc:creator>Javier RODRIGUEZ PEREZ</dc:creator>
  <cp:keywords/>
  <dc:description/>
  <cp:lastModifiedBy>Maria De La Plaza</cp:lastModifiedBy>
  <cp:revision>3</cp:revision>
  <cp:lastPrinted>2019-12-12T13:18:00Z</cp:lastPrinted>
  <dcterms:created xsi:type="dcterms:W3CDTF">2019-12-12T13:18:00Z</dcterms:created>
  <dcterms:modified xsi:type="dcterms:W3CDTF">2019-12-12T13:19:00Z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