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D5671B" w:rsidRDefault="006374B0" w:rsidP="00885CF4">
            <w:pPr>
              <w:spacing w:after="80" w:line="340" w:lineRule="exact"/>
              <w:rPr>
                <w:rFonts w:eastAsiaTheme="minorEastAsia"/>
                <w:lang w:eastAsia="zh-CN"/>
              </w:rPr>
            </w:pPr>
            <w:bookmarkStart w:id="0" w:name="_GoBack"/>
            <w:bookmarkEnd w:id="0"/>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3470CC" w:rsidP="003470CC">
            <w:pPr>
              <w:suppressAutoHyphens w:val="0"/>
              <w:spacing w:after="20"/>
              <w:jc w:val="right"/>
            </w:pPr>
            <w:r w:rsidRPr="003470CC">
              <w:rPr>
                <w:sz w:val="40"/>
              </w:rPr>
              <w:t>CAT</w:t>
            </w:r>
            <w:r>
              <w:t>/OP/CRI/RONPM/1</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val="fr-CH" w:eastAsia="fr-CH"/>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3470CC" w:rsidP="003470CC">
            <w:pPr>
              <w:suppressAutoHyphens w:val="0"/>
              <w:spacing w:before="240"/>
            </w:pPr>
            <w:r>
              <w:t>Distr.: General</w:t>
            </w:r>
          </w:p>
          <w:p w:rsidR="003470CC" w:rsidRDefault="003470CC" w:rsidP="003470CC">
            <w:pPr>
              <w:suppressAutoHyphens w:val="0"/>
            </w:pPr>
            <w:r>
              <w:t>12 December 2019</w:t>
            </w:r>
          </w:p>
          <w:p w:rsidR="003470CC" w:rsidRDefault="0021702A" w:rsidP="003470CC">
            <w:pPr>
              <w:suppressAutoHyphens w:val="0"/>
            </w:pPr>
            <w:r>
              <w:t>English</w:t>
            </w:r>
          </w:p>
          <w:p w:rsidR="003470CC" w:rsidRDefault="003470CC" w:rsidP="003470CC">
            <w:pPr>
              <w:suppressAutoHyphens w:val="0"/>
            </w:pPr>
            <w:r>
              <w:t>Original: Spanish</w:t>
            </w:r>
          </w:p>
          <w:p w:rsidR="003470CC" w:rsidRDefault="005E4704" w:rsidP="003470CC">
            <w:pPr>
              <w:suppressAutoHyphens w:val="0"/>
            </w:pPr>
            <w:r>
              <w:t>English, French and Spanish only</w:t>
            </w:r>
          </w:p>
        </w:tc>
      </w:tr>
    </w:tbl>
    <w:p w:rsidR="00E35E57" w:rsidRPr="00B46054" w:rsidRDefault="00E35E57" w:rsidP="00E35E57">
      <w:pPr>
        <w:pStyle w:val="SingleTxtG"/>
        <w:spacing w:before="120" w:after="0"/>
        <w:ind w:left="0"/>
        <w:jc w:val="left"/>
        <w:rPr>
          <w:b/>
          <w:sz w:val="32"/>
          <w:szCs w:val="32"/>
        </w:rPr>
      </w:pPr>
      <w:r w:rsidRPr="00B46054">
        <w:rPr>
          <w:b/>
          <w:bCs/>
          <w:sz w:val="24"/>
          <w:szCs w:val="24"/>
        </w:rPr>
        <w:t xml:space="preserve">Subcommittee on Prevention of Torture and Other Cruel, </w:t>
      </w:r>
      <w:r w:rsidR="00E37581" w:rsidRPr="00B46054">
        <w:rPr>
          <w:b/>
          <w:bCs/>
          <w:sz w:val="24"/>
          <w:szCs w:val="24"/>
        </w:rPr>
        <w:br/>
      </w:r>
      <w:r w:rsidRPr="00B46054">
        <w:rPr>
          <w:b/>
          <w:bCs/>
          <w:sz w:val="24"/>
          <w:szCs w:val="24"/>
        </w:rPr>
        <w:t>Inhuman or Degrading Treatment or Punishment</w:t>
      </w:r>
    </w:p>
    <w:p w:rsidR="00E35E57" w:rsidRPr="00CC34C5" w:rsidRDefault="00E35E57" w:rsidP="00E35E57">
      <w:pPr>
        <w:pStyle w:val="HMG"/>
      </w:pPr>
      <w:r w:rsidRPr="00CC34C5">
        <w:tab/>
      </w:r>
      <w:r w:rsidRPr="00CC34C5">
        <w:tab/>
      </w:r>
      <w:r w:rsidRPr="00CC34C5">
        <w:rPr>
          <w:bCs/>
        </w:rPr>
        <w:t>Visit to Costa Rica undertaken from 3 to 14 March 2019: recommendations and observations addressed to the national preventive mechanism</w:t>
      </w:r>
    </w:p>
    <w:p w:rsidR="00E35E57" w:rsidRPr="00CC34C5" w:rsidRDefault="00E35E57" w:rsidP="002968E1">
      <w:pPr>
        <w:pStyle w:val="HChG"/>
      </w:pPr>
      <w:r w:rsidRPr="00CC34C5">
        <w:tab/>
      </w:r>
      <w:r w:rsidRPr="00CC34C5">
        <w:tab/>
      </w:r>
      <w:bookmarkStart w:id="1" w:name="_Toc29451305"/>
      <w:bookmarkStart w:id="2" w:name="_Toc29451344"/>
      <w:r w:rsidRPr="00CC34C5">
        <w:t>Report of the Subcommittee</w:t>
      </w:r>
      <w:r w:rsidRPr="008F310A">
        <w:rPr>
          <w:rStyle w:val="FootnoteReference"/>
          <w:b w:val="0"/>
          <w:bCs/>
          <w:sz w:val="20"/>
          <w:szCs w:val="22"/>
          <w:vertAlign w:val="baseline"/>
        </w:rPr>
        <w:footnoteReference w:customMarkFollows="1" w:id="1"/>
        <w:t>*</w:t>
      </w:r>
      <w:r w:rsidRPr="008F310A">
        <w:rPr>
          <w:rStyle w:val="FootnoteReference"/>
          <w:b w:val="0"/>
          <w:bCs/>
          <w:position w:val="8"/>
          <w:sz w:val="20"/>
          <w:szCs w:val="22"/>
          <w:vertAlign w:val="baseline"/>
        </w:rPr>
        <w:t>,</w:t>
      </w:r>
      <w:r w:rsidR="008F310A">
        <w:rPr>
          <w:sz w:val="20"/>
          <w:szCs w:val="22"/>
        </w:rPr>
        <w:t xml:space="preserve"> </w:t>
      </w:r>
      <w:r w:rsidRPr="008F310A">
        <w:rPr>
          <w:rStyle w:val="FootnoteReference"/>
          <w:b w:val="0"/>
          <w:bCs/>
          <w:sz w:val="20"/>
          <w:szCs w:val="22"/>
          <w:vertAlign w:val="baseline"/>
        </w:rPr>
        <w:footnoteReference w:customMarkFollows="1" w:id="2"/>
        <w:t>**</w:t>
      </w:r>
      <w:bookmarkEnd w:id="1"/>
      <w:bookmarkEnd w:id="2"/>
    </w:p>
    <w:p w:rsidR="00E35E57" w:rsidRPr="00CC34C5" w:rsidRDefault="00E35E57" w:rsidP="00E35E57">
      <w:pPr>
        <w:rPr>
          <w:color w:val="000000" w:themeColor="text1"/>
        </w:rPr>
      </w:pPr>
      <w:r w:rsidRPr="00CC34C5">
        <w:rPr>
          <w:color w:val="000000" w:themeColor="text1"/>
        </w:rPr>
        <w:br w:type="page"/>
      </w:r>
    </w:p>
    <w:p w:rsidR="004E395B" w:rsidRDefault="004E395B" w:rsidP="004E395B">
      <w:pPr>
        <w:spacing w:after="120"/>
        <w:rPr>
          <w:sz w:val="28"/>
        </w:rPr>
      </w:pPr>
      <w:r>
        <w:rPr>
          <w:sz w:val="28"/>
        </w:rPr>
        <w:lastRenderedPageBreak/>
        <w:t>Contents</w:t>
      </w:r>
    </w:p>
    <w:p w:rsidR="004E395B" w:rsidRDefault="004E395B" w:rsidP="004E395B">
      <w:pPr>
        <w:tabs>
          <w:tab w:val="right" w:pos="9638"/>
        </w:tabs>
        <w:spacing w:after="120"/>
        <w:ind w:left="283"/>
        <w:rPr>
          <w:sz w:val="18"/>
        </w:rPr>
      </w:pPr>
      <w:r>
        <w:rPr>
          <w:i/>
          <w:sz w:val="18"/>
        </w:rPr>
        <w:tab/>
        <w:t>Page</w:t>
      </w:r>
    </w:p>
    <w:p w:rsidR="00C54859" w:rsidRDefault="006410D2" w:rsidP="006410D2">
      <w:pPr>
        <w:tabs>
          <w:tab w:val="right" w:pos="850"/>
          <w:tab w:val="left" w:pos="1134"/>
          <w:tab w:val="left" w:pos="1559"/>
          <w:tab w:val="left" w:pos="1984"/>
          <w:tab w:val="left" w:leader="dot" w:pos="8787"/>
          <w:tab w:val="right" w:pos="9638"/>
        </w:tabs>
        <w:spacing w:after="120"/>
      </w:pPr>
      <w:r>
        <w:tab/>
      </w:r>
      <w:r w:rsidR="00C54859">
        <w:t>I.</w:t>
      </w:r>
      <w:r w:rsidR="00C54859">
        <w:tab/>
        <w:t>Introduction</w:t>
      </w:r>
      <w:r w:rsidR="00C54859">
        <w:tab/>
      </w:r>
      <w:r>
        <w:tab/>
      </w:r>
      <w:r w:rsidR="00C54859">
        <w:t>3</w:t>
      </w:r>
    </w:p>
    <w:p w:rsidR="00C54859" w:rsidRDefault="006410D2" w:rsidP="006410D2">
      <w:pPr>
        <w:tabs>
          <w:tab w:val="right" w:pos="850"/>
          <w:tab w:val="left" w:pos="1134"/>
          <w:tab w:val="left" w:pos="1559"/>
          <w:tab w:val="left" w:pos="1984"/>
          <w:tab w:val="left" w:leader="dot" w:pos="8787"/>
          <w:tab w:val="right" w:pos="9638"/>
        </w:tabs>
        <w:spacing w:after="120"/>
      </w:pPr>
      <w:r>
        <w:tab/>
      </w:r>
      <w:r w:rsidR="00C54859">
        <w:t>II.</w:t>
      </w:r>
      <w:r w:rsidR="00C54859">
        <w:tab/>
        <w:t>National preventive mechanism</w:t>
      </w:r>
      <w:r w:rsidR="00C54859">
        <w:tab/>
      </w:r>
      <w:r>
        <w:tab/>
      </w:r>
      <w:r w:rsidR="00C54859">
        <w:t>4</w:t>
      </w:r>
    </w:p>
    <w:p w:rsidR="00C54859" w:rsidRDefault="006410D2" w:rsidP="006410D2">
      <w:pPr>
        <w:tabs>
          <w:tab w:val="right" w:pos="850"/>
          <w:tab w:val="left" w:pos="1134"/>
          <w:tab w:val="left" w:pos="1559"/>
          <w:tab w:val="left" w:pos="1984"/>
          <w:tab w:val="left" w:leader="dot" w:pos="8787"/>
          <w:tab w:val="right" w:pos="9638"/>
        </w:tabs>
        <w:spacing w:after="120"/>
      </w:pPr>
      <w:r>
        <w:tab/>
      </w:r>
      <w:r w:rsidR="00C54859">
        <w:t>III.</w:t>
      </w:r>
      <w:r w:rsidR="00C54859">
        <w:tab/>
        <w:t>Recommendations to the national preventive mechanism</w:t>
      </w:r>
      <w:r w:rsidR="00C54859">
        <w:tab/>
      </w:r>
      <w:r>
        <w:tab/>
      </w:r>
      <w:r w:rsidR="00C54859">
        <w:t>4</w:t>
      </w:r>
    </w:p>
    <w:p w:rsidR="00C54859" w:rsidRDefault="006410D2" w:rsidP="006410D2">
      <w:pPr>
        <w:tabs>
          <w:tab w:val="right" w:pos="850"/>
          <w:tab w:val="left" w:pos="1134"/>
          <w:tab w:val="left" w:pos="1559"/>
          <w:tab w:val="left" w:pos="1984"/>
          <w:tab w:val="left" w:leader="dot" w:pos="8787"/>
          <w:tab w:val="right" w:pos="9638"/>
        </w:tabs>
        <w:spacing w:after="120"/>
      </w:pPr>
      <w:r>
        <w:tab/>
      </w:r>
      <w:r>
        <w:tab/>
      </w:r>
      <w:r w:rsidR="00C54859">
        <w:t>A.</w:t>
      </w:r>
      <w:r w:rsidR="00C54859">
        <w:tab/>
        <w:t>Structure and independence</w:t>
      </w:r>
      <w:r w:rsidR="00C54859">
        <w:tab/>
      </w:r>
      <w:r>
        <w:tab/>
      </w:r>
      <w:r w:rsidR="00C54859">
        <w:t>4</w:t>
      </w:r>
    </w:p>
    <w:p w:rsidR="00C54859" w:rsidRDefault="006410D2" w:rsidP="006410D2">
      <w:pPr>
        <w:tabs>
          <w:tab w:val="right" w:pos="850"/>
          <w:tab w:val="left" w:pos="1134"/>
          <w:tab w:val="left" w:pos="1559"/>
          <w:tab w:val="left" w:pos="1984"/>
          <w:tab w:val="left" w:leader="dot" w:pos="8787"/>
          <w:tab w:val="right" w:pos="9638"/>
        </w:tabs>
        <w:spacing w:after="120"/>
      </w:pPr>
      <w:r>
        <w:tab/>
      </w:r>
      <w:r>
        <w:tab/>
      </w:r>
      <w:r w:rsidR="00C54859">
        <w:t>B.</w:t>
      </w:r>
      <w:r w:rsidR="00C54859">
        <w:tab/>
        <w:t>Visibility</w:t>
      </w:r>
      <w:r w:rsidR="00C54859">
        <w:tab/>
      </w:r>
      <w:r>
        <w:tab/>
      </w:r>
      <w:r w:rsidR="00C54859">
        <w:t>5</w:t>
      </w:r>
    </w:p>
    <w:p w:rsidR="00C54859" w:rsidRDefault="006410D2" w:rsidP="006410D2">
      <w:pPr>
        <w:tabs>
          <w:tab w:val="right" w:pos="850"/>
          <w:tab w:val="left" w:pos="1134"/>
          <w:tab w:val="left" w:pos="1559"/>
          <w:tab w:val="left" w:pos="1984"/>
          <w:tab w:val="left" w:leader="dot" w:pos="8787"/>
          <w:tab w:val="right" w:pos="9638"/>
        </w:tabs>
        <w:spacing w:after="120"/>
      </w:pPr>
      <w:r>
        <w:tab/>
      </w:r>
      <w:r>
        <w:tab/>
      </w:r>
      <w:r w:rsidR="00C54859">
        <w:t>C.</w:t>
      </w:r>
      <w:r w:rsidR="00C54859">
        <w:tab/>
        <w:t>Joint visit and interview methodology</w:t>
      </w:r>
      <w:r w:rsidR="00C54859">
        <w:tab/>
      </w:r>
      <w:r>
        <w:tab/>
      </w:r>
      <w:r w:rsidR="00C54859">
        <w:t>6</w:t>
      </w:r>
    </w:p>
    <w:p w:rsidR="00C54859" w:rsidRDefault="006410D2" w:rsidP="006410D2">
      <w:pPr>
        <w:tabs>
          <w:tab w:val="right" w:pos="850"/>
          <w:tab w:val="left" w:pos="1134"/>
          <w:tab w:val="left" w:pos="1559"/>
          <w:tab w:val="left" w:pos="1984"/>
          <w:tab w:val="left" w:leader="dot" w:pos="8787"/>
          <w:tab w:val="right" w:pos="9638"/>
        </w:tabs>
        <w:spacing w:after="120"/>
      </w:pPr>
      <w:r>
        <w:tab/>
      </w:r>
      <w:r w:rsidR="00C54859">
        <w:t>IV.</w:t>
      </w:r>
      <w:r w:rsidR="00C54859">
        <w:tab/>
        <w:t>Strategy for follow-up to the recommendations of the national preventive mechanism</w:t>
      </w:r>
      <w:r w:rsidR="00C54859">
        <w:tab/>
      </w:r>
      <w:r>
        <w:tab/>
      </w:r>
      <w:r w:rsidR="00C54859">
        <w:t>7</w:t>
      </w:r>
    </w:p>
    <w:p w:rsidR="00C54859" w:rsidRDefault="006410D2" w:rsidP="003C10D1">
      <w:pPr>
        <w:tabs>
          <w:tab w:val="right" w:pos="850"/>
          <w:tab w:val="left" w:pos="1134"/>
          <w:tab w:val="left" w:pos="1559"/>
          <w:tab w:val="left" w:leader="dot" w:pos="8787"/>
          <w:tab w:val="right" w:pos="9638"/>
        </w:tabs>
        <w:spacing w:after="120"/>
      </w:pPr>
      <w:r>
        <w:tab/>
      </w:r>
      <w:r w:rsidR="00C54859">
        <w:t>V.</w:t>
      </w:r>
      <w:r w:rsidR="00C54859">
        <w:tab/>
        <w:t>Next steps</w:t>
      </w:r>
      <w:r>
        <w:tab/>
      </w:r>
      <w:r>
        <w:tab/>
      </w:r>
      <w:r w:rsidR="00C54859">
        <w:t>8</w:t>
      </w:r>
    </w:p>
    <w:p w:rsidR="00C54859" w:rsidRDefault="00C54859" w:rsidP="006410D2">
      <w:pPr>
        <w:tabs>
          <w:tab w:val="right" w:pos="850"/>
          <w:tab w:val="left" w:pos="1134"/>
          <w:tab w:val="left" w:pos="1559"/>
          <w:tab w:val="left" w:pos="1984"/>
          <w:tab w:val="left" w:leader="dot" w:pos="8787"/>
          <w:tab w:val="right" w:pos="9638"/>
        </w:tabs>
        <w:spacing w:after="120"/>
      </w:pPr>
      <w:r>
        <w:t>Annex</w:t>
      </w:r>
      <w:r w:rsidR="003C10D1">
        <w:t>es</w:t>
      </w:r>
    </w:p>
    <w:p w:rsidR="00C54859" w:rsidRDefault="00B13754" w:rsidP="006410D2">
      <w:pPr>
        <w:tabs>
          <w:tab w:val="right" w:pos="850"/>
          <w:tab w:val="left" w:pos="1134"/>
          <w:tab w:val="left" w:pos="1559"/>
          <w:tab w:val="left" w:pos="1984"/>
          <w:tab w:val="left" w:leader="dot" w:pos="8787"/>
          <w:tab w:val="right" w:pos="9638"/>
        </w:tabs>
        <w:spacing w:after="120"/>
      </w:pPr>
      <w:r>
        <w:tab/>
        <w:t>I.</w:t>
      </w:r>
      <w:r>
        <w:tab/>
      </w:r>
      <w:r w:rsidR="00C54859">
        <w:t xml:space="preserve">Lista de personas con </w:t>
      </w:r>
      <w:proofErr w:type="spellStart"/>
      <w:r w:rsidR="00C54859">
        <w:t>quienes</w:t>
      </w:r>
      <w:proofErr w:type="spellEnd"/>
      <w:r w:rsidR="00C54859">
        <w:t xml:space="preserve"> se </w:t>
      </w:r>
      <w:proofErr w:type="spellStart"/>
      <w:r w:rsidR="00C54859">
        <w:t>reunió</w:t>
      </w:r>
      <w:proofErr w:type="spellEnd"/>
      <w:r w:rsidR="00C54859">
        <w:t xml:space="preserve"> el </w:t>
      </w:r>
      <w:proofErr w:type="spellStart"/>
      <w:r w:rsidR="00C54859">
        <w:t>Subcomité</w:t>
      </w:r>
      <w:proofErr w:type="spellEnd"/>
      <w:r w:rsidR="00C54859">
        <w:tab/>
      </w:r>
      <w:r>
        <w:tab/>
      </w:r>
      <w:r w:rsidR="00C54859">
        <w:t>9</w:t>
      </w:r>
    </w:p>
    <w:p w:rsidR="00C54859" w:rsidRDefault="00B13754" w:rsidP="00B13754">
      <w:pPr>
        <w:tabs>
          <w:tab w:val="right" w:pos="850"/>
          <w:tab w:val="left" w:pos="1134"/>
          <w:tab w:val="left" w:pos="1559"/>
          <w:tab w:val="left" w:pos="1984"/>
          <w:tab w:val="left" w:leader="dot" w:pos="8787"/>
          <w:tab w:val="right" w:pos="9638"/>
        </w:tabs>
        <w:spacing w:after="120"/>
      </w:pPr>
      <w:r>
        <w:tab/>
      </w:r>
      <w:r w:rsidR="00C54859">
        <w:t>II</w:t>
      </w:r>
      <w:r>
        <w:tab/>
      </w:r>
      <w:proofErr w:type="spellStart"/>
      <w:r w:rsidR="00C54859">
        <w:t>Lugares</w:t>
      </w:r>
      <w:proofErr w:type="spellEnd"/>
      <w:r w:rsidR="00C54859">
        <w:t xml:space="preserve"> de </w:t>
      </w:r>
      <w:proofErr w:type="spellStart"/>
      <w:r w:rsidR="00C54859">
        <w:t>privación</w:t>
      </w:r>
      <w:proofErr w:type="spellEnd"/>
      <w:r w:rsidR="00C54859">
        <w:t xml:space="preserve"> de </w:t>
      </w:r>
      <w:proofErr w:type="spellStart"/>
      <w:r w:rsidR="00C54859">
        <w:t>libertad</w:t>
      </w:r>
      <w:proofErr w:type="spellEnd"/>
      <w:r w:rsidR="00C54859">
        <w:t xml:space="preserve"> </w:t>
      </w:r>
      <w:proofErr w:type="spellStart"/>
      <w:r w:rsidR="00C54859">
        <w:t>visitados</w:t>
      </w:r>
      <w:proofErr w:type="spellEnd"/>
      <w:r w:rsidR="00C54859">
        <w:tab/>
      </w:r>
      <w:r>
        <w:tab/>
      </w:r>
      <w:r w:rsidR="00C54859">
        <w:t>12</w:t>
      </w:r>
    </w:p>
    <w:p w:rsidR="00C54859" w:rsidRDefault="00B13754" w:rsidP="00B13754">
      <w:pPr>
        <w:tabs>
          <w:tab w:val="right" w:pos="850"/>
          <w:tab w:val="left" w:pos="1134"/>
          <w:tab w:val="left" w:pos="1559"/>
          <w:tab w:val="left" w:pos="1984"/>
          <w:tab w:val="left" w:leader="dot" w:pos="8787"/>
          <w:tab w:val="right" w:pos="9638"/>
        </w:tabs>
        <w:spacing w:after="120"/>
      </w:pPr>
      <w:r>
        <w:tab/>
      </w:r>
      <w:r w:rsidR="00C54859">
        <w:t>III</w:t>
      </w:r>
      <w:r>
        <w:tab/>
      </w:r>
      <w:proofErr w:type="spellStart"/>
      <w:r w:rsidR="00C54859">
        <w:t>Lugares</w:t>
      </w:r>
      <w:proofErr w:type="spellEnd"/>
      <w:r w:rsidR="00C54859">
        <w:t xml:space="preserve"> de </w:t>
      </w:r>
      <w:proofErr w:type="spellStart"/>
      <w:r w:rsidR="00C54859">
        <w:t>privación</w:t>
      </w:r>
      <w:proofErr w:type="spellEnd"/>
      <w:r w:rsidR="00C54859">
        <w:t xml:space="preserve"> de </w:t>
      </w:r>
      <w:proofErr w:type="spellStart"/>
      <w:r w:rsidR="00C54859">
        <w:t>libertad</w:t>
      </w:r>
      <w:proofErr w:type="spellEnd"/>
      <w:r w:rsidR="00C54859">
        <w:t xml:space="preserve"> </w:t>
      </w:r>
      <w:proofErr w:type="spellStart"/>
      <w:r w:rsidR="00C54859">
        <w:t>visitados</w:t>
      </w:r>
      <w:proofErr w:type="spellEnd"/>
      <w:r w:rsidR="00C54859">
        <w:t xml:space="preserve"> </w:t>
      </w:r>
      <w:proofErr w:type="spellStart"/>
      <w:r w:rsidR="00C54859">
        <w:t>conjuntamente</w:t>
      </w:r>
      <w:proofErr w:type="spellEnd"/>
      <w:r w:rsidR="00C54859">
        <w:t xml:space="preserve"> </w:t>
      </w:r>
      <w:r>
        <w:br/>
      </w:r>
      <w:r>
        <w:tab/>
      </w:r>
      <w:r>
        <w:tab/>
      </w:r>
      <w:r w:rsidR="00C54859">
        <w:t xml:space="preserve">con el </w:t>
      </w:r>
      <w:proofErr w:type="spellStart"/>
      <w:r w:rsidR="00C54859">
        <w:t>mecanismo</w:t>
      </w:r>
      <w:proofErr w:type="spellEnd"/>
      <w:r w:rsidR="00C54859">
        <w:t xml:space="preserve"> </w:t>
      </w:r>
      <w:proofErr w:type="spellStart"/>
      <w:r w:rsidR="00C54859">
        <w:t>nacional</w:t>
      </w:r>
      <w:proofErr w:type="spellEnd"/>
      <w:r w:rsidR="00C54859">
        <w:t xml:space="preserve"> de </w:t>
      </w:r>
      <w:proofErr w:type="spellStart"/>
      <w:r w:rsidR="00C54859">
        <w:t>prevención</w:t>
      </w:r>
      <w:proofErr w:type="spellEnd"/>
      <w:r w:rsidR="00C54859">
        <w:tab/>
      </w:r>
      <w:r>
        <w:tab/>
      </w:r>
      <w:r w:rsidR="00C54859">
        <w:t>14</w:t>
      </w:r>
    </w:p>
    <w:p w:rsidR="00E35E57" w:rsidRPr="00B74686" w:rsidRDefault="00E35E57" w:rsidP="004E395B">
      <w:pPr>
        <w:tabs>
          <w:tab w:val="right" w:pos="850"/>
          <w:tab w:val="left" w:pos="1134"/>
          <w:tab w:val="left" w:pos="1559"/>
          <w:tab w:val="left" w:pos="1984"/>
          <w:tab w:val="left" w:leader="dot" w:pos="8787"/>
          <w:tab w:val="right" w:pos="9638"/>
        </w:tabs>
        <w:spacing w:after="120"/>
      </w:pPr>
      <w:r w:rsidRPr="00B74686">
        <w:br w:type="page"/>
      </w:r>
    </w:p>
    <w:p w:rsidR="00E35E57" w:rsidRPr="00CC34C5" w:rsidRDefault="008A491C" w:rsidP="00E35E57">
      <w:pPr>
        <w:pStyle w:val="HChG"/>
      </w:pPr>
      <w:r>
        <w:lastRenderedPageBreak/>
        <w:tab/>
      </w:r>
      <w:bookmarkStart w:id="3" w:name="_Toc29451306"/>
      <w:bookmarkStart w:id="4" w:name="_Toc29451345"/>
      <w:r w:rsidR="00E35E57" w:rsidRPr="00CC34C5">
        <w:t>I.</w:t>
      </w:r>
      <w:r w:rsidR="00E35E57" w:rsidRPr="00CC34C5">
        <w:tab/>
      </w:r>
      <w:r w:rsidR="00E35E57" w:rsidRPr="00CC34C5">
        <w:rPr>
          <w:bCs/>
        </w:rPr>
        <w:t>Introduction</w:t>
      </w:r>
      <w:bookmarkEnd w:id="3"/>
      <w:bookmarkEnd w:id="4"/>
    </w:p>
    <w:p w:rsidR="00E35E57" w:rsidRPr="00CC34C5" w:rsidRDefault="00E35E57" w:rsidP="00E35E57">
      <w:pPr>
        <w:pStyle w:val="SingleTxtG"/>
        <w:rPr>
          <w:color w:val="000000" w:themeColor="text1"/>
        </w:rPr>
      </w:pPr>
      <w:r w:rsidRPr="00CC34C5">
        <w:t>1.</w:t>
      </w:r>
      <w:r w:rsidRPr="00CC34C5">
        <w:tab/>
        <w:t xml:space="preserve">In accordance with its mandate under the Optional Protocol to the Convention against Torture and Other Cruel, Inhuman or Degrading Treatment or Punishment, the Subcommittee on Prevention of Torture carried out its first regular visit to Costa Rica from 3 to 14 March 2019. Costa Rica became a party to the Convention against Torture on 11 November 1993 and became a party to the Optional Protocol on 1 December 2005. </w:t>
      </w:r>
    </w:p>
    <w:p w:rsidR="00E35E57" w:rsidRPr="00CC34C5" w:rsidRDefault="00E35E57" w:rsidP="00E35E57">
      <w:pPr>
        <w:pStyle w:val="SingleTxtG"/>
        <w:rPr>
          <w:color w:val="000000" w:themeColor="text1"/>
        </w:rPr>
      </w:pPr>
      <w:r w:rsidRPr="00CC34C5">
        <w:t>2.</w:t>
      </w:r>
      <w:r w:rsidRPr="00CC34C5">
        <w:tab/>
        <w:t xml:space="preserve">The Subcommittee members conducting the visit were: Roberto </w:t>
      </w:r>
      <w:proofErr w:type="spellStart"/>
      <w:r w:rsidRPr="00CC34C5">
        <w:t>Fehér</w:t>
      </w:r>
      <w:proofErr w:type="spellEnd"/>
      <w:r w:rsidRPr="00CC34C5">
        <w:t xml:space="preserve"> Pérez (head of delegation), María Dolores Gómez, María Luisa Romero, Nora </w:t>
      </w:r>
      <w:proofErr w:type="spellStart"/>
      <w:r w:rsidRPr="00CC34C5">
        <w:t>Sveaass</w:t>
      </w:r>
      <w:proofErr w:type="spellEnd"/>
      <w:r w:rsidRPr="00CC34C5">
        <w:t xml:space="preserve"> and Juan Pablo Vegas. The Subcommittee was assisted by two human rights officers and two security officers from the Office of the United Nations High Commissioner for Human Rights (OHCHR).</w:t>
      </w:r>
    </w:p>
    <w:p w:rsidR="00E35E57" w:rsidRPr="00CC34C5" w:rsidRDefault="00E35E57" w:rsidP="00E35E57">
      <w:pPr>
        <w:pStyle w:val="SingleTxtG"/>
        <w:rPr>
          <w:color w:val="000000" w:themeColor="text1"/>
        </w:rPr>
      </w:pPr>
      <w:r w:rsidRPr="00CC34C5">
        <w:t>3.</w:t>
      </w:r>
      <w:r w:rsidRPr="00CC34C5">
        <w:tab/>
        <w:t>The principal objectives of the visit were (a) to visit places of deprivation of liberty in order to assist the State party in fully complying with its obligations under the Optional Protocol, to strengthen the protection of persons deprived of their liberty from the risk of torture and ill-treatment and (b) to provide advice and technical assistance to the national preventive mechanism of Costa Rica and to consider the extent to which the Costa Rican national authorities are supporting its work and responding to its recommendations, taking account of the Subcommittee</w:t>
      </w:r>
      <w:r w:rsidR="00204363">
        <w:t>’</w:t>
      </w:r>
      <w:r w:rsidRPr="00CC34C5">
        <w:t>s guidelines on national preventive mechanisms (CAT/OP/12/5).</w:t>
      </w:r>
    </w:p>
    <w:p w:rsidR="00E35E57" w:rsidRPr="00CC34C5" w:rsidRDefault="00E35E57" w:rsidP="00E35E57">
      <w:pPr>
        <w:pStyle w:val="SingleTxtG"/>
        <w:rPr>
          <w:color w:val="000000" w:themeColor="text1"/>
        </w:rPr>
      </w:pPr>
      <w:r w:rsidRPr="00CC34C5">
        <w:t>4.</w:t>
      </w:r>
      <w:r w:rsidRPr="00CC34C5">
        <w:tab/>
        <w:t>The Subcommittee held meetings with the individuals listed in annex I and visited the places of deprivation of liberty listed in annex II; it interviewed persons deprived of their liberty, law enforcement and detention officers, medical personnel and others. In addition, two meetings were held with the national preventive mechanism, which allowed the Subcommittee to examine the mechanism</w:t>
      </w:r>
      <w:r w:rsidR="00204363">
        <w:t>’</w:t>
      </w:r>
      <w:r w:rsidRPr="00CC34C5">
        <w:t>s mandate and practices and identify ways to improve its effectiveness. In order to better understand how the mechanism works in practice, the Subcommittee also visited, together with the mechanism and in various groups, a place of deprivation of liberty for women that had been chosen by the national preventive mechanism (see annex III). That visit was led by the national preventive mechanism, with the members of the Subcommittee acting as observers.</w:t>
      </w:r>
    </w:p>
    <w:p w:rsidR="00E35E57" w:rsidRPr="00CC34C5" w:rsidRDefault="00E35E57" w:rsidP="00E35E57">
      <w:pPr>
        <w:pStyle w:val="SingleTxtG"/>
        <w:rPr>
          <w:color w:val="000000" w:themeColor="text1"/>
        </w:rPr>
      </w:pPr>
      <w:r w:rsidRPr="00CC34C5">
        <w:t>5.</w:t>
      </w:r>
      <w:r w:rsidRPr="00CC34C5">
        <w:tab/>
        <w:t>At the end of the visit, the delegation presented its confidential preliminary observations orally to the mechanism.</w:t>
      </w:r>
    </w:p>
    <w:p w:rsidR="00E35E57" w:rsidRPr="00CC34C5" w:rsidRDefault="00E35E57" w:rsidP="00E35E57">
      <w:pPr>
        <w:pStyle w:val="SingleTxtG"/>
        <w:rPr>
          <w:color w:val="000000" w:themeColor="text1"/>
        </w:rPr>
      </w:pPr>
      <w:r w:rsidRPr="00CC34C5">
        <w:t>6.</w:t>
      </w:r>
      <w:r w:rsidRPr="00CC34C5">
        <w:tab/>
        <w:t>In the present report, the Subcommittee sets out its recommendations and observations on the functioning of the national preventive mechanism, based on what it was able to observe during its visit. These recommendations are in line with the Subcommittee</w:t>
      </w:r>
      <w:r w:rsidR="00204363">
        <w:t>’</w:t>
      </w:r>
      <w:r w:rsidRPr="00CC34C5">
        <w:t>s obligation to offer training and technical assistance with a view to building the capacities of national preventive mechanisms, and to advise and assist those mechanisms in evaluating the needs and the means necessary to strengthen the protection of persons deprived of their liberty against torture and other ill-treatment,</w:t>
      </w:r>
      <w:r w:rsidRPr="00937A8A">
        <w:rPr>
          <w:rStyle w:val="FootnoteReference"/>
        </w:rPr>
        <w:footnoteReference w:id="3"/>
      </w:r>
      <w:r w:rsidRPr="00CC34C5">
        <w:t xml:space="preserve"> in accordance with article 11 (b) (ii) and (iii) of the Optional Protocol.</w:t>
      </w:r>
    </w:p>
    <w:p w:rsidR="00E35E57" w:rsidRPr="00CC34C5" w:rsidRDefault="00E35E57" w:rsidP="00E35E57">
      <w:pPr>
        <w:pStyle w:val="SingleTxtG"/>
        <w:rPr>
          <w:b/>
          <w:color w:val="000000" w:themeColor="text1"/>
        </w:rPr>
      </w:pPr>
      <w:r w:rsidRPr="00CC34C5">
        <w:t>7.</w:t>
      </w:r>
      <w:r w:rsidRPr="00CC34C5">
        <w:tab/>
      </w:r>
      <w:r w:rsidRPr="00CC34C5">
        <w:rPr>
          <w:b/>
          <w:bCs/>
        </w:rPr>
        <w:t>The present report will remain confidential until such time as Costa Rica decides to make it public in accordance with article 16 (2) of the Optional Protocol.</w:t>
      </w:r>
      <w:r w:rsidRPr="00CC34C5">
        <w:t xml:space="preserve"> </w:t>
      </w:r>
      <w:r w:rsidRPr="00CC34C5">
        <w:rPr>
          <w:b/>
          <w:bCs/>
        </w:rPr>
        <w:t>The Subcommittee firmly believes that the publication of the present report would contribute positively to the prevention of torture and ill-treatment in Costa Rica.</w:t>
      </w:r>
      <w:r w:rsidRPr="00CC34C5">
        <w:t xml:space="preserve"> </w:t>
      </w:r>
      <w:r w:rsidRPr="00CC34C5">
        <w:rPr>
          <w:b/>
          <w:bCs/>
        </w:rPr>
        <w:t>Therefore, the Subcommittee recommends that the mechanism authorize the publication of the present report and that it inform the Subcommittee of its decision to do so.</w:t>
      </w:r>
      <w:r w:rsidRPr="00CC34C5">
        <w:t xml:space="preserve"> </w:t>
      </w:r>
    </w:p>
    <w:p w:rsidR="00E35E57" w:rsidRPr="00CC34C5" w:rsidRDefault="00E35E57" w:rsidP="00E35E57">
      <w:pPr>
        <w:pStyle w:val="SingleTxtG"/>
        <w:rPr>
          <w:color w:val="000000" w:themeColor="text1"/>
        </w:rPr>
      </w:pPr>
      <w:r w:rsidRPr="00CC34C5">
        <w:t>8.</w:t>
      </w:r>
      <w:r w:rsidRPr="00CC34C5">
        <w:tab/>
        <w:t>The Subcommittee will prepare a separate confidential report for the Costa Rican authorities in which it will make recommendations to the State party.</w:t>
      </w:r>
    </w:p>
    <w:p w:rsidR="00E35E57" w:rsidRPr="00CC34C5" w:rsidRDefault="00E35E57" w:rsidP="00E35E57">
      <w:pPr>
        <w:pStyle w:val="SingleTxtG"/>
        <w:rPr>
          <w:color w:val="000000" w:themeColor="text1"/>
        </w:rPr>
      </w:pPr>
      <w:r w:rsidRPr="00CC34C5">
        <w:t>9.</w:t>
      </w:r>
      <w:r w:rsidRPr="00CC34C5">
        <w:tab/>
        <w:t xml:space="preserve">The Subcommittee draws the attention of Costa Rica and the national preventive mechanism to the Special Fund established under the Optional Protocol to the Convention (art. 26). Only recommendations contained in those Subcommittee visit reports that have </w:t>
      </w:r>
      <w:r w:rsidRPr="00CC34C5">
        <w:lastRenderedPageBreak/>
        <w:t xml:space="preserve">been made public can form the basis of applications to the Fund, in accordance with its published criteria. </w:t>
      </w:r>
    </w:p>
    <w:p w:rsidR="00E35E57" w:rsidRPr="00CC34C5" w:rsidRDefault="00E35E57" w:rsidP="00E35E57">
      <w:pPr>
        <w:pStyle w:val="SingleTxtG"/>
        <w:rPr>
          <w:color w:val="000000" w:themeColor="text1"/>
        </w:rPr>
      </w:pPr>
      <w:r w:rsidRPr="00CC34C5">
        <w:t>10.</w:t>
      </w:r>
      <w:r w:rsidRPr="00CC34C5">
        <w:tab/>
        <w:t>The Subcommittee wishes to express its gratitude to the national preventive mechanism for its assistance related to the planning and undertaking of the visit.</w:t>
      </w:r>
    </w:p>
    <w:p w:rsidR="00E35E57" w:rsidRPr="00CC34C5" w:rsidRDefault="00286D7C" w:rsidP="00E35E57">
      <w:pPr>
        <w:pStyle w:val="HChG"/>
      </w:pPr>
      <w:r>
        <w:tab/>
      </w:r>
      <w:bookmarkStart w:id="5" w:name="_Toc29451307"/>
      <w:bookmarkStart w:id="6" w:name="_Toc29451346"/>
      <w:r w:rsidR="00E35E57" w:rsidRPr="00CC34C5">
        <w:t>II.</w:t>
      </w:r>
      <w:r w:rsidR="00E35E57" w:rsidRPr="00CC34C5">
        <w:tab/>
      </w:r>
      <w:r w:rsidR="00E35E57" w:rsidRPr="00CC34C5">
        <w:rPr>
          <w:bCs/>
        </w:rPr>
        <w:t>National preventive mechanism</w:t>
      </w:r>
      <w:bookmarkEnd w:id="5"/>
      <w:bookmarkEnd w:id="6"/>
      <w:r w:rsidR="00E35E57" w:rsidRPr="00CC34C5">
        <w:t xml:space="preserve"> </w:t>
      </w:r>
    </w:p>
    <w:p w:rsidR="00E35E57" w:rsidRPr="00CC34C5" w:rsidRDefault="00E35E57" w:rsidP="00E35E57">
      <w:pPr>
        <w:pStyle w:val="SingleTxtG"/>
        <w:rPr>
          <w:color w:val="000000" w:themeColor="text1"/>
        </w:rPr>
      </w:pPr>
      <w:r w:rsidRPr="00CC34C5">
        <w:t>11.</w:t>
      </w:r>
      <w:r w:rsidRPr="00CC34C5">
        <w:tab/>
        <w:t>The Ombudsman</w:t>
      </w:r>
      <w:r w:rsidR="00204363">
        <w:t>’</w:t>
      </w:r>
      <w:r w:rsidRPr="00CC34C5">
        <w:t>s Office was designated as the national preventive mechanism by Executive Decree No. 33568-RE-MSP-G-J, signed on 13 December 2006 and published on 19 February 2007. The mechanism began functioning as an independent body within the Ombudsman</w:t>
      </w:r>
      <w:r w:rsidR="00204363">
        <w:t>’</w:t>
      </w:r>
      <w:r w:rsidRPr="00CC34C5">
        <w:t>s Office on 19 January 2009. The legal status of the national preventive mechanism became official through the adoption of Act No. 9204 of 2014. In accordance with article 1 of the Act, the mechanism</w:t>
      </w:r>
      <w:r w:rsidR="00204363">
        <w:t>’</w:t>
      </w:r>
      <w:r w:rsidRPr="00CC34C5">
        <w:t>s objective is</w:t>
      </w:r>
    </w:p>
    <w:p w:rsidR="00E35E57" w:rsidRPr="00CC34C5" w:rsidRDefault="00E35E57" w:rsidP="00E35E57">
      <w:pPr>
        <w:pStyle w:val="SingleTxtG"/>
        <w:ind w:left="1701"/>
        <w:rPr>
          <w:color w:val="000000" w:themeColor="text1"/>
        </w:rPr>
      </w:pPr>
      <w:r w:rsidRPr="00CC34C5">
        <w:t>to protect the fundamental human rights of persons who are in any way deprived of their liberty and to prevent any act of torture or other cruel, inhuman or degrading treatment by regularly carrying out inspections of prisons and detention facilities and centres.</w:t>
      </w:r>
    </w:p>
    <w:p w:rsidR="00E35E57" w:rsidRPr="00CC34C5" w:rsidRDefault="00E35E57" w:rsidP="00E35E57">
      <w:pPr>
        <w:pStyle w:val="SingleTxtG"/>
        <w:rPr>
          <w:color w:val="000000" w:themeColor="text1"/>
        </w:rPr>
      </w:pPr>
      <w:r w:rsidRPr="00CC34C5">
        <w:t>12.</w:t>
      </w:r>
      <w:r w:rsidRPr="00CC34C5">
        <w:tab/>
        <w:t xml:space="preserve">Currently, the mechanism has since been designated as a </w:t>
      </w:r>
      <w:r w:rsidR="00204363">
        <w:t>“</w:t>
      </w:r>
      <w:r w:rsidRPr="00CC34C5">
        <w:t>highly decentralized body</w:t>
      </w:r>
      <w:r w:rsidR="00204363">
        <w:t>”</w:t>
      </w:r>
      <w:r w:rsidRPr="00CC34C5">
        <w:t xml:space="preserve"> attached to the Ombudsman</w:t>
      </w:r>
      <w:r w:rsidR="00204363">
        <w:t>’</w:t>
      </w:r>
      <w:r w:rsidRPr="00CC34C5">
        <w:t xml:space="preserve">s Office. </w:t>
      </w:r>
      <w:r w:rsidRPr="00AA4540">
        <w:t>Pursuant to article 83 of the General Public Administration Act, highly decentralized bodies do not fall under the usual hierarchy in which subordinate bodies are subject to the orders, instructions and circulars of a superior authority.</w:t>
      </w:r>
      <w:r w:rsidRPr="00CC34C5">
        <w:t xml:space="preserve"> The mechanism enjoys financial independence and autonomy in carrying out its activities, which are established by national law on the basis of the Optional Protocol. </w:t>
      </w:r>
    </w:p>
    <w:p w:rsidR="00E35E57" w:rsidRPr="00CC34C5" w:rsidRDefault="00E35E57" w:rsidP="00E35E57">
      <w:pPr>
        <w:pStyle w:val="SingleTxtG"/>
        <w:rPr>
          <w:color w:val="000000" w:themeColor="text1"/>
        </w:rPr>
      </w:pPr>
      <w:r w:rsidRPr="00CC34C5">
        <w:t>13.</w:t>
      </w:r>
      <w:r w:rsidRPr="00CC34C5">
        <w:tab/>
        <w:t>At the time of the Subcommittee</w:t>
      </w:r>
      <w:r w:rsidR="00204363">
        <w:t>’</w:t>
      </w:r>
      <w:r w:rsidRPr="00CC34C5">
        <w:t>s visit, the mechanism</w:t>
      </w:r>
      <w:r w:rsidR="00204363">
        <w:t>’</w:t>
      </w:r>
      <w:r w:rsidRPr="00CC34C5">
        <w:t>s team was composed of a director, a political scientist and a social worker, as well as an administrative assistant. One lawyer</w:t>
      </w:r>
      <w:r w:rsidR="00204363">
        <w:t>’</w:t>
      </w:r>
      <w:r w:rsidRPr="00CC34C5">
        <w:t>s post was waiting to be filled. In cases where the mechanism requires a specialist, for instance a physician or architect, it requests a loan of staff from the Ombudsman</w:t>
      </w:r>
      <w:r w:rsidR="00204363">
        <w:t>’</w:t>
      </w:r>
      <w:r w:rsidRPr="00CC34C5">
        <w:t xml:space="preserve">s Office, which has greater human resources. Such loans are permitted under article 17 of the regulations implementing the act that established the mechanism. </w:t>
      </w:r>
    </w:p>
    <w:p w:rsidR="00E35E57" w:rsidRPr="00CC34C5" w:rsidRDefault="00E35E57" w:rsidP="00E35E57">
      <w:pPr>
        <w:pStyle w:val="SingleTxtG"/>
        <w:rPr>
          <w:color w:val="000000" w:themeColor="text1"/>
        </w:rPr>
      </w:pPr>
      <w:r w:rsidRPr="00CC34C5">
        <w:t>14.</w:t>
      </w:r>
      <w:r w:rsidRPr="00CC34C5">
        <w:tab/>
        <w:t>The mechanism conducts periodic visits to places in which persons are deprived of their liberty, in order to observe the treatment of such persons.</w:t>
      </w:r>
      <w:r w:rsidRPr="00937A8A">
        <w:rPr>
          <w:rStyle w:val="FootnoteReference"/>
        </w:rPr>
        <w:footnoteReference w:id="4"/>
      </w:r>
      <w:r w:rsidRPr="00CC34C5">
        <w:t xml:space="preserve"> Following the visits, the mechanism makes recommendations to the competent authorities with a view to the prevention of torture and other cruel, inhuman or degrading treatment or punishment. </w:t>
      </w:r>
    </w:p>
    <w:p w:rsidR="00E35E57" w:rsidRPr="00CC34C5" w:rsidRDefault="008F6ACD" w:rsidP="00E35E57">
      <w:pPr>
        <w:pStyle w:val="HChG"/>
      </w:pPr>
      <w:r>
        <w:tab/>
      </w:r>
      <w:bookmarkStart w:id="7" w:name="_Toc29451308"/>
      <w:bookmarkStart w:id="8" w:name="_Toc29451347"/>
      <w:r w:rsidR="00E35E57" w:rsidRPr="00CC34C5">
        <w:t>III.</w:t>
      </w:r>
      <w:r w:rsidR="00E35E57" w:rsidRPr="00CC34C5">
        <w:tab/>
      </w:r>
      <w:r w:rsidR="00E35E57" w:rsidRPr="00CC34C5">
        <w:rPr>
          <w:bCs/>
        </w:rPr>
        <w:t>Recommendations to the national preventive mechanism</w:t>
      </w:r>
      <w:bookmarkEnd w:id="7"/>
      <w:bookmarkEnd w:id="8"/>
    </w:p>
    <w:p w:rsidR="00E35E57" w:rsidRPr="00CC34C5" w:rsidRDefault="008F6ACD" w:rsidP="00E35E57">
      <w:pPr>
        <w:pStyle w:val="H1G"/>
      </w:pPr>
      <w:r>
        <w:tab/>
      </w:r>
      <w:bookmarkStart w:id="9" w:name="_Toc29451309"/>
      <w:bookmarkStart w:id="10" w:name="_Toc29451348"/>
      <w:r w:rsidR="00E35E57" w:rsidRPr="00CC34C5">
        <w:t>A.</w:t>
      </w:r>
      <w:r w:rsidR="00E35E57" w:rsidRPr="00CC34C5">
        <w:tab/>
      </w:r>
      <w:r w:rsidR="00E35E57" w:rsidRPr="00CC34C5">
        <w:rPr>
          <w:bCs/>
        </w:rPr>
        <w:t>Structure and independence</w:t>
      </w:r>
      <w:bookmarkEnd w:id="9"/>
      <w:bookmarkEnd w:id="10"/>
      <w:r w:rsidR="00E35E57" w:rsidRPr="00CC34C5">
        <w:t xml:space="preserve"> </w:t>
      </w:r>
    </w:p>
    <w:p w:rsidR="00E35E57" w:rsidRPr="00CC34C5" w:rsidRDefault="00E35E57" w:rsidP="00E35E57">
      <w:pPr>
        <w:pStyle w:val="SingleTxtG"/>
        <w:rPr>
          <w:b/>
          <w:color w:val="000000" w:themeColor="text1"/>
        </w:rPr>
      </w:pPr>
      <w:r w:rsidRPr="00CC34C5">
        <w:t>15.</w:t>
      </w:r>
      <w:r w:rsidRPr="00CC34C5">
        <w:tab/>
        <w:t xml:space="preserve">During its visit, the Subcommittee noted with satisfaction that the national preventive mechanism </w:t>
      </w:r>
      <w:r>
        <w:t>has a strong position</w:t>
      </w:r>
      <w:r w:rsidRPr="00CC34C5">
        <w:t xml:space="preserve"> and</w:t>
      </w:r>
      <w:r>
        <w:t xml:space="preserve"> enjoys</w:t>
      </w:r>
      <w:r w:rsidRPr="00CC34C5">
        <w:t xml:space="preserve"> legitimacy vis-à-vis the Costa Rican authorities. The mechanism is thus able to fulfil, unimpeded, its mandate of monitoring, issuing recommendations and engaging in dialogue with the authorities. The mechanism</w:t>
      </w:r>
      <w:r w:rsidR="00204363">
        <w:t>’</w:t>
      </w:r>
      <w:r w:rsidRPr="00CC34C5">
        <w:t>s reports contain extensive information relating to its observations and its recommendations are used to inform decisions by the judicial and executive branches of power.</w:t>
      </w:r>
    </w:p>
    <w:p w:rsidR="00E35E57" w:rsidRPr="00CC34C5" w:rsidRDefault="00E35E57" w:rsidP="00E35E57">
      <w:pPr>
        <w:pStyle w:val="SingleTxtG"/>
        <w:rPr>
          <w:b/>
          <w:color w:val="000000" w:themeColor="text1"/>
        </w:rPr>
      </w:pPr>
      <w:r w:rsidRPr="00CC34C5">
        <w:t>16.</w:t>
      </w:r>
      <w:r w:rsidRPr="00CC34C5">
        <w:tab/>
        <w:t>The Subcommittee is concerned that the mechanism may be understaffed. It currently lacks human resources and multidisciplinary staff to carry out its work independently from the Ombudsman</w:t>
      </w:r>
      <w:r w:rsidR="00204363">
        <w:t>’</w:t>
      </w:r>
      <w:r w:rsidRPr="00CC34C5">
        <w:t>s Office. For instance, the mechanism has to request the Office</w:t>
      </w:r>
      <w:r w:rsidR="00204363">
        <w:t>’</w:t>
      </w:r>
      <w:r w:rsidRPr="00CC34C5">
        <w:t xml:space="preserve">s help in providing drivers, physicians, psychologists and other specialized workers in order to carry out its daily work. </w:t>
      </w:r>
    </w:p>
    <w:p w:rsidR="00E35E57" w:rsidRPr="00CC34C5" w:rsidRDefault="00E35E57" w:rsidP="00E35E57">
      <w:pPr>
        <w:pStyle w:val="SingleTxtG"/>
        <w:rPr>
          <w:b/>
          <w:color w:val="000000" w:themeColor="text1"/>
        </w:rPr>
      </w:pPr>
      <w:r w:rsidRPr="00CC34C5">
        <w:t>17.</w:t>
      </w:r>
      <w:r w:rsidRPr="00CC34C5">
        <w:tab/>
      </w:r>
      <w:r w:rsidRPr="00CC34C5">
        <w:rPr>
          <w:b/>
          <w:bCs/>
        </w:rPr>
        <w:t xml:space="preserve">The Subcommittee recommends that the mechanism consider hiring, as part of its main team and permanent staff, medical and psychological experts with experience </w:t>
      </w:r>
      <w:r w:rsidRPr="00CC34C5">
        <w:rPr>
          <w:b/>
          <w:bCs/>
        </w:rPr>
        <w:lastRenderedPageBreak/>
        <w:t>in prison environments, who would contribute to the fulfilment of the mechanism</w:t>
      </w:r>
      <w:r w:rsidR="00204363">
        <w:rPr>
          <w:b/>
          <w:bCs/>
        </w:rPr>
        <w:t>’</w:t>
      </w:r>
      <w:r w:rsidRPr="00CC34C5">
        <w:rPr>
          <w:b/>
          <w:bCs/>
        </w:rPr>
        <w:t>s mandate.</w:t>
      </w:r>
      <w:r w:rsidRPr="00CC34C5">
        <w:t xml:space="preserve"> </w:t>
      </w:r>
      <w:r w:rsidRPr="00CC34C5">
        <w:rPr>
          <w:b/>
          <w:bCs/>
        </w:rPr>
        <w:t>The addition of such professionals, who could work part- or full-time, would bring a more comprehensive focus to the mechanism</w:t>
      </w:r>
      <w:r w:rsidR="00204363">
        <w:rPr>
          <w:b/>
          <w:bCs/>
        </w:rPr>
        <w:t>’</w:t>
      </w:r>
      <w:r w:rsidRPr="00CC34C5">
        <w:rPr>
          <w:b/>
          <w:bCs/>
        </w:rPr>
        <w:t>s visits and increase the relevance of recommendations made to the authorities regarding health-related aspects in places of deprivation of liberty.</w:t>
      </w:r>
      <w:r w:rsidRPr="00CC34C5">
        <w:t xml:space="preserve"> </w:t>
      </w:r>
    </w:p>
    <w:p w:rsidR="00E35E57" w:rsidRPr="00CC34C5" w:rsidRDefault="00E35E57" w:rsidP="00E35E57">
      <w:pPr>
        <w:pStyle w:val="SingleTxtG"/>
        <w:rPr>
          <w:b/>
          <w:color w:val="000000" w:themeColor="text1"/>
        </w:rPr>
      </w:pPr>
      <w:r w:rsidRPr="00CC34C5">
        <w:t>18.</w:t>
      </w:r>
      <w:r w:rsidRPr="00CC34C5">
        <w:tab/>
        <w:t>During its visit, the Subcommittee observed good working relations between the Ombudsman</w:t>
      </w:r>
      <w:r w:rsidR="00204363">
        <w:t>’</w:t>
      </w:r>
      <w:r w:rsidRPr="00CC34C5">
        <w:t>s Office and the national preventive mechanism. Generally speaking, the mechanism is an independent body; there were no reports of interference by the Ombudsman</w:t>
      </w:r>
      <w:r w:rsidR="00204363">
        <w:t>’</w:t>
      </w:r>
      <w:r w:rsidRPr="00CC34C5">
        <w:t xml:space="preserve">s Office in the fulfilment of its mandate, the allocation of its budget or the recruitment and hiring of its staff. </w:t>
      </w:r>
    </w:p>
    <w:p w:rsidR="00E35E57" w:rsidRPr="00CC34C5" w:rsidRDefault="00514C3F" w:rsidP="00E35E57">
      <w:pPr>
        <w:pStyle w:val="H1G"/>
      </w:pPr>
      <w:r>
        <w:tab/>
      </w:r>
      <w:bookmarkStart w:id="11" w:name="_Toc29451310"/>
      <w:bookmarkStart w:id="12" w:name="_Toc29451349"/>
      <w:r w:rsidR="00E35E57" w:rsidRPr="00CC34C5">
        <w:t>B.</w:t>
      </w:r>
      <w:r w:rsidR="00E35E57" w:rsidRPr="00CC34C5">
        <w:tab/>
      </w:r>
      <w:r w:rsidR="00E35E57" w:rsidRPr="00CC34C5">
        <w:rPr>
          <w:bCs/>
        </w:rPr>
        <w:t>Visibility</w:t>
      </w:r>
      <w:bookmarkEnd w:id="11"/>
      <w:bookmarkEnd w:id="12"/>
      <w:r w:rsidR="00E35E57" w:rsidRPr="00CC34C5">
        <w:t xml:space="preserve"> </w:t>
      </w:r>
    </w:p>
    <w:p w:rsidR="00E35E57" w:rsidRPr="00CC34C5" w:rsidRDefault="00E35E57" w:rsidP="00E35E57">
      <w:pPr>
        <w:pStyle w:val="SingleTxtG"/>
        <w:ind w:hanging="11"/>
        <w:rPr>
          <w:color w:val="000000" w:themeColor="text1"/>
        </w:rPr>
      </w:pPr>
      <w:r w:rsidRPr="00CC34C5">
        <w:t>19.</w:t>
      </w:r>
      <w:r w:rsidRPr="00CC34C5">
        <w:tab/>
        <w:t>The annual reports of the mechanism contain important information on its observations and recommendations to the State party</w:t>
      </w:r>
      <w:r w:rsidR="00204363">
        <w:t>’</w:t>
      </w:r>
      <w:r w:rsidRPr="00CC34C5">
        <w:t>s authorities. The Subcommittee considers the reports to be an extremely valuable tool for improving the visibility of the mechanism</w:t>
      </w:r>
      <w:r w:rsidR="00204363">
        <w:t>’</w:t>
      </w:r>
      <w:r w:rsidRPr="00CC34C5">
        <w:t xml:space="preserve">s work and raising awareness about prison-related issues. </w:t>
      </w:r>
    </w:p>
    <w:p w:rsidR="00E35E57" w:rsidRPr="00CC34C5" w:rsidRDefault="00E35E57" w:rsidP="00E35E57">
      <w:pPr>
        <w:pStyle w:val="SingleTxtG"/>
        <w:ind w:left="1123" w:hanging="11"/>
        <w:rPr>
          <w:b/>
          <w:bCs/>
          <w:color w:val="000000" w:themeColor="text1"/>
        </w:rPr>
      </w:pPr>
      <w:r w:rsidRPr="00CC34C5">
        <w:t>20.</w:t>
      </w:r>
      <w:r w:rsidRPr="00CC34C5">
        <w:tab/>
      </w:r>
      <w:r w:rsidRPr="00CC34C5">
        <w:rPr>
          <w:b/>
          <w:bCs/>
        </w:rPr>
        <w:t>The Subcommittee believes it would be advisable for the national preventive mechanism to make its annual reports more widely available to the public by inviting senior State officials and the mass media to disseminate them broadly.</w:t>
      </w:r>
      <w:r w:rsidRPr="00CC34C5">
        <w:t xml:space="preserve"> </w:t>
      </w:r>
      <w:r w:rsidRPr="00CC34C5">
        <w:rPr>
          <w:b/>
          <w:bCs/>
        </w:rPr>
        <w:t>Greater visibility for the reports will improve civil society</w:t>
      </w:r>
      <w:r w:rsidR="00204363">
        <w:rPr>
          <w:b/>
          <w:bCs/>
        </w:rPr>
        <w:t>’</w:t>
      </w:r>
      <w:r w:rsidRPr="00CC34C5">
        <w:rPr>
          <w:b/>
          <w:bCs/>
        </w:rPr>
        <w:t>s understanding of the mechanism and will give greater weight to its recommendations on major prison-related issues, such as overcrowding or the widespread lack of access to health services; in turn, this will increase the State party</w:t>
      </w:r>
      <w:r w:rsidR="00204363">
        <w:rPr>
          <w:b/>
          <w:bCs/>
        </w:rPr>
        <w:t>’</w:t>
      </w:r>
      <w:r w:rsidRPr="00CC34C5">
        <w:rPr>
          <w:b/>
          <w:bCs/>
        </w:rPr>
        <w:t>s accountability regarding the findings of the mechanism and vis-à-vis society in general.</w:t>
      </w:r>
      <w:r w:rsidRPr="00CC34C5">
        <w:t xml:space="preserve"> </w:t>
      </w:r>
    </w:p>
    <w:p w:rsidR="00E35E57" w:rsidRPr="00CC34C5" w:rsidRDefault="00E35E57" w:rsidP="00E35E57">
      <w:pPr>
        <w:pStyle w:val="SingleTxtG"/>
        <w:ind w:hanging="11"/>
        <w:rPr>
          <w:color w:val="000000" w:themeColor="text1"/>
        </w:rPr>
      </w:pPr>
      <w:r w:rsidRPr="00CC34C5">
        <w:t>21.</w:t>
      </w:r>
      <w:r w:rsidRPr="00CC34C5">
        <w:tab/>
        <w:t>The Subcommittee noted that the mechanism is known and respected by key State actors, including the executive and judicial branches. However, the mechanism conducts its activities without involving other actors, such as civil society, the United Nations system or professional associations of lawyers or psychologists, resulting in a lack of visibility among these. This in turn means that intermediary organizations are not aware of the major issues relating to prevention of torture.</w:t>
      </w:r>
    </w:p>
    <w:p w:rsidR="00E35E57" w:rsidRPr="00CC34C5" w:rsidRDefault="00E35E57" w:rsidP="00E35E57">
      <w:pPr>
        <w:pStyle w:val="SingleTxtG"/>
        <w:ind w:hanging="11"/>
        <w:rPr>
          <w:b/>
          <w:bCs/>
          <w:color w:val="000000" w:themeColor="text1"/>
        </w:rPr>
      </w:pPr>
      <w:r w:rsidRPr="00CC34C5">
        <w:t>22.</w:t>
      </w:r>
      <w:r w:rsidRPr="00CC34C5">
        <w:tab/>
      </w:r>
      <w:r w:rsidRPr="00CC34C5">
        <w:rPr>
          <w:b/>
          <w:bCs/>
        </w:rPr>
        <w:t>The Subcommittee recommends that the mechanism start to work more closely with the media and with civil society to achieve further recognition of its mandate and recommendations and that it promote information-sharing.</w:t>
      </w:r>
      <w:r w:rsidRPr="00CC34C5">
        <w:t xml:space="preserve"> </w:t>
      </w:r>
      <w:r w:rsidRPr="00CC34C5">
        <w:rPr>
          <w:b/>
          <w:bCs/>
        </w:rPr>
        <w:t>By doing so, the mechanism will fulfil its role of disseminating information about issues relating to prevention of torture and other ill-treatment; moreover, it will gain greater visibility vis-à-vis a number of non-State actors that could help to raise further awareness about the importance of torture-prevention initiatives.</w:t>
      </w:r>
      <w:r w:rsidR="00204363">
        <w:t xml:space="preserve">  </w:t>
      </w:r>
    </w:p>
    <w:p w:rsidR="00E35E57" w:rsidRPr="00CC34C5" w:rsidRDefault="00E35E57" w:rsidP="00E35E57">
      <w:pPr>
        <w:pStyle w:val="SingleTxtG"/>
        <w:ind w:hanging="11"/>
        <w:rPr>
          <w:b/>
          <w:bCs/>
          <w:color w:val="000000" w:themeColor="text1"/>
        </w:rPr>
      </w:pPr>
      <w:r w:rsidRPr="00CC34C5">
        <w:t>23.</w:t>
      </w:r>
      <w:r w:rsidRPr="00CC34C5">
        <w:tab/>
      </w:r>
      <w:r w:rsidRPr="00CC34C5">
        <w:rPr>
          <w:b/>
          <w:bCs/>
        </w:rPr>
        <w:t xml:space="preserve">The Subcommittee recommends that the mechanism propose exchanges with professional institutions, such as those specializing in </w:t>
      </w:r>
      <w:r w:rsidRPr="00463E9C">
        <w:rPr>
          <w:b/>
          <w:bCs/>
        </w:rPr>
        <w:t>forensic or legal medicine;</w:t>
      </w:r>
      <w:r w:rsidRPr="00CC34C5">
        <w:rPr>
          <w:b/>
          <w:bCs/>
        </w:rPr>
        <w:t xml:space="preserve"> professional associations of lawyers or psychologists; and the United Nations system, including specialized agencies.</w:t>
      </w:r>
      <w:r w:rsidRPr="00CC34C5">
        <w:t xml:space="preserve"> </w:t>
      </w:r>
      <w:r w:rsidRPr="00CC34C5">
        <w:rPr>
          <w:b/>
          <w:bCs/>
        </w:rPr>
        <w:t>These organizations can lend technical and academic support to the fulfilment of the mechanism</w:t>
      </w:r>
      <w:r w:rsidR="00204363">
        <w:rPr>
          <w:b/>
          <w:bCs/>
        </w:rPr>
        <w:t>’</w:t>
      </w:r>
      <w:r w:rsidRPr="00CC34C5">
        <w:rPr>
          <w:b/>
          <w:bCs/>
        </w:rPr>
        <w:t>s mandate.</w:t>
      </w:r>
      <w:r w:rsidRPr="00CC34C5">
        <w:t xml:space="preserve"> </w:t>
      </w:r>
    </w:p>
    <w:p w:rsidR="00E35E57" w:rsidRPr="00CC34C5" w:rsidRDefault="00E35E57" w:rsidP="00E35E57">
      <w:pPr>
        <w:pStyle w:val="SingleTxtG"/>
        <w:ind w:hanging="11"/>
        <w:rPr>
          <w:color w:val="000000" w:themeColor="text1"/>
        </w:rPr>
      </w:pPr>
      <w:r w:rsidRPr="00CC34C5">
        <w:t>24.</w:t>
      </w:r>
      <w:r w:rsidRPr="00CC34C5">
        <w:tab/>
        <w:t>In addition, the Subcommittee noted that the mechanism has not successfully distinguished itself from the Ombudsman</w:t>
      </w:r>
      <w:r w:rsidR="00204363">
        <w:t>’</w:t>
      </w:r>
      <w:r w:rsidRPr="00CC34C5">
        <w:t>s Office vis-à-vis some institutions. Specifically, the mechanism has not developed a sufficiently effective strategy to distinguish the methodology for its visits to places of deprivation of liberty from those of the Ombudsman</w:t>
      </w:r>
      <w:r w:rsidR="00204363">
        <w:t>’</w:t>
      </w:r>
      <w:r w:rsidRPr="00CC34C5">
        <w:t>s Office. As a result, it has an extremely low profile in the eyes of persons deprived of their liberty and the public at large. In most of the facilities visited by the Subcommittee, the persons deprived of their liberty were not familiar with the national preventive mechanism or its mandate, or they confused it with the Ombudsman</w:t>
      </w:r>
      <w:r w:rsidR="00204363">
        <w:t>’</w:t>
      </w:r>
      <w:r w:rsidRPr="00CC34C5">
        <w:t>s Office. The Subcommittee finds it regrettable that, despite its legally recognized independence, the mechanism is not sufficiently known and has not distinguished itself effectively from the Ombudsman</w:t>
      </w:r>
      <w:r w:rsidR="00204363">
        <w:t>’</w:t>
      </w:r>
      <w:r w:rsidRPr="00CC34C5">
        <w:t>s Office among persons deprived of their liberty.</w:t>
      </w:r>
      <w:r w:rsidR="00204363">
        <w:t xml:space="preserve"> </w:t>
      </w:r>
      <w:r w:rsidRPr="00CC34C5">
        <w:t xml:space="preserve"> </w:t>
      </w:r>
    </w:p>
    <w:p w:rsidR="00E35E57" w:rsidRPr="00CC34C5" w:rsidRDefault="00E35E57" w:rsidP="00E35E57">
      <w:pPr>
        <w:pStyle w:val="SingleTxtG"/>
        <w:ind w:hanging="11"/>
        <w:rPr>
          <w:b/>
          <w:bCs/>
          <w:color w:val="000000" w:themeColor="text1"/>
        </w:rPr>
      </w:pPr>
      <w:r w:rsidRPr="00CC34C5">
        <w:lastRenderedPageBreak/>
        <w:t>25.</w:t>
      </w:r>
      <w:r w:rsidRPr="00CC34C5">
        <w:tab/>
      </w:r>
      <w:r w:rsidRPr="00CC34C5">
        <w:rPr>
          <w:b/>
          <w:bCs/>
        </w:rPr>
        <w:t>The Subcommittee recommends that the mechanism develop a stronger strategy in order to differentiate its team from that of the Ombudsman</w:t>
      </w:r>
      <w:r w:rsidR="00204363">
        <w:rPr>
          <w:b/>
          <w:bCs/>
        </w:rPr>
        <w:t>’</w:t>
      </w:r>
      <w:r w:rsidRPr="00CC34C5">
        <w:rPr>
          <w:b/>
          <w:bCs/>
        </w:rPr>
        <w:t xml:space="preserve">s Office and to </w:t>
      </w:r>
      <w:r>
        <w:rPr>
          <w:b/>
          <w:bCs/>
        </w:rPr>
        <w:t>make clear</w:t>
      </w:r>
      <w:r w:rsidRPr="00CC34C5">
        <w:rPr>
          <w:b/>
          <w:bCs/>
        </w:rPr>
        <w:t xml:space="preserve"> the specific nature of its mandate </w:t>
      </w:r>
      <w:r>
        <w:rPr>
          <w:b/>
          <w:bCs/>
        </w:rPr>
        <w:t>to</w:t>
      </w:r>
      <w:r w:rsidRPr="00CC34C5">
        <w:rPr>
          <w:b/>
          <w:bCs/>
        </w:rPr>
        <w:t xml:space="preserve"> persons deprived of their liberty.</w:t>
      </w:r>
      <w:r w:rsidRPr="00CC34C5">
        <w:t xml:space="preserve"> </w:t>
      </w:r>
      <w:r w:rsidRPr="00CC34C5">
        <w:rPr>
          <w:b/>
          <w:bCs/>
        </w:rPr>
        <w:t>To that end, the Subcommittee recommends, for example, organizing awareness-raising campaigns and other promotional activities, such as the production and distribution of materials on the specific nature of the mandate and activities of the mechanism, and considering the possibility of providing members of the mechanism with clothing</w:t>
      </w:r>
      <w:r w:rsidRPr="00937A8A">
        <w:rPr>
          <w:rStyle w:val="FootnoteReference"/>
        </w:rPr>
        <w:footnoteReference w:id="5"/>
      </w:r>
      <w:r w:rsidRPr="00CC34C5">
        <w:rPr>
          <w:b/>
          <w:bCs/>
        </w:rPr>
        <w:t xml:space="preserve"> of a specific colour or marked with a symbol or logo so as to clearly set them apart from members of the Ombudsman</w:t>
      </w:r>
      <w:r w:rsidR="00204363">
        <w:rPr>
          <w:b/>
          <w:bCs/>
        </w:rPr>
        <w:t>’</w:t>
      </w:r>
      <w:r w:rsidRPr="00CC34C5">
        <w:rPr>
          <w:b/>
          <w:bCs/>
        </w:rPr>
        <w:t>s Office.</w:t>
      </w:r>
      <w:r w:rsidRPr="00937A8A">
        <w:rPr>
          <w:rStyle w:val="FootnoteReference"/>
        </w:rPr>
        <w:footnoteReference w:id="6"/>
      </w:r>
      <w:r w:rsidR="00204363">
        <w:t xml:space="preserve"> </w:t>
      </w:r>
    </w:p>
    <w:p w:rsidR="00E35E57" w:rsidRPr="00CC34C5" w:rsidRDefault="00E35E57" w:rsidP="00E35E57">
      <w:pPr>
        <w:pStyle w:val="SingleTxtG"/>
        <w:ind w:hanging="11"/>
        <w:rPr>
          <w:b/>
          <w:bCs/>
          <w:color w:val="000000" w:themeColor="text1"/>
        </w:rPr>
      </w:pPr>
      <w:r w:rsidRPr="00CC34C5">
        <w:t>26.</w:t>
      </w:r>
      <w:r w:rsidRPr="00CC34C5">
        <w:tab/>
      </w:r>
      <w:r w:rsidRPr="00CC34C5">
        <w:rPr>
          <w:b/>
          <w:bCs/>
        </w:rPr>
        <w:t>The Subcommittee recommends that, during visits, the members of the mechanism present themselves in a specific, easy-to-understand manner to the authorities of places of detention and to persons deprived of their liberty, and that they clearly explain their mandate and the objectives of their visit.</w:t>
      </w:r>
      <w:r w:rsidR="00204363">
        <w:t xml:space="preserve"> </w:t>
      </w:r>
    </w:p>
    <w:p w:rsidR="00E35E57" w:rsidRPr="00CC34C5" w:rsidRDefault="00C934F8" w:rsidP="00E35E57">
      <w:pPr>
        <w:pStyle w:val="H1G"/>
      </w:pPr>
      <w:r>
        <w:tab/>
      </w:r>
      <w:bookmarkStart w:id="13" w:name="_Toc29451311"/>
      <w:bookmarkStart w:id="14" w:name="_Toc29451350"/>
      <w:r w:rsidR="00E35E57" w:rsidRPr="00CC34C5">
        <w:t>C.</w:t>
      </w:r>
      <w:r w:rsidR="00E35E57" w:rsidRPr="00CC34C5">
        <w:tab/>
      </w:r>
      <w:r w:rsidR="00E35E57" w:rsidRPr="00CC34C5">
        <w:rPr>
          <w:bCs/>
        </w:rPr>
        <w:t>Joint visit and interview methodology</w:t>
      </w:r>
      <w:bookmarkEnd w:id="13"/>
      <w:bookmarkEnd w:id="14"/>
      <w:r w:rsidR="00E35E57" w:rsidRPr="00CC34C5">
        <w:t xml:space="preserve"> </w:t>
      </w:r>
    </w:p>
    <w:p w:rsidR="00E35E57" w:rsidRPr="00ED7679" w:rsidRDefault="00E35E57" w:rsidP="00E35E57">
      <w:pPr>
        <w:pStyle w:val="SingleTxtG"/>
        <w:ind w:hanging="11"/>
        <w:jc w:val="lowKashida"/>
      </w:pPr>
      <w:r w:rsidRPr="00CC34C5">
        <w:t>27.</w:t>
      </w:r>
      <w:r w:rsidRPr="00CC34C5">
        <w:tab/>
        <w:t>The Subcommittee conducted a joint visit with the mechanism during which it was able to observe its working methods. The Subcommittee experts split into two groups, with each group observing the work of two members of the mechanism. Overall, the way in which the members of the mechanism conducted their work made a good impression on the Subcommittee delegation</w:t>
      </w:r>
      <w:r w:rsidRPr="00ED7679">
        <w:t xml:space="preserve">. </w:t>
      </w:r>
    </w:p>
    <w:p w:rsidR="00E35E57" w:rsidRPr="00CC34C5" w:rsidRDefault="00E35E57" w:rsidP="00E35E57">
      <w:pPr>
        <w:pStyle w:val="SingleTxtG"/>
        <w:jc w:val="lowKashida"/>
        <w:rPr>
          <w:color w:val="000000" w:themeColor="text1"/>
        </w:rPr>
      </w:pPr>
      <w:r w:rsidRPr="00CC34C5">
        <w:t>28.</w:t>
      </w:r>
      <w:r w:rsidRPr="00CC34C5">
        <w:tab/>
        <w:t>The joint visit began with a meeting with the prison director, which lasted around an hour. Meetings with the prison authorities that take place upon arrival at an establishment must be focused on obtaining basic information about the establishment, such as the number of detainees per category or follow-up to recommendations made during the mechanism</w:t>
      </w:r>
      <w:r w:rsidR="00204363">
        <w:t>’</w:t>
      </w:r>
      <w:r w:rsidRPr="00CC34C5">
        <w:t>s previous visit. During the meeting, the Subcommittee noted that the mechanism members did not inquire as to the progress made in respect of the recommendations made during previous visits.</w:t>
      </w:r>
      <w:r w:rsidR="00204363">
        <w:t xml:space="preserve"> </w:t>
      </w:r>
    </w:p>
    <w:p w:rsidR="00E35E57" w:rsidRPr="00CC34C5" w:rsidRDefault="00E35E57" w:rsidP="00E35E57">
      <w:pPr>
        <w:pStyle w:val="SingleTxtG"/>
        <w:ind w:hanging="11"/>
        <w:rPr>
          <w:color w:val="000000" w:themeColor="text1"/>
        </w:rPr>
      </w:pPr>
      <w:r w:rsidRPr="00CC34C5">
        <w:t>29.</w:t>
      </w:r>
      <w:r w:rsidRPr="00CC34C5">
        <w:tab/>
        <w:t>As for interview methodology, the Subcommittee noted that, in some interviews with persons deprived of their liberty, the members of the mechanism did not introduce themselves as such and did not explain clearly their mandate as it relates to prevention. One group of Subcommittee experts noted that the introductory part of interviews was not easily understandable for persons deprived of their liberty and the mandate of the interviewers and the institution they represented was not made clear. On other occasions, the members of the mechanism did not request the consent of persons deprived of their liberty before conducting interviews, did not make clear that the interviews were confidential and voluntary and did not inform interviewees that the interviews were not meant to address individual cases.</w:t>
      </w:r>
      <w:r w:rsidR="00204363">
        <w:t xml:space="preserve"> </w:t>
      </w:r>
    </w:p>
    <w:p w:rsidR="00E35E57" w:rsidRPr="00CC34C5" w:rsidRDefault="00E35E57" w:rsidP="00E35E57">
      <w:pPr>
        <w:pStyle w:val="SingleTxtG"/>
        <w:ind w:hanging="11"/>
        <w:rPr>
          <w:b/>
          <w:bCs/>
          <w:color w:val="000000" w:themeColor="text1"/>
        </w:rPr>
      </w:pPr>
      <w:r w:rsidRPr="00CC34C5">
        <w:t>30.</w:t>
      </w:r>
      <w:r w:rsidRPr="00CC34C5">
        <w:tab/>
      </w:r>
      <w:r w:rsidRPr="00CC34C5">
        <w:rPr>
          <w:b/>
          <w:bCs/>
        </w:rPr>
        <w:t>The Subcommittee recommends that members of the mechanism always introduce themselves to interviewees, by giving their name and information about the mechanism and its preventive mandate.</w:t>
      </w:r>
      <w:r w:rsidRPr="00CC34C5">
        <w:t xml:space="preserve"> </w:t>
      </w:r>
      <w:r w:rsidRPr="00CC34C5">
        <w:rPr>
          <w:b/>
          <w:bCs/>
        </w:rPr>
        <w:t>The express consent of the detainee should always be obtained and it should be made clear that the interview is voluntary and confidential and can be interrupted at any time at the interviewee</w:t>
      </w:r>
      <w:r w:rsidR="00204363">
        <w:rPr>
          <w:b/>
          <w:bCs/>
        </w:rPr>
        <w:t>’</w:t>
      </w:r>
      <w:r w:rsidRPr="00CC34C5">
        <w:rPr>
          <w:b/>
          <w:bCs/>
        </w:rPr>
        <w:t>s request.</w:t>
      </w:r>
      <w:r w:rsidRPr="00CC34C5">
        <w:t xml:space="preserve"> </w:t>
      </w:r>
      <w:r w:rsidRPr="00CC34C5">
        <w:rPr>
          <w:b/>
          <w:bCs/>
        </w:rPr>
        <w:t>The Subcommittee is of the view that an appropriate and complete presentation builds trust with the interviewee and facilitates communication and information-sharing.</w:t>
      </w:r>
      <w:r w:rsidRPr="00CC34C5">
        <w:t xml:space="preserve"> </w:t>
      </w:r>
    </w:p>
    <w:p w:rsidR="00E35E57" w:rsidRPr="00CC34C5" w:rsidRDefault="00E35E57" w:rsidP="00E35E57">
      <w:pPr>
        <w:pStyle w:val="SingleTxtG"/>
        <w:ind w:firstLine="12"/>
        <w:jc w:val="lowKashida"/>
        <w:rPr>
          <w:b/>
          <w:bCs/>
          <w:color w:val="000000" w:themeColor="text1"/>
        </w:rPr>
      </w:pPr>
      <w:r w:rsidRPr="00CC34C5">
        <w:t>31.</w:t>
      </w:r>
      <w:r w:rsidRPr="00CC34C5">
        <w:tab/>
      </w:r>
      <w:r w:rsidRPr="00CC34C5">
        <w:rPr>
          <w:b/>
          <w:bCs/>
        </w:rPr>
        <w:t>The Subcommittee would like to recall that the purpose of the interviews is to gain a better understanding of the situation of persons deprived of their liberty and to identify cases of torture and ill-treatment and any patterns thereof, with a view to formulating recommendations to prevent similar situations from occurring in the future.</w:t>
      </w:r>
      <w:r w:rsidRPr="00CC34C5">
        <w:t xml:space="preserve"> </w:t>
      </w:r>
      <w:r w:rsidRPr="00CC34C5">
        <w:rPr>
          <w:b/>
          <w:bCs/>
        </w:rPr>
        <w:t xml:space="preserve">The Subcommittee recommends that the administration of the mechanism ensure that all the staff responsible for carrying out visits receive specific training on </w:t>
      </w:r>
      <w:r w:rsidRPr="00CC34C5">
        <w:rPr>
          <w:b/>
          <w:bCs/>
        </w:rPr>
        <w:lastRenderedPageBreak/>
        <w:t>how to conduct interviews and that the members of the mechanism continue to mutually reinforce each other</w:t>
      </w:r>
      <w:r w:rsidR="00204363">
        <w:rPr>
          <w:b/>
          <w:bCs/>
        </w:rPr>
        <w:t>’</w:t>
      </w:r>
      <w:r w:rsidRPr="00CC34C5">
        <w:rPr>
          <w:b/>
          <w:bCs/>
        </w:rPr>
        <w:t>s capabilities through regular skills updating and external courses.</w:t>
      </w:r>
      <w:r w:rsidR="00204363">
        <w:t xml:space="preserve"> </w:t>
      </w:r>
    </w:p>
    <w:p w:rsidR="00E35E57" w:rsidRPr="00CC34C5" w:rsidRDefault="00E35E57" w:rsidP="00E35E57">
      <w:pPr>
        <w:pStyle w:val="SingleTxtG"/>
        <w:ind w:firstLine="12"/>
        <w:rPr>
          <w:color w:val="000000" w:themeColor="text1"/>
        </w:rPr>
      </w:pPr>
      <w:r w:rsidRPr="00CC34C5">
        <w:t>32.</w:t>
      </w:r>
      <w:r w:rsidRPr="00CC34C5">
        <w:tab/>
        <w:t xml:space="preserve">One group of Subcommittee experts noted that some information-sharing and interviews with persons deprived of their liberty took place in the presence of prison personnel. On a few occasions, the Subcommittee had to bring up the principle of privacy in order to avoid any risk of reprisals after the visit. </w:t>
      </w:r>
    </w:p>
    <w:p w:rsidR="00E35E57" w:rsidRPr="00CC34C5" w:rsidRDefault="00E35E57" w:rsidP="00E35E57">
      <w:pPr>
        <w:pStyle w:val="SingleTxtG"/>
        <w:ind w:firstLine="12"/>
        <w:rPr>
          <w:b/>
          <w:bCs/>
          <w:color w:val="000000" w:themeColor="text1"/>
        </w:rPr>
      </w:pPr>
      <w:r w:rsidRPr="00CC34C5">
        <w:t>33.</w:t>
      </w:r>
      <w:r w:rsidRPr="00CC34C5">
        <w:tab/>
      </w:r>
      <w:r w:rsidRPr="00CC34C5">
        <w:rPr>
          <w:b/>
          <w:bCs/>
        </w:rPr>
        <w:t>During its visits, the mechanism must ensure privacy, confidentiality and protection against reprisals for the persons interviewed in the presence of prison personnel.</w:t>
      </w:r>
      <w:r w:rsidRPr="00CC34C5">
        <w:t xml:space="preserve"> </w:t>
      </w:r>
      <w:r w:rsidRPr="00CC34C5">
        <w:rPr>
          <w:b/>
          <w:bCs/>
        </w:rPr>
        <w:t xml:space="preserve">The Subcommittee recommends that the place where the interviews are conducted is chosen carefully in order to ensure confidentiality, in strict adherence with the </w:t>
      </w:r>
      <w:r w:rsidR="00204363">
        <w:rPr>
          <w:b/>
          <w:bCs/>
        </w:rPr>
        <w:t>“</w:t>
      </w:r>
      <w:r w:rsidRPr="00CC34C5">
        <w:rPr>
          <w:b/>
          <w:bCs/>
        </w:rPr>
        <w:t>do no harm</w:t>
      </w:r>
      <w:r w:rsidR="00204363">
        <w:rPr>
          <w:b/>
          <w:bCs/>
        </w:rPr>
        <w:t>”</w:t>
      </w:r>
      <w:r w:rsidRPr="00CC34C5">
        <w:rPr>
          <w:b/>
          <w:bCs/>
        </w:rPr>
        <w:t xml:space="preserve"> principle.</w:t>
      </w:r>
      <w:r w:rsidRPr="00CC34C5">
        <w:t xml:space="preserve"> </w:t>
      </w:r>
    </w:p>
    <w:p w:rsidR="00E35E57" w:rsidRPr="00CC34C5" w:rsidRDefault="00E35E57" w:rsidP="00E35E57">
      <w:pPr>
        <w:pStyle w:val="SingleTxtG"/>
        <w:ind w:firstLine="12"/>
        <w:rPr>
          <w:color w:val="000000" w:themeColor="text1"/>
        </w:rPr>
      </w:pPr>
      <w:r w:rsidRPr="00CC34C5">
        <w:t>34.</w:t>
      </w:r>
      <w:r w:rsidRPr="00CC34C5">
        <w:tab/>
        <w:t>The Subcommittee is concerned that the mechanism lacks a strategy to prevent reprisals and threats by the personnel working at detention centres and by other persons deprived of their liberty against the persons interviewed. In order for the mechanism</w:t>
      </w:r>
      <w:r w:rsidR="00204363">
        <w:t>’</w:t>
      </w:r>
      <w:r w:rsidRPr="00CC34C5">
        <w:t>s interactions with persons deprived of their liberty and its overall mission to be successful, it is crucial for its members to agree on and adopt a common methodology regarding reprisals.</w:t>
      </w:r>
    </w:p>
    <w:p w:rsidR="00E35E57" w:rsidRPr="00CC34C5" w:rsidRDefault="00E35E57" w:rsidP="00E35E57">
      <w:pPr>
        <w:pStyle w:val="SingleTxtG"/>
        <w:ind w:firstLine="12"/>
        <w:rPr>
          <w:b/>
          <w:bCs/>
          <w:color w:val="000000" w:themeColor="text1"/>
        </w:rPr>
      </w:pPr>
      <w:r w:rsidRPr="00CC34C5">
        <w:t>35.</w:t>
      </w:r>
      <w:r w:rsidRPr="00CC34C5">
        <w:tab/>
      </w:r>
      <w:r w:rsidRPr="00CC34C5">
        <w:rPr>
          <w:b/>
          <w:bCs/>
        </w:rPr>
        <w:t>The Subcommittee recommends that the mechanism develop, as a priority, a comprehensive methodology and strategy to prevent reprisals and to ensure that its personnel is familiar with and knows how to implement the methodology and strategy.</w:t>
      </w:r>
      <w:r w:rsidRPr="00CC34C5">
        <w:t xml:space="preserve"> </w:t>
      </w:r>
      <w:r w:rsidRPr="00CC34C5">
        <w:rPr>
          <w:b/>
          <w:bCs/>
        </w:rPr>
        <w:t xml:space="preserve">The focus should be on prevention, confidentiality and the </w:t>
      </w:r>
      <w:r w:rsidR="00204363">
        <w:rPr>
          <w:b/>
          <w:bCs/>
        </w:rPr>
        <w:t>“</w:t>
      </w:r>
      <w:r w:rsidRPr="00CC34C5">
        <w:rPr>
          <w:b/>
          <w:bCs/>
        </w:rPr>
        <w:t>do no harm</w:t>
      </w:r>
      <w:r w:rsidR="00204363">
        <w:rPr>
          <w:b/>
          <w:bCs/>
        </w:rPr>
        <w:t>”</w:t>
      </w:r>
      <w:r w:rsidRPr="00CC34C5">
        <w:rPr>
          <w:b/>
          <w:bCs/>
        </w:rPr>
        <w:t xml:space="preserve"> principle.</w:t>
      </w:r>
    </w:p>
    <w:p w:rsidR="00E35E57" w:rsidRPr="00CC34C5" w:rsidRDefault="00E35E57" w:rsidP="00E35E57">
      <w:pPr>
        <w:pStyle w:val="SingleTxtG"/>
        <w:ind w:firstLine="12"/>
        <w:rPr>
          <w:b/>
          <w:bCs/>
          <w:color w:val="000000" w:themeColor="text1"/>
        </w:rPr>
      </w:pPr>
      <w:r w:rsidRPr="00CC34C5">
        <w:t>36.</w:t>
      </w:r>
      <w:r w:rsidRPr="00CC34C5">
        <w:tab/>
      </w:r>
      <w:r w:rsidRPr="00CC34C5">
        <w:rPr>
          <w:b/>
          <w:bCs/>
        </w:rPr>
        <w:t>The Subcommittee recommends that the mechanism always consider there to be a risk of intimidation, sanctions or reprisals and that it therefore take steps to address that risk.</w:t>
      </w:r>
      <w:r w:rsidRPr="00CC34C5">
        <w:t xml:space="preserve"> </w:t>
      </w:r>
      <w:r w:rsidRPr="00CC34C5">
        <w:rPr>
          <w:b/>
          <w:bCs/>
        </w:rPr>
        <w:t>As a preventive measure, the possibility of reprisals must always be mentioned and interviewees must be invited to report cases to the mechanism or to the Ombudsman</w:t>
      </w:r>
      <w:r w:rsidR="00204363">
        <w:rPr>
          <w:b/>
          <w:bCs/>
        </w:rPr>
        <w:t>’</w:t>
      </w:r>
      <w:r w:rsidRPr="00CC34C5">
        <w:rPr>
          <w:b/>
          <w:bCs/>
        </w:rPr>
        <w:t xml:space="preserve">s Office by dialling </w:t>
      </w:r>
      <w:r w:rsidR="00204363">
        <w:rPr>
          <w:b/>
          <w:bCs/>
        </w:rPr>
        <w:t>“</w:t>
      </w:r>
      <w:r w:rsidRPr="00CC34C5">
        <w:rPr>
          <w:b/>
          <w:bCs/>
        </w:rPr>
        <w:t>4</w:t>
      </w:r>
      <w:r w:rsidR="00204363">
        <w:rPr>
          <w:b/>
          <w:bCs/>
        </w:rPr>
        <w:t>”</w:t>
      </w:r>
      <w:r w:rsidRPr="00CC34C5">
        <w:rPr>
          <w:b/>
          <w:bCs/>
        </w:rPr>
        <w:t xml:space="preserve"> on the telephones available in prisons.</w:t>
      </w:r>
      <w:r w:rsidRPr="00CC34C5">
        <w:t xml:space="preserve"> </w:t>
      </w:r>
      <w:r w:rsidRPr="00CC34C5">
        <w:rPr>
          <w:b/>
          <w:bCs/>
        </w:rPr>
        <w:t>In addition to the precautions mentioned above, the mechanism should warn the authorities that any kind of reprisal is impermissible, and that the mechanism will follow up in order to satisfy itself that there is a procedure for filing complaints and that any such complaints have been investigated, the findings of any investigations reported and the appropriate measures taken.</w:t>
      </w:r>
      <w:r w:rsidRPr="00CC34C5">
        <w:t xml:space="preserve"> </w:t>
      </w:r>
      <w:r w:rsidRPr="00CC34C5">
        <w:rPr>
          <w:b/>
          <w:bCs/>
        </w:rPr>
        <w:t>The mechanism must also, among other things, conduct follow-up preventive visits more frequently.</w:t>
      </w:r>
    </w:p>
    <w:p w:rsidR="00E35E57" w:rsidRPr="00CC34C5" w:rsidRDefault="00E35E57" w:rsidP="00E35E57">
      <w:pPr>
        <w:pStyle w:val="SingleTxtG"/>
        <w:ind w:firstLine="12"/>
        <w:rPr>
          <w:b/>
          <w:bCs/>
          <w:color w:val="000000" w:themeColor="text1"/>
        </w:rPr>
      </w:pPr>
      <w:r w:rsidRPr="00CC34C5">
        <w:t>37.</w:t>
      </w:r>
      <w:r w:rsidRPr="00CC34C5">
        <w:tab/>
      </w:r>
      <w:r w:rsidRPr="00CC34C5">
        <w:rPr>
          <w:b/>
          <w:bCs/>
        </w:rPr>
        <w:t>Furthermore, it would be good practice to distribute an information leaflet to interviewees to explain the mandate of the mechanism and provide contact information.</w:t>
      </w:r>
      <w:r w:rsidRPr="00CC34C5">
        <w:t xml:space="preserve"> </w:t>
      </w:r>
      <w:r w:rsidRPr="00CC34C5">
        <w:rPr>
          <w:b/>
          <w:bCs/>
        </w:rPr>
        <w:t>The leaflet should also inform persons deprived of their liberty that they may report to the mechanism any reprisals that they may have suffered for maintaining contact with the mechanism.</w:t>
      </w:r>
    </w:p>
    <w:p w:rsidR="00E35E57" w:rsidRPr="00CC34C5" w:rsidRDefault="00036E46" w:rsidP="00E35E57">
      <w:pPr>
        <w:pStyle w:val="HChG"/>
      </w:pPr>
      <w:r>
        <w:tab/>
      </w:r>
      <w:bookmarkStart w:id="15" w:name="_Toc29451312"/>
      <w:bookmarkStart w:id="16" w:name="_Toc29451351"/>
      <w:r w:rsidR="00E35E57" w:rsidRPr="00CC34C5">
        <w:t>IV.</w:t>
      </w:r>
      <w:r w:rsidR="00E35E57" w:rsidRPr="00CC34C5">
        <w:tab/>
      </w:r>
      <w:r w:rsidR="00E35E57" w:rsidRPr="00CC34C5">
        <w:rPr>
          <w:bCs/>
        </w:rPr>
        <w:t>Strategy for follow-up to the recommendations of the national preventive mechanism</w:t>
      </w:r>
      <w:bookmarkEnd w:id="15"/>
      <w:bookmarkEnd w:id="16"/>
    </w:p>
    <w:p w:rsidR="00E35E57" w:rsidRPr="00CC34C5" w:rsidRDefault="00E35E57" w:rsidP="00E35E57">
      <w:pPr>
        <w:pStyle w:val="SingleTxtG"/>
        <w:rPr>
          <w:color w:val="000000" w:themeColor="text1"/>
        </w:rPr>
      </w:pPr>
      <w:r w:rsidRPr="00CC34C5">
        <w:t>38.</w:t>
      </w:r>
      <w:r w:rsidRPr="00CC34C5">
        <w:tab/>
        <w:t>After its joint visit to the Vilma Curling women</w:t>
      </w:r>
      <w:r w:rsidR="00204363">
        <w:t>’</w:t>
      </w:r>
      <w:r w:rsidRPr="00CC34C5">
        <w:t>s centre, the Subcommittee received a report that had been prepared by the mechanism. The Subcommittee acknowledges the mechanism</w:t>
      </w:r>
      <w:r w:rsidR="00204363">
        <w:t>’</w:t>
      </w:r>
      <w:r w:rsidRPr="00CC34C5">
        <w:t>s efforts in preparing the report, which provides quite detailed remarks on a number of important subjects. Nevertheless, the Subcommittee is of the view that the chapter on recommendations to the State party could be enhanced.</w:t>
      </w:r>
      <w:r w:rsidR="00204363">
        <w:t xml:space="preserve"> </w:t>
      </w:r>
      <w:r w:rsidRPr="00CC34C5">
        <w:t xml:space="preserve"> </w:t>
      </w:r>
    </w:p>
    <w:p w:rsidR="00E35E57" w:rsidRPr="00CC34C5" w:rsidRDefault="00E35E57" w:rsidP="00E35E57">
      <w:pPr>
        <w:pStyle w:val="SingleTxtG"/>
        <w:rPr>
          <w:b/>
          <w:color w:val="000000" w:themeColor="text1"/>
        </w:rPr>
      </w:pPr>
      <w:r w:rsidRPr="00CC34C5">
        <w:t>39.</w:t>
      </w:r>
      <w:r w:rsidRPr="00CC34C5">
        <w:tab/>
      </w:r>
      <w:r w:rsidRPr="00CC34C5">
        <w:rPr>
          <w:b/>
          <w:bCs/>
        </w:rPr>
        <w:t>The Subcommittee recommends that the mechanism make more specific recommendations on all the aspects examined. The recommendations should be exhaustive and measurable using pre-established indicators.</w:t>
      </w:r>
      <w:r w:rsidRPr="00CC34C5">
        <w:t xml:space="preserve"> </w:t>
      </w:r>
      <w:r w:rsidRPr="00CC34C5">
        <w:rPr>
          <w:b/>
          <w:bCs/>
        </w:rPr>
        <w:t xml:space="preserve">It would also be useful if the mechanism, basing itself on empirical findings, </w:t>
      </w:r>
      <w:r>
        <w:rPr>
          <w:b/>
          <w:bCs/>
        </w:rPr>
        <w:t>take</w:t>
      </w:r>
      <w:r w:rsidRPr="00CC34C5">
        <w:rPr>
          <w:b/>
          <w:bCs/>
        </w:rPr>
        <w:t xml:space="preserve"> </w:t>
      </w:r>
      <w:r w:rsidRPr="001A4674">
        <w:rPr>
          <w:b/>
          <w:bCs/>
        </w:rPr>
        <w:t xml:space="preserve">a firmer, more assertive </w:t>
      </w:r>
      <w:r>
        <w:rPr>
          <w:b/>
          <w:bCs/>
        </w:rPr>
        <w:t>stand</w:t>
      </w:r>
      <w:r w:rsidRPr="001A4674">
        <w:rPr>
          <w:b/>
          <w:bCs/>
        </w:rPr>
        <w:t xml:space="preserve"> with regard to State actors, in order to request the ne</w:t>
      </w:r>
      <w:r w:rsidRPr="00CC34C5">
        <w:rPr>
          <w:b/>
          <w:bCs/>
        </w:rPr>
        <w:t>cessary adjustments.</w:t>
      </w:r>
      <w:r w:rsidRPr="00CC34C5">
        <w:t xml:space="preserve"> </w:t>
      </w:r>
      <w:r w:rsidRPr="00CC34C5">
        <w:rPr>
          <w:b/>
          <w:bCs/>
        </w:rPr>
        <w:t>The Subcommittee recommends that, after each visit, the mechanism submit recommendations to the relevant authorities quickly and conduct follow-up visits promptly.</w:t>
      </w:r>
      <w:r w:rsidRPr="00CC34C5">
        <w:t xml:space="preserve"> </w:t>
      </w:r>
    </w:p>
    <w:p w:rsidR="00E35E57" w:rsidRPr="00CC34C5" w:rsidRDefault="00E35E57" w:rsidP="00E35E57">
      <w:pPr>
        <w:pStyle w:val="SingleTxtG"/>
        <w:rPr>
          <w:b/>
          <w:color w:val="000000" w:themeColor="text1"/>
        </w:rPr>
      </w:pPr>
      <w:r w:rsidRPr="00CC34C5">
        <w:lastRenderedPageBreak/>
        <w:t>40.</w:t>
      </w:r>
      <w:r w:rsidRPr="00CC34C5">
        <w:tab/>
      </w:r>
      <w:r w:rsidRPr="00CC34C5">
        <w:rPr>
          <w:b/>
          <w:bCs/>
        </w:rPr>
        <w:t>The Subcommittee further recommends increasing the number of visits carried out to follow up on recommendations made to detention centre authorities.</w:t>
      </w:r>
      <w:r w:rsidRPr="00CC34C5">
        <w:t xml:space="preserve"> </w:t>
      </w:r>
      <w:r w:rsidRPr="00CC34C5">
        <w:rPr>
          <w:b/>
          <w:bCs/>
        </w:rPr>
        <w:t>To this end, and if possible in conjunction with the relevant authorities, it recommends establishing an effective mechanism to follow up on the recommendations it issues.</w:t>
      </w:r>
      <w:r w:rsidRPr="00937A8A">
        <w:rPr>
          <w:rStyle w:val="FootnoteReference"/>
        </w:rPr>
        <w:footnoteReference w:id="7"/>
      </w:r>
    </w:p>
    <w:p w:rsidR="00E35E57" w:rsidRPr="00CC34C5" w:rsidRDefault="00FF05E8" w:rsidP="00E35E57">
      <w:pPr>
        <w:pStyle w:val="HChG"/>
      </w:pPr>
      <w:r>
        <w:tab/>
      </w:r>
      <w:bookmarkStart w:id="17" w:name="_Toc29451313"/>
      <w:bookmarkStart w:id="18" w:name="_Toc29451352"/>
      <w:r w:rsidR="00E35E57" w:rsidRPr="00CC34C5">
        <w:t>V.</w:t>
      </w:r>
      <w:r w:rsidR="00E35E57" w:rsidRPr="00CC34C5">
        <w:tab/>
      </w:r>
      <w:r w:rsidR="00E35E57" w:rsidRPr="00CC34C5">
        <w:rPr>
          <w:bCs/>
        </w:rPr>
        <w:t>Next steps</w:t>
      </w:r>
      <w:bookmarkEnd w:id="17"/>
      <w:bookmarkEnd w:id="18"/>
      <w:r w:rsidR="00E35E57" w:rsidRPr="00CC34C5">
        <w:t xml:space="preserve"> </w:t>
      </w:r>
    </w:p>
    <w:p w:rsidR="00E35E57" w:rsidRPr="00B54350" w:rsidRDefault="00E35E57" w:rsidP="00B54350">
      <w:pPr>
        <w:pStyle w:val="SingleTxtG"/>
        <w:rPr>
          <w:b/>
          <w:bCs/>
        </w:rPr>
      </w:pPr>
      <w:r w:rsidRPr="00CC34C5">
        <w:t xml:space="preserve">41. </w:t>
      </w:r>
      <w:r w:rsidRPr="00CC34C5">
        <w:tab/>
      </w:r>
      <w:r w:rsidRPr="00B54350">
        <w:rPr>
          <w:b/>
          <w:bCs/>
        </w:rPr>
        <w:t xml:space="preserve">The Subcommittee requests that a reply to the present report be provided within six months from the date of its transmission to the national preventive mechanism. The reply should respond directly to all the recommendations and requests for further information made in the report, giving a full account of action that has already been taken or is planned (including timescales) to implement the recommendations. </w:t>
      </w:r>
    </w:p>
    <w:p w:rsidR="00E35E57" w:rsidRPr="00CC34C5" w:rsidRDefault="00E35E57" w:rsidP="00B54350">
      <w:pPr>
        <w:pStyle w:val="SingleTxtG"/>
        <w:rPr>
          <w:b/>
        </w:rPr>
      </w:pPr>
      <w:r w:rsidRPr="00CC34C5">
        <w:t xml:space="preserve">42. </w:t>
      </w:r>
      <w:r w:rsidRPr="00CC34C5">
        <w:tab/>
      </w:r>
      <w:r w:rsidRPr="00CC34C5">
        <w:rPr>
          <w:b/>
          <w:bCs/>
        </w:rPr>
        <w:t>The Subcommittee considers both its visit and the present report to form part of an ongoing process of dialogue.</w:t>
      </w:r>
      <w:r w:rsidRPr="00CC34C5">
        <w:t xml:space="preserve"> </w:t>
      </w:r>
      <w:r w:rsidRPr="00CC34C5">
        <w:rPr>
          <w:b/>
          <w:bCs/>
        </w:rPr>
        <w:t>The Subcommittee looks forward to assisting Costa Rica in fulfilling its obligations under the Optional Protocol by providing further advice and technical assistance, in order to achieve the common goal of prevention of torture and ill-treatment in places of deprivation of liberty.</w:t>
      </w:r>
    </w:p>
    <w:p w:rsidR="00E35E57" w:rsidRPr="00CC34C5" w:rsidRDefault="00E35E57" w:rsidP="00B54350">
      <w:pPr>
        <w:pStyle w:val="SingleTxtG"/>
        <w:rPr>
          <w:b/>
        </w:rPr>
      </w:pPr>
      <w:r w:rsidRPr="00CC34C5">
        <w:t xml:space="preserve">43. </w:t>
      </w:r>
      <w:r w:rsidRPr="00CC34C5">
        <w:tab/>
      </w:r>
      <w:r w:rsidRPr="00CC34C5">
        <w:rPr>
          <w:b/>
          <w:bCs/>
        </w:rPr>
        <w:t>The Subcommittee recommends that, in accordance with article 12 (d) of the Optional Protocol, the national preventive mechanism enter into dialogue with the Subcommittee on the implementation of the Subcommittee</w:t>
      </w:r>
      <w:r w:rsidR="00204363">
        <w:rPr>
          <w:b/>
          <w:bCs/>
        </w:rPr>
        <w:t>’</w:t>
      </w:r>
      <w:r w:rsidRPr="00CC34C5">
        <w:rPr>
          <w:b/>
          <w:bCs/>
        </w:rPr>
        <w:t>s recommendations, within six months of the Subcommittee</w:t>
      </w:r>
      <w:r w:rsidR="00204363">
        <w:rPr>
          <w:b/>
          <w:bCs/>
        </w:rPr>
        <w:t>’</w:t>
      </w:r>
      <w:r w:rsidRPr="00CC34C5">
        <w:rPr>
          <w:b/>
          <w:bCs/>
        </w:rPr>
        <w:t>s receipt of the reply to the present report.</w:t>
      </w:r>
      <w:r w:rsidRPr="00CC34C5">
        <w:t xml:space="preserve"> </w:t>
      </w:r>
      <w:r w:rsidRPr="00CC34C5">
        <w:rPr>
          <w:b/>
          <w:bCs/>
        </w:rPr>
        <w:t>The Subcommittee also recommends that the national preventive mechanism initiate discussions with the Subcommittee on the arrangements for such a dialogue at the time of the submission of its reply to the present report.</w:t>
      </w:r>
      <w:r w:rsidRPr="00937A8A">
        <w:rPr>
          <w:rStyle w:val="FootnoteReference"/>
        </w:rPr>
        <w:footnoteReference w:id="8"/>
      </w:r>
    </w:p>
    <w:p w:rsidR="00E35E57" w:rsidRPr="00CC34C5" w:rsidRDefault="00E35E57" w:rsidP="00B54350">
      <w:pPr>
        <w:pStyle w:val="SingleTxtG"/>
        <w:rPr>
          <w:b/>
        </w:rPr>
      </w:pPr>
      <w:r w:rsidRPr="00CC34C5">
        <w:t xml:space="preserve">44. </w:t>
      </w:r>
      <w:r w:rsidRPr="00CC34C5">
        <w:tab/>
      </w:r>
      <w:r w:rsidRPr="00CC34C5">
        <w:rPr>
          <w:b/>
          <w:bCs/>
        </w:rPr>
        <w:t>As provided for under article 11 (b) (ii) and (ii</w:t>
      </w:r>
      <w:r w:rsidR="00CA18CD">
        <w:rPr>
          <w:b/>
          <w:bCs/>
        </w:rPr>
        <w:t>i</w:t>
      </w:r>
      <w:r w:rsidRPr="00CC34C5">
        <w:rPr>
          <w:b/>
          <w:bCs/>
        </w:rPr>
        <w:t>) of the Optional Protocol, the Subcommittee stands ready to provide technical assistance and advice with a view to strengthening the capacities of the mechanism.</w:t>
      </w:r>
      <w:r w:rsidRPr="00CC34C5">
        <w:t xml:space="preserve"> </w:t>
      </w:r>
      <w:r w:rsidRPr="00CC34C5">
        <w:rPr>
          <w:b/>
          <w:bCs/>
        </w:rPr>
        <w:t>The Subcommittee also encourages the mechanism to continue the good practice of transmitting its annual reports to the Subcommittee and reaffirms its readiness to help achieve the shared aim of preventing torture and ill-treatment and ensure that commitments are translated into action.</w:t>
      </w:r>
    </w:p>
    <w:p w:rsidR="00E35E57" w:rsidRPr="00CC34C5" w:rsidRDefault="00E35E57" w:rsidP="00937A8A">
      <w:pPr>
        <w:pStyle w:val="HChG"/>
      </w:pPr>
      <w:r w:rsidRPr="00CC34C5">
        <w:br w:type="page"/>
      </w:r>
    </w:p>
    <w:p w:rsidR="00E35E57" w:rsidRPr="00CC34C5" w:rsidRDefault="00937A8A" w:rsidP="00864684">
      <w:pPr>
        <w:pStyle w:val="HChG"/>
      </w:pPr>
      <w:r>
        <w:lastRenderedPageBreak/>
        <w:tab/>
      </w:r>
      <w:bookmarkStart w:id="19" w:name="_Toc29451314"/>
      <w:bookmarkStart w:id="20" w:name="_Toc29451353"/>
      <w:r w:rsidR="00E35E57" w:rsidRPr="00CC34C5">
        <w:t>Annex I</w:t>
      </w:r>
      <w:bookmarkEnd w:id="19"/>
      <w:bookmarkEnd w:id="20"/>
    </w:p>
    <w:p w:rsidR="00E35E57" w:rsidRPr="00CC34C5" w:rsidRDefault="00E35E57" w:rsidP="002C0204">
      <w:pPr>
        <w:pStyle w:val="SingleTxtG"/>
        <w:jc w:val="right"/>
        <w:rPr>
          <w:i/>
          <w:iCs/>
        </w:rPr>
      </w:pPr>
      <w:r w:rsidRPr="00CC34C5">
        <w:rPr>
          <w:i/>
          <w:iCs/>
        </w:rPr>
        <w:t>[Spanish only]</w:t>
      </w:r>
    </w:p>
    <w:p w:rsidR="00E35E57" w:rsidRPr="00CC34C5" w:rsidRDefault="00E35E57" w:rsidP="00864684">
      <w:pPr>
        <w:pStyle w:val="HChG"/>
      </w:pPr>
      <w:r w:rsidRPr="00CC34C5">
        <w:tab/>
      </w:r>
      <w:r w:rsidRPr="00CC34C5">
        <w:tab/>
      </w:r>
      <w:bookmarkStart w:id="21" w:name="_Toc29451315"/>
      <w:bookmarkStart w:id="22" w:name="_Toc29451354"/>
      <w:r w:rsidRPr="00CC34C5">
        <w:t xml:space="preserve">Lista de personas con </w:t>
      </w:r>
      <w:proofErr w:type="spellStart"/>
      <w:r w:rsidRPr="00CC34C5">
        <w:t>quienes</w:t>
      </w:r>
      <w:proofErr w:type="spellEnd"/>
      <w:r w:rsidRPr="00CC34C5">
        <w:t xml:space="preserve"> se </w:t>
      </w:r>
      <w:proofErr w:type="spellStart"/>
      <w:r w:rsidRPr="00CC34C5">
        <w:t>reunió</w:t>
      </w:r>
      <w:proofErr w:type="spellEnd"/>
      <w:r w:rsidRPr="00CC34C5">
        <w:t xml:space="preserve"> el </w:t>
      </w:r>
      <w:proofErr w:type="spellStart"/>
      <w:r w:rsidRPr="00CC34C5">
        <w:t>Subcomité</w:t>
      </w:r>
      <w:bookmarkEnd w:id="21"/>
      <w:bookmarkEnd w:id="22"/>
      <w:proofErr w:type="spellEnd"/>
    </w:p>
    <w:p w:rsidR="00E35E57" w:rsidRPr="00CC34C5" w:rsidRDefault="00E35E57" w:rsidP="00864684">
      <w:pPr>
        <w:pStyle w:val="H1G"/>
      </w:pPr>
      <w:r w:rsidRPr="00CC34C5">
        <w:tab/>
      </w:r>
      <w:bookmarkStart w:id="23" w:name="_Toc29451316"/>
      <w:bookmarkStart w:id="24" w:name="_Toc29451355"/>
      <w:r w:rsidRPr="00CC34C5">
        <w:t>A.</w:t>
      </w:r>
      <w:r w:rsidRPr="00CC34C5">
        <w:tab/>
      </w:r>
      <w:proofErr w:type="spellStart"/>
      <w:r w:rsidRPr="00CC34C5">
        <w:t>Autoridades</w:t>
      </w:r>
      <w:proofErr w:type="spellEnd"/>
      <w:r w:rsidRPr="00CC34C5">
        <w:t xml:space="preserve"> </w:t>
      </w:r>
      <w:proofErr w:type="spellStart"/>
      <w:r w:rsidRPr="00864684">
        <w:t>nacionales</w:t>
      </w:r>
      <w:bookmarkEnd w:id="23"/>
      <w:bookmarkEnd w:id="24"/>
      <w:proofErr w:type="spellEnd"/>
    </w:p>
    <w:p w:rsidR="00E35E57" w:rsidRPr="00CC34C5" w:rsidRDefault="00E35E57" w:rsidP="00E35E57">
      <w:pPr>
        <w:pStyle w:val="H23G"/>
      </w:pPr>
      <w:r w:rsidRPr="00CC34C5">
        <w:tab/>
      </w:r>
      <w:r w:rsidRPr="00CC34C5">
        <w:tab/>
      </w:r>
      <w:bookmarkStart w:id="25" w:name="_Toc29451317"/>
      <w:proofErr w:type="spellStart"/>
      <w:r w:rsidRPr="00CC34C5">
        <w:t>Ministerio</w:t>
      </w:r>
      <w:proofErr w:type="spellEnd"/>
      <w:r w:rsidRPr="00CC34C5">
        <w:t xml:space="preserve"> de Justicia y Paz</w:t>
      </w:r>
      <w:bookmarkEnd w:id="25"/>
    </w:p>
    <w:p w:rsidR="00E35E57" w:rsidRPr="00CC34C5" w:rsidRDefault="00E35E57" w:rsidP="00B54350">
      <w:pPr>
        <w:pStyle w:val="SingleTxtG"/>
      </w:pPr>
      <w:proofErr w:type="spellStart"/>
      <w:r w:rsidRPr="00CC34C5">
        <w:t>Sra.</w:t>
      </w:r>
      <w:proofErr w:type="spellEnd"/>
      <w:r w:rsidRPr="00CC34C5">
        <w:t xml:space="preserve"> Marcia González, </w:t>
      </w:r>
      <w:proofErr w:type="spellStart"/>
      <w:r w:rsidRPr="00CC34C5">
        <w:t>Ministra</w:t>
      </w:r>
      <w:proofErr w:type="spellEnd"/>
    </w:p>
    <w:p w:rsidR="00E35E57" w:rsidRPr="00CC34C5" w:rsidRDefault="00E35E57" w:rsidP="00B54350">
      <w:pPr>
        <w:pStyle w:val="SingleTxtG"/>
      </w:pPr>
      <w:r w:rsidRPr="00CC34C5">
        <w:t xml:space="preserve">Sr. Fabián </w:t>
      </w:r>
      <w:proofErr w:type="spellStart"/>
      <w:r w:rsidRPr="00CC34C5">
        <w:t>Solano</w:t>
      </w:r>
      <w:proofErr w:type="spellEnd"/>
      <w:r w:rsidRPr="00CC34C5">
        <w:t xml:space="preserve"> Fernández</w:t>
      </w:r>
    </w:p>
    <w:p w:rsidR="00E35E57" w:rsidRPr="00CC34C5" w:rsidRDefault="00E35E57" w:rsidP="00B54350">
      <w:pPr>
        <w:pStyle w:val="SingleTxtG"/>
      </w:pPr>
      <w:r w:rsidRPr="00CC34C5">
        <w:t xml:space="preserve">Sr. Christopher Camacho </w:t>
      </w:r>
    </w:p>
    <w:p w:rsidR="00E35E57" w:rsidRPr="00CC34C5" w:rsidRDefault="00E35E57" w:rsidP="00B54350">
      <w:pPr>
        <w:pStyle w:val="SingleTxtG"/>
        <w:rPr>
          <w:bCs/>
          <w:szCs w:val="24"/>
        </w:rPr>
      </w:pPr>
      <w:r w:rsidRPr="00CC34C5">
        <w:rPr>
          <w:bCs/>
          <w:szCs w:val="24"/>
        </w:rPr>
        <w:t xml:space="preserve">Sr. José Luis </w:t>
      </w:r>
      <w:proofErr w:type="spellStart"/>
      <w:r w:rsidRPr="00CC34C5">
        <w:rPr>
          <w:bCs/>
          <w:szCs w:val="24"/>
        </w:rPr>
        <w:t>Bermúdez</w:t>
      </w:r>
      <w:proofErr w:type="spellEnd"/>
      <w:r w:rsidRPr="00CC34C5">
        <w:rPr>
          <w:bCs/>
          <w:szCs w:val="24"/>
        </w:rPr>
        <w:t xml:space="preserve"> Obando</w:t>
      </w:r>
    </w:p>
    <w:p w:rsidR="00E35E57" w:rsidRPr="00CC34C5" w:rsidRDefault="00E35E57" w:rsidP="00B54350">
      <w:pPr>
        <w:pStyle w:val="SingleTxtG"/>
      </w:pPr>
      <w:r w:rsidRPr="00CC34C5">
        <w:t xml:space="preserve">Sr. Kenny </w:t>
      </w:r>
      <w:proofErr w:type="spellStart"/>
      <w:r w:rsidRPr="00CC34C5">
        <w:t>Gozo</w:t>
      </w:r>
      <w:proofErr w:type="spellEnd"/>
      <w:r w:rsidRPr="00CC34C5">
        <w:t xml:space="preserve"> Sánchez</w:t>
      </w:r>
    </w:p>
    <w:p w:rsidR="00E35E57" w:rsidRPr="00CC34C5" w:rsidRDefault="00E35E57" w:rsidP="00B54350">
      <w:pPr>
        <w:pStyle w:val="SingleTxtG"/>
      </w:pPr>
      <w:proofErr w:type="spellStart"/>
      <w:r w:rsidRPr="00CC34C5">
        <w:t>Sra.</w:t>
      </w:r>
      <w:proofErr w:type="spellEnd"/>
      <w:r w:rsidRPr="00CC34C5">
        <w:t xml:space="preserve"> Soledad Bonilla</w:t>
      </w:r>
    </w:p>
    <w:p w:rsidR="00E35E57" w:rsidRPr="00CC34C5" w:rsidRDefault="00E35E57" w:rsidP="00B54350">
      <w:pPr>
        <w:pStyle w:val="SingleTxtG"/>
      </w:pPr>
      <w:r w:rsidRPr="00CC34C5">
        <w:t>Sr. Rubén Camacho Piedra</w:t>
      </w:r>
    </w:p>
    <w:p w:rsidR="00E35E57" w:rsidRPr="00CC34C5" w:rsidRDefault="00E35E57" w:rsidP="00B54350">
      <w:pPr>
        <w:pStyle w:val="SingleTxtG"/>
      </w:pPr>
      <w:r w:rsidRPr="00CC34C5">
        <w:t xml:space="preserve">Sr. Pablo </w:t>
      </w:r>
      <w:proofErr w:type="spellStart"/>
      <w:r w:rsidRPr="00CC34C5">
        <w:t>Bertoizi</w:t>
      </w:r>
      <w:proofErr w:type="spellEnd"/>
      <w:r w:rsidRPr="00CC34C5">
        <w:t xml:space="preserve"> </w:t>
      </w:r>
    </w:p>
    <w:p w:rsidR="00E35E57" w:rsidRPr="00CC34C5" w:rsidRDefault="00E35E57" w:rsidP="00B54350">
      <w:pPr>
        <w:pStyle w:val="SingleTxtG"/>
      </w:pPr>
      <w:r w:rsidRPr="00CC34C5">
        <w:t>Sr. Jeff Rodríguez Alvarado</w:t>
      </w:r>
    </w:p>
    <w:p w:rsidR="00E35E57" w:rsidRPr="00CC34C5" w:rsidRDefault="00E35E57" w:rsidP="00E35E57">
      <w:pPr>
        <w:pStyle w:val="H23G"/>
      </w:pPr>
      <w:r w:rsidRPr="00CC34C5">
        <w:tab/>
      </w:r>
      <w:r w:rsidRPr="00CC34C5">
        <w:tab/>
      </w:r>
      <w:bookmarkStart w:id="26" w:name="_Toc29451318"/>
      <w:proofErr w:type="spellStart"/>
      <w:r w:rsidRPr="00CC34C5">
        <w:t>Ministerio</w:t>
      </w:r>
      <w:proofErr w:type="spellEnd"/>
      <w:r w:rsidRPr="00CC34C5">
        <w:t xml:space="preserve"> de </w:t>
      </w:r>
      <w:proofErr w:type="spellStart"/>
      <w:r w:rsidRPr="00CC34C5">
        <w:t>Seguridad</w:t>
      </w:r>
      <w:proofErr w:type="spellEnd"/>
      <w:r w:rsidRPr="00CC34C5">
        <w:t xml:space="preserve"> </w:t>
      </w:r>
      <w:proofErr w:type="spellStart"/>
      <w:r w:rsidRPr="00CC34C5">
        <w:t>Pública</w:t>
      </w:r>
      <w:bookmarkEnd w:id="26"/>
      <w:proofErr w:type="spellEnd"/>
    </w:p>
    <w:p w:rsidR="00E35E57" w:rsidRPr="00CC34C5" w:rsidRDefault="00E35E57" w:rsidP="00B54350">
      <w:pPr>
        <w:pStyle w:val="SingleTxtG"/>
      </w:pPr>
      <w:r w:rsidRPr="00CC34C5">
        <w:t xml:space="preserve">Sr. Eduardo A. </w:t>
      </w:r>
      <w:proofErr w:type="spellStart"/>
      <w:r w:rsidRPr="00CC34C5">
        <w:t>Solano</w:t>
      </w:r>
      <w:proofErr w:type="spellEnd"/>
      <w:r w:rsidRPr="00CC34C5">
        <w:t xml:space="preserve">, </w:t>
      </w:r>
      <w:proofErr w:type="spellStart"/>
      <w:r w:rsidRPr="00CC34C5">
        <w:t>Viceministro</w:t>
      </w:r>
      <w:proofErr w:type="spellEnd"/>
    </w:p>
    <w:p w:rsidR="00E35E57" w:rsidRPr="00CC34C5" w:rsidRDefault="00E35E57" w:rsidP="00E35E57">
      <w:pPr>
        <w:pStyle w:val="H23G"/>
      </w:pPr>
      <w:r w:rsidRPr="00CC34C5">
        <w:tab/>
      </w:r>
      <w:r w:rsidRPr="00CC34C5">
        <w:tab/>
      </w:r>
      <w:bookmarkStart w:id="27" w:name="_Toc29451319"/>
      <w:proofErr w:type="spellStart"/>
      <w:r w:rsidRPr="00CC34C5">
        <w:t>Dirección</w:t>
      </w:r>
      <w:proofErr w:type="spellEnd"/>
      <w:r w:rsidRPr="00CC34C5">
        <w:t xml:space="preserve"> General de </w:t>
      </w:r>
      <w:proofErr w:type="spellStart"/>
      <w:r w:rsidRPr="00CC34C5">
        <w:t>Migración</w:t>
      </w:r>
      <w:proofErr w:type="spellEnd"/>
      <w:r w:rsidRPr="00CC34C5">
        <w:t xml:space="preserve"> y </w:t>
      </w:r>
      <w:proofErr w:type="spellStart"/>
      <w:r w:rsidRPr="00CC34C5">
        <w:t>Extranjería</w:t>
      </w:r>
      <w:bookmarkEnd w:id="27"/>
      <w:proofErr w:type="spellEnd"/>
    </w:p>
    <w:p w:rsidR="00E35E57" w:rsidRPr="00CC34C5" w:rsidRDefault="00E35E57" w:rsidP="00B54350">
      <w:pPr>
        <w:pStyle w:val="SingleTxtG"/>
      </w:pPr>
      <w:r w:rsidRPr="00CC34C5">
        <w:t xml:space="preserve">Sr. </w:t>
      </w:r>
      <w:proofErr w:type="spellStart"/>
      <w:r w:rsidRPr="00CC34C5">
        <w:t>Jhonny</w:t>
      </w:r>
      <w:proofErr w:type="spellEnd"/>
      <w:r w:rsidRPr="00CC34C5">
        <w:t xml:space="preserve"> Martin </w:t>
      </w:r>
      <w:proofErr w:type="spellStart"/>
      <w:r w:rsidRPr="00CC34C5">
        <w:t>Artavia</w:t>
      </w:r>
      <w:proofErr w:type="spellEnd"/>
      <w:r w:rsidRPr="00CC34C5">
        <w:t xml:space="preserve">, Jefe de </w:t>
      </w:r>
      <w:proofErr w:type="spellStart"/>
      <w:r w:rsidRPr="00CC34C5">
        <w:t>Asesoría</w:t>
      </w:r>
      <w:proofErr w:type="spellEnd"/>
      <w:r w:rsidRPr="00CC34C5">
        <w:t xml:space="preserve"> </w:t>
      </w:r>
      <w:proofErr w:type="spellStart"/>
      <w:r w:rsidRPr="00CC34C5">
        <w:t>Jurídica</w:t>
      </w:r>
      <w:proofErr w:type="spellEnd"/>
      <w:r w:rsidRPr="00CC34C5">
        <w:t xml:space="preserve"> </w:t>
      </w:r>
    </w:p>
    <w:p w:rsidR="00E35E57" w:rsidRPr="00CC34C5" w:rsidRDefault="00E35E57" w:rsidP="00E35E57">
      <w:pPr>
        <w:pStyle w:val="H23G"/>
      </w:pPr>
      <w:r w:rsidRPr="00CC34C5">
        <w:tab/>
      </w:r>
      <w:r w:rsidRPr="00CC34C5">
        <w:tab/>
      </w:r>
      <w:bookmarkStart w:id="28" w:name="_Toc29451320"/>
      <w:proofErr w:type="spellStart"/>
      <w:r w:rsidRPr="00CC34C5">
        <w:t>Poder</w:t>
      </w:r>
      <w:proofErr w:type="spellEnd"/>
      <w:r w:rsidRPr="00CC34C5">
        <w:t xml:space="preserve"> Judicial</w:t>
      </w:r>
      <w:bookmarkEnd w:id="28"/>
    </w:p>
    <w:p w:rsidR="00E35E57" w:rsidRPr="00CC34C5" w:rsidRDefault="00E35E57" w:rsidP="00B54350">
      <w:pPr>
        <w:pStyle w:val="SingleTxtG"/>
      </w:pPr>
      <w:proofErr w:type="spellStart"/>
      <w:r w:rsidRPr="00CC34C5">
        <w:t>Sra.</w:t>
      </w:r>
      <w:proofErr w:type="spellEnd"/>
      <w:r w:rsidRPr="00CC34C5">
        <w:t xml:space="preserve"> Nancy Hernández López, </w:t>
      </w:r>
      <w:proofErr w:type="spellStart"/>
      <w:r w:rsidRPr="00CC34C5">
        <w:t>magistrada</w:t>
      </w:r>
      <w:proofErr w:type="spellEnd"/>
      <w:r w:rsidRPr="00CC34C5">
        <w:t xml:space="preserve"> de la Sala </w:t>
      </w:r>
      <w:proofErr w:type="spellStart"/>
      <w:r w:rsidRPr="00CC34C5">
        <w:t>Constitucional</w:t>
      </w:r>
      <w:proofErr w:type="spellEnd"/>
      <w:r w:rsidRPr="00CC34C5">
        <w:t xml:space="preserve"> de la Corte Suprema de Justicia</w:t>
      </w:r>
    </w:p>
    <w:p w:rsidR="00E35E57" w:rsidRPr="00CC34C5" w:rsidRDefault="00E35E57" w:rsidP="00B54350">
      <w:pPr>
        <w:pStyle w:val="SingleTxtG"/>
      </w:pPr>
      <w:proofErr w:type="spellStart"/>
      <w:r w:rsidRPr="00CC34C5">
        <w:t>Sra.</w:t>
      </w:r>
      <w:proofErr w:type="spellEnd"/>
      <w:r w:rsidRPr="00CC34C5">
        <w:t xml:space="preserve"> </w:t>
      </w:r>
      <w:proofErr w:type="spellStart"/>
      <w:r w:rsidRPr="00CC34C5">
        <w:t>Odilie</w:t>
      </w:r>
      <w:proofErr w:type="spellEnd"/>
      <w:r w:rsidRPr="00CC34C5">
        <w:t xml:space="preserve"> Robles Escobar, </w:t>
      </w:r>
      <w:proofErr w:type="spellStart"/>
      <w:r w:rsidRPr="00CC34C5">
        <w:t>jueza</w:t>
      </w:r>
      <w:proofErr w:type="spellEnd"/>
      <w:r w:rsidRPr="00CC34C5">
        <w:t xml:space="preserve"> de </w:t>
      </w:r>
      <w:proofErr w:type="spellStart"/>
      <w:r w:rsidRPr="00CC34C5">
        <w:t>ejecución</w:t>
      </w:r>
      <w:proofErr w:type="spellEnd"/>
      <w:r w:rsidRPr="00CC34C5">
        <w:t xml:space="preserve"> de la </w:t>
      </w:r>
      <w:proofErr w:type="spellStart"/>
      <w:r w:rsidRPr="00CC34C5">
        <w:t>pena</w:t>
      </w:r>
      <w:proofErr w:type="spellEnd"/>
      <w:r w:rsidRPr="00CC34C5">
        <w:t xml:space="preserve"> de Alajuela</w:t>
      </w:r>
    </w:p>
    <w:p w:rsidR="00E35E57" w:rsidRPr="00CC34C5" w:rsidRDefault="00E35E57" w:rsidP="00B54350">
      <w:pPr>
        <w:pStyle w:val="SingleTxtG"/>
      </w:pPr>
      <w:r w:rsidRPr="00CC34C5">
        <w:t xml:space="preserve">Sr. Mario Rodríguez, </w:t>
      </w:r>
      <w:proofErr w:type="spellStart"/>
      <w:r w:rsidRPr="00CC34C5">
        <w:t>juez</w:t>
      </w:r>
      <w:proofErr w:type="spellEnd"/>
      <w:r w:rsidRPr="00CC34C5">
        <w:t xml:space="preserve"> de </w:t>
      </w:r>
      <w:proofErr w:type="spellStart"/>
      <w:r w:rsidRPr="00CC34C5">
        <w:t>ejecución</w:t>
      </w:r>
      <w:proofErr w:type="spellEnd"/>
      <w:r w:rsidRPr="00CC34C5">
        <w:t xml:space="preserve"> de la </w:t>
      </w:r>
      <w:proofErr w:type="spellStart"/>
      <w:r w:rsidRPr="00CC34C5">
        <w:t>pena</w:t>
      </w:r>
      <w:proofErr w:type="spellEnd"/>
      <w:r w:rsidRPr="00CC34C5">
        <w:t xml:space="preserve"> de Alajuela</w:t>
      </w:r>
    </w:p>
    <w:p w:rsidR="00E35E57" w:rsidRPr="00CC34C5" w:rsidRDefault="00E35E57" w:rsidP="00B54350">
      <w:pPr>
        <w:pStyle w:val="SingleTxtG"/>
      </w:pPr>
      <w:r w:rsidRPr="00CC34C5">
        <w:t xml:space="preserve">Sr. José Román Matamoros, </w:t>
      </w:r>
      <w:proofErr w:type="spellStart"/>
      <w:r w:rsidRPr="00CC34C5">
        <w:t>juez</w:t>
      </w:r>
      <w:proofErr w:type="spellEnd"/>
      <w:r w:rsidRPr="00CC34C5">
        <w:t xml:space="preserve"> de </w:t>
      </w:r>
      <w:proofErr w:type="spellStart"/>
      <w:r w:rsidRPr="00CC34C5">
        <w:t>ejecución</w:t>
      </w:r>
      <w:proofErr w:type="spellEnd"/>
      <w:r w:rsidRPr="00CC34C5">
        <w:t xml:space="preserve"> de la </w:t>
      </w:r>
      <w:proofErr w:type="spellStart"/>
      <w:r w:rsidRPr="00CC34C5">
        <w:t>pena</w:t>
      </w:r>
      <w:proofErr w:type="spellEnd"/>
      <w:r w:rsidRPr="00CC34C5">
        <w:t xml:space="preserve"> de San José</w:t>
      </w:r>
    </w:p>
    <w:p w:rsidR="00E35E57" w:rsidRPr="00CC34C5" w:rsidRDefault="00E35E57" w:rsidP="00B54350">
      <w:pPr>
        <w:pStyle w:val="SingleTxtG"/>
      </w:pPr>
      <w:r w:rsidRPr="00CC34C5">
        <w:t xml:space="preserve">Sr. Roy Murillo, </w:t>
      </w:r>
      <w:proofErr w:type="spellStart"/>
      <w:r w:rsidRPr="00CC34C5">
        <w:t>juez</w:t>
      </w:r>
      <w:proofErr w:type="spellEnd"/>
      <w:r w:rsidRPr="00CC34C5">
        <w:t xml:space="preserve"> de </w:t>
      </w:r>
      <w:proofErr w:type="spellStart"/>
      <w:r w:rsidRPr="00CC34C5">
        <w:t>ejecución</w:t>
      </w:r>
      <w:proofErr w:type="spellEnd"/>
      <w:r w:rsidRPr="00CC34C5">
        <w:t xml:space="preserve"> de la </w:t>
      </w:r>
      <w:proofErr w:type="spellStart"/>
      <w:r w:rsidRPr="00CC34C5">
        <w:t>pena</w:t>
      </w:r>
      <w:proofErr w:type="spellEnd"/>
    </w:p>
    <w:p w:rsidR="00E35E57" w:rsidRPr="00CC34C5" w:rsidRDefault="00E35E57" w:rsidP="00B54350">
      <w:pPr>
        <w:pStyle w:val="SingleTxtG"/>
      </w:pPr>
      <w:r w:rsidRPr="00CC34C5">
        <w:t xml:space="preserve">Sr. Armando Castillo </w:t>
      </w:r>
      <w:proofErr w:type="spellStart"/>
      <w:r w:rsidRPr="00CC34C5">
        <w:t>Fallas</w:t>
      </w:r>
      <w:proofErr w:type="spellEnd"/>
      <w:r w:rsidRPr="00CC34C5">
        <w:t xml:space="preserve">, </w:t>
      </w:r>
      <w:proofErr w:type="spellStart"/>
      <w:r w:rsidRPr="00CC34C5">
        <w:t>Secretaría</w:t>
      </w:r>
      <w:proofErr w:type="spellEnd"/>
      <w:r w:rsidRPr="00CC34C5">
        <w:t xml:space="preserve"> General del </w:t>
      </w:r>
      <w:proofErr w:type="spellStart"/>
      <w:r w:rsidRPr="00CC34C5">
        <w:t>Organismo</w:t>
      </w:r>
      <w:proofErr w:type="spellEnd"/>
      <w:r w:rsidRPr="00CC34C5">
        <w:t xml:space="preserve"> de </w:t>
      </w:r>
      <w:proofErr w:type="spellStart"/>
      <w:r w:rsidRPr="00CC34C5">
        <w:t>Investigación</w:t>
      </w:r>
      <w:proofErr w:type="spellEnd"/>
      <w:r w:rsidRPr="00CC34C5">
        <w:t xml:space="preserve"> Judicial</w:t>
      </w:r>
    </w:p>
    <w:p w:rsidR="00E35E57" w:rsidRPr="00CC34C5" w:rsidRDefault="00E35E57" w:rsidP="00B54350">
      <w:pPr>
        <w:pStyle w:val="SingleTxtG"/>
      </w:pPr>
      <w:r w:rsidRPr="00CC34C5">
        <w:t xml:space="preserve">Sr. Javier </w:t>
      </w:r>
      <w:proofErr w:type="spellStart"/>
      <w:r w:rsidRPr="00CC34C5">
        <w:t>Ulate</w:t>
      </w:r>
      <w:proofErr w:type="spellEnd"/>
      <w:r w:rsidRPr="00CC34C5">
        <w:t xml:space="preserve"> Carrillo, </w:t>
      </w:r>
      <w:proofErr w:type="spellStart"/>
      <w:r w:rsidRPr="00CC34C5">
        <w:t>sección</w:t>
      </w:r>
      <w:proofErr w:type="spellEnd"/>
      <w:r w:rsidRPr="00CC34C5">
        <w:t xml:space="preserve"> de </w:t>
      </w:r>
      <w:proofErr w:type="spellStart"/>
      <w:r w:rsidRPr="00CC34C5">
        <w:t>cárceles</w:t>
      </w:r>
      <w:proofErr w:type="spellEnd"/>
      <w:r w:rsidRPr="00CC34C5">
        <w:t xml:space="preserve"> del </w:t>
      </w:r>
      <w:proofErr w:type="spellStart"/>
      <w:r w:rsidRPr="00CC34C5">
        <w:t>Organismo</w:t>
      </w:r>
      <w:proofErr w:type="spellEnd"/>
      <w:r w:rsidRPr="00CC34C5">
        <w:t xml:space="preserve"> de </w:t>
      </w:r>
      <w:proofErr w:type="spellStart"/>
      <w:r w:rsidRPr="00CC34C5">
        <w:t>Investigación</w:t>
      </w:r>
      <w:proofErr w:type="spellEnd"/>
      <w:r w:rsidRPr="00CC34C5">
        <w:t xml:space="preserve"> Judicial</w:t>
      </w:r>
    </w:p>
    <w:p w:rsidR="00E35E57" w:rsidRPr="00CC34C5" w:rsidRDefault="00E35E57" w:rsidP="00B54350">
      <w:pPr>
        <w:pStyle w:val="SingleTxtG"/>
      </w:pPr>
      <w:r w:rsidRPr="00CC34C5">
        <w:t>Sr. José Pablo Esquivel Segura</w:t>
      </w:r>
    </w:p>
    <w:p w:rsidR="00E35E57" w:rsidRPr="00CC34C5" w:rsidRDefault="00E35E57" w:rsidP="00B54350">
      <w:pPr>
        <w:pStyle w:val="SingleTxtG"/>
      </w:pPr>
      <w:r w:rsidRPr="00CC34C5">
        <w:t xml:space="preserve">Sr. Alexis Mora </w:t>
      </w:r>
      <w:proofErr w:type="spellStart"/>
      <w:r w:rsidRPr="00CC34C5">
        <w:t>Cambronero</w:t>
      </w:r>
      <w:proofErr w:type="spellEnd"/>
    </w:p>
    <w:p w:rsidR="00E35E57" w:rsidRPr="00CC34C5" w:rsidRDefault="00E35E57" w:rsidP="00B54350">
      <w:pPr>
        <w:pStyle w:val="SingleTxtG"/>
      </w:pPr>
      <w:proofErr w:type="spellStart"/>
      <w:r w:rsidRPr="00CC34C5">
        <w:t>Sra.</w:t>
      </w:r>
      <w:proofErr w:type="spellEnd"/>
      <w:r w:rsidRPr="00CC34C5">
        <w:t xml:space="preserve"> Natalie Fonseca</w:t>
      </w:r>
    </w:p>
    <w:p w:rsidR="00E35E57" w:rsidRPr="00CC34C5" w:rsidRDefault="00E35E57" w:rsidP="00B54350">
      <w:pPr>
        <w:pStyle w:val="SingleTxtG"/>
      </w:pPr>
      <w:proofErr w:type="spellStart"/>
      <w:r w:rsidRPr="00CC34C5">
        <w:t>Sra.</w:t>
      </w:r>
      <w:proofErr w:type="spellEnd"/>
      <w:r w:rsidRPr="00CC34C5">
        <w:t xml:space="preserve"> Karla </w:t>
      </w:r>
      <w:proofErr w:type="spellStart"/>
      <w:r w:rsidRPr="00CC34C5">
        <w:t>Gamboa</w:t>
      </w:r>
      <w:proofErr w:type="spellEnd"/>
      <w:r w:rsidRPr="00CC34C5">
        <w:t xml:space="preserve"> </w:t>
      </w:r>
      <w:proofErr w:type="spellStart"/>
      <w:r w:rsidRPr="00CC34C5">
        <w:t>Somarribas</w:t>
      </w:r>
      <w:proofErr w:type="spellEnd"/>
    </w:p>
    <w:p w:rsidR="00E35E57" w:rsidRPr="00CC34C5" w:rsidRDefault="00E35E57" w:rsidP="00E35E57">
      <w:pPr>
        <w:pStyle w:val="H23G"/>
      </w:pPr>
      <w:r w:rsidRPr="00CC34C5">
        <w:tab/>
      </w:r>
      <w:r w:rsidRPr="00CC34C5">
        <w:tab/>
      </w:r>
      <w:bookmarkStart w:id="29" w:name="_Toc29451321"/>
      <w:proofErr w:type="spellStart"/>
      <w:r w:rsidRPr="00CC34C5">
        <w:t>Ministerio</w:t>
      </w:r>
      <w:proofErr w:type="spellEnd"/>
      <w:r w:rsidRPr="00CC34C5">
        <w:t xml:space="preserve"> </w:t>
      </w:r>
      <w:proofErr w:type="spellStart"/>
      <w:r w:rsidRPr="00CC34C5">
        <w:t>Público</w:t>
      </w:r>
      <w:bookmarkEnd w:id="29"/>
      <w:proofErr w:type="spellEnd"/>
    </w:p>
    <w:p w:rsidR="00E35E57" w:rsidRPr="00CC34C5" w:rsidRDefault="00E35E57" w:rsidP="00B54350">
      <w:pPr>
        <w:pStyle w:val="SingleTxtG"/>
      </w:pPr>
      <w:proofErr w:type="spellStart"/>
      <w:r w:rsidRPr="00CC34C5">
        <w:t>Sra.</w:t>
      </w:r>
      <w:proofErr w:type="spellEnd"/>
      <w:r w:rsidRPr="00CC34C5">
        <w:t xml:space="preserve"> Laura Monge, </w:t>
      </w:r>
      <w:proofErr w:type="spellStart"/>
      <w:r w:rsidRPr="00CC34C5">
        <w:t>Ministerio</w:t>
      </w:r>
      <w:proofErr w:type="spellEnd"/>
      <w:r w:rsidRPr="00CC34C5">
        <w:t xml:space="preserve"> </w:t>
      </w:r>
      <w:proofErr w:type="spellStart"/>
      <w:r w:rsidRPr="00CC34C5">
        <w:t>Público</w:t>
      </w:r>
      <w:proofErr w:type="spellEnd"/>
    </w:p>
    <w:p w:rsidR="00E35E57" w:rsidRPr="00CC34C5" w:rsidRDefault="00E35E57" w:rsidP="00B54350">
      <w:pPr>
        <w:pStyle w:val="SingleTxtG"/>
      </w:pPr>
      <w:r w:rsidRPr="00CC34C5">
        <w:t xml:space="preserve">Sr. Carlo Díaz Sánchez, </w:t>
      </w:r>
      <w:proofErr w:type="spellStart"/>
      <w:r w:rsidRPr="00CC34C5">
        <w:t>Fiscalía</w:t>
      </w:r>
      <w:proofErr w:type="spellEnd"/>
      <w:r w:rsidRPr="00CC34C5">
        <w:t xml:space="preserve"> </w:t>
      </w:r>
      <w:proofErr w:type="spellStart"/>
      <w:r w:rsidRPr="00CC34C5">
        <w:t>Adjunta</w:t>
      </w:r>
      <w:proofErr w:type="spellEnd"/>
      <w:r w:rsidRPr="00CC34C5">
        <w:t xml:space="preserve"> de la Pena</w:t>
      </w:r>
    </w:p>
    <w:p w:rsidR="00E35E57" w:rsidRPr="00CC34C5" w:rsidRDefault="00E35E57" w:rsidP="00B54350">
      <w:pPr>
        <w:pStyle w:val="SingleTxtG"/>
      </w:pPr>
      <w:proofErr w:type="spellStart"/>
      <w:r w:rsidRPr="00CC34C5">
        <w:t>Sra.</w:t>
      </w:r>
      <w:proofErr w:type="spellEnd"/>
      <w:r w:rsidRPr="00CC34C5">
        <w:t xml:space="preserve"> Carlos E. Montenegro, </w:t>
      </w:r>
      <w:proofErr w:type="spellStart"/>
      <w:r w:rsidRPr="00CC34C5">
        <w:t>Fiscalía</w:t>
      </w:r>
      <w:proofErr w:type="spellEnd"/>
      <w:r w:rsidRPr="00CC34C5">
        <w:t xml:space="preserve"> </w:t>
      </w:r>
      <w:proofErr w:type="spellStart"/>
      <w:r w:rsidRPr="00CC34C5">
        <w:t>Ejecución</w:t>
      </w:r>
      <w:proofErr w:type="spellEnd"/>
      <w:r w:rsidRPr="00CC34C5">
        <w:t xml:space="preserve"> de la Pena</w:t>
      </w:r>
    </w:p>
    <w:p w:rsidR="00E35E57" w:rsidRPr="00CC34C5" w:rsidRDefault="00E35E57" w:rsidP="00B54350">
      <w:pPr>
        <w:pStyle w:val="SingleTxtG"/>
      </w:pPr>
      <w:r w:rsidRPr="00CC34C5">
        <w:t>Sr. José Pablo Miranda Hurtado, Fiscal General</w:t>
      </w:r>
    </w:p>
    <w:p w:rsidR="00E35E57" w:rsidRPr="00CC34C5" w:rsidRDefault="00E35E57" w:rsidP="00B54350">
      <w:pPr>
        <w:pStyle w:val="SingleTxtG"/>
      </w:pPr>
      <w:proofErr w:type="spellStart"/>
      <w:r w:rsidRPr="00CC34C5">
        <w:lastRenderedPageBreak/>
        <w:t>Sra.</w:t>
      </w:r>
      <w:proofErr w:type="spellEnd"/>
      <w:r w:rsidRPr="00CC34C5">
        <w:t xml:space="preserve"> Emilia </w:t>
      </w:r>
      <w:proofErr w:type="spellStart"/>
      <w:r w:rsidRPr="00CC34C5">
        <w:t>Navas</w:t>
      </w:r>
      <w:proofErr w:type="spellEnd"/>
      <w:r w:rsidRPr="00CC34C5">
        <w:t xml:space="preserve"> Aparicio, </w:t>
      </w:r>
      <w:proofErr w:type="spellStart"/>
      <w:r w:rsidRPr="00CC34C5">
        <w:t>Fiscalía</w:t>
      </w:r>
      <w:proofErr w:type="spellEnd"/>
      <w:r w:rsidRPr="00CC34C5">
        <w:t xml:space="preserve"> General</w:t>
      </w:r>
    </w:p>
    <w:p w:rsidR="00E35E57" w:rsidRPr="00CC34C5" w:rsidRDefault="00E35E57" w:rsidP="00B54350">
      <w:pPr>
        <w:pStyle w:val="SingleTxtG"/>
      </w:pPr>
      <w:proofErr w:type="spellStart"/>
      <w:r w:rsidRPr="00CC34C5">
        <w:t>Sra.</w:t>
      </w:r>
      <w:proofErr w:type="spellEnd"/>
      <w:r w:rsidRPr="00CC34C5">
        <w:t xml:space="preserve"> Mayra Campos, </w:t>
      </w:r>
      <w:proofErr w:type="spellStart"/>
      <w:r w:rsidRPr="00CC34C5">
        <w:t>Fiscalía</w:t>
      </w:r>
      <w:proofErr w:type="spellEnd"/>
      <w:r w:rsidRPr="00CC34C5">
        <w:t xml:space="preserve"> </w:t>
      </w:r>
      <w:proofErr w:type="spellStart"/>
      <w:r w:rsidRPr="00CC34C5">
        <w:t>Adjunta</w:t>
      </w:r>
      <w:proofErr w:type="spellEnd"/>
    </w:p>
    <w:p w:rsidR="00E35E57" w:rsidRPr="00CC34C5" w:rsidRDefault="00E35E57" w:rsidP="00E35E57">
      <w:pPr>
        <w:pStyle w:val="H23G"/>
      </w:pPr>
      <w:r w:rsidRPr="00CC34C5">
        <w:tab/>
      </w:r>
      <w:r w:rsidRPr="00CC34C5">
        <w:tab/>
      </w:r>
      <w:bookmarkStart w:id="30" w:name="_Toc29451322"/>
      <w:proofErr w:type="spellStart"/>
      <w:r w:rsidRPr="00CC34C5">
        <w:t>Defensa</w:t>
      </w:r>
      <w:proofErr w:type="spellEnd"/>
      <w:r w:rsidRPr="00CC34C5">
        <w:t xml:space="preserve"> </w:t>
      </w:r>
      <w:proofErr w:type="spellStart"/>
      <w:r w:rsidRPr="00CC34C5">
        <w:t>Pública</w:t>
      </w:r>
      <w:bookmarkEnd w:id="30"/>
      <w:proofErr w:type="spellEnd"/>
    </w:p>
    <w:p w:rsidR="00E35E57" w:rsidRPr="00CC34C5" w:rsidRDefault="00E35E57" w:rsidP="00B54350">
      <w:pPr>
        <w:pStyle w:val="SingleTxtG"/>
      </w:pPr>
      <w:proofErr w:type="spellStart"/>
      <w:r w:rsidRPr="00CC34C5">
        <w:t>Sra.</w:t>
      </w:r>
      <w:proofErr w:type="spellEnd"/>
      <w:r w:rsidRPr="00CC34C5">
        <w:t xml:space="preserve"> Diana Montero, </w:t>
      </w:r>
      <w:proofErr w:type="spellStart"/>
      <w:r w:rsidRPr="00CC34C5">
        <w:t>Directora</w:t>
      </w:r>
      <w:proofErr w:type="spellEnd"/>
      <w:r w:rsidRPr="00CC34C5">
        <w:t xml:space="preserve"> de la </w:t>
      </w:r>
      <w:proofErr w:type="spellStart"/>
      <w:r w:rsidRPr="00CC34C5">
        <w:t>Defensa</w:t>
      </w:r>
      <w:proofErr w:type="spellEnd"/>
      <w:r w:rsidRPr="00CC34C5">
        <w:t xml:space="preserve"> </w:t>
      </w:r>
      <w:proofErr w:type="spellStart"/>
      <w:r w:rsidRPr="00CC34C5">
        <w:t>Pública</w:t>
      </w:r>
      <w:proofErr w:type="spellEnd"/>
    </w:p>
    <w:p w:rsidR="00E35E57" w:rsidRPr="00CC34C5" w:rsidRDefault="00E35E57" w:rsidP="00B54350">
      <w:pPr>
        <w:pStyle w:val="SingleTxtG"/>
      </w:pPr>
      <w:r w:rsidRPr="00CC34C5">
        <w:t xml:space="preserve">Sr. Erik </w:t>
      </w:r>
      <w:proofErr w:type="spellStart"/>
      <w:r w:rsidRPr="00CC34C5">
        <w:t>Núñez</w:t>
      </w:r>
      <w:proofErr w:type="spellEnd"/>
    </w:p>
    <w:p w:rsidR="00E35E57" w:rsidRPr="00CC34C5" w:rsidRDefault="00E35E57" w:rsidP="00B54350">
      <w:pPr>
        <w:pStyle w:val="SingleTxtG"/>
      </w:pPr>
      <w:proofErr w:type="spellStart"/>
      <w:r w:rsidRPr="00CC34C5">
        <w:t>Sra.</w:t>
      </w:r>
      <w:proofErr w:type="spellEnd"/>
      <w:r w:rsidRPr="00CC34C5">
        <w:t xml:space="preserve"> Laura Arias Guillen, </w:t>
      </w:r>
      <w:proofErr w:type="spellStart"/>
      <w:r w:rsidRPr="00CC34C5">
        <w:t>unidad</w:t>
      </w:r>
      <w:proofErr w:type="spellEnd"/>
      <w:r w:rsidRPr="00CC34C5">
        <w:t xml:space="preserve"> de </w:t>
      </w:r>
      <w:proofErr w:type="spellStart"/>
      <w:r w:rsidRPr="00CC34C5">
        <w:t>ejecución</w:t>
      </w:r>
      <w:proofErr w:type="spellEnd"/>
      <w:r w:rsidRPr="00CC34C5">
        <w:t xml:space="preserve"> de la </w:t>
      </w:r>
      <w:proofErr w:type="spellStart"/>
      <w:r w:rsidRPr="00CC34C5">
        <w:t>pena</w:t>
      </w:r>
      <w:proofErr w:type="spellEnd"/>
    </w:p>
    <w:p w:rsidR="00E35E57" w:rsidRPr="00CC34C5" w:rsidRDefault="00E35E57" w:rsidP="00B54350">
      <w:pPr>
        <w:pStyle w:val="SingleTxtG"/>
      </w:pPr>
      <w:r w:rsidRPr="00CC34C5">
        <w:t xml:space="preserve">Sr. Abraham </w:t>
      </w:r>
      <w:proofErr w:type="spellStart"/>
      <w:r w:rsidRPr="00CC34C5">
        <w:t>Sequeira</w:t>
      </w:r>
      <w:proofErr w:type="spellEnd"/>
      <w:r w:rsidRPr="00CC34C5">
        <w:t xml:space="preserve"> Morales</w:t>
      </w:r>
    </w:p>
    <w:p w:rsidR="00E35E57" w:rsidRPr="00CC34C5" w:rsidRDefault="00E35E57" w:rsidP="00B54350">
      <w:pPr>
        <w:pStyle w:val="SingleTxtG"/>
      </w:pPr>
      <w:r w:rsidRPr="00CC34C5">
        <w:t xml:space="preserve">Sr. Héctor Sánchez </w:t>
      </w:r>
      <w:proofErr w:type="spellStart"/>
      <w:r w:rsidRPr="00CC34C5">
        <w:t>Ureña</w:t>
      </w:r>
      <w:proofErr w:type="spellEnd"/>
    </w:p>
    <w:p w:rsidR="00E35E57" w:rsidRPr="00CC34C5" w:rsidRDefault="00E35E57" w:rsidP="00B54350">
      <w:pPr>
        <w:pStyle w:val="SingleTxtG"/>
      </w:pPr>
      <w:r w:rsidRPr="00CC34C5">
        <w:t xml:space="preserve">Sr. Alejandro Montero </w:t>
      </w:r>
      <w:proofErr w:type="spellStart"/>
      <w:r w:rsidRPr="00CC34C5">
        <w:t>Acuña</w:t>
      </w:r>
      <w:proofErr w:type="spellEnd"/>
      <w:r w:rsidRPr="00CC34C5">
        <w:t xml:space="preserve"> </w:t>
      </w:r>
    </w:p>
    <w:p w:rsidR="00E35E57" w:rsidRPr="00CC34C5" w:rsidRDefault="00E35E57" w:rsidP="00E35E57">
      <w:pPr>
        <w:pStyle w:val="H23G"/>
      </w:pPr>
      <w:r w:rsidRPr="00CC34C5">
        <w:tab/>
      </w:r>
      <w:r w:rsidRPr="00CC34C5">
        <w:tab/>
      </w:r>
      <w:bookmarkStart w:id="31" w:name="_Toc29451323"/>
      <w:proofErr w:type="spellStart"/>
      <w:r w:rsidRPr="00CC34C5">
        <w:t>Defensoría</w:t>
      </w:r>
      <w:proofErr w:type="spellEnd"/>
      <w:r w:rsidRPr="00CC34C5">
        <w:t xml:space="preserve"> de los </w:t>
      </w:r>
      <w:proofErr w:type="spellStart"/>
      <w:r w:rsidRPr="00CC34C5">
        <w:t>Habitantes</w:t>
      </w:r>
      <w:bookmarkEnd w:id="31"/>
      <w:proofErr w:type="spellEnd"/>
    </w:p>
    <w:p w:rsidR="00E35E57" w:rsidRPr="00CC34C5" w:rsidRDefault="00E35E57" w:rsidP="00B54350">
      <w:pPr>
        <w:pStyle w:val="SingleTxtG"/>
      </w:pPr>
      <w:proofErr w:type="spellStart"/>
      <w:r w:rsidRPr="00CC34C5">
        <w:t>Sra.</w:t>
      </w:r>
      <w:proofErr w:type="spellEnd"/>
      <w:r w:rsidRPr="00CC34C5">
        <w:t xml:space="preserve"> Catalina Crespo, </w:t>
      </w:r>
      <w:proofErr w:type="spellStart"/>
      <w:r w:rsidRPr="00CC34C5">
        <w:t>Defensora</w:t>
      </w:r>
      <w:proofErr w:type="spellEnd"/>
      <w:r w:rsidRPr="00CC34C5">
        <w:t xml:space="preserve"> de los </w:t>
      </w:r>
      <w:proofErr w:type="spellStart"/>
      <w:r w:rsidRPr="00CC34C5">
        <w:t>Habitantes</w:t>
      </w:r>
      <w:proofErr w:type="spellEnd"/>
    </w:p>
    <w:p w:rsidR="00E35E57" w:rsidRPr="00CC34C5" w:rsidRDefault="00E35E57" w:rsidP="00B54350">
      <w:pPr>
        <w:pStyle w:val="SingleTxtG"/>
      </w:pPr>
      <w:proofErr w:type="spellStart"/>
      <w:r w:rsidRPr="00CC34C5">
        <w:t>Sra.</w:t>
      </w:r>
      <w:proofErr w:type="spellEnd"/>
      <w:r w:rsidRPr="00CC34C5">
        <w:t xml:space="preserve"> Laura Arguedas </w:t>
      </w:r>
      <w:proofErr w:type="spellStart"/>
      <w:r w:rsidRPr="00CC34C5">
        <w:t>Mejía</w:t>
      </w:r>
      <w:proofErr w:type="spellEnd"/>
      <w:r w:rsidRPr="00CC34C5">
        <w:t xml:space="preserve">, </w:t>
      </w:r>
      <w:proofErr w:type="spellStart"/>
      <w:r w:rsidRPr="00CC34C5">
        <w:t>Asuntos</w:t>
      </w:r>
      <w:proofErr w:type="spellEnd"/>
      <w:r w:rsidRPr="00CC34C5">
        <w:t xml:space="preserve"> </w:t>
      </w:r>
      <w:proofErr w:type="spellStart"/>
      <w:r w:rsidRPr="00CC34C5">
        <w:t>internacionales</w:t>
      </w:r>
      <w:proofErr w:type="spellEnd"/>
    </w:p>
    <w:p w:rsidR="00E35E57" w:rsidRPr="00CC34C5" w:rsidRDefault="00E35E57" w:rsidP="00B54350">
      <w:pPr>
        <w:pStyle w:val="SingleTxtG"/>
      </w:pPr>
      <w:proofErr w:type="spellStart"/>
      <w:r w:rsidRPr="00CC34C5">
        <w:t>Sra.</w:t>
      </w:r>
      <w:proofErr w:type="spellEnd"/>
      <w:r w:rsidRPr="00CC34C5">
        <w:t xml:space="preserve"> Lilliana Castro López, </w:t>
      </w:r>
      <w:proofErr w:type="spellStart"/>
      <w:r w:rsidRPr="00CC34C5">
        <w:t>Defensoría</w:t>
      </w:r>
      <w:proofErr w:type="spellEnd"/>
      <w:r w:rsidRPr="00CC34C5">
        <w:t xml:space="preserve"> de la </w:t>
      </w:r>
      <w:proofErr w:type="spellStart"/>
      <w:r w:rsidRPr="00CC34C5">
        <w:t>Mujer</w:t>
      </w:r>
      <w:proofErr w:type="spellEnd"/>
    </w:p>
    <w:p w:rsidR="00E35E57" w:rsidRPr="00CC34C5" w:rsidRDefault="00E35E57" w:rsidP="00B54350">
      <w:pPr>
        <w:pStyle w:val="SingleTxtG"/>
      </w:pPr>
      <w:proofErr w:type="spellStart"/>
      <w:r w:rsidRPr="00CC34C5">
        <w:t>Sra.</w:t>
      </w:r>
      <w:proofErr w:type="spellEnd"/>
      <w:r w:rsidRPr="00CC34C5">
        <w:t xml:space="preserve"> Nathalie Araya </w:t>
      </w:r>
      <w:proofErr w:type="spellStart"/>
      <w:r w:rsidRPr="00CC34C5">
        <w:t>Jácome</w:t>
      </w:r>
      <w:proofErr w:type="spellEnd"/>
      <w:r w:rsidRPr="00CC34C5">
        <w:t xml:space="preserve">, </w:t>
      </w:r>
      <w:proofErr w:type="spellStart"/>
      <w:r w:rsidRPr="00CC34C5">
        <w:t>Área</w:t>
      </w:r>
      <w:proofErr w:type="spellEnd"/>
      <w:r w:rsidRPr="00CC34C5">
        <w:t xml:space="preserve"> de </w:t>
      </w:r>
      <w:proofErr w:type="spellStart"/>
      <w:r w:rsidRPr="00CC34C5">
        <w:t>calidad</w:t>
      </w:r>
      <w:proofErr w:type="spellEnd"/>
      <w:r w:rsidRPr="00CC34C5">
        <w:t xml:space="preserve"> de </w:t>
      </w:r>
      <w:proofErr w:type="spellStart"/>
      <w:r w:rsidRPr="00CC34C5">
        <w:t>vida</w:t>
      </w:r>
      <w:proofErr w:type="spellEnd"/>
    </w:p>
    <w:p w:rsidR="00E35E57" w:rsidRPr="00CC34C5" w:rsidRDefault="00E35E57" w:rsidP="00B54350">
      <w:pPr>
        <w:pStyle w:val="SingleTxtG"/>
      </w:pPr>
      <w:proofErr w:type="spellStart"/>
      <w:r w:rsidRPr="00CC34C5">
        <w:t>Sra.</w:t>
      </w:r>
      <w:proofErr w:type="spellEnd"/>
      <w:r w:rsidRPr="00CC34C5">
        <w:t xml:space="preserve"> Jenny Phillips, </w:t>
      </w:r>
      <w:proofErr w:type="spellStart"/>
      <w:r w:rsidRPr="00CC34C5">
        <w:t>Directora</w:t>
      </w:r>
      <w:proofErr w:type="spellEnd"/>
      <w:r w:rsidRPr="00CC34C5">
        <w:t xml:space="preserve"> de </w:t>
      </w:r>
      <w:proofErr w:type="spellStart"/>
      <w:r w:rsidRPr="00CC34C5">
        <w:t>admisibilidad</w:t>
      </w:r>
      <w:proofErr w:type="spellEnd"/>
    </w:p>
    <w:p w:rsidR="00E35E57" w:rsidRPr="00CC34C5" w:rsidRDefault="00E35E57" w:rsidP="00B54350">
      <w:pPr>
        <w:pStyle w:val="SingleTxtG"/>
      </w:pPr>
      <w:proofErr w:type="spellStart"/>
      <w:r w:rsidRPr="00CC34C5">
        <w:t>Sra.</w:t>
      </w:r>
      <w:proofErr w:type="spellEnd"/>
      <w:r w:rsidRPr="00CC34C5">
        <w:t xml:space="preserve"> Laura Fernández Díaz, </w:t>
      </w:r>
      <w:proofErr w:type="spellStart"/>
      <w:r w:rsidRPr="00CC34C5">
        <w:t>Dirección</w:t>
      </w:r>
      <w:proofErr w:type="spellEnd"/>
      <w:r w:rsidRPr="00CC34C5">
        <w:t xml:space="preserve"> </w:t>
      </w:r>
      <w:proofErr w:type="spellStart"/>
      <w:r w:rsidRPr="00CC34C5">
        <w:t>Niñez</w:t>
      </w:r>
      <w:proofErr w:type="spellEnd"/>
      <w:r w:rsidRPr="00CC34C5">
        <w:t xml:space="preserve"> y </w:t>
      </w:r>
      <w:proofErr w:type="spellStart"/>
      <w:r w:rsidRPr="00CC34C5">
        <w:t>Adolescencia</w:t>
      </w:r>
      <w:proofErr w:type="spellEnd"/>
    </w:p>
    <w:p w:rsidR="00E35E57" w:rsidRPr="00CC34C5" w:rsidRDefault="00E35E57" w:rsidP="00B54350">
      <w:pPr>
        <w:pStyle w:val="SingleTxtG"/>
      </w:pPr>
      <w:r w:rsidRPr="00CC34C5">
        <w:t xml:space="preserve">Sr. Álvaro Paniagua, </w:t>
      </w:r>
      <w:proofErr w:type="spellStart"/>
      <w:r w:rsidRPr="00CC34C5">
        <w:t>Dirección</w:t>
      </w:r>
      <w:proofErr w:type="spellEnd"/>
      <w:r w:rsidRPr="00CC34C5">
        <w:t xml:space="preserve"> de </w:t>
      </w:r>
      <w:proofErr w:type="spellStart"/>
      <w:r w:rsidRPr="00CC34C5">
        <w:t>Protección</w:t>
      </w:r>
      <w:proofErr w:type="spellEnd"/>
      <w:r w:rsidRPr="00CC34C5">
        <w:t xml:space="preserve"> </w:t>
      </w:r>
    </w:p>
    <w:p w:rsidR="00E35E57" w:rsidRPr="00CC34C5" w:rsidRDefault="00E35E57" w:rsidP="00E35E57">
      <w:pPr>
        <w:pStyle w:val="H23G"/>
      </w:pPr>
      <w:r w:rsidRPr="00CC34C5">
        <w:tab/>
      </w:r>
      <w:r w:rsidRPr="00CC34C5">
        <w:tab/>
      </w:r>
      <w:bookmarkStart w:id="32" w:name="_Toc29451324"/>
      <w:proofErr w:type="spellStart"/>
      <w:r w:rsidRPr="00CC34C5">
        <w:t>Mecanismo</w:t>
      </w:r>
      <w:proofErr w:type="spellEnd"/>
      <w:r w:rsidRPr="00CC34C5">
        <w:t xml:space="preserve"> </w:t>
      </w:r>
      <w:proofErr w:type="spellStart"/>
      <w:r w:rsidRPr="00CC34C5">
        <w:t>nacional</w:t>
      </w:r>
      <w:proofErr w:type="spellEnd"/>
      <w:r w:rsidRPr="00CC34C5">
        <w:t xml:space="preserve"> de </w:t>
      </w:r>
      <w:proofErr w:type="spellStart"/>
      <w:r w:rsidRPr="00CC34C5">
        <w:t>prevención</w:t>
      </w:r>
      <w:proofErr w:type="spellEnd"/>
      <w:r w:rsidRPr="00CC34C5">
        <w:t xml:space="preserve"> de la </w:t>
      </w:r>
      <w:proofErr w:type="spellStart"/>
      <w:r w:rsidRPr="00CC34C5">
        <w:t>tortura</w:t>
      </w:r>
      <w:bookmarkEnd w:id="32"/>
      <w:proofErr w:type="spellEnd"/>
    </w:p>
    <w:p w:rsidR="00E35E57" w:rsidRPr="00CC34C5" w:rsidRDefault="00E35E57" w:rsidP="00B54350">
      <w:pPr>
        <w:pStyle w:val="SingleTxtG"/>
      </w:pPr>
      <w:r w:rsidRPr="00CC34C5">
        <w:t xml:space="preserve">Sr. Roger </w:t>
      </w:r>
      <w:proofErr w:type="spellStart"/>
      <w:r w:rsidRPr="00CC34C5">
        <w:t>Víquez</w:t>
      </w:r>
      <w:proofErr w:type="spellEnd"/>
      <w:r w:rsidRPr="00CC34C5">
        <w:t xml:space="preserve">, </w:t>
      </w:r>
      <w:proofErr w:type="spellStart"/>
      <w:r w:rsidRPr="00CC34C5">
        <w:t>coordinador</w:t>
      </w:r>
      <w:proofErr w:type="spellEnd"/>
      <w:r w:rsidRPr="00CC34C5">
        <w:t xml:space="preserve"> </w:t>
      </w:r>
      <w:proofErr w:type="spellStart"/>
      <w:r w:rsidRPr="00CC34C5">
        <w:t>nacional</w:t>
      </w:r>
      <w:proofErr w:type="spellEnd"/>
    </w:p>
    <w:p w:rsidR="00E35E57" w:rsidRPr="00CC34C5" w:rsidRDefault="00E35E57" w:rsidP="00B54350">
      <w:pPr>
        <w:pStyle w:val="SingleTxtG"/>
      </w:pPr>
      <w:r w:rsidRPr="00CC34C5">
        <w:t xml:space="preserve">Sr. Esteban Vargas Ramírez </w:t>
      </w:r>
    </w:p>
    <w:p w:rsidR="00E35E57" w:rsidRPr="00CC34C5" w:rsidRDefault="00E35E57" w:rsidP="00B54350">
      <w:pPr>
        <w:pStyle w:val="SingleTxtG"/>
      </w:pPr>
      <w:proofErr w:type="spellStart"/>
      <w:r w:rsidRPr="00CC34C5">
        <w:t>Sra.</w:t>
      </w:r>
      <w:proofErr w:type="spellEnd"/>
      <w:r w:rsidRPr="00CC34C5">
        <w:t xml:space="preserve"> Lorna Elizondo Cubero</w:t>
      </w:r>
    </w:p>
    <w:p w:rsidR="00E35E57" w:rsidRPr="00CC34C5" w:rsidRDefault="00E35E57" w:rsidP="00B54350">
      <w:pPr>
        <w:pStyle w:val="SingleTxtG"/>
      </w:pPr>
      <w:proofErr w:type="spellStart"/>
      <w:r w:rsidRPr="00CC34C5">
        <w:t>Sra.</w:t>
      </w:r>
      <w:proofErr w:type="spellEnd"/>
      <w:r w:rsidRPr="00CC34C5">
        <w:t xml:space="preserve"> </w:t>
      </w:r>
      <w:proofErr w:type="spellStart"/>
      <w:r w:rsidRPr="00CC34C5">
        <w:t>Chorlys</w:t>
      </w:r>
      <w:proofErr w:type="spellEnd"/>
      <w:r w:rsidRPr="00CC34C5">
        <w:t xml:space="preserve"> </w:t>
      </w:r>
      <w:proofErr w:type="spellStart"/>
      <w:r w:rsidRPr="00CC34C5">
        <w:t>Chacón</w:t>
      </w:r>
      <w:proofErr w:type="spellEnd"/>
      <w:r w:rsidRPr="00CC34C5">
        <w:t xml:space="preserve"> Espinoza</w:t>
      </w:r>
    </w:p>
    <w:p w:rsidR="00E35E57" w:rsidRPr="00CC34C5" w:rsidRDefault="00E35E57" w:rsidP="00E35E57">
      <w:pPr>
        <w:pStyle w:val="H23G"/>
        <w:rPr>
          <w:i/>
        </w:rPr>
      </w:pPr>
      <w:r w:rsidRPr="00CC34C5">
        <w:tab/>
      </w:r>
      <w:r w:rsidRPr="00CC34C5">
        <w:tab/>
      </w:r>
      <w:bookmarkStart w:id="33" w:name="_Toc29451325"/>
      <w:proofErr w:type="spellStart"/>
      <w:r w:rsidRPr="00CC34C5">
        <w:t>Asamblea</w:t>
      </w:r>
      <w:proofErr w:type="spellEnd"/>
      <w:r w:rsidRPr="00CC34C5">
        <w:t xml:space="preserve"> </w:t>
      </w:r>
      <w:proofErr w:type="spellStart"/>
      <w:r w:rsidRPr="00CC34C5">
        <w:t>Legislativa</w:t>
      </w:r>
      <w:bookmarkEnd w:id="33"/>
      <w:proofErr w:type="spellEnd"/>
    </w:p>
    <w:p w:rsidR="00E35E57" w:rsidRPr="00CC34C5" w:rsidRDefault="00E35E57" w:rsidP="00B54350">
      <w:pPr>
        <w:pStyle w:val="SingleTxtG"/>
      </w:pPr>
      <w:proofErr w:type="spellStart"/>
      <w:r w:rsidRPr="00CC34C5">
        <w:t>Sra.</w:t>
      </w:r>
      <w:proofErr w:type="spellEnd"/>
      <w:r w:rsidRPr="00CC34C5">
        <w:t xml:space="preserve"> Carolina Hidalgo Herrera, </w:t>
      </w:r>
      <w:proofErr w:type="spellStart"/>
      <w:r w:rsidRPr="00CC34C5">
        <w:t>Presidenta</w:t>
      </w:r>
      <w:proofErr w:type="spellEnd"/>
    </w:p>
    <w:p w:rsidR="00E35E57" w:rsidRPr="00CC34C5" w:rsidRDefault="00E35E57" w:rsidP="00B54350">
      <w:pPr>
        <w:pStyle w:val="SingleTxtG"/>
      </w:pPr>
      <w:r w:rsidRPr="00CC34C5">
        <w:t xml:space="preserve">Sr. Enrique Sánchez Carballo, </w:t>
      </w:r>
      <w:proofErr w:type="spellStart"/>
      <w:r w:rsidRPr="00CC34C5">
        <w:t>diputado</w:t>
      </w:r>
      <w:proofErr w:type="spellEnd"/>
    </w:p>
    <w:p w:rsidR="00E35E57" w:rsidRPr="00CC34C5" w:rsidRDefault="00E35E57" w:rsidP="00B54350">
      <w:pPr>
        <w:pStyle w:val="SingleTxtG"/>
      </w:pPr>
      <w:proofErr w:type="spellStart"/>
      <w:r w:rsidRPr="00CC34C5">
        <w:t>Sra.</w:t>
      </w:r>
      <w:proofErr w:type="spellEnd"/>
      <w:r w:rsidRPr="00CC34C5">
        <w:t xml:space="preserve"> </w:t>
      </w:r>
      <w:proofErr w:type="spellStart"/>
      <w:r w:rsidRPr="00CC34C5">
        <w:t>Karine</w:t>
      </w:r>
      <w:proofErr w:type="spellEnd"/>
      <w:r w:rsidRPr="00CC34C5">
        <w:t xml:space="preserve"> Niño, </w:t>
      </w:r>
      <w:proofErr w:type="spellStart"/>
      <w:r w:rsidRPr="00CC34C5">
        <w:t>diputada</w:t>
      </w:r>
      <w:proofErr w:type="spellEnd"/>
    </w:p>
    <w:p w:rsidR="00E35E57" w:rsidRPr="00CC34C5" w:rsidRDefault="00E35E57" w:rsidP="00E35E57">
      <w:pPr>
        <w:pStyle w:val="H1G"/>
      </w:pPr>
      <w:r w:rsidRPr="00CC34C5">
        <w:tab/>
      </w:r>
      <w:bookmarkStart w:id="34" w:name="_Toc29451326"/>
      <w:bookmarkStart w:id="35" w:name="_Toc29451356"/>
      <w:r w:rsidRPr="00CC34C5">
        <w:t>B.</w:t>
      </w:r>
      <w:r w:rsidRPr="00CC34C5">
        <w:tab/>
      </w:r>
      <w:proofErr w:type="spellStart"/>
      <w:r w:rsidRPr="00CC34C5">
        <w:t>Departamentos</w:t>
      </w:r>
      <w:proofErr w:type="spellEnd"/>
      <w:r w:rsidRPr="00CC34C5">
        <w:t xml:space="preserve"> de </w:t>
      </w:r>
      <w:proofErr w:type="spellStart"/>
      <w:r w:rsidRPr="00CC34C5">
        <w:t>ciencias</w:t>
      </w:r>
      <w:proofErr w:type="spellEnd"/>
      <w:r w:rsidRPr="00CC34C5">
        <w:t xml:space="preserve"> </w:t>
      </w:r>
      <w:proofErr w:type="spellStart"/>
      <w:r w:rsidRPr="00CC34C5">
        <w:t>forenses</w:t>
      </w:r>
      <w:proofErr w:type="spellEnd"/>
      <w:r w:rsidRPr="00CC34C5">
        <w:t xml:space="preserve"> y </w:t>
      </w:r>
      <w:proofErr w:type="spellStart"/>
      <w:r w:rsidRPr="00CC34C5">
        <w:t>medicina</w:t>
      </w:r>
      <w:proofErr w:type="spellEnd"/>
      <w:r w:rsidRPr="00CC34C5">
        <w:t xml:space="preserve"> legal</w:t>
      </w:r>
      <w:bookmarkEnd w:id="34"/>
      <w:bookmarkEnd w:id="35"/>
    </w:p>
    <w:p w:rsidR="00E35E57" w:rsidRPr="00CC34C5" w:rsidRDefault="00E35E57" w:rsidP="00B54350">
      <w:pPr>
        <w:pStyle w:val="SingleTxtG"/>
      </w:pPr>
      <w:r w:rsidRPr="00CC34C5">
        <w:t xml:space="preserve">Sr. </w:t>
      </w:r>
      <w:proofErr w:type="spellStart"/>
      <w:r w:rsidRPr="00CC34C5">
        <w:t>Maikol</w:t>
      </w:r>
      <w:proofErr w:type="spellEnd"/>
      <w:r w:rsidRPr="00CC34C5">
        <w:t xml:space="preserve"> </w:t>
      </w:r>
      <w:proofErr w:type="spellStart"/>
      <w:r w:rsidRPr="00CC34C5">
        <w:t>Araoz</w:t>
      </w:r>
      <w:proofErr w:type="spellEnd"/>
      <w:r w:rsidRPr="00CC34C5">
        <w:t xml:space="preserve"> Vega, </w:t>
      </w:r>
      <w:proofErr w:type="spellStart"/>
      <w:r w:rsidRPr="00CC34C5">
        <w:t>médico</w:t>
      </w:r>
      <w:proofErr w:type="spellEnd"/>
    </w:p>
    <w:p w:rsidR="00E35E57" w:rsidRPr="00CC34C5" w:rsidRDefault="00E35E57" w:rsidP="00B54350">
      <w:pPr>
        <w:pStyle w:val="SingleTxtG"/>
      </w:pPr>
      <w:proofErr w:type="spellStart"/>
      <w:r w:rsidRPr="00CC34C5">
        <w:t>Sra.</w:t>
      </w:r>
      <w:proofErr w:type="spellEnd"/>
      <w:r w:rsidRPr="00CC34C5">
        <w:t xml:space="preserve"> Sandra Solórzano </w:t>
      </w:r>
      <w:proofErr w:type="spellStart"/>
      <w:r w:rsidRPr="00CC34C5">
        <w:t>Herra</w:t>
      </w:r>
      <w:proofErr w:type="spellEnd"/>
      <w:r w:rsidRPr="00CC34C5">
        <w:t xml:space="preserve">, </w:t>
      </w:r>
      <w:proofErr w:type="spellStart"/>
      <w:r w:rsidRPr="00CC34C5">
        <w:t>médico</w:t>
      </w:r>
      <w:proofErr w:type="spellEnd"/>
      <w:r w:rsidRPr="00CC34C5">
        <w:t xml:space="preserve"> </w:t>
      </w:r>
      <w:proofErr w:type="spellStart"/>
      <w:r w:rsidRPr="00CC34C5">
        <w:t>forense</w:t>
      </w:r>
      <w:proofErr w:type="spellEnd"/>
    </w:p>
    <w:p w:rsidR="00E35E57" w:rsidRPr="00CC34C5" w:rsidRDefault="00E35E57" w:rsidP="00B54350">
      <w:pPr>
        <w:pStyle w:val="SingleTxtG"/>
      </w:pPr>
      <w:r w:rsidRPr="00CC34C5">
        <w:t xml:space="preserve">Sr. Franz Vega, jefe del </w:t>
      </w:r>
      <w:proofErr w:type="spellStart"/>
      <w:r w:rsidRPr="00CC34C5">
        <w:t>Departamento</w:t>
      </w:r>
      <w:proofErr w:type="spellEnd"/>
      <w:r w:rsidRPr="00CC34C5">
        <w:t xml:space="preserve"> </w:t>
      </w:r>
      <w:proofErr w:type="spellStart"/>
      <w:r w:rsidRPr="00CC34C5">
        <w:t>Médico</w:t>
      </w:r>
      <w:proofErr w:type="spellEnd"/>
      <w:r w:rsidRPr="00CC34C5">
        <w:t xml:space="preserve"> Legal</w:t>
      </w:r>
    </w:p>
    <w:p w:rsidR="00E35E57" w:rsidRPr="00CC34C5" w:rsidRDefault="00E35E57" w:rsidP="00B54350">
      <w:pPr>
        <w:pStyle w:val="SingleTxtG"/>
      </w:pPr>
      <w:proofErr w:type="spellStart"/>
      <w:r w:rsidRPr="00CC34C5">
        <w:t>Sra.</w:t>
      </w:r>
      <w:proofErr w:type="spellEnd"/>
      <w:r w:rsidRPr="00CC34C5">
        <w:t xml:space="preserve"> Gina </w:t>
      </w:r>
      <w:proofErr w:type="spellStart"/>
      <w:r w:rsidRPr="00CC34C5">
        <w:t>Bagnarello</w:t>
      </w:r>
      <w:proofErr w:type="spellEnd"/>
      <w:r w:rsidRPr="00CC34C5">
        <w:t xml:space="preserve">, </w:t>
      </w:r>
      <w:proofErr w:type="spellStart"/>
      <w:r w:rsidRPr="00CC34C5">
        <w:t>perito</w:t>
      </w:r>
      <w:proofErr w:type="spellEnd"/>
      <w:r w:rsidRPr="00CC34C5">
        <w:t xml:space="preserve"> </w:t>
      </w:r>
      <w:proofErr w:type="spellStart"/>
      <w:r w:rsidRPr="00CC34C5">
        <w:t>encargado</w:t>
      </w:r>
      <w:proofErr w:type="spellEnd"/>
      <w:r w:rsidRPr="00CC34C5">
        <w:t xml:space="preserve"> de </w:t>
      </w:r>
      <w:proofErr w:type="spellStart"/>
      <w:r w:rsidRPr="00CC34C5">
        <w:t>proyectos</w:t>
      </w:r>
      <w:proofErr w:type="spellEnd"/>
    </w:p>
    <w:p w:rsidR="00E35E57" w:rsidRPr="00CC34C5" w:rsidRDefault="00E35E57" w:rsidP="00B54350">
      <w:pPr>
        <w:pStyle w:val="SingleTxtG"/>
      </w:pPr>
      <w:proofErr w:type="spellStart"/>
      <w:r w:rsidRPr="00CC34C5">
        <w:t>Sra.</w:t>
      </w:r>
      <w:proofErr w:type="spellEnd"/>
      <w:r w:rsidRPr="00CC34C5">
        <w:t xml:space="preserve"> </w:t>
      </w:r>
      <w:proofErr w:type="spellStart"/>
      <w:r w:rsidRPr="00CC34C5">
        <w:t>Anayana</w:t>
      </w:r>
      <w:proofErr w:type="spellEnd"/>
      <w:r w:rsidRPr="00CC34C5">
        <w:t xml:space="preserve"> Rodríguez Quesada, </w:t>
      </w:r>
      <w:proofErr w:type="spellStart"/>
      <w:r w:rsidRPr="00CC34C5">
        <w:t>perito</w:t>
      </w:r>
      <w:proofErr w:type="spellEnd"/>
      <w:r w:rsidRPr="00CC34C5">
        <w:t xml:space="preserve"> de la </w:t>
      </w:r>
      <w:proofErr w:type="spellStart"/>
      <w:r w:rsidRPr="00CC34C5">
        <w:t>unidad</w:t>
      </w:r>
      <w:proofErr w:type="spellEnd"/>
      <w:r w:rsidRPr="00CC34C5">
        <w:t xml:space="preserve"> </w:t>
      </w:r>
      <w:proofErr w:type="spellStart"/>
      <w:r w:rsidRPr="00CC34C5">
        <w:t>genética</w:t>
      </w:r>
      <w:proofErr w:type="spellEnd"/>
    </w:p>
    <w:p w:rsidR="00E35E57" w:rsidRPr="00CC34C5" w:rsidRDefault="00E35E57" w:rsidP="00B54350">
      <w:pPr>
        <w:pStyle w:val="SingleTxtG"/>
      </w:pPr>
      <w:r w:rsidRPr="00CC34C5">
        <w:t xml:space="preserve">Sr. Alejandro Hernández, </w:t>
      </w:r>
      <w:proofErr w:type="spellStart"/>
      <w:r w:rsidRPr="00CC34C5">
        <w:t>perito</w:t>
      </w:r>
      <w:proofErr w:type="spellEnd"/>
      <w:r w:rsidRPr="00CC34C5">
        <w:t xml:space="preserve"> </w:t>
      </w:r>
      <w:proofErr w:type="spellStart"/>
      <w:r w:rsidRPr="00CC34C5">
        <w:t>genético</w:t>
      </w:r>
      <w:proofErr w:type="spellEnd"/>
    </w:p>
    <w:p w:rsidR="00E35E57" w:rsidRPr="00CC34C5" w:rsidRDefault="00E35E57" w:rsidP="00B54350">
      <w:pPr>
        <w:pStyle w:val="SingleTxtG"/>
      </w:pPr>
      <w:proofErr w:type="spellStart"/>
      <w:r w:rsidRPr="00CC34C5">
        <w:t>Sra.</w:t>
      </w:r>
      <w:proofErr w:type="spellEnd"/>
      <w:r w:rsidRPr="00CC34C5">
        <w:t xml:space="preserve"> Emily </w:t>
      </w:r>
      <w:proofErr w:type="spellStart"/>
      <w:r w:rsidRPr="00CC34C5">
        <w:t>Solano</w:t>
      </w:r>
      <w:proofErr w:type="spellEnd"/>
      <w:r w:rsidRPr="00CC34C5">
        <w:t xml:space="preserve"> </w:t>
      </w:r>
      <w:proofErr w:type="spellStart"/>
      <w:r w:rsidRPr="00CC34C5">
        <w:t>Monzález</w:t>
      </w:r>
      <w:proofErr w:type="spellEnd"/>
      <w:r w:rsidRPr="00CC34C5">
        <w:t xml:space="preserve">, </w:t>
      </w:r>
      <w:proofErr w:type="spellStart"/>
      <w:r w:rsidRPr="00CC34C5">
        <w:t>médico</w:t>
      </w:r>
      <w:proofErr w:type="spellEnd"/>
      <w:r w:rsidRPr="00CC34C5">
        <w:t xml:space="preserve"> </w:t>
      </w:r>
      <w:proofErr w:type="spellStart"/>
      <w:r w:rsidRPr="00CC34C5">
        <w:t>forense</w:t>
      </w:r>
      <w:proofErr w:type="spellEnd"/>
      <w:r w:rsidRPr="00CC34C5">
        <w:t xml:space="preserve">, </w:t>
      </w:r>
      <w:proofErr w:type="spellStart"/>
      <w:r w:rsidRPr="00CC34C5">
        <w:t>patología</w:t>
      </w:r>
      <w:proofErr w:type="spellEnd"/>
    </w:p>
    <w:p w:rsidR="00E35E57" w:rsidRPr="00CC34C5" w:rsidRDefault="00E35E57" w:rsidP="00B54350">
      <w:pPr>
        <w:pStyle w:val="SingleTxtG"/>
      </w:pPr>
      <w:r w:rsidRPr="00CC34C5">
        <w:t xml:space="preserve">Sr. Daniel Gómez Murillo, </w:t>
      </w:r>
      <w:proofErr w:type="spellStart"/>
      <w:r w:rsidRPr="00CC34C5">
        <w:t>jefatura</w:t>
      </w:r>
      <w:proofErr w:type="spellEnd"/>
      <w:r w:rsidRPr="00CC34C5">
        <w:t xml:space="preserve"> </w:t>
      </w:r>
      <w:proofErr w:type="spellStart"/>
      <w:r w:rsidRPr="00CC34C5">
        <w:t>interina</w:t>
      </w:r>
      <w:proofErr w:type="spellEnd"/>
      <w:r w:rsidRPr="00CC34C5">
        <w:t xml:space="preserve"> del </w:t>
      </w:r>
      <w:proofErr w:type="spellStart"/>
      <w:r w:rsidRPr="00CC34C5">
        <w:t>departamento</w:t>
      </w:r>
      <w:proofErr w:type="spellEnd"/>
      <w:r w:rsidRPr="00CC34C5">
        <w:t xml:space="preserve"> </w:t>
      </w:r>
    </w:p>
    <w:p w:rsidR="00E35E57" w:rsidRPr="00CC34C5" w:rsidRDefault="00E35E57" w:rsidP="00B54350">
      <w:pPr>
        <w:pStyle w:val="SingleTxtG"/>
      </w:pPr>
      <w:r w:rsidRPr="00CC34C5">
        <w:t xml:space="preserve">Sr. Carlo Escalante, colegio de </w:t>
      </w:r>
      <w:proofErr w:type="spellStart"/>
      <w:r w:rsidRPr="00CC34C5">
        <w:t>médicos</w:t>
      </w:r>
      <w:proofErr w:type="spellEnd"/>
    </w:p>
    <w:p w:rsidR="00E35E57" w:rsidRPr="00CC34C5" w:rsidRDefault="00E35E57" w:rsidP="00B54350">
      <w:pPr>
        <w:pStyle w:val="SingleTxtG"/>
      </w:pPr>
      <w:r w:rsidRPr="00CC34C5">
        <w:t xml:space="preserve">Sr. Oscar Valverde </w:t>
      </w:r>
      <w:proofErr w:type="spellStart"/>
      <w:r w:rsidRPr="00CC34C5">
        <w:t>Comos</w:t>
      </w:r>
      <w:proofErr w:type="spellEnd"/>
      <w:r w:rsidRPr="00CC34C5">
        <w:t xml:space="preserve">, colegio de </w:t>
      </w:r>
      <w:proofErr w:type="spellStart"/>
      <w:r w:rsidRPr="00CC34C5">
        <w:t>profesionales</w:t>
      </w:r>
      <w:proofErr w:type="spellEnd"/>
      <w:r w:rsidRPr="00CC34C5">
        <w:t xml:space="preserve"> </w:t>
      </w:r>
      <w:proofErr w:type="spellStart"/>
      <w:r w:rsidRPr="00CC34C5">
        <w:t>en</w:t>
      </w:r>
      <w:proofErr w:type="spellEnd"/>
      <w:r w:rsidRPr="00CC34C5">
        <w:t xml:space="preserve"> </w:t>
      </w:r>
      <w:proofErr w:type="spellStart"/>
      <w:r w:rsidRPr="00CC34C5">
        <w:t>psicología</w:t>
      </w:r>
      <w:proofErr w:type="spellEnd"/>
      <w:r w:rsidRPr="00CC34C5">
        <w:t xml:space="preserve"> </w:t>
      </w:r>
    </w:p>
    <w:p w:rsidR="00E35E57" w:rsidRPr="00CC34C5" w:rsidRDefault="00E35E57" w:rsidP="00B54350">
      <w:pPr>
        <w:pStyle w:val="SingleTxtG"/>
      </w:pPr>
      <w:proofErr w:type="spellStart"/>
      <w:r w:rsidRPr="00CC34C5">
        <w:lastRenderedPageBreak/>
        <w:t>Sra.</w:t>
      </w:r>
      <w:proofErr w:type="spellEnd"/>
      <w:r w:rsidRPr="00CC34C5">
        <w:t xml:space="preserve"> Ana Cristina Monge, colegio de </w:t>
      </w:r>
      <w:proofErr w:type="spellStart"/>
      <w:r w:rsidRPr="00CC34C5">
        <w:t>profesionales</w:t>
      </w:r>
      <w:proofErr w:type="spellEnd"/>
      <w:r w:rsidRPr="00CC34C5">
        <w:t xml:space="preserve"> </w:t>
      </w:r>
      <w:proofErr w:type="spellStart"/>
      <w:r w:rsidRPr="00CC34C5">
        <w:t>en</w:t>
      </w:r>
      <w:proofErr w:type="spellEnd"/>
      <w:r w:rsidRPr="00CC34C5">
        <w:t xml:space="preserve"> </w:t>
      </w:r>
      <w:proofErr w:type="spellStart"/>
      <w:r w:rsidRPr="00CC34C5">
        <w:t>psicología</w:t>
      </w:r>
      <w:proofErr w:type="spellEnd"/>
    </w:p>
    <w:p w:rsidR="00E35E57" w:rsidRPr="00CC34C5" w:rsidRDefault="00E35E57" w:rsidP="00E35E57">
      <w:pPr>
        <w:pStyle w:val="H1G"/>
      </w:pPr>
      <w:r w:rsidRPr="00CC34C5">
        <w:tab/>
      </w:r>
      <w:bookmarkStart w:id="36" w:name="_Toc29451327"/>
      <w:bookmarkStart w:id="37" w:name="_Toc29451357"/>
      <w:r w:rsidRPr="00CC34C5">
        <w:t>C.</w:t>
      </w:r>
      <w:r w:rsidRPr="00CC34C5">
        <w:tab/>
      </w:r>
      <w:proofErr w:type="spellStart"/>
      <w:r w:rsidRPr="00CC34C5">
        <w:t>Organismos</w:t>
      </w:r>
      <w:proofErr w:type="spellEnd"/>
      <w:r w:rsidRPr="00CC34C5">
        <w:t xml:space="preserve"> de las </w:t>
      </w:r>
      <w:proofErr w:type="spellStart"/>
      <w:r w:rsidRPr="00CC34C5">
        <w:t>Naciones</w:t>
      </w:r>
      <w:proofErr w:type="spellEnd"/>
      <w:r w:rsidRPr="00CC34C5">
        <w:t xml:space="preserve"> </w:t>
      </w:r>
      <w:proofErr w:type="spellStart"/>
      <w:r w:rsidRPr="00CC34C5">
        <w:t>Unidas</w:t>
      </w:r>
      <w:bookmarkEnd w:id="36"/>
      <w:bookmarkEnd w:id="37"/>
      <w:proofErr w:type="spellEnd"/>
    </w:p>
    <w:p w:rsidR="00E35E57" w:rsidRPr="00CC34C5" w:rsidRDefault="00E35E57" w:rsidP="00B54350">
      <w:pPr>
        <w:pStyle w:val="SingleTxtG"/>
      </w:pPr>
      <w:proofErr w:type="spellStart"/>
      <w:r w:rsidRPr="00CC34C5">
        <w:t>Coordinadora</w:t>
      </w:r>
      <w:proofErr w:type="spellEnd"/>
      <w:r w:rsidRPr="00CC34C5">
        <w:t xml:space="preserve"> </w:t>
      </w:r>
      <w:proofErr w:type="spellStart"/>
      <w:r w:rsidRPr="00CC34C5">
        <w:t>Residente</w:t>
      </w:r>
      <w:proofErr w:type="spellEnd"/>
      <w:r w:rsidRPr="00CC34C5">
        <w:t xml:space="preserve"> de las </w:t>
      </w:r>
      <w:proofErr w:type="spellStart"/>
      <w:r w:rsidRPr="00CC34C5">
        <w:t>Naciones</w:t>
      </w:r>
      <w:proofErr w:type="spellEnd"/>
      <w:r w:rsidRPr="00CC34C5">
        <w:t xml:space="preserve"> </w:t>
      </w:r>
      <w:proofErr w:type="spellStart"/>
      <w:r w:rsidRPr="00CC34C5">
        <w:t>Unidas</w:t>
      </w:r>
      <w:proofErr w:type="spellEnd"/>
    </w:p>
    <w:p w:rsidR="00E35E57" w:rsidRPr="00CC34C5" w:rsidRDefault="00E35E57" w:rsidP="00B54350">
      <w:pPr>
        <w:pStyle w:val="SingleTxtG"/>
      </w:pPr>
      <w:proofErr w:type="spellStart"/>
      <w:r w:rsidRPr="00CC34C5">
        <w:t>Programa</w:t>
      </w:r>
      <w:proofErr w:type="spellEnd"/>
      <w:r w:rsidRPr="00CC34C5">
        <w:t xml:space="preserve"> de las </w:t>
      </w:r>
      <w:proofErr w:type="spellStart"/>
      <w:r w:rsidRPr="00CC34C5">
        <w:t>Naciones</w:t>
      </w:r>
      <w:proofErr w:type="spellEnd"/>
      <w:r w:rsidRPr="00CC34C5">
        <w:t xml:space="preserve"> </w:t>
      </w:r>
      <w:proofErr w:type="spellStart"/>
      <w:r w:rsidRPr="00CC34C5">
        <w:t>Unidas</w:t>
      </w:r>
      <w:proofErr w:type="spellEnd"/>
      <w:r w:rsidRPr="00CC34C5">
        <w:t xml:space="preserve"> para el Desarrollo (PNUD)</w:t>
      </w:r>
    </w:p>
    <w:p w:rsidR="00E35E57" w:rsidRPr="00CC34C5" w:rsidRDefault="00E35E57" w:rsidP="00B54350">
      <w:pPr>
        <w:pStyle w:val="SingleTxtG"/>
      </w:pPr>
      <w:r w:rsidRPr="00CC34C5">
        <w:t xml:space="preserve">Instituto </w:t>
      </w:r>
      <w:proofErr w:type="spellStart"/>
      <w:r w:rsidRPr="00CC34C5">
        <w:t>Latinoamericano</w:t>
      </w:r>
      <w:proofErr w:type="spellEnd"/>
      <w:r w:rsidRPr="00CC34C5">
        <w:t xml:space="preserve"> de las </w:t>
      </w:r>
      <w:proofErr w:type="spellStart"/>
      <w:r w:rsidRPr="00CC34C5">
        <w:t>Naciones</w:t>
      </w:r>
      <w:proofErr w:type="spellEnd"/>
      <w:r w:rsidRPr="00CC34C5">
        <w:t xml:space="preserve"> </w:t>
      </w:r>
      <w:proofErr w:type="spellStart"/>
      <w:r w:rsidRPr="00CC34C5">
        <w:t>Unidas</w:t>
      </w:r>
      <w:proofErr w:type="spellEnd"/>
      <w:r w:rsidRPr="00CC34C5">
        <w:t xml:space="preserve"> </w:t>
      </w:r>
      <w:r w:rsidRPr="00B54350">
        <w:t xml:space="preserve">para la </w:t>
      </w:r>
      <w:proofErr w:type="spellStart"/>
      <w:r w:rsidRPr="00B54350">
        <w:t>Prevención</w:t>
      </w:r>
      <w:proofErr w:type="spellEnd"/>
      <w:r w:rsidRPr="00B54350">
        <w:t xml:space="preserve"> del </w:t>
      </w:r>
      <w:proofErr w:type="spellStart"/>
      <w:r w:rsidRPr="00B54350">
        <w:t>Delito</w:t>
      </w:r>
      <w:proofErr w:type="spellEnd"/>
      <w:r w:rsidRPr="00B54350">
        <w:t xml:space="preserve"> y el </w:t>
      </w:r>
      <w:proofErr w:type="spellStart"/>
      <w:r w:rsidRPr="00B54350">
        <w:t>Tratamiento</w:t>
      </w:r>
      <w:proofErr w:type="spellEnd"/>
      <w:r w:rsidRPr="00B54350">
        <w:t xml:space="preserve"> del </w:t>
      </w:r>
      <w:proofErr w:type="spellStart"/>
      <w:r w:rsidRPr="00B54350">
        <w:t>Delincuente</w:t>
      </w:r>
      <w:proofErr w:type="spellEnd"/>
      <w:r w:rsidRPr="00CC34C5">
        <w:t xml:space="preserve"> (ILANUD)</w:t>
      </w:r>
    </w:p>
    <w:p w:rsidR="00E35E57" w:rsidRPr="00CC34C5" w:rsidRDefault="00E35E57" w:rsidP="00E35E57">
      <w:pPr>
        <w:pStyle w:val="H1G"/>
      </w:pPr>
      <w:r w:rsidRPr="00CC34C5">
        <w:tab/>
      </w:r>
      <w:bookmarkStart w:id="38" w:name="_Toc29451328"/>
      <w:bookmarkStart w:id="39" w:name="_Toc29451358"/>
      <w:r w:rsidRPr="00CC34C5">
        <w:t>D.</w:t>
      </w:r>
      <w:r w:rsidRPr="00CC34C5">
        <w:tab/>
        <w:t>Sociedad civil</w:t>
      </w:r>
      <w:bookmarkEnd w:id="38"/>
      <w:bookmarkEnd w:id="39"/>
    </w:p>
    <w:p w:rsidR="00E35E57" w:rsidRPr="00CC34C5" w:rsidRDefault="00E35E57" w:rsidP="00B54350">
      <w:pPr>
        <w:pStyle w:val="SingleTxtG"/>
      </w:pPr>
      <w:proofErr w:type="spellStart"/>
      <w:r w:rsidRPr="00CC34C5">
        <w:t>Asociación</w:t>
      </w:r>
      <w:proofErr w:type="spellEnd"/>
      <w:r w:rsidRPr="00CC34C5">
        <w:t xml:space="preserve"> </w:t>
      </w:r>
      <w:proofErr w:type="spellStart"/>
      <w:r w:rsidRPr="00CC34C5">
        <w:t>Ciudadana</w:t>
      </w:r>
      <w:proofErr w:type="spellEnd"/>
      <w:r w:rsidRPr="00CC34C5">
        <w:t xml:space="preserve"> ACCEDER</w:t>
      </w:r>
    </w:p>
    <w:p w:rsidR="00E35E57" w:rsidRPr="00CC34C5" w:rsidRDefault="00E35E57" w:rsidP="00B54350">
      <w:pPr>
        <w:pStyle w:val="SingleTxtG"/>
      </w:pPr>
      <w:r w:rsidRPr="00CC34C5">
        <w:t>DNI Costa Rica</w:t>
      </w:r>
    </w:p>
    <w:p w:rsidR="00E35E57" w:rsidRPr="00CC34C5" w:rsidRDefault="00E35E57" w:rsidP="00B54350">
      <w:pPr>
        <w:pStyle w:val="SingleTxtG"/>
      </w:pPr>
      <w:r w:rsidRPr="00CC34C5">
        <w:t xml:space="preserve">Centro por la Justicia y el </w:t>
      </w:r>
      <w:proofErr w:type="spellStart"/>
      <w:r w:rsidRPr="00CC34C5">
        <w:t>Derecho</w:t>
      </w:r>
      <w:proofErr w:type="spellEnd"/>
      <w:r w:rsidRPr="00CC34C5">
        <w:t xml:space="preserve"> </w:t>
      </w:r>
      <w:proofErr w:type="spellStart"/>
      <w:r w:rsidRPr="00CC34C5">
        <w:t>Internacional</w:t>
      </w:r>
      <w:proofErr w:type="spellEnd"/>
      <w:r w:rsidRPr="00CC34C5">
        <w:t xml:space="preserve"> (CEJIL)</w:t>
      </w:r>
    </w:p>
    <w:p w:rsidR="00E35E57" w:rsidRPr="00CC34C5" w:rsidRDefault="00E35E57" w:rsidP="00864684">
      <w:pPr>
        <w:pStyle w:val="HChG"/>
      </w:pPr>
      <w:r w:rsidRPr="00CC34C5">
        <w:br w:type="page"/>
      </w:r>
      <w:r w:rsidRPr="00CC34C5">
        <w:lastRenderedPageBreak/>
        <w:tab/>
      </w:r>
      <w:bookmarkStart w:id="40" w:name="_Toc29451329"/>
      <w:bookmarkStart w:id="41" w:name="_Toc29451359"/>
      <w:r w:rsidRPr="00CC34C5">
        <w:t>Annex II</w:t>
      </w:r>
      <w:bookmarkEnd w:id="40"/>
      <w:bookmarkEnd w:id="41"/>
    </w:p>
    <w:p w:rsidR="00E35E57" w:rsidRPr="00CC34C5" w:rsidRDefault="00E35E57" w:rsidP="002C0204">
      <w:pPr>
        <w:pStyle w:val="SingleTxtG"/>
        <w:jc w:val="right"/>
        <w:rPr>
          <w:i/>
          <w:iCs/>
        </w:rPr>
      </w:pPr>
      <w:r w:rsidRPr="00CC34C5">
        <w:rPr>
          <w:i/>
          <w:iCs/>
        </w:rPr>
        <w:t>[</w:t>
      </w:r>
      <w:r w:rsidRPr="002C0204">
        <w:rPr>
          <w:i/>
          <w:iCs/>
        </w:rPr>
        <w:t>Spanish only</w:t>
      </w:r>
      <w:r w:rsidRPr="00CC34C5">
        <w:rPr>
          <w:i/>
          <w:iCs/>
        </w:rPr>
        <w:t>]</w:t>
      </w:r>
    </w:p>
    <w:p w:rsidR="00E35E57" w:rsidRPr="00CC34C5" w:rsidRDefault="00E35E57" w:rsidP="00864684">
      <w:pPr>
        <w:pStyle w:val="HChG"/>
      </w:pPr>
      <w:r w:rsidRPr="00CC34C5">
        <w:tab/>
      </w:r>
      <w:r w:rsidRPr="00CC34C5">
        <w:tab/>
      </w:r>
      <w:bookmarkStart w:id="42" w:name="_Toc29451330"/>
      <w:bookmarkStart w:id="43" w:name="_Toc29451360"/>
      <w:proofErr w:type="spellStart"/>
      <w:r w:rsidRPr="00CC34C5">
        <w:t>Lugares</w:t>
      </w:r>
      <w:proofErr w:type="spellEnd"/>
      <w:r w:rsidRPr="00CC34C5">
        <w:t xml:space="preserve"> de </w:t>
      </w:r>
      <w:proofErr w:type="spellStart"/>
      <w:r w:rsidRPr="00CC34C5">
        <w:t>privación</w:t>
      </w:r>
      <w:proofErr w:type="spellEnd"/>
      <w:r w:rsidRPr="00CC34C5">
        <w:t xml:space="preserve"> de </w:t>
      </w:r>
      <w:proofErr w:type="spellStart"/>
      <w:r w:rsidRPr="00864684">
        <w:t>libertad</w:t>
      </w:r>
      <w:proofErr w:type="spellEnd"/>
      <w:r w:rsidRPr="00CC34C5">
        <w:t xml:space="preserve"> </w:t>
      </w:r>
      <w:proofErr w:type="spellStart"/>
      <w:r w:rsidRPr="00CC34C5">
        <w:t>visitados</w:t>
      </w:r>
      <w:bookmarkEnd w:id="42"/>
      <w:bookmarkEnd w:id="43"/>
      <w:proofErr w:type="spellEnd"/>
      <w:r w:rsidRPr="00CC34C5">
        <w:t xml:space="preserve"> </w:t>
      </w:r>
    </w:p>
    <w:p w:rsidR="00E35E57" w:rsidRPr="00CC34C5" w:rsidRDefault="00E35E57" w:rsidP="00864684">
      <w:pPr>
        <w:pStyle w:val="H1G"/>
      </w:pPr>
      <w:r w:rsidRPr="00CC34C5">
        <w:tab/>
      </w:r>
      <w:bookmarkStart w:id="44" w:name="_Toc29451331"/>
      <w:bookmarkStart w:id="45" w:name="_Toc29451361"/>
      <w:r w:rsidRPr="00CC34C5">
        <w:t>A.</w:t>
      </w:r>
      <w:r w:rsidRPr="00CC34C5">
        <w:tab/>
      </w:r>
      <w:proofErr w:type="spellStart"/>
      <w:r w:rsidRPr="00CC34C5">
        <w:t>Delegaciones</w:t>
      </w:r>
      <w:proofErr w:type="spellEnd"/>
      <w:r w:rsidRPr="00CC34C5">
        <w:t xml:space="preserve"> de la </w:t>
      </w:r>
      <w:proofErr w:type="spellStart"/>
      <w:r w:rsidRPr="00CC34C5">
        <w:t>Fuerza</w:t>
      </w:r>
      <w:proofErr w:type="spellEnd"/>
      <w:r w:rsidRPr="00CC34C5">
        <w:t xml:space="preserve"> </w:t>
      </w:r>
      <w:proofErr w:type="spellStart"/>
      <w:r w:rsidRPr="00864684">
        <w:t>Pública</w:t>
      </w:r>
      <w:bookmarkEnd w:id="44"/>
      <w:bookmarkEnd w:id="45"/>
      <w:proofErr w:type="spellEnd"/>
    </w:p>
    <w:p w:rsidR="00E35E57" w:rsidRPr="00CC34C5" w:rsidRDefault="00E35E57" w:rsidP="00007CC2">
      <w:pPr>
        <w:pStyle w:val="SingleTxtG"/>
      </w:pPr>
      <w:proofErr w:type="spellStart"/>
      <w:r w:rsidRPr="00CC34C5">
        <w:t>Delegación</w:t>
      </w:r>
      <w:proofErr w:type="spellEnd"/>
      <w:r w:rsidRPr="00CC34C5">
        <w:t xml:space="preserve"> </w:t>
      </w:r>
      <w:proofErr w:type="spellStart"/>
      <w:r w:rsidRPr="00CC34C5">
        <w:t>policial</w:t>
      </w:r>
      <w:proofErr w:type="spellEnd"/>
      <w:r w:rsidRPr="00CC34C5">
        <w:t xml:space="preserve"> de El Carmen, San José</w:t>
      </w:r>
    </w:p>
    <w:p w:rsidR="00E35E57" w:rsidRPr="00CC34C5" w:rsidRDefault="00E35E57" w:rsidP="00007CC2">
      <w:pPr>
        <w:pStyle w:val="SingleTxtG"/>
      </w:pPr>
      <w:proofErr w:type="spellStart"/>
      <w:r w:rsidRPr="00CC34C5">
        <w:t>Delegación</w:t>
      </w:r>
      <w:proofErr w:type="spellEnd"/>
      <w:r w:rsidRPr="00CC34C5">
        <w:t xml:space="preserve"> </w:t>
      </w:r>
      <w:proofErr w:type="spellStart"/>
      <w:r w:rsidRPr="00CC34C5">
        <w:t>policial</w:t>
      </w:r>
      <w:proofErr w:type="spellEnd"/>
      <w:r w:rsidRPr="00CC34C5">
        <w:t xml:space="preserve"> Desamparados Sur, San José</w:t>
      </w:r>
    </w:p>
    <w:p w:rsidR="00E35E57" w:rsidRPr="00CC34C5" w:rsidRDefault="00E35E57" w:rsidP="00007CC2">
      <w:pPr>
        <w:pStyle w:val="SingleTxtG"/>
      </w:pPr>
      <w:proofErr w:type="spellStart"/>
      <w:r w:rsidRPr="00CC34C5">
        <w:t>Delegación</w:t>
      </w:r>
      <w:proofErr w:type="spellEnd"/>
      <w:r w:rsidRPr="00CC34C5">
        <w:t xml:space="preserve"> </w:t>
      </w:r>
      <w:proofErr w:type="spellStart"/>
      <w:r w:rsidRPr="00CC34C5">
        <w:t>policial</w:t>
      </w:r>
      <w:proofErr w:type="spellEnd"/>
      <w:r w:rsidRPr="00CC34C5">
        <w:t xml:space="preserve"> Desamparados Norte, San José</w:t>
      </w:r>
    </w:p>
    <w:p w:rsidR="00E35E57" w:rsidRPr="00CC34C5" w:rsidRDefault="00E35E57" w:rsidP="00007CC2">
      <w:pPr>
        <w:pStyle w:val="SingleTxtG"/>
      </w:pPr>
      <w:proofErr w:type="spellStart"/>
      <w:r w:rsidRPr="00CC34C5">
        <w:t>Delegación</w:t>
      </w:r>
      <w:proofErr w:type="spellEnd"/>
      <w:r w:rsidRPr="00CC34C5">
        <w:t xml:space="preserve"> </w:t>
      </w:r>
      <w:proofErr w:type="spellStart"/>
      <w:r w:rsidRPr="00CC34C5">
        <w:t>policial</w:t>
      </w:r>
      <w:proofErr w:type="spellEnd"/>
      <w:r w:rsidRPr="00CC34C5">
        <w:t xml:space="preserve"> Hatillo, San José</w:t>
      </w:r>
    </w:p>
    <w:p w:rsidR="00E35E57" w:rsidRPr="00CC34C5" w:rsidRDefault="00E35E57" w:rsidP="00007CC2">
      <w:pPr>
        <w:pStyle w:val="SingleTxtG"/>
      </w:pPr>
      <w:proofErr w:type="spellStart"/>
      <w:r w:rsidRPr="00CC34C5">
        <w:t>Delegación</w:t>
      </w:r>
      <w:proofErr w:type="spellEnd"/>
      <w:r w:rsidRPr="00CC34C5">
        <w:t xml:space="preserve"> </w:t>
      </w:r>
      <w:proofErr w:type="spellStart"/>
      <w:r w:rsidRPr="00CC34C5">
        <w:t>policial</w:t>
      </w:r>
      <w:proofErr w:type="spellEnd"/>
      <w:r w:rsidRPr="00CC34C5">
        <w:t xml:space="preserve"> Liberia, Guanacaste</w:t>
      </w:r>
    </w:p>
    <w:p w:rsidR="00E35E57" w:rsidRPr="00CC34C5" w:rsidRDefault="00E35E57" w:rsidP="00007CC2">
      <w:pPr>
        <w:pStyle w:val="SingleTxtG"/>
      </w:pPr>
      <w:r w:rsidRPr="00CC34C5">
        <w:t xml:space="preserve">Centro de </w:t>
      </w:r>
      <w:proofErr w:type="spellStart"/>
      <w:r w:rsidRPr="00CC34C5">
        <w:t>Aprehendidos</w:t>
      </w:r>
      <w:proofErr w:type="spellEnd"/>
      <w:r w:rsidRPr="00CC34C5">
        <w:t xml:space="preserve"> de Barrio México</w:t>
      </w:r>
    </w:p>
    <w:p w:rsidR="00E35E57" w:rsidRPr="00CC34C5" w:rsidRDefault="00E35E57" w:rsidP="00E35E57">
      <w:pPr>
        <w:pStyle w:val="H1G"/>
      </w:pPr>
      <w:r w:rsidRPr="00CC34C5">
        <w:tab/>
      </w:r>
      <w:bookmarkStart w:id="46" w:name="_Toc29451332"/>
      <w:bookmarkStart w:id="47" w:name="_Toc29451362"/>
      <w:r w:rsidRPr="00CC34C5">
        <w:t>B.</w:t>
      </w:r>
      <w:r w:rsidRPr="00CC34C5">
        <w:tab/>
      </w:r>
      <w:proofErr w:type="spellStart"/>
      <w:r w:rsidRPr="00CC34C5">
        <w:t>Delegaciones</w:t>
      </w:r>
      <w:proofErr w:type="spellEnd"/>
      <w:r w:rsidRPr="00CC34C5">
        <w:t xml:space="preserve"> del </w:t>
      </w:r>
      <w:proofErr w:type="spellStart"/>
      <w:r w:rsidRPr="00CC34C5">
        <w:t>Organismo</w:t>
      </w:r>
      <w:proofErr w:type="spellEnd"/>
      <w:r w:rsidRPr="00CC34C5">
        <w:t xml:space="preserve"> de </w:t>
      </w:r>
      <w:proofErr w:type="spellStart"/>
      <w:r w:rsidRPr="00CC34C5">
        <w:t>Investigación</w:t>
      </w:r>
      <w:proofErr w:type="spellEnd"/>
      <w:r w:rsidRPr="00CC34C5">
        <w:t xml:space="preserve"> Penal</w:t>
      </w:r>
      <w:bookmarkEnd w:id="46"/>
      <w:bookmarkEnd w:id="47"/>
    </w:p>
    <w:p w:rsidR="00E35E57" w:rsidRPr="00CC34C5" w:rsidRDefault="00E35E57" w:rsidP="00E35E57">
      <w:pPr>
        <w:spacing w:after="120"/>
        <w:ind w:left="1134" w:right="1134"/>
        <w:jc w:val="both"/>
      </w:pPr>
      <w:proofErr w:type="spellStart"/>
      <w:r w:rsidRPr="00CC34C5">
        <w:t>Sección</w:t>
      </w:r>
      <w:proofErr w:type="spellEnd"/>
      <w:r w:rsidRPr="00CC34C5">
        <w:t xml:space="preserve"> </w:t>
      </w:r>
      <w:proofErr w:type="spellStart"/>
      <w:r w:rsidRPr="00CC34C5">
        <w:t>Cárceles</w:t>
      </w:r>
      <w:proofErr w:type="spellEnd"/>
      <w:r w:rsidRPr="00CC34C5">
        <w:t xml:space="preserve"> I, Unidad de </w:t>
      </w:r>
      <w:proofErr w:type="spellStart"/>
      <w:r w:rsidRPr="00CC34C5">
        <w:t>celdas</w:t>
      </w:r>
      <w:proofErr w:type="spellEnd"/>
      <w:r w:rsidRPr="00CC34C5">
        <w:t xml:space="preserve"> I, </w:t>
      </w:r>
      <w:proofErr w:type="spellStart"/>
      <w:r w:rsidRPr="00CC34C5">
        <w:t>Tribunales</w:t>
      </w:r>
      <w:proofErr w:type="spellEnd"/>
      <w:r w:rsidRPr="00CC34C5">
        <w:t xml:space="preserve"> de Justicia de San José</w:t>
      </w:r>
    </w:p>
    <w:p w:rsidR="00E35E57" w:rsidRPr="00CC34C5" w:rsidRDefault="00E35E57" w:rsidP="00E35E57">
      <w:pPr>
        <w:spacing w:after="120"/>
        <w:ind w:left="1134" w:right="1134"/>
        <w:jc w:val="both"/>
      </w:pPr>
      <w:proofErr w:type="spellStart"/>
      <w:r w:rsidRPr="00CC34C5">
        <w:t>Sección</w:t>
      </w:r>
      <w:proofErr w:type="spellEnd"/>
      <w:r w:rsidRPr="00CC34C5">
        <w:t xml:space="preserve"> de </w:t>
      </w:r>
      <w:proofErr w:type="spellStart"/>
      <w:r w:rsidRPr="00CC34C5">
        <w:t>Cárceles</w:t>
      </w:r>
      <w:proofErr w:type="spellEnd"/>
      <w:r w:rsidRPr="00CC34C5">
        <w:t xml:space="preserve">, </w:t>
      </w:r>
      <w:proofErr w:type="spellStart"/>
      <w:r w:rsidRPr="00CC34C5">
        <w:t>Delegación</w:t>
      </w:r>
      <w:proofErr w:type="spellEnd"/>
      <w:r w:rsidRPr="00CC34C5">
        <w:t xml:space="preserve"> Regional de Alajuela</w:t>
      </w:r>
    </w:p>
    <w:p w:rsidR="00E35E57" w:rsidRPr="00CC34C5" w:rsidRDefault="00E35E57" w:rsidP="00E35E57">
      <w:pPr>
        <w:spacing w:after="120"/>
        <w:ind w:left="1134" w:right="1134"/>
        <w:jc w:val="both"/>
      </w:pPr>
      <w:proofErr w:type="spellStart"/>
      <w:r w:rsidRPr="00CC34C5">
        <w:t>Delegación</w:t>
      </w:r>
      <w:proofErr w:type="spellEnd"/>
      <w:r w:rsidRPr="00CC34C5">
        <w:t xml:space="preserve"> Regional de Limón </w:t>
      </w:r>
    </w:p>
    <w:p w:rsidR="00E35E57" w:rsidRPr="00CC34C5" w:rsidRDefault="00E35E57" w:rsidP="00E35E57">
      <w:pPr>
        <w:spacing w:after="120"/>
        <w:ind w:left="1134" w:right="1134"/>
        <w:jc w:val="both"/>
      </w:pPr>
      <w:proofErr w:type="spellStart"/>
      <w:r w:rsidRPr="00CC34C5">
        <w:t>Sección</w:t>
      </w:r>
      <w:proofErr w:type="spellEnd"/>
      <w:r w:rsidRPr="00CC34C5">
        <w:t xml:space="preserve"> </w:t>
      </w:r>
      <w:proofErr w:type="spellStart"/>
      <w:r w:rsidRPr="00CC34C5">
        <w:t>Cárceles</w:t>
      </w:r>
      <w:proofErr w:type="spellEnd"/>
      <w:r w:rsidRPr="00CC34C5">
        <w:t xml:space="preserve">, </w:t>
      </w:r>
      <w:proofErr w:type="spellStart"/>
      <w:r w:rsidRPr="00CC34C5">
        <w:t>Tribunales</w:t>
      </w:r>
      <w:proofErr w:type="spellEnd"/>
      <w:r w:rsidRPr="00CC34C5">
        <w:t xml:space="preserve"> de Justicia de Limón </w:t>
      </w:r>
    </w:p>
    <w:p w:rsidR="00E35E57" w:rsidRPr="00CC34C5" w:rsidRDefault="00E35E57" w:rsidP="00864684">
      <w:pPr>
        <w:pStyle w:val="H1G"/>
        <w:rPr>
          <w:b w:val="0"/>
        </w:rPr>
      </w:pPr>
      <w:r w:rsidRPr="00CC34C5">
        <w:tab/>
      </w:r>
      <w:bookmarkStart w:id="48" w:name="_Toc29451333"/>
      <w:bookmarkStart w:id="49" w:name="_Toc29451363"/>
      <w:r w:rsidRPr="00CC34C5">
        <w:t>C.</w:t>
      </w:r>
      <w:r w:rsidRPr="00CC34C5">
        <w:tab/>
      </w:r>
      <w:proofErr w:type="spellStart"/>
      <w:r w:rsidRPr="00CC34C5">
        <w:t>Centros</w:t>
      </w:r>
      <w:proofErr w:type="spellEnd"/>
      <w:r w:rsidRPr="00CC34C5">
        <w:t xml:space="preserve"> </w:t>
      </w:r>
      <w:proofErr w:type="spellStart"/>
      <w:r w:rsidRPr="00CC34C5">
        <w:t>penitenciarios</w:t>
      </w:r>
      <w:bookmarkEnd w:id="48"/>
      <w:bookmarkEnd w:id="49"/>
      <w:proofErr w:type="spellEnd"/>
    </w:p>
    <w:p w:rsidR="00E35E57" w:rsidRPr="00CC34C5" w:rsidRDefault="00E35E57" w:rsidP="00007CC2">
      <w:pPr>
        <w:pStyle w:val="SingleTxtG"/>
      </w:pPr>
      <w:r w:rsidRPr="00CC34C5">
        <w:t xml:space="preserve">Centro de </w:t>
      </w:r>
      <w:proofErr w:type="spellStart"/>
      <w:r w:rsidRPr="00CC34C5">
        <w:t>Atención</w:t>
      </w:r>
      <w:proofErr w:type="spellEnd"/>
      <w:r w:rsidRPr="00CC34C5">
        <w:t xml:space="preserve"> </w:t>
      </w:r>
      <w:proofErr w:type="spellStart"/>
      <w:r w:rsidRPr="00CC34C5">
        <w:t>Institucional</w:t>
      </w:r>
      <w:proofErr w:type="spellEnd"/>
      <w:r w:rsidRPr="00CC34C5">
        <w:t xml:space="preserve"> Vilma Curling, Desamparados, San José</w:t>
      </w:r>
    </w:p>
    <w:p w:rsidR="00E35E57" w:rsidRPr="00CC34C5" w:rsidRDefault="00E35E57" w:rsidP="00007CC2">
      <w:pPr>
        <w:pStyle w:val="SingleTxtG"/>
      </w:pPr>
      <w:r w:rsidRPr="00CC34C5">
        <w:t xml:space="preserve">Centro de </w:t>
      </w:r>
      <w:proofErr w:type="spellStart"/>
      <w:r w:rsidRPr="00CC34C5">
        <w:t>Atención</w:t>
      </w:r>
      <w:proofErr w:type="spellEnd"/>
      <w:r w:rsidRPr="00CC34C5">
        <w:t xml:space="preserve"> </w:t>
      </w:r>
      <w:proofErr w:type="spellStart"/>
      <w:r w:rsidRPr="00CC34C5">
        <w:t>Institucional</w:t>
      </w:r>
      <w:proofErr w:type="spellEnd"/>
      <w:r w:rsidRPr="00CC34C5">
        <w:t xml:space="preserve"> Jorge Arturo Montero Castro, San Rafael, Alajuela</w:t>
      </w:r>
    </w:p>
    <w:p w:rsidR="00E35E57" w:rsidRPr="00CC34C5" w:rsidRDefault="00E35E57" w:rsidP="00007CC2">
      <w:pPr>
        <w:pStyle w:val="SingleTxtG"/>
      </w:pPr>
      <w:r w:rsidRPr="00CC34C5">
        <w:t xml:space="preserve">Unidad de </w:t>
      </w:r>
      <w:proofErr w:type="spellStart"/>
      <w:r w:rsidRPr="00CC34C5">
        <w:t>Atención</w:t>
      </w:r>
      <w:proofErr w:type="spellEnd"/>
      <w:r w:rsidRPr="00CC34C5">
        <w:t xml:space="preserve"> </w:t>
      </w:r>
      <w:proofErr w:type="spellStart"/>
      <w:r w:rsidRPr="00CC34C5">
        <w:t>Específica</w:t>
      </w:r>
      <w:proofErr w:type="spellEnd"/>
      <w:r w:rsidRPr="00CC34C5">
        <w:t xml:space="preserve">, San Rafael, Alajuela </w:t>
      </w:r>
    </w:p>
    <w:p w:rsidR="00E35E57" w:rsidRPr="00CC34C5" w:rsidRDefault="00E35E57" w:rsidP="00007CC2">
      <w:pPr>
        <w:pStyle w:val="SingleTxtG"/>
      </w:pPr>
      <w:r w:rsidRPr="00CC34C5">
        <w:t xml:space="preserve">Centro de </w:t>
      </w:r>
      <w:proofErr w:type="spellStart"/>
      <w:r w:rsidRPr="00CC34C5">
        <w:t>Atención</w:t>
      </w:r>
      <w:proofErr w:type="spellEnd"/>
      <w:r w:rsidRPr="00CC34C5">
        <w:t xml:space="preserve"> </w:t>
      </w:r>
      <w:proofErr w:type="spellStart"/>
      <w:r w:rsidRPr="00CC34C5">
        <w:t>Institucional</w:t>
      </w:r>
      <w:proofErr w:type="spellEnd"/>
      <w:r w:rsidRPr="00CC34C5">
        <w:t xml:space="preserve"> Liberia, Liberia</w:t>
      </w:r>
    </w:p>
    <w:p w:rsidR="00E35E57" w:rsidRPr="00CC34C5" w:rsidRDefault="00E35E57" w:rsidP="00007CC2">
      <w:pPr>
        <w:pStyle w:val="SingleTxtG"/>
      </w:pPr>
      <w:r w:rsidRPr="00CC34C5">
        <w:t xml:space="preserve">Centro de </w:t>
      </w:r>
      <w:proofErr w:type="spellStart"/>
      <w:r w:rsidRPr="00CC34C5">
        <w:t>Atención</w:t>
      </w:r>
      <w:proofErr w:type="spellEnd"/>
      <w:r w:rsidRPr="00CC34C5">
        <w:t xml:space="preserve"> </w:t>
      </w:r>
      <w:proofErr w:type="spellStart"/>
      <w:r w:rsidRPr="00CC34C5">
        <w:t>Institucional</w:t>
      </w:r>
      <w:proofErr w:type="spellEnd"/>
      <w:r w:rsidRPr="00CC34C5">
        <w:t xml:space="preserve"> San José, San José</w:t>
      </w:r>
    </w:p>
    <w:p w:rsidR="00E35E57" w:rsidRPr="00CC34C5" w:rsidRDefault="00E35E57" w:rsidP="00007CC2">
      <w:pPr>
        <w:pStyle w:val="SingleTxtG"/>
      </w:pPr>
      <w:r w:rsidRPr="00CC34C5">
        <w:t xml:space="preserve">Centro de </w:t>
      </w:r>
      <w:proofErr w:type="spellStart"/>
      <w:r w:rsidRPr="00CC34C5">
        <w:t>Atención</w:t>
      </w:r>
      <w:proofErr w:type="spellEnd"/>
      <w:r w:rsidRPr="00CC34C5">
        <w:t xml:space="preserve"> </w:t>
      </w:r>
      <w:proofErr w:type="spellStart"/>
      <w:r w:rsidRPr="00CC34C5">
        <w:t>Institucional</w:t>
      </w:r>
      <w:proofErr w:type="spellEnd"/>
      <w:r w:rsidRPr="00CC34C5">
        <w:t xml:space="preserve"> Nelson Mandela, San Carlos, Alajuela</w:t>
      </w:r>
    </w:p>
    <w:p w:rsidR="00E35E57" w:rsidRPr="00CC34C5" w:rsidRDefault="00E35E57" w:rsidP="00007CC2">
      <w:pPr>
        <w:pStyle w:val="SingleTxtG"/>
      </w:pPr>
      <w:r w:rsidRPr="00CC34C5">
        <w:t xml:space="preserve">Centro de </w:t>
      </w:r>
      <w:proofErr w:type="spellStart"/>
      <w:r w:rsidRPr="00CC34C5">
        <w:t>Atención</w:t>
      </w:r>
      <w:proofErr w:type="spellEnd"/>
      <w:r w:rsidRPr="00CC34C5">
        <w:t xml:space="preserve"> </w:t>
      </w:r>
      <w:proofErr w:type="spellStart"/>
      <w:r w:rsidRPr="00CC34C5">
        <w:t>Institucional</w:t>
      </w:r>
      <w:proofErr w:type="spellEnd"/>
      <w:r w:rsidRPr="00CC34C5">
        <w:t xml:space="preserve"> Marcos Garvey, Limón </w:t>
      </w:r>
    </w:p>
    <w:p w:rsidR="00E35E57" w:rsidRPr="00CC34C5" w:rsidRDefault="00E35E57" w:rsidP="00007CC2">
      <w:pPr>
        <w:pStyle w:val="SingleTxtG"/>
      </w:pPr>
      <w:r w:rsidRPr="00CC34C5">
        <w:t xml:space="preserve">Centro de </w:t>
      </w:r>
      <w:proofErr w:type="spellStart"/>
      <w:r w:rsidRPr="00CC34C5">
        <w:t>Atención</w:t>
      </w:r>
      <w:proofErr w:type="spellEnd"/>
      <w:r w:rsidRPr="00CC34C5">
        <w:t xml:space="preserve"> </w:t>
      </w:r>
      <w:proofErr w:type="spellStart"/>
      <w:r w:rsidRPr="00CC34C5">
        <w:t>Institucional</w:t>
      </w:r>
      <w:proofErr w:type="spellEnd"/>
      <w:r w:rsidRPr="00CC34C5">
        <w:t xml:space="preserve"> Gerardo Rodríguez, San Rafael, Alajuela</w:t>
      </w:r>
    </w:p>
    <w:p w:rsidR="00E35E57" w:rsidRPr="00CC34C5" w:rsidRDefault="00E35E57" w:rsidP="00007CC2">
      <w:pPr>
        <w:pStyle w:val="SingleTxtG"/>
      </w:pPr>
      <w:r w:rsidRPr="00CC34C5">
        <w:t xml:space="preserve">Unidad de </w:t>
      </w:r>
      <w:proofErr w:type="spellStart"/>
      <w:r w:rsidRPr="00CC34C5">
        <w:t>Atención</w:t>
      </w:r>
      <w:proofErr w:type="spellEnd"/>
      <w:r w:rsidRPr="00CC34C5">
        <w:t xml:space="preserve"> Integral Reynaldo Villalobos, San Rafael, Alajuela</w:t>
      </w:r>
    </w:p>
    <w:p w:rsidR="00E35E57" w:rsidRPr="00CC34C5" w:rsidRDefault="00E35E57" w:rsidP="00864684">
      <w:pPr>
        <w:pStyle w:val="H1G"/>
        <w:rPr>
          <w:b w:val="0"/>
        </w:rPr>
      </w:pPr>
      <w:r w:rsidRPr="00CC34C5">
        <w:tab/>
      </w:r>
      <w:bookmarkStart w:id="50" w:name="_Toc29451334"/>
      <w:bookmarkStart w:id="51" w:name="_Toc29451364"/>
      <w:r w:rsidRPr="00CC34C5">
        <w:t>D.</w:t>
      </w:r>
      <w:r w:rsidRPr="00CC34C5">
        <w:tab/>
      </w:r>
      <w:proofErr w:type="spellStart"/>
      <w:r w:rsidRPr="00CC34C5">
        <w:t>Centros</w:t>
      </w:r>
      <w:proofErr w:type="spellEnd"/>
      <w:r w:rsidRPr="00CC34C5">
        <w:t xml:space="preserve"> de </w:t>
      </w:r>
      <w:proofErr w:type="spellStart"/>
      <w:r w:rsidRPr="00CC34C5">
        <w:t>reintegración</w:t>
      </w:r>
      <w:proofErr w:type="spellEnd"/>
      <w:r w:rsidRPr="00CC34C5">
        <w:t xml:space="preserve"> social para </w:t>
      </w:r>
      <w:proofErr w:type="spellStart"/>
      <w:r w:rsidRPr="00CC34C5">
        <w:t>niños</w:t>
      </w:r>
      <w:proofErr w:type="spellEnd"/>
      <w:r w:rsidRPr="00CC34C5">
        <w:t xml:space="preserve">, </w:t>
      </w:r>
      <w:proofErr w:type="spellStart"/>
      <w:r w:rsidRPr="00CC34C5">
        <w:t>niñas</w:t>
      </w:r>
      <w:proofErr w:type="spellEnd"/>
      <w:r w:rsidRPr="00CC34C5">
        <w:t xml:space="preserve"> y </w:t>
      </w:r>
      <w:proofErr w:type="spellStart"/>
      <w:r w:rsidRPr="00CC34C5">
        <w:t>adolescentes</w:t>
      </w:r>
      <w:bookmarkEnd w:id="50"/>
      <w:bookmarkEnd w:id="51"/>
      <w:proofErr w:type="spellEnd"/>
    </w:p>
    <w:p w:rsidR="00E35E57" w:rsidRPr="00CC34C5" w:rsidRDefault="00E35E57" w:rsidP="00007CC2">
      <w:pPr>
        <w:pStyle w:val="SingleTxtG"/>
      </w:pPr>
      <w:r w:rsidRPr="00CC34C5">
        <w:t xml:space="preserve">Centro de </w:t>
      </w:r>
      <w:proofErr w:type="spellStart"/>
      <w:r w:rsidRPr="00CC34C5">
        <w:t>Formación</w:t>
      </w:r>
      <w:proofErr w:type="spellEnd"/>
      <w:r w:rsidRPr="00CC34C5">
        <w:t xml:space="preserve"> </w:t>
      </w:r>
      <w:proofErr w:type="spellStart"/>
      <w:r w:rsidRPr="00CC34C5">
        <w:t>Juvenil</w:t>
      </w:r>
      <w:proofErr w:type="spellEnd"/>
      <w:r w:rsidRPr="00CC34C5">
        <w:t xml:space="preserve"> </w:t>
      </w:r>
      <w:proofErr w:type="spellStart"/>
      <w:r w:rsidRPr="00CC34C5">
        <w:t>Zurquí</w:t>
      </w:r>
      <w:proofErr w:type="spellEnd"/>
      <w:r w:rsidRPr="00CC34C5">
        <w:t>, Santo Domingo, Heredia</w:t>
      </w:r>
    </w:p>
    <w:p w:rsidR="00E35E57" w:rsidRPr="00CC34C5" w:rsidRDefault="00E35E57" w:rsidP="00007CC2">
      <w:pPr>
        <w:pStyle w:val="SingleTxtG"/>
      </w:pPr>
      <w:r w:rsidRPr="00CC34C5">
        <w:t xml:space="preserve">Centro </w:t>
      </w:r>
      <w:proofErr w:type="spellStart"/>
      <w:r w:rsidRPr="00CC34C5">
        <w:t>Especializado</w:t>
      </w:r>
      <w:proofErr w:type="spellEnd"/>
      <w:r w:rsidRPr="00CC34C5">
        <w:t xml:space="preserve"> </w:t>
      </w:r>
      <w:proofErr w:type="spellStart"/>
      <w:r w:rsidRPr="00CC34C5">
        <w:t>Adulto</w:t>
      </w:r>
      <w:proofErr w:type="spellEnd"/>
      <w:r w:rsidRPr="00CC34C5">
        <w:t xml:space="preserve"> Joven, Ofelia </w:t>
      </w:r>
      <w:proofErr w:type="spellStart"/>
      <w:r w:rsidRPr="00CC34C5">
        <w:t>Vicenzi</w:t>
      </w:r>
      <w:proofErr w:type="spellEnd"/>
      <w:r w:rsidRPr="00CC34C5">
        <w:t>, San Rafael, Alajuela</w:t>
      </w:r>
    </w:p>
    <w:p w:rsidR="00E35E57" w:rsidRPr="00CC34C5" w:rsidRDefault="00E35E57" w:rsidP="00864684">
      <w:pPr>
        <w:pStyle w:val="H1G"/>
        <w:rPr>
          <w:b w:val="0"/>
        </w:rPr>
      </w:pPr>
      <w:r w:rsidRPr="00CC34C5">
        <w:tab/>
      </w:r>
      <w:bookmarkStart w:id="52" w:name="_Toc29451335"/>
      <w:bookmarkStart w:id="53" w:name="_Toc29451365"/>
      <w:r w:rsidRPr="00CC34C5">
        <w:t xml:space="preserve">E. </w:t>
      </w:r>
      <w:r w:rsidRPr="00CC34C5">
        <w:tab/>
      </w:r>
      <w:proofErr w:type="spellStart"/>
      <w:r w:rsidRPr="00CC34C5">
        <w:t>Hospitales</w:t>
      </w:r>
      <w:proofErr w:type="spellEnd"/>
      <w:r w:rsidRPr="00CC34C5">
        <w:t xml:space="preserve"> </w:t>
      </w:r>
      <w:proofErr w:type="spellStart"/>
      <w:r w:rsidRPr="00CC34C5">
        <w:t>psiquiátricos</w:t>
      </w:r>
      <w:bookmarkEnd w:id="52"/>
      <w:bookmarkEnd w:id="53"/>
      <w:proofErr w:type="spellEnd"/>
    </w:p>
    <w:p w:rsidR="00E35E57" w:rsidRPr="00CC34C5" w:rsidRDefault="00E35E57" w:rsidP="00007CC2">
      <w:pPr>
        <w:pStyle w:val="SingleTxtG"/>
      </w:pPr>
      <w:r w:rsidRPr="00CC34C5">
        <w:t xml:space="preserve">Hospital Nacional </w:t>
      </w:r>
      <w:proofErr w:type="spellStart"/>
      <w:r w:rsidRPr="00CC34C5">
        <w:t>Psiquiátrico</w:t>
      </w:r>
      <w:proofErr w:type="spellEnd"/>
      <w:r w:rsidRPr="00CC34C5">
        <w:t>, San José</w:t>
      </w:r>
    </w:p>
    <w:p w:rsidR="00E35E57" w:rsidRPr="00CC34C5" w:rsidRDefault="00E35E57" w:rsidP="00007CC2">
      <w:pPr>
        <w:pStyle w:val="SingleTxtG"/>
      </w:pPr>
      <w:r w:rsidRPr="00CC34C5">
        <w:t xml:space="preserve">Centro para la </w:t>
      </w:r>
      <w:proofErr w:type="spellStart"/>
      <w:r w:rsidRPr="00CC34C5">
        <w:t>Atención</w:t>
      </w:r>
      <w:proofErr w:type="spellEnd"/>
      <w:r w:rsidRPr="00CC34C5">
        <w:t xml:space="preserve"> de Personas con </w:t>
      </w:r>
      <w:proofErr w:type="spellStart"/>
      <w:r w:rsidRPr="00CC34C5">
        <w:t>Enfermedad</w:t>
      </w:r>
      <w:proofErr w:type="spellEnd"/>
      <w:r w:rsidRPr="00CC34C5">
        <w:t xml:space="preserve"> Mental </w:t>
      </w:r>
      <w:proofErr w:type="spellStart"/>
      <w:r w:rsidRPr="00CC34C5">
        <w:t>en</w:t>
      </w:r>
      <w:proofErr w:type="spellEnd"/>
      <w:r w:rsidRPr="00CC34C5">
        <w:t xml:space="preserve"> </w:t>
      </w:r>
      <w:proofErr w:type="spellStart"/>
      <w:r w:rsidRPr="00CC34C5">
        <w:t>Conflicto</w:t>
      </w:r>
      <w:proofErr w:type="spellEnd"/>
      <w:r w:rsidRPr="00CC34C5">
        <w:t xml:space="preserve"> con la Ley, La </w:t>
      </w:r>
      <w:proofErr w:type="spellStart"/>
      <w:r w:rsidRPr="00CC34C5">
        <w:t>Uruca</w:t>
      </w:r>
      <w:proofErr w:type="spellEnd"/>
      <w:r w:rsidRPr="00CC34C5">
        <w:t>, San José</w:t>
      </w:r>
    </w:p>
    <w:p w:rsidR="00E35E57" w:rsidRPr="00CC34C5" w:rsidRDefault="00E35E57" w:rsidP="00864684">
      <w:pPr>
        <w:pStyle w:val="H1G"/>
      </w:pPr>
      <w:r w:rsidRPr="00CC34C5">
        <w:lastRenderedPageBreak/>
        <w:tab/>
      </w:r>
      <w:bookmarkStart w:id="54" w:name="_Toc29451336"/>
      <w:bookmarkStart w:id="55" w:name="_Toc29451366"/>
      <w:r w:rsidRPr="00CC34C5">
        <w:t>F.</w:t>
      </w:r>
      <w:r w:rsidRPr="00CC34C5">
        <w:tab/>
      </w:r>
      <w:proofErr w:type="spellStart"/>
      <w:r w:rsidRPr="00CC34C5">
        <w:t>Centros</w:t>
      </w:r>
      <w:proofErr w:type="spellEnd"/>
      <w:r w:rsidRPr="00CC34C5">
        <w:t xml:space="preserve"> de la </w:t>
      </w:r>
      <w:proofErr w:type="spellStart"/>
      <w:r w:rsidRPr="00CC34C5">
        <w:t>Dirección</w:t>
      </w:r>
      <w:proofErr w:type="spellEnd"/>
      <w:r w:rsidRPr="00CC34C5">
        <w:t xml:space="preserve"> General de </w:t>
      </w:r>
      <w:proofErr w:type="spellStart"/>
      <w:r w:rsidRPr="00CC34C5">
        <w:t>Migración</w:t>
      </w:r>
      <w:proofErr w:type="spellEnd"/>
      <w:r w:rsidRPr="00CC34C5">
        <w:t xml:space="preserve"> y </w:t>
      </w:r>
      <w:proofErr w:type="spellStart"/>
      <w:r w:rsidRPr="00CC34C5">
        <w:t>Extranjería</w:t>
      </w:r>
      <w:bookmarkEnd w:id="54"/>
      <w:bookmarkEnd w:id="55"/>
      <w:proofErr w:type="spellEnd"/>
    </w:p>
    <w:p w:rsidR="00E35E57" w:rsidRPr="00CC34C5" w:rsidRDefault="00E35E57" w:rsidP="00007CC2">
      <w:pPr>
        <w:pStyle w:val="SingleTxtG"/>
      </w:pPr>
      <w:r w:rsidRPr="00CC34C5">
        <w:t xml:space="preserve">Centro de </w:t>
      </w:r>
      <w:proofErr w:type="spellStart"/>
      <w:r w:rsidRPr="00CC34C5">
        <w:t>Aprehensión</w:t>
      </w:r>
      <w:proofErr w:type="spellEnd"/>
      <w:r w:rsidRPr="00CC34C5">
        <w:t xml:space="preserve"> </w:t>
      </w:r>
      <w:proofErr w:type="spellStart"/>
      <w:r w:rsidRPr="00CC34C5">
        <w:t>Región</w:t>
      </w:r>
      <w:proofErr w:type="spellEnd"/>
      <w:r w:rsidRPr="00CC34C5">
        <w:t xml:space="preserve"> Central, Heredia</w:t>
      </w:r>
    </w:p>
    <w:p w:rsidR="00E35E57" w:rsidRPr="00CC34C5" w:rsidRDefault="00E35E57" w:rsidP="00E35E57">
      <w:pPr>
        <w:spacing w:line="240" w:lineRule="auto"/>
        <w:rPr>
          <w:rFonts w:eastAsia="Arial Unicode MS"/>
          <w:b/>
          <w:sz w:val="34"/>
          <w:u w:color="000000"/>
          <w:bdr w:val="nil"/>
        </w:rPr>
      </w:pPr>
      <w:r w:rsidRPr="00CC34C5">
        <w:rPr>
          <w:rFonts w:eastAsia="Arial Unicode MS"/>
          <w:u w:color="000000"/>
          <w:bdr w:val="nil"/>
        </w:rPr>
        <w:br w:type="page"/>
      </w:r>
    </w:p>
    <w:p w:rsidR="00E35E57" w:rsidRPr="00CC34C5" w:rsidRDefault="00864684" w:rsidP="00864684">
      <w:pPr>
        <w:pStyle w:val="HChG"/>
        <w:rPr>
          <w:rFonts w:eastAsia="Arial Unicode MS"/>
        </w:rPr>
      </w:pPr>
      <w:r>
        <w:rPr>
          <w:rFonts w:eastAsia="Arial Unicode MS"/>
          <w:u w:color="000000"/>
          <w:bdr w:val="nil"/>
        </w:rPr>
        <w:lastRenderedPageBreak/>
        <w:tab/>
      </w:r>
      <w:bookmarkStart w:id="56" w:name="_Toc29451337"/>
      <w:bookmarkStart w:id="57" w:name="_Toc29451367"/>
      <w:r w:rsidR="00E35E57" w:rsidRPr="00CC34C5">
        <w:rPr>
          <w:rFonts w:eastAsia="Arial Unicode MS"/>
          <w:u w:color="000000"/>
          <w:bdr w:val="nil"/>
        </w:rPr>
        <w:t>Annex</w:t>
      </w:r>
      <w:r w:rsidR="00E35E57" w:rsidRPr="00CC34C5">
        <w:rPr>
          <w:rFonts w:eastAsia="Arial Unicode MS"/>
        </w:rPr>
        <w:t xml:space="preserve"> III</w:t>
      </w:r>
      <w:bookmarkEnd w:id="56"/>
      <w:bookmarkEnd w:id="57"/>
    </w:p>
    <w:p w:rsidR="00E35E57" w:rsidRPr="002C0204" w:rsidRDefault="00E35E57" w:rsidP="002C0204">
      <w:pPr>
        <w:pStyle w:val="SingleTxtG"/>
        <w:jc w:val="right"/>
        <w:rPr>
          <w:i/>
          <w:iCs/>
        </w:rPr>
      </w:pPr>
      <w:r w:rsidRPr="002C0204">
        <w:rPr>
          <w:i/>
          <w:iCs/>
        </w:rPr>
        <w:t>[Spanish only]</w:t>
      </w:r>
    </w:p>
    <w:p w:rsidR="00E35E57" w:rsidRPr="00CC34C5" w:rsidRDefault="00E35E57" w:rsidP="00864684">
      <w:pPr>
        <w:pStyle w:val="HChG"/>
        <w:rPr>
          <w:rFonts w:eastAsia="Arial Unicode MS"/>
        </w:rPr>
      </w:pPr>
      <w:r w:rsidRPr="00CC34C5">
        <w:rPr>
          <w:rFonts w:eastAsia="Arial Unicode MS"/>
        </w:rPr>
        <w:tab/>
      </w:r>
      <w:r w:rsidRPr="00CC34C5">
        <w:rPr>
          <w:rFonts w:eastAsia="Arial Unicode MS"/>
        </w:rPr>
        <w:tab/>
      </w:r>
      <w:bookmarkStart w:id="58" w:name="_Toc29451338"/>
      <w:bookmarkStart w:id="59" w:name="_Toc29451368"/>
      <w:proofErr w:type="spellStart"/>
      <w:r w:rsidRPr="00CC34C5">
        <w:rPr>
          <w:rFonts w:eastAsia="Arial Unicode MS"/>
        </w:rPr>
        <w:t>Lugares</w:t>
      </w:r>
      <w:proofErr w:type="spellEnd"/>
      <w:r w:rsidRPr="00CC34C5">
        <w:rPr>
          <w:rFonts w:eastAsia="Arial Unicode MS"/>
        </w:rPr>
        <w:t xml:space="preserve"> de </w:t>
      </w:r>
      <w:proofErr w:type="spellStart"/>
      <w:r w:rsidRPr="00CC34C5">
        <w:rPr>
          <w:rFonts w:eastAsia="Arial Unicode MS"/>
        </w:rPr>
        <w:t>privación</w:t>
      </w:r>
      <w:proofErr w:type="spellEnd"/>
      <w:r w:rsidRPr="00CC34C5">
        <w:rPr>
          <w:rFonts w:eastAsia="Arial Unicode MS"/>
        </w:rPr>
        <w:t xml:space="preserve"> de </w:t>
      </w:r>
      <w:proofErr w:type="spellStart"/>
      <w:r w:rsidRPr="00CC34C5">
        <w:rPr>
          <w:rFonts w:eastAsia="Arial Unicode MS"/>
        </w:rPr>
        <w:t>libertad</w:t>
      </w:r>
      <w:proofErr w:type="spellEnd"/>
      <w:r w:rsidRPr="00CC34C5">
        <w:rPr>
          <w:rFonts w:eastAsia="Arial Unicode MS"/>
        </w:rPr>
        <w:t xml:space="preserve"> </w:t>
      </w:r>
      <w:proofErr w:type="spellStart"/>
      <w:r w:rsidRPr="00CC34C5">
        <w:rPr>
          <w:rFonts w:eastAsia="Arial Unicode MS"/>
        </w:rPr>
        <w:t>visitados</w:t>
      </w:r>
      <w:proofErr w:type="spellEnd"/>
      <w:r w:rsidRPr="00CC34C5">
        <w:rPr>
          <w:rFonts w:eastAsia="Arial Unicode MS"/>
        </w:rPr>
        <w:t xml:space="preserve"> </w:t>
      </w:r>
      <w:proofErr w:type="spellStart"/>
      <w:r w:rsidRPr="00CC34C5">
        <w:rPr>
          <w:rFonts w:eastAsia="Arial Unicode MS"/>
        </w:rPr>
        <w:t>conjuntamente</w:t>
      </w:r>
      <w:proofErr w:type="spellEnd"/>
      <w:r w:rsidRPr="00CC34C5">
        <w:rPr>
          <w:rFonts w:eastAsia="Arial Unicode MS"/>
        </w:rPr>
        <w:t xml:space="preserve"> </w:t>
      </w:r>
      <w:r w:rsidRPr="00CC34C5">
        <w:rPr>
          <w:rFonts w:eastAsia="Arial Unicode MS"/>
        </w:rPr>
        <w:br/>
        <w:t xml:space="preserve">con el </w:t>
      </w:r>
      <w:proofErr w:type="spellStart"/>
      <w:r w:rsidRPr="00CC34C5">
        <w:rPr>
          <w:rFonts w:eastAsia="Arial Unicode MS"/>
        </w:rPr>
        <w:t>mecanismo</w:t>
      </w:r>
      <w:proofErr w:type="spellEnd"/>
      <w:r w:rsidRPr="00CC34C5">
        <w:rPr>
          <w:rFonts w:eastAsia="Arial Unicode MS"/>
        </w:rPr>
        <w:t xml:space="preserve"> </w:t>
      </w:r>
      <w:proofErr w:type="spellStart"/>
      <w:r w:rsidRPr="00CC34C5">
        <w:rPr>
          <w:rFonts w:eastAsia="Arial Unicode MS"/>
        </w:rPr>
        <w:t>nacional</w:t>
      </w:r>
      <w:proofErr w:type="spellEnd"/>
      <w:r w:rsidRPr="00CC34C5">
        <w:rPr>
          <w:rFonts w:eastAsia="Arial Unicode MS"/>
        </w:rPr>
        <w:t xml:space="preserve"> de </w:t>
      </w:r>
      <w:proofErr w:type="spellStart"/>
      <w:r w:rsidRPr="00CC34C5">
        <w:rPr>
          <w:rFonts w:eastAsia="Arial Unicode MS"/>
        </w:rPr>
        <w:t>prevención</w:t>
      </w:r>
      <w:bookmarkEnd w:id="58"/>
      <w:bookmarkEnd w:id="59"/>
      <w:proofErr w:type="spellEnd"/>
    </w:p>
    <w:p w:rsidR="00E35E57" w:rsidRPr="00CC34C5" w:rsidRDefault="00E35E57" w:rsidP="004E082C">
      <w:pPr>
        <w:pStyle w:val="SingleTxtG"/>
      </w:pPr>
      <w:r w:rsidRPr="00CC34C5">
        <w:t xml:space="preserve">Centro de </w:t>
      </w:r>
      <w:proofErr w:type="spellStart"/>
      <w:r w:rsidRPr="00CC34C5">
        <w:t>Atención</w:t>
      </w:r>
      <w:proofErr w:type="spellEnd"/>
      <w:r w:rsidRPr="00CC34C5">
        <w:t xml:space="preserve"> </w:t>
      </w:r>
      <w:proofErr w:type="spellStart"/>
      <w:r w:rsidRPr="00CC34C5">
        <w:t>Institucional</w:t>
      </w:r>
      <w:proofErr w:type="spellEnd"/>
      <w:r w:rsidRPr="00CC34C5">
        <w:t xml:space="preserve"> Vilma Curling, Desamparados, San José</w:t>
      </w:r>
    </w:p>
    <w:p w:rsidR="00E35E57" w:rsidRPr="00CC34C5" w:rsidRDefault="00E35E57" w:rsidP="00E35E57">
      <w:pPr>
        <w:spacing w:before="240"/>
        <w:ind w:left="1134" w:right="1134"/>
        <w:jc w:val="center"/>
        <w:rPr>
          <w:u w:val="single"/>
        </w:rPr>
      </w:pPr>
      <w:r w:rsidRPr="00CC34C5">
        <w:rPr>
          <w:u w:val="single"/>
        </w:rPr>
        <w:tab/>
      </w:r>
      <w:r w:rsidRPr="00CC34C5">
        <w:rPr>
          <w:u w:val="single"/>
        </w:rPr>
        <w:tab/>
      </w:r>
      <w:r w:rsidRPr="00CC34C5">
        <w:rPr>
          <w:u w:val="single"/>
        </w:rPr>
        <w:tab/>
      </w:r>
    </w:p>
    <w:sectPr w:rsidR="00E35E57" w:rsidRPr="00CC34C5"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5AF" w:rsidRPr="006C1C2C" w:rsidRDefault="005445AF" w:rsidP="006C1C2C">
      <w:pPr>
        <w:pStyle w:val="Footer"/>
      </w:pPr>
    </w:p>
  </w:endnote>
  <w:endnote w:type="continuationSeparator" w:id="0">
    <w:p w:rsidR="005445AF" w:rsidRPr="006C1C2C" w:rsidRDefault="005445AF"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CC" w:rsidRDefault="003470CC" w:rsidP="003470CC">
    <w:pPr>
      <w:pStyle w:val="Footer"/>
      <w:tabs>
        <w:tab w:val="right" w:pos="9638"/>
      </w:tabs>
    </w:pPr>
    <w:r w:rsidRPr="003470CC">
      <w:rPr>
        <w:b/>
        <w:bCs/>
        <w:sz w:val="18"/>
      </w:rPr>
      <w:fldChar w:fldCharType="begin"/>
    </w:r>
    <w:r w:rsidRPr="003470CC">
      <w:rPr>
        <w:b/>
        <w:bCs/>
        <w:sz w:val="18"/>
      </w:rPr>
      <w:instrText xml:space="preserve"> PAGE  \* MERGEFORMAT </w:instrText>
    </w:r>
    <w:r w:rsidRPr="003470CC">
      <w:rPr>
        <w:b/>
        <w:bCs/>
        <w:sz w:val="18"/>
      </w:rPr>
      <w:fldChar w:fldCharType="separate"/>
    </w:r>
    <w:r w:rsidRPr="003470CC">
      <w:rPr>
        <w:b/>
        <w:bCs/>
        <w:noProof/>
        <w:sz w:val="18"/>
      </w:rPr>
      <w:t>2</w:t>
    </w:r>
    <w:r w:rsidRPr="003470CC">
      <w:rPr>
        <w:b/>
        <w:bCs/>
        <w:sz w:val="18"/>
      </w:rPr>
      <w:fldChar w:fldCharType="end"/>
    </w:r>
    <w:r>
      <w:tab/>
      <w:t>GE.19-21442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CC" w:rsidRDefault="003470CC" w:rsidP="003470CC">
    <w:pPr>
      <w:pStyle w:val="Footer"/>
      <w:tabs>
        <w:tab w:val="right" w:pos="9638"/>
      </w:tabs>
    </w:pPr>
    <w:r>
      <w:t>GE.19-21442</w:t>
    </w:r>
    <w:r>
      <w:tab/>
    </w:r>
    <w:r w:rsidRPr="003470CC">
      <w:rPr>
        <w:b/>
        <w:bCs/>
        <w:sz w:val="18"/>
      </w:rPr>
      <w:fldChar w:fldCharType="begin"/>
    </w:r>
    <w:r w:rsidRPr="003470CC">
      <w:rPr>
        <w:b/>
        <w:bCs/>
        <w:sz w:val="18"/>
      </w:rPr>
      <w:instrText xml:space="preserve"> PAGE  \* MERGEFORMAT </w:instrText>
    </w:r>
    <w:r w:rsidRPr="003470CC">
      <w:rPr>
        <w:b/>
        <w:bCs/>
        <w:sz w:val="18"/>
      </w:rPr>
      <w:fldChar w:fldCharType="separate"/>
    </w:r>
    <w:r w:rsidRPr="003470CC">
      <w:rPr>
        <w:b/>
        <w:bCs/>
        <w:noProof/>
        <w:sz w:val="18"/>
      </w:rPr>
      <w:t>3</w:t>
    </w:r>
    <w:r w:rsidRPr="003470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CC" w:rsidRDefault="003470CC">
    <w:pPr>
      <w:pStyle w:val="Footer"/>
      <w:rPr>
        <w:sz w:val="20"/>
      </w:rPr>
    </w:pPr>
    <w:r>
      <w:rPr>
        <w:noProof/>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470CC" w:rsidRDefault="003470CC" w:rsidP="003470CC">
    <w:pPr>
      <w:pStyle w:val="Footer"/>
      <w:rPr>
        <w:sz w:val="20"/>
      </w:rPr>
    </w:pPr>
    <w:r>
      <w:rPr>
        <w:sz w:val="20"/>
      </w:rPr>
      <w:t>GE.19-21442  (E)</w:t>
    </w:r>
    <w:r w:rsidR="0068387E">
      <w:rPr>
        <w:sz w:val="20"/>
      </w:rPr>
      <w:t xml:space="preserve">    080120    090120</w:t>
    </w:r>
  </w:p>
  <w:p w:rsidR="003470CC" w:rsidRPr="003470CC" w:rsidRDefault="003470CC" w:rsidP="003470C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131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CRI/RONPM/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CRI/RONPM/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5AF" w:rsidRPr="006C1C2C" w:rsidRDefault="005445AF" w:rsidP="006C1C2C">
      <w:pPr>
        <w:tabs>
          <w:tab w:val="right" w:pos="2155"/>
        </w:tabs>
        <w:spacing w:after="80" w:line="240" w:lineRule="auto"/>
        <w:ind w:left="680"/>
      </w:pPr>
      <w:r>
        <w:rPr>
          <w:u w:val="single"/>
        </w:rPr>
        <w:tab/>
      </w:r>
    </w:p>
  </w:footnote>
  <w:footnote w:type="continuationSeparator" w:id="0">
    <w:p w:rsidR="005445AF" w:rsidRPr="006C1C2C" w:rsidRDefault="005445AF" w:rsidP="006C1C2C">
      <w:pPr>
        <w:tabs>
          <w:tab w:val="right" w:pos="2155"/>
        </w:tabs>
        <w:spacing w:after="80" w:line="240" w:lineRule="auto"/>
        <w:ind w:left="680"/>
      </w:pPr>
      <w:r>
        <w:rPr>
          <w:u w:val="single"/>
        </w:rPr>
        <w:tab/>
      </w:r>
    </w:p>
  </w:footnote>
  <w:footnote w:id="1">
    <w:p w:rsidR="00E35E57" w:rsidRPr="00CD28C0" w:rsidRDefault="00E35E57" w:rsidP="00E35E57">
      <w:pPr>
        <w:pStyle w:val="FootnoteText"/>
        <w:rPr>
          <w:lang w:val="en-US"/>
        </w:rPr>
      </w:pPr>
      <w:r w:rsidRPr="00E96AE9">
        <w:rPr>
          <w:sz w:val="20"/>
          <w:szCs w:val="22"/>
        </w:rPr>
        <w:tab/>
        <w:t>*</w:t>
      </w:r>
      <w:r w:rsidRPr="00E96AE9">
        <w:rPr>
          <w:sz w:val="20"/>
          <w:szCs w:val="22"/>
        </w:rPr>
        <w:tab/>
      </w:r>
      <w:r>
        <w:t>In accordance with article 16 (1) of the Optional Protocol, the present report was transmitted confidentially to the national preventive mechanism on 2 December 2019. On 9 December 2019, the national preventive mechanism requested the Subcommittee to publish the report, in accordance with article 16 (2) of the Optional Protocol.</w:t>
      </w:r>
    </w:p>
  </w:footnote>
  <w:footnote w:id="2">
    <w:p w:rsidR="00E35E57" w:rsidRPr="00CD28C0" w:rsidRDefault="00E35E57" w:rsidP="00E35E57">
      <w:pPr>
        <w:pStyle w:val="FootnoteText"/>
        <w:rPr>
          <w:lang w:val="en-US"/>
        </w:rPr>
      </w:pPr>
      <w:r w:rsidRPr="00E96AE9">
        <w:rPr>
          <w:sz w:val="20"/>
          <w:szCs w:val="22"/>
        </w:rPr>
        <w:tab/>
        <w:t>**</w:t>
      </w:r>
      <w:r w:rsidRPr="00E96AE9">
        <w:rPr>
          <w:sz w:val="20"/>
          <w:szCs w:val="22"/>
        </w:rPr>
        <w:tab/>
      </w:r>
      <w:r>
        <w:t xml:space="preserve">The annexes to the present document are being circulated in the language of submission only. </w:t>
      </w:r>
    </w:p>
  </w:footnote>
  <w:footnote w:id="3">
    <w:p w:rsidR="00E35E57" w:rsidRPr="00CD28C0" w:rsidRDefault="00E35E57" w:rsidP="00E35E57">
      <w:pPr>
        <w:pStyle w:val="FootnoteText"/>
        <w:rPr>
          <w:lang w:val="en-US"/>
        </w:rPr>
      </w:pPr>
      <w:r w:rsidRPr="00347A3B">
        <w:tab/>
      </w:r>
      <w:r w:rsidRPr="00937A8A">
        <w:rPr>
          <w:rStyle w:val="FootnoteReference"/>
        </w:rPr>
        <w:footnoteRef/>
      </w:r>
      <w:r>
        <w:t xml:space="preserve"> </w:t>
      </w:r>
      <w:r>
        <w:tab/>
        <w:t xml:space="preserve">The present report uses the generic term </w:t>
      </w:r>
      <w:r w:rsidR="00204363">
        <w:t>“</w:t>
      </w:r>
      <w:r>
        <w:t>ill-treatment</w:t>
      </w:r>
      <w:r w:rsidR="00204363">
        <w:t>”</w:t>
      </w:r>
      <w:r>
        <w:t xml:space="preserve"> to refer to any form of cruel, inhuman or degrading treatment or punishment, in accordance with article 16 of the Convention against Torture.</w:t>
      </w:r>
    </w:p>
  </w:footnote>
  <w:footnote w:id="4">
    <w:p w:rsidR="00E35E57" w:rsidRPr="00CD28C0" w:rsidRDefault="00E35E57" w:rsidP="00E35E57">
      <w:pPr>
        <w:pStyle w:val="FootnoteText"/>
        <w:rPr>
          <w:lang w:val="en-US"/>
        </w:rPr>
      </w:pPr>
      <w:r>
        <w:tab/>
      </w:r>
      <w:r w:rsidRPr="00937A8A">
        <w:rPr>
          <w:rStyle w:val="FootnoteReference"/>
        </w:rPr>
        <w:footnoteRef/>
      </w:r>
      <w:r>
        <w:tab/>
        <w:t>Article 5 of the act establishing the mechanism.</w:t>
      </w:r>
    </w:p>
  </w:footnote>
  <w:footnote w:id="5">
    <w:p w:rsidR="00E35E57" w:rsidRPr="00CD28C0" w:rsidRDefault="00E35E57" w:rsidP="00E35E57">
      <w:pPr>
        <w:pStyle w:val="FootnoteText"/>
        <w:rPr>
          <w:lang w:val="en-US"/>
        </w:rPr>
      </w:pPr>
      <w:r w:rsidRPr="00347A3B">
        <w:tab/>
      </w:r>
      <w:r w:rsidRPr="00937A8A">
        <w:rPr>
          <w:rStyle w:val="FootnoteReference"/>
        </w:rPr>
        <w:footnoteRef/>
      </w:r>
      <w:r>
        <w:t xml:space="preserve"> </w:t>
      </w:r>
      <w:r>
        <w:tab/>
        <w:t>The Subcommittee noted with satisfaction the arrival of a shipment of vests designed for the mechanism at its last meeting with members of the mechanism. The vests will no doubt greatly increase the mechanism</w:t>
      </w:r>
      <w:r w:rsidR="00204363">
        <w:t>’</w:t>
      </w:r>
      <w:r>
        <w:t>s visibility during visits.</w:t>
      </w:r>
      <w:r w:rsidR="00204363">
        <w:t xml:space="preserve"> </w:t>
      </w:r>
    </w:p>
  </w:footnote>
  <w:footnote w:id="6">
    <w:p w:rsidR="00E35E57" w:rsidRPr="00CD28C0" w:rsidRDefault="00E35E57" w:rsidP="00E35E57">
      <w:pPr>
        <w:pStyle w:val="FootnoteText"/>
        <w:rPr>
          <w:lang w:val="en-US"/>
        </w:rPr>
      </w:pPr>
      <w:r w:rsidRPr="002D6907">
        <w:tab/>
      </w:r>
      <w:r w:rsidRPr="00937A8A">
        <w:rPr>
          <w:rStyle w:val="FootnoteReference"/>
        </w:rPr>
        <w:footnoteRef/>
      </w:r>
      <w:r>
        <w:t xml:space="preserve"> </w:t>
      </w:r>
      <w:r>
        <w:tab/>
        <w:t>CAT/OP/12/5.</w:t>
      </w:r>
    </w:p>
  </w:footnote>
  <w:footnote w:id="7">
    <w:p w:rsidR="00E35E57" w:rsidRPr="00CD28C0" w:rsidRDefault="00E35E57" w:rsidP="00E35E57">
      <w:pPr>
        <w:pStyle w:val="FootnoteText"/>
        <w:rPr>
          <w:lang w:val="en-US"/>
        </w:rPr>
      </w:pPr>
      <w:r w:rsidRPr="007C1B17">
        <w:tab/>
      </w:r>
      <w:r w:rsidRPr="00937A8A">
        <w:rPr>
          <w:rStyle w:val="FootnoteReference"/>
        </w:rPr>
        <w:footnoteRef/>
      </w:r>
      <w:r>
        <w:tab/>
        <w:t xml:space="preserve">CAT/OP/12/5, paras. 36 and 38. </w:t>
      </w:r>
    </w:p>
  </w:footnote>
  <w:footnote w:id="8">
    <w:p w:rsidR="00E35E57" w:rsidRPr="00CD28C0" w:rsidRDefault="00E35E57" w:rsidP="00E35E57">
      <w:pPr>
        <w:pStyle w:val="FootnoteText"/>
        <w:rPr>
          <w:lang w:val="en-US"/>
        </w:rPr>
      </w:pPr>
      <w:r w:rsidRPr="00347A3B">
        <w:tab/>
      </w:r>
      <w:r w:rsidRPr="00937A8A">
        <w:rPr>
          <w:rStyle w:val="FootnoteReference"/>
        </w:rPr>
        <w:footnoteRef/>
      </w:r>
      <w:r>
        <w:t xml:space="preserve"> </w:t>
      </w:r>
      <w:r>
        <w:tab/>
        <w:t>Costa Rica is encouraged to consider approaching the OHCHR treaty body capacity-building programme (registry@ohchr.org), which may be able to facilitate the dialogue. The contact details of the Special Fund are available at https:/www.ohchr.org/EN/HRBodies/OPCAT/</w:t>
      </w:r>
      <w:r w:rsidR="002F6292">
        <w:t xml:space="preserve"> </w:t>
      </w:r>
      <w:r>
        <w:t>Fund/Pages/SpecialFund.aspx.</w:t>
      </w:r>
      <w:r w:rsidR="0020436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CC" w:rsidRDefault="003470CC" w:rsidP="003470CC">
    <w:pPr>
      <w:pStyle w:val="Header"/>
    </w:pPr>
    <w:r>
      <w:t>CAT/OP/CRI/RONPM/1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CC" w:rsidRDefault="003470CC" w:rsidP="003470CC">
    <w:pPr>
      <w:pStyle w:val="Header"/>
      <w:jc w:val="right"/>
    </w:pPr>
    <w:r>
      <w:t>CAT/OP/CRI/RONPM/1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AF"/>
    <w:rsid w:val="00007CC2"/>
    <w:rsid w:val="00036E46"/>
    <w:rsid w:val="00046E92"/>
    <w:rsid w:val="000B6AF1"/>
    <w:rsid w:val="0012695C"/>
    <w:rsid w:val="0017338C"/>
    <w:rsid w:val="00194C71"/>
    <w:rsid w:val="001F1A71"/>
    <w:rsid w:val="00204363"/>
    <w:rsid w:val="0021702A"/>
    <w:rsid w:val="00247E2C"/>
    <w:rsid w:val="00274264"/>
    <w:rsid w:val="00286D7C"/>
    <w:rsid w:val="002968E1"/>
    <w:rsid w:val="002B5ACA"/>
    <w:rsid w:val="002C0204"/>
    <w:rsid w:val="002D6C53"/>
    <w:rsid w:val="002F5595"/>
    <w:rsid w:val="002F6292"/>
    <w:rsid w:val="00334F6A"/>
    <w:rsid w:val="00342AC8"/>
    <w:rsid w:val="003470CC"/>
    <w:rsid w:val="00390293"/>
    <w:rsid w:val="003B4550"/>
    <w:rsid w:val="003C10D1"/>
    <w:rsid w:val="003C1A84"/>
    <w:rsid w:val="004352DA"/>
    <w:rsid w:val="004368EF"/>
    <w:rsid w:val="00461253"/>
    <w:rsid w:val="004E082C"/>
    <w:rsid w:val="004E395B"/>
    <w:rsid w:val="005042C2"/>
    <w:rsid w:val="00514C3F"/>
    <w:rsid w:val="005445AF"/>
    <w:rsid w:val="005932E2"/>
    <w:rsid w:val="005E4704"/>
    <w:rsid w:val="006073D2"/>
    <w:rsid w:val="006142F5"/>
    <w:rsid w:val="006374B0"/>
    <w:rsid w:val="006410D2"/>
    <w:rsid w:val="00671529"/>
    <w:rsid w:val="0068387E"/>
    <w:rsid w:val="006B4731"/>
    <w:rsid w:val="006C1C2C"/>
    <w:rsid w:val="006E3361"/>
    <w:rsid w:val="007020FC"/>
    <w:rsid w:val="007268F9"/>
    <w:rsid w:val="007C52B0"/>
    <w:rsid w:val="00864684"/>
    <w:rsid w:val="00885CF4"/>
    <w:rsid w:val="008A491C"/>
    <w:rsid w:val="008E3FCF"/>
    <w:rsid w:val="008F310A"/>
    <w:rsid w:val="008F6ACD"/>
    <w:rsid w:val="00937A8A"/>
    <w:rsid w:val="009411B4"/>
    <w:rsid w:val="00983290"/>
    <w:rsid w:val="009D0139"/>
    <w:rsid w:val="009F5CDC"/>
    <w:rsid w:val="00A036C1"/>
    <w:rsid w:val="00A775CF"/>
    <w:rsid w:val="00AB3356"/>
    <w:rsid w:val="00AD34E2"/>
    <w:rsid w:val="00B06045"/>
    <w:rsid w:val="00B13754"/>
    <w:rsid w:val="00B46054"/>
    <w:rsid w:val="00B54350"/>
    <w:rsid w:val="00C35A27"/>
    <w:rsid w:val="00C51C80"/>
    <w:rsid w:val="00C54859"/>
    <w:rsid w:val="00C934F8"/>
    <w:rsid w:val="00CA18CD"/>
    <w:rsid w:val="00D257F6"/>
    <w:rsid w:val="00D55D07"/>
    <w:rsid w:val="00D5671B"/>
    <w:rsid w:val="00DD39ED"/>
    <w:rsid w:val="00E02C2B"/>
    <w:rsid w:val="00E35E57"/>
    <w:rsid w:val="00E37581"/>
    <w:rsid w:val="00E65B17"/>
    <w:rsid w:val="00E96AE9"/>
    <w:rsid w:val="00ED6C48"/>
    <w:rsid w:val="00ED7679"/>
    <w:rsid w:val="00F232BD"/>
    <w:rsid w:val="00F40DD8"/>
    <w:rsid w:val="00F65F5D"/>
    <w:rsid w:val="00F86A3A"/>
    <w:rsid w:val="00FF05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EB099"/>
  <w15:docId w15:val="{616BBBE2-0A69-4E13-9590-E84F334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4E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customStyle="1" w:styleId="SingleTxtGChar">
    <w:name w:val="_ Single Txt_G Char"/>
    <w:link w:val="SingleTxtG"/>
    <w:rsid w:val="00E35E57"/>
    <w:rPr>
      <w:rFonts w:ascii="Times New Roman" w:hAnsi="Times New Roman" w:cs="Times New Roman"/>
      <w:sz w:val="20"/>
      <w:szCs w:val="20"/>
    </w:rPr>
  </w:style>
  <w:style w:type="character" w:customStyle="1" w:styleId="HChGChar">
    <w:name w:val="_ H _Ch_G Char"/>
    <w:link w:val="HChG"/>
    <w:rsid w:val="00E35E57"/>
    <w:rPr>
      <w:rFonts w:ascii="Times New Roman" w:eastAsia="Times New Roman" w:hAnsi="Times New Roman" w:cs="Times New Roman"/>
      <w:b/>
      <w:sz w:val="28"/>
      <w:szCs w:val="20"/>
      <w:lang w:eastAsia="en-US"/>
    </w:rPr>
  </w:style>
  <w:style w:type="character" w:customStyle="1" w:styleId="H23GChar">
    <w:name w:val="_ H_2/3_G Char"/>
    <w:link w:val="H23G"/>
    <w:rsid w:val="00E35E57"/>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A50E-99EA-406A-A56E-FADA5C60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14</Pages>
  <Words>4182</Words>
  <Characters>23686</Characters>
  <Application>Microsoft Office Word</Application>
  <DocSecurity>0</DocSecurity>
  <Lines>442</Lines>
  <Paragraphs>196</Paragraphs>
  <ScaleCrop>false</ScaleCrop>
  <HeadingPairs>
    <vt:vector size="2" baseType="variant">
      <vt:variant>
        <vt:lpstr>Title</vt:lpstr>
      </vt:variant>
      <vt:variant>
        <vt:i4>1</vt:i4>
      </vt:variant>
    </vt:vector>
  </HeadingPairs>
  <TitlesOfParts>
    <vt:vector size="1" baseType="lpstr">
      <vt:lpstr>CAT/OP/CRI/RONPM/1</vt:lpstr>
    </vt:vector>
  </TitlesOfParts>
  <Company>DCM</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CAT/OP/CRI/RONPM/1</dc:title>
  <dc:subject>1921442</dc:subject>
  <dc:creator>cg</dc:creator>
  <cp:keywords/>
  <dc:description/>
  <cp:lastModifiedBy>Maria Rosario Corazon Gatmaytan</cp:lastModifiedBy>
  <cp:revision>2</cp:revision>
  <dcterms:created xsi:type="dcterms:W3CDTF">2020-01-09T09:15:00Z</dcterms:created>
  <dcterms:modified xsi:type="dcterms:W3CDTF">2020-01-09T09:15:00Z</dcterms:modified>
</cp:coreProperties>
</file>