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F193F" w:rsidRPr="00976CF1" w14:paraId="6694D956" w14:textId="77777777" w:rsidTr="00DB4AB6">
        <w:trPr>
          <w:trHeight w:hRule="exact" w:val="851"/>
        </w:trPr>
        <w:tc>
          <w:tcPr>
            <w:tcW w:w="1277" w:type="dxa"/>
            <w:tcBorders>
              <w:bottom w:val="single" w:sz="4" w:space="0" w:color="auto"/>
            </w:tcBorders>
          </w:tcPr>
          <w:p w14:paraId="66BF95F9" w14:textId="77777777" w:rsidR="00EF193F" w:rsidRPr="00DB58B5" w:rsidRDefault="00EF193F" w:rsidP="00DB4AB6"/>
        </w:tc>
        <w:tc>
          <w:tcPr>
            <w:tcW w:w="2268" w:type="dxa"/>
            <w:tcBorders>
              <w:bottom w:val="single" w:sz="4" w:space="0" w:color="auto"/>
            </w:tcBorders>
            <w:vAlign w:val="bottom"/>
          </w:tcPr>
          <w:p w14:paraId="5EE95047" w14:textId="77777777" w:rsidR="00EF193F" w:rsidRPr="00F214BE" w:rsidRDefault="00EF193F" w:rsidP="00DB4AB6">
            <w:pPr>
              <w:spacing w:after="80" w:line="300" w:lineRule="exact"/>
              <w:rPr>
                <w:sz w:val="28"/>
              </w:rPr>
            </w:pPr>
            <w:r w:rsidRPr="00F214BE">
              <w:rPr>
                <w:sz w:val="28"/>
              </w:rPr>
              <w:t>Nations Unies</w:t>
            </w:r>
          </w:p>
        </w:tc>
        <w:tc>
          <w:tcPr>
            <w:tcW w:w="6094" w:type="dxa"/>
            <w:gridSpan w:val="2"/>
            <w:tcBorders>
              <w:bottom w:val="single" w:sz="4" w:space="0" w:color="auto"/>
            </w:tcBorders>
            <w:vAlign w:val="bottom"/>
          </w:tcPr>
          <w:p w14:paraId="37B99BA5" w14:textId="7B301F04" w:rsidR="00EF193F" w:rsidRPr="00BD0EEE" w:rsidRDefault="00BD0EEE" w:rsidP="00BD0EEE">
            <w:pPr>
              <w:spacing w:line="240" w:lineRule="atLeast"/>
              <w:jc w:val="right"/>
              <w:rPr>
                <w:sz w:val="20"/>
                <w:lang w:val="en-GB"/>
              </w:rPr>
            </w:pPr>
            <w:r w:rsidRPr="00BD0EEE">
              <w:rPr>
                <w:sz w:val="40"/>
                <w:szCs w:val="40"/>
                <w:lang w:val="en-GB"/>
              </w:rPr>
              <w:t>CCPR</w:t>
            </w:r>
            <w:r>
              <w:rPr>
                <w:sz w:val="20"/>
                <w:szCs w:val="40"/>
                <w:lang w:val="en-GB"/>
              </w:rPr>
              <w:t>/C/GIN/CO/3</w:t>
            </w:r>
          </w:p>
        </w:tc>
      </w:tr>
      <w:tr w:rsidR="00EF193F" w:rsidRPr="00F214BE" w14:paraId="370C4656" w14:textId="77777777" w:rsidTr="00DB4AB6">
        <w:trPr>
          <w:trHeight w:hRule="exact" w:val="2835"/>
        </w:trPr>
        <w:tc>
          <w:tcPr>
            <w:tcW w:w="1276" w:type="dxa"/>
            <w:tcBorders>
              <w:top w:val="single" w:sz="4" w:space="0" w:color="auto"/>
              <w:bottom w:val="single" w:sz="12" w:space="0" w:color="auto"/>
            </w:tcBorders>
          </w:tcPr>
          <w:p w14:paraId="7762B49F" w14:textId="77777777" w:rsidR="00EF193F" w:rsidRPr="00F214BE" w:rsidRDefault="00EF193F" w:rsidP="00DB4AB6">
            <w:pPr>
              <w:spacing w:before="120"/>
              <w:jc w:val="center"/>
            </w:pPr>
            <w:r w:rsidRPr="00F214BE">
              <w:rPr>
                <w:noProof/>
                <w:lang w:val="fr-CH" w:eastAsia="fr-CH"/>
              </w:rPr>
              <w:drawing>
                <wp:inline distT="0" distB="0" distL="0" distR="0" wp14:anchorId="617F66A8" wp14:editId="6F92170A">
                  <wp:extent cx="715010" cy="59309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B825AF" w14:textId="77777777" w:rsidR="00EF193F" w:rsidRPr="00F214BE" w:rsidRDefault="00EF193F" w:rsidP="00DB4AB6">
            <w:pPr>
              <w:spacing w:before="120" w:line="380" w:lineRule="exact"/>
              <w:rPr>
                <w:b/>
                <w:sz w:val="34"/>
                <w:szCs w:val="34"/>
              </w:rPr>
            </w:pPr>
            <w:r w:rsidRPr="00F214BE">
              <w:rPr>
                <w:b/>
                <w:sz w:val="34"/>
                <w:szCs w:val="34"/>
              </w:rPr>
              <w:t>Pacte international relatif</w:t>
            </w:r>
            <w:r w:rsidRPr="00F214BE">
              <w:rPr>
                <w:b/>
                <w:sz w:val="34"/>
                <w:szCs w:val="34"/>
              </w:rPr>
              <w:br/>
              <w:t>aux droits civils et politiques</w:t>
            </w:r>
          </w:p>
        </w:tc>
        <w:tc>
          <w:tcPr>
            <w:tcW w:w="2835" w:type="dxa"/>
            <w:tcBorders>
              <w:top w:val="single" w:sz="4" w:space="0" w:color="auto"/>
              <w:bottom w:val="single" w:sz="12" w:space="0" w:color="auto"/>
            </w:tcBorders>
          </w:tcPr>
          <w:p w14:paraId="538A7008" w14:textId="0022D9BD" w:rsidR="00EF193F" w:rsidRPr="00D06798" w:rsidRDefault="009615FC" w:rsidP="00D06798">
            <w:pPr>
              <w:suppressAutoHyphens/>
              <w:kinsoku w:val="0"/>
              <w:overflowPunct w:val="0"/>
              <w:autoSpaceDE w:val="0"/>
              <w:autoSpaceDN w:val="0"/>
              <w:adjustRightInd w:val="0"/>
              <w:snapToGrid w:val="0"/>
              <w:spacing w:before="240" w:line="240" w:lineRule="atLeast"/>
              <w:rPr>
                <w:sz w:val="20"/>
                <w:szCs w:val="20"/>
                <w:lang w:val="fr-CH" w:eastAsia="en-US"/>
              </w:rPr>
            </w:pPr>
            <w:r w:rsidRPr="00D06798">
              <w:rPr>
                <w:sz w:val="20"/>
                <w:szCs w:val="20"/>
                <w:lang w:val="fr-CH" w:eastAsia="en-US"/>
              </w:rPr>
              <w:t xml:space="preserve">Distr. </w:t>
            </w:r>
            <w:r w:rsidR="00ED68FD" w:rsidRPr="00D06798">
              <w:rPr>
                <w:sz w:val="20"/>
                <w:szCs w:val="20"/>
                <w:lang w:val="fr-CH" w:eastAsia="en-US"/>
              </w:rPr>
              <w:t>générale</w:t>
            </w:r>
          </w:p>
          <w:p w14:paraId="1119CDE9" w14:textId="5CAC53E5" w:rsidR="00990BE1" w:rsidRPr="00990BE1" w:rsidRDefault="00437641" w:rsidP="00990BE1">
            <w:pPr>
              <w:rPr>
                <w:sz w:val="20"/>
                <w:szCs w:val="20"/>
              </w:rPr>
            </w:pPr>
            <w:r>
              <w:rPr>
                <w:sz w:val="20"/>
                <w:szCs w:val="20"/>
              </w:rPr>
              <w:t>7</w:t>
            </w:r>
            <w:r w:rsidR="00380FC6">
              <w:rPr>
                <w:sz w:val="20"/>
                <w:szCs w:val="20"/>
              </w:rPr>
              <w:t xml:space="preserve"> décembre</w:t>
            </w:r>
            <w:r w:rsidR="00990BE1">
              <w:rPr>
                <w:sz w:val="20"/>
                <w:szCs w:val="20"/>
              </w:rPr>
              <w:t xml:space="preserve"> 2018</w:t>
            </w:r>
          </w:p>
          <w:p w14:paraId="00F8CB5C" w14:textId="77777777" w:rsidR="009615FC" w:rsidRPr="00990BE1" w:rsidRDefault="009615FC" w:rsidP="00DB4AB6">
            <w:pPr>
              <w:spacing w:line="240" w:lineRule="exact"/>
              <w:rPr>
                <w:sz w:val="20"/>
                <w:szCs w:val="20"/>
              </w:rPr>
            </w:pPr>
          </w:p>
          <w:p w14:paraId="639E43D7" w14:textId="5214FE38" w:rsidR="00EF193F" w:rsidRPr="00990BE1" w:rsidRDefault="00EF193F" w:rsidP="00DB4AB6">
            <w:pPr>
              <w:spacing w:line="240" w:lineRule="exact"/>
              <w:rPr>
                <w:sz w:val="20"/>
                <w:szCs w:val="20"/>
              </w:rPr>
            </w:pPr>
            <w:r w:rsidRPr="00990BE1">
              <w:rPr>
                <w:sz w:val="20"/>
                <w:szCs w:val="20"/>
              </w:rPr>
              <w:t>Original</w:t>
            </w:r>
            <w:r w:rsidR="00CE1CCE">
              <w:rPr>
                <w:sz w:val="20"/>
                <w:szCs w:val="20"/>
              </w:rPr>
              <w:t> </w:t>
            </w:r>
            <w:r w:rsidRPr="00990BE1">
              <w:rPr>
                <w:sz w:val="20"/>
                <w:szCs w:val="20"/>
              </w:rPr>
              <w:t xml:space="preserve">: français </w:t>
            </w:r>
          </w:p>
          <w:p w14:paraId="499D6A85" w14:textId="64252DE7" w:rsidR="00EF193F" w:rsidRPr="00F214BE" w:rsidRDefault="00EF193F" w:rsidP="00DB4AB6">
            <w:pPr>
              <w:spacing w:line="240" w:lineRule="exact"/>
            </w:pPr>
          </w:p>
        </w:tc>
      </w:tr>
    </w:tbl>
    <w:p w14:paraId="6CF318CC" w14:textId="3988085C" w:rsidR="00EF193F" w:rsidRPr="00990BE1" w:rsidRDefault="00EF193F" w:rsidP="00D06798">
      <w:pPr>
        <w:suppressAutoHyphens/>
        <w:spacing w:before="120" w:line="240" w:lineRule="atLeast"/>
        <w:rPr>
          <w:b/>
        </w:rPr>
      </w:pPr>
      <w:r w:rsidRPr="00990BE1">
        <w:rPr>
          <w:b/>
        </w:rPr>
        <w:t>Comité des droits de l’homme</w:t>
      </w:r>
    </w:p>
    <w:p w14:paraId="49437A94" w14:textId="7DFE66F4" w:rsidR="00990BE1" w:rsidRDefault="00EF193F" w:rsidP="00D06798">
      <w:pPr>
        <w:pStyle w:val="HChG"/>
        <w:rPr>
          <w:sz w:val="20"/>
        </w:rPr>
      </w:pPr>
      <w:r w:rsidRPr="00F214BE">
        <w:tab/>
      </w:r>
      <w:r w:rsidRPr="00F214BE">
        <w:tab/>
        <w:t>Observations finales concernant le</w:t>
      </w:r>
      <w:r w:rsidR="001646D8" w:rsidRPr="00F214BE">
        <w:t xml:space="preserve"> troisième</w:t>
      </w:r>
      <w:r w:rsidRPr="00F214BE">
        <w:t xml:space="preserve"> rapport </w:t>
      </w:r>
      <w:r w:rsidR="001646D8" w:rsidRPr="00F214BE">
        <w:t>périodique de la Guinée</w:t>
      </w:r>
      <w:r w:rsidR="00231884" w:rsidRPr="00D06798">
        <w:rPr>
          <w:rStyle w:val="Appelnotedebasdep"/>
          <w:b w:val="0"/>
          <w:sz w:val="20"/>
          <w:vertAlign w:val="baseline"/>
        </w:rPr>
        <w:footnoteReference w:customMarkFollows="1" w:id="1"/>
        <w:t>*</w:t>
      </w:r>
    </w:p>
    <w:p w14:paraId="130E91F0" w14:textId="2E0B081E" w:rsidR="004B5865" w:rsidRPr="00F214BE" w:rsidRDefault="004B5865" w:rsidP="004B5865">
      <w:pPr>
        <w:pStyle w:val="SingleTxtG"/>
      </w:pPr>
      <w:r w:rsidRPr="00F214BE">
        <w:t>1.</w:t>
      </w:r>
      <w:r w:rsidRPr="00F214BE">
        <w:tab/>
        <w:t>Le Comité a examiné le troisième rapport périodique de la Guinée (CCPR/C/GIN/3) à ses 3534</w:t>
      </w:r>
      <w:r w:rsidRPr="00D06798">
        <w:rPr>
          <w:vertAlign w:val="superscript"/>
        </w:rPr>
        <w:t>e</w:t>
      </w:r>
      <w:r w:rsidRPr="00F214BE">
        <w:t xml:space="preserve"> et 3535</w:t>
      </w:r>
      <w:r w:rsidRPr="00D06798">
        <w:rPr>
          <w:vertAlign w:val="superscript"/>
        </w:rPr>
        <w:t>e</w:t>
      </w:r>
      <w:r w:rsidRPr="00F214BE">
        <w:t> séances (CCPR/C/SR.3534 et 3535), les 10 et 11 octobre 2018. À sa 3557</w:t>
      </w:r>
      <w:r w:rsidRPr="00D06798">
        <w:rPr>
          <w:vertAlign w:val="superscript"/>
        </w:rPr>
        <w:t>e</w:t>
      </w:r>
      <w:r w:rsidRPr="00F214BE">
        <w:t xml:space="preserve"> séance, le 26 octobre 2018, il a adopté les observations finales ci-après.</w:t>
      </w:r>
    </w:p>
    <w:p w14:paraId="31014FB9" w14:textId="77777777" w:rsidR="004B5865" w:rsidRPr="00D06798" w:rsidRDefault="004B5865" w:rsidP="00D06798">
      <w:pPr>
        <w:pStyle w:val="H1G"/>
      </w:pPr>
      <w:r w:rsidRPr="00F214BE">
        <w:tab/>
        <w:t>A.</w:t>
      </w:r>
      <w:r w:rsidRPr="00F214BE">
        <w:tab/>
        <w:t>Introduction</w:t>
      </w:r>
    </w:p>
    <w:p w14:paraId="1A5C3424" w14:textId="41FF20B0" w:rsidR="004B5865" w:rsidRPr="00F214BE" w:rsidRDefault="004B5865" w:rsidP="004B5865">
      <w:pPr>
        <w:pStyle w:val="SingleTxtG"/>
      </w:pPr>
      <w:r w:rsidRPr="00F214BE">
        <w:t>2.</w:t>
      </w:r>
      <w:r w:rsidRPr="00F214BE">
        <w:tab/>
        <w:t xml:space="preserve">Le Comité accueille avec satisfaction le troisième rapport </w:t>
      </w:r>
      <w:r w:rsidR="00307213">
        <w:t xml:space="preserve">périodique </w:t>
      </w:r>
      <w:r w:rsidRPr="00F214BE">
        <w:t xml:space="preserve">de la Guinée et les informations qu’il contient, quoiqu’il regrette qu’il ait été soumis avec vingt-trois années de retard. Le Comité apprécie l’occasion qui lui a été </w:t>
      </w:r>
      <w:r w:rsidR="00022693">
        <w:t>offerte de renouer</w:t>
      </w:r>
      <w:r w:rsidRPr="00F214BE">
        <w:t xml:space="preserve"> un dialogue constructif avec la délégation de haut niveau de l’État partie </w:t>
      </w:r>
      <w:r w:rsidR="00022693">
        <w:t>au sujet d</w:t>
      </w:r>
      <w:r w:rsidRPr="00F214BE">
        <w:t xml:space="preserve">es mesures prises pour </w:t>
      </w:r>
      <w:r w:rsidR="00022693">
        <w:t>appliquer les</w:t>
      </w:r>
      <w:r w:rsidRPr="00F214BE">
        <w:t xml:space="preserve"> dispositions du Pacte. Il </w:t>
      </w:r>
      <w:r w:rsidR="00016D9B">
        <w:t>remercie l’</w:t>
      </w:r>
      <w:r w:rsidR="00016D9B" w:rsidRPr="00F214BE">
        <w:t>É</w:t>
      </w:r>
      <w:r w:rsidR="00016D9B">
        <w:t xml:space="preserve">tat partie des réponses écrites </w:t>
      </w:r>
      <w:r w:rsidR="00BC3F44">
        <w:t>(</w:t>
      </w:r>
      <w:r w:rsidR="00307213">
        <w:t>CCPR/C/GIN/Q/3/Add.1</w:t>
      </w:r>
      <w:r w:rsidR="00BC3F44">
        <w:t xml:space="preserve">) </w:t>
      </w:r>
      <w:r w:rsidRPr="00F214BE">
        <w:t xml:space="preserve">apportées à la liste de points </w:t>
      </w:r>
      <w:r w:rsidR="00016D9B">
        <w:t>(</w:t>
      </w:r>
      <w:r w:rsidR="00DD3840">
        <w:t>CCPR/C/GIN/Q/3</w:t>
      </w:r>
      <w:r w:rsidR="00016D9B">
        <w:t>)</w:t>
      </w:r>
      <w:r w:rsidR="00307213">
        <w:t>,</w:t>
      </w:r>
      <w:r w:rsidR="00016D9B">
        <w:t xml:space="preserve"> qui ont été complétées </w:t>
      </w:r>
      <w:r w:rsidRPr="00F214BE">
        <w:t>oralement par la délégation.</w:t>
      </w:r>
    </w:p>
    <w:p w14:paraId="5E490AF0" w14:textId="77777777" w:rsidR="004B5865" w:rsidRPr="00D06798" w:rsidRDefault="004B5865" w:rsidP="00D06798">
      <w:pPr>
        <w:pStyle w:val="H1G"/>
      </w:pPr>
      <w:r w:rsidRPr="00F214BE">
        <w:tab/>
        <w:t>B.</w:t>
      </w:r>
      <w:r w:rsidRPr="00F214BE">
        <w:tab/>
        <w:t>Aspects positifs</w:t>
      </w:r>
    </w:p>
    <w:p w14:paraId="33358C6E" w14:textId="314A8E08" w:rsidR="004B5865" w:rsidRPr="00F214BE" w:rsidRDefault="004B5865" w:rsidP="004B5865">
      <w:pPr>
        <w:pStyle w:val="SingleTxtG"/>
      </w:pPr>
      <w:r w:rsidRPr="00F214BE">
        <w:t>3.</w:t>
      </w:r>
      <w:r w:rsidRPr="00F214BE">
        <w:tab/>
        <w:t xml:space="preserve">Le Comité salue les mesures législatives et institutionnelles prises par </w:t>
      </w:r>
      <w:r w:rsidRPr="00F214BE">
        <w:rPr>
          <w:lang w:val="fr-FR"/>
        </w:rPr>
        <w:t>l’État partie</w:t>
      </w:r>
      <w:r w:rsidRPr="00F214BE">
        <w:t>, notamment</w:t>
      </w:r>
      <w:r w:rsidR="005306E5">
        <w:t xml:space="preserve"> l’adoption des lois suivantes</w:t>
      </w:r>
      <w:r w:rsidRPr="00F214BE">
        <w:t> :</w:t>
      </w:r>
    </w:p>
    <w:p w14:paraId="28591960" w14:textId="32E8A61E" w:rsidR="004B5865" w:rsidRPr="00F214BE" w:rsidRDefault="004B5865" w:rsidP="00D06798">
      <w:pPr>
        <w:pStyle w:val="SingleTxtG"/>
        <w:ind w:firstLine="567"/>
      </w:pPr>
      <w:r w:rsidRPr="00F214BE">
        <w:t>a)</w:t>
      </w:r>
      <w:r w:rsidRPr="00F214BE">
        <w:tab/>
        <w:t>Loi n</w:t>
      </w:r>
      <w:r w:rsidR="004B5D4B" w:rsidRPr="00D06798">
        <w:rPr>
          <w:vertAlign w:val="superscript"/>
        </w:rPr>
        <w:t>o</w:t>
      </w:r>
      <w:r w:rsidR="004B5D4B">
        <w:t> </w:t>
      </w:r>
      <w:r w:rsidRPr="00F214BE">
        <w:t xml:space="preserve">L/2007/013/AN du 29 octobre 2007 portant création, attributions, composition, organisation et fonctionnement de la Commission </w:t>
      </w:r>
      <w:r w:rsidR="002140F2">
        <w:t>é</w:t>
      </w:r>
      <w:r w:rsidRPr="00F214BE">
        <w:t xml:space="preserve">lectorale </w:t>
      </w:r>
      <w:r w:rsidR="002140F2">
        <w:t>n</w:t>
      </w:r>
      <w:r w:rsidRPr="00F214BE">
        <w:t xml:space="preserve">ationale </w:t>
      </w:r>
      <w:r w:rsidR="002140F2">
        <w:t>i</w:t>
      </w:r>
      <w:r w:rsidRPr="00F214BE">
        <w:t>ndépendante ;</w:t>
      </w:r>
    </w:p>
    <w:p w14:paraId="7D2F414D" w14:textId="5D350044" w:rsidR="004B5865" w:rsidRPr="00F214BE" w:rsidRDefault="004B5865" w:rsidP="00D06798">
      <w:pPr>
        <w:pStyle w:val="SingleTxtG"/>
        <w:ind w:firstLine="567"/>
      </w:pPr>
      <w:r w:rsidRPr="00F214BE">
        <w:t>b)</w:t>
      </w:r>
      <w:r w:rsidRPr="00F214BE">
        <w:tab/>
        <w:t>Loi n</w:t>
      </w:r>
      <w:r w:rsidR="004B5D4B" w:rsidRPr="00D06798">
        <w:rPr>
          <w:vertAlign w:val="superscript"/>
        </w:rPr>
        <w:t>o</w:t>
      </w:r>
      <w:r w:rsidR="004B5D4B">
        <w:t> </w:t>
      </w:r>
      <w:r w:rsidRPr="00F214BE">
        <w:t>L/2008/01/AN du 19 août 2008 portant Code de l’enfant guinéen</w:t>
      </w:r>
      <w:r w:rsidR="00B6058B">
        <w:t> </w:t>
      </w:r>
      <w:r w:rsidRPr="00F214BE">
        <w:t xml:space="preserve">; </w:t>
      </w:r>
    </w:p>
    <w:p w14:paraId="18E9277A" w14:textId="3AC61582" w:rsidR="004B5865" w:rsidRPr="00F214BE" w:rsidRDefault="004B5865" w:rsidP="00D06798">
      <w:pPr>
        <w:pStyle w:val="SingleTxtG"/>
        <w:ind w:firstLine="567"/>
      </w:pPr>
      <w:r w:rsidRPr="00F214BE">
        <w:t>c)</w:t>
      </w:r>
      <w:r w:rsidRPr="00F214BE">
        <w:tab/>
        <w:t>Loi organique n</w:t>
      </w:r>
      <w:r w:rsidR="004B5D4B" w:rsidRPr="00D06798">
        <w:rPr>
          <w:vertAlign w:val="superscript"/>
        </w:rPr>
        <w:t>o</w:t>
      </w:r>
      <w:r w:rsidR="004B5D4B">
        <w:t> </w:t>
      </w:r>
      <w:r w:rsidRPr="00F214BE">
        <w:t xml:space="preserve">L/08/CNT/2011 du 14 juillet 2011 portant organisation et fonctionnement de l’Institution </w:t>
      </w:r>
      <w:r w:rsidR="002140F2">
        <w:t>n</w:t>
      </w:r>
      <w:r w:rsidRPr="00F214BE">
        <w:t>ational</w:t>
      </w:r>
      <w:r w:rsidR="00674B29">
        <w:t xml:space="preserve">e </w:t>
      </w:r>
      <w:r w:rsidR="002140F2">
        <w:t>i</w:t>
      </w:r>
      <w:r w:rsidR="00674B29">
        <w:t xml:space="preserve">ndépendante des </w:t>
      </w:r>
      <w:r w:rsidR="002140F2">
        <w:t>d</w:t>
      </w:r>
      <w:r w:rsidR="00674B29">
        <w:t>roits de l’</w:t>
      </w:r>
      <w:r w:rsidR="002140F2">
        <w:t>h</w:t>
      </w:r>
      <w:r w:rsidRPr="00F214BE">
        <w:t>omme ;</w:t>
      </w:r>
    </w:p>
    <w:p w14:paraId="439C3A94" w14:textId="25839FA6" w:rsidR="004B5865" w:rsidRPr="00F214BE" w:rsidRDefault="004B5865" w:rsidP="00D06798">
      <w:pPr>
        <w:pStyle w:val="SingleTxtG"/>
        <w:ind w:firstLine="567"/>
      </w:pPr>
      <w:r w:rsidRPr="00F214BE">
        <w:t>d)</w:t>
      </w:r>
      <w:r w:rsidRPr="00F214BE">
        <w:tab/>
        <w:t>Loi organique n</w:t>
      </w:r>
      <w:r w:rsidR="004B5D4B" w:rsidRPr="00D06798">
        <w:rPr>
          <w:vertAlign w:val="superscript"/>
        </w:rPr>
        <w:t>o</w:t>
      </w:r>
      <w:r w:rsidR="004B5D4B">
        <w:t> </w:t>
      </w:r>
      <w:r w:rsidRPr="00F214BE">
        <w:t xml:space="preserve">L/055/CNT/2013 du 17 mai 2013 portant composition, organisation et fonctionnement du Conseil </w:t>
      </w:r>
      <w:r w:rsidR="002140F2">
        <w:t>s</w:t>
      </w:r>
      <w:r w:rsidRPr="00F214BE">
        <w:t xml:space="preserve">upérieur de la </w:t>
      </w:r>
      <w:r w:rsidR="002140F2">
        <w:t>m</w:t>
      </w:r>
      <w:r w:rsidRPr="00F214BE">
        <w:t>agistrature ;</w:t>
      </w:r>
    </w:p>
    <w:p w14:paraId="1760131E" w14:textId="4FA86DF2" w:rsidR="004B5865" w:rsidRPr="00F214BE" w:rsidRDefault="001765EB" w:rsidP="00D06798">
      <w:pPr>
        <w:pStyle w:val="SingleTxtG"/>
        <w:ind w:firstLine="567"/>
        <w:rPr>
          <w:rFonts w:eastAsia="Times New Roman"/>
        </w:rPr>
      </w:pPr>
      <w:r>
        <w:rPr>
          <w:rFonts w:eastAsia="Times New Roman"/>
        </w:rPr>
        <w:t>e</w:t>
      </w:r>
      <w:r w:rsidR="004B5865" w:rsidRPr="00F214BE">
        <w:rPr>
          <w:rFonts w:eastAsia="Times New Roman"/>
        </w:rPr>
        <w:t>)</w:t>
      </w:r>
      <w:r w:rsidR="004B5865" w:rsidRPr="00F214BE">
        <w:rPr>
          <w:rFonts w:eastAsia="Times New Roman"/>
        </w:rPr>
        <w:tab/>
        <w:t>Loi organique n</w:t>
      </w:r>
      <w:r w:rsidR="004B5D4B" w:rsidRPr="00D06798">
        <w:rPr>
          <w:rFonts w:eastAsia="Times New Roman"/>
          <w:vertAlign w:val="superscript"/>
        </w:rPr>
        <w:t>o</w:t>
      </w:r>
      <w:r w:rsidR="004B5D4B">
        <w:rPr>
          <w:rFonts w:eastAsia="Times New Roman"/>
        </w:rPr>
        <w:t> </w:t>
      </w:r>
      <w:r w:rsidR="004B5865" w:rsidRPr="00F214BE">
        <w:rPr>
          <w:rFonts w:eastAsia="Times New Roman"/>
        </w:rPr>
        <w:t>002/2017/AN du 24 février 2017 portant Code électoral.</w:t>
      </w:r>
    </w:p>
    <w:p w14:paraId="5BCA28A8" w14:textId="0B8EB99B" w:rsidR="004B5865" w:rsidRPr="00F214BE" w:rsidRDefault="004B5865" w:rsidP="004B5865">
      <w:pPr>
        <w:pStyle w:val="SingleTxtG"/>
      </w:pPr>
      <w:r w:rsidRPr="00F214BE">
        <w:t>4.</w:t>
      </w:r>
      <w:r w:rsidRPr="00F214BE">
        <w:tab/>
        <w:t>Le Comité note avec satisfaction que l’État partie a adhéré</w:t>
      </w:r>
      <w:r w:rsidR="00674B29">
        <w:t xml:space="preserve"> à</w:t>
      </w:r>
      <w:r w:rsidRPr="00F214BE">
        <w:t xml:space="preserve"> la Convention </w:t>
      </w:r>
      <w:r w:rsidR="00F93D95">
        <w:t>relative aux</w:t>
      </w:r>
      <w:r w:rsidRPr="00F214BE">
        <w:t xml:space="preserve"> droits des personnes handicapées le 8 février 2008.</w:t>
      </w:r>
    </w:p>
    <w:p w14:paraId="62F2CE58" w14:textId="6A468046" w:rsidR="00EF193F" w:rsidRPr="00D06798" w:rsidRDefault="009615FC" w:rsidP="00D06798">
      <w:pPr>
        <w:pStyle w:val="H1G"/>
      </w:pPr>
      <w:r w:rsidRPr="00F214BE">
        <w:lastRenderedPageBreak/>
        <w:tab/>
      </w:r>
      <w:r w:rsidR="00EF193F" w:rsidRPr="00F214BE">
        <w:t>C.</w:t>
      </w:r>
      <w:r w:rsidR="00EF193F" w:rsidRPr="00F214BE">
        <w:tab/>
        <w:t xml:space="preserve">Principaux sujets de </w:t>
      </w:r>
      <w:r w:rsidR="00EF193F" w:rsidRPr="00990BE1">
        <w:t>préoccupation</w:t>
      </w:r>
      <w:r w:rsidR="00975072">
        <w:t xml:space="preserve"> et recommandations</w:t>
      </w:r>
    </w:p>
    <w:p w14:paraId="17E2EFEC" w14:textId="07345A06" w:rsidR="00FD4106" w:rsidRPr="00D06798" w:rsidRDefault="009615FC" w:rsidP="00D06798">
      <w:pPr>
        <w:pStyle w:val="H23G"/>
      </w:pPr>
      <w:r w:rsidRPr="00F214BE">
        <w:rPr>
          <w:lang w:val="fr-FR"/>
        </w:rPr>
        <w:tab/>
      </w:r>
      <w:r w:rsidRPr="00F214BE">
        <w:rPr>
          <w:lang w:val="fr-FR"/>
        </w:rPr>
        <w:tab/>
      </w:r>
      <w:r w:rsidR="00C8604E" w:rsidRPr="00F214BE">
        <w:rPr>
          <w:lang w:val="fr-FR"/>
        </w:rPr>
        <w:t>Mise en œuvre</w:t>
      </w:r>
      <w:r w:rsidR="00EF193F" w:rsidRPr="00F214BE">
        <w:rPr>
          <w:lang w:val="fr-FR"/>
        </w:rPr>
        <w:t xml:space="preserve"> </w:t>
      </w:r>
      <w:r w:rsidR="00C8604E" w:rsidRPr="00F214BE">
        <w:rPr>
          <w:lang w:val="fr-FR"/>
        </w:rPr>
        <w:t xml:space="preserve">et applicabilité du </w:t>
      </w:r>
      <w:r w:rsidR="00EF193F" w:rsidRPr="00F214BE">
        <w:rPr>
          <w:lang w:val="fr-FR"/>
        </w:rPr>
        <w:t>Pacte</w:t>
      </w:r>
      <w:r w:rsidR="00C8604E" w:rsidRPr="00F214BE">
        <w:rPr>
          <w:lang w:val="fr-FR"/>
        </w:rPr>
        <w:t xml:space="preserve"> dans l’ordre juridique interne </w:t>
      </w:r>
      <w:r w:rsidR="001F550E">
        <w:rPr>
          <w:lang w:val="fr-FR"/>
        </w:rPr>
        <w:br/>
      </w:r>
      <w:r w:rsidR="00C8604E" w:rsidRPr="00F214BE">
        <w:rPr>
          <w:lang w:val="fr-FR"/>
        </w:rPr>
        <w:t>et</w:t>
      </w:r>
      <w:r w:rsidR="00EF193F" w:rsidRPr="00F214BE">
        <w:rPr>
          <w:lang w:val="fr-FR"/>
        </w:rPr>
        <w:t xml:space="preserve"> </w:t>
      </w:r>
      <w:r w:rsidR="00C8604E" w:rsidRPr="00F214BE">
        <w:rPr>
          <w:lang w:val="fr-FR"/>
        </w:rPr>
        <w:t>sur le territoire de l’État partie</w:t>
      </w:r>
    </w:p>
    <w:p w14:paraId="781ADE10" w14:textId="6067AB86" w:rsidR="00FD4106" w:rsidRPr="00F214BE" w:rsidRDefault="00B51A59" w:rsidP="00FD4106">
      <w:pPr>
        <w:pStyle w:val="SingleTxtG"/>
        <w:rPr>
          <w:lang w:val="fr-FR"/>
        </w:rPr>
      </w:pPr>
      <w:r w:rsidRPr="00F214BE">
        <w:rPr>
          <w:lang w:val="fr-FR"/>
        </w:rPr>
        <w:t>5</w:t>
      </w:r>
      <w:r w:rsidR="00A9743D" w:rsidRPr="00F214BE">
        <w:rPr>
          <w:lang w:val="fr-FR"/>
        </w:rPr>
        <w:t>.</w:t>
      </w:r>
      <w:r w:rsidR="00A9743D" w:rsidRPr="00F214BE">
        <w:rPr>
          <w:lang w:val="fr-FR"/>
        </w:rPr>
        <w:tab/>
      </w:r>
      <w:r w:rsidR="00FD4106" w:rsidRPr="00F214BE">
        <w:rPr>
          <w:lang w:val="fr-FR"/>
        </w:rPr>
        <w:t>Le Comité note qu’en vertu de l’article 151</w:t>
      </w:r>
      <w:r w:rsidR="00C7419F">
        <w:rPr>
          <w:lang w:val="fr-FR"/>
        </w:rPr>
        <w:t xml:space="preserve"> </w:t>
      </w:r>
      <w:r w:rsidR="00FD4106" w:rsidRPr="00F214BE">
        <w:rPr>
          <w:lang w:val="fr-FR"/>
        </w:rPr>
        <w:t>de la Constitution</w:t>
      </w:r>
      <w:r w:rsidR="00BD4D33" w:rsidRPr="00F214BE">
        <w:rPr>
          <w:lang w:val="fr-FR"/>
        </w:rPr>
        <w:t>,</w:t>
      </w:r>
      <w:r w:rsidR="00FD4106" w:rsidRPr="00F214BE">
        <w:rPr>
          <w:lang w:val="fr-FR"/>
        </w:rPr>
        <w:t xml:space="preserve"> les traités ont une autorité supérieure </w:t>
      </w:r>
      <w:r w:rsidR="00641D39" w:rsidRPr="00F214BE">
        <w:rPr>
          <w:lang w:val="fr-FR"/>
        </w:rPr>
        <w:t>à celle des lois</w:t>
      </w:r>
      <w:r w:rsidR="001360F9" w:rsidRPr="00F214BE">
        <w:rPr>
          <w:lang w:val="fr-FR"/>
        </w:rPr>
        <w:t xml:space="preserve"> et que les dispositions du Pacte font partie intégrante du droit interne</w:t>
      </w:r>
      <w:r w:rsidR="00641D39" w:rsidRPr="00F214BE">
        <w:rPr>
          <w:lang w:val="fr-FR"/>
        </w:rPr>
        <w:t>. Il regrette cependant qu</w:t>
      </w:r>
      <w:r w:rsidR="001360F9" w:rsidRPr="00F214BE">
        <w:rPr>
          <w:lang w:val="fr-FR"/>
        </w:rPr>
        <w:t>’</w:t>
      </w:r>
      <w:r w:rsidR="00641D39" w:rsidRPr="00F214BE">
        <w:rPr>
          <w:lang w:val="fr-FR"/>
        </w:rPr>
        <w:t>e</w:t>
      </w:r>
      <w:r w:rsidR="001360F9" w:rsidRPr="00F214BE">
        <w:rPr>
          <w:lang w:val="fr-FR"/>
        </w:rPr>
        <w:t>n pratique,</w:t>
      </w:r>
      <w:r w:rsidR="00641D39" w:rsidRPr="00F214BE">
        <w:rPr>
          <w:lang w:val="fr-FR"/>
        </w:rPr>
        <w:t xml:space="preserve"> les dispositions du Pacte soient rarement invoquées devant les tribunaux ou appliqué</w:t>
      </w:r>
      <w:r w:rsidR="00734C56" w:rsidRPr="00F214BE">
        <w:rPr>
          <w:lang w:val="fr-FR"/>
        </w:rPr>
        <w:t>e</w:t>
      </w:r>
      <w:r w:rsidR="00641D39" w:rsidRPr="00F214BE">
        <w:rPr>
          <w:lang w:val="fr-FR"/>
        </w:rPr>
        <w:t>s par ces derniers</w:t>
      </w:r>
      <w:r w:rsidR="00194935" w:rsidRPr="00F214BE">
        <w:rPr>
          <w:lang w:val="fr-FR"/>
        </w:rPr>
        <w:t xml:space="preserve"> </w:t>
      </w:r>
      <w:r w:rsidR="00D06798">
        <w:rPr>
          <w:lang w:val="fr-FR"/>
        </w:rPr>
        <w:t>(art. </w:t>
      </w:r>
      <w:r w:rsidR="00A52E38" w:rsidRPr="00F214BE">
        <w:rPr>
          <w:lang w:val="fr-FR"/>
        </w:rPr>
        <w:t>2).</w:t>
      </w:r>
    </w:p>
    <w:p w14:paraId="39C607E5" w14:textId="44533A04" w:rsidR="00194935" w:rsidRPr="00F214BE" w:rsidRDefault="00B51A59" w:rsidP="00194935">
      <w:pPr>
        <w:pStyle w:val="SingleTxtG"/>
        <w:rPr>
          <w:b/>
          <w:lang w:val="fr-FR"/>
        </w:rPr>
      </w:pPr>
      <w:r w:rsidRPr="00990BE1">
        <w:rPr>
          <w:lang w:val="fr-FR"/>
        </w:rPr>
        <w:t>6</w:t>
      </w:r>
      <w:r w:rsidR="00A9743D" w:rsidRPr="00990BE1">
        <w:rPr>
          <w:lang w:val="fr-FR"/>
        </w:rPr>
        <w:t>.</w:t>
      </w:r>
      <w:r w:rsidR="00A9743D" w:rsidRPr="00990BE1">
        <w:rPr>
          <w:lang w:val="fr-FR"/>
        </w:rPr>
        <w:tab/>
      </w:r>
      <w:r w:rsidR="00A52E38" w:rsidRPr="00F214BE">
        <w:rPr>
          <w:b/>
          <w:lang w:val="fr-FR"/>
        </w:rPr>
        <w:t xml:space="preserve">L’État partie devrait </w:t>
      </w:r>
      <w:r w:rsidR="00514E53">
        <w:rPr>
          <w:b/>
          <w:lang w:val="fr-FR"/>
        </w:rPr>
        <w:t>continuer à prendre d</w:t>
      </w:r>
      <w:r w:rsidR="00A52E38" w:rsidRPr="00F214BE">
        <w:rPr>
          <w:b/>
          <w:lang w:val="fr-FR"/>
        </w:rPr>
        <w:t xml:space="preserve">es mesures destinées à sensibiliser les juges, les avocats et les procureurs aux dispositions du Pacte </w:t>
      </w:r>
      <w:r w:rsidR="00D76142">
        <w:rPr>
          <w:b/>
          <w:lang w:val="fr-FR"/>
        </w:rPr>
        <w:t>afin</w:t>
      </w:r>
      <w:r w:rsidR="00A52E38" w:rsidRPr="00F214BE">
        <w:rPr>
          <w:b/>
          <w:lang w:val="fr-FR"/>
        </w:rPr>
        <w:t xml:space="preserve"> que ces dernières soient prises en compte devant et par les tribunaux nationaux. </w:t>
      </w:r>
    </w:p>
    <w:p w14:paraId="7D29AE3C" w14:textId="3168DEB1" w:rsidR="001360F9" w:rsidRPr="00F214BE" w:rsidRDefault="00B51A59" w:rsidP="00BC0A7C">
      <w:pPr>
        <w:pStyle w:val="SingleTxtG"/>
        <w:rPr>
          <w:lang w:val="fr-FR"/>
        </w:rPr>
      </w:pPr>
      <w:r w:rsidRPr="00F214BE">
        <w:rPr>
          <w:lang w:val="fr-FR"/>
        </w:rPr>
        <w:t>7</w:t>
      </w:r>
      <w:r w:rsidR="00A9743D" w:rsidRPr="00F214BE">
        <w:rPr>
          <w:lang w:val="fr-FR"/>
        </w:rPr>
        <w:t>.</w:t>
      </w:r>
      <w:r w:rsidR="00A9743D" w:rsidRPr="00F214BE">
        <w:rPr>
          <w:lang w:val="fr-FR"/>
        </w:rPr>
        <w:tab/>
      </w:r>
      <w:r w:rsidR="001360F9" w:rsidRPr="00F214BE">
        <w:rPr>
          <w:lang w:val="fr-FR"/>
        </w:rPr>
        <w:t xml:space="preserve">Le Comité prend note des explications de la délégation relatives à </w:t>
      </w:r>
      <w:r w:rsidR="00ED13E7">
        <w:rPr>
          <w:lang w:val="fr-FR"/>
        </w:rPr>
        <w:t>la prégnance</w:t>
      </w:r>
      <w:r w:rsidR="00ED13E7" w:rsidRPr="00F214BE">
        <w:rPr>
          <w:lang w:val="fr-FR"/>
        </w:rPr>
        <w:t xml:space="preserve"> </w:t>
      </w:r>
      <w:r w:rsidR="001360F9" w:rsidRPr="00F214BE">
        <w:rPr>
          <w:lang w:val="fr-FR"/>
        </w:rPr>
        <w:t xml:space="preserve">des normes traditionnelles et coutumières au sein du corps social guinéen. Il exprime toutefois ses préoccupations </w:t>
      </w:r>
      <w:r w:rsidR="00EE5A68" w:rsidRPr="00F214BE">
        <w:rPr>
          <w:lang w:val="fr-FR"/>
        </w:rPr>
        <w:t xml:space="preserve">quant aux </w:t>
      </w:r>
      <w:r w:rsidR="005C4B36">
        <w:rPr>
          <w:lang w:val="fr-FR"/>
        </w:rPr>
        <w:t>informations</w:t>
      </w:r>
      <w:r w:rsidR="001360F9" w:rsidRPr="00F214BE">
        <w:rPr>
          <w:lang w:val="fr-FR"/>
        </w:rPr>
        <w:t xml:space="preserve"> selon lesquelles le droit positif </w:t>
      </w:r>
      <w:r w:rsidR="008C041E" w:rsidRPr="00F214BE">
        <w:rPr>
          <w:lang w:val="fr-FR"/>
        </w:rPr>
        <w:t>ne serait pas appliqué sur l’ensemble du territoire</w:t>
      </w:r>
      <w:r w:rsidR="001360F9" w:rsidRPr="00F214BE">
        <w:rPr>
          <w:lang w:val="fr-FR"/>
        </w:rPr>
        <w:t xml:space="preserve"> de l’État partie. Il s’inquiète en particulier de ce qu</w:t>
      </w:r>
      <w:r w:rsidR="00BC0A7C" w:rsidRPr="00F214BE">
        <w:rPr>
          <w:lang w:val="fr-FR"/>
        </w:rPr>
        <w:t xml:space="preserve">e </w:t>
      </w:r>
      <w:r w:rsidR="001360F9" w:rsidRPr="00F214BE">
        <w:rPr>
          <w:lang w:val="fr-FR"/>
        </w:rPr>
        <w:t>la prééminence de l’application</w:t>
      </w:r>
      <w:r w:rsidR="00C8604E" w:rsidRPr="00F214BE">
        <w:rPr>
          <w:lang w:val="fr-FR"/>
        </w:rPr>
        <w:t xml:space="preserve"> sur la grande majorité du territoire</w:t>
      </w:r>
      <w:r w:rsidR="001360F9" w:rsidRPr="00F214BE">
        <w:rPr>
          <w:lang w:val="fr-FR"/>
        </w:rPr>
        <w:t xml:space="preserve"> du droit coutumier</w:t>
      </w:r>
      <w:r w:rsidR="00BC0A7C" w:rsidRPr="00F214BE">
        <w:rPr>
          <w:lang w:val="fr-FR"/>
        </w:rPr>
        <w:t>, dont certaines dispositions sont incompatibles avec les dispositions du Pacte,</w:t>
      </w:r>
      <w:r w:rsidR="001360F9" w:rsidRPr="00F214BE">
        <w:rPr>
          <w:lang w:val="fr-FR"/>
        </w:rPr>
        <w:t xml:space="preserve"> </w:t>
      </w:r>
      <w:r w:rsidR="00EE5A68" w:rsidRPr="00F214BE">
        <w:rPr>
          <w:lang w:val="fr-FR"/>
        </w:rPr>
        <w:t>soustrai</w:t>
      </w:r>
      <w:r w:rsidR="008C041E" w:rsidRPr="00F214BE">
        <w:rPr>
          <w:lang w:val="fr-FR"/>
        </w:rPr>
        <w:t>t</w:t>
      </w:r>
      <w:r w:rsidR="00EE5A68" w:rsidRPr="00F214BE">
        <w:rPr>
          <w:lang w:val="fr-FR"/>
        </w:rPr>
        <w:t xml:space="preserve"> </w:t>
      </w:r>
      <w:r w:rsidR="00EE5A68" w:rsidRPr="00D06798">
        <w:rPr>
          <w:iCs/>
          <w:lang w:val="fr-FR"/>
        </w:rPr>
        <w:t>de facto</w:t>
      </w:r>
      <w:r w:rsidR="00EE5A68" w:rsidRPr="00F214BE">
        <w:rPr>
          <w:i/>
          <w:lang w:val="fr-FR"/>
        </w:rPr>
        <w:t xml:space="preserve"> </w:t>
      </w:r>
      <w:r w:rsidR="00EE5A68" w:rsidRPr="00F214BE">
        <w:rPr>
          <w:lang w:val="fr-FR"/>
        </w:rPr>
        <w:t xml:space="preserve">une grande partie de la population aux droits garantis par les </w:t>
      </w:r>
      <w:r w:rsidR="00EE5A68" w:rsidRPr="00F214BE">
        <w:t>dispositions</w:t>
      </w:r>
      <w:r w:rsidR="00D06798">
        <w:rPr>
          <w:lang w:val="fr-FR"/>
        </w:rPr>
        <w:t xml:space="preserve"> du Pacte (art. </w:t>
      </w:r>
      <w:r w:rsidR="00EE5A68" w:rsidRPr="00F214BE">
        <w:rPr>
          <w:lang w:val="fr-FR"/>
        </w:rPr>
        <w:t>2).</w:t>
      </w:r>
    </w:p>
    <w:p w14:paraId="430E3007" w14:textId="41104322" w:rsidR="00EE5A68" w:rsidRPr="00F214BE" w:rsidRDefault="00B51A59" w:rsidP="00BC0A7C">
      <w:pPr>
        <w:pStyle w:val="SingleTxtG"/>
        <w:rPr>
          <w:b/>
          <w:lang w:val="fr-FR"/>
        </w:rPr>
      </w:pPr>
      <w:r w:rsidRPr="00990BE1">
        <w:rPr>
          <w:lang w:val="fr-FR"/>
        </w:rPr>
        <w:t>8</w:t>
      </w:r>
      <w:r w:rsidR="00A9743D" w:rsidRPr="00990BE1">
        <w:rPr>
          <w:lang w:val="fr-FR"/>
        </w:rPr>
        <w:t>.</w:t>
      </w:r>
      <w:r w:rsidR="00A9743D" w:rsidRPr="00990BE1">
        <w:rPr>
          <w:lang w:val="fr-FR"/>
        </w:rPr>
        <w:tab/>
      </w:r>
      <w:r w:rsidR="00C8604E" w:rsidRPr="00F214BE">
        <w:rPr>
          <w:b/>
          <w:lang w:val="fr-FR"/>
        </w:rPr>
        <w:t>Conformément à l’observation générale n</w:t>
      </w:r>
      <w:r w:rsidR="00276AC7" w:rsidRPr="00D06798">
        <w:rPr>
          <w:b/>
          <w:vertAlign w:val="superscript"/>
          <w:lang w:val="fr-FR"/>
        </w:rPr>
        <w:t>o</w:t>
      </w:r>
      <w:r w:rsidR="00276AC7">
        <w:rPr>
          <w:b/>
          <w:lang w:val="fr-FR"/>
        </w:rPr>
        <w:t> </w:t>
      </w:r>
      <w:r w:rsidR="00C8604E" w:rsidRPr="00F214BE">
        <w:rPr>
          <w:b/>
          <w:lang w:val="fr-FR"/>
        </w:rPr>
        <w:t xml:space="preserve">31 (2004) </w:t>
      </w:r>
      <w:r w:rsidR="00C26BE2">
        <w:rPr>
          <w:b/>
          <w:lang w:val="fr-FR"/>
        </w:rPr>
        <w:t xml:space="preserve">du Comité </w:t>
      </w:r>
      <w:r w:rsidR="00C8604E" w:rsidRPr="00F214BE">
        <w:rPr>
          <w:b/>
          <w:lang w:val="fr-FR"/>
        </w:rPr>
        <w:t xml:space="preserve">sur la nature de l’obligation juridique générale imposée aux États parties au Pacte, l’État partie devrait garantir </w:t>
      </w:r>
      <w:r w:rsidR="00A30B3B" w:rsidRPr="00F214BE">
        <w:rPr>
          <w:b/>
          <w:lang w:val="fr-FR"/>
        </w:rPr>
        <w:t xml:space="preserve">à tous les individus sur son territoire les droits reconnus dans le Pacte et devrait prendre toutes les mesures </w:t>
      </w:r>
      <w:r w:rsidR="002765A7">
        <w:rPr>
          <w:b/>
          <w:lang w:val="fr-FR"/>
        </w:rPr>
        <w:t xml:space="preserve">possibles </w:t>
      </w:r>
      <w:r w:rsidR="00C26BE2">
        <w:rPr>
          <w:b/>
          <w:lang w:val="fr-FR"/>
        </w:rPr>
        <w:t xml:space="preserve">pour </w:t>
      </w:r>
      <w:r w:rsidR="00A30B3B" w:rsidRPr="00F214BE">
        <w:rPr>
          <w:b/>
          <w:lang w:val="fr-FR"/>
        </w:rPr>
        <w:t>harmoniser et garantir systématiquement la compatibilité des normes traditionnelles et coutumières avec les dispositions du Pacte.</w:t>
      </w:r>
      <w:r w:rsidR="00452368" w:rsidRPr="00F214BE">
        <w:rPr>
          <w:b/>
          <w:lang w:val="fr-FR"/>
        </w:rPr>
        <w:t xml:space="preserve"> Il devrait également veiller à ce que </w:t>
      </w:r>
      <w:r w:rsidR="00F214BE" w:rsidRPr="00F214BE">
        <w:rPr>
          <w:b/>
          <w:lang w:val="fr-FR"/>
        </w:rPr>
        <w:t>les</w:t>
      </w:r>
      <w:r w:rsidR="00452368" w:rsidRPr="00F214BE">
        <w:rPr>
          <w:b/>
          <w:lang w:val="fr-FR"/>
        </w:rPr>
        <w:t xml:space="preserve"> acteurs traditionnels reçoivent une formation relative à la primauté des dispositions du Pacte et du droit</w:t>
      </w:r>
      <w:r w:rsidR="00B730C3" w:rsidRPr="00F214BE">
        <w:rPr>
          <w:b/>
          <w:lang w:val="fr-FR"/>
        </w:rPr>
        <w:t xml:space="preserve"> positif sur le droit coutumier.</w:t>
      </w:r>
    </w:p>
    <w:p w14:paraId="12555CAE" w14:textId="21A128E9" w:rsidR="00EF193F" w:rsidRPr="00D06798" w:rsidRDefault="009615FC" w:rsidP="00D06798">
      <w:pPr>
        <w:pStyle w:val="H23G"/>
      </w:pPr>
      <w:r w:rsidRPr="00F214BE">
        <w:tab/>
      </w:r>
      <w:r w:rsidRPr="00F214BE">
        <w:tab/>
      </w:r>
      <w:r w:rsidR="00FD004B" w:rsidRPr="00F214BE">
        <w:t xml:space="preserve">Institution </w:t>
      </w:r>
      <w:r w:rsidR="002140F2">
        <w:t>n</w:t>
      </w:r>
      <w:r w:rsidR="002140F2" w:rsidRPr="00F214BE">
        <w:t xml:space="preserve">ationale </w:t>
      </w:r>
      <w:r w:rsidR="002140F2">
        <w:t>i</w:t>
      </w:r>
      <w:r w:rsidR="002140F2" w:rsidRPr="00F214BE">
        <w:t xml:space="preserve">ndépendante </w:t>
      </w:r>
      <w:r w:rsidR="00FD004B" w:rsidRPr="00F214BE">
        <w:t xml:space="preserve">des </w:t>
      </w:r>
      <w:r w:rsidR="002140F2">
        <w:t>d</w:t>
      </w:r>
      <w:r w:rsidR="002140F2" w:rsidRPr="00F214BE">
        <w:t xml:space="preserve">roits </w:t>
      </w:r>
      <w:r w:rsidR="00FD004B" w:rsidRPr="00F214BE">
        <w:t xml:space="preserve">de </w:t>
      </w:r>
      <w:r w:rsidR="002140F2" w:rsidRPr="00F214BE">
        <w:t>l’</w:t>
      </w:r>
      <w:r w:rsidR="002140F2">
        <w:t>h</w:t>
      </w:r>
      <w:r w:rsidR="002140F2" w:rsidRPr="00F214BE">
        <w:t xml:space="preserve">omme </w:t>
      </w:r>
    </w:p>
    <w:p w14:paraId="6FD13468" w14:textId="5FEF0675" w:rsidR="003A4017" w:rsidRPr="00F214BE" w:rsidRDefault="00B51A59" w:rsidP="00441D1C">
      <w:pPr>
        <w:pStyle w:val="SingleTxtG"/>
      </w:pPr>
      <w:r w:rsidRPr="00F214BE">
        <w:t>9</w:t>
      </w:r>
      <w:r w:rsidR="00A9743D" w:rsidRPr="00F214BE">
        <w:t>.</w:t>
      </w:r>
      <w:r w:rsidR="00A9743D" w:rsidRPr="00F214BE">
        <w:tab/>
      </w:r>
      <w:r w:rsidR="00441D1C" w:rsidRPr="00F214BE">
        <w:t xml:space="preserve">Tout en accueillant favorablement </w:t>
      </w:r>
      <w:r w:rsidR="00292DF2" w:rsidRPr="00F214BE">
        <w:t xml:space="preserve">la mise en </w:t>
      </w:r>
      <w:r w:rsidR="00E336FB">
        <w:t>place</w:t>
      </w:r>
      <w:r w:rsidR="00E336FB" w:rsidRPr="00F214BE">
        <w:t xml:space="preserve"> </w:t>
      </w:r>
      <w:r w:rsidR="00441D1C" w:rsidRPr="00F214BE">
        <w:t xml:space="preserve">de l’Institution </w:t>
      </w:r>
      <w:r w:rsidR="002140F2">
        <w:t>n</w:t>
      </w:r>
      <w:r w:rsidR="002140F2" w:rsidRPr="00F214BE">
        <w:t xml:space="preserve">ationale </w:t>
      </w:r>
      <w:r w:rsidR="002140F2">
        <w:t>i</w:t>
      </w:r>
      <w:r w:rsidR="002140F2" w:rsidRPr="00F214BE">
        <w:t xml:space="preserve">ndépendante </w:t>
      </w:r>
      <w:r w:rsidR="00441D1C" w:rsidRPr="00F214BE">
        <w:t xml:space="preserve">des </w:t>
      </w:r>
      <w:r w:rsidR="002140F2">
        <w:t>d</w:t>
      </w:r>
      <w:r w:rsidR="002140F2" w:rsidRPr="00F214BE">
        <w:t xml:space="preserve">roits </w:t>
      </w:r>
      <w:r w:rsidR="00441D1C" w:rsidRPr="00F214BE">
        <w:t xml:space="preserve">de </w:t>
      </w:r>
      <w:r w:rsidR="002140F2" w:rsidRPr="00F214BE">
        <w:t>l’</w:t>
      </w:r>
      <w:r w:rsidR="002140F2">
        <w:t>h</w:t>
      </w:r>
      <w:r w:rsidR="002140F2" w:rsidRPr="00F214BE">
        <w:t xml:space="preserve">omme </w:t>
      </w:r>
      <w:r w:rsidR="00441D1C" w:rsidRPr="00F214BE">
        <w:t xml:space="preserve">en application de la loi organique du 14 juillet 2011, </w:t>
      </w:r>
      <w:r w:rsidR="006605A2">
        <w:t>le Comité</w:t>
      </w:r>
      <w:r w:rsidR="006605A2" w:rsidRPr="00F214BE">
        <w:t xml:space="preserve"> </w:t>
      </w:r>
      <w:r w:rsidR="00313F6E" w:rsidRPr="00F214BE">
        <w:t xml:space="preserve">demeure préoccupé par le fait que </w:t>
      </w:r>
      <w:r w:rsidR="003C5E8A" w:rsidRPr="00F214BE">
        <w:t>l’</w:t>
      </w:r>
      <w:r w:rsidR="003C5E8A">
        <w:t>I</w:t>
      </w:r>
      <w:r w:rsidR="003C5E8A" w:rsidRPr="00F214BE">
        <w:t xml:space="preserve">nstitution </w:t>
      </w:r>
      <w:r w:rsidR="00313F6E" w:rsidRPr="00F214BE">
        <w:t>ne dispose pas des ressources matérielles nécessaires</w:t>
      </w:r>
      <w:r w:rsidR="00B730C3" w:rsidRPr="00F214BE">
        <w:t xml:space="preserve"> à</w:t>
      </w:r>
      <w:r w:rsidR="00313F6E" w:rsidRPr="00F214BE">
        <w:t xml:space="preserve"> son bon fonctionnement et à la réalisation de son mandat. </w:t>
      </w:r>
      <w:r w:rsidR="00BD4D33" w:rsidRPr="00F214BE">
        <w:t>Il s’inquiète également des informations faisant état d’une faible visibilité de ses actions e</w:t>
      </w:r>
      <w:r w:rsidR="00B730C3" w:rsidRPr="00F214BE">
        <w:t xml:space="preserve">t </w:t>
      </w:r>
      <w:r w:rsidR="00572EE2" w:rsidRPr="00F214BE">
        <w:t xml:space="preserve">de son </w:t>
      </w:r>
      <w:r w:rsidR="00B730C3" w:rsidRPr="00F214BE">
        <w:t xml:space="preserve">existence </w:t>
      </w:r>
      <w:r w:rsidR="00ED13E7">
        <w:t>au sein de</w:t>
      </w:r>
      <w:r w:rsidR="00ED13E7" w:rsidRPr="00F214BE">
        <w:t xml:space="preserve"> </w:t>
      </w:r>
      <w:r w:rsidR="00B730C3" w:rsidRPr="00F214BE">
        <w:t>la population</w:t>
      </w:r>
      <w:r w:rsidR="00BD4D33" w:rsidRPr="00F214BE">
        <w:t xml:space="preserve"> </w:t>
      </w:r>
      <w:r w:rsidR="00D06798">
        <w:t>(art. </w:t>
      </w:r>
      <w:r w:rsidR="003A4017" w:rsidRPr="00F214BE">
        <w:t>2).</w:t>
      </w:r>
    </w:p>
    <w:p w14:paraId="47D478A2" w14:textId="23E04982" w:rsidR="001563C6" w:rsidRPr="00F214BE" w:rsidRDefault="00B51A59" w:rsidP="001563C6">
      <w:pPr>
        <w:pStyle w:val="SingleTxtG"/>
        <w:rPr>
          <w:b/>
          <w:lang w:val="fr-FR"/>
        </w:rPr>
      </w:pPr>
      <w:r w:rsidRPr="00990BE1">
        <w:rPr>
          <w:lang w:val="fr-FR"/>
        </w:rPr>
        <w:t>10</w:t>
      </w:r>
      <w:r w:rsidR="00A9743D" w:rsidRPr="00990BE1">
        <w:rPr>
          <w:lang w:val="fr-FR"/>
        </w:rPr>
        <w:t>.</w:t>
      </w:r>
      <w:r w:rsidR="00A9743D" w:rsidRPr="00990BE1">
        <w:rPr>
          <w:lang w:val="fr-FR"/>
        </w:rPr>
        <w:tab/>
      </w:r>
      <w:r w:rsidR="00076F26" w:rsidRPr="00F214BE">
        <w:rPr>
          <w:b/>
          <w:lang w:val="fr-FR"/>
        </w:rPr>
        <w:t xml:space="preserve">L’État partie devrait doter l’Institution </w:t>
      </w:r>
      <w:r w:rsidR="002140F2">
        <w:rPr>
          <w:b/>
          <w:lang w:val="fr-FR"/>
        </w:rPr>
        <w:t>n</w:t>
      </w:r>
      <w:r w:rsidR="002140F2" w:rsidRPr="00F214BE">
        <w:rPr>
          <w:b/>
          <w:lang w:val="fr-FR"/>
        </w:rPr>
        <w:t xml:space="preserve">ationale </w:t>
      </w:r>
      <w:r w:rsidR="002140F2">
        <w:rPr>
          <w:b/>
          <w:lang w:val="fr-FR"/>
        </w:rPr>
        <w:t>i</w:t>
      </w:r>
      <w:r w:rsidR="002140F2" w:rsidRPr="00F214BE">
        <w:rPr>
          <w:b/>
          <w:lang w:val="fr-FR"/>
        </w:rPr>
        <w:t xml:space="preserve">ndépendante </w:t>
      </w:r>
      <w:r w:rsidR="00076F26" w:rsidRPr="00F214BE">
        <w:rPr>
          <w:b/>
          <w:lang w:val="fr-FR"/>
        </w:rPr>
        <w:t xml:space="preserve">des </w:t>
      </w:r>
      <w:r w:rsidR="002140F2">
        <w:rPr>
          <w:b/>
          <w:lang w:val="fr-FR"/>
        </w:rPr>
        <w:t>d</w:t>
      </w:r>
      <w:r w:rsidR="002140F2" w:rsidRPr="00F214BE">
        <w:rPr>
          <w:b/>
          <w:lang w:val="fr-FR"/>
        </w:rPr>
        <w:t xml:space="preserve">roits </w:t>
      </w:r>
      <w:r w:rsidR="00076F26" w:rsidRPr="00F214BE">
        <w:rPr>
          <w:b/>
          <w:lang w:val="fr-FR"/>
        </w:rPr>
        <w:t xml:space="preserve">de </w:t>
      </w:r>
      <w:r w:rsidR="002140F2" w:rsidRPr="00F214BE">
        <w:rPr>
          <w:b/>
          <w:lang w:val="fr-FR"/>
        </w:rPr>
        <w:t>l’</w:t>
      </w:r>
      <w:r w:rsidR="002140F2">
        <w:rPr>
          <w:b/>
          <w:lang w:val="fr-FR"/>
        </w:rPr>
        <w:t>h</w:t>
      </w:r>
      <w:r w:rsidR="002140F2" w:rsidRPr="00F214BE">
        <w:rPr>
          <w:b/>
          <w:lang w:val="fr-FR"/>
        </w:rPr>
        <w:t xml:space="preserve">omme </w:t>
      </w:r>
      <w:r w:rsidR="00076F26" w:rsidRPr="00F214BE">
        <w:rPr>
          <w:b/>
          <w:lang w:val="fr-FR"/>
        </w:rPr>
        <w:t xml:space="preserve">d’un budget </w:t>
      </w:r>
      <w:r w:rsidR="00D23B99">
        <w:rPr>
          <w:b/>
          <w:lang w:val="fr-FR"/>
        </w:rPr>
        <w:t xml:space="preserve">adéquat </w:t>
      </w:r>
      <w:r w:rsidR="00076F26" w:rsidRPr="00F214BE">
        <w:rPr>
          <w:b/>
          <w:lang w:val="fr-FR"/>
        </w:rPr>
        <w:t>et d’un perso</w:t>
      </w:r>
      <w:r w:rsidR="00B730C3" w:rsidRPr="00F214BE">
        <w:rPr>
          <w:b/>
          <w:lang w:val="fr-FR"/>
        </w:rPr>
        <w:t>nnel suffisant, formé et stable lui permettant de s’acquitter pleinement de son</w:t>
      </w:r>
      <w:r w:rsidR="00076F26" w:rsidRPr="00F214BE">
        <w:rPr>
          <w:b/>
          <w:lang w:val="fr-FR"/>
        </w:rPr>
        <w:t xml:space="preserve"> mandat</w:t>
      </w:r>
      <w:r w:rsidR="00B730C3" w:rsidRPr="00F214BE">
        <w:rPr>
          <w:b/>
          <w:lang w:val="fr-FR"/>
        </w:rPr>
        <w:t xml:space="preserve"> en conformité avec les </w:t>
      </w:r>
      <w:r w:rsidR="00B730C3" w:rsidRPr="00F214BE">
        <w:rPr>
          <w:b/>
          <w:bCs/>
        </w:rPr>
        <w:t xml:space="preserve">Principes </w:t>
      </w:r>
      <w:r w:rsidR="00492B23">
        <w:rPr>
          <w:b/>
          <w:bCs/>
        </w:rPr>
        <w:t>concernant le</w:t>
      </w:r>
      <w:r w:rsidR="00B730C3" w:rsidRPr="00F214BE">
        <w:rPr>
          <w:b/>
          <w:bCs/>
        </w:rPr>
        <w:t xml:space="preserve"> statut des institutions nationales pour la promotion et la protection des droits de l’homme (Principes de Paris)</w:t>
      </w:r>
      <w:r w:rsidR="001563C6" w:rsidRPr="00F214BE">
        <w:rPr>
          <w:b/>
          <w:lang w:val="fr-FR"/>
        </w:rPr>
        <w:t>.</w:t>
      </w:r>
      <w:r w:rsidR="00206FCB" w:rsidRPr="00F214BE">
        <w:rPr>
          <w:b/>
          <w:lang w:val="fr-FR"/>
        </w:rPr>
        <w:t xml:space="preserve"> Il devrait également envisager de demander l’accréditation auprès du Sous-</w:t>
      </w:r>
      <w:r w:rsidR="00D23B99">
        <w:rPr>
          <w:b/>
          <w:lang w:val="fr-FR"/>
        </w:rPr>
        <w:t>C</w:t>
      </w:r>
      <w:r w:rsidR="00D23B99" w:rsidRPr="00F214BE">
        <w:rPr>
          <w:b/>
          <w:lang w:val="fr-FR"/>
        </w:rPr>
        <w:t xml:space="preserve">omité </w:t>
      </w:r>
      <w:r w:rsidR="00206FCB" w:rsidRPr="00F214BE">
        <w:rPr>
          <w:b/>
          <w:lang w:val="fr-FR"/>
        </w:rPr>
        <w:t xml:space="preserve">de </w:t>
      </w:r>
      <w:r w:rsidR="00674B29">
        <w:rPr>
          <w:b/>
          <w:lang w:val="fr-FR"/>
        </w:rPr>
        <w:t>l’</w:t>
      </w:r>
      <w:r w:rsidR="00206FCB" w:rsidRPr="00F214BE">
        <w:rPr>
          <w:b/>
          <w:lang w:val="fr-FR"/>
        </w:rPr>
        <w:t xml:space="preserve">Alliance </w:t>
      </w:r>
      <w:r w:rsidR="00D23B99">
        <w:rPr>
          <w:b/>
          <w:lang w:val="fr-FR"/>
        </w:rPr>
        <w:t>globale</w:t>
      </w:r>
      <w:r w:rsidR="00206FCB" w:rsidRPr="00F214BE">
        <w:rPr>
          <w:b/>
          <w:lang w:val="fr-FR"/>
        </w:rPr>
        <w:t xml:space="preserve"> des institutions nationales des droits de l</w:t>
      </w:r>
      <w:r w:rsidR="00D76AAF">
        <w:rPr>
          <w:b/>
          <w:lang w:val="fr-FR"/>
        </w:rPr>
        <w:t>’</w:t>
      </w:r>
      <w:r w:rsidR="00206FCB" w:rsidRPr="00F214BE">
        <w:rPr>
          <w:b/>
          <w:lang w:val="fr-FR"/>
        </w:rPr>
        <w:t>homme et</w:t>
      </w:r>
      <w:r w:rsidR="008D59AB">
        <w:rPr>
          <w:b/>
          <w:lang w:val="fr-FR"/>
        </w:rPr>
        <w:t xml:space="preserve"> </w:t>
      </w:r>
      <w:r w:rsidR="001563C6" w:rsidRPr="00F214BE">
        <w:rPr>
          <w:b/>
          <w:lang w:val="fr-FR"/>
        </w:rPr>
        <w:t xml:space="preserve">prendre toutes les mesures </w:t>
      </w:r>
      <w:r w:rsidR="006605A2">
        <w:rPr>
          <w:b/>
          <w:lang w:val="fr-FR"/>
        </w:rPr>
        <w:t>permettant</w:t>
      </w:r>
      <w:r w:rsidR="001563C6" w:rsidRPr="00F214BE">
        <w:rPr>
          <w:b/>
          <w:lang w:val="fr-FR"/>
        </w:rPr>
        <w:t xml:space="preserve"> d’assurer une plus grande visibilité du mandat et </w:t>
      </w:r>
      <w:r w:rsidR="006605A2">
        <w:rPr>
          <w:b/>
          <w:lang w:val="fr-FR"/>
        </w:rPr>
        <w:t xml:space="preserve">des </w:t>
      </w:r>
      <w:r w:rsidR="001563C6" w:rsidRPr="00F214BE">
        <w:rPr>
          <w:b/>
          <w:lang w:val="fr-FR"/>
        </w:rPr>
        <w:t>actions de l</w:t>
      </w:r>
      <w:r w:rsidR="00B730C3" w:rsidRPr="00F214BE">
        <w:rPr>
          <w:b/>
          <w:lang w:val="fr-FR"/>
        </w:rPr>
        <w:t xml:space="preserve">adite </w:t>
      </w:r>
      <w:r w:rsidR="00FA7B07">
        <w:rPr>
          <w:b/>
          <w:lang w:val="fr-FR"/>
        </w:rPr>
        <w:t>I</w:t>
      </w:r>
      <w:r w:rsidR="00FA7B07" w:rsidRPr="00F214BE">
        <w:rPr>
          <w:b/>
          <w:lang w:val="fr-FR"/>
        </w:rPr>
        <w:t xml:space="preserve">nstitution </w:t>
      </w:r>
      <w:r w:rsidR="00D042D4" w:rsidRPr="00F214BE">
        <w:rPr>
          <w:b/>
          <w:lang w:val="fr-FR"/>
        </w:rPr>
        <w:t>auprès de</w:t>
      </w:r>
      <w:r w:rsidR="001563C6" w:rsidRPr="00F214BE">
        <w:rPr>
          <w:b/>
          <w:lang w:val="fr-FR"/>
        </w:rPr>
        <w:t xml:space="preserve"> sa population.</w:t>
      </w:r>
      <w:r w:rsidR="00206FCB" w:rsidRPr="00F214BE">
        <w:rPr>
          <w:b/>
          <w:lang w:val="fr-FR"/>
        </w:rPr>
        <w:t xml:space="preserve"> </w:t>
      </w:r>
    </w:p>
    <w:p w14:paraId="3D24CC9F" w14:textId="77777777" w:rsidR="00EF193F" w:rsidRPr="00D06798" w:rsidRDefault="001563C6" w:rsidP="00D06798">
      <w:pPr>
        <w:pStyle w:val="H23G"/>
      </w:pPr>
      <w:r w:rsidRPr="00F214BE">
        <w:tab/>
      </w:r>
      <w:r w:rsidRPr="00F214BE">
        <w:tab/>
      </w:r>
      <w:r w:rsidR="00EF193F" w:rsidRPr="00F214BE">
        <w:t>Lutte contre la corruption</w:t>
      </w:r>
    </w:p>
    <w:p w14:paraId="1458CF37" w14:textId="3F11A2CD" w:rsidR="002765A7" w:rsidRPr="00E92671" w:rsidRDefault="00B51A59">
      <w:pPr>
        <w:pStyle w:val="SingleTxtG"/>
      </w:pPr>
      <w:r w:rsidRPr="00F214BE">
        <w:t>11</w:t>
      </w:r>
      <w:r w:rsidR="00A9743D" w:rsidRPr="00F214BE">
        <w:t>.</w:t>
      </w:r>
      <w:r w:rsidR="00A9743D" w:rsidRPr="00F214BE">
        <w:tab/>
      </w:r>
      <w:r w:rsidR="001563C6" w:rsidRPr="00F214BE">
        <w:t xml:space="preserve">Le Comité </w:t>
      </w:r>
      <w:r w:rsidR="00D268B0" w:rsidRPr="00F214BE">
        <w:t>prend note</w:t>
      </w:r>
      <w:r w:rsidR="001563C6" w:rsidRPr="00F214BE">
        <w:t xml:space="preserve"> </w:t>
      </w:r>
      <w:r w:rsidR="00D042D4" w:rsidRPr="00F214BE">
        <w:t xml:space="preserve">de </w:t>
      </w:r>
      <w:r w:rsidR="001563C6" w:rsidRPr="00F214BE">
        <w:t xml:space="preserve">l’adoption de la loi anticorruption du 7 </w:t>
      </w:r>
      <w:r w:rsidR="00D268B0" w:rsidRPr="00F214BE">
        <w:t xml:space="preserve">juillet 2017, </w:t>
      </w:r>
      <w:r w:rsidR="00FF58DC" w:rsidRPr="00F214BE">
        <w:t xml:space="preserve">de l’introduction dans le </w:t>
      </w:r>
      <w:r w:rsidR="004F2CDF">
        <w:t>C</w:t>
      </w:r>
      <w:r w:rsidR="004F2CDF" w:rsidRPr="00F214BE">
        <w:t xml:space="preserve">ode </w:t>
      </w:r>
      <w:r w:rsidR="00FF58DC" w:rsidRPr="00F214BE">
        <w:t xml:space="preserve">minier de 2013 du principe de transparence dans l’attribution des concessions minières ainsi que </w:t>
      </w:r>
      <w:r w:rsidR="00D268B0" w:rsidRPr="00F214BE">
        <w:t>de</w:t>
      </w:r>
      <w:r w:rsidR="001563C6" w:rsidRPr="00F214BE">
        <w:t xml:space="preserve"> la mise en place </w:t>
      </w:r>
      <w:r w:rsidR="00D268B0" w:rsidRPr="00F214BE">
        <w:t xml:space="preserve">en 2004 </w:t>
      </w:r>
      <w:r w:rsidR="001563C6" w:rsidRPr="00F214BE">
        <w:t>de l’</w:t>
      </w:r>
      <w:r w:rsidR="00FF58DC" w:rsidRPr="00F214BE">
        <w:t xml:space="preserve">Agence </w:t>
      </w:r>
      <w:r w:rsidR="002140F2">
        <w:t>n</w:t>
      </w:r>
      <w:r w:rsidR="002140F2" w:rsidRPr="00F214BE">
        <w:t xml:space="preserve">ationale </w:t>
      </w:r>
      <w:r w:rsidR="001563C6" w:rsidRPr="00F214BE">
        <w:t xml:space="preserve">de </w:t>
      </w:r>
      <w:r w:rsidR="002140F2">
        <w:t>l</w:t>
      </w:r>
      <w:r w:rsidR="002140F2" w:rsidRPr="00F214BE">
        <w:t xml:space="preserve">utte </w:t>
      </w:r>
      <w:r w:rsidR="001563C6" w:rsidRPr="00F214BE">
        <w:t xml:space="preserve">contre la </w:t>
      </w:r>
      <w:r w:rsidR="002140F2">
        <w:t>c</w:t>
      </w:r>
      <w:r w:rsidR="002140F2" w:rsidRPr="00F214BE">
        <w:t xml:space="preserve">orruption </w:t>
      </w:r>
      <w:r w:rsidR="001563C6" w:rsidRPr="00F214BE">
        <w:t xml:space="preserve">et la </w:t>
      </w:r>
      <w:r w:rsidR="002140F2">
        <w:t>p</w:t>
      </w:r>
      <w:r w:rsidR="002140F2" w:rsidRPr="00F214BE">
        <w:t xml:space="preserve">romotion </w:t>
      </w:r>
      <w:r w:rsidR="001563C6" w:rsidRPr="00F214BE">
        <w:t xml:space="preserve">de la </w:t>
      </w:r>
      <w:r w:rsidR="002140F2">
        <w:t>b</w:t>
      </w:r>
      <w:r w:rsidR="002140F2" w:rsidRPr="00F214BE">
        <w:t xml:space="preserve">onne </w:t>
      </w:r>
      <w:r w:rsidR="002140F2">
        <w:t>g</w:t>
      </w:r>
      <w:r w:rsidR="002140F2" w:rsidRPr="00F214BE">
        <w:t>ouvernance</w:t>
      </w:r>
      <w:r w:rsidR="00D268B0" w:rsidRPr="00F214BE">
        <w:t xml:space="preserve">. Il constate toutefois avec préoccupation </w:t>
      </w:r>
      <w:r w:rsidR="00572EE2" w:rsidRPr="00F214BE">
        <w:t xml:space="preserve">que la corruption demeure un phénomène </w:t>
      </w:r>
      <w:r w:rsidR="00D268B0" w:rsidRPr="00F214BE">
        <w:t>systémique sur le territoire de l’État partie</w:t>
      </w:r>
      <w:r w:rsidR="006605A2">
        <w:t>,</w:t>
      </w:r>
      <w:r w:rsidR="00E92671">
        <w:t xml:space="preserve"> qui a pour effet d’affaiblir </w:t>
      </w:r>
      <w:r w:rsidR="006605A2">
        <w:t xml:space="preserve">l’état </w:t>
      </w:r>
      <w:r w:rsidR="00E92671">
        <w:t>de droit et de mener à des violations des dispositions du Pacte</w:t>
      </w:r>
      <w:r w:rsidR="00D268B0" w:rsidRPr="00F214BE">
        <w:t>. Il regrette en particulier les informations faisant état</w:t>
      </w:r>
      <w:r w:rsidR="00D042D4" w:rsidRPr="00F214BE">
        <w:t> : a)</w:t>
      </w:r>
      <w:r w:rsidR="00FF58DC" w:rsidRPr="00F214BE">
        <w:t xml:space="preserve"> du caractère courant de la corruption dans les services de l’État partie</w:t>
      </w:r>
      <w:r w:rsidR="00B6058B">
        <w:t> </w:t>
      </w:r>
      <w:r w:rsidR="00FF58DC" w:rsidRPr="00F214BE">
        <w:t>; b)</w:t>
      </w:r>
      <w:r w:rsidR="00D042D4" w:rsidRPr="00F214BE">
        <w:t xml:space="preserve"> </w:t>
      </w:r>
      <w:r w:rsidR="00FF58DC" w:rsidRPr="00F214BE">
        <w:t>d</w:t>
      </w:r>
      <w:r w:rsidR="00527E3F">
        <w:t>e l</w:t>
      </w:r>
      <w:r w:rsidR="00FF58DC" w:rsidRPr="00F214BE">
        <w:t xml:space="preserve">’absence de textes d’application de </w:t>
      </w:r>
      <w:r w:rsidR="00674B29">
        <w:t xml:space="preserve">la </w:t>
      </w:r>
      <w:r w:rsidR="00FF58DC" w:rsidRPr="00F214BE">
        <w:t>loi du 7</w:t>
      </w:r>
      <w:r w:rsidR="00F25765">
        <w:t> </w:t>
      </w:r>
      <w:r w:rsidR="00FF58DC" w:rsidRPr="00F214BE">
        <w:t xml:space="preserve">juillet 2017 ; c) du manque de moyens de l’Agence </w:t>
      </w:r>
      <w:r w:rsidR="002140F2">
        <w:t>n</w:t>
      </w:r>
      <w:r w:rsidR="002140F2" w:rsidRPr="00F214BE">
        <w:t xml:space="preserve">ationale </w:t>
      </w:r>
      <w:r w:rsidR="00FF58DC" w:rsidRPr="00F214BE">
        <w:t xml:space="preserve">de </w:t>
      </w:r>
      <w:r w:rsidR="002140F2">
        <w:t>l</w:t>
      </w:r>
      <w:r w:rsidR="002140F2" w:rsidRPr="00F214BE">
        <w:t xml:space="preserve">utte </w:t>
      </w:r>
      <w:r w:rsidR="00FF58DC" w:rsidRPr="00F214BE">
        <w:t xml:space="preserve">contre la </w:t>
      </w:r>
      <w:r w:rsidR="002140F2">
        <w:t>c</w:t>
      </w:r>
      <w:r w:rsidR="002140F2" w:rsidRPr="00F214BE">
        <w:t xml:space="preserve">orruption </w:t>
      </w:r>
      <w:r w:rsidR="00FF58DC" w:rsidRPr="00F214BE">
        <w:t xml:space="preserve">et la </w:t>
      </w:r>
      <w:r w:rsidR="002140F2">
        <w:t>p</w:t>
      </w:r>
      <w:r w:rsidR="002140F2" w:rsidRPr="00F214BE">
        <w:t xml:space="preserve">romotion </w:t>
      </w:r>
      <w:r w:rsidR="00FF58DC" w:rsidRPr="00F214BE">
        <w:t xml:space="preserve">de la </w:t>
      </w:r>
      <w:r w:rsidR="002140F2">
        <w:t>b</w:t>
      </w:r>
      <w:r w:rsidR="002140F2" w:rsidRPr="00F214BE">
        <w:t xml:space="preserve">onne </w:t>
      </w:r>
      <w:r w:rsidR="002140F2">
        <w:t>g</w:t>
      </w:r>
      <w:r w:rsidR="002140F2" w:rsidRPr="00F214BE">
        <w:t>ouvernance</w:t>
      </w:r>
      <w:r w:rsidR="00FF58DC" w:rsidRPr="00F214BE">
        <w:t>.</w:t>
      </w:r>
      <w:r w:rsidR="00D268B0" w:rsidRPr="00F214BE">
        <w:t xml:space="preserve"> </w:t>
      </w:r>
      <w:r w:rsidR="00504F31" w:rsidRPr="00F214BE">
        <w:t>Il regrette le faible nombre d’enquêtes, poursuites et condamnations prononcées dans le cadre de la lutte contre la corruption</w:t>
      </w:r>
      <w:r w:rsidR="006605A2">
        <w:t>,</w:t>
      </w:r>
      <w:r w:rsidR="00504F31" w:rsidRPr="00F214BE">
        <w:t xml:space="preserve"> et ce</w:t>
      </w:r>
      <w:r w:rsidR="006605A2">
        <w:t>,</w:t>
      </w:r>
      <w:r w:rsidR="00504F31" w:rsidRPr="00F214BE">
        <w:t xml:space="preserve"> en dépit de </w:t>
      </w:r>
      <w:r w:rsidR="008958FD" w:rsidRPr="00F214BE">
        <w:lastRenderedPageBreak/>
        <w:t>l’introduction d</w:t>
      </w:r>
      <w:r w:rsidR="00596B27">
        <w:t>’une</w:t>
      </w:r>
      <w:r w:rsidR="008958FD" w:rsidRPr="00F214BE">
        <w:t xml:space="preserve"> définition</w:t>
      </w:r>
      <w:r w:rsidR="00596B27">
        <w:t xml:space="preserve"> plus large</w:t>
      </w:r>
      <w:r w:rsidR="008958FD" w:rsidRPr="00F214BE">
        <w:t xml:space="preserve"> et de peines </w:t>
      </w:r>
      <w:r w:rsidR="00596B27">
        <w:t xml:space="preserve">plus </w:t>
      </w:r>
      <w:r w:rsidR="008958FD" w:rsidRPr="00F214BE">
        <w:t xml:space="preserve">sévères dans le </w:t>
      </w:r>
      <w:r w:rsidR="004F2CDF">
        <w:t>C</w:t>
      </w:r>
      <w:r w:rsidR="004F2CDF" w:rsidRPr="00F214BE">
        <w:t xml:space="preserve">ode </w:t>
      </w:r>
      <w:r w:rsidR="008958FD" w:rsidRPr="00F214BE">
        <w:t>pénal réformé en 2016 (art</w:t>
      </w:r>
      <w:r w:rsidR="00D06798">
        <w:t>. </w:t>
      </w:r>
      <w:r w:rsidR="008958FD" w:rsidRPr="00F214BE">
        <w:t>2</w:t>
      </w:r>
      <w:r w:rsidR="00B739D6">
        <w:t>, 14 et 25</w:t>
      </w:r>
      <w:r w:rsidR="008958FD" w:rsidRPr="00F214BE">
        <w:t>).</w:t>
      </w:r>
    </w:p>
    <w:p w14:paraId="4A3D43C3" w14:textId="46CB0DB9" w:rsidR="008958FD" w:rsidRPr="00F214BE" w:rsidRDefault="001B7E7E" w:rsidP="001563C6">
      <w:pPr>
        <w:pStyle w:val="SingleTxtG"/>
        <w:rPr>
          <w:b/>
          <w:lang w:val="fr-FR"/>
        </w:rPr>
      </w:pPr>
      <w:r w:rsidRPr="00990BE1">
        <w:rPr>
          <w:lang w:val="fr-FR"/>
        </w:rPr>
        <w:t>12</w:t>
      </w:r>
      <w:r w:rsidR="00A9743D" w:rsidRPr="00990BE1">
        <w:rPr>
          <w:lang w:val="fr-FR"/>
        </w:rPr>
        <w:t>.</w:t>
      </w:r>
      <w:r w:rsidR="00A9743D" w:rsidRPr="00990BE1">
        <w:rPr>
          <w:lang w:val="fr-FR"/>
        </w:rPr>
        <w:tab/>
      </w:r>
      <w:r w:rsidR="00975072">
        <w:rPr>
          <w:b/>
          <w:lang w:val="fr-FR"/>
        </w:rPr>
        <w:t>L’État partie devrait : a) </w:t>
      </w:r>
      <w:r w:rsidR="008958FD" w:rsidRPr="00F214BE">
        <w:rPr>
          <w:b/>
          <w:lang w:val="fr-FR"/>
        </w:rPr>
        <w:t>redoubler d’efforts dans sa lutte contre la corruption et l’impunité qui y est associée, notamment par l</w:t>
      </w:r>
      <w:r w:rsidR="00B730C3" w:rsidRPr="00F214BE">
        <w:rPr>
          <w:b/>
          <w:lang w:val="fr-FR"/>
        </w:rPr>
        <w:t>’adoption de textes d’application de la loi du 7 juillet 2017</w:t>
      </w:r>
      <w:r w:rsidR="00B6058B">
        <w:rPr>
          <w:b/>
          <w:lang w:val="fr-FR"/>
        </w:rPr>
        <w:t> </w:t>
      </w:r>
      <w:r w:rsidR="008958FD" w:rsidRPr="00F214BE">
        <w:rPr>
          <w:b/>
          <w:lang w:val="fr-FR"/>
        </w:rPr>
        <w:t>; b)</w:t>
      </w:r>
      <w:r w:rsidR="00975072">
        <w:rPr>
          <w:b/>
          <w:lang w:val="fr-FR"/>
        </w:rPr>
        <w:t> </w:t>
      </w:r>
      <w:r w:rsidR="00F25765">
        <w:rPr>
          <w:b/>
          <w:lang w:val="fr-FR"/>
        </w:rPr>
        <w:t>veiller à</w:t>
      </w:r>
      <w:r w:rsidR="00B730C3" w:rsidRPr="00F214BE">
        <w:rPr>
          <w:b/>
          <w:lang w:val="fr-FR"/>
        </w:rPr>
        <w:t xml:space="preserve"> ce que l’Agence </w:t>
      </w:r>
      <w:r w:rsidR="002140F2">
        <w:rPr>
          <w:b/>
          <w:lang w:val="fr-FR"/>
        </w:rPr>
        <w:t>n</w:t>
      </w:r>
      <w:r w:rsidR="002140F2" w:rsidRPr="00F214BE">
        <w:rPr>
          <w:b/>
          <w:lang w:val="fr-FR"/>
        </w:rPr>
        <w:t xml:space="preserve">ationale </w:t>
      </w:r>
      <w:r w:rsidR="00B730C3" w:rsidRPr="00F214BE">
        <w:rPr>
          <w:b/>
          <w:lang w:val="fr-FR"/>
        </w:rPr>
        <w:t xml:space="preserve">de </w:t>
      </w:r>
      <w:r w:rsidR="002140F2">
        <w:rPr>
          <w:b/>
          <w:lang w:val="fr-FR"/>
        </w:rPr>
        <w:t>l</w:t>
      </w:r>
      <w:r w:rsidR="002140F2" w:rsidRPr="00F214BE">
        <w:rPr>
          <w:b/>
          <w:lang w:val="fr-FR"/>
        </w:rPr>
        <w:t xml:space="preserve">utte </w:t>
      </w:r>
      <w:r w:rsidR="00B730C3" w:rsidRPr="00F214BE">
        <w:rPr>
          <w:b/>
          <w:lang w:val="fr-FR"/>
        </w:rPr>
        <w:t xml:space="preserve">contre la </w:t>
      </w:r>
      <w:r w:rsidR="002140F2">
        <w:rPr>
          <w:b/>
          <w:lang w:val="fr-FR"/>
        </w:rPr>
        <w:t>c</w:t>
      </w:r>
      <w:r w:rsidR="002140F2" w:rsidRPr="00F214BE">
        <w:rPr>
          <w:b/>
          <w:lang w:val="fr-FR"/>
        </w:rPr>
        <w:t xml:space="preserve">orruption </w:t>
      </w:r>
      <w:r w:rsidR="00B730C3" w:rsidRPr="00F214BE">
        <w:rPr>
          <w:b/>
          <w:lang w:val="fr-FR"/>
        </w:rPr>
        <w:t xml:space="preserve">et la </w:t>
      </w:r>
      <w:r w:rsidR="002140F2">
        <w:rPr>
          <w:b/>
          <w:lang w:val="fr-FR"/>
        </w:rPr>
        <w:t>p</w:t>
      </w:r>
      <w:r w:rsidR="002140F2" w:rsidRPr="00F214BE">
        <w:rPr>
          <w:b/>
          <w:lang w:val="fr-FR"/>
        </w:rPr>
        <w:t xml:space="preserve">romotion </w:t>
      </w:r>
      <w:r w:rsidR="00B730C3" w:rsidRPr="00F214BE">
        <w:rPr>
          <w:b/>
          <w:lang w:val="fr-FR"/>
        </w:rPr>
        <w:t xml:space="preserve">de la </w:t>
      </w:r>
      <w:r w:rsidR="002140F2">
        <w:rPr>
          <w:b/>
          <w:lang w:val="fr-FR"/>
        </w:rPr>
        <w:t>b</w:t>
      </w:r>
      <w:r w:rsidR="002140F2" w:rsidRPr="00F214BE">
        <w:rPr>
          <w:b/>
          <w:lang w:val="fr-FR"/>
        </w:rPr>
        <w:t xml:space="preserve">onne </w:t>
      </w:r>
      <w:r w:rsidR="002140F2">
        <w:rPr>
          <w:b/>
          <w:lang w:val="fr-FR"/>
        </w:rPr>
        <w:t>g</w:t>
      </w:r>
      <w:r w:rsidR="002140F2" w:rsidRPr="00F214BE">
        <w:rPr>
          <w:b/>
          <w:lang w:val="fr-FR"/>
        </w:rPr>
        <w:t xml:space="preserve">ouvernance </w:t>
      </w:r>
      <w:r w:rsidR="00B730C3" w:rsidRPr="00F214BE">
        <w:rPr>
          <w:b/>
          <w:lang w:val="fr-FR"/>
        </w:rPr>
        <w:t>soit</w:t>
      </w:r>
      <w:r w:rsidR="00354EB2" w:rsidRPr="00F214BE">
        <w:rPr>
          <w:b/>
          <w:lang w:val="fr-FR"/>
        </w:rPr>
        <w:t xml:space="preserve"> </w:t>
      </w:r>
      <w:r w:rsidR="00B730C3" w:rsidRPr="00F214BE">
        <w:rPr>
          <w:b/>
          <w:lang w:val="fr-FR"/>
        </w:rPr>
        <w:t xml:space="preserve">un organe </w:t>
      </w:r>
      <w:r w:rsidR="00354EB2" w:rsidRPr="00F214BE">
        <w:rPr>
          <w:b/>
          <w:lang w:val="fr-FR"/>
        </w:rPr>
        <w:t xml:space="preserve">pleinement indépendant et efficace de lutte contre la corruption ; </w:t>
      </w:r>
      <w:r w:rsidR="00975072">
        <w:rPr>
          <w:b/>
          <w:lang w:val="fr-FR"/>
        </w:rPr>
        <w:t>c) </w:t>
      </w:r>
      <w:r w:rsidR="00354EB2" w:rsidRPr="00F214BE">
        <w:rPr>
          <w:b/>
          <w:lang w:val="fr-FR"/>
        </w:rPr>
        <w:t>établir une politique rigoureuse à l’égard</w:t>
      </w:r>
      <w:r w:rsidR="00B1728E">
        <w:rPr>
          <w:b/>
          <w:lang w:val="fr-FR"/>
        </w:rPr>
        <w:t xml:space="preserve"> des actes de</w:t>
      </w:r>
      <w:r w:rsidR="00976CF1">
        <w:rPr>
          <w:b/>
          <w:lang w:val="fr-FR"/>
        </w:rPr>
        <w:t xml:space="preserve"> corruption dans les services</w:t>
      </w:r>
      <w:r w:rsidR="00B1728E">
        <w:rPr>
          <w:b/>
          <w:lang w:val="fr-FR"/>
        </w:rPr>
        <w:t xml:space="preserve"> publics, </w:t>
      </w:r>
      <w:r w:rsidR="00BA6DA2">
        <w:rPr>
          <w:b/>
          <w:lang w:val="fr-FR"/>
        </w:rPr>
        <w:t>avec notamment</w:t>
      </w:r>
      <w:r w:rsidR="00B1728E">
        <w:rPr>
          <w:b/>
          <w:lang w:val="fr-FR"/>
        </w:rPr>
        <w:t xml:space="preserve"> des mesures préventives et correctives</w:t>
      </w:r>
      <w:r w:rsidR="00B6058B">
        <w:rPr>
          <w:b/>
          <w:lang w:val="fr-FR"/>
        </w:rPr>
        <w:t> </w:t>
      </w:r>
      <w:r w:rsidR="00975072">
        <w:rPr>
          <w:b/>
          <w:lang w:val="fr-FR"/>
        </w:rPr>
        <w:t>; d) </w:t>
      </w:r>
      <w:r w:rsidR="00354EB2" w:rsidRPr="00F214BE">
        <w:rPr>
          <w:b/>
          <w:lang w:val="fr-FR"/>
        </w:rPr>
        <w:t xml:space="preserve">enquêter </w:t>
      </w:r>
      <w:r w:rsidR="008F0587">
        <w:rPr>
          <w:b/>
          <w:lang w:val="fr-FR"/>
        </w:rPr>
        <w:t xml:space="preserve">sur </w:t>
      </w:r>
      <w:r w:rsidR="00354EB2" w:rsidRPr="00F214BE">
        <w:rPr>
          <w:b/>
          <w:lang w:val="fr-FR"/>
        </w:rPr>
        <w:t xml:space="preserve">les responsables d’actes de corruption, y compris au plus haut niveau de l’État partie, </w:t>
      </w:r>
      <w:r w:rsidR="008F0587" w:rsidRPr="00F214BE">
        <w:rPr>
          <w:b/>
          <w:lang w:val="fr-FR"/>
        </w:rPr>
        <w:t xml:space="preserve">et </w:t>
      </w:r>
      <w:r w:rsidR="008F0587">
        <w:rPr>
          <w:b/>
          <w:lang w:val="fr-FR"/>
        </w:rPr>
        <w:t xml:space="preserve">les </w:t>
      </w:r>
      <w:r w:rsidR="008F0587" w:rsidRPr="00F214BE">
        <w:rPr>
          <w:b/>
          <w:lang w:val="fr-FR"/>
        </w:rPr>
        <w:t xml:space="preserve">poursuivre </w:t>
      </w:r>
      <w:r w:rsidR="00354EB2" w:rsidRPr="00F214BE">
        <w:rPr>
          <w:b/>
          <w:lang w:val="fr-FR"/>
        </w:rPr>
        <w:t>devant les tribunaux</w:t>
      </w:r>
      <w:r w:rsidR="00571255" w:rsidRPr="00F214BE">
        <w:rPr>
          <w:b/>
          <w:lang w:val="fr-FR"/>
        </w:rPr>
        <w:t>,</w:t>
      </w:r>
      <w:r w:rsidR="00354EB2" w:rsidRPr="00F214BE">
        <w:rPr>
          <w:b/>
          <w:lang w:val="fr-FR"/>
        </w:rPr>
        <w:t xml:space="preserve"> dans le cadre de procès respectant les garanties fondamentales</w:t>
      </w:r>
      <w:r w:rsidR="00B730C3" w:rsidRPr="00F214BE">
        <w:rPr>
          <w:b/>
          <w:lang w:val="fr-FR"/>
        </w:rPr>
        <w:t xml:space="preserve"> établies par l’article 14 du Pacte.</w:t>
      </w:r>
      <w:r w:rsidR="00354EB2" w:rsidRPr="00F214BE">
        <w:rPr>
          <w:b/>
          <w:lang w:val="fr-FR"/>
        </w:rPr>
        <w:t xml:space="preserve"> </w:t>
      </w:r>
    </w:p>
    <w:p w14:paraId="2B5D74FF" w14:textId="07F74ABB" w:rsidR="00FD004B" w:rsidRPr="00D06798" w:rsidRDefault="009615FC" w:rsidP="00D06798">
      <w:pPr>
        <w:pStyle w:val="H23G"/>
      </w:pPr>
      <w:r w:rsidRPr="00F214BE">
        <w:rPr>
          <w:lang w:val="fr-FR"/>
        </w:rPr>
        <w:tab/>
      </w:r>
      <w:r w:rsidR="00F214BE">
        <w:rPr>
          <w:lang w:val="fr-FR"/>
        </w:rPr>
        <w:tab/>
      </w:r>
      <w:r w:rsidR="00572EE2" w:rsidRPr="00F214BE">
        <w:rPr>
          <w:lang w:val="fr-FR"/>
        </w:rPr>
        <w:t>É</w:t>
      </w:r>
      <w:r w:rsidR="00FD004B" w:rsidRPr="00F214BE">
        <w:rPr>
          <w:lang w:val="fr-FR"/>
        </w:rPr>
        <w:t>tat d’urgence</w:t>
      </w:r>
    </w:p>
    <w:p w14:paraId="3B5E165B" w14:textId="1BF9F79E" w:rsidR="00A9678D" w:rsidRPr="00F214BE" w:rsidRDefault="001B7E7E" w:rsidP="00A9678D">
      <w:pPr>
        <w:pStyle w:val="SingleTxtG"/>
        <w:rPr>
          <w:lang w:val="fr-FR"/>
        </w:rPr>
      </w:pPr>
      <w:r w:rsidRPr="00F214BE">
        <w:rPr>
          <w:lang w:val="fr-FR"/>
        </w:rPr>
        <w:t>13</w:t>
      </w:r>
      <w:r w:rsidR="00A9743D" w:rsidRPr="00F214BE">
        <w:rPr>
          <w:lang w:val="fr-FR"/>
        </w:rPr>
        <w:t>.</w:t>
      </w:r>
      <w:r w:rsidR="00A9743D" w:rsidRPr="00F214BE">
        <w:rPr>
          <w:lang w:val="fr-FR"/>
        </w:rPr>
        <w:tab/>
      </w:r>
      <w:r w:rsidR="00A9678D" w:rsidRPr="00F214BE">
        <w:rPr>
          <w:lang w:val="fr-FR"/>
        </w:rPr>
        <w:t>Le Comité exprime ses préoccupations quant aux informations crédibles faisant état d</w:t>
      </w:r>
      <w:r w:rsidR="00E336FB">
        <w:rPr>
          <w:lang w:val="fr-FR"/>
        </w:rPr>
        <w:t>u</w:t>
      </w:r>
      <w:r w:rsidR="00A9678D" w:rsidRPr="00F214BE">
        <w:rPr>
          <w:lang w:val="fr-FR"/>
        </w:rPr>
        <w:t xml:space="preserve"> non-respect des garanties prévues par l’article 4 du Pacte au cours des états de siège et d’urgence de 2007, 2010 et 2014 et regrette l’absence de mesures destinées à protéger certains droits auquel il ne peut être dérogé, en particulier le droit à la vie</w:t>
      </w:r>
      <w:r w:rsidR="00347BF1" w:rsidRPr="00F214BE">
        <w:rPr>
          <w:lang w:val="fr-FR"/>
        </w:rPr>
        <w:t>. Il note également avec inquiétude les allégations faisant état de restriction</w:t>
      </w:r>
      <w:r w:rsidR="005A654F">
        <w:rPr>
          <w:lang w:val="fr-FR"/>
        </w:rPr>
        <w:t>s</w:t>
      </w:r>
      <w:r w:rsidR="00347BF1" w:rsidRPr="00F214BE">
        <w:rPr>
          <w:lang w:val="fr-FR"/>
        </w:rPr>
        <w:t xml:space="preserve"> disproportionnée</w:t>
      </w:r>
      <w:r w:rsidR="005A654F">
        <w:rPr>
          <w:lang w:val="fr-FR"/>
        </w:rPr>
        <w:t>s</w:t>
      </w:r>
      <w:r w:rsidR="00347BF1" w:rsidRPr="00F214BE">
        <w:rPr>
          <w:lang w:val="fr-FR"/>
        </w:rPr>
        <w:t xml:space="preserve"> à la liberté d’expression et </w:t>
      </w:r>
      <w:r w:rsidR="005A654F">
        <w:rPr>
          <w:lang w:val="fr-FR"/>
        </w:rPr>
        <w:t xml:space="preserve">à la liberté </w:t>
      </w:r>
      <w:r w:rsidR="00347BF1" w:rsidRPr="00F214BE">
        <w:rPr>
          <w:lang w:val="fr-FR"/>
        </w:rPr>
        <w:t>de réunion pacifique</w:t>
      </w:r>
      <w:r w:rsidR="00084FF1">
        <w:rPr>
          <w:lang w:val="fr-FR"/>
        </w:rPr>
        <w:t xml:space="preserve"> durant les</w:t>
      </w:r>
      <w:r w:rsidR="00674B29">
        <w:rPr>
          <w:lang w:val="fr-FR"/>
        </w:rPr>
        <w:t xml:space="preserve"> états</w:t>
      </w:r>
      <w:r w:rsidR="00084FF1">
        <w:rPr>
          <w:lang w:val="fr-FR"/>
        </w:rPr>
        <w:t xml:space="preserve"> de siège et d’urgence</w:t>
      </w:r>
      <w:r w:rsidR="00347BF1" w:rsidRPr="00F214BE">
        <w:rPr>
          <w:lang w:val="fr-FR"/>
        </w:rPr>
        <w:t xml:space="preserve"> (art</w:t>
      </w:r>
      <w:r w:rsidR="00D06798">
        <w:rPr>
          <w:lang w:val="fr-FR"/>
        </w:rPr>
        <w:t>. </w:t>
      </w:r>
      <w:r w:rsidR="00347BF1" w:rsidRPr="00F214BE">
        <w:rPr>
          <w:lang w:val="fr-FR"/>
        </w:rPr>
        <w:t>4, 6, 19 et 21).</w:t>
      </w:r>
    </w:p>
    <w:p w14:paraId="238C71FC" w14:textId="719412A4" w:rsidR="00347BF1" w:rsidRPr="00F214BE" w:rsidRDefault="001B7E7E" w:rsidP="00A9678D">
      <w:pPr>
        <w:pStyle w:val="SingleTxtG"/>
        <w:rPr>
          <w:b/>
          <w:lang w:val="fr-FR"/>
        </w:rPr>
      </w:pPr>
      <w:r w:rsidRPr="00990BE1">
        <w:rPr>
          <w:lang w:val="fr-FR"/>
        </w:rPr>
        <w:t>14</w:t>
      </w:r>
      <w:r w:rsidR="00A9743D" w:rsidRPr="00990BE1">
        <w:rPr>
          <w:lang w:val="fr-FR"/>
        </w:rPr>
        <w:t>.</w:t>
      </w:r>
      <w:r w:rsidR="00A9743D" w:rsidRPr="00990BE1">
        <w:rPr>
          <w:lang w:val="fr-FR"/>
        </w:rPr>
        <w:tab/>
      </w:r>
      <w:r w:rsidR="00347BF1" w:rsidRPr="00F214BE">
        <w:rPr>
          <w:b/>
          <w:lang w:val="fr-FR"/>
        </w:rPr>
        <w:t xml:space="preserve">L’État partie devrait prendre toutes les mesures </w:t>
      </w:r>
      <w:r w:rsidR="008525FA">
        <w:rPr>
          <w:b/>
          <w:lang w:val="fr-FR"/>
        </w:rPr>
        <w:t xml:space="preserve">visant à </w:t>
      </w:r>
      <w:r w:rsidR="00347BF1" w:rsidRPr="00F214BE">
        <w:rPr>
          <w:b/>
          <w:lang w:val="fr-FR"/>
        </w:rPr>
        <w:t>assurer la pleine compatibilité de sa législation relative à l’état de siège et d’urgence et de son application avec les dispositions de l’article 4 du Pacte.</w:t>
      </w:r>
    </w:p>
    <w:p w14:paraId="5DFD8A9D" w14:textId="35FD5415" w:rsidR="00FD004B" w:rsidRPr="00D06798" w:rsidRDefault="00FD004B" w:rsidP="00D06798">
      <w:pPr>
        <w:pStyle w:val="H23G"/>
      </w:pPr>
      <w:r w:rsidRPr="00F214BE">
        <w:tab/>
      </w:r>
      <w:r w:rsidRPr="00F214BE">
        <w:tab/>
        <w:t>Violations</w:t>
      </w:r>
      <w:r w:rsidRPr="00F214BE">
        <w:rPr>
          <w:lang w:val="fr-FR"/>
        </w:rPr>
        <w:t xml:space="preserve"> p</w:t>
      </w:r>
      <w:r w:rsidR="00347BF1" w:rsidRPr="00F214BE">
        <w:rPr>
          <w:lang w:val="fr-FR"/>
        </w:rPr>
        <w:t xml:space="preserve">assées des droits de l’homme, lutte contre l’impunité </w:t>
      </w:r>
      <w:r w:rsidR="001F550E">
        <w:rPr>
          <w:lang w:val="fr-FR"/>
        </w:rPr>
        <w:br/>
      </w:r>
      <w:r w:rsidR="00347BF1" w:rsidRPr="00F214BE">
        <w:rPr>
          <w:lang w:val="fr-FR"/>
        </w:rPr>
        <w:t xml:space="preserve">et réconciliation nationale </w:t>
      </w:r>
    </w:p>
    <w:p w14:paraId="62BBA078" w14:textId="5107082E" w:rsidR="00347BF1" w:rsidRPr="00F214BE" w:rsidRDefault="001B7E7E" w:rsidP="00347BF1">
      <w:pPr>
        <w:pStyle w:val="SingleTxtG"/>
        <w:rPr>
          <w:lang w:val="fr-FR"/>
        </w:rPr>
      </w:pPr>
      <w:r w:rsidRPr="00F214BE">
        <w:rPr>
          <w:lang w:val="fr-FR"/>
        </w:rPr>
        <w:t>15</w:t>
      </w:r>
      <w:r w:rsidR="00A9743D" w:rsidRPr="00F214BE">
        <w:rPr>
          <w:lang w:val="fr-FR"/>
        </w:rPr>
        <w:t>.</w:t>
      </w:r>
      <w:r w:rsidR="00A9743D" w:rsidRPr="00F214BE">
        <w:rPr>
          <w:lang w:val="fr-FR"/>
        </w:rPr>
        <w:tab/>
      </w:r>
      <w:r w:rsidR="00347BF1" w:rsidRPr="00F214BE">
        <w:rPr>
          <w:lang w:val="fr-FR"/>
        </w:rPr>
        <w:t xml:space="preserve">Le Comité exprime ses préoccupations quant </w:t>
      </w:r>
      <w:r w:rsidR="00990ABF" w:rsidRPr="00F214BE">
        <w:rPr>
          <w:lang w:val="fr-FR"/>
        </w:rPr>
        <w:t>aux cas de graves violations des droits de l’homme commises en particulier en janvier</w:t>
      </w:r>
      <w:r w:rsidR="008525FA">
        <w:rPr>
          <w:lang w:val="fr-FR"/>
        </w:rPr>
        <w:t xml:space="preserve"> et </w:t>
      </w:r>
      <w:r w:rsidR="00990ABF" w:rsidRPr="00F214BE">
        <w:rPr>
          <w:lang w:val="fr-FR"/>
        </w:rPr>
        <w:t>février 2007, septembre 2009, août 2012, juillet 2013 et septembre 2014</w:t>
      </w:r>
      <w:r w:rsidR="00D0240D" w:rsidRPr="00F214BE">
        <w:rPr>
          <w:lang w:val="fr-FR"/>
        </w:rPr>
        <w:t>. Il note avec regret la lenteur avec laquelle les enquêtes progressent ainsi que le faible nombre de poursuites et</w:t>
      </w:r>
      <w:r w:rsidR="00877CF0" w:rsidRPr="00F214BE">
        <w:rPr>
          <w:lang w:val="fr-FR"/>
        </w:rPr>
        <w:t xml:space="preserve"> de sanctions des responsables</w:t>
      </w:r>
      <w:r w:rsidR="00A9495E" w:rsidRPr="00F214BE">
        <w:rPr>
          <w:lang w:val="fr-FR"/>
        </w:rPr>
        <w:t xml:space="preserve"> qui favorisent</w:t>
      </w:r>
      <w:r w:rsidR="00F540B3" w:rsidRPr="00F214BE">
        <w:rPr>
          <w:lang w:val="fr-FR"/>
        </w:rPr>
        <w:t xml:space="preserve"> </w:t>
      </w:r>
      <w:r w:rsidR="00F540B3" w:rsidRPr="00D06798">
        <w:rPr>
          <w:iCs/>
          <w:lang w:val="fr-FR"/>
        </w:rPr>
        <w:t>de facto</w:t>
      </w:r>
      <w:r w:rsidR="00BA41C0" w:rsidRPr="00F214BE">
        <w:rPr>
          <w:lang w:val="fr-FR"/>
        </w:rPr>
        <w:t xml:space="preserve"> un</w:t>
      </w:r>
      <w:r w:rsidR="00A9495E" w:rsidRPr="00F214BE">
        <w:rPr>
          <w:lang w:val="fr-FR"/>
        </w:rPr>
        <w:t xml:space="preserve"> climat d’impunité</w:t>
      </w:r>
      <w:r w:rsidR="00877CF0" w:rsidRPr="00F214BE">
        <w:rPr>
          <w:lang w:val="fr-FR"/>
        </w:rPr>
        <w:t xml:space="preserve">, tout </w:t>
      </w:r>
      <w:r w:rsidR="00BA41C0" w:rsidRPr="00F214BE">
        <w:rPr>
          <w:lang w:val="fr-FR"/>
        </w:rPr>
        <w:t>particulièrement en ce qui concerne l</w:t>
      </w:r>
      <w:r w:rsidR="00877CF0" w:rsidRPr="00F214BE">
        <w:rPr>
          <w:lang w:val="fr-FR"/>
        </w:rPr>
        <w:t xml:space="preserve">es événements du 28 septembre 2009 </w:t>
      </w:r>
      <w:r w:rsidR="00F352B0">
        <w:rPr>
          <w:lang w:val="fr-FR"/>
        </w:rPr>
        <w:t>a</w:t>
      </w:r>
      <w:r w:rsidR="00877CF0" w:rsidRPr="00F214BE">
        <w:rPr>
          <w:lang w:val="fr-FR"/>
        </w:rPr>
        <w:t>u stade de Conakry.</w:t>
      </w:r>
      <w:r w:rsidR="00A9495E" w:rsidRPr="00F214BE">
        <w:rPr>
          <w:lang w:val="fr-FR"/>
        </w:rPr>
        <w:t xml:space="preserve"> </w:t>
      </w:r>
      <w:r w:rsidR="0046134F">
        <w:rPr>
          <w:lang w:val="fr-FR"/>
        </w:rPr>
        <w:t>À</w:t>
      </w:r>
      <w:r w:rsidR="00A9495E" w:rsidRPr="00F214BE">
        <w:rPr>
          <w:lang w:val="fr-FR"/>
        </w:rPr>
        <w:t xml:space="preserve"> </w:t>
      </w:r>
      <w:r w:rsidR="00512C16">
        <w:rPr>
          <w:lang w:val="fr-FR"/>
        </w:rPr>
        <w:t>cet</w:t>
      </w:r>
      <w:r w:rsidR="00A9495E" w:rsidRPr="00F214BE">
        <w:rPr>
          <w:lang w:val="fr-FR"/>
        </w:rPr>
        <w:t xml:space="preserve"> égard, </w:t>
      </w:r>
      <w:r w:rsidR="00E92671">
        <w:rPr>
          <w:lang w:val="fr-FR"/>
        </w:rPr>
        <w:t>i</w:t>
      </w:r>
      <w:r w:rsidR="00A9495E" w:rsidRPr="00F214BE">
        <w:rPr>
          <w:lang w:val="fr-FR"/>
        </w:rPr>
        <w:t>l prend note de la conclusion de l’enquête</w:t>
      </w:r>
      <w:r w:rsidR="00572EE2" w:rsidRPr="00F214BE">
        <w:rPr>
          <w:lang w:val="fr-FR"/>
        </w:rPr>
        <w:t xml:space="preserve"> </w:t>
      </w:r>
      <w:r w:rsidR="00DE7940" w:rsidRPr="00F214BE">
        <w:rPr>
          <w:lang w:val="fr-FR"/>
        </w:rPr>
        <w:t>judiciaire</w:t>
      </w:r>
      <w:r w:rsidR="00E92671">
        <w:rPr>
          <w:lang w:val="fr-FR"/>
        </w:rPr>
        <w:t>,</w:t>
      </w:r>
      <w:r w:rsidR="00A9495E" w:rsidRPr="00F214BE">
        <w:rPr>
          <w:lang w:val="fr-FR"/>
        </w:rPr>
        <w:t xml:space="preserve"> de la création </w:t>
      </w:r>
      <w:r w:rsidR="00BB68B3" w:rsidRPr="00F214BE">
        <w:rPr>
          <w:lang w:val="fr-FR"/>
        </w:rPr>
        <w:t xml:space="preserve">en avril 2018 </w:t>
      </w:r>
      <w:r w:rsidR="00A9495E" w:rsidRPr="00F214BE">
        <w:rPr>
          <w:lang w:val="fr-FR"/>
        </w:rPr>
        <w:t>du Comité de pilotage chargé de l’organisation du procès</w:t>
      </w:r>
      <w:r w:rsidR="00E92671">
        <w:rPr>
          <w:lang w:val="fr-FR"/>
        </w:rPr>
        <w:t xml:space="preserve"> ainsi que de la coopération de l’État partie</w:t>
      </w:r>
      <w:r w:rsidR="008D3ACA">
        <w:rPr>
          <w:lang w:val="fr-FR"/>
        </w:rPr>
        <w:t xml:space="preserve"> avec la Cour pénale internationale quant à l’examen préliminaire des faits</w:t>
      </w:r>
      <w:r w:rsidR="00A9495E" w:rsidRPr="00F214BE">
        <w:rPr>
          <w:lang w:val="fr-FR"/>
        </w:rPr>
        <w:t>. Il regrette toutefois le retard important</w:t>
      </w:r>
      <w:r w:rsidR="00F352B0">
        <w:rPr>
          <w:lang w:val="fr-FR"/>
        </w:rPr>
        <w:t xml:space="preserve"> pris</w:t>
      </w:r>
      <w:r w:rsidR="00A9495E" w:rsidRPr="00F214BE">
        <w:rPr>
          <w:lang w:val="fr-FR"/>
        </w:rPr>
        <w:t xml:space="preserve"> dans la tenue du procès</w:t>
      </w:r>
      <w:r w:rsidR="008525FA">
        <w:rPr>
          <w:lang w:val="fr-FR"/>
        </w:rPr>
        <w:t xml:space="preserve"> </w:t>
      </w:r>
      <w:r w:rsidR="00A9495E" w:rsidRPr="00F214BE">
        <w:rPr>
          <w:lang w:val="fr-FR"/>
        </w:rPr>
        <w:t>et est vivement préoccupé par</w:t>
      </w:r>
      <w:r w:rsidR="008525FA">
        <w:rPr>
          <w:lang w:val="fr-FR"/>
        </w:rPr>
        <w:t xml:space="preserve"> </w:t>
      </w:r>
      <w:r w:rsidR="00A9495E" w:rsidRPr="00F214BE">
        <w:rPr>
          <w:lang w:val="fr-FR"/>
        </w:rPr>
        <w:t xml:space="preserve">les informations selon lesquelles plusieurs personnes impliquées dans ces </w:t>
      </w:r>
      <w:r w:rsidR="008525FA" w:rsidRPr="00F214BE">
        <w:rPr>
          <w:lang w:val="fr-FR"/>
        </w:rPr>
        <w:t>év</w:t>
      </w:r>
      <w:r w:rsidR="008525FA">
        <w:rPr>
          <w:lang w:val="fr-FR"/>
        </w:rPr>
        <w:t>é</w:t>
      </w:r>
      <w:r w:rsidR="008525FA" w:rsidRPr="00F214BE">
        <w:rPr>
          <w:lang w:val="fr-FR"/>
        </w:rPr>
        <w:t xml:space="preserve">nements </w:t>
      </w:r>
      <w:r w:rsidR="00A9495E" w:rsidRPr="00F214BE">
        <w:rPr>
          <w:lang w:val="fr-FR"/>
        </w:rPr>
        <w:t>seraient maintenu</w:t>
      </w:r>
      <w:r w:rsidR="00EB7036" w:rsidRPr="00F214BE">
        <w:rPr>
          <w:lang w:val="fr-FR"/>
        </w:rPr>
        <w:t>e</w:t>
      </w:r>
      <w:r w:rsidR="00A9495E" w:rsidRPr="00F214BE">
        <w:rPr>
          <w:lang w:val="fr-FR"/>
        </w:rPr>
        <w:t xml:space="preserve">s à des postes de responsabilité importants. </w:t>
      </w:r>
      <w:r w:rsidR="00B001F0" w:rsidRPr="00F214BE">
        <w:rPr>
          <w:lang w:val="fr-FR"/>
        </w:rPr>
        <w:t>Il regrette</w:t>
      </w:r>
      <w:r w:rsidR="00B739D6">
        <w:rPr>
          <w:lang w:val="fr-FR"/>
        </w:rPr>
        <w:t xml:space="preserve"> en particulier</w:t>
      </w:r>
      <w:r w:rsidR="00B001F0" w:rsidRPr="00F214BE">
        <w:rPr>
          <w:lang w:val="fr-FR"/>
        </w:rPr>
        <w:t> : a)</w:t>
      </w:r>
      <w:r w:rsidR="008724E8" w:rsidRPr="00F214BE">
        <w:rPr>
          <w:lang w:val="fr-FR"/>
        </w:rPr>
        <w:t xml:space="preserve"> </w:t>
      </w:r>
      <w:r w:rsidR="00F352B0">
        <w:rPr>
          <w:lang w:val="fr-FR"/>
        </w:rPr>
        <w:t>qu’</w:t>
      </w:r>
      <w:r w:rsidR="008724E8" w:rsidRPr="00F214BE">
        <w:rPr>
          <w:lang w:val="fr-FR"/>
        </w:rPr>
        <w:t xml:space="preserve">aucune des victimes ou des membres de leur famille n’aient </w:t>
      </w:r>
      <w:r w:rsidR="00B001F0" w:rsidRPr="00F214BE">
        <w:rPr>
          <w:lang w:val="fr-FR"/>
        </w:rPr>
        <w:t xml:space="preserve">à ce jour </w:t>
      </w:r>
      <w:r w:rsidR="008724E8" w:rsidRPr="00F214BE">
        <w:rPr>
          <w:lang w:val="fr-FR"/>
        </w:rPr>
        <w:t>reçu de réparation pour les violations commises</w:t>
      </w:r>
      <w:r w:rsidR="00B001F0" w:rsidRPr="00F214BE">
        <w:rPr>
          <w:lang w:val="fr-FR"/>
        </w:rPr>
        <w:t xml:space="preserve"> ; b) l’absence d’informations </w:t>
      </w:r>
      <w:r w:rsidR="00853A42">
        <w:rPr>
          <w:lang w:val="fr-FR"/>
        </w:rPr>
        <w:t xml:space="preserve">de </w:t>
      </w:r>
      <w:r w:rsidR="00B001F0" w:rsidRPr="00F214BE">
        <w:rPr>
          <w:lang w:val="fr-FR"/>
        </w:rPr>
        <w:t>l’État partie sur les mesures prises pour</w:t>
      </w:r>
      <w:r w:rsidR="00FA2869" w:rsidRPr="00F214BE">
        <w:rPr>
          <w:lang w:val="fr-FR"/>
        </w:rPr>
        <w:t xml:space="preserve"> faire la lumière sur le sort des personnes victimes de disparitions forcées</w:t>
      </w:r>
      <w:r w:rsidR="00C103F3">
        <w:rPr>
          <w:lang w:val="fr-FR"/>
        </w:rPr>
        <w:t xml:space="preserve"> et</w:t>
      </w:r>
      <w:r w:rsidR="00FA2869" w:rsidRPr="00F214BE">
        <w:rPr>
          <w:lang w:val="fr-FR"/>
        </w:rPr>
        <w:t xml:space="preserve"> procéder à la localisation </w:t>
      </w:r>
      <w:r w:rsidR="007F13EA" w:rsidRPr="00F214BE">
        <w:rPr>
          <w:lang w:val="fr-FR"/>
        </w:rPr>
        <w:t xml:space="preserve">des fosses communes </w:t>
      </w:r>
      <w:r w:rsidR="00FA2869" w:rsidRPr="00F214BE">
        <w:rPr>
          <w:lang w:val="fr-FR"/>
        </w:rPr>
        <w:t>et à l</w:t>
      </w:r>
      <w:r w:rsidR="00E92671">
        <w:rPr>
          <w:lang w:val="fr-FR"/>
        </w:rPr>
        <w:t>’exhumation</w:t>
      </w:r>
      <w:r w:rsidR="007F13EA">
        <w:rPr>
          <w:lang w:val="fr-FR"/>
        </w:rPr>
        <w:t xml:space="preserve"> des corps</w:t>
      </w:r>
      <w:r w:rsidR="008724E8" w:rsidRPr="00F214BE">
        <w:rPr>
          <w:lang w:val="fr-FR"/>
        </w:rPr>
        <w:t>.</w:t>
      </w:r>
      <w:r w:rsidR="00E714F2" w:rsidRPr="00F214BE">
        <w:rPr>
          <w:lang w:val="fr-FR"/>
        </w:rPr>
        <w:t xml:space="preserve"> </w:t>
      </w:r>
      <w:r w:rsidR="008525FA">
        <w:rPr>
          <w:lang w:val="fr-FR"/>
        </w:rPr>
        <w:t>Enfin, l</w:t>
      </w:r>
      <w:r w:rsidR="00E714F2" w:rsidRPr="00F214BE">
        <w:rPr>
          <w:lang w:val="fr-FR"/>
        </w:rPr>
        <w:t>e Comité prend note de l’avant-projet de loi relatif</w:t>
      </w:r>
      <w:r w:rsidR="00BA41C0" w:rsidRPr="00F214BE">
        <w:rPr>
          <w:lang w:val="fr-FR"/>
        </w:rPr>
        <w:t xml:space="preserve"> à la création d’une commission vérité, justice et réconciliation</w:t>
      </w:r>
      <w:r w:rsidR="008525FA">
        <w:rPr>
          <w:lang w:val="fr-FR"/>
        </w:rPr>
        <w:t>,</w:t>
      </w:r>
      <w:r w:rsidR="00BA41C0" w:rsidRPr="00F214BE">
        <w:rPr>
          <w:lang w:val="fr-FR"/>
        </w:rPr>
        <w:t xml:space="preserve"> </w:t>
      </w:r>
      <w:r w:rsidR="00292868" w:rsidRPr="00F214BE">
        <w:rPr>
          <w:lang w:val="fr-FR"/>
        </w:rPr>
        <w:t>mais déplore</w:t>
      </w:r>
      <w:r w:rsidR="00BA41C0" w:rsidRPr="00F214BE">
        <w:rPr>
          <w:lang w:val="fr-FR"/>
        </w:rPr>
        <w:t xml:space="preserve"> qu’à ce jour ladite commission n’ait pas été mise en place </w:t>
      </w:r>
      <w:r w:rsidR="007B0349" w:rsidRPr="00F214BE">
        <w:rPr>
          <w:lang w:val="fr-FR"/>
        </w:rPr>
        <w:t>(art</w:t>
      </w:r>
      <w:r w:rsidR="00D06798">
        <w:rPr>
          <w:lang w:val="fr-FR"/>
        </w:rPr>
        <w:t>. </w:t>
      </w:r>
      <w:r w:rsidR="007B0349" w:rsidRPr="00F214BE">
        <w:rPr>
          <w:lang w:val="fr-FR"/>
        </w:rPr>
        <w:t>2, 6, 7 et 16).</w:t>
      </w:r>
    </w:p>
    <w:p w14:paraId="531AEEC4" w14:textId="332DE7E2" w:rsidR="004A64C5" w:rsidRPr="0032261E" w:rsidRDefault="001B7E7E" w:rsidP="0032261E">
      <w:pPr>
        <w:pStyle w:val="SingleTxtG"/>
        <w:rPr>
          <w:b/>
          <w:bCs/>
        </w:rPr>
      </w:pPr>
      <w:r w:rsidRPr="00990BE1">
        <w:rPr>
          <w:lang w:val="fr-FR"/>
        </w:rPr>
        <w:t>16</w:t>
      </w:r>
      <w:r w:rsidR="00A9743D" w:rsidRPr="00990BE1">
        <w:rPr>
          <w:lang w:val="fr-FR"/>
        </w:rPr>
        <w:t>.</w:t>
      </w:r>
      <w:r w:rsidR="00A9743D" w:rsidRPr="00990BE1">
        <w:rPr>
          <w:lang w:val="fr-FR"/>
        </w:rPr>
        <w:tab/>
      </w:r>
      <w:r w:rsidR="009E6DDA" w:rsidRPr="00F214BE">
        <w:rPr>
          <w:b/>
          <w:lang w:val="fr-FR"/>
        </w:rPr>
        <w:t>L’État partie devrait</w:t>
      </w:r>
      <w:r w:rsidR="004D6E8F" w:rsidRPr="00F214BE">
        <w:rPr>
          <w:b/>
          <w:lang w:val="fr-FR"/>
        </w:rPr>
        <w:t> : a)</w:t>
      </w:r>
      <w:r w:rsidR="009E6DDA" w:rsidRPr="00F214BE">
        <w:rPr>
          <w:b/>
          <w:lang w:val="fr-FR"/>
        </w:rPr>
        <w:t xml:space="preserve"> prendre des mesures immédiates </w:t>
      </w:r>
      <w:r w:rsidR="003F28EB">
        <w:rPr>
          <w:b/>
          <w:lang w:val="fr-FR"/>
        </w:rPr>
        <w:t>afin</w:t>
      </w:r>
      <w:r w:rsidR="009E6DDA" w:rsidRPr="00F214BE">
        <w:rPr>
          <w:b/>
          <w:lang w:val="fr-FR"/>
        </w:rPr>
        <w:t xml:space="preserve"> d’accélérer les enquêtes, poursuites et sanctions dans le cadre des violations passées des droits de l’homme, en particulier en ce qui concerne les événements du 28 septembre 2009</w:t>
      </w:r>
      <w:r w:rsidR="004D6E8F" w:rsidRPr="00F214BE">
        <w:rPr>
          <w:b/>
          <w:lang w:val="fr-FR"/>
        </w:rPr>
        <w:t xml:space="preserve"> ; </w:t>
      </w:r>
      <w:r w:rsidR="00D06798">
        <w:rPr>
          <w:b/>
          <w:lang w:val="fr-FR"/>
        </w:rPr>
        <w:t>b) </w:t>
      </w:r>
      <w:r w:rsidR="004D6E8F" w:rsidRPr="00F214BE">
        <w:rPr>
          <w:b/>
          <w:lang w:val="fr-FR"/>
        </w:rPr>
        <w:t>s’assurer</w:t>
      </w:r>
      <w:r w:rsidR="00E714F2" w:rsidRPr="00F214BE">
        <w:rPr>
          <w:b/>
          <w:lang w:val="fr-FR"/>
        </w:rPr>
        <w:t>, durant toute la durée des enquêtes et des procès,</w:t>
      </w:r>
      <w:r w:rsidR="004D6E8F" w:rsidRPr="00F214BE">
        <w:rPr>
          <w:b/>
          <w:lang w:val="fr-FR"/>
        </w:rPr>
        <w:t xml:space="preserve"> de la suspension de l’ensemble</w:t>
      </w:r>
      <w:r w:rsidR="00466BED">
        <w:rPr>
          <w:b/>
          <w:lang w:val="fr-FR"/>
        </w:rPr>
        <w:t xml:space="preserve"> </w:t>
      </w:r>
      <w:r w:rsidR="00E714F2" w:rsidRPr="00F214BE">
        <w:rPr>
          <w:b/>
          <w:lang w:val="fr-FR"/>
        </w:rPr>
        <w:t xml:space="preserve">des personnes suspectées de violations graves, y compris parmi les membres du </w:t>
      </w:r>
      <w:r w:rsidR="004F2CDF">
        <w:rPr>
          <w:b/>
          <w:lang w:val="fr-FR"/>
        </w:rPr>
        <w:t>G</w:t>
      </w:r>
      <w:r w:rsidR="004F2CDF" w:rsidRPr="00F214BE">
        <w:rPr>
          <w:b/>
          <w:lang w:val="fr-FR"/>
        </w:rPr>
        <w:t>ouvernement</w:t>
      </w:r>
      <w:r w:rsidR="004F2CDF">
        <w:rPr>
          <w:b/>
          <w:lang w:val="fr-FR"/>
        </w:rPr>
        <w:t> </w:t>
      </w:r>
      <w:r w:rsidR="004D6E8F" w:rsidRPr="00F214BE">
        <w:rPr>
          <w:b/>
          <w:lang w:val="fr-FR"/>
        </w:rPr>
        <w:t xml:space="preserve">; c) veiller à ce que toutes les victimes et les membres de leur famille reçoivent une réparation </w:t>
      </w:r>
      <w:r w:rsidR="00292868">
        <w:rPr>
          <w:b/>
          <w:lang w:val="fr-FR"/>
        </w:rPr>
        <w:t>intégrale</w:t>
      </w:r>
      <w:r w:rsidR="00292868" w:rsidRPr="00F214BE">
        <w:rPr>
          <w:b/>
          <w:lang w:val="fr-FR"/>
        </w:rPr>
        <w:t xml:space="preserve"> </w:t>
      </w:r>
      <w:r w:rsidR="004D6E8F" w:rsidRPr="00F214BE">
        <w:rPr>
          <w:b/>
          <w:lang w:val="fr-FR"/>
        </w:rPr>
        <w:t xml:space="preserve">pour les violations subies ; d) </w:t>
      </w:r>
      <w:r w:rsidR="00067C79" w:rsidRPr="00F214BE">
        <w:rPr>
          <w:b/>
          <w:bCs/>
        </w:rPr>
        <w:t xml:space="preserve">garantir l’accès à la vérité </w:t>
      </w:r>
      <w:r w:rsidR="00BD3585">
        <w:rPr>
          <w:b/>
          <w:bCs/>
        </w:rPr>
        <w:t>aux</w:t>
      </w:r>
      <w:r w:rsidR="001545CB" w:rsidRPr="00F214BE">
        <w:rPr>
          <w:b/>
          <w:bCs/>
        </w:rPr>
        <w:t xml:space="preserve"> </w:t>
      </w:r>
      <w:r w:rsidR="00067C79" w:rsidRPr="00F214BE">
        <w:rPr>
          <w:b/>
          <w:bCs/>
        </w:rPr>
        <w:t xml:space="preserve">familles de </w:t>
      </w:r>
      <w:r w:rsidR="00292868">
        <w:rPr>
          <w:b/>
          <w:bCs/>
        </w:rPr>
        <w:t>disparus et de victimes d’exécutions,</w:t>
      </w:r>
      <w:r w:rsidR="00067C79" w:rsidRPr="00F214BE">
        <w:rPr>
          <w:b/>
          <w:bCs/>
        </w:rPr>
        <w:t xml:space="preserve"> notamment en organisant l’exhumation des fosses communes et en procédant à l’identification des restes par des procédés scientifiques</w:t>
      </w:r>
      <w:r w:rsidR="007B0349" w:rsidRPr="00F214BE">
        <w:rPr>
          <w:b/>
          <w:bCs/>
        </w:rPr>
        <w:t xml:space="preserve"> ; e) </w:t>
      </w:r>
      <w:r w:rsidR="005715BA" w:rsidRPr="00F214BE">
        <w:rPr>
          <w:b/>
          <w:bCs/>
        </w:rPr>
        <w:t xml:space="preserve">veiller à la mise en place dans les meilleurs délais de la commission vérité, justice </w:t>
      </w:r>
      <w:r w:rsidR="001A36B9" w:rsidRPr="00F214BE">
        <w:rPr>
          <w:b/>
          <w:bCs/>
        </w:rPr>
        <w:t>et réconciliation et la doter de ressources suffisantes lui permettant d’accomp</w:t>
      </w:r>
      <w:r w:rsidR="008C26D2" w:rsidRPr="00F214BE">
        <w:rPr>
          <w:b/>
          <w:bCs/>
        </w:rPr>
        <w:t>lir avec efficacité son manda</w:t>
      </w:r>
      <w:r w:rsidR="006F49B7" w:rsidRPr="00F214BE">
        <w:rPr>
          <w:b/>
          <w:bCs/>
        </w:rPr>
        <w:t>t</w:t>
      </w:r>
      <w:r w:rsidR="00067C79" w:rsidRPr="00F214BE">
        <w:rPr>
          <w:b/>
          <w:bCs/>
        </w:rPr>
        <w:t>.</w:t>
      </w:r>
    </w:p>
    <w:p w14:paraId="7673118F" w14:textId="77777777" w:rsidR="00FD004B" w:rsidRPr="00D06798" w:rsidRDefault="00FD004B" w:rsidP="00D06798">
      <w:pPr>
        <w:pStyle w:val="H23G"/>
      </w:pPr>
      <w:r w:rsidRPr="00B739D6">
        <w:rPr>
          <w:lang w:val="fr-FR"/>
        </w:rPr>
        <w:lastRenderedPageBreak/>
        <w:tab/>
      </w:r>
      <w:r w:rsidRPr="00B739D6">
        <w:rPr>
          <w:lang w:val="fr-FR"/>
        </w:rPr>
        <w:tab/>
      </w:r>
      <w:r w:rsidRPr="00F214BE">
        <w:rPr>
          <w:lang w:val="fr-FR"/>
        </w:rPr>
        <w:t>Lutte contre la discrimination</w:t>
      </w:r>
    </w:p>
    <w:p w14:paraId="37758A12" w14:textId="1105A0F4" w:rsidR="000250B6" w:rsidRPr="00F214BE" w:rsidRDefault="001B7E7E" w:rsidP="000250B6">
      <w:pPr>
        <w:pStyle w:val="SingleTxtG"/>
        <w:rPr>
          <w:lang w:val="fr-FR"/>
        </w:rPr>
      </w:pPr>
      <w:r w:rsidRPr="00F214BE">
        <w:rPr>
          <w:lang w:val="fr-FR"/>
        </w:rPr>
        <w:t>17</w:t>
      </w:r>
      <w:r w:rsidR="00A9743D" w:rsidRPr="00F214BE">
        <w:rPr>
          <w:lang w:val="fr-FR"/>
        </w:rPr>
        <w:t>.</w:t>
      </w:r>
      <w:r w:rsidR="00A9743D" w:rsidRPr="00F214BE">
        <w:rPr>
          <w:lang w:val="fr-FR"/>
        </w:rPr>
        <w:tab/>
      </w:r>
      <w:r w:rsidR="000250B6" w:rsidRPr="00F214BE">
        <w:rPr>
          <w:lang w:val="fr-FR"/>
        </w:rPr>
        <w:t xml:space="preserve">Le Comité prend note de la définition et </w:t>
      </w:r>
      <w:r w:rsidR="00F214BE">
        <w:rPr>
          <w:lang w:val="fr-FR"/>
        </w:rPr>
        <w:t>de l’</w:t>
      </w:r>
      <w:r w:rsidR="000250B6" w:rsidRPr="00F214BE">
        <w:rPr>
          <w:lang w:val="fr-FR"/>
        </w:rPr>
        <w:t xml:space="preserve">incrimination de la discrimination </w:t>
      </w:r>
      <w:r w:rsidR="00E30022" w:rsidRPr="00F214BE">
        <w:rPr>
          <w:lang w:val="fr-FR"/>
        </w:rPr>
        <w:t>aux articles 313 et sui</w:t>
      </w:r>
      <w:r w:rsidR="00A91F27" w:rsidRPr="00F214BE">
        <w:rPr>
          <w:lang w:val="fr-FR"/>
        </w:rPr>
        <w:t xml:space="preserve">vants du nouveau </w:t>
      </w:r>
      <w:r w:rsidR="004F2CDF">
        <w:rPr>
          <w:lang w:val="fr-FR"/>
        </w:rPr>
        <w:t>C</w:t>
      </w:r>
      <w:r w:rsidR="004F2CDF" w:rsidRPr="00F214BE">
        <w:rPr>
          <w:lang w:val="fr-FR"/>
        </w:rPr>
        <w:t xml:space="preserve">ode </w:t>
      </w:r>
      <w:r w:rsidR="00A91F27" w:rsidRPr="00F214BE">
        <w:rPr>
          <w:lang w:val="fr-FR"/>
        </w:rPr>
        <w:t>pénal</w:t>
      </w:r>
      <w:r w:rsidR="00E30022" w:rsidRPr="00F214BE">
        <w:rPr>
          <w:lang w:val="fr-FR"/>
        </w:rPr>
        <w:t xml:space="preserve">. Il regrette toutefois </w:t>
      </w:r>
      <w:r w:rsidR="00A91F27" w:rsidRPr="00F214BE">
        <w:rPr>
          <w:lang w:val="fr-FR"/>
        </w:rPr>
        <w:t>l’absence de</w:t>
      </w:r>
      <w:r w:rsidR="00E30022" w:rsidRPr="00F214BE">
        <w:rPr>
          <w:lang w:val="fr-FR"/>
        </w:rPr>
        <w:t xml:space="preserve"> plaintes pour discrimination</w:t>
      </w:r>
      <w:r w:rsidR="00A91F27" w:rsidRPr="00F214BE">
        <w:rPr>
          <w:lang w:val="fr-FR"/>
        </w:rPr>
        <w:t xml:space="preserve"> à ce jour</w:t>
      </w:r>
      <w:r w:rsidR="00AC7054">
        <w:rPr>
          <w:lang w:val="fr-FR"/>
        </w:rPr>
        <w:t>,</w:t>
      </w:r>
      <w:r w:rsidR="00A91F27" w:rsidRPr="00F214BE">
        <w:rPr>
          <w:lang w:val="fr-FR"/>
        </w:rPr>
        <w:t xml:space="preserve"> et ce</w:t>
      </w:r>
      <w:r w:rsidR="00AC7054">
        <w:rPr>
          <w:lang w:val="fr-FR"/>
        </w:rPr>
        <w:t>,</w:t>
      </w:r>
      <w:r w:rsidR="00A91F27" w:rsidRPr="00F214BE">
        <w:rPr>
          <w:lang w:val="fr-FR"/>
        </w:rPr>
        <w:t xml:space="preserve"> en dépit de ce nouveau cadre juridique, </w:t>
      </w:r>
      <w:r w:rsidR="00E30022" w:rsidRPr="00F214BE">
        <w:rPr>
          <w:lang w:val="fr-FR"/>
        </w:rPr>
        <w:t xml:space="preserve">ainsi que l’absence d’informations fournies par l’État partie </w:t>
      </w:r>
      <w:r w:rsidR="00A91F27" w:rsidRPr="00F214BE">
        <w:rPr>
          <w:lang w:val="fr-FR"/>
        </w:rPr>
        <w:t xml:space="preserve">quant aux recours civils et administratifs efficaces </w:t>
      </w:r>
      <w:r w:rsidR="008F6540">
        <w:rPr>
          <w:lang w:val="fr-FR"/>
        </w:rPr>
        <w:t>offerts</w:t>
      </w:r>
      <w:r w:rsidR="00A91F27" w:rsidRPr="00F214BE">
        <w:rPr>
          <w:lang w:val="fr-FR"/>
        </w:rPr>
        <w:t xml:space="preserve"> aux victimes. Il regrette particulièrement le maintien de l’article 274 du </w:t>
      </w:r>
      <w:r w:rsidR="004F2CDF">
        <w:rPr>
          <w:lang w:val="fr-FR"/>
        </w:rPr>
        <w:t>C</w:t>
      </w:r>
      <w:r w:rsidR="004F2CDF" w:rsidRPr="00F214BE">
        <w:rPr>
          <w:lang w:val="fr-FR"/>
        </w:rPr>
        <w:t xml:space="preserve">ode </w:t>
      </w:r>
      <w:r w:rsidR="00A91F27" w:rsidRPr="00F214BE">
        <w:rPr>
          <w:lang w:val="fr-FR"/>
        </w:rPr>
        <w:t xml:space="preserve">pénal </w:t>
      </w:r>
      <w:r w:rsidR="00AC7054">
        <w:rPr>
          <w:lang w:val="fr-FR"/>
        </w:rPr>
        <w:t xml:space="preserve">qui </w:t>
      </w:r>
      <w:r w:rsidR="00A91F27" w:rsidRPr="00F214BE">
        <w:rPr>
          <w:lang w:val="fr-FR"/>
        </w:rPr>
        <w:t>criminalis</w:t>
      </w:r>
      <w:r w:rsidR="00AC7054">
        <w:rPr>
          <w:lang w:val="fr-FR"/>
        </w:rPr>
        <w:t>e</w:t>
      </w:r>
      <w:r w:rsidR="00A91F27" w:rsidRPr="00F214BE">
        <w:rPr>
          <w:lang w:val="fr-FR"/>
        </w:rPr>
        <w:t xml:space="preserve"> les </w:t>
      </w:r>
      <w:r w:rsidR="00826D82" w:rsidRPr="00F214BE">
        <w:rPr>
          <w:lang w:val="fr-FR"/>
        </w:rPr>
        <w:t xml:space="preserve">comportements de personnes </w:t>
      </w:r>
      <w:r w:rsidR="00DE7940" w:rsidRPr="00F214BE">
        <w:rPr>
          <w:lang w:val="fr-FR"/>
        </w:rPr>
        <w:t>à raison de leur orientation</w:t>
      </w:r>
      <w:r w:rsidR="00826D82" w:rsidRPr="00F214BE">
        <w:rPr>
          <w:lang w:val="fr-FR"/>
        </w:rPr>
        <w:t xml:space="preserve"> sexuelle </w:t>
      </w:r>
      <w:r w:rsidR="00A91F27" w:rsidRPr="00F214BE">
        <w:rPr>
          <w:lang w:val="fr-FR"/>
        </w:rPr>
        <w:t>et souligne le caractère discriminatoire d’une telle disposition. Il s’inquiète également des actes de discrimination, stigmatisation et violence à l’encontre des personnes albino</w:t>
      </w:r>
      <w:r w:rsidR="0060769A" w:rsidRPr="00F214BE">
        <w:rPr>
          <w:lang w:val="fr-FR"/>
        </w:rPr>
        <w:t>s et</w:t>
      </w:r>
      <w:r w:rsidR="00A91F27" w:rsidRPr="00F214BE">
        <w:rPr>
          <w:lang w:val="fr-FR"/>
        </w:rPr>
        <w:t xml:space="preserve"> des personnes infectées par le VIH/</w:t>
      </w:r>
      <w:r w:rsidR="004F2CDF">
        <w:rPr>
          <w:lang w:val="fr-FR"/>
        </w:rPr>
        <w:t>s</w:t>
      </w:r>
      <w:r w:rsidR="004F2CDF" w:rsidRPr="00F214BE">
        <w:rPr>
          <w:lang w:val="fr-FR"/>
        </w:rPr>
        <w:t>ida</w:t>
      </w:r>
      <w:r w:rsidR="000634F7">
        <w:rPr>
          <w:lang w:val="fr-FR"/>
        </w:rPr>
        <w:t>,</w:t>
      </w:r>
      <w:r w:rsidR="004F2CDF" w:rsidRPr="00F214BE">
        <w:rPr>
          <w:lang w:val="fr-FR"/>
        </w:rPr>
        <w:t xml:space="preserve"> </w:t>
      </w:r>
      <w:r w:rsidR="008D6D38" w:rsidRPr="00F214BE">
        <w:rPr>
          <w:lang w:val="fr-FR"/>
        </w:rPr>
        <w:t>ainsi que du peu de mesures prises en vue d’assurer l’absence de discrimination</w:t>
      </w:r>
      <w:r w:rsidR="00984566" w:rsidRPr="00F214BE">
        <w:rPr>
          <w:lang w:val="fr-FR"/>
        </w:rPr>
        <w:t xml:space="preserve"> pratique</w:t>
      </w:r>
      <w:r w:rsidR="008D6D38" w:rsidRPr="00F214BE">
        <w:rPr>
          <w:lang w:val="fr-FR"/>
        </w:rPr>
        <w:t xml:space="preserve"> à l’égard des personnes handicapées</w:t>
      </w:r>
      <w:r w:rsidR="00381C9A" w:rsidRPr="00F214BE">
        <w:rPr>
          <w:lang w:val="fr-FR"/>
        </w:rPr>
        <w:t xml:space="preserve"> (art</w:t>
      </w:r>
      <w:r w:rsidR="00D06798">
        <w:rPr>
          <w:lang w:val="fr-FR"/>
        </w:rPr>
        <w:t>. </w:t>
      </w:r>
      <w:r w:rsidR="00381C9A" w:rsidRPr="00F214BE">
        <w:rPr>
          <w:lang w:val="fr-FR"/>
        </w:rPr>
        <w:t>2 et 26)</w:t>
      </w:r>
      <w:r w:rsidR="00D54492" w:rsidRPr="00F214BE">
        <w:rPr>
          <w:lang w:val="fr-FR"/>
        </w:rPr>
        <w:t>.</w:t>
      </w:r>
    </w:p>
    <w:p w14:paraId="031CBA4C" w14:textId="7134B489" w:rsidR="00EF193F" w:rsidRPr="00F214BE" w:rsidRDefault="001B7E7E" w:rsidP="00A9743D">
      <w:pPr>
        <w:pStyle w:val="SingleTxtG"/>
        <w:rPr>
          <w:b/>
          <w:lang w:val="fr-FR"/>
        </w:rPr>
      </w:pPr>
      <w:r w:rsidRPr="00990BE1">
        <w:rPr>
          <w:lang w:val="fr-FR"/>
        </w:rPr>
        <w:t>18</w:t>
      </w:r>
      <w:r w:rsidR="00A9743D" w:rsidRPr="00990BE1">
        <w:rPr>
          <w:lang w:val="fr-FR"/>
        </w:rPr>
        <w:t>.</w:t>
      </w:r>
      <w:r w:rsidR="00A9743D" w:rsidRPr="00990BE1">
        <w:rPr>
          <w:lang w:val="fr-FR"/>
        </w:rPr>
        <w:tab/>
      </w:r>
      <w:r w:rsidR="00984566" w:rsidRPr="00F214BE">
        <w:rPr>
          <w:b/>
          <w:lang w:val="fr-FR"/>
        </w:rPr>
        <w:t xml:space="preserve">L’État partie devrait </w:t>
      </w:r>
      <w:r w:rsidR="0060769A" w:rsidRPr="00F214BE">
        <w:rPr>
          <w:b/>
          <w:lang w:val="fr-FR"/>
        </w:rPr>
        <w:t>prendre toutes les mesur</w:t>
      </w:r>
      <w:r w:rsidR="00975072">
        <w:rPr>
          <w:b/>
          <w:lang w:val="fr-FR"/>
        </w:rPr>
        <w:t xml:space="preserve">es </w:t>
      </w:r>
      <w:r w:rsidR="000634F7">
        <w:rPr>
          <w:b/>
          <w:lang w:val="fr-FR"/>
        </w:rPr>
        <w:t>nécessaires pour</w:t>
      </w:r>
      <w:r w:rsidR="00975072">
        <w:rPr>
          <w:b/>
          <w:lang w:val="fr-FR"/>
        </w:rPr>
        <w:t> : a) </w:t>
      </w:r>
      <w:r w:rsidR="0060769A" w:rsidRPr="00F214BE">
        <w:rPr>
          <w:b/>
          <w:lang w:val="fr-FR"/>
        </w:rPr>
        <w:t xml:space="preserve">s’assurer que toutes les victimes de discrimination ont connaissance et accès à des recours civils et administratifs efficaces et faire en sorte que les victimes bénéficient </w:t>
      </w:r>
      <w:r w:rsidR="00975072">
        <w:rPr>
          <w:b/>
          <w:lang w:val="fr-FR"/>
        </w:rPr>
        <w:t>d’une réparation ; b) </w:t>
      </w:r>
      <w:r w:rsidR="00826D82" w:rsidRPr="00F214BE">
        <w:rPr>
          <w:b/>
          <w:lang w:val="fr-FR"/>
        </w:rPr>
        <w:t xml:space="preserve">engager un processus d’abrogation de </w:t>
      </w:r>
      <w:r w:rsidR="0060769A" w:rsidRPr="00F214BE">
        <w:rPr>
          <w:b/>
          <w:lang w:val="fr-FR"/>
        </w:rPr>
        <w:t>l</w:t>
      </w:r>
      <w:r w:rsidR="00975072">
        <w:rPr>
          <w:b/>
          <w:lang w:val="fr-FR"/>
        </w:rPr>
        <w:t>’article 274</w:t>
      </w:r>
      <w:r w:rsidR="00674B29">
        <w:rPr>
          <w:b/>
          <w:lang w:val="fr-FR"/>
        </w:rPr>
        <w:t xml:space="preserve"> du Code pénal</w:t>
      </w:r>
      <w:r w:rsidR="00B6058B">
        <w:rPr>
          <w:b/>
          <w:lang w:val="fr-FR"/>
        </w:rPr>
        <w:t> </w:t>
      </w:r>
      <w:r w:rsidR="00975072">
        <w:rPr>
          <w:b/>
          <w:lang w:val="fr-FR"/>
        </w:rPr>
        <w:t>; c) </w:t>
      </w:r>
      <w:r w:rsidR="0060769A" w:rsidRPr="00F214BE">
        <w:rPr>
          <w:b/>
          <w:lang w:val="fr-FR"/>
        </w:rPr>
        <w:t>protéger efficacement les personnes albinos et les personnes infectées par le VIH/</w:t>
      </w:r>
      <w:r w:rsidR="00495550">
        <w:rPr>
          <w:b/>
          <w:lang w:val="fr-FR"/>
        </w:rPr>
        <w:t>s</w:t>
      </w:r>
      <w:r w:rsidR="0060769A" w:rsidRPr="00F214BE">
        <w:rPr>
          <w:b/>
          <w:lang w:val="fr-FR"/>
        </w:rPr>
        <w:t>ida et garantir leurs droits fondamentaux</w:t>
      </w:r>
      <w:r w:rsidR="00AD414B">
        <w:rPr>
          <w:b/>
          <w:lang w:val="fr-FR"/>
        </w:rPr>
        <w:t> ;</w:t>
      </w:r>
      <w:r w:rsidR="0060769A" w:rsidRPr="00F214BE">
        <w:rPr>
          <w:b/>
          <w:lang w:val="fr-FR"/>
        </w:rPr>
        <w:t xml:space="preserve"> s’assurer que tous les cas de discrimination</w:t>
      </w:r>
      <w:r w:rsidR="0047711A">
        <w:rPr>
          <w:b/>
          <w:lang w:val="fr-FR"/>
        </w:rPr>
        <w:t xml:space="preserve"> </w:t>
      </w:r>
      <w:r w:rsidR="00261722">
        <w:rPr>
          <w:b/>
          <w:lang w:val="fr-FR"/>
        </w:rPr>
        <w:t>font</w:t>
      </w:r>
      <w:r w:rsidR="0047711A">
        <w:rPr>
          <w:b/>
          <w:lang w:val="fr-FR"/>
        </w:rPr>
        <w:t xml:space="preserve"> l’objet d’</w:t>
      </w:r>
      <w:r w:rsidR="00267BFB">
        <w:rPr>
          <w:b/>
          <w:lang w:val="fr-FR"/>
        </w:rPr>
        <w:t>un examen</w:t>
      </w:r>
      <w:r w:rsidR="0047711A">
        <w:rPr>
          <w:b/>
          <w:lang w:val="fr-FR"/>
        </w:rPr>
        <w:t xml:space="preserve"> adéquat </w:t>
      </w:r>
      <w:r w:rsidR="0060769A" w:rsidRPr="00F214BE">
        <w:rPr>
          <w:b/>
          <w:lang w:val="fr-FR"/>
        </w:rPr>
        <w:t>et</w:t>
      </w:r>
      <w:r w:rsidR="00A12B22">
        <w:rPr>
          <w:b/>
          <w:lang w:val="fr-FR"/>
        </w:rPr>
        <w:t xml:space="preserve"> </w:t>
      </w:r>
      <w:r w:rsidR="00F035CF">
        <w:rPr>
          <w:b/>
          <w:lang w:val="fr-FR"/>
        </w:rPr>
        <w:t>que tous les cas</w:t>
      </w:r>
      <w:r w:rsidR="00495550">
        <w:rPr>
          <w:b/>
          <w:lang w:val="fr-FR"/>
        </w:rPr>
        <w:t xml:space="preserve"> </w:t>
      </w:r>
      <w:r w:rsidR="0060769A" w:rsidRPr="00F214BE">
        <w:rPr>
          <w:b/>
          <w:lang w:val="fr-FR"/>
        </w:rPr>
        <w:t xml:space="preserve">de violence donnent systématiquement lieu à une enquête, </w:t>
      </w:r>
      <w:r w:rsidR="006106B9">
        <w:rPr>
          <w:b/>
          <w:lang w:val="fr-FR"/>
        </w:rPr>
        <w:t xml:space="preserve">à </w:t>
      </w:r>
      <w:r w:rsidR="007F13EA">
        <w:rPr>
          <w:b/>
          <w:lang w:val="fr-FR"/>
        </w:rPr>
        <w:t xml:space="preserve">des </w:t>
      </w:r>
      <w:r w:rsidR="0060769A" w:rsidRPr="00F214BE">
        <w:rPr>
          <w:b/>
          <w:lang w:val="fr-FR"/>
        </w:rPr>
        <w:t>poursuite</w:t>
      </w:r>
      <w:r w:rsidR="007F13EA">
        <w:rPr>
          <w:b/>
          <w:lang w:val="fr-FR"/>
        </w:rPr>
        <w:t>s</w:t>
      </w:r>
      <w:r w:rsidR="007A7992">
        <w:rPr>
          <w:b/>
          <w:lang w:val="fr-FR"/>
        </w:rPr>
        <w:t xml:space="preserve"> et</w:t>
      </w:r>
      <w:r w:rsidR="0060769A" w:rsidRPr="00F214BE">
        <w:rPr>
          <w:b/>
          <w:lang w:val="fr-FR"/>
        </w:rPr>
        <w:t xml:space="preserve"> </w:t>
      </w:r>
      <w:r w:rsidR="00AD414B">
        <w:rPr>
          <w:b/>
          <w:lang w:val="fr-FR"/>
        </w:rPr>
        <w:t xml:space="preserve">à </w:t>
      </w:r>
      <w:r w:rsidR="007F13EA">
        <w:rPr>
          <w:b/>
          <w:lang w:val="fr-FR"/>
        </w:rPr>
        <w:t xml:space="preserve">la </w:t>
      </w:r>
      <w:r w:rsidR="0060769A" w:rsidRPr="00F214BE">
        <w:rPr>
          <w:b/>
          <w:lang w:val="fr-FR"/>
        </w:rPr>
        <w:t xml:space="preserve">condamnation des responsables </w:t>
      </w:r>
      <w:r w:rsidR="00AD414B">
        <w:rPr>
          <w:b/>
          <w:lang w:val="fr-FR"/>
        </w:rPr>
        <w:t>ainsi qu’à</w:t>
      </w:r>
      <w:r w:rsidR="0060769A" w:rsidRPr="00F214BE">
        <w:rPr>
          <w:b/>
          <w:lang w:val="fr-FR"/>
        </w:rPr>
        <w:t xml:space="preserve"> </w:t>
      </w:r>
      <w:r w:rsidR="00AD414B">
        <w:rPr>
          <w:b/>
          <w:lang w:val="fr-FR"/>
        </w:rPr>
        <w:t xml:space="preserve">une </w:t>
      </w:r>
      <w:r w:rsidR="0060769A" w:rsidRPr="00F214BE">
        <w:rPr>
          <w:b/>
          <w:lang w:val="fr-FR"/>
        </w:rPr>
        <w:t>indemnisation adéquate</w:t>
      </w:r>
      <w:r w:rsidR="00AD414B">
        <w:rPr>
          <w:b/>
          <w:lang w:val="fr-FR"/>
        </w:rPr>
        <w:t xml:space="preserve"> des victimes</w:t>
      </w:r>
      <w:r w:rsidR="0060769A" w:rsidRPr="00F214BE">
        <w:rPr>
          <w:b/>
          <w:lang w:val="fr-FR"/>
        </w:rPr>
        <w:t xml:space="preserve"> ; </w:t>
      </w:r>
      <w:r w:rsidR="00975072">
        <w:rPr>
          <w:b/>
          <w:lang w:val="fr-FR"/>
        </w:rPr>
        <w:t>d) </w:t>
      </w:r>
      <w:r w:rsidR="0060769A" w:rsidRPr="00F214BE">
        <w:rPr>
          <w:b/>
          <w:lang w:val="fr-FR"/>
        </w:rPr>
        <w:t>adopter un cadre juridique avec des objectifs précis et obligatoires en matière d’accessibilité aux services</w:t>
      </w:r>
      <w:r w:rsidR="00975072">
        <w:rPr>
          <w:b/>
          <w:lang w:val="fr-FR"/>
        </w:rPr>
        <w:t xml:space="preserve"> pour les personnes handicapées</w:t>
      </w:r>
      <w:r w:rsidR="00451C1B" w:rsidRPr="00F214BE">
        <w:rPr>
          <w:b/>
          <w:lang w:val="fr-FR"/>
        </w:rPr>
        <w:t>.</w:t>
      </w:r>
    </w:p>
    <w:p w14:paraId="0023B707" w14:textId="77777777" w:rsidR="00EF193F" w:rsidRPr="00D06798" w:rsidRDefault="00E06D9D" w:rsidP="00D06798">
      <w:pPr>
        <w:pStyle w:val="H23G"/>
      </w:pPr>
      <w:r w:rsidRPr="00F214BE">
        <w:tab/>
      </w:r>
      <w:r w:rsidRPr="00F214BE">
        <w:tab/>
      </w:r>
      <w:r w:rsidR="00EF193F" w:rsidRPr="00F214BE">
        <w:t>Discrimination et égalité entre hommes et femmes</w:t>
      </w:r>
    </w:p>
    <w:p w14:paraId="75312A9C" w14:textId="18457559" w:rsidR="00D33102" w:rsidRPr="00F214BE" w:rsidRDefault="001B7E7E" w:rsidP="00D33102">
      <w:pPr>
        <w:pStyle w:val="SingleTxtG"/>
      </w:pPr>
      <w:r w:rsidRPr="00F214BE">
        <w:t>19</w:t>
      </w:r>
      <w:r w:rsidR="00A9743D" w:rsidRPr="00F214BE">
        <w:t>.</w:t>
      </w:r>
      <w:r w:rsidR="00A9743D" w:rsidRPr="00F214BE">
        <w:tab/>
      </w:r>
      <w:r w:rsidR="00D33102" w:rsidRPr="00F214BE">
        <w:t>Le Comité prend note de l’information selon laquelle la Cour constitutionnelle a jugé inconstitutionnel le quota de 30</w:t>
      </w:r>
      <w:r w:rsidR="008525FA">
        <w:t> </w:t>
      </w:r>
      <w:r w:rsidR="00D33102" w:rsidRPr="00F214BE">
        <w:t xml:space="preserve">% de femmes inscrites sur chaque liste pour les élections législatives et communales instauré par la loi du 24 février 2017. Il s’inquiète de ce que le rejet de cette mesure, </w:t>
      </w:r>
      <w:r w:rsidR="00D75815" w:rsidRPr="00F214BE">
        <w:t>en sus de</w:t>
      </w:r>
      <w:r w:rsidR="00D33102" w:rsidRPr="00F214BE">
        <w:t xml:space="preserve"> la prédominance des stéréotypes sexistes</w:t>
      </w:r>
      <w:r w:rsidR="008C0585" w:rsidRPr="00F214BE">
        <w:t xml:space="preserve"> dans le corps social</w:t>
      </w:r>
      <w:r w:rsidR="00D33102" w:rsidRPr="00F214BE">
        <w:t xml:space="preserve">, n’aggrave encore la situation de faible représentation des femmes dans la vie politique et publique, y compris aux plus hauts niveaux du Gouvernement </w:t>
      </w:r>
      <w:r w:rsidR="007E7FD1" w:rsidRPr="00F214BE">
        <w:t xml:space="preserve">et </w:t>
      </w:r>
      <w:r w:rsidR="00D33102" w:rsidRPr="00F214BE">
        <w:t xml:space="preserve">dans le système judiciaire. Il regrette que l’État partie n’ait pas fourni de statistiques en la matière </w:t>
      </w:r>
      <w:r w:rsidR="007E7FD1" w:rsidRPr="00F214BE">
        <w:t>(art.</w:t>
      </w:r>
      <w:r w:rsidR="00D06798">
        <w:t> </w:t>
      </w:r>
      <w:r w:rsidR="007E7FD1" w:rsidRPr="00F214BE">
        <w:t>3, 25 et 26).</w:t>
      </w:r>
    </w:p>
    <w:p w14:paraId="7A3C93CE" w14:textId="0722F662" w:rsidR="007E7FD1" w:rsidRPr="00F214BE" w:rsidRDefault="001B7E7E" w:rsidP="00D33102">
      <w:pPr>
        <w:pStyle w:val="SingleTxtG"/>
        <w:rPr>
          <w:b/>
          <w:bCs/>
        </w:rPr>
      </w:pPr>
      <w:r w:rsidRPr="00990BE1">
        <w:t>20</w:t>
      </w:r>
      <w:r w:rsidR="00A9743D" w:rsidRPr="00990BE1">
        <w:t>.</w:t>
      </w:r>
      <w:r w:rsidR="00A9743D" w:rsidRPr="00F214BE">
        <w:rPr>
          <w:b/>
        </w:rPr>
        <w:tab/>
      </w:r>
      <w:r w:rsidR="007E7FD1" w:rsidRPr="00F214BE">
        <w:rPr>
          <w:b/>
        </w:rPr>
        <w:t>L’État partie devrait prendre toutes les mesures pour garantir la non-discrimination</w:t>
      </w:r>
      <w:r w:rsidR="00877A1B">
        <w:rPr>
          <w:b/>
        </w:rPr>
        <w:t xml:space="preserve"> d</w:t>
      </w:r>
      <w:r w:rsidR="007E7FD1" w:rsidRPr="00F214BE">
        <w:rPr>
          <w:b/>
        </w:rPr>
        <w:t>es femmes</w:t>
      </w:r>
      <w:r w:rsidR="00877A1B">
        <w:rPr>
          <w:b/>
        </w:rPr>
        <w:t>,</w:t>
      </w:r>
      <w:r w:rsidR="00424539">
        <w:rPr>
          <w:b/>
        </w:rPr>
        <w:t xml:space="preserve"> en droit comme en pratique</w:t>
      </w:r>
      <w:r w:rsidR="00877A1B">
        <w:rPr>
          <w:b/>
        </w:rPr>
        <w:t>,</w:t>
      </w:r>
      <w:r w:rsidR="007E7FD1" w:rsidRPr="00F214BE">
        <w:rPr>
          <w:b/>
        </w:rPr>
        <w:t xml:space="preserve"> accro</w:t>
      </w:r>
      <w:r w:rsidR="00B14A32">
        <w:rPr>
          <w:b/>
        </w:rPr>
        <w:t>î</w:t>
      </w:r>
      <w:r w:rsidR="007E7FD1" w:rsidRPr="00F214BE">
        <w:rPr>
          <w:b/>
        </w:rPr>
        <w:t xml:space="preserve">tre la participation de ces dernières à la vie publique et garantir leur représentation aux plus hauts niveaux du Gouvernement et dans le système judiciaire. Il devrait également renforcer les actions de sensibilisation </w:t>
      </w:r>
      <w:r w:rsidR="009943BA" w:rsidRPr="00F214BE">
        <w:rPr>
          <w:b/>
        </w:rPr>
        <w:t xml:space="preserve">de la population en matière de lutte contre les </w:t>
      </w:r>
      <w:r w:rsidR="009943BA" w:rsidRPr="00F214BE">
        <w:rPr>
          <w:b/>
          <w:bCs/>
        </w:rPr>
        <w:t>stéréotypes sexistes</w:t>
      </w:r>
      <w:r w:rsidR="008078B0" w:rsidRPr="00F214BE">
        <w:rPr>
          <w:b/>
          <w:bCs/>
        </w:rPr>
        <w:t xml:space="preserve"> </w:t>
      </w:r>
      <w:r w:rsidR="009943BA" w:rsidRPr="00F214BE">
        <w:rPr>
          <w:b/>
          <w:bCs/>
        </w:rPr>
        <w:t>dans la famille et au sein de la société.</w:t>
      </w:r>
    </w:p>
    <w:p w14:paraId="00FF407F" w14:textId="4F30492A" w:rsidR="00D75815" w:rsidRPr="00F214BE" w:rsidRDefault="001B7E7E" w:rsidP="00D33102">
      <w:pPr>
        <w:pStyle w:val="SingleTxtG"/>
        <w:rPr>
          <w:bCs/>
        </w:rPr>
      </w:pPr>
      <w:r w:rsidRPr="00F214BE">
        <w:rPr>
          <w:bCs/>
        </w:rPr>
        <w:t>21</w:t>
      </w:r>
      <w:r w:rsidR="00A9743D" w:rsidRPr="00F214BE">
        <w:rPr>
          <w:bCs/>
        </w:rPr>
        <w:t>.</w:t>
      </w:r>
      <w:r w:rsidR="00A9743D" w:rsidRPr="00F214BE">
        <w:rPr>
          <w:bCs/>
        </w:rPr>
        <w:tab/>
      </w:r>
      <w:r w:rsidR="003A44B5" w:rsidRPr="00F214BE">
        <w:rPr>
          <w:bCs/>
        </w:rPr>
        <w:t>Le Comité note avec préoccupation la discrimination à l’égard des femmes en matière de droit de la famille</w:t>
      </w:r>
      <w:r w:rsidR="00D75815" w:rsidRPr="00F214BE">
        <w:rPr>
          <w:bCs/>
        </w:rPr>
        <w:t>,</w:t>
      </w:r>
      <w:r w:rsidR="003A44B5" w:rsidRPr="00F214BE">
        <w:rPr>
          <w:bCs/>
        </w:rPr>
        <w:t xml:space="preserve"> en particulier en ce qui concerne les questions</w:t>
      </w:r>
      <w:r w:rsidR="00D75815" w:rsidRPr="00F214BE">
        <w:rPr>
          <w:bCs/>
        </w:rPr>
        <w:t xml:space="preserve"> de succession,</w:t>
      </w:r>
      <w:r w:rsidR="003A44B5" w:rsidRPr="00F214BE">
        <w:rPr>
          <w:bCs/>
        </w:rPr>
        <w:t xml:space="preserve"> de choix de résidence, de garde des enfants, de liberté de travailler, de répudiation, </w:t>
      </w:r>
      <w:r w:rsidR="00D75815" w:rsidRPr="00F214BE">
        <w:rPr>
          <w:bCs/>
        </w:rPr>
        <w:t>d’</w:t>
      </w:r>
      <w:r w:rsidR="003A44B5" w:rsidRPr="00F214BE">
        <w:rPr>
          <w:bCs/>
        </w:rPr>
        <w:t xml:space="preserve">adultère et </w:t>
      </w:r>
      <w:r w:rsidR="00D75815" w:rsidRPr="00F214BE">
        <w:rPr>
          <w:bCs/>
        </w:rPr>
        <w:t xml:space="preserve">de </w:t>
      </w:r>
      <w:r w:rsidR="003A44B5" w:rsidRPr="00F214BE">
        <w:rPr>
          <w:bCs/>
        </w:rPr>
        <w:t xml:space="preserve">polygamie. </w:t>
      </w:r>
      <w:r w:rsidR="002D77EB" w:rsidRPr="00F214BE">
        <w:rPr>
          <w:bCs/>
        </w:rPr>
        <w:t xml:space="preserve">Le Comité prend note des </w:t>
      </w:r>
      <w:r w:rsidR="00D75815" w:rsidRPr="00F214BE">
        <w:rPr>
          <w:bCs/>
        </w:rPr>
        <w:t xml:space="preserve">nombreuses </w:t>
      </w:r>
      <w:r w:rsidR="002D77EB" w:rsidRPr="00F214BE">
        <w:rPr>
          <w:bCs/>
        </w:rPr>
        <w:t xml:space="preserve">oppositions au projet de </w:t>
      </w:r>
      <w:r w:rsidR="00D75815" w:rsidRPr="00F214BE">
        <w:rPr>
          <w:bCs/>
        </w:rPr>
        <w:t xml:space="preserve">nouveau </w:t>
      </w:r>
      <w:r w:rsidR="004F2CDF">
        <w:rPr>
          <w:bCs/>
        </w:rPr>
        <w:t>C</w:t>
      </w:r>
      <w:r w:rsidR="004F2CDF" w:rsidRPr="00F214BE">
        <w:rPr>
          <w:bCs/>
        </w:rPr>
        <w:t xml:space="preserve">ode </w:t>
      </w:r>
      <w:r w:rsidR="002D77EB" w:rsidRPr="00F214BE">
        <w:rPr>
          <w:bCs/>
        </w:rPr>
        <w:t xml:space="preserve">civil, en particulier en ce qui concerne l’interdiction de la polygamie, déjà interdite </w:t>
      </w:r>
      <w:r w:rsidR="002D77EB" w:rsidRPr="00F214BE">
        <w:rPr>
          <w:bCs/>
          <w:i/>
        </w:rPr>
        <w:t xml:space="preserve">de lege </w:t>
      </w:r>
      <w:r w:rsidR="00D75815" w:rsidRPr="00F214BE">
        <w:rPr>
          <w:bCs/>
        </w:rPr>
        <w:t>et pourtant</w:t>
      </w:r>
      <w:r w:rsidR="002D77EB" w:rsidRPr="00F214BE">
        <w:rPr>
          <w:bCs/>
        </w:rPr>
        <w:t xml:space="preserve"> largement pratiquée</w:t>
      </w:r>
      <w:r w:rsidR="00D75815" w:rsidRPr="00F214BE">
        <w:rPr>
          <w:bCs/>
        </w:rPr>
        <w:t xml:space="preserve"> dans l’État partie</w:t>
      </w:r>
      <w:r w:rsidR="002D77EB" w:rsidRPr="00F214BE">
        <w:rPr>
          <w:bCs/>
        </w:rPr>
        <w:t xml:space="preserve">, mais </w:t>
      </w:r>
      <w:r w:rsidR="003A44B5" w:rsidRPr="00F214BE">
        <w:rPr>
          <w:bCs/>
        </w:rPr>
        <w:t>regrette tout</w:t>
      </w:r>
      <w:r w:rsidR="002D77EB" w:rsidRPr="00F214BE">
        <w:rPr>
          <w:bCs/>
        </w:rPr>
        <w:t>efois</w:t>
      </w:r>
      <w:r w:rsidR="003A44B5" w:rsidRPr="00F214BE">
        <w:rPr>
          <w:bCs/>
        </w:rPr>
        <w:t xml:space="preserve"> le retard pris dans l’adopti</w:t>
      </w:r>
      <w:r w:rsidR="002D77EB" w:rsidRPr="00F214BE">
        <w:rPr>
          <w:bCs/>
        </w:rPr>
        <w:t xml:space="preserve">on dudit </w:t>
      </w:r>
      <w:r w:rsidR="004F2CDF">
        <w:rPr>
          <w:bCs/>
        </w:rPr>
        <w:t>C</w:t>
      </w:r>
      <w:r w:rsidR="004F2CDF" w:rsidRPr="00F214BE">
        <w:rPr>
          <w:bCs/>
        </w:rPr>
        <w:t xml:space="preserve">ode </w:t>
      </w:r>
      <w:r w:rsidR="002D77EB" w:rsidRPr="00F214BE">
        <w:rPr>
          <w:bCs/>
        </w:rPr>
        <w:t>depuis 2002 (art</w:t>
      </w:r>
      <w:r w:rsidR="00D06798">
        <w:rPr>
          <w:bCs/>
        </w:rPr>
        <w:t>. </w:t>
      </w:r>
      <w:r w:rsidR="002D77EB" w:rsidRPr="00F214BE">
        <w:rPr>
          <w:bCs/>
        </w:rPr>
        <w:t>3, 17 et 26).</w:t>
      </w:r>
    </w:p>
    <w:p w14:paraId="5B5A08F3" w14:textId="64CD207F" w:rsidR="003A44B5" w:rsidRPr="00F214BE" w:rsidRDefault="001B7E7E" w:rsidP="00D33102">
      <w:pPr>
        <w:pStyle w:val="SingleTxtG"/>
        <w:rPr>
          <w:b/>
        </w:rPr>
      </w:pPr>
      <w:r w:rsidRPr="00990BE1">
        <w:rPr>
          <w:bCs/>
        </w:rPr>
        <w:t>22</w:t>
      </w:r>
      <w:r w:rsidR="00A9743D" w:rsidRPr="00990BE1">
        <w:rPr>
          <w:bCs/>
        </w:rPr>
        <w:t>.</w:t>
      </w:r>
      <w:r w:rsidR="00A9743D" w:rsidRPr="00990BE1">
        <w:rPr>
          <w:bCs/>
        </w:rPr>
        <w:tab/>
      </w:r>
      <w:r w:rsidR="00D75815" w:rsidRPr="00F214BE">
        <w:rPr>
          <w:b/>
          <w:bCs/>
        </w:rPr>
        <w:t xml:space="preserve">L’État partie devrait poursuivre ses efforts en vue de l’adoption dans les meilleurs délais d’un nouveau </w:t>
      </w:r>
      <w:r w:rsidR="004F2CDF">
        <w:rPr>
          <w:b/>
          <w:bCs/>
        </w:rPr>
        <w:t>C</w:t>
      </w:r>
      <w:r w:rsidR="004F2CDF" w:rsidRPr="00F214BE">
        <w:rPr>
          <w:b/>
          <w:bCs/>
        </w:rPr>
        <w:t xml:space="preserve">ode </w:t>
      </w:r>
      <w:r w:rsidR="00D75815" w:rsidRPr="00F214BE">
        <w:rPr>
          <w:b/>
          <w:bCs/>
        </w:rPr>
        <w:t>civil abolissant l’ensemble des dispositions discriminatoires à l’égard des femmes en matière de droit de la famille. Il devrait veiller en particulier à ce que l’interdiction de la polygamie soit maintenue dans le projet et adoptée par le pouvoir législatif et</w:t>
      </w:r>
      <w:r w:rsidR="0004528D" w:rsidRPr="00F214BE">
        <w:rPr>
          <w:b/>
          <w:bCs/>
        </w:rPr>
        <w:t>,</w:t>
      </w:r>
      <w:r w:rsidR="00D75815" w:rsidRPr="00F214BE">
        <w:rPr>
          <w:b/>
          <w:bCs/>
        </w:rPr>
        <w:t xml:space="preserve"> dans cette attente, prendre toutes les mesures </w:t>
      </w:r>
      <w:r w:rsidR="009C3FE5">
        <w:rPr>
          <w:b/>
          <w:bCs/>
        </w:rPr>
        <w:t>visant à</w:t>
      </w:r>
      <w:r w:rsidR="00D75815" w:rsidRPr="00F214BE">
        <w:rPr>
          <w:b/>
          <w:bCs/>
        </w:rPr>
        <w:t xml:space="preserve"> sensibiliser les populations au caractère discriminatoire d’une telle pratique.</w:t>
      </w:r>
    </w:p>
    <w:p w14:paraId="281630B1" w14:textId="77777777" w:rsidR="00EF193F" w:rsidRPr="00D06798" w:rsidRDefault="00E06D9D" w:rsidP="00D06798">
      <w:pPr>
        <w:pStyle w:val="H23G"/>
      </w:pPr>
      <w:r w:rsidRPr="00F214BE">
        <w:tab/>
      </w:r>
      <w:r w:rsidRPr="00F214BE">
        <w:tab/>
      </w:r>
      <w:r w:rsidR="00EF193F" w:rsidRPr="00F214BE">
        <w:t xml:space="preserve">Violences et pratiques préjudiciables à l’égard des femmes </w:t>
      </w:r>
    </w:p>
    <w:p w14:paraId="7656B024" w14:textId="226D73F6" w:rsidR="008078B0" w:rsidRPr="00F214BE" w:rsidRDefault="001B7E7E" w:rsidP="008078B0">
      <w:pPr>
        <w:pStyle w:val="SingleTxtG"/>
      </w:pPr>
      <w:r w:rsidRPr="00F214BE">
        <w:t>23</w:t>
      </w:r>
      <w:r w:rsidR="00A9743D" w:rsidRPr="00F214BE">
        <w:t>.</w:t>
      </w:r>
      <w:r w:rsidR="00A9743D" w:rsidRPr="00F214BE">
        <w:tab/>
      </w:r>
      <w:r w:rsidR="008078B0" w:rsidRPr="00F214BE">
        <w:t xml:space="preserve">Le Comité accueille favorablement les efforts </w:t>
      </w:r>
      <w:r w:rsidR="00D91A80">
        <w:t>déployés par</w:t>
      </w:r>
      <w:r w:rsidR="008078B0" w:rsidRPr="00F214BE">
        <w:t xml:space="preserve"> l’État partie pour prévenir et mettre fin à la violence à l’</w:t>
      </w:r>
      <w:r w:rsidR="008C0585" w:rsidRPr="00F214BE">
        <w:t xml:space="preserve">égard des femmes </w:t>
      </w:r>
      <w:r w:rsidR="008078B0" w:rsidRPr="00F214BE">
        <w:t>m</w:t>
      </w:r>
      <w:r w:rsidR="008C0585" w:rsidRPr="00F214BE">
        <w:t>a</w:t>
      </w:r>
      <w:r w:rsidR="008078B0" w:rsidRPr="00F214BE">
        <w:t>is demeure toutefois préoccupé par son caractère largement répandu et accepté</w:t>
      </w:r>
      <w:r w:rsidR="00826D82" w:rsidRPr="00F214BE">
        <w:t xml:space="preserve"> </w:t>
      </w:r>
      <w:r w:rsidR="008C0585" w:rsidRPr="00F214BE">
        <w:t xml:space="preserve">et regrette l’absence de criminalisation du viol conjugal dans le nouveau </w:t>
      </w:r>
      <w:r w:rsidR="004F2CDF">
        <w:t>C</w:t>
      </w:r>
      <w:r w:rsidR="004F2CDF" w:rsidRPr="00F214BE">
        <w:t xml:space="preserve">ode </w:t>
      </w:r>
      <w:r w:rsidR="008C0585" w:rsidRPr="00F214BE">
        <w:t>pénal de 2016.</w:t>
      </w:r>
      <w:r w:rsidR="00A22D5F" w:rsidRPr="00F214BE">
        <w:t xml:space="preserve"> </w:t>
      </w:r>
      <w:r w:rsidR="008C0585" w:rsidRPr="00F214BE">
        <w:t>Il exprime égal</w:t>
      </w:r>
      <w:r w:rsidR="00A22D5F" w:rsidRPr="00F214BE">
        <w:t xml:space="preserve">ement ses vives préoccupations </w:t>
      </w:r>
      <w:r w:rsidR="008C0585" w:rsidRPr="00F214BE">
        <w:lastRenderedPageBreak/>
        <w:t xml:space="preserve">quant à la prévalence et au maintien des pratiques préjudiciables à l’égard des femmes, en particulier en ce qui concerne les mariages forcés et précoces et les mutilations génitales féminines. </w:t>
      </w:r>
      <w:r w:rsidR="0046134F">
        <w:t>À</w:t>
      </w:r>
      <w:r w:rsidR="00BB4558" w:rsidRPr="00F214BE">
        <w:t xml:space="preserve"> ce</w:t>
      </w:r>
      <w:r w:rsidR="00826D82" w:rsidRPr="00F214BE">
        <w:t xml:space="preserve">t </w:t>
      </w:r>
      <w:r w:rsidR="00BB4558" w:rsidRPr="00F214BE">
        <w:t xml:space="preserve">égard et en </w:t>
      </w:r>
      <w:r w:rsidR="008C0585" w:rsidRPr="00F214BE">
        <w:t>dépit de l’</w:t>
      </w:r>
      <w:r w:rsidR="00BB4558" w:rsidRPr="00F214BE">
        <w:t xml:space="preserve">introduction de l’interdiction de ces pratiques dans le nouveau </w:t>
      </w:r>
      <w:r w:rsidR="004F2CDF">
        <w:t>C</w:t>
      </w:r>
      <w:r w:rsidR="004F2CDF" w:rsidRPr="00F214BE">
        <w:t xml:space="preserve">ode </w:t>
      </w:r>
      <w:r w:rsidR="00BB4558" w:rsidRPr="00F214BE">
        <w:t xml:space="preserve">pénal, le Comité est particulièrement préoccupé par les informations faisant état d’un très faible nombre d’enquêtes et </w:t>
      </w:r>
      <w:r w:rsidR="00D91A80">
        <w:t xml:space="preserve">de </w:t>
      </w:r>
      <w:r w:rsidR="00BB4558" w:rsidRPr="00F214BE">
        <w:t>poursuites ainsi que de sanctions extrêmement indulgentes à l’égard des responsables (art</w:t>
      </w:r>
      <w:r w:rsidR="00D06798">
        <w:t>. </w:t>
      </w:r>
      <w:r w:rsidR="00BB4558" w:rsidRPr="00F214BE">
        <w:t>3, 7, 17, 23 et 26).</w:t>
      </w:r>
    </w:p>
    <w:p w14:paraId="76B05DF8" w14:textId="21F7866E" w:rsidR="00BB4558" w:rsidRPr="00F214BE" w:rsidRDefault="001B7E7E" w:rsidP="008078B0">
      <w:pPr>
        <w:pStyle w:val="SingleTxtG"/>
        <w:rPr>
          <w:b/>
        </w:rPr>
      </w:pPr>
      <w:r w:rsidRPr="00990BE1">
        <w:t>24</w:t>
      </w:r>
      <w:r w:rsidR="00A9743D" w:rsidRPr="00990BE1">
        <w:t>.</w:t>
      </w:r>
      <w:r w:rsidR="00A9743D" w:rsidRPr="00F214BE">
        <w:rPr>
          <w:b/>
        </w:rPr>
        <w:tab/>
      </w:r>
      <w:r w:rsidR="00975072">
        <w:rPr>
          <w:b/>
        </w:rPr>
        <w:t>L’État partie devrait</w:t>
      </w:r>
      <w:r w:rsidR="00B6058B">
        <w:rPr>
          <w:b/>
        </w:rPr>
        <w:t> </w:t>
      </w:r>
      <w:r w:rsidR="00975072">
        <w:rPr>
          <w:b/>
        </w:rPr>
        <w:t>: a) </w:t>
      </w:r>
      <w:r w:rsidR="00BB4558" w:rsidRPr="00F214BE">
        <w:rPr>
          <w:b/>
        </w:rPr>
        <w:t>poursuivre ses efforts pour prévenir et combattre toutes les formes de violence à l’égard des femmes et notamment p</w:t>
      </w:r>
      <w:r w:rsidR="00975072">
        <w:rPr>
          <w:b/>
        </w:rPr>
        <w:t>énaliser le viol conjugal ; b) </w:t>
      </w:r>
      <w:r w:rsidR="00BB4558" w:rsidRPr="00F214BE">
        <w:rPr>
          <w:b/>
        </w:rPr>
        <w:t xml:space="preserve">poursuivre ses efforts pour prévenir et combattre la pratique des mariages forcés et précoces et des mutilations génitales </w:t>
      </w:r>
      <w:r w:rsidR="00975072">
        <w:rPr>
          <w:b/>
        </w:rPr>
        <w:t>féminines</w:t>
      </w:r>
      <w:r w:rsidR="00B6058B">
        <w:rPr>
          <w:b/>
        </w:rPr>
        <w:t> </w:t>
      </w:r>
      <w:r w:rsidR="00975072">
        <w:rPr>
          <w:b/>
        </w:rPr>
        <w:t>; c) </w:t>
      </w:r>
      <w:r w:rsidR="00BB4558" w:rsidRPr="00F214BE">
        <w:rPr>
          <w:b/>
        </w:rPr>
        <w:t>veiller à ce que tou</w:t>
      </w:r>
      <w:r w:rsidR="00847A25">
        <w:rPr>
          <w:b/>
        </w:rPr>
        <w:t>s les cas de pratiques préjudiciables à l’égard des femmes</w:t>
      </w:r>
      <w:r w:rsidR="005B029D">
        <w:rPr>
          <w:b/>
        </w:rPr>
        <w:t xml:space="preserve"> </w:t>
      </w:r>
      <w:r w:rsidR="008A2319">
        <w:rPr>
          <w:b/>
        </w:rPr>
        <w:t>fassen</w:t>
      </w:r>
      <w:r w:rsidR="00847A25" w:rsidRPr="00F214BE">
        <w:rPr>
          <w:b/>
        </w:rPr>
        <w:t>t l’objet d’une enquête approfondie, à ce que les responsables soient poursuivis et</w:t>
      </w:r>
      <w:r w:rsidR="008E1E93">
        <w:rPr>
          <w:b/>
        </w:rPr>
        <w:t>,</w:t>
      </w:r>
      <w:r w:rsidR="00847A25" w:rsidRPr="00F214BE">
        <w:rPr>
          <w:b/>
        </w:rPr>
        <w:t xml:space="preserve"> s’ils sont reconnus coupables, condamnés à des peines appropriées et à ce que les victimes obtiennent réparation</w:t>
      </w:r>
      <w:r w:rsidR="008E1E93">
        <w:rPr>
          <w:b/>
        </w:rPr>
        <w:t>.</w:t>
      </w:r>
    </w:p>
    <w:p w14:paraId="6711EDE6" w14:textId="77777777" w:rsidR="00EF193F" w:rsidRPr="00F214BE" w:rsidRDefault="00E06D9D" w:rsidP="00E06D9D">
      <w:pPr>
        <w:pStyle w:val="H23G"/>
      </w:pPr>
      <w:r w:rsidRPr="00F214BE">
        <w:tab/>
      </w:r>
      <w:r w:rsidRPr="00F214BE">
        <w:tab/>
      </w:r>
      <w:r w:rsidR="00EF193F" w:rsidRPr="00F214BE">
        <w:t>Interruption volontair</w:t>
      </w:r>
      <w:r w:rsidR="00597D5E" w:rsidRPr="00F214BE">
        <w:t>e de grossesse</w:t>
      </w:r>
      <w:r w:rsidR="00EA4473" w:rsidRPr="00F214BE">
        <w:t xml:space="preserve"> et</w:t>
      </w:r>
      <w:r w:rsidR="00597D5E" w:rsidRPr="00F214BE">
        <w:t xml:space="preserve"> </w:t>
      </w:r>
      <w:r w:rsidR="00EF193F" w:rsidRPr="00F214BE">
        <w:t>mortalité maternelle</w:t>
      </w:r>
      <w:r w:rsidR="00597D5E" w:rsidRPr="00F214BE">
        <w:t xml:space="preserve"> </w:t>
      </w:r>
    </w:p>
    <w:p w14:paraId="35E085AB" w14:textId="1E22479C" w:rsidR="00597D5E" w:rsidRPr="00F214BE" w:rsidRDefault="001B7E7E" w:rsidP="00597D5E">
      <w:pPr>
        <w:pStyle w:val="SingleTxtG"/>
      </w:pPr>
      <w:r w:rsidRPr="00F214BE">
        <w:t>25</w:t>
      </w:r>
      <w:r w:rsidR="00A9743D" w:rsidRPr="00F214BE">
        <w:t>.</w:t>
      </w:r>
      <w:r w:rsidR="00A9743D" w:rsidRPr="00F214BE">
        <w:tab/>
      </w:r>
      <w:r w:rsidR="00597D5E" w:rsidRPr="00F214BE">
        <w:t>Le Comité exprime ses préoccupations quant au</w:t>
      </w:r>
      <w:r w:rsidR="006D37E6" w:rsidRPr="00F214BE">
        <w:t>x</w:t>
      </w:r>
      <w:r w:rsidR="00597D5E" w:rsidRPr="00F214BE">
        <w:t xml:space="preserve"> taux toujours élevé</w:t>
      </w:r>
      <w:r w:rsidR="006D37E6" w:rsidRPr="00F214BE">
        <w:t>s</w:t>
      </w:r>
      <w:r w:rsidR="00597D5E" w:rsidRPr="00F214BE">
        <w:t xml:space="preserve"> de mortalité maternelle </w:t>
      </w:r>
      <w:r w:rsidR="006D37E6" w:rsidRPr="00F214BE">
        <w:t xml:space="preserve">et infantile </w:t>
      </w:r>
      <w:r w:rsidR="00597D5E" w:rsidRPr="00F214BE">
        <w:t>au sein de l’État partie</w:t>
      </w:r>
      <w:r w:rsidR="006D37E6" w:rsidRPr="00F214BE">
        <w:t xml:space="preserve"> et s’inquiète en particulier de ce que l</w:t>
      </w:r>
      <w:r w:rsidR="00D2544B">
        <w:t xml:space="preserve">es </w:t>
      </w:r>
      <w:r w:rsidR="006D37E6" w:rsidRPr="00F214BE">
        <w:t>avortement</w:t>
      </w:r>
      <w:r w:rsidR="00D2544B">
        <w:t>s réalisés</w:t>
      </w:r>
      <w:r w:rsidR="006D37E6" w:rsidRPr="00F214BE">
        <w:t xml:space="preserve"> dans des conditions non </w:t>
      </w:r>
      <w:r w:rsidR="002D27E9" w:rsidRPr="00F214BE">
        <w:t xml:space="preserve">sécurisées </w:t>
      </w:r>
      <w:r w:rsidR="006D37E6" w:rsidRPr="00F214BE">
        <w:t>constitue</w:t>
      </w:r>
      <w:r w:rsidR="00D2544B">
        <w:t>nt</w:t>
      </w:r>
      <w:r w:rsidR="006D37E6" w:rsidRPr="00F214BE">
        <w:t xml:space="preserve"> une cause majeure de mortalité maternelle. </w:t>
      </w:r>
      <w:r w:rsidR="002D27E9" w:rsidRPr="00F214BE">
        <w:t>I</w:t>
      </w:r>
      <w:r w:rsidR="00FA1C49" w:rsidRPr="00F214BE">
        <w:t>l s’inquiète de ce que</w:t>
      </w:r>
      <w:r w:rsidR="00D2544B">
        <w:t>, en raison</w:t>
      </w:r>
      <w:r w:rsidR="00FA1C49" w:rsidRPr="00F214BE">
        <w:t xml:space="preserve"> de la stigmatisation sociale, du manque d’informations </w:t>
      </w:r>
      <w:r w:rsidR="00D2544B">
        <w:t>et</w:t>
      </w:r>
      <w:r w:rsidR="00FA1C49" w:rsidRPr="00F214BE">
        <w:t xml:space="preserve"> des conditions contraignantes pour accéder à l’avortement légal prévu</w:t>
      </w:r>
      <w:r w:rsidR="00D2544B">
        <w:t>es</w:t>
      </w:r>
      <w:r w:rsidR="00FA1C49" w:rsidRPr="00F214BE">
        <w:t xml:space="preserve"> à l’article 265 du </w:t>
      </w:r>
      <w:r w:rsidR="004F2CDF">
        <w:t>C</w:t>
      </w:r>
      <w:r w:rsidR="004F2CDF" w:rsidRPr="00F214BE">
        <w:t xml:space="preserve">ode </w:t>
      </w:r>
      <w:r w:rsidR="00FA1C49" w:rsidRPr="00F214BE">
        <w:t xml:space="preserve">pénal, à savoir l’autorisation par un collège de médecins spécialistes, la plupart des femmes ont recours à des avortements à risque, mettant en danger leur vie et </w:t>
      </w:r>
      <w:r w:rsidR="00381FB3" w:rsidRPr="00F214BE">
        <w:t>leur santé (art</w:t>
      </w:r>
      <w:r w:rsidR="00D06798">
        <w:t>. </w:t>
      </w:r>
      <w:r w:rsidR="00381FB3" w:rsidRPr="00F214BE">
        <w:t>3, 6, 7</w:t>
      </w:r>
      <w:r w:rsidR="004F1CD8">
        <w:t>,</w:t>
      </w:r>
      <w:r w:rsidR="00495550">
        <w:t xml:space="preserve"> </w:t>
      </w:r>
      <w:r w:rsidR="00381FB3" w:rsidRPr="00F214BE">
        <w:t>17</w:t>
      </w:r>
      <w:r w:rsidR="004F1CD8">
        <w:t xml:space="preserve"> et 26</w:t>
      </w:r>
      <w:r w:rsidR="00381FB3" w:rsidRPr="00F214BE">
        <w:t>).</w:t>
      </w:r>
    </w:p>
    <w:p w14:paraId="0174C74B" w14:textId="2DB32EA6" w:rsidR="00EA4473" w:rsidRPr="00D06798" w:rsidRDefault="001B7E7E" w:rsidP="00D06798">
      <w:pPr>
        <w:ind w:left="1134" w:right="1134"/>
        <w:jc w:val="both"/>
        <w:rPr>
          <w:b/>
          <w:sz w:val="20"/>
          <w:szCs w:val="20"/>
        </w:rPr>
      </w:pPr>
      <w:r w:rsidRPr="00ED68FD">
        <w:rPr>
          <w:rFonts w:eastAsiaTheme="minorEastAsia"/>
          <w:sz w:val="20"/>
          <w:szCs w:val="20"/>
          <w:lang w:val="fr-CH" w:eastAsia="en-US"/>
        </w:rPr>
        <w:t>26</w:t>
      </w:r>
      <w:r w:rsidR="00A9743D" w:rsidRPr="00ED68FD">
        <w:rPr>
          <w:rFonts w:eastAsiaTheme="minorEastAsia"/>
          <w:sz w:val="20"/>
          <w:szCs w:val="20"/>
          <w:lang w:val="fr-CH" w:eastAsia="en-US"/>
        </w:rPr>
        <w:t>.</w:t>
      </w:r>
      <w:r w:rsidR="00A9743D" w:rsidRPr="00D06798">
        <w:rPr>
          <w:rFonts w:eastAsiaTheme="minorEastAsia"/>
          <w:sz w:val="20"/>
          <w:szCs w:val="20"/>
          <w:lang w:val="fr-CH" w:eastAsia="en-US"/>
        </w:rPr>
        <w:tab/>
      </w:r>
      <w:r w:rsidR="00EA4473" w:rsidRPr="00FC64B3">
        <w:rPr>
          <w:rFonts w:eastAsiaTheme="minorEastAsia"/>
          <w:b/>
          <w:sz w:val="20"/>
          <w:szCs w:val="20"/>
          <w:lang w:val="fr-CH" w:eastAsia="en-US"/>
        </w:rPr>
        <w:t>L’État partie devrait</w:t>
      </w:r>
      <w:r w:rsidR="00161C96" w:rsidRPr="00FC64B3">
        <w:rPr>
          <w:rFonts w:eastAsiaTheme="minorEastAsia"/>
          <w:b/>
          <w:sz w:val="20"/>
          <w:szCs w:val="20"/>
          <w:lang w:val="fr-CH" w:eastAsia="en-US"/>
        </w:rPr>
        <w:t xml:space="preserve"> améliorer l’accès des femmes aux soins et services de santé sexuelle et obstétrique</w:t>
      </w:r>
      <w:r w:rsidR="00392BCE" w:rsidRPr="00FC64B3">
        <w:rPr>
          <w:rFonts w:eastAsiaTheme="minorEastAsia"/>
          <w:b/>
          <w:sz w:val="20"/>
          <w:szCs w:val="20"/>
          <w:lang w:val="fr-CH" w:eastAsia="en-US"/>
        </w:rPr>
        <w:t xml:space="preserve"> en vue de prévenir et lutter contre la mortalité maternelle</w:t>
      </w:r>
      <w:r w:rsidR="00161C96" w:rsidRPr="00FC64B3">
        <w:rPr>
          <w:rFonts w:eastAsiaTheme="minorEastAsia"/>
          <w:b/>
          <w:sz w:val="20"/>
          <w:szCs w:val="20"/>
          <w:lang w:val="fr-CH" w:eastAsia="en-US"/>
        </w:rPr>
        <w:t xml:space="preserve">. </w:t>
      </w:r>
      <w:r w:rsidR="00FC64B3" w:rsidRPr="00D06798">
        <w:rPr>
          <w:b/>
          <w:sz w:val="20"/>
          <w:szCs w:val="20"/>
        </w:rPr>
        <w:t>Il</w:t>
      </w:r>
      <w:r w:rsidR="001E5041">
        <w:rPr>
          <w:b/>
          <w:sz w:val="20"/>
          <w:szCs w:val="20"/>
        </w:rPr>
        <w:t> </w:t>
      </w:r>
      <w:r w:rsidR="00FC64B3" w:rsidRPr="00D06798">
        <w:rPr>
          <w:b/>
          <w:sz w:val="20"/>
          <w:szCs w:val="20"/>
        </w:rPr>
        <w:t>devrait modifier sa législation en vue de garantir un accès sécurisé, légal et effectif à l’avortement lorsque la vie et la santé de la femme ou de la fille sont en danger et lorsque le fait de mener la grossesse à terme causerait pour la femme ou pour la fille une douleur ou une souffrance considérable, tout particulièrement lorsque la grossesse résulte d’un viol ou d’un inceste, ou n’est pas viable.</w:t>
      </w:r>
      <w:r w:rsidR="00F85927">
        <w:rPr>
          <w:b/>
          <w:sz w:val="20"/>
          <w:szCs w:val="20"/>
        </w:rPr>
        <w:t xml:space="preserve"> </w:t>
      </w:r>
      <w:r w:rsidR="00EA4473" w:rsidRPr="00F214BE">
        <w:rPr>
          <w:rFonts w:eastAsiaTheme="minorEastAsia"/>
          <w:b/>
          <w:sz w:val="20"/>
          <w:szCs w:val="20"/>
          <w:lang w:val="fr-CH" w:eastAsia="en-US"/>
        </w:rPr>
        <w:t>L</w:t>
      </w:r>
      <w:r w:rsidR="00161C96" w:rsidRPr="00F214BE">
        <w:rPr>
          <w:rFonts w:eastAsiaTheme="minorEastAsia"/>
          <w:b/>
          <w:sz w:val="20"/>
          <w:szCs w:val="20"/>
          <w:lang w:val="fr-CH" w:eastAsia="en-US"/>
        </w:rPr>
        <w:t>’</w:t>
      </w:r>
      <w:r w:rsidR="00EA4473" w:rsidRPr="00F214BE">
        <w:rPr>
          <w:rFonts w:eastAsiaTheme="minorEastAsia"/>
          <w:b/>
          <w:sz w:val="20"/>
          <w:szCs w:val="20"/>
          <w:lang w:val="fr-CH" w:eastAsia="en-US"/>
        </w:rPr>
        <w:t xml:space="preserve">État partie devrait aussi : </w:t>
      </w:r>
      <w:r w:rsidR="00975072">
        <w:rPr>
          <w:rFonts w:eastAsiaTheme="minorEastAsia"/>
          <w:b/>
          <w:sz w:val="20"/>
          <w:szCs w:val="20"/>
          <w:lang w:val="fr-CH" w:eastAsia="en-US"/>
        </w:rPr>
        <w:t>a) </w:t>
      </w:r>
      <w:r w:rsidR="00EA4473" w:rsidRPr="00F214BE">
        <w:rPr>
          <w:rFonts w:eastAsiaTheme="minorEastAsia"/>
          <w:b/>
          <w:sz w:val="20"/>
          <w:szCs w:val="20"/>
          <w:lang w:val="fr-CH" w:eastAsia="en-US"/>
        </w:rPr>
        <w:t xml:space="preserve">prévenir la stigmatisation des femmes et des filles qui veulent interrompre leur grossesse et veiller à ce que les sanctions pénales ne soient appliquées ni contre elles ni contre ceux qui fournissent des services médicaux pour les aider ; </w:t>
      </w:r>
      <w:r w:rsidR="00975072">
        <w:rPr>
          <w:rFonts w:eastAsiaTheme="minorEastAsia"/>
          <w:b/>
          <w:sz w:val="20"/>
          <w:szCs w:val="20"/>
          <w:lang w:val="fr-CH" w:eastAsia="en-US"/>
        </w:rPr>
        <w:t>b) </w:t>
      </w:r>
      <w:r w:rsidR="00EA4473" w:rsidRPr="00F214BE">
        <w:rPr>
          <w:rFonts w:eastAsiaTheme="minorEastAsia"/>
          <w:b/>
          <w:sz w:val="20"/>
          <w:szCs w:val="20"/>
          <w:lang w:val="fr-CH" w:eastAsia="en-US"/>
        </w:rPr>
        <w:t>garantir l’accès aux femmes et aux hommes, et en particulier aux filles et aux garçons, à des informations factuelles et une éducation de qualité sur la santé sexuelle et procréative, et à une large gamme de méthodes de contraception abordables.</w:t>
      </w:r>
    </w:p>
    <w:p w14:paraId="780E375F" w14:textId="77777777" w:rsidR="008E3F1F" w:rsidRPr="00F214BE" w:rsidRDefault="002B3F26" w:rsidP="002B3F26">
      <w:pPr>
        <w:pStyle w:val="H23G"/>
      </w:pPr>
      <w:r w:rsidRPr="00F214BE">
        <w:tab/>
      </w:r>
      <w:r w:rsidRPr="00F214BE">
        <w:tab/>
      </w:r>
      <w:r w:rsidR="00EF193F" w:rsidRPr="00F214BE">
        <w:t xml:space="preserve">Peine de mort </w:t>
      </w:r>
    </w:p>
    <w:p w14:paraId="546F4161" w14:textId="26323390" w:rsidR="00AC2DBD" w:rsidRPr="00F214BE" w:rsidRDefault="001B7E7E" w:rsidP="008E3F1F">
      <w:pPr>
        <w:pStyle w:val="SingleTxtG"/>
      </w:pPr>
      <w:r w:rsidRPr="00F214BE">
        <w:t>27</w:t>
      </w:r>
      <w:r w:rsidR="00A9743D" w:rsidRPr="00F214BE">
        <w:t>.</w:t>
      </w:r>
      <w:r w:rsidR="00A9743D" w:rsidRPr="00F214BE">
        <w:tab/>
      </w:r>
      <w:r w:rsidR="00AC2DBD" w:rsidRPr="00F214BE">
        <w:t xml:space="preserve">Le Comité accueille favorablement </w:t>
      </w:r>
      <w:r w:rsidR="00EA1843" w:rsidRPr="00F214BE">
        <w:t xml:space="preserve">le retrait de la peine de mort du nouveau </w:t>
      </w:r>
      <w:r w:rsidR="004F2CDF">
        <w:t>C</w:t>
      </w:r>
      <w:r w:rsidR="004F2CDF" w:rsidRPr="00F214BE">
        <w:t xml:space="preserve">ode </w:t>
      </w:r>
      <w:r w:rsidR="00EA1843" w:rsidRPr="00F214BE">
        <w:t xml:space="preserve">pénal de 2016 ainsi que du nouveau </w:t>
      </w:r>
      <w:r w:rsidR="004F2CDF">
        <w:t>C</w:t>
      </w:r>
      <w:r w:rsidR="004F2CDF" w:rsidRPr="00F214BE">
        <w:t xml:space="preserve">ode </w:t>
      </w:r>
      <w:r w:rsidR="00EA1843" w:rsidRPr="00F214BE">
        <w:t xml:space="preserve">de justice militaire de 2017. Il regrette toutefois que les personnes condamnées à mort avant ces modifications législatives n’aient toujours </w:t>
      </w:r>
      <w:r w:rsidR="00D06798">
        <w:t>pas vu leur peine commuée (art. </w:t>
      </w:r>
      <w:r w:rsidR="00EA1843" w:rsidRPr="00F214BE">
        <w:t>6).</w:t>
      </w:r>
    </w:p>
    <w:p w14:paraId="4B2C1402" w14:textId="07975031" w:rsidR="00FC1955" w:rsidRPr="00F214BE" w:rsidRDefault="001B7E7E" w:rsidP="00353B23">
      <w:pPr>
        <w:pStyle w:val="SingleTxtG"/>
        <w:rPr>
          <w:b/>
        </w:rPr>
      </w:pPr>
      <w:r w:rsidRPr="00990BE1">
        <w:t>28</w:t>
      </w:r>
      <w:r w:rsidR="00A9743D" w:rsidRPr="00990BE1">
        <w:t>.</w:t>
      </w:r>
      <w:r w:rsidR="00A9743D" w:rsidRPr="00F214BE">
        <w:rPr>
          <w:b/>
        </w:rPr>
        <w:tab/>
      </w:r>
      <w:r w:rsidR="00FC1955" w:rsidRPr="00F214BE">
        <w:rPr>
          <w:b/>
        </w:rPr>
        <w:t xml:space="preserve">L’État partie devrait </w:t>
      </w:r>
      <w:r w:rsidR="00353B23" w:rsidRPr="00F214BE">
        <w:rPr>
          <w:b/>
        </w:rPr>
        <w:t xml:space="preserve">prendre toutes les mesures </w:t>
      </w:r>
      <w:r w:rsidR="00884AE3" w:rsidRPr="00F214BE">
        <w:rPr>
          <w:b/>
        </w:rPr>
        <w:t>afin</w:t>
      </w:r>
      <w:r w:rsidR="00353B23" w:rsidRPr="00F214BE">
        <w:rPr>
          <w:b/>
        </w:rPr>
        <w:t xml:space="preserve"> d’assurer la commutation des peines des personnes toujours condamnées à mort dans les meilleurs délais et d’entamer un processus d’adhésion au </w:t>
      </w:r>
      <w:r w:rsidR="000F2B1D">
        <w:rPr>
          <w:b/>
        </w:rPr>
        <w:t>D</w:t>
      </w:r>
      <w:r w:rsidR="000F2B1D" w:rsidRPr="00F214BE">
        <w:rPr>
          <w:b/>
        </w:rPr>
        <w:t xml:space="preserve">euxième </w:t>
      </w:r>
      <w:r w:rsidR="00353B23" w:rsidRPr="00F214BE">
        <w:rPr>
          <w:b/>
        </w:rPr>
        <w:t>Protocole facultatif se rapportant au Pacte, visant à abolir la peine de mort.</w:t>
      </w:r>
    </w:p>
    <w:p w14:paraId="75086E89" w14:textId="77777777" w:rsidR="00987A96" w:rsidRPr="00F214BE" w:rsidRDefault="002B3F26" w:rsidP="002B3F26">
      <w:pPr>
        <w:pStyle w:val="H23G"/>
      </w:pPr>
      <w:r w:rsidRPr="00F214BE">
        <w:tab/>
      </w:r>
      <w:r w:rsidRPr="00F214BE">
        <w:tab/>
      </w:r>
      <w:r w:rsidR="00987A96" w:rsidRPr="00F214BE">
        <w:t>Vindictes populaires</w:t>
      </w:r>
    </w:p>
    <w:p w14:paraId="5F85677E" w14:textId="21733E33" w:rsidR="00C26C0F" w:rsidRPr="00F214BE" w:rsidRDefault="001B7E7E" w:rsidP="00987A96">
      <w:pPr>
        <w:pStyle w:val="SingleTxtG"/>
      </w:pPr>
      <w:r w:rsidRPr="00F214BE">
        <w:t>29</w:t>
      </w:r>
      <w:r w:rsidR="00A9743D" w:rsidRPr="00F214BE">
        <w:t>.</w:t>
      </w:r>
      <w:r w:rsidR="00A9743D" w:rsidRPr="00F214BE">
        <w:tab/>
      </w:r>
      <w:r w:rsidR="00C26C0F" w:rsidRPr="00F214BE">
        <w:t xml:space="preserve">Le Comité exprime ses préoccupations </w:t>
      </w:r>
      <w:r w:rsidR="00F214BE">
        <w:t xml:space="preserve">au sujet </w:t>
      </w:r>
      <w:r w:rsidR="00884AE3" w:rsidRPr="00F214BE">
        <w:t xml:space="preserve">des </w:t>
      </w:r>
      <w:r w:rsidR="00C26C0F" w:rsidRPr="00F214BE">
        <w:t>vindictes populaires et de</w:t>
      </w:r>
      <w:r w:rsidR="00884AE3" w:rsidRPr="00F214BE">
        <w:t>s</w:t>
      </w:r>
      <w:r w:rsidR="00C26C0F" w:rsidRPr="00F214BE">
        <w:t xml:space="preserve"> lynchages. Il regrette le très faible nombre d’enquêtes, </w:t>
      </w:r>
      <w:r w:rsidR="00B70C43">
        <w:t xml:space="preserve">de </w:t>
      </w:r>
      <w:r w:rsidR="00C26C0F" w:rsidRPr="00F214BE">
        <w:t xml:space="preserve">poursuites et </w:t>
      </w:r>
      <w:r w:rsidR="00B70C43">
        <w:t xml:space="preserve">de </w:t>
      </w:r>
      <w:r w:rsidR="00C26C0F" w:rsidRPr="00F214BE">
        <w:t>condamnations à l’encontre des responsables (</w:t>
      </w:r>
      <w:r w:rsidR="0017041C" w:rsidRPr="00F214BE">
        <w:t>art</w:t>
      </w:r>
      <w:r w:rsidR="00D06798">
        <w:t>. </w:t>
      </w:r>
      <w:r w:rsidR="0017041C" w:rsidRPr="00F214BE">
        <w:t>2, 6 et 7).</w:t>
      </w:r>
    </w:p>
    <w:p w14:paraId="1BE03201" w14:textId="451918E6" w:rsidR="00F61C6E" w:rsidRPr="00F214BE" w:rsidRDefault="001B7E7E" w:rsidP="00F61C6E">
      <w:pPr>
        <w:pStyle w:val="SingleTxtG"/>
        <w:rPr>
          <w:b/>
        </w:rPr>
      </w:pPr>
      <w:r w:rsidRPr="00990BE1">
        <w:t>30</w:t>
      </w:r>
      <w:r w:rsidR="00A9743D" w:rsidRPr="00990BE1">
        <w:t>.</w:t>
      </w:r>
      <w:r w:rsidR="00A9743D" w:rsidRPr="00990BE1">
        <w:tab/>
      </w:r>
      <w:r w:rsidR="0017041C" w:rsidRPr="00F214BE">
        <w:rPr>
          <w:b/>
        </w:rPr>
        <w:t>L’État partie devrait</w:t>
      </w:r>
      <w:r w:rsidR="00D1569D">
        <w:rPr>
          <w:b/>
        </w:rPr>
        <w:t xml:space="preserve"> </w:t>
      </w:r>
      <w:r w:rsidR="0017041C" w:rsidRPr="00F214BE">
        <w:rPr>
          <w:b/>
        </w:rPr>
        <w:t xml:space="preserve">prendre toutes les mesures </w:t>
      </w:r>
      <w:r w:rsidR="003267B0" w:rsidRPr="00F214BE">
        <w:rPr>
          <w:b/>
        </w:rPr>
        <w:t xml:space="preserve">pour mettre fin aux pratiques </w:t>
      </w:r>
      <w:r w:rsidR="0017041C" w:rsidRPr="00F214BE">
        <w:rPr>
          <w:b/>
        </w:rPr>
        <w:t xml:space="preserve">de vindictes populaires </w:t>
      </w:r>
      <w:r w:rsidR="003267B0" w:rsidRPr="00F214BE">
        <w:rPr>
          <w:b/>
        </w:rPr>
        <w:t>et de</w:t>
      </w:r>
      <w:r w:rsidR="0017041C" w:rsidRPr="00F214BE">
        <w:rPr>
          <w:b/>
        </w:rPr>
        <w:t xml:space="preserve"> lynchages, </w:t>
      </w:r>
      <w:r w:rsidR="00B61310" w:rsidRPr="00F214BE">
        <w:rPr>
          <w:b/>
        </w:rPr>
        <w:t xml:space="preserve">enquêter et poursuivre les auteurs présumés </w:t>
      </w:r>
      <w:r w:rsidR="0017041C" w:rsidRPr="00F214BE">
        <w:rPr>
          <w:b/>
        </w:rPr>
        <w:t>et</w:t>
      </w:r>
      <w:r w:rsidR="00B70C43">
        <w:rPr>
          <w:b/>
        </w:rPr>
        <w:t>,</w:t>
      </w:r>
      <w:r w:rsidR="0017041C" w:rsidRPr="00F214BE">
        <w:rPr>
          <w:b/>
        </w:rPr>
        <w:t xml:space="preserve"> s’ils sont reconnus coupables</w:t>
      </w:r>
      <w:r w:rsidR="00B70C43">
        <w:rPr>
          <w:b/>
        </w:rPr>
        <w:t>,</w:t>
      </w:r>
      <w:r w:rsidR="0017041C" w:rsidRPr="00F214BE">
        <w:rPr>
          <w:b/>
        </w:rPr>
        <w:t xml:space="preserve"> les condamner à des sanctions appropriées.</w:t>
      </w:r>
    </w:p>
    <w:p w14:paraId="02EB130E" w14:textId="6EDD07E5" w:rsidR="00BB4558" w:rsidRPr="00D06798" w:rsidRDefault="002B3F26" w:rsidP="00D06798">
      <w:pPr>
        <w:pStyle w:val="H23G"/>
      </w:pPr>
      <w:r w:rsidRPr="00F214BE">
        <w:rPr>
          <w:lang w:val="fr-FR"/>
        </w:rPr>
        <w:lastRenderedPageBreak/>
        <w:tab/>
      </w:r>
      <w:r w:rsidRPr="00F214BE">
        <w:rPr>
          <w:lang w:val="fr-FR"/>
        </w:rPr>
        <w:tab/>
      </w:r>
      <w:r w:rsidR="00FD004B" w:rsidRPr="00F214BE">
        <w:rPr>
          <w:lang w:val="fr-FR"/>
        </w:rPr>
        <w:t>Usage excessif de la force</w:t>
      </w:r>
      <w:r w:rsidR="00B001F0" w:rsidRPr="00F214BE">
        <w:rPr>
          <w:lang w:val="fr-FR"/>
        </w:rPr>
        <w:t xml:space="preserve"> et comportement des agents </w:t>
      </w:r>
      <w:r w:rsidR="001A70C8" w:rsidRPr="00F214BE">
        <w:rPr>
          <w:lang w:val="fr-FR"/>
        </w:rPr>
        <w:t>responsables de l’application de</w:t>
      </w:r>
      <w:r w:rsidR="00882267">
        <w:rPr>
          <w:lang w:val="fr-FR"/>
        </w:rPr>
        <w:t> </w:t>
      </w:r>
      <w:r w:rsidR="001A70C8" w:rsidRPr="00F214BE">
        <w:rPr>
          <w:lang w:val="fr-FR"/>
        </w:rPr>
        <w:t>la loi</w:t>
      </w:r>
    </w:p>
    <w:p w14:paraId="10D410AD" w14:textId="3288D7C3" w:rsidR="00FC7D66" w:rsidRPr="00F214BE" w:rsidRDefault="001B7E7E" w:rsidP="00FC7D66">
      <w:pPr>
        <w:pStyle w:val="SingleTxtG"/>
        <w:rPr>
          <w:lang w:val="fr-FR"/>
        </w:rPr>
      </w:pPr>
      <w:r w:rsidRPr="00F214BE">
        <w:rPr>
          <w:lang w:val="fr-FR"/>
        </w:rPr>
        <w:t>31</w:t>
      </w:r>
      <w:r w:rsidR="00A9743D" w:rsidRPr="00F214BE">
        <w:rPr>
          <w:lang w:val="fr-FR"/>
        </w:rPr>
        <w:t>.</w:t>
      </w:r>
      <w:r w:rsidR="00A9743D" w:rsidRPr="00F214BE">
        <w:rPr>
          <w:lang w:val="fr-FR"/>
        </w:rPr>
        <w:tab/>
      </w:r>
      <w:r w:rsidR="005D2F9B" w:rsidRPr="00F214BE">
        <w:rPr>
          <w:lang w:val="fr-FR"/>
        </w:rPr>
        <w:t>Le Comité accueille favorablement la loi n</w:t>
      </w:r>
      <w:r w:rsidR="00276AC7" w:rsidRPr="00D06798">
        <w:rPr>
          <w:vertAlign w:val="superscript"/>
          <w:lang w:val="fr-FR"/>
        </w:rPr>
        <w:t>o</w:t>
      </w:r>
      <w:r w:rsidR="00276AC7">
        <w:rPr>
          <w:lang w:val="fr-FR"/>
        </w:rPr>
        <w:t> </w:t>
      </w:r>
      <w:r w:rsidR="005D2F9B" w:rsidRPr="00F214BE">
        <w:rPr>
          <w:lang w:val="fr-FR"/>
        </w:rPr>
        <w:t>L/2015/009/AN du 4 juin 2015 portant maintien de l’ordre public</w:t>
      </w:r>
      <w:r w:rsidR="00ED3EC0" w:rsidRPr="00F214BE">
        <w:rPr>
          <w:lang w:val="fr-FR"/>
        </w:rPr>
        <w:t>,</w:t>
      </w:r>
      <w:r w:rsidR="005D2F9B" w:rsidRPr="00F214BE">
        <w:rPr>
          <w:lang w:val="fr-FR"/>
        </w:rPr>
        <w:t xml:space="preserve"> qui impose l’usage </w:t>
      </w:r>
      <w:r w:rsidR="00E33AC2" w:rsidRPr="00F214BE">
        <w:rPr>
          <w:lang w:val="fr-FR"/>
        </w:rPr>
        <w:t>d’armes non létales</w:t>
      </w:r>
      <w:r w:rsidR="005D2F9B" w:rsidRPr="00F214BE">
        <w:rPr>
          <w:lang w:val="fr-FR"/>
        </w:rPr>
        <w:t xml:space="preserve"> pour le maintien de l’ordre et limite l’usage des armes à feux aux circonstances de légitime défense et cas de nécessité impérieuse.</w:t>
      </w:r>
      <w:r w:rsidR="007523F3" w:rsidRPr="00F214BE">
        <w:rPr>
          <w:lang w:val="fr-FR"/>
        </w:rPr>
        <w:t xml:space="preserve"> Il demeure toutefois préoccupé par les informations crédibles, confirmées par la délégation, faisant état d’</w:t>
      </w:r>
      <w:r w:rsidR="00C15AF8">
        <w:rPr>
          <w:lang w:val="fr-FR"/>
        </w:rPr>
        <w:t xml:space="preserve">un </w:t>
      </w:r>
      <w:r w:rsidR="007523F3" w:rsidRPr="00F214BE">
        <w:rPr>
          <w:lang w:val="fr-FR"/>
        </w:rPr>
        <w:t xml:space="preserve">usage </w:t>
      </w:r>
      <w:r w:rsidR="00C15AF8">
        <w:rPr>
          <w:lang w:val="fr-FR"/>
        </w:rPr>
        <w:t>souvent</w:t>
      </w:r>
      <w:r w:rsidR="00C15AF8" w:rsidRPr="00F214BE">
        <w:rPr>
          <w:lang w:val="fr-FR"/>
        </w:rPr>
        <w:t xml:space="preserve"> </w:t>
      </w:r>
      <w:r w:rsidR="007523F3" w:rsidRPr="00F214BE">
        <w:rPr>
          <w:lang w:val="fr-FR"/>
        </w:rPr>
        <w:t xml:space="preserve">excessif de la </w:t>
      </w:r>
      <w:r w:rsidR="001A70C8" w:rsidRPr="00F214BE">
        <w:rPr>
          <w:lang w:val="fr-FR"/>
        </w:rPr>
        <w:t>force par les agents responsables de l’application de la loi</w:t>
      </w:r>
      <w:r w:rsidR="007523F3" w:rsidRPr="00F214BE">
        <w:rPr>
          <w:lang w:val="fr-FR"/>
        </w:rPr>
        <w:t>, en particulier au cours de manifestations, entra</w:t>
      </w:r>
      <w:r w:rsidR="00C15AF8">
        <w:rPr>
          <w:lang w:val="fr-FR"/>
        </w:rPr>
        <w:t>î</w:t>
      </w:r>
      <w:r w:rsidR="007523F3" w:rsidRPr="00F214BE">
        <w:rPr>
          <w:lang w:val="fr-FR"/>
        </w:rPr>
        <w:t xml:space="preserve">nant des morts et des blessés. Il s’inquiète vivement de ce que </w:t>
      </w:r>
      <w:r w:rsidR="00FD3E80" w:rsidRPr="00F214BE">
        <w:rPr>
          <w:lang w:val="fr-FR"/>
        </w:rPr>
        <w:t xml:space="preserve">les agents sont rarement, sinon jamais, poursuivis pour de tels actes, causant </w:t>
      </w:r>
      <w:r w:rsidR="00FD3E80" w:rsidRPr="00C26BE2">
        <w:rPr>
          <w:lang w:val="fr-FR"/>
        </w:rPr>
        <w:t xml:space="preserve">de </w:t>
      </w:r>
      <w:r w:rsidR="00FD3E80" w:rsidRPr="00D06798">
        <w:rPr>
          <w:lang w:val="fr-FR"/>
        </w:rPr>
        <w:t>facto</w:t>
      </w:r>
      <w:r w:rsidR="00FD3E80" w:rsidRPr="00F214BE">
        <w:rPr>
          <w:i/>
          <w:lang w:val="fr-FR"/>
        </w:rPr>
        <w:t xml:space="preserve"> </w:t>
      </w:r>
      <w:r w:rsidR="00FD3E80" w:rsidRPr="00F214BE">
        <w:rPr>
          <w:lang w:val="fr-FR"/>
        </w:rPr>
        <w:t>un climat d’</w:t>
      </w:r>
      <w:r w:rsidR="00ED3EC0" w:rsidRPr="00F214BE">
        <w:rPr>
          <w:lang w:val="fr-FR"/>
        </w:rPr>
        <w:t xml:space="preserve">impunité. Il exprime également ses </w:t>
      </w:r>
      <w:r w:rsidR="002A1229" w:rsidRPr="00F214BE">
        <w:rPr>
          <w:lang w:val="fr-FR"/>
        </w:rPr>
        <w:t>préoccupations</w:t>
      </w:r>
      <w:r w:rsidR="00ED3EC0" w:rsidRPr="00F214BE">
        <w:rPr>
          <w:lang w:val="fr-FR"/>
        </w:rPr>
        <w:t xml:space="preserve"> quant aux informations faisant </w:t>
      </w:r>
      <w:r w:rsidR="00674B29">
        <w:rPr>
          <w:lang w:val="fr-FR"/>
        </w:rPr>
        <w:t xml:space="preserve">état </w:t>
      </w:r>
      <w:r w:rsidR="002A1229" w:rsidRPr="00F214BE">
        <w:rPr>
          <w:lang w:val="fr-FR"/>
        </w:rPr>
        <w:t xml:space="preserve">de pillages et saccages perpétrés par </w:t>
      </w:r>
      <w:r w:rsidR="003A3E64">
        <w:rPr>
          <w:lang w:val="fr-FR"/>
        </w:rPr>
        <w:t>d</w:t>
      </w:r>
      <w:r w:rsidR="002A1229" w:rsidRPr="00F214BE">
        <w:rPr>
          <w:lang w:val="fr-FR"/>
        </w:rPr>
        <w:t xml:space="preserve">es agents </w:t>
      </w:r>
      <w:r w:rsidR="001A70C8" w:rsidRPr="00F214BE">
        <w:rPr>
          <w:lang w:val="fr-FR"/>
        </w:rPr>
        <w:t xml:space="preserve">responsables de l’application de la loi </w:t>
      </w:r>
      <w:r w:rsidR="002A1229" w:rsidRPr="00F214BE">
        <w:rPr>
          <w:lang w:val="fr-FR"/>
        </w:rPr>
        <w:t>dans des domiciles privés au cours de perquisitions (art</w:t>
      </w:r>
      <w:r w:rsidR="00D06798">
        <w:rPr>
          <w:lang w:val="fr-FR"/>
        </w:rPr>
        <w:t>. </w:t>
      </w:r>
      <w:r w:rsidR="002A1229" w:rsidRPr="00F214BE">
        <w:rPr>
          <w:lang w:val="fr-FR"/>
        </w:rPr>
        <w:t>6, 7, 9, 17 et 21)</w:t>
      </w:r>
      <w:r w:rsidR="00FC7D66" w:rsidRPr="00F214BE">
        <w:rPr>
          <w:lang w:val="fr-FR"/>
        </w:rPr>
        <w:t>.</w:t>
      </w:r>
    </w:p>
    <w:p w14:paraId="4890A5D8" w14:textId="1F7DC3F1" w:rsidR="005D2F9B" w:rsidRPr="00F214BE" w:rsidRDefault="001B7E7E" w:rsidP="00CC550A">
      <w:pPr>
        <w:pStyle w:val="SingleTxtG"/>
        <w:rPr>
          <w:b/>
        </w:rPr>
      </w:pPr>
      <w:r w:rsidRPr="00990BE1">
        <w:t>32</w:t>
      </w:r>
      <w:r w:rsidR="00A9743D" w:rsidRPr="00990BE1">
        <w:t>.</w:t>
      </w:r>
      <w:r w:rsidR="00A9743D" w:rsidRPr="00990BE1">
        <w:tab/>
      </w:r>
      <w:r w:rsidR="00FC7D66" w:rsidRPr="00F214BE">
        <w:rPr>
          <w:b/>
        </w:rPr>
        <w:t>L’État partie devrait</w:t>
      </w:r>
      <w:r w:rsidR="001134EA" w:rsidRPr="00F214BE">
        <w:rPr>
          <w:b/>
        </w:rPr>
        <w:t> :</w:t>
      </w:r>
      <w:r w:rsidR="004C110B" w:rsidRPr="00F214BE">
        <w:rPr>
          <w:b/>
        </w:rPr>
        <w:t xml:space="preserve"> </w:t>
      </w:r>
      <w:r w:rsidR="00975072">
        <w:rPr>
          <w:b/>
        </w:rPr>
        <w:t>a) </w:t>
      </w:r>
      <w:r w:rsidR="008F1B56" w:rsidRPr="00F214BE">
        <w:rPr>
          <w:b/>
        </w:rPr>
        <w:t xml:space="preserve">veiller à ce que ses agents </w:t>
      </w:r>
      <w:r w:rsidR="001A70C8" w:rsidRPr="00F214BE">
        <w:rPr>
          <w:b/>
          <w:lang w:val="fr-FR"/>
        </w:rPr>
        <w:t xml:space="preserve">responsables de l’application de la loi </w:t>
      </w:r>
      <w:r w:rsidR="008F1B56" w:rsidRPr="00F214BE">
        <w:rPr>
          <w:b/>
        </w:rPr>
        <w:t>respectent strictement les dispositions de la loi du 4 juin 2015, notamment en renforçant les formations sur l’usage de la force et en sensibilisant les juges, les procureurs et les</w:t>
      </w:r>
      <w:r w:rsidR="00975072">
        <w:rPr>
          <w:b/>
        </w:rPr>
        <w:t xml:space="preserve"> avocats à cette question ; b) </w:t>
      </w:r>
      <w:r w:rsidR="008F1B56" w:rsidRPr="00F214BE">
        <w:rPr>
          <w:b/>
        </w:rPr>
        <w:t xml:space="preserve">s’assurer que </w:t>
      </w:r>
      <w:r w:rsidR="00166396">
        <w:rPr>
          <w:b/>
        </w:rPr>
        <w:t>tous l</w:t>
      </w:r>
      <w:r w:rsidR="008F1B56" w:rsidRPr="00F214BE">
        <w:rPr>
          <w:b/>
        </w:rPr>
        <w:t xml:space="preserve">es cas d’usage excessif de la force </w:t>
      </w:r>
      <w:r w:rsidR="00166396">
        <w:rPr>
          <w:b/>
        </w:rPr>
        <w:t>font</w:t>
      </w:r>
      <w:r w:rsidR="00261722" w:rsidRPr="00F214BE">
        <w:rPr>
          <w:b/>
        </w:rPr>
        <w:t xml:space="preserve"> </w:t>
      </w:r>
      <w:r w:rsidR="008F1B56" w:rsidRPr="00F214BE">
        <w:rPr>
          <w:b/>
        </w:rPr>
        <w:t>l’objet d’enquêtes indépendantes, poursuites et condamnations appropriées à la gravité des faits</w:t>
      </w:r>
      <w:r w:rsidR="001A70C8" w:rsidRPr="00F214BE">
        <w:rPr>
          <w:b/>
        </w:rPr>
        <w:t>, et que les victimes obtiennent réparation</w:t>
      </w:r>
      <w:r w:rsidR="00B6058B">
        <w:rPr>
          <w:b/>
        </w:rPr>
        <w:t> </w:t>
      </w:r>
      <w:r w:rsidR="00975072">
        <w:rPr>
          <w:b/>
        </w:rPr>
        <w:t>; c) </w:t>
      </w:r>
      <w:r w:rsidR="008F1B56" w:rsidRPr="00F214BE">
        <w:rPr>
          <w:b/>
        </w:rPr>
        <w:t xml:space="preserve">veiller à ce que les agents </w:t>
      </w:r>
      <w:r w:rsidR="001A70C8" w:rsidRPr="00F214BE">
        <w:rPr>
          <w:b/>
          <w:lang w:val="fr-FR"/>
        </w:rPr>
        <w:t xml:space="preserve">responsables de l’application de la loi </w:t>
      </w:r>
      <w:r w:rsidR="008F1B56" w:rsidRPr="00F214BE">
        <w:rPr>
          <w:b/>
        </w:rPr>
        <w:t xml:space="preserve">appliquent strictement les dispositions du </w:t>
      </w:r>
      <w:r w:rsidR="00495550">
        <w:rPr>
          <w:b/>
        </w:rPr>
        <w:t>C</w:t>
      </w:r>
      <w:r w:rsidR="00495550" w:rsidRPr="00F214BE">
        <w:rPr>
          <w:b/>
        </w:rPr>
        <w:t xml:space="preserve">ode </w:t>
      </w:r>
      <w:r w:rsidR="008F1B56" w:rsidRPr="00F214BE">
        <w:rPr>
          <w:b/>
        </w:rPr>
        <w:t xml:space="preserve">de procédure pénale </w:t>
      </w:r>
      <w:r w:rsidR="00166396">
        <w:rPr>
          <w:b/>
        </w:rPr>
        <w:t>relatives</w:t>
      </w:r>
      <w:r w:rsidR="00166396" w:rsidRPr="00F214BE">
        <w:rPr>
          <w:b/>
        </w:rPr>
        <w:t xml:space="preserve"> </w:t>
      </w:r>
      <w:r w:rsidR="008F1B56" w:rsidRPr="00F214BE">
        <w:rPr>
          <w:b/>
        </w:rPr>
        <w:t>aux perquisitions et soient</w:t>
      </w:r>
      <w:r w:rsidR="00E33AC2" w:rsidRPr="00F214BE">
        <w:rPr>
          <w:b/>
        </w:rPr>
        <w:t>,</w:t>
      </w:r>
      <w:r w:rsidR="008F1B56" w:rsidRPr="00F214BE">
        <w:rPr>
          <w:b/>
        </w:rPr>
        <w:t xml:space="preserve"> le cas échéant</w:t>
      </w:r>
      <w:r w:rsidR="00E33AC2" w:rsidRPr="00F214BE">
        <w:rPr>
          <w:b/>
        </w:rPr>
        <w:t>,</w:t>
      </w:r>
      <w:r w:rsidR="008F1B56" w:rsidRPr="00F214BE">
        <w:rPr>
          <w:b/>
        </w:rPr>
        <w:t xml:space="preserve"> systématiquement sanctionnés pour tout manquement en la matière.</w:t>
      </w:r>
    </w:p>
    <w:p w14:paraId="122122E2" w14:textId="77777777" w:rsidR="00EF193F" w:rsidRPr="00D06798" w:rsidRDefault="00E06D9D" w:rsidP="00D06798">
      <w:pPr>
        <w:pStyle w:val="H23G"/>
      </w:pPr>
      <w:r w:rsidRPr="00F214BE">
        <w:rPr>
          <w:lang w:val="fr-FR"/>
        </w:rPr>
        <w:tab/>
      </w:r>
      <w:r w:rsidRPr="00F214BE">
        <w:rPr>
          <w:lang w:val="fr-FR"/>
        </w:rPr>
        <w:tab/>
      </w:r>
      <w:r w:rsidR="00EF193F" w:rsidRPr="00F214BE">
        <w:rPr>
          <w:lang w:val="fr-FR"/>
        </w:rPr>
        <w:t>Torture, traitements cruels, inhumains ou dégradants</w:t>
      </w:r>
    </w:p>
    <w:p w14:paraId="6652DF92" w14:textId="75C17C35" w:rsidR="00031059" w:rsidRPr="00F214BE" w:rsidRDefault="001B7E7E" w:rsidP="00031059">
      <w:pPr>
        <w:pStyle w:val="SingleTxtG"/>
        <w:rPr>
          <w:lang w:val="fr-FR"/>
        </w:rPr>
      </w:pPr>
      <w:r w:rsidRPr="00F214BE">
        <w:rPr>
          <w:lang w:val="fr-FR"/>
        </w:rPr>
        <w:t>33</w:t>
      </w:r>
      <w:r w:rsidR="00A9743D" w:rsidRPr="00F214BE">
        <w:rPr>
          <w:lang w:val="fr-FR"/>
        </w:rPr>
        <w:t>.</w:t>
      </w:r>
      <w:r w:rsidR="00A9743D" w:rsidRPr="00F214BE">
        <w:rPr>
          <w:lang w:val="fr-FR"/>
        </w:rPr>
        <w:tab/>
      </w:r>
      <w:r w:rsidR="00031059" w:rsidRPr="00F214BE">
        <w:rPr>
          <w:lang w:val="fr-FR"/>
        </w:rPr>
        <w:t xml:space="preserve">Le Comité </w:t>
      </w:r>
      <w:r w:rsidR="00196D00" w:rsidRPr="00F214BE">
        <w:rPr>
          <w:lang w:val="fr-FR"/>
        </w:rPr>
        <w:t xml:space="preserve">accueille favorablement la révision du </w:t>
      </w:r>
      <w:r w:rsidR="004F2CDF">
        <w:rPr>
          <w:lang w:val="fr-FR"/>
        </w:rPr>
        <w:t>C</w:t>
      </w:r>
      <w:r w:rsidR="004F2CDF" w:rsidRPr="00F214BE">
        <w:rPr>
          <w:lang w:val="fr-FR"/>
        </w:rPr>
        <w:t xml:space="preserve">ode </w:t>
      </w:r>
      <w:r w:rsidR="00196D00" w:rsidRPr="00F214BE">
        <w:rPr>
          <w:lang w:val="fr-FR"/>
        </w:rPr>
        <w:t xml:space="preserve">pénal introduisant une définition et </w:t>
      </w:r>
      <w:r w:rsidR="00E33AC2" w:rsidRPr="00F214BE">
        <w:rPr>
          <w:lang w:val="fr-FR"/>
        </w:rPr>
        <w:t xml:space="preserve">une </w:t>
      </w:r>
      <w:r w:rsidR="00196D00" w:rsidRPr="00F214BE">
        <w:rPr>
          <w:lang w:val="fr-FR"/>
        </w:rPr>
        <w:t>incrimination autonome de la torture. Il regrette toutefois qu’aux termes de l’</w:t>
      </w:r>
      <w:r w:rsidR="004F2599" w:rsidRPr="00F214BE">
        <w:rPr>
          <w:lang w:val="fr-FR"/>
        </w:rPr>
        <w:t>alinéa 2</w:t>
      </w:r>
      <w:r w:rsidR="001F17B5">
        <w:rPr>
          <w:lang w:val="fr-FR"/>
        </w:rPr>
        <w:t xml:space="preserve"> de l’</w:t>
      </w:r>
      <w:r w:rsidR="004C110B" w:rsidRPr="00F214BE">
        <w:rPr>
          <w:lang w:val="fr-FR"/>
        </w:rPr>
        <w:t xml:space="preserve">article 232 </w:t>
      </w:r>
      <w:r w:rsidR="00196D00" w:rsidRPr="00F214BE">
        <w:rPr>
          <w:lang w:val="fr-FR"/>
        </w:rPr>
        <w:t xml:space="preserve">dudit </w:t>
      </w:r>
      <w:r w:rsidR="004F2CDF">
        <w:rPr>
          <w:lang w:val="fr-FR"/>
        </w:rPr>
        <w:t>C</w:t>
      </w:r>
      <w:r w:rsidR="004F2CDF" w:rsidRPr="00F214BE">
        <w:rPr>
          <w:lang w:val="fr-FR"/>
        </w:rPr>
        <w:t>ode</w:t>
      </w:r>
      <w:r w:rsidR="00196D00" w:rsidRPr="00F214BE">
        <w:rPr>
          <w:lang w:val="fr-FR"/>
        </w:rPr>
        <w:t xml:space="preserve">, </w:t>
      </w:r>
      <w:r w:rsidR="00400929" w:rsidRPr="00F214BE">
        <w:rPr>
          <w:lang w:val="fr-FR"/>
        </w:rPr>
        <w:t xml:space="preserve">un certain nombre d’actes, tels que les chocs électriques ou </w:t>
      </w:r>
      <w:r w:rsidR="00B42552" w:rsidRPr="00F214BE">
        <w:rPr>
          <w:lang w:val="fr-FR"/>
        </w:rPr>
        <w:t xml:space="preserve">brûlures, constitutifs </w:t>
      </w:r>
      <w:r w:rsidR="00EA35E6" w:rsidRPr="00F214BE">
        <w:rPr>
          <w:lang w:val="fr-FR"/>
        </w:rPr>
        <w:t xml:space="preserve">en réalité </w:t>
      </w:r>
      <w:r w:rsidR="00B42552" w:rsidRPr="00F214BE">
        <w:rPr>
          <w:lang w:val="fr-FR"/>
        </w:rPr>
        <w:t xml:space="preserve">d’actes de torture, sont </w:t>
      </w:r>
      <w:r w:rsidR="00F214BE" w:rsidRPr="00F214BE">
        <w:rPr>
          <w:lang w:val="fr-FR"/>
        </w:rPr>
        <w:t>qualifiés de</w:t>
      </w:r>
      <w:r w:rsidR="00B42552" w:rsidRPr="00F214BE">
        <w:rPr>
          <w:lang w:val="fr-FR"/>
        </w:rPr>
        <w:t xml:space="preserve"> traitemen</w:t>
      </w:r>
      <w:r w:rsidR="004036E5" w:rsidRPr="00F214BE">
        <w:rPr>
          <w:lang w:val="fr-FR"/>
        </w:rPr>
        <w:t>ts cruels et inhumains</w:t>
      </w:r>
      <w:r w:rsidR="00FC131E">
        <w:rPr>
          <w:lang w:val="fr-FR"/>
        </w:rPr>
        <w:t>,</w:t>
      </w:r>
      <w:r w:rsidR="004036E5" w:rsidRPr="00F214BE">
        <w:rPr>
          <w:lang w:val="fr-FR"/>
        </w:rPr>
        <w:t xml:space="preserve"> dont l’éventail des peines n’est pas précisé. </w:t>
      </w:r>
      <w:r w:rsidR="006044E0" w:rsidRPr="00F214BE">
        <w:rPr>
          <w:lang w:val="fr-FR"/>
        </w:rPr>
        <w:t xml:space="preserve">Il s’inquiète également </w:t>
      </w:r>
      <w:r w:rsidR="00FC131E">
        <w:rPr>
          <w:lang w:val="fr-FR"/>
        </w:rPr>
        <w:t xml:space="preserve">de ce </w:t>
      </w:r>
      <w:r w:rsidR="006044E0" w:rsidRPr="00F214BE">
        <w:rPr>
          <w:lang w:val="fr-FR"/>
        </w:rPr>
        <w:t xml:space="preserve">que, si le recours à la torture a disparu des prisons, </w:t>
      </w:r>
      <w:r w:rsidR="00EA35E6" w:rsidRPr="00F214BE">
        <w:rPr>
          <w:lang w:val="fr-FR"/>
        </w:rPr>
        <w:t>il continue d’être fréquemment pratiqué</w:t>
      </w:r>
      <w:r w:rsidR="00FC131E">
        <w:rPr>
          <w:lang w:val="fr-FR"/>
        </w:rPr>
        <w:t>,</w:t>
      </w:r>
      <w:r w:rsidR="00EA35E6" w:rsidRPr="00F214BE">
        <w:rPr>
          <w:lang w:val="fr-FR"/>
        </w:rPr>
        <w:t xml:space="preserve"> </w:t>
      </w:r>
      <w:r w:rsidR="008D1C80" w:rsidRPr="00F214BE">
        <w:rPr>
          <w:lang w:val="fr-FR"/>
        </w:rPr>
        <w:t>en particulier dans les postes de garde</w:t>
      </w:r>
      <w:r w:rsidR="001F17B5">
        <w:rPr>
          <w:lang w:val="fr-FR"/>
        </w:rPr>
        <w:t xml:space="preserve"> </w:t>
      </w:r>
      <w:r w:rsidR="008D1C80" w:rsidRPr="00F214BE">
        <w:rPr>
          <w:lang w:val="fr-FR"/>
        </w:rPr>
        <w:t>à</w:t>
      </w:r>
      <w:r w:rsidR="001F17B5">
        <w:rPr>
          <w:lang w:val="fr-FR"/>
        </w:rPr>
        <w:t xml:space="preserve"> </w:t>
      </w:r>
      <w:r w:rsidR="008D1C80" w:rsidRPr="00F214BE">
        <w:rPr>
          <w:lang w:val="fr-FR"/>
        </w:rPr>
        <w:t xml:space="preserve">vue </w:t>
      </w:r>
      <w:r w:rsidR="00E33AC2" w:rsidRPr="00F214BE">
        <w:rPr>
          <w:lang w:val="fr-FR"/>
        </w:rPr>
        <w:t>afin</w:t>
      </w:r>
      <w:r w:rsidR="008D1C80" w:rsidRPr="00F214BE">
        <w:rPr>
          <w:lang w:val="fr-FR"/>
        </w:rPr>
        <w:t xml:space="preserve"> d’obtenir des aveux ou des renseignements (art.</w:t>
      </w:r>
      <w:r w:rsidR="00882267">
        <w:rPr>
          <w:lang w:val="fr-FR"/>
        </w:rPr>
        <w:t> </w:t>
      </w:r>
      <w:r w:rsidR="008D1C80" w:rsidRPr="00F214BE">
        <w:rPr>
          <w:lang w:val="fr-FR"/>
        </w:rPr>
        <w:t>7 et 9).</w:t>
      </w:r>
    </w:p>
    <w:p w14:paraId="373317B2" w14:textId="6CBF9A9F" w:rsidR="00CC550A" w:rsidRPr="00F214BE" w:rsidRDefault="001B7E7E" w:rsidP="00DA7941">
      <w:pPr>
        <w:pStyle w:val="SingleTxtG"/>
        <w:rPr>
          <w:lang w:val="fr-FR"/>
        </w:rPr>
      </w:pPr>
      <w:r w:rsidRPr="00990BE1">
        <w:t>34</w:t>
      </w:r>
      <w:r w:rsidR="00A9743D" w:rsidRPr="00990BE1">
        <w:t>.</w:t>
      </w:r>
      <w:r w:rsidR="00A9743D" w:rsidRPr="00990BE1">
        <w:tab/>
      </w:r>
      <w:r w:rsidR="004C110B" w:rsidRPr="00F214BE">
        <w:rPr>
          <w:b/>
        </w:rPr>
        <w:t>L’État partie devrait</w:t>
      </w:r>
      <w:r w:rsidR="004809EF" w:rsidRPr="00F214BE">
        <w:rPr>
          <w:b/>
        </w:rPr>
        <w:t> : a)</w:t>
      </w:r>
      <w:r w:rsidR="004C110B" w:rsidRPr="00F214BE">
        <w:rPr>
          <w:b/>
        </w:rPr>
        <w:t xml:space="preserve"> mettre à jour son cadre législatif </w:t>
      </w:r>
      <w:r w:rsidR="00E14D99" w:rsidRPr="00F214BE">
        <w:rPr>
          <w:b/>
        </w:rPr>
        <w:t>afin</w:t>
      </w:r>
      <w:r w:rsidR="004C110B" w:rsidRPr="00F214BE">
        <w:rPr>
          <w:b/>
        </w:rPr>
        <w:t xml:space="preserve"> de s’assurer que les actes décrits à l’</w:t>
      </w:r>
      <w:r w:rsidR="001F17B5" w:rsidRPr="00F214BE">
        <w:rPr>
          <w:b/>
        </w:rPr>
        <w:t>alinéa 2</w:t>
      </w:r>
      <w:r w:rsidR="001F17B5">
        <w:rPr>
          <w:b/>
        </w:rPr>
        <w:t xml:space="preserve"> de l’</w:t>
      </w:r>
      <w:r w:rsidR="004C110B" w:rsidRPr="00F214BE">
        <w:rPr>
          <w:b/>
        </w:rPr>
        <w:t xml:space="preserve">article 232 du </w:t>
      </w:r>
      <w:r w:rsidR="004F2CDF">
        <w:rPr>
          <w:b/>
        </w:rPr>
        <w:t>C</w:t>
      </w:r>
      <w:r w:rsidR="004F2CDF" w:rsidRPr="00F214BE">
        <w:rPr>
          <w:b/>
        </w:rPr>
        <w:t xml:space="preserve">ode </w:t>
      </w:r>
      <w:r w:rsidR="004C110B" w:rsidRPr="00F214BE">
        <w:rPr>
          <w:b/>
        </w:rPr>
        <w:t xml:space="preserve">pénal </w:t>
      </w:r>
      <w:r w:rsidR="0022207B">
        <w:rPr>
          <w:b/>
        </w:rPr>
        <w:t xml:space="preserve">sont qualifiés d’actes de torture et </w:t>
      </w:r>
      <w:r w:rsidR="004809EF" w:rsidRPr="00F214BE">
        <w:rPr>
          <w:b/>
        </w:rPr>
        <w:t>font l’objet de peines précises, approprié</w:t>
      </w:r>
      <w:r w:rsidR="00975072">
        <w:rPr>
          <w:b/>
        </w:rPr>
        <w:t>es à la gravité des faits ; b) </w:t>
      </w:r>
      <w:r w:rsidR="004809EF" w:rsidRPr="00F214BE">
        <w:rPr>
          <w:b/>
        </w:rPr>
        <w:t xml:space="preserve">s’assurer que tous les cas présumés de torture et de mauvais traitements font l’objet d’une enquête approfondie, </w:t>
      </w:r>
      <w:r w:rsidR="00FC131E">
        <w:rPr>
          <w:b/>
        </w:rPr>
        <w:t xml:space="preserve">et </w:t>
      </w:r>
      <w:r w:rsidR="004809EF" w:rsidRPr="00F214BE">
        <w:rPr>
          <w:b/>
        </w:rPr>
        <w:t>veiller à ce que les responsables soient poursuivis et</w:t>
      </w:r>
      <w:r w:rsidR="00FC131E">
        <w:rPr>
          <w:b/>
        </w:rPr>
        <w:t>,</w:t>
      </w:r>
      <w:r w:rsidR="004809EF" w:rsidRPr="00F214BE">
        <w:rPr>
          <w:b/>
        </w:rPr>
        <w:t xml:space="preserve"> s’ils sont reconnus coupables, condamnés à des peines appropriées et à ce que les victimes</w:t>
      </w:r>
      <w:r w:rsidR="008E4B30" w:rsidRPr="00F214BE">
        <w:rPr>
          <w:b/>
        </w:rPr>
        <w:t xml:space="preserve"> obtiennent réparation</w:t>
      </w:r>
      <w:r w:rsidR="001A70C8" w:rsidRPr="00F214BE">
        <w:rPr>
          <w:b/>
        </w:rPr>
        <w:t xml:space="preserve"> ; </w:t>
      </w:r>
      <w:r w:rsidR="00975072">
        <w:rPr>
          <w:b/>
        </w:rPr>
        <w:t>c) </w:t>
      </w:r>
      <w:r w:rsidR="00DA7941" w:rsidRPr="00F214BE">
        <w:rPr>
          <w:b/>
        </w:rPr>
        <w:t>mettre en place un mécanisme national de prévention de la torture et un mécanisme indépendant chargé d’enquêter sur toutes les allégations de cas de torture</w:t>
      </w:r>
      <w:r w:rsidR="00FC131E">
        <w:rPr>
          <w:b/>
        </w:rPr>
        <w:t xml:space="preserve"> et de</w:t>
      </w:r>
      <w:r w:rsidR="00DA7941" w:rsidRPr="00F214BE">
        <w:rPr>
          <w:b/>
        </w:rPr>
        <w:t xml:space="preserve"> traitements cruels, inhumains ou dégradants.</w:t>
      </w:r>
    </w:p>
    <w:p w14:paraId="7449E317" w14:textId="3FB13BF0" w:rsidR="00EF193F" w:rsidRPr="00D06798" w:rsidRDefault="00E06D9D" w:rsidP="00D06798">
      <w:pPr>
        <w:pStyle w:val="H23G"/>
      </w:pPr>
      <w:r w:rsidRPr="00F214BE">
        <w:tab/>
      </w:r>
      <w:r w:rsidRPr="00F214BE">
        <w:tab/>
      </w:r>
      <w:r w:rsidR="00EF193F" w:rsidRPr="00F214BE">
        <w:t xml:space="preserve">Conditions de détention </w:t>
      </w:r>
    </w:p>
    <w:p w14:paraId="7E05D66A" w14:textId="764AADE4" w:rsidR="00ED6D5B" w:rsidRPr="00F214BE" w:rsidRDefault="001B7E7E" w:rsidP="00ED6D5B">
      <w:pPr>
        <w:pStyle w:val="SingleTxtG"/>
      </w:pPr>
      <w:r w:rsidRPr="00F214BE">
        <w:t>35</w:t>
      </w:r>
      <w:r w:rsidR="00A9743D" w:rsidRPr="00F214BE">
        <w:t>.</w:t>
      </w:r>
      <w:r w:rsidR="00A9743D" w:rsidRPr="00F214BE">
        <w:tab/>
      </w:r>
      <w:r w:rsidR="00ED6D5B" w:rsidRPr="00F214BE">
        <w:t>Le Comité est préoccupé par les informations faisant état de surpopulation carcérale, situation aggravée par le nombre élevé de détenus en attente de jugement, et</w:t>
      </w:r>
      <w:r w:rsidR="00EB7036" w:rsidRPr="00F214BE">
        <w:t xml:space="preserve"> de</w:t>
      </w:r>
      <w:r w:rsidR="00943234" w:rsidRPr="00F214BE">
        <w:t xml:space="preserve"> conditions de détention extrêmement dures, en particulier en ce qui concerne </w:t>
      </w:r>
      <w:r w:rsidR="006C20D7" w:rsidRPr="00F214BE">
        <w:t xml:space="preserve">l’accès à l’alimentation, à l’assainissement et aux soins de santé. Il s’inquiète de ce que certaines prisons </w:t>
      </w:r>
      <w:r w:rsidR="0006335D" w:rsidRPr="00F214BE">
        <w:t xml:space="preserve">n’instaurent pas de séparation entre </w:t>
      </w:r>
      <w:r w:rsidR="00DC300E" w:rsidRPr="00F214BE">
        <w:t>adultes et mineurs</w:t>
      </w:r>
      <w:r w:rsidR="00FC131E">
        <w:t xml:space="preserve"> et entre</w:t>
      </w:r>
      <w:r w:rsidR="00FC131E" w:rsidRPr="00F214BE">
        <w:t xml:space="preserve"> </w:t>
      </w:r>
      <w:r w:rsidR="00DC300E" w:rsidRPr="00F214BE">
        <w:t>prév</w:t>
      </w:r>
      <w:r w:rsidR="0006335D" w:rsidRPr="00F214BE">
        <w:t>enus et condamnés (art</w:t>
      </w:r>
      <w:r w:rsidR="00D06798">
        <w:t>. </w:t>
      </w:r>
      <w:r w:rsidR="0006335D" w:rsidRPr="00F214BE">
        <w:t>7, 9 et 10).</w:t>
      </w:r>
    </w:p>
    <w:p w14:paraId="079C122D" w14:textId="4C9FA58B" w:rsidR="00692F9F" w:rsidRPr="00F214BE" w:rsidRDefault="001B7E7E" w:rsidP="00E03641">
      <w:pPr>
        <w:pStyle w:val="SingleTxtG"/>
        <w:rPr>
          <w:rFonts w:eastAsiaTheme="minorHAnsi"/>
          <w:b/>
          <w:lang w:val="fr-FR" w:eastAsia="fr-FR"/>
        </w:rPr>
      </w:pPr>
      <w:r w:rsidRPr="00990BE1">
        <w:t>36</w:t>
      </w:r>
      <w:r w:rsidR="00A9743D" w:rsidRPr="00990BE1">
        <w:t>.</w:t>
      </w:r>
      <w:r w:rsidR="00A9743D" w:rsidRPr="00990BE1">
        <w:tab/>
      </w:r>
      <w:r w:rsidR="009670CE" w:rsidRPr="00F214BE">
        <w:rPr>
          <w:b/>
        </w:rPr>
        <w:t>L’État partie devrait</w:t>
      </w:r>
      <w:r w:rsidR="00692F9F" w:rsidRPr="00F214BE">
        <w:rPr>
          <w:b/>
        </w:rPr>
        <w:t> :</w:t>
      </w:r>
      <w:r w:rsidR="00975072">
        <w:rPr>
          <w:b/>
        </w:rPr>
        <w:t xml:space="preserve"> </w:t>
      </w:r>
      <w:r w:rsidR="00975072">
        <w:rPr>
          <w:rFonts w:eastAsiaTheme="minorHAnsi"/>
          <w:b/>
        </w:rPr>
        <w:t>a) </w:t>
      </w:r>
      <w:r w:rsidR="001E4068" w:rsidRPr="00F214BE">
        <w:rPr>
          <w:rFonts w:eastAsiaTheme="minorHAnsi"/>
          <w:b/>
        </w:rPr>
        <w:t>intensifier</w:t>
      </w:r>
      <w:r w:rsidR="00692F9F" w:rsidRPr="00F214BE">
        <w:rPr>
          <w:rFonts w:eastAsiaTheme="minorHAnsi"/>
          <w:b/>
        </w:rPr>
        <w:t xml:space="preserve"> ses efforts pour améliorer les conditions de vie et le traitement des détenus</w:t>
      </w:r>
      <w:r w:rsidR="00B6058B">
        <w:rPr>
          <w:rFonts w:eastAsiaTheme="minorHAnsi"/>
          <w:b/>
        </w:rPr>
        <w:t> </w:t>
      </w:r>
      <w:r w:rsidR="00B951C8" w:rsidRPr="00F214BE">
        <w:rPr>
          <w:rFonts w:eastAsiaTheme="minorHAnsi"/>
          <w:b/>
        </w:rPr>
        <w:t xml:space="preserve">; </w:t>
      </w:r>
      <w:r w:rsidR="00975072">
        <w:rPr>
          <w:rFonts w:eastAsiaTheme="minorHAnsi"/>
          <w:b/>
        </w:rPr>
        <w:t>b) </w:t>
      </w:r>
      <w:r w:rsidR="001E4068" w:rsidRPr="00F214BE">
        <w:rPr>
          <w:rFonts w:eastAsiaTheme="minorHAnsi"/>
          <w:b/>
        </w:rPr>
        <w:t>intensifier</w:t>
      </w:r>
      <w:r w:rsidR="00692F9F" w:rsidRPr="00F214BE">
        <w:rPr>
          <w:rFonts w:eastAsiaTheme="minorHAnsi"/>
          <w:b/>
        </w:rPr>
        <w:t xml:space="preserve"> les mesures visant à remédier au problème de la surpopulation carcérale conformément à l’Ensemble de règles minima des Nations Unies pour le traitement des détenus (</w:t>
      </w:r>
      <w:r w:rsidR="00975072">
        <w:rPr>
          <w:rFonts w:eastAsiaTheme="minorHAnsi"/>
          <w:b/>
        </w:rPr>
        <w:t>Règles Nelson Mandela)</w:t>
      </w:r>
      <w:r w:rsidR="00B6058B">
        <w:rPr>
          <w:rFonts w:eastAsiaTheme="minorHAnsi"/>
          <w:b/>
        </w:rPr>
        <w:t> </w:t>
      </w:r>
      <w:r w:rsidR="00975072">
        <w:rPr>
          <w:rFonts w:eastAsiaTheme="minorHAnsi"/>
          <w:b/>
        </w:rPr>
        <w:t>; c) </w:t>
      </w:r>
      <w:r w:rsidR="00692F9F" w:rsidRPr="00F214BE">
        <w:rPr>
          <w:rFonts w:eastAsiaTheme="minorHAnsi"/>
          <w:b/>
        </w:rPr>
        <w:t>prendre les mesures nécessaires en vue de séparer les détenus selon l’âge, le sexe et le régime de détention</w:t>
      </w:r>
      <w:r w:rsidR="00761FA2" w:rsidRPr="00F214BE">
        <w:rPr>
          <w:rFonts w:eastAsiaTheme="minorHAnsi"/>
          <w:b/>
        </w:rPr>
        <w:t>.</w:t>
      </w:r>
    </w:p>
    <w:p w14:paraId="78CFE867" w14:textId="1919A37C" w:rsidR="00400929" w:rsidRPr="00F214BE" w:rsidRDefault="00E06D9D" w:rsidP="00D06798">
      <w:pPr>
        <w:pStyle w:val="H23G"/>
      </w:pPr>
      <w:r w:rsidRPr="00F214BE">
        <w:lastRenderedPageBreak/>
        <w:tab/>
      </w:r>
      <w:r w:rsidRPr="00F214BE">
        <w:tab/>
      </w:r>
      <w:r w:rsidR="00277E37" w:rsidRPr="00F214BE">
        <w:t>D</w:t>
      </w:r>
      <w:r w:rsidR="00B951C8" w:rsidRPr="00F214BE">
        <w:t>étention provisoire</w:t>
      </w:r>
    </w:p>
    <w:p w14:paraId="03C2D9B7" w14:textId="54EA20BC" w:rsidR="00E03641" w:rsidRPr="00F214BE" w:rsidRDefault="001B7E7E" w:rsidP="00E03641">
      <w:pPr>
        <w:pStyle w:val="SingleTxtG"/>
      </w:pPr>
      <w:r w:rsidRPr="00F214BE">
        <w:t>37</w:t>
      </w:r>
      <w:r w:rsidR="00A9743D" w:rsidRPr="00F214BE">
        <w:t>.</w:t>
      </w:r>
      <w:r w:rsidR="00A9743D" w:rsidRPr="00F214BE">
        <w:tab/>
      </w:r>
      <w:r w:rsidR="00E03641" w:rsidRPr="00F214BE">
        <w:t xml:space="preserve">Le Comité prend note </w:t>
      </w:r>
      <w:r w:rsidR="00391D3D" w:rsidRPr="00F214BE">
        <w:t xml:space="preserve">de la mise en place </w:t>
      </w:r>
      <w:r w:rsidR="00E9097B" w:rsidRPr="00F214BE">
        <w:t>de la Co</w:t>
      </w:r>
      <w:r w:rsidR="00391D3D" w:rsidRPr="00F214BE">
        <w:t>mmission de suivi de la détention provisoire</w:t>
      </w:r>
      <w:r w:rsidR="00B647A3" w:rsidRPr="00F214BE">
        <w:t xml:space="preserve"> en 2016</w:t>
      </w:r>
      <w:r w:rsidR="003253A3" w:rsidRPr="00F214BE">
        <w:t>. Il</w:t>
      </w:r>
      <w:r w:rsidR="00B647A3" w:rsidRPr="00F214BE">
        <w:t xml:space="preserve"> demeure toutefois </w:t>
      </w:r>
      <w:r w:rsidR="00EF1DB9">
        <w:t>préoccupé</w:t>
      </w:r>
      <w:r w:rsidR="00EF1DB9" w:rsidRPr="00F214BE">
        <w:t xml:space="preserve"> </w:t>
      </w:r>
      <w:r w:rsidR="00B647A3" w:rsidRPr="00F214BE">
        <w:t xml:space="preserve">par les informations faisant état </w:t>
      </w:r>
      <w:r w:rsidR="003253A3" w:rsidRPr="00F214BE">
        <w:t xml:space="preserve">d’un usage quasi systématique de la détention provisoire </w:t>
      </w:r>
      <w:r w:rsidR="006754FB">
        <w:t>par l</w:t>
      </w:r>
      <w:r w:rsidR="003253A3" w:rsidRPr="00F214BE">
        <w:t>es juges d’instruction et</w:t>
      </w:r>
      <w:r w:rsidR="006754FB">
        <w:t>, par conséquent,</w:t>
      </w:r>
      <w:r w:rsidR="003253A3" w:rsidRPr="00F214BE">
        <w:t xml:space="preserve"> </w:t>
      </w:r>
      <w:r w:rsidR="00D10F2B" w:rsidRPr="00F214BE">
        <w:t>d</w:t>
      </w:r>
      <w:r w:rsidR="006754FB">
        <w:t>’</w:t>
      </w:r>
      <w:r w:rsidR="00D10F2B" w:rsidRPr="00F214BE">
        <w:t>u</w:t>
      </w:r>
      <w:r w:rsidR="006754FB">
        <w:t>n</w:t>
      </w:r>
      <w:r w:rsidR="00D10F2B" w:rsidRPr="00F214BE">
        <w:t xml:space="preserve"> nombre </w:t>
      </w:r>
      <w:r w:rsidR="00D91C6A">
        <w:t>considérable</w:t>
      </w:r>
      <w:r w:rsidR="003B7773" w:rsidRPr="00F214BE">
        <w:t xml:space="preserve"> </w:t>
      </w:r>
      <w:r w:rsidR="00D10F2B" w:rsidRPr="00F214BE">
        <w:t>de personnes en détention provisoire,</w:t>
      </w:r>
      <w:r w:rsidR="003253A3" w:rsidRPr="00F214BE">
        <w:t xml:space="preserve"> à savoir</w:t>
      </w:r>
      <w:r w:rsidR="00D10F2B" w:rsidRPr="00F214BE">
        <w:t xml:space="preserve"> environ 60 à 80</w:t>
      </w:r>
      <w:r w:rsidR="00975072">
        <w:t> </w:t>
      </w:r>
      <w:r w:rsidR="0030257B" w:rsidRPr="00F214BE">
        <w:t xml:space="preserve">% de la population des détenus, certains pour des périodes de plus de dix ans. </w:t>
      </w:r>
      <w:r w:rsidR="00D921E0" w:rsidRPr="00F214BE">
        <w:t>Il</w:t>
      </w:r>
      <w:r w:rsidR="00882267">
        <w:t> </w:t>
      </w:r>
      <w:r w:rsidR="00D921E0" w:rsidRPr="00F214BE">
        <w:t>regrette l’absence d’informations sur le nombre de personnes qui auraient bénéficié de l’intervention de la Commission de suivi de la détention provisoire en vue d’abréger leur période de détention ou d’être remis</w:t>
      </w:r>
      <w:r w:rsidR="009C09B2" w:rsidRPr="00F214BE">
        <w:t>es</w:t>
      </w:r>
      <w:r w:rsidR="00D921E0" w:rsidRPr="00F214BE">
        <w:t xml:space="preserve"> en liberté (art</w:t>
      </w:r>
      <w:r w:rsidR="00D06798">
        <w:t>. </w:t>
      </w:r>
      <w:r w:rsidR="00D921E0" w:rsidRPr="00F214BE">
        <w:t>7 et 9).</w:t>
      </w:r>
    </w:p>
    <w:p w14:paraId="2CCC2494" w14:textId="310DA4B8" w:rsidR="00277E37" w:rsidRPr="00F214BE" w:rsidRDefault="001B7E7E" w:rsidP="00B85609">
      <w:pPr>
        <w:pStyle w:val="SingleTxtG"/>
      </w:pPr>
      <w:r w:rsidRPr="00990BE1">
        <w:t>38</w:t>
      </w:r>
      <w:r w:rsidR="00A9743D" w:rsidRPr="00990BE1">
        <w:t>.</w:t>
      </w:r>
      <w:r w:rsidR="00A9743D" w:rsidRPr="00990BE1">
        <w:tab/>
      </w:r>
      <w:r w:rsidR="00975072">
        <w:rPr>
          <w:b/>
        </w:rPr>
        <w:t>L’État partie devrait : a) </w:t>
      </w:r>
      <w:r w:rsidR="00D921E0" w:rsidRPr="00F214BE">
        <w:rPr>
          <w:b/>
        </w:rPr>
        <w:t xml:space="preserve">prendre toutes les mesures </w:t>
      </w:r>
      <w:r w:rsidR="006754FB">
        <w:rPr>
          <w:b/>
        </w:rPr>
        <w:t>visant à</w:t>
      </w:r>
      <w:r w:rsidR="00D921E0" w:rsidRPr="00F214BE">
        <w:rPr>
          <w:b/>
        </w:rPr>
        <w:t xml:space="preserve"> </w:t>
      </w:r>
      <w:r w:rsidR="00CC5A04" w:rsidRPr="00F214BE">
        <w:rPr>
          <w:b/>
        </w:rPr>
        <w:t>garantir que les juges d’instruction n’utilisent la détention avant jugement qu’à titre exceptionnel</w:t>
      </w:r>
      <w:r w:rsidR="000B4903" w:rsidRPr="00F214BE">
        <w:rPr>
          <w:b/>
        </w:rPr>
        <w:t xml:space="preserve"> et développer les mesures </w:t>
      </w:r>
      <w:r w:rsidR="00556C83" w:rsidRPr="00F214BE">
        <w:rPr>
          <w:b/>
        </w:rPr>
        <w:t xml:space="preserve">de substitution </w:t>
      </w:r>
      <w:r w:rsidR="00975072">
        <w:rPr>
          <w:b/>
        </w:rPr>
        <w:t>non privatives de liberté</w:t>
      </w:r>
      <w:r w:rsidR="00B6058B">
        <w:rPr>
          <w:b/>
        </w:rPr>
        <w:t> </w:t>
      </w:r>
      <w:r w:rsidR="00975072">
        <w:rPr>
          <w:b/>
        </w:rPr>
        <w:t>; b) </w:t>
      </w:r>
      <w:r w:rsidR="000B4903" w:rsidRPr="00F214BE">
        <w:rPr>
          <w:b/>
        </w:rPr>
        <w:t xml:space="preserve">appliquer strictement les dispositions du nouveau </w:t>
      </w:r>
      <w:r w:rsidR="004F2CDF">
        <w:rPr>
          <w:b/>
        </w:rPr>
        <w:t>C</w:t>
      </w:r>
      <w:r w:rsidR="004F2CDF" w:rsidRPr="00F214BE">
        <w:rPr>
          <w:b/>
        </w:rPr>
        <w:t xml:space="preserve">ode </w:t>
      </w:r>
      <w:r w:rsidR="000B4903" w:rsidRPr="00F214BE">
        <w:rPr>
          <w:b/>
        </w:rPr>
        <w:t xml:space="preserve">de procédure pénale </w:t>
      </w:r>
      <w:r w:rsidR="00DC300E" w:rsidRPr="00F214BE">
        <w:rPr>
          <w:b/>
        </w:rPr>
        <w:t>sanctionnant les juges</w:t>
      </w:r>
      <w:r w:rsidR="006754FB">
        <w:rPr>
          <w:b/>
        </w:rPr>
        <w:t xml:space="preserve"> qui</w:t>
      </w:r>
      <w:r w:rsidR="00DC300E" w:rsidRPr="00F214BE">
        <w:rPr>
          <w:b/>
        </w:rPr>
        <w:t xml:space="preserve"> maint</w:t>
      </w:r>
      <w:r w:rsidR="006754FB">
        <w:rPr>
          <w:b/>
        </w:rPr>
        <w:t>iennent</w:t>
      </w:r>
      <w:r w:rsidR="00DC300E" w:rsidRPr="00F214BE">
        <w:rPr>
          <w:b/>
        </w:rPr>
        <w:t xml:space="preserve"> les prévenus </w:t>
      </w:r>
      <w:r w:rsidR="003E6BDB" w:rsidRPr="00F214BE">
        <w:rPr>
          <w:b/>
        </w:rPr>
        <w:t>en détention provisoire</w:t>
      </w:r>
      <w:r w:rsidR="00556C83" w:rsidRPr="00F214BE">
        <w:rPr>
          <w:b/>
        </w:rPr>
        <w:t>,</w:t>
      </w:r>
      <w:r w:rsidR="003E6BDB" w:rsidRPr="00F214BE">
        <w:rPr>
          <w:b/>
        </w:rPr>
        <w:t xml:space="preserve"> sans renouveler les mandats de dépôt expirés ; </w:t>
      </w:r>
      <w:r w:rsidR="00975072">
        <w:rPr>
          <w:b/>
        </w:rPr>
        <w:t>c) </w:t>
      </w:r>
      <w:r w:rsidR="003E6BDB" w:rsidRPr="00F214BE">
        <w:rPr>
          <w:b/>
        </w:rPr>
        <w:t xml:space="preserve">garantir </w:t>
      </w:r>
      <w:r w:rsidR="0017345D" w:rsidRPr="00F214BE">
        <w:rPr>
          <w:b/>
        </w:rPr>
        <w:t xml:space="preserve">que l’ensemble des personnes détenues </w:t>
      </w:r>
      <w:r w:rsidR="00AF3468" w:rsidRPr="00F214BE">
        <w:rPr>
          <w:b/>
        </w:rPr>
        <w:t>sans jugement</w:t>
      </w:r>
      <w:r w:rsidR="0017345D" w:rsidRPr="00F214BE">
        <w:rPr>
          <w:b/>
        </w:rPr>
        <w:t xml:space="preserve"> pour de longues période</w:t>
      </w:r>
      <w:r w:rsidR="00BD078F">
        <w:rPr>
          <w:b/>
        </w:rPr>
        <w:t>s</w:t>
      </w:r>
      <w:r w:rsidR="0017345D" w:rsidRPr="00F214BE">
        <w:rPr>
          <w:b/>
        </w:rPr>
        <w:t xml:space="preserve"> se voient remises en liberté et</w:t>
      </w:r>
      <w:r w:rsidR="006754FB">
        <w:rPr>
          <w:b/>
        </w:rPr>
        <w:t>,</w:t>
      </w:r>
      <w:r w:rsidR="0017345D" w:rsidRPr="00F214BE">
        <w:rPr>
          <w:b/>
        </w:rPr>
        <w:t xml:space="preserve"> au besoin</w:t>
      </w:r>
      <w:r w:rsidR="006754FB">
        <w:rPr>
          <w:b/>
        </w:rPr>
        <w:t>,</w:t>
      </w:r>
      <w:r w:rsidR="0017345D" w:rsidRPr="00F214BE">
        <w:rPr>
          <w:b/>
        </w:rPr>
        <w:t xml:space="preserve"> indemnisées.</w:t>
      </w:r>
    </w:p>
    <w:p w14:paraId="0D55462D" w14:textId="0758411C" w:rsidR="00400929" w:rsidRPr="00D06798" w:rsidRDefault="00B951C8" w:rsidP="00D06798">
      <w:pPr>
        <w:pStyle w:val="H23G"/>
      </w:pPr>
      <w:r w:rsidRPr="00F214BE">
        <w:tab/>
      </w:r>
      <w:r w:rsidRPr="00F214BE">
        <w:tab/>
      </w:r>
      <w:r w:rsidR="00400929" w:rsidRPr="00F214BE">
        <w:t>Traite des personnes</w:t>
      </w:r>
      <w:r w:rsidR="004657F5" w:rsidRPr="00F214BE">
        <w:t xml:space="preserve"> et travail forcé</w:t>
      </w:r>
    </w:p>
    <w:p w14:paraId="36A587D2" w14:textId="76618530" w:rsidR="004657F5" w:rsidRPr="00F214BE" w:rsidRDefault="001B7E7E" w:rsidP="004657F5">
      <w:pPr>
        <w:pStyle w:val="SingleTxtG"/>
      </w:pPr>
      <w:r w:rsidRPr="00F214BE">
        <w:t>39</w:t>
      </w:r>
      <w:r w:rsidR="00A9743D" w:rsidRPr="00F214BE">
        <w:t>.</w:t>
      </w:r>
      <w:r w:rsidR="00A9743D" w:rsidRPr="00F214BE">
        <w:tab/>
      </w:r>
      <w:r w:rsidR="005D54B6" w:rsidRPr="00F214BE">
        <w:t xml:space="preserve">Le Comité </w:t>
      </w:r>
      <w:r w:rsidR="00F21744" w:rsidRPr="00F214BE">
        <w:t xml:space="preserve">prend note de la création du Comité </w:t>
      </w:r>
      <w:r w:rsidR="002140F2">
        <w:t>n</w:t>
      </w:r>
      <w:r w:rsidR="002140F2" w:rsidRPr="00F214BE">
        <w:t xml:space="preserve">ational </w:t>
      </w:r>
      <w:r w:rsidR="00F21744" w:rsidRPr="00F214BE">
        <w:t xml:space="preserve">de </w:t>
      </w:r>
      <w:r w:rsidR="002140F2">
        <w:t>l</w:t>
      </w:r>
      <w:r w:rsidR="002140F2" w:rsidRPr="00F214BE">
        <w:t xml:space="preserve">utte </w:t>
      </w:r>
      <w:r w:rsidR="00F21744" w:rsidRPr="00F214BE">
        <w:t xml:space="preserve">contre la </w:t>
      </w:r>
      <w:r w:rsidR="002140F2">
        <w:t>t</w:t>
      </w:r>
      <w:r w:rsidR="002140F2" w:rsidRPr="00F214BE">
        <w:t xml:space="preserve">raite </w:t>
      </w:r>
      <w:r w:rsidR="00F21744" w:rsidRPr="00F214BE">
        <w:t xml:space="preserve">des </w:t>
      </w:r>
      <w:r w:rsidR="002140F2">
        <w:t>p</w:t>
      </w:r>
      <w:r w:rsidR="002140F2" w:rsidRPr="00F214BE">
        <w:t xml:space="preserve">ersonnes </w:t>
      </w:r>
      <w:r w:rsidR="00F21744" w:rsidRPr="00F214BE">
        <w:t xml:space="preserve">et </w:t>
      </w:r>
      <w:r w:rsidR="002140F2">
        <w:t>p</w:t>
      </w:r>
      <w:r w:rsidR="002140F2" w:rsidRPr="00F214BE">
        <w:t xml:space="preserve">ratiques </w:t>
      </w:r>
      <w:r w:rsidR="00F21744" w:rsidRPr="00F214BE">
        <w:t xml:space="preserve">assimilées ainsi que de la Cellule </w:t>
      </w:r>
      <w:r w:rsidR="002140F2">
        <w:t>n</w:t>
      </w:r>
      <w:r w:rsidR="002140F2" w:rsidRPr="00F214BE">
        <w:t xml:space="preserve">ationale </w:t>
      </w:r>
      <w:r w:rsidR="00F21744" w:rsidRPr="00F214BE">
        <w:t xml:space="preserve">de </w:t>
      </w:r>
      <w:r w:rsidR="002140F2">
        <w:t>l</w:t>
      </w:r>
      <w:r w:rsidR="002140F2" w:rsidRPr="00F214BE">
        <w:t xml:space="preserve">utte </w:t>
      </w:r>
      <w:r w:rsidR="00F21744" w:rsidRPr="00F214BE">
        <w:t xml:space="preserve">contre la </w:t>
      </w:r>
      <w:r w:rsidR="002140F2">
        <w:t>t</w:t>
      </w:r>
      <w:r w:rsidR="002140F2" w:rsidRPr="00F214BE">
        <w:t xml:space="preserve">raite </w:t>
      </w:r>
      <w:r w:rsidR="00F21744" w:rsidRPr="00F214BE">
        <w:t xml:space="preserve">des </w:t>
      </w:r>
      <w:r w:rsidR="002140F2">
        <w:t>p</w:t>
      </w:r>
      <w:r w:rsidR="002140F2" w:rsidRPr="00F214BE">
        <w:t>ersonnes</w:t>
      </w:r>
      <w:r w:rsidR="00FD7C48" w:rsidRPr="00F214BE">
        <w:t xml:space="preserve">. Il s’inquiète toutefois de ce que les actions de lutte contre la traite des personnes demeurent en pratique sporadiques et modestes. Il regrette en particulier le faible nombre de plaintes enregistrées, d’enquêtes, </w:t>
      </w:r>
      <w:r w:rsidR="002755AD">
        <w:t xml:space="preserve">de </w:t>
      </w:r>
      <w:r w:rsidR="00FD7C48" w:rsidRPr="00F214BE">
        <w:t xml:space="preserve">poursuites et </w:t>
      </w:r>
      <w:r w:rsidR="001E0622" w:rsidRPr="00F214BE">
        <w:t xml:space="preserve">de </w:t>
      </w:r>
      <w:r w:rsidR="00FD7C48" w:rsidRPr="00F214BE">
        <w:t>condamnations</w:t>
      </w:r>
      <w:r w:rsidR="001061F8" w:rsidRPr="00F214BE">
        <w:t>. Le Comité exprime également ses préoccupations</w:t>
      </w:r>
      <w:r w:rsidR="00B6058B">
        <w:t xml:space="preserve"> </w:t>
      </w:r>
      <w:r w:rsidR="00C35D44" w:rsidRPr="00F214BE">
        <w:t>quant</w:t>
      </w:r>
      <w:r w:rsidR="00B6058B">
        <w:t> </w:t>
      </w:r>
      <w:r w:rsidR="00975072">
        <w:t>: a) </w:t>
      </w:r>
      <w:r w:rsidR="001061F8" w:rsidRPr="00F214BE">
        <w:t>au sort des migrants guinéens toujours en Libye ; b)</w:t>
      </w:r>
      <w:r w:rsidR="00975072">
        <w:t> </w:t>
      </w:r>
      <w:r w:rsidR="00C35D44" w:rsidRPr="00F214BE">
        <w:t xml:space="preserve">au sort des enfants, filles et femmes soumis à la servitude domestique et </w:t>
      </w:r>
      <w:r w:rsidR="00B51AAD">
        <w:t>à des</w:t>
      </w:r>
      <w:r w:rsidR="00B51AAD" w:rsidRPr="00F214BE">
        <w:t xml:space="preserve"> </w:t>
      </w:r>
      <w:r w:rsidR="00C35D44" w:rsidRPr="00F214BE">
        <w:t>réseaux de prostitution dans des pays étrangers, en particulier en Afrique du Nord et au Moyen</w:t>
      </w:r>
      <w:r w:rsidR="0019653E">
        <w:t>-</w:t>
      </w:r>
      <w:r w:rsidR="00C35D44" w:rsidRPr="00F214BE">
        <w:t>Orient ; c)</w:t>
      </w:r>
      <w:r w:rsidR="00975072">
        <w:t> </w:t>
      </w:r>
      <w:r w:rsidR="001061F8" w:rsidRPr="00F214BE">
        <w:t xml:space="preserve">aux informations selon lesquelles près d’un enfant sur deux travaille sur le territoire de </w:t>
      </w:r>
      <w:r w:rsidR="00C35D44" w:rsidRPr="00F214BE">
        <w:t>l’État</w:t>
      </w:r>
      <w:r w:rsidR="001061F8" w:rsidRPr="00F214BE">
        <w:t xml:space="preserve"> partie</w:t>
      </w:r>
      <w:r w:rsidR="00333A67" w:rsidRPr="00F214BE">
        <w:t>, certains étant soumis à des travaux forcés et à la mendicité forcée (art</w:t>
      </w:r>
      <w:r w:rsidR="00D06798">
        <w:t>. </w:t>
      </w:r>
      <w:r w:rsidR="00333A67" w:rsidRPr="00F214BE">
        <w:t>7,</w:t>
      </w:r>
      <w:r w:rsidR="00C35D44" w:rsidRPr="00F214BE">
        <w:t xml:space="preserve"> 8</w:t>
      </w:r>
      <w:r w:rsidR="00D06798">
        <w:t xml:space="preserve"> et </w:t>
      </w:r>
      <w:r w:rsidR="00333A67" w:rsidRPr="00F214BE">
        <w:t>24</w:t>
      </w:r>
      <w:r w:rsidR="00C35D44" w:rsidRPr="00F214BE">
        <w:t>).</w:t>
      </w:r>
    </w:p>
    <w:p w14:paraId="63C6B5AE" w14:textId="61C82569" w:rsidR="005066AD" w:rsidRPr="00F214BE" w:rsidRDefault="001B7E7E" w:rsidP="005066AD">
      <w:pPr>
        <w:pStyle w:val="SingleTxtG"/>
        <w:rPr>
          <w:b/>
        </w:rPr>
      </w:pPr>
      <w:r w:rsidRPr="00990BE1">
        <w:t>40</w:t>
      </w:r>
      <w:r w:rsidR="00A9743D" w:rsidRPr="00990BE1">
        <w:t>.</w:t>
      </w:r>
      <w:r w:rsidR="00A9743D" w:rsidRPr="00990BE1">
        <w:tab/>
      </w:r>
      <w:r w:rsidR="00975072">
        <w:rPr>
          <w:b/>
        </w:rPr>
        <w:t>L’État partie devrait : a) </w:t>
      </w:r>
      <w:r w:rsidR="00D73A85" w:rsidRPr="00F214BE">
        <w:rPr>
          <w:b/>
        </w:rPr>
        <w:t xml:space="preserve">appliquer strictement le cadre juridique national relatif à la traite des personnes et s’assurer que les institutions de lutte contre </w:t>
      </w:r>
      <w:r w:rsidR="00F10DB5">
        <w:rPr>
          <w:b/>
        </w:rPr>
        <w:t>c</w:t>
      </w:r>
      <w:r w:rsidR="00D73A85" w:rsidRPr="00F214BE">
        <w:rPr>
          <w:b/>
        </w:rPr>
        <w:t>e phénomène dispose</w:t>
      </w:r>
      <w:r w:rsidR="008A2319">
        <w:rPr>
          <w:b/>
        </w:rPr>
        <w:t>nt</w:t>
      </w:r>
      <w:r w:rsidR="00D73A85" w:rsidRPr="00F214BE">
        <w:rPr>
          <w:b/>
        </w:rPr>
        <w:t xml:space="preserve"> des ressources nécessaires </w:t>
      </w:r>
      <w:r w:rsidR="00A47879">
        <w:rPr>
          <w:b/>
        </w:rPr>
        <w:t>pour</w:t>
      </w:r>
      <w:r w:rsidR="00D73A85" w:rsidRPr="00F214BE">
        <w:rPr>
          <w:b/>
        </w:rPr>
        <w:t xml:space="preserve"> s’acquitter ef</w:t>
      </w:r>
      <w:r w:rsidR="00975072">
        <w:rPr>
          <w:b/>
        </w:rPr>
        <w:t>ficacement de leur mandat ; b) </w:t>
      </w:r>
      <w:r w:rsidR="00D73A85" w:rsidRPr="00F214BE">
        <w:rPr>
          <w:b/>
        </w:rPr>
        <w:t>veiller à ce que les cas présumés de traite des personnes donnent lieu à des enquêtes, poursuites</w:t>
      </w:r>
      <w:r w:rsidR="00A47879">
        <w:rPr>
          <w:b/>
        </w:rPr>
        <w:t xml:space="preserve"> et</w:t>
      </w:r>
      <w:r w:rsidR="00A47879" w:rsidRPr="00F214BE">
        <w:rPr>
          <w:b/>
        </w:rPr>
        <w:t xml:space="preserve"> </w:t>
      </w:r>
      <w:r w:rsidR="00D93E40" w:rsidRPr="00F214BE">
        <w:rPr>
          <w:b/>
        </w:rPr>
        <w:t xml:space="preserve">condamnations à des peines </w:t>
      </w:r>
      <w:r w:rsidR="001E0622" w:rsidRPr="00F214BE">
        <w:rPr>
          <w:b/>
        </w:rPr>
        <w:t xml:space="preserve">proportionnelles </w:t>
      </w:r>
      <w:r w:rsidR="00D93E40" w:rsidRPr="00F214BE">
        <w:rPr>
          <w:b/>
        </w:rPr>
        <w:t xml:space="preserve">à la gravité des faits et effectivement appliquées ; c) prendre toutes les mesures </w:t>
      </w:r>
      <w:r w:rsidR="00EF2664">
        <w:rPr>
          <w:b/>
        </w:rPr>
        <w:t xml:space="preserve">possibles </w:t>
      </w:r>
      <w:r w:rsidR="00A47879">
        <w:rPr>
          <w:b/>
        </w:rPr>
        <w:t>afin</w:t>
      </w:r>
      <w:r w:rsidR="00D93E40" w:rsidRPr="00F214BE">
        <w:rPr>
          <w:b/>
        </w:rPr>
        <w:t xml:space="preserve"> de garantir le retour et la réinsertion des migrants guinéens faisant l’objet d’exploitation et de servitude dans des pays étrangers</w:t>
      </w:r>
      <w:r w:rsidR="00B6058B">
        <w:rPr>
          <w:b/>
        </w:rPr>
        <w:t> </w:t>
      </w:r>
      <w:r w:rsidR="00D93E40" w:rsidRPr="00F214BE">
        <w:rPr>
          <w:b/>
        </w:rPr>
        <w:t xml:space="preserve">; d) </w:t>
      </w:r>
      <w:r w:rsidR="00333A67" w:rsidRPr="00F214BE">
        <w:rPr>
          <w:b/>
        </w:rPr>
        <w:t xml:space="preserve">prendre toutes les mesures </w:t>
      </w:r>
      <w:r w:rsidR="00EF2664">
        <w:rPr>
          <w:b/>
        </w:rPr>
        <w:t xml:space="preserve">nécessaires </w:t>
      </w:r>
      <w:r w:rsidR="001E0622" w:rsidRPr="00F214BE">
        <w:rPr>
          <w:b/>
        </w:rPr>
        <w:t>afin</w:t>
      </w:r>
      <w:r w:rsidR="00333A67" w:rsidRPr="00F214BE">
        <w:rPr>
          <w:b/>
        </w:rPr>
        <w:t xml:space="preserve"> d’éliminer le travail, en particulier forcé, des enfants et veiller à ce que les responsables de tels actes soient strictement poursuivis et condamnés.</w:t>
      </w:r>
    </w:p>
    <w:p w14:paraId="17CD2E45" w14:textId="67616D70" w:rsidR="00EF193F" w:rsidRPr="00D06798" w:rsidRDefault="009E0C8D" w:rsidP="00D06798">
      <w:pPr>
        <w:pStyle w:val="H23G"/>
      </w:pPr>
      <w:r w:rsidRPr="00F214BE">
        <w:tab/>
      </w:r>
      <w:r w:rsidRPr="00F214BE">
        <w:tab/>
      </w:r>
      <w:r w:rsidR="00EF193F" w:rsidRPr="00F214BE">
        <w:t>Indépendance du pouvoir judiciaire et administration de la justice</w:t>
      </w:r>
    </w:p>
    <w:p w14:paraId="78147615" w14:textId="4314D017" w:rsidR="00476004" w:rsidRPr="00F214BE" w:rsidRDefault="001B7E7E" w:rsidP="00D06798">
      <w:pPr>
        <w:pStyle w:val="SingleTxtG"/>
      </w:pPr>
      <w:r w:rsidRPr="00F214BE">
        <w:t>41</w:t>
      </w:r>
      <w:r w:rsidR="00A9743D" w:rsidRPr="00F214BE">
        <w:t>.</w:t>
      </w:r>
      <w:r w:rsidR="00A9743D" w:rsidRPr="00F214BE">
        <w:tab/>
      </w:r>
      <w:r w:rsidR="00C454F6" w:rsidRPr="00F214BE">
        <w:t xml:space="preserve">Le Comité accueille favorablement </w:t>
      </w:r>
      <w:r w:rsidR="00EF2227" w:rsidRPr="00F214BE">
        <w:t xml:space="preserve">les efforts de l’État partie en matière de réforme de la justice, en particulier la loi du 13 août 2015 portant organisation judiciaire et le plan d’actions prioritaires de réforme de la </w:t>
      </w:r>
      <w:r w:rsidR="00F10DB5">
        <w:t>j</w:t>
      </w:r>
      <w:r w:rsidR="00EF2227" w:rsidRPr="00F214BE">
        <w:t xml:space="preserve">ustice pour la période 2015-2019. </w:t>
      </w:r>
      <w:r w:rsidR="00B67C47" w:rsidRPr="00F214BE">
        <w:t xml:space="preserve">Il demeure toutefois préoccupé par le faible pourcentage du budget affecté au Ministère de la </w:t>
      </w:r>
      <w:r w:rsidR="004F2CDF">
        <w:t>j</w:t>
      </w:r>
      <w:r w:rsidR="004F2CDF" w:rsidRPr="00F214BE">
        <w:t xml:space="preserve">ustice </w:t>
      </w:r>
      <w:r w:rsidR="00B67C47" w:rsidRPr="00F214BE">
        <w:t>et par les retards dans l’administration de la justice</w:t>
      </w:r>
      <w:r w:rsidR="00F10DB5">
        <w:t>,</w:t>
      </w:r>
      <w:r w:rsidR="00B67C47" w:rsidRPr="00F214BE">
        <w:t xml:space="preserve"> dus en particul</w:t>
      </w:r>
      <w:r w:rsidR="002D1289" w:rsidRPr="00F214BE">
        <w:t>ier au manque de ressources,</w:t>
      </w:r>
      <w:r w:rsidR="00B67C47" w:rsidRPr="00F214BE">
        <w:t xml:space="preserve"> de personnel</w:t>
      </w:r>
      <w:r w:rsidR="002D1289" w:rsidRPr="00F214BE">
        <w:t xml:space="preserve"> et de locaux, </w:t>
      </w:r>
      <w:r w:rsidR="00F10DB5">
        <w:t xml:space="preserve">qui </w:t>
      </w:r>
      <w:r w:rsidR="002D1289" w:rsidRPr="00F214BE">
        <w:t>se traduis</w:t>
      </w:r>
      <w:r w:rsidR="00F10DB5">
        <w:t>e</w:t>
      </w:r>
      <w:r w:rsidR="002D1289" w:rsidRPr="00F214BE">
        <w:t>nt par une défiance généralisée de la population à l’égard de l’appareil judiciaire.</w:t>
      </w:r>
      <w:r w:rsidR="00F022B4" w:rsidRPr="00F214BE">
        <w:t xml:space="preserve"> Il regrette de ne pas avoir reçu de réponses précises sur les mesures destinées à </w:t>
      </w:r>
      <w:r w:rsidR="007E41B8" w:rsidRPr="00F214BE">
        <w:t xml:space="preserve">rendre opérationnelle la transformation </w:t>
      </w:r>
      <w:r w:rsidR="00F022B4" w:rsidRPr="00F214BE">
        <w:t>de tous les tribunaux de paix en tribunaux de première instance</w:t>
      </w:r>
      <w:r w:rsidR="00211FC9">
        <w:t xml:space="preserve"> ainsi que sur la mise en place de la Haute Cour de </w:t>
      </w:r>
      <w:r w:rsidR="008B64FE">
        <w:t xml:space="preserve">justice </w:t>
      </w:r>
      <w:r w:rsidR="00211FC9">
        <w:t>prévue par l’article 117 de la Constitution</w:t>
      </w:r>
      <w:r w:rsidR="00F022B4" w:rsidRPr="00F214BE">
        <w:t>.</w:t>
      </w:r>
      <w:r w:rsidR="002A0A44" w:rsidRPr="00F214BE">
        <w:t xml:space="preserve"> Il s’inquiète également des informations faisant état </w:t>
      </w:r>
      <w:r w:rsidR="00A5453A" w:rsidRPr="00F214BE">
        <w:t>d’</w:t>
      </w:r>
      <w:r w:rsidR="00F10DB5">
        <w:t xml:space="preserve">une </w:t>
      </w:r>
      <w:r w:rsidR="00A5453A" w:rsidRPr="00F214BE">
        <w:t>absence d’indépendance et de corruption</w:t>
      </w:r>
      <w:r w:rsidR="00227CE0" w:rsidRPr="00F214BE">
        <w:t xml:space="preserve"> au sein du corps judiciaire</w:t>
      </w:r>
      <w:r w:rsidR="00A5453A" w:rsidRPr="00F214BE">
        <w:t xml:space="preserve"> (art.</w:t>
      </w:r>
      <w:r w:rsidR="00D06798">
        <w:t> </w:t>
      </w:r>
      <w:r w:rsidR="00A5453A" w:rsidRPr="00F214BE">
        <w:t>14).</w:t>
      </w:r>
      <w:r w:rsidR="00EF2227" w:rsidRPr="00F214BE">
        <w:t xml:space="preserve"> </w:t>
      </w:r>
    </w:p>
    <w:p w14:paraId="77E68FF7" w14:textId="4BC48833" w:rsidR="00644775" w:rsidRPr="00F214BE" w:rsidRDefault="001B7E7E" w:rsidP="00990BE1">
      <w:pPr>
        <w:pStyle w:val="SingleTxtG"/>
      </w:pPr>
      <w:r w:rsidRPr="00990BE1">
        <w:t>42</w:t>
      </w:r>
      <w:r w:rsidR="00A9743D" w:rsidRPr="00990BE1">
        <w:t>.</w:t>
      </w:r>
      <w:r w:rsidR="00A9743D" w:rsidRPr="00990BE1">
        <w:tab/>
      </w:r>
      <w:r w:rsidR="00981DCA" w:rsidRPr="00F214BE">
        <w:rPr>
          <w:b/>
        </w:rPr>
        <w:t>L’État partie devrait : a)</w:t>
      </w:r>
      <w:r w:rsidR="00227CE0" w:rsidRPr="00F214BE">
        <w:rPr>
          <w:b/>
        </w:rPr>
        <w:t xml:space="preserve"> renforcer le budget du Ministère de la justice </w:t>
      </w:r>
      <w:r w:rsidR="00C6751E" w:rsidRPr="00F214BE">
        <w:rPr>
          <w:b/>
        </w:rPr>
        <w:t>afin</w:t>
      </w:r>
      <w:r w:rsidR="00227CE0" w:rsidRPr="00F214BE">
        <w:rPr>
          <w:b/>
        </w:rPr>
        <w:t xml:space="preserve"> de </w:t>
      </w:r>
      <w:r w:rsidR="00F214BE" w:rsidRPr="00F214BE">
        <w:rPr>
          <w:b/>
        </w:rPr>
        <w:t>pallier</w:t>
      </w:r>
      <w:r w:rsidR="00227CE0" w:rsidRPr="00F214BE">
        <w:rPr>
          <w:b/>
        </w:rPr>
        <w:t xml:space="preserve"> les retards importants dans l’administration de la justice ; b) prendre toutes les mesures pour </w:t>
      </w:r>
      <w:r w:rsidR="00C6751E" w:rsidRPr="00F214BE">
        <w:rPr>
          <w:b/>
        </w:rPr>
        <w:t>rendre opérationnelle la transformation</w:t>
      </w:r>
      <w:r w:rsidR="00C6751E" w:rsidRPr="00F214BE">
        <w:t xml:space="preserve"> </w:t>
      </w:r>
      <w:r w:rsidR="00227CE0" w:rsidRPr="00F214BE">
        <w:rPr>
          <w:b/>
        </w:rPr>
        <w:t xml:space="preserve">de l’ensemble des tribunaux de </w:t>
      </w:r>
      <w:r w:rsidR="00227CE0" w:rsidRPr="00F214BE">
        <w:rPr>
          <w:b/>
        </w:rPr>
        <w:lastRenderedPageBreak/>
        <w:t>paix en tribunaux de première instance</w:t>
      </w:r>
      <w:r w:rsidR="00ED198D" w:rsidRPr="00F214BE">
        <w:rPr>
          <w:b/>
        </w:rPr>
        <w:t> ; c</w:t>
      </w:r>
      <w:r w:rsidR="008F6B4E" w:rsidRPr="00F214BE">
        <w:rPr>
          <w:b/>
        </w:rPr>
        <w:t xml:space="preserve">) </w:t>
      </w:r>
      <w:r w:rsidR="00211FC9">
        <w:rPr>
          <w:b/>
        </w:rPr>
        <w:t xml:space="preserve">rendre opérationnelle la Haute Cour de </w:t>
      </w:r>
      <w:r w:rsidR="0046134F">
        <w:rPr>
          <w:b/>
        </w:rPr>
        <w:t xml:space="preserve">justice </w:t>
      </w:r>
      <w:r w:rsidR="00211FC9">
        <w:rPr>
          <w:b/>
        </w:rPr>
        <w:t xml:space="preserve">par la promulgation des textes d’application fixant son fonctionnement ; </w:t>
      </w:r>
      <w:r w:rsidR="00D06798">
        <w:rPr>
          <w:b/>
        </w:rPr>
        <w:t>d) </w:t>
      </w:r>
      <w:r w:rsidR="008F6B4E" w:rsidRPr="00F214BE">
        <w:rPr>
          <w:b/>
        </w:rPr>
        <w:t xml:space="preserve">renforcer l’indépendance du corps judiciaire, en particulier en garantissant la nomination de magistrats du siège et du parquet sur la base de critères objectifs et transparents et en renforçant les pouvoirs et l’indépendance du Conseil supérieur de la magistrature ; </w:t>
      </w:r>
      <w:r w:rsidR="00211FC9">
        <w:rPr>
          <w:b/>
        </w:rPr>
        <w:t>e</w:t>
      </w:r>
      <w:r w:rsidR="008F6B4E" w:rsidRPr="00F214BE">
        <w:rPr>
          <w:b/>
        </w:rPr>
        <w:t xml:space="preserve">) </w:t>
      </w:r>
      <w:r w:rsidR="0039562F" w:rsidRPr="00F214BE">
        <w:rPr>
          <w:b/>
        </w:rPr>
        <w:t xml:space="preserve">poursuivre et intensifier ses efforts </w:t>
      </w:r>
      <w:r w:rsidR="00DC4E67">
        <w:rPr>
          <w:b/>
        </w:rPr>
        <w:t xml:space="preserve">visant à </w:t>
      </w:r>
      <w:r w:rsidR="0039562F" w:rsidRPr="00F214BE">
        <w:rPr>
          <w:b/>
        </w:rPr>
        <w:t>éliminer la corruption au sein du corps judicaire.</w:t>
      </w:r>
    </w:p>
    <w:p w14:paraId="26229458" w14:textId="6ED7EFED" w:rsidR="00EF193F" w:rsidRPr="00D06798" w:rsidRDefault="00E06D9D" w:rsidP="00D06798">
      <w:pPr>
        <w:pStyle w:val="H23G"/>
      </w:pPr>
      <w:r w:rsidRPr="00F214BE">
        <w:tab/>
      </w:r>
      <w:r w:rsidRPr="00F214BE">
        <w:tab/>
      </w:r>
      <w:r w:rsidR="00FD004B" w:rsidRPr="00F214BE">
        <w:t xml:space="preserve">Liberté </w:t>
      </w:r>
      <w:r w:rsidR="00EF193F" w:rsidRPr="00F214BE">
        <w:t>d’expression et protection des journalistes et des défenseurs des droits de</w:t>
      </w:r>
      <w:r w:rsidR="00882267">
        <w:t> </w:t>
      </w:r>
      <w:r w:rsidR="00EF193F" w:rsidRPr="00F214BE">
        <w:t>l’homme</w:t>
      </w:r>
    </w:p>
    <w:p w14:paraId="3F48971A" w14:textId="33BA8822" w:rsidR="00D4340E" w:rsidRPr="00F214BE" w:rsidRDefault="001B7E7E" w:rsidP="00D4340E">
      <w:pPr>
        <w:pStyle w:val="SingleTxtG"/>
      </w:pPr>
      <w:r w:rsidRPr="00F214BE">
        <w:t>4</w:t>
      </w:r>
      <w:r w:rsidR="000F539F" w:rsidRPr="00F214BE">
        <w:t>3</w:t>
      </w:r>
      <w:r w:rsidR="00A9743D" w:rsidRPr="00F214BE">
        <w:t>.</w:t>
      </w:r>
      <w:r w:rsidR="00A9743D" w:rsidRPr="00F214BE">
        <w:tab/>
      </w:r>
      <w:r w:rsidR="00D4340E" w:rsidRPr="00F214BE">
        <w:t xml:space="preserve">Le Comité </w:t>
      </w:r>
      <w:r w:rsidR="00512DF9" w:rsidRPr="00F214BE">
        <w:t xml:space="preserve">exprime ses préoccupations quant au maintien </w:t>
      </w:r>
      <w:r w:rsidR="00F8373D" w:rsidRPr="00F214BE">
        <w:t xml:space="preserve">de dispositions </w:t>
      </w:r>
      <w:r w:rsidR="00A23A12" w:rsidRPr="00F214BE">
        <w:t xml:space="preserve">limitant la liberté d’expression </w:t>
      </w:r>
      <w:r w:rsidR="00512DF9" w:rsidRPr="00F214BE">
        <w:t xml:space="preserve">dans la législation de l’État partie, en particulier : a) l’article </w:t>
      </w:r>
      <w:r w:rsidR="00B901FE">
        <w:t>3</w:t>
      </w:r>
      <w:r w:rsidR="00512DF9" w:rsidRPr="00F214BE">
        <w:t xml:space="preserve">63 du </w:t>
      </w:r>
      <w:r w:rsidR="004F2CDF">
        <w:t>C</w:t>
      </w:r>
      <w:r w:rsidR="004F2CDF" w:rsidRPr="00F214BE">
        <w:t xml:space="preserve">ode </w:t>
      </w:r>
      <w:r w:rsidR="00512DF9" w:rsidRPr="00F214BE">
        <w:t xml:space="preserve">pénal criminalisant la diffamation envers les administrations publiques, les corps constitués, l’armée, les cours et </w:t>
      </w:r>
      <w:r w:rsidR="00456761">
        <w:t xml:space="preserve">les </w:t>
      </w:r>
      <w:r w:rsidR="00512DF9" w:rsidRPr="00F214BE">
        <w:t>tribunaux ; b) l’article 31 de la loi du 28 juillet 2016</w:t>
      </w:r>
      <w:r w:rsidR="000B4880" w:rsidRPr="00F214BE">
        <w:t xml:space="preserve"> relative à la cybercriminalité</w:t>
      </w:r>
      <w:r w:rsidR="00512DF9" w:rsidRPr="00F214BE">
        <w:t xml:space="preserve"> </w:t>
      </w:r>
      <w:r w:rsidR="000B4880" w:rsidRPr="00F214BE">
        <w:t xml:space="preserve">criminalisant sur de vagues critères la production, </w:t>
      </w:r>
      <w:r w:rsidR="000F539F" w:rsidRPr="00F214BE">
        <w:t xml:space="preserve">la </w:t>
      </w:r>
      <w:r w:rsidR="000B4880" w:rsidRPr="00F214BE">
        <w:t>diffusion et</w:t>
      </w:r>
      <w:r w:rsidR="000F539F" w:rsidRPr="00F214BE">
        <w:t xml:space="preserve"> la</w:t>
      </w:r>
      <w:r w:rsidR="000B4880" w:rsidRPr="00F214BE">
        <w:t xml:space="preserve"> mise à disposition de données de nature à troubler l’ordre ou la sécurité publics. </w:t>
      </w:r>
      <w:r w:rsidR="007E52DC" w:rsidRPr="00F214BE">
        <w:t>Il s’inquiète également des allégations, confirmées par la délégation, de fermetures et suspensions arbitraires de médias privés, de suspensions d’émissions interactives et d’arrestations de journalistes, pour diffusion de rumeurs sur le Président. Il déplore enfin les informations faisant état de menaces, détentions et abus physiques contre les défenseurs des droits de l’homme (art</w:t>
      </w:r>
      <w:r w:rsidR="00D06798">
        <w:t>. </w:t>
      </w:r>
      <w:r w:rsidR="007E52DC" w:rsidRPr="00F214BE">
        <w:t>9, 7 et 19)</w:t>
      </w:r>
      <w:r w:rsidR="003054A2" w:rsidRPr="00F214BE">
        <w:t>.</w:t>
      </w:r>
    </w:p>
    <w:p w14:paraId="1215D23C" w14:textId="6F970EC0" w:rsidR="003054A2" w:rsidRPr="00F214BE" w:rsidRDefault="001B7E7E" w:rsidP="00D4340E">
      <w:pPr>
        <w:pStyle w:val="SingleTxtG"/>
        <w:rPr>
          <w:b/>
        </w:rPr>
      </w:pPr>
      <w:r w:rsidRPr="00990BE1">
        <w:t>4</w:t>
      </w:r>
      <w:r w:rsidR="000F539F" w:rsidRPr="00990BE1">
        <w:t>4</w:t>
      </w:r>
      <w:r w:rsidR="00A9743D" w:rsidRPr="00990BE1">
        <w:t>.</w:t>
      </w:r>
      <w:r w:rsidR="00A9743D" w:rsidRPr="00F214BE">
        <w:rPr>
          <w:b/>
        </w:rPr>
        <w:tab/>
      </w:r>
      <w:r w:rsidR="001A0FA0">
        <w:rPr>
          <w:b/>
        </w:rPr>
        <w:t>À</w:t>
      </w:r>
      <w:r w:rsidR="003054A2" w:rsidRPr="00F214BE">
        <w:rPr>
          <w:b/>
        </w:rPr>
        <w:t xml:space="preserve"> la lumière de l’observation générale n</w:t>
      </w:r>
      <w:r w:rsidR="00276AC7" w:rsidRPr="00D06798">
        <w:rPr>
          <w:b/>
          <w:vertAlign w:val="superscript"/>
        </w:rPr>
        <w:t>o</w:t>
      </w:r>
      <w:r w:rsidR="00276AC7">
        <w:rPr>
          <w:b/>
        </w:rPr>
        <w:t> </w:t>
      </w:r>
      <w:r w:rsidR="003054A2" w:rsidRPr="00F214BE">
        <w:rPr>
          <w:b/>
        </w:rPr>
        <w:t>34 (2011) du Comité sur la liberté d’opinion et la liberté d’expression, l’État partie devrait : a)</w:t>
      </w:r>
      <w:r w:rsidR="00F27ED4" w:rsidRPr="00F214BE">
        <w:rPr>
          <w:b/>
        </w:rPr>
        <w:t xml:space="preserve"> s’assurer que toutes les </w:t>
      </w:r>
      <w:r w:rsidR="000F3F11" w:rsidRPr="00F214BE">
        <w:rPr>
          <w:b/>
        </w:rPr>
        <w:t xml:space="preserve">dispositions de sa législation </w:t>
      </w:r>
      <w:r w:rsidR="00F27ED4" w:rsidRPr="00F214BE">
        <w:rPr>
          <w:b/>
        </w:rPr>
        <w:t>sont rendues conformes à l’article 19 du Pacte et</w:t>
      </w:r>
      <w:r w:rsidR="00A96314">
        <w:rPr>
          <w:b/>
        </w:rPr>
        <w:t>,</w:t>
      </w:r>
      <w:r w:rsidR="00F27ED4" w:rsidRPr="00F214BE">
        <w:rPr>
          <w:b/>
        </w:rPr>
        <w:t xml:space="preserve"> dans cette attente</w:t>
      </w:r>
      <w:r w:rsidR="00A96314">
        <w:rPr>
          <w:b/>
        </w:rPr>
        <w:t>,</w:t>
      </w:r>
      <w:r w:rsidR="00EF2627">
        <w:rPr>
          <w:b/>
        </w:rPr>
        <w:t xml:space="preserve"> garantir qu’aucune personne n</w:t>
      </w:r>
      <w:r w:rsidR="00BB31E8">
        <w:rPr>
          <w:b/>
        </w:rPr>
        <w:t>e soit</w:t>
      </w:r>
      <w:r w:rsidR="00EF2627">
        <w:rPr>
          <w:b/>
        </w:rPr>
        <w:t xml:space="preserve"> emprisonnée pour faits de diffamation</w:t>
      </w:r>
      <w:r w:rsidR="00F27ED4" w:rsidRPr="00F214BE">
        <w:rPr>
          <w:b/>
        </w:rPr>
        <w:t xml:space="preserve"> ; </w:t>
      </w:r>
      <w:r w:rsidR="00D06798">
        <w:rPr>
          <w:b/>
        </w:rPr>
        <w:t>b) </w:t>
      </w:r>
      <w:r w:rsidR="000F3F11" w:rsidRPr="00F214BE">
        <w:rPr>
          <w:b/>
        </w:rPr>
        <w:t>s’assurer que tout</w:t>
      </w:r>
      <w:r w:rsidR="009C09B2" w:rsidRPr="00F214BE">
        <w:rPr>
          <w:b/>
        </w:rPr>
        <w:t>e</w:t>
      </w:r>
      <w:r w:rsidR="00DF6158" w:rsidRPr="00F214BE">
        <w:rPr>
          <w:b/>
        </w:rPr>
        <w:t xml:space="preserve"> restriction imposée aux activités de la presse et des médias est strictement conforme aux dispositions du paragraphe</w:t>
      </w:r>
      <w:r w:rsidR="00261722">
        <w:rPr>
          <w:b/>
        </w:rPr>
        <w:t> </w:t>
      </w:r>
      <w:r w:rsidR="00DF6158" w:rsidRPr="00F214BE">
        <w:rPr>
          <w:b/>
        </w:rPr>
        <w:t xml:space="preserve">3 de l’article 19 du Pacte ; </w:t>
      </w:r>
      <w:r w:rsidR="00D06798">
        <w:rPr>
          <w:b/>
        </w:rPr>
        <w:t>c) </w:t>
      </w:r>
      <w:r w:rsidR="00DF6158" w:rsidRPr="00F214BE">
        <w:rPr>
          <w:b/>
        </w:rPr>
        <w:t>prendre toutes les mesures nécessaires pour garantir la protection des défenseurs des droits de l’homme contre les menaces et les intimidations, en particulier par l’adoption d’une loi de protection des défenseurs des droits de l’homme précise et efficace.</w:t>
      </w:r>
    </w:p>
    <w:p w14:paraId="17A1B2B0" w14:textId="77777777" w:rsidR="00FD004B" w:rsidRPr="00D06798" w:rsidRDefault="00FD004B" w:rsidP="00D06798">
      <w:pPr>
        <w:pStyle w:val="H23G"/>
      </w:pPr>
      <w:r w:rsidRPr="00F214BE">
        <w:tab/>
      </w:r>
      <w:r w:rsidRPr="00F214BE">
        <w:tab/>
        <w:t>Libertés de réunion pacifique et d’association</w:t>
      </w:r>
    </w:p>
    <w:p w14:paraId="5B0F5A23" w14:textId="0FA3EA56" w:rsidR="00A23A12" w:rsidRPr="00F214BE" w:rsidRDefault="001B7E7E" w:rsidP="00A23A12">
      <w:pPr>
        <w:pStyle w:val="SingleTxtG"/>
      </w:pPr>
      <w:r w:rsidRPr="00F214BE">
        <w:t>4</w:t>
      </w:r>
      <w:r w:rsidR="00BB20E1" w:rsidRPr="00F214BE">
        <w:t>5</w:t>
      </w:r>
      <w:r w:rsidR="00A9743D" w:rsidRPr="00F214BE">
        <w:t>.</w:t>
      </w:r>
      <w:r w:rsidR="00A9743D" w:rsidRPr="00F214BE">
        <w:tab/>
      </w:r>
      <w:r w:rsidR="00A23A12" w:rsidRPr="00F214BE">
        <w:t xml:space="preserve">Le Comité exprime ses préoccupations quant aux informations faisant état d’interdictions de </w:t>
      </w:r>
      <w:r w:rsidR="0083450A" w:rsidRPr="00F214BE">
        <w:t>manifest</w:t>
      </w:r>
      <w:r w:rsidR="0083450A">
        <w:t>er</w:t>
      </w:r>
      <w:r w:rsidR="0083450A" w:rsidRPr="00F214BE">
        <w:t xml:space="preserve"> </w:t>
      </w:r>
      <w:r w:rsidR="00A23A12" w:rsidRPr="00F214BE">
        <w:t xml:space="preserve">arbitraires, en particulier pour les partis d’opposition, et d’arrestations de masse au cours des </w:t>
      </w:r>
      <w:r w:rsidR="00CE7969" w:rsidRPr="00F214BE">
        <w:t>manifestations</w:t>
      </w:r>
      <w:r w:rsidR="00A23A12" w:rsidRPr="00F214BE">
        <w:t xml:space="preserve">. </w:t>
      </w:r>
      <w:r w:rsidR="00B77205" w:rsidRPr="00F214BE">
        <w:t xml:space="preserve">Il regrette également </w:t>
      </w:r>
      <w:r w:rsidR="00054507" w:rsidRPr="00F214BE">
        <w:t>que les dispositions de la loi du 4 juillet 2005 portant statut des associations ne soient pas respectées en pratique, en particulier en ce qui concerne les conditions d’octroi et de renouvellement des agréments des associations</w:t>
      </w:r>
      <w:r w:rsidR="00E7273D" w:rsidRPr="00F214BE">
        <w:t>, une pratique imposée sans aucune base juridique</w:t>
      </w:r>
      <w:r w:rsidR="00054507" w:rsidRPr="00F214BE">
        <w:t xml:space="preserve">. Enfin, le Comité </w:t>
      </w:r>
      <w:r w:rsidR="00E7273D" w:rsidRPr="00F214BE">
        <w:t xml:space="preserve">exprime ses préoccupations quant aux informations faisant état : a) </w:t>
      </w:r>
      <w:r w:rsidR="0083450A">
        <w:t xml:space="preserve">de </w:t>
      </w:r>
      <w:r w:rsidR="00E7273D" w:rsidRPr="00F214BE">
        <w:t xml:space="preserve">conditions légales restrictives </w:t>
      </w:r>
      <w:r w:rsidR="0083450A">
        <w:t>pour</w:t>
      </w:r>
      <w:r w:rsidR="00E7273D" w:rsidRPr="00F214BE">
        <w:t xml:space="preserve"> créer un syndicat et organiser des mouvements de grève ; </w:t>
      </w:r>
      <w:r w:rsidR="00471119" w:rsidRPr="00F214BE">
        <w:t>b)</w:t>
      </w:r>
      <w:r w:rsidR="00E7273D" w:rsidRPr="00F214BE">
        <w:t xml:space="preserve"> d’arrestations de syndicalistes au cours de mouvements de grève (art</w:t>
      </w:r>
      <w:r w:rsidR="00D06798">
        <w:t>. </w:t>
      </w:r>
      <w:r w:rsidR="00E7273D" w:rsidRPr="00F214BE">
        <w:t>9</w:t>
      </w:r>
      <w:r w:rsidR="00E529B4">
        <w:t>, 19,</w:t>
      </w:r>
      <w:r w:rsidR="00E7273D" w:rsidRPr="00F214BE">
        <w:t xml:space="preserve"> 21</w:t>
      </w:r>
      <w:r w:rsidR="00FF5BF0">
        <w:t xml:space="preserve"> et </w:t>
      </w:r>
      <w:r w:rsidR="00E529B4">
        <w:t>22</w:t>
      </w:r>
      <w:r w:rsidR="00E7273D" w:rsidRPr="00F214BE">
        <w:t>).</w:t>
      </w:r>
    </w:p>
    <w:p w14:paraId="6A840CA1" w14:textId="78F9037D" w:rsidR="00FD0E29" w:rsidRPr="00F214BE" w:rsidRDefault="00D57AAF" w:rsidP="00A23A12">
      <w:pPr>
        <w:pStyle w:val="SingleTxtG"/>
      </w:pPr>
      <w:r w:rsidRPr="00990BE1">
        <w:t>4</w:t>
      </w:r>
      <w:r w:rsidR="00BB20E1" w:rsidRPr="00990BE1">
        <w:t>6</w:t>
      </w:r>
      <w:r w:rsidR="00A9743D" w:rsidRPr="00990BE1">
        <w:t>.</w:t>
      </w:r>
      <w:r w:rsidR="00A9743D" w:rsidRPr="00990BE1">
        <w:tab/>
      </w:r>
      <w:r w:rsidR="00FD0E29" w:rsidRPr="00F214BE">
        <w:rPr>
          <w:b/>
        </w:rPr>
        <w:t>L’État partie devrait</w:t>
      </w:r>
      <w:r w:rsidR="00EC7C28" w:rsidRPr="00F214BE">
        <w:rPr>
          <w:b/>
        </w:rPr>
        <w:t> : a) </w:t>
      </w:r>
      <w:r w:rsidR="00AE2BE7" w:rsidRPr="00F214BE">
        <w:rPr>
          <w:b/>
        </w:rPr>
        <w:t xml:space="preserve">veiller </w:t>
      </w:r>
      <w:r w:rsidR="00E815DE" w:rsidRPr="00F214BE">
        <w:rPr>
          <w:b/>
        </w:rPr>
        <w:t>à lever toutes les restrictions aux manifestations pacifiques qui ne sont pas strictement nécessaires et proportionnelles au regard des dispositions de l’article 21 du Pacte</w:t>
      </w:r>
      <w:r w:rsidR="00B6058B">
        <w:rPr>
          <w:b/>
        </w:rPr>
        <w:t> </w:t>
      </w:r>
      <w:r w:rsidR="00EC7C28" w:rsidRPr="00F214BE">
        <w:rPr>
          <w:b/>
        </w:rPr>
        <w:t>; b)</w:t>
      </w:r>
      <w:r w:rsidR="00FD0E29" w:rsidRPr="00F214BE">
        <w:rPr>
          <w:b/>
        </w:rPr>
        <w:t> </w:t>
      </w:r>
      <w:r w:rsidR="00752AA4" w:rsidRPr="00F214BE">
        <w:rPr>
          <w:b/>
        </w:rPr>
        <w:t xml:space="preserve">réviser son cadre légal </w:t>
      </w:r>
      <w:r w:rsidR="00BB20E1" w:rsidRPr="00F214BE">
        <w:rPr>
          <w:b/>
        </w:rPr>
        <w:t>afin</w:t>
      </w:r>
      <w:r w:rsidR="00752AA4" w:rsidRPr="00F214BE">
        <w:rPr>
          <w:b/>
        </w:rPr>
        <w:t xml:space="preserve"> de protéger </w:t>
      </w:r>
      <w:r w:rsidR="00C13041" w:rsidRPr="00F214BE">
        <w:rPr>
          <w:b/>
        </w:rPr>
        <w:t>efficacement le droit à la liberté d’association, y compris le droit syndical et le droit de grève</w:t>
      </w:r>
      <w:r w:rsidR="001F7A4A">
        <w:rPr>
          <w:b/>
        </w:rPr>
        <w:t>,</w:t>
      </w:r>
      <w:r w:rsidR="00C13041" w:rsidRPr="00F214BE">
        <w:rPr>
          <w:b/>
        </w:rPr>
        <w:t xml:space="preserve"> et s’abstenir </w:t>
      </w:r>
      <w:r w:rsidR="00EC7C28" w:rsidRPr="00F214BE">
        <w:rPr>
          <w:b/>
        </w:rPr>
        <w:t xml:space="preserve">en pratique </w:t>
      </w:r>
      <w:r w:rsidR="00C13041" w:rsidRPr="00F214BE">
        <w:rPr>
          <w:b/>
        </w:rPr>
        <w:t>de tout acte d’intimidation à l’encontre des mouvements et membres de syndicats.</w:t>
      </w:r>
    </w:p>
    <w:p w14:paraId="3150BEB0" w14:textId="77777777" w:rsidR="00EF193F" w:rsidRPr="00D06798" w:rsidRDefault="00E06D9D" w:rsidP="00D06798">
      <w:pPr>
        <w:pStyle w:val="H23G"/>
      </w:pPr>
      <w:r w:rsidRPr="00F214BE">
        <w:tab/>
      </w:r>
      <w:r w:rsidRPr="00F214BE">
        <w:tab/>
      </w:r>
      <w:r w:rsidR="00EF193F" w:rsidRPr="00F214BE">
        <w:t>Garanties d’élections libres et honnêtes</w:t>
      </w:r>
    </w:p>
    <w:p w14:paraId="17882A99" w14:textId="553F11FE" w:rsidR="007A6B09" w:rsidRPr="00F214BE" w:rsidRDefault="00D57AAF" w:rsidP="00923CA1">
      <w:pPr>
        <w:pStyle w:val="SingleTxtG"/>
      </w:pPr>
      <w:r w:rsidRPr="00F214BE">
        <w:t>4</w:t>
      </w:r>
      <w:r w:rsidR="00BB20E1" w:rsidRPr="00F214BE">
        <w:t>7</w:t>
      </w:r>
      <w:r w:rsidR="00524A23" w:rsidRPr="00F214BE">
        <w:t>.</w:t>
      </w:r>
      <w:r w:rsidR="00524A23" w:rsidRPr="00F214BE">
        <w:tab/>
      </w:r>
      <w:r w:rsidR="00923CA1" w:rsidRPr="00F214BE">
        <w:t xml:space="preserve">Le Comité exprime ses </w:t>
      </w:r>
      <w:r w:rsidR="000472AA" w:rsidRPr="00F214BE">
        <w:t>préoccupations quant aux</w:t>
      </w:r>
      <w:r w:rsidR="00EE4B29" w:rsidRPr="00F214BE">
        <w:t> : a)</w:t>
      </w:r>
      <w:r w:rsidR="000472AA" w:rsidRPr="00F214BE">
        <w:t xml:space="preserve"> </w:t>
      </w:r>
      <w:r w:rsidR="00EF2627">
        <w:t>informations, confirmées par</w:t>
      </w:r>
      <w:r w:rsidR="000472AA" w:rsidRPr="00F214BE">
        <w:t xml:space="preserve"> la délégation</w:t>
      </w:r>
      <w:r w:rsidR="00EF2627">
        <w:t>,</w:t>
      </w:r>
      <w:r w:rsidR="000472AA" w:rsidRPr="00F214BE">
        <w:t xml:space="preserve"> </w:t>
      </w:r>
      <w:r w:rsidR="00EF2627">
        <w:t>faisant état du</w:t>
      </w:r>
      <w:r w:rsidR="009B3AEC" w:rsidRPr="00F214BE">
        <w:t xml:space="preserve"> non-respect du devoir d’impartialité et de neutralité des autorités administratives lors des élections</w:t>
      </w:r>
      <w:r w:rsidR="005A0807" w:rsidRPr="00F214BE">
        <w:t xml:space="preserve"> sur le territoire de l’État partie</w:t>
      </w:r>
      <w:r w:rsidR="00EE4B29" w:rsidRPr="00F214BE">
        <w:t> ; b) informations faisant état d’importantes violences électorales suite aux élections locales de février 2018</w:t>
      </w:r>
      <w:r w:rsidR="009E206B" w:rsidRPr="00F214BE">
        <w:t xml:space="preserve"> ayant entra</w:t>
      </w:r>
      <w:r w:rsidR="00A5666E">
        <w:t>î</w:t>
      </w:r>
      <w:r w:rsidR="009E206B" w:rsidRPr="00F214BE">
        <w:t xml:space="preserve">né des morts et de nombreux blessés. </w:t>
      </w:r>
      <w:r w:rsidR="00BB2A3A" w:rsidRPr="00F214BE">
        <w:t>Eu égard</w:t>
      </w:r>
      <w:r w:rsidR="00A5666E">
        <w:t xml:space="preserve"> en particulier</w:t>
      </w:r>
      <w:r w:rsidR="00BB2A3A" w:rsidRPr="00F214BE">
        <w:t xml:space="preserve"> aux élections à venir, le Comité s’inquiète de ce </w:t>
      </w:r>
      <w:r w:rsidR="00F214BE" w:rsidRPr="00F214BE">
        <w:t>que</w:t>
      </w:r>
      <w:r w:rsidR="00A5666E">
        <w:t xml:space="preserve"> </w:t>
      </w:r>
      <w:r w:rsidR="00F214BE" w:rsidRPr="00F214BE">
        <w:t>l’accord</w:t>
      </w:r>
      <w:r w:rsidR="00B9685B" w:rsidRPr="00F214BE">
        <w:t xml:space="preserve"> politique du 12 octobre 2016 n’est à ce jour pas</w:t>
      </w:r>
      <w:r w:rsidR="00BB31E8">
        <w:t xml:space="preserve"> entièrement</w:t>
      </w:r>
      <w:r w:rsidR="00B9685B" w:rsidRPr="00F214BE">
        <w:t xml:space="preserve"> mis en </w:t>
      </w:r>
      <w:r w:rsidR="00BB31E8">
        <w:t>œuvre</w:t>
      </w:r>
      <w:r w:rsidR="00BB31E8" w:rsidRPr="00F214BE">
        <w:t xml:space="preserve"> </w:t>
      </w:r>
      <w:r w:rsidR="009E278E" w:rsidRPr="00F214BE">
        <w:t>(art</w:t>
      </w:r>
      <w:r w:rsidR="00D06798">
        <w:t>. </w:t>
      </w:r>
      <w:r w:rsidR="009E278E" w:rsidRPr="00F214BE">
        <w:t>6, 7 et 25).</w:t>
      </w:r>
    </w:p>
    <w:p w14:paraId="2DD09E13" w14:textId="2C266C4C" w:rsidR="009E278E" w:rsidRPr="00F214BE" w:rsidRDefault="00BB20E1" w:rsidP="00923CA1">
      <w:pPr>
        <w:pStyle w:val="SingleTxtG"/>
      </w:pPr>
      <w:r w:rsidRPr="00990BE1">
        <w:lastRenderedPageBreak/>
        <w:t>48</w:t>
      </w:r>
      <w:r w:rsidR="00524A23" w:rsidRPr="00990BE1">
        <w:t>.</w:t>
      </w:r>
      <w:r w:rsidR="00524A23" w:rsidRPr="00990BE1">
        <w:tab/>
      </w:r>
      <w:r w:rsidR="00DB4AB6" w:rsidRPr="00F214BE">
        <w:rPr>
          <w:b/>
        </w:rPr>
        <w:t xml:space="preserve">L’État partie devrait : a) prendre toutes les mesures </w:t>
      </w:r>
      <w:r w:rsidR="00A5666E">
        <w:rPr>
          <w:b/>
        </w:rPr>
        <w:t>visant à</w:t>
      </w:r>
      <w:r w:rsidR="00DB4AB6" w:rsidRPr="00F214BE">
        <w:rPr>
          <w:b/>
        </w:rPr>
        <w:t xml:space="preserve"> garantir le </w:t>
      </w:r>
      <w:r w:rsidR="00A5666E">
        <w:rPr>
          <w:b/>
        </w:rPr>
        <w:t xml:space="preserve">respect du </w:t>
      </w:r>
      <w:r w:rsidR="00DB4AB6" w:rsidRPr="00F214BE">
        <w:rPr>
          <w:b/>
        </w:rPr>
        <w:t>devoir d’impartialité et de neutralité des autorités administratives lors des élections ; b) enquêter</w:t>
      </w:r>
      <w:r w:rsidR="00A5666E">
        <w:rPr>
          <w:b/>
        </w:rPr>
        <w:t xml:space="preserve"> et</w:t>
      </w:r>
      <w:r w:rsidR="00DB4AB6" w:rsidRPr="00F214BE">
        <w:rPr>
          <w:b/>
        </w:rPr>
        <w:t xml:space="preserve"> poursuivre et condamner les responsables d’actes ayant entraîné la mort ou des blessures suite aux violences électorales de février 2018 et </w:t>
      </w:r>
      <w:r w:rsidR="00402522" w:rsidRPr="00F214BE">
        <w:rPr>
          <w:b/>
        </w:rPr>
        <w:t>mettre en œuvre</w:t>
      </w:r>
      <w:r w:rsidR="00DB4AB6" w:rsidRPr="00F214BE">
        <w:rPr>
          <w:b/>
        </w:rPr>
        <w:t xml:space="preserve"> des garanties de non-</w:t>
      </w:r>
      <w:r w:rsidR="00402522" w:rsidRPr="00F214BE">
        <w:rPr>
          <w:b/>
        </w:rPr>
        <w:t xml:space="preserve">répétition de tels actes ; c) prendre toutes les mesures </w:t>
      </w:r>
      <w:r w:rsidR="00A5666E">
        <w:rPr>
          <w:b/>
        </w:rPr>
        <w:t>permettant</w:t>
      </w:r>
      <w:r w:rsidR="00402522" w:rsidRPr="00F214BE">
        <w:rPr>
          <w:b/>
        </w:rPr>
        <w:t xml:space="preserve"> de mettre en œuvre dans les meilleurs délais </w:t>
      </w:r>
      <w:r w:rsidR="00A5666E">
        <w:rPr>
          <w:b/>
        </w:rPr>
        <w:t xml:space="preserve">et </w:t>
      </w:r>
      <w:r w:rsidR="00BB31E8">
        <w:rPr>
          <w:b/>
        </w:rPr>
        <w:t xml:space="preserve">dans son intégralité </w:t>
      </w:r>
      <w:r w:rsidR="00402522" w:rsidRPr="00F214BE">
        <w:rPr>
          <w:b/>
        </w:rPr>
        <w:t>l’accord politique du 12 octobre 2016 ; d)</w:t>
      </w:r>
      <w:r w:rsidR="00231884">
        <w:rPr>
          <w:b/>
        </w:rPr>
        <w:t> </w:t>
      </w:r>
      <w:r w:rsidR="00A03EF9" w:rsidRPr="00F214BE">
        <w:rPr>
          <w:b/>
        </w:rPr>
        <w:t xml:space="preserve">prendre toutes les mesures </w:t>
      </w:r>
      <w:r w:rsidRPr="00F214BE">
        <w:rPr>
          <w:b/>
        </w:rPr>
        <w:t>afin</w:t>
      </w:r>
      <w:r w:rsidR="001A2573" w:rsidRPr="00F214BE">
        <w:rPr>
          <w:b/>
        </w:rPr>
        <w:t xml:space="preserve"> d’assurer l’efficacité et l</w:t>
      </w:r>
      <w:r w:rsidR="00B809B8" w:rsidRPr="00F214BE">
        <w:rPr>
          <w:b/>
        </w:rPr>
        <w:t xml:space="preserve">a pleine </w:t>
      </w:r>
      <w:r w:rsidR="001A2573" w:rsidRPr="00F214BE">
        <w:rPr>
          <w:b/>
        </w:rPr>
        <w:t xml:space="preserve">indépendance de la Commission </w:t>
      </w:r>
      <w:r w:rsidR="002140F2">
        <w:rPr>
          <w:b/>
        </w:rPr>
        <w:t>é</w:t>
      </w:r>
      <w:r w:rsidR="002140F2" w:rsidRPr="00F214BE">
        <w:rPr>
          <w:b/>
        </w:rPr>
        <w:t xml:space="preserve">lectorale </w:t>
      </w:r>
      <w:r w:rsidR="002140F2">
        <w:rPr>
          <w:b/>
        </w:rPr>
        <w:t>n</w:t>
      </w:r>
      <w:r w:rsidR="002140F2" w:rsidRPr="00F214BE">
        <w:rPr>
          <w:b/>
        </w:rPr>
        <w:t xml:space="preserve">ationale </w:t>
      </w:r>
      <w:r w:rsidR="002140F2">
        <w:rPr>
          <w:b/>
        </w:rPr>
        <w:t>i</w:t>
      </w:r>
      <w:r w:rsidR="002140F2" w:rsidRPr="00F214BE">
        <w:rPr>
          <w:b/>
        </w:rPr>
        <w:t>ndépendante</w:t>
      </w:r>
      <w:r w:rsidR="001A2573" w:rsidRPr="00F214BE">
        <w:rPr>
          <w:b/>
        </w:rPr>
        <w:t>.</w:t>
      </w:r>
    </w:p>
    <w:p w14:paraId="01B03AFC" w14:textId="3DFE376B" w:rsidR="00EF193F" w:rsidRPr="00D06798" w:rsidRDefault="00E06D9D" w:rsidP="00D06798">
      <w:pPr>
        <w:pStyle w:val="H23G"/>
      </w:pPr>
      <w:r w:rsidRPr="00F214BE">
        <w:tab/>
      </w:r>
      <w:r w:rsidRPr="00F214BE">
        <w:tab/>
      </w:r>
      <w:r w:rsidR="008E3F1F" w:rsidRPr="00F214BE">
        <w:t>Droit à la participation des populations</w:t>
      </w:r>
      <w:r w:rsidR="0099768E" w:rsidRPr="00F214BE">
        <w:t xml:space="preserve"> à la gestion des ressources naturelles</w:t>
      </w:r>
    </w:p>
    <w:p w14:paraId="7C7D21E3" w14:textId="54F989E8" w:rsidR="00933C82" w:rsidRPr="00F214BE" w:rsidRDefault="00BB20E1" w:rsidP="00933C82">
      <w:pPr>
        <w:pStyle w:val="SingleTxtG"/>
      </w:pPr>
      <w:r w:rsidRPr="00F214BE">
        <w:t>49</w:t>
      </w:r>
      <w:r w:rsidR="00524A23" w:rsidRPr="00F214BE">
        <w:t>.</w:t>
      </w:r>
      <w:r w:rsidR="00524A23" w:rsidRPr="00F214BE">
        <w:tab/>
      </w:r>
      <w:r w:rsidR="00933C82" w:rsidRPr="00F214BE">
        <w:t xml:space="preserve">Le Comité </w:t>
      </w:r>
      <w:r w:rsidR="000776D8" w:rsidRPr="00F214BE">
        <w:t xml:space="preserve">prend note de </w:t>
      </w:r>
      <w:r w:rsidR="00B43F00" w:rsidRPr="00F214BE">
        <w:t>la mise en œuvre de la politique du contenu local</w:t>
      </w:r>
      <w:r w:rsidR="009762C8" w:rsidRPr="00F214BE">
        <w:t xml:space="preserve"> ainsi que </w:t>
      </w:r>
      <w:r w:rsidR="000776D8" w:rsidRPr="00F214BE">
        <w:t>du transfert de 14 points de compétence des structures déconcentrées aux collectivités. Il regrette toutefois qu’en pratique, la participation des populations aux processus de décision relatifs aux projets d’investissement ayant un impact social et environnemental ainsi qu’à la gestion des ressources naturelles demeure extrêmement limitée</w:t>
      </w:r>
      <w:r w:rsidR="00496F42" w:rsidRPr="00F214BE">
        <w:t xml:space="preserve"> (art</w:t>
      </w:r>
      <w:r w:rsidR="00D06798">
        <w:t>. </w:t>
      </w:r>
      <w:r w:rsidR="00496F42" w:rsidRPr="00F214BE">
        <w:t>6 et 25).</w:t>
      </w:r>
    </w:p>
    <w:p w14:paraId="27DC33AE" w14:textId="255D1F6C" w:rsidR="00507816" w:rsidRPr="00F214BE" w:rsidRDefault="00D57AAF" w:rsidP="00933C82">
      <w:pPr>
        <w:pStyle w:val="SingleTxtG"/>
      </w:pPr>
      <w:r w:rsidRPr="00990BE1">
        <w:t>5</w:t>
      </w:r>
      <w:r w:rsidR="00BB20E1" w:rsidRPr="00990BE1">
        <w:t>0</w:t>
      </w:r>
      <w:r w:rsidR="00507816" w:rsidRPr="00990BE1">
        <w:t>.</w:t>
      </w:r>
      <w:r w:rsidR="00507816" w:rsidRPr="00990BE1">
        <w:tab/>
      </w:r>
      <w:r w:rsidR="00507816" w:rsidRPr="00F214BE">
        <w:rPr>
          <w:b/>
        </w:rPr>
        <w:t xml:space="preserve">L’État partie devrait intensifier ses efforts </w:t>
      </w:r>
      <w:r w:rsidR="00A5666E">
        <w:rPr>
          <w:b/>
        </w:rPr>
        <w:t>en vue</w:t>
      </w:r>
      <w:r w:rsidR="00507816" w:rsidRPr="00F214BE">
        <w:rPr>
          <w:b/>
        </w:rPr>
        <w:t xml:space="preserve"> de garantir la participation des populations et organiser de véritables consultations locales av</w:t>
      </w:r>
      <w:r w:rsidR="00F11326" w:rsidRPr="00F214BE">
        <w:rPr>
          <w:b/>
        </w:rPr>
        <w:t>ec ces dernières avant la conclusion de contrats liés à la gestion des ressources naturel</w:t>
      </w:r>
      <w:r w:rsidR="007F6B38">
        <w:rPr>
          <w:b/>
        </w:rPr>
        <w:t>le</w:t>
      </w:r>
      <w:r w:rsidR="00F11326" w:rsidRPr="00F214BE">
        <w:rPr>
          <w:b/>
        </w:rPr>
        <w:t>s ou ayant un impact social et environnemental afin que soit recueilli leur consentement libre, préalable et éclairé.</w:t>
      </w:r>
    </w:p>
    <w:p w14:paraId="01BACD93" w14:textId="700A3043" w:rsidR="004B5865" w:rsidRPr="00D06798" w:rsidRDefault="00ED68FD" w:rsidP="00D06798">
      <w:pPr>
        <w:pStyle w:val="H1G"/>
      </w:pPr>
      <w:r>
        <w:tab/>
      </w:r>
      <w:r w:rsidR="004B5865" w:rsidRPr="00F214BE">
        <w:t>D.</w:t>
      </w:r>
      <w:r w:rsidR="004B5865" w:rsidRPr="00F214BE">
        <w:tab/>
        <w:t>Diffusion et suivi</w:t>
      </w:r>
    </w:p>
    <w:p w14:paraId="766D2078" w14:textId="757D456C" w:rsidR="004B5865" w:rsidRPr="00D06798" w:rsidRDefault="004B5865" w:rsidP="004B5865">
      <w:pPr>
        <w:pStyle w:val="SingleTxtG"/>
        <w:rPr>
          <w:b/>
        </w:rPr>
      </w:pPr>
      <w:r w:rsidRPr="00EA17E9">
        <w:t>51.</w:t>
      </w:r>
      <w:r w:rsidRPr="00D06798">
        <w:rPr>
          <w:b/>
        </w:rPr>
        <w:tab/>
        <w:t>L’État partie devrait diffuser largement le texte du Pacte, d</w:t>
      </w:r>
      <w:r w:rsidR="00672E77">
        <w:rPr>
          <w:b/>
        </w:rPr>
        <w:t>e son</w:t>
      </w:r>
      <w:r w:rsidRPr="00D06798">
        <w:rPr>
          <w:b/>
        </w:rPr>
        <w:t xml:space="preserve"> troisième rapport périodique, des réponses écrites à la liste de points établie par le Comité et des présentes observations finales auprès des autorités judiciaires, législatives et administratives, de la société civile et des organisations non gouvernementales présentes dans le pays, ainsi qu’auprès du grand public afin de les sensibiliser aux droits consacrés par le Pacte. L’État partie devrait </w:t>
      </w:r>
      <w:r w:rsidR="00672E77">
        <w:rPr>
          <w:b/>
        </w:rPr>
        <w:t>faire en sorte</w:t>
      </w:r>
      <w:r w:rsidRPr="00D06798">
        <w:rPr>
          <w:b/>
        </w:rPr>
        <w:t xml:space="preserve"> que le rapport, les réponses écrites et les présentes observations finales soient traduits dans ses langues officielles.</w:t>
      </w:r>
    </w:p>
    <w:p w14:paraId="538391E8" w14:textId="5DEDBDD5" w:rsidR="004B5865" w:rsidRPr="00D06798" w:rsidRDefault="004B5865" w:rsidP="004B5865">
      <w:pPr>
        <w:pStyle w:val="SingleTxtG"/>
        <w:rPr>
          <w:b/>
        </w:rPr>
      </w:pPr>
      <w:r w:rsidRPr="00EA17E9">
        <w:t>52.</w:t>
      </w:r>
      <w:r w:rsidRPr="00EA17E9">
        <w:tab/>
      </w:r>
      <w:r w:rsidRPr="00D06798">
        <w:rPr>
          <w:b/>
        </w:rPr>
        <w:t xml:space="preserve">Conformément au paragraphe 5 de l’article 71 du règlement intérieur du Comité, l’État partie est invité à faire parvenir, dans un délai de deux ans à compter de l’adoption des présentes observations finales, à savoir le 2 novembre 2020, des renseignements sur la suite qu’il aura donnée aux recommandations </w:t>
      </w:r>
      <w:r w:rsidR="00F41D27">
        <w:rPr>
          <w:b/>
        </w:rPr>
        <w:t>formulées</w:t>
      </w:r>
      <w:r w:rsidR="001C2467" w:rsidRPr="00D06798">
        <w:rPr>
          <w:b/>
        </w:rPr>
        <w:t xml:space="preserve"> aux paragraphes 12</w:t>
      </w:r>
      <w:r w:rsidR="005B029D" w:rsidRPr="00D06798">
        <w:rPr>
          <w:b/>
        </w:rPr>
        <w:t xml:space="preserve"> (Lutte contre la corruption</w:t>
      </w:r>
      <w:r w:rsidR="001C2467" w:rsidRPr="00D06798">
        <w:rPr>
          <w:b/>
        </w:rPr>
        <w:t>), 16</w:t>
      </w:r>
      <w:r w:rsidR="005B029D" w:rsidRPr="00D06798">
        <w:rPr>
          <w:b/>
        </w:rPr>
        <w:t xml:space="preserve"> (Violations</w:t>
      </w:r>
      <w:r w:rsidR="005B029D" w:rsidRPr="00D06798">
        <w:rPr>
          <w:b/>
          <w:lang w:val="fr-FR"/>
        </w:rPr>
        <w:t xml:space="preserve"> passées des droits de l’homme, lutte contre l’impunité et réconciliation nationale</w:t>
      </w:r>
      <w:r w:rsidR="001C2467" w:rsidRPr="00D06798">
        <w:rPr>
          <w:b/>
        </w:rPr>
        <w:t>) et 34</w:t>
      </w:r>
      <w:r w:rsidR="005B029D" w:rsidRPr="00D06798">
        <w:rPr>
          <w:b/>
        </w:rPr>
        <w:t xml:space="preserve"> (</w:t>
      </w:r>
      <w:r w:rsidR="005B029D" w:rsidRPr="00D06798">
        <w:rPr>
          <w:b/>
          <w:lang w:val="fr-FR"/>
        </w:rPr>
        <w:t>Torture, traitements cruels, inhumains ou dégradants</w:t>
      </w:r>
      <w:r w:rsidRPr="00D06798">
        <w:rPr>
          <w:b/>
        </w:rPr>
        <w:t>).</w:t>
      </w:r>
    </w:p>
    <w:p w14:paraId="79815ADA" w14:textId="5AEEC0C1" w:rsidR="004B5865" w:rsidRPr="00D06798" w:rsidRDefault="004B5865" w:rsidP="004B5865">
      <w:pPr>
        <w:pStyle w:val="SingleTxtG"/>
        <w:rPr>
          <w:b/>
        </w:rPr>
      </w:pPr>
      <w:r w:rsidRPr="00EA17E9">
        <w:rPr>
          <w:bCs/>
        </w:rPr>
        <w:t>53.</w:t>
      </w:r>
      <w:r w:rsidRPr="00D06798">
        <w:rPr>
          <w:b/>
          <w:bCs/>
        </w:rPr>
        <w:tab/>
      </w:r>
      <w:r w:rsidRPr="00D06798">
        <w:rPr>
          <w:b/>
        </w:rPr>
        <w:t xml:space="preserve">Le Comité demande à l’État partie de lui soumettre son </w:t>
      </w:r>
      <w:r w:rsidR="00B076D6" w:rsidRPr="00D06798">
        <w:rPr>
          <w:b/>
        </w:rPr>
        <w:t>prochain rapport périodique le 2 novembre 2022</w:t>
      </w:r>
      <w:r w:rsidRPr="00D06798">
        <w:rPr>
          <w:b/>
        </w:rPr>
        <w:t xml:space="preserve"> au plus tard et d’y faire figurer des renseignements précis et à jour sur la </w:t>
      </w:r>
      <w:r w:rsidR="00236F72">
        <w:rPr>
          <w:b/>
        </w:rPr>
        <w:t>suite qu’il aura donnée aux autres</w:t>
      </w:r>
      <w:r w:rsidRPr="00D06798">
        <w:rPr>
          <w:b/>
        </w:rPr>
        <w:t xml:space="preserve"> recommandations </w:t>
      </w:r>
      <w:r w:rsidR="00094B0C">
        <w:rPr>
          <w:b/>
        </w:rPr>
        <w:t>formulées</w:t>
      </w:r>
      <w:r w:rsidRPr="00D06798">
        <w:rPr>
          <w:b/>
        </w:rPr>
        <w:t xml:space="preserve"> dans les présentes observations finales et sur l’application du Pacte dans son ensemble. Il demande également à l’État partie, lorsqu’il élaborera ce rapport, de tenir de vastes consultations avec la société civile et les organisations non gouvernementales présentes dans le pays. Conformément à la résolution 68/268 de l’Assemblée générale, ce </w:t>
      </w:r>
      <w:r w:rsidR="00094B0C">
        <w:rPr>
          <w:b/>
        </w:rPr>
        <w:t>document ne devra pas compter plus de</w:t>
      </w:r>
      <w:r w:rsidRPr="00D06798">
        <w:rPr>
          <w:b/>
        </w:rPr>
        <w:t xml:space="preserve"> 21 200 mots. </w:t>
      </w:r>
      <w:r w:rsidR="00094B0C">
        <w:rPr>
          <w:b/>
        </w:rPr>
        <w:t>L</w:t>
      </w:r>
      <w:r w:rsidRPr="00D06798">
        <w:rPr>
          <w:b/>
        </w:rPr>
        <w:t xml:space="preserve">’État partie </w:t>
      </w:r>
      <w:r w:rsidR="00094B0C">
        <w:rPr>
          <w:b/>
        </w:rPr>
        <w:t>peut aussi indiquer au Comité</w:t>
      </w:r>
      <w:r w:rsidRPr="00D06798">
        <w:rPr>
          <w:b/>
        </w:rPr>
        <w:t xml:space="preserve">, </w:t>
      </w:r>
      <w:r w:rsidR="00094B0C">
        <w:rPr>
          <w:b/>
        </w:rPr>
        <w:t>avant le</w:t>
      </w:r>
      <w:r w:rsidRPr="00D06798">
        <w:rPr>
          <w:b/>
        </w:rPr>
        <w:t xml:space="preserve"> 2 novembre 2019, </w:t>
      </w:r>
      <w:r w:rsidR="00094B0C">
        <w:rPr>
          <w:b/>
        </w:rPr>
        <w:t xml:space="preserve">qu’il accepte d’établir son rapport en suivant </w:t>
      </w:r>
      <w:r w:rsidRPr="00D06798">
        <w:rPr>
          <w:b/>
        </w:rPr>
        <w:t>la procédure simplifiée</w:t>
      </w:r>
      <w:r w:rsidR="00094B0C">
        <w:rPr>
          <w:b/>
        </w:rPr>
        <w:t xml:space="preserve">. En pareil cas, </w:t>
      </w:r>
      <w:r w:rsidRPr="00D06798">
        <w:rPr>
          <w:b/>
        </w:rPr>
        <w:t xml:space="preserve">le Comité transmet une liste de points à l’État partie avant que celui-ci ne soumette </w:t>
      </w:r>
      <w:r w:rsidR="00094B0C">
        <w:rPr>
          <w:b/>
        </w:rPr>
        <w:t>son</w:t>
      </w:r>
      <w:r w:rsidRPr="00D06798">
        <w:rPr>
          <w:b/>
        </w:rPr>
        <w:t xml:space="preserve"> rapport. Les réponses de l’État partie à cette liste constitueront </w:t>
      </w:r>
      <w:r w:rsidR="00094B0C">
        <w:rPr>
          <w:b/>
        </w:rPr>
        <w:t>son</w:t>
      </w:r>
      <w:r w:rsidRPr="00D06798">
        <w:rPr>
          <w:b/>
        </w:rPr>
        <w:t xml:space="preserve"> rapport périodique </w:t>
      </w:r>
      <w:r w:rsidR="00094B0C">
        <w:rPr>
          <w:b/>
        </w:rPr>
        <w:t>suivant à soumettre en application de</w:t>
      </w:r>
      <w:r w:rsidRPr="00D06798">
        <w:rPr>
          <w:b/>
        </w:rPr>
        <w:t xml:space="preserve"> l’article 40 du Pacte.</w:t>
      </w:r>
    </w:p>
    <w:p w14:paraId="6B7E6C58" w14:textId="77777777" w:rsidR="00B8506F" w:rsidRPr="00C6345B" w:rsidRDefault="00B8506F" w:rsidP="00B8506F">
      <w:pPr>
        <w:spacing w:before="240"/>
        <w:ind w:left="1134" w:right="1134"/>
        <w:jc w:val="center"/>
        <w:rPr>
          <w:u w:val="single"/>
        </w:rPr>
      </w:pPr>
      <w:r>
        <w:rPr>
          <w:u w:val="single"/>
        </w:rPr>
        <w:tab/>
      </w:r>
      <w:r>
        <w:rPr>
          <w:u w:val="single"/>
        </w:rPr>
        <w:tab/>
      </w:r>
      <w:r>
        <w:rPr>
          <w:u w:val="single"/>
        </w:rPr>
        <w:tab/>
      </w:r>
    </w:p>
    <w:sectPr w:rsidR="00B8506F" w:rsidRPr="00C6345B" w:rsidSect="00437641">
      <w:headerReference w:type="even" r:id="rId9"/>
      <w:headerReference w:type="default" r:id="rId10"/>
      <w:footerReference w:type="even" r:id="rId11"/>
      <w:footerReference w:type="default" r:id="rId12"/>
      <w:footerReference w:type="first" r:id="rId13"/>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BE644" w14:textId="77777777" w:rsidR="000E78CB" w:rsidRDefault="000E78CB" w:rsidP="00EF193F">
      <w:r>
        <w:separator/>
      </w:r>
    </w:p>
  </w:endnote>
  <w:endnote w:type="continuationSeparator" w:id="0">
    <w:p w14:paraId="0C822063" w14:textId="77777777" w:rsidR="000E78CB" w:rsidRDefault="000E78CB" w:rsidP="00EF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966132"/>
      <w:docPartObj>
        <w:docPartGallery w:val="Page Numbers (Bottom of Page)"/>
        <w:docPartUnique/>
      </w:docPartObj>
    </w:sdtPr>
    <w:sdtEndPr>
      <w:rPr>
        <w:b/>
        <w:noProof/>
      </w:rPr>
    </w:sdtEndPr>
    <w:sdtContent>
      <w:p w14:paraId="226E18E9" w14:textId="2ECB6102" w:rsidR="000E78CB" w:rsidRPr="00E06D9D" w:rsidRDefault="000E78CB">
        <w:pPr>
          <w:pStyle w:val="Pieddepage"/>
          <w:rPr>
            <w:b/>
          </w:rPr>
        </w:pPr>
        <w:r w:rsidRPr="00E06D9D">
          <w:rPr>
            <w:b/>
          </w:rPr>
          <w:fldChar w:fldCharType="begin"/>
        </w:r>
        <w:r w:rsidRPr="00E06D9D">
          <w:rPr>
            <w:b/>
          </w:rPr>
          <w:instrText xml:space="preserve"> PAGE   \* MERGEFORMAT </w:instrText>
        </w:r>
        <w:r w:rsidRPr="00E06D9D">
          <w:rPr>
            <w:b/>
          </w:rPr>
          <w:fldChar w:fldCharType="separate"/>
        </w:r>
        <w:r w:rsidR="00FA5EE0">
          <w:rPr>
            <w:b/>
            <w:noProof/>
          </w:rPr>
          <w:t>2</w:t>
        </w:r>
        <w:r w:rsidRPr="00E06D9D">
          <w:rPr>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457611"/>
      <w:docPartObj>
        <w:docPartGallery w:val="Page Numbers (Bottom of Page)"/>
        <w:docPartUnique/>
      </w:docPartObj>
    </w:sdtPr>
    <w:sdtEndPr>
      <w:rPr>
        <w:b/>
        <w:noProof/>
      </w:rPr>
    </w:sdtEndPr>
    <w:sdtContent>
      <w:p w14:paraId="3B066C79" w14:textId="4957F92E" w:rsidR="000E78CB" w:rsidRPr="00E06D9D" w:rsidRDefault="000E78CB" w:rsidP="00EA4544">
        <w:pPr>
          <w:pStyle w:val="Pieddepage"/>
          <w:jc w:val="right"/>
          <w:rPr>
            <w:b/>
          </w:rPr>
        </w:pPr>
        <w:r w:rsidRPr="00E06D9D">
          <w:rPr>
            <w:b/>
          </w:rPr>
          <w:fldChar w:fldCharType="begin"/>
        </w:r>
        <w:r w:rsidRPr="00E06D9D">
          <w:rPr>
            <w:b/>
          </w:rPr>
          <w:instrText xml:space="preserve"> PAGE   \* MERGEFORMAT </w:instrText>
        </w:r>
        <w:r w:rsidRPr="00E06D9D">
          <w:rPr>
            <w:b/>
          </w:rPr>
          <w:fldChar w:fldCharType="separate"/>
        </w:r>
        <w:r w:rsidR="00FA5EE0">
          <w:rPr>
            <w:b/>
            <w:noProof/>
          </w:rPr>
          <w:t>9</w:t>
        </w:r>
        <w:r w:rsidRPr="00E06D9D">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22515" w14:textId="22551218" w:rsidR="00BD0EEE" w:rsidRPr="00A02439" w:rsidRDefault="00A02439" w:rsidP="00BD0EEE">
    <w:pPr>
      <w:pStyle w:val="Pieddepage"/>
      <w:spacing w:before="120"/>
      <w:rPr>
        <w:rFonts w:ascii="C39T30Lfz" w:hAnsi="C39T30Lfz"/>
        <w:sz w:val="56"/>
      </w:rPr>
    </w:pPr>
    <w:r>
      <w:rPr>
        <w:noProof/>
        <w:lang w:eastAsia="fr-CH"/>
      </w:rPr>
      <w:drawing>
        <wp:anchor distT="0" distB="0" distL="114300" distR="114300" simplePos="0" relativeHeight="251660288" behindDoc="0" locked="0" layoutInCell="1" allowOverlap="1" wp14:anchorId="6871D070" wp14:editId="2CA1309E">
          <wp:simplePos x="0" y="0"/>
          <wp:positionH relativeFrom="column">
            <wp:posOffset>5474899</wp:posOffset>
          </wp:positionH>
          <wp:positionV relativeFrom="paragraph">
            <wp:posOffset>5751</wp:posOffset>
          </wp:positionV>
          <wp:extent cx="638175" cy="638175"/>
          <wp:effectExtent l="0" t="0" r="9525" b="9525"/>
          <wp:wrapNone/>
          <wp:docPr id="2" name="Image 1" descr="https://undocs.org/m2/QRCode.ashx?DS=CCPR/C/GIN/CO/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GIN/CO/3&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GE.</w:t>
    </w:r>
    <w:r>
      <w:rPr>
        <w:noProof/>
        <w:lang w:eastAsia="fr-CH"/>
      </w:rPr>
      <w:drawing>
        <wp:anchor distT="0" distB="0" distL="114300" distR="114300" simplePos="0" relativeHeight="251659264" behindDoc="0" locked="0" layoutInCell="1" allowOverlap="0" wp14:anchorId="022D7201" wp14:editId="247B3D66">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t>18-210</w:t>
    </w:r>
    <w:r>
      <w:t>84</w:t>
    </w:r>
    <w:r>
      <w:t xml:space="preserve">  (F)</w:t>
    </w:r>
    <w:r>
      <w:br/>
    </w:r>
    <w:r w:rsidRPr="00A02439">
      <w:rPr>
        <w:rFonts w:ascii="C39T30Lfz" w:hAnsi="C39T30Lfz"/>
        <w:sz w:val="56"/>
      </w:rPr>
      <w:t></w:t>
    </w:r>
    <w:r w:rsidRPr="00A02439">
      <w:rPr>
        <w:rFonts w:ascii="C39T30Lfz" w:hAnsi="C39T30Lfz"/>
        <w:sz w:val="56"/>
      </w:rPr>
      <w:t></w:t>
    </w:r>
    <w:r w:rsidRPr="00A02439">
      <w:rPr>
        <w:rFonts w:ascii="C39T30Lfz" w:hAnsi="C39T30Lfz"/>
        <w:sz w:val="56"/>
      </w:rPr>
      <w:t></w:t>
    </w:r>
    <w:r w:rsidRPr="00A02439">
      <w:rPr>
        <w:rFonts w:ascii="C39T30Lfz" w:hAnsi="C39T30Lfz"/>
        <w:sz w:val="56"/>
      </w:rPr>
      <w:t></w:t>
    </w:r>
    <w:r w:rsidRPr="00A02439">
      <w:rPr>
        <w:rFonts w:ascii="C39T30Lfz" w:hAnsi="C39T30Lfz"/>
        <w:sz w:val="56"/>
      </w:rPr>
      <w:t></w:t>
    </w:r>
    <w:r w:rsidRPr="00A02439">
      <w:rPr>
        <w:rFonts w:ascii="C39T30Lfz" w:hAnsi="C39T30Lfz"/>
        <w:sz w:val="56"/>
      </w:rPr>
      <w:t></w:t>
    </w:r>
    <w:r w:rsidRPr="00A02439">
      <w:rPr>
        <w:rFonts w:ascii="C39T30Lfz" w:hAnsi="C39T30Lfz"/>
        <w:sz w:val="56"/>
      </w:rPr>
      <w:t></w:t>
    </w:r>
    <w:r w:rsidRPr="00A02439">
      <w:rPr>
        <w:rFonts w:ascii="C39T30Lfz" w:hAnsi="C39T30Lfz"/>
        <w:sz w:val="56"/>
      </w:rPr>
      <w:t></w:t>
    </w:r>
    <w:r w:rsidRPr="00A02439">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8C700" w14:textId="3A82B39B" w:rsidR="000E78CB" w:rsidRPr="009A0651" w:rsidRDefault="009A0651" w:rsidP="009A0651">
      <w:pPr>
        <w:pStyle w:val="Pieddepage"/>
        <w:tabs>
          <w:tab w:val="right" w:pos="2155"/>
        </w:tabs>
        <w:spacing w:after="80" w:line="240" w:lineRule="atLeast"/>
        <w:ind w:left="680"/>
        <w:rPr>
          <w:u w:val="single"/>
        </w:rPr>
      </w:pPr>
      <w:r>
        <w:rPr>
          <w:u w:val="single"/>
        </w:rPr>
        <w:tab/>
      </w:r>
    </w:p>
  </w:footnote>
  <w:footnote w:type="continuationSeparator" w:id="0">
    <w:p w14:paraId="36052A62" w14:textId="77777777" w:rsidR="000E78CB" w:rsidRDefault="000E78CB" w:rsidP="00EF193F">
      <w:r>
        <w:continuationSeparator/>
      </w:r>
    </w:p>
  </w:footnote>
  <w:footnote w:id="1">
    <w:p w14:paraId="4DE2E58F" w14:textId="41E7E91D" w:rsidR="00231884" w:rsidRPr="00D06798" w:rsidRDefault="00231884" w:rsidP="00A02439">
      <w:pPr>
        <w:pStyle w:val="Notedebasdepage"/>
        <w:spacing w:after="240"/>
        <w:rPr>
          <w:lang w:val="fr-FR"/>
        </w:rPr>
      </w:pPr>
      <w:r>
        <w:rPr>
          <w:rStyle w:val="Appelnotedebasdep"/>
        </w:rPr>
        <w:tab/>
      </w:r>
      <w:r w:rsidRPr="00D06798">
        <w:rPr>
          <w:rStyle w:val="Appelnotedebasdep"/>
          <w:sz w:val="20"/>
          <w:vertAlign w:val="baseline"/>
        </w:rPr>
        <w:t>*</w:t>
      </w:r>
      <w:r>
        <w:rPr>
          <w:rStyle w:val="Appelnotedebasdep"/>
          <w:sz w:val="20"/>
          <w:vertAlign w:val="baseline"/>
        </w:rPr>
        <w:tab/>
      </w:r>
      <w:r>
        <w:t>Adoptées par le Comité à sa 124</w:t>
      </w:r>
      <w:r w:rsidRPr="00F32F44">
        <w:rPr>
          <w:vertAlign w:val="superscript"/>
        </w:rPr>
        <w:t>e</w:t>
      </w:r>
      <w:r>
        <w:t xml:space="preserve"> session (8 o</w:t>
      </w:r>
      <w:bookmarkStart w:id="0" w:name="_GoBack"/>
      <w:bookmarkEnd w:id="0"/>
      <w:r>
        <w:t>ctobre</w:t>
      </w:r>
      <w:r w:rsidR="00AE16B5">
        <w:t>-</w:t>
      </w:r>
      <w:r>
        <w:t>2 novembre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A8EA0" w14:textId="14658E0C" w:rsidR="000E78CB" w:rsidRPr="009615FC" w:rsidRDefault="000E78CB" w:rsidP="00B51A9C">
    <w:pPr>
      <w:pBdr>
        <w:bottom w:val="single" w:sz="4" w:space="4" w:color="auto"/>
      </w:pBdr>
      <w:rPr>
        <w:rFonts w:eastAsia="Times New Roman"/>
        <w:b/>
        <w:sz w:val="18"/>
        <w:lang w:val="en-GB"/>
      </w:rPr>
    </w:pPr>
    <w:r w:rsidRPr="009615FC">
      <w:rPr>
        <w:rFonts w:eastAsia="Times New Roman"/>
        <w:b/>
        <w:sz w:val="18"/>
        <w:lang w:val="en-GB"/>
      </w:rPr>
      <w:t>C</w:t>
    </w:r>
    <w:r>
      <w:rPr>
        <w:rFonts w:eastAsia="Times New Roman"/>
        <w:b/>
        <w:sz w:val="18"/>
        <w:lang w:val="en-GB"/>
      </w:rPr>
      <w:t>CPR/C/GIN/CO/3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B03C6" w14:textId="17072559" w:rsidR="000E78CB" w:rsidRPr="009615FC" w:rsidRDefault="000E78CB" w:rsidP="009615FC">
    <w:pPr>
      <w:pBdr>
        <w:bottom w:val="single" w:sz="4" w:space="4" w:color="auto"/>
      </w:pBdr>
      <w:jc w:val="right"/>
      <w:rPr>
        <w:rFonts w:eastAsia="Times New Roman"/>
        <w:b/>
        <w:sz w:val="18"/>
        <w:lang w:val="en-GB"/>
      </w:rPr>
    </w:pPr>
    <w:r w:rsidRPr="009615FC">
      <w:rPr>
        <w:rFonts w:eastAsia="Times New Roman"/>
        <w:b/>
        <w:sz w:val="18"/>
        <w:lang w:val="en-GB"/>
      </w:rPr>
      <w:t>C</w:t>
    </w:r>
    <w:r>
      <w:rPr>
        <w:rFonts w:eastAsia="Times New Roman"/>
        <w:b/>
        <w:sz w:val="18"/>
        <w:lang w:val="en-GB"/>
      </w:rPr>
      <w:t>CPR/C/GIN/CO/3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 w:vendorID="64" w:dllVersion="6" w:nlCheck="1" w:checkStyle="1"/>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defaultTabStop w:val="794"/>
  <w:hyphenationZone w:val="425"/>
  <w:evenAndOddHeaders/>
  <w:characterSpacingControl w:val="doNotCompress"/>
  <w:hdrShapeDefaults>
    <o:shapedefaults v:ext="edit" spidmax="573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3F"/>
    <w:rsid w:val="00016D9B"/>
    <w:rsid w:val="00022693"/>
    <w:rsid w:val="000250B6"/>
    <w:rsid w:val="00031059"/>
    <w:rsid w:val="0004528D"/>
    <w:rsid w:val="000472AA"/>
    <w:rsid w:val="00054507"/>
    <w:rsid w:val="0006335D"/>
    <w:rsid w:val="000634F7"/>
    <w:rsid w:val="00067C79"/>
    <w:rsid w:val="000758B3"/>
    <w:rsid w:val="00076720"/>
    <w:rsid w:val="00076F26"/>
    <w:rsid w:val="000776D8"/>
    <w:rsid w:val="00084FF1"/>
    <w:rsid w:val="00094B0C"/>
    <w:rsid w:val="0009752C"/>
    <w:rsid w:val="000A6032"/>
    <w:rsid w:val="000A7C9D"/>
    <w:rsid w:val="000B4880"/>
    <w:rsid w:val="000B4903"/>
    <w:rsid w:val="000C1B51"/>
    <w:rsid w:val="000C1CC3"/>
    <w:rsid w:val="000D5C24"/>
    <w:rsid w:val="000E78CB"/>
    <w:rsid w:val="000F2B1D"/>
    <w:rsid w:val="000F3F11"/>
    <w:rsid w:val="000F4B9D"/>
    <w:rsid w:val="000F539F"/>
    <w:rsid w:val="001061F8"/>
    <w:rsid w:val="001134EA"/>
    <w:rsid w:val="00116E5A"/>
    <w:rsid w:val="0012459A"/>
    <w:rsid w:val="001360F9"/>
    <w:rsid w:val="00143866"/>
    <w:rsid w:val="001545CB"/>
    <w:rsid w:val="001563C6"/>
    <w:rsid w:val="00161C96"/>
    <w:rsid w:val="001642B5"/>
    <w:rsid w:val="001646D8"/>
    <w:rsid w:val="00166396"/>
    <w:rsid w:val="00166DE4"/>
    <w:rsid w:val="0017041C"/>
    <w:rsid w:val="0017345D"/>
    <w:rsid w:val="001765EB"/>
    <w:rsid w:val="00180DCE"/>
    <w:rsid w:val="00194935"/>
    <w:rsid w:val="0019653E"/>
    <w:rsid w:val="00196D00"/>
    <w:rsid w:val="001A0FA0"/>
    <w:rsid w:val="001A2573"/>
    <w:rsid w:val="001A36B9"/>
    <w:rsid w:val="001A70C8"/>
    <w:rsid w:val="001B4B13"/>
    <w:rsid w:val="001B7E7E"/>
    <w:rsid w:val="001C2467"/>
    <w:rsid w:val="001D77F8"/>
    <w:rsid w:val="001D7B8B"/>
    <w:rsid w:val="001E0622"/>
    <w:rsid w:val="001E4068"/>
    <w:rsid w:val="001E5041"/>
    <w:rsid w:val="001F0187"/>
    <w:rsid w:val="001F17B5"/>
    <w:rsid w:val="001F550E"/>
    <w:rsid w:val="001F7A4A"/>
    <w:rsid w:val="00204068"/>
    <w:rsid w:val="00204D27"/>
    <w:rsid w:val="00206FCB"/>
    <w:rsid w:val="002100BE"/>
    <w:rsid w:val="00211FC9"/>
    <w:rsid w:val="0021230E"/>
    <w:rsid w:val="0021253D"/>
    <w:rsid w:val="0021362E"/>
    <w:rsid w:val="002140F2"/>
    <w:rsid w:val="0022207B"/>
    <w:rsid w:val="00227CE0"/>
    <w:rsid w:val="0023056E"/>
    <w:rsid w:val="00231884"/>
    <w:rsid w:val="00236F72"/>
    <w:rsid w:val="00243B22"/>
    <w:rsid w:val="00261722"/>
    <w:rsid w:val="00267BFB"/>
    <w:rsid w:val="002755AD"/>
    <w:rsid w:val="0027562B"/>
    <w:rsid w:val="002765A7"/>
    <w:rsid w:val="00276AC7"/>
    <w:rsid w:val="00277E37"/>
    <w:rsid w:val="00292868"/>
    <w:rsid w:val="00292DF2"/>
    <w:rsid w:val="00294579"/>
    <w:rsid w:val="002A0A44"/>
    <w:rsid w:val="002A1229"/>
    <w:rsid w:val="002A3618"/>
    <w:rsid w:val="002B3F26"/>
    <w:rsid w:val="002D1289"/>
    <w:rsid w:val="002D1E8C"/>
    <w:rsid w:val="002D27E9"/>
    <w:rsid w:val="002D77EB"/>
    <w:rsid w:val="002F0E19"/>
    <w:rsid w:val="002F539A"/>
    <w:rsid w:val="002F7E2B"/>
    <w:rsid w:val="0030257B"/>
    <w:rsid w:val="003054A2"/>
    <w:rsid w:val="00307213"/>
    <w:rsid w:val="00313F6E"/>
    <w:rsid w:val="00320EFA"/>
    <w:rsid w:val="0032261E"/>
    <w:rsid w:val="003253A3"/>
    <w:rsid w:val="003261D1"/>
    <w:rsid w:val="003267B0"/>
    <w:rsid w:val="00333A67"/>
    <w:rsid w:val="00334DF2"/>
    <w:rsid w:val="00336135"/>
    <w:rsid w:val="00347BF1"/>
    <w:rsid w:val="0035104E"/>
    <w:rsid w:val="003515FF"/>
    <w:rsid w:val="00353B23"/>
    <w:rsid w:val="00354EB2"/>
    <w:rsid w:val="00363B1F"/>
    <w:rsid w:val="0036689B"/>
    <w:rsid w:val="0037044A"/>
    <w:rsid w:val="003727F1"/>
    <w:rsid w:val="00380FC6"/>
    <w:rsid w:val="00381C9A"/>
    <w:rsid w:val="00381FB3"/>
    <w:rsid w:val="003901BE"/>
    <w:rsid w:val="00391D3D"/>
    <w:rsid w:val="00392BCE"/>
    <w:rsid w:val="0039562F"/>
    <w:rsid w:val="003974EE"/>
    <w:rsid w:val="003A362D"/>
    <w:rsid w:val="003A3E64"/>
    <w:rsid w:val="003A4017"/>
    <w:rsid w:val="003A44B5"/>
    <w:rsid w:val="003B7773"/>
    <w:rsid w:val="003C5E8A"/>
    <w:rsid w:val="003E030F"/>
    <w:rsid w:val="003E6BDB"/>
    <w:rsid w:val="003F28EB"/>
    <w:rsid w:val="00400929"/>
    <w:rsid w:val="00402522"/>
    <w:rsid w:val="004036E5"/>
    <w:rsid w:val="00405B7D"/>
    <w:rsid w:val="0041138A"/>
    <w:rsid w:val="004160DE"/>
    <w:rsid w:val="00424539"/>
    <w:rsid w:val="00435EC6"/>
    <w:rsid w:val="00437641"/>
    <w:rsid w:val="00441D1C"/>
    <w:rsid w:val="00441F64"/>
    <w:rsid w:val="00447319"/>
    <w:rsid w:val="00451C1B"/>
    <w:rsid w:val="00452368"/>
    <w:rsid w:val="00456761"/>
    <w:rsid w:val="0046134F"/>
    <w:rsid w:val="004657F5"/>
    <w:rsid w:val="00466BED"/>
    <w:rsid w:val="00466EB8"/>
    <w:rsid w:val="004708D1"/>
    <w:rsid w:val="00471119"/>
    <w:rsid w:val="00476004"/>
    <w:rsid w:val="0047711A"/>
    <w:rsid w:val="004809EF"/>
    <w:rsid w:val="00482783"/>
    <w:rsid w:val="004903DC"/>
    <w:rsid w:val="00492B23"/>
    <w:rsid w:val="00495550"/>
    <w:rsid w:val="00496F42"/>
    <w:rsid w:val="004A2011"/>
    <w:rsid w:val="004A29CA"/>
    <w:rsid w:val="004A64C5"/>
    <w:rsid w:val="004B08A9"/>
    <w:rsid w:val="004B5865"/>
    <w:rsid w:val="004B5D4B"/>
    <w:rsid w:val="004C109D"/>
    <w:rsid w:val="004C110B"/>
    <w:rsid w:val="004D0047"/>
    <w:rsid w:val="004D46C7"/>
    <w:rsid w:val="004D6E8F"/>
    <w:rsid w:val="004F1CD8"/>
    <w:rsid w:val="004F2599"/>
    <w:rsid w:val="004F2CDF"/>
    <w:rsid w:val="00504F31"/>
    <w:rsid w:val="00505359"/>
    <w:rsid w:val="005066AD"/>
    <w:rsid w:val="00507816"/>
    <w:rsid w:val="00512C16"/>
    <w:rsid w:val="00512DF9"/>
    <w:rsid w:val="00514CDC"/>
    <w:rsid w:val="00514E53"/>
    <w:rsid w:val="00524A23"/>
    <w:rsid w:val="00527E3F"/>
    <w:rsid w:val="005306E5"/>
    <w:rsid w:val="0055310A"/>
    <w:rsid w:val="00556C83"/>
    <w:rsid w:val="00571255"/>
    <w:rsid w:val="005715BA"/>
    <w:rsid w:val="00572EE2"/>
    <w:rsid w:val="00590E3C"/>
    <w:rsid w:val="00592059"/>
    <w:rsid w:val="00596B27"/>
    <w:rsid w:val="00597D5E"/>
    <w:rsid w:val="005A0807"/>
    <w:rsid w:val="005A23FE"/>
    <w:rsid w:val="005A654F"/>
    <w:rsid w:val="005B029D"/>
    <w:rsid w:val="005C4B36"/>
    <w:rsid w:val="005C4D07"/>
    <w:rsid w:val="005D2F9B"/>
    <w:rsid w:val="005D54B6"/>
    <w:rsid w:val="005E1462"/>
    <w:rsid w:val="005E2755"/>
    <w:rsid w:val="005E65B5"/>
    <w:rsid w:val="00601612"/>
    <w:rsid w:val="006044E0"/>
    <w:rsid w:val="0060769A"/>
    <w:rsid w:val="006105D7"/>
    <w:rsid w:val="006106B9"/>
    <w:rsid w:val="006260D0"/>
    <w:rsid w:val="00641D39"/>
    <w:rsid w:val="00644775"/>
    <w:rsid w:val="006605A2"/>
    <w:rsid w:val="00667BCD"/>
    <w:rsid w:val="00670141"/>
    <w:rsid w:val="00672E77"/>
    <w:rsid w:val="006737CF"/>
    <w:rsid w:val="00674B29"/>
    <w:rsid w:val="006754FB"/>
    <w:rsid w:val="006812A5"/>
    <w:rsid w:val="00686718"/>
    <w:rsid w:val="00692F9F"/>
    <w:rsid w:val="0069510D"/>
    <w:rsid w:val="006953A1"/>
    <w:rsid w:val="00696B29"/>
    <w:rsid w:val="006B1D8E"/>
    <w:rsid w:val="006B417F"/>
    <w:rsid w:val="006C20D7"/>
    <w:rsid w:val="006C2A5C"/>
    <w:rsid w:val="006C635B"/>
    <w:rsid w:val="006D37E6"/>
    <w:rsid w:val="006F49B7"/>
    <w:rsid w:val="0070403A"/>
    <w:rsid w:val="007110DC"/>
    <w:rsid w:val="0072296F"/>
    <w:rsid w:val="007271B7"/>
    <w:rsid w:val="00734C56"/>
    <w:rsid w:val="00750AD0"/>
    <w:rsid w:val="007523F3"/>
    <w:rsid w:val="00752AA4"/>
    <w:rsid w:val="00761FA2"/>
    <w:rsid w:val="00774E32"/>
    <w:rsid w:val="00796BBE"/>
    <w:rsid w:val="007A6B09"/>
    <w:rsid w:val="007A7992"/>
    <w:rsid w:val="007B0349"/>
    <w:rsid w:val="007C1D6C"/>
    <w:rsid w:val="007E41B8"/>
    <w:rsid w:val="007E52DC"/>
    <w:rsid w:val="007E7FD1"/>
    <w:rsid w:val="007F13EA"/>
    <w:rsid w:val="007F6B38"/>
    <w:rsid w:val="008047DE"/>
    <w:rsid w:val="008053C8"/>
    <w:rsid w:val="008078B0"/>
    <w:rsid w:val="00826D82"/>
    <w:rsid w:val="0083450A"/>
    <w:rsid w:val="008352DA"/>
    <w:rsid w:val="00844D42"/>
    <w:rsid w:val="00847A25"/>
    <w:rsid w:val="00847B62"/>
    <w:rsid w:val="008511E7"/>
    <w:rsid w:val="008525FA"/>
    <w:rsid w:val="00853A42"/>
    <w:rsid w:val="008724E8"/>
    <w:rsid w:val="00877A1B"/>
    <w:rsid w:val="00877CF0"/>
    <w:rsid w:val="00882267"/>
    <w:rsid w:val="00884AE3"/>
    <w:rsid w:val="00893BA7"/>
    <w:rsid w:val="008958FD"/>
    <w:rsid w:val="008A0DD1"/>
    <w:rsid w:val="008A2319"/>
    <w:rsid w:val="008B0E11"/>
    <w:rsid w:val="008B5672"/>
    <w:rsid w:val="008B64FE"/>
    <w:rsid w:val="008C041E"/>
    <w:rsid w:val="008C0585"/>
    <w:rsid w:val="008C26D2"/>
    <w:rsid w:val="008C3C38"/>
    <w:rsid w:val="008D1C80"/>
    <w:rsid w:val="008D1DA5"/>
    <w:rsid w:val="008D3ACA"/>
    <w:rsid w:val="008D59AB"/>
    <w:rsid w:val="008D5CFA"/>
    <w:rsid w:val="008D650F"/>
    <w:rsid w:val="008D6700"/>
    <w:rsid w:val="008D6D38"/>
    <w:rsid w:val="008E1E93"/>
    <w:rsid w:val="008E3B02"/>
    <w:rsid w:val="008E3F1F"/>
    <w:rsid w:val="008E3FD0"/>
    <w:rsid w:val="008E4A3C"/>
    <w:rsid w:val="008E4B30"/>
    <w:rsid w:val="008F0587"/>
    <w:rsid w:val="008F1B56"/>
    <w:rsid w:val="008F6540"/>
    <w:rsid w:val="008F6B4E"/>
    <w:rsid w:val="008F6B92"/>
    <w:rsid w:val="00901AD9"/>
    <w:rsid w:val="00923CA1"/>
    <w:rsid w:val="00933C82"/>
    <w:rsid w:val="00943234"/>
    <w:rsid w:val="0096095B"/>
    <w:rsid w:val="009615FC"/>
    <w:rsid w:val="009665F1"/>
    <w:rsid w:val="009670CE"/>
    <w:rsid w:val="00975072"/>
    <w:rsid w:val="00975974"/>
    <w:rsid w:val="009762C8"/>
    <w:rsid w:val="00976CF1"/>
    <w:rsid w:val="00981DCA"/>
    <w:rsid w:val="00984566"/>
    <w:rsid w:val="00987A96"/>
    <w:rsid w:val="00990ABF"/>
    <w:rsid w:val="00990BE1"/>
    <w:rsid w:val="00991182"/>
    <w:rsid w:val="009943BA"/>
    <w:rsid w:val="009953F3"/>
    <w:rsid w:val="0099768E"/>
    <w:rsid w:val="009A0341"/>
    <w:rsid w:val="009A0651"/>
    <w:rsid w:val="009B3AEC"/>
    <w:rsid w:val="009B3CFA"/>
    <w:rsid w:val="009B7A44"/>
    <w:rsid w:val="009C09B2"/>
    <w:rsid w:val="009C3FE5"/>
    <w:rsid w:val="009E0C8D"/>
    <w:rsid w:val="009E206B"/>
    <w:rsid w:val="009E278E"/>
    <w:rsid w:val="009E6DDA"/>
    <w:rsid w:val="009F5CD2"/>
    <w:rsid w:val="00A02439"/>
    <w:rsid w:val="00A03EF9"/>
    <w:rsid w:val="00A07E1B"/>
    <w:rsid w:val="00A12B22"/>
    <w:rsid w:val="00A16E65"/>
    <w:rsid w:val="00A22D5F"/>
    <w:rsid w:val="00A23A12"/>
    <w:rsid w:val="00A30B3B"/>
    <w:rsid w:val="00A33394"/>
    <w:rsid w:val="00A3636C"/>
    <w:rsid w:val="00A46A2E"/>
    <w:rsid w:val="00A47879"/>
    <w:rsid w:val="00A52E38"/>
    <w:rsid w:val="00A5453A"/>
    <w:rsid w:val="00A5666E"/>
    <w:rsid w:val="00A6147B"/>
    <w:rsid w:val="00A62901"/>
    <w:rsid w:val="00A66598"/>
    <w:rsid w:val="00A666B1"/>
    <w:rsid w:val="00A70A42"/>
    <w:rsid w:val="00A82715"/>
    <w:rsid w:val="00A914F8"/>
    <w:rsid w:val="00A91F27"/>
    <w:rsid w:val="00A9495E"/>
    <w:rsid w:val="00A96314"/>
    <w:rsid w:val="00A9678D"/>
    <w:rsid w:val="00A9743D"/>
    <w:rsid w:val="00AA4869"/>
    <w:rsid w:val="00AC02F7"/>
    <w:rsid w:val="00AC2DBD"/>
    <w:rsid w:val="00AC3A8F"/>
    <w:rsid w:val="00AC7054"/>
    <w:rsid w:val="00AD414B"/>
    <w:rsid w:val="00AE0971"/>
    <w:rsid w:val="00AE16B5"/>
    <w:rsid w:val="00AE2BE7"/>
    <w:rsid w:val="00AF3468"/>
    <w:rsid w:val="00B001F0"/>
    <w:rsid w:val="00B06C78"/>
    <w:rsid w:val="00B076D6"/>
    <w:rsid w:val="00B14A32"/>
    <w:rsid w:val="00B1728E"/>
    <w:rsid w:val="00B25E1D"/>
    <w:rsid w:val="00B42552"/>
    <w:rsid w:val="00B43F00"/>
    <w:rsid w:val="00B5142F"/>
    <w:rsid w:val="00B51A59"/>
    <w:rsid w:val="00B51A9C"/>
    <w:rsid w:val="00B51AAD"/>
    <w:rsid w:val="00B53F89"/>
    <w:rsid w:val="00B6058B"/>
    <w:rsid w:val="00B61310"/>
    <w:rsid w:val="00B647A3"/>
    <w:rsid w:val="00B67C47"/>
    <w:rsid w:val="00B70C43"/>
    <w:rsid w:val="00B730C3"/>
    <w:rsid w:val="00B739D6"/>
    <w:rsid w:val="00B758E3"/>
    <w:rsid w:val="00B77205"/>
    <w:rsid w:val="00B809B8"/>
    <w:rsid w:val="00B8506F"/>
    <w:rsid w:val="00B85481"/>
    <w:rsid w:val="00B85609"/>
    <w:rsid w:val="00B901FE"/>
    <w:rsid w:val="00B951C8"/>
    <w:rsid w:val="00B9685B"/>
    <w:rsid w:val="00BA0FA6"/>
    <w:rsid w:val="00BA41C0"/>
    <w:rsid w:val="00BA55AD"/>
    <w:rsid w:val="00BA6DA2"/>
    <w:rsid w:val="00BB20E1"/>
    <w:rsid w:val="00BB2A3A"/>
    <w:rsid w:val="00BB31E8"/>
    <w:rsid w:val="00BB4558"/>
    <w:rsid w:val="00BB68B3"/>
    <w:rsid w:val="00BC0A7C"/>
    <w:rsid w:val="00BC3F44"/>
    <w:rsid w:val="00BD078F"/>
    <w:rsid w:val="00BD0EEE"/>
    <w:rsid w:val="00BD3585"/>
    <w:rsid w:val="00BD4D33"/>
    <w:rsid w:val="00BF01D2"/>
    <w:rsid w:val="00BF63F3"/>
    <w:rsid w:val="00C01BBF"/>
    <w:rsid w:val="00C103F3"/>
    <w:rsid w:val="00C13041"/>
    <w:rsid w:val="00C15AF8"/>
    <w:rsid w:val="00C22966"/>
    <w:rsid w:val="00C24E0D"/>
    <w:rsid w:val="00C26BE2"/>
    <w:rsid w:val="00C26C0F"/>
    <w:rsid w:val="00C340D9"/>
    <w:rsid w:val="00C35D44"/>
    <w:rsid w:val="00C41621"/>
    <w:rsid w:val="00C43577"/>
    <w:rsid w:val="00C4426A"/>
    <w:rsid w:val="00C454F6"/>
    <w:rsid w:val="00C5646D"/>
    <w:rsid w:val="00C6751E"/>
    <w:rsid w:val="00C7419F"/>
    <w:rsid w:val="00C8604E"/>
    <w:rsid w:val="00C94D93"/>
    <w:rsid w:val="00CA11F6"/>
    <w:rsid w:val="00CB0439"/>
    <w:rsid w:val="00CC550A"/>
    <w:rsid w:val="00CC5A04"/>
    <w:rsid w:val="00CD3868"/>
    <w:rsid w:val="00CE1CCE"/>
    <w:rsid w:val="00CE24CA"/>
    <w:rsid w:val="00CE7969"/>
    <w:rsid w:val="00D0240D"/>
    <w:rsid w:val="00D042D4"/>
    <w:rsid w:val="00D04BC4"/>
    <w:rsid w:val="00D06798"/>
    <w:rsid w:val="00D10F2B"/>
    <w:rsid w:val="00D1569D"/>
    <w:rsid w:val="00D177AC"/>
    <w:rsid w:val="00D23B99"/>
    <w:rsid w:val="00D2544B"/>
    <w:rsid w:val="00D268B0"/>
    <w:rsid w:val="00D311B7"/>
    <w:rsid w:val="00D32454"/>
    <w:rsid w:val="00D33102"/>
    <w:rsid w:val="00D4340E"/>
    <w:rsid w:val="00D54492"/>
    <w:rsid w:val="00D57AAF"/>
    <w:rsid w:val="00D73A85"/>
    <w:rsid w:val="00D75815"/>
    <w:rsid w:val="00D76142"/>
    <w:rsid w:val="00D76AAF"/>
    <w:rsid w:val="00D770F7"/>
    <w:rsid w:val="00D8404F"/>
    <w:rsid w:val="00D91A80"/>
    <w:rsid w:val="00D91C6A"/>
    <w:rsid w:val="00D921E0"/>
    <w:rsid w:val="00D93E40"/>
    <w:rsid w:val="00DA7941"/>
    <w:rsid w:val="00DB4AB6"/>
    <w:rsid w:val="00DC300E"/>
    <w:rsid w:val="00DC4E67"/>
    <w:rsid w:val="00DC66A3"/>
    <w:rsid w:val="00DC71D8"/>
    <w:rsid w:val="00DD3840"/>
    <w:rsid w:val="00DE4DB1"/>
    <w:rsid w:val="00DE7940"/>
    <w:rsid w:val="00DF171E"/>
    <w:rsid w:val="00DF6158"/>
    <w:rsid w:val="00E03641"/>
    <w:rsid w:val="00E06D9D"/>
    <w:rsid w:val="00E14D99"/>
    <w:rsid w:val="00E26D7E"/>
    <w:rsid w:val="00E30022"/>
    <w:rsid w:val="00E3246F"/>
    <w:rsid w:val="00E336FB"/>
    <w:rsid w:val="00E33AC2"/>
    <w:rsid w:val="00E441C8"/>
    <w:rsid w:val="00E529B4"/>
    <w:rsid w:val="00E60126"/>
    <w:rsid w:val="00E714F2"/>
    <w:rsid w:val="00E7273D"/>
    <w:rsid w:val="00E815DE"/>
    <w:rsid w:val="00E83DE4"/>
    <w:rsid w:val="00E9097B"/>
    <w:rsid w:val="00E91A9A"/>
    <w:rsid w:val="00E92671"/>
    <w:rsid w:val="00EA168D"/>
    <w:rsid w:val="00EA17E9"/>
    <w:rsid w:val="00EA1843"/>
    <w:rsid w:val="00EA35E6"/>
    <w:rsid w:val="00EA4473"/>
    <w:rsid w:val="00EA4544"/>
    <w:rsid w:val="00EA6127"/>
    <w:rsid w:val="00EB0001"/>
    <w:rsid w:val="00EB7036"/>
    <w:rsid w:val="00EB787C"/>
    <w:rsid w:val="00EC2838"/>
    <w:rsid w:val="00EC6F5B"/>
    <w:rsid w:val="00EC7C28"/>
    <w:rsid w:val="00ED13E7"/>
    <w:rsid w:val="00ED198D"/>
    <w:rsid w:val="00ED3EC0"/>
    <w:rsid w:val="00ED68FD"/>
    <w:rsid w:val="00ED6D5B"/>
    <w:rsid w:val="00EE259A"/>
    <w:rsid w:val="00EE4B29"/>
    <w:rsid w:val="00EE5A68"/>
    <w:rsid w:val="00EE6636"/>
    <w:rsid w:val="00EF193F"/>
    <w:rsid w:val="00EF1DB9"/>
    <w:rsid w:val="00EF2227"/>
    <w:rsid w:val="00EF2627"/>
    <w:rsid w:val="00EF2664"/>
    <w:rsid w:val="00EF6267"/>
    <w:rsid w:val="00F022B4"/>
    <w:rsid w:val="00F035CF"/>
    <w:rsid w:val="00F05394"/>
    <w:rsid w:val="00F10DB5"/>
    <w:rsid w:val="00F11326"/>
    <w:rsid w:val="00F214BE"/>
    <w:rsid w:val="00F21744"/>
    <w:rsid w:val="00F23A20"/>
    <w:rsid w:val="00F25765"/>
    <w:rsid w:val="00F27ED4"/>
    <w:rsid w:val="00F32798"/>
    <w:rsid w:val="00F352B0"/>
    <w:rsid w:val="00F40B73"/>
    <w:rsid w:val="00F41D27"/>
    <w:rsid w:val="00F45B6B"/>
    <w:rsid w:val="00F47023"/>
    <w:rsid w:val="00F540B3"/>
    <w:rsid w:val="00F61C6E"/>
    <w:rsid w:val="00F66424"/>
    <w:rsid w:val="00F73AA2"/>
    <w:rsid w:val="00F73F3A"/>
    <w:rsid w:val="00F8373D"/>
    <w:rsid w:val="00F85927"/>
    <w:rsid w:val="00F90D34"/>
    <w:rsid w:val="00F93D95"/>
    <w:rsid w:val="00FA1C49"/>
    <w:rsid w:val="00FA2869"/>
    <w:rsid w:val="00FA4B93"/>
    <w:rsid w:val="00FA5EE0"/>
    <w:rsid w:val="00FA65B7"/>
    <w:rsid w:val="00FA6DDA"/>
    <w:rsid w:val="00FA7B07"/>
    <w:rsid w:val="00FB6230"/>
    <w:rsid w:val="00FC0B08"/>
    <w:rsid w:val="00FC131E"/>
    <w:rsid w:val="00FC1955"/>
    <w:rsid w:val="00FC3955"/>
    <w:rsid w:val="00FC64B3"/>
    <w:rsid w:val="00FC7D66"/>
    <w:rsid w:val="00FD004B"/>
    <w:rsid w:val="00FD0E29"/>
    <w:rsid w:val="00FD3E80"/>
    <w:rsid w:val="00FD4106"/>
    <w:rsid w:val="00FD7C48"/>
    <w:rsid w:val="00FF58DC"/>
    <w:rsid w:val="00FF5B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4:docId w14:val="5A5074FF"/>
  <w15:docId w15:val="{C5ADE1AF-4379-420E-A468-1B0D8F58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20" w:lineRule="exact"/>
        <w:ind w:left="1134" w:hanging="1134"/>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92F9F"/>
    <w:pPr>
      <w:spacing w:after="0" w:line="240" w:lineRule="auto"/>
      <w:ind w:left="0" w:firstLine="0"/>
    </w:pPr>
    <w:rPr>
      <w:rFonts w:ascii="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ChG">
    <w:name w:val="_ H _Ch_G"/>
    <w:basedOn w:val="Normal"/>
    <w:next w:val="Normal"/>
    <w:link w:val="HChGChar"/>
    <w:qFormat/>
    <w:rsid w:val="00EF193F"/>
    <w:pPr>
      <w:keepNext/>
      <w:keepLines/>
      <w:tabs>
        <w:tab w:val="right" w:pos="851"/>
      </w:tabs>
      <w:suppressAutoHyphens/>
      <w:spacing w:before="360" w:after="240" w:line="300" w:lineRule="exact"/>
      <w:ind w:left="1134" w:right="1134" w:hanging="1134"/>
    </w:pPr>
    <w:rPr>
      <w:rFonts w:eastAsiaTheme="minorEastAsia"/>
      <w:b/>
      <w:sz w:val="28"/>
      <w:szCs w:val="20"/>
      <w:lang w:val="fr-CH" w:eastAsia="en-US"/>
    </w:rPr>
  </w:style>
  <w:style w:type="paragraph" w:customStyle="1" w:styleId="H1G">
    <w:name w:val="_ H_1_G"/>
    <w:basedOn w:val="Normal"/>
    <w:next w:val="Normal"/>
    <w:link w:val="H1GChar"/>
    <w:qFormat/>
    <w:rsid w:val="00EF193F"/>
    <w:pPr>
      <w:keepNext/>
      <w:keepLines/>
      <w:tabs>
        <w:tab w:val="right" w:pos="851"/>
      </w:tabs>
      <w:suppressAutoHyphens/>
      <w:spacing w:before="360" w:after="240" w:line="270" w:lineRule="exact"/>
      <w:ind w:left="1134" w:right="1134" w:hanging="1134"/>
    </w:pPr>
    <w:rPr>
      <w:rFonts w:eastAsiaTheme="minorEastAsia"/>
      <w:b/>
      <w:szCs w:val="20"/>
      <w:lang w:val="fr-CH" w:eastAsia="en-US"/>
    </w:rPr>
  </w:style>
  <w:style w:type="paragraph" w:customStyle="1" w:styleId="H23G">
    <w:name w:val="_ H_2/3_G"/>
    <w:basedOn w:val="Normal"/>
    <w:next w:val="Normal"/>
    <w:link w:val="H23GChar"/>
    <w:qFormat/>
    <w:rsid w:val="00EF193F"/>
    <w:pPr>
      <w:keepNext/>
      <w:keepLines/>
      <w:tabs>
        <w:tab w:val="right" w:pos="851"/>
      </w:tabs>
      <w:suppressAutoHyphens/>
      <w:spacing w:before="240" w:after="120" w:line="240" w:lineRule="exact"/>
      <w:ind w:left="1134" w:right="1134" w:hanging="1134"/>
    </w:pPr>
    <w:rPr>
      <w:rFonts w:eastAsiaTheme="minorEastAsia"/>
      <w:b/>
      <w:sz w:val="20"/>
      <w:szCs w:val="20"/>
      <w:lang w:val="fr-CH" w:eastAsia="en-US"/>
    </w:rPr>
  </w:style>
  <w:style w:type="paragraph" w:customStyle="1" w:styleId="SingleTxtG">
    <w:name w:val="_ Single Txt_G"/>
    <w:basedOn w:val="Normal"/>
    <w:link w:val="SingleTxtGCar"/>
    <w:qFormat/>
    <w:rsid w:val="00EF193F"/>
    <w:pPr>
      <w:suppressAutoHyphens/>
      <w:spacing w:after="120" w:line="240" w:lineRule="atLeast"/>
      <w:ind w:left="1134" w:right="1134"/>
      <w:jc w:val="both"/>
    </w:pPr>
    <w:rPr>
      <w:rFonts w:eastAsiaTheme="minorEastAsia"/>
      <w:sz w:val="20"/>
      <w:szCs w:val="20"/>
      <w:lang w:val="fr-CH" w:eastAsia="en-US"/>
    </w:rPr>
  </w:style>
  <w:style w:type="character" w:styleId="Appelnotedebasdep">
    <w:name w:val="footnote reference"/>
    <w:aliases w:val="4_G"/>
    <w:qFormat/>
    <w:rsid w:val="00EF193F"/>
    <w:rPr>
      <w:rFonts w:ascii="Times New Roman" w:hAnsi="Times New Roman"/>
      <w:sz w:val="18"/>
      <w:vertAlign w:val="superscript"/>
      <w:lang w:val="fr-CH"/>
    </w:rPr>
  </w:style>
  <w:style w:type="paragraph" w:styleId="Notedebasdepage">
    <w:name w:val="footnote text"/>
    <w:aliases w:val="5_G"/>
    <w:basedOn w:val="Normal"/>
    <w:link w:val="NotedebasdepageCar"/>
    <w:qFormat/>
    <w:rsid w:val="00EF193F"/>
    <w:pPr>
      <w:tabs>
        <w:tab w:val="right" w:pos="1021"/>
      </w:tabs>
      <w:suppressAutoHyphens/>
      <w:spacing w:line="220" w:lineRule="exact"/>
      <w:ind w:left="1134" w:right="1134" w:hanging="1134"/>
    </w:pPr>
    <w:rPr>
      <w:rFonts w:eastAsiaTheme="minorEastAsia"/>
      <w:sz w:val="18"/>
      <w:szCs w:val="20"/>
      <w:lang w:val="fr-CH" w:eastAsia="en-US"/>
    </w:rPr>
  </w:style>
  <w:style w:type="character" w:customStyle="1" w:styleId="NotedebasdepageCar">
    <w:name w:val="Note de bas de page Car"/>
    <w:aliases w:val="5_G Car"/>
    <w:basedOn w:val="Policepardfaut"/>
    <w:link w:val="Notedebasdepage"/>
    <w:rsid w:val="00EF193F"/>
    <w:rPr>
      <w:rFonts w:ascii="Times New Roman" w:eastAsiaTheme="minorEastAsia" w:hAnsi="Times New Roman" w:cs="Times New Roman"/>
      <w:sz w:val="18"/>
      <w:szCs w:val="20"/>
      <w:lang w:val="fr-CH"/>
    </w:rPr>
  </w:style>
  <w:style w:type="character" w:customStyle="1" w:styleId="HChGChar">
    <w:name w:val="_ H _Ch_G Char"/>
    <w:link w:val="HChG"/>
    <w:locked/>
    <w:rsid w:val="00EF193F"/>
    <w:rPr>
      <w:rFonts w:ascii="Times New Roman" w:eastAsiaTheme="minorEastAsia" w:hAnsi="Times New Roman" w:cs="Times New Roman"/>
      <w:b/>
      <w:sz w:val="28"/>
      <w:szCs w:val="20"/>
      <w:lang w:val="fr-CH"/>
    </w:rPr>
  </w:style>
  <w:style w:type="character" w:customStyle="1" w:styleId="H23GChar">
    <w:name w:val="_ H_2/3_G Char"/>
    <w:link w:val="H23G"/>
    <w:locked/>
    <w:rsid w:val="00EF193F"/>
    <w:rPr>
      <w:rFonts w:ascii="Times New Roman" w:eastAsiaTheme="minorEastAsia" w:hAnsi="Times New Roman" w:cs="Times New Roman"/>
      <w:b/>
      <w:sz w:val="20"/>
      <w:szCs w:val="20"/>
      <w:lang w:val="fr-CH"/>
    </w:rPr>
  </w:style>
  <w:style w:type="character" w:customStyle="1" w:styleId="SingleTxtGCar">
    <w:name w:val="_ Single Txt_G Car"/>
    <w:link w:val="SingleTxtG"/>
    <w:rsid w:val="00EF193F"/>
    <w:rPr>
      <w:rFonts w:ascii="Times New Roman" w:eastAsiaTheme="minorEastAsia" w:hAnsi="Times New Roman" w:cs="Times New Roman"/>
      <w:sz w:val="20"/>
      <w:szCs w:val="20"/>
      <w:lang w:val="fr-CH"/>
    </w:rPr>
  </w:style>
  <w:style w:type="character" w:customStyle="1" w:styleId="H1GChar">
    <w:name w:val="_ H_1_G Char"/>
    <w:link w:val="H1G"/>
    <w:locked/>
    <w:rsid w:val="00EF193F"/>
    <w:rPr>
      <w:rFonts w:ascii="Times New Roman" w:eastAsiaTheme="minorEastAsia" w:hAnsi="Times New Roman" w:cs="Times New Roman"/>
      <w:b/>
      <w:sz w:val="24"/>
      <w:szCs w:val="20"/>
      <w:lang w:val="fr-CH"/>
    </w:rPr>
  </w:style>
  <w:style w:type="paragraph" w:customStyle="1" w:styleId="ParNoG">
    <w:name w:val="_ParNo_G"/>
    <w:basedOn w:val="Normal"/>
    <w:qFormat/>
    <w:rsid w:val="00EF193F"/>
    <w:pPr>
      <w:numPr>
        <w:numId w:val="1"/>
      </w:numPr>
      <w:suppressAutoHyphens/>
      <w:kinsoku w:val="0"/>
      <w:overflowPunct w:val="0"/>
      <w:autoSpaceDE w:val="0"/>
      <w:autoSpaceDN w:val="0"/>
      <w:adjustRightInd w:val="0"/>
      <w:snapToGrid w:val="0"/>
      <w:spacing w:after="120" w:line="240" w:lineRule="atLeast"/>
      <w:ind w:right="1134"/>
      <w:jc w:val="both"/>
    </w:pPr>
    <w:rPr>
      <w:sz w:val="20"/>
      <w:szCs w:val="20"/>
      <w:lang w:val="fr-CH" w:eastAsia="en-US"/>
    </w:rPr>
  </w:style>
  <w:style w:type="character" w:styleId="Marquedecommentaire">
    <w:name w:val="annotation reference"/>
    <w:basedOn w:val="Policepardfaut"/>
    <w:uiPriority w:val="99"/>
    <w:semiHidden/>
    <w:unhideWhenUsed/>
    <w:rsid w:val="00EF193F"/>
    <w:rPr>
      <w:sz w:val="16"/>
      <w:szCs w:val="16"/>
    </w:rPr>
  </w:style>
  <w:style w:type="paragraph" w:styleId="Commentaire">
    <w:name w:val="annotation text"/>
    <w:basedOn w:val="Normal"/>
    <w:link w:val="CommentaireCar"/>
    <w:uiPriority w:val="99"/>
    <w:semiHidden/>
    <w:unhideWhenUsed/>
    <w:rsid w:val="00EF193F"/>
  </w:style>
  <w:style w:type="character" w:customStyle="1" w:styleId="CommentaireCar">
    <w:name w:val="Commentaire Car"/>
    <w:basedOn w:val="Policepardfaut"/>
    <w:link w:val="Commentaire"/>
    <w:uiPriority w:val="99"/>
    <w:semiHidden/>
    <w:rsid w:val="00EF193F"/>
    <w:rPr>
      <w:rFonts w:ascii="Times New Roman" w:eastAsiaTheme="minorEastAsia" w:hAnsi="Times New Roman" w:cs="Times New Roman"/>
      <w:sz w:val="20"/>
      <w:szCs w:val="20"/>
      <w:lang w:val="fr-CH"/>
    </w:rPr>
  </w:style>
  <w:style w:type="paragraph" w:styleId="Textedebulles">
    <w:name w:val="Balloon Text"/>
    <w:basedOn w:val="Normal"/>
    <w:link w:val="TextedebullesCar"/>
    <w:uiPriority w:val="99"/>
    <w:semiHidden/>
    <w:unhideWhenUsed/>
    <w:rsid w:val="00EF193F"/>
    <w:rPr>
      <w:rFonts w:ascii="Tahoma" w:hAnsi="Tahoma" w:cs="Tahoma"/>
      <w:sz w:val="16"/>
      <w:szCs w:val="16"/>
    </w:rPr>
  </w:style>
  <w:style w:type="character" w:customStyle="1" w:styleId="TextedebullesCar">
    <w:name w:val="Texte de bulles Car"/>
    <w:basedOn w:val="Policepardfaut"/>
    <w:link w:val="Textedebulles"/>
    <w:uiPriority w:val="99"/>
    <w:semiHidden/>
    <w:rsid w:val="00EF193F"/>
    <w:rPr>
      <w:rFonts w:ascii="Tahoma" w:eastAsiaTheme="minorEastAsia" w:hAnsi="Tahoma" w:cs="Tahoma"/>
      <w:sz w:val="16"/>
      <w:szCs w:val="16"/>
      <w:lang w:val="fr-CH"/>
    </w:rPr>
  </w:style>
  <w:style w:type="paragraph" w:styleId="En-tte">
    <w:name w:val="header"/>
    <w:aliases w:val="6_G"/>
    <w:basedOn w:val="Normal"/>
    <w:link w:val="En-tteCar"/>
    <w:unhideWhenUsed/>
    <w:qFormat/>
    <w:rsid w:val="009615FC"/>
    <w:pPr>
      <w:tabs>
        <w:tab w:val="center" w:pos="4513"/>
        <w:tab w:val="right" w:pos="9026"/>
      </w:tabs>
      <w:suppressAutoHyphens/>
    </w:pPr>
    <w:rPr>
      <w:rFonts w:eastAsiaTheme="minorEastAsia"/>
      <w:sz w:val="20"/>
      <w:szCs w:val="20"/>
      <w:lang w:val="fr-CH" w:eastAsia="en-US"/>
    </w:rPr>
  </w:style>
  <w:style w:type="character" w:customStyle="1" w:styleId="En-tteCar">
    <w:name w:val="En-tête Car"/>
    <w:aliases w:val="6_G Car"/>
    <w:basedOn w:val="Policepardfaut"/>
    <w:link w:val="En-tte"/>
    <w:rsid w:val="009615FC"/>
    <w:rPr>
      <w:rFonts w:ascii="Times New Roman" w:eastAsiaTheme="minorEastAsia" w:hAnsi="Times New Roman" w:cs="Times New Roman"/>
      <w:sz w:val="20"/>
      <w:szCs w:val="20"/>
      <w:lang w:val="fr-CH"/>
    </w:rPr>
  </w:style>
  <w:style w:type="paragraph" w:styleId="Pieddepage">
    <w:name w:val="footer"/>
    <w:aliases w:val="3_G"/>
    <w:basedOn w:val="Normal"/>
    <w:link w:val="PieddepageCar"/>
    <w:uiPriority w:val="99"/>
    <w:unhideWhenUsed/>
    <w:rsid w:val="009615FC"/>
    <w:pPr>
      <w:tabs>
        <w:tab w:val="center" w:pos="4513"/>
        <w:tab w:val="right" w:pos="9026"/>
      </w:tabs>
      <w:suppressAutoHyphens/>
    </w:pPr>
    <w:rPr>
      <w:rFonts w:eastAsiaTheme="minorEastAsia"/>
      <w:sz w:val="20"/>
      <w:szCs w:val="20"/>
      <w:lang w:val="fr-CH" w:eastAsia="en-US"/>
    </w:rPr>
  </w:style>
  <w:style w:type="character" w:customStyle="1" w:styleId="PieddepageCar">
    <w:name w:val="Pied de page Car"/>
    <w:aliases w:val="3_G Car"/>
    <w:basedOn w:val="Policepardfaut"/>
    <w:link w:val="Pieddepage"/>
    <w:uiPriority w:val="99"/>
    <w:rsid w:val="009615FC"/>
    <w:rPr>
      <w:rFonts w:ascii="Times New Roman" w:eastAsiaTheme="minorEastAsia" w:hAnsi="Times New Roman" w:cs="Times New Roman"/>
      <w:sz w:val="20"/>
      <w:szCs w:val="20"/>
      <w:lang w:val="fr-CH"/>
    </w:rPr>
  </w:style>
  <w:style w:type="paragraph" w:styleId="NormalWeb">
    <w:name w:val="Normal (Web)"/>
    <w:basedOn w:val="Normal"/>
    <w:uiPriority w:val="99"/>
    <w:unhideWhenUsed/>
    <w:rsid w:val="00EA4473"/>
    <w:pPr>
      <w:spacing w:before="100" w:beforeAutospacing="1" w:after="100" w:afterAutospacing="1"/>
    </w:pPr>
    <w:rPr>
      <w:rFonts w:eastAsia="Times New Roman"/>
      <w:lang w:val="en-GB" w:eastAsia="en-GB"/>
    </w:rPr>
  </w:style>
  <w:style w:type="paragraph" w:customStyle="1" w:styleId="HMG">
    <w:name w:val="_ H __M_G"/>
    <w:basedOn w:val="Normal"/>
    <w:next w:val="Normal"/>
    <w:qFormat/>
    <w:rsid w:val="00990BE1"/>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b/>
      <w:sz w:val="34"/>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93894">
      <w:bodyDiv w:val="1"/>
      <w:marLeft w:val="0"/>
      <w:marRight w:val="0"/>
      <w:marTop w:val="0"/>
      <w:marBottom w:val="0"/>
      <w:divBdr>
        <w:top w:val="none" w:sz="0" w:space="0" w:color="auto"/>
        <w:left w:val="none" w:sz="0" w:space="0" w:color="auto"/>
        <w:bottom w:val="none" w:sz="0" w:space="0" w:color="auto"/>
        <w:right w:val="none" w:sz="0" w:space="0" w:color="auto"/>
      </w:divBdr>
    </w:div>
    <w:div w:id="211107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5D524-3949-462E-BDAB-1B1C7266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5587</Words>
  <Characters>30565</Characters>
  <Application>Microsoft Office Word</Application>
  <DocSecurity>0</DocSecurity>
  <Lines>436</Lines>
  <Paragraphs>65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CCPR/C/GIN/CO/3</vt:lpstr>
      <vt:lpstr>CCPR/C/GIN/CO/R.3</vt:lpstr>
      <vt:lpstr>CCPR/C/CMR/CO/R.5</vt:lpstr>
    </vt:vector>
  </TitlesOfParts>
  <Company>OHCHR</Company>
  <LinksUpToDate>false</LinksUpToDate>
  <CharactersWithSpaces>36087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CCPR/C/GIN/CO/3</dc:title>
  <dc:subject>qrcode</dc:subject>
  <dc:creator>dvx</dc:creator>
  <cp:keywords/>
  <dc:description/>
  <cp:lastModifiedBy>Christine Devouassoux</cp:lastModifiedBy>
  <cp:revision>3</cp:revision>
  <cp:lastPrinted>2018-12-06T16:28:00Z</cp:lastPrinted>
  <dcterms:created xsi:type="dcterms:W3CDTF">2018-12-06T16:28:00Z</dcterms:created>
  <dcterms:modified xsi:type="dcterms:W3CDTF">2018-12-06T16:28:00Z</dcterms:modified>
</cp:coreProperties>
</file>