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framePr w:w="4025" w:h="2075" w:hSpace="180" w:wrap="around" w:vAnchor="text" w:hAnchor="page" w:x="851" w:y="-2399" w:anchorLock="1"/>
        <w:bidi w:val="0"/>
        <w:spacing w:before="0" w:after="0"/>
        <w:jc w:val="left"/>
        <w:rPr>
          <w:rFonts w:cs="Times New Roman"/>
          <w:szCs w:val="22"/>
          <w:lang w:eastAsia="en-US"/>
        </w:rPr>
      </w:pPr>
      <w:r>
        <w:rPr>
          <w:rFonts w:cs="Times New Roman"/>
          <w:szCs w:val="22"/>
          <w:lang w:eastAsia="en-US"/>
        </w:rPr>
        <w:t>Distr.</w:t>
      </w:r>
    </w:p>
    <w:p w:rsidR="00000000" w:rsidRDefault="00000000">
      <w:pPr>
        <w:framePr w:w="4025" w:h="2075" w:hSpace="180" w:wrap="around" w:vAnchor="text" w:hAnchor="page" w:x="851" w:y="-2399" w:anchorLock="1"/>
        <w:bidi w:val="0"/>
        <w:spacing w:before="0"/>
        <w:jc w:val="left"/>
        <w:rPr>
          <w:rFonts w:cs="Times New Roman"/>
          <w:szCs w:val="22"/>
          <w:lang w:eastAsia="en-US"/>
        </w:rPr>
      </w:pPr>
      <w:r>
        <w:rPr>
          <w:rFonts w:cs="Times New Roman"/>
          <w:szCs w:val="22"/>
          <w:lang w:eastAsia="en-US"/>
        </w:rPr>
        <w:t>GENERAL</w:t>
      </w:r>
    </w:p>
    <w:p w:rsidR="00000000" w:rsidRDefault="00000000">
      <w:pPr>
        <w:framePr w:w="4025" w:h="2075" w:hSpace="180" w:wrap="around" w:vAnchor="text" w:hAnchor="page" w:x="851" w:y="-2399" w:anchorLock="1"/>
        <w:bidi w:val="0"/>
        <w:spacing w:before="0" w:after="0"/>
        <w:jc w:val="left"/>
      </w:pPr>
      <w:r>
        <w:fldChar w:fldCharType="begin"/>
      </w:r>
      <w:r>
        <w:rPr>
          <w:szCs w:val="22"/>
          <w:lang w:eastAsia="en-US"/>
        </w:rPr>
        <w:instrText xml:space="preserve"> FILLIN  \* MERGEFORMAT </w:instrText>
      </w:r>
      <w:r>
        <w:fldChar w:fldCharType="separate"/>
      </w:r>
      <w:r>
        <w:rPr>
          <w:szCs w:val="22"/>
          <w:lang w:eastAsia="en-US"/>
        </w:rPr>
        <w:t>CCPR/C/GEO/CO/3</w:t>
      </w:r>
      <w:r>
        <w:fldChar w:fldCharType="end"/>
      </w:r>
    </w:p>
    <w:p w:rsidR="00000000" w:rsidRDefault="00000000">
      <w:pPr>
        <w:framePr w:w="4025" w:h="2075" w:hSpace="180" w:wrap="around" w:vAnchor="text" w:hAnchor="page" w:x="851" w:y="-2399" w:anchorLock="1"/>
        <w:bidi w:val="0"/>
        <w:spacing w:before="0" w:after="0"/>
        <w:jc w:val="left"/>
        <w:rPr>
          <w:szCs w:val="22"/>
          <w:lang w:eastAsia="en-US"/>
        </w:rPr>
      </w:pPr>
      <w:r>
        <w:fldChar w:fldCharType="begin"/>
      </w:r>
      <w:r>
        <w:rPr>
          <w:szCs w:val="22"/>
          <w:lang w:eastAsia="en-US"/>
        </w:rPr>
        <w:instrText xml:space="preserve"> FILLIN  \* MERGEFORMAT </w:instrText>
      </w:r>
      <w:r>
        <w:fldChar w:fldCharType="separate"/>
      </w:r>
      <w:r>
        <w:rPr>
          <w:szCs w:val="22"/>
          <w:lang w:eastAsia="en-US"/>
        </w:rPr>
        <w:t>15 November 2007</w:t>
      </w:r>
      <w:r>
        <w:fldChar w:fldCharType="end"/>
      </w:r>
    </w:p>
    <w:p w:rsidR="00000000" w:rsidRDefault="00000000">
      <w:pPr>
        <w:framePr w:w="4025" w:h="2075" w:hSpace="180" w:wrap="around" w:vAnchor="text" w:hAnchor="page" w:x="851" w:y="-2399" w:anchorLock="1"/>
        <w:bidi w:val="0"/>
        <w:spacing w:after="0"/>
        <w:jc w:val="left"/>
        <w:rPr>
          <w:rFonts w:cs="Times New Roman"/>
          <w:szCs w:val="22"/>
          <w:lang w:eastAsia="en-US"/>
        </w:rPr>
      </w:pPr>
      <w:r>
        <w:rPr>
          <w:rFonts w:cs="Times New Roman"/>
          <w:szCs w:val="22"/>
          <w:lang w:eastAsia="en-US"/>
        </w:rPr>
        <w:t>ARABIC</w:t>
      </w:r>
    </w:p>
    <w:p w:rsidR="00000000" w:rsidRDefault="00000000">
      <w:pPr>
        <w:framePr w:w="4025" w:h="2075" w:hSpace="180" w:wrap="around" w:vAnchor="text" w:hAnchor="page" w:x="851" w:y="-2399" w:anchorLock="1"/>
        <w:bidi w:val="0"/>
        <w:spacing w:before="0" w:after="0"/>
        <w:jc w:val="left"/>
        <w:rPr>
          <w:rFonts w:cs="Times New Roman"/>
          <w:szCs w:val="22"/>
          <w:rtl/>
          <w:lang w:eastAsia="en-US"/>
        </w:rPr>
      </w:pPr>
      <w:r>
        <w:rPr>
          <w:rFonts w:cs="Times New Roman"/>
          <w:szCs w:val="22"/>
          <w:lang w:eastAsia="en-US"/>
        </w:rPr>
        <w:t>Original: ENGLISH</w:t>
      </w:r>
    </w:p>
    <w:p w:rsidR="00000000" w:rsidRDefault="00000000">
      <w:pPr>
        <w:spacing w:before="0" w:after="0" w:line="380" w:lineRule="exact"/>
        <w:jc w:val="left"/>
        <w:rPr>
          <w:b/>
          <w:bCs/>
          <w:rtl/>
        </w:rPr>
      </w:pPr>
      <w:r>
        <w:rPr>
          <w:rFonts w:hint="cs"/>
          <w:b/>
          <w:bCs/>
          <w:sz w:val="36"/>
          <w:szCs w:val="36"/>
          <w:rtl/>
          <w:lang w:eastAsia="en-US"/>
        </w:rPr>
        <w:t>ال</w:t>
      </w:r>
      <w:r>
        <w:rPr>
          <w:b/>
          <w:bCs/>
          <w:sz w:val="36"/>
          <w:szCs w:val="36"/>
          <w:rtl/>
          <w:lang w:eastAsia="en-US"/>
        </w:rPr>
        <w:t>ل</w:t>
      </w:r>
      <w:r>
        <w:rPr>
          <w:rFonts w:hint="cs"/>
          <w:b/>
          <w:bCs/>
          <w:sz w:val="36"/>
          <w:szCs w:val="36"/>
          <w:rtl/>
          <w:lang w:eastAsia="en-US"/>
        </w:rPr>
        <w:t>جن</w:t>
      </w:r>
      <w:r>
        <w:rPr>
          <w:b/>
          <w:bCs/>
          <w:sz w:val="36"/>
          <w:szCs w:val="36"/>
          <w:rtl/>
          <w:lang w:eastAsia="en-US"/>
        </w:rPr>
        <w:t xml:space="preserve">ة </w:t>
      </w:r>
      <w:r>
        <w:rPr>
          <w:rFonts w:hint="cs"/>
          <w:b/>
          <w:bCs/>
          <w:sz w:val="36"/>
          <w:szCs w:val="36"/>
          <w:rtl/>
          <w:lang w:eastAsia="en-US"/>
        </w:rPr>
        <w:t>المعنية بحقوق الإنسان</w:t>
      </w:r>
    </w:p>
    <w:p w:rsidR="00000000" w:rsidRDefault="00000000">
      <w:pPr>
        <w:spacing w:before="0" w:after="0" w:line="380" w:lineRule="exact"/>
        <w:jc w:val="both"/>
        <w:rPr>
          <w:rFonts w:hint="cs"/>
          <w:b/>
          <w:bCs/>
          <w:sz w:val="30"/>
          <w:rtl/>
          <w:lang w:eastAsia="en-US"/>
        </w:rPr>
      </w:pPr>
      <w:r>
        <w:rPr>
          <w:rFonts w:hint="cs"/>
          <w:b/>
          <w:bCs/>
          <w:sz w:val="30"/>
          <w:rtl/>
          <w:lang w:eastAsia="en-US"/>
        </w:rPr>
        <w:t>الدورة الحادية والتسعون</w:t>
      </w:r>
    </w:p>
    <w:p w:rsidR="00000000" w:rsidRDefault="00000000">
      <w:pPr>
        <w:spacing w:before="0" w:after="0" w:line="380" w:lineRule="exact"/>
        <w:jc w:val="both"/>
        <w:rPr>
          <w:b/>
          <w:bCs/>
          <w:rtl/>
        </w:rPr>
      </w:pPr>
      <w:r>
        <w:rPr>
          <w:rFonts w:hint="cs"/>
          <w:b/>
          <w:bCs/>
          <w:sz w:val="30"/>
          <w:rtl/>
          <w:lang w:eastAsia="en-US"/>
        </w:rPr>
        <w:t>جنيف، 15 تشرين الأول/أكتوبر - 2 تشرين الثاني/نوفمبر 2007</w:t>
      </w:r>
    </w:p>
    <w:p w:rsidR="00000000" w:rsidRDefault="00000000">
      <w:pPr>
        <w:spacing w:line="380" w:lineRule="exact"/>
        <w:jc w:val="center"/>
        <w:rPr>
          <w:rFonts w:hint="cs"/>
          <w:b/>
          <w:bCs/>
          <w:sz w:val="38"/>
          <w:szCs w:val="36"/>
          <w:rtl/>
          <w:lang w:eastAsia="en-US"/>
        </w:rPr>
      </w:pPr>
      <w:r>
        <w:rPr>
          <w:rFonts w:hint="cs"/>
          <w:b/>
          <w:bCs/>
          <w:sz w:val="38"/>
          <w:szCs w:val="36"/>
          <w:rtl/>
          <w:lang w:eastAsia="en-US"/>
        </w:rPr>
        <w:t>النظر في التقارير المقدمة من الدول الأطراف</w:t>
      </w:r>
      <w:r>
        <w:rPr>
          <w:b/>
          <w:bCs/>
          <w:sz w:val="38"/>
          <w:szCs w:val="36"/>
          <w:rtl/>
          <w:lang w:eastAsia="en-US"/>
        </w:rPr>
        <w:br/>
      </w:r>
      <w:r>
        <w:rPr>
          <w:rFonts w:hint="cs"/>
          <w:b/>
          <w:bCs/>
          <w:sz w:val="38"/>
          <w:szCs w:val="36"/>
          <w:rtl/>
          <w:lang w:eastAsia="en-US"/>
        </w:rPr>
        <w:t>بموجب المادة 40 من العهد</w:t>
      </w:r>
    </w:p>
    <w:p w:rsidR="00000000" w:rsidRDefault="00000000">
      <w:pPr>
        <w:spacing w:before="0" w:line="380" w:lineRule="exact"/>
        <w:jc w:val="center"/>
        <w:rPr>
          <w:rFonts w:hint="cs"/>
          <w:b/>
          <w:bCs/>
          <w:sz w:val="30"/>
          <w:rtl/>
          <w:lang w:eastAsia="en-US"/>
        </w:rPr>
      </w:pPr>
      <w:r>
        <w:rPr>
          <w:rFonts w:hint="cs"/>
          <w:b/>
          <w:bCs/>
          <w:sz w:val="30"/>
          <w:rtl/>
          <w:lang w:eastAsia="en-US"/>
        </w:rPr>
        <w:t>الملاحظات الختامية للجنة المعنية بحقوق الإنسان</w:t>
      </w:r>
    </w:p>
    <w:p w:rsidR="00000000" w:rsidRDefault="00000000">
      <w:pPr>
        <w:spacing w:before="0" w:line="380" w:lineRule="exact"/>
        <w:jc w:val="center"/>
        <w:rPr>
          <w:rFonts w:hint="cs"/>
          <w:b/>
          <w:bCs/>
          <w:sz w:val="30"/>
          <w:rtl/>
          <w:lang w:eastAsia="en-US"/>
        </w:rPr>
      </w:pPr>
      <w:proofErr w:type="spellStart"/>
      <w:r>
        <w:rPr>
          <w:rFonts w:hint="cs"/>
          <w:b/>
          <w:bCs/>
          <w:sz w:val="30"/>
          <w:rtl/>
          <w:lang w:eastAsia="en-US"/>
        </w:rPr>
        <w:t>جورجيا</w:t>
      </w:r>
      <w:proofErr w:type="spellEnd"/>
    </w:p>
    <w:p w:rsidR="00000000" w:rsidRDefault="00000000">
      <w:pPr>
        <w:spacing w:before="0" w:line="380" w:lineRule="exact"/>
        <w:jc w:val="both"/>
        <w:rPr>
          <w:rFonts w:hint="cs"/>
          <w:spacing w:val="0"/>
          <w:rtl/>
          <w:lang w:eastAsia="en-US"/>
        </w:rPr>
      </w:pPr>
      <w:r>
        <w:rPr>
          <w:rFonts w:hint="cs"/>
          <w:spacing w:val="0"/>
          <w:rtl/>
          <w:lang w:eastAsia="en-US"/>
        </w:rPr>
        <w:t>1-</w:t>
      </w:r>
      <w:r>
        <w:rPr>
          <w:rFonts w:hint="cs"/>
          <w:spacing w:val="0"/>
          <w:rtl/>
          <w:lang w:eastAsia="en-US"/>
        </w:rPr>
        <w:tab/>
        <w:t xml:space="preserve">نظرت اللجنة في التقرير الدوري الثالث المقدم من </w:t>
      </w:r>
      <w:proofErr w:type="spellStart"/>
      <w:r>
        <w:rPr>
          <w:rFonts w:hint="cs"/>
          <w:spacing w:val="0"/>
          <w:rtl/>
          <w:lang w:eastAsia="en-US"/>
        </w:rPr>
        <w:t>جورجيا</w:t>
      </w:r>
      <w:proofErr w:type="spellEnd"/>
      <w:r>
        <w:rPr>
          <w:rFonts w:hint="cs"/>
          <w:spacing w:val="0"/>
          <w:rtl/>
          <w:lang w:eastAsia="en-US"/>
        </w:rPr>
        <w:t xml:space="preserve"> </w:t>
      </w:r>
      <w:r>
        <w:rPr>
          <w:spacing w:val="0"/>
          <w:lang w:eastAsia="en-US"/>
        </w:rPr>
        <w:t>(CCPR/C/GEO/3)</w:t>
      </w:r>
      <w:r>
        <w:rPr>
          <w:rFonts w:hint="cs"/>
          <w:spacing w:val="0"/>
          <w:rtl/>
          <w:lang w:eastAsia="en-US"/>
        </w:rPr>
        <w:t xml:space="preserve"> في جلستيها 2483</w:t>
      </w:r>
      <w:r>
        <w:rPr>
          <w:spacing w:val="0"/>
          <w:rtl/>
          <w:lang w:eastAsia="en-US"/>
        </w:rPr>
        <w:br/>
      </w:r>
      <w:r>
        <w:rPr>
          <w:rFonts w:hint="cs"/>
          <w:spacing w:val="0"/>
          <w:rtl/>
          <w:lang w:eastAsia="en-US"/>
        </w:rPr>
        <w:t>و2484 (</w:t>
      </w:r>
      <w:r>
        <w:rPr>
          <w:spacing w:val="0"/>
          <w:lang w:eastAsia="en-US"/>
        </w:rPr>
        <w:t>CCPR/C/SR.2483</w:t>
      </w:r>
      <w:r>
        <w:rPr>
          <w:rFonts w:hint="cs"/>
          <w:spacing w:val="0"/>
          <w:rtl/>
          <w:lang w:eastAsia="en-US"/>
        </w:rPr>
        <w:t xml:space="preserve"> و</w:t>
      </w:r>
      <w:r>
        <w:rPr>
          <w:spacing w:val="0"/>
          <w:lang w:eastAsia="en-US"/>
        </w:rPr>
        <w:t>2484</w:t>
      </w:r>
      <w:r>
        <w:rPr>
          <w:rFonts w:hint="cs"/>
          <w:spacing w:val="0"/>
          <w:rtl/>
          <w:lang w:eastAsia="en-US"/>
        </w:rPr>
        <w:t xml:space="preserve">) المعقودتين في 15 و16 تشرين الأول/أكتوبر 2007، واعتمدت الملاحظات الختامية التالية في جلستها 2500 </w:t>
      </w:r>
      <w:r>
        <w:rPr>
          <w:spacing w:val="0"/>
          <w:lang w:eastAsia="en-US"/>
        </w:rPr>
        <w:t>(CCPR/C/SR.2500)</w:t>
      </w:r>
      <w:r>
        <w:rPr>
          <w:rFonts w:hint="cs"/>
          <w:spacing w:val="0"/>
          <w:rtl/>
          <w:lang w:eastAsia="en-US"/>
        </w:rPr>
        <w:t>، المعقودة في 26 تشرين الأول/أكتوبر 2007.</w:t>
      </w:r>
    </w:p>
    <w:p w:rsidR="00000000" w:rsidRDefault="00000000">
      <w:pPr>
        <w:spacing w:before="0" w:line="380" w:lineRule="exact"/>
        <w:jc w:val="center"/>
        <w:rPr>
          <w:rFonts w:hint="cs"/>
          <w:b/>
          <w:bCs/>
          <w:rtl/>
          <w:lang w:eastAsia="en-US"/>
        </w:rPr>
      </w:pPr>
      <w:r>
        <w:rPr>
          <w:rFonts w:hint="cs"/>
          <w:b/>
          <w:bCs/>
          <w:rtl/>
          <w:lang w:eastAsia="en-US"/>
        </w:rPr>
        <w:t>ألف - مقدمة</w:t>
      </w:r>
    </w:p>
    <w:p w:rsidR="00000000" w:rsidRDefault="00000000">
      <w:pPr>
        <w:spacing w:before="0" w:line="380" w:lineRule="exact"/>
        <w:jc w:val="both"/>
        <w:rPr>
          <w:rFonts w:hint="cs"/>
          <w:spacing w:val="0"/>
          <w:rtl/>
          <w:lang w:eastAsia="en-US"/>
        </w:rPr>
      </w:pPr>
      <w:r>
        <w:rPr>
          <w:rFonts w:hint="cs"/>
          <w:rtl/>
          <w:lang w:eastAsia="en-US"/>
        </w:rPr>
        <w:t>2-</w:t>
      </w:r>
      <w:r>
        <w:rPr>
          <w:rFonts w:hint="cs"/>
          <w:rtl/>
          <w:lang w:eastAsia="en-US"/>
        </w:rPr>
        <w:tab/>
        <w:t xml:space="preserve">ترحب اللجنة بتقديم الدولة الطرف في الوقت المحدد تقريرها الدوري الثالث الذي يتضمن معلومات </w:t>
      </w:r>
      <w:r>
        <w:rPr>
          <w:rFonts w:hint="cs"/>
          <w:spacing w:val="0"/>
          <w:rtl/>
          <w:lang w:eastAsia="en-US"/>
        </w:rPr>
        <w:t>مفيدة ومفصلة بشأن التطورات التي حصلت منذ النظر في التقرير الدوري الثاني، في ضوء بعض الملاحظات الختامية السابقة. وتشيد بحضور وفد مؤلف من خبراء مختصين في شتى الميادين المتصلة بالعهد وبردود الدولة الطرف الشفوية والخطية على المسائل التي أثارتها اللجنة ودواعي القلق التي أعربت عنها أثناء دراسة تقرير الدولة الطرف.</w:t>
      </w:r>
    </w:p>
    <w:p w:rsidR="00000000" w:rsidRDefault="00000000">
      <w:pPr>
        <w:spacing w:before="0" w:line="380" w:lineRule="exact"/>
        <w:jc w:val="center"/>
        <w:rPr>
          <w:rFonts w:hint="cs"/>
          <w:b/>
          <w:bCs/>
          <w:rtl/>
          <w:lang w:eastAsia="en-US"/>
        </w:rPr>
      </w:pPr>
      <w:r>
        <w:rPr>
          <w:rFonts w:hint="cs"/>
          <w:b/>
          <w:bCs/>
          <w:rtl/>
          <w:lang w:eastAsia="en-US"/>
        </w:rPr>
        <w:t>باء - الجوانب الإيجابية</w:t>
      </w:r>
    </w:p>
    <w:p w:rsidR="00000000" w:rsidRDefault="00000000">
      <w:pPr>
        <w:spacing w:before="0" w:line="380" w:lineRule="exact"/>
        <w:jc w:val="both"/>
        <w:rPr>
          <w:rFonts w:hint="cs"/>
          <w:spacing w:val="0"/>
          <w:rtl/>
          <w:lang w:eastAsia="en-US"/>
        </w:rPr>
      </w:pPr>
      <w:r>
        <w:rPr>
          <w:rFonts w:hint="cs"/>
          <w:spacing w:val="0"/>
          <w:rtl/>
          <w:lang w:eastAsia="en-US"/>
        </w:rPr>
        <w:t>3-</w:t>
      </w:r>
      <w:r>
        <w:rPr>
          <w:rFonts w:hint="cs"/>
          <w:spacing w:val="0"/>
          <w:rtl/>
          <w:lang w:eastAsia="en-US"/>
        </w:rPr>
        <w:tab/>
        <w:t>ترحب اللجنة بالتغييرات التشريعية والمؤسسية الهامة والواسعة النطاق التي أجرتها الدولة الطرف خلال السنوات المشمولة بالتقرير، وذلك بغية تعزيز سيادة القانون، وفي ضوء بعض التوصيات التي قدمتها اللجنة عام 2002.</w:t>
      </w:r>
    </w:p>
    <w:p w:rsidR="00000000" w:rsidRDefault="00000000">
      <w:pPr>
        <w:spacing w:before="0" w:line="380" w:lineRule="exact"/>
        <w:jc w:val="both"/>
        <w:rPr>
          <w:rFonts w:hint="cs"/>
          <w:rtl/>
          <w:lang w:eastAsia="en-US"/>
        </w:rPr>
      </w:pPr>
      <w:r>
        <w:rPr>
          <w:rFonts w:hint="cs"/>
          <w:rtl/>
          <w:lang w:eastAsia="en-US"/>
        </w:rPr>
        <w:t>4-</w:t>
      </w:r>
      <w:r>
        <w:rPr>
          <w:rFonts w:hint="cs"/>
          <w:rtl/>
          <w:lang w:eastAsia="en-US"/>
        </w:rPr>
        <w:tab/>
        <w:t xml:space="preserve">وترحب اللجنة بانضمام </w:t>
      </w:r>
      <w:proofErr w:type="spellStart"/>
      <w:r>
        <w:rPr>
          <w:rFonts w:hint="cs"/>
          <w:rtl/>
          <w:lang w:eastAsia="en-US"/>
        </w:rPr>
        <w:t>جورجيا</w:t>
      </w:r>
      <w:proofErr w:type="spellEnd"/>
      <w:r>
        <w:rPr>
          <w:rFonts w:hint="cs"/>
          <w:rtl/>
          <w:lang w:eastAsia="en-US"/>
        </w:rPr>
        <w:t xml:space="preserve"> في عام 2006 إلى البروتوكول الاختياري لاتفاقية </w:t>
      </w:r>
      <w:r>
        <w:rPr>
          <w:rtl/>
          <w:lang w:eastAsia="en-US"/>
        </w:rPr>
        <w:t>مناهضة التعذيب وغيره من ضروب المعاملة أو العقوبة القاسية أو اللاإنسانية أو المهينة</w:t>
      </w:r>
      <w:r>
        <w:rPr>
          <w:rFonts w:hint="cs"/>
          <w:rtl/>
          <w:lang w:eastAsia="en-US"/>
        </w:rPr>
        <w:t>، وهو ما من شأنه أن يكفل مراعاة المادة 7 من العهد على نحو أفضل.</w:t>
      </w:r>
    </w:p>
    <w:p w:rsidR="00000000" w:rsidRDefault="00000000">
      <w:pPr>
        <w:spacing w:before="0" w:line="380" w:lineRule="exact"/>
        <w:jc w:val="both"/>
        <w:rPr>
          <w:rFonts w:hint="cs"/>
          <w:rtl/>
          <w:lang w:eastAsia="en-US"/>
        </w:rPr>
      </w:pPr>
      <w:r>
        <w:rPr>
          <w:rFonts w:hint="cs"/>
          <w:rtl/>
          <w:lang w:eastAsia="en-US"/>
        </w:rPr>
        <w:t>5-</w:t>
      </w:r>
      <w:r>
        <w:rPr>
          <w:rFonts w:hint="cs"/>
          <w:rtl/>
          <w:lang w:eastAsia="en-US"/>
        </w:rPr>
        <w:tab/>
        <w:t>وترحب اللجنة باعتماد قانون رد الممتلكات في 29 كانون الأول/ديسمبر 2006، وتشجع الدولة الطرف على أن تتخذ جميع التدابير اللازمة لتنفيذه فوراً.</w:t>
      </w:r>
    </w:p>
    <w:p w:rsidR="00000000" w:rsidRDefault="00000000">
      <w:pPr>
        <w:spacing w:before="0" w:line="380" w:lineRule="exact"/>
        <w:jc w:val="center"/>
        <w:rPr>
          <w:rFonts w:hint="cs"/>
          <w:b/>
          <w:bCs/>
          <w:rtl/>
          <w:lang w:eastAsia="en-US"/>
        </w:rPr>
      </w:pPr>
      <w:r>
        <w:rPr>
          <w:rFonts w:hint="cs"/>
          <w:b/>
          <w:bCs/>
          <w:rtl/>
          <w:lang w:eastAsia="en-US"/>
        </w:rPr>
        <w:t>جيم - دواعي القلق الرئيسية والتوصيات</w:t>
      </w:r>
    </w:p>
    <w:p w:rsidR="00000000" w:rsidRDefault="00000000">
      <w:pPr>
        <w:spacing w:before="0" w:line="380" w:lineRule="exact"/>
        <w:jc w:val="both"/>
        <w:rPr>
          <w:rFonts w:hint="cs"/>
          <w:rtl/>
        </w:rPr>
      </w:pPr>
      <w:r>
        <w:rPr>
          <w:rFonts w:hint="cs"/>
          <w:rtl/>
          <w:lang w:eastAsia="en-US"/>
        </w:rPr>
        <w:t>6-</w:t>
      </w:r>
      <w:r>
        <w:rPr>
          <w:rFonts w:hint="cs"/>
          <w:rtl/>
          <w:lang w:eastAsia="en-US"/>
        </w:rPr>
        <w:tab/>
        <w:t xml:space="preserve">إن اللجنة، إذ تحيط علماً بالصعوبات </w:t>
      </w:r>
      <w:r>
        <w:rPr>
          <w:rStyle w:val="FootnoteReference"/>
          <w:rFonts w:hint="cs"/>
          <w:bCs w:val="0"/>
          <w:szCs w:val="30"/>
          <w:vertAlign w:val="baseline"/>
          <w:rtl/>
        </w:rPr>
        <w:t xml:space="preserve">التي </w:t>
      </w:r>
      <w:r>
        <w:rPr>
          <w:rFonts w:hint="cs"/>
          <w:rtl/>
        </w:rPr>
        <w:t xml:space="preserve">لاقتها الدولة الطرف في تنفيذ العهد في إقليم </w:t>
      </w:r>
      <w:proofErr w:type="spellStart"/>
      <w:r>
        <w:rPr>
          <w:rFonts w:hint="cs"/>
          <w:rtl/>
        </w:rPr>
        <w:t>أبخازيا</w:t>
      </w:r>
      <w:proofErr w:type="spellEnd"/>
      <w:r>
        <w:rPr>
          <w:rFonts w:hint="cs"/>
          <w:rtl/>
        </w:rPr>
        <w:t xml:space="preserve"> </w:t>
      </w:r>
      <w:proofErr w:type="spellStart"/>
      <w:r>
        <w:rPr>
          <w:rFonts w:hint="cs"/>
          <w:rtl/>
        </w:rPr>
        <w:t>وتسخينفالي</w:t>
      </w:r>
      <w:proofErr w:type="spellEnd"/>
      <w:r>
        <w:rPr>
          <w:rFonts w:hint="cs"/>
          <w:rtl/>
        </w:rPr>
        <w:t xml:space="preserve">/جنوب </w:t>
      </w:r>
      <w:proofErr w:type="spellStart"/>
      <w:r>
        <w:rPr>
          <w:rFonts w:hint="cs"/>
          <w:rtl/>
        </w:rPr>
        <w:t>أوسيتيا</w:t>
      </w:r>
      <w:proofErr w:type="spellEnd"/>
      <w:r>
        <w:rPr>
          <w:rFonts w:hint="cs"/>
          <w:rtl/>
        </w:rPr>
        <w:t xml:space="preserve">، وتعترف بالخطوات الإيجابية المتخذة لكفالة حماية الحقوق المنصوص عليها في العهد لمن يعيشون في الأقاليم التي لا تخضع حالياً لسلطتها، بما في ذلك تشجيع آليات الإجراءات الخاصة للأمم المتحدة التي دعيت إلى </w:t>
      </w:r>
      <w:proofErr w:type="spellStart"/>
      <w:r>
        <w:rPr>
          <w:rFonts w:hint="cs"/>
          <w:rtl/>
        </w:rPr>
        <w:t>جورجيا</w:t>
      </w:r>
      <w:proofErr w:type="spellEnd"/>
      <w:r>
        <w:rPr>
          <w:rFonts w:hint="cs"/>
          <w:rtl/>
        </w:rPr>
        <w:t xml:space="preserve"> لزيارة هذه الأقاليم والدخول في حوار مع السلطات الحاكمة فعلياً هناك، تعرب عن قلقها من أن السكان المعنيين لا يتمتعون تمتعاً كاملاً بأحكام العهد. (المادتان 1 و2)</w:t>
      </w:r>
    </w:p>
    <w:p w:rsidR="00000000" w:rsidRDefault="00000000">
      <w:pPr>
        <w:spacing w:before="0" w:line="380" w:lineRule="exact"/>
        <w:ind w:left="720"/>
        <w:jc w:val="both"/>
        <w:rPr>
          <w:rFonts w:hint="cs"/>
          <w:bCs/>
          <w:rtl/>
        </w:rPr>
      </w:pPr>
      <w:r>
        <w:rPr>
          <w:rFonts w:hint="cs"/>
          <w:bCs/>
          <w:rtl/>
        </w:rPr>
        <w:t>على الدولة الطرف أن تواصل اتخاذ جميع التدابير الممكنة، دون تمييز، من أجل تعزيز حماية السلطات الحاكمة فعليا</w:t>
      </w:r>
      <w:r>
        <w:rPr>
          <w:rFonts w:hint="cs"/>
          <w:rtl/>
        </w:rPr>
        <w:t>ً</w:t>
      </w:r>
      <w:r>
        <w:rPr>
          <w:rFonts w:hint="cs"/>
          <w:bCs/>
          <w:rtl/>
        </w:rPr>
        <w:t xml:space="preserve"> في إقليم </w:t>
      </w:r>
      <w:proofErr w:type="spellStart"/>
      <w:r>
        <w:rPr>
          <w:rFonts w:hint="cs"/>
          <w:bCs/>
          <w:rtl/>
        </w:rPr>
        <w:t>أبخازيا</w:t>
      </w:r>
      <w:proofErr w:type="spellEnd"/>
      <w:r>
        <w:rPr>
          <w:rFonts w:hint="cs"/>
          <w:bCs/>
          <w:rtl/>
        </w:rPr>
        <w:t xml:space="preserve"> </w:t>
      </w:r>
      <w:proofErr w:type="spellStart"/>
      <w:r>
        <w:rPr>
          <w:rFonts w:hint="cs"/>
          <w:bCs/>
          <w:rtl/>
        </w:rPr>
        <w:t>وتسخينفالي</w:t>
      </w:r>
      <w:proofErr w:type="spellEnd"/>
      <w:r>
        <w:rPr>
          <w:rFonts w:hint="cs"/>
          <w:bCs/>
          <w:rtl/>
        </w:rPr>
        <w:t xml:space="preserve">/جنوب </w:t>
      </w:r>
      <w:proofErr w:type="spellStart"/>
      <w:r>
        <w:rPr>
          <w:rFonts w:hint="cs"/>
          <w:bCs/>
          <w:rtl/>
        </w:rPr>
        <w:t>أوسيتيا</w:t>
      </w:r>
      <w:proofErr w:type="spellEnd"/>
      <w:r>
        <w:rPr>
          <w:rFonts w:hint="cs"/>
          <w:bCs/>
          <w:rtl/>
        </w:rPr>
        <w:t xml:space="preserve"> لسكان هذه الأقاليم وفق ما ينص عليه العهد. وعلى الدولة الطرف أن تكفل للوكالات الدولية العمل دون عراقيل.</w:t>
      </w:r>
    </w:p>
    <w:p w:rsidR="00000000" w:rsidRDefault="00000000">
      <w:pPr>
        <w:spacing w:before="0" w:line="380" w:lineRule="exact"/>
        <w:jc w:val="both"/>
        <w:rPr>
          <w:rFonts w:hint="cs"/>
          <w:rtl/>
        </w:rPr>
      </w:pPr>
      <w:r>
        <w:rPr>
          <w:rStyle w:val="FootnoteReference"/>
          <w:rFonts w:hint="cs"/>
          <w:bCs w:val="0"/>
          <w:szCs w:val="30"/>
          <w:vertAlign w:val="baseline"/>
          <w:rtl/>
        </w:rPr>
        <w:t>7</w:t>
      </w:r>
      <w:r>
        <w:rPr>
          <w:rFonts w:hint="cs"/>
          <w:rtl/>
        </w:rPr>
        <w:t>-</w:t>
      </w:r>
      <w:r>
        <w:rPr>
          <w:rFonts w:hint="cs"/>
          <w:rtl/>
        </w:rPr>
        <w:tab/>
        <w:t xml:space="preserve">وتدرك اللجنة ما يلي: (أ) التعديلات التي أُدخِلت في نيسان/أبريل 2007 على </w:t>
      </w:r>
      <w:r>
        <w:rPr>
          <w:rFonts w:hint="cs"/>
          <w:i/>
          <w:iCs/>
          <w:rtl/>
        </w:rPr>
        <w:t>القانون المتعلق بقضايا اللاجئين</w:t>
      </w:r>
      <w:r>
        <w:rPr>
          <w:rFonts w:hint="cs"/>
          <w:rtl/>
        </w:rPr>
        <w:t xml:space="preserve">، والتي تمنح اللاجئين المسجلين في </w:t>
      </w:r>
      <w:proofErr w:type="spellStart"/>
      <w:r>
        <w:rPr>
          <w:rFonts w:hint="cs"/>
          <w:rtl/>
        </w:rPr>
        <w:t>جورجيا</w:t>
      </w:r>
      <w:proofErr w:type="spellEnd"/>
      <w:r>
        <w:rPr>
          <w:rFonts w:hint="cs"/>
          <w:rtl/>
        </w:rPr>
        <w:t xml:space="preserve"> الإقامة المؤقتة؛ و(ب) الإجراء الجديد للطعن في قرارات الترحيل التي يصدرها المدعي العام. غير أن اللجنة لا تزال قلقة إذ إن التشريع الحالي لا يضمن كاملاً احترام مبدأ </w:t>
      </w:r>
      <w:r>
        <w:rPr>
          <w:rFonts w:hint="cs"/>
          <w:i/>
          <w:iCs/>
          <w:rtl/>
        </w:rPr>
        <w:t>عدم الإعادة القسرية</w:t>
      </w:r>
      <w:r>
        <w:rPr>
          <w:rFonts w:hint="cs"/>
          <w:rtl/>
        </w:rPr>
        <w:t>. (المواد 2 و6 و7)</w:t>
      </w:r>
    </w:p>
    <w:p w:rsidR="00000000" w:rsidRDefault="00000000">
      <w:pPr>
        <w:spacing w:before="0" w:line="380" w:lineRule="exact"/>
        <w:ind w:left="720"/>
        <w:jc w:val="both"/>
        <w:rPr>
          <w:rFonts w:hint="cs"/>
          <w:b/>
          <w:bCs/>
          <w:rtl/>
        </w:rPr>
      </w:pPr>
      <w:r>
        <w:rPr>
          <w:rFonts w:hint="cs"/>
          <w:b/>
          <w:bCs/>
          <w:rtl/>
        </w:rPr>
        <w:t>على الدولة الطرف:</w:t>
      </w:r>
    </w:p>
    <w:p w:rsidR="00000000" w:rsidRDefault="00000000">
      <w:pPr>
        <w:spacing w:before="0" w:line="380" w:lineRule="exact"/>
        <w:ind w:left="720"/>
        <w:jc w:val="both"/>
        <w:rPr>
          <w:rFonts w:hint="cs"/>
          <w:b/>
          <w:bCs/>
          <w:rtl/>
        </w:rPr>
      </w:pPr>
      <w:r>
        <w:rPr>
          <w:rFonts w:hint="cs"/>
          <w:b/>
          <w:bCs/>
          <w:rtl/>
        </w:rPr>
        <w:tab/>
      </w:r>
      <w:r>
        <w:rPr>
          <w:rStyle w:val="FootnoteReference"/>
          <w:rFonts w:hint="cs"/>
          <w:b/>
          <w:bCs w:val="0"/>
          <w:szCs w:val="30"/>
          <w:vertAlign w:val="baseline"/>
          <w:rtl/>
        </w:rPr>
        <w:t>(</w:t>
      </w:r>
      <w:r>
        <w:rPr>
          <w:rFonts w:hint="cs"/>
          <w:b/>
          <w:bCs/>
          <w:rtl/>
        </w:rPr>
        <w:t>أ)</w:t>
      </w:r>
      <w:r>
        <w:rPr>
          <w:rFonts w:hint="cs"/>
          <w:b/>
          <w:bCs/>
          <w:rtl/>
        </w:rPr>
        <w:tab/>
        <w:t>أن تعتمد ضوابط تشريعية وإجرائية فعالة تكفل ألاَّ يعاد أي شخص إلى بلد تتوافر فيه مبررات قوية تدعو إلى الاعتقاد بأنه يواجه خطر حرمانه من الحياة تعسفاً أو التعرض للتعذيب أ</w:t>
      </w:r>
      <w:r>
        <w:rPr>
          <w:b/>
          <w:bCs/>
          <w:rtl/>
        </w:rPr>
        <w:t>و</w:t>
      </w:r>
      <w:r>
        <w:rPr>
          <w:rFonts w:hint="cs"/>
          <w:b/>
          <w:bCs/>
          <w:rtl/>
        </w:rPr>
        <w:t xml:space="preserve"> </w:t>
      </w:r>
      <w:r>
        <w:rPr>
          <w:b/>
          <w:bCs/>
          <w:rtl/>
        </w:rPr>
        <w:t>غيره من ضروب المعاملة أو العقوبة القاسية أو اللاإنسانية أو المهينة</w:t>
      </w:r>
      <w:r>
        <w:rPr>
          <w:rFonts w:hint="cs"/>
          <w:b/>
          <w:bCs/>
          <w:rtl/>
        </w:rPr>
        <w:t>؛</w:t>
      </w:r>
    </w:p>
    <w:p w:rsidR="00000000" w:rsidRDefault="00000000">
      <w:pPr>
        <w:spacing w:before="0" w:line="380" w:lineRule="exact"/>
        <w:ind w:left="720"/>
        <w:jc w:val="both"/>
        <w:rPr>
          <w:rFonts w:hint="cs"/>
          <w:b/>
          <w:bCs/>
          <w:rtl/>
        </w:rPr>
      </w:pPr>
      <w:r>
        <w:rPr>
          <w:rFonts w:hint="cs"/>
          <w:b/>
          <w:bCs/>
          <w:rtl/>
        </w:rPr>
        <w:tab/>
      </w:r>
      <w:r>
        <w:rPr>
          <w:rStyle w:val="FootnoteReference"/>
          <w:rFonts w:hint="cs"/>
          <w:b/>
          <w:bCs w:val="0"/>
          <w:szCs w:val="30"/>
          <w:vertAlign w:val="baseline"/>
          <w:rtl/>
        </w:rPr>
        <w:t>(</w:t>
      </w:r>
      <w:r>
        <w:rPr>
          <w:rFonts w:hint="cs"/>
          <w:b/>
          <w:bCs/>
          <w:rtl/>
        </w:rPr>
        <w:t>ب)</w:t>
      </w:r>
      <w:r>
        <w:rPr>
          <w:rFonts w:hint="cs"/>
          <w:b/>
          <w:bCs/>
          <w:rtl/>
        </w:rPr>
        <w:tab/>
        <w:t xml:space="preserve">أن توفر التدريب لحرس الحدود في مجال حقوق ملتمسي اللجوء، وأن تنشئ آلية </w:t>
      </w:r>
      <w:proofErr w:type="spellStart"/>
      <w:r>
        <w:rPr>
          <w:rFonts w:hint="cs"/>
          <w:b/>
          <w:bCs/>
          <w:rtl/>
        </w:rPr>
        <w:t>لتسريع</w:t>
      </w:r>
      <w:proofErr w:type="spellEnd"/>
      <w:r>
        <w:rPr>
          <w:rFonts w:hint="cs"/>
          <w:b/>
          <w:bCs/>
          <w:rtl/>
        </w:rPr>
        <w:t xml:space="preserve"> عملية إحالة حرس الحدود ملتمسي اللجوء إلى السلطات المعنية باللجوء.</w:t>
      </w:r>
    </w:p>
    <w:p w:rsidR="00000000" w:rsidRDefault="00000000">
      <w:pPr>
        <w:spacing w:before="0" w:line="380" w:lineRule="exact"/>
        <w:jc w:val="both"/>
        <w:rPr>
          <w:rFonts w:hint="cs"/>
          <w:rtl/>
        </w:rPr>
      </w:pPr>
      <w:r>
        <w:rPr>
          <w:rStyle w:val="FootnoteReference"/>
          <w:rFonts w:hint="cs"/>
          <w:bCs w:val="0"/>
          <w:szCs w:val="30"/>
          <w:vertAlign w:val="baseline"/>
          <w:rtl/>
        </w:rPr>
        <w:t>8</w:t>
      </w:r>
      <w:r>
        <w:rPr>
          <w:rFonts w:hint="cs"/>
          <w:rtl/>
        </w:rPr>
        <w:t>-</w:t>
      </w:r>
      <w:r>
        <w:rPr>
          <w:rFonts w:hint="cs"/>
          <w:rtl/>
        </w:rPr>
        <w:tab/>
        <w:t xml:space="preserve">وإذ تعترف اللجنة </w:t>
      </w:r>
      <w:r>
        <w:rPr>
          <w:rFonts w:hint="cs"/>
          <w:i/>
          <w:iCs/>
          <w:rtl/>
        </w:rPr>
        <w:t>بقانون مكافحة العنف المنزلي ووقاية ضحاياه</w:t>
      </w:r>
      <w:r>
        <w:rPr>
          <w:rFonts w:hint="cs"/>
          <w:rtl/>
        </w:rPr>
        <w:t xml:space="preserve"> ودعمهم الذي اعتُمِد في أيار/مايو 2006، تظل قلقة إزاء العدد الذي لا يزال كبيراً من النساء </w:t>
      </w:r>
      <w:proofErr w:type="spellStart"/>
      <w:r>
        <w:rPr>
          <w:rFonts w:hint="cs"/>
          <w:rtl/>
        </w:rPr>
        <w:t>اللائي</w:t>
      </w:r>
      <w:proofErr w:type="spellEnd"/>
      <w:r>
        <w:rPr>
          <w:rFonts w:hint="cs"/>
          <w:rtl/>
        </w:rPr>
        <w:t xml:space="preserve"> يتعرضن في </w:t>
      </w:r>
      <w:proofErr w:type="spellStart"/>
      <w:r>
        <w:rPr>
          <w:rFonts w:hint="cs"/>
          <w:rtl/>
        </w:rPr>
        <w:t>جورجيا</w:t>
      </w:r>
      <w:proofErr w:type="spellEnd"/>
      <w:r>
        <w:rPr>
          <w:rFonts w:hint="cs"/>
          <w:rtl/>
        </w:rPr>
        <w:t xml:space="preserve"> للعنف، ولا سيما العنف المنزلي، فضلاً عن عدم كفاية التدابير والخدمات المتاحة لحماية الضحايا. وتلاحظ اللجنة بأسف أن الدولة الطرف ترى أن المنظمات غير الحكومية هي المسؤولة أساساً عن إنشاء وإدارة </w:t>
      </w:r>
      <w:proofErr w:type="spellStart"/>
      <w:r>
        <w:rPr>
          <w:rFonts w:hint="cs"/>
          <w:rtl/>
        </w:rPr>
        <w:t>مآوي</w:t>
      </w:r>
      <w:proofErr w:type="spellEnd"/>
      <w:r>
        <w:rPr>
          <w:rFonts w:hint="cs"/>
          <w:rtl/>
        </w:rPr>
        <w:t xml:space="preserve"> ضحايا العنف المنزلي دون أن توفر لها التمويل المناسب. (المواد 3 و23 و26)</w:t>
      </w:r>
    </w:p>
    <w:p w:rsidR="00000000" w:rsidRDefault="00000000">
      <w:pPr>
        <w:spacing w:before="0" w:line="380" w:lineRule="exact"/>
        <w:ind w:left="720"/>
        <w:jc w:val="both"/>
        <w:rPr>
          <w:rFonts w:hint="cs"/>
          <w:b/>
          <w:bCs/>
          <w:rtl/>
        </w:rPr>
      </w:pPr>
      <w:r>
        <w:rPr>
          <w:rFonts w:hint="cs"/>
          <w:b/>
          <w:bCs/>
          <w:rtl/>
        </w:rPr>
        <w:t>على الدولة الطرف أن تتخذ تدابير فورية لتنفيذ قانون عام 2006، ويشمل ذلك:</w:t>
      </w:r>
    </w:p>
    <w:p w:rsidR="00000000" w:rsidRDefault="00000000">
      <w:pPr>
        <w:spacing w:before="0" w:line="380" w:lineRule="exact"/>
        <w:ind w:left="720"/>
        <w:jc w:val="both"/>
        <w:rPr>
          <w:rFonts w:hint="cs"/>
          <w:b/>
          <w:bCs/>
          <w:rtl/>
        </w:rPr>
      </w:pPr>
      <w:r>
        <w:rPr>
          <w:rFonts w:hint="cs"/>
          <w:b/>
          <w:bCs/>
          <w:rtl/>
        </w:rPr>
        <w:tab/>
      </w:r>
      <w:r>
        <w:rPr>
          <w:rStyle w:val="FootnoteReference"/>
          <w:rFonts w:hint="cs"/>
          <w:b/>
          <w:bCs w:val="0"/>
          <w:szCs w:val="30"/>
          <w:vertAlign w:val="baseline"/>
          <w:rtl/>
        </w:rPr>
        <w:t>(</w:t>
      </w:r>
      <w:r>
        <w:rPr>
          <w:rFonts w:hint="cs"/>
          <w:b/>
          <w:bCs/>
          <w:rtl/>
        </w:rPr>
        <w:t>أ)</w:t>
      </w:r>
      <w:r>
        <w:rPr>
          <w:rFonts w:hint="cs"/>
          <w:b/>
          <w:bCs/>
          <w:rtl/>
        </w:rPr>
        <w:tab/>
        <w:t>إنشاء آلية لتجميع بيانات بشأن حوادث العنف المنزلي مصنفة حسب عوامل منها نوع الجنس والسن والعلاقة الأسرية للضحايا بالجناة، فضلاً عما تم من تحقيقات وملاحقات قضائية. وينبغي تعميم هذه المعلومات؛</w:t>
      </w:r>
    </w:p>
    <w:p w:rsidR="00000000" w:rsidRDefault="00000000">
      <w:pPr>
        <w:spacing w:before="0" w:line="380" w:lineRule="exact"/>
        <w:ind w:left="720"/>
        <w:jc w:val="both"/>
        <w:rPr>
          <w:rStyle w:val="FootnoteReference"/>
          <w:rFonts w:hint="cs"/>
          <w:b/>
          <w:bCs w:val="0"/>
          <w:szCs w:val="30"/>
          <w:vertAlign w:val="baseline"/>
          <w:rtl/>
        </w:rPr>
      </w:pPr>
      <w:r>
        <w:rPr>
          <w:rFonts w:hint="cs"/>
          <w:b/>
          <w:bCs/>
          <w:rtl/>
        </w:rPr>
        <w:tab/>
      </w:r>
      <w:r>
        <w:rPr>
          <w:rStyle w:val="FootnoteReference"/>
          <w:rFonts w:hint="cs"/>
          <w:b/>
          <w:bCs w:val="0"/>
          <w:szCs w:val="30"/>
          <w:vertAlign w:val="baseline"/>
          <w:rtl/>
        </w:rPr>
        <w:t>(</w:t>
      </w:r>
      <w:r>
        <w:rPr>
          <w:rFonts w:hint="cs"/>
          <w:b/>
          <w:bCs/>
          <w:rtl/>
        </w:rPr>
        <w:t>ب)</w:t>
      </w:r>
      <w:r>
        <w:rPr>
          <w:rFonts w:hint="cs"/>
          <w:b/>
          <w:bCs/>
          <w:rtl/>
        </w:rPr>
        <w:tab/>
        <w:t>التحقيق على الفور في الشكاوى المتعلقة بالعنف المنزلي وغير ذلك من أعمال العنف ضد المرأة، من قبيل اختطاف العرائس والاغتصاب، ومباشرة الإجراءات الجنائية في حق الجناة؛</w:t>
      </w:r>
    </w:p>
    <w:p w:rsidR="00000000" w:rsidRDefault="00000000">
      <w:pPr>
        <w:spacing w:before="0" w:line="380" w:lineRule="exact"/>
        <w:ind w:left="720"/>
        <w:jc w:val="both"/>
        <w:rPr>
          <w:rFonts w:hint="cs"/>
          <w:b/>
          <w:bCs/>
          <w:rtl/>
        </w:rPr>
      </w:pPr>
      <w:r>
        <w:rPr>
          <w:rFonts w:hint="cs"/>
          <w:b/>
          <w:bCs/>
          <w:rtl/>
        </w:rPr>
        <w:tab/>
      </w:r>
      <w:r>
        <w:rPr>
          <w:rStyle w:val="FootnoteReference"/>
          <w:rFonts w:hint="cs"/>
          <w:b/>
          <w:bCs w:val="0"/>
          <w:szCs w:val="30"/>
          <w:vertAlign w:val="baseline"/>
          <w:rtl/>
        </w:rPr>
        <w:t>(</w:t>
      </w:r>
      <w:r>
        <w:rPr>
          <w:rFonts w:hint="cs"/>
          <w:b/>
          <w:bCs/>
          <w:rtl/>
        </w:rPr>
        <w:t>ج)</w:t>
      </w:r>
      <w:r>
        <w:rPr>
          <w:rFonts w:hint="cs"/>
          <w:b/>
          <w:bCs/>
          <w:rtl/>
        </w:rPr>
        <w:tab/>
        <w:t xml:space="preserve">اتخاذ جميع التدابير اللازمة لحماية ضحايا العنف المنزلي، بما في ذلك إنشاء عدد كاف من </w:t>
      </w:r>
      <w:proofErr w:type="spellStart"/>
      <w:r>
        <w:rPr>
          <w:rFonts w:hint="cs"/>
          <w:b/>
          <w:bCs/>
          <w:rtl/>
        </w:rPr>
        <w:t>المآوي</w:t>
      </w:r>
      <w:proofErr w:type="spellEnd"/>
      <w:r>
        <w:rPr>
          <w:rFonts w:hint="cs"/>
          <w:b/>
          <w:bCs/>
          <w:rtl/>
        </w:rPr>
        <w:t xml:space="preserve"> المناسبة على نطاق البلد.</w:t>
      </w:r>
    </w:p>
    <w:p w:rsidR="00000000" w:rsidRDefault="00000000">
      <w:pPr>
        <w:spacing w:before="0" w:line="380" w:lineRule="exact"/>
        <w:jc w:val="both"/>
        <w:rPr>
          <w:rFonts w:hint="cs"/>
          <w:spacing w:val="0"/>
          <w:rtl/>
        </w:rPr>
      </w:pPr>
      <w:r>
        <w:rPr>
          <w:rStyle w:val="FootnoteReference"/>
          <w:rFonts w:hint="cs"/>
          <w:bCs w:val="0"/>
          <w:spacing w:val="0"/>
          <w:szCs w:val="30"/>
          <w:vertAlign w:val="baseline"/>
          <w:rtl/>
        </w:rPr>
        <w:t>9</w:t>
      </w:r>
      <w:r>
        <w:rPr>
          <w:rFonts w:hint="cs"/>
          <w:spacing w:val="0"/>
          <w:rtl/>
        </w:rPr>
        <w:t>-</w:t>
      </w:r>
      <w:r>
        <w:rPr>
          <w:rFonts w:hint="cs"/>
          <w:spacing w:val="0"/>
          <w:rtl/>
        </w:rPr>
        <w:tab/>
        <w:t xml:space="preserve">وينتاب اللجنة القلق إزاء الادعاءات بوقوع وفيات بسبب إفراط الشرطة وموظفي السجون في استخدام القوة. وتشعر بالقلق على وجه الخصوص إزاء التمرد الذي حصل في سجن </w:t>
      </w:r>
      <w:proofErr w:type="spellStart"/>
      <w:r>
        <w:rPr>
          <w:rFonts w:hint="cs"/>
          <w:spacing w:val="0"/>
          <w:rtl/>
        </w:rPr>
        <w:t>تبيليسي</w:t>
      </w:r>
      <w:proofErr w:type="spellEnd"/>
      <w:r>
        <w:rPr>
          <w:rFonts w:hint="cs"/>
          <w:spacing w:val="0"/>
          <w:rtl/>
        </w:rPr>
        <w:t xml:space="preserve"> رقم 5 في آذار/مارس 2006، حيث يُدعى وفاة سبعة نزلاء على الأقل. (المادة 6)</w:t>
      </w:r>
    </w:p>
    <w:p w:rsidR="00000000" w:rsidRDefault="00000000">
      <w:pPr>
        <w:spacing w:before="0" w:line="380" w:lineRule="exact"/>
        <w:ind w:left="720"/>
        <w:jc w:val="both"/>
        <w:rPr>
          <w:rFonts w:hint="cs"/>
          <w:b/>
          <w:bCs/>
          <w:rtl/>
        </w:rPr>
      </w:pPr>
      <w:r>
        <w:rPr>
          <w:rFonts w:hint="cs"/>
          <w:b/>
          <w:bCs/>
          <w:rtl/>
        </w:rPr>
        <w:t>على الدولة الطرف أن تتخذ تدابير صارمة للقضاء على جميع أشكال استخدام موظفي إنفاذ القوانين المفرط للقوة. وينبغي على وجه الخصوص:</w:t>
      </w:r>
    </w:p>
    <w:p w:rsidR="00000000" w:rsidRDefault="00000000">
      <w:pPr>
        <w:spacing w:before="0" w:line="380" w:lineRule="exact"/>
        <w:ind w:left="720"/>
        <w:jc w:val="both"/>
        <w:rPr>
          <w:rFonts w:hint="cs"/>
          <w:b/>
          <w:bCs/>
          <w:rtl/>
        </w:rPr>
      </w:pPr>
      <w:r>
        <w:rPr>
          <w:rFonts w:hint="cs"/>
          <w:b/>
          <w:bCs/>
          <w:rtl/>
        </w:rPr>
        <w:tab/>
      </w:r>
      <w:r>
        <w:rPr>
          <w:rStyle w:val="FootnoteReference"/>
          <w:rFonts w:hint="cs"/>
          <w:b/>
          <w:bCs w:val="0"/>
          <w:szCs w:val="30"/>
          <w:vertAlign w:val="baseline"/>
          <w:rtl/>
        </w:rPr>
        <w:t>(</w:t>
      </w:r>
      <w:r>
        <w:rPr>
          <w:rFonts w:hint="cs"/>
          <w:b/>
          <w:bCs/>
          <w:rtl/>
        </w:rPr>
        <w:t>أ)</w:t>
      </w:r>
      <w:r>
        <w:rPr>
          <w:rFonts w:hint="cs"/>
          <w:b/>
          <w:bCs/>
          <w:rtl/>
        </w:rPr>
        <w:tab/>
      </w:r>
      <w:r>
        <w:rPr>
          <w:rStyle w:val="FootnoteReference"/>
          <w:rFonts w:hint="cs"/>
          <w:b/>
          <w:bCs w:val="0"/>
          <w:szCs w:val="30"/>
          <w:vertAlign w:val="baseline"/>
          <w:rtl/>
        </w:rPr>
        <w:t>أ</w:t>
      </w:r>
      <w:r>
        <w:rPr>
          <w:rFonts w:hint="cs"/>
          <w:b/>
          <w:bCs/>
          <w:rtl/>
        </w:rPr>
        <w:t xml:space="preserve">ن تكفل التحقيق الفوري والنزيه في الشكاوى المتعلقة بأعمال موظفي إنفاذ القوانين وأن تعمم نتائج هذه التحقيقات، ويشمل ذلك ما يتعلق بالتمرد الذي حصل عام 2006 في سجن </w:t>
      </w:r>
      <w:proofErr w:type="spellStart"/>
      <w:r>
        <w:rPr>
          <w:rFonts w:hint="cs"/>
          <w:b/>
          <w:bCs/>
          <w:rtl/>
        </w:rPr>
        <w:t>تبيليسي</w:t>
      </w:r>
      <w:proofErr w:type="spellEnd"/>
      <w:r>
        <w:rPr>
          <w:rFonts w:hint="cs"/>
          <w:b/>
          <w:bCs/>
          <w:rtl/>
        </w:rPr>
        <w:t xml:space="preserve"> رقم 5؛</w:t>
      </w:r>
    </w:p>
    <w:p w:rsidR="00000000" w:rsidRDefault="00000000">
      <w:pPr>
        <w:spacing w:before="0" w:line="380" w:lineRule="exact"/>
        <w:ind w:left="720"/>
        <w:jc w:val="both"/>
        <w:rPr>
          <w:rFonts w:hint="cs"/>
          <w:b/>
          <w:bCs/>
          <w:rtl/>
        </w:rPr>
      </w:pPr>
      <w:r>
        <w:rPr>
          <w:rFonts w:hint="cs"/>
          <w:b/>
          <w:bCs/>
          <w:rtl/>
        </w:rPr>
        <w:tab/>
      </w:r>
      <w:r>
        <w:rPr>
          <w:rStyle w:val="FootnoteReference"/>
          <w:rFonts w:hint="cs"/>
          <w:b/>
          <w:bCs w:val="0"/>
          <w:szCs w:val="30"/>
          <w:vertAlign w:val="baseline"/>
          <w:rtl/>
        </w:rPr>
        <w:t>(</w:t>
      </w:r>
      <w:r>
        <w:rPr>
          <w:rFonts w:hint="cs"/>
          <w:b/>
          <w:bCs/>
          <w:rtl/>
        </w:rPr>
        <w:t>ب)</w:t>
      </w:r>
      <w:r>
        <w:rPr>
          <w:rFonts w:hint="cs"/>
          <w:b/>
          <w:bCs/>
          <w:rtl/>
        </w:rPr>
        <w:tab/>
        <w:t>أن تباشر الإجراءات الجنائية في حق الجناة المشتبه فيهم؛</w:t>
      </w:r>
    </w:p>
    <w:p w:rsidR="00000000" w:rsidRDefault="00000000">
      <w:pPr>
        <w:spacing w:before="0" w:line="380" w:lineRule="exact"/>
        <w:ind w:left="720"/>
        <w:jc w:val="both"/>
        <w:rPr>
          <w:rFonts w:hint="cs"/>
          <w:b/>
          <w:bCs/>
          <w:rtl/>
        </w:rPr>
      </w:pPr>
      <w:r>
        <w:rPr>
          <w:rFonts w:hint="cs"/>
          <w:b/>
          <w:bCs/>
          <w:rtl/>
        </w:rPr>
        <w:tab/>
      </w:r>
      <w:r>
        <w:rPr>
          <w:rStyle w:val="FootnoteReference"/>
          <w:rFonts w:hint="cs"/>
          <w:b/>
          <w:bCs w:val="0"/>
          <w:szCs w:val="30"/>
          <w:vertAlign w:val="baseline"/>
          <w:rtl/>
        </w:rPr>
        <w:t>(</w:t>
      </w:r>
      <w:r>
        <w:rPr>
          <w:rFonts w:hint="cs"/>
          <w:b/>
          <w:bCs/>
          <w:rtl/>
        </w:rPr>
        <w:t>ج)</w:t>
      </w:r>
      <w:r>
        <w:rPr>
          <w:rFonts w:hint="cs"/>
          <w:b/>
          <w:bCs/>
          <w:rtl/>
        </w:rPr>
        <w:tab/>
        <w:t xml:space="preserve">أن توفر التدريب لضباط إنفاذ القوانين فيما يتعلق بالطابع الجنائي للاستخدام المفرط للقوة وبمبدأ توخي التناسب لدى استخدام القوة. وفي هذا الصدد، تلفت اللجنة انتباه الدولة الطرف إلى </w:t>
      </w:r>
      <w:r>
        <w:rPr>
          <w:b/>
          <w:bCs/>
          <w:rtl/>
        </w:rPr>
        <w:t>مبادئ الأمم المتحدة الأساسية المتعلقة باستخدام القوة والأسلحة النارية من قبل موظفي إنفاذ القوانين</w:t>
      </w:r>
      <w:r>
        <w:rPr>
          <w:rFonts w:hint="cs"/>
          <w:b/>
          <w:bCs/>
          <w:rtl/>
        </w:rPr>
        <w:t xml:space="preserve"> لعام 1990؛</w:t>
      </w:r>
    </w:p>
    <w:p w:rsidR="00000000" w:rsidRDefault="00000000">
      <w:pPr>
        <w:spacing w:before="0" w:line="380" w:lineRule="exact"/>
        <w:ind w:left="720"/>
        <w:jc w:val="both"/>
        <w:rPr>
          <w:rFonts w:hint="cs"/>
          <w:b/>
          <w:bCs/>
          <w:rtl/>
        </w:rPr>
      </w:pPr>
      <w:r>
        <w:rPr>
          <w:rFonts w:hint="cs"/>
          <w:b/>
          <w:bCs/>
          <w:rtl/>
        </w:rPr>
        <w:tab/>
      </w:r>
      <w:r>
        <w:rPr>
          <w:rStyle w:val="FootnoteReference"/>
          <w:rFonts w:hint="cs"/>
          <w:b/>
          <w:bCs w:val="0"/>
          <w:szCs w:val="30"/>
          <w:vertAlign w:val="baseline"/>
          <w:rtl/>
        </w:rPr>
        <w:t>(</w:t>
      </w:r>
      <w:r>
        <w:rPr>
          <w:rFonts w:hint="cs"/>
          <w:b/>
          <w:bCs/>
          <w:rtl/>
        </w:rPr>
        <w:t>د)</w:t>
      </w:r>
      <w:r>
        <w:rPr>
          <w:rFonts w:hint="cs"/>
          <w:b/>
          <w:bCs/>
          <w:rtl/>
        </w:rPr>
        <w:tab/>
        <w:t>أن تقدم التعويضات للضحايا و/أو أسرهم.</w:t>
      </w:r>
    </w:p>
    <w:p w:rsidR="00000000" w:rsidRDefault="00000000">
      <w:pPr>
        <w:spacing w:before="0" w:line="380" w:lineRule="exact"/>
        <w:jc w:val="both"/>
        <w:rPr>
          <w:rFonts w:hint="cs"/>
          <w:rtl/>
        </w:rPr>
      </w:pPr>
      <w:r>
        <w:rPr>
          <w:rStyle w:val="FootnoteReference"/>
          <w:rFonts w:hint="cs"/>
          <w:bCs w:val="0"/>
          <w:szCs w:val="30"/>
          <w:vertAlign w:val="baseline"/>
          <w:rtl/>
        </w:rPr>
        <w:t>1</w:t>
      </w:r>
      <w:r>
        <w:rPr>
          <w:rFonts w:hint="cs"/>
          <w:rtl/>
        </w:rPr>
        <w:t>0-</w:t>
      </w:r>
      <w:r>
        <w:rPr>
          <w:rFonts w:hint="cs"/>
          <w:rtl/>
        </w:rPr>
        <w:tab/>
        <w:t xml:space="preserve">وإذ تعترف اللجنة بما اتخذته الدولة الطرف من تدابير تشريعية وقضائية </w:t>
      </w:r>
      <w:r>
        <w:rPr>
          <w:rStyle w:val="FootnoteReference"/>
          <w:rFonts w:hint="cs"/>
          <w:bCs w:val="0"/>
          <w:szCs w:val="30"/>
          <w:vertAlign w:val="baseline"/>
          <w:rtl/>
        </w:rPr>
        <w:t>و</w:t>
      </w:r>
      <w:r>
        <w:rPr>
          <w:rFonts w:hint="cs"/>
          <w:rtl/>
        </w:rPr>
        <w:t>على صعيد الرصد من أجل تعزيز الضمانات ضد التعذيب وغيره من ضروب المعاملة السيئة وبالانخفاض الهام لادعاءات تعرض من هم رهن الاعتقال لهذا النوع من المعاملة، إلا أنها تأسف لاستمرار ورود تقارير عن اقتراف الشرطة لأفعال المعاملة السيئة، وبخاصة لدى القبض على المشتبه بهم. (المواد 2 و7 و9)</w:t>
      </w:r>
    </w:p>
    <w:p w:rsidR="00000000" w:rsidRDefault="00000000">
      <w:pPr>
        <w:spacing w:before="0" w:line="380" w:lineRule="exact"/>
        <w:ind w:left="720"/>
        <w:jc w:val="both"/>
        <w:rPr>
          <w:rFonts w:hint="cs"/>
          <w:b/>
          <w:bCs/>
          <w:spacing w:val="0"/>
          <w:rtl/>
        </w:rPr>
      </w:pPr>
      <w:r>
        <w:rPr>
          <w:rFonts w:hint="cs"/>
          <w:b/>
          <w:bCs/>
          <w:spacing w:val="0"/>
          <w:rtl/>
        </w:rPr>
        <w:t>ينبغي على الدولة الطرف:</w:t>
      </w:r>
    </w:p>
    <w:p w:rsidR="00000000" w:rsidRDefault="00000000">
      <w:pPr>
        <w:spacing w:before="0" w:line="380" w:lineRule="exact"/>
        <w:ind w:left="720"/>
        <w:jc w:val="both"/>
        <w:rPr>
          <w:rFonts w:hint="cs"/>
          <w:b/>
          <w:bCs/>
          <w:spacing w:val="0"/>
          <w:rtl/>
        </w:rPr>
      </w:pPr>
      <w:r>
        <w:rPr>
          <w:rFonts w:hint="cs"/>
          <w:b/>
          <w:bCs/>
          <w:spacing w:val="0"/>
          <w:rtl/>
        </w:rPr>
        <w:tab/>
      </w:r>
      <w:r>
        <w:rPr>
          <w:rStyle w:val="FootnoteReference"/>
          <w:rFonts w:hint="cs"/>
          <w:b/>
          <w:spacing w:val="0"/>
          <w:szCs w:val="30"/>
          <w:vertAlign w:val="baseline"/>
          <w:rtl/>
        </w:rPr>
        <w:t>(</w:t>
      </w:r>
      <w:r>
        <w:rPr>
          <w:rFonts w:hint="cs"/>
          <w:b/>
          <w:bCs/>
          <w:spacing w:val="0"/>
          <w:rtl/>
        </w:rPr>
        <w:t>أ)</w:t>
      </w:r>
      <w:r>
        <w:rPr>
          <w:rFonts w:hint="cs"/>
          <w:b/>
          <w:bCs/>
          <w:spacing w:val="0"/>
          <w:rtl/>
        </w:rPr>
        <w:tab/>
        <w:t>أن تكفل التحقيق الفوري والنزيه في الشكاوى المتعلقة بمزاعم التعرض للتعذيب وغيره من ضروب المعاملة السيئة، وأن تباشر الإجراءات الجنائية في حق الجناة المشتبه فيهم؛</w:t>
      </w:r>
    </w:p>
    <w:p w:rsidR="00000000" w:rsidRDefault="00000000">
      <w:pPr>
        <w:spacing w:before="0" w:line="380" w:lineRule="exact"/>
        <w:ind w:left="720"/>
        <w:jc w:val="both"/>
        <w:rPr>
          <w:rFonts w:hint="cs"/>
          <w:b/>
          <w:bCs/>
          <w:spacing w:val="0"/>
          <w:rtl/>
        </w:rPr>
      </w:pPr>
      <w:r>
        <w:rPr>
          <w:rFonts w:hint="cs"/>
          <w:b/>
          <w:bCs/>
          <w:spacing w:val="0"/>
          <w:rtl/>
        </w:rPr>
        <w:tab/>
      </w:r>
      <w:r>
        <w:rPr>
          <w:rStyle w:val="FootnoteReference"/>
          <w:rFonts w:hint="cs"/>
          <w:b/>
          <w:spacing w:val="0"/>
          <w:szCs w:val="30"/>
          <w:vertAlign w:val="baseline"/>
          <w:rtl/>
        </w:rPr>
        <w:t>(</w:t>
      </w:r>
      <w:r>
        <w:rPr>
          <w:rFonts w:hint="cs"/>
          <w:b/>
          <w:bCs/>
          <w:spacing w:val="0"/>
          <w:rtl/>
        </w:rPr>
        <w:t>ب)</w:t>
      </w:r>
      <w:r>
        <w:rPr>
          <w:rFonts w:hint="cs"/>
          <w:b/>
          <w:bCs/>
          <w:spacing w:val="0"/>
          <w:rtl/>
        </w:rPr>
        <w:tab/>
        <w:t>أن تكفل الجبر المناسب للضحايا؛</w:t>
      </w:r>
    </w:p>
    <w:p w:rsidR="00000000" w:rsidRDefault="00000000">
      <w:pPr>
        <w:spacing w:before="0" w:line="380" w:lineRule="exact"/>
        <w:ind w:left="720"/>
        <w:jc w:val="both"/>
        <w:rPr>
          <w:rFonts w:hint="cs"/>
          <w:b/>
          <w:bCs/>
          <w:spacing w:val="0"/>
          <w:rtl/>
        </w:rPr>
      </w:pPr>
      <w:r>
        <w:rPr>
          <w:rFonts w:hint="cs"/>
          <w:b/>
          <w:bCs/>
          <w:spacing w:val="0"/>
          <w:rtl/>
        </w:rPr>
        <w:tab/>
      </w:r>
      <w:r>
        <w:rPr>
          <w:rStyle w:val="FootnoteReference"/>
          <w:rFonts w:hint="cs"/>
          <w:b/>
          <w:spacing w:val="0"/>
          <w:szCs w:val="30"/>
          <w:vertAlign w:val="baseline"/>
          <w:rtl/>
        </w:rPr>
        <w:t>(</w:t>
      </w:r>
      <w:r>
        <w:rPr>
          <w:rFonts w:hint="cs"/>
          <w:b/>
          <w:bCs/>
          <w:spacing w:val="0"/>
          <w:rtl/>
        </w:rPr>
        <w:t>ج)</w:t>
      </w:r>
      <w:r>
        <w:rPr>
          <w:rFonts w:hint="cs"/>
          <w:b/>
          <w:bCs/>
          <w:spacing w:val="0"/>
          <w:rtl/>
        </w:rPr>
        <w:tab/>
        <w:t xml:space="preserve">أن تنشئ </w:t>
      </w:r>
      <w:proofErr w:type="spellStart"/>
      <w:r>
        <w:rPr>
          <w:rFonts w:hint="cs"/>
          <w:b/>
          <w:bCs/>
          <w:spacing w:val="0"/>
          <w:rtl/>
        </w:rPr>
        <w:t>أليات</w:t>
      </w:r>
      <w:proofErr w:type="spellEnd"/>
      <w:r>
        <w:rPr>
          <w:rFonts w:hint="cs"/>
          <w:b/>
          <w:bCs/>
          <w:spacing w:val="0"/>
          <w:rtl/>
        </w:rPr>
        <w:t xml:space="preserve"> وطنية مستقلة ومختصة لمنع التعذيب، وفقا</w:t>
      </w:r>
      <w:r>
        <w:rPr>
          <w:rFonts w:hint="cs"/>
          <w:rtl/>
        </w:rPr>
        <w:t>ً</w:t>
      </w:r>
      <w:r>
        <w:rPr>
          <w:rFonts w:hint="cs"/>
          <w:b/>
          <w:bCs/>
          <w:spacing w:val="0"/>
          <w:rtl/>
        </w:rPr>
        <w:t xml:space="preserve"> للبروتوكول </w:t>
      </w:r>
      <w:r>
        <w:rPr>
          <w:b/>
          <w:bCs/>
          <w:spacing w:val="0"/>
          <w:rtl/>
        </w:rPr>
        <w:t>الاختياري لاتفاقية مناهضة التعذيب وغيره من ضروب المعاملة أو العقوبة القاسية أو اللاإنسانية أو المهينة</w:t>
      </w:r>
      <w:r>
        <w:rPr>
          <w:rFonts w:hint="cs"/>
          <w:b/>
          <w:bCs/>
          <w:spacing w:val="0"/>
          <w:rtl/>
        </w:rPr>
        <w:t>، مثل المكتب الحالي ل</w:t>
      </w:r>
      <w:r>
        <w:rPr>
          <w:b/>
          <w:bCs/>
          <w:spacing w:val="0"/>
          <w:rtl/>
        </w:rPr>
        <w:t>محامي المساعدة القضائية</w:t>
      </w:r>
      <w:r>
        <w:rPr>
          <w:rFonts w:hint="cs"/>
          <w:b/>
          <w:bCs/>
          <w:spacing w:val="0"/>
          <w:rtl/>
        </w:rPr>
        <w:t>؛</w:t>
      </w:r>
    </w:p>
    <w:p w:rsidR="00000000" w:rsidRDefault="00000000">
      <w:pPr>
        <w:spacing w:before="0" w:line="380" w:lineRule="exact"/>
        <w:ind w:left="720"/>
        <w:jc w:val="both"/>
        <w:rPr>
          <w:rFonts w:hint="cs"/>
          <w:b/>
          <w:bCs/>
          <w:spacing w:val="0"/>
          <w:rtl/>
        </w:rPr>
      </w:pPr>
      <w:r>
        <w:rPr>
          <w:rFonts w:hint="cs"/>
          <w:b/>
          <w:bCs/>
          <w:spacing w:val="0"/>
          <w:rtl/>
        </w:rPr>
        <w:tab/>
      </w:r>
      <w:r>
        <w:rPr>
          <w:rStyle w:val="FootnoteReference"/>
          <w:rFonts w:hint="cs"/>
          <w:b/>
          <w:spacing w:val="0"/>
          <w:szCs w:val="30"/>
          <w:vertAlign w:val="baseline"/>
          <w:rtl/>
        </w:rPr>
        <w:t>(</w:t>
      </w:r>
      <w:r>
        <w:rPr>
          <w:rFonts w:hint="cs"/>
          <w:b/>
          <w:bCs/>
          <w:spacing w:val="0"/>
          <w:rtl/>
        </w:rPr>
        <w:t>د)</w:t>
      </w:r>
      <w:r>
        <w:rPr>
          <w:rFonts w:hint="cs"/>
          <w:b/>
          <w:bCs/>
          <w:spacing w:val="0"/>
          <w:rtl/>
        </w:rPr>
        <w:tab/>
        <w:t xml:space="preserve">أن تواصل وضع خطة عمل شاملة لمناهضة التعذيب وغيره من ضروب المعاملة السيئة في السنوات القادمة، آخذةً في الاعتبار التوصيات التي قدمها </w:t>
      </w:r>
      <w:r>
        <w:rPr>
          <w:b/>
          <w:bCs/>
          <w:spacing w:val="0"/>
          <w:rtl/>
        </w:rPr>
        <w:t>المقرر الخاص المعني بمسألة التعذيب وغيره من ضروب المعاملة أو العقوبة القاسية أو اللاإنسانية أو المهينة</w:t>
      </w:r>
      <w:r>
        <w:rPr>
          <w:rFonts w:hint="cs"/>
          <w:b/>
          <w:bCs/>
          <w:spacing w:val="0"/>
          <w:rtl/>
        </w:rPr>
        <w:t xml:space="preserve"> عقب زيارته إلى </w:t>
      </w:r>
      <w:proofErr w:type="spellStart"/>
      <w:r>
        <w:rPr>
          <w:rFonts w:hint="cs"/>
          <w:b/>
          <w:bCs/>
          <w:spacing w:val="0"/>
          <w:rtl/>
        </w:rPr>
        <w:t>جورجيا</w:t>
      </w:r>
      <w:proofErr w:type="spellEnd"/>
      <w:r>
        <w:rPr>
          <w:rFonts w:hint="cs"/>
          <w:b/>
          <w:bCs/>
          <w:spacing w:val="0"/>
          <w:rtl/>
        </w:rPr>
        <w:t xml:space="preserve"> عام 2005.</w:t>
      </w:r>
    </w:p>
    <w:p w:rsidR="00000000" w:rsidRDefault="00000000">
      <w:pPr>
        <w:spacing w:before="0" w:line="380" w:lineRule="exact"/>
        <w:jc w:val="both"/>
        <w:rPr>
          <w:rFonts w:hint="cs"/>
          <w:rtl/>
        </w:rPr>
      </w:pPr>
      <w:r>
        <w:rPr>
          <w:rStyle w:val="FootnoteReference"/>
          <w:rFonts w:hint="cs"/>
          <w:bCs w:val="0"/>
          <w:szCs w:val="30"/>
          <w:vertAlign w:val="baseline"/>
          <w:rtl/>
        </w:rPr>
        <w:t>1</w:t>
      </w:r>
      <w:r>
        <w:rPr>
          <w:rFonts w:hint="cs"/>
          <w:rtl/>
        </w:rPr>
        <w:t>1-</w:t>
      </w:r>
      <w:r>
        <w:rPr>
          <w:rFonts w:hint="cs"/>
          <w:rtl/>
        </w:rPr>
        <w:tab/>
        <w:t xml:space="preserve">وإذ تلاحظ اللجنة التدابير التي اتخذتها الدولة الطرف لتحسين معاملة السجناء، من قبيل بناء السجن الجديد في مقاطعة </w:t>
      </w:r>
      <w:proofErr w:type="spellStart"/>
      <w:r>
        <w:rPr>
          <w:rFonts w:hint="cs"/>
          <w:rtl/>
        </w:rPr>
        <w:t>غلداني</w:t>
      </w:r>
      <w:proofErr w:type="spellEnd"/>
      <w:r>
        <w:rPr>
          <w:rFonts w:hint="cs"/>
          <w:rtl/>
        </w:rPr>
        <w:t xml:space="preserve"> (</w:t>
      </w:r>
      <w:proofErr w:type="spellStart"/>
      <w:r>
        <w:rPr>
          <w:rFonts w:hint="cs"/>
          <w:rtl/>
        </w:rPr>
        <w:t>تبيليسي</w:t>
      </w:r>
      <w:proofErr w:type="spellEnd"/>
      <w:r>
        <w:rPr>
          <w:rFonts w:hint="cs"/>
          <w:rtl/>
        </w:rPr>
        <w:t>)، تظل قلقة إزاء استمرار الأوضاع السيئة في عدد من السجون في الدولة الطرف، مثل شدة الاكتظاظ بالنزلاء وضعف الحصص الغذائية وسوء نوعيتها وعدم كفاية ما ينفذ إلى الداخل من الضوء الطبيعي والهواء النقي وعدم كفاية شروط النظافة الصحية الشخصية، وإزاء العدد الكبير من وفيات السجناء التي يُدعى أنها تعود إلى أحوال السجون التي ترقى إلى مستوى المعاملة السيئة في بعضها. (المادة 10)</w:t>
      </w:r>
    </w:p>
    <w:p w:rsidR="00000000" w:rsidRDefault="00000000">
      <w:pPr>
        <w:spacing w:before="0" w:line="380" w:lineRule="exact"/>
        <w:ind w:left="720"/>
        <w:jc w:val="both"/>
        <w:rPr>
          <w:rFonts w:hint="cs"/>
          <w:b/>
          <w:bCs/>
          <w:rtl/>
        </w:rPr>
      </w:pPr>
      <w:r>
        <w:rPr>
          <w:rFonts w:hint="cs"/>
          <w:b/>
          <w:bCs/>
          <w:rtl/>
        </w:rPr>
        <w:t xml:space="preserve">على الدولة الطرف أن تتخذ تدابير فورية حازمة وإيجابية ومنسَّقة لتحسين أحوال جميع المحرومين من حريتهم قبل المحاكمة وبعد الإدانة، تستوفي جميع الشروط الموضحة في </w:t>
      </w:r>
      <w:r>
        <w:rPr>
          <w:b/>
          <w:bCs/>
          <w:rtl/>
        </w:rPr>
        <w:t xml:space="preserve">قواعد الأمم المتحدة النموذجية </w:t>
      </w:r>
      <w:r>
        <w:rPr>
          <w:rFonts w:hint="cs"/>
          <w:b/>
          <w:bCs/>
          <w:rtl/>
        </w:rPr>
        <w:t xml:space="preserve">الدنيا </w:t>
      </w:r>
      <w:r>
        <w:rPr>
          <w:b/>
          <w:bCs/>
          <w:rtl/>
        </w:rPr>
        <w:t>لمعاملة السجناء</w:t>
      </w:r>
      <w:r>
        <w:rPr>
          <w:rFonts w:hint="cs"/>
          <w:b/>
          <w:bCs/>
          <w:rtl/>
        </w:rPr>
        <w:t>. وينبغي على وجه الخصوص وضع حد على الفور لمشكل شدة الاكتظاظ. وبالإضافة إلى ذلك، يجب على الدولة الطرف أن تنفذ مبدأ بدائل السجن.</w:t>
      </w:r>
    </w:p>
    <w:p w:rsidR="00000000" w:rsidRDefault="00000000">
      <w:pPr>
        <w:spacing w:before="0" w:line="380" w:lineRule="exact"/>
        <w:jc w:val="both"/>
        <w:rPr>
          <w:rFonts w:hint="cs"/>
          <w:rtl/>
        </w:rPr>
      </w:pPr>
      <w:r>
        <w:rPr>
          <w:rStyle w:val="FootnoteReference"/>
          <w:rFonts w:hint="cs"/>
          <w:bCs w:val="0"/>
          <w:szCs w:val="30"/>
          <w:vertAlign w:val="baseline"/>
          <w:rtl/>
        </w:rPr>
        <w:t>1</w:t>
      </w:r>
      <w:r>
        <w:rPr>
          <w:rFonts w:hint="cs"/>
          <w:rtl/>
        </w:rPr>
        <w:t>2-</w:t>
      </w:r>
      <w:r>
        <w:rPr>
          <w:rFonts w:hint="cs"/>
          <w:rtl/>
        </w:rPr>
        <w:tab/>
        <w:t xml:space="preserve">وإذ تدرك اللجنة اعتماد الدولة الطرف للاستراتيجية الرامية إلى تمكين المشردين داخلياً من أن يعيشوا حياة عادية مع احتفاظهم في الوقت نفسه بحقهم في العودة، وجهودها الرامية إلى إعداد خطة عمل في هذا الصدد، فضلاً عن التدابير المتخذة لتهيئة ظروف عودتهم </w:t>
      </w:r>
      <w:proofErr w:type="spellStart"/>
      <w:r>
        <w:rPr>
          <w:rFonts w:hint="cs"/>
          <w:rtl/>
        </w:rPr>
        <w:t>الطوعية</w:t>
      </w:r>
      <w:proofErr w:type="spellEnd"/>
      <w:r>
        <w:rPr>
          <w:rFonts w:hint="cs"/>
          <w:rtl/>
        </w:rPr>
        <w:t xml:space="preserve"> إلى أماكن إقامتهم الدائمة، فإنها تأسف لما أفادته التقارير من حالات الإخلاء القسري من المراكز الجماعية في مناطق </w:t>
      </w:r>
      <w:proofErr w:type="spellStart"/>
      <w:r>
        <w:rPr>
          <w:rFonts w:hint="cs"/>
          <w:rtl/>
        </w:rPr>
        <w:t>تبيليسي</w:t>
      </w:r>
      <w:proofErr w:type="spellEnd"/>
      <w:r>
        <w:rPr>
          <w:rFonts w:hint="cs"/>
          <w:rtl/>
        </w:rPr>
        <w:t xml:space="preserve"> </w:t>
      </w:r>
      <w:proofErr w:type="spellStart"/>
      <w:r>
        <w:rPr>
          <w:rFonts w:hint="cs"/>
          <w:rtl/>
        </w:rPr>
        <w:t>وكوتايسي</w:t>
      </w:r>
      <w:proofErr w:type="spellEnd"/>
      <w:r>
        <w:rPr>
          <w:rFonts w:hint="cs"/>
          <w:rtl/>
        </w:rPr>
        <w:t xml:space="preserve"> </w:t>
      </w:r>
      <w:proofErr w:type="spellStart"/>
      <w:r>
        <w:rPr>
          <w:rFonts w:hint="cs"/>
          <w:rtl/>
        </w:rPr>
        <w:t>وأدجارا</w:t>
      </w:r>
      <w:proofErr w:type="spellEnd"/>
      <w:r>
        <w:rPr>
          <w:rFonts w:hint="cs"/>
          <w:rtl/>
        </w:rPr>
        <w:t xml:space="preserve"> دون قرار صادر عن محكمة أو موافقة الأشخاص المعنيين، ودون الحصول على التعويض المناسب والدعم من الوكالات الحكومية. (المادتان 12 و26)</w:t>
      </w:r>
    </w:p>
    <w:p w:rsidR="00000000" w:rsidRDefault="00000000">
      <w:pPr>
        <w:spacing w:before="0" w:line="380" w:lineRule="exact"/>
        <w:ind w:left="720"/>
        <w:jc w:val="both"/>
        <w:rPr>
          <w:rFonts w:hint="cs"/>
          <w:b/>
          <w:bCs/>
          <w:rtl/>
        </w:rPr>
      </w:pPr>
      <w:r>
        <w:rPr>
          <w:rFonts w:hint="cs"/>
          <w:b/>
          <w:bCs/>
          <w:rtl/>
        </w:rPr>
        <w:t>ينبغي أن تحرص الدولة الطرف على تنظيم خصخصة المراكز الجماعية على النحو الواجب، واتخاذ جميع التدابير اللازمة لمنع حالات الإخلاء القسري للمشردين داخليا</w:t>
      </w:r>
      <w:r>
        <w:rPr>
          <w:rFonts w:hint="cs"/>
          <w:rtl/>
        </w:rPr>
        <w:t>ً</w:t>
      </w:r>
      <w:r>
        <w:rPr>
          <w:rFonts w:hint="cs"/>
          <w:b/>
          <w:bCs/>
          <w:rtl/>
        </w:rPr>
        <w:t xml:space="preserve"> في المستقبل. كما يجب على الدولة الطرف أن تحرص على أن تكون خطة العمل الخاصة بالمشردين داخليا</w:t>
      </w:r>
      <w:r>
        <w:rPr>
          <w:rFonts w:hint="cs"/>
          <w:rtl/>
        </w:rPr>
        <w:t>ً</w:t>
      </w:r>
      <w:r>
        <w:rPr>
          <w:rFonts w:hint="cs"/>
          <w:b/>
          <w:bCs/>
          <w:rtl/>
        </w:rPr>
        <w:t xml:space="preserve"> متمشية بالكامل مع أحكام العهد، وبخاصة مع مبدأي </w:t>
      </w:r>
      <w:proofErr w:type="spellStart"/>
      <w:r>
        <w:rPr>
          <w:rFonts w:hint="cs"/>
          <w:b/>
          <w:bCs/>
          <w:rtl/>
        </w:rPr>
        <w:t>طوعية</w:t>
      </w:r>
      <w:proofErr w:type="spellEnd"/>
      <w:r>
        <w:rPr>
          <w:rFonts w:hint="cs"/>
          <w:b/>
          <w:bCs/>
          <w:rtl/>
        </w:rPr>
        <w:t xml:space="preserve"> العودة وعدم التمييز.</w:t>
      </w:r>
    </w:p>
    <w:p w:rsidR="00000000" w:rsidRDefault="00000000">
      <w:pPr>
        <w:spacing w:before="0" w:line="380" w:lineRule="exact"/>
        <w:jc w:val="both"/>
        <w:rPr>
          <w:rFonts w:hint="cs"/>
          <w:rtl/>
        </w:rPr>
      </w:pPr>
      <w:r>
        <w:rPr>
          <w:rStyle w:val="FootnoteReference"/>
          <w:rFonts w:hint="cs"/>
          <w:bCs w:val="0"/>
          <w:szCs w:val="30"/>
          <w:vertAlign w:val="baseline"/>
          <w:rtl/>
        </w:rPr>
        <w:t>1</w:t>
      </w:r>
      <w:r>
        <w:rPr>
          <w:rFonts w:hint="cs"/>
          <w:rtl/>
        </w:rPr>
        <w:t>3-</w:t>
      </w:r>
      <w:r>
        <w:rPr>
          <w:rFonts w:hint="cs"/>
          <w:rtl/>
        </w:rPr>
        <w:tab/>
        <w:t>وإذ تحيط اللجنة علماً بالجهود التي بذلتها الدولة الطرف مؤخراً لإصلاح القضاء وزيادة كفاءته، لا تزال قلقة إزاء التدخل في استقلاليته ومشكلة الفساد القضائي. (المادة 14)</w:t>
      </w:r>
    </w:p>
    <w:p w:rsidR="00000000" w:rsidRDefault="00000000">
      <w:pPr>
        <w:spacing w:before="0" w:line="380" w:lineRule="exact"/>
        <w:ind w:left="720"/>
        <w:jc w:val="both"/>
        <w:rPr>
          <w:rFonts w:hint="cs"/>
          <w:b/>
          <w:bCs/>
          <w:rtl/>
        </w:rPr>
      </w:pPr>
      <w:r>
        <w:rPr>
          <w:rFonts w:hint="cs"/>
          <w:b/>
          <w:bCs/>
          <w:rtl/>
        </w:rPr>
        <w:t>على الدولة الطرف أن تتخذ خطوات لضمان استقلال القضاء. وينبغي على وجه الخصوص أن تتخذ تدابير للقضاء على جميع أشكال التدخل في القضاء وكفالة إجراء تحقيقات فورية شاملة ومستقلة ونزيهة في جميع ادعاءات التدخل في القضاء، بما في ذلك عن طريق الرشوة؛ وأن تلاحق وتعاقب الجناة، بمن فيهم القضاة الذين يحتمل تواطؤهم.</w:t>
      </w:r>
    </w:p>
    <w:p w:rsidR="00000000" w:rsidRDefault="00000000">
      <w:pPr>
        <w:spacing w:before="0" w:line="380" w:lineRule="exact"/>
        <w:jc w:val="both"/>
        <w:rPr>
          <w:rStyle w:val="FootnoteReference"/>
          <w:rFonts w:hint="cs"/>
          <w:bCs w:val="0"/>
          <w:szCs w:val="30"/>
          <w:vertAlign w:val="baseline"/>
          <w:rtl/>
        </w:rPr>
      </w:pPr>
      <w:r>
        <w:rPr>
          <w:rStyle w:val="FootnoteReference"/>
          <w:rFonts w:hint="cs"/>
          <w:bCs w:val="0"/>
          <w:szCs w:val="30"/>
          <w:vertAlign w:val="baseline"/>
          <w:rtl/>
        </w:rPr>
        <w:t>1</w:t>
      </w:r>
      <w:r>
        <w:rPr>
          <w:rFonts w:hint="cs"/>
          <w:rtl/>
        </w:rPr>
        <w:t>4-</w:t>
      </w:r>
      <w:r>
        <w:rPr>
          <w:rFonts w:hint="cs"/>
          <w:rtl/>
        </w:rPr>
        <w:tab/>
        <w:t>وتأسف اللجنة لعدم وجود ما يكفي من التثقيف للقضاة ولكونهم لا يتلقون عموماً التدريب في مجال القانون الدولي لحقوق الإنسان، ويترتب على ذلك أن الإنفاذ المباشر للحقوق المعترف بها في العهد ضئيل جداً.</w:t>
      </w:r>
    </w:p>
    <w:p w:rsidR="00000000" w:rsidRDefault="00000000">
      <w:pPr>
        <w:spacing w:before="0" w:line="380" w:lineRule="exact"/>
        <w:ind w:left="720"/>
        <w:jc w:val="both"/>
        <w:rPr>
          <w:rFonts w:hint="cs"/>
          <w:bCs/>
          <w:rtl/>
        </w:rPr>
      </w:pPr>
      <w:r>
        <w:rPr>
          <w:rFonts w:hint="cs"/>
          <w:bCs/>
          <w:rtl/>
        </w:rPr>
        <w:t>على الدولة الطرف أن تكثف جهودها من أجل تثقيف القضاة لضمان إقامة العدل بكفاية. وينبغي على وجه الخصوص أن توفر التدريب بخصوص العهد وآثاره على تفسير الدستور والتشريعات المحلية، وذلك بغية ضمان توافق جميع إجراءات القضاء مع التزاماتها بموجب العهد.</w:t>
      </w:r>
    </w:p>
    <w:p w:rsidR="00000000" w:rsidRDefault="00000000">
      <w:pPr>
        <w:spacing w:before="0" w:line="380" w:lineRule="exact"/>
        <w:jc w:val="both"/>
        <w:rPr>
          <w:rFonts w:hint="cs"/>
          <w:rtl/>
        </w:rPr>
      </w:pPr>
      <w:r>
        <w:rPr>
          <w:rStyle w:val="FootnoteReference"/>
          <w:rFonts w:hint="cs"/>
          <w:bCs w:val="0"/>
          <w:szCs w:val="30"/>
          <w:vertAlign w:val="baseline"/>
          <w:rtl/>
        </w:rPr>
        <w:t>1</w:t>
      </w:r>
      <w:r>
        <w:rPr>
          <w:rFonts w:hint="cs"/>
          <w:rtl/>
        </w:rPr>
        <w:t>5-</w:t>
      </w:r>
      <w:r>
        <w:rPr>
          <w:rFonts w:hint="cs"/>
          <w:rtl/>
        </w:rPr>
        <w:tab/>
        <w:t xml:space="preserve">وتلاحظ اللجنة أن مركز الكيان القانوني العام، كما أوضحت الدولة الطرف، ممنوح حصراً للكنيسة الأرثوذكسية </w:t>
      </w:r>
      <w:proofErr w:type="spellStart"/>
      <w:r>
        <w:rPr>
          <w:rFonts w:hint="cs"/>
          <w:rtl/>
        </w:rPr>
        <w:t>الجورجية</w:t>
      </w:r>
      <w:proofErr w:type="spellEnd"/>
      <w:r>
        <w:rPr>
          <w:rFonts w:hint="cs"/>
          <w:rtl/>
        </w:rPr>
        <w:t xml:space="preserve"> نظراً لعوامل تاريخية واجتماعية. غير أن اللجنة يقلقها أن اختلاف وضع الجماعات الدينية الأخرى قد يؤدي إلى التمييز.</w:t>
      </w:r>
      <w:r>
        <w:rPr>
          <w:rStyle w:val="FootnoteReference"/>
          <w:rFonts w:hint="cs"/>
          <w:bCs w:val="0"/>
          <w:szCs w:val="30"/>
          <w:vertAlign w:val="baseline"/>
          <w:rtl/>
        </w:rPr>
        <w:t xml:space="preserve"> </w:t>
      </w:r>
      <w:r>
        <w:rPr>
          <w:rFonts w:hint="cs"/>
          <w:rtl/>
        </w:rPr>
        <w:t xml:space="preserve">وتأسف لعدم تسوية المشاكل المتصلة بإعادة أماكن العبادة وما يتصل بها من ممتلكات </w:t>
      </w:r>
      <w:proofErr w:type="spellStart"/>
      <w:r>
        <w:rPr>
          <w:rFonts w:hint="cs"/>
          <w:rtl/>
        </w:rPr>
        <w:t>الأقليات</w:t>
      </w:r>
      <w:proofErr w:type="spellEnd"/>
      <w:r>
        <w:rPr>
          <w:rFonts w:hint="cs"/>
          <w:rtl/>
        </w:rPr>
        <w:t xml:space="preserve"> الدينية التي صودرت إبان الحقبة الشيوعية. (المادة 18)</w:t>
      </w:r>
    </w:p>
    <w:p w:rsidR="00000000" w:rsidRDefault="00000000">
      <w:pPr>
        <w:spacing w:before="0" w:line="380" w:lineRule="exact"/>
        <w:ind w:left="720"/>
        <w:jc w:val="both"/>
        <w:rPr>
          <w:rStyle w:val="FootnoteReference"/>
          <w:rFonts w:hint="cs"/>
          <w:b/>
          <w:bCs w:val="0"/>
          <w:szCs w:val="30"/>
          <w:vertAlign w:val="baseline"/>
          <w:rtl/>
        </w:rPr>
      </w:pPr>
      <w:r>
        <w:rPr>
          <w:rFonts w:hint="cs"/>
          <w:b/>
          <w:bCs/>
          <w:rtl/>
        </w:rPr>
        <w:t xml:space="preserve">يتعين على الدولة الطرف أن تتخذ خطوات لضمان المساواة في التمتع بالحق في حرية الدين أو المعتقد، وأن تحرص على أن تطابق قوانينها وممارساتها بالكامل المادة 18 من العهد. وعلى الدولة الطرف معالجة المشاكل المتصلة بمصادرة أماكن العبادة وما يتصل بها من ممتلكات </w:t>
      </w:r>
      <w:proofErr w:type="spellStart"/>
      <w:r>
        <w:rPr>
          <w:rFonts w:hint="cs"/>
          <w:b/>
          <w:bCs/>
          <w:rtl/>
        </w:rPr>
        <w:t>الأقليات</w:t>
      </w:r>
      <w:proofErr w:type="spellEnd"/>
      <w:r>
        <w:rPr>
          <w:rFonts w:hint="cs"/>
          <w:b/>
          <w:bCs/>
          <w:rtl/>
        </w:rPr>
        <w:t xml:space="preserve"> الدينية.</w:t>
      </w:r>
    </w:p>
    <w:p w:rsidR="00000000" w:rsidRDefault="00000000">
      <w:pPr>
        <w:spacing w:before="0" w:line="380" w:lineRule="exact"/>
        <w:jc w:val="both"/>
        <w:rPr>
          <w:rFonts w:hint="cs"/>
          <w:rtl/>
        </w:rPr>
      </w:pPr>
      <w:r>
        <w:rPr>
          <w:rStyle w:val="FootnoteReference"/>
          <w:rFonts w:hint="cs"/>
          <w:bCs w:val="0"/>
          <w:szCs w:val="30"/>
          <w:vertAlign w:val="baseline"/>
          <w:rtl/>
        </w:rPr>
        <w:t>1</w:t>
      </w:r>
      <w:r>
        <w:rPr>
          <w:rFonts w:hint="cs"/>
          <w:rtl/>
        </w:rPr>
        <w:t>6-</w:t>
      </w:r>
      <w:r>
        <w:rPr>
          <w:rFonts w:hint="cs"/>
          <w:rtl/>
        </w:rPr>
        <w:tab/>
        <w:t xml:space="preserve">وتعرب اللجنة عن قلقها إذ لم تحقق الدولة الطرف كما ينبغي في المضايقات التي تعرض لها صحفيون في </w:t>
      </w:r>
      <w:proofErr w:type="spellStart"/>
      <w:r>
        <w:rPr>
          <w:rFonts w:hint="cs"/>
          <w:rtl/>
        </w:rPr>
        <w:t>جورجيا</w:t>
      </w:r>
      <w:proofErr w:type="spellEnd"/>
      <w:r>
        <w:rPr>
          <w:rFonts w:hint="cs"/>
          <w:rtl/>
        </w:rPr>
        <w:t>. (المادة 19)</w:t>
      </w:r>
    </w:p>
    <w:p w:rsidR="00000000" w:rsidRDefault="00000000">
      <w:pPr>
        <w:spacing w:before="0" w:line="380" w:lineRule="exact"/>
        <w:ind w:left="720"/>
        <w:jc w:val="both"/>
        <w:rPr>
          <w:rFonts w:hint="cs"/>
          <w:b/>
          <w:bCs/>
          <w:spacing w:val="0"/>
          <w:rtl/>
        </w:rPr>
      </w:pPr>
      <w:r>
        <w:rPr>
          <w:rFonts w:hint="cs"/>
          <w:b/>
          <w:bCs/>
          <w:spacing w:val="0"/>
          <w:rtl/>
        </w:rPr>
        <w:t>على الدولة الطرف أن تكفل حرية التعبير وحرية الصحافة وغيرها من وسائط الإعلام وأن تحرص على أن يجري على الفور التحقيق في الشكاوى التي تُقدَّم في هذا الصدد وعلى ملاحقة الجناة ومعاقبتهم.</w:t>
      </w:r>
    </w:p>
    <w:p w:rsidR="00000000" w:rsidRDefault="00000000">
      <w:pPr>
        <w:spacing w:before="0" w:line="380" w:lineRule="exact"/>
        <w:jc w:val="both"/>
        <w:rPr>
          <w:rFonts w:hint="cs"/>
          <w:rtl/>
        </w:rPr>
      </w:pPr>
      <w:r>
        <w:rPr>
          <w:rStyle w:val="FootnoteReference"/>
          <w:rFonts w:hint="cs"/>
          <w:bCs w:val="0"/>
          <w:szCs w:val="30"/>
          <w:vertAlign w:val="baseline"/>
          <w:rtl/>
        </w:rPr>
        <w:t>17</w:t>
      </w:r>
      <w:r>
        <w:rPr>
          <w:rFonts w:hint="cs"/>
          <w:rtl/>
        </w:rPr>
        <w:t>-</w:t>
      </w:r>
      <w:r>
        <w:rPr>
          <w:rFonts w:hint="cs"/>
          <w:rtl/>
        </w:rPr>
        <w:tab/>
        <w:t xml:space="preserve">ولا تزال اللجنة قلقة إزاء العراقيل التي تواجهها </w:t>
      </w:r>
      <w:proofErr w:type="spellStart"/>
      <w:r>
        <w:rPr>
          <w:rFonts w:hint="cs"/>
          <w:rtl/>
        </w:rPr>
        <w:t>الأقليات</w:t>
      </w:r>
      <w:proofErr w:type="spellEnd"/>
      <w:r>
        <w:rPr>
          <w:rFonts w:hint="cs"/>
          <w:rtl/>
        </w:rPr>
        <w:t xml:space="preserve"> في التمتع بحقوقها الثقافية وإزاء تدني مستوى التمثيل السياسي </w:t>
      </w:r>
      <w:proofErr w:type="spellStart"/>
      <w:r>
        <w:rPr>
          <w:rFonts w:hint="cs"/>
          <w:rtl/>
        </w:rPr>
        <w:t>للأقليات</w:t>
      </w:r>
      <w:proofErr w:type="spellEnd"/>
      <w:r>
        <w:rPr>
          <w:rFonts w:hint="cs"/>
          <w:rtl/>
        </w:rPr>
        <w:t xml:space="preserve">. وإذ تعترف اللجنة بأنه لا يوجد حظر على استعمال لغات </w:t>
      </w:r>
      <w:proofErr w:type="spellStart"/>
      <w:r>
        <w:rPr>
          <w:rFonts w:hint="cs"/>
          <w:rtl/>
        </w:rPr>
        <w:t>الأقليات</w:t>
      </w:r>
      <w:proofErr w:type="spellEnd"/>
      <w:r>
        <w:rPr>
          <w:rFonts w:hint="cs"/>
          <w:rtl/>
        </w:rPr>
        <w:t xml:space="preserve"> في المجال الخاص وبأن لغات </w:t>
      </w:r>
      <w:proofErr w:type="spellStart"/>
      <w:r>
        <w:rPr>
          <w:rFonts w:hint="cs"/>
          <w:rtl/>
        </w:rPr>
        <w:t>الأقليات</w:t>
      </w:r>
      <w:proofErr w:type="spellEnd"/>
      <w:r>
        <w:rPr>
          <w:rFonts w:hint="cs"/>
          <w:rtl/>
        </w:rPr>
        <w:t xml:space="preserve"> تُدرَّس في المدارس، فإنها تشعر بالقلق من أن عدم معرفة اللغة </w:t>
      </w:r>
      <w:proofErr w:type="spellStart"/>
      <w:r>
        <w:rPr>
          <w:rFonts w:hint="cs"/>
          <w:rtl/>
        </w:rPr>
        <w:t>الجورجية</w:t>
      </w:r>
      <w:proofErr w:type="spellEnd"/>
      <w:r>
        <w:rPr>
          <w:rFonts w:hint="cs"/>
          <w:rtl/>
        </w:rPr>
        <w:t xml:space="preserve"> من شأنه أن يؤدي إلى تهميش </w:t>
      </w:r>
      <w:proofErr w:type="spellStart"/>
      <w:r>
        <w:rPr>
          <w:rFonts w:hint="cs"/>
          <w:rtl/>
        </w:rPr>
        <w:t>الأقليات</w:t>
      </w:r>
      <w:proofErr w:type="spellEnd"/>
      <w:r>
        <w:rPr>
          <w:rFonts w:hint="cs"/>
          <w:rtl/>
        </w:rPr>
        <w:t xml:space="preserve"> ونقص تمثيلها في مختلف المجالات العامة والخاصة. (المادتان 25 و26)</w:t>
      </w:r>
    </w:p>
    <w:p w:rsidR="00000000" w:rsidRDefault="00000000">
      <w:pPr>
        <w:spacing w:before="0" w:line="380" w:lineRule="exact"/>
        <w:ind w:left="720"/>
        <w:jc w:val="both"/>
        <w:rPr>
          <w:rStyle w:val="FootnoteReference"/>
          <w:rFonts w:hint="cs"/>
          <w:b/>
          <w:szCs w:val="30"/>
          <w:vertAlign w:val="baseline"/>
          <w:rtl/>
        </w:rPr>
      </w:pPr>
      <w:r>
        <w:rPr>
          <w:rFonts w:hint="cs"/>
          <w:b/>
          <w:bCs/>
          <w:rtl/>
        </w:rPr>
        <w:t xml:space="preserve">ينبغي </w:t>
      </w:r>
      <w:r>
        <w:rPr>
          <w:rStyle w:val="FootnoteReference"/>
          <w:rFonts w:hint="cs"/>
          <w:b/>
          <w:szCs w:val="30"/>
          <w:vertAlign w:val="baseline"/>
          <w:rtl/>
        </w:rPr>
        <w:t>على الدولة الطرف:</w:t>
      </w:r>
    </w:p>
    <w:p w:rsidR="00000000" w:rsidRDefault="00000000">
      <w:pPr>
        <w:spacing w:before="0" w:line="380" w:lineRule="exact"/>
        <w:ind w:left="720"/>
        <w:jc w:val="both"/>
        <w:rPr>
          <w:rStyle w:val="FootnoteReference"/>
          <w:rFonts w:hint="cs"/>
          <w:szCs w:val="30"/>
          <w:vertAlign w:val="baseline"/>
          <w:rtl/>
        </w:rPr>
      </w:pPr>
      <w:r>
        <w:rPr>
          <w:rFonts w:hint="cs"/>
          <w:rtl/>
        </w:rPr>
        <w:tab/>
      </w:r>
      <w:r>
        <w:rPr>
          <w:rStyle w:val="FootnoteReference"/>
          <w:rFonts w:hint="cs"/>
          <w:szCs w:val="30"/>
          <w:vertAlign w:val="baseline"/>
          <w:rtl/>
        </w:rPr>
        <w:t>(أ)</w:t>
      </w:r>
      <w:r>
        <w:rPr>
          <w:rStyle w:val="FootnoteReference"/>
          <w:rFonts w:hint="cs"/>
          <w:szCs w:val="30"/>
          <w:vertAlign w:val="baseline"/>
          <w:rtl/>
        </w:rPr>
        <w:tab/>
        <w:t xml:space="preserve">أن تنظر في إمكانية السماح </w:t>
      </w:r>
      <w:proofErr w:type="spellStart"/>
      <w:r>
        <w:rPr>
          <w:rStyle w:val="FootnoteReference"/>
          <w:rFonts w:hint="cs"/>
          <w:szCs w:val="30"/>
          <w:vertAlign w:val="baseline"/>
          <w:rtl/>
        </w:rPr>
        <w:t>للأقليات</w:t>
      </w:r>
      <w:proofErr w:type="spellEnd"/>
      <w:r>
        <w:rPr>
          <w:rStyle w:val="FootnoteReference"/>
          <w:rFonts w:hint="cs"/>
          <w:szCs w:val="30"/>
          <w:vertAlign w:val="baseline"/>
          <w:rtl/>
        </w:rPr>
        <w:t xml:space="preserve"> باستخدام لغتها على صعيد الحكم</w:t>
      </w:r>
      <w:r>
        <w:rPr>
          <w:rFonts w:hint="cs"/>
          <w:rtl/>
        </w:rPr>
        <w:t xml:space="preserve"> </w:t>
      </w:r>
      <w:r>
        <w:rPr>
          <w:rFonts w:hint="cs"/>
          <w:b/>
          <w:bCs/>
          <w:rtl/>
        </w:rPr>
        <w:t>المحلي</w:t>
      </w:r>
      <w:r>
        <w:rPr>
          <w:rStyle w:val="FootnoteReference"/>
          <w:rFonts w:hint="cs"/>
          <w:szCs w:val="30"/>
          <w:vertAlign w:val="baseline"/>
          <w:rtl/>
        </w:rPr>
        <w:t xml:space="preserve"> والإدارة </w:t>
      </w:r>
      <w:r>
        <w:rPr>
          <w:rStyle w:val="FootnoteReference"/>
          <w:rFonts w:hint="cs"/>
          <w:bCs w:val="0"/>
          <w:szCs w:val="30"/>
          <w:vertAlign w:val="baseline"/>
          <w:rtl/>
        </w:rPr>
        <w:t>ا</w:t>
      </w:r>
      <w:r>
        <w:rPr>
          <w:rFonts w:hint="cs"/>
          <w:bCs/>
          <w:rtl/>
        </w:rPr>
        <w:t>لمحلية</w:t>
      </w:r>
      <w:r>
        <w:rPr>
          <w:rStyle w:val="FootnoteReference"/>
          <w:rFonts w:hint="cs"/>
          <w:szCs w:val="30"/>
          <w:vertAlign w:val="baseline"/>
          <w:rtl/>
        </w:rPr>
        <w:t>؛</w:t>
      </w:r>
    </w:p>
    <w:p w:rsidR="00000000" w:rsidRDefault="00000000">
      <w:pPr>
        <w:spacing w:before="0" w:line="380" w:lineRule="exact"/>
        <w:ind w:left="720"/>
        <w:jc w:val="both"/>
        <w:rPr>
          <w:rFonts w:hint="cs"/>
          <w:b/>
          <w:bCs/>
          <w:rtl/>
        </w:rPr>
      </w:pPr>
      <w:r>
        <w:rPr>
          <w:rFonts w:hint="cs"/>
          <w:b/>
          <w:bCs/>
          <w:rtl/>
        </w:rPr>
        <w:tab/>
      </w:r>
      <w:r>
        <w:rPr>
          <w:rStyle w:val="FootnoteReference"/>
          <w:rFonts w:hint="cs"/>
          <w:b/>
          <w:szCs w:val="30"/>
          <w:vertAlign w:val="baseline"/>
          <w:rtl/>
        </w:rPr>
        <w:t>(ب)</w:t>
      </w:r>
      <w:r>
        <w:rPr>
          <w:rStyle w:val="FootnoteReference"/>
          <w:rFonts w:hint="cs"/>
          <w:b/>
          <w:szCs w:val="30"/>
          <w:vertAlign w:val="baseline"/>
          <w:rtl/>
        </w:rPr>
        <w:tab/>
        <w:t xml:space="preserve">أن تتخذ جميع التدابير المناسبة لضمان ما يكفي من التمثيل والمشاركة السياسيين </w:t>
      </w:r>
      <w:proofErr w:type="spellStart"/>
      <w:r>
        <w:rPr>
          <w:rStyle w:val="FootnoteReference"/>
          <w:rFonts w:hint="cs"/>
          <w:b/>
          <w:szCs w:val="30"/>
          <w:vertAlign w:val="baseline"/>
          <w:rtl/>
        </w:rPr>
        <w:t>للأقليات</w:t>
      </w:r>
      <w:proofErr w:type="spellEnd"/>
      <w:r>
        <w:rPr>
          <w:rStyle w:val="FootnoteReference"/>
          <w:rFonts w:hint="cs"/>
          <w:b/>
          <w:szCs w:val="30"/>
          <w:vertAlign w:val="baseline"/>
          <w:rtl/>
        </w:rPr>
        <w:t xml:space="preserve">، ولا سيما الجماعات الأرمينية </w:t>
      </w:r>
      <w:proofErr w:type="spellStart"/>
      <w:r>
        <w:rPr>
          <w:rStyle w:val="FootnoteReference"/>
          <w:rFonts w:hint="cs"/>
          <w:b/>
          <w:szCs w:val="30"/>
          <w:vertAlign w:val="baseline"/>
          <w:rtl/>
        </w:rPr>
        <w:t>والأذرية</w:t>
      </w:r>
      <w:proofErr w:type="spellEnd"/>
      <w:r>
        <w:rPr>
          <w:rStyle w:val="FootnoteReference"/>
          <w:rFonts w:hint="cs"/>
          <w:b/>
          <w:szCs w:val="30"/>
          <w:vertAlign w:val="baseline"/>
          <w:rtl/>
        </w:rPr>
        <w:t>، ولتحسين م</w:t>
      </w:r>
      <w:r>
        <w:rPr>
          <w:rFonts w:hint="cs"/>
          <w:b/>
          <w:bCs/>
          <w:rtl/>
        </w:rPr>
        <w:t xml:space="preserve">عرفتها للغة </w:t>
      </w:r>
      <w:proofErr w:type="spellStart"/>
      <w:r>
        <w:rPr>
          <w:rFonts w:hint="cs"/>
          <w:b/>
          <w:bCs/>
          <w:rtl/>
        </w:rPr>
        <w:t>الجورجية</w:t>
      </w:r>
      <w:proofErr w:type="spellEnd"/>
      <w:r>
        <w:rPr>
          <w:rFonts w:hint="cs"/>
          <w:b/>
          <w:bCs/>
          <w:rtl/>
        </w:rPr>
        <w:t xml:space="preserve">. ويتعين على الدولة الطرف أن تتخذ خطوات للقضاء على الممارسات </w:t>
      </w:r>
      <w:proofErr w:type="spellStart"/>
      <w:r>
        <w:rPr>
          <w:rFonts w:hint="cs"/>
          <w:b/>
          <w:bCs/>
          <w:rtl/>
        </w:rPr>
        <w:t>التمييزية</w:t>
      </w:r>
      <w:proofErr w:type="spellEnd"/>
      <w:r>
        <w:rPr>
          <w:rFonts w:hint="cs"/>
          <w:b/>
          <w:bCs/>
          <w:rtl/>
        </w:rPr>
        <w:t xml:space="preserve"> القائمة على اللغة؛</w:t>
      </w:r>
    </w:p>
    <w:p w:rsidR="00000000" w:rsidRDefault="00000000">
      <w:pPr>
        <w:spacing w:before="0" w:line="380" w:lineRule="exact"/>
        <w:ind w:left="720"/>
        <w:jc w:val="both"/>
        <w:rPr>
          <w:rStyle w:val="FootnoteReference"/>
          <w:rFonts w:hint="cs"/>
          <w:b/>
          <w:szCs w:val="30"/>
          <w:vertAlign w:val="baseline"/>
          <w:rtl/>
        </w:rPr>
      </w:pPr>
      <w:r>
        <w:rPr>
          <w:rFonts w:hint="cs"/>
          <w:b/>
          <w:bCs/>
          <w:rtl/>
        </w:rPr>
        <w:tab/>
      </w:r>
      <w:r>
        <w:rPr>
          <w:rStyle w:val="FootnoteReference"/>
          <w:rFonts w:hint="cs"/>
          <w:b/>
          <w:szCs w:val="30"/>
          <w:vertAlign w:val="baseline"/>
          <w:rtl/>
        </w:rPr>
        <w:t>(ج)</w:t>
      </w:r>
      <w:r>
        <w:rPr>
          <w:rStyle w:val="FootnoteReference"/>
          <w:rFonts w:hint="cs"/>
          <w:b/>
          <w:szCs w:val="30"/>
          <w:vertAlign w:val="baseline"/>
          <w:rtl/>
        </w:rPr>
        <w:tab/>
        <w:t xml:space="preserve">أن تشجع على إدماج </w:t>
      </w:r>
      <w:proofErr w:type="spellStart"/>
      <w:r>
        <w:rPr>
          <w:rStyle w:val="FootnoteReference"/>
          <w:rFonts w:hint="cs"/>
          <w:b/>
          <w:szCs w:val="30"/>
          <w:vertAlign w:val="baseline"/>
          <w:rtl/>
        </w:rPr>
        <w:t>الأقليات</w:t>
      </w:r>
      <w:proofErr w:type="spellEnd"/>
      <w:r>
        <w:rPr>
          <w:rStyle w:val="FootnoteReference"/>
          <w:rFonts w:hint="cs"/>
          <w:b/>
          <w:szCs w:val="30"/>
          <w:vertAlign w:val="baseline"/>
          <w:rtl/>
        </w:rPr>
        <w:t xml:space="preserve"> في المجتمع </w:t>
      </w:r>
      <w:proofErr w:type="spellStart"/>
      <w:r>
        <w:rPr>
          <w:rStyle w:val="FootnoteReference"/>
          <w:rFonts w:hint="cs"/>
          <w:b/>
          <w:szCs w:val="30"/>
          <w:vertAlign w:val="baseline"/>
          <w:rtl/>
        </w:rPr>
        <w:t>الجورجي</w:t>
      </w:r>
      <w:proofErr w:type="spellEnd"/>
      <w:r>
        <w:rPr>
          <w:rStyle w:val="FootnoteReference"/>
          <w:rFonts w:hint="cs"/>
          <w:b/>
          <w:szCs w:val="30"/>
          <w:vertAlign w:val="baseline"/>
          <w:rtl/>
        </w:rPr>
        <w:t xml:space="preserve">. ولهذا الغرض، ينبغي أن تدخل في حوار مع الجماعات المعنية والمجتمع المدني الذي يهتم بقضايا </w:t>
      </w:r>
      <w:proofErr w:type="spellStart"/>
      <w:r>
        <w:rPr>
          <w:rStyle w:val="FootnoteReference"/>
          <w:rFonts w:hint="cs"/>
          <w:b/>
          <w:szCs w:val="30"/>
          <w:vertAlign w:val="baseline"/>
          <w:rtl/>
        </w:rPr>
        <w:t>الأقليات</w:t>
      </w:r>
      <w:proofErr w:type="spellEnd"/>
      <w:r>
        <w:rPr>
          <w:rStyle w:val="FootnoteReference"/>
          <w:rFonts w:hint="cs"/>
          <w:b/>
          <w:szCs w:val="30"/>
          <w:vertAlign w:val="baseline"/>
          <w:rtl/>
        </w:rPr>
        <w:t>؛</w:t>
      </w:r>
    </w:p>
    <w:p w:rsidR="00000000" w:rsidRDefault="00000000">
      <w:pPr>
        <w:spacing w:before="0" w:line="380" w:lineRule="exact"/>
        <w:ind w:left="720"/>
        <w:jc w:val="both"/>
        <w:rPr>
          <w:rStyle w:val="FootnoteReference"/>
          <w:rFonts w:hint="cs"/>
          <w:b/>
          <w:szCs w:val="30"/>
          <w:vertAlign w:val="baseline"/>
          <w:rtl/>
        </w:rPr>
      </w:pPr>
      <w:r>
        <w:rPr>
          <w:rFonts w:hint="cs"/>
          <w:b/>
          <w:bCs/>
          <w:rtl/>
        </w:rPr>
        <w:tab/>
      </w:r>
      <w:r>
        <w:rPr>
          <w:rStyle w:val="FootnoteReference"/>
          <w:rFonts w:hint="cs"/>
          <w:b/>
          <w:szCs w:val="30"/>
          <w:vertAlign w:val="baseline"/>
          <w:rtl/>
        </w:rPr>
        <w:t>(د)</w:t>
      </w:r>
      <w:r>
        <w:rPr>
          <w:rStyle w:val="FootnoteReference"/>
          <w:rFonts w:hint="cs"/>
          <w:b/>
          <w:szCs w:val="30"/>
          <w:vertAlign w:val="baseline"/>
          <w:rtl/>
        </w:rPr>
        <w:tab/>
        <w:t>أن تعتمد مؤشرات ومقاييس لتحديد ما إذا كانت أهداف مناهضة التمييز ذات الصلة قد تحققت.</w:t>
      </w:r>
    </w:p>
    <w:p w:rsidR="00000000" w:rsidRDefault="00000000">
      <w:pPr>
        <w:spacing w:before="0" w:line="380" w:lineRule="exact"/>
        <w:jc w:val="both"/>
        <w:rPr>
          <w:rFonts w:hint="cs"/>
          <w:rtl/>
        </w:rPr>
      </w:pPr>
      <w:r>
        <w:rPr>
          <w:rStyle w:val="FootnoteReference"/>
          <w:rFonts w:hint="cs"/>
          <w:bCs w:val="0"/>
          <w:szCs w:val="30"/>
          <w:vertAlign w:val="baseline"/>
          <w:rtl/>
        </w:rPr>
        <w:t>18-</w:t>
      </w:r>
      <w:r>
        <w:rPr>
          <w:rStyle w:val="FootnoteReference"/>
          <w:rFonts w:hint="cs"/>
          <w:bCs w:val="0"/>
          <w:szCs w:val="30"/>
          <w:vertAlign w:val="baseline"/>
          <w:rtl/>
        </w:rPr>
        <w:tab/>
        <w:t xml:space="preserve">وتحدد اللجنة تاريخ 1 تشرين الثاني/نوفمبر 2011 كموعد لتقديم التقرير الدوري الرابع </w:t>
      </w:r>
      <w:proofErr w:type="spellStart"/>
      <w:r>
        <w:rPr>
          <w:rStyle w:val="FootnoteReference"/>
          <w:rFonts w:hint="cs"/>
          <w:bCs w:val="0"/>
          <w:szCs w:val="30"/>
          <w:vertAlign w:val="baseline"/>
          <w:rtl/>
        </w:rPr>
        <w:t>لجورجيا</w:t>
      </w:r>
      <w:proofErr w:type="spellEnd"/>
      <w:r>
        <w:rPr>
          <w:rStyle w:val="FootnoteReference"/>
          <w:rFonts w:hint="cs"/>
          <w:bCs w:val="0"/>
          <w:szCs w:val="30"/>
          <w:vertAlign w:val="baseline"/>
          <w:rtl/>
        </w:rPr>
        <w:t xml:space="preserve">. </w:t>
      </w:r>
      <w:r>
        <w:rPr>
          <w:rFonts w:hint="cs"/>
          <w:rtl/>
        </w:rPr>
        <w:t xml:space="preserve">وتطلب تعميم التقرير الدولي الثالث للدولة الطرف وهذه الملاحظات الختامية على الجمهور وعلى السلطات القضائية والتشريعية والإدارية. وينبغي توزيع نسخ ورقية من هاتين الوثيقتين على الجامعات والمكتبات العامة والمكتبة البرلمانية وجميع الأماكن الأخرى ذات الصلة. كما تطلب توزيع التقرير الدوري الثالث وهذه الملاحظات الختامية على منظمات المجتمع المدني والمنظمات غير الحكومية العاملة في البلد. ومن المستحسن توزيع ملخص للتقرير وللملاحظات الختامية على </w:t>
      </w:r>
      <w:proofErr w:type="spellStart"/>
      <w:r>
        <w:rPr>
          <w:rFonts w:hint="cs"/>
          <w:rtl/>
        </w:rPr>
        <w:t>الأقليات</w:t>
      </w:r>
      <w:proofErr w:type="spellEnd"/>
      <w:r>
        <w:rPr>
          <w:rFonts w:hint="cs"/>
          <w:rtl/>
        </w:rPr>
        <w:t xml:space="preserve"> بلغاتها.</w:t>
      </w:r>
    </w:p>
    <w:p w:rsidR="00000000" w:rsidRDefault="00000000">
      <w:pPr>
        <w:spacing w:before="0" w:line="380" w:lineRule="exact"/>
        <w:jc w:val="both"/>
        <w:rPr>
          <w:rFonts w:hint="cs"/>
          <w:rtl/>
          <w:lang w:eastAsia="en-US"/>
        </w:rPr>
      </w:pPr>
      <w:r>
        <w:rPr>
          <w:rStyle w:val="FootnoteReference"/>
          <w:rFonts w:hint="cs"/>
          <w:bCs w:val="0"/>
          <w:szCs w:val="30"/>
          <w:vertAlign w:val="baseline"/>
          <w:rtl/>
        </w:rPr>
        <w:t>19-</w:t>
      </w:r>
      <w:r>
        <w:rPr>
          <w:rStyle w:val="FootnoteReference"/>
          <w:rFonts w:hint="cs"/>
          <w:bCs w:val="0"/>
          <w:szCs w:val="30"/>
          <w:vertAlign w:val="baseline"/>
          <w:rtl/>
        </w:rPr>
        <w:tab/>
        <w:t>ووفقا</w:t>
      </w:r>
      <w:r>
        <w:rPr>
          <w:rFonts w:hint="cs"/>
          <w:rtl/>
        </w:rPr>
        <w:t>ً</w:t>
      </w:r>
      <w:r>
        <w:rPr>
          <w:rStyle w:val="FootnoteReference"/>
          <w:rFonts w:hint="cs"/>
          <w:bCs w:val="0"/>
          <w:szCs w:val="30"/>
          <w:vertAlign w:val="baseline"/>
          <w:rtl/>
        </w:rPr>
        <w:t xml:space="preserve"> لل</w:t>
      </w:r>
      <w:r>
        <w:rPr>
          <w:rFonts w:hint="cs"/>
          <w:rtl/>
        </w:rPr>
        <w:t>فقرة 5 من ال</w:t>
      </w:r>
      <w:r>
        <w:rPr>
          <w:rStyle w:val="FootnoteReference"/>
          <w:rFonts w:hint="cs"/>
          <w:bCs w:val="0"/>
          <w:szCs w:val="30"/>
          <w:vertAlign w:val="baseline"/>
          <w:rtl/>
        </w:rPr>
        <w:t xml:space="preserve">مادة 71 من النظام الداخلي للجنة، </w:t>
      </w:r>
      <w:r>
        <w:rPr>
          <w:rFonts w:hint="cs"/>
          <w:rtl/>
        </w:rPr>
        <w:t>يجب على الدولة الطرف أن تقدم في غضون سنة معلومات بشأن متابعة توصيات اللجنة الواردة في الفقرات 8 و9 و11 أعلاه. وتطلب من الدولة الطرف أن تدرج في تقريرها الدوري المقبل معلومات بشأن باقي توصياتها وبشأن تنفيذ العهد ككل.</w:t>
      </w:r>
    </w:p>
    <w:p w:rsidR="00000000" w:rsidRDefault="00000000">
      <w:pPr>
        <w:spacing w:before="0" w:line="380" w:lineRule="exact"/>
        <w:jc w:val="center"/>
        <w:rPr>
          <w:rFonts w:hint="cs"/>
          <w:rtl/>
          <w:lang w:eastAsia="en-US"/>
        </w:rPr>
      </w:pPr>
      <w:r>
        <w:rPr>
          <w:rFonts w:hint="cs"/>
          <w:rtl/>
          <w:lang w:eastAsia="en-US"/>
        </w:rPr>
        <w:t>- - - - -</w:t>
      </w:r>
    </w:p>
    <w:sectPr w:rsidR="00000000">
      <w:headerReference w:type="even" r:id="rId7"/>
      <w:headerReference w:type="default" r:id="rId8"/>
      <w:headerReference w:type="first" r:id="rId9"/>
      <w:footerReference w:type="first" r:id="rId10"/>
      <w:type w:val="continuous"/>
      <w:pgSz w:w="11906" w:h="16838" w:code="9"/>
      <w:pgMar w:top="1701" w:right="1701" w:bottom="1985" w:left="851" w:header="567" w:footer="1418" w:gutter="0"/>
      <w:cols w:space="720"/>
      <w:formProt w:val="0"/>
      <w:titlePg/>
      <w:bidi/>
      <w:rtlGutter/>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spacing w:before="0" w:after="0"/>
      </w:pPr>
      <w:r>
        <w:separator/>
      </w:r>
    </w:p>
  </w:endnote>
  <w:endnote w:type="continuationSeparator" w:id="0">
    <w:p w:rsidR="00000000" w:rsidRDefault="0000000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AF45E0">
    <w:pPr>
      <w:pStyle w:val="Footer"/>
      <w:bidi w:val="0"/>
      <w:jc w:val="right"/>
      <w:rPr>
        <w:rtl/>
        <w:lang w:eastAsia="en-US"/>
      </w:rPr>
    </w:pPr>
    <w:r>
      <w:rPr>
        <w:szCs w:val="22"/>
        <w:lang w:eastAsia="en-US"/>
      </w:rPr>
      <w:t>(A)     GE.07-45318    051207    061207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pStyle w:val="FootnoteText"/>
        <w:numPr>
          <w:ilvl w:val="0"/>
          <w:numId w:val="0"/>
        </w:numPr>
        <w:ind w:right="0"/>
        <w:rPr>
          <w:szCs w:val="22"/>
          <w:lang w:eastAsia="en-US"/>
        </w:rPr>
      </w:pPr>
      <w:r>
        <w:separator/>
      </w:r>
    </w:p>
  </w:footnote>
  <w:footnote w:type="continuationSeparator" w:id="0">
    <w:p w:rsidR="00000000" w:rsidRDefault="00000000">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2234"/>
    </w:tblGrid>
    <w:tr w:rsidR="00AF45E0" w:rsidTr="00AF45E0">
      <w:tblPrEx>
        <w:tblCellMar>
          <w:top w:w="0" w:type="dxa"/>
          <w:bottom w:w="0" w:type="dxa"/>
        </w:tblCellMar>
      </w:tblPrEx>
      <w:tc>
        <w:tcPr>
          <w:tcW w:w="2234" w:type="dxa"/>
        </w:tcPr>
        <w:p w:rsidR="00000000" w:rsidRDefault="00AF45E0">
          <w:pPr>
            <w:pStyle w:val="Header"/>
            <w:bidi w:val="0"/>
          </w:pPr>
          <w:r>
            <w:t>CCPR/C</w:t>
          </w:r>
          <w:r>
            <w:t>/GEO/CO/3</w:t>
          </w:r>
        </w:p>
        <w:p w:rsidR="00000000" w:rsidRDefault="00AF45E0">
          <w:pPr>
            <w:pStyle w:val="Header"/>
            <w:bidi w:val="0"/>
          </w:pPr>
          <w:r>
            <w:t xml:space="preserve">Page </w:t>
          </w:r>
          <w:r>
            <w:fldChar w:fldCharType="begin"/>
          </w:r>
          <w:r>
            <w:instrText xml:space="preserve"> PAGE  \* MERGEFORMAT </w:instrText>
          </w:r>
          <w:r>
            <w:fldChar w:fldCharType="separate"/>
          </w:r>
          <w:r>
            <w:t>6</w:t>
          </w:r>
          <w:r>
            <w:fldChar w:fldCharType="end"/>
          </w:r>
        </w:p>
      </w:tc>
    </w:tr>
  </w:tbl>
  <w:p w:rsidR="00000000" w:rsidRDefault="00AF45E0">
    <w:pPr>
      <w:pStyle w:val="Header"/>
      <w:rPr>
        <w:rt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AF45E0">
    <w:pPr>
      <w:pStyle w:val="Header"/>
      <w:bidi w:val="0"/>
    </w:pPr>
    <w:r>
      <w:t>CCPR/C/GEO/CO/3</w:t>
    </w:r>
  </w:p>
  <w:p w:rsidR="00000000" w:rsidRDefault="00AF45E0">
    <w:pPr>
      <w:pStyle w:val="Header"/>
      <w:bidi w:val="0"/>
    </w:pPr>
    <w:r>
      <w:t xml:space="preserve">Page </w:t>
    </w:r>
    <w:r>
      <w:fldChar w:fldCharType="begin"/>
    </w:r>
    <w:r>
      <w:instrText xml:space="preserve"> PAGE  \* MERGEFORMAT </w:instrText>
    </w:r>
    <w:r>
      <w:fldChar w:fldCharType="separate"/>
    </w:r>
    <w:r>
      <w:t>5</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AF45E0">
    <w:pPr>
      <w:tabs>
        <w:tab w:val="right" w:pos="9467"/>
      </w:tabs>
      <w:spacing w:after="0" w:line="1000" w:lineRule="exact"/>
      <w:jc w:val="both"/>
      <w:rPr>
        <w:rFonts w:cs="Times New Roman"/>
        <w:b/>
        <w:bCs/>
        <w:sz w:val="44"/>
        <w:szCs w:val="36"/>
        <w:rtl/>
        <w:lang w:eastAsia="en-US"/>
      </w:rPr>
    </w:pPr>
    <w:r>
      <w:rPr>
        <w:sz w:val="56"/>
        <w:szCs w:val="56"/>
        <w:rtl/>
        <w:lang w:eastAsia="en-US"/>
      </w:rPr>
      <w:t>الأمم المتحدة</w:t>
    </w:r>
    <w:r>
      <w:rPr>
        <w:szCs w:val="36"/>
        <w:rtl/>
        <w:lang w:eastAsia="en-US"/>
      </w:rPr>
      <w:tab/>
    </w:r>
    <w:r>
      <w:rPr>
        <w:rFonts w:ascii="Arial" w:hAnsi="Arial" w:cs="Arial"/>
        <w:b/>
        <w:bCs/>
        <w:sz w:val="72"/>
        <w:szCs w:val="72"/>
        <w:lang w:eastAsia="en-US"/>
      </w:rPr>
      <w:t>CCPR</w:t>
    </w:r>
  </w:p>
  <w:p w:rsidR="00000000" w:rsidRDefault="00AF45E0">
    <w:pPr>
      <w:pBdr>
        <w:bottom w:val="single" w:sz="6" w:space="1" w:color="auto"/>
      </w:pBdr>
      <w:bidi w:val="0"/>
      <w:spacing w:before="0" w:after="0"/>
      <w:rPr>
        <w:rFonts w:cs="Times New Roman"/>
        <w:szCs w:val="22"/>
        <w:lang w:eastAsia="en-US"/>
      </w:rPr>
    </w:pPr>
  </w:p>
  <w:p w:rsidR="00000000" w:rsidRDefault="00AF45E0">
    <w:pPr>
      <w:pStyle w:val="Header"/>
      <w:bidi w:val="0"/>
      <w:rPr>
        <w:rtl/>
        <w:lang w:eastAsia="en-US"/>
      </w:rPr>
    </w:pPr>
    <w:r>
      <w:rPr>
        <w:noProof/>
        <w:sz w:val="20"/>
        <w:rtl/>
        <w:lang w:val="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left:0;text-align:left;margin-left:384.75pt;margin-top:13.9pt;width:92.9pt;height:59.35pt;z-index:2" fillcolor="window">
          <v:imagedata r:id="rId1" o:title="" croptop="-748f" cropbottom="-748f" cropleft="-9433f" cropright="-9433f"/>
        </v:shape>
        <o:OLEObject Type="Embed" ProgID="Word.Picture.8" ShapeID="_x0000_s1031" DrawAspect="Content" ObjectID="_1393238493" r:id="rId2"/>
      </w:pict>
    </w:r>
  </w:p>
  <w:p w:rsidR="00000000" w:rsidRDefault="00AF45E0">
    <w:pPr>
      <w:pStyle w:val="Header"/>
      <w:bidi w:val="0"/>
      <w:rPr>
        <w:szCs w:val="22"/>
        <w:lang w:eastAsia="en-US"/>
      </w:rPr>
    </w:pPr>
    <w:r>
      <w:rPr>
        <w:rtl/>
      </w:rPr>
      <w:pict>
        <v:shapetype id="_x0000_t202" coordsize="21600,21600" o:spt="202" path="m,l,21600r21600,l21600,xe">
          <v:stroke joinstyle="miter"/>
          <v:path gradientshapeok="t" o:connecttype="rect"/>
        </v:shapetype>
        <v:shape id="_x0000_s1026" type="#_x0000_t202" style="position:absolute;left:0;text-align:left;margin-left:256.3pt;margin-top:2.25pt;width:173.4pt;height:95.2pt;z-index:-2;mso-wrap-edited:f;mso-position-horizontal-relative:page" wrapcoords="-80 -372 -80 21972 21761 21972 21761 -372 -80 -372" filled="f" stroked="f" strokeweight="2.25pt">
          <v:textbox style="mso-next-textbox:#_x0000_s1026" inset="0,0,0,0">
            <w:txbxContent>
              <w:p w:rsidR="00000000" w:rsidRDefault="00AF45E0">
                <w:pPr>
                  <w:spacing w:before="0" w:after="0" w:line="640" w:lineRule="exact"/>
                  <w:jc w:val="left"/>
                  <w:rPr>
                    <w:rFonts w:hint="cs"/>
                    <w:b/>
                    <w:bCs/>
                    <w:spacing w:val="0"/>
                    <w:sz w:val="56"/>
                    <w:szCs w:val="56"/>
                    <w:rtl/>
                  </w:rPr>
                </w:pPr>
                <w:r>
                  <w:rPr>
                    <w:rFonts w:hint="cs"/>
                    <w:b/>
                    <w:bCs/>
                    <w:spacing w:val="0"/>
                    <w:sz w:val="56"/>
                    <w:szCs w:val="56"/>
                    <w:rtl/>
                  </w:rPr>
                  <w:t>العهـد الدولي الخاص</w:t>
                </w:r>
                <w:r>
                  <w:rPr>
                    <w:b/>
                    <w:bCs/>
                    <w:spacing w:val="0"/>
                    <w:sz w:val="56"/>
                    <w:szCs w:val="56"/>
                    <w:rtl/>
                  </w:rPr>
                  <w:br/>
                </w:r>
                <w:r>
                  <w:rPr>
                    <w:rFonts w:hint="cs"/>
                    <w:b/>
                    <w:bCs/>
                    <w:spacing w:val="0"/>
                    <w:sz w:val="56"/>
                    <w:szCs w:val="56"/>
                    <w:rtl/>
                  </w:rPr>
                  <w:t>بالحقــوق المدنيـة</w:t>
                </w:r>
                <w:r>
                  <w:rPr>
                    <w:b/>
                    <w:bCs/>
                    <w:spacing w:val="0"/>
                    <w:sz w:val="56"/>
                    <w:szCs w:val="56"/>
                    <w:rtl/>
                  </w:rPr>
                  <w:t xml:space="preserve"> </w:t>
                </w:r>
                <w:r>
                  <w:rPr>
                    <w:rFonts w:hint="cs"/>
                    <w:b/>
                    <w:bCs/>
                    <w:spacing w:val="0"/>
                    <w:sz w:val="56"/>
                    <w:szCs w:val="56"/>
                    <w:rtl/>
                  </w:rPr>
                  <w:t xml:space="preserve"> والسياسية</w:t>
                </w:r>
              </w:p>
            </w:txbxContent>
          </v:textbox>
          <w10:wrap type="tight" anchorx="page"/>
        </v:shape>
      </w:pict>
    </w:r>
  </w:p>
  <w:p w:rsidR="00000000" w:rsidRDefault="00AF45E0">
    <w:pPr>
      <w:pStyle w:val="Header"/>
      <w:bidi w:val="0"/>
      <w:rPr>
        <w:szCs w:val="22"/>
        <w:lang w:eastAsia="en-US"/>
      </w:rPr>
    </w:pPr>
  </w:p>
  <w:p w:rsidR="00000000" w:rsidRDefault="00AF45E0">
    <w:pPr>
      <w:pStyle w:val="Header"/>
      <w:bidi w:val="0"/>
      <w:rPr>
        <w:szCs w:val="22"/>
        <w:lang w:eastAsia="en-US"/>
      </w:rPr>
    </w:pPr>
  </w:p>
  <w:p w:rsidR="00000000" w:rsidRDefault="00AF45E0">
    <w:pPr>
      <w:pStyle w:val="Header"/>
      <w:bidi w:val="0"/>
      <w:rPr>
        <w:szCs w:val="22"/>
        <w:lang w:eastAsia="en-US"/>
      </w:rPr>
    </w:pPr>
  </w:p>
  <w:p w:rsidR="00000000" w:rsidRDefault="00AF45E0">
    <w:pPr>
      <w:pStyle w:val="Header"/>
      <w:bidi w:val="0"/>
      <w:rPr>
        <w:szCs w:val="22"/>
        <w:lang w:eastAsia="en-US"/>
      </w:rPr>
    </w:pPr>
  </w:p>
  <w:p w:rsidR="00000000" w:rsidRDefault="00AF45E0">
    <w:pPr>
      <w:pStyle w:val="Header"/>
      <w:bidi w:val="0"/>
      <w:rPr>
        <w:rtl/>
        <w:lang w:eastAsia="en-US"/>
      </w:rPr>
    </w:pPr>
  </w:p>
  <w:p w:rsidR="00000000" w:rsidRDefault="00AF45E0">
    <w:pPr>
      <w:pStyle w:val="Header"/>
      <w:bidi w:val="0"/>
      <w:rPr>
        <w:rtl/>
        <w:lang w:eastAsia="en-US"/>
      </w:rPr>
    </w:pPr>
  </w:p>
  <w:p w:rsidR="00000000" w:rsidRDefault="00AF45E0">
    <w:pPr>
      <w:pStyle w:val="Header"/>
      <w:pBdr>
        <w:bottom w:val="single" w:sz="36" w:space="1" w:color="auto"/>
      </w:pBdr>
      <w:bidi w:val="0"/>
      <w:rPr>
        <w:rtl/>
        <w:lang w:eastAsia="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A886D17A"/>
    <w:lvl w:ilvl="0">
      <w:start w:val="1"/>
      <w:numFmt w:val="decimal"/>
      <w:lvlText w:val="%1."/>
      <w:lvlJc w:val="left"/>
      <w:pPr>
        <w:tabs>
          <w:tab w:val="num" w:pos="926"/>
        </w:tabs>
        <w:ind w:left="926" w:right="926" w:hanging="360"/>
      </w:pPr>
    </w:lvl>
  </w:abstractNum>
  <w:abstractNum w:abstractNumId="1">
    <w:nsid w:val="FFFFFF7F"/>
    <w:multiLevelType w:val="singleLevel"/>
    <w:tmpl w:val="71BEECD4"/>
    <w:lvl w:ilvl="0">
      <w:start w:val="1"/>
      <w:numFmt w:val="decimal"/>
      <w:lvlText w:val="%1."/>
      <w:lvlJc w:val="left"/>
      <w:pPr>
        <w:tabs>
          <w:tab w:val="num" w:pos="643"/>
        </w:tabs>
        <w:ind w:left="643" w:right="643" w:hanging="360"/>
      </w:pPr>
    </w:lvl>
  </w:abstractNum>
  <w:abstractNum w:abstractNumId="2">
    <w:nsid w:val="FFFFFF88"/>
    <w:multiLevelType w:val="singleLevel"/>
    <w:tmpl w:val="A156D032"/>
    <w:lvl w:ilvl="0">
      <w:start w:val="1"/>
      <w:numFmt w:val="decimal"/>
      <w:lvlText w:val="%1."/>
      <w:lvlJc w:val="left"/>
      <w:pPr>
        <w:tabs>
          <w:tab w:val="num" w:pos="360"/>
        </w:tabs>
        <w:ind w:left="360" w:right="360" w:hanging="360"/>
      </w:pPr>
    </w:lvl>
  </w:abstractNum>
  <w:abstractNum w:abstractNumId="3">
    <w:nsid w:val="FFFFFF89"/>
    <w:multiLevelType w:val="singleLevel"/>
    <w:tmpl w:val="B9BE48F6"/>
    <w:lvl w:ilvl="0">
      <w:start w:val="1"/>
      <w:numFmt w:val="bullet"/>
      <w:pStyle w:val="ListBullet"/>
      <w:lvlText w:val=""/>
      <w:lvlJc w:val="left"/>
      <w:pPr>
        <w:tabs>
          <w:tab w:val="num" w:pos="1440"/>
        </w:tabs>
        <w:ind w:left="1440" w:right="1440" w:hanging="720"/>
      </w:pPr>
      <w:rPr>
        <w:rFonts w:ascii="Symbol" w:hAnsi="Symbol" w:hint="default"/>
      </w:rPr>
    </w:lvl>
  </w:abstractNum>
  <w:abstractNum w:abstractNumId="4">
    <w:nsid w:val="02B91CB6"/>
    <w:multiLevelType w:val="hybridMultilevel"/>
    <w:tmpl w:val="E4EE165C"/>
    <w:lvl w:ilvl="0" w:tplc="FE5248B4">
      <w:start w:val="1"/>
      <w:numFmt w:val="arabicAbjad"/>
      <w:pStyle w:val="a"/>
      <w:lvlText w:val="(%1)"/>
      <w:lvlJc w:val="left"/>
      <w:pPr>
        <w:tabs>
          <w:tab w:val="num" w:pos="1440"/>
        </w:tabs>
        <w:ind w:left="1440" w:right="1440" w:hanging="720"/>
      </w:pPr>
      <w:rPr>
        <w:rFonts w:ascii="Times New Roman" w:hAnsi="Times New Roman" w:cs="Traditional Arabic" w:hint="default"/>
        <w:b w:val="0"/>
        <w:bCs w:val="0"/>
        <w:i w:val="0"/>
        <w:iCs w:val="0"/>
        <w:caps w:val="0"/>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5">
    <w:nsid w:val="213348E2"/>
    <w:multiLevelType w:val="hybridMultilevel"/>
    <w:tmpl w:val="7944817C"/>
    <w:lvl w:ilvl="0" w:tplc="3D266618">
      <w:start w:val="1"/>
      <w:numFmt w:val="decimal"/>
      <w:pStyle w:val="FootnoteText"/>
      <w:lvlText w:val="(%1)"/>
      <w:lvlJc w:val="left"/>
      <w:pPr>
        <w:tabs>
          <w:tab w:val="num" w:pos="737"/>
        </w:tabs>
        <w:ind w:left="737" w:right="737" w:hanging="737"/>
      </w:pPr>
      <w:rPr>
        <w:rFonts w:hint="default"/>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6">
    <w:nsid w:val="33655D9C"/>
    <w:multiLevelType w:val="hybridMultilevel"/>
    <w:tmpl w:val="C9DCA460"/>
    <w:lvl w:ilvl="0" w:tplc="E60CEABA">
      <w:start w:val="1"/>
      <w:numFmt w:val="decimal"/>
      <w:pStyle w:val="Artic1-"/>
      <w:lvlText w:val="%1-"/>
      <w:lvlJc w:val="left"/>
      <w:pPr>
        <w:tabs>
          <w:tab w:val="num" w:pos="1080"/>
        </w:tabs>
        <w:ind w:left="0" w:right="0" w:firstLine="720"/>
      </w:pPr>
      <w:rPr>
        <w:rFonts w:ascii="Times New Roman" w:hAnsi="Times New Roman" w:cs="Traditional Arabic" w:hint="default"/>
        <w:b w:val="0"/>
        <w:bCs w:val="0"/>
        <w:i w:val="0"/>
        <w:iCs w:val="0"/>
        <w:caps w:val="0"/>
        <w:spacing w:val="6"/>
        <w:kern w:val="16"/>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7">
    <w:nsid w:val="394C6AF4"/>
    <w:multiLevelType w:val="hybridMultilevel"/>
    <w:tmpl w:val="B4F25B64"/>
    <w:lvl w:ilvl="0" w:tplc="2368BD92">
      <w:start w:val="6"/>
      <w:numFmt w:val="arabicAbjad"/>
      <w:pStyle w:val="-"/>
      <w:lvlText w:val="(%1)"/>
      <w:lvlJc w:val="left"/>
      <w:pPr>
        <w:tabs>
          <w:tab w:val="num" w:pos="1080"/>
        </w:tabs>
        <w:ind w:left="0" w:right="0" w:firstLine="720"/>
      </w:pPr>
      <w:rPr>
        <w:rFonts w:ascii="Times New Roman" w:hAnsi="Times New Roman" w:cs="Traditional Arabic" w:hint="default"/>
        <w:b w:val="0"/>
        <w:bCs w:val="0"/>
        <w:i w:val="0"/>
        <w:iCs w:val="0"/>
        <w:caps w:val="0"/>
        <w:spacing w:val="6"/>
        <w:w w:val="100"/>
        <w:kern w:val="16"/>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8">
    <w:nsid w:val="3DEF3F8B"/>
    <w:multiLevelType w:val="hybridMultilevel"/>
    <w:tmpl w:val="A072E08C"/>
    <w:lvl w:ilvl="0" w:tplc="BCF0B69C">
      <w:start w:val="1"/>
      <w:numFmt w:val="decimal"/>
      <w:pStyle w:val="parag"/>
      <w:lvlText w:val="%1-"/>
      <w:lvlJc w:val="left"/>
      <w:pPr>
        <w:tabs>
          <w:tab w:val="num" w:pos="360"/>
        </w:tabs>
        <w:ind w:left="0" w:right="0" w:firstLine="0"/>
      </w:pPr>
      <w:rPr>
        <w:rFonts w:ascii="Times New Roman" w:hAnsi="Times New Roman" w:cs="Traditional Arabic" w:hint="default"/>
        <w:b w:val="0"/>
        <w:bCs w:val="0"/>
        <w:i w:val="0"/>
        <w:iCs w:val="0"/>
        <w:caps w:val="0"/>
        <w:spacing w:val="6"/>
        <w:kern w:val="16"/>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9">
    <w:nsid w:val="3F1E1156"/>
    <w:multiLevelType w:val="hybridMultilevel"/>
    <w:tmpl w:val="8632BE1C"/>
    <w:lvl w:ilvl="0" w:tplc="D25C9436">
      <w:start w:val="1"/>
      <w:numFmt w:val="decimal"/>
      <w:pStyle w:val="Rom1-"/>
      <w:lvlText w:val="'%1'"/>
      <w:lvlJc w:val="left"/>
      <w:pPr>
        <w:tabs>
          <w:tab w:val="num" w:pos="1440"/>
        </w:tabs>
        <w:ind w:left="1440" w:right="1440" w:hanging="720"/>
      </w:pPr>
      <w:rPr>
        <w:rFonts w:ascii="Times New Roman" w:hAnsi="Times New Roman" w:cs="Traditional Arabic" w:hint="default"/>
        <w:b w:val="0"/>
        <w:bCs w:val="0"/>
        <w:i w:val="0"/>
        <w:iCs w:val="0"/>
        <w:caps w:val="0"/>
        <w:spacing w:val="6"/>
        <w:kern w:val="16"/>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10">
    <w:nsid w:val="40B06C04"/>
    <w:multiLevelType w:val="hybridMultilevel"/>
    <w:tmpl w:val="A27051CA"/>
    <w:lvl w:ilvl="0" w:tplc="527CFA7C">
      <w:start w:val="6"/>
      <w:numFmt w:val="none"/>
      <w:pStyle w:val="a0"/>
      <w:lvlText w:val="(ﻫ)"/>
      <w:lvlJc w:val="left"/>
      <w:pPr>
        <w:tabs>
          <w:tab w:val="num" w:pos="1080"/>
        </w:tabs>
        <w:ind w:left="0" w:right="0" w:firstLine="720"/>
      </w:pPr>
      <w:rPr>
        <w:rFonts w:ascii="Times New Roman" w:hAnsi="Times New Roman" w:cs="Traditional Arabic" w:hint="default"/>
        <w:b w:val="0"/>
        <w:bCs w:val="0"/>
        <w:i w:val="0"/>
        <w:iCs w:val="0"/>
        <w:caps w:val="0"/>
        <w:spacing w:val="6"/>
        <w:kern w:val="16"/>
        <w:sz w:val="22"/>
        <w:szCs w:val="30"/>
      </w:rPr>
    </w:lvl>
    <w:lvl w:ilvl="1" w:tplc="E656FEB0">
      <w:start w:val="6"/>
      <w:numFmt w:val="none"/>
      <w:lvlText w:val="(ﻫ)"/>
      <w:lvlJc w:val="left"/>
      <w:pPr>
        <w:tabs>
          <w:tab w:val="num" w:pos="1800"/>
        </w:tabs>
        <w:ind w:left="1800" w:right="1800" w:hanging="720"/>
      </w:pPr>
      <w:rPr>
        <w:rFonts w:ascii="Times New Roman" w:hAnsi="Times New Roman" w:cs="Traditional Arabic" w:hint="default"/>
        <w:b w:val="0"/>
        <w:bCs w:val="0"/>
        <w:i w:val="0"/>
        <w:iCs w:val="0"/>
        <w:caps w:val="0"/>
        <w:spacing w:val="6"/>
        <w:kern w:val="16"/>
        <w:sz w:val="22"/>
        <w:szCs w:val="30"/>
      </w:r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11">
    <w:nsid w:val="59D80086"/>
    <w:multiLevelType w:val="hybridMultilevel"/>
    <w:tmpl w:val="608C4A4A"/>
    <w:lvl w:ilvl="0" w:tplc="5A340FAE">
      <w:start w:val="1"/>
      <w:numFmt w:val="decimal"/>
      <w:pStyle w:val="EndnoteText"/>
      <w:lvlText w:val="(%1)"/>
      <w:lvlJc w:val="left"/>
      <w:pPr>
        <w:tabs>
          <w:tab w:val="num" w:pos="1080"/>
        </w:tabs>
        <w:ind w:left="0" w:right="0" w:firstLine="720"/>
      </w:pPr>
      <w:rPr>
        <w:rFonts w:ascii="Times New Roman" w:hAnsi="Times New Roman" w:cs="Traditional Arabic" w:hint="default"/>
        <w:b w:val="0"/>
        <w:bCs w:val="0"/>
        <w:i w:val="0"/>
        <w:iCs w:val="0"/>
        <w:caps w:val="0"/>
        <w:spacing w:val="6"/>
        <w:kern w:val="16"/>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12">
    <w:nsid w:val="6606499D"/>
    <w:multiLevelType w:val="hybridMultilevel"/>
    <w:tmpl w:val="AEF43330"/>
    <w:lvl w:ilvl="0" w:tplc="08AAB484">
      <w:start w:val="1"/>
      <w:numFmt w:val="decimal"/>
      <w:lvlText w:val="%1-"/>
      <w:lvlJc w:val="left"/>
      <w:pPr>
        <w:tabs>
          <w:tab w:val="num" w:pos="360"/>
        </w:tabs>
        <w:ind w:left="0" w:right="0" w:firstLine="0"/>
      </w:pPr>
      <w:rPr>
        <w:rFonts w:hint="default"/>
        <w:effect w:val="antsRed"/>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13">
    <w:nsid w:val="7A9751ED"/>
    <w:multiLevelType w:val="hybridMultilevel"/>
    <w:tmpl w:val="4D4E38C0"/>
    <w:lvl w:ilvl="0" w:tplc="8B804F94">
      <w:start w:val="1"/>
      <w:numFmt w:val="arabicAbjad"/>
      <w:lvlText w:val="(%1)"/>
      <w:lvlJc w:val="left"/>
      <w:pPr>
        <w:tabs>
          <w:tab w:val="num" w:pos="720"/>
        </w:tabs>
        <w:ind w:left="720" w:right="720" w:hanging="720"/>
      </w:pPr>
      <w:rPr>
        <w:rFonts w:ascii="Times New Roman" w:hAnsi="Times New Roman" w:cs="Traditional Arabic" w:hint="default"/>
        <w:b w:val="0"/>
        <w:bCs w:val="0"/>
        <w:i w:val="0"/>
        <w:iCs w:val="0"/>
        <w:caps w:val="0"/>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num w:numId="1">
    <w:abstractNumId w:val="2"/>
  </w:num>
  <w:num w:numId="2">
    <w:abstractNumId w:val="1"/>
  </w:num>
  <w:num w:numId="3">
    <w:abstractNumId w:val="0"/>
  </w:num>
  <w:num w:numId="4">
    <w:abstractNumId w:val="5"/>
  </w:num>
  <w:num w:numId="5">
    <w:abstractNumId w:val="12"/>
  </w:num>
  <w:num w:numId="6">
    <w:abstractNumId w:val="13"/>
  </w:num>
  <w:num w:numId="7">
    <w:abstractNumId w:val="4"/>
  </w:num>
  <w:num w:numId="8">
    <w:abstractNumId w:val="4"/>
  </w:num>
  <w:num w:numId="9">
    <w:abstractNumId w:val="4"/>
  </w:num>
  <w:num w:numId="10">
    <w:abstractNumId w:val="10"/>
  </w:num>
  <w:num w:numId="11">
    <w:abstractNumId w:val="10"/>
  </w:num>
  <w:num w:numId="12">
    <w:abstractNumId w:val="10"/>
  </w:num>
  <w:num w:numId="13">
    <w:abstractNumId w:val="10"/>
  </w:num>
  <w:num w:numId="14">
    <w:abstractNumId w:val="10"/>
  </w:num>
  <w:num w:numId="15">
    <w:abstractNumId w:val="10"/>
  </w:num>
  <w:num w:numId="16">
    <w:abstractNumId w:val="10"/>
  </w:num>
  <w:num w:numId="17">
    <w:abstractNumId w:val="10"/>
  </w:num>
  <w:num w:numId="18">
    <w:abstractNumId w:val="10"/>
  </w:num>
  <w:num w:numId="19">
    <w:abstractNumId w:val="10"/>
  </w:num>
  <w:num w:numId="20">
    <w:abstractNumId w:val="10"/>
  </w:num>
  <w:num w:numId="21">
    <w:abstractNumId w:val="10"/>
  </w:num>
  <w:num w:numId="22">
    <w:abstractNumId w:val="10"/>
  </w:num>
  <w:num w:numId="23">
    <w:abstractNumId w:val="10"/>
  </w:num>
  <w:num w:numId="24">
    <w:abstractNumId w:val="10"/>
  </w:num>
  <w:num w:numId="25">
    <w:abstractNumId w:val="10"/>
  </w:num>
  <w:num w:numId="26">
    <w:abstractNumId w:val="10"/>
  </w:num>
  <w:num w:numId="27">
    <w:abstractNumId w:val="10"/>
  </w:num>
  <w:num w:numId="28">
    <w:abstractNumId w:val="10"/>
  </w:num>
  <w:num w:numId="29">
    <w:abstractNumId w:val="10"/>
  </w:num>
  <w:num w:numId="30">
    <w:abstractNumId w:val="10"/>
  </w:num>
  <w:num w:numId="31">
    <w:abstractNumId w:val="10"/>
  </w:num>
  <w:num w:numId="32">
    <w:abstractNumId w:val="10"/>
  </w:num>
  <w:num w:numId="33">
    <w:abstractNumId w:val="10"/>
  </w:num>
  <w:num w:numId="34">
    <w:abstractNumId w:val="8"/>
  </w:num>
  <w:num w:numId="35">
    <w:abstractNumId w:val="8"/>
  </w:num>
  <w:num w:numId="36">
    <w:abstractNumId w:val="8"/>
  </w:num>
  <w:num w:numId="37">
    <w:abstractNumId w:val="8"/>
  </w:num>
  <w:num w:numId="38">
    <w:abstractNumId w:val="8"/>
  </w:num>
  <w:num w:numId="39">
    <w:abstractNumId w:val="8"/>
  </w:num>
  <w:num w:numId="40">
    <w:abstractNumId w:val="8"/>
  </w:num>
  <w:num w:numId="41">
    <w:abstractNumId w:val="8"/>
  </w:num>
  <w:num w:numId="42">
    <w:abstractNumId w:val="8"/>
  </w:num>
  <w:num w:numId="43">
    <w:abstractNumId w:val="8"/>
  </w:num>
  <w:num w:numId="44">
    <w:abstractNumId w:val="8"/>
  </w:num>
  <w:num w:numId="45">
    <w:abstractNumId w:val="8"/>
  </w:num>
  <w:num w:numId="46">
    <w:abstractNumId w:val="8"/>
  </w:num>
  <w:num w:numId="47">
    <w:abstractNumId w:val="8"/>
  </w:num>
  <w:num w:numId="48">
    <w:abstractNumId w:val="8"/>
  </w:num>
  <w:num w:numId="49">
    <w:abstractNumId w:val="3"/>
  </w:num>
  <w:num w:numId="50">
    <w:abstractNumId w:val="3"/>
  </w:num>
  <w:num w:numId="51">
    <w:abstractNumId w:val="3"/>
  </w:num>
  <w:num w:numId="52">
    <w:abstractNumId w:val="8"/>
  </w:num>
  <w:num w:numId="53">
    <w:abstractNumId w:val="8"/>
  </w:num>
  <w:num w:numId="54">
    <w:abstractNumId w:val="7"/>
  </w:num>
  <w:num w:numId="55">
    <w:abstractNumId w:val="11"/>
  </w:num>
  <w:num w:numId="56">
    <w:abstractNumId w:val="11"/>
  </w:num>
  <w:num w:numId="57">
    <w:abstractNumId w:val="11"/>
  </w:num>
  <w:num w:numId="58">
    <w:abstractNumId w:val="3"/>
  </w:num>
  <w:num w:numId="59">
    <w:abstractNumId w:val="6"/>
  </w:num>
  <w:num w:numId="60">
    <w:abstractNumId w:val="6"/>
  </w:num>
  <w:num w:numId="61">
    <w:abstractNumId w:val="9"/>
  </w:num>
  <w:num w:numId="62">
    <w:abstractNumId w:val="9"/>
  </w:num>
  <w:num w:numId="63">
    <w:abstractNumId w:val="9"/>
  </w:num>
  <w:num w:numId="6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attachedTemplate r:id="rId1"/>
  <w:doNotTrackMoves/>
  <w:defaultTabStop w:val="720"/>
  <w:evenAndOddHeaders/>
  <w:drawingGridHorizontalSpacing w:val="113"/>
  <w:drawingGridVerticalSpacing w:val="299"/>
  <w:displayHorizontalDrawingGridEvery w:val="2"/>
  <w:noPunctuationKerning/>
  <w:characterSpacingControl w:val="doNotCompress"/>
  <w:hdrShapeDefaults>
    <o:shapedefaults v:ext="edit" spidmax="3074"/>
    <o:shapelayout v:ext="edit">
      <o:idmap v:ext="edit" data="1"/>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spacing w:before="240" w:after="240"/>
      <w:jc w:val="lowKashida"/>
    </w:pPr>
    <w:rPr>
      <w:rFonts w:cs="Traditional Arabic"/>
      <w:spacing w:val="6"/>
      <w:kern w:val="16"/>
      <w:sz w:val="22"/>
      <w:szCs w:val="30"/>
      <w:lang w:val="en-US" w:eastAsia="ar-SA"/>
    </w:rPr>
  </w:style>
  <w:style w:type="paragraph" w:styleId="Heading1">
    <w:name w:val="heading 1"/>
    <w:basedOn w:val="Normal"/>
    <w:next w:val="Normal"/>
    <w:qFormat/>
    <w:pPr>
      <w:keepNext/>
      <w:jc w:val="both"/>
      <w:outlineLvl w:val="0"/>
    </w:pPr>
    <w:rPr>
      <w:b/>
      <w:bCs/>
      <w:sz w:val="28"/>
      <w:szCs w:val="36"/>
    </w:rPr>
  </w:style>
  <w:style w:type="paragraph" w:styleId="Heading2">
    <w:name w:val="heading 2"/>
    <w:basedOn w:val="Normal"/>
    <w:next w:val="Normal"/>
    <w:qFormat/>
    <w:pPr>
      <w:keepNext/>
      <w:jc w:val="center"/>
      <w:outlineLvl w:val="1"/>
    </w:pPr>
    <w:rPr>
      <w:sz w:val="28"/>
      <w:szCs w:val="36"/>
    </w:rPr>
  </w:style>
  <w:style w:type="paragraph" w:styleId="Heading3">
    <w:name w:val="heading 3"/>
    <w:basedOn w:val="Normal"/>
    <w:next w:val="Normal"/>
    <w:qFormat/>
    <w:pPr>
      <w:keepNext/>
      <w:jc w:val="center"/>
      <w:outlineLvl w:val="2"/>
    </w:pPr>
    <w:rPr>
      <w:b/>
      <w:bCs/>
    </w:rPr>
  </w:style>
  <w:style w:type="paragraph" w:styleId="Heading4">
    <w:name w:val="heading 4"/>
    <w:basedOn w:val="Normal"/>
    <w:next w:val="Normal"/>
    <w:qFormat/>
    <w:pPr>
      <w:keepNext/>
      <w:jc w:val="center"/>
      <w:outlineLvl w:val="3"/>
    </w:pPr>
    <w:rPr>
      <w:rFonts w:cs="Times New Roman"/>
      <w:szCs w:val="28"/>
      <w:u w:val="single"/>
    </w:rPr>
  </w:style>
  <w:style w:type="paragraph" w:styleId="Heading5">
    <w:name w:val="heading 5"/>
    <w:basedOn w:val="Normal"/>
    <w:next w:val="Normal"/>
    <w:qFormat/>
    <w:pPr>
      <w:jc w:val="both"/>
      <w:outlineLvl w:val="4"/>
    </w:pPr>
    <w:rPr>
      <w:b/>
      <w:bCs/>
      <w:sz w:val="28"/>
      <w:szCs w:val="36"/>
    </w:rPr>
  </w:style>
  <w:style w:type="paragraph" w:styleId="Heading6">
    <w:name w:val="heading 6"/>
    <w:basedOn w:val="Normal"/>
    <w:next w:val="Normal"/>
    <w:qFormat/>
    <w:pPr>
      <w:keepNext/>
      <w:jc w:val="both"/>
      <w:outlineLvl w:val="5"/>
    </w:pPr>
    <w:rPr>
      <w:sz w:val="28"/>
      <w:szCs w:val="36"/>
    </w:rPr>
  </w:style>
  <w:style w:type="paragraph" w:styleId="Heading7">
    <w:name w:val="heading 7"/>
    <w:basedOn w:val="Normal"/>
    <w:next w:val="Normal"/>
    <w:qFormat/>
    <w:pPr>
      <w:keepNext/>
      <w:jc w:val="both"/>
      <w:outlineLvl w:val="6"/>
    </w:pPr>
    <w:rPr>
      <w:b/>
      <w:bCs/>
      <w:i/>
      <w:iCs/>
    </w:rPr>
  </w:style>
  <w:style w:type="paragraph" w:styleId="Heading8">
    <w:name w:val="heading 8"/>
    <w:basedOn w:val="Normal"/>
    <w:next w:val="Normal"/>
    <w:qFormat/>
    <w:pPr>
      <w:keepNext/>
      <w:jc w:val="both"/>
      <w:outlineLvl w:val="7"/>
    </w:pPr>
    <w:rPr>
      <w:i/>
      <w:iCs/>
    </w:rPr>
  </w:style>
  <w:style w:type="paragraph" w:styleId="Heading9">
    <w:name w:val="heading 9"/>
    <w:basedOn w:val="Normal"/>
    <w:next w:val="Normal"/>
    <w:qFormat/>
    <w:pPr>
      <w:keepNext/>
      <w:jc w:val="both"/>
      <w:outlineLvl w:val="8"/>
    </w:pPr>
    <w:rPr>
      <w:u w:val="single"/>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pPr>
      <w:numPr>
        <w:numId w:val="4"/>
      </w:numPr>
      <w:tabs>
        <w:tab w:val="clear" w:pos="737"/>
      </w:tabs>
      <w:spacing w:before="0" w:after="120" w:line="340" w:lineRule="exact"/>
      <w:ind w:left="0" w:right="0" w:firstLine="720"/>
      <w:jc w:val="both"/>
    </w:pPr>
    <w:rPr>
      <w:szCs w:val="28"/>
    </w:rPr>
  </w:style>
  <w:style w:type="character" w:styleId="FootnoteReference">
    <w:name w:val="footnote reference"/>
    <w:semiHidden/>
    <w:rPr>
      <w:rFonts w:cs="Traditional Arabic"/>
      <w:bCs/>
      <w:szCs w:val="28"/>
      <w:vertAlign w:val="superscript"/>
      <w:lang w:bidi="ar-SA"/>
    </w:rPr>
  </w:style>
  <w:style w:type="paragraph" w:customStyle="1" w:styleId="a">
    <w:name w:val="(أ) إلى (د)"/>
    <w:basedOn w:val="Normal"/>
    <w:pPr>
      <w:numPr>
        <w:numId w:val="9"/>
      </w:numPr>
      <w:tabs>
        <w:tab w:val="clear" w:pos="1440"/>
      </w:tabs>
      <w:ind w:left="0" w:right="0" w:firstLine="720"/>
      <w:jc w:val="both"/>
    </w:pPr>
  </w:style>
  <w:style w:type="paragraph" w:customStyle="1" w:styleId="a0">
    <w:name w:val="(ه‍)"/>
    <w:basedOn w:val="a"/>
    <w:pPr>
      <w:numPr>
        <w:numId w:val="33"/>
      </w:numPr>
      <w:tabs>
        <w:tab w:val="clear" w:pos="1080"/>
        <w:tab w:val="left" w:pos="720"/>
      </w:tabs>
    </w:pPr>
  </w:style>
  <w:style w:type="paragraph" w:customStyle="1" w:styleId="parag">
    <w:name w:val="parag"/>
    <w:pPr>
      <w:numPr>
        <w:numId w:val="53"/>
      </w:numPr>
      <w:tabs>
        <w:tab w:val="clear" w:pos="360"/>
        <w:tab w:val="left" w:pos="720"/>
      </w:tabs>
      <w:bidi/>
      <w:spacing w:before="180" w:after="180" w:line="400" w:lineRule="exact"/>
      <w:jc w:val="both"/>
    </w:pPr>
    <w:rPr>
      <w:rFonts w:cs="Traditional Arabic"/>
      <w:spacing w:val="6"/>
      <w:kern w:val="16"/>
      <w:sz w:val="22"/>
      <w:szCs w:val="30"/>
      <w:lang w:val="en-US" w:eastAsia="ar-SA"/>
    </w:rPr>
  </w:style>
  <w:style w:type="paragraph" w:styleId="ListBullet">
    <w:name w:val="List Bullet"/>
    <w:basedOn w:val="Normal"/>
    <w:autoRedefine/>
    <w:semiHidden/>
    <w:pPr>
      <w:numPr>
        <w:numId w:val="58"/>
      </w:numPr>
      <w:ind w:right="0"/>
      <w:jc w:val="both"/>
    </w:pPr>
  </w:style>
  <w:style w:type="paragraph" w:customStyle="1" w:styleId="Artic1-">
    <w:name w:val="Artic_1-"/>
    <w:basedOn w:val="Normal"/>
    <w:pPr>
      <w:numPr>
        <w:numId w:val="60"/>
      </w:numPr>
      <w:jc w:val="both"/>
    </w:pPr>
  </w:style>
  <w:style w:type="paragraph" w:customStyle="1" w:styleId="-">
    <w:name w:val="(و) -"/>
    <w:basedOn w:val="Normal"/>
    <w:pPr>
      <w:numPr>
        <w:numId w:val="54"/>
      </w:numPr>
      <w:tabs>
        <w:tab w:val="clear" w:pos="1080"/>
      </w:tabs>
      <w:jc w:val="both"/>
    </w:pPr>
  </w:style>
  <w:style w:type="paragraph" w:styleId="EndnoteText">
    <w:name w:val="endnote text"/>
    <w:basedOn w:val="Normal"/>
    <w:semiHidden/>
    <w:pPr>
      <w:numPr>
        <w:numId w:val="64"/>
      </w:numPr>
      <w:spacing w:before="0" w:after="120" w:line="340" w:lineRule="exact"/>
      <w:jc w:val="both"/>
    </w:pPr>
    <w:rPr>
      <w:sz w:val="21"/>
      <w:szCs w:val="28"/>
    </w:rPr>
  </w:style>
  <w:style w:type="paragraph" w:styleId="Footer">
    <w:name w:val="footer"/>
    <w:basedOn w:val="Normal"/>
    <w:semiHidden/>
    <w:pPr>
      <w:spacing w:before="0" w:after="0"/>
      <w:jc w:val="both"/>
    </w:pPr>
  </w:style>
  <w:style w:type="paragraph" w:styleId="TOC9">
    <w:name w:val="toc 9"/>
    <w:basedOn w:val="Normal"/>
    <w:next w:val="Normal"/>
    <w:autoRedefine/>
    <w:semiHidden/>
    <w:pPr>
      <w:ind w:left="1760"/>
      <w:jc w:val="both"/>
    </w:pPr>
  </w:style>
  <w:style w:type="paragraph" w:customStyle="1" w:styleId="Rom1-">
    <w:name w:val="Rom_'1'-"/>
    <w:basedOn w:val="Normal"/>
    <w:pPr>
      <w:numPr>
        <w:numId w:val="63"/>
      </w:numPr>
      <w:ind w:right="0"/>
      <w:jc w:val="both"/>
    </w:pPr>
  </w:style>
  <w:style w:type="character" w:styleId="EndnoteReference">
    <w:name w:val="endnote reference"/>
    <w:semiHidden/>
    <w:rPr>
      <w:rFonts w:ascii="Times New Roman" w:hAnsi="Times New Roman" w:cs="Traditional Arabic"/>
      <w:bCs/>
      <w:szCs w:val="28"/>
      <w:vertAlign w:val="superscript"/>
      <w:lang w:bidi="ar-SA"/>
    </w:rPr>
  </w:style>
  <w:style w:type="paragraph" w:customStyle="1" w:styleId="H1CLB">
    <w:name w:val="H1_C+L+B"/>
    <w:basedOn w:val="Normal"/>
    <w:pPr>
      <w:jc w:val="center"/>
    </w:pPr>
    <w:rPr>
      <w:bCs/>
      <w:sz w:val="28"/>
      <w:szCs w:val="36"/>
    </w:rPr>
  </w:style>
  <w:style w:type="paragraph" w:customStyle="1" w:styleId="H2CL">
    <w:name w:val="H2_C+L"/>
    <w:basedOn w:val="Normal"/>
    <w:pPr>
      <w:jc w:val="center"/>
    </w:pPr>
    <w:rPr>
      <w:sz w:val="28"/>
      <w:szCs w:val="36"/>
    </w:rPr>
  </w:style>
  <w:style w:type="paragraph" w:customStyle="1" w:styleId="H3CB">
    <w:name w:val="H3_C+B"/>
    <w:basedOn w:val="Normal"/>
    <w:pPr>
      <w:jc w:val="center"/>
    </w:pPr>
    <w:rPr>
      <w:b/>
      <w:bCs/>
    </w:rPr>
  </w:style>
  <w:style w:type="paragraph" w:customStyle="1" w:styleId="H4CU">
    <w:name w:val="H4_C+U"/>
    <w:basedOn w:val="Normal"/>
    <w:pPr>
      <w:jc w:val="center"/>
    </w:pPr>
    <w:rPr>
      <w:u w:val="single"/>
    </w:rPr>
  </w:style>
  <w:style w:type="paragraph" w:customStyle="1" w:styleId="H5RLB">
    <w:name w:val="H5_R+L+B"/>
    <w:basedOn w:val="Normal"/>
    <w:pPr>
      <w:jc w:val="both"/>
    </w:pPr>
    <w:rPr>
      <w:b/>
      <w:bCs/>
      <w:sz w:val="28"/>
      <w:szCs w:val="36"/>
    </w:rPr>
  </w:style>
  <w:style w:type="paragraph" w:customStyle="1" w:styleId="H6RL">
    <w:name w:val="H6_R+L"/>
    <w:basedOn w:val="Normal"/>
    <w:pPr>
      <w:jc w:val="both"/>
    </w:pPr>
    <w:rPr>
      <w:sz w:val="28"/>
      <w:szCs w:val="36"/>
    </w:rPr>
  </w:style>
  <w:style w:type="paragraph" w:customStyle="1" w:styleId="H7RBI">
    <w:name w:val="H7_R+B+I"/>
    <w:basedOn w:val="Normal"/>
    <w:pPr>
      <w:jc w:val="both"/>
    </w:pPr>
    <w:rPr>
      <w:b/>
      <w:bCs/>
      <w:i/>
      <w:iCs/>
    </w:rPr>
  </w:style>
  <w:style w:type="paragraph" w:customStyle="1" w:styleId="H8">
    <w:name w:val="H8"/>
    <w:basedOn w:val="Normal"/>
    <w:pPr>
      <w:jc w:val="both"/>
    </w:pPr>
    <w:rPr>
      <w:i/>
      <w:iCs/>
    </w:rPr>
  </w:style>
  <w:style w:type="paragraph" w:customStyle="1" w:styleId="H8RI">
    <w:name w:val="H8_R+I"/>
    <w:basedOn w:val="Normal"/>
    <w:pPr>
      <w:jc w:val="both"/>
    </w:pPr>
    <w:rPr>
      <w:i/>
      <w:iCs/>
    </w:rPr>
  </w:style>
  <w:style w:type="paragraph" w:customStyle="1" w:styleId="H9RU">
    <w:name w:val="H9_R+U"/>
    <w:basedOn w:val="Normal"/>
    <w:pPr>
      <w:jc w:val="both"/>
    </w:pPr>
    <w:rPr>
      <w:u w:val="single"/>
    </w:rPr>
  </w:style>
  <w:style w:type="paragraph" w:customStyle="1" w:styleId="HCCIn">
    <w:name w:val="HC_C+In."/>
    <w:basedOn w:val="Normal"/>
    <w:pPr>
      <w:ind w:left="2705" w:right="1985" w:hanging="720"/>
      <w:jc w:val="both"/>
    </w:pPr>
  </w:style>
  <w:style w:type="paragraph" w:customStyle="1" w:styleId="HaRIn">
    <w:name w:val="Ha_R+In."/>
    <w:basedOn w:val="Normal"/>
    <w:pPr>
      <w:ind w:left="720" w:hanging="720"/>
      <w:jc w:val="both"/>
    </w:pPr>
  </w:style>
  <w:style w:type="character" w:styleId="Hyperlink">
    <w:name w:val="Hyperlink"/>
    <w:semiHidden/>
    <w:rPr>
      <w:color w:val="auto"/>
      <w:u w:val="none"/>
    </w:rPr>
  </w:style>
  <w:style w:type="paragraph" w:customStyle="1" w:styleId="HCCCm">
    <w:name w:val="HCC_Cm"/>
    <w:basedOn w:val="Normal"/>
    <w:pPr>
      <w:keepNext/>
      <w:ind w:left="1985" w:right="1985"/>
      <w:jc w:val="both"/>
    </w:pPr>
  </w:style>
  <w:style w:type="paragraph" w:styleId="Header">
    <w:name w:val="header"/>
    <w:basedOn w:val="Normal"/>
    <w:semiHidden/>
    <w:pPr>
      <w:spacing w:before="0" w:after="0"/>
      <w:jc w:val="both"/>
    </w:pPr>
  </w:style>
  <w:style w:type="character" w:styleId="PageNumber">
    <w:name w:val="page number"/>
    <w:basedOn w:val="DefaultParagraphFon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MACRO\TEMPLATEX\FINALX\CCP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Template>
  <TotalTime>3</TotalTime>
  <Pages>6</Pages>
  <Words>1665</Words>
  <Characters>9491</Characters>
  <Application>Microsoft Office Word</Application>
  <DocSecurity>4</DocSecurity>
  <Lines>79</Lines>
  <Paragraphs>18</Paragraphs>
  <ScaleCrop>false</ScaleCrop>
  <HeadingPairs>
    <vt:vector size="2" baseType="variant">
      <vt:variant>
        <vt:lpstr>العنوان</vt:lpstr>
      </vt:variant>
      <vt:variant>
        <vt:i4>1</vt:i4>
      </vt:variant>
    </vt:vector>
  </HeadingPairs>
  <TitlesOfParts>
    <vt:vector size="1" baseType="lpstr">
      <vt:lpstr>الجمعية العامة</vt:lpstr>
    </vt:vector>
  </TitlesOfParts>
  <Company>ONU</Company>
  <LinksUpToDate>false</LinksUpToDate>
  <CharactersWithSpaces>11655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الجمعية العامة</dc:title>
  <dc:subject/>
  <dc:creator>MORCOS</dc:creator>
  <cp:keywords/>
  <dc:description/>
  <cp:lastModifiedBy>MORCOS</cp:lastModifiedBy>
  <cp:revision>2</cp:revision>
  <cp:lastPrinted>2007-12-06T07:43:00Z</cp:lastPrinted>
  <dcterms:created xsi:type="dcterms:W3CDTF">2007-12-06T07:46:00Z</dcterms:created>
  <dcterms:modified xsi:type="dcterms:W3CDTF">2007-12-06T07:46:00Z</dcterms:modified>
</cp:coreProperties>
</file>