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4D9B66E" w14:textId="77777777" w:rsidTr="005B51C4">
        <w:trPr>
          <w:trHeight w:hRule="exact" w:val="851"/>
        </w:trPr>
        <w:tc>
          <w:tcPr>
            <w:tcW w:w="1274" w:type="dxa"/>
            <w:tcBorders>
              <w:bottom w:val="single" w:sz="4" w:space="0" w:color="auto"/>
            </w:tcBorders>
            <w:shd w:val="clear" w:color="auto" w:fill="auto"/>
          </w:tcPr>
          <w:p w14:paraId="0CEFA517" w14:textId="77777777" w:rsidR="006B3E27" w:rsidRPr="00C175A6" w:rsidRDefault="006B3E27" w:rsidP="008F0E86">
            <w:pPr>
              <w:kinsoku w:val="0"/>
              <w:overflowPunct w:val="0"/>
              <w:autoSpaceDE w:val="0"/>
              <w:autoSpaceDN w:val="0"/>
              <w:adjustRightInd w:val="0"/>
              <w:snapToGrid w:val="0"/>
              <w:jc w:val="center"/>
              <w:rPr>
                <w:sz w:val="56"/>
                <w:szCs w:val="56"/>
              </w:rPr>
            </w:pPr>
          </w:p>
        </w:tc>
        <w:tc>
          <w:tcPr>
            <w:tcW w:w="4537" w:type="dxa"/>
            <w:tcBorders>
              <w:bottom w:val="single" w:sz="4" w:space="0" w:color="auto"/>
            </w:tcBorders>
            <w:shd w:val="clear" w:color="auto" w:fill="auto"/>
            <w:vAlign w:val="bottom"/>
          </w:tcPr>
          <w:p w14:paraId="609D1F8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6CF2C0E" w14:textId="5818FD16" w:rsidR="006B3E27" w:rsidRPr="004A4965" w:rsidRDefault="004A4965" w:rsidP="004A4965">
            <w:pPr>
              <w:bidi w:val="0"/>
              <w:rPr>
                <w:szCs w:val="20"/>
              </w:rPr>
            </w:pPr>
            <w:r w:rsidRPr="00BB5724">
              <w:rPr>
                <w:sz w:val="40"/>
                <w:szCs w:val="20"/>
              </w:rPr>
              <w:t>CCPR</w:t>
            </w:r>
            <w:r w:rsidRPr="00BB5724">
              <w:rPr>
                <w:szCs w:val="20"/>
              </w:rPr>
              <w:t>/C/URY/CO/</w:t>
            </w:r>
            <w:r w:rsidRPr="00BC1017">
              <w:rPr>
                <w:szCs w:val="20"/>
              </w:rPr>
              <w:t>6</w:t>
            </w:r>
          </w:p>
        </w:tc>
      </w:tr>
      <w:tr w:rsidR="006B3E27" w:rsidRPr="00C175A6" w14:paraId="1BC7651E" w14:textId="77777777" w:rsidTr="005B51C4">
        <w:trPr>
          <w:trHeight w:hRule="exact" w:val="2835"/>
        </w:trPr>
        <w:tc>
          <w:tcPr>
            <w:tcW w:w="1274" w:type="dxa"/>
            <w:tcBorders>
              <w:top w:val="single" w:sz="4" w:space="0" w:color="auto"/>
              <w:bottom w:val="single" w:sz="12" w:space="0" w:color="auto"/>
            </w:tcBorders>
            <w:shd w:val="clear" w:color="auto" w:fill="auto"/>
          </w:tcPr>
          <w:p w14:paraId="3F386D48"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5DCBCCB6" wp14:editId="6E793A3B">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2C53C65" w14:textId="77777777" w:rsidR="006B3E27" w:rsidRPr="00BC1017" w:rsidRDefault="00ED7442" w:rsidP="00730446">
            <w:pPr>
              <w:spacing w:before="120" w:after="40" w:line="640" w:lineRule="exact"/>
              <w:ind w:left="57"/>
              <w:rPr>
                <w:b/>
                <w:bCs/>
                <w:sz w:val="46"/>
                <w:szCs w:val="46"/>
              </w:rPr>
            </w:pPr>
            <w:r w:rsidRPr="00BC1017">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9D53152" w14:textId="518669DC" w:rsidR="006B3E27" w:rsidRDefault="004A4965" w:rsidP="004B27E0">
            <w:pPr>
              <w:bidi w:val="0"/>
              <w:spacing w:before="240"/>
              <w:rPr>
                <w:szCs w:val="20"/>
              </w:rPr>
            </w:pPr>
            <w:r>
              <w:rPr>
                <w:szCs w:val="20"/>
              </w:rPr>
              <w:t>Dist</w:t>
            </w:r>
            <w:r w:rsidR="00BB5724" w:rsidRPr="00BB5724">
              <w:rPr>
                <w:szCs w:val="20"/>
              </w:rPr>
              <w:t>r.:</w:t>
            </w:r>
            <w:r>
              <w:rPr>
                <w:szCs w:val="20"/>
              </w:rPr>
              <w:t xml:space="preserve"> General</w:t>
            </w:r>
          </w:p>
          <w:p w14:paraId="0C87D011" w14:textId="4435C54F" w:rsidR="004A4965" w:rsidRDefault="00401692" w:rsidP="004A4965">
            <w:pPr>
              <w:bidi w:val="0"/>
              <w:spacing w:line="240" w:lineRule="exact"/>
              <w:jc w:val="left"/>
              <w:rPr>
                <w:szCs w:val="20"/>
              </w:rPr>
            </w:pPr>
            <w:r w:rsidRPr="00BC1017">
              <w:rPr>
                <w:szCs w:val="20"/>
              </w:rPr>
              <w:t xml:space="preserve">3 October </w:t>
            </w:r>
            <w:r w:rsidR="004A4965" w:rsidRPr="00BC1017">
              <w:rPr>
                <w:szCs w:val="20"/>
              </w:rPr>
              <w:t>2022</w:t>
            </w:r>
          </w:p>
          <w:p w14:paraId="5854C034" w14:textId="77777777" w:rsidR="004A4965" w:rsidRDefault="004A4965" w:rsidP="004A4965">
            <w:pPr>
              <w:bidi w:val="0"/>
              <w:spacing w:line="240" w:lineRule="exact"/>
              <w:jc w:val="left"/>
              <w:rPr>
                <w:szCs w:val="20"/>
              </w:rPr>
            </w:pPr>
            <w:r>
              <w:rPr>
                <w:szCs w:val="20"/>
              </w:rPr>
              <w:t>Arabic</w:t>
            </w:r>
          </w:p>
          <w:p w14:paraId="13AAD559" w14:textId="6D42546E" w:rsidR="004A4965" w:rsidRPr="004A4965" w:rsidRDefault="004A4965" w:rsidP="004A4965">
            <w:pPr>
              <w:bidi w:val="0"/>
              <w:spacing w:line="240" w:lineRule="exact"/>
              <w:jc w:val="left"/>
              <w:rPr>
                <w:szCs w:val="20"/>
              </w:rPr>
            </w:pPr>
            <w:r>
              <w:rPr>
                <w:szCs w:val="20"/>
              </w:rPr>
              <w:t>Origina</w:t>
            </w:r>
            <w:r w:rsidR="00BB5724" w:rsidRPr="00BB5724">
              <w:rPr>
                <w:szCs w:val="20"/>
              </w:rPr>
              <w:t xml:space="preserve">l: </w:t>
            </w:r>
            <w:r w:rsidR="00401692">
              <w:rPr>
                <w:szCs w:val="20"/>
              </w:rPr>
              <w:t>Spanish</w:t>
            </w:r>
          </w:p>
        </w:tc>
      </w:tr>
    </w:tbl>
    <w:p w14:paraId="02CC5BA9" w14:textId="77777777" w:rsidR="00B618A5" w:rsidRPr="00BC1017" w:rsidRDefault="00B618A5" w:rsidP="00B618A5">
      <w:pPr>
        <w:pStyle w:val="SingleTxtGA"/>
        <w:spacing w:before="120" w:after="0"/>
        <w:ind w:left="0" w:right="283"/>
        <w:jc w:val="left"/>
        <w:rPr>
          <w:b/>
          <w:bCs/>
          <w:sz w:val="26"/>
          <w:szCs w:val="26"/>
          <w:lang w:val="en-US" w:eastAsia="zh-TW" w:bidi="en-GB"/>
        </w:rPr>
      </w:pPr>
      <w:r w:rsidRPr="00BC1017">
        <w:rPr>
          <w:b/>
          <w:bCs/>
          <w:sz w:val="26"/>
          <w:szCs w:val="26"/>
          <w:rtl/>
        </w:rPr>
        <w:t>اللجنة المعنية بحقوق الإنسان</w:t>
      </w:r>
    </w:p>
    <w:p w14:paraId="74E5109F" w14:textId="2BFDC0F9" w:rsidR="00B618A5" w:rsidRPr="00BC1017" w:rsidRDefault="00B618A5" w:rsidP="00B618A5">
      <w:pPr>
        <w:pStyle w:val="HChGA"/>
        <w:rPr>
          <w:sz w:val="32"/>
          <w:szCs w:val="32"/>
          <w:lang w:val="en-US" w:eastAsia="zh-TW" w:bidi="en-GB"/>
        </w:rPr>
      </w:pPr>
      <w:r w:rsidRPr="00BC1017">
        <w:rPr>
          <w:rtl/>
        </w:rPr>
        <w:tab/>
      </w:r>
      <w:r w:rsidRPr="00BC1017">
        <w:rPr>
          <w:rtl/>
        </w:rPr>
        <w:tab/>
        <w:t>الملاحظات الختامية بشأن التقرير الدوري السادس لأوروغواي</w:t>
      </w:r>
      <w:r w:rsidRPr="00BC1017">
        <w:rPr>
          <w:rStyle w:val="FootnoteReference"/>
          <w:sz w:val="24"/>
          <w:szCs w:val="24"/>
          <w:vertAlign w:val="baseline"/>
          <w:rtl/>
          <w:lang w:val="en-US" w:eastAsia="zh-TW"/>
        </w:rPr>
        <w:footnoteReference w:customMarkFollows="1" w:id="1"/>
        <w:t>*</w:t>
      </w:r>
    </w:p>
    <w:p w14:paraId="3F95C857" w14:textId="115D0328" w:rsidR="00BB5724" w:rsidRPr="00BB5724" w:rsidRDefault="00B618A5" w:rsidP="00B618A5">
      <w:pPr>
        <w:pStyle w:val="SingleTxtGA"/>
        <w:rPr>
          <w:rFonts w:eastAsiaTheme="minorEastAsia"/>
          <w:lang w:val="en-US" w:eastAsia="zh-TW"/>
        </w:rPr>
      </w:pPr>
      <w:r w:rsidRPr="00BC1017">
        <w:rPr>
          <w:rFonts w:eastAsiaTheme="minorEastAsia"/>
          <w:rtl/>
        </w:rPr>
        <w:t>1</w:t>
      </w:r>
      <w:r w:rsidRPr="00B618A5">
        <w:rPr>
          <w:rFonts w:eastAsiaTheme="minorEastAsia"/>
          <w:rtl/>
        </w:rPr>
        <w:t>-</w:t>
      </w:r>
      <w:r w:rsidRPr="00B618A5">
        <w:rPr>
          <w:rFonts w:eastAsiaTheme="minorEastAsia"/>
          <w:rtl/>
        </w:rPr>
        <w:tab/>
        <w:t>نظرت اللّجنة في التقرير الدوري السادس لأوروغواي</w:t>
      </w:r>
      <w:r w:rsidR="00BB5724" w:rsidRPr="00BC1017">
        <w:rPr>
          <w:rStyle w:val="FootnoteReference"/>
          <w:rFonts w:eastAsiaTheme="minorEastAsia"/>
          <w:sz w:val="22"/>
          <w:rtl/>
        </w:rPr>
        <w:t>(</w:t>
      </w:r>
      <w:r w:rsidR="00BB5724" w:rsidRPr="00BC1017">
        <w:rPr>
          <w:rStyle w:val="FootnoteReference"/>
          <w:rFonts w:eastAsiaTheme="minorEastAsia"/>
          <w:sz w:val="22"/>
          <w:lang w:val="en-US"/>
        </w:rPr>
        <w:footnoteReference w:id="2"/>
      </w:r>
      <w:r w:rsidR="00401692" w:rsidRPr="00401692">
        <w:rPr>
          <w:rFonts w:eastAsiaTheme="minorEastAsia" w:hint="cs"/>
          <w:vertAlign w:val="superscript"/>
          <w:rtl/>
        </w:rPr>
        <w:t>)</w:t>
      </w:r>
      <w:r w:rsidRPr="00B618A5">
        <w:rPr>
          <w:rFonts w:eastAsiaTheme="minorEastAsia"/>
          <w:rtl/>
        </w:rPr>
        <w:t xml:space="preserve"> في جلستيها </w:t>
      </w:r>
      <w:r w:rsidRPr="00BC1017">
        <w:rPr>
          <w:rFonts w:eastAsiaTheme="minorEastAsia"/>
          <w:rtl/>
        </w:rPr>
        <w:t>3882</w:t>
      </w:r>
      <w:r w:rsidRPr="00B618A5">
        <w:rPr>
          <w:rFonts w:eastAsiaTheme="minorEastAsia"/>
          <w:rtl/>
        </w:rPr>
        <w:t xml:space="preserve"> و</w:t>
      </w:r>
      <w:r w:rsidRPr="00BC1017">
        <w:rPr>
          <w:rFonts w:eastAsiaTheme="minorEastAsia"/>
          <w:rtl/>
        </w:rPr>
        <w:t>3883</w:t>
      </w:r>
      <w:r w:rsidR="00BB5724" w:rsidRPr="00BC1017">
        <w:rPr>
          <w:rStyle w:val="FootnoteReference"/>
          <w:rFonts w:eastAsiaTheme="minorEastAsia"/>
          <w:sz w:val="22"/>
          <w:rtl/>
        </w:rPr>
        <w:t>(</w:t>
      </w:r>
      <w:r w:rsidR="00BB5724" w:rsidRPr="00BC1017">
        <w:rPr>
          <w:rStyle w:val="FootnoteReference"/>
          <w:rFonts w:eastAsiaTheme="minorEastAsia"/>
          <w:sz w:val="22"/>
          <w:lang w:val="en-US"/>
        </w:rPr>
        <w:footnoteReference w:id="3"/>
      </w:r>
      <w:r w:rsidR="00BB5724" w:rsidRPr="00BB5724">
        <w:rPr>
          <w:rFonts w:eastAsiaTheme="minorEastAsia" w:hint="cs"/>
          <w:vertAlign w:val="superscript"/>
          <w:rtl/>
        </w:rPr>
        <w:t>)</w:t>
      </w:r>
      <w:r w:rsidR="00BB5724" w:rsidRPr="00BB5724">
        <w:rPr>
          <w:rFonts w:eastAsiaTheme="minorEastAsia"/>
          <w:rtl/>
        </w:rPr>
        <w:t xml:space="preserve">، </w:t>
      </w:r>
      <w:r w:rsidRPr="00B618A5">
        <w:rPr>
          <w:rFonts w:eastAsiaTheme="minorEastAsia"/>
          <w:rtl/>
        </w:rPr>
        <w:t xml:space="preserve">المعقودتين يومي </w:t>
      </w:r>
      <w:r w:rsidRPr="00BC1017">
        <w:rPr>
          <w:rFonts w:eastAsiaTheme="minorEastAsia"/>
          <w:rtl/>
        </w:rPr>
        <w:t>30</w:t>
      </w:r>
      <w:r w:rsidRPr="00B618A5">
        <w:rPr>
          <w:rFonts w:eastAsiaTheme="minorEastAsia"/>
          <w:rtl/>
        </w:rPr>
        <w:t xml:space="preserve"> حزيران/يونيه و</w:t>
      </w:r>
      <w:r w:rsidRPr="00BC1017">
        <w:rPr>
          <w:rFonts w:eastAsiaTheme="minorEastAsia"/>
          <w:rtl/>
        </w:rPr>
        <w:t>1</w:t>
      </w:r>
      <w:r w:rsidRPr="00B618A5">
        <w:rPr>
          <w:rFonts w:eastAsiaTheme="minorEastAsia"/>
          <w:rtl/>
        </w:rPr>
        <w:t xml:space="preserve"> تموز/يوليه </w:t>
      </w:r>
      <w:r w:rsidRPr="00BC1017">
        <w:rPr>
          <w:rFonts w:eastAsiaTheme="minorEastAsia"/>
          <w:rtl/>
        </w:rPr>
        <w:t>202</w:t>
      </w:r>
      <w:r w:rsidR="00BB5724" w:rsidRPr="00BC1017">
        <w:rPr>
          <w:rFonts w:eastAsiaTheme="minorEastAsia"/>
          <w:rtl/>
        </w:rPr>
        <w:t>2</w:t>
      </w:r>
      <w:r w:rsidR="00BB5724" w:rsidRPr="00BB5724">
        <w:rPr>
          <w:rFonts w:eastAsiaTheme="minorEastAsia"/>
          <w:rtl/>
        </w:rPr>
        <w:t xml:space="preserve">. </w:t>
      </w:r>
      <w:r w:rsidRPr="00B618A5">
        <w:rPr>
          <w:rFonts w:eastAsiaTheme="minorEastAsia"/>
          <w:rtl/>
        </w:rPr>
        <w:t xml:space="preserve">واعتمدت الملاحظات الختامية التالية في جلستها </w:t>
      </w:r>
      <w:r w:rsidRPr="00BC1017">
        <w:rPr>
          <w:rFonts w:eastAsiaTheme="minorEastAsia"/>
          <w:rtl/>
        </w:rPr>
        <w:t>3908</w:t>
      </w:r>
      <w:r w:rsidRPr="00B618A5">
        <w:rPr>
          <w:rFonts w:eastAsiaTheme="minorEastAsia"/>
          <w:rtl/>
        </w:rPr>
        <w:t xml:space="preserve"> المعقودة في </w:t>
      </w:r>
      <w:r w:rsidRPr="00BC1017">
        <w:rPr>
          <w:rFonts w:eastAsiaTheme="minorEastAsia"/>
          <w:rtl/>
        </w:rPr>
        <w:t>20</w:t>
      </w:r>
      <w:r w:rsidRPr="00B618A5">
        <w:rPr>
          <w:rFonts w:eastAsiaTheme="minorEastAsia"/>
          <w:rtl/>
        </w:rPr>
        <w:t xml:space="preserve"> تموز/يوليه </w:t>
      </w:r>
      <w:r w:rsidRPr="00BC1017">
        <w:rPr>
          <w:rFonts w:eastAsiaTheme="minorEastAsia"/>
          <w:rtl/>
        </w:rPr>
        <w:t>202</w:t>
      </w:r>
      <w:r w:rsidR="00BB5724" w:rsidRPr="00BC1017">
        <w:rPr>
          <w:rFonts w:eastAsiaTheme="minorEastAsia"/>
          <w:rtl/>
        </w:rPr>
        <w:t>2</w:t>
      </w:r>
      <w:r w:rsidR="00BB5724" w:rsidRPr="00BB5724">
        <w:rPr>
          <w:rFonts w:eastAsiaTheme="minorEastAsia"/>
          <w:rtl/>
        </w:rPr>
        <w:t>.</w:t>
      </w:r>
    </w:p>
    <w:p w14:paraId="43F87EB2" w14:textId="70338EBD" w:rsidR="00B618A5" w:rsidRPr="00BC1017" w:rsidRDefault="00B618A5" w:rsidP="00B618A5">
      <w:pPr>
        <w:pStyle w:val="H1GA"/>
        <w:rPr>
          <w:lang w:val="ar-SA" w:eastAsia="zh-TW" w:bidi="en-GB"/>
        </w:rPr>
      </w:pPr>
      <w:r w:rsidRPr="00BC1017">
        <w:rPr>
          <w:rtl/>
        </w:rPr>
        <w:tab/>
        <w:t>ألف-</w:t>
      </w:r>
      <w:r w:rsidRPr="00BC1017">
        <w:rPr>
          <w:rtl/>
        </w:rPr>
        <w:tab/>
        <w:t>مقدمة</w:t>
      </w:r>
    </w:p>
    <w:p w14:paraId="2F214AEE" w14:textId="0D183A9E" w:rsidR="00B618A5" w:rsidRPr="00B618A5" w:rsidRDefault="00B618A5" w:rsidP="00B618A5">
      <w:pPr>
        <w:pStyle w:val="SingleTxtGA"/>
        <w:rPr>
          <w:rFonts w:eastAsiaTheme="minorEastAsia"/>
          <w:lang w:val="ar-SA" w:eastAsia="zh-TW" w:bidi="en-GB"/>
        </w:rPr>
      </w:pPr>
      <w:r w:rsidRPr="00BC1017">
        <w:rPr>
          <w:rFonts w:eastAsiaTheme="minorEastAsia"/>
          <w:rtl/>
        </w:rPr>
        <w:t>2</w:t>
      </w:r>
      <w:r w:rsidRPr="00B618A5">
        <w:rPr>
          <w:rFonts w:eastAsiaTheme="minorEastAsia"/>
          <w:rtl/>
        </w:rPr>
        <w:t>-</w:t>
      </w:r>
      <w:r w:rsidRPr="00B618A5">
        <w:rPr>
          <w:rFonts w:eastAsiaTheme="minorEastAsia"/>
          <w:rtl/>
        </w:rPr>
        <w:tab/>
        <w:t>ترحب اللجنة بتقديم التقرير الدوري السادس لأوروغواي وبالمعلومات الواردة فيه. وتعرب</w:t>
      </w:r>
      <w:r>
        <w:rPr>
          <w:rFonts w:eastAsiaTheme="minorEastAsia"/>
          <w:rtl/>
        </w:rPr>
        <w:t xml:space="preserve"> </w:t>
      </w:r>
      <w:r w:rsidRPr="00B618A5">
        <w:rPr>
          <w:rFonts w:eastAsiaTheme="minorEastAsia"/>
          <w:rtl/>
        </w:rPr>
        <w:t>عن تقديرها لفرصة تجديد حوارها البنَّاء والصريح مع وفد الدولة الطرف الرفيع المستوى. وتعرب</w:t>
      </w:r>
      <w:r>
        <w:rPr>
          <w:rFonts w:eastAsiaTheme="minorEastAsia"/>
          <w:rtl/>
        </w:rPr>
        <w:t xml:space="preserve"> </w:t>
      </w:r>
      <w:r w:rsidRPr="00B618A5">
        <w:rPr>
          <w:rFonts w:eastAsiaTheme="minorEastAsia"/>
          <w:rtl/>
        </w:rPr>
        <w:t>اللجنة عن امتنانها للمعلومات المقدمة</w:t>
      </w:r>
      <w:r>
        <w:rPr>
          <w:rFonts w:eastAsiaTheme="minorEastAsia" w:hint="cs"/>
          <w:rtl/>
        </w:rPr>
        <w:t xml:space="preserve"> </w:t>
      </w:r>
      <w:r w:rsidRPr="00B618A5">
        <w:rPr>
          <w:rFonts w:eastAsiaTheme="minorEastAsia"/>
          <w:rtl/>
        </w:rPr>
        <w:t>بشأن التدابير المتخذة خلال الفترة المشمولة بالتقرير الرامية إلى تنفيذ أحكام العهد. وتعرب اللجنة أيضاً عن امتنانها للدولة الطرف لقبولها الإجراء المبسط لتقديم التقارير وتقديمها تقريرها الدوري السادس رداً على قائمة المسائل السابقة لتقديم التقارير التي أُعدت في إطار هذا الإجراء</w:t>
      </w:r>
      <w:r w:rsidR="00BB5724" w:rsidRPr="00BC1017">
        <w:rPr>
          <w:rStyle w:val="FootnoteReference"/>
          <w:rFonts w:eastAsiaTheme="minorEastAsia"/>
          <w:sz w:val="22"/>
          <w:rtl/>
        </w:rPr>
        <w:t>(</w:t>
      </w:r>
      <w:r w:rsidR="00BB5724" w:rsidRPr="00BC1017">
        <w:rPr>
          <w:rStyle w:val="FootnoteReference"/>
          <w:rFonts w:eastAsiaTheme="minorEastAsia"/>
          <w:sz w:val="22"/>
          <w:lang w:val="en-US"/>
        </w:rPr>
        <w:footnoteReference w:id="4"/>
      </w:r>
      <w:r w:rsidR="00BB5724" w:rsidRPr="00BB5724">
        <w:rPr>
          <w:rFonts w:eastAsiaTheme="minorEastAsia" w:hint="cs"/>
          <w:vertAlign w:val="superscript"/>
          <w:rtl/>
        </w:rPr>
        <w:t>)</w:t>
      </w:r>
      <w:r w:rsidR="00BB5724" w:rsidRPr="00BB5724">
        <w:rPr>
          <w:rFonts w:eastAsiaTheme="minorEastAsia" w:hint="cs"/>
          <w:rtl/>
        </w:rPr>
        <w:t>.</w:t>
      </w:r>
      <w:r w:rsidR="00BB5724" w:rsidRPr="00BB5724">
        <w:rPr>
          <w:rFonts w:eastAsiaTheme="minorEastAsia"/>
          <w:rtl/>
        </w:rPr>
        <w:t xml:space="preserve"> </w:t>
      </w:r>
      <w:r w:rsidRPr="00B618A5">
        <w:rPr>
          <w:rFonts w:eastAsiaTheme="minorEastAsia"/>
          <w:rtl/>
        </w:rPr>
        <w:t>وتعرب اللجنة عن تقديرها لفرصة تجديد حوارها البنَّاء مع وفد الدولة الطرف الرفيع المستوى بشأن التدابير المتخذة خلال الفترة المشمولة بالتقرير من أجل تنفيذ أحكام العهد. وتشكر الدولة الطرف على الردود الشفوية التي قدمها وفدها وعلى المعلومات الإضافية التي وردتها كتابة.</w:t>
      </w:r>
    </w:p>
    <w:p w14:paraId="2B446541" w14:textId="44ADC3B4" w:rsidR="00B618A5" w:rsidRPr="00BC1017" w:rsidRDefault="00B618A5" w:rsidP="00B618A5">
      <w:pPr>
        <w:pStyle w:val="H1GA"/>
        <w:rPr>
          <w:lang w:val="ar-SA" w:eastAsia="zh-TW" w:bidi="en-GB"/>
        </w:rPr>
      </w:pPr>
      <w:r w:rsidRPr="00BC1017">
        <w:rPr>
          <w:rtl/>
        </w:rPr>
        <w:tab/>
        <w:t>باء-</w:t>
      </w:r>
      <w:r w:rsidRPr="00BC1017">
        <w:rPr>
          <w:rtl/>
        </w:rPr>
        <w:tab/>
        <w:t xml:space="preserve">الجوانب الإيجابية </w:t>
      </w:r>
    </w:p>
    <w:p w14:paraId="79ED2B74" w14:textId="77777777" w:rsidR="00B618A5" w:rsidRPr="00F52A21" w:rsidRDefault="00B618A5" w:rsidP="00B618A5">
      <w:pPr>
        <w:pStyle w:val="SingleTxtGA"/>
        <w:rPr>
          <w:rFonts w:eastAsiaTheme="minorEastAsia"/>
          <w:lang w:val="en-US" w:eastAsia="zh-TW" w:bidi="en-GB"/>
        </w:rPr>
      </w:pPr>
      <w:r w:rsidRPr="00BC1017">
        <w:rPr>
          <w:rFonts w:eastAsiaTheme="minorEastAsia"/>
          <w:rtl/>
        </w:rPr>
        <w:t>3</w:t>
      </w:r>
      <w:r w:rsidRPr="00B618A5">
        <w:rPr>
          <w:rFonts w:eastAsiaTheme="minorEastAsia"/>
          <w:rtl/>
        </w:rPr>
        <w:t>-</w:t>
      </w:r>
      <w:r w:rsidRPr="00B618A5">
        <w:rPr>
          <w:rFonts w:eastAsiaTheme="minorEastAsia"/>
          <w:rtl/>
        </w:rPr>
        <w:tab/>
        <w:t>ترحّب اللجنة باعتماد الدولة الطرف التدابير التشريعية والمؤسسية التالية</w:t>
      </w:r>
      <w:r w:rsidRPr="00B618A5">
        <w:rPr>
          <w:rFonts w:eastAsiaTheme="minorEastAsia"/>
        </w:rPr>
        <w:t>:</w:t>
      </w:r>
      <w:r w:rsidRPr="00B618A5">
        <w:rPr>
          <w:rFonts w:eastAsiaTheme="minorEastAsia"/>
          <w:rtl/>
        </w:rPr>
        <w:t xml:space="preserve"> </w:t>
      </w:r>
    </w:p>
    <w:p w14:paraId="1AA8EDDD" w14:textId="50FE428E" w:rsidR="00B618A5" w:rsidRPr="00B618A5" w:rsidRDefault="00B618A5" w:rsidP="00B618A5">
      <w:pPr>
        <w:pStyle w:val="SingleTxtGA"/>
        <w:rPr>
          <w:rFonts w:eastAsiaTheme="minorEastAsia"/>
          <w:lang w:val="en-US" w:eastAsia="zh-TW" w:bidi="en-GB"/>
        </w:rPr>
      </w:pPr>
      <w:r>
        <w:rPr>
          <w:rFonts w:eastAsiaTheme="minorEastAsia"/>
          <w:rtl/>
        </w:rPr>
        <w:tab/>
      </w:r>
      <w:r w:rsidRPr="00B618A5">
        <w:rPr>
          <w:rFonts w:eastAsiaTheme="minorEastAsia"/>
          <w:rtl/>
        </w:rPr>
        <w:t>(أ)</w:t>
      </w:r>
      <w:r w:rsidRPr="00B618A5">
        <w:rPr>
          <w:rFonts w:eastAsiaTheme="minorEastAsia"/>
          <w:rtl/>
        </w:rPr>
        <w:tab/>
        <w:t>إنشاء المديرية الوطنية للسياسات الجنسانية التابعة لوزارة الداخلية بموجب القانون رقم</w:t>
      </w:r>
      <w:r w:rsidR="00BB5724">
        <w:rPr>
          <w:rFonts w:eastAsiaTheme="minorEastAsia" w:hint="cs"/>
          <w:rtl/>
        </w:rPr>
        <w:t> </w:t>
      </w:r>
      <w:r w:rsidRPr="00BC1017">
        <w:rPr>
          <w:rFonts w:eastAsiaTheme="minorEastAsia"/>
          <w:rtl/>
        </w:rPr>
        <w:t>19</w:t>
      </w:r>
      <w:r w:rsidRPr="00B618A5">
        <w:rPr>
          <w:rFonts w:eastAsiaTheme="minorEastAsia"/>
          <w:rtl/>
        </w:rPr>
        <w:t>-</w:t>
      </w:r>
      <w:r w:rsidRPr="00BC1017">
        <w:rPr>
          <w:rFonts w:eastAsiaTheme="minorEastAsia"/>
          <w:rtl/>
        </w:rPr>
        <w:t>889</w:t>
      </w:r>
      <w:r w:rsidRPr="00B618A5">
        <w:rPr>
          <w:rFonts w:eastAsiaTheme="minorEastAsia"/>
          <w:rtl/>
        </w:rPr>
        <w:t xml:space="preserve"> المؤرخ </w:t>
      </w:r>
      <w:r w:rsidRPr="00BC1017">
        <w:rPr>
          <w:rFonts w:eastAsiaTheme="minorEastAsia"/>
          <w:rtl/>
        </w:rPr>
        <w:t>9</w:t>
      </w:r>
      <w:r w:rsidRPr="00B618A5">
        <w:rPr>
          <w:rFonts w:eastAsiaTheme="minorEastAsia"/>
          <w:rtl/>
        </w:rPr>
        <w:t xml:space="preserve"> تموز/يوليه </w:t>
      </w:r>
      <w:r w:rsidRPr="00BC1017">
        <w:rPr>
          <w:rFonts w:eastAsiaTheme="minorEastAsia"/>
          <w:rtl/>
        </w:rPr>
        <w:t>2020</w:t>
      </w:r>
      <w:r w:rsidRPr="00B618A5">
        <w:rPr>
          <w:rFonts w:eastAsiaTheme="minorEastAsia"/>
          <w:rtl/>
        </w:rPr>
        <w:t xml:space="preserve">؛ </w:t>
      </w:r>
    </w:p>
    <w:p w14:paraId="5DBA0057" w14:textId="123F0263" w:rsidR="00B618A5" w:rsidRPr="00B618A5" w:rsidRDefault="00B618A5" w:rsidP="00B618A5">
      <w:pPr>
        <w:pStyle w:val="SingleTxtGA"/>
        <w:rPr>
          <w:rFonts w:eastAsiaTheme="minorEastAsia"/>
          <w:lang w:val="ar-SA" w:eastAsia="zh-TW" w:bidi="en-GB"/>
        </w:rPr>
      </w:pPr>
      <w:r>
        <w:rPr>
          <w:rFonts w:eastAsiaTheme="minorEastAsia"/>
          <w:rtl/>
        </w:rPr>
        <w:tab/>
      </w:r>
      <w:r w:rsidRPr="00B618A5">
        <w:rPr>
          <w:rFonts w:eastAsiaTheme="minorEastAsia"/>
          <w:rtl/>
        </w:rPr>
        <w:t>(ب)</w:t>
      </w:r>
      <w:r w:rsidRPr="00B618A5">
        <w:rPr>
          <w:rFonts w:eastAsiaTheme="minorEastAsia"/>
          <w:rtl/>
        </w:rPr>
        <w:tab/>
        <w:t xml:space="preserve">اعتماد القانون رقم </w:t>
      </w:r>
      <w:r w:rsidRPr="00BC1017">
        <w:rPr>
          <w:rFonts w:eastAsiaTheme="minorEastAsia"/>
          <w:rtl/>
        </w:rPr>
        <w:t>19</w:t>
      </w:r>
      <w:r w:rsidRPr="00B618A5">
        <w:rPr>
          <w:rFonts w:eastAsiaTheme="minorEastAsia"/>
          <w:rtl/>
        </w:rPr>
        <w:t>-</w:t>
      </w:r>
      <w:r w:rsidRPr="00BC1017">
        <w:rPr>
          <w:rFonts w:eastAsiaTheme="minorEastAsia"/>
          <w:rtl/>
        </w:rPr>
        <w:t>822</w:t>
      </w:r>
      <w:r w:rsidRPr="00B618A5">
        <w:rPr>
          <w:rFonts w:eastAsiaTheme="minorEastAsia"/>
          <w:rtl/>
        </w:rPr>
        <w:t xml:space="preserve"> المؤرخ </w:t>
      </w:r>
      <w:r w:rsidRPr="00BC1017">
        <w:rPr>
          <w:rFonts w:eastAsiaTheme="minorEastAsia"/>
          <w:rtl/>
        </w:rPr>
        <w:t>18</w:t>
      </w:r>
      <w:r w:rsidRPr="00B618A5">
        <w:rPr>
          <w:rFonts w:eastAsiaTheme="minorEastAsia"/>
          <w:rtl/>
        </w:rPr>
        <w:t xml:space="preserve"> أيلول/سبتمبر </w:t>
      </w:r>
      <w:r w:rsidRPr="00BC1017">
        <w:rPr>
          <w:rFonts w:eastAsiaTheme="minorEastAsia"/>
          <w:rtl/>
        </w:rPr>
        <w:t>2019</w:t>
      </w:r>
      <w:r w:rsidRPr="00B618A5">
        <w:rPr>
          <w:rFonts w:eastAsiaTheme="minorEastAsia"/>
          <w:rtl/>
        </w:rPr>
        <w:t xml:space="preserve">، الذي كُلّفت بموجبه المؤسسة الوطنية لحقوق الإنسان ومكتب أمين المظالم بالتحري عن الأشخاص المحتجزين والمختفين في الفترة ما بين عامي </w:t>
      </w:r>
      <w:r w:rsidRPr="00BC1017">
        <w:rPr>
          <w:rFonts w:eastAsiaTheme="minorEastAsia"/>
          <w:rtl/>
        </w:rPr>
        <w:t>1968</w:t>
      </w:r>
      <w:r w:rsidRPr="00B618A5">
        <w:rPr>
          <w:rFonts w:eastAsiaTheme="minorEastAsia"/>
          <w:rtl/>
        </w:rPr>
        <w:t xml:space="preserve"> و</w:t>
      </w:r>
      <w:r w:rsidRPr="00BC1017">
        <w:rPr>
          <w:rFonts w:eastAsiaTheme="minorEastAsia"/>
          <w:rtl/>
        </w:rPr>
        <w:t>1985</w:t>
      </w:r>
      <w:r w:rsidRPr="00B618A5">
        <w:rPr>
          <w:rFonts w:eastAsiaTheme="minorEastAsia"/>
          <w:rtl/>
        </w:rPr>
        <w:t>؛</w:t>
      </w:r>
    </w:p>
    <w:p w14:paraId="43ABE744" w14:textId="12D5475F" w:rsidR="00B618A5" w:rsidRPr="00B618A5" w:rsidRDefault="00401692" w:rsidP="00B618A5">
      <w:pPr>
        <w:pStyle w:val="SingleTxtGA"/>
        <w:rPr>
          <w:rFonts w:eastAsiaTheme="minorEastAsia"/>
          <w:lang w:val="ar-SA" w:eastAsia="zh-TW" w:bidi="en-GB"/>
        </w:rPr>
      </w:pPr>
      <w:r w:rsidRPr="00BC1017">
        <w:rPr>
          <w:rFonts w:eastAsiaTheme="minorEastAsia"/>
          <w:b/>
          <w:rtl/>
        </w:rPr>
        <w:lastRenderedPageBreak/>
        <w:tab/>
        <w:t>(</w:t>
      </w:r>
      <w:r w:rsidR="00B618A5" w:rsidRPr="00BC1017">
        <w:rPr>
          <w:rFonts w:eastAsiaTheme="minorEastAsia"/>
          <w:b/>
          <w:rtl/>
        </w:rPr>
        <w:t>ج)</w:t>
      </w:r>
      <w:r w:rsidR="00B618A5" w:rsidRPr="00B618A5">
        <w:rPr>
          <w:rFonts w:eastAsiaTheme="minorEastAsia"/>
          <w:rtl/>
        </w:rPr>
        <w:tab/>
        <w:t xml:space="preserve">اعتماد القانون رقم </w:t>
      </w:r>
      <w:r w:rsidR="00B618A5" w:rsidRPr="00BC1017">
        <w:rPr>
          <w:rFonts w:eastAsiaTheme="minorEastAsia"/>
          <w:rtl/>
        </w:rPr>
        <w:t>19</w:t>
      </w:r>
      <w:r w:rsidR="00B618A5" w:rsidRPr="00B618A5">
        <w:rPr>
          <w:rFonts w:eastAsiaTheme="minorEastAsia"/>
          <w:rtl/>
        </w:rPr>
        <w:t>-</w:t>
      </w:r>
      <w:r w:rsidR="00B618A5" w:rsidRPr="00BC1017">
        <w:rPr>
          <w:rFonts w:eastAsiaTheme="minorEastAsia"/>
          <w:rtl/>
        </w:rPr>
        <w:t>682</w:t>
      </w:r>
      <w:r w:rsidR="00B618A5" w:rsidRPr="00B618A5">
        <w:rPr>
          <w:rFonts w:eastAsiaTheme="minorEastAsia"/>
          <w:rtl/>
        </w:rPr>
        <w:t xml:space="preserve"> المؤرخ </w:t>
      </w:r>
      <w:r w:rsidR="00B618A5" w:rsidRPr="00BC1017">
        <w:rPr>
          <w:rFonts w:eastAsiaTheme="minorEastAsia"/>
          <w:rtl/>
        </w:rPr>
        <w:t>26</w:t>
      </w:r>
      <w:r w:rsidR="00B618A5" w:rsidRPr="00B618A5">
        <w:rPr>
          <w:rFonts w:eastAsiaTheme="minorEastAsia"/>
          <w:rtl/>
        </w:rPr>
        <w:t xml:space="preserve"> تشرين الأول/أكتوبر </w:t>
      </w:r>
      <w:r w:rsidR="00B618A5" w:rsidRPr="00BC1017">
        <w:rPr>
          <w:rFonts w:eastAsiaTheme="minorEastAsia"/>
          <w:rtl/>
        </w:rPr>
        <w:t>2018</w:t>
      </w:r>
      <w:r w:rsidR="00B618A5" w:rsidRPr="00B618A5">
        <w:rPr>
          <w:rFonts w:eastAsiaTheme="minorEastAsia"/>
          <w:rtl/>
        </w:rPr>
        <w:t xml:space="preserve"> بشأن تحديد وضع الأشخاص عديمي الجنسية وحمايتهم؛ </w:t>
      </w:r>
    </w:p>
    <w:p w14:paraId="34D3F77E" w14:textId="51B221F0"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د)</w:t>
      </w:r>
      <w:r w:rsidR="00B618A5" w:rsidRPr="00B618A5">
        <w:rPr>
          <w:rFonts w:eastAsiaTheme="minorEastAsia"/>
          <w:rtl/>
        </w:rPr>
        <w:tab/>
        <w:t xml:space="preserve">اعتماد القانون رقم </w:t>
      </w:r>
      <w:r w:rsidR="00B618A5" w:rsidRPr="00BC1017">
        <w:rPr>
          <w:rFonts w:eastAsiaTheme="minorEastAsia"/>
          <w:rtl/>
        </w:rPr>
        <w:t>19</w:t>
      </w:r>
      <w:r w:rsidR="00B618A5" w:rsidRPr="00B618A5">
        <w:rPr>
          <w:rFonts w:eastAsiaTheme="minorEastAsia"/>
          <w:rtl/>
        </w:rPr>
        <w:t>-</w:t>
      </w:r>
      <w:r w:rsidR="00B618A5" w:rsidRPr="00BC1017">
        <w:rPr>
          <w:rFonts w:eastAsiaTheme="minorEastAsia"/>
          <w:rtl/>
        </w:rPr>
        <w:t>684</w:t>
      </w:r>
      <w:r w:rsidR="00B618A5" w:rsidRPr="00B618A5">
        <w:rPr>
          <w:rFonts w:eastAsiaTheme="minorEastAsia"/>
          <w:rtl/>
        </w:rPr>
        <w:t xml:space="preserve"> المؤرخ </w:t>
      </w:r>
      <w:r w:rsidR="00B618A5" w:rsidRPr="00BC1017">
        <w:rPr>
          <w:rFonts w:eastAsiaTheme="minorEastAsia"/>
          <w:rtl/>
        </w:rPr>
        <w:t>26</w:t>
      </w:r>
      <w:r w:rsidR="00B618A5" w:rsidRPr="00B618A5">
        <w:rPr>
          <w:rFonts w:eastAsiaTheme="minorEastAsia"/>
          <w:rtl/>
        </w:rPr>
        <w:t xml:space="preserve"> تشرين الأول/أكتوبر </w:t>
      </w:r>
      <w:r w:rsidR="00B618A5" w:rsidRPr="00BC1017">
        <w:rPr>
          <w:rFonts w:eastAsiaTheme="minorEastAsia"/>
          <w:rtl/>
        </w:rPr>
        <w:t>2018</w:t>
      </w:r>
      <w:r w:rsidR="00B618A5" w:rsidRPr="00B618A5">
        <w:rPr>
          <w:rFonts w:eastAsiaTheme="minorEastAsia"/>
          <w:rtl/>
        </w:rPr>
        <w:t>، الذي ينص على تدابير الوقاية، والرعاية، والحماية والجبر</w:t>
      </w:r>
      <w:r w:rsidR="00BB5724">
        <w:rPr>
          <w:rFonts w:eastAsiaTheme="minorEastAsia" w:hint="cs"/>
          <w:rtl/>
        </w:rPr>
        <w:t xml:space="preserve"> </w:t>
      </w:r>
      <w:r w:rsidR="00B618A5" w:rsidRPr="00B618A5">
        <w:rPr>
          <w:rFonts w:eastAsiaTheme="minorEastAsia"/>
          <w:rtl/>
        </w:rPr>
        <w:t>بغرض القضاء على التمييز والوصم ضد مغايري الهوية</w:t>
      </w:r>
      <w:r>
        <w:rPr>
          <w:rFonts w:eastAsiaTheme="minorEastAsia" w:hint="cs"/>
          <w:rtl/>
        </w:rPr>
        <w:t> </w:t>
      </w:r>
      <w:r w:rsidR="00B618A5" w:rsidRPr="00B618A5">
        <w:rPr>
          <w:rFonts w:eastAsiaTheme="minorEastAsia"/>
          <w:rtl/>
        </w:rPr>
        <w:t>الجنسانية؛</w:t>
      </w:r>
    </w:p>
    <w:p w14:paraId="42CA63CE" w14:textId="585A697F"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هـ)</w:t>
      </w:r>
      <w:r w:rsidR="00B618A5" w:rsidRPr="00B618A5">
        <w:rPr>
          <w:rFonts w:eastAsiaTheme="minorEastAsia"/>
          <w:rtl/>
        </w:rPr>
        <w:tab/>
        <w:t xml:space="preserve">اعتماد القانون رقم </w:t>
      </w:r>
      <w:r w:rsidR="00B618A5" w:rsidRPr="00BC1017">
        <w:rPr>
          <w:rFonts w:eastAsiaTheme="minorEastAsia"/>
          <w:rtl/>
        </w:rPr>
        <w:t>19</w:t>
      </w:r>
      <w:r w:rsidR="00B618A5" w:rsidRPr="00B618A5">
        <w:rPr>
          <w:rFonts w:eastAsiaTheme="minorEastAsia"/>
          <w:rtl/>
        </w:rPr>
        <w:t>-</w:t>
      </w:r>
      <w:r w:rsidR="00B618A5" w:rsidRPr="00BC1017">
        <w:rPr>
          <w:rFonts w:eastAsiaTheme="minorEastAsia"/>
          <w:rtl/>
        </w:rPr>
        <w:t>643</w:t>
      </w:r>
      <w:r w:rsidR="00B618A5" w:rsidRPr="00B618A5">
        <w:rPr>
          <w:rFonts w:eastAsiaTheme="minorEastAsia"/>
          <w:rtl/>
        </w:rPr>
        <w:t xml:space="preserve"> المؤرخ </w:t>
      </w:r>
      <w:r w:rsidR="00B618A5" w:rsidRPr="00BC1017">
        <w:rPr>
          <w:rFonts w:eastAsiaTheme="minorEastAsia"/>
          <w:rtl/>
        </w:rPr>
        <w:t>20</w:t>
      </w:r>
      <w:r w:rsidR="00B618A5" w:rsidRPr="00B618A5">
        <w:rPr>
          <w:rFonts w:eastAsiaTheme="minorEastAsia"/>
          <w:rtl/>
        </w:rPr>
        <w:t xml:space="preserve"> تموز/يوليه </w:t>
      </w:r>
      <w:r w:rsidR="00B618A5" w:rsidRPr="00BC1017">
        <w:rPr>
          <w:rFonts w:eastAsiaTheme="minorEastAsia"/>
          <w:rtl/>
        </w:rPr>
        <w:t>2018</w:t>
      </w:r>
      <w:r w:rsidR="00B618A5" w:rsidRPr="00B618A5">
        <w:rPr>
          <w:rFonts w:eastAsiaTheme="minorEastAsia"/>
          <w:rtl/>
        </w:rPr>
        <w:t xml:space="preserve"> بشأن منع وقمع الاتجار</w:t>
      </w:r>
      <w:r>
        <w:rPr>
          <w:rFonts w:eastAsiaTheme="minorEastAsia" w:hint="cs"/>
          <w:rtl/>
        </w:rPr>
        <w:t> </w:t>
      </w:r>
      <w:r w:rsidR="00B618A5" w:rsidRPr="00B618A5">
        <w:rPr>
          <w:rFonts w:eastAsiaTheme="minorEastAsia"/>
          <w:rtl/>
        </w:rPr>
        <w:t>بالأشخاص؛</w:t>
      </w:r>
    </w:p>
    <w:p w14:paraId="6963B72A" w14:textId="5CF472AF" w:rsidR="00B618A5" w:rsidRPr="00401692" w:rsidRDefault="00401692" w:rsidP="00B618A5">
      <w:pPr>
        <w:pStyle w:val="SingleTxtGA"/>
        <w:rPr>
          <w:rFonts w:eastAsiaTheme="minorEastAsia"/>
          <w:spacing w:val="-4"/>
          <w:lang w:val="ar-SA" w:eastAsia="zh-TW" w:bidi="en-GB"/>
        </w:rPr>
      </w:pPr>
      <w:r w:rsidRPr="00401692">
        <w:rPr>
          <w:rFonts w:eastAsiaTheme="minorEastAsia"/>
          <w:spacing w:val="-4"/>
          <w:rtl/>
        </w:rPr>
        <w:tab/>
        <w:t>(</w:t>
      </w:r>
      <w:r w:rsidR="00B618A5" w:rsidRPr="00401692">
        <w:rPr>
          <w:rFonts w:eastAsiaTheme="minorEastAsia"/>
          <w:spacing w:val="-4"/>
          <w:rtl/>
        </w:rPr>
        <w:t>و)</w:t>
      </w:r>
      <w:r w:rsidR="00B618A5" w:rsidRPr="00401692">
        <w:rPr>
          <w:rFonts w:eastAsiaTheme="minorEastAsia"/>
          <w:spacing w:val="-4"/>
          <w:rtl/>
        </w:rPr>
        <w:tab/>
        <w:t xml:space="preserve">تحويل النيابة العامة الجنائية التابعة للولاية القضائية الخامسة والعشرين </w:t>
      </w:r>
      <w:proofErr w:type="spellStart"/>
      <w:r w:rsidR="00B618A5" w:rsidRPr="00401692">
        <w:rPr>
          <w:rFonts w:eastAsiaTheme="minorEastAsia"/>
          <w:spacing w:val="-4"/>
          <w:rtl/>
        </w:rPr>
        <w:t>لمونتيفيديو</w:t>
      </w:r>
      <w:proofErr w:type="spellEnd"/>
      <w:r w:rsidR="00B618A5" w:rsidRPr="00401692">
        <w:rPr>
          <w:rFonts w:eastAsiaTheme="minorEastAsia"/>
          <w:spacing w:val="-4"/>
          <w:rtl/>
        </w:rPr>
        <w:t xml:space="preserve"> إلى نيابة عامة مختصّة في الجرائم ضد الإنسانية، بموجب القرار رقم </w:t>
      </w:r>
      <w:r w:rsidR="00B618A5" w:rsidRPr="00BC1017">
        <w:rPr>
          <w:rFonts w:eastAsiaTheme="minorEastAsia"/>
          <w:spacing w:val="-4"/>
          <w:rtl/>
        </w:rPr>
        <w:t>75</w:t>
      </w:r>
      <w:r w:rsidR="00B618A5" w:rsidRPr="00401692">
        <w:rPr>
          <w:rFonts w:eastAsiaTheme="minorEastAsia"/>
          <w:spacing w:val="-4"/>
          <w:rtl/>
        </w:rPr>
        <w:t>/</w:t>
      </w:r>
      <w:r w:rsidR="00B618A5" w:rsidRPr="00BC1017">
        <w:rPr>
          <w:rFonts w:eastAsiaTheme="minorEastAsia"/>
          <w:spacing w:val="-4"/>
          <w:rtl/>
        </w:rPr>
        <w:t>018</w:t>
      </w:r>
      <w:r w:rsidR="00B618A5" w:rsidRPr="00401692">
        <w:rPr>
          <w:rFonts w:eastAsiaTheme="minorEastAsia"/>
          <w:spacing w:val="-4"/>
          <w:rtl/>
        </w:rPr>
        <w:t xml:space="preserve"> المؤرخ </w:t>
      </w:r>
      <w:r w:rsidR="00B618A5" w:rsidRPr="00BC1017">
        <w:rPr>
          <w:rFonts w:eastAsiaTheme="minorEastAsia"/>
          <w:spacing w:val="-4"/>
          <w:rtl/>
        </w:rPr>
        <w:t>21</w:t>
      </w:r>
      <w:r w:rsidR="00B618A5" w:rsidRPr="00401692">
        <w:rPr>
          <w:rFonts w:eastAsiaTheme="minorEastAsia"/>
          <w:spacing w:val="-4"/>
          <w:rtl/>
        </w:rPr>
        <w:t xml:space="preserve"> شباط/فبراير </w:t>
      </w:r>
      <w:r w:rsidR="00B618A5" w:rsidRPr="00BC1017">
        <w:rPr>
          <w:rFonts w:eastAsiaTheme="minorEastAsia"/>
          <w:spacing w:val="-4"/>
          <w:rtl/>
        </w:rPr>
        <w:t>2018</w:t>
      </w:r>
      <w:r w:rsidR="00B618A5" w:rsidRPr="00401692">
        <w:rPr>
          <w:rFonts w:eastAsiaTheme="minorEastAsia"/>
          <w:spacing w:val="-4"/>
          <w:rtl/>
        </w:rPr>
        <w:t>؛</w:t>
      </w:r>
    </w:p>
    <w:p w14:paraId="3176C497" w14:textId="49856E22" w:rsidR="00B618A5" w:rsidRPr="00B618A5" w:rsidRDefault="00401692" w:rsidP="00B618A5">
      <w:pPr>
        <w:pStyle w:val="SingleTxtGA"/>
        <w:rPr>
          <w:rFonts w:eastAsiaTheme="minorEastAsia"/>
          <w:lang w:val="en-US" w:eastAsia="zh-TW" w:bidi="en-GB"/>
        </w:rPr>
      </w:pPr>
      <w:r>
        <w:rPr>
          <w:rFonts w:eastAsiaTheme="minorEastAsia"/>
          <w:rtl/>
        </w:rPr>
        <w:tab/>
        <w:t>(</w:t>
      </w:r>
      <w:r w:rsidR="00B618A5" w:rsidRPr="00B618A5">
        <w:rPr>
          <w:rFonts w:eastAsiaTheme="minorEastAsia"/>
          <w:rtl/>
        </w:rPr>
        <w:t>ز)</w:t>
      </w:r>
      <w:r w:rsidR="00B618A5" w:rsidRPr="00B618A5">
        <w:rPr>
          <w:rFonts w:eastAsiaTheme="minorEastAsia"/>
          <w:rtl/>
        </w:rPr>
        <w:tab/>
        <w:t xml:space="preserve">إدراج إجراء الإحضار أمام المحكمة في قانون الإجراءات الجنائية الجديد لعام </w:t>
      </w:r>
      <w:r w:rsidR="00B618A5" w:rsidRPr="00BC1017">
        <w:rPr>
          <w:rFonts w:eastAsiaTheme="minorEastAsia"/>
          <w:rtl/>
        </w:rPr>
        <w:t>2017</w:t>
      </w:r>
      <w:r w:rsidR="00B618A5" w:rsidRPr="00B618A5">
        <w:rPr>
          <w:rFonts w:eastAsiaTheme="minorEastAsia"/>
          <w:rtl/>
        </w:rPr>
        <w:t xml:space="preserve"> لحماية الأشخاص مسلوبي الحرية من التعذيب وغيره من ضروب المعاملة القاسية والاحتجاز في ظروف تنتهك كرامة الإنسان؛ </w:t>
      </w:r>
    </w:p>
    <w:p w14:paraId="346091C6" w14:textId="671A0182"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ح)</w:t>
      </w:r>
      <w:r w:rsidR="00B618A5" w:rsidRPr="00B618A5">
        <w:rPr>
          <w:rFonts w:eastAsiaTheme="minorEastAsia"/>
          <w:rtl/>
        </w:rPr>
        <w:tab/>
        <w:t xml:space="preserve">اعتماد القانون رقم </w:t>
      </w:r>
      <w:r w:rsidR="00B618A5" w:rsidRPr="00BC1017">
        <w:rPr>
          <w:rFonts w:eastAsiaTheme="minorEastAsia"/>
          <w:rtl/>
        </w:rPr>
        <w:t>19</w:t>
      </w:r>
      <w:r w:rsidR="00B618A5" w:rsidRPr="00B618A5">
        <w:rPr>
          <w:rFonts w:eastAsiaTheme="minorEastAsia"/>
          <w:rtl/>
        </w:rPr>
        <w:t>-</w:t>
      </w:r>
      <w:r w:rsidR="00B618A5" w:rsidRPr="00BC1017">
        <w:rPr>
          <w:rFonts w:eastAsiaTheme="minorEastAsia"/>
          <w:rtl/>
        </w:rPr>
        <w:t>580</w:t>
      </w:r>
      <w:r w:rsidR="00B618A5" w:rsidRPr="00B618A5">
        <w:rPr>
          <w:rFonts w:eastAsiaTheme="minorEastAsia"/>
          <w:rtl/>
        </w:rPr>
        <w:t xml:space="preserve"> المؤرخ </w:t>
      </w:r>
      <w:r w:rsidR="00B618A5" w:rsidRPr="00BC1017">
        <w:rPr>
          <w:rFonts w:eastAsiaTheme="minorEastAsia"/>
          <w:rtl/>
        </w:rPr>
        <w:t>22</w:t>
      </w:r>
      <w:r w:rsidR="00B618A5" w:rsidRPr="00B618A5">
        <w:rPr>
          <w:rFonts w:eastAsiaTheme="minorEastAsia"/>
          <w:rtl/>
        </w:rPr>
        <w:t xml:space="preserve"> كانون الأول/ديسمبر </w:t>
      </w:r>
      <w:r w:rsidR="00B618A5" w:rsidRPr="00BC1017">
        <w:rPr>
          <w:rFonts w:eastAsiaTheme="minorEastAsia"/>
          <w:rtl/>
        </w:rPr>
        <w:t>2017</w:t>
      </w:r>
      <w:r w:rsidR="00B618A5" w:rsidRPr="00B618A5">
        <w:rPr>
          <w:rFonts w:eastAsiaTheme="minorEastAsia"/>
          <w:rtl/>
        </w:rPr>
        <w:t xml:space="preserve"> بشأن العنف </w:t>
      </w:r>
      <w:proofErr w:type="spellStart"/>
      <w:r w:rsidR="00B618A5" w:rsidRPr="00B618A5">
        <w:rPr>
          <w:rFonts w:eastAsiaTheme="minorEastAsia"/>
          <w:rtl/>
        </w:rPr>
        <w:t>الجنساني</w:t>
      </w:r>
      <w:proofErr w:type="spellEnd"/>
      <w:r w:rsidR="00B618A5" w:rsidRPr="00B618A5">
        <w:rPr>
          <w:rFonts w:eastAsiaTheme="minorEastAsia"/>
          <w:rtl/>
        </w:rPr>
        <w:t xml:space="preserve"> ضد المرأة؛ </w:t>
      </w:r>
    </w:p>
    <w:p w14:paraId="77C52641" w14:textId="58999C9F"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ط)</w:t>
      </w:r>
      <w:r w:rsidR="00B618A5" w:rsidRPr="00B618A5">
        <w:rPr>
          <w:rFonts w:eastAsiaTheme="minorEastAsia"/>
          <w:rtl/>
        </w:rPr>
        <w:tab/>
        <w:t xml:space="preserve">اعتماد القانون رقم </w:t>
      </w:r>
      <w:r w:rsidR="00B618A5" w:rsidRPr="00BC1017">
        <w:rPr>
          <w:rFonts w:eastAsiaTheme="minorEastAsia"/>
          <w:rtl/>
        </w:rPr>
        <w:t>19</w:t>
      </w:r>
      <w:r w:rsidR="00B618A5" w:rsidRPr="00B618A5">
        <w:rPr>
          <w:rFonts w:eastAsiaTheme="minorEastAsia"/>
          <w:rtl/>
        </w:rPr>
        <w:t>-</w:t>
      </w:r>
      <w:r w:rsidR="00B618A5" w:rsidRPr="00BC1017">
        <w:rPr>
          <w:rFonts w:eastAsiaTheme="minorEastAsia"/>
          <w:rtl/>
        </w:rPr>
        <w:t>538</w:t>
      </w:r>
      <w:r w:rsidR="00B618A5" w:rsidRPr="00B618A5">
        <w:rPr>
          <w:rFonts w:eastAsiaTheme="minorEastAsia"/>
          <w:rtl/>
        </w:rPr>
        <w:t xml:space="preserve"> المؤرخ </w:t>
      </w:r>
      <w:r w:rsidR="00B618A5" w:rsidRPr="00BC1017">
        <w:rPr>
          <w:rFonts w:eastAsiaTheme="minorEastAsia"/>
          <w:rtl/>
        </w:rPr>
        <w:t>18</w:t>
      </w:r>
      <w:r w:rsidR="00B618A5" w:rsidRPr="00B618A5">
        <w:rPr>
          <w:rFonts w:eastAsiaTheme="minorEastAsia"/>
          <w:rtl/>
        </w:rPr>
        <w:t xml:space="preserve"> تشرين الأول/أكتوبر </w:t>
      </w:r>
      <w:r w:rsidR="00B618A5" w:rsidRPr="00BC1017">
        <w:rPr>
          <w:rFonts w:eastAsiaTheme="minorEastAsia"/>
          <w:rtl/>
        </w:rPr>
        <w:t>2017</w:t>
      </w:r>
      <w:r w:rsidR="00B618A5" w:rsidRPr="00B618A5">
        <w:rPr>
          <w:rFonts w:eastAsiaTheme="minorEastAsia"/>
          <w:rtl/>
        </w:rPr>
        <w:t>، الذي يجعل من قتل الإناث ظرفاً مشدداً لعقوبة القتل؛</w:t>
      </w:r>
    </w:p>
    <w:p w14:paraId="615976D5" w14:textId="55027DF8" w:rsidR="00B618A5" w:rsidRPr="00B618A5" w:rsidRDefault="00401692" w:rsidP="00B618A5">
      <w:pPr>
        <w:pStyle w:val="SingleTxtGA"/>
        <w:rPr>
          <w:rFonts w:eastAsiaTheme="minorEastAsia"/>
          <w:lang w:val="en-US" w:eastAsia="zh-TW" w:bidi="en-GB"/>
        </w:rPr>
      </w:pPr>
      <w:r>
        <w:rPr>
          <w:rFonts w:eastAsiaTheme="minorEastAsia"/>
          <w:rtl/>
        </w:rPr>
        <w:tab/>
        <w:t>(</w:t>
      </w:r>
      <w:r w:rsidR="00B618A5" w:rsidRPr="00B618A5">
        <w:rPr>
          <w:rFonts w:eastAsiaTheme="minorEastAsia"/>
          <w:rtl/>
        </w:rPr>
        <w:t>ي)</w:t>
      </w:r>
      <w:r w:rsidR="00B618A5" w:rsidRPr="00B618A5">
        <w:rPr>
          <w:rFonts w:eastAsiaTheme="minorEastAsia"/>
          <w:rtl/>
        </w:rPr>
        <w:tab/>
        <w:t xml:space="preserve">اعتماد القانون رقم </w:t>
      </w:r>
      <w:r w:rsidR="00B618A5" w:rsidRPr="00BC1017">
        <w:rPr>
          <w:rFonts w:eastAsiaTheme="minorEastAsia"/>
          <w:rtl/>
        </w:rPr>
        <w:t>19</w:t>
      </w:r>
      <w:r w:rsidR="00B618A5" w:rsidRPr="00B618A5">
        <w:rPr>
          <w:rFonts w:eastAsiaTheme="minorEastAsia"/>
          <w:rtl/>
        </w:rPr>
        <w:t>-</w:t>
      </w:r>
      <w:r w:rsidR="00B618A5" w:rsidRPr="00BC1017">
        <w:rPr>
          <w:rFonts w:eastAsiaTheme="minorEastAsia"/>
          <w:rtl/>
        </w:rPr>
        <w:t>555</w:t>
      </w:r>
      <w:r w:rsidR="00B618A5" w:rsidRPr="00B618A5">
        <w:rPr>
          <w:rFonts w:eastAsiaTheme="minorEastAsia"/>
          <w:rtl/>
        </w:rPr>
        <w:t xml:space="preserve"> المؤرخ </w:t>
      </w:r>
      <w:r w:rsidR="00B618A5" w:rsidRPr="00BC1017">
        <w:rPr>
          <w:rFonts w:eastAsiaTheme="minorEastAsia"/>
          <w:rtl/>
        </w:rPr>
        <w:t>9</w:t>
      </w:r>
      <w:r w:rsidR="00B618A5" w:rsidRPr="00B618A5">
        <w:rPr>
          <w:rFonts w:eastAsiaTheme="minorEastAsia"/>
          <w:rtl/>
        </w:rPr>
        <w:t xml:space="preserve"> تشرين الثاني/نوفمبر </w:t>
      </w:r>
      <w:r w:rsidR="00B618A5" w:rsidRPr="00BC1017">
        <w:rPr>
          <w:rFonts w:eastAsiaTheme="minorEastAsia"/>
          <w:rtl/>
        </w:rPr>
        <w:t>2017</w:t>
      </w:r>
      <w:r w:rsidR="00B618A5" w:rsidRPr="00B618A5">
        <w:rPr>
          <w:rFonts w:eastAsiaTheme="minorEastAsia"/>
          <w:rtl/>
        </w:rPr>
        <w:t>، الذي يعلن أن مشاركة الرجل والمرأة على قدم المساواة في الهيئات المنتخبة الوطنية والإقليمية والهيئات الإدارية للأحزاب السياسية هي مشاركة تندرج في إطار المصلحة العامة؛</w:t>
      </w:r>
    </w:p>
    <w:p w14:paraId="0134FBEB" w14:textId="11DE4846" w:rsidR="00BB5724" w:rsidRPr="00BB5724"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ك)</w:t>
      </w:r>
      <w:r w:rsidR="00B618A5" w:rsidRPr="00B618A5">
        <w:rPr>
          <w:rFonts w:eastAsiaTheme="minorEastAsia"/>
          <w:rtl/>
        </w:rPr>
        <w:tab/>
        <w:t xml:space="preserve">إنشاء مجموعة العمل المعنية بتقصي الحقائق وإقامة العدل في عام </w:t>
      </w:r>
      <w:r w:rsidR="00B618A5" w:rsidRPr="00BC1017">
        <w:rPr>
          <w:rFonts w:eastAsiaTheme="minorEastAsia"/>
          <w:rtl/>
        </w:rPr>
        <w:t>2015</w:t>
      </w:r>
      <w:r w:rsidR="00B618A5" w:rsidRPr="00B618A5">
        <w:rPr>
          <w:rFonts w:eastAsiaTheme="minorEastAsia"/>
          <w:rtl/>
        </w:rPr>
        <w:t xml:space="preserve">، التي تتولى مهمة وضع حدّ للإفلات من العقاب على الجرائم المرتكبة بين عامي </w:t>
      </w:r>
      <w:r w:rsidR="00B618A5" w:rsidRPr="00BC1017">
        <w:rPr>
          <w:rFonts w:eastAsiaTheme="minorEastAsia"/>
          <w:rtl/>
        </w:rPr>
        <w:t>1968</w:t>
      </w:r>
      <w:r w:rsidR="00B618A5" w:rsidRPr="00B618A5">
        <w:rPr>
          <w:rFonts w:eastAsiaTheme="minorEastAsia"/>
          <w:rtl/>
        </w:rPr>
        <w:t xml:space="preserve"> و</w:t>
      </w:r>
      <w:r w:rsidR="00B618A5" w:rsidRPr="00BC1017">
        <w:rPr>
          <w:rFonts w:eastAsiaTheme="minorEastAsia"/>
          <w:rtl/>
        </w:rPr>
        <w:t>198</w:t>
      </w:r>
      <w:r w:rsidR="00BB5724" w:rsidRPr="00BC1017">
        <w:rPr>
          <w:rFonts w:eastAsiaTheme="minorEastAsia"/>
          <w:rtl/>
        </w:rPr>
        <w:t>5</w:t>
      </w:r>
      <w:r w:rsidR="00BB5724" w:rsidRPr="00BB5724">
        <w:rPr>
          <w:rFonts w:eastAsiaTheme="minorEastAsia"/>
          <w:rtl/>
        </w:rPr>
        <w:t>.</w:t>
      </w:r>
    </w:p>
    <w:p w14:paraId="2A4AAF75" w14:textId="68B10A2F" w:rsidR="00B618A5" w:rsidRPr="00B618A5" w:rsidRDefault="00401692" w:rsidP="00401692">
      <w:pPr>
        <w:pStyle w:val="H1GA"/>
        <w:rPr>
          <w:lang w:val="ar-SA" w:eastAsia="zh-TW" w:bidi="en-GB"/>
        </w:rPr>
      </w:pPr>
      <w:r>
        <w:rPr>
          <w:rtl/>
        </w:rPr>
        <w:tab/>
      </w:r>
      <w:r w:rsidR="00B618A5" w:rsidRPr="00B618A5">
        <w:rPr>
          <w:rtl/>
        </w:rPr>
        <w:t>جيم-</w:t>
      </w:r>
      <w:r w:rsidR="00B618A5" w:rsidRPr="00B618A5">
        <w:rPr>
          <w:rtl/>
        </w:rPr>
        <w:tab/>
        <w:t>دواعي القلق الرئيسية والتوصيات</w:t>
      </w:r>
    </w:p>
    <w:p w14:paraId="0E39EFCD" w14:textId="77777777" w:rsidR="00B618A5" w:rsidRPr="00B618A5" w:rsidRDefault="00B618A5" w:rsidP="00401692">
      <w:pPr>
        <w:pStyle w:val="H23GA"/>
        <w:rPr>
          <w:lang w:val="ar-SA" w:eastAsia="zh-TW" w:bidi="en-GB"/>
        </w:rPr>
      </w:pPr>
      <w:r w:rsidRPr="00B618A5">
        <w:rPr>
          <w:rtl/>
        </w:rPr>
        <w:tab/>
      </w:r>
      <w:r w:rsidRPr="00B618A5">
        <w:rPr>
          <w:rtl/>
        </w:rPr>
        <w:tab/>
        <w:t>نظام رصد التوصيات</w:t>
      </w:r>
    </w:p>
    <w:p w14:paraId="5FB14C36" w14:textId="396D7F82" w:rsidR="00B618A5" w:rsidRPr="00B618A5" w:rsidRDefault="00B618A5" w:rsidP="00B618A5">
      <w:pPr>
        <w:pStyle w:val="SingleTxtGA"/>
        <w:rPr>
          <w:rFonts w:eastAsiaTheme="minorEastAsia"/>
          <w:lang w:val="ar-SA" w:eastAsia="zh-TW" w:bidi="en-GB"/>
        </w:rPr>
      </w:pPr>
      <w:r w:rsidRPr="00BC1017">
        <w:rPr>
          <w:rFonts w:eastAsiaTheme="minorEastAsia"/>
          <w:rtl/>
        </w:rPr>
        <w:t>4</w:t>
      </w:r>
      <w:r w:rsidRPr="00B618A5">
        <w:rPr>
          <w:rFonts w:eastAsiaTheme="minorEastAsia"/>
          <w:rtl/>
        </w:rPr>
        <w:t>-</w:t>
      </w:r>
      <w:r w:rsidRPr="00B618A5">
        <w:rPr>
          <w:rFonts w:eastAsiaTheme="minorEastAsia"/>
          <w:rtl/>
        </w:rPr>
        <w:tab/>
        <w:t xml:space="preserve">ترحب اللجنة باعتماد نظام رصد التوصيات وإنشاء الشبكة المشتركة بين المؤسسات لإعداد التقارير ورصد تنفيذ التوصيات والملاحظات المتعلقة بحقوق الإنسان في تشرين الثاني/نوفمبر </w:t>
      </w:r>
      <w:r w:rsidRPr="00BC1017">
        <w:rPr>
          <w:rFonts w:eastAsiaTheme="minorEastAsia"/>
          <w:rtl/>
        </w:rPr>
        <w:t>201</w:t>
      </w:r>
      <w:r w:rsidR="00BB5724" w:rsidRPr="00BC1017">
        <w:rPr>
          <w:rFonts w:eastAsiaTheme="minorEastAsia"/>
          <w:rtl/>
        </w:rPr>
        <w:t>6</w:t>
      </w:r>
      <w:r w:rsidR="00BB5724" w:rsidRPr="00BB5724">
        <w:rPr>
          <w:rFonts w:eastAsiaTheme="minorEastAsia"/>
          <w:rtl/>
        </w:rPr>
        <w:t xml:space="preserve">. </w:t>
      </w:r>
      <w:r w:rsidRPr="00B618A5">
        <w:rPr>
          <w:rFonts w:eastAsiaTheme="minorEastAsia"/>
          <w:rtl/>
        </w:rPr>
        <w:t>غير أنها تلاحظ أن الدولة الطرف لم تمض في تطبيق هذه الأداة ولم تقدم جميع المعلومات الإحصائية المطلوبة عن مدى تنفيذ توصيات اللجنة وغيرها من الهيئات المعنية بحماية حقوق الإنسان، والتي أعدت بمساعدة المجتمع المدني.</w:t>
      </w:r>
    </w:p>
    <w:p w14:paraId="2FC58B0F" w14:textId="7F24DEEE" w:rsidR="00B618A5" w:rsidRPr="00BC1017" w:rsidRDefault="00B618A5" w:rsidP="00B618A5">
      <w:pPr>
        <w:pStyle w:val="SingleTxtGA"/>
        <w:rPr>
          <w:rFonts w:eastAsiaTheme="minorEastAsia"/>
          <w:bCs/>
          <w:lang w:val="en-US" w:eastAsia="zh-TW" w:bidi="en-GB"/>
        </w:rPr>
      </w:pPr>
      <w:r w:rsidRPr="00BC1017">
        <w:rPr>
          <w:rFonts w:eastAsiaTheme="minorEastAsia"/>
          <w:rtl/>
        </w:rPr>
        <w:t>5</w:t>
      </w:r>
      <w:r w:rsidRPr="00B618A5">
        <w:rPr>
          <w:rFonts w:eastAsiaTheme="minorEastAsia"/>
          <w:rtl/>
        </w:rPr>
        <w:t>-</w:t>
      </w:r>
      <w:r w:rsidRPr="00B618A5">
        <w:rPr>
          <w:rFonts w:eastAsiaTheme="minorEastAsia"/>
          <w:rtl/>
        </w:rPr>
        <w:tab/>
      </w:r>
      <w:r w:rsidRPr="00BC1017">
        <w:rPr>
          <w:rFonts w:eastAsiaTheme="minorEastAsia"/>
          <w:bCs/>
          <w:rtl/>
        </w:rPr>
        <w:t>تؤكد اللجنة مرة أخرى ضرورة</w:t>
      </w:r>
      <w:r w:rsidR="00857EE6" w:rsidRPr="00BC1017">
        <w:rPr>
          <w:rFonts w:eastAsiaTheme="minorEastAsia" w:hint="cs"/>
          <w:bCs/>
          <w:rtl/>
        </w:rPr>
        <w:t xml:space="preserve"> </w:t>
      </w:r>
      <w:r w:rsidRPr="00BC1017">
        <w:rPr>
          <w:rFonts w:eastAsiaTheme="minorEastAsia"/>
          <w:bCs/>
          <w:rtl/>
        </w:rPr>
        <w:t>تعزيز نظام رصد التوصيات وجمع البيانات الإحصائية ونشرها لتقييم مستوى تنفيذ التوصيات والملاحظات المتعلقة بحقوق الإنسان، بما يكفل مشاركة المجتمع المدني في هذه العملية.</w:t>
      </w:r>
    </w:p>
    <w:p w14:paraId="48749750" w14:textId="77777777" w:rsidR="00B618A5" w:rsidRPr="00B618A5" w:rsidRDefault="00B618A5" w:rsidP="00401692">
      <w:pPr>
        <w:pStyle w:val="H23GA"/>
        <w:rPr>
          <w:lang w:val="ar-SA" w:eastAsia="zh-TW" w:bidi="en-GB"/>
        </w:rPr>
      </w:pPr>
      <w:r w:rsidRPr="00B618A5">
        <w:rPr>
          <w:rtl/>
        </w:rPr>
        <w:lastRenderedPageBreak/>
        <w:tab/>
      </w:r>
      <w:r w:rsidRPr="00B618A5">
        <w:rPr>
          <w:rtl/>
        </w:rPr>
        <w:tab/>
        <w:t xml:space="preserve">عدم التمييز </w:t>
      </w:r>
    </w:p>
    <w:p w14:paraId="79494AC4" w14:textId="3289FCA7" w:rsidR="00BB5724" w:rsidRPr="00BB5724" w:rsidRDefault="00B618A5" w:rsidP="00B618A5">
      <w:pPr>
        <w:pStyle w:val="SingleTxtGA"/>
        <w:rPr>
          <w:rFonts w:eastAsiaTheme="minorEastAsia"/>
          <w:lang w:val="ar-SA" w:eastAsia="zh-TW" w:bidi="en-GB"/>
        </w:rPr>
      </w:pPr>
      <w:r w:rsidRPr="00BC1017">
        <w:rPr>
          <w:rFonts w:eastAsiaTheme="minorEastAsia"/>
          <w:rtl/>
        </w:rPr>
        <w:t>6</w:t>
      </w:r>
      <w:r w:rsidRPr="00B618A5">
        <w:rPr>
          <w:rFonts w:eastAsiaTheme="minorEastAsia"/>
          <w:rtl/>
        </w:rPr>
        <w:t>-</w:t>
      </w:r>
      <w:r w:rsidRPr="00B618A5">
        <w:rPr>
          <w:rFonts w:eastAsiaTheme="minorEastAsia"/>
          <w:rtl/>
        </w:rPr>
        <w:tab/>
        <w:t>ترحب اللجنة بالجهود العديدة التي تبذلها الدولة الطرف لمكافحة التمييز، بما في ذلك إنشاء المجلس الاستشاري الوطني المعني بالمساواة العرقية وحماية السكان المنحدرين من أصل أفريقي، ووضع واعتماد الخطة الوطنية للمساواة العرقية وحماية السكان المنحدرين من أصل أفريقي، وإنشاء آليات محددة لمكافحة أعمال التمييز العنصري، مثل الفريق العامل المعني بالسياسات الإثنية والعرقية واللجنة الفخرية لمناهضة العنصرية وكراهية الأجانب وجميع أشكال التمييز الأخرى. ومع ذلك، يساور اللجنة القلق إزاء الوضع الهش للسكان المنحدرين من أصل أفريقي والشعوب الأصلية، وإزاء استمرار تعرضهم للتمييز الهيكلي</w:t>
      </w:r>
      <w:r>
        <w:rPr>
          <w:rFonts w:eastAsiaTheme="minorEastAsia"/>
          <w:rtl/>
        </w:rPr>
        <w:t xml:space="preserve"> </w:t>
      </w:r>
      <w:r w:rsidRPr="00B618A5">
        <w:rPr>
          <w:rFonts w:eastAsiaTheme="minorEastAsia"/>
          <w:rtl/>
        </w:rPr>
        <w:t xml:space="preserve">لا سيما النساء والفتيات، في مجالات التعليم، والعمل، والصحة والحياة العامة، وهو ما يؤدي إلى الفقر والاستبعاد الاجتماعي (المواد </w:t>
      </w:r>
      <w:r w:rsidRPr="00BC1017">
        <w:rPr>
          <w:rFonts w:eastAsiaTheme="minorEastAsia"/>
          <w:rtl/>
        </w:rPr>
        <w:t>2</w:t>
      </w:r>
      <w:r w:rsidRPr="00B618A5">
        <w:rPr>
          <w:rFonts w:eastAsiaTheme="minorEastAsia"/>
          <w:rtl/>
        </w:rPr>
        <w:t xml:space="preserve"> و</w:t>
      </w:r>
      <w:r w:rsidRPr="00BC1017">
        <w:rPr>
          <w:rFonts w:eastAsiaTheme="minorEastAsia"/>
          <w:rtl/>
        </w:rPr>
        <w:t>3</w:t>
      </w:r>
      <w:r w:rsidRPr="00B618A5">
        <w:rPr>
          <w:rFonts w:eastAsiaTheme="minorEastAsia"/>
          <w:rtl/>
        </w:rPr>
        <w:t xml:space="preserve"> و</w:t>
      </w:r>
      <w:r w:rsidRPr="00BC1017">
        <w:rPr>
          <w:rFonts w:eastAsiaTheme="minorEastAsia"/>
          <w:rtl/>
        </w:rPr>
        <w:t>16</w:t>
      </w:r>
      <w:r w:rsidRPr="00B618A5">
        <w:rPr>
          <w:rFonts w:eastAsiaTheme="minorEastAsia"/>
          <w:rtl/>
        </w:rPr>
        <w:t xml:space="preserve"> و</w:t>
      </w:r>
      <w:r w:rsidRPr="00BC1017">
        <w:rPr>
          <w:rFonts w:eastAsiaTheme="minorEastAsia"/>
          <w:rtl/>
        </w:rPr>
        <w:t>25</w:t>
      </w:r>
      <w:r w:rsidRPr="00B618A5">
        <w:rPr>
          <w:rFonts w:eastAsiaTheme="minorEastAsia"/>
          <w:rtl/>
        </w:rPr>
        <w:t xml:space="preserve"> و</w:t>
      </w:r>
      <w:r w:rsidRPr="00BC1017">
        <w:rPr>
          <w:rFonts w:eastAsiaTheme="minorEastAsia"/>
          <w:rtl/>
        </w:rPr>
        <w:t>26</w:t>
      </w:r>
      <w:r w:rsidRPr="00B618A5">
        <w:rPr>
          <w:rFonts w:eastAsiaTheme="minorEastAsia"/>
          <w:rtl/>
        </w:rPr>
        <w:t xml:space="preserve"> و</w:t>
      </w:r>
      <w:r w:rsidRPr="00BC1017">
        <w:rPr>
          <w:rFonts w:eastAsiaTheme="minorEastAsia"/>
          <w:rtl/>
        </w:rPr>
        <w:t>2</w:t>
      </w:r>
      <w:r w:rsidR="00BB5724" w:rsidRPr="00BC1017">
        <w:rPr>
          <w:rFonts w:eastAsiaTheme="minorEastAsia"/>
          <w:rtl/>
        </w:rPr>
        <w:t>7</w:t>
      </w:r>
      <w:r w:rsidR="00BB5724" w:rsidRPr="00BB5724">
        <w:rPr>
          <w:rFonts w:eastAsiaTheme="minorEastAsia"/>
          <w:rtl/>
        </w:rPr>
        <w:t>).</w:t>
      </w:r>
    </w:p>
    <w:p w14:paraId="45716066" w14:textId="0BC63FC3" w:rsidR="00B618A5" w:rsidRPr="00761FD3" w:rsidRDefault="00B618A5" w:rsidP="00B618A5">
      <w:pPr>
        <w:pStyle w:val="SingleTxtGA"/>
        <w:rPr>
          <w:rFonts w:eastAsiaTheme="minorEastAsia"/>
          <w:bCs/>
          <w:lang w:val="en-US" w:eastAsia="zh-TW"/>
        </w:rPr>
      </w:pPr>
      <w:r w:rsidRPr="00BC1017">
        <w:rPr>
          <w:rFonts w:eastAsiaTheme="minorEastAsia"/>
          <w:rtl/>
        </w:rPr>
        <w:t>7</w:t>
      </w:r>
      <w:r w:rsidRPr="00B618A5">
        <w:rPr>
          <w:rFonts w:eastAsiaTheme="minorEastAsia"/>
          <w:rtl/>
        </w:rPr>
        <w:t>-</w:t>
      </w:r>
      <w:r w:rsidRPr="00B618A5">
        <w:rPr>
          <w:rFonts w:eastAsiaTheme="minorEastAsia"/>
          <w:rtl/>
        </w:rPr>
        <w:tab/>
      </w:r>
      <w:r w:rsidRPr="00BC1017">
        <w:rPr>
          <w:rFonts w:eastAsiaTheme="minorEastAsia"/>
          <w:bCs/>
          <w:rtl/>
        </w:rPr>
        <w:t>ينبغي للدولة الطرف القيام بما يلي:</w:t>
      </w:r>
      <w:r w:rsidRPr="00761FD3">
        <w:rPr>
          <w:rFonts w:eastAsiaTheme="minorEastAsia"/>
          <w:bCs/>
          <w:rtl/>
        </w:rPr>
        <w:t xml:space="preserve"> </w:t>
      </w:r>
    </w:p>
    <w:p w14:paraId="298BF269" w14:textId="4436C1A7" w:rsidR="00B618A5" w:rsidRPr="00761FD3" w:rsidRDefault="00401692" w:rsidP="00B618A5">
      <w:pPr>
        <w:pStyle w:val="SingleTxtGA"/>
        <w:rPr>
          <w:rFonts w:eastAsiaTheme="minorEastAsia"/>
          <w:bCs/>
          <w:lang w:val="en-US"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مضاعفة جهودها لمنع جميع أشكال التمييز ومكافحتها والقضاء عليها، لا سيما التمييز العنصري، بطرق منها ضمان تخصيص موارد كافية لتنفيذ خططها وسياساتها المناهضة للتمييز تنفيذاً كاملاً؛</w:t>
      </w:r>
      <w:r w:rsidR="00B618A5" w:rsidRPr="00761FD3">
        <w:rPr>
          <w:rFonts w:eastAsiaTheme="minorEastAsia"/>
          <w:bCs/>
          <w:rtl/>
        </w:rPr>
        <w:t xml:space="preserve"> </w:t>
      </w:r>
    </w:p>
    <w:p w14:paraId="78DF7950" w14:textId="0F2A9218" w:rsidR="00B618A5" w:rsidRPr="00761FD3"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تكثيف حملات التثقيف والتوعية العامة وتنظيم دورات تدريبية لفائدة القطاعين العام والخاص وقطاع التعليم بهدف تعزيز التسامح واحترام التنوع؛</w:t>
      </w:r>
      <w:r w:rsidR="00B618A5" w:rsidRPr="00761FD3">
        <w:rPr>
          <w:rFonts w:eastAsiaTheme="minorEastAsia"/>
          <w:bCs/>
          <w:rtl/>
        </w:rPr>
        <w:t xml:space="preserve"> </w:t>
      </w:r>
    </w:p>
    <w:p w14:paraId="303DE3BB" w14:textId="3604C502" w:rsidR="00B618A5" w:rsidRPr="00761FD3"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اعتماد وتنفيذ الخطة الوطنية الجديدة لمكافحة العنصرية والتمييز في أقرب وقت</w:t>
      </w:r>
      <w:r w:rsidRPr="00BC1017">
        <w:rPr>
          <w:rFonts w:eastAsiaTheme="minorEastAsia" w:hint="cs"/>
          <w:bCs/>
          <w:rtl/>
        </w:rPr>
        <w:t> </w:t>
      </w:r>
      <w:r w:rsidR="00B618A5" w:rsidRPr="00BC1017">
        <w:rPr>
          <w:rFonts w:eastAsiaTheme="minorEastAsia"/>
          <w:bCs/>
          <w:rtl/>
        </w:rPr>
        <w:t>ممكن؛</w:t>
      </w:r>
    </w:p>
    <w:p w14:paraId="5156458A" w14:textId="2EC1E47F" w:rsidR="00B618A5" w:rsidRPr="00761FD3" w:rsidRDefault="00401692" w:rsidP="00B618A5">
      <w:pPr>
        <w:pStyle w:val="SingleTxtGA"/>
        <w:rPr>
          <w:rFonts w:eastAsiaTheme="minorEastAsia"/>
          <w:bCs/>
          <w:lang w:val="en-US" w:eastAsia="zh-TW"/>
        </w:rPr>
      </w:pPr>
      <w:r>
        <w:rPr>
          <w:rFonts w:eastAsiaTheme="minorEastAsia"/>
          <w:rtl/>
        </w:rPr>
        <w:tab/>
        <w:t>(</w:t>
      </w:r>
      <w:r w:rsidR="00B618A5" w:rsidRPr="00B618A5">
        <w:rPr>
          <w:rFonts w:eastAsiaTheme="minorEastAsia"/>
          <w:rtl/>
        </w:rPr>
        <w:t>د)</w:t>
      </w:r>
      <w:r w:rsidR="00B618A5" w:rsidRPr="00B618A5">
        <w:rPr>
          <w:rFonts w:eastAsiaTheme="minorEastAsia"/>
          <w:rtl/>
        </w:rPr>
        <w:tab/>
      </w:r>
      <w:r w:rsidR="00B618A5" w:rsidRPr="00BC1017">
        <w:rPr>
          <w:rFonts w:eastAsiaTheme="minorEastAsia"/>
          <w:bCs/>
          <w:rtl/>
        </w:rPr>
        <w:t>اتخاذ تدابير عاجلة لبلوغ الحصة السنوية المحددة بنسبة 8 في المائة والمخصصة لمشاركة السكان المنحدرين من أصل أفريقي في التعليم وسوق العمل.</w:t>
      </w:r>
      <w:r w:rsidR="00B618A5" w:rsidRPr="00761FD3">
        <w:rPr>
          <w:rFonts w:eastAsiaTheme="minorEastAsia"/>
          <w:bCs/>
          <w:rtl/>
        </w:rPr>
        <w:t xml:space="preserve"> </w:t>
      </w:r>
    </w:p>
    <w:p w14:paraId="75B69958" w14:textId="77777777" w:rsidR="00B618A5" w:rsidRPr="00B618A5" w:rsidRDefault="00B618A5" w:rsidP="00401692">
      <w:pPr>
        <w:pStyle w:val="H23GA"/>
        <w:rPr>
          <w:lang w:val="ar-SA" w:eastAsia="zh-TW" w:bidi="en-GB"/>
        </w:rPr>
      </w:pPr>
      <w:r w:rsidRPr="00B618A5">
        <w:rPr>
          <w:rtl/>
        </w:rPr>
        <w:tab/>
      </w:r>
      <w:r w:rsidRPr="00B618A5">
        <w:rPr>
          <w:rtl/>
        </w:rPr>
        <w:tab/>
        <w:t>الأشخاص ذوو الإعاقة</w:t>
      </w:r>
    </w:p>
    <w:p w14:paraId="7925B97B" w14:textId="297F7C2E" w:rsidR="00B618A5" w:rsidRPr="00B618A5" w:rsidRDefault="00B618A5" w:rsidP="00B618A5">
      <w:pPr>
        <w:pStyle w:val="SingleTxtGA"/>
        <w:rPr>
          <w:rFonts w:eastAsiaTheme="minorEastAsia"/>
          <w:lang w:val="en-US" w:eastAsia="zh-TW" w:bidi="en-GB"/>
        </w:rPr>
      </w:pPr>
      <w:r w:rsidRPr="00BC1017">
        <w:rPr>
          <w:rFonts w:eastAsiaTheme="minorEastAsia"/>
          <w:rtl/>
        </w:rPr>
        <w:t>8</w:t>
      </w:r>
      <w:r w:rsidRPr="00B618A5">
        <w:rPr>
          <w:rFonts w:eastAsiaTheme="minorEastAsia"/>
          <w:rtl/>
        </w:rPr>
        <w:t>-</w:t>
      </w:r>
      <w:r w:rsidRPr="00B618A5">
        <w:rPr>
          <w:rFonts w:eastAsiaTheme="minorEastAsia"/>
          <w:rtl/>
        </w:rPr>
        <w:tab/>
        <w:t xml:space="preserve">ترحب اللجنة باعتماد القانون رقم </w:t>
      </w:r>
      <w:r w:rsidRPr="00BC1017">
        <w:rPr>
          <w:rFonts w:eastAsiaTheme="minorEastAsia"/>
          <w:rtl/>
        </w:rPr>
        <w:t>19</w:t>
      </w:r>
      <w:r w:rsidRPr="00B618A5">
        <w:rPr>
          <w:rFonts w:eastAsiaTheme="minorEastAsia"/>
          <w:rtl/>
        </w:rPr>
        <w:t>-</w:t>
      </w:r>
      <w:r w:rsidRPr="00BC1017">
        <w:rPr>
          <w:rFonts w:eastAsiaTheme="minorEastAsia"/>
          <w:rtl/>
        </w:rPr>
        <w:t>691</w:t>
      </w:r>
      <w:r w:rsidRPr="00B618A5">
        <w:rPr>
          <w:rFonts w:eastAsiaTheme="minorEastAsia"/>
          <w:rtl/>
        </w:rPr>
        <w:t xml:space="preserve"> بشأن تعزيز توظيف الأشخاص ذوي الإعاقة. ومع ذلك، يساورها القلق إزاء استمرار أوجه عدم المساواة والعوائق</w:t>
      </w:r>
      <w:r>
        <w:rPr>
          <w:rFonts w:eastAsiaTheme="minorEastAsia"/>
          <w:rtl/>
        </w:rPr>
        <w:t xml:space="preserve"> </w:t>
      </w:r>
      <w:r w:rsidRPr="00B618A5">
        <w:rPr>
          <w:rFonts w:eastAsiaTheme="minorEastAsia"/>
          <w:rtl/>
        </w:rPr>
        <w:t xml:space="preserve">التي </w:t>
      </w:r>
      <w:proofErr w:type="spellStart"/>
      <w:r w:rsidRPr="00B618A5">
        <w:rPr>
          <w:rFonts w:eastAsiaTheme="minorEastAsia"/>
          <w:rtl/>
        </w:rPr>
        <w:t>يواجهها</w:t>
      </w:r>
      <w:proofErr w:type="spellEnd"/>
      <w:r w:rsidRPr="00B618A5">
        <w:rPr>
          <w:rFonts w:eastAsiaTheme="minorEastAsia"/>
          <w:rtl/>
        </w:rPr>
        <w:t xml:space="preserve"> الأشخاص ذوو الإعاقة في الدولة الطرف. وتلاحظ اللجنة بقلق، على وجه الخصوص، ما يلي:</w:t>
      </w:r>
    </w:p>
    <w:p w14:paraId="37498EE8" w14:textId="24E035FB"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t xml:space="preserve">أن مشاركة الأشخاص ذوي الإعاقة في الحياة الاجتماعية والعامة تتأثر بشدة بانعدام إمكانية الوصول المادي، بما في ذلك وسائل النقل والخدمات والأماكن العامة، وانعدام إمكانية الحصول على المعلومات وخدمات الاتصالات؛ </w:t>
      </w:r>
    </w:p>
    <w:p w14:paraId="1BFC316D" w14:textId="52E34FAE" w:rsidR="00B618A5" w:rsidRPr="00B618A5" w:rsidRDefault="00401692" w:rsidP="00B618A5">
      <w:pPr>
        <w:pStyle w:val="SingleTxtGA"/>
        <w:rPr>
          <w:rFonts w:eastAsiaTheme="minorEastAsia"/>
          <w:lang w:val="en-US"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t xml:space="preserve">أن القانون رقم </w:t>
      </w:r>
      <w:r w:rsidR="00B618A5" w:rsidRPr="00BC1017">
        <w:rPr>
          <w:rFonts w:eastAsiaTheme="minorEastAsia"/>
          <w:rtl/>
        </w:rPr>
        <w:t>19</w:t>
      </w:r>
      <w:r w:rsidR="00B618A5" w:rsidRPr="00B618A5">
        <w:rPr>
          <w:rFonts w:eastAsiaTheme="minorEastAsia"/>
          <w:rtl/>
        </w:rPr>
        <w:t>-</w:t>
      </w:r>
      <w:r w:rsidR="00B618A5" w:rsidRPr="00BC1017">
        <w:rPr>
          <w:rFonts w:eastAsiaTheme="minorEastAsia"/>
          <w:rtl/>
        </w:rPr>
        <w:t>691</w:t>
      </w:r>
      <w:r w:rsidR="00B618A5" w:rsidRPr="00B618A5">
        <w:rPr>
          <w:rFonts w:eastAsiaTheme="minorEastAsia"/>
          <w:rtl/>
        </w:rPr>
        <w:t xml:space="preserve"> يفرض تخصيص حصة قدرها </w:t>
      </w:r>
      <w:r w:rsidR="00B618A5" w:rsidRPr="00BC1017">
        <w:rPr>
          <w:rFonts w:eastAsiaTheme="minorEastAsia"/>
          <w:rtl/>
        </w:rPr>
        <w:t>4</w:t>
      </w:r>
      <w:r w:rsidR="00B618A5" w:rsidRPr="00B618A5">
        <w:rPr>
          <w:rFonts w:eastAsiaTheme="minorEastAsia"/>
          <w:rtl/>
        </w:rPr>
        <w:t xml:space="preserve"> في المائة من الوظائف في القطاعين العام والخاص للأشخاص ذوي الإعاقة، لكن لم يتم الوفاء بهذه الحصة، وعلى سبيل المثال، في قطاع الإدارة العامة، لم يحظ الأشخاص ذوو الإعاقة سوى بما نسبته </w:t>
      </w:r>
      <w:r w:rsidR="00B618A5" w:rsidRPr="00BC1017">
        <w:rPr>
          <w:rFonts w:eastAsiaTheme="minorEastAsia"/>
          <w:rtl/>
        </w:rPr>
        <w:t>0</w:t>
      </w:r>
      <w:r w:rsidR="00145497" w:rsidRPr="00BC1017">
        <w:rPr>
          <w:rFonts w:eastAsiaTheme="minorEastAsia" w:hint="cs"/>
          <w:rtl/>
        </w:rPr>
        <w:t>,</w:t>
      </w:r>
      <w:r w:rsidR="00B618A5" w:rsidRPr="00BC1017">
        <w:rPr>
          <w:rFonts w:eastAsiaTheme="minorEastAsia"/>
          <w:rtl/>
        </w:rPr>
        <w:t>4</w:t>
      </w:r>
      <w:r w:rsidR="00B618A5" w:rsidRPr="00B618A5">
        <w:rPr>
          <w:rFonts w:eastAsiaTheme="minorEastAsia"/>
          <w:rtl/>
        </w:rPr>
        <w:t xml:space="preserve"> في المائة من الوظائف التي شُغلت في عام </w:t>
      </w:r>
      <w:r w:rsidR="00B618A5" w:rsidRPr="00BC1017">
        <w:rPr>
          <w:rFonts w:eastAsiaTheme="minorEastAsia"/>
          <w:rtl/>
        </w:rPr>
        <w:t>2020</w:t>
      </w:r>
      <w:r w:rsidR="00B618A5" w:rsidRPr="00B618A5">
        <w:rPr>
          <w:rFonts w:eastAsiaTheme="minorEastAsia"/>
          <w:rtl/>
        </w:rPr>
        <w:t xml:space="preserve">؛ </w:t>
      </w:r>
    </w:p>
    <w:p w14:paraId="3500DF97" w14:textId="338E8039"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t>أن الأشخاص ذوي</w:t>
      </w:r>
      <w:r w:rsidR="00B618A5">
        <w:rPr>
          <w:rFonts w:eastAsiaTheme="minorEastAsia"/>
          <w:rtl/>
        </w:rPr>
        <w:t xml:space="preserve"> </w:t>
      </w:r>
      <w:r w:rsidR="00B618A5" w:rsidRPr="00B618A5">
        <w:rPr>
          <w:rFonts w:eastAsiaTheme="minorEastAsia"/>
          <w:rtl/>
        </w:rPr>
        <w:t>الإعاقة، لا يستطيعون، وفق</w:t>
      </w:r>
      <w:r w:rsidR="00857EE6">
        <w:rPr>
          <w:rFonts w:eastAsiaTheme="minorEastAsia"/>
          <w:rtl/>
        </w:rPr>
        <w:t xml:space="preserve">اً </w:t>
      </w:r>
      <w:r w:rsidR="00B618A5" w:rsidRPr="00B618A5">
        <w:rPr>
          <w:rFonts w:eastAsiaTheme="minorEastAsia"/>
          <w:rtl/>
        </w:rPr>
        <w:t>للتقارير، ممارسة حقهم في التصويت بالاقتراع السري بسبب عدم إمكانية الوصول إلى مراكز الاقتراع وانعدام</w:t>
      </w:r>
      <w:r w:rsidR="00B618A5">
        <w:rPr>
          <w:rFonts w:eastAsiaTheme="minorEastAsia"/>
          <w:rtl/>
        </w:rPr>
        <w:t xml:space="preserve"> </w:t>
      </w:r>
      <w:r w:rsidR="00B618A5" w:rsidRPr="00B618A5">
        <w:rPr>
          <w:rFonts w:eastAsiaTheme="minorEastAsia"/>
          <w:rtl/>
        </w:rPr>
        <w:t xml:space="preserve">الترتيبات </w:t>
      </w:r>
      <w:proofErr w:type="spellStart"/>
      <w:r w:rsidR="00B618A5" w:rsidRPr="00B618A5">
        <w:rPr>
          <w:rFonts w:eastAsiaTheme="minorEastAsia"/>
          <w:rtl/>
        </w:rPr>
        <w:t>التيسيرية</w:t>
      </w:r>
      <w:proofErr w:type="spellEnd"/>
      <w:r w:rsidR="00B618A5" w:rsidRPr="00B618A5">
        <w:rPr>
          <w:rFonts w:eastAsiaTheme="minorEastAsia"/>
          <w:rtl/>
        </w:rPr>
        <w:t xml:space="preserve"> المعقولة في هذه المراكز، على الرغم من أحكام القانون رقم </w:t>
      </w:r>
      <w:r w:rsidR="00B618A5" w:rsidRPr="00BC1017">
        <w:rPr>
          <w:rFonts w:eastAsiaTheme="minorEastAsia"/>
          <w:rtl/>
        </w:rPr>
        <w:t>19</w:t>
      </w:r>
      <w:r w:rsidR="00B618A5" w:rsidRPr="00B618A5">
        <w:rPr>
          <w:rFonts w:eastAsiaTheme="minorEastAsia"/>
          <w:rtl/>
        </w:rPr>
        <w:t>-</w:t>
      </w:r>
      <w:r w:rsidR="00B618A5" w:rsidRPr="00BC1017">
        <w:rPr>
          <w:rFonts w:eastAsiaTheme="minorEastAsia"/>
          <w:rtl/>
        </w:rPr>
        <w:t>790</w:t>
      </w:r>
      <w:r w:rsidR="00B618A5" w:rsidRPr="00B618A5">
        <w:rPr>
          <w:rFonts w:eastAsiaTheme="minorEastAsia"/>
          <w:rtl/>
        </w:rPr>
        <w:t xml:space="preserve"> (المواد </w:t>
      </w:r>
      <w:r w:rsidR="00B618A5" w:rsidRPr="00BC1017">
        <w:rPr>
          <w:rFonts w:eastAsiaTheme="minorEastAsia"/>
          <w:rtl/>
        </w:rPr>
        <w:t>2</w:t>
      </w:r>
      <w:r w:rsidR="00B618A5" w:rsidRPr="00B618A5">
        <w:rPr>
          <w:rFonts w:eastAsiaTheme="minorEastAsia"/>
          <w:rtl/>
        </w:rPr>
        <w:t xml:space="preserve"> و</w:t>
      </w:r>
      <w:r w:rsidR="00B618A5" w:rsidRPr="00BC1017">
        <w:rPr>
          <w:rFonts w:eastAsiaTheme="minorEastAsia"/>
          <w:rtl/>
        </w:rPr>
        <w:t>3</w:t>
      </w:r>
      <w:r w:rsidR="00B618A5" w:rsidRPr="00B618A5">
        <w:rPr>
          <w:rFonts w:eastAsiaTheme="minorEastAsia"/>
          <w:rtl/>
        </w:rPr>
        <w:t xml:space="preserve"> و</w:t>
      </w:r>
      <w:r w:rsidR="00B618A5" w:rsidRPr="00BC1017">
        <w:rPr>
          <w:rFonts w:eastAsiaTheme="minorEastAsia"/>
          <w:rtl/>
        </w:rPr>
        <w:t>16</w:t>
      </w:r>
      <w:r w:rsidR="00B618A5" w:rsidRPr="00B618A5">
        <w:rPr>
          <w:rFonts w:eastAsiaTheme="minorEastAsia"/>
          <w:rtl/>
        </w:rPr>
        <w:t xml:space="preserve"> و</w:t>
      </w:r>
      <w:r w:rsidR="00B618A5" w:rsidRPr="00BC1017">
        <w:rPr>
          <w:rFonts w:eastAsiaTheme="minorEastAsia"/>
          <w:rtl/>
        </w:rPr>
        <w:t>25</w:t>
      </w:r>
      <w:r w:rsidR="00B618A5" w:rsidRPr="00B618A5">
        <w:rPr>
          <w:rFonts w:eastAsiaTheme="minorEastAsia"/>
          <w:rtl/>
        </w:rPr>
        <w:t xml:space="preserve"> و</w:t>
      </w:r>
      <w:r w:rsidR="00B618A5" w:rsidRPr="00BC1017">
        <w:rPr>
          <w:rFonts w:eastAsiaTheme="minorEastAsia"/>
          <w:rtl/>
        </w:rPr>
        <w:t>26</w:t>
      </w:r>
      <w:r w:rsidR="00B618A5" w:rsidRPr="00B618A5">
        <w:rPr>
          <w:rFonts w:eastAsiaTheme="minorEastAsia"/>
          <w:rtl/>
        </w:rPr>
        <w:t xml:space="preserve"> و</w:t>
      </w:r>
      <w:r w:rsidR="00B618A5" w:rsidRPr="00BC1017">
        <w:rPr>
          <w:rFonts w:eastAsiaTheme="minorEastAsia"/>
          <w:rtl/>
        </w:rPr>
        <w:t>2</w:t>
      </w:r>
      <w:r w:rsidR="00BB5724" w:rsidRPr="00BC1017">
        <w:rPr>
          <w:rFonts w:eastAsiaTheme="minorEastAsia"/>
          <w:rtl/>
        </w:rPr>
        <w:t>7</w:t>
      </w:r>
      <w:r w:rsidR="00BB5724" w:rsidRPr="00BB5724">
        <w:rPr>
          <w:rFonts w:eastAsiaTheme="minorEastAsia"/>
          <w:rtl/>
        </w:rPr>
        <w:t xml:space="preserve">). </w:t>
      </w:r>
    </w:p>
    <w:p w14:paraId="7D8E7825" w14:textId="77777777" w:rsidR="00B618A5" w:rsidRPr="00522E36" w:rsidRDefault="00B618A5" w:rsidP="00B618A5">
      <w:pPr>
        <w:pStyle w:val="SingleTxtGA"/>
        <w:rPr>
          <w:rFonts w:eastAsiaTheme="minorEastAsia"/>
          <w:bCs/>
          <w:lang w:val="ar-SA" w:eastAsia="zh-TW" w:bidi="en-GB"/>
        </w:rPr>
      </w:pPr>
      <w:r w:rsidRPr="00BC1017">
        <w:rPr>
          <w:rFonts w:eastAsiaTheme="minorEastAsia"/>
          <w:rtl/>
        </w:rPr>
        <w:lastRenderedPageBreak/>
        <w:t>9</w:t>
      </w:r>
      <w:r w:rsidRPr="00B618A5">
        <w:rPr>
          <w:rFonts w:eastAsiaTheme="minorEastAsia"/>
          <w:rtl/>
        </w:rPr>
        <w:t>-</w:t>
      </w:r>
      <w:r w:rsidRPr="00B618A5">
        <w:rPr>
          <w:rFonts w:eastAsiaTheme="minorEastAsia"/>
          <w:rtl/>
        </w:rPr>
        <w:tab/>
      </w:r>
      <w:r w:rsidRPr="00BC1017">
        <w:rPr>
          <w:rFonts w:eastAsiaTheme="minorEastAsia"/>
          <w:bCs/>
          <w:rtl/>
        </w:rPr>
        <w:t>ينبغي للدولة الطرف أن تتخذ تدابير لمكافحة التمييز والتحيز والقوالب النمطية السلبية ضد الأشخاص ذوي الإعاقة، بما يشمل التشريعات والسياسات والبرامج العامة والتوظيف في القطاعين العام والخاص على السواء.</w:t>
      </w:r>
      <w:r w:rsidRPr="00522E36">
        <w:rPr>
          <w:rFonts w:eastAsiaTheme="minorEastAsia"/>
          <w:bCs/>
          <w:rtl/>
        </w:rPr>
        <w:t xml:space="preserve"> </w:t>
      </w:r>
      <w:r w:rsidRPr="00BC1017">
        <w:rPr>
          <w:rFonts w:eastAsiaTheme="minorEastAsia"/>
          <w:bCs/>
          <w:rtl/>
        </w:rPr>
        <w:t>وتحث اللجنة الدولة الطرف على القيام، على وجه الخصوص، بما يلي:</w:t>
      </w:r>
    </w:p>
    <w:p w14:paraId="5DA430E8" w14:textId="46D06442" w:rsidR="00B618A5" w:rsidRPr="00522E36" w:rsidRDefault="00401692" w:rsidP="00B618A5">
      <w:pPr>
        <w:pStyle w:val="SingleTxtGA"/>
        <w:rPr>
          <w:rFonts w:eastAsiaTheme="minorEastAsia"/>
          <w:bCs/>
          <w:lang w:val="en-US"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وضع خطة شاملة لإمكانية الوصول المادي، تشمل وسائل النقل العام، لضمان وصول الأشخاص ذوي الإعاقة فعلياً إلى الخدمات العامة؛</w:t>
      </w:r>
    </w:p>
    <w:p w14:paraId="7EF50BB8" w14:textId="64C3B001" w:rsidR="00B618A5" w:rsidRPr="00BC1017" w:rsidRDefault="00401692" w:rsidP="00B618A5">
      <w:pPr>
        <w:pStyle w:val="SingleTxtGA"/>
        <w:rPr>
          <w:rFonts w:eastAsiaTheme="minorEastAsia"/>
          <w:bCs/>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مضاعفة الجهود الرامية إلى دمج الأشخاص ذوي الإعاقة في سوق العمل من أجل تعزيز وزيادة عمل هؤلاء الأشخاص في وظائف منتظمة، واتخاذ تدابير تشريعية للمعاقبة على انخفاض مستوى الالتزام بالحصة التي يحددها القانون؛</w:t>
      </w:r>
    </w:p>
    <w:p w14:paraId="19CF9113" w14:textId="48A9CFC7"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 xml:space="preserve">ضمان إمكانية الوصول المادي إلى مراكز الاقتراع، فضلاً عن حصول الأشخاص ذوي الإعاقة على المعلومات وخدمات الاتصالات، من أجل ضمان حقهم في التصويت بحرية وعن طريق الاقتراع السري، وتحسين تدريب الموظفين العموميين العاملين في مراكز الاقتراع بشأن إمكانية الوصول والترتيبات </w:t>
      </w:r>
      <w:proofErr w:type="spellStart"/>
      <w:r w:rsidR="00B618A5" w:rsidRPr="00BC1017">
        <w:rPr>
          <w:rFonts w:eastAsiaTheme="minorEastAsia"/>
          <w:bCs/>
          <w:rtl/>
        </w:rPr>
        <w:t>التيسيرية</w:t>
      </w:r>
      <w:proofErr w:type="spellEnd"/>
      <w:r w:rsidR="00B618A5" w:rsidRPr="00BC1017">
        <w:rPr>
          <w:rFonts w:eastAsiaTheme="minorEastAsia"/>
          <w:bCs/>
          <w:rtl/>
        </w:rPr>
        <w:t xml:space="preserve"> المعقولة.</w:t>
      </w:r>
      <w:r w:rsidR="00B618A5" w:rsidRPr="00522E36">
        <w:rPr>
          <w:rFonts w:eastAsiaTheme="minorEastAsia"/>
          <w:bCs/>
          <w:rtl/>
        </w:rPr>
        <w:t xml:space="preserve"> </w:t>
      </w:r>
    </w:p>
    <w:p w14:paraId="4AFD49DD" w14:textId="77777777" w:rsidR="00B618A5" w:rsidRPr="00B618A5" w:rsidRDefault="00B618A5" w:rsidP="00522E36">
      <w:pPr>
        <w:pStyle w:val="H23GA"/>
        <w:rPr>
          <w:lang w:val="ar-SA" w:eastAsia="zh-TW" w:bidi="en-GB"/>
        </w:rPr>
      </w:pPr>
      <w:r w:rsidRPr="00B618A5">
        <w:rPr>
          <w:rtl/>
        </w:rPr>
        <w:tab/>
      </w:r>
      <w:r w:rsidRPr="00B618A5">
        <w:rPr>
          <w:rtl/>
        </w:rPr>
        <w:tab/>
        <w:t>التمييز على أساس الميل الجنسي والهوية الجنسانية</w:t>
      </w:r>
    </w:p>
    <w:p w14:paraId="0A382DE2" w14:textId="60B3B1A2" w:rsidR="00BB5724" w:rsidRPr="00BB5724" w:rsidRDefault="00B618A5" w:rsidP="00B618A5">
      <w:pPr>
        <w:pStyle w:val="SingleTxtGA"/>
        <w:rPr>
          <w:rFonts w:eastAsiaTheme="minorEastAsia"/>
          <w:lang w:val="ar-SA" w:eastAsia="zh-TW" w:bidi="en-GB"/>
        </w:rPr>
      </w:pPr>
      <w:r w:rsidRPr="00BC1017">
        <w:rPr>
          <w:rFonts w:eastAsiaTheme="minorEastAsia"/>
          <w:rtl/>
        </w:rPr>
        <w:t>10</w:t>
      </w:r>
      <w:r w:rsidRPr="00B618A5">
        <w:rPr>
          <w:rFonts w:eastAsiaTheme="minorEastAsia"/>
          <w:rtl/>
        </w:rPr>
        <w:t>-</w:t>
      </w:r>
      <w:r w:rsidRPr="00B618A5">
        <w:rPr>
          <w:rFonts w:eastAsiaTheme="minorEastAsia"/>
          <w:rtl/>
        </w:rPr>
        <w:tab/>
        <w:t xml:space="preserve">رغم المبادرات التشريعية والمعيارية العديدة، يساور اللجنة القلق إزاء الوصم والمواقف التمييزية ضد </w:t>
      </w:r>
      <w:proofErr w:type="spellStart"/>
      <w:r w:rsidRPr="00B618A5">
        <w:rPr>
          <w:rFonts w:eastAsiaTheme="minorEastAsia"/>
          <w:rtl/>
        </w:rPr>
        <w:t>المثليات</w:t>
      </w:r>
      <w:proofErr w:type="spellEnd"/>
      <w:r w:rsidRPr="00B618A5">
        <w:rPr>
          <w:rFonts w:eastAsiaTheme="minorEastAsia"/>
          <w:rtl/>
        </w:rPr>
        <w:t xml:space="preserve"> والمثليين ومزدوجي الميل الجنسي ومغايري الهوية الجنسانية وحاملي صفات الجنسين في الدولة الطرف، بما في ذلك أفعال الترهيب والعنف في المدارس (المواد </w:t>
      </w:r>
      <w:r w:rsidRPr="00BC1017">
        <w:rPr>
          <w:rFonts w:eastAsiaTheme="minorEastAsia"/>
          <w:rtl/>
        </w:rPr>
        <w:t>7</w:t>
      </w:r>
      <w:r w:rsidRPr="00B618A5">
        <w:rPr>
          <w:rFonts w:eastAsiaTheme="minorEastAsia"/>
          <w:rtl/>
        </w:rPr>
        <w:t xml:space="preserve"> و</w:t>
      </w:r>
      <w:r w:rsidRPr="00BC1017">
        <w:rPr>
          <w:rFonts w:eastAsiaTheme="minorEastAsia"/>
          <w:rtl/>
        </w:rPr>
        <w:t>17</w:t>
      </w:r>
      <w:r w:rsidRPr="00B618A5">
        <w:rPr>
          <w:rFonts w:eastAsiaTheme="minorEastAsia"/>
          <w:rtl/>
        </w:rPr>
        <w:t xml:space="preserve"> و</w:t>
      </w:r>
      <w:r w:rsidRPr="00BC1017">
        <w:rPr>
          <w:rFonts w:eastAsiaTheme="minorEastAsia"/>
          <w:rtl/>
        </w:rPr>
        <w:t>2</w:t>
      </w:r>
      <w:r w:rsidR="00BB5724" w:rsidRPr="00BC1017">
        <w:rPr>
          <w:rFonts w:eastAsiaTheme="minorEastAsia"/>
          <w:rtl/>
        </w:rPr>
        <w:t>6</w:t>
      </w:r>
      <w:r w:rsidR="00BB5724" w:rsidRPr="00BB5724">
        <w:rPr>
          <w:rFonts w:eastAsiaTheme="minorEastAsia"/>
          <w:rtl/>
        </w:rPr>
        <w:t>).</w:t>
      </w:r>
    </w:p>
    <w:p w14:paraId="22E536FB" w14:textId="2844ED6D" w:rsidR="00B618A5" w:rsidRPr="00BC1017" w:rsidRDefault="00B618A5" w:rsidP="00B618A5">
      <w:pPr>
        <w:pStyle w:val="SingleTxtGA"/>
        <w:rPr>
          <w:rFonts w:eastAsiaTheme="minorEastAsia"/>
          <w:bCs/>
          <w:lang w:val="ar-SA" w:eastAsia="zh-TW" w:bidi="en-GB"/>
        </w:rPr>
      </w:pPr>
      <w:r w:rsidRPr="00BC1017">
        <w:rPr>
          <w:rFonts w:eastAsiaTheme="minorEastAsia"/>
          <w:rtl/>
        </w:rPr>
        <w:t>11</w:t>
      </w:r>
      <w:r w:rsidRPr="00B618A5">
        <w:rPr>
          <w:rFonts w:eastAsiaTheme="minorEastAsia"/>
          <w:rtl/>
        </w:rPr>
        <w:t>-</w:t>
      </w:r>
      <w:r w:rsidRPr="00B618A5">
        <w:rPr>
          <w:rFonts w:eastAsiaTheme="minorEastAsia"/>
          <w:rtl/>
        </w:rPr>
        <w:tab/>
      </w:r>
      <w:r w:rsidRPr="00BC1017">
        <w:rPr>
          <w:rFonts w:eastAsiaTheme="minorEastAsia"/>
          <w:bCs/>
          <w:rtl/>
        </w:rPr>
        <w:t xml:space="preserve">ينبغي للدولة الطرف أن تضاعف جهودها لمكافحة القوالب النمطية وأوجه التحيز ضد </w:t>
      </w:r>
      <w:proofErr w:type="spellStart"/>
      <w:r w:rsidRPr="00BC1017">
        <w:rPr>
          <w:rFonts w:eastAsiaTheme="minorEastAsia"/>
          <w:bCs/>
          <w:rtl/>
        </w:rPr>
        <w:t>المثليات</w:t>
      </w:r>
      <w:proofErr w:type="spellEnd"/>
      <w:r w:rsidRPr="00BC1017">
        <w:rPr>
          <w:rFonts w:eastAsiaTheme="minorEastAsia"/>
          <w:bCs/>
          <w:rtl/>
        </w:rPr>
        <w:t xml:space="preserve"> والمثليين ومزدوجي الميل الجنسي ومغايري الهوية الجنسانية وحاملي صفات الجنسين، وأن تكفل سد الفجوة القائمة بين القانون والممارسة العملية على نحو فعال، لا سيما في قطاعي التعليم والصحة وفي أماكن العمل والأماكن العامة؛</w:t>
      </w:r>
      <w:r w:rsidRPr="00522E36">
        <w:rPr>
          <w:rFonts w:eastAsiaTheme="minorEastAsia"/>
          <w:bCs/>
          <w:rtl/>
        </w:rPr>
        <w:t xml:space="preserve"> </w:t>
      </w:r>
      <w:r w:rsidRPr="00BC1017">
        <w:rPr>
          <w:rFonts w:eastAsiaTheme="minorEastAsia"/>
          <w:bCs/>
          <w:rtl/>
        </w:rPr>
        <w:t>وأن تجري تحقيقات على وجه السرعة في الجرائم المرتكبة بدافع الميل الجنسي أو الهوية الجنسية للضحايا، وأن تقدم الجناة إلى العدالة وتعاقبهم على النحو الواجب، وأن تكفل أيضاً حصول الضحايا على تعويضات كاملة.</w:t>
      </w:r>
    </w:p>
    <w:p w14:paraId="4E7B0F2D" w14:textId="77777777" w:rsidR="00B618A5" w:rsidRPr="00B618A5" w:rsidRDefault="00B618A5" w:rsidP="00522E36">
      <w:pPr>
        <w:pStyle w:val="H23GA"/>
        <w:rPr>
          <w:lang w:val="ar-SA" w:eastAsia="zh-TW" w:bidi="en-GB"/>
        </w:rPr>
      </w:pPr>
      <w:r w:rsidRPr="00B618A5">
        <w:rPr>
          <w:rtl/>
        </w:rPr>
        <w:tab/>
      </w:r>
      <w:r w:rsidRPr="00B618A5">
        <w:rPr>
          <w:rtl/>
        </w:rPr>
        <w:tab/>
        <w:t>المساواة بين الجنسين</w:t>
      </w:r>
    </w:p>
    <w:p w14:paraId="306B06C6" w14:textId="2E579302" w:rsidR="00BB5724" w:rsidRPr="00BB5724" w:rsidRDefault="00B618A5" w:rsidP="00B618A5">
      <w:pPr>
        <w:pStyle w:val="SingleTxtGA"/>
        <w:rPr>
          <w:rFonts w:eastAsiaTheme="minorEastAsia"/>
          <w:lang w:val="en-US" w:eastAsia="zh-TW" w:bidi="en-GB"/>
        </w:rPr>
      </w:pPr>
      <w:r w:rsidRPr="00BC1017">
        <w:rPr>
          <w:rFonts w:eastAsiaTheme="minorEastAsia"/>
          <w:rtl/>
        </w:rPr>
        <w:t>12</w:t>
      </w:r>
      <w:r w:rsidRPr="00B618A5">
        <w:rPr>
          <w:rFonts w:eastAsiaTheme="minorEastAsia"/>
          <w:rtl/>
        </w:rPr>
        <w:t>-</w:t>
      </w:r>
      <w:r w:rsidRPr="00B618A5">
        <w:rPr>
          <w:rFonts w:eastAsiaTheme="minorEastAsia"/>
          <w:rtl/>
        </w:rPr>
        <w:tab/>
        <w:t>ترحب اللجنة بالتدابير المختلفة التي اعتمدت لتعزيز المساواة بين الجنسين ومكافحة القوالب النمطية الجنسانية. ومع ذلك، تلاحظ بقلق أن المرأة لا تزال غير ممثلة تمثيلا</w:t>
      </w:r>
      <w:r w:rsidR="00857EE6">
        <w:rPr>
          <w:rFonts w:eastAsiaTheme="minorEastAsia" w:hint="cs"/>
          <w:rtl/>
        </w:rPr>
        <w:t>ً ك</w:t>
      </w:r>
      <w:r w:rsidRPr="00B618A5">
        <w:rPr>
          <w:rFonts w:eastAsiaTheme="minorEastAsia"/>
          <w:rtl/>
        </w:rPr>
        <w:t xml:space="preserve">افياً في المناصب القيادية ومناصب صنع القرار في القطاعين العام والخاص على حد السواء، وتلاحظ على وجه الخصوص عدم تمثيل النساء من أصل أفريقي ونساء الشعوب الأصلية. ويساورها القلق أيضاً إزاء استمرار الفجوة القائمة في الأجور بين الرجال والنساء (المواد </w:t>
      </w:r>
      <w:r w:rsidRPr="00BC1017">
        <w:rPr>
          <w:rFonts w:eastAsiaTheme="minorEastAsia"/>
          <w:rtl/>
        </w:rPr>
        <w:t>2</w:t>
      </w:r>
      <w:r w:rsidRPr="00B618A5">
        <w:rPr>
          <w:rFonts w:eastAsiaTheme="minorEastAsia"/>
          <w:rtl/>
        </w:rPr>
        <w:t xml:space="preserve"> و</w:t>
      </w:r>
      <w:r w:rsidRPr="00BC1017">
        <w:rPr>
          <w:rFonts w:eastAsiaTheme="minorEastAsia"/>
          <w:rtl/>
        </w:rPr>
        <w:t>3</w:t>
      </w:r>
      <w:r w:rsidRPr="00B618A5">
        <w:rPr>
          <w:rFonts w:eastAsiaTheme="minorEastAsia"/>
          <w:rtl/>
        </w:rPr>
        <w:t xml:space="preserve"> و</w:t>
      </w:r>
      <w:r w:rsidRPr="00BC1017">
        <w:rPr>
          <w:rFonts w:eastAsiaTheme="minorEastAsia"/>
          <w:rtl/>
        </w:rPr>
        <w:t>25</w:t>
      </w:r>
      <w:r w:rsidRPr="00B618A5">
        <w:rPr>
          <w:rFonts w:eastAsiaTheme="minorEastAsia"/>
          <w:rtl/>
        </w:rPr>
        <w:t xml:space="preserve"> و</w:t>
      </w:r>
      <w:r w:rsidRPr="00BC1017">
        <w:rPr>
          <w:rFonts w:eastAsiaTheme="minorEastAsia"/>
          <w:rtl/>
        </w:rPr>
        <w:t>2</w:t>
      </w:r>
      <w:r w:rsidR="00BB5724" w:rsidRPr="00BC1017">
        <w:rPr>
          <w:rFonts w:eastAsiaTheme="minorEastAsia"/>
          <w:rtl/>
        </w:rPr>
        <w:t>6</w:t>
      </w:r>
      <w:r w:rsidR="00BB5724" w:rsidRPr="00BB5724">
        <w:rPr>
          <w:rFonts w:eastAsiaTheme="minorEastAsia"/>
          <w:rtl/>
        </w:rPr>
        <w:t>).</w:t>
      </w:r>
    </w:p>
    <w:p w14:paraId="0703391E" w14:textId="14EF99FF" w:rsidR="00B618A5" w:rsidRPr="00522E36" w:rsidRDefault="00B618A5" w:rsidP="00B618A5">
      <w:pPr>
        <w:pStyle w:val="SingleTxtGA"/>
        <w:rPr>
          <w:rFonts w:eastAsiaTheme="minorEastAsia"/>
          <w:bCs/>
          <w:lang w:val="en-US" w:eastAsia="zh-TW"/>
        </w:rPr>
      </w:pPr>
      <w:r w:rsidRPr="00BC1017">
        <w:rPr>
          <w:rFonts w:eastAsiaTheme="minorEastAsia"/>
          <w:rtl/>
        </w:rPr>
        <w:t>13</w:t>
      </w:r>
      <w:r w:rsidRPr="00B618A5">
        <w:rPr>
          <w:rFonts w:eastAsiaTheme="minorEastAsia"/>
          <w:rtl/>
        </w:rPr>
        <w:t>-</w:t>
      </w:r>
      <w:r w:rsidRPr="00B618A5">
        <w:rPr>
          <w:rFonts w:eastAsiaTheme="minorEastAsia"/>
          <w:rtl/>
        </w:rPr>
        <w:tab/>
      </w:r>
      <w:r w:rsidRPr="00BC1017">
        <w:rPr>
          <w:rFonts w:eastAsiaTheme="minorEastAsia"/>
          <w:bCs/>
          <w:rtl/>
        </w:rPr>
        <w:t>ينبغي للدولة الطرف القيام بما يلي:</w:t>
      </w:r>
      <w:r w:rsidRPr="00522E36">
        <w:rPr>
          <w:rFonts w:eastAsiaTheme="minorEastAsia"/>
          <w:bCs/>
          <w:rtl/>
        </w:rPr>
        <w:t xml:space="preserve"> </w:t>
      </w:r>
    </w:p>
    <w:p w14:paraId="21B2E4E7" w14:textId="2E20CBEB"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تكثيف جهودها لضمان المساواة الفعلية بين الرجل والمرأة في جميع المجالات وفي جميع أنحاء البلد.</w:t>
      </w:r>
      <w:r w:rsidR="00B618A5" w:rsidRPr="00522E36">
        <w:rPr>
          <w:rFonts w:eastAsiaTheme="minorEastAsia"/>
          <w:bCs/>
          <w:rtl/>
        </w:rPr>
        <w:t xml:space="preserve"> </w:t>
      </w:r>
      <w:r w:rsidR="00B618A5" w:rsidRPr="00BC1017">
        <w:rPr>
          <w:rFonts w:eastAsiaTheme="minorEastAsia"/>
          <w:bCs/>
          <w:rtl/>
        </w:rPr>
        <w:t>وينبغي لها على وجه الخصوص، اتخاذ تدابير ملموسة، لا سيما لزيادة تمثيل النساء، بمن فيهن النساء المنحدرات من أصل أفريقي ونساء الشعوب الأصلية، في مناصب صنع القرار في القطاعين العام والخاص؛</w:t>
      </w:r>
    </w:p>
    <w:p w14:paraId="670443D0" w14:textId="34C71200"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اتخاذ تدابير فعالة لسد الفجوة القائمة في الأجور بين الرجال والنساء</w:t>
      </w:r>
      <w:r w:rsidR="00522E36">
        <w:rPr>
          <w:rFonts w:eastAsiaTheme="minorEastAsia" w:hint="cs"/>
          <w:bCs/>
          <w:rtl/>
        </w:rPr>
        <w:t>؛</w:t>
      </w:r>
    </w:p>
    <w:p w14:paraId="29AA70DC" w14:textId="2C4C104C" w:rsidR="00B618A5" w:rsidRPr="00522E36" w:rsidRDefault="00401692" w:rsidP="00B618A5">
      <w:pPr>
        <w:pStyle w:val="SingleTxtGA"/>
        <w:rPr>
          <w:rFonts w:eastAsiaTheme="minorEastAsia"/>
          <w:bCs/>
          <w:lang w:val="ar-SA" w:eastAsia="zh-TW" w:bidi="en-GB"/>
        </w:rPr>
      </w:pPr>
      <w:r>
        <w:rPr>
          <w:rFonts w:eastAsiaTheme="minorEastAsia"/>
          <w:rtl/>
        </w:rPr>
        <w:lastRenderedPageBreak/>
        <w:tab/>
        <w:t>(</w:t>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تسريع تنفيذ التدابير المتوخاة في الاستراتيجية الوطنية للمساواة بين الجنسين لعام</w:t>
      </w:r>
      <w:r w:rsidR="00522E36" w:rsidRPr="00BC1017">
        <w:rPr>
          <w:rFonts w:eastAsiaTheme="minorEastAsia" w:hint="cs"/>
          <w:bCs/>
          <w:rtl/>
        </w:rPr>
        <w:t> </w:t>
      </w:r>
      <w:r w:rsidR="00B618A5" w:rsidRPr="00BC1017">
        <w:rPr>
          <w:rFonts w:eastAsiaTheme="minorEastAsia"/>
          <w:bCs/>
          <w:rtl/>
        </w:rPr>
        <w:t>2030 فيما يتعلق بالسلطات التنفيذية والتشريعية والقضائية، مع ضمان تخصيص موارد كافية لتنفيذ هذه التدابير تنفيذاً سليماً.</w:t>
      </w:r>
    </w:p>
    <w:p w14:paraId="0AB869CA" w14:textId="77777777" w:rsidR="00B618A5" w:rsidRPr="00B618A5" w:rsidRDefault="00B618A5" w:rsidP="00522E36">
      <w:pPr>
        <w:pStyle w:val="H23GA"/>
        <w:rPr>
          <w:lang w:val="en-US" w:eastAsia="zh-TW" w:bidi="en-GB"/>
        </w:rPr>
      </w:pPr>
      <w:r w:rsidRPr="00B618A5">
        <w:rPr>
          <w:rtl/>
        </w:rPr>
        <w:tab/>
      </w:r>
      <w:r w:rsidRPr="00B618A5">
        <w:rPr>
          <w:rtl/>
        </w:rPr>
        <w:tab/>
        <w:t xml:space="preserve">العنف ضد المرأة والعنف العائلي </w:t>
      </w:r>
    </w:p>
    <w:p w14:paraId="5FBF10E5" w14:textId="618AA772" w:rsidR="00B618A5" w:rsidRPr="00B618A5" w:rsidRDefault="00B618A5" w:rsidP="00B618A5">
      <w:pPr>
        <w:pStyle w:val="SingleTxtGA"/>
        <w:rPr>
          <w:rFonts w:eastAsiaTheme="minorEastAsia"/>
          <w:lang w:val="ar-SA" w:eastAsia="zh-TW" w:bidi="en-GB"/>
        </w:rPr>
      </w:pPr>
      <w:r w:rsidRPr="00BC1017">
        <w:rPr>
          <w:rFonts w:eastAsiaTheme="minorEastAsia"/>
          <w:rtl/>
        </w:rPr>
        <w:t>14</w:t>
      </w:r>
      <w:r w:rsidRPr="00B618A5">
        <w:rPr>
          <w:rFonts w:eastAsiaTheme="minorEastAsia"/>
          <w:rtl/>
        </w:rPr>
        <w:t>-</w:t>
      </w:r>
      <w:r w:rsidRPr="00B618A5">
        <w:rPr>
          <w:rFonts w:eastAsiaTheme="minorEastAsia"/>
          <w:rtl/>
        </w:rPr>
        <w:tab/>
        <w:t>ترحب اللجنة بالجهود التي تبذلها الدولة الطرف لمنع ومكافحة العنف ضد المرأة، بما في ذلك العنف</w:t>
      </w:r>
      <w:r>
        <w:rPr>
          <w:rFonts w:eastAsiaTheme="minorEastAsia"/>
          <w:rtl/>
        </w:rPr>
        <w:t xml:space="preserve"> </w:t>
      </w:r>
      <w:r w:rsidRPr="00B618A5">
        <w:rPr>
          <w:rFonts w:eastAsiaTheme="minorEastAsia"/>
          <w:rtl/>
        </w:rPr>
        <w:t xml:space="preserve">العائلي، لا سيما اعتماد القانون رقم </w:t>
      </w:r>
      <w:r w:rsidRPr="00BC1017">
        <w:rPr>
          <w:rFonts w:eastAsiaTheme="minorEastAsia"/>
          <w:rtl/>
        </w:rPr>
        <w:t>19</w:t>
      </w:r>
      <w:r w:rsidRPr="00B618A5">
        <w:rPr>
          <w:rFonts w:eastAsiaTheme="minorEastAsia"/>
          <w:rtl/>
        </w:rPr>
        <w:t>-</w:t>
      </w:r>
      <w:r w:rsidRPr="00BC1017">
        <w:rPr>
          <w:rFonts w:eastAsiaTheme="minorEastAsia"/>
          <w:rtl/>
        </w:rPr>
        <w:t>580</w:t>
      </w:r>
      <w:r w:rsidRPr="00B618A5">
        <w:rPr>
          <w:rFonts w:eastAsiaTheme="minorEastAsia"/>
          <w:rtl/>
        </w:rPr>
        <w:t xml:space="preserve"> بشأن مناهضة العنف </w:t>
      </w:r>
      <w:proofErr w:type="spellStart"/>
      <w:r w:rsidRPr="00B618A5">
        <w:rPr>
          <w:rFonts w:eastAsiaTheme="minorEastAsia"/>
          <w:rtl/>
        </w:rPr>
        <w:t>الجنساني</w:t>
      </w:r>
      <w:proofErr w:type="spellEnd"/>
      <w:r w:rsidRPr="00B618A5">
        <w:rPr>
          <w:rFonts w:eastAsiaTheme="minorEastAsia"/>
          <w:rtl/>
        </w:rPr>
        <w:t xml:space="preserve"> ضد المرأة، وإنشاء المرصد المعني بالعنف </w:t>
      </w:r>
      <w:proofErr w:type="spellStart"/>
      <w:r w:rsidRPr="00B618A5">
        <w:rPr>
          <w:rFonts w:eastAsiaTheme="minorEastAsia"/>
          <w:rtl/>
        </w:rPr>
        <w:t>الجنساني</w:t>
      </w:r>
      <w:proofErr w:type="spellEnd"/>
      <w:r w:rsidRPr="00B618A5">
        <w:rPr>
          <w:rFonts w:eastAsiaTheme="minorEastAsia"/>
          <w:rtl/>
        </w:rPr>
        <w:t xml:space="preserve"> ضد المرأة، وتجريم قتل الإناث باعتباره ظرفاً مشدداً للعقوبة في قضايا القتل</w:t>
      </w:r>
      <w:r>
        <w:rPr>
          <w:rFonts w:eastAsiaTheme="minorEastAsia"/>
          <w:rtl/>
        </w:rPr>
        <w:t xml:space="preserve"> </w:t>
      </w:r>
      <w:r w:rsidRPr="00B618A5">
        <w:rPr>
          <w:rFonts w:eastAsiaTheme="minorEastAsia"/>
          <w:rtl/>
        </w:rPr>
        <w:t>وزيادة عدد دور الإيواء في الدولة الطرف. غير أن اللجنة لا تزال تشعر بالقلق إزاء المعلومات التي تفيد بما يلي</w:t>
      </w:r>
      <w:r w:rsidRPr="00B618A5">
        <w:rPr>
          <w:rFonts w:eastAsiaTheme="minorEastAsia"/>
        </w:rPr>
        <w:t>:</w:t>
      </w:r>
      <w:r w:rsidRPr="00B618A5">
        <w:rPr>
          <w:rFonts w:eastAsiaTheme="minorEastAsia"/>
          <w:rtl/>
        </w:rPr>
        <w:t xml:space="preserve"> </w:t>
      </w:r>
    </w:p>
    <w:p w14:paraId="3FF808F8" w14:textId="711BB9F0" w:rsidR="00B618A5" w:rsidRPr="00B618A5" w:rsidRDefault="00522E36" w:rsidP="00B618A5">
      <w:pPr>
        <w:pStyle w:val="SingleTxtGA"/>
        <w:rPr>
          <w:rFonts w:eastAsiaTheme="minorEastAsia"/>
          <w:lang w:val="ar-SA" w:eastAsia="zh-TW" w:bidi="en-GB"/>
        </w:rPr>
      </w:pPr>
      <w:r w:rsidRPr="00BB2E61">
        <w:rPr>
          <w:rFonts w:eastAsiaTheme="minorEastAsia"/>
          <w:spacing w:val="-4"/>
          <w:rtl/>
        </w:rPr>
        <w:tab/>
      </w:r>
      <w:r w:rsidR="00B618A5" w:rsidRPr="00BB2E61">
        <w:rPr>
          <w:rFonts w:eastAsiaTheme="minorEastAsia"/>
          <w:spacing w:val="-4"/>
          <w:rtl/>
        </w:rPr>
        <w:t>(أ)</w:t>
      </w:r>
      <w:r w:rsidR="00B618A5" w:rsidRPr="00BB2E61">
        <w:rPr>
          <w:rFonts w:eastAsiaTheme="minorEastAsia"/>
          <w:spacing w:val="-4"/>
          <w:rtl/>
        </w:rPr>
        <w:tab/>
        <w:t xml:space="preserve">لا يزال العنف ضد المرأة منتشراً على نطاق واسع في الدولة الطرف، حيث سجلت </w:t>
      </w:r>
      <w:r w:rsidR="00B618A5" w:rsidRPr="00BC1017">
        <w:rPr>
          <w:rFonts w:eastAsiaTheme="minorEastAsia"/>
          <w:spacing w:val="-4"/>
          <w:rtl/>
        </w:rPr>
        <w:t>30</w:t>
      </w:r>
      <w:r w:rsidR="00B618A5" w:rsidRPr="00BB2E61">
        <w:rPr>
          <w:rFonts w:eastAsiaTheme="minorEastAsia"/>
          <w:spacing w:val="-4"/>
          <w:rtl/>
        </w:rPr>
        <w:t xml:space="preserve"> حالة من</w:t>
      </w:r>
      <w:r w:rsidR="00B618A5" w:rsidRPr="00B618A5">
        <w:rPr>
          <w:rFonts w:eastAsiaTheme="minorEastAsia"/>
          <w:rtl/>
        </w:rPr>
        <w:t xml:space="preserve"> حالات قتل </w:t>
      </w:r>
      <w:r w:rsidR="00B618A5" w:rsidRPr="00BC1017">
        <w:rPr>
          <w:rFonts w:eastAsiaTheme="minorEastAsia"/>
          <w:rtl/>
        </w:rPr>
        <w:t>الإناث و</w:t>
      </w:r>
      <w:r w:rsidR="00857EE6" w:rsidRPr="00BC1017">
        <w:rPr>
          <w:rFonts w:eastAsiaTheme="minorEastAsia" w:hint="cs"/>
          <w:rtl/>
        </w:rPr>
        <w:t xml:space="preserve">925 38 </w:t>
      </w:r>
      <w:r w:rsidR="00B618A5" w:rsidRPr="00BC1017">
        <w:rPr>
          <w:rFonts w:eastAsiaTheme="minorEastAsia"/>
          <w:rtl/>
        </w:rPr>
        <w:t>شكوى</w:t>
      </w:r>
      <w:r w:rsidR="00B618A5" w:rsidRPr="00B618A5">
        <w:rPr>
          <w:rFonts w:eastAsiaTheme="minorEastAsia"/>
          <w:rtl/>
        </w:rPr>
        <w:t xml:space="preserve"> تتعلق بحالة عنف عائلي في عام </w:t>
      </w:r>
      <w:r w:rsidR="00B618A5" w:rsidRPr="00BC1017">
        <w:rPr>
          <w:rFonts w:eastAsiaTheme="minorEastAsia"/>
          <w:rtl/>
        </w:rPr>
        <w:t>2021</w:t>
      </w:r>
      <w:r w:rsidR="00B618A5" w:rsidRPr="00B618A5">
        <w:rPr>
          <w:rFonts w:eastAsiaTheme="minorEastAsia"/>
          <w:rtl/>
        </w:rPr>
        <w:t>؛</w:t>
      </w:r>
    </w:p>
    <w:p w14:paraId="297CDB86" w14:textId="30F54F8D"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t xml:space="preserve">عدم تخصيص موارد كافية لتنفيذ التدابير المنصوص عليها في القانون رقم </w:t>
      </w:r>
      <w:r w:rsidR="00B618A5" w:rsidRPr="00BC1017">
        <w:rPr>
          <w:rFonts w:eastAsiaTheme="minorEastAsia"/>
          <w:rtl/>
        </w:rPr>
        <w:t>19</w:t>
      </w:r>
      <w:r w:rsidR="00B618A5" w:rsidRPr="00B618A5">
        <w:rPr>
          <w:rFonts w:eastAsiaTheme="minorEastAsia"/>
          <w:rtl/>
        </w:rPr>
        <w:t>-</w:t>
      </w:r>
      <w:r w:rsidR="00B618A5" w:rsidRPr="00BC1017">
        <w:rPr>
          <w:rFonts w:eastAsiaTheme="minorEastAsia"/>
          <w:rtl/>
        </w:rPr>
        <w:t>580</w:t>
      </w:r>
      <w:r w:rsidR="00B618A5" w:rsidRPr="00B618A5">
        <w:rPr>
          <w:rFonts w:eastAsiaTheme="minorEastAsia"/>
          <w:rtl/>
        </w:rPr>
        <w:t xml:space="preserve"> تنفيذاً فعالاً، لا سيما فيما يتعلق بالدعم وتوفير دور الإيواء ومساعدة الضحايا؛</w:t>
      </w:r>
    </w:p>
    <w:p w14:paraId="35FE7DD2" w14:textId="7D3E7D00"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t>لا يزال الموظفون في الجهاز القضائي والشرطة والموظفون في المجال الطبي والرعاية الاجتماعية يفتقرون إلى دورات تدريبة محددة بشأن كيفية معالجة مسألة العنف ضد المرأة من منظور حقوق الإنسان؛</w:t>
      </w:r>
    </w:p>
    <w:p w14:paraId="76C55138" w14:textId="073B45C7" w:rsidR="00BB5724" w:rsidRPr="00BB5724"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د)</w:t>
      </w:r>
      <w:r w:rsidR="00B618A5" w:rsidRPr="00B618A5">
        <w:rPr>
          <w:rFonts w:eastAsiaTheme="minorEastAsia"/>
          <w:rtl/>
        </w:rPr>
        <w:tab/>
        <w:t xml:space="preserve">وجود عقبات تحول دون وصول ضحايا العنف إلى القضاء ودون منح تعويضات للأسر باعتبارها ضحية مباشرة لأفعال العنف (المواد </w:t>
      </w:r>
      <w:r w:rsidR="00B618A5" w:rsidRPr="00BC1017">
        <w:rPr>
          <w:rFonts w:eastAsiaTheme="minorEastAsia"/>
          <w:rtl/>
        </w:rPr>
        <w:t>3</w:t>
      </w:r>
      <w:r w:rsidR="00B618A5" w:rsidRPr="00B618A5">
        <w:rPr>
          <w:rFonts w:eastAsiaTheme="minorEastAsia"/>
          <w:rtl/>
        </w:rPr>
        <w:t xml:space="preserve"> و</w:t>
      </w:r>
      <w:r w:rsidR="00B618A5" w:rsidRPr="00BC1017">
        <w:rPr>
          <w:rFonts w:eastAsiaTheme="minorEastAsia"/>
          <w:rtl/>
        </w:rPr>
        <w:t>6</w:t>
      </w:r>
      <w:r w:rsidR="00B618A5" w:rsidRPr="00B618A5">
        <w:rPr>
          <w:rFonts w:eastAsiaTheme="minorEastAsia"/>
          <w:rtl/>
        </w:rPr>
        <w:t xml:space="preserve"> و</w:t>
      </w:r>
      <w:r w:rsidR="00B618A5" w:rsidRPr="00BC1017">
        <w:rPr>
          <w:rFonts w:eastAsiaTheme="minorEastAsia"/>
          <w:rtl/>
        </w:rPr>
        <w:t>7</w:t>
      </w:r>
      <w:r w:rsidR="00B618A5" w:rsidRPr="00B618A5">
        <w:rPr>
          <w:rFonts w:eastAsiaTheme="minorEastAsia"/>
          <w:rtl/>
        </w:rPr>
        <w:t xml:space="preserve"> و</w:t>
      </w:r>
      <w:r w:rsidR="00B618A5" w:rsidRPr="00BC1017">
        <w:rPr>
          <w:rFonts w:eastAsiaTheme="minorEastAsia"/>
          <w:rtl/>
        </w:rPr>
        <w:t>14</w:t>
      </w:r>
      <w:r w:rsidR="00B618A5" w:rsidRPr="00B618A5">
        <w:rPr>
          <w:rFonts w:eastAsiaTheme="minorEastAsia"/>
          <w:rtl/>
        </w:rPr>
        <w:t xml:space="preserve"> و</w:t>
      </w:r>
      <w:r w:rsidR="00B618A5" w:rsidRPr="00BC1017">
        <w:rPr>
          <w:rFonts w:eastAsiaTheme="minorEastAsia"/>
          <w:rtl/>
        </w:rPr>
        <w:t>17</w:t>
      </w:r>
      <w:r w:rsidR="00B618A5" w:rsidRPr="00B618A5">
        <w:rPr>
          <w:rFonts w:eastAsiaTheme="minorEastAsia"/>
          <w:rtl/>
        </w:rPr>
        <w:t xml:space="preserve"> و</w:t>
      </w:r>
      <w:r w:rsidR="00B618A5" w:rsidRPr="00BC1017">
        <w:rPr>
          <w:rFonts w:eastAsiaTheme="minorEastAsia"/>
          <w:rtl/>
        </w:rPr>
        <w:t>2</w:t>
      </w:r>
      <w:r w:rsidR="00BB5724" w:rsidRPr="00BC1017">
        <w:rPr>
          <w:rFonts w:eastAsiaTheme="minorEastAsia"/>
          <w:rtl/>
        </w:rPr>
        <w:t>6</w:t>
      </w:r>
      <w:r w:rsidR="00BB5724" w:rsidRPr="00BB5724">
        <w:rPr>
          <w:rFonts w:eastAsiaTheme="minorEastAsia"/>
          <w:rtl/>
        </w:rPr>
        <w:t>).</w:t>
      </w:r>
    </w:p>
    <w:p w14:paraId="15A4F2DD" w14:textId="16580275" w:rsidR="00B618A5" w:rsidRPr="00522E36" w:rsidRDefault="00B618A5" w:rsidP="00B618A5">
      <w:pPr>
        <w:pStyle w:val="SingleTxtGA"/>
        <w:rPr>
          <w:rFonts w:eastAsiaTheme="minorEastAsia"/>
          <w:bCs/>
          <w:lang w:val="ar-SA" w:eastAsia="zh-TW" w:bidi="en-GB"/>
        </w:rPr>
      </w:pPr>
      <w:r w:rsidRPr="00BC1017">
        <w:rPr>
          <w:rFonts w:eastAsiaTheme="minorEastAsia"/>
          <w:rtl/>
        </w:rPr>
        <w:t>15</w:t>
      </w:r>
      <w:r w:rsidRPr="00B618A5">
        <w:rPr>
          <w:rFonts w:eastAsiaTheme="minorEastAsia"/>
          <w:rtl/>
        </w:rPr>
        <w:t>-</w:t>
      </w:r>
      <w:r w:rsidRPr="00B618A5">
        <w:rPr>
          <w:rFonts w:eastAsiaTheme="minorEastAsia"/>
          <w:rtl/>
        </w:rPr>
        <w:tab/>
      </w:r>
      <w:r w:rsidRPr="00BC1017">
        <w:rPr>
          <w:rFonts w:eastAsiaTheme="minorEastAsia"/>
          <w:bCs/>
          <w:rtl/>
        </w:rPr>
        <w:t>ينبغي للدولة الطرف أن تكثف جهودها لمنع جميع أشكال العنف ضد النساء والفتيات، بما في ذلك العنف العائلي والاعتداء الجنسي، ومكافحتها والقضاء عليها؛</w:t>
      </w:r>
      <w:r w:rsidRPr="00522E36">
        <w:rPr>
          <w:rFonts w:eastAsiaTheme="minorEastAsia"/>
          <w:bCs/>
          <w:rtl/>
        </w:rPr>
        <w:t xml:space="preserve"> </w:t>
      </w:r>
      <w:r w:rsidRPr="00BC1017">
        <w:rPr>
          <w:rFonts w:eastAsiaTheme="minorEastAsia"/>
          <w:bCs/>
          <w:rtl/>
        </w:rPr>
        <w:t>وينبغي، على وجه الخصوص،</w:t>
      </w:r>
      <w:r w:rsidR="00522E36" w:rsidRPr="00BC1017">
        <w:rPr>
          <w:rFonts w:eastAsiaTheme="minorEastAsia" w:hint="cs"/>
          <w:bCs/>
          <w:rtl/>
        </w:rPr>
        <w:t xml:space="preserve"> </w:t>
      </w:r>
      <w:r w:rsidRPr="00BC1017">
        <w:rPr>
          <w:rFonts w:eastAsiaTheme="minorEastAsia"/>
          <w:bCs/>
          <w:rtl/>
        </w:rPr>
        <w:t>اتخاذ</w:t>
      </w:r>
      <w:r w:rsidR="00145497" w:rsidRPr="00BC1017">
        <w:rPr>
          <w:rFonts w:eastAsiaTheme="minorEastAsia" w:hint="cs"/>
          <w:bCs/>
          <w:rtl/>
        </w:rPr>
        <w:t> </w:t>
      </w:r>
      <w:r w:rsidRPr="00BC1017">
        <w:rPr>
          <w:rFonts w:eastAsiaTheme="minorEastAsia"/>
          <w:bCs/>
          <w:rtl/>
        </w:rPr>
        <w:t>التدابير الضرورية من أجل ما</w:t>
      </w:r>
      <w:r w:rsidR="00857EE6" w:rsidRPr="00BC1017">
        <w:rPr>
          <w:rFonts w:eastAsiaTheme="minorEastAsia" w:hint="cs"/>
          <w:bCs/>
          <w:rtl/>
        </w:rPr>
        <w:t xml:space="preserve"> </w:t>
      </w:r>
      <w:r w:rsidRPr="00BC1017">
        <w:rPr>
          <w:rFonts w:eastAsiaTheme="minorEastAsia"/>
          <w:bCs/>
          <w:rtl/>
        </w:rPr>
        <w:t>يلي:</w:t>
      </w:r>
      <w:r w:rsidRPr="00522E36">
        <w:rPr>
          <w:rFonts w:eastAsiaTheme="minorEastAsia"/>
          <w:bCs/>
          <w:rtl/>
        </w:rPr>
        <w:t xml:space="preserve"> </w:t>
      </w:r>
    </w:p>
    <w:p w14:paraId="7405D815" w14:textId="4F7EEA59"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تخصيص الموارد المالية والتقنية والبشرية اللازمة في جميع أنحاء البلد لمنع العنف ضد المرأة وحمايتها ومعاقبة مرتكبي أعمال العنف وجبر ضحاياه؛</w:t>
      </w:r>
    </w:p>
    <w:p w14:paraId="1F3F88A1" w14:textId="52F14594"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تنظيم دورات تدريبة مناسبة للموظفين العموميين المعنيين، بمن فيهم القضاة، والمدعون العامون، ومحامو المساعدة القضائية،</w:t>
      </w:r>
      <w:r w:rsidR="00522E36" w:rsidRPr="00BC1017">
        <w:rPr>
          <w:rFonts w:eastAsiaTheme="minorEastAsia" w:hint="cs"/>
          <w:bCs/>
          <w:rtl/>
        </w:rPr>
        <w:t xml:space="preserve"> </w:t>
      </w:r>
      <w:r w:rsidR="00B618A5" w:rsidRPr="00BC1017">
        <w:rPr>
          <w:rFonts w:eastAsiaTheme="minorEastAsia"/>
          <w:bCs/>
          <w:rtl/>
        </w:rPr>
        <w:t xml:space="preserve">والموظفون المكلفون بإنفاذ القوانين وموظفو الصحة والرعاية الاجتماعية، تتيح لهم الكشف عن حالات العنف ضد المرأة ومعالجتها والتحقيق فيها، في إطار مراعاة المنظور </w:t>
      </w:r>
      <w:proofErr w:type="spellStart"/>
      <w:r w:rsidR="00B618A5" w:rsidRPr="00BC1017">
        <w:rPr>
          <w:rFonts w:eastAsiaTheme="minorEastAsia"/>
          <w:bCs/>
          <w:rtl/>
        </w:rPr>
        <w:t>الجنساني</w:t>
      </w:r>
      <w:proofErr w:type="spellEnd"/>
      <w:r w:rsidR="00B618A5" w:rsidRPr="00BC1017">
        <w:rPr>
          <w:rFonts w:eastAsiaTheme="minorEastAsia"/>
          <w:bCs/>
          <w:rtl/>
        </w:rPr>
        <w:t xml:space="preserve"> ومنظور حقوق الإنسان؛</w:t>
      </w:r>
    </w:p>
    <w:p w14:paraId="63694AA6" w14:textId="466B09CC" w:rsidR="00B618A5" w:rsidRPr="00522E36" w:rsidRDefault="00401692" w:rsidP="00B618A5">
      <w:pPr>
        <w:pStyle w:val="SingleTxtGA"/>
        <w:rPr>
          <w:rFonts w:eastAsiaTheme="minorEastAsia"/>
          <w:bCs/>
          <w:lang w:val="en-US"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تيسير إجراءات تقديم الشكاوى من جانب الضحايا باستخدام وسائل مختلفة والتشجيع عليها؛</w:t>
      </w:r>
      <w:r w:rsidR="00B618A5" w:rsidRPr="00522E36">
        <w:rPr>
          <w:rFonts w:eastAsiaTheme="minorEastAsia"/>
          <w:bCs/>
          <w:rtl/>
        </w:rPr>
        <w:t xml:space="preserve"> </w:t>
      </w:r>
      <w:r w:rsidR="00B618A5" w:rsidRPr="00BC1017">
        <w:rPr>
          <w:rFonts w:eastAsiaTheme="minorEastAsia"/>
          <w:bCs/>
          <w:rtl/>
        </w:rPr>
        <w:t>وضمان إجراء تحقيقات سريعة وشاملة ونزيهة في جميع أعمال العنف ضد النساء والفتيات، ومقاضاة مرتكبيها ومعاقبتهم، وحصول الضحايا على تعويضات كاملة، بمن فيهم أسر الضحايا، عند الاقتضاء.</w:t>
      </w:r>
    </w:p>
    <w:p w14:paraId="5961AB0E" w14:textId="0D07122A" w:rsidR="00B618A5" w:rsidRPr="00B618A5" w:rsidRDefault="00B618A5" w:rsidP="00522E36">
      <w:pPr>
        <w:pStyle w:val="H23GA"/>
        <w:rPr>
          <w:lang w:val="en-US" w:eastAsia="zh-TW" w:bidi="en-GB"/>
        </w:rPr>
      </w:pPr>
      <w:r w:rsidRPr="00B618A5">
        <w:rPr>
          <w:rtl/>
        </w:rPr>
        <w:tab/>
      </w:r>
      <w:r w:rsidRPr="00B618A5">
        <w:rPr>
          <w:rtl/>
        </w:rPr>
        <w:tab/>
        <w:t>إنهاء الحمل الطوعي والحقوق الإنجابية</w:t>
      </w:r>
    </w:p>
    <w:p w14:paraId="12EC0F61" w14:textId="1A5C6811" w:rsidR="00B618A5" w:rsidRPr="00B618A5" w:rsidRDefault="00B618A5" w:rsidP="00B618A5">
      <w:pPr>
        <w:pStyle w:val="SingleTxtGA"/>
        <w:rPr>
          <w:rFonts w:eastAsiaTheme="minorEastAsia"/>
          <w:lang w:val="ar-SA" w:eastAsia="zh-TW" w:bidi="en-GB"/>
        </w:rPr>
      </w:pPr>
      <w:r w:rsidRPr="00BC1017">
        <w:rPr>
          <w:rFonts w:eastAsiaTheme="minorEastAsia"/>
          <w:rtl/>
        </w:rPr>
        <w:t>16</w:t>
      </w:r>
      <w:r w:rsidRPr="00B618A5">
        <w:rPr>
          <w:rFonts w:eastAsiaTheme="minorEastAsia"/>
          <w:rtl/>
        </w:rPr>
        <w:t>-</w:t>
      </w:r>
      <w:r w:rsidRPr="00B618A5">
        <w:rPr>
          <w:rFonts w:eastAsiaTheme="minorEastAsia"/>
          <w:rtl/>
        </w:rPr>
        <w:tab/>
        <w:t>يساور اللجنة القلق إزاء التقارير الواردة بشأن وجود عقبات في الممارسة العملية تحول دون تمكن المرأة من الإجهاض</w:t>
      </w:r>
      <w:r>
        <w:rPr>
          <w:rFonts w:eastAsiaTheme="minorEastAsia"/>
          <w:rtl/>
        </w:rPr>
        <w:t xml:space="preserve"> </w:t>
      </w:r>
      <w:r w:rsidRPr="00B618A5">
        <w:rPr>
          <w:rFonts w:eastAsiaTheme="minorEastAsia"/>
          <w:rtl/>
        </w:rPr>
        <w:t>بما في ذلك الاعتراض</w:t>
      </w:r>
      <w:r>
        <w:rPr>
          <w:rFonts w:eastAsiaTheme="minorEastAsia"/>
          <w:rtl/>
        </w:rPr>
        <w:t xml:space="preserve"> </w:t>
      </w:r>
      <w:proofErr w:type="spellStart"/>
      <w:r w:rsidRPr="00B618A5">
        <w:rPr>
          <w:rFonts w:eastAsiaTheme="minorEastAsia"/>
          <w:rtl/>
        </w:rPr>
        <w:t>الضميري</w:t>
      </w:r>
      <w:proofErr w:type="spellEnd"/>
      <w:r w:rsidRPr="00B618A5">
        <w:rPr>
          <w:rFonts w:eastAsiaTheme="minorEastAsia"/>
          <w:rtl/>
        </w:rPr>
        <w:t xml:space="preserve"> الذي تتذرع به الأفرقة الطبية، واقترانه في </w:t>
      </w:r>
      <w:r w:rsidRPr="00B618A5">
        <w:rPr>
          <w:rFonts w:eastAsiaTheme="minorEastAsia"/>
          <w:rtl/>
        </w:rPr>
        <w:lastRenderedPageBreak/>
        <w:t>حالة المهاجرات، بشرط الإقامة في البلد لمدة عام واحد</w:t>
      </w:r>
      <w:r>
        <w:rPr>
          <w:rFonts w:eastAsiaTheme="minorEastAsia"/>
          <w:rtl/>
        </w:rPr>
        <w:t xml:space="preserve">. </w:t>
      </w:r>
      <w:r w:rsidRPr="00B618A5">
        <w:rPr>
          <w:rFonts w:eastAsiaTheme="minorEastAsia"/>
          <w:rtl/>
        </w:rPr>
        <w:t>ويساورها القلق أيضاً إزاء المعلومات الواردة بشأن معدلات حمل المراهقات التي</w:t>
      </w:r>
      <w:r>
        <w:rPr>
          <w:rFonts w:eastAsiaTheme="minorEastAsia"/>
          <w:rtl/>
        </w:rPr>
        <w:t xml:space="preserve"> </w:t>
      </w:r>
      <w:r w:rsidRPr="00B618A5">
        <w:rPr>
          <w:rFonts w:eastAsiaTheme="minorEastAsia"/>
          <w:rtl/>
        </w:rPr>
        <w:t xml:space="preserve">لا تزال مرتفعة رغم التدابير التي اتخذتها الدولة الطرف لمنع حمل المراهقات (المواد </w:t>
      </w:r>
      <w:r w:rsidRPr="00BC1017">
        <w:rPr>
          <w:rFonts w:eastAsiaTheme="minorEastAsia"/>
          <w:rtl/>
        </w:rPr>
        <w:t>2</w:t>
      </w:r>
      <w:r w:rsidRPr="00B618A5">
        <w:rPr>
          <w:rFonts w:eastAsiaTheme="minorEastAsia"/>
          <w:rtl/>
        </w:rPr>
        <w:t xml:space="preserve"> و</w:t>
      </w:r>
      <w:r w:rsidRPr="00BC1017">
        <w:rPr>
          <w:rFonts w:eastAsiaTheme="minorEastAsia"/>
          <w:rtl/>
        </w:rPr>
        <w:t>3</w:t>
      </w:r>
      <w:r w:rsidRPr="00B618A5">
        <w:rPr>
          <w:rFonts w:eastAsiaTheme="minorEastAsia"/>
          <w:rtl/>
        </w:rPr>
        <w:t xml:space="preserve"> و</w:t>
      </w:r>
      <w:r w:rsidRPr="00BC1017">
        <w:rPr>
          <w:rFonts w:eastAsiaTheme="minorEastAsia"/>
          <w:rtl/>
        </w:rPr>
        <w:t>6</w:t>
      </w:r>
      <w:r w:rsidRPr="00B618A5">
        <w:rPr>
          <w:rFonts w:eastAsiaTheme="minorEastAsia"/>
          <w:rtl/>
        </w:rPr>
        <w:t xml:space="preserve"> و</w:t>
      </w:r>
      <w:r w:rsidRPr="00BC1017">
        <w:rPr>
          <w:rFonts w:eastAsiaTheme="minorEastAsia"/>
          <w:rtl/>
        </w:rPr>
        <w:t>7</w:t>
      </w:r>
      <w:r w:rsidRPr="00B618A5">
        <w:rPr>
          <w:rFonts w:eastAsiaTheme="minorEastAsia"/>
          <w:rtl/>
        </w:rPr>
        <w:t xml:space="preserve"> و</w:t>
      </w:r>
      <w:r w:rsidRPr="00BC1017">
        <w:rPr>
          <w:rFonts w:eastAsiaTheme="minorEastAsia"/>
          <w:rtl/>
        </w:rPr>
        <w:t>17</w:t>
      </w:r>
      <w:r w:rsidRPr="00B618A5">
        <w:rPr>
          <w:rFonts w:eastAsiaTheme="minorEastAsia"/>
          <w:rtl/>
        </w:rPr>
        <w:t xml:space="preserve"> و</w:t>
      </w:r>
      <w:r w:rsidRPr="00BC1017">
        <w:rPr>
          <w:rFonts w:eastAsiaTheme="minorEastAsia"/>
          <w:rtl/>
        </w:rPr>
        <w:t>2</w:t>
      </w:r>
      <w:r w:rsidR="00BB5724" w:rsidRPr="00BC1017">
        <w:rPr>
          <w:rFonts w:eastAsiaTheme="minorEastAsia"/>
          <w:rtl/>
        </w:rPr>
        <w:t>6</w:t>
      </w:r>
      <w:r w:rsidR="00BB5724" w:rsidRPr="00BB5724">
        <w:rPr>
          <w:rFonts w:eastAsiaTheme="minorEastAsia"/>
          <w:rtl/>
        </w:rPr>
        <w:t xml:space="preserve">). </w:t>
      </w:r>
    </w:p>
    <w:p w14:paraId="0516C72C" w14:textId="6287897B" w:rsidR="00B618A5" w:rsidRPr="00522E36" w:rsidRDefault="00B618A5" w:rsidP="00B618A5">
      <w:pPr>
        <w:pStyle w:val="SingleTxtGA"/>
        <w:rPr>
          <w:rFonts w:eastAsiaTheme="minorEastAsia"/>
          <w:bCs/>
          <w:lang w:val="ar-SA" w:eastAsia="zh-TW" w:bidi="en-GB"/>
        </w:rPr>
      </w:pPr>
      <w:r w:rsidRPr="00BC1017">
        <w:rPr>
          <w:rFonts w:eastAsiaTheme="minorEastAsia"/>
          <w:rtl/>
        </w:rPr>
        <w:t>17</w:t>
      </w:r>
      <w:r w:rsidRPr="00B618A5">
        <w:rPr>
          <w:rFonts w:eastAsiaTheme="minorEastAsia"/>
          <w:rtl/>
        </w:rPr>
        <w:t>-</w:t>
      </w:r>
      <w:r w:rsidRPr="00B618A5">
        <w:rPr>
          <w:rFonts w:eastAsiaTheme="minorEastAsia"/>
          <w:rtl/>
        </w:rPr>
        <w:tab/>
      </w:r>
      <w:r w:rsidRPr="00BC1017">
        <w:rPr>
          <w:rFonts w:eastAsiaTheme="minorEastAsia"/>
          <w:bCs/>
          <w:rtl/>
        </w:rPr>
        <w:t>في ضوء تعليق اللجنة العام رقم 36(201</w:t>
      </w:r>
      <w:r w:rsidR="00BB5724" w:rsidRPr="00BC1017">
        <w:rPr>
          <w:rFonts w:eastAsiaTheme="minorEastAsia"/>
          <w:bCs/>
          <w:rtl/>
        </w:rPr>
        <w:t xml:space="preserve">8) </w:t>
      </w:r>
      <w:r w:rsidRPr="00BC1017">
        <w:rPr>
          <w:rFonts w:eastAsiaTheme="minorEastAsia"/>
          <w:bCs/>
          <w:rtl/>
        </w:rPr>
        <w:t>بشأن الحق في الحياة، ينبغي للدولة الطرف القيام بما يلي:</w:t>
      </w:r>
      <w:r w:rsidRPr="00522E36">
        <w:rPr>
          <w:rFonts w:eastAsiaTheme="minorEastAsia"/>
          <w:bCs/>
          <w:rtl/>
        </w:rPr>
        <w:t xml:space="preserve"> </w:t>
      </w:r>
    </w:p>
    <w:p w14:paraId="55E388AC" w14:textId="4CDD6882"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مضاعفة جهودها لضمان تمكن النساء والفتيات بصورة فعالة وقانونية وآمنة وسرية من الإجها</w:t>
      </w:r>
      <w:r w:rsidR="00522E36" w:rsidRPr="00BC1017">
        <w:rPr>
          <w:rFonts w:eastAsiaTheme="minorEastAsia" w:hint="cs"/>
          <w:bCs/>
          <w:rtl/>
        </w:rPr>
        <w:t>ض</w:t>
      </w:r>
      <w:r w:rsidR="00B618A5" w:rsidRPr="00BC1017">
        <w:rPr>
          <w:rFonts w:eastAsiaTheme="minorEastAsia"/>
          <w:bCs/>
          <w:rtl/>
        </w:rPr>
        <w:t>، في جميع أنحاء إقليمها؛</w:t>
      </w:r>
      <w:r w:rsidR="00B618A5" w:rsidRPr="00522E36">
        <w:rPr>
          <w:rFonts w:eastAsiaTheme="minorEastAsia"/>
          <w:bCs/>
          <w:rtl/>
        </w:rPr>
        <w:t xml:space="preserve"> </w:t>
      </w:r>
    </w:p>
    <w:p w14:paraId="14FF1657" w14:textId="4DCD7833"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 xml:space="preserve">ضمان، ألا يشكل الاعتراض </w:t>
      </w:r>
      <w:proofErr w:type="spellStart"/>
      <w:r w:rsidR="00B618A5" w:rsidRPr="00BC1017">
        <w:rPr>
          <w:rFonts w:eastAsiaTheme="minorEastAsia"/>
          <w:bCs/>
          <w:rtl/>
        </w:rPr>
        <w:t>الضميري</w:t>
      </w:r>
      <w:proofErr w:type="spellEnd"/>
      <w:r w:rsidR="00B618A5" w:rsidRPr="00BC1017">
        <w:rPr>
          <w:rFonts w:eastAsiaTheme="minorEastAsia"/>
          <w:bCs/>
          <w:rtl/>
        </w:rPr>
        <w:t>، من الناحية العملية، عقبة أمام التمكن الفعلي من الاجهاض الآمن والقانوني؛</w:t>
      </w:r>
      <w:r w:rsidR="00B618A5" w:rsidRPr="00522E36">
        <w:rPr>
          <w:rFonts w:eastAsiaTheme="minorEastAsia"/>
          <w:bCs/>
          <w:rtl/>
        </w:rPr>
        <w:t xml:space="preserve"> </w:t>
      </w:r>
    </w:p>
    <w:p w14:paraId="1908B1A5" w14:textId="64FF168B" w:rsidR="00B618A5" w:rsidRPr="00522E36" w:rsidRDefault="00401692" w:rsidP="00B618A5">
      <w:pPr>
        <w:pStyle w:val="SingleTxtGA"/>
        <w:rPr>
          <w:rFonts w:eastAsiaTheme="minorEastAsia"/>
          <w:bCs/>
          <w:lang w:val="en-US"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إلغاء شرط الإقامة في البلد لمدة عام واحد على الأقل، وهو الشرط الذي يفرض</w:t>
      </w:r>
      <w:r w:rsidR="00522E36" w:rsidRPr="00BC1017">
        <w:rPr>
          <w:rFonts w:eastAsiaTheme="minorEastAsia" w:hint="cs"/>
          <w:bCs/>
          <w:rtl/>
        </w:rPr>
        <w:t xml:space="preserve"> </w:t>
      </w:r>
      <w:r w:rsidR="00B618A5" w:rsidRPr="00BC1017">
        <w:rPr>
          <w:rFonts w:eastAsiaTheme="minorEastAsia"/>
          <w:bCs/>
          <w:rtl/>
        </w:rPr>
        <w:t>على النساء والفتيات، لا سيما المهاجرات، للتمكن من الاجهاض القانوني والآمن والفعال؛</w:t>
      </w:r>
      <w:r w:rsidR="00B618A5" w:rsidRPr="00522E36">
        <w:rPr>
          <w:rFonts w:eastAsiaTheme="minorEastAsia"/>
          <w:bCs/>
          <w:rtl/>
        </w:rPr>
        <w:t xml:space="preserve"> </w:t>
      </w:r>
    </w:p>
    <w:p w14:paraId="7D93B698" w14:textId="2E3FCC10"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د)</w:t>
      </w:r>
      <w:r w:rsidR="00B618A5" w:rsidRPr="00B618A5">
        <w:rPr>
          <w:rFonts w:eastAsiaTheme="minorEastAsia"/>
          <w:rtl/>
        </w:rPr>
        <w:tab/>
      </w:r>
      <w:r w:rsidR="00B618A5" w:rsidRPr="00BC1017">
        <w:rPr>
          <w:rFonts w:eastAsiaTheme="minorEastAsia"/>
          <w:bCs/>
          <w:rtl/>
        </w:rPr>
        <w:t>مضاعفة الجهود الرامية إلى تجنب الحمل غير المرغوب فيه، وعلى وجه الخصوص حمل المراهقات، وضمان إمكانية الحصول الكامل على خدمات الصحة الجنسية والإنجابية المناسبة في جميع أنحاء البلد، لا سيما للنساء المنحدرات من أصل أفريقي ونساء الشعوب الأصلية والنساء اللائي يعشن في المناطق الريفية والمناطق المهمشة؛</w:t>
      </w:r>
      <w:r w:rsidR="00B618A5" w:rsidRPr="00522E36">
        <w:rPr>
          <w:rFonts w:eastAsiaTheme="minorEastAsia"/>
          <w:bCs/>
          <w:rtl/>
        </w:rPr>
        <w:t xml:space="preserve"> </w:t>
      </w:r>
    </w:p>
    <w:p w14:paraId="26D0D324" w14:textId="2910D21A"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هـ)</w:t>
      </w:r>
      <w:r w:rsidR="00B618A5" w:rsidRPr="00B618A5">
        <w:rPr>
          <w:rFonts w:eastAsiaTheme="minorEastAsia"/>
          <w:rtl/>
        </w:rPr>
        <w:tab/>
      </w:r>
      <w:r w:rsidR="00B618A5" w:rsidRPr="00BC1017">
        <w:rPr>
          <w:rFonts w:eastAsiaTheme="minorEastAsia"/>
          <w:bCs/>
          <w:rtl/>
        </w:rPr>
        <w:t>تكثيف أنشطة التوعية والتثقيف بشأن حقوق الصحة الجنسية والإنجابية، وإعطاء الأولوية لتنفيذ خطة وطنية فعالة</w:t>
      </w:r>
      <w:r w:rsidR="00522E36" w:rsidRPr="00BC1017">
        <w:rPr>
          <w:rFonts w:eastAsiaTheme="minorEastAsia" w:hint="cs"/>
          <w:bCs/>
          <w:rtl/>
        </w:rPr>
        <w:t xml:space="preserve"> </w:t>
      </w:r>
      <w:r w:rsidR="00B618A5" w:rsidRPr="00BC1017">
        <w:rPr>
          <w:rFonts w:eastAsiaTheme="minorEastAsia"/>
          <w:bCs/>
          <w:rtl/>
        </w:rPr>
        <w:t>للتثقيف في مجال الصحة الجنسية والإنجابية.</w:t>
      </w:r>
      <w:r w:rsidR="00B618A5" w:rsidRPr="00522E36">
        <w:rPr>
          <w:rFonts w:eastAsiaTheme="minorEastAsia"/>
          <w:bCs/>
          <w:rtl/>
        </w:rPr>
        <w:t xml:space="preserve"> </w:t>
      </w:r>
    </w:p>
    <w:p w14:paraId="3440D18A" w14:textId="77777777" w:rsidR="00B618A5" w:rsidRPr="00B618A5" w:rsidRDefault="00B618A5" w:rsidP="00522E36">
      <w:pPr>
        <w:pStyle w:val="H23GA"/>
        <w:rPr>
          <w:lang w:val="ar-SA" w:eastAsia="zh-TW" w:bidi="en-GB"/>
        </w:rPr>
      </w:pPr>
      <w:r w:rsidRPr="00B618A5">
        <w:rPr>
          <w:rtl/>
        </w:rPr>
        <w:tab/>
      </w:r>
      <w:r w:rsidRPr="00B618A5">
        <w:rPr>
          <w:rtl/>
        </w:rPr>
        <w:tab/>
        <w:t>حظر التعذيب وغيره من ضروب المعاملة أو العقوبة القاسية أو اللاإنسانية أو المهينة</w:t>
      </w:r>
    </w:p>
    <w:p w14:paraId="35B35D38" w14:textId="54A8C1A4" w:rsidR="00B618A5" w:rsidRPr="00BC1017" w:rsidRDefault="00B618A5" w:rsidP="00B618A5">
      <w:pPr>
        <w:pStyle w:val="SingleTxtGA"/>
        <w:rPr>
          <w:rFonts w:eastAsiaTheme="minorEastAsia"/>
          <w:b/>
          <w:lang w:val="ar-SA" w:eastAsia="zh-TW" w:bidi="en-GB"/>
        </w:rPr>
      </w:pPr>
      <w:r w:rsidRPr="00BC1017">
        <w:rPr>
          <w:rFonts w:eastAsiaTheme="minorEastAsia"/>
          <w:b/>
          <w:rtl/>
        </w:rPr>
        <w:t>18-</w:t>
      </w:r>
      <w:r w:rsidRPr="00BC1017">
        <w:rPr>
          <w:rFonts w:eastAsiaTheme="minorEastAsia"/>
          <w:b/>
          <w:rtl/>
        </w:rPr>
        <w:tab/>
        <w:t>تلاحظ اللجنة بقلق عدم موائمة تعريف جريمة التعذيب بعد مع المعايير الدولية. ويساورها القلق أيضا إزاء التقارير الواردة بشأن الشكاوى المقدمة إلى القضاء بشأن عنف الشرطة وتأسف لأن التحقيقات لم تسفر عن نتائج تذكر (المواد 3 و7 و9 و10 و14 و1</w:t>
      </w:r>
      <w:r w:rsidR="00BB5724" w:rsidRPr="00BC1017">
        <w:rPr>
          <w:rFonts w:eastAsiaTheme="minorEastAsia"/>
          <w:b/>
          <w:rtl/>
        </w:rPr>
        <w:t xml:space="preserve">7). </w:t>
      </w:r>
    </w:p>
    <w:p w14:paraId="3D0C0F20" w14:textId="77777777" w:rsidR="00B618A5" w:rsidRPr="00522E36" w:rsidRDefault="00B618A5" w:rsidP="00B618A5">
      <w:pPr>
        <w:pStyle w:val="SingleTxtGA"/>
        <w:rPr>
          <w:rFonts w:eastAsiaTheme="minorEastAsia"/>
          <w:bCs/>
          <w:lang w:eastAsia="zh-TW" w:bidi="en-GB"/>
        </w:rPr>
      </w:pPr>
      <w:r w:rsidRPr="00BC1017">
        <w:rPr>
          <w:rFonts w:eastAsiaTheme="minorEastAsia"/>
          <w:rtl/>
        </w:rPr>
        <w:t>19</w:t>
      </w:r>
      <w:r w:rsidRPr="00B618A5">
        <w:rPr>
          <w:rFonts w:eastAsiaTheme="minorEastAsia"/>
          <w:rtl/>
        </w:rPr>
        <w:t>-</w:t>
      </w:r>
      <w:r w:rsidRPr="00B618A5">
        <w:rPr>
          <w:rFonts w:eastAsiaTheme="minorEastAsia"/>
          <w:rtl/>
        </w:rPr>
        <w:tab/>
      </w:r>
      <w:r w:rsidRPr="00BC1017">
        <w:rPr>
          <w:rFonts w:eastAsiaTheme="minorEastAsia"/>
          <w:bCs/>
          <w:rtl/>
        </w:rPr>
        <w:t>ينبغي للدولة الطرف القيام بما يلي:</w:t>
      </w:r>
      <w:r w:rsidRPr="00522E36">
        <w:rPr>
          <w:rFonts w:eastAsiaTheme="minorEastAsia"/>
          <w:bCs/>
          <w:rtl/>
        </w:rPr>
        <w:t xml:space="preserve"> </w:t>
      </w:r>
    </w:p>
    <w:p w14:paraId="12AD1A0A" w14:textId="311B68D0" w:rsidR="00B618A5" w:rsidRPr="00522E36" w:rsidRDefault="00401692" w:rsidP="00B618A5">
      <w:pPr>
        <w:pStyle w:val="SingleTxtGA"/>
        <w:rPr>
          <w:rFonts w:eastAsiaTheme="minorEastAsia"/>
          <w:b/>
          <w:bCs/>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522E36">
        <w:rPr>
          <w:rFonts w:eastAsiaTheme="minorEastAsia"/>
          <w:b/>
          <w:bCs/>
          <w:rtl/>
        </w:rPr>
        <w:t xml:space="preserve">الإسراع في </w:t>
      </w:r>
      <w:r w:rsidR="00B618A5" w:rsidRPr="00BC1017">
        <w:rPr>
          <w:rFonts w:eastAsiaTheme="minorEastAsia"/>
          <w:b/>
          <w:bCs/>
          <w:rtl/>
        </w:rPr>
        <w:t>اعتماد تعريف لجريمة التعذيب يتماشى مع المعايير الدولية وسن عقوبات تتناسب مع الخطورة البالغة لهذه الجريمة؛</w:t>
      </w:r>
      <w:r w:rsidR="00B618A5" w:rsidRPr="00522E36">
        <w:rPr>
          <w:rFonts w:eastAsiaTheme="minorEastAsia"/>
          <w:b/>
          <w:bCs/>
          <w:rtl/>
        </w:rPr>
        <w:t xml:space="preserve"> </w:t>
      </w:r>
    </w:p>
    <w:p w14:paraId="15CCBC30" w14:textId="63478F8E"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تعزيز جهودها الرامية إلى منع أعمال التعذيب وسوء المعاملة على نحو فعال عن طريق تكثيف دورات التدريب في مجال حقوق الإنسان لفائدة القضاة والمدعين العامين والموظفين المكلفين بإنفاذ القوانين وغيرهم من الموظفين الذين يتعاملون مع الأشخاص مسلوبي الحرية؛</w:t>
      </w:r>
      <w:r w:rsidR="00B618A5" w:rsidRPr="00522E36">
        <w:rPr>
          <w:rFonts w:eastAsiaTheme="minorEastAsia"/>
          <w:bCs/>
          <w:rtl/>
        </w:rPr>
        <w:t xml:space="preserve"> </w:t>
      </w:r>
    </w:p>
    <w:p w14:paraId="6A5C4D02" w14:textId="3B43AF7A"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تعزيز التنسيق بين السلطة القضائية والمفوض البرلماني لشؤون السجون كهيئة مستقلة، تيسّر</w:t>
      </w:r>
      <w:r w:rsidR="00522E36" w:rsidRPr="00BC1017">
        <w:rPr>
          <w:rFonts w:eastAsiaTheme="minorEastAsia" w:hint="cs"/>
          <w:bCs/>
          <w:rtl/>
        </w:rPr>
        <w:t xml:space="preserve"> </w:t>
      </w:r>
      <w:r w:rsidR="00B618A5" w:rsidRPr="00BC1017">
        <w:rPr>
          <w:rFonts w:eastAsiaTheme="minorEastAsia"/>
          <w:bCs/>
          <w:rtl/>
        </w:rPr>
        <w:t>عملية الإبلاغ الآمن عن أعمال التعذيب وسوء المعاملة في مرافق سلب الحرية، وضمان إجراء تحقيقات في جميع أعمال التعذيب أو سوء المعاملة المزعومة على نحو سريع وشامل</w:t>
      </w:r>
      <w:r w:rsidR="00522E36" w:rsidRPr="00BC1017">
        <w:rPr>
          <w:rFonts w:eastAsiaTheme="minorEastAsia" w:hint="cs"/>
          <w:bCs/>
          <w:rtl/>
        </w:rPr>
        <w:t> </w:t>
      </w:r>
      <w:r w:rsidR="00B618A5" w:rsidRPr="00BC1017">
        <w:rPr>
          <w:rFonts w:eastAsiaTheme="minorEastAsia"/>
          <w:bCs/>
          <w:rtl/>
        </w:rPr>
        <w:t>ونزيه، وملاحقة مرتكبي هذه الأفعال ومعاقبتهم على النحو الواجب وحصول الضحايا على تعويضات كاملة.</w:t>
      </w:r>
    </w:p>
    <w:p w14:paraId="7203422E" w14:textId="77777777" w:rsidR="00B618A5" w:rsidRPr="00B618A5" w:rsidRDefault="00B618A5" w:rsidP="00522E36">
      <w:pPr>
        <w:pStyle w:val="H23GA"/>
        <w:rPr>
          <w:lang w:val="ar-SA" w:eastAsia="zh-TW" w:bidi="en-GB"/>
        </w:rPr>
      </w:pPr>
      <w:r w:rsidRPr="00B618A5">
        <w:rPr>
          <w:rtl/>
        </w:rPr>
        <w:lastRenderedPageBreak/>
        <w:tab/>
      </w:r>
      <w:r w:rsidRPr="00B618A5">
        <w:rPr>
          <w:rtl/>
        </w:rPr>
        <w:tab/>
        <w:t xml:space="preserve">الاتجار بالأشخاص </w:t>
      </w:r>
    </w:p>
    <w:p w14:paraId="020ED39A" w14:textId="17507252" w:rsidR="00B618A5" w:rsidRPr="00B618A5" w:rsidRDefault="00B618A5" w:rsidP="00B618A5">
      <w:pPr>
        <w:pStyle w:val="SingleTxtGA"/>
        <w:rPr>
          <w:rFonts w:eastAsiaTheme="minorEastAsia"/>
          <w:lang w:val="ar-SA" w:eastAsia="zh-TW" w:bidi="en-GB"/>
        </w:rPr>
      </w:pPr>
      <w:r w:rsidRPr="00BC1017">
        <w:rPr>
          <w:rFonts w:eastAsiaTheme="minorEastAsia"/>
          <w:rtl/>
        </w:rPr>
        <w:t>20</w:t>
      </w:r>
      <w:r w:rsidRPr="00B618A5">
        <w:rPr>
          <w:rFonts w:eastAsiaTheme="minorEastAsia"/>
          <w:rtl/>
        </w:rPr>
        <w:t>-</w:t>
      </w:r>
      <w:r w:rsidRPr="00B618A5">
        <w:rPr>
          <w:rFonts w:eastAsiaTheme="minorEastAsia"/>
          <w:rtl/>
        </w:rPr>
        <w:tab/>
        <w:t xml:space="preserve">ترحب اللجنة بالتدابير التي اتخذتها الدولة الطرف بغرض منع الاتجار بالأشخاص ومكافحته. بيد أن اللجنة، تشعر بالقلق إزاء التقارير التي تشير إلى استمرار ظاهرة الاتجار بالبشر، لا سيما في المقاطعات الحدودية، وتركيز الخدمات الحكومية على تقديم المساعدة النفسية والاجتماعية والقانونية مع عدم استجابتها بشكل كافٍ للاحتياجات على المدى الطويل، خاصة في مجالي الإسكان والتوظيف. (المواد </w:t>
      </w:r>
      <w:r w:rsidRPr="00BC1017">
        <w:rPr>
          <w:rFonts w:eastAsiaTheme="minorEastAsia"/>
          <w:rtl/>
        </w:rPr>
        <w:t>7</w:t>
      </w:r>
      <w:r w:rsidRPr="00B618A5">
        <w:rPr>
          <w:rFonts w:eastAsiaTheme="minorEastAsia"/>
          <w:rtl/>
        </w:rPr>
        <w:t xml:space="preserve"> و</w:t>
      </w:r>
      <w:r w:rsidRPr="00BC1017">
        <w:rPr>
          <w:rFonts w:eastAsiaTheme="minorEastAsia"/>
          <w:rtl/>
        </w:rPr>
        <w:t>8</w:t>
      </w:r>
      <w:r w:rsidRPr="00B618A5">
        <w:rPr>
          <w:rFonts w:eastAsiaTheme="minorEastAsia"/>
          <w:rtl/>
        </w:rPr>
        <w:t xml:space="preserve"> و</w:t>
      </w:r>
      <w:r w:rsidRPr="00BC1017">
        <w:rPr>
          <w:rFonts w:eastAsiaTheme="minorEastAsia"/>
          <w:rtl/>
        </w:rPr>
        <w:t>14</w:t>
      </w:r>
      <w:r w:rsidRPr="00B618A5">
        <w:rPr>
          <w:rFonts w:eastAsiaTheme="minorEastAsia"/>
          <w:rtl/>
        </w:rPr>
        <w:t xml:space="preserve"> و</w:t>
      </w:r>
      <w:r w:rsidRPr="00BC1017">
        <w:rPr>
          <w:rFonts w:eastAsiaTheme="minorEastAsia"/>
          <w:rtl/>
        </w:rPr>
        <w:t>2</w:t>
      </w:r>
      <w:r w:rsidR="00BB5724" w:rsidRPr="00BC1017">
        <w:rPr>
          <w:rFonts w:eastAsiaTheme="minorEastAsia"/>
          <w:rtl/>
        </w:rPr>
        <w:t>4</w:t>
      </w:r>
      <w:r w:rsidR="00BB5724" w:rsidRPr="00BB5724">
        <w:rPr>
          <w:rFonts w:eastAsiaTheme="minorEastAsia"/>
          <w:rtl/>
        </w:rPr>
        <w:t xml:space="preserve">). </w:t>
      </w:r>
    </w:p>
    <w:p w14:paraId="0DD87C36" w14:textId="77777777" w:rsidR="00B618A5" w:rsidRPr="00522E36" w:rsidRDefault="00B618A5" w:rsidP="00B618A5">
      <w:pPr>
        <w:pStyle w:val="SingleTxtGA"/>
        <w:rPr>
          <w:rFonts w:eastAsiaTheme="minorEastAsia"/>
          <w:bCs/>
          <w:lang w:eastAsia="zh-TW" w:bidi="en-GB"/>
        </w:rPr>
      </w:pPr>
      <w:r w:rsidRPr="00BC1017">
        <w:rPr>
          <w:rFonts w:eastAsiaTheme="minorEastAsia"/>
          <w:rtl/>
        </w:rPr>
        <w:t>21</w:t>
      </w:r>
      <w:r w:rsidRPr="00B618A5">
        <w:rPr>
          <w:rFonts w:eastAsiaTheme="minorEastAsia"/>
          <w:rtl/>
        </w:rPr>
        <w:t>-</w:t>
      </w:r>
      <w:r w:rsidRPr="00B618A5">
        <w:rPr>
          <w:rFonts w:eastAsiaTheme="minorEastAsia"/>
          <w:rtl/>
        </w:rPr>
        <w:tab/>
      </w:r>
      <w:r w:rsidRPr="00BC1017">
        <w:rPr>
          <w:rFonts w:eastAsiaTheme="minorEastAsia"/>
          <w:bCs/>
          <w:rtl/>
        </w:rPr>
        <w:t>ينبغي للدولة الطرف القيام بما يلي:</w:t>
      </w:r>
      <w:r w:rsidRPr="00522E36">
        <w:rPr>
          <w:rFonts w:eastAsiaTheme="minorEastAsia"/>
          <w:bCs/>
          <w:rtl/>
        </w:rPr>
        <w:t xml:space="preserve"> </w:t>
      </w:r>
    </w:p>
    <w:p w14:paraId="4521DF1D" w14:textId="51F45EE4" w:rsidR="00B618A5" w:rsidRPr="00522E36" w:rsidRDefault="00401692" w:rsidP="00B618A5">
      <w:pPr>
        <w:pStyle w:val="SingleTxtGA"/>
        <w:rPr>
          <w:rFonts w:eastAsiaTheme="minorEastAsia"/>
          <w:bCs/>
          <w:lang w:val="en-US"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تكثيف جهودها لمنع الاتجار بالبشر ومكافحته والمعاقبة عليه، بطرق منها تعزيز آليات تحديد الهوية في الإدارات الحدودية من أجل الكشف عن حالات الاتجار في وقت مبكر بما يكفي للتمكن من التدخل؛</w:t>
      </w:r>
      <w:r w:rsidR="00B618A5" w:rsidRPr="00522E36">
        <w:rPr>
          <w:rFonts w:eastAsiaTheme="minorEastAsia"/>
          <w:bCs/>
          <w:rtl/>
        </w:rPr>
        <w:t xml:space="preserve"> </w:t>
      </w:r>
    </w:p>
    <w:p w14:paraId="3F792E8E" w14:textId="5A89AE9E"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تطوير الخدمات لتلبية الاحتياجات الطويلة الأجل وخدمات إعادة الإدماج، بما في ذلك تنظيم دورات التدريب المهني ودعم الإسكان والتوظيف.</w:t>
      </w:r>
      <w:r w:rsidR="00B618A5" w:rsidRPr="00522E36">
        <w:rPr>
          <w:rFonts w:eastAsiaTheme="minorEastAsia"/>
          <w:bCs/>
          <w:rtl/>
        </w:rPr>
        <w:t xml:space="preserve"> </w:t>
      </w:r>
    </w:p>
    <w:p w14:paraId="26FBE151" w14:textId="77777777" w:rsidR="00B618A5" w:rsidRPr="00B618A5" w:rsidRDefault="00B618A5" w:rsidP="00522E36">
      <w:pPr>
        <w:pStyle w:val="H23GA"/>
        <w:rPr>
          <w:lang w:val="ar-SA" w:eastAsia="zh-TW" w:bidi="en-GB"/>
        </w:rPr>
      </w:pPr>
      <w:r w:rsidRPr="00B618A5">
        <w:rPr>
          <w:rtl/>
        </w:rPr>
        <w:tab/>
      </w:r>
      <w:r w:rsidRPr="00B618A5">
        <w:rPr>
          <w:rtl/>
        </w:rPr>
        <w:tab/>
        <w:t xml:space="preserve">معاملة الأشخاص مسلوبي الحرية </w:t>
      </w:r>
    </w:p>
    <w:p w14:paraId="27FFB133" w14:textId="08821A47" w:rsidR="00B618A5" w:rsidRPr="00B618A5" w:rsidRDefault="00B618A5" w:rsidP="00B618A5">
      <w:pPr>
        <w:pStyle w:val="SingleTxtGA"/>
        <w:rPr>
          <w:rFonts w:eastAsiaTheme="minorEastAsia"/>
          <w:lang w:val="ar-SA" w:eastAsia="zh-TW" w:bidi="en-GB"/>
        </w:rPr>
      </w:pPr>
      <w:r w:rsidRPr="00BC1017">
        <w:rPr>
          <w:rFonts w:eastAsiaTheme="minorEastAsia"/>
          <w:rtl/>
        </w:rPr>
        <w:t>22</w:t>
      </w:r>
      <w:r w:rsidRPr="00B618A5">
        <w:rPr>
          <w:rFonts w:eastAsiaTheme="minorEastAsia"/>
          <w:rtl/>
        </w:rPr>
        <w:t>-</w:t>
      </w:r>
      <w:r w:rsidRPr="00B618A5">
        <w:rPr>
          <w:rFonts w:eastAsiaTheme="minorEastAsia"/>
          <w:rtl/>
        </w:rPr>
        <w:tab/>
        <w:t>تلاحظ اللجنة الجهود المبذولة لإنفاذ قانون الإجراءات الجنائية الجديد وتحويل إجراءات التحقيق إلى إجراءات اتهامية، شفوية وعلنية، وهو ما يستتبع أيضاً</w:t>
      </w:r>
      <w:r>
        <w:rPr>
          <w:rFonts w:eastAsiaTheme="minorEastAsia"/>
          <w:rtl/>
        </w:rPr>
        <w:t xml:space="preserve"> </w:t>
      </w:r>
      <w:r w:rsidRPr="00B618A5">
        <w:rPr>
          <w:rFonts w:eastAsiaTheme="minorEastAsia"/>
          <w:rtl/>
        </w:rPr>
        <w:t>تقديم ضمانات وإشراك</w:t>
      </w:r>
      <w:r>
        <w:rPr>
          <w:rFonts w:eastAsiaTheme="minorEastAsia"/>
          <w:rtl/>
        </w:rPr>
        <w:t xml:space="preserve"> </w:t>
      </w:r>
      <w:r w:rsidRPr="00B618A5">
        <w:rPr>
          <w:rFonts w:eastAsiaTheme="minorEastAsia"/>
          <w:rtl/>
        </w:rPr>
        <w:t>الضحايا في الإجراءات. وتلاحظ اللجنة أيضاً الجهود المبذولة للحد من اكتظاظ السجون، فضلاً عن مشروع الخطة القائمة على</w:t>
      </w:r>
      <w:r w:rsidR="00522E36">
        <w:rPr>
          <w:rFonts w:eastAsiaTheme="minorEastAsia" w:hint="cs"/>
          <w:rtl/>
        </w:rPr>
        <w:t> </w:t>
      </w:r>
      <w:r w:rsidRPr="00B618A5">
        <w:rPr>
          <w:rFonts w:eastAsiaTheme="minorEastAsia"/>
          <w:rtl/>
        </w:rPr>
        <w:t xml:space="preserve">حقوق الإنسان والمراعية للمنظور </w:t>
      </w:r>
      <w:proofErr w:type="spellStart"/>
      <w:r w:rsidRPr="00B618A5">
        <w:rPr>
          <w:rFonts w:eastAsiaTheme="minorEastAsia"/>
          <w:rtl/>
        </w:rPr>
        <w:t>الجنساني</w:t>
      </w:r>
      <w:proofErr w:type="spellEnd"/>
      <w:r w:rsidRPr="00B618A5">
        <w:rPr>
          <w:rFonts w:eastAsiaTheme="minorEastAsia"/>
          <w:rtl/>
        </w:rPr>
        <w:t xml:space="preserve"> لمكافحة معاودة الإجرام وتعزيز إعادة الإدماج التي قدمها</w:t>
      </w:r>
      <w:r w:rsidR="00522E36">
        <w:rPr>
          <w:rFonts w:eastAsiaTheme="minorEastAsia" w:hint="cs"/>
          <w:rtl/>
        </w:rPr>
        <w:t> </w:t>
      </w:r>
      <w:r w:rsidRPr="00B618A5">
        <w:rPr>
          <w:rFonts w:eastAsiaTheme="minorEastAsia"/>
          <w:rtl/>
        </w:rPr>
        <w:t>المفوض البرلماني لشؤون السجون إلى البرلمان. غير أن اللجنة تشعر بالقلق إزاء التقارير الواردة</w:t>
      </w:r>
      <w:r w:rsidR="00522E36">
        <w:rPr>
          <w:rFonts w:eastAsiaTheme="minorEastAsia" w:hint="cs"/>
          <w:rtl/>
        </w:rPr>
        <w:t> </w:t>
      </w:r>
      <w:r w:rsidRPr="00B618A5">
        <w:rPr>
          <w:rFonts w:eastAsiaTheme="minorEastAsia"/>
          <w:rtl/>
        </w:rPr>
        <w:t>بشأن ما يلي</w:t>
      </w:r>
      <w:r w:rsidRPr="00B618A5">
        <w:rPr>
          <w:rFonts w:eastAsiaTheme="minorEastAsia"/>
        </w:rPr>
        <w:t>:</w:t>
      </w:r>
      <w:r w:rsidRPr="00B618A5">
        <w:rPr>
          <w:rFonts w:eastAsiaTheme="minorEastAsia"/>
          <w:rtl/>
        </w:rPr>
        <w:t xml:space="preserve"> </w:t>
      </w:r>
    </w:p>
    <w:p w14:paraId="173DC407" w14:textId="74EE310C"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t>ارتفاع وزيادة عدد</w:t>
      </w:r>
      <w:r w:rsidR="00B618A5">
        <w:rPr>
          <w:rFonts w:eastAsiaTheme="minorEastAsia"/>
          <w:rtl/>
        </w:rPr>
        <w:t xml:space="preserve"> </w:t>
      </w:r>
      <w:r w:rsidR="00B618A5" w:rsidRPr="00B618A5">
        <w:rPr>
          <w:rFonts w:eastAsiaTheme="minorEastAsia"/>
          <w:rtl/>
        </w:rPr>
        <w:t xml:space="preserve">الأشخاص مسلوبي الحرية في الدولة الطرف، لا سيما الزيادة الحادة في عدد النساء اللائي سلبت حريتهن في السنوات الأخيرة، وتركيبة نزلاء السجون حيث يبلغ عدد المدانين </w:t>
      </w:r>
      <w:r w:rsidR="00B618A5" w:rsidRPr="00BC1017">
        <w:rPr>
          <w:rFonts w:eastAsiaTheme="minorEastAsia"/>
          <w:rtl/>
        </w:rPr>
        <w:t>33</w:t>
      </w:r>
      <w:r w:rsidR="00B618A5" w:rsidRPr="00B618A5">
        <w:rPr>
          <w:rFonts w:eastAsiaTheme="minorEastAsia"/>
          <w:rtl/>
        </w:rPr>
        <w:t xml:space="preserve"> في المائة فقط، مقابل </w:t>
      </w:r>
      <w:r w:rsidR="00B618A5" w:rsidRPr="00BC1017">
        <w:rPr>
          <w:rFonts w:eastAsiaTheme="minorEastAsia"/>
          <w:rtl/>
        </w:rPr>
        <w:t>67</w:t>
      </w:r>
      <w:r w:rsidR="00B618A5" w:rsidRPr="00B618A5">
        <w:rPr>
          <w:rFonts w:eastAsiaTheme="minorEastAsia"/>
          <w:rtl/>
        </w:rPr>
        <w:t xml:space="preserve"> في المائة من الأشخاص رهن الحبس الاحتياطي المودعين</w:t>
      </w:r>
      <w:r w:rsidR="00B618A5">
        <w:rPr>
          <w:rFonts w:eastAsiaTheme="minorEastAsia"/>
          <w:rtl/>
        </w:rPr>
        <w:t xml:space="preserve"> </w:t>
      </w:r>
      <w:r w:rsidR="00B618A5" w:rsidRPr="00B618A5">
        <w:rPr>
          <w:rFonts w:eastAsiaTheme="minorEastAsia"/>
          <w:rtl/>
        </w:rPr>
        <w:t xml:space="preserve">في السجن لفترات طويلة إلى جانب المدانين، وهو ما يتعارض مع العهد؛ </w:t>
      </w:r>
    </w:p>
    <w:p w14:paraId="3795F37F" w14:textId="59C27DA5"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t>الزيادة الهائلة في عدد الوفيات أثناء الاحتجاز؛</w:t>
      </w:r>
    </w:p>
    <w:p w14:paraId="0EAB1666" w14:textId="6077C11E"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t xml:space="preserve">معدل شغل السجون الذي يبلغ </w:t>
      </w:r>
      <w:r w:rsidR="00B618A5" w:rsidRPr="00BC1017">
        <w:rPr>
          <w:rFonts w:eastAsiaTheme="minorEastAsia"/>
          <w:rtl/>
        </w:rPr>
        <w:t>135</w:t>
      </w:r>
      <w:r w:rsidR="00B618A5" w:rsidRPr="00B618A5">
        <w:rPr>
          <w:rFonts w:eastAsiaTheme="minorEastAsia"/>
          <w:rtl/>
        </w:rPr>
        <w:t xml:space="preserve"> في المائة، وعدم كفاية التدابير المتخذة لإعادة الإدماج وإعادة التأهيل، وهو ما يفسر ثبات هذه النسبة؛ </w:t>
      </w:r>
    </w:p>
    <w:p w14:paraId="7D623C98" w14:textId="536B4538" w:rsidR="00BB5724" w:rsidRPr="00BB5724" w:rsidRDefault="00401692" w:rsidP="00B618A5">
      <w:pPr>
        <w:pStyle w:val="SingleTxtGA"/>
        <w:rPr>
          <w:rFonts w:eastAsiaTheme="minorEastAsia"/>
          <w:lang w:eastAsia="zh-TW" w:bidi="en-GB"/>
        </w:rPr>
      </w:pPr>
      <w:r>
        <w:rPr>
          <w:rFonts w:eastAsiaTheme="minorEastAsia"/>
          <w:rtl/>
        </w:rPr>
        <w:tab/>
        <w:t>(</w:t>
      </w:r>
      <w:r w:rsidR="00B618A5" w:rsidRPr="00B618A5">
        <w:rPr>
          <w:rFonts w:eastAsiaTheme="minorEastAsia"/>
          <w:rtl/>
        </w:rPr>
        <w:t>د)</w:t>
      </w:r>
      <w:r w:rsidR="00B618A5" w:rsidRPr="00B618A5">
        <w:rPr>
          <w:rFonts w:eastAsiaTheme="minorEastAsia"/>
          <w:rtl/>
        </w:rPr>
        <w:tab/>
        <w:t>بعض التعديلات التي أدخلت على الإطار المعياري المتعلق بالمراهقين المخالفين للقانون</w:t>
      </w:r>
      <w:r w:rsidR="00B618A5">
        <w:rPr>
          <w:rFonts w:eastAsiaTheme="minorEastAsia"/>
          <w:rtl/>
        </w:rPr>
        <w:t xml:space="preserve"> </w:t>
      </w:r>
      <w:r w:rsidR="00B618A5" w:rsidRPr="00B618A5">
        <w:rPr>
          <w:rFonts w:eastAsiaTheme="minorEastAsia"/>
          <w:rtl/>
        </w:rPr>
        <w:t>لا سيما التعديلات التي تقوّض مبدأي الإيجاز والطابع الاستثنائي لسلب الحرية، والتعديلات التي تفرض السجن كإجراء احترازي، والتعديلات التي تتيح</w:t>
      </w:r>
      <w:r w:rsidR="00B618A5">
        <w:rPr>
          <w:rFonts w:eastAsiaTheme="minorEastAsia"/>
          <w:rtl/>
        </w:rPr>
        <w:t xml:space="preserve"> </w:t>
      </w:r>
      <w:r w:rsidR="00B618A5" w:rsidRPr="00B618A5">
        <w:rPr>
          <w:rFonts w:eastAsiaTheme="minorEastAsia"/>
          <w:rtl/>
        </w:rPr>
        <w:t xml:space="preserve">إمكانية تطبيق الإجراء المستعجل والإجراء المبسط الجديد. وتوفر هذه التعديلات ضمانات أقل من المحاكمة الشفوية وفرصاً قليلة للتحدث إلى محام، وتضاعف العقوبات على الجرائم الخطيرة جداً التي يمكن أن تصل إلى السجن لمدة تتراوح بين سنتين وعشر سنوات (المواد </w:t>
      </w:r>
      <w:r w:rsidR="00B618A5" w:rsidRPr="00BC1017">
        <w:rPr>
          <w:rFonts w:eastAsiaTheme="minorEastAsia"/>
          <w:rtl/>
        </w:rPr>
        <w:t>2</w:t>
      </w:r>
      <w:r w:rsidR="00B618A5" w:rsidRPr="00B618A5">
        <w:rPr>
          <w:rFonts w:eastAsiaTheme="minorEastAsia"/>
          <w:rtl/>
        </w:rPr>
        <w:t xml:space="preserve"> و</w:t>
      </w:r>
      <w:r w:rsidR="00B618A5" w:rsidRPr="00BC1017">
        <w:rPr>
          <w:rFonts w:eastAsiaTheme="minorEastAsia"/>
          <w:rtl/>
        </w:rPr>
        <w:t>6</w:t>
      </w:r>
      <w:r w:rsidR="00B618A5" w:rsidRPr="00B618A5">
        <w:rPr>
          <w:rFonts w:eastAsiaTheme="minorEastAsia"/>
          <w:rtl/>
        </w:rPr>
        <w:t xml:space="preserve"> و</w:t>
      </w:r>
      <w:r w:rsidR="00B618A5" w:rsidRPr="00BC1017">
        <w:rPr>
          <w:rFonts w:eastAsiaTheme="minorEastAsia"/>
          <w:rtl/>
        </w:rPr>
        <w:t>7</w:t>
      </w:r>
      <w:r w:rsidR="00B618A5" w:rsidRPr="00B618A5">
        <w:rPr>
          <w:rFonts w:eastAsiaTheme="minorEastAsia"/>
          <w:rtl/>
        </w:rPr>
        <w:t xml:space="preserve"> و</w:t>
      </w:r>
      <w:r w:rsidR="00B618A5" w:rsidRPr="00BC1017">
        <w:rPr>
          <w:rFonts w:eastAsiaTheme="minorEastAsia"/>
          <w:rtl/>
        </w:rPr>
        <w:t>9</w:t>
      </w:r>
      <w:r w:rsidR="00B618A5" w:rsidRPr="00B618A5">
        <w:rPr>
          <w:rFonts w:eastAsiaTheme="minorEastAsia"/>
          <w:rtl/>
        </w:rPr>
        <w:t xml:space="preserve"> و</w:t>
      </w:r>
      <w:r w:rsidR="00B618A5" w:rsidRPr="00BC1017">
        <w:rPr>
          <w:rFonts w:eastAsiaTheme="minorEastAsia"/>
          <w:rtl/>
        </w:rPr>
        <w:t>10</w:t>
      </w:r>
      <w:r w:rsidR="00B618A5" w:rsidRPr="00B618A5">
        <w:rPr>
          <w:rFonts w:eastAsiaTheme="minorEastAsia"/>
          <w:rtl/>
        </w:rPr>
        <w:t xml:space="preserve"> و</w:t>
      </w:r>
      <w:r w:rsidR="00B618A5" w:rsidRPr="00BC1017">
        <w:rPr>
          <w:rFonts w:eastAsiaTheme="minorEastAsia"/>
          <w:rtl/>
        </w:rPr>
        <w:t>1</w:t>
      </w:r>
      <w:r w:rsidR="00BB5724" w:rsidRPr="00BC1017">
        <w:rPr>
          <w:rFonts w:eastAsiaTheme="minorEastAsia"/>
          <w:rtl/>
        </w:rPr>
        <w:t>4</w:t>
      </w:r>
      <w:r w:rsidR="00BB5724" w:rsidRPr="00BB5724">
        <w:rPr>
          <w:rFonts w:eastAsiaTheme="minorEastAsia"/>
          <w:rtl/>
        </w:rPr>
        <w:t>).</w:t>
      </w:r>
    </w:p>
    <w:p w14:paraId="57C7B647" w14:textId="3CBB7D8B" w:rsidR="00B618A5" w:rsidRPr="00522E36" w:rsidRDefault="00B618A5" w:rsidP="00B618A5">
      <w:pPr>
        <w:pStyle w:val="SingleTxtGA"/>
        <w:rPr>
          <w:rFonts w:eastAsiaTheme="minorEastAsia"/>
          <w:bCs/>
          <w:lang w:val="ar-SA" w:eastAsia="zh-TW" w:bidi="en-GB"/>
        </w:rPr>
      </w:pPr>
      <w:r w:rsidRPr="00BC1017">
        <w:rPr>
          <w:rFonts w:eastAsiaTheme="minorEastAsia"/>
          <w:rtl/>
        </w:rPr>
        <w:t>23</w:t>
      </w:r>
      <w:r w:rsidRPr="00B618A5">
        <w:rPr>
          <w:rFonts w:eastAsiaTheme="minorEastAsia"/>
          <w:rtl/>
        </w:rPr>
        <w:t>-</w:t>
      </w:r>
      <w:r w:rsidRPr="00B618A5">
        <w:rPr>
          <w:rFonts w:eastAsiaTheme="minorEastAsia"/>
          <w:rtl/>
        </w:rPr>
        <w:tab/>
      </w:r>
      <w:r w:rsidRPr="00BC1017">
        <w:rPr>
          <w:rFonts w:eastAsiaTheme="minorEastAsia"/>
          <w:bCs/>
          <w:rtl/>
        </w:rPr>
        <w:t>يتعيّن على الدولة الطرف مضاعفة جهودها من أجل تحقيق ما يلي:</w:t>
      </w:r>
      <w:r w:rsidRPr="00522E36">
        <w:rPr>
          <w:rFonts w:eastAsiaTheme="minorEastAsia"/>
          <w:bCs/>
          <w:rtl/>
        </w:rPr>
        <w:t xml:space="preserve"> </w:t>
      </w:r>
    </w:p>
    <w:p w14:paraId="23A8A633" w14:textId="6DADB6D1"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الحرص على فصل المحتجزين احتياطياً عن السجناء المدانين؛</w:t>
      </w:r>
      <w:r w:rsidR="00B618A5" w:rsidRPr="00522E36">
        <w:rPr>
          <w:rFonts w:eastAsiaTheme="minorEastAsia"/>
          <w:bCs/>
          <w:rtl/>
        </w:rPr>
        <w:t xml:space="preserve"> </w:t>
      </w:r>
    </w:p>
    <w:p w14:paraId="17FCB54B" w14:textId="30736947" w:rsidR="00B618A5" w:rsidRPr="00522E36" w:rsidRDefault="00401692" w:rsidP="00B618A5">
      <w:pPr>
        <w:pStyle w:val="SingleTxtGA"/>
        <w:rPr>
          <w:rFonts w:eastAsiaTheme="minorEastAsia"/>
          <w:bCs/>
          <w:lang w:val="ar-SA" w:eastAsia="zh-TW" w:bidi="en-GB"/>
        </w:rPr>
      </w:pPr>
      <w:r>
        <w:rPr>
          <w:rFonts w:eastAsiaTheme="minorEastAsia"/>
          <w:rtl/>
        </w:rPr>
        <w:lastRenderedPageBreak/>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التأكد من إجراء التحقيق في كل حالة وفاة أثناء الاحتجاز، ومقاضاة الجناة ومعاقبتهم على النحو الواجب في حالة التسبب في الوفاة؛</w:t>
      </w:r>
    </w:p>
    <w:p w14:paraId="54C3ABA7" w14:textId="034FEA32"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 xml:space="preserve">الحد على نحو فعال من الاكتظاظ في السجون، وخفض النسبة المئوية العالية للمحتجزين رهن المحاكمة، وإعطاء الأولوية لاستخدام تدابير بديلة لسلب الحرية، وفقاً لأحكام العهد، ومنح الأفضلية للتدابير الاجتماعية والتثقيفية غير </w:t>
      </w:r>
      <w:proofErr w:type="spellStart"/>
      <w:r w:rsidR="00B618A5" w:rsidRPr="00BC1017">
        <w:rPr>
          <w:rFonts w:eastAsiaTheme="minorEastAsia"/>
          <w:bCs/>
          <w:rtl/>
        </w:rPr>
        <w:t>الاحتجازية</w:t>
      </w:r>
      <w:proofErr w:type="spellEnd"/>
      <w:r w:rsidR="00B618A5" w:rsidRPr="00BC1017">
        <w:rPr>
          <w:rFonts w:eastAsiaTheme="minorEastAsia"/>
          <w:bCs/>
          <w:rtl/>
        </w:rPr>
        <w:t xml:space="preserve"> في حالة النساء اللائي ارتكبن جرائم غير عنيفة؛</w:t>
      </w:r>
    </w:p>
    <w:p w14:paraId="719D025A" w14:textId="1E39A3AA"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د)</w:t>
      </w:r>
      <w:r w:rsidR="00B618A5" w:rsidRPr="00B618A5">
        <w:rPr>
          <w:rFonts w:eastAsiaTheme="minorEastAsia"/>
          <w:rtl/>
        </w:rPr>
        <w:tab/>
      </w:r>
      <w:r w:rsidR="00B618A5" w:rsidRPr="00BC1017">
        <w:rPr>
          <w:rFonts w:eastAsiaTheme="minorEastAsia"/>
          <w:bCs/>
          <w:rtl/>
        </w:rPr>
        <w:t xml:space="preserve">تجنب، قدر الإمكان، احتجاز الأطفال والشباب رهن المحاكمة عن طريق تشجيع استخدام تدابير غير </w:t>
      </w:r>
      <w:proofErr w:type="spellStart"/>
      <w:r w:rsidR="00B618A5" w:rsidRPr="00BC1017">
        <w:rPr>
          <w:rFonts w:eastAsiaTheme="minorEastAsia"/>
          <w:bCs/>
          <w:rtl/>
        </w:rPr>
        <w:t>احتجازية</w:t>
      </w:r>
      <w:proofErr w:type="spellEnd"/>
      <w:r w:rsidR="00B618A5" w:rsidRPr="00BC1017">
        <w:rPr>
          <w:rFonts w:eastAsiaTheme="minorEastAsia"/>
          <w:bCs/>
          <w:rtl/>
        </w:rPr>
        <w:t xml:space="preserve"> تسمح بإعادة تأهيلهم وإعادة إدماجهم في المجتمع، بمراعاة مصالحهم الفضلى، ومواءمة تشريعاتها وممارساتها المتعلقة بالمراهقين المخالفين</w:t>
      </w:r>
      <w:r w:rsidR="00B618A5" w:rsidRPr="00BC1017" w:rsidDel="009455FA">
        <w:rPr>
          <w:rFonts w:eastAsiaTheme="minorEastAsia"/>
          <w:bCs/>
          <w:rtl/>
        </w:rPr>
        <w:t xml:space="preserve"> </w:t>
      </w:r>
      <w:r w:rsidR="00B618A5" w:rsidRPr="00BC1017">
        <w:rPr>
          <w:rFonts w:eastAsiaTheme="minorEastAsia"/>
          <w:bCs/>
          <w:rtl/>
        </w:rPr>
        <w:t>للقانون مع أحكام العهد والمعايير الدولية؛</w:t>
      </w:r>
    </w:p>
    <w:p w14:paraId="2F702AFC" w14:textId="3D6940E3"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هـ)</w:t>
      </w:r>
      <w:r w:rsidR="00B618A5" w:rsidRPr="00B618A5">
        <w:rPr>
          <w:rFonts w:eastAsiaTheme="minorEastAsia"/>
          <w:rtl/>
        </w:rPr>
        <w:tab/>
      </w:r>
      <w:r w:rsidR="00B618A5" w:rsidRPr="00BC1017">
        <w:rPr>
          <w:rFonts w:eastAsiaTheme="minorEastAsia"/>
          <w:bCs/>
          <w:rtl/>
        </w:rPr>
        <w:t xml:space="preserve">تحسين ظروف الاحتجاز بكفالة امتثالها لقواعد الأمم المتحدة النموذجية الدنيا لمعاملة السجناء </w:t>
      </w:r>
      <w:r w:rsidRPr="00BC1017">
        <w:rPr>
          <w:rFonts w:eastAsiaTheme="minorEastAsia"/>
          <w:bCs/>
          <w:rtl/>
        </w:rPr>
        <w:t>(</w:t>
      </w:r>
      <w:r w:rsidR="00B618A5" w:rsidRPr="00BC1017">
        <w:rPr>
          <w:rFonts w:eastAsiaTheme="minorEastAsia"/>
          <w:bCs/>
          <w:rtl/>
        </w:rPr>
        <w:t>قواعد نيلسون مانديلا) وقواعد الأمم المتحدة النموذجية الدنيا لإدارة شؤون قضاء الأحداث (قواعد بيجين</w:t>
      </w:r>
      <w:r w:rsidR="00BB5724" w:rsidRPr="00BC1017">
        <w:rPr>
          <w:rFonts w:eastAsiaTheme="minorEastAsia"/>
          <w:bCs/>
          <w:rtl/>
        </w:rPr>
        <w:t xml:space="preserve">)، </w:t>
      </w:r>
      <w:r w:rsidR="00B618A5" w:rsidRPr="00BC1017">
        <w:rPr>
          <w:rFonts w:eastAsiaTheme="minorEastAsia"/>
          <w:bCs/>
          <w:rtl/>
        </w:rPr>
        <w:t>وأيضاً بكفالة احترام كرامة الأشخاص مسلوبي الحرية، وفقاً للمادة 10 من العهد. وينبغي تحقيقاً لهذه الغاية، تخصيص موارد مالية وبشرية متزايدة ومناسبة.</w:t>
      </w:r>
    </w:p>
    <w:p w14:paraId="7D2DDBC9" w14:textId="77777777" w:rsidR="00B618A5" w:rsidRPr="00B618A5" w:rsidRDefault="00B618A5" w:rsidP="00522E36">
      <w:pPr>
        <w:pStyle w:val="H23GA"/>
        <w:rPr>
          <w:lang w:val="ar-SA" w:eastAsia="zh-TW" w:bidi="en-GB"/>
        </w:rPr>
      </w:pPr>
      <w:r w:rsidRPr="00B618A5">
        <w:rPr>
          <w:rtl/>
        </w:rPr>
        <w:tab/>
      </w:r>
      <w:r w:rsidRPr="00B618A5">
        <w:rPr>
          <w:rtl/>
        </w:rPr>
        <w:tab/>
        <w:t xml:space="preserve">اللجوء إلى القضاء واستقلال السلطة القضائية والحق في محاكمة عادلة </w:t>
      </w:r>
    </w:p>
    <w:p w14:paraId="6355B0D8" w14:textId="445A8EE9" w:rsidR="00B618A5" w:rsidRPr="00B618A5" w:rsidRDefault="00B618A5" w:rsidP="00B618A5">
      <w:pPr>
        <w:pStyle w:val="SingleTxtGA"/>
        <w:rPr>
          <w:rFonts w:eastAsiaTheme="minorEastAsia"/>
          <w:lang w:val="ar-SA" w:eastAsia="zh-TW" w:bidi="en-GB"/>
        </w:rPr>
      </w:pPr>
      <w:r w:rsidRPr="00BC1017">
        <w:rPr>
          <w:rFonts w:eastAsiaTheme="minorEastAsia"/>
          <w:rtl/>
        </w:rPr>
        <w:t>24</w:t>
      </w:r>
      <w:r w:rsidRPr="00B618A5">
        <w:rPr>
          <w:rFonts w:eastAsiaTheme="minorEastAsia"/>
          <w:rtl/>
        </w:rPr>
        <w:t>-</w:t>
      </w:r>
      <w:r w:rsidRPr="00B618A5">
        <w:rPr>
          <w:rFonts w:eastAsiaTheme="minorEastAsia"/>
          <w:rtl/>
        </w:rPr>
        <w:tab/>
        <w:t xml:space="preserve">تلاحظ اللجنة بارتياح أن الدولة الطرف تعكف على إصلاح النظام القضائي وقد وفرت موارد إضافية للنيابة العامة وكفلت استقلاليتها. ومع ذلك، يساورها القلق لأن هيئات الدفاع العام لا تزال تعتمد على الجهاز القضائي من حيث التسلسل الهرمي والميزانية، ولأنها تفتقر إلى الموارد اللازمة للاضطلاع بمهامها التمثيلية بفعالية، ولأن عدد محامي المساعدة القضائية ليس بالكبير لكي يغطي جميع المناطق على نحو كاف. ويساورها القلق كذلك إزاء التقارير الواردة بشأن تقديم شكاوى متعددة تتعلق بعنف الشرطة ضد الأشخاص المحتجزين وإزاء عدم التحقيق في أعمال العنف تلك وعدم المعاقبة عليها على النحو المناسب (المادتان </w:t>
      </w:r>
      <w:r w:rsidRPr="00BC1017">
        <w:rPr>
          <w:rFonts w:eastAsiaTheme="minorEastAsia"/>
          <w:rtl/>
        </w:rPr>
        <w:t>2</w:t>
      </w:r>
      <w:r w:rsidRPr="00B618A5">
        <w:rPr>
          <w:rFonts w:eastAsiaTheme="minorEastAsia"/>
          <w:rtl/>
        </w:rPr>
        <w:t xml:space="preserve"> و</w:t>
      </w:r>
      <w:r w:rsidRPr="00BC1017">
        <w:rPr>
          <w:rFonts w:eastAsiaTheme="minorEastAsia"/>
          <w:rtl/>
        </w:rPr>
        <w:t>1</w:t>
      </w:r>
      <w:r w:rsidR="00BB5724" w:rsidRPr="00BC1017">
        <w:rPr>
          <w:rFonts w:eastAsiaTheme="minorEastAsia"/>
          <w:rtl/>
        </w:rPr>
        <w:t>4</w:t>
      </w:r>
      <w:r w:rsidR="00BB5724" w:rsidRPr="00BB5724">
        <w:rPr>
          <w:rFonts w:eastAsiaTheme="minorEastAsia"/>
          <w:rtl/>
        </w:rPr>
        <w:t xml:space="preserve">). </w:t>
      </w:r>
    </w:p>
    <w:p w14:paraId="696E2E00" w14:textId="77777777" w:rsidR="00B618A5" w:rsidRPr="00BC1017" w:rsidRDefault="00B618A5" w:rsidP="00B618A5">
      <w:pPr>
        <w:pStyle w:val="SingleTxtGA"/>
        <w:rPr>
          <w:rFonts w:eastAsiaTheme="minorEastAsia"/>
          <w:bCs/>
          <w:lang w:eastAsia="zh-TW" w:bidi="en-GB"/>
        </w:rPr>
      </w:pPr>
      <w:r w:rsidRPr="00BC1017">
        <w:rPr>
          <w:rFonts w:eastAsiaTheme="minorEastAsia"/>
          <w:rtl/>
        </w:rPr>
        <w:t>25</w:t>
      </w:r>
      <w:r w:rsidRPr="00B618A5">
        <w:rPr>
          <w:rFonts w:eastAsiaTheme="minorEastAsia"/>
          <w:rtl/>
        </w:rPr>
        <w:t>-</w:t>
      </w:r>
      <w:r w:rsidRPr="00B618A5">
        <w:rPr>
          <w:rFonts w:eastAsiaTheme="minorEastAsia"/>
          <w:rtl/>
        </w:rPr>
        <w:tab/>
      </w:r>
      <w:r w:rsidRPr="00BC1017">
        <w:rPr>
          <w:rFonts w:eastAsiaTheme="minorEastAsia"/>
          <w:bCs/>
          <w:rtl/>
        </w:rPr>
        <w:t>ينبغي للدولة الطرف القيام بما يلي:</w:t>
      </w:r>
    </w:p>
    <w:p w14:paraId="42E7A68B" w14:textId="7C4264A3" w:rsidR="00B618A5" w:rsidRPr="00BC1017" w:rsidRDefault="00401692" w:rsidP="00B618A5">
      <w:pPr>
        <w:pStyle w:val="SingleTxtGA"/>
        <w:rPr>
          <w:rFonts w:eastAsiaTheme="minorEastAsia"/>
          <w:bCs/>
          <w:lang w:val="ar-SA" w:eastAsia="zh-TW" w:bidi="en-GB"/>
        </w:rPr>
      </w:pPr>
      <w:r w:rsidRPr="00BC1017">
        <w:rPr>
          <w:rFonts w:eastAsiaTheme="minorEastAsia"/>
          <w:b/>
          <w:rtl/>
        </w:rPr>
        <w:tab/>
        <w:t>(</w:t>
      </w:r>
      <w:r w:rsidR="00B618A5" w:rsidRPr="00BC1017">
        <w:rPr>
          <w:rFonts w:eastAsiaTheme="minorEastAsia"/>
          <w:b/>
          <w:rtl/>
        </w:rPr>
        <w:t>أ)</w:t>
      </w:r>
      <w:r w:rsidR="00B618A5" w:rsidRPr="00BC1017">
        <w:rPr>
          <w:rFonts w:eastAsiaTheme="minorEastAsia"/>
          <w:b/>
          <w:rtl/>
        </w:rPr>
        <w:tab/>
      </w:r>
      <w:r w:rsidR="00B618A5" w:rsidRPr="00BC1017">
        <w:rPr>
          <w:rFonts w:eastAsiaTheme="minorEastAsia"/>
          <w:bCs/>
          <w:rtl/>
        </w:rPr>
        <w:t>ضمان استقلالية التسلسل الهرمي والميزانية لهيئات الدفاع العام عن الجهاز القضائي، والتأكد من امتلاك تلك الهيئات موارد مالية وتقنية وبشرية كافية للقيام بمهمتها على نحو ملائم وفي الوقت المناسب في جميع أنحاء الإقليم، وفق</w:t>
      </w:r>
      <w:r w:rsidR="009344CE" w:rsidRPr="00BC1017">
        <w:rPr>
          <w:rFonts w:eastAsiaTheme="minorEastAsia"/>
          <w:bCs/>
          <w:rtl/>
        </w:rPr>
        <w:t xml:space="preserve">اً </w:t>
      </w:r>
      <w:r w:rsidR="00B618A5" w:rsidRPr="00BC1017">
        <w:rPr>
          <w:rFonts w:eastAsiaTheme="minorEastAsia"/>
          <w:bCs/>
          <w:rtl/>
        </w:rPr>
        <w:t xml:space="preserve">للمعايير الدولية المعمول بها في مجالي الإجراءات القانونية الواجبة والمحاكمة العادلة؛ </w:t>
      </w:r>
    </w:p>
    <w:p w14:paraId="4BECF597" w14:textId="15C9B91A"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ضمان إجراء تحقيقات شاملة في جميع حالات أعمال عنف الشرطة على وجه السرعة ومعاقبة مرتكبيها.</w:t>
      </w:r>
    </w:p>
    <w:p w14:paraId="5C968C8D" w14:textId="2F19D436" w:rsidR="00B618A5" w:rsidRPr="00B618A5" w:rsidRDefault="00B618A5" w:rsidP="00522E36">
      <w:pPr>
        <w:pStyle w:val="H23GA"/>
        <w:rPr>
          <w:lang w:val="ar-SA" w:eastAsia="zh-TW" w:bidi="en-GB"/>
        </w:rPr>
      </w:pPr>
      <w:r w:rsidRPr="00B618A5">
        <w:rPr>
          <w:rtl/>
        </w:rPr>
        <w:tab/>
      </w:r>
      <w:r w:rsidRPr="00B618A5">
        <w:rPr>
          <w:rtl/>
        </w:rPr>
        <w:tab/>
        <w:t>انتهاكات حقوق الإنسان في الفترة ما بين عامي</w:t>
      </w:r>
      <w:r>
        <w:rPr>
          <w:rtl/>
        </w:rPr>
        <w:t xml:space="preserve"> </w:t>
      </w:r>
      <w:r w:rsidRPr="00BC1017">
        <w:rPr>
          <w:rtl/>
        </w:rPr>
        <w:t>1968</w:t>
      </w:r>
      <w:r w:rsidRPr="00B618A5">
        <w:rPr>
          <w:rtl/>
        </w:rPr>
        <w:t xml:space="preserve"> و</w:t>
      </w:r>
      <w:r w:rsidRPr="00BC1017">
        <w:rPr>
          <w:rtl/>
        </w:rPr>
        <w:t>1985</w:t>
      </w:r>
    </w:p>
    <w:p w14:paraId="21CD4814" w14:textId="53DE267E" w:rsidR="00BB5724" w:rsidRPr="00BB5724" w:rsidRDefault="00B618A5" w:rsidP="00B618A5">
      <w:pPr>
        <w:pStyle w:val="SingleTxtGA"/>
        <w:rPr>
          <w:rFonts w:eastAsiaTheme="minorEastAsia"/>
          <w:lang w:val="ar-SA" w:eastAsia="zh-TW" w:bidi="en-GB"/>
        </w:rPr>
      </w:pPr>
      <w:r w:rsidRPr="00BC1017">
        <w:rPr>
          <w:rFonts w:eastAsiaTheme="minorEastAsia"/>
          <w:rtl/>
        </w:rPr>
        <w:t>26</w:t>
      </w:r>
      <w:r w:rsidRPr="00B618A5">
        <w:rPr>
          <w:rFonts w:eastAsiaTheme="minorEastAsia"/>
          <w:rtl/>
        </w:rPr>
        <w:t>-</w:t>
      </w:r>
      <w:r w:rsidRPr="00B618A5">
        <w:rPr>
          <w:rFonts w:eastAsiaTheme="minorEastAsia"/>
          <w:rtl/>
        </w:rPr>
        <w:tab/>
        <w:t xml:space="preserve">ترحب اللجنة بإنشاء مجموعة العمل المعنية بتقصي الحقائق وإقامة العدل التي تتولى مهمة وضع حد للإفلات من العقاب على الجرائم المرتكبة بين عامي </w:t>
      </w:r>
      <w:r w:rsidRPr="00BC1017">
        <w:rPr>
          <w:rFonts w:eastAsiaTheme="minorEastAsia"/>
          <w:rtl/>
        </w:rPr>
        <w:t>1968</w:t>
      </w:r>
      <w:r w:rsidRPr="00B618A5">
        <w:rPr>
          <w:rFonts w:eastAsiaTheme="minorEastAsia"/>
          <w:rtl/>
        </w:rPr>
        <w:t xml:space="preserve"> و</w:t>
      </w:r>
      <w:r w:rsidRPr="00BC1017">
        <w:rPr>
          <w:rFonts w:eastAsiaTheme="minorEastAsia"/>
          <w:rtl/>
        </w:rPr>
        <w:t>1985</w:t>
      </w:r>
      <w:r w:rsidRPr="00B618A5">
        <w:rPr>
          <w:rFonts w:eastAsiaTheme="minorEastAsia"/>
          <w:rtl/>
        </w:rPr>
        <w:t xml:space="preserve">، والنيابة العامة المختصة في الجرائم ضد الإنسانية التي ارتكبت بين عامي </w:t>
      </w:r>
      <w:r w:rsidRPr="00BC1017">
        <w:rPr>
          <w:rFonts w:eastAsiaTheme="minorEastAsia"/>
          <w:rtl/>
        </w:rPr>
        <w:t>1973</w:t>
      </w:r>
      <w:r w:rsidRPr="00B618A5">
        <w:rPr>
          <w:rFonts w:eastAsiaTheme="minorEastAsia"/>
          <w:rtl/>
        </w:rPr>
        <w:t xml:space="preserve"> و</w:t>
      </w:r>
      <w:r w:rsidRPr="00BC1017">
        <w:rPr>
          <w:rFonts w:eastAsiaTheme="minorEastAsia"/>
          <w:rtl/>
        </w:rPr>
        <w:t>1985</w:t>
      </w:r>
      <w:r w:rsidRPr="00B618A5">
        <w:rPr>
          <w:rFonts w:eastAsiaTheme="minorEastAsia"/>
          <w:rtl/>
        </w:rPr>
        <w:t xml:space="preserve">؛ بيد أن اللجنة تأسف لقلة المعلومات المقدمة عن نتائج التحقيقات التي أجرتها النيابة العامة. وتلاحظ بقلق أن الضحايا لم يحصلوا على الجبر الكامل وأن مفهوم الضحية هو مفهوم تقييدي للغاية ولا يشمل الأقارب (المواد </w:t>
      </w:r>
      <w:r w:rsidRPr="00BC1017">
        <w:rPr>
          <w:rFonts w:eastAsiaTheme="minorEastAsia"/>
          <w:rtl/>
        </w:rPr>
        <w:t>2</w:t>
      </w:r>
      <w:r w:rsidRPr="00B618A5">
        <w:rPr>
          <w:rFonts w:eastAsiaTheme="minorEastAsia"/>
          <w:rtl/>
        </w:rPr>
        <w:t xml:space="preserve"> و</w:t>
      </w:r>
      <w:r w:rsidRPr="00BC1017">
        <w:rPr>
          <w:rFonts w:eastAsiaTheme="minorEastAsia"/>
          <w:rtl/>
        </w:rPr>
        <w:t>6</w:t>
      </w:r>
      <w:r w:rsidRPr="00B618A5">
        <w:rPr>
          <w:rFonts w:eastAsiaTheme="minorEastAsia"/>
          <w:rtl/>
        </w:rPr>
        <w:t xml:space="preserve"> و</w:t>
      </w:r>
      <w:r w:rsidRPr="00BC1017">
        <w:rPr>
          <w:rFonts w:eastAsiaTheme="minorEastAsia"/>
          <w:rtl/>
        </w:rPr>
        <w:t>7</w:t>
      </w:r>
      <w:r w:rsidRPr="00B618A5">
        <w:rPr>
          <w:rFonts w:eastAsiaTheme="minorEastAsia"/>
          <w:rtl/>
        </w:rPr>
        <w:t xml:space="preserve"> و</w:t>
      </w:r>
      <w:r w:rsidRPr="00BC1017">
        <w:rPr>
          <w:rFonts w:eastAsiaTheme="minorEastAsia"/>
          <w:rtl/>
        </w:rPr>
        <w:t>9</w:t>
      </w:r>
      <w:r w:rsidRPr="00B618A5">
        <w:rPr>
          <w:rFonts w:eastAsiaTheme="minorEastAsia"/>
          <w:rtl/>
        </w:rPr>
        <w:t xml:space="preserve"> و</w:t>
      </w:r>
      <w:r w:rsidRPr="00BC1017">
        <w:rPr>
          <w:rFonts w:eastAsiaTheme="minorEastAsia"/>
          <w:rtl/>
        </w:rPr>
        <w:t>1</w:t>
      </w:r>
      <w:r w:rsidR="00BB5724" w:rsidRPr="00BC1017">
        <w:rPr>
          <w:rFonts w:eastAsiaTheme="minorEastAsia"/>
          <w:rtl/>
        </w:rPr>
        <w:t>4</w:t>
      </w:r>
      <w:r w:rsidR="00BB5724" w:rsidRPr="00BB5724">
        <w:rPr>
          <w:rFonts w:eastAsiaTheme="minorEastAsia"/>
          <w:rtl/>
        </w:rPr>
        <w:t>).</w:t>
      </w:r>
    </w:p>
    <w:p w14:paraId="50FF2708" w14:textId="28E5F9E6" w:rsidR="00B618A5" w:rsidRPr="00522E36" w:rsidRDefault="00B618A5" w:rsidP="00B618A5">
      <w:pPr>
        <w:pStyle w:val="SingleTxtGA"/>
        <w:rPr>
          <w:rFonts w:eastAsiaTheme="minorEastAsia"/>
          <w:bCs/>
          <w:lang w:val="ar-SA" w:eastAsia="zh-TW" w:bidi="en-GB"/>
        </w:rPr>
      </w:pPr>
      <w:r w:rsidRPr="00BC1017">
        <w:rPr>
          <w:rFonts w:eastAsiaTheme="minorEastAsia"/>
          <w:rtl/>
        </w:rPr>
        <w:lastRenderedPageBreak/>
        <w:t>27</w:t>
      </w:r>
      <w:r w:rsidRPr="00B618A5">
        <w:rPr>
          <w:rFonts w:eastAsiaTheme="minorEastAsia"/>
          <w:rtl/>
        </w:rPr>
        <w:t>-</w:t>
      </w:r>
      <w:r w:rsidRPr="00B618A5">
        <w:rPr>
          <w:rFonts w:eastAsiaTheme="minorEastAsia"/>
          <w:rtl/>
        </w:rPr>
        <w:tab/>
      </w:r>
      <w:r w:rsidRPr="00BC1017">
        <w:rPr>
          <w:rFonts w:eastAsiaTheme="minorEastAsia"/>
          <w:bCs/>
          <w:rtl/>
        </w:rPr>
        <w:t>ينبغي للدولة الطرف أن تضاعف جهودها لإعمال الحق في تقصي الحقائق وإقامة العدل والجبر الكامل لضحايا الانتهاكات الجسيمة لحقوق الإنسان التي ارتكبت بين عامي 1968 و198</w:t>
      </w:r>
      <w:r w:rsidR="00BB5724" w:rsidRPr="00BC1017">
        <w:rPr>
          <w:rFonts w:eastAsiaTheme="minorEastAsia"/>
          <w:bCs/>
          <w:rtl/>
        </w:rPr>
        <w:t>5.</w:t>
      </w:r>
      <w:r w:rsidR="00BB5724" w:rsidRPr="00BB5724">
        <w:rPr>
          <w:rFonts w:eastAsiaTheme="minorEastAsia"/>
          <w:bCs/>
          <w:rtl/>
        </w:rPr>
        <w:t xml:space="preserve"> </w:t>
      </w:r>
      <w:r w:rsidRPr="00BC1017">
        <w:rPr>
          <w:rFonts w:eastAsiaTheme="minorEastAsia"/>
          <w:bCs/>
          <w:rtl/>
        </w:rPr>
        <w:t>وعلى وجه الخصوص، ينبغي لها أن تكفل، في أقرب وقت، ما يلي:</w:t>
      </w:r>
      <w:r w:rsidRPr="00522E36">
        <w:rPr>
          <w:rFonts w:eastAsiaTheme="minorEastAsia"/>
          <w:bCs/>
          <w:rtl/>
        </w:rPr>
        <w:t xml:space="preserve"> </w:t>
      </w:r>
    </w:p>
    <w:p w14:paraId="678933B2" w14:textId="7804E9BA"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نشر تقرير مجموعة العمل المعنية بتقصي الحقائق وإقامة العدل على نطاق أوسع وتنفيذ جميع توصياتها تنفيذاً كاملاً؛</w:t>
      </w:r>
      <w:r w:rsidR="00B618A5" w:rsidRPr="00522E36">
        <w:rPr>
          <w:rFonts w:eastAsiaTheme="minorEastAsia"/>
          <w:bCs/>
          <w:rtl/>
        </w:rPr>
        <w:t xml:space="preserve"> </w:t>
      </w:r>
    </w:p>
    <w:p w14:paraId="1591330C" w14:textId="38F2A03C"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إحراز تقدم في إجراءات التحقيق في الحالات المتبقية بشأن جميع مزاعم انتهاكات حقوق الإنسان المرتكبة بين عامي 1968 و1985، والمضي قدماً في إجراءات البحث عن المفقودين أو القتلى وفي التعرف على رفات الهالكين، وتقديم الجناة إلى العدالة وفرض العقوبات المناسبة؛</w:t>
      </w:r>
    </w:p>
    <w:p w14:paraId="7E5FFEBD" w14:textId="65B8043B"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إعمال الحق في التعويض الكامل لجميع الضحايا، بمن فيهم أقاربهم.</w:t>
      </w:r>
      <w:r w:rsidR="00B618A5" w:rsidRPr="00522E36">
        <w:rPr>
          <w:rFonts w:eastAsiaTheme="minorEastAsia"/>
          <w:bCs/>
          <w:rtl/>
        </w:rPr>
        <w:t xml:space="preserve"> </w:t>
      </w:r>
    </w:p>
    <w:p w14:paraId="43BC9F62" w14:textId="77777777" w:rsidR="00B618A5" w:rsidRPr="00B618A5" w:rsidRDefault="00B618A5" w:rsidP="00522E36">
      <w:pPr>
        <w:pStyle w:val="H23GA"/>
        <w:rPr>
          <w:lang w:val="ar-SA" w:eastAsia="zh-TW" w:bidi="en-GB"/>
        </w:rPr>
      </w:pPr>
      <w:r w:rsidRPr="00B618A5">
        <w:rPr>
          <w:rtl/>
        </w:rPr>
        <w:tab/>
      </w:r>
      <w:r w:rsidRPr="00B618A5">
        <w:rPr>
          <w:rtl/>
        </w:rPr>
        <w:tab/>
        <w:t>المهاجرون واللاجئون وعديمو الجنسية وملتمسو اللجوء</w:t>
      </w:r>
    </w:p>
    <w:p w14:paraId="363B3CDB" w14:textId="77777777" w:rsidR="00B618A5" w:rsidRPr="00B618A5" w:rsidRDefault="00B618A5" w:rsidP="00B618A5">
      <w:pPr>
        <w:pStyle w:val="SingleTxtGA"/>
        <w:rPr>
          <w:rFonts w:eastAsiaTheme="minorEastAsia"/>
          <w:lang w:val="ar-SA" w:eastAsia="zh-TW" w:bidi="en-GB"/>
        </w:rPr>
      </w:pPr>
      <w:r w:rsidRPr="00BC1017">
        <w:rPr>
          <w:rFonts w:eastAsiaTheme="minorEastAsia"/>
          <w:rtl/>
        </w:rPr>
        <w:t>28</w:t>
      </w:r>
      <w:r w:rsidRPr="00B618A5">
        <w:rPr>
          <w:rFonts w:eastAsiaTheme="minorEastAsia"/>
          <w:rtl/>
        </w:rPr>
        <w:t>-</w:t>
      </w:r>
      <w:r w:rsidRPr="00B618A5">
        <w:rPr>
          <w:rFonts w:eastAsiaTheme="minorEastAsia"/>
          <w:rtl/>
        </w:rPr>
        <w:tab/>
        <w:t xml:space="preserve">ترحب اللجنة بالجهود التي تبذلها الدولة الطرف لصالح اللاجئين وملتمسي اللجوء وعديمي الجنسية، لا سيما اعتماد القانون رقم </w:t>
      </w:r>
      <w:r w:rsidRPr="00BC1017">
        <w:rPr>
          <w:rFonts w:eastAsiaTheme="minorEastAsia"/>
          <w:rtl/>
        </w:rPr>
        <w:t>19</w:t>
      </w:r>
      <w:r w:rsidRPr="00B618A5">
        <w:rPr>
          <w:rFonts w:eastAsiaTheme="minorEastAsia"/>
          <w:rtl/>
        </w:rPr>
        <w:t>-</w:t>
      </w:r>
      <w:r w:rsidRPr="00BC1017">
        <w:rPr>
          <w:rFonts w:eastAsiaTheme="minorEastAsia"/>
          <w:rtl/>
        </w:rPr>
        <w:t>682</w:t>
      </w:r>
      <w:r w:rsidRPr="00B618A5">
        <w:rPr>
          <w:rFonts w:eastAsiaTheme="minorEastAsia"/>
          <w:rtl/>
        </w:rPr>
        <w:t xml:space="preserve"> بشأن تحديد وضع الأشخاص عديمي الجنسية وحمايتهم. غير أنها تأسف لعدم تنفيذ سياسة شاملة للهجرة تضمن الإدماج الكامل للاجئين وملتمسي اللجوء، وكفالة حقوقهم في الصحة والسكن والعمل. ويساورها القلق إزاء ما يلي:</w:t>
      </w:r>
    </w:p>
    <w:p w14:paraId="199A77A0" w14:textId="658A84E6" w:rsidR="00B618A5" w:rsidRPr="00BB5724" w:rsidRDefault="00401692" w:rsidP="00B618A5">
      <w:pPr>
        <w:pStyle w:val="SingleTxtGA"/>
        <w:rPr>
          <w:rFonts w:eastAsiaTheme="minorEastAsia"/>
          <w:lang w:val="en-US"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t>الافتقار إلى تدابير ترمي إلى توفير</w:t>
      </w:r>
      <w:r w:rsidR="0066510D">
        <w:rPr>
          <w:rFonts w:eastAsiaTheme="minorEastAsia" w:hint="cs"/>
          <w:rtl/>
        </w:rPr>
        <w:t xml:space="preserve"> </w:t>
      </w:r>
      <w:r w:rsidR="00B618A5" w:rsidRPr="00B618A5">
        <w:rPr>
          <w:rFonts w:eastAsiaTheme="minorEastAsia"/>
          <w:rtl/>
        </w:rPr>
        <w:t>فرص جديدة لتوليد الدخل وتوفير المساعدة الاجتماعية الكافية للعائدين واللاجئين وملتمسي اللجوء، بمن فيهم النساء والقصر غير المصحوبين وضحايا التعذيب أو الصدمات؛</w:t>
      </w:r>
    </w:p>
    <w:p w14:paraId="55EBF556" w14:textId="3AD2D185"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t>الافتقار إلى الوسائل الكفيلة بإدماج العائدين واللاجئين وملتمسي اللجوء على المستوى</w:t>
      </w:r>
      <w:r w:rsidR="00BB2E61">
        <w:rPr>
          <w:rFonts w:eastAsiaTheme="minorEastAsia" w:hint="cs"/>
          <w:rtl/>
        </w:rPr>
        <w:t> </w:t>
      </w:r>
      <w:r w:rsidR="00B618A5" w:rsidRPr="00B618A5">
        <w:rPr>
          <w:rFonts w:eastAsiaTheme="minorEastAsia"/>
          <w:rtl/>
        </w:rPr>
        <w:t>المحلي؛</w:t>
      </w:r>
    </w:p>
    <w:p w14:paraId="5CC28592" w14:textId="67601E31" w:rsidR="00BB5724" w:rsidRPr="00BB5724"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t xml:space="preserve">عدم وجود أحكام تمنع الاعتداء الجنسي والعنف </w:t>
      </w:r>
      <w:proofErr w:type="spellStart"/>
      <w:r w:rsidR="00B618A5" w:rsidRPr="00B618A5">
        <w:rPr>
          <w:rFonts w:eastAsiaTheme="minorEastAsia"/>
          <w:rtl/>
        </w:rPr>
        <w:t>الجنساني</w:t>
      </w:r>
      <w:proofErr w:type="spellEnd"/>
      <w:r w:rsidR="00B618A5" w:rsidRPr="00B618A5">
        <w:rPr>
          <w:rFonts w:eastAsiaTheme="minorEastAsia"/>
          <w:rtl/>
        </w:rPr>
        <w:t xml:space="preserve"> وتحمي</w:t>
      </w:r>
      <w:r w:rsidR="00B618A5">
        <w:rPr>
          <w:rFonts w:eastAsiaTheme="minorEastAsia"/>
          <w:rtl/>
        </w:rPr>
        <w:t xml:space="preserve"> </w:t>
      </w:r>
      <w:r w:rsidR="00B618A5" w:rsidRPr="00B618A5">
        <w:rPr>
          <w:rFonts w:eastAsiaTheme="minorEastAsia"/>
          <w:rtl/>
        </w:rPr>
        <w:t xml:space="preserve">اللاجئات وملتمسات اللجوء من أعمال العنف تلك (المواد </w:t>
      </w:r>
      <w:r w:rsidR="00B618A5" w:rsidRPr="00BC1017">
        <w:rPr>
          <w:rFonts w:eastAsiaTheme="minorEastAsia"/>
          <w:rtl/>
        </w:rPr>
        <w:t>2</w:t>
      </w:r>
      <w:r w:rsidR="00B618A5" w:rsidRPr="00B618A5">
        <w:rPr>
          <w:rFonts w:eastAsiaTheme="minorEastAsia"/>
          <w:rtl/>
        </w:rPr>
        <w:t xml:space="preserve"> و</w:t>
      </w:r>
      <w:r w:rsidR="00B618A5" w:rsidRPr="00BC1017">
        <w:rPr>
          <w:rFonts w:eastAsiaTheme="minorEastAsia"/>
          <w:rtl/>
        </w:rPr>
        <w:t>3</w:t>
      </w:r>
      <w:r w:rsidR="00B618A5" w:rsidRPr="00B618A5">
        <w:rPr>
          <w:rFonts w:eastAsiaTheme="minorEastAsia"/>
          <w:rtl/>
        </w:rPr>
        <w:t xml:space="preserve"> و</w:t>
      </w:r>
      <w:r w:rsidR="00B618A5" w:rsidRPr="00BC1017">
        <w:rPr>
          <w:rFonts w:eastAsiaTheme="minorEastAsia"/>
          <w:rtl/>
        </w:rPr>
        <w:t>14</w:t>
      </w:r>
      <w:r w:rsidR="00B618A5" w:rsidRPr="00B618A5">
        <w:rPr>
          <w:rFonts w:eastAsiaTheme="minorEastAsia"/>
          <w:rtl/>
        </w:rPr>
        <w:t xml:space="preserve"> و</w:t>
      </w:r>
      <w:r w:rsidR="00B618A5" w:rsidRPr="00BC1017">
        <w:rPr>
          <w:rFonts w:eastAsiaTheme="minorEastAsia"/>
          <w:rtl/>
        </w:rPr>
        <w:t>16</w:t>
      </w:r>
      <w:r w:rsidR="00B618A5" w:rsidRPr="00B618A5">
        <w:rPr>
          <w:rFonts w:eastAsiaTheme="minorEastAsia"/>
          <w:rtl/>
        </w:rPr>
        <w:t xml:space="preserve"> ومن </w:t>
      </w:r>
      <w:r w:rsidR="00B618A5" w:rsidRPr="00BC1017">
        <w:rPr>
          <w:rFonts w:eastAsiaTheme="minorEastAsia"/>
          <w:rtl/>
        </w:rPr>
        <w:t>23</w:t>
      </w:r>
      <w:r w:rsidR="00B618A5" w:rsidRPr="00B618A5">
        <w:rPr>
          <w:rFonts w:eastAsiaTheme="minorEastAsia"/>
          <w:rtl/>
        </w:rPr>
        <w:t xml:space="preserve"> إلى </w:t>
      </w:r>
      <w:r w:rsidR="00B618A5" w:rsidRPr="00BC1017">
        <w:rPr>
          <w:rFonts w:eastAsiaTheme="minorEastAsia"/>
          <w:rtl/>
        </w:rPr>
        <w:t>2</w:t>
      </w:r>
      <w:r w:rsidR="00BB5724" w:rsidRPr="00BC1017">
        <w:rPr>
          <w:rFonts w:eastAsiaTheme="minorEastAsia"/>
          <w:rtl/>
        </w:rPr>
        <w:t>6</w:t>
      </w:r>
      <w:r w:rsidR="00BB5724" w:rsidRPr="00BB5724">
        <w:rPr>
          <w:rFonts w:eastAsiaTheme="minorEastAsia"/>
          <w:rtl/>
        </w:rPr>
        <w:t>).</w:t>
      </w:r>
    </w:p>
    <w:p w14:paraId="3E703133" w14:textId="2D8B219C" w:rsidR="00B618A5" w:rsidRPr="00522E36" w:rsidRDefault="00B618A5" w:rsidP="00B618A5">
      <w:pPr>
        <w:pStyle w:val="SingleTxtGA"/>
        <w:rPr>
          <w:rFonts w:eastAsiaTheme="minorEastAsia"/>
          <w:bCs/>
          <w:lang w:eastAsia="zh-TW" w:bidi="en-GB"/>
        </w:rPr>
      </w:pPr>
      <w:r w:rsidRPr="00BC1017">
        <w:rPr>
          <w:rFonts w:eastAsiaTheme="minorEastAsia"/>
          <w:rtl/>
        </w:rPr>
        <w:t>29</w:t>
      </w:r>
      <w:r w:rsidRPr="00B618A5">
        <w:rPr>
          <w:rFonts w:eastAsiaTheme="minorEastAsia"/>
          <w:rtl/>
        </w:rPr>
        <w:t>-</w:t>
      </w:r>
      <w:r w:rsidRPr="00B618A5">
        <w:rPr>
          <w:rFonts w:eastAsiaTheme="minorEastAsia"/>
          <w:rtl/>
        </w:rPr>
        <w:tab/>
      </w:r>
      <w:r w:rsidRPr="00BC1017">
        <w:rPr>
          <w:rFonts w:eastAsiaTheme="minorEastAsia"/>
          <w:bCs/>
          <w:rtl/>
        </w:rPr>
        <w:t>ينبغي للدولة الطرف القيام بما يلي:</w:t>
      </w:r>
    </w:p>
    <w:p w14:paraId="711C5913" w14:textId="0BE65431"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وضع وتنفيذ سياسة أو استراتيجية وطنية تضمن المساعدة الشاملة للعائدين واللاجئين وملتمسي اللجوء، تسمح بمنع والتمييز ضدهم وبمكافحته، وتضمن حصولهم على الخدمات الاجتماعية وتحقيق اندماجهم المحلي الفعلي وتيسر لهم إمكانية الحصول على فرص العمل وتوليد</w:t>
      </w:r>
      <w:r w:rsidR="00522E36" w:rsidRPr="00BC1017">
        <w:rPr>
          <w:rFonts w:eastAsiaTheme="minorEastAsia" w:hint="cs"/>
          <w:bCs/>
          <w:rtl/>
        </w:rPr>
        <w:t> </w:t>
      </w:r>
      <w:r w:rsidR="00B618A5" w:rsidRPr="00BC1017">
        <w:rPr>
          <w:rFonts w:eastAsiaTheme="minorEastAsia"/>
          <w:bCs/>
          <w:rtl/>
        </w:rPr>
        <w:t>الدخل؛</w:t>
      </w:r>
      <w:r w:rsidR="00B618A5" w:rsidRPr="00522E36">
        <w:rPr>
          <w:rFonts w:eastAsiaTheme="minorEastAsia"/>
          <w:bCs/>
          <w:rtl/>
        </w:rPr>
        <w:t xml:space="preserve"> </w:t>
      </w:r>
    </w:p>
    <w:p w14:paraId="67922F27" w14:textId="61E1876B"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522E36">
        <w:rPr>
          <w:rFonts w:eastAsiaTheme="minorEastAsia"/>
          <w:bCs/>
          <w:rtl/>
        </w:rPr>
        <w:tab/>
      </w:r>
      <w:r w:rsidR="00B618A5" w:rsidRPr="00BC1017">
        <w:rPr>
          <w:rFonts w:eastAsiaTheme="minorEastAsia"/>
          <w:bCs/>
          <w:rtl/>
        </w:rPr>
        <w:t>تزويد مفوضية اللاجئين بالموارد البشرية والتقنية والمالية اللازمة لضمان الاندماج المحلي للعائدين واللاجئين وملتمسي اللجوء؛</w:t>
      </w:r>
    </w:p>
    <w:p w14:paraId="1F3B2570" w14:textId="7E0961C1" w:rsidR="00BB5724" w:rsidRPr="00BB5724"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 xml:space="preserve">زيادة تعزيز التدابير الرامية إلى منع الاعتداء الجنسي والعنف </w:t>
      </w:r>
      <w:proofErr w:type="spellStart"/>
      <w:r w:rsidR="00B618A5" w:rsidRPr="00BC1017">
        <w:rPr>
          <w:rFonts w:eastAsiaTheme="minorEastAsia"/>
          <w:bCs/>
          <w:rtl/>
        </w:rPr>
        <w:t>الجنساني</w:t>
      </w:r>
      <w:proofErr w:type="spellEnd"/>
      <w:r w:rsidR="00B618A5" w:rsidRPr="00BC1017">
        <w:rPr>
          <w:rFonts w:eastAsiaTheme="minorEastAsia"/>
          <w:bCs/>
          <w:rtl/>
        </w:rPr>
        <w:t xml:space="preserve"> والتدابير الرامية إلى حماية العائدين واللاجئين وملتمسي اللجوء من مثل تلك الاعتداءات، وضمان مراعاة النساء في خطة التثقيف في مجال الصحة الجنسية والإنجابية التي ستوضع في إطار ميزانية 2020-202</w:t>
      </w:r>
      <w:r w:rsidR="00BB5724" w:rsidRPr="00BC1017">
        <w:rPr>
          <w:rFonts w:eastAsiaTheme="minorEastAsia"/>
          <w:bCs/>
          <w:rtl/>
        </w:rPr>
        <w:t>4.</w:t>
      </w:r>
    </w:p>
    <w:p w14:paraId="08A6596B" w14:textId="3B17F82E" w:rsidR="00B618A5" w:rsidRPr="00B618A5" w:rsidRDefault="00B618A5" w:rsidP="00522E36">
      <w:pPr>
        <w:pStyle w:val="H23GA"/>
        <w:rPr>
          <w:lang w:val="ar-SA" w:eastAsia="zh-TW" w:bidi="en-GB"/>
        </w:rPr>
      </w:pPr>
      <w:r w:rsidRPr="00B618A5">
        <w:rPr>
          <w:rtl/>
        </w:rPr>
        <w:tab/>
      </w:r>
      <w:r w:rsidRPr="00B618A5">
        <w:rPr>
          <w:rtl/>
        </w:rPr>
        <w:tab/>
        <w:t>الحق في الخصوصية</w:t>
      </w:r>
    </w:p>
    <w:p w14:paraId="70C106DB" w14:textId="4F5AFDA3" w:rsidR="00B618A5" w:rsidRPr="00BC1017" w:rsidRDefault="00B618A5" w:rsidP="00B618A5">
      <w:pPr>
        <w:pStyle w:val="SingleTxtGA"/>
        <w:rPr>
          <w:rFonts w:eastAsiaTheme="minorEastAsia"/>
          <w:b/>
          <w:lang w:eastAsia="zh-TW" w:bidi="en-GB"/>
        </w:rPr>
      </w:pPr>
      <w:r w:rsidRPr="00BC1017">
        <w:rPr>
          <w:rFonts w:eastAsiaTheme="minorEastAsia"/>
          <w:b/>
          <w:rtl/>
        </w:rPr>
        <w:t>30-</w:t>
      </w:r>
      <w:r w:rsidRPr="00BC1017">
        <w:rPr>
          <w:rFonts w:eastAsiaTheme="minorEastAsia"/>
          <w:b/>
          <w:rtl/>
        </w:rPr>
        <w:tab/>
        <w:t xml:space="preserve">تشعر اللجنة بالقلق إزاء عدم وجود معلومات عن التقدم المحرز ونتائج التحقيقات الجنائية التي أحالتها لجنة التحقيق، التي أنشأها مجلس النواب في عام 2016 فيما يتعلق "بملف </w:t>
      </w:r>
      <w:proofErr w:type="spellStart"/>
      <w:r w:rsidRPr="00BC1017">
        <w:rPr>
          <w:rFonts w:eastAsiaTheme="minorEastAsia"/>
          <w:b/>
          <w:rtl/>
        </w:rPr>
        <w:t>كاستيليوني</w:t>
      </w:r>
      <w:proofErr w:type="spellEnd"/>
      <w:r w:rsidRPr="00BC1017">
        <w:rPr>
          <w:rFonts w:eastAsiaTheme="minorEastAsia"/>
          <w:b/>
          <w:rtl/>
        </w:rPr>
        <w:t xml:space="preserve">" إلى </w:t>
      </w:r>
      <w:r w:rsidRPr="00BC1017">
        <w:rPr>
          <w:rFonts w:eastAsiaTheme="minorEastAsia"/>
          <w:b/>
          <w:rtl/>
        </w:rPr>
        <w:lastRenderedPageBreak/>
        <w:t>النيابة العامة الجنائية الأولى </w:t>
      </w:r>
      <w:proofErr w:type="spellStart"/>
      <w:r w:rsidRPr="00BC1017">
        <w:rPr>
          <w:rFonts w:eastAsiaTheme="minorEastAsia"/>
          <w:b/>
          <w:rtl/>
        </w:rPr>
        <w:t>لمونتيفيديو</w:t>
      </w:r>
      <w:proofErr w:type="spellEnd"/>
      <w:r w:rsidRPr="00BC1017">
        <w:rPr>
          <w:rFonts w:eastAsiaTheme="minorEastAsia"/>
          <w:b/>
          <w:rtl/>
        </w:rPr>
        <w:t xml:space="preserve"> المختصة في الجرائم الاقتصادية والمعقدة. ويُزعم أن الملف المذكور يحتوي على أدلة بشأن عمليات تجسس للجيش والشرطة نفذت في الدولة الطرف بعد العودة إلى المسار الديمقراطي (المادة 1</w:t>
      </w:r>
      <w:r w:rsidR="00BB5724" w:rsidRPr="00BC1017">
        <w:rPr>
          <w:rFonts w:eastAsiaTheme="minorEastAsia"/>
          <w:b/>
          <w:rtl/>
        </w:rPr>
        <w:t xml:space="preserve">7). </w:t>
      </w:r>
    </w:p>
    <w:p w14:paraId="3830E71C" w14:textId="77777777" w:rsidR="00B618A5" w:rsidRPr="00522E36" w:rsidRDefault="00B618A5" w:rsidP="00B618A5">
      <w:pPr>
        <w:pStyle w:val="SingleTxtGA"/>
        <w:rPr>
          <w:rFonts w:eastAsiaTheme="minorEastAsia"/>
          <w:bCs/>
          <w:lang w:eastAsia="zh-TW" w:bidi="en-GB"/>
        </w:rPr>
      </w:pPr>
      <w:r w:rsidRPr="00BC1017">
        <w:rPr>
          <w:rFonts w:eastAsiaTheme="minorEastAsia"/>
          <w:rtl/>
        </w:rPr>
        <w:t>31</w:t>
      </w:r>
      <w:r w:rsidRPr="00B618A5">
        <w:rPr>
          <w:rFonts w:eastAsiaTheme="minorEastAsia"/>
          <w:rtl/>
        </w:rPr>
        <w:t>-</w:t>
      </w:r>
      <w:r w:rsidRPr="00B618A5">
        <w:rPr>
          <w:rFonts w:eastAsiaTheme="minorEastAsia"/>
          <w:rtl/>
        </w:rPr>
        <w:tab/>
      </w:r>
      <w:r w:rsidRPr="00BC1017">
        <w:rPr>
          <w:rFonts w:eastAsiaTheme="minorEastAsia"/>
          <w:bCs/>
          <w:rtl/>
        </w:rPr>
        <w:t>ينبغي للدولة الطرف القيام بما يلي:</w:t>
      </w:r>
      <w:r w:rsidRPr="00522E36">
        <w:rPr>
          <w:rFonts w:eastAsiaTheme="minorEastAsia"/>
          <w:bCs/>
          <w:rtl/>
        </w:rPr>
        <w:t xml:space="preserve"> </w:t>
      </w:r>
    </w:p>
    <w:p w14:paraId="471EF836" w14:textId="2FAE6D56"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إجراء تحقيقات بشأن شبكة تجسس الجيش والشرطة التي أنشئت بعد العودة إلى المسار الديمقراطي ومعاقبة المسؤولين فيها، ونشر نتائج التحقيقات؛</w:t>
      </w:r>
      <w:r w:rsidR="00B618A5" w:rsidRPr="00522E36">
        <w:rPr>
          <w:rFonts w:eastAsiaTheme="minorEastAsia"/>
          <w:bCs/>
          <w:rtl/>
        </w:rPr>
        <w:t xml:space="preserve"> </w:t>
      </w:r>
    </w:p>
    <w:p w14:paraId="0A24FDB2" w14:textId="2E8FF738" w:rsidR="00B618A5" w:rsidRPr="00522E36"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ضمان الحق في الخصوصية في إطار الاحترام الكامل للعهد، لا سيما أحكام المادة</w:t>
      </w:r>
      <w:r w:rsidR="00522E36" w:rsidRPr="00BC1017">
        <w:rPr>
          <w:rFonts w:eastAsiaTheme="minorEastAsia" w:hint="cs"/>
          <w:bCs/>
          <w:rtl/>
        </w:rPr>
        <w:t> </w:t>
      </w:r>
      <w:r w:rsidR="00B618A5" w:rsidRPr="00BC1017">
        <w:rPr>
          <w:rFonts w:eastAsiaTheme="minorEastAsia"/>
          <w:bCs/>
          <w:rtl/>
        </w:rPr>
        <w:t>17 منه.</w:t>
      </w:r>
      <w:r w:rsidR="00B618A5" w:rsidRPr="00522E36">
        <w:rPr>
          <w:rFonts w:eastAsiaTheme="minorEastAsia"/>
          <w:bCs/>
          <w:rtl/>
        </w:rPr>
        <w:t xml:space="preserve"> </w:t>
      </w:r>
      <w:r w:rsidR="00B618A5" w:rsidRPr="00BC1017">
        <w:rPr>
          <w:rFonts w:eastAsiaTheme="minorEastAsia"/>
          <w:bCs/>
          <w:rtl/>
        </w:rPr>
        <w:t>وينبغي أن تُمارس أنشطة</w:t>
      </w:r>
      <w:r w:rsidR="00BB2E61" w:rsidRPr="00BC1017">
        <w:rPr>
          <w:rFonts w:eastAsiaTheme="minorEastAsia" w:hint="cs"/>
          <w:bCs/>
          <w:rtl/>
        </w:rPr>
        <w:t xml:space="preserve"> </w:t>
      </w:r>
      <w:r w:rsidR="00B618A5" w:rsidRPr="00BC1017">
        <w:rPr>
          <w:rFonts w:eastAsiaTheme="minorEastAsia"/>
          <w:bCs/>
          <w:rtl/>
        </w:rPr>
        <w:t>المراقبة وفقاً لمبادئ الشرعية والتناسب والضرورة وأن تخضع لإذن قضائي.</w:t>
      </w:r>
      <w:r w:rsidR="00B618A5" w:rsidRPr="00522E36">
        <w:rPr>
          <w:rFonts w:eastAsiaTheme="minorEastAsia"/>
          <w:bCs/>
          <w:rtl/>
        </w:rPr>
        <w:t xml:space="preserve"> </w:t>
      </w:r>
      <w:r w:rsidR="00B618A5" w:rsidRPr="00BC1017">
        <w:rPr>
          <w:rFonts w:eastAsiaTheme="minorEastAsia"/>
          <w:bCs/>
          <w:rtl/>
        </w:rPr>
        <w:t>وينبغي أيضاً ضمان خضوع أنشطة المراقبة لرقابة فعالة تضطلع بها آليات قضائية مستقلة، وضمان الوصول إلى سبل انتصاف فعالة في حالة انتهاك هذا الحق.</w:t>
      </w:r>
    </w:p>
    <w:p w14:paraId="4825537B" w14:textId="77777777" w:rsidR="00B618A5" w:rsidRPr="00B618A5" w:rsidRDefault="00B618A5" w:rsidP="00522E36">
      <w:pPr>
        <w:pStyle w:val="H23GA"/>
        <w:rPr>
          <w:lang w:val="ar-SA" w:eastAsia="zh-TW" w:bidi="en-GB"/>
        </w:rPr>
      </w:pPr>
      <w:r w:rsidRPr="00B618A5">
        <w:rPr>
          <w:rtl/>
        </w:rPr>
        <w:tab/>
      </w:r>
      <w:r w:rsidRPr="00B618A5">
        <w:rPr>
          <w:rtl/>
        </w:rPr>
        <w:tab/>
        <w:t>حرية التعبير والحق في التجمع السلمي</w:t>
      </w:r>
    </w:p>
    <w:p w14:paraId="54CA2D22" w14:textId="76DD9EA3" w:rsidR="00BB5724" w:rsidRPr="00BB5724" w:rsidRDefault="00B618A5" w:rsidP="00B618A5">
      <w:pPr>
        <w:pStyle w:val="SingleTxtGA"/>
        <w:rPr>
          <w:rFonts w:eastAsiaTheme="minorEastAsia"/>
          <w:lang w:eastAsia="zh-TW" w:bidi="en-GB"/>
        </w:rPr>
      </w:pPr>
      <w:r w:rsidRPr="00BC1017">
        <w:rPr>
          <w:rFonts w:eastAsiaTheme="minorEastAsia"/>
          <w:rtl/>
        </w:rPr>
        <w:t>32</w:t>
      </w:r>
      <w:r w:rsidRPr="00B618A5">
        <w:rPr>
          <w:rFonts w:eastAsiaTheme="minorEastAsia"/>
          <w:rtl/>
        </w:rPr>
        <w:t>-</w:t>
      </w:r>
      <w:r w:rsidRPr="00B618A5">
        <w:rPr>
          <w:rFonts w:eastAsiaTheme="minorEastAsia"/>
          <w:rtl/>
        </w:rPr>
        <w:tab/>
        <w:t>تلاحظ اللجنة بقلق التقارير التي تشير إلى تعرض الصحفيين على نحو متزايد للملاحقة الجنائية والتهديدات وفرض قيود على حريتهم في التعبير، فضلاً</w:t>
      </w:r>
      <w:r>
        <w:rPr>
          <w:rFonts w:eastAsiaTheme="minorEastAsia"/>
          <w:rtl/>
        </w:rPr>
        <w:t xml:space="preserve"> </w:t>
      </w:r>
      <w:r w:rsidRPr="00B618A5">
        <w:rPr>
          <w:rFonts w:eastAsiaTheme="minorEastAsia"/>
          <w:rtl/>
        </w:rPr>
        <w:t xml:space="preserve">عن التعديلات الجديدة على القانون الجامع المعتمد في إطار إجراء النظر السريع الذي يتضمن تعاريف غير دقيقة وفضفاضة تمنح سلطات تقديرية أكبر للشرطة لاستخدام القوة من أجل الحد من التجمعات أو المظاهرات (المواد </w:t>
      </w:r>
      <w:r w:rsidRPr="00BC1017">
        <w:rPr>
          <w:rFonts w:eastAsiaTheme="minorEastAsia"/>
          <w:rtl/>
        </w:rPr>
        <w:t>7</w:t>
      </w:r>
      <w:r w:rsidRPr="00B618A5">
        <w:rPr>
          <w:rFonts w:eastAsiaTheme="minorEastAsia"/>
          <w:rtl/>
        </w:rPr>
        <w:t xml:space="preserve"> و</w:t>
      </w:r>
      <w:r w:rsidRPr="00BC1017">
        <w:rPr>
          <w:rFonts w:eastAsiaTheme="minorEastAsia"/>
          <w:rtl/>
        </w:rPr>
        <w:t>19</w:t>
      </w:r>
      <w:r w:rsidRPr="00B618A5">
        <w:rPr>
          <w:rFonts w:eastAsiaTheme="minorEastAsia"/>
          <w:rtl/>
        </w:rPr>
        <w:t xml:space="preserve"> و</w:t>
      </w:r>
      <w:r w:rsidRPr="00BC1017">
        <w:rPr>
          <w:rFonts w:eastAsiaTheme="minorEastAsia"/>
          <w:rtl/>
        </w:rPr>
        <w:t>21</w:t>
      </w:r>
      <w:r w:rsidRPr="00B618A5">
        <w:rPr>
          <w:rFonts w:eastAsiaTheme="minorEastAsia"/>
          <w:rtl/>
        </w:rPr>
        <w:t xml:space="preserve"> و</w:t>
      </w:r>
      <w:r w:rsidRPr="00BC1017">
        <w:rPr>
          <w:rFonts w:eastAsiaTheme="minorEastAsia"/>
          <w:rtl/>
        </w:rPr>
        <w:t>2</w:t>
      </w:r>
      <w:r w:rsidR="00BB5724" w:rsidRPr="00BC1017">
        <w:rPr>
          <w:rFonts w:eastAsiaTheme="minorEastAsia"/>
          <w:rtl/>
        </w:rPr>
        <w:t>2</w:t>
      </w:r>
      <w:r w:rsidR="00BB5724" w:rsidRPr="00BB5724">
        <w:rPr>
          <w:rFonts w:eastAsiaTheme="minorEastAsia"/>
          <w:rtl/>
        </w:rPr>
        <w:t>).</w:t>
      </w:r>
    </w:p>
    <w:p w14:paraId="39EBA30D" w14:textId="25D4C9D3" w:rsidR="00B618A5" w:rsidRPr="00522E36" w:rsidRDefault="00B618A5" w:rsidP="00B618A5">
      <w:pPr>
        <w:pStyle w:val="SingleTxtGA"/>
        <w:rPr>
          <w:rFonts w:eastAsiaTheme="minorEastAsia"/>
          <w:bCs/>
          <w:lang w:eastAsia="zh-TW" w:bidi="en-GB"/>
        </w:rPr>
      </w:pPr>
      <w:r w:rsidRPr="00BC1017">
        <w:rPr>
          <w:rFonts w:eastAsiaTheme="minorEastAsia"/>
          <w:rtl/>
        </w:rPr>
        <w:t>33</w:t>
      </w:r>
      <w:r w:rsidRPr="00B618A5">
        <w:rPr>
          <w:rFonts w:eastAsiaTheme="minorEastAsia"/>
          <w:rtl/>
        </w:rPr>
        <w:t>-</w:t>
      </w:r>
      <w:r w:rsidRPr="00B618A5">
        <w:rPr>
          <w:rFonts w:eastAsiaTheme="minorEastAsia"/>
          <w:rtl/>
        </w:rPr>
        <w:tab/>
      </w:r>
      <w:r w:rsidRPr="00BC1017">
        <w:rPr>
          <w:rFonts w:eastAsiaTheme="minorEastAsia"/>
          <w:bCs/>
          <w:rtl/>
        </w:rPr>
        <w:t>ينبغي للدولة الطرف أن تتخذ التدابير اللازمة لضمان تمتع الجميع تمتعاً كاملاً بحرية التعبير والحق في التجمع السلمي، في ضوء التعليقين العامين رقم 34(201</w:t>
      </w:r>
      <w:r w:rsidR="00BB5724" w:rsidRPr="00BC1017">
        <w:rPr>
          <w:rFonts w:eastAsiaTheme="minorEastAsia"/>
          <w:bCs/>
          <w:rtl/>
        </w:rPr>
        <w:t xml:space="preserve">1) </w:t>
      </w:r>
      <w:r w:rsidRPr="00BC1017">
        <w:rPr>
          <w:rFonts w:eastAsiaTheme="minorEastAsia"/>
          <w:bCs/>
          <w:rtl/>
        </w:rPr>
        <w:t>ورقم 37(202</w:t>
      </w:r>
      <w:r w:rsidR="00BB5724" w:rsidRPr="00BC1017">
        <w:rPr>
          <w:rFonts w:eastAsiaTheme="minorEastAsia"/>
          <w:bCs/>
          <w:rtl/>
        </w:rPr>
        <w:t xml:space="preserve">0) </w:t>
      </w:r>
      <w:r w:rsidRPr="00BC1017">
        <w:rPr>
          <w:rFonts w:eastAsiaTheme="minorEastAsia"/>
          <w:bCs/>
          <w:rtl/>
        </w:rPr>
        <w:t>للجنة بشأن حرية الرأي والتعبير والحق في التجمع السلمي، على التوالي.</w:t>
      </w:r>
      <w:r w:rsidRPr="00522E36">
        <w:rPr>
          <w:rFonts w:eastAsiaTheme="minorEastAsia"/>
          <w:bCs/>
          <w:rtl/>
        </w:rPr>
        <w:t xml:space="preserve"> </w:t>
      </w:r>
      <w:r w:rsidRPr="00BC1017">
        <w:rPr>
          <w:rFonts w:eastAsiaTheme="minorEastAsia"/>
          <w:bCs/>
          <w:rtl/>
        </w:rPr>
        <w:t>وتحث اللجنة الدولة الطرف على القيام، تحديداً، بما يلي:</w:t>
      </w:r>
      <w:r w:rsidRPr="00522E36">
        <w:rPr>
          <w:rFonts w:eastAsiaTheme="minorEastAsia"/>
          <w:bCs/>
          <w:rtl/>
        </w:rPr>
        <w:t xml:space="preserve"> </w:t>
      </w:r>
    </w:p>
    <w:p w14:paraId="1FDB054A" w14:textId="7653EC22" w:rsidR="00B618A5" w:rsidRPr="00522E36" w:rsidRDefault="00401692" w:rsidP="00B618A5">
      <w:pPr>
        <w:pStyle w:val="SingleTxtGA"/>
        <w:rPr>
          <w:rFonts w:eastAsiaTheme="minorEastAsia"/>
          <w:bCs/>
          <w:lang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مضاعفة الجهود لمنع تعرض الصحفيين للتهديد وإزالة القيود المفروضة على حرية</w:t>
      </w:r>
      <w:r w:rsidR="00522E36" w:rsidRPr="00BC1017">
        <w:rPr>
          <w:rFonts w:eastAsiaTheme="minorEastAsia" w:hint="cs"/>
          <w:bCs/>
          <w:rtl/>
        </w:rPr>
        <w:t> </w:t>
      </w:r>
      <w:r w:rsidR="00B618A5" w:rsidRPr="00BC1017">
        <w:rPr>
          <w:rFonts w:eastAsiaTheme="minorEastAsia"/>
          <w:bCs/>
          <w:rtl/>
        </w:rPr>
        <w:t>التعبير، والتأكد من التحقيق في جميع مزاعم أعمال الترهيب تلك على نحو سريع وشامل ومستقل</w:t>
      </w:r>
      <w:r w:rsidR="00522E36" w:rsidRPr="00BC1017">
        <w:rPr>
          <w:rFonts w:eastAsiaTheme="minorEastAsia" w:hint="cs"/>
          <w:bCs/>
          <w:rtl/>
        </w:rPr>
        <w:t> </w:t>
      </w:r>
      <w:r w:rsidR="00B618A5" w:rsidRPr="00BC1017">
        <w:rPr>
          <w:rFonts w:eastAsiaTheme="minorEastAsia"/>
          <w:bCs/>
          <w:rtl/>
        </w:rPr>
        <w:t>ونزيه؛</w:t>
      </w:r>
      <w:r w:rsidR="00B618A5" w:rsidRPr="00522E36">
        <w:rPr>
          <w:rFonts w:eastAsiaTheme="minorEastAsia"/>
          <w:bCs/>
          <w:rtl/>
        </w:rPr>
        <w:t xml:space="preserve"> </w:t>
      </w:r>
    </w:p>
    <w:p w14:paraId="30669A03" w14:textId="599E4150" w:rsidR="00B618A5" w:rsidRPr="00522E36" w:rsidRDefault="00401692" w:rsidP="00B618A5">
      <w:pPr>
        <w:pStyle w:val="SingleTxtGA"/>
        <w:rPr>
          <w:rFonts w:eastAsiaTheme="minorEastAsia"/>
          <w:bCs/>
          <w:lang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ضمان الحق في التجمع والحق في التظاهر للسكان والطبقة السياسية ومنظمات المجتمع المدني واحترامهما؛</w:t>
      </w:r>
    </w:p>
    <w:p w14:paraId="6B2F2C6B" w14:textId="576696E1" w:rsidR="00B618A5" w:rsidRPr="00522E36" w:rsidRDefault="00401692" w:rsidP="00B618A5">
      <w:pPr>
        <w:pStyle w:val="SingleTxtGA"/>
        <w:rPr>
          <w:rFonts w:eastAsiaTheme="minorEastAsia"/>
          <w:bCs/>
          <w:lang w:val="en-US" w:eastAsia="zh-TW" w:bidi="en-GB"/>
        </w:rPr>
      </w:pPr>
      <w:r>
        <w:rPr>
          <w:rFonts w:eastAsiaTheme="minorEastAsia"/>
          <w:rtl/>
        </w:rPr>
        <w:tab/>
        <w:t>(</w:t>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ضمان أن يكون إعمال الحق في حرية الرأي والتعبير والحق في التجمع أو تكوين الجمعيات المنصوص عليهما في القانون الجامع المعتمد في إطار إجراء النظر السريع مطابقاً تماماً للمعايير المنصوص عليها في المواد 19(</w:t>
      </w:r>
      <w:r w:rsidR="00BB5724" w:rsidRPr="00BC1017">
        <w:rPr>
          <w:rFonts w:eastAsiaTheme="minorEastAsia"/>
          <w:bCs/>
          <w:rtl/>
        </w:rPr>
        <w:t xml:space="preserve">3) </w:t>
      </w:r>
      <w:r w:rsidR="00B618A5" w:rsidRPr="00BC1017">
        <w:rPr>
          <w:rFonts w:eastAsiaTheme="minorEastAsia"/>
          <w:bCs/>
          <w:rtl/>
        </w:rPr>
        <w:t>و21 و22(</w:t>
      </w:r>
      <w:r w:rsidR="00BB5724" w:rsidRPr="00BC1017">
        <w:rPr>
          <w:rFonts w:eastAsiaTheme="minorEastAsia"/>
          <w:bCs/>
          <w:rtl/>
        </w:rPr>
        <w:t xml:space="preserve">2) </w:t>
      </w:r>
      <w:r w:rsidR="00B618A5" w:rsidRPr="00BC1017">
        <w:rPr>
          <w:rFonts w:eastAsiaTheme="minorEastAsia"/>
          <w:bCs/>
          <w:rtl/>
        </w:rPr>
        <w:t>من العهد.</w:t>
      </w:r>
      <w:r w:rsidR="00B618A5" w:rsidRPr="00522E36">
        <w:rPr>
          <w:rFonts w:eastAsiaTheme="minorEastAsia"/>
          <w:bCs/>
          <w:rtl/>
        </w:rPr>
        <w:t xml:space="preserve"> </w:t>
      </w:r>
    </w:p>
    <w:p w14:paraId="0BC80214" w14:textId="77777777" w:rsidR="00B618A5" w:rsidRPr="00BB2E61" w:rsidRDefault="00B618A5" w:rsidP="00522E36">
      <w:pPr>
        <w:pStyle w:val="H23GA"/>
        <w:rPr>
          <w:lang w:val="en-US" w:eastAsia="zh-TW" w:bidi="en-GB"/>
        </w:rPr>
      </w:pPr>
      <w:r w:rsidRPr="00B618A5">
        <w:rPr>
          <w:rtl/>
        </w:rPr>
        <w:tab/>
      </w:r>
      <w:r w:rsidRPr="00B618A5">
        <w:rPr>
          <w:rtl/>
        </w:rPr>
        <w:tab/>
        <w:t xml:space="preserve">حقوق الطفل </w:t>
      </w:r>
    </w:p>
    <w:p w14:paraId="130480D3" w14:textId="074F8917" w:rsidR="00B618A5" w:rsidRPr="009344CE" w:rsidRDefault="00B618A5" w:rsidP="00B618A5">
      <w:pPr>
        <w:pStyle w:val="SingleTxtGA"/>
        <w:rPr>
          <w:rFonts w:eastAsiaTheme="minorEastAsia"/>
          <w:lang w:val="en-US" w:eastAsia="zh-TW" w:bidi="en-GB"/>
        </w:rPr>
      </w:pPr>
      <w:r w:rsidRPr="00BC1017">
        <w:rPr>
          <w:rFonts w:eastAsiaTheme="minorEastAsia"/>
          <w:rtl/>
        </w:rPr>
        <w:t>34</w:t>
      </w:r>
      <w:r w:rsidRPr="00B618A5">
        <w:rPr>
          <w:rFonts w:eastAsiaTheme="minorEastAsia"/>
          <w:rtl/>
        </w:rPr>
        <w:t>-</w:t>
      </w:r>
      <w:r w:rsidRPr="00B618A5">
        <w:rPr>
          <w:rFonts w:eastAsiaTheme="minorEastAsia"/>
          <w:rtl/>
        </w:rPr>
        <w:tab/>
        <w:t xml:space="preserve">ترحب اللجنة ببدء نفاذ الخطة الوطنية لمساعدة الأطفال والمراهقين المرتبطة أوضاعهم بالشوارع للفترة </w:t>
      </w:r>
      <w:r w:rsidRPr="00BC1017">
        <w:rPr>
          <w:rFonts w:eastAsiaTheme="minorEastAsia"/>
          <w:rtl/>
        </w:rPr>
        <w:t>2020</w:t>
      </w:r>
      <w:r w:rsidRPr="00B618A5">
        <w:rPr>
          <w:rFonts w:eastAsiaTheme="minorEastAsia"/>
          <w:rtl/>
        </w:rPr>
        <w:t>-</w:t>
      </w:r>
      <w:r w:rsidRPr="00BC1017">
        <w:rPr>
          <w:rFonts w:eastAsiaTheme="minorEastAsia"/>
          <w:rtl/>
        </w:rPr>
        <w:t>203</w:t>
      </w:r>
      <w:r w:rsidR="00BB5724" w:rsidRPr="00BC1017">
        <w:rPr>
          <w:rFonts w:eastAsiaTheme="minorEastAsia"/>
          <w:rtl/>
        </w:rPr>
        <w:t>0</w:t>
      </w:r>
      <w:r w:rsidR="00BB5724" w:rsidRPr="00BB5724">
        <w:rPr>
          <w:rFonts w:eastAsiaTheme="minorEastAsia"/>
          <w:rtl/>
        </w:rPr>
        <w:t xml:space="preserve">. </w:t>
      </w:r>
      <w:r w:rsidRPr="00B618A5">
        <w:rPr>
          <w:rFonts w:eastAsiaTheme="minorEastAsia"/>
          <w:rtl/>
        </w:rPr>
        <w:t>بيد أنها تعرب عن قلقها</w:t>
      </w:r>
      <w:r>
        <w:rPr>
          <w:rFonts w:eastAsiaTheme="minorEastAsia"/>
          <w:rtl/>
        </w:rPr>
        <w:t xml:space="preserve"> </w:t>
      </w:r>
      <w:r w:rsidRPr="00B618A5">
        <w:rPr>
          <w:rFonts w:eastAsiaTheme="minorEastAsia"/>
          <w:rtl/>
        </w:rPr>
        <w:t>إزاء ما يلي:</w:t>
      </w:r>
    </w:p>
    <w:p w14:paraId="2ECEE40A" w14:textId="06668B19"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t xml:space="preserve">تحديد الحد الأدنى لسن الزواج في </w:t>
      </w:r>
      <w:r w:rsidR="00B618A5" w:rsidRPr="00BC1017">
        <w:rPr>
          <w:rFonts w:eastAsiaTheme="minorEastAsia"/>
          <w:rtl/>
        </w:rPr>
        <w:t>16</w:t>
      </w:r>
      <w:r w:rsidR="00B618A5" w:rsidRPr="00B618A5">
        <w:rPr>
          <w:rFonts w:eastAsiaTheme="minorEastAsia"/>
          <w:rtl/>
        </w:rPr>
        <w:t xml:space="preserve"> سنة لكلا الزوجين، بموافقة الوالدين، وهو</w:t>
      </w:r>
      <w:r w:rsidR="009344CE">
        <w:rPr>
          <w:rFonts w:eastAsiaTheme="minorEastAsia" w:hint="cs"/>
          <w:rtl/>
        </w:rPr>
        <w:t> </w:t>
      </w:r>
      <w:r w:rsidR="00B618A5" w:rsidRPr="00B618A5">
        <w:rPr>
          <w:rFonts w:eastAsiaTheme="minorEastAsia"/>
          <w:rtl/>
        </w:rPr>
        <w:t>ما</w:t>
      </w:r>
      <w:r w:rsidR="009344CE">
        <w:rPr>
          <w:rFonts w:eastAsiaTheme="minorEastAsia" w:hint="cs"/>
          <w:rtl/>
        </w:rPr>
        <w:t> </w:t>
      </w:r>
      <w:r w:rsidR="00B618A5" w:rsidRPr="00B618A5">
        <w:rPr>
          <w:rFonts w:eastAsiaTheme="minorEastAsia"/>
          <w:rtl/>
        </w:rPr>
        <w:t>لا</w:t>
      </w:r>
      <w:r w:rsidR="009344CE">
        <w:rPr>
          <w:rFonts w:eastAsiaTheme="minorEastAsia" w:hint="cs"/>
          <w:rtl/>
        </w:rPr>
        <w:t> </w:t>
      </w:r>
      <w:r w:rsidR="00B618A5" w:rsidRPr="00B618A5">
        <w:rPr>
          <w:rFonts w:eastAsiaTheme="minorEastAsia"/>
          <w:rtl/>
        </w:rPr>
        <w:t>يتماشى مع المعايير الدولية؛</w:t>
      </w:r>
    </w:p>
    <w:p w14:paraId="520F0EC0" w14:textId="7D315DB6" w:rsidR="00B618A5" w:rsidRPr="00B618A5" w:rsidRDefault="00401692" w:rsidP="00B618A5">
      <w:pPr>
        <w:pStyle w:val="SingleTxtGA"/>
        <w:rPr>
          <w:rFonts w:eastAsiaTheme="minorEastAsia"/>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t xml:space="preserve">المعلومات التي تشير إلى أن الخطة الوطنية لمساعدة الأطفال والمراهقين المرتبطة أوضاعهم بالشوارع للفترة </w:t>
      </w:r>
      <w:r w:rsidR="00B618A5" w:rsidRPr="00BC1017">
        <w:rPr>
          <w:rFonts w:eastAsiaTheme="minorEastAsia"/>
          <w:rtl/>
        </w:rPr>
        <w:t>2020</w:t>
      </w:r>
      <w:r w:rsidR="00B618A5" w:rsidRPr="00B618A5">
        <w:rPr>
          <w:rFonts w:eastAsiaTheme="minorEastAsia"/>
          <w:rtl/>
        </w:rPr>
        <w:t>-</w:t>
      </w:r>
      <w:r w:rsidR="00B618A5" w:rsidRPr="00BC1017">
        <w:rPr>
          <w:rFonts w:eastAsiaTheme="minorEastAsia"/>
          <w:rtl/>
        </w:rPr>
        <w:t>2030</w:t>
      </w:r>
      <w:r w:rsidR="00B618A5" w:rsidRPr="00B618A5">
        <w:rPr>
          <w:rFonts w:eastAsiaTheme="minorEastAsia"/>
          <w:rtl/>
        </w:rPr>
        <w:t xml:space="preserve"> غير مشفوعة بمبادئ توجيهية تشغيلية</w:t>
      </w:r>
      <w:r w:rsidR="00BB2E61">
        <w:rPr>
          <w:rFonts w:eastAsiaTheme="minorEastAsia" w:hint="cs"/>
          <w:rtl/>
        </w:rPr>
        <w:t xml:space="preserve"> </w:t>
      </w:r>
      <w:r w:rsidR="00B618A5" w:rsidRPr="00B618A5">
        <w:rPr>
          <w:rFonts w:eastAsiaTheme="minorEastAsia"/>
          <w:rtl/>
        </w:rPr>
        <w:t xml:space="preserve">سنوية، لا سيما </w:t>
      </w:r>
      <w:r w:rsidR="00B618A5" w:rsidRPr="00B618A5">
        <w:rPr>
          <w:rFonts w:eastAsiaTheme="minorEastAsia"/>
          <w:rtl/>
        </w:rPr>
        <w:lastRenderedPageBreak/>
        <w:t>أن</w:t>
      </w:r>
      <w:r w:rsidR="0066510D">
        <w:rPr>
          <w:rFonts w:eastAsiaTheme="minorEastAsia" w:hint="cs"/>
          <w:rtl/>
        </w:rPr>
        <w:t> </w:t>
      </w:r>
      <w:r w:rsidR="00B618A5" w:rsidRPr="00B618A5">
        <w:rPr>
          <w:rFonts w:eastAsiaTheme="minorEastAsia"/>
          <w:rtl/>
        </w:rPr>
        <w:t>البيانات الكمية المتعلقة بالأطفال والمراهقين المرتبطة أوضاعهم بالشوارع لم تكن موضع تحديث على مستوى العاصمة وعلى المستوى الوطني؛</w:t>
      </w:r>
    </w:p>
    <w:p w14:paraId="688DCB23" w14:textId="4BA8A90D" w:rsidR="00BB5724" w:rsidRPr="00BB5724" w:rsidRDefault="00401692" w:rsidP="00B618A5">
      <w:pPr>
        <w:pStyle w:val="SingleTxtGA"/>
        <w:rPr>
          <w:rFonts w:eastAsiaTheme="minorEastAsia"/>
          <w:spacing w:val="-6"/>
          <w:lang w:val="ar-SA" w:eastAsia="zh-TW" w:bidi="en-GB"/>
        </w:rPr>
      </w:pPr>
      <w:r w:rsidRPr="00BB2E61">
        <w:rPr>
          <w:rFonts w:eastAsiaTheme="minorEastAsia"/>
          <w:spacing w:val="-6"/>
          <w:rtl/>
        </w:rPr>
        <w:tab/>
        <w:t>(</w:t>
      </w:r>
      <w:r w:rsidR="00B618A5" w:rsidRPr="00BB2E61">
        <w:rPr>
          <w:rFonts w:eastAsiaTheme="minorEastAsia"/>
          <w:spacing w:val="-6"/>
          <w:rtl/>
        </w:rPr>
        <w:t>ج)</w:t>
      </w:r>
      <w:r w:rsidR="00B618A5" w:rsidRPr="00BB2E61">
        <w:rPr>
          <w:rFonts w:eastAsiaTheme="minorEastAsia"/>
          <w:spacing w:val="-6"/>
          <w:rtl/>
        </w:rPr>
        <w:tab/>
        <w:t xml:space="preserve">عدم تحديث قائمة الأعمال التي تشكل خطراً على الأطفال وعدم وجود معلومات كمية ونوعية محدثة في هذا الشأن، إذ تعود آخر دراسة استقصائية وطنية أجريت إلى عام </w:t>
      </w:r>
      <w:r w:rsidR="00B618A5" w:rsidRPr="00BC1017">
        <w:rPr>
          <w:rFonts w:eastAsiaTheme="minorEastAsia"/>
          <w:spacing w:val="-6"/>
          <w:rtl/>
        </w:rPr>
        <w:t>2011</w:t>
      </w:r>
      <w:r w:rsidR="00B618A5" w:rsidRPr="00BB2E61">
        <w:rPr>
          <w:rFonts w:eastAsiaTheme="minorEastAsia"/>
          <w:spacing w:val="-6"/>
          <w:rtl/>
        </w:rPr>
        <w:t xml:space="preserve"> (المواد </w:t>
      </w:r>
      <w:r w:rsidR="00B618A5" w:rsidRPr="00BC1017">
        <w:rPr>
          <w:rFonts w:eastAsiaTheme="minorEastAsia"/>
          <w:spacing w:val="-6"/>
          <w:rtl/>
        </w:rPr>
        <w:t>3</w:t>
      </w:r>
      <w:r w:rsidR="00B618A5" w:rsidRPr="00BB2E61">
        <w:rPr>
          <w:rFonts w:eastAsiaTheme="minorEastAsia"/>
          <w:spacing w:val="-6"/>
          <w:rtl/>
        </w:rPr>
        <w:t xml:space="preserve"> و</w:t>
      </w:r>
      <w:r w:rsidR="00B618A5" w:rsidRPr="00BC1017">
        <w:rPr>
          <w:rFonts w:eastAsiaTheme="minorEastAsia"/>
          <w:spacing w:val="-6"/>
          <w:rtl/>
        </w:rPr>
        <w:t>7</w:t>
      </w:r>
      <w:r w:rsidR="00B618A5" w:rsidRPr="00BB2E61">
        <w:rPr>
          <w:rFonts w:eastAsiaTheme="minorEastAsia"/>
          <w:spacing w:val="-6"/>
          <w:rtl/>
        </w:rPr>
        <w:t xml:space="preserve"> و</w:t>
      </w:r>
      <w:r w:rsidR="00B618A5" w:rsidRPr="00BC1017">
        <w:rPr>
          <w:rFonts w:eastAsiaTheme="minorEastAsia"/>
          <w:spacing w:val="-6"/>
          <w:rtl/>
        </w:rPr>
        <w:t>2</w:t>
      </w:r>
      <w:r w:rsidR="00BB5724" w:rsidRPr="00BC1017">
        <w:rPr>
          <w:rFonts w:eastAsiaTheme="minorEastAsia"/>
          <w:spacing w:val="-6"/>
          <w:rtl/>
        </w:rPr>
        <w:t>4</w:t>
      </w:r>
      <w:r w:rsidR="00BB5724" w:rsidRPr="00BB5724">
        <w:rPr>
          <w:rFonts w:eastAsiaTheme="minorEastAsia"/>
          <w:spacing w:val="-6"/>
          <w:rtl/>
        </w:rPr>
        <w:t>).</w:t>
      </w:r>
    </w:p>
    <w:p w14:paraId="25D2FEB5" w14:textId="22B6EB7D" w:rsidR="00B618A5" w:rsidRPr="00BC1017" w:rsidRDefault="00B618A5" w:rsidP="00B618A5">
      <w:pPr>
        <w:pStyle w:val="SingleTxtGA"/>
        <w:rPr>
          <w:rFonts w:eastAsiaTheme="minorEastAsia"/>
          <w:bCs/>
          <w:lang w:val="ar-SA" w:eastAsia="zh-TW" w:bidi="en-GB"/>
        </w:rPr>
      </w:pPr>
      <w:r w:rsidRPr="00BC1017">
        <w:rPr>
          <w:rFonts w:eastAsiaTheme="minorEastAsia"/>
          <w:rtl/>
        </w:rPr>
        <w:t>35</w:t>
      </w:r>
      <w:r w:rsidRPr="00B618A5">
        <w:rPr>
          <w:rFonts w:eastAsiaTheme="minorEastAsia"/>
          <w:rtl/>
        </w:rPr>
        <w:t>-</w:t>
      </w:r>
      <w:r w:rsidRPr="00B618A5">
        <w:rPr>
          <w:rFonts w:eastAsiaTheme="minorEastAsia"/>
          <w:rtl/>
        </w:rPr>
        <w:tab/>
      </w:r>
      <w:r w:rsidRPr="00BC1017">
        <w:rPr>
          <w:rFonts w:eastAsiaTheme="minorEastAsia"/>
          <w:bCs/>
          <w:rtl/>
        </w:rPr>
        <w:t>ينبغي للدولة الطرف القيام بما يلي:</w:t>
      </w:r>
    </w:p>
    <w:p w14:paraId="2A8233D5" w14:textId="3D33E617" w:rsidR="00B618A5" w:rsidRPr="00BC1017"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أ)</w:t>
      </w:r>
      <w:r w:rsidR="00B618A5" w:rsidRPr="00B618A5">
        <w:rPr>
          <w:rFonts w:eastAsiaTheme="minorEastAsia"/>
          <w:rtl/>
        </w:rPr>
        <w:tab/>
      </w:r>
      <w:r w:rsidR="00B618A5" w:rsidRPr="00BC1017">
        <w:rPr>
          <w:rFonts w:eastAsiaTheme="minorEastAsia"/>
          <w:bCs/>
          <w:rtl/>
        </w:rPr>
        <w:t>تعديل المادة 91 من القانون المدني على وجه السرعة لرفع الحد الأدنى لسن الزواج إلى 18 عام</w:t>
      </w:r>
      <w:r w:rsidR="00BB5724" w:rsidRPr="00BC1017">
        <w:rPr>
          <w:rFonts w:eastAsiaTheme="minorEastAsia"/>
          <w:bCs/>
          <w:rtl/>
        </w:rPr>
        <w:t xml:space="preserve">اً </w:t>
      </w:r>
      <w:r w:rsidR="00B618A5" w:rsidRPr="00BC1017">
        <w:rPr>
          <w:rFonts w:eastAsiaTheme="minorEastAsia"/>
          <w:bCs/>
          <w:rtl/>
        </w:rPr>
        <w:t>دون تمييز بين الجنسين؛</w:t>
      </w:r>
    </w:p>
    <w:p w14:paraId="600B3031" w14:textId="74478BC8" w:rsidR="00B618A5" w:rsidRPr="00BB2E61" w:rsidRDefault="00401692" w:rsidP="00B618A5">
      <w:pPr>
        <w:pStyle w:val="SingleTxtGA"/>
        <w:rPr>
          <w:rFonts w:eastAsiaTheme="minorEastAsia"/>
          <w:bCs/>
          <w:lang w:val="ar-SA" w:eastAsia="zh-TW" w:bidi="en-GB"/>
        </w:rPr>
      </w:pPr>
      <w:r>
        <w:rPr>
          <w:rFonts w:eastAsiaTheme="minorEastAsia"/>
          <w:rtl/>
        </w:rPr>
        <w:tab/>
        <w:t>(</w:t>
      </w:r>
      <w:r w:rsidR="00B618A5" w:rsidRPr="00B618A5">
        <w:rPr>
          <w:rFonts w:eastAsiaTheme="minorEastAsia"/>
          <w:rtl/>
        </w:rPr>
        <w:t>ب)</w:t>
      </w:r>
      <w:r w:rsidR="00B618A5" w:rsidRPr="00B618A5">
        <w:rPr>
          <w:rFonts w:eastAsiaTheme="minorEastAsia"/>
          <w:rtl/>
        </w:rPr>
        <w:tab/>
      </w:r>
      <w:r w:rsidR="00B618A5" w:rsidRPr="00BC1017">
        <w:rPr>
          <w:rFonts w:eastAsiaTheme="minorEastAsia"/>
          <w:bCs/>
          <w:rtl/>
        </w:rPr>
        <w:t>مضاعفة جهودها لمكافحة ظاهرة الأطفال المرتبطة أوضاعهم بالشوارع ومكافحة استغلال الأطفال عموماً، وإيلاء</w:t>
      </w:r>
      <w:r w:rsidR="00BB2E61" w:rsidRPr="00BC1017">
        <w:rPr>
          <w:rFonts w:eastAsiaTheme="minorEastAsia" w:hint="cs"/>
          <w:bCs/>
          <w:rtl/>
        </w:rPr>
        <w:t xml:space="preserve"> </w:t>
      </w:r>
      <w:r w:rsidR="00B618A5" w:rsidRPr="00BC1017">
        <w:rPr>
          <w:rFonts w:eastAsiaTheme="minorEastAsia"/>
          <w:bCs/>
          <w:rtl/>
        </w:rPr>
        <w:t>الأولوية لجمع البيانات الكمية المحدثة عن هذه المسألة، وتنظيم حملات توعية بشأن حقوق الطفل بين عامة الجمهور؛</w:t>
      </w:r>
    </w:p>
    <w:p w14:paraId="2844C263" w14:textId="11330FBE" w:rsidR="00B618A5" w:rsidRPr="00BC1017" w:rsidRDefault="00401692" w:rsidP="00B618A5">
      <w:pPr>
        <w:pStyle w:val="SingleTxtGA"/>
        <w:rPr>
          <w:rFonts w:eastAsiaTheme="minorEastAsia"/>
          <w:bCs/>
          <w:lang w:val="ar-SA" w:eastAsia="zh-TW" w:bidi="en-GB"/>
        </w:rPr>
      </w:pPr>
      <w:r>
        <w:rPr>
          <w:rFonts w:eastAsiaTheme="minorEastAsia"/>
          <w:rtl/>
        </w:rPr>
        <w:tab/>
      </w:r>
      <w:r w:rsidR="00B618A5" w:rsidRPr="00B618A5">
        <w:rPr>
          <w:rFonts w:eastAsiaTheme="minorEastAsia"/>
          <w:rtl/>
        </w:rPr>
        <w:t>(ج)</w:t>
      </w:r>
      <w:r w:rsidR="00B618A5" w:rsidRPr="00B618A5">
        <w:rPr>
          <w:rFonts w:eastAsiaTheme="minorEastAsia"/>
          <w:rtl/>
        </w:rPr>
        <w:tab/>
      </w:r>
      <w:r w:rsidR="00B618A5" w:rsidRPr="00BC1017">
        <w:rPr>
          <w:rFonts w:eastAsiaTheme="minorEastAsia"/>
          <w:bCs/>
          <w:rtl/>
        </w:rPr>
        <w:t>مضاعفة الجهود لمكافحة عمل الأطفال والقضاء عليه، بما في ذلك تحديث قائمة الأعمال التي تشكل خطراً على الأطفال؛</w:t>
      </w:r>
      <w:r w:rsidR="00B618A5" w:rsidRPr="00BB2E61">
        <w:rPr>
          <w:rFonts w:eastAsiaTheme="minorEastAsia"/>
          <w:bCs/>
          <w:rtl/>
        </w:rPr>
        <w:t xml:space="preserve"> </w:t>
      </w:r>
      <w:r w:rsidR="00B618A5" w:rsidRPr="00BC1017">
        <w:rPr>
          <w:rFonts w:eastAsiaTheme="minorEastAsia"/>
          <w:bCs/>
          <w:rtl/>
        </w:rPr>
        <w:t>وينبغي لها أيضاً إجراء دراسة استقصائية جديدة لجمع البيانات الكمية والنوعية.</w:t>
      </w:r>
    </w:p>
    <w:p w14:paraId="70E209BB" w14:textId="0DBC077F" w:rsidR="00B618A5" w:rsidRPr="00B618A5" w:rsidRDefault="00522E36" w:rsidP="00522E36">
      <w:pPr>
        <w:pStyle w:val="H1GA"/>
        <w:rPr>
          <w:lang w:val="ar-SA" w:eastAsia="zh-TW" w:bidi="en-GB"/>
        </w:rPr>
      </w:pPr>
      <w:r>
        <w:rPr>
          <w:rtl/>
        </w:rPr>
        <w:tab/>
      </w:r>
      <w:r w:rsidR="00B618A5" w:rsidRPr="00B618A5">
        <w:rPr>
          <w:rtl/>
        </w:rPr>
        <w:t>دال-</w:t>
      </w:r>
      <w:r w:rsidR="00B618A5" w:rsidRPr="00B618A5">
        <w:rPr>
          <w:rtl/>
        </w:rPr>
        <w:tab/>
        <w:t>النشر والمتابعة</w:t>
      </w:r>
    </w:p>
    <w:p w14:paraId="2A9C4CDC" w14:textId="7F509A29" w:rsidR="00B618A5" w:rsidRPr="00BB2E61" w:rsidRDefault="00B618A5" w:rsidP="00B618A5">
      <w:pPr>
        <w:pStyle w:val="SingleTxtGA"/>
        <w:rPr>
          <w:rFonts w:eastAsiaTheme="minorEastAsia"/>
          <w:bCs/>
          <w:lang w:val="ar-SA" w:eastAsia="zh-TW" w:bidi="en-GB"/>
        </w:rPr>
      </w:pPr>
      <w:r w:rsidRPr="00BC1017">
        <w:rPr>
          <w:rFonts w:eastAsiaTheme="minorEastAsia"/>
          <w:rtl/>
        </w:rPr>
        <w:t>36</w:t>
      </w:r>
      <w:r w:rsidRPr="00B618A5">
        <w:rPr>
          <w:rFonts w:eastAsiaTheme="minorEastAsia"/>
          <w:rtl/>
        </w:rPr>
        <w:t>-</w:t>
      </w:r>
      <w:r w:rsidRPr="00B618A5">
        <w:rPr>
          <w:rFonts w:eastAsiaTheme="minorEastAsia"/>
          <w:rtl/>
        </w:rPr>
        <w:tab/>
      </w:r>
      <w:r w:rsidRPr="00BC1017">
        <w:rPr>
          <w:rFonts w:eastAsiaTheme="minorEastAsia"/>
          <w:bCs/>
          <w:rtl/>
        </w:rPr>
        <w:t>ينبغي للدولة الطرف أن تنشر، على نطاق واسع نص العهد وبروتوكوليه الاختياريين وتقريرها الدوري السادس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w:t>
      </w:r>
      <w:r w:rsidR="00522E36" w:rsidRPr="00BC1017">
        <w:rPr>
          <w:rFonts w:eastAsiaTheme="minorEastAsia" w:hint="cs"/>
          <w:bCs/>
          <w:rtl/>
        </w:rPr>
        <w:t> </w:t>
      </w:r>
      <w:r w:rsidRPr="00BC1017">
        <w:rPr>
          <w:rFonts w:eastAsiaTheme="minorEastAsia"/>
          <w:bCs/>
          <w:rtl/>
        </w:rPr>
        <w:t>الجمهور.</w:t>
      </w:r>
    </w:p>
    <w:p w14:paraId="27271E33" w14:textId="158DC43D" w:rsidR="00BB5724" w:rsidRPr="00BB5724" w:rsidRDefault="00B618A5" w:rsidP="00B618A5">
      <w:pPr>
        <w:pStyle w:val="SingleTxtGA"/>
        <w:rPr>
          <w:rFonts w:eastAsiaTheme="minorEastAsia"/>
          <w:bCs/>
          <w:lang w:eastAsia="zh-TW" w:bidi="en-GB"/>
        </w:rPr>
      </w:pPr>
      <w:r w:rsidRPr="00BC1017">
        <w:rPr>
          <w:rFonts w:eastAsiaTheme="minorEastAsia"/>
          <w:rtl/>
        </w:rPr>
        <w:t>37</w:t>
      </w:r>
      <w:r w:rsidRPr="00B618A5">
        <w:rPr>
          <w:rFonts w:eastAsiaTheme="minorEastAsia"/>
          <w:rtl/>
        </w:rPr>
        <w:t>-</w:t>
      </w:r>
      <w:r w:rsidRPr="00B618A5">
        <w:rPr>
          <w:rFonts w:eastAsiaTheme="minorEastAsia"/>
          <w:rtl/>
        </w:rPr>
        <w:tab/>
      </w:r>
      <w:r w:rsidRPr="00BC1017">
        <w:rPr>
          <w:rFonts w:eastAsiaTheme="minorEastAsia"/>
          <w:bCs/>
          <w:rtl/>
        </w:rPr>
        <w:t>ووفقاً للفقرة 1 من المادة 75 من النظام الداخلي للجنة، تدعى الدولة الطرف إلى أن تقدم، بحلول 28 تموز/يوليه 2025، معلومات عن تنفيذ التوصيات التي قدمتها اللجنة في الفقرات 15 (العنف ضد المرأة والعنف العائلي) و23 (معاملة الأشخاص مسلوبي الحرية) و25 (اللجوء إلى القضاء واستقلال السلطة القضائية والحق في محاكمة عادلة</w:t>
      </w:r>
      <w:r w:rsidR="00BB5724" w:rsidRPr="00BC1017">
        <w:rPr>
          <w:rFonts w:eastAsiaTheme="minorEastAsia"/>
          <w:bCs/>
          <w:rtl/>
        </w:rPr>
        <w:t>).</w:t>
      </w:r>
    </w:p>
    <w:p w14:paraId="547AA594" w14:textId="22BE5B9A" w:rsidR="00B618A5" w:rsidRPr="00BC1017" w:rsidRDefault="00B618A5" w:rsidP="00B618A5">
      <w:pPr>
        <w:pStyle w:val="SingleTxtGA"/>
        <w:rPr>
          <w:rFonts w:eastAsiaTheme="minorEastAsia"/>
          <w:bCs/>
          <w:lang w:eastAsia="zh-TW" w:bidi="en-GB"/>
        </w:rPr>
      </w:pPr>
      <w:r w:rsidRPr="00BC1017">
        <w:rPr>
          <w:rFonts w:eastAsiaTheme="minorEastAsia"/>
          <w:rtl/>
        </w:rPr>
        <w:t>38</w:t>
      </w:r>
      <w:r w:rsidRPr="00B618A5">
        <w:rPr>
          <w:rFonts w:eastAsiaTheme="minorEastAsia"/>
          <w:rtl/>
        </w:rPr>
        <w:t>-</w:t>
      </w:r>
      <w:r w:rsidRPr="00B618A5">
        <w:rPr>
          <w:rFonts w:eastAsiaTheme="minorEastAsia"/>
          <w:rtl/>
        </w:rPr>
        <w:tab/>
      </w:r>
      <w:r w:rsidRPr="00BC1017">
        <w:rPr>
          <w:rFonts w:eastAsiaTheme="minorEastAsia"/>
          <w:bCs/>
          <w:rtl/>
        </w:rPr>
        <w:t xml:space="preserve">وبالنظر إلى أن الدولة الطرف قبلت الإجراء المبسط لتقديم التقارير، ستحيل إليها اللجنة في </w:t>
      </w:r>
      <w:r w:rsidRPr="00BC1017">
        <w:rPr>
          <w:rFonts w:ascii="Times New Roman Bold" w:eastAsiaTheme="minorEastAsia" w:hAnsi="Times New Roman Bold"/>
          <w:bCs/>
          <w:spacing w:val="-4"/>
          <w:rtl/>
        </w:rPr>
        <w:t>الوقت المناسب قائمة مسائل قبل تقديم التقرير.</w:t>
      </w:r>
      <w:r w:rsidRPr="00BB2E61">
        <w:rPr>
          <w:rFonts w:ascii="Times New Roman Bold" w:eastAsiaTheme="minorEastAsia" w:hAnsi="Times New Roman Bold"/>
          <w:bCs/>
          <w:spacing w:val="-4"/>
          <w:rtl/>
        </w:rPr>
        <w:t xml:space="preserve"> </w:t>
      </w:r>
      <w:r w:rsidRPr="00BC1017">
        <w:rPr>
          <w:rFonts w:ascii="Times New Roman Bold" w:eastAsiaTheme="minorEastAsia" w:hAnsi="Times New Roman Bold"/>
          <w:bCs/>
          <w:spacing w:val="-4"/>
          <w:rtl/>
        </w:rPr>
        <w:t>وستشكل ردود الدولة الطرف على قائمة المسائل تلك تقريرها الدوري السابع.</w:t>
      </w:r>
      <w:r w:rsidRPr="00BB2E61">
        <w:rPr>
          <w:rFonts w:ascii="Times New Roman Bold" w:eastAsiaTheme="minorEastAsia" w:hAnsi="Times New Roman Bold"/>
          <w:bCs/>
          <w:spacing w:val="-4"/>
          <w:rtl/>
        </w:rPr>
        <w:t xml:space="preserve"> </w:t>
      </w:r>
      <w:r w:rsidRPr="00BC1017">
        <w:rPr>
          <w:rFonts w:ascii="Times New Roman Bold" w:eastAsiaTheme="minorEastAsia" w:hAnsi="Times New Roman Bold"/>
          <w:bCs/>
          <w:spacing w:val="-4"/>
          <w:rtl/>
        </w:rPr>
        <w:t>ووفقاً لقرار الجمعية العامة 68/268، يبلغ الحد الأقصى لعدد كلمات التقرير 200 21 كلمة</w:t>
      </w:r>
      <w:r w:rsidRPr="00BC1017">
        <w:rPr>
          <w:rFonts w:eastAsiaTheme="minorEastAsia"/>
          <w:bCs/>
          <w:rtl/>
        </w:rPr>
        <w:t>.</w:t>
      </w:r>
      <w:r w:rsidRPr="00BB2E61">
        <w:rPr>
          <w:rFonts w:eastAsiaTheme="minorEastAsia"/>
          <w:bCs/>
          <w:rtl/>
        </w:rPr>
        <w:t xml:space="preserve"> </w:t>
      </w:r>
      <w:r w:rsidRPr="00BC1017">
        <w:rPr>
          <w:rFonts w:eastAsiaTheme="minorEastAsia"/>
          <w:bCs/>
          <w:rtl/>
        </w:rPr>
        <w:t>وسيعقد الحوار البنّاء المقبل مع الدولة الطرف في عام 2030 في جنيف.</w:t>
      </w:r>
    </w:p>
    <w:p w14:paraId="4C8E1BF9" w14:textId="02D3FBEC" w:rsidR="00401692" w:rsidRPr="00401692" w:rsidRDefault="00401692" w:rsidP="00401692">
      <w:pPr>
        <w:pStyle w:val="SingleTxtGA"/>
        <w:jc w:val="center"/>
        <w:rPr>
          <w:u w:val="single"/>
          <w:rtl/>
        </w:rPr>
      </w:pPr>
      <w:r>
        <w:rPr>
          <w:u w:val="single"/>
          <w:rtl/>
        </w:rPr>
        <w:tab/>
      </w:r>
      <w:r>
        <w:rPr>
          <w:u w:val="single"/>
          <w:rtl/>
        </w:rPr>
        <w:tab/>
      </w:r>
      <w:r>
        <w:rPr>
          <w:u w:val="single"/>
          <w:rtl/>
        </w:rPr>
        <w:tab/>
      </w:r>
    </w:p>
    <w:sectPr w:rsidR="00401692" w:rsidRPr="00401692" w:rsidSect="004A496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B02E" w14:textId="77777777" w:rsidR="00FC473F" w:rsidRPr="002901D9" w:rsidRDefault="00FC473F" w:rsidP="00DC4D4B">
      <w:pPr>
        <w:spacing w:after="60" w:line="240" w:lineRule="auto"/>
        <w:ind w:left="57"/>
        <w:rPr>
          <w:i/>
          <w:iCs/>
        </w:rPr>
      </w:pPr>
      <w:r>
        <w:rPr>
          <w:rFonts w:hint="cs"/>
          <w:i/>
          <w:iCs/>
          <w:rtl/>
        </w:rPr>
        <w:t>الحواشي</w:t>
      </w:r>
    </w:p>
  </w:endnote>
  <w:endnote w:type="continuationSeparator" w:id="0">
    <w:p w14:paraId="14E06D2E" w14:textId="77777777" w:rsidR="00FC473F" w:rsidRDefault="00FC473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19F6" w14:textId="41C0F49A" w:rsidR="008F0E86" w:rsidRPr="008F0E86" w:rsidRDefault="008F0E86" w:rsidP="008F0E86">
    <w:pPr>
      <w:pStyle w:val="Footer"/>
      <w:tabs>
        <w:tab w:val="right" w:pos="9638"/>
      </w:tabs>
      <w:rPr>
        <w:b/>
        <w:sz w:val="18"/>
        <w:lang w:val="en-US"/>
      </w:rPr>
    </w:pPr>
    <w:r>
      <w:rPr>
        <w:lang w:val="en-US"/>
      </w:rPr>
      <w:t>GE.22-15795</w:t>
    </w:r>
    <w:r>
      <w:rPr>
        <w:lang w:val="en-US"/>
      </w:rPr>
      <w:tab/>
    </w:r>
    <w:r w:rsidRPr="008F0E86">
      <w:rPr>
        <w:b/>
        <w:sz w:val="18"/>
        <w:lang w:val="en-US"/>
      </w:rPr>
      <w:fldChar w:fldCharType="begin"/>
    </w:r>
    <w:r w:rsidRPr="008F0E86">
      <w:rPr>
        <w:b/>
        <w:sz w:val="18"/>
        <w:lang w:val="en-US"/>
      </w:rPr>
      <w:instrText xml:space="preserve"> PAGE  \* MERGEFORMAT </w:instrText>
    </w:r>
    <w:r w:rsidRPr="008F0E86">
      <w:rPr>
        <w:b/>
        <w:sz w:val="18"/>
        <w:lang w:val="en-US"/>
      </w:rPr>
      <w:fldChar w:fldCharType="separate"/>
    </w:r>
    <w:r w:rsidRPr="008F0E86">
      <w:rPr>
        <w:b/>
        <w:noProof/>
        <w:sz w:val="18"/>
        <w:lang w:val="en-US"/>
      </w:rPr>
      <w:t>2</w:t>
    </w:r>
    <w:r w:rsidRPr="008F0E8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614B" w14:textId="3EE99B09" w:rsidR="006959B0" w:rsidRPr="008F0E86" w:rsidRDefault="008F0E86" w:rsidP="008F0E86">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GE.22-15795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2666" w14:textId="3C124CCA" w:rsidR="00DE50B1" w:rsidRPr="008F0E86" w:rsidRDefault="008F0E86" w:rsidP="008F0E86">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09593C9D" wp14:editId="3835510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22-15795 (A)</w:t>
    </w:r>
    <w:r>
      <w:rPr>
        <w:noProof/>
        <w:sz w:val="20"/>
        <w:lang w:val="en-US"/>
      </w:rPr>
      <w:drawing>
        <wp:anchor distT="0" distB="0" distL="114300" distR="114300" simplePos="0" relativeHeight="251659264" behindDoc="0" locked="0" layoutInCell="1" allowOverlap="1" wp14:anchorId="20C95A52" wp14:editId="5A01C5A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DAA7" w14:textId="77777777" w:rsidR="00FC473F" w:rsidRPr="008A49D2" w:rsidRDefault="00FC473F"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0797A97" w14:textId="77777777" w:rsidR="00FC473F" w:rsidRDefault="00FC473F" w:rsidP="00656392">
      <w:pPr>
        <w:spacing w:line="240" w:lineRule="auto"/>
      </w:pPr>
      <w:r>
        <w:continuationSeparator/>
      </w:r>
    </w:p>
  </w:footnote>
  <w:footnote w:id="1">
    <w:p w14:paraId="41AEDBB4" w14:textId="4F4055BB" w:rsidR="00B618A5" w:rsidRPr="00B618A5" w:rsidRDefault="00B618A5" w:rsidP="00B618A5">
      <w:pPr>
        <w:pStyle w:val="FootnoteText1"/>
        <w:rPr>
          <w:rtl/>
        </w:rPr>
      </w:pPr>
      <w:r w:rsidRPr="00401692">
        <w:rPr>
          <w:sz w:val="20"/>
          <w:szCs w:val="20"/>
          <w:rtl/>
        </w:rPr>
        <w:t>*</w:t>
      </w:r>
      <w:r>
        <w:rPr>
          <w:rtl/>
        </w:rPr>
        <w:tab/>
      </w:r>
      <w:r w:rsidRPr="00C56A5B">
        <w:rPr>
          <w:rtl/>
        </w:rPr>
        <w:t xml:space="preserve">اعتمدتها اللجنة في دورتها </w:t>
      </w:r>
      <w:r w:rsidRPr="00BC1017">
        <w:rPr>
          <w:rFonts w:ascii="Simplified Arabic"/>
          <w:rtl/>
        </w:rPr>
        <w:t>135</w:t>
      </w:r>
      <w:r w:rsidRPr="00C56A5B">
        <w:rPr>
          <w:rFonts w:ascii="Simplified Arabic"/>
          <w:rtl/>
        </w:rPr>
        <w:t xml:space="preserve"> (</w:t>
      </w:r>
      <w:r w:rsidRPr="00BC1017">
        <w:rPr>
          <w:rFonts w:ascii="Simplified Arabic"/>
          <w:rtl/>
        </w:rPr>
        <w:t>27</w:t>
      </w:r>
      <w:r w:rsidRPr="00C56A5B">
        <w:rPr>
          <w:rtl/>
        </w:rPr>
        <w:t xml:space="preserve"> حزيران/يونيه - </w:t>
      </w:r>
      <w:r w:rsidRPr="00BC1017">
        <w:rPr>
          <w:rFonts w:ascii="Simplified Arabic"/>
          <w:rtl/>
        </w:rPr>
        <w:t>27</w:t>
      </w:r>
      <w:r w:rsidRPr="00C56A5B">
        <w:rPr>
          <w:rtl/>
        </w:rPr>
        <w:t xml:space="preserve"> تموز/يوليه </w:t>
      </w:r>
      <w:r w:rsidRPr="00BC1017">
        <w:rPr>
          <w:rFonts w:ascii="Simplified Arabic"/>
          <w:rtl/>
        </w:rPr>
        <w:t>2022</w:t>
      </w:r>
      <w:r w:rsidR="00BB5724" w:rsidRPr="00BB5724">
        <w:rPr>
          <w:rFonts w:ascii="Simplified Arabic"/>
          <w:rtl/>
        </w:rPr>
        <w:t>)</w:t>
      </w:r>
      <w:r w:rsidR="00BB5724" w:rsidRPr="00BB5724">
        <w:rPr>
          <w:rtl/>
        </w:rPr>
        <w:t xml:space="preserve">. </w:t>
      </w:r>
    </w:p>
  </w:footnote>
  <w:footnote w:id="2">
    <w:p w14:paraId="281903C5" w14:textId="3035CC44" w:rsidR="00BB5724" w:rsidRPr="00C56A5B" w:rsidRDefault="00BB5724" w:rsidP="00BB5724">
      <w:pPr>
        <w:pStyle w:val="FootnoteText1"/>
        <w:textDirection w:val="tbRlV"/>
        <w:rPr>
          <w:lang w:val="ar-SA" w:eastAsia="zh-TW" w:bidi="en-GB"/>
        </w:rPr>
      </w:pPr>
      <w:r w:rsidRPr="00401692">
        <w:rPr>
          <w:rFonts w:hint="cs"/>
          <w:rtl/>
        </w:rPr>
        <w:t>(</w:t>
      </w:r>
      <w:r w:rsidRPr="00BC1017">
        <w:rPr>
          <w:rStyle w:val="FootnoteReference"/>
          <w:vertAlign w:val="baseline"/>
        </w:rPr>
        <w:footnoteRef/>
      </w:r>
      <w:r w:rsidRPr="00401692">
        <w:rPr>
          <w:rFonts w:hint="cs"/>
          <w:rtl/>
        </w:rPr>
        <w:t>)</w:t>
      </w:r>
      <w:r w:rsidRPr="00C56A5B">
        <w:rPr>
          <w:rtl/>
        </w:rPr>
        <w:tab/>
      </w:r>
      <w:hyperlink r:id="rId1" w:history="1">
        <w:r w:rsidRPr="00BB5724">
          <w:rPr>
            <w:rStyle w:val="Hyperlink"/>
          </w:rPr>
          <w:t>CCPR/C/URY/</w:t>
        </w:r>
        <w:r w:rsidRPr="00BC1017">
          <w:rPr>
            <w:rStyle w:val="Hyperlink"/>
          </w:rPr>
          <w:t>6</w:t>
        </w:r>
      </w:hyperlink>
      <w:r w:rsidR="00494BF2" w:rsidRPr="00BB5724">
        <w:rPr>
          <w:rtl/>
        </w:rPr>
        <w:t>.</w:t>
      </w:r>
    </w:p>
  </w:footnote>
  <w:footnote w:id="3">
    <w:p w14:paraId="384EC1D1" w14:textId="60ED5C70" w:rsidR="00BB5724" w:rsidRPr="00C56A5B" w:rsidRDefault="00BB5724" w:rsidP="00BB5724">
      <w:pPr>
        <w:pStyle w:val="FootnoteText1"/>
        <w:textDirection w:val="tbRlV"/>
        <w:rPr>
          <w:lang w:val="ar-SA" w:eastAsia="zh-TW" w:bidi="en-GB"/>
        </w:rPr>
      </w:pPr>
      <w:r w:rsidRPr="00401692">
        <w:rPr>
          <w:rFonts w:hint="cs"/>
          <w:rtl/>
        </w:rPr>
        <w:t>(</w:t>
      </w:r>
      <w:r w:rsidRPr="00BC1017">
        <w:rPr>
          <w:rStyle w:val="FootnoteReference"/>
          <w:vertAlign w:val="baseline"/>
        </w:rPr>
        <w:footnoteRef/>
      </w:r>
      <w:r w:rsidRPr="00401692">
        <w:rPr>
          <w:rFonts w:hint="cs"/>
          <w:rtl/>
        </w:rPr>
        <w:t>)</w:t>
      </w:r>
      <w:r w:rsidRPr="00C56A5B">
        <w:rPr>
          <w:rtl/>
        </w:rPr>
        <w:tab/>
      </w:r>
      <w:hyperlink r:id="rId2" w:history="1">
        <w:r w:rsidRPr="00BB5724">
          <w:rPr>
            <w:rStyle w:val="Hyperlink"/>
          </w:rPr>
          <w:t>CCPR/C/SR.</w:t>
        </w:r>
        <w:r w:rsidRPr="00BC1017">
          <w:rPr>
            <w:rStyle w:val="Hyperlink"/>
          </w:rPr>
          <w:t>3882</w:t>
        </w:r>
      </w:hyperlink>
      <w:r>
        <w:rPr>
          <w:rtl/>
        </w:rPr>
        <w:t xml:space="preserve"> و</w:t>
      </w:r>
      <w:hyperlink r:id="rId3" w:history="1">
        <w:r w:rsidRPr="00BB5724">
          <w:rPr>
            <w:rStyle w:val="Hyperlink"/>
          </w:rPr>
          <w:t>CCPR/C/SR.</w:t>
        </w:r>
        <w:r w:rsidRPr="00BC1017">
          <w:rPr>
            <w:rStyle w:val="Hyperlink"/>
          </w:rPr>
          <w:t>3883</w:t>
        </w:r>
      </w:hyperlink>
      <w:r w:rsidR="00494BF2" w:rsidRPr="00BB5724">
        <w:rPr>
          <w:rtl/>
        </w:rPr>
        <w:t>.</w:t>
      </w:r>
    </w:p>
  </w:footnote>
  <w:footnote w:id="4">
    <w:p w14:paraId="758D6FF3" w14:textId="4B9E7E07" w:rsidR="00BB5724" w:rsidRPr="00494BF2" w:rsidRDefault="00BB5724" w:rsidP="00BB5724">
      <w:pPr>
        <w:pStyle w:val="FootnoteText1"/>
        <w:textDirection w:val="tbRlV"/>
        <w:rPr>
          <w:szCs w:val="20"/>
          <w:lang w:eastAsia="zh-TW" w:bidi="en-GB"/>
        </w:rPr>
      </w:pPr>
      <w:r w:rsidRPr="00401692">
        <w:rPr>
          <w:rFonts w:hint="cs"/>
          <w:rtl/>
        </w:rPr>
        <w:t>(</w:t>
      </w:r>
      <w:r w:rsidRPr="00BC1017">
        <w:rPr>
          <w:rStyle w:val="FootnoteReference"/>
          <w:vertAlign w:val="baseline"/>
        </w:rPr>
        <w:footnoteRef/>
      </w:r>
      <w:r w:rsidRPr="00401692">
        <w:rPr>
          <w:rFonts w:hint="cs"/>
          <w:rtl/>
        </w:rPr>
        <w:t>)</w:t>
      </w:r>
      <w:r w:rsidRPr="00C56A5B">
        <w:rPr>
          <w:rtl/>
        </w:rPr>
        <w:tab/>
      </w:r>
      <w:hyperlink r:id="rId4" w:history="1">
        <w:r w:rsidRPr="00BB5724">
          <w:rPr>
            <w:rStyle w:val="Hyperlink"/>
          </w:rPr>
          <w:t>CCPR/C/URY/QPR/</w:t>
        </w:r>
        <w:r w:rsidRPr="00BC1017">
          <w:rPr>
            <w:rStyle w:val="Hyperlink"/>
          </w:rPr>
          <w:t>6</w:t>
        </w:r>
      </w:hyperlink>
      <w:r w:rsidR="00494BF2" w:rsidRPr="00BB5724">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5077" w14:textId="3E9B0CF9" w:rsidR="008F0E86" w:rsidRPr="008F0E86" w:rsidRDefault="008F0E86" w:rsidP="008F0E8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CCPR/C/URY/CO/6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2CD3" w14:textId="78421487" w:rsidR="008F0E86" w:rsidRPr="008F0E86" w:rsidRDefault="008F0E86" w:rsidP="008F0E8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CCPR/C/URY/CO/6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6"/>
  </w:num>
  <w:num w:numId="2">
    <w:abstractNumId w:val="23"/>
  </w:num>
  <w:num w:numId="3">
    <w:abstractNumId w:val="12"/>
  </w:num>
  <w:num w:numId="4">
    <w:abstractNumId w:val="22"/>
  </w:num>
  <w:num w:numId="5">
    <w:abstractNumId w:val="19"/>
  </w:num>
  <w:num w:numId="6">
    <w:abstractNumId w:val="16"/>
  </w:num>
  <w:num w:numId="7">
    <w:abstractNumId w:val="28"/>
  </w:num>
  <w:num w:numId="8">
    <w:abstractNumId w:val="12"/>
  </w:num>
  <w:num w:numId="9">
    <w:abstractNumId w:val="22"/>
  </w:num>
  <w:num w:numId="10">
    <w:abstractNumId w:val="16"/>
  </w:num>
  <w:num w:numId="11">
    <w:abstractNumId w:val="28"/>
  </w:num>
  <w:num w:numId="12">
    <w:abstractNumId w:val="12"/>
  </w:num>
  <w:num w:numId="13">
    <w:abstractNumId w:val="22"/>
  </w:num>
  <w:num w:numId="14">
    <w:abstractNumId w:val="19"/>
  </w:num>
  <w:num w:numId="15">
    <w:abstractNumId w:val="16"/>
  </w:num>
  <w:num w:numId="16">
    <w:abstractNumId w:val="28"/>
  </w:num>
  <w:num w:numId="17">
    <w:abstractNumId w:val="15"/>
  </w:num>
  <w:num w:numId="18">
    <w:abstractNumId w:val="13"/>
  </w:num>
  <w:num w:numId="19">
    <w:abstractNumId w:val="27"/>
  </w:num>
  <w:num w:numId="20">
    <w:abstractNumId w:val="24"/>
  </w:num>
  <w:num w:numId="21">
    <w:abstractNumId w:val="11"/>
  </w:num>
  <w:num w:numId="22">
    <w:abstractNumId w:val="25"/>
  </w:num>
  <w:num w:numId="23">
    <w:abstractNumId w:val="10"/>
  </w:num>
  <w:num w:numId="24">
    <w:abstractNumId w:val="20"/>
  </w:num>
  <w:num w:numId="25">
    <w:abstractNumId w:val="2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1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18"/>
  </w:num>
  <w:num w:numId="31">
    <w:abstractNumId w:val="17"/>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17"/>
  </w:num>
  <w:num w:numId="33">
    <w:abstractNumId w:val="14"/>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6"/>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3F"/>
    <w:rsid w:val="000076D5"/>
    <w:rsid w:val="00043663"/>
    <w:rsid w:val="000437B8"/>
    <w:rsid w:val="000505CF"/>
    <w:rsid w:val="000D701C"/>
    <w:rsid w:val="000E2A71"/>
    <w:rsid w:val="00145497"/>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B4237"/>
    <w:rsid w:val="003D1062"/>
    <w:rsid w:val="00401692"/>
    <w:rsid w:val="00402051"/>
    <w:rsid w:val="00420D7B"/>
    <w:rsid w:val="00450B21"/>
    <w:rsid w:val="00453B63"/>
    <w:rsid w:val="00455780"/>
    <w:rsid w:val="0046323F"/>
    <w:rsid w:val="00494BF2"/>
    <w:rsid w:val="004A4965"/>
    <w:rsid w:val="004B0A1C"/>
    <w:rsid w:val="004B27E0"/>
    <w:rsid w:val="004D298E"/>
    <w:rsid w:val="005044B3"/>
    <w:rsid w:val="00517BC9"/>
    <w:rsid w:val="00522E36"/>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6510D"/>
    <w:rsid w:val="0068781D"/>
    <w:rsid w:val="006959B0"/>
    <w:rsid w:val="006B3E27"/>
    <w:rsid w:val="006B6507"/>
    <w:rsid w:val="006C104C"/>
    <w:rsid w:val="006C632E"/>
    <w:rsid w:val="006F3131"/>
    <w:rsid w:val="00717FB3"/>
    <w:rsid w:val="00730446"/>
    <w:rsid w:val="00733704"/>
    <w:rsid w:val="00753484"/>
    <w:rsid w:val="00761FD3"/>
    <w:rsid w:val="0078071A"/>
    <w:rsid w:val="00787022"/>
    <w:rsid w:val="00787E1E"/>
    <w:rsid w:val="007A36C8"/>
    <w:rsid w:val="00852A9A"/>
    <w:rsid w:val="00857EE6"/>
    <w:rsid w:val="008A49D2"/>
    <w:rsid w:val="008F0E86"/>
    <w:rsid w:val="008F49E1"/>
    <w:rsid w:val="0090370F"/>
    <w:rsid w:val="009077C3"/>
    <w:rsid w:val="009269D2"/>
    <w:rsid w:val="009344CE"/>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445"/>
    <w:rsid w:val="00A54828"/>
    <w:rsid w:val="00A97E1F"/>
    <w:rsid w:val="00AB512E"/>
    <w:rsid w:val="00AB6758"/>
    <w:rsid w:val="00AB727F"/>
    <w:rsid w:val="00B13763"/>
    <w:rsid w:val="00B477A4"/>
    <w:rsid w:val="00B54045"/>
    <w:rsid w:val="00B618A5"/>
    <w:rsid w:val="00B63ADD"/>
    <w:rsid w:val="00BB09A0"/>
    <w:rsid w:val="00BB2E61"/>
    <w:rsid w:val="00BB5724"/>
    <w:rsid w:val="00BC1017"/>
    <w:rsid w:val="00BC7A3E"/>
    <w:rsid w:val="00C175A6"/>
    <w:rsid w:val="00C41DCF"/>
    <w:rsid w:val="00C42AF7"/>
    <w:rsid w:val="00C438D7"/>
    <w:rsid w:val="00C62C20"/>
    <w:rsid w:val="00C81B50"/>
    <w:rsid w:val="00C902EF"/>
    <w:rsid w:val="00CB0011"/>
    <w:rsid w:val="00CB6622"/>
    <w:rsid w:val="00CC3232"/>
    <w:rsid w:val="00CC3D30"/>
    <w:rsid w:val="00CD1801"/>
    <w:rsid w:val="00CF56F9"/>
    <w:rsid w:val="00CF65C6"/>
    <w:rsid w:val="00D00A89"/>
    <w:rsid w:val="00D04E00"/>
    <w:rsid w:val="00D10EF1"/>
    <w:rsid w:val="00D27C50"/>
    <w:rsid w:val="00D42810"/>
    <w:rsid w:val="00D60DD5"/>
    <w:rsid w:val="00D914A7"/>
    <w:rsid w:val="00DC31FC"/>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52A21"/>
    <w:rsid w:val="00F763B4"/>
    <w:rsid w:val="00F900C3"/>
    <w:rsid w:val="00FC473F"/>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78396"/>
  <w15:docId w15:val="{DBF4C3D9-9144-45FE-AE62-1A368637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nhideWhenUsed/>
    <w:qFormat/>
    <w:rsid w:val="003B4237"/>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3B4237"/>
    <w:pPr>
      <w:keepNext/>
      <w:keepLines/>
      <w:spacing w:before="200"/>
      <w:outlineLvl w:val="2"/>
    </w:pPr>
    <w:rPr>
      <w:b/>
      <w:bCs/>
      <w:color w:val="4F81BD"/>
    </w:rPr>
  </w:style>
  <w:style w:type="paragraph" w:styleId="Heading4">
    <w:name w:val="heading 4"/>
    <w:basedOn w:val="Normal"/>
    <w:next w:val="Normal"/>
    <w:link w:val="Heading4Char"/>
    <w:unhideWhenUsed/>
    <w:qFormat/>
    <w:rsid w:val="003B4237"/>
    <w:pPr>
      <w:keepNext/>
      <w:keepLines/>
      <w:spacing w:before="200"/>
      <w:outlineLvl w:val="3"/>
    </w:pPr>
    <w:rPr>
      <w:b/>
      <w:bCs/>
      <w:i/>
      <w:iCs/>
      <w:color w:val="4F81BD"/>
    </w:rPr>
  </w:style>
  <w:style w:type="paragraph" w:styleId="Heading5">
    <w:name w:val="heading 5"/>
    <w:basedOn w:val="Normal"/>
    <w:next w:val="Normal"/>
    <w:link w:val="Heading5Char"/>
    <w:unhideWhenUsed/>
    <w:qFormat/>
    <w:rsid w:val="003B4237"/>
    <w:pPr>
      <w:keepNext/>
      <w:keepLines/>
      <w:spacing w:before="200"/>
      <w:outlineLvl w:val="4"/>
    </w:pPr>
    <w:rPr>
      <w:color w:val="243F60"/>
    </w:rPr>
  </w:style>
  <w:style w:type="paragraph" w:styleId="Heading6">
    <w:name w:val="heading 6"/>
    <w:basedOn w:val="Normal"/>
    <w:next w:val="Normal"/>
    <w:link w:val="Heading6Char"/>
    <w:unhideWhenUsed/>
    <w:qFormat/>
    <w:rsid w:val="003B4237"/>
    <w:pPr>
      <w:keepNext/>
      <w:keepLines/>
      <w:spacing w:before="200"/>
      <w:outlineLvl w:val="5"/>
    </w:pPr>
    <w:rPr>
      <w:i/>
      <w:iCs/>
      <w:color w:val="243F60"/>
    </w:rPr>
  </w:style>
  <w:style w:type="paragraph" w:styleId="Heading7">
    <w:name w:val="heading 7"/>
    <w:basedOn w:val="Normal"/>
    <w:next w:val="Normal"/>
    <w:link w:val="Heading7Char"/>
    <w:unhideWhenUsed/>
    <w:qFormat/>
    <w:rsid w:val="003B4237"/>
    <w:pPr>
      <w:keepNext/>
      <w:keepLines/>
      <w:spacing w:before="200"/>
      <w:outlineLvl w:val="6"/>
    </w:pPr>
    <w:rPr>
      <w:i/>
      <w:iCs/>
      <w:color w:val="404040"/>
    </w:rPr>
  </w:style>
  <w:style w:type="paragraph" w:styleId="Heading8">
    <w:name w:val="heading 8"/>
    <w:basedOn w:val="Normal"/>
    <w:next w:val="Normal"/>
    <w:link w:val="Heading8Char"/>
    <w:unhideWhenUsed/>
    <w:qFormat/>
    <w:rsid w:val="003B4237"/>
    <w:pPr>
      <w:keepNext/>
      <w:keepLines/>
      <w:spacing w:before="200"/>
      <w:outlineLvl w:val="7"/>
    </w:pPr>
    <w:rPr>
      <w:color w:val="404040"/>
      <w:szCs w:val="20"/>
    </w:rPr>
  </w:style>
  <w:style w:type="paragraph" w:styleId="Heading9">
    <w:name w:val="heading 9"/>
    <w:basedOn w:val="Normal"/>
    <w:next w:val="Normal"/>
    <w:link w:val="Heading9Char"/>
    <w:unhideWhenUsed/>
    <w:qFormat/>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3B4237"/>
    <w:rPr>
      <w:rFonts w:ascii="Times New Roman" w:eastAsia="PMingLiU" w:hAnsi="Times New Roman" w:cs="Simplified Arabic"/>
      <w:color w:val="404040"/>
      <w:lang w:eastAsia="en-US"/>
    </w:rPr>
  </w:style>
  <w:style w:type="character" w:customStyle="1" w:styleId="Heading9Char">
    <w:name w:val="Heading 9 Char"/>
    <w:link w:val="Heading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MG">
    <w:name w:val="_ H __M_G"/>
    <w:basedOn w:val="Normal"/>
    <w:next w:val="Normal"/>
    <w:qFormat/>
    <w:rsid w:val="00B618A5"/>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outlineLvl w:val="0"/>
    </w:pPr>
    <w:rPr>
      <w:rFonts w:eastAsia="Times New Roman" w:hAnsiTheme="minorHAnsi" w:hint="cs"/>
      <w:b/>
      <w:sz w:val="34"/>
      <w:szCs w:val="30"/>
      <w:lang w:val="fr-CH" w:eastAsia="zh-CN"/>
    </w:rPr>
  </w:style>
  <w:style w:type="paragraph" w:customStyle="1" w:styleId="HChG">
    <w:name w:val="_ H _Ch_G"/>
    <w:basedOn w:val="Normal"/>
    <w:next w:val="Normal"/>
    <w:link w:val="HChGChar"/>
    <w:qFormat/>
    <w:rsid w:val="00B618A5"/>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eastAsia="Times New Roman" w:hAnsiTheme="minorHAnsi"/>
      <w:b/>
      <w:sz w:val="28"/>
      <w:szCs w:val="30"/>
      <w:lang w:val="fr-CH" w:eastAsia="zh-CN"/>
    </w:rPr>
  </w:style>
  <w:style w:type="paragraph" w:customStyle="1" w:styleId="H1G">
    <w:name w:val="_ H_1_G"/>
    <w:basedOn w:val="Normal"/>
    <w:next w:val="Normal"/>
    <w:link w:val="H1GChar"/>
    <w:qFormat/>
    <w:rsid w:val="00B618A5"/>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eastAsia="Times New Roman" w:hAnsiTheme="minorHAnsi"/>
      <w:b/>
      <w:sz w:val="24"/>
      <w:szCs w:val="30"/>
      <w:lang w:val="fr-CH" w:eastAsia="zh-CN"/>
    </w:rPr>
  </w:style>
  <w:style w:type="paragraph" w:customStyle="1" w:styleId="H23G">
    <w:name w:val="_ H_2/3_G"/>
    <w:basedOn w:val="Normal"/>
    <w:next w:val="Normal"/>
    <w:link w:val="H23GChar"/>
    <w:qFormat/>
    <w:rsid w:val="00B618A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eastAsia="Times New Roman" w:hAnsiTheme="minorHAnsi"/>
      <w:b/>
      <w:szCs w:val="30"/>
      <w:lang w:val="fr-CH" w:eastAsia="zh-CN"/>
    </w:rPr>
  </w:style>
  <w:style w:type="paragraph" w:customStyle="1" w:styleId="H4G">
    <w:name w:val="_ H_4_G"/>
    <w:basedOn w:val="Normal"/>
    <w:next w:val="Normal"/>
    <w:qFormat/>
    <w:rsid w:val="00B618A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eastAsia="Times New Roman" w:hAnsiTheme="minorHAnsi" w:hint="cs"/>
      <w:i/>
      <w:szCs w:val="30"/>
      <w:lang w:val="fr-CH" w:eastAsia="zh-CN"/>
    </w:rPr>
  </w:style>
  <w:style w:type="paragraph" w:customStyle="1" w:styleId="H56G">
    <w:name w:val="_ H_5/6_G"/>
    <w:basedOn w:val="Normal"/>
    <w:next w:val="Normal"/>
    <w:qFormat/>
    <w:rsid w:val="00B618A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5"/>
    </w:pPr>
    <w:rPr>
      <w:rFonts w:eastAsia="Times New Roman" w:hAnsiTheme="minorHAnsi" w:hint="cs"/>
      <w:szCs w:val="30"/>
      <w:lang w:val="fr-CH" w:eastAsia="zh-CN"/>
    </w:rPr>
  </w:style>
  <w:style w:type="paragraph" w:customStyle="1" w:styleId="SingleTxtG">
    <w:name w:val="_ Single Txt_G"/>
    <w:basedOn w:val="Normal"/>
    <w:link w:val="SingleTxtGChar"/>
    <w:qFormat/>
    <w:rsid w:val="00B618A5"/>
    <w:pPr>
      <w:tabs>
        <w:tab w:val="left" w:pos="1701"/>
        <w:tab w:val="left" w:pos="2268"/>
        <w:tab w:val="left" w:pos="2835"/>
      </w:tabs>
      <w:suppressAutoHyphens/>
      <w:kinsoku w:val="0"/>
      <w:overflowPunct w:val="0"/>
      <w:autoSpaceDE w:val="0"/>
      <w:autoSpaceDN w:val="0"/>
      <w:bidi w:val="0"/>
      <w:adjustRightInd w:val="0"/>
      <w:snapToGrid w:val="0"/>
      <w:spacing w:after="120"/>
      <w:ind w:left="1134" w:right="1134"/>
      <w:jc w:val="both"/>
    </w:pPr>
    <w:rPr>
      <w:rFonts w:eastAsia="Times New Roman" w:hAnsiTheme="minorHAnsi"/>
      <w:szCs w:val="30"/>
      <w:lang w:val="fr-CH" w:eastAsia="zh-CN"/>
    </w:rPr>
  </w:style>
  <w:style w:type="paragraph" w:customStyle="1" w:styleId="SLG">
    <w:name w:val="__S_L_G"/>
    <w:basedOn w:val="Normal"/>
    <w:next w:val="Normal"/>
    <w:rsid w:val="00B618A5"/>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Times New Roman" w:hAnsiTheme="minorHAnsi" w:hint="cs"/>
      <w:b/>
      <w:sz w:val="56"/>
      <w:szCs w:val="30"/>
      <w:lang w:val="fr-CH" w:eastAsia="zh-CN"/>
    </w:rPr>
  </w:style>
  <w:style w:type="paragraph" w:customStyle="1" w:styleId="SMG">
    <w:name w:val="__S_M_G"/>
    <w:basedOn w:val="Normal"/>
    <w:next w:val="Normal"/>
    <w:rsid w:val="00B618A5"/>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Times New Roman" w:hAnsiTheme="minorHAnsi" w:hint="cs"/>
      <w:b/>
      <w:sz w:val="40"/>
      <w:szCs w:val="30"/>
      <w:lang w:val="fr-CH" w:eastAsia="zh-CN"/>
    </w:rPr>
  </w:style>
  <w:style w:type="paragraph" w:customStyle="1" w:styleId="SSG">
    <w:name w:val="__S_S_G"/>
    <w:basedOn w:val="Normal"/>
    <w:next w:val="Normal"/>
    <w:rsid w:val="00B618A5"/>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Times New Roman" w:hAnsiTheme="minorHAnsi" w:hint="cs"/>
      <w:b/>
      <w:sz w:val="28"/>
      <w:szCs w:val="30"/>
      <w:lang w:val="fr-CH" w:eastAsia="zh-CN"/>
    </w:rPr>
  </w:style>
  <w:style w:type="paragraph" w:customStyle="1" w:styleId="XLargeG">
    <w:name w:val="__XLarge_G"/>
    <w:basedOn w:val="Normal"/>
    <w:next w:val="Normal"/>
    <w:rsid w:val="00B618A5"/>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Times New Roman" w:hAnsiTheme="minorHAnsi" w:hint="cs"/>
      <w:b/>
      <w:sz w:val="40"/>
      <w:szCs w:val="30"/>
      <w:lang w:val="fr-CH" w:eastAsia="zh-CN"/>
    </w:rPr>
  </w:style>
  <w:style w:type="paragraph" w:customStyle="1" w:styleId="Bullet1G">
    <w:name w:val="_Bullet 1_G"/>
    <w:basedOn w:val="Normal"/>
    <w:qFormat/>
    <w:rsid w:val="00B618A5"/>
    <w:pPr>
      <w:tabs>
        <w:tab w:val="num" w:pos="1701"/>
      </w:tabs>
      <w:suppressAutoHyphens/>
      <w:kinsoku w:val="0"/>
      <w:overflowPunct w:val="0"/>
      <w:autoSpaceDE w:val="0"/>
      <w:autoSpaceDN w:val="0"/>
      <w:bidi w:val="0"/>
      <w:adjustRightInd w:val="0"/>
      <w:snapToGrid w:val="0"/>
      <w:spacing w:after="120"/>
      <w:ind w:left="1701" w:right="1134" w:hanging="170"/>
      <w:jc w:val="both"/>
    </w:pPr>
    <w:rPr>
      <w:rFonts w:eastAsia="Times New Roman" w:hAnsiTheme="minorHAnsi" w:hint="cs"/>
      <w:szCs w:val="30"/>
      <w:lang w:val="fr-CH" w:eastAsia="zh-CN"/>
    </w:rPr>
  </w:style>
  <w:style w:type="paragraph" w:customStyle="1" w:styleId="Bullet2G">
    <w:name w:val="_Bullet 2_G"/>
    <w:basedOn w:val="Normal"/>
    <w:qFormat/>
    <w:rsid w:val="00B618A5"/>
    <w:pPr>
      <w:tabs>
        <w:tab w:val="num" w:pos="2268"/>
      </w:tabs>
      <w:suppressAutoHyphens/>
      <w:kinsoku w:val="0"/>
      <w:overflowPunct w:val="0"/>
      <w:autoSpaceDE w:val="0"/>
      <w:autoSpaceDN w:val="0"/>
      <w:bidi w:val="0"/>
      <w:adjustRightInd w:val="0"/>
      <w:snapToGrid w:val="0"/>
      <w:spacing w:after="120"/>
      <w:ind w:left="2268" w:right="1134" w:hanging="170"/>
      <w:jc w:val="both"/>
    </w:pPr>
    <w:rPr>
      <w:rFonts w:eastAsia="Times New Roman" w:hAnsiTheme="minorHAnsi" w:hint="cs"/>
      <w:szCs w:val="30"/>
      <w:lang w:val="fr-CH" w:eastAsia="zh-CN"/>
    </w:rPr>
  </w:style>
  <w:style w:type="paragraph" w:customStyle="1" w:styleId="ParNoG">
    <w:name w:val="_ParNo_G"/>
    <w:basedOn w:val="Normal"/>
    <w:qFormat/>
    <w:rsid w:val="00B618A5"/>
    <w:pPr>
      <w:numPr>
        <w:numId w:val="33"/>
      </w:numPr>
      <w:tabs>
        <w:tab w:val="left" w:pos="1701"/>
        <w:tab w:val="left" w:pos="2268"/>
        <w:tab w:val="left" w:pos="2835"/>
      </w:tabs>
      <w:suppressAutoHyphens/>
      <w:kinsoku w:val="0"/>
      <w:overflowPunct w:val="0"/>
      <w:autoSpaceDE w:val="0"/>
      <w:autoSpaceDN w:val="0"/>
      <w:bidi w:val="0"/>
      <w:adjustRightInd w:val="0"/>
      <w:snapToGrid w:val="0"/>
      <w:spacing w:after="120"/>
      <w:ind w:right="1134"/>
      <w:jc w:val="both"/>
    </w:pPr>
    <w:rPr>
      <w:rFonts w:eastAsia="Times New Roman" w:hAnsiTheme="minorHAnsi" w:hint="cs"/>
      <w:szCs w:val="30"/>
      <w:lang w:val="fr-CH" w:eastAsia="zh-CN"/>
    </w:rPr>
  </w:style>
  <w:style w:type="character" w:styleId="FootnoteReference">
    <w:name w:val="footnote reference"/>
    <w:aliases w:val="4_G,ftref,BVI fnr,16 Point,Superscript 6 Point,Footnote,Footnote symbol,Footnote Refernece,Texto de nota al pie,Fußnotenzeichen_Raxen,Footnotes refss,Appel note de bas de page,referencia nota al pie,Footnote number,Ref. de nota al pie."/>
    <w:basedOn w:val="DefaultParagraphFont"/>
    <w:uiPriority w:val="3"/>
    <w:qFormat/>
    <w:rsid w:val="00B618A5"/>
    <w:rPr>
      <w:rFonts w:ascii="Times New Roman" w:hAnsi="Times New Roman"/>
      <w:sz w:val="18"/>
      <w:vertAlign w:val="superscript"/>
    </w:rPr>
  </w:style>
  <w:style w:type="character" w:styleId="EndnoteReference">
    <w:name w:val="endnote reference"/>
    <w:aliases w:val="1_G"/>
    <w:basedOn w:val="FootnoteReference"/>
    <w:qFormat/>
    <w:rsid w:val="00B618A5"/>
    <w:rPr>
      <w:rFonts w:ascii="Times New Roman" w:hAnsi="Times New Roman"/>
      <w:sz w:val="18"/>
      <w:vertAlign w:val="superscript"/>
    </w:rPr>
  </w:style>
  <w:style w:type="character" w:styleId="FollowedHyperlink">
    <w:name w:val="FollowedHyperlink"/>
    <w:basedOn w:val="DefaultParagraphFont"/>
    <w:unhideWhenUsed/>
    <w:rsid w:val="00B618A5"/>
    <w:rPr>
      <w:color w:val="0000FF"/>
      <w:u w:val="none"/>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uiPriority w:val="3"/>
    <w:qFormat/>
    <w:rsid w:val="00B618A5"/>
    <w:pPr>
      <w:tabs>
        <w:tab w:val="right" w:pos="1021"/>
      </w:tabs>
      <w:suppressAutoHyphens/>
      <w:kinsoku w:val="0"/>
      <w:overflowPunct w:val="0"/>
      <w:autoSpaceDE w:val="0"/>
      <w:autoSpaceDN w:val="0"/>
      <w:bidi w:val="0"/>
      <w:adjustRightInd w:val="0"/>
      <w:snapToGrid w:val="0"/>
      <w:spacing w:line="220" w:lineRule="exact"/>
      <w:ind w:left="1134" w:right="1134" w:hanging="1134"/>
      <w:jc w:val="left"/>
    </w:pPr>
    <w:rPr>
      <w:rFonts w:eastAsia="Times New Roman" w:hAnsiTheme="minorHAnsi" w:hint="cs"/>
      <w:sz w:val="18"/>
      <w:szCs w:val="30"/>
      <w:lang w:val="fr-CH"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uiPriority w:val="3"/>
    <w:rsid w:val="00B618A5"/>
    <w:rPr>
      <w:rFonts w:ascii="Times New Roman" w:hAnsiTheme="minorHAnsi" w:cs="Simplified Arabic"/>
      <w:sz w:val="18"/>
      <w:szCs w:val="30"/>
      <w:lang w:val="fr-CH" w:eastAsia="zh-CN"/>
    </w:rPr>
  </w:style>
  <w:style w:type="paragraph" w:styleId="BalloonText">
    <w:name w:val="Balloon Text"/>
    <w:basedOn w:val="Normal"/>
    <w:link w:val="BalloonTextChar"/>
    <w:uiPriority w:val="99"/>
    <w:semiHidden/>
    <w:unhideWhenUsed/>
    <w:rsid w:val="00B618A5"/>
    <w:pPr>
      <w:suppressAutoHyphens/>
      <w:kinsoku w:val="0"/>
      <w:overflowPunct w:val="0"/>
      <w:autoSpaceDE w:val="0"/>
      <w:autoSpaceDN w:val="0"/>
      <w:bidi w:val="0"/>
      <w:adjustRightInd w:val="0"/>
      <w:snapToGrid w:val="0"/>
      <w:spacing w:line="240" w:lineRule="auto"/>
      <w:jc w:val="left"/>
    </w:pPr>
    <w:rPr>
      <w:rFonts w:ascii="Tahoma" w:eastAsia="Times New Roman" w:hAnsi="Tahoma" w:cs="Tahoma" w:hint="cs"/>
      <w:sz w:val="16"/>
      <w:szCs w:val="16"/>
      <w:lang w:val="fr-CH" w:eastAsia="zh-CN"/>
    </w:rPr>
  </w:style>
  <w:style w:type="character" w:customStyle="1" w:styleId="BalloonTextChar">
    <w:name w:val="Balloon Text Char"/>
    <w:basedOn w:val="DefaultParagraphFont"/>
    <w:link w:val="BalloonText"/>
    <w:uiPriority w:val="99"/>
    <w:semiHidden/>
    <w:rsid w:val="00B618A5"/>
    <w:rPr>
      <w:rFonts w:ascii="Tahoma" w:hAnsi="Tahoma" w:cs="Tahoma"/>
      <w:sz w:val="16"/>
      <w:szCs w:val="16"/>
      <w:lang w:val="fr-CH" w:eastAsia="zh-CN"/>
    </w:rPr>
  </w:style>
  <w:style w:type="character" w:customStyle="1" w:styleId="HChGChar">
    <w:name w:val="_ H _Ch_G Char"/>
    <w:link w:val="HChG"/>
    <w:locked/>
    <w:rsid w:val="00B618A5"/>
    <w:rPr>
      <w:rFonts w:ascii="Times New Roman" w:hAnsiTheme="minorHAnsi" w:cs="Simplified Arabic"/>
      <w:b/>
      <w:sz w:val="28"/>
      <w:szCs w:val="30"/>
      <w:lang w:val="fr-CH" w:eastAsia="zh-CN"/>
    </w:rPr>
  </w:style>
  <w:style w:type="character" w:customStyle="1" w:styleId="H1GChar">
    <w:name w:val="_ H_1_G Char"/>
    <w:link w:val="H1G"/>
    <w:locked/>
    <w:rsid w:val="00B618A5"/>
    <w:rPr>
      <w:rFonts w:ascii="Times New Roman" w:hAnsiTheme="minorHAnsi" w:cs="Simplified Arabic"/>
      <w:b/>
      <w:sz w:val="24"/>
      <w:szCs w:val="30"/>
      <w:lang w:val="fr-CH" w:eastAsia="zh-CN"/>
    </w:rPr>
  </w:style>
  <w:style w:type="character" w:customStyle="1" w:styleId="H23GChar">
    <w:name w:val="_ H_2/3_G Char"/>
    <w:link w:val="H23G"/>
    <w:locked/>
    <w:rsid w:val="00B618A5"/>
    <w:rPr>
      <w:rFonts w:ascii="Times New Roman" w:hAnsiTheme="minorHAnsi" w:cs="Simplified Arabic"/>
      <w:b/>
      <w:szCs w:val="30"/>
      <w:lang w:val="fr-CH" w:eastAsia="zh-CN"/>
    </w:rPr>
  </w:style>
  <w:style w:type="character" w:customStyle="1" w:styleId="SingleTxtGChar">
    <w:name w:val="_ Single Txt_G Char"/>
    <w:link w:val="SingleTxtG"/>
    <w:rsid w:val="00B618A5"/>
    <w:rPr>
      <w:rFonts w:ascii="Times New Roman" w:hAnsiTheme="minorHAnsi" w:cs="Simplified Arabic"/>
      <w:szCs w:val="30"/>
      <w:lang w:val="fr-CH" w:eastAsia="zh-CN"/>
    </w:rPr>
  </w:style>
  <w:style w:type="character" w:styleId="UnresolvedMention">
    <w:name w:val="Unresolved Mention"/>
    <w:basedOn w:val="DefaultParagraphFont"/>
    <w:uiPriority w:val="99"/>
    <w:semiHidden/>
    <w:unhideWhenUsed/>
    <w:rsid w:val="00B618A5"/>
    <w:rPr>
      <w:color w:val="605E5C"/>
      <w:shd w:val="clear" w:color="auto" w:fill="E1DFDD"/>
    </w:rPr>
  </w:style>
  <w:style w:type="character" w:styleId="CommentReference">
    <w:name w:val="annotation reference"/>
    <w:basedOn w:val="DefaultParagraphFont"/>
    <w:uiPriority w:val="99"/>
    <w:semiHidden/>
    <w:unhideWhenUsed/>
    <w:rsid w:val="00B618A5"/>
    <w:rPr>
      <w:sz w:val="16"/>
      <w:szCs w:val="16"/>
    </w:rPr>
  </w:style>
  <w:style w:type="paragraph" w:styleId="CommentText">
    <w:name w:val="annotation text"/>
    <w:basedOn w:val="Normal"/>
    <w:link w:val="CommentTextChar"/>
    <w:uiPriority w:val="99"/>
    <w:semiHidden/>
    <w:unhideWhenUsed/>
    <w:rsid w:val="00B618A5"/>
    <w:pPr>
      <w:suppressAutoHyphens/>
      <w:kinsoku w:val="0"/>
      <w:overflowPunct w:val="0"/>
      <w:autoSpaceDE w:val="0"/>
      <w:autoSpaceDN w:val="0"/>
      <w:bidi w:val="0"/>
      <w:adjustRightInd w:val="0"/>
      <w:snapToGrid w:val="0"/>
      <w:spacing w:line="240" w:lineRule="auto"/>
      <w:jc w:val="left"/>
    </w:pPr>
    <w:rPr>
      <w:rFonts w:eastAsia="Times New Roman" w:hAnsiTheme="minorHAnsi" w:hint="cs"/>
      <w:szCs w:val="20"/>
      <w:lang w:val="fr-CH" w:eastAsia="zh-CN"/>
    </w:rPr>
  </w:style>
  <w:style w:type="character" w:customStyle="1" w:styleId="CommentTextChar">
    <w:name w:val="Comment Text Char"/>
    <w:basedOn w:val="DefaultParagraphFont"/>
    <w:link w:val="CommentText"/>
    <w:uiPriority w:val="99"/>
    <w:semiHidden/>
    <w:rsid w:val="00B618A5"/>
    <w:rPr>
      <w:rFonts w:ascii="Times New Roman" w:hAnsiTheme="minorHAnsi" w:cs="Simplified Arabic"/>
      <w:lang w:val="fr-CH" w:eastAsia="zh-CN"/>
    </w:rPr>
  </w:style>
  <w:style w:type="paragraph" w:styleId="CommentSubject">
    <w:name w:val="annotation subject"/>
    <w:basedOn w:val="CommentText"/>
    <w:next w:val="CommentText"/>
    <w:link w:val="CommentSubjectChar"/>
    <w:uiPriority w:val="99"/>
    <w:semiHidden/>
    <w:unhideWhenUsed/>
    <w:rsid w:val="00B618A5"/>
    <w:rPr>
      <w:b/>
      <w:bCs/>
    </w:rPr>
  </w:style>
  <w:style w:type="character" w:customStyle="1" w:styleId="CommentSubjectChar">
    <w:name w:val="Comment Subject Char"/>
    <w:basedOn w:val="CommentTextChar"/>
    <w:link w:val="CommentSubject"/>
    <w:uiPriority w:val="99"/>
    <w:semiHidden/>
    <w:rsid w:val="00B618A5"/>
    <w:rPr>
      <w:rFonts w:ascii="Times New Roman" w:hAnsiTheme="minorHAnsi" w:cs="Simplified Arabic"/>
      <w:b/>
      <w:bCs/>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CPR/C/SR.3883" TargetMode="External"/><Relationship Id="rId2" Type="http://schemas.openxmlformats.org/officeDocument/2006/relationships/hyperlink" Target="https://undocs.org/ar/CCPR/C/SR.3882" TargetMode="External"/><Relationship Id="rId1" Type="http://schemas.openxmlformats.org/officeDocument/2006/relationships/hyperlink" Target="https://undocs.org/ar/CCPR/C/URY/6" TargetMode="External"/><Relationship Id="rId4" Type="http://schemas.openxmlformats.org/officeDocument/2006/relationships/hyperlink" Target="https://undocs.org/ar/CCPR/C/URY/QP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CCPR/C/URY/CO/6</vt:lpstr>
    </vt:vector>
  </TitlesOfParts>
  <Company>DCM</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CCPR/C/URY/CO/6</dc:title>
  <dc:subject>GE.2215795(A)</dc:subject>
  <dc:creator>Muntaha BUHNAM - Judy Hajoud FA</dc:creator>
  <cp:keywords>GE. 2251065(A)</cp:keywords>
  <dc:description>Distr.: General
3 October 2022
Arabic
Original: Spanish</dc:description>
  <cp:lastModifiedBy>Jamal Alkahlout</cp:lastModifiedBy>
  <cp:revision>2</cp:revision>
  <dcterms:created xsi:type="dcterms:W3CDTF">2023-01-03T14:08:00Z</dcterms:created>
  <dcterms:modified xsi:type="dcterms:W3CDTF">2023-01-03T14:08:00Z</dcterms:modified>
  <cp:category>Finale</cp:category>
</cp:coreProperties>
</file>