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B1C4A" w:rsidP="00FB1C4A">
            <w:pPr>
              <w:bidi w:val="0"/>
              <w:spacing w:after="20"/>
              <w:jc w:val="left"/>
              <w:rPr>
                <w:szCs w:val="20"/>
              </w:rPr>
            </w:pPr>
            <w:r w:rsidRPr="00FB1C4A">
              <w:rPr>
                <w:sz w:val="40"/>
                <w:szCs w:val="20"/>
              </w:rPr>
              <w:t>CAT</w:t>
            </w:r>
            <w:r>
              <w:rPr>
                <w:szCs w:val="20"/>
              </w:rPr>
              <w:t>/C/46/D/338/2008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B1C4A" w:rsidRDefault="00FB1C4A" w:rsidP="00B87A8F">
            <w:pPr>
              <w:bidi w:val="0"/>
              <w:spacing w:before="240" w:line="240" w:lineRule="exact"/>
              <w:jc w:val="left"/>
            </w:pPr>
            <w:r>
              <w:t>Distr.: Restricted</w:t>
            </w:r>
            <w:r w:rsidR="00B87A8F" w:rsidRPr="00B87A8F">
              <w:rPr>
                <w:rStyle w:val="FootnoteReference"/>
                <w:sz w:val="20"/>
                <w:vertAlign w:val="baseline"/>
                <w:rtl/>
              </w:rPr>
              <w:footnoteReference w:customMarkFollows="1" w:id="1"/>
              <w:t>*</w:t>
            </w:r>
          </w:p>
          <w:p w:rsidR="00FB1C4A" w:rsidRDefault="00FB1C4A" w:rsidP="00B87A8F">
            <w:pPr>
              <w:bidi w:val="0"/>
              <w:spacing w:line="240" w:lineRule="exact"/>
              <w:jc w:val="left"/>
            </w:pPr>
            <w:r>
              <w:t>7 July 2011</w:t>
            </w:r>
          </w:p>
          <w:p w:rsidR="00FB1C4A" w:rsidRDefault="00FB1C4A" w:rsidP="00B87A8F">
            <w:pPr>
              <w:bidi w:val="0"/>
              <w:spacing w:line="240" w:lineRule="exact"/>
              <w:jc w:val="left"/>
            </w:pPr>
            <w:r>
              <w:t>Arabic</w:t>
            </w:r>
          </w:p>
          <w:p w:rsidR="00257225" w:rsidRPr="008B4BC6" w:rsidRDefault="00FB1C4A" w:rsidP="00B87A8F">
            <w:pPr>
              <w:bidi w:val="0"/>
              <w:spacing w:line="240" w:lineRule="exact"/>
              <w:jc w:val="left"/>
            </w:pPr>
            <w:r>
              <w:t>Original: English</w:t>
            </w:r>
          </w:p>
        </w:tc>
      </w:tr>
    </w:tbl>
    <w:p w:rsidR="00FB1C4A" w:rsidRPr="00B22AB3" w:rsidRDefault="00FB1C4A" w:rsidP="00B22AB3">
      <w:pPr>
        <w:spacing w:before="120" w:line="380" w:lineRule="exact"/>
        <w:rPr>
          <w:rFonts w:hint="cs"/>
          <w:b/>
          <w:bCs/>
          <w:sz w:val="36"/>
          <w:szCs w:val="36"/>
          <w:rtl/>
        </w:rPr>
      </w:pPr>
      <w:r w:rsidRPr="00B22AB3">
        <w:rPr>
          <w:rFonts w:hint="cs"/>
          <w:b/>
          <w:bCs/>
          <w:sz w:val="36"/>
          <w:szCs w:val="36"/>
          <w:rtl/>
        </w:rPr>
        <w:t>لجنة مناهضة التعذيب</w:t>
      </w:r>
    </w:p>
    <w:p w:rsidR="00FB1C4A" w:rsidRPr="00B22AB3" w:rsidRDefault="00FB1C4A" w:rsidP="00B22AB3">
      <w:pPr>
        <w:spacing w:line="380" w:lineRule="exact"/>
        <w:rPr>
          <w:rFonts w:hint="cs"/>
          <w:b/>
          <w:bCs/>
          <w:rtl/>
        </w:rPr>
      </w:pPr>
      <w:r w:rsidRPr="00B22AB3">
        <w:rPr>
          <w:rFonts w:hint="cs"/>
          <w:b/>
          <w:bCs/>
          <w:rtl/>
        </w:rPr>
        <w:t>الدورة السادسة والأربعون</w:t>
      </w:r>
    </w:p>
    <w:p w:rsidR="00FB1C4A" w:rsidRPr="00B22AB3" w:rsidRDefault="00FB1C4A" w:rsidP="00B22AB3">
      <w:pPr>
        <w:spacing w:line="380" w:lineRule="exact"/>
        <w:rPr>
          <w:rFonts w:hint="cs"/>
          <w:rtl/>
        </w:rPr>
      </w:pPr>
      <w:r w:rsidRPr="00B22AB3">
        <w:rPr>
          <w:rFonts w:hint="cs"/>
          <w:rtl/>
        </w:rPr>
        <w:t>9 أيار/مايو - 3 حزيران/يونيه 2011</w:t>
      </w:r>
    </w:p>
    <w:p w:rsidR="00FB1C4A" w:rsidRDefault="00FB1C4A" w:rsidP="00B22AB3">
      <w:pPr>
        <w:pStyle w:val="HChGA"/>
        <w:spacing w:before="480"/>
        <w:rPr>
          <w:rFonts w:hint="cs"/>
          <w:rtl/>
        </w:rPr>
      </w:pPr>
      <w:r w:rsidRPr="00274B11">
        <w:rPr>
          <w:rFonts w:hint="cs"/>
          <w:rtl/>
        </w:rPr>
        <w:tab/>
      </w:r>
      <w:r w:rsidRPr="00274B11">
        <w:rPr>
          <w:rFonts w:hint="cs"/>
          <w:rtl/>
        </w:rPr>
        <w:tab/>
        <w:t>قرار</w:t>
      </w:r>
    </w:p>
    <w:p w:rsidR="00FB1C4A" w:rsidRPr="00274B11" w:rsidRDefault="00FB1C4A" w:rsidP="009A77E2">
      <w:pPr>
        <w:pStyle w:val="H1GA"/>
        <w:rPr>
          <w:rFonts w:hint="cs"/>
          <w:rtl/>
        </w:rPr>
      </w:pPr>
      <w:r w:rsidRPr="00274B11">
        <w:rPr>
          <w:rFonts w:hint="cs"/>
          <w:rtl/>
        </w:rPr>
        <w:tab/>
      </w:r>
      <w:r w:rsidRPr="00274B11">
        <w:rPr>
          <w:rFonts w:hint="cs"/>
          <w:rtl/>
        </w:rPr>
        <w:tab/>
        <w:t>البلاغ رقم 338/2008</w:t>
      </w:r>
    </w:p>
    <w:p w:rsidR="00FB1C4A" w:rsidRPr="00043EE4" w:rsidRDefault="00FB1C4A" w:rsidP="00043EE4">
      <w:pPr>
        <w:pStyle w:val="SingleTxtGA"/>
        <w:spacing w:after="0" w:line="240" w:lineRule="auto"/>
        <w:ind w:left="4649" w:hanging="2721"/>
        <w:rPr>
          <w:rFonts w:hint="cs"/>
          <w:sz w:val="30"/>
          <w:rtl/>
        </w:rPr>
      </w:pPr>
      <w:r w:rsidRPr="00043EE4">
        <w:rPr>
          <w:rFonts w:hint="cs"/>
          <w:i/>
          <w:iCs/>
          <w:sz w:val="30"/>
          <w:rtl/>
        </w:rPr>
        <w:t>المقدم من:</w:t>
      </w:r>
      <w:r w:rsidRPr="00043EE4">
        <w:rPr>
          <w:rFonts w:hint="cs"/>
          <w:i/>
          <w:iCs/>
          <w:sz w:val="30"/>
          <w:rtl/>
        </w:rPr>
        <w:tab/>
      </w:r>
      <w:r w:rsidRPr="00043EE4">
        <w:rPr>
          <w:rFonts w:hint="cs"/>
          <w:i/>
          <w:iCs/>
          <w:sz w:val="30"/>
          <w:rtl/>
        </w:rPr>
        <w:tab/>
      </w:r>
      <w:r w:rsidRPr="00043EE4">
        <w:rPr>
          <w:rFonts w:hint="cs"/>
          <w:i/>
          <w:iCs/>
          <w:sz w:val="30"/>
          <w:rtl/>
        </w:rPr>
        <w:tab/>
      </w:r>
      <w:proofErr w:type="spellStart"/>
      <w:r w:rsidRPr="000045B1">
        <w:rPr>
          <w:rFonts w:hint="cs"/>
          <w:sz w:val="30"/>
          <w:rtl/>
        </w:rPr>
        <w:t>أوتام</w:t>
      </w:r>
      <w:proofErr w:type="spellEnd"/>
      <w:r w:rsidRPr="000045B1">
        <w:rPr>
          <w:rFonts w:hint="cs"/>
          <w:sz w:val="30"/>
          <w:rtl/>
        </w:rPr>
        <w:t xml:space="preserve"> </w:t>
      </w:r>
      <w:proofErr w:type="spellStart"/>
      <w:r w:rsidRPr="000045B1">
        <w:rPr>
          <w:rFonts w:hint="cs"/>
          <w:sz w:val="30"/>
          <w:rtl/>
        </w:rPr>
        <w:t>موندال</w:t>
      </w:r>
      <w:proofErr w:type="spellEnd"/>
      <w:r w:rsidRPr="000045B1">
        <w:rPr>
          <w:rFonts w:hint="cs"/>
          <w:sz w:val="30"/>
          <w:rtl/>
        </w:rPr>
        <w:t xml:space="preserve"> (ويمثله محامٍ هو السيد </w:t>
      </w:r>
      <w:proofErr w:type="spellStart"/>
      <w:r w:rsidRPr="000045B1">
        <w:rPr>
          <w:rFonts w:hint="cs"/>
          <w:sz w:val="30"/>
          <w:rtl/>
        </w:rPr>
        <w:t>غونيل</w:t>
      </w:r>
      <w:proofErr w:type="spellEnd"/>
      <w:r w:rsidR="00043EE4" w:rsidRPr="000045B1">
        <w:rPr>
          <w:rFonts w:hint="cs"/>
          <w:sz w:val="30"/>
          <w:rtl/>
        </w:rPr>
        <w:t xml:space="preserve"> </w:t>
      </w:r>
      <w:proofErr w:type="spellStart"/>
      <w:r w:rsidRPr="000045B1">
        <w:rPr>
          <w:rFonts w:hint="cs"/>
          <w:sz w:val="30"/>
          <w:rtl/>
        </w:rPr>
        <w:t>ستانبيرغ</w:t>
      </w:r>
      <w:proofErr w:type="spellEnd"/>
      <w:r w:rsidRPr="000045B1">
        <w:rPr>
          <w:rFonts w:hint="cs"/>
          <w:sz w:val="30"/>
          <w:rtl/>
        </w:rPr>
        <w:t>)</w:t>
      </w:r>
    </w:p>
    <w:p w:rsidR="00FB1C4A" w:rsidRPr="00043EE4" w:rsidRDefault="00FB1C4A" w:rsidP="00FB1C4A">
      <w:pPr>
        <w:pStyle w:val="SingleTxtGA"/>
        <w:spacing w:after="0" w:line="240" w:lineRule="auto"/>
        <w:ind w:left="1928"/>
        <w:rPr>
          <w:rFonts w:hint="cs"/>
          <w:sz w:val="30"/>
          <w:rtl/>
        </w:rPr>
      </w:pPr>
      <w:r w:rsidRPr="00043EE4">
        <w:rPr>
          <w:rFonts w:hint="cs"/>
          <w:i/>
          <w:iCs/>
          <w:sz w:val="30"/>
          <w:rtl/>
        </w:rPr>
        <w:t>الشخص المدعى أنه ضحية:</w:t>
      </w:r>
      <w:r w:rsidRPr="00043EE4">
        <w:rPr>
          <w:rFonts w:hint="cs"/>
          <w:sz w:val="30"/>
          <w:rtl/>
        </w:rPr>
        <w:tab/>
        <w:t>صاحب الشكوى</w:t>
      </w:r>
    </w:p>
    <w:p w:rsidR="00FB1C4A" w:rsidRPr="00043EE4" w:rsidRDefault="00FB1C4A" w:rsidP="00043EE4">
      <w:pPr>
        <w:pStyle w:val="SingleTxtGA"/>
        <w:tabs>
          <w:tab w:val="clear" w:pos="3289"/>
          <w:tab w:val="clear" w:pos="3969"/>
        </w:tabs>
        <w:spacing w:after="0" w:line="240" w:lineRule="auto"/>
        <w:ind w:left="1928"/>
        <w:rPr>
          <w:rFonts w:hint="cs"/>
          <w:sz w:val="30"/>
          <w:rtl/>
        </w:rPr>
      </w:pPr>
      <w:r w:rsidRPr="00043EE4">
        <w:rPr>
          <w:rFonts w:hint="cs"/>
          <w:i/>
          <w:iCs/>
          <w:sz w:val="30"/>
          <w:rtl/>
        </w:rPr>
        <w:t>الدولة الطرف:</w:t>
      </w:r>
      <w:r w:rsidRPr="00043EE4">
        <w:rPr>
          <w:rFonts w:hint="cs"/>
          <w:i/>
          <w:iCs/>
          <w:sz w:val="30"/>
          <w:rtl/>
        </w:rPr>
        <w:tab/>
      </w:r>
      <w:r w:rsidRPr="00043EE4">
        <w:rPr>
          <w:rFonts w:hint="cs"/>
          <w:sz w:val="30"/>
          <w:rtl/>
        </w:rPr>
        <w:t>السويد</w:t>
      </w:r>
    </w:p>
    <w:p w:rsidR="00FB1C4A" w:rsidRPr="00043EE4" w:rsidRDefault="00FB1C4A" w:rsidP="00043EE4">
      <w:pPr>
        <w:pStyle w:val="SingleTxtGA"/>
        <w:tabs>
          <w:tab w:val="clear" w:pos="3969"/>
        </w:tabs>
        <w:spacing w:after="0" w:line="240" w:lineRule="auto"/>
        <w:ind w:left="4649" w:hanging="2721"/>
        <w:rPr>
          <w:rFonts w:hint="cs"/>
          <w:sz w:val="30"/>
          <w:rtl/>
        </w:rPr>
      </w:pPr>
      <w:r w:rsidRPr="00043EE4">
        <w:rPr>
          <w:rFonts w:hint="cs"/>
          <w:i/>
          <w:iCs/>
          <w:sz w:val="30"/>
          <w:rtl/>
        </w:rPr>
        <w:t>تاريخ تقديم الشكوى:</w:t>
      </w:r>
      <w:r w:rsidRPr="00043EE4">
        <w:rPr>
          <w:rFonts w:hint="cs"/>
          <w:i/>
          <w:iCs/>
          <w:sz w:val="30"/>
          <w:rtl/>
        </w:rPr>
        <w:tab/>
      </w:r>
      <w:r w:rsidRPr="00043EE4">
        <w:rPr>
          <w:rFonts w:hint="cs"/>
          <w:sz w:val="30"/>
          <w:rtl/>
        </w:rPr>
        <w:t xml:space="preserve">30 تشرين الثاني/نوفمبر 2007 (تاريخ </w:t>
      </w:r>
      <w:r w:rsidR="00043EE4">
        <w:rPr>
          <w:rFonts w:hint="cs"/>
          <w:sz w:val="30"/>
          <w:rtl/>
        </w:rPr>
        <w:t xml:space="preserve">          </w:t>
      </w:r>
      <w:r w:rsidRPr="00043EE4">
        <w:rPr>
          <w:rFonts w:hint="cs"/>
          <w:sz w:val="30"/>
          <w:rtl/>
        </w:rPr>
        <w:t>الرسالة الأولى)</w:t>
      </w:r>
    </w:p>
    <w:p w:rsidR="00FB1C4A" w:rsidRPr="00043EE4" w:rsidRDefault="00FB1C4A" w:rsidP="00043EE4">
      <w:pPr>
        <w:pStyle w:val="SingleTxtGA"/>
        <w:tabs>
          <w:tab w:val="clear" w:pos="3969"/>
        </w:tabs>
        <w:spacing w:after="0" w:line="240" w:lineRule="auto"/>
        <w:ind w:left="1928"/>
        <w:rPr>
          <w:rFonts w:hint="cs"/>
          <w:sz w:val="30"/>
          <w:rtl/>
        </w:rPr>
      </w:pPr>
      <w:r w:rsidRPr="00043EE4">
        <w:rPr>
          <w:rFonts w:hint="cs"/>
          <w:i/>
          <w:iCs/>
          <w:sz w:val="30"/>
          <w:rtl/>
        </w:rPr>
        <w:t>تاريخ صدور هذا القرار:</w:t>
      </w:r>
      <w:r w:rsidRPr="00043EE4">
        <w:rPr>
          <w:rFonts w:hint="cs"/>
          <w:i/>
          <w:iCs/>
          <w:sz w:val="30"/>
          <w:rtl/>
        </w:rPr>
        <w:tab/>
      </w:r>
      <w:r w:rsidR="00EF17A0">
        <w:rPr>
          <w:rFonts w:hint="cs"/>
          <w:sz w:val="30"/>
          <w:rtl/>
        </w:rPr>
        <w:t>23 أي</w:t>
      </w:r>
      <w:r w:rsidRPr="00043EE4">
        <w:rPr>
          <w:rFonts w:hint="cs"/>
          <w:sz w:val="30"/>
          <w:rtl/>
        </w:rPr>
        <w:t>ار/مايو 2011</w:t>
      </w:r>
    </w:p>
    <w:p w:rsidR="00FB1C4A" w:rsidRPr="00043EE4" w:rsidRDefault="00FB1C4A" w:rsidP="00043EE4">
      <w:pPr>
        <w:pStyle w:val="SingleTxtGA"/>
        <w:tabs>
          <w:tab w:val="clear" w:pos="3289"/>
          <w:tab w:val="clear" w:pos="3969"/>
        </w:tabs>
        <w:spacing w:after="0" w:line="240" w:lineRule="auto"/>
        <w:ind w:left="1928"/>
        <w:rPr>
          <w:rFonts w:hint="cs"/>
          <w:sz w:val="30"/>
          <w:rtl/>
        </w:rPr>
      </w:pPr>
      <w:r w:rsidRPr="00043EE4">
        <w:rPr>
          <w:rFonts w:hint="cs"/>
          <w:i/>
          <w:iCs/>
          <w:sz w:val="30"/>
          <w:rtl/>
        </w:rPr>
        <w:t>الموضوع:</w:t>
      </w:r>
      <w:r w:rsidRPr="00043EE4">
        <w:rPr>
          <w:rFonts w:hint="cs"/>
          <w:i/>
          <w:iCs/>
          <w:sz w:val="30"/>
          <w:rtl/>
        </w:rPr>
        <w:tab/>
      </w:r>
      <w:r w:rsidRPr="00043EE4">
        <w:rPr>
          <w:rFonts w:hint="cs"/>
          <w:sz w:val="30"/>
          <w:rtl/>
        </w:rPr>
        <w:t>ترحيل صاحب الشكوى إلى بنغلاديش</w:t>
      </w:r>
    </w:p>
    <w:p w:rsidR="00FB1C4A" w:rsidRPr="000045B1" w:rsidRDefault="00FB1C4A" w:rsidP="00043EE4">
      <w:pPr>
        <w:pStyle w:val="SingleTxtGA"/>
        <w:tabs>
          <w:tab w:val="clear" w:pos="3289"/>
          <w:tab w:val="clear" w:pos="3969"/>
        </w:tabs>
        <w:spacing w:after="0" w:line="240" w:lineRule="auto"/>
        <w:ind w:left="1928"/>
        <w:rPr>
          <w:rFonts w:hint="cs"/>
          <w:sz w:val="30"/>
          <w:rtl/>
        </w:rPr>
      </w:pPr>
      <w:r w:rsidRPr="00043EE4">
        <w:rPr>
          <w:rFonts w:hint="cs"/>
          <w:i/>
          <w:iCs/>
          <w:sz w:val="30"/>
          <w:rtl/>
        </w:rPr>
        <w:t>المسائل الإجرائية:</w:t>
      </w:r>
      <w:r w:rsidRPr="00043EE4">
        <w:rPr>
          <w:rFonts w:hint="cs"/>
          <w:i/>
          <w:iCs/>
          <w:sz w:val="30"/>
          <w:rtl/>
        </w:rPr>
        <w:tab/>
      </w:r>
      <w:r w:rsidRPr="00043EE4">
        <w:rPr>
          <w:rFonts w:hint="cs"/>
          <w:sz w:val="30"/>
          <w:rtl/>
        </w:rPr>
        <w:t>عدم تقديم ما يكفي من الأدلة</w:t>
      </w:r>
    </w:p>
    <w:p w:rsidR="00FB1C4A" w:rsidRPr="00043EE4" w:rsidRDefault="00FB1C4A" w:rsidP="00043EE4">
      <w:pPr>
        <w:pStyle w:val="SingleTxtGA"/>
        <w:tabs>
          <w:tab w:val="clear" w:pos="3969"/>
        </w:tabs>
        <w:spacing w:after="0" w:line="240" w:lineRule="auto"/>
        <w:ind w:left="1928"/>
        <w:rPr>
          <w:rFonts w:hint="cs"/>
          <w:sz w:val="30"/>
          <w:rtl/>
        </w:rPr>
      </w:pPr>
      <w:r w:rsidRPr="00043EE4">
        <w:rPr>
          <w:rFonts w:hint="cs"/>
          <w:i/>
          <w:iCs/>
          <w:sz w:val="30"/>
          <w:rtl/>
        </w:rPr>
        <w:t>المسائل الموضوعية:</w:t>
      </w:r>
      <w:r w:rsidRPr="00043EE4">
        <w:rPr>
          <w:rFonts w:hint="cs"/>
          <w:i/>
          <w:iCs/>
          <w:sz w:val="30"/>
          <w:rtl/>
        </w:rPr>
        <w:tab/>
      </w:r>
      <w:r w:rsidRPr="00043EE4">
        <w:rPr>
          <w:rFonts w:hint="cs"/>
          <w:sz w:val="30"/>
          <w:rtl/>
        </w:rPr>
        <w:t xml:space="preserve">حظر الإعادة </w:t>
      </w:r>
      <w:proofErr w:type="spellStart"/>
      <w:r w:rsidRPr="00043EE4">
        <w:rPr>
          <w:rFonts w:hint="cs"/>
          <w:sz w:val="30"/>
          <w:rtl/>
        </w:rPr>
        <w:t>القسرية</w:t>
      </w:r>
      <w:proofErr w:type="spellEnd"/>
    </w:p>
    <w:p w:rsidR="00FB1C4A" w:rsidRPr="00043EE4" w:rsidRDefault="00FB1C4A" w:rsidP="00043EE4">
      <w:pPr>
        <w:pStyle w:val="SingleTxtGA"/>
        <w:tabs>
          <w:tab w:val="clear" w:pos="3289"/>
          <w:tab w:val="clear" w:pos="3969"/>
        </w:tabs>
        <w:spacing w:after="0" w:line="240" w:lineRule="auto"/>
        <w:ind w:left="1928"/>
        <w:rPr>
          <w:rFonts w:hint="cs"/>
          <w:sz w:val="30"/>
          <w:rtl/>
        </w:rPr>
      </w:pPr>
      <w:r w:rsidRPr="00043EE4">
        <w:rPr>
          <w:rFonts w:hint="cs"/>
          <w:i/>
          <w:iCs/>
          <w:sz w:val="30"/>
          <w:rtl/>
        </w:rPr>
        <w:t>مواد العهد:</w:t>
      </w:r>
      <w:r w:rsidRPr="00043EE4">
        <w:rPr>
          <w:rFonts w:hint="cs"/>
          <w:sz w:val="30"/>
          <w:rtl/>
        </w:rPr>
        <w:tab/>
        <w:t xml:space="preserve">3 </w:t>
      </w:r>
      <w:proofErr w:type="spellStart"/>
      <w:r w:rsidRPr="00043EE4">
        <w:rPr>
          <w:rFonts w:hint="cs"/>
          <w:sz w:val="30"/>
          <w:rtl/>
        </w:rPr>
        <w:t>و16</w:t>
      </w:r>
      <w:proofErr w:type="spellEnd"/>
      <w:r w:rsidRPr="00043EE4">
        <w:rPr>
          <w:rFonts w:hint="cs"/>
          <w:sz w:val="30"/>
          <w:rtl/>
        </w:rPr>
        <w:t xml:space="preserve"> </w:t>
      </w:r>
      <w:proofErr w:type="spellStart"/>
      <w:r w:rsidRPr="00043EE4">
        <w:rPr>
          <w:rFonts w:hint="cs"/>
          <w:sz w:val="30"/>
          <w:rtl/>
        </w:rPr>
        <w:t>و22</w:t>
      </w:r>
      <w:proofErr w:type="spellEnd"/>
    </w:p>
    <w:p w:rsidR="00FB1C4A" w:rsidRPr="00043EE4" w:rsidRDefault="00FB1C4A" w:rsidP="00FB1C4A">
      <w:pPr>
        <w:pStyle w:val="SingleTxtGA"/>
        <w:tabs>
          <w:tab w:val="clear" w:pos="1928"/>
          <w:tab w:val="clear" w:pos="2608"/>
          <w:tab w:val="clear" w:pos="3289"/>
          <w:tab w:val="clear" w:pos="3969"/>
          <w:tab w:val="clear" w:pos="4649"/>
          <w:tab w:val="clear" w:pos="5330"/>
        </w:tabs>
        <w:spacing w:after="0" w:line="240" w:lineRule="auto"/>
        <w:ind w:left="4318" w:hanging="2960"/>
        <w:rPr>
          <w:rFonts w:hint="cs"/>
          <w:sz w:val="30"/>
          <w:rtl/>
        </w:rPr>
      </w:pPr>
      <w:r w:rsidRPr="00043EE4">
        <w:rPr>
          <w:rFonts w:hint="cs"/>
          <w:sz w:val="30"/>
          <w:rtl/>
        </w:rPr>
        <w:t>[مرفق]</w:t>
      </w:r>
    </w:p>
    <w:p w:rsidR="00FB1C4A" w:rsidRPr="00274B11" w:rsidRDefault="00FB1C4A" w:rsidP="00FB1C4A">
      <w:pPr>
        <w:pStyle w:val="HChGA"/>
        <w:spacing w:before="120"/>
        <w:rPr>
          <w:rFonts w:hint="cs"/>
          <w:rtl/>
        </w:rPr>
      </w:pPr>
      <w:r w:rsidRPr="00274B11">
        <w:rPr>
          <w:rtl/>
        </w:rPr>
        <w:br w:type="page"/>
      </w:r>
      <w:r w:rsidRPr="00274B11">
        <w:rPr>
          <w:rFonts w:hint="cs"/>
          <w:rtl/>
        </w:rPr>
        <w:tab/>
        <w:t>المرفق</w:t>
      </w:r>
    </w:p>
    <w:p w:rsidR="00FB1C4A" w:rsidRPr="00274B11" w:rsidRDefault="00FB1C4A" w:rsidP="00FB1C4A">
      <w:pPr>
        <w:pStyle w:val="HChGA"/>
        <w:rPr>
          <w:rFonts w:hint="cs"/>
          <w:rtl/>
        </w:rPr>
      </w:pPr>
      <w:r w:rsidRPr="00274B11">
        <w:rPr>
          <w:rFonts w:hint="cs"/>
          <w:rtl/>
        </w:rPr>
        <w:tab/>
      </w:r>
      <w:r w:rsidRPr="00274B11">
        <w:rPr>
          <w:rFonts w:hint="cs"/>
          <w:rtl/>
        </w:rPr>
        <w:tab/>
        <w:t xml:space="preserve">قرار لجنة مناهضة التعذيب المعتمد بموجب المادة 22 من اتفاقية مناهضة التعذيب وغيره من ضروب المعاملة أو العقوبة القاسية أو </w:t>
      </w:r>
      <w:proofErr w:type="spellStart"/>
      <w:r w:rsidRPr="00274B11">
        <w:rPr>
          <w:rFonts w:hint="cs"/>
          <w:rtl/>
        </w:rPr>
        <w:t>اللاإنسانية</w:t>
      </w:r>
      <w:proofErr w:type="spellEnd"/>
      <w:r w:rsidRPr="00274B11">
        <w:rPr>
          <w:rFonts w:hint="cs"/>
          <w:rtl/>
        </w:rPr>
        <w:t xml:space="preserve"> أو</w:t>
      </w:r>
      <w:r>
        <w:rPr>
          <w:rFonts w:hint="cs"/>
          <w:rtl/>
        </w:rPr>
        <w:t xml:space="preserve"> </w:t>
      </w:r>
      <w:r w:rsidRPr="00274B11">
        <w:rPr>
          <w:rFonts w:hint="cs"/>
          <w:rtl/>
        </w:rPr>
        <w:t xml:space="preserve">المهينة </w:t>
      </w:r>
      <w:r w:rsidRPr="00FB1C4A">
        <w:rPr>
          <w:rFonts w:hint="cs"/>
          <w:b w:val="0"/>
          <w:bCs w:val="0"/>
          <w:rtl/>
        </w:rPr>
        <w:t>(الدورة السادسة والأربعون)</w:t>
      </w:r>
    </w:p>
    <w:p w:rsidR="00FB1C4A" w:rsidRPr="00274B11" w:rsidRDefault="00FB1C4A" w:rsidP="009A77E2">
      <w:pPr>
        <w:pStyle w:val="SingleTxtGA"/>
        <w:rPr>
          <w:rFonts w:hint="cs"/>
          <w:rtl/>
        </w:rPr>
      </w:pPr>
      <w:r w:rsidRPr="00274B11">
        <w:rPr>
          <w:rFonts w:hint="cs"/>
          <w:rtl/>
        </w:rPr>
        <w:t>بشأن</w:t>
      </w:r>
    </w:p>
    <w:p w:rsidR="00FB1C4A" w:rsidRPr="00274B11" w:rsidRDefault="00FB1C4A" w:rsidP="009A77E2">
      <w:pPr>
        <w:pStyle w:val="H1GA"/>
        <w:rPr>
          <w:rFonts w:hint="cs"/>
          <w:rtl/>
        </w:rPr>
      </w:pPr>
      <w:r w:rsidRPr="00274B11">
        <w:rPr>
          <w:rFonts w:hint="cs"/>
          <w:rtl/>
        </w:rPr>
        <w:tab/>
      </w:r>
      <w:r w:rsidRPr="00274B11">
        <w:rPr>
          <w:rFonts w:hint="cs"/>
          <w:rtl/>
        </w:rPr>
        <w:tab/>
        <w:t>البلاغ رقم 338/2008</w:t>
      </w:r>
    </w:p>
    <w:p w:rsidR="00FB1C4A" w:rsidRPr="00FB1C4A" w:rsidRDefault="00FB1C4A" w:rsidP="00CB5D96">
      <w:pPr>
        <w:pStyle w:val="SingleTxtGA"/>
        <w:tabs>
          <w:tab w:val="clear" w:pos="3289"/>
          <w:tab w:val="clear" w:pos="3969"/>
        </w:tabs>
        <w:spacing w:after="0" w:line="240" w:lineRule="auto"/>
        <w:ind w:left="4668" w:hanging="2740"/>
        <w:rPr>
          <w:rFonts w:hint="cs"/>
          <w:sz w:val="30"/>
          <w:rtl/>
        </w:rPr>
      </w:pPr>
      <w:r w:rsidRPr="00FB1C4A">
        <w:rPr>
          <w:rFonts w:hint="cs"/>
          <w:i/>
          <w:iCs/>
          <w:sz w:val="30"/>
          <w:rtl/>
        </w:rPr>
        <w:t>المقدم من:</w:t>
      </w:r>
      <w:r w:rsidRPr="00FB1C4A">
        <w:rPr>
          <w:rFonts w:hint="cs"/>
          <w:i/>
          <w:iCs/>
          <w:sz w:val="30"/>
          <w:rtl/>
        </w:rPr>
        <w:tab/>
      </w:r>
      <w:proofErr w:type="spellStart"/>
      <w:r w:rsidRPr="00FB1C4A">
        <w:rPr>
          <w:rFonts w:hint="cs"/>
          <w:i/>
          <w:iCs/>
          <w:sz w:val="30"/>
          <w:rtl/>
        </w:rPr>
        <w:t>أوتام</w:t>
      </w:r>
      <w:proofErr w:type="spellEnd"/>
      <w:r w:rsidRPr="00FB1C4A">
        <w:rPr>
          <w:rFonts w:hint="cs"/>
          <w:i/>
          <w:iCs/>
          <w:sz w:val="30"/>
          <w:rtl/>
        </w:rPr>
        <w:t xml:space="preserve"> </w:t>
      </w:r>
      <w:proofErr w:type="spellStart"/>
      <w:r w:rsidRPr="00FB1C4A">
        <w:rPr>
          <w:rFonts w:hint="cs"/>
          <w:i/>
          <w:iCs/>
          <w:sz w:val="30"/>
          <w:rtl/>
        </w:rPr>
        <w:t>موندال</w:t>
      </w:r>
      <w:proofErr w:type="spellEnd"/>
      <w:r w:rsidRPr="00FB1C4A">
        <w:rPr>
          <w:rFonts w:hint="cs"/>
          <w:sz w:val="30"/>
          <w:rtl/>
        </w:rPr>
        <w:t xml:space="preserve"> (ويمثله محامٍ هو السيد </w:t>
      </w:r>
      <w:proofErr w:type="spellStart"/>
      <w:r w:rsidRPr="00FB1C4A">
        <w:rPr>
          <w:rFonts w:hint="cs"/>
          <w:sz w:val="30"/>
          <w:rtl/>
        </w:rPr>
        <w:t>غونيل</w:t>
      </w:r>
      <w:proofErr w:type="spellEnd"/>
      <w:r w:rsidRPr="00FB1C4A">
        <w:rPr>
          <w:rFonts w:hint="cs"/>
          <w:sz w:val="30"/>
          <w:rtl/>
        </w:rPr>
        <w:t xml:space="preserve"> </w:t>
      </w:r>
      <w:proofErr w:type="spellStart"/>
      <w:r w:rsidRPr="00FB1C4A">
        <w:rPr>
          <w:rFonts w:hint="cs"/>
          <w:sz w:val="30"/>
          <w:rtl/>
        </w:rPr>
        <w:t>ستانبيرغ</w:t>
      </w:r>
      <w:proofErr w:type="spellEnd"/>
      <w:r w:rsidRPr="00FB1C4A">
        <w:rPr>
          <w:rFonts w:hint="cs"/>
          <w:sz w:val="30"/>
          <w:rtl/>
        </w:rPr>
        <w:t>)</w:t>
      </w:r>
    </w:p>
    <w:p w:rsidR="00FB1C4A" w:rsidRPr="00FB1C4A" w:rsidRDefault="00FB1C4A" w:rsidP="00FB1C4A">
      <w:pPr>
        <w:pStyle w:val="SingleTxtGA"/>
        <w:spacing w:after="0" w:line="240" w:lineRule="auto"/>
        <w:ind w:left="1928"/>
        <w:rPr>
          <w:rFonts w:hint="cs"/>
          <w:sz w:val="30"/>
          <w:rtl/>
        </w:rPr>
      </w:pPr>
      <w:r w:rsidRPr="00FB1C4A">
        <w:rPr>
          <w:rFonts w:hint="cs"/>
          <w:i/>
          <w:iCs/>
          <w:sz w:val="30"/>
          <w:rtl/>
        </w:rPr>
        <w:t>الشخص المدعى أنه ضحية:</w:t>
      </w:r>
      <w:r w:rsidRPr="00FB1C4A">
        <w:rPr>
          <w:rFonts w:hint="cs"/>
          <w:sz w:val="30"/>
          <w:rtl/>
        </w:rPr>
        <w:tab/>
        <w:t>صاحب الشكوى</w:t>
      </w:r>
    </w:p>
    <w:p w:rsidR="00FB1C4A" w:rsidRPr="00FB1C4A" w:rsidRDefault="00FB1C4A" w:rsidP="00CB5D96">
      <w:pPr>
        <w:pStyle w:val="SingleTxtGA"/>
        <w:tabs>
          <w:tab w:val="clear" w:pos="3289"/>
          <w:tab w:val="clear" w:pos="3969"/>
        </w:tabs>
        <w:spacing w:after="0" w:line="240" w:lineRule="auto"/>
        <w:ind w:left="1928"/>
        <w:rPr>
          <w:rFonts w:hint="cs"/>
          <w:sz w:val="30"/>
          <w:rtl/>
        </w:rPr>
      </w:pPr>
      <w:r w:rsidRPr="00FB1C4A">
        <w:rPr>
          <w:rFonts w:hint="cs"/>
          <w:i/>
          <w:iCs/>
          <w:sz w:val="30"/>
          <w:rtl/>
        </w:rPr>
        <w:t>الدولة الطرف:</w:t>
      </w:r>
      <w:r w:rsidRPr="00FB1C4A">
        <w:rPr>
          <w:rFonts w:hint="cs"/>
          <w:i/>
          <w:iCs/>
          <w:sz w:val="30"/>
          <w:rtl/>
        </w:rPr>
        <w:tab/>
      </w:r>
      <w:r w:rsidRPr="00FB1C4A">
        <w:rPr>
          <w:rFonts w:hint="cs"/>
          <w:sz w:val="30"/>
          <w:rtl/>
        </w:rPr>
        <w:t>السويد</w:t>
      </w:r>
    </w:p>
    <w:p w:rsidR="00FB1C4A" w:rsidRPr="00FB1C4A" w:rsidRDefault="00FB1C4A" w:rsidP="00CB5D96">
      <w:pPr>
        <w:pStyle w:val="SingleTxtGA"/>
        <w:tabs>
          <w:tab w:val="clear" w:pos="3969"/>
        </w:tabs>
        <w:spacing w:after="0" w:line="240" w:lineRule="auto"/>
        <w:ind w:left="4598" w:hanging="2670"/>
        <w:rPr>
          <w:rFonts w:hint="cs"/>
          <w:sz w:val="30"/>
          <w:rtl/>
        </w:rPr>
      </w:pPr>
      <w:r w:rsidRPr="00FB1C4A">
        <w:rPr>
          <w:rFonts w:hint="cs"/>
          <w:i/>
          <w:iCs/>
          <w:sz w:val="30"/>
          <w:rtl/>
        </w:rPr>
        <w:t>تاريخ تقديم الشكوى:</w:t>
      </w:r>
      <w:r w:rsidRPr="00FB1C4A">
        <w:rPr>
          <w:rFonts w:hint="cs"/>
          <w:i/>
          <w:iCs/>
          <w:sz w:val="30"/>
          <w:rtl/>
        </w:rPr>
        <w:tab/>
      </w:r>
      <w:r w:rsidRPr="00FB1C4A">
        <w:rPr>
          <w:rFonts w:hint="cs"/>
          <w:sz w:val="30"/>
          <w:rtl/>
        </w:rPr>
        <w:t xml:space="preserve">30 </w:t>
      </w:r>
      <w:r w:rsidR="00CB5D96">
        <w:rPr>
          <w:rFonts w:hint="cs"/>
          <w:sz w:val="30"/>
          <w:rtl/>
        </w:rPr>
        <w:t xml:space="preserve">تشرين الثاني/نوفمبر 2007 (تاريخ </w:t>
      </w:r>
      <w:r w:rsidRPr="00FB1C4A">
        <w:rPr>
          <w:rFonts w:hint="cs"/>
          <w:sz w:val="30"/>
          <w:rtl/>
        </w:rPr>
        <w:t>الرسالة</w:t>
      </w:r>
      <w:r w:rsidR="00CB5D96">
        <w:rPr>
          <w:rFonts w:hint="eastAsia"/>
          <w:sz w:val="30"/>
          <w:rtl/>
        </w:rPr>
        <w:t> </w:t>
      </w:r>
      <w:r w:rsidRPr="00FB1C4A">
        <w:rPr>
          <w:rFonts w:hint="cs"/>
          <w:sz w:val="30"/>
          <w:rtl/>
        </w:rPr>
        <w:t>الأولى)</w:t>
      </w:r>
    </w:p>
    <w:p w:rsidR="00FB1C4A" w:rsidRPr="00FB1C4A" w:rsidRDefault="00FB1C4A" w:rsidP="00323B5F">
      <w:pPr>
        <w:pStyle w:val="SingleTxtGA"/>
        <w:rPr>
          <w:rFonts w:hint="cs"/>
          <w:rtl/>
        </w:rPr>
      </w:pPr>
      <w:r w:rsidRPr="00FB1C4A">
        <w:rPr>
          <w:rFonts w:hint="cs"/>
          <w:i/>
          <w:iCs/>
          <w:rtl/>
        </w:rPr>
        <w:tab/>
        <w:t>إن لجنة مناهضة التعذيب،</w:t>
      </w:r>
      <w:r w:rsidRPr="00FB1C4A">
        <w:rPr>
          <w:rFonts w:hint="cs"/>
          <w:rtl/>
        </w:rPr>
        <w:t xml:space="preserve"> المنشأة بموجب المادة 17 من اتفاقية مناهضة التعذيب وغيره من ضروب المعاملة أو العقوبة القاسية أو </w:t>
      </w:r>
      <w:proofErr w:type="spellStart"/>
      <w:r w:rsidRPr="00FB1C4A">
        <w:rPr>
          <w:rFonts w:hint="cs"/>
          <w:rtl/>
        </w:rPr>
        <w:t>اللاإنسانية</w:t>
      </w:r>
      <w:proofErr w:type="spellEnd"/>
      <w:r w:rsidRPr="00FB1C4A">
        <w:rPr>
          <w:rFonts w:hint="cs"/>
          <w:rtl/>
        </w:rPr>
        <w:t xml:space="preserve"> أو المهينة،</w:t>
      </w:r>
    </w:p>
    <w:p w:rsidR="00FB1C4A" w:rsidRPr="00FB1C4A" w:rsidRDefault="00FB1C4A" w:rsidP="00323B5F">
      <w:pPr>
        <w:pStyle w:val="SingleTxtGA"/>
        <w:rPr>
          <w:rFonts w:hint="cs"/>
          <w:rtl/>
        </w:rPr>
      </w:pPr>
      <w:r w:rsidRPr="00FB1C4A">
        <w:rPr>
          <w:rFonts w:hint="cs"/>
          <w:i/>
          <w:iCs/>
          <w:rtl/>
        </w:rPr>
        <w:tab/>
        <w:t>وقد اجتمعت</w:t>
      </w:r>
      <w:r w:rsidRPr="00FB1C4A">
        <w:rPr>
          <w:rFonts w:hint="cs"/>
          <w:rtl/>
        </w:rPr>
        <w:t xml:space="preserve"> في 23 أيار/مايو 2011،</w:t>
      </w:r>
    </w:p>
    <w:p w:rsidR="00FB1C4A" w:rsidRPr="00FB1C4A" w:rsidRDefault="00FB1C4A" w:rsidP="00323B5F">
      <w:pPr>
        <w:pStyle w:val="SingleTxtGA"/>
        <w:rPr>
          <w:rFonts w:hint="cs"/>
          <w:rtl/>
        </w:rPr>
      </w:pPr>
      <w:r w:rsidRPr="00FB1C4A">
        <w:rPr>
          <w:rFonts w:hint="cs"/>
          <w:i/>
          <w:iCs/>
          <w:rtl/>
        </w:rPr>
        <w:tab/>
      </w:r>
      <w:r w:rsidRPr="00FB1C4A">
        <w:rPr>
          <w:rFonts w:hint="cs"/>
          <w:i/>
          <w:iCs/>
          <w:rtl/>
          <w:lang/>
        </w:rPr>
        <w:t>وقد فرغت من النظر</w:t>
      </w:r>
      <w:r w:rsidRPr="00FB1C4A">
        <w:rPr>
          <w:rFonts w:hint="cs"/>
          <w:i/>
          <w:iCs/>
          <w:rtl/>
        </w:rPr>
        <w:t xml:space="preserve"> في</w:t>
      </w:r>
      <w:r w:rsidRPr="00FB1C4A">
        <w:rPr>
          <w:rFonts w:hint="cs"/>
          <w:rtl/>
        </w:rPr>
        <w:t xml:space="preserve"> الشكوى رقم 338/2008، المقدمة إلى لجنة مناهضة التعذيب من السيد </w:t>
      </w:r>
      <w:proofErr w:type="spellStart"/>
      <w:r w:rsidRPr="00FB1C4A">
        <w:rPr>
          <w:rFonts w:hint="cs"/>
          <w:spacing w:val="-2"/>
          <w:rtl/>
        </w:rPr>
        <w:t>غونيل</w:t>
      </w:r>
      <w:proofErr w:type="spellEnd"/>
      <w:r w:rsidRPr="00FB1C4A">
        <w:rPr>
          <w:rFonts w:hint="cs"/>
          <w:spacing w:val="-2"/>
          <w:rtl/>
        </w:rPr>
        <w:t xml:space="preserve"> </w:t>
      </w:r>
      <w:proofErr w:type="spellStart"/>
      <w:r w:rsidRPr="00FB1C4A">
        <w:rPr>
          <w:rFonts w:hint="cs"/>
          <w:spacing w:val="-2"/>
          <w:rtl/>
        </w:rPr>
        <w:t>ستانبيرغ</w:t>
      </w:r>
      <w:proofErr w:type="spellEnd"/>
      <w:r w:rsidRPr="00FB1C4A">
        <w:rPr>
          <w:rFonts w:hint="cs"/>
          <w:rtl/>
        </w:rPr>
        <w:t xml:space="preserve"> نيابةً عن السيد </w:t>
      </w:r>
      <w:proofErr w:type="spellStart"/>
      <w:r w:rsidRPr="00FB1C4A">
        <w:rPr>
          <w:rFonts w:hint="cs"/>
          <w:rtl/>
        </w:rPr>
        <w:t>أوتال</w:t>
      </w:r>
      <w:proofErr w:type="spellEnd"/>
      <w:r w:rsidRPr="00FB1C4A">
        <w:rPr>
          <w:rFonts w:hint="cs"/>
          <w:rtl/>
        </w:rPr>
        <w:t xml:space="preserve"> </w:t>
      </w:r>
      <w:proofErr w:type="spellStart"/>
      <w:r w:rsidRPr="00FB1C4A">
        <w:rPr>
          <w:rFonts w:hint="cs"/>
          <w:rtl/>
        </w:rPr>
        <w:t>موندال</w:t>
      </w:r>
      <w:proofErr w:type="spellEnd"/>
      <w:r w:rsidRPr="00FB1C4A">
        <w:rPr>
          <w:rFonts w:hint="cs"/>
          <w:rtl/>
        </w:rPr>
        <w:t xml:space="preserve"> بموجب المادة 22 من اتفاقية مناهضة التعذيب وغيره من ضروب المعاملة أو العقوبة القاسية أو </w:t>
      </w:r>
      <w:proofErr w:type="spellStart"/>
      <w:r w:rsidRPr="00FB1C4A">
        <w:rPr>
          <w:rFonts w:hint="cs"/>
          <w:rtl/>
        </w:rPr>
        <w:t>اللاإنسانية</w:t>
      </w:r>
      <w:proofErr w:type="spellEnd"/>
      <w:r w:rsidRPr="00FB1C4A">
        <w:rPr>
          <w:rFonts w:hint="cs"/>
          <w:rtl/>
        </w:rPr>
        <w:t xml:space="preserve"> أو المهينة، </w:t>
      </w:r>
    </w:p>
    <w:p w:rsidR="00FB1C4A" w:rsidRPr="00FB1C4A" w:rsidRDefault="00FB1C4A" w:rsidP="00323B5F">
      <w:pPr>
        <w:pStyle w:val="SingleTxtGA"/>
        <w:rPr>
          <w:rFonts w:hint="cs"/>
          <w:rtl/>
        </w:rPr>
      </w:pPr>
      <w:r w:rsidRPr="00FB1C4A">
        <w:rPr>
          <w:rFonts w:hint="cs"/>
          <w:i/>
          <w:iCs/>
          <w:rtl/>
        </w:rPr>
        <w:tab/>
        <w:t>وقد أخذت في اعتبارها</w:t>
      </w:r>
      <w:r w:rsidRPr="00FB1C4A">
        <w:rPr>
          <w:rFonts w:hint="cs"/>
          <w:rtl/>
        </w:rPr>
        <w:t xml:space="preserve"> جميع المعلومات التي أتاحها لها صاحب الشكوى والدولة الطرف، </w:t>
      </w:r>
    </w:p>
    <w:p w:rsidR="00FB1C4A" w:rsidRPr="00FB1C4A" w:rsidRDefault="00FB1C4A" w:rsidP="00FB1C4A">
      <w:pPr>
        <w:pStyle w:val="SingleTxtGA"/>
        <w:spacing w:after="0" w:line="240" w:lineRule="auto"/>
        <w:rPr>
          <w:rFonts w:hint="cs"/>
          <w:sz w:val="30"/>
          <w:rtl/>
        </w:rPr>
      </w:pPr>
      <w:r w:rsidRPr="00FB1C4A">
        <w:rPr>
          <w:rFonts w:hint="cs"/>
          <w:i/>
          <w:iCs/>
          <w:sz w:val="30"/>
          <w:rtl/>
        </w:rPr>
        <w:tab/>
        <w:t xml:space="preserve">تعتمد </w:t>
      </w:r>
      <w:r w:rsidRPr="00FB1C4A">
        <w:rPr>
          <w:rFonts w:hint="cs"/>
          <w:sz w:val="30"/>
          <w:rtl/>
        </w:rPr>
        <w:t>ما يلي:</w:t>
      </w:r>
    </w:p>
    <w:p w:rsidR="00FB1C4A" w:rsidRPr="00274B11" w:rsidRDefault="006A49DA" w:rsidP="005F334D">
      <w:pPr>
        <w:pStyle w:val="H1GA"/>
        <w:spacing w:before="120"/>
        <w:rPr>
          <w:rFonts w:hint="cs"/>
          <w:rtl/>
        </w:rPr>
      </w:pPr>
      <w:r>
        <w:rPr>
          <w:rtl/>
        </w:rPr>
        <w:br w:type="page"/>
      </w:r>
      <w:r w:rsidR="00FB1C4A" w:rsidRPr="00274B11">
        <w:rPr>
          <w:rFonts w:hint="cs"/>
          <w:rtl/>
        </w:rPr>
        <w:tab/>
      </w:r>
      <w:r w:rsidR="00FB1C4A" w:rsidRPr="00274B11">
        <w:rPr>
          <w:rFonts w:hint="cs"/>
          <w:rtl/>
        </w:rPr>
        <w:tab/>
        <w:t xml:space="preserve">القرار المعتمد بموجب الفقرة 7 من المادة 22 من اتفاقية مناهضة التعذيب وغيره من ضروب المعاملة أو العقوبة القاسية أو </w:t>
      </w:r>
      <w:proofErr w:type="spellStart"/>
      <w:r w:rsidR="00FB1C4A" w:rsidRPr="00274B11">
        <w:rPr>
          <w:rFonts w:hint="cs"/>
          <w:rtl/>
        </w:rPr>
        <w:t>اللاإنسانية</w:t>
      </w:r>
      <w:proofErr w:type="spellEnd"/>
      <w:r w:rsidR="00FB1C4A" w:rsidRPr="00274B11">
        <w:rPr>
          <w:rFonts w:hint="cs"/>
          <w:rtl/>
        </w:rPr>
        <w:t xml:space="preserve"> أو المهينة</w:t>
      </w:r>
    </w:p>
    <w:p w:rsidR="00FB1C4A" w:rsidRPr="00D768BF" w:rsidRDefault="00FB1C4A" w:rsidP="00452B42">
      <w:pPr>
        <w:pStyle w:val="SingleTxtGA"/>
        <w:rPr>
          <w:rFonts w:hint="cs"/>
          <w:rtl/>
          <w:lang w:val="fr-CH"/>
        </w:rPr>
      </w:pPr>
      <w:r w:rsidRPr="00D768BF">
        <w:rPr>
          <w:rFonts w:hint="cs"/>
          <w:rtl/>
          <w:lang w:val="fr-CH"/>
        </w:rPr>
        <w:t>1-1</w:t>
      </w:r>
      <w:r w:rsidRPr="00D768BF">
        <w:rPr>
          <w:rFonts w:hint="cs"/>
          <w:rtl/>
          <w:lang w:val="fr-CH"/>
        </w:rPr>
        <w:tab/>
        <w:t xml:space="preserve">صاحب الشكوى هو </w:t>
      </w:r>
      <w:r>
        <w:rPr>
          <w:rFonts w:hint="cs"/>
          <w:rtl/>
          <w:lang w:val="fr-CH"/>
        </w:rPr>
        <w:t xml:space="preserve">السيد </w:t>
      </w:r>
      <w:proofErr w:type="spellStart"/>
      <w:r w:rsidRPr="00D768BF">
        <w:rPr>
          <w:rFonts w:hint="cs"/>
          <w:rtl/>
          <w:lang w:val="fr-CH"/>
        </w:rPr>
        <w:t>أوتام</w:t>
      </w:r>
      <w:proofErr w:type="spellEnd"/>
      <w:r w:rsidRPr="00D768BF">
        <w:rPr>
          <w:rFonts w:hint="cs"/>
          <w:rtl/>
          <w:lang w:val="fr-CH"/>
        </w:rPr>
        <w:t xml:space="preserve"> </w:t>
      </w:r>
      <w:proofErr w:type="spellStart"/>
      <w:r w:rsidRPr="00D768BF">
        <w:rPr>
          <w:rFonts w:hint="cs"/>
          <w:rtl/>
          <w:lang w:val="fr-CH"/>
        </w:rPr>
        <w:t>موندال</w:t>
      </w:r>
      <w:proofErr w:type="spellEnd"/>
      <w:r w:rsidRPr="00D768BF">
        <w:rPr>
          <w:rFonts w:hint="cs"/>
          <w:rtl/>
          <w:lang w:val="fr-CH"/>
        </w:rPr>
        <w:t xml:space="preserve">، وهو مواطن </w:t>
      </w:r>
      <w:proofErr w:type="spellStart"/>
      <w:r w:rsidRPr="00D768BF">
        <w:rPr>
          <w:rFonts w:hint="cs"/>
          <w:rtl/>
          <w:lang w:val="fr-CH"/>
        </w:rPr>
        <w:t>بنغلاديشي</w:t>
      </w:r>
      <w:proofErr w:type="spellEnd"/>
      <w:r w:rsidRPr="00D768BF">
        <w:rPr>
          <w:rFonts w:hint="cs"/>
          <w:rtl/>
          <w:lang w:val="fr-CH"/>
        </w:rPr>
        <w:t xml:space="preserve"> يتوق</w:t>
      </w:r>
      <w:r>
        <w:rPr>
          <w:rFonts w:hint="cs"/>
          <w:rtl/>
          <w:lang w:val="fr-CH"/>
        </w:rPr>
        <w:t>َّ</w:t>
      </w:r>
      <w:r w:rsidRPr="00D768BF">
        <w:rPr>
          <w:rFonts w:hint="cs"/>
          <w:rtl/>
          <w:lang w:val="fr-CH"/>
        </w:rPr>
        <w:t xml:space="preserve">ع </w:t>
      </w:r>
      <w:r>
        <w:rPr>
          <w:rFonts w:hint="cs"/>
          <w:rtl/>
          <w:lang w:val="fr-CH"/>
        </w:rPr>
        <w:t>في الوقت الحاضر</w:t>
      </w:r>
      <w:r w:rsidRPr="00D768BF">
        <w:rPr>
          <w:rFonts w:hint="cs"/>
          <w:rtl/>
          <w:lang w:val="fr-CH"/>
        </w:rPr>
        <w:t xml:space="preserve"> ترحيله من السويد. و</w:t>
      </w:r>
      <w:r>
        <w:rPr>
          <w:rFonts w:hint="cs"/>
          <w:rtl/>
          <w:lang w:val="fr-CH"/>
        </w:rPr>
        <w:t xml:space="preserve">هو </w:t>
      </w:r>
      <w:r w:rsidRPr="00D768BF">
        <w:rPr>
          <w:rFonts w:hint="cs"/>
          <w:rtl/>
          <w:lang w:val="fr-CH"/>
        </w:rPr>
        <w:t>ي</w:t>
      </w:r>
      <w:r>
        <w:rPr>
          <w:rFonts w:hint="cs"/>
          <w:rtl/>
          <w:lang w:val="fr-CH"/>
        </w:rPr>
        <w:t>دّ</w:t>
      </w:r>
      <w:r w:rsidRPr="00D768BF">
        <w:rPr>
          <w:rFonts w:hint="cs"/>
          <w:rtl/>
          <w:lang w:val="fr-CH"/>
        </w:rPr>
        <w:t>ع</w:t>
      </w:r>
      <w:r>
        <w:rPr>
          <w:rFonts w:hint="cs"/>
          <w:rtl/>
          <w:lang w:val="fr-CH"/>
        </w:rPr>
        <w:t>ي</w:t>
      </w:r>
      <w:r w:rsidRPr="00D768BF">
        <w:rPr>
          <w:rFonts w:hint="cs"/>
          <w:rtl/>
          <w:lang w:val="fr-CH"/>
        </w:rPr>
        <w:t xml:space="preserve"> أن</w:t>
      </w:r>
      <w:r>
        <w:rPr>
          <w:rFonts w:hint="cs"/>
          <w:rtl/>
          <w:lang w:val="fr-CH"/>
        </w:rPr>
        <w:t>،</w:t>
      </w:r>
      <w:r w:rsidRPr="00D768BF">
        <w:rPr>
          <w:rFonts w:hint="cs"/>
          <w:rtl/>
          <w:lang w:val="fr-CH"/>
        </w:rPr>
        <w:t xml:space="preserve"> بترحيله إلى بنغلاديش</w:t>
      </w:r>
      <w:r>
        <w:rPr>
          <w:rFonts w:hint="cs"/>
          <w:rtl/>
          <w:lang w:val="fr-CH"/>
        </w:rPr>
        <w:t>،</w:t>
      </w:r>
      <w:r w:rsidRPr="00D768BF">
        <w:rPr>
          <w:rFonts w:hint="cs"/>
          <w:rtl/>
          <w:lang w:val="fr-CH"/>
        </w:rPr>
        <w:t xml:space="preserve"> ستنتهك السويد المادة 3 من اتفاقية مناهضة التعذيب وغيره من ضروب المعاملة أو العقوبة القاسية أو </w:t>
      </w:r>
      <w:proofErr w:type="spellStart"/>
      <w:r w:rsidRPr="00D768BF">
        <w:rPr>
          <w:rFonts w:hint="cs"/>
          <w:rtl/>
          <w:lang w:val="fr-CH"/>
        </w:rPr>
        <w:t>اللاإنسانية</w:t>
      </w:r>
      <w:proofErr w:type="spellEnd"/>
      <w:r w:rsidRPr="00D768BF">
        <w:rPr>
          <w:rFonts w:hint="cs"/>
          <w:rtl/>
          <w:lang w:val="fr-CH"/>
        </w:rPr>
        <w:t xml:space="preserve"> أو</w:t>
      </w:r>
      <w:r w:rsidR="00452B42">
        <w:rPr>
          <w:rFonts w:hint="eastAsia"/>
          <w:rtl/>
          <w:lang w:val="fr-CH"/>
        </w:rPr>
        <w:t> </w:t>
      </w:r>
      <w:r w:rsidRPr="00D768BF">
        <w:rPr>
          <w:rFonts w:hint="cs"/>
          <w:rtl/>
          <w:lang w:val="fr-CH"/>
        </w:rPr>
        <w:t>المهينة. ويمث</w:t>
      </w:r>
      <w:r>
        <w:rPr>
          <w:rFonts w:hint="cs"/>
          <w:rtl/>
          <w:lang w:val="fr-CH"/>
        </w:rPr>
        <w:t xml:space="preserve">ّل صاحب الشكوى محامٍ، </w:t>
      </w:r>
      <w:proofErr w:type="spellStart"/>
      <w:r w:rsidRPr="00D768BF">
        <w:rPr>
          <w:rFonts w:hint="cs"/>
          <w:rtl/>
        </w:rPr>
        <w:t>غونيل</w:t>
      </w:r>
      <w:proofErr w:type="spellEnd"/>
      <w:r w:rsidRPr="00D768BF">
        <w:rPr>
          <w:rFonts w:hint="cs"/>
          <w:rtl/>
        </w:rPr>
        <w:t xml:space="preserve"> </w:t>
      </w:r>
      <w:proofErr w:type="spellStart"/>
      <w:r w:rsidRPr="00D768BF">
        <w:rPr>
          <w:rFonts w:hint="cs"/>
          <w:rtl/>
        </w:rPr>
        <w:t>ستانبيرغ</w:t>
      </w:r>
      <w:proofErr w:type="spellEnd"/>
      <w:r w:rsidRPr="00D768BF">
        <w:rPr>
          <w:rFonts w:hint="cs"/>
          <w:rtl/>
          <w:lang w:val="fr-CH"/>
        </w:rPr>
        <w:t>.</w:t>
      </w:r>
    </w:p>
    <w:p w:rsidR="00FB1C4A" w:rsidRPr="00D768BF" w:rsidRDefault="00FB1C4A" w:rsidP="00FB1C4A">
      <w:pPr>
        <w:pStyle w:val="SingleTxtGA"/>
        <w:rPr>
          <w:rFonts w:hint="cs"/>
          <w:rtl/>
          <w:lang w:val="fr-CH"/>
        </w:rPr>
      </w:pPr>
      <w:r w:rsidRPr="00D768BF">
        <w:rPr>
          <w:rFonts w:hint="cs"/>
          <w:rtl/>
          <w:lang w:val="fr-CH"/>
        </w:rPr>
        <w:t>1-2</w:t>
      </w:r>
      <w:r w:rsidRPr="00D768BF">
        <w:rPr>
          <w:rFonts w:hint="cs"/>
          <w:rtl/>
          <w:lang w:val="fr-CH"/>
        </w:rPr>
        <w:tab/>
        <w:t>وطلبت اللجنة إلى الدولة الطرف</w:t>
      </w:r>
      <w:r>
        <w:rPr>
          <w:rFonts w:hint="cs"/>
          <w:rtl/>
          <w:lang w:val="fr-CH"/>
        </w:rPr>
        <w:t>، عملا</w:t>
      </w:r>
      <w:r w:rsidRPr="00D768BF">
        <w:rPr>
          <w:rFonts w:hint="cs"/>
          <w:rtl/>
          <w:lang w:val="fr-CH"/>
        </w:rPr>
        <w:t xml:space="preserve">ً </w:t>
      </w:r>
      <w:r>
        <w:rPr>
          <w:rFonts w:hint="cs"/>
          <w:rtl/>
          <w:lang w:val="fr-CH"/>
        </w:rPr>
        <w:t>با</w:t>
      </w:r>
      <w:r w:rsidRPr="00D768BF">
        <w:rPr>
          <w:rFonts w:hint="cs"/>
          <w:rtl/>
          <w:lang w:val="fr-CH"/>
        </w:rPr>
        <w:t>لفقرة 1 من المادة 108 من نظام</w:t>
      </w:r>
      <w:r>
        <w:rPr>
          <w:rFonts w:hint="cs"/>
          <w:rtl/>
          <w:lang w:val="fr-CH"/>
        </w:rPr>
        <w:t>ها</w:t>
      </w:r>
      <w:r w:rsidRPr="00D768BF">
        <w:rPr>
          <w:rFonts w:hint="cs"/>
          <w:rtl/>
          <w:lang w:val="fr-CH"/>
        </w:rPr>
        <w:t xml:space="preserve"> الداخلي، عدم </w:t>
      </w:r>
      <w:r>
        <w:rPr>
          <w:rFonts w:hint="cs"/>
          <w:rtl/>
          <w:lang w:val="fr-CH"/>
        </w:rPr>
        <w:t>طرد</w:t>
      </w:r>
      <w:r w:rsidRPr="00D768BF">
        <w:rPr>
          <w:rFonts w:hint="cs"/>
          <w:rtl/>
          <w:lang w:val="fr-CH"/>
        </w:rPr>
        <w:t xml:space="preserve"> صاحب الشكوى إلى بنغلاديش </w:t>
      </w:r>
      <w:r>
        <w:rPr>
          <w:rFonts w:hint="cs"/>
          <w:rtl/>
          <w:lang w:val="fr-CH"/>
        </w:rPr>
        <w:t>ريثما ت</w:t>
      </w:r>
      <w:r w:rsidRPr="00D768BF">
        <w:rPr>
          <w:rFonts w:hint="cs"/>
          <w:rtl/>
          <w:lang w:val="fr-CH"/>
        </w:rPr>
        <w:t xml:space="preserve">نظر اللجنة </w:t>
      </w:r>
      <w:r>
        <w:rPr>
          <w:rFonts w:hint="cs"/>
          <w:rtl/>
          <w:lang w:val="fr-CH"/>
        </w:rPr>
        <w:t>في شكواه.</w:t>
      </w:r>
    </w:p>
    <w:p w:rsidR="00FB1C4A" w:rsidRPr="00D768BF" w:rsidRDefault="005F334D" w:rsidP="005F334D">
      <w:pPr>
        <w:pStyle w:val="H23GA"/>
        <w:rPr>
          <w:rFonts w:hint="cs"/>
          <w:rtl/>
          <w:lang w:val="fr-CH"/>
        </w:rPr>
      </w:pPr>
      <w:r>
        <w:rPr>
          <w:rFonts w:hint="cs"/>
          <w:rtl/>
          <w:lang w:val="fr-CH"/>
        </w:rPr>
        <w:tab/>
      </w:r>
      <w:r>
        <w:rPr>
          <w:rFonts w:hint="cs"/>
          <w:rtl/>
          <w:lang w:val="fr-CH"/>
        </w:rPr>
        <w:tab/>
      </w:r>
      <w:r w:rsidR="00FB1C4A" w:rsidRPr="00D768BF">
        <w:rPr>
          <w:rFonts w:hint="cs"/>
          <w:rtl/>
          <w:lang w:val="fr-CH"/>
        </w:rPr>
        <w:t>الوقائع كما عرضها صاحب الشكوى</w:t>
      </w:r>
    </w:p>
    <w:p w:rsidR="00FB1C4A" w:rsidRPr="00D768BF" w:rsidRDefault="00FB1C4A" w:rsidP="00FB1C4A">
      <w:pPr>
        <w:pStyle w:val="SingleTxtGA"/>
        <w:rPr>
          <w:rFonts w:hint="cs"/>
          <w:rtl/>
          <w:lang w:val="fr-CH"/>
        </w:rPr>
      </w:pPr>
      <w:r w:rsidRPr="00D768BF">
        <w:rPr>
          <w:rFonts w:hint="cs"/>
          <w:rtl/>
          <w:lang w:val="fr-CH"/>
        </w:rPr>
        <w:t>2-1</w:t>
      </w:r>
      <w:r w:rsidRPr="00D768BF">
        <w:rPr>
          <w:rFonts w:hint="cs"/>
          <w:rtl/>
          <w:lang w:val="fr-CH"/>
        </w:rPr>
        <w:tab/>
        <w:t>كان صاحب الشكوى ناشطاً سياسياً في بنغلاديش ينتمي إلى حزب يسمَّى "</w:t>
      </w:r>
      <w:proofErr w:type="spellStart"/>
      <w:r w:rsidRPr="00D768BF">
        <w:rPr>
          <w:rFonts w:hint="cs"/>
          <w:rtl/>
          <w:lang w:val="fr-CH"/>
        </w:rPr>
        <w:t>بيكولبو</w:t>
      </w:r>
      <w:proofErr w:type="spellEnd"/>
      <w:r w:rsidRPr="00D768BF">
        <w:rPr>
          <w:rFonts w:hint="cs"/>
          <w:rtl/>
          <w:lang w:val="fr-CH"/>
        </w:rPr>
        <w:t xml:space="preserve"> </w:t>
      </w:r>
      <w:proofErr w:type="spellStart"/>
      <w:r w:rsidRPr="00D768BF">
        <w:rPr>
          <w:rFonts w:hint="cs"/>
          <w:rtl/>
          <w:lang w:val="fr-CH"/>
        </w:rPr>
        <w:t>دهارا</w:t>
      </w:r>
      <w:proofErr w:type="spellEnd"/>
      <w:r w:rsidRPr="00D768BF">
        <w:rPr>
          <w:rFonts w:hint="cs"/>
          <w:rtl/>
          <w:lang w:val="fr-CH"/>
        </w:rPr>
        <w:t xml:space="preserve"> بنغلاديش". وأُنشئ ذلك الحزب في عام 2003 وانضم إليه صاحب الشكوى في نهاية العام نفسه. وفي عام 2004، أصبح صاحب الشكوى رئيس منظمة الشبيبة داخل الحزب "جوبا </w:t>
      </w:r>
      <w:proofErr w:type="spellStart"/>
      <w:r w:rsidRPr="00D768BF">
        <w:rPr>
          <w:rFonts w:hint="cs"/>
          <w:rtl/>
          <w:lang w:val="fr-CH"/>
        </w:rPr>
        <w:t>دهارا</w:t>
      </w:r>
      <w:proofErr w:type="spellEnd"/>
      <w:r w:rsidRPr="00D768BF">
        <w:rPr>
          <w:rFonts w:hint="cs"/>
          <w:rtl/>
          <w:lang w:val="fr-CH"/>
        </w:rPr>
        <w:t>"</w:t>
      </w:r>
      <w:r>
        <w:rPr>
          <w:rFonts w:hint="cs"/>
          <w:rtl/>
          <w:lang w:val="fr-CH"/>
        </w:rPr>
        <w:t>،</w:t>
      </w:r>
      <w:r w:rsidRPr="00D768BF">
        <w:rPr>
          <w:rFonts w:hint="cs"/>
          <w:rtl/>
          <w:lang w:val="fr-CH"/>
        </w:rPr>
        <w:t xml:space="preserve"> </w:t>
      </w:r>
      <w:r>
        <w:rPr>
          <w:rFonts w:hint="cs"/>
          <w:rtl/>
          <w:lang w:val="fr-CH"/>
        </w:rPr>
        <w:t xml:space="preserve">في مقاطعة </w:t>
      </w:r>
      <w:proofErr w:type="spellStart"/>
      <w:r>
        <w:rPr>
          <w:rFonts w:hint="cs"/>
          <w:rtl/>
          <w:lang w:val="fr-CH"/>
        </w:rPr>
        <w:t>سريناغ</w:t>
      </w:r>
      <w:r w:rsidRPr="00D768BF">
        <w:rPr>
          <w:rFonts w:hint="cs"/>
          <w:rtl/>
          <w:lang w:val="fr-CH"/>
        </w:rPr>
        <w:t>ار</w:t>
      </w:r>
      <w:proofErr w:type="spellEnd"/>
      <w:r>
        <w:rPr>
          <w:rFonts w:hint="cs"/>
          <w:rtl/>
          <w:lang w:val="fr-CH"/>
        </w:rPr>
        <w:t>.</w:t>
      </w:r>
      <w:r w:rsidRPr="00D768BF">
        <w:rPr>
          <w:rFonts w:hint="cs"/>
          <w:rtl/>
          <w:lang w:val="fr-CH"/>
        </w:rPr>
        <w:t xml:space="preserve"> ونظ</w:t>
      </w:r>
      <w:r>
        <w:rPr>
          <w:rFonts w:hint="cs"/>
          <w:rtl/>
          <w:lang w:val="fr-CH"/>
        </w:rPr>
        <w:t>ّ</w:t>
      </w:r>
      <w:r w:rsidRPr="00D768BF">
        <w:rPr>
          <w:rFonts w:hint="cs"/>
          <w:rtl/>
          <w:lang w:val="fr-CH"/>
        </w:rPr>
        <w:t xml:space="preserve">م صاحب الشكوى اجتماعات ومظاهرات وألقى خطابات وكان على اتصال وثيق بمؤسس الحزب، البروفيسور </w:t>
      </w:r>
      <w:proofErr w:type="spellStart"/>
      <w:r w:rsidRPr="00D768BF">
        <w:rPr>
          <w:rFonts w:hint="cs"/>
          <w:rtl/>
          <w:lang w:val="fr-CH"/>
        </w:rPr>
        <w:t>شاودهوري</w:t>
      </w:r>
      <w:proofErr w:type="spellEnd"/>
      <w:r w:rsidRPr="00D768BF">
        <w:rPr>
          <w:rFonts w:hint="cs"/>
          <w:rtl/>
          <w:lang w:val="fr-CH"/>
        </w:rPr>
        <w:t xml:space="preserve">، وبابنه، </w:t>
      </w:r>
      <w:proofErr w:type="spellStart"/>
      <w:r w:rsidRPr="00D768BF">
        <w:rPr>
          <w:rFonts w:hint="cs"/>
          <w:rtl/>
          <w:lang w:val="fr-CH"/>
        </w:rPr>
        <w:t>ماهي</w:t>
      </w:r>
      <w:proofErr w:type="spellEnd"/>
      <w:r w:rsidRPr="00D768BF">
        <w:rPr>
          <w:rFonts w:hint="cs"/>
          <w:rtl/>
          <w:lang w:val="fr-CH"/>
        </w:rPr>
        <w:t xml:space="preserve"> </w:t>
      </w:r>
      <w:proofErr w:type="spellStart"/>
      <w:r w:rsidRPr="00D768BF">
        <w:rPr>
          <w:rFonts w:hint="cs"/>
          <w:rtl/>
          <w:lang w:val="fr-CH"/>
        </w:rPr>
        <w:t>شاودهوري</w:t>
      </w:r>
      <w:proofErr w:type="spellEnd"/>
      <w:r w:rsidRPr="00D768BF">
        <w:rPr>
          <w:rFonts w:hint="cs"/>
          <w:rtl/>
          <w:lang w:val="fr-CH"/>
        </w:rPr>
        <w:t>. وشارك صاحب الشكوى كذلك في تنظيم اللجان المحلية للحزب.</w:t>
      </w:r>
    </w:p>
    <w:p w:rsidR="00FB1C4A" w:rsidRPr="00D768BF" w:rsidRDefault="00FB1C4A" w:rsidP="00FB1C4A">
      <w:pPr>
        <w:pStyle w:val="SingleTxtGA"/>
        <w:rPr>
          <w:rFonts w:hint="cs"/>
          <w:rtl/>
          <w:lang w:val="fr-CH"/>
        </w:rPr>
      </w:pPr>
      <w:r w:rsidRPr="00D768BF">
        <w:rPr>
          <w:rFonts w:hint="cs"/>
          <w:rtl/>
          <w:lang w:val="fr-CH"/>
        </w:rPr>
        <w:t>2-2</w:t>
      </w:r>
      <w:r w:rsidRPr="00D768BF">
        <w:rPr>
          <w:rFonts w:hint="cs"/>
          <w:rtl/>
          <w:lang w:val="fr-CH"/>
        </w:rPr>
        <w:tab/>
        <w:t xml:space="preserve">وفي عام 2004، انتُخب </w:t>
      </w:r>
      <w:proofErr w:type="spellStart"/>
      <w:r w:rsidRPr="00D768BF">
        <w:rPr>
          <w:rFonts w:hint="cs"/>
          <w:rtl/>
          <w:lang w:val="fr-CH"/>
        </w:rPr>
        <w:t>ماهي</w:t>
      </w:r>
      <w:proofErr w:type="spellEnd"/>
      <w:r w:rsidRPr="00D768BF">
        <w:rPr>
          <w:rFonts w:hint="cs"/>
          <w:rtl/>
          <w:lang w:val="fr-CH"/>
        </w:rPr>
        <w:t xml:space="preserve"> </w:t>
      </w:r>
      <w:proofErr w:type="spellStart"/>
      <w:r w:rsidRPr="00D768BF">
        <w:rPr>
          <w:rFonts w:hint="cs"/>
          <w:rtl/>
          <w:lang w:val="fr-CH"/>
        </w:rPr>
        <w:t>شاودهوري</w:t>
      </w:r>
      <w:proofErr w:type="spellEnd"/>
      <w:r w:rsidRPr="00D768BF">
        <w:rPr>
          <w:rFonts w:hint="cs"/>
          <w:rtl/>
          <w:lang w:val="fr-CH"/>
        </w:rPr>
        <w:t xml:space="preserve"> نائباً في البرلمان عن حزب "</w:t>
      </w:r>
      <w:proofErr w:type="spellStart"/>
      <w:r w:rsidRPr="00D768BF">
        <w:rPr>
          <w:rFonts w:hint="cs"/>
          <w:rtl/>
          <w:lang w:val="fr-CH"/>
        </w:rPr>
        <w:t>بيكولبو</w:t>
      </w:r>
      <w:proofErr w:type="spellEnd"/>
      <w:r w:rsidRPr="00D768BF">
        <w:rPr>
          <w:rFonts w:hint="cs"/>
          <w:rtl/>
          <w:lang w:val="fr-CH"/>
        </w:rPr>
        <w:t xml:space="preserve"> </w:t>
      </w:r>
      <w:proofErr w:type="spellStart"/>
      <w:r w:rsidRPr="00D768BF">
        <w:rPr>
          <w:rFonts w:hint="cs"/>
          <w:rtl/>
          <w:lang w:val="fr-CH"/>
        </w:rPr>
        <w:t>دهارا</w:t>
      </w:r>
      <w:proofErr w:type="spellEnd"/>
      <w:r w:rsidRPr="00D768BF">
        <w:rPr>
          <w:rFonts w:hint="cs"/>
          <w:rtl/>
          <w:lang w:val="fr-CH"/>
        </w:rPr>
        <w:t xml:space="preserve"> بنغلاديش". وعمل صاحب الشكوى بنشاط خلال الانتخابات وي</w:t>
      </w:r>
      <w:r>
        <w:rPr>
          <w:rFonts w:hint="cs"/>
          <w:rtl/>
          <w:lang w:val="fr-CH"/>
        </w:rPr>
        <w:t>ُ</w:t>
      </w:r>
      <w:r w:rsidRPr="00D768BF">
        <w:rPr>
          <w:rFonts w:hint="cs"/>
          <w:rtl/>
          <w:lang w:val="fr-CH"/>
        </w:rPr>
        <w:t xml:space="preserve">دّعى أنه تلقى عدة تهديدات بالقتل من نشطاء حزب بنغلاديش الوطني المنافس. وقد كان كل من صاحب الشكوى </w:t>
      </w:r>
      <w:proofErr w:type="spellStart"/>
      <w:r w:rsidRPr="00D768BF">
        <w:rPr>
          <w:rFonts w:hint="cs"/>
          <w:rtl/>
          <w:lang w:val="fr-CH"/>
        </w:rPr>
        <w:t>والبرفيسور</w:t>
      </w:r>
      <w:proofErr w:type="spellEnd"/>
      <w:r w:rsidRPr="00D768BF">
        <w:rPr>
          <w:rFonts w:hint="cs"/>
          <w:rtl/>
          <w:lang w:val="fr-CH"/>
        </w:rPr>
        <w:t xml:space="preserve"> </w:t>
      </w:r>
      <w:proofErr w:type="spellStart"/>
      <w:r w:rsidRPr="00D768BF">
        <w:rPr>
          <w:rFonts w:hint="cs"/>
          <w:rtl/>
          <w:lang w:val="fr-CH"/>
        </w:rPr>
        <w:t>شاودهوري</w:t>
      </w:r>
      <w:proofErr w:type="spellEnd"/>
      <w:r w:rsidRPr="00D768BF">
        <w:rPr>
          <w:rFonts w:hint="cs"/>
          <w:rtl/>
          <w:lang w:val="fr-CH"/>
        </w:rPr>
        <w:t xml:space="preserve">، مؤسس حزب </w:t>
      </w:r>
      <w:proofErr w:type="spellStart"/>
      <w:r w:rsidRPr="00D768BF">
        <w:rPr>
          <w:rFonts w:hint="cs"/>
          <w:rtl/>
          <w:lang w:val="fr-CH"/>
        </w:rPr>
        <w:t>بيكولبو</w:t>
      </w:r>
      <w:proofErr w:type="spellEnd"/>
      <w:r w:rsidRPr="00D768BF">
        <w:rPr>
          <w:rFonts w:hint="cs"/>
          <w:rtl/>
          <w:lang w:val="fr-CH"/>
        </w:rPr>
        <w:t xml:space="preserve"> </w:t>
      </w:r>
      <w:proofErr w:type="spellStart"/>
      <w:r w:rsidRPr="00D768BF">
        <w:rPr>
          <w:rFonts w:hint="cs"/>
          <w:rtl/>
          <w:lang w:val="fr-CH"/>
        </w:rPr>
        <w:t>دهارا</w:t>
      </w:r>
      <w:proofErr w:type="spellEnd"/>
      <w:r w:rsidRPr="00D768BF">
        <w:rPr>
          <w:rFonts w:hint="cs"/>
          <w:rtl/>
          <w:lang w:val="fr-CH"/>
        </w:rPr>
        <w:t xml:space="preserve"> بنغلاديش، عضوين في حزب بنغلاديش الوطني قبل تأسيس حزب </w:t>
      </w:r>
      <w:proofErr w:type="spellStart"/>
      <w:r>
        <w:rPr>
          <w:rFonts w:hint="cs"/>
          <w:rtl/>
          <w:lang w:val="fr-CH"/>
        </w:rPr>
        <w:t>بيكولبو</w:t>
      </w:r>
      <w:proofErr w:type="spellEnd"/>
      <w:r w:rsidRPr="00D768BF">
        <w:rPr>
          <w:rFonts w:hint="cs"/>
          <w:rtl/>
          <w:lang w:val="fr-CH"/>
        </w:rPr>
        <w:t xml:space="preserve"> والانضمام إليه. </w:t>
      </w:r>
      <w:r>
        <w:rPr>
          <w:rFonts w:hint="cs"/>
          <w:rtl/>
          <w:lang w:val="fr-CH"/>
        </w:rPr>
        <w:t>وتلقى</w:t>
      </w:r>
      <w:r w:rsidRPr="00D768BF">
        <w:rPr>
          <w:rFonts w:hint="cs"/>
          <w:rtl/>
          <w:lang w:val="fr-CH"/>
        </w:rPr>
        <w:t xml:space="preserve"> صاحب الشكوى </w:t>
      </w:r>
      <w:r>
        <w:rPr>
          <w:rFonts w:hint="cs"/>
          <w:rtl/>
          <w:lang w:val="fr-CH"/>
        </w:rPr>
        <w:t>إنذارات بتعرضه</w:t>
      </w:r>
      <w:r w:rsidRPr="00D768BF">
        <w:rPr>
          <w:rFonts w:hint="cs"/>
          <w:rtl/>
          <w:lang w:val="fr-CH"/>
        </w:rPr>
        <w:t xml:space="preserve"> للقتل و</w:t>
      </w:r>
      <w:r>
        <w:rPr>
          <w:rFonts w:hint="cs"/>
          <w:rtl/>
          <w:lang w:val="fr-CH"/>
        </w:rPr>
        <w:t xml:space="preserve">باتهام </w:t>
      </w:r>
      <w:r w:rsidRPr="00D768BF">
        <w:rPr>
          <w:rFonts w:hint="cs"/>
          <w:rtl/>
          <w:lang w:val="fr-CH"/>
        </w:rPr>
        <w:t xml:space="preserve">حزب بنغلاديش الوطني </w:t>
      </w:r>
      <w:r>
        <w:rPr>
          <w:rFonts w:hint="cs"/>
          <w:rtl/>
          <w:lang w:val="fr-CH"/>
        </w:rPr>
        <w:t>إيّاه</w:t>
      </w:r>
      <w:r w:rsidRPr="00D768BF">
        <w:rPr>
          <w:rFonts w:hint="cs"/>
          <w:rtl/>
          <w:lang w:val="fr-CH"/>
        </w:rPr>
        <w:t xml:space="preserve"> زوراً أمام الشرطة و</w:t>
      </w:r>
      <w:r>
        <w:rPr>
          <w:rFonts w:hint="cs"/>
          <w:rtl/>
          <w:lang w:val="fr-CH"/>
        </w:rPr>
        <w:t xml:space="preserve">باختطاف </w:t>
      </w:r>
      <w:r w:rsidRPr="00D768BF">
        <w:rPr>
          <w:rFonts w:hint="cs"/>
          <w:rtl/>
          <w:lang w:val="fr-CH"/>
        </w:rPr>
        <w:t>أخ</w:t>
      </w:r>
      <w:r>
        <w:rPr>
          <w:rFonts w:hint="cs"/>
          <w:rtl/>
          <w:lang w:val="fr-CH"/>
        </w:rPr>
        <w:t>ي</w:t>
      </w:r>
      <w:r w:rsidRPr="00D768BF">
        <w:rPr>
          <w:rFonts w:hint="cs"/>
          <w:rtl/>
          <w:lang w:val="fr-CH"/>
        </w:rPr>
        <w:t>ه و</w:t>
      </w:r>
      <w:r>
        <w:rPr>
          <w:rFonts w:hint="cs"/>
          <w:rtl/>
          <w:lang w:val="fr-CH"/>
        </w:rPr>
        <w:t>ب</w:t>
      </w:r>
      <w:r w:rsidRPr="00D768BF">
        <w:rPr>
          <w:rFonts w:hint="cs"/>
          <w:rtl/>
          <w:lang w:val="fr-CH"/>
        </w:rPr>
        <w:t>هدم</w:t>
      </w:r>
      <w:r>
        <w:rPr>
          <w:rFonts w:hint="cs"/>
          <w:rtl/>
          <w:lang w:val="fr-CH"/>
        </w:rPr>
        <w:t xml:space="preserve"> بيته</w:t>
      </w:r>
      <w:r w:rsidRPr="00D768BF">
        <w:rPr>
          <w:rFonts w:hint="cs"/>
          <w:rtl/>
          <w:lang w:val="fr-CH"/>
        </w:rPr>
        <w:t xml:space="preserve">. </w:t>
      </w:r>
      <w:r>
        <w:rPr>
          <w:rFonts w:hint="cs"/>
          <w:rtl/>
          <w:lang w:val="fr-CH"/>
        </w:rPr>
        <w:t>و</w:t>
      </w:r>
      <w:r w:rsidRPr="00D768BF">
        <w:rPr>
          <w:rFonts w:hint="cs"/>
          <w:rtl/>
          <w:lang w:val="fr-CH"/>
        </w:rPr>
        <w:t xml:space="preserve">كانت الشرطة في </w:t>
      </w:r>
      <w:r>
        <w:rPr>
          <w:rFonts w:hint="cs"/>
          <w:rtl/>
          <w:lang w:val="fr-CH"/>
        </w:rPr>
        <w:t>ذ</w:t>
      </w:r>
      <w:r w:rsidRPr="00D768BF">
        <w:rPr>
          <w:rFonts w:hint="cs"/>
          <w:rtl/>
          <w:lang w:val="fr-CH"/>
        </w:rPr>
        <w:t>لك ال</w:t>
      </w:r>
      <w:r>
        <w:rPr>
          <w:rFonts w:hint="cs"/>
          <w:rtl/>
          <w:lang w:val="fr-CH"/>
        </w:rPr>
        <w:t>وقت</w:t>
      </w:r>
      <w:r w:rsidRPr="00D768BF">
        <w:rPr>
          <w:rFonts w:hint="cs"/>
          <w:rtl/>
          <w:lang w:val="fr-CH"/>
        </w:rPr>
        <w:t xml:space="preserve"> تضطهد عدة مؤيّدين لحزب </w:t>
      </w:r>
      <w:proofErr w:type="spellStart"/>
      <w:r w:rsidRPr="00D768BF">
        <w:rPr>
          <w:rFonts w:hint="cs"/>
          <w:rtl/>
          <w:lang w:val="fr-CH"/>
        </w:rPr>
        <w:t>بيكولبو</w:t>
      </w:r>
      <w:proofErr w:type="spellEnd"/>
      <w:r w:rsidRPr="00D768BF">
        <w:rPr>
          <w:rFonts w:hint="cs"/>
          <w:rtl/>
          <w:lang w:val="fr-CH"/>
        </w:rPr>
        <w:t xml:space="preserve"> </w:t>
      </w:r>
      <w:proofErr w:type="spellStart"/>
      <w:r w:rsidRPr="00D768BF">
        <w:rPr>
          <w:rFonts w:hint="cs"/>
          <w:rtl/>
          <w:lang w:val="fr-CH"/>
        </w:rPr>
        <w:t>دهارا</w:t>
      </w:r>
      <w:proofErr w:type="spellEnd"/>
      <w:r w:rsidRPr="00D768BF">
        <w:rPr>
          <w:rFonts w:hint="cs"/>
          <w:rtl/>
          <w:lang w:val="fr-CH"/>
        </w:rPr>
        <w:t>.</w:t>
      </w:r>
    </w:p>
    <w:p w:rsidR="00FB1C4A" w:rsidRPr="00D768BF" w:rsidRDefault="00FB1C4A" w:rsidP="00452B42">
      <w:pPr>
        <w:pStyle w:val="SingleTxtGA"/>
        <w:rPr>
          <w:rFonts w:hint="cs"/>
          <w:rtl/>
          <w:lang w:val="fr-CH"/>
        </w:rPr>
      </w:pPr>
      <w:r w:rsidRPr="00D768BF">
        <w:rPr>
          <w:rFonts w:hint="cs"/>
          <w:rtl/>
          <w:lang w:val="fr-CH"/>
        </w:rPr>
        <w:t>2-3</w:t>
      </w:r>
      <w:r w:rsidRPr="00D768BF">
        <w:rPr>
          <w:rFonts w:hint="cs"/>
          <w:rtl/>
          <w:lang w:val="fr-CH"/>
        </w:rPr>
        <w:tab/>
        <w:t>وفي 20 حزيران/يونيه 2004، وأثناء الاحتفال بانتصار حزب "</w:t>
      </w:r>
      <w:proofErr w:type="spellStart"/>
      <w:r w:rsidRPr="00D768BF">
        <w:rPr>
          <w:rFonts w:hint="cs"/>
          <w:rtl/>
          <w:lang w:val="fr-CH"/>
        </w:rPr>
        <w:t>بيكولبو</w:t>
      </w:r>
      <w:proofErr w:type="spellEnd"/>
      <w:r w:rsidRPr="00D768BF">
        <w:rPr>
          <w:rFonts w:hint="cs"/>
          <w:rtl/>
          <w:lang w:val="fr-CH"/>
        </w:rPr>
        <w:t xml:space="preserve"> </w:t>
      </w:r>
      <w:proofErr w:type="spellStart"/>
      <w:r w:rsidRPr="00D768BF">
        <w:rPr>
          <w:rFonts w:hint="cs"/>
          <w:rtl/>
          <w:lang w:val="fr-CH"/>
        </w:rPr>
        <w:t>دهارا</w:t>
      </w:r>
      <w:proofErr w:type="spellEnd"/>
      <w:r w:rsidRPr="00D768BF">
        <w:rPr>
          <w:rFonts w:hint="cs"/>
          <w:rtl/>
          <w:lang w:val="fr-CH"/>
        </w:rPr>
        <w:t>"، قتل مؤيد</w:t>
      </w:r>
      <w:r>
        <w:rPr>
          <w:rFonts w:hint="cs"/>
          <w:rtl/>
          <w:lang w:val="fr-CH"/>
        </w:rPr>
        <w:t>و</w:t>
      </w:r>
      <w:r w:rsidRPr="00D768BF">
        <w:rPr>
          <w:rFonts w:hint="cs"/>
          <w:rtl/>
          <w:lang w:val="fr-CH"/>
        </w:rPr>
        <w:t xml:space="preserve"> حزب بنغلاديش الوطني صديق</w:t>
      </w:r>
      <w:r>
        <w:rPr>
          <w:rFonts w:hint="cs"/>
          <w:rtl/>
          <w:lang w:val="fr-CH"/>
        </w:rPr>
        <w:t>اً</w:t>
      </w:r>
      <w:r w:rsidRPr="00D768BF">
        <w:rPr>
          <w:rFonts w:hint="cs"/>
          <w:rtl/>
          <w:lang w:val="fr-CH"/>
        </w:rPr>
        <w:t xml:space="preserve"> مقرَّب</w:t>
      </w:r>
      <w:r>
        <w:rPr>
          <w:rFonts w:hint="cs"/>
          <w:rtl/>
          <w:lang w:val="fr-CH"/>
        </w:rPr>
        <w:t>اً من صاحب الشكوى</w:t>
      </w:r>
      <w:r w:rsidRPr="00D768BF">
        <w:rPr>
          <w:rFonts w:hint="cs"/>
          <w:rtl/>
          <w:lang w:val="fr-CH"/>
        </w:rPr>
        <w:t>. وفي 21 حزيران/يونيه 2004، نظم حزب "</w:t>
      </w:r>
      <w:proofErr w:type="spellStart"/>
      <w:r w:rsidRPr="00D768BF">
        <w:rPr>
          <w:rFonts w:hint="cs"/>
          <w:rtl/>
          <w:lang w:val="fr-CH"/>
        </w:rPr>
        <w:t>بيكولبو</w:t>
      </w:r>
      <w:proofErr w:type="spellEnd"/>
      <w:r w:rsidRPr="00D768BF">
        <w:rPr>
          <w:rFonts w:hint="cs"/>
          <w:rtl/>
          <w:lang w:val="fr-CH"/>
        </w:rPr>
        <w:t>" مظاهرة للاحتجاج على عملية القتل تلك. و</w:t>
      </w:r>
      <w:r>
        <w:rPr>
          <w:rFonts w:hint="cs"/>
          <w:rtl/>
          <w:lang w:val="fr-CH"/>
        </w:rPr>
        <w:t>ل</w:t>
      </w:r>
      <w:r w:rsidRPr="00D768BF">
        <w:rPr>
          <w:rFonts w:hint="cs"/>
          <w:rtl/>
          <w:lang w:val="fr-CH"/>
        </w:rPr>
        <w:t>د</w:t>
      </w:r>
      <w:r>
        <w:rPr>
          <w:rFonts w:hint="cs"/>
          <w:rtl/>
          <w:lang w:val="fr-CH"/>
        </w:rPr>
        <w:t>ى</w:t>
      </w:r>
      <w:r w:rsidRPr="00D768BF">
        <w:rPr>
          <w:rFonts w:hint="cs"/>
          <w:rtl/>
          <w:lang w:val="fr-CH"/>
        </w:rPr>
        <w:t xml:space="preserve"> عودة صاحب الشكوى إلى </w:t>
      </w:r>
      <w:r>
        <w:rPr>
          <w:rFonts w:hint="cs"/>
          <w:rtl/>
          <w:lang w:val="fr-CH"/>
        </w:rPr>
        <w:t>منزل</w:t>
      </w:r>
      <w:r w:rsidRPr="00D768BF">
        <w:rPr>
          <w:rFonts w:hint="cs"/>
          <w:rtl/>
          <w:lang w:val="fr-CH"/>
        </w:rPr>
        <w:t xml:space="preserve">ه، ألقت الشرطة القبض عليه وأخبرته بأنه يُشتبه في أنه قتل صديقَه </w:t>
      </w:r>
      <w:r>
        <w:rPr>
          <w:rFonts w:hint="cs"/>
          <w:rtl/>
          <w:lang w:val="fr-CH"/>
        </w:rPr>
        <w:t>لمزاحمته في الحقل</w:t>
      </w:r>
      <w:r w:rsidRPr="00D768BF">
        <w:rPr>
          <w:rFonts w:hint="cs"/>
          <w:rtl/>
          <w:lang w:val="fr-CH"/>
        </w:rPr>
        <w:t xml:space="preserve"> السياسي. وأُخذ إلى مركز الشرطة واتُّهم بالقتل. وطُلب إليه أن يعترف بارتكابه جريمة القتل وعندما رفض ضربه أفراد الشرطة بقضبان حديدية على أخمص قدميه وعُلق من رجليه بحيث كان رأسه متدلِّياً إلى أسفل وضُرب بأعقاب البنادق وبقبضة اليد وكُوي ظهره بالسجائر. ويُدّعى أن أفراد الشرطة وضعوا كذلك قطعة حديد ساخنة في شرجه ففقد الوعي نتيجةً لذلك. وأُبقي في مركز الشرطة مدة 48 ساعة أُطلق سراحه بعدها لا</w:t>
      </w:r>
      <w:r w:rsidR="00452B42">
        <w:rPr>
          <w:rFonts w:hint="eastAsia"/>
          <w:rtl/>
          <w:lang w:val="fr-CH"/>
        </w:rPr>
        <w:t> </w:t>
      </w:r>
      <w:r w:rsidRPr="00D768BF">
        <w:rPr>
          <w:rFonts w:hint="cs"/>
          <w:rtl/>
          <w:lang w:val="fr-CH"/>
        </w:rPr>
        <w:t xml:space="preserve">لسبب إلاّ لأن </w:t>
      </w:r>
      <w:proofErr w:type="spellStart"/>
      <w:r w:rsidRPr="00D768BF">
        <w:rPr>
          <w:rFonts w:hint="cs"/>
          <w:rtl/>
          <w:lang w:val="fr-CH"/>
        </w:rPr>
        <w:t>ماهي</w:t>
      </w:r>
      <w:proofErr w:type="spellEnd"/>
      <w:r w:rsidRPr="00D768BF">
        <w:rPr>
          <w:rFonts w:hint="cs"/>
          <w:rtl/>
          <w:lang w:val="fr-CH"/>
        </w:rPr>
        <w:t xml:space="preserve"> </w:t>
      </w:r>
      <w:proofErr w:type="spellStart"/>
      <w:r w:rsidRPr="00D768BF">
        <w:rPr>
          <w:rFonts w:hint="cs"/>
          <w:rtl/>
          <w:lang w:val="fr-CH"/>
        </w:rPr>
        <w:t>شاودهوري</w:t>
      </w:r>
      <w:proofErr w:type="spellEnd"/>
      <w:r w:rsidRPr="00D768BF">
        <w:rPr>
          <w:rFonts w:hint="cs"/>
          <w:rtl/>
          <w:lang w:val="fr-CH"/>
        </w:rPr>
        <w:t xml:space="preserve"> دفع رشوة إلى الشرطة. وبعد </w:t>
      </w:r>
      <w:r>
        <w:rPr>
          <w:rFonts w:hint="cs"/>
          <w:rtl/>
          <w:lang w:val="fr-CH"/>
        </w:rPr>
        <w:t>الإفراج عنه</w:t>
      </w:r>
      <w:r w:rsidRPr="00D768BF">
        <w:rPr>
          <w:rFonts w:hint="cs"/>
          <w:rtl/>
          <w:lang w:val="fr-CH"/>
        </w:rPr>
        <w:t xml:space="preserve">، ذهب إلى مصحة </w:t>
      </w:r>
      <w:proofErr w:type="spellStart"/>
      <w:r w:rsidRPr="00D768BF">
        <w:rPr>
          <w:rFonts w:hint="cs"/>
          <w:rtl/>
          <w:lang w:val="fr-CH"/>
        </w:rPr>
        <w:t>دْهاكا</w:t>
      </w:r>
      <w:proofErr w:type="spellEnd"/>
      <w:r w:rsidRPr="00D768BF">
        <w:rPr>
          <w:rFonts w:hint="cs"/>
          <w:rtl/>
          <w:lang w:val="fr-CH"/>
        </w:rPr>
        <w:t xml:space="preserve"> حيث تلقى العلاج لمدة أسبوع.</w:t>
      </w:r>
    </w:p>
    <w:p w:rsidR="00FB1C4A" w:rsidRPr="00D768BF" w:rsidRDefault="00FB1C4A" w:rsidP="00FB1C4A">
      <w:pPr>
        <w:pStyle w:val="SingleTxtGA"/>
        <w:rPr>
          <w:rFonts w:hint="cs"/>
          <w:rtl/>
          <w:lang w:val="fr-CH"/>
        </w:rPr>
      </w:pPr>
      <w:r w:rsidRPr="00D768BF">
        <w:rPr>
          <w:rFonts w:hint="cs"/>
          <w:rtl/>
          <w:lang w:val="fr-CH"/>
        </w:rPr>
        <w:t>2-4</w:t>
      </w:r>
      <w:r w:rsidRPr="00D768BF">
        <w:rPr>
          <w:rFonts w:hint="cs"/>
          <w:rtl/>
          <w:lang w:val="fr-CH"/>
        </w:rPr>
        <w:tab/>
        <w:t xml:space="preserve">وفي 10 آب/أغسطس 2004، أُلقي القبض ثانيةً على صاحب الشكوى. واتُّهم بمهاجمة موكب سيارات "خالدة ضياء" في عام 1999. وأُبقي صاحب الشكوى تحت الحراسة لمدة ثلاثة أيام ثم أُطلق سراحه بعد دفع رشوة. غير أنه طُلب إليه في تلك الأثناء أن يشهد </w:t>
      </w:r>
      <w:r>
        <w:rPr>
          <w:rFonts w:hint="cs"/>
          <w:rtl/>
          <w:lang w:val="fr-CH"/>
        </w:rPr>
        <w:t>ضد</w:t>
      </w:r>
      <w:r w:rsidRPr="00D768BF">
        <w:rPr>
          <w:rFonts w:hint="cs"/>
          <w:rtl/>
          <w:lang w:val="fr-CH"/>
        </w:rPr>
        <w:t xml:space="preserve"> المتهمي</w:t>
      </w:r>
      <w:r>
        <w:rPr>
          <w:rFonts w:hint="cs"/>
          <w:rtl/>
          <w:lang w:val="fr-CH"/>
        </w:rPr>
        <w:t>ْ</w:t>
      </w:r>
      <w:r w:rsidRPr="00D768BF">
        <w:rPr>
          <w:rFonts w:hint="cs"/>
          <w:rtl/>
          <w:lang w:val="fr-CH"/>
        </w:rPr>
        <w:t>ن الآخرين بالهجوم المذكور، ويُدّعى أن ثلاثة من أفراد الشرطة اغتصبوه بعد ما رفض التعاون. وبعد إطلاق سراحه، أُد</w:t>
      </w:r>
      <w:r>
        <w:rPr>
          <w:rFonts w:hint="cs"/>
          <w:rtl/>
          <w:lang w:val="fr-CH"/>
        </w:rPr>
        <w:t>خل</w:t>
      </w:r>
      <w:r w:rsidRPr="00D768BF">
        <w:rPr>
          <w:rFonts w:hint="cs"/>
          <w:rtl/>
          <w:lang w:val="fr-CH"/>
        </w:rPr>
        <w:t xml:space="preserve"> المستشفى </w:t>
      </w:r>
      <w:r>
        <w:rPr>
          <w:rFonts w:hint="cs"/>
          <w:rtl/>
          <w:lang w:val="fr-CH"/>
        </w:rPr>
        <w:t>حيث أمضى</w:t>
      </w:r>
      <w:r w:rsidRPr="00D768BF">
        <w:rPr>
          <w:rFonts w:hint="cs"/>
          <w:rtl/>
          <w:lang w:val="fr-CH"/>
        </w:rPr>
        <w:t xml:space="preserve"> خمسة أيام.</w:t>
      </w:r>
    </w:p>
    <w:p w:rsidR="00FB1C4A" w:rsidRPr="00D768BF" w:rsidRDefault="00FB1C4A" w:rsidP="00FB1C4A">
      <w:pPr>
        <w:pStyle w:val="SingleTxtGA"/>
        <w:rPr>
          <w:rFonts w:hint="cs"/>
          <w:rtl/>
          <w:lang w:val="fr-CH"/>
        </w:rPr>
      </w:pPr>
      <w:r w:rsidRPr="00D768BF">
        <w:rPr>
          <w:rFonts w:hint="cs"/>
          <w:rtl/>
          <w:lang w:val="fr-CH"/>
        </w:rPr>
        <w:t>2-5</w:t>
      </w:r>
      <w:r w:rsidRPr="00D768BF">
        <w:rPr>
          <w:rFonts w:hint="cs"/>
          <w:rtl/>
          <w:lang w:val="fr-CH"/>
        </w:rPr>
        <w:tab/>
        <w:t>وصاحب الشكوى هندوسي والهندوس أقلية دينية يد</w:t>
      </w:r>
      <w:r>
        <w:rPr>
          <w:rFonts w:hint="cs"/>
          <w:rtl/>
          <w:lang w:val="fr-CH"/>
        </w:rPr>
        <w:t>َّ</w:t>
      </w:r>
      <w:r w:rsidRPr="00D768BF">
        <w:rPr>
          <w:rFonts w:hint="cs"/>
          <w:rtl/>
          <w:lang w:val="fr-CH"/>
        </w:rPr>
        <w:t>عى أنها تعاني المضايقات والاضطهاد في بنغلاديش. ويدّعي صاحب الشكوى أن المسلمين يحاولون الاستيلاء على أراضي الهندوس بالقوة أو بواسطة مستندات مزوَّرة وأنه</w:t>
      </w:r>
      <w:r>
        <w:rPr>
          <w:rFonts w:hint="cs"/>
          <w:rtl/>
          <w:lang w:val="fr-CH"/>
        </w:rPr>
        <w:t>م</w:t>
      </w:r>
      <w:r w:rsidRPr="00D768BF">
        <w:rPr>
          <w:rFonts w:hint="cs"/>
          <w:rtl/>
          <w:lang w:val="fr-CH"/>
        </w:rPr>
        <w:t xml:space="preserve"> يدمّرون معابد الهندوس. فمعبد أسرة صاحب الشكوى من المعابد التي دُمّرت. وتتعرّض النساء الهندوسيات للاغتصاب ويتم التمييز في حق الهندوس بصورة منهجية في مجال العمل.</w:t>
      </w:r>
    </w:p>
    <w:p w:rsidR="00FB1C4A" w:rsidRPr="00D768BF" w:rsidRDefault="00EF17A0" w:rsidP="00FB1C4A">
      <w:pPr>
        <w:pStyle w:val="SingleTxtGA"/>
        <w:rPr>
          <w:rFonts w:hint="cs"/>
          <w:rtl/>
          <w:lang w:val="fr-CH"/>
        </w:rPr>
      </w:pPr>
      <w:r>
        <w:rPr>
          <w:rFonts w:hint="cs"/>
          <w:rtl/>
          <w:lang w:val="fr-CH"/>
        </w:rPr>
        <w:t>2-6</w:t>
      </w:r>
      <w:r w:rsidR="00FB1C4A" w:rsidRPr="00D768BF">
        <w:rPr>
          <w:rFonts w:hint="cs"/>
          <w:rtl/>
          <w:lang w:val="fr-CH"/>
        </w:rPr>
        <w:tab/>
        <w:t xml:space="preserve">ويدّعي صاحب الشكوى أنه مثلي </w:t>
      </w:r>
      <w:r w:rsidR="00FB1C4A">
        <w:rPr>
          <w:rFonts w:hint="cs"/>
          <w:rtl/>
          <w:lang w:val="fr-CH"/>
        </w:rPr>
        <w:t>موجِب.</w:t>
      </w:r>
      <w:r w:rsidR="00FB1C4A" w:rsidRPr="00D768BF">
        <w:rPr>
          <w:rFonts w:hint="cs"/>
          <w:rtl/>
          <w:lang w:val="fr-CH"/>
        </w:rPr>
        <w:t xml:space="preserve"> و</w:t>
      </w:r>
      <w:r w:rsidR="00FB1C4A">
        <w:rPr>
          <w:rFonts w:hint="cs"/>
          <w:rtl/>
          <w:lang w:val="fr-CH"/>
        </w:rPr>
        <w:t>قد</w:t>
      </w:r>
      <w:r w:rsidR="00FB1C4A" w:rsidRPr="00D768BF">
        <w:rPr>
          <w:rFonts w:hint="cs"/>
          <w:rtl/>
          <w:lang w:val="fr-CH"/>
        </w:rPr>
        <w:t xml:space="preserve"> أخبر أحد أصدقائه المسلمين الناس ب</w:t>
      </w:r>
      <w:r w:rsidR="00FB1C4A">
        <w:rPr>
          <w:rFonts w:hint="cs"/>
          <w:rtl/>
          <w:lang w:val="fr-CH"/>
        </w:rPr>
        <w:t>ه</w:t>
      </w:r>
      <w:r w:rsidR="00FB1C4A" w:rsidRPr="00D768BF">
        <w:rPr>
          <w:rFonts w:hint="cs"/>
          <w:rtl/>
          <w:lang w:val="fr-CH"/>
        </w:rPr>
        <w:t>ذ</w:t>
      </w:r>
      <w:r w:rsidR="00FB1C4A">
        <w:rPr>
          <w:rFonts w:hint="cs"/>
          <w:rtl/>
          <w:lang w:val="fr-CH"/>
        </w:rPr>
        <w:t xml:space="preserve">ا الأمر </w:t>
      </w:r>
      <w:r w:rsidR="00FB1C4A" w:rsidRPr="00D768BF">
        <w:rPr>
          <w:rFonts w:hint="cs"/>
          <w:rtl/>
          <w:lang w:val="fr-CH"/>
        </w:rPr>
        <w:t xml:space="preserve">فأصدر إمامُ المنطقة فتوى بقتله. وبعد أيام قليلة من </w:t>
      </w:r>
      <w:r w:rsidR="00FB1C4A">
        <w:rPr>
          <w:rFonts w:hint="cs"/>
          <w:rtl/>
          <w:lang w:val="fr-CH"/>
        </w:rPr>
        <w:t>الإفراج عن</w:t>
      </w:r>
      <w:r w:rsidR="00FB1C4A" w:rsidRPr="00D768BF">
        <w:rPr>
          <w:rFonts w:hint="cs"/>
          <w:rtl/>
          <w:lang w:val="fr-CH"/>
        </w:rPr>
        <w:t xml:space="preserve">ه بعد القبض عليه في المرة الثانية، أحاطت بمنزل صاحب الشكوى مجموعة من المسلمين كانوا يبحثون عنه، </w:t>
      </w:r>
      <w:r w:rsidR="00FB1C4A">
        <w:rPr>
          <w:rFonts w:hint="cs"/>
          <w:rtl/>
          <w:lang w:val="fr-CH"/>
        </w:rPr>
        <w:t>فاعتدوا</w:t>
      </w:r>
      <w:r w:rsidR="00FB1C4A" w:rsidRPr="00D768BF">
        <w:rPr>
          <w:rFonts w:hint="cs"/>
          <w:rtl/>
          <w:lang w:val="fr-CH"/>
        </w:rPr>
        <w:t xml:space="preserve"> على أسرته </w:t>
      </w:r>
      <w:r w:rsidR="00FB1C4A">
        <w:rPr>
          <w:rFonts w:hint="cs"/>
          <w:rtl/>
          <w:lang w:val="fr-CH"/>
        </w:rPr>
        <w:t xml:space="preserve">بعنف </w:t>
      </w:r>
      <w:r w:rsidR="00FB1C4A" w:rsidRPr="00D768BF">
        <w:rPr>
          <w:rFonts w:hint="cs"/>
          <w:rtl/>
          <w:lang w:val="fr-CH"/>
        </w:rPr>
        <w:t xml:space="preserve">وتسبّبوا في عدة خسائر مادية وتعمّدوا تخريب متجر </w:t>
      </w:r>
      <w:proofErr w:type="spellStart"/>
      <w:r w:rsidR="00FB1C4A" w:rsidRPr="00D768BF">
        <w:rPr>
          <w:rFonts w:hint="cs"/>
          <w:rtl/>
          <w:lang w:val="fr-CH"/>
        </w:rPr>
        <w:t>البقالة</w:t>
      </w:r>
      <w:proofErr w:type="spellEnd"/>
      <w:r w:rsidR="00FB1C4A" w:rsidRPr="00D768BF">
        <w:rPr>
          <w:rFonts w:hint="cs"/>
          <w:rtl/>
          <w:lang w:val="fr-CH"/>
        </w:rPr>
        <w:t xml:space="preserve"> الذي تملكه أسرته. وي</w:t>
      </w:r>
      <w:r w:rsidR="00FB1C4A">
        <w:rPr>
          <w:rFonts w:hint="cs"/>
          <w:rtl/>
          <w:lang w:val="fr-CH"/>
        </w:rPr>
        <w:t>قول</w:t>
      </w:r>
      <w:r w:rsidR="00FB1C4A" w:rsidRPr="00D768BF">
        <w:rPr>
          <w:rFonts w:hint="cs"/>
          <w:rtl/>
          <w:lang w:val="fr-CH"/>
        </w:rPr>
        <w:t xml:space="preserve"> صاحب الشكوى</w:t>
      </w:r>
      <w:r w:rsidR="00FB1C4A">
        <w:rPr>
          <w:rFonts w:hint="cs"/>
          <w:rtl/>
          <w:lang w:val="fr-CH"/>
        </w:rPr>
        <w:t>،</w:t>
      </w:r>
      <w:r w:rsidR="00FB1C4A" w:rsidRPr="00D768BF">
        <w:rPr>
          <w:rFonts w:hint="cs"/>
          <w:rtl/>
          <w:lang w:val="fr-CH"/>
        </w:rPr>
        <w:t xml:space="preserve"> فضلاً عن ذلك</w:t>
      </w:r>
      <w:r w:rsidR="00FB1C4A">
        <w:rPr>
          <w:rFonts w:hint="cs"/>
          <w:rtl/>
          <w:lang w:val="fr-CH"/>
        </w:rPr>
        <w:t>،</w:t>
      </w:r>
      <w:r w:rsidR="00FB1C4A" w:rsidRPr="00D768BF">
        <w:rPr>
          <w:rFonts w:hint="cs"/>
          <w:rtl/>
          <w:lang w:val="fr-CH"/>
        </w:rPr>
        <w:t xml:space="preserve"> </w:t>
      </w:r>
      <w:r w:rsidR="00FB1C4A">
        <w:rPr>
          <w:rFonts w:hint="cs"/>
          <w:rtl/>
          <w:lang w:val="fr-CH"/>
        </w:rPr>
        <w:t>إ</w:t>
      </w:r>
      <w:r w:rsidR="00FB1C4A" w:rsidRPr="00D768BF">
        <w:rPr>
          <w:rFonts w:hint="cs"/>
          <w:rtl/>
          <w:lang w:val="fr-CH"/>
        </w:rPr>
        <w:t>ن الهندوسية بدورها تحرّم العلاقات المثلية و</w:t>
      </w:r>
      <w:r w:rsidR="00FB1C4A">
        <w:rPr>
          <w:rFonts w:hint="cs"/>
          <w:rtl/>
          <w:lang w:val="fr-CH"/>
        </w:rPr>
        <w:t>إن</w:t>
      </w:r>
      <w:r w:rsidR="00FB1C4A" w:rsidRPr="00D768BF">
        <w:rPr>
          <w:rFonts w:hint="cs"/>
          <w:rtl/>
          <w:lang w:val="fr-CH"/>
        </w:rPr>
        <w:t xml:space="preserve"> هذا سب</w:t>
      </w:r>
      <w:r w:rsidR="00FB1C4A">
        <w:rPr>
          <w:rFonts w:hint="cs"/>
          <w:rtl/>
          <w:lang w:val="fr-CH"/>
        </w:rPr>
        <w:t>ّ</w:t>
      </w:r>
      <w:r w:rsidR="00FB1C4A" w:rsidRPr="00D768BF">
        <w:rPr>
          <w:rFonts w:hint="cs"/>
          <w:rtl/>
          <w:lang w:val="fr-CH"/>
        </w:rPr>
        <w:t xml:space="preserve">ب </w:t>
      </w:r>
      <w:r w:rsidR="00FB1C4A">
        <w:rPr>
          <w:rFonts w:hint="cs"/>
          <w:rtl/>
          <w:lang w:val="fr-CH"/>
        </w:rPr>
        <w:t xml:space="preserve">له </w:t>
      </w:r>
      <w:r w:rsidR="00FB1C4A" w:rsidRPr="00D768BF">
        <w:rPr>
          <w:rFonts w:hint="cs"/>
          <w:rtl/>
          <w:lang w:val="fr-CH"/>
        </w:rPr>
        <w:t>مشاكل مع أسرته. ف</w:t>
      </w:r>
      <w:r w:rsidR="00FB1C4A">
        <w:rPr>
          <w:rFonts w:hint="cs"/>
          <w:rtl/>
          <w:lang w:val="fr-CH"/>
        </w:rPr>
        <w:t>رُمي بالحجارة</w:t>
      </w:r>
      <w:r w:rsidR="00FB1C4A" w:rsidRPr="00D768BF">
        <w:rPr>
          <w:rFonts w:hint="cs"/>
          <w:rtl/>
          <w:lang w:val="fr-CH"/>
        </w:rPr>
        <w:t xml:space="preserve"> أثناء مغادرة مدينته ورفضت أسرته التحدث إليه.</w:t>
      </w:r>
    </w:p>
    <w:p w:rsidR="00FB1C4A" w:rsidRPr="00D768BF" w:rsidRDefault="00FB1C4A" w:rsidP="00FB1C4A">
      <w:pPr>
        <w:pStyle w:val="SingleTxtGA"/>
        <w:rPr>
          <w:rFonts w:hint="cs"/>
          <w:rtl/>
          <w:lang w:val="fr-CH"/>
        </w:rPr>
      </w:pPr>
      <w:r w:rsidRPr="00D768BF">
        <w:rPr>
          <w:rFonts w:hint="cs"/>
          <w:rtl/>
          <w:lang w:val="fr-CH"/>
        </w:rPr>
        <w:t>2-7</w:t>
      </w:r>
      <w:r w:rsidRPr="00D768BF">
        <w:rPr>
          <w:rFonts w:hint="cs"/>
          <w:rtl/>
          <w:lang w:val="fr-CH"/>
        </w:rPr>
        <w:tab/>
        <w:t xml:space="preserve">عندئذ، قرر صاحب الشكوى الذهاب إلى دكّا. فاكتشف هناك أنه ليس مطلوباً من الأصوليين الإسلاميين فحسب وإنما من الشرطة كذلك بسبب الاتهامات الكاذبة في حقه وبسبب </w:t>
      </w:r>
      <w:proofErr w:type="spellStart"/>
      <w:r w:rsidRPr="00D768BF">
        <w:rPr>
          <w:rFonts w:hint="cs"/>
          <w:rtl/>
          <w:lang w:val="fr-CH"/>
        </w:rPr>
        <w:t>مثليته</w:t>
      </w:r>
      <w:proofErr w:type="spellEnd"/>
      <w:r w:rsidRPr="00D768BF">
        <w:rPr>
          <w:rFonts w:hint="cs"/>
          <w:rtl/>
          <w:lang w:val="fr-CH"/>
        </w:rPr>
        <w:t xml:space="preserve"> الجنسية. فقرّر أن يغادر البلد. ونظّم </w:t>
      </w:r>
      <w:proofErr w:type="spellStart"/>
      <w:r w:rsidRPr="00D768BF">
        <w:rPr>
          <w:rFonts w:hint="cs"/>
          <w:rtl/>
          <w:lang w:val="fr-CH"/>
        </w:rPr>
        <w:t>ماهي</w:t>
      </w:r>
      <w:proofErr w:type="spellEnd"/>
      <w:r w:rsidRPr="00D768BF">
        <w:rPr>
          <w:rFonts w:hint="cs"/>
          <w:rtl/>
          <w:lang w:val="fr-CH"/>
        </w:rPr>
        <w:t xml:space="preserve"> </w:t>
      </w:r>
      <w:proofErr w:type="spellStart"/>
      <w:r w:rsidRPr="00D768BF">
        <w:rPr>
          <w:rFonts w:hint="cs"/>
          <w:rtl/>
          <w:lang w:val="fr-CH"/>
        </w:rPr>
        <w:t>شاودهوري</w:t>
      </w:r>
      <w:proofErr w:type="spellEnd"/>
      <w:r w:rsidRPr="00D768BF">
        <w:rPr>
          <w:rFonts w:hint="cs"/>
          <w:rtl/>
          <w:lang w:val="fr-CH"/>
        </w:rPr>
        <w:t xml:space="preserve"> عملية فراره عن طريق أحد المهرِّبين. وأضاف قائلاً إنه حاول الانتحار أثناء وجوده في دكّا.</w:t>
      </w:r>
    </w:p>
    <w:p w:rsidR="00FB1C4A" w:rsidRPr="00D768BF" w:rsidRDefault="00FB1C4A" w:rsidP="00FB1C4A">
      <w:pPr>
        <w:pStyle w:val="SingleTxtGA"/>
        <w:rPr>
          <w:rFonts w:hint="cs"/>
          <w:rtl/>
          <w:lang w:val="fr-CH"/>
        </w:rPr>
      </w:pPr>
      <w:r w:rsidRPr="00D768BF">
        <w:rPr>
          <w:rFonts w:hint="cs"/>
          <w:rtl/>
          <w:lang w:val="fr-CH"/>
        </w:rPr>
        <w:t>2-8</w:t>
      </w:r>
      <w:r w:rsidRPr="00D768BF">
        <w:rPr>
          <w:rFonts w:hint="cs"/>
          <w:rtl/>
          <w:lang w:val="fr-CH"/>
        </w:rPr>
        <w:tab/>
        <w:t>وبعد وصوله إلى السويد، اتصل صاحب الشكوى بأسرته فعل</w:t>
      </w:r>
      <w:r>
        <w:rPr>
          <w:rFonts w:hint="cs"/>
          <w:rtl/>
          <w:lang w:val="fr-CH"/>
        </w:rPr>
        <w:t>ِ</w:t>
      </w:r>
      <w:r w:rsidRPr="00D768BF">
        <w:rPr>
          <w:rFonts w:hint="cs"/>
          <w:rtl/>
          <w:lang w:val="fr-CH"/>
        </w:rPr>
        <w:t>م أن الإمام المحلي وأشخاصاً آخرين أجبروا أفراد أسرته على مغادرة المنطقة. وأُجبر خليلُ صاحب الشكوى بدوره على مغادرة بنغلاديش بعد فترة وجيزة من رحيله.</w:t>
      </w:r>
    </w:p>
    <w:p w:rsidR="00FB1C4A" w:rsidRPr="00D768BF" w:rsidRDefault="00FB1C4A" w:rsidP="00FB1C4A">
      <w:pPr>
        <w:pStyle w:val="SingleTxtGA"/>
        <w:rPr>
          <w:rFonts w:hint="cs"/>
          <w:rtl/>
          <w:lang w:val="fr-CH"/>
        </w:rPr>
      </w:pPr>
      <w:r>
        <w:rPr>
          <w:rFonts w:hint="cs"/>
          <w:rtl/>
          <w:lang w:val="fr-CH"/>
        </w:rPr>
        <w:t>2-9</w:t>
      </w:r>
      <w:r>
        <w:rPr>
          <w:rFonts w:hint="cs"/>
          <w:rtl/>
          <w:lang w:val="fr-CH"/>
        </w:rPr>
        <w:tab/>
        <w:t>و</w:t>
      </w:r>
      <w:r w:rsidRPr="00D768BF">
        <w:rPr>
          <w:rFonts w:hint="cs"/>
          <w:rtl/>
          <w:lang w:val="fr-CH"/>
        </w:rPr>
        <w:t>تأييد</w:t>
      </w:r>
      <w:r>
        <w:rPr>
          <w:rFonts w:hint="cs"/>
          <w:rtl/>
          <w:lang w:val="fr-CH"/>
        </w:rPr>
        <w:t>اً ل</w:t>
      </w:r>
      <w:r w:rsidRPr="00D768BF">
        <w:rPr>
          <w:rFonts w:hint="cs"/>
          <w:rtl/>
          <w:lang w:val="fr-CH"/>
        </w:rPr>
        <w:t>ادّعاءاته، قد</w:t>
      </w:r>
      <w:r>
        <w:rPr>
          <w:rFonts w:hint="cs"/>
          <w:rtl/>
          <w:lang w:val="fr-CH"/>
        </w:rPr>
        <w:t>ّ</w:t>
      </w:r>
      <w:r w:rsidRPr="00D768BF">
        <w:rPr>
          <w:rFonts w:hint="cs"/>
          <w:rtl/>
          <w:lang w:val="fr-CH"/>
        </w:rPr>
        <w:t>م صاحب الشكوى جواز سفره الوطني ونص الفتوى التي أصدرها المسجد في حقه إلى جانب شهادات عضويته في حزب "</w:t>
      </w:r>
      <w:proofErr w:type="spellStart"/>
      <w:r w:rsidRPr="00D768BF">
        <w:rPr>
          <w:rFonts w:hint="cs"/>
          <w:rtl/>
          <w:lang w:val="fr-CH"/>
        </w:rPr>
        <w:t>بيكولبو</w:t>
      </w:r>
      <w:proofErr w:type="spellEnd"/>
      <w:r w:rsidRPr="00D768BF">
        <w:rPr>
          <w:rFonts w:hint="cs"/>
          <w:rtl/>
          <w:lang w:val="fr-CH"/>
        </w:rPr>
        <w:t>" ومقال صحفي ومجل</w:t>
      </w:r>
      <w:r>
        <w:rPr>
          <w:rFonts w:hint="cs"/>
          <w:rtl/>
          <w:lang w:val="fr-CH"/>
        </w:rPr>
        <w:t>ة</w:t>
      </w:r>
      <w:r w:rsidRPr="00D768BF">
        <w:rPr>
          <w:rFonts w:hint="cs"/>
          <w:rtl/>
          <w:lang w:val="fr-CH"/>
        </w:rPr>
        <w:t xml:space="preserve"> طبية سويدية.</w:t>
      </w:r>
    </w:p>
    <w:p w:rsidR="00FB1C4A" w:rsidRPr="00D768BF" w:rsidRDefault="00FB1C4A" w:rsidP="00452B42">
      <w:pPr>
        <w:pStyle w:val="SingleTxtGA"/>
        <w:rPr>
          <w:rFonts w:hint="cs"/>
          <w:rtl/>
          <w:lang w:val="fr-CH"/>
        </w:rPr>
      </w:pPr>
      <w:r w:rsidRPr="00D768BF">
        <w:rPr>
          <w:rFonts w:hint="cs"/>
          <w:rtl/>
          <w:lang w:val="fr-CH"/>
        </w:rPr>
        <w:t>2-10</w:t>
      </w:r>
      <w:r w:rsidRPr="00D768BF">
        <w:rPr>
          <w:rFonts w:hint="cs"/>
          <w:rtl/>
          <w:lang w:val="fr-CH"/>
        </w:rPr>
        <w:tab/>
        <w:t xml:space="preserve">وفي 15 حزيران/يونيه 2005، رفض مجلس الهجرة طلب اللجوء الذي قدمه صاحب الشكوى. فقد لاحظ المجلس أولاً أن صاحب الشكوى لم يثبت هويته </w:t>
      </w:r>
      <w:r>
        <w:rPr>
          <w:rFonts w:hint="cs"/>
          <w:rtl/>
          <w:lang w:val="fr-CH"/>
        </w:rPr>
        <w:t>فقد</w:t>
      </w:r>
      <w:r w:rsidRPr="00D768BF">
        <w:rPr>
          <w:rFonts w:hint="cs"/>
          <w:rtl/>
          <w:lang w:val="fr-CH"/>
        </w:rPr>
        <w:t xml:space="preserve"> </w:t>
      </w:r>
      <w:r>
        <w:rPr>
          <w:rFonts w:hint="cs"/>
          <w:rtl/>
          <w:lang w:val="fr-CH"/>
        </w:rPr>
        <w:t xml:space="preserve">تلف </w:t>
      </w:r>
      <w:r w:rsidRPr="00D768BF">
        <w:rPr>
          <w:rFonts w:hint="cs"/>
          <w:rtl/>
          <w:lang w:val="fr-CH"/>
        </w:rPr>
        <w:t>جواز سفره</w:t>
      </w:r>
      <w:r>
        <w:rPr>
          <w:rFonts w:hint="cs"/>
          <w:rtl/>
          <w:lang w:val="fr-CH"/>
        </w:rPr>
        <w:t>. ولم يتم التشكي</w:t>
      </w:r>
      <w:r w:rsidRPr="00D768BF">
        <w:rPr>
          <w:rFonts w:hint="cs"/>
          <w:rtl/>
          <w:lang w:val="fr-CH"/>
        </w:rPr>
        <w:t>ك</w:t>
      </w:r>
      <w:r>
        <w:rPr>
          <w:rFonts w:hint="cs"/>
          <w:rtl/>
          <w:lang w:val="fr-CH"/>
        </w:rPr>
        <w:t xml:space="preserve"> في</w:t>
      </w:r>
      <w:r w:rsidRPr="00D768BF">
        <w:rPr>
          <w:rFonts w:hint="cs"/>
          <w:rtl/>
          <w:lang w:val="fr-CH"/>
        </w:rPr>
        <w:t xml:space="preserve"> أنشطة صاحب الشكوى السياسية وإنما لاحظ المجلس أنها كانت محدودة في الزمان</w:t>
      </w:r>
      <w:r>
        <w:rPr>
          <w:rFonts w:hint="cs"/>
          <w:rtl/>
          <w:lang w:val="fr-CH"/>
        </w:rPr>
        <w:t xml:space="preserve"> و</w:t>
      </w:r>
      <w:r w:rsidRPr="00D768BF">
        <w:rPr>
          <w:rFonts w:hint="cs"/>
          <w:rtl/>
          <w:lang w:val="fr-CH"/>
        </w:rPr>
        <w:t>المكان. أمّا فيما يتعلق بادعاءات التعذيب، فقد استنتج المجلس أنه كان عملاً معزولاً وأنه كان ينبغي لصاحب الشكوى أن يتوجه بشكواه إلى هيئة أعلى للإبلاغ عن التعذيب. ولم يجد المجلس ما يثبت أن قضية جنائية ضد صاحب الشكوى لا</w:t>
      </w:r>
      <w:r w:rsidR="00452B42">
        <w:rPr>
          <w:rFonts w:hint="eastAsia"/>
          <w:rtl/>
          <w:lang w:val="fr-CH"/>
        </w:rPr>
        <w:t> </w:t>
      </w:r>
      <w:r w:rsidRPr="00D768BF">
        <w:rPr>
          <w:rFonts w:hint="cs"/>
          <w:rtl/>
          <w:lang w:val="fr-CH"/>
        </w:rPr>
        <w:t>تزال جارية في بنغلاديش. و</w:t>
      </w:r>
      <w:r>
        <w:rPr>
          <w:rFonts w:hint="cs"/>
          <w:rtl/>
          <w:lang w:val="fr-CH"/>
        </w:rPr>
        <w:t>يرى</w:t>
      </w:r>
      <w:r w:rsidRPr="00D768BF">
        <w:rPr>
          <w:rFonts w:hint="cs"/>
          <w:rtl/>
          <w:lang w:val="fr-CH"/>
        </w:rPr>
        <w:t xml:space="preserve"> المجلس، </w:t>
      </w:r>
      <w:r>
        <w:rPr>
          <w:rFonts w:hint="cs"/>
          <w:rtl/>
          <w:lang w:val="fr-CH"/>
        </w:rPr>
        <w:t>أ</w:t>
      </w:r>
      <w:r w:rsidRPr="00D768BF">
        <w:rPr>
          <w:rFonts w:hint="cs"/>
          <w:rtl/>
          <w:lang w:val="fr-CH"/>
        </w:rPr>
        <w:t>ن دي</w:t>
      </w:r>
      <w:r>
        <w:rPr>
          <w:rFonts w:hint="cs"/>
          <w:rtl/>
          <w:lang w:val="fr-CH"/>
        </w:rPr>
        <w:t>ا</w:t>
      </w:r>
      <w:r w:rsidRPr="00D768BF">
        <w:rPr>
          <w:rFonts w:hint="cs"/>
          <w:rtl/>
          <w:lang w:val="fr-CH"/>
        </w:rPr>
        <w:t>نة صاحب الشكوى لم تسب</w:t>
      </w:r>
      <w:r>
        <w:rPr>
          <w:rFonts w:hint="cs"/>
          <w:rtl/>
          <w:lang w:val="fr-CH"/>
        </w:rPr>
        <w:t>ّ</w:t>
      </w:r>
      <w:r w:rsidRPr="00D768BF">
        <w:rPr>
          <w:rFonts w:hint="cs"/>
          <w:rtl/>
          <w:lang w:val="fr-CH"/>
        </w:rPr>
        <w:t>ب له مشاكل جعلته في حاجة إلى حماية. وسلم المجلس بأن المثلية الجنسية تُعتبر جريمة في بنغلاديش يمكن أن يعاقَب عليها بالسجن مدى الحياة. غير أنه لا يوجد، في الواقع العملي، اضطهاد فعلي للمثليين جنسياً في بنغلاديش.</w:t>
      </w:r>
    </w:p>
    <w:p w:rsidR="00FB1C4A" w:rsidRPr="00D768BF" w:rsidRDefault="00FB1C4A" w:rsidP="005F334D">
      <w:pPr>
        <w:pStyle w:val="SingleTxtGA"/>
        <w:rPr>
          <w:rFonts w:hint="cs"/>
          <w:rtl/>
          <w:lang w:val="fr-CH"/>
        </w:rPr>
      </w:pPr>
      <w:r w:rsidRPr="00D768BF">
        <w:rPr>
          <w:rFonts w:hint="cs"/>
          <w:rtl/>
          <w:lang w:val="fr-CH"/>
        </w:rPr>
        <w:t>2-11</w:t>
      </w:r>
      <w:r w:rsidRPr="00D768BF">
        <w:rPr>
          <w:rFonts w:hint="cs"/>
          <w:rtl/>
          <w:lang w:val="fr-CH"/>
        </w:rPr>
        <w:tab/>
        <w:t xml:space="preserve">وعند استئنافه قرار المجلس، أكد صاحب الشكوى أنه كان على اتصال بالسيد </w:t>
      </w:r>
      <w:proofErr w:type="spellStart"/>
      <w:r w:rsidRPr="00D768BF">
        <w:rPr>
          <w:rFonts w:hint="cs"/>
          <w:rtl/>
          <w:lang w:val="fr-CH"/>
        </w:rPr>
        <w:t>ماهي</w:t>
      </w:r>
      <w:proofErr w:type="spellEnd"/>
      <w:r w:rsidR="00452B42">
        <w:rPr>
          <w:rFonts w:hint="eastAsia"/>
          <w:rtl/>
          <w:lang w:val="fr-CH"/>
        </w:rPr>
        <w:t> </w:t>
      </w:r>
      <w:proofErr w:type="spellStart"/>
      <w:r w:rsidRPr="00D768BF">
        <w:rPr>
          <w:rFonts w:hint="cs"/>
          <w:rtl/>
          <w:lang w:val="fr-CH"/>
        </w:rPr>
        <w:t>شاودهوري</w:t>
      </w:r>
      <w:proofErr w:type="spellEnd"/>
      <w:r w:rsidRPr="00D768BF">
        <w:rPr>
          <w:rFonts w:hint="cs"/>
          <w:rtl/>
          <w:lang w:val="fr-CH"/>
        </w:rPr>
        <w:t xml:space="preserve"> في آب/أغسطس 2005 الذي أخبره بأن الشرطة لا تزال تحقق في الاتهامات الموجهة إل</w:t>
      </w:r>
      <w:r>
        <w:rPr>
          <w:rFonts w:hint="cs"/>
          <w:rtl/>
          <w:lang w:val="fr-CH"/>
        </w:rPr>
        <w:t>يه</w:t>
      </w:r>
      <w:r w:rsidRPr="00D768BF">
        <w:rPr>
          <w:rFonts w:hint="cs"/>
          <w:rtl/>
          <w:lang w:val="fr-CH"/>
        </w:rPr>
        <w:t xml:space="preserve">. وقال إن الدعوى لا تزال في مرحلة أولية وإنها محاطة بالسرية. وأضاف صاحب الشكوى </w:t>
      </w:r>
      <w:r>
        <w:rPr>
          <w:rFonts w:hint="cs"/>
          <w:rtl/>
          <w:lang w:val="fr-CH"/>
        </w:rPr>
        <w:t>ب</w:t>
      </w:r>
      <w:r w:rsidRPr="00D768BF">
        <w:rPr>
          <w:rFonts w:hint="cs"/>
          <w:rtl/>
          <w:lang w:val="fr-CH"/>
        </w:rPr>
        <w:t xml:space="preserve">أن أفراد عائلته قد اختفوا. وعلى الرغم من </w:t>
      </w:r>
      <w:r>
        <w:rPr>
          <w:rFonts w:hint="cs"/>
          <w:rtl/>
          <w:lang w:val="fr-CH"/>
        </w:rPr>
        <w:t>فقدان</w:t>
      </w:r>
      <w:r w:rsidRPr="00D768BF">
        <w:rPr>
          <w:rFonts w:hint="cs"/>
          <w:rtl/>
          <w:lang w:val="fr-CH"/>
        </w:rPr>
        <w:t xml:space="preserve"> بعض صفحات جواز سفره، فإن </w:t>
      </w:r>
      <w:r>
        <w:rPr>
          <w:rFonts w:hint="cs"/>
          <w:rtl/>
          <w:lang w:val="fr-CH"/>
        </w:rPr>
        <w:t>الصفحات التي يظه</w:t>
      </w:r>
      <w:r w:rsidRPr="00D768BF">
        <w:rPr>
          <w:rFonts w:hint="cs"/>
          <w:rtl/>
          <w:lang w:val="fr-CH"/>
        </w:rPr>
        <w:t>ر</w:t>
      </w:r>
      <w:r>
        <w:rPr>
          <w:rFonts w:hint="cs"/>
          <w:rtl/>
          <w:lang w:val="fr-CH"/>
        </w:rPr>
        <w:t xml:space="preserve"> فيها</w:t>
      </w:r>
      <w:r w:rsidRPr="00D768BF">
        <w:rPr>
          <w:rFonts w:hint="cs"/>
          <w:rtl/>
          <w:lang w:val="fr-CH"/>
        </w:rPr>
        <w:t xml:space="preserve"> اسمه وعنوانه وصورته </w:t>
      </w:r>
      <w:r>
        <w:rPr>
          <w:rFonts w:hint="cs"/>
          <w:rtl/>
          <w:lang w:val="fr-CH"/>
        </w:rPr>
        <w:t>و</w:t>
      </w:r>
      <w:r w:rsidRPr="00D768BF">
        <w:rPr>
          <w:rFonts w:hint="cs"/>
          <w:rtl/>
          <w:lang w:val="fr-CH"/>
        </w:rPr>
        <w:t>غير ذلك ليس</w:t>
      </w:r>
      <w:r>
        <w:rPr>
          <w:rFonts w:hint="cs"/>
          <w:rtl/>
          <w:lang w:val="fr-CH"/>
        </w:rPr>
        <w:t>ت</w:t>
      </w:r>
      <w:r w:rsidRPr="00D768BF">
        <w:rPr>
          <w:rFonts w:hint="cs"/>
          <w:rtl/>
          <w:lang w:val="fr-CH"/>
        </w:rPr>
        <w:t xml:space="preserve"> من ضمن الصفحات ال</w:t>
      </w:r>
      <w:r>
        <w:rPr>
          <w:rFonts w:hint="cs"/>
          <w:rtl/>
          <w:lang w:val="fr-CH"/>
        </w:rPr>
        <w:t>مفقود</w:t>
      </w:r>
      <w:r w:rsidRPr="00D768BF">
        <w:rPr>
          <w:rFonts w:hint="cs"/>
          <w:rtl/>
          <w:lang w:val="fr-CH"/>
        </w:rPr>
        <w:t>ة. وفيما يتعلق بأنشطته السياسية، احتج صاحب الشكوى بالقول إنه على الرغم من كون أنشطته السياسية محلية النطاق، فقد تم بسبب</w:t>
      </w:r>
      <w:r>
        <w:rPr>
          <w:rFonts w:hint="cs"/>
          <w:rtl/>
          <w:lang w:val="fr-CH"/>
        </w:rPr>
        <w:t>ها</w:t>
      </w:r>
      <w:r w:rsidRPr="00D768BF">
        <w:rPr>
          <w:rFonts w:hint="cs"/>
          <w:rtl/>
          <w:lang w:val="fr-CH"/>
        </w:rPr>
        <w:t xml:space="preserve"> اعتقاله وتعذيبه مرَّ</w:t>
      </w:r>
      <w:r>
        <w:rPr>
          <w:rFonts w:hint="cs"/>
          <w:rtl/>
          <w:lang w:val="fr-CH"/>
        </w:rPr>
        <w:t>تين</w:t>
      </w:r>
      <w:r w:rsidRPr="00D768BF">
        <w:rPr>
          <w:rFonts w:hint="cs"/>
          <w:rtl/>
          <w:lang w:val="fr-CH"/>
        </w:rPr>
        <w:t>.</w:t>
      </w:r>
    </w:p>
    <w:p w:rsidR="00FB1C4A" w:rsidRPr="00B86581" w:rsidRDefault="00FB1C4A" w:rsidP="00B86581">
      <w:pPr>
        <w:pStyle w:val="SingleTxtGA"/>
        <w:rPr>
          <w:rFonts w:hint="cs"/>
          <w:spacing w:val="2"/>
          <w:rtl/>
          <w:lang w:val="fr-CH"/>
        </w:rPr>
      </w:pPr>
      <w:r w:rsidRPr="00B86581">
        <w:rPr>
          <w:rFonts w:hint="cs"/>
          <w:spacing w:val="2"/>
          <w:rtl/>
          <w:lang w:val="fr-CH"/>
        </w:rPr>
        <w:t>2-12</w:t>
      </w:r>
      <w:r w:rsidRPr="00B86581">
        <w:rPr>
          <w:rFonts w:hint="cs"/>
          <w:spacing w:val="2"/>
          <w:rtl/>
          <w:lang w:val="fr-CH"/>
        </w:rPr>
        <w:tab/>
        <w:t xml:space="preserve">وأشار صاحب الشكوى، فيما يتعلق بديانته </w:t>
      </w:r>
      <w:proofErr w:type="spellStart"/>
      <w:r w:rsidRPr="00B86581">
        <w:rPr>
          <w:rFonts w:hint="cs"/>
          <w:spacing w:val="2"/>
          <w:rtl/>
          <w:lang w:val="fr-CH"/>
        </w:rPr>
        <w:t>ومثليته</w:t>
      </w:r>
      <w:proofErr w:type="spellEnd"/>
      <w:r w:rsidRPr="00B86581">
        <w:rPr>
          <w:rFonts w:hint="cs"/>
          <w:spacing w:val="2"/>
          <w:rtl/>
          <w:lang w:val="fr-CH"/>
        </w:rPr>
        <w:t xml:space="preserve"> الجنسية، إلى أن هذين السببين معاً يزيدان وضعه في بنغلاديش خطورةً. فكونه هندوسياً يزيد من احتمال الحكم عليه</w:t>
      </w:r>
      <w:r w:rsidR="00B86581">
        <w:rPr>
          <w:rFonts w:hint="eastAsia"/>
          <w:spacing w:val="2"/>
          <w:rtl/>
          <w:lang w:val="fr-CH"/>
        </w:rPr>
        <w:t> </w:t>
      </w:r>
      <w:r w:rsidRPr="00B86581">
        <w:rPr>
          <w:rFonts w:hint="cs"/>
          <w:spacing w:val="2"/>
          <w:rtl/>
          <w:lang w:val="fr-CH"/>
        </w:rPr>
        <w:t xml:space="preserve">بالسجن مدى الحياة بسبب </w:t>
      </w:r>
      <w:proofErr w:type="spellStart"/>
      <w:r w:rsidRPr="00B86581">
        <w:rPr>
          <w:rFonts w:hint="cs"/>
          <w:spacing w:val="2"/>
          <w:rtl/>
          <w:lang w:val="fr-CH"/>
        </w:rPr>
        <w:t>مثليته</w:t>
      </w:r>
      <w:proofErr w:type="spellEnd"/>
      <w:r w:rsidRPr="00B86581">
        <w:rPr>
          <w:rFonts w:hint="cs"/>
          <w:spacing w:val="2"/>
          <w:rtl/>
          <w:lang w:val="fr-CH"/>
        </w:rPr>
        <w:t xml:space="preserve"> الجنسية أكثر مما لو كان مسلماً في نفس الوضع. وأشار صاحب الشكوى كذلك إلى أن مجلس الهجرة قد أغفل التعليق على الفتوى الصادرة في حقه.</w:t>
      </w:r>
    </w:p>
    <w:p w:rsidR="00FB1C4A" w:rsidRPr="00D768BF" w:rsidRDefault="00FB1C4A" w:rsidP="00FB1C4A">
      <w:pPr>
        <w:pStyle w:val="SingleTxtGA"/>
        <w:rPr>
          <w:rFonts w:hint="cs"/>
          <w:rtl/>
          <w:lang w:val="fr-CH"/>
        </w:rPr>
      </w:pPr>
      <w:r w:rsidRPr="00D768BF">
        <w:rPr>
          <w:rFonts w:hint="cs"/>
          <w:rtl/>
          <w:lang w:val="fr-CH"/>
        </w:rPr>
        <w:t>2-13</w:t>
      </w:r>
      <w:r w:rsidRPr="00D768BF">
        <w:rPr>
          <w:rFonts w:hint="cs"/>
          <w:rtl/>
          <w:lang w:val="fr-CH"/>
        </w:rPr>
        <w:tab/>
        <w:t>و</w:t>
      </w:r>
      <w:r>
        <w:rPr>
          <w:rFonts w:hint="cs"/>
          <w:rtl/>
          <w:lang w:val="fr-CH"/>
        </w:rPr>
        <w:t>حُلَّ م</w:t>
      </w:r>
      <w:r w:rsidRPr="00D768BF">
        <w:rPr>
          <w:rFonts w:hint="cs"/>
          <w:rtl/>
          <w:lang w:val="fr-CH"/>
        </w:rPr>
        <w:t xml:space="preserve">جلس الطعون التابع لسلطات الهجرة في آذار/مارس 2006 وأُحيلت قضية صاحب الشكوى إلى </w:t>
      </w:r>
      <w:r>
        <w:rPr>
          <w:rFonts w:hint="cs"/>
          <w:rtl/>
          <w:lang w:val="fr-CH"/>
        </w:rPr>
        <w:t>ال</w:t>
      </w:r>
      <w:r w:rsidRPr="00D768BF">
        <w:rPr>
          <w:rFonts w:hint="cs"/>
          <w:rtl/>
          <w:lang w:val="fr-CH"/>
        </w:rPr>
        <w:t xml:space="preserve">محكمة </w:t>
      </w:r>
      <w:r>
        <w:rPr>
          <w:rFonts w:hint="cs"/>
          <w:rtl/>
          <w:lang w:val="fr-CH"/>
        </w:rPr>
        <w:t xml:space="preserve">الخاصة بقضايا </w:t>
      </w:r>
      <w:r w:rsidRPr="00D768BF">
        <w:rPr>
          <w:rFonts w:hint="cs"/>
          <w:rtl/>
          <w:lang w:val="fr-CH"/>
        </w:rPr>
        <w:t xml:space="preserve">الهجرة في ستوكهولم. وأضاف صاحب الشكوى إلى ملف شكواه مستندات من بينها شهادات طبية أصدرها أطباء متخصصون سويديون في عامي 2006 </w:t>
      </w:r>
      <w:proofErr w:type="spellStart"/>
      <w:r w:rsidRPr="00D768BF">
        <w:rPr>
          <w:rFonts w:hint="cs"/>
          <w:rtl/>
          <w:lang w:val="fr-CH"/>
        </w:rPr>
        <w:t>و2007</w:t>
      </w:r>
      <w:proofErr w:type="spellEnd"/>
      <w:r w:rsidRPr="00D768BF">
        <w:rPr>
          <w:rFonts w:hint="cs"/>
          <w:rtl/>
          <w:lang w:val="fr-CH"/>
        </w:rPr>
        <w:t xml:space="preserve"> استنتجوا فيها أن صاحب الشكوى كان يعاني من متلازمة أعراض </w:t>
      </w:r>
      <w:r>
        <w:rPr>
          <w:rFonts w:hint="cs"/>
          <w:rtl/>
          <w:lang w:val="fr-CH"/>
        </w:rPr>
        <w:t xml:space="preserve">اضطراب الكرب التالي </w:t>
      </w:r>
      <w:proofErr w:type="spellStart"/>
      <w:r>
        <w:rPr>
          <w:rFonts w:hint="cs"/>
          <w:rtl/>
          <w:lang w:val="fr-CH"/>
        </w:rPr>
        <w:t>للرضح</w:t>
      </w:r>
      <w:proofErr w:type="spellEnd"/>
      <w:r w:rsidRPr="00D768BF">
        <w:rPr>
          <w:rFonts w:hint="cs"/>
          <w:rtl/>
          <w:lang w:val="fr-CH"/>
        </w:rPr>
        <w:t xml:space="preserve"> ومن حالة اكتئاب وأنه يحتاج إلى علاج طويل ومستمر.</w:t>
      </w:r>
    </w:p>
    <w:p w:rsidR="00FB1C4A" w:rsidRPr="00452B42" w:rsidRDefault="00FB1C4A" w:rsidP="00182541">
      <w:pPr>
        <w:pStyle w:val="SingleTxtGA"/>
        <w:rPr>
          <w:rFonts w:hint="cs"/>
          <w:spacing w:val="-2"/>
          <w:rtl/>
          <w:lang w:val="fr-CH"/>
        </w:rPr>
      </w:pPr>
      <w:r w:rsidRPr="00452B42">
        <w:rPr>
          <w:rFonts w:hint="cs"/>
          <w:spacing w:val="-2"/>
          <w:rtl/>
          <w:lang w:val="fr-CH"/>
        </w:rPr>
        <w:t>2-14</w:t>
      </w:r>
      <w:r w:rsidRPr="00452B42">
        <w:rPr>
          <w:rFonts w:hint="cs"/>
          <w:spacing w:val="-2"/>
          <w:rtl/>
          <w:lang w:val="fr-CH"/>
        </w:rPr>
        <w:tab/>
        <w:t>وفي 3 نيسان/أبريل 2007، وجدت المحكمة أن المعلومات المعروضة عليها</w:t>
      </w:r>
      <w:r w:rsidR="008A28B7">
        <w:rPr>
          <w:rFonts w:hint="cs"/>
          <w:spacing w:val="-2"/>
          <w:rtl/>
          <w:lang w:val="fr-CH"/>
        </w:rPr>
        <w:t xml:space="preserve"> لا </w:t>
      </w:r>
      <w:r w:rsidRPr="00452B42">
        <w:rPr>
          <w:rFonts w:hint="cs"/>
          <w:spacing w:val="-2"/>
          <w:rtl/>
          <w:lang w:val="fr-CH"/>
        </w:rPr>
        <w:t xml:space="preserve">تترك مجالاً للشك في </w:t>
      </w:r>
      <w:proofErr w:type="spellStart"/>
      <w:r w:rsidRPr="00452B42">
        <w:rPr>
          <w:rFonts w:hint="cs"/>
          <w:spacing w:val="-2"/>
          <w:rtl/>
          <w:lang w:val="fr-CH"/>
        </w:rPr>
        <w:t>صدقية</w:t>
      </w:r>
      <w:proofErr w:type="spellEnd"/>
      <w:r w:rsidRPr="00452B42">
        <w:rPr>
          <w:rFonts w:hint="cs"/>
          <w:spacing w:val="-2"/>
          <w:rtl/>
          <w:lang w:val="fr-CH"/>
        </w:rPr>
        <w:t xml:space="preserve"> السيد </w:t>
      </w:r>
      <w:proofErr w:type="spellStart"/>
      <w:r w:rsidRPr="00452B42">
        <w:rPr>
          <w:rFonts w:hint="cs"/>
          <w:spacing w:val="-2"/>
          <w:rtl/>
          <w:lang w:val="fr-CH"/>
        </w:rPr>
        <w:t>موندال</w:t>
      </w:r>
      <w:proofErr w:type="spellEnd"/>
      <w:r w:rsidRPr="00452B42">
        <w:rPr>
          <w:rFonts w:hint="cs"/>
          <w:spacing w:val="-2"/>
          <w:rtl/>
          <w:lang w:val="fr-CH"/>
        </w:rPr>
        <w:t>. بيد أنها استنتجت أن صاحب الشكوى لم يثبت أنه سيتعرض للاضطهاد في بنغلاديش بسبب آرائه السياسية في الماضي. واستنتجت المحكمة، فضلاً</w:t>
      </w:r>
      <w:r w:rsidR="00452B42">
        <w:rPr>
          <w:rFonts w:hint="eastAsia"/>
          <w:spacing w:val="-2"/>
          <w:rtl/>
          <w:lang w:val="fr-CH"/>
        </w:rPr>
        <w:t> </w:t>
      </w:r>
      <w:r w:rsidRPr="00452B42">
        <w:rPr>
          <w:rFonts w:hint="cs"/>
          <w:spacing w:val="-2"/>
          <w:rtl/>
          <w:lang w:val="fr-CH"/>
        </w:rPr>
        <w:t>عن ذلك، أنه لم يقدِّم، فيما يتعلق بالمثلية الجنسية، ما يثبت أنه سيُضطهد لهذا السبب. وفيما</w:t>
      </w:r>
      <w:r w:rsidR="00182541">
        <w:rPr>
          <w:rFonts w:hint="eastAsia"/>
          <w:spacing w:val="-2"/>
          <w:rtl/>
          <w:lang w:val="fr-CH"/>
        </w:rPr>
        <w:t> </w:t>
      </w:r>
      <w:r w:rsidRPr="00452B42">
        <w:rPr>
          <w:rFonts w:hint="cs"/>
          <w:spacing w:val="-2"/>
          <w:rtl/>
          <w:lang w:val="fr-CH"/>
        </w:rPr>
        <w:t>يتعلق بالاضطهاد بسبب الدين، وجدت المحكمة أن مجرد كونه ينتمي إلى أقلية</w:t>
      </w:r>
      <w:r w:rsidR="008A28B7">
        <w:rPr>
          <w:rFonts w:hint="cs"/>
          <w:spacing w:val="-2"/>
          <w:rtl/>
          <w:lang w:val="fr-CH"/>
        </w:rPr>
        <w:t xml:space="preserve"> لا </w:t>
      </w:r>
      <w:r w:rsidRPr="00452B42">
        <w:rPr>
          <w:rFonts w:hint="cs"/>
          <w:spacing w:val="-2"/>
          <w:rtl/>
          <w:lang w:val="fr-CH"/>
        </w:rPr>
        <w:t>يشكّل سبباً كافياً. وأخيراً، وجدت المحكمة أن صاحب الشكوى لم يتحدث عن احتمال وجود أسباب للاعتقاد بأنه سيعاقَب بالإعدام أو سيخضع لسوء المعاملة أو التعذيب فيما يخص ادعاءاته بأنه معرض لخطر القبض عليه ثانية. ولم تجد المحكمة أسباباً إنسانية تبرّر منح صاحب الشكوى رخصة إقامة.</w:t>
      </w:r>
    </w:p>
    <w:p w:rsidR="00FB1C4A" w:rsidRPr="00D768BF" w:rsidRDefault="00FB1C4A" w:rsidP="00FB1C4A">
      <w:pPr>
        <w:pStyle w:val="SingleTxtGA"/>
        <w:rPr>
          <w:rFonts w:hint="cs"/>
          <w:rtl/>
          <w:lang w:val="fr-CH"/>
        </w:rPr>
      </w:pPr>
      <w:r w:rsidRPr="00D768BF">
        <w:rPr>
          <w:rFonts w:hint="cs"/>
          <w:rtl/>
          <w:lang w:val="fr-CH"/>
        </w:rPr>
        <w:t>2-15</w:t>
      </w:r>
      <w:r w:rsidRPr="00D768BF">
        <w:rPr>
          <w:rFonts w:hint="cs"/>
          <w:rtl/>
          <w:lang w:val="fr-CH"/>
        </w:rPr>
        <w:tab/>
      </w:r>
      <w:r>
        <w:rPr>
          <w:rFonts w:hint="cs"/>
          <w:rtl/>
          <w:lang w:val="fr-CH"/>
        </w:rPr>
        <w:t>و</w:t>
      </w:r>
      <w:r w:rsidRPr="00D768BF">
        <w:rPr>
          <w:rFonts w:hint="cs"/>
          <w:rtl/>
          <w:lang w:val="fr-CH"/>
        </w:rPr>
        <w:t xml:space="preserve">طعن صاحب الشكوى في هذا القرار لدى هيئة الطعون في المحكمة العليا </w:t>
      </w:r>
      <w:r>
        <w:rPr>
          <w:rFonts w:hint="cs"/>
          <w:rtl/>
          <w:lang w:val="fr-CH"/>
        </w:rPr>
        <w:t>الخاصة بقضايا ا</w:t>
      </w:r>
      <w:r w:rsidRPr="00D768BF">
        <w:rPr>
          <w:rFonts w:hint="cs"/>
          <w:rtl/>
          <w:lang w:val="fr-CH"/>
        </w:rPr>
        <w:t>لهجرة. وفي 31 آب/أغسطس 2007، رفضت تلك الهيئة شكواه.</w:t>
      </w:r>
    </w:p>
    <w:p w:rsidR="00FB1C4A" w:rsidRPr="00D768BF" w:rsidRDefault="00452B42" w:rsidP="00452B42">
      <w:pPr>
        <w:pStyle w:val="H23GA"/>
        <w:rPr>
          <w:rFonts w:hint="cs"/>
          <w:rtl/>
          <w:lang w:val="fr-CH"/>
        </w:rPr>
      </w:pPr>
      <w:r>
        <w:rPr>
          <w:rFonts w:hint="cs"/>
          <w:rtl/>
          <w:lang w:val="fr-CH"/>
        </w:rPr>
        <w:tab/>
      </w:r>
      <w:r>
        <w:rPr>
          <w:rFonts w:hint="cs"/>
          <w:rtl/>
          <w:lang w:val="fr-CH"/>
        </w:rPr>
        <w:tab/>
      </w:r>
      <w:r w:rsidR="00FB1C4A" w:rsidRPr="00D768BF">
        <w:rPr>
          <w:rFonts w:hint="cs"/>
          <w:rtl/>
          <w:lang w:val="fr-CH"/>
        </w:rPr>
        <w:t>الشكوى</w:t>
      </w:r>
    </w:p>
    <w:p w:rsidR="00FB1C4A" w:rsidRPr="00D768BF" w:rsidRDefault="00FB1C4A" w:rsidP="00FB1C4A">
      <w:pPr>
        <w:pStyle w:val="SingleTxtGA"/>
        <w:rPr>
          <w:rFonts w:hint="cs"/>
          <w:rtl/>
          <w:lang w:val="fr-CH"/>
        </w:rPr>
      </w:pPr>
      <w:r w:rsidRPr="00D768BF">
        <w:rPr>
          <w:rFonts w:hint="cs"/>
          <w:rtl/>
          <w:lang w:val="fr-CH"/>
        </w:rPr>
        <w:t>3-1</w:t>
      </w:r>
      <w:r w:rsidRPr="00D768BF">
        <w:rPr>
          <w:rFonts w:hint="cs"/>
          <w:rtl/>
          <w:lang w:val="fr-CH"/>
        </w:rPr>
        <w:tab/>
        <w:t>يحيل صاحب الشكوى إلى تقارير منظمات غير حكومية تناولت انتهاكات حقوق الإنسان في بنغلاديش و</w:t>
      </w:r>
      <w:r>
        <w:rPr>
          <w:rFonts w:hint="cs"/>
          <w:rtl/>
          <w:lang w:val="fr-CH"/>
        </w:rPr>
        <w:t xml:space="preserve">هو </w:t>
      </w:r>
      <w:r w:rsidRPr="00D768BF">
        <w:rPr>
          <w:rFonts w:hint="cs"/>
          <w:rtl/>
          <w:lang w:val="fr-CH"/>
        </w:rPr>
        <w:t>يد</w:t>
      </w:r>
      <w:r>
        <w:rPr>
          <w:rFonts w:hint="cs"/>
          <w:rtl/>
          <w:lang w:val="fr-CH"/>
        </w:rPr>
        <w:t>ّ</w:t>
      </w:r>
      <w:r w:rsidRPr="00D768BF">
        <w:rPr>
          <w:rFonts w:hint="cs"/>
          <w:rtl/>
          <w:lang w:val="fr-CH"/>
        </w:rPr>
        <w:t xml:space="preserve">عي أن السويد ستنتهك حقوقه بموجب المادتين 3 </w:t>
      </w:r>
      <w:proofErr w:type="spellStart"/>
      <w:r w:rsidRPr="00D768BF">
        <w:rPr>
          <w:rFonts w:hint="cs"/>
          <w:rtl/>
          <w:lang w:val="fr-CH"/>
        </w:rPr>
        <w:t>و16</w:t>
      </w:r>
      <w:proofErr w:type="spellEnd"/>
      <w:r w:rsidRPr="00D768BF">
        <w:rPr>
          <w:rFonts w:hint="cs"/>
          <w:rtl/>
          <w:lang w:val="fr-CH"/>
        </w:rPr>
        <w:t xml:space="preserve"> من الاتفاقية في حال إعادته قسراً إلى بنغلاديش.</w:t>
      </w:r>
    </w:p>
    <w:p w:rsidR="00FB1C4A" w:rsidRPr="00D768BF" w:rsidRDefault="00FB1C4A" w:rsidP="00FB1C4A">
      <w:pPr>
        <w:pStyle w:val="SingleTxtGA"/>
        <w:rPr>
          <w:rFonts w:hint="cs"/>
          <w:rtl/>
          <w:lang w:val="fr-CH"/>
        </w:rPr>
      </w:pPr>
      <w:r w:rsidRPr="00D768BF">
        <w:rPr>
          <w:rFonts w:hint="cs"/>
          <w:rtl/>
          <w:lang w:val="fr-CH"/>
        </w:rPr>
        <w:t>3-2</w:t>
      </w:r>
      <w:r w:rsidRPr="00D768BF">
        <w:rPr>
          <w:rFonts w:hint="cs"/>
          <w:rtl/>
          <w:lang w:val="fr-CH"/>
        </w:rPr>
        <w:tab/>
        <w:t>وفي 16 نيسان/أبريل 2008، طلبت اللجنة إلى الدولة الطرف، بموجب الفقرة 1 من المادة 108 من النظام الداخلي للجنة، ألاّ تطرد صاحب الشكوى إلى بنغلاديش ريثما تنظر اللجنة في شكواه.</w:t>
      </w:r>
    </w:p>
    <w:p w:rsidR="00FB1C4A" w:rsidRPr="00D768BF" w:rsidRDefault="005F334D" w:rsidP="005F334D">
      <w:pPr>
        <w:pStyle w:val="H23GA"/>
        <w:rPr>
          <w:rFonts w:hint="cs"/>
          <w:rtl/>
          <w:lang w:val="fr-CH"/>
        </w:rPr>
      </w:pPr>
      <w:r>
        <w:rPr>
          <w:rFonts w:hint="cs"/>
          <w:rtl/>
          <w:lang w:val="fr-CH"/>
        </w:rPr>
        <w:tab/>
      </w:r>
      <w:r>
        <w:rPr>
          <w:rFonts w:hint="cs"/>
          <w:rtl/>
          <w:lang w:val="fr-CH"/>
        </w:rPr>
        <w:tab/>
      </w:r>
      <w:r w:rsidR="00FB1C4A" w:rsidRPr="00D768BF">
        <w:rPr>
          <w:rFonts w:hint="cs"/>
          <w:rtl/>
          <w:lang w:val="fr-CH"/>
        </w:rPr>
        <w:t>ملاحظات الدولة الطرف بشأن مقبولية البلاغ وأسسه الموضوعية</w:t>
      </w:r>
    </w:p>
    <w:p w:rsidR="00FB1C4A" w:rsidRPr="00D768BF" w:rsidRDefault="005F334D" w:rsidP="005F334D">
      <w:pPr>
        <w:pStyle w:val="H23GA"/>
        <w:rPr>
          <w:rFonts w:hint="cs"/>
          <w:rtl/>
          <w:lang w:val="fr-CH"/>
        </w:rPr>
      </w:pPr>
      <w:r>
        <w:rPr>
          <w:rFonts w:hint="cs"/>
          <w:rtl/>
          <w:lang w:val="fr-CH"/>
        </w:rPr>
        <w:tab/>
      </w:r>
      <w:r>
        <w:rPr>
          <w:rFonts w:hint="cs"/>
          <w:rtl/>
          <w:lang w:val="fr-CH"/>
        </w:rPr>
        <w:tab/>
      </w:r>
      <w:proofErr w:type="spellStart"/>
      <w:r w:rsidR="00FB1C4A" w:rsidRPr="00D768BF">
        <w:rPr>
          <w:rFonts w:hint="cs"/>
          <w:rtl/>
          <w:lang w:val="fr-CH"/>
        </w:rPr>
        <w:t>المقبولية</w:t>
      </w:r>
      <w:proofErr w:type="spellEnd"/>
    </w:p>
    <w:p w:rsidR="00FB1C4A" w:rsidRPr="00D768BF" w:rsidRDefault="00FB1C4A" w:rsidP="00452B42">
      <w:pPr>
        <w:pStyle w:val="SingleTxtGA"/>
        <w:rPr>
          <w:rFonts w:hint="cs"/>
          <w:rtl/>
          <w:lang w:val="fr-CH"/>
        </w:rPr>
      </w:pPr>
      <w:r w:rsidRPr="00D768BF">
        <w:rPr>
          <w:rFonts w:hint="cs"/>
          <w:rtl/>
          <w:lang w:val="fr-CH"/>
        </w:rPr>
        <w:t>4-1</w:t>
      </w:r>
      <w:r w:rsidRPr="00D768BF">
        <w:rPr>
          <w:rFonts w:hint="cs"/>
          <w:rtl/>
          <w:lang w:val="fr-CH"/>
        </w:rPr>
        <w:tab/>
        <w:t xml:space="preserve">في 30 تشرين الأول/أكتوبر 2008، أقرت الدولة الطرف بأن جميع سُبُل الانتصاف المتاحة محلياً قد استُنفدت. بيد أنها </w:t>
      </w:r>
      <w:r>
        <w:rPr>
          <w:rFonts w:hint="cs"/>
          <w:rtl/>
          <w:lang w:val="fr-CH"/>
        </w:rPr>
        <w:t>ت</w:t>
      </w:r>
      <w:r w:rsidRPr="00D768BF">
        <w:rPr>
          <w:rFonts w:hint="cs"/>
          <w:rtl/>
          <w:lang w:val="fr-CH"/>
        </w:rPr>
        <w:t>تمسك بالقول إن ادعاء صاحب الشكوى بأنه</w:t>
      </w:r>
      <w:r w:rsidR="00452B42">
        <w:rPr>
          <w:rFonts w:hint="eastAsia"/>
          <w:rtl/>
          <w:lang w:val="fr-CH"/>
        </w:rPr>
        <w:t> </w:t>
      </w:r>
      <w:r w:rsidRPr="00D768BF">
        <w:rPr>
          <w:rFonts w:hint="cs"/>
          <w:rtl/>
          <w:lang w:val="fr-CH"/>
        </w:rPr>
        <w:t>معرض لخطر المعاملة على نحو يبلغ حد انتهاك المادة 3 من الاتفاقية يفتقر إلى أدنى حدود</w:t>
      </w:r>
      <w:r w:rsidR="00452B42">
        <w:rPr>
          <w:rFonts w:hint="eastAsia"/>
          <w:rtl/>
          <w:lang w:val="fr-CH"/>
        </w:rPr>
        <w:t> </w:t>
      </w:r>
      <w:r w:rsidRPr="00D768BF">
        <w:rPr>
          <w:rFonts w:hint="cs"/>
          <w:rtl/>
          <w:lang w:val="fr-CH"/>
        </w:rPr>
        <w:t>الإثبات.</w:t>
      </w:r>
    </w:p>
    <w:p w:rsidR="00FB1C4A" w:rsidRPr="00D768BF" w:rsidRDefault="00FB1C4A" w:rsidP="00FB1C4A">
      <w:pPr>
        <w:pStyle w:val="SingleTxtGA"/>
        <w:rPr>
          <w:rFonts w:hint="cs"/>
          <w:rtl/>
          <w:lang w:val="fr-CH"/>
        </w:rPr>
      </w:pPr>
      <w:r w:rsidRPr="00D768BF">
        <w:rPr>
          <w:rFonts w:hint="cs"/>
          <w:rtl/>
          <w:lang w:val="fr-CH"/>
        </w:rPr>
        <w:t>4-2</w:t>
      </w:r>
      <w:r w:rsidRPr="00D768BF">
        <w:rPr>
          <w:rFonts w:hint="cs"/>
          <w:rtl/>
          <w:lang w:val="fr-CH"/>
        </w:rPr>
        <w:tab/>
        <w:t>أما فيما يخص الادعاءات بموجب</w:t>
      </w:r>
      <w:r>
        <w:rPr>
          <w:rFonts w:hint="cs"/>
          <w:rtl/>
          <w:lang w:val="fr-CH"/>
        </w:rPr>
        <w:t xml:space="preserve"> </w:t>
      </w:r>
      <w:r w:rsidRPr="00D768BF">
        <w:rPr>
          <w:rFonts w:hint="cs"/>
          <w:rtl/>
          <w:lang w:val="fr-CH"/>
        </w:rPr>
        <w:t>المادة 16 من الاتفاقية، فإن الدولة الطرف تشكك في قابلية هذه المادة للتطبيق. وهي تحيل إلى القرارات الصادرة سابق</w:t>
      </w:r>
      <w:r>
        <w:rPr>
          <w:rFonts w:hint="cs"/>
          <w:rtl/>
          <w:lang w:val="fr-CH"/>
        </w:rPr>
        <w:t>اً</w:t>
      </w:r>
      <w:r w:rsidRPr="00D768BF">
        <w:rPr>
          <w:rFonts w:hint="cs"/>
          <w:rtl/>
          <w:lang w:val="fr-CH"/>
        </w:rPr>
        <w:t xml:space="preserve"> عن اللجنة وتؤكد بأنه ينبغي أن تُعتبر ادعاءات صاحب الشكوى بموجب المادة 16 غير مقبولة </w:t>
      </w:r>
      <w:r w:rsidRPr="00287D57">
        <w:rPr>
          <w:rFonts w:hint="cs"/>
          <w:i/>
          <w:iCs/>
          <w:rtl/>
          <w:lang w:val="fr-CH"/>
        </w:rPr>
        <w:t>من حيث الموضوع</w:t>
      </w:r>
      <w:r w:rsidRPr="00D768BF">
        <w:rPr>
          <w:rFonts w:hint="cs"/>
          <w:rtl/>
          <w:lang w:val="fr-CH"/>
        </w:rPr>
        <w:t>. وتؤكد أن الادعاءات بموجب المادة 16 تتنافى ونص الاتفاقية وتفتقر إلى أدنى حدود الإثبات.</w:t>
      </w:r>
    </w:p>
    <w:p w:rsidR="00FB1C4A" w:rsidRPr="00D768BF" w:rsidRDefault="005F334D" w:rsidP="005F334D">
      <w:pPr>
        <w:pStyle w:val="H23GA"/>
        <w:rPr>
          <w:rFonts w:hint="cs"/>
          <w:rtl/>
          <w:lang w:val="fr-CH"/>
        </w:rPr>
      </w:pPr>
      <w:r>
        <w:rPr>
          <w:rFonts w:hint="cs"/>
          <w:rtl/>
          <w:lang w:val="fr-CH"/>
        </w:rPr>
        <w:tab/>
      </w:r>
      <w:r>
        <w:rPr>
          <w:rFonts w:hint="cs"/>
          <w:rtl/>
          <w:lang w:val="fr-CH"/>
        </w:rPr>
        <w:tab/>
      </w:r>
      <w:r w:rsidR="00FB1C4A" w:rsidRPr="00D768BF">
        <w:rPr>
          <w:rFonts w:hint="cs"/>
          <w:rtl/>
          <w:lang w:val="fr-CH"/>
        </w:rPr>
        <w:t>الأسس الموضوعية</w:t>
      </w:r>
    </w:p>
    <w:p w:rsidR="00FB1C4A" w:rsidRPr="00D768BF" w:rsidRDefault="00FB1C4A" w:rsidP="000663BA">
      <w:pPr>
        <w:pStyle w:val="SingleTxtGA"/>
        <w:rPr>
          <w:rFonts w:hint="cs"/>
          <w:rtl/>
          <w:lang w:val="fr-CH"/>
        </w:rPr>
      </w:pPr>
      <w:r w:rsidRPr="00D768BF">
        <w:rPr>
          <w:rFonts w:hint="cs"/>
          <w:rtl/>
          <w:lang w:val="fr-CH"/>
        </w:rPr>
        <w:t>4-3</w:t>
      </w:r>
      <w:r w:rsidRPr="00D768BF">
        <w:rPr>
          <w:rFonts w:hint="cs"/>
          <w:rtl/>
          <w:lang w:val="fr-CH"/>
        </w:rPr>
        <w:tab/>
        <w:t xml:space="preserve">تقر الدولة الطرف بأن حالة حقوق الإنسان في بنغلاديش معضِلة. </w:t>
      </w:r>
      <w:r>
        <w:rPr>
          <w:rFonts w:hint="cs"/>
          <w:rtl/>
          <w:lang w:val="fr-CH"/>
        </w:rPr>
        <w:t xml:space="preserve">إذ </w:t>
      </w:r>
      <w:r w:rsidRPr="00D768BF">
        <w:rPr>
          <w:rFonts w:hint="cs"/>
          <w:rtl/>
          <w:lang w:val="fr-CH"/>
        </w:rPr>
        <w:t xml:space="preserve">رغم أن في البلد الكثير من التشريعات لحماية حقوق الإنسان، فإن واقع </w:t>
      </w:r>
      <w:r>
        <w:rPr>
          <w:rFonts w:hint="cs"/>
          <w:rtl/>
          <w:lang w:val="fr-CH"/>
        </w:rPr>
        <w:t xml:space="preserve">الحال </w:t>
      </w:r>
      <w:r w:rsidRPr="00D768BF">
        <w:rPr>
          <w:rFonts w:hint="cs"/>
          <w:rtl/>
          <w:lang w:val="fr-CH"/>
        </w:rPr>
        <w:t>غث. وتحيل الدولة الطرف إلى تقارير وضعتها عدة منظمات ووكالات</w:t>
      </w:r>
      <w:r w:rsidRPr="00D768BF">
        <w:rPr>
          <w:vertAlign w:val="superscript"/>
          <w:rtl/>
          <w:lang w:val="fr-CH"/>
        </w:rPr>
        <w:t>(</w:t>
      </w:r>
      <w:r w:rsidRPr="00D768BF">
        <w:rPr>
          <w:rStyle w:val="FootnoteReference"/>
          <w:sz w:val="30"/>
          <w:rtl/>
          <w:lang w:val="fr-CH"/>
        </w:rPr>
        <w:footnoteReference w:id="2"/>
      </w:r>
      <w:r w:rsidRPr="00D768BF">
        <w:rPr>
          <w:vertAlign w:val="superscript"/>
          <w:rtl/>
          <w:lang w:val="fr-CH"/>
        </w:rPr>
        <w:t>)</w:t>
      </w:r>
      <w:r w:rsidRPr="00D768BF">
        <w:rPr>
          <w:rtl/>
          <w:lang w:val="fr-CH"/>
        </w:rPr>
        <w:t xml:space="preserve"> </w:t>
      </w:r>
      <w:r>
        <w:rPr>
          <w:rFonts w:hint="cs"/>
          <w:rtl/>
          <w:lang w:val="fr-CH"/>
        </w:rPr>
        <w:t>معنية</w:t>
      </w:r>
      <w:r w:rsidRPr="00D768BF">
        <w:rPr>
          <w:rFonts w:hint="cs"/>
          <w:rtl/>
          <w:lang w:val="fr-CH"/>
        </w:rPr>
        <w:t xml:space="preserve"> بحقوق الإن</w:t>
      </w:r>
      <w:r>
        <w:rPr>
          <w:rFonts w:hint="cs"/>
          <w:rtl/>
          <w:lang w:val="fr-CH"/>
        </w:rPr>
        <w:t>سان وتقول</w:t>
      </w:r>
      <w:r w:rsidRPr="00D768BF">
        <w:rPr>
          <w:rFonts w:hint="cs"/>
          <w:rtl/>
          <w:lang w:val="fr-CH"/>
        </w:rPr>
        <w:t xml:space="preserve"> </w:t>
      </w:r>
      <w:r>
        <w:rPr>
          <w:rFonts w:hint="cs"/>
          <w:rtl/>
          <w:lang w:val="fr-CH"/>
        </w:rPr>
        <w:t>إ</w:t>
      </w:r>
      <w:r w:rsidRPr="00D768BF">
        <w:rPr>
          <w:rFonts w:hint="cs"/>
          <w:rtl/>
          <w:lang w:val="fr-CH"/>
        </w:rPr>
        <w:t>ن العنف سمة مستشرية في الحياة السياسية في بنغلاديش. فمؤيدو مختلف ا</w:t>
      </w:r>
      <w:r>
        <w:rPr>
          <w:rFonts w:hint="cs"/>
          <w:rtl/>
          <w:lang w:val="fr-CH"/>
        </w:rPr>
        <w:t xml:space="preserve">لأحزاب السياسية يصطدمون </w:t>
      </w:r>
      <w:r w:rsidRPr="00D768BF">
        <w:rPr>
          <w:rFonts w:hint="cs"/>
          <w:rtl/>
          <w:lang w:val="fr-CH"/>
        </w:rPr>
        <w:t>بعضهم</w:t>
      </w:r>
      <w:r>
        <w:rPr>
          <w:rFonts w:hint="cs"/>
          <w:rtl/>
          <w:lang w:val="fr-CH"/>
        </w:rPr>
        <w:t xml:space="preserve"> ببعض</w:t>
      </w:r>
      <w:r w:rsidRPr="00D768BF">
        <w:rPr>
          <w:rFonts w:hint="cs"/>
          <w:rtl/>
          <w:lang w:val="fr-CH"/>
        </w:rPr>
        <w:t xml:space="preserve"> وبالشرطة أثناء التجمعات والمظاهرات. ورغم أن دستور بنغلاديش يحظر التعذيب والعقوبة القاسية </w:t>
      </w:r>
      <w:proofErr w:type="spellStart"/>
      <w:r w:rsidRPr="00D768BF">
        <w:rPr>
          <w:rFonts w:hint="cs"/>
          <w:rtl/>
          <w:lang w:val="fr-CH"/>
        </w:rPr>
        <w:t>واللاإنسانية</w:t>
      </w:r>
      <w:proofErr w:type="spellEnd"/>
      <w:r w:rsidRPr="00D768BF">
        <w:rPr>
          <w:rFonts w:hint="cs"/>
          <w:rtl/>
          <w:lang w:val="fr-CH"/>
        </w:rPr>
        <w:t xml:space="preserve"> والمهينة، فإن التقارير تفيد بأن الشرطة تستخدم التعذيب والضرب وغيرهما من أشكال الإساءة أثناء استنطاق المشتبه فيهم. ونادراً ما ي</w:t>
      </w:r>
      <w:r>
        <w:rPr>
          <w:rFonts w:hint="cs"/>
          <w:rtl/>
          <w:lang w:val="fr-CH"/>
        </w:rPr>
        <w:t>نال</w:t>
      </w:r>
      <w:r w:rsidRPr="00D768BF">
        <w:rPr>
          <w:rFonts w:hint="cs"/>
          <w:rtl/>
          <w:lang w:val="fr-CH"/>
        </w:rPr>
        <w:t xml:space="preserve"> </w:t>
      </w:r>
      <w:proofErr w:type="spellStart"/>
      <w:r w:rsidRPr="00D768BF">
        <w:rPr>
          <w:rFonts w:hint="cs"/>
          <w:rtl/>
          <w:lang w:val="fr-CH"/>
        </w:rPr>
        <w:t>المسؤولون</w:t>
      </w:r>
      <w:proofErr w:type="spellEnd"/>
      <w:r w:rsidRPr="00D768BF">
        <w:rPr>
          <w:rFonts w:hint="cs"/>
          <w:rtl/>
          <w:lang w:val="fr-CH"/>
        </w:rPr>
        <w:t xml:space="preserve"> عن التعذيب</w:t>
      </w:r>
      <w:r>
        <w:rPr>
          <w:rFonts w:hint="cs"/>
          <w:rtl/>
          <w:lang w:val="fr-CH"/>
        </w:rPr>
        <w:t xml:space="preserve"> عقابهم</w:t>
      </w:r>
      <w:r w:rsidRPr="00D768BF">
        <w:rPr>
          <w:rFonts w:hint="cs"/>
          <w:rtl/>
          <w:lang w:val="fr-CH"/>
        </w:rPr>
        <w:t xml:space="preserve">. وفي كانون الثاني/يناير 2007، ازداد سجل الحكومة في مجال حقوق الإنسان سوءاً بعد إعلان حالة الطوارئ وتأجيل الانتخابات. وتضيف الدولة الطرف بأنه على الرغم من تسجيل انخفاض كبير في عدد عمليات القتل خارج نطاق القضاء </w:t>
      </w:r>
      <w:r>
        <w:rPr>
          <w:rFonts w:hint="cs"/>
          <w:rtl/>
          <w:lang w:val="fr-CH"/>
        </w:rPr>
        <w:t>التي تنفِّذها</w:t>
      </w:r>
      <w:r w:rsidRPr="00D768BF">
        <w:rPr>
          <w:rFonts w:hint="cs"/>
          <w:rtl/>
          <w:lang w:val="fr-CH"/>
        </w:rPr>
        <w:t xml:space="preserve"> قوات الأمن، فإنه</w:t>
      </w:r>
      <w:r w:rsidR="008A28B7">
        <w:rPr>
          <w:rFonts w:hint="cs"/>
          <w:rtl/>
          <w:lang w:val="fr-CH"/>
        </w:rPr>
        <w:t xml:space="preserve"> لا </w:t>
      </w:r>
      <w:r w:rsidRPr="00D768BF">
        <w:rPr>
          <w:rFonts w:hint="cs"/>
          <w:rtl/>
          <w:lang w:val="fr-CH"/>
        </w:rPr>
        <w:t xml:space="preserve">تزال تحدث انتهاكات خطيرة. والحكومة، </w:t>
      </w:r>
      <w:r>
        <w:rPr>
          <w:rFonts w:hint="cs"/>
          <w:rtl/>
          <w:lang w:val="fr-CH"/>
        </w:rPr>
        <w:t>على العموم، تحترم حقوق ممارسة كل</w:t>
      </w:r>
      <w:r w:rsidRPr="00D768BF">
        <w:rPr>
          <w:rFonts w:hint="cs"/>
          <w:rtl/>
          <w:lang w:val="fr-CH"/>
        </w:rPr>
        <w:t xml:space="preserve"> للديانة التي يختارها إلاّ أن الأقليات الدينية تعاني في الواقع من الحرمان فيما يتعلق بالحصول على وظائف حكومية ومناصب سياسية. وتقارب نسبة الهندوس 10 في المائة من السكان</w:t>
      </w:r>
      <w:r>
        <w:rPr>
          <w:rFonts w:hint="cs"/>
          <w:rtl/>
          <w:lang w:val="fr-CH"/>
        </w:rPr>
        <w:t>. و</w:t>
      </w:r>
      <w:r w:rsidRPr="00D768BF">
        <w:rPr>
          <w:rFonts w:hint="cs"/>
          <w:rtl/>
          <w:lang w:val="fr-CH"/>
        </w:rPr>
        <w:t>العلاقات الجنسية المثلية مخال</w:t>
      </w:r>
      <w:r>
        <w:rPr>
          <w:rFonts w:hint="cs"/>
          <w:rtl/>
          <w:lang w:val="fr-CH"/>
        </w:rPr>
        <w:t>ِ</w:t>
      </w:r>
      <w:r w:rsidRPr="00D768BF">
        <w:rPr>
          <w:rFonts w:hint="cs"/>
          <w:rtl/>
          <w:lang w:val="fr-CH"/>
        </w:rPr>
        <w:t>فة للقانون بيد أن التشريعات</w:t>
      </w:r>
      <w:r w:rsidR="000663BA">
        <w:rPr>
          <w:rFonts w:hint="eastAsia"/>
          <w:rtl/>
          <w:lang w:val="fr-CH"/>
        </w:rPr>
        <w:t> </w:t>
      </w:r>
      <w:r w:rsidRPr="00D768BF">
        <w:rPr>
          <w:rFonts w:hint="cs"/>
          <w:rtl/>
          <w:lang w:val="fr-CH"/>
        </w:rPr>
        <w:t>تُستخدم بشكل انتقائي.</w:t>
      </w:r>
    </w:p>
    <w:p w:rsidR="00FB1C4A" w:rsidRPr="00D768BF" w:rsidRDefault="00FB1C4A" w:rsidP="00452B42">
      <w:pPr>
        <w:pStyle w:val="SingleTxtGA"/>
        <w:rPr>
          <w:rFonts w:hint="cs"/>
          <w:rtl/>
          <w:lang w:val="fr-CH"/>
        </w:rPr>
      </w:pPr>
      <w:r w:rsidRPr="00D768BF">
        <w:rPr>
          <w:rFonts w:hint="cs"/>
          <w:rtl/>
          <w:lang w:val="fr-CH"/>
        </w:rPr>
        <w:t>4-4</w:t>
      </w:r>
      <w:r w:rsidRPr="00D768BF">
        <w:rPr>
          <w:rFonts w:hint="cs"/>
          <w:rtl/>
          <w:lang w:val="fr-CH"/>
        </w:rPr>
        <w:tab/>
        <w:t>وتحيل الدولة الطرف إلى القرارات التي سبق أن صدرت عن اللجنة وتؤكد أنه</w:t>
      </w:r>
      <w:r w:rsidR="008A28B7">
        <w:rPr>
          <w:rFonts w:hint="cs"/>
          <w:rtl/>
          <w:lang w:val="fr-CH"/>
        </w:rPr>
        <w:t xml:space="preserve"> لا </w:t>
      </w:r>
      <w:r w:rsidRPr="00D768BF">
        <w:rPr>
          <w:rFonts w:hint="cs"/>
          <w:rtl/>
          <w:lang w:val="fr-CH"/>
        </w:rPr>
        <w:t>يجوز أن يؤدي قلقها بشأن حالة حقوق الإنسان في بنغلاديش إلى الاستنتاج بأن الأشخاص المعرضين للتوقيف بسبب اتهامات جنائية معرضون تلقائياً لخطر تعذيب حقيقي. وهي تؤكد أن الحجج المعروضة على اللجنة لا ت</w:t>
      </w:r>
      <w:r>
        <w:rPr>
          <w:rFonts w:hint="cs"/>
          <w:rtl/>
          <w:lang w:val="fr-CH"/>
        </w:rPr>
        <w:t>دل ع</w:t>
      </w:r>
      <w:r w:rsidRPr="00D768BF">
        <w:rPr>
          <w:rFonts w:hint="cs"/>
          <w:rtl/>
          <w:lang w:val="fr-CH"/>
        </w:rPr>
        <w:t xml:space="preserve">لى </w:t>
      </w:r>
      <w:r>
        <w:rPr>
          <w:rFonts w:hint="cs"/>
          <w:rtl/>
          <w:lang w:val="fr-CH"/>
        </w:rPr>
        <w:t>أ</w:t>
      </w:r>
      <w:r w:rsidRPr="00D768BF">
        <w:rPr>
          <w:rFonts w:hint="cs"/>
          <w:rtl/>
          <w:lang w:val="fr-CH"/>
        </w:rPr>
        <w:t xml:space="preserve">ن صاحب الشكوى معرض حالياً لخطر الاضطهاد لأسباب سياسية ولا </w:t>
      </w:r>
      <w:r>
        <w:rPr>
          <w:rFonts w:hint="cs"/>
          <w:rtl/>
          <w:lang w:val="fr-CH"/>
        </w:rPr>
        <w:t>ع</w:t>
      </w:r>
      <w:r w:rsidRPr="00D768BF">
        <w:rPr>
          <w:rFonts w:hint="cs"/>
          <w:rtl/>
          <w:lang w:val="fr-CH"/>
        </w:rPr>
        <w:t xml:space="preserve">لى أنه سيكون مستضعفاً بشكل خاص في حال تعرضه للاحتجاز. وبناءً عليه، حتى لو ثبت أن صاحب الشكوى معرَّض للاحتجاز عند عودته إلى بنغلاديش، فإن هذا لا يشكل سبباً </w:t>
      </w:r>
      <w:r>
        <w:rPr>
          <w:rFonts w:hint="cs"/>
          <w:rtl/>
          <w:lang w:val="fr-CH"/>
        </w:rPr>
        <w:t>موضوع</w:t>
      </w:r>
      <w:r w:rsidRPr="00D768BF">
        <w:rPr>
          <w:rFonts w:hint="cs"/>
          <w:rtl/>
          <w:lang w:val="fr-CH"/>
        </w:rPr>
        <w:t>ياً للاعتقاد بأنه معرض لخطر التعذيب.</w:t>
      </w:r>
    </w:p>
    <w:p w:rsidR="00FB1C4A" w:rsidRPr="00D768BF" w:rsidRDefault="00FB1C4A" w:rsidP="00FB1C4A">
      <w:pPr>
        <w:pStyle w:val="SingleTxtGA"/>
        <w:rPr>
          <w:rFonts w:hint="cs"/>
          <w:rtl/>
          <w:lang w:val="fr-CH"/>
        </w:rPr>
      </w:pPr>
      <w:r w:rsidRPr="00D768BF">
        <w:rPr>
          <w:rFonts w:hint="cs"/>
          <w:rtl/>
          <w:lang w:val="fr-CH"/>
        </w:rPr>
        <w:t>4-5</w:t>
      </w:r>
      <w:r w:rsidRPr="00D768BF">
        <w:rPr>
          <w:rFonts w:hint="cs"/>
          <w:rtl/>
          <w:lang w:val="fr-CH"/>
        </w:rPr>
        <w:tab/>
        <w:t>وتؤكد الدولة الطرف أن عدة أحكام وردت في كل من قانون الأجانب لعام</w:t>
      </w:r>
      <w:r>
        <w:rPr>
          <w:rFonts w:hint="eastAsia"/>
          <w:rtl/>
          <w:lang w:val="fr-CH"/>
        </w:rPr>
        <w:t> </w:t>
      </w:r>
      <w:r w:rsidRPr="00D768BF">
        <w:rPr>
          <w:rFonts w:hint="cs"/>
          <w:rtl/>
          <w:lang w:val="fr-CH"/>
        </w:rPr>
        <w:t>1989 وقانون الأجانب لعام 2005 تنطوي على نفس المبادئ الواردة في الفقرة 1 من المادة 3 من الاتفاقية. وعليه، فإن السلطات السويدية تطبق</w:t>
      </w:r>
      <w:r>
        <w:rPr>
          <w:rFonts w:hint="cs"/>
          <w:rtl/>
          <w:lang w:val="fr-CH"/>
        </w:rPr>
        <w:t>،</w:t>
      </w:r>
      <w:r w:rsidRPr="00D768BF">
        <w:rPr>
          <w:rFonts w:hint="cs"/>
          <w:rtl/>
          <w:lang w:val="fr-CH"/>
        </w:rPr>
        <w:t xml:space="preserve"> بموجب قانون الأجانب</w:t>
      </w:r>
      <w:r>
        <w:rPr>
          <w:rFonts w:hint="cs"/>
          <w:rtl/>
          <w:lang w:val="fr-CH"/>
        </w:rPr>
        <w:t>،</w:t>
      </w:r>
      <w:r w:rsidRPr="00D768BF">
        <w:rPr>
          <w:rFonts w:hint="cs"/>
          <w:rtl/>
          <w:lang w:val="fr-CH"/>
        </w:rPr>
        <w:t xml:space="preserve"> المعايير نفسها التي تطبقها اللجنة عند النظر في طلب لجوء. وتضيف بأن السلطة الوطنية التي تجري المقابلة مع طالب اللجوء في وضع جيد جداً يؤهلها لتقييم المعلومات التي يقدمها طالب اللجوء ولتقييم مدى </w:t>
      </w:r>
      <w:proofErr w:type="spellStart"/>
      <w:r w:rsidRPr="00D768BF">
        <w:rPr>
          <w:rFonts w:hint="cs"/>
          <w:rtl/>
          <w:lang w:val="fr-CH"/>
        </w:rPr>
        <w:t>صدقية</w:t>
      </w:r>
      <w:proofErr w:type="spellEnd"/>
      <w:r w:rsidRPr="00D768BF">
        <w:rPr>
          <w:rFonts w:hint="cs"/>
          <w:rtl/>
          <w:lang w:val="fr-CH"/>
        </w:rPr>
        <w:t xml:space="preserve"> ادعاءاته. وهي تشير إلى أن مجلس الهجرة اتخذ قراره بعد إجراء مقابلتين مع صاحب الشكوى. واستغرقت المقابلة الثانية ساعتين. وبالتالي</w:t>
      </w:r>
      <w:r>
        <w:rPr>
          <w:rFonts w:hint="cs"/>
          <w:rtl/>
          <w:lang w:val="fr-CH"/>
        </w:rPr>
        <w:t>،</w:t>
      </w:r>
      <w:r w:rsidRPr="00D768BF">
        <w:rPr>
          <w:rFonts w:hint="cs"/>
          <w:rtl/>
          <w:lang w:val="fr-CH"/>
        </w:rPr>
        <w:t xml:space="preserve"> فإن المجلس حصل على </w:t>
      </w:r>
      <w:r>
        <w:rPr>
          <w:rFonts w:hint="cs"/>
          <w:rtl/>
          <w:lang w:val="fr-CH"/>
        </w:rPr>
        <w:t>م</w:t>
      </w:r>
      <w:r w:rsidRPr="00D768BF">
        <w:rPr>
          <w:rFonts w:hint="cs"/>
          <w:rtl/>
          <w:lang w:val="fr-CH"/>
        </w:rPr>
        <w:t>ا</w:t>
      </w:r>
      <w:r>
        <w:rPr>
          <w:rFonts w:hint="cs"/>
          <w:rtl/>
          <w:lang w:val="fr-CH"/>
        </w:rPr>
        <w:t xml:space="preserve"> يك</w:t>
      </w:r>
      <w:r w:rsidRPr="00D768BF">
        <w:rPr>
          <w:rFonts w:hint="cs"/>
          <w:rtl/>
          <w:lang w:val="fr-CH"/>
        </w:rPr>
        <w:t>في</w:t>
      </w:r>
      <w:r>
        <w:rPr>
          <w:rFonts w:hint="cs"/>
          <w:rtl/>
          <w:lang w:val="fr-CH"/>
        </w:rPr>
        <w:t xml:space="preserve"> من</w:t>
      </w:r>
      <w:r w:rsidRPr="00D768BF">
        <w:rPr>
          <w:rFonts w:hint="cs"/>
          <w:rtl/>
          <w:lang w:val="fr-CH"/>
        </w:rPr>
        <w:t xml:space="preserve"> معلومات كفلت، </w:t>
      </w:r>
      <w:r>
        <w:rPr>
          <w:rFonts w:hint="cs"/>
          <w:rtl/>
          <w:lang w:val="fr-CH"/>
        </w:rPr>
        <w:t>إلى جانب</w:t>
      </w:r>
      <w:r w:rsidRPr="00D768BF">
        <w:rPr>
          <w:rFonts w:hint="cs"/>
          <w:rtl/>
          <w:lang w:val="fr-CH"/>
        </w:rPr>
        <w:t xml:space="preserve"> اعتبار الوقائع والمستندات المتعلقة بالقضية، إرساء أساس متين لتقييمه مدى حاجة صاحب الشكوى </w:t>
      </w:r>
      <w:r>
        <w:rPr>
          <w:rFonts w:hint="cs"/>
          <w:rtl/>
          <w:lang w:val="fr-CH"/>
        </w:rPr>
        <w:t>إلى ا</w:t>
      </w:r>
      <w:r w:rsidRPr="00D768BF">
        <w:rPr>
          <w:rFonts w:hint="cs"/>
          <w:rtl/>
          <w:lang w:val="fr-CH"/>
        </w:rPr>
        <w:t>لحماية.</w:t>
      </w:r>
    </w:p>
    <w:p w:rsidR="00FB1C4A" w:rsidRPr="00D768BF" w:rsidRDefault="00FB1C4A" w:rsidP="00FB1C4A">
      <w:pPr>
        <w:pStyle w:val="SingleTxtGA"/>
        <w:rPr>
          <w:rFonts w:hint="cs"/>
          <w:rtl/>
          <w:lang w:val="fr-CH"/>
        </w:rPr>
      </w:pPr>
      <w:r w:rsidRPr="00D768BF">
        <w:rPr>
          <w:rFonts w:hint="cs"/>
          <w:rtl/>
          <w:lang w:val="fr-CH"/>
        </w:rPr>
        <w:t>4-6</w:t>
      </w:r>
      <w:r w:rsidRPr="00D768BF">
        <w:rPr>
          <w:rFonts w:hint="cs"/>
          <w:rtl/>
          <w:lang w:val="fr-CH"/>
        </w:rPr>
        <w:tab/>
        <w:t xml:space="preserve">وتضيف الدولة الطرف إن صاحب الشكوى لم يقدم إلى اللجنة، في نص شكواه، أي </w:t>
      </w:r>
      <w:r>
        <w:rPr>
          <w:rFonts w:hint="cs"/>
          <w:rtl/>
          <w:lang w:val="fr-CH"/>
        </w:rPr>
        <w:t>ش</w:t>
      </w:r>
      <w:r w:rsidRPr="00D768BF">
        <w:rPr>
          <w:rFonts w:hint="cs"/>
          <w:rtl/>
          <w:lang w:val="fr-CH"/>
        </w:rPr>
        <w:t>ر</w:t>
      </w:r>
      <w:r>
        <w:rPr>
          <w:rFonts w:hint="cs"/>
          <w:rtl/>
          <w:lang w:val="fr-CH"/>
        </w:rPr>
        <w:t>ح</w:t>
      </w:r>
      <w:r w:rsidRPr="00D768BF">
        <w:rPr>
          <w:rFonts w:hint="cs"/>
          <w:rtl/>
          <w:lang w:val="fr-CH"/>
        </w:rPr>
        <w:t xml:space="preserve"> مفصل يبيّن لماذا سيُعتبر طرده إلى بنغلاديش انتهاكاً للا</w:t>
      </w:r>
      <w:r>
        <w:rPr>
          <w:rFonts w:hint="cs"/>
          <w:rtl/>
          <w:lang w:val="fr-CH"/>
        </w:rPr>
        <w:t>تفاقية. واكتفى بالتأكيد على أ</w:t>
      </w:r>
      <w:r w:rsidRPr="00D768BF">
        <w:rPr>
          <w:rFonts w:hint="cs"/>
          <w:rtl/>
          <w:lang w:val="fr-CH"/>
        </w:rPr>
        <w:t xml:space="preserve">نه سيتعرض للتوقيف </w:t>
      </w:r>
      <w:r>
        <w:rPr>
          <w:rFonts w:hint="cs"/>
          <w:rtl/>
          <w:lang w:val="fr-CH"/>
        </w:rPr>
        <w:t xml:space="preserve">والتعذيب </w:t>
      </w:r>
      <w:r w:rsidRPr="00D768BF">
        <w:rPr>
          <w:rFonts w:hint="cs"/>
          <w:rtl/>
          <w:lang w:val="fr-CH"/>
        </w:rPr>
        <w:t>عند عودته إلى بنغلاديش. وأضافت بأن الشكوى مغرِقة في الغموض وتفتقر إلى الدقة وإلى تفاصيل بشأن نقاط هامة إلى درجة لا تسمح بالنظر في أسسها الموضوعية.</w:t>
      </w:r>
    </w:p>
    <w:p w:rsidR="00FB1C4A" w:rsidRPr="00D768BF" w:rsidRDefault="00FB1C4A" w:rsidP="00FB1C4A">
      <w:pPr>
        <w:pStyle w:val="SingleTxtGA"/>
        <w:rPr>
          <w:rFonts w:hint="cs"/>
          <w:rtl/>
          <w:lang w:val="fr-CH"/>
        </w:rPr>
      </w:pPr>
      <w:r w:rsidRPr="00D768BF">
        <w:rPr>
          <w:rFonts w:hint="cs"/>
          <w:rtl/>
          <w:lang w:val="fr-CH"/>
        </w:rPr>
        <w:t>4-7</w:t>
      </w:r>
      <w:r w:rsidRPr="00D768BF">
        <w:rPr>
          <w:rFonts w:hint="cs"/>
          <w:rtl/>
          <w:lang w:val="fr-CH"/>
        </w:rPr>
        <w:tab/>
        <w:t xml:space="preserve">وقد تغير الوضع السياسي في بنغلاديش منذ أن غادر صاحب الشكوى ذلك البلد. فحسب صاحب الشكوى، كان الحزب الحاكم آنذاك، وهو حزب بنغلاديش الوطني، من يضطهده ومن بدأ بتوجيه اتهامات كاذبة إليه. وقدم صاحب الشكوى رسالة غير مؤرخة من </w:t>
      </w:r>
      <w:proofErr w:type="spellStart"/>
      <w:r w:rsidRPr="00D768BF">
        <w:rPr>
          <w:rFonts w:hint="cs"/>
          <w:rtl/>
          <w:lang w:val="fr-CH"/>
        </w:rPr>
        <w:t>ماهي</w:t>
      </w:r>
      <w:proofErr w:type="spellEnd"/>
      <w:r w:rsidRPr="00D768BF">
        <w:rPr>
          <w:rFonts w:hint="cs"/>
          <w:rtl/>
          <w:lang w:val="fr-CH"/>
        </w:rPr>
        <w:t xml:space="preserve"> </w:t>
      </w:r>
      <w:proofErr w:type="spellStart"/>
      <w:r w:rsidRPr="00D768BF">
        <w:rPr>
          <w:rFonts w:hint="cs"/>
          <w:rtl/>
          <w:lang w:val="fr-CH"/>
        </w:rPr>
        <w:t>شاودهوري</w:t>
      </w:r>
      <w:proofErr w:type="spellEnd"/>
      <w:r w:rsidRPr="00D768BF">
        <w:rPr>
          <w:rFonts w:hint="cs"/>
          <w:rtl/>
          <w:lang w:val="fr-CH"/>
        </w:rPr>
        <w:t xml:space="preserve"> قال فيها إنه موضوع تهديد من أفراد في الحزب الحاكم في بنغلاديش. بيد أن حزب بنغلاديش الوطني لم يعد الحزب الحاكم في بنغلاديش. فالبلد في الوقت الحاضر تسيّره حكومة انتقالية وسيستمر الوضع </w:t>
      </w:r>
      <w:r>
        <w:rPr>
          <w:rFonts w:hint="cs"/>
          <w:rtl/>
          <w:lang w:val="fr-CH"/>
        </w:rPr>
        <w:t xml:space="preserve">على هذا النحو </w:t>
      </w:r>
      <w:r w:rsidRPr="00D768BF">
        <w:rPr>
          <w:rFonts w:hint="cs"/>
          <w:rtl/>
          <w:lang w:val="fr-CH"/>
        </w:rPr>
        <w:t>إلى حين عقد انتخابات عامة. ولأن حزب بنغلاديش الوطني لم يعد في الوضع الذي كان فيه عندما غادر صاحب الشكوى البلد، فمن المرجح أن يكون احتمال تعرضه للمضايقة من قبل السلطات بتحريض من ذلك الحزب قد تراجع بشكل كبير.</w:t>
      </w:r>
    </w:p>
    <w:p w:rsidR="00FB1C4A" w:rsidRPr="00D768BF" w:rsidRDefault="00FB1C4A" w:rsidP="00452B42">
      <w:pPr>
        <w:pStyle w:val="SingleTxtGA"/>
        <w:rPr>
          <w:rFonts w:hint="cs"/>
          <w:rtl/>
          <w:lang w:val="fr-CH"/>
        </w:rPr>
      </w:pPr>
      <w:r w:rsidRPr="00D768BF">
        <w:rPr>
          <w:rFonts w:hint="cs"/>
          <w:rtl/>
          <w:lang w:val="fr-CH"/>
        </w:rPr>
        <w:t>4-8</w:t>
      </w:r>
      <w:r w:rsidRPr="00D768BF">
        <w:rPr>
          <w:rFonts w:hint="cs"/>
          <w:rtl/>
          <w:lang w:val="fr-CH"/>
        </w:rPr>
        <w:tab/>
        <w:t>وتضيف الدولة الطرف بأن صاحب الشكوى لم يقدم أي مستند يؤيد ادعاءه بأنه لا</w:t>
      </w:r>
      <w:r w:rsidR="00452B42">
        <w:rPr>
          <w:rFonts w:hint="eastAsia"/>
          <w:rtl/>
          <w:lang w:val="fr-CH"/>
        </w:rPr>
        <w:t> </w:t>
      </w:r>
      <w:r w:rsidRPr="00D768BF">
        <w:rPr>
          <w:rFonts w:hint="cs"/>
          <w:rtl/>
          <w:lang w:val="fr-CH"/>
        </w:rPr>
        <w:t>يز</w:t>
      </w:r>
      <w:r>
        <w:rPr>
          <w:rFonts w:hint="cs"/>
          <w:rtl/>
          <w:lang w:val="fr-CH"/>
        </w:rPr>
        <w:t>ال في الوقت الحالي موضع اهتمام ا</w:t>
      </w:r>
      <w:r w:rsidRPr="00D768BF">
        <w:rPr>
          <w:rFonts w:hint="cs"/>
          <w:rtl/>
          <w:lang w:val="fr-CH"/>
        </w:rPr>
        <w:t xml:space="preserve">لسلطات </w:t>
      </w:r>
      <w:proofErr w:type="spellStart"/>
      <w:r w:rsidRPr="00D768BF">
        <w:rPr>
          <w:rFonts w:hint="cs"/>
          <w:rtl/>
          <w:lang w:val="fr-CH"/>
        </w:rPr>
        <w:t>البنغلاديشية</w:t>
      </w:r>
      <w:proofErr w:type="spellEnd"/>
      <w:r w:rsidRPr="00D768BF">
        <w:rPr>
          <w:rFonts w:hint="cs"/>
          <w:rtl/>
          <w:lang w:val="fr-CH"/>
        </w:rPr>
        <w:t xml:space="preserve"> بسبب نشاطه السياسي أو لأي سبب آخر، ما عدا الرسالة المذكورة أعلاه من </w:t>
      </w:r>
      <w:proofErr w:type="spellStart"/>
      <w:r w:rsidRPr="00D768BF">
        <w:rPr>
          <w:rFonts w:hint="cs"/>
          <w:rtl/>
          <w:lang w:val="fr-CH"/>
        </w:rPr>
        <w:t>ماهي</w:t>
      </w:r>
      <w:proofErr w:type="spellEnd"/>
      <w:r w:rsidRPr="00D768BF">
        <w:rPr>
          <w:rFonts w:hint="cs"/>
          <w:rtl/>
          <w:lang w:val="fr-CH"/>
        </w:rPr>
        <w:t xml:space="preserve"> </w:t>
      </w:r>
      <w:proofErr w:type="spellStart"/>
      <w:r w:rsidRPr="00D768BF">
        <w:rPr>
          <w:rFonts w:hint="cs"/>
          <w:rtl/>
          <w:lang w:val="fr-CH"/>
        </w:rPr>
        <w:t>شاودهوري</w:t>
      </w:r>
      <w:proofErr w:type="spellEnd"/>
      <w:r w:rsidRPr="00D768BF">
        <w:rPr>
          <w:rFonts w:hint="cs"/>
          <w:rtl/>
          <w:lang w:val="fr-CH"/>
        </w:rPr>
        <w:t>. وأثناء المقابلة الثانية مع سلطات الهجرة، قال صاحب الشكوى إنه لا توجد بحوزته مستندات تتعلق بالاتهامات الكاذبة ضده. وقال كذلك إنه لم ي</w:t>
      </w:r>
      <w:r>
        <w:rPr>
          <w:rFonts w:hint="cs"/>
          <w:rtl/>
          <w:lang w:val="fr-CH"/>
        </w:rPr>
        <w:t>ت</w:t>
      </w:r>
      <w:r w:rsidRPr="00D768BF">
        <w:rPr>
          <w:rFonts w:hint="cs"/>
          <w:rtl/>
          <w:lang w:val="fr-CH"/>
        </w:rPr>
        <w:t xml:space="preserve">قدم </w:t>
      </w:r>
      <w:r>
        <w:rPr>
          <w:rFonts w:hint="cs"/>
          <w:rtl/>
          <w:lang w:val="fr-CH"/>
        </w:rPr>
        <w:t>ب</w:t>
      </w:r>
      <w:r w:rsidRPr="00D768BF">
        <w:rPr>
          <w:rFonts w:hint="cs"/>
          <w:rtl/>
          <w:lang w:val="fr-CH"/>
        </w:rPr>
        <w:t>أي شكوى ضد أفراد الشرطة الذين أساءوا معاملته، كما لم يقدم أي تفاصيل أو معلومات أخرى بشأن الوضع الحالي فيما يخص الاتهامات المزعومة. وجادل بالقول إنه يستحيل عليه الحصول على أي إثباتات ما دام التحقيق التمهيدي جارياً. غير أن الدولة الطرف تحتج بأن صاحب الشكوى قال، أثناء الجلسة التي عقدها مجلس الهجرة، إنه قد عُرضت عليه وثيقة أثناء وجوده في مصحةٍ في دك</w:t>
      </w:r>
      <w:r>
        <w:rPr>
          <w:rFonts w:hint="cs"/>
          <w:rtl/>
          <w:lang w:val="fr-CH"/>
        </w:rPr>
        <w:t>ّ</w:t>
      </w:r>
      <w:r w:rsidRPr="00D768BF">
        <w:rPr>
          <w:rFonts w:hint="cs"/>
          <w:rtl/>
          <w:lang w:val="fr-CH"/>
        </w:rPr>
        <w:t xml:space="preserve">ا </w:t>
      </w:r>
      <w:r>
        <w:rPr>
          <w:rFonts w:hint="cs"/>
          <w:rtl/>
          <w:lang w:val="fr-CH"/>
        </w:rPr>
        <w:t xml:space="preserve">كانت </w:t>
      </w:r>
      <w:r w:rsidRPr="00D768BF">
        <w:rPr>
          <w:rFonts w:hint="cs"/>
          <w:rtl/>
          <w:lang w:val="fr-CH"/>
        </w:rPr>
        <w:t>تتضمن قائمةً بأسماء الأشخاص المشتبه فيهم ومن ضمنها اسمه. وتمكّن كذلك من الحصول على مستندات أخرى من بنغلاديش ادّعى أنها من نفس الشخص الذي عرض عليه القائمة السالفة الذكر. لذلك، فقد كان هناك تساؤ</w:t>
      </w:r>
      <w:r>
        <w:rPr>
          <w:rFonts w:hint="cs"/>
          <w:rtl/>
          <w:lang w:val="fr-CH"/>
        </w:rPr>
        <w:t xml:space="preserve">ل بشأن </w:t>
      </w:r>
      <w:r w:rsidRPr="00D768BF">
        <w:rPr>
          <w:rFonts w:hint="cs"/>
          <w:rtl/>
          <w:lang w:val="fr-CH"/>
        </w:rPr>
        <w:t xml:space="preserve">سبب </w:t>
      </w:r>
      <w:r>
        <w:rPr>
          <w:rFonts w:hint="cs"/>
          <w:rtl/>
          <w:lang w:val="fr-CH"/>
        </w:rPr>
        <w:t>ا</w:t>
      </w:r>
      <w:r w:rsidRPr="00D768BF">
        <w:rPr>
          <w:rFonts w:hint="cs"/>
          <w:rtl/>
          <w:lang w:val="fr-CH"/>
        </w:rPr>
        <w:t>ستح</w:t>
      </w:r>
      <w:r>
        <w:rPr>
          <w:rFonts w:hint="cs"/>
          <w:rtl/>
          <w:lang w:val="fr-CH"/>
        </w:rPr>
        <w:t>الة</w:t>
      </w:r>
      <w:r w:rsidRPr="00D768BF">
        <w:rPr>
          <w:rFonts w:hint="cs"/>
          <w:rtl/>
          <w:lang w:val="fr-CH"/>
        </w:rPr>
        <w:t xml:space="preserve"> حصوله على إثباتات </w:t>
      </w:r>
      <w:r>
        <w:rPr>
          <w:rFonts w:hint="cs"/>
          <w:rtl/>
          <w:lang w:val="fr-CH"/>
        </w:rPr>
        <w:t>للقضايا التي ي</w:t>
      </w:r>
      <w:r w:rsidRPr="00D768BF">
        <w:rPr>
          <w:rFonts w:hint="cs"/>
          <w:rtl/>
          <w:lang w:val="fr-CH"/>
        </w:rPr>
        <w:t>زعم</w:t>
      </w:r>
      <w:r>
        <w:rPr>
          <w:rFonts w:hint="cs"/>
          <w:rtl/>
          <w:lang w:val="fr-CH"/>
        </w:rPr>
        <w:t xml:space="preserve"> أنها مرفوعة عليه</w:t>
      </w:r>
      <w:r w:rsidRPr="00D768BF">
        <w:rPr>
          <w:rFonts w:hint="cs"/>
          <w:rtl/>
          <w:lang w:val="fr-CH"/>
        </w:rPr>
        <w:t>.</w:t>
      </w:r>
    </w:p>
    <w:p w:rsidR="00FB1C4A" w:rsidRPr="00D768BF" w:rsidRDefault="00FB1C4A" w:rsidP="00FB1C4A">
      <w:pPr>
        <w:pStyle w:val="SingleTxtGA"/>
        <w:rPr>
          <w:rFonts w:hint="cs"/>
          <w:rtl/>
          <w:lang w:val="fr-CH"/>
        </w:rPr>
      </w:pPr>
      <w:r w:rsidRPr="00D768BF">
        <w:rPr>
          <w:rFonts w:hint="cs"/>
          <w:rtl/>
          <w:lang w:val="fr-CH"/>
        </w:rPr>
        <w:t>4-9</w:t>
      </w:r>
      <w:r w:rsidRPr="00D768BF">
        <w:rPr>
          <w:rFonts w:hint="cs"/>
          <w:rtl/>
          <w:lang w:val="fr-CH"/>
        </w:rPr>
        <w:tab/>
        <w:t xml:space="preserve">وأحالت الدولة الطرف كذلك إلى قرارات صادرة عن مجلس الهجرة وعن </w:t>
      </w:r>
      <w:r>
        <w:rPr>
          <w:rFonts w:hint="cs"/>
          <w:rtl/>
          <w:lang w:val="fr-CH"/>
        </w:rPr>
        <w:t>ال</w:t>
      </w:r>
      <w:r w:rsidRPr="00D768BF">
        <w:rPr>
          <w:rFonts w:hint="cs"/>
          <w:rtl/>
          <w:lang w:val="fr-CH"/>
        </w:rPr>
        <w:t>محكمة</w:t>
      </w:r>
      <w:r>
        <w:rPr>
          <w:rFonts w:hint="cs"/>
          <w:rtl/>
          <w:lang w:val="fr-CH"/>
        </w:rPr>
        <w:t xml:space="preserve"> الخاصة بقضايا</w:t>
      </w:r>
      <w:r w:rsidRPr="00D768BF">
        <w:rPr>
          <w:rFonts w:hint="cs"/>
          <w:rtl/>
          <w:lang w:val="fr-CH"/>
        </w:rPr>
        <w:t xml:space="preserve"> الهجرة مفادها أن صاحب الشكوى لم يكن يشغل، على ما يبدو، أي منصب قيادي داخل الحزب</w:t>
      </w:r>
      <w:r>
        <w:rPr>
          <w:rFonts w:hint="cs"/>
          <w:rtl/>
          <w:lang w:val="fr-CH"/>
        </w:rPr>
        <w:t>.</w:t>
      </w:r>
      <w:r w:rsidRPr="00D768BF">
        <w:rPr>
          <w:rFonts w:hint="cs"/>
          <w:rtl/>
          <w:lang w:val="fr-CH"/>
        </w:rPr>
        <w:t xml:space="preserve"> وهي تحتج بالقول إنه بسبب قِصر فترة نشاطه السياسي (أقل من سنة) و</w:t>
      </w:r>
      <w:r>
        <w:rPr>
          <w:rFonts w:hint="cs"/>
          <w:rtl/>
          <w:lang w:val="fr-CH"/>
        </w:rPr>
        <w:t>قصر</w:t>
      </w:r>
      <w:r w:rsidRPr="00D768BF">
        <w:rPr>
          <w:rFonts w:hint="cs"/>
          <w:rtl/>
          <w:lang w:val="fr-CH"/>
        </w:rPr>
        <w:t xml:space="preserve"> المدة التي انقضت منذ انتهاء نشاطه السياسي ومنذ أعمال التعذيب المزعومة، فإن صاحب الشكوى ليس شخصية سياسية بارزة تحظى بأهمية لدى السلطات </w:t>
      </w:r>
      <w:r>
        <w:rPr>
          <w:rFonts w:hint="cs"/>
          <w:rtl/>
          <w:lang w:val="fr-CH"/>
        </w:rPr>
        <w:t>أ</w:t>
      </w:r>
      <w:r w:rsidRPr="00D768BF">
        <w:rPr>
          <w:rFonts w:hint="cs"/>
          <w:rtl/>
          <w:lang w:val="fr-CH"/>
        </w:rPr>
        <w:t>و</w:t>
      </w:r>
      <w:r>
        <w:rPr>
          <w:rFonts w:hint="cs"/>
          <w:rtl/>
          <w:lang w:val="fr-CH"/>
        </w:rPr>
        <w:t xml:space="preserve"> ب</w:t>
      </w:r>
      <w:r w:rsidRPr="00D768BF">
        <w:rPr>
          <w:rFonts w:hint="cs"/>
          <w:rtl/>
          <w:lang w:val="fr-CH"/>
        </w:rPr>
        <w:t>اهتمام منها يدفعان للاعتقاد بأنه سيتعرض لخطر الاضطهاد لدى عودته. فقد انضم حزب صاحب الشكوى السابق إلى الحزب الليبرالي الديمقراطي وانتهى من الوجود. وفي حال وجود خطر اضطهاد حتى الآن، فإنه سيكون خطراً محلياً ولهذا السبب، سيكون بإمكان صاحب الشكوى على أي حال أن يضمن سلامته بالانتقال للعيش في منطقة أخرى من البلد.</w:t>
      </w:r>
    </w:p>
    <w:p w:rsidR="00FB1C4A" w:rsidRPr="00D768BF" w:rsidRDefault="00FB1C4A" w:rsidP="00FB1C4A">
      <w:pPr>
        <w:pStyle w:val="SingleTxtGA"/>
        <w:rPr>
          <w:rFonts w:hint="cs"/>
          <w:rtl/>
          <w:lang w:val="fr-CH"/>
        </w:rPr>
      </w:pPr>
      <w:r w:rsidRPr="00D768BF">
        <w:rPr>
          <w:rFonts w:hint="cs"/>
          <w:rtl/>
          <w:lang w:val="fr-CH"/>
        </w:rPr>
        <w:t>4-10</w:t>
      </w:r>
      <w:r w:rsidRPr="00D768BF">
        <w:rPr>
          <w:rFonts w:hint="cs"/>
          <w:rtl/>
          <w:lang w:val="fr-CH"/>
        </w:rPr>
        <w:tab/>
        <w:t>وفيما يخص تجربة التعذيب التي مر بها صاحب الشكوى في الماضي، أشارت الدولة الطرف إلى أن مجلس الهجرة رفض طلبه إجراء فحص للاط</w:t>
      </w:r>
      <w:r>
        <w:rPr>
          <w:rFonts w:hint="cs"/>
          <w:rtl/>
          <w:lang w:val="fr-CH"/>
        </w:rPr>
        <w:t>ّ</w:t>
      </w:r>
      <w:r w:rsidRPr="00D768BF">
        <w:rPr>
          <w:rFonts w:hint="cs"/>
          <w:rtl/>
          <w:lang w:val="fr-CH"/>
        </w:rPr>
        <w:t>لاع على آثار التعذيب. و</w:t>
      </w:r>
      <w:r>
        <w:rPr>
          <w:rFonts w:hint="cs"/>
          <w:rtl/>
          <w:lang w:val="fr-CH"/>
        </w:rPr>
        <w:t xml:space="preserve">هي </w:t>
      </w:r>
      <w:r w:rsidRPr="00D768BF">
        <w:rPr>
          <w:rFonts w:hint="cs"/>
          <w:rtl/>
          <w:lang w:val="fr-CH"/>
        </w:rPr>
        <w:t xml:space="preserve">تحتج بالقول إنه، على ما يبدو، لم يلح </w:t>
      </w:r>
      <w:r>
        <w:rPr>
          <w:rFonts w:hint="cs"/>
          <w:rtl/>
          <w:lang w:val="fr-CH"/>
        </w:rPr>
        <w:t>في طلب</w:t>
      </w:r>
      <w:r w:rsidRPr="00D768BF">
        <w:rPr>
          <w:rFonts w:hint="cs"/>
          <w:rtl/>
          <w:lang w:val="fr-CH"/>
        </w:rPr>
        <w:t xml:space="preserve"> إجراء الفحص بعد ذلك كما لم يبادر إلى تقديم أي مستندات تثبت أن الإصابات المزعومة ناتجة عن التعذيب. وتركّز الوثائق الطبية التي قدمها صاحب الشكوى</w:t>
      </w:r>
      <w:r>
        <w:rPr>
          <w:rFonts w:hint="cs"/>
          <w:rtl/>
          <w:lang w:val="fr-CH"/>
        </w:rPr>
        <w:t xml:space="preserve"> إ</w:t>
      </w:r>
      <w:r w:rsidRPr="00D768BF">
        <w:rPr>
          <w:rFonts w:hint="cs"/>
          <w:rtl/>
          <w:lang w:val="fr-CH"/>
        </w:rPr>
        <w:t>ل</w:t>
      </w:r>
      <w:r>
        <w:rPr>
          <w:rFonts w:hint="cs"/>
          <w:rtl/>
          <w:lang w:val="fr-CH"/>
        </w:rPr>
        <w:t xml:space="preserve">ى </w:t>
      </w:r>
      <w:r w:rsidRPr="00D768BF">
        <w:rPr>
          <w:rFonts w:hint="cs"/>
          <w:rtl/>
          <w:lang w:val="fr-CH"/>
        </w:rPr>
        <w:t>كل من سلطات الهجرة السويدية واللجنة على صحة صاحب الشكوى العقلية باستثناء شهاد</w:t>
      </w:r>
      <w:r>
        <w:rPr>
          <w:rFonts w:hint="cs"/>
          <w:rtl/>
          <w:lang w:val="fr-CH"/>
        </w:rPr>
        <w:t>اتي</w:t>
      </w:r>
      <w:r w:rsidRPr="00D768BF">
        <w:rPr>
          <w:rFonts w:hint="cs"/>
          <w:rtl/>
          <w:lang w:val="fr-CH"/>
        </w:rPr>
        <w:t xml:space="preserve"> الخروج من مستشفى دكا اللتين تثبتان حدوث "جروح بأدوات حادة وتمزُّق في الشرج". وتحيل الدولة إلى قرارات اللجنة السابقة وتقول إن الهدف من نظر اللجنة في الشكوى هو إثبات ما إذا كان صاحب الشكوى سيتعرض شخصياً لخطر التعذيب إذا أعيد إلى بلده. وتؤكد أنه إذا كانت اللجنة ترى أن تعر</w:t>
      </w:r>
      <w:r>
        <w:rPr>
          <w:rFonts w:hint="cs"/>
          <w:rtl/>
          <w:lang w:val="fr-CH"/>
        </w:rPr>
        <w:t>ُّ</w:t>
      </w:r>
      <w:r w:rsidRPr="00D768BF">
        <w:rPr>
          <w:rFonts w:hint="cs"/>
          <w:rtl/>
          <w:lang w:val="fr-CH"/>
        </w:rPr>
        <w:t xml:space="preserve">ض صاحب الشكوى للتعذيب على يد الشرطة </w:t>
      </w:r>
      <w:proofErr w:type="spellStart"/>
      <w:r w:rsidRPr="00D768BF">
        <w:rPr>
          <w:rFonts w:hint="cs"/>
          <w:rtl/>
          <w:lang w:val="fr-CH"/>
        </w:rPr>
        <w:t>البنغلاديشية</w:t>
      </w:r>
      <w:proofErr w:type="spellEnd"/>
      <w:r w:rsidRPr="00D768BF">
        <w:rPr>
          <w:rFonts w:hint="cs"/>
          <w:rtl/>
          <w:lang w:val="fr-CH"/>
        </w:rPr>
        <w:t xml:space="preserve"> على النحو الذي ذكره أمر </w:t>
      </w:r>
      <w:r>
        <w:rPr>
          <w:rFonts w:hint="cs"/>
          <w:rtl/>
          <w:lang w:val="fr-CH"/>
        </w:rPr>
        <w:t>م</w:t>
      </w:r>
      <w:r w:rsidRPr="00D768BF">
        <w:rPr>
          <w:rFonts w:hint="cs"/>
          <w:rtl/>
          <w:lang w:val="fr-CH"/>
        </w:rPr>
        <w:t>ثب</w:t>
      </w:r>
      <w:r>
        <w:rPr>
          <w:rFonts w:hint="cs"/>
          <w:rtl/>
          <w:lang w:val="fr-CH"/>
        </w:rPr>
        <w:t>َ</w:t>
      </w:r>
      <w:r w:rsidRPr="00D768BF">
        <w:rPr>
          <w:rFonts w:hint="cs"/>
          <w:rtl/>
          <w:lang w:val="fr-CH"/>
        </w:rPr>
        <w:t>ت، فإن هذا</w:t>
      </w:r>
      <w:r w:rsidR="008A28B7">
        <w:rPr>
          <w:rFonts w:hint="cs"/>
          <w:rtl/>
          <w:lang w:val="fr-CH"/>
        </w:rPr>
        <w:t xml:space="preserve"> لا </w:t>
      </w:r>
      <w:r w:rsidRPr="00D768BF">
        <w:rPr>
          <w:rFonts w:hint="cs"/>
          <w:rtl/>
          <w:lang w:val="fr-CH"/>
        </w:rPr>
        <w:t>يعني أنه قد أثبت بذلك ادعاءه بأنه سيتعرض للتعذيب إذا ما أُعيد إلى بلده الأصلي.</w:t>
      </w:r>
    </w:p>
    <w:p w:rsidR="00FB1C4A" w:rsidRPr="00D768BF" w:rsidRDefault="00FB1C4A" w:rsidP="00452B42">
      <w:pPr>
        <w:pStyle w:val="SingleTxtGA"/>
        <w:rPr>
          <w:rFonts w:hint="cs"/>
          <w:rtl/>
          <w:lang w:val="fr-CH"/>
        </w:rPr>
      </w:pPr>
      <w:r w:rsidRPr="00D768BF">
        <w:rPr>
          <w:rFonts w:hint="cs"/>
          <w:rtl/>
          <w:lang w:val="fr-CH"/>
        </w:rPr>
        <w:t>4-11</w:t>
      </w:r>
      <w:r w:rsidRPr="00D768BF">
        <w:rPr>
          <w:rFonts w:hint="cs"/>
          <w:rtl/>
          <w:lang w:val="fr-CH"/>
        </w:rPr>
        <w:tab/>
        <w:t xml:space="preserve">وتحيل الدولة الطرف إلى </w:t>
      </w:r>
      <w:r>
        <w:rPr>
          <w:rFonts w:hint="cs"/>
          <w:rtl/>
          <w:lang w:val="fr-CH"/>
        </w:rPr>
        <w:t>ربط</w:t>
      </w:r>
      <w:r w:rsidRPr="00D768BF">
        <w:rPr>
          <w:rFonts w:hint="cs"/>
          <w:rtl/>
          <w:lang w:val="fr-CH"/>
        </w:rPr>
        <w:t xml:space="preserve"> </w:t>
      </w:r>
      <w:r>
        <w:rPr>
          <w:rFonts w:hint="cs"/>
          <w:rtl/>
          <w:lang w:val="fr-CH"/>
        </w:rPr>
        <w:t>ال</w:t>
      </w:r>
      <w:r w:rsidRPr="00D768BF">
        <w:rPr>
          <w:rFonts w:hint="cs"/>
          <w:rtl/>
          <w:lang w:val="fr-CH"/>
        </w:rPr>
        <w:t xml:space="preserve">محكمة </w:t>
      </w:r>
      <w:r>
        <w:rPr>
          <w:rFonts w:hint="cs"/>
          <w:rtl/>
          <w:lang w:val="fr-CH"/>
        </w:rPr>
        <w:t xml:space="preserve">الخاصة بقضايا </w:t>
      </w:r>
      <w:r w:rsidRPr="00D768BF">
        <w:rPr>
          <w:rFonts w:hint="cs"/>
          <w:rtl/>
          <w:lang w:val="fr-CH"/>
        </w:rPr>
        <w:t>الهجرة بين الميل الجنسي لصاحب الشكوى ومعرفة أسرته بهذا الأمر. فقد كان على علاقة</w:t>
      </w:r>
      <w:r>
        <w:rPr>
          <w:rFonts w:hint="cs"/>
          <w:rtl/>
          <w:lang w:val="fr-CH"/>
        </w:rPr>
        <w:t>ٍ</w:t>
      </w:r>
      <w:r w:rsidRPr="00D768BF">
        <w:rPr>
          <w:rFonts w:hint="cs"/>
          <w:rtl/>
          <w:lang w:val="fr-CH"/>
        </w:rPr>
        <w:t xml:space="preserve"> بخليله منذ عام 1997 وكانا يعيشان معاً في منزله. وقال إنه لم يكن أحد يجد غرابة</w:t>
      </w:r>
      <w:r>
        <w:rPr>
          <w:rFonts w:hint="cs"/>
          <w:rtl/>
          <w:lang w:val="fr-CH"/>
        </w:rPr>
        <w:t>ً</w:t>
      </w:r>
      <w:r w:rsidRPr="00D768BF">
        <w:rPr>
          <w:rFonts w:hint="cs"/>
          <w:rtl/>
          <w:lang w:val="fr-CH"/>
        </w:rPr>
        <w:t xml:space="preserve"> في ذلك إذ إن عيش رجلين في منزل واحد ليس أمراً عجيباً. وتتساءل </w:t>
      </w:r>
      <w:r>
        <w:rPr>
          <w:rFonts w:hint="cs"/>
          <w:rtl/>
          <w:lang w:val="fr-CH"/>
        </w:rPr>
        <w:t xml:space="preserve">الدولة الطرف </w:t>
      </w:r>
      <w:r w:rsidRPr="00D768BF">
        <w:rPr>
          <w:rFonts w:hint="cs"/>
          <w:rtl/>
          <w:lang w:val="fr-CH"/>
        </w:rPr>
        <w:t xml:space="preserve">كيف أمكنه أن يكتم ميله الجنسي عن أسرته وقد عاش فترة طويلة مرتبطاً برجل آخر. وتقول إن العلاقات المثلية غير مشروعة في بنغلاديش بموجب قانون العقوبات </w:t>
      </w:r>
      <w:proofErr w:type="spellStart"/>
      <w:r w:rsidRPr="00D768BF">
        <w:rPr>
          <w:rFonts w:hint="cs"/>
          <w:rtl/>
          <w:lang w:val="fr-CH"/>
        </w:rPr>
        <w:t>البنغلاديشي</w:t>
      </w:r>
      <w:proofErr w:type="spellEnd"/>
      <w:r w:rsidRPr="00D768BF">
        <w:rPr>
          <w:rFonts w:hint="cs"/>
          <w:rtl/>
          <w:lang w:val="fr-CH"/>
        </w:rPr>
        <w:t>. وقد تبلغ العقوبة عليها السجن مدى الحياة. غير أنه نادراً ما يلاحَق شخص بموجب هذه المادة من القانون،</w:t>
      </w:r>
      <w:r w:rsidRPr="00781FD8">
        <w:rPr>
          <w:rFonts w:hint="cs"/>
          <w:rtl/>
          <w:lang w:val="fr-CH"/>
        </w:rPr>
        <w:t xml:space="preserve"> </w:t>
      </w:r>
      <w:r w:rsidRPr="00D768BF">
        <w:rPr>
          <w:rFonts w:hint="cs"/>
          <w:rtl/>
          <w:lang w:val="fr-CH"/>
        </w:rPr>
        <w:t>حسب المعلومات الواردة في التقارير عن حقوق الإنسان في بنغلاديش. وتضيف أيضاً بأن تقارير عن حقوق الإنسان لا</w:t>
      </w:r>
      <w:r w:rsidR="00452B42">
        <w:rPr>
          <w:rFonts w:hint="eastAsia"/>
          <w:rtl/>
          <w:lang w:val="fr-CH"/>
        </w:rPr>
        <w:t> </w:t>
      </w:r>
      <w:r w:rsidRPr="00D768BF">
        <w:rPr>
          <w:rFonts w:hint="cs"/>
          <w:rtl/>
          <w:lang w:val="fr-CH"/>
        </w:rPr>
        <w:t xml:space="preserve">تؤيد الاستنتاج بأن السلطات </w:t>
      </w:r>
      <w:proofErr w:type="spellStart"/>
      <w:r w:rsidRPr="00D768BF">
        <w:rPr>
          <w:rFonts w:hint="cs"/>
          <w:rtl/>
          <w:lang w:val="fr-CH"/>
        </w:rPr>
        <w:t>البنغلاديشية</w:t>
      </w:r>
      <w:proofErr w:type="spellEnd"/>
      <w:r w:rsidRPr="00D768BF">
        <w:rPr>
          <w:rFonts w:hint="cs"/>
          <w:rtl/>
          <w:lang w:val="fr-CH"/>
        </w:rPr>
        <w:t xml:space="preserve"> تضطهد المثليين بشكل نشيط أو بأن هناك حاجة بشكل عام إلى حماية المثليين من طالبي اللجوء </w:t>
      </w:r>
      <w:proofErr w:type="spellStart"/>
      <w:r w:rsidRPr="00D768BF">
        <w:rPr>
          <w:rFonts w:hint="cs"/>
          <w:rtl/>
          <w:lang w:val="fr-CH"/>
        </w:rPr>
        <w:t>البنغلاديشيين</w:t>
      </w:r>
      <w:proofErr w:type="spellEnd"/>
      <w:r w:rsidRPr="00D768BF">
        <w:rPr>
          <w:rFonts w:hint="cs"/>
          <w:rtl/>
          <w:lang w:val="fr-CH"/>
        </w:rPr>
        <w:t xml:space="preserve">. وأكبر مشكلة يواجهها </w:t>
      </w:r>
      <w:proofErr w:type="spellStart"/>
      <w:r w:rsidRPr="00D768BF">
        <w:rPr>
          <w:rFonts w:hint="cs"/>
          <w:rtl/>
          <w:lang w:val="fr-CH"/>
        </w:rPr>
        <w:t>المثليون</w:t>
      </w:r>
      <w:proofErr w:type="spellEnd"/>
      <w:r w:rsidRPr="00D768BF">
        <w:rPr>
          <w:rFonts w:hint="cs"/>
          <w:rtl/>
          <w:lang w:val="fr-CH"/>
        </w:rPr>
        <w:t xml:space="preserve"> هي الوصم الاجتماعي الذي يلاحقهم والأشخاص</w:t>
      </w:r>
      <w:r>
        <w:rPr>
          <w:rFonts w:hint="cs"/>
          <w:rtl/>
          <w:lang w:val="fr-CH"/>
        </w:rPr>
        <w:t>َ</w:t>
      </w:r>
      <w:r w:rsidRPr="00D768BF">
        <w:rPr>
          <w:rFonts w:hint="cs"/>
          <w:rtl/>
          <w:lang w:val="fr-CH"/>
        </w:rPr>
        <w:t xml:space="preserve"> الآخرين الذين يعيشون على نحو يخالف أعراف المجتمع </w:t>
      </w:r>
      <w:proofErr w:type="spellStart"/>
      <w:r w:rsidRPr="00D768BF">
        <w:rPr>
          <w:rFonts w:hint="cs"/>
          <w:rtl/>
          <w:lang w:val="fr-CH"/>
        </w:rPr>
        <w:t>البنغلاديشي</w:t>
      </w:r>
      <w:proofErr w:type="spellEnd"/>
      <w:r w:rsidRPr="00D768BF">
        <w:rPr>
          <w:rFonts w:hint="cs"/>
          <w:rtl/>
          <w:lang w:val="fr-CH"/>
        </w:rPr>
        <w:t xml:space="preserve">. ولم يقدم صاحب الشكوى أي وثائق تؤيد ادعاءه ولم يبرهن بأي وسيلة أخرى على ادعائه أنه في الوقت الحالي موضع اهتمام من السلطات </w:t>
      </w:r>
      <w:proofErr w:type="spellStart"/>
      <w:r w:rsidRPr="00D768BF">
        <w:rPr>
          <w:rFonts w:hint="cs"/>
          <w:rtl/>
          <w:lang w:val="fr-CH"/>
        </w:rPr>
        <w:t>البنغلاديشية</w:t>
      </w:r>
      <w:proofErr w:type="spellEnd"/>
      <w:r w:rsidRPr="00D768BF">
        <w:rPr>
          <w:rFonts w:hint="cs"/>
          <w:rtl/>
          <w:lang w:val="fr-CH"/>
        </w:rPr>
        <w:t xml:space="preserve"> بسبب ميله الجنسي. غير أنه إذا كان موضع اهتمام بالنسبة للسلطات </w:t>
      </w:r>
      <w:proofErr w:type="spellStart"/>
      <w:r w:rsidRPr="00D768BF">
        <w:rPr>
          <w:rFonts w:hint="cs"/>
          <w:rtl/>
          <w:lang w:val="fr-CH"/>
        </w:rPr>
        <w:t>البنغلاديشية</w:t>
      </w:r>
      <w:proofErr w:type="spellEnd"/>
      <w:r w:rsidRPr="00D768BF">
        <w:rPr>
          <w:rFonts w:hint="cs"/>
          <w:rtl/>
          <w:lang w:val="fr-CH"/>
        </w:rPr>
        <w:t>، فبإمكانه على الأرجح أن يعيش ويعمل في مناطق أخرى من بنغلاديش لم يكن معروفاً فيها في السابق. أما الشهادة التي قدمها صاحب الشكوى والتي أصدرها الاتحاد السويدي لحقوق المثليات والمثليين جنسياً ومزدوجي الميل الجنسي ومغايري الهوية الجنسية فلا</w:t>
      </w:r>
      <w:r w:rsidR="00452B42">
        <w:rPr>
          <w:rFonts w:hint="eastAsia"/>
          <w:rtl/>
          <w:lang w:val="fr-CH"/>
        </w:rPr>
        <w:t> </w:t>
      </w:r>
      <w:r w:rsidRPr="00D768BF">
        <w:rPr>
          <w:rFonts w:hint="cs"/>
          <w:rtl/>
          <w:lang w:val="fr-CH"/>
        </w:rPr>
        <w:t>تُعتبر خبرةً ذات حجية كما يدعي صاحب الشكوى. ويسري هذا القول على الشهادة الأحدث عهداً الصادرة عن نفس الاتحاد بتاريخ كانون الثاني/يناير 2007 والتي قُدمت إلى اللجنة كذلك.</w:t>
      </w:r>
    </w:p>
    <w:p w:rsidR="00FB1C4A" w:rsidRPr="00D768BF" w:rsidRDefault="00FB1C4A" w:rsidP="00FB1C4A">
      <w:pPr>
        <w:pStyle w:val="SingleTxtGA"/>
        <w:rPr>
          <w:rFonts w:hint="cs"/>
          <w:rtl/>
          <w:lang w:val="fr-CH"/>
        </w:rPr>
      </w:pPr>
      <w:r w:rsidRPr="00D768BF">
        <w:rPr>
          <w:rFonts w:hint="cs"/>
          <w:rtl/>
          <w:lang w:val="fr-CH"/>
        </w:rPr>
        <w:t>4-12</w:t>
      </w:r>
      <w:r w:rsidRPr="00D768BF">
        <w:rPr>
          <w:rFonts w:hint="cs"/>
          <w:rtl/>
          <w:lang w:val="fr-CH"/>
        </w:rPr>
        <w:tab/>
        <w:t>وتؤكد الدولة الطرف أن صاحب الشكوى قدَّم ملصقاً عليه نص الفتوى التي صدرت في حقه تأييداً لادعائه بأنه مُعرَّض لخطر الاضطهاد أو حتى القتل على يدي أصوليين إسلاميين بسبب ميله الجنسي. ونُشِر الملصق الذي تظهر عليه الفتوى وصورة له في مناطق مختلفة لكنه لا يدري ما إذا كان الملصق قد نُشر في كل أرجاء البلد. وتؤكد الدولة الطرف أن حكومة بنغلاديش حكومة علمانية حتى لو كان الدين يشكِّل منطلَقاً لبعض الأحزاب السياسية وأن الشريعة لا تُطبَّق بشكل رسمي. وتشكك الدولة الطرف كذلك في احتمال أن يكون صاحب الشكوى موضع اهتمام الأصول الإسلاميين حالياً بالنظر إلى المدة الزمنية التي انقضت منذ مغادرته بنغلاديش. وحسب المعلومات المتوفرة عن بنغلاديش، ليس للفتوى قوة قانونية. بيد أن ذلك الخطر، في حال وجوده، سيكون ذا طابع محلي على الأرجح بحيث يمكن لصاحب الشكوى أن يضمن سلامته بالانتقال للعيش في منطقة أخرى من البلد. وتسلّم الدولة الطرف بأن مجلس الهجرة لم يأخذ الفتوى بعين الاعتبار ولكن صاحب الشكوى يجهل مدى انتشار تلك الفتوى وليس لديه ما يثبت انتشارها.</w:t>
      </w:r>
    </w:p>
    <w:p w:rsidR="00FB1C4A" w:rsidRPr="00D768BF" w:rsidRDefault="00FB1C4A" w:rsidP="00452B42">
      <w:pPr>
        <w:pStyle w:val="SingleTxtGA"/>
        <w:rPr>
          <w:rFonts w:hint="cs"/>
          <w:rtl/>
          <w:lang w:val="fr-CH"/>
        </w:rPr>
      </w:pPr>
      <w:r w:rsidRPr="00D768BF">
        <w:rPr>
          <w:rFonts w:hint="cs"/>
          <w:rtl/>
          <w:lang w:val="fr-CH"/>
        </w:rPr>
        <w:t>4-13</w:t>
      </w:r>
      <w:r w:rsidR="00452B42">
        <w:rPr>
          <w:rFonts w:hint="cs"/>
          <w:rtl/>
          <w:lang w:val="fr-CH"/>
        </w:rPr>
        <w:tab/>
      </w:r>
      <w:r w:rsidRPr="00D768BF">
        <w:rPr>
          <w:rFonts w:hint="cs"/>
          <w:rtl/>
          <w:lang w:val="fr-CH"/>
        </w:rPr>
        <w:t xml:space="preserve">أما فيما يتعلق بادعاء صاحب الشكوى أنه يُحال بين الهندوس وممارسة أنشطتهم الدينية، وأن المسلمين يحاولون الاستيلاء على أراضيهم بوسائل غير قانونية، وأن الهندوس محرومون من الحصول على مناصب عمل، فإن الدولة الطرف تؤكد أنه لا يمكن القول إن نوع المشاكل التي قد تواجهها أقليات كالهندوس في بنغلاديش يعادل اضطهاداً من جانب السلطات </w:t>
      </w:r>
      <w:proofErr w:type="spellStart"/>
      <w:r w:rsidRPr="00D768BF">
        <w:rPr>
          <w:rFonts w:hint="cs"/>
          <w:rtl/>
          <w:lang w:val="fr-CH"/>
        </w:rPr>
        <w:t>البنغلاديشية</w:t>
      </w:r>
      <w:proofErr w:type="spellEnd"/>
      <w:r w:rsidRPr="00D768BF">
        <w:rPr>
          <w:rFonts w:hint="cs"/>
          <w:rtl/>
          <w:lang w:val="fr-CH"/>
        </w:rPr>
        <w:t>، ناهيك عن التعذيب بالمعنى المقصود في المادة 1. وتحيل الدولة إلى التقارير عن حالة حقوق الإنسان وتستنتج أن الدولة</w:t>
      </w:r>
      <w:r>
        <w:rPr>
          <w:rFonts w:hint="cs"/>
          <w:rtl/>
          <w:lang w:val="fr-CH"/>
        </w:rPr>
        <w:t xml:space="preserve"> ليست مصدر</w:t>
      </w:r>
      <w:r w:rsidRPr="00D768BF">
        <w:rPr>
          <w:rFonts w:hint="cs"/>
          <w:rtl/>
          <w:lang w:val="fr-CH"/>
        </w:rPr>
        <w:t xml:space="preserve"> أي اضطهاد </w:t>
      </w:r>
      <w:r>
        <w:rPr>
          <w:rFonts w:hint="cs"/>
          <w:rtl/>
          <w:lang w:val="fr-CH"/>
        </w:rPr>
        <w:t>م</w:t>
      </w:r>
      <w:r w:rsidRPr="00D768BF">
        <w:rPr>
          <w:rFonts w:hint="cs"/>
          <w:rtl/>
          <w:lang w:val="fr-CH"/>
        </w:rPr>
        <w:t>مكن للهندوس لأسباب دينية. ولا يحدث ذلك الاضطهاد بموافقة الدولة أو رضاها. وفضلاً عن ذلك، وفيما يتعلق بإشارة صاحب الشكوى إلى حادث تعرَّض فيه أفراد أسرته لهجوم بسبب معتقدهم الهندوسي ودُمّر فيه معبدهم، تلاحظ الدولة الطرف أن صاحب الشكوى نفسه لم</w:t>
      </w:r>
      <w:r w:rsidR="00452B42">
        <w:rPr>
          <w:rFonts w:hint="eastAsia"/>
          <w:rtl/>
          <w:lang w:val="fr-CH"/>
        </w:rPr>
        <w:t> </w:t>
      </w:r>
      <w:r w:rsidRPr="00D768BF">
        <w:rPr>
          <w:rFonts w:hint="cs"/>
          <w:rtl/>
          <w:lang w:val="fr-CH"/>
        </w:rPr>
        <w:t>يكن في المنزل في تلك اللحظة وليس هناك ما يدل على أنه هو نفسه كان هدفاً للاضطهاد</w:t>
      </w:r>
      <w:r w:rsidR="00452B42">
        <w:rPr>
          <w:rFonts w:hint="eastAsia"/>
          <w:rtl/>
          <w:lang w:val="fr-CH"/>
        </w:rPr>
        <w:t> </w:t>
      </w:r>
      <w:r w:rsidRPr="00D768BF">
        <w:rPr>
          <w:rFonts w:hint="cs"/>
          <w:rtl/>
          <w:lang w:val="fr-CH"/>
        </w:rPr>
        <w:t>الديني.</w:t>
      </w:r>
    </w:p>
    <w:p w:rsidR="00FB1C4A" w:rsidRPr="00D768BF" w:rsidRDefault="00FB1C4A" w:rsidP="00FB1C4A">
      <w:pPr>
        <w:pStyle w:val="SingleTxtGA"/>
        <w:rPr>
          <w:rFonts w:hint="cs"/>
          <w:rtl/>
          <w:lang w:val="fr-CH"/>
        </w:rPr>
      </w:pPr>
      <w:r w:rsidRPr="00D768BF">
        <w:rPr>
          <w:rFonts w:hint="cs"/>
          <w:rtl/>
          <w:lang w:val="fr-CH"/>
        </w:rPr>
        <w:t>4-14 أما فيما يخص الادعاءات بانتهاك المادة 16، فتقول الدولة الطرف إن صاحب الشكوى لم يقدم أي سبب يبرر حدوث ذلك الانتهاك. وهي تحيل إلى قرار سابق للجنة</w:t>
      </w:r>
      <w:r w:rsidRPr="00D768BF">
        <w:rPr>
          <w:vertAlign w:val="superscript"/>
          <w:rtl/>
          <w:lang w:val="fr-CH"/>
        </w:rPr>
        <w:t>(</w:t>
      </w:r>
      <w:r w:rsidRPr="00D768BF">
        <w:rPr>
          <w:rStyle w:val="FootnoteReference"/>
          <w:sz w:val="30"/>
          <w:rtl/>
          <w:lang w:val="fr-CH"/>
        </w:rPr>
        <w:footnoteReference w:id="3"/>
      </w:r>
      <w:r w:rsidRPr="00D768BF">
        <w:rPr>
          <w:vertAlign w:val="superscript"/>
          <w:rtl/>
          <w:lang w:val="fr-CH"/>
        </w:rPr>
        <w:t>)</w:t>
      </w:r>
      <w:r w:rsidRPr="00D768BF">
        <w:rPr>
          <w:rtl/>
          <w:lang w:val="fr-CH"/>
        </w:rPr>
        <w:t xml:space="preserve"> </w:t>
      </w:r>
      <w:r w:rsidRPr="00D768BF">
        <w:rPr>
          <w:rFonts w:hint="cs"/>
          <w:rtl/>
          <w:lang w:val="fr-CH"/>
        </w:rPr>
        <w:t xml:space="preserve">وتحتج بالقول إن تدهور صحة صاحب الشكوى بسبب ترحيله لا يُعادِل نوع المعاملة القاسية أو </w:t>
      </w:r>
      <w:proofErr w:type="spellStart"/>
      <w:r w:rsidRPr="00D768BF">
        <w:rPr>
          <w:rFonts w:hint="cs"/>
          <w:rtl/>
          <w:lang w:val="fr-CH"/>
        </w:rPr>
        <w:t>اللاإنسانية</w:t>
      </w:r>
      <w:proofErr w:type="spellEnd"/>
      <w:r w:rsidRPr="00D768BF">
        <w:rPr>
          <w:rFonts w:hint="cs"/>
          <w:rtl/>
          <w:lang w:val="fr-CH"/>
        </w:rPr>
        <w:t xml:space="preserve"> أو المهينة </w:t>
      </w:r>
      <w:r>
        <w:rPr>
          <w:rFonts w:hint="cs"/>
          <w:rtl/>
          <w:lang w:val="fr-CH"/>
        </w:rPr>
        <w:t xml:space="preserve">بالمعنى </w:t>
      </w:r>
      <w:r w:rsidRPr="00D768BF">
        <w:rPr>
          <w:rFonts w:hint="cs"/>
          <w:rtl/>
          <w:lang w:val="fr-CH"/>
        </w:rPr>
        <w:t>المقصود في المادة 16 من الاتفاقية.</w:t>
      </w:r>
    </w:p>
    <w:p w:rsidR="00FB1C4A" w:rsidRPr="00D768BF" w:rsidRDefault="00FB1C4A" w:rsidP="00452B42">
      <w:pPr>
        <w:pStyle w:val="SingleTxtGA"/>
        <w:rPr>
          <w:rFonts w:hint="cs"/>
          <w:rtl/>
          <w:lang w:val="fr-CH"/>
        </w:rPr>
      </w:pPr>
      <w:r w:rsidRPr="00D768BF">
        <w:rPr>
          <w:rFonts w:hint="cs"/>
          <w:rtl/>
          <w:lang w:val="fr-CH"/>
        </w:rPr>
        <w:t>4-15</w:t>
      </w:r>
      <w:r w:rsidR="00452B42">
        <w:rPr>
          <w:rFonts w:hint="cs"/>
          <w:rtl/>
          <w:lang w:val="fr-CH"/>
        </w:rPr>
        <w:tab/>
      </w:r>
      <w:r w:rsidRPr="00D768BF">
        <w:rPr>
          <w:rFonts w:hint="cs"/>
          <w:rtl/>
          <w:lang w:val="fr-CH"/>
        </w:rPr>
        <w:t xml:space="preserve">وتحيل الدولة الطرف إلى الخبرة الطبية التي قدمها الدكتور زياد </w:t>
      </w:r>
      <w:proofErr w:type="spellStart"/>
      <w:r w:rsidRPr="00D768BF">
        <w:rPr>
          <w:rFonts w:hint="cs"/>
          <w:rtl/>
          <w:lang w:val="fr-CH"/>
        </w:rPr>
        <w:t>يانس</w:t>
      </w:r>
      <w:proofErr w:type="spellEnd"/>
      <w:r w:rsidRPr="00D768BF">
        <w:rPr>
          <w:rFonts w:hint="cs"/>
          <w:rtl/>
          <w:lang w:val="fr-CH"/>
        </w:rPr>
        <w:t>، الأخصائي في الطب النفسي، و</w:t>
      </w:r>
      <w:r>
        <w:rPr>
          <w:rFonts w:hint="cs"/>
          <w:rtl/>
          <w:lang w:val="fr-CH"/>
        </w:rPr>
        <w:t>اعتد ب</w:t>
      </w:r>
      <w:r w:rsidRPr="00D768BF">
        <w:rPr>
          <w:rFonts w:hint="cs"/>
          <w:rtl/>
          <w:lang w:val="fr-CH"/>
        </w:rPr>
        <w:t xml:space="preserve">ها صاحب الشكوى وتقول الدولة الطرف إنها سرد مكرَّر لقصة حياته. واعتدّ صاحب الشكوى كذلك بشهادتين طبيتين من الدكتور </w:t>
      </w:r>
      <w:proofErr w:type="spellStart"/>
      <w:r w:rsidRPr="00D768BF">
        <w:rPr>
          <w:rFonts w:hint="cs"/>
          <w:rtl/>
          <w:lang w:val="fr-CH"/>
        </w:rPr>
        <w:t>آسا</w:t>
      </w:r>
      <w:proofErr w:type="spellEnd"/>
      <w:r w:rsidRPr="00D768BF">
        <w:rPr>
          <w:rFonts w:hint="cs"/>
          <w:rtl/>
          <w:lang w:val="fr-CH"/>
        </w:rPr>
        <w:t xml:space="preserve"> </w:t>
      </w:r>
      <w:proofErr w:type="spellStart"/>
      <w:r w:rsidRPr="00D768BF">
        <w:rPr>
          <w:rFonts w:hint="cs"/>
          <w:rtl/>
          <w:lang w:val="fr-CH"/>
        </w:rPr>
        <w:t>مغنوسون</w:t>
      </w:r>
      <w:proofErr w:type="spellEnd"/>
      <w:r w:rsidRPr="00D768BF">
        <w:rPr>
          <w:rFonts w:hint="cs"/>
          <w:rtl/>
          <w:lang w:val="fr-CH"/>
        </w:rPr>
        <w:t xml:space="preserve">. وتقول الدولة الطرف إن صاحب الشكوى قال، أثناء المقابلة الأولى، إنه قلِق ولكنه لا يعاني من أي مرض عقلي، بيد أنه يتبيّن من الوثائق الطبية أن صحته قد تدهورت أثناء مقامه في السويد. وجاء في شهادة الدكتور </w:t>
      </w:r>
      <w:proofErr w:type="spellStart"/>
      <w:r w:rsidRPr="00D768BF">
        <w:rPr>
          <w:rFonts w:hint="cs"/>
          <w:rtl/>
          <w:lang w:val="fr-CH"/>
        </w:rPr>
        <w:t>مغنوسون</w:t>
      </w:r>
      <w:proofErr w:type="spellEnd"/>
      <w:r w:rsidRPr="00D768BF">
        <w:rPr>
          <w:rFonts w:hint="cs"/>
          <w:rtl/>
          <w:lang w:val="fr-CH"/>
        </w:rPr>
        <w:t xml:space="preserve"> أن صحته قد تحس</w:t>
      </w:r>
      <w:r>
        <w:rPr>
          <w:rFonts w:hint="cs"/>
          <w:rtl/>
          <w:lang w:val="fr-CH"/>
        </w:rPr>
        <w:t>ّ</w:t>
      </w:r>
      <w:r w:rsidRPr="00D768BF">
        <w:rPr>
          <w:rFonts w:hint="cs"/>
          <w:rtl/>
          <w:lang w:val="fr-CH"/>
        </w:rPr>
        <w:t>نت بفضل علاج أُعطي له. وتقول الدولة الطرف إنه إذا احتاج صاحب الشكوى إلى رعاية طبية في بلده الأم بسبب مشاكل الصحة العقلية التي يعانيها، فيبدو أن تلك الرعاية متوفرة في المدن الكبرى على الأقل. لذلك، فإن إمكانية تدهور صحته بسب ترحيله لا تُعادِل نوع المعاملة المقصود في المادة 16.</w:t>
      </w:r>
    </w:p>
    <w:p w:rsidR="00FB1C4A" w:rsidRPr="00D768BF" w:rsidRDefault="00452B42" w:rsidP="00452B42">
      <w:pPr>
        <w:pStyle w:val="H23GA"/>
        <w:rPr>
          <w:rFonts w:hint="cs"/>
          <w:rtl/>
          <w:lang w:val="fr-CH"/>
        </w:rPr>
      </w:pPr>
      <w:r>
        <w:rPr>
          <w:rFonts w:hint="cs"/>
          <w:rtl/>
          <w:lang w:val="fr-CH"/>
        </w:rPr>
        <w:tab/>
      </w:r>
      <w:r>
        <w:rPr>
          <w:rFonts w:hint="cs"/>
          <w:rtl/>
          <w:lang w:val="fr-CH"/>
        </w:rPr>
        <w:tab/>
      </w:r>
      <w:r w:rsidR="00FB1C4A" w:rsidRPr="00D768BF">
        <w:rPr>
          <w:rFonts w:hint="cs"/>
          <w:rtl/>
          <w:lang w:val="fr-CH"/>
        </w:rPr>
        <w:t>تعليقات صاحب الشكوى على ملاحظات الدولة الطرف بشأن مقبولية البلاغ وأسسه</w:t>
      </w:r>
      <w:r>
        <w:rPr>
          <w:rFonts w:hint="eastAsia"/>
          <w:rtl/>
          <w:lang w:val="fr-CH"/>
        </w:rPr>
        <w:t> </w:t>
      </w:r>
      <w:r w:rsidR="00FB1C4A" w:rsidRPr="00D768BF">
        <w:rPr>
          <w:rFonts w:hint="cs"/>
          <w:rtl/>
          <w:lang w:val="fr-CH"/>
        </w:rPr>
        <w:t>الموضوعية</w:t>
      </w:r>
    </w:p>
    <w:p w:rsidR="00FB1C4A" w:rsidRPr="00D768BF" w:rsidRDefault="00FB1C4A" w:rsidP="00FB1C4A">
      <w:pPr>
        <w:pStyle w:val="SingleTxtGA"/>
        <w:rPr>
          <w:rFonts w:hint="cs"/>
          <w:rtl/>
          <w:lang w:val="fr-CH"/>
        </w:rPr>
      </w:pPr>
      <w:r w:rsidRPr="00D768BF">
        <w:rPr>
          <w:rFonts w:hint="cs"/>
          <w:rtl/>
          <w:lang w:val="fr-CH"/>
        </w:rPr>
        <w:t>5-1</w:t>
      </w:r>
      <w:r>
        <w:rPr>
          <w:rFonts w:hint="cs"/>
          <w:rtl/>
          <w:lang w:val="fr-CH"/>
        </w:rPr>
        <w:tab/>
      </w:r>
      <w:r w:rsidRPr="00D768BF">
        <w:rPr>
          <w:rFonts w:hint="cs"/>
          <w:rtl/>
          <w:lang w:val="fr-CH"/>
        </w:rPr>
        <w:t xml:space="preserve">في 4 أيلول/سبتمبر 2009، قدَّم صاحب الشكوى موجزات تنفيذية للتحقيق الطبي في إصاباته الناتجة عن التعذيب جاء فيها أنه عُذب على يد الشرطة </w:t>
      </w:r>
      <w:proofErr w:type="spellStart"/>
      <w:r w:rsidRPr="00D768BF">
        <w:rPr>
          <w:rFonts w:hint="cs"/>
          <w:rtl/>
          <w:lang w:val="fr-CH"/>
        </w:rPr>
        <w:t>البنغلاديشية</w:t>
      </w:r>
      <w:proofErr w:type="spellEnd"/>
      <w:r w:rsidRPr="00D768BF">
        <w:rPr>
          <w:rFonts w:hint="cs"/>
          <w:rtl/>
          <w:lang w:val="fr-CH"/>
        </w:rPr>
        <w:t xml:space="preserve"> مرّتين في عام</w:t>
      </w:r>
      <w:r>
        <w:rPr>
          <w:rFonts w:hint="eastAsia"/>
          <w:rtl/>
          <w:lang w:val="fr-CH"/>
        </w:rPr>
        <w:t> </w:t>
      </w:r>
      <w:r w:rsidRPr="00D768BF">
        <w:rPr>
          <w:rFonts w:hint="cs"/>
          <w:rtl/>
          <w:lang w:val="fr-CH"/>
        </w:rPr>
        <w:t>2004. ووصف أساليب التعذيب التي اشتملت على الضرب بقبضة حديدية وبقضبان حديدية وبأعقاب البنادق وبهراوات الشرطة. ويدّعي كذلك أن لحمه قُط</w:t>
      </w:r>
      <w:r>
        <w:rPr>
          <w:rFonts w:hint="cs"/>
          <w:rtl/>
          <w:lang w:val="fr-CH"/>
        </w:rPr>
        <w:t>ّ</w:t>
      </w:r>
      <w:r w:rsidRPr="00D768BF">
        <w:rPr>
          <w:rFonts w:hint="cs"/>
          <w:rtl/>
          <w:lang w:val="fr-CH"/>
        </w:rPr>
        <w:t xml:space="preserve">ع بالحِراب وكُوي بالسجائر وجُلد أخمص قدميه وعُلِّقَ من رجليه ودُلِّي رأسُه إلى أسفل وتعرَّض للتعذيب بالماء وللاغتصاب ولغير ذلك من أنواع التعذيب. ونتيجة لذلك، أصبح يعاني من ألم مزمن في مفاصله ومن ألم في قدميه أثناء المشي ومن حكة في جلده. وقدم صاحب الشكوى كذلك موجزات استنتاجات طبيب يُدعى الدكتور </w:t>
      </w:r>
      <w:proofErr w:type="spellStart"/>
      <w:r w:rsidRPr="00D768BF">
        <w:rPr>
          <w:rFonts w:hint="cs"/>
          <w:rtl/>
          <w:lang w:val="fr-CH"/>
        </w:rPr>
        <w:t>إدستون</w:t>
      </w:r>
      <w:proofErr w:type="spellEnd"/>
      <w:r w:rsidRPr="00D768BF">
        <w:rPr>
          <w:rFonts w:hint="cs"/>
          <w:rtl/>
          <w:lang w:val="fr-CH"/>
        </w:rPr>
        <w:t xml:space="preserve"> الذي وجد نُدوباً في رأسه وعلى ذراعيه وجذعه وساقيه.</w:t>
      </w:r>
    </w:p>
    <w:p w:rsidR="00FB1C4A" w:rsidRPr="00D768BF" w:rsidRDefault="00FB1C4A" w:rsidP="00452B42">
      <w:pPr>
        <w:pStyle w:val="SingleTxtGA"/>
        <w:rPr>
          <w:rFonts w:hint="cs"/>
          <w:rtl/>
          <w:lang w:val="fr-CH"/>
        </w:rPr>
      </w:pPr>
      <w:r w:rsidRPr="00D768BF">
        <w:rPr>
          <w:rFonts w:hint="cs"/>
          <w:rtl/>
          <w:lang w:val="fr-CH"/>
        </w:rPr>
        <w:t>5-2</w:t>
      </w:r>
      <w:r w:rsidR="00452B42">
        <w:rPr>
          <w:rFonts w:hint="cs"/>
          <w:rtl/>
          <w:lang w:val="fr-CH"/>
        </w:rPr>
        <w:tab/>
      </w:r>
      <w:r w:rsidRPr="00D768BF">
        <w:rPr>
          <w:rFonts w:hint="cs"/>
          <w:rtl/>
          <w:lang w:val="fr-CH"/>
        </w:rPr>
        <w:t xml:space="preserve">ويقدم صاحب الشكوى موجزاً لفحصٍ أجراه طبيب يُدعى الدكتور </w:t>
      </w:r>
      <w:proofErr w:type="spellStart"/>
      <w:r w:rsidRPr="00D768BF">
        <w:rPr>
          <w:rFonts w:hint="cs"/>
          <w:rtl/>
          <w:lang w:val="fr-CH"/>
        </w:rPr>
        <w:t>سوغند</w:t>
      </w:r>
      <w:r>
        <w:rPr>
          <w:rFonts w:hint="cs"/>
          <w:rtl/>
          <w:lang w:val="fr-CH"/>
        </w:rPr>
        <w:t>ي</w:t>
      </w:r>
      <w:r w:rsidRPr="00D768BF">
        <w:rPr>
          <w:rFonts w:hint="cs"/>
          <w:rtl/>
          <w:lang w:val="fr-CH"/>
        </w:rPr>
        <w:t>رغارد</w:t>
      </w:r>
      <w:proofErr w:type="spellEnd"/>
      <w:r w:rsidRPr="00D768BF">
        <w:rPr>
          <w:rFonts w:hint="cs"/>
          <w:rtl/>
          <w:lang w:val="fr-CH"/>
        </w:rPr>
        <w:t xml:space="preserve">، جاء فيه إنه أُدخل المستشفى بسبب محاولات انتحار وأكد ظهور أعراض واضحة </w:t>
      </w:r>
      <w:r>
        <w:rPr>
          <w:rFonts w:hint="cs"/>
          <w:rtl/>
          <w:lang w:val="fr-CH"/>
        </w:rPr>
        <w:t xml:space="preserve">للاضطراب الكرب التالي </w:t>
      </w:r>
      <w:proofErr w:type="spellStart"/>
      <w:r>
        <w:rPr>
          <w:rFonts w:hint="cs"/>
          <w:rtl/>
          <w:lang w:val="fr-CH"/>
        </w:rPr>
        <w:t>للرضح</w:t>
      </w:r>
      <w:proofErr w:type="spellEnd"/>
      <w:r w:rsidRPr="00D768BF">
        <w:rPr>
          <w:rFonts w:hint="cs"/>
          <w:rtl/>
          <w:lang w:val="fr-CH"/>
        </w:rPr>
        <w:t>.</w:t>
      </w:r>
    </w:p>
    <w:p w:rsidR="00FB1C4A" w:rsidRPr="00D768BF" w:rsidRDefault="00FB1C4A" w:rsidP="00452B42">
      <w:pPr>
        <w:pStyle w:val="SingleTxtGA"/>
        <w:rPr>
          <w:rFonts w:hint="cs"/>
          <w:rtl/>
          <w:lang w:val="fr-CH"/>
        </w:rPr>
      </w:pPr>
      <w:r w:rsidRPr="00D768BF">
        <w:rPr>
          <w:rFonts w:hint="cs"/>
          <w:rtl/>
          <w:lang w:val="fr-CH"/>
        </w:rPr>
        <w:t>5-3</w:t>
      </w:r>
      <w:r w:rsidR="00452B42">
        <w:rPr>
          <w:rFonts w:hint="cs"/>
          <w:rtl/>
          <w:lang w:val="fr-CH"/>
        </w:rPr>
        <w:tab/>
      </w:r>
      <w:r w:rsidRPr="00D768BF">
        <w:rPr>
          <w:rFonts w:hint="cs"/>
          <w:rtl/>
          <w:lang w:val="fr-CH"/>
        </w:rPr>
        <w:t xml:space="preserve">أما فيما يخص حجة الدولة الطرف بأن </w:t>
      </w:r>
      <w:r>
        <w:rPr>
          <w:rFonts w:hint="cs"/>
          <w:rtl/>
          <w:lang w:val="fr-CH"/>
        </w:rPr>
        <w:t>ال</w:t>
      </w:r>
      <w:r w:rsidRPr="00D768BF">
        <w:rPr>
          <w:rFonts w:hint="cs"/>
          <w:rtl/>
          <w:lang w:val="fr-CH"/>
        </w:rPr>
        <w:t>شكو</w:t>
      </w:r>
      <w:r>
        <w:rPr>
          <w:rFonts w:hint="cs"/>
          <w:rtl/>
          <w:lang w:val="fr-CH"/>
        </w:rPr>
        <w:t>ى تفتقر إلى</w:t>
      </w:r>
      <w:r w:rsidRPr="00D768BF">
        <w:rPr>
          <w:rFonts w:hint="cs"/>
          <w:rtl/>
          <w:lang w:val="fr-CH"/>
        </w:rPr>
        <w:t xml:space="preserve"> أدنى مستويات الإثبات، فيقول صاحب الشكوى إنه بيَّن الأسباب التي تجعله معرَّضاً للخطر شخصياً إذا أُعيد إلى بنغلاديش. ويد</w:t>
      </w:r>
      <w:r>
        <w:rPr>
          <w:rFonts w:hint="cs"/>
          <w:rtl/>
          <w:lang w:val="fr-CH"/>
        </w:rPr>
        <w:t>ّ</w:t>
      </w:r>
      <w:r w:rsidRPr="00D768BF">
        <w:rPr>
          <w:rFonts w:hint="cs"/>
          <w:rtl/>
          <w:lang w:val="fr-CH"/>
        </w:rPr>
        <w:t xml:space="preserve">عي أن الإثباتات المقدمة، بما فيها الشهادات الطبية، تبيّن أنه تعرض للتعذيب على يد السلطات </w:t>
      </w:r>
      <w:proofErr w:type="spellStart"/>
      <w:r w:rsidRPr="00D768BF">
        <w:rPr>
          <w:rFonts w:hint="cs"/>
          <w:rtl/>
          <w:lang w:val="fr-CH"/>
        </w:rPr>
        <w:t>البنغلاديشي</w:t>
      </w:r>
      <w:r>
        <w:rPr>
          <w:rFonts w:hint="cs"/>
          <w:rtl/>
          <w:lang w:val="fr-CH"/>
        </w:rPr>
        <w:t>ة</w:t>
      </w:r>
      <w:proofErr w:type="spellEnd"/>
      <w:r>
        <w:rPr>
          <w:rFonts w:hint="cs"/>
          <w:rtl/>
          <w:lang w:val="fr-CH"/>
        </w:rPr>
        <w:t xml:space="preserve"> كما </w:t>
      </w:r>
      <w:r w:rsidRPr="00D768BF">
        <w:rPr>
          <w:rFonts w:hint="cs"/>
          <w:rtl/>
          <w:lang w:val="fr-CH"/>
        </w:rPr>
        <w:t>يدّعي أنه لا يزال عرضةً لخطر تعذيب حقيقي وشخصي ويمكن التنبؤ به إذا ما أُعيد إلى بنغلاديش.</w:t>
      </w:r>
    </w:p>
    <w:p w:rsidR="00FB1C4A" w:rsidRPr="00D768BF" w:rsidRDefault="00FB1C4A" w:rsidP="00FB1C4A">
      <w:pPr>
        <w:pStyle w:val="SingleTxtGA"/>
        <w:rPr>
          <w:rFonts w:hint="cs"/>
          <w:rtl/>
          <w:lang w:val="fr-CH"/>
        </w:rPr>
      </w:pPr>
      <w:r w:rsidRPr="00D768BF">
        <w:rPr>
          <w:rFonts w:hint="cs"/>
          <w:rtl/>
          <w:lang w:val="fr-CH"/>
        </w:rPr>
        <w:t>5-4</w:t>
      </w:r>
      <w:r w:rsidRPr="00D768BF">
        <w:rPr>
          <w:rFonts w:hint="cs"/>
          <w:rtl/>
          <w:lang w:val="fr-CH"/>
        </w:rPr>
        <w:tab/>
        <w:t>ويحتج صاحب الشكوى بالقول إن الدولة الطرف لم تبيّن إطلاقاً حجتها بأن ادعاءاته غير مستندة إلى أساس. ف</w:t>
      </w:r>
      <w:r>
        <w:rPr>
          <w:rFonts w:hint="cs"/>
          <w:rtl/>
          <w:lang w:val="fr-CH"/>
        </w:rPr>
        <w:t xml:space="preserve">في </w:t>
      </w:r>
      <w:r w:rsidRPr="00D768BF">
        <w:rPr>
          <w:rFonts w:hint="cs"/>
          <w:rtl/>
          <w:lang w:val="fr-CH"/>
        </w:rPr>
        <w:t xml:space="preserve">الوثائق التي قدّمها والتصريح الذي أدلى به معلومات مفصلة ومحددة. ولأنه تعرض </w:t>
      </w:r>
      <w:proofErr w:type="spellStart"/>
      <w:r w:rsidRPr="00D768BF">
        <w:rPr>
          <w:rFonts w:hint="cs"/>
          <w:rtl/>
          <w:lang w:val="fr-CH"/>
        </w:rPr>
        <w:t>لرضح</w:t>
      </w:r>
      <w:proofErr w:type="spellEnd"/>
      <w:r w:rsidRPr="00D768BF">
        <w:rPr>
          <w:rFonts w:hint="cs"/>
          <w:rtl/>
          <w:lang w:val="fr-CH"/>
        </w:rPr>
        <w:t xml:space="preserve"> شديد، فإنه لا يجوز أن يُطلب منه تقديم سرد دقيق ومفصل لكل ما حصل لأن ذلك يفوق طاقة البشر.</w:t>
      </w:r>
    </w:p>
    <w:p w:rsidR="00FB1C4A" w:rsidRDefault="00FB1C4A" w:rsidP="00FB1C4A">
      <w:pPr>
        <w:pStyle w:val="SingleTxtGA"/>
        <w:rPr>
          <w:rFonts w:hint="cs"/>
          <w:rtl/>
          <w:lang w:val="fr-CH"/>
        </w:rPr>
      </w:pPr>
      <w:r w:rsidRPr="00D768BF">
        <w:rPr>
          <w:rFonts w:hint="cs"/>
          <w:rtl/>
          <w:lang w:val="fr-CH"/>
        </w:rPr>
        <w:t>5-5</w:t>
      </w:r>
      <w:r w:rsidRPr="00D768BF">
        <w:rPr>
          <w:rFonts w:hint="cs"/>
          <w:rtl/>
          <w:lang w:val="fr-CH"/>
        </w:rPr>
        <w:tab/>
        <w:t xml:space="preserve">أما فيما يتعلق بالوضع العام في بنغلاديش، فيقول صاحب الشكوى إن الوضع هناك قد شهد تطورات أخرى، لا </w:t>
      </w:r>
      <w:proofErr w:type="spellStart"/>
      <w:r w:rsidRPr="00D768BF">
        <w:rPr>
          <w:rFonts w:hint="cs"/>
          <w:rtl/>
          <w:lang w:val="fr-CH"/>
        </w:rPr>
        <w:t>سيما</w:t>
      </w:r>
      <w:proofErr w:type="spellEnd"/>
      <w:r w:rsidRPr="00D768BF">
        <w:rPr>
          <w:rFonts w:hint="cs"/>
          <w:rtl/>
          <w:lang w:val="fr-CH"/>
        </w:rPr>
        <w:t xml:space="preserve"> فوز رابطة عوامي بالانتخابات في كانون الأول/ديسمبر من العام الماضي، بيد أنه يشير إلى احتفاظ حزب بنغلاديش الوطني بقدر من النفوذ وإلى كون معارضي هذا الحزب لا يزالون يتعرّضون للاضطهاد.</w:t>
      </w:r>
    </w:p>
    <w:p w:rsidR="00FB1C4A" w:rsidRDefault="008E7541" w:rsidP="008E7541">
      <w:pPr>
        <w:pStyle w:val="H1GA"/>
        <w:rPr>
          <w:rFonts w:hint="cs"/>
          <w:rtl/>
          <w:lang w:val="fr-CH"/>
        </w:rPr>
      </w:pPr>
      <w:r>
        <w:rPr>
          <w:rFonts w:hint="cs"/>
          <w:rtl/>
          <w:lang w:val="fr-CH"/>
        </w:rPr>
        <w:tab/>
      </w:r>
      <w:r>
        <w:rPr>
          <w:rFonts w:hint="cs"/>
          <w:rtl/>
          <w:lang w:val="fr-CH"/>
        </w:rPr>
        <w:tab/>
      </w:r>
      <w:r w:rsidR="00FB1C4A" w:rsidRPr="008E7541">
        <w:rPr>
          <w:rFonts w:hint="cs"/>
          <w:rtl/>
          <w:lang w:val="fr-CH"/>
        </w:rPr>
        <w:t>المسائل والإجراءات المعروضة على اللجنة</w:t>
      </w:r>
    </w:p>
    <w:p w:rsidR="00FB1C4A" w:rsidRDefault="00FB1C4A" w:rsidP="00FB1C4A">
      <w:pPr>
        <w:pStyle w:val="H23GA"/>
        <w:rPr>
          <w:rFonts w:hint="cs"/>
          <w:rtl/>
          <w:lang w:val="fr-CH"/>
        </w:rPr>
      </w:pPr>
      <w:r>
        <w:rPr>
          <w:rFonts w:hint="cs"/>
          <w:rtl/>
          <w:lang w:val="fr-CH"/>
        </w:rPr>
        <w:tab/>
      </w:r>
      <w:r>
        <w:rPr>
          <w:rFonts w:hint="cs"/>
          <w:rtl/>
          <w:lang w:val="fr-CH"/>
        </w:rPr>
        <w:tab/>
        <w:t xml:space="preserve">النظر في </w:t>
      </w:r>
      <w:proofErr w:type="spellStart"/>
      <w:r>
        <w:rPr>
          <w:rFonts w:hint="cs"/>
          <w:rtl/>
          <w:lang w:val="fr-CH"/>
        </w:rPr>
        <w:t>المقبولية</w:t>
      </w:r>
      <w:proofErr w:type="spellEnd"/>
    </w:p>
    <w:p w:rsidR="00FB1C4A" w:rsidRDefault="00FB1C4A" w:rsidP="00FB1C4A">
      <w:pPr>
        <w:pStyle w:val="SingleTxtGA"/>
        <w:rPr>
          <w:rFonts w:hint="cs"/>
          <w:rtl/>
          <w:lang w:val="fr-CH"/>
        </w:rPr>
      </w:pPr>
      <w:r>
        <w:rPr>
          <w:rFonts w:hint="cs"/>
          <w:rtl/>
          <w:lang w:val="fr-CH"/>
        </w:rPr>
        <w:t>6-1</w:t>
      </w:r>
      <w:r>
        <w:rPr>
          <w:rFonts w:hint="cs"/>
          <w:rtl/>
          <w:lang w:val="fr-CH"/>
        </w:rPr>
        <w:tab/>
        <w:t xml:space="preserve">قبل النظر في أي ادعاء يرد في أي شكوى، يجب أن تقرر لجنة مناهضة التعذيب ما إذا كانت الشكوى مقبولة بموجب المادة 22 من الاتفاقية. وحسبما تقتضيه الفقرتان 5(أ) </w:t>
      </w:r>
      <w:proofErr w:type="spellStart"/>
      <w:r>
        <w:rPr>
          <w:rFonts w:hint="cs"/>
          <w:rtl/>
          <w:lang w:val="fr-CH"/>
        </w:rPr>
        <w:t>و5</w:t>
      </w:r>
      <w:proofErr w:type="spellEnd"/>
      <w:r>
        <w:rPr>
          <w:rFonts w:hint="cs"/>
          <w:rtl/>
          <w:lang w:val="fr-CH"/>
        </w:rPr>
        <w:t>(ب) من المادة 22، تأكدت اللجنة من أنه لم يتم النظر في نفس المسألة ومن أنها ليست قيد النظر في إطار إجراء آخر من إجراءات التحقيق أو التسوية الدولية.</w:t>
      </w:r>
    </w:p>
    <w:p w:rsidR="00FB1C4A" w:rsidRPr="00D768BF" w:rsidRDefault="00FB1C4A" w:rsidP="00FB1C4A">
      <w:pPr>
        <w:pStyle w:val="SingleTxtGA"/>
        <w:rPr>
          <w:rFonts w:hint="cs"/>
          <w:rtl/>
          <w:lang w:val="fr-CH"/>
        </w:rPr>
      </w:pPr>
      <w:r>
        <w:rPr>
          <w:rFonts w:hint="cs"/>
          <w:rtl/>
          <w:lang w:val="fr-CH"/>
        </w:rPr>
        <w:t>6</w:t>
      </w:r>
      <w:r w:rsidRPr="00D768BF">
        <w:rPr>
          <w:rFonts w:hint="cs"/>
          <w:rtl/>
          <w:lang w:val="fr-CH"/>
        </w:rPr>
        <w:t>-</w:t>
      </w:r>
      <w:r>
        <w:rPr>
          <w:rFonts w:hint="cs"/>
          <w:rtl/>
          <w:lang w:val="fr-CH"/>
        </w:rPr>
        <w:t>2</w:t>
      </w:r>
      <w:r w:rsidRPr="00D768BF">
        <w:rPr>
          <w:rFonts w:hint="cs"/>
          <w:rtl/>
          <w:lang w:val="fr-CH"/>
        </w:rPr>
        <w:tab/>
        <w:t>ووفقاً للفقرة 5(ب) من المادة 22 من الاتفاقية، لا تنظر اللجنة في أي شكوى ما لم تتحقق من أن صاحب الشكوى قد استنفد جميع سبل الانتصاف المحلية المتاحة. وتلاحظ اللجنة اعتراف الدولة الطرف بأنه جرى استنفاد سبل الانتصاف المحلية، وعليه فإنها ترى أن صاحب الشكوى قد لبى الشروط المبيّنة في الفقرة 5(ب) من المادة 22.</w:t>
      </w:r>
    </w:p>
    <w:p w:rsidR="00FB1C4A" w:rsidRPr="00D768BF" w:rsidRDefault="00FB1C4A" w:rsidP="00FB1C4A">
      <w:pPr>
        <w:pStyle w:val="SingleTxtGA"/>
        <w:rPr>
          <w:rFonts w:hint="cs"/>
          <w:rtl/>
          <w:lang w:val="fr-CH"/>
        </w:rPr>
      </w:pPr>
      <w:r w:rsidRPr="00D768BF">
        <w:rPr>
          <w:rFonts w:hint="cs"/>
          <w:rtl/>
          <w:lang w:val="fr-CH"/>
        </w:rPr>
        <w:t>6-3</w:t>
      </w:r>
      <w:r w:rsidRPr="00D768BF">
        <w:rPr>
          <w:rFonts w:hint="cs"/>
          <w:rtl/>
          <w:lang w:val="fr-CH"/>
        </w:rPr>
        <w:tab/>
        <w:t>وتلاحظ اللجنة أنه لم تقدَّم حجة أو بيّنة تؤيد الادعاء بموجب المادة 16 من الاتفاقية، لذلك فإن</w:t>
      </w:r>
      <w:r>
        <w:rPr>
          <w:rFonts w:hint="cs"/>
          <w:rtl/>
          <w:lang w:val="fr-CH"/>
        </w:rPr>
        <w:t>ها</w:t>
      </w:r>
      <w:r w:rsidRPr="00D768BF">
        <w:rPr>
          <w:rFonts w:hint="cs"/>
          <w:rtl/>
          <w:lang w:val="fr-CH"/>
        </w:rPr>
        <w:t xml:space="preserve"> تستنتج أن هذا الادعاء غير مدعوم بأدلة لأغراض </w:t>
      </w:r>
      <w:proofErr w:type="spellStart"/>
      <w:r w:rsidRPr="00D768BF">
        <w:rPr>
          <w:rFonts w:hint="cs"/>
          <w:rtl/>
          <w:lang w:val="fr-CH"/>
        </w:rPr>
        <w:t>المقبولية</w:t>
      </w:r>
      <w:proofErr w:type="spellEnd"/>
      <w:r w:rsidRPr="00D768BF">
        <w:rPr>
          <w:rFonts w:hint="cs"/>
          <w:rtl/>
          <w:lang w:val="fr-CH"/>
        </w:rPr>
        <w:t>. وعليه، فإنها تعتبر هذا الجزء من البلاغ غير مقبول.</w:t>
      </w:r>
    </w:p>
    <w:p w:rsidR="00FB1C4A" w:rsidRPr="00D768BF" w:rsidRDefault="00FB1C4A" w:rsidP="00FB1C4A">
      <w:pPr>
        <w:pStyle w:val="SingleTxtGA"/>
        <w:rPr>
          <w:rFonts w:hint="cs"/>
          <w:rtl/>
          <w:lang w:val="fr-CH"/>
        </w:rPr>
      </w:pPr>
      <w:r w:rsidRPr="00D768BF">
        <w:rPr>
          <w:rFonts w:hint="cs"/>
          <w:rtl/>
          <w:lang w:val="fr-CH"/>
        </w:rPr>
        <w:t>6-4</w:t>
      </w:r>
      <w:r w:rsidRPr="00D768BF">
        <w:rPr>
          <w:rFonts w:hint="cs"/>
          <w:rtl/>
          <w:lang w:val="fr-CH"/>
        </w:rPr>
        <w:tab/>
        <w:t xml:space="preserve">أما فيما يخص الانتهاك المزعوم للمادة 3، فإن اللجنة ترى أن الحجج المعروضة عليها تثير مسائل موضوعية ينبغي تناولها من حيث الأسس الموضوعية، لا من حيث </w:t>
      </w:r>
      <w:proofErr w:type="spellStart"/>
      <w:r w:rsidRPr="00D768BF">
        <w:rPr>
          <w:rFonts w:hint="cs"/>
          <w:rtl/>
          <w:lang w:val="fr-CH"/>
        </w:rPr>
        <w:t>المقبولية</w:t>
      </w:r>
      <w:proofErr w:type="spellEnd"/>
      <w:r>
        <w:rPr>
          <w:rFonts w:hint="cs"/>
          <w:rtl/>
          <w:lang w:val="fr-CH"/>
        </w:rPr>
        <w:t xml:space="preserve"> فحسب</w:t>
      </w:r>
      <w:r w:rsidRPr="00D768BF">
        <w:rPr>
          <w:rFonts w:hint="cs"/>
          <w:rtl/>
          <w:lang w:val="fr-CH"/>
        </w:rPr>
        <w:t>. وبناءً عليه، تعتبر اللجنة هذا الجزء من البلاغ مقبولاً وتباشر النظر فيه.</w:t>
      </w:r>
    </w:p>
    <w:p w:rsidR="00FB1C4A" w:rsidRPr="00D768BF" w:rsidRDefault="00452B42" w:rsidP="00452B42">
      <w:pPr>
        <w:pStyle w:val="H23GA"/>
        <w:rPr>
          <w:rFonts w:hint="cs"/>
          <w:rtl/>
          <w:lang w:val="fr-CH"/>
        </w:rPr>
      </w:pPr>
      <w:r>
        <w:rPr>
          <w:rFonts w:hint="cs"/>
          <w:rtl/>
          <w:lang w:val="fr-CH"/>
        </w:rPr>
        <w:tab/>
      </w:r>
      <w:r>
        <w:rPr>
          <w:rFonts w:hint="cs"/>
          <w:rtl/>
          <w:lang w:val="fr-CH"/>
        </w:rPr>
        <w:tab/>
      </w:r>
      <w:r w:rsidR="00FB1C4A" w:rsidRPr="00D768BF">
        <w:rPr>
          <w:rFonts w:hint="cs"/>
          <w:rtl/>
          <w:lang w:val="fr-CH"/>
        </w:rPr>
        <w:t>النظر في الأسس الموضوعية</w:t>
      </w:r>
    </w:p>
    <w:p w:rsidR="00FB1C4A" w:rsidRPr="00D768BF" w:rsidRDefault="00FB1C4A" w:rsidP="00FB1C4A">
      <w:pPr>
        <w:pStyle w:val="SingleTxtGA"/>
        <w:rPr>
          <w:rFonts w:hint="cs"/>
          <w:rtl/>
          <w:lang w:val="fr-CH"/>
        </w:rPr>
      </w:pPr>
      <w:r w:rsidRPr="00D768BF">
        <w:rPr>
          <w:rFonts w:hint="cs"/>
          <w:rtl/>
          <w:lang w:val="fr-CH"/>
        </w:rPr>
        <w:t>7-1</w:t>
      </w:r>
      <w:r w:rsidRPr="00D768BF">
        <w:rPr>
          <w:rFonts w:hint="cs"/>
          <w:rtl/>
          <w:lang w:val="fr-CH"/>
        </w:rPr>
        <w:tab/>
        <w:t>يتعين على اللجنة أن تحدد ما إذا كانت إعادة صاحب الشكوى قسراً إلى بنغلاديش ستشكل انتهاكاً لالتزامات الدولة الطرف بموجب الفقرة 1 من المادة 3 من الاتفاقية التي تقضي بعدم طرد أو إعادة (</w:t>
      </w:r>
      <w:r>
        <w:rPr>
          <w:lang w:val="fr-CH"/>
        </w:rPr>
        <w:t>"r</w:t>
      </w:r>
      <w:r w:rsidRPr="00D768BF">
        <w:rPr>
          <w:lang w:val="fr-CH"/>
        </w:rPr>
        <w:t>efouler</w:t>
      </w:r>
      <w:r>
        <w:rPr>
          <w:lang w:val="fr-CH"/>
        </w:rPr>
        <w:t>"</w:t>
      </w:r>
      <w:r w:rsidRPr="00D768BF">
        <w:rPr>
          <w:rFonts w:hint="cs"/>
          <w:rtl/>
          <w:lang w:val="fr-CH"/>
        </w:rPr>
        <w:t>) شخص إلى دولة أخرى إذا ما توفرت أسباب موضوعية للاعتقاد بأنه سيكون معرضاً لخطر التعذيب.</w:t>
      </w:r>
    </w:p>
    <w:p w:rsidR="00FB1C4A" w:rsidRPr="008E7541" w:rsidRDefault="00FB1C4A" w:rsidP="00FB1C4A">
      <w:pPr>
        <w:pStyle w:val="SingleTxtGA"/>
        <w:rPr>
          <w:rFonts w:hint="cs"/>
          <w:spacing w:val="-2"/>
          <w:rtl/>
          <w:lang w:val="fr-CH"/>
        </w:rPr>
      </w:pPr>
      <w:r w:rsidRPr="008E7541">
        <w:rPr>
          <w:rFonts w:hint="cs"/>
          <w:spacing w:val="-2"/>
          <w:rtl/>
          <w:lang w:val="fr-CH"/>
        </w:rPr>
        <w:t>7-2</w:t>
      </w:r>
      <w:r w:rsidRPr="008E7541">
        <w:rPr>
          <w:spacing w:val="-2"/>
          <w:rtl/>
          <w:lang w:val="fr-CH"/>
        </w:rPr>
        <w:tab/>
      </w:r>
      <w:r w:rsidRPr="008E7541">
        <w:rPr>
          <w:rFonts w:hint="cs"/>
          <w:spacing w:val="-2"/>
          <w:rtl/>
          <w:lang w:val="fr-CH"/>
        </w:rPr>
        <w:t>وعملاً بالفقرة 1 من المادة 3، يجب أن تقرر لجنة مناهضة التعذيب ما إذا كانت هناك أسباب موضوعية تدعو إلى الاعتقاد بأن صاحب الشكوى سيكون معرضاً لخطر التعذيب لدى عودته إلى بنغلاديش. وحتى تتخذ هذا القرار، يتعيّن على اللّجنة أن تراعي جميع الاعتبارات ذات الصلة عملاً بالفقرة 2 من المادة 3، بما في ذلك وجود نمط مستمر من الانتهاكات الجسيمة أو الصارخة أو الجماعية لحقوق الإنسان. وفي هذا الشأن، تحيط اللجنة علماً بأن الدولة الطرف قد أقرّت بأن حالة حقوق الإنسان في بنغلاديش قد ساءت وأن الشرطة تستخدم التعذيب والضرب وغيرهما من أشكال الإساءة أثناء التحقيق مع المشتبه فيهم.</w:t>
      </w:r>
    </w:p>
    <w:p w:rsidR="00FB1C4A" w:rsidRPr="00D768BF" w:rsidRDefault="00FB1C4A" w:rsidP="00FB1C4A">
      <w:pPr>
        <w:pStyle w:val="SingleTxtGA"/>
        <w:rPr>
          <w:rFonts w:hint="cs"/>
          <w:rtl/>
          <w:lang w:val="fr-CH"/>
        </w:rPr>
      </w:pPr>
      <w:r w:rsidRPr="00D768BF">
        <w:rPr>
          <w:rFonts w:hint="cs"/>
          <w:rtl/>
          <w:lang w:val="fr-CH"/>
        </w:rPr>
        <w:t>7-3</w:t>
      </w:r>
      <w:r w:rsidRPr="00D768BF">
        <w:rPr>
          <w:rFonts w:hint="cs"/>
          <w:rtl/>
          <w:lang w:val="fr-CH"/>
        </w:rPr>
        <w:tab/>
        <w:t>غير أن الهدف من البت في هذه المسألة هو إثبات ما إذا كان صاحب الشكوى معرَّضاً شخصياً لخطر التعذيب في بنغلاديش لدى عودته إليها. ولا يشكل وجود نمط مستمر من الانتهاكات الجسيمة أو الصارخة أو الجماعية لحقوق الإنسان في بنغلاديش في حد ذاته أساساً كافياً للخلوص إلى أن صاحب البلاغ سيكون معرّضاً لخطر التعذيب بعد عودته إلى ذلك البلد؛ ولا بد من توفر أسباب محددة تدل عل</w:t>
      </w:r>
      <w:r w:rsidR="000663BA">
        <w:rPr>
          <w:rFonts w:hint="cs"/>
          <w:rtl/>
          <w:lang w:val="fr-CH"/>
        </w:rPr>
        <w:t>ى أنه سيكون معرضاً للخطر شخصياً</w:t>
      </w:r>
      <w:r w:rsidRPr="00D768BF">
        <w:rPr>
          <w:vertAlign w:val="superscript"/>
          <w:rtl/>
          <w:lang w:val="fr-CH"/>
        </w:rPr>
        <w:t>(</w:t>
      </w:r>
      <w:r w:rsidRPr="00D768BF">
        <w:rPr>
          <w:rStyle w:val="FootnoteReference"/>
          <w:sz w:val="30"/>
          <w:rtl/>
          <w:lang w:val="fr-CH"/>
        </w:rPr>
        <w:footnoteReference w:id="4"/>
      </w:r>
      <w:r w:rsidRPr="00D768BF">
        <w:rPr>
          <w:vertAlign w:val="superscript"/>
          <w:rtl/>
          <w:lang w:val="fr-CH"/>
        </w:rPr>
        <w:t>)</w:t>
      </w:r>
      <w:r w:rsidR="000663BA">
        <w:rPr>
          <w:rFonts w:hint="cs"/>
          <w:rtl/>
          <w:lang w:val="fr-CH"/>
        </w:rPr>
        <w:t>.</w:t>
      </w:r>
      <w:r w:rsidRPr="00D768BF">
        <w:rPr>
          <w:rFonts w:hint="cs"/>
          <w:rtl/>
          <w:lang w:val="fr-CH"/>
        </w:rPr>
        <w:t xml:space="preserve"> وتلاحظ اللجنة ادعاء صاحب الشكوى أنه معرض لخطر التعذيب بشكل خاص في بنغلاديش بسبب ديانته وميله الجنسي. وتجادل الدولة الطرف بالقول إن الدولة لي</w:t>
      </w:r>
      <w:r>
        <w:rPr>
          <w:rFonts w:hint="cs"/>
          <w:rtl/>
          <w:lang w:val="fr-CH"/>
        </w:rPr>
        <w:t>ست</w:t>
      </w:r>
      <w:r w:rsidRPr="00D768BF">
        <w:rPr>
          <w:rFonts w:hint="cs"/>
          <w:rtl/>
          <w:lang w:val="fr-CH"/>
        </w:rPr>
        <w:t xml:space="preserve"> مصدر أي اضطهاد ممكن للهندوس لأسباب دينية وأشارت إلى أن صاحب الشكوى لم يقدم أي مستندات تؤيد ادعاءه. أما فيما يتعلق بميله الجنسي، فقد أقرت الدولة الطرف بأن سلوك المثليين جنسياً </w:t>
      </w:r>
      <w:r>
        <w:rPr>
          <w:rFonts w:hint="cs"/>
          <w:rtl/>
          <w:lang w:val="fr-CH"/>
        </w:rPr>
        <w:t>مخالِف للقانون</w:t>
      </w:r>
      <w:r w:rsidRPr="00D768BF">
        <w:rPr>
          <w:rFonts w:hint="cs"/>
          <w:rtl/>
          <w:lang w:val="fr-CH"/>
        </w:rPr>
        <w:t xml:space="preserve"> بموجب قانون العقوبات ويمكن أن يؤدي إلى السجن مدى الحياة في بنغلاديش. وفي هذا الصدد، تشير اللجنة إلى أن حجة الدولة الطرف</w:t>
      </w:r>
      <w:r>
        <w:rPr>
          <w:rFonts w:hint="cs"/>
          <w:rtl/>
          <w:lang w:val="fr-CH"/>
        </w:rPr>
        <w:t>،</w:t>
      </w:r>
      <w:r w:rsidRPr="00D768BF">
        <w:rPr>
          <w:rFonts w:hint="cs"/>
          <w:rtl/>
          <w:lang w:val="fr-CH"/>
        </w:rPr>
        <w:t xml:space="preserve"> التي مفادها أن السلطات </w:t>
      </w:r>
      <w:proofErr w:type="spellStart"/>
      <w:r w:rsidRPr="00D768BF">
        <w:rPr>
          <w:rFonts w:hint="cs"/>
          <w:rtl/>
          <w:lang w:val="fr-CH"/>
        </w:rPr>
        <w:t>البنغلاديشية</w:t>
      </w:r>
      <w:proofErr w:type="spellEnd"/>
      <w:r w:rsidRPr="00D768BF">
        <w:rPr>
          <w:rFonts w:hint="cs"/>
          <w:rtl/>
          <w:lang w:val="fr-CH"/>
        </w:rPr>
        <w:t xml:space="preserve"> لا تضطهد المثليين جنسياً ب</w:t>
      </w:r>
      <w:r>
        <w:rPr>
          <w:rFonts w:hint="cs"/>
          <w:rtl/>
          <w:lang w:val="fr-CH"/>
        </w:rPr>
        <w:t xml:space="preserve">شكل </w:t>
      </w:r>
      <w:r w:rsidRPr="00D768BF">
        <w:rPr>
          <w:rFonts w:hint="cs"/>
          <w:rtl/>
          <w:lang w:val="fr-CH"/>
        </w:rPr>
        <w:t>نش</w:t>
      </w:r>
      <w:r>
        <w:rPr>
          <w:rFonts w:hint="cs"/>
          <w:rtl/>
          <w:lang w:val="fr-CH"/>
        </w:rPr>
        <w:t>ي</w:t>
      </w:r>
      <w:r w:rsidRPr="00D768BF">
        <w:rPr>
          <w:rFonts w:hint="cs"/>
          <w:rtl/>
          <w:lang w:val="fr-CH"/>
        </w:rPr>
        <w:t>ط</w:t>
      </w:r>
      <w:r>
        <w:rPr>
          <w:rFonts w:hint="cs"/>
          <w:rtl/>
          <w:lang w:val="fr-CH"/>
        </w:rPr>
        <w:t>،</w:t>
      </w:r>
      <w:r w:rsidRPr="00D768BF">
        <w:rPr>
          <w:rFonts w:hint="cs"/>
          <w:rtl/>
          <w:lang w:val="fr-CH"/>
        </w:rPr>
        <w:t xml:space="preserve"> لا </w:t>
      </w:r>
      <w:r>
        <w:rPr>
          <w:rFonts w:hint="cs"/>
          <w:rtl/>
          <w:lang w:val="fr-CH"/>
        </w:rPr>
        <w:t>تعني أن</w:t>
      </w:r>
      <w:r w:rsidRPr="00D768BF">
        <w:rPr>
          <w:rFonts w:hint="cs"/>
          <w:rtl/>
          <w:lang w:val="fr-CH"/>
        </w:rPr>
        <w:t xml:space="preserve"> إمكانية حدوث مثل ذلك الاضطهاد أمر </w:t>
      </w:r>
      <w:r>
        <w:rPr>
          <w:rFonts w:hint="cs"/>
          <w:rtl/>
          <w:lang w:val="fr-CH"/>
        </w:rPr>
        <w:t>مستبعد كلّياً</w:t>
      </w:r>
      <w:r w:rsidRPr="00D768BF">
        <w:rPr>
          <w:rFonts w:hint="cs"/>
          <w:rtl/>
          <w:lang w:val="fr-CH"/>
        </w:rPr>
        <w:t>.</w:t>
      </w:r>
    </w:p>
    <w:p w:rsidR="00FB1C4A" w:rsidRPr="00D768BF" w:rsidRDefault="00FB1C4A" w:rsidP="00FB1C4A">
      <w:pPr>
        <w:pStyle w:val="SingleTxtGA"/>
        <w:rPr>
          <w:rFonts w:hint="cs"/>
          <w:rtl/>
          <w:lang w:val="fr-CH"/>
        </w:rPr>
      </w:pPr>
      <w:r w:rsidRPr="00D768BF">
        <w:rPr>
          <w:rFonts w:hint="cs"/>
          <w:rtl/>
          <w:lang w:val="fr-CH"/>
        </w:rPr>
        <w:t>7-4</w:t>
      </w:r>
      <w:r w:rsidRPr="00D768BF">
        <w:rPr>
          <w:rFonts w:hint="cs"/>
          <w:rtl/>
          <w:lang w:val="fr-CH"/>
        </w:rPr>
        <w:tab/>
        <w:t>وفيما يخص الفتوى التي صدرت في حق صاحب الشكوى بسبب ميله الجنسي، ترى اللجنة أن لا أساس لحجة الدولة الطرف</w:t>
      </w:r>
      <w:r>
        <w:rPr>
          <w:rFonts w:hint="cs"/>
          <w:rtl/>
          <w:lang w:val="fr-CH"/>
        </w:rPr>
        <w:t>،</w:t>
      </w:r>
      <w:r w:rsidRPr="00D768BF">
        <w:rPr>
          <w:rFonts w:hint="cs"/>
          <w:rtl/>
          <w:lang w:val="fr-CH"/>
        </w:rPr>
        <w:t xml:space="preserve"> التي مفادها أن صاحب الشكوى</w:t>
      </w:r>
      <w:r w:rsidR="008A28B7">
        <w:rPr>
          <w:rFonts w:hint="cs"/>
          <w:rtl/>
          <w:lang w:val="fr-CH"/>
        </w:rPr>
        <w:t xml:space="preserve"> لا </w:t>
      </w:r>
      <w:r w:rsidRPr="00D768BF">
        <w:rPr>
          <w:rFonts w:hint="cs"/>
          <w:rtl/>
          <w:lang w:val="fr-CH"/>
        </w:rPr>
        <w:t>يعرف مدى انتشار ملصق الفتوى في بنغلاديش وأنه يمكن ألا يتعدى النطاق المحلي، لأنه يستحيل على صاحب الشكوى إثبات العكس بحكم وجوده خارج البلد. وفضلاً عن ذلك، فإن فكرة "الخطر المحلي" لا تضع معايير قابلة للقياس ولا تكفي لكي تبد</w:t>
      </w:r>
      <w:r>
        <w:rPr>
          <w:rFonts w:hint="cs"/>
          <w:rtl/>
          <w:lang w:val="fr-CH"/>
        </w:rPr>
        <w:t>ِّ</w:t>
      </w:r>
      <w:r w:rsidRPr="00D768BF">
        <w:rPr>
          <w:rFonts w:hint="cs"/>
          <w:rtl/>
          <w:lang w:val="fr-CH"/>
        </w:rPr>
        <w:t>د تماماً خطر التعرض للتعذيب شخصياً. وتلاحظ اللجنة كذلك أن حجة الدولة الطرف التي تفيد بأنه لا يبدو أن صاحب الشكوى موضع</w:t>
      </w:r>
      <w:r>
        <w:rPr>
          <w:rFonts w:hint="cs"/>
          <w:rtl/>
          <w:lang w:val="fr-CH"/>
        </w:rPr>
        <w:t xml:space="preserve"> اهتمام ا</w:t>
      </w:r>
      <w:r w:rsidRPr="00D768BF">
        <w:rPr>
          <w:rFonts w:hint="cs"/>
          <w:rtl/>
          <w:lang w:val="fr-CH"/>
        </w:rPr>
        <w:t>لأصوليين الإسلاميين نظراً لانقضاء فترة من الزمن على مغادرته بنغلاديش، لكنها ترى أن الدولة الطرف لم تقدم حجة كافية تبيّن كيف أن مضي فترة من الزمن قد حد من خطر تعرض صاحب الشكوى للاضطهاد بسبب الميل الجنسي.</w:t>
      </w:r>
    </w:p>
    <w:p w:rsidR="00FB1C4A" w:rsidRPr="00D768BF" w:rsidRDefault="00FB1C4A" w:rsidP="00FB1C4A">
      <w:pPr>
        <w:pStyle w:val="SingleTxtGA"/>
        <w:rPr>
          <w:rFonts w:hint="cs"/>
          <w:rtl/>
        </w:rPr>
      </w:pPr>
      <w:r w:rsidRPr="00D768BF">
        <w:rPr>
          <w:rFonts w:hint="cs"/>
          <w:rtl/>
          <w:lang w:val="fr-CH"/>
        </w:rPr>
        <w:t>7-5</w:t>
      </w:r>
      <w:r w:rsidRPr="00D768BF">
        <w:rPr>
          <w:rFonts w:hint="cs"/>
          <w:rtl/>
          <w:lang w:val="fr-CH"/>
        </w:rPr>
        <w:tab/>
        <w:t xml:space="preserve">أما فيما يخص حجج صاحب الشكوى بأنه سيتعرض للاضطهاد بسبب أنشطته السياسية في الماضي، فتحيط اللجنة علماً بحجة الدولة الطرف التي مفادها أن حزب بنغلاديش الوطني لم يعد الحزب الحاكم في </w:t>
      </w:r>
      <w:r>
        <w:rPr>
          <w:rFonts w:hint="cs"/>
          <w:rtl/>
          <w:lang w:val="fr-CH"/>
        </w:rPr>
        <w:t>ذلك البلد</w:t>
      </w:r>
      <w:r w:rsidRPr="00D768BF">
        <w:rPr>
          <w:rFonts w:hint="cs"/>
          <w:rtl/>
          <w:lang w:val="fr-CH"/>
        </w:rPr>
        <w:t xml:space="preserve"> ولم يعد في نفس المركز الذي كان فيه عندما غادر صاحب الشكوى بنغلاديش. بيد أن اللجنة تلاحظ أن الوضع السياسي في بنغلاديش</w:t>
      </w:r>
      <w:r w:rsidR="008A28B7">
        <w:rPr>
          <w:rFonts w:hint="cs"/>
          <w:rtl/>
          <w:lang w:val="fr-CH"/>
        </w:rPr>
        <w:t xml:space="preserve"> لا </w:t>
      </w:r>
      <w:r w:rsidRPr="00D768BF">
        <w:rPr>
          <w:rFonts w:hint="eastAsia"/>
          <w:rtl/>
        </w:rPr>
        <w:t>يزال مضطرباً بسبب العنف والمنافسة الحادة بين مختلف الأ</w:t>
      </w:r>
      <w:r w:rsidRPr="00D768BF">
        <w:rPr>
          <w:rFonts w:hint="cs"/>
          <w:rtl/>
        </w:rPr>
        <w:t>حزاب</w:t>
      </w:r>
      <w:r w:rsidRPr="00D768BF">
        <w:rPr>
          <w:rFonts w:hint="eastAsia"/>
          <w:rtl/>
        </w:rPr>
        <w:t xml:space="preserve"> السياسية ولا</w:t>
      </w:r>
      <w:r w:rsidRPr="00D768BF">
        <w:rPr>
          <w:rFonts w:hint="cs"/>
          <w:rtl/>
        </w:rPr>
        <w:t xml:space="preserve"> </w:t>
      </w:r>
      <w:r w:rsidRPr="00D768BF">
        <w:rPr>
          <w:rFonts w:hint="eastAsia"/>
          <w:rtl/>
        </w:rPr>
        <w:t xml:space="preserve">تزال </w:t>
      </w:r>
      <w:r w:rsidRPr="00D768BF">
        <w:rPr>
          <w:rFonts w:hint="cs"/>
          <w:rtl/>
        </w:rPr>
        <w:t>تسجَّل</w:t>
      </w:r>
      <w:r w:rsidRPr="00D768BF">
        <w:rPr>
          <w:rFonts w:hint="eastAsia"/>
          <w:rtl/>
        </w:rPr>
        <w:t xml:space="preserve"> العديد من </w:t>
      </w:r>
      <w:r w:rsidRPr="00D768BF">
        <w:rPr>
          <w:rFonts w:hint="cs"/>
          <w:rtl/>
        </w:rPr>
        <w:t>ح</w:t>
      </w:r>
      <w:r w:rsidRPr="00D768BF">
        <w:rPr>
          <w:rFonts w:hint="eastAsia"/>
          <w:rtl/>
        </w:rPr>
        <w:t xml:space="preserve">وادث العنف بسبب المعتقدات السياسية. </w:t>
      </w:r>
      <w:r w:rsidRPr="00D768BF">
        <w:rPr>
          <w:rFonts w:hint="cs"/>
          <w:rtl/>
        </w:rPr>
        <w:t xml:space="preserve">وتلاحظ اللجنة كذلك أن الدولة الطرف لم تشكك في تعرض صاحب الشكوى للتعذيب في الماضي رغم أنها ترى أن ذلك </w:t>
      </w:r>
      <w:r>
        <w:rPr>
          <w:rFonts w:hint="cs"/>
          <w:rtl/>
        </w:rPr>
        <w:t xml:space="preserve">كان </w:t>
      </w:r>
      <w:r w:rsidRPr="00D768BF">
        <w:rPr>
          <w:rFonts w:hint="cs"/>
          <w:rtl/>
        </w:rPr>
        <w:t>ع</w:t>
      </w:r>
      <w:r>
        <w:rPr>
          <w:rFonts w:hint="cs"/>
          <w:rtl/>
        </w:rPr>
        <w:t>م</w:t>
      </w:r>
      <w:r w:rsidRPr="00D768BF">
        <w:rPr>
          <w:rFonts w:hint="cs"/>
          <w:rtl/>
        </w:rPr>
        <w:t>لاً معزولاً. وفضلاً عن ذلك، أقرت الدولة الطرف بأن التعذيب</w:t>
      </w:r>
      <w:r w:rsidR="008A28B7">
        <w:rPr>
          <w:rFonts w:hint="cs"/>
          <w:rtl/>
        </w:rPr>
        <w:t xml:space="preserve"> لا </w:t>
      </w:r>
      <w:r w:rsidRPr="00D768BF">
        <w:rPr>
          <w:rFonts w:hint="cs"/>
          <w:rtl/>
        </w:rPr>
        <w:t>يزال يمارَس في بنغلاديش وبأن</w:t>
      </w:r>
      <w:r>
        <w:rPr>
          <w:rFonts w:hint="cs"/>
          <w:rtl/>
        </w:rPr>
        <w:t>ه</w:t>
      </w:r>
      <w:r w:rsidRPr="00D768BF">
        <w:rPr>
          <w:rFonts w:hint="cs"/>
          <w:rtl/>
        </w:rPr>
        <w:t xml:space="preserve"> </w:t>
      </w:r>
      <w:r>
        <w:rPr>
          <w:rFonts w:hint="cs"/>
          <w:rtl/>
        </w:rPr>
        <w:t>نادراً ما ينال</w:t>
      </w:r>
      <w:r w:rsidRPr="00D768BF">
        <w:rPr>
          <w:rFonts w:hint="cs"/>
          <w:rtl/>
        </w:rPr>
        <w:t xml:space="preserve"> </w:t>
      </w:r>
      <w:proofErr w:type="spellStart"/>
      <w:r>
        <w:rPr>
          <w:rFonts w:hint="cs"/>
          <w:rtl/>
        </w:rPr>
        <w:t>المسؤولو</w:t>
      </w:r>
      <w:r w:rsidRPr="00D768BF">
        <w:rPr>
          <w:rFonts w:hint="cs"/>
          <w:rtl/>
        </w:rPr>
        <w:t>ن</w:t>
      </w:r>
      <w:proofErr w:type="spellEnd"/>
      <w:r w:rsidRPr="00D768BF">
        <w:rPr>
          <w:rFonts w:hint="cs"/>
          <w:rtl/>
        </w:rPr>
        <w:t xml:space="preserve"> عنه عقابهم.</w:t>
      </w:r>
    </w:p>
    <w:p w:rsidR="00FB1C4A" w:rsidRPr="00D768BF" w:rsidRDefault="00FB1C4A" w:rsidP="00FB1C4A">
      <w:pPr>
        <w:pStyle w:val="SingleTxtGA"/>
        <w:rPr>
          <w:rFonts w:hint="cs"/>
          <w:rtl/>
        </w:rPr>
      </w:pPr>
      <w:r w:rsidRPr="00D768BF">
        <w:rPr>
          <w:rFonts w:hint="cs"/>
          <w:rtl/>
        </w:rPr>
        <w:t>7-6</w:t>
      </w:r>
      <w:r w:rsidRPr="00D768BF">
        <w:rPr>
          <w:rFonts w:hint="cs"/>
          <w:rtl/>
        </w:rPr>
        <w:tab/>
        <w:t>أما بشأن المستندات الطبية التي قدمها صاحب الشكوى فيما يخص آثار التعذيب الذي تعرض له في الماضي، ومع أن اللجنة تذك</w:t>
      </w:r>
      <w:r>
        <w:rPr>
          <w:rFonts w:hint="cs"/>
          <w:rtl/>
        </w:rPr>
        <w:t>ّ</w:t>
      </w:r>
      <w:r w:rsidRPr="00D768BF">
        <w:rPr>
          <w:rFonts w:hint="cs"/>
          <w:rtl/>
        </w:rPr>
        <w:t>ر بقراراتها السابقة</w:t>
      </w:r>
      <w:r w:rsidRPr="00D768BF">
        <w:rPr>
          <w:vertAlign w:val="superscript"/>
          <w:rtl/>
        </w:rPr>
        <w:t>(</w:t>
      </w:r>
      <w:r w:rsidRPr="00D768BF">
        <w:rPr>
          <w:rStyle w:val="FootnoteReference"/>
          <w:sz w:val="30"/>
          <w:rtl/>
        </w:rPr>
        <w:footnoteReference w:id="5"/>
      </w:r>
      <w:r w:rsidRPr="00D768BF">
        <w:rPr>
          <w:vertAlign w:val="superscript"/>
          <w:rtl/>
        </w:rPr>
        <w:t>)</w:t>
      </w:r>
      <w:r w:rsidRPr="00D768BF">
        <w:rPr>
          <w:rtl/>
        </w:rPr>
        <w:t xml:space="preserve"> </w:t>
      </w:r>
      <w:r w:rsidRPr="00D768BF">
        <w:rPr>
          <w:rFonts w:hint="cs"/>
          <w:rtl/>
        </w:rPr>
        <w:t>الت</w:t>
      </w:r>
      <w:r>
        <w:rPr>
          <w:rFonts w:hint="cs"/>
          <w:rtl/>
        </w:rPr>
        <w:t>ي تقضي بأن التعرض للتعذيب في الم</w:t>
      </w:r>
      <w:r w:rsidRPr="00D768BF">
        <w:rPr>
          <w:rFonts w:hint="cs"/>
          <w:rtl/>
        </w:rPr>
        <w:t>ا</w:t>
      </w:r>
      <w:r>
        <w:rPr>
          <w:rFonts w:hint="cs"/>
          <w:rtl/>
        </w:rPr>
        <w:t>ضي</w:t>
      </w:r>
      <w:r w:rsidRPr="00D768BF">
        <w:rPr>
          <w:rFonts w:hint="cs"/>
          <w:rtl/>
        </w:rPr>
        <w:t xml:space="preserve"> ليس </w:t>
      </w:r>
      <w:r>
        <w:rPr>
          <w:rFonts w:hint="cs"/>
          <w:rtl/>
        </w:rPr>
        <w:t>سوى واحداً من الاعتبارات التي تؤ</w:t>
      </w:r>
      <w:r w:rsidRPr="00D768BF">
        <w:rPr>
          <w:rFonts w:hint="cs"/>
          <w:rtl/>
        </w:rPr>
        <w:t xml:space="preserve">خذ في الحسبان عند تحديد ما إذا كان شخص ما يواجه خطر </w:t>
      </w:r>
      <w:r>
        <w:rPr>
          <w:rFonts w:hint="cs"/>
          <w:rtl/>
        </w:rPr>
        <w:t>ال</w:t>
      </w:r>
      <w:r w:rsidRPr="00D768BF">
        <w:rPr>
          <w:rFonts w:hint="cs"/>
          <w:rtl/>
        </w:rPr>
        <w:t>تعذيب شخصي</w:t>
      </w:r>
      <w:r>
        <w:rPr>
          <w:rFonts w:hint="cs"/>
          <w:rtl/>
        </w:rPr>
        <w:t>اً</w:t>
      </w:r>
      <w:r w:rsidRPr="00D768BF">
        <w:rPr>
          <w:rFonts w:hint="cs"/>
          <w:rtl/>
        </w:rPr>
        <w:t xml:space="preserve"> لدى عودته إلى بلده الأصلي، فإنها تلاحظ أن التقارير الطبية تؤكد وجود علاقة سببية بين الإصابات الجسدية التي عانى منها صاحب </w:t>
      </w:r>
      <w:r w:rsidRPr="00D768BF">
        <w:rPr>
          <w:rFonts w:hint="cs"/>
          <w:rtl/>
          <w:lang w:val="fr-CH"/>
        </w:rPr>
        <w:t>الشكوى</w:t>
      </w:r>
      <w:r w:rsidRPr="00D768BF">
        <w:rPr>
          <w:rFonts w:hint="cs"/>
          <w:rtl/>
        </w:rPr>
        <w:t xml:space="preserve"> وحالته النفسية الراهنة وسوء المعاملة الذي تعرّض له في عام 2004.</w:t>
      </w:r>
    </w:p>
    <w:p w:rsidR="00FB1C4A" w:rsidRPr="00D768BF" w:rsidRDefault="00FB1C4A" w:rsidP="00FB1C4A">
      <w:pPr>
        <w:pStyle w:val="SingleTxtGA"/>
        <w:rPr>
          <w:rFonts w:hint="cs"/>
          <w:rtl/>
        </w:rPr>
      </w:pPr>
      <w:r w:rsidRPr="00D768BF">
        <w:rPr>
          <w:rFonts w:hint="cs"/>
          <w:rtl/>
        </w:rPr>
        <w:t>7-7</w:t>
      </w:r>
      <w:r w:rsidRPr="00D768BF">
        <w:rPr>
          <w:rFonts w:hint="cs"/>
          <w:rtl/>
        </w:rPr>
        <w:tab/>
        <w:t xml:space="preserve">وعلى ضوء الحجج المبينة أعلاه، ولا </w:t>
      </w:r>
      <w:proofErr w:type="spellStart"/>
      <w:r w:rsidRPr="00D768BF">
        <w:rPr>
          <w:rFonts w:hint="cs"/>
          <w:rtl/>
        </w:rPr>
        <w:t>سيما</w:t>
      </w:r>
      <w:proofErr w:type="spellEnd"/>
      <w:r w:rsidRPr="00D768BF">
        <w:rPr>
          <w:rFonts w:hint="cs"/>
          <w:rtl/>
        </w:rPr>
        <w:t xml:space="preserve"> استنتاجات التقرير الطبي والأنشطة السياسية لصاحب الشكوى في الماضي وخطر تعرضه للاضطهاد بسبب </w:t>
      </w:r>
      <w:proofErr w:type="spellStart"/>
      <w:r w:rsidRPr="00D768BF">
        <w:rPr>
          <w:rFonts w:hint="cs"/>
          <w:rtl/>
        </w:rPr>
        <w:t>مثليته</w:t>
      </w:r>
      <w:proofErr w:type="spellEnd"/>
      <w:r w:rsidRPr="00D768BF">
        <w:rPr>
          <w:rFonts w:hint="cs"/>
          <w:rtl/>
        </w:rPr>
        <w:t xml:space="preserve"> الجنسية مقروناً ب</w:t>
      </w:r>
      <w:r>
        <w:rPr>
          <w:rFonts w:hint="cs"/>
          <w:rtl/>
        </w:rPr>
        <w:t>ا</w:t>
      </w:r>
      <w:r w:rsidRPr="00D768BF">
        <w:rPr>
          <w:rFonts w:hint="cs"/>
          <w:rtl/>
        </w:rPr>
        <w:t>نتم</w:t>
      </w:r>
      <w:r>
        <w:rPr>
          <w:rFonts w:hint="cs"/>
          <w:rtl/>
        </w:rPr>
        <w:t>ائه</w:t>
      </w:r>
      <w:r w:rsidRPr="00D768BF">
        <w:rPr>
          <w:rFonts w:hint="cs"/>
          <w:rtl/>
        </w:rPr>
        <w:t xml:space="preserve"> إلى أقلية الهندوس، ترى اللجنة أن صاحب الشكوى قد قدّم ما يكفي من الإثباتات للبرهنة على أنه معرَّض شخصياً لخطر التعذيب إذا ما أُعيد إلى بلده الأصلي وأن ذلك الخطر حقيقي ويمكن التنبؤ به. وفي هذه الظروف، تستنتج اللجنة أن طرد صاحب الشكوى إلى بنغلاديش سيشكل انتهاكاً لالتزامات الدولة الطرف بموجب المادة 3 من الاتفاقية.</w:t>
      </w:r>
    </w:p>
    <w:p w:rsidR="00FB1C4A" w:rsidRPr="00D768BF" w:rsidRDefault="00FB1C4A" w:rsidP="00FB1C4A">
      <w:pPr>
        <w:pStyle w:val="SingleTxtGA"/>
        <w:rPr>
          <w:rFonts w:hint="cs"/>
          <w:rtl/>
        </w:rPr>
      </w:pPr>
      <w:r w:rsidRPr="00D768BF">
        <w:rPr>
          <w:rFonts w:hint="cs"/>
          <w:rtl/>
        </w:rPr>
        <w:t>7-8</w:t>
      </w:r>
      <w:r>
        <w:rPr>
          <w:rFonts w:hint="cs"/>
          <w:rtl/>
        </w:rPr>
        <w:tab/>
      </w:r>
      <w:r w:rsidRPr="00D768BF">
        <w:rPr>
          <w:rFonts w:hint="cs"/>
          <w:rtl/>
        </w:rPr>
        <w:t xml:space="preserve">وحيث إن لجنة مناهضة التعذيب تتصرف بموجب الفقرة 7 من المادة 22 من اتفاقية مناهضة التعذيب وغيره من ضروب المعاملة أو العقوبة القاسية أو </w:t>
      </w:r>
      <w:proofErr w:type="spellStart"/>
      <w:r w:rsidRPr="00D768BF">
        <w:rPr>
          <w:rFonts w:hint="cs"/>
          <w:rtl/>
        </w:rPr>
        <w:t>اللاإنسانية</w:t>
      </w:r>
      <w:proofErr w:type="spellEnd"/>
      <w:r w:rsidRPr="00D768BF">
        <w:rPr>
          <w:rFonts w:hint="cs"/>
          <w:rtl/>
        </w:rPr>
        <w:t xml:space="preserve"> أو المهينة، فإنها ترى أن قرار الدولة الطرف إعادة صاحب الشكوى إلى بنغلاديش سيشكل انتهاكاً للمادة 3 من الاتفاقية.</w:t>
      </w:r>
    </w:p>
    <w:p w:rsidR="00FB1C4A" w:rsidRPr="00D768BF" w:rsidRDefault="00FB1C4A" w:rsidP="00FB1C4A">
      <w:pPr>
        <w:pStyle w:val="SingleTxtGA"/>
        <w:rPr>
          <w:rFonts w:hint="cs"/>
          <w:rtl/>
        </w:rPr>
      </w:pPr>
      <w:r w:rsidRPr="00D768BF">
        <w:rPr>
          <w:rFonts w:hint="cs"/>
          <w:rtl/>
        </w:rPr>
        <w:t>8-</w:t>
      </w:r>
      <w:r>
        <w:rPr>
          <w:rFonts w:hint="cs"/>
          <w:rtl/>
        </w:rPr>
        <w:tab/>
      </w:r>
      <w:r w:rsidRPr="00D768BF">
        <w:rPr>
          <w:rFonts w:hint="cs"/>
          <w:rtl/>
        </w:rPr>
        <w:t>وترغب اللجنة، وفقاً للفقرة 5 من المادة 112 من نظامها الداخلي، في أن تطل</w:t>
      </w:r>
      <w:r>
        <w:rPr>
          <w:rFonts w:hint="cs"/>
          <w:rtl/>
        </w:rPr>
        <w:t>ِ</w:t>
      </w:r>
      <w:r w:rsidRPr="00D768BF">
        <w:rPr>
          <w:rFonts w:hint="cs"/>
          <w:rtl/>
        </w:rPr>
        <w:t>عها الدولة الطرف، في غضون 90 يوماً، على الخطوات التي ستتخذها استجابةً لهذا القرار.</w:t>
      </w:r>
    </w:p>
    <w:p w:rsidR="00FB1C4A" w:rsidRPr="009439F4" w:rsidRDefault="00FB1C4A" w:rsidP="00FB1C4A">
      <w:pPr>
        <w:pStyle w:val="SingleTxtGA"/>
        <w:rPr>
          <w:rFonts w:hint="cs"/>
          <w:sz w:val="30"/>
          <w:rtl/>
        </w:rPr>
      </w:pPr>
      <w:r w:rsidRPr="00D768BF">
        <w:rPr>
          <w:rFonts w:hint="cs"/>
          <w:rtl/>
        </w:rPr>
        <w:t xml:space="preserve">[اعتُمد بالإسبانية والإنكليزية والفرنسية، علماً بأن النص الإنكليزي هو النص الأصلي. وسيصدر </w:t>
      </w:r>
      <w:r>
        <w:rPr>
          <w:rFonts w:hint="cs"/>
          <w:rtl/>
        </w:rPr>
        <w:t xml:space="preserve">أيضاً </w:t>
      </w:r>
      <w:r w:rsidRPr="00D768BF">
        <w:rPr>
          <w:rFonts w:hint="cs"/>
          <w:rtl/>
        </w:rPr>
        <w:t xml:space="preserve">بالصينية والعربية والروسية </w:t>
      </w:r>
      <w:r>
        <w:rPr>
          <w:rFonts w:hint="cs"/>
          <w:rtl/>
        </w:rPr>
        <w:t xml:space="preserve">في وقت </w:t>
      </w:r>
      <w:r w:rsidRPr="00D768BF">
        <w:rPr>
          <w:rFonts w:hint="cs"/>
          <w:rtl/>
        </w:rPr>
        <w:t>لاحق كجزء من تقرير اللجنة السنوي المقدَّم إلى الجمعية العامة.]</w:t>
      </w:r>
    </w:p>
    <w:p w:rsidR="008B4BC6" w:rsidRPr="00452B42" w:rsidRDefault="00452B42" w:rsidP="00452B42">
      <w:pPr>
        <w:spacing w:line="380" w:lineRule="exact"/>
        <w:jc w:val="center"/>
        <w:rPr>
          <w:rFonts w:hint="cs"/>
          <w:u w:val="single"/>
          <w:rtl/>
        </w:rPr>
      </w:pPr>
      <w:r>
        <w:rPr>
          <w:rFonts w:hint="cs"/>
          <w:u w:val="single"/>
          <w:rtl/>
        </w:rPr>
        <w:tab/>
      </w:r>
      <w:r>
        <w:rPr>
          <w:rFonts w:hint="cs"/>
          <w:u w:val="single"/>
          <w:rtl/>
        </w:rPr>
        <w:tab/>
      </w:r>
      <w:r>
        <w:rPr>
          <w:rFonts w:hint="cs"/>
          <w:u w:val="single"/>
          <w:rtl/>
        </w:rPr>
        <w:tab/>
      </w:r>
    </w:p>
    <w:sectPr w:rsidR="008B4BC6" w:rsidRPr="00452B4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46" w:rsidRPr="00FE6865" w:rsidRDefault="00563946" w:rsidP="00FE6865">
      <w:pPr>
        <w:pStyle w:val="Footer"/>
      </w:pPr>
    </w:p>
  </w:endnote>
  <w:endnote w:type="continuationSeparator" w:id="0">
    <w:p w:rsidR="00563946" w:rsidRDefault="00563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A" w:rsidRPr="00FB1C4A" w:rsidRDefault="00FB1C4A" w:rsidP="00FB1C4A">
    <w:pPr>
      <w:pStyle w:val="Footer"/>
      <w:tabs>
        <w:tab w:val="right" w:pos="9598"/>
      </w:tabs>
    </w:pPr>
    <w:r>
      <w:t>GE.11-43936</w:t>
    </w:r>
    <w:r>
      <w:tab/>
    </w:r>
    <w:r w:rsidRPr="00FB1C4A">
      <w:rPr>
        <w:b/>
        <w:sz w:val="18"/>
      </w:rPr>
      <w:fldChar w:fldCharType="begin"/>
    </w:r>
    <w:r w:rsidRPr="00FB1C4A">
      <w:rPr>
        <w:b/>
        <w:sz w:val="18"/>
      </w:rPr>
      <w:instrText xml:space="preserve"> PAGE  \* MERGEFORMAT </w:instrText>
    </w:r>
    <w:r w:rsidRPr="00FB1C4A">
      <w:rPr>
        <w:b/>
        <w:sz w:val="18"/>
      </w:rPr>
      <w:fldChar w:fldCharType="separate"/>
    </w:r>
    <w:r w:rsidR="008054F8">
      <w:rPr>
        <w:b/>
        <w:noProof/>
        <w:sz w:val="18"/>
      </w:rPr>
      <w:t>2</w:t>
    </w:r>
    <w:r w:rsidRPr="00FB1C4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A" w:rsidRPr="00FB1C4A" w:rsidRDefault="00FB1C4A" w:rsidP="00FB1C4A">
    <w:pPr>
      <w:pStyle w:val="Footer"/>
      <w:tabs>
        <w:tab w:val="right" w:pos="9598"/>
      </w:tabs>
      <w:rPr>
        <w:b/>
        <w:sz w:val="18"/>
      </w:rPr>
    </w:pPr>
    <w:r w:rsidRPr="00FB1C4A">
      <w:rPr>
        <w:b/>
        <w:sz w:val="18"/>
      </w:rPr>
      <w:fldChar w:fldCharType="begin"/>
    </w:r>
    <w:r w:rsidRPr="00FB1C4A">
      <w:rPr>
        <w:b/>
        <w:sz w:val="18"/>
      </w:rPr>
      <w:instrText xml:space="preserve"> PAGE  \* MERGEFORMAT </w:instrText>
    </w:r>
    <w:r w:rsidRPr="00FB1C4A">
      <w:rPr>
        <w:b/>
        <w:sz w:val="18"/>
      </w:rPr>
      <w:fldChar w:fldCharType="separate"/>
    </w:r>
    <w:r w:rsidR="008054F8">
      <w:rPr>
        <w:b/>
        <w:noProof/>
        <w:sz w:val="18"/>
      </w:rPr>
      <w:t>13</w:t>
    </w:r>
    <w:r w:rsidRPr="00FB1C4A">
      <w:rPr>
        <w:b/>
        <w:sz w:val="18"/>
      </w:rPr>
      <w:fldChar w:fldCharType="end"/>
    </w:r>
    <w:r>
      <w:rPr>
        <w:b/>
        <w:sz w:val="18"/>
      </w:rPr>
      <w:tab/>
    </w:r>
    <w:r>
      <w:t>GE.11-43936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A" w:rsidRDefault="00FB1C4A" w:rsidP="00FB1C4A">
    <w:pPr>
      <w:pStyle w:val="Footer"/>
      <w:jc w:val="right"/>
    </w:pPr>
    <w:r>
      <w:rPr>
        <w:sz w:val="20"/>
      </w:rPr>
      <w:t>(A)   GE.11-43936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452B42">
      <w:rPr>
        <w:sz w:val="20"/>
      </w:rPr>
      <w:t xml:space="preserve">    270711    280711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46" w:rsidRDefault="00563946" w:rsidP="00834FF4">
      <w:pPr>
        <w:pStyle w:val="Footer"/>
        <w:bidi/>
        <w:spacing w:after="80" w:line="200" w:lineRule="exact"/>
        <w:ind w:left="680"/>
      </w:pPr>
      <w:r>
        <w:rPr>
          <w:rFonts w:hint="cs"/>
          <w:rtl/>
        </w:rPr>
        <w:t>__________</w:t>
      </w:r>
    </w:p>
  </w:footnote>
  <w:footnote w:type="continuationSeparator" w:id="0">
    <w:p w:rsidR="00563946" w:rsidRDefault="00563946" w:rsidP="00834FF4">
      <w:pPr>
        <w:pStyle w:val="Footer"/>
        <w:bidi/>
        <w:spacing w:after="80" w:line="200" w:lineRule="exact"/>
        <w:ind w:left="680"/>
      </w:pPr>
      <w:r>
        <w:rPr>
          <w:rFonts w:hint="cs"/>
          <w:rtl/>
        </w:rPr>
        <w:t>__________</w:t>
      </w:r>
    </w:p>
  </w:footnote>
  <w:footnote w:id="1">
    <w:p w:rsidR="00B87A8F" w:rsidRPr="00B87A8F" w:rsidRDefault="00B87A8F" w:rsidP="00B87A8F">
      <w:pPr>
        <w:pStyle w:val="footnoteText0"/>
      </w:pPr>
      <w:r>
        <w:rPr>
          <w:rtl/>
        </w:rPr>
        <w:tab/>
      </w:r>
      <w:r w:rsidRPr="00B87A8F">
        <w:rPr>
          <w:rStyle w:val="FootnoteReference"/>
          <w:sz w:val="20"/>
          <w:vertAlign w:val="baseline"/>
          <w:rtl/>
        </w:rPr>
        <w:t>*</w:t>
      </w:r>
      <w:r>
        <w:rPr>
          <w:rtl/>
        </w:rPr>
        <w:tab/>
      </w:r>
      <w:r>
        <w:rPr>
          <w:rFonts w:hint="cs"/>
          <w:rtl/>
        </w:rPr>
        <w:t>عُمِّمت الوثيقة بقرار من لجنة مناهضة التعذيب.</w:t>
      </w:r>
    </w:p>
  </w:footnote>
  <w:footnote w:id="2">
    <w:p w:rsidR="00FB1C4A" w:rsidRPr="00EF17A0" w:rsidRDefault="00FB1C4A" w:rsidP="00EF17A0">
      <w:pPr>
        <w:pStyle w:val="FootnoteText"/>
        <w:numPr>
          <w:ilvl w:val="0"/>
          <w:numId w:val="8"/>
        </w:numPr>
        <w:tabs>
          <w:tab w:val="clear" w:pos="1293"/>
        </w:tabs>
        <w:spacing w:after="60" w:line="300" w:lineRule="exact"/>
        <w:ind w:left="1247" w:right="1247"/>
        <w:rPr>
          <w:rFonts w:hint="cs"/>
          <w:sz w:val="18"/>
          <w:szCs w:val="26"/>
        </w:rPr>
      </w:pPr>
      <w:r w:rsidRPr="008054F8">
        <w:rPr>
          <w:rStyle w:val="longtext"/>
          <w:rFonts w:hint="cs"/>
          <w:color w:val="333333"/>
          <w:sz w:val="18"/>
          <w:szCs w:val="26"/>
          <w:shd w:val="clear" w:color="auto" w:fill="FFFFFF"/>
          <w:rtl/>
        </w:rPr>
        <w:t>وزارة الخارجية السويدية، تقرير</w:t>
      </w:r>
      <w:r w:rsidRPr="008054F8">
        <w:rPr>
          <w:rStyle w:val="longtext"/>
          <w:color w:val="333333"/>
          <w:sz w:val="18"/>
          <w:szCs w:val="26"/>
          <w:shd w:val="clear" w:color="auto" w:fill="FFFFFF"/>
          <w:rtl/>
        </w:rPr>
        <w:t xml:space="preserve"> عن حقوق الإنسان لعام 2007؛ تقرير وزارة الخارجية الأمريكية، 2007؛ </w:t>
      </w:r>
      <w:r w:rsidRPr="008054F8">
        <w:rPr>
          <w:rStyle w:val="longtext"/>
          <w:rFonts w:hint="cs"/>
          <w:color w:val="333333"/>
          <w:sz w:val="18"/>
          <w:szCs w:val="26"/>
          <w:shd w:val="clear" w:color="auto" w:fill="FFFFFF"/>
          <w:rtl/>
        </w:rPr>
        <w:t>مذكرة توجيهية من وزارة الداخلية البريطانية</w:t>
      </w:r>
      <w:r w:rsidRPr="008054F8">
        <w:rPr>
          <w:rStyle w:val="longtext"/>
          <w:color w:val="333333"/>
          <w:sz w:val="18"/>
          <w:szCs w:val="26"/>
          <w:shd w:val="clear" w:color="auto" w:fill="FFFFFF"/>
          <w:rtl/>
        </w:rPr>
        <w:t xml:space="preserve">، 2007. </w:t>
      </w:r>
      <w:r w:rsidRPr="008054F8">
        <w:rPr>
          <w:rStyle w:val="longtext"/>
          <w:rFonts w:hint="cs"/>
          <w:color w:val="333333"/>
          <w:sz w:val="18"/>
          <w:szCs w:val="26"/>
          <w:shd w:val="clear" w:color="auto" w:fill="FFFFFF"/>
          <w:rtl/>
        </w:rPr>
        <w:t>ال</w:t>
      </w:r>
      <w:r w:rsidRPr="008054F8">
        <w:rPr>
          <w:rStyle w:val="longtext"/>
          <w:color w:val="333333"/>
          <w:sz w:val="18"/>
          <w:szCs w:val="26"/>
          <w:shd w:val="clear" w:color="auto" w:fill="FFFFFF"/>
          <w:rtl/>
        </w:rPr>
        <w:t xml:space="preserve">تقرير السنوي </w:t>
      </w:r>
      <w:r w:rsidRPr="008054F8">
        <w:rPr>
          <w:rStyle w:val="longtext"/>
          <w:rFonts w:hint="cs"/>
          <w:color w:val="333333"/>
          <w:sz w:val="18"/>
          <w:szCs w:val="26"/>
          <w:shd w:val="clear" w:color="auto" w:fill="FFFFFF"/>
          <w:rtl/>
        </w:rPr>
        <w:t>ل</w:t>
      </w:r>
      <w:r w:rsidRPr="008054F8">
        <w:rPr>
          <w:rStyle w:val="longtext"/>
          <w:color w:val="333333"/>
          <w:sz w:val="18"/>
          <w:szCs w:val="26"/>
          <w:shd w:val="clear" w:color="auto" w:fill="FFFFFF"/>
          <w:rtl/>
        </w:rPr>
        <w:t>منظمة العفو الدولية لعام</w:t>
      </w:r>
      <w:r w:rsidR="00EF17A0" w:rsidRPr="008054F8">
        <w:rPr>
          <w:rStyle w:val="longtext"/>
          <w:rFonts w:hint="cs"/>
          <w:color w:val="333333"/>
          <w:sz w:val="18"/>
          <w:szCs w:val="26"/>
          <w:shd w:val="clear" w:color="auto" w:fill="FFFFFF"/>
          <w:rtl/>
        </w:rPr>
        <w:t> </w:t>
      </w:r>
      <w:r w:rsidRPr="008054F8">
        <w:rPr>
          <w:rStyle w:val="longtext"/>
          <w:color w:val="333333"/>
          <w:sz w:val="18"/>
          <w:szCs w:val="26"/>
          <w:shd w:val="clear" w:color="auto" w:fill="FFFFFF"/>
          <w:rtl/>
        </w:rPr>
        <w:t xml:space="preserve">2008؛ تقرير هيومن رايتس ووتش </w:t>
      </w:r>
      <w:r w:rsidRPr="008054F8">
        <w:rPr>
          <w:rStyle w:val="longtext"/>
          <w:rFonts w:hint="cs"/>
          <w:color w:val="333333"/>
          <w:sz w:val="18"/>
          <w:szCs w:val="26"/>
          <w:shd w:val="clear" w:color="auto" w:fill="FFFFFF"/>
          <w:rtl/>
        </w:rPr>
        <w:t>ل</w:t>
      </w:r>
      <w:r w:rsidRPr="008054F8">
        <w:rPr>
          <w:rStyle w:val="longtext"/>
          <w:color w:val="333333"/>
          <w:sz w:val="18"/>
          <w:szCs w:val="26"/>
          <w:shd w:val="clear" w:color="auto" w:fill="FFFFFF"/>
          <w:rtl/>
        </w:rPr>
        <w:t>عام 2007</w:t>
      </w:r>
      <w:r w:rsidRPr="008054F8">
        <w:rPr>
          <w:rStyle w:val="longtext"/>
          <w:rFonts w:hint="cs"/>
          <w:color w:val="333333"/>
          <w:sz w:val="18"/>
          <w:szCs w:val="26"/>
          <w:shd w:val="clear" w:color="auto" w:fill="FFFFFF"/>
          <w:rtl/>
        </w:rPr>
        <w:t>.</w:t>
      </w:r>
    </w:p>
  </w:footnote>
  <w:footnote w:id="3">
    <w:p w:rsidR="00FB1C4A" w:rsidRPr="00452B42" w:rsidRDefault="00FB1C4A" w:rsidP="00FB1C4A">
      <w:pPr>
        <w:pStyle w:val="FootnoteText"/>
        <w:numPr>
          <w:ilvl w:val="0"/>
          <w:numId w:val="9"/>
        </w:numPr>
        <w:tabs>
          <w:tab w:val="clear" w:pos="1293"/>
        </w:tabs>
        <w:spacing w:after="60" w:line="300" w:lineRule="exact"/>
        <w:ind w:right="1247"/>
        <w:rPr>
          <w:rFonts w:hint="cs"/>
          <w:sz w:val="18"/>
          <w:szCs w:val="26"/>
        </w:rPr>
      </w:pPr>
      <w:r w:rsidRPr="008E7541">
        <w:rPr>
          <w:rFonts w:hint="cs"/>
          <w:i/>
          <w:iCs/>
          <w:sz w:val="18"/>
          <w:szCs w:val="26"/>
          <w:rtl/>
        </w:rPr>
        <w:t>جي. آر. بي ضد السويد</w:t>
      </w:r>
      <w:r w:rsidRPr="00452B42">
        <w:rPr>
          <w:rFonts w:hint="cs"/>
          <w:sz w:val="18"/>
          <w:szCs w:val="26"/>
          <w:rtl/>
        </w:rPr>
        <w:t xml:space="preserve"> 83/1997. الآراء المعتمدة في 15 أيار/مايو 1998.</w:t>
      </w:r>
    </w:p>
  </w:footnote>
  <w:footnote w:id="4">
    <w:p w:rsidR="00FB1C4A" w:rsidRPr="00452B42" w:rsidRDefault="00FB1C4A" w:rsidP="00FB1C4A">
      <w:pPr>
        <w:pStyle w:val="FootnoteText"/>
        <w:numPr>
          <w:ilvl w:val="0"/>
          <w:numId w:val="9"/>
        </w:numPr>
        <w:tabs>
          <w:tab w:val="clear" w:pos="1293"/>
        </w:tabs>
        <w:spacing w:after="60" w:line="300" w:lineRule="exact"/>
        <w:ind w:right="1247"/>
        <w:rPr>
          <w:rFonts w:hint="cs"/>
          <w:sz w:val="18"/>
          <w:szCs w:val="26"/>
        </w:rPr>
      </w:pPr>
      <w:r w:rsidRPr="008E7541">
        <w:rPr>
          <w:rFonts w:hint="cs"/>
          <w:i/>
          <w:iCs/>
          <w:sz w:val="18"/>
          <w:szCs w:val="26"/>
          <w:rtl/>
        </w:rPr>
        <w:t>إم.أ. كا. ضد ألمانيا</w:t>
      </w:r>
      <w:r w:rsidRPr="00452B42">
        <w:rPr>
          <w:rFonts w:hint="cs"/>
          <w:sz w:val="18"/>
          <w:szCs w:val="26"/>
          <w:rtl/>
        </w:rPr>
        <w:t>، 214/2002. الآراء المعتمدة في 5 أيار/مايو 2004.</w:t>
      </w:r>
    </w:p>
  </w:footnote>
  <w:footnote w:id="5">
    <w:p w:rsidR="00FB1C4A" w:rsidRPr="00452B42" w:rsidRDefault="00FB1C4A" w:rsidP="00FB1C4A">
      <w:pPr>
        <w:pStyle w:val="FootnoteText"/>
        <w:numPr>
          <w:ilvl w:val="0"/>
          <w:numId w:val="10"/>
        </w:numPr>
        <w:spacing w:after="60" w:line="300" w:lineRule="exact"/>
        <w:ind w:right="1247"/>
        <w:rPr>
          <w:rFonts w:hint="cs"/>
          <w:sz w:val="18"/>
          <w:szCs w:val="26"/>
        </w:rPr>
      </w:pPr>
      <w:r w:rsidRPr="008E7541">
        <w:rPr>
          <w:rFonts w:hint="cs"/>
          <w:i/>
          <w:iCs/>
          <w:sz w:val="18"/>
          <w:szCs w:val="26"/>
          <w:rtl/>
        </w:rPr>
        <w:t>إم. إس. إيتش ضد السويد</w:t>
      </w:r>
      <w:r w:rsidRPr="00452B42">
        <w:rPr>
          <w:rFonts w:hint="cs"/>
          <w:sz w:val="18"/>
          <w:szCs w:val="26"/>
          <w:rtl/>
        </w:rPr>
        <w:t>، 235/2003. الآراء المعتمدة في 14 تشرين الثاني/نوفمبر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A" w:rsidRPr="00FB1C4A" w:rsidRDefault="00FB1C4A" w:rsidP="00FB1C4A">
    <w:pPr>
      <w:pStyle w:val="Header"/>
      <w:jc w:val="right"/>
    </w:pPr>
    <w:r w:rsidRPr="00FB1C4A">
      <w:t>CAT/C/46/D/338/2008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A" w:rsidRPr="00FB1C4A" w:rsidRDefault="00FB1C4A" w:rsidP="00FB1C4A">
    <w:pPr>
      <w:pStyle w:val="Header"/>
      <w:jc w:val="left"/>
    </w:pPr>
    <w:r w:rsidRPr="00FB1C4A">
      <w:t>CAT/C/46/D/338/2008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A" w:rsidRDefault="00FB1C4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FB1C4A" w:rsidRPr="002B399E" w:rsidRDefault="00FB1C4A"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FB1C4A" w:rsidRPr="002B399E" w:rsidRDefault="00FB1C4A"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FB1C4A" w:rsidRDefault="00FB1C4A"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0F4E4740"/>
    <w:multiLevelType w:val="hybridMultilevel"/>
    <w:tmpl w:val="4AFC0E48"/>
    <w:lvl w:ilvl="0" w:tplc="4F4EB3E8">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
    <w:nsid w:val="108E5684"/>
    <w:multiLevelType w:val="hybridMultilevel"/>
    <w:tmpl w:val="730875A8"/>
    <w:lvl w:ilvl="0" w:tplc="832E1E3E">
      <w:start w:val="4"/>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4">
    <w:nsid w:val="26170BA9"/>
    <w:multiLevelType w:val="hybridMultilevel"/>
    <w:tmpl w:val="1946D0EA"/>
    <w:lvl w:ilvl="0" w:tplc="85B857A8">
      <w:start w:val="2"/>
      <w:numFmt w:val="decimal"/>
      <w:lvlRestart w:val="0"/>
      <w:lvlText w:val="(%1)"/>
      <w:lvlJc w:val="right"/>
      <w:pPr>
        <w:tabs>
          <w:tab w:val="num" w:pos="1293"/>
        </w:tabs>
        <w:ind w:left="1293" w:hanging="227"/>
      </w:pPr>
      <w:rPr>
        <w:rFonts w:ascii="Traditional Arabic" w:hAnsi="Traditional Arabic" w:cs="Traditional Arabic" w:hint="default"/>
        <w:sz w:val="26"/>
        <w:szCs w:val="26"/>
        <w:vertAlign w:val="baseline"/>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9"/>
  </w:num>
  <w:num w:numId="6">
    <w:abstractNumId w:val="7"/>
  </w:num>
  <w:num w:numId="7">
    <w:abstractNumId w:val="0"/>
  </w:num>
  <w:num w:numId="8">
    <w:abstractNumId w:val="1"/>
  </w:num>
  <w:num w:numId="9">
    <w:abstractNumId w:val="4"/>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grammar="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6E1E"/>
    <w:rsid w:val="000045B1"/>
    <w:rsid w:val="00040E25"/>
    <w:rsid w:val="00042149"/>
    <w:rsid w:val="00043EE4"/>
    <w:rsid w:val="000648EA"/>
    <w:rsid w:val="000663BA"/>
    <w:rsid w:val="000957C8"/>
    <w:rsid w:val="00097049"/>
    <w:rsid w:val="000A04D5"/>
    <w:rsid w:val="000B52F2"/>
    <w:rsid w:val="000D0EAE"/>
    <w:rsid w:val="000D5380"/>
    <w:rsid w:val="000D6654"/>
    <w:rsid w:val="000E103D"/>
    <w:rsid w:val="000F0264"/>
    <w:rsid w:val="000F2EBF"/>
    <w:rsid w:val="000F3A9F"/>
    <w:rsid w:val="000F5FF6"/>
    <w:rsid w:val="001022B5"/>
    <w:rsid w:val="0011112A"/>
    <w:rsid w:val="00113FA5"/>
    <w:rsid w:val="001455A0"/>
    <w:rsid w:val="001602A3"/>
    <w:rsid w:val="00182541"/>
    <w:rsid w:val="001A5161"/>
    <w:rsid w:val="001A60BD"/>
    <w:rsid w:val="00221FFA"/>
    <w:rsid w:val="002244FB"/>
    <w:rsid w:val="00232277"/>
    <w:rsid w:val="0023736D"/>
    <w:rsid w:val="00257225"/>
    <w:rsid w:val="002F74D7"/>
    <w:rsid w:val="00310160"/>
    <w:rsid w:val="00323B5F"/>
    <w:rsid w:val="00341A8C"/>
    <w:rsid w:val="003519E6"/>
    <w:rsid w:val="003B4356"/>
    <w:rsid w:val="003F08A8"/>
    <w:rsid w:val="004250E3"/>
    <w:rsid w:val="00452B42"/>
    <w:rsid w:val="00472A81"/>
    <w:rsid w:val="004A20A6"/>
    <w:rsid w:val="004B2C92"/>
    <w:rsid w:val="004D6A3A"/>
    <w:rsid w:val="004F4AD7"/>
    <w:rsid w:val="00557CD3"/>
    <w:rsid w:val="00563946"/>
    <w:rsid w:val="00571432"/>
    <w:rsid w:val="005732A2"/>
    <w:rsid w:val="005762A5"/>
    <w:rsid w:val="00590BA3"/>
    <w:rsid w:val="005B46D9"/>
    <w:rsid w:val="005B7AE0"/>
    <w:rsid w:val="005F146F"/>
    <w:rsid w:val="005F334D"/>
    <w:rsid w:val="005F71B6"/>
    <w:rsid w:val="00654786"/>
    <w:rsid w:val="00660FD4"/>
    <w:rsid w:val="006A4425"/>
    <w:rsid w:val="006A49DA"/>
    <w:rsid w:val="006B00A4"/>
    <w:rsid w:val="006B4669"/>
    <w:rsid w:val="006C515F"/>
    <w:rsid w:val="006F6BF8"/>
    <w:rsid w:val="00707BDF"/>
    <w:rsid w:val="00710727"/>
    <w:rsid w:val="00715F45"/>
    <w:rsid w:val="00731815"/>
    <w:rsid w:val="00731B84"/>
    <w:rsid w:val="00734AE7"/>
    <w:rsid w:val="0079344E"/>
    <w:rsid w:val="007C3AA2"/>
    <w:rsid w:val="007E197F"/>
    <w:rsid w:val="007F68C4"/>
    <w:rsid w:val="008054F8"/>
    <w:rsid w:val="008153DE"/>
    <w:rsid w:val="00834FF4"/>
    <w:rsid w:val="00852A10"/>
    <w:rsid w:val="00862634"/>
    <w:rsid w:val="00866C59"/>
    <w:rsid w:val="00877306"/>
    <w:rsid w:val="008A28B7"/>
    <w:rsid w:val="008A6242"/>
    <w:rsid w:val="008B4BC6"/>
    <w:rsid w:val="008E7541"/>
    <w:rsid w:val="00901E57"/>
    <w:rsid w:val="009070DF"/>
    <w:rsid w:val="00935F0E"/>
    <w:rsid w:val="0095208F"/>
    <w:rsid w:val="00977B3F"/>
    <w:rsid w:val="009814AE"/>
    <w:rsid w:val="009901D3"/>
    <w:rsid w:val="00996BBE"/>
    <w:rsid w:val="009A77E2"/>
    <w:rsid w:val="009B2C03"/>
    <w:rsid w:val="009D1DD5"/>
    <w:rsid w:val="009F722C"/>
    <w:rsid w:val="00A26157"/>
    <w:rsid w:val="00A265C3"/>
    <w:rsid w:val="00A43F9A"/>
    <w:rsid w:val="00A53F38"/>
    <w:rsid w:val="00A543D4"/>
    <w:rsid w:val="00AD0014"/>
    <w:rsid w:val="00AD4CF2"/>
    <w:rsid w:val="00AF0BBA"/>
    <w:rsid w:val="00B22AB3"/>
    <w:rsid w:val="00B25BBD"/>
    <w:rsid w:val="00B30468"/>
    <w:rsid w:val="00B44E31"/>
    <w:rsid w:val="00B56E1E"/>
    <w:rsid w:val="00B61AAC"/>
    <w:rsid w:val="00B86581"/>
    <w:rsid w:val="00B87A8F"/>
    <w:rsid w:val="00BA4F7E"/>
    <w:rsid w:val="00BB2C41"/>
    <w:rsid w:val="00BC55C8"/>
    <w:rsid w:val="00BC5C10"/>
    <w:rsid w:val="00BE2964"/>
    <w:rsid w:val="00C21623"/>
    <w:rsid w:val="00C24FBD"/>
    <w:rsid w:val="00C473BA"/>
    <w:rsid w:val="00C611ED"/>
    <w:rsid w:val="00C6490A"/>
    <w:rsid w:val="00C64FE1"/>
    <w:rsid w:val="00C74296"/>
    <w:rsid w:val="00C8345E"/>
    <w:rsid w:val="00CA371E"/>
    <w:rsid w:val="00CA5F7C"/>
    <w:rsid w:val="00CB5D96"/>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4550"/>
    <w:rsid w:val="00E771AB"/>
    <w:rsid w:val="00EA796F"/>
    <w:rsid w:val="00EB077B"/>
    <w:rsid w:val="00EC50B9"/>
    <w:rsid w:val="00ED26A0"/>
    <w:rsid w:val="00EF17A0"/>
    <w:rsid w:val="00F1727A"/>
    <w:rsid w:val="00F34764"/>
    <w:rsid w:val="00F54E3C"/>
    <w:rsid w:val="00F7225E"/>
    <w:rsid w:val="00F874BD"/>
    <w:rsid w:val="00FB1C4A"/>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H1GAChar">
    <w:name w:val="_ H_1_GA Char"/>
    <w:basedOn w:val="DefaultParagraphFont"/>
    <w:link w:val="H1GA"/>
    <w:rsid w:val="00FB1C4A"/>
    <w:rPr>
      <w:rFonts w:cs="Traditional Arabic"/>
      <w:b/>
      <w:bCs/>
      <w:sz w:val="24"/>
      <w:szCs w:val="34"/>
      <w:lang w:val="en-US" w:eastAsia="en-US" w:bidi="ar-SA"/>
    </w:rPr>
  </w:style>
  <w:style w:type="character" w:customStyle="1" w:styleId="longtext">
    <w:name w:val="long_text"/>
    <w:basedOn w:val="DefaultParagraphFont"/>
    <w:rsid w:val="00FB1C4A"/>
  </w:style>
  <w:style w:type="paragraph" w:styleId="BalloonText">
    <w:name w:val="Balloon Text"/>
    <w:basedOn w:val="Normal"/>
    <w:semiHidden/>
    <w:rsid w:val="00FB1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4119</Words>
  <Characters>23480</Characters>
  <Application>Microsoft Office Outlook</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CAT/C/46/D/338/2008</vt:lpstr>
    </vt:vector>
  </TitlesOfParts>
  <Company>CSD</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CAT/C/46/D/338/2008</dc:title>
  <dc:subject>ABDELLAOUI</dc:subject>
  <dc:creator>Gamal</dc:creator>
  <cp:keywords/>
  <dc:description/>
  <cp:lastModifiedBy>Gamal</cp:lastModifiedBy>
  <cp:revision>2</cp:revision>
  <cp:lastPrinted>2011-07-28T14:56:00Z</cp:lastPrinted>
  <dcterms:created xsi:type="dcterms:W3CDTF">2011-07-28T14:56:00Z</dcterms:created>
  <dcterms:modified xsi:type="dcterms:W3CDTF">2011-07-28T14:56:00Z</dcterms:modified>
</cp:coreProperties>
</file>