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BF26C9" w:rsidTr="00046CFD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E12C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F26C9" w:rsidRDefault="00E12CF1" w:rsidP="00E12CF1">
            <w:pPr>
              <w:jc w:val="right"/>
              <w:rPr>
                <w:lang w:val="en-US"/>
              </w:rPr>
            </w:pPr>
            <w:r w:rsidRPr="00BF26C9">
              <w:rPr>
                <w:sz w:val="40"/>
                <w:lang w:val="en-US"/>
              </w:rPr>
              <w:t>CERD</w:t>
            </w:r>
            <w:r w:rsidRPr="00BF26C9">
              <w:rPr>
                <w:lang w:val="en-US"/>
              </w:rPr>
              <w:t>/C/OMN/CO/2-5/Add.1</w:t>
            </w:r>
          </w:p>
        </w:tc>
      </w:tr>
      <w:tr w:rsidR="002D5AAC" w:rsidTr="00046CF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12CF1" w:rsidP="00213632">
            <w:pPr>
              <w:spacing w:before="240"/>
            </w:pPr>
            <w:r>
              <w:t>Distr. general</w:t>
            </w:r>
          </w:p>
          <w:p w:rsidR="00E12CF1" w:rsidRDefault="00E12CF1" w:rsidP="00E12CF1">
            <w:pPr>
              <w:spacing w:line="240" w:lineRule="exact"/>
            </w:pPr>
            <w:r>
              <w:t>15 de febrero de 2018</w:t>
            </w:r>
          </w:p>
          <w:p w:rsidR="00E12CF1" w:rsidRDefault="00E12CF1" w:rsidP="00E12CF1">
            <w:pPr>
              <w:spacing w:line="240" w:lineRule="exact"/>
            </w:pPr>
            <w:r>
              <w:t>Español</w:t>
            </w:r>
          </w:p>
          <w:p w:rsidR="00E12CF1" w:rsidRDefault="00E12CF1" w:rsidP="00E12CF1">
            <w:pPr>
              <w:spacing w:line="240" w:lineRule="exact"/>
            </w:pPr>
            <w:r>
              <w:t>Original: árabe</w:t>
            </w:r>
          </w:p>
          <w:p w:rsidR="00E12CF1" w:rsidRDefault="00E12CF1" w:rsidP="00E12CF1">
            <w:pPr>
              <w:spacing w:line="240" w:lineRule="exact"/>
            </w:pPr>
            <w:r>
              <w:t>Árabe, español, francés e inglés únicamente</w:t>
            </w:r>
          </w:p>
        </w:tc>
      </w:tr>
    </w:tbl>
    <w:p w:rsidR="00046CFD" w:rsidRPr="00046CFD" w:rsidRDefault="00046CFD" w:rsidP="00046CFD">
      <w:pPr>
        <w:spacing w:before="120"/>
        <w:rPr>
          <w:b/>
          <w:sz w:val="24"/>
          <w:szCs w:val="24"/>
        </w:rPr>
      </w:pPr>
      <w:r w:rsidRPr="00046CFD">
        <w:rPr>
          <w:b/>
          <w:sz w:val="24"/>
          <w:szCs w:val="24"/>
        </w:rPr>
        <w:t>Comité para la Eliminación de la Discriminación Racial</w:t>
      </w:r>
    </w:p>
    <w:p w:rsidR="00046CFD" w:rsidRPr="008B0EAE" w:rsidRDefault="00046CFD" w:rsidP="00046CFD">
      <w:pPr>
        <w:pStyle w:val="HChG"/>
      </w:pPr>
      <w:r>
        <w:tab/>
      </w:r>
      <w:r>
        <w:tab/>
      </w:r>
      <w:r w:rsidRPr="008B0EAE">
        <w:t>Observaciones finales sobre lo</w:t>
      </w:r>
      <w:r>
        <w:t xml:space="preserve">s informes periódicos segundo a </w:t>
      </w:r>
      <w:r w:rsidRPr="008B0EAE">
        <w:t>quinto combinados de Omán</w:t>
      </w:r>
    </w:p>
    <w:p w:rsidR="00046CFD" w:rsidRPr="008B0EAE" w:rsidRDefault="00046CFD" w:rsidP="00046CFD">
      <w:pPr>
        <w:pStyle w:val="H23G"/>
      </w:pPr>
      <w:r>
        <w:tab/>
      </w:r>
      <w:r>
        <w:tab/>
      </w:r>
      <w:r w:rsidRPr="008B0EAE">
        <w:t>Adición</w:t>
      </w:r>
    </w:p>
    <w:p w:rsidR="00046CFD" w:rsidRPr="008B0EAE" w:rsidRDefault="00046CFD" w:rsidP="00046CFD">
      <w:pPr>
        <w:pStyle w:val="HChG"/>
      </w:pPr>
      <w:r>
        <w:tab/>
      </w:r>
      <w:r>
        <w:tab/>
      </w:r>
      <w:r w:rsidRPr="008B0EAE">
        <w:t>Información recibida de Omán sobre el seguimient</w:t>
      </w:r>
      <w:r>
        <w:t>o de las </w:t>
      </w:r>
      <w:r w:rsidRPr="008B0EAE">
        <w:t>observaciones finales</w:t>
      </w:r>
      <w:r w:rsidRPr="00046CF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46CFD" w:rsidRPr="008B0EAE" w:rsidRDefault="00046CFD" w:rsidP="00046CFD">
      <w:pPr>
        <w:pStyle w:val="SingleTxtG"/>
        <w:jc w:val="right"/>
      </w:pPr>
      <w:r w:rsidRPr="008B0EAE">
        <w:t>[Fecha de recepción: 30 de octubre de 2017]</w:t>
      </w:r>
    </w:p>
    <w:p w:rsidR="00046CFD" w:rsidRPr="008B0EAE" w:rsidRDefault="00046CFD" w:rsidP="00046CFD">
      <w:pPr>
        <w:pStyle w:val="HChG"/>
      </w:pPr>
      <w:r>
        <w:br w:type="page"/>
      </w:r>
      <w:r w:rsidRPr="00046CFD">
        <w:rPr>
          <w:spacing w:val="-2"/>
        </w:rPr>
        <w:lastRenderedPageBreak/>
        <w:tab/>
      </w:r>
      <w:r w:rsidRPr="00046CFD">
        <w:rPr>
          <w:spacing w:val="-2"/>
        </w:rPr>
        <w:tab/>
        <w:t>Respuesta del Ministerio de Trabajo a las observaciones</w:t>
      </w:r>
      <w:r w:rsidRPr="008B0EAE">
        <w:t xml:space="preserve"> </w:t>
      </w:r>
      <w:r w:rsidRPr="00046CFD">
        <w:rPr>
          <w:spacing w:val="2"/>
        </w:rPr>
        <w:t xml:space="preserve">finales del Comité para la Eliminación </w:t>
      </w:r>
      <w:r>
        <w:t>de la Discriminación </w:t>
      </w:r>
      <w:r w:rsidRPr="008B0EAE">
        <w:t>Racia</w:t>
      </w:r>
      <w:r>
        <w:t>l sobre los informes periódicos </w:t>
      </w:r>
      <w:r w:rsidRPr="008B0EAE">
        <w:t>segundo a quinto combinados</w:t>
      </w:r>
    </w:p>
    <w:p w:rsidR="00046CFD" w:rsidRPr="008B0EAE" w:rsidRDefault="00046CFD" w:rsidP="00046CFD">
      <w:pPr>
        <w:pStyle w:val="H23G"/>
      </w:pPr>
      <w:r>
        <w:tab/>
      </w:r>
      <w:r>
        <w:tab/>
      </w:r>
      <w:r w:rsidRPr="008B0EAE">
        <w:t>Párrafo 20</w:t>
      </w:r>
    </w:p>
    <w:p w:rsidR="00046CFD" w:rsidRPr="008B0EAE" w:rsidRDefault="00046CFD" w:rsidP="00046CFD">
      <w:pPr>
        <w:pStyle w:val="SingleTxtG"/>
      </w:pPr>
      <w:r w:rsidRPr="008B0EAE">
        <w:tab/>
        <w:t>b)</w:t>
      </w:r>
      <w:r w:rsidRPr="008B0EAE">
        <w:tab/>
        <w:t>Redoble sus esfuerzos para prevenir e investigar los casos de abusos contra los trabajadores migrantes —incluido el trabajo forzoso— y procesar a los responsables, aumente el número y la presencia de inspectores de trabajo calificados y formados, e informe al Comité de los resultados de esas investigaciones.</w:t>
      </w:r>
    </w:p>
    <w:p w:rsidR="00046CFD" w:rsidRPr="008B0EAE" w:rsidRDefault="00046CFD" w:rsidP="00046CFD">
      <w:pPr>
        <w:pStyle w:val="SingleTxtG"/>
      </w:pPr>
      <w:r w:rsidRPr="008B0EAE">
        <w:t>1.</w:t>
      </w:r>
      <w:r w:rsidRPr="008B0EAE">
        <w:tab/>
        <w:t>El Ministerio de Trabajo desempeña un papel fundamental en la regulación del mercado de trabajo y en lo tocante a hacer que las instituciones del sector privado apliquen el Código de Trabajo y las normas de salud y seguridad ocupacionales. Se ha establecido un equipo especializado en materia de inspección laboral, constituido en su mayoría por licenciados en derecho y en disciplinas relacionadas con la inspección del mercado de trabajo, que han recibido formación y capacitación bajo la supervisión de la Organización Internacional del Trabajo, de conformidad con las normas internacionales, en todas las materias que contribuyen a mejorar las competencias de los inspectores. A finales de diciembre de 2016 había 365 inspectores e inspectoras. A fin de ampliar el proceso de supervisión y regulación del mercado de trabajo, se han creado una serie de direcciones y departamentos en diversas provincias de la Sultanía.</w:t>
      </w:r>
    </w:p>
    <w:p w:rsidR="00046CFD" w:rsidRPr="008B0EAE" w:rsidRDefault="00046CFD" w:rsidP="00046CFD">
      <w:pPr>
        <w:pStyle w:val="SingleTxtG"/>
      </w:pPr>
      <w:r w:rsidRPr="008B0EAE">
        <w:t>2.</w:t>
      </w:r>
      <w:r w:rsidRPr="008B0EAE">
        <w:tab/>
        <w:t>Se han firmado varios memorandos de entendimiento en la esfera laboral, que tienen por objeto regular el reclutamiento de trabajadores y preservar sus derechos, con los siguientes Estados de origen de mano de obra: India, Bangladesh, Sri Lanka, Viet Nam, Irán, República Árabe Siria, Estado de Palestina, Egipto y Marruecos. Algunos de esos memorandos incluyen una cláusula que permite el intercambio de información entre los dos países, lo que impide la contratación ilegal de mano de obra y la trata de personas. Se está trabajando en la firma de memorandos de entendimiento en la esfera laboral con estos otros Estados: Pakistán, Kenya, Gobierno de Zanzíbar, Nepal y Filipinas.</w:t>
      </w:r>
    </w:p>
    <w:p w:rsidR="00046CFD" w:rsidRPr="008B0EAE" w:rsidRDefault="00046CFD" w:rsidP="00046CFD">
      <w:pPr>
        <w:pStyle w:val="SingleTxtG"/>
      </w:pPr>
      <w:r w:rsidRPr="008B0EAE">
        <w:t>3.</w:t>
      </w:r>
      <w:r w:rsidRPr="008B0EAE">
        <w:tab/>
        <w:t>Medidas del Ministerio para dar cumplimiento al Código de Trabajo de 2016:</w:t>
      </w:r>
    </w:p>
    <w:p w:rsidR="00046CFD" w:rsidRPr="008B0EAE" w:rsidRDefault="00046CFD" w:rsidP="00046CFD">
      <w:pPr>
        <w:pStyle w:val="Bullet1G"/>
      </w:pPr>
      <w:r w:rsidRPr="008B0EAE">
        <w:t>Inspección exhaustiva de las empresas: el Ministerio vigila y vela por la aplicación de las normas y leyes relativas al mercado de trabajo mediante el sistema de inspección. En 2016 se realizaron 8.890 visitas de inspección a instalaciones.</w:t>
      </w:r>
    </w:p>
    <w:p w:rsidR="00046CFD" w:rsidRPr="008B0EAE" w:rsidRDefault="00046CFD" w:rsidP="00046CFD">
      <w:pPr>
        <w:pStyle w:val="Bullet1G"/>
      </w:pPr>
      <w:r w:rsidRPr="008B0EAE">
        <w:t>Inspección de la seguridad y la salud ocupacionales: en 2016 se llevaron a cabo 1.328 visitas de inspección sobre el terreno en la esfera de la seguridad y la salud ocupacionales en las empresas de la Sultanía, con el fin de garantizar el cumplimiento de las condiciones de seguridad y salud en el trabajo, de conformidad a lo dispuesto en el Código de Trabajo y en el Reglamento de Seguridad y Salud Ocupacionales en las Empresas del Sector Privado. Con ello se perseguía prevenir las lesiones labores entre los trabajadores, garantizar su seguridad y brindar un entorno de trabajo saludable y adecuado. Se comprobó que 693 de las instalaciones inspeccionadas no cumplían las disposiciones del Reglamento, y se adoptaron las medidas legales pertinentes.</w:t>
      </w:r>
    </w:p>
    <w:p w:rsidR="00046CFD" w:rsidRPr="008B0EAE" w:rsidRDefault="00046CFD" w:rsidP="00046CFD">
      <w:pPr>
        <w:pStyle w:val="Bullet1G"/>
      </w:pPr>
      <w:r w:rsidRPr="008B0EAE">
        <w:t>Denuncias y comunicaciones: en 2016, el Ministerio recibió 11.378 casos de comunicación o denuncia laboral por incumplimiento de lo dispuesto en el Código de Trabajo, así como en las decisiones ejecutivas correspondientes; 8.614 casos se resolvieron por vía amistosa y 2.824 denuncias se remitieron a los tribunales para que se adoptaran las decisiones del caso. Asimismo, ese mismo año había 312 denuncias laborales que seguían sujetas a examen.</w:t>
      </w:r>
    </w:p>
    <w:p w:rsidR="00046CFD" w:rsidRPr="008B0EAE" w:rsidRDefault="00046CFD" w:rsidP="00046CFD">
      <w:pPr>
        <w:pStyle w:val="Bullet1G"/>
      </w:pPr>
      <w:r w:rsidRPr="008B0EAE">
        <w:t>Sindicatos: en 2016 había en Omán 232 sindicatos, cuyos afiliados eran trabajadores de empresas industriales y comerciales y de otras actividades económicas.</w:t>
      </w:r>
    </w:p>
    <w:p w:rsidR="00046CFD" w:rsidRPr="008B0EAE" w:rsidRDefault="00046CFD" w:rsidP="00046CFD">
      <w:pPr>
        <w:pStyle w:val="Bullet1G"/>
      </w:pPr>
      <w:r w:rsidRPr="008B0EAE">
        <w:t>Inspección conjunta: en 2016 se interceptó a 21.946 personas; el número de infractores fue de 10.047 y se llevaron a cabo 11.899 expulsiones.</w:t>
      </w:r>
    </w:p>
    <w:p w:rsidR="00046CFD" w:rsidRPr="008B0EAE" w:rsidRDefault="00046CFD" w:rsidP="00046CFD">
      <w:pPr>
        <w:pStyle w:val="Bullet1G"/>
      </w:pPr>
      <w:r w:rsidRPr="008B0EAE">
        <w:t>Reglamentos y leyes: los reglamentos y las leyes locales garantizan la transferencia de trabajadores de un empleador a otro. El Ministerio recibe las solicitudes de los trabajadores que desean cambiar de empleador. En 2016, el Ministerio recibió 632 casos, que se detallan</w:t>
      </w:r>
      <w:r>
        <w:t xml:space="preserve"> en el siguiente cuadro.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340"/>
        <w:gridCol w:w="1778"/>
        <w:gridCol w:w="1700"/>
      </w:tblGrid>
      <w:tr w:rsidR="00046CFD" w:rsidRPr="00046CFD" w:rsidTr="00353E16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46CFD" w:rsidRPr="00046CFD" w:rsidRDefault="00046CFD" w:rsidP="00046CFD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>Efecto de la denuncia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46CFD" w:rsidRPr="00046CFD" w:rsidRDefault="00046CFD" w:rsidP="00D12133">
            <w:pPr>
              <w:pStyle w:val="SingleTxtG"/>
              <w:spacing w:before="80" w:after="80" w:line="200" w:lineRule="exact"/>
              <w:ind w:left="113" w:right="0"/>
              <w:jc w:val="righ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>En examen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46CFD" w:rsidRPr="00046CFD" w:rsidRDefault="00046CFD" w:rsidP="00046CF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>Solución amistosa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46CFD" w:rsidRPr="00046CFD" w:rsidRDefault="00046CFD" w:rsidP="00046CFD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>Remisión a</w:t>
            </w:r>
            <w:r>
              <w:rPr>
                <w:i/>
                <w:iCs/>
                <w:sz w:val="16"/>
              </w:rPr>
              <w:t xml:space="preserve"> </w:t>
            </w:r>
            <w:r w:rsidRPr="00046CFD">
              <w:rPr>
                <w:i/>
                <w:iCs/>
                <w:sz w:val="16"/>
              </w:rPr>
              <w:t>los tribunales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46CFD" w:rsidRPr="00046CFD" w:rsidRDefault="00046CFD" w:rsidP="00D12133">
            <w:pPr>
              <w:pStyle w:val="SingleTxtG"/>
              <w:spacing w:before="80" w:after="80" w:line="200" w:lineRule="exact"/>
              <w:ind w:left="113" w:right="0"/>
              <w:jc w:val="righ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 xml:space="preserve">Remisión a un equipo </w:t>
            </w:r>
            <w:r>
              <w:rPr>
                <w:i/>
                <w:iCs/>
                <w:sz w:val="16"/>
              </w:rPr>
              <w:br/>
            </w:r>
            <w:r w:rsidRPr="00046CFD">
              <w:rPr>
                <w:i/>
                <w:iCs/>
                <w:sz w:val="16"/>
              </w:rPr>
              <w:t>de inspección</w:t>
            </w:r>
          </w:p>
        </w:tc>
      </w:tr>
      <w:tr w:rsidR="00046CFD" w:rsidRPr="00BF26C9" w:rsidTr="00353E16">
        <w:trPr>
          <w:trHeight w:val="240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046CFD" w:rsidRPr="00BF26C9" w:rsidRDefault="00046CFD" w:rsidP="00FE431E">
            <w:pPr>
              <w:pStyle w:val="SingleTxtG"/>
              <w:spacing w:before="80" w:after="8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BF26C9">
              <w:rPr>
                <w:b/>
                <w:bCs/>
                <w:sz w:val="18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46CFD" w:rsidRPr="00BF26C9" w:rsidRDefault="00046CFD" w:rsidP="00046CFD">
            <w:pPr>
              <w:pStyle w:val="SingleTxtG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F26C9">
              <w:rPr>
                <w:b/>
                <w:bCs/>
                <w:sz w:val="18"/>
              </w:rPr>
              <w:t>28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46CFD" w:rsidRPr="00BF26C9" w:rsidRDefault="00046CFD" w:rsidP="00046CFD">
            <w:pPr>
              <w:pStyle w:val="SingleTxtG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F26C9">
              <w:rPr>
                <w:b/>
                <w:bCs/>
                <w:sz w:val="18"/>
              </w:rPr>
              <w:t>330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46CFD" w:rsidRPr="00BF26C9" w:rsidRDefault="00046CFD" w:rsidP="00046CFD">
            <w:pPr>
              <w:pStyle w:val="SingleTxtG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F26C9">
              <w:rPr>
                <w:b/>
                <w:bCs/>
                <w:sz w:val="18"/>
              </w:rPr>
              <w:t>274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46CFD" w:rsidRPr="00BF26C9" w:rsidRDefault="00046CFD" w:rsidP="00046CFD">
            <w:pPr>
              <w:pStyle w:val="SingleTxtG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F26C9">
              <w:rPr>
                <w:b/>
                <w:bCs/>
                <w:sz w:val="18"/>
              </w:rPr>
              <w:t>0</w:t>
            </w:r>
          </w:p>
        </w:tc>
      </w:tr>
    </w:tbl>
    <w:p w:rsidR="00046CFD" w:rsidRPr="008B0EAE" w:rsidRDefault="00046CFD" w:rsidP="00046CFD">
      <w:pPr>
        <w:pStyle w:val="SingleTxtG"/>
        <w:spacing w:before="240"/>
      </w:pPr>
      <w:r w:rsidRPr="008B0EAE">
        <w:t>4.</w:t>
      </w:r>
      <w:r w:rsidRPr="008B0EAE">
        <w:tab/>
        <w:t>Capacitación y formación: entre noviembre de 2015 y el 22 de mayo de 2017, el Ministerio de Trabajo participó en varios programas de formación, talleres y seminarios para mejorar las competencias de su personal encargado de la inspección, los cuales se indican a continuación:</w:t>
      </w:r>
      <w:bookmarkStart w:id="0" w:name="_GoBack"/>
      <w:bookmarkEnd w:id="0"/>
    </w:p>
    <w:p w:rsidR="00046CFD" w:rsidRPr="008B0EAE" w:rsidRDefault="00046CFD" w:rsidP="00046CFD">
      <w:pPr>
        <w:pStyle w:val="Bullet1G"/>
      </w:pPr>
      <w:r w:rsidRPr="008B0EAE">
        <w:t>Taller sobre solución de controversias laborales (mayo de 2015).</w:t>
      </w:r>
    </w:p>
    <w:p w:rsidR="00046CFD" w:rsidRPr="008B0EAE" w:rsidRDefault="00046CFD" w:rsidP="00046CFD">
      <w:pPr>
        <w:pStyle w:val="Bullet1G"/>
      </w:pPr>
      <w:r w:rsidRPr="008B0EAE">
        <w:t>Taller sobre las normas internacionales del trabajo (julio de 2015).</w:t>
      </w:r>
    </w:p>
    <w:p w:rsidR="00046CFD" w:rsidRPr="008B0EAE" w:rsidRDefault="00046CFD" w:rsidP="00046CFD">
      <w:pPr>
        <w:pStyle w:val="Bullet1G"/>
      </w:pPr>
      <w:r w:rsidRPr="008B0EAE">
        <w:t>Taller sobre diálogo social tripartito (septiembre de 2015).</w:t>
      </w:r>
    </w:p>
    <w:p w:rsidR="00046CFD" w:rsidRPr="008B0EAE" w:rsidRDefault="00046CFD" w:rsidP="00046CFD">
      <w:pPr>
        <w:pStyle w:val="Bullet1G"/>
      </w:pPr>
      <w:r w:rsidRPr="008B0EAE">
        <w:t>Taller sobre desarrollo de la función de los comités sectoriales desde la perspectiva del diálogo social (septiembre de 2015).</w:t>
      </w:r>
    </w:p>
    <w:p w:rsidR="00046CFD" w:rsidRPr="008B0EAE" w:rsidRDefault="00046CFD" w:rsidP="00046CFD">
      <w:pPr>
        <w:pStyle w:val="Bullet1G"/>
      </w:pPr>
      <w:r w:rsidRPr="008B0EAE">
        <w:t>Curso práctico sobre desarrollo de la capacidad de los profesionales dedicados a las normas de trabajo internacionales y árabes (mayo de 2016).</w:t>
      </w:r>
    </w:p>
    <w:p w:rsidR="00046CFD" w:rsidRPr="008B0EAE" w:rsidRDefault="00046CFD" w:rsidP="00046CFD">
      <w:pPr>
        <w:pStyle w:val="Bullet1G"/>
      </w:pPr>
      <w:r w:rsidRPr="008B0EAE">
        <w:t>Curso práctico sobre tecnología de la información y su impacto en el mercado de trabajo; modelos nuevos (septiembre de 2016).</w:t>
      </w:r>
    </w:p>
    <w:p w:rsidR="00046CFD" w:rsidRPr="008B0EAE" w:rsidRDefault="00046CFD" w:rsidP="00046CFD">
      <w:pPr>
        <w:pStyle w:val="Bullet1G"/>
      </w:pPr>
      <w:r w:rsidRPr="008B0EAE">
        <w:t xml:space="preserve">Participación en un simposio nacional titulado “Nacionalización de la mano de obra y posibilidades de reclutamiento regulado de trabajadores árabes a la luz de los cambios en la región árabe” (octubre de 2016). </w:t>
      </w:r>
    </w:p>
    <w:p w:rsidR="00046CFD" w:rsidRPr="008B0EAE" w:rsidRDefault="00046CFD" w:rsidP="00046CFD">
      <w:pPr>
        <w:pStyle w:val="Bullet1G"/>
      </w:pPr>
      <w:r w:rsidRPr="008B0EAE">
        <w:t>Participación en una reunión sobre la salud y la seguridad en los puertos, Ginebra (noviembre de 2016).</w:t>
      </w:r>
    </w:p>
    <w:p w:rsidR="00046CFD" w:rsidRPr="008B0EAE" w:rsidRDefault="00046CFD" w:rsidP="00046CFD">
      <w:pPr>
        <w:pStyle w:val="Bullet1G"/>
      </w:pPr>
      <w:r w:rsidRPr="008B0EAE">
        <w:t>Simposio titulado “Mano de obra no regulada (</w:t>
      </w:r>
      <w:r w:rsidRPr="008B0EAE">
        <w:rPr>
          <w:i/>
          <w:iCs/>
        </w:rPr>
        <w:t>free visa</w:t>
      </w:r>
      <w:r w:rsidRPr="008B0EAE">
        <w:t>)</w:t>
      </w:r>
      <w:r w:rsidRPr="008B0EAE">
        <w:rPr>
          <w:i/>
          <w:iCs/>
        </w:rPr>
        <w:t xml:space="preserve"> </w:t>
      </w:r>
      <w:r w:rsidRPr="008B0EAE">
        <w:t>en los Estados del Consejo de Cooperación del Golfo”, Bahrein (1 de febrero de 2016).</w:t>
      </w:r>
    </w:p>
    <w:p w:rsidR="00046CFD" w:rsidRPr="008B0EAE" w:rsidRDefault="00046CFD" w:rsidP="00046CFD">
      <w:pPr>
        <w:pStyle w:val="Bullet1G"/>
      </w:pPr>
      <w:r w:rsidRPr="008B0EAE">
        <w:t>Reunión sobre la salud y la seguridad en los puertos, Ginebra (21 a 30 de noviembre de 2016).</w:t>
      </w:r>
    </w:p>
    <w:p w:rsidR="00046CFD" w:rsidRPr="008B0EAE" w:rsidRDefault="00046CFD" w:rsidP="00046CFD">
      <w:pPr>
        <w:pStyle w:val="Bullet1G"/>
      </w:pPr>
      <w:r w:rsidRPr="008B0EAE">
        <w:t>Participación en un curso práctico sobre las normas internacionales del trabajo y las obligaciones en materia de presentación de informes relativos a la inspección del trabajo y el trabajo forzoso, Dubái (8 a 11 de mayo de 2017).</w:t>
      </w:r>
    </w:p>
    <w:p w:rsidR="00046CFD" w:rsidRPr="008B0EAE" w:rsidRDefault="00046CFD" w:rsidP="00046CFD">
      <w:pPr>
        <w:pStyle w:val="Bullet1G"/>
      </w:pPr>
      <w:r w:rsidRPr="008B0EAE">
        <w:t>Mesa redonda sobre la trata de personas en cooperación con el Ministerio de Relaciones Exteriores (21 de mayo de 2017).</w:t>
      </w:r>
    </w:p>
    <w:p w:rsidR="00046CFD" w:rsidRPr="008B0EAE" w:rsidRDefault="00046CFD" w:rsidP="00046CFD">
      <w:pPr>
        <w:pStyle w:val="SingleTxtG"/>
      </w:pPr>
      <w:r w:rsidRPr="008B0EAE">
        <w:t>5.</w:t>
      </w:r>
      <w:r w:rsidRPr="008B0EAE">
        <w:tab/>
        <w:t>Los comités principales que coordinan las actividades son, entre otros, los siguientes: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765"/>
        <w:gridCol w:w="3191"/>
        <w:gridCol w:w="2414"/>
      </w:tblGrid>
      <w:tr w:rsidR="00046CFD" w:rsidRPr="00046CFD" w:rsidTr="00D12133">
        <w:trPr>
          <w:trHeight w:val="240"/>
          <w:tblHeader/>
        </w:trPr>
        <w:tc>
          <w:tcPr>
            <w:tcW w:w="1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6CFD" w:rsidRPr="00046CFD" w:rsidRDefault="00046CFD" w:rsidP="00D12133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>Comités/programas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6CFD" w:rsidRPr="00046CFD" w:rsidRDefault="00046CFD" w:rsidP="00D12133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>Competencia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6CFD" w:rsidRPr="00046CFD" w:rsidRDefault="00046CFD" w:rsidP="00D12133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</w:rPr>
            </w:pPr>
            <w:r w:rsidRPr="00046CFD">
              <w:rPr>
                <w:i/>
                <w:iCs/>
                <w:sz w:val="16"/>
              </w:rPr>
              <w:t>Instituciones responsables de la aplicación de la política</w:t>
            </w:r>
          </w:p>
        </w:tc>
      </w:tr>
      <w:tr w:rsidR="00046CFD" w:rsidRPr="00046CFD" w:rsidTr="00D12133">
        <w:trPr>
          <w:trHeight w:val="240"/>
        </w:trPr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046CFD" w:rsidRPr="00046CFD" w:rsidRDefault="00046CFD" w:rsidP="00D12133">
            <w:pPr>
              <w:pStyle w:val="SingleTxtG"/>
              <w:spacing w:before="40"/>
              <w:ind w:left="0" w:right="0"/>
              <w:jc w:val="left"/>
            </w:pPr>
            <w:r w:rsidRPr="00046CFD">
              <w:t>Comité competente para reunirse con las embajadas de los Estados de origen de la mano de obra</w:t>
            </w:r>
          </w:p>
        </w:tc>
        <w:tc>
          <w:tcPr>
            <w:tcW w:w="3721" w:type="dxa"/>
            <w:tcBorders>
              <w:top w:val="single" w:sz="12" w:space="0" w:color="auto"/>
            </w:tcBorders>
            <w:shd w:val="clear" w:color="auto" w:fill="auto"/>
          </w:tcPr>
          <w:p w:rsidR="00046CFD" w:rsidRPr="00046CFD" w:rsidRDefault="00FE431E" w:rsidP="00FE431E">
            <w:pPr>
              <w:pStyle w:val="SingleTxtG"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Encontrar soluciones apropiadas a los problemas a los que se enfrentan los trabajadores extranjeros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:rsidR="00046CFD" w:rsidRPr="00046CFD" w:rsidRDefault="00FE431E" w:rsidP="00046CFD">
            <w:pPr>
              <w:pStyle w:val="SingleTxtG"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Ministerio de Trabajo</w:t>
            </w:r>
          </w:p>
          <w:p w:rsidR="00046CFD" w:rsidRPr="00046CFD" w:rsidRDefault="00FE431E" w:rsidP="00046CFD">
            <w:pPr>
              <w:pStyle w:val="SingleTxtG"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Policía Sultaní de Omán</w:t>
            </w:r>
          </w:p>
          <w:p w:rsidR="00046CFD" w:rsidRPr="00046CFD" w:rsidRDefault="00FE431E" w:rsidP="00046CFD">
            <w:pPr>
              <w:pStyle w:val="SingleTxtG"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Ministerio de Relaciones Exteriores</w:t>
            </w:r>
          </w:p>
          <w:p w:rsidR="00046CFD" w:rsidRPr="00046CFD" w:rsidRDefault="00FE431E" w:rsidP="00046CFD">
            <w:pPr>
              <w:pStyle w:val="SingleTxtG"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Estados de origen de la mano de obra</w:t>
            </w:r>
          </w:p>
        </w:tc>
      </w:tr>
      <w:tr w:rsidR="00046CFD" w:rsidRPr="00046CFD" w:rsidTr="00D12133">
        <w:trPr>
          <w:trHeight w:val="240"/>
        </w:trPr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046CFD" w:rsidRPr="00046CFD" w:rsidRDefault="00046CFD" w:rsidP="00046CFD">
            <w:pPr>
              <w:pStyle w:val="SingleTxtG"/>
              <w:keepNext/>
              <w:spacing w:before="40"/>
              <w:ind w:left="0" w:right="0"/>
              <w:jc w:val="left"/>
            </w:pPr>
            <w:r w:rsidRPr="00046CFD">
              <w:t xml:space="preserve">Comité de regularización de la situación de los trabajadores extranjeros </w:t>
            </w:r>
          </w:p>
        </w:tc>
        <w:tc>
          <w:tcPr>
            <w:tcW w:w="3721" w:type="dxa"/>
            <w:tcBorders>
              <w:bottom w:val="single" w:sz="12" w:space="0" w:color="auto"/>
            </w:tcBorders>
            <w:shd w:val="clear" w:color="auto" w:fill="auto"/>
          </w:tcPr>
          <w:p w:rsidR="00046CFD" w:rsidRPr="00046CFD" w:rsidRDefault="00FE431E" w:rsidP="00046CFD">
            <w:pPr>
              <w:pStyle w:val="SingleTxtG"/>
              <w:keepNext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Regularizar la situación de los trabajadores extranjeros</w:t>
            </w: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046CFD" w:rsidRPr="00046CFD" w:rsidRDefault="00FE431E" w:rsidP="00046CFD">
            <w:pPr>
              <w:pStyle w:val="SingleTxtG"/>
              <w:keepNext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Ministerio de Trabajo</w:t>
            </w:r>
          </w:p>
          <w:p w:rsidR="00046CFD" w:rsidRPr="00046CFD" w:rsidRDefault="00FE431E" w:rsidP="00046CFD">
            <w:pPr>
              <w:pStyle w:val="SingleTxtG"/>
              <w:keepNext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Ministerio Fiscal</w:t>
            </w:r>
          </w:p>
          <w:p w:rsidR="00046CFD" w:rsidRPr="00046CFD" w:rsidRDefault="00FE431E" w:rsidP="00046CFD">
            <w:pPr>
              <w:pStyle w:val="SingleTxtG"/>
              <w:keepNext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Policía Sultaní de Omán</w:t>
            </w:r>
          </w:p>
          <w:p w:rsidR="00046CFD" w:rsidRPr="00046CFD" w:rsidRDefault="00FE431E" w:rsidP="00046CFD">
            <w:pPr>
              <w:pStyle w:val="SingleTxtG"/>
              <w:keepNext/>
              <w:tabs>
                <w:tab w:val="left" w:pos="215"/>
              </w:tabs>
              <w:spacing w:before="40"/>
              <w:ind w:left="215" w:right="0" w:hanging="215"/>
              <w:jc w:val="left"/>
            </w:pPr>
            <w:r>
              <w:t>•</w:t>
            </w:r>
            <w:r w:rsidR="00046CFD" w:rsidRPr="00046CFD">
              <w:tab/>
              <w:t>Ministerio de Relaciones Exteriores</w:t>
            </w:r>
          </w:p>
        </w:tc>
      </w:tr>
    </w:tbl>
    <w:p w:rsidR="00046CFD" w:rsidRPr="008B0EAE" w:rsidRDefault="00046CFD" w:rsidP="00046CFD">
      <w:pPr>
        <w:pStyle w:val="SingleTxtG"/>
        <w:spacing w:before="240"/>
      </w:pPr>
      <w:r w:rsidRPr="008B0EAE">
        <w:tab/>
        <w:t>d)</w:t>
      </w:r>
      <w:r w:rsidRPr="008B0EAE">
        <w:tab/>
        <w:t xml:space="preserve">Adopte medidas para sensibilizar a los trabajadores migrantes sobre todos los cauces existentes para presentar denuncias —por ejemplo, ante los tribunales— y, a tal efecto, proporcione información jurídica y servicios de asesoramiento a las víctimas y garantice el acceso a esas prestaciones. </w:t>
      </w:r>
    </w:p>
    <w:p w:rsidR="00046CFD" w:rsidRPr="008B0EAE" w:rsidRDefault="00046CFD" w:rsidP="00046CFD">
      <w:pPr>
        <w:pStyle w:val="SingleTxtG"/>
      </w:pPr>
      <w:r w:rsidRPr="008B0EAE">
        <w:t>6.</w:t>
      </w:r>
      <w:r w:rsidRPr="008B0EAE">
        <w:tab/>
        <w:t>El Ministerio de Trabajo se ha esforzado por simplificar los procedimientos de presentación de denuncias laborales. A este respecto, el Ministerio ha puesto recientemente en marcha un sistema de recepción de denuncias laborales y comunicaciones por vía electrónica en su sitio web (www.manpower.gov.om). El sistema está operativo desde agosto de 2016 y permite al trabajador presentar su denuncia accediendo al sitio web del Ministerio o formularla por teléfono móvil, así como seguir los pasos requeridos en cualquier momento y lugar. El sistema de denuncias y comunicaciones incluye los siguientes servicios:</w:t>
      </w:r>
    </w:p>
    <w:p w:rsidR="00046CFD" w:rsidRPr="008B0EAE" w:rsidRDefault="00046CFD" w:rsidP="00046CFD">
      <w:pPr>
        <w:pStyle w:val="Bullet1G"/>
      </w:pPr>
      <w:r w:rsidRPr="008B0EAE">
        <w:t>Recepción de las denuncias laborales;</w:t>
      </w:r>
    </w:p>
    <w:p w:rsidR="00046CFD" w:rsidRPr="008B0EAE" w:rsidRDefault="00046CFD" w:rsidP="00046CFD">
      <w:pPr>
        <w:pStyle w:val="Bullet1G"/>
      </w:pPr>
      <w:r w:rsidRPr="008B0EAE">
        <w:t>Seguimiento de las denuncias interpuestas;</w:t>
      </w:r>
    </w:p>
    <w:p w:rsidR="00046CFD" w:rsidRPr="008B0EAE" w:rsidRDefault="00046CFD" w:rsidP="00046CFD">
      <w:pPr>
        <w:pStyle w:val="Bullet1G"/>
      </w:pPr>
      <w:r w:rsidRPr="008B0EAE">
        <w:t>Presentación de comunicaciones sobre empresas del sector privado que incumplan el Código de Trabajo;</w:t>
      </w:r>
    </w:p>
    <w:p w:rsidR="00046CFD" w:rsidRPr="008B0EAE" w:rsidRDefault="00046CFD" w:rsidP="00046CFD">
      <w:pPr>
        <w:pStyle w:val="Bullet1G"/>
      </w:pPr>
      <w:r w:rsidRPr="008B0EAE">
        <w:t xml:space="preserve">Presentación de comunicaciones sobre trabajadores que infrinjan lo dispuesto en el Código de Trabajo. </w:t>
      </w:r>
    </w:p>
    <w:p w:rsidR="00046CFD" w:rsidRPr="008B0EAE" w:rsidRDefault="00046CFD" w:rsidP="00046CFD">
      <w:pPr>
        <w:pStyle w:val="SingleTxtG"/>
      </w:pPr>
      <w:r w:rsidRPr="008B0EAE">
        <w:t>7.</w:t>
      </w:r>
      <w:r w:rsidRPr="008B0EAE">
        <w:tab/>
        <w:t>Asimismo, el Ministerio ha llevado a cabo programas de concienciación y educación, según se detalla a continuación:</w:t>
      </w:r>
    </w:p>
    <w:p w:rsidR="00046CFD" w:rsidRPr="008B0EAE" w:rsidRDefault="00046CFD" w:rsidP="00046CFD">
      <w:pPr>
        <w:pStyle w:val="Bullet1G"/>
      </w:pPr>
      <w:r w:rsidRPr="008B0EAE">
        <w:t>Se han elaborado y publicado manuales en 14 idiomas y se han distribuido a los extranjeros que acuden a Omán a trabajar con el fin de proporcionarles información completa sobre sus derechos de modo que se favorezca la protección y el respeto; y asesorarles sobre los compromisos derivados de los contratos laborales y las disposiciones de la ley para evitar prácticas negativas que den lugar a casos de trata de personas, así como sobre el modo en que pueden comunicarse con las autoridades competentes en caso de que se produzca cualqui</w:t>
      </w:r>
      <w:r>
        <w:t>er transgresión de sus derechos.</w:t>
      </w:r>
    </w:p>
    <w:p w:rsidR="00046CFD" w:rsidRPr="008B0EAE" w:rsidRDefault="00046CFD" w:rsidP="00046CFD">
      <w:pPr>
        <w:pStyle w:val="Bullet1G"/>
      </w:pPr>
      <w:r w:rsidRPr="008B0EAE">
        <w:t>Se ha habilitado un servicio de atención telefónica para registrar observaciones, denuncias y comunicaciones relativas al Código de Trabajo y cualquier irregularidad cometida, tanto en lo que respecta al Código como a su reglamento de aplicación, mediante la línea gratuita 80077000, que está disponible las 24 horas de</w:t>
      </w:r>
      <w:r>
        <w:t>l día, los 7 días de la semana.</w:t>
      </w:r>
    </w:p>
    <w:p w:rsidR="00E12CF1" w:rsidRDefault="00046CFD" w:rsidP="00046CFD">
      <w:pPr>
        <w:pStyle w:val="Bullet1G"/>
      </w:pPr>
      <w:r w:rsidRPr="008B0EAE">
        <w:t>Se han prestado servicios de concienciación a trabajadores y empleadores. En 2016, el Ministerio llevó a cabo 625 programas de concienciación individualizados y 60 colectivos. Asimismo, se enviaron 140.512 mensajes de texto (SMS) sobre concienciación.</w:t>
      </w:r>
    </w:p>
    <w:p w:rsidR="00381C24" w:rsidRPr="00046CFD" w:rsidRDefault="00046CFD" w:rsidP="00046CFD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46CFD" w:rsidSect="00E12C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81" w:rsidRPr="00D43FF0" w:rsidRDefault="00D04C81" w:rsidP="00D43FF0">
      <w:pPr>
        <w:pStyle w:val="Footer"/>
      </w:pPr>
    </w:p>
  </w:endnote>
  <w:endnote w:type="continuationSeparator" w:id="0">
    <w:p w:rsidR="00D04C81" w:rsidRPr="00D43FF0" w:rsidRDefault="00D04C81" w:rsidP="00D43FF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F1" w:rsidRPr="00E12CF1" w:rsidRDefault="00E12CF1" w:rsidP="00E12CF1">
    <w:pPr>
      <w:pStyle w:val="Footer"/>
      <w:tabs>
        <w:tab w:val="right" w:pos="9638"/>
      </w:tabs>
    </w:pPr>
    <w:r w:rsidRPr="00E12CF1">
      <w:rPr>
        <w:b/>
        <w:sz w:val="18"/>
      </w:rPr>
      <w:fldChar w:fldCharType="begin"/>
    </w:r>
    <w:r w:rsidRPr="00E12CF1">
      <w:rPr>
        <w:b/>
        <w:sz w:val="18"/>
      </w:rPr>
      <w:instrText xml:space="preserve"> PAGE  \* MERGEFORMAT </w:instrText>
    </w:r>
    <w:r w:rsidRPr="00E12CF1">
      <w:rPr>
        <w:b/>
        <w:sz w:val="18"/>
      </w:rPr>
      <w:fldChar w:fldCharType="separate"/>
    </w:r>
    <w:r w:rsidR="004A607F">
      <w:rPr>
        <w:b/>
        <w:noProof/>
        <w:sz w:val="18"/>
      </w:rPr>
      <w:t>2</w:t>
    </w:r>
    <w:r w:rsidRPr="00E12CF1">
      <w:rPr>
        <w:b/>
        <w:sz w:val="18"/>
      </w:rPr>
      <w:fldChar w:fldCharType="end"/>
    </w:r>
    <w:r>
      <w:rPr>
        <w:b/>
        <w:sz w:val="18"/>
      </w:rPr>
      <w:tab/>
    </w:r>
    <w:r>
      <w:t>GE.18-02323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F1" w:rsidRPr="00E12CF1" w:rsidRDefault="00E12CF1" w:rsidP="00E12CF1">
    <w:pPr>
      <w:pStyle w:val="Footer"/>
      <w:tabs>
        <w:tab w:val="right" w:pos="9638"/>
      </w:tabs>
      <w:rPr>
        <w:b/>
        <w:sz w:val="18"/>
      </w:rPr>
    </w:pPr>
    <w:r>
      <w:t>GE.18-02323</w:t>
    </w:r>
    <w:r>
      <w:tab/>
    </w:r>
    <w:r w:rsidRPr="00E12CF1">
      <w:rPr>
        <w:b/>
        <w:sz w:val="18"/>
      </w:rPr>
      <w:fldChar w:fldCharType="begin"/>
    </w:r>
    <w:r w:rsidRPr="00E12CF1">
      <w:rPr>
        <w:b/>
        <w:sz w:val="18"/>
      </w:rPr>
      <w:instrText xml:space="preserve"> PAGE  \* MERGEFORMAT </w:instrText>
    </w:r>
    <w:r w:rsidRPr="00E12CF1">
      <w:rPr>
        <w:b/>
        <w:sz w:val="18"/>
      </w:rPr>
      <w:fldChar w:fldCharType="separate"/>
    </w:r>
    <w:r w:rsidR="004A607F">
      <w:rPr>
        <w:b/>
        <w:noProof/>
        <w:sz w:val="18"/>
      </w:rPr>
      <w:t>3</w:t>
    </w:r>
    <w:r w:rsidRPr="00E12C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E12CF1" w:rsidRDefault="00E12CF1" w:rsidP="00E12CF1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18-02323  (S)</w:t>
    </w:r>
    <w:r w:rsidR="00C15F8A">
      <w:rPr>
        <w:sz w:val="20"/>
      </w:rPr>
      <w:t xml:space="preserve">    190318    190318</w:t>
    </w:r>
    <w:r>
      <w:rPr>
        <w:sz w:val="20"/>
      </w:rPr>
      <w:br/>
    </w:r>
    <w:r w:rsidRPr="00E12CF1">
      <w:rPr>
        <w:rFonts w:ascii="C39T30Lfz" w:hAnsi="C39T30Lfz"/>
        <w:sz w:val="56"/>
      </w:rPr>
      <w:t></w:t>
    </w:r>
    <w:r w:rsidRPr="00E12CF1">
      <w:rPr>
        <w:rFonts w:ascii="C39T30Lfz" w:hAnsi="C39T30Lfz"/>
        <w:sz w:val="56"/>
      </w:rPr>
      <w:t></w:t>
    </w:r>
    <w:r w:rsidRPr="00E12CF1">
      <w:rPr>
        <w:rFonts w:ascii="C39T30Lfz" w:hAnsi="C39T30Lfz"/>
        <w:sz w:val="56"/>
      </w:rPr>
      <w:t></w:t>
    </w:r>
    <w:r w:rsidRPr="00E12CF1">
      <w:rPr>
        <w:rFonts w:ascii="C39T30Lfz" w:hAnsi="C39T30Lfz"/>
        <w:sz w:val="56"/>
      </w:rPr>
      <w:t></w:t>
    </w:r>
    <w:r w:rsidRPr="00E12CF1">
      <w:rPr>
        <w:rFonts w:ascii="C39T30Lfz" w:hAnsi="C39T30Lfz"/>
        <w:sz w:val="56"/>
      </w:rPr>
      <w:t></w:t>
    </w:r>
    <w:r w:rsidRPr="00E12CF1">
      <w:rPr>
        <w:rFonts w:ascii="C39T30Lfz" w:hAnsi="C39T30Lfz"/>
        <w:sz w:val="56"/>
      </w:rPr>
      <w:t></w:t>
    </w:r>
    <w:r w:rsidRPr="00E12CF1">
      <w:rPr>
        <w:rFonts w:ascii="C39T30Lfz" w:hAnsi="C39T30Lfz"/>
        <w:sz w:val="56"/>
      </w:rPr>
      <w:t></w:t>
    </w:r>
    <w:r w:rsidRPr="00E12CF1">
      <w:rPr>
        <w:rFonts w:ascii="C39T30Lfz" w:hAnsi="C39T30Lfz"/>
        <w:sz w:val="56"/>
      </w:rPr>
      <w:t></w:t>
    </w:r>
    <w:r w:rsidRPr="00E12CF1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OMN/CO/2-5/Add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OMN/CO/2-5/Add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81" w:rsidRPr="001075E9" w:rsidRDefault="00D04C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4C81" w:rsidRDefault="00D04C81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46CFD" w:rsidRPr="00046CFD" w:rsidRDefault="00046CFD">
      <w:pPr>
        <w:pStyle w:val="FootnoteText"/>
        <w:rPr>
          <w:sz w:val="20"/>
        </w:rPr>
      </w:pPr>
      <w:r>
        <w:tab/>
      </w:r>
      <w:r w:rsidRPr="00046CFD">
        <w:rPr>
          <w:rStyle w:val="FootnoteReference"/>
          <w:sz w:val="20"/>
          <w:vertAlign w:val="baseline"/>
        </w:rPr>
        <w:t>*</w:t>
      </w:r>
      <w:r w:rsidRPr="00046CFD">
        <w:rPr>
          <w:rStyle w:val="FootnoteReference"/>
          <w:vertAlign w:val="baseline"/>
        </w:rPr>
        <w:tab/>
        <w:t>El presente documento se publica sin haber sido objeto de revisión editorial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F1" w:rsidRPr="00E12CF1" w:rsidRDefault="004A607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CERD/C/OMN/CO/2-5/Add.1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F1" w:rsidRPr="00E12CF1" w:rsidRDefault="004A607F" w:rsidP="00E12C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CERD/C/OMN/CO/2-5/Add.1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81"/>
    <w:rsid w:val="00006BB9"/>
    <w:rsid w:val="000107A1"/>
    <w:rsid w:val="0002339D"/>
    <w:rsid w:val="000323A5"/>
    <w:rsid w:val="00036733"/>
    <w:rsid w:val="00046CFD"/>
    <w:rsid w:val="000B57E7"/>
    <w:rsid w:val="000D431F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53E16"/>
    <w:rsid w:val="00381C24"/>
    <w:rsid w:val="003958D0"/>
    <w:rsid w:val="004031F0"/>
    <w:rsid w:val="00454E07"/>
    <w:rsid w:val="00471CB3"/>
    <w:rsid w:val="004A607F"/>
    <w:rsid w:val="004E6EA4"/>
    <w:rsid w:val="0050108D"/>
    <w:rsid w:val="0051740C"/>
    <w:rsid w:val="00572E19"/>
    <w:rsid w:val="005F0B42"/>
    <w:rsid w:val="00634841"/>
    <w:rsid w:val="00655A21"/>
    <w:rsid w:val="0067198A"/>
    <w:rsid w:val="006725B3"/>
    <w:rsid w:val="006808A9"/>
    <w:rsid w:val="006D631C"/>
    <w:rsid w:val="006F35EE"/>
    <w:rsid w:val="007021FF"/>
    <w:rsid w:val="007076CB"/>
    <w:rsid w:val="007967DF"/>
    <w:rsid w:val="00834B71"/>
    <w:rsid w:val="0086445C"/>
    <w:rsid w:val="00865A80"/>
    <w:rsid w:val="00865FAC"/>
    <w:rsid w:val="008713A7"/>
    <w:rsid w:val="008728CD"/>
    <w:rsid w:val="008A08D7"/>
    <w:rsid w:val="008A13F9"/>
    <w:rsid w:val="008C0F65"/>
    <w:rsid w:val="008C29C4"/>
    <w:rsid w:val="00906890"/>
    <w:rsid w:val="0092096A"/>
    <w:rsid w:val="00951972"/>
    <w:rsid w:val="00954E65"/>
    <w:rsid w:val="00A17DFD"/>
    <w:rsid w:val="00A414EF"/>
    <w:rsid w:val="00A4674B"/>
    <w:rsid w:val="00A917B3"/>
    <w:rsid w:val="00AB4B51"/>
    <w:rsid w:val="00AC6AFE"/>
    <w:rsid w:val="00B066FC"/>
    <w:rsid w:val="00B10CC7"/>
    <w:rsid w:val="00B62458"/>
    <w:rsid w:val="00B778C8"/>
    <w:rsid w:val="00BA3587"/>
    <w:rsid w:val="00BB36EA"/>
    <w:rsid w:val="00BD33EE"/>
    <w:rsid w:val="00BF26C9"/>
    <w:rsid w:val="00C15F8A"/>
    <w:rsid w:val="00C60F0C"/>
    <w:rsid w:val="00C63C2A"/>
    <w:rsid w:val="00C805C9"/>
    <w:rsid w:val="00C907F0"/>
    <w:rsid w:val="00CA1679"/>
    <w:rsid w:val="00CC15A3"/>
    <w:rsid w:val="00D04C81"/>
    <w:rsid w:val="00D05347"/>
    <w:rsid w:val="00D43FF0"/>
    <w:rsid w:val="00D90138"/>
    <w:rsid w:val="00DA26B8"/>
    <w:rsid w:val="00DD4E25"/>
    <w:rsid w:val="00E12CF1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54076"/>
    <w:rsid w:val="00F94155"/>
    <w:rsid w:val="00FC28A5"/>
    <w:rsid w:val="00FD2EF7"/>
    <w:rsid w:val="00FD4AD6"/>
    <w:rsid w:val="00FE431E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201529-0E13-4288-909C-5B973AA7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autoRedefine/>
    <w:qFormat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semiHidden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rsid w:val="008C29C4"/>
    <w:rPr>
      <w:color w:val="0000FF"/>
      <w:u w:val="none"/>
    </w:rPr>
  </w:style>
  <w:style w:type="character" w:styleId="FollowedHyperlink">
    <w:name w:val="FollowedHyperlink"/>
    <w:basedOn w:val="DefaultParagraphFont"/>
    <w:rsid w:val="008C29C4"/>
    <w:rPr>
      <w:color w:val="0000FF"/>
      <w:u w:val="non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5A3"/>
    <w:rPr>
      <w:rFonts w:ascii="Tahoma" w:hAnsi="Tahoma" w:cs="Tahoma"/>
      <w:sz w:val="16"/>
      <w:szCs w:val="16"/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46CFD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046CF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4</Pages>
  <Words>1524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CERD/C/OMN/CO/2-5/Add.1</dc:title>
  <dc:subject/>
  <dc:creator>Ruth MAQUERA</dc:creator>
  <cp:keywords/>
  <cp:lastModifiedBy>Maria Luisa Zeballos Moreno</cp:lastModifiedBy>
  <cp:revision>3</cp:revision>
  <cp:lastPrinted>2018-03-19T13:18:00Z</cp:lastPrinted>
  <dcterms:created xsi:type="dcterms:W3CDTF">2018-03-19T13:18:00Z</dcterms:created>
  <dcterms:modified xsi:type="dcterms:W3CDTF">2018-03-19T13:19:00Z</dcterms:modified>
</cp:coreProperties>
</file>