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7244DB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DB58B5" w:rsidRDefault="00DC0149" w:rsidP="007244D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DB58B5" w:rsidRDefault="00DC0149" w:rsidP="009D5F1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7244DB" w:rsidRDefault="007244DB" w:rsidP="007244DB">
            <w:pPr>
              <w:jc w:val="right"/>
              <w:rPr>
                <w:lang w:val="en-US"/>
              </w:rPr>
            </w:pPr>
            <w:r w:rsidRPr="007244DB">
              <w:rPr>
                <w:sz w:val="40"/>
                <w:lang w:val="en-US"/>
              </w:rPr>
              <w:t>CERD</w:t>
            </w:r>
            <w:r w:rsidRPr="007244DB">
              <w:rPr>
                <w:lang w:val="en-US"/>
              </w:rPr>
              <w:t>/C/OMN/CO/2-5/Add.1</w:t>
            </w:r>
          </w:p>
        </w:tc>
      </w:tr>
      <w:tr w:rsidR="00DC0149" w:rsidRPr="00DB58B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DB58B5" w:rsidRDefault="00DC0149" w:rsidP="009D5F1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40562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</w:t>
            </w:r>
            <w:r w:rsidR="007244DB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Default="007244DB" w:rsidP="009D5F1A">
            <w:pPr>
              <w:spacing w:before="240"/>
            </w:pPr>
            <w:r>
              <w:t>Distr. générale</w:t>
            </w:r>
          </w:p>
          <w:p w:rsidR="007244DB" w:rsidRDefault="007244DB" w:rsidP="007244DB">
            <w:pPr>
              <w:spacing w:line="240" w:lineRule="exact"/>
            </w:pPr>
            <w:r>
              <w:t>15 février 2018</w:t>
            </w:r>
          </w:p>
          <w:p w:rsidR="007244DB" w:rsidRDefault="007244DB" w:rsidP="007244DB">
            <w:pPr>
              <w:spacing w:line="240" w:lineRule="exact"/>
            </w:pPr>
            <w:r>
              <w:t>Français</w:t>
            </w:r>
          </w:p>
          <w:p w:rsidR="007244DB" w:rsidRDefault="007244DB" w:rsidP="007244DB">
            <w:pPr>
              <w:spacing w:line="240" w:lineRule="exact"/>
            </w:pPr>
            <w:r>
              <w:t>Original : arabe</w:t>
            </w:r>
          </w:p>
          <w:p w:rsidR="007244DB" w:rsidRPr="00DB58B5" w:rsidRDefault="007244DB" w:rsidP="007244DB">
            <w:pPr>
              <w:spacing w:line="240" w:lineRule="exact"/>
            </w:pPr>
            <w:r>
              <w:t>Anglais, arabe, espagnol et français seulement</w:t>
            </w:r>
          </w:p>
        </w:tc>
      </w:tr>
    </w:tbl>
    <w:p w:rsidR="00623CA8" w:rsidRDefault="00623CA8" w:rsidP="00623CA8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</w:t>
      </w:r>
      <w:r w:rsidR="007244DB">
        <w:rPr>
          <w:b/>
          <w:sz w:val="24"/>
          <w:szCs w:val="24"/>
        </w:rPr>
        <w:t>’</w:t>
      </w:r>
      <w:r w:rsidRPr="00C56102">
        <w:rPr>
          <w:b/>
          <w:sz w:val="24"/>
          <w:szCs w:val="24"/>
        </w:rPr>
        <w:t>élimination de la discrimination raciale</w:t>
      </w:r>
    </w:p>
    <w:p w:rsidR="007244DB" w:rsidRPr="00293525" w:rsidRDefault="007244DB" w:rsidP="007244DB">
      <w:pPr>
        <w:pStyle w:val="HChG"/>
      </w:pPr>
      <w:r w:rsidRPr="00293525">
        <w:tab/>
      </w:r>
      <w:r w:rsidRPr="00293525">
        <w:tab/>
        <w:t>Observations finales concernant le rapport d</w:t>
      </w:r>
      <w:r>
        <w:t>’</w:t>
      </w:r>
      <w:r w:rsidRPr="00293525">
        <w:t>Oman valant deuxième à cinquième rapports périodiques</w:t>
      </w:r>
    </w:p>
    <w:p w:rsidR="007244DB" w:rsidRPr="00293525" w:rsidRDefault="007244DB" w:rsidP="007244DB">
      <w:pPr>
        <w:pStyle w:val="H23G"/>
      </w:pPr>
      <w:r w:rsidRPr="00293525">
        <w:tab/>
      </w:r>
      <w:r w:rsidRPr="00293525">
        <w:tab/>
        <w:t>Additif</w:t>
      </w:r>
    </w:p>
    <w:p w:rsidR="007244DB" w:rsidRPr="00293525" w:rsidRDefault="007244DB" w:rsidP="007244DB">
      <w:pPr>
        <w:pStyle w:val="HChG"/>
      </w:pPr>
      <w:r w:rsidRPr="00293525">
        <w:tab/>
      </w:r>
      <w:r w:rsidRPr="00293525">
        <w:tab/>
        <w:t>Renseignements reçus d</w:t>
      </w:r>
      <w:r>
        <w:t>’</w:t>
      </w:r>
      <w:r w:rsidRPr="00293525">
        <w:t>Oman au sujet de la suite donnée aux observations finales</w:t>
      </w:r>
      <w:r w:rsidR="009857C4" w:rsidRPr="009857C4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7244DB" w:rsidRDefault="007244DB" w:rsidP="007244DB">
      <w:pPr>
        <w:pStyle w:val="SingleTxtG"/>
        <w:jc w:val="right"/>
      </w:pPr>
      <w:r w:rsidRPr="00293525">
        <w:t>[Date de réception</w:t>
      </w:r>
      <w:r>
        <w:t> </w:t>
      </w:r>
      <w:r w:rsidRPr="00293525">
        <w:t>: 30</w:t>
      </w:r>
      <w:r>
        <w:t> </w:t>
      </w:r>
      <w:r w:rsidRPr="00293525">
        <w:t>octobre 2017]</w:t>
      </w:r>
    </w:p>
    <w:p w:rsidR="007244DB" w:rsidRPr="00293525" w:rsidRDefault="009857C4" w:rsidP="009857C4">
      <w:pPr>
        <w:pStyle w:val="HChG"/>
        <w:rPr>
          <w:spacing w:val="-4"/>
        </w:rPr>
      </w:pPr>
      <w:r>
        <w:br w:type="page"/>
      </w:r>
      <w:r w:rsidR="007244DB" w:rsidRPr="00293525">
        <w:tab/>
      </w:r>
      <w:r w:rsidR="007244DB" w:rsidRPr="00293525">
        <w:tab/>
        <w:t>Réponse du Ministère de la main-d</w:t>
      </w:r>
      <w:r w:rsidR="007244DB">
        <w:t>’</w:t>
      </w:r>
      <w:r w:rsidR="007244DB" w:rsidRPr="00293525">
        <w:t>œuvre aux observations finales du Comité pour l</w:t>
      </w:r>
      <w:r w:rsidR="007244DB">
        <w:t>’</w:t>
      </w:r>
      <w:r w:rsidR="007244DB" w:rsidRPr="00293525">
        <w:t>élimination de la discrimination raciale concernant le rapport d</w:t>
      </w:r>
      <w:r w:rsidR="007244DB">
        <w:t>’</w:t>
      </w:r>
      <w:r w:rsidR="007244DB" w:rsidRPr="00293525">
        <w:t xml:space="preserve">Oman valant deuxième </w:t>
      </w:r>
      <w:r>
        <w:br/>
      </w:r>
      <w:r w:rsidR="007244DB" w:rsidRPr="00293525">
        <w:t>à cinquième rapports périodiques</w:t>
      </w:r>
    </w:p>
    <w:p w:rsidR="007244DB" w:rsidRPr="00293525" w:rsidRDefault="009857C4" w:rsidP="009857C4">
      <w:pPr>
        <w:pStyle w:val="H23G"/>
      </w:pPr>
      <w:r>
        <w:tab/>
      </w:r>
      <w:r>
        <w:tab/>
      </w:r>
      <w:r w:rsidR="007244DB" w:rsidRPr="00293525">
        <w:t>Paragraphe 20</w:t>
      </w:r>
    </w:p>
    <w:p w:rsidR="007244DB" w:rsidRPr="00293525" w:rsidRDefault="007244DB" w:rsidP="009857C4">
      <w:pPr>
        <w:pStyle w:val="SingleTxtG"/>
        <w:ind w:left="1701" w:firstLine="567"/>
        <w:rPr>
          <w:spacing w:val="-5"/>
        </w:rPr>
      </w:pPr>
      <w:r w:rsidRPr="00293525">
        <w:t>b)</w:t>
      </w:r>
      <w:r w:rsidRPr="00293525">
        <w:tab/>
        <w:t>Redoubler d</w:t>
      </w:r>
      <w:r>
        <w:t>’</w:t>
      </w:r>
      <w:r w:rsidRPr="00293525">
        <w:t>efforts en vue de prévenir les abus dont sont victimes les travailleurs migrants, notamment les cas de travail forcé, mener des enquêtes à leur sujet et engager des poursuites contre les auteurs présumés de ces abus, accroître le nombre et la présence d</w:t>
      </w:r>
      <w:r>
        <w:t>’</w:t>
      </w:r>
      <w:r w:rsidRPr="00293525">
        <w:t>inspecteurs du travail qualifiés et bien formés, et tenir le Comité informé des résultats de ces enquêtes.</w:t>
      </w:r>
    </w:p>
    <w:p w:rsidR="007244DB" w:rsidRPr="00293525" w:rsidRDefault="007244DB" w:rsidP="009857C4">
      <w:pPr>
        <w:pStyle w:val="SingleTxtG"/>
      </w:pPr>
      <w:r w:rsidRPr="00293525">
        <w:t>1.</w:t>
      </w:r>
      <w:r w:rsidRPr="00293525">
        <w:tab/>
      </w:r>
      <w:r w:rsidRPr="009857C4">
        <w:t>Le</w:t>
      </w:r>
      <w:r w:rsidRPr="00293525">
        <w:t xml:space="preserve"> Ministère de la main-d</w:t>
      </w:r>
      <w:r>
        <w:t>’</w:t>
      </w:r>
      <w:r w:rsidRPr="00293525">
        <w:t xml:space="preserve">œuvre joue un rôle essentiel dans la réglementation du marché du travail et dans les efforts visant à faire respecter </w:t>
      </w:r>
      <w:r>
        <w:t xml:space="preserve">le </w:t>
      </w:r>
      <w:r w:rsidRPr="00293525">
        <w:t xml:space="preserve">Code du travail et </w:t>
      </w:r>
      <w:r>
        <w:t>l</w:t>
      </w:r>
      <w:r w:rsidRPr="00293525">
        <w:t xml:space="preserve">es critères relatifs à la santé et à la sécurité au travail </w:t>
      </w:r>
      <w:r>
        <w:t xml:space="preserve">dans </w:t>
      </w:r>
      <w:r w:rsidRPr="00293525">
        <w:t>les entreprises privées. À cet égard, une équipe spécialisée dans l</w:t>
      </w:r>
      <w:r>
        <w:t>’</w:t>
      </w:r>
      <w:r w:rsidRPr="00293525">
        <w:t xml:space="preserve">inspection du travail, composée en majorité de membres diplômés en droit et dans </w:t>
      </w:r>
      <w:r w:rsidRPr="009857C4">
        <w:t>des</w:t>
      </w:r>
      <w:r w:rsidRPr="00293525">
        <w:t xml:space="preserve"> disciplines connexes, a été créée pour surveiller le marché du travail. Les membres de cette équipe ont été formés sous la supervision de l</w:t>
      </w:r>
      <w:r>
        <w:t>’</w:t>
      </w:r>
      <w:r w:rsidRPr="00293525">
        <w:t xml:space="preserve">Organisation internationale du Travail, conformément aux normes internationales, dans tous les domaines susceptibles de renforcer </w:t>
      </w:r>
      <w:r>
        <w:t xml:space="preserve">leurs </w:t>
      </w:r>
      <w:r w:rsidRPr="00293525">
        <w:t xml:space="preserve">compétences. À la fin de décembre 2016, </w:t>
      </w:r>
      <w:r>
        <w:t xml:space="preserve">le Sultanat </w:t>
      </w:r>
      <w:r w:rsidRPr="00293525">
        <w:t>comptait 365 inspecteurs et inspectrices. Afin d</w:t>
      </w:r>
      <w:r>
        <w:t>’</w:t>
      </w:r>
      <w:r w:rsidRPr="00293525">
        <w:t>élargir les activités d</w:t>
      </w:r>
      <w:r>
        <w:t>’</w:t>
      </w:r>
      <w:r w:rsidRPr="00293525">
        <w:t xml:space="preserve">inspection et de réglementation du marché du travail, </w:t>
      </w:r>
      <w:r>
        <w:t xml:space="preserve">de nombreux services et </w:t>
      </w:r>
      <w:r w:rsidRPr="00293525">
        <w:t>directions ont été ouverts dans les différents gouvernorats du Sultanat.</w:t>
      </w:r>
    </w:p>
    <w:p w:rsidR="007244DB" w:rsidRPr="00293525" w:rsidRDefault="007244DB" w:rsidP="009857C4">
      <w:pPr>
        <w:pStyle w:val="SingleTxtG"/>
      </w:pPr>
      <w:r w:rsidRPr="00293525">
        <w:t>2.</w:t>
      </w:r>
      <w:r w:rsidRPr="00293525">
        <w:tab/>
      </w:r>
      <w:r>
        <w:t xml:space="preserve">Afin </w:t>
      </w:r>
      <w:r w:rsidRPr="00293525">
        <w:t>de réglementer le recrutement de la main-d</w:t>
      </w:r>
      <w:r>
        <w:t>’</w:t>
      </w:r>
      <w:r w:rsidRPr="00293525">
        <w:t>œuvre et de garantir les droits des travailleurs</w:t>
      </w:r>
      <w:r>
        <w:t>,</w:t>
      </w:r>
      <w:r w:rsidRPr="00293525">
        <w:t xml:space="preserve"> </w:t>
      </w:r>
      <w:r>
        <w:t>p</w:t>
      </w:r>
      <w:r w:rsidRPr="00293525">
        <w:t>lusieurs mémorandums d</w:t>
      </w:r>
      <w:r>
        <w:t>’</w:t>
      </w:r>
      <w:r w:rsidRPr="00293525">
        <w:t>accord sur le travail ont été si</w:t>
      </w:r>
      <w:r>
        <w:t>gnés avec d</w:t>
      </w:r>
      <w:r w:rsidRPr="00293525">
        <w:t>es États exportateurs de main-d</w:t>
      </w:r>
      <w:r>
        <w:t>’</w:t>
      </w:r>
      <w:r w:rsidRPr="00293525">
        <w:t>œuvre</w:t>
      </w:r>
      <w:r>
        <w:t xml:space="preserve">, à savoir la </w:t>
      </w:r>
      <w:r w:rsidRPr="00293525">
        <w:t>l</w:t>
      </w:r>
      <w:r>
        <w:t>’</w:t>
      </w:r>
      <w:r w:rsidRPr="00293525">
        <w:t xml:space="preserve">Inde, </w:t>
      </w:r>
      <w:r>
        <w:t>le</w:t>
      </w:r>
      <w:r w:rsidRPr="00293525">
        <w:t xml:space="preserve"> Bangladesh, Sri Lanka, </w:t>
      </w:r>
      <w:r>
        <w:t>le</w:t>
      </w:r>
      <w:r w:rsidR="00BC7D91">
        <w:t xml:space="preserve"> </w:t>
      </w:r>
      <w:r w:rsidRPr="00293525">
        <w:t>Viet</w:t>
      </w:r>
      <w:r w:rsidR="00BC7D91">
        <w:t> </w:t>
      </w:r>
      <w:r w:rsidRPr="00293525">
        <w:t xml:space="preserve">Nam, </w:t>
      </w:r>
      <w:r>
        <w:t xml:space="preserve">la </w:t>
      </w:r>
      <w:r w:rsidRPr="00293525">
        <w:t>République islamique d</w:t>
      </w:r>
      <w:r>
        <w:t>’</w:t>
      </w:r>
      <w:r w:rsidRPr="00293525">
        <w:t xml:space="preserve">Iran, </w:t>
      </w:r>
      <w:r>
        <w:t xml:space="preserve">la </w:t>
      </w:r>
      <w:r w:rsidRPr="00293525">
        <w:t xml:space="preserve">République arabe syrienne, </w:t>
      </w:r>
      <w:r>
        <w:t>l</w:t>
      </w:r>
      <w:r>
        <w:t>’</w:t>
      </w:r>
      <w:r w:rsidRPr="00293525">
        <w:t xml:space="preserve">État de Palestine, </w:t>
      </w:r>
      <w:r>
        <w:t>l</w:t>
      </w:r>
      <w:r>
        <w:t>’</w:t>
      </w:r>
      <w:r w:rsidRPr="00293525">
        <w:t xml:space="preserve">Égypte et </w:t>
      </w:r>
      <w:r>
        <w:t xml:space="preserve">le </w:t>
      </w:r>
      <w:r w:rsidRPr="00293525">
        <w:t xml:space="preserve">Maroc. Certains </w:t>
      </w:r>
      <w:r>
        <w:t xml:space="preserve">de ces </w:t>
      </w:r>
      <w:r w:rsidRPr="00293525">
        <w:t xml:space="preserve">mémorandums </w:t>
      </w:r>
      <w:r>
        <w:t xml:space="preserve">contiennent des dispositions relatives à </w:t>
      </w:r>
      <w:r w:rsidRPr="00293525">
        <w:t>l</w:t>
      </w:r>
      <w:r>
        <w:t>’</w:t>
      </w:r>
      <w:r w:rsidRPr="00293525">
        <w:t>échange d</w:t>
      </w:r>
      <w:r>
        <w:t>’</w:t>
      </w:r>
      <w:r w:rsidRPr="00293525">
        <w:t xml:space="preserve">informations entre les deux </w:t>
      </w:r>
      <w:r>
        <w:t xml:space="preserve">États </w:t>
      </w:r>
      <w:r w:rsidRPr="00293525">
        <w:t>concernés</w:t>
      </w:r>
      <w:r>
        <w:t>, afin de prévenir</w:t>
      </w:r>
      <w:r w:rsidRPr="00293525">
        <w:t xml:space="preserve"> le recrutement illégal de main-d</w:t>
      </w:r>
      <w:r>
        <w:t>’</w:t>
      </w:r>
      <w:r w:rsidRPr="00293525">
        <w:t xml:space="preserve">œuvre et la traite des êtres humains. </w:t>
      </w:r>
      <w:r>
        <w:t>Des consultations sont menées avec le</w:t>
      </w:r>
      <w:r w:rsidRPr="00293525">
        <w:t xml:space="preserve"> Pakistan, </w:t>
      </w:r>
      <w:r>
        <w:t>le</w:t>
      </w:r>
      <w:r w:rsidRPr="00293525">
        <w:t xml:space="preserve"> Kenya, Zanzibar, </w:t>
      </w:r>
      <w:r>
        <w:t>le</w:t>
      </w:r>
      <w:r w:rsidRPr="00293525">
        <w:t xml:space="preserve"> Népal et</w:t>
      </w:r>
      <w:r>
        <w:t xml:space="preserve"> les</w:t>
      </w:r>
      <w:r w:rsidRPr="00293525">
        <w:t xml:space="preserve"> Philippines</w:t>
      </w:r>
      <w:r>
        <w:t xml:space="preserve"> en vue de signer des </w:t>
      </w:r>
      <w:r w:rsidRPr="00293525">
        <w:t>mémorandums d</w:t>
      </w:r>
      <w:r>
        <w:t>’</w:t>
      </w:r>
      <w:r w:rsidRPr="00293525">
        <w:t>accord similaires.</w:t>
      </w:r>
    </w:p>
    <w:p w:rsidR="007244DB" w:rsidRPr="00293525" w:rsidRDefault="007244DB" w:rsidP="009857C4">
      <w:pPr>
        <w:pStyle w:val="SingleTxtG"/>
      </w:pPr>
      <w:r w:rsidRPr="00293525">
        <w:lastRenderedPageBreak/>
        <w:t>3.</w:t>
      </w:r>
      <w:r w:rsidRPr="00293525">
        <w:tab/>
        <w:t xml:space="preserve">Efforts déployés </w:t>
      </w:r>
      <w:r>
        <w:t xml:space="preserve">en 2016 </w:t>
      </w:r>
      <w:r w:rsidRPr="00293525">
        <w:t xml:space="preserve">par le Ministère </w:t>
      </w:r>
      <w:r>
        <w:t>pour garantir le respect du</w:t>
      </w:r>
      <w:r w:rsidRPr="00293525">
        <w:t xml:space="preserve"> Code du travail</w:t>
      </w:r>
      <w:r w:rsidR="009857C4">
        <w:t> </w:t>
      </w:r>
      <w:r w:rsidRPr="00293525">
        <w:t>:</w:t>
      </w:r>
    </w:p>
    <w:p w:rsidR="007244DB" w:rsidRPr="00293525" w:rsidRDefault="007244DB" w:rsidP="009857C4">
      <w:pPr>
        <w:pStyle w:val="Bullet1G"/>
      </w:pPr>
      <w:r w:rsidRPr="00293525">
        <w:t>Inspection générale des entreprises</w:t>
      </w:r>
      <w:r w:rsidR="00BC7D91">
        <w:t> </w:t>
      </w:r>
      <w:r w:rsidRPr="00293525">
        <w:t>: le Ministère surveille et vérifie l</w:t>
      </w:r>
      <w:r>
        <w:t>’</w:t>
      </w:r>
      <w:r w:rsidRPr="00293525">
        <w:t>application des règlements et des lois relatifs au marché du travail par l</w:t>
      </w:r>
      <w:r>
        <w:t>’</w:t>
      </w:r>
      <w:r w:rsidRPr="00293525">
        <w:t>intermédiaire du service d</w:t>
      </w:r>
      <w:r>
        <w:t>’</w:t>
      </w:r>
      <w:r w:rsidRPr="00293525">
        <w:t>inspection. En 2016, 8</w:t>
      </w:r>
      <w:r>
        <w:t> </w:t>
      </w:r>
      <w:r w:rsidRPr="00293525">
        <w:t>890 visites d</w:t>
      </w:r>
      <w:r>
        <w:t>’</w:t>
      </w:r>
      <w:r w:rsidRPr="00293525">
        <w:t xml:space="preserve">inspection ont été </w:t>
      </w:r>
      <w:r w:rsidR="009857C4">
        <w:t>effectuées dans les entreprises ;</w:t>
      </w:r>
    </w:p>
    <w:p w:rsidR="007244DB" w:rsidRPr="00533EDB" w:rsidRDefault="007244DB" w:rsidP="009857C4">
      <w:pPr>
        <w:pStyle w:val="Bullet1G"/>
      </w:pPr>
      <w:r w:rsidRPr="00533EDB">
        <w:t>Inspection</w:t>
      </w:r>
      <w:r w:rsidR="00317BD1">
        <w:t>s</w:t>
      </w:r>
      <w:r w:rsidRPr="00533EDB">
        <w:t xml:space="preserve"> relatives à la sécurité et à la santé au travail</w:t>
      </w:r>
      <w:r w:rsidR="00BC7D91">
        <w:t> </w:t>
      </w:r>
      <w:r w:rsidRPr="00533EDB">
        <w:t>: en 2016, 1 328 visites d</w:t>
      </w:r>
      <w:r>
        <w:t>’</w:t>
      </w:r>
      <w:r w:rsidRPr="00533EDB">
        <w:t xml:space="preserve">inspection relatives à la sécurité et à la santé au travail ont été effectuées dans les entreprises du Sultanat, dans le but de vérifier que celles-ci respectent bien </w:t>
      </w:r>
      <w:r w:rsidR="00D47692">
        <w:t xml:space="preserve">les </w:t>
      </w:r>
      <w:r w:rsidRPr="00533EDB">
        <w:t xml:space="preserve">dispositions du Code du travail </w:t>
      </w:r>
      <w:r>
        <w:t xml:space="preserve">en la matière </w:t>
      </w:r>
      <w:r w:rsidRPr="00533EDB">
        <w:t>et</w:t>
      </w:r>
      <w:r>
        <w:t xml:space="preserve"> les dispositions</w:t>
      </w:r>
      <w:r w:rsidRPr="00533EDB">
        <w:t xml:space="preserve"> du règlement relatif </w:t>
      </w:r>
      <w:r>
        <w:t>à la</w:t>
      </w:r>
      <w:r w:rsidRPr="00533EDB">
        <w:t xml:space="preserve"> sécurité et </w:t>
      </w:r>
      <w:r>
        <w:t>à la</w:t>
      </w:r>
      <w:r w:rsidRPr="00533EDB">
        <w:t xml:space="preserve"> santé au travail dans les entreprises privées. L</w:t>
      </w:r>
      <w:r>
        <w:t>’</w:t>
      </w:r>
      <w:r w:rsidRPr="00533EDB">
        <w:t xml:space="preserve">objectif était de protéger les travailleurs contre les accidents du travail, de garantir leur sécurité et de leur offrir </w:t>
      </w:r>
      <w:r>
        <w:t>un environnement de</w:t>
      </w:r>
      <w:r w:rsidRPr="00533EDB">
        <w:t xml:space="preserve"> travail</w:t>
      </w:r>
      <w:r>
        <w:t xml:space="preserve"> qui soit sain et adéquat</w:t>
      </w:r>
      <w:r w:rsidRPr="00533EDB">
        <w:t>. Ces visites ont permis de constater que 693 entreprises ne respectaient pas les dispositions du règlement susmentionné et d</w:t>
      </w:r>
      <w:r>
        <w:t>’</w:t>
      </w:r>
      <w:r w:rsidRPr="00533EDB">
        <w:t>engager des poursuites à leur encontre</w:t>
      </w:r>
      <w:r w:rsidR="009857C4">
        <w:t> ;</w:t>
      </w:r>
    </w:p>
    <w:p w:rsidR="007244DB" w:rsidRPr="00293525" w:rsidRDefault="007244DB" w:rsidP="009857C4">
      <w:pPr>
        <w:pStyle w:val="Bullet1G"/>
        <w:rPr>
          <w:spacing w:val="-2"/>
        </w:rPr>
      </w:pPr>
      <w:r w:rsidRPr="00293525">
        <w:t>Plaintes et signalements</w:t>
      </w:r>
      <w:r w:rsidR="00BC7D91">
        <w:t> </w:t>
      </w:r>
      <w:r w:rsidRPr="00293525">
        <w:t>: en 2016, le Ministère a reçu 11</w:t>
      </w:r>
      <w:r>
        <w:t> </w:t>
      </w:r>
      <w:r w:rsidRPr="00293525">
        <w:t>378 plaintes</w:t>
      </w:r>
      <w:r>
        <w:t xml:space="preserve"> ou</w:t>
      </w:r>
      <w:r w:rsidRPr="00293525">
        <w:t xml:space="preserve"> signalements </w:t>
      </w:r>
      <w:r>
        <w:t xml:space="preserve">relatifs au travail faisant état du </w:t>
      </w:r>
      <w:r w:rsidRPr="00293525">
        <w:t>non-respect de</w:t>
      </w:r>
      <w:r>
        <w:t>s</w:t>
      </w:r>
      <w:r w:rsidRPr="00293525">
        <w:t xml:space="preserve"> dispositions du Code du travail ou </w:t>
      </w:r>
      <w:r>
        <w:t>de ses règlements d</w:t>
      </w:r>
      <w:r>
        <w:t>’</w:t>
      </w:r>
      <w:r>
        <w:t>application</w:t>
      </w:r>
      <w:r w:rsidR="00317BD1">
        <w:t> </w:t>
      </w:r>
      <w:r w:rsidRPr="00293525">
        <w:t>; 8</w:t>
      </w:r>
      <w:r>
        <w:t> </w:t>
      </w:r>
      <w:r w:rsidRPr="00293525">
        <w:t>614 plaintes ont été réglées à l</w:t>
      </w:r>
      <w:r>
        <w:t>’</w:t>
      </w:r>
      <w:r w:rsidRPr="00293525">
        <w:t>amiable</w:t>
      </w:r>
      <w:r>
        <w:t xml:space="preserve"> et</w:t>
      </w:r>
      <w:r w:rsidRPr="00293525">
        <w:t xml:space="preserve"> 2</w:t>
      </w:r>
      <w:r>
        <w:t> </w:t>
      </w:r>
      <w:r w:rsidRPr="00293525">
        <w:t xml:space="preserve">824 ont été </w:t>
      </w:r>
      <w:r>
        <w:t>transmises</w:t>
      </w:r>
      <w:r w:rsidRPr="00293525">
        <w:t xml:space="preserve"> au</w:t>
      </w:r>
      <w:r>
        <w:t>x</w:t>
      </w:r>
      <w:r w:rsidRPr="00293525">
        <w:t xml:space="preserve"> tribuna</w:t>
      </w:r>
      <w:r>
        <w:t>ux</w:t>
      </w:r>
      <w:r w:rsidRPr="00293525">
        <w:t xml:space="preserve"> </w:t>
      </w:r>
      <w:r>
        <w:t>afin qu</w:t>
      </w:r>
      <w:r>
        <w:t>’</w:t>
      </w:r>
      <w:r>
        <w:t>ils prennent</w:t>
      </w:r>
      <w:r w:rsidRPr="00293525">
        <w:t xml:space="preserve"> une décision appropriée</w:t>
      </w:r>
      <w:r>
        <w:t> ;</w:t>
      </w:r>
      <w:r w:rsidRPr="00293525">
        <w:t xml:space="preserve"> 312 plaintes </w:t>
      </w:r>
      <w:r>
        <w:t xml:space="preserve">étaient </w:t>
      </w:r>
      <w:r w:rsidRPr="00293525">
        <w:t>en cours d</w:t>
      </w:r>
      <w:r>
        <w:t>’</w:t>
      </w:r>
      <w:r w:rsidRPr="00293525">
        <w:t>examen</w:t>
      </w:r>
      <w:r>
        <w:t xml:space="preserve"> en 2016</w:t>
      </w:r>
      <w:r w:rsidR="009857C4">
        <w:t> ;</w:t>
      </w:r>
    </w:p>
    <w:p w:rsidR="007244DB" w:rsidRPr="00293525" w:rsidRDefault="007244DB" w:rsidP="00B95FF1">
      <w:pPr>
        <w:pStyle w:val="Bullet1G"/>
        <w:spacing w:after="110"/>
      </w:pPr>
      <w:r w:rsidRPr="00293525">
        <w:t>Syndicats</w:t>
      </w:r>
      <w:r w:rsidR="009857C4">
        <w:t> </w:t>
      </w:r>
      <w:r w:rsidRPr="00293525">
        <w:t xml:space="preserve">: en 2016, le Sultanat </w:t>
      </w:r>
      <w:r>
        <w:t>comptait au total 232 syndicats, dont les membres étaient employés</w:t>
      </w:r>
      <w:r w:rsidRPr="00293525">
        <w:t xml:space="preserve"> </w:t>
      </w:r>
      <w:r>
        <w:t xml:space="preserve">dans des </w:t>
      </w:r>
      <w:r w:rsidRPr="00293525">
        <w:t xml:space="preserve">entreprises industrielles ou commerciales </w:t>
      </w:r>
      <w:r>
        <w:t xml:space="preserve">ou dans </w:t>
      </w:r>
      <w:r w:rsidRPr="00293525">
        <w:t>d</w:t>
      </w:r>
      <w:r>
        <w:t>’</w:t>
      </w:r>
      <w:r w:rsidRPr="00293525">
        <w:t xml:space="preserve">autres </w:t>
      </w:r>
      <w:r>
        <w:t xml:space="preserve">domaines </w:t>
      </w:r>
      <w:r w:rsidR="009857C4">
        <w:t>économiques ;</w:t>
      </w:r>
    </w:p>
    <w:p w:rsidR="007244DB" w:rsidRPr="00293525" w:rsidRDefault="007244DB" w:rsidP="00B95FF1">
      <w:pPr>
        <w:pStyle w:val="Bullet1G"/>
        <w:spacing w:after="110"/>
      </w:pPr>
      <w:r w:rsidRPr="00293525">
        <w:t>Équipe commune d</w:t>
      </w:r>
      <w:r>
        <w:t>’</w:t>
      </w:r>
      <w:r w:rsidRPr="00293525">
        <w:t>inspection</w:t>
      </w:r>
      <w:r w:rsidR="009857C4">
        <w:t> </w:t>
      </w:r>
      <w:r w:rsidRPr="00293525">
        <w:t>: en 2016, 21</w:t>
      </w:r>
      <w:r>
        <w:t> </w:t>
      </w:r>
      <w:r w:rsidRPr="00293525">
        <w:t xml:space="preserve">946 personnes ont </w:t>
      </w:r>
      <w:r>
        <w:t>fait l</w:t>
      </w:r>
      <w:r>
        <w:t>’</w:t>
      </w:r>
      <w:r>
        <w:t>objet d</w:t>
      </w:r>
      <w:r>
        <w:t>’</w:t>
      </w:r>
      <w:r>
        <w:t>un contrôle ;</w:t>
      </w:r>
      <w:r w:rsidRPr="00293525">
        <w:t xml:space="preserve"> 10</w:t>
      </w:r>
      <w:r>
        <w:t> </w:t>
      </w:r>
      <w:r w:rsidRPr="00293525">
        <w:t>047 étaient en infraction et 11</w:t>
      </w:r>
      <w:r>
        <w:t> </w:t>
      </w:r>
      <w:r w:rsidRPr="00293525">
        <w:t xml:space="preserve">899 ont été </w:t>
      </w:r>
      <w:r>
        <w:t>expulsées</w:t>
      </w:r>
      <w:r w:rsidR="009857C4">
        <w:t> ;</w:t>
      </w:r>
    </w:p>
    <w:p w:rsidR="007244DB" w:rsidRPr="00293525" w:rsidRDefault="007244DB" w:rsidP="00B95FF1">
      <w:pPr>
        <w:pStyle w:val="Bullet1G"/>
        <w:spacing w:after="110"/>
      </w:pPr>
      <w:r w:rsidRPr="00293525">
        <w:lastRenderedPageBreak/>
        <w:t>Réglementations et lois</w:t>
      </w:r>
      <w:r w:rsidR="009857C4">
        <w:t> </w:t>
      </w:r>
      <w:r w:rsidRPr="00293525">
        <w:t>: les réglementations et lois locales garantissent aux travailleurs le droit de changer d</w:t>
      </w:r>
      <w:r>
        <w:t>’</w:t>
      </w:r>
      <w:r w:rsidRPr="00293525">
        <w:t>employeur, et les demandes des travailleurs à cet égard sont adressées au Ministère. En 2016, le Ministère a reçu 632 demandes (voir tableau ci-après).</w:t>
      </w:r>
    </w:p>
    <w:tbl>
      <w:tblPr>
        <w:tblStyle w:val="Grilledutableau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551"/>
        <w:gridCol w:w="1396"/>
        <w:gridCol w:w="1482"/>
        <w:gridCol w:w="1626"/>
      </w:tblGrid>
      <w:tr w:rsidR="00BC7D91" w:rsidRPr="00BC7D91" w:rsidTr="00BC7D91">
        <w:trPr>
          <w:tblHeader/>
        </w:trPr>
        <w:tc>
          <w:tcPr>
            <w:tcW w:w="1502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>Issue de la plainte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>En cours d</w:t>
            </w:r>
            <w:r w:rsidRPr="00BC7D91">
              <w:rPr>
                <w:i/>
                <w:sz w:val="16"/>
              </w:rPr>
              <w:t>’</w:t>
            </w:r>
            <w:r w:rsidRPr="00BC7D91">
              <w:rPr>
                <w:i/>
                <w:sz w:val="16"/>
              </w:rPr>
              <w:t>examen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 xml:space="preserve">Règlement </w:t>
            </w:r>
            <w:r w:rsidR="00BC7D91">
              <w:rPr>
                <w:i/>
                <w:sz w:val="16"/>
              </w:rPr>
              <w:br/>
            </w:r>
            <w:r w:rsidRPr="00BC7D91">
              <w:rPr>
                <w:i/>
                <w:sz w:val="16"/>
              </w:rPr>
              <w:t>à l</w:t>
            </w:r>
            <w:r w:rsidRPr="00BC7D91">
              <w:rPr>
                <w:i/>
                <w:sz w:val="16"/>
              </w:rPr>
              <w:t>’</w:t>
            </w:r>
            <w:r w:rsidRPr="00BC7D91">
              <w:rPr>
                <w:i/>
                <w:sz w:val="16"/>
              </w:rPr>
              <w:t>amiable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>Renvoi en justice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 xml:space="preserve">Renvoi devant </w:t>
            </w:r>
            <w:r w:rsidR="00BC7D91">
              <w:rPr>
                <w:i/>
                <w:sz w:val="16"/>
              </w:rPr>
              <w:br/>
            </w:r>
            <w:r w:rsidRPr="00BC7D91">
              <w:rPr>
                <w:i/>
                <w:sz w:val="16"/>
              </w:rPr>
              <w:t>le service d</w:t>
            </w:r>
            <w:r w:rsidRPr="00BC7D91">
              <w:rPr>
                <w:i/>
                <w:sz w:val="16"/>
              </w:rPr>
              <w:t>’</w:t>
            </w:r>
            <w:r w:rsidRPr="00BC7D91">
              <w:rPr>
                <w:i/>
                <w:sz w:val="16"/>
              </w:rPr>
              <w:t>inspection</w:t>
            </w:r>
          </w:p>
        </w:tc>
      </w:tr>
      <w:tr w:rsidR="00BC7D91" w:rsidRPr="00BC7D91" w:rsidTr="00BC7D91">
        <w:tc>
          <w:tcPr>
            <w:tcW w:w="1502" w:type="dxa"/>
            <w:shd w:val="clear" w:color="auto" w:fill="auto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20" w:lineRule="exact"/>
              <w:ind w:left="284"/>
              <w:rPr>
                <w:b/>
                <w:sz w:val="18"/>
              </w:rPr>
            </w:pPr>
            <w:r w:rsidRPr="00BC7D91">
              <w:rPr>
                <w:b/>
                <w:sz w:val="18"/>
              </w:rPr>
              <w:t>Total</w:t>
            </w:r>
          </w:p>
        </w:tc>
        <w:tc>
          <w:tcPr>
            <w:tcW w:w="1773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BC7D91">
              <w:rPr>
                <w:b/>
                <w:sz w:val="18"/>
              </w:rPr>
              <w:t>28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BC7D91">
              <w:rPr>
                <w:b/>
                <w:sz w:val="18"/>
              </w:rPr>
              <w:t>330</w:t>
            </w:r>
          </w:p>
        </w:tc>
        <w:tc>
          <w:tcPr>
            <w:tcW w:w="1694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BC7D91">
              <w:rPr>
                <w:b/>
                <w:sz w:val="18"/>
              </w:rPr>
              <w:t>274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7244DB" w:rsidRPr="00BC7D91" w:rsidRDefault="007244DB" w:rsidP="00BC7D91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BC7D91">
              <w:rPr>
                <w:b/>
                <w:sz w:val="18"/>
              </w:rPr>
              <w:t>0</w:t>
            </w:r>
          </w:p>
        </w:tc>
      </w:tr>
    </w:tbl>
    <w:p w:rsidR="007244DB" w:rsidRPr="0059442A" w:rsidRDefault="007244DB" w:rsidP="00BC7D91">
      <w:pPr>
        <w:pStyle w:val="SingleTxtG"/>
        <w:spacing w:before="120"/>
      </w:pPr>
      <w:r w:rsidRPr="00293525">
        <w:t>4.</w:t>
      </w:r>
      <w:r w:rsidRPr="00293525">
        <w:tab/>
        <w:t>Formation</w:t>
      </w:r>
      <w:r w:rsidR="00317BD1">
        <w:t> </w:t>
      </w:r>
      <w:r w:rsidRPr="00293525">
        <w:t>: le Ministère de la main-d</w:t>
      </w:r>
      <w:r>
        <w:t>’</w:t>
      </w:r>
      <w:r w:rsidRPr="00293525">
        <w:t>œuvre a participé, de novembre 2015 au 22</w:t>
      </w:r>
      <w:r w:rsidR="00BC7D91">
        <w:t> </w:t>
      </w:r>
      <w:r w:rsidRPr="00293525">
        <w:t>mai 2017, à un certain nombre de programmes de formation, d</w:t>
      </w:r>
      <w:r>
        <w:t>’</w:t>
      </w:r>
      <w:r w:rsidRPr="00293525">
        <w:t xml:space="preserve">ateliers et de colloques dans le but de renforcer les compétences de ses fonctionnaires </w:t>
      </w:r>
      <w:r>
        <w:t>en matière d</w:t>
      </w:r>
      <w:r>
        <w:t>’</w:t>
      </w:r>
      <w:r w:rsidRPr="00293525">
        <w:t xml:space="preserve">inspection. </w:t>
      </w:r>
      <w:r w:rsidRPr="0059442A">
        <w:t xml:space="preserve">Les activités </w:t>
      </w:r>
      <w:r>
        <w:t xml:space="preserve">menées étaient </w:t>
      </w:r>
      <w:r w:rsidRPr="0059442A">
        <w:t>les suivantes</w:t>
      </w:r>
      <w:r w:rsidR="00BC7D91">
        <w:t> </w:t>
      </w:r>
      <w:r w:rsidRPr="0059442A">
        <w:t>:</w:t>
      </w:r>
    </w:p>
    <w:p w:rsidR="007244DB" w:rsidRPr="00293525" w:rsidRDefault="007244DB" w:rsidP="00B95FF1">
      <w:pPr>
        <w:pStyle w:val="Bullet1G"/>
        <w:spacing w:after="100"/>
      </w:pPr>
      <w:r w:rsidRPr="00293525">
        <w:t>Atelier sur le règlement des conflits professionnels (mai 2015)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>Atelier sur les normes internationales du travail (juillet 2015)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>Atelier sur le dialogue social tripartite (septembre 2015)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>Atelier sur le renforcement du rôle des comités sectoriels dans le dialogue social (septembre 2015)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>Atelier sur le renforcement des capacités du personnel concerné par les normes internationales et arabes du travail (mai 2016)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>Atelier sur les technologies de l</w:t>
      </w:r>
      <w:r>
        <w:t>’</w:t>
      </w:r>
      <w:r w:rsidRPr="00293525">
        <w:t>information et leurs incidences sur le marché du travail et sur les nouvelles méthodes de travail (septembre 2016)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>
        <w:t>Colloque national intitulé « </w:t>
      </w:r>
      <w:r w:rsidRPr="00293525">
        <w:t>Nationalisation de l</w:t>
      </w:r>
      <w:r>
        <w:t>’</w:t>
      </w:r>
      <w:r w:rsidRPr="00293525">
        <w:t>emploi et réglementation des possibilités d</w:t>
      </w:r>
      <w:r>
        <w:t>’</w:t>
      </w:r>
      <w:r w:rsidRPr="00293525">
        <w:t>emploi pour les travailleurs arabes compte tenu des changements survenus dans le monde arabe</w:t>
      </w:r>
      <w:r>
        <w:t> »</w:t>
      </w:r>
      <w:r w:rsidRPr="00293525">
        <w:t xml:space="preserve"> (octobre 2016)</w:t>
      </w:r>
      <w:r w:rsidR="00BC7D91">
        <w:t> </w:t>
      </w:r>
      <w:r w:rsidRPr="00293525">
        <w:t xml:space="preserve">; </w:t>
      </w:r>
    </w:p>
    <w:p w:rsidR="007244DB" w:rsidRPr="00293525" w:rsidRDefault="007244DB" w:rsidP="00B95FF1">
      <w:pPr>
        <w:pStyle w:val="Bullet1G"/>
        <w:spacing w:after="100"/>
      </w:pPr>
      <w:r w:rsidRPr="00293525">
        <w:t>Réunion sur la santé et la sécurité dans les ports, Genève (novembre 2016)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>
        <w:lastRenderedPageBreak/>
        <w:t>Colloque sur le thème « </w:t>
      </w:r>
      <w:r w:rsidRPr="00293525">
        <w:t>Affluence des travailleurs dans les États du Conseil de coopération</w:t>
      </w:r>
      <w:r>
        <w:t> »</w:t>
      </w:r>
      <w:r w:rsidRPr="00293525">
        <w:t>, Bahreïn (1</w:t>
      </w:r>
      <w:r w:rsidRPr="00BC7D91">
        <w:rPr>
          <w:vertAlign w:val="superscript"/>
        </w:rPr>
        <w:t>er</w:t>
      </w:r>
      <w:r w:rsidR="00BC7D91">
        <w:t> </w:t>
      </w:r>
      <w:r w:rsidRPr="00293525">
        <w:t>février 2016)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>Réunion sur la santé et la sécurité dans les ports, Genève (21-30</w:t>
      </w:r>
      <w:r w:rsidR="00BC7D91">
        <w:t> </w:t>
      </w:r>
      <w:r w:rsidRPr="00293525">
        <w:t>novembre 2016)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</w:pPr>
      <w:r w:rsidRPr="00293525">
        <w:t xml:space="preserve">Atelier sur les normes internationales du travail et </w:t>
      </w:r>
      <w:r>
        <w:t xml:space="preserve">les obligations en matière de soumission de </w:t>
      </w:r>
      <w:r w:rsidRPr="00293525">
        <w:t xml:space="preserve">rapports </w:t>
      </w:r>
      <w:r>
        <w:t>concernant</w:t>
      </w:r>
      <w:r w:rsidRPr="00293525">
        <w:t xml:space="preserve"> l</w:t>
      </w:r>
      <w:r>
        <w:t>’</w:t>
      </w:r>
      <w:r w:rsidRPr="00293525">
        <w:t>inspection du travail et le travail forcé, Dubaï (8-11</w:t>
      </w:r>
      <w:r w:rsidR="00BC7D91">
        <w:t> </w:t>
      </w:r>
      <w:r w:rsidRPr="00293525">
        <w:t>mai 2017)</w:t>
      </w:r>
      <w:r w:rsidR="00BC7D91">
        <w:t> </w:t>
      </w:r>
      <w:r w:rsidRPr="00293525">
        <w:t>;</w:t>
      </w:r>
    </w:p>
    <w:p w:rsidR="007244DB" w:rsidRPr="00293525" w:rsidRDefault="007244DB" w:rsidP="00B95FF1">
      <w:pPr>
        <w:pStyle w:val="Bullet1G"/>
        <w:spacing w:after="100"/>
        <w:rPr>
          <w:spacing w:val="-4"/>
        </w:rPr>
      </w:pPr>
      <w:r w:rsidRPr="00293525">
        <w:t>Table ronde sur la traite des êtres humains, en collaboration avec le Ministère des affaires étrangères (21</w:t>
      </w:r>
      <w:r w:rsidR="00BC7D91">
        <w:t> </w:t>
      </w:r>
      <w:r w:rsidRPr="00293525">
        <w:t>mai 2017).</w:t>
      </w:r>
    </w:p>
    <w:p w:rsidR="007244DB" w:rsidRPr="00293525" w:rsidRDefault="007244DB" w:rsidP="00BC7D91">
      <w:pPr>
        <w:pStyle w:val="SingleTxtG"/>
      </w:pPr>
      <w:r w:rsidRPr="00293525">
        <w:t>5.</w:t>
      </w:r>
      <w:r w:rsidRPr="00293525">
        <w:tab/>
        <w:t>Principales commissions chargées de la coordination des efforts</w:t>
      </w:r>
      <w:r w:rsidR="00BC7D91">
        <w:t> </w:t>
      </w:r>
      <w:r w:rsidRPr="00293525">
        <w:t>:</w:t>
      </w:r>
    </w:p>
    <w:tbl>
      <w:tblPr>
        <w:tblStyle w:val="Grilledutableau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BC7D91" w:rsidRPr="00BC7D91" w:rsidTr="00317BD1">
        <w:trPr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4DB" w:rsidRPr="00BC7D91" w:rsidRDefault="007244DB" w:rsidP="00BC7D9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>Commissions/programmes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4DB" w:rsidRPr="00BC7D91" w:rsidRDefault="007244DB" w:rsidP="00BC7D9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>Mandat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244DB" w:rsidRPr="00BC7D91" w:rsidRDefault="007244DB" w:rsidP="00BC7D91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C7D91">
              <w:rPr>
                <w:i/>
                <w:sz w:val="16"/>
              </w:rPr>
              <w:t>Organismes responsables de la mise en œuvre de la politique</w:t>
            </w:r>
          </w:p>
        </w:tc>
      </w:tr>
      <w:tr w:rsidR="00BC7D91" w:rsidRPr="00BC7D91" w:rsidTr="00317BD1">
        <w:trPr>
          <w:trHeight w:hRule="exact" w:val="113"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:rsidR="00BC7D91" w:rsidRPr="00BC7D91" w:rsidRDefault="00BC7D91" w:rsidP="00BC7D91">
            <w:pPr>
              <w:spacing w:before="40" w:after="120"/>
              <w:ind w:right="113"/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BC7D91" w:rsidRPr="00BC7D91" w:rsidRDefault="00BC7D91" w:rsidP="00BC7D91">
            <w:pPr>
              <w:spacing w:before="40" w:after="120"/>
              <w:ind w:right="113"/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BC7D91" w:rsidRPr="00BC7D91" w:rsidRDefault="00BC7D91" w:rsidP="00BC7D91">
            <w:pPr>
              <w:spacing w:before="40" w:after="120"/>
              <w:ind w:right="113"/>
            </w:pPr>
          </w:p>
        </w:tc>
      </w:tr>
      <w:tr w:rsidR="00BC7D91" w:rsidRPr="00BC7D91" w:rsidTr="00317BD1">
        <w:tc>
          <w:tcPr>
            <w:tcW w:w="2456" w:type="dxa"/>
            <w:shd w:val="clear" w:color="auto" w:fill="auto"/>
          </w:tcPr>
          <w:p w:rsidR="007244DB" w:rsidRPr="00BC7D91" w:rsidRDefault="007244DB" w:rsidP="00BC7D91">
            <w:pPr>
              <w:spacing w:before="40" w:after="120"/>
              <w:ind w:right="113"/>
            </w:pPr>
            <w:r w:rsidRPr="00BC7D91">
              <w:t xml:space="preserve">Commission chargée de se réunir avec les ambassades des États exportateurs </w:t>
            </w:r>
            <w:r w:rsidR="00B95FF1">
              <w:br/>
            </w:r>
            <w:r w:rsidRPr="00BC7D91">
              <w:t>de main-d</w:t>
            </w:r>
            <w:r w:rsidRPr="00BC7D91">
              <w:t>’</w:t>
            </w:r>
            <w:r w:rsidRPr="00BC7D91">
              <w:t>œuvre.</w:t>
            </w:r>
          </w:p>
        </w:tc>
        <w:tc>
          <w:tcPr>
            <w:tcW w:w="2457" w:type="dxa"/>
            <w:shd w:val="clear" w:color="auto" w:fill="auto"/>
          </w:tcPr>
          <w:p w:rsidR="007244DB" w:rsidRPr="00BC7D91" w:rsidRDefault="007244DB" w:rsidP="00BC7D91">
            <w:pPr>
              <w:spacing w:before="40" w:after="120"/>
              <w:ind w:right="113"/>
            </w:pPr>
            <w:r w:rsidRPr="00BC7D91">
              <w:t>Trouver des solutions appropriées aux problèmes auxquels se heurte la main-d</w:t>
            </w:r>
            <w:r w:rsidRPr="00BC7D91">
              <w:t>’</w:t>
            </w:r>
            <w:r w:rsidRPr="00BC7D91">
              <w:t>œuvre migrante.</w:t>
            </w:r>
          </w:p>
        </w:tc>
        <w:tc>
          <w:tcPr>
            <w:tcW w:w="2457" w:type="dxa"/>
            <w:shd w:val="clear" w:color="auto" w:fill="auto"/>
          </w:tcPr>
          <w:p w:rsidR="007244DB" w:rsidRPr="00BC7D91" w:rsidRDefault="007244DB" w:rsidP="00B95FF1">
            <w:pPr>
              <w:spacing w:before="40" w:after="120"/>
              <w:ind w:right="113"/>
            </w:pPr>
            <w:r w:rsidRPr="00BC7D91">
              <w:t>Ministère de la main-d</w:t>
            </w:r>
            <w:r w:rsidRPr="00BC7D91">
              <w:t>’</w:t>
            </w:r>
            <w:r w:rsidRPr="00BC7D91">
              <w:t>œuvre</w:t>
            </w:r>
          </w:p>
          <w:p w:rsidR="007244DB" w:rsidRPr="00BC7D91" w:rsidRDefault="007244DB" w:rsidP="00B95FF1">
            <w:pPr>
              <w:spacing w:before="40" w:after="120"/>
              <w:ind w:right="113"/>
            </w:pPr>
            <w:r w:rsidRPr="00BC7D91">
              <w:t>Police omanaise</w:t>
            </w:r>
          </w:p>
          <w:p w:rsidR="007244DB" w:rsidRDefault="007244DB" w:rsidP="00B95FF1">
            <w:pPr>
              <w:spacing w:before="40" w:after="120"/>
              <w:ind w:right="113"/>
            </w:pPr>
            <w:r w:rsidRPr="00BC7D91">
              <w:t>Ministère des affaires étrangères</w:t>
            </w:r>
          </w:p>
          <w:p w:rsidR="00B95FF1" w:rsidRPr="00BC7D91" w:rsidRDefault="00B95FF1" w:rsidP="00B95FF1">
            <w:pPr>
              <w:spacing w:before="40" w:after="120"/>
              <w:ind w:right="113"/>
            </w:pPr>
            <w:r w:rsidRPr="00BC7D91">
              <w:t>État exportateur de la main-d’œuvre</w:t>
            </w:r>
          </w:p>
        </w:tc>
      </w:tr>
      <w:tr w:rsidR="00BC7D91" w:rsidRPr="00BC7D91" w:rsidTr="00317BD1"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7244DB" w:rsidRPr="00BC7D91" w:rsidRDefault="007244DB" w:rsidP="00B95FF1">
            <w:pPr>
              <w:keepNext/>
              <w:keepLines/>
              <w:spacing w:before="40" w:after="120"/>
              <w:ind w:right="113"/>
            </w:pPr>
            <w:r w:rsidRPr="00BC7D91">
              <w:t xml:space="preserve">Commission chargée </w:t>
            </w:r>
            <w:r w:rsidR="00B95FF1">
              <w:br/>
            </w:r>
            <w:r w:rsidRPr="00BC7D91">
              <w:t xml:space="preserve">de régulariser la situation </w:t>
            </w:r>
            <w:r w:rsidR="00B95FF1">
              <w:br/>
            </w:r>
            <w:r w:rsidRPr="00BC7D91">
              <w:t>de la main-d</w:t>
            </w:r>
            <w:r w:rsidRPr="00BC7D91">
              <w:t>’</w:t>
            </w:r>
            <w:r w:rsidRPr="00BC7D91">
              <w:t xml:space="preserve">œuvre étrangère 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7244DB" w:rsidRPr="00BC7D91" w:rsidRDefault="007244DB" w:rsidP="00B95FF1">
            <w:pPr>
              <w:keepNext/>
              <w:keepLines/>
              <w:spacing w:before="40" w:after="120"/>
              <w:ind w:right="113"/>
            </w:pPr>
            <w:r w:rsidRPr="00BC7D91">
              <w:t xml:space="preserve">Régulariser la situation de </w:t>
            </w:r>
            <w:r w:rsidR="00B95FF1">
              <w:br/>
            </w:r>
            <w:r w:rsidRPr="00BC7D91">
              <w:t>la main-d</w:t>
            </w:r>
            <w:r w:rsidRPr="00BC7D91">
              <w:t>’</w:t>
            </w:r>
            <w:r w:rsidRPr="00BC7D91">
              <w:t>œuvre étrangère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7244DB" w:rsidRPr="00BC7D91" w:rsidRDefault="007244DB" w:rsidP="00B95FF1">
            <w:pPr>
              <w:keepNext/>
              <w:keepLines/>
              <w:spacing w:before="40" w:after="120"/>
              <w:ind w:right="113"/>
            </w:pPr>
            <w:r w:rsidRPr="00BC7D91">
              <w:t>Ministère de la main-d</w:t>
            </w:r>
            <w:r w:rsidRPr="00BC7D91">
              <w:t>’</w:t>
            </w:r>
            <w:r w:rsidRPr="00BC7D91">
              <w:t>œuvre</w:t>
            </w:r>
          </w:p>
          <w:p w:rsidR="007244DB" w:rsidRPr="00BC7D91" w:rsidRDefault="007244DB" w:rsidP="00B95FF1">
            <w:pPr>
              <w:keepNext/>
              <w:keepLines/>
              <w:spacing w:before="40" w:after="120"/>
              <w:ind w:right="113"/>
            </w:pPr>
            <w:r w:rsidRPr="00BC7D91">
              <w:t>Ministère public</w:t>
            </w:r>
          </w:p>
          <w:p w:rsidR="007244DB" w:rsidRPr="00BC7D91" w:rsidRDefault="007244DB" w:rsidP="00B95FF1">
            <w:pPr>
              <w:keepNext/>
              <w:keepLines/>
              <w:spacing w:before="40" w:after="120"/>
              <w:ind w:right="113"/>
            </w:pPr>
            <w:r w:rsidRPr="00BC7D91">
              <w:t>Police omanaise</w:t>
            </w:r>
          </w:p>
          <w:p w:rsidR="007244DB" w:rsidRPr="00BC7D91" w:rsidRDefault="007244DB" w:rsidP="00B95FF1">
            <w:pPr>
              <w:keepNext/>
              <w:keepLines/>
              <w:spacing w:before="40" w:after="120"/>
              <w:ind w:right="113"/>
            </w:pPr>
            <w:r w:rsidRPr="00BC7D91">
              <w:t>Ministère des affaires étrangères</w:t>
            </w:r>
          </w:p>
        </w:tc>
      </w:tr>
    </w:tbl>
    <w:p w:rsidR="007244DB" w:rsidRPr="00293525" w:rsidRDefault="007244DB" w:rsidP="00317BD1">
      <w:pPr>
        <w:pStyle w:val="SingleTxtG"/>
        <w:spacing w:before="120"/>
        <w:ind w:left="1701" w:firstLine="567"/>
      </w:pPr>
      <w:r w:rsidRPr="00293525">
        <w:t>d)</w:t>
      </w:r>
      <w:r w:rsidRPr="00293525">
        <w:tab/>
        <w:t xml:space="preserve">Prendre des mesures propres à sensibiliser les travailleurs migrants à toutes les voies existantes de dépôt de plaintes, y compris la saisine des tribunaux et, à cette fin, fournir des </w:t>
      </w:r>
      <w:bookmarkStart w:id="0" w:name="_GoBack"/>
      <w:bookmarkEnd w:id="0"/>
      <w:r w:rsidRPr="00293525">
        <w:t>services d</w:t>
      </w:r>
      <w:r>
        <w:t>’</w:t>
      </w:r>
      <w:r w:rsidRPr="00293525">
        <w:t>information juridique et de conseil aux victimes et garantir l</w:t>
      </w:r>
      <w:r>
        <w:t>’</w:t>
      </w:r>
      <w:r w:rsidRPr="00293525">
        <w:t>accès à ces services.</w:t>
      </w:r>
    </w:p>
    <w:p w:rsidR="007244DB" w:rsidRPr="00293525" w:rsidRDefault="007244DB" w:rsidP="00317BD1">
      <w:pPr>
        <w:pStyle w:val="SingleTxtG"/>
      </w:pPr>
      <w:r w:rsidRPr="00293525">
        <w:t>6.</w:t>
      </w:r>
      <w:r w:rsidRPr="00293525">
        <w:tab/>
        <w:t>Le Ministère de la main-d</w:t>
      </w:r>
      <w:r>
        <w:t>’</w:t>
      </w:r>
      <w:r w:rsidRPr="00293525">
        <w:t>œuvre s</w:t>
      </w:r>
      <w:r>
        <w:t>’</w:t>
      </w:r>
      <w:r w:rsidRPr="00293525">
        <w:t xml:space="preserve">est </w:t>
      </w:r>
      <w:r>
        <w:t>employé à simplifier</w:t>
      </w:r>
      <w:r w:rsidRPr="00293525">
        <w:t xml:space="preserve"> les procédures de plaintes relatives au travail. Il a mis en place, </w:t>
      </w:r>
      <w:r>
        <w:t xml:space="preserve">en </w:t>
      </w:r>
      <w:r w:rsidRPr="00293525">
        <w:t xml:space="preserve">août 2016, un système électronique pour recevoir les plaintes et les signalements </w:t>
      </w:r>
      <w:r w:rsidRPr="00293525">
        <w:lastRenderedPageBreak/>
        <w:t xml:space="preserve">relatifs au travail sur son site Web www.manpower.gov.om. Pour déposer une plainte, il suffit au travailleur de se rendre sur le site </w:t>
      </w:r>
      <w:r>
        <w:t>W</w:t>
      </w:r>
      <w:r w:rsidRPr="00293525">
        <w:t xml:space="preserve">eb </w:t>
      </w:r>
      <w:r>
        <w:t xml:space="preserve">du Ministère </w:t>
      </w:r>
      <w:r w:rsidRPr="00293525">
        <w:t xml:space="preserve">ou </w:t>
      </w:r>
      <w:r>
        <w:t xml:space="preserve">sur </w:t>
      </w:r>
      <w:r w:rsidRPr="00293525">
        <w:t>l</w:t>
      </w:r>
      <w:r>
        <w:t>’</w:t>
      </w:r>
      <w:r w:rsidRPr="00293525">
        <w:t>application pour téléphone mobile et de suivre les instructions, en tout lieu et à toute heure. Le système de plaintes et de signalements comprend les services suivants</w:t>
      </w:r>
      <w:r w:rsidR="00317BD1">
        <w:t> </w:t>
      </w:r>
      <w:r w:rsidRPr="00293525">
        <w:t>:</w:t>
      </w:r>
    </w:p>
    <w:p w:rsidR="007244DB" w:rsidRPr="00293525" w:rsidRDefault="007244DB" w:rsidP="00317BD1">
      <w:pPr>
        <w:pStyle w:val="Bullet1G"/>
      </w:pPr>
      <w:r w:rsidRPr="00293525">
        <w:t>Réception des plaintes relatives au travail</w:t>
      </w:r>
      <w:r w:rsidR="00317BD1">
        <w:t> </w:t>
      </w:r>
      <w:r w:rsidRPr="00293525">
        <w:t>;</w:t>
      </w:r>
    </w:p>
    <w:p w:rsidR="007244DB" w:rsidRPr="00293525" w:rsidRDefault="007244DB" w:rsidP="00317BD1">
      <w:pPr>
        <w:pStyle w:val="Bullet1G"/>
      </w:pPr>
      <w:r w:rsidRPr="00293525">
        <w:t>Suivi de l</w:t>
      </w:r>
      <w:r>
        <w:t>’</w:t>
      </w:r>
      <w:r w:rsidRPr="00293525">
        <w:t>état d</w:t>
      </w:r>
      <w:r>
        <w:t>’</w:t>
      </w:r>
      <w:r w:rsidRPr="00293525">
        <w:t>avancement de l</w:t>
      </w:r>
      <w:r>
        <w:t>’</w:t>
      </w:r>
      <w:r w:rsidRPr="00293525">
        <w:t>examen des plaintes enregistrées</w:t>
      </w:r>
      <w:r w:rsidR="00317BD1">
        <w:t> </w:t>
      </w:r>
      <w:r w:rsidRPr="00293525">
        <w:t>;</w:t>
      </w:r>
    </w:p>
    <w:p w:rsidR="007244DB" w:rsidRPr="00293525" w:rsidRDefault="007244DB" w:rsidP="00317BD1">
      <w:pPr>
        <w:pStyle w:val="Bullet1G"/>
      </w:pPr>
      <w:r>
        <w:t xml:space="preserve">Signalements </w:t>
      </w:r>
      <w:r w:rsidRPr="00293525">
        <w:t xml:space="preserve">concernant des entreprises privées </w:t>
      </w:r>
      <w:r>
        <w:t xml:space="preserve">en infraction avec </w:t>
      </w:r>
      <w:r w:rsidRPr="00293525">
        <w:t>le Code du travail</w:t>
      </w:r>
      <w:r w:rsidR="00317BD1">
        <w:t> </w:t>
      </w:r>
      <w:r w:rsidRPr="00293525">
        <w:t>;</w:t>
      </w:r>
    </w:p>
    <w:p w:rsidR="007244DB" w:rsidRPr="00293525" w:rsidRDefault="007244DB" w:rsidP="00317BD1">
      <w:pPr>
        <w:pStyle w:val="Bullet1G"/>
      </w:pPr>
      <w:r>
        <w:t xml:space="preserve">Signalements </w:t>
      </w:r>
      <w:r w:rsidRPr="00293525">
        <w:t xml:space="preserve">concernant des travailleurs </w:t>
      </w:r>
      <w:r>
        <w:t xml:space="preserve">en infraction avec </w:t>
      </w:r>
      <w:r w:rsidRPr="00293525">
        <w:t>les d</w:t>
      </w:r>
      <w:r w:rsidR="00317BD1">
        <w:t>ispositions du Code du travail.</w:t>
      </w:r>
    </w:p>
    <w:p w:rsidR="007244DB" w:rsidRPr="00293525" w:rsidRDefault="007244DB" w:rsidP="00317BD1">
      <w:pPr>
        <w:pStyle w:val="SingleTxtG"/>
      </w:pPr>
      <w:r w:rsidRPr="00293525">
        <w:t>7.</w:t>
      </w:r>
      <w:r w:rsidRPr="00293525">
        <w:tab/>
        <w:t xml:space="preserve">Le Ministère met également en </w:t>
      </w:r>
      <w:r>
        <w:t>œuvre</w:t>
      </w:r>
      <w:r w:rsidRPr="00293525">
        <w:t xml:space="preserve"> les programmes de sensibilisation et d</w:t>
      </w:r>
      <w:r>
        <w:t>’</w:t>
      </w:r>
      <w:r w:rsidRPr="00293525">
        <w:t>éducation ci-après</w:t>
      </w:r>
      <w:r w:rsidR="00317BD1">
        <w:t> </w:t>
      </w:r>
      <w:r w:rsidRPr="00293525">
        <w:t>:</w:t>
      </w:r>
    </w:p>
    <w:p w:rsidR="007244DB" w:rsidRPr="002B3C9B" w:rsidRDefault="007244DB" w:rsidP="00317BD1">
      <w:pPr>
        <w:pStyle w:val="Bullet1G"/>
      </w:pPr>
      <w:r w:rsidRPr="002B3C9B">
        <w:t xml:space="preserve">Élaboration et publication en 14 langues de manuels </w:t>
      </w:r>
      <w:r>
        <w:t xml:space="preserve">destinés à être </w:t>
      </w:r>
      <w:r w:rsidRPr="002B3C9B">
        <w:t>distribués auprès des travailleurs migrants au Sultanat</w:t>
      </w:r>
      <w:r>
        <w:t xml:space="preserve"> et qui ont pour</w:t>
      </w:r>
      <w:r w:rsidR="00317BD1">
        <w:t xml:space="preserve"> </w:t>
      </w:r>
      <w:r w:rsidRPr="002B3C9B">
        <w:t xml:space="preserve">but de fournir </w:t>
      </w:r>
      <w:r>
        <w:t xml:space="preserve">à ces travailleurs </w:t>
      </w:r>
      <w:r w:rsidRPr="002B3C9B">
        <w:t xml:space="preserve">des renseignements complets sur leurs droits et de contribuer ainsi à leur protection, </w:t>
      </w:r>
      <w:r>
        <w:t>de les conseiller concernant le respect de</w:t>
      </w:r>
      <w:r w:rsidRPr="002B3C9B">
        <w:t xml:space="preserve"> leur contrat de travail et </w:t>
      </w:r>
      <w:r>
        <w:t>des</w:t>
      </w:r>
      <w:r w:rsidRPr="002B3C9B">
        <w:t xml:space="preserve"> dispositions législatives pour éviter qu</w:t>
      </w:r>
      <w:r>
        <w:t>’</w:t>
      </w:r>
      <w:r w:rsidRPr="002B3C9B">
        <w:t>ils fassent l</w:t>
      </w:r>
      <w:r>
        <w:t>’</w:t>
      </w:r>
      <w:r w:rsidRPr="002B3C9B">
        <w:t xml:space="preserve">objet de pratiques préjudiciables associées à la traite des êtres humains et </w:t>
      </w:r>
      <w:r>
        <w:t>de leur expliquer</w:t>
      </w:r>
      <w:r w:rsidRPr="002B3C9B">
        <w:t xml:space="preserve"> comment saisir les autorités compétentes s</w:t>
      </w:r>
      <w:r>
        <w:t>’</w:t>
      </w:r>
      <w:r w:rsidRPr="002B3C9B">
        <w:t>ils sont victimes de violation</w:t>
      </w:r>
      <w:r w:rsidR="00317BD1">
        <w:t> </w:t>
      </w:r>
      <w:r w:rsidRPr="002B3C9B">
        <w:t>;</w:t>
      </w:r>
    </w:p>
    <w:p w:rsidR="007244DB" w:rsidRPr="00293525" w:rsidRDefault="007244DB" w:rsidP="00317BD1">
      <w:pPr>
        <w:pStyle w:val="Bullet1G"/>
      </w:pPr>
      <w:r>
        <w:t>Mise en place</w:t>
      </w:r>
      <w:r w:rsidRPr="00293525">
        <w:t xml:space="preserve"> d</w:t>
      </w:r>
      <w:r>
        <w:t>’</w:t>
      </w:r>
      <w:r w:rsidRPr="00293525">
        <w:t xml:space="preserve">une permanence téléphonique gratuite ouverte tous les jours </w:t>
      </w:r>
      <w:r>
        <w:t xml:space="preserve">et à toute heure </w:t>
      </w:r>
      <w:r w:rsidRPr="00293525">
        <w:t>au numéro 80077000 pour enregistrer les observations, les plaintes et les signalements concernant le Code du travail et ses règlements d</w:t>
      </w:r>
      <w:r>
        <w:t>’</w:t>
      </w:r>
      <w:r w:rsidRPr="00293525">
        <w:t xml:space="preserve">application, ainsi que toute violation </w:t>
      </w:r>
      <w:r>
        <w:t>de leurs dispositions</w:t>
      </w:r>
      <w:r w:rsidR="00317BD1">
        <w:t> </w:t>
      </w:r>
      <w:r w:rsidRPr="00293525">
        <w:t>;</w:t>
      </w:r>
    </w:p>
    <w:p w:rsidR="00984B29" w:rsidRDefault="007244DB" w:rsidP="00317BD1">
      <w:pPr>
        <w:pStyle w:val="Bullet1G"/>
      </w:pPr>
      <w:r w:rsidRPr="00293525">
        <w:t>Mise en place de services de sensibilisation à l</w:t>
      </w:r>
      <w:r>
        <w:t>’</w:t>
      </w:r>
      <w:r w:rsidRPr="00293525">
        <w:t>intention des travailleurs et des employeurs</w:t>
      </w:r>
      <w:r>
        <w:t> ;</w:t>
      </w:r>
      <w:r w:rsidRPr="00293525">
        <w:t xml:space="preserve"> en 2016, le Ministère a </w:t>
      </w:r>
      <w:r>
        <w:t>lancé</w:t>
      </w:r>
      <w:r w:rsidRPr="00293525">
        <w:t xml:space="preserve"> 625 programmes de sensibilisation individuels et 60 programmes de sensibilisation collectifs et a envoyé </w:t>
      </w:r>
      <w:r>
        <w:t xml:space="preserve">environ </w:t>
      </w:r>
      <w:r w:rsidRPr="00293525">
        <w:t>140</w:t>
      </w:r>
      <w:r>
        <w:t> </w:t>
      </w:r>
      <w:r w:rsidRPr="00293525">
        <w:t>512 messages de sensibilisation.</w:t>
      </w:r>
    </w:p>
    <w:p w:rsidR="007244DB" w:rsidRPr="00317BD1" w:rsidRDefault="00317BD1" w:rsidP="00317BD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4DB" w:rsidRPr="00317BD1" w:rsidSect="007244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F4" w:rsidRDefault="00DF12F4" w:rsidP="00F95C08">
      <w:pPr>
        <w:spacing w:line="240" w:lineRule="auto"/>
      </w:pPr>
    </w:p>
  </w:endnote>
  <w:endnote w:type="continuationSeparator" w:id="0">
    <w:p w:rsidR="00DF12F4" w:rsidRPr="00AC3823" w:rsidRDefault="00DF12F4" w:rsidP="00AC3823">
      <w:pPr>
        <w:pStyle w:val="Pieddepage"/>
      </w:pPr>
    </w:p>
  </w:endnote>
  <w:endnote w:type="continuationNotice" w:id="1">
    <w:p w:rsidR="00DF12F4" w:rsidRDefault="00DF12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DB" w:rsidRPr="007244DB" w:rsidRDefault="007244DB" w:rsidP="007244DB">
    <w:pPr>
      <w:pStyle w:val="Pieddepage"/>
      <w:tabs>
        <w:tab w:val="right" w:pos="9638"/>
      </w:tabs>
    </w:pPr>
    <w:r w:rsidRPr="007244DB">
      <w:rPr>
        <w:b/>
        <w:sz w:val="18"/>
      </w:rPr>
      <w:fldChar w:fldCharType="begin"/>
    </w:r>
    <w:r w:rsidRPr="007244DB">
      <w:rPr>
        <w:b/>
        <w:sz w:val="18"/>
      </w:rPr>
      <w:instrText xml:space="preserve"> PAGE  \* MERGEFORMAT </w:instrText>
    </w:r>
    <w:r w:rsidRPr="007244DB">
      <w:rPr>
        <w:b/>
        <w:sz w:val="18"/>
      </w:rPr>
      <w:fldChar w:fldCharType="separate"/>
    </w:r>
    <w:r w:rsidR="00B17FC6">
      <w:rPr>
        <w:b/>
        <w:noProof/>
        <w:sz w:val="18"/>
      </w:rPr>
      <w:t>2</w:t>
    </w:r>
    <w:r w:rsidRPr="007244DB">
      <w:rPr>
        <w:b/>
        <w:sz w:val="18"/>
      </w:rPr>
      <w:fldChar w:fldCharType="end"/>
    </w:r>
    <w:r>
      <w:rPr>
        <w:b/>
        <w:sz w:val="18"/>
      </w:rPr>
      <w:tab/>
    </w:r>
    <w:r>
      <w:t>GE.18-02323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DB" w:rsidRPr="007244DB" w:rsidRDefault="007244DB" w:rsidP="007244DB">
    <w:pPr>
      <w:pStyle w:val="Pieddepage"/>
      <w:tabs>
        <w:tab w:val="right" w:pos="9638"/>
      </w:tabs>
      <w:rPr>
        <w:b/>
        <w:sz w:val="18"/>
      </w:rPr>
    </w:pPr>
    <w:r>
      <w:t>GE.18-02323</w:t>
    </w:r>
    <w:r>
      <w:tab/>
    </w:r>
    <w:r w:rsidRPr="007244DB">
      <w:rPr>
        <w:b/>
        <w:sz w:val="18"/>
      </w:rPr>
      <w:fldChar w:fldCharType="begin"/>
    </w:r>
    <w:r w:rsidRPr="007244DB">
      <w:rPr>
        <w:b/>
        <w:sz w:val="18"/>
      </w:rPr>
      <w:instrText xml:space="preserve"> PAGE  \* MERGEFORMAT </w:instrText>
    </w:r>
    <w:r w:rsidRPr="007244DB">
      <w:rPr>
        <w:b/>
        <w:sz w:val="18"/>
      </w:rPr>
      <w:fldChar w:fldCharType="separate"/>
    </w:r>
    <w:r w:rsidR="00B17FC6">
      <w:rPr>
        <w:b/>
        <w:noProof/>
        <w:sz w:val="18"/>
      </w:rPr>
      <w:t>3</w:t>
    </w:r>
    <w:r w:rsidRPr="007244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29" w:rsidRPr="007244DB" w:rsidRDefault="007244DB" w:rsidP="007244DB">
    <w:pPr>
      <w:pStyle w:val="Pieddepage"/>
      <w:spacing w:before="120"/>
      <w:rPr>
        <w:sz w:val="20"/>
      </w:rPr>
    </w:pPr>
    <w:r>
      <w:rPr>
        <w:sz w:val="20"/>
      </w:rPr>
      <w:t>GE.</w:t>
    </w:r>
    <w:r w:rsidR="00984B2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18-02323  (F)    090518    100518</w:t>
    </w:r>
    <w:r>
      <w:rPr>
        <w:sz w:val="20"/>
      </w:rPr>
      <w:br/>
    </w:r>
    <w:r w:rsidRPr="007244DB">
      <w:rPr>
        <w:rFonts w:ascii="C39T30Lfz" w:hAnsi="C39T30Lfz"/>
        <w:sz w:val="56"/>
      </w:rPr>
      <w:t></w:t>
    </w:r>
    <w:r w:rsidRPr="007244DB">
      <w:rPr>
        <w:rFonts w:ascii="C39T30Lfz" w:hAnsi="C39T30Lfz"/>
        <w:sz w:val="56"/>
      </w:rPr>
      <w:t></w:t>
    </w:r>
    <w:r w:rsidRPr="007244DB">
      <w:rPr>
        <w:rFonts w:ascii="C39T30Lfz" w:hAnsi="C39T30Lfz"/>
        <w:sz w:val="56"/>
      </w:rPr>
      <w:t></w:t>
    </w:r>
    <w:r w:rsidRPr="007244DB">
      <w:rPr>
        <w:rFonts w:ascii="C39T30Lfz" w:hAnsi="C39T30Lfz"/>
        <w:sz w:val="56"/>
      </w:rPr>
      <w:t></w:t>
    </w:r>
    <w:r w:rsidRPr="007244DB">
      <w:rPr>
        <w:rFonts w:ascii="C39T30Lfz" w:hAnsi="C39T30Lfz"/>
        <w:sz w:val="56"/>
      </w:rPr>
      <w:t></w:t>
    </w:r>
    <w:r w:rsidRPr="007244DB">
      <w:rPr>
        <w:rFonts w:ascii="C39T30Lfz" w:hAnsi="C39T30Lfz"/>
        <w:sz w:val="56"/>
      </w:rPr>
      <w:t></w:t>
    </w:r>
    <w:r w:rsidRPr="007244DB">
      <w:rPr>
        <w:rFonts w:ascii="C39T30Lfz" w:hAnsi="C39T30Lfz"/>
        <w:sz w:val="56"/>
      </w:rPr>
      <w:t></w:t>
    </w:r>
    <w:r w:rsidRPr="007244DB">
      <w:rPr>
        <w:rFonts w:ascii="C39T30Lfz" w:hAnsi="C39T30Lfz"/>
        <w:sz w:val="56"/>
      </w:rPr>
      <w:t></w:t>
    </w:r>
    <w:r w:rsidRPr="007244D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ERD/C/OMN/CO/2-5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OMN/CO/2-5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F4" w:rsidRPr="00AC3823" w:rsidRDefault="00DF12F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12F4" w:rsidRPr="00AC3823" w:rsidRDefault="00DF12F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12F4" w:rsidRPr="00AC3823" w:rsidRDefault="00DF12F4">
      <w:pPr>
        <w:spacing w:line="240" w:lineRule="auto"/>
        <w:rPr>
          <w:sz w:val="2"/>
          <w:szCs w:val="2"/>
        </w:rPr>
      </w:pPr>
    </w:p>
  </w:footnote>
  <w:footnote w:id="2">
    <w:p w:rsidR="009857C4" w:rsidRPr="009857C4" w:rsidRDefault="009857C4">
      <w:pPr>
        <w:pStyle w:val="Notedebasdepage"/>
      </w:pPr>
      <w:r>
        <w:rPr>
          <w:rStyle w:val="Appelnotedebasdep"/>
        </w:rPr>
        <w:tab/>
      </w:r>
      <w:r w:rsidRPr="009857C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293525">
        <w:t>La version originale du présent document n’a pas été revue par les services d’édition.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DB" w:rsidRPr="007244DB" w:rsidRDefault="007244DB">
    <w:pPr>
      <w:pStyle w:val="En-tte"/>
    </w:pPr>
    <w:fldSimple w:instr=" TITLE  \* MERGEFORMAT ">
      <w:r w:rsidR="00B95FF1">
        <w:t>CERD/C/OMN/CO/2-5/Add.1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DB" w:rsidRPr="007244DB" w:rsidRDefault="007244DB" w:rsidP="007244DB">
    <w:pPr>
      <w:pStyle w:val="En-tte"/>
      <w:jc w:val="right"/>
    </w:pPr>
    <w:fldSimple w:instr=" TITLE  \* MERGEFORMAT ">
      <w:r w:rsidR="00B95FF1">
        <w:t>CERD/C/OMN/CO/2-5/Add.1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59021CF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FCDAFDF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7680AC0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0FB2674"/>
    <w:multiLevelType w:val="hybridMultilevel"/>
    <w:tmpl w:val="B97C3D2A"/>
    <w:lvl w:ilvl="0" w:tplc="E792617C">
      <w:start w:val="1"/>
      <w:numFmt w:val="bullet"/>
      <w:lvlText w:val="-"/>
      <w:lvlJc w:val="left"/>
      <w:pPr>
        <w:ind w:left="777" w:hanging="360"/>
      </w:pPr>
      <w:rPr>
        <w:rFonts w:ascii="Traditional Arabic" w:hAnsi="Traditional Arab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  <w:lvlOverride w:ilvl="0">
      <w:lvl w:ilvl="0" w:tplc="E89AD7DE">
        <w:start w:val="1"/>
        <w:numFmt w:val="bullet"/>
        <w:pStyle w:val="Bullet1GA"/>
        <w:lvlText w:val=""/>
        <w:lvlJc w:val="left"/>
        <w:pPr>
          <w:tabs>
            <w:tab w:val="num" w:pos="2495"/>
          </w:tabs>
          <w:ind w:left="2495" w:hanging="545"/>
        </w:pPr>
        <w:rPr>
          <w:rFonts w:ascii="Symbol" w:hAnsi="Symbol" w:hint="default"/>
        </w:rPr>
      </w:lvl>
    </w:lvlOverride>
  </w:num>
  <w:num w:numId="18">
    <w:abstractNumId w:val="14"/>
    <w:lvlOverride w:ilvl="0">
      <w:lvl w:ilvl="0" w:tplc="E792617C">
        <w:start w:val="1"/>
        <w:numFmt w:val="bullet"/>
        <w:lvlText w:val="-"/>
        <w:lvlJc w:val="left"/>
        <w:pPr>
          <w:ind w:left="777" w:hanging="360"/>
        </w:pPr>
        <w:rPr>
          <w:rFonts w:ascii="Traditional Arabic" w:hAnsi="Traditional Arabic" w:hint="default"/>
          <w:sz w:val="20"/>
          <w:szCs w:val="20"/>
        </w:rPr>
      </w:lvl>
    </w:lvlOverride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4"/>
    <w:rsid w:val="00017F94"/>
    <w:rsid w:val="00023842"/>
    <w:rsid w:val="000334F9"/>
    <w:rsid w:val="0007796D"/>
    <w:rsid w:val="000B7790"/>
    <w:rsid w:val="00111F2F"/>
    <w:rsid w:val="0014365E"/>
    <w:rsid w:val="00176178"/>
    <w:rsid w:val="001F525A"/>
    <w:rsid w:val="00215BEC"/>
    <w:rsid w:val="00223272"/>
    <w:rsid w:val="0024779E"/>
    <w:rsid w:val="00317BD1"/>
    <w:rsid w:val="00446FE5"/>
    <w:rsid w:val="00452396"/>
    <w:rsid w:val="004F094E"/>
    <w:rsid w:val="005505B7"/>
    <w:rsid w:val="00573BE5"/>
    <w:rsid w:val="00586ED3"/>
    <w:rsid w:val="00596AA9"/>
    <w:rsid w:val="00623CA8"/>
    <w:rsid w:val="00712E6E"/>
    <w:rsid w:val="0071601D"/>
    <w:rsid w:val="007244DB"/>
    <w:rsid w:val="00780585"/>
    <w:rsid w:val="00783E9F"/>
    <w:rsid w:val="007A62E6"/>
    <w:rsid w:val="0080684C"/>
    <w:rsid w:val="00871C75"/>
    <w:rsid w:val="008776DC"/>
    <w:rsid w:val="009705C8"/>
    <w:rsid w:val="00984B29"/>
    <w:rsid w:val="009857C4"/>
    <w:rsid w:val="009D5F1A"/>
    <w:rsid w:val="00A30353"/>
    <w:rsid w:val="00AC3823"/>
    <w:rsid w:val="00AE323C"/>
    <w:rsid w:val="00B00181"/>
    <w:rsid w:val="00B17FC6"/>
    <w:rsid w:val="00B765F7"/>
    <w:rsid w:val="00B95FF1"/>
    <w:rsid w:val="00BA0CA9"/>
    <w:rsid w:val="00BB0B66"/>
    <w:rsid w:val="00BC7D91"/>
    <w:rsid w:val="00C02897"/>
    <w:rsid w:val="00D3439C"/>
    <w:rsid w:val="00D47692"/>
    <w:rsid w:val="00DB1831"/>
    <w:rsid w:val="00DC0149"/>
    <w:rsid w:val="00DD3BFD"/>
    <w:rsid w:val="00DF12F4"/>
    <w:rsid w:val="00DF6678"/>
    <w:rsid w:val="00EF3D45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BC8AB5"/>
  <w15:docId w15:val="{6B12F786-41EF-4076-860F-297A655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57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9857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9857C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9857C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9857C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9857C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9857C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9857C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9857C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9857C4"/>
    <w:pPr>
      <w:outlineLvl w:val="8"/>
    </w:pPr>
  </w:style>
  <w:style w:type="character" w:default="1" w:styleId="Policepardfaut">
    <w:name w:val="Default Paragraph Font"/>
    <w:uiPriority w:val="1"/>
    <w:semiHidden/>
    <w:unhideWhenUsed/>
    <w:rsid w:val="009857C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857C4"/>
  </w:style>
  <w:style w:type="paragraph" w:styleId="En-tte">
    <w:name w:val="header"/>
    <w:aliases w:val="6_G"/>
    <w:basedOn w:val="Normal"/>
    <w:next w:val="Normal"/>
    <w:link w:val="En-tteCar"/>
    <w:qFormat/>
    <w:rsid w:val="009857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9857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9857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9857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9857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857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857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857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857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857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857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857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857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857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857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857C4"/>
    <w:pPr>
      <w:numPr>
        <w:numId w:val="1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857C4"/>
    <w:pPr>
      <w:numPr>
        <w:numId w:val="20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9857C4"/>
    <w:pPr>
      <w:numPr>
        <w:numId w:val="21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9857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9857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9857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9857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9857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9857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9857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9857C4"/>
  </w:style>
  <w:style w:type="character" w:customStyle="1" w:styleId="NotedefinCar">
    <w:name w:val="Note de fin Car"/>
    <w:aliases w:val="2_G Car"/>
    <w:basedOn w:val="Policepardfaut"/>
    <w:link w:val="Notedefin"/>
    <w:rsid w:val="009857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9857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857C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SingleTxtGA">
    <w:name w:val="_ Single Txt_GA"/>
    <w:basedOn w:val="Normal"/>
    <w:qFormat/>
    <w:rsid w:val="007244D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 w:val="0"/>
      <w:kinsoku/>
      <w:overflowPunct/>
      <w:autoSpaceDE/>
      <w:autoSpaceDN/>
      <w:bidi/>
      <w:adjustRightInd/>
      <w:snapToGrid/>
      <w:spacing w:after="120" w:line="380" w:lineRule="exact"/>
      <w:ind w:left="1247" w:right="1247"/>
      <w:jc w:val="lowKashida"/>
    </w:pPr>
    <w:rPr>
      <w:rFonts w:eastAsia="Times New Roman" w:cs="Traditional Arabic"/>
      <w:szCs w:val="30"/>
      <w:lang w:val="en-US"/>
    </w:rPr>
  </w:style>
  <w:style w:type="paragraph" w:customStyle="1" w:styleId="SLGA">
    <w:name w:val="__S_L_GA"/>
    <w:basedOn w:val="Normal"/>
    <w:next w:val="Normal"/>
    <w:qFormat/>
    <w:rsid w:val="007244DB"/>
    <w:pPr>
      <w:keepNext/>
      <w:keepLines/>
      <w:kinsoku/>
      <w:overflowPunct/>
      <w:autoSpaceDE/>
      <w:autoSpaceDN/>
      <w:adjustRightInd/>
      <w:snapToGrid/>
      <w:spacing w:before="240" w:after="240" w:line="800" w:lineRule="exact"/>
      <w:ind w:left="1247" w:right="1247"/>
      <w:jc w:val="lowKashida"/>
    </w:pPr>
    <w:rPr>
      <w:rFonts w:eastAsia="Times New Roman" w:cs="Traditional Arabic"/>
      <w:b/>
      <w:bCs/>
      <w:sz w:val="56"/>
      <w:szCs w:val="84"/>
      <w:lang w:val="en-US"/>
    </w:rPr>
  </w:style>
  <w:style w:type="paragraph" w:customStyle="1" w:styleId="Bullet1GA">
    <w:name w:val="_Bullet 1_GA"/>
    <w:basedOn w:val="Normal"/>
    <w:qFormat/>
    <w:rsid w:val="007244DB"/>
    <w:pPr>
      <w:numPr>
        <w:numId w:val="17"/>
      </w:numPr>
      <w:kinsoku/>
      <w:overflowPunct/>
      <w:autoSpaceDE/>
      <w:autoSpaceDN/>
      <w:adjustRightInd/>
      <w:snapToGrid/>
      <w:spacing w:after="120" w:line="380" w:lineRule="exact"/>
      <w:ind w:right="1247"/>
      <w:jc w:val="lowKashida"/>
    </w:pPr>
    <w:rPr>
      <w:rFonts w:eastAsia="Times New Roman" w:cs="Traditional Arabic"/>
      <w:szCs w:val="30"/>
      <w:lang w:val="en-US"/>
    </w:rPr>
  </w:style>
  <w:style w:type="paragraph" w:styleId="Paragraphedeliste">
    <w:name w:val="List Paragraph"/>
    <w:basedOn w:val="Normal"/>
    <w:uiPriority w:val="34"/>
    <w:qFormat/>
    <w:rsid w:val="007244DB"/>
    <w:pPr>
      <w:suppressAutoHyphens w:val="0"/>
      <w:kinsoku/>
      <w:overflowPunct/>
      <w:autoSpaceDE/>
      <w:autoSpaceDN/>
      <w:bidi/>
      <w:adjustRightInd/>
      <w:snapToGrid/>
      <w:ind w:left="720"/>
      <w:contextualSpacing/>
      <w:jc w:val="lowKashida"/>
    </w:pPr>
    <w:rPr>
      <w:rFonts w:eastAsia="Times New Roman" w:cs="Traditional Arabic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4</Pages>
  <Words>1222</Words>
  <Characters>8558</Characters>
  <Application>Microsoft Office Word</Application>
  <DocSecurity>0</DocSecurity>
  <Lines>570</Lines>
  <Paragraphs>208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CERD/C/OMN/CO/2-5/Add.1</vt:lpstr>
    </vt:vector>
  </TitlesOfParts>
  <Company>DCM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CERD/C/OMN/CO/2-5/Add.1</dc:title>
  <dc:subject/>
  <dc:creator>Fabienne CRELIER</dc:creator>
  <cp:keywords/>
  <cp:lastModifiedBy>Fabienne Crelier</cp:lastModifiedBy>
  <cp:revision>2</cp:revision>
  <cp:lastPrinted>2018-05-10T06:05:00Z</cp:lastPrinted>
  <dcterms:created xsi:type="dcterms:W3CDTF">2018-05-10T06:49:00Z</dcterms:created>
  <dcterms:modified xsi:type="dcterms:W3CDTF">2018-05-10T06:49:00Z</dcterms:modified>
</cp:coreProperties>
</file>