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4A14A6">
        <w:trPr>
          <w:trHeight w:hRule="exact" w:val="851"/>
        </w:trPr>
        <w:tc>
          <w:tcPr>
            <w:tcW w:w="1274" w:type="dxa"/>
            <w:tcBorders>
              <w:bottom w:val="single" w:sz="4" w:space="0" w:color="auto"/>
            </w:tcBorders>
          </w:tcPr>
          <w:p w:rsidR="006B3E27" w:rsidRPr="00983870" w:rsidRDefault="006B3E27" w:rsidP="00E76499">
            <w:pPr>
              <w:bidi w:val="0"/>
              <w:jc w:val="right"/>
            </w:pPr>
          </w:p>
        </w:tc>
        <w:tc>
          <w:tcPr>
            <w:tcW w:w="4679"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87524B" w:rsidP="00931EF4">
            <w:pPr>
              <w:bidi w:val="0"/>
              <w:spacing w:after="20"/>
              <w:jc w:val="left"/>
              <w:rPr>
                <w:szCs w:val="20"/>
              </w:rPr>
            </w:pPr>
            <w:r w:rsidRPr="0087524B">
              <w:rPr>
                <w:sz w:val="40"/>
                <w:szCs w:val="20"/>
              </w:rPr>
              <w:t>CERD</w:t>
            </w:r>
            <w:r>
              <w:rPr>
                <w:szCs w:val="20"/>
              </w:rPr>
              <w:t>/C/OMN/Q/2-5</w:t>
            </w:r>
          </w:p>
        </w:tc>
      </w:tr>
      <w:tr w:rsidR="006B3E27" w:rsidRPr="00DB7679" w:rsidTr="004A14A6">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5FB01C6" wp14:editId="097FB2E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523BAE">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31EF4" w:rsidP="00931EF4">
            <w:pPr>
              <w:bidi w:val="0"/>
              <w:spacing w:before="240"/>
              <w:jc w:val="left"/>
            </w:pPr>
            <w:r>
              <w:t>Distr.: General</w:t>
            </w:r>
          </w:p>
          <w:p w:rsidR="00931EF4" w:rsidRDefault="00931EF4" w:rsidP="00931EF4">
            <w:pPr>
              <w:bidi w:val="0"/>
              <w:jc w:val="left"/>
            </w:pPr>
            <w:r>
              <w:t>22 February 2016</w:t>
            </w:r>
          </w:p>
          <w:p w:rsidR="00931EF4" w:rsidRDefault="00931EF4" w:rsidP="00931EF4">
            <w:pPr>
              <w:bidi w:val="0"/>
              <w:jc w:val="left"/>
            </w:pPr>
            <w:r>
              <w:t>Arabic</w:t>
            </w:r>
          </w:p>
          <w:p w:rsidR="00931EF4" w:rsidRDefault="00931EF4" w:rsidP="00931EF4">
            <w:pPr>
              <w:bidi w:val="0"/>
              <w:jc w:val="left"/>
            </w:pPr>
            <w:r>
              <w:t>Original: English</w:t>
            </w:r>
          </w:p>
          <w:p w:rsidR="00931EF4" w:rsidRPr="008B4BC6" w:rsidRDefault="00931EF4" w:rsidP="00931EF4">
            <w:pPr>
              <w:bidi w:val="0"/>
              <w:jc w:val="left"/>
            </w:pPr>
            <w:r>
              <w:t xml:space="preserve">Arabic, English, French </w:t>
            </w:r>
            <w:r>
              <w:br/>
              <w:t>and Spanish only</w:t>
            </w:r>
          </w:p>
        </w:tc>
      </w:tr>
    </w:tbl>
    <w:p w:rsidR="00931EF4" w:rsidRPr="00931EF4" w:rsidRDefault="00931EF4" w:rsidP="00931EF4">
      <w:pPr>
        <w:spacing w:before="120" w:line="360" w:lineRule="exact"/>
        <w:rPr>
          <w:b/>
          <w:bCs/>
          <w:sz w:val="26"/>
          <w:szCs w:val="36"/>
          <w:rtl/>
          <w:lang w:val="en-GB"/>
        </w:rPr>
      </w:pPr>
      <w:r w:rsidRPr="00931EF4">
        <w:rPr>
          <w:rFonts w:hint="cs"/>
          <w:b/>
          <w:bCs/>
          <w:sz w:val="26"/>
          <w:szCs w:val="36"/>
          <w:rtl/>
        </w:rPr>
        <w:t>لجنة</w:t>
      </w:r>
      <w:r w:rsidRPr="00931EF4">
        <w:rPr>
          <w:b/>
          <w:bCs/>
          <w:sz w:val="26"/>
          <w:szCs w:val="36"/>
          <w:rtl/>
        </w:rPr>
        <w:t xml:space="preserve"> القضاء على التمييز العنصري</w:t>
      </w:r>
    </w:p>
    <w:p w:rsidR="00931EF4" w:rsidRPr="00931EF4" w:rsidRDefault="00931EF4" w:rsidP="00931EF4">
      <w:pPr>
        <w:spacing w:line="360" w:lineRule="exact"/>
        <w:rPr>
          <w:b/>
          <w:bCs/>
          <w:lang w:val="en-GB"/>
        </w:rPr>
      </w:pPr>
      <w:r w:rsidRPr="00931EF4">
        <w:rPr>
          <w:b/>
          <w:bCs/>
          <w:rtl/>
          <w:lang w:val="en-GB"/>
        </w:rPr>
        <w:t xml:space="preserve">الدورة </w:t>
      </w:r>
      <w:r w:rsidRPr="00931EF4">
        <w:rPr>
          <w:rFonts w:hint="cs"/>
          <w:b/>
          <w:bCs/>
          <w:rtl/>
          <w:lang w:val="en-GB"/>
        </w:rPr>
        <w:t>التاسعة</w:t>
      </w:r>
      <w:r w:rsidRPr="00931EF4">
        <w:rPr>
          <w:b/>
          <w:bCs/>
          <w:rtl/>
          <w:lang w:val="en-GB"/>
        </w:rPr>
        <w:t xml:space="preserve"> والثمانون</w:t>
      </w:r>
    </w:p>
    <w:p w:rsidR="00931EF4" w:rsidRPr="00AD4AF1" w:rsidRDefault="00931EF4" w:rsidP="00931EF4">
      <w:pPr>
        <w:spacing w:line="360" w:lineRule="exact"/>
      </w:pPr>
      <w:r>
        <w:rPr>
          <w:rFonts w:hint="cs"/>
          <w:rtl/>
          <w:lang w:val="en-GB"/>
        </w:rPr>
        <w:t xml:space="preserve">25 نيسان/أبريل </w:t>
      </w:r>
      <w:r w:rsidRPr="00BB36F2">
        <w:rPr>
          <w:rtl/>
          <w:lang w:val="en-GB"/>
        </w:rPr>
        <w:t>-</w:t>
      </w:r>
      <w:r>
        <w:rPr>
          <w:rFonts w:hint="cs"/>
          <w:rtl/>
          <w:lang w:val="en-GB"/>
        </w:rPr>
        <w:t xml:space="preserve"> 13</w:t>
      </w:r>
      <w:r w:rsidRPr="00BB36F2">
        <w:rPr>
          <w:rtl/>
          <w:lang w:val="en-GB"/>
        </w:rPr>
        <w:t xml:space="preserve"> </w:t>
      </w:r>
      <w:r>
        <w:rPr>
          <w:rFonts w:hint="cs"/>
          <w:rtl/>
          <w:lang w:val="en-GB"/>
        </w:rPr>
        <w:t>أيار/مايو 2016</w:t>
      </w:r>
    </w:p>
    <w:p w:rsidR="00931EF4" w:rsidRPr="00BB36F2" w:rsidRDefault="00931EF4" w:rsidP="00931EF4">
      <w:pPr>
        <w:spacing w:line="360" w:lineRule="exact"/>
        <w:rPr>
          <w:lang w:val="en-GB"/>
        </w:rPr>
      </w:pPr>
      <w:r>
        <w:rPr>
          <w:rtl/>
          <w:lang w:val="en-GB"/>
        </w:rPr>
        <w:t xml:space="preserve">البند </w:t>
      </w:r>
      <w:r>
        <w:rPr>
          <w:rFonts w:hint="cs"/>
          <w:rtl/>
          <w:lang w:val="en-GB"/>
        </w:rPr>
        <w:t>6</w:t>
      </w:r>
      <w:r>
        <w:rPr>
          <w:rtl/>
          <w:lang w:val="en-GB"/>
        </w:rPr>
        <w:t xml:space="preserve"> من جدول الأعمال المؤقت</w:t>
      </w:r>
    </w:p>
    <w:p w:rsidR="00931EF4" w:rsidRPr="00931EF4" w:rsidRDefault="00931EF4" w:rsidP="00931EF4">
      <w:pPr>
        <w:spacing w:line="360" w:lineRule="exact"/>
        <w:ind w:right="5488"/>
        <w:rPr>
          <w:b/>
          <w:bCs/>
          <w:lang w:val="en-GB"/>
        </w:rPr>
      </w:pPr>
      <w:r w:rsidRPr="00931EF4">
        <w:rPr>
          <w:b/>
          <w:bCs/>
          <w:rtl/>
          <w:lang w:val="en-GB"/>
        </w:rPr>
        <w:t>النظر في التقارير والتعليقات والمعل</w:t>
      </w:r>
      <w:r w:rsidRPr="00931EF4">
        <w:rPr>
          <w:rFonts w:hint="cs"/>
          <w:b/>
          <w:bCs/>
          <w:rtl/>
          <w:lang w:val="en-GB"/>
        </w:rPr>
        <w:t>ــ</w:t>
      </w:r>
      <w:r w:rsidRPr="00931EF4">
        <w:rPr>
          <w:b/>
          <w:bCs/>
          <w:rtl/>
          <w:lang w:val="en-GB"/>
        </w:rPr>
        <w:t>ومات المقدمة</w:t>
      </w:r>
      <w:r>
        <w:rPr>
          <w:rFonts w:hint="cs"/>
          <w:b/>
          <w:bCs/>
          <w:rtl/>
          <w:lang w:val="en-GB"/>
        </w:rPr>
        <w:t xml:space="preserve"> </w:t>
      </w:r>
      <w:r w:rsidRPr="00931EF4">
        <w:rPr>
          <w:b/>
          <w:bCs/>
          <w:rtl/>
          <w:lang w:val="en-GB"/>
        </w:rPr>
        <w:t>من الدول الأطراف بموجب المادة 9 من الاتفاقية</w:t>
      </w:r>
    </w:p>
    <w:p w:rsidR="00931EF4" w:rsidRPr="00BB36F2" w:rsidRDefault="00931EF4" w:rsidP="00931EF4">
      <w:pPr>
        <w:pStyle w:val="HChGA"/>
        <w:rPr>
          <w:lang w:val="en-GB"/>
        </w:rPr>
      </w:pPr>
      <w:r w:rsidRPr="00BB36F2">
        <w:rPr>
          <w:rtl/>
          <w:lang w:val="en-GB"/>
        </w:rPr>
        <w:tab/>
      </w:r>
      <w:r w:rsidRPr="00BB36F2">
        <w:rPr>
          <w:rtl/>
          <w:lang w:val="en-GB"/>
        </w:rPr>
        <w:tab/>
        <w:t xml:space="preserve">قائمة المواضيع المتصلة بالتقرير الجامع للتقارير الدورية من </w:t>
      </w:r>
      <w:r>
        <w:rPr>
          <w:rFonts w:hint="cs"/>
          <w:rtl/>
          <w:lang w:val="en-GB"/>
        </w:rPr>
        <w:t>الثاني</w:t>
      </w:r>
      <w:r w:rsidRPr="00BB36F2">
        <w:rPr>
          <w:rtl/>
          <w:lang w:val="en-GB"/>
        </w:rPr>
        <w:t xml:space="preserve"> إلى </w:t>
      </w:r>
      <w:r>
        <w:rPr>
          <w:rFonts w:hint="cs"/>
          <w:rtl/>
          <w:lang w:val="en-GB"/>
        </w:rPr>
        <w:t>الخامس</w:t>
      </w:r>
      <w:r w:rsidRPr="00BB36F2">
        <w:rPr>
          <w:rtl/>
          <w:lang w:val="en-GB"/>
        </w:rPr>
        <w:t xml:space="preserve"> </w:t>
      </w:r>
      <w:r>
        <w:rPr>
          <w:rFonts w:hint="cs"/>
          <w:rtl/>
          <w:lang w:val="en-GB"/>
        </w:rPr>
        <w:t>لعُمان</w:t>
      </w:r>
      <w:r w:rsidRPr="00BB36F2">
        <w:rPr>
          <w:rtl/>
          <w:lang w:val="en-GB"/>
        </w:rPr>
        <w:t xml:space="preserve"> (</w:t>
      </w:r>
      <w:r w:rsidRPr="003A6EC1">
        <w:t>CERD/C/OMN/2-5</w:t>
      </w:r>
      <w:r w:rsidRPr="00BB36F2">
        <w:rPr>
          <w:rtl/>
          <w:lang w:val="en-GB"/>
        </w:rPr>
        <w:t>)</w:t>
      </w:r>
    </w:p>
    <w:p w:rsidR="00931EF4" w:rsidRPr="00D7793D" w:rsidRDefault="00931EF4" w:rsidP="00931EF4">
      <w:pPr>
        <w:pStyle w:val="H1GA"/>
      </w:pPr>
      <w:r>
        <w:rPr>
          <w:rtl/>
          <w:lang w:val="en-GB"/>
        </w:rPr>
        <w:tab/>
      </w:r>
      <w:r>
        <w:rPr>
          <w:rtl/>
          <w:lang w:val="en-GB"/>
        </w:rPr>
        <w:tab/>
        <w:t>مذكرة من المقرر ال</w:t>
      </w:r>
      <w:r>
        <w:rPr>
          <w:rFonts w:hint="cs"/>
          <w:rtl/>
          <w:lang w:val="en-GB"/>
        </w:rPr>
        <w:t>قُطري</w:t>
      </w:r>
      <w:bookmarkStart w:id="0" w:name="_GoBack"/>
      <w:bookmarkEnd w:id="0"/>
    </w:p>
    <w:tbl>
      <w:tblPr>
        <w:bidiVisual/>
        <w:tblW w:w="7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426"/>
      </w:tblGrid>
      <w:tr w:rsidR="00931EF4" w:rsidRPr="00422B59" w:rsidTr="00F06553">
        <w:trPr>
          <w:trHeight w:hRule="exact" w:val="113"/>
          <w:jc w:val="center"/>
        </w:trPr>
        <w:tc>
          <w:tcPr>
            <w:tcW w:w="7426" w:type="dxa"/>
            <w:tcBorders>
              <w:bottom w:val="nil"/>
            </w:tcBorders>
            <w:shd w:val="clear" w:color="auto" w:fill="auto"/>
          </w:tcPr>
          <w:p w:rsidR="00931EF4" w:rsidRPr="00422B59" w:rsidRDefault="00931EF4" w:rsidP="00F06553">
            <w:pPr>
              <w:rPr>
                <w:rtl/>
                <w:lang w:val="en-GB"/>
              </w:rPr>
            </w:pPr>
          </w:p>
        </w:tc>
      </w:tr>
      <w:tr w:rsidR="00931EF4" w:rsidRPr="00422B59" w:rsidTr="00F06553">
        <w:trPr>
          <w:jc w:val="center"/>
        </w:trPr>
        <w:tc>
          <w:tcPr>
            <w:tcW w:w="7426" w:type="dxa"/>
            <w:tcBorders>
              <w:top w:val="nil"/>
            </w:tcBorders>
            <w:shd w:val="clear" w:color="auto" w:fill="auto"/>
          </w:tcPr>
          <w:p w:rsidR="00931EF4" w:rsidRPr="00422B59" w:rsidRDefault="00931EF4" w:rsidP="00931EF4">
            <w:pPr>
              <w:spacing w:after="120" w:line="380" w:lineRule="exact"/>
              <w:rPr>
                <w:rtl/>
                <w:lang w:val="en-GB"/>
              </w:rPr>
            </w:pPr>
            <w:r w:rsidRPr="00422B59">
              <w:rPr>
                <w:rtl/>
                <w:lang w:val="en-GB"/>
              </w:rPr>
              <w:tab/>
              <w:t>قررت لجنة القضاء على التمييز العنصري، في دورتها السادسة والسبعين (</w:t>
            </w:r>
            <w:r w:rsidRPr="00422B59">
              <w:rPr>
                <w:lang w:val="en-GB"/>
              </w:rPr>
              <w:t>A/65/18</w:t>
            </w:r>
            <w:r w:rsidRPr="00422B59">
              <w:rPr>
                <w:rtl/>
                <w:lang w:val="en-GB"/>
              </w:rPr>
              <w:t>، الفقرة 85)، أن ي</w:t>
            </w:r>
            <w:r w:rsidRPr="00422B59">
              <w:rPr>
                <w:rFonts w:hint="cs"/>
                <w:rtl/>
                <w:lang w:val="en-GB"/>
              </w:rPr>
              <w:t xml:space="preserve">رسل </w:t>
            </w:r>
            <w:r w:rsidRPr="00422B59">
              <w:rPr>
                <w:rtl/>
                <w:lang w:val="en-GB"/>
              </w:rPr>
              <w:t>المقرر الق</w:t>
            </w:r>
            <w:r w:rsidRPr="00422B59">
              <w:rPr>
                <w:rFonts w:hint="cs"/>
                <w:rtl/>
                <w:lang w:val="en-GB"/>
              </w:rPr>
              <w:t>ُ</w:t>
            </w:r>
            <w:r w:rsidRPr="00422B59">
              <w:rPr>
                <w:rtl/>
                <w:lang w:val="en-GB"/>
              </w:rPr>
              <w:t>طري</w:t>
            </w:r>
            <w:r w:rsidRPr="00422B59">
              <w:rPr>
                <w:rFonts w:hint="cs"/>
                <w:rtl/>
                <w:lang w:val="en-GB"/>
              </w:rPr>
              <w:t xml:space="preserve"> </w:t>
            </w:r>
            <w:r w:rsidRPr="00422B59">
              <w:rPr>
                <w:rtl/>
                <w:lang w:val="en-GB"/>
              </w:rPr>
              <w:t xml:space="preserve">إلى الدولة الطرف المعنية قائمة قصيرة بالمواضيع </w:t>
            </w:r>
            <w:r w:rsidRPr="00422B59">
              <w:rPr>
                <w:rFonts w:hint="cs"/>
                <w:rtl/>
                <w:lang w:val="en-GB"/>
              </w:rPr>
              <w:t>من أجل</w:t>
            </w:r>
            <w:r w:rsidRPr="00422B59">
              <w:rPr>
                <w:rtl/>
                <w:lang w:val="en-GB"/>
              </w:rPr>
              <w:t xml:space="preserve"> توجيه الحوار وتركيزه بين وفد الدولة الطرف واللجنة أثناء النظر في تقرير الدولة الطرف. وتتضمن هذه الوثيقة قائمة </w:t>
            </w:r>
            <w:r w:rsidRPr="00422B59">
              <w:rPr>
                <w:rFonts w:hint="cs"/>
                <w:rtl/>
                <w:lang w:val="en-GB"/>
              </w:rPr>
              <w:t>بتلك</w:t>
            </w:r>
            <w:r w:rsidRPr="00422B59">
              <w:rPr>
                <w:rtl/>
                <w:lang w:val="en-GB"/>
              </w:rPr>
              <w:t xml:space="preserve"> المواضيع. وهذه القائمة ليست شاملة</w:t>
            </w:r>
            <w:r w:rsidRPr="00422B59">
              <w:rPr>
                <w:rFonts w:hint="cs"/>
                <w:rtl/>
                <w:lang w:val="en-GB"/>
              </w:rPr>
              <w:t>،</w:t>
            </w:r>
            <w:r w:rsidRPr="00422B59">
              <w:rPr>
                <w:rtl/>
                <w:lang w:val="en-GB"/>
              </w:rPr>
              <w:t xml:space="preserve"> ويمكن أيضاً </w:t>
            </w:r>
            <w:r w:rsidRPr="00422B59">
              <w:rPr>
                <w:rFonts w:hint="cs"/>
                <w:rtl/>
                <w:lang w:val="en-GB"/>
              </w:rPr>
              <w:t>طرح</w:t>
            </w:r>
            <w:r w:rsidRPr="00422B59">
              <w:rPr>
                <w:rtl/>
                <w:lang w:val="en-GB"/>
              </w:rPr>
              <w:t xml:space="preserve"> قضايا أخرى أثناء الحوار. ولا حاجة إلى أية ردود كتابية.</w:t>
            </w:r>
          </w:p>
        </w:tc>
      </w:tr>
    </w:tbl>
    <w:p w:rsidR="00931EF4" w:rsidRPr="002E3C17" w:rsidRDefault="00931EF4" w:rsidP="00931EF4">
      <w:pPr>
        <w:pStyle w:val="H23GA"/>
        <w:spacing w:before="240"/>
        <w:rPr>
          <w:rtl/>
          <w:lang w:val="en-GB"/>
        </w:rPr>
      </w:pPr>
      <w:r>
        <w:rPr>
          <w:rFonts w:hint="cs"/>
          <w:rtl/>
          <w:lang w:val="en-GB"/>
        </w:rPr>
        <w:tab/>
      </w:r>
      <w:r w:rsidRPr="002E3C17">
        <w:rPr>
          <w:rtl/>
          <w:lang w:val="en-GB"/>
        </w:rPr>
        <w:t>١-</w:t>
      </w:r>
      <w:r w:rsidRPr="002E3C17">
        <w:rPr>
          <w:rFonts w:hint="cs"/>
          <w:rtl/>
          <w:lang w:val="en-GB"/>
        </w:rPr>
        <w:tab/>
      </w:r>
      <w:r>
        <w:rPr>
          <w:rFonts w:hint="cs"/>
          <w:rtl/>
          <w:lang w:val="en-GB"/>
        </w:rPr>
        <w:t xml:space="preserve">الإحصائيات عن التركيبة السكانية حسب </w:t>
      </w:r>
      <w:proofErr w:type="spellStart"/>
      <w:r>
        <w:rPr>
          <w:rFonts w:hint="cs"/>
          <w:rtl/>
          <w:lang w:val="en-GB"/>
        </w:rPr>
        <w:t>الإثنيات</w:t>
      </w:r>
      <w:proofErr w:type="spellEnd"/>
      <w:r>
        <w:rPr>
          <w:rFonts w:hint="cs"/>
          <w:rtl/>
          <w:lang w:val="en-GB"/>
        </w:rPr>
        <w:t xml:space="preserve"> والمؤشرات الاجتماعية الاقتصادية </w:t>
      </w:r>
    </w:p>
    <w:p w:rsidR="00931EF4" w:rsidRPr="00C7306B" w:rsidRDefault="00931EF4" w:rsidP="00931EF4">
      <w:pPr>
        <w:pStyle w:val="SingleTxtGA"/>
        <w:rPr>
          <w:rtl/>
          <w:lang w:val="fr-CH"/>
        </w:rPr>
      </w:pPr>
      <w:r>
        <w:rPr>
          <w:rFonts w:hint="cs"/>
          <w:rtl/>
          <w:lang w:val="en-GB"/>
        </w:rPr>
        <w:tab/>
      </w:r>
      <w:r w:rsidRPr="00BB36F2">
        <w:rPr>
          <w:rtl/>
          <w:lang w:val="en-GB"/>
        </w:rPr>
        <w:t>(أ)</w:t>
      </w:r>
      <w:r w:rsidRPr="00BB36F2">
        <w:rPr>
          <w:rtl/>
          <w:lang w:val="en-GB"/>
        </w:rPr>
        <w:tab/>
      </w:r>
      <w:r>
        <w:rPr>
          <w:rFonts w:hint="cs"/>
          <w:rtl/>
          <w:lang w:val="en-GB"/>
        </w:rPr>
        <w:t>عدم وجود بيانات عن التركيبة الإثنية للسكان في الدولة الطرف وعن مدى تمتع مختلف شرائح السكان في الدولة الطرف بالحقوق الاقتصادية والاجتماعية والثقافية (</w:t>
      </w:r>
      <w:r w:rsidRPr="00C7306B">
        <w:rPr>
          <w:lang w:val="en-GB"/>
        </w:rPr>
        <w:t>CERD/C/OMN/CO/1</w:t>
      </w:r>
      <w:r>
        <w:rPr>
          <w:rFonts w:hint="cs"/>
          <w:rtl/>
          <w:lang w:val="fr-CH"/>
        </w:rPr>
        <w:t>، الفقرات 4 و11 و17).</w:t>
      </w:r>
    </w:p>
    <w:p w:rsidR="00931EF4" w:rsidRDefault="00931EF4" w:rsidP="00931EF4">
      <w:pPr>
        <w:pStyle w:val="H23GA"/>
        <w:rPr>
          <w:rFonts w:ascii="MS Mincho" w:eastAsia="MS Mincho" w:hAnsi="MS Mincho" w:cs="MS Mincho"/>
          <w:rtl/>
          <w:lang w:val="en-GB"/>
        </w:rPr>
      </w:pPr>
      <w:r>
        <w:rPr>
          <w:rFonts w:hint="cs"/>
          <w:rtl/>
          <w:lang w:val="en-GB"/>
        </w:rPr>
        <w:tab/>
        <w:t>2-</w:t>
      </w:r>
      <w:r>
        <w:rPr>
          <w:rFonts w:hint="cs"/>
          <w:rtl/>
          <w:lang w:val="en-GB"/>
        </w:rPr>
        <w:tab/>
        <w:t>الاتفاقية في القوانين المحلية، وإطار المؤسسات والسياسات لتنفيذها</w:t>
      </w:r>
      <w:r w:rsidRPr="007A3709">
        <w:rPr>
          <w:rtl/>
          <w:lang w:val="en-GB"/>
        </w:rPr>
        <w:t xml:space="preserve"> (</w:t>
      </w:r>
      <w:r>
        <w:rPr>
          <w:rFonts w:hint="cs"/>
          <w:rtl/>
          <w:lang w:val="en-GB"/>
        </w:rPr>
        <w:t>المواد</w:t>
      </w:r>
      <w:r w:rsidRPr="007A3709">
        <w:rPr>
          <w:rtl/>
          <w:lang w:val="en-GB"/>
        </w:rPr>
        <w:t xml:space="preserve"> </w:t>
      </w:r>
      <w:r>
        <w:rPr>
          <w:rFonts w:hint="cs"/>
          <w:rtl/>
          <w:lang w:val="en-GB"/>
        </w:rPr>
        <w:t>1 و2 و4 و6 و7</w:t>
      </w:r>
      <w:r w:rsidRPr="007A3709">
        <w:rPr>
          <w:rtl/>
          <w:lang w:val="en-GB"/>
        </w:rPr>
        <w:t>)</w:t>
      </w:r>
      <w:r w:rsidRPr="007A3709">
        <w:rPr>
          <w:rFonts w:ascii="MS Mincho" w:eastAsia="MS Mincho" w:hAnsi="MS Mincho" w:cs="MS Mincho" w:hint="eastAsia"/>
          <w:rtl/>
          <w:lang w:val="en-GB"/>
        </w:rPr>
        <w:t>‬</w:t>
      </w:r>
    </w:p>
    <w:p w:rsidR="00931EF4" w:rsidRPr="00931EF4" w:rsidRDefault="00931EF4" w:rsidP="00931EF4">
      <w:pPr>
        <w:pStyle w:val="SingleTxtGA"/>
        <w:rPr>
          <w:lang w:val="en-GB"/>
        </w:rPr>
      </w:pPr>
      <w:r w:rsidRPr="00931EF4">
        <w:rPr>
          <w:rFonts w:hint="cs"/>
          <w:spacing w:val="-4"/>
          <w:rtl/>
          <w:lang w:val="en-GB"/>
        </w:rPr>
        <w:tab/>
      </w:r>
      <w:r w:rsidRPr="00931EF4">
        <w:rPr>
          <w:spacing w:val="-4"/>
          <w:rtl/>
          <w:lang w:val="en-GB"/>
        </w:rPr>
        <w:t>(</w:t>
      </w:r>
      <w:r w:rsidRPr="00931EF4">
        <w:rPr>
          <w:rFonts w:hint="cs"/>
          <w:spacing w:val="-4"/>
          <w:rtl/>
          <w:lang w:val="en-GB"/>
        </w:rPr>
        <w:t>أ</w:t>
      </w:r>
      <w:r w:rsidRPr="00931EF4">
        <w:rPr>
          <w:spacing w:val="-4"/>
          <w:rtl/>
          <w:lang w:val="en-GB"/>
        </w:rPr>
        <w:t>)</w:t>
      </w:r>
      <w:r w:rsidRPr="00931EF4">
        <w:rPr>
          <w:spacing w:val="-4"/>
          <w:rtl/>
          <w:lang w:val="en-GB"/>
        </w:rPr>
        <w:tab/>
      </w:r>
      <w:r w:rsidRPr="00931EF4">
        <w:rPr>
          <w:rFonts w:hint="cs"/>
          <w:spacing w:val="-4"/>
          <w:rtl/>
          <w:lang w:val="en-GB"/>
        </w:rPr>
        <w:t>التدابير الرامية إلى إعادة النظر في تعريف التمييز الوارد في تشريعات الدولة الطرف بغية جعله منسجماً مع المادة 1(1) من الاتفاقية، والخطوات التي اتخذت لجعل المادة</w:t>
      </w:r>
      <w:r w:rsidRPr="00931EF4">
        <w:rPr>
          <w:rFonts w:hint="eastAsia"/>
          <w:spacing w:val="-4"/>
          <w:rtl/>
          <w:lang w:val="en-GB"/>
        </w:rPr>
        <w:t> </w:t>
      </w:r>
      <w:r w:rsidRPr="00931EF4">
        <w:rPr>
          <w:rFonts w:hint="cs"/>
          <w:spacing w:val="-4"/>
          <w:rtl/>
          <w:lang w:val="en-GB"/>
        </w:rPr>
        <w:t xml:space="preserve">130 مكرراً </w:t>
      </w:r>
      <w:r w:rsidRPr="00931EF4">
        <w:rPr>
          <w:rFonts w:hint="cs"/>
          <w:rtl/>
          <w:lang w:val="en-GB"/>
        </w:rPr>
        <w:lastRenderedPageBreak/>
        <w:t>من قانون الجزاء الع</w:t>
      </w:r>
      <w:r>
        <w:rPr>
          <w:rFonts w:hint="cs"/>
          <w:rtl/>
          <w:lang w:val="en-GB"/>
        </w:rPr>
        <w:t>ُ</w:t>
      </w:r>
      <w:r w:rsidRPr="00931EF4">
        <w:rPr>
          <w:rFonts w:hint="cs"/>
          <w:rtl/>
          <w:lang w:val="en-GB"/>
        </w:rPr>
        <w:t>ماني، بشأن حظر التمييز العنصري، منسجمة انسجاماً كاملاً مع أحكام المادة 1 والمادة 4(أ) من الاتفاقية (</w:t>
      </w:r>
      <w:r w:rsidRPr="00931EF4">
        <w:rPr>
          <w:lang w:val="en-GB"/>
        </w:rPr>
        <w:t>CERD/C/OMN/CO/1</w:t>
      </w:r>
      <w:r w:rsidRPr="00931EF4">
        <w:rPr>
          <w:rFonts w:hint="cs"/>
          <w:rtl/>
          <w:lang w:val="fr-CH"/>
        </w:rPr>
        <w:t>، الفقرتان 12 و14)؛</w:t>
      </w:r>
      <w:r w:rsidRPr="00931EF4">
        <w:rPr>
          <w:rtl/>
          <w:lang w:val="en-GB"/>
        </w:rPr>
        <w:t xml:space="preserve"> </w:t>
      </w:r>
    </w:p>
    <w:p w:rsidR="00931EF4" w:rsidRPr="00BB36F2" w:rsidRDefault="00931EF4" w:rsidP="00931EF4">
      <w:pPr>
        <w:pStyle w:val="SingleTxtGA"/>
        <w:rPr>
          <w:lang w:val="en-GB"/>
        </w:rPr>
      </w:pPr>
      <w:r>
        <w:rPr>
          <w:rFonts w:hint="cs"/>
          <w:rtl/>
          <w:lang w:val="en-GB"/>
        </w:rPr>
        <w:tab/>
      </w:r>
      <w:r w:rsidRPr="00BB36F2">
        <w:rPr>
          <w:rtl/>
          <w:lang w:val="en-GB"/>
        </w:rPr>
        <w:t>(</w:t>
      </w:r>
      <w:r>
        <w:rPr>
          <w:rFonts w:hint="cs"/>
          <w:rtl/>
          <w:lang w:val="en-GB"/>
        </w:rPr>
        <w:t>ب</w:t>
      </w:r>
      <w:r w:rsidRPr="00BB36F2">
        <w:rPr>
          <w:rtl/>
          <w:lang w:val="en-GB"/>
        </w:rPr>
        <w:t>)</w:t>
      </w:r>
      <w:r w:rsidRPr="00BB36F2">
        <w:rPr>
          <w:rtl/>
          <w:lang w:val="en-GB"/>
        </w:rPr>
        <w:tab/>
      </w:r>
      <w:r>
        <w:rPr>
          <w:rFonts w:hint="cs"/>
          <w:rtl/>
          <w:lang w:val="en-GB"/>
        </w:rPr>
        <w:t>التدابير التشريعية التي اتخذت لتنفيذ جميع أحكام المادة 4 من الاتفاقية، بما في ذلك شرط حظر المنظمات التي تروّج للتمييز العنصري أو تحرّض عليه (</w:t>
      </w:r>
      <w:r w:rsidRPr="00DE1B0D">
        <w:rPr>
          <w:lang w:val="en-GB"/>
        </w:rPr>
        <w:t>CERD/C/OMN/CO/1</w:t>
      </w:r>
      <w:r>
        <w:rPr>
          <w:rFonts w:hint="cs"/>
          <w:rtl/>
          <w:lang w:val="en-GB"/>
        </w:rPr>
        <w:t>، الفقرة 15)؛</w:t>
      </w:r>
    </w:p>
    <w:p w:rsidR="00931EF4" w:rsidRDefault="00931EF4" w:rsidP="00931EF4">
      <w:pPr>
        <w:pStyle w:val="SingleTxtGA"/>
        <w:rPr>
          <w:rtl/>
          <w:lang w:val="en-GB"/>
        </w:rPr>
      </w:pPr>
      <w:r>
        <w:rPr>
          <w:rFonts w:hint="cs"/>
          <w:rtl/>
          <w:lang w:val="en-GB"/>
        </w:rPr>
        <w:tab/>
      </w:r>
      <w:r w:rsidRPr="00BB36F2">
        <w:rPr>
          <w:rtl/>
          <w:lang w:val="en-GB"/>
        </w:rPr>
        <w:t>(</w:t>
      </w:r>
      <w:r>
        <w:rPr>
          <w:rFonts w:hint="cs"/>
          <w:rtl/>
          <w:lang w:val="en-GB"/>
        </w:rPr>
        <w:t>ج</w:t>
      </w:r>
      <w:r w:rsidRPr="00BB36F2">
        <w:rPr>
          <w:rtl/>
          <w:lang w:val="en-GB"/>
        </w:rPr>
        <w:t>)</w:t>
      </w:r>
      <w:r w:rsidRPr="00BB36F2">
        <w:rPr>
          <w:rtl/>
          <w:lang w:val="en-GB"/>
        </w:rPr>
        <w:tab/>
      </w:r>
      <w:r>
        <w:rPr>
          <w:rFonts w:hint="cs"/>
          <w:rtl/>
          <w:lang w:val="en-GB"/>
        </w:rPr>
        <w:t>معلومات عن الاحتجاج بأحكام الاتفاقية وتطبيقها من قِبل محاكم الدولة الطرف. ومعلومات محدّثة عن عدد وطبيعة ونتائج القضايا المتصلة بالتمييز العنصري أو الإثني المعروضة على محاكم الدرجة الأولى، بما في ذلك القضايا التي حصل فيها ضحايا مثل هذه الأعمال على الجبر (</w:t>
      </w:r>
      <w:r w:rsidRPr="00DE1B0D">
        <w:rPr>
          <w:lang w:val="en-GB"/>
        </w:rPr>
        <w:t>CERD/C/OMN/CO/1</w:t>
      </w:r>
      <w:r>
        <w:rPr>
          <w:rFonts w:hint="cs"/>
          <w:rtl/>
          <w:lang w:val="fr-CH"/>
        </w:rPr>
        <w:t>، الفقرة 19)؛</w:t>
      </w:r>
      <w:r>
        <w:rPr>
          <w:rFonts w:hint="cs"/>
          <w:rtl/>
          <w:lang w:val="en-GB"/>
        </w:rPr>
        <w:t xml:space="preserve"> </w:t>
      </w:r>
    </w:p>
    <w:p w:rsidR="00931EF4" w:rsidRPr="00DE1B0D" w:rsidRDefault="00931EF4" w:rsidP="00931EF4">
      <w:pPr>
        <w:pStyle w:val="SingleTxtGA"/>
        <w:rPr>
          <w:rtl/>
          <w:lang w:val="en-GB"/>
        </w:rPr>
      </w:pPr>
      <w:r>
        <w:rPr>
          <w:rFonts w:hint="cs"/>
          <w:rtl/>
          <w:lang w:val="en-GB"/>
        </w:rPr>
        <w:tab/>
        <w:t>(د)</w:t>
      </w:r>
      <w:r>
        <w:rPr>
          <w:rFonts w:hint="cs"/>
          <w:rtl/>
          <w:lang w:val="en-GB"/>
        </w:rPr>
        <w:tab/>
        <w:t xml:space="preserve">التقدم المحرز في المساعي الرامية إلى إنشاء مؤسسة وطنية مستقلة لحقوق الإنسان وفقاً </w:t>
      </w:r>
      <w:r w:rsidRPr="00DE1B0D">
        <w:rPr>
          <w:rtl/>
          <w:lang w:val="en-GB"/>
        </w:rPr>
        <w:t xml:space="preserve">للمبادئ المتعلقة بمركز المؤسسات الوطنية </w:t>
      </w:r>
      <w:r>
        <w:rPr>
          <w:rFonts w:hint="cs"/>
          <w:rtl/>
          <w:lang w:val="en-GB"/>
        </w:rPr>
        <w:t xml:space="preserve">لتعزيز وحماية حقوق الإنسان </w:t>
      </w:r>
      <w:r w:rsidRPr="00DE1B0D">
        <w:rPr>
          <w:rtl/>
          <w:lang w:val="en-GB"/>
        </w:rPr>
        <w:t>(مبادئ باريس)</w:t>
      </w:r>
      <w:r>
        <w:rPr>
          <w:rFonts w:hint="cs"/>
          <w:rtl/>
          <w:lang w:val="en-GB"/>
        </w:rPr>
        <w:t xml:space="preserve"> (</w:t>
      </w:r>
      <w:r w:rsidRPr="00DE1B0D">
        <w:rPr>
          <w:lang w:val="en-GB"/>
        </w:rPr>
        <w:t>CERD/C/OMN/CO/1</w:t>
      </w:r>
      <w:r>
        <w:rPr>
          <w:rFonts w:hint="cs"/>
          <w:rtl/>
          <w:lang w:val="en-GB"/>
        </w:rPr>
        <w:t>، الفقرة 20).</w:t>
      </w:r>
    </w:p>
    <w:p w:rsidR="00931EF4" w:rsidRDefault="00931EF4" w:rsidP="00931EF4">
      <w:pPr>
        <w:pStyle w:val="H23GA"/>
        <w:rPr>
          <w:rFonts w:ascii="MS Mincho" w:eastAsia="MS Mincho" w:hAnsi="MS Mincho" w:cs="MS Mincho"/>
          <w:rtl/>
          <w:lang w:val="en-GB"/>
        </w:rPr>
      </w:pPr>
      <w:r>
        <w:rPr>
          <w:rFonts w:hint="cs"/>
          <w:rtl/>
          <w:lang w:val="en-GB"/>
        </w:rPr>
        <w:tab/>
        <w:t>3-</w:t>
      </w:r>
      <w:r>
        <w:rPr>
          <w:rFonts w:hint="cs"/>
          <w:rtl/>
          <w:lang w:val="en-GB"/>
        </w:rPr>
        <w:tab/>
        <w:t>حالة</w:t>
      </w:r>
      <w:r w:rsidRPr="007A3709">
        <w:rPr>
          <w:rtl/>
          <w:lang w:val="en-GB"/>
        </w:rPr>
        <w:t xml:space="preserve"> </w:t>
      </w:r>
      <w:r>
        <w:rPr>
          <w:rFonts w:hint="cs"/>
          <w:rtl/>
          <w:lang w:val="en-GB"/>
        </w:rPr>
        <w:t>الطوائف العرقية والأقليات</w:t>
      </w:r>
      <w:r w:rsidRPr="007A3709">
        <w:rPr>
          <w:rtl/>
          <w:lang w:val="en-GB"/>
        </w:rPr>
        <w:t xml:space="preserve"> (</w:t>
      </w:r>
      <w:r>
        <w:rPr>
          <w:rFonts w:hint="cs"/>
          <w:rtl/>
          <w:lang w:val="en-GB"/>
        </w:rPr>
        <w:t>المواد</w:t>
      </w:r>
      <w:r w:rsidRPr="007A3709">
        <w:rPr>
          <w:rtl/>
          <w:lang w:val="en-GB"/>
        </w:rPr>
        <w:t xml:space="preserve"> 2</w:t>
      </w:r>
      <w:r>
        <w:rPr>
          <w:rFonts w:hint="cs"/>
          <w:rtl/>
          <w:lang w:val="en-GB"/>
        </w:rPr>
        <w:t>-7</w:t>
      </w:r>
      <w:r w:rsidRPr="007A3709">
        <w:rPr>
          <w:rtl/>
          <w:lang w:val="en-GB"/>
        </w:rPr>
        <w:t>)</w:t>
      </w:r>
      <w:r w:rsidRPr="007A3709">
        <w:rPr>
          <w:rFonts w:ascii="MS Mincho" w:eastAsia="MS Mincho" w:hAnsi="MS Mincho" w:cs="MS Mincho" w:hint="eastAsia"/>
          <w:rtl/>
          <w:lang w:val="en-GB"/>
        </w:rPr>
        <w:t>‬</w:t>
      </w:r>
    </w:p>
    <w:p w:rsidR="00931EF4" w:rsidRPr="00AA6F8E" w:rsidRDefault="00931EF4" w:rsidP="00931EF4">
      <w:pPr>
        <w:pStyle w:val="SingleTxtGA"/>
        <w:rPr>
          <w:rtl/>
          <w:lang w:val="en-GB"/>
        </w:rPr>
      </w:pPr>
      <w:r>
        <w:rPr>
          <w:rFonts w:hint="cs"/>
          <w:rtl/>
          <w:lang w:val="en-GB"/>
        </w:rPr>
        <w:tab/>
        <w:t>(أ)</w:t>
      </w:r>
      <w:r>
        <w:rPr>
          <w:rFonts w:hint="cs"/>
          <w:rtl/>
          <w:lang w:val="en-GB"/>
        </w:rPr>
        <w:tab/>
      </w:r>
      <w:r w:rsidRPr="007A34CD">
        <w:rPr>
          <w:rtl/>
          <w:lang w:val="en-GB"/>
        </w:rPr>
        <w:t xml:space="preserve">معلومات عن </w:t>
      </w:r>
      <w:r>
        <w:rPr>
          <w:rFonts w:hint="cs"/>
          <w:rtl/>
          <w:lang w:val="en-GB"/>
        </w:rPr>
        <w:t>مشاركة الأقليات في الحياة العامة وعن تمثيلها في البرلمان، بما في ذلك بيانات إحصائية عن أفراد المجموعات الأقلية الذين جرى توظيفهم في الهيئات والمؤسسات والإدارات العمومية على جميع المستويات (</w:t>
      </w:r>
      <w:r w:rsidRPr="00AA6F8E">
        <w:rPr>
          <w:lang w:val="en-GB"/>
        </w:rPr>
        <w:t>CERD/C/OMN/CO/1</w:t>
      </w:r>
      <w:r>
        <w:rPr>
          <w:rFonts w:hint="cs"/>
          <w:rtl/>
          <w:lang w:val="en-GB"/>
        </w:rPr>
        <w:t>، الفقرة 17)؛</w:t>
      </w:r>
    </w:p>
    <w:p w:rsidR="00931EF4" w:rsidRDefault="00931EF4" w:rsidP="00931EF4">
      <w:pPr>
        <w:pStyle w:val="SingleTxtGA"/>
        <w:rPr>
          <w:rtl/>
          <w:lang w:val="en-GB"/>
        </w:rPr>
      </w:pPr>
      <w:r>
        <w:rPr>
          <w:rFonts w:hint="cs"/>
          <w:rtl/>
          <w:lang w:val="en-GB"/>
        </w:rPr>
        <w:tab/>
        <w:t>(ب)</w:t>
      </w:r>
      <w:r>
        <w:rPr>
          <w:rFonts w:hint="cs"/>
          <w:rtl/>
          <w:lang w:val="en-GB"/>
        </w:rPr>
        <w:tab/>
        <w:t>معلومات مفصلة عن حالة المنحدرين من نسل قبائل الخُدام والعبيد سابقاً. ومعلومات عن أية تدابير إجرائية إيجابية لمنع التمييز ضد هذه المجموعات في مجال التوظيف.</w:t>
      </w:r>
    </w:p>
    <w:p w:rsidR="00931EF4" w:rsidRDefault="00931EF4" w:rsidP="00931EF4">
      <w:pPr>
        <w:pStyle w:val="H23GA"/>
        <w:rPr>
          <w:rFonts w:ascii="MS Mincho" w:eastAsia="MS Mincho" w:hAnsi="MS Mincho" w:cs="MS Mincho"/>
          <w:rtl/>
          <w:lang w:val="en-GB"/>
        </w:rPr>
      </w:pPr>
      <w:r>
        <w:rPr>
          <w:rFonts w:hint="cs"/>
          <w:rtl/>
          <w:lang w:val="en-GB"/>
        </w:rPr>
        <w:tab/>
        <w:t>4-</w:t>
      </w:r>
      <w:r>
        <w:rPr>
          <w:rFonts w:hint="cs"/>
          <w:rtl/>
          <w:lang w:val="en-GB"/>
        </w:rPr>
        <w:tab/>
      </w:r>
      <w:r w:rsidRPr="007A3709">
        <w:rPr>
          <w:rtl/>
          <w:lang w:val="en-GB"/>
        </w:rPr>
        <w:t xml:space="preserve">التمييز ضد </w:t>
      </w:r>
      <w:r>
        <w:rPr>
          <w:rFonts w:hint="cs"/>
          <w:rtl/>
          <w:lang w:val="en-GB"/>
        </w:rPr>
        <w:t xml:space="preserve">غير المواطنين، بما في ذلك المهاجرون واللاجئون وطالبو اللجوء </w:t>
      </w:r>
      <w:r w:rsidRPr="007A3709">
        <w:rPr>
          <w:rtl/>
          <w:lang w:val="en-GB"/>
        </w:rPr>
        <w:t>(</w:t>
      </w:r>
      <w:r>
        <w:rPr>
          <w:rFonts w:hint="cs"/>
          <w:rtl/>
          <w:lang w:val="en-GB"/>
        </w:rPr>
        <w:t xml:space="preserve">المواد </w:t>
      </w:r>
      <w:r w:rsidRPr="007A3709">
        <w:rPr>
          <w:rFonts w:hint="cs"/>
          <w:rtl/>
          <w:lang w:val="en-GB"/>
        </w:rPr>
        <w:t>5</w:t>
      </w:r>
      <w:r>
        <w:rPr>
          <w:rFonts w:hint="cs"/>
          <w:rtl/>
          <w:lang w:val="en-GB"/>
        </w:rPr>
        <w:t xml:space="preserve"> و6 و7</w:t>
      </w:r>
      <w:r w:rsidRPr="007A3709">
        <w:rPr>
          <w:rtl/>
          <w:lang w:val="en-GB"/>
        </w:rPr>
        <w:t>)</w:t>
      </w:r>
      <w:r w:rsidRPr="007A3709">
        <w:rPr>
          <w:rFonts w:ascii="MS Mincho" w:eastAsia="MS Mincho" w:hAnsi="MS Mincho" w:cs="MS Mincho" w:hint="eastAsia"/>
          <w:rtl/>
          <w:lang w:val="en-GB"/>
        </w:rPr>
        <w:t>‬</w:t>
      </w:r>
    </w:p>
    <w:p w:rsidR="00931EF4" w:rsidRDefault="00931EF4" w:rsidP="00931EF4">
      <w:pPr>
        <w:pStyle w:val="SingleTxtGA"/>
        <w:rPr>
          <w:rFonts w:eastAsia="MS Mincho"/>
          <w:rtl/>
          <w:lang w:val="en-GB"/>
        </w:rPr>
      </w:pPr>
      <w:r>
        <w:rPr>
          <w:rFonts w:eastAsia="MS Mincho" w:hint="cs"/>
          <w:rtl/>
          <w:lang w:val="en-GB"/>
        </w:rPr>
        <w:tab/>
        <w:t>(أ)</w:t>
      </w:r>
      <w:r>
        <w:rPr>
          <w:rFonts w:eastAsia="MS Mincho" w:hint="cs"/>
          <w:rtl/>
          <w:lang w:val="en-GB"/>
        </w:rPr>
        <w:tab/>
        <w:t xml:space="preserve">التدابير الرامية إلى إلغاء نظام الكفالة وضمان تمتع العمال المهاجرين بجميع الحقوق المنصوص عليها في الاتفاقية، ولا سيما حرية الحركة والحق في حرية اختيار العمل. وأثر التدابير التي اتخذت لمنع التجاوزات في حق العمال المهاجرين على أيدي أرباب العمل ومكاتب </w:t>
      </w:r>
      <w:r w:rsidRPr="00931EF4">
        <w:rPr>
          <w:rFonts w:eastAsia="MS Mincho" w:hint="cs"/>
          <w:spacing w:val="-2"/>
          <w:rtl/>
          <w:lang w:val="en-GB"/>
        </w:rPr>
        <w:t>العمالة الوافدة، ولا سيما العمل القسري والإكراه على البغاء (</w:t>
      </w:r>
      <w:r w:rsidRPr="00931EF4">
        <w:rPr>
          <w:rFonts w:eastAsia="MS Mincho"/>
          <w:spacing w:val="-2"/>
          <w:lang w:val="en-GB"/>
        </w:rPr>
        <w:t>CERD/C/OMN/2-5</w:t>
      </w:r>
      <w:r w:rsidRPr="00931EF4">
        <w:rPr>
          <w:rFonts w:eastAsia="MS Mincho" w:hint="cs"/>
          <w:spacing w:val="-2"/>
          <w:rtl/>
          <w:lang w:val="en-GB"/>
        </w:rPr>
        <w:t>، الفقرات 20</w:t>
      </w:r>
      <w:r>
        <w:rPr>
          <w:rFonts w:eastAsia="MS Mincho" w:hint="cs"/>
          <w:rtl/>
          <w:lang w:val="en-GB"/>
        </w:rPr>
        <w:t xml:space="preserve"> و75-83 و174 و175)؛</w:t>
      </w:r>
    </w:p>
    <w:p w:rsidR="00931EF4" w:rsidRDefault="00931EF4" w:rsidP="00931EF4">
      <w:pPr>
        <w:pStyle w:val="SingleTxtGA"/>
        <w:rPr>
          <w:rFonts w:eastAsia="MS Mincho"/>
          <w:rtl/>
          <w:lang w:val="en-GB"/>
        </w:rPr>
      </w:pPr>
      <w:r>
        <w:rPr>
          <w:rFonts w:eastAsia="MS Mincho" w:hint="cs"/>
          <w:rtl/>
          <w:lang w:val="en-GB"/>
        </w:rPr>
        <w:tab/>
        <w:t>(ب)</w:t>
      </w:r>
      <w:r>
        <w:rPr>
          <w:rFonts w:eastAsia="MS Mincho" w:hint="cs"/>
          <w:rtl/>
          <w:lang w:val="en-GB"/>
        </w:rPr>
        <w:tab/>
        <w:t>الخطوات التي اتخذت لتمكين غير المواطنين من التمتع بالحريات والحقوق المنصوص عليها في النظام الأساسي للدولة، مثل الحق في حرية اختيار الوظيفة، والحق في الم</w:t>
      </w:r>
      <w:r w:rsidR="00A52FC8">
        <w:rPr>
          <w:rFonts w:eastAsia="MS Mincho" w:hint="cs"/>
          <w:rtl/>
          <w:lang w:val="en-GB"/>
        </w:rPr>
        <w:t>ساواة أمام القانون، وحرية التج</w:t>
      </w:r>
      <w:r>
        <w:rPr>
          <w:rFonts w:eastAsia="MS Mincho" w:hint="cs"/>
          <w:rtl/>
          <w:lang w:val="en-GB"/>
        </w:rPr>
        <w:t>م</w:t>
      </w:r>
      <w:r w:rsidR="00A52FC8">
        <w:rPr>
          <w:rFonts w:eastAsia="MS Mincho" w:hint="cs"/>
          <w:rtl/>
          <w:lang w:val="en-GB"/>
        </w:rPr>
        <w:t>ّ</w:t>
      </w:r>
      <w:r>
        <w:rPr>
          <w:rFonts w:eastAsia="MS Mincho" w:hint="cs"/>
          <w:rtl/>
          <w:lang w:val="en-GB"/>
        </w:rPr>
        <w:t xml:space="preserve">ع (المواد 12 و17 و32 من النظام الأساسي للدولة؛ </w:t>
      </w:r>
      <w:r w:rsidRPr="00DB1BDD">
        <w:rPr>
          <w:rFonts w:eastAsia="MS Mincho"/>
          <w:lang w:val="en-GB"/>
        </w:rPr>
        <w:t>CERD/C/OMN/CO/1</w:t>
      </w:r>
      <w:r>
        <w:rPr>
          <w:rFonts w:eastAsia="MS Mincho" w:hint="cs"/>
          <w:rtl/>
          <w:lang w:val="en-GB"/>
        </w:rPr>
        <w:t xml:space="preserve">، الفقرة 16)؛ </w:t>
      </w:r>
    </w:p>
    <w:p w:rsidR="00931EF4" w:rsidRDefault="00931EF4" w:rsidP="00931EF4">
      <w:pPr>
        <w:pStyle w:val="SingleTxtGA"/>
        <w:rPr>
          <w:rFonts w:eastAsia="MS Mincho"/>
          <w:rtl/>
          <w:lang w:val="en-GB"/>
        </w:rPr>
      </w:pPr>
      <w:r>
        <w:rPr>
          <w:rFonts w:eastAsia="MS Mincho" w:hint="cs"/>
          <w:rtl/>
          <w:lang w:val="en-GB"/>
        </w:rPr>
        <w:lastRenderedPageBreak/>
        <w:tab/>
        <w:t>(ج)</w:t>
      </w:r>
      <w:r>
        <w:rPr>
          <w:rFonts w:eastAsia="MS Mincho" w:hint="cs"/>
          <w:rtl/>
          <w:lang w:val="en-GB"/>
        </w:rPr>
        <w:tab/>
        <w:t>محتوى قانون الجنسية العُمانية الجديد (المرسوم السلطاني رقم 38/14) وأثره في منع حالات انعدام الجنسية، لا سيما بين الأطفال ذوي أمٍ عُمانية وأبٍ غير عُماني. والإطار القانوني والتدابير المعمول بها بالنسبة للزوجات غير العمانيات اللواتي يطلبن الجنسية العُمانية (</w:t>
      </w:r>
      <w:r w:rsidRPr="00DB7E13">
        <w:rPr>
          <w:rFonts w:eastAsia="MS Mincho"/>
          <w:lang w:val="en-GB"/>
        </w:rPr>
        <w:t>CERD/C/OMN/CO/1</w:t>
      </w:r>
      <w:r>
        <w:rPr>
          <w:rFonts w:eastAsia="MS Mincho" w:hint="cs"/>
          <w:rtl/>
          <w:lang w:val="en-GB"/>
        </w:rPr>
        <w:t xml:space="preserve">، الفقرة 18)؛ </w:t>
      </w:r>
    </w:p>
    <w:p w:rsidR="00B54045" w:rsidRDefault="00931EF4" w:rsidP="00931EF4">
      <w:pPr>
        <w:pStyle w:val="SingleTxtGA"/>
        <w:rPr>
          <w:rtl/>
        </w:rPr>
      </w:pPr>
      <w:r>
        <w:rPr>
          <w:rFonts w:eastAsia="MS Mincho" w:hint="cs"/>
          <w:rtl/>
          <w:lang w:val="en-GB"/>
        </w:rPr>
        <w:tab/>
        <w:t>(د)</w:t>
      </w:r>
      <w:r>
        <w:rPr>
          <w:rFonts w:eastAsia="MS Mincho" w:hint="cs"/>
          <w:rtl/>
          <w:lang w:val="en-GB"/>
        </w:rPr>
        <w:tab/>
        <w:t>التدابير التي اتخذت لوضع إطار قانوني ينظم وضع طالبي اللجوء واللاجئين. ومعلومات عن مدى تمتع طالبي اللجوء واللاجئين في واقع الحال بالحقوق المنصوص عليها في</w:t>
      </w:r>
      <w:r>
        <w:rPr>
          <w:rFonts w:eastAsia="MS Mincho" w:hint="eastAsia"/>
          <w:rtl/>
          <w:lang w:val="en-GB"/>
        </w:rPr>
        <w:t> </w:t>
      </w:r>
      <w:r>
        <w:rPr>
          <w:rFonts w:eastAsia="MS Mincho" w:hint="cs"/>
          <w:rtl/>
          <w:lang w:val="en-GB"/>
        </w:rPr>
        <w:t>الاتفاقية.</w:t>
      </w:r>
    </w:p>
    <w:p w:rsidR="00931EF4" w:rsidRPr="00931EF4" w:rsidRDefault="00931EF4" w:rsidP="00931EF4">
      <w:pPr>
        <w:spacing w:before="120"/>
        <w:jc w:val="center"/>
        <w:rPr>
          <w:u w:val="single"/>
          <w:rtl/>
        </w:rPr>
      </w:pPr>
      <w:r>
        <w:rPr>
          <w:u w:val="single"/>
          <w:rtl/>
        </w:rPr>
        <w:tab/>
      </w:r>
      <w:r>
        <w:rPr>
          <w:u w:val="single"/>
          <w:rtl/>
        </w:rPr>
        <w:tab/>
      </w:r>
      <w:r>
        <w:rPr>
          <w:u w:val="single"/>
          <w:rtl/>
        </w:rPr>
        <w:tab/>
      </w:r>
    </w:p>
    <w:sectPr w:rsidR="00931EF4" w:rsidRPr="00931EF4" w:rsidSect="0087524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9A" w:rsidRPr="002901D9" w:rsidRDefault="008A3A9A" w:rsidP="002901D9">
      <w:pPr>
        <w:spacing w:after="60" w:line="240" w:lineRule="auto"/>
        <w:rPr>
          <w:i/>
          <w:iCs/>
        </w:rPr>
      </w:pPr>
      <w:r>
        <w:rPr>
          <w:rFonts w:hint="cs"/>
          <w:i/>
          <w:iCs/>
          <w:rtl/>
        </w:rPr>
        <w:t>الحواشي</w:t>
      </w:r>
    </w:p>
  </w:endnote>
  <w:endnote w:type="continuationSeparator" w:id="0">
    <w:p w:rsidR="008A3A9A" w:rsidRDefault="008A3A9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F4" w:rsidRPr="00931EF4" w:rsidRDefault="00931EF4" w:rsidP="00931EF4">
    <w:pPr>
      <w:pStyle w:val="Footer"/>
      <w:tabs>
        <w:tab w:val="right" w:pos="9598"/>
      </w:tabs>
      <w:rPr>
        <w:sz w:val="17"/>
      </w:rPr>
    </w:pPr>
    <w:r>
      <w:rPr>
        <w:sz w:val="17"/>
      </w:rPr>
      <w:t>GE.16-02648</w:t>
    </w:r>
    <w:r>
      <w:rPr>
        <w:sz w:val="17"/>
      </w:rPr>
      <w:tab/>
    </w:r>
    <w:r w:rsidRPr="00931EF4">
      <w:rPr>
        <w:b/>
        <w:sz w:val="18"/>
      </w:rPr>
      <w:fldChar w:fldCharType="begin"/>
    </w:r>
    <w:r w:rsidRPr="00931EF4">
      <w:rPr>
        <w:b/>
        <w:sz w:val="18"/>
      </w:rPr>
      <w:instrText xml:space="preserve"> PAGE  \* MERGEFORMAT </w:instrText>
    </w:r>
    <w:r w:rsidRPr="00931EF4">
      <w:rPr>
        <w:b/>
        <w:sz w:val="18"/>
      </w:rPr>
      <w:fldChar w:fldCharType="separate"/>
    </w:r>
    <w:r w:rsidR="00E3792F">
      <w:rPr>
        <w:b/>
        <w:noProof/>
        <w:sz w:val="18"/>
      </w:rPr>
      <w:t>2</w:t>
    </w:r>
    <w:r w:rsidRPr="00931EF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31EF4" w:rsidRDefault="00931EF4" w:rsidP="006959B0">
    <w:pPr>
      <w:pStyle w:val="Footer"/>
      <w:tabs>
        <w:tab w:val="right" w:pos="9599"/>
      </w:tabs>
      <w:jc w:val="left"/>
      <w:rPr>
        <w:b/>
        <w:sz w:val="18"/>
        <w:lang w:val="en-US"/>
      </w:rPr>
    </w:pPr>
    <w:r w:rsidRPr="00931EF4">
      <w:rPr>
        <w:b/>
        <w:sz w:val="18"/>
        <w:lang w:val="en-US"/>
      </w:rPr>
      <w:fldChar w:fldCharType="begin"/>
    </w:r>
    <w:r w:rsidRPr="00931EF4">
      <w:rPr>
        <w:b/>
        <w:sz w:val="18"/>
        <w:lang w:val="en-US"/>
      </w:rPr>
      <w:instrText xml:space="preserve"> PAGE  \* MERGEFORMAT </w:instrText>
    </w:r>
    <w:r w:rsidRPr="00931EF4">
      <w:rPr>
        <w:b/>
        <w:sz w:val="18"/>
        <w:lang w:val="en-US"/>
      </w:rPr>
      <w:fldChar w:fldCharType="separate"/>
    </w:r>
    <w:r w:rsidR="00E3792F">
      <w:rPr>
        <w:b/>
        <w:noProof/>
        <w:sz w:val="18"/>
        <w:lang w:val="en-US"/>
      </w:rPr>
      <w:t>3</w:t>
    </w:r>
    <w:r w:rsidRPr="00931EF4">
      <w:rPr>
        <w:b/>
        <w:sz w:val="18"/>
        <w:lang w:val="en-US"/>
      </w:rPr>
      <w:fldChar w:fldCharType="end"/>
    </w:r>
    <w:r>
      <w:rPr>
        <w:b/>
        <w:sz w:val="18"/>
        <w:lang w:val="en-US"/>
      </w:rPr>
      <w:tab/>
    </w:r>
    <w:r>
      <w:rPr>
        <w:sz w:val="17"/>
        <w:lang w:val="en-US"/>
      </w:rPr>
      <w:t>GE.16-02648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E3792F" w:rsidP="00156D54">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2B2AD255" wp14:editId="24D3BFE7">
          <wp:simplePos x="0" y="0"/>
          <wp:positionH relativeFrom="column">
            <wp:posOffset>635</wp:posOffset>
          </wp:positionH>
          <wp:positionV relativeFrom="paragraph">
            <wp:posOffset>-25400</wp:posOffset>
          </wp:positionV>
          <wp:extent cx="638175" cy="638175"/>
          <wp:effectExtent l="0" t="0" r="9525" b="9525"/>
          <wp:wrapNone/>
          <wp:docPr id="3" name="Picture 1" descr="http://undocs.org/m2/QRCode.ashx?DS=CERD/C/OMN/Q/2-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OMN/Q/2-5&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24B">
      <w:rPr>
        <w:sz w:val="20"/>
        <w:szCs w:val="20"/>
      </w:rPr>
      <w:t>GE.16-02648</w:t>
    </w:r>
    <w:r w:rsidR="00156D54">
      <w:rPr>
        <w:noProof/>
        <w:lang w:val="en-US"/>
      </w:rPr>
      <w:drawing>
        <wp:anchor distT="0" distB="0" distL="114300" distR="114300" simplePos="0" relativeHeight="251659264" behindDoc="1" locked="1" layoutInCell="0" allowOverlap="1" wp14:anchorId="68A34E97" wp14:editId="5C0AF376">
          <wp:simplePos x="0" y="0"/>
          <wp:positionH relativeFrom="margin">
            <wp:posOffset>706755</wp:posOffset>
          </wp:positionH>
          <wp:positionV relativeFrom="page">
            <wp:posOffset>9758680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87524B" w:rsidRPr="0087524B" w:rsidRDefault="0087524B" w:rsidP="0087524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9A" w:rsidRDefault="008A3A9A" w:rsidP="00CB28F9">
      <w:pPr>
        <w:pStyle w:val="Footer"/>
        <w:bidi/>
        <w:spacing w:after="80" w:line="200" w:lineRule="exact"/>
        <w:ind w:left="680"/>
      </w:pPr>
      <w:r>
        <w:rPr>
          <w:rtl/>
        </w:rPr>
        <w:t>__________</w:t>
      </w:r>
    </w:p>
    <w:p w:rsidR="008A3A9A" w:rsidRPr="00CB28F9" w:rsidRDefault="008A3A9A" w:rsidP="00CB28F9">
      <w:pPr>
        <w:pStyle w:val="Footer"/>
      </w:pPr>
    </w:p>
  </w:footnote>
  <w:footnote w:type="continuationSeparator" w:id="0">
    <w:p w:rsidR="008A3A9A" w:rsidRDefault="008A3A9A"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F4" w:rsidRPr="00931EF4" w:rsidRDefault="00931EF4" w:rsidP="00931EF4">
    <w:pPr>
      <w:pStyle w:val="Header"/>
      <w:jc w:val="right"/>
    </w:pPr>
    <w:r w:rsidRPr="00931EF4">
      <w:t>CERD/C/OMN/Q/2-5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F4" w:rsidRPr="00931EF4" w:rsidRDefault="00931EF4" w:rsidP="00931EF4">
    <w:pPr>
      <w:pStyle w:val="Header"/>
      <w:jc w:val="left"/>
    </w:pPr>
    <w:r w:rsidRPr="00931EF4">
      <w:t>CERD/C/OMN/Q/2-5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A3A9A"/>
    <w:rsid w:val="000076D5"/>
    <w:rsid w:val="00043663"/>
    <w:rsid w:val="000505CF"/>
    <w:rsid w:val="000D701C"/>
    <w:rsid w:val="000E2A71"/>
    <w:rsid w:val="00156D54"/>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43D95"/>
    <w:rsid w:val="00374341"/>
    <w:rsid w:val="003D1062"/>
    <w:rsid w:val="00420D7B"/>
    <w:rsid w:val="00450B21"/>
    <w:rsid w:val="00453B63"/>
    <w:rsid w:val="00455780"/>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852A9A"/>
    <w:rsid w:val="0087524B"/>
    <w:rsid w:val="008A3A9A"/>
    <w:rsid w:val="008F49E1"/>
    <w:rsid w:val="0090370F"/>
    <w:rsid w:val="009269D2"/>
    <w:rsid w:val="00931EF4"/>
    <w:rsid w:val="00942135"/>
    <w:rsid w:val="009521B0"/>
    <w:rsid w:val="00994130"/>
    <w:rsid w:val="009A7E9F"/>
    <w:rsid w:val="009E5018"/>
    <w:rsid w:val="00A12B37"/>
    <w:rsid w:val="00A52FC8"/>
    <w:rsid w:val="00AB6758"/>
    <w:rsid w:val="00B13763"/>
    <w:rsid w:val="00B477A4"/>
    <w:rsid w:val="00B54045"/>
    <w:rsid w:val="00C438D7"/>
    <w:rsid w:val="00C72832"/>
    <w:rsid w:val="00C81B50"/>
    <w:rsid w:val="00CB28F9"/>
    <w:rsid w:val="00CD1801"/>
    <w:rsid w:val="00D10EF1"/>
    <w:rsid w:val="00D42810"/>
    <w:rsid w:val="00D7793D"/>
    <w:rsid w:val="00D914A7"/>
    <w:rsid w:val="00DD13C3"/>
    <w:rsid w:val="00DD596E"/>
    <w:rsid w:val="00DD621E"/>
    <w:rsid w:val="00DE7354"/>
    <w:rsid w:val="00DF0575"/>
    <w:rsid w:val="00E3792F"/>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931EF4"/>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931EF4"/>
    <w:pPr>
      <w:spacing w:line="450" w:lineRule="exact"/>
    </w:pPr>
    <w:rPr>
      <w:spacing w:val="-2"/>
      <w:sz w:val="28"/>
      <w:szCs w:val="38"/>
    </w:rPr>
  </w:style>
  <w:style w:type="paragraph" w:customStyle="1" w:styleId="SingleTxt">
    <w:name w:val="__Single Txt"/>
    <w:basedOn w:val="Normal"/>
    <w:qFormat/>
    <w:rsid w:val="00931EF4"/>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931EF4"/>
    <w:pPr>
      <w:suppressAutoHyphens/>
      <w:outlineLvl w:val="1"/>
    </w:pPr>
    <w:rPr>
      <w:spacing w:val="2"/>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931EF4"/>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931EF4"/>
    <w:pPr>
      <w:spacing w:line="450" w:lineRule="exact"/>
    </w:pPr>
    <w:rPr>
      <w:spacing w:val="-2"/>
      <w:sz w:val="28"/>
      <w:szCs w:val="38"/>
    </w:rPr>
  </w:style>
  <w:style w:type="paragraph" w:customStyle="1" w:styleId="SingleTxt">
    <w:name w:val="__Single Txt"/>
    <w:basedOn w:val="Normal"/>
    <w:qFormat/>
    <w:rsid w:val="00931EF4"/>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931EF4"/>
    <w:pPr>
      <w:suppressAutoHyphens/>
      <w:outlineLvl w:val="1"/>
    </w:pPr>
    <w:rPr>
      <w:spacing w:val="2"/>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B629-D5E0-4F6B-B87F-4852DBCB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CERD/C/OMN/Q/2-5</vt:lpstr>
    </vt:vector>
  </TitlesOfParts>
  <Company>DCM</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CERD/C/OMN/Q/2-5</dc:title>
  <dc:subject>GE. 16-02648</dc:subject>
  <dc:creator>IBAL34</dc:creator>
  <cp:keywords>ODS. 160-08230</cp:keywords>
  <dc:description>Original: General_x000d_
Distribution: English_x000d_
Date: 22 February 2016_x000d_
Trad: Seddiki</dc:description>
  <cp:lastModifiedBy>Tpsara</cp:lastModifiedBy>
  <cp:revision>2</cp:revision>
  <cp:lastPrinted>2016-04-21T09:23:00Z</cp:lastPrinted>
  <dcterms:created xsi:type="dcterms:W3CDTF">2016-04-21T13:16:00Z</dcterms:created>
  <dcterms:modified xsi:type="dcterms:W3CDTF">2016-04-21T13:16:00Z</dcterms:modified>
</cp:coreProperties>
</file>