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77A82" w14:paraId="6C3A25EA" w14:textId="77777777" w:rsidTr="00660CE8">
        <w:trPr>
          <w:trHeight w:hRule="exact" w:val="851"/>
        </w:trPr>
        <w:tc>
          <w:tcPr>
            <w:tcW w:w="1276" w:type="dxa"/>
            <w:tcBorders>
              <w:bottom w:val="single" w:sz="4" w:space="0" w:color="auto"/>
            </w:tcBorders>
          </w:tcPr>
          <w:p w14:paraId="6D565B21" w14:textId="77777777" w:rsidR="002D5AAC" w:rsidRPr="00BD02E2" w:rsidRDefault="002D5AAC" w:rsidP="00BC2881">
            <w:pPr>
              <w:kinsoku w:val="0"/>
              <w:overflowPunct w:val="0"/>
              <w:autoSpaceDE w:val="0"/>
              <w:autoSpaceDN w:val="0"/>
              <w:adjustRightInd w:val="0"/>
              <w:snapToGrid w:val="0"/>
              <w:rPr>
                <w:rStyle w:val="Hipervnculovisitado"/>
                <w:lang w:val="es-419"/>
              </w:rPr>
            </w:pPr>
          </w:p>
        </w:tc>
        <w:tc>
          <w:tcPr>
            <w:tcW w:w="2268" w:type="dxa"/>
            <w:tcBorders>
              <w:bottom w:val="single" w:sz="4" w:space="0" w:color="auto"/>
            </w:tcBorders>
            <w:vAlign w:val="bottom"/>
          </w:tcPr>
          <w:p w14:paraId="24F2EEFC" w14:textId="04DB74E4" w:rsidR="002D5AAC" w:rsidRPr="00BD33EE" w:rsidRDefault="00B338E4"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C705E7" w14:textId="693B2A8B" w:rsidR="002D5AAC" w:rsidRPr="00123532" w:rsidRDefault="00123532" w:rsidP="00123532">
            <w:pPr>
              <w:jc w:val="right"/>
              <w:rPr>
                <w:lang w:val="en-GB"/>
              </w:rPr>
            </w:pPr>
            <w:r w:rsidRPr="00123532">
              <w:rPr>
                <w:sz w:val="40"/>
                <w:lang w:val="en-GB"/>
              </w:rPr>
              <w:t>CCPR</w:t>
            </w:r>
            <w:r>
              <w:rPr>
                <w:lang w:val="en-GB"/>
              </w:rPr>
              <w:t>/C/PAN/CO/4</w:t>
            </w:r>
          </w:p>
        </w:tc>
      </w:tr>
      <w:tr w:rsidR="002D5AAC" w14:paraId="7C8EFA63" w14:textId="77777777" w:rsidTr="00660CE8">
        <w:trPr>
          <w:trHeight w:hRule="exact" w:val="2835"/>
        </w:trPr>
        <w:tc>
          <w:tcPr>
            <w:tcW w:w="1276" w:type="dxa"/>
            <w:tcBorders>
              <w:top w:val="single" w:sz="4" w:space="0" w:color="auto"/>
              <w:bottom w:val="single" w:sz="12" w:space="0" w:color="auto"/>
            </w:tcBorders>
          </w:tcPr>
          <w:p w14:paraId="0DCD684A" w14:textId="54CCA24C" w:rsidR="002D5AAC" w:rsidRDefault="00B338E4" w:rsidP="00660CE8">
            <w:pPr>
              <w:spacing w:before="120"/>
              <w:jc w:val="center"/>
            </w:pPr>
            <w:r>
              <w:rPr>
                <w:noProof/>
              </w:rPr>
              <w:drawing>
                <wp:inline distT="0" distB="0" distL="0" distR="0" wp14:anchorId="497B2D1A" wp14:editId="157E231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EC0873" w14:textId="77777777" w:rsidR="00B338E4" w:rsidRDefault="00B338E4" w:rsidP="00B338E4">
            <w:pPr>
              <w:spacing w:before="120" w:line="360" w:lineRule="exact"/>
              <w:rPr>
                <w:b/>
                <w:sz w:val="34"/>
                <w:szCs w:val="34"/>
              </w:rPr>
            </w:pPr>
            <w:r>
              <w:rPr>
                <w:b/>
                <w:sz w:val="34"/>
                <w:szCs w:val="34"/>
              </w:rPr>
              <w:t>Pacto Internacional de Derechos</w:t>
            </w:r>
            <w:r>
              <w:rPr>
                <w:b/>
                <w:sz w:val="34"/>
                <w:szCs w:val="34"/>
              </w:rPr>
              <w:br/>
              <w:t>Civiles y Políticos</w:t>
            </w:r>
          </w:p>
          <w:p w14:paraId="1C26901D" w14:textId="2221DBAC" w:rsidR="00DD5762" w:rsidRPr="007967DF" w:rsidRDefault="00DD5762" w:rsidP="003F221E">
            <w:pPr>
              <w:spacing w:before="120" w:line="360" w:lineRule="exact"/>
              <w:rPr>
                <w:b/>
                <w:sz w:val="34"/>
                <w:szCs w:val="34"/>
              </w:rPr>
            </w:pPr>
          </w:p>
        </w:tc>
        <w:tc>
          <w:tcPr>
            <w:tcW w:w="2813" w:type="dxa"/>
            <w:tcBorders>
              <w:top w:val="single" w:sz="4" w:space="0" w:color="auto"/>
              <w:bottom w:val="single" w:sz="12" w:space="0" w:color="auto"/>
            </w:tcBorders>
          </w:tcPr>
          <w:p w14:paraId="6AC9A718" w14:textId="21AB3D58" w:rsidR="002D5AAC" w:rsidRDefault="00BC2881" w:rsidP="00660CE8">
            <w:pPr>
              <w:spacing w:before="240"/>
            </w:pPr>
            <w:r>
              <w:t xml:space="preserve">Distr. </w:t>
            </w:r>
            <w:r w:rsidR="00F50C64">
              <w:t>general</w:t>
            </w:r>
          </w:p>
          <w:p w14:paraId="39311210" w14:textId="3181EB18" w:rsidR="00BC2881" w:rsidRDefault="00C9297D" w:rsidP="00BC2881">
            <w:pPr>
              <w:spacing w:line="240" w:lineRule="exact"/>
            </w:pPr>
            <w:r>
              <w:t>12</w:t>
            </w:r>
            <w:r w:rsidR="00BC2881">
              <w:t xml:space="preserve"> de </w:t>
            </w:r>
            <w:r>
              <w:t xml:space="preserve">abril </w:t>
            </w:r>
            <w:r w:rsidR="00BC2881">
              <w:t>de 202</w:t>
            </w:r>
            <w:r w:rsidR="00575B77">
              <w:t>3</w:t>
            </w:r>
          </w:p>
          <w:p w14:paraId="492056EE" w14:textId="77777777" w:rsidR="00DD5762" w:rsidRDefault="00DD5762" w:rsidP="00DD5762">
            <w:pPr>
              <w:spacing w:line="240" w:lineRule="exact"/>
            </w:pPr>
          </w:p>
          <w:p w14:paraId="0E7368FA" w14:textId="305D0A66" w:rsidR="00613A55" w:rsidRDefault="00BC2881" w:rsidP="004C4B2B">
            <w:pPr>
              <w:spacing w:line="240" w:lineRule="exact"/>
            </w:pPr>
            <w:r>
              <w:t xml:space="preserve">Original: </w:t>
            </w:r>
            <w:r w:rsidR="00DD5762">
              <w:t>español</w:t>
            </w:r>
          </w:p>
        </w:tc>
      </w:tr>
    </w:tbl>
    <w:p w14:paraId="14289151" w14:textId="77777777" w:rsidR="006F35EE" w:rsidRPr="00411A36" w:rsidRDefault="00411A36" w:rsidP="0036261E">
      <w:pPr>
        <w:spacing w:before="120"/>
        <w:rPr>
          <w:b/>
          <w:sz w:val="24"/>
          <w:szCs w:val="24"/>
        </w:rPr>
      </w:pPr>
      <w:r w:rsidRPr="00411A36">
        <w:rPr>
          <w:b/>
          <w:sz w:val="24"/>
          <w:szCs w:val="24"/>
        </w:rPr>
        <w:t>Comité de Derechos Humanos</w:t>
      </w:r>
    </w:p>
    <w:p w14:paraId="3AC1D8FC" w14:textId="6024C545" w:rsidR="008E6767" w:rsidRPr="003F221E" w:rsidRDefault="008E6767" w:rsidP="003F221E">
      <w:pPr>
        <w:pStyle w:val="HChG"/>
        <w:rPr>
          <w:lang w:val="es-ES_tradnl"/>
        </w:rPr>
      </w:pPr>
      <w:r>
        <w:rPr>
          <w:lang w:val="es-ES_tradnl"/>
        </w:rPr>
        <w:tab/>
      </w:r>
      <w:r>
        <w:rPr>
          <w:lang w:val="es-ES_tradnl"/>
        </w:rPr>
        <w:tab/>
      </w:r>
      <w:r w:rsidR="00DD5762" w:rsidRPr="00B95DBE">
        <w:t xml:space="preserve">Observaciones finales sobre el </w:t>
      </w:r>
      <w:r w:rsidR="00FC7884">
        <w:t>cuarto</w:t>
      </w:r>
      <w:r w:rsidR="00DD5762" w:rsidRPr="00B95DBE">
        <w:t xml:space="preserve"> informe periódico </w:t>
      </w:r>
      <w:r w:rsidR="00C9297D">
        <w:br/>
      </w:r>
      <w:r w:rsidR="00DD5762" w:rsidRPr="00B95DBE">
        <w:t>de</w:t>
      </w:r>
      <w:r w:rsidR="009C68FD">
        <w:t xml:space="preserve"> </w:t>
      </w:r>
      <w:r w:rsidR="00FC7884">
        <w:t>Panamá</w:t>
      </w:r>
      <w:r w:rsidRPr="008E6767">
        <w:rPr>
          <w:rStyle w:val="Refdenotaalpie"/>
          <w:b w:val="0"/>
          <w:bCs/>
          <w:sz w:val="20"/>
          <w:vertAlign w:val="baseline"/>
          <w:lang w:val="es-ES_tradnl"/>
        </w:rPr>
        <w:footnoteReference w:customMarkFollows="1" w:id="1"/>
        <w:t>*</w:t>
      </w:r>
    </w:p>
    <w:p w14:paraId="2ADE3E22" w14:textId="4A96AA37" w:rsidR="00C174E6" w:rsidRPr="00337CA3" w:rsidRDefault="00B338E4" w:rsidP="00B338E4">
      <w:pPr>
        <w:pStyle w:val="SingleTxtG"/>
        <w:tabs>
          <w:tab w:val="clear" w:pos="2268"/>
          <w:tab w:val="left" w:pos="1134"/>
        </w:tabs>
      </w:pPr>
      <w:r w:rsidRPr="00337CA3">
        <w:t>1.</w:t>
      </w:r>
      <w:r w:rsidRPr="00337CA3">
        <w:tab/>
      </w:r>
      <w:r w:rsidR="00C174E6" w:rsidRPr="00684176">
        <w:t xml:space="preserve">El Comité examinó el </w:t>
      </w:r>
      <w:r w:rsidR="00FC7884" w:rsidRPr="00684176">
        <w:t>cuarto</w:t>
      </w:r>
      <w:r w:rsidR="00C174E6" w:rsidRPr="00684176">
        <w:t xml:space="preserve"> informe periódico de</w:t>
      </w:r>
      <w:r w:rsidR="00FC7884" w:rsidRPr="00684176">
        <w:t xml:space="preserve"> </w:t>
      </w:r>
      <w:r w:rsidR="00575B77" w:rsidRPr="00684176">
        <w:t>P</w:t>
      </w:r>
      <w:r w:rsidR="00FC7884" w:rsidRPr="00684176">
        <w:t>anamá</w:t>
      </w:r>
      <w:r w:rsidR="00E64969" w:rsidRPr="00684176">
        <w:rPr>
          <w:rStyle w:val="Refdenotaalpie"/>
        </w:rPr>
        <w:footnoteReference w:id="2"/>
      </w:r>
      <w:r w:rsidR="00C174E6" w:rsidRPr="00684176">
        <w:t xml:space="preserve"> en sus sesiones </w:t>
      </w:r>
      <w:r w:rsidR="00886C28" w:rsidRPr="00684176">
        <w:t>3972</w:t>
      </w:r>
      <w:r w:rsidR="00C174E6" w:rsidRPr="00684176">
        <w:t>ª</w:t>
      </w:r>
      <w:r w:rsidR="00886C28" w:rsidRPr="00684176">
        <w:t>, 3974ª</w:t>
      </w:r>
      <w:r w:rsidR="004C4B2B">
        <w:t xml:space="preserve"> </w:t>
      </w:r>
      <w:r w:rsidR="00886C28" w:rsidRPr="00684176">
        <w:t>y 3976</w:t>
      </w:r>
      <w:r w:rsidR="00C174E6" w:rsidRPr="00684176">
        <w:t>ª</w:t>
      </w:r>
      <w:r w:rsidR="00E64969" w:rsidRPr="00684176">
        <w:rPr>
          <w:rStyle w:val="Refdenotaalpie"/>
        </w:rPr>
        <w:footnoteReference w:id="3"/>
      </w:r>
      <w:r w:rsidR="00E64969" w:rsidRPr="00684176">
        <w:t xml:space="preserve"> </w:t>
      </w:r>
      <w:r w:rsidR="00C174E6" w:rsidRPr="00684176">
        <w:t xml:space="preserve">celebradas los días </w:t>
      </w:r>
      <w:r w:rsidR="00BE4528" w:rsidRPr="00684176">
        <w:t>9, 10 y 13</w:t>
      </w:r>
      <w:r w:rsidR="00C174E6" w:rsidRPr="00684176">
        <w:t xml:space="preserve"> de </w:t>
      </w:r>
      <w:r w:rsidR="00575B77" w:rsidRPr="00684176">
        <w:t>marzo</w:t>
      </w:r>
      <w:r w:rsidR="00C174E6" w:rsidRPr="00684176">
        <w:t xml:space="preserve"> de 202</w:t>
      </w:r>
      <w:r w:rsidR="00575B77" w:rsidRPr="00684176">
        <w:t xml:space="preserve">3 </w:t>
      </w:r>
      <w:r w:rsidR="00575B77" w:rsidRPr="00684176">
        <w:rPr>
          <w:lang w:val="es-ES_tradnl"/>
        </w:rPr>
        <w:t>en formato híbrido</w:t>
      </w:r>
      <w:r w:rsidR="00C174E6" w:rsidRPr="00684176">
        <w:t>. En su</w:t>
      </w:r>
      <w:r w:rsidR="00C9297D">
        <w:t> </w:t>
      </w:r>
      <w:r w:rsidR="00BE4528" w:rsidRPr="00684176">
        <w:t>398</w:t>
      </w:r>
      <w:r w:rsidR="003F221E">
        <w:t>8</w:t>
      </w:r>
      <w:r w:rsidR="00BE4528" w:rsidRPr="00684176">
        <w:t xml:space="preserve">ª </w:t>
      </w:r>
      <w:r w:rsidR="00C174E6" w:rsidRPr="00684176">
        <w:t xml:space="preserve">sesión, celebrada el </w:t>
      </w:r>
      <w:r w:rsidR="00BE4528" w:rsidRPr="00684176">
        <w:t>2</w:t>
      </w:r>
      <w:r w:rsidR="003F221E">
        <w:t>1</w:t>
      </w:r>
      <w:r w:rsidR="00C174E6" w:rsidRPr="00684176">
        <w:t xml:space="preserve"> de </w:t>
      </w:r>
      <w:r w:rsidR="00575B77" w:rsidRPr="00684176">
        <w:t>marzo</w:t>
      </w:r>
      <w:r w:rsidR="00C174E6" w:rsidRPr="00684176">
        <w:t xml:space="preserve"> de 202</w:t>
      </w:r>
      <w:r w:rsidR="00575B77" w:rsidRPr="00684176">
        <w:t>3</w:t>
      </w:r>
      <w:r w:rsidR="00C174E6" w:rsidRPr="00684176">
        <w:t>,</w:t>
      </w:r>
      <w:r w:rsidR="00C174E6" w:rsidRPr="00337CA3">
        <w:t xml:space="preserve"> el Comité aprobó las presentes observaciones finales.</w:t>
      </w:r>
    </w:p>
    <w:p w14:paraId="2B026FE0" w14:textId="77777777" w:rsidR="00C174E6" w:rsidRPr="00337CA3" w:rsidRDefault="00C174E6" w:rsidP="00C174E6">
      <w:pPr>
        <w:pStyle w:val="H1G"/>
      </w:pPr>
      <w:r w:rsidRPr="00337CA3">
        <w:tab/>
        <w:t>A.</w:t>
      </w:r>
      <w:r w:rsidRPr="00337CA3">
        <w:tab/>
        <w:t>Introducción</w:t>
      </w:r>
    </w:p>
    <w:p w14:paraId="568BABCE" w14:textId="18CFBB73" w:rsidR="009318A8" w:rsidRPr="008656B8" w:rsidRDefault="00B338E4" w:rsidP="00B338E4">
      <w:pPr>
        <w:pStyle w:val="SingleTxtG"/>
        <w:tabs>
          <w:tab w:val="clear" w:pos="1701"/>
          <w:tab w:val="clear" w:pos="2268"/>
          <w:tab w:val="clear" w:pos="2835"/>
          <w:tab w:val="left" w:pos="1134"/>
        </w:tabs>
      </w:pPr>
      <w:r w:rsidRPr="008656B8">
        <w:t>2.</w:t>
      </w:r>
      <w:r w:rsidRPr="008656B8">
        <w:tab/>
      </w:r>
      <w:r w:rsidR="009318A8" w:rsidRPr="008656B8">
        <w:t xml:space="preserve">El Comité acoge con beneplácito la presentación del cuarto informe periódico </w:t>
      </w:r>
      <w:r w:rsidR="00875BDE">
        <w:t xml:space="preserve">Panamá </w:t>
      </w:r>
      <w:r w:rsidR="009318A8" w:rsidRPr="008656B8">
        <w:t>y la información en él expuesta. Expresa su reconocimiento por la oportunidad de renovar su diálogo constructivo y abierto con la delegación de alto nivel del Estado parte. El Comité le agradece la información proporcionada sobre las medidas adoptadas durante el período examinado para aplicar las disposiciones del Pacto. El Comité agradece también al Estado parte sus respuestas escritas</w:t>
      </w:r>
      <w:r w:rsidR="009318A8" w:rsidRPr="008656B8">
        <w:rPr>
          <w:rStyle w:val="Refdenotaalpie"/>
        </w:rPr>
        <w:footnoteReference w:id="4"/>
      </w:r>
      <w:r w:rsidR="009318A8" w:rsidRPr="008656B8">
        <w:t xml:space="preserve"> a la lista de cuestiones</w:t>
      </w:r>
      <w:r w:rsidR="009318A8" w:rsidRPr="008656B8">
        <w:rPr>
          <w:rStyle w:val="Refdenotaalpie"/>
        </w:rPr>
        <w:footnoteReference w:id="5"/>
      </w:r>
      <w:r w:rsidR="009318A8" w:rsidRPr="008656B8">
        <w:t>, complementadas con las respuestas presentadas oralmente por la delegación, y la información complementaria presentada por escrito.</w:t>
      </w:r>
    </w:p>
    <w:p w14:paraId="474AEAC8" w14:textId="77777777" w:rsidR="009318A8" w:rsidRPr="008656B8" w:rsidRDefault="009318A8" w:rsidP="009318A8">
      <w:pPr>
        <w:pStyle w:val="H1G"/>
      </w:pPr>
      <w:r w:rsidRPr="008656B8">
        <w:tab/>
        <w:t>B.</w:t>
      </w:r>
      <w:r w:rsidRPr="008656B8">
        <w:tab/>
        <w:t>Aspectos positivos</w:t>
      </w:r>
    </w:p>
    <w:p w14:paraId="201DD88B" w14:textId="4AE6F19C" w:rsidR="009318A8" w:rsidRPr="00B338E4" w:rsidRDefault="00B338E4" w:rsidP="00B338E4">
      <w:pPr>
        <w:pStyle w:val="SingleTxtG"/>
      </w:pPr>
      <w:r w:rsidRPr="009318A8">
        <w:rPr>
          <w:lang w:val="es-AR" w:eastAsia="es-ES_tradnl"/>
        </w:rPr>
        <w:t>3.</w:t>
      </w:r>
      <w:r w:rsidRPr="009318A8">
        <w:rPr>
          <w:lang w:val="es-AR" w:eastAsia="es-ES_tradnl"/>
        </w:rPr>
        <w:tab/>
      </w:r>
      <w:r w:rsidR="009318A8" w:rsidRPr="00B338E4">
        <w:t>El Comité acoge con satisfacción las siguientes medidas legislativas e institucionales adoptadas por el Estado parte durante el período en estudio en materia de derechos civiles y políticos, incluyendo:</w:t>
      </w:r>
      <w:r w:rsidR="009318A8" w:rsidRPr="00B338E4" w:rsidDel="00437DE5">
        <w:t xml:space="preserve"> </w:t>
      </w:r>
    </w:p>
    <w:p w14:paraId="256B3893" w14:textId="3E484969" w:rsidR="00684176" w:rsidRPr="00B338E4" w:rsidRDefault="00B338E4" w:rsidP="00B338E4">
      <w:pPr>
        <w:pStyle w:val="SingleTxtG"/>
      </w:pPr>
      <w:r>
        <w:rPr>
          <w:lang w:val="es-AR" w:eastAsia="es-ES_tradnl"/>
        </w:rPr>
        <w:tab/>
      </w:r>
      <w:r w:rsidRPr="00684176">
        <w:rPr>
          <w:lang w:val="es-AR" w:eastAsia="es-ES_tradnl"/>
        </w:rPr>
        <w:t>a)</w:t>
      </w:r>
      <w:r w:rsidRPr="00684176">
        <w:rPr>
          <w:lang w:val="es-AR" w:eastAsia="es-ES_tradnl"/>
        </w:rPr>
        <w:tab/>
      </w:r>
      <w:r w:rsidR="003C547D" w:rsidRPr="00B338E4">
        <w:t>La Ley núm. 375 de 8 de marzo de 2023, que crea el Ministerio de la Mujer</w:t>
      </w:r>
      <w:r w:rsidR="009318A8" w:rsidRPr="00B338E4">
        <w:t>;</w:t>
      </w:r>
    </w:p>
    <w:p w14:paraId="4769B5A0" w14:textId="763515A9" w:rsidR="00684176" w:rsidRPr="00B338E4" w:rsidRDefault="00B338E4" w:rsidP="00B338E4">
      <w:pPr>
        <w:pStyle w:val="SingleTxtG"/>
      </w:pPr>
      <w:r>
        <w:rPr>
          <w:lang w:val="es-AR" w:eastAsia="es-ES_tradnl"/>
        </w:rPr>
        <w:tab/>
      </w:r>
      <w:r w:rsidRPr="00684176">
        <w:rPr>
          <w:lang w:val="es-AR" w:eastAsia="es-ES_tradnl"/>
        </w:rPr>
        <w:t>b)</w:t>
      </w:r>
      <w:r w:rsidRPr="00684176">
        <w:rPr>
          <w:lang w:val="es-AR" w:eastAsia="es-ES_tradnl"/>
        </w:rPr>
        <w:tab/>
      </w:r>
      <w:r w:rsidR="00B82DD3" w:rsidRPr="00B338E4">
        <w:t>La Ley núm. 7 de 14 de febrero de 2018, que adopta medidas para prevenir, prohibir y sancionar actos discriminatorios;</w:t>
      </w:r>
    </w:p>
    <w:p w14:paraId="41D3756F" w14:textId="6D8CF066" w:rsidR="00684176" w:rsidRPr="00B338E4" w:rsidRDefault="00B338E4" w:rsidP="00B338E4">
      <w:pPr>
        <w:pStyle w:val="SingleTxtG"/>
      </w:pPr>
      <w:r>
        <w:rPr>
          <w:lang w:val="es-AR" w:eastAsia="es-ES_tradnl"/>
        </w:rPr>
        <w:tab/>
      </w:r>
      <w:r w:rsidRPr="00684176">
        <w:rPr>
          <w:lang w:val="es-AR" w:eastAsia="es-ES_tradnl"/>
        </w:rPr>
        <w:t>c)</w:t>
      </w:r>
      <w:r w:rsidRPr="00684176">
        <w:rPr>
          <w:lang w:val="es-AR" w:eastAsia="es-ES_tradnl"/>
        </w:rPr>
        <w:tab/>
      </w:r>
      <w:r w:rsidR="00B82DD3" w:rsidRPr="00B338E4">
        <w:t>El Decreto Ejecutivo n</w:t>
      </w:r>
      <w:r w:rsidR="00B82DD3" w:rsidRPr="00B338E4">
        <w:rPr>
          <w:lang w:val="es-419"/>
        </w:rPr>
        <w:t>úm. 5 de 16 de enero de 2018, que dicta nuevas disposiciones para la protección de las personas refugiadas;</w:t>
      </w:r>
    </w:p>
    <w:p w14:paraId="60FF25E2" w14:textId="52EF6A92" w:rsidR="00684176" w:rsidRPr="00B338E4" w:rsidRDefault="00B338E4" w:rsidP="00B338E4">
      <w:pPr>
        <w:pStyle w:val="SingleTxtG"/>
      </w:pPr>
      <w:r>
        <w:rPr>
          <w:lang w:val="es-AR" w:eastAsia="es-ES_tradnl"/>
        </w:rPr>
        <w:tab/>
        <w:t>d)</w:t>
      </w:r>
      <w:r>
        <w:rPr>
          <w:lang w:val="es-AR" w:eastAsia="es-ES_tradnl"/>
        </w:rPr>
        <w:tab/>
      </w:r>
      <w:r w:rsidR="00684176" w:rsidRPr="00B338E4">
        <w:t>La Ley núm. 56 de 11 de julio de 2017, que establece la participación de las mujeres en las juntas directivas de las instituciones estatales como mínimo en un 30 % de la totalidad de sus cargos y el Decreto Ejecutivo núm. 241-A de 11 de julio de 2018, que la reglamenta;</w:t>
      </w:r>
    </w:p>
    <w:p w14:paraId="04220A20" w14:textId="45D84412" w:rsidR="00684176" w:rsidRPr="00B338E4" w:rsidRDefault="00B338E4" w:rsidP="00B338E4">
      <w:pPr>
        <w:pStyle w:val="SingleTxtG"/>
      </w:pPr>
      <w:r>
        <w:rPr>
          <w:lang w:val="es-AR" w:eastAsia="es-ES_tradnl"/>
        </w:rPr>
        <w:lastRenderedPageBreak/>
        <w:tab/>
      </w:r>
      <w:r w:rsidRPr="00684176">
        <w:rPr>
          <w:lang w:val="es-AR" w:eastAsia="es-ES_tradnl"/>
        </w:rPr>
        <w:t>e)</w:t>
      </w:r>
      <w:r w:rsidRPr="00684176">
        <w:rPr>
          <w:lang w:val="es-AR" w:eastAsia="es-ES_tradnl"/>
        </w:rPr>
        <w:tab/>
      </w:r>
      <w:r w:rsidR="0072506B" w:rsidRPr="00B338E4">
        <w:t>La Ley núm. 6 de 22</w:t>
      </w:r>
      <w:r w:rsidR="003F224C" w:rsidRPr="00B338E4">
        <w:t xml:space="preserve"> de </w:t>
      </w:r>
      <w:r w:rsidR="0072506B" w:rsidRPr="00B338E4">
        <w:t>febrero de 2017</w:t>
      </w:r>
      <w:r w:rsidR="003F224C" w:rsidRPr="00B338E4">
        <w:t xml:space="preserve">, </w:t>
      </w:r>
      <w:r w:rsidR="003D1887" w:rsidRPr="00B338E4">
        <w:t xml:space="preserve">que </w:t>
      </w:r>
      <w:r w:rsidR="0072506B" w:rsidRPr="00B338E4">
        <w:t>crea el Mecanismo Nacional para la Prevención de la Tortura, y otros Tratos o Penas Crueles, Inhumanos o Degradantes</w:t>
      </w:r>
      <w:r w:rsidR="009318A8" w:rsidRPr="00B338E4">
        <w:t>;</w:t>
      </w:r>
    </w:p>
    <w:p w14:paraId="168B1863" w14:textId="14B848FF" w:rsidR="00684176" w:rsidRPr="00B338E4" w:rsidRDefault="00B338E4" w:rsidP="00B338E4">
      <w:pPr>
        <w:pStyle w:val="SingleTxtG"/>
      </w:pPr>
      <w:r>
        <w:rPr>
          <w:lang w:val="es-AR" w:eastAsia="es-ES_tradnl"/>
        </w:rPr>
        <w:tab/>
      </w:r>
      <w:r w:rsidRPr="00684176">
        <w:rPr>
          <w:lang w:val="es-AR" w:eastAsia="es-ES_tradnl"/>
        </w:rPr>
        <w:t>f)</w:t>
      </w:r>
      <w:r w:rsidRPr="00684176">
        <w:rPr>
          <w:lang w:val="es-AR" w:eastAsia="es-ES_tradnl"/>
        </w:rPr>
        <w:tab/>
      </w:r>
      <w:r w:rsidR="00077775" w:rsidRPr="00B338E4">
        <w:t>La Ley núm. 55 de 30 de noviembre de 2016, que tipifica el delito de desaparición forzada;</w:t>
      </w:r>
    </w:p>
    <w:p w14:paraId="445C8FCE" w14:textId="7CD52C09" w:rsidR="00684176" w:rsidRPr="00B338E4" w:rsidRDefault="00B338E4" w:rsidP="00B338E4">
      <w:pPr>
        <w:pStyle w:val="SingleTxtG"/>
      </w:pPr>
      <w:r>
        <w:rPr>
          <w:lang w:val="es-AR" w:eastAsia="es-ES_tradnl"/>
        </w:rPr>
        <w:tab/>
        <w:t>g)</w:t>
      </w:r>
      <w:r>
        <w:rPr>
          <w:lang w:val="es-AR" w:eastAsia="es-ES_tradnl"/>
        </w:rPr>
        <w:tab/>
      </w:r>
      <w:r w:rsidR="00A52003" w:rsidRPr="00B338E4">
        <w:t xml:space="preserve">El Decreto Ejecutivo núm. 121 de 19 de julio de 2016, que crea la </w:t>
      </w:r>
      <w:r w:rsidR="001F570E" w:rsidRPr="00B338E4">
        <w:t>“</w:t>
      </w:r>
      <w:r w:rsidR="00A52003" w:rsidRPr="00B338E4">
        <w:t>Comisión 20 de diciembre de 1989</w:t>
      </w:r>
      <w:r w:rsidR="001F570E" w:rsidRPr="00B338E4">
        <w:t>”</w:t>
      </w:r>
      <w:r w:rsidR="009C794D" w:rsidRPr="00B338E4">
        <w:t>;</w:t>
      </w:r>
    </w:p>
    <w:p w14:paraId="0F8D73E9" w14:textId="19074777" w:rsidR="00684176" w:rsidRPr="00B338E4" w:rsidRDefault="00B338E4" w:rsidP="00B338E4">
      <w:pPr>
        <w:pStyle w:val="SingleTxtG"/>
        <w:rPr>
          <w:rStyle w:val="Refdenotaalpie"/>
          <w:sz w:val="20"/>
          <w:vertAlign w:val="baseline"/>
        </w:rPr>
      </w:pPr>
      <w:r>
        <w:rPr>
          <w:lang w:val="es-AR" w:eastAsia="es-ES_tradnl"/>
        </w:rPr>
        <w:tab/>
      </w:r>
      <w:r w:rsidRPr="00684176">
        <w:rPr>
          <w:rStyle w:val="Refdenotaalpie"/>
          <w:sz w:val="20"/>
          <w:vertAlign w:val="baseline"/>
          <w:lang w:val="es-AR" w:eastAsia="es-ES_tradnl"/>
        </w:rPr>
        <w:t>h)</w:t>
      </w:r>
      <w:r w:rsidRPr="00684176">
        <w:rPr>
          <w:rStyle w:val="Refdenotaalpie"/>
          <w:sz w:val="20"/>
          <w:vertAlign w:val="baseline"/>
          <w:lang w:val="es-AR" w:eastAsia="es-ES_tradnl"/>
        </w:rPr>
        <w:tab/>
      </w:r>
      <w:r w:rsidR="00684176" w:rsidRPr="00B338E4">
        <w:t>La Ley núm. 82 de 24 de octubre de 2013, por la que se tipifica el femicidio, y el Decreto Ejecutivo n</w:t>
      </w:r>
      <w:r w:rsidR="00684176" w:rsidRPr="00B338E4">
        <w:rPr>
          <w:lang w:val="es-419"/>
        </w:rPr>
        <w:t>úm. 100 de 20 de abril de 2017, que la reglamenta</w:t>
      </w:r>
      <w:r w:rsidR="00684176" w:rsidRPr="00B338E4">
        <w:t>.</w:t>
      </w:r>
      <w:r w:rsidR="00684176" w:rsidRPr="00B338E4">
        <w:rPr>
          <w:rStyle w:val="Refdenotaalpie"/>
          <w:sz w:val="20"/>
          <w:highlight w:val="yellow"/>
        </w:rPr>
        <w:t xml:space="preserve"> </w:t>
      </w:r>
    </w:p>
    <w:p w14:paraId="503F2E85" w14:textId="43B08DC3" w:rsidR="009C2AEA" w:rsidRPr="00B338E4" w:rsidRDefault="00B338E4" w:rsidP="00B338E4">
      <w:pPr>
        <w:pStyle w:val="SingleTxtG"/>
      </w:pPr>
      <w:r w:rsidRPr="009318A8">
        <w:rPr>
          <w:lang w:val="es-AR" w:eastAsia="es-ES_tradnl"/>
        </w:rPr>
        <w:t>4.</w:t>
      </w:r>
      <w:r w:rsidRPr="009318A8">
        <w:rPr>
          <w:lang w:val="es-AR" w:eastAsia="es-ES_tradnl"/>
        </w:rPr>
        <w:tab/>
      </w:r>
      <w:r w:rsidR="009C2AEA" w:rsidRPr="00B338E4">
        <w:t>El Comité acoge con beneplácito también la ratificación de los siguientes instrumentos internacionales o la adhesión a ellos por el Estado parte:</w:t>
      </w:r>
    </w:p>
    <w:p w14:paraId="22E89503" w14:textId="474D4CD0" w:rsidR="009C2AEA" w:rsidRPr="008656B8" w:rsidRDefault="00B338E4" w:rsidP="00B338E4">
      <w:pPr>
        <w:pStyle w:val="SingleTxtG"/>
      </w:pPr>
      <w:r>
        <w:tab/>
      </w:r>
      <w:r w:rsidR="006C7182">
        <w:t>a)</w:t>
      </w:r>
      <w:r w:rsidR="006C7182">
        <w:tab/>
        <w:t xml:space="preserve">El </w:t>
      </w:r>
      <w:r w:rsidR="00143BC5">
        <w:t>Protocolo Facultativo de la Convención sobre los Derechos del Niño relativo a un procedimiento de comunicaciones, el 16 de febrero de 2017</w:t>
      </w:r>
      <w:r w:rsidR="006C7182">
        <w:t>;</w:t>
      </w:r>
    </w:p>
    <w:p w14:paraId="7C79B822" w14:textId="77777777" w:rsidR="006C7182" w:rsidRDefault="006C7182" w:rsidP="00B338E4">
      <w:pPr>
        <w:pStyle w:val="SingleTxtG"/>
      </w:pPr>
      <w:r>
        <w:tab/>
        <w:t>b)</w:t>
      </w:r>
      <w:r>
        <w:tab/>
        <w:t>El Convenio de la Organización Internacional del Trabajo (OIT) sobre las Trabajadoras y los Trabajadores Domésticos, 2011 (núm. 189), el 15 de junio de 2015;</w:t>
      </w:r>
    </w:p>
    <w:p w14:paraId="342CEF97" w14:textId="43D605DA" w:rsidR="006C7182" w:rsidRPr="008656B8" w:rsidRDefault="009C2AEA" w:rsidP="00B338E4">
      <w:pPr>
        <w:pStyle w:val="SingleTxtG"/>
      </w:pPr>
      <w:r w:rsidRPr="008656B8">
        <w:tab/>
        <w:t>c)</w:t>
      </w:r>
      <w:r w:rsidRPr="008656B8">
        <w:tab/>
      </w:r>
      <w:r w:rsidR="006C7182">
        <w:t>La Convención Internacional para la Protección de Todas las Personas contra las Desapariciones F</w:t>
      </w:r>
      <w:r w:rsidR="00DE4473">
        <w:t>orzadas, el 24 de junio de 2011;</w:t>
      </w:r>
    </w:p>
    <w:p w14:paraId="118F6C77" w14:textId="44681795" w:rsidR="009C2AEA" w:rsidRPr="008656B8" w:rsidRDefault="009C2AEA" w:rsidP="00B338E4">
      <w:pPr>
        <w:pStyle w:val="SingleTxtG"/>
      </w:pPr>
      <w:r w:rsidRPr="008656B8">
        <w:tab/>
        <w:t>d)</w:t>
      </w:r>
      <w:r w:rsidRPr="008656B8">
        <w:tab/>
      </w:r>
      <w:r w:rsidR="006C7182">
        <w:t>El Protocolo Facultativo de la Convención contra la Tortura y Otros Tratos o Penas Crueles, Inhumanos o Deg</w:t>
      </w:r>
      <w:r w:rsidR="00DE4473">
        <w:t>radantes, el 2 de junio de 2011.</w:t>
      </w:r>
    </w:p>
    <w:p w14:paraId="74F38534" w14:textId="77777777" w:rsidR="009318A8" w:rsidRPr="008656B8" w:rsidRDefault="009318A8" w:rsidP="009318A8">
      <w:pPr>
        <w:pStyle w:val="H1G"/>
      </w:pPr>
      <w:r w:rsidRPr="008656B8">
        <w:tab/>
        <w:t>C.</w:t>
      </w:r>
      <w:r w:rsidRPr="008656B8">
        <w:tab/>
        <w:t>Principales motivos de preocupación y recomendaciones</w:t>
      </w:r>
    </w:p>
    <w:p w14:paraId="3D4A2203" w14:textId="5F74F291" w:rsidR="009318A8" w:rsidRPr="008656B8" w:rsidRDefault="009D0A03" w:rsidP="009318A8">
      <w:pPr>
        <w:pStyle w:val="H23G"/>
      </w:pPr>
      <w:r>
        <w:tab/>
      </w:r>
      <w:r>
        <w:tab/>
      </w:r>
      <w:r w:rsidRPr="0069628B">
        <w:t>Marco constitucional y jurídico de la aplicación del Pacto</w:t>
      </w:r>
      <w:r w:rsidR="009318A8" w:rsidRPr="008656B8">
        <w:t xml:space="preserve"> </w:t>
      </w:r>
    </w:p>
    <w:p w14:paraId="6007AC52" w14:textId="3D4C5350" w:rsidR="009318A8" w:rsidRPr="00B338E4" w:rsidRDefault="00B338E4" w:rsidP="00B338E4">
      <w:pPr>
        <w:pStyle w:val="SingleTxtG"/>
      </w:pPr>
      <w:r>
        <w:rPr>
          <w:lang w:val="es-AR" w:eastAsia="es-ES_tradnl"/>
        </w:rPr>
        <w:t>5.</w:t>
      </w:r>
      <w:r>
        <w:rPr>
          <w:lang w:val="es-AR" w:eastAsia="es-ES_tradnl"/>
        </w:rPr>
        <w:tab/>
      </w:r>
      <w:r w:rsidR="00B91AB3" w:rsidRPr="00B338E4">
        <w:t>El Comité toma nota de</w:t>
      </w:r>
      <w:r w:rsidR="00E27354" w:rsidRPr="00B338E4">
        <w:t xml:space="preserve"> </w:t>
      </w:r>
      <w:r w:rsidR="00B91AB3" w:rsidRPr="00B338E4">
        <w:t>l</w:t>
      </w:r>
      <w:r w:rsidR="00E27354" w:rsidRPr="00B338E4">
        <w:t>os</w:t>
      </w:r>
      <w:r w:rsidR="00B91AB3" w:rsidRPr="00B338E4">
        <w:t xml:space="preserve"> artículo</w:t>
      </w:r>
      <w:r w:rsidR="00E27354" w:rsidRPr="00B338E4">
        <w:t>s</w:t>
      </w:r>
      <w:r w:rsidR="00B91AB3" w:rsidRPr="00B338E4">
        <w:t xml:space="preserve"> 4 </w:t>
      </w:r>
      <w:r w:rsidR="00E27354" w:rsidRPr="00B338E4">
        <w:t xml:space="preserve">y 17 </w:t>
      </w:r>
      <w:r w:rsidR="00B91AB3" w:rsidRPr="00B338E4">
        <w:t xml:space="preserve">de la Constitución Política </w:t>
      </w:r>
      <w:r w:rsidR="007B4222" w:rsidRPr="00B338E4">
        <w:t xml:space="preserve">y de </w:t>
      </w:r>
      <w:r w:rsidR="00B91AB3" w:rsidRPr="00B338E4">
        <w:t xml:space="preserve">la jurisprudencia </w:t>
      </w:r>
      <w:r w:rsidR="007B4222" w:rsidRPr="00B338E4">
        <w:t>de la Corte Suprema de Justicia del Estado parte según la</w:t>
      </w:r>
      <w:r w:rsidR="00B91AB3" w:rsidRPr="00B338E4">
        <w:t xml:space="preserve"> </w:t>
      </w:r>
      <w:r w:rsidR="007B4222" w:rsidRPr="00B338E4">
        <w:t xml:space="preserve">cual </w:t>
      </w:r>
      <w:r w:rsidR="00B91AB3" w:rsidRPr="00B338E4">
        <w:t>los tratados de derechos humanos vigentes tienen rango constitucional.</w:t>
      </w:r>
      <w:r w:rsidR="0069628B" w:rsidRPr="00B338E4">
        <w:t xml:space="preserve"> </w:t>
      </w:r>
      <w:r w:rsidR="00C601B4" w:rsidRPr="00B338E4">
        <w:t xml:space="preserve">Sin embargo, </w:t>
      </w:r>
      <w:r w:rsidR="0077650B" w:rsidRPr="00B338E4">
        <w:t xml:space="preserve">el </w:t>
      </w:r>
      <w:r w:rsidR="00C601B4" w:rsidRPr="00B338E4">
        <w:t>Comité</w:t>
      </w:r>
      <w:r w:rsidR="0077650B" w:rsidRPr="00B338E4">
        <w:t xml:space="preserve"> lamenta</w:t>
      </w:r>
      <w:r w:rsidR="00C601B4" w:rsidRPr="00B338E4">
        <w:t xml:space="preserve"> la </w:t>
      </w:r>
      <w:r w:rsidR="0077650B" w:rsidRPr="00B338E4">
        <w:t xml:space="preserve">falta de </w:t>
      </w:r>
      <w:r w:rsidR="00C601B4" w:rsidRPr="00B338E4">
        <w:t>información</w:t>
      </w:r>
      <w:r w:rsidR="0077650B" w:rsidRPr="00B338E4">
        <w:t xml:space="preserve"> suficiente </w:t>
      </w:r>
      <w:r w:rsidR="00C601B4" w:rsidRPr="00B338E4">
        <w:t>sobre los casos en los que las disposiciones del Pacto han sido invocadas o aplicadas por los operadores de justicia</w:t>
      </w:r>
      <w:r w:rsidR="0077650B" w:rsidRPr="00B338E4">
        <w:t xml:space="preserve"> y </w:t>
      </w:r>
      <w:r w:rsidR="007218BC" w:rsidRPr="00B338E4">
        <w:t xml:space="preserve">sobre </w:t>
      </w:r>
      <w:r w:rsidR="00E342E9" w:rsidRPr="00B338E4">
        <w:rPr>
          <w:lang w:val="es-419"/>
        </w:rPr>
        <w:t xml:space="preserve">la formación </w:t>
      </w:r>
      <w:r w:rsidR="000660DC" w:rsidRPr="00B338E4">
        <w:rPr>
          <w:lang w:val="es-419"/>
        </w:rPr>
        <w:t xml:space="preserve">y la sensibilización a </w:t>
      </w:r>
      <w:r w:rsidR="00E342E9" w:rsidRPr="00B338E4">
        <w:rPr>
          <w:lang w:val="es-419"/>
        </w:rPr>
        <w:t>dichos funcionarios</w:t>
      </w:r>
      <w:r w:rsidR="007218BC" w:rsidRPr="00B338E4">
        <w:rPr>
          <w:lang w:val="es-419"/>
        </w:rPr>
        <w:t xml:space="preserve"> </w:t>
      </w:r>
      <w:r w:rsidR="0069628B" w:rsidRPr="00B338E4">
        <w:rPr>
          <w:lang w:val="es-419"/>
        </w:rPr>
        <w:t>y a</w:t>
      </w:r>
      <w:r w:rsidR="007218BC" w:rsidRPr="00B338E4">
        <w:rPr>
          <w:lang w:val="es-419"/>
        </w:rPr>
        <w:t xml:space="preserve"> la población acerca del Pacto y su aplicabilidad en el derecho interno </w:t>
      </w:r>
      <w:r w:rsidR="009318A8" w:rsidRPr="00B338E4">
        <w:t xml:space="preserve">(art. 2). </w:t>
      </w:r>
    </w:p>
    <w:p w14:paraId="216AC0D3" w14:textId="3790BB8E" w:rsidR="009318A8" w:rsidRPr="00B338E4" w:rsidRDefault="00B338E4" w:rsidP="00B338E4">
      <w:pPr>
        <w:pStyle w:val="SingleTxtG"/>
      </w:pPr>
      <w:r w:rsidRPr="009318A8">
        <w:rPr>
          <w:lang w:val="es-AR" w:eastAsia="es-ES_tradnl"/>
        </w:rPr>
        <w:t>6.</w:t>
      </w:r>
      <w:r w:rsidRPr="009318A8">
        <w:rPr>
          <w:lang w:val="es-AR" w:eastAsia="es-ES_tradnl"/>
        </w:rPr>
        <w:tab/>
      </w:r>
      <w:r w:rsidR="009318A8" w:rsidRPr="00B338E4">
        <w:rPr>
          <w:b/>
          <w:bCs/>
        </w:rPr>
        <w:t xml:space="preserve">El </w:t>
      </w:r>
      <w:r w:rsidR="006059E6" w:rsidRPr="00B338E4">
        <w:rPr>
          <w:b/>
          <w:bCs/>
        </w:rPr>
        <w:t xml:space="preserve">Estado parte deber reforzar las medidas para </w:t>
      </w:r>
      <w:r w:rsidR="000660DC" w:rsidRPr="00B338E4">
        <w:rPr>
          <w:b/>
          <w:bCs/>
        </w:rPr>
        <w:t xml:space="preserve">proporcionar formación continua sobre </w:t>
      </w:r>
      <w:r w:rsidR="006059E6" w:rsidRPr="00B338E4">
        <w:rPr>
          <w:b/>
          <w:bCs/>
        </w:rPr>
        <w:t xml:space="preserve">el Pacto y su primer Protocolo Facultativo </w:t>
      </w:r>
      <w:r w:rsidR="0077650B" w:rsidRPr="00B338E4">
        <w:rPr>
          <w:b/>
          <w:bCs/>
        </w:rPr>
        <w:t>a</w:t>
      </w:r>
      <w:r w:rsidR="006059E6" w:rsidRPr="00B338E4">
        <w:rPr>
          <w:b/>
          <w:bCs/>
        </w:rPr>
        <w:t xml:space="preserve"> los jueces, fiscales y abogados, con el objeto de que los tribunales nacionales tengan en cuenta sus disposiciones y las apliquen, </w:t>
      </w:r>
      <w:r w:rsidR="000660DC" w:rsidRPr="00B338E4">
        <w:rPr>
          <w:b/>
          <w:bCs/>
        </w:rPr>
        <w:t xml:space="preserve">así como </w:t>
      </w:r>
      <w:r w:rsidR="006059E6" w:rsidRPr="00B338E4">
        <w:rPr>
          <w:b/>
          <w:bCs/>
        </w:rPr>
        <w:t>para sensibilizar a la población acerca del Pacto y su aplicabilidad en el derecho interno.</w:t>
      </w:r>
      <w:r w:rsidR="004C4B2B">
        <w:t xml:space="preserve"> </w:t>
      </w:r>
    </w:p>
    <w:p w14:paraId="51C53B4F" w14:textId="10EE4E44" w:rsidR="009318A8" w:rsidRPr="00864D47" w:rsidRDefault="004F239C" w:rsidP="004F239C">
      <w:pPr>
        <w:pStyle w:val="H23G"/>
        <w:ind w:firstLine="0"/>
        <w:rPr>
          <w:b w:val="0"/>
        </w:rPr>
      </w:pPr>
      <w:r w:rsidRPr="0069628B">
        <w:t>Institución nacional de derechos humanos</w:t>
      </w:r>
      <w:r w:rsidR="009318A8" w:rsidRPr="008656B8">
        <w:t xml:space="preserve"> </w:t>
      </w:r>
    </w:p>
    <w:p w14:paraId="16812E60" w14:textId="7F86078F" w:rsidR="009318A8" w:rsidRPr="00B338E4" w:rsidRDefault="00B338E4" w:rsidP="00B338E4">
      <w:pPr>
        <w:pStyle w:val="SingleTxtG"/>
      </w:pPr>
      <w:r>
        <w:rPr>
          <w:lang w:val="es-AR" w:eastAsia="es-ES_tradnl"/>
        </w:rPr>
        <w:t>7.</w:t>
      </w:r>
      <w:r>
        <w:rPr>
          <w:lang w:val="es-AR" w:eastAsia="es-ES_tradnl"/>
        </w:rPr>
        <w:tab/>
      </w:r>
      <w:r w:rsidR="009318A8" w:rsidRPr="00B338E4">
        <w:t xml:space="preserve">El Comité </w:t>
      </w:r>
      <w:r w:rsidR="002C0BEA" w:rsidRPr="00B338E4">
        <w:t>observa con preocupación que el Subcomité de Acreditación de la Alianza Global de las Instituciones Nacionales de Derechos Humanos recomendó, en octubre de</w:t>
      </w:r>
      <w:r w:rsidR="00C9297D">
        <w:t> </w:t>
      </w:r>
      <w:r w:rsidR="002C0BEA" w:rsidRPr="00B338E4">
        <w:t>2</w:t>
      </w:r>
      <w:r w:rsidR="003E1413" w:rsidRPr="00B338E4">
        <w:t>021</w:t>
      </w:r>
      <w:r w:rsidR="002C0BEA" w:rsidRPr="00B338E4">
        <w:t xml:space="preserve">, rebajar a la Defensoría del Pueblo a la categoría B. En particular, preocupan al Comité </w:t>
      </w:r>
      <w:r w:rsidR="003E1413" w:rsidRPr="00B338E4">
        <w:t xml:space="preserve">los informes que indican que </w:t>
      </w:r>
      <w:r w:rsidR="00C37453" w:rsidRPr="00B338E4">
        <w:t>el procedimiento</w:t>
      </w:r>
      <w:r w:rsidR="003E1413" w:rsidRPr="00B338E4">
        <w:t xml:space="preserve"> de destitución vigente</w:t>
      </w:r>
      <w:r w:rsidR="0077650B" w:rsidRPr="00B338E4">
        <w:t xml:space="preserve"> del cargo de Defensor del Pueblo</w:t>
      </w:r>
      <w:r w:rsidR="003E1413" w:rsidRPr="00B338E4">
        <w:t xml:space="preserve"> no garantiza suficientemente la independencia de esta institución; que el proce</w:t>
      </w:r>
      <w:r w:rsidR="00C37453" w:rsidRPr="00B338E4">
        <w:t xml:space="preserve">so </w:t>
      </w:r>
      <w:r w:rsidR="003E1413" w:rsidRPr="00B338E4">
        <w:t xml:space="preserve">de nombramiento del Defensor no es </w:t>
      </w:r>
      <w:r w:rsidR="00C37453" w:rsidRPr="00B338E4">
        <w:t xml:space="preserve">debidamente </w:t>
      </w:r>
      <w:r w:rsidR="003E1413" w:rsidRPr="00B338E4">
        <w:t xml:space="preserve">participativo y transparente; </w:t>
      </w:r>
      <w:r w:rsidR="00C37453" w:rsidRPr="00B338E4">
        <w:t>y</w:t>
      </w:r>
      <w:r w:rsidR="003E1413" w:rsidRPr="00B338E4">
        <w:t xml:space="preserve"> que los recursos financieros </w:t>
      </w:r>
      <w:r w:rsidR="00E27E2B" w:rsidRPr="00B338E4">
        <w:t xml:space="preserve">y humanos </w:t>
      </w:r>
      <w:r w:rsidR="003E1413" w:rsidRPr="00B338E4">
        <w:t xml:space="preserve">asignados no </w:t>
      </w:r>
      <w:r w:rsidR="00D406E6" w:rsidRPr="00B338E4">
        <w:t xml:space="preserve">son </w:t>
      </w:r>
      <w:r w:rsidR="0077650B" w:rsidRPr="00B338E4">
        <w:t xml:space="preserve">suficientemente </w:t>
      </w:r>
      <w:r w:rsidR="00C37453" w:rsidRPr="00B338E4">
        <w:t xml:space="preserve">adecuados </w:t>
      </w:r>
      <w:r w:rsidR="003E1413" w:rsidRPr="00B338E4">
        <w:t xml:space="preserve">para </w:t>
      </w:r>
      <w:r w:rsidR="00C37453" w:rsidRPr="00B338E4">
        <w:t>llevar a cabo su mandato</w:t>
      </w:r>
      <w:r w:rsidR="00A74302" w:rsidRPr="00B338E4">
        <w:t>, a pesar de los incrementos registrados en los último</w:t>
      </w:r>
      <w:r w:rsidR="003030DC" w:rsidRPr="00B338E4">
        <w:t>s</w:t>
      </w:r>
      <w:r w:rsidR="00A74302" w:rsidRPr="00B338E4">
        <w:t xml:space="preserve"> años</w:t>
      </w:r>
      <w:r w:rsidR="00D406E6" w:rsidRPr="00B338E4">
        <w:t xml:space="preserve"> </w:t>
      </w:r>
      <w:r w:rsidR="009318A8" w:rsidRPr="00B338E4">
        <w:t>(art. 2).</w:t>
      </w:r>
    </w:p>
    <w:p w14:paraId="48525C7D" w14:textId="0675ABFB" w:rsidR="008052E6" w:rsidRPr="00B338E4" w:rsidRDefault="00B338E4" w:rsidP="00B338E4">
      <w:pPr>
        <w:pStyle w:val="SingleTxtG"/>
      </w:pPr>
      <w:r w:rsidRPr="00C4444A">
        <w:rPr>
          <w:lang w:val="es-AR" w:eastAsia="es-ES_tradnl"/>
        </w:rPr>
        <w:t>8.</w:t>
      </w:r>
      <w:r w:rsidRPr="00C4444A">
        <w:rPr>
          <w:lang w:val="es-AR" w:eastAsia="es-ES_tradnl"/>
        </w:rPr>
        <w:tab/>
      </w:r>
      <w:r w:rsidR="009318A8" w:rsidRPr="00B338E4">
        <w:rPr>
          <w:b/>
          <w:bCs/>
        </w:rPr>
        <w:t>El Estado parte</w:t>
      </w:r>
      <w:r w:rsidR="00D406E6" w:rsidRPr="00B338E4">
        <w:rPr>
          <w:b/>
          <w:bCs/>
        </w:rPr>
        <w:t xml:space="preserve"> debe adoptar las medidas necesarias</w:t>
      </w:r>
      <w:r w:rsidR="008052E6" w:rsidRPr="00B338E4">
        <w:rPr>
          <w:b/>
          <w:bCs/>
        </w:rPr>
        <w:t xml:space="preserve"> </w:t>
      </w:r>
      <w:r w:rsidR="00D406E6" w:rsidRPr="00B338E4">
        <w:rPr>
          <w:b/>
          <w:bCs/>
        </w:rPr>
        <w:t xml:space="preserve">para garantizar que la Defensoría del Pueblo cumpla plenamente los </w:t>
      </w:r>
      <w:r w:rsidR="008052E6" w:rsidRPr="00B338E4">
        <w:rPr>
          <w:b/>
          <w:bCs/>
        </w:rPr>
        <w:t>principios relativos al estatuto de las instituciones nacionales de promoción y protección de los derechos humanos (Principio</w:t>
      </w:r>
      <w:r w:rsidR="0077650B" w:rsidRPr="00B338E4">
        <w:rPr>
          <w:b/>
          <w:bCs/>
        </w:rPr>
        <w:t>s</w:t>
      </w:r>
      <w:r w:rsidR="008052E6" w:rsidRPr="00B338E4">
        <w:rPr>
          <w:b/>
          <w:bCs/>
        </w:rPr>
        <w:t xml:space="preserve"> de Paris). En particular, el Estado debe revisar el procedimiento de destitución vigente </w:t>
      </w:r>
      <w:r w:rsidR="00DB2C09" w:rsidRPr="00B338E4">
        <w:rPr>
          <w:b/>
          <w:bCs/>
        </w:rPr>
        <w:t xml:space="preserve">del Defensor </w:t>
      </w:r>
      <w:r w:rsidR="008052E6" w:rsidRPr="00B338E4">
        <w:rPr>
          <w:b/>
          <w:bCs/>
        </w:rPr>
        <w:t xml:space="preserve">a fin de garantizar la independencia de la </w:t>
      </w:r>
      <w:r w:rsidR="00C7192F" w:rsidRPr="00B338E4">
        <w:rPr>
          <w:b/>
          <w:bCs/>
        </w:rPr>
        <w:t>Defensoría</w:t>
      </w:r>
      <w:r w:rsidR="008052E6" w:rsidRPr="00B338E4">
        <w:rPr>
          <w:b/>
          <w:bCs/>
        </w:rPr>
        <w:t xml:space="preserve">; asegurar que el </w:t>
      </w:r>
      <w:r w:rsidR="00C7192F" w:rsidRPr="00B338E4">
        <w:rPr>
          <w:b/>
          <w:bCs/>
        </w:rPr>
        <w:t>proceso</w:t>
      </w:r>
      <w:r w:rsidR="008052E6" w:rsidRPr="00B338E4">
        <w:rPr>
          <w:b/>
          <w:bCs/>
        </w:rPr>
        <w:t xml:space="preserve"> de nombramiento </w:t>
      </w:r>
      <w:r w:rsidR="00C7192F" w:rsidRPr="00B338E4">
        <w:rPr>
          <w:b/>
          <w:bCs/>
        </w:rPr>
        <w:t xml:space="preserve">del Defensor </w:t>
      </w:r>
      <w:r w:rsidR="008052E6" w:rsidRPr="00B338E4">
        <w:rPr>
          <w:b/>
          <w:bCs/>
        </w:rPr>
        <w:t>sea suficientemente participativo y transparente</w:t>
      </w:r>
      <w:r w:rsidR="00C7192F" w:rsidRPr="00B338E4">
        <w:rPr>
          <w:b/>
          <w:bCs/>
        </w:rPr>
        <w:t xml:space="preserve">; y proporcionar los recursos financieros </w:t>
      </w:r>
      <w:r w:rsidR="00E27E2B" w:rsidRPr="00B338E4">
        <w:rPr>
          <w:b/>
          <w:bCs/>
        </w:rPr>
        <w:t xml:space="preserve">y humanos adecuados </w:t>
      </w:r>
      <w:r w:rsidR="00C7192F" w:rsidRPr="00B338E4">
        <w:rPr>
          <w:b/>
          <w:bCs/>
        </w:rPr>
        <w:t xml:space="preserve">para que </w:t>
      </w:r>
      <w:r w:rsidR="0077650B" w:rsidRPr="00B338E4">
        <w:rPr>
          <w:b/>
          <w:bCs/>
        </w:rPr>
        <w:t xml:space="preserve">la institución </w:t>
      </w:r>
      <w:r w:rsidR="00C7192F" w:rsidRPr="00B338E4">
        <w:rPr>
          <w:b/>
          <w:bCs/>
        </w:rPr>
        <w:t>pueda desempeñar su mandato de manera efectiva.</w:t>
      </w:r>
      <w:r w:rsidR="00C7192F" w:rsidRPr="00B338E4">
        <w:t xml:space="preserve"> </w:t>
      </w:r>
    </w:p>
    <w:p w14:paraId="0DF94209" w14:textId="22D5AB3F" w:rsidR="00C4444A" w:rsidRPr="00864D47" w:rsidRDefault="00B41879" w:rsidP="00C4444A">
      <w:pPr>
        <w:pStyle w:val="H23G"/>
        <w:ind w:firstLine="0"/>
        <w:rPr>
          <w:b w:val="0"/>
        </w:rPr>
      </w:pPr>
      <w:r w:rsidRPr="0069628B">
        <w:lastRenderedPageBreak/>
        <w:t>Lucha contra la impunidad</w:t>
      </w:r>
      <w:r>
        <w:t xml:space="preserve"> y violaciones de los derechos humanos cometidas en el pasado </w:t>
      </w:r>
    </w:p>
    <w:p w14:paraId="58EEDF81" w14:textId="59DBE2FB" w:rsidR="006A1CEE" w:rsidRPr="00B338E4" w:rsidRDefault="00B338E4" w:rsidP="00B338E4">
      <w:pPr>
        <w:pStyle w:val="SingleTxtG"/>
      </w:pPr>
      <w:r>
        <w:rPr>
          <w:lang w:val="es-AR" w:eastAsia="es-ES_tradnl"/>
        </w:rPr>
        <w:t>9.</w:t>
      </w:r>
      <w:r>
        <w:rPr>
          <w:lang w:val="es-AR" w:eastAsia="es-ES_tradnl"/>
        </w:rPr>
        <w:tab/>
      </w:r>
      <w:r w:rsidR="00903646" w:rsidRPr="00B338E4">
        <w:t>El Comité</w:t>
      </w:r>
      <w:r w:rsidR="00494E13" w:rsidRPr="00B338E4">
        <w:t xml:space="preserve"> </w:t>
      </w:r>
      <w:r w:rsidR="00B41879" w:rsidRPr="00B338E4">
        <w:t>tom</w:t>
      </w:r>
      <w:r w:rsidR="00494E13" w:rsidRPr="00B338E4">
        <w:t>a</w:t>
      </w:r>
      <w:r w:rsidR="00181150" w:rsidRPr="00B338E4">
        <w:t xml:space="preserve"> nota de </w:t>
      </w:r>
      <w:r w:rsidR="00B41879" w:rsidRPr="00B338E4">
        <w:t>la información proporcionada por el Estado parte relativa a</w:t>
      </w:r>
      <w:r w:rsidR="00181150" w:rsidRPr="00B338E4">
        <w:t xml:space="preserve">l número de casos </w:t>
      </w:r>
      <w:r w:rsidR="00FC38A0" w:rsidRPr="00B338E4">
        <w:t xml:space="preserve">judicializados </w:t>
      </w:r>
      <w:r w:rsidR="00181150" w:rsidRPr="00B338E4">
        <w:t xml:space="preserve">de desaparición forzada cometidas durante la dictadura militar y </w:t>
      </w:r>
      <w:r w:rsidR="00FC38A0" w:rsidRPr="00B338E4">
        <w:t>d</w:t>
      </w:r>
      <w:r w:rsidR="00181150" w:rsidRPr="00B338E4">
        <w:t>el número de casos reabiertos correspondientes a</w:t>
      </w:r>
      <w:r w:rsidR="00B41879" w:rsidRPr="00B338E4">
        <w:t>l período conocido como la invasión del 20 de diciembre de 1989</w:t>
      </w:r>
      <w:r w:rsidR="00181150" w:rsidRPr="00B338E4">
        <w:t xml:space="preserve">. </w:t>
      </w:r>
      <w:r w:rsidR="0015292E" w:rsidRPr="00B338E4">
        <w:t xml:space="preserve">El </w:t>
      </w:r>
      <w:r w:rsidR="00494E13" w:rsidRPr="00B338E4">
        <w:t xml:space="preserve">Comité </w:t>
      </w:r>
      <w:r w:rsidR="0015292E" w:rsidRPr="00B338E4">
        <w:t xml:space="preserve">lamenta </w:t>
      </w:r>
      <w:r w:rsidR="00CE2F6A" w:rsidRPr="00B338E4">
        <w:t xml:space="preserve">la falta de información </w:t>
      </w:r>
      <w:r w:rsidR="00181150" w:rsidRPr="00B338E4">
        <w:t xml:space="preserve">suficiente </w:t>
      </w:r>
      <w:r w:rsidR="00CE2F6A" w:rsidRPr="00B338E4">
        <w:t>y precisa sobre</w:t>
      </w:r>
      <w:r w:rsidR="00181150" w:rsidRPr="00B338E4">
        <w:t xml:space="preserve"> </w:t>
      </w:r>
      <w:r w:rsidR="005E446D" w:rsidRPr="00B338E4">
        <w:t xml:space="preserve">los resultados de las investigaciones de violaciones graves de derechos humanos </w:t>
      </w:r>
      <w:r w:rsidR="00D01F81" w:rsidRPr="00B338E4">
        <w:t xml:space="preserve">cometidas </w:t>
      </w:r>
      <w:r w:rsidR="005E446D" w:rsidRPr="00B338E4">
        <w:t xml:space="preserve">en estos períodos, las </w:t>
      </w:r>
      <w:r w:rsidR="00CE2F6A" w:rsidRPr="00B338E4">
        <w:t xml:space="preserve">condenas </w:t>
      </w:r>
      <w:r w:rsidR="005E446D" w:rsidRPr="00B338E4">
        <w:t xml:space="preserve">a los responsables </w:t>
      </w:r>
      <w:r w:rsidR="00CE2F6A" w:rsidRPr="00B338E4">
        <w:t>y las reparaciones otorgadas a las víctimas y sus familiares</w:t>
      </w:r>
      <w:r w:rsidR="0015292E" w:rsidRPr="00B338E4">
        <w:t xml:space="preserve">, incluidos los casos de Heliodoro Portugal y Rita Wald </w:t>
      </w:r>
      <w:r w:rsidR="00306EDD" w:rsidRPr="00B338E4">
        <w:t>(art</w:t>
      </w:r>
      <w:r w:rsidR="006A1CEE" w:rsidRPr="00B338E4">
        <w:t>s</w:t>
      </w:r>
      <w:r w:rsidR="00306EDD" w:rsidRPr="00B338E4">
        <w:t>.</w:t>
      </w:r>
      <w:r w:rsidR="006A1CEE" w:rsidRPr="00B338E4">
        <w:t xml:space="preserve"> 2, 6 y 7</w:t>
      </w:r>
      <w:r w:rsidR="00306EDD" w:rsidRPr="00B338E4">
        <w:t>)</w:t>
      </w:r>
      <w:r w:rsidR="006A1CEE" w:rsidRPr="00B338E4">
        <w:t>.</w:t>
      </w:r>
    </w:p>
    <w:p w14:paraId="00F6F009" w14:textId="15F7DFF9" w:rsidR="00FC38A0" w:rsidRPr="00B338E4" w:rsidRDefault="00B338E4" w:rsidP="00B338E4">
      <w:pPr>
        <w:pStyle w:val="SingleTxtG"/>
        <w:rPr>
          <w:lang w:val="es-419"/>
        </w:rPr>
      </w:pPr>
      <w:r w:rsidRPr="0069628B">
        <w:rPr>
          <w:lang w:val="es-419" w:eastAsia="es-ES_tradnl"/>
        </w:rPr>
        <w:t>10.</w:t>
      </w:r>
      <w:r w:rsidRPr="0069628B">
        <w:rPr>
          <w:lang w:val="es-419" w:eastAsia="es-ES_tradnl"/>
        </w:rPr>
        <w:tab/>
      </w:r>
      <w:r w:rsidR="00F21341" w:rsidRPr="00B338E4">
        <w:rPr>
          <w:b/>
          <w:bCs/>
        </w:rPr>
        <w:t>En consonancia con las</w:t>
      </w:r>
      <w:r w:rsidR="006A1CEE" w:rsidRPr="00B338E4">
        <w:rPr>
          <w:b/>
          <w:bCs/>
        </w:rPr>
        <w:t xml:space="preserve"> recomendaciones anteriores</w:t>
      </w:r>
      <w:r w:rsidR="00F21341" w:rsidRPr="00B338E4">
        <w:rPr>
          <w:b/>
          <w:bCs/>
        </w:rPr>
        <w:t xml:space="preserve"> del Comité</w:t>
      </w:r>
      <w:r w:rsidR="006A1CEE" w:rsidRPr="001D4807">
        <w:rPr>
          <w:rStyle w:val="Refdenotaalpie"/>
        </w:rPr>
        <w:footnoteReference w:id="6"/>
      </w:r>
      <w:r w:rsidR="001D4807">
        <w:rPr>
          <w:b/>
          <w:bCs/>
        </w:rPr>
        <w:t>,</w:t>
      </w:r>
      <w:r w:rsidR="006A1CEE" w:rsidRPr="00B338E4">
        <w:rPr>
          <w:b/>
          <w:bCs/>
        </w:rPr>
        <w:t xml:space="preserve"> </w:t>
      </w:r>
      <w:r w:rsidR="007B4F38" w:rsidRPr="00B338E4">
        <w:rPr>
          <w:b/>
          <w:bCs/>
        </w:rPr>
        <w:t>y las recomendaciones formuladas en septiembre de 2021 por el Comité contra la Desaparición Forzada</w:t>
      </w:r>
      <w:r w:rsidR="007B4F38" w:rsidRPr="001D4807">
        <w:rPr>
          <w:rStyle w:val="Refdenotaalpie"/>
        </w:rPr>
        <w:footnoteReference w:id="7"/>
      </w:r>
      <w:r w:rsidR="004C4B2B">
        <w:rPr>
          <w:b/>
          <w:bCs/>
        </w:rPr>
        <w:t xml:space="preserve"> </w:t>
      </w:r>
      <w:r w:rsidR="007B4F38" w:rsidRPr="00B338E4">
        <w:rPr>
          <w:b/>
          <w:bCs/>
        </w:rPr>
        <w:t xml:space="preserve">y en agosto de 2017 </w:t>
      </w:r>
      <w:r w:rsidR="009C794D" w:rsidRPr="00B338E4">
        <w:rPr>
          <w:b/>
          <w:bCs/>
        </w:rPr>
        <w:t>por el Comité contra la Tortura</w:t>
      </w:r>
      <w:r w:rsidR="007B4F38" w:rsidRPr="001D4807">
        <w:rPr>
          <w:rStyle w:val="Refdenotaalpie"/>
        </w:rPr>
        <w:footnoteReference w:id="8"/>
      </w:r>
      <w:r w:rsidR="001D4807">
        <w:rPr>
          <w:b/>
          <w:bCs/>
        </w:rPr>
        <w:t>,</w:t>
      </w:r>
      <w:r w:rsidR="004C4B2B">
        <w:rPr>
          <w:b/>
          <w:bCs/>
        </w:rPr>
        <w:t xml:space="preserve"> </w:t>
      </w:r>
      <w:r w:rsidR="009A2F41" w:rsidRPr="00B338E4">
        <w:rPr>
          <w:b/>
          <w:bCs/>
        </w:rPr>
        <w:t xml:space="preserve">el </w:t>
      </w:r>
      <w:r w:rsidR="006A1CEE" w:rsidRPr="00B338E4">
        <w:rPr>
          <w:b/>
          <w:bCs/>
        </w:rPr>
        <w:t xml:space="preserve">Estado parte </w:t>
      </w:r>
      <w:r w:rsidR="009A2F41" w:rsidRPr="00B338E4">
        <w:rPr>
          <w:b/>
          <w:bCs/>
        </w:rPr>
        <w:t>debe</w:t>
      </w:r>
      <w:r w:rsidR="006A1CEE" w:rsidRPr="00B338E4">
        <w:rPr>
          <w:b/>
          <w:bCs/>
        </w:rPr>
        <w:t xml:space="preserve"> </w:t>
      </w:r>
      <w:r w:rsidR="00F3637C" w:rsidRPr="00B338E4">
        <w:rPr>
          <w:b/>
          <w:bCs/>
        </w:rPr>
        <w:t xml:space="preserve">redoblar esfuerzos a fin de </w:t>
      </w:r>
      <w:r w:rsidR="006A1CEE" w:rsidRPr="00B338E4">
        <w:rPr>
          <w:b/>
          <w:bCs/>
        </w:rPr>
        <w:t>asegurar que todos los casos de violaciones graves de derechos humanos ocurridas en el pasado, incluidos aquellos documentados por la Comisión de la Verdad</w:t>
      </w:r>
      <w:r w:rsidR="00501E25" w:rsidRPr="00B338E4">
        <w:rPr>
          <w:b/>
          <w:bCs/>
        </w:rPr>
        <w:t xml:space="preserve"> y por la Comisión 20 de diciembre de 1989</w:t>
      </w:r>
      <w:r w:rsidR="006A1CEE" w:rsidRPr="00B338E4">
        <w:rPr>
          <w:b/>
          <w:bCs/>
        </w:rPr>
        <w:t>, sean debidamente investigados, que los responsables sean juzgados y, en su caso, sancionados, y que las v</w:t>
      </w:r>
      <w:r w:rsidR="0046508C" w:rsidRPr="00B338E4">
        <w:rPr>
          <w:b/>
          <w:bCs/>
        </w:rPr>
        <w:t>íctimas o s</w:t>
      </w:r>
      <w:r w:rsidR="006A1CEE" w:rsidRPr="00B338E4">
        <w:rPr>
          <w:b/>
          <w:bCs/>
        </w:rPr>
        <w:t>us familiares reciban una</w:t>
      </w:r>
      <w:r w:rsidR="00D2545D" w:rsidRPr="00B338E4">
        <w:rPr>
          <w:b/>
          <w:bCs/>
        </w:rPr>
        <w:t xml:space="preserve"> indemnización</w:t>
      </w:r>
      <w:r w:rsidR="006A1CEE" w:rsidRPr="00B338E4">
        <w:rPr>
          <w:b/>
          <w:bCs/>
        </w:rPr>
        <w:t xml:space="preserve"> </w:t>
      </w:r>
      <w:r w:rsidR="00D2545D" w:rsidRPr="00B338E4">
        <w:rPr>
          <w:b/>
          <w:bCs/>
        </w:rPr>
        <w:t xml:space="preserve">y </w:t>
      </w:r>
      <w:r w:rsidR="0046508C" w:rsidRPr="00B338E4">
        <w:rPr>
          <w:b/>
          <w:bCs/>
        </w:rPr>
        <w:t>reparación integral,</w:t>
      </w:r>
      <w:r w:rsidR="00D2545D" w:rsidRPr="00B338E4">
        <w:rPr>
          <w:b/>
          <w:bCs/>
        </w:rPr>
        <w:t xml:space="preserve"> incluida una adecuada indemnización,</w:t>
      </w:r>
      <w:r w:rsidR="00DC0A3C" w:rsidRPr="00B338E4">
        <w:rPr>
          <w:b/>
          <w:bCs/>
          <w:color w:val="FF0000"/>
        </w:rPr>
        <w:t xml:space="preserve"> </w:t>
      </w:r>
      <w:r w:rsidR="0046508C" w:rsidRPr="00B338E4">
        <w:rPr>
          <w:b/>
          <w:bCs/>
        </w:rPr>
        <w:t xml:space="preserve">independientemente de cuándo </w:t>
      </w:r>
      <w:r w:rsidR="006337F4" w:rsidRPr="00B338E4">
        <w:rPr>
          <w:b/>
          <w:bCs/>
        </w:rPr>
        <w:t>se inició el reclamo de esta</w:t>
      </w:r>
      <w:r w:rsidR="009A2F41" w:rsidRPr="00B338E4">
        <w:rPr>
          <w:b/>
          <w:bCs/>
        </w:rPr>
        <w:t xml:space="preserve">; </w:t>
      </w:r>
      <w:r w:rsidR="0046508C" w:rsidRPr="00B338E4">
        <w:rPr>
          <w:b/>
          <w:bCs/>
        </w:rPr>
        <w:t>acelerar la búsqueda de las personas desaparecidas e identificación de los restos encontrados y asegurar que se proporcionen los recursos humanos, técnicos y financieros necesarios para este fin</w:t>
      </w:r>
      <w:r w:rsidR="007B4F38" w:rsidRPr="00B338E4">
        <w:rPr>
          <w:b/>
          <w:bCs/>
        </w:rPr>
        <w:t>.</w:t>
      </w:r>
    </w:p>
    <w:p w14:paraId="1EC86C8D" w14:textId="435C36BB" w:rsidR="00FC38A0" w:rsidRPr="00864D47" w:rsidRDefault="002813C9" w:rsidP="00FC38A0">
      <w:pPr>
        <w:pStyle w:val="H23G"/>
        <w:ind w:firstLine="0"/>
        <w:rPr>
          <w:b w:val="0"/>
        </w:rPr>
      </w:pPr>
      <w:r w:rsidRPr="0069628B">
        <w:t>No discriminación</w:t>
      </w:r>
    </w:p>
    <w:p w14:paraId="09F91F50" w14:textId="2E43D573" w:rsidR="00FC38A0" w:rsidRPr="00B338E4" w:rsidRDefault="00B338E4" w:rsidP="00B338E4">
      <w:pPr>
        <w:pStyle w:val="SingleTxtG"/>
      </w:pPr>
      <w:r>
        <w:rPr>
          <w:lang w:val="es-AR" w:eastAsia="es-ES_tradnl"/>
        </w:rPr>
        <w:t>11.</w:t>
      </w:r>
      <w:r>
        <w:rPr>
          <w:lang w:val="es-AR" w:eastAsia="es-ES_tradnl"/>
        </w:rPr>
        <w:tab/>
      </w:r>
      <w:r w:rsidR="00FC38A0" w:rsidRPr="00B338E4">
        <w:t xml:space="preserve">El Comité </w:t>
      </w:r>
      <w:r w:rsidR="00B4196E" w:rsidRPr="00B338E4">
        <w:t xml:space="preserve">toma nota de los esfuerzos del Estado parte en la lucha contra la discriminación. Sin embargo, le preocupa </w:t>
      </w:r>
      <w:r w:rsidR="00667D9C" w:rsidRPr="00B338E4">
        <w:t>la persistencia de la discriminación en el Estado parte contra las personas afrodescendi</w:t>
      </w:r>
      <w:r w:rsidR="00DF1691" w:rsidRPr="00B338E4">
        <w:t xml:space="preserve">entes e </w:t>
      </w:r>
      <w:r w:rsidR="00667D9C" w:rsidRPr="00B338E4">
        <w:t>indígenas, personas con discapacidad, migrantes, solicitantes de asilo y refugiados, y personas afectadas por el VIH, especialmente en las áreas de educación, salud y empleo</w:t>
      </w:r>
      <w:r w:rsidR="0090020C" w:rsidRPr="00B338E4">
        <w:t>, en el sistema de administración de justicia</w:t>
      </w:r>
      <w:r w:rsidR="00667D9C" w:rsidRPr="00B338E4">
        <w:t xml:space="preserve"> y </w:t>
      </w:r>
      <w:r w:rsidR="00116756" w:rsidRPr="00B338E4">
        <w:t xml:space="preserve">en la esfera </w:t>
      </w:r>
      <w:r w:rsidR="00667D9C" w:rsidRPr="00B338E4">
        <w:t>política. Preocupan además los informes relativos a</w:t>
      </w:r>
      <w:r w:rsidR="00DF1691" w:rsidRPr="00B338E4">
        <w:t xml:space="preserve"> los prejuicios, la</w:t>
      </w:r>
      <w:r w:rsidR="00667D9C" w:rsidRPr="00B338E4">
        <w:t xml:space="preserve"> estigmatización, discurso de odio</w:t>
      </w:r>
      <w:r w:rsidR="001D3629" w:rsidRPr="00B338E4">
        <w:t>, violencia</w:t>
      </w:r>
      <w:r w:rsidR="00667D9C" w:rsidRPr="00B338E4">
        <w:t xml:space="preserve"> y </w:t>
      </w:r>
      <w:r w:rsidR="00116756" w:rsidRPr="00B338E4">
        <w:t>xenofobia</w:t>
      </w:r>
      <w:r w:rsidR="00667D9C" w:rsidRPr="00B338E4">
        <w:t xml:space="preserve"> de la que son víctimas las personas afrodescendientes</w:t>
      </w:r>
      <w:r w:rsidR="00DF1691" w:rsidRPr="00B338E4">
        <w:t xml:space="preserve"> e indígenas, los migrantes, solicitantes de asilo y refugiados</w:t>
      </w:r>
      <w:r w:rsidR="000756E3" w:rsidRPr="00B338E4">
        <w:t xml:space="preserve">, así como </w:t>
      </w:r>
      <w:r w:rsidR="001D3629" w:rsidRPr="00B338E4">
        <w:t xml:space="preserve">a la violencia y </w:t>
      </w:r>
      <w:r w:rsidR="000756E3" w:rsidRPr="00B338E4">
        <w:t>el uso de perfiles raciales por parte de</w:t>
      </w:r>
      <w:r w:rsidR="00FA044D" w:rsidRPr="00B338E4">
        <w:t xml:space="preserve"> los agentes del orden contra personas de estas comunidades</w:t>
      </w:r>
      <w:r w:rsidR="00DF1691" w:rsidRPr="00B338E4">
        <w:t>.</w:t>
      </w:r>
      <w:r w:rsidR="00116756" w:rsidRPr="00B338E4">
        <w:t xml:space="preserve"> </w:t>
      </w:r>
      <w:r w:rsidR="00FA044D" w:rsidRPr="00B338E4">
        <w:t>Asimismo, e</w:t>
      </w:r>
      <w:r w:rsidR="00116756" w:rsidRPr="00B338E4">
        <w:t>l Comité continúa preocupado</w:t>
      </w:r>
      <w:r w:rsidR="0035772D" w:rsidRPr="00B338E4">
        <w:t xml:space="preserve"> </w:t>
      </w:r>
      <w:r w:rsidR="00116756" w:rsidRPr="00B338E4">
        <w:t>por el hecho que, según el artículo 12 de la Constitución, el Estado puede negar una solicitud de naturalización por razones de incapacidad física o mental</w:t>
      </w:r>
      <w:r w:rsidR="00A775B6" w:rsidRPr="00B338E4">
        <w:t xml:space="preserve">. </w:t>
      </w:r>
      <w:r w:rsidR="0035772D" w:rsidRPr="00B338E4">
        <w:t>E</w:t>
      </w:r>
      <w:r w:rsidR="001D3629" w:rsidRPr="00B338E4">
        <w:t>l Comité lamenta</w:t>
      </w:r>
      <w:r w:rsidR="0035772D" w:rsidRPr="00B338E4">
        <w:t xml:space="preserve"> también</w:t>
      </w:r>
      <w:r w:rsidR="001D3629" w:rsidRPr="00B338E4">
        <w:t xml:space="preserve"> la falta de información sobre las investigaciones, enjuiciamientos</w:t>
      </w:r>
      <w:r w:rsidR="008F488F" w:rsidRPr="00B338E4">
        <w:t xml:space="preserve"> y</w:t>
      </w:r>
      <w:r w:rsidR="001D3629" w:rsidRPr="00B338E4">
        <w:t xml:space="preserve"> sanciones</w:t>
      </w:r>
      <w:r w:rsidR="000B4A6D" w:rsidRPr="00B338E4">
        <w:t xml:space="preserve"> a l</w:t>
      </w:r>
      <w:r w:rsidR="008F488F" w:rsidRPr="00B338E4">
        <w:t>o</w:t>
      </w:r>
      <w:r w:rsidR="000B4A6D" w:rsidRPr="00B338E4">
        <w:t>s</w:t>
      </w:r>
      <w:r w:rsidR="008F488F" w:rsidRPr="00B338E4">
        <w:t xml:space="preserve"> responsables de actos </w:t>
      </w:r>
      <w:r w:rsidR="000B4A6D" w:rsidRPr="00B338E4">
        <w:t>de discriminación</w:t>
      </w:r>
      <w:r w:rsidR="001D3629" w:rsidRPr="00B338E4">
        <w:t xml:space="preserve"> y </w:t>
      </w:r>
      <w:r w:rsidR="008F488F" w:rsidRPr="00B338E4">
        <w:t xml:space="preserve">sobre las </w:t>
      </w:r>
      <w:r w:rsidR="001D3629" w:rsidRPr="00B338E4">
        <w:t xml:space="preserve">reparaciones </w:t>
      </w:r>
      <w:r w:rsidR="008F488F" w:rsidRPr="00B338E4">
        <w:t xml:space="preserve">otorgadas a </w:t>
      </w:r>
      <w:r w:rsidR="001D3629" w:rsidRPr="00B338E4">
        <w:t xml:space="preserve">las víctimas de </w:t>
      </w:r>
      <w:r w:rsidR="008F488F" w:rsidRPr="00B338E4">
        <w:t xml:space="preserve">dichos actos </w:t>
      </w:r>
      <w:r w:rsidR="00FC38A0" w:rsidRPr="00B338E4">
        <w:t>(arts. 2,</w:t>
      </w:r>
      <w:r w:rsidR="00667D9C" w:rsidRPr="00B338E4">
        <w:t xml:space="preserve"> 3, 2</w:t>
      </w:r>
      <w:r w:rsidR="00FC38A0" w:rsidRPr="00B338E4">
        <w:t xml:space="preserve">6 y </w:t>
      </w:r>
      <w:r w:rsidR="00667D9C" w:rsidRPr="00B338E4">
        <w:t>2</w:t>
      </w:r>
      <w:r w:rsidR="00FC38A0" w:rsidRPr="00B338E4">
        <w:t>7).</w:t>
      </w:r>
    </w:p>
    <w:p w14:paraId="049488D5" w14:textId="2AFACA3B" w:rsidR="00116756" w:rsidRPr="00B338E4" w:rsidRDefault="00B338E4" w:rsidP="00B338E4">
      <w:pPr>
        <w:pStyle w:val="SingleTxtG"/>
        <w:rPr>
          <w:b/>
          <w:bCs/>
        </w:rPr>
      </w:pPr>
      <w:r w:rsidRPr="00B338E4">
        <w:rPr>
          <w:lang w:val="es-AR" w:eastAsia="es-ES_tradnl"/>
        </w:rPr>
        <w:t>12.</w:t>
      </w:r>
      <w:r w:rsidRPr="00B338E4">
        <w:rPr>
          <w:lang w:val="es-AR" w:eastAsia="es-ES_tradnl"/>
        </w:rPr>
        <w:tab/>
      </w:r>
      <w:r w:rsidR="00FC38A0" w:rsidRPr="00B338E4">
        <w:rPr>
          <w:b/>
          <w:bCs/>
        </w:rPr>
        <w:t xml:space="preserve">El </w:t>
      </w:r>
      <w:r w:rsidR="00116756" w:rsidRPr="00B338E4">
        <w:rPr>
          <w:b/>
          <w:bCs/>
        </w:rPr>
        <w:t>Estado parte debe:</w:t>
      </w:r>
    </w:p>
    <w:p w14:paraId="718E6EC8" w14:textId="39BFAC7B" w:rsidR="0071479C" w:rsidRPr="00C9297D" w:rsidRDefault="00B338E4" w:rsidP="00B338E4">
      <w:pPr>
        <w:pStyle w:val="SingleTxtG"/>
        <w:rPr>
          <w:b/>
          <w:bCs/>
        </w:rPr>
      </w:pPr>
      <w:r w:rsidRPr="00C9297D">
        <w:rPr>
          <w:b/>
          <w:bCs/>
          <w:lang w:val="es-AR" w:eastAsia="es-ES_tradnl"/>
        </w:rPr>
        <w:tab/>
        <w:t>a)</w:t>
      </w:r>
      <w:r w:rsidRPr="00C9297D">
        <w:rPr>
          <w:b/>
          <w:bCs/>
          <w:lang w:val="es-AR" w:eastAsia="es-ES_tradnl"/>
        </w:rPr>
        <w:tab/>
      </w:r>
      <w:r w:rsidR="00B4747E" w:rsidRPr="00C9297D">
        <w:rPr>
          <w:b/>
          <w:bCs/>
        </w:rPr>
        <w:t xml:space="preserve">Redoblar sus esfuerzos </w:t>
      </w:r>
      <w:r w:rsidR="0071479C" w:rsidRPr="00C9297D">
        <w:rPr>
          <w:b/>
          <w:bCs/>
        </w:rPr>
        <w:t xml:space="preserve">para garantizar la plena protección contra la discriminación, tanto en la ley como en la práctica, contra personas afrodescendientes e indígenas, personas con discapacidad, migrantes, solicitantes de asilo y refugiados, y personas afectadas por el VIH, incluyendo a través de campañas de </w:t>
      </w:r>
      <w:r w:rsidR="00B4747E" w:rsidRPr="00C9297D">
        <w:rPr>
          <w:b/>
          <w:bCs/>
        </w:rPr>
        <w:t xml:space="preserve">educación y </w:t>
      </w:r>
      <w:r w:rsidR="0071479C" w:rsidRPr="00C9297D">
        <w:rPr>
          <w:b/>
          <w:bCs/>
        </w:rPr>
        <w:t xml:space="preserve">sensibilización </w:t>
      </w:r>
      <w:r w:rsidR="00B4747E" w:rsidRPr="00C9297D">
        <w:rPr>
          <w:b/>
          <w:bCs/>
        </w:rPr>
        <w:t>de la población</w:t>
      </w:r>
      <w:r w:rsidR="0035772D" w:rsidRPr="00C9297D">
        <w:rPr>
          <w:b/>
          <w:bCs/>
        </w:rPr>
        <w:t>,</w:t>
      </w:r>
      <w:r w:rsidR="00B4747E" w:rsidRPr="00C9297D">
        <w:rPr>
          <w:b/>
          <w:bCs/>
        </w:rPr>
        <w:t xml:space="preserve"> y la capacitación del sector público, privado y docente, para promover </w:t>
      </w:r>
      <w:r w:rsidR="0071479C" w:rsidRPr="00C9297D">
        <w:rPr>
          <w:b/>
          <w:bCs/>
        </w:rPr>
        <w:t>la tolerancia</w:t>
      </w:r>
      <w:r w:rsidR="001D3629" w:rsidRPr="00C9297D">
        <w:rPr>
          <w:b/>
          <w:bCs/>
        </w:rPr>
        <w:t xml:space="preserve"> y el respeto a la diversidad</w:t>
      </w:r>
      <w:r w:rsidR="0071479C" w:rsidRPr="00C9297D">
        <w:rPr>
          <w:b/>
          <w:bCs/>
        </w:rPr>
        <w:t>;</w:t>
      </w:r>
    </w:p>
    <w:p w14:paraId="3ED3DCD0" w14:textId="0948B744" w:rsidR="00157324" w:rsidRPr="00C9297D" w:rsidRDefault="00B338E4" w:rsidP="00B338E4">
      <w:pPr>
        <w:pStyle w:val="SingleTxtG"/>
        <w:rPr>
          <w:b/>
          <w:bCs/>
        </w:rPr>
      </w:pPr>
      <w:r w:rsidRPr="00C9297D">
        <w:rPr>
          <w:b/>
          <w:bCs/>
          <w:lang w:val="es-AR" w:eastAsia="es-ES_tradnl"/>
        </w:rPr>
        <w:tab/>
        <w:t>b)</w:t>
      </w:r>
      <w:r w:rsidRPr="00C9297D">
        <w:rPr>
          <w:b/>
          <w:bCs/>
          <w:lang w:val="es-AR" w:eastAsia="es-ES_tradnl"/>
        </w:rPr>
        <w:tab/>
      </w:r>
      <w:r w:rsidR="0071479C" w:rsidRPr="00C9297D">
        <w:rPr>
          <w:b/>
          <w:bCs/>
        </w:rPr>
        <w:t xml:space="preserve">Tomar medidas para asegurar la </w:t>
      </w:r>
      <w:r w:rsidR="00157324" w:rsidRPr="00C9297D">
        <w:rPr>
          <w:b/>
          <w:bCs/>
        </w:rPr>
        <w:t>participación plena en la vida política de los miembros de grupos minoritarios, incluyen</w:t>
      </w:r>
      <w:r w:rsidR="0070423F" w:rsidRPr="00C9297D">
        <w:rPr>
          <w:b/>
          <w:bCs/>
        </w:rPr>
        <w:t xml:space="preserve">do personas afrodescendientes, </w:t>
      </w:r>
      <w:r w:rsidR="00157324" w:rsidRPr="00C9297D">
        <w:rPr>
          <w:b/>
          <w:bCs/>
        </w:rPr>
        <w:t>pueblos indígenas</w:t>
      </w:r>
      <w:r w:rsidR="0070423F" w:rsidRPr="00C9297D">
        <w:rPr>
          <w:b/>
          <w:bCs/>
        </w:rPr>
        <w:t xml:space="preserve"> y personas con discapacidad</w:t>
      </w:r>
      <w:r w:rsidR="00157324" w:rsidRPr="00C9297D">
        <w:rPr>
          <w:b/>
          <w:bCs/>
        </w:rPr>
        <w:t>;</w:t>
      </w:r>
    </w:p>
    <w:p w14:paraId="795FA46A" w14:textId="45AB513E" w:rsidR="00157324" w:rsidRPr="00B338E4" w:rsidRDefault="00B338E4" w:rsidP="00B338E4">
      <w:pPr>
        <w:pStyle w:val="SingleTxtG"/>
        <w:rPr>
          <w:b/>
          <w:bCs/>
        </w:rPr>
      </w:pPr>
      <w:r w:rsidRPr="00C9297D">
        <w:rPr>
          <w:b/>
          <w:bCs/>
          <w:lang w:val="es-AR" w:eastAsia="es-ES_tradnl"/>
        </w:rPr>
        <w:tab/>
        <w:t>c)</w:t>
      </w:r>
      <w:r w:rsidRPr="00C9297D">
        <w:rPr>
          <w:b/>
          <w:bCs/>
          <w:lang w:val="es-AR" w:eastAsia="es-ES_tradnl"/>
        </w:rPr>
        <w:tab/>
      </w:r>
      <w:r w:rsidR="00157324" w:rsidRPr="00C9297D">
        <w:rPr>
          <w:b/>
          <w:bCs/>
        </w:rPr>
        <w:t>Prohibir de manera expresa el uso de perfiles raciales por parte de los agentes del</w:t>
      </w:r>
      <w:r w:rsidR="00157324" w:rsidRPr="00B338E4">
        <w:rPr>
          <w:b/>
          <w:bCs/>
        </w:rPr>
        <w:t xml:space="preserve"> orden;</w:t>
      </w:r>
    </w:p>
    <w:p w14:paraId="122539E9" w14:textId="58589170" w:rsidR="000B0167" w:rsidRPr="00C9297D" w:rsidRDefault="00B338E4" w:rsidP="00B338E4">
      <w:pPr>
        <w:pStyle w:val="SingleTxtG"/>
        <w:rPr>
          <w:b/>
          <w:bCs/>
        </w:rPr>
      </w:pPr>
      <w:r w:rsidRPr="00C9297D">
        <w:rPr>
          <w:b/>
          <w:bCs/>
          <w:lang w:val="es-AR" w:eastAsia="es-ES_tradnl"/>
        </w:rPr>
        <w:lastRenderedPageBreak/>
        <w:tab/>
        <w:t>d)</w:t>
      </w:r>
      <w:r w:rsidRPr="00C9297D">
        <w:rPr>
          <w:b/>
          <w:bCs/>
          <w:lang w:val="es-AR" w:eastAsia="es-ES_tradnl"/>
        </w:rPr>
        <w:tab/>
      </w:r>
      <w:r w:rsidR="000B0167" w:rsidRPr="00C9297D">
        <w:rPr>
          <w:b/>
          <w:bCs/>
        </w:rPr>
        <w:t>Adoptar las medidas necesarias para eliminar la disposición</w:t>
      </w:r>
      <w:r w:rsidR="00C7292B" w:rsidRPr="00C9297D">
        <w:rPr>
          <w:b/>
          <w:bCs/>
        </w:rPr>
        <w:t xml:space="preserve"> di</w:t>
      </w:r>
      <w:r w:rsidR="000B0167" w:rsidRPr="00C9297D">
        <w:rPr>
          <w:b/>
          <w:bCs/>
        </w:rPr>
        <w:t>scriminatoria del artículo 12</w:t>
      </w:r>
      <w:r w:rsidR="00C94BE0" w:rsidRPr="00C9297D">
        <w:rPr>
          <w:b/>
          <w:bCs/>
        </w:rPr>
        <w:t xml:space="preserve"> de la Constitución;</w:t>
      </w:r>
      <w:r w:rsidR="000B0167" w:rsidRPr="00C9297D">
        <w:rPr>
          <w:b/>
          <w:bCs/>
        </w:rPr>
        <w:t xml:space="preserve"> </w:t>
      </w:r>
    </w:p>
    <w:p w14:paraId="76E22599" w14:textId="52E30EE2" w:rsidR="00116756" w:rsidRPr="00B338E4" w:rsidRDefault="00B338E4" w:rsidP="00B338E4">
      <w:pPr>
        <w:pStyle w:val="SingleTxtG"/>
        <w:rPr>
          <w:b/>
          <w:bCs/>
        </w:rPr>
      </w:pPr>
      <w:r w:rsidRPr="00C9297D">
        <w:rPr>
          <w:b/>
          <w:bCs/>
          <w:lang w:val="es-AR" w:eastAsia="es-ES_tradnl"/>
        </w:rPr>
        <w:tab/>
        <w:t>e)</w:t>
      </w:r>
      <w:r w:rsidRPr="00B338E4">
        <w:rPr>
          <w:b/>
          <w:bCs/>
          <w:lang w:val="es-AR" w:eastAsia="es-ES_tradnl"/>
        </w:rPr>
        <w:tab/>
      </w:r>
      <w:r w:rsidR="00157324" w:rsidRPr="00B338E4">
        <w:rPr>
          <w:b/>
          <w:bCs/>
        </w:rPr>
        <w:t>Asegurar que los casos de discriminación y violencia cometidos por particulares o agentes del Estado sean sistemáticamente investigados, que los responsables sean sancionados con penas adecuadas, y que las víctimas obtengan una reparación integral.</w:t>
      </w:r>
      <w:r w:rsidR="004C4B2B">
        <w:rPr>
          <w:b/>
          <w:bCs/>
        </w:rPr>
        <w:t xml:space="preserve"> </w:t>
      </w:r>
    </w:p>
    <w:p w14:paraId="37A5B286" w14:textId="53DCFF5F" w:rsidR="00FC38A0" w:rsidRPr="00864D47" w:rsidRDefault="0021063F" w:rsidP="00FC38A0">
      <w:pPr>
        <w:pStyle w:val="H23G"/>
        <w:ind w:firstLine="0"/>
        <w:rPr>
          <w:b w:val="0"/>
        </w:rPr>
      </w:pPr>
      <w:r w:rsidRPr="0069628B">
        <w:t xml:space="preserve">Discriminación y violencia por motivos de orientación sexual e identidad </w:t>
      </w:r>
      <w:r w:rsidR="00C9297D">
        <w:br/>
      </w:r>
      <w:r w:rsidRPr="0069628B">
        <w:t>de género</w:t>
      </w:r>
      <w:r w:rsidR="00FC38A0">
        <w:t xml:space="preserve"> </w:t>
      </w:r>
    </w:p>
    <w:p w14:paraId="2E2FE981" w14:textId="6440594B" w:rsidR="00FC38A0" w:rsidRPr="00B338E4" w:rsidRDefault="00B338E4" w:rsidP="00B338E4">
      <w:pPr>
        <w:pStyle w:val="SingleTxtG"/>
      </w:pPr>
      <w:r>
        <w:rPr>
          <w:lang w:eastAsia="es-ES_tradnl"/>
        </w:rPr>
        <w:t>13.</w:t>
      </w:r>
      <w:r>
        <w:rPr>
          <w:lang w:eastAsia="es-ES_tradnl"/>
        </w:rPr>
        <w:tab/>
      </w:r>
      <w:r w:rsidR="0021063F" w:rsidRPr="00B338E4">
        <w:t xml:space="preserve">Al Comité le preocupa que el marco </w:t>
      </w:r>
      <w:r w:rsidR="00E34EA4" w:rsidRPr="00B338E4">
        <w:t xml:space="preserve">jurídico </w:t>
      </w:r>
      <w:r w:rsidR="0021063F" w:rsidRPr="00B338E4">
        <w:t>nacional de lucha contra la discriminación no incluya la orientación sexual e identidad de género entre los motivos de discriminación</w:t>
      </w:r>
      <w:r w:rsidR="000A1F43" w:rsidRPr="00B338E4">
        <w:t xml:space="preserve"> y que los reglamentos de la policía y de los bomberos consideren como faltas graves </w:t>
      </w:r>
      <w:r w:rsidR="00CF3F9E" w:rsidRPr="00B338E4">
        <w:t>practicar “el lesbianismo” y “el homosexualismo”</w:t>
      </w:r>
      <w:r w:rsidR="0021063F" w:rsidRPr="00B338E4">
        <w:t>. Observa con preocupación que las parejas del mismo sexo no pueden vincularse mediante ninguna clase de unión legalmente reconocida ni adoptar niños, y que</w:t>
      </w:r>
      <w:r w:rsidR="00D2545D" w:rsidRPr="00B338E4">
        <w:t xml:space="preserve"> aquellas</w:t>
      </w:r>
      <w:r w:rsidR="003E514E" w:rsidRPr="00B338E4">
        <w:rPr>
          <w:color w:val="FF0000"/>
        </w:rPr>
        <w:t xml:space="preserve"> </w:t>
      </w:r>
      <w:r w:rsidR="0021063F" w:rsidRPr="00B338E4">
        <w:t xml:space="preserve">que han contraído matrimonio en el extranjero no </w:t>
      </w:r>
      <w:r w:rsidR="00136EA1" w:rsidRPr="00B338E4">
        <w:t>tienen</w:t>
      </w:r>
      <w:r w:rsidR="006517B8" w:rsidRPr="00B338E4">
        <w:t xml:space="preserve"> acceso al registro civil, situación</w:t>
      </w:r>
      <w:r w:rsidR="00AF10DA" w:rsidRPr="00B338E4">
        <w:t xml:space="preserve"> que </w:t>
      </w:r>
      <w:r w:rsidR="00136EA1" w:rsidRPr="00B338E4">
        <w:t xml:space="preserve">se </w:t>
      </w:r>
      <w:r w:rsidR="00AF10DA" w:rsidRPr="00B338E4">
        <w:t>mantiene</w:t>
      </w:r>
      <w:r w:rsidR="00CF3F9E" w:rsidRPr="00B338E4">
        <w:t xml:space="preserve"> </w:t>
      </w:r>
      <w:r w:rsidR="00136EA1" w:rsidRPr="00B338E4">
        <w:t xml:space="preserve">con </w:t>
      </w:r>
      <w:r w:rsidR="006517B8" w:rsidRPr="00B338E4">
        <w:t>el fallo</w:t>
      </w:r>
      <w:r w:rsidR="00AF10DA" w:rsidRPr="00B338E4">
        <w:t xml:space="preserve"> </w:t>
      </w:r>
      <w:r w:rsidR="006517B8" w:rsidRPr="00B338E4">
        <w:t>d</w:t>
      </w:r>
      <w:r w:rsidR="00AF10DA" w:rsidRPr="00B338E4">
        <w:t>el pleno de la Corte Suprema de Justica</w:t>
      </w:r>
      <w:r w:rsidR="00B43352" w:rsidRPr="00B338E4">
        <w:t xml:space="preserve"> de </w:t>
      </w:r>
      <w:r w:rsidR="006517B8" w:rsidRPr="00B338E4">
        <w:t xml:space="preserve">16 de febrero de 2023, </w:t>
      </w:r>
      <w:r w:rsidR="00AF10DA" w:rsidRPr="00B338E4">
        <w:t>de acuerdo a la declaración emitida el 1 de marzo de 2023.</w:t>
      </w:r>
      <w:r w:rsidR="00CF3F9E" w:rsidRPr="00B338E4">
        <w:t xml:space="preserve"> </w:t>
      </w:r>
      <w:r w:rsidR="00136EA1" w:rsidRPr="00B338E4">
        <w:t>Asimismo, p</w:t>
      </w:r>
      <w:r w:rsidR="0021063F" w:rsidRPr="00B338E4">
        <w:t>reocupan al Comité</w:t>
      </w:r>
      <w:r w:rsidR="00B43352" w:rsidRPr="00B338E4">
        <w:t xml:space="preserve"> </w:t>
      </w:r>
      <w:r w:rsidR="00136EA1" w:rsidRPr="00B338E4">
        <w:t xml:space="preserve">que se necesite una </w:t>
      </w:r>
      <w:r w:rsidR="00136EA1" w:rsidRPr="00B338E4">
        <w:rPr>
          <w:color w:val="000000"/>
          <w:lang w:eastAsia="zh-CN"/>
        </w:rPr>
        <w:t>cirugía de reasignación de sexo y una revisión forense</w:t>
      </w:r>
      <w:r w:rsidR="00B43352" w:rsidRPr="00B338E4">
        <w:t xml:space="preserve"> para </w:t>
      </w:r>
      <w:r w:rsidR="00136EA1" w:rsidRPr="00B338E4">
        <w:t xml:space="preserve">poder obtener </w:t>
      </w:r>
      <w:r w:rsidR="00B43352" w:rsidRPr="00B338E4">
        <w:t>el reconocimiento legal del cambio de género.</w:t>
      </w:r>
      <w:r w:rsidR="0069628B" w:rsidRPr="00B338E4">
        <w:t xml:space="preserve"> </w:t>
      </w:r>
      <w:r w:rsidR="00A024B0" w:rsidRPr="00B338E4">
        <w:t xml:space="preserve">Al Comité le preocupa también la información </w:t>
      </w:r>
      <w:r w:rsidR="0051096D" w:rsidRPr="00B338E4">
        <w:t xml:space="preserve">según la cual se practicarían </w:t>
      </w:r>
      <w:r w:rsidR="006431C2" w:rsidRPr="00B338E4">
        <w:t>en el Estado parte</w:t>
      </w:r>
      <w:r w:rsidR="00A024B0" w:rsidRPr="00B338E4">
        <w:t xml:space="preserve"> “terapias de conversión”</w:t>
      </w:r>
      <w:r w:rsidR="006431C2" w:rsidRPr="00B338E4">
        <w:t xml:space="preserve"> sobre personas lesbianas, gais, bisexuales, transgénero e intersexuales</w:t>
      </w:r>
      <w:r w:rsidR="00A024B0" w:rsidRPr="00B338E4">
        <w:t>.</w:t>
      </w:r>
      <w:r w:rsidR="004406BF" w:rsidRPr="00B338E4">
        <w:t xml:space="preserve"> </w:t>
      </w:r>
      <w:r w:rsidR="00A024B0" w:rsidRPr="00B338E4">
        <w:t xml:space="preserve">Le preocupa, asimismo, </w:t>
      </w:r>
      <w:r w:rsidR="006431C2" w:rsidRPr="00B338E4">
        <w:t>los informes de discriminación, violencia, agresiones y discursos de odio</w:t>
      </w:r>
      <w:r w:rsidR="00474C88" w:rsidRPr="00B338E4">
        <w:t xml:space="preserve"> motivados por la orientación sexual o iden</w:t>
      </w:r>
      <w:r w:rsidR="0051096D" w:rsidRPr="00B338E4">
        <w:t>tidad de género de las víctimas</w:t>
      </w:r>
      <w:r w:rsidR="009A74CC" w:rsidRPr="00B338E4">
        <w:t>. El Comité nota también los llamados de la Comisión Interamericana de Derechos Humanos al Estado parte a garantizar los derechos de las personas lesbianas, gais, bisexuales, transgénero e intersexuales en un marco de igualdad y no discriminación, y acorde con los estándares interamericanos, incluyendo la Opinión Consultiva OC-24/7 de la Corte Interamericana de Derechos Humanos de 24 de noviembre de 2017</w:t>
      </w:r>
      <w:r w:rsidR="0051096D" w:rsidRPr="00B338E4">
        <w:t xml:space="preserve"> </w:t>
      </w:r>
      <w:r w:rsidR="00474C88" w:rsidRPr="00B338E4">
        <w:t xml:space="preserve">(arts. 2, </w:t>
      </w:r>
      <w:r w:rsidR="0012404B" w:rsidRPr="00B338E4">
        <w:t xml:space="preserve">3, </w:t>
      </w:r>
      <w:r w:rsidR="00474C88" w:rsidRPr="00B338E4">
        <w:t>7, 17,</w:t>
      </w:r>
      <w:r w:rsidR="0012404B" w:rsidRPr="00B338E4">
        <w:t xml:space="preserve"> 23,</w:t>
      </w:r>
      <w:r w:rsidR="00474C88" w:rsidRPr="00B338E4">
        <w:t xml:space="preserve"> 24 y 26)</w:t>
      </w:r>
      <w:r w:rsidR="00EE494A" w:rsidRPr="00B338E4">
        <w:t>.</w:t>
      </w:r>
      <w:r w:rsidR="004C4B2B">
        <w:t xml:space="preserve"> </w:t>
      </w:r>
    </w:p>
    <w:p w14:paraId="5B1037A6" w14:textId="1284E73C" w:rsidR="00474C88" w:rsidRPr="00B338E4" w:rsidRDefault="00B338E4" w:rsidP="00B338E4">
      <w:pPr>
        <w:pStyle w:val="SingleTxtG"/>
        <w:rPr>
          <w:b/>
          <w:bCs/>
        </w:rPr>
      </w:pPr>
      <w:r w:rsidRPr="00B338E4">
        <w:rPr>
          <w:lang w:val="es-AR" w:eastAsia="es-ES_tradnl"/>
        </w:rPr>
        <w:t>14.</w:t>
      </w:r>
      <w:r w:rsidRPr="00B338E4">
        <w:rPr>
          <w:lang w:val="es-AR" w:eastAsia="es-ES_tradnl"/>
        </w:rPr>
        <w:tab/>
      </w:r>
      <w:r w:rsidR="00474C88" w:rsidRPr="00B338E4">
        <w:rPr>
          <w:b/>
          <w:bCs/>
        </w:rPr>
        <w:t>El Estado parte debe</w:t>
      </w:r>
      <w:r w:rsidR="0087144B" w:rsidRPr="00B338E4">
        <w:rPr>
          <w:b/>
          <w:bCs/>
        </w:rPr>
        <w:t xml:space="preserve"> redoblar sus esfuerzos </w:t>
      </w:r>
      <w:r w:rsidR="004759A8" w:rsidRPr="00B338E4">
        <w:rPr>
          <w:b/>
          <w:bCs/>
        </w:rPr>
        <w:t xml:space="preserve">para combatir </w:t>
      </w:r>
      <w:r w:rsidR="00C2692A" w:rsidRPr="00B338E4">
        <w:rPr>
          <w:b/>
          <w:bCs/>
        </w:rPr>
        <w:t xml:space="preserve">la discriminación, </w:t>
      </w:r>
      <w:r w:rsidR="004759A8" w:rsidRPr="00B338E4">
        <w:rPr>
          <w:b/>
          <w:bCs/>
        </w:rPr>
        <w:t>los estereotipos y</w:t>
      </w:r>
      <w:r w:rsidR="0087144B" w:rsidRPr="00B338E4">
        <w:rPr>
          <w:b/>
          <w:bCs/>
        </w:rPr>
        <w:t xml:space="preserve"> </w:t>
      </w:r>
      <w:r w:rsidR="00C2692A" w:rsidRPr="00B338E4">
        <w:rPr>
          <w:b/>
          <w:bCs/>
        </w:rPr>
        <w:t xml:space="preserve">los </w:t>
      </w:r>
      <w:r w:rsidR="0087144B" w:rsidRPr="00B338E4">
        <w:rPr>
          <w:b/>
          <w:bCs/>
        </w:rPr>
        <w:t>prejuicios contra las personas lesbianas, gais, bisexuales, transgénero e intersexuales</w:t>
      </w:r>
      <w:r w:rsidR="004E031A" w:rsidRPr="00B338E4">
        <w:rPr>
          <w:b/>
          <w:bCs/>
        </w:rPr>
        <w:t xml:space="preserve">. </w:t>
      </w:r>
      <w:r w:rsidR="00C2692A" w:rsidRPr="00B338E4">
        <w:rPr>
          <w:b/>
          <w:bCs/>
        </w:rPr>
        <w:t xml:space="preserve">A este respecto, el </w:t>
      </w:r>
      <w:r w:rsidR="000528E3" w:rsidRPr="00B338E4">
        <w:rPr>
          <w:b/>
          <w:bCs/>
        </w:rPr>
        <w:t xml:space="preserve">Comité invita al </w:t>
      </w:r>
      <w:r w:rsidR="00C2692A" w:rsidRPr="00B338E4">
        <w:rPr>
          <w:b/>
          <w:bCs/>
        </w:rPr>
        <w:t>Estado parte</w:t>
      </w:r>
      <w:r w:rsidR="000528E3" w:rsidRPr="00B338E4">
        <w:rPr>
          <w:b/>
          <w:bCs/>
        </w:rPr>
        <w:t xml:space="preserve"> a considerar</w:t>
      </w:r>
      <w:r w:rsidR="00C2692A" w:rsidRPr="00B338E4">
        <w:rPr>
          <w:b/>
          <w:bCs/>
        </w:rPr>
        <w:t xml:space="preserve"> </w:t>
      </w:r>
      <w:r w:rsidR="004759A8" w:rsidRPr="00B338E4">
        <w:rPr>
          <w:b/>
          <w:bCs/>
        </w:rPr>
        <w:t>la Opinión Consultiva OC-24/17 de la Corte Interamericana de Derechos Humanos</w:t>
      </w:r>
      <w:r w:rsidR="004E031A" w:rsidRPr="00B338E4">
        <w:rPr>
          <w:b/>
          <w:bCs/>
        </w:rPr>
        <w:t xml:space="preserve"> de 24 de noviembre de 2017</w:t>
      </w:r>
      <w:r w:rsidR="00E610FE" w:rsidRPr="00B338E4">
        <w:rPr>
          <w:b/>
          <w:bCs/>
        </w:rPr>
        <w:t>. Asimismo</w:t>
      </w:r>
      <w:r w:rsidR="00182F63" w:rsidRPr="00B338E4">
        <w:rPr>
          <w:b/>
          <w:bCs/>
        </w:rPr>
        <w:t>,</w:t>
      </w:r>
      <w:r w:rsidR="00E610FE" w:rsidRPr="00B338E4">
        <w:rPr>
          <w:b/>
          <w:bCs/>
        </w:rPr>
        <w:t xml:space="preserve"> el Estado parte</w:t>
      </w:r>
      <w:r w:rsidR="0087144B" w:rsidRPr="00B338E4">
        <w:rPr>
          <w:b/>
          <w:bCs/>
        </w:rPr>
        <w:t xml:space="preserve"> debe</w:t>
      </w:r>
      <w:r w:rsidR="00474C88" w:rsidRPr="00B338E4">
        <w:rPr>
          <w:b/>
          <w:bCs/>
        </w:rPr>
        <w:t>:</w:t>
      </w:r>
    </w:p>
    <w:p w14:paraId="17F5F497" w14:textId="1A4D4EB1" w:rsidR="00A43970" w:rsidRPr="00C9297D" w:rsidRDefault="00B338E4" w:rsidP="00B338E4">
      <w:pPr>
        <w:pStyle w:val="SingleTxtG"/>
        <w:rPr>
          <w:b/>
          <w:bCs/>
        </w:rPr>
      </w:pPr>
      <w:r w:rsidRPr="00C9297D">
        <w:rPr>
          <w:b/>
          <w:bCs/>
          <w:lang w:val="es-AR" w:eastAsia="es-ES_tradnl"/>
        </w:rPr>
        <w:tab/>
        <w:t>a)</w:t>
      </w:r>
      <w:r w:rsidRPr="00C9297D">
        <w:rPr>
          <w:b/>
          <w:bCs/>
          <w:lang w:val="es-AR" w:eastAsia="es-ES_tradnl"/>
        </w:rPr>
        <w:tab/>
      </w:r>
      <w:r w:rsidR="00367C3F" w:rsidRPr="00C9297D">
        <w:rPr>
          <w:b/>
          <w:bCs/>
        </w:rPr>
        <w:t xml:space="preserve">Adoptar legislación que prohíba </w:t>
      </w:r>
      <w:r w:rsidR="0087144B" w:rsidRPr="00C9297D">
        <w:rPr>
          <w:b/>
          <w:bCs/>
        </w:rPr>
        <w:t xml:space="preserve">la discriminación </w:t>
      </w:r>
      <w:r w:rsidR="00367C3F" w:rsidRPr="00C9297D">
        <w:rPr>
          <w:b/>
          <w:bCs/>
        </w:rPr>
        <w:t>por</w:t>
      </w:r>
      <w:r w:rsidR="0087144B" w:rsidRPr="00C9297D">
        <w:rPr>
          <w:b/>
          <w:bCs/>
        </w:rPr>
        <w:t xml:space="preserve"> orientaci</w:t>
      </w:r>
      <w:r w:rsidR="00367C3F" w:rsidRPr="00C9297D">
        <w:rPr>
          <w:b/>
          <w:bCs/>
        </w:rPr>
        <w:t>ón sexual o</w:t>
      </w:r>
      <w:r w:rsidR="0087144B" w:rsidRPr="00C9297D">
        <w:rPr>
          <w:b/>
          <w:bCs/>
        </w:rPr>
        <w:t xml:space="preserve"> identidad de género;</w:t>
      </w:r>
      <w:r w:rsidR="00367C3F" w:rsidRPr="00C9297D">
        <w:rPr>
          <w:b/>
          <w:bCs/>
        </w:rPr>
        <w:t xml:space="preserve"> </w:t>
      </w:r>
    </w:p>
    <w:p w14:paraId="00A6D655" w14:textId="22D0A954" w:rsidR="00F34E7F" w:rsidRPr="00C9297D" w:rsidRDefault="00B338E4" w:rsidP="00B338E4">
      <w:pPr>
        <w:pStyle w:val="SingleTxtG"/>
        <w:rPr>
          <w:b/>
          <w:bCs/>
        </w:rPr>
      </w:pPr>
      <w:r w:rsidRPr="00C9297D">
        <w:rPr>
          <w:b/>
          <w:bCs/>
          <w:lang w:val="es-AR" w:eastAsia="es-ES_tradnl"/>
        </w:rPr>
        <w:tab/>
        <w:t>b)</w:t>
      </w:r>
      <w:r w:rsidRPr="00C9297D">
        <w:rPr>
          <w:b/>
          <w:bCs/>
          <w:lang w:val="es-AR" w:eastAsia="es-ES_tradnl"/>
        </w:rPr>
        <w:tab/>
      </w:r>
      <w:r w:rsidR="006B07DF" w:rsidRPr="00C9297D">
        <w:rPr>
          <w:b/>
          <w:bCs/>
        </w:rPr>
        <w:t>Derogar el artículo 133, incisos 11 y 12, del reglamento de disciplina de la Policía Nacional, y el artículo 156, incisos 16 y 17, del reglamento general del benemérito cuerpo de bomberos;</w:t>
      </w:r>
    </w:p>
    <w:p w14:paraId="1415AFBB" w14:textId="39FCCADE" w:rsidR="00A43970" w:rsidRPr="00C9297D" w:rsidRDefault="00B338E4" w:rsidP="00B338E4">
      <w:pPr>
        <w:pStyle w:val="SingleTxtG"/>
        <w:rPr>
          <w:b/>
          <w:bCs/>
        </w:rPr>
      </w:pPr>
      <w:r w:rsidRPr="00C9297D">
        <w:rPr>
          <w:b/>
          <w:bCs/>
          <w:lang w:val="es-AR" w:eastAsia="es-ES_tradnl"/>
        </w:rPr>
        <w:tab/>
        <w:t>c)</w:t>
      </w:r>
      <w:r w:rsidRPr="00C9297D">
        <w:rPr>
          <w:b/>
          <w:bCs/>
          <w:lang w:val="es-AR" w:eastAsia="es-ES_tradnl"/>
        </w:rPr>
        <w:tab/>
      </w:r>
      <w:r w:rsidR="00812FF5" w:rsidRPr="00C9297D">
        <w:rPr>
          <w:b/>
          <w:bCs/>
        </w:rPr>
        <w:t xml:space="preserve">Revisar la legislación pertinente con miras a reconocer plenamente la igualdad de las parejas del mismo </w:t>
      </w:r>
      <w:r w:rsidR="00440145" w:rsidRPr="00C9297D">
        <w:rPr>
          <w:b/>
          <w:bCs/>
        </w:rPr>
        <w:t xml:space="preserve">sexo </w:t>
      </w:r>
      <w:r w:rsidR="00812FF5" w:rsidRPr="00C9297D">
        <w:rPr>
          <w:b/>
          <w:bCs/>
        </w:rPr>
        <w:t xml:space="preserve">y a garantizarles </w:t>
      </w:r>
      <w:r w:rsidR="00A43970" w:rsidRPr="00C9297D">
        <w:rPr>
          <w:b/>
          <w:bCs/>
        </w:rPr>
        <w:t>los derechos reconocidos en el P</w:t>
      </w:r>
      <w:r w:rsidR="00812FF5" w:rsidRPr="00C9297D">
        <w:rPr>
          <w:b/>
          <w:bCs/>
        </w:rPr>
        <w:t>acto</w:t>
      </w:r>
      <w:r w:rsidR="00D81A5E" w:rsidRPr="00C9297D">
        <w:rPr>
          <w:b/>
          <w:bCs/>
        </w:rPr>
        <w:t>;</w:t>
      </w:r>
      <w:r w:rsidR="006E222B" w:rsidRPr="00C9297D">
        <w:rPr>
          <w:b/>
          <w:bCs/>
        </w:rPr>
        <w:t xml:space="preserve"> </w:t>
      </w:r>
    </w:p>
    <w:p w14:paraId="26B89B2D" w14:textId="31FF67D6" w:rsidR="00A43970" w:rsidRPr="00C9297D" w:rsidRDefault="00B338E4" w:rsidP="00B338E4">
      <w:pPr>
        <w:pStyle w:val="SingleTxtG"/>
        <w:rPr>
          <w:b/>
          <w:bCs/>
        </w:rPr>
      </w:pPr>
      <w:r w:rsidRPr="00C9297D">
        <w:rPr>
          <w:b/>
          <w:bCs/>
          <w:lang w:val="es-AR" w:eastAsia="es-ES_tradnl"/>
        </w:rPr>
        <w:tab/>
        <w:t>d)</w:t>
      </w:r>
      <w:r w:rsidRPr="00C9297D">
        <w:rPr>
          <w:b/>
          <w:bCs/>
          <w:lang w:val="es-AR" w:eastAsia="es-ES_tradnl"/>
        </w:rPr>
        <w:tab/>
      </w:r>
      <w:r w:rsidR="007C6A4C" w:rsidRPr="00C9297D">
        <w:rPr>
          <w:b/>
          <w:bCs/>
        </w:rPr>
        <w:t>Adoptar una ley específica relativa al reconocimiento legal del cambio de género</w:t>
      </w:r>
      <w:r w:rsidR="00440145" w:rsidRPr="00C9297D">
        <w:rPr>
          <w:b/>
          <w:bCs/>
        </w:rPr>
        <w:t xml:space="preserve">, </w:t>
      </w:r>
      <w:r w:rsidR="007C6A4C" w:rsidRPr="00C9297D">
        <w:rPr>
          <w:b/>
          <w:bCs/>
        </w:rPr>
        <w:t>e</w:t>
      </w:r>
      <w:r w:rsidR="006E222B" w:rsidRPr="00C9297D">
        <w:rPr>
          <w:b/>
          <w:bCs/>
        </w:rPr>
        <w:t xml:space="preserve">liminar </w:t>
      </w:r>
      <w:r w:rsidR="00733669" w:rsidRPr="00C9297D">
        <w:rPr>
          <w:b/>
          <w:bCs/>
        </w:rPr>
        <w:t xml:space="preserve">los requisitos injustificados para </w:t>
      </w:r>
      <w:r w:rsidR="007C6A4C" w:rsidRPr="00C9297D">
        <w:rPr>
          <w:b/>
          <w:bCs/>
        </w:rPr>
        <w:t xml:space="preserve">dicho reconocimiento, e incluir </w:t>
      </w:r>
      <w:r w:rsidR="00D81A5E" w:rsidRPr="00C9297D">
        <w:rPr>
          <w:b/>
          <w:bCs/>
        </w:rPr>
        <w:t>procedimientos administrativos sencillos y accesibles, que sea</w:t>
      </w:r>
      <w:r w:rsidR="007C6A4C" w:rsidRPr="00C9297D">
        <w:rPr>
          <w:b/>
          <w:bCs/>
        </w:rPr>
        <w:t>n</w:t>
      </w:r>
      <w:r w:rsidR="00D81A5E" w:rsidRPr="00C9297D">
        <w:rPr>
          <w:b/>
          <w:bCs/>
        </w:rPr>
        <w:t xml:space="preserve"> conforme</w:t>
      </w:r>
      <w:r w:rsidR="007C6A4C" w:rsidRPr="00C9297D">
        <w:rPr>
          <w:b/>
          <w:bCs/>
        </w:rPr>
        <w:t>s</w:t>
      </w:r>
      <w:r w:rsidR="00D81A5E" w:rsidRPr="00C9297D">
        <w:rPr>
          <w:b/>
          <w:bCs/>
        </w:rPr>
        <w:t xml:space="preserve"> con el Pacto</w:t>
      </w:r>
      <w:r w:rsidR="00733669" w:rsidRPr="00C9297D">
        <w:rPr>
          <w:b/>
          <w:bCs/>
        </w:rPr>
        <w:t>;</w:t>
      </w:r>
      <w:r w:rsidR="005E6454" w:rsidRPr="00C9297D">
        <w:rPr>
          <w:b/>
          <w:bCs/>
        </w:rPr>
        <w:t xml:space="preserve"> </w:t>
      </w:r>
    </w:p>
    <w:p w14:paraId="3F02D106" w14:textId="2E3F57A2" w:rsidR="00733669" w:rsidRPr="00C9297D" w:rsidRDefault="00B338E4" w:rsidP="00B338E4">
      <w:pPr>
        <w:pStyle w:val="SingleTxtG"/>
        <w:rPr>
          <w:b/>
          <w:bCs/>
        </w:rPr>
      </w:pPr>
      <w:r w:rsidRPr="00C9297D">
        <w:rPr>
          <w:b/>
          <w:bCs/>
          <w:lang w:val="es-AR" w:eastAsia="es-ES_tradnl"/>
        </w:rPr>
        <w:tab/>
        <w:t>e)</w:t>
      </w:r>
      <w:r w:rsidRPr="00C9297D">
        <w:rPr>
          <w:b/>
          <w:bCs/>
          <w:lang w:val="es-AR" w:eastAsia="es-ES_tradnl"/>
        </w:rPr>
        <w:tab/>
      </w:r>
      <w:r w:rsidR="006E222B" w:rsidRPr="00C9297D">
        <w:rPr>
          <w:b/>
          <w:bCs/>
        </w:rPr>
        <w:t>Adoptar las medidas necesarias con miras a prohibir las denominadas “terapias de conversión”;</w:t>
      </w:r>
    </w:p>
    <w:p w14:paraId="37B07ECB" w14:textId="4F11A1FD" w:rsidR="00474C88" w:rsidRPr="00B338E4" w:rsidRDefault="00B338E4" w:rsidP="00B338E4">
      <w:pPr>
        <w:pStyle w:val="SingleTxtG"/>
        <w:rPr>
          <w:b/>
          <w:bCs/>
        </w:rPr>
      </w:pPr>
      <w:r w:rsidRPr="00C9297D">
        <w:rPr>
          <w:b/>
          <w:bCs/>
          <w:lang w:val="es-AR" w:eastAsia="es-ES_tradnl"/>
        </w:rPr>
        <w:tab/>
        <w:t>f)</w:t>
      </w:r>
      <w:r w:rsidRPr="00C9297D">
        <w:rPr>
          <w:b/>
          <w:bCs/>
          <w:lang w:val="es-AR" w:eastAsia="es-ES_tradnl"/>
        </w:rPr>
        <w:tab/>
      </w:r>
      <w:r w:rsidR="00EE0BA0" w:rsidRPr="00B338E4">
        <w:rPr>
          <w:b/>
          <w:bCs/>
        </w:rPr>
        <w:t>Garantizar que los delitos motivados por la orientación sexual o identidad de género de la víctima</w:t>
      </w:r>
      <w:r w:rsidR="006E222B" w:rsidRPr="00B338E4">
        <w:rPr>
          <w:b/>
          <w:bCs/>
        </w:rPr>
        <w:t xml:space="preserve">, cometidos por particulares o agentes del Estado, </w:t>
      </w:r>
      <w:r w:rsidR="00EE0BA0" w:rsidRPr="00B338E4">
        <w:rPr>
          <w:b/>
          <w:bCs/>
        </w:rPr>
        <w:t>sea</w:t>
      </w:r>
      <w:r w:rsidR="006E222B" w:rsidRPr="00B338E4">
        <w:rPr>
          <w:b/>
          <w:bCs/>
        </w:rPr>
        <w:t>n</w:t>
      </w:r>
      <w:r w:rsidR="00EE0BA0" w:rsidRPr="00B338E4">
        <w:rPr>
          <w:b/>
          <w:bCs/>
        </w:rPr>
        <w:t xml:space="preserve"> investigados sin demora, que los responsables sean llevados ante la justicia y sancionados adecuadamente, y que las víctimas reciban un</w:t>
      </w:r>
      <w:r w:rsidR="00F34E7F" w:rsidRPr="00B338E4">
        <w:rPr>
          <w:b/>
          <w:bCs/>
        </w:rPr>
        <w:t>a</w:t>
      </w:r>
      <w:r w:rsidR="00EE0BA0" w:rsidRPr="00B338E4">
        <w:rPr>
          <w:b/>
          <w:bCs/>
        </w:rPr>
        <w:t xml:space="preserve"> reparación integral</w:t>
      </w:r>
      <w:r w:rsidR="006759E3" w:rsidRPr="00B338E4">
        <w:rPr>
          <w:b/>
          <w:bCs/>
        </w:rPr>
        <w:t>.</w:t>
      </w:r>
      <w:r w:rsidR="00A43970" w:rsidRPr="00B338E4">
        <w:rPr>
          <w:b/>
          <w:bCs/>
        </w:rPr>
        <w:t xml:space="preserve"> </w:t>
      </w:r>
    </w:p>
    <w:p w14:paraId="22E12039" w14:textId="4A84F136" w:rsidR="00FC38A0" w:rsidRPr="00864D47" w:rsidRDefault="000410B6" w:rsidP="00FC38A0">
      <w:pPr>
        <w:pStyle w:val="H23G"/>
        <w:ind w:firstLine="0"/>
        <w:rPr>
          <w:b w:val="0"/>
        </w:rPr>
      </w:pPr>
      <w:r w:rsidRPr="0069628B">
        <w:t>Igualdad</w:t>
      </w:r>
      <w:r w:rsidR="0069628B">
        <w:t xml:space="preserve"> de género</w:t>
      </w:r>
      <w:r w:rsidR="00A075C7">
        <w:t xml:space="preserve"> </w:t>
      </w:r>
    </w:p>
    <w:p w14:paraId="6D7061C4" w14:textId="4DFF1A57" w:rsidR="00396D6F" w:rsidRPr="00B338E4" w:rsidRDefault="00B338E4" w:rsidP="00B338E4">
      <w:pPr>
        <w:spacing w:after="120"/>
        <w:ind w:left="1134" w:right="1134"/>
        <w:jc w:val="both"/>
      </w:pPr>
      <w:r>
        <w:rPr>
          <w:lang w:val="es-AR" w:eastAsia="es-ES_tradnl"/>
        </w:rPr>
        <w:t>15.</w:t>
      </w:r>
      <w:r>
        <w:rPr>
          <w:lang w:val="es-AR" w:eastAsia="es-ES_tradnl"/>
        </w:rPr>
        <w:tab/>
      </w:r>
      <w:r w:rsidR="00930AAC" w:rsidRPr="00B338E4">
        <w:t xml:space="preserve">El Comité </w:t>
      </w:r>
      <w:r w:rsidR="00B26E7B" w:rsidRPr="00B338E4">
        <w:t xml:space="preserve">celebra </w:t>
      </w:r>
      <w:r w:rsidR="00930AAC" w:rsidRPr="00B338E4">
        <w:t>la adopción de la Ley núm. 375 de 8 de marzo de 2023, que crea el Ministerio de la Mujer.</w:t>
      </w:r>
      <w:r w:rsidR="00367C3F" w:rsidRPr="00B338E4">
        <w:t xml:space="preserve"> A</w:t>
      </w:r>
      <w:r w:rsidR="000F291B" w:rsidRPr="00B338E4">
        <w:t>unque toma nota de la información proporcionada</w:t>
      </w:r>
      <w:r w:rsidR="008C1730" w:rsidRPr="00B338E4">
        <w:t xml:space="preserve"> por la delegación </w:t>
      </w:r>
      <w:r w:rsidR="008C1730" w:rsidRPr="00B338E4">
        <w:lastRenderedPageBreak/>
        <w:t xml:space="preserve">del Estado </w:t>
      </w:r>
      <w:r w:rsidR="000F291B" w:rsidRPr="00B338E4">
        <w:t xml:space="preserve">según la cual existe actualmente una </w:t>
      </w:r>
      <w:r w:rsidR="008C1730" w:rsidRPr="00B338E4">
        <w:t xml:space="preserve">mayoría </w:t>
      </w:r>
      <w:r w:rsidR="00AD34E4" w:rsidRPr="00B338E4">
        <w:t xml:space="preserve">de mujeres en cargos de toma de decisión </w:t>
      </w:r>
      <w:r w:rsidR="008C1730" w:rsidRPr="00B338E4">
        <w:t xml:space="preserve">en el órgano judicial y </w:t>
      </w:r>
      <w:r w:rsidR="00AD34E4" w:rsidRPr="00B338E4">
        <w:t xml:space="preserve">en </w:t>
      </w:r>
      <w:r w:rsidR="008C1730" w:rsidRPr="00B338E4">
        <w:t>el ministerio público, el Comité continúa preocupado por el bajo nivel de representación de las mujeres en cargos de elección popular</w:t>
      </w:r>
      <w:r w:rsidR="00A54A95" w:rsidRPr="00B338E4">
        <w:t>,</w:t>
      </w:r>
      <w:r w:rsidR="008C1730" w:rsidRPr="00B338E4">
        <w:t xml:space="preserve"> como </w:t>
      </w:r>
      <w:r w:rsidR="00A54A95" w:rsidRPr="00B338E4">
        <w:t xml:space="preserve">es el caso de la Asamblea Nacional y los cargos de alcalde, y </w:t>
      </w:r>
      <w:r w:rsidR="008C1730" w:rsidRPr="00B338E4">
        <w:t xml:space="preserve">en particular de mujeres </w:t>
      </w:r>
      <w:r w:rsidR="00A54A95" w:rsidRPr="00B338E4">
        <w:t>afrodescendientes</w:t>
      </w:r>
      <w:r w:rsidR="008C1730" w:rsidRPr="00B338E4">
        <w:t xml:space="preserve"> e indígenas</w:t>
      </w:r>
      <w:r w:rsidR="00EF43A1" w:rsidRPr="00B338E4">
        <w:t>, así como en cargos directivos del sector privado</w:t>
      </w:r>
      <w:r w:rsidR="008C1730" w:rsidRPr="00B338E4">
        <w:t>.</w:t>
      </w:r>
      <w:r w:rsidR="00A54A95" w:rsidRPr="00B338E4">
        <w:t xml:space="preserve"> </w:t>
      </w:r>
      <w:r w:rsidR="00396D6F" w:rsidRPr="00B338E4">
        <w:t>También le preocupan las informaciones relativas a la brecha salarial existente entre hombre y mujeres</w:t>
      </w:r>
      <w:r w:rsidR="00FC5DA9" w:rsidRPr="00B338E4">
        <w:t xml:space="preserve"> y a la persistencia de la práctica de exigir pruebas de embarazo durante los procesos de reclutamiento en el sector público y privado</w:t>
      </w:r>
      <w:r w:rsidR="00396D6F" w:rsidRPr="00B338E4">
        <w:t>, pese a las medidas adoptadas por el E</w:t>
      </w:r>
      <w:r w:rsidR="00FC5DA9" w:rsidRPr="00B338E4">
        <w:t xml:space="preserve">stado parte </w:t>
      </w:r>
      <w:r w:rsidR="00396D6F" w:rsidRPr="00B338E4">
        <w:t>(arts. 2, 3, 25 y 26).</w:t>
      </w:r>
    </w:p>
    <w:p w14:paraId="53622CD7" w14:textId="3717B25E" w:rsidR="00963969" w:rsidRPr="00B338E4" w:rsidRDefault="00B338E4" w:rsidP="00B338E4">
      <w:pPr>
        <w:pStyle w:val="SingleTxtG"/>
        <w:rPr>
          <w:b/>
          <w:bCs/>
        </w:rPr>
      </w:pPr>
      <w:r w:rsidRPr="00B338E4">
        <w:rPr>
          <w:lang w:val="es-AR" w:eastAsia="es-ES_tradnl"/>
        </w:rPr>
        <w:t>16.</w:t>
      </w:r>
      <w:r w:rsidRPr="00B338E4">
        <w:rPr>
          <w:lang w:val="es-AR" w:eastAsia="es-ES_tradnl"/>
        </w:rPr>
        <w:tab/>
      </w:r>
      <w:r w:rsidR="00396D6F" w:rsidRPr="00B338E4">
        <w:rPr>
          <w:b/>
          <w:bCs/>
        </w:rPr>
        <w:t>El Estado parte debe</w:t>
      </w:r>
      <w:r w:rsidR="00963969" w:rsidRPr="00B338E4">
        <w:rPr>
          <w:b/>
          <w:bCs/>
        </w:rPr>
        <w:t>:</w:t>
      </w:r>
      <w:r w:rsidR="005511A2" w:rsidRPr="00B338E4">
        <w:rPr>
          <w:b/>
          <w:bCs/>
        </w:rPr>
        <w:t xml:space="preserve"> </w:t>
      </w:r>
    </w:p>
    <w:p w14:paraId="214724DE" w14:textId="0E040030" w:rsidR="00963969" w:rsidRPr="00C9297D" w:rsidRDefault="00B338E4" w:rsidP="00C9297D">
      <w:pPr>
        <w:pStyle w:val="SingleTxtG"/>
        <w:rPr>
          <w:b/>
          <w:bCs/>
        </w:rPr>
      </w:pPr>
      <w:r w:rsidRPr="00C9297D">
        <w:rPr>
          <w:b/>
          <w:bCs/>
          <w:lang w:val="es-AR" w:eastAsia="es-ES_tradnl"/>
        </w:rPr>
        <w:tab/>
        <w:t>a)</w:t>
      </w:r>
      <w:r w:rsidRPr="00C9297D">
        <w:rPr>
          <w:b/>
          <w:bCs/>
          <w:lang w:val="es-AR" w:eastAsia="es-ES_tradnl"/>
        </w:rPr>
        <w:tab/>
      </w:r>
      <w:r w:rsidR="00963969" w:rsidRPr="00C9297D">
        <w:rPr>
          <w:b/>
          <w:bCs/>
        </w:rPr>
        <w:t xml:space="preserve">Asignar los recursos financieros y humanos adecuados al recientemente creado Ministerio de la Mujer a fin de que pueda cumplir de manera eficaz con sus funciones en el ámbito de la igualdad de género y </w:t>
      </w:r>
      <w:r w:rsidR="0038747F" w:rsidRPr="00C9297D">
        <w:rPr>
          <w:b/>
          <w:bCs/>
        </w:rPr>
        <w:t xml:space="preserve">la promoción y protección </w:t>
      </w:r>
      <w:r w:rsidR="00963969" w:rsidRPr="00C9297D">
        <w:rPr>
          <w:b/>
          <w:bCs/>
        </w:rPr>
        <w:t xml:space="preserve">de los derechos humanos de las mujeres; </w:t>
      </w:r>
    </w:p>
    <w:p w14:paraId="403DDF8B" w14:textId="4A87DA0C" w:rsidR="00963969" w:rsidRPr="00C9297D" w:rsidRDefault="00B338E4" w:rsidP="00C9297D">
      <w:pPr>
        <w:pStyle w:val="SingleTxtG"/>
        <w:rPr>
          <w:b/>
          <w:bCs/>
        </w:rPr>
      </w:pPr>
      <w:r w:rsidRPr="00C9297D">
        <w:rPr>
          <w:b/>
          <w:bCs/>
          <w:lang w:val="es-AR" w:eastAsia="es-ES_tradnl"/>
        </w:rPr>
        <w:tab/>
        <w:t>b)</w:t>
      </w:r>
      <w:r w:rsidRPr="00C9297D">
        <w:rPr>
          <w:b/>
          <w:bCs/>
          <w:lang w:val="es-AR" w:eastAsia="es-ES_tradnl"/>
        </w:rPr>
        <w:tab/>
      </w:r>
      <w:r w:rsidR="00963969" w:rsidRPr="00C9297D">
        <w:rPr>
          <w:b/>
          <w:bCs/>
        </w:rPr>
        <w:t>A</w:t>
      </w:r>
      <w:r w:rsidR="00416DE0" w:rsidRPr="00C9297D">
        <w:rPr>
          <w:b/>
          <w:bCs/>
        </w:rPr>
        <w:t>doptar medidas adicionales para aumentar la representación de las mujeres, incluidas las mujeres indígenas y afrodescendientes, en la vida política y pública,</w:t>
      </w:r>
      <w:r w:rsidR="00D367C0" w:rsidRPr="00C9297D">
        <w:rPr>
          <w:b/>
          <w:bCs/>
        </w:rPr>
        <w:t xml:space="preserve"> así como su representación en el sector público y privado,</w:t>
      </w:r>
      <w:r w:rsidR="00416DE0" w:rsidRPr="00C9297D">
        <w:rPr>
          <w:b/>
          <w:bCs/>
        </w:rPr>
        <w:t xml:space="preserve"> particularmente en los cargos directivos y de alto nivel, incluido a través de medidas especiales de carácter temporal</w:t>
      </w:r>
      <w:r w:rsidR="00AD34E4" w:rsidRPr="00C9297D">
        <w:rPr>
          <w:b/>
          <w:bCs/>
        </w:rPr>
        <w:t>,</w:t>
      </w:r>
      <w:r w:rsidR="00416DE0" w:rsidRPr="00C9297D">
        <w:rPr>
          <w:b/>
          <w:bCs/>
        </w:rPr>
        <w:t xml:space="preserve"> y reformando la legislación electoral a fin de g</w:t>
      </w:r>
      <w:r w:rsidR="00C94BE0" w:rsidRPr="00C9297D">
        <w:rPr>
          <w:b/>
          <w:bCs/>
        </w:rPr>
        <w:t>arantizar la paridad de género;</w:t>
      </w:r>
    </w:p>
    <w:p w14:paraId="6C16487A" w14:textId="58C4E96E" w:rsidR="00396D6F" w:rsidRPr="00B338E4" w:rsidRDefault="00B338E4" w:rsidP="00C9297D">
      <w:pPr>
        <w:pStyle w:val="SingleTxtG"/>
        <w:rPr>
          <w:b/>
          <w:bCs/>
        </w:rPr>
      </w:pPr>
      <w:r w:rsidRPr="00C9297D">
        <w:rPr>
          <w:b/>
          <w:bCs/>
          <w:lang w:val="es-AR" w:eastAsia="es-ES_tradnl"/>
        </w:rPr>
        <w:tab/>
        <w:t>c)</w:t>
      </w:r>
      <w:r w:rsidRPr="00C9297D">
        <w:rPr>
          <w:b/>
          <w:bCs/>
          <w:lang w:val="es-AR" w:eastAsia="es-ES_tradnl"/>
        </w:rPr>
        <w:tab/>
      </w:r>
      <w:r w:rsidR="00963969" w:rsidRPr="00B338E4">
        <w:rPr>
          <w:b/>
          <w:bCs/>
        </w:rPr>
        <w:t>R</w:t>
      </w:r>
      <w:r w:rsidR="00FA5049" w:rsidRPr="00B338E4">
        <w:rPr>
          <w:b/>
          <w:bCs/>
        </w:rPr>
        <w:t>eforzar las medidas para cerrar la brecha salarial entre hombres y mujeres</w:t>
      </w:r>
      <w:r w:rsidR="00297E0C" w:rsidRPr="00B338E4">
        <w:rPr>
          <w:b/>
          <w:bCs/>
        </w:rPr>
        <w:t xml:space="preserve"> y para implementar y supervis</w:t>
      </w:r>
      <w:r w:rsidR="005511A2" w:rsidRPr="00B338E4">
        <w:rPr>
          <w:b/>
          <w:bCs/>
        </w:rPr>
        <w:t>ar el cumplimiento efectivo de las disposiciones legales que prohíben la exigencia de pruebas de embarazo durante los procesos de reclutamiento.</w:t>
      </w:r>
    </w:p>
    <w:p w14:paraId="1FD2A198" w14:textId="1CEA27EE" w:rsidR="009745DB" w:rsidRPr="00864D47" w:rsidRDefault="009745DB" w:rsidP="009745DB">
      <w:pPr>
        <w:pStyle w:val="H23G"/>
        <w:ind w:firstLine="0"/>
        <w:rPr>
          <w:b w:val="0"/>
        </w:rPr>
      </w:pPr>
      <w:r w:rsidRPr="00922D3C">
        <w:t>Violencia</w:t>
      </w:r>
      <w:r>
        <w:t xml:space="preserve"> contra las mujeres</w:t>
      </w:r>
    </w:p>
    <w:p w14:paraId="181EA8DE" w14:textId="09D24098" w:rsidR="00E650A2" w:rsidRPr="00B338E4" w:rsidRDefault="00B338E4" w:rsidP="00B338E4">
      <w:pPr>
        <w:pStyle w:val="SingleTxtG"/>
      </w:pPr>
      <w:r>
        <w:rPr>
          <w:lang w:val="es-AR" w:eastAsia="es-ES_tradnl"/>
        </w:rPr>
        <w:t>17.</w:t>
      </w:r>
      <w:r>
        <w:rPr>
          <w:lang w:val="es-AR" w:eastAsia="es-ES_tradnl"/>
        </w:rPr>
        <w:tab/>
      </w:r>
      <w:r w:rsidR="009745DB" w:rsidRPr="00B338E4">
        <w:t xml:space="preserve">El Comité </w:t>
      </w:r>
      <w:r w:rsidR="00DE54F5" w:rsidRPr="00B338E4">
        <w:t>toma nota de las medidas adoptadas para hacer frente a la violencia contra la</w:t>
      </w:r>
      <w:r w:rsidR="009D779D" w:rsidRPr="00B338E4">
        <w:t>s</w:t>
      </w:r>
      <w:r w:rsidR="00DE54F5" w:rsidRPr="00B338E4">
        <w:t xml:space="preserve"> mujer</w:t>
      </w:r>
      <w:r w:rsidR="009D779D" w:rsidRPr="00B338E4">
        <w:t>es</w:t>
      </w:r>
      <w:r w:rsidR="00DE54F5" w:rsidRPr="00B338E4">
        <w:t xml:space="preserve">, como la </w:t>
      </w:r>
      <w:r w:rsidR="009D779D" w:rsidRPr="00B338E4">
        <w:t>l</w:t>
      </w:r>
      <w:r w:rsidR="00DE54F5" w:rsidRPr="00B338E4">
        <w:t>ey núm</w:t>
      </w:r>
      <w:r w:rsidR="009D779D" w:rsidRPr="00B338E4">
        <w:t>.</w:t>
      </w:r>
      <w:r w:rsidR="00DE54F5" w:rsidRPr="00B338E4">
        <w:t xml:space="preserve"> 82 de 2013 y su reglamentación mediante el decreto ejecutivo núm. 100 de 2017. Sin embargo, el </w:t>
      </w:r>
      <w:r w:rsidR="009D779D" w:rsidRPr="00B338E4">
        <w:t>Comité sigue preocupado por la al</w:t>
      </w:r>
      <w:r w:rsidR="00DE54F5" w:rsidRPr="00B338E4">
        <w:t>ta incidencia de</w:t>
      </w:r>
      <w:r w:rsidR="009D779D" w:rsidRPr="00B338E4">
        <w:t>l femicidio, de la violencia doméstica y la violencia sexual contra mujeres y niñas</w:t>
      </w:r>
      <w:r w:rsidR="00E650A2" w:rsidRPr="00B338E4">
        <w:t>,</w:t>
      </w:r>
      <w:r w:rsidR="003F5187" w:rsidRPr="00B338E4">
        <w:t xml:space="preserve"> y el reducido número de condenas</w:t>
      </w:r>
      <w:r w:rsidR="00E650A2" w:rsidRPr="00B338E4">
        <w:t xml:space="preserve"> por estos delitos</w:t>
      </w:r>
      <w:r w:rsidR="009D779D" w:rsidRPr="00B338E4">
        <w:t xml:space="preserve">. Asimismo, le preocupa que, a pesar de los avances reseñados por la delegación del Estado parte, </w:t>
      </w:r>
      <w:r w:rsidR="00260172" w:rsidRPr="00B338E4">
        <w:t xml:space="preserve">aún no hayan sido implementadas </w:t>
      </w:r>
      <w:r w:rsidR="009D779D" w:rsidRPr="00B338E4">
        <w:t xml:space="preserve">medidas importantes establecidas en </w:t>
      </w:r>
      <w:r w:rsidR="008D7A7F" w:rsidRPr="00B338E4">
        <w:t>la</w:t>
      </w:r>
      <w:r w:rsidR="009D779D" w:rsidRPr="00B338E4">
        <w:t xml:space="preserve"> re</w:t>
      </w:r>
      <w:r w:rsidR="008D7A7F" w:rsidRPr="00B338E4">
        <w:t>ferida</w:t>
      </w:r>
      <w:r w:rsidR="009D779D" w:rsidRPr="00B338E4">
        <w:t xml:space="preserve"> </w:t>
      </w:r>
      <w:r w:rsidR="008D7A7F" w:rsidRPr="00B338E4">
        <w:t>ley</w:t>
      </w:r>
      <w:r w:rsidR="009D779D" w:rsidRPr="00B338E4">
        <w:t xml:space="preserve">, </w:t>
      </w:r>
      <w:r w:rsidR="00260172" w:rsidRPr="00B338E4">
        <w:t xml:space="preserve">como </w:t>
      </w:r>
      <w:r w:rsidR="009D779D" w:rsidRPr="00B338E4">
        <w:t xml:space="preserve">la creación de albergues </w:t>
      </w:r>
      <w:r w:rsidR="008D7A7F" w:rsidRPr="00B338E4">
        <w:t xml:space="preserve">o centros de acogida </w:t>
      </w:r>
      <w:r w:rsidR="009D779D" w:rsidRPr="00B338E4">
        <w:t>para las víctimas en cada provincia</w:t>
      </w:r>
      <w:r w:rsidR="008D7A7F" w:rsidRPr="00B338E4">
        <w:t xml:space="preserve"> (art. 62)</w:t>
      </w:r>
      <w:r w:rsidR="00A81EF1" w:rsidRPr="00B338E4">
        <w:t>, la creación de juzgados especializados en violencia contra las mujeres</w:t>
      </w:r>
      <w:r w:rsidR="009D779D" w:rsidRPr="00B338E4">
        <w:t xml:space="preserve"> </w:t>
      </w:r>
      <w:r w:rsidR="00A81EF1" w:rsidRPr="00B338E4">
        <w:t xml:space="preserve">(art. 58) </w:t>
      </w:r>
      <w:r w:rsidR="009D779D" w:rsidRPr="00B338E4">
        <w:t>y la instauración del brazalete electrónico</w:t>
      </w:r>
      <w:r w:rsidR="008D7A7F" w:rsidRPr="00B338E4">
        <w:t xml:space="preserve"> (art. 50)</w:t>
      </w:r>
      <w:r w:rsidR="009D779D" w:rsidRPr="00B338E4">
        <w:t>.</w:t>
      </w:r>
      <w:r w:rsidR="00A81EF1" w:rsidRPr="00B338E4">
        <w:t xml:space="preserve"> Le preocupa también </w:t>
      </w:r>
      <w:r w:rsidR="007141EE" w:rsidRPr="00B338E4">
        <w:t xml:space="preserve">la práctica de la negociación de declaraciones de culpabilidad o inocencia en los casos de violencia de género, incluidos femicidios. Si bien toma nota de los esfuerzos desplegados por el Estado parte, </w:t>
      </w:r>
      <w:r w:rsidR="00260172" w:rsidRPr="00B338E4">
        <w:t>al</w:t>
      </w:r>
      <w:r w:rsidR="007141EE" w:rsidRPr="00B338E4">
        <w:t xml:space="preserve"> Comité</w:t>
      </w:r>
      <w:r w:rsidR="00260172" w:rsidRPr="00B338E4">
        <w:t xml:space="preserve"> le preocupan</w:t>
      </w:r>
      <w:r w:rsidR="007141EE" w:rsidRPr="00B338E4">
        <w:t xml:space="preserve"> las alegaciones de violencia contra las mujer</w:t>
      </w:r>
      <w:r w:rsidR="003F5187" w:rsidRPr="00B338E4">
        <w:t>es y niñas migrantes, especial</w:t>
      </w:r>
      <w:r w:rsidR="007141EE" w:rsidRPr="00B338E4">
        <w:t>ment</w:t>
      </w:r>
      <w:r w:rsidR="003F5187" w:rsidRPr="00B338E4">
        <w:t>e</w:t>
      </w:r>
      <w:r w:rsidR="007141EE" w:rsidRPr="00B338E4">
        <w:t xml:space="preserve"> las afrodescendientes, en </w:t>
      </w:r>
      <w:r w:rsidR="009273FB" w:rsidRPr="00B338E4">
        <w:t xml:space="preserve">el Tapón </w:t>
      </w:r>
      <w:r w:rsidR="007141EE" w:rsidRPr="00B338E4">
        <w:t>del Darién</w:t>
      </w:r>
      <w:r w:rsidR="003F5187" w:rsidRPr="00B338E4">
        <w:t xml:space="preserve"> en </w:t>
      </w:r>
      <w:r w:rsidR="007141EE" w:rsidRPr="00B338E4">
        <w:t xml:space="preserve">el </w:t>
      </w:r>
      <w:r w:rsidR="00260172" w:rsidRPr="00B338E4">
        <w:t xml:space="preserve">territorio del </w:t>
      </w:r>
      <w:r w:rsidR="007141EE" w:rsidRPr="00B338E4">
        <w:t xml:space="preserve">Estado parte, que incluyen desapariciones, violaciones </w:t>
      </w:r>
      <w:r w:rsidR="003F5187" w:rsidRPr="00B338E4">
        <w:t xml:space="preserve">y agresiones por parte de </w:t>
      </w:r>
      <w:r w:rsidR="00260172" w:rsidRPr="00B338E4">
        <w:t>grupos criminales</w:t>
      </w:r>
      <w:r w:rsidR="003F5187" w:rsidRPr="00B338E4">
        <w:t xml:space="preserve">; </w:t>
      </w:r>
      <w:r w:rsidR="00260172" w:rsidRPr="00B338E4">
        <w:t xml:space="preserve">así como las informaciones sobre el </w:t>
      </w:r>
      <w:r w:rsidR="003F5187" w:rsidRPr="00B338E4">
        <w:t>limitado acceso a los programas de asistencia a las ví</w:t>
      </w:r>
      <w:r w:rsidR="00260172" w:rsidRPr="00B338E4">
        <w:t>ctima</w:t>
      </w:r>
      <w:r w:rsidR="00D2545D" w:rsidRPr="00B338E4">
        <w:t>s</w:t>
      </w:r>
      <w:r w:rsidR="00260172" w:rsidRPr="00B338E4">
        <w:t xml:space="preserve"> y los</w:t>
      </w:r>
      <w:r w:rsidR="003F5187" w:rsidRPr="00B338E4">
        <w:t xml:space="preserve"> obstáculos para acceder a la justicia y a las reparaciones</w:t>
      </w:r>
      <w:r w:rsidR="00260172" w:rsidRPr="00B338E4">
        <w:t xml:space="preserve"> y el</w:t>
      </w:r>
      <w:r w:rsidR="003F5187" w:rsidRPr="00B338E4">
        <w:t xml:space="preserve"> escaso número de condenas a los responsables</w:t>
      </w:r>
      <w:r w:rsidR="00E650A2" w:rsidRPr="00B338E4">
        <w:t xml:space="preserve"> (arts. 2, 3, 6, 7, 14, 24 y 26).</w:t>
      </w:r>
    </w:p>
    <w:p w14:paraId="641F8FA8" w14:textId="7FD67C80" w:rsidR="00E650A2" w:rsidRPr="00B338E4" w:rsidRDefault="00B338E4" w:rsidP="00B338E4">
      <w:pPr>
        <w:pStyle w:val="SingleTxtG"/>
        <w:rPr>
          <w:b/>
          <w:bCs/>
        </w:rPr>
      </w:pPr>
      <w:r w:rsidRPr="00B338E4">
        <w:rPr>
          <w:lang w:val="es-AR" w:eastAsia="es-ES_tradnl"/>
        </w:rPr>
        <w:t>18.</w:t>
      </w:r>
      <w:r w:rsidRPr="00B338E4">
        <w:rPr>
          <w:lang w:val="es-AR" w:eastAsia="es-ES_tradnl"/>
        </w:rPr>
        <w:tab/>
      </w:r>
      <w:r w:rsidR="009745DB" w:rsidRPr="00B338E4">
        <w:rPr>
          <w:b/>
          <w:bCs/>
        </w:rPr>
        <w:t>El Estado</w:t>
      </w:r>
      <w:r w:rsidR="009C794D" w:rsidRPr="00B338E4">
        <w:rPr>
          <w:b/>
          <w:bCs/>
        </w:rPr>
        <w:t xml:space="preserve"> parte</w:t>
      </w:r>
      <w:r w:rsidR="009745DB" w:rsidRPr="00B338E4">
        <w:rPr>
          <w:b/>
          <w:bCs/>
        </w:rPr>
        <w:t xml:space="preserve"> </w:t>
      </w:r>
      <w:r w:rsidR="00801099" w:rsidRPr="00B338E4">
        <w:rPr>
          <w:b/>
          <w:bCs/>
        </w:rPr>
        <w:t>debe</w:t>
      </w:r>
      <w:r w:rsidR="00E650A2" w:rsidRPr="00B338E4">
        <w:rPr>
          <w:b/>
          <w:bCs/>
        </w:rPr>
        <w:t>:</w:t>
      </w:r>
    </w:p>
    <w:p w14:paraId="639A838E" w14:textId="21FBDA92" w:rsidR="0093604A" w:rsidRPr="00C9297D" w:rsidRDefault="00B338E4" w:rsidP="00C9297D">
      <w:pPr>
        <w:pStyle w:val="SingleTxtG"/>
        <w:rPr>
          <w:b/>
          <w:bCs/>
        </w:rPr>
      </w:pPr>
      <w:r w:rsidRPr="00C9297D">
        <w:rPr>
          <w:b/>
          <w:bCs/>
          <w:lang w:val="es-AR" w:eastAsia="es-ES_tradnl"/>
        </w:rPr>
        <w:tab/>
        <w:t>a)</w:t>
      </w:r>
      <w:r w:rsidRPr="00C9297D">
        <w:rPr>
          <w:b/>
          <w:bCs/>
          <w:lang w:val="es-AR" w:eastAsia="es-ES_tradnl"/>
        </w:rPr>
        <w:tab/>
      </w:r>
      <w:r w:rsidR="00801099" w:rsidRPr="00C9297D">
        <w:rPr>
          <w:b/>
          <w:bCs/>
        </w:rPr>
        <w:t>Asignar los recursos financieros, técnicos y humanos necesarios en materia de prevención, protección, sanción y reparación de la violencia contra las mujere</w:t>
      </w:r>
      <w:r w:rsidR="0093604A" w:rsidRPr="00C9297D">
        <w:rPr>
          <w:b/>
          <w:bCs/>
        </w:rPr>
        <w:t>s</w:t>
      </w:r>
      <w:r w:rsidR="00801099" w:rsidRPr="00C9297D">
        <w:rPr>
          <w:b/>
          <w:bCs/>
        </w:rPr>
        <w:t xml:space="preserve">, </w:t>
      </w:r>
      <w:r w:rsidR="00DE75D2" w:rsidRPr="00C9297D">
        <w:rPr>
          <w:b/>
          <w:bCs/>
        </w:rPr>
        <w:t>incluido</w:t>
      </w:r>
      <w:r w:rsidR="00801099" w:rsidRPr="00C9297D">
        <w:rPr>
          <w:b/>
          <w:bCs/>
        </w:rPr>
        <w:t xml:space="preserve"> para la implementación </w:t>
      </w:r>
      <w:r w:rsidR="0093604A" w:rsidRPr="00C9297D">
        <w:rPr>
          <w:b/>
          <w:bCs/>
        </w:rPr>
        <w:t xml:space="preserve">de las medidas establecidas en la Ley núm. 82 y su reglamento, tales como la creación de centros de acogida en cada provincia y de juzgados especializados en la materia, </w:t>
      </w:r>
      <w:r w:rsidR="00DE75D2" w:rsidRPr="00C9297D">
        <w:rPr>
          <w:b/>
          <w:bCs/>
        </w:rPr>
        <w:t>y</w:t>
      </w:r>
      <w:r w:rsidR="0093604A" w:rsidRPr="00C9297D">
        <w:rPr>
          <w:b/>
          <w:bCs/>
        </w:rPr>
        <w:t xml:space="preserve"> la instauración del brazalete electrónico;</w:t>
      </w:r>
    </w:p>
    <w:p w14:paraId="41D29C82" w14:textId="6BBECC71" w:rsidR="00922D3C" w:rsidRPr="00C9297D" w:rsidRDefault="00B338E4" w:rsidP="00C9297D">
      <w:pPr>
        <w:pStyle w:val="SingleTxtG"/>
        <w:rPr>
          <w:b/>
          <w:bCs/>
        </w:rPr>
      </w:pPr>
      <w:r w:rsidRPr="00C9297D">
        <w:rPr>
          <w:b/>
          <w:bCs/>
          <w:lang w:val="es-AR" w:eastAsia="es-ES_tradnl"/>
        </w:rPr>
        <w:tab/>
        <w:t>b)</w:t>
      </w:r>
      <w:r w:rsidRPr="00C9297D">
        <w:rPr>
          <w:b/>
          <w:bCs/>
          <w:lang w:val="es-AR" w:eastAsia="es-ES_tradnl"/>
        </w:rPr>
        <w:tab/>
      </w:r>
      <w:r w:rsidR="0093604A" w:rsidRPr="00C9297D">
        <w:rPr>
          <w:b/>
          <w:bCs/>
        </w:rPr>
        <w:t>Garantizar que los casos de violencia contra la mujer</w:t>
      </w:r>
      <w:r w:rsidR="00DE75D2" w:rsidRPr="00C9297D">
        <w:rPr>
          <w:b/>
          <w:bCs/>
        </w:rPr>
        <w:t>, incluido</w:t>
      </w:r>
      <w:r w:rsidR="00E8372C" w:rsidRPr="00C9297D">
        <w:rPr>
          <w:b/>
          <w:bCs/>
        </w:rPr>
        <w:t xml:space="preserve"> contra las mujeres migrantes,</w:t>
      </w:r>
      <w:r w:rsidR="0093604A" w:rsidRPr="00C9297D">
        <w:rPr>
          <w:b/>
          <w:bCs/>
        </w:rPr>
        <w:t xml:space="preserve"> sean investigados rápida y eficazmente, que los responsables sean sancionados y que las víctimas </w:t>
      </w:r>
      <w:r w:rsidR="00CA63F6" w:rsidRPr="00C9297D">
        <w:rPr>
          <w:b/>
          <w:bCs/>
        </w:rPr>
        <w:t xml:space="preserve">obtengan reparaciones integrales, y </w:t>
      </w:r>
      <w:r w:rsidR="0093604A" w:rsidRPr="00C9297D">
        <w:rPr>
          <w:b/>
          <w:bCs/>
        </w:rPr>
        <w:t xml:space="preserve">tengan acceso </w:t>
      </w:r>
      <w:r w:rsidR="00CA63F6" w:rsidRPr="00C9297D">
        <w:rPr>
          <w:b/>
          <w:bCs/>
        </w:rPr>
        <w:t xml:space="preserve">a </w:t>
      </w:r>
      <w:r w:rsidR="0093604A" w:rsidRPr="00C9297D">
        <w:rPr>
          <w:b/>
          <w:bCs/>
        </w:rPr>
        <w:t>medios de protección, incluidos suficientes albergues</w:t>
      </w:r>
      <w:r w:rsidR="00CA63F6" w:rsidRPr="00C9297D">
        <w:rPr>
          <w:b/>
          <w:bCs/>
        </w:rPr>
        <w:t xml:space="preserve"> y</w:t>
      </w:r>
      <w:r w:rsidR="0093604A" w:rsidRPr="00C9297D">
        <w:rPr>
          <w:b/>
          <w:bCs/>
        </w:rPr>
        <w:t xml:space="preserve"> centros de asesoramiento y asistencia;</w:t>
      </w:r>
    </w:p>
    <w:p w14:paraId="4B9BCAB8" w14:textId="5FAB8CDA" w:rsidR="00E650A2" w:rsidRPr="00C9297D" w:rsidRDefault="00B338E4" w:rsidP="00C9297D">
      <w:pPr>
        <w:pStyle w:val="SingleTxtG"/>
        <w:rPr>
          <w:b/>
          <w:bCs/>
        </w:rPr>
      </w:pPr>
      <w:r w:rsidRPr="00C9297D">
        <w:rPr>
          <w:b/>
          <w:bCs/>
          <w:lang w:val="es-AR" w:eastAsia="es-ES_tradnl"/>
        </w:rPr>
        <w:lastRenderedPageBreak/>
        <w:tab/>
        <w:t>c)</w:t>
      </w:r>
      <w:r w:rsidRPr="00C9297D">
        <w:rPr>
          <w:b/>
          <w:bCs/>
          <w:lang w:val="es-AR" w:eastAsia="es-ES_tradnl"/>
        </w:rPr>
        <w:tab/>
      </w:r>
      <w:r w:rsidR="0093604A" w:rsidRPr="00C9297D">
        <w:rPr>
          <w:b/>
          <w:bCs/>
        </w:rPr>
        <w:t>Eliminar el recurso a negociaciones de declaraciones de culpabilidad o inocencia en los casos de violencia de género contra la mujer;</w:t>
      </w:r>
    </w:p>
    <w:p w14:paraId="71428039" w14:textId="53477DE2" w:rsidR="00CA63F6" w:rsidRPr="00C9297D" w:rsidRDefault="00B338E4" w:rsidP="00C9297D">
      <w:pPr>
        <w:pStyle w:val="SingleTxtG"/>
        <w:rPr>
          <w:b/>
          <w:bCs/>
        </w:rPr>
      </w:pPr>
      <w:r w:rsidRPr="00C9297D">
        <w:rPr>
          <w:b/>
          <w:bCs/>
          <w:lang w:val="es-AR" w:eastAsia="es-ES_tradnl"/>
        </w:rPr>
        <w:tab/>
        <w:t>d)</w:t>
      </w:r>
      <w:r w:rsidRPr="00C9297D">
        <w:rPr>
          <w:b/>
          <w:bCs/>
          <w:lang w:val="es-AR" w:eastAsia="es-ES_tradnl"/>
        </w:rPr>
        <w:tab/>
      </w:r>
      <w:r w:rsidR="00CA63F6" w:rsidRPr="00C9297D">
        <w:rPr>
          <w:b/>
          <w:bCs/>
        </w:rPr>
        <w:t>Proseguir sus esfuerzos de formación para el personal de las instituciones judiciales, de la policía y de medicina forense sobre los derechos de las mujeres y la violencia de género;</w:t>
      </w:r>
    </w:p>
    <w:p w14:paraId="64479128" w14:textId="09F88BA6" w:rsidR="00E650A2" w:rsidRPr="00B338E4" w:rsidRDefault="00B338E4" w:rsidP="00C9297D">
      <w:pPr>
        <w:pStyle w:val="SingleTxtG"/>
        <w:rPr>
          <w:b/>
          <w:bCs/>
        </w:rPr>
      </w:pPr>
      <w:r w:rsidRPr="00C9297D">
        <w:rPr>
          <w:b/>
          <w:bCs/>
          <w:lang w:val="es-AR" w:eastAsia="es-ES_tradnl"/>
        </w:rPr>
        <w:tab/>
        <w:t>e)</w:t>
      </w:r>
      <w:r w:rsidRPr="00C9297D">
        <w:rPr>
          <w:b/>
          <w:bCs/>
          <w:lang w:val="es-AR" w:eastAsia="es-ES_tradnl"/>
        </w:rPr>
        <w:tab/>
      </w:r>
      <w:r w:rsidR="009273FB" w:rsidRPr="00B338E4">
        <w:rPr>
          <w:b/>
          <w:bCs/>
        </w:rPr>
        <w:t>Redoblar los esfuerzos para prevenir y combatir todas las formas de violencia contra las mujeres migrantes en el Tapón del Darién</w:t>
      </w:r>
      <w:r w:rsidR="00E8372C" w:rsidRPr="00B338E4">
        <w:rPr>
          <w:b/>
          <w:bCs/>
        </w:rPr>
        <w:t xml:space="preserve"> y brindar</w:t>
      </w:r>
      <w:r w:rsidR="009273FB" w:rsidRPr="00B338E4">
        <w:rPr>
          <w:b/>
          <w:bCs/>
        </w:rPr>
        <w:t xml:space="preserve"> protección a</w:t>
      </w:r>
      <w:r w:rsidR="00E8372C" w:rsidRPr="00B338E4">
        <w:rPr>
          <w:b/>
          <w:bCs/>
        </w:rPr>
        <w:t>decuada a</w:t>
      </w:r>
      <w:r w:rsidR="009273FB" w:rsidRPr="00B338E4">
        <w:rPr>
          <w:b/>
          <w:bCs/>
        </w:rPr>
        <w:t xml:space="preserve"> las víctimas</w:t>
      </w:r>
      <w:r w:rsidR="00582B6F" w:rsidRPr="00B338E4">
        <w:rPr>
          <w:b/>
          <w:bCs/>
        </w:rPr>
        <w:t>;</w:t>
      </w:r>
      <w:r w:rsidR="00E8372C" w:rsidRPr="00B338E4">
        <w:rPr>
          <w:b/>
          <w:bCs/>
        </w:rPr>
        <w:t xml:space="preserve"> </w:t>
      </w:r>
      <w:r w:rsidR="00DE75D2" w:rsidRPr="00B338E4">
        <w:rPr>
          <w:b/>
          <w:bCs/>
        </w:rPr>
        <w:t>y</w:t>
      </w:r>
      <w:r w:rsidR="004B20FD" w:rsidRPr="00B338E4">
        <w:rPr>
          <w:b/>
          <w:bCs/>
        </w:rPr>
        <w:t>, a este respecto, se lo alienta a implementar</w:t>
      </w:r>
      <w:r w:rsidR="00DE75D2" w:rsidRPr="00B338E4">
        <w:rPr>
          <w:b/>
          <w:bCs/>
        </w:rPr>
        <w:t xml:space="preserve"> </w:t>
      </w:r>
      <w:r w:rsidR="00E8372C" w:rsidRPr="00B338E4">
        <w:rPr>
          <w:b/>
          <w:bCs/>
        </w:rPr>
        <w:t xml:space="preserve">las recomendaciones formuladas </w:t>
      </w:r>
      <w:r w:rsidR="007874F2" w:rsidRPr="00B338E4">
        <w:rPr>
          <w:b/>
          <w:bCs/>
        </w:rPr>
        <w:t xml:space="preserve">en febrero de 2022 </w:t>
      </w:r>
      <w:r w:rsidR="00E8372C" w:rsidRPr="00B338E4">
        <w:rPr>
          <w:b/>
          <w:bCs/>
        </w:rPr>
        <w:t>por el Comité para la eliminación de la discriminación contra la mujer</w:t>
      </w:r>
      <w:r w:rsidR="00E8372C" w:rsidRPr="001D4807">
        <w:rPr>
          <w:rStyle w:val="Refdenotaalpie"/>
        </w:rPr>
        <w:footnoteReference w:id="9"/>
      </w:r>
      <w:r w:rsidR="001D4807">
        <w:rPr>
          <w:b/>
          <w:bCs/>
        </w:rPr>
        <w:t>.</w:t>
      </w:r>
      <w:r w:rsidR="004C4B2B">
        <w:rPr>
          <w:b/>
          <w:bCs/>
        </w:rPr>
        <w:t xml:space="preserve"> </w:t>
      </w:r>
    </w:p>
    <w:p w14:paraId="157030BB" w14:textId="7C3AB5E7" w:rsidR="00B13ED3" w:rsidRPr="00864D47" w:rsidRDefault="00B13ED3" w:rsidP="00B13ED3">
      <w:pPr>
        <w:pStyle w:val="H23G"/>
        <w:ind w:firstLine="0"/>
        <w:rPr>
          <w:b w:val="0"/>
        </w:rPr>
      </w:pPr>
      <w:r w:rsidRPr="00922D3C">
        <w:t>Interrupción voluntaria del embarazo</w:t>
      </w:r>
      <w:r w:rsidRPr="00B13ED3">
        <w:t xml:space="preserve"> y derechos reproductivos</w:t>
      </w:r>
      <w:r w:rsidRPr="008656B8">
        <w:t xml:space="preserve"> </w:t>
      </w:r>
    </w:p>
    <w:p w14:paraId="1EDF0682" w14:textId="36D57B88" w:rsidR="00B25083" w:rsidRPr="00B338E4" w:rsidRDefault="00B338E4" w:rsidP="00B338E4">
      <w:pPr>
        <w:spacing w:after="120"/>
        <w:ind w:left="1134" w:right="1134"/>
        <w:jc w:val="both"/>
      </w:pPr>
      <w:r>
        <w:rPr>
          <w:lang w:val="es-AR" w:eastAsia="es-ES_tradnl"/>
        </w:rPr>
        <w:t>19.</w:t>
      </w:r>
      <w:r>
        <w:rPr>
          <w:lang w:val="es-AR" w:eastAsia="es-ES_tradnl"/>
        </w:rPr>
        <w:tab/>
      </w:r>
      <w:r w:rsidR="00B13ED3" w:rsidRPr="00B338E4">
        <w:t xml:space="preserve">El Comité </w:t>
      </w:r>
      <w:r w:rsidR="007364EB" w:rsidRPr="00B338E4">
        <w:t xml:space="preserve">sigue preocupado por </w:t>
      </w:r>
      <w:r w:rsidR="00832892" w:rsidRPr="00B338E4">
        <w:t>las disposiciones del Código penal que criminalizan el aborto (arts. 141 al 143)</w:t>
      </w:r>
      <w:r w:rsidR="007364EB" w:rsidRPr="00B338E4">
        <w:t xml:space="preserve"> </w:t>
      </w:r>
      <w:r w:rsidR="00193153" w:rsidRPr="00B338E4">
        <w:t xml:space="preserve">y </w:t>
      </w:r>
      <w:r w:rsidR="00FE127B" w:rsidRPr="00B338E4">
        <w:t>por la</w:t>
      </w:r>
      <w:r w:rsidR="00B25083" w:rsidRPr="00B338E4">
        <w:t>s</w:t>
      </w:r>
      <w:r w:rsidR="00FE127B" w:rsidRPr="00B338E4">
        <w:t xml:space="preserve"> limitaci</w:t>
      </w:r>
      <w:r w:rsidR="00B25083" w:rsidRPr="00B338E4">
        <w:t xml:space="preserve">ones </w:t>
      </w:r>
      <w:r w:rsidR="00193153" w:rsidRPr="00B338E4">
        <w:t xml:space="preserve">establecidas </w:t>
      </w:r>
      <w:r w:rsidR="00B25083" w:rsidRPr="00B338E4">
        <w:t xml:space="preserve">en los casos </w:t>
      </w:r>
      <w:r w:rsidR="00193153" w:rsidRPr="00B338E4">
        <w:t xml:space="preserve">de abortos </w:t>
      </w:r>
      <w:r w:rsidR="002479F1" w:rsidRPr="00B338E4">
        <w:t>permitidos</w:t>
      </w:r>
      <w:r w:rsidR="00832892" w:rsidRPr="00B338E4">
        <w:t xml:space="preserve"> (art. 144)</w:t>
      </w:r>
      <w:r w:rsidR="00B25083" w:rsidRPr="00B338E4">
        <w:t>, como es</w:t>
      </w:r>
      <w:r w:rsidR="00FE127B" w:rsidRPr="00B338E4">
        <w:t xml:space="preserve"> </w:t>
      </w:r>
      <w:r w:rsidR="00B25083" w:rsidRPr="00B338E4">
        <w:t xml:space="preserve">el </w:t>
      </w:r>
      <w:r w:rsidR="00832892" w:rsidRPr="00B338E4">
        <w:t xml:space="preserve">requisito de </w:t>
      </w:r>
      <w:r w:rsidR="00FE127B" w:rsidRPr="00B338E4">
        <w:t xml:space="preserve">que sea practicado dentro de los dos primeros meses de embarazo </w:t>
      </w:r>
      <w:r w:rsidR="00B25083" w:rsidRPr="00B338E4">
        <w:t xml:space="preserve">en caso de </w:t>
      </w:r>
      <w:r w:rsidR="00FE127B" w:rsidRPr="00B338E4">
        <w:t>violaci</w:t>
      </w:r>
      <w:r w:rsidR="00B25083" w:rsidRPr="00B338E4">
        <w:t>ón</w:t>
      </w:r>
      <w:r w:rsidR="00193153" w:rsidRPr="00B338E4">
        <w:t xml:space="preserve">, la </w:t>
      </w:r>
      <w:r w:rsidR="00001012" w:rsidRPr="00B338E4">
        <w:t>que</w:t>
      </w:r>
      <w:r w:rsidR="00B25083" w:rsidRPr="00B338E4">
        <w:t xml:space="preserve"> </w:t>
      </w:r>
      <w:r w:rsidR="00193153" w:rsidRPr="00B338E4">
        <w:t xml:space="preserve">tiene que ser </w:t>
      </w:r>
      <w:r w:rsidR="00FE127B" w:rsidRPr="00B338E4">
        <w:t>acreditad</w:t>
      </w:r>
      <w:r w:rsidR="00B25083" w:rsidRPr="00B338E4">
        <w:t>a</w:t>
      </w:r>
      <w:r w:rsidR="00193153" w:rsidRPr="00B338E4">
        <w:t xml:space="preserve"> en instrucción sumarial</w:t>
      </w:r>
      <w:r w:rsidR="002479F1" w:rsidRPr="00B338E4">
        <w:t>, o de que sea autorizado por una comisión multisectorial en el supuesto de que la vida de la gestante esté en peligro</w:t>
      </w:r>
      <w:r w:rsidR="00193153" w:rsidRPr="00B338E4">
        <w:t>. Le preocupa además que estas disposiciones</w:t>
      </w:r>
      <w:r w:rsidR="00FE127B" w:rsidRPr="00B338E4">
        <w:t xml:space="preserve"> </w:t>
      </w:r>
      <w:r w:rsidR="00B25083" w:rsidRPr="00B338E4">
        <w:t>tiene</w:t>
      </w:r>
      <w:r w:rsidR="00193153" w:rsidRPr="00B338E4">
        <w:t>n</w:t>
      </w:r>
      <w:r w:rsidR="00B25083" w:rsidRPr="00B338E4">
        <w:t xml:space="preserve"> como consecuencia que se practiquen abortos en condiciones de riesgo</w:t>
      </w:r>
      <w:r w:rsidR="00193153" w:rsidRPr="00B338E4">
        <w:t xml:space="preserve"> o que niñas de inclusive ocho</w:t>
      </w:r>
      <w:r w:rsidR="00001012" w:rsidRPr="00B338E4">
        <w:t xml:space="preserve"> años sean obligadas a llevar a término un embarazo producto de una violación, pon</w:t>
      </w:r>
      <w:r w:rsidR="00193153" w:rsidRPr="00B338E4">
        <w:t>i</w:t>
      </w:r>
      <w:r w:rsidR="00001012" w:rsidRPr="00B338E4">
        <w:t>e</w:t>
      </w:r>
      <w:r w:rsidR="00193153" w:rsidRPr="00B338E4">
        <w:t>ndo</w:t>
      </w:r>
      <w:r w:rsidR="00B25083" w:rsidRPr="00B338E4">
        <w:t xml:space="preserve"> en peligro la vida y la salud de las mujeres</w:t>
      </w:r>
      <w:r w:rsidR="00D2545D" w:rsidRPr="00B338E4">
        <w:t xml:space="preserve"> </w:t>
      </w:r>
      <w:r w:rsidR="00001012" w:rsidRPr="00B338E4">
        <w:t>y las niñas</w:t>
      </w:r>
      <w:r w:rsidR="00B25083" w:rsidRPr="00B338E4">
        <w:t xml:space="preserve">. El Comité toma nota </w:t>
      </w:r>
      <w:r w:rsidR="002479F1" w:rsidRPr="00B338E4">
        <w:t xml:space="preserve">también </w:t>
      </w:r>
      <w:r w:rsidR="00B25083" w:rsidRPr="00B338E4">
        <w:t xml:space="preserve">de la adopción de la Ley </w:t>
      </w:r>
      <w:r w:rsidR="00193153" w:rsidRPr="00B338E4">
        <w:t xml:space="preserve">núm. </w:t>
      </w:r>
      <w:r w:rsidR="00B25083" w:rsidRPr="00B338E4">
        <w:t xml:space="preserve">302 de 2020 que establece el programa de formación en materia de educación en sexualidad y afectividad, pero le preocupan los informes relativos a las </w:t>
      </w:r>
      <w:r w:rsidR="00001012" w:rsidRPr="00B338E4">
        <w:t xml:space="preserve">aún </w:t>
      </w:r>
      <w:r w:rsidR="00B25083" w:rsidRPr="00B338E4">
        <w:t>elevadas tasas de embarazo adolescente</w:t>
      </w:r>
      <w:r w:rsidR="006369F2" w:rsidRPr="00B338E4">
        <w:t>, a pesar de su reducción en los últimos años,</w:t>
      </w:r>
      <w:r w:rsidR="00B25083" w:rsidRPr="00B338E4">
        <w:t xml:space="preserve"> y las informaciones sobre la deficiente cobertura y calidad de </w:t>
      </w:r>
      <w:r w:rsidR="00F60BB3" w:rsidRPr="00B338E4">
        <w:t xml:space="preserve">los </w:t>
      </w:r>
      <w:r w:rsidR="00B25083" w:rsidRPr="00B338E4">
        <w:t xml:space="preserve">servicios de salud reproductiva. </w:t>
      </w:r>
      <w:r w:rsidR="00F60BB3" w:rsidRPr="00B338E4">
        <w:t>Asimismo, e</w:t>
      </w:r>
      <w:r w:rsidR="00F23277" w:rsidRPr="00B338E4">
        <w:t>l Comité expresa su preocupación por</w:t>
      </w:r>
      <w:r w:rsidR="00941F76" w:rsidRPr="00B338E4">
        <w:t xml:space="preserve"> </w:t>
      </w:r>
      <w:r w:rsidR="00B25083" w:rsidRPr="00B338E4">
        <w:t>las informaciones</w:t>
      </w:r>
      <w:r w:rsidR="00001012" w:rsidRPr="00B338E4">
        <w:t xml:space="preserve"> recibidas</w:t>
      </w:r>
      <w:r w:rsidR="00B25083" w:rsidRPr="00B338E4">
        <w:t xml:space="preserve"> sobre la práctica de esterilización forzada a mujeres indígenas y </w:t>
      </w:r>
      <w:r w:rsidR="00941F76" w:rsidRPr="00B338E4">
        <w:t xml:space="preserve">mujeres </w:t>
      </w:r>
      <w:r w:rsidR="00B25083" w:rsidRPr="00B338E4">
        <w:t>con disca</w:t>
      </w:r>
      <w:r w:rsidR="00001012" w:rsidRPr="00B338E4">
        <w:t xml:space="preserve">pacidad. Preocupa también al Comité </w:t>
      </w:r>
      <w:r w:rsidR="00057D6A" w:rsidRPr="00B338E4">
        <w:t>que la ley 7 de 2013 para la esterilización femenina gratuita requiera</w:t>
      </w:r>
      <w:r w:rsidR="00567457" w:rsidRPr="00B338E4">
        <w:t xml:space="preserve"> a las mujeres</w:t>
      </w:r>
      <w:r w:rsidR="00057D6A" w:rsidRPr="00B338E4">
        <w:t xml:space="preserve"> tener mínimo 23 años, dos hijos y una recomendación médica</w:t>
      </w:r>
      <w:r w:rsidR="00567457" w:rsidRPr="00B338E4">
        <w:t>,</w:t>
      </w:r>
      <w:r w:rsidR="00057D6A" w:rsidRPr="00B338E4">
        <w:t xml:space="preserve"> mientras que sólo exige a los hombres tener 18 años, </w:t>
      </w:r>
      <w:r w:rsidR="00F60BB3" w:rsidRPr="00B338E4">
        <w:t>distinción que ha sido avalada</w:t>
      </w:r>
      <w:r w:rsidR="00057D6A" w:rsidRPr="00B338E4">
        <w:t xml:space="preserve"> por la Corte Suprema de Justicia </w:t>
      </w:r>
      <w:r w:rsidR="00567457" w:rsidRPr="00B338E4">
        <w:t>en fall</w:t>
      </w:r>
      <w:r w:rsidR="00922D3C" w:rsidRPr="00B338E4">
        <w:t xml:space="preserve">o del 10 de septiembre de 2020 </w:t>
      </w:r>
      <w:r w:rsidR="00001012" w:rsidRPr="00B338E4">
        <w:t>(arts. 2, 3, 6, 7, 17, 24 y 26).</w:t>
      </w:r>
      <w:r w:rsidR="00B25083" w:rsidRPr="00B338E4">
        <w:t xml:space="preserve"> </w:t>
      </w:r>
    </w:p>
    <w:p w14:paraId="7B8E21E7" w14:textId="6A0E12AD" w:rsidR="00832892" w:rsidRPr="00B338E4" w:rsidRDefault="00B338E4" w:rsidP="00B338E4">
      <w:pPr>
        <w:pStyle w:val="SingleTxtG"/>
        <w:rPr>
          <w:b/>
          <w:bCs/>
        </w:rPr>
      </w:pPr>
      <w:r w:rsidRPr="00832892">
        <w:rPr>
          <w:lang w:val="es-AR" w:eastAsia="es-ES_tradnl"/>
        </w:rPr>
        <w:t>20.</w:t>
      </w:r>
      <w:r w:rsidRPr="00832892">
        <w:rPr>
          <w:lang w:val="es-AR" w:eastAsia="es-ES_tradnl"/>
        </w:rPr>
        <w:tab/>
      </w:r>
      <w:r w:rsidR="00E21C5B" w:rsidRPr="00B338E4">
        <w:rPr>
          <w:b/>
          <w:bCs/>
        </w:rPr>
        <w:t xml:space="preserve">Teniendo en cuenta la observación general núm. 36 </w:t>
      </w:r>
      <w:r w:rsidR="007D2738" w:rsidRPr="00B338E4">
        <w:rPr>
          <w:b/>
          <w:bCs/>
        </w:rPr>
        <w:t xml:space="preserve">(2019) </w:t>
      </w:r>
      <w:r w:rsidR="00E21C5B" w:rsidRPr="00B338E4">
        <w:rPr>
          <w:b/>
          <w:bCs/>
        </w:rPr>
        <w:t>del Comit</w:t>
      </w:r>
      <w:r w:rsidR="003F2EF7" w:rsidRPr="00B338E4">
        <w:rPr>
          <w:b/>
          <w:bCs/>
        </w:rPr>
        <w:t>é relativa a</w:t>
      </w:r>
      <w:r w:rsidR="00E21C5B" w:rsidRPr="00B338E4">
        <w:rPr>
          <w:b/>
          <w:bCs/>
        </w:rPr>
        <w:t>l derecho a la vida, e</w:t>
      </w:r>
      <w:r w:rsidR="00B13ED3" w:rsidRPr="00B338E4">
        <w:rPr>
          <w:b/>
          <w:bCs/>
        </w:rPr>
        <w:t>l Estado parte</w:t>
      </w:r>
      <w:r w:rsidR="00832892" w:rsidRPr="00B338E4">
        <w:rPr>
          <w:b/>
          <w:bCs/>
        </w:rPr>
        <w:t xml:space="preserve"> debe:</w:t>
      </w:r>
    </w:p>
    <w:p w14:paraId="167A3E66" w14:textId="4946B161" w:rsidR="00832892" w:rsidRPr="00C9297D" w:rsidRDefault="00B338E4" w:rsidP="00C9297D">
      <w:pPr>
        <w:pStyle w:val="SingleTxtG"/>
        <w:rPr>
          <w:b/>
          <w:bCs/>
          <w:lang w:val="es-419"/>
        </w:rPr>
      </w:pPr>
      <w:r w:rsidRPr="00C9297D">
        <w:rPr>
          <w:rFonts w:ascii="Times New Roman Bold" w:hAnsi="Times New Roman Bold"/>
          <w:b/>
          <w:bCs/>
          <w:lang w:val="es-419"/>
        </w:rPr>
        <w:tab/>
      </w:r>
      <w:r w:rsidR="004C4B2B" w:rsidRPr="00C9297D">
        <w:rPr>
          <w:b/>
          <w:bCs/>
        </w:rPr>
        <w:t>a)</w:t>
      </w:r>
      <w:r w:rsidRPr="00C9297D">
        <w:rPr>
          <w:rFonts w:ascii="Times New Roman Bold" w:hAnsi="Times New Roman Bold"/>
          <w:b/>
          <w:bCs/>
          <w:lang w:val="es-419"/>
        </w:rPr>
        <w:tab/>
      </w:r>
      <w:r w:rsidR="00832892" w:rsidRPr="00C9297D">
        <w:rPr>
          <w:b/>
          <w:bCs/>
          <w:lang w:val="es-419"/>
        </w:rPr>
        <w:t xml:space="preserve">Modificar su legislación para garantizar un acceso seguro, legal y efectivo al aborto cuando llevar el embarazo a término causaría dolores o sufrimientos considerables a la mujer o la niña embarazada, especialmente si el embarazo es consecuencia de una violación o incesto, o si no es viable; </w:t>
      </w:r>
    </w:p>
    <w:p w14:paraId="3E948802" w14:textId="78BDF8F9" w:rsidR="00832892" w:rsidRPr="00C9297D" w:rsidRDefault="00B338E4" w:rsidP="00C9297D">
      <w:pPr>
        <w:pStyle w:val="SingleTxtG"/>
        <w:rPr>
          <w:b/>
          <w:bCs/>
          <w:lang w:val="es-419"/>
        </w:rPr>
      </w:pPr>
      <w:r w:rsidRPr="00C9297D">
        <w:rPr>
          <w:rFonts w:ascii="Times New Roman Bold" w:hAnsi="Times New Roman Bold"/>
          <w:b/>
          <w:bCs/>
          <w:lang w:val="es-419"/>
        </w:rPr>
        <w:tab/>
      </w:r>
      <w:r w:rsidRPr="00C9297D">
        <w:rPr>
          <w:b/>
          <w:bCs/>
        </w:rPr>
        <w:t>b)</w:t>
      </w:r>
      <w:r w:rsidRPr="00C9297D">
        <w:rPr>
          <w:rFonts w:ascii="Times New Roman Bold" w:hAnsi="Times New Roman Bold"/>
          <w:b/>
          <w:bCs/>
          <w:lang w:val="es-419"/>
        </w:rPr>
        <w:tab/>
      </w:r>
      <w:r w:rsidR="00832892" w:rsidRPr="00C9297D">
        <w:rPr>
          <w:b/>
          <w:bCs/>
          <w:lang w:val="es-419"/>
        </w:rPr>
        <w:t>Velar por que las mujeres y niñas que recurran al aborto</w:t>
      </w:r>
      <w:r w:rsidR="00F57E75" w:rsidRPr="00C9297D">
        <w:rPr>
          <w:b/>
          <w:bCs/>
          <w:lang w:val="es-419"/>
        </w:rPr>
        <w:t>,</w:t>
      </w:r>
      <w:r w:rsidR="00832892" w:rsidRPr="00C9297D">
        <w:rPr>
          <w:b/>
          <w:bCs/>
          <w:lang w:val="es-419"/>
        </w:rPr>
        <w:t xml:space="preserve"> y los médicos </w:t>
      </w:r>
      <w:r w:rsidR="00703102" w:rsidRPr="00C9297D">
        <w:rPr>
          <w:b/>
          <w:bCs/>
          <w:lang w:val="es-419"/>
        </w:rPr>
        <w:t xml:space="preserve">y otro personal de salud </w:t>
      </w:r>
      <w:r w:rsidR="00832892" w:rsidRPr="00C9297D">
        <w:rPr>
          <w:b/>
          <w:bCs/>
          <w:lang w:val="es-419"/>
        </w:rPr>
        <w:t>que les presten asistencia</w:t>
      </w:r>
      <w:r w:rsidR="00F57E75" w:rsidRPr="00C9297D">
        <w:rPr>
          <w:b/>
          <w:bCs/>
          <w:lang w:val="es-419"/>
        </w:rPr>
        <w:t>,</w:t>
      </w:r>
      <w:r w:rsidR="00832892" w:rsidRPr="00C9297D">
        <w:rPr>
          <w:b/>
          <w:bCs/>
          <w:lang w:val="es-419"/>
        </w:rPr>
        <w:t xml:space="preserve"> no sean objeto de sanciones penales, y eliminar los obstáculos, como los relacionados con las autorizaciones médicas</w:t>
      </w:r>
      <w:r w:rsidR="00CB1D52" w:rsidRPr="00C9297D">
        <w:rPr>
          <w:b/>
          <w:bCs/>
          <w:lang w:val="es-419"/>
        </w:rPr>
        <w:t xml:space="preserve"> y decisiones judiciales</w:t>
      </w:r>
      <w:r w:rsidR="00832892" w:rsidRPr="00C9297D">
        <w:rPr>
          <w:b/>
          <w:bCs/>
          <w:lang w:val="es-419"/>
        </w:rPr>
        <w:t xml:space="preserve">, </w:t>
      </w:r>
      <w:r w:rsidR="00CB1D52" w:rsidRPr="00C9297D">
        <w:rPr>
          <w:b/>
          <w:bCs/>
          <w:lang w:val="es-419"/>
        </w:rPr>
        <w:t xml:space="preserve">toda vez </w:t>
      </w:r>
      <w:r w:rsidR="00832892" w:rsidRPr="00C9297D">
        <w:rPr>
          <w:b/>
          <w:bCs/>
          <w:lang w:val="es-419"/>
        </w:rPr>
        <w:t xml:space="preserve">que la existencia de dichas sanciones y obstáculos obliga a las mujeres y a las niñas a recurrir a abortos en condiciones de riesgo; </w:t>
      </w:r>
    </w:p>
    <w:p w14:paraId="755AE31B" w14:textId="2B05557B" w:rsidR="00832892" w:rsidRPr="00C9297D" w:rsidRDefault="00B338E4" w:rsidP="00C9297D">
      <w:pPr>
        <w:pStyle w:val="SingleTxtG"/>
        <w:rPr>
          <w:b/>
          <w:bCs/>
          <w:lang w:val="es-419"/>
        </w:rPr>
      </w:pPr>
      <w:r w:rsidRPr="00C9297D">
        <w:rPr>
          <w:rFonts w:ascii="Times New Roman Bold" w:hAnsi="Times New Roman Bold"/>
          <w:b/>
          <w:bCs/>
          <w:lang w:val="es-419"/>
        </w:rPr>
        <w:tab/>
      </w:r>
      <w:r w:rsidRPr="00C9297D">
        <w:rPr>
          <w:b/>
          <w:bCs/>
        </w:rPr>
        <w:t>c)</w:t>
      </w:r>
      <w:r w:rsidRPr="00C9297D">
        <w:rPr>
          <w:rFonts w:ascii="Times New Roman Bold" w:hAnsi="Times New Roman Bold"/>
          <w:b/>
          <w:bCs/>
          <w:lang w:val="es-419"/>
        </w:rPr>
        <w:tab/>
      </w:r>
      <w:r w:rsidR="00BE1B23" w:rsidRPr="00C9297D">
        <w:rPr>
          <w:b/>
          <w:bCs/>
          <w:lang w:val="es-419"/>
        </w:rPr>
        <w:t>I</w:t>
      </w:r>
      <w:r w:rsidR="00832892" w:rsidRPr="00C9297D">
        <w:rPr>
          <w:b/>
          <w:bCs/>
          <w:lang w:val="es-419"/>
        </w:rPr>
        <w:t xml:space="preserve">mplementar el programa de formación en materia de educación en sexualidad y afectividad </w:t>
      </w:r>
      <w:r w:rsidR="00922D3C" w:rsidRPr="00C9297D">
        <w:rPr>
          <w:b/>
          <w:bCs/>
          <w:lang w:val="es-419"/>
        </w:rPr>
        <w:t xml:space="preserve">e incrementar sus esfuerzos para prevenir los embarazos no deseados, especialmente entre </w:t>
      </w:r>
      <w:r w:rsidR="00703102" w:rsidRPr="00C9297D">
        <w:rPr>
          <w:b/>
          <w:bCs/>
          <w:lang w:val="es-419"/>
        </w:rPr>
        <w:t xml:space="preserve">niñas y </w:t>
      </w:r>
      <w:r w:rsidR="00922D3C" w:rsidRPr="00C9297D">
        <w:rPr>
          <w:b/>
          <w:bCs/>
          <w:lang w:val="es-419"/>
        </w:rPr>
        <w:t>adolescentes, y para garantizar el pleno acceso a servicios adecuados de salud sexual y reproductiva</w:t>
      </w:r>
      <w:r w:rsidR="00A10EB8" w:rsidRPr="00C9297D">
        <w:rPr>
          <w:b/>
          <w:bCs/>
          <w:lang w:val="es-419"/>
        </w:rPr>
        <w:t>;</w:t>
      </w:r>
      <w:r w:rsidR="003B0B39" w:rsidRPr="00C9297D">
        <w:rPr>
          <w:b/>
          <w:bCs/>
          <w:lang w:val="es-419"/>
        </w:rPr>
        <w:t xml:space="preserve"> </w:t>
      </w:r>
    </w:p>
    <w:p w14:paraId="4895E736" w14:textId="150261D6" w:rsidR="00A10EB8" w:rsidRPr="00C9297D" w:rsidRDefault="00B338E4" w:rsidP="00C9297D">
      <w:pPr>
        <w:pStyle w:val="SingleTxtG"/>
        <w:rPr>
          <w:b/>
          <w:bCs/>
          <w:lang w:val="es-419"/>
        </w:rPr>
      </w:pPr>
      <w:r w:rsidRPr="00C9297D">
        <w:rPr>
          <w:rFonts w:ascii="Times New Roman Bold" w:hAnsi="Times New Roman Bold"/>
          <w:b/>
          <w:bCs/>
          <w:lang w:val="es-419"/>
        </w:rPr>
        <w:tab/>
      </w:r>
      <w:r w:rsidRPr="00C9297D">
        <w:rPr>
          <w:b/>
          <w:bCs/>
        </w:rPr>
        <w:t>d)</w:t>
      </w:r>
      <w:r w:rsidRPr="00C9297D">
        <w:rPr>
          <w:rFonts w:ascii="Times New Roman Bold" w:hAnsi="Times New Roman Bold"/>
          <w:b/>
          <w:bCs/>
          <w:lang w:val="es-419"/>
        </w:rPr>
        <w:tab/>
      </w:r>
      <w:r w:rsidR="00832892" w:rsidRPr="00C9297D">
        <w:rPr>
          <w:b/>
          <w:bCs/>
          <w:lang w:val="es-419"/>
        </w:rPr>
        <w:t xml:space="preserve">Asegurar que se sigan todos los procedimientos para obtener </w:t>
      </w:r>
      <w:r w:rsidR="003300C2" w:rsidRPr="00C9297D">
        <w:rPr>
          <w:b/>
          <w:bCs/>
          <w:lang w:val="es-419"/>
        </w:rPr>
        <w:t>el consentimiento pleno e informado de las mujeres indígenas y mujeres con discapacidad en la práctica de la esterilización</w:t>
      </w:r>
      <w:r w:rsidR="00582B6F" w:rsidRPr="00C9297D">
        <w:rPr>
          <w:b/>
          <w:bCs/>
          <w:lang w:val="es-419"/>
        </w:rPr>
        <w:t>;</w:t>
      </w:r>
      <w:r w:rsidR="0033767F" w:rsidRPr="00C9297D">
        <w:rPr>
          <w:b/>
          <w:bCs/>
          <w:lang w:val="es-419"/>
        </w:rPr>
        <w:t xml:space="preserve"> </w:t>
      </w:r>
      <w:r w:rsidR="00193153" w:rsidRPr="00C9297D">
        <w:rPr>
          <w:b/>
          <w:bCs/>
          <w:lang w:val="es-419"/>
        </w:rPr>
        <w:t>y</w:t>
      </w:r>
      <w:r w:rsidR="004B20FD" w:rsidRPr="00C9297D">
        <w:rPr>
          <w:b/>
          <w:bCs/>
          <w:lang w:val="es-419"/>
        </w:rPr>
        <w:t>, a este respecto, se lo alienta a implementar</w:t>
      </w:r>
      <w:r w:rsidR="00193153" w:rsidRPr="00C9297D">
        <w:rPr>
          <w:b/>
          <w:bCs/>
          <w:lang w:val="es-419"/>
        </w:rPr>
        <w:t xml:space="preserve"> </w:t>
      </w:r>
      <w:r w:rsidR="0033767F" w:rsidRPr="00C9297D">
        <w:rPr>
          <w:b/>
          <w:bCs/>
          <w:lang w:val="es-419"/>
        </w:rPr>
        <w:t xml:space="preserve">las recomendaciones formuladas </w:t>
      </w:r>
      <w:r w:rsidR="004015B7" w:rsidRPr="00C9297D">
        <w:rPr>
          <w:b/>
          <w:bCs/>
          <w:lang w:val="es-419"/>
        </w:rPr>
        <w:t xml:space="preserve">en febrero de 2022 </w:t>
      </w:r>
      <w:r w:rsidR="0033767F" w:rsidRPr="00C9297D">
        <w:rPr>
          <w:b/>
          <w:bCs/>
          <w:lang w:val="es-419"/>
        </w:rPr>
        <w:t xml:space="preserve">por el Comité para la eliminación de </w:t>
      </w:r>
      <w:r w:rsidR="0033767F" w:rsidRPr="00C9297D">
        <w:rPr>
          <w:b/>
          <w:bCs/>
          <w:lang w:val="es-419"/>
        </w:rPr>
        <w:lastRenderedPageBreak/>
        <w:t>la discriminación contra la mujer</w:t>
      </w:r>
      <w:r w:rsidR="0033767F" w:rsidRPr="001D4807">
        <w:rPr>
          <w:rStyle w:val="Refdenotaalpie"/>
        </w:rPr>
        <w:footnoteReference w:id="10"/>
      </w:r>
      <w:r w:rsidR="00E074B7" w:rsidRPr="00C9297D">
        <w:rPr>
          <w:b/>
          <w:bCs/>
          <w:lang w:val="es-419"/>
        </w:rPr>
        <w:t xml:space="preserve"> </w:t>
      </w:r>
      <w:r w:rsidR="0033767F" w:rsidRPr="00C9297D">
        <w:rPr>
          <w:b/>
          <w:bCs/>
          <w:lang w:val="es-419"/>
        </w:rPr>
        <w:t xml:space="preserve">y </w:t>
      </w:r>
      <w:r w:rsidR="004015B7" w:rsidRPr="00C9297D">
        <w:rPr>
          <w:b/>
          <w:bCs/>
          <w:lang w:val="es-419"/>
        </w:rPr>
        <w:t xml:space="preserve">en febrero de 2023 por </w:t>
      </w:r>
      <w:r w:rsidR="0033767F" w:rsidRPr="00C9297D">
        <w:rPr>
          <w:b/>
          <w:bCs/>
          <w:lang w:val="es-419"/>
        </w:rPr>
        <w:t>el Comité de derechos económicos, sociales y culturales</w:t>
      </w:r>
      <w:r w:rsidR="0033767F" w:rsidRPr="001D4807">
        <w:rPr>
          <w:rStyle w:val="Refdenotaalpie"/>
          <w:sz w:val="20"/>
          <w:lang w:val="es-419"/>
        </w:rPr>
        <w:footnoteReference w:id="11"/>
      </w:r>
      <w:r w:rsidR="001D4807">
        <w:rPr>
          <w:b/>
          <w:bCs/>
          <w:lang w:val="es-419"/>
        </w:rPr>
        <w:t>;</w:t>
      </w:r>
    </w:p>
    <w:p w14:paraId="28BAC3D3" w14:textId="427A86C8" w:rsidR="00B13ED3" w:rsidRPr="00DE7B2F" w:rsidRDefault="00B338E4" w:rsidP="00C9297D">
      <w:pPr>
        <w:pStyle w:val="Default"/>
        <w:ind w:left="1134" w:right="1133" w:firstLine="567"/>
        <w:jc w:val="both"/>
        <w:rPr>
          <w:b/>
          <w:sz w:val="20"/>
          <w:szCs w:val="20"/>
          <w:lang w:val="es-419"/>
        </w:rPr>
      </w:pPr>
      <w:r w:rsidRPr="00C9297D">
        <w:rPr>
          <w:rStyle w:val="SingleTxtGChar"/>
          <w:b/>
          <w:bCs/>
          <w:sz w:val="20"/>
          <w:szCs w:val="20"/>
        </w:rPr>
        <w:t>e)</w:t>
      </w:r>
      <w:r w:rsidRPr="00C9297D">
        <w:rPr>
          <w:rFonts w:ascii="Times New Roman Bold" w:hAnsi="Times New Roman Bold"/>
          <w:b/>
          <w:bCs/>
          <w:sz w:val="20"/>
          <w:szCs w:val="20"/>
          <w:lang w:val="es-419"/>
        </w:rPr>
        <w:tab/>
      </w:r>
      <w:r w:rsidR="0033767F" w:rsidRPr="00A10EB8">
        <w:rPr>
          <w:rStyle w:val="Refdenotaalpie"/>
          <w:b/>
          <w:sz w:val="20"/>
          <w:szCs w:val="20"/>
          <w:lang w:val="es-419"/>
        </w:rPr>
        <w:t xml:space="preserve"> </w:t>
      </w:r>
      <w:r w:rsidR="00A10EB8">
        <w:rPr>
          <w:b/>
          <w:sz w:val="20"/>
          <w:szCs w:val="20"/>
          <w:lang w:val="es-419"/>
        </w:rPr>
        <w:t xml:space="preserve">Modificar la </w:t>
      </w:r>
      <w:r w:rsidR="00A10EB8" w:rsidRPr="00A10EB8">
        <w:rPr>
          <w:b/>
          <w:color w:val="auto"/>
          <w:sz w:val="20"/>
          <w:szCs w:val="20"/>
          <w:lang w:val="es-419"/>
        </w:rPr>
        <w:t>ley 7 de 2013</w:t>
      </w:r>
      <w:r w:rsidR="00A10EB8">
        <w:rPr>
          <w:b/>
          <w:color w:val="auto"/>
          <w:sz w:val="20"/>
          <w:szCs w:val="20"/>
          <w:lang w:val="es-419"/>
        </w:rPr>
        <w:t xml:space="preserve"> a fin de eliminar los requisitos diferenciados entre hombres y mujeres para acceder a la esterilización </w:t>
      </w:r>
      <w:r w:rsidR="00703CC8">
        <w:rPr>
          <w:b/>
          <w:color w:val="auto"/>
          <w:sz w:val="20"/>
          <w:szCs w:val="20"/>
          <w:lang w:val="es-419"/>
        </w:rPr>
        <w:t>gratuita en los centros de salud públicos.</w:t>
      </w:r>
      <w:r w:rsidR="00A10EB8">
        <w:rPr>
          <w:b/>
          <w:color w:val="auto"/>
          <w:sz w:val="20"/>
          <w:szCs w:val="20"/>
          <w:lang w:val="es-419"/>
        </w:rPr>
        <w:t xml:space="preserve"> </w:t>
      </w:r>
    </w:p>
    <w:p w14:paraId="7599D003" w14:textId="21E19340" w:rsidR="00B67E95" w:rsidRPr="00864D47" w:rsidRDefault="0024296F" w:rsidP="00B67E95">
      <w:pPr>
        <w:pStyle w:val="H23G"/>
        <w:ind w:firstLine="0"/>
        <w:rPr>
          <w:b w:val="0"/>
        </w:rPr>
      </w:pPr>
      <w:r w:rsidRPr="00C0629A">
        <w:t>Prohibición de la tortura</w:t>
      </w:r>
      <w:r>
        <w:t xml:space="preserve"> y otros tratos</w:t>
      </w:r>
      <w:r w:rsidR="00B67E95" w:rsidRPr="008656B8">
        <w:t xml:space="preserve"> </w:t>
      </w:r>
      <w:r>
        <w:t xml:space="preserve">o penas crueles, inhumanos </w:t>
      </w:r>
      <w:r w:rsidR="00C9297D">
        <w:br/>
      </w:r>
      <w:r>
        <w:t>y degradantes</w:t>
      </w:r>
      <w:r w:rsidR="00562885">
        <w:t xml:space="preserve"> </w:t>
      </w:r>
    </w:p>
    <w:p w14:paraId="28CDF9A1" w14:textId="5A5D25A8" w:rsidR="00B67E95" w:rsidRPr="00B338E4" w:rsidRDefault="00B338E4" w:rsidP="00B338E4">
      <w:pPr>
        <w:spacing w:after="120"/>
        <w:ind w:left="1134" w:right="1134"/>
        <w:jc w:val="both"/>
      </w:pPr>
      <w:r>
        <w:rPr>
          <w:lang w:val="es-AR" w:eastAsia="es-ES_tradnl"/>
        </w:rPr>
        <w:t>21.</w:t>
      </w:r>
      <w:r>
        <w:rPr>
          <w:lang w:val="es-AR" w:eastAsia="es-ES_tradnl"/>
        </w:rPr>
        <w:tab/>
      </w:r>
      <w:r w:rsidR="00B67E95" w:rsidRPr="00B338E4">
        <w:t xml:space="preserve">El Comité </w:t>
      </w:r>
      <w:r w:rsidR="001567BD" w:rsidRPr="00B338E4">
        <w:t xml:space="preserve">toma nota de las medidas adoptadas por </w:t>
      </w:r>
      <w:r w:rsidR="00605379" w:rsidRPr="00B338E4">
        <w:t xml:space="preserve">el </w:t>
      </w:r>
      <w:r w:rsidR="001567BD" w:rsidRPr="00B338E4">
        <w:t xml:space="preserve">Estado parte para prevenir y combatir la tortura, entre ellos la creación en 2017 del </w:t>
      </w:r>
      <w:r w:rsidR="00B155A0" w:rsidRPr="00B338E4">
        <w:t>m</w:t>
      </w:r>
      <w:r w:rsidR="001567BD" w:rsidRPr="00B338E4">
        <w:t xml:space="preserve">ecanismo </w:t>
      </w:r>
      <w:r w:rsidR="00B155A0" w:rsidRPr="00B338E4">
        <w:t>n</w:t>
      </w:r>
      <w:r w:rsidR="001567BD" w:rsidRPr="00B338E4">
        <w:t xml:space="preserve">acional de </w:t>
      </w:r>
      <w:r w:rsidR="00B155A0" w:rsidRPr="00B338E4">
        <w:t>p</w:t>
      </w:r>
      <w:r w:rsidR="001567BD" w:rsidRPr="00B338E4">
        <w:t xml:space="preserve">revención de la </w:t>
      </w:r>
      <w:r w:rsidR="00B155A0" w:rsidRPr="00B338E4">
        <w:t>t</w:t>
      </w:r>
      <w:r w:rsidR="001567BD" w:rsidRPr="00B338E4">
        <w:t>ortura, adscrito a la Defensoría del Pueblo</w:t>
      </w:r>
      <w:r w:rsidR="00C0629A" w:rsidRPr="00B338E4">
        <w:t xml:space="preserve">. </w:t>
      </w:r>
      <w:r w:rsidR="001567BD" w:rsidRPr="00B338E4">
        <w:t xml:space="preserve">Sin embargo, le preocupa que la tipificación del delito de tortura </w:t>
      </w:r>
      <w:r w:rsidR="00D17C93" w:rsidRPr="00B338E4">
        <w:t xml:space="preserve">todavía no haya sido adaptada a los estándares internacionales y que </w:t>
      </w:r>
      <w:r w:rsidR="00605379" w:rsidRPr="00B338E4">
        <w:t xml:space="preserve">la </w:t>
      </w:r>
      <w:r w:rsidR="00D17C93" w:rsidRPr="00B338E4">
        <w:t>imprescriptibilidad</w:t>
      </w:r>
      <w:r w:rsidR="00605379" w:rsidRPr="00B338E4">
        <w:t xml:space="preserve"> de este delito</w:t>
      </w:r>
      <w:r w:rsidR="00D17C93" w:rsidRPr="00B338E4">
        <w:t xml:space="preserve"> es aplicable sólo en aquellos casos en los que se practique de manera sistemática y generalizada contra la población civil. El Comité lamenta no haber recibido información precisa sobre el número de </w:t>
      </w:r>
      <w:r w:rsidR="00274077" w:rsidRPr="00B338E4">
        <w:t xml:space="preserve">procesos judiciales y procedimientos disciplinarios abiertos por actos de tortura, </w:t>
      </w:r>
      <w:r w:rsidR="00605379" w:rsidRPr="00B338E4">
        <w:t>sus resultados y</w:t>
      </w:r>
      <w:r w:rsidR="00274077" w:rsidRPr="00B338E4">
        <w:t xml:space="preserve"> las medidas de reparación </w:t>
      </w:r>
      <w:r w:rsidR="00D17C93" w:rsidRPr="00B338E4">
        <w:t>otorgadas a las v</w:t>
      </w:r>
      <w:r w:rsidR="00562885" w:rsidRPr="00B338E4">
        <w:t xml:space="preserve">íctimas </w:t>
      </w:r>
      <w:r w:rsidR="00B67E95" w:rsidRPr="00B338E4">
        <w:t>(art</w:t>
      </w:r>
      <w:r w:rsidR="00562885" w:rsidRPr="00B338E4">
        <w:t>s</w:t>
      </w:r>
      <w:r w:rsidR="00B67E95" w:rsidRPr="00B338E4">
        <w:t>.</w:t>
      </w:r>
      <w:r w:rsidR="00562885" w:rsidRPr="00B338E4">
        <w:t xml:space="preserve"> </w:t>
      </w:r>
      <w:r w:rsidR="00F46AB1" w:rsidRPr="00B338E4">
        <w:t xml:space="preserve">2, </w:t>
      </w:r>
      <w:r w:rsidR="00562885" w:rsidRPr="00B338E4">
        <w:t>7</w:t>
      </w:r>
      <w:r w:rsidR="0032782E" w:rsidRPr="00B338E4">
        <w:t xml:space="preserve">, </w:t>
      </w:r>
      <w:r w:rsidR="00562885" w:rsidRPr="00B338E4">
        <w:t>9, 14 y</w:t>
      </w:r>
      <w:r w:rsidR="00B67E95" w:rsidRPr="00B338E4">
        <w:t xml:space="preserve"> 2</w:t>
      </w:r>
      <w:r w:rsidR="00D22B95" w:rsidRPr="00B338E4">
        <w:t>6</w:t>
      </w:r>
      <w:r w:rsidR="00B67E95" w:rsidRPr="00B338E4">
        <w:t>).</w:t>
      </w:r>
    </w:p>
    <w:p w14:paraId="2EB7FD85" w14:textId="5B0627BA" w:rsidR="00B155A0" w:rsidRPr="00B338E4" w:rsidRDefault="00B338E4" w:rsidP="00B338E4">
      <w:pPr>
        <w:pStyle w:val="SingleTxtG"/>
        <w:rPr>
          <w:b/>
          <w:bCs/>
        </w:rPr>
      </w:pPr>
      <w:r w:rsidRPr="00B338E4">
        <w:rPr>
          <w:lang w:val="es-AR" w:eastAsia="es-ES_tradnl"/>
        </w:rPr>
        <w:t>22.</w:t>
      </w:r>
      <w:r w:rsidRPr="00B338E4">
        <w:rPr>
          <w:lang w:val="es-AR" w:eastAsia="es-ES_tradnl"/>
        </w:rPr>
        <w:tab/>
      </w:r>
      <w:r w:rsidR="00B67E95" w:rsidRPr="00B338E4">
        <w:rPr>
          <w:b/>
          <w:bCs/>
        </w:rPr>
        <w:t>El Estado parte debe</w:t>
      </w:r>
      <w:r w:rsidR="00B155A0" w:rsidRPr="00B338E4">
        <w:rPr>
          <w:b/>
          <w:bCs/>
        </w:rPr>
        <w:t>:</w:t>
      </w:r>
    </w:p>
    <w:p w14:paraId="16265EC0" w14:textId="2D9EAFF2" w:rsidR="00E650A2" w:rsidRPr="00C9297D" w:rsidRDefault="00B338E4" w:rsidP="00B338E4">
      <w:pPr>
        <w:pStyle w:val="SingleTxtG"/>
        <w:rPr>
          <w:b/>
          <w:bCs/>
        </w:rPr>
      </w:pPr>
      <w:r w:rsidRPr="00C9297D">
        <w:rPr>
          <w:b/>
          <w:bCs/>
          <w:lang w:val="es-AR" w:eastAsia="es-ES_tradnl"/>
        </w:rPr>
        <w:tab/>
        <w:t>a)</w:t>
      </w:r>
      <w:r w:rsidRPr="00C9297D">
        <w:rPr>
          <w:b/>
          <w:bCs/>
          <w:lang w:val="es-AR" w:eastAsia="es-ES_tradnl"/>
        </w:rPr>
        <w:tab/>
      </w:r>
      <w:r w:rsidR="00B155A0" w:rsidRPr="00C9297D">
        <w:rPr>
          <w:b/>
          <w:bCs/>
        </w:rPr>
        <w:t>R</w:t>
      </w:r>
      <w:r w:rsidR="0032782E" w:rsidRPr="00C9297D">
        <w:rPr>
          <w:b/>
          <w:bCs/>
        </w:rPr>
        <w:t xml:space="preserve">evisar su legislación para que la tipificación del delito de tortura sea plenamente compatible </w:t>
      </w:r>
      <w:r w:rsidR="00B155A0" w:rsidRPr="00C9297D">
        <w:rPr>
          <w:b/>
          <w:bCs/>
        </w:rPr>
        <w:t>con los estándares internacionales y derogar la prescripción del delito de tortura;</w:t>
      </w:r>
    </w:p>
    <w:p w14:paraId="2EF800DC" w14:textId="3BD09DA6" w:rsidR="006870E2" w:rsidRPr="00C9297D" w:rsidRDefault="00B338E4" w:rsidP="00B338E4">
      <w:pPr>
        <w:pStyle w:val="SingleTxtG"/>
        <w:rPr>
          <w:b/>
          <w:bCs/>
        </w:rPr>
      </w:pPr>
      <w:r w:rsidRPr="00C9297D">
        <w:rPr>
          <w:b/>
          <w:bCs/>
          <w:lang w:val="es-AR" w:eastAsia="es-ES_tradnl"/>
        </w:rPr>
        <w:tab/>
        <w:t>b)</w:t>
      </w:r>
      <w:r w:rsidRPr="00C9297D">
        <w:rPr>
          <w:b/>
          <w:bCs/>
          <w:lang w:val="es-AR" w:eastAsia="es-ES_tradnl"/>
        </w:rPr>
        <w:tab/>
      </w:r>
      <w:r w:rsidR="00B155A0" w:rsidRPr="00C9297D">
        <w:rPr>
          <w:b/>
          <w:bCs/>
        </w:rPr>
        <w:t>Garantizar que todas las alegaciones de tortura y otros tratos crueles, inhumanos y degradantes se investiguen de manera pronta, exhaustiva e imparcial, que los autores sean enjuiciados y sancionados adecuadamente y que las víctimas reciban reparaci</w:t>
      </w:r>
      <w:r w:rsidR="006870E2" w:rsidRPr="00C9297D">
        <w:rPr>
          <w:b/>
          <w:bCs/>
        </w:rPr>
        <w:t>ón integral;</w:t>
      </w:r>
    </w:p>
    <w:p w14:paraId="23554176" w14:textId="4D3CAEC3" w:rsidR="009745DB" w:rsidRPr="00B338E4" w:rsidRDefault="00B338E4" w:rsidP="00B338E4">
      <w:pPr>
        <w:pStyle w:val="SingleTxtG"/>
        <w:rPr>
          <w:b/>
          <w:bCs/>
        </w:rPr>
      </w:pPr>
      <w:r w:rsidRPr="00C9297D">
        <w:rPr>
          <w:b/>
          <w:bCs/>
          <w:lang w:val="es-AR" w:eastAsia="es-ES_tradnl"/>
        </w:rPr>
        <w:tab/>
        <w:t>c)</w:t>
      </w:r>
      <w:r w:rsidRPr="00C9297D">
        <w:rPr>
          <w:b/>
          <w:bCs/>
          <w:lang w:val="es-AR" w:eastAsia="es-ES_tradnl"/>
        </w:rPr>
        <w:tab/>
      </w:r>
      <w:r w:rsidR="00B155A0" w:rsidRPr="00C9297D">
        <w:rPr>
          <w:b/>
          <w:bCs/>
        </w:rPr>
        <w:t>Asegurar que el mecanismo nacional de prevención de la tortu</w:t>
      </w:r>
      <w:r w:rsidR="006870E2" w:rsidRPr="00C9297D">
        <w:rPr>
          <w:b/>
          <w:bCs/>
        </w:rPr>
        <w:t>r</w:t>
      </w:r>
      <w:r w:rsidR="00B155A0" w:rsidRPr="00C9297D">
        <w:rPr>
          <w:b/>
          <w:bCs/>
        </w:rPr>
        <w:t>a disponga de los recursos</w:t>
      </w:r>
      <w:r w:rsidR="00B155A0" w:rsidRPr="00B338E4">
        <w:rPr>
          <w:b/>
          <w:bCs/>
        </w:rPr>
        <w:t xml:space="preserve"> necesarios par</w:t>
      </w:r>
      <w:r w:rsidR="006870E2" w:rsidRPr="00B338E4">
        <w:rPr>
          <w:b/>
          <w:bCs/>
        </w:rPr>
        <w:t>a su pleno funcionamiento.</w:t>
      </w:r>
    </w:p>
    <w:p w14:paraId="6E053928" w14:textId="59F51A62" w:rsidR="006759E3" w:rsidRPr="00864D47" w:rsidRDefault="006759E3" w:rsidP="006759E3">
      <w:pPr>
        <w:pStyle w:val="H23G"/>
        <w:ind w:firstLine="0"/>
        <w:rPr>
          <w:b w:val="0"/>
        </w:rPr>
      </w:pPr>
      <w:r w:rsidRPr="00C0629A">
        <w:t>Uso excesivo de la fuerza</w:t>
      </w:r>
      <w:r w:rsidRPr="008656B8">
        <w:t xml:space="preserve"> </w:t>
      </w:r>
    </w:p>
    <w:p w14:paraId="5359427C" w14:textId="65E1FF74" w:rsidR="00C1288E" w:rsidRPr="00B338E4" w:rsidRDefault="00B338E4" w:rsidP="00B338E4">
      <w:pPr>
        <w:spacing w:after="120"/>
        <w:ind w:left="1134" w:right="1134"/>
        <w:jc w:val="both"/>
      </w:pPr>
      <w:r w:rsidRPr="0082094E">
        <w:rPr>
          <w:lang w:val="es-AR" w:eastAsia="es-ES_tradnl"/>
        </w:rPr>
        <w:t>23.</w:t>
      </w:r>
      <w:r w:rsidRPr="0082094E">
        <w:rPr>
          <w:lang w:val="es-AR" w:eastAsia="es-ES_tradnl"/>
        </w:rPr>
        <w:tab/>
      </w:r>
      <w:r w:rsidR="006759E3" w:rsidRPr="00B338E4">
        <w:t xml:space="preserve">El Comité </w:t>
      </w:r>
      <w:r w:rsidR="0082094E" w:rsidRPr="00B338E4">
        <w:t>t</w:t>
      </w:r>
      <w:r w:rsidR="00C1288E" w:rsidRPr="00B338E4">
        <w:t>oma nota de la</w:t>
      </w:r>
      <w:r w:rsidR="0082094E" w:rsidRPr="00B338E4">
        <w:t xml:space="preserve"> información brindada por la delegación del Estado parte</w:t>
      </w:r>
      <w:r w:rsidR="00C1288E" w:rsidRPr="00B338E4">
        <w:t xml:space="preserve"> </w:t>
      </w:r>
      <w:r w:rsidR="0082094E" w:rsidRPr="00B338E4">
        <w:t xml:space="preserve">relativa a la </w:t>
      </w:r>
      <w:r w:rsidR="00C1288E" w:rsidRPr="00B338E4">
        <w:t>formación continu</w:t>
      </w:r>
      <w:r w:rsidR="0082094E" w:rsidRPr="00B338E4">
        <w:t>a</w:t>
      </w:r>
      <w:r w:rsidR="00C1288E" w:rsidRPr="00B338E4">
        <w:t xml:space="preserve"> </w:t>
      </w:r>
      <w:r w:rsidR="0082094E" w:rsidRPr="00B338E4">
        <w:t>que se imparte a los agentes del orden</w:t>
      </w:r>
      <w:r w:rsidR="00B3618D" w:rsidRPr="00B338E4">
        <w:t xml:space="preserve"> sobre el uso de la fuerza</w:t>
      </w:r>
      <w:r w:rsidR="0082094E" w:rsidRPr="00B338E4">
        <w:t>. Sin embargo, preocupan al Comité los informes sobre el recurrente</w:t>
      </w:r>
      <w:r w:rsidR="00C1288E" w:rsidRPr="00B338E4">
        <w:t xml:space="preserve"> uso excesivo de la fuerza por parte de los agentes del orden</w:t>
      </w:r>
      <w:r w:rsidR="00A52CB7" w:rsidRPr="00B338E4">
        <w:t xml:space="preserve"> durante el período en examen</w:t>
      </w:r>
      <w:r w:rsidR="00C1288E" w:rsidRPr="00B338E4">
        <w:t xml:space="preserve">, en particular en el contexto de manifestaciones contra </w:t>
      </w:r>
      <w:r w:rsidR="0082094E" w:rsidRPr="00B338E4">
        <w:rPr>
          <w:shd w:val="clear" w:color="auto" w:fill="FFFFFF"/>
        </w:rPr>
        <w:t>el alza de los precios del combustible y de los alimentos</w:t>
      </w:r>
      <w:r w:rsidR="00A52CB7" w:rsidRPr="00B338E4">
        <w:rPr>
          <w:shd w:val="clear" w:color="auto" w:fill="FFFFFF"/>
        </w:rPr>
        <w:t>,</w:t>
      </w:r>
      <w:r w:rsidR="0082094E" w:rsidRPr="00B338E4">
        <w:t xml:space="preserve"> </w:t>
      </w:r>
      <w:r w:rsidR="00A52CB7" w:rsidRPr="00B338E4">
        <w:t>y contra</w:t>
      </w:r>
      <w:r w:rsidR="00C1288E" w:rsidRPr="00B338E4">
        <w:t xml:space="preserve"> proyectos mineros e hidroeléctricos, que en ocasiones ha</w:t>
      </w:r>
      <w:r w:rsidR="00A52CB7" w:rsidRPr="00B338E4">
        <w:t>n</w:t>
      </w:r>
      <w:r w:rsidR="00C1288E" w:rsidRPr="00B338E4">
        <w:t xml:space="preserve"> resultado en muertes de los manifestantes y centenares de heridos, particularmente de personas indígenas, como fue el caso, entre otros, de</w:t>
      </w:r>
      <w:r w:rsidR="00A52CB7" w:rsidRPr="00B338E4">
        <w:t xml:space="preserve"> las protestas ocurridas en Changuinola en 2010, en Colón y San Felix en 2012</w:t>
      </w:r>
      <w:r w:rsidR="00D05B67" w:rsidRPr="00B338E4">
        <w:t>,</w:t>
      </w:r>
      <w:r w:rsidR="008563FA" w:rsidRPr="00B338E4">
        <w:t xml:space="preserve"> y en Chiriquí en 2021. </w:t>
      </w:r>
      <w:r w:rsidR="00C1288E" w:rsidRPr="00B338E4">
        <w:t xml:space="preserve">En ese contexto, </w:t>
      </w:r>
      <w:r w:rsidR="00D05B67" w:rsidRPr="00B338E4">
        <w:t>inquieta</w:t>
      </w:r>
      <w:r w:rsidR="00C1288E" w:rsidRPr="00B338E4">
        <w:t xml:space="preserve"> al Comité que</w:t>
      </w:r>
      <w:r w:rsidR="003C6EA6" w:rsidRPr="00B338E4">
        <w:t>,</w:t>
      </w:r>
      <w:r w:rsidR="00C1288E" w:rsidRPr="00B338E4">
        <w:t xml:space="preserve"> de acuerdo a lo informado por la delegación del Estado parte, hasta la fecha no ha habido condenas por uso excesivo de la fuerza</w:t>
      </w:r>
      <w:r w:rsidR="00B3618D" w:rsidRPr="00B338E4">
        <w:t xml:space="preserve"> (arts. 2, 6, 7, </w:t>
      </w:r>
      <w:r w:rsidR="0082094E" w:rsidRPr="00B338E4">
        <w:t>14</w:t>
      </w:r>
      <w:r w:rsidR="008A5DF6" w:rsidRPr="00B338E4">
        <w:t xml:space="preserve">, </w:t>
      </w:r>
      <w:r w:rsidR="00B3618D" w:rsidRPr="00B338E4">
        <w:t>21</w:t>
      </w:r>
      <w:r w:rsidR="008A5DF6" w:rsidRPr="00B338E4">
        <w:t>, 26 y 27</w:t>
      </w:r>
      <w:r w:rsidR="0082094E" w:rsidRPr="00B338E4">
        <w:t>).</w:t>
      </w:r>
      <w:r w:rsidR="00C1288E" w:rsidRPr="00B338E4">
        <w:t xml:space="preserve"> </w:t>
      </w:r>
    </w:p>
    <w:p w14:paraId="3D0104A0" w14:textId="62DFBBA7" w:rsidR="00730065" w:rsidRPr="00B338E4" w:rsidRDefault="00B338E4" w:rsidP="00B338E4">
      <w:pPr>
        <w:pStyle w:val="SingleTxtG"/>
        <w:rPr>
          <w:b/>
          <w:bCs/>
        </w:rPr>
      </w:pPr>
      <w:r w:rsidRPr="004406BF">
        <w:rPr>
          <w:lang w:val="es-AR" w:eastAsia="es-ES_tradnl"/>
        </w:rPr>
        <w:t>24.</w:t>
      </w:r>
      <w:r w:rsidRPr="004406BF">
        <w:rPr>
          <w:lang w:val="es-AR" w:eastAsia="es-ES_tradnl"/>
        </w:rPr>
        <w:tab/>
      </w:r>
      <w:r w:rsidR="00D05B67" w:rsidRPr="00B338E4">
        <w:rPr>
          <w:b/>
          <w:bCs/>
        </w:rPr>
        <w:t xml:space="preserve">A la luz de sus observaciones generales </w:t>
      </w:r>
      <w:r w:rsidR="00730065" w:rsidRPr="00B338E4">
        <w:rPr>
          <w:b/>
          <w:bCs/>
        </w:rPr>
        <w:t xml:space="preserve">núm. 36 (2019) sobre el derecho a la vida y </w:t>
      </w:r>
      <w:r w:rsidR="00D05B67" w:rsidRPr="00B338E4">
        <w:rPr>
          <w:b/>
          <w:bCs/>
        </w:rPr>
        <w:t>núm. 37 (2020) relativa al derecho de reunión pacífica, e</w:t>
      </w:r>
      <w:r w:rsidR="006759E3" w:rsidRPr="00B338E4">
        <w:rPr>
          <w:b/>
          <w:bCs/>
        </w:rPr>
        <w:t xml:space="preserve">l Estado parte debe </w:t>
      </w:r>
      <w:r w:rsidR="00730065" w:rsidRPr="00B338E4">
        <w:rPr>
          <w:b/>
          <w:bCs/>
        </w:rPr>
        <w:t>garantizar que todas las alegaciones de uso excesivo de la fuerza y violaciones de derechos humanos, incluidas aquellas cometidas en el marco de manifestaciones, sean investigadas sin demora y de manera exhaustiva, independiente e imparcial; que los presuntos autores comparezcan ante la justicia y los responsables sean sancionados adecuadamente; y que las víctimas reciban reparación integral. Asimismo, debe continuar adoptando medidas para prevenir y eliminar de manera efectiva el uso excesivo de la fuerza por los agentes del orden, especialmente en el contexto de manifestaciones, entre otras cosas intensificando su capacitación, en particular acerca</w:t>
      </w:r>
      <w:r w:rsidR="00501E25" w:rsidRPr="00B338E4">
        <w:rPr>
          <w:b/>
          <w:bCs/>
        </w:rPr>
        <w:t xml:space="preserve"> del Pacto, </w:t>
      </w:r>
      <w:r w:rsidR="00730065" w:rsidRPr="00B338E4">
        <w:rPr>
          <w:b/>
          <w:bCs/>
        </w:rPr>
        <w:t>de los Princ</w:t>
      </w:r>
      <w:r w:rsidR="00B3618D" w:rsidRPr="00B338E4">
        <w:rPr>
          <w:b/>
          <w:bCs/>
        </w:rPr>
        <w:t>ipios b</w:t>
      </w:r>
      <w:r w:rsidR="00730065" w:rsidRPr="00B338E4">
        <w:rPr>
          <w:b/>
          <w:bCs/>
        </w:rPr>
        <w:t>ásico</w:t>
      </w:r>
      <w:r w:rsidR="00B3618D" w:rsidRPr="00B338E4">
        <w:rPr>
          <w:b/>
          <w:bCs/>
        </w:rPr>
        <w:t>s sobre el empleo de la fuerza y de armas de fuego por los funcionarios encargados de hacer cumplir la l</w:t>
      </w:r>
      <w:r w:rsidR="00773CA8" w:rsidRPr="00B338E4">
        <w:rPr>
          <w:b/>
          <w:bCs/>
        </w:rPr>
        <w:t>ey</w:t>
      </w:r>
      <w:r w:rsidR="00501E25" w:rsidRPr="00B338E4">
        <w:rPr>
          <w:b/>
          <w:bCs/>
        </w:rPr>
        <w:t xml:space="preserve"> y</w:t>
      </w:r>
      <w:r w:rsidR="00B3618D" w:rsidRPr="00B338E4">
        <w:rPr>
          <w:b/>
          <w:bCs/>
        </w:rPr>
        <w:t xml:space="preserve"> de</w:t>
      </w:r>
      <w:r w:rsidR="00501E25" w:rsidRPr="00B338E4">
        <w:rPr>
          <w:b/>
          <w:bCs/>
        </w:rPr>
        <w:t xml:space="preserve"> las Orientaciones de las </w:t>
      </w:r>
      <w:r w:rsidR="00501E25" w:rsidRPr="00B338E4">
        <w:rPr>
          <w:b/>
          <w:bCs/>
        </w:rPr>
        <w:lastRenderedPageBreak/>
        <w:t>Naciones Unidas en materia de derechos humanos sobre el empleo de armas menos letales en el mantenimiento del orden.</w:t>
      </w:r>
      <w:r w:rsidR="00730065" w:rsidRPr="00B338E4">
        <w:rPr>
          <w:b/>
          <w:bCs/>
        </w:rPr>
        <w:t xml:space="preserve"> </w:t>
      </w:r>
    </w:p>
    <w:p w14:paraId="1B596207" w14:textId="028A4915" w:rsidR="00EA6DD7" w:rsidRPr="00864D47" w:rsidRDefault="00CC6C9C" w:rsidP="00EA6DD7">
      <w:pPr>
        <w:pStyle w:val="H23G"/>
        <w:ind w:firstLine="0"/>
        <w:rPr>
          <w:b w:val="0"/>
        </w:rPr>
      </w:pPr>
      <w:r w:rsidRPr="00F91C7E">
        <w:t>Persona</w:t>
      </w:r>
      <w:r>
        <w:t>s privadas de libertad</w:t>
      </w:r>
      <w:r w:rsidR="0024674F">
        <w:t xml:space="preserve"> y condiciones de detención</w:t>
      </w:r>
    </w:p>
    <w:p w14:paraId="293D6558" w14:textId="7D7E2A97" w:rsidR="00CC6C9C" w:rsidRPr="00B338E4" w:rsidRDefault="00B338E4" w:rsidP="00B338E4">
      <w:pPr>
        <w:pStyle w:val="SingleTxtG"/>
      </w:pPr>
      <w:r>
        <w:rPr>
          <w:lang w:val="es-AR" w:eastAsia="es-ES_tradnl"/>
        </w:rPr>
        <w:t>25.</w:t>
      </w:r>
      <w:r>
        <w:rPr>
          <w:lang w:val="es-AR" w:eastAsia="es-ES_tradnl"/>
        </w:rPr>
        <w:tab/>
      </w:r>
      <w:r w:rsidR="00EA6DD7" w:rsidRPr="00B338E4">
        <w:t xml:space="preserve">El Comité </w:t>
      </w:r>
      <w:r w:rsidR="00CC6C9C" w:rsidRPr="00B338E4">
        <w:t>toma nota de la im</w:t>
      </w:r>
      <w:r w:rsidR="006F6666" w:rsidRPr="00B338E4">
        <w:t>plementación del Sistema Penal A</w:t>
      </w:r>
      <w:r w:rsidR="00CC6C9C" w:rsidRPr="00B338E4">
        <w:t>cusatorio</w:t>
      </w:r>
      <w:r w:rsidR="001E7324" w:rsidRPr="00B338E4">
        <w:t xml:space="preserve"> en el Estado parte</w:t>
      </w:r>
      <w:r w:rsidR="00CC6C9C" w:rsidRPr="00B338E4">
        <w:t xml:space="preserve"> desde septiembre de 2016 y su impacto en la reducción de los niveles de detención preventiva.</w:t>
      </w:r>
      <w:r w:rsidR="00F91C7E" w:rsidRPr="00B338E4">
        <w:t xml:space="preserve"> </w:t>
      </w:r>
      <w:r w:rsidR="00CC6C9C" w:rsidRPr="00B338E4">
        <w:t xml:space="preserve">A pesar de ello, preocupa al Comité los informes </w:t>
      </w:r>
      <w:r w:rsidR="009E6CF0" w:rsidRPr="00B338E4">
        <w:t>según los cuales</w:t>
      </w:r>
      <w:r w:rsidR="00F91C7E" w:rsidRPr="00B338E4">
        <w:t>, en la práctica,</w:t>
      </w:r>
      <w:r w:rsidR="009E6CF0" w:rsidRPr="00B338E4">
        <w:t xml:space="preserve"> se mantiene a las personas en </w:t>
      </w:r>
      <w:r w:rsidR="001E7324" w:rsidRPr="00B338E4">
        <w:t xml:space="preserve">detención preventiva </w:t>
      </w:r>
      <w:r w:rsidR="009E6CF0" w:rsidRPr="00B338E4">
        <w:t xml:space="preserve">durante períodos que exceden los </w:t>
      </w:r>
      <w:r w:rsidR="00CE7331" w:rsidRPr="00B338E4">
        <w:t xml:space="preserve">plazos </w:t>
      </w:r>
      <w:r w:rsidR="009E6CF0" w:rsidRPr="00B338E4">
        <w:t xml:space="preserve">prescritos </w:t>
      </w:r>
      <w:r w:rsidR="00FD6C63" w:rsidRPr="00B338E4">
        <w:t>en el art</w:t>
      </w:r>
      <w:r w:rsidR="009E6CF0" w:rsidRPr="00B338E4">
        <w:t xml:space="preserve">. </w:t>
      </w:r>
      <w:r w:rsidR="00F47387" w:rsidRPr="00B338E4">
        <w:t>12</w:t>
      </w:r>
      <w:r w:rsidR="00911FB4" w:rsidRPr="00B338E4">
        <w:t xml:space="preserve"> </w:t>
      </w:r>
      <w:r w:rsidR="009E6CF0" w:rsidRPr="00B338E4">
        <w:t xml:space="preserve">del Código Procesal Penal. </w:t>
      </w:r>
      <w:r w:rsidR="001E7324" w:rsidRPr="00B338E4">
        <w:t>Le preocupa también que, según lo informado por la</w:t>
      </w:r>
      <w:r w:rsidR="003B0C73" w:rsidRPr="00B338E4">
        <w:t xml:space="preserve"> delegación del Estado parte, so</w:t>
      </w:r>
      <w:r w:rsidR="001E7324" w:rsidRPr="00B338E4">
        <w:t>lo cuatro de los diecisiete centros penitenciarios cumplen a cabalidad con la separac</w:t>
      </w:r>
      <w:r w:rsidR="00FD6C63" w:rsidRPr="00B338E4">
        <w:t xml:space="preserve">ión entre acusados y condenados </w:t>
      </w:r>
      <w:r w:rsidR="00CC6C9C" w:rsidRPr="00B338E4">
        <w:t>(arts.</w:t>
      </w:r>
      <w:r w:rsidR="008A5DF6" w:rsidRPr="00B338E4">
        <w:t xml:space="preserve"> 7, 9, 10</w:t>
      </w:r>
      <w:r w:rsidR="003B0C73" w:rsidRPr="00B338E4">
        <w:t xml:space="preserve"> y</w:t>
      </w:r>
      <w:r w:rsidR="00CE769B" w:rsidRPr="00B338E4">
        <w:t xml:space="preserve"> </w:t>
      </w:r>
      <w:r w:rsidR="003B0C73" w:rsidRPr="00B338E4">
        <w:t>14</w:t>
      </w:r>
      <w:r w:rsidR="00CE769B" w:rsidRPr="00B338E4">
        <w:t>)</w:t>
      </w:r>
      <w:r w:rsidR="00CE7331" w:rsidRPr="00B338E4">
        <w:t>.</w:t>
      </w:r>
    </w:p>
    <w:p w14:paraId="36784CD5" w14:textId="42ACA681" w:rsidR="001E7324" w:rsidRPr="00B338E4" w:rsidRDefault="00B338E4" w:rsidP="00B338E4">
      <w:pPr>
        <w:spacing w:after="120"/>
        <w:ind w:left="1134" w:right="1134"/>
        <w:jc w:val="both"/>
        <w:rPr>
          <w:b/>
        </w:rPr>
      </w:pPr>
      <w:r w:rsidRPr="008E276D">
        <w:rPr>
          <w:lang w:val="es-AR" w:eastAsia="es-ES_tradnl"/>
        </w:rPr>
        <w:t>26.</w:t>
      </w:r>
      <w:r w:rsidRPr="008E276D">
        <w:rPr>
          <w:lang w:val="es-AR" w:eastAsia="es-ES_tradnl"/>
        </w:rPr>
        <w:tab/>
      </w:r>
      <w:r w:rsidR="006A2EA3" w:rsidRPr="00B338E4">
        <w:rPr>
          <w:rStyle w:val="SingleTxtGChar"/>
          <w:b/>
          <w:bCs/>
        </w:rPr>
        <w:t>En consonancia con las recomendaciones anteriores del Comité</w:t>
      </w:r>
      <w:r w:rsidR="006A2EA3" w:rsidRPr="001D4807">
        <w:rPr>
          <w:rStyle w:val="SingleTxtGChar"/>
          <w:vertAlign w:val="superscript"/>
        </w:rPr>
        <w:footnoteReference w:id="12"/>
      </w:r>
      <w:r w:rsidR="001D4807">
        <w:rPr>
          <w:rStyle w:val="SingleTxtGChar"/>
          <w:b/>
          <w:bCs/>
        </w:rPr>
        <w:t>,</w:t>
      </w:r>
      <w:r w:rsidR="006A2EA3" w:rsidRPr="00B338E4">
        <w:rPr>
          <w:rStyle w:val="SingleTxtGChar"/>
          <w:b/>
          <w:bCs/>
        </w:rPr>
        <w:t xml:space="preserve"> e</w:t>
      </w:r>
      <w:r w:rsidR="00FD6C63" w:rsidRPr="00B338E4">
        <w:rPr>
          <w:rStyle w:val="SingleTxtGChar"/>
          <w:b/>
          <w:bCs/>
        </w:rPr>
        <w:t xml:space="preserve">l Estado parte debe </w:t>
      </w:r>
      <w:r w:rsidR="006F6666" w:rsidRPr="00B338E4">
        <w:rPr>
          <w:rStyle w:val="SingleTxtGChar"/>
          <w:b/>
          <w:bCs/>
        </w:rPr>
        <w:t xml:space="preserve">continuar con sus reformas y reducir significativamente </w:t>
      </w:r>
      <w:r w:rsidR="00FD6C63" w:rsidRPr="00B338E4">
        <w:rPr>
          <w:rStyle w:val="SingleTxtGChar"/>
          <w:b/>
          <w:bCs/>
        </w:rPr>
        <w:t xml:space="preserve">la </w:t>
      </w:r>
      <w:r w:rsidR="000F415E" w:rsidRPr="00B338E4">
        <w:rPr>
          <w:rStyle w:val="SingleTxtGChar"/>
          <w:b/>
          <w:bCs/>
        </w:rPr>
        <w:t xml:space="preserve">utilización y </w:t>
      </w:r>
      <w:r w:rsidR="00FD6C63" w:rsidRPr="00B338E4">
        <w:rPr>
          <w:rStyle w:val="SingleTxtGChar"/>
          <w:b/>
          <w:bCs/>
        </w:rPr>
        <w:t>duración de la detención preventiva en la práctica</w:t>
      </w:r>
      <w:r w:rsidR="004A277E" w:rsidRPr="00B338E4">
        <w:rPr>
          <w:rStyle w:val="SingleTxtGChar"/>
          <w:b/>
          <w:bCs/>
        </w:rPr>
        <w:t xml:space="preserve">, </w:t>
      </w:r>
      <w:r w:rsidR="006F6666" w:rsidRPr="00B338E4">
        <w:rPr>
          <w:rStyle w:val="SingleTxtGChar"/>
          <w:b/>
          <w:bCs/>
        </w:rPr>
        <w:t>asegu</w:t>
      </w:r>
      <w:r w:rsidR="004A277E" w:rsidRPr="00B338E4">
        <w:rPr>
          <w:rStyle w:val="SingleTxtGChar"/>
          <w:b/>
          <w:bCs/>
        </w:rPr>
        <w:t>rando</w:t>
      </w:r>
      <w:r w:rsidR="006F6666" w:rsidRPr="00B338E4">
        <w:rPr>
          <w:rStyle w:val="SingleTxtGChar"/>
          <w:b/>
          <w:bCs/>
        </w:rPr>
        <w:t xml:space="preserve"> que </w:t>
      </w:r>
      <w:r w:rsidR="004A12A0" w:rsidRPr="00B338E4">
        <w:rPr>
          <w:rStyle w:val="SingleTxtGChar"/>
          <w:b/>
          <w:bCs/>
        </w:rPr>
        <w:t xml:space="preserve">ésta </w:t>
      </w:r>
      <w:r w:rsidR="006F6666" w:rsidRPr="00B338E4">
        <w:rPr>
          <w:rStyle w:val="SingleTxtGChar"/>
          <w:b/>
          <w:bCs/>
        </w:rPr>
        <w:t>sea excepcional, razonable, necesaria y lo más breve posible</w:t>
      </w:r>
      <w:r w:rsidR="004A12A0" w:rsidRPr="00B338E4">
        <w:rPr>
          <w:rStyle w:val="SingleTxtGChar"/>
          <w:b/>
          <w:bCs/>
        </w:rPr>
        <w:t xml:space="preserve">; </w:t>
      </w:r>
      <w:r w:rsidR="00FD6C63" w:rsidRPr="00B338E4">
        <w:rPr>
          <w:rStyle w:val="SingleTxtGChar"/>
          <w:b/>
          <w:bCs/>
        </w:rPr>
        <w:t>y</w:t>
      </w:r>
      <w:r w:rsidR="00CE7331" w:rsidRPr="00B338E4">
        <w:rPr>
          <w:rStyle w:val="SingleTxtGChar"/>
          <w:b/>
          <w:bCs/>
        </w:rPr>
        <w:t xml:space="preserve"> </w:t>
      </w:r>
      <w:r w:rsidR="004A277E" w:rsidRPr="00B338E4">
        <w:rPr>
          <w:rStyle w:val="SingleTxtGChar"/>
          <w:b/>
          <w:bCs/>
        </w:rPr>
        <w:t xml:space="preserve">garantizar </w:t>
      </w:r>
      <w:r w:rsidR="00FD6C63" w:rsidRPr="00B338E4">
        <w:rPr>
          <w:rStyle w:val="SingleTxtGChar"/>
          <w:b/>
          <w:bCs/>
        </w:rPr>
        <w:t>que las personas en prisión preventiva estén efectivamente separadas de las personas con condena</w:t>
      </w:r>
      <w:r w:rsidR="004A277E" w:rsidRPr="00B338E4">
        <w:rPr>
          <w:rStyle w:val="SingleTxtGChar"/>
          <w:b/>
          <w:bCs/>
        </w:rPr>
        <w:t>.</w:t>
      </w:r>
    </w:p>
    <w:p w14:paraId="4F127764" w14:textId="4DB67239" w:rsidR="00EA6DD7" w:rsidRPr="00B338E4" w:rsidRDefault="00B338E4" w:rsidP="00B338E4">
      <w:pPr>
        <w:spacing w:after="120"/>
        <w:ind w:left="1134" w:right="1134"/>
        <w:jc w:val="both"/>
      </w:pPr>
      <w:r>
        <w:rPr>
          <w:lang w:val="es-AR" w:eastAsia="es-ES_tradnl"/>
        </w:rPr>
        <w:t>27.</w:t>
      </w:r>
      <w:r>
        <w:rPr>
          <w:lang w:val="es-AR" w:eastAsia="es-ES_tradnl"/>
        </w:rPr>
        <w:tab/>
      </w:r>
      <w:r w:rsidR="002F6D2B" w:rsidRPr="00B338E4">
        <w:t xml:space="preserve">El Comité </w:t>
      </w:r>
      <w:r w:rsidR="001A3A42" w:rsidRPr="00B338E4">
        <w:t xml:space="preserve">toma nota de los esfuerzos llevados a cabo por el Estado parte para la mejora de los establecimientos penitenciarios y </w:t>
      </w:r>
      <w:r w:rsidR="0024674F" w:rsidRPr="00B338E4">
        <w:t xml:space="preserve">del anuncio de </w:t>
      </w:r>
      <w:r w:rsidR="001A3A42" w:rsidRPr="00B338E4">
        <w:t>la próxima apertura de nuevos centros</w:t>
      </w:r>
      <w:r w:rsidR="002F6D2B" w:rsidRPr="00B338E4">
        <w:t>. Sin embargo, le</w:t>
      </w:r>
      <w:r w:rsidR="001A3A42" w:rsidRPr="00B338E4">
        <w:t xml:space="preserve"> preocupa la persistencia de altos niveles de hacinamiento</w:t>
      </w:r>
      <w:r w:rsidR="004A277E" w:rsidRPr="00B338E4">
        <w:t>, la precariedad de las condiciones de vida</w:t>
      </w:r>
      <w:r w:rsidR="001A3A42" w:rsidRPr="00B338E4">
        <w:t xml:space="preserve"> </w:t>
      </w:r>
      <w:r w:rsidR="004A12A0" w:rsidRPr="00B338E4">
        <w:t xml:space="preserve">y </w:t>
      </w:r>
      <w:r w:rsidR="004A277E" w:rsidRPr="00B338E4">
        <w:t xml:space="preserve">la </w:t>
      </w:r>
      <w:r w:rsidR="004A12A0" w:rsidRPr="00B338E4">
        <w:t xml:space="preserve">sobrepoblación </w:t>
      </w:r>
      <w:r w:rsidR="001A3A42" w:rsidRPr="00B338E4">
        <w:t xml:space="preserve">en los centros penitenciarios que, según cifras oficiales </w:t>
      </w:r>
      <w:r w:rsidR="004B331C" w:rsidRPr="00B338E4">
        <w:t>a agosto de 2022</w:t>
      </w:r>
      <w:r w:rsidR="004A12A0" w:rsidRPr="00B338E4">
        <w:t>,</w:t>
      </w:r>
      <w:r w:rsidR="001A3A42" w:rsidRPr="00B338E4">
        <w:t xml:space="preserve"> se elevaría</w:t>
      </w:r>
      <w:r w:rsidR="004B331C" w:rsidRPr="00B338E4">
        <w:t xml:space="preserve"> </w:t>
      </w:r>
      <w:r w:rsidR="001A3A42" w:rsidRPr="00B338E4">
        <w:t>a 145%</w:t>
      </w:r>
      <w:r w:rsidR="004B331C" w:rsidRPr="00B338E4">
        <w:t>,</w:t>
      </w:r>
      <w:r w:rsidR="001A3A42" w:rsidRPr="00B338E4">
        <w:t xml:space="preserve"> y en algunos centros llegaría a </w:t>
      </w:r>
      <w:r w:rsidR="005C4961" w:rsidRPr="00B338E4">
        <w:t>más de 400% com</w:t>
      </w:r>
      <w:r w:rsidR="004B331C" w:rsidRPr="00B338E4">
        <w:t>o es el caso de</w:t>
      </w:r>
      <w:r w:rsidR="005C4961" w:rsidRPr="00B338E4">
        <w:t xml:space="preserve"> los </w:t>
      </w:r>
      <w:r w:rsidR="004E2CCF" w:rsidRPr="00B338E4">
        <w:t xml:space="preserve">establecimientos </w:t>
      </w:r>
      <w:r w:rsidR="005C4961" w:rsidRPr="00B338E4">
        <w:t>de Santiago, Chitré y Aguadulce.</w:t>
      </w:r>
      <w:r w:rsidR="001A3A42" w:rsidRPr="00B338E4">
        <w:t xml:space="preserve"> </w:t>
      </w:r>
      <w:r w:rsidR="002F6D2B" w:rsidRPr="00B338E4">
        <w:t>Le preocupa también que el Estado parte aún no haya dado cumplimiento a la medida cautelar dictada por la Comisión Interamericana de Derechos Humanos (resolución 10/17 de 22 de marzo d</w:t>
      </w:r>
      <w:r w:rsidR="00CE7331" w:rsidRPr="00B338E4">
        <w:t xml:space="preserve">e 2017) que </w:t>
      </w:r>
      <w:r w:rsidR="002F6D2B" w:rsidRPr="00B338E4">
        <w:t xml:space="preserve">solicitó al Estado a adoptar de manera inmediata las medidas necesarias para trasladar a todos los detenidos </w:t>
      </w:r>
      <w:r w:rsidR="00DB687F" w:rsidRPr="00B338E4">
        <w:t xml:space="preserve">alojados en el centro de detención transitorio del Servicio Nacional Aeronaval en la isla Punta Coco </w:t>
      </w:r>
      <w:r w:rsidR="002F6D2B" w:rsidRPr="00B338E4">
        <w:t>a un lugar que cumpla con los estándares internacionales aplicables para personas privadas de libertad</w:t>
      </w:r>
      <w:r w:rsidR="00844600" w:rsidRPr="00B338E4">
        <w:t xml:space="preserve"> (arts. 7 y 10</w:t>
      </w:r>
      <w:r w:rsidR="00DB687F" w:rsidRPr="00B338E4">
        <w:t>)</w:t>
      </w:r>
      <w:r w:rsidR="002F6D2B" w:rsidRPr="00B338E4">
        <w:t>.</w:t>
      </w:r>
      <w:r w:rsidR="004C4B2B">
        <w:t xml:space="preserve"> </w:t>
      </w:r>
    </w:p>
    <w:p w14:paraId="164010F1" w14:textId="63F197C8" w:rsidR="00EA6DD7" w:rsidRPr="00B338E4" w:rsidRDefault="00B338E4" w:rsidP="00B338E4">
      <w:pPr>
        <w:pStyle w:val="SingleTxtG"/>
        <w:rPr>
          <w:b/>
          <w:bCs/>
        </w:rPr>
      </w:pPr>
      <w:r w:rsidRPr="0024674F">
        <w:rPr>
          <w:lang w:val="es-AR" w:eastAsia="es-ES_tradnl"/>
        </w:rPr>
        <w:t>28.</w:t>
      </w:r>
      <w:r w:rsidRPr="0024674F">
        <w:rPr>
          <w:lang w:val="es-AR" w:eastAsia="es-ES_tradnl"/>
        </w:rPr>
        <w:tab/>
      </w:r>
      <w:r w:rsidR="006A2EA3" w:rsidRPr="00B338E4">
        <w:rPr>
          <w:b/>
          <w:bCs/>
        </w:rPr>
        <w:t xml:space="preserve">En consonancia con </w:t>
      </w:r>
      <w:r w:rsidR="0024674F" w:rsidRPr="00B338E4">
        <w:rPr>
          <w:b/>
          <w:bCs/>
        </w:rPr>
        <w:t>las recomendaciones anteriores del Comité</w:t>
      </w:r>
      <w:r w:rsidR="0024674F" w:rsidRPr="001D4807">
        <w:rPr>
          <w:rStyle w:val="Refdenotaalpie"/>
          <w:sz w:val="20"/>
        </w:rPr>
        <w:footnoteReference w:id="13"/>
      </w:r>
      <w:r w:rsidR="001D4807">
        <w:rPr>
          <w:b/>
          <w:bCs/>
        </w:rPr>
        <w:t>,</w:t>
      </w:r>
      <w:r w:rsidR="0024674F" w:rsidRPr="00B338E4">
        <w:rPr>
          <w:b/>
          <w:bCs/>
        </w:rPr>
        <w:t xml:space="preserve"> e</w:t>
      </w:r>
      <w:r w:rsidR="00EA6DD7" w:rsidRPr="00B338E4">
        <w:rPr>
          <w:b/>
          <w:bCs/>
        </w:rPr>
        <w:t>l Estado parte</w:t>
      </w:r>
      <w:r w:rsidR="0024674F" w:rsidRPr="00B338E4">
        <w:rPr>
          <w:b/>
          <w:bCs/>
        </w:rPr>
        <w:t xml:space="preserve"> debe:</w:t>
      </w:r>
    </w:p>
    <w:p w14:paraId="04312AC2" w14:textId="4B2E51BE" w:rsidR="004A12A0" w:rsidRPr="00C9297D" w:rsidRDefault="00A147CA" w:rsidP="00C9297D">
      <w:pPr>
        <w:pStyle w:val="SingleTxtG"/>
        <w:rPr>
          <w:b/>
          <w:bCs/>
        </w:rPr>
      </w:pPr>
      <w:r w:rsidRPr="00C9297D">
        <w:rPr>
          <w:b/>
          <w:bCs/>
          <w:lang w:val="es-AR" w:eastAsia="es-ES_tradnl"/>
        </w:rPr>
        <w:tab/>
      </w:r>
      <w:r w:rsidR="00B338E4" w:rsidRPr="00C9297D">
        <w:rPr>
          <w:b/>
          <w:bCs/>
          <w:lang w:val="es-AR" w:eastAsia="es-ES_tradnl"/>
        </w:rPr>
        <w:t>a)</w:t>
      </w:r>
      <w:r w:rsidR="00B338E4" w:rsidRPr="00C9297D">
        <w:rPr>
          <w:b/>
          <w:bCs/>
          <w:lang w:val="es-AR" w:eastAsia="es-ES_tradnl"/>
        </w:rPr>
        <w:tab/>
      </w:r>
      <w:r w:rsidR="0024674F" w:rsidRPr="00C9297D">
        <w:rPr>
          <w:b/>
          <w:bCs/>
        </w:rPr>
        <w:t>Redoblar</w:t>
      </w:r>
      <w:r w:rsidR="00BF7B70" w:rsidRPr="00C9297D">
        <w:rPr>
          <w:b/>
          <w:bCs/>
        </w:rPr>
        <w:t xml:space="preserve"> sus esfuerzos para reducir eficazmente el hacinamiento, entre otras cosa</w:t>
      </w:r>
      <w:r w:rsidR="004A12A0" w:rsidRPr="00C9297D">
        <w:rPr>
          <w:b/>
          <w:bCs/>
        </w:rPr>
        <w:t>s</w:t>
      </w:r>
      <w:r w:rsidR="00BF7B70" w:rsidRPr="00C9297D">
        <w:rPr>
          <w:b/>
          <w:bCs/>
        </w:rPr>
        <w:t>, velando por que se recurra efectivamente a opciones distintas a la privaci</w:t>
      </w:r>
      <w:r w:rsidR="004A12A0" w:rsidRPr="00C9297D">
        <w:rPr>
          <w:b/>
          <w:bCs/>
        </w:rPr>
        <w:t>ón de la libertad;</w:t>
      </w:r>
    </w:p>
    <w:p w14:paraId="6B0A4CF3" w14:textId="4B02C781" w:rsidR="00763092" w:rsidRPr="00C9297D" w:rsidRDefault="00A147CA" w:rsidP="00C9297D">
      <w:pPr>
        <w:pStyle w:val="SingleTxtG"/>
        <w:rPr>
          <w:b/>
          <w:bCs/>
        </w:rPr>
      </w:pPr>
      <w:r w:rsidRPr="00C9297D">
        <w:rPr>
          <w:b/>
          <w:bCs/>
          <w:lang w:val="es-AR" w:eastAsia="es-ES_tradnl"/>
        </w:rPr>
        <w:tab/>
      </w:r>
      <w:r w:rsidR="00B338E4" w:rsidRPr="00C9297D">
        <w:rPr>
          <w:b/>
          <w:bCs/>
          <w:lang w:val="es-AR" w:eastAsia="es-ES_tradnl"/>
        </w:rPr>
        <w:t>b)</w:t>
      </w:r>
      <w:r w:rsidR="00B338E4" w:rsidRPr="00C9297D">
        <w:rPr>
          <w:b/>
          <w:bCs/>
          <w:lang w:val="es-AR" w:eastAsia="es-ES_tradnl"/>
        </w:rPr>
        <w:tab/>
      </w:r>
      <w:r w:rsidR="004A12A0" w:rsidRPr="00C9297D">
        <w:rPr>
          <w:b/>
          <w:bCs/>
        </w:rPr>
        <w:t>M</w:t>
      </w:r>
      <w:r w:rsidR="00BF7B70" w:rsidRPr="00C9297D">
        <w:rPr>
          <w:b/>
          <w:bCs/>
        </w:rPr>
        <w:t xml:space="preserve">ejorar las condiciones de detención </w:t>
      </w:r>
      <w:r w:rsidR="004A277E" w:rsidRPr="00C9297D">
        <w:rPr>
          <w:b/>
          <w:bCs/>
        </w:rPr>
        <w:t xml:space="preserve">garantizando que éstas se ajusten a las Reglas Mínimas de las Naciones Unidas para el Tratamiento de los Reclusos (Reglas Nelson Mandela), así como al </w:t>
      </w:r>
      <w:r w:rsidR="00BF7B70" w:rsidRPr="00C9297D">
        <w:rPr>
          <w:b/>
          <w:bCs/>
        </w:rPr>
        <w:t>respeto de la dignidad de las personas privadas de libertad, de conformidad con el art. 10 del Pacto</w:t>
      </w:r>
      <w:r w:rsidR="004A277E" w:rsidRPr="00C9297D">
        <w:rPr>
          <w:b/>
          <w:bCs/>
        </w:rPr>
        <w:t>,</w:t>
      </w:r>
      <w:r w:rsidR="00BF7B70" w:rsidRPr="00C9297D">
        <w:rPr>
          <w:b/>
          <w:bCs/>
        </w:rPr>
        <w:t xml:space="preserve"> </w:t>
      </w:r>
      <w:r w:rsidR="004A12A0" w:rsidRPr="00C9297D">
        <w:rPr>
          <w:b/>
          <w:bCs/>
        </w:rPr>
        <w:t>incluyendo a través de la asignación de recursos financieros y de personal adecuados</w:t>
      </w:r>
      <w:r w:rsidR="00BF7B70" w:rsidRPr="00C9297D">
        <w:rPr>
          <w:b/>
          <w:bCs/>
        </w:rPr>
        <w:t xml:space="preserve">; </w:t>
      </w:r>
    </w:p>
    <w:p w14:paraId="47B51C8D" w14:textId="3EFAACC3" w:rsidR="00844600" w:rsidRPr="00B338E4" w:rsidRDefault="00A147CA" w:rsidP="00C9297D">
      <w:pPr>
        <w:pStyle w:val="SingleTxtG"/>
        <w:rPr>
          <w:b/>
          <w:bCs/>
        </w:rPr>
      </w:pPr>
      <w:r w:rsidRPr="00C9297D">
        <w:rPr>
          <w:b/>
          <w:bCs/>
          <w:lang w:val="es-AR" w:eastAsia="es-ES_tradnl"/>
        </w:rPr>
        <w:tab/>
      </w:r>
      <w:r w:rsidR="00B338E4" w:rsidRPr="00C9297D">
        <w:rPr>
          <w:b/>
          <w:bCs/>
          <w:lang w:val="es-AR" w:eastAsia="es-ES_tradnl"/>
        </w:rPr>
        <w:t>c)</w:t>
      </w:r>
      <w:r w:rsidR="00B338E4" w:rsidRPr="00C9297D">
        <w:rPr>
          <w:b/>
          <w:bCs/>
          <w:lang w:val="es-AR" w:eastAsia="es-ES_tradnl"/>
        </w:rPr>
        <w:tab/>
      </w:r>
      <w:r w:rsidR="00564201" w:rsidRPr="00B338E4">
        <w:rPr>
          <w:b/>
          <w:bCs/>
        </w:rPr>
        <w:t>Adoptar todas las medidas necesarias para dar cumplimiento a la medida cautelar dictada por la Comisión Interamericana de Derechos Humanos en relación con el centro de detención transitorio de Punta Coco</w:t>
      </w:r>
      <w:r w:rsidR="00024CC4" w:rsidRPr="00B338E4">
        <w:rPr>
          <w:b/>
          <w:bCs/>
          <w:color w:val="000000"/>
          <w:lang w:val="es-419" w:eastAsia="en-GB"/>
        </w:rPr>
        <w:t>.</w:t>
      </w:r>
    </w:p>
    <w:p w14:paraId="33004E4A" w14:textId="246BE6E6" w:rsidR="00844600" w:rsidRPr="00864D47" w:rsidRDefault="004C45B0" w:rsidP="00844600">
      <w:pPr>
        <w:pStyle w:val="H23G"/>
        <w:ind w:firstLine="0"/>
        <w:rPr>
          <w:b w:val="0"/>
        </w:rPr>
      </w:pPr>
      <w:r w:rsidRPr="00F852E2">
        <w:t>Eliminaci</w:t>
      </w:r>
      <w:r w:rsidR="005C20B9" w:rsidRPr="00F852E2">
        <w:t>ón</w:t>
      </w:r>
      <w:r w:rsidR="005C20B9">
        <w:t xml:space="preserve"> del t</w:t>
      </w:r>
      <w:r>
        <w:t>rabajo forzoso y la trata de personas</w:t>
      </w:r>
      <w:r w:rsidR="00844600" w:rsidRPr="008656B8">
        <w:t xml:space="preserve"> </w:t>
      </w:r>
    </w:p>
    <w:p w14:paraId="2DC844ED" w14:textId="4D829D7F" w:rsidR="00844600" w:rsidRPr="00B338E4" w:rsidRDefault="00B338E4" w:rsidP="00B338E4">
      <w:pPr>
        <w:spacing w:after="120"/>
        <w:ind w:left="1134" w:right="1134"/>
        <w:jc w:val="both"/>
      </w:pPr>
      <w:r w:rsidRPr="008E0E1F">
        <w:rPr>
          <w:lang w:val="es-AR" w:eastAsia="es-ES_tradnl"/>
        </w:rPr>
        <w:t>29.</w:t>
      </w:r>
      <w:r w:rsidRPr="008E0E1F">
        <w:rPr>
          <w:lang w:val="es-AR" w:eastAsia="es-ES_tradnl"/>
        </w:rPr>
        <w:tab/>
      </w:r>
      <w:r w:rsidR="00E04CD3" w:rsidRPr="00B338E4">
        <w:t xml:space="preserve">Si bien </w:t>
      </w:r>
      <w:r w:rsidR="009317AA" w:rsidRPr="00B338E4">
        <w:t xml:space="preserve">reconoce los esfuerzos realizados </w:t>
      </w:r>
      <w:r w:rsidR="00E04CD3" w:rsidRPr="00B338E4">
        <w:t>por el Estado parte para combatir la trata de personas</w:t>
      </w:r>
      <w:r w:rsidR="009317AA" w:rsidRPr="00B338E4">
        <w:t xml:space="preserve">, le preocupa la persistencia de </w:t>
      </w:r>
      <w:r w:rsidR="001E5A77" w:rsidRPr="00B338E4">
        <w:t>la trata</w:t>
      </w:r>
      <w:r w:rsidR="00F0617B" w:rsidRPr="00B338E4">
        <w:t xml:space="preserve"> con fines de explotación sexual y trabajo forzoso, que afecta principalmente a mujeres y niñas</w:t>
      </w:r>
      <w:r w:rsidR="005C6BAA" w:rsidRPr="00B338E4">
        <w:t xml:space="preserve"> migrantes</w:t>
      </w:r>
      <w:r w:rsidR="001E5A77" w:rsidRPr="00B338E4">
        <w:t>,</w:t>
      </w:r>
      <w:r w:rsidR="00F0617B" w:rsidRPr="00B338E4">
        <w:t xml:space="preserve"> así como </w:t>
      </w:r>
      <w:r w:rsidR="009317AA" w:rsidRPr="00B338E4">
        <w:t xml:space="preserve">el escaso número de enjuiciamientos y condenas. </w:t>
      </w:r>
      <w:r w:rsidR="00F0617B" w:rsidRPr="00B338E4">
        <w:t>A</w:t>
      </w:r>
      <w:r w:rsidR="001E5A77" w:rsidRPr="00B338E4">
        <w:t>simismo, le</w:t>
      </w:r>
      <w:r w:rsidR="00F0617B" w:rsidRPr="00B338E4">
        <w:t xml:space="preserve"> preocupan los informes relativos a la</w:t>
      </w:r>
      <w:r w:rsidR="005C6BAA" w:rsidRPr="00B338E4">
        <w:t>s</w:t>
      </w:r>
      <w:r w:rsidR="00F0617B" w:rsidRPr="00B338E4">
        <w:t xml:space="preserve"> </w:t>
      </w:r>
      <w:r w:rsidR="005C6BAA" w:rsidRPr="00B338E4">
        <w:t xml:space="preserve">precarias condiciones </w:t>
      </w:r>
      <w:r w:rsidR="00F0617B" w:rsidRPr="00B338E4">
        <w:t>laboral</w:t>
      </w:r>
      <w:r w:rsidR="005C6BAA" w:rsidRPr="00B338E4">
        <w:t>es</w:t>
      </w:r>
      <w:r w:rsidR="00F0617B" w:rsidRPr="00B338E4">
        <w:t xml:space="preserve"> de los trabajadores dom</w:t>
      </w:r>
      <w:r w:rsidR="005C6BAA" w:rsidRPr="00B338E4">
        <w:t>ésticos</w:t>
      </w:r>
      <w:r w:rsidR="00676200" w:rsidRPr="00B338E4">
        <w:t>, cuya mayoría son</w:t>
      </w:r>
      <w:r w:rsidR="005C6BAA" w:rsidRPr="00B338E4">
        <w:t xml:space="preserve"> </w:t>
      </w:r>
      <w:r w:rsidR="00F0617B" w:rsidRPr="00B338E4">
        <w:t>mujeres afrodescen</w:t>
      </w:r>
      <w:r w:rsidR="00676200" w:rsidRPr="00B338E4">
        <w:t>dientes, indígenas y migrantes</w:t>
      </w:r>
      <w:r w:rsidR="007D4D92" w:rsidRPr="00B338E4">
        <w:t>, incluyendo el hecho de que su salario sea menor al mínimo establecido para el resto de los trabajadores</w:t>
      </w:r>
      <w:r w:rsidR="00676200" w:rsidRPr="00B338E4">
        <w:t>. Le preocupa también</w:t>
      </w:r>
      <w:r w:rsidR="001E5A77" w:rsidRPr="00B338E4">
        <w:t xml:space="preserve"> </w:t>
      </w:r>
      <w:r w:rsidR="005C6BAA" w:rsidRPr="00B338E4">
        <w:t>la</w:t>
      </w:r>
      <w:r w:rsidR="00F0617B" w:rsidRPr="00B338E4">
        <w:t xml:space="preserve"> prevalencia </w:t>
      </w:r>
      <w:r w:rsidR="00F0617B" w:rsidRPr="00B338E4">
        <w:lastRenderedPageBreak/>
        <w:t>del trabajo infantil</w:t>
      </w:r>
      <w:r w:rsidR="00F706FF" w:rsidRPr="00B338E4">
        <w:t>,</w:t>
      </w:r>
      <w:r w:rsidR="004C2563" w:rsidRPr="00B338E4">
        <w:t xml:space="preserve"> en particular en el sector agrícola,</w:t>
      </w:r>
      <w:r w:rsidR="00F706FF" w:rsidRPr="00B338E4">
        <w:t xml:space="preserve"> </w:t>
      </w:r>
      <w:r w:rsidR="00D60670" w:rsidRPr="00B338E4">
        <w:t>que afecta principalmente a niños afrodescendientes e indígenas</w:t>
      </w:r>
      <w:r w:rsidR="004C2563" w:rsidRPr="00B338E4">
        <w:t xml:space="preserve"> </w:t>
      </w:r>
      <w:r w:rsidR="00844600" w:rsidRPr="00B338E4">
        <w:t>(a</w:t>
      </w:r>
      <w:r w:rsidR="008A5DF6" w:rsidRPr="00B338E4">
        <w:t xml:space="preserve">rt. 3, 7, 8, </w:t>
      </w:r>
      <w:r w:rsidR="00544EB7" w:rsidRPr="00B338E4">
        <w:t>24</w:t>
      </w:r>
      <w:r w:rsidR="008A5DF6" w:rsidRPr="00B338E4">
        <w:t>, 26 y 27</w:t>
      </w:r>
      <w:r w:rsidR="00844600" w:rsidRPr="00B338E4">
        <w:t>).</w:t>
      </w:r>
      <w:r w:rsidR="002A7778" w:rsidRPr="00B338E4">
        <w:t xml:space="preserve"> </w:t>
      </w:r>
    </w:p>
    <w:p w14:paraId="36749FDA" w14:textId="6D249539" w:rsidR="00647DBC" w:rsidRPr="00B338E4" w:rsidRDefault="00B338E4" w:rsidP="00B338E4">
      <w:pPr>
        <w:pStyle w:val="SingleTxtG"/>
        <w:rPr>
          <w:b/>
          <w:bCs/>
        </w:rPr>
      </w:pPr>
      <w:r w:rsidRPr="00647DBC">
        <w:rPr>
          <w:lang w:val="es-AR" w:eastAsia="es-ES_tradnl"/>
        </w:rPr>
        <w:t>30.</w:t>
      </w:r>
      <w:r w:rsidRPr="00647DBC">
        <w:rPr>
          <w:lang w:val="es-AR" w:eastAsia="es-ES_tradnl"/>
        </w:rPr>
        <w:tab/>
      </w:r>
      <w:r w:rsidR="00844600" w:rsidRPr="00B338E4">
        <w:rPr>
          <w:b/>
          <w:bCs/>
        </w:rPr>
        <w:t>El Estado parte debe</w:t>
      </w:r>
      <w:r w:rsidR="00647DBC" w:rsidRPr="00B338E4">
        <w:rPr>
          <w:b/>
          <w:bCs/>
        </w:rPr>
        <w:t>:</w:t>
      </w:r>
      <w:r w:rsidR="00785BE1" w:rsidRPr="00B338E4">
        <w:rPr>
          <w:b/>
          <w:bCs/>
        </w:rPr>
        <w:t xml:space="preserve"> </w:t>
      </w:r>
    </w:p>
    <w:p w14:paraId="255E5E84" w14:textId="53FBE7B0" w:rsidR="00647DBC" w:rsidRPr="00C9297D" w:rsidRDefault="00B338E4" w:rsidP="00C9297D">
      <w:pPr>
        <w:pStyle w:val="SingleTxtG"/>
        <w:rPr>
          <w:b/>
          <w:bCs/>
        </w:rPr>
      </w:pPr>
      <w:r w:rsidRPr="00C9297D">
        <w:rPr>
          <w:b/>
          <w:bCs/>
          <w:lang w:val="es-AR" w:eastAsia="es-ES_tradnl"/>
        </w:rPr>
        <w:tab/>
        <w:t>a)</w:t>
      </w:r>
      <w:r w:rsidRPr="00C9297D">
        <w:rPr>
          <w:b/>
          <w:bCs/>
          <w:lang w:val="es-AR" w:eastAsia="es-ES_tradnl"/>
        </w:rPr>
        <w:tab/>
      </w:r>
      <w:r w:rsidR="00A27373" w:rsidRPr="00C9297D">
        <w:rPr>
          <w:b/>
          <w:bCs/>
        </w:rPr>
        <w:t>Intensificar sus esfuerzos para prevenir, combatir y sancionar la trata de personas, y garantizar que los delitos de trata sean investigados, los responsab</w:t>
      </w:r>
      <w:r w:rsidR="00EE4B42" w:rsidRPr="00C9297D">
        <w:rPr>
          <w:b/>
          <w:bCs/>
        </w:rPr>
        <w:t xml:space="preserve">les procesados y sancionados, </w:t>
      </w:r>
      <w:r w:rsidR="00A27373" w:rsidRPr="00C9297D">
        <w:rPr>
          <w:b/>
          <w:bCs/>
        </w:rPr>
        <w:t xml:space="preserve">que </w:t>
      </w:r>
      <w:r w:rsidR="00EE4B42" w:rsidRPr="00C9297D">
        <w:rPr>
          <w:b/>
          <w:bCs/>
        </w:rPr>
        <w:t xml:space="preserve">se proporcione a </w:t>
      </w:r>
      <w:r w:rsidR="00A27373" w:rsidRPr="00C9297D">
        <w:rPr>
          <w:b/>
          <w:bCs/>
        </w:rPr>
        <w:t xml:space="preserve">las víctimas </w:t>
      </w:r>
      <w:r w:rsidR="003952AD" w:rsidRPr="00C9297D">
        <w:rPr>
          <w:b/>
          <w:bCs/>
        </w:rPr>
        <w:t>una re</w:t>
      </w:r>
      <w:r w:rsidR="00EE4B42" w:rsidRPr="00C9297D">
        <w:rPr>
          <w:b/>
          <w:bCs/>
        </w:rPr>
        <w:t>par</w:t>
      </w:r>
      <w:r w:rsidR="003952AD" w:rsidRPr="00C9297D">
        <w:rPr>
          <w:b/>
          <w:bCs/>
        </w:rPr>
        <w:t>a</w:t>
      </w:r>
      <w:r w:rsidR="00EE4B42" w:rsidRPr="00C9297D">
        <w:rPr>
          <w:b/>
          <w:bCs/>
        </w:rPr>
        <w:t xml:space="preserve">ción integral y que tengan acceso a </w:t>
      </w:r>
      <w:r w:rsidR="00A27373" w:rsidRPr="00C9297D">
        <w:rPr>
          <w:b/>
          <w:bCs/>
        </w:rPr>
        <w:t>medidas de protección y asistencia adecuadas</w:t>
      </w:r>
      <w:r w:rsidR="00EE4B42" w:rsidRPr="00C9297D">
        <w:rPr>
          <w:b/>
          <w:bCs/>
        </w:rPr>
        <w:t xml:space="preserve">, incluyendo la </w:t>
      </w:r>
      <w:r w:rsidR="00AA062F" w:rsidRPr="00C9297D">
        <w:rPr>
          <w:b/>
          <w:bCs/>
        </w:rPr>
        <w:t xml:space="preserve">suficiente cobertura geográfica de los </w:t>
      </w:r>
      <w:r w:rsidR="00EE4B42" w:rsidRPr="00C9297D">
        <w:rPr>
          <w:b/>
          <w:bCs/>
        </w:rPr>
        <w:t>albergues</w:t>
      </w:r>
      <w:r w:rsidR="00AA062F" w:rsidRPr="00C9297D">
        <w:rPr>
          <w:b/>
          <w:bCs/>
        </w:rPr>
        <w:t>, en particular en zonas fronterizas</w:t>
      </w:r>
      <w:r w:rsidR="00B36AD1" w:rsidRPr="00C9297D">
        <w:rPr>
          <w:b/>
          <w:bCs/>
        </w:rPr>
        <w:t>;</w:t>
      </w:r>
      <w:r w:rsidR="00FA6614" w:rsidRPr="00C9297D">
        <w:rPr>
          <w:b/>
          <w:bCs/>
        </w:rPr>
        <w:t xml:space="preserve"> y</w:t>
      </w:r>
      <w:r w:rsidR="00B36AD1" w:rsidRPr="00C9297D">
        <w:rPr>
          <w:b/>
          <w:bCs/>
        </w:rPr>
        <w:t>, a este respecto, se lo alienta a implementar</w:t>
      </w:r>
      <w:r w:rsidR="00FA6614" w:rsidRPr="00C9297D">
        <w:rPr>
          <w:b/>
          <w:bCs/>
        </w:rPr>
        <w:t xml:space="preserve"> </w:t>
      </w:r>
      <w:r w:rsidR="00C12B33" w:rsidRPr="00C9297D">
        <w:rPr>
          <w:b/>
          <w:bCs/>
          <w:lang w:val="es-419"/>
        </w:rPr>
        <w:t xml:space="preserve">las recomendaciones formuladas </w:t>
      </w:r>
      <w:r w:rsidR="00B670A7" w:rsidRPr="00C9297D">
        <w:rPr>
          <w:b/>
          <w:bCs/>
          <w:lang w:val="es-419"/>
        </w:rPr>
        <w:t xml:space="preserve">en febrero de 2022 </w:t>
      </w:r>
      <w:r w:rsidR="00C12B33" w:rsidRPr="00C9297D">
        <w:rPr>
          <w:b/>
          <w:bCs/>
          <w:lang w:val="es-419"/>
        </w:rPr>
        <w:t>por el Comité para la eliminación de la discriminación contra la mujer</w:t>
      </w:r>
      <w:r w:rsidR="00C12B33" w:rsidRPr="001D4807">
        <w:rPr>
          <w:rStyle w:val="Refdenotaalpie"/>
        </w:rPr>
        <w:footnoteReference w:id="14"/>
      </w:r>
      <w:r w:rsidR="001D4807">
        <w:rPr>
          <w:b/>
          <w:bCs/>
          <w:lang w:val="es-419"/>
        </w:rPr>
        <w:t>;</w:t>
      </w:r>
      <w:r w:rsidR="004C4B2B" w:rsidRPr="00C9297D">
        <w:rPr>
          <w:b/>
          <w:bCs/>
          <w:lang w:val="es-419"/>
        </w:rPr>
        <w:t xml:space="preserve"> </w:t>
      </w:r>
    </w:p>
    <w:p w14:paraId="6AEB3EC5" w14:textId="01971E31" w:rsidR="002576D7" w:rsidRPr="00C9297D" w:rsidRDefault="00B338E4" w:rsidP="00C9297D">
      <w:pPr>
        <w:pStyle w:val="SingleTxtG"/>
        <w:rPr>
          <w:b/>
          <w:bCs/>
        </w:rPr>
      </w:pPr>
      <w:r w:rsidRPr="00C9297D">
        <w:rPr>
          <w:b/>
          <w:bCs/>
          <w:lang w:val="es-AR" w:eastAsia="es-ES_tradnl"/>
        </w:rPr>
        <w:tab/>
        <w:t>b)</w:t>
      </w:r>
      <w:r w:rsidRPr="00C9297D">
        <w:rPr>
          <w:b/>
          <w:bCs/>
          <w:lang w:val="es-AR" w:eastAsia="es-ES_tradnl"/>
        </w:rPr>
        <w:tab/>
      </w:r>
      <w:r w:rsidR="00C95E22" w:rsidRPr="00C9297D">
        <w:rPr>
          <w:b/>
          <w:bCs/>
        </w:rPr>
        <w:t>Garantizar el respeto de los derechos fundamentales de las trabajadoras y los trabajadores domésticos, incluyendo los trabajadores migratorios en situación irregular, y asegurar su protecci</w:t>
      </w:r>
      <w:r w:rsidR="00EE4B42" w:rsidRPr="00C9297D">
        <w:rPr>
          <w:b/>
          <w:bCs/>
        </w:rPr>
        <w:t>ón contra cualquier abuso</w:t>
      </w:r>
      <w:r w:rsidR="00C95E22" w:rsidRPr="00C9297D">
        <w:rPr>
          <w:b/>
          <w:bCs/>
        </w:rPr>
        <w:t>, su acceso efectivo a la justicia, y la investigación y sanción de cualquier violación de sus derechos</w:t>
      </w:r>
      <w:r w:rsidR="00610362" w:rsidRPr="00C9297D">
        <w:rPr>
          <w:b/>
          <w:bCs/>
        </w:rPr>
        <w:t>;</w:t>
      </w:r>
      <w:r w:rsidR="00C12B33" w:rsidRPr="00C9297D">
        <w:rPr>
          <w:b/>
          <w:bCs/>
        </w:rPr>
        <w:t xml:space="preserve"> </w:t>
      </w:r>
    </w:p>
    <w:p w14:paraId="131ADB2C" w14:textId="1D6DF1F4" w:rsidR="00A27373" w:rsidRPr="00C9297D" w:rsidRDefault="00B338E4" w:rsidP="00C9297D">
      <w:pPr>
        <w:pStyle w:val="SingleTxtG"/>
        <w:rPr>
          <w:b/>
          <w:bCs/>
        </w:rPr>
      </w:pPr>
      <w:r w:rsidRPr="00C9297D">
        <w:rPr>
          <w:b/>
          <w:bCs/>
          <w:lang w:val="es-AR" w:eastAsia="es-ES_tradnl"/>
        </w:rPr>
        <w:tab/>
        <w:t>c)</w:t>
      </w:r>
      <w:r w:rsidRPr="00C9297D">
        <w:rPr>
          <w:b/>
          <w:bCs/>
          <w:lang w:val="es-AR" w:eastAsia="es-ES_tradnl"/>
        </w:rPr>
        <w:tab/>
      </w:r>
      <w:r w:rsidR="00A27373" w:rsidRPr="00C9297D">
        <w:rPr>
          <w:b/>
          <w:bCs/>
        </w:rPr>
        <w:t xml:space="preserve">Reforzar las medidas para prevenir, combatir y sancionar el trabajo infantil, especialmente en el sector agrícola, </w:t>
      </w:r>
      <w:r w:rsidR="00AA062F" w:rsidRPr="00C9297D">
        <w:rPr>
          <w:b/>
          <w:bCs/>
        </w:rPr>
        <w:t>entre otros aumentando</w:t>
      </w:r>
      <w:r w:rsidR="002576D7" w:rsidRPr="00C9297D">
        <w:rPr>
          <w:b/>
          <w:bCs/>
        </w:rPr>
        <w:t xml:space="preserve"> </w:t>
      </w:r>
      <w:r w:rsidR="00AA062F" w:rsidRPr="00C9297D">
        <w:rPr>
          <w:b/>
          <w:bCs/>
        </w:rPr>
        <w:t>las inspeccio</w:t>
      </w:r>
      <w:r w:rsidR="002576D7" w:rsidRPr="00C9297D">
        <w:rPr>
          <w:b/>
          <w:bCs/>
        </w:rPr>
        <w:t>n</w:t>
      </w:r>
      <w:r w:rsidR="00AA062F" w:rsidRPr="00C9297D">
        <w:rPr>
          <w:b/>
          <w:bCs/>
        </w:rPr>
        <w:t>es de</w:t>
      </w:r>
      <w:r w:rsidR="002576D7" w:rsidRPr="00C9297D">
        <w:rPr>
          <w:b/>
          <w:bCs/>
        </w:rPr>
        <w:t xml:space="preserve"> trabajo, </w:t>
      </w:r>
      <w:r w:rsidR="00C95E22" w:rsidRPr="00C9297D">
        <w:rPr>
          <w:b/>
          <w:bCs/>
        </w:rPr>
        <w:t xml:space="preserve">las campañas de sensibilización y </w:t>
      </w:r>
      <w:r w:rsidR="002576D7" w:rsidRPr="00C9297D">
        <w:rPr>
          <w:b/>
          <w:bCs/>
        </w:rPr>
        <w:t xml:space="preserve">los </w:t>
      </w:r>
      <w:r w:rsidR="00C95E22" w:rsidRPr="00C9297D">
        <w:rPr>
          <w:b/>
          <w:bCs/>
        </w:rPr>
        <w:t>programas de educación y formación profesional para los niños y adole</w:t>
      </w:r>
      <w:r w:rsidR="00EE4B42" w:rsidRPr="00C9297D">
        <w:rPr>
          <w:b/>
          <w:bCs/>
        </w:rPr>
        <w:t>scentes de familias vulnerables</w:t>
      </w:r>
      <w:r w:rsidR="004656D1" w:rsidRPr="00C9297D">
        <w:rPr>
          <w:b/>
          <w:bCs/>
        </w:rPr>
        <w:t>, y garantizar el cumplimiento de las disposiciones normativas relativas a la enseñanza primaria obligatoria, como medio para impedir que los niños sean sometidos a trabajo infantil</w:t>
      </w:r>
      <w:r w:rsidR="003D6960" w:rsidRPr="00C9297D">
        <w:rPr>
          <w:b/>
          <w:bCs/>
        </w:rPr>
        <w:t>;</w:t>
      </w:r>
    </w:p>
    <w:p w14:paraId="3026AADF" w14:textId="1DE7E14E" w:rsidR="00EE4B42" w:rsidRPr="00B338E4" w:rsidRDefault="00B338E4" w:rsidP="00C9297D">
      <w:pPr>
        <w:pStyle w:val="SingleTxtG"/>
        <w:rPr>
          <w:b/>
          <w:bCs/>
        </w:rPr>
      </w:pPr>
      <w:r w:rsidRPr="00C9297D">
        <w:rPr>
          <w:b/>
          <w:bCs/>
          <w:lang w:val="es-AR" w:eastAsia="es-ES_tradnl"/>
        </w:rPr>
        <w:tab/>
        <w:t>d)</w:t>
      </w:r>
      <w:r w:rsidRPr="00C9297D">
        <w:rPr>
          <w:b/>
          <w:bCs/>
          <w:lang w:val="es-AR" w:eastAsia="es-ES_tradnl"/>
        </w:rPr>
        <w:tab/>
      </w:r>
      <w:r w:rsidR="00AA062F" w:rsidRPr="00B338E4">
        <w:rPr>
          <w:b/>
          <w:bCs/>
        </w:rPr>
        <w:t>Garantizar la asignación de los recursos financieros, técnicos y de personal adecuados para todas las instituciones encargadas de prevenir, combatir y sancionar la trata de personas, la explotación laboral y el trabajo infantil</w:t>
      </w:r>
      <w:r w:rsidR="00750281" w:rsidRPr="00B338E4">
        <w:rPr>
          <w:b/>
          <w:bCs/>
        </w:rPr>
        <w:t>, así como una adecuada capacitación y sensibilización de sus funcionarios</w:t>
      </w:r>
      <w:r w:rsidR="00AA062F" w:rsidRPr="00B338E4">
        <w:rPr>
          <w:b/>
          <w:bCs/>
        </w:rPr>
        <w:t>.</w:t>
      </w:r>
    </w:p>
    <w:p w14:paraId="2030524B" w14:textId="22ABD3D3" w:rsidR="00775188" w:rsidRPr="00864D47" w:rsidRDefault="00775188" w:rsidP="00775188">
      <w:pPr>
        <w:pStyle w:val="H23G"/>
        <w:ind w:firstLine="0"/>
        <w:rPr>
          <w:b w:val="0"/>
        </w:rPr>
      </w:pPr>
      <w:r w:rsidRPr="00775188">
        <w:t xml:space="preserve">Independencia del </w:t>
      </w:r>
      <w:r w:rsidR="00FF4291">
        <w:t>p</w:t>
      </w:r>
      <w:r>
        <w:t>o</w:t>
      </w:r>
      <w:r w:rsidRPr="00775188">
        <w:t xml:space="preserve">der </w:t>
      </w:r>
      <w:r w:rsidR="00FF4291">
        <w:t>j</w:t>
      </w:r>
      <w:r w:rsidRPr="00775188">
        <w:t xml:space="preserve">udicial </w:t>
      </w:r>
    </w:p>
    <w:p w14:paraId="78D1C968" w14:textId="1A68E44C" w:rsidR="00775188" w:rsidRPr="00B338E4" w:rsidRDefault="00B338E4" w:rsidP="00B338E4">
      <w:pPr>
        <w:spacing w:after="120"/>
        <w:ind w:left="1134" w:right="1134"/>
        <w:jc w:val="both"/>
      </w:pPr>
      <w:r w:rsidRPr="004844DD">
        <w:rPr>
          <w:lang w:val="es-AR" w:eastAsia="es-ES_tradnl"/>
        </w:rPr>
        <w:t>31.</w:t>
      </w:r>
      <w:r w:rsidRPr="004844DD">
        <w:rPr>
          <w:lang w:val="es-AR" w:eastAsia="es-ES_tradnl"/>
        </w:rPr>
        <w:tab/>
      </w:r>
      <w:r w:rsidR="00297CCA" w:rsidRPr="00B338E4">
        <w:t>El Comité toma nota de la adopción de la ley núm. 53 de 2015 q</w:t>
      </w:r>
      <w:r w:rsidR="005D3866" w:rsidRPr="00B338E4">
        <w:t xml:space="preserve">ue regula la carrera judicial y de los concursos convocados para cargos de jueces y magistrados sobre la base de esta ley. </w:t>
      </w:r>
      <w:r w:rsidR="004678D9" w:rsidRPr="00B338E4">
        <w:t>Sin perjuicio de ello</w:t>
      </w:r>
      <w:r w:rsidR="005D3866" w:rsidRPr="00B338E4">
        <w:t>, p</w:t>
      </w:r>
      <w:r w:rsidR="004844DD" w:rsidRPr="00B338E4">
        <w:t xml:space="preserve">reocupan al Comité los informes </w:t>
      </w:r>
      <w:r w:rsidR="00FF4291" w:rsidRPr="00B338E4">
        <w:t xml:space="preserve">según los cuales, </w:t>
      </w:r>
      <w:r w:rsidR="004678D9" w:rsidRPr="00B338E4">
        <w:t>durante el periodo en estudio, a pesar de las medidas adoptadas, se habrían continuado observando casos d</w:t>
      </w:r>
      <w:r w:rsidR="00FF4291" w:rsidRPr="00B338E4">
        <w:t>e injerencia</w:t>
      </w:r>
      <w:r w:rsidR="004844DD" w:rsidRPr="00B338E4">
        <w:t xml:space="preserve"> pol</w:t>
      </w:r>
      <w:r w:rsidR="004678D9" w:rsidRPr="00B338E4">
        <w:t>ítica y corrupción</w:t>
      </w:r>
      <w:r w:rsidR="004844DD" w:rsidRPr="00B338E4">
        <w:t xml:space="preserve"> en el Poder Judicial</w:t>
      </w:r>
      <w:r w:rsidR="00A21C3E" w:rsidRPr="00B338E4">
        <w:t>. Asimismo, le preocupa</w:t>
      </w:r>
      <w:r w:rsidR="004678D9" w:rsidRPr="00B338E4">
        <w:t xml:space="preserve"> la información sobre</w:t>
      </w:r>
      <w:r w:rsidR="005D3866" w:rsidRPr="00B338E4">
        <w:t xml:space="preserve"> el </w:t>
      </w:r>
      <w:r w:rsidR="004844DD" w:rsidRPr="00B338E4">
        <w:t>nombramiento de</w:t>
      </w:r>
      <w:r w:rsidR="00F34F0D" w:rsidRPr="00B338E4">
        <w:t xml:space="preserve"> jueces interinos por magistrados </w:t>
      </w:r>
      <w:r w:rsidR="00A21C3E" w:rsidRPr="00B338E4">
        <w:t xml:space="preserve">que han sido </w:t>
      </w:r>
      <w:r w:rsidR="00FF4291" w:rsidRPr="00B338E4">
        <w:t xml:space="preserve">nombrados </w:t>
      </w:r>
      <w:r w:rsidR="005D3866" w:rsidRPr="00B338E4">
        <w:t xml:space="preserve">a su vez </w:t>
      </w:r>
      <w:r w:rsidR="00F34F0D" w:rsidRPr="00B338E4">
        <w:t xml:space="preserve">por el ejecutivo, </w:t>
      </w:r>
      <w:r w:rsidR="00A21C3E" w:rsidRPr="00B338E4">
        <w:t xml:space="preserve">lo </w:t>
      </w:r>
      <w:r w:rsidR="005D3866" w:rsidRPr="00B338E4">
        <w:t xml:space="preserve">que </w:t>
      </w:r>
      <w:r w:rsidR="008657D8" w:rsidRPr="00B338E4">
        <w:t>no garantiza</w:t>
      </w:r>
      <w:r w:rsidR="004844DD" w:rsidRPr="00B338E4">
        <w:t xml:space="preserve"> la independencia y competencia de la judicatura. El Comité lamenta la falta de información sobre los casos de corrupción en el Poder judicial, las investigaciones llevadas a cabo y las sanciones impuestas a los responsables</w:t>
      </w:r>
      <w:r w:rsidR="00FF4291" w:rsidRPr="00B338E4">
        <w:t xml:space="preserve"> </w:t>
      </w:r>
      <w:r w:rsidR="004844DD" w:rsidRPr="00B338E4">
        <w:t>(arts. 2 y 14).</w:t>
      </w:r>
      <w:r w:rsidR="004C4B2B">
        <w:t xml:space="preserve"> </w:t>
      </w:r>
    </w:p>
    <w:p w14:paraId="78E07736" w14:textId="15A85473" w:rsidR="004844DD" w:rsidRPr="00B338E4" w:rsidRDefault="00B338E4" w:rsidP="00B338E4">
      <w:pPr>
        <w:pStyle w:val="SingleTxtG"/>
        <w:rPr>
          <w:b/>
          <w:bCs/>
        </w:rPr>
      </w:pPr>
      <w:r w:rsidRPr="004844DD">
        <w:rPr>
          <w:lang w:val="es-AR" w:eastAsia="es-ES_tradnl"/>
        </w:rPr>
        <w:t>32.</w:t>
      </w:r>
      <w:r w:rsidRPr="004844DD">
        <w:rPr>
          <w:lang w:val="es-AR" w:eastAsia="es-ES_tradnl"/>
        </w:rPr>
        <w:tab/>
      </w:r>
      <w:r w:rsidR="00775188" w:rsidRPr="00B338E4">
        <w:rPr>
          <w:b/>
          <w:bCs/>
        </w:rPr>
        <w:t>El Estado parte debe</w:t>
      </w:r>
      <w:r w:rsidR="004844DD" w:rsidRPr="00B338E4">
        <w:rPr>
          <w:b/>
          <w:bCs/>
        </w:rPr>
        <w:t>:</w:t>
      </w:r>
    </w:p>
    <w:p w14:paraId="48798059" w14:textId="4F4F7CBA" w:rsidR="00586AE7" w:rsidRPr="00C9297D" w:rsidRDefault="00B338E4" w:rsidP="00C9297D">
      <w:pPr>
        <w:pStyle w:val="SingleTxtG"/>
        <w:rPr>
          <w:b/>
          <w:bCs/>
        </w:rPr>
      </w:pPr>
      <w:r w:rsidRPr="00C9297D">
        <w:rPr>
          <w:b/>
          <w:bCs/>
          <w:lang w:val="es-AR" w:eastAsia="es-ES_tradnl"/>
        </w:rPr>
        <w:tab/>
        <w:t>a)</w:t>
      </w:r>
      <w:r w:rsidRPr="00C9297D">
        <w:rPr>
          <w:b/>
          <w:bCs/>
          <w:lang w:val="es-AR" w:eastAsia="es-ES_tradnl"/>
        </w:rPr>
        <w:tab/>
      </w:r>
      <w:r w:rsidR="004678D9" w:rsidRPr="00C9297D">
        <w:rPr>
          <w:b/>
          <w:bCs/>
        </w:rPr>
        <w:t>Redoblar sus esfuerzos para e</w:t>
      </w:r>
      <w:r w:rsidR="00586AE7" w:rsidRPr="00C9297D">
        <w:rPr>
          <w:b/>
          <w:bCs/>
        </w:rPr>
        <w:t>rradicar todas las formas de injerencia política en el Poder Judicial, incluidos de los poderes ejecutivo y legislativo, y garantizar la investigación pronta, minuciosa, independiente e imparcial de todas las denuncias de injerencia y corrupción, y enjuiciar y castigar a los responsables;</w:t>
      </w:r>
    </w:p>
    <w:p w14:paraId="3B61E494" w14:textId="3770BD51" w:rsidR="00F34F0D" w:rsidRPr="00C9297D" w:rsidRDefault="00B338E4" w:rsidP="00C9297D">
      <w:pPr>
        <w:pStyle w:val="SingleTxtG"/>
        <w:rPr>
          <w:b/>
          <w:bCs/>
        </w:rPr>
      </w:pPr>
      <w:r w:rsidRPr="00C9297D">
        <w:rPr>
          <w:b/>
          <w:bCs/>
          <w:lang w:val="es-AR" w:eastAsia="es-ES_tradnl"/>
        </w:rPr>
        <w:tab/>
        <w:t>b)</w:t>
      </w:r>
      <w:r w:rsidRPr="00C9297D">
        <w:rPr>
          <w:b/>
          <w:bCs/>
          <w:lang w:val="es-AR" w:eastAsia="es-ES_tradnl"/>
        </w:rPr>
        <w:tab/>
      </w:r>
      <w:r w:rsidR="004844DD" w:rsidRPr="00C9297D">
        <w:rPr>
          <w:b/>
          <w:bCs/>
        </w:rPr>
        <w:t xml:space="preserve">Intensificar sus esfuerzos para combatir la corrupción en el Poder Judicial, </w:t>
      </w:r>
      <w:r w:rsidR="004678D9" w:rsidRPr="00C9297D">
        <w:rPr>
          <w:b/>
          <w:bCs/>
        </w:rPr>
        <w:t>tomando contundentes medidas para prevenir y sancionar con penas adecuadas los actos de corrupción y sensibilizando</w:t>
      </w:r>
      <w:r w:rsidR="004844DD" w:rsidRPr="00C9297D">
        <w:rPr>
          <w:b/>
          <w:bCs/>
        </w:rPr>
        <w:t xml:space="preserve"> </w:t>
      </w:r>
      <w:r w:rsidR="004678D9" w:rsidRPr="00C9297D">
        <w:rPr>
          <w:b/>
          <w:bCs/>
        </w:rPr>
        <w:t xml:space="preserve">a </w:t>
      </w:r>
      <w:r w:rsidR="004844DD" w:rsidRPr="00C9297D">
        <w:rPr>
          <w:b/>
          <w:bCs/>
        </w:rPr>
        <w:t xml:space="preserve">jueces, fiscales y </w:t>
      </w:r>
      <w:r w:rsidR="00882430" w:rsidRPr="00C9297D">
        <w:rPr>
          <w:b/>
          <w:bCs/>
        </w:rPr>
        <w:t xml:space="preserve">funcionarios encargados de </w:t>
      </w:r>
      <w:r w:rsidR="00323B02" w:rsidRPr="00C9297D">
        <w:rPr>
          <w:b/>
          <w:bCs/>
        </w:rPr>
        <w:t xml:space="preserve">hacer cumplir la ley </w:t>
      </w:r>
      <w:r w:rsidR="004844DD" w:rsidRPr="00C9297D">
        <w:rPr>
          <w:b/>
          <w:bCs/>
        </w:rPr>
        <w:t>sobre</w:t>
      </w:r>
      <w:r w:rsidR="00323B02" w:rsidRPr="00C9297D">
        <w:rPr>
          <w:b/>
          <w:bCs/>
        </w:rPr>
        <w:t xml:space="preserve"> </w:t>
      </w:r>
      <w:r w:rsidR="004844DD" w:rsidRPr="00C9297D">
        <w:rPr>
          <w:b/>
          <w:bCs/>
        </w:rPr>
        <w:t>las formas más efectivas de lucha contra la corrupción;</w:t>
      </w:r>
      <w:r w:rsidR="004678D9" w:rsidRPr="00C9297D">
        <w:rPr>
          <w:b/>
          <w:bCs/>
        </w:rPr>
        <w:t xml:space="preserve"> </w:t>
      </w:r>
    </w:p>
    <w:p w14:paraId="0A253A72" w14:textId="7B1BACC8" w:rsidR="007F31B1" w:rsidRPr="00B338E4" w:rsidRDefault="00B338E4" w:rsidP="00C9297D">
      <w:pPr>
        <w:pStyle w:val="SingleTxtG"/>
        <w:rPr>
          <w:b/>
          <w:bCs/>
        </w:rPr>
      </w:pPr>
      <w:r w:rsidRPr="00C9297D">
        <w:rPr>
          <w:b/>
          <w:bCs/>
          <w:lang w:val="es-AR" w:eastAsia="es-ES_tradnl"/>
        </w:rPr>
        <w:tab/>
        <w:t>c)</w:t>
      </w:r>
      <w:r w:rsidRPr="00C9297D">
        <w:rPr>
          <w:b/>
          <w:bCs/>
          <w:lang w:val="es-AR" w:eastAsia="es-ES_tradnl"/>
        </w:rPr>
        <w:tab/>
      </w:r>
      <w:r w:rsidR="007C6828" w:rsidRPr="00B338E4">
        <w:rPr>
          <w:b/>
          <w:bCs/>
        </w:rPr>
        <w:t xml:space="preserve">Intensificar los esfuerzos para </w:t>
      </w:r>
      <w:r w:rsidR="005618E5" w:rsidRPr="00B338E4">
        <w:rPr>
          <w:b/>
          <w:bCs/>
        </w:rPr>
        <w:t>garantizar que el proceso de selección y nombramiento de jueces y magistrados</w:t>
      </w:r>
      <w:r w:rsidR="00627C20" w:rsidRPr="00B338E4">
        <w:rPr>
          <w:b/>
          <w:bCs/>
        </w:rPr>
        <w:t xml:space="preserve"> sea realizado por un órgano independiente</w:t>
      </w:r>
      <w:r w:rsidR="00882430" w:rsidRPr="00B338E4">
        <w:rPr>
          <w:b/>
          <w:bCs/>
        </w:rPr>
        <w:t>, imparcial e inclusivo</w:t>
      </w:r>
      <w:r w:rsidR="00627C20" w:rsidRPr="00B338E4">
        <w:rPr>
          <w:b/>
          <w:bCs/>
        </w:rPr>
        <w:t xml:space="preserve"> y </w:t>
      </w:r>
      <w:r w:rsidR="008A348F" w:rsidRPr="00B338E4">
        <w:rPr>
          <w:b/>
          <w:bCs/>
        </w:rPr>
        <w:t>se base exclusivamente en criterios objetivos y transparentes para evaluar los méritos de los candidatos, conforme a requisitos de idoneidad, competencia y honorabilidad</w:t>
      </w:r>
      <w:r w:rsidR="007F31B1" w:rsidRPr="00B338E4">
        <w:rPr>
          <w:b/>
          <w:bCs/>
        </w:rPr>
        <w:t xml:space="preserve">. </w:t>
      </w:r>
    </w:p>
    <w:p w14:paraId="4E7179C0" w14:textId="6F43509A" w:rsidR="000B7E8F" w:rsidRPr="00864D47" w:rsidRDefault="000B7E8F" w:rsidP="000B7E8F">
      <w:pPr>
        <w:pStyle w:val="H23G"/>
        <w:ind w:firstLine="0"/>
        <w:rPr>
          <w:b w:val="0"/>
        </w:rPr>
      </w:pPr>
      <w:r w:rsidRPr="00F852E2">
        <w:lastRenderedPageBreak/>
        <w:t>Libertad de expresión</w:t>
      </w:r>
      <w:r>
        <w:t xml:space="preserve"> </w:t>
      </w:r>
      <w:r w:rsidR="001A30AD">
        <w:t xml:space="preserve">y </w:t>
      </w:r>
      <w:r>
        <w:t>violencia contra personas defensoras de derechos humanos</w:t>
      </w:r>
      <w:r w:rsidRPr="008656B8">
        <w:t xml:space="preserve"> </w:t>
      </w:r>
    </w:p>
    <w:p w14:paraId="725886F3" w14:textId="7E8725F9" w:rsidR="000B7E8F" w:rsidRPr="00B338E4" w:rsidRDefault="00B338E4" w:rsidP="00B338E4">
      <w:pPr>
        <w:spacing w:after="120"/>
        <w:ind w:left="1134" w:right="1134"/>
        <w:jc w:val="both"/>
      </w:pPr>
      <w:r>
        <w:rPr>
          <w:lang w:val="es-AR" w:eastAsia="es-ES_tradnl"/>
        </w:rPr>
        <w:t>33.</w:t>
      </w:r>
      <w:r>
        <w:rPr>
          <w:lang w:val="es-AR" w:eastAsia="es-ES_tradnl"/>
        </w:rPr>
        <w:tab/>
      </w:r>
      <w:r w:rsidR="00B42ED0" w:rsidRPr="00B338E4">
        <w:t xml:space="preserve">Si bien toma nota del establecimiento de la Unidad de Protección a Víctimas, Testigos Peritos y demás intervinientes en el proceso penal, preocupa al Comité </w:t>
      </w:r>
      <w:r w:rsidR="001462B5" w:rsidRPr="00B338E4">
        <w:t xml:space="preserve">la falta de una </w:t>
      </w:r>
      <w:r w:rsidR="00B42ED0" w:rsidRPr="00B338E4">
        <w:t xml:space="preserve">legislación específica </w:t>
      </w:r>
      <w:r w:rsidR="001462B5" w:rsidRPr="00B338E4">
        <w:t xml:space="preserve">en el Estado parte </w:t>
      </w:r>
      <w:r w:rsidR="00B42ED0" w:rsidRPr="00B338E4">
        <w:t>para proteger a las personas d</w:t>
      </w:r>
      <w:r w:rsidR="001462B5" w:rsidRPr="00B338E4">
        <w:t xml:space="preserve">efensoras de derechos </w:t>
      </w:r>
      <w:r w:rsidR="00F852E2" w:rsidRPr="00B338E4">
        <w:t>humanos,</w:t>
      </w:r>
      <w:r w:rsidR="001462B5" w:rsidRPr="00B338E4">
        <w:t xml:space="preserve"> </w:t>
      </w:r>
      <w:r w:rsidR="00A21C3E" w:rsidRPr="00B338E4">
        <w:t>y</w:t>
      </w:r>
      <w:r w:rsidR="001462B5" w:rsidRPr="00B338E4">
        <w:t xml:space="preserve"> los informes sobre host</w:t>
      </w:r>
      <w:r w:rsidR="00A21C3E" w:rsidRPr="00B338E4">
        <w:t>igamiento y amenazas</w:t>
      </w:r>
      <w:r w:rsidR="001462B5" w:rsidRPr="00B338E4">
        <w:t xml:space="preserve">, en particular contra defensores del </w:t>
      </w:r>
      <w:r w:rsidR="001A30AD" w:rsidRPr="00B338E4">
        <w:t xml:space="preserve">medio </w:t>
      </w:r>
      <w:r w:rsidR="001462B5" w:rsidRPr="00B338E4">
        <w:t>ambiente y de los pueblos indígenas.</w:t>
      </w:r>
      <w:r w:rsidR="00AB4C18" w:rsidRPr="00B338E4">
        <w:t xml:space="preserve"> Le preocupa también los informes sobre el aumento del uso de acciones judiciales</w:t>
      </w:r>
      <w:r w:rsidR="001A30AD" w:rsidRPr="00B338E4">
        <w:t xml:space="preserve">, principalmente basadas en los delitos de calumnia e injuria, </w:t>
      </w:r>
      <w:r w:rsidR="00AB4C18" w:rsidRPr="00B338E4">
        <w:t>en contra de medios de comunicaci</w:t>
      </w:r>
      <w:r w:rsidR="001A30AD" w:rsidRPr="00B338E4">
        <w:t>ón y periodistas como</w:t>
      </w:r>
      <w:r w:rsidR="00AB4C18" w:rsidRPr="00B338E4">
        <w:t xml:space="preserve"> mecanismo de intimidación y amenaza, especialmente contra aquellos que investigan e informan sobre temas de interés público, como </w:t>
      </w:r>
      <w:r w:rsidR="00A21C3E" w:rsidRPr="00B338E4">
        <w:t xml:space="preserve">son los </w:t>
      </w:r>
      <w:r w:rsidR="00AB4C18" w:rsidRPr="00B338E4">
        <w:t>casos de corrupción</w:t>
      </w:r>
      <w:r w:rsidR="001462B5" w:rsidRPr="00B338E4">
        <w:t xml:space="preserve"> </w:t>
      </w:r>
      <w:r w:rsidR="000B7E8F" w:rsidRPr="00B338E4">
        <w:t>(arts. 6, 7, 9, 17, 19 y 22).</w:t>
      </w:r>
    </w:p>
    <w:p w14:paraId="6CAE6A54" w14:textId="27E09F72" w:rsidR="000B7E8F" w:rsidRPr="00BA2758" w:rsidRDefault="00B338E4" w:rsidP="00BA2758">
      <w:pPr>
        <w:pStyle w:val="SingleTxtG"/>
        <w:rPr>
          <w:b/>
          <w:bCs/>
        </w:rPr>
      </w:pPr>
      <w:r w:rsidRPr="001A30AD">
        <w:rPr>
          <w:lang w:val="es-AR" w:eastAsia="es-ES_tradnl"/>
        </w:rPr>
        <w:t>34.</w:t>
      </w:r>
      <w:r w:rsidRPr="001A30AD">
        <w:rPr>
          <w:lang w:val="es-AR" w:eastAsia="es-ES_tradnl"/>
        </w:rPr>
        <w:tab/>
      </w:r>
      <w:r w:rsidR="003F2EF7" w:rsidRPr="00BA2758">
        <w:rPr>
          <w:b/>
          <w:bCs/>
        </w:rPr>
        <w:t>El Estado parte debe adoptar las medidas necesarias a fin de garantizar el pleno disfrute de la liberta</w:t>
      </w:r>
      <w:r w:rsidR="005A5840" w:rsidRPr="00BA2758">
        <w:rPr>
          <w:b/>
          <w:bCs/>
        </w:rPr>
        <w:t>d</w:t>
      </w:r>
      <w:r w:rsidR="003F2EF7" w:rsidRPr="00BA2758">
        <w:rPr>
          <w:b/>
          <w:bCs/>
        </w:rPr>
        <w:t xml:space="preserve"> de expresión de todas las personas, teniendo en cuenta la observación general núm. 34 (2011) del Comité relativa a </w:t>
      </w:r>
      <w:r w:rsidR="005A5840" w:rsidRPr="00BA2758">
        <w:rPr>
          <w:b/>
          <w:bCs/>
        </w:rPr>
        <w:t xml:space="preserve">la libertad de opinión y la libertad de expresión. En particular, el </w:t>
      </w:r>
      <w:r w:rsidR="000B7E8F" w:rsidRPr="00BA2758">
        <w:rPr>
          <w:b/>
          <w:bCs/>
        </w:rPr>
        <w:t>Estado parte</w:t>
      </w:r>
      <w:r w:rsidR="005A5840" w:rsidRPr="00BA2758">
        <w:rPr>
          <w:b/>
          <w:bCs/>
        </w:rPr>
        <w:t xml:space="preserve"> </w:t>
      </w:r>
      <w:r w:rsidR="00142648" w:rsidRPr="00BA2758">
        <w:rPr>
          <w:b/>
          <w:bCs/>
        </w:rPr>
        <w:t>debe</w:t>
      </w:r>
      <w:r w:rsidR="005A5840" w:rsidRPr="00BA2758">
        <w:rPr>
          <w:b/>
          <w:bCs/>
        </w:rPr>
        <w:t>:</w:t>
      </w:r>
    </w:p>
    <w:p w14:paraId="7537E187" w14:textId="068551FA" w:rsidR="001A30AD" w:rsidRPr="00C9297D" w:rsidRDefault="00BA2758" w:rsidP="00C9297D">
      <w:pPr>
        <w:pStyle w:val="SingleTxtG"/>
        <w:rPr>
          <w:b/>
          <w:bCs/>
        </w:rPr>
      </w:pPr>
      <w:r w:rsidRPr="00C9297D">
        <w:rPr>
          <w:b/>
          <w:bCs/>
          <w:lang w:val="es-AR" w:eastAsia="es-ES_tradnl"/>
        </w:rPr>
        <w:tab/>
      </w:r>
      <w:r w:rsidR="00B338E4" w:rsidRPr="00C9297D">
        <w:rPr>
          <w:b/>
          <w:bCs/>
          <w:lang w:val="es-AR" w:eastAsia="es-ES_tradnl"/>
        </w:rPr>
        <w:t>a)</w:t>
      </w:r>
      <w:r w:rsidR="00B338E4" w:rsidRPr="00C9297D">
        <w:rPr>
          <w:b/>
          <w:bCs/>
          <w:lang w:val="es-AR" w:eastAsia="es-ES_tradnl"/>
        </w:rPr>
        <w:tab/>
      </w:r>
      <w:r w:rsidR="001A30AD" w:rsidRPr="00C9297D">
        <w:rPr>
          <w:b/>
          <w:bCs/>
        </w:rPr>
        <w:t xml:space="preserve">Redoblar sus esfuerzos para prevenir los actos de hostigamiento e intimidación contra </w:t>
      </w:r>
      <w:r w:rsidR="00DE02CD" w:rsidRPr="00C9297D">
        <w:rPr>
          <w:b/>
          <w:bCs/>
        </w:rPr>
        <w:t xml:space="preserve">personas </w:t>
      </w:r>
      <w:r w:rsidR="001A30AD" w:rsidRPr="00C9297D">
        <w:rPr>
          <w:b/>
          <w:bCs/>
        </w:rPr>
        <w:t>defensor</w:t>
      </w:r>
      <w:r w:rsidR="00DE02CD" w:rsidRPr="00C9297D">
        <w:rPr>
          <w:b/>
          <w:bCs/>
        </w:rPr>
        <w:t>a</w:t>
      </w:r>
      <w:r w:rsidR="001A30AD" w:rsidRPr="00C9297D">
        <w:rPr>
          <w:b/>
          <w:bCs/>
        </w:rPr>
        <w:t>s de derechos humanos y periodistas, así como garantiza</w:t>
      </w:r>
      <w:r w:rsidR="009C5131" w:rsidRPr="00C9297D">
        <w:rPr>
          <w:b/>
          <w:bCs/>
        </w:rPr>
        <w:t>r</w:t>
      </w:r>
      <w:r w:rsidR="001A30AD" w:rsidRPr="00C9297D">
        <w:rPr>
          <w:b/>
          <w:bCs/>
        </w:rPr>
        <w:t xml:space="preserve"> </w:t>
      </w:r>
      <w:r w:rsidR="009C5131" w:rsidRPr="00C9297D">
        <w:rPr>
          <w:b/>
          <w:bCs/>
        </w:rPr>
        <w:t>que puedan llevar a cabo su trabajo en condiciones adecuadas, incluyendo a través de medidas legislativas especiales para su protección</w:t>
      </w:r>
      <w:r w:rsidR="001A30AD" w:rsidRPr="00C9297D">
        <w:rPr>
          <w:b/>
          <w:bCs/>
        </w:rPr>
        <w:t>;</w:t>
      </w:r>
      <w:r w:rsidR="00D0409E" w:rsidRPr="00C9297D">
        <w:rPr>
          <w:b/>
          <w:bCs/>
        </w:rPr>
        <w:t xml:space="preserve"> </w:t>
      </w:r>
    </w:p>
    <w:p w14:paraId="75AB792C" w14:textId="43A685FD" w:rsidR="00570F72" w:rsidRPr="00C9297D" w:rsidRDefault="00BA2758" w:rsidP="00C9297D">
      <w:pPr>
        <w:pStyle w:val="SingleTxtG"/>
        <w:rPr>
          <w:b/>
          <w:bCs/>
        </w:rPr>
      </w:pPr>
      <w:r w:rsidRPr="00C9297D">
        <w:rPr>
          <w:b/>
          <w:bCs/>
          <w:lang w:val="es-AR" w:eastAsia="es-ES_tradnl"/>
        </w:rPr>
        <w:tab/>
      </w:r>
      <w:r w:rsidR="00B338E4" w:rsidRPr="00C9297D">
        <w:rPr>
          <w:b/>
          <w:bCs/>
          <w:lang w:val="es-AR" w:eastAsia="es-ES_tradnl"/>
        </w:rPr>
        <w:t>b)</w:t>
      </w:r>
      <w:r w:rsidR="00B338E4" w:rsidRPr="00C9297D">
        <w:rPr>
          <w:b/>
          <w:bCs/>
          <w:lang w:val="es-AR" w:eastAsia="es-ES_tradnl"/>
        </w:rPr>
        <w:tab/>
      </w:r>
      <w:r w:rsidR="001A30AD" w:rsidRPr="00C9297D">
        <w:rPr>
          <w:b/>
          <w:bCs/>
        </w:rPr>
        <w:t>A</w:t>
      </w:r>
      <w:r w:rsidR="009C5131" w:rsidRPr="00C9297D">
        <w:rPr>
          <w:b/>
          <w:bCs/>
        </w:rPr>
        <w:t>segurar</w:t>
      </w:r>
      <w:r w:rsidR="001A30AD" w:rsidRPr="00C9297D">
        <w:rPr>
          <w:b/>
          <w:bCs/>
        </w:rPr>
        <w:t xml:space="preserve"> que se investiguen de manera pronta, exhaustiva, independiente e imparcial todas las alegaciones relativas a actos de hostigamiento e intimidación</w:t>
      </w:r>
      <w:r w:rsidR="00DE02CD" w:rsidRPr="00C9297D">
        <w:rPr>
          <w:b/>
          <w:bCs/>
        </w:rPr>
        <w:t xml:space="preserve"> contra personas defensoras de derechos humanos y periodistas</w:t>
      </w:r>
      <w:r w:rsidR="001A30AD" w:rsidRPr="00C9297D">
        <w:rPr>
          <w:b/>
          <w:bCs/>
        </w:rPr>
        <w:t xml:space="preserve">, que los autores sean llevados a la justicia y </w:t>
      </w:r>
      <w:r w:rsidR="00A21C3E" w:rsidRPr="00C9297D">
        <w:rPr>
          <w:b/>
          <w:bCs/>
        </w:rPr>
        <w:t xml:space="preserve">sean </w:t>
      </w:r>
      <w:r w:rsidR="001A30AD" w:rsidRPr="00C9297D">
        <w:rPr>
          <w:b/>
          <w:bCs/>
        </w:rPr>
        <w:t>debidamente sancionados, y que las víctimas reciban una reparación integral;</w:t>
      </w:r>
    </w:p>
    <w:p w14:paraId="1ADCB26D" w14:textId="666F0E27" w:rsidR="004844DD" w:rsidRPr="00BA2758" w:rsidRDefault="00BA2758" w:rsidP="00C9297D">
      <w:pPr>
        <w:pStyle w:val="SingleTxtG"/>
        <w:rPr>
          <w:b/>
          <w:bCs/>
        </w:rPr>
      </w:pPr>
      <w:r w:rsidRPr="00C9297D">
        <w:rPr>
          <w:b/>
          <w:bCs/>
          <w:lang w:val="es-AR" w:eastAsia="es-ES_tradnl"/>
        </w:rPr>
        <w:tab/>
      </w:r>
      <w:r w:rsidR="00B338E4" w:rsidRPr="00C9297D">
        <w:rPr>
          <w:b/>
          <w:bCs/>
          <w:lang w:val="es-AR" w:eastAsia="es-ES_tradnl"/>
        </w:rPr>
        <w:t>c)</w:t>
      </w:r>
      <w:r w:rsidR="00B338E4" w:rsidRPr="00C9297D">
        <w:rPr>
          <w:b/>
          <w:bCs/>
          <w:lang w:val="es-AR" w:eastAsia="es-ES_tradnl"/>
        </w:rPr>
        <w:tab/>
      </w:r>
      <w:r w:rsidR="00020AFF" w:rsidRPr="00BA2758">
        <w:rPr>
          <w:b/>
          <w:bCs/>
        </w:rPr>
        <w:t>Asegurar que las normas relativas a la calumnia e injuria no sirvan en la práctica</w:t>
      </w:r>
      <w:r w:rsidR="00E66831" w:rsidRPr="00BA2758">
        <w:rPr>
          <w:b/>
          <w:bCs/>
        </w:rPr>
        <w:t xml:space="preserve"> como mecanismo</w:t>
      </w:r>
      <w:r w:rsidR="00020AFF" w:rsidRPr="00BA2758">
        <w:rPr>
          <w:b/>
          <w:bCs/>
        </w:rPr>
        <w:t xml:space="preserve"> de</w:t>
      </w:r>
      <w:r w:rsidR="00E66831" w:rsidRPr="00BA2758">
        <w:rPr>
          <w:b/>
          <w:bCs/>
        </w:rPr>
        <w:t xml:space="preserve"> intimidación y amenaza contra medios de comunicación y periodistas, y considerar la posibilidad de eliminar la pena de prisión para estos delitos, teniendo en cuenta que este tipo de pena</w:t>
      </w:r>
      <w:r w:rsidR="00570F72" w:rsidRPr="00BA2758">
        <w:rPr>
          <w:b/>
          <w:bCs/>
        </w:rPr>
        <w:t xml:space="preserve"> nunca es un</w:t>
      </w:r>
      <w:r w:rsidR="00A21C3E" w:rsidRPr="00BA2758">
        <w:rPr>
          <w:b/>
          <w:bCs/>
        </w:rPr>
        <w:t xml:space="preserve"> castigo adecuado en esos casos.</w:t>
      </w:r>
    </w:p>
    <w:p w14:paraId="1B3FF289" w14:textId="41BD76C1" w:rsidR="004D1D3C" w:rsidRPr="006A264A" w:rsidRDefault="004220B4" w:rsidP="004D1D3C">
      <w:pPr>
        <w:pStyle w:val="H23G"/>
        <w:ind w:firstLine="0"/>
        <w:rPr>
          <w:b w:val="0"/>
        </w:rPr>
      </w:pPr>
      <w:r w:rsidRPr="00F852E2">
        <w:t>Migrantes,</w:t>
      </w:r>
      <w:r>
        <w:t xml:space="preserve"> </w:t>
      </w:r>
      <w:r w:rsidRPr="006A264A">
        <w:t>solicitantes de asilo y refugiados</w:t>
      </w:r>
      <w:r w:rsidR="004D1D3C" w:rsidRPr="006A264A">
        <w:t xml:space="preserve"> </w:t>
      </w:r>
    </w:p>
    <w:p w14:paraId="7F483580" w14:textId="2FA697A4" w:rsidR="004D1D3C" w:rsidRPr="00B338E4" w:rsidRDefault="00B338E4" w:rsidP="00BA2758">
      <w:pPr>
        <w:pStyle w:val="SingleTxtG"/>
      </w:pPr>
      <w:r>
        <w:rPr>
          <w:lang w:val="es-AR" w:eastAsia="es-ES_tradnl"/>
        </w:rPr>
        <w:t>35.</w:t>
      </w:r>
      <w:r>
        <w:rPr>
          <w:lang w:val="es-AR" w:eastAsia="es-ES_tradnl"/>
        </w:rPr>
        <w:tab/>
      </w:r>
      <w:r w:rsidR="004D1D3C" w:rsidRPr="00B338E4">
        <w:t>El Comité</w:t>
      </w:r>
      <w:r w:rsidR="006A264A" w:rsidRPr="00B338E4">
        <w:t xml:space="preserve"> toma nota de los esfuerzos </w:t>
      </w:r>
      <w:r w:rsidR="000F1111" w:rsidRPr="00B338E4">
        <w:t xml:space="preserve">adoptados </w:t>
      </w:r>
      <w:r w:rsidR="006A264A" w:rsidRPr="00B338E4">
        <w:t xml:space="preserve">por el Estado parte para </w:t>
      </w:r>
      <w:r w:rsidR="00722E4D" w:rsidRPr="00B338E4">
        <w:t xml:space="preserve">proteger </w:t>
      </w:r>
      <w:r w:rsidR="00606048" w:rsidRPr="00B338E4">
        <w:t>los derechos humanos de</w:t>
      </w:r>
      <w:r w:rsidR="00722E4D" w:rsidRPr="00B338E4">
        <w:t xml:space="preserve"> las personas</w:t>
      </w:r>
      <w:r w:rsidR="000F1111" w:rsidRPr="00B338E4">
        <w:t xml:space="preserve"> </w:t>
      </w:r>
      <w:r w:rsidR="006A264A" w:rsidRPr="00B338E4">
        <w:rPr>
          <w:lang w:val="es-419"/>
        </w:rPr>
        <w:t xml:space="preserve">migrantes, </w:t>
      </w:r>
      <w:r w:rsidR="00722E4D" w:rsidRPr="00B338E4">
        <w:rPr>
          <w:lang w:val="es-419"/>
        </w:rPr>
        <w:t>refugiada</w:t>
      </w:r>
      <w:r w:rsidR="006A264A" w:rsidRPr="00B338E4">
        <w:rPr>
          <w:lang w:val="es-419"/>
        </w:rPr>
        <w:t>s y solicitantes de asilo</w:t>
      </w:r>
      <w:r w:rsidR="000F1111" w:rsidRPr="00B338E4">
        <w:rPr>
          <w:lang w:val="es-419"/>
        </w:rPr>
        <w:t>. Sin embargo, le preocupan los informes</w:t>
      </w:r>
      <w:r w:rsidR="001C2D3E" w:rsidRPr="00B338E4">
        <w:rPr>
          <w:lang w:val="es-419"/>
        </w:rPr>
        <w:t xml:space="preserve"> según los cuales estas personas serían víctimas</w:t>
      </w:r>
      <w:r w:rsidR="000F1111" w:rsidRPr="00B338E4">
        <w:rPr>
          <w:lang w:val="es-419"/>
        </w:rPr>
        <w:t xml:space="preserve"> de </w:t>
      </w:r>
      <w:r w:rsidR="001C2D3E" w:rsidRPr="00B338E4">
        <w:rPr>
          <w:lang w:val="es-419"/>
        </w:rPr>
        <w:t xml:space="preserve">asesinatos, </w:t>
      </w:r>
      <w:r w:rsidR="00722E4D" w:rsidRPr="00B338E4">
        <w:t>desapariciones,</w:t>
      </w:r>
      <w:r w:rsidR="001C2D3E" w:rsidRPr="00B338E4">
        <w:t xml:space="preserve"> secuestros,</w:t>
      </w:r>
      <w:r w:rsidR="00722E4D" w:rsidRPr="00B338E4">
        <w:t xml:space="preserve"> violencia sexual,</w:t>
      </w:r>
      <w:r w:rsidR="00606048" w:rsidRPr="00B338E4">
        <w:t xml:space="preserve"> trata,</w:t>
      </w:r>
      <w:r w:rsidR="00722E4D" w:rsidRPr="00B338E4">
        <w:t xml:space="preserve"> agresiones, robos, intimidación y amenazas por parte de grupos criminales en </w:t>
      </w:r>
      <w:r w:rsidR="001C2D3E" w:rsidRPr="00B338E4">
        <w:t>la ruta migratoria d</w:t>
      </w:r>
      <w:r w:rsidR="00722E4D" w:rsidRPr="00B338E4">
        <w:t>el Tapón del Darién</w:t>
      </w:r>
      <w:r w:rsidR="00606048" w:rsidRPr="00B338E4">
        <w:t xml:space="preserve">. Le preocupa también los informes </w:t>
      </w:r>
      <w:r w:rsidR="001C2D3E" w:rsidRPr="00B338E4">
        <w:t>sobre</w:t>
      </w:r>
      <w:r w:rsidR="00722E4D" w:rsidRPr="00B338E4">
        <w:t xml:space="preserve"> la falta de medidas de protección y de investigaciones </w:t>
      </w:r>
      <w:r w:rsidR="00606048" w:rsidRPr="00B338E4">
        <w:t>adecuadas</w:t>
      </w:r>
      <w:r w:rsidR="004D1D3C" w:rsidRPr="00B338E4">
        <w:t xml:space="preserve"> </w:t>
      </w:r>
      <w:r w:rsidR="00722E4D" w:rsidRPr="00B338E4">
        <w:t xml:space="preserve">al respecto. </w:t>
      </w:r>
      <w:r w:rsidR="00D14D8B" w:rsidRPr="00B338E4">
        <w:t xml:space="preserve">Si bien toma nota de la </w:t>
      </w:r>
      <w:r w:rsidR="0066163E" w:rsidRPr="00B338E4">
        <w:t xml:space="preserve">explicación </w:t>
      </w:r>
      <w:r w:rsidR="00D14D8B" w:rsidRPr="00B338E4">
        <w:t>brindada por el Estado parte</w:t>
      </w:r>
      <w:r w:rsidR="0066163E" w:rsidRPr="00B338E4">
        <w:t xml:space="preserve"> de que las Estaciones de Recepción Migratoria no son centros de detención</w:t>
      </w:r>
      <w:r w:rsidR="00D14D8B" w:rsidRPr="00B338E4">
        <w:t xml:space="preserve">, </w:t>
      </w:r>
      <w:r w:rsidR="00722E4D" w:rsidRPr="00B338E4">
        <w:t>preocupa</w:t>
      </w:r>
      <w:r w:rsidR="00D14D8B" w:rsidRPr="00B338E4">
        <w:t xml:space="preserve"> al Comité</w:t>
      </w:r>
      <w:r w:rsidR="00722E4D" w:rsidRPr="00B338E4">
        <w:t xml:space="preserve"> las alegaciones de que algunas personas alojadas en </w:t>
      </w:r>
      <w:r w:rsidR="0066163E" w:rsidRPr="00B338E4">
        <w:t xml:space="preserve">dichas estaciones </w:t>
      </w:r>
      <w:r w:rsidR="00D14D8B" w:rsidRPr="00B338E4">
        <w:t xml:space="preserve">estarían de facto privadas de libertad al </w:t>
      </w:r>
      <w:r w:rsidR="00722E4D" w:rsidRPr="00B338E4">
        <w:t xml:space="preserve">no </w:t>
      </w:r>
      <w:r w:rsidR="00D14D8B" w:rsidRPr="00B338E4">
        <w:t xml:space="preserve">estar autorizadas a </w:t>
      </w:r>
      <w:r w:rsidR="00722E4D" w:rsidRPr="00B338E4">
        <w:t>salir de dichos centros, salvo para ser trasladada</w:t>
      </w:r>
      <w:r w:rsidR="001C2D3E" w:rsidRPr="00B338E4">
        <w:t>s</w:t>
      </w:r>
      <w:r w:rsidR="00722E4D" w:rsidRPr="00B338E4">
        <w:t xml:space="preserve"> </w:t>
      </w:r>
      <w:r w:rsidR="008C3E14" w:rsidRPr="00B338E4">
        <w:t>por las autoridades hacia la frontera norte</w:t>
      </w:r>
      <w:r w:rsidR="00D14D8B" w:rsidRPr="00B338E4">
        <w:t>, lo que puede durar entre un día a varios meses</w:t>
      </w:r>
      <w:r w:rsidR="008C3E14" w:rsidRPr="00B338E4">
        <w:t xml:space="preserve">. </w:t>
      </w:r>
      <w:r w:rsidR="00606048" w:rsidRPr="00B338E4">
        <w:t>L</w:t>
      </w:r>
      <w:r w:rsidR="008C3E14" w:rsidRPr="00B338E4">
        <w:t>e preocupa</w:t>
      </w:r>
      <w:r w:rsidR="00606048" w:rsidRPr="00B338E4">
        <w:t xml:space="preserve"> igualmente los informes relativos a</w:t>
      </w:r>
      <w:r w:rsidR="008C3E14" w:rsidRPr="00B338E4">
        <w:t xml:space="preserve"> la precariedad de las condiciones de vida en estos centros y el acceso limitado a servicios básico</w:t>
      </w:r>
      <w:r w:rsidR="001C2D3E" w:rsidRPr="00B338E4">
        <w:t>s</w:t>
      </w:r>
      <w:r w:rsidR="008C3E14" w:rsidRPr="00B338E4">
        <w:t>, a pesar de los esfuerzos desplegados por el Estado parte</w:t>
      </w:r>
      <w:r w:rsidR="0066163E" w:rsidRPr="00B338E4">
        <w:t xml:space="preserve"> para mejorar dicha situación</w:t>
      </w:r>
      <w:r w:rsidR="008C3E14" w:rsidRPr="00B338E4">
        <w:t>.</w:t>
      </w:r>
      <w:r w:rsidR="00606048" w:rsidRPr="00B338E4">
        <w:t xml:space="preserve"> El Comité toma nota de la adopción del</w:t>
      </w:r>
      <w:r w:rsidR="007376A2" w:rsidRPr="00B338E4">
        <w:t xml:space="preserve"> Decreto Ejecutivo núm. </w:t>
      </w:r>
      <w:r w:rsidR="00492B6E" w:rsidRPr="00B338E4">
        <w:t xml:space="preserve">5 </w:t>
      </w:r>
      <w:r w:rsidR="007376A2" w:rsidRPr="00B338E4">
        <w:t xml:space="preserve">de 2018 </w:t>
      </w:r>
      <w:r w:rsidR="0066163E" w:rsidRPr="00B338E4">
        <w:t xml:space="preserve">que </w:t>
      </w:r>
      <w:r w:rsidR="007376A2" w:rsidRPr="00B338E4">
        <w:t>amplía las condiciones para optar por el estatus de refugiado</w:t>
      </w:r>
      <w:r w:rsidR="00606048" w:rsidRPr="00B338E4">
        <w:t xml:space="preserve"> </w:t>
      </w:r>
      <w:r w:rsidR="007376A2" w:rsidRPr="00B338E4">
        <w:t xml:space="preserve">y de las medidas para crear </w:t>
      </w:r>
      <w:r w:rsidR="00F7200D" w:rsidRPr="00B338E4">
        <w:t xml:space="preserve">procesos de solicitud de </w:t>
      </w:r>
      <w:r w:rsidR="0024005A" w:rsidRPr="00B338E4">
        <w:t>refugio</w:t>
      </w:r>
      <w:r w:rsidR="00F7200D" w:rsidRPr="00B338E4">
        <w:t xml:space="preserve"> más eficientes y agilizados. No obstante, le preocupa los informes sobre </w:t>
      </w:r>
      <w:r w:rsidR="0024005A" w:rsidRPr="00B338E4">
        <w:t xml:space="preserve">demoras </w:t>
      </w:r>
      <w:r w:rsidR="00DF3F2B" w:rsidRPr="00B338E4">
        <w:t xml:space="preserve">prolongadas </w:t>
      </w:r>
      <w:r w:rsidR="0024005A" w:rsidRPr="00B338E4">
        <w:t>en la determinación de la condición de</w:t>
      </w:r>
      <w:r w:rsidR="00DF3F2B" w:rsidRPr="00B338E4">
        <w:t xml:space="preserve"> refugiado. L</w:t>
      </w:r>
      <w:r w:rsidR="00D90D47" w:rsidRPr="00B338E4">
        <w:t>amenta</w:t>
      </w:r>
      <w:r w:rsidR="00DF3F2B" w:rsidRPr="00B338E4">
        <w:t xml:space="preserve"> también</w:t>
      </w:r>
      <w:r w:rsidR="00D90D47" w:rsidRPr="00B338E4">
        <w:t xml:space="preserve"> la falta de datos estadísticos, desglosados por sexo y edad, sobre el número de solicitantes de asilo y refugiados en el Estado parte y sobre el resultado de sus solicitudes </w:t>
      </w:r>
      <w:r w:rsidR="004D1D3C" w:rsidRPr="00B338E4">
        <w:t>(art</w:t>
      </w:r>
      <w:r w:rsidR="00F852E2" w:rsidRPr="00B338E4">
        <w:t>s</w:t>
      </w:r>
      <w:r w:rsidR="004D1D3C" w:rsidRPr="00B338E4">
        <w:t>. 2</w:t>
      </w:r>
      <w:r w:rsidR="004220B4" w:rsidRPr="00B338E4">
        <w:t>, 9, 10, 12, 13 y 26</w:t>
      </w:r>
      <w:r w:rsidR="004D1D3C" w:rsidRPr="00B338E4">
        <w:t>).</w:t>
      </w:r>
    </w:p>
    <w:p w14:paraId="6834FA3C" w14:textId="3C115BA7" w:rsidR="001C2D3E" w:rsidRPr="00BA2758" w:rsidRDefault="00B338E4" w:rsidP="00BA2758">
      <w:pPr>
        <w:pStyle w:val="SingleTxtG"/>
        <w:rPr>
          <w:b/>
          <w:bCs/>
        </w:rPr>
      </w:pPr>
      <w:r w:rsidRPr="00912D60">
        <w:rPr>
          <w:lang w:val="es-AR" w:eastAsia="es-ES_tradnl"/>
        </w:rPr>
        <w:t>36.</w:t>
      </w:r>
      <w:r w:rsidRPr="00912D60">
        <w:rPr>
          <w:lang w:val="es-AR" w:eastAsia="es-ES_tradnl"/>
        </w:rPr>
        <w:tab/>
      </w:r>
      <w:r w:rsidR="004D1D3C" w:rsidRPr="00BA2758">
        <w:rPr>
          <w:b/>
          <w:bCs/>
        </w:rPr>
        <w:t>El Estado parte debe</w:t>
      </w:r>
      <w:r w:rsidR="001C2D3E" w:rsidRPr="00BA2758">
        <w:rPr>
          <w:b/>
          <w:bCs/>
        </w:rPr>
        <w:t>:</w:t>
      </w:r>
    </w:p>
    <w:p w14:paraId="474FB198" w14:textId="0FC1EBC4" w:rsidR="00595798" w:rsidRPr="00C9297D" w:rsidRDefault="00BA2758" w:rsidP="00BA2758">
      <w:pPr>
        <w:pStyle w:val="SingleTxtG"/>
        <w:rPr>
          <w:b/>
          <w:bCs/>
        </w:rPr>
      </w:pPr>
      <w:r w:rsidRPr="00C9297D">
        <w:rPr>
          <w:b/>
          <w:bCs/>
          <w:lang w:val="es-AR" w:eastAsia="es-ES_tradnl"/>
        </w:rPr>
        <w:tab/>
      </w:r>
      <w:r w:rsidR="00B338E4" w:rsidRPr="00C9297D">
        <w:rPr>
          <w:b/>
          <w:bCs/>
          <w:lang w:val="es-AR" w:eastAsia="es-ES_tradnl"/>
        </w:rPr>
        <w:t>a)</w:t>
      </w:r>
      <w:r w:rsidR="00B338E4" w:rsidRPr="00C9297D">
        <w:rPr>
          <w:b/>
          <w:bCs/>
          <w:lang w:val="es-AR" w:eastAsia="es-ES_tradnl"/>
        </w:rPr>
        <w:tab/>
      </w:r>
      <w:r w:rsidR="00912D60" w:rsidRPr="00C9297D">
        <w:rPr>
          <w:b/>
          <w:bCs/>
        </w:rPr>
        <w:t xml:space="preserve">Adoptar las medidas de protección necesarias para garantizar la vida y la seguridad de las personas migrantes </w:t>
      </w:r>
      <w:r w:rsidR="004747EE" w:rsidRPr="00C9297D">
        <w:rPr>
          <w:b/>
          <w:bCs/>
        </w:rPr>
        <w:t>que atraviesan el Tapón del Darién y para prevenir y combatir eficazmente todas las formas de violencia contra estas personas;</w:t>
      </w:r>
    </w:p>
    <w:p w14:paraId="38FC017F" w14:textId="1D7E8217" w:rsidR="0061310D" w:rsidRPr="00C9297D" w:rsidRDefault="00BA2758" w:rsidP="00BA2758">
      <w:pPr>
        <w:pStyle w:val="SingleTxtG"/>
        <w:rPr>
          <w:b/>
          <w:bCs/>
        </w:rPr>
      </w:pPr>
      <w:r w:rsidRPr="00C9297D">
        <w:rPr>
          <w:b/>
          <w:bCs/>
          <w:lang w:val="es-AR" w:eastAsia="es-ES_tradnl"/>
        </w:rPr>
        <w:lastRenderedPageBreak/>
        <w:tab/>
      </w:r>
      <w:r w:rsidR="00B338E4" w:rsidRPr="00C9297D">
        <w:rPr>
          <w:b/>
          <w:bCs/>
          <w:lang w:val="es-AR" w:eastAsia="es-ES_tradnl"/>
        </w:rPr>
        <w:t>b)</w:t>
      </w:r>
      <w:r w:rsidR="00B338E4" w:rsidRPr="00C9297D">
        <w:rPr>
          <w:b/>
          <w:bCs/>
          <w:lang w:val="es-AR" w:eastAsia="es-ES_tradnl"/>
        </w:rPr>
        <w:tab/>
      </w:r>
      <w:r w:rsidR="00595798" w:rsidRPr="00C9297D">
        <w:rPr>
          <w:b/>
          <w:bCs/>
        </w:rPr>
        <w:t xml:space="preserve">Redoblar </w:t>
      </w:r>
      <w:r w:rsidR="00A400DF" w:rsidRPr="00C9297D">
        <w:rPr>
          <w:b/>
          <w:bCs/>
        </w:rPr>
        <w:t>sus</w:t>
      </w:r>
      <w:r w:rsidR="00595798" w:rsidRPr="00C9297D">
        <w:rPr>
          <w:b/>
          <w:bCs/>
        </w:rPr>
        <w:t xml:space="preserve"> esfuerzos para investigar las alegaciones de asesinatos, desapariciones, secuestros, violencia sexual, trata, agresiones, robos, intimidación y amenaza</w:t>
      </w:r>
      <w:r w:rsidR="00DF3F2B" w:rsidRPr="00C9297D">
        <w:rPr>
          <w:b/>
          <w:bCs/>
        </w:rPr>
        <w:t>s contra las personas migrantes;</w:t>
      </w:r>
      <w:r w:rsidR="00595798" w:rsidRPr="00C9297D">
        <w:rPr>
          <w:b/>
          <w:bCs/>
        </w:rPr>
        <w:t xml:space="preserve"> enjuiciar</w:t>
      </w:r>
      <w:r w:rsidR="00DF3F2B" w:rsidRPr="00C9297D">
        <w:rPr>
          <w:b/>
          <w:bCs/>
        </w:rPr>
        <w:t xml:space="preserve"> y sancionar a los responsables;</w:t>
      </w:r>
      <w:r w:rsidR="00595798" w:rsidRPr="00C9297D">
        <w:rPr>
          <w:b/>
          <w:bCs/>
        </w:rPr>
        <w:t xml:space="preserve"> y brindar una reparación integral a las víctimas</w:t>
      </w:r>
      <w:r w:rsidR="00A37675" w:rsidRPr="00C9297D">
        <w:rPr>
          <w:b/>
          <w:bCs/>
        </w:rPr>
        <w:t xml:space="preserve"> y a sus familiares</w:t>
      </w:r>
      <w:r w:rsidR="00595798" w:rsidRPr="00C9297D">
        <w:rPr>
          <w:b/>
          <w:bCs/>
        </w:rPr>
        <w:t xml:space="preserve">; </w:t>
      </w:r>
    </w:p>
    <w:p w14:paraId="660E1807" w14:textId="19517590" w:rsidR="00825BC3" w:rsidRPr="00C9297D" w:rsidRDefault="00BA2758" w:rsidP="00BA2758">
      <w:pPr>
        <w:pStyle w:val="SingleTxtG"/>
        <w:rPr>
          <w:b/>
          <w:bCs/>
        </w:rPr>
      </w:pPr>
      <w:r w:rsidRPr="00C9297D">
        <w:rPr>
          <w:b/>
          <w:bCs/>
          <w:lang w:val="es-AR" w:eastAsia="es-ES_tradnl"/>
        </w:rPr>
        <w:tab/>
      </w:r>
      <w:r w:rsidR="00B338E4" w:rsidRPr="00C9297D">
        <w:rPr>
          <w:b/>
          <w:bCs/>
          <w:lang w:val="es-AR" w:eastAsia="es-ES_tradnl"/>
        </w:rPr>
        <w:t>c)</w:t>
      </w:r>
      <w:r w:rsidR="00B338E4" w:rsidRPr="00C9297D">
        <w:rPr>
          <w:b/>
          <w:bCs/>
          <w:lang w:val="es-AR" w:eastAsia="es-ES_tradnl"/>
        </w:rPr>
        <w:tab/>
      </w:r>
      <w:r w:rsidR="006929DB" w:rsidRPr="00C9297D">
        <w:rPr>
          <w:b/>
          <w:bCs/>
        </w:rPr>
        <w:t>Respetar plena</w:t>
      </w:r>
      <w:r w:rsidR="0066163E" w:rsidRPr="00C9297D">
        <w:rPr>
          <w:b/>
          <w:bCs/>
        </w:rPr>
        <w:t>mente los derechos humanos de las personas</w:t>
      </w:r>
      <w:r w:rsidR="006929DB" w:rsidRPr="00C9297D">
        <w:rPr>
          <w:b/>
          <w:bCs/>
        </w:rPr>
        <w:t xml:space="preserve"> migrante</w:t>
      </w:r>
      <w:r w:rsidR="0066163E" w:rsidRPr="00C9297D">
        <w:rPr>
          <w:b/>
          <w:bCs/>
        </w:rPr>
        <w:t>s alojada</w:t>
      </w:r>
      <w:r w:rsidR="006929DB" w:rsidRPr="00C9297D">
        <w:rPr>
          <w:b/>
          <w:bCs/>
        </w:rPr>
        <w:t>s en las estaciones de recepción</w:t>
      </w:r>
      <w:r w:rsidR="0066163E" w:rsidRPr="00C9297D">
        <w:rPr>
          <w:b/>
          <w:bCs/>
        </w:rPr>
        <w:t xml:space="preserve"> migratoria, en particular el derecho a no ser privado</w:t>
      </w:r>
      <w:r w:rsidR="00A400DF" w:rsidRPr="00C9297D">
        <w:rPr>
          <w:b/>
          <w:bCs/>
        </w:rPr>
        <w:t xml:space="preserve"> de su libertad, y garantizarles recursos efectivos contra </w:t>
      </w:r>
      <w:r w:rsidR="00DF3F2B" w:rsidRPr="00C9297D">
        <w:rPr>
          <w:b/>
          <w:bCs/>
        </w:rPr>
        <w:t xml:space="preserve">toda </w:t>
      </w:r>
      <w:r w:rsidR="00A400DF" w:rsidRPr="00C9297D">
        <w:rPr>
          <w:b/>
          <w:bCs/>
        </w:rPr>
        <w:t>v</w:t>
      </w:r>
      <w:r w:rsidR="00DF3F2B" w:rsidRPr="00C9297D">
        <w:rPr>
          <w:b/>
          <w:bCs/>
        </w:rPr>
        <w:t>iolación</w:t>
      </w:r>
      <w:r w:rsidR="00A400DF" w:rsidRPr="00C9297D">
        <w:rPr>
          <w:b/>
          <w:bCs/>
        </w:rPr>
        <w:t xml:space="preserve"> de sus derechos</w:t>
      </w:r>
      <w:r w:rsidR="00FA47F2" w:rsidRPr="00C9297D">
        <w:rPr>
          <w:b/>
          <w:bCs/>
        </w:rPr>
        <w:t>;</w:t>
      </w:r>
    </w:p>
    <w:p w14:paraId="05C67D52" w14:textId="4DF0661E" w:rsidR="0061310D" w:rsidRPr="00C9297D" w:rsidRDefault="00BA2758" w:rsidP="00BA2758">
      <w:pPr>
        <w:pStyle w:val="SingleTxtG"/>
        <w:rPr>
          <w:b/>
          <w:bCs/>
        </w:rPr>
      </w:pPr>
      <w:r w:rsidRPr="00C9297D">
        <w:rPr>
          <w:b/>
          <w:bCs/>
          <w:lang w:val="es-AR" w:eastAsia="es-ES_tradnl"/>
        </w:rPr>
        <w:tab/>
      </w:r>
      <w:r w:rsidR="00B338E4" w:rsidRPr="00C9297D">
        <w:rPr>
          <w:b/>
          <w:bCs/>
          <w:lang w:val="es-AR" w:eastAsia="es-ES_tradnl"/>
        </w:rPr>
        <w:t>d)</w:t>
      </w:r>
      <w:r w:rsidR="00B338E4" w:rsidRPr="00C9297D">
        <w:rPr>
          <w:b/>
          <w:bCs/>
          <w:lang w:val="es-AR" w:eastAsia="es-ES_tradnl"/>
        </w:rPr>
        <w:tab/>
      </w:r>
      <w:r w:rsidR="004747EE" w:rsidRPr="00C9297D">
        <w:rPr>
          <w:b/>
          <w:bCs/>
          <w:lang w:val="es-419"/>
        </w:rPr>
        <w:t>Incrementar los esfuerzos para mejorar las condiciones de vida en las estaciones de recepción de migrantes</w:t>
      </w:r>
      <w:r w:rsidR="00595798" w:rsidRPr="00C9297D">
        <w:rPr>
          <w:b/>
          <w:bCs/>
          <w:lang w:val="es-419"/>
        </w:rPr>
        <w:t xml:space="preserve"> y </w:t>
      </w:r>
      <w:r w:rsidR="0061310D" w:rsidRPr="00C9297D">
        <w:rPr>
          <w:b/>
          <w:bCs/>
          <w:lang w:val="es-419"/>
        </w:rPr>
        <w:t>aseg</w:t>
      </w:r>
      <w:r w:rsidR="00595798" w:rsidRPr="00C9297D">
        <w:rPr>
          <w:b/>
          <w:bCs/>
          <w:lang w:val="es-419"/>
        </w:rPr>
        <w:t>urar</w:t>
      </w:r>
      <w:r w:rsidR="0061310D" w:rsidRPr="00C9297D">
        <w:rPr>
          <w:b/>
          <w:bCs/>
          <w:lang w:val="es-419"/>
        </w:rPr>
        <w:t xml:space="preserve"> el acceso a servicio básicos</w:t>
      </w:r>
      <w:r w:rsidR="00DE02CD" w:rsidRPr="00C9297D">
        <w:rPr>
          <w:b/>
          <w:bCs/>
          <w:lang w:val="es-419"/>
        </w:rPr>
        <w:t>; y, a este respecto, se lo alienta a implementar</w:t>
      </w:r>
      <w:r w:rsidR="00A84123" w:rsidRPr="00C9297D">
        <w:rPr>
          <w:b/>
          <w:bCs/>
          <w:lang w:val="es-419"/>
        </w:rPr>
        <w:t>las recomendaciones formuladas en febrero de</w:t>
      </w:r>
      <w:r w:rsidR="00C9297D">
        <w:rPr>
          <w:b/>
          <w:bCs/>
          <w:lang w:val="es-419"/>
        </w:rPr>
        <w:t> </w:t>
      </w:r>
      <w:r w:rsidR="00A84123" w:rsidRPr="00C9297D">
        <w:rPr>
          <w:b/>
          <w:bCs/>
          <w:lang w:val="es-419"/>
        </w:rPr>
        <w:t xml:space="preserve">2023 </w:t>
      </w:r>
      <w:r w:rsidR="0061310D" w:rsidRPr="00C9297D">
        <w:rPr>
          <w:b/>
          <w:bCs/>
          <w:lang w:val="es-419"/>
        </w:rPr>
        <w:t>por el Comité de derechos económicos, sociales y culturales</w:t>
      </w:r>
      <w:r w:rsidR="0061310D" w:rsidRPr="001D4807">
        <w:rPr>
          <w:rStyle w:val="Refdenotaalpie"/>
          <w:sz w:val="20"/>
          <w:lang w:val="es-419"/>
        </w:rPr>
        <w:footnoteReference w:id="15"/>
      </w:r>
      <w:r w:rsidR="001D4807">
        <w:rPr>
          <w:b/>
          <w:bCs/>
          <w:lang w:val="es-419"/>
        </w:rPr>
        <w:t>;</w:t>
      </w:r>
    </w:p>
    <w:p w14:paraId="0B82D1B5" w14:textId="5F280067" w:rsidR="004747EE" w:rsidRPr="00BA2758" w:rsidRDefault="00BA2758" w:rsidP="00BA2758">
      <w:pPr>
        <w:pStyle w:val="SingleTxtG"/>
        <w:rPr>
          <w:b/>
          <w:bCs/>
        </w:rPr>
      </w:pPr>
      <w:r w:rsidRPr="00C9297D">
        <w:rPr>
          <w:b/>
          <w:bCs/>
          <w:lang w:val="es-AR" w:eastAsia="es-ES_tradnl"/>
        </w:rPr>
        <w:tab/>
      </w:r>
      <w:r w:rsidR="00B338E4" w:rsidRPr="00C9297D">
        <w:rPr>
          <w:b/>
          <w:bCs/>
          <w:lang w:val="es-AR" w:eastAsia="es-ES_tradnl"/>
        </w:rPr>
        <w:t>e)</w:t>
      </w:r>
      <w:r w:rsidR="00B338E4" w:rsidRPr="00C9297D">
        <w:rPr>
          <w:b/>
          <w:bCs/>
          <w:lang w:val="es-AR" w:eastAsia="es-ES_tradnl"/>
        </w:rPr>
        <w:tab/>
      </w:r>
      <w:r w:rsidR="00E2210C" w:rsidRPr="00BA2758">
        <w:rPr>
          <w:b/>
          <w:bCs/>
        </w:rPr>
        <w:t>Garantizar en la práctica la protección de los demandantes de asilo y refugio, de conformidad con el Pacto y los estándares internacionales</w:t>
      </w:r>
      <w:r w:rsidR="00AA5519" w:rsidRPr="00BA2758">
        <w:rPr>
          <w:b/>
          <w:bCs/>
        </w:rPr>
        <w:t>,</w:t>
      </w:r>
      <w:r w:rsidR="009B502E" w:rsidRPr="00BA2758">
        <w:rPr>
          <w:b/>
          <w:bCs/>
        </w:rPr>
        <w:t xml:space="preserve"> y f</w:t>
      </w:r>
      <w:r w:rsidR="0024005A" w:rsidRPr="00BA2758">
        <w:rPr>
          <w:b/>
          <w:bCs/>
        </w:rPr>
        <w:t>ortalecer la capacidad de la Oficina Nacional para la Atención de Refugiados, dotándola de los recursos financieros y humanos adecuados, a fin de que pueda atender de manera oportuna las solicitudes de</w:t>
      </w:r>
      <w:r w:rsidR="009B502E" w:rsidRPr="00BA2758">
        <w:rPr>
          <w:b/>
          <w:bCs/>
        </w:rPr>
        <w:t xml:space="preserve"> refugio.</w:t>
      </w:r>
    </w:p>
    <w:p w14:paraId="41D074B9" w14:textId="36604F97" w:rsidR="00E94FC3" w:rsidRPr="00864D47" w:rsidRDefault="00E94FC3" w:rsidP="00E94FC3">
      <w:pPr>
        <w:pStyle w:val="H23G"/>
        <w:ind w:firstLine="0"/>
        <w:rPr>
          <w:b w:val="0"/>
        </w:rPr>
      </w:pPr>
      <w:r>
        <w:t>Derechos del niño</w:t>
      </w:r>
      <w:r w:rsidR="00DA4CA7">
        <w:t xml:space="preserve"> </w:t>
      </w:r>
    </w:p>
    <w:p w14:paraId="751ABED6" w14:textId="6A1BA51F" w:rsidR="00E94FC3" w:rsidRPr="00B338E4" w:rsidRDefault="00B338E4" w:rsidP="00B338E4">
      <w:pPr>
        <w:spacing w:after="120"/>
        <w:ind w:left="1134" w:right="1134"/>
        <w:jc w:val="both"/>
      </w:pPr>
      <w:r>
        <w:rPr>
          <w:lang w:val="es-AR" w:eastAsia="es-ES_tradnl"/>
        </w:rPr>
        <w:t>37.</w:t>
      </w:r>
      <w:r>
        <w:rPr>
          <w:lang w:val="es-AR" w:eastAsia="es-ES_tradnl"/>
        </w:rPr>
        <w:tab/>
      </w:r>
      <w:r w:rsidR="000D5FFA" w:rsidRPr="00B338E4">
        <w:t xml:space="preserve">El Comité celebra la adopción de la ley núm. </w:t>
      </w:r>
      <w:r w:rsidR="00C71730" w:rsidRPr="00B338E4">
        <w:t>2</w:t>
      </w:r>
      <w:r w:rsidR="000D5FFA" w:rsidRPr="00B338E4">
        <w:t>85 de 2022 que crea</w:t>
      </w:r>
      <w:r w:rsidR="00C71730" w:rsidRPr="00B338E4">
        <w:t xml:space="preserve"> el Sistema de Garantías y Protección Integral de los Derechos de las Niñez y la A</w:t>
      </w:r>
      <w:r w:rsidR="008A5EAC" w:rsidRPr="00B338E4">
        <w:t>dolescencia e</w:t>
      </w:r>
      <w:r w:rsidR="00C71730" w:rsidRPr="00B338E4">
        <w:t xml:space="preserve"> incluye </w:t>
      </w:r>
      <w:r w:rsidR="008A5EAC" w:rsidRPr="00B338E4">
        <w:t xml:space="preserve">diversas </w:t>
      </w:r>
      <w:r w:rsidR="00C71730" w:rsidRPr="00B338E4">
        <w:t xml:space="preserve">disposiciones relativas a </w:t>
      </w:r>
      <w:r w:rsidR="008A5EAC" w:rsidRPr="00B338E4">
        <w:t>la violencia contra los niños incluida la violencia física y castigos corporales</w:t>
      </w:r>
      <w:r w:rsidR="00C71730" w:rsidRPr="00B338E4">
        <w:t>. Sin embargo, le preocupa</w:t>
      </w:r>
      <w:r w:rsidR="00A13E1D" w:rsidRPr="00B338E4">
        <w:t xml:space="preserve"> que la práctica de castigos corporales contra los niños persista en el Estado parte, en particular en el ámbito doméstico, y</w:t>
      </w:r>
      <w:r w:rsidR="00C71730" w:rsidRPr="00B338E4">
        <w:t xml:space="preserve"> </w:t>
      </w:r>
      <w:r w:rsidR="008A3860" w:rsidRPr="00B338E4">
        <w:t xml:space="preserve">que el Código de </w:t>
      </w:r>
      <w:r w:rsidR="00A13E1D" w:rsidRPr="00B338E4">
        <w:t xml:space="preserve">la </w:t>
      </w:r>
      <w:r w:rsidR="008A3860" w:rsidRPr="00B338E4">
        <w:t xml:space="preserve">Familia </w:t>
      </w:r>
      <w:r w:rsidR="009C0728" w:rsidRPr="00B338E4">
        <w:t xml:space="preserve">faculte </w:t>
      </w:r>
      <w:r w:rsidR="008A3860" w:rsidRPr="00B338E4">
        <w:t xml:space="preserve">a los padres </w:t>
      </w:r>
      <w:r w:rsidR="009C0728" w:rsidRPr="00B338E4">
        <w:t xml:space="preserve">a corregir a los niños </w:t>
      </w:r>
      <w:r w:rsidR="007336AD">
        <w:t>“</w:t>
      </w:r>
      <w:r w:rsidR="008A3860" w:rsidRPr="00B338E4">
        <w:t>razonable y moderadamente</w:t>
      </w:r>
      <w:r w:rsidR="007336AD">
        <w:t>”</w:t>
      </w:r>
      <w:r w:rsidR="008A3860" w:rsidRPr="00B338E4">
        <w:t xml:space="preserve"> </w:t>
      </w:r>
      <w:r w:rsidR="00A13E1D" w:rsidRPr="00B338E4">
        <w:t>(art.</w:t>
      </w:r>
      <w:r w:rsidR="00C9297D">
        <w:t> </w:t>
      </w:r>
      <w:r w:rsidR="00A13E1D" w:rsidRPr="00B338E4">
        <w:t xml:space="preserve">319) </w:t>
      </w:r>
      <w:r w:rsidR="008A3860" w:rsidRPr="00B338E4">
        <w:t>y</w:t>
      </w:r>
      <w:r w:rsidR="009C0728" w:rsidRPr="00B338E4">
        <w:t xml:space="preserve"> a los tutores</w:t>
      </w:r>
      <w:r w:rsidR="00A13E1D" w:rsidRPr="00B338E4">
        <w:t xml:space="preserve"> </w:t>
      </w:r>
      <w:r w:rsidR="009C0728" w:rsidRPr="00B338E4">
        <w:t xml:space="preserve">a </w:t>
      </w:r>
      <w:r w:rsidR="007336AD">
        <w:t>“</w:t>
      </w:r>
      <w:r w:rsidR="009C0728" w:rsidRPr="00B338E4">
        <w:t xml:space="preserve">corregir moderadamente” </w:t>
      </w:r>
      <w:r w:rsidR="008A3860" w:rsidRPr="00B338E4">
        <w:t>a sus pupilos</w:t>
      </w:r>
      <w:r w:rsidR="00A13E1D" w:rsidRPr="00B338E4">
        <w:t xml:space="preserve"> (art. 443)</w:t>
      </w:r>
      <w:r w:rsidR="008A3860" w:rsidRPr="00B338E4">
        <w:t>.</w:t>
      </w:r>
      <w:r w:rsidR="00C71730" w:rsidRPr="00B338E4">
        <w:t xml:space="preserve"> </w:t>
      </w:r>
      <w:r w:rsidR="00E94FC3" w:rsidRPr="00B338E4">
        <w:t xml:space="preserve">Si bien toma nota de los </w:t>
      </w:r>
      <w:r w:rsidR="00D45A89" w:rsidRPr="00B338E4">
        <w:t xml:space="preserve">importantes </w:t>
      </w:r>
      <w:r w:rsidR="00E94FC3" w:rsidRPr="00B338E4">
        <w:t xml:space="preserve">esfuerzos realizados por el Estado parte para incrementar el registro de nacimientos, el Comité continúa preocupado por el hecho que la mayoría de casos de subregistro de nacimientos </w:t>
      </w:r>
      <w:r w:rsidR="008B0F8E" w:rsidRPr="00B338E4">
        <w:t>esté</w:t>
      </w:r>
      <w:r w:rsidR="00E94FC3" w:rsidRPr="00B338E4">
        <w:t xml:space="preserve">n concentradas en las comarcas indígenas y en áreas </w:t>
      </w:r>
      <w:r w:rsidR="00AA5519" w:rsidRPr="00B338E4">
        <w:t xml:space="preserve">rurales </w:t>
      </w:r>
      <w:r w:rsidR="00E94FC3" w:rsidRPr="00B338E4">
        <w:t xml:space="preserve">de difícil acceso. </w:t>
      </w:r>
      <w:r w:rsidR="00AA5519" w:rsidRPr="00B338E4">
        <w:t>Asimismo, e</w:t>
      </w:r>
      <w:r w:rsidR="008B0F8E" w:rsidRPr="00B338E4">
        <w:t>l Comité toma nota de la información brindada por la delegac</w:t>
      </w:r>
      <w:r w:rsidR="00AA5519" w:rsidRPr="00B338E4">
        <w:t xml:space="preserve">ión del Estado parte sobre </w:t>
      </w:r>
      <w:r w:rsidR="008B0F8E" w:rsidRPr="00B338E4">
        <w:t xml:space="preserve">las investigaciones y condenas relativas a las denuncias de abusos sexuales y maltratos físicos y psicológicos contra niños, niñas y adolescentes en albergues supervisados por el Estado, pero lamenta la falta de información sobre las </w:t>
      </w:r>
      <w:r w:rsidR="00CC1EBD" w:rsidRPr="00B338E4">
        <w:t>reparaciones otorgadas a las víctimas</w:t>
      </w:r>
      <w:r w:rsidR="008B0F8E" w:rsidRPr="00B338E4">
        <w:t xml:space="preserve"> </w:t>
      </w:r>
      <w:r w:rsidR="00E94FC3" w:rsidRPr="00B338E4">
        <w:t>(a</w:t>
      </w:r>
      <w:r w:rsidR="008B0F8E" w:rsidRPr="00B338E4">
        <w:t>rts. 16, 23 y 24</w:t>
      </w:r>
      <w:r w:rsidR="00E94FC3" w:rsidRPr="00B338E4">
        <w:t>).</w:t>
      </w:r>
    </w:p>
    <w:p w14:paraId="6CE03CBC" w14:textId="466C4978" w:rsidR="00912D60" w:rsidRPr="00B338E4" w:rsidRDefault="00B338E4" w:rsidP="00B338E4">
      <w:pPr>
        <w:spacing w:after="120"/>
        <w:ind w:left="1134" w:right="1134"/>
        <w:jc w:val="both"/>
      </w:pPr>
      <w:r w:rsidRPr="000B1008">
        <w:rPr>
          <w:lang w:val="es-AR" w:eastAsia="es-ES_tradnl"/>
        </w:rPr>
        <w:t>38.</w:t>
      </w:r>
      <w:r w:rsidRPr="000B1008">
        <w:rPr>
          <w:lang w:val="es-AR" w:eastAsia="es-ES_tradnl"/>
        </w:rPr>
        <w:tab/>
      </w:r>
      <w:r w:rsidR="00E94FC3" w:rsidRPr="00BA2758">
        <w:rPr>
          <w:rStyle w:val="SingleTxtGChar"/>
          <w:b/>
          <w:bCs/>
        </w:rPr>
        <w:t>El Estado parte</w:t>
      </w:r>
      <w:r w:rsidR="00232673" w:rsidRPr="00BA2758">
        <w:rPr>
          <w:rStyle w:val="SingleTxtGChar"/>
          <w:b/>
          <w:bCs/>
        </w:rPr>
        <w:t xml:space="preserve"> </w:t>
      </w:r>
      <w:r w:rsidR="00A13E1D" w:rsidRPr="00BA2758">
        <w:rPr>
          <w:rStyle w:val="SingleTxtGChar"/>
          <w:b/>
          <w:bCs/>
        </w:rPr>
        <w:t>debe adoptar medidas, entre otras la armonización de su legislación, para prohibir explícitamente los castigos corporales en todos los entornos, entre ellos el hogar, y derogar los artículos del Código de la Familia que permiten la corrección razonable y moderada como una forma de d</w:t>
      </w:r>
      <w:r w:rsidR="000A67FE" w:rsidRPr="00BA2758">
        <w:rPr>
          <w:rStyle w:val="SingleTxtGChar"/>
          <w:b/>
          <w:bCs/>
        </w:rPr>
        <w:t xml:space="preserve">isciplina en el ámbito familiar. </w:t>
      </w:r>
      <w:r w:rsidR="00232673" w:rsidRPr="00BA2758">
        <w:rPr>
          <w:rStyle w:val="SingleTxtGChar"/>
          <w:b/>
          <w:bCs/>
        </w:rPr>
        <w:t xml:space="preserve">Asimismo, </w:t>
      </w:r>
      <w:r w:rsidR="00E94FC3" w:rsidRPr="00BA2758">
        <w:rPr>
          <w:rStyle w:val="SingleTxtGChar"/>
          <w:b/>
          <w:bCs/>
        </w:rPr>
        <w:t xml:space="preserve">debe </w:t>
      </w:r>
      <w:r w:rsidR="00CC1EBD" w:rsidRPr="00BA2758">
        <w:rPr>
          <w:rStyle w:val="SingleTxtGChar"/>
          <w:b/>
          <w:bCs/>
        </w:rPr>
        <w:t xml:space="preserve">intensificar sus esfuerzos para garantizar que todos los niños y niñas nacidos en su territorio, incluyendo en las comarcas indígenas y en áreas de difícil acceso, estén registrados y reciban un certificado de nacimiento oficial. </w:t>
      </w:r>
      <w:r w:rsidR="00E35C28" w:rsidRPr="00BA2758">
        <w:rPr>
          <w:rStyle w:val="SingleTxtGChar"/>
          <w:b/>
          <w:bCs/>
        </w:rPr>
        <w:t xml:space="preserve">Debe también redoblar esfuerzos para garantizar que todos los casos de violencia contra niños, niñas y adolescentes en albergues </w:t>
      </w:r>
      <w:r w:rsidR="00420EE8" w:rsidRPr="00BA2758">
        <w:rPr>
          <w:rStyle w:val="SingleTxtGChar"/>
          <w:b/>
          <w:bCs/>
        </w:rPr>
        <w:t xml:space="preserve">supervisados por el Estado </w:t>
      </w:r>
      <w:r w:rsidR="00E35C28" w:rsidRPr="00BA2758">
        <w:rPr>
          <w:rStyle w:val="SingleTxtGChar"/>
          <w:b/>
          <w:bCs/>
        </w:rPr>
        <w:t>sean investigados rápida y eficazmente, que los responsables sean sancionados y que las víctimas obtengan reparaciones integrales y tengan acceso a servicios de apoyo, incluidos servicios psicosociales y de rehabilitación.</w:t>
      </w:r>
    </w:p>
    <w:p w14:paraId="51BFE697" w14:textId="247A83F9" w:rsidR="00B24EF8" w:rsidRPr="00864D47" w:rsidRDefault="004374F5" w:rsidP="00B24EF8">
      <w:pPr>
        <w:pStyle w:val="H23G"/>
        <w:ind w:firstLine="0"/>
        <w:rPr>
          <w:b w:val="0"/>
        </w:rPr>
      </w:pPr>
      <w:r>
        <w:t>Derechos de los p</w:t>
      </w:r>
      <w:r w:rsidR="004406BF">
        <w:t xml:space="preserve">ueblos </w:t>
      </w:r>
      <w:r w:rsidR="000B1008">
        <w:t>indígenas</w:t>
      </w:r>
      <w:r w:rsidR="001129D5">
        <w:t xml:space="preserve"> </w:t>
      </w:r>
    </w:p>
    <w:p w14:paraId="49FE0792" w14:textId="66FC8E97" w:rsidR="00B24EF8" w:rsidRPr="00B338E4" w:rsidRDefault="00B338E4" w:rsidP="00BA2758">
      <w:pPr>
        <w:pStyle w:val="SingleTxtG"/>
      </w:pPr>
      <w:r w:rsidRPr="009A1E97">
        <w:rPr>
          <w:lang w:val="es-AR" w:eastAsia="es-ES_tradnl"/>
        </w:rPr>
        <w:t>39.</w:t>
      </w:r>
      <w:r w:rsidRPr="009A1E97">
        <w:rPr>
          <w:lang w:val="es-AR" w:eastAsia="es-ES_tradnl"/>
        </w:rPr>
        <w:tab/>
      </w:r>
      <w:r w:rsidR="00C21F1A" w:rsidRPr="00B338E4">
        <w:t xml:space="preserve">El Comité toma nota de la adopción de la </w:t>
      </w:r>
      <w:r w:rsidR="007D3DD5" w:rsidRPr="00B338E4">
        <w:t xml:space="preserve">ley </w:t>
      </w:r>
      <w:r w:rsidR="00C21F1A" w:rsidRPr="00B338E4">
        <w:t xml:space="preserve">núm. 37 de 2016 que establece la consulta y el consentimiento libre, previo e informado de los pueblos indígenas, pero lamenta que </w:t>
      </w:r>
      <w:r w:rsidR="009355CF" w:rsidRPr="00B338E4">
        <w:t xml:space="preserve">su reglamento </w:t>
      </w:r>
      <w:r w:rsidR="00C21F1A" w:rsidRPr="00B338E4">
        <w:t xml:space="preserve">aún no haya sido </w:t>
      </w:r>
      <w:r w:rsidR="009355CF" w:rsidRPr="00B338E4">
        <w:t>adoptado</w:t>
      </w:r>
      <w:r w:rsidR="00C21F1A" w:rsidRPr="00B338E4">
        <w:t>.</w:t>
      </w:r>
      <w:r w:rsidR="009A1E97" w:rsidRPr="00B338E4">
        <w:t xml:space="preserve"> Le preo</w:t>
      </w:r>
      <w:r w:rsidR="00873820" w:rsidRPr="00B338E4">
        <w:t xml:space="preserve">cupan </w:t>
      </w:r>
      <w:r w:rsidR="009A1E97" w:rsidRPr="00B338E4">
        <w:t xml:space="preserve">los informes según los cuales </w:t>
      </w:r>
      <w:r w:rsidR="009A1E97" w:rsidRPr="00B338E4">
        <w:rPr>
          <w:lang w:val="es-419"/>
        </w:rPr>
        <w:t xml:space="preserve">no se han llevado a cabo procedimientos de consulta adecuados </w:t>
      </w:r>
      <w:r w:rsidR="00D863DA" w:rsidRPr="00B338E4">
        <w:rPr>
          <w:lang w:val="es-419"/>
        </w:rPr>
        <w:t xml:space="preserve">y suficientemente participativos </w:t>
      </w:r>
      <w:r w:rsidR="009A1E97" w:rsidRPr="00B338E4">
        <w:rPr>
          <w:lang w:val="es-419"/>
        </w:rPr>
        <w:t xml:space="preserve">a fin de obtener el consentimiento libre, previo e informado con relación a proyectos con impacto negativo sobre las tierras o modo de vida de los pueblos indígenas, </w:t>
      </w:r>
      <w:r w:rsidR="009A1E97" w:rsidRPr="00B338E4">
        <w:rPr>
          <w:lang w:val="es-419"/>
        </w:rPr>
        <w:lastRenderedPageBreak/>
        <w:t>tales como el proyecto hidroeléctrico Barro Blanco y la Cuarta Línea de Transmisión Eléctrica</w:t>
      </w:r>
      <w:r w:rsidR="005948EA" w:rsidRPr="00B338E4">
        <w:rPr>
          <w:lang w:val="es-419"/>
        </w:rPr>
        <w:t xml:space="preserve">. </w:t>
      </w:r>
      <w:r w:rsidR="00873820" w:rsidRPr="00B338E4">
        <w:t>Le preocupa también</w:t>
      </w:r>
      <w:r w:rsidR="005948EA" w:rsidRPr="00B338E4">
        <w:rPr>
          <w:lang w:val="es-419"/>
        </w:rPr>
        <w:t xml:space="preserve"> </w:t>
      </w:r>
      <w:r w:rsidR="00E454C1" w:rsidRPr="00B338E4">
        <w:rPr>
          <w:lang w:val="es-419"/>
        </w:rPr>
        <w:t xml:space="preserve">la falta de información suficiente sobre el proceso de </w:t>
      </w:r>
      <w:r w:rsidR="00873820" w:rsidRPr="00B338E4">
        <w:t xml:space="preserve">demarcación y titulación de las tierras colectivas de los pueblos </w:t>
      </w:r>
      <w:r w:rsidR="00E454C1" w:rsidRPr="00B338E4">
        <w:t xml:space="preserve">indígenas, así como las alegaciones relativas a </w:t>
      </w:r>
      <w:r w:rsidR="00E454C1" w:rsidRPr="00B338E4">
        <w:rPr>
          <w:lang w:val="es-419"/>
        </w:rPr>
        <w:t>la lentitud en los avances de este proceso</w:t>
      </w:r>
      <w:r w:rsidR="00873820" w:rsidRPr="00B338E4">
        <w:t>.</w:t>
      </w:r>
      <w:r w:rsidR="00E454C1" w:rsidRPr="00B338E4">
        <w:t xml:space="preserve"> S</w:t>
      </w:r>
      <w:r w:rsidR="005B34DF" w:rsidRPr="00B338E4">
        <w:t xml:space="preserve">i bien toma nota del </w:t>
      </w:r>
      <w:r w:rsidR="00640D46" w:rsidRPr="00B338E4">
        <w:t xml:space="preserve">Plan de Desarrollo Integral de los Pueblos Indígenas, preocupan al Comité los niveles de pobreza en estas comunidades y las dificultades en el acceso a la educación </w:t>
      </w:r>
      <w:r w:rsidR="00D067FD" w:rsidRPr="00B338E4">
        <w:t xml:space="preserve">y a </w:t>
      </w:r>
      <w:r w:rsidR="009355CF" w:rsidRPr="00B338E4">
        <w:t>los</w:t>
      </w:r>
      <w:r w:rsidR="0001314A" w:rsidRPr="00B338E4">
        <w:t xml:space="preserve"> establecimientos, bienes y</w:t>
      </w:r>
      <w:r w:rsidR="009355CF" w:rsidRPr="00B338E4">
        <w:t xml:space="preserve"> servicios </w:t>
      </w:r>
      <w:r w:rsidR="0001314A" w:rsidRPr="00B338E4">
        <w:t>sanitarios</w:t>
      </w:r>
      <w:r w:rsidR="00640D46" w:rsidRPr="00B338E4">
        <w:t xml:space="preserve"> </w:t>
      </w:r>
      <w:r w:rsidR="00B24EF8" w:rsidRPr="00B338E4">
        <w:t>(arts</w:t>
      </w:r>
      <w:r w:rsidR="00B05FD6" w:rsidRPr="00B338E4">
        <w:t>. 2, 26 y 27</w:t>
      </w:r>
      <w:r w:rsidR="00B24EF8" w:rsidRPr="00B338E4">
        <w:t>).</w:t>
      </w:r>
    </w:p>
    <w:p w14:paraId="7B629645" w14:textId="3AAB5B9C" w:rsidR="00B24EF8" w:rsidRPr="00BA2758" w:rsidRDefault="00B338E4" w:rsidP="00BA2758">
      <w:pPr>
        <w:pStyle w:val="SingleTxtG"/>
        <w:rPr>
          <w:b/>
          <w:bCs/>
        </w:rPr>
      </w:pPr>
      <w:r w:rsidRPr="007D3DD5">
        <w:rPr>
          <w:lang w:val="es-AR" w:eastAsia="es-ES_tradnl"/>
        </w:rPr>
        <w:t>40.</w:t>
      </w:r>
      <w:r w:rsidRPr="007D3DD5">
        <w:rPr>
          <w:lang w:val="es-AR" w:eastAsia="es-ES_tradnl"/>
        </w:rPr>
        <w:tab/>
      </w:r>
      <w:r w:rsidR="00B24EF8" w:rsidRPr="00BA2758">
        <w:rPr>
          <w:b/>
          <w:bCs/>
        </w:rPr>
        <w:t>El Estado parte</w:t>
      </w:r>
      <w:r w:rsidR="007D3DD5" w:rsidRPr="00BA2758">
        <w:rPr>
          <w:b/>
          <w:bCs/>
        </w:rPr>
        <w:t xml:space="preserve"> debe</w:t>
      </w:r>
      <w:r w:rsidR="00E8691C" w:rsidRPr="00BA2758">
        <w:rPr>
          <w:b/>
          <w:bCs/>
        </w:rPr>
        <w:t>:</w:t>
      </w:r>
    </w:p>
    <w:p w14:paraId="6EA40820" w14:textId="28F8A378" w:rsidR="00075718" w:rsidRPr="00C9297D"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a)</w:t>
      </w:r>
      <w:r w:rsidR="00B338E4" w:rsidRPr="00C9297D">
        <w:rPr>
          <w:rFonts w:ascii="Times New Roman Bold" w:hAnsi="Times New Roman Bold"/>
          <w:b/>
          <w:bCs/>
          <w:lang w:val="es-AR" w:eastAsia="es-ES_tradnl"/>
        </w:rPr>
        <w:tab/>
      </w:r>
      <w:r w:rsidR="00075718" w:rsidRPr="00C9297D">
        <w:rPr>
          <w:b/>
          <w:bCs/>
        </w:rPr>
        <w:t xml:space="preserve">Acelerar los procedimientos encaminados a reglamentar la Ley núm. 37 de 2016 y asegurar que dicho reglamento sea plenamente conforme al Pacto y otras normas internacionales relevantes, y velar por la participación activa </w:t>
      </w:r>
      <w:r w:rsidR="002B3A96" w:rsidRPr="00C9297D">
        <w:rPr>
          <w:b/>
          <w:bCs/>
        </w:rPr>
        <w:t xml:space="preserve">y </w:t>
      </w:r>
      <w:r w:rsidR="00142648" w:rsidRPr="00C9297D">
        <w:rPr>
          <w:b/>
          <w:bCs/>
        </w:rPr>
        <w:t xml:space="preserve">la </w:t>
      </w:r>
      <w:r w:rsidR="002B3A96" w:rsidRPr="00C9297D">
        <w:rPr>
          <w:b/>
          <w:bCs/>
        </w:rPr>
        <w:t>consulta</w:t>
      </w:r>
      <w:r w:rsidR="00075718" w:rsidRPr="00C9297D">
        <w:rPr>
          <w:b/>
          <w:bCs/>
        </w:rPr>
        <w:t xml:space="preserve"> </w:t>
      </w:r>
      <w:r w:rsidR="002B3A96" w:rsidRPr="00C9297D">
        <w:rPr>
          <w:b/>
          <w:bCs/>
        </w:rPr>
        <w:t xml:space="preserve">a </w:t>
      </w:r>
      <w:r w:rsidR="00075718" w:rsidRPr="00C9297D">
        <w:rPr>
          <w:b/>
          <w:bCs/>
        </w:rPr>
        <w:t>los pueblos indígenas en su elaboración</w:t>
      </w:r>
      <w:r w:rsidR="00242265" w:rsidRPr="00C9297D">
        <w:rPr>
          <w:b/>
          <w:bCs/>
        </w:rPr>
        <w:t xml:space="preserve"> </w:t>
      </w:r>
      <w:r w:rsidR="00EE76C3" w:rsidRPr="00C9297D">
        <w:rPr>
          <w:b/>
          <w:bCs/>
        </w:rPr>
        <w:t>antes de su adopción</w:t>
      </w:r>
      <w:r w:rsidR="00075718" w:rsidRPr="00C9297D">
        <w:rPr>
          <w:b/>
          <w:bCs/>
        </w:rPr>
        <w:t>;</w:t>
      </w:r>
    </w:p>
    <w:p w14:paraId="69F11525" w14:textId="65A3F7E7" w:rsidR="00075718" w:rsidRPr="00C9297D"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b)</w:t>
      </w:r>
      <w:r w:rsidR="00B338E4" w:rsidRPr="00C9297D">
        <w:rPr>
          <w:rFonts w:ascii="Times New Roman Bold" w:hAnsi="Times New Roman Bold"/>
          <w:b/>
          <w:bCs/>
          <w:lang w:val="es-AR" w:eastAsia="es-ES_tradnl"/>
        </w:rPr>
        <w:tab/>
      </w:r>
      <w:r w:rsidR="00075718" w:rsidRPr="00C9297D">
        <w:rPr>
          <w:b/>
          <w:bCs/>
        </w:rPr>
        <w:t>G</w:t>
      </w:r>
      <w:r w:rsidR="00E8691C" w:rsidRPr="00C9297D">
        <w:rPr>
          <w:b/>
          <w:bCs/>
        </w:rPr>
        <w:t xml:space="preserve">arantizar </w:t>
      </w:r>
      <w:r w:rsidR="00884972" w:rsidRPr="00C9297D">
        <w:rPr>
          <w:b/>
          <w:bCs/>
        </w:rPr>
        <w:t>la</w:t>
      </w:r>
      <w:r w:rsidR="00433235" w:rsidRPr="00C9297D">
        <w:rPr>
          <w:b/>
          <w:bCs/>
        </w:rPr>
        <w:t xml:space="preserve"> </w:t>
      </w:r>
      <w:r w:rsidR="00E8691C" w:rsidRPr="00C9297D">
        <w:rPr>
          <w:b/>
          <w:bCs/>
        </w:rPr>
        <w:t>celebración de consultas</w:t>
      </w:r>
      <w:r w:rsidR="00EE76C3" w:rsidRPr="00C9297D">
        <w:rPr>
          <w:b/>
          <w:bCs/>
        </w:rPr>
        <w:t xml:space="preserve"> efectivas y de buena fe</w:t>
      </w:r>
      <w:r w:rsidR="00E8691C" w:rsidRPr="00C9297D">
        <w:rPr>
          <w:b/>
          <w:bCs/>
        </w:rPr>
        <w:t xml:space="preserve"> con los pueblos indígenas</w:t>
      </w:r>
      <w:r w:rsidR="00433235" w:rsidRPr="00C9297D">
        <w:rPr>
          <w:b/>
          <w:bCs/>
        </w:rPr>
        <w:t>, asegurando su participación activa y efectiva,</w:t>
      </w:r>
      <w:r w:rsidR="00E8691C" w:rsidRPr="00C9297D">
        <w:rPr>
          <w:b/>
          <w:bCs/>
        </w:rPr>
        <w:t xml:space="preserve"> a fin de obtener su consentimiento libre,</w:t>
      </w:r>
      <w:r w:rsidR="00075718" w:rsidRPr="00C9297D">
        <w:rPr>
          <w:b/>
          <w:bCs/>
        </w:rPr>
        <w:t xml:space="preserve"> previo e informado antes de adoptar y aplicar cualquier medida que pueda incidir sustancialmente en su</w:t>
      </w:r>
      <w:r w:rsidR="006D0824" w:rsidRPr="00C9297D">
        <w:rPr>
          <w:b/>
          <w:bCs/>
        </w:rPr>
        <w:t>s derechos, su</w:t>
      </w:r>
      <w:r w:rsidR="00075718" w:rsidRPr="00C9297D">
        <w:rPr>
          <w:b/>
          <w:bCs/>
        </w:rPr>
        <w:t xml:space="preserve"> modo de vida y su cultura</w:t>
      </w:r>
      <w:r w:rsidR="006D0824" w:rsidRPr="00C9297D">
        <w:rPr>
          <w:b/>
          <w:bCs/>
        </w:rPr>
        <w:t>, en particular proyectos de infraestructura o de explotación de recursos naturales</w:t>
      </w:r>
      <w:r w:rsidR="00075718" w:rsidRPr="00C9297D">
        <w:rPr>
          <w:b/>
          <w:bCs/>
        </w:rPr>
        <w:t>;</w:t>
      </w:r>
      <w:r w:rsidR="00E8691C" w:rsidRPr="00C9297D">
        <w:rPr>
          <w:b/>
          <w:bCs/>
        </w:rPr>
        <w:t xml:space="preserve"> </w:t>
      </w:r>
    </w:p>
    <w:p w14:paraId="1B7FCBB5" w14:textId="5E6A336E" w:rsidR="006D0824" w:rsidRPr="00C9297D"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c)</w:t>
      </w:r>
      <w:r w:rsidR="00B338E4" w:rsidRPr="00C9297D">
        <w:rPr>
          <w:rFonts w:ascii="Times New Roman Bold" w:hAnsi="Times New Roman Bold"/>
          <w:b/>
          <w:bCs/>
          <w:lang w:val="es-AR" w:eastAsia="es-ES_tradnl"/>
        </w:rPr>
        <w:tab/>
      </w:r>
      <w:r w:rsidR="006D0824" w:rsidRPr="00C9297D">
        <w:rPr>
          <w:b/>
          <w:bCs/>
        </w:rPr>
        <w:t>Asegurar</w:t>
      </w:r>
      <w:r w:rsidR="00B46FA5" w:rsidRPr="00C9297D">
        <w:rPr>
          <w:b/>
          <w:bCs/>
        </w:rPr>
        <w:t xml:space="preserve"> </w:t>
      </w:r>
      <w:r w:rsidR="006D0824" w:rsidRPr="00C9297D">
        <w:rPr>
          <w:b/>
          <w:bCs/>
        </w:rPr>
        <w:t>que los pueblos indígenas afectados por proyectos de infraestructura o de explotación de recursos naturales tengan un acceso adecuado</w:t>
      </w:r>
      <w:r w:rsidR="00B46FA5" w:rsidRPr="00C9297D">
        <w:rPr>
          <w:b/>
          <w:bCs/>
        </w:rPr>
        <w:t xml:space="preserve"> a la justicia, a recursos efectivos y a reparaciones justas y adecuadas; </w:t>
      </w:r>
    </w:p>
    <w:p w14:paraId="457D3BA4" w14:textId="2B43ECFC" w:rsidR="00E25D7B" w:rsidRPr="00C9297D"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d)</w:t>
      </w:r>
      <w:r w:rsidR="00B338E4" w:rsidRPr="00C9297D">
        <w:rPr>
          <w:rFonts w:ascii="Times New Roman Bold" w:hAnsi="Times New Roman Bold"/>
          <w:b/>
          <w:bCs/>
          <w:lang w:val="es-AR" w:eastAsia="es-ES_tradnl"/>
        </w:rPr>
        <w:tab/>
      </w:r>
      <w:r w:rsidR="00E25D7B" w:rsidRPr="00C9297D">
        <w:rPr>
          <w:b/>
          <w:bCs/>
        </w:rPr>
        <w:t xml:space="preserve">Agilizar el proceso de </w:t>
      </w:r>
      <w:r w:rsidR="00E25D7B" w:rsidRPr="00C9297D">
        <w:rPr>
          <w:b/>
          <w:bCs/>
          <w:lang w:val="es-419"/>
        </w:rPr>
        <w:t xml:space="preserve">de </w:t>
      </w:r>
      <w:r w:rsidR="00E25D7B" w:rsidRPr="00C9297D">
        <w:rPr>
          <w:b/>
          <w:bCs/>
        </w:rPr>
        <w:t xml:space="preserve">demarcación y titulación de las tierras colectivas de los pueblos indígenas, entre otros instaurando y aplicando un procedimiento simplificado para ello; </w:t>
      </w:r>
    </w:p>
    <w:p w14:paraId="4D406DFE" w14:textId="67E75A35" w:rsidR="001A510E" w:rsidRPr="00C9297D"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e)</w:t>
      </w:r>
      <w:r w:rsidR="00B338E4" w:rsidRPr="00C9297D">
        <w:rPr>
          <w:rFonts w:ascii="Times New Roman Bold" w:hAnsi="Times New Roman Bold"/>
          <w:b/>
          <w:bCs/>
          <w:lang w:val="es-AR" w:eastAsia="es-ES_tradnl"/>
        </w:rPr>
        <w:tab/>
      </w:r>
      <w:r w:rsidR="00EE76C3" w:rsidRPr="00C9297D">
        <w:rPr>
          <w:b/>
          <w:bCs/>
        </w:rPr>
        <w:t xml:space="preserve">Garantizar el acceso a la educación y a </w:t>
      </w:r>
      <w:r w:rsidR="00142648" w:rsidRPr="00C9297D">
        <w:rPr>
          <w:b/>
          <w:bCs/>
        </w:rPr>
        <w:t xml:space="preserve">los </w:t>
      </w:r>
      <w:r w:rsidR="00C25824" w:rsidRPr="00C9297D">
        <w:rPr>
          <w:b/>
          <w:bCs/>
        </w:rPr>
        <w:t xml:space="preserve">establecimientos, bienes y </w:t>
      </w:r>
      <w:r w:rsidR="00142648" w:rsidRPr="00C9297D">
        <w:rPr>
          <w:b/>
          <w:bCs/>
        </w:rPr>
        <w:t xml:space="preserve">servicios </w:t>
      </w:r>
      <w:r w:rsidR="00C25824" w:rsidRPr="00C9297D">
        <w:rPr>
          <w:b/>
          <w:bCs/>
        </w:rPr>
        <w:t>sanitarios a</w:t>
      </w:r>
      <w:r w:rsidR="00884972" w:rsidRPr="00C9297D">
        <w:rPr>
          <w:b/>
          <w:bCs/>
        </w:rPr>
        <w:t xml:space="preserve"> los pueblos indígenas;</w:t>
      </w:r>
      <w:r w:rsidR="00EE76C3" w:rsidRPr="00C9297D">
        <w:rPr>
          <w:b/>
          <w:bCs/>
        </w:rPr>
        <w:t xml:space="preserve"> </w:t>
      </w:r>
    </w:p>
    <w:p w14:paraId="043D927D" w14:textId="317C9B37" w:rsidR="007D78EB" w:rsidRPr="00BA2758" w:rsidRDefault="00BA2758" w:rsidP="00C9297D">
      <w:pPr>
        <w:pStyle w:val="SingleTxtG"/>
        <w:rPr>
          <w:b/>
          <w:bCs/>
        </w:rPr>
      </w:pPr>
      <w:r w:rsidRPr="00C9297D">
        <w:rPr>
          <w:rFonts w:ascii="Times New Roman Bold" w:hAnsi="Times New Roman Bold"/>
          <w:b/>
          <w:bCs/>
          <w:lang w:val="es-AR" w:eastAsia="es-ES_tradnl"/>
        </w:rPr>
        <w:tab/>
      </w:r>
      <w:r w:rsidR="00B338E4" w:rsidRPr="00C9297D">
        <w:rPr>
          <w:b/>
          <w:bCs/>
        </w:rPr>
        <w:t>f)</w:t>
      </w:r>
      <w:r w:rsidR="00B338E4" w:rsidRPr="00C9297D">
        <w:rPr>
          <w:rFonts w:ascii="Times New Roman Bold" w:hAnsi="Times New Roman Bold"/>
          <w:b/>
          <w:bCs/>
          <w:lang w:val="es-AR" w:eastAsia="es-ES_tradnl"/>
        </w:rPr>
        <w:tab/>
      </w:r>
      <w:r w:rsidR="001A510E" w:rsidRPr="00BA2758">
        <w:rPr>
          <w:b/>
          <w:bCs/>
          <w:shd w:val="clear" w:color="auto" w:fill="FFFFFF"/>
        </w:rPr>
        <w:t xml:space="preserve">Considerar la posibilidad de ratificar el Convenio sobre Pueblos Indígenas y Tribales, 1989 (núm. 169), de la Organización Internacional del Trabajo. </w:t>
      </w:r>
    </w:p>
    <w:p w14:paraId="62F6037C" w14:textId="77777777" w:rsidR="00DD5762" w:rsidRPr="00B95DBE" w:rsidRDefault="00DD5762" w:rsidP="00BA2758">
      <w:pPr>
        <w:pStyle w:val="H1G"/>
        <w:spacing w:before="240"/>
      </w:pPr>
      <w:r w:rsidRPr="00B95DBE">
        <w:tab/>
        <w:t>D.</w:t>
      </w:r>
      <w:r w:rsidRPr="00B95DBE">
        <w:tab/>
        <w:t>Difusión y seguimiento</w:t>
      </w:r>
    </w:p>
    <w:p w14:paraId="7133AD34" w14:textId="1FFD01FE" w:rsidR="009745DB" w:rsidRPr="00B338E4" w:rsidRDefault="00B338E4" w:rsidP="00B338E4">
      <w:pPr>
        <w:spacing w:after="120"/>
        <w:ind w:left="1134" w:right="1134"/>
        <w:jc w:val="both"/>
      </w:pPr>
      <w:r w:rsidRPr="009745DB">
        <w:rPr>
          <w:lang w:val="es-AR" w:eastAsia="es-ES_tradnl"/>
        </w:rPr>
        <w:t>41.</w:t>
      </w:r>
      <w:r w:rsidRPr="009745DB">
        <w:rPr>
          <w:lang w:val="es-AR" w:eastAsia="es-ES_tradnl"/>
        </w:rPr>
        <w:tab/>
      </w:r>
      <w:r w:rsidR="009745DB" w:rsidRPr="00B338E4">
        <w:rPr>
          <w:b/>
          <w:bCs/>
        </w:rPr>
        <w:t>El Estado parte debe difundir ampliamente el Pacto, sus dos Protocolos Facultativos, su cuarto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w:t>
      </w:r>
      <w:r w:rsidR="00991630" w:rsidRPr="00B338E4">
        <w:rPr>
          <w:b/>
          <w:bCs/>
        </w:rPr>
        <w:t>, incluyendo los miembros de comunidades minoritarias y pueblos indígenas</w:t>
      </w:r>
      <w:r w:rsidR="009745DB" w:rsidRPr="00B338E4">
        <w:rPr>
          <w:b/>
          <w:bCs/>
        </w:rPr>
        <w:t>.</w:t>
      </w:r>
      <w:r w:rsidR="009745DB" w:rsidRPr="00B338E4">
        <w:t xml:space="preserve"> </w:t>
      </w:r>
    </w:p>
    <w:p w14:paraId="69EF560E" w14:textId="491A5CC4" w:rsidR="009745DB" w:rsidRPr="00B338E4" w:rsidRDefault="00B338E4" w:rsidP="00B338E4">
      <w:pPr>
        <w:spacing w:after="120"/>
        <w:ind w:left="1134" w:right="1134"/>
        <w:jc w:val="both"/>
      </w:pPr>
      <w:r w:rsidRPr="009745DB">
        <w:rPr>
          <w:lang w:val="es-AR" w:eastAsia="es-ES_tradnl"/>
        </w:rPr>
        <w:t>42.</w:t>
      </w:r>
      <w:r w:rsidRPr="009745DB">
        <w:rPr>
          <w:lang w:val="es-AR" w:eastAsia="es-ES_tradnl"/>
        </w:rPr>
        <w:tab/>
      </w:r>
      <w:r w:rsidR="00DD5762" w:rsidRPr="00B338E4">
        <w:rPr>
          <w:b/>
        </w:rPr>
        <w:t xml:space="preserve">De conformidad con el artículo 75, párrafo 1, del reglamento del Comité, se solicita al Estado parte que facilite, al </w:t>
      </w:r>
      <w:r w:rsidR="009358EC" w:rsidRPr="00B338E4">
        <w:rPr>
          <w:b/>
        </w:rPr>
        <w:t xml:space="preserve">24 </w:t>
      </w:r>
      <w:r w:rsidR="007D78EB" w:rsidRPr="00B338E4">
        <w:rPr>
          <w:b/>
        </w:rPr>
        <w:t xml:space="preserve">de </w:t>
      </w:r>
      <w:r w:rsidR="00575B77" w:rsidRPr="00B338E4">
        <w:rPr>
          <w:b/>
        </w:rPr>
        <w:t>marzo</w:t>
      </w:r>
      <w:r w:rsidR="007D78EB" w:rsidRPr="00B338E4">
        <w:rPr>
          <w:b/>
        </w:rPr>
        <w:t xml:space="preserve"> </w:t>
      </w:r>
      <w:r w:rsidR="00DD5762" w:rsidRPr="00B338E4">
        <w:rPr>
          <w:b/>
        </w:rPr>
        <w:t>de 202</w:t>
      </w:r>
      <w:r w:rsidR="00575B77" w:rsidRPr="00B338E4">
        <w:rPr>
          <w:b/>
        </w:rPr>
        <w:t>6</w:t>
      </w:r>
      <w:r w:rsidR="00DD5762" w:rsidRPr="00B338E4">
        <w:rPr>
          <w:b/>
        </w:rPr>
        <w:t>, información sobre la aplicación de las recomendaciones formuladas por el Comité en los párrafos</w:t>
      </w:r>
      <w:r w:rsidR="0038211F" w:rsidRPr="00B338E4">
        <w:rPr>
          <w:b/>
        </w:rPr>
        <w:t xml:space="preserve"> </w:t>
      </w:r>
      <w:r w:rsidR="001426B7" w:rsidRPr="00B338E4">
        <w:rPr>
          <w:b/>
        </w:rPr>
        <w:t>18 (violencia contra las mujeres), 34 (libertad de expresión y violencia contra personas defensores de derechos humanos) y 36 (migrantes, solicitantes de asilo y refugiados)</w:t>
      </w:r>
      <w:r w:rsidR="0092443E" w:rsidRPr="00B338E4">
        <w:rPr>
          <w:b/>
        </w:rPr>
        <w:t>.</w:t>
      </w:r>
      <w:r w:rsidR="00DD5762" w:rsidRPr="00B338E4">
        <w:rPr>
          <w:b/>
        </w:rPr>
        <w:t xml:space="preserve"> </w:t>
      </w:r>
    </w:p>
    <w:p w14:paraId="3F69318A" w14:textId="7425102D" w:rsidR="00DD5762" w:rsidRPr="00B338E4" w:rsidRDefault="00B338E4" w:rsidP="00B338E4">
      <w:pPr>
        <w:spacing w:after="120"/>
        <w:ind w:left="1134" w:right="1134"/>
        <w:jc w:val="both"/>
      </w:pPr>
      <w:r w:rsidRPr="009745DB">
        <w:rPr>
          <w:lang w:val="es-AR" w:eastAsia="es-ES_tradnl"/>
        </w:rPr>
        <w:t>43.</w:t>
      </w:r>
      <w:r w:rsidRPr="009745DB">
        <w:rPr>
          <w:lang w:val="es-AR" w:eastAsia="es-ES_tradnl"/>
        </w:rPr>
        <w:tab/>
      </w:r>
      <w:r w:rsidR="00DD5762" w:rsidRPr="00B338E4">
        <w:rPr>
          <w:b/>
        </w:rPr>
        <w:t>De conformidad con el calendario previsible para la presentación de informes del Comité, el Estado parte recibirá del Comité en 202</w:t>
      </w:r>
      <w:r w:rsidR="00575B77" w:rsidRPr="00B338E4">
        <w:rPr>
          <w:b/>
        </w:rPr>
        <w:t>9</w:t>
      </w:r>
      <w:r w:rsidR="00DD5762" w:rsidRPr="00B338E4">
        <w:rPr>
          <w:b/>
        </w:rPr>
        <w:t xml:space="preserve"> la lista de cuestiones previa a la presentación de informes y se espera que presente dentro de un año sus respuestas a la lista de cuestiones, que constituirá su </w:t>
      </w:r>
      <w:r w:rsidR="009B13FF" w:rsidRPr="00B338E4">
        <w:rPr>
          <w:b/>
        </w:rPr>
        <w:t>quinto</w:t>
      </w:r>
      <w:r w:rsidR="007D78EB" w:rsidRPr="00B338E4">
        <w:rPr>
          <w:b/>
        </w:rPr>
        <w:t xml:space="preserve"> </w:t>
      </w:r>
      <w:r w:rsidR="00DD5762" w:rsidRPr="00B338E4">
        <w:rPr>
          <w:b/>
        </w:rPr>
        <w:t>informe periódico. El Comité también solicita al Estado parte que, al preparar el informe, consulte ampliamente a la sociedad civil y las organizaciones no gubernamentales que actúan en el país. De conformidad con la resolución 68/268 de la Asamblea General, el informe ha de tener una extensión máxima de 21.200 palabras. El próximo diálogo constructivo con el Estado parte tendrá lugar en 203</w:t>
      </w:r>
      <w:r w:rsidR="00575B77" w:rsidRPr="00B338E4">
        <w:rPr>
          <w:b/>
        </w:rPr>
        <w:t>1</w:t>
      </w:r>
      <w:r w:rsidR="00DD5762" w:rsidRPr="00B338E4">
        <w:rPr>
          <w:b/>
        </w:rPr>
        <w:t xml:space="preserve"> en Ginebra.</w:t>
      </w:r>
    </w:p>
    <w:p w14:paraId="419E5FB0" w14:textId="77777777" w:rsidR="00DD5762" w:rsidRPr="00B95DBE" w:rsidRDefault="00DD5762" w:rsidP="00DD5762">
      <w:pPr>
        <w:suppressAutoHyphens/>
        <w:spacing w:before="240"/>
        <w:ind w:left="1134" w:right="1134"/>
        <w:jc w:val="center"/>
        <w:rPr>
          <w:b/>
        </w:rPr>
      </w:pPr>
      <w:r w:rsidRPr="00B95DBE">
        <w:rPr>
          <w:u w:val="single"/>
        </w:rPr>
        <w:tab/>
      </w:r>
      <w:r w:rsidRPr="00B95DBE">
        <w:rPr>
          <w:u w:val="single"/>
        </w:rPr>
        <w:tab/>
      </w:r>
      <w:r w:rsidRPr="00B95DBE">
        <w:rPr>
          <w:u w:val="single"/>
        </w:rPr>
        <w:tab/>
      </w:r>
      <w:r w:rsidRPr="00B95DBE">
        <w:rPr>
          <w:u w:val="single"/>
        </w:rPr>
        <w:tab/>
      </w:r>
    </w:p>
    <w:p w14:paraId="566A354A" w14:textId="403BA2A1" w:rsidR="008E6767" w:rsidRPr="008E6767" w:rsidRDefault="008E6767" w:rsidP="00A8278B">
      <w:pPr>
        <w:spacing w:line="240" w:lineRule="auto"/>
        <w:rPr>
          <w:u w:val="single"/>
        </w:rPr>
      </w:pPr>
    </w:p>
    <w:sectPr w:rsidR="008E6767" w:rsidRPr="008E6767" w:rsidSect="00BA275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993"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9EDD" w14:textId="77777777" w:rsidR="00433235" w:rsidRDefault="00433235"/>
  </w:endnote>
  <w:endnote w:type="continuationSeparator" w:id="0">
    <w:p w14:paraId="37A975A5" w14:textId="77777777" w:rsidR="00433235" w:rsidRDefault="00433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14CE" w14:textId="1096A55D" w:rsidR="00433235" w:rsidRPr="00BC2881" w:rsidRDefault="00433235" w:rsidP="00BC2881">
    <w:pPr>
      <w:pStyle w:val="Piedepgina"/>
      <w:tabs>
        <w:tab w:val="right" w:pos="9638"/>
      </w:tabs>
    </w:pPr>
    <w:r w:rsidRPr="00BC2881">
      <w:rPr>
        <w:b/>
        <w:sz w:val="18"/>
      </w:rPr>
      <w:fldChar w:fldCharType="begin"/>
    </w:r>
    <w:r w:rsidRPr="00BC2881">
      <w:rPr>
        <w:b/>
        <w:sz w:val="18"/>
      </w:rPr>
      <w:instrText xml:space="preserve"> PAGE  \* MERGEFORMAT </w:instrText>
    </w:r>
    <w:r w:rsidRPr="00BC2881">
      <w:rPr>
        <w:b/>
        <w:sz w:val="18"/>
      </w:rPr>
      <w:fldChar w:fldCharType="separate"/>
    </w:r>
    <w:r w:rsidR="00F478A5">
      <w:rPr>
        <w:b/>
        <w:noProof/>
        <w:sz w:val="18"/>
      </w:rPr>
      <w:t>12</w:t>
    </w:r>
    <w:r w:rsidRPr="00BC2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BFE" w14:textId="44DFF40A" w:rsidR="00433235" w:rsidRPr="00BC2881" w:rsidRDefault="00433235" w:rsidP="00BC2881">
    <w:pPr>
      <w:pStyle w:val="Piedepgina"/>
      <w:tabs>
        <w:tab w:val="right" w:pos="9638"/>
      </w:tabs>
      <w:rPr>
        <w:b/>
        <w:sz w:val="18"/>
      </w:rPr>
    </w:pPr>
    <w:r>
      <w:tab/>
    </w:r>
    <w:r w:rsidRPr="00BC2881">
      <w:rPr>
        <w:b/>
        <w:sz w:val="18"/>
      </w:rPr>
      <w:fldChar w:fldCharType="begin"/>
    </w:r>
    <w:r w:rsidRPr="00BC2881">
      <w:rPr>
        <w:b/>
        <w:sz w:val="18"/>
      </w:rPr>
      <w:instrText xml:space="preserve"> PAGE  \* MERGEFORMAT </w:instrText>
    </w:r>
    <w:r w:rsidRPr="00BC2881">
      <w:rPr>
        <w:b/>
        <w:sz w:val="18"/>
      </w:rPr>
      <w:fldChar w:fldCharType="separate"/>
    </w:r>
    <w:r w:rsidR="00F478A5">
      <w:rPr>
        <w:b/>
        <w:noProof/>
        <w:sz w:val="18"/>
      </w:rPr>
      <w:t>13</w:t>
    </w:r>
    <w:r w:rsidRPr="00BC2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8E79" w14:textId="5511F385" w:rsidR="00123532" w:rsidRPr="00123532" w:rsidRDefault="00123532" w:rsidP="00123532">
    <w:pPr>
      <w:pStyle w:val="Piedepgina"/>
      <w:tabs>
        <w:tab w:val="left" w:pos="6520"/>
        <w:tab w:val="right" w:pos="9638"/>
      </w:tabs>
      <w:spacing w:before="120" w:line="240" w:lineRule="auto"/>
      <w:rPr>
        <w:sz w:val="20"/>
      </w:rPr>
    </w:pPr>
    <w:r>
      <w:rPr>
        <w:sz w:val="20"/>
      </w:rPr>
      <w:t>GE.23-05718  (S)</w:t>
    </w:r>
    <w:bookmarkStart w:id="0" w:name="_GoBack"/>
    <w:bookmarkEnd w:id="0"/>
    <w:r>
      <w:rPr>
        <w:sz w:val="20"/>
      </w:rPr>
      <w:tab/>
    </w:r>
    <w:r w:rsidRPr="00123532">
      <w:rPr>
        <w:noProof/>
        <w:sz w:val="20"/>
        <w:lang w:val="fr-CH" w:eastAsia="zh-CN"/>
      </w:rPr>
      <w:drawing>
        <wp:inline distT="0" distB="0" distL="0" distR="0" wp14:anchorId="403F103F" wp14:editId="4E5F097E">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3A80298" wp14:editId="462DD23E">
          <wp:extent cx="563245" cy="563245"/>
          <wp:effectExtent l="0" t="0" r="825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1E5B" w14:textId="77777777" w:rsidR="00433235" w:rsidRPr="001075E9" w:rsidRDefault="00433235" w:rsidP="001075E9">
      <w:pPr>
        <w:tabs>
          <w:tab w:val="right" w:pos="2155"/>
        </w:tabs>
        <w:spacing w:after="80" w:line="240" w:lineRule="auto"/>
        <w:ind w:left="680"/>
        <w:rPr>
          <w:u w:val="single"/>
        </w:rPr>
      </w:pPr>
      <w:r>
        <w:rPr>
          <w:u w:val="single"/>
        </w:rPr>
        <w:tab/>
      </w:r>
    </w:p>
  </w:footnote>
  <w:footnote w:type="continuationSeparator" w:id="0">
    <w:p w14:paraId="0DE47336" w14:textId="77777777" w:rsidR="00433235" w:rsidRDefault="00433235" w:rsidP="00AE0E02">
      <w:pPr>
        <w:tabs>
          <w:tab w:val="right" w:pos="2155"/>
        </w:tabs>
        <w:spacing w:after="80" w:line="240" w:lineRule="auto"/>
        <w:ind w:left="680"/>
        <w:rPr>
          <w:u w:val="single"/>
        </w:rPr>
      </w:pPr>
      <w:r>
        <w:rPr>
          <w:u w:val="single"/>
        </w:rPr>
        <w:tab/>
      </w:r>
    </w:p>
  </w:footnote>
  <w:footnote w:id="1">
    <w:p w14:paraId="75A8B691" w14:textId="7B64623B" w:rsidR="00433235" w:rsidRPr="008E6767" w:rsidRDefault="00433235">
      <w:pPr>
        <w:pStyle w:val="Textonotapie"/>
        <w:rPr>
          <w:sz w:val="20"/>
        </w:rPr>
      </w:pPr>
      <w:r>
        <w:tab/>
      </w:r>
      <w:r w:rsidRPr="008E6767">
        <w:rPr>
          <w:rStyle w:val="Refdenotaalpie"/>
          <w:sz w:val="20"/>
          <w:vertAlign w:val="baseline"/>
        </w:rPr>
        <w:t>*</w:t>
      </w:r>
      <w:r w:rsidRPr="008E6767">
        <w:rPr>
          <w:rStyle w:val="Refdenotaalpie"/>
          <w:vertAlign w:val="baseline"/>
        </w:rPr>
        <w:tab/>
      </w:r>
      <w:r w:rsidR="00F50C64">
        <w:t>Aprobadas por el Comité en su 137º período de sesiones (27 de febrero a 24 de marzo de 2023).</w:t>
      </w:r>
    </w:p>
  </w:footnote>
  <w:footnote w:id="2">
    <w:p w14:paraId="6D0761F3" w14:textId="50FFF212" w:rsidR="00433235" w:rsidRPr="00BB76A5" w:rsidRDefault="00433235">
      <w:pPr>
        <w:pStyle w:val="Textonotapie"/>
      </w:pPr>
      <w:r>
        <w:tab/>
      </w:r>
      <w:r>
        <w:rPr>
          <w:rStyle w:val="Refdenotaalpie"/>
        </w:rPr>
        <w:footnoteRef/>
      </w:r>
      <w:r>
        <w:t xml:space="preserve"> </w:t>
      </w:r>
      <w:r>
        <w:tab/>
      </w:r>
      <w:hyperlink r:id="rId1" w:history="1">
        <w:r w:rsidRPr="00886C28">
          <w:rPr>
            <w:rStyle w:val="Hipervnculo"/>
          </w:rPr>
          <w:t>CCPR/C/PAN/4</w:t>
        </w:r>
      </w:hyperlink>
      <w:r w:rsidRPr="00BB76A5">
        <w:t>.</w:t>
      </w:r>
    </w:p>
  </w:footnote>
  <w:footnote w:id="3">
    <w:p w14:paraId="2DD7D5D3" w14:textId="76E09051" w:rsidR="00433235" w:rsidRPr="00BB76A5" w:rsidRDefault="00433235">
      <w:pPr>
        <w:pStyle w:val="Textonotapie"/>
      </w:pPr>
      <w:r>
        <w:tab/>
      </w:r>
      <w:r>
        <w:rPr>
          <w:rStyle w:val="Refdenotaalpie"/>
        </w:rPr>
        <w:footnoteRef/>
      </w:r>
      <w:r>
        <w:t xml:space="preserve"> </w:t>
      </w:r>
      <w:r>
        <w:tab/>
        <w:t xml:space="preserve">Ver </w:t>
      </w:r>
      <w:hyperlink r:id="rId2" w:history="1">
        <w:r w:rsidRPr="009838EC">
          <w:rPr>
            <w:rStyle w:val="Hipervnculo"/>
          </w:rPr>
          <w:t>CCPR/C/SR.3972</w:t>
        </w:r>
      </w:hyperlink>
      <w:r>
        <w:t xml:space="preserve">, </w:t>
      </w:r>
      <w:hyperlink r:id="rId3" w:history="1">
        <w:r w:rsidRPr="009838EC">
          <w:rPr>
            <w:rStyle w:val="Hipervnculo"/>
          </w:rPr>
          <w:t>CCPR/C/SR.3974</w:t>
        </w:r>
      </w:hyperlink>
      <w:r w:rsidRPr="007F6089">
        <w:t xml:space="preserve"> </w:t>
      </w:r>
      <w:r>
        <w:t xml:space="preserve">y </w:t>
      </w:r>
      <w:hyperlink r:id="rId4" w:history="1">
        <w:r w:rsidRPr="009838EC">
          <w:rPr>
            <w:rStyle w:val="Hipervnculo"/>
          </w:rPr>
          <w:t>CCPR/C/SR.3976</w:t>
        </w:r>
      </w:hyperlink>
      <w:r>
        <w:t>.</w:t>
      </w:r>
    </w:p>
  </w:footnote>
  <w:footnote w:id="4">
    <w:p w14:paraId="17741BDF" w14:textId="14FA1A4C" w:rsidR="00433235" w:rsidRPr="008656B8" w:rsidRDefault="00433235" w:rsidP="009318A8">
      <w:pPr>
        <w:pStyle w:val="Textonotapie"/>
      </w:pPr>
      <w:r w:rsidRPr="008656B8">
        <w:tab/>
      </w:r>
      <w:r w:rsidRPr="008656B8">
        <w:rPr>
          <w:rStyle w:val="Refdenotaalpie"/>
        </w:rPr>
        <w:footnoteRef/>
      </w:r>
      <w:r w:rsidRPr="008656B8">
        <w:t xml:space="preserve"> </w:t>
      </w:r>
      <w:r w:rsidRPr="008656B8">
        <w:tab/>
      </w:r>
      <w:hyperlink r:id="rId5" w:history="1">
        <w:r>
          <w:rPr>
            <w:rStyle w:val="Hipervnculo"/>
          </w:rPr>
          <w:t>CCPR/C/PAN</w:t>
        </w:r>
        <w:r w:rsidRPr="008656B8">
          <w:rPr>
            <w:rStyle w:val="Hipervnculo"/>
          </w:rPr>
          <w:t>/RQ/4</w:t>
        </w:r>
      </w:hyperlink>
      <w:r w:rsidRPr="008656B8">
        <w:t>.</w:t>
      </w:r>
    </w:p>
  </w:footnote>
  <w:footnote w:id="5">
    <w:p w14:paraId="5C5DFCD9" w14:textId="6B85A37C" w:rsidR="00433235" w:rsidRPr="008656B8" w:rsidRDefault="00433235" w:rsidP="009318A8">
      <w:pPr>
        <w:pStyle w:val="Textonotapie"/>
      </w:pPr>
      <w:r w:rsidRPr="008656B8">
        <w:tab/>
      </w:r>
      <w:r w:rsidRPr="008656B8">
        <w:rPr>
          <w:rStyle w:val="Refdenotaalpie"/>
        </w:rPr>
        <w:footnoteRef/>
      </w:r>
      <w:r w:rsidRPr="008656B8">
        <w:t xml:space="preserve"> </w:t>
      </w:r>
      <w:r w:rsidRPr="008656B8">
        <w:tab/>
      </w:r>
      <w:hyperlink r:id="rId6" w:history="1">
        <w:r>
          <w:rPr>
            <w:rStyle w:val="Hipervnculo"/>
          </w:rPr>
          <w:t>CCPR/C/PAN</w:t>
        </w:r>
        <w:r w:rsidRPr="008656B8">
          <w:rPr>
            <w:rStyle w:val="Hipervnculo"/>
          </w:rPr>
          <w:t>/Q/4</w:t>
        </w:r>
      </w:hyperlink>
      <w:r w:rsidRPr="008656B8">
        <w:t>.</w:t>
      </w:r>
    </w:p>
  </w:footnote>
  <w:footnote w:id="6">
    <w:p w14:paraId="478DAA15" w14:textId="77777777" w:rsidR="00433235" w:rsidRPr="0021063F" w:rsidRDefault="00433235" w:rsidP="006A1CEE">
      <w:pPr>
        <w:pStyle w:val="Textonotapie"/>
        <w:rPr>
          <w:lang w:val="en-GB"/>
        </w:rPr>
      </w:pPr>
      <w:r>
        <w:tab/>
      </w:r>
      <w:r>
        <w:rPr>
          <w:rStyle w:val="Refdenotaalpie"/>
        </w:rPr>
        <w:footnoteRef/>
      </w:r>
      <w:r w:rsidRPr="0021063F">
        <w:rPr>
          <w:lang w:val="en-GB"/>
        </w:rPr>
        <w:t xml:space="preserve"> </w:t>
      </w:r>
      <w:r w:rsidRPr="0021063F">
        <w:rPr>
          <w:lang w:val="en-GB"/>
        </w:rPr>
        <w:tab/>
      </w:r>
      <w:hyperlink r:id="rId7" w:history="1">
        <w:r w:rsidRPr="0021063F">
          <w:rPr>
            <w:rStyle w:val="Hipervnculo"/>
            <w:lang w:val="en-GB"/>
          </w:rPr>
          <w:t>CCPR/C/PAN/CO/3</w:t>
        </w:r>
      </w:hyperlink>
      <w:r w:rsidRPr="0021063F">
        <w:rPr>
          <w:lang w:val="en-GB"/>
        </w:rPr>
        <w:t>, párr. 7.</w:t>
      </w:r>
    </w:p>
  </w:footnote>
  <w:footnote w:id="7">
    <w:p w14:paraId="6FF81A11" w14:textId="3A445D52" w:rsidR="00433235" w:rsidRPr="00684176" w:rsidRDefault="00433235" w:rsidP="007B4F38">
      <w:pPr>
        <w:pStyle w:val="Textonotapie"/>
        <w:rPr>
          <w:lang w:val="en-GB"/>
        </w:rPr>
      </w:pPr>
      <w:r w:rsidRPr="0021063F">
        <w:rPr>
          <w:lang w:val="en-GB"/>
        </w:rPr>
        <w:tab/>
      </w:r>
      <w:r>
        <w:rPr>
          <w:rStyle w:val="Refdenotaalpie"/>
        </w:rPr>
        <w:footnoteRef/>
      </w:r>
      <w:r w:rsidRPr="002B028D">
        <w:rPr>
          <w:lang w:val="en-GB"/>
        </w:rPr>
        <w:t xml:space="preserve"> </w:t>
      </w:r>
      <w:r w:rsidRPr="002B028D">
        <w:rPr>
          <w:lang w:val="en-GB"/>
        </w:rPr>
        <w:tab/>
      </w:r>
      <w:hyperlink r:id="rId8" w:history="1">
        <w:r w:rsidR="00077A82" w:rsidRPr="008E0D36">
          <w:rPr>
            <w:rStyle w:val="Hipervnculo"/>
            <w:lang w:val="en-GB"/>
          </w:rPr>
          <w:t>CED/C/PAN/CO/1</w:t>
        </w:r>
      </w:hyperlink>
      <w:r w:rsidR="00F25635" w:rsidRPr="002B028D">
        <w:rPr>
          <w:lang w:val="en-GB"/>
        </w:rPr>
        <w:t>, párr</w:t>
      </w:r>
      <w:r w:rsidR="00F25635">
        <w:rPr>
          <w:lang w:val="en-GB"/>
        </w:rPr>
        <w:t>s</w:t>
      </w:r>
      <w:r w:rsidR="00F25635" w:rsidRPr="002B028D">
        <w:rPr>
          <w:lang w:val="en-GB"/>
        </w:rPr>
        <w:t>.</w:t>
      </w:r>
      <w:r w:rsidR="00F25635">
        <w:rPr>
          <w:lang w:val="en-GB"/>
        </w:rPr>
        <w:t xml:space="preserve"> </w:t>
      </w:r>
      <w:r w:rsidR="00F25635" w:rsidRPr="00684176">
        <w:rPr>
          <w:lang w:val="en-GB"/>
        </w:rPr>
        <w:t>19 y 37.</w:t>
      </w:r>
    </w:p>
  </w:footnote>
  <w:footnote w:id="8">
    <w:p w14:paraId="1C0CF8B0" w14:textId="77777777" w:rsidR="00433235" w:rsidRPr="00684176" w:rsidRDefault="00433235" w:rsidP="007B4F38">
      <w:pPr>
        <w:pStyle w:val="Textonotapie"/>
        <w:rPr>
          <w:lang w:val="en-GB"/>
        </w:rPr>
      </w:pPr>
      <w:r w:rsidRPr="00684176">
        <w:rPr>
          <w:lang w:val="en-GB"/>
        </w:rPr>
        <w:tab/>
      </w:r>
      <w:r>
        <w:rPr>
          <w:rStyle w:val="Refdenotaalpie"/>
        </w:rPr>
        <w:footnoteRef/>
      </w:r>
      <w:r w:rsidRPr="00684176">
        <w:rPr>
          <w:lang w:val="en-GB"/>
        </w:rPr>
        <w:t xml:space="preserve"> </w:t>
      </w:r>
      <w:r w:rsidRPr="00684176">
        <w:rPr>
          <w:lang w:val="en-GB"/>
        </w:rPr>
        <w:tab/>
      </w:r>
      <w:hyperlink r:id="rId9" w:history="1">
        <w:r w:rsidRPr="00684176">
          <w:rPr>
            <w:rStyle w:val="Hipervnculo"/>
            <w:lang w:val="en-GB"/>
          </w:rPr>
          <w:t>CAT/C/PAN/CO/4</w:t>
        </w:r>
      </w:hyperlink>
      <w:r w:rsidRPr="00684176">
        <w:rPr>
          <w:lang w:val="en-GB"/>
        </w:rPr>
        <w:t>, párr. 33.</w:t>
      </w:r>
    </w:p>
  </w:footnote>
  <w:footnote w:id="9">
    <w:p w14:paraId="01E080BC" w14:textId="3D986111" w:rsidR="00433235" w:rsidRPr="00FD1E2C" w:rsidRDefault="00433235" w:rsidP="00E8372C">
      <w:pPr>
        <w:pStyle w:val="Textonotapie"/>
        <w:rPr>
          <w:lang w:val="en-US"/>
        </w:rPr>
      </w:pPr>
      <w:r w:rsidRPr="00684176">
        <w:rPr>
          <w:lang w:val="en-GB"/>
        </w:rPr>
        <w:tab/>
      </w:r>
      <w:r>
        <w:rPr>
          <w:rStyle w:val="Refdenotaalpie"/>
        </w:rPr>
        <w:footnoteRef/>
      </w:r>
      <w:r w:rsidRPr="00684176">
        <w:rPr>
          <w:lang w:val="en-GB"/>
        </w:rPr>
        <w:t xml:space="preserve"> </w:t>
      </w:r>
      <w:r w:rsidRPr="00684176">
        <w:rPr>
          <w:lang w:val="en-GB"/>
        </w:rPr>
        <w:tab/>
      </w:r>
      <w:hyperlink r:id="rId10" w:history="1">
        <w:r w:rsidR="008E0D36" w:rsidRPr="008E0D36">
          <w:rPr>
            <w:rStyle w:val="Hipervnculo"/>
            <w:lang w:val="en-GB"/>
          </w:rPr>
          <w:t>CEDAW/C/PAN/CO/8</w:t>
        </w:r>
      </w:hyperlink>
      <w:r w:rsidRPr="00684176">
        <w:rPr>
          <w:lang w:val="en-GB"/>
        </w:rPr>
        <w:t xml:space="preserve">, párr. </w:t>
      </w:r>
      <w:r w:rsidRPr="00FD1E2C">
        <w:rPr>
          <w:lang w:val="en-US"/>
        </w:rPr>
        <w:t>24.</w:t>
      </w:r>
    </w:p>
  </w:footnote>
  <w:footnote w:id="10">
    <w:p w14:paraId="04477B6C" w14:textId="6A83D338" w:rsidR="00433235" w:rsidRPr="00B40411" w:rsidRDefault="00433235" w:rsidP="0033767F">
      <w:pPr>
        <w:pStyle w:val="Textonotapie"/>
        <w:rPr>
          <w:lang w:val="en-US"/>
        </w:rPr>
      </w:pPr>
      <w:r w:rsidRPr="00FD1E2C">
        <w:rPr>
          <w:lang w:val="en-US"/>
        </w:rPr>
        <w:tab/>
      </w:r>
      <w:r>
        <w:rPr>
          <w:rStyle w:val="Refdenotaalpie"/>
        </w:rPr>
        <w:footnoteRef/>
      </w:r>
      <w:r w:rsidRPr="00FD1E2C">
        <w:rPr>
          <w:lang w:val="en-US"/>
        </w:rPr>
        <w:t xml:space="preserve"> </w:t>
      </w:r>
      <w:r w:rsidRPr="00FD1E2C">
        <w:rPr>
          <w:lang w:val="en-US"/>
        </w:rPr>
        <w:tab/>
      </w:r>
      <w:hyperlink r:id="rId11" w:history="1">
        <w:r w:rsidR="00F478A5" w:rsidRPr="00F478A5">
          <w:rPr>
            <w:rStyle w:val="Hipervnculo"/>
            <w:lang w:val="en-GB"/>
          </w:rPr>
          <w:t>CEDAW/C/PAN/CO/8</w:t>
        </w:r>
      </w:hyperlink>
      <w:r w:rsidRPr="00FD1E2C">
        <w:rPr>
          <w:lang w:val="en-US"/>
        </w:rPr>
        <w:t xml:space="preserve">, párr. </w:t>
      </w:r>
      <w:r w:rsidRPr="00B40411">
        <w:rPr>
          <w:lang w:val="en-US"/>
        </w:rPr>
        <w:t>38/f</w:t>
      </w:r>
      <w:r w:rsidR="00AC334B" w:rsidRPr="00B40411">
        <w:rPr>
          <w:lang w:val="en-US"/>
        </w:rPr>
        <w:t>.</w:t>
      </w:r>
    </w:p>
  </w:footnote>
  <w:footnote w:id="11">
    <w:p w14:paraId="7C8EB5E6" w14:textId="5840480F" w:rsidR="00433235" w:rsidRPr="00B40411" w:rsidRDefault="00433235" w:rsidP="0033767F">
      <w:pPr>
        <w:pStyle w:val="Textonotapie"/>
        <w:rPr>
          <w:lang w:val="en-US"/>
        </w:rPr>
      </w:pPr>
      <w:r w:rsidRPr="00B40411">
        <w:rPr>
          <w:lang w:val="en-US"/>
        </w:rPr>
        <w:tab/>
      </w:r>
      <w:r>
        <w:rPr>
          <w:rStyle w:val="Refdenotaalpie"/>
        </w:rPr>
        <w:footnoteRef/>
      </w:r>
      <w:r w:rsidRPr="004C4B2B">
        <w:t xml:space="preserve"> </w:t>
      </w:r>
      <w:r w:rsidRPr="004C4B2B">
        <w:tab/>
      </w:r>
      <w:hyperlink r:id="rId12" w:history="1">
        <w:r w:rsidRPr="004C4B2B">
          <w:rPr>
            <w:rStyle w:val="Hipervnculo"/>
          </w:rPr>
          <w:t>E/C.12/PAN/CO/3</w:t>
        </w:r>
      </w:hyperlink>
      <w:r w:rsidRPr="004C4B2B">
        <w:t xml:space="preserve">, párr. </w:t>
      </w:r>
      <w:r w:rsidRPr="00B40411">
        <w:rPr>
          <w:lang w:val="en-US"/>
        </w:rPr>
        <w:t>49/d.</w:t>
      </w:r>
    </w:p>
  </w:footnote>
  <w:footnote w:id="12">
    <w:p w14:paraId="59CB4D90" w14:textId="462DAFCA" w:rsidR="00433235" w:rsidRPr="007A5AAF" w:rsidRDefault="00433235" w:rsidP="006A2EA3">
      <w:pPr>
        <w:pStyle w:val="Textonotapie"/>
        <w:rPr>
          <w:lang w:val="en-US"/>
        </w:rPr>
      </w:pPr>
      <w:r w:rsidRPr="00B40411">
        <w:rPr>
          <w:lang w:val="en-US"/>
        </w:rPr>
        <w:tab/>
      </w:r>
      <w:r>
        <w:rPr>
          <w:rStyle w:val="Refdenotaalpie"/>
        </w:rPr>
        <w:footnoteRef/>
      </w:r>
      <w:r w:rsidRPr="007A5AAF">
        <w:rPr>
          <w:lang w:val="en-US"/>
        </w:rPr>
        <w:t xml:space="preserve"> </w:t>
      </w:r>
      <w:r w:rsidRPr="007A5AAF">
        <w:rPr>
          <w:lang w:val="en-US"/>
        </w:rPr>
        <w:tab/>
      </w:r>
      <w:hyperlink r:id="rId13" w:history="1">
        <w:r w:rsidR="00F478A5" w:rsidRPr="00F478A5">
          <w:rPr>
            <w:rStyle w:val="Hipervnculo"/>
          </w:rPr>
          <w:t>CCPR/C/PAN/CO/3</w:t>
        </w:r>
      </w:hyperlink>
      <w:r w:rsidR="00F478A5">
        <w:t xml:space="preserve">, </w:t>
      </w:r>
      <w:r w:rsidR="00F47ADD">
        <w:rPr>
          <w:lang w:val="en-US"/>
        </w:rPr>
        <w:t>párr. 12</w:t>
      </w:r>
      <w:r w:rsidRPr="007A5AAF">
        <w:rPr>
          <w:lang w:val="en-US"/>
        </w:rPr>
        <w:t>.</w:t>
      </w:r>
    </w:p>
  </w:footnote>
  <w:footnote w:id="13">
    <w:p w14:paraId="220124D4" w14:textId="6A4F8A16" w:rsidR="00433235" w:rsidRPr="00F478A5" w:rsidRDefault="00433235" w:rsidP="0024674F">
      <w:pPr>
        <w:pStyle w:val="Textonotapie"/>
        <w:rPr>
          <w:lang w:val="en-US"/>
        </w:rPr>
      </w:pPr>
      <w:r w:rsidRPr="007A5AAF">
        <w:rPr>
          <w:lang w:val="en-US"/>
        </w:rPr>
        <w:tab/>
      </w:r>
      <w:r>
        <w:rPr>
          <w:rStyle w:val="Refdenotaalpie"/>
        </w:rPr>
        <w:footnoteRef/>
      </w:r>
      <w:r w:rsidRPr="00FD1E2C">
        <w:rPr>
          <w:lang w:val="en-US"/>
        </w:rPr>
        <w:t xml:space="preserve"> </w:t>
      </w:r>
      <w:r w:rsidRPr="00FD1E2C">
        <w:rPr>
          <w:lang w:val="en-US"/>
        </w:rPr>
        <w:tab/>
      </w:r>
      <w:hyperlink r:id="rId14" w:history="1">
        <w:r w:rsidRPr="00FD1E2C">
          <w:rPr>
            <w:rStyle w:val="Hipervnculo"/>
            <w:lang w:val="en-US"/>
          </w:rPr>
          <w:t>CCPR/C/PAN/CO/3</w:t>
        </w:r>
      </w:hyperlink>
      <w:r w:rsidRPr="00FD1E2C">
        <w:rPr>
          <w:lang w:val="en-US"/>
        </w:rPr>
        <w:t xml:space="preserve">, párr. </w:t>
      </w:r>
      <w:r w:rsidRPr="00F478A5">
        <w:rPr>
          <w:lang w:val="en-US"/>
        </w:rPr>
        <w:t>11.</w:t>
      </w:r>
    </w:p>
  </w:footnote>
  <w:footnote w:id="14">
    <w:p w14:paraId="31D17F88" w14:textId="601BF889" w:rsidR="00433235" w:rsidRPr="00A87C1C" w:rsidRDefault="00433235" w:rsidP="00C12B33">
      <w:pPr>
        <w:pStyle w:val="Textonotapie"/>
        <w:rPr>
          <w:lang w:val="es-419"/>
        </w:rPr>
      </w:pPr>
      <w:r w:rsidRPr="00F478A5">
        <w:rPr>
          <w:lang w:val="en-US"/>
        </w:rPr>
        <w:tab/>
      </w:r>
      <w:r>
        <w:rPr>
          <w:rStyle w:val="Refdenotaalpie"/>
        </w:rPr>
        <w:footnoteRef/>
      </w:r>
      <w:r w:rsidRPr="00077A82">
        <w:rPr>
          <w:lang w:val="en-US"/>
        </w:rPr>
        <w:t xml:space="preserve"> </w:t>
      </w:r>
      <w:r w:rsidRPr="00077A82">
        <w:rPr>
          <w:lang w:val="en-US"/>
        </w:rPr>
        <w:tab/>
      </w:r>
      <w:hyperlink r:id="rId15" w:history="1">
        <w:r w:rsidRPr="00077A82">
          <w:rPr>
            <w:rStyle w:val="Hipervnculo"/>
            <w:lang w:val="en-US"/>
          </w:rPr>
          <w:t>CEDAW/C/PAN/CO/8</w:t>
        </w:r>
      </w:hyperlink>
      <w:r w:rsidRPr="00077A82">
        <w:rPr>
          <w:lang w:val="en-US"/>
        </w:rPr>
        <w:t xml:space="preserve">, párr. </w:t>
      </w:r>
      <w:r w:rsidRPr="00A87C1C">
        <w:rPr>
          <w:lang w:val="es-419"/>
        </w:rPr>
        <w:t>26.</w:t>
      </w:r>
    </w:p>
  </w:footnote>
  <w:footnote w:id="15">
    <w:p w14:paraId="3580376F" w14:textId="634CCCAE" w:rsidR="00433235" w:rsidRPr="00FE086C" w:rsidRDefault="00433235" w:rsidP="0061310D">
      <w:pPr>
        <w:pStyle w:val="Textonotapie"/>
        <w:rPr>
          <w:lang w:val="es-419"/>
        </w:rPr>
      </w:pPr>
      <w:r>
        <w:tab/>
      </w:r>
      <w:r>
        <w:rPr>
          <w:rStyle w:val="Refdenotaalpie"/>
        </w:rPr>
        <w:footnoteRef/>
      </w:r>
      <w:r>
        <w:t xml:space="preserve"> </w:t>
      </w:r>
      <w:r>
        <w:tab/>
      </w:r>
      <w:hyperlink r:id="rId16" w:history="1">
        <w:r w:rsidRPr="008C00D7">
          <w:rPr>
            <w:rStyle w:val="Hipervnculo"/>
            <w:lang w:val="es-419"/>
          </w:rPr>
          <w:t>E</w:t>
        </w:r>
        <w:r>
          <w:rPr>
            <w:rStyle w:val="Hipervnculo"/>
            <w:lang w:val="es-419"/>
          </w:rPr>
          <w:t>/C.12/PAN/CO/3</w:t>
        </w:r>
      </w:hyperlink>
      <w:r w:rsidRPr="008C00D7">
        <w:rPr>
          <w:lang w:val="es-419"/>
        </w:rPr>
        <w:t xml:space="preserve">, </w:t>
      </w:r>
      <w:r>
        <w:rPr>
          <w:lang w:val="es-419"/>
        </w:rPr>
        <w:t>párr. 43 (a) y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83A1" w14:textId="44B3628B" w:rsidR="00433235" w:rsidRPr="00DD5762" w:rsidRDefault="00433235">
    <w:pPr>
      <w:pStyle w:val="Encabezado"/>
      <w:rPr>
        <w:lang w:val="en-GB"/>
      </w:rPr>
    </w:pPr>
    <w:r>
      <w:rPr>
        <w:lang w:val="en-GB"/>
      </w:rPr>
      <w:t>CCPR/C/PAN/CO/4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7FF4" w14:textId="76DA0033" w:rsidR="00433235" w:rsidRPr="00DD5762" w:rsidRDefault="00433235" w:rsidP="00BC2881">
    <w:pPr>
      <w:pStyle w:val="Encabezado"/>
      <w:jc w:val="right"/>
      <w:rPr>
        <w:lang w:val="en-GB"/>
      </w:rPr>
    </w:pPr>
    <w:r>
      <w:rPr>
        <w:lang w:val="en-GB"/>
      </w:rPr>
      <w:t>CCPR/C/PAN/CO/4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842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463850B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B6496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57AD35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6C2F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C8000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F680D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3EE878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0D24B1"/>
    <w:multiLevelType w:val="hybridMultilevel"/>
    <w:tmpl w:val="A7946AA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8887B71"/>
    <w:multiLevelType w:val="hybridMultilevel"/>
    <w:tmpl w:val="F3AE256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F446E"/>
    <w:multiLevelType w:val="hybridMultilevel"/>
    <w:tmpl w:val="335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B4021"/>
    <w:multiLevelType w:val="hybridMultilevel"/>
    <w:tmpl w:val="F3AE256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79436A5"/>
    <w:multiLevelType w:val="hybridMultilevel"/>
    <w:tmpl w:val="286C2C6A"/>
    <w:lvl w:ilvl="0" w:tplc="6958C62C">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83F6617"/>
    <w:multiLevelType w:val="hybridMultilevel"/>
    <w:tmpl w:val="4D365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4035B1"/>
    <w:multiLevelType w:val="hybridMultilevel"/>
    <w:tmpl w:val="B8865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9F6DB1"/>
    <w:multiLevelType w:val="hybridMultilevel"/>
    <w:tmpl w:val="EB4C4C3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9D1000D"/>
    <w:multiLevelType w:val="hybridMultilevel"/>
    <w:tmpl w:val="354ACF3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BFE5FF7"/>
    <w:multiLevelType w:val="hybridMultilevel"/>
    <w:tmpl w:val="F3AE256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2187906"/>
    <w:multiLevelType w:val="hybridMultilevel"/>
    <w:tmpl w:val="7D58356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44B559B"/>
    <w:multiLevelType w:val="hybridMultilevel"/>
    <w:tmpl w:val="FC82A800"/>
    <w:lvl w:ilvl="0" w:tplc="ABF8E8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F07ED5"/>
    <w:multiLevelType w:val="hybridMultilevel"/>
    <w:tmpl w:val="8682C67C"/>
    <w:lvl w:ilvl="0" w:tplc="31CCCD56">
      <w:start w:val="1"/>
      <w:numFmt w:val="lowerLetter"/>
      <w:lvlText w:val="%1)"/>
      <w:lvlJc w:val="left"/>
      <w:pPr>
        <w:ind w:left="1854" w:hanging="360"/>
      </w:pPr>
      <w:rPr>
        <w:rFonts w:ascii="Times New Roman Bold" w:hAnsi="Times New Roman Bold"/>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754D7A"/>
    <w:multiLevelType w:val="hybridMultilevel"/>
    <w:tmpl w:val="476AFED0"/>
    <w:lvl w:ilvl="0" w:tplc="2A5A270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5276D4"/>
    <w:multiLevelType w:val="hybridMultilevel"/>
    <w:tmpl w:val="F4C0F02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6D86F1E"/>
    <w:multiLevelType w:val="hybridMultilevel"/>
    <w:tmpl w:val="233C304E"/>
    <w:lvl w:ilvl="0" w:tplc="6958C62C">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7297D79"/>
    <w:multiLevelType w:val="hybridMultilevel"/>
    <w:tmpl w:val="A3AEF89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8B0671D"/>
    <w:multiLevelType w:val="hybridMultilevel"/>
    <w:tmpl w:val="19E2647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9B76548"/>
    <w:multiLevelType w:val="hybridMultilevel"/>
    <w:tmpl w:val="1298B96E"/>
    <w:lvl w:ilvl="0" w:tplc="AC96AA2E">
      <w:start w:val="9"/>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85819"/>
    <w:multiLevelType w:val="hybridMultilevel"/>
    <w:tmpl w:val="CE182C24"/>
    <w:lvl w:ilvl="0" w:tplc="32764FB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8A2C50"/>
    <w:multiLevelType w:val="hybridMultilevel"/>
    <w:tmpl w:val="8D22D592"/>
    <w:lvl w:ilvl="0" w:tplc="BD7A66C8">
      <w:start w:val="1"/>
      <w:numFmt w:val="lowerLetter"/>
      <w:lvlText w:val="%1)"/>
      <w:lvlJc w:val="left"/>
      <w:pPr>
        <w:ind w:left="1854" w:hanging="360"/>
      </w:pPr>
      <w:rPr>
        <w:rFonts w:ascii="Times New Roman Bold" w:hAnsi="Times New Roman Bold"/>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B956610"/>
    <w:multiLevelType w:val="hybridMultilevel"/>
    <w:tmpl w:val="7FC0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E0795A"/>
    <w:multiLevelType w:val="hybridMultilevel"/>
    <w:tmpl w:val="87DED17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E596CB4"/>
    <w:multiLevelType w:val="hybridMultilevel"/>
    <w:tmpl w:val="E3C69DE2"/>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16cid:durableId="1448235492">
    <w:abstractNumId w:val="37"/>
  </w:num>
  <w:num w:numId="2" w16cid:durableId="1736665934">
    <w:abstractNumId w:val="35"/>
  </w:num>
  <w:num w:numId="3" w16cid:durableId="57092210">
    <w:abstractNumId w:val="30"/>
  </w:num>
  <w:num w:numId="4" w16cid:durableId="331638717">
    <w:abstractNumId w:val="33"/>
  </w:num>
  <w:num w:numId="5" w16cid:durableId="1327635951">
    <w:abstractNumId w:val="23"/>
  </w:num>
  <w:num w:numId="6" w16cid:durableId="543297319">
    <w:abstractNumId w:val="12"/>
  </w:num>
  <w:num w:numId="7" w16cid:durableId="1093627009">
    <w:abstractNumId w:val="24"/>
  </w:num>
  <w:num w:numId="8" w16cid:durableId="1599559059">
    <w:abstractNumId w:val="9"/>
  </w:num>
  <w:num w:numId="9" w16cid:durableId="1938638982">
    <w:abstractNumId w:val="7"/>
  </w:num>
  <w:num w:numId="10" w16cid:durableId="1941253394">
    <w:abstractNumId w:val="6"/>
  </w:num>
  <w:num w:numId="11" w16cid:durableId="1260211602">
    <w:abstractNumId w:val="5"/>
  </w:num>
  <w:num w:numId="12" w16cid:durableId="480461414">
    <w:abstractNumId w:val="4"/>
  </w:num>
  <w:num w:numId="13" w16cid:durableId="424307588">
    <w:abstractNumId w:val="8"/>
  </w:num>
  <w:num w:numId="14" w16cid:durableId="1849827627">
    <w:abstractNumId w:val="3"/>
  </w:num>
  <w:num w:numId="15" w16cid:durableId="932056433">
    <w:abstractNumId w:val="2"/>
  </w:num>
  <w:num w:numId="16" w16cid:durableId="1503541742">
    <w:abstractNumId w:val="1"/>
  </w:num>
  <w:num w:numId="17" w16cid:durableId="1745301202">
    <w:abstractNumId w:val="0"/>
  </w:num>
  <w:num w:numId="18" w16cid:durableId="1470056683">
    <w:abstractNumId w:val="28"/>
  </w:num>
  <w:num w:numId="19" w16cid:durableId="1040013004">
    <w:abstractNumId w:val="34"/>
  </w:num>
  <w:num w:numId="20" w16cid:durableId="1420441948">
    <w:abstractNumId w:val="32"/>
  </w:num>
  <w:num w:numId="21" w16cid:durableId="594633131">
    <w:abstractNumId w:val="11"/>
  </w:num>
  <w:num w:numId="22" w16cid:durableId="535578853">
    <w:abstractNumId w:val="20"/>
  </w:num>
  <w:num w:numId="23" w16cid:durableId="1458379993">
    <w:abstractNumId w:val="14"/>
  </w:num>
  <w:num w:numId="24" w16cid:durableId="862354559">
    <w:abstractNumId w:val="26"/>
  </w:num>
  <w:num w:numId="25" w16cid:durableId="273250099">
    <w:abstractNumId w:val="15"/>
  </w:num>
  <w:num w:numId="26" w16cid:durableId="1977099673">
    <w:abstractNumId w:val="22"/>
  </w:num>
  <w:num w:numId="27" w16cid:durableId="685208342">
    <w:abstractNumId w:val="31"/>
  </w:num>
  <w:num w:numId="28" w16cid:durableId="318773755">
    <w:abstractNumId w:val="36"/>
  </w:num>
  <w:num w:numId="29" w16cid:durableId="372122570">
    <w:abstractNumId w:val="19"/>
  </w:num>
  <w:num w:numId="30" w16cid:durableId="1422330748">
    <w:abstractNumId w:val="18"/>
  </w:num>
  <w:num w:numId="31" w16cid:durableId="737895950">
    <w:abstractNumId w:val="29"/>
  </w:num>
  <w:num w:numId="32" w16cid:durableId="2081975081">
    <w:abstractNumId w:val="39"/>
  </w:num>
  <w:num w:numId="33" w16cid:durableId="1776366488">
    <w:abstractNumId w:val="27"/>
  </w:num>
  <w:num w:numId="34" w16cid:durableId="1613853425">
    <w:abstractNumId w:val="21"/>
  </w:num>
  <w:num w:numId="35" w16cid:durableId="1291091735">
    <w:abstractNumId w:val="10"/>
  </w:num>
  <w:num w:numId="36" w16cid:durableId="1287350845">
    <w:abstractNumId w:val="25"/>
  </w:num>
  <w:num w:numId="37" w16cid:durableId="1213081335">
    <w:abstractNumId w:val="40"/>
  </w:num>
  <w:num w:numId="38" w16cid:durableId="813330420">
    <w:abstractNumId w:val="38"/>
  </w:num>
  <w:num w:numId="39" w16cid:durableId="494031936">
    <w:abstractNumId w:val="13"/>
  </w:num>
  <w:num w:numId="40" w16cid:durableId="1686177154">
    <w:abstractNumId w:val="16"/>
  </w:num>
  <w:num w:numId="41" w16cid:durableId="13904924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07"/>
    <w:rsid w:val="00001012"/>
    <w:rsid w:val="000039D9"/>
    <w:rsid w:val="000054D1"/>
    <w:rsid w:val="00006BB9"/>
    <w:rsid w:val="00007671"/>
    <w:rsid w:val="0001314A"/>
    <w:rsid w:val="00015008"/>
    <w:rsid w:val="000204B1"/>
    <w:rsid w:val="00020AFF"/>
    <w:rsid w:val="00024BB1"/>
    <w:rsid w:val="00024CC4"/>
    <w:rsid w:val="00031E54"/>
    <w:rsid w:val="000410B6"/>
    <w:rsid w:val="0005085F"/>
    <w:rsid w:val="000519DC"/>
    <w:rsid w:val="0005274F"/>
    <w:rsid w:val="000528E3"/>
    <w:rsid w:val="00054383"/>
    <w:rsid w:val="00057D55"/>
    <w:rsid w:val="00057D6A"/>
    <w:rsid w:val="000660DC"/>
    <w:rsid w:val="000756E3"/>
    <w:rsid w:val="00075718"/>
    <w:rsid w:val="00077775"/>
    <w:rsid w:val="00077A82"/>
    <w:rsid w:val="00081702"/>
    <w:rsid w:val="00094296"/>
    <w:rsid w:val="00097F62"/>
    <w:rsid w:val="000A1F43"/>
    <w:rsid w:val="000A3543"/>
    <w:rsid w:val="000A36A2"/>
    <w:rsid w:val="000A67FE"/>
    <w:rsid w:val="000A7395"/>
    <w:rsid w:val="000B0167"/>
    <w:rsid w:val="000B1008"/>
    <w:rsid w:val="000B4A6D"/>
    <w:rsid w:val="000B57E7"/>
    <w:rsid w:val="000B7E8F"/>
    <w:rsid w:val="000C76A6"/>
    <w:rsid w:val="000D5FFA"/>
    <w:rsid w:val="000E78D0"/>
    <w:rsid w:val="000F09DF"/>
    <w:rsid w:val="000F1111"/>
    <w:rsid w:val="000F291B"/>
    <w:rsid w:val="000F415E"/>
    <w:rsid w:val="000F61B2"/>
    <w:rsid w:val="000F6FBB"/>
    <w:rsid w:val="00103889"/>
    <w:rsid w:val="001063A7"/>
    <w:rsid w:val="001075E9"/>
    <w:rsid w:val="00110E26"/>
    <w:rsid w:val="001129D5"/>
    <w:rsid w:val="00116756"/>
    <w:rsid w:val="00123532"/>
    <w:rsid w:val="0012404B"/>
    <w:rsid w:val="00124706"/>
    <w:rsid w:val="00125461"/>
    <w:rsid w:val="00136EA1"/>
    <w:rsid w:val="00142648"/>
    <w:rsid w:val="001426B7"/>
    <w:rsid w:val="00143BC5"/>
    <w:rsid w:val="001462B5"/>
    <w:rsid w:val="0015292E"/>
    <w:rsid w:val="001567BD"/>
    <w:rsid w:val="00157324"/>
    <w:rsid w:val="00160FF7"/>
    <w:rsid w:val="001652DD"/>
    <w:rsid w:val="00170E79"/>
    <w:rsid w:val="00180183"/>
    <w:rsid w:val="00181150"/>
    <w:rsid w:val="00182F63"/>
    <w:rsid w:val="00193153"/>
    <w:rsid w:val="00196389"/>
    <w:rsid w:val="001A1F00"/>
    <w:rsid w:val="001A30AD"/>
    <w:rsid w:val="001A3A42"/>
    <w:rsid w:val="001A510E"/>
    <w:rsid w:val="001C12CC"/>
    <w:rsid w:val="001C2D3E"/>
    <w:rsid w:val="001C7A89"/>
    <w:rsid w:val="001D3629"/>
    <w:rsid w:val="001D4146"/>
    <w:rsid w:val="001D4807"/>
    <w:rsid w:val="001E1979"/>
    <w:rsid w:val="001E19FC"/>
    <w:rsid w:val="001E5A77"/>
    <w:rsid w:val="001E7324"/>
    <w:rsid w:val="001F30A4"/>
    <w:rsid w:val="001F570E"/>
    <w:rsid w:val="00204373"/>
    <w:rsid w:val="00206794"/>
    <w:rsid w:val="00206A28"/>
    <w:rsid w:val="0021063F"/>
    <w:rsid w:val="00211A2C"/>
    <w:rsid w:val="002141B5"/>
    <w:rsid w:val="0022765D"/>
    <w:rsid w:val="00232673"/>
    <w:rsid w:val="00232D6B"/>
    <w:rsid w:val="0024005A"/>
    <w:rsid w:val="00240D48"/>
    <w:rsid w:val="002412E1"/>
    <w:rsid w:val="00242265"/>
    <w:rsid w:val="0024296F"/>
    <w:rsid w:val="00244B2E"/>
    <w:rsid w:val="0024633F"/>
    <w:rsid w:val="0024674F"/>
    <w:rsid w:val="002479F1"/>
    <w:rsid w:val="002533E7"/>
    <w:rsid w:val="0025430D"/>
    <w:rsid w:val="002576D7"/>
    <w:rsid w:val="00260172"/>
    <w:rsid w:val="00264FC2"/>
    <w:rsid w:val="002678E7"/>
    <w:rsid w:val="00273D3D"/>
    <w:rsid w:val="00274077"/>
    <w:rsid w:val="002813C9"/>
    <w:rsid w:val="002831C0"/>
    <w:rsid w:val="00292651"/>
    <w:rsid w:val="0029575F"/>
    <w:rsid w:val="002979ED"/>
    <w:rsid w:val="00297CCA"/>
    <w:rsid w:val="00297E0C"/>
    <w:rsid w:val="002A061F"/>
    <w:rsid w:val="002A2EFC"/>
    <w:rsid w:val="002A2F4C"/>
    <w:rsid w:val="002A46CC"/>
    <w:rsid w:val="002A5A4E"/>
    <w:rsid w:val="002A6FA7"/>
    <w:rsid w:val="002A7778"/>
    <w:rsid w:val="002B028D"/>
    <w:rsid w:val="002B3A96"/>
    <w:rsid w:val="002C0BEA"/>
    <w:rsid w:val="002C0E18"/>
    <w:rsid w:val="002C33BB"/>
    <w:rsid w:val="002D290A"/>
    <w:rsid w:val="002D30BC"/>
    <w:rsid w:val="002D5AAC"/>
    <w:rsid w:val="002D7C8D"/>
    <w:rsid w:val="002E092A"/>
    <w:rsid w:val="002F13FE"/>
    <w:rsid w:val="002F6D2B"/>
    <w:rsid w:val="00301299"/>
    <w:rsid w:val="00301ECB"/>
    <w:rsid w:val="003030DC"/>
    <w:rsid w:val="00306EDD"/>
    <w:rsid w:val="0031209A"/>
    <w:rsid w:val="0031423C"/>
    <w:rsid w:val="00322004"/>
    <w:rsid w:val="00323B02"/>
    <w:rsid w:val="0032782E"/>
    <w:rsid w:val="003300C2"/>
    <w:rsid w:val="003327A4"/>
    <w:rsid w:val="0033767F"/>
    <w:rsid w:val="003402C2"/>
    <w:rsid w:val="00341776"/>
    <w:rsid w:val="003527B7"/>
    <w:rsid w:val="0035556F"/>
    <w:rsid w:val="0035772D"/>
    <w:rsid w:val="0036261E"/>
    <w:rsid w:val="0036340F"/>
    <w:rsid w:val="003657FE"/>
    <w:rsid w:val="00367C3F"/>
    <w:rsid w:val="00377171"/>
    <w:rsid w:val="00381C24"/>
    <w:rsid w:val="0038211F"/>
    <w:rsid w:val="0038747F"/>
    <w:rsid w:val="003943CC"/>
    <w:rsid w:val="003952AD"/>
    <w:rsid w:val="003958D0"/>
    <w:rsid w:val="00396D6F"/>
    <w:rsid w:val="003A2DEE"/>
    <w:rsid w:val="003B0B39"/>
    <w:rsid w:val="003B0C73"/>
    <w:rsid w:val="003B3B84"/>
    <w:rsid w:val="003B6A35"/>
    <w:rsid w:val="003C4C54"/>
    <w:rsid w:val="003C547D"/>
    <w:rsid w:val="003C6EA6"/>
    <w:rsid w:val="003D1887"/>
    <w:rsid w:val="003D6960"/>
    <w:rsid w:val="003E081B"/>
    <w:rsid w:val="003E1413"/>
    <w:rsid w:val="003E1F6E"/>
    <w:rsid w:val="003E514E"/>
    <w:rsid w:val="003F221E"/>
    <w:rsid w:val="003F224C"/>
    <w:rsid w:val="003F2DA7"/>
    <w:rsid w:val="003F2EF7"/>
    <w:rsid w:val="003F5187"/>
    <w:rsid w:val="003F71AA"/>
    <w:rsid w:val="004015B7"/>
    <w:rsid w:val="004039A7"/>
    <w:rsid w:val="004076C9"/>
    <w:rsid w:val="00411A36"/>
    <w:rsid w:val="00416BE8"/>
    <w:rsid w:val="00416DE0"/>
    <w:rsid w:val="00420EE8"/>
    <w:rsid w:val="004220B4"/>
    <w:rsid w:val="00430F53"/>
    <w:rsid w:val="00433235"/>
    <w:rsid w:val="004339B6"/>
    <w:rsid w:val="004374F5"/>
    <w:rsid w:val="00440145"/>
    <w:rsid w:val="004406BF"/>
    <w:rsid w:val="00453E6B"/>
    <w:rsid w:val="00454E07"/>
    <w:rsid w:val="0046508C"/>
    <w:rsid w:val="004656D1"/>
    <w:rsid w:val="00466520"/>
    <w:rsid w:val="004678D9"/>
    <w:rsid w:val="004744DF"/>
    <w:rsid w:val="004747EE"/>
    <w:rsid w:val="00474C88"/>
    <w:rsid w:val="004759A8"/>
    <w:rsid w:val="0047655F"/>
    <w:rsid w:val="0047719A"/>
    <w:rsid w:val="004844DD"/>
    <w:rsid w:val="004875CF"/>
    <w:rsid w:val="00492B6E"/>
    <w:rsid w:val="0049466A"/>
    <w:rsid w:val="00494E13"/>
    <w:rsid w:val="00497307"/>
    <w:rsid w:val="004A12A0"/>
    <w:rsid w:val="004A277E"/>
    <w:rsid w:val="004B20FD"/>
    <w:rsid w:val="004B331C"/>
    <w:rsid w:val="004C0B60"/>
    <w:rsid w:val="004C2563"/>
    <w:rsid w:val="004C3B8E"/>
    <w:rsid w:val="004C45B0"/>
    <w:rsid w:val="004C4B2B"/>
    <w:rsid w:val="004C7A9A"/>
    <w:rsid w:val="004D0487"/>
    <w:rsid w:val="004D1D3C"/>
    <w:rsid w:val="004D242E"/>
    <w:rsid w:val="004D27F5"/>
    <w:rsid w:val="004D4BD6"/>
    <w:rsid w:val="004D6CCB"/>
    <w:rsid w:val="004E031A"/>
    <w:rsid w:val="004E2577"/>
    <w:rsid w:val="004E2CCF"/>
    <w:rsid w:val="004E3B74"/>
    <w:rsid w:val="004E4B46"/>
    <w:rsid w:val="004F239C"/>
    <w:rsid w:val="004F4DEC"/>
    <w:rsid w:val="004F79E0"/>
    <w:rsid w:val="0050108D"/>
    <w:rsid w:val="00501E25"/>
    <w:rsid w:val="0050352B"/>
    <w:rsid w:val="0051096D"/>
    <w:rsid w:val="00516A07"/>
    <w:rsid w:val="00523734"/>
    <w:rsid w:val="00524AB8"/>
    <w:rsid w:val="00533087"/>
    <w:rsid w:val="0054328B"/>
    <w:rsid w:val="00544EB7"/>
    <w:rsid w:val="005511A2"/>
    <w:rsid w:val="00553234"/>
    <w:rsid w:val="00556C0F"/>
    <w:rsid w:val="005618E5"/>
    <w:rsid w:val="00562885"/>
    <w:rsid w:val="00564201"/>
    <w:rsid w:val="00567457"/>
    <w:rsid w:val="0056787C"/>
    <w:rsid w:val="00570F72"/>
    <w:rsid w:val="00572E19"/>
    <w:rsid w:val="00572EE3"/>
    <w:rsid w:val="0057442B"/>
    <w:rsid w:val="00574721"/>
    <w:rsid w:val="00575B77"/>
    <w:rsid w:val="00582B6F"/>
    <w:rsid w:val="00586AE7"/>
    <w:rsid w:val="005948EA"/>
    <w:rsid w:val="00595798"/>
    <w:rsid w:val="005A082E"/>
    <w:rsid w:val="005A15BB"/>
    <w:rsid w:val="005A5840"/>
    <w:rsid w:val="005A5D0B"/>
    <w:rsid w:val="005A610E"/>
    <w:rsid w:val="005A672B"/>
    <w:rsid w:val="005B1D88"/>
    <w:rsid w:val="005B34DF"/>
    <w:rsid w:val="005B3E01"/>
    <w:rsid w:val="005C08E3"/>
    <w:rsid w:val="005C20B9"/>
    <w:rsid w:val="005C2E77"/>
    <w:rsid w:val="005C4961"/>
    <w:rsid w:val="005C6147"/>
    <w:rsid w:val="005C6BAA"/>
    <w:rsid w:val="005D0054"/>
    <w:rsid w:val="005D3333"/>
    <w:rsid w:val="005D3672"/>
    <w:rsid w:val="005D3866"/>
    <w:rsid w:val="005D3DA2"/>
    <w:rsid w:val="005E446D"/>
    <w:rsid w:val="005E6454"/>
    <w:rsid w:val="005F0B42"/>
    <w:rsid w:val="005F1362"/>
    <w:rsid w:val="00601148"/>
    <w:rsid w:val="00605379"/>
    <w:rsid w:val="006059E6"/>
    <w:rsid w:val="00606048"/>
    <w:rsid w:val="00607D7F"/>
    <w:rsid w:val="00610362"/>
    <w:rsid w:val="0061310D"/>
    <w:rsid w:val="0061366E"/>
    <w:rsid w:val="00613A55"/>
    <w:rsid w:val="00614642"/>
    <w:rsid w:val="006224EB"/>
    <w:rsid w:val="00627C20"/>
    <w:rsid w:val="0063247C"/>
    <w:rsid w:val="006337F4"/>
    <w:rsid w:val="00633FB3"/>
    <w:rsid w:val="00634A8C"/>
    <w:rsid w:val="006369F2"/>
    <w:rsid w:val="00640D46"/>
    <w:rsid w:val="00641171"/>
    <w:rsid w:val="006431C2"/>
    <w:rsid w:val="00643D7A"/>
    <w:rsid w:val="00646C7B"/>
    <w:rsid w:val="006471A5"/>
    <w:rsid w:val="00647DBC"/>
    <w:rsid w:val="006517B8"/>
    <w:rsid w:val="0065531B"/>
    <w:rsid w:val="00655A21"/>
    <w:rsid w:val="00657050"/>
    <w:rsid w:val="0065773C"/>
    <w:rsid w:val="00660CE8"/>
    <w:rsid w:val="0066163E"/>
    <w:rsid w:val="00661AE4"/>
    <w:rsid w:val="00663A17"/>
    <w:rsid w:val="00667D9C"/>
    <w:rsid w:val="006703D5"/>
    <w:rsid w:val="0067372F"/>
    <w:rsid w:val="006759E3"/>
    <w:rsid w:val="00676200"/>
    <w:rsid w:val="006808A9"/>
    <w:rsid w:val="006816AC"/>
    <w:rsid w:val="00684176"/>
    <w:rsid w:val="006870E2"/>
    <w:rsid w:val="006903F6"/>
    <w:rsid w:val="006929DB"/>
    <w:rsid w:val="0069628B"/>
    <w:rsid w:val="006A1CEE"/>
    <w:rsid w:val="006A264A"/>
    <w:rsid w:val="006A2EA3"/>
    <w:rsid w:val="006A714E"/>
    <w:rsid w:val="006B07DF"/>
    <w:rsid w:val="006B6278"/>
    <w:rsid w:val="006C3E6D"/>
    <w:rsid w:val="006C7182"/>
    <w:rsid w:val="006D0824"/>
    <w:rsid w:val="006D4CD5"/>
    <w:rsid w:val="006E1773"/>
    <w:rsid w:val="006E222B"/>
    <w:rsid w:val="006E69BE"/>
    <w:rsid w:val="006F1385"/>
    <w:rsid w:val="006F35EE"/>
    <w:rsid w:val="006F6624"/>
    <w:rsid w:val="006F6666"/>
    <w:rsid w:val="007021FF"/>
    <w:rsid w:val="00703102"/>
    <w:rsid w:val="00703CC8"/>
    <w:rsid w:val="0070423F"/>
    <w:rsid w:val="007076CB"/>
    <w:rsid w:val="007141EE"/>
    <w:rsid w:val="0071479C"/>
    <w:rsid w:val="00721764"/>
    <w:rsid w:val="007218BC"/>
    <w:rsid w:val="00722E4D"/>
    <w:rsid w:val="00723D23"/>
    <w:rsid w:val="0072506B"/>
    <w:rsid w:val="00726434"/>
    <w:rsid w:val="00730065"/>
    <w:rsid w:val="00733669"/>
    <w:rsid w:val="007336AD"/>
    <w:rsid w:val="007364EB"/>
    <w:rsid w:val="007376A2"/>
    <w:rsid w:val="0073798D"/>
    <w:rsid w:val="00740802"/>
    <w:rsid w:val="00744AED"/>
    <w:rsid w:val="00746965"/>
    <w:rsid w:val="00750281"/>
    <w:rsid w:val="00763092"/>
    <w:rsid w:val="0076464A"/>
    <w:rsid w:val="00770283"/>
    <w:rsid w:val="00771C06"/>
    <w:rsid w:val="00773CA8"/>
    <w:rsid w:val="00775188"/>
    <w:rsid w:val="00775D69"/>
    <w:rsid w:val="0077650B"/>
    <w:rsid w:val="00783293"/>
    <w:rsid w:val="00784B0A"/>
    <w:rsid w:val="00785BE1"/>
    <w:rsid w:val="007874F2"/>
    <w:rsid w:val="00791632"/>
    <w:rsid w:val="007930F1"/>
    <w:rsid w:val="00793768"/>
    <w:rsid w:val="00795985"/>
    <w:rsid w:val="007967DF"/>
    <w:rsid w:val="007A0D9C"/>
    <w:rsid w:val="007A277F"/>
    <w:rsid w:val="007A5AAF"/>
    <w:rsid w:val="007B4222"/>
    <w:rsid w:val="007B4A4B"/>
    <w:rsid w:val="007B4BFD"/>
    <w:rsid w:val="007B4F38"/>
    <w:rsid w:val="007C3A51"/>
    <w:rsid w:val="007C6828"/>
    <w:rsid w:val="007C6A4C"/>
    <w:rsid w:val="007D1FA3"/>
    <w:rsid w:val="007D2738"/>
    <w:rsid w:val="007D3DD5"/>
    <w:rsid w:val="007D4D92"/>
    <w:rsid w:val="007D67AD"/>
    <w:rsid w:val="007D78EB"/>
    <w:rsid w:val="007E6852"/>
    <w:rsid w:val="007F31B1"/>
    <w:rsid w:val="007F59F8"/>
    <w:rsid w:val="00800A21"/>
    <w:rsid w:val="00801099"/>
    <w:rsid w:val="00803126"/>
    <w:rsid w:val="008052E6"/>
    <w:rsid w:val="008076A7"/>
    <w:rsid w:val="00810929"/>
    <w:rsid w:val="00812BC1"/>
    <w:rsid w:val="00812FF5"/>
    <w:rsid w:val="008147CE"/>
    <w:rsid w:val="0082094E"/>
    <w:rsid w:val="00825BC3"/>
    <w:rsid w:val="00832892"/>
    <w:rsid w:val="00834B71"/>
    <w:rsid w:val="00840C36"/>
    <w:rsid w:val="008436B1"/>
    <w:rsid w:val="00844600"/>
    <w:rsid w:val="008450BB"/>
    <w:rsid w:val="008471C4"/>
    <w:rsid w:val="008563FA"/>
    <w:rsid w:val="00857AAE"/>
    <w:rsid w:val="0086445C"/>
    <w:rsid w:val="00864D47"/>
    <w:rsid w:val="008657D8"/>
    <w:rsid w:val="0087144B"/>
    <w:rsid w:val="00873820"/>
    <w:rsid w:val="008739C6"/>
    <w:rsid w:val="00873A4B"/>
    <w:rsid w:val="00875BDE"/>
    <w:rsid w:val="0088184F"/>
    <w:rsid w:val="00882430"/>
    <w:rsid w:val="00884972"/>
    <w:rsid w:val="00884AD3"/>
    <w:rsid w:val="00886C28"/>
    <w:rsid w:val="00887BA6"/>
    <w:rsid w:val="00891B66"/>
    <w:rsid w:val="008A08D7"/>
    <w:rsid w:val="008A13F9"/>
    <w:rsid w:val="008A17DA"/>
    <w:rsid w:val="008A2A55"/>
    <w:rsid w:val="008A348F"/>
    <w:rsid w:val="008A3860"/>
    <w:rsid w:val="008A3EA4"/>
    <w:rsid w:val="008A5DF6"/>
    <w:rsid w:val="008A5EAC"/>
    <w:rsid w:val="008B0F8E"/>
    <w:rsid w:val="008C0B87"/>
    <w:rsid w:val="008C1730"/>
    <w:rsid w:val="008C3E14"/>
    <w:rsid w:val="008C72F6"/>
    <w:rsid w:val="008D5DB6"/>
    <w:rsid w:val="008D7A7F"/>
    <w:rsid w:val="008E0D36"/>
    <w:rsid w:val="008E0E1F"/>
    <w:rsid w:val="008E1705"/>
    <w:rsid w:val="008E276D"/>
    <w:rsid w:val="008E322B"/>
    <w:rsid w:val="008E6767"/>
    <w:rsid w:val="008E7A9E"/>
    <w:rsid w:val="008F2523"/>
    <w:rsid w:val="008F488F"/>
    <w:rsid w:val="0090020C"/>
    <w:rsid w:val="00903646"/>
    <w:rsid w:val="00906890"/>
    <w:rsid w:val="009107BC"/>
    <w:rsid w:val="00911FB4"/>
    <w:rsid w:val="00911FEA"/>
    <w:rsid w:val="00912D60"/>
    <w:rsid w:val="00916396"/>
    <w:rsid w:val="009211D8"/>
    <w:rsid w:val="00922D3C"/>
    <w:rsid w:val="0092443E"/>
    <w:rsid w:val="00925D00"/>
    <w:rsid w:val="009273FB"/>
    <w:rsid w:val="00930AAC"/>
    <w:rsid w:val="009317AA"/>
    <w:rsid w:val="009318A8"/>
    <w:rsid w:val="009327D7"/>
    <w:rsid w:val="009328FB"/>
    <w:rsid w:val="00934114"/>
    <w:rsid w:val="009355CF"/>
    <w:rsid w:val="009358EC"/>
    <w:rsid w:val="0093604A"/>
    <w:rsid w:val="00936E8A"/>
    <w:rsid w:val="00941F76"/>
    <w:rsid w:val="00951972"/>
    <w:rsid w:val="00954424"/>
    <w:rsid w:val="009571C2"/>
    <w:rsid w:val="009623F2"/>
    <w:rsid w:val="00962638"/>
    <w:rsid w:val="00963777"/>
    <w:rsid w:val="00963969"/>
    <w:rsid w:val="009745DB"/>
    <w:rsid w:val="0097564F"/>
    <w:rsid w:val="00976355"/>
    <w:rsid w:val="009838EC"/>
    <w:rsid w:val="00991630"/>
    <w:rsid w:val="009946B1"/>
    <w:rsid w:val="00996499"/>
    <w:rsid w:val="0099755D"/>
    <w:rsid w:val="00997879"/>
    <w:rsid w:val="009A1E97"/>
    <w:rsid w:val="009A2F41"/>
    <w:rsid w:val="009A74CC"/>
    <w:rsid w:val="009B13FF"/>
    <w:rsid w:val="009B452A"/>
    <w:rsid w:val="009B4E5E"/>
    <w:rsid w:val="009B502E"/>
    <w:rsid w:val="009B523F"/>
    <w:rsid w:val="009C0728"/>
    <w:rsid w:val="009C2AEA"/>
    <w:rsid w:val="009C5131"/>
    <w:rsid w:val="009C68FD"/>
    <w:rsid w:val="009C794D"/>
    <w:rsid w:val="009D0A03"/>
    <w:rsid w:val="009D2E70"/>
    <w:rsid w:val="009D6B76"/>
    <w:rsid w:val="009D779D"/>
    <w:rsid w:val="009E0F3A"/>
    <w:rsid w:val="009E6822"/>
    <w:rsid w:val="009E6A8B"/>
    <w:rsid w:val="009E6CF0"/>
    <w:rsid w:val="009E6E02"/>
    <w:rsid w:val="009F41B7"/>
    <w:rsid w:val="009F4EE0"/>
    <w:rsid w:val="009F6BDF"/>
    <w:rsid w:val="00A00407"/>
    <w:rsid w:val="00A024B0"/>
    <w:rsid w:val="00A075C7"/>
    <w:rsid w:val="00A10EB8"/>
    <w:rsid w:val="00A13E1D"/>
    <w:rsid w:val="00A147CA"/>
    <w:rsid w:val="00A17DFD"/>
    <w:rsid w:val="00A21C3E"/>
    <w:rsid w:val="00A21D2E"/>
    <w:rsid w:val="00A2362D"/>
    <w:rsid w:val="00A27373"/>
    <w:rsid w:val="00A30AF6"/>
    <w:rsid w:val="00A35DD0"/>
    <w:rsid w:val="00A37675"/>
    <w:rsid w:val="00A400DF"/>
    <w:rsid w:val="00A43970"/>
    <w:rsid w:val="00A44480"/>
    <w:rsid w:val="00A4457C"/>
    <w:rsid w:val="00A518F3"/>
    <w:rsid w:val="00A52003"/>
    <w:rsid w:val="00A52CB7"/>
    <w:rsid w:val="00A542BE"/>
    <w:rsid w:val="00A54A95"/>
    <w:rsid w:val="00A60F31"/>
    <w:rsid w:val="00A74302"/>
    <w:rsid w:val="00A775B6"/>
    <w:rsid w:val="00A81257"/>
    <w:rsid w:val="00A81EF1"/>
    <w:rsid w:val="00A8278B"/>
    <w:rsid w:val="00A84123"/>
    <w:rsid w:val="00A87C1C"/>
    <w:rsid w:val="00A917B3"/>
    <w:rsid w:val="00A966F6"/>
    <w:rsid w:val="00AA062F"/>
    <w:rsid w:val="00AA5519"/>
    <w:rsid w:val="00AA5EBB"/>
    <w:rsid w:val="00AA6F1D"/>
    <w:rsid w:val="00AB32F6"/>
    <w:rsid w:val="00AB4B51"/>
    <w:rsid w:val="00AB4C18"/>
    <w:rsid w:val="00AB4DD3"/>
    <w:rsid w:val="00AB50FF"/>
    <w:rsid w:val="00AC334B"/>
    <w:rsid w:val="00AD34E4"/>
    <w:rsid w:val="00AD59C5"/>
    <w:rsid w:val="00AE0A78"/>
    <w:rsid w:val="00AE0E02"/>
    <w:rsid w:val="00AE4CC4"/>
    <w:rsid w:val="00AE72BB"/>
    <w:rsid w:val="00AF10DA"/>
    <w:rsid w:val="00B00899"/>
    <w:rsid w:val="00B0548C"/>
    <w:rsid w:val="00B05FD6"/>
    <w:rsid w:val="00B10CC7"/>
    <w:rsid w:val="00B13ED3"/>
    <w:rsid w:val="00B155A0"/>
    <w:rsid w:val="00B24EF8"/>
    <w:rsid w:val="00B25083"/>
    <w:rsid w:val="00B26E7B"/>
    <w:rsid w:val="00B338E4"/>
    <w:rsid w:val="00B33E6D"/>
    <w:rsid w:val="00B3618D"/>
    <w:rsid w:val="00B36AD1"/>
    <w:rsid w:val="00B40411"/>
    <w:rsid w:val="00B4053B"/>
    <w:rsid w:val="00B41879"/>
    <w:rsid w:val="00B4196E"/>
    <w:rsid w:val="00B42ED0"/>
    <w:rsid w:val="00B43352"/>
    <w:rsid w:val="00B43ED2"/>
    <w:rsid w:val="00B46FA5"/>
    <w:rsid w:val="00B4747E"/>
    <w:rsid w:val="00B511D3"/>
    <w:rsid w:val="00B51612"/>
    <w:rsid w:val="00B53538"/>
    <w:rsid w:val="00B53FA9"/>
    <w:rsid w:val="00B61FD2"/>
    <w:rsid w:val="00B62458"/>
    <w:rsid w:val="00B62830"/>
    <w:rsid w:val="00B670A7"/>
    <w:rsid w:val="00B67E95"/>
    <w:rsid w:val="00B82DD3"/>
    <w:rsid w:val="00B83805"/>
    <w:rsid w:val="00B91AB3"/>
    <w:rsid w:val="00BA2758"/>
    <w:rsid w:val="00BB3D0C"/>
    <w:rsid w:val="00BB7680"/>
    <w:rsid w:val="00BB76A5"/>
    <w:rsid w:val="00BB7B27"/>
    <w:rsid w:val="00BC1174"/>
    <w:rsid w:val="00BC2881"/>
    <w:rsid w:val="00BD02E2"/>
    <w:rsid w:val="00BD33EE"/>
    <w:rsid w:val="00BD61C6"/>
    <w:rsid w:val="00BE1B23"/>
    <w:rsid w:val="00BE4528"/>
    <w:rsid w:val="00BE6607"/>
    <w:rsid w:val="00BF12AF"/>
    <w:rsid w:val="00BF7B70"/>
    <w:rsid w:val="00C0039D"/>
    <w:rsid w:val="00C01C37"/>
    <w:rsid w:val="00C02EB7"/>
    <w:rsid w:val="00C0629A"/>
    <w:rsid w:val="00C1254B"/>
    <w:rsid w:val="00C1288E"/>
    <w:rsid w:val="00C12B33"/>
    <w:rsid w:val="00C13CA7"/>
    <w:rsid w:val="00C174E6"/>
    <w:rsid w:val="00C21F1A"/>
    <w:rsid w:val="00C2215B"/>
    <w:rsid w:val="00C255A1"/>
    <w:rsid w:val="00C25824"/>
    <w:rsid w:val="00C2692A"/>
    <w:rsid w:val="00C27ECE"/>
    <w:rsid w:val="00C33381"/>
    <w:rsid w:val="00C37453"/>
    <w:rsid w:val="00C441F2"/>
    <w:rsid w:val="00C4444A"/>
    <w:rsid w:val="00C45A0D"/>
    <w:rsid w:val="00C56FC7"/>
    <w:rsid w:val="00C601B4"/>
    <w:rsid w:val="00C60F0C"/>
    <w:rsid w:val="00C63E21"/>
    <w:rsid w:val="00C66AA2"/>
    <w:rsid w:val="00C708AC"/>
    <w:rsid w:val="00C71730"/>
    <w:rsid w:val="00C7192F"/>
    <w:rsid w:val="00C7292B"/>
    <w:rsid w:val="00C76505"/>
    <w:rsid w:val="00C77139"/>
    <w:rsid w:val="00C77CCD"/>
    <w:rsid w:val="00C805C9"/>
    <w:rsid w:val="00C87096"/>
    <w:rsid w:val="00C900D9"/>
    <w:rsid w:val="00C901E3"/>
    <w:rsid w:val="00C92517"/>
    <w:rsid w:val="00C9297D"/>
    <w:rsid w:val="00C93340"/>
    <w:rsid w:val="00C94BE0"/>
    <w:rsid w:val="00C95E22"/>
    <w:rsid w:val="00CA1679"/>
    <w:rsid w:val="00CA1E36"/>
    <w:rsid w:val="00CA63F6"/>
    <w:rsid w:val="00CB1D52"/>
    <w:rsid w:val="00CB4CCF"/>
    <w:rsid w:val="00CC0B02"/>
    <w:rsid w:val="00CC1EBD"/>
    <w:rsid w:val="00CC6C9C"/>
    <w:rsid w:val="00CE0176"/>
    <w:rsid w:val="00CE1B61"/>
    <w:rsid w:val="00CE2F6A"/>
    <w:rsid w:val="00CE5E58"/>
    <w:rsid w:val="00CE7331"/>
    <w:rsid w:val="00CE769B"/>
    <w:rsid w:val="00CF06B0"/>
    <w:rsid w:val="00CF3F9E"/>
    <w:rsid w:val="00D01F81"/>
    <w:rsid w:val="00D0409E"/>
    <w:rsid w:val="00D05B67"/>
    <w:rsid w:val="00D067FD"/>
    <w:rsid w:val="00D06CC6"/>
    <w:rsid w:val="00D12474"/>
    <w:rsid w:val="00D13A4B"/>
    <w:rsid w:val="00D14D8B"/>
    <w:rsid w:val="00D16030"/>
    <w:rsid w:val="00D17C93"/>
    <w:rsid w:val="00D22B95"/>
    <w:rsid w:val="00D2545D"/>
    <w:rsid w:val="00D25DC5"/>
    <w:rsid w:val="00D367C0"/>
    <w:rsid w:val="00D406E6"/>
    <w:rsid w:val="00D41506"/>
    <w:rsid w:val="00D422B1"/>
    <w:rsid w:val="00D45A89"/>
    <w:rsid w:val="00D46E7C"/>
    <w:rsid w:val="00D5042C"/>
    <w:rsid w:val="00D571B4"/>
    <w:rsid w:val="00D5758D"/>
    <w:rsid w:val="00D60670"/>
    <w:rsid w:val="00D611DC"/>
    <w:rsid w:val="00D70C7F"/>
    <w:rsid w:val="00D767F9"/>
    <w:rsid w:val="00D809C0"/>
    <w:rsid w:val="00D80BBB"/>
    <w:rsid w:val="00D81A5E"/>
    <w:rsid w:val="00D863DA"/>
    <w:rsid w:val="00D87BE2"/>
    <w:rsid w:val="00D90138"/>
    <w:rsid w:val="00D90D47"/>
    <w:rsid w:val="00D940CF"/>
    <w:rsid w:val="00DA4CA7"/>
    <w:rsid w:val="00DA7529"/>
    <w:rsid w:val="00DB2C09"/>
    <w:rsid w:val="00DB687F"/>
    <w:rsid w:val="00DC0A3C"/>
    <w:rsid w:val="00DC21D4"/>
    <w:rsid w:val="00DC4BF2"/>
    <w:rsid w:val="00DD5762"/>
    <w:rsid w:val="00DD78C9"/>
    <w:rsid w:val="00DE02CD"/>
    <w:rsid w:val="00DE4473"/>
    <w:rsid w:val="00DE44AD"/>
    <w:rsid w:val="00DE54F5"/>
    <w:rsid w:val="00DE592C"/>
    <w:rsid w:val="00DE75D2"/>
    <w:rsid w:val="00DE7B2F"/>
    <w:rsid w:val="00DF1691"/>
    <w:rsid w:val="00DF3F2B"/>
    <w:rsid w:val="00E04CD3"/>
    <w:rsid w:val="00E074B7"/>
    <w:rsid w:val="00E214E2"/>
    <w:rsid w:val="00E21C5B"/>
    <w:rsid w:val="00E2210C"/>
    <w:rsid w:val="00E25D7B"/>
    <w:rsid w:val="00E27354"/>
    <w:rsid w:val="00E27E2B"/>
    <w:rsid w:val="00E316B4"/>
    <w:rsid w:val="00E33505"/>
    <w:rsid w:val="00E342E9"/>
    <w:rsid w:val="00E34B50"/>
    <w:rsid w:val="00E34EA4"/>
    <w:rsid w:val="00E35C28"/>
    <w:rsid w:val="00E37585"/>
    <w:rsid w:val="00E427C2"/>
    <w:rsid w:val="00E448B9"/>
    <w:rsid w:val="00E454C1"/>
    <w:rsid w:val="00E47634"/>
    <w:rsid w:val="00E528FB"/>
    <w:rsid w:val="00E610FE"/>
    <w:rsid w:val="00E64969"/>
    <w:rsid w:val="00E64AE6"/>
    <w:rsid w:val="00E650A2"/>
    <w:rsid w:val="00E66791"/>
    <w:rsid w:val="00E66831"/>
    <w:rsid w:val="00E672F3"/>
    <w:rsid w:val="00E71347"/>
    <w:rsid w:val="00E73F76"/>
    <w:rsid w:val="00E8299A"/>
    <w:rsid w:val="00E8336A"/>
    <w:rsid w:val="00E8372C"/>
    <w:rsid w:val="00E84E0A"/>
    <w:rsid w:val="00E8691C"/>
    <w:rsid w:val="00E86C82"/>
    <w:rsid w:val="00E92817"/>
    <w:rsid w:val="00E94FC3"/>
    <w:rsid w:val="00EA164F"/>
    <w:rsid w:val="00EA6DD7"/>
    <w:rsid w:val="00EB6710"/>
    <w:rsid w:val="00EC12D8"/>
    <w:rsid w:val="00EC78B7"/>
    <w:rsid w:val="00ED1F1B"/>
    <w:rsid w:val="00ED6905"/>
    <w:rsid w:val="00EE0BA0"/>
    <w:rsid w:val="00EE2408"/>
    <w:rsid w:val="00EE494A"/>
    <w:rsid w:val="00EE4B42"/>
    <w:rsid w:val="00EE4BB5"/>
    <w:rsid w:val="00EE76C3"/>
    <w:rsid w:val="00EF1360"/>
    <w:rsid w:val="00EF3220"/>
    <w:rsid w:val="00EF3A5D"/>
    <w:rsid w:val="00EF43A1"/>
    <w:rsid w:val="00F02678"/>
    <w:rsid w:val="00F032A7"/>
    <w:rsid w:val="00F041B5"/>
    <w:rsid w:val="00F0617B"/>
    <w:rsid w:val="00F20099"/>
    <w:rsid w:val="00F21341"/>
    <w:rsid w:val="00F22AA9"/>
    <w:rsid w:val="00F23277"/>
    <w:rsid w:val="00F25635"/>
    <w:rsid w:val="00F32439"/>
    <w:rsid w:val="00F34D22"/>
    <w:rsid w:val="00F34E7F"/>
    <w:rsid w:val="00F34F0D"/>
    <w:rsid w:val="00F3637C"/>
    <w:rsid w:val="00F37024"/>
    <w:rsid w:val="00F44B33"/>
    <w:rsid w:val="00F46A13"/>
    <w:rsid w:val="00F46AB1"/>
    <w:rsid w:val="00F47387"/>
    <w:rsid w:val="00F478A5"/>
    <w:rsid w:val="00F47ADD"/>
    <w:rsid w:val="00F50C64"/>
    <w:rsid w:val="00F51F75"/>
    <w:rsid w:val="00F57E75"/>
    <w:rsid w:val="00F60BB3"/>
    <w:rsid w:val="00F65B04"/>
    <w:rsid w:val="00F706FF"/>
    <w:rsid w:val="00F7200D"/>
    <w:rsid w:val="00F852E2"/>
    <w:rsid w:val="00F87250"/>
    <w:rsid w:val="00F91C7E"/>
    <w:rsid w:val="00F94155"/>
    <w:rsid w:val="00FA044D"/>
    <w:rsid w:val="00FA47F2"/>
    <w:rsid w:val="00FA5049"/>
    <w:rsid w:val="00FA6614"/>
    <w:rsid w:val="00FB305C"/>
    <w:rsid w:val="00FB72E3"/>
    <w:rsid w:val="00FC38A0"/>
    <w:rsid w:val="00FC4CFA"/>
    <w:rsid w:val="00FC58E4"/>
    <w:rsid w:val="00FC5DA9"/>
    <w:rsid w:val="00FC7884"/>
    <w:rsid w:val="00FC7BF0"/>
    <w:rsid w:val="00FC7F29"/>
    <w:rsid w:val="00FD1E2C"/>
    <w:rsid w:val="00FD2EF7"/>
    <w:rsid w:val="00FD40B0"/>
    <w:rsid w:val="00FD4AD6"/>
    <w:rsid w:val="00FD64F3"/>
    <w:rsid w:val="00FD6C63"/>
    <w:rsid w:val="00FD7350"/>
    <w:rsid w:val="00FE127B"/>
    <w:rsid w:val="00FE2BC9"/>
    <w:rsid w:val="00FF1E5D"/>
    <w:rsid w:val="00FF42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1331"/>
  <w15:docId w15:val="{DACA56BF-E602-4B35-8D41-58C2AD7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Appel note de bas de page,referencia nota al pie,BVI fnr,Footnote number,Ref. de nota al pie.,16 Point,Superscript 6 Point,Texto nota al pie,Footnote Reference Char3,Footnote symbol,callout"/>
    <w:link w:val="BVIfnrCar1CarCarCarCar"/>
    <w:qFormat/>
    <w:rsid w:val="00BB3D0C"/>
    <w:rPr>
      <w:rFonts w:ascii="Times New Roman" w:hAnsi="Times New Roman"/>
      <w:sz w:val="18"/>
      <w:vertAlign w:val="superscript"/>
    </w:rPr>
  </w:style>
  <w:style w:type="paragraph" w:customStyle="1" w:styleId="HMG">
    <w:name w:val="_ H __M_G"/>
    <w:basedOn w:val="Normal"/>
    <w:next w:val="Normal"/>
    <w:link w:val="HMGChar"/>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BB3D0C"/>
    <w:pPr>
      <w:keepNext/>
      <w:keepLines/>
      <w:spacing w:before="240" w:after="240" w:line="580" w:lineRule="exact"/>
      <w:ind w:left="1134" w:right="1134"/>
    </w:pPr>
    <w:rPr>
      <w:b/>
      <w:sz w:val="56"/>
    </w:rPr>
  </w:style>
  <w:style w:type="paragraph" w:customStyle="1" w:styleId="SSG">
    <w:name w:val="__S_S_G"/>
    <w:basedOn w:val="Normal"/>
    <w:next w:val="Normal"/>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BB3D0C"/>
    <w:rPr>
      <w:sz w:val="16"/>
    </w:rPr>
  </w:style>
  <w:style w:type="paragraph" w:customStyle="1" w:styleId="XLargeG">
    <w:name w:val="__XLarge_G"/>
    <w:basedOn w:val="Normal"/>
    <w:next w:val="Normal"/>
    <w:rsid w:val="00BB3D0C"/>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
    <w:basedOn w:val="Normal"/>
    <w:link w:val="TextonotapieCar"/>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1"/>
      </w:numPr>
    </w:pPr>
  </w:style>
  <w:style w:type="numbering" w:styleId="1ai">
    <w:name w:val="Outline List 1"/>
    <w:basedOn w:val="Sinlista"/>
    <w:rsid w:val="00BB3D0C"/>
    <w:pPr>
      <w:numPr>
        <w:numId w:val="2"/>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3"/>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rsid w:val="00BB3D0C"/>
    <w:rPr>
      <w:color w:val="0000FF"/>
      <w:u w:val="none"/>
    </w:rPr>
  </w:style>
  <w:style w:type="character" w:styleId="Hipervnculovisitado">
    <w:name w:val="FollowedHyperlink"/>
    <w:rsid w:val="00BB3D0C"/>
    <w:rPr>
      <w:color w:val="0000FF"/>
      <w:u w:val="none"/>
    </w:rPr>
  </w:style>
  <w:style w:type="paragraph" w:styleId="HTMLconformatoprevio">
    <w:name w:val="HTML Preformatted"/>
    <w:basedOn w:val="Normal"/>
    <w:link w:val="HTMLconformatoprevioCar"/>
    <w:uiPriority w:val="99"/>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13"/>
      </w:numPr>
    </w:pPr>
  </w:style>
  <w:style w:type="paragraph" w:styleId="Listaconnmeros2">
    <w:name w:val="List Number 2"/>
    <w:basedOn w:val="Normal"/>
    <w:semiHidden/>
    <w:rsid w:val="00BB3D0C"/>
    <w:pPr>
      <w:numPr>
        <w:numId w:val="14"/>
      </w:numPr>
    </w:pPr>
  </w:style>
  <w:style w:type="paragraph" w:styleId="Listaconnmeros3">
    <w:name w:val="List Number 3"/>
    <w:basedOn w:val="Normal"/>
    <w:semiHidden/>
    <w:rsid w:val="00BB3D0C"/>
    <w:pPr>
      <w:numPr>
        <w:numId w:val="15"/>
      </w:numPr>
    </w:pPr>
  </w:style>
  <w:style w:type="paragraph" w:styleId="Listaconnmeros4">
    <w:name w:val="List Number 4"/>
    <w:basedOn w:val="Normal"/>
    <w:semiHidden/>
    <w:rsid w:val="00BB3D0C"/>
    <w:pPr>
      <w:numPr>
        <w:numId w:val="16"/>
      </w:numPr>
    </w:pPr>
  </w:style>
  <w:style w:type="paragraph" w:styleId="Listaconnmeros5">
    <w:name w:val="List Number 5"/>
    <w:basedOn w:val="Normal"/>
    <w:semiHidden/>
    <w:rsid w:val="00BB3D0C"/>
    <w:pPr>
      <w:numPr>
        <w:numId w:val="17"/>
      </w:numPr>
    </w:pPr>
  </w:style>
  <w:style w:type="paragraph" w:styleId="Listaconvietas">
    <w:name w:val="List Bullet"/>
    <w:basedOn w:val="Normal"/>
    <w:semiHidden/>
    <w:rsid w:val="00BB3D0C"/>
    <w:pPr>
      <w:numPr>
        <w:numId w:val="8"/>
      </w:numPr>
    </w:pPr>
  </w:style>
  <w:style w:type="paragraph" w:styleId="Listaconvietas2">
    <w:name w:val="List Bullet 2"/>
    <w:basedOn w:val="Normal"/>
    <w:semiHidden/>
    <w:rsid w:val="00BB3D0C"/>
    <w:pPr>
      <w:numPr>
        <w:numId w:val="9"/>
      </w:numPr>
    </w:pPr>
  </w:style>
  <w:style w:type="paragraph" w:styleId="Listaconvietas3">
    <w:name w:val="List Bullet 3"/>
    <w:basedOn w:val="Normal"/>
    <w:semiHidden/>
    <w:rsid w:val="00BB3D0C"/>
    <w:pPr>
      <w:numPr>
        <w:numId w:val="10"/>
      </w:numPr>
    </w:pPr>
  </w:style>
  <w:style w:type="paragraph" w:styleId="Listaconvietas4">
    <w:name w:val="List Bullet 4"/>
    <w:basedOn w:val="Normal"/>
    <w:semiHidden/>
    <w:rsid w:val="00BB3D0C"/>
    <w:pPr>
      <w:numPr>
        <w:numId w:val="11"/>
      </w:numPr>
    </w:pPr>
  </w:style>
  <w:style w:type="paragraph" w:styleId="Listaconvietas5">
    <w:name w:val="List Bullet 5"/>
    <w:basedOn w:val="Normal"/>
    <w:semiHidden/>
    <w:rsid w:val="00BB3D0C"/>
    <w:pPr>
      <w:numPr>
        <w:numId w:val="12"/>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uiPriority w:val="99"/>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qFormat/>
    <w:rsid w:val="00BB3D0C"/>
    <w:rPr>
      <w:b/>
      <w:sz w:val="18"/>
    </w:rPr>
  </w:style>
  <w:style w:type="character" w:styleId="Refdenotaalfinal">
    <w:name w:val="endnote reference"/>
    <w:aliases w:val="1_G"/>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qFormat/>
    <w:rsid w:val="00BB3D0C"/>
    <w:pPr>
      <w:numPr>
        <w:numId w:val="4"/>
      </w:numPr>
      <w:spacing w:after="120"/>
      <w:ind w:right="1134"/>
      <w:jc w:val="both"/>
    </w:pPr>
    <w:rPr>
      <w:lang w:eastAsia="en-US"/>
    </w:rPr>
  </w:style>
  <w:style w:type="paragraph" w:customStyle="1" w:styleId="Bullet2G">
    <w:name w:val="_Bullet 2_G"/>
    <w:basedOn w:val="Normal"/>
    <w:qFormat/>
    <w:rsid w:val="00BB3D0C"/>
    <w:pPr>
      <w:numPr>
        <w:numId w:val="5"/>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qFormat/>
    <w:rsid w:val="00BB3D0C"/>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
    <w:basedOn w:val="Fuentedeprrafopredeter"/>
    <w:link w:val="Textonotapie"/>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uiPriority w:val="99"/>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customStyle="1" w:styleId="Mencinsinresolver1">
    <w:name w:val="Mención sin resolver1"/>
    <w:basedOn w:val="Fuentedeprrafopredeter"/>
    <w:uiPriority w:val="99"/>
    <w:semiHidden/>
    <w:unhideWhenUsed/>
    <w:rsid w:val="00BB3D0C"/>
    <w:rPr>
      <w:color w:val="605E5C"/>
      <w:shd w:val="clear" w:color="auto" w:fill="E1DFDD"/>
    </w:rPr>
  </w:style>
  <w:style w:type="character" w:customStyle="1" w:styleId="HMGChar">
    <w:name w:val="_ H __M_G Char"/>
    <w:link w:val="HMG"/>
    <w:rsid w:val="00DD5762"/>
    <w:rPr>
      <w:b/>
      <w:sz w:val="34"/>
      <w:lang w:val="es-ES" w:eastAsia="es-ES"/>
    </w:rPr>
  </w:style>
  <w:style w:type="character" w:customStyle="1" w:styleId="HChGChar">
    <w:name w:val="_ H _Ch_G Char"/>
    <w:link w:val="HChG"/>
    <w:rsid w:val="00DD5762"/>
    <w:rPr>
      <w:b/>
      <w:sz w:val="28"/>
      <w:lang w:val="es-ES" w:eastAsia="es-ES"/>
    </w:rPr>
  </w:style>
  <w:style w:type="character" w:styleId="nfasisintenso">
    <w:name w:val="Intense Emphasis"/>
    <w:uiPriority w:val="21"/>
    <w:rsid w:val="00DD5762"/>
    <w:rPr>
      <w:b/>
      <w:bCs/>
      <w:i/>
      <w:iCs/>
      <w:color w:val="4F81BD"/>
    </w:rPr>
  </w:style>
  <w:style w:type="table" w:customStyle="1" w:styleId="Tablaconcuadrcula10">
    <w:name w:val="Tabla con cuadrícula1"/>
    <w:basedOn w:val="Tablanormal"/>
    <w:rsid w:val="00DD576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DD5762"/>
    <w:rPr>
      <w:b/>
      <w:lang w:val="es-ES" w:eastAsia="es-ES"/>
    </w:rPr>
  </w:style>
  <w:style w:type="paragraph" w:customStyle="1" w:styleId="SingleTxt">
    <w:name w:val="__Single Txt"/>
    <w:basedOn w:val="Normal"/>
    <w:qFormat/>
    <w:rsid w:val="00DD57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4"/>
      <w:szCs w:val="22"/>
      <w:lang w:val="es-AR" w:eastAsia="en-US"/>
    </w:rPr>
  </w:style>
  <w:style w:type="paragraph" w:styleId="Prrafodelista">
    <w:name w:val="List Paragraph"/>
    <w:basedOn w:val="Normal"/>
    <w:uiPriority w:val="34"/>
    <w:qFormat/>
    <w:rsid w:val="00DD5762"/>
    <w:pPr>
      <w:spacing w:line="240" w:lineRule="auto"/>
      <w:ind w:left="720"/>
      <w:contextualSpacing/>
    </w:pPr>
    <w:rPr>
      <w:sz w:val="24"/>
      <w:szCs w:val="24"/>
      <w:lang w:val="es-AR" w:eastAsia="es-ES_tradnl"/>
    </w:rPr>
  </w:style>
  <w:style w:type="character" w:styleId="Refdecomentario">
    <w:name w:val="annotation reference"/>
    <w:basedOn w:val="Fuentedeprrafopredeter"/>
    <w:semiHidden/>
    <w:unhideWhenUsed/>
    <w:rsid w:val="00DD5762"/>
    <w:rPr>
      <w:sz w:val="16"/>
      <w:szCs w:val="16"/>
    </w:rPr>
  </w:style>
  <w:style w:type="paragraph" w:styleId="Textocomentario">
    <w:name w:val="annotation text"/>
    <w:basedOn w:val="Normal"/>
    <w:link w:val="TextocomentarioCar"/>
    <w:unhideWhenUsed/>
    <w:rsid w:val="00DD5762"/>
    <w:pPr>
      <w:spacing w:line="240" w:lineRule="auto"/>
    </w:pPr>
    <w:rPr>
      <w:sz w:val="24"/>
      <w:szCs w:val="24"/>
      <w:lang w:val="es-AR" w:eastAsia="es-ES_tradnl"/>
    </w:rPr>
  </w:style>
  <w:style w:type="character" w:customStyle="1" w:styleId="TextocomentarioCar">
    <w:name w:val="Texto comentario Car"/>
    <w:basedOn w:val="Fuentedeprrafopredeter"/>
    <w:link w:val="Textocomentario"/>
    <w:rsid w:val="00DD5762"/>
    <w:rPr>
      <w:sz w:val="24"/>
      <w:szCs w:val="24"/>
      <w:lang w:val="es-AR" w:eastAsia="es-ES_tradnl"/>
    </w:rPr>
  </w:style>
  <w:style w:type="paragraph" w:styleId="Asuntodelcomentario">
    <w:name w:val="annotation subject"/>
    <w:basedOn w:val="Textocomentario"/>
    <w:next w:val="Textocomentario"/>
    <w:link w:val="AsuntodelcomentarioCar"/>
    <w:semiHidden/>
    <w:unhideWhenUsed/>
    <w:rsid w:val="00DD5762"/>
    <w:rPr>
      <w:b/>
      <w:bCs/>
    </w:rPr>
  </w:style>
  <w:style w:type="character" w:customStyle="1" w:styleId="AsuntodelcomentarioCar">
    <w:name w:val="Asunto del comentario Car"/>
    <w:basedOn w:val="TextocomentarioCar"/>
    <w:link w:val="Asuntodelcomentario"/>
    <w:semiHidden/>
    <w:rsid w:val="00DD5762"/>
    <w:rPr>
      <w:b/>
      <w:bCs/>
      <w:sz w:val="24"/>
      <w:szCs w:val="24"/>
      <w:lang w:val="es-AR" w:eastAsia="es-ES_tradnl"/>
    </w:rPr>
  </w:style>
  <w:style w:type="paragraph" w:styleId="Revisin">
    <w:name w:val="Revision"/>
    <w:hidden/>
    <w:uiPriority w:val="99"/>
    <w:semiHidden/>
    <w:rsid w:val="00DD5762"/>
    <w:rPr>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rsid w:val="00941F76"/>
    <w:pPr>
      <w:spacing w:before="200" w:after="160" w:line="240" w:lineRule="exact"/>
    </w:pPr>
    <w:rPr>
      <w:sz w:val="18"/>
      <w:vertAlign w:val="superscript"/>
      <w:lang w:val="en-US" w:eastAsia="zh-CN"/>
    </w:rPr>
  </w:style>
  <w:style w:type="paragraph" w:customStyle="1" w:styleId="Default">
    <w:name w:val="Default"/>
    <w:rsid w:val="00832892"/>
    <w:pPr>
      <w:autoSpaceDE w:val="0"/>
      <w:autoSpaceDN w:val="0"/>
      <w:adjustRightInd w:val="0"/>
    </w:pPr>
    <w:rPr>
      <w:color w:val="000000"/>
      <w:sz w:val="24"/>
      <w:szCs w:val="24"/>
      <w:lang w:val="en-GB"/>
    </w:rPr>
  </w:style>
  <w:style w:type="character" w:customStyle="1" w:styleId="contentpasted3">
    <w:name w:val="contentpasted3"/>
    <w:basedOn w:val="Fuentedeprrafopredeter"/>
    <w:rsid w:val="00CF06B0"/>
  </w:style>
  <w:style w:type="character" w:styleId="Mencinsinresolver">
    <w:name w:val="Unresolved Mention"/>
    <w:basedOn w:val="Fuentedeprrafopredeter"/>
    <w:uiPriority w:val="99"/>
    <w:semiHidden/>
    <w:unhideWhenUsed/>
    <w:rsid w:val="009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1499">
      <w:bodyDiv w:val="1"/>
      <w:marLeft w:val="0"/>
      <w:marRight w:val="0"/>
      <w:marTop w:val="0"/>
      <w:marBottom w:val="0"/>
      <w:divBdr>
        <w:top w:val="none" w:sz="0" w:space="0" w:color="auto"/>
        <w:left w:val="none" w:sz="0" w:space="0" w:color="auto"/>
        <w:bottom w:val="none" w:sz="0" w:space="0" w:color="auto"/>
        <w:right w:val="none" w:sz="0" w:space="0" w:color="auto"/>
      </w:divBdr>
    </w:div>
    <w:div w:id="633677680">
      <w:bodyDiv w:val="1"/>
      <w:marLeft w:val="0"/>
      <w:marRight w:val="0"/>
      <w:marTop w:val="0"/>
      <w:marBottom w:val="0"/>
      <w:divBdr>
        <w:top w:val="none" w:sz="0" w:space="0" w:color="auto"/>
        <w:left w:val="none" w:sz="0" w:space="0" w:color="auto"/>
        <w:bottom w:val="none" w:sz="0" w:space="0" w:color="auto"/>
        <w:right w:val="none" w:sz="0" w:space="0" w:color="auto"/>
      </w:divBdr>
    </w:div>
    <w:div w:id="726495934">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ED%2FC%2FPAN%2FCO%2F1&amp;Lang=en" TargetMode="External"/><Relationship Id="rId13" Type="http://schemas.openxmlformats.org/officeDocument/2006/relationships/hyperlink" Target="https://tbinternet.ohchr.org/_layouts/15/treatybodyexternal/Download.aspx?symbolno=CCPR%2FC%2FPAN%2FCO%2F3&amp;Lang=en" TargetMode="External"/><Relationship Id="rId3" Type="http://schemas.openxmlformats.org/officeDocument/2006/relationships/hyperlink" Target="https://tbinternet.ohchr.org/_layouts/15/treatybodyexternal/Download.aspx?symbolno=CCPR%2FC%2FSR.3974&amp;Lang=en" TargetMode="External"/><Relationship Id="rId7" Type="http://schemas.openxmlformats.org/officeDocument/2006/relationships/hyperlink" Target="https://tbinternet.ohchr.org/_layouts/15/treatybodyexternal/Download.aspx?symbolno=CCPR%2FC%2FPAN%2FCO%2F3&amp;Lang=en" TargetMode="External"/><Relationship Id="rId12" Type="http://schemas.openxmlformats.org/officeDocument/2006/relationships/hyperlink" Target="https://tbinternet.ohchr.org/_layouts/15/treatybodyexternal/Download.aspx?symbolno=CEDAW/C/PAN/CO/8&amp;Lang=en" TargetMode="External"/><Relationship Id="rId2" Type="http://schemas.openxmlformats.org/officeDocument/2006/relationships/hyperlink" Target="https://tbinternet.ohchr.org/_layouts/15/treatybodyexternal/Download.aspx?symbolno=CCPR%2FC%2FSR.3972&amp;Lang=en" TargetMode="External"/><Relationship Id="rId16" Type="http://schemas.openxmlformats.org/officeDocument/2006/relationships/hyperlink" Target="https://tbinternet.ohchr.org/_layouts/15/treatybodyexternal/Download.aspx?symbolno=CEDAW/C/PAN/CO/8&amp;Lang=en" TargetMode="External"/><Relationship Id="rId1" Type="http://schemas.openxmlformats.org/officeDocument/2006/relationships/hyperlink" Target="https://tbinternet.ohchr.org/_layouts/15/treatybodyexternal/Download.aspx?symbolno=CCPR%2FC%2FPAN%2F4&amp;Lang=en" TargetMode="External"/><Relationship Id="rId6" Type="http://schemas.openxmlformats.org/officeDocument/2006/relationships/hyperlink" Target="https://tbinternet.ohchr.org/_layouts/15/treatybodyexternal/Download.aspx?symbolno=CCPR%2FC%2FPAN%2FQ%2F4&amp;Lang=en" TargetMode="External"/><Relationship Id="rId11" Type="http://schemas.openxmlformats.org/officeDocument/2006/relationships/hyperlink" Target="https://tbinternet.ohchr.org/_layouts/15/treatybodyexternal/Download.aspx?symbolno=CEDAW%2FC%2FPAN%2FCO%2F8&amp;Lang=en" TargetMode="External"/><Relationship Id="rId5" Type="http://schemas.openxmlformats.org/officeDocument/2006/relationships/hyperlink" Target="https://tbinternet.ohchr.org/_layouts/15/treatybodyexternal/Download.aspx?symbolno=CCPR%2FC%2FPAN%2FRQ%2F4&amp;Lang=en" TargetMode="External"/><Relationship Id="rId15" Type="http://schemas.openxmlformats.org/officeDocument/2006/relationships/hyperlink" Target="https://tbinternet.ohchr.org/_layouts/15/treatybodyexternal/Download.aspx?symbolno=CEDAW%2FC%2FPAN%2FCO%2F8&amp;Lang=en" TargetMode="External"/><Relationship Id="rId10" Type="http://schemas.openxmlformats.org/officeDocument/2006/relationships/hyperlink" Target="https://tbinternet.ohchr.org/_layouts/15/treatybodyexternal/Download.aspx?symbolno=CEDAW%2FC%2FPAN%2FCO%2F8&amp;Lang=en" TargetMode="External"/><Relationship Id="rId4" Type="http://schemas.openxmlformats.org/officeDocument/2006/relationships/hyperlink" Target="https://tbinternet.ohchr.org/_layouts/15/treatybodyexternal/Download.aspx?symbolno=CCPR%2FC%2FSR.3976&amp;Lang=en" TargetMode="External"/><Relationship Id="rId9" Type="http://schemas.openxmlformats.org/officeDocument/2006/relationships/hyperlink" Target="https://tbinternet.ohchr.org/_layouts/15/treatybodyexternal/Download.aspx?symbolno=CAT%2FC%2FPAN%2FCO%2F4&amp;Lang=en" TargetMode="External"/><Relationship Id="rId14" Type="http://schemas.openxmlformats.org/officeDocument/2006/relationships/hyperlink" Target="https://tbinternet.ohchr.org/_layouts/15/treatybodyexternal/Download.aspx?symbolno=CCPR%2FC%2FPAN%2FCO%2F3&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ED0F-D45A-45E3-8D14-48809818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7078</Words>
  <Characters>37512</Characters>
  <Application>Microsoft Office Word</Application>
  <DocSecurity>0</DocSecurity>
  <Lines>596</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CCPR/C/ISR/CO/R.5</vt:lpstr>
      <vt:lpstr>CCPR/C/ISR/CO/R.5</vt:lpstr>
    </vt:vector>
  </TitlesOfParts>
  <Company/>
  <LinksUpToDate>false</LinksUpToDate>
  <CharactersWithSpaces>44578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CCPR/C/PAN/CO/4</dc:title>
  <dc:subject/>
  <dc:creator>Romina Valeria MERINO MAC-KAY</dc:creator>
  <cp:keywords/>
  <cp:lastModifiedBy>Javier Rodriguez Perez</cp:lastModifiedBy>
  <cp:revision>2</cp:revision>
  <cp:lastPrinted>2023-03-20T11:54:00Z</cp:lastPrinted>
  <dcterms:created xsi:type="dcterms:W3CDTF">2023-04-12T07:19:00Z</dcterms:created>
  <dcterms:modified xsi:type="dcterms:W3CDTF">2023-04-12T07:19:00Z</dcterms:modified>
</cp:coreProperties>
</file>